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3153" w:rsidRPr="00E04FAA" w:rsidRDefault="00200151">
      <w:pPr>
        <w:spacing w:beforeLines="50" w:before="120" w:afterLines="50" w:after="120"/>
        <w:rPr>
          <w:bCs/>
          <w:szCs w:val="21"/>
        </w:rPr>
      </w:pPr>
      <w:r w:rsidRPr="00E04FAA">
        <w:rPr>
          <w:rFonts w:hint="eastAsia"/>
          <w:bCs/>
          <w:szCs w:val="21"/>
        </w:rPr>
        <w:t>公司代码：</w:t>
      </w:r>
      <w:sdt>
        <w:sdtPr>
          <w:rPr>
            <w:rFonts w:hint="eastAsia"/>
            <w:bCs/>
            <w:szCs w:val="21"/>
          </w:rPr>
          <w:alias w:val="公司代码"/>
          <w:tag w:val="_GBC_704b7b03ea3f4a93b8d4655a09b2ff61"/>
          <w:id w:val="197359019"/>
          <w:lock w:val="sdtLocked"/>
          <w:placeholder>
            <w:docPart w:val="GBC22222222222222222222222222222"/>
          </w:placeholder>
        </w:sdtPr>
        <w:sdtContent>
          <w:r w:rsidRPr="00E04FAA">
            <w:rPr>
              <w:rFonts w:hint="eastAsia"/>
              <w:bCs/>
              <w:szCs w:val="21"/>
            </w:rPr>
            <w:t>600588</w:t>
          </w:r>
        </w:sdtContent>
      </w:sdt>
      <w:r w:rsidRPr="00E04FAA">
        <w:rPr>
          <w:rFonts w:hint="eastAsia"/>
          <w:bCs/>
          <w:szCs w:val="21"/>
        </w:rPr>
        <w:t xml:space="preserve">                      　　　　　　　　　　公司简称：</w:t>
      </w:r>
      <w:sdt>
        <w:sdtPr>
          <w:rPr>
            <w:rFonts w:hint="eastAsia"/>
            <w:bCs/>
            <w:szCs w:val="21"/>
          </w:rPr>
          <w:alias w:val="公司简称"/>
          <w:tag w:val="_GBC_0384ae715a1e4b4894a29e4d27f5bef4"/>
          <w:id w:val="-2126377784"/>
          <w:lock w:val="sdtLocked"/>
          <w:placeholder>
            <w:docPart w:val="GBC22222222222222222222222222222"/>
          </w:placeholder>
        </w:sdtPr>
        <w:sdtContent>
          <w:r w:rsidRPr="00E04FAA">
            <w:rPr>
              <w:rFonts w:hint="eastAsia"/>
              <w:bCs/>
              <w:szCs w:val="21"/>
            </w:rPr>
            <w:t>用友网络</w:t>
          </w:r>
        </w:sdtContent>
      </w:sdt>
    </w:p>
    <w:p w:rsidR="00883153" w:rsidRPr="00E04FAA" w:rsidRDefault="00883153"/>
    <w:p w:rsidR="00883153" w:rsidRPr="00E04FAA" w:rsidRDefault="00883153"/>
    <w:p w:rsidR="00883153" w:rsidRPr="00E04FAA" w:rsidRDefault="00883153"/>
    <w:p w:rsidR="00883153" w:rsidRPr="00E04FAA" w:rsidRDefault="00883153"/>
    <w:p w:rsidR="00883153" w:rsidRPr="00E04FAA" w:rsidRDefault="00883153"/>
    <w:p w:rsidR="00883153" w:rsidRPr="00E04FAA" w:rsidRDefault="00883153"/>
    <w:p w:rsidR="00883153" w:rsidRPr="00E04FAA" w:rsidRDefault="00883153"/>
    <w:p w:rsidR="00883153" w:rsidRPr="00E04FAA" w:rsidRDefault="000D0A99">
      <w:pPr>
        <w:jc w:val="center"/>
        <w:rPr>
          <w:rFonts w:ascii="黑体" w:eastAsia="黑体" w:hAnsi="黑体"/>
          <w:b/>
          <w:bCs/>
          <w:color w:val="FF0000"/>
          <w:sz w:val="44"/>
          <w:szCs w:val="44"/>
        </w:rPr>
      </w:pPr>
      <w:sdt>
        <w:sdtPr>
          <w:rPr>
            <w:rFonts w:ascii="黑体" w:eastAsia="黑体" w:hAnsi="黑体" w:hint="eastAsia"/>
            <w:b/>
            <w:bCs/>
            <w:color w:val="FF0000"/>
            <w:sz w:val="44"/>
            <w:szCs w:val="44"/>
          </w:rPr>
          <w:alias w:val="公司法定中文名称"/>
          <w:tag w:val="_GBC_ef279e32efc14c6bb521c62ff1f265ba"/>
          <w:id w:val="-1765140393"/>
          <w:lock w:val="sdtLocked"/>
          <w:placeholder>
            <w:docPart w:val="GBC22222222222222222222222222222"/>
          </w:placeholder>
          <w:dataBinding w:prefixMappings="xmlns:clcid-cgi='clcid-cgi'" w:xpath="/*/clcid-cgi:GongSiFaDingZhongWenMingCheng" w:storeItemID="{89EBAB94-44A0-46A2-B712-30D997D04A6D}"/>
          <w:text/>
        </w:sdtPr>
        <w:sdtContent>
          <w:r w:rsidR="00200151" w:rsidRPr="00E04FAA">
            <w:rPr>
              <w:rFonts w:ascii="黑体" w:eastAsia="黑体" w:hAnsi="黑体" w:hint="eastAsia"/>
              <w:b/>
              <w:bCs/>
              <w:color w:val="FF0000"/>
              <w:sz w:val="44"/>
              <w:szCs w:val="44"/>
            </w:rPr>
            <w:t>用友网络科技股份有限公司</w:t>
          </w:r>
        </w:sdtContent>
      </w:sdt>
    </w:p>
    <w:p w:rsidR="00883153" w:rsidRPr="00E04FAA" w:rsidRDefault="00200151">
      <w:pPr>
        <w:jc w:val="center"/>
        <w:rPr>
          <w:rFonts w:ascii="黑体" w:eastAsia="黑体" w:hAnsi="黑体"/>
          <w:b/>
          <w:bCs/>
          <w:color w:val="FF0000"/>
          <w:sz w:val="44"/>
          <w:szCs w:val="44"/>
        </w:rPr>
      </w:pPr>
      <w:r w:rsidRPr="00E04FAA">
        <w:rPr>
          <w:rFonts w:ascii="黑体" w:eastAsia="黑体" w:hAnsi="黑体"/>
          <w:b/>
          <w:bCs/>
          <w:color w:val="FF0000"/>
          <w:sz w:val="44"/>
          <w:szCs w:val="44"/>
        </w:rPr>
        <w:t>2019</w:t>
      </w:r>
      <w:r w:rsidRPr="00E04FAA">
        <w:rPr>
          <w:rFonts w:ascii="黑体" w:eastAsia="黑体" w:hAnsi="黑体" w:hint="eastAsia"/>
          <w:b/>
          <w:bCs/>
          <w:color w:val="FF0000"/>
          <w:sz w:val="44"/>
          <w:szCs w:val="44"/>
        </w:rPr>
        <w:t>年半年度报告</w:t>
      </w:r>
    </w:p>
    <w:p w:rsidR="00883153" w:rsidRPr="00E04FAA" w:rsidRDefault="00883153"/>
    <w:p w:rsidR="00883153" w:rsidRPr="00E04FAA" w:rsidRDefault="00883153"/>
    <w:p w:rsidR="00883153" w:rsidRPr="00E04FAA" w:rsidRDefault="00883153"/>
    <w:p w:rsidR="00883153" w:rsidRPr="00E04FAA" w:rsidRDefault="00883153"/>
    <w:p w:rsidR="00883153" w:rsidRPr="00E04FAA" w:rsidRDefault="00883153"/>
    <w:p w:rsidR="00883153" w:rsidRPr="00E04FAA" w:rsidRDefault="00883153"/>
    <w:p w:rsidR="00883153" w:rsidRPr="00E04FAA" w:rsidRDefault="00883153"/>
    <w:p w:rsidR="00883153" w:rsidRPr="00E04FAA" w:rsidRDefault="00200151">
      <w:r w:rsidRPr="00E04FAA">
        <w:br w:type="page"/>
      </w:r>
    </w:p>
    <w:p w:rsidR="00883153" w:rsidRPr="00E04FAA" w:rsidRDefault="00200151">
      <w:pPr>
        <w:pStyle w:val="affd"/>
        <w:spacing w:after="280" w:afterAutospacing="0"/>
        <w:jc w:val="center"/>
        <w:rPr>
          <w:rFonts w:ascii="黑体" w:eastAsia="黑体"/>
          <w:b/>
          <w:bCs/>
          <w:sz w:val="28"/>
          <w:szCs w:val="28"/>
        </w:rPr>
      </w:pPr>
      <w:bookmarkStart w:id="0" w:name="_Toc387656034"/>
      <w:r w:rsidRPr="00E04FAA">
        <w:rPr>
          <w:rFonts w:ascii="黑体" w:eastAsia="黑体" w:hint="eastAsia"/>
          <w:b/>
          <w:bCs/>
          <w:sz w:val="28"/>
          <w:szCs w:val="28"/>
        </w:rPr>
        <w:lastRenderedPageBreak/>
        <w:t>重要提示</w:t>
      </w:r>
      <w:bookmarkEnd w:id="0"/>
    </w:p>
    <w:sdt>
      <w:sdtPr>
        <w:rPr>
          <w:rFonts w:hint="eastAsia"/>
        </w:rPr>
        <w:alias w:val="选项模块:董事会及董事声明"/>
        <w:tag w:val="_SEC_d5e0e82062cc4f3cb5a290078031cbd7"/>
        <w:id w:val="-988856471"/>
        <w:lock w:val="sdtLocked"/>
        <w:placeholder>
          <w:docPart w:val="GBC22222222222222222222222222222"/>
        </w:placeholder>
      </w:sdtPr>
      <w:sdtContent>
        <w:p w:rsidR="00883153" w:rsidRPr="00E04FAA" w:rsidRDefault="000D0A99" w:rsidP="00FC3870">
          <w:pPr>
            <w:pStyle w:val="2"/>
            <w:numPr>
              <w:ilvl w:val="0"/>
              <w:numId w:val="6"/>
            </w:numPr>
            <w:tabs>
              <w:tab w:val="left" w:pos="434"/>
            </w:tabs>
            <w:spacing w:before="0" w:after="0" w:line="360" w:lineRule="auto"/>
            <w:ind w:left="369" w:hangingChars="175" w:hanging="369"/>
          </w:pPr>
          <w:sdt>
            <w:sdtPr>
              <w:rPr>
                <w:rFonts w:hint="eastAsia"/>
              </w:rPr>
              <w:alias w:val="董事会及董事声明"/>
              <w:tag w:val="_GBC_6c6da163383e4e4c92758ff24076a138"/>
              <w:id w:val="357633525"/>
              <w:lock w:val="sdtLocked"/>
              <w:placeholder>
                <w:docPart w:val="GBC22222222222222222222222222222"/>
              </w:placeholder>
            </w:sdtPr>
            <w:sdtContent>
              <w:r w:rsidR="00200151" w:rsidRPr="00E04FAA">
                <w:rPr>
                  <w:rFonts w:ascii="Times New Roman" w:hAnsi="宋体" w:cs="宋体"/>
                  <w:bCs w:val="0"/>
                </w:rPr>
                <w:t>本公司董事会、监事会及董事、监事、高级管理人员保证</w:t>
              </w:r>
              <w:r w:rsidR="00200151" w:rsidRPr="00E04FAA">
                <w:rPr>
                  <w:rFonts w:ascii="Times New Roman" w:hAnsi="宋体" w:cs="宋体" w:hint="eastAsia"/>
                  <w:bCs w:val="0"/>
                </w:rPr>
                <w:t>半</w:t>
              </w:r>
              <w:r w:rsidR="00200151" w:rsidRPr="00E04FAA">
                <w:rPr>
                  <w:rFonts w:ascii="Times New Roman" w:hAnsi="宋体" w:cs="宋体"/>
                  <w:bCs w:val="0"/>
                </w:rPr>
                <w:t>年度报告内容的真实、准确、完整，不存在虚假记载、误导性陈述或重大遗漏，并承担个别和连带的法律责任。</w:t>
              </w:r>
            </w:sdtContent>
          </w:sdt>
        </w:p>
      </w:sdtContent>
    </w:sdt>
    <w:p w:rsidR="00883153" w:rsidRPr="00E04FAA" w:rsidRDefault="00883153"/>
    <w:sdt>
      <w:sdtPr>
        <w:rPr>
          <w:rFonts w:ascii="Calibri" w:hAnsi="Calibri" w:cs="宋体" w:hint="eastAsia"/>
          <w:b w:val="0"/>
          <w:bCs w:val="0"/>
          <w:kern w:val="0"/>
          <w:sz w:val="24"/>
          <w:szCs w:val="22"/>
        </w:rPr>
        <w:alias w:val="选项模块:公司全体董事出席董事会会议。"/>
        <w:tag w:val="_GBC_1b1325bf1ae840869be71054a10ad268"/>
        <w:id w:val="-2010895501"/>
        <w:lock w:val="sdtLocked"/>
        <w:placeholder>
          <w:docPart w:val="GBC22222222222222222222222222222"/>
        </w:placeholder>
      </w:sdtPr>
      <w:sdtEndPr>
        <w:rPr>
          <w:rFonts w:ascii="Arial" w:hAnsi="Arial" w:cs="Times New Roman" w:hint="default"/>
          <w:b/>
          <w:bCs/>
          <w:kern w:val="2"/>
          <w:sz w:val="21"/>
          <w:szCs w:val="21"/>
        </w:rPr>
      </w:sdtEndPr>
      <w:sdtContent>
        <w:p w:rsidR="00883153" w:rsidRPr="00E04FAA" w:rsidRDefault="00200151" w:rsidP="00FC3870">
          <w:pPr>
            <w:pStyle w:val="2"/>
            <w:numPr>
              <w:ilvl w:val="0"/>
              <w:numId w:val="6"/>
            </w:numPr>
            <w:tabs>
              <w:tab w:val="left" w:pos="448"/>
            </w:tabs>
            <w:spacing w:before="0" w:after="0" w:line="360" w:lineRule="auto"/>
            <w:ind w:left="420" w:hangingChars="175"/>
          </w:pPr>
          <w:r w:rsidRPr="00E04FAA">
            <w:rPr>
              <w:rFonts w:hint="eastAsia"/>
            </w:rPr>
            <w:t>公司</w:t>
          </w:r>
          <w:sdt>
            <w:sdtPr>
              <w:rPr>
                <w:rFonts w:hint="eastAsia"/>
              </w:rPr>
              <w:tag w:val="_GBC_2e0ee33ebae04a83b92e8b1aa6754169"/>
              <w:id w:val="-150598717"/>
              <w:lock w:val="sdtLocked"/>
              <w:placeholder>
                <w:docPart w:val="GBC22222222222222222222222222222"/>
              </w:placeholder>
            </w:sdtPr>
            <w:sdtContent>
              <w:r w:rsidRPr="00E04FAA">
                <w:rPr>
                  <w:rFonts w:hint="eastAsia"/>
                </w:rPr>
                <w:t>全体董事出席</w:t>
              </w:r>
            </w:sdtContent>
          </w:sdt>
          <w:r w:rsidRPr="00E04FAA">
            <w:rPr>
              <w:rFonts w:hint="eastAsia"/>
            </w:rPr>
            <w:t>董事会会议。</w:t>
          </w:r>
        </w:p>
        <w:p w:rsidR="00E9207C" w:rsidRPr="00E04FAA" w:rsidRDefault="000D0A99" w:rsidP="000F237F">
          <w:pPr>
            <w:pStyle w:val="2"/>
            <w:tabs>
              <w:tab w:val="left" w:pos="490"/>
            </w:tabs>
            <w:spacing w:before="0" w:after="0" w:line="360" w:lineRule="auto"/>
            <w:ind w:left="369"/>
          </w:pPr>
        </w:p>
      </w:sdtContent>
    </w:sdt>
    <w:sdt>
      <w:sdtPr>
        <w:rPr>
          <w:rFonts w:ascii="Calibri" w:hAnsi="Calibri" w:cs="宋体" w:hint="eastAsia"/>
          <w:b w:val="0"/>
          <w:bCs w:val="0"/>
          <w:kern w:val="0"/>
          <w:sz w:val="24"/>
          <w:szCs w:val="24"/>
        </w:rPr>
        <w:alias w:val="选项模块:本年度报告未经审计。"/>
        <w:tag w:val="_GBC_07370c6ee32a4bea8271133440d087fd"/>
        <w:id w:val="-1750257332"/>
        <w:lock w:val="sdtLocked"/>
        <w:placeholder>
          <w:docPart w:val="GBC22222222222222222222222222222"/>
        </w:placeholder>
      </w:sdtPr>
      <w:sdtEndPr>
        <w:rPr>
          <w:rFonts w:ascii="宋体" w:hAnsi="宋体" w:hint="default"/>
          <w:sz w:val="21"/>
        </w:rPr>
      </w:sdtEndPr>
      <w:sdtContent>
        <w:p w:rsidR="00883153" w:rsidRPr="00E04FAA" w:rsidRDefault="00200151" w:rsidP="00FC3870">
          <w:pPr>
            <w:pStyle w:val="2"/>
            <w:numPr>
              <w:ilvl w:val="0"/>
              <w:numId w:val="6"/>
            </w:numPr>
            <w:tabs>
              <w:tab w:val="left" w:pos="490"/>
            </w:tabs>
            <w:spacing w:before="0" w:after="0" w:line="360" w:lineRule="auto"/>
            <w:ind w:left="420" w:hangingChars="175"/>
          </w:pPr>
          <w:r w:rsidRPr="00E04FAA">
            <w:rPr>
              <w:rFonts w:hint="eastAsia"/>
            </w:rPr>
            <w:t>本半年度报告</w:t>
          </w:r>
          <w:sdt>
            <w:sdtPr>
              <w:rPr>
                <w:rFonts w:hint="eastAsia"/>
              </w:rPr>
              <w:tag w:val="_GBC_be15b7a71d95430e82193d4cab461623"/>
              <w:id w:val="1031846644"/>
              <w:lock w:val="sdtLocked"/>
              <w:placeholder>
                <w:docPart w:val="GBC22222222222222222222222222222"/>
              </w:placeholder>
            </w:sdtPr>
            <w:sdtContent>
              <w:r w:rsidRPr="00E04FAA">
                <w:rPr>
                  <w:rFonts w:hint="eastAsia"/>
                </w:rPr>
                <w:t>未经审计</w:t>
              </w:r>
            </w:sdtContent>
          </w:sdt>
          <w:r w:rsidRPr="00E04FAA">
            <w:rPr>
              <w:rFonts w:hint="eastAsia"/>
            </w:rPr>
            <w:t>。</w:t>
          </w:r>
        </w:p>
        <w:p w:rsidR="00883153" w:rsidRPr="00E04FAA" w:rsidRDefault="000D0A99">
          <w:pPr>
            <w:rPr>
              <w:szCs w:val="21"/>
            </w:rPr>
          </w:pPr>
        </w:p>
      </w:sdtContent>
    </w:sdt>
    <w:sdt>
      <w:sdtPr>
        <w:rPr>
          <w:rFonts w:ascii="宋体" w:hAnsi="宋体" w:hint="eastAsia"/>
          <w:b w:val="0"/>
        </w:rPr>
        <w:alias w:val="模块:公司负责人等声明"/>
        <w:tag w:val="_GBC_04b137e7f87b43b8812b2c33bd605e04"/>
        <w:id w:val="1396473750"/>
        <w:lock w:val="sdtLocked"/>
        <w:placeholder>
          <w:docPart w:val="GBC22222222222222222222222222222"/>
        </w:placeholder>
      </w:sdtPr>
      <w:sdtEndPr>
        <w:rPr>
          <w:b/>
        </w:rPr>
      </w:sdtEndPr>
      <w:sdtContent>
        <w:p w:rsidR="00883153" w:rsidRPr="00E04FAA" w:rsidRDefault="00200151" w:rsidP="00FC3870">
          <w:pPr>
            <w:pStyle w:val="2"/>
            <w:numPr>
              <w:ilvl w:val="0"/>
              <w:numId w:val="6"/>
            </w:numPr>
            <w:tabs>
              <w:tab w:val="left" w:pos="434"/>
            </w:tabs>
            <w:spacing w:before="0" w:after="0" w:line="360" w:lineRule="auto"/>
            <w:ind w:left="368" w:hangingChars="175" w:hanging="368"/>
            <w:rPr>
              <w:rFonts w:ascii="宋体" w:hAnsi="宋体"/>
            </w:rPr>
          </w:pPr>
          <w:r w:rsidRPr="00E04FAA">
            <w:rPr>
              <w:rFonts w:ascii="宋体" w:hAnsi="宋体" w:hint="eastAsia"/>
            </w:rPr>
            <w:t>公司负责人</w:t>
          </w:r>
          <w:sdt>
            <w:sdtPr>
              <w:rPr>
                <w:rFonts w:ascii="宋体" w:hAnsi="宋体"/>
              </w:rPr>
              <w:alias w:val="公司负责人姓名"/>
              <w:tag w:val="_GBC_ee6b72f666bb497bbe8fc037096654d2"/>
              <w:id w:val="1983879881"/>
              <w:lock w:val="sdtLocked"/>
              <w:placeholder>
                <w:docPart w:val="GBC22222222222222222222222222222"/>
              </w:placeholder>
              <w:dataBinding w:prefixMappings="xmlns:clcid-mr='clcid-mr'" w:xpath="/*/clcid-mr:GongSiFuZeRenXingMing[not(@periodRef)]" w:storeItemID="{89EBAB94-44A0-46A2-B712-30D997D04A6D}"/>
              <w:text/>
            </w:sdtPr>
            <w:sdtContent>
              <w:r w:rsidR="00D4493A" w:rsidRPr="00E04FAA">
                <w:rPr>
                  <w:rFonts w:ascii="宋体" w:hAnsi="宋体" w:hint="eastAsia"/>
                </w:rPr>
                <w:t>王文京</w:t>
              </w:r>
            </w:sdtContent>
          </w:sdt>
          <w:r w:rsidRPr="00E04FAA">
            <w:rPr>
              <w:rFonts w:ascii="宋体" w:hAnsi="宋体" w:hint="eastAsia"/>
            </w:rPr>
            <w:t>、主管会计工作负责人</w:t>
          </w:r>
          <w:sdt>
            <w:sdtPr>
              <w:rPr>
                <w:rFonts w:ascii="宋体" w:hAnsi="宋体"/>
              </w:rPr>
              <w:alias w:val="主管会计工作负责人姓名"/>
              <w:tag w:val="_GBC_51ed55c6ff134dadaa6756998c964cdf"/>
              <w:id w:val="2133826011"/>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D4493A" w:rsidRPr="00E04FAA">
                <w:rPr>
                  <w:rFonts w:ascii="宋体" w:hAnsi="宋体" w:hint="eastAsia"/>
                </w:rPr>
                <w:t>章培林</w:t>
              </w:r>
            </w:sdtContent>
          </w:sdt>
          <w:r w:rsidRPr="00E04FAA">
            <w:rPr>
              <w:rFonts w:ascii="宋体" w:hAnsi="宋体" w:hint="eastAsia"/>
            </w:rPr>
            <w:t>及会计机构负责人（会计主管人员）</w:t>
          </w:r>
          <w:sdt>
            <w:sdtPr>
              <w:rPr>
                <w:rFonts w:ascii="宋体" w:hAnsi="宋体"/>
              </w:rPr>
              <w:alias w:val="会计机构负责人姓名"/>
              <w:tag w:val="_GBC_aa7d9e44d6e64b9abdcdefb4a3968427"/>
              <w:id w:val="-813480311"/>
              <w:lock w:val="sdtLocked"/>
              <w:placeholder>
                <w:docPart w:val="GBC22222222222222222222222222222"/>
              </w:placeholder>
              <w:dataBinding w:prefixMappings="xmlns:clcid-mr='clcid-mr'" w:xpath="/*/clcid-mr:KuaiJiJiGouFuZeRenXingMing[not(@periodRef)]" w:storeItemID="{89EBAB94-44A0-46A2-B712-30D997D04A6D}"/>
              <w:text/>
            </w:sdtPr>
            <w:sdtContent>
              <w:r w:rsidR="00D4493A" w:rsidRPr="00E04FAA">
                <w:rPr>
                  <w:rFonts w:ascii="宋体" w:hAnsi="宋体" w:hint="eastAsia"/>
                </w:rPr>
                <w:t>孙淑嫔</w:t>
              </w:r>
            </w:sdtContent>
          </w:sdt>
          <w:r w:rsidRPr="00E04FAA">
            <w:rPr>
              <w:rFonts w:ascii="宋体" w:hAnsi="宋体" w:hint="eastAsia"/>
            </w:rPr>
            <w:t>声明：保证半年度报告中财务报告的真实、准确、完整。</w:t>
          </w:r>
        </w:p>
      </w:sdtContent>
    </w:sdt>
    <w:p w:rsidR="00883153" w:rsidRPr="00E04FAA" w:rsidRDefault="00883153"/>
    <w:sdt>
      <w:sdtPr>
        <w:rPr>
          <w:rFonts w:ascii="Calibri" w:hAnsi="Calibri" w:cs="宋体"/>
          <w:b w:val="0"/>
          <w:bCs w:val="0"/>
          <w:kern w:val="0"/>
          <w:sz w:val="24"/>
          <w:szCs w:val="24"/>
        </w:rPr>
        <w:alias w:val="模块:经董事会审议的报告期利润分配预案或公积金转增股本预案"/>
        <w:tag w:val="_GBC_21c095fa67114a208ee8411405e3a22a"/>
        <w:id w:val="886848661"/>
        <w:lock w:val="sdtLocked"/>
        <w:placeholder>
          <w:docPart w:val="GBC22222222222222222222222222222"/>
        </w:placeholder>
      </w:sdtPr>
      <w:sdtEndPr>
        <w:rPr>
          <w:rFonts w:ascii="宋体" w:hAnsi="宋体" w:hint="eastAsia"/>
          <w:sz w:val="21"/>
          <w:shd w:val="pct15" w:color="auto" w:fill="FFFFFF"/>
        </w:rPr>
      </w:sdtEndPr>
      <w:sdtContent>
        <w:p w:rsidR="00883153" w:rsidRPr="00E04FAA" w:rsidRDefault="00200151" w:rsidP="00FC3870">
          <w:pPr>
            <w:pStyle w:val="2"/>
            <w:numPr>
              <w:ilvl w:val="0"/>
              <w:numId w:val="6"/>
            </w:numPr>
            <w:tabs>
              <w:tab w:val="left" w:pos="490"/>
            </w:tabs>
            <w:spacing w:before="0" w:after="0" w:line="360" w:lineRule="auto"/>
            <w:ind w:left="420" w:hangingChars="175"/>
            <w:rPr>
              <w:rFonts w:ascii="宋体" w:hAnsi="宋体"/>
              <w:sz w:val="24"/>
              <w:szCs w:val="24"/>
            </w:rPr>
          </w:pPr>
          <w:r w:rsidRPr="00E04FAA">
            <w:t>经董事会审议的报告期利润分配预案或公积金转增股本预案</w:t>
          </w:r>
        </w:p>
        <w:sdt>
          <w:sdtPr>
            <w:rPr>
              <w:rFonts w:hint="eastAsia"/>
              <w:szCs w:val="21"/>
            </w:rPr>
            <w:alias w:val="经董事会审议的报告期利润分配预案或公积金转增股本预案"/>
            <w:tag w:val="_GBC_7676626d447143468bebcc8d267ec746"/>
            <w:id w:val="-281498095"/>
            <w:lock w:val="sdtLocked"/>
            <w:placeholder>
              <w:docPart w:val="GBC22222222222222222222222222222"/>
            </w:placeholder>
          </w:sdtPr>
          <w:sdtEndPr>
            <w:rPr>
              <w:shd w:val="pct15" w:color="auto" w:fill="FFFFFF"/>
            </w:rPr>
          </w:sdtEndPr>
          <w:sdtContent>
            <w:p w:rsidR="00883153" w:rsidRPr="00E04FAA" w:rsidRDefault="00615875">
              <w:pPr>
                <w:kinsoku w:val="0"/>
                <w:overflowPunct w:val="0"/>
                <w:autoSpaceDE w:val="0"/>
                <w:autoSpaceDN w:val="0"/>
                <w:adjustRightInd w:val="0"/>
                <w:snapToGrid w:val="0"/>
                <w:spacing w:line="360" w:lineRule="exact"/>
                <w:rPr>
                  <w:szCs w:val="21"/>
                  <w:shd w:val="pct15" w:color="auto" w:fill="FFFFFF"/>
                </w:rPr>
              </w:pPr>
              <w:r w:rsidRPr="00E04FAA">
                <w:rPr>
                  <w:rFonts w:hint="eastAsia"/>
                  <w:szCs w:val="21"/>
                </w:rPr>
                <w:t>无</w:t>
              </w:r>
            </w:p>
          </w:sdtContent>
        </w:sdt>
      </w:sdtContent>
    </w:sdt>
    <w:p w:rsidR="00883153" w:rsidRPr="00E04FAA" w:rsidRDefault="00883153">
      <w:pPr>
        <w:kinsoku w:val="0"/>
        <w:overflowPunct w:val="0"/>
        <w:autoSpaceDE w:val="0"/>
        <w:autoSpaceDN w:val="0"/>
        <w:adjustRightInd w:val="0"/>
        <w:snapToGrid w:val="0"/>
        <w:spacing w:line="360" w:lineRule="exact"/>
        <w:rPr>
          <w:szCs w:val="21"/>
          <w:shd w:val="pct15" w:color="auto" w:fill="FFFFFF"/>
        </w:rPr>
      </w:pPr>
    </w:p>
    <w:sdt>
      <w:sdtPr>
        <w:rPr>
          <w:rFonts w:ascii="Calibri" w:hAnsi="Calibri" w:cs="宋体"/>
          <w:b w:val="0"/>
          <w:bCs w:val="0"/>
          <w:kern w:val="0"/>
          <w:sz w:val="24"/>
          <w:szCs w:val="24"/>
        </w:rPr>
        <w:alias w:val="模块:前瞻性陈述的风险声明"/>
        <w:tag w:val="_GBC_cc24ced211694e75b40a9765d2616e01"/>
        <w:id w:val="1054672273"/>
        <w:lock w:val="sdtLocked"/>
        <w:placeholder>
          <w:docPart w:val="GBC22222222222222222222222222222"/>
        </w:placeholder>
      </w:sdtPr>
      <w:sdtEndPr>
        <w:rPr>
          <w:rFonts w:ascii="宋体" w:hAnsi="宋体" w:hint="eastAsia"/>
          <w:sz w:val="21"/>
          <w:shd w:val="pct15" w:color="auto" w:fill="FFFFFF"/>
        </w:rPr>
      </w:sdtEndPr>
      <w:sdtContent>
        <w:p w:rsidR="00883153" w:rsidRPr="00E04FAA" w:rsidRDefault="00200151" w:rsidP="00FC3870">
          <w:pPr>
            <w:pStyle w:val="2"/>
            <w:numPr>
              <w:ilvl w:val="0"/>
              <w:numId w:val="6"/>
            </w:numPr>
            <w:tabs>
              <w:tab w:val="left" w:pos="504"/>
            </w:tabs>
            <w:spacing w:before="0" w:after="0" w:line="360" w:lineRule="auto"/>
            <w:ind w:left="420" w:hangingChars="175"/>
          </w:pPr>
          <w:r w:rsidRPr="00E04FAA">
            <w:t>前瞻性陈述的风险声明</w:t>
          </w:r>
        </w:p>
        <w:sdt>
          <w:sdtPr>
            <w:alias w:val="是否适用：前瞻性陈述的风险声明[双击切换]"/>
            <w:tag w:val="_GBC_6a28949332914149bda7cc0225d614b7"/>
            <w:id w:val="1993447304"/>
            <w:lock w:val="sdtContentLocked"/>
            <w:placeholder>
              <w:docPart w:val="GBC22222222222222222222222222222"/>
            </w:placeholder>
          </w:sdtPr>
          <w:sdtContent>
            <w:p w:rsidR="00883153" w:rsidRPr="00E04FAA" w:rsidRDefault="00200151">
              <w:r w:rsidRPr="00E04FAA">
                <w:fldChar w:fldCharType="begin"/>
              </w:r>
              <w:r w:rsidR="00D4493A" w:rsidRPr="00E04FAA">
                <w:instrText xml:space="preserve"> MACROBUTTON  SnrToggleCheckbox √适用 </w:instrText>
              </w:r>
              <w:r w:rsidRPr="00E04FAA">
                <w:fldChar w:fldCharType="end"/>
              </w:r>
              <w:r w:rsidRPr="00E04FAA">
                <w:fldChar w:fldCharType="begin"/>
              </w:r>
              <w:r w:rsidR="00D4493A" w:rsidRPr="00E04FAA">
                <w:instrText xml:space="preserve"> MACROBUTTON  SnrToggleCheckbox □不适用 </w:instrText>
              </w:r>
              <w:r w:rsidRPr="00E04FAA">
                <w:fldChar w:fldCharType="end"/>
              </w:r>
            </w:p>
          </w:sdtContent>
        </w:sdt>
        <w:sdt>
          <w:sdtPr>
            <w:rPr>
              <w:rFonts w:hint="eastAsia"/>
              <w:szCs w:val="21"/>
            </w:rPr>
            <w:alias w:val="公司对报告涉及未来计划等前瞻性陈述的声明"/>
            <w:tag w:val="_GBC_6511b5aecc604062ad93b5fbd25fd19b"/>
            <w:id w:val="-1572336729"/>
            <w:lock w:val="sdtLocked"/>
            <w:placeholder>
              <w:docPart w:val="GBC22222222222222222222222222222"/>
            </w:placeholder>
          </w:sdtPr>
          <w:sdtEndPr>
            <w:rPr>
              <w:shd w:val="pct15" w:color="auto" w:fill="FFFFFF"/>
            </w:rPr>
          </w:sdtEndPr>
          <w:sdtContent>
            <w:p w:rsidR="00883153" w:rsidRPr="00E04FAA" w:rsidRDefault="00D4493A">
              <w:pPr>
                <w:kinsoku w:val="0"/>
                <w:overflowPunct w:val="0"/>
                <w:autoSpaceDE w:val="0"/>
                <w:autoSpaceDN w:val="0"/>
                <w:adjustRightInd w:val="0"/>
                <w:snapToGrid w:val="0"/>
                <w:spacing w:line="360" w:lineRule="exact"/>
                <w:rPr>
                  <w:szCs w:val="21"/>
                  <w:shd w:val="pct15" w:color="auto" w:fill="FFFFFF"/>
                </w:rPr>
              </w:pPr>
              <w:r w:rsidRPr="00E04FAA">
                <w:rPr>
                  <w:rFonts w:hint="eastAsia"/>
                  <w:szCs w:val="21"/>
                </w:rPr>
                <w:t>报告中所涉及的未来计划、发展战略等前瞻性描述不构成公司对投资者的实质承诺，敬请投资者注意投资风险。</w:t>
              </w:r>
            </w:p>
          </w:sdtContent>
        </w:sdt>
      </w:sdtContent>
    </w:sdt>
    <w:p w:rsidR="00883153" w:rsidRPr="00E04FAA" w:rsidRDefault="00883153">
      <w:pPr>
        <w:kinsoku w:val="0"/>
        <w:overflowPunct w:val="0"/>
        <w:autoSpaceDE w:val="0"/>
        <w:autoSpaceDN w:val="0"/>
        <w:adjustRightInd w:val="0"/>
        <w:snapToGrid w:val="0"/>
        <w:spacing w:line="360" w:lineRule="exact"/>
        <w:rPr>
          <w:szCs w:val="21"/>
          <w:shd w:val="pct15" w:color="auto" w:fill="FFFFFF"/>
        </w:rPr>
      </w:pPr>
    </w:p>
    <w:sdt>
      <w:sdtPr>
        <w:rPr>
          <w:rFonts w:ascii="Calibri" w:hAnsi="Calibri" w:cs="宋体" w:hint="eastAsia"/>
          <w:b w:val="0"/>
          <w:bCs w:val="0"/>
          <w:kern w:val="0"/>
          <w:sz w:val="24"/>
          <w:szCs w:val="24"/>
          <w:shd w:val="pct15" w:color="auto" w:fill="FFFFFF"/>
        </w:rPr>
        <w:alias w:val="模块:是否存在被控股股东及其关联方非经营性占用资金情况"/>
        <w:tag w:val="_GBC_70f733efbc484640a48089ddc49bf2b9"/>
        <w:id w:val="1933549979"/>
        <w:lock w:val="sdtLocked"/>
        <w:placeholder>
          <w:docPart w:val="GBC22222222222222222222222222222"/>
        </w:placeholder>
      </w:sdtPr>
      <w:sdtEndPr>
        <w:rPr>
          <w:rFonts w:ascii="宋体" w:hAnsi="宋体"/>
          <w:sz w:val="21"/>
          <w:shd w:val="clear" w:color="auto" w:fill="auto"/>
        </w:rPr>
      </w:sdtEndPr>
      <w:sdtContent>
        <w:p w:rsidR="00883153" w:rsidRPr="00E04FAA" w:rsidRDefault="00200151" w:rsidP="00FC3870">
          <w:pPr>
            <w:pStyle w:val="2"/>
            <w:numPr>
              <w:ilvl w:val="0"/>
              <w:numId w:val="6"/>
            </w:numPr>
            <w:tabs>
              <w:tab w:val="left" w:pos="434"/>
              <w:tab w:val="left" w:pos="644"/>
            </w:tabs>
            <w:spacing w:before="0" w:after="0" w:line="360" w:lineRule="auto"/>
            <w:ind w:left="420" w:hangingChars="175"/>
          </w:pPr>
          <w:r w:rsidRPr="00E04FAA">
            <w:t>是否存在被控股股东及其关联方非经营性占用资金情况</w:t>
          </w:r>
        </w:p>
        <w:sdt>
          <w:sdtPr>
            <w:rPr>
              <w:rFonts w:hint="eastAsia"/>
              <w:bCs/>
              <w:szCs w:val="21"/>
            </w:rPr>
            <w:alias w:val="本公司是否存在大股东占用资金情况"/>
            <w:tag w:val="_GBC_a32400ff33ee44d89632e0d79a7f2c42"/>
            <w:id w:val="-532500025"/>
            <w:lock w:val="sdtLocked"/>
            <w:placeholder>
              <w:docPart w:val="GBC22222222222222222222222222222"/>
            </w:placeholder>
            <w:comboBox>
              <w:listItem w:displayText="是" w:value="true"/>
              <w:listItem w:displayText="否" w:value="false"/>
            </w:comboBox>
          </w:sdtPr>
          <w:sdtContent>
            <w:p w:rsidR="00883153" w:rsidRPr="00E04FAA" w:rsidRDefault="00D4493A">
              <w:pPr>
                <w:kinsoku w:val="0"/>
                <w:overflowPunct w:val="0"/>
                <w:autoSpaceDE w:val="0"/>
                <w:autoSpaceDN w:val="0"/>
                <w:adjustRightInd w:val="0"/>
                <w:snapToGrid w:val="0"/>
                <w:spacing w:line="360" w:lineRule="exact"/>
                <w:rPr>
                  <w:rFonts w:ascii="Arial" w:hAnsi="Arial"/>
                  <w:bCs/>
                  <w:szCs w:val="21"/>
                </w:rPr>
              </w:pPr>
              <w:r w:rsidRPr="00E04FAA">
                <w:rPr>
                  <w:rFonts w:hint="eastAsia"/>
                  <w:bCs/>
                  <w:szCs w:val="21"/>
                </w:rPr>
                <w:t>否</w:t>
              </w:r>
            </w:p>
          </w:sdtContent>
        </w:sdt>
      </w:sdtContent>
    </w:sdt>
    <w:p w:rsidR="00883153" w:rsidRPr="00E04FAA" w:rsidRDefault="00883153">
      <w:pPr>
        <w:kinsoku w:val="0"/>
        <w:overflowPunct w:val="0"/>
        <w:autoSpaceDE w:val="0"/>
        <w:autoSpaceDN w:val="0"/>
        <w:adjustRightInd w:val="0"/>
        <w:snapToGrid w:val="0"/>
        <w:spacing w:line="360" w:lineRule="exact"/>
        <w:rPr>
          <w:szCs w:val="21"/>
          <w:shd w:val="pct15" w:color="auto" w:fill="FFFFFF"/>
        </w:rPr>
      </w:pPr>
    </w:p>
    <w:sdt>
      <w:sdtPr>
        <w:rPr>
          <w:rFonts w:ascii="Calibri" w:hAnsi="Calibri" w:cs="宋体"/>
          <w:b w:val="0"/>
          <w:bCs w:val="0"/>
          <w:kern w:val="0"/>
          <w:sz w:val="24"/>
          <w:szCs w:val="24"/>
        </w:rPr>
        <w:alias w:val="模块:是否存在违反规定决策程序对外提供担保的情况"/>
        <w:tag w:val="_GBC_0b5725dfa5c04f85874bece4083eddb4"/>
        <w:id w:val="507726290"/>
        <w:lock w:val="sdtLocked"/>
        <w:placeholder>
          <w:docPart w:val="GBC22222222222222222222222222222"/>
        </w:placeholder>
      </w:sdtPr>
      <w:sdtEndPr>
        <w:rPr>
          <w:rFonts w:ascii="宋体" w:hAnsi="宋体" w:hint="eastAsia"/>
          <w:sz w:val="21"/>
        </w:rPr>
      </w:sdtEndPr>
      <w:sdtContent>
        <w:p w:rsidR="00883153" w:rsidRPr="00E04FAA" w:rsidRDefault="00200151" w:rsidP="00FC3870">
          <w:pPr>
            <w:pStyle w:val="2"/>
            <w:numPr>
              <w:ilvl w:val="0"/>
              <w:numId w:val="6"/>
            </w:numPr>
            <w:tabs>
              <w:tab w:val="left" w:pos="644"/>
            </w:tabs>
            <w:spacing w:before="0" w:after="0" w:line="360" w:lineRule="auto"/>
            <w:ind w:left="420" w:hangingChars="175"/>
          </w:pPr>
          <w:r w:rsidRPr="00E04FAA">
            <w:t>是否存在违反规定决策程序对外提供担保的情况</w:t>
          </w:r>
        </w:p>
        <w:sdt>
          <w:sdtPr>
            <w:rPr>
              <w:rFonts w:hint="eastAsia"/>
              <w:szCs w:val="21"/>
            </w:rPr>
            <w:alias w:val="本公司是否存在违反规定决策程序对外提供担保的情况"/>
            <w:tag w:val="_GBC_3bc3f02bd342494aa2858bb9a39d8458"/>
            <w:id w:val="555125879"/>
            <w:lock w:val="sdtLocked"/>
            <w:placeholder>
              <w:docPart w:val="GBC22222222222222222222222222222"/>
            </w:placeholder>
            <w:comboBox>
              <w:listItem w:displayText="是" w:value="true"/>
              <w:listItem w:displayText="否" w:value="false"/>
            </w:comboBox>
          </w:sdtPr>
          <w:sdtContent>
            <w:p w:rsidR="00883153" w:rsidRPr="00E04FAA" w:rsidRDefault="00D4493A">
              <w:pPr>
                <w:rPr>
                  <w:szCs w:val="21"/>
                </w:rPr>
              </w:pPr>
              <w:r w:rsidRPr="00E04FAA">
                <w:rPr>
                  <w:rFonts w:hint="eastAsia"/>
                  <w:szCs w:val="21"/>
                </w:rPr>
                <w:t>否</w:t>
              </w:r>
            </w:p>
          </w:sdtContent>
        </w:sdt>
      </w:sdtContent>
    </w:sdt>
    <w:p w:rsidR="00883153" w:rsidRPr="00E04FAA" w:rsidRDefault="00883153">
      <w:pPr>
        <w:rPr>
          <w:szCs w:val="21"/>
        </w:rPr>
      </w:pPr>
    </w:p>
    <w:sdt>
      <w:sdtPr>
        <w:rPr>
          <w:rFonts w:ascii="宋体" w:hAnsi="宋体" w:cs="宋体"/>
          <w:b w:val="0"/>
          <w:bCs w:val="0"/>
          <w:kern w:val="0"/>
          <w:szCs w:val="24"/>
        </w:rPr>
        <w:alias w:val="模块:重大风险提示"/>
        <w:tag w:val="_SEC_765dd5e867e04417bfcc7ba07f902949"/>
        <w:id w:val="-1100938886"/>
        <w:lock w:val="sdtLocked"/>
        <w:placeholder>
          <w:docPart w:val="GBC22222222222222222222222222222"/>
        </w:placeholder>
      </w:sdtPr>
      <w:sdtEndPr>
        <w:rPr>
          <w:rFonts w:hint="eastAsia"/>
        </w:rPr>
      </w:sdtEndPr>
      <w:sdtContent>
        <w:p w:rsidR="00883153" w:rsidRPr="00E04FAA" w:rsidRDefault="00200151" w:rsidP="00FC3870">
          <w:pPr>
            <w:pStyle w:val="2"/>
            <w:numPr>
              <w:ilvl w:val="0"/>
              <w:numId w:val="6"/>
            </w:numPr>
            <w:tabs>
              <w:tab w:val="left" w:pos="644"/>
            </w:tabs>
            <w:spacing w:before="0" w:after="0" w:line="360" w:lineRule="auto"/>
            <w:ind w:left="368" w:hangingChars="175" w:hanging="368"/>
          </w:pPr>
          <w:r w:rsidRPr="00E04FAA">
            <w:t>重大风险提示</w:t>
          </w:r>
        </w:p>
        <w:sdt>
          <w:sdtPr>
            <w:rPr>
              <w:rFonts w:hint="eastAsia"/>
              <w:szCs w:val="21"/>
            </w:rPr>
            <w:alias w:val="重大风险提示"/>
            <w:tag w:val="_GBC_d0220f8592e64dd1b898937e183da1e3"/>
            <w:id w:val="1626651962"/>
            <w:lock w:val="sdtLocked"/>
            <w:placeholder>
              <w:docPart w:val="GBC22222222222222222222222222222"/>
            </w:placeholder>
          </w:sdtPr>
          <w:sdtContent>
            <w:p w:rsidR="00883153" w:rsidRPr="00E04FAA" w:rsidRDefault="00615875" w:rsidP="00E9207C">
              <w:pPr>
                <w:rPr>
                  <w:szCs w:val="21"/>
                </w:rPr>
              </w:pPr>
              <w:r w:rsidRPr="00E04FAA">
                <w:rPr>
                  <w:rFonts w:hint="eastAsia"/>
                </w:rPr>
                <w:t>公司</w:t>
              </w:r>
              <w:r w:rsidR="00F608B2" w:rsidRPr="00E04FAA">
                <w:rPr>
                  <w:rFonts w:hint="eastAsia"/>
                </w:rPr>
                <w:t>可能面对</w:t>
              </w:r>
              <w:r w:rsidRPr="00E04FAA">
                <w:rPr>
                  <w:rFonts w:hint="eastAsia"/>
                </w:rPr>
                <w:t>的风险</w:t>
              </w:r>
              <w:r w:rsidR="00F608B2" w:rsidRPr="00E04FAA">
                <w:rPr>
                  <w:rFonts w:hint="eastAsia"/>
                </w:rPr>
                <w:t>及应对</w:t>
              </w:r>
              <w:r w:rsidRPr="00E04FAA">
                <w:rPr>
                  <w:rFonts w:hint="eastAsia"/>
                </w:rPr>
                <w:t>措施已在本报告</w:t>
              </w:r>
              <w:r w:rsidR="009F0970" w:rsidRPr="00E04FAA">
                <w:t>的</w:t>
              </w:r>
              <w:r w:rsidR="00E759C9" w:rsidRPr="00E04FAA">
                <w:rPr>
                  <w:rFonts w:hint="eastAsia"/>
                </w:rPr>
                <w:t>第四节</w:t>
              </w:r>
              <w:r w:rsidR="00C31235" w:rsidRPr="00E04FAA">
                <w:rPr>
                  <w:rFonts w:hint="eastAsia"/>
                </w:rPr>
                <w:t>“一、经营情况</w:t>
              </w:r>
              <w:r w:rsidR="009F0970" w:rsidRPr="00E04FAA">
                <w:rPr>
                  <w:rFonts w:hint="eastAsia"/>
                </w:rPr>
                <w:t>的</w:t>
              </w:r>
              <w:r w:rsidR="00C31235" w:rsidRPr="00E04FAA">
                <w:rPr>
                  <w:rFonts w:hint="eastAsia"/>
                </w:rPr>
                <w:t>讨论与分析”</w:t>
              </w:r>
              <w:r w:rsidR="009F0970" w:rsidRPr="00E04FAA">
                <w:t>的</w:t>
              </w:r>
              <w:r w:rsidR="00C31235" w:rsidRPr="00E04FAA">
                <w:rPr>
                  <w:rFonts w:hint="eastAsia"/>
                </w:rPr>
                <w:t>“（</w:t>
              </w:r>
              <w:r w:rsidR="00F608B2" w:rsidRPr="00E04FAA">
                <w:t>四</w:t>
              </w:r>
              <w:r w:rsidR="00C31235" w:rsidRPr="00E04FAA">
                <w:rPr>
                  <w:rFonts w:hint="eastAsia"/>
                </w:rPr>
                <w:t>）</w:t>
              </w:r>
              <w:r w:rsidR="00F608B2" w:rsidRPr="00E04FAA">
                <w:rPr>
                  <w:rFonts w:hint="eastAsia"/>
                </w:rPr>
                <w:t>可能面对的风险及应对措施</w:t>
              </w:r>
              <w:r w:rsidR="00C31235" w:rsidRPr="00E04FAA">
                <w:rPr>
                  <w:rFonts w:hint="eastAsia"/>
                </w:rPr>
                <w:t>”中予以了详细描述，敬请查阅相关内容。</w:t>
              </w:r>
            </w:p>
          </w:sdtContent>
        </w:sdt>
      </w:sdtContent>
    </w:sdt>
    <w:p w:rsidR="00883153" w:rsidRPr="00E04FAA" w:rsidRDefault="00883153">
      <w:pPr>
        <w:rPr>
          <w:szCs w:val="21"/>
        </w:rPr>
      </w:pPr>
    </w:p>
    <w:sdt>
      <w:sdtPr>
        <w:rPr>
          <w:rFonts w:ascii="宋体" w:hAnsi="宋体" w:cs="宋体"/>
          <w:b w:val="0"/>
          <w:bCs w:val="0"/>
          <w:kern w:val="0"/>
          <w:sz w:val="24"/>
          <w:szCs w:val="24"/>
        </w:rPr>
        <w:alias w:val="模块:重要提示的其他情况说明"/>
        <w:tag w:val="_GBC_b8bb35c675b44fbdaf150c1114447d89"/>
        <w:id w:val="458314012"/>
        <w:lock w:val="sdtLocked"/>
        <w:placeholder>
          <w:docPart w:val="GBC22222222222222222222222222222"/>
        </w:placeholder>
      </w:sdtPr>
      <w:sdtEndPr>
        <w:rPr>
          <w:sz w:val="21"/>
        </w:rPr>
      </w:sdtEndPr>
      <w:sdtContent>
        <w:p w:rsidR="00883153" w:rsidRPr="00E04FAA" w:rsidRDefault="00200151" w:rsidP="00FC3870">
          <w:pPr>
            <w:pStyle w:val="2"/>
            <w:numPr>
              <w:ilvl w:val="0"/>
              <w:numId w:val="6"/>
            </w:numPr>
            <w:tabs>
              <w:tab w:val="left" w:pos="588"/>
              <w:tab w:val="left" w:pos="644"/>
              <w:tab w:val="left" w:pos="672"/>
            </w:tabs>
            <w:spacing w:before="0" w:after="0" w:line="360" w:lineRule="auto"/>
            <w:ind w:left="420" w:hangingChars="175"/>
            <w:rPr>
              <w:sz w:val="24"/>
              <w:szCs w:val="24"/>
            </w:rPr>
          </w:pPr>
          <w:r w:rsidRPr="00E04FAA">
            <w:rPr>
              <w:rFonts w:hint="eastAsia"/>
              <w:sz w:val="24"/>
              <w:szCs w:val="24"/>
            </w:rPr>
            <w:t>其他</w:t>
          </w:r>
        </w:p>
        <w:sdt>
          <w:sdtPr>
            <w:alias w:val="是否适用：其他重要提示[双击切换]"/>
            <w:tag w:val="_GBC_3a91363d913942688077b069148debc5"/>
            <w:id w:val="-471136557"/>
            <w:lock w:val="sdtContentLocked"/>
            <w:placeholder>
              <w:docPart w:val="GBC22222222222222222222222222222"/>
            </w:placeholder>
          </w:sdtPr>
          <w:sdtContent>
            <w:p w:rsidR="00883153" w:rsidRPr="00E04FAA" w:rsidRDefault="00200151" w:rsidP="00D4493A">
              <w:pPr>
                <w:rPr>
                  <w:szCs w:val="21"/>
                </w:rPr>
              </w:pPr>
              <w:r w:rsidRPr="00E04FAA">
                <w:fldChar w:fldCharType="begin"/>
              </w:r>
              <w:r w:rsidR="00D4493A" w:rsidRPr="00E04FAA">
                <w:instrText xml:space="preserve"> MACROBUTTON  SnrToggleCheckbox □适用 </w:instrText>
              </w:r>
              <w:r w:rsidRPr="00E04FAA">
                <w:fldChar w:fldCharType="end"/>
              </w:r>
              <w:r w:rsidRPr="00E04FAA">
                <w:fldChar w:fldCharType="begin"/>
              </w:r>
              <w:r w:rsidR="00D4493A" w:rsidRPr="00E04FAA">
                <w:instrText xml:space="preserve"> MACROBUTTON  SnrToggleCheckbox √不适用 </w:instrText>
              </w:r>
              <w:r w:rsidRPr="00E04FAA">
                <w:fldChar w:fldCharType="end"/>
              </w:r>
            </w:p>
          </w:sdtContent>
        </w:sdt>
      </w:sdtContent>
    </w:sdt>
    <w:p w:rsidR="00883153" w:rsidRPr="00E04FAA" w:rsidRDefault="00883153">
      <w:pPr>
        <w:rPr>
          <w:szCs w:val="21"/>
        </w:rPr>
        <w:sectPr w:rsidR="00883153" w:rsidRPr="00E04FAA" w:rsidSect="005B5D50">
          <w:headerReference w:type="default" r:id="rId12"/>
          <w:footerReference w:type="default" r:id="rId13"/>
          <w:pgSz w:w="11906" w:h="16838"/>
          <w:pgMar w:top="1525" w:right="1276" w:bottom="1440" w:left="1797" w:header="855" w:footer="992" w:gutter="0"/>
          <w:cols w:space="425"/>
          <w:docGrid w:linePitch="312"/>
        </w:sectPr>
      </w:pPr>
    </w:p>
    <w:p w:rsidR="00883153" w:rsidRPr="00E04FAA" w:rsidRDefault="00883153">
      <w:pPr>
        <w:rPr>
          <w:szCs w:val="21"/>
        </w:rPr>
      </w:pPr>
    </w:p>
    <w:p w:rsidR="00883153" w:rsidRPr="00E04FAA" w:rsidRDefault="00200151">
      <w:pPr>
        <w:kinsoku w:val="0"/>
        <w:overflowPunct w:val="0"/>
        <w:autoSpaceDE w:val="0"/>
        <w:autoSpaceDN w:val="0"/>
        <w:adjustRightInd w:val="0"/>
        <w:snapToGrid w:val="0"/>
        <w:spacing w:line="360" w:lineRule="exact"/>
        <w:jc w:val="center"/>
        <w:rPr>
          <w:noProof/>
        </w:rPr>
      </w:pPr>
      <w:r w:rsidRPr="00E04FAA">
        <w:rPr>
          <w:rFonts w:hint="eastAsia"/>
          <w:b/>
          <w:sz w:val="32"/>
          <w:szCs w:val="32"/>
        </w:rPr>
        <w:t>目录</w:t>
      </w:r>
      <w:r w:rsidRPr="00E04FAA">
        <w:rPr>
          <w:shd w:val="pct15" w:color="auto" w:fill="FFFFFF"/>
        </w:rPr>
        <w:fldChar w:fldCharType="begin"/>
      </w:r>
      <w:r w:rsidRPr="00E04FAA">
        <w:rPr>
          <w:shd w:val="pct15" w:color="auto" w:fill="FFFFFF"/>
        </w:rPr>
        <w:instrText xml:space="preserve"> TOC \o "1-1" \h \z \u </w:instrText>
      </w:r>
      <w:r w:rsidRPr="00E04FAA">
        <w:rPr>
          <w:shd w:val="pct15" w:color="auto" w:fill="FFFFFF"/>
        </w:rPr>
        <w:fldChar w:fldCharType="separate"/>
      </w:r>
    </w:p>
    <w:p w:rsidR="00883153" w:rsidRPr="00E04FAA" w:rsidRDefault="000D0A99">
      <w:pPr>
        <w:pStyle w:val="TOC1"/>
        <w:tabs>
          <w:tab w:val="left" w:pos="1260"/>
          <w:tab w:val="right" w:leader="dot" w:pos="8823"/>
        </w:tabs>
        <w:spacing w:line="360" w:lineRule="auto"/>
        <w:rPr>
          <w:rFonts w:asciiTheme="minorHAnsi" w:eastAsiaTheme="minorEastAsia" w:hAnsiTheme="minorHAnsi" w:cstheme="minorBidi"/>
          <w:b/>
          <w:noProof/>
          <w:szCs w:val="22"/>
        </w:rPr>
      </w:pPr>
      <w:hyperlink w:anchor="_Toc484510564" w:history="1">
        <w:r w:rsidR="00200151" w:rsidRPr="00E04FAA">
          <w:rPr>
            <w:rStyle w:val="a5"/>
            <w:rFonts w:hint="eastAsia"/>
            <w:b/>
            <w:noProof/>
          </w:rPr>
          <w:t>第一节</w:t>
        </w:r>
        <w:r w:rsidR="00200151" w:rsidRPr="00E04FAA">
          <w:rPr>
            <w:rFonts w:asciiTheme="minorHAnsi" w:eastAsiaTheme="minorEastAsia" w:hAnsiTheme="minorHAnsi" w:cstheme="minorBidi"/>
            <w:b/>
            <w:noProof/>
            <w:szCs w:val="22"/>
          </w:rPr>
          <w:tab/>
        </w:r>
        <w:r w:rsidR="00200151" w:rsidRPr="00E04FAA">
          <w:rPr>
            <w:rStyle w:val="a5"/>
            <w:rFonts w:hint="eastAsia"/>
            <w:b/>
            <w:noProof/>
          </w:rPr>
          <w:t>释义</w:t>
        </w:r>
        <w:r w:rsidR="00200151" w:rsidRPr="00E04FAA">
          <w:rPr>
            <w:b/>
            <w:noProof/>
            <w:webHidden/>
          </w:rPr>
          <w:tab/>
        </w:r>
        <w:r w:rsidR="00200151" w:rsidRPr="00E04FAA">
          <w:rPr>
            <w:b/>
            <w:noProof/>
            <w:webHidden/>
          </w:rPr>
          <w:fldChar w:fldCharType="begin"/>
        </w:r>
        <w:r w:rsidR="00200151" w:rsidRPr="00E04FAA">
          <w:rPr>
            <w:b/>
            <w:noProof/>
            <w:webHidden/>
          </w:rPr>
          <w:instrText xml:space="preserve"> PAGEREF _Toc484510564 \h </w:instrText>
        </w:r>
        <w:r w:rsidR="00200151" w:rsidRPr="00E04FAA">
          <w:rPr>
            <w:b/>
            <w:noProof/>
            <w:webHidden/>
          </w:rPr>
        </w:r>
        <w:r w:rsidR="00200151" w:rsidRPr="00E04FAA">
          <w:rPr>
            <w:b/>
            <w:noProof/>
            <w:webHidden/>
          </w:rPr>
          <w:fldChar w:fldCharType="separate"/>
        </w:r>
        <w:r w:rsidR="00DA0ABF">
          <w:rPr>
            <w:b/>
            <w:noProof/>
            <w:webHidden/>
          </w:rPr>
          <w:t>4</w:t>
        </w:r>
        <w:r w:rsidR="00200151" w:rsidRPr="00E04FAA">
          <w:rPr>
            <w:b/>
            <w:noProof/>
            <w:webHidden/>
          </w:rPr>
          <w:fldChar w:fldCharType="end"/>
        </w:r>
      </w:hyperlink>
    </w:p>
    <w:p w:rsidR="00883153" w:rsidRPr="00E04FAA" w:rsidRDefault="000D0A99">
      <w:pPr>
        <w:pStyle w:val="TOC1"/>
        <w:tabs>
          <w:tab w:val="left" w:pos="1260"/>
          <w:tab w:val="right" w:leader="dot" w:pos="8823"/>
        </w:tabs>
        <w:spacing w:line="360" w:lineRule="auto"/>
        <w:rPr>
          <w:rFonts w:asciiTheme="minorHAnsi" w:eastAsiaTheme="minorEastAsia" w:hAnsiTheme="minorHAnsi" w:cstheme="minorBidi"/>
          <w:b/>
          <w:noProof/>
          <w:szCs w:val="22"/>
        </w:rPr>
      </w:pPr>
      <w:hyperlink w:anchor="_Toc484510565" w:history="1">
        <w:r w:rsidR="00200151" w:rsidRPr="00E04FAA">
          <w:rPr>
            <w:rStyle w:val="a5"/>
            <w:rFonts w:hint="eastAsia"/>
            <w:b/>
            <w:noProof/>
          </w:rPr>
          <w:t>第二节</w:t>
        </w:r>
        <w:r w:rsidR="00200151" w:rsidRPr="00E04FAA">
          <w:rPr>
            <w:rFonts w:asciiTheme="minorHAnsi" w:eastAsiaTheme="minorEastAsia" w:hAnsiTheme="minorHAnsi" w:cstheme="minorBidi"/>
            <w:b/>
            <w:noProof/>
            <w:szCs w:val="22"/>
          </w:rPr>
          <w:tab/>
        </w:r>
        <w:r w:rsidR="00200151" w:rsidRPr="00E04FAA">
          <w:rPr>
            <w:rStyle w:val="a5"/>
            <w:rFonts w:hint="eastAsia"/>
            <w:b/>
            <w:noProof/>
          </w:rPr>
          <w:t>公司简介和主要财务指标</w:t>
        </w:r>
        <w:r w:rsidR="00200151" w:rsidRPr="00E04FAA">
          <w:rPr>
            <w:b/>
            <w:noProof/>
            <w:webHidden/>
          </w:rPr>
          <w:tab/>
        </w:r>
        <w:r w:rsidR="00200151" w:rsidRPr="00E04FAA">
          <w:rPr>
            <w:b/>
            <w:noProof/>
            <w:webHidden/>
          </w:rPr>
          <w:fldChar w:fldCharType="begin"/>
        </w:r>
        <w:r w:rsidR="00200151" w:rsidRPr="00E04FAA">
          <w:rPr>
            <w:b/>
            <w:noProof/>
            <w:webHidden/>
          </w:rPr>
          <w:instrText xml:space="preserve"> PAGEREF _Toc484510565 \h </w:instrText>
        </w:r>
        <w:r w:rsidR="00200151" w:rsidRPr="00E04FAA">
          <w:rPr>
            <w:b/>
            <w:noProof/>
            <w:webHidden/>
          </w:rPr>
        </w:r>
        <w:r w:rsidR="00200151" w:rsidRPr="00E04FAA">
          <w:rPr>
            <w:b/>
            <w:noProof/>
            <w:webHidden/>
          </w:rPr>
          <w:fldChar w:fldCharType="separate"/>
        </w:r>
        <w:r w:rsidR="00DA0ABF">
          <w:rPr>
            <w:b/>
            <w:noProof/>
            <w:webHidden/>
          </w:rPr>
          <w:t>5</w:t>
        </w:r>
        <w:r w:rsidR="00200151" w:rsidRPr="00E04FAA">
          <w:rPr>
            <w:b/>
            <w:noProof/>
            <w:webHidden/>
          </w:rPr>
          <w:fldChar w:fldCharType="end"/>
        </w:r>
      </w:hyperlink>
    </w:p>
    <w:p w:rsidR="00883153" w:rsidRPr="00E04FAA" w:rsidRDefault="000D0A99">
      <w:pPr>
        <w:pStyle w:val="TOC1"/>
        <w:tabs>
          <w:tab w:val="left" w:pos="1260"/>
          <w:tab w:val="right" w:leader="dot" w:pos="8823"/>
        </w:tabs>
        <w:spacing w:line="360" w:lineRule="auto"/>
        <w:rPr>
          <w:rFonts w:asciiTheme="minorHAnsi" w:eastAsiaTheme="minorEastAsia" w:hAnsiTheme="minorHAnsi" w:cstheme="minorBidi"/>
          <w:b/>
          <w:noProof/>
          <w:szCs w:val="22"/>
        </w:rPr>
      </w:pPr>
      <w:hyperlink w:anchor="_Toc484510566" w:history="1">
        <w:r w:rsidR="00200151" w:rsidRPr="00E04FAA">
          <w:rPr>
            <w:rStyle w:val="a5"/>
            <w:rFonts w:hint="eastAsia"/>
            <w:b/>
            <w:noProof/>
          </w:rPr>
          <w:t>第三节</w:t>
        </w:r>
        <w:r w:rsidR="00200151" w:rsidRPr="00E04FAA">
          <w:rPr>
            <w:rFonts w:asciiTheme="minorHAnsi" w:eastAsiaTheme="minorEastAsia" w:hAnsiTheme="minorHAnsi" w:cstheme="minorBidi"/>
            <w:b/>
            <w:noProof/>
            <w:szCs w:val="22"/>
          </w:rPr>
          <w:tab/>
        </w:r>
        <w:r w:rsidR="00200151" w:rsidRPr="00E04FAA">
          <w:rPr>
            <w:rStyle w:val="a5"/>
            <w:rFonts w:hint="eastAsia"/>
            <w:b/>
            <w:noProof/>
          </w:rPr>
          <w:t>公司业务概要</w:t>
        </w:r>
        <w:r w:rsidR="00200151" w:rsidRPr="00E04FAA">
          <w:rPr>
            <w:b/>
            <w:noProof/>
            <w:webHidden/>
          </w:rPr>
          <w:tab/>
        </w:r>
        <w:r w:rsidR="00200151" w:rsidRPr="00E04FAA">
          <w:rPr>
            <w:b/>
            <w:noProof/>
            <w:webHidden/>
          </w:rPr>
          <w:fldChar w:fldCharType="begin"/>
        </w:r>
        <w:r w:rsidR="00200151" w:rsidRPr="00E04FAA">
          <w:rPr>
            <w:b/>
            <w:noProof/>
            <w:webHidden/>
          </w:rPr>
          <w:instrText xml:space="preserve"> PAGEREF _Toc484510566 \h </w:instrText>
        </w:r>
        <w:r w:rsidR="00200151" w:rsidRPr="00E04FAA">
          <w:rPr>
            <w:b/>
            <w:noProof/>
            <w:webHidden/>
          </w:rPr>
        </w:r>
        <w:r w:rsidR="00200151" w:rsidRPr="00E04FAA">
          <w:rPr>
            <w:b/>
            <w:noProof/>
            <w:webHidden/>
          </w:rPr>
          <w:fldChar w:fldCharType="separate"/>
        </w:r>
        <w:r w:rsidR="00DA0ABF">
          <w:rPr>
            <w:b/>
            <w:noProof/>
            <w:webHidden/>
          </w:rPr>
          <w:t>8</w:t>
        </w:r>
        <w:r w:rsidR="00200151" w:rsidRPr="00E04FAA">
          <w:rPr>
            <w:b/>
            <w:noProof/>
            <w:webHidden/>
          </w:rPr>
          <w:fldChar w:fldCharType="end"/>
        </w:r>
      </w:hyperlink>
    </w:p>
    <w:p w:rsidR="00883153" w:rsidRPr="00E04FAA" w:rsidRDefault="000D0A99">
      <w:pPr>
        <w:pStyle w:val="TOC1"/>
        <w:tabs>
          <w:tab w:val="left" w:pos="1260"/>
          <w:tab w:val="right" w:leader="dot" w:pos="8823"/>
        </w:tabs>
        <w:spacing w:line="360" w:lineRule="auto"/>
        <w:rPr>
          <w:rFonts w:asciiTheme="minorHAnsi" w:eastAsiaTheme="minorEastAsia" w:hAnsiTheme="minorHAnsi" w:cstheme="minorBidi"/>
          <w:b/>
          <w:noProof/>
          <w:szCs w:val="22"/>
        </w:rPr>
      </w:pPr>
      <w:hyperlink w:anchor="_Toc484510567" w:history="1">
        <w:r w:rsidR="00200151" w:rsidRPr="00E04FAA">
          <w:rPr>
            <w:rStyle w:val="a5"/>
            <w:rFonts w:hint="eastAsia"/>
            <w:b/>
            <w:noProof/>
          </w:rPr>
          <w:t>第四节</w:t>
        </w:r>
        <w:r w:rsidR="00200151" w:rsidRPr="00E04FAA">
          <w:rPr>
            <w:rFonts w:asciiTheme="minorHAnsi" w:eastAsiaTheme="minorEastAsia" w:hAnsiTheme="minorHAnsi" w:cstheme="minorBidi"/>
            <w:b/>
            <w:noProof/>
            <w:szCs w:val="22"/>
          </w:rPr>
          <w:tab/>
        </w:r>
        <w:r w:rsidR="00200151" w:rsidRPr="00E04FAA">
          <w:rPr>
            <w:rStyle w:val="a5"/>
            <w:rFonts w:hint="eastAsia"/>
            <w:b/>
            <w:noProof/>
          </w:rPr>
          <w:t>经营情况的讨论与分析</w:t>
        </w:r>
        <w:r w:rsidR="00200151" w:rsidRPr="00E04FAA">
          <w:rPr>
            <w:b/>
            <w:noProof/>
            <w:webHidden/>
          </w:rPr>
          <w:tab/>
        </w:r>
        <w:r w:rsidR="00200151" w:rsidRPr="00E04FAA">
          <w:rPr>
            <w:b/>
            <w:noProof/>
            <w:webHidden/>
          </w:rPr>
          <w:fldChar w:fldCharType="begin"/>
        </w:r>
        <w:r w:rsidR="00200151" w:rsidRPr="00E04FAA">
          <w:rPr>
            <w:b/>
            <w:noProof/>
            <w:webHidden/>
          </w:rPr>
          <w:instrText xml:space="preserve"> PAGEREF _Toc484510567 \h </w:instrText>
        </w:r>
        <w:r w:rsidR="00200151" w:rsidRPr="00E04FAA">
          <w:rPr>
            <w:b/>
            <w:noProof/>
            <w:webHidden/>
          </w:rPr>
        </w:r>
        <w:r w:rsidR="00200151" w:rsidRPr="00E04FAA">
          <w:rPr>
            <w:b/>
            <w:noProof/>
            <w:webHidden/>
          </w:rPr>
          <w:fldChar w:fldCharType="separate"/>
        </w:r>
        <w:r w:rsidR="00DA0ABF">
          <w:rPr>
            <w:b/>
            <w:noProof/>
            <w:webHidden/>
          </w:rPr>
          <w:t>15</w:t>
        </w:r>
        <w:r w:rsidR="00200151" w:rsidRPr="00E04FAA">
          <w:rPr>
            <w:b/>
            <w:noProof/>
            <w:webHidden/>
          </w:rPr>
          <w:fldChar w:fldCharType="end"/>
        </w:r>
      </w:hyperlink>
    </w:p>
    <w:p w:rsidR="00883153" w:rsidRPr="00E04FAA" w:rsidRDefault="000D0A99">
      <w:pPr>
        <w:pStyle w:val="TOC1"/>
        <w:tabs>
          <w:tab w:val="left" w:pos="1260"/>
          <w:tab w:val="right" w:leader="dot" w:pos="8823"/>
        </w:tabs>
        <w:spacing w:line="360" w:lineRule="auto"/>
        <w:rPr>
          <w:rFonts w:asciiTheme="minorHAnsi" w:eastAsiaTheme="minorEastAsia" w:hAnsiTheme="minorHAnsi" w:cstheme="minorBidi"/>
          <w:b/>
          <w:noProof/>
          <w:szCs w:val="22"/>
        </w:rPr>
      </w:pPr>
      <w:hyperlink w:anchor="_Toc484510568" w:history="1">
        <w:r w:rsidR="00200151" w:rsidRPr="00E04FAA">
          <w:rPr>
            <w:rStyle w:val="a5"/>
            <w:rFonts w:hint="eastAsia"/>
            <w:b/>
            <w:noProof/>
          </w:rPr>
          <w:t>第五节</w:t>
        </w:r>
        <w:r w:rsidR="00200151" w:rsidRPr="00E04FAA">
          <w:rPr>
            <w:rFonts w:asciiTheme="minorHAnsi" w:eastAsiaTheme="minorEastAsia" w:hAnsiTheme="minorHAnsi" w:cstheme="minorBidi"/>
            <w:b/>
            <w:noProof/>
            <w:szCs w:val="22"/>
          </w:rPr>
          <w:tab/>
        </w:r>
        <w:r w:rsidR="00200151" w:rsidRPr="00E04FAA">
          <w:rPr>
            <w:rStyle w:val="a5"/>
            <w:rFonts w:hint="eastAsia"/>
            <w:b/>
            <w:noProof/>
          </w:rPr>
          <w:t>重要事项</w:t>
        </w:r>
        <w:r w:rsidR="00200151" w:rsidRPr="00E04FAA">
          <w:rPr>
            <w:b/>
            <w:noProof/>
            <w:webHidden/>
          </w:rPr>
          <w:tab/>
        </w:r>
        <w:r w:rsidR="00200151" w:rsidRPr="00E04FAA">
          <w:rPr>
            <w:b/>
            <w:noProof/>
            <w:webHidden/>
          </w:rPr>
          <w:fldChar w:fldCharType="begin"/>
        </w:r>
        <w:r w:rsidR="00200151" w:rsidRPr="00E04FAA">
          <w:rPr>
            <w:b/>
            <w:noProof/>
            <w:webHidden/>
          </w:rPr>
          <w:instrText xml:space="preserve"> PAGEREF _Toc484510568 \h </w:instrText>
        </w:r>
        <w:r w:rsidR="00200151" w:rsidRPr="00E04FAA">
          <w:rPr>
            <w:b/>
            <w:noProof/>
            <w:webHidden/>
          </w:rPr>
        </w:r>
        <w:r w:rsidR="00200151" w:rsidRPr="00E04FAA">
          <w:rPr>
            <w:b/>
            <w:noProof/>
            <w:webHidden/>
          </w:rPr>
          <w:fldChar w:fldCharType="separate"/>
        </w:r>
        <w:r w:rsidR="00DA0ABF">
          <w:rPr>
            <w:b/>
            <w:noProof/>
            <w:webHidden/>
          </w:rPr>
          <w:t>22</w:t>
        </w:r>
        <w:r w:rsidR="00200151" w:rsidRPr="00E04FAA">
          <w:rPr>
            <w:b/>
            <w:noProof/>
            <w:webHidden/>
          </w:rPr>
          <w:fldChar w:fldCharType="end"/>
        </w:r>
      </w:hyperlink>
    </w:p>
    <w:p w:rsidR="00883153" w:rsidRPr="00E04FAA" w:rsidRDefault="000D0A99">
      <w:pPr>
        <w:pStyle w:val="TOC1"/>
        <w:tabs>
          <w:tab w:val="left" w:pos="1260"/>
          <w:tab w:val="right" w:leader="dot" w:pos="8823"/>
        </w:tabs>
        <w:spacing w:line="360" w:lineRule="auto"/>
        <w:rPr>
          <w:rFonts w:asciiTheme="minorHAnsi" w:eastAsiaTheme="minorEastAsia" w:hAnsiTheme="minorHAnsi" w:cstheme="minorBidi"/>
          <w:b/>
          <w:noProof/>
          <w:szCs w:val="22"/>
        </w:rPr>
      </w:pPr>
      <w:hyperlink w:anchor="_Toc484510569" w:history="1">
        <w:r w:rsidR="00200151" w:rsidRPr="00E04FAA">
          <w:rPr>
            <w:rStyle w:val="a5"/>
            <w:rFonts w:hint="eastAsia"/>
            <w:b/>
            <w:noProof/>
          </w:rPr>
          <w:t>第六节</w:t>
        </w:r>
        <w:r w:rsidR="00200151" w:rsidRPr="00E04FAA">
          <w:rPr>
            <w:rFonts w:asciiTheme="minorHAnsi" w:eastAsiaTheme="minorEastAsia" w:hAnsiTheme="minorHAnsi" w:cstheme="minorBidi"/>
            <w:b/>
            <w:noProof/>
            <w:szCs w:val="22"/>
          </w:rPr>
          <w:tab/>
        </w:r>
        <w:r w:rsidR="00200151" w:rsidRPr="00E04FAA">
          <w:rPr>
            <w:rStyle w:val="a5"/>
            <w:rFonts w:hint="eastAsia"/>
            <w:b/>
            <w:noProof/>
          </w:rPr>
          <w:t>普通股股份变动及股东情况</w:t>
        </w:r>
        <w:r w:rsidR="00200151" w:rsidRPr="00E04FAA">
          <w:rPr>
            <w:b/>
            <w:noProof/>
            <w:webHidden/>
          </w:rPr>
          <w:tab/>
        </w:r>
        <w:r w:rsidR="00200151" w:rsidRPr="00E04FAA">
          <w:rPr>
            <w:b/>
            <w:noProof/>
            <w:webHidden/>
          </w:rPr>
          <w:fldChar w:fldCharType="begin"/>
        </w:r>
        <w:r w:rsidR="00200151" w:rsidRPr="00E04FAA">
          <w:rPr>
            <w:b/>
            <w:noProof/>
            <w:webHidden/>
          </w:rPr>
          <w:instrText xml:space="preserve"> PAGEREF _Toc484510569 \h </w:instrText>
        </w:r>
        <w:r w:rsidR="00200151" w:rsidRPr="00E04FAA">
          <w:rPr>
            <w:b/>
            <w:noProof/>
            <w:webHidden/>
          </w:rPr>
        </w:r>
        <w:r w:rsidR="00200151" w:rsidRPr="00E04FAA">
          <w:rPr>
            <w:b/>
            <w:noProof/>
            <w:webHidden/>
          </w:rPr>
          <w:fldChar w:fldCharType="separate"/>
        </w:r>
        <w:r w:rsidR="00DA0ABF">
          <w:rPr>
            <w:b/>
            <w:noProof/>
            <w:webHidden/>
          </w:rPr>
          <w:t>28</w:t>
        </w:r>
        <w:r w:rsidR="00200151" w:rsidRPr="00E04FAA">
          <w:rPr>
            <w:b/>
            <w:noProof/>
            <w:webHidden/>
          </w:rPr>
          <w:fldChar w:fldCharType="end"/>
        </w:r>
      </w:hyperlink>
    </w:p>
    <w:p w:rsidR="00883153" w:rsidRPr="00E04FAA" w:rsidRDefault="000D0A99">
      <w:pPr>
        <w:pStyle w:val="TOC1"/>
        <w:tabs>
          <w:tab w:val="left" w:pos="1260"/>
          <w:tab w:val="right" w:leader="dot" w:pos="8823"/>
        </w:tabs>
        <w:spacing w:line="360" w:lineRule="auto"/>
        <w:rPr>
          <w:rFonts w:asciiTheme="minorHAnsi" w:eastAsiaTheme="minorEastAsia" w:hAnsiTheme="minorHAnsi" w:cstheme="minorBidi"/>
          <w:b/>
          <w:noProof/>
          <w:szCs w:val="22"/>
        </w:rPr>
      </w:pPr>
      <w:hyperlink w:anchor="_Toc484510570" w:history="1">
        <w:r w:rsidR="00200151" w:rsidRPr="00E04FAA">
          <w:rPr>
            <w:rStyle w:val="a5"/>
            <w:rFonts w:hint="eastAsia"/>
            <w:b/>
            <w:noProof/>
          </w:rPr>
          <w:t>第七节</w:t>
        </w:r>
        <w:r w:rsidR="00200151" w:rsidRPr="00E04FAA">
          <w:rPr>
            <w:rFonts w:asciiTheme="minorHAnsi" w:eastAsiaTheme="minorEastAsia" w:hAnsiTheme="minorHAnsi" w:cstheme="minorBidi"/>
            <w:b/>
            <w:noProof/>
            <w:szCs w:val="22"/>
          </w:rPr>
          <w:tab/>
        </w:r>
        <w:r w:rsidR="00200151" w:rsidRPr="00E04FAA">
          <w:rPr>
            <w:rStyle w:val="a5"/>
            <w:rFonts w:hint="eastAsia"/>
            <w:b/>
            <w:noProof/>
          </w:rPr>
          <w:t>优先股相关情况</w:t>
        </w:r>
        <w:r w:rsidR="00200151" w:rsidRPr="00E04FAA">
          <w:rPr>
            <w:b/>
            <w:noProof/>
            <w:webHidden/>
          </w:rPr>
          <w:tab/>
        </w:r>
        <w:r w:rsidR="00200151" w:rsidRPr="00E04FAA">
          <w:rPr>
            <w:b/>
            <w:noProof/>
            <w:webHidden/>
          </w:rPr>
          <w:fldChar w:fldCharType="begin"/>
        </w:r>
        <w:r w:rsidR="00200151" w:rsidRPr="00E04FAA">
          <w:rPr>
            <w:b/>
            <w:noProof/>
            <w:webHidden/>
          </w:rPr>
          <w:instrText xml:space="preserve"> PAGEREF _Toc484510570 \h </w:instrText>
        </w:r>
        <w:r w:rsidR="00200151" w:rsidRPr="00E04FAA">
          <w:rPr>
            <w:b/>
            <w:noProof/>
            <w:webHidden/>
          </w:rPr>
        </w:r>
        <w:r w:rsidR="00200151" w:rsidRPr="00E04FAA">
          <w:rPr>
            <w:b/>
            <w:noProof/>
            <w:webHidden/>
          </w:rPr>
          <w:fldChar w:fldCharType="separate"/>
        </w:r>
        <w:r w:rsidR="00DA0ABF">
          <w:rPr>
            <w:b/>
            <w:noProof/>
            <w:webHidden/>
          </w:rPr>
          <w:t>31</w:t>
        </w:r>
        <w:r w:rsidR="00200151" w:rsidRPr="00E04FAA">
          <w:rPr>
            <w:b/>
            <w:noProof/>
            <w:webHidden/>
          </w:rPr>
          <w:fldChar w:fldCharType="end"/>
        </w:r>
      </w:hyperlink>
    </w:p>
    <w:p w:rsidR="00883153" w:rsidRPr="00E04FAA" w:rsidRDefault="000D0A99">
      <w:pPr>
        <w:pStyle w:val="TOC1"/>
        <w:tabs>
          <w:tab w:val="left" w:pos="1260"/>
          <w:tab w:val="right" w:leader="dot" w:pos="8823"/>
        </w:tabs>
        <w:spacing w:line="360" w:lineRule="auto"/>
        <w:rPr>
          <w:rFonts w:asciiTheme="minorHAnsi" w:eastAsiaTheme="minorEastAsia" w:hAnsiTheme="minorHAnsi" w:cstheme="minorBidi"/>
          <w:b/>
          <w:noProof/>
          <w:szCs w:val="22"/>
        </w:rPr>
      </w:pPr>
      <w:hyperlink w:anchor="_Toc484510571" w:history="1">
        <w:r w:rsidR="00200151" w:rsidRPr="00E04FAA">
          <w:rPr>
            <w:rStyle w:val="a5"/>
            <w:rFonts w:hint="eastAsia"/>
            <w:b/>
            <w:noProof/>
          </w:rPr>
          <w:t>第八节</w:t>
        </w:r>
        <w:r w:rsidR="00200151" w:rsidRPr="00E04FAA">
          <w:rPr>
            <w:rFonts w:asciiTheme="minorHAnsi" w:eastAsiaTheme="minorEastAsia" w:hAnsiTheme="minorHAnsi" w:cstheme="minorBidi"/>
            <w:b/>
            <w:noProof/>
            <w:szCs w:val="22"/>
          </w:rPr>
          <w:tab/>
        </w:r>
        <w:r w:rsidR="00200151" w:rsidRPr="00E04FAA">
          <w:rPr>
            <w:rStyle w:val="a5"/>
            <w:rFonts w:hint="eastAsia"/>
            <w:b/>
            <w:noProof/>
          </w:rPr>
          <w:t>董事、监事、高级管理人员情况</w:t>
        </w:r>
        <w:r w:rsidR="00200151" w:rsidRPr="00E04FAA">
          <w:rPr>
            <w:b/>
            <w:noProof/>
            <w:webHidden/>
          </w:rPr>
          <w:tab/>
        </w:r>
        <w:r w:rsidR="00200151" w:rsidRPr="00E04FAA">
          <w:rPr>
            <w:b/>
            <w:noProof/>
            <w:webHidden/>
          </w:rPr>
          <w:fldChar w:fldCharType="begin"/>
        </w:r>
        <w:r w:rsidR="00200151" w:rsidRPr="00E04FAA">
          <w:rPr>
            <w:b/>
            <w:noProof/>
            <w:webHidden/>
          </w:rPr>
          <w:instrText xml:space="preserve"> PAGEREF _Toc484510571 \h </w:instrText>
        </w:r>
        <w:r w:rsidR="00200151" w:rsidRPr="00E04FAA">
          <w:rPr>
            <w:b/>
            <w:noProof/>
            <w:webHidden/>
          </w:rPr>
        </w:r>
        <w:r w:rsidR="00200151" w:rsidRPr="00E04FAA">
          <w:rPr>
            <w:b/>
            <w:noProof/>
            <w:webHidden/>
          </w:rPr>
          <w:fldChar w:fldCharType="separate"/>
        </w:r>
        <w:r w:rsidR="00DA0ABF">
          <w:rPr>
            <w:b/>
            <w:noProof/>
            <w:webHidden/>
          </w:rPr>
          <w:t>31</w:t>
        </w:r>
        <w:r w:rsidR="00200151" w:rsidRPr="00E04FAA">
          <w:rPr>
            <w:b/>
            <w:noProof/>
            <w:webHidden/>
          </w:rPr>
          <w:fldChar w:fldCharType="end"/>
        </w:r>
      </w:hyperlink>
    </w:p>
    <w:p w:rsidR="00883153" w:rsidRPr="00E04FAA" w:rsidRDefault="000D0A99">
      <w:pPr>
        <w:pStyle w:val="TOC1"/>
        <w:tabs>
          <w:tab w:val="left" w:pos="1260"/>
          <w:tab w:val="right" w:leader="dot" w:pos="8823"/>
        </w:tabs>
        <w:spacing w:line="360" w:lineRule="auto"/>
        <w:rPr>
          <w:rFonts w:asciiTheme="minorHAnsi" w:eastAsiaTheme="minorEastAsia" w:hAnsiTheme="minorHAnsi" w:cstheme="minorBidi"/>
          <w:b/>
          <w:noProof/>
          <w:szCs w:val="22"/>
        </w:rPr>
      </w:pPr>
      <w:hyperlink w:anchor="_Toc484510572" w:history="1">
        <w:r w:rsidR="00200151" w:rsidRPr="00E04FAA">
          <w:rPr>
            <w:rStyle w:val="a5"/>
            <w:rFonts w:hint="eastAsia"/>
            <w:b/>
            <w:noProof/>
          </w:rPr>
          <w:t>第九节</w:t>
        </w:r>
        <w:r w:rsidR="00200151" w:rsidRPr="00E04FAA">
          <w:rPr>
            <w:rFonts w:asciiTheme="minorHAnsi" w:eastAsiaTheme="minorEastAsia" w:hAnsiTheme="minorHAnsi" w:cstheme="minorBidi"/>
            <w:b/>
            <w:noProof/>
            <w:szCs w:val="22"/>
          </w:rPr>
          <w:tab/>
        </w:r>
        <w:r w:rsidR="00200151" w:rsidRPr="00E04FAA">
          <w:rPr>
            <w:rStyle w:val="a5"/>
            <w:rFonts w:hint="eastAsia"/>
            <w:b/>
            <w:noProof/>
          </w:rPr>
          <w:t>公司债券相关情况</w:t>
        </w:r>
        <w:r w:rsidR="00200151" w:rsidRPr="00E04FAA">
          <w:rPr>
            <w:b/>
            <w:noProof/>
            <w:webHidden/>
          </w:rPr>
          <w:tab/>
        </w:r>
        <w:r w:rsidR="00200151" w:rsidRPr="00E04FAA">
          <w:rPr>
            <w:b/>
            <w:noProof/>
            <w:webHidden/>
          </w:rPr>
          <w:fldChar w:fldCharType="begin"/>
        </w:r>
        <w:r w:rsidR="00200151" w:rsidRPr="00E04FAA">
          <w:rPr>
            <w:b/>
            <w:noProof/>
            <w:webHidden/>
          </w:rPr>
          <w:instrText xml:space="preserve"> PAGEREF _Toc484510572 \h </w:instrText>
        </w:r>
        <w:r w:rsidR="00200151" w:rsidRPr="00E04FAA">
          <w:rPr>
            <w:b/>
            <w:noProof/>
            <w:webHidden/>
          </w:rPr>
        </w:r>
        <w:r w:rsidR="00200151" w:rsidRPr="00E04FAA">
          <w:rPr>
            <w:b/>
            <w:noProof/>
            <w:webHidden/>
          </w:rPr>
          <w:fldChar w:fldCharType="separate"/>
        </w:r>
        <w:r w:rsidR="00DA0ABF">
          <w:rPr>
            <w:b/>
            <w:noProof/>
            <w:webHidden/>
          </w:rPr>
          <w:t>34</w:t>
        </w:r>
        <w:r w:rsidR="00200151" w:rsidRPr="00E04FAA">
          <w:rPr>
            <w:b/>
            <w:noProof/>
            <w:webHidden/>
          </w:rPr>
          <w:fldChar w:fldCharType="end"/>
        </w:r>
      </w:hyperlink>
    </w:p>
    <w:p w:rsidR="00883153" w:rsidRPr="00E04FAA" w:rsidRDefault="000D0A99">
      <w:pPr>
        <w:pStyle w:val="TOC1"/>
        <w:tabs>
          <w:tab w:val="left" w:pos="1260"/>
          <w:tab w:val="right" w:leader="dot" w:pos="8823"/>
        </w:tabs>
        <w:spacing w:line="360" w:lineRule="auto"/>
        <w:rPr>
          <w:rFonts w:asciiTheme="minorHAnsi" w:eastAsiaTheme="minorEastAsia" w:hAnsiTheme="minorHAnsi" w:cstheme="minorBidi"/>
          <w:b/>
          <w:noProof/>
          <w:szCs w:val="22"/>
        </w:rPr>
      </w:pPr>
      <w:hyperlink w:anchor="_Toc484510573" w:history="1">
        <w:r w:rsidR="00200151" w:rsidRPr="00E04FAA">
          <w:rPr>
            <w:rStyle w:val="a5"/>
            <w:rFonts w:ascii="宋体" w:hAnsi="宋体" w:hint="eastAsia"/>
            <w:b/>
            <w:noProof/>
          </w:rPr>
          <w:t>第十节</w:t>
        </w:r>
        <w:r w:rsidR="00200151" w:rsidRPr="00E04FAA">
          <w:rPr>
            <w:rFonts w:asciiTheme="minorHAnsi" w:eastAsiaTheme="minorEastAsia" w:hAnsiTheme="minorHAnsi" w:cstheme="minorBidi"/>
            <w:b/>
            <w:noProof/>
            <w:szCs w:val="22"/>
          </w:rPr>
          <w:tab/>
        </w:r>
        <w:r w:rsidR="00200151" w:rsidRPr="00E04FAA">
          <w:rPr>
            <w:rStyle w:val="a5"/>
            <w:rFonts w:ascii="宋体" w:hAnsi="宋体" w:hint="eastAsia"/>
            <w:b/>
            <w:noProof/>
          </w:rPr>
          <w:t>财务报告</w:t>
        </w:r>
        <w:r w:rsidR="00200151" w:rsidRPr="00E04FAA">
          <w:rPr>
            <w:b/>
            <w:noProof/>
            <w:webHidden/>
          </w:rPr>
          <w:tab/>
        </w:r>
        <w:r w:rsidR="00200151" w:rsidRPr="00E04FAA">
          <w:rPr>
            <w:b/>
            <w:noProof/>
            <w:webHidden/>
          </w:rPr>
          <w:fldChar w:fldCharType="begin"/>
        </w:r>
        <w:r w:rsidR="00200151" w:rsidRPr="00E04FAA">
          <w:rPr>
            <w:b/>
            <w:noProof/>
            <w:webHidden/>
          </w:rPr>
          <w:instrText xml:space="preserve"> PAGEREF _Toc484510573 \h </w:instrText>
        </w:r>
        <w:r w:rsidR="00200151" w:rsidRPr="00E04FAA">
          <w:rPr>
            <w:b/>
            <w:noProof/>
            <w:webHidden/>
          </w:rPr>
        </w:r>
        <w:r w:rsidR="00200151" w:rsidRPr="00E04FAA">
          <w:rPr>
            <w:b/>
            <w:noProof/>
            <w:webHidden/>
          </w:rPr>
          <w:fldChar w:fldCharType="separate"/>
        </w:r>
        <w:r w:rsidR="00DA0ABF">
          <w:rPr>
            <w:b/>
            <w:noProof/>
            <w:webHidden/>
          </w:rPr>
          <w:t>34</w:t>
        </w:r>
        <w:r w:rsidR="00200151" w:rsidRPr="00E04FAA">
          <w:rPr>
            <w:b/>
            <w:noProof/>
            <w:webHidden/>
          </w:rPr>
          <w:fldChar w:fldCharType="end"/>
        </w:r>
      </w:hyperlink>
    </w:p>
    <w:p w:rsidR="00883153" w:rsidRPr="00E04FAA" w:rsidRDefault="000D0A99">
      <w:pPr>
        <w:pStyle w:val="TOC1"/>
        <w:tabs>
          <w:tab w:val="left" w:pos="1260"/>
          <w:tab w:val="right" w:leader="dot" w:pos="8823"/>
        </w:tabs>
        <w:spacing w:line="360" w:lineRule="auto"/>
        <w:rPr>
          <w:rFonts w:asciiTheme="minorHAnsi" w:eastAsiaTheme="minorEastAsia" w:hAnsiTheme="minorHAnsi" w:cstheme="minorBidi"/>
          <w:b/>
          <w:noProof/>
          <w:szCs w:val="22"/>
        </w:rPr>
      </w:pPr>
      <w:hyperlink w:anchor="_Toc484510574" w:history="1">
        <w:r w:rsidR="00200151" w:rsidRPr="00E04FAA">
          <w:rPr>
            <w:rStyle w:val="a5"/>
            <w:rFonts w:ascii="宋体" w:hAnsi="宋体" w:hint="eastAsia"/>
            <w:b/>
            <w:noProof/>
          </w:rPr>
          <w:t>第十一节</w:t>
        </w:r>
        <w:r w:rsidR="00200151" w:rsidRPr="00E04FAA">
          <w:rPr>
            <w:rFonts w:asciiTheme="minorHAnsi" w:eastAsiaTheme="minorEastAsia" w:hAnsiTheme="minorHAnsi" w:cstheme="minorBidi"/>
            <w:b/>
            <w:noProof/>
            <w:szCs w:val="22"/>
          </w:rPr>
          <w:tab/>
        </w:r>
        <w:r w:rsidR="00200151" w:rsidRPr="00E04FAA">
          <w:rPr>
            <w:rStyle w:val="a5"/>
            <w:rFonts w:ascii="宋体" w:hAnsi="宋体" w:hint="eastAsia"/>
            <w:b/>
            <w:noProof/>
          </w:rPr>
          <w:t>备查文件目录</w:t>
        </w:r>
        <w:r w:rsidR="00200151" w:rsidRPr="00E04FAA">
          <w:rPr>
            <w:b/>
            <w:noProof/>
            <w:webHidden/>
          </w:rPr>
          <w:tab/>
        </w:r>
        <w:r w:rsidR="00200151" w:rsidRPr="00E04FAA">
          <w:rPr>
            <w:b/>
            <w:noProof/>
            <w:webHidden/>
          </w:rPr>
          <w:fldChar w:fldCharType="begin"/>
        </w:r>
        <w:r w:rsidR="00200151" w:rsidRPr="00E04FAA">
          <w:rPr>
            <w:b/>
            <w:noProof/>
            <w:webHidden/>
          </w:rPr>
          <w:instrText xml:space="preserve"> PAGEREF _Toc484510574 \h </w:instrText>
        </w:r>
        <w:r w:rsidR="00200151" w:rsidRPr="00E04FAA">
          <w:rPr>
            <w:b/>
            <w:noProof/>
            <w:webHidden/>
          </w:rPr>
        </w:r>
        <w:r w:rsidR="00200151" w:rsidRPr="00E04FAA">
          <w:rPr>
            <w:b/>
            <w:noProof/>
            <w:webHidden/>
          </w:rPr>
          <w:fldChar w:fldCharType="separate"/>
        </w:r>
        <w:r w:rsidR="00DA0ABF">
          <w:rPr>
            <w:b/>
            <w:noProof/>
            <w:webHidden/>
          </w:rPr>
          <w:t>187</w:t>
        </w:r>
        <w:r w:rsidR="00200151" w:rsidRPr="00E04FAA">
          <w:rPr>
            <w:b/>
            <w:noProof/>
            <w:webHidden/>
          </w:rPr>
          <w:fldChar w:fldCharType="end"/>
        </w:r>
      </w:hyperlink>
    </w:p>
    <w:p w:rsidR="00883153" w:rsidRPr="00E04FAA" w:rsidRDefault="00200151">
      <w:pPr>
        <w:kinsoku w:val="0"/>
        <w:overflowPunct w:val="0"/>
        <w:autoSpaceDE w:val="0"/>
        <w:autoSpaceDN w:val="0"/>
        <w:adjustRightInd w:val="0"/>
        <w:snapToGrid w:val="0"/>
        <w:spacing w:line="360" w:lineRule="exact"/>
        <w:jc w:val="center"/>
        <w:rPr>
          <w:szCs w:val="21"/>
          <w:shd w:val="pct15" w:color="auto" w:fill="FFFFFF"/>
        </w:rPr>
      </w:pPr>
      <w:r w:rsidRPr="00E04FAA">
        <w:rPr>
          <w:shd w:val="pct15" w:color="auto" w:fill="FFFFFF"/>
        </w:rPr>
        <w:fldChar w:fldCharType="end"/>
      </w:r>
    </w:p>
    <w:p w:rsidR="00883153" w:rsidRPr="00E04FAA" w:rsidRDefault="00200151">
      <w:pPr>
        <w:rPr>
          <w:szCs w:val="21"/>
        </w:rPr>
      </w:pPr>
      <w:r w:rsidRPr="00E04FAA">
        <w:rPr>
          <w:szCs w:val="21"/>
        </w:rPr>
        <w:br w:type="page"/>
      </w:r>
      <w:bookmarkStart w:id="1" w:name="_GoBack"/>
      <w:bookmarkEnd w:id="1"/>
    </w:p>
    <w:p w:rsidR="00883153" w:rsidRPr="00E04FAA" w:rsidRDefault="00200151">
      <w:pPr>
        <w:pStyle w:val="10"/>
        <w:numPr>
          <w:ilvl w:val="0"/>
          <w:numId w:val="3"/>
        </w:numPr>
      </w:pPr>
      <w:bookmarkStart w:id="2" w:name="_Toc484510564"/>
      <w:bookmarkStart w:id="3" w:name="_Toc342565880"/>
      <w:r w:rsidRPr="00E04FAA">
        <w:rPr>
          <w:rFonts w:hint="eastAsia"/>
        </w:rPr>
        <w:lastRenderedPageBreak/>
        <w:t>释义</w:t>
      </w:r>
      <w:bookmarkEnd w:id="2"/>
    </w:p>
    <w:sdt>
      <w:sdtPr>
        <w:rPr>
          <w:rFonts w:ascii="Calibri" w:hAnsi="Calibri"/>
          <w:b/>
          <w:bCs/>
          <w:sz w:val="24"/>
          <w:szCs w:val="22"/>
        </w:rPr>
        <w:alias w:val="模块:释义"/>
        <w:tag w:val="_GBC_5d2d156d1e654b289921f6ca279d0332"/>
        <w:id w:val="-916940555"/>
        <w:lock w:val="sdtLocked"/>
        <w:placeholder>
          <w:docPart w:val="GBC22222222222222222222222222222"/>
        </w:placeholder>
      </w:sdtPr>
      <w:sdtEndPr>
        <w:rPr>
          <w:rFonts w:ascii="宋体" w:hAnsi="宋体"/>
          <w:b w:val="0"/>
          <w:bCs w:val="0"/>
          <w:color w:val="FF0000"/>
          <w:sz w:val="21"/>
          <w:szCs w:val="24"/>
        </w:rPr>
      </w:sdtEndPr>
      <w:sdtContent>
        <w:p w:rsidR="00D4493A" w:rsidRPr="00E04FAA" w:rsidRDefault="00200151">
          <w:pPr>
            <w:rPr>
              <w:szCs w:val="21"/>
            </w:rPr>
          </w:pPr>
          <w:r w:rsidRPr="00E04FAA">
            <w:rPr>
              <w:szCs w:val="21"/>
            </w:rPr>
            <w:t>在本报告书中，除非文义另有所指，下列词语具有如下含义：</w:t>
          </w:r>
        </w:p>
        <w:tbl>
          <w:tblPr>
            <w:tblStyle w:val="a9"/>
            <w:tblW w:w="0" w:type="auto"/>
            <w:tblLook w:val="04A0" w:firstRow="1" w:lastRow="0" w:firstColumn="1" w:lastColumn="0" w:noHBand="0" w:noVBand="1"/>
          </w:tblPr>
          <w:tblGrid>
            <w:gridCol w:w="2122"/>
            <w:gridCol w:w="1842"/>
            <w:gridCol w:w="4859"/>
          </w:tblGrid>
          <w:tr w:rsidR="00B919BA" w:rsidRPr="00E04FAA" w:rsidTr="00567368">
            <w:sdt>
              <w:sdtPr>
                <w:tag w:val="_PLD_d73bff14187b49a1b1c86b56316c5e47"/>
                <w:id w:val="-497190338"/>
                <w:lock w:val="sdtLocked"/>
              </w:sdtPr>
              <w:sdtContent>
                <w:tc>
                  <w:tcPr>
                    <w:tcW w:w="8823" w:type="dxa"/>
                    <w:gridSpan w:val="3"/>
                  </w:tcPr>
                  <w:p w:rsidR="00B919BA" w:rsidRPr="00E04FAA" w:rsidRDefault="00B919BA" w:rsidP="00567368">
                    <w:pPr>
                      <w:rPr>
                        <w:szCs w:val="21"/>
                      </w:rPr>
                    </w:pPr>
                    <w:r w:rsidRPr="00E04FAA">
                      <w:rPr>
                        <w:szCs w:val="21"/>
                      </w:rPr>
                      <w:t>常用词语释义</w:t>
                    </w:r>
                  </w:p>
                </w:tc>
              </w:sdtContent>
            </w:sdt>
          </w:tr>
          <w:sdt>
            <w:sdtPr>
              <w:rPr>
                <w:rFonts w:ascii="Calibri" w:eastAsiaTheme="minorEastAsia" w:hAnsi="Calibri" w:cstheme="minorBidi" w:hint="eastAsia"/>
                <w:kern w:val="2"/>
                <w:szCs w:val="21"/>
              </w:rPr>
              <w:alias w:val="释义"/>
              <w:tag w:val="_GBC_ca5c2cb7a4e545e2b2d9d1b94b528746"/>
              <w:id w:val="-1443601818"/>
              <w:lock w:val="sdtLocked"/>
              <w:placeholder>
                <w:docPart w:val="BEE5AF6F78164D4B9BD29E8B1CCF250D"/>
              </w:placeholder>
            </w:sdtPr>
            <w:sdtContent>
              <w:tr w:rsidR="00B919BA" w:rsidRPr="00E04FAA" w:rsidTr="00567368">
                <w:tc>
                  <w:tcPr>
                    <w:tcW w:w="2122" w:type="dxa"/>
                  </w:tcPr>
                  <w:p w:rsidR="00B919BA" w:rsidRPr="00E04FAA" w:rsidRDefault="00B919BA" w:rsidP="00567368">
                    <w:pPr>
                      <w:rPr>
                        <w:szCs w:val="21"/>
                      </w:rPr>
                    </w:pPr>
                    <w:r w:rsidRPr="00E04FAA">
                      <w:t>ERP</w:t>
                    </w:r>
                  </w:p>
                </w:tc>
                <w:tc>
                  <w:tcPr>
                    <w:tcW w:w="1842" w:type="dxa"/>
                  </w:tcPr>
                  <w:sdt>
                    <w:sdtPr>
                      <w:rPr>
                        <w:rFonts w:hint="eastAsia"/>
                        <w:szCs w:val="21"/>
                      </w:rPr>
                      <w:tag w:val="_PLD_289cf7e5c3a845d59c038a21dcd4a571"/>
                      <w:id w:val="68925941"/>
                      <w:lock w:val="sdtLocked"/>
                    </w:sdtPr>
                    <w:sdtContent>
                      <w:p w:rsidR="00B919BA" w:rsidRPr="00E04FAA" w:rsidRDefault="00B919BA" w:rsidP="00567368">
                        <w:pPr>
                          <w:jc w:val="center"/>
                          <w:rPr>
                            <w:szCs w:val="21"/>
                          </w:rPr>
                        </w:pPr>
                        <w:r w:rsidRPr="00E04FAA">
                          <w:rPr>
                            <w:rFonts w:hint="eastAsia"/>
                            <w:szCs w:val="21"/>
                          </w:rPr>
                          <w:t>指</w:t>
                        </w:r>
                      </w:p>
                    </w:sdtContent>
                  </w:sdt>
                </w:tc>
                <w:sdt>
                  <w:sdtPr>
                    <w:rPr>
                      <w:rFonts w:hint="eastAsia"/>
                      <w:szCs w:val="21"/>
                    </w:rPr>
                    <w:alias w:val="常用词语释义"/>
                    <w:tag w:val="_GBC_b625dd71b03542c3b074c2ce59de70ad"/>
                    <w:id w:val="1126277128"/>
                    <w:lock w:val="sdtLocked"/>
                  </w:sdtPr>
                  <w:sdtContent>
                    <w:tc>
                      <w:tcPr>
                        <w:tcW w:w="4859" w:type="dxa"/>
                      </w:tcPr>
                      <w:p w:rsidR="00B919BA" w:rsidRPr="00E04FAA" w:rsidRDefault="00B919BA" w:rsidP="00567368">
                        <w:pPr>
                          <w:rPr>
                            <w:szCs w:val="21"/>
                          </w:rPr>
                        </w:pPr>
                        <w:r w:rsidRPr="00E04FAA">
                          <w:rPr>
                            <w:rFonts w:hint="eastAsia"/>
                            <w:szCs w:val="21"/>
                          </w:rPr>
                          <w:t>“企业资源计划”（Enterprise Resources Planning）的英文缩写，是一种企业应用软件系统。</w:t>
                        </w:r>
                      </w:p>
                    </w:tc>
                  </w:sdtContent>
                </w:sdt>
              </w:tr>
            </w:sdtContent>
          </w:sdt>
          <w:sdt>
            <w:sdtPr>
              <w:rPr>
                <w:rFonts w:ascii="Calibri" w:eastAsiaTheme="minorEastAsia" w:hAnsi="Calibri" w:cstheme="minorBidi" w:hint="eastAsia"/>
                <w:kern w:val="2"/>
                <w:szCs w:val="21"/>
              </w:rPr>
              <w:alias w:val="释义"/>
              <w:tag w:val="_GBC_ca5c2cb7a4e545e2b2d9d1b94b528746"/>
              <w:id w:val="123584329"/>
              <w:lock w:val="sdtLocked"/>
              <w:placeholder>
                <w:docPart w:val="BEE5AF6F78164D4B9BD29E8B1CCF250D"/>
              </w:placeholder>
            </w:sdtPr>
            <w:sdtContent>
              <w:tr w:rsidR="00B919BA" w:rsidRPr="00E04FAA" w:rsidTr="00567368">
                <w:tc>
                  <w:tcPr>
                    <w:tcW w:w="2122" w:type="dxa"/>
                  </w:tcPr>
                  <w:p w:rsidR="00B919BA" w:rsidRPr="00E04FAA" w:rsidRDefault="00B919BA" w:rsidP="00567368">
                    <w:pPr>
                      <w:rPr>
                        <w:szCs w:val="21"/>
                      </w:rPr>
                    </w:pPr>
                    <w:r w:rsidRPr="00E04FAA">
                      <w:t>HRM</w:t>
                    </w:r>
                  </w:p>
                </w:tc>
                <w:tc>
                  <w:tcPr>
                    <w:tcW w:w="1842" w:type="dxa"/>
                  </w:tcPr>
                  <w:sdt>
                    <w:sdtPr>
                      <w:rPr>
                        <w:rFonts w:hint="eastAsia"/>
                        <w:szCs w:val="21"/>
                      </w:rPr>
                      <w:tag w:val="_PLD_289cf7e5c3a845d59c038a21dcd4a571"/>
                      <w:id w:val="1047721181"/>
                      <w:lock w:val="sdtLocked"/>
                    </w:sdtPr>
                    <w:sdtContent>
                      <w:p w:rsidR="00B919BA" w:rsidRPr="00E04FAA" w:rsidRDefault="00B919BA" w:rsidP="00567368">
                        <w:pPr>
                          <w:jc w:val="center"/>
                          <w:rPr>
                            <w:szCs w:val="21"/>
                          </w:rPr>
                        </w:pPr>
                        <w:r w:rsidRPr="00E04FAA">
                          <w:rPr>
                            <w:rFonts w:hint="eastAsia"/>
                            <w:szCs w:val="21"/>
                          </w:rPr>
                          <w:t>指</w:t>
                        </w:r>
                      </w:p>
                    </w:sdtContent>
                  </w:sdt>
                </w:tc>
                <w:sdt>
                  <w:sdtPr>
                    <w:rPr>
                      <w:rFonts w:hint="eastAsia"/>
                      <w:szCs w:val="21"/>
                    </w:rPr>
                    <w:alias w:val="常用词语释义"/>
                    <w:tag w:val="_GBC_b625dd71b03542c3b074c2ce59de70ad"/>
                    <w:id w:val="537783222"/>
                    <w:lock w:val="sdtLocked"/>
                  </w:sdtPr>
                  <w:sdtContent>
                    <w:tc>
                      <w:tcPr>
                        <w:tcW w:w="4859" w:type="dxa"/>
                      </w:tcPr>
                      <w:p w:rsidR="00B919BA" w:rsidRPr="00E04FAA" w:rsidRDefault="00B919BA" w:rsidP="00567368">
                        <w:pPr>
                          <w:rPr>
                            <w:szCs w:val="21"/>
                          </w:rPr>
                        </w:pPr>
                        <w:r w:rsidRPr="00E04FAA">
                          <w:rPr>
                            <w:rFonts w:hint="eastAsia"/>
                            <w:szCs w:val="21"/>
                          </w:rPr>
                          <w:t>“人力资源管理”（Human Resources Management）的英文缩写，是一种企业应用软件系统。</w:t>
                        </w:r>
                      </w:p>
                    </w:tc>
                  </w:sdtContent>
                </w:sdt>
              </w:tr>
            </w:sdtContent>
          </w:sdt>
          <w:sdt>
            <w:sdtPr>
              <w:rPr>
                <w:rFonts w:ascii="Calibri" w:eastAsiaTheme="minorEastAsia" w:hAnsi="Calibri" w:cstheme="minorBidi" w:hint="eastAsia"/>
                <w:kern w:val="2"/>
                <w:szCs w:val="21"/>
              </w:rPr>
              <w:alias w:val="释义"/>
              <w:tag w:val="_GBC_ca5c2cb7a4e545e2b2d9d1b94b528746"/>
              <w:id w:val="791949914"/>
              <w:lock w:val="sdtLocked"/>
              <w:placeholder>
                <w:docPart w:val="BEE5AF6F78164D4B9BD29E8B1CCF250D"/>
              </w:placeholder>
            </w:sdtPr>
            <w:sdtContent>
              <w:tr w:rsidR="00B919BA" w:rsidRPr="00E04FAA" w:rsidTr="00567368">
                <w:tc>
                  <w:tcPr>
                    <w:tcW w:w="2122" w:type="dxa"/>
                  </w:tcPr>
                  <w:p w:rsidR="00B919BA" w:rsidRPr="00E04FAA" w:rsidRDefault="00B919BA" w:rsidP="00567368">
                    <w:pPr>
                      <w:rPr>
                        <w:szCs w:val="21"/>
                      </w:rPr>
                    </w:pPr>
                    <w:r w:rsidRPr="00E04FAA">
                      <w:t>OA</w:t>
                    </w:r>
                  </w:p>
                </w:tc>
                <w:tc>
                  <w:tcPr>
                    <w:tcW w:w="1842" w:type="dxa"/>
                  </w:tcPr>
                  <w:sdt>
                    <w:sdtPr>
                      <w:rPr>
                        <w:rFonts w:hint="eastAsia"/>
                        <w:szCs w:val="21"/>
                      </w:rPr>
                      <w:tag w:val="_PLD_289cf7e5c3a845d59c038a21dcd4a571"/>
                      <w:id w:val="-1113438411"/>
                      <w:lock w:val="sdtLocked"/>
                    </w:sdtPr>
                    <w:sdtContent>
                      <w:p w:rsidR="00B919BA" w:rsidRPr="00E04FAA" w:rsidRDefault="00B919BA" w:rsidP="00567368">
                        <w:pPr>
                          <w:jc w:val="center"/>
                          <w:rPr>
                            <w:szCs w:val="21"/>
                          </w:rPr>
                        </w:pPr>
                        <w:r w:rsidRPr="00E04FAA">
                          <w:rPr>
                            <w:rFonts w:hint="eastAsia"/>
                            <w:szCs w:val="21"/>
                          </w:rPr>
                          <w:t>指</w:t>
                        </w:r>
                      </w:p>
                    </w:sdtContent>
                  </w:sdt>
                </w:tc>
                <w:sdt>
                  <w:sdtPr>
                    <w:rPr>
                      <w:rFonts w:hint="eastAsia"/>
                      <w:szCs w:val="21"/>
                    </w:rPr>
                    <w:alias w:val="常用词语释义"/>
                    <w:tag w:val="_GBC_b625dd71b03542c3b074c2ce59de70ad"/>
                    <w:id w:val="-2439608"/>
                    <w:lock w:val="sdtLocked"/>
                  </w:sdtPr>
                  <w:sdtContent>
                    <w:tc>
                      <w:tcPr>
                        <w:tcW w:w="4859" w:type="dxa"/>
                      </w:tcPr>
                      <w:p w:rsidR="00B919BA" w:rsidRPr="00E04FAA" w:rsidRDefault="00B919BA" w:rsidP="00567368">
                        <w:pPr>
                          <w:rPr>
                            <w:szCs w:val="21"/>
                          </w:rPr>
                        </w:pPr>
                        <w:r w:rsidRPr="00E04FAA">
                          <w:rPr>
                            <w:rFonts w:hint="eastAsia"/>
                            <w:szCs w:val="21"/>
                          </w:rPr>
                          <w:t>“办公自动化”（Office Automation）的英文缩写，是一种企业应用软件系统。</w:t>
                        </w:r>
                      </w:p>
                    </w:tc>
                  </w:sdtContent>
                </w:sdt>
              </w:tr>
            </w:sdtContent>
          </w:sdt>
          <w:sdt>
            <w:sdtPr>
              <w:rPr>
                <w:rFonts w:ascii="Calibri" w:eastAsiaTheme="minorEastAsia" w:hAnsi="Calibri" w:cstheme="minorBidi" w:hint="eastAsia"/>
                <w:kern w:val="2"/>
                <w:szCs w:val="21"/>
              </w:rPr>
              <w:alias w:val="释义"/>
              <w:tag w:val="_GBC_ca5c2cb7a4e545e2b2d9d1b94b528746"/>
              <w:id w:val="-2118123203"/>
              <w:lock w:val="sdtLocked"/>
              <w:placeholder>
                <w:docPart w:val="BEE5AF6F78164D4B9BD29E8B1CCF250D"/>
              </w:placeholder>
            </w:sdtPr>
            <w:sdtContent>
              <w:tr w:rsidR="00B919BA" w:rsidRPr="00E04FAA" w:rsidTr="00567368">
                <w:tc>
                  <w:tcPr>
                    <w:tcW w:w="2122" w:type="dxa"/>
                  </w:tcPr>
                  <w:p w:rsidR="00B919BA" w:rsidRPr="00E04FAA" w:rsidRDefault="00B919BA" w:rsidP="00567368">
                    <w:pPr>
                      <w:rPr>
                        <w:szCs w:val="21"/>
                      </w:rPr>
                    </w:pPr>
                    <w:r w:rsidRPr="00E04FAA">
                      <w:t>用友ERP-NC</w:t>
                    </w:r>
                  </w:p>
                </w:tc>
                <w:tc>
                  <w:tcPr>
                    <w:tcW w:w="1842" w:type="dxa"/>
                  </w:tcPr>
                  <w:sdt>
                    <w:sdtPr>
                      <w:rPr>
                        <w:rFonts w:hint="eastAsia"/>
                        <w:szCs w:val="21"/>
                      </w:rPr>
                      <w:tag w:val="_PLD_289cf7e5c3a845d59c038a21dcd4a571"/>
                      <w:id w:val="-293523287"/>
                      <w:lock w:val="sdtLocked"/>
                    </w:sdtPr>
                    <w:sdtContent>
                      <w:p w:rsidR="00B919BA" w:rsidRPr="00E04FAA" w:rsidRDefault="00B919BA" w:rsidP="00567368">
                        <w:pPr>
                          <w:jc w:val="center"/>
                          <w:rPr>
                            <w:szCs w:val="21"/>
                          </w:rPr>
                        </w:pPr>
                        <w:r w:rsidRPr="00E04FAA">
                          <w:rPr>
                            <w:rFonts w:hint="eastAsia"/>
                            <w:szCs w:val="21"/>
                          </w:rPr>
                          <w:t>指</w:t>
                        </w:r>
                      </w:p>
                    </w:sdtContent>
                  </w:sdt>
                </w:tc>
                <w:sdt>
                  <w:sdtPr>
                    <w:rPr>
                      <w:rFonts w:hint="eastAsia"/>
                      <w:szCs w:val="21"/>
                    </w:rPr>
                    <w:alias w:val="常用词语释义"/>
                    <w:tag w:val="_GBC_b625dd71b03542c3b074c2ce59de70ad"/>
                    <w:id w:val="304749855"/>
                    <w:lock w:val="sdtLocked"/>
                  </w:sdtPr>
                  <w:sdtContent>
                    <w:tc>
                      <w:tcPr>
                        <w:tcW w:w="4859" w:type="dxa"/>
                      </w:tcPr>
                      <w:p w:rsidR="00B919BA" w:rsidRPr="00E04FAA" w:rsidRDefault="00B919BA" w:rsidP="00567368">
                        <w:pPr>
                          <w:rPr>
                            <w:szCs w:val="21"/>
                          </w:rPr>
                        </w:pPr>
                        <w:r w:rsidRPr="00E04FAA">
                          <w:rPr>
                            <w:rFonts w:hint="eastAsia"/>
                            <w:szCs w:val="21"/>
                          </w:rPr>
                          <w:t>NC是“新世纪”（New Century）的英文缩写，公司推出的面向大型客户的企业应用软件系列产品名称。</w:t>
                        </w:r>
                      </w:p>
                    </w:tc>
                  </w:sdtContent>
                </w:sdt>
              </w:tr>
            </w:sdtContent>
          </w:sdt>
          <w:sdt>
            <w:sdtPr>
              <w:rPr>
                <w:rFonts w:ascii="Calibri" w:eastAsiaTheme="minorEastAsia" w:hAnsi="Calibri" w:cstheme="minorBidi" w:hint="eastAsia"/>
                <w:kern w:val="2"/>
                <w:szCs w:val="21"/>
              </w:rPr>
              <w:alias w:val="释义"/>
              <w:tag w:val="_GBC_ca5c2cb7a4e545e2b2d9d1b94b528746"/>
              <w:id w:val="-1838224396"/>
              <w:lock w:val="sdtLocked"/>
              <w:placeholder>
                <w:docPart w:val="BEE5AF6F78164D4B9BD29E8B1CCF250D"/>
              </w:placeholder>
            </w:sdtPr>
            <w:sdtContent>
              <w:tr w:rsidR="00B919BA" w:rsidRPr="00E04FAA" w:rsidTr="00567368">
                <w:tc>
                  <w:tcPr>
                    <w:tcW w:w="2122" w:type="dxa"/>
                  </w:tcPr>
                  <w:p w:rsidR="00B919BA" w:rsidRPr="00E04FAA" w:rsidRDefault="00B919BA" w:rsidP="00567368">
                    <w:pPr>
                      <w:rPr>
                        <w:szCs w:val="21"/>
                      </w:rPr>
                    </w:pPr>
                    <w:r w:rsidRPr="00E04FAA">
                      <w:t>用友ERP-U8</w:t>
                    </w:r>
                  </w:p>
                </w:tc>
                <w:tc>
                  <w:tcPr>
                    <w:tcW w:w="1842" w:type="dxa"/>
                  </w:tcPr>
                  <w:sdt>
                    <w:sdtPr>
                      <w:rPr>
                        <w:rFonts w:hint="eastAsia"/>
                        <w:szCs w:val="21"/>
                      </w:rPr>
                      <w:tag w:val="_PLD_289cf7e5c3a845d59c038a21dcd4a571"/>
                      <w:id w:val="-1062095515"/>
                      <w:lock w:val="sdtLocked"/>
                    </w:sdtPr>
                    <w:sdtContent>
                      <w:p w:rsidR="00B919BA" w:rsidRPr="00E04FAA" w:rsidRDefault="00B919BA" w:rsidP="00567368">
                        <w:pPr>
                          <w:jc w:val="center"/>
                          <w:rPr>
                            <w:szCs w:val="21"/>
                          </w:rPr>
                        </w:pPr>
                        <w:r w:rsidRPr="00E04FAA">
                          <w:rPr>
                            <w:rFonts w:hint="eastAsia"/>
                            <w:szCs w:val="21"/>
                          </w:rPr>
                          <w:t>指</w:t>
                        </w:r>
                      </w:p>
                    </w:sdtContent>
                  </w:sdt>
                </w:tc>
                <w:sdt>
                  <w:sdtPr>
                    <w:rPr>
                      <w:rFonts w:hint="eastAsia"/>
                      <w:szCs w:val="21"/>
                    </w:rPr>
                    <w:alias w:val="常用词语释义"/>
                    <w:tag w:val="_GBC_b625dd71b03542c3b074c2ce59de70ad"/>
                    <w:id w:val="1146392368"/>
                    <w:lock w:val="sdtLocked"/>
                  </w:sdtPr>
                  <w:sdtContent>
                    <w:tc>
                      <w:tcPr>
                        <w:tcW w:w="4859" w:type="dxa"/>
                      </w:tcPr>
                      <w:p w:rsidR="00B919BA" w:rsidRPr="00E04FAA" w:rsidRDefault="00B919BA" w:rsidP="00567368">
                        <w:pPr>
                          <w:rPr>
                            <w:szCs w:val="21"/>
                          </w:rPr>
                        </w:pPr>
                        <w:r w:rsidRPr="00E04FAA">
                          <w:rPr>
                            <w:rFonts w:hint="eastAsia"/>
                            <w:szCs w:val="21"/>
                          </w:rPr>
                          <w:t>公司推出的面向中型客户的企业应用软件系列产品名称。</w:t>
                        </w:r>
                      </w:p>
                    </w:tc>
                  </w:sdtContent>
                </w:sdt>
              </w:tr>
            </w:sdtContent>
          </w:sdt>
          <w:sdt>
            <w:sdtPr>
              <w:rPr>
                <w:rFonts w:ascii="Calibri" w:eastAsiaTheme="minorEastAsia" w:hAnsi="Calibri" w:cstheme="minorBidi" w:hint="eastAsia"/>
                <w:kern w:val="2"/>
                <w:szCs w:val="21"/>
              </w:rPr>
              <w:alias w:val="释义"/>
              <w:tag w:val="_GBC_ca5c2cb7a4e545e2b2d9d1b94b528746"/>
              <w:id w:val="1153949646"/>
              <w:lock w:val="sdtLocked"/>
              <w:placeholder>
                <w:docPart w:val="BEE5AF6F78164D4B9BD29E8B1CCF250D"/>
              </w:placeholder>
            </w:sdtPr>
            <w:sdtContent>
              <w:tr w:rsidR="00B919BA" w:rsidRPr="00E04FAA" w:rsidTr="00567368">
                <w:tc>
                  <w:tcPr>
                    <w:tcW w:w="2122" w:type="dxa"/>
                  </w:tcPr>
                  <w:p w:rsidR="00B919BA" w:rsidRPr="00E04FAA" w:rsidRDefault="00B919BA" w:rsidP="00567368">
                    <w:pPr>
                      <w:rPr>
                        <w:szCs w:val="21"/>
                      </w:rPr>
                    </w:pPr>
                    <w:r w:rsidRPr="00E04FAA">
                      <w:t>畅捷通系列产品</w:t>
                    </w:r>
                  </w:p>
                </w:tc>
                <w:tc>
                  <w:tcPr>
                    <w:tcW w:w="1842" w:type="dxa"/>
                  </w:tcPr>
                  <w:sdt>
                    <w:sdtPr>
                      <w:rPr>
                        <w:rFonts w:hint="eastAsia"/>
                        <w:szCs w:val="21"/>
                      </w:rPr>
                      <w:tag w:val="_PLD_289cf7e5c3a845d59c038a21dcd4a571"/>
                      <w:id w:val="1456987805"/>
                      <w:lock w:val="sdtLocked"/>
                    </w:sdtPr>
                    <w:sdtContent>
                      <w:p w:rsidR="00B919BA" w:rsidRPr="00E04FAA" w:rsidRDefault="00B919BA" w:rsidP="00567368">
                        <w:pPr>
                          <w:jc w:val="center"/>
                          <w:rPr>
                            <w:szCs w:val="21"/>
                          </w:rPr>
                        </w:pPr>
                        <w:r w:rsidRPr="00E04FAA">
                          <w:rPr>
                            <w:rFonts w:hint="eastAsia"/>
                            <w:szCs w:val="21"/>
                          </w:rPr>
                          <w:t>指</w:t>
                        </w:r>
                      </w:p>
                    </w:sdtContent>
                  </w:sdt>
                </w:tc>
                <w:sdt>
                  <w:sdtPr>
                    <w:rPr>
                      <w:rFonts w:hint="eastAsia"/>
                      <w:szCs w:val="21"/>
                    </w:rPr>
                    <w:alias w:val="常用词语释义"/>
                    <w:tag w:val="_GBC_b625dd71b03542c3b074c2ce59de70ad"/>
                    <w:id w:val="-1876232694"/>
                    <w:lock w:val="sdtLocked"/>
                  </w:sdtPr>
                  <w:sdtContent>
                    <w:tc>
                      <w:tcPr>
                        <w:tcW w:w="4859" w:type="dxa"/>
                      </w:tcPr>
                      <w:p w:rsidR="00B919BA" w:rsidRPr="00E04FAA" w:rsidRDefault="00B919BA" w:rsidP="00567368">
                        <w:pPr>
                          <w:rPr>
                            <w:szCs w:val="21"/>
                          </w:rPr>
                        </w:pPr>
                        <w:r w:rsidRPr="00E04FAA">
                          <w:rPr>
                            <w:rFonts w:hint="eastAsia"/>
                            <w:szCs w:val="21"/>
                          </w:rPr>
                          <w:t>公司推出的面向小微型客户的企业应用软件系列产品名称。</w:t>
                        </w:r>
                      </w:p>
                    </w:tc>
                  </w:sdtContent>
                </w:sdt>
              </w:tr>
            </w:sdtContent>
          </w:sdt>
          <w:sdt>
            <w:sdtPr>
              <w:rPr>
                <w:rFonts w:ascii="Calibri" w:eastAsiaTheme="minorEastAsia" w:hAnsi="Calibri" w:cstheme="minorBidi" w:hint="eastAsia"/>
                <w:kern w:val="2"/>
                <w:szCs w:val="21"/>
              </w:rPr>
              <w:alias w:val="释义"/>
              <w:tag w:val="_GBC_ca5c2cb7a4e545e2b2d9d1b94b528746"/>
              <w:id w:val="-1692444891"/>
              <w:lock w:val="sdtLocked"/>
              <w:placeholder>
                <w:docPart w:val="BEE5AF6F78164D4B9BD29E8B1CCF250D"/>
              </w:placeholder>
            </w:sdtPr>
            <w:sdtContent>
              <w:tr w:rsidR="00B919BA" w:rsidRPr="00E04FAA" w:rsidTr="00567368">
                <w:tc>
                  <w:tcPr>
                    <w:tcW w:w="2122" w:type="dxa"/>
                  </w:tcPr>
                  <w:p w:rsidR="00B919BA" w:rsidRPr="00E04FAA" w:rsidRDefault="00B919BA" w:rsidP="00567368">
                    <w:pPr>
                      <w:rPr>
                        <w:szCs w:val="21"/>
                      </w:rPr>
                    </w:pPr>
                    <w:r w:rsidRPr="00E04FAA">
                      <w:t>CRM</w:t>
                    </w:r>
                  </w:p>
                </w:tc>
                <w:tc>
                  <w:tcPr>
                    <w:tcW w:w="1842" w:type="dxa"/>
                  </w:tcPr>
                  <w:sdt>
                    <w:sdtPr>
                      <w:rPr>
                        <w:rFonts w:hint="eastAsia"/>
                        <w:szCs w:val="21"/>
                      </w:rPr>
                      <w:tag w:val="_PLD_289cf7e5c3a845d59c038a21dcd4a571"/>
                      <w:id w:val="1053268756"/>
                      <w:lock w:val="sdtLocked"/>
                    </w:sdtPr>
                    <w:sdtContent>
                      <w:p w:rsidR="00B919BA" w:rsidRPr="00E04FAA" w:rsidRDefault="00B919BA" w:rsidP="00567368">
                        <w:pPr>
                          <w:jc w:val="center"/>
                          <w:rPr>
                            <w:szCs w:val="21"/>
                          </w:rPr>
                        </w:pPr>
                        <w:r w:rsidRPr="00E04FAA">
                          <w:rPr>
                            <w:rFonts w:hint="eastAsia"/>
                            <w:szCs w:val="21"/>
                          </w:rPr>
                          <w:t>指</w:t>
                        </w:r>
                      </w:p>
                    </w:sdtContent>
                  </w:sdt>
                </w:tc>
                <w:sdt>
                  <w:sdtPr>
                    <w:rPr>
                      <w:rFonts w:hint="eastAsia"/>
                      <w:szCs w:val="21"/>
                    </w:rPr>
                    <w:alias w:val="常用词语释义"/>
                    <w:tag w:val="_GBC_b625dd71b03542c3b074c2ce59de70ad"/>
                    <w:id w:val="-1215265950"/>
                    <w:lock w:val="sdtLocked"/>
                  </w:sdtPr>
                  <w:sdtContent>
                    <w:tc>
                      <w:tcPr>
                        <w:tcW w:w="4859" w:type="dxa"/>
                      </w:tcPr>
                      <w:p w:rsidR="00B919BA" w:rsidRPr="00E04FAA" w:rsidRDefault="00B919BA" w:rsidP="00567368">
                        <w:pPr>
                          <w:rPr>
                            <w:szCs w:val="21"/>
                          </w:rPr>
                        </w:pPr>
                        <w:r w:rsidRPr="00E04FAA">
                          <w:rPr>
                            <w:rFonts w:hint="eastAsia"/>
                            <w:szCs w:val="21"/>
                          </w:rPr>
                          <w:t>“客户关系管理软件”（Customer Relationship Management）的英文缩写，是一种企业应用软件系统。</w:t>
                        </w:r>
                      </w:p>
                    </w:tc>
                  </w:sdtContent>
                </w:sdt>
              </w:tr>
            </w:sdtContent>
          </w:sdt>
          <w:sdt>
            <w:sdtPr>
              <w:rPr>
                <w:rFonts w:ascii="Calibri" w:eastAsiaTheme="minorEastAsia" w:hAnsi="Calibri" w:cstheme="minorBidi" w:hint="eastAsia"/>
                <w:kern w:val="2"/>
                <w:szCs w:val="21"/>
              </w:rPr>
              <w:alias w:val="释义"/>
              <w:tag w:val="_GBC_ca5c2cb7a4e545e2b2d9d1b94b528746"/>
              <w:id w:val="210242394"/>
              <w:lock w:val="sdtLocked"/>
              <w:placeholder>
                <w:docPart w:val="BEE5AF6F78164D4B9BD29E8B1CCF250D"/>
              </w:placeholder>
            </w:sdtPr>
            <w:sdtContent>
              <w:tr w:rsidR="00B919BA" w:rsidRPr="00E04FAA" w:rsidTr="00567368">
                <w:tc>
                  <w:tcPr>
                    <w:tcW w:w="2122" w:type="dxa"/>
                  </w:tcPr>
                  <w:p w:rsidR="00B919BA" w:rsidRPr="00E04FAA" w:rsidRDefault="00B919BA" w:rsidP="00567368">
                    <w:pPr>
                      <w:rPr>
                        <w:szCs w:val="21"/>
                      </w:rPr>
                    </w:pPr>
                    <w:r w:rsidRPr="00E04FAA">
                      <w:t>PLM</w:t>
                    </w:r>
                  </w:p>
                </w:tc>
                <w:tc>
                  <w:tcPr>
                    <w:tcW w:w="1842" w:type="dxa"/>
                  </w:tcPr>
                  <w:sdt>
                    <w:sdtPr>
                      <w:rPr>
                        <w:rFonts w:hint="eastAsia"/>
                        <w:szCs w:val="21"/>
                      </w:rPr>
                      <w:tag w:val="_PLD_289cf7e5c3a845d59c038a21dcd4a571"/>
                      <w:id w:val="1961532851"/>
                      <w:lock w:val="sdtLocked"/>
                    </w:sdtPr>
                    <w:sdtContent>
                      <w:p w:rsidR="00B919BA" w:rsidRPr="00E04FAA" w:rsidRDefault="00B919BA" w:rsidP="00567368">
                        <w:pPr>
                          <w:jc w:val="center"/>
                          <w:rPr>
                            <w:szCs w:val="21"/>
                          </w:rPr>
                        </w:pPr>
                        <w:r w:rsidRPr="00E04FAA">
                          <w:rPr>
                            <w:rFonts w:hint="eastAsia"/>
                            <w:szCs w:val="21"/>
                          </w:rPr>
                          <w:t>指</w:t>
                        </w:r>
                      </w:p>
                    </w:sdtContent>
                  </w:sdt>
                </w:tc>
                <w:sdt>
                  <w:sdtPr>
                    <w:rPr>
                      <w:rFonts w:hint="eastAsia"/>
                      <w:szCs w:val="21"/>
                    </w:rPr>
                    <w:alias w:val="常用词语释义"/>
                    <w:tag w:val="_GBC_b625dd71b03542c3b074c2ce59de70ad"/>
                    <w:id w:val="764196142"/>
                    <w:lock w:val="sdtLocked"/>
                  </w:sdtPr>
                  <w:sdtContent>
                    <w:tc>
                      <w:tcPr>
                        <w:tcW w:w="4859" w:type="dxa"/>
                      </w:tcPr>
                      <w:p w:rsidR="00B919BA" w:rsidRPr="00E04FAA" w:rsidRDefault="00B919BA" w:rsidP="00567368">
                        <w:pPr>
                          <w:rPr>
                            <w:szCs w:val="21"/>
                          </w:rPr>
                        </w:pPr>
                        <w:r w:rsidRPr="00E04FAA">
                          <w:rPr>
                            <w:rFonts w:hint="eastAsia"/>
                            <w:szCs w:val="21"/>
                          </w:rPr>
                          <w:t>“产品数据管理”（Product Data Management）的英文缩写，是一种以产品为核心，对产品相关的数据、过程、资源一体化集成管理的系统。</w:t>
                        </w:r>
                      </w:p>
                    </w:tc>
                  </w:sdtContent>
                </w:sdt>
              </w:tr>
            </w:sdtContent>
          </w:sdt>
          <w:sdt>
            <w:sdtPr>
              <w:rPr>
                <w:rFonts w:ascii="Calibri" w:eastAsiaTheme="minorEastAsia" w:hAnsi="Calibri" w:cstheme="minorBidi" w:hint="eastAsia"/>
                <w:kern w:val="2"/>
                <w:szCs w:val="21"/>
              </w:rPr>
              <w:alias w:val="释义"/>
              <w:tag w:val="_GBC_ca5c2cb7a4e545e2b2d9d1b94b528746"/>
              <w:id w:val="-657616197"/>
              <w:lock w:val="sdtLocked"/>
              <w:placeholder>
                <w:docPart w:val="BEE5AF6F78164D4B9BD29E8B1CCF250D"/>
              </w:placeholder>
            </w:sdtPr>
            <w:sdtContent>
              <w:tr w:rsidR="00B919BA" w:rsidRPr="00E04FAA" w:rsidTr="00567368">
                <w:tc>
                  <w:tcPr>
                    <w:tcW w:w="2122" w:type="dxa"/>
                  </w:tcPr>
                  <w:p w:rsidR="00B919BA" w:rsidRPr="00E04FAA" w:rsidRDefault="00B919BA" w:rsidP="00567368">
                    <w:pPr>
                      <w:rPr>
                        <w:szCs w:val="21"/>
                      </w:rPr>
                    </w:pPr>
                    <w:proofErr w:type="spellStart"/>
                    <w:r w:rsidRPr="00E04FAA">
                      <w:t>iUAP</w:t>
                    </w:r>
                    <w:proofErr w:type="spellEnd"/>
                  </w:p>
                </w:tc>
                <w:tc>
                  <w:tcPr>
                    <w:tcW w:w="1842" w:type="dxa"/>
                  </w:tcPr>
                  <w:sdt>
                    <w:sdtPr>
                      <w:rPr>
                        <w:rFonts w:hint="eastAsia"/>
                        <w:szCs w:val="21"/>
                      </w:rPr>
                      <w:tag w:val="_PLD_289cf7e5c3a845d59c038a21dcd4a571"/>
                      <w:id w:val="-804011759"/>
                      <w:lock w:val="sdtLocked"/>
                    </w:sdtPr>
                    <w:sdtContent>
                      <w:p w:rsidR="00B919BA" w:rsidRPr="00E04FAA" w:rsidRDefault="00B919BA" w:rsidP="00567368">
                        <w:pPr>
                          <w:jc w:val="center"/>
                          <w:rPr>
                            <w:szCs w:val="21"/>
                          </w:rPr>
                        </w:pPr>
                        <w:r w:rsidRPr="00E04FAA">
                          <w:rPr>
                            <w:rFonts w:hint="eastAsia"/>
                            <w:szCs w:val="21"/>
                          </w:rPr>
                          <w:t>指</w:t>
                        </w:r>
                      </w:p>
                    </w:sdtContent>
                  </w:sdt>
                </w:tc>
                <w:sdt>
                  <w:sdtPr>
                    <w:rPr>
                      <w:rFonts w:hint="eastAsia"/>
                      <w:szCs w:val="21"/>
                    </w:rPr>
                    <w:alias w:val="常用词语释义"/>
                    <w:tag w:val="_GBC_b625dd71b03542c3b074c2ce59de70ad"/>
                    <w:id w:val="257720634"/>
                    <w:lock w:val="sdtLocked"/>
                  </w:sdtPr>
                  <w:sdtContent>
                    <w:tc>
                      <w:tcPr>
                        <w:tcW w:w="4859" w:type="dxa"/>
                      </w:tcPr>
                      <w:p w:rsidR="00B919BA" w:rsidRPr="00E04FAA" w:rsidRDefault="00B919BA" w:rsidP="00567368">
                        <w:pPr>
                          <w:rPr>
                            <w:szCs w:val="21"/>
                          </w:rPr>
                        </w:pPr>
                        <w:r w:rsidRPr="00E04FAA">
                          <w:rPr>
                            <w:rFonts w:hint="eastAsia"/>
                            <w:szCs w:val="21"/>
                          </w:rPr>
                          <w:t>是公司开发的面向大中型企业的企业互联网开放平台。</w:t>
                        </w:r>
                      </w:p>
                    </w:tc>
                  </w:sdtContent>
                </w:sdt>
              </w:tr>
            </w:sdtContent>
          </w:sdt>
          <w:sdt>
            <w:sdtPr>
              <w:rPr>
                <w:rFonts w:ascii="Calibri" w:eastAsiaTheme="minorEastAsia" w:hAnsi="Calibri" w:cstheme="minorBidi" w:hint="eastAsia"/>
                <w:kern w:val="2"/>
                <w:szCs w:val="21"/>
              </w:rPr>
              <w:alias w:val="释义"/>
              <w:tag w:val="_GBC_ca5c2cb7a4e545e2b2d9d1b94b528746"/>
              <w:id w:val="1032762933"/>
              <w:lock w:val="sdtLocked"/>
              <w:placeholder>
                <w:docPart w:val="BEE5AF6F78164D4B9BD29E8B1CCF250D"/>
              </w:placeholder>
            </w:sdtPr>
            <w:sdtContent>
              <w:tr w:rsidR="00B919BA" w:rsidRPr="00E04FAA" w:rsidTr="00567368">
                <w:tc>
                  <w:tcPr>
                    <w:tcW w:w="2122" w:type="dxa"/>
                  </w:tcPr>
                  <w:p w:rsidR="00B919BA" w:rsidRPr="00E04FAA" w:rsidRDefault="00B919BA" w:rsidP="00567368">
                    <w:pPr>
                      <w:rPr>
                        <w:szCs w:val="21"/>
                      </w:rPr>
                    </w:pPr>
                    <w:r w:rsidRPr="00E04FAA">
                      <w:t>SaaS</w:t>
                    </w:r>
                  </w:p>
                </w:tc>
                <w:tc>
                  <w:tcPr>
                    <w:tcW w:w="1842" w:type="dxa"/>
                  </w:tcPr>
                  <w:sdt>
                    <w:sdtPr>
                      <w:rPr>
                        <w:rFonts w:hint="eastAsia"/>
                        <w:szCs w:val="21"/>
                      </w:rPr>
                      <w:tag w:val="_PLD_289cf7e5c3a845d59c038a21dcd4a571"/>
                      <w:id w:val="1823545465"/>
                      <w:lock w:val="sdtLocked"/>
                    </w:sdtPr>
                    <w:sdtContent>
                      <w:p w:rsidR="00B919BA" w:rsidRPr="00E04FAA" w:rsidRDefault="00B919BA" w:rsidP="00567368">
                        <w:pPr>
                          <w:jc w:val="center"/>
                          <w:rPr>
                            <w:szCs w:val="21"/>
                          </w:rPr>
                        </w:pPr>
                        <w:r w:rsidRPr="00E04FAA">
                          <w:rPr>
                            <w:rFonts w:hint="eastAsia"/>
                            <w:szCs w:val="21"/>
                          </w:rPr>
                          <w:t>指</w:t>
                        </w:r>
                      </w:p>
                    </w:sdtContent>
                  </w:sdt>
                </w:tc>
                <w:sdt>
                  <w:sdtPr>
                    <w:rPr>
                      <w:rFonts w:hint="eastAsia"/>
                      <w:szCs w:val="21"/>
                    </w:rPr>
                    <w:alias w:val="常用词语释义"/>
                    <w:tag w:val="_GBC_b625dd71b03542c3b074c2ce59de70ad"/>
                    <w:id w:val="483896469"/>
                    <w:lock w:val="sdtLocked"/>
                  </w:sdtPr>
                  <w:sdtContent>
                    <w:tc>
                      <w:tcPr>
                        <w:tcW w:w="4859" w:type="dxa"/>
                      </w:tcPr>
                      <w:p w:rsidR="00B919BA" w:rsidRPr="00E04FAA" w:rsidRDefault="00B919BA" w:rsidP="00567368">
                        <w:pPr>
                          <w:rPr>
                            <w:szCs w:val="21"/>
                          </w:rPr>
                        </w:pPr>
                        <w:r w:rsidRPr="00E04FAA">
                          <w:rPr>
                            <w:rFonts w:hint="eastAsia"/>
                            <w:szCs w:val="21"/>
                          </w:rPr>
                          <w:t>“软件作为服务”（Software as a Service）的英文缩写，是云计算模式下的应用软件服务。</w:t>
                        </w:r>
                      </w:p>
                    </w:tc>
                  </w:sdtContent>
                </w:sdt>
              </w:tr>
            </w:sdtContent>
          </w:sdt>
          <w:sdt>
            <w:sdtPr>
              <w:rPr>
                <w:rFonts w:ascii="Calibri" w:eastAsiaTheme="minorEastAsia" w:hAnsi="Calibri" w:cstheme="minorBidi" w:hint="eastAsia"/>
                <w:kern w:val="2"/>
                <w:szCs w:val="21"/>
              </w:rPr>
              <w:alias w:val="释义"/>
              <w:tag w:val="_GBC_ca5c2cb7a4e545e2b2d9d1b94b528746"/>
              <w:id w:val="1072629708"/>
              <w:lock w:val="sdtLocked"/>
              <w:placeholder>
                <w:docPart w:val="BEE5AF6F78164D4B9BD29E8B1CCF250D"/>
              </w:placeholder>
            </w:sdtPr>
            <w:sdtContent>
              <w:tr w:rsidR="00B919BA" w:rsidRPr="00E04FAA" w:rsidTr="00567368">
                <w:tc>
                  <w:tcPr>
                    <w:tcW w:w="2122" w:type="dxa"/>
                  </w:tcPr>
                  <w:p w:rsidR="00B919BA" w:rsidRPr="00E04FAA" w:rsidRDefault="00B919BA" w:rsidP="00567368">
                    <w:pPr>
                      <w:rPr>
                        <w:szCs w:val="21"/>
                      </w:rPr>
                    </w:pPr>
                    <w:r w:rsidRPr="00E04FAA">
                      <w:t>PaaS</w:t>
                    </w:r>
                  </w:p>
                </w:tc>
                <w:tc>
                  <w:tcPr>
                    <w:tcW w:w="1842" w:type="dxa"/>
                  </w:tcPr>
                  <w:sdt>
                    <w:sdtPr>
                      <w:rPr>
                        <w:rFonts w:hint="eastAsia"/>
                        <w:szCs w:val="21"/>
                      </w:rPr>
                      <w:tag w:val="_PLD_289cf7e5c3a845d59c038a21dcd4a571"/>
                      <w:id w:val="1971777387"/>
                      <w:lock w:val="sdtLocked"/>
                    </w:sdtPr>
                    <w:sdtContent>
                      <w:p w:rsidR="00B919BA" w:rsidRPr="00E04FAA" w:rsidRDefault="00B919BA" w:rsidP="00567368">
                        <w:pPr>
                          <w:jc w:val="center"/>
                          <w:rPr>
                            <w:szCs w:val="21"/>
                          </w:rPr>
                        </w:pPr>
                        <w:r w:rsidRPr="00E04FAA">
                          <w:rPr>
                            <w:rFonts w:hint="eastAsia"/>
                            <w:szCs w:val="21"/>
                          </w:rPr>
                          <w:t>指</w:t>
                        </w:r>
                      </w:p>
                    </w:sdtContent>
                  </w:sdt>
                </w:tc>
                <w:sdt>
                  <w:sdtPr>
                    <w:rPr>
                      <w:rFonts w:hint="eastAsia"/>
                      <w:szCs w:val="21"/>
                    </w:rPr>
                    <w:alias w:val="常用词语释义"/>
                    <w:tag w:val="_GBC_b625dd71b03542c3b074c2ce59de70ad"/>
                    <w:id w:val="1507628460"/>
                    <w:lock w:val="sdtLocked"/>
                  </w:sdtPr>
                  <w:sdtContent>
                    <w:tc>
                      <w:tcPr>
                        <w:tcW w:w="4859" w:type="dxa"/>
                      </w:tcPr>
                      <w:p w:rsidR="00B919BA" w:rsidRPr="00E04FAA" w:rsidRDefault="00B919BA" w:rsidP="00567368">
                        <w:pPr>
                          <w:rPr>
                            <w:szCs w:val="21"/>
                          </w:rPr>
                        </w:pPr>
                        <w:r w:rsidRPr="00E04FAA">
                          <w:rPr>
                            <w:rFonts w:hint="eastAsia"/>
                            <w:szCs w:val="21"/>
                          </w:rPr>
                          <w:t>“平台作为服务”（Platform as a Service）的英文缩写，是云计算模式下的平台软件服务。</w:t>
                        </w:r>
                      </w:p>
                    </w:tc>
                  </w:sdtContent>
                </w:sdt>
              </w:tr>
            </w:sdtContent>
          </w:sdt>
          <w:sdt>
            <w:sdtPr>
              <w:rPr>
                <w:rFonts w:ascii="Calibri" w:eastAsiaTheme="minorEastAsia" w:hAnsi="Calibri" w:cstheme="minorBidi" w:hint="eastAsia"/>
                <w:kern w:val="2"/>
                <w:szCs w:val="21"/>
              </w:rPr>
              <w:alias w:val="释义"/>
              <w:tag w:val="_GBC_ca5c2cb7a4e545e2b2d9d1b94b528746"/>
              <w:id w:val="1411423302"/>
              <w:lock w:val="sdtLocked"/>
              <w:placeholder>
                <w:docPart w:val="BEE5AF6F78164D4B9BD29E8B1CCF250D"/>
              </w:placeholder>
            </w:sdtPr>
            <w:sdtContent>
              <w:tr w:rsidR="00B919BA" w:rsidRPr="00E04FAA" w:rsidTr="00567368">
                <w:tc>
                  <w:tcPr>
                    <w:tcW w:w="2122" w:type="dxa"/>
                  </w:tcPr>
                  <w:p w:rsidR="00B919BA" w:rsidRPr="00E04FAA" w:rsidRDefault="00B919BA" w:rsidP="00567368">
                    <w:pPr>
                      <w:rPr>
                        <w:szCs w:val="21"/>
                      </w:rPr>
                    </w:pPr>
                    <w:r w:rsidRPr="00E04FAA">
                      <w:t>BaaS</w:t>
                    </w:r>
                  </w:p>
                </w:tc>
                <w:tc>
                  <w:tcPr>
                    <w:tcW w:w="1842" w:type="dxa"/>
                  </w:tcPr>
                  <w:sdt>
                    <w:sdtPr>
                      <w:rPr>
                        <w:rFonts w:hint="eastAsia"/>
                        <w:szCs w:val="21"/>
                      </w:rPr>
                      <w:tag w:val="_PLD_289cf7e5c3a845d59c038a21dcd4a571"/>
                      <w:id w:val="1688800669"/>
                      <w:lock w:val="sdtLocked"/>
                    </w:sdtPr>
                    <w:sdtContent>
                      <w:p w:rsidR="00B919BA" w:rsidRPr="00E04FAA" w:rsidRDefault="00B919BA" w:rsidP="00567368">
                        <w:pPr>
                          <w:jc w:val="center"/>
                          <w:rPr>
                            <w:szCs w:val="21"/>
                          </w:rPr>
                        </w:pPr>
                        <w:r w:rsidRPr="00E04FAA">
                          <w:rPr>
                            <w:rFonts w:hint="eastAsia"/>
                            <w:szCs w:val="21"/>
                          </w:rPr>
                          <w:t>指</w:t>
                        </w:r>
                      </w:p>
                    </w:sdtContent>
                  </w:sdt>
                </w:tc>
                <w:sdt>
                  <w:sdtPr>
                    <w:rPr>
                      <w:rFonts w:hint="eastAsia"/>
                      <w:szCs w:val="21"/>
                    </w:rPr>
                    <w:alias w:val="常用词语释义"/>
                    <w:tag w:val="_GBC_b625dd71b03542c3b074c2ce59de70ad"/>
                    <w:id w:val="-1804689810"/>
                    <w:lock w:val="sdtLocked"/>
                  </w:sdtPr>
                  <w:sdtContent>
                    <w:tc>
                      <w:tcPr>
                        <w:tcW w:w="4859" w:type="dxa"/>
                      </w:tcPr>
                      <w:p w:rsidR="00B919BA" w:rsidRPr="00E04FAA" w:rsidRDefault="00B919BA" w:rsidP="00567368">
                        <w:pPr>
                          <w:rPr>
                            <w:szCs w:val="21"/>
                          </w:rPr>
                        </w:pPr>
                        <w:r w:rsidRPr="00E04FAA">
                          <w:rPr>
                            <w:rFonts w:hint="eastAsia"/>
                            <w:szCs w:val="21"/>
                          </w:rPr>
                          <w:t>“业务作为服务”（ Business as a Service）的英文缩写，是为客户提供市场、销售、采购、仓储、人事、会计、资金等数字化的业务流程及增值服务。</w:t>
                        </w:r>
                      </w:p>
                    </w:tc>
                  </w:sdtContent>
                </w:sdt>
              </w:tr>
            </w:sdtContent>
          </w:sdt>
          <w:sdt>
            <w:sdtPr>
              <w:rPr>
                <w:rFonts w:ascii="Calibri" w:eastAsiaTheme="minorEastAsia" w:hAnsi="Calibri" w:cstheme="minorBidi" w:hint="eastAsia"/>
                <w:kern w:val="2"/>
                <w:szCs w:val="21"/>
              </w:rPr>
              <w:alias w:val="释义"/>
              <w:tag w:val="_GBC_ca5c2cb7a4e545e2b2d9d1b94b528746"/>
              <w:id w:val="773136510"/>
              <w:lock w:val="sdtLocked"/>
              <w:placeholder>
                <w:docPart w:val="BEE5AF6F78164D4B9BD29E8B1CCF250D"/>
              </w:placeholder>
            </w:sdtPr>
            <w:sdtContent>
              <w:tr w:rsidR="00B919BA" w:rsidRPr="00E04FAA" w:rsidTr="00567368">
                <w:tc>
                  <w:tcPr>
                    <w:tcW w:w="2122" w:type="dxa"/>
                  </w:tcPr>
                  <w:p w:rsidR="00B919BA" w:rsidRPr="00E04FAA" w:rsidRDefault="00B919BA" w:rsidP="00567368">
                    <w:pPr>
                      <w:rPr>
                        <w:szCs w:val="21"/>
                      </w:rPr>
                    </w:pPr>
                    <w:proofErr w:type="spellStart"/>
                    <w:r w:rsidRPr="00E04FAA">
                      <w:t>DaaS</w:t>
                    </w:r>
                    <w:proofErr w:type="spellEnd"/>
                  </w:p>
                </w:tc>
                <w:tc>
                  <w:tcPr>
                    <w:tcW w:w="1842" w:type="dxa"/>
                  </w:tcPr>
                  <w:sdt>
                    <w:sdtPr>
                      <w:rPr>
                        <w:rFonts w:hint="eastAsia"/>
                        <w:szCs w:val="21"/>
                      </w:rPr>
                      <w:tag w:val="_PLD_289cf7e5c3a845d59c038a21dcd4a571"/>
                      <w:id w:val="-2011820347"/>
                      <w:lock w:val="sdtLocked"/>
                    </w:sdtPr>
                    <w:sdtContent>
                      <w:p w:rsidR="00B919BA" w:rsidRPr="00E04FAA" w:rsidRDefault="00B919BA" w:rsidP="00567368">
                        <w:pPr>
                          <w:jc w:val="center"/>
                          <w:rPr>
                            <w:szCs w:val="21"/>
                          </w:rPr>
                        </w:pPr>
                        <w:r w:rsidRPr="00E04FAA">
                          <w:rPr>
                            <w:rFonts w:hint="eastAsia"/>
                            <w:szCs w:val="21"/>
                          </w:rPr>
                          <w:t>指</w:t>
                        </w:r>
                      </w:p>
                    </w:sdtContent>
                  </w:sdt>
                </w:tc>
                <w:sdt>
                  <w:sdtPr>
                    <w:rPr>
                      <w:rFonts w:hint="eastAsia"/>
                      <w:szCs w:val="21"/>
                    </w:rPr>
                    <w:alias w:val="常用词语释义"/>
                    <w:tag w:val="_GBC_b625dd71b03542c3b074c2ce59de70ad"/>
                    <w:id w:val="-428355636"/>
                    <w:lock w:val="sdtLocked"/>
                  </w:sdtPr>
                  <w:sdtContent>
                    <w:tc>
                      <w:tcPr>
                        <w:tcW w:w="4859" w:type="dxa"/>
                      </w:tcPr>
                      <w:p w:rsidR="00B919BA" w:rsidRPr="00E04FAA" w:rsidRDefault="00B919BA" w:rsidP="00567368">
                        <w:pPr>
                          <w:rPr>
                            <w:szCs w:val="21"/>
                          </w:rPr>
                        </w:pPr>
                        <w:r w:rsidRPr="00E04FAA">
                          <w:rPr>
                            <w:rFonts w:hint="eastAsia"/>
                            <w:szCs w:val="21"/>
                          </w:rPr>
                          <w:t>“数据作为服务”（Data as a Service）的英文缩写，是以数据为对象，以数据加工、数据建模、数据挖掘、机器学习等技术为工具，为客户提供各类精准的信息，实现数据驱动客户业务发展。</w:t>
                        </w:r>
                      </w:p>
                    </w:tc>
                  </w:sdtContent>
                </w:sdt>
              </w:tr>
            </w:sdtContent>
          </w:sdt>
          <w:sdt>
            <w:sdtPr>
              <w:rPr>
                <w:rFonts w:ascii="Calibri" w:eastAsiaTheme="minorEastAsia" w:hAnsi="Calibri" w:cstheme="minorBidi" w:hint="eastAsia"/>
                <w:kern w:val="2"/>
                <w:szCs w:val="21"/>
              </w:rPr>
              <w:alias w:val="释义"/>
              <w:tag w:val="_GBC_ca5c2cb7a4e545e2b2d9d1b94b528746"/>
              <w:id w:val="-404291102"/>
              <w:lock w:val="sdtLocked"/>
              <w:placeholder>
                <w:docPart w:val="BEE5AF6F78164D4B9BD29E8B1CCF250D"/>
              </w:placeholder>
            </w:sdtPr>
            <w:sdtContent>
              <w:tr w:rsidR="00B919BA" w:rsidRPr="00E04FAA" w:rsidTr="00567368">
                <w:tc>
                  <w:tcPr>
                    <w:tcW w:w="2122" w:type="dxa"/>
                  </w:tcPr>
                  <w:p w:rsidR="00B919BA" w:rsidRPr="00E04FAA" w:rsidRDefault="00B919BA" w:rsidP="00567368">
                    <w:pPr>
                      <w:rPr>
                        <w:szCs w:val="21"/>
                      </w:rPr>
                    </w:pPr>
                    <w:r w:rsidRPr="00E04FAA">
                      <w:t>ABU</w:t>
                    </w:r>
                  </w:p>
                </w:tc>
                <w:tc>
                  <w:tcPr>
                    <w:tcW w:w="1842" w:type="dxa"/>
                  </w:tcPr>
                  <w:sdt>
                    <w:sdtPr>
                      <w:rPr>
                        <w:rFonts w:hint="eastAsia"/>
                        <w:szCs w:val="21"/>
                      </w:rPr>
                      <w:tag w:val="_PLD_289cf7e5c3a845d59c038a21dcd4a571"/>
                      <w:id w:val="-615064604"/>
                      <w:lock w:val="sdtLocked"/>
                    </w:sdtPr>
                    <w:sdtContent>
                      <w:p w:rsidR="00B919BA" w:rsidRPr="00E04FAA" w:rsidRDefault="00B919BA" w:rsidP="00567368">
                        <w:pPr>
                          <w:jc w:val="center"/>
                          <w:rPr>
                            <w:szCs w:val="21"/>
                          </w:rPr>
                        </w:pPr>
                        <w:r w:rsidRPr="00E04FAA">
                          <w:rPr>
                            <w:rFonts w:hint="eastAsia"/>
                            <w:szCs w:val="21"/>
                          </w:rPr>
                          <w:t>指</w:t>
                        </w:r>
                      </w:p>
                    </w:sdtContent>
                  </w:sdt>
                </w:tc>
                <w:sdt>
                  <w:sdtPr>
                    <w:rPr>
                      <w:rFonts w:hint="eastAsia"/>
                      <w:szCs w:val="21"/>
                    </w:rPr>
                    <w:alias w:val="常用词语释义"/>
                    <w:tag w:val="_GBC_b625dd71b03542c3b074c2ce59de70ad"/>
                    <w:id w:val="902334138"/>
                    <w:lock w:val="sdtLocked"/>
                  </w:sdtPr>
                  <w:sdtContent>
                    <w:tc>
                      <w:tcPr>
                        <w:tcW w:w="4859" w:type="dxa"/>
                      </w:tcPr>
                      <w:p w:rsidR="00B919BA" w:rsidRPr="00E04FAA" w:rsidRDefault="00B919BA" w:rsidP="00567368">
                        <w:pPr>
                          <w:rPr>
                            <w:szCs w:val="21"/>
                          </w:rPr>
                        </w:pPr>
                        <w:r w:rsidRPr="00E04FAA">
                          <w:rPr>
                            <w:rFonts w:hint="eastAsia"/>
                            <w:szCs w:val="21"/>
                          </w:rPr>
                          <w:t>Account Business Unit的英文缩写，是针对公司级原型项目、战略项目建立的专属、独立的客户经营组织。</w:t>
                        </w:r>
                      </w:p>
                    </w:tc>
                  </w:sdtContent>
                </w:sdt>
              </w:tr>
            </w:sdtContent>
          </w:sdt>
          <w:sdt>
            <w:sdtPr>
              <w:rPr>
                <w:rFonts w:ascii="Calibri" w:eastAsiaTheme="minorEastAsia" w:hAnsi="Calibri" w:cstheme="minorBidi" w:hint="eastAsia"/>
                <w:kern w:val="2"/>
                <w:szCs w:val="21"/>
              </w:rPr>
              <w:alias w:val="释义"/>
              <w:tag w:val="_GBC_ca5c2cb7a4e545e2b2d9d1b94b528746"/>
              <w:id w:val="1369098072"/>
              <w:lock w:val="sdtLocked"/>
              <w:placeholder>
                <w:docPart w:val="BEE5AF6F78164D4B9BD29E8B1CCF250D"/>
              </w:placeholder>
            </w:sdtPr>
            <w:sdtContent>
              <w:tr w:rsidR="00B919BA" w:rsidRPr="00E04FAA" w:rsidTr="00567368">
                <w:tc>
                  <w:tcPr>
                    <w:tcW w:w="2122" w:type="dxa"/>
                  </w:tcPr>
                  <w:p w:rsidR="00B919BA" w:rsidRPr="00E04FAA" w:rsidRDefault="00B919BA" w:rsidP="00567368">
                    <w:pPr>
                      <w:rPr>
                        <w:szCs w:val="21"/>
                      </w:rPr>
                    </w:pPr>
                    <w:r w:rsidRPr="00E04FAA">
                      <w:t>SPS</w:t>
                    </w:r>
                  </w:p>
                </w:tc>
                <w:tc>
                  <w:tcPr>
                    <w:tcW w:w="1842" w:type="dxa"/>
                  </w:tcPr>
                  <w:sdt>
                    <w:sdtPr>
                      <w:rPr>
                        <w:rFonts w:hint="eastAsia"/>
                        <w:szCs w:val="21"/>
                      </w:rPr>
                      <w:tag w:val="_PLD_289cf7e5c3a845d59c038a21dcd4a571"/>
                      <w:id w:val="-1841692750"/>
                      <w:lock w:val="sdtLocked"/>
                    </w:sdtPr>
                    <w:sdtContent>
                      <w:p w:rsidR="00B919BA" w:rsidRPr="00E04FAA" w:rsidRDefault="00B919BA" w:rsidP="00567368">
                        <w:pPr>
                          <w:jc w:val="center"/>
                          <w:rPr>
                            <w:szCs w:val="21"/>
                          </w:rPr>
                        </w:pPr>
                        <w:r w:rsidRPr="00E04FAA">
                          <w:rPr>
                            <w:rFonts w:hint="eastAsia"/>
                            <w:szCs w:val="21"/>
                          </w:rPr>
                          <w:t>指</w:t>
                        </w:r>
                      </w:p>
                    </w:sdtContent>
                  </w:sdt>
                </w:tc>
                <w:tc>
                  <w:tcPr>
                    <w:tcW w:w="4859" w:type="dxa"/>
                  </w:tcPr>
                  <w:p w:rsidR="00B919BA" w:rsidRPr="00E04FAA" w:rsidRDefault="000D0A99" w:rsidP="00567368">
                    <w:pPr>
                      <w:rPr>
                        <w:szCs w:val="21"/>
                      </w:rPr>
                    </w:pPr>
                    <w:sdt>
                      <w:sdtPr>
                        <w:rPr>
                          <w:rFonts w:hint="eastAsia"/>
                          <w:szCs w:val="21"/>
                        </w:rPr>
                        <w:alias w:val="常用词语释义"/>
                        <w:tag w:val="_GBC_b625dd71b03542c3b074c2ce59de70ad"/>
                        <w:id w:val="-1080370290"/>
                        <w:lock w:val="sdtLocked"/>
                      </w:sdtPr>
                      <w:sdtContent>
                        <w:r w:rsidR="00B919BA" w:rsidRPr="00E04FAA">
                          <w:rPr>
                            <w:rFonts w:hint="eastAsia"/>
                            <w:szCs w:val="21"/>
                          </w:rPr>
                          <w:t>Standard Product Support的英文缩写，是公司标准产品支持服务。</w:t>
                        </w:r>
                      </w:sdtContent>
                    </w:sdt>
                  </w:p>
                </w:tc>
              </w:tr>
            </w:sdtContent>
          </w:sdt>
          <w:sdt>
            <w:sdtPr>
              <w:rPr>
                <w:rFonts w:ascii="Calibri" w:eastAsiaTheme="minorEastAsia" w:hAnsi="Calibri" w:cstheme="minorBidi" w:hint="eastAsia"/>
                <w:kern w:val="2"/>
                <w:szCs w:val="21"/>
              </w:rPr>
              <w:alias w:val="释义"/>
              <w:tag w:val="_GBC_ca5c2cb7a4e545e2b2d9d1b94b528746"/>
              <w:id w:val="-675804088"/>
              <w:lock w:val="sdtLocked"/>
              <w:placeholder>
                <w:docPart w:val="BEE5AF6F78164D4B9BD29E8B1CCF250D"/>
              </w:placeholder>
            </w:sdtPr>
            <w:sdtContent>
              <w:tr w:rsidR="00B919BA" w:rsidRPr="00E04FAA" w:rsidTr="00567368">
                <w:tc>
                  <w:tcPr>
                    <w:tcW w:w="2122" w:type="dxa"/>
                  </w:tcPr>
                  <w:p w:rsidR="00B919BA" w:rsidRPr="00E04FAA" w:rsidRDefault="00B919BA" w:rsidP="00567368">
                    <w:pPr>
                      <w:rPr>
                        <w:szCs w:val="21"/>
                      </w:rPr>
                    </w:pPr>
                    <w:r w:rsidRPr="00E04FAA">
                      <w:rPr>
                        <w:rFonts w:asciiTheme="minorEastAsia" w:eastAsiaTheme="minorEastAsia" w:hAnsiTheme="minorEastAsia" w:cstheme="minorBidi" w:hint="eastAsia"/>
                        <w:kern w:val="2"/>
                        <w:szCs w:val="21"/>
                      </w:rPr>
                      <w:t>用友NC Cloud</w:t>
                    </w:r>
                  </w:p>
                </w:tc>
                <w:tc>
                  <w:tcPr>
                    <w:tcW w:w="1842" w:type="dxa"/>
                  </w:tcPr>
                  <w:sdt>
                    <w:sdtPr>
                      <w:rPr>
                        <w:rFonts w:hint="eastAsia"/>
                        <w:szCs w:val="21"/>
                      </w:rPr>
                      <w:tag w:val="_PLD_289cf7e5c3a845d59c038a21dcd4a571"/>
                      <w:id w:val="-208186648"/>
                      <w:lock w:val="sdtLocked"/>
                    </w:sdtPr>
                    <w:sdtContent>
                      <w:p w:rsidR="00B919BA" w:rsidRPr="00E04FAA" w:rsidRDefault="00B919BA" w:rsidP="00567368">
                        <w:pPr>
                          <w:jc w:val="center"/>
                          <w:rPr>
                            <w:szCs w:val="21"/>
                          </w:rPr>
                        </w:pPr>
                        <w:r w:rsidRPr="00E04FAA">
                          <w:rPr>
                            <w:rFonts w:hint="eastAsia"/>
                            <w:szCs w:val="21"/>
                          </w:rPr>
                          <w:t>指</w:t>
                        </w:r>
                      </w:p>
                    </w:sdtContent>
                  </w:sdt>
                </w:tc>
                <w:tc>
                  <w:tcPr>
                    <w:tcW w:w="4859" w:type="dxa"/>
                  </w:tcPr>
                  <w:p w:rsidR="00B919BA" w:rsidRPr="00E04FAA" w:rsidRDefault="000D0A99" w:rsidP="00567368">
                    <w:pPr>
                      <w:rPr>
                        <w:szCs w:val="21"/>
                      </w:rPr>
                    </w:pPr>
                    <w:sdt>
                      <w:sdtPr>
                        <w:rPr>
                          <w:rFonts w:hint="eastAsia"/>
                          <w:szCs w:val="21"/>
                        </w:rPr>
                        <w:alias w:val="常用词语释义"/>
                        <w:tag w:val="_GBC_b625dd71b03542c3b074c2ce59de70ad"/>
                        <w:id w:val="-280024634"/>
                        <w:lock w:val="sdtLocked"/>
                      </w:sdtPr>
                      <w:sdtContent>
                        <w:r w:rsidR="00B919BA" w:rsidRPr="00E04FAA">
                          <w:rPr>
                            <w:rFonts w:hint="eastAsia"/>
                            <w:szCs w:val="21"/>
                          </w:rPr>
                          <w:t>NC Cloud是面向成长型集团企业和大型集团企业的云ERP产品。</w:t>
                        </w:r>
                      </w:sdtContent>
                    </w:sdt>
                  </w:p>
                </w:tc>
              </w:tr>
            </w:sdtContent>
          </w:sdt>
          <w:sdt>
            <w:sdtPr>
              <w:rPr>
                <w:rFonts w:ascii="Calibri" w:eastAsiaTheme="minorEastAsia" w:hAnsi="Calibri" w:cstheme="minorBidi" w:hint="eastAsia"/>
                <w:kern w:val="2"/>
                <w:szCs w:val="21"/>
              </w:rPr>
              <w:alias w:val="释义"/>
              <w:tag w:val="_GBC_ca5c2cb7a4e545e2b2d9d1b94b528746"/>
              <w:id w:val="1622954727"/>
              <w:lock w:val="sdtLocked"/>
              <w:placeholder>
                <w:docPart w:val="BEE5AF6F78164D4B9BD29E8B1CCF250D"/>
              </w:placeholder>
            </w:sdtPr>
            <w:sdtContent>
              <w:tr w:rsidR="00B919BA" w:rsidRPr="00E04FAA" w:rsidTr="00567368">
                <w:tc>
                  <w:tcPr>
                    <w:tcW w:w="2122" w:type="dxa"/>
                  </w:tcPr>
                  <w:p w:rsidR="00B919BA" w:rsidRPr="00E04FAA" w:rsidRDefault="00B919BA" w:rsidP="00567368">
                    <w:pPr>
                      <w:rPr>
                        <w:szCs w:val="21"/>
                      </w:rPr>
                    </w:pPr>
                    <w:r w:rsidRPr="00E04FAA">
                      <w:t>用友U8 Cloud</w:t>
                    </w:r>
                  </w:p>
                </w:tc>
                <w:tc>
                  <w:tcPr>
                    <w:tcW w:w="1842" w:type="dxa"/>
                  </w:tcPr>
                  <w:sdt>
                    <w:sdtPr>
                      <w:rPr>
                        <w:rFonts w:hint="eastAsia"/>
                        <w:szCs w:val="21"/>
                      </w:rPr>
                      <w:tag w:val="_PLD_289cf7e5c3a845d59c038a21dcd4a571"/>
                      <w:id w:val="-2130001780"/>
                      <w:lock w:val="sdtLocked"/>
                    </w:sdtPr>
                    <w:sdtContent>
                      <w:p w:rsidR="00B919BA" w:rsidRPr="00E04FAA" w:rsidRDefault="00B919BA" w:rsidP="00567368">
                        <w:pPr>
                          <w:jc w:val="center"/>
                          <w:rPr>
                            <w:szCs w:val="21"/>
                          </w:rPr>
                        </w:pPr>
                        <w:r w:rsidRPr="00E04FAA">
                          <w:rPr>
                            <w:rFonts w:hint="eastAsia"/>
                            <w:szCs w:val="21"/>
                          </w:rPr>
                          <w:t>指</w:t>
                        </w:r>
                      </w:p>
                    </w:sdtContent>
                  </w:sdt>
                </w:tc>
                <w:tc>
                  <w:tcPr>
                    <w:tcW w:w="4859" w:type="dxa"/>
                  </w:tcPr>
                  <w:p w:rsidR="00B919BA" w:rsidRPr="00E04FAA" w:rsidRDefault="000D0A99" w:rsidP="00567368">
                    <w:pPr>
                      <w:rPr>
                        <w:szCs w:val="21"/>
                      </w:rPr>
                    </w:pPr>
                    <w:sdt>
                      <w:sdtPr>
                        <w:rPr>
                          <w:rFonts w:hint="eastAsia"/>
                          <w:szCs w:val="21"/>
                        </w:rPr>
                        <w:alias w:val="常用词语释义"/>
                        <w:tag w:val="_GBC_b625dd71b03542c3b074c2ce59de70ad"/>
                        <w:id w:val="515203093"/>
                        <w:lock w:val="sdtLocked"/>
                      </w:sdtPr>
                      <w:sdtContent>
                        <w:r w:rsidR="00B919BA" w:rsidRPr="00E04FAA">
                          <w:rPr>
                            <w:rFonts w:hint="eastAsia"/>
                            <w:szCs w:val="21"/>
                          </w:rPr>
                          <w:t>U8 Cloud是面向创新型、成长</w:t>
                        </w:r>
                        <w:r w:rsidR="009F0970" w:rsidRPr="00E04FAA">
                          <w:rPr>
                            <w:szCs w:val="21"/>
                          </w:rPr>
                          <w:t>型</w:t>
                        </w:r>
                        <w:r w:rsidR="00B919BA" w:rsidRPr="00E04FAA">
                          <w:rPr>
                            <w:rFonts w:hint="eastAsia"/>
                            <w:szCs w:val="21"/>
                          </w:rPr>
                          <w:t>企业的新一代云ERP产品。</w:t>
                        </w:r>
                      </w:sdtContent>
                    </w:sdt>
                  </w:p>
                </w:tc>
              </w:tr>
            </w:sdtContent>
          </w:sdt>
        </w:tbl>
      </w:sdtContent>
    </w:sdt>
    <w:p w:rsidR="00883153" w:rsidRPr="00E04FAA" w:rsidRDefault="00883153"/>
    <w:p w:rsidR="00883153" w:rsidRPr="00E04FAA" w:rsidRDefault="00200151">
      <w:pPr>
        <w:pStyle w:val="10"/>
        <w:numPr>
          <w:ilvl w:val="0"/>
          <w:numId w:val="3"/>
        </w:numPr>
        <w:rPr>
          <w:color w:val="FF0000"/>
          <w:u w:val="single"/>
        </w:rPr>
      </w:pPr>
      <w:bookmarkStart w:id="4" w:name="_Toc484510565"/>
      <w:r w:rsidRPr="00E04FAA">
        <w:rPr>
          <w:rFonts w:hint="eastAsia"/>
        </w:rPr>
        <w:lastRenderedPageBreak/>
        <w:t>公司简介</w:t>
      </w:r>
      <w:bookmarkEnd w:id="3"/>
      <w:r w:rsidRPr="00E04FAA">
        <w:rPr>
          <w:rFonts w:hint="eastAsia"/>
        </w:rPr>
        <w:t>和主要财务指标</w:t>
      </w:r>
      <w:bookmarkEnd w:id="4"/>
    </w:p>
    <w:bookmarkStart w:id="5" w:name="_Toc342051041" w:displacedByCustomXml="next"/>
    <w:bookmarkStart w:id="6" w:name="_Toc342565881" w:displacedByCustomXml="next"/>
    <w:sdt>
      <w:sdtPr>
        <w:rPr>
          <w:rFonts w:ascii="Calibri" w:hAnsi="Calibri" w:cs="宋体" w:hint="eastAsia"/>
          <w:b w:val="0"/>
          <w:bCs w:val="0"/>
          <w:kern w:val="0"/>
          <w:sz w:val="24"/>
          <w:szCs w:val="22"/>
        </w:rPr>
        <w:alias w:val="模块:公司信息"/>
        <w:tag w:val="_GBC_aa763dfc67ed4eac9000c019cc1ff258"/>
        <w:id w:val="484590981"/>
        <w:lock w:val="sdtLocked"/>
        <w:placeholder>
          <w:docPart w:val="GBC22222222222222222222222222222"/>
        </w:placeholder>
      </w:sdtPr>
      <w:sdtEndPr>
        <w:rPr>
          <w:rFonts w:ascii="宋体" w:hAnsi="宋体"/>
          <w:sz w:val="21"/>
          <w:szCs w:val="21"/>
        </w:rPr>
      </w:sdtEndPr>
      <w:sdtContent>
        <w:p w:rsidR="00883153" w:rsidRPr="00E04FAA" w:rsidRDefault="00200151">
          <w:pPr>
            <w:pStyle w:val="2"/>
            <w:numPr>
              <w:ilvl w:val="1"/>
              <w:numId w:val="4"/>
            </w:numPr>
            <w:ind w:left="566" w:hangingChars="236" w:hanging="566"/>
            <w:rPr>
              <w:color w:val="FF0000"/>
              <w:u w:val="single"/>
            </w:rPr>
          </w:pPr>
          <w:r w:rsidRPr="00E04FAA">
            <w:rPr>
              <w:rFonts w:hint="eastAsia"/>
            </w:rPr>
            <w:t>公司信息</w:t>
          </w:r>
          <w:bookmarkEnd w:id="6"/>
          <w:bookmarkEnd w:id="5"/>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27"/>
            <w:gridCol w:w="4996"/>
          </w:tblGrid>
          <w:tr w:rsidR="00883153" w:rsidRPr="00E04FAA" w:rsidTr="003A0277">
            <w:trPr>
              <w:trHeight w:val="293"/>
            </w:trPr>
            <w:sdt>
              <w:sdtPr>
                <w:tag w:val="_PLD_372cd7a5ecc1420488735479d42bf939"/>
                <w:id w:val="1039016004"/>
                <w:lock w:val="sdtLocked"/>
              </w:sdtPr>
              <w:sdtContent>
                <w:tc>
                  <w:tcPr>
                    <w:tcW w:w="2169" w:type="pct"/>
                    <w:tcBorders>
                      <w:top w:val="single" w:sz="4" w:space="0" w:color="auto"/>
                      <w:bottom w:val="single" w:sz="4" w:space="0" w:color="auto"/>
                      <w:right w:val="single" w:sz="4" w:space="0" w:color="auto"/>
                    </w:tcBorders>
                    <w:shd w:val="clear" w:color="auto" w:fill="auto"/>
                  </w:tcPr>
                  <w:p w:rsidR="00883153" w:rsidRPr="00E04FAA" w:rsidRDefault="00200151">
                    <w:pPr>
                      <w:kinsoku w:val="0"/>
                      <w:overflowPunct w:val="0"/>
                      <w:autoSpaceDE w:val="0"/>
                      <w:autoSpaceDN w:val="0"/>
                      <w:adjustRightInd w:val="0"/>
                      <w:snapToGrid w:val="0"/>
                      <w:rPr>
                        <w:szCs w:val="21"/>
                      </w:rPr>
                    </w:pPr>
                    <w:r w:rsidRPr="00E04FAA">
                      <w:rPr>
                        <w:rFonts w:hint="eastAsia"/>
                        <w:szCs w:val="21"/>
                      </w:rPr>
                      <w:t>公司的中文名称</w:t>
                    </w:r>
                  </w:p>
                </w:tc>
              </w:sdtContent>
            </w:sdt>
            <w:sdt>
              <w:sdtPr>
                <w:rPr>
                  <w:rFonts w:hint="eastAsia"/>
                  <w:szCs w:val="21"/>
                </w:rPr>
                <w:alias w:val="公司法定中文名称"/>
                <w:tag w:val="_GBC_6f7f4fb261c84402a309f1371502ca4f"/>
                <w:id w:val="438571474"/>
                <w:lock w:val="sdtLocked"/>
                <w:dataBinding w:prefixMappings="xmlns:clcid-cgi='clcid-cgi'" w:xpath="/*/clcid-cgi:GongSiFaDingZhongWenMingCheng[not(@periodRef)]" w:storeItemID="{89EBAB94-44A0-46A2-B712-30D997D04A6D}"/>
                <w:text/>
              </w:sdtPr>
              <w:sdtContent>
                <w:tc>
                  <w:tcPr>
                    <w:tcW w:w="2831" w:type="pct"/>
                    <w:tcBorders>
                      <w:top w:val="single" w:sz="4" w:space="0" w:color="auto"/>
                      <w:left w:val="single" w:sz="4" w:space="0" w:color="auto"/>
                      <w:bottom w:val="single" w:sz="4" w:space="0" w:color="auto"/>
                    </w:tcBorders>
                  </w:tcPr>
                  <w:p w:rsidR="00883153" w:rsidRPr="00E04FAA" w:rsidRDefault="00200151">
                    <w:pPr>
                      <w:kinsoku w:val="0"/>
                      <w:overflowPunct w:val="0"/>
                      <w:autoSpaceDE w:val="0"/>
                      <w:autoSpaceDN w:val="0"/>
                      <w:adjustRightInd w:val="0"/>
                      <w:snapToGrid w:val="0"/>
                      <w:rPr>
                        <w:color w:val="FFC000"/>
                        <w:szCs w:val="21"/>
                      </w:rPr>
                    </w:pPr>
                    <w:r w:rsidRPr="00E04FAA">
                      <w:rPr>
                        <w:rFonts w:hint="eastAsia"/>
                        <w:szCs w:val="21"/>
                      </w:rPr>
                      <w:t>用友网络科技股份有限公司</w:t>
                    </w:r>
                  </w:p>
                </w:tc>
              </w:sdtContent>
            </w:sdt>
          </w:tr>
          <w:tr w:rsidR="00883153" w:rsidRPr="00E04FAA" w:rsidTr="003A0277">
            <w:trPr>
              <w:trHeight w:val="293"/>
            </w:trPr>
            <w:sdt>
              <w:sdtPr>
                <w:tag w:val="_PLD_8eb858f464044693a8d56b2fb5bf4064"/>
                <w:id w:val="-73591766"/>
                <w:lock w:val="sdtLocked"/>
              </w:sdtPr>
              <w:sdtContent>
                <w:tc>
                  <w:tcPr>
                    <w:tcW w:w="2169" w:type="pct"/>
                    <w:tcBorders>
                      <w:top w:val="single" w:sz="4" w:space="0" w:color="auto"/>
                      <w:bottom w:val="single" w:sz="4" w:space="0" w:color="auto"/>
                      <w:right w:val="single" w:sz="4" w:space="0" w:color="auto"/>
                    </w:tcBorders>
                    <w:shd w:val="clear" w:color="auto" w:fill="auto"/>
                  </w:tcPr>
                  <w:p w:rsidR="00883153" w:rsidRPr="00E04FAA" w:rsidRDefault="00200151">
                    <w:pPr>
                      <w:kinsoku w:val="0"/>
                      <w:overflowPunct w:val="0"/>
                      <w:autoSpaceDE w:val="0"/>
                      <w:autoSpaceDN w:val="0"/>
                      <w:adjustRightInd w:val="0"/>
                      <w:snapToGrid w:val="0"/>
                      <w:rPr>
                        <w:szCs w:val="21"/>
                      </w:rPr>
                    </w:pPr>
                    <w:r w:rsidRPr="00E04FAA">
                      <w:rPr>
                        <w:rFonts w:hint="eastAsia"/>
                        <w:szCs w:val="21"/>
                      </w:rPr>
                      <w:t>公司的中文简称</w:t>
                    </w:r>
                  </w:p>
                </w:tc>
              </w:sdtContent>
            </w:sdt>
            <w:tc>
              <w:tcPr>
                <w:tcW w:w="2831" w:type="pct"/>
                <w:tcBorders>
                  <w:top w:val="single" w:sz="4" w:space="0" w:color="auto"/>
                  <w:left w:val="single" w:sz="4" w:space="0" w:color="auto"/>
                  <w:bottom w:val="single" w:sz="4" w:space="0" w:color="auto"/>
                </w:tcBorders>
              </w:tcPr>
              <w:p w:rsidR="00883153" w:rsidRPr="00E04FAA" w:rsidRDefault="00F04BBB">
                <w:pPr>
                  <w:kinsoku w:val="0"/>
                  <w:overflowPunct w:val="0"/>
                  <w:autoSpaceDE w:val="0"/>
                  <w:autoSpaceDN w:val="0"/>
                  <w:adjustRightInd w:val="0"/>
                  <w:snapToGrid w:val="0"/>
                  <w:rPr>
                    <w:szCs w:val="21"/>
                  </w:rPr>
                </w:pPr>
                <w:r w:rsidRPr="00E04FAA">
                  <w:t>用友网络</w:t>
                </w:r>
              </w:p>
            </w:tc>
          </w:tr>
          <w:tr w:rsidR="00883153" w:rsidRPr="00E04FAA" w:rsidTr="003A0277">
            <w:trPr>
              <w:trHeight w:val="293"/>
            </w:trPr>
            <w:sdt>
              <w:sdtPr>
                <w:tag w:val="_PLD_d0fcb2dfd03a44bfb413f503945ba2fb"/>
                <w:id w:val="-540131636"/>
                <w:lock w:val="sdtLocked"/>
              </w:sdtPr>
              <w:sdtContent>
                <w:tc>
                  <w:tcPr>
                    <w:tcW w:w="2169" w:type="pct"/>
                    <w:tcBorders>
                      <w:top w:val="single" w:sz="4" w:space="0" w:color="auto"/>
                      <w:bottom w:val="single" w:sz="4" w:space="0" w:color="auto"/>
                      <w:right w:val="single" w:sz="4" w:space="0" w:color="auto"/>
                    </w:tcBorders>
                    <w:shd w:val="clear" w:color="auto" w:fill="auto"/>
                  </w:tcPr>
                  <w:p w:rsidR="00883153" w:rsidRPr="00E04FAA" w:rsidRDefault="00200151">
                    <w:pPr>
                      <w:kinsoku w:val="0"/>
                      <w:overflowPunct w:val="0"/>
                      <w:autoSpaceDE w:val="0"/>
                      <w:autoSpaceDN w:val="0"/>
                      <w:adjustRightInd w:val="0"/>
                      <w:snapToGrid w:val="0"/>
                      <w:rPr>
                        <w:szCs w:val="21"/>
                      </w:rPr>
                    </w:pPr>
                    <w:r w:rsidRPr="00E04FAA">
                      <w:rPr>
                        <w:szCs w:val="21"/>
                      </w:rPr>
                      <w:t>公司的外文名称</w:t>
                    </w:r>
                  </w:p>
                </w:tc>
              </w:sdtContent>
            </w:sdt>
            <w:tc>
              <w:tcPr>
                <w:tcW w:w="2831" w:type="pct"/>
                <w:tcBorders>
                  <w:top w:val="single" w:sz="4" w:space="0" w:color="auto"/>
                  <w:left w:val="single" w:sz="4" w:space="0" w:color="auto"/>
                  <w:bottom w:val="single" w:sz="4" w:space="0" w:color="auto"/>
                </w:tcBorders>
              </w:tcPr>
              <w:p w:rsidR="00883153" w:rsidRPr="00E04FAA" w:rsidRDefault="00F04BBB">
                <w:pPr>
                  <w:kinsoku w:val="0"/>
                  <w:overflowPunct w:val="0"/>
                  <w:autoSpaceDE w:val="0"/>
                  <w:autoSpaceDN w:val="0"/>
                  <w:adjustRightInd w:val="0"/>
                  <w:snapToGrid w:val="0"/>
                  <w:rPr>
                    <w:szCs w:val="21"/>
                  </w:rPr>
                </w:pPr>
                <w:r w:rsidRPr="00E04FAA">
                  <w:t>YONYOU NETWORK TECHNOLOGY   CO.,LTD.</w:t>
                </w:r>
              </w:p>
            </w:tc>
          </w:tr>
          <w:tr w:rsidR="00883153" w:rsidRPr="00E04FAA" w:rsidTr="003A0277">
            <w:trPr>
              <w:trHeight w:val="293"/>
            </w:trPr>
            <w:sdt>
              <w:sdtPr>
                <w:tag w:val="_PLD_b5f89c94b3dc4510b2035a96ac69493a"/>
                <w:id w:val="1626961691"/>
                <w:lock w:val="sdtLocked"/>
              </w:sdtPr>
              <w:sdtContent>
                <w:tc>
                  <w:tcPr>
                    <w:tcW w:w="2169" w:type="pct"/>
                    <w:tcBorders>
                      <w:top w:val="single" w:sz="4" w:space="0" w:color="auto"/>
                      <w:bottom w:val="single" w:sz="4" w:space="0" w:color="auto"/>
                      <w:right w:val="single" w:sz="4" w:space="0" w:color="auto"/>
                    </w:tcBorders>
                    <w:shd w:val="clear" w:color="auto" w:fill="auto"/>
                  </w:tcPr>
                  <w:p w:rsidR="00883153" w:rsidRPr="00E04FAA" w:rsidRDefault="00200151">
                    <w:pPr>
                      <w:kinsoku w:val="0"/>
                      <w:overflowPunct w:val="0"/>
                      <w:autoSpaceDE w:val="0"/>
                      <w:autoSpaceDN w:val="0"/>
                      <w:adjustRightInd w:val="0"/>
                      <w:snapToGrid w:val="0"/>
                      <w:rPr>
                        <w:szCs w:val="21"/>
                      </w:rPr>
                    </w:pPr>
                    <w:r w:rsidRPr="00E04FAA">
                      <w:rPr>
                        <w:szCs w:val="21"/>
                      </w:rPr>
                      <w:t>公司的外文名称缩写</w:t>
                    </w:r>
                  </w:p>
                </w:tc>
              </w:sdtContent>
            </w:sdt>
            <w:tc>
              <w:tcPr>
                <w:tcW w:w="2831" w:type="pct"/>
                <w:tcBorders>
                  <w:top w:val="single" w:sz="4" w:space="0" w:color="auto"/>
                  <w:left w:val="single" w:sz="4" w:space="0" w:color="auto"/>
                  <w:bottom w:val="single" w:sz="4" w:space="0" w:color="auto"/>
                </w:tcBorders>
              </w:tcPr>
              <w:p w:rsidR="00883153" w:rsidRPr="00E04FAA" w:rsidRDefault="00F04BBB">
                <w:pPr>
                  <w:kinsoku w:val="0"/>
                  <w:overflowPunct w:val="0"/>
                  <w:autoSpaceDE w:val="0"/>
                  <w:autoSpaceDN w:val="0"/>
                  <w:adjustRightInd w:val="0"/>
                  <w:snapToGrid w:val="0"/>
                  <w:rPr>
                    <w:szCs w:val="21"/>
                  </w:rPr>
                </w:pPr>
                <w:proofErr w:type="spellStart"/>
                <w:r w:rsidRPr="00E04FAA">
                  <w:t>yonyou</w:t>
                </w:r>
                <w:proofErr w:type="spellEnd"/>
              </w:p>
            </w:tc>
          </w:tr>
          <w:tr w:rsidR="00883153" w:rsidRPr="00E04FAA" w:rsidTr="003A0277">
            <w:trPr>
              <w:trHeight w:val="293"/>
            </w:trPr>
            <w:sdt>
              <w:sdtPr>
                <w:tag w:val="_PLD_af8be2c600724acab3e545cfcbaa3ccf"/>
                <w:id w:val="-1860965366"/>
                <w:lock w:val="sdtLocked"/>
              </w:sdtPr>
              <w:sdtContent>
                <w:tc>
                  <w:tcPr>
                    <w:tcW w:w="2169" w:type="pct"/>
                    <w:tcBorders>
                      <w:top w:val="single" w:sz="4" w:space="0" w:color="auto"/>
                      <w:bottom w:val="single" w:sz="4" w:space="0" w:color="auto"/>
                      <w:right w:val="single" w:sz="4" w:space="0" w:color="auto"/>
                    </w:tcBorders>
                    <w:shd w:val="clear" w:color="auto" w:fill="auto"/>
                  </w:tcPr>
                  <w:p w:rsidR="00883153" w:rsidRPr="00E04FAA" w:rsidRDefault="00200151">
                    <w:pPr>
                      <w:kinsoku w:val="0"/>
                      <w:overflowPunct w:val="0"/>
                      <w:autoSpaceDE w:val="0"/>
                      <w:autoSpaceDN w:val="0"/>
                      <w:adjustRightInd w:val="0"/>
                      <w:snapToGrid w:val="0"/>
                      <w:rPr>
                        <w:szCs w:val="21"/>
                      </w:rPr>
                    </w:pPr>
                    <w:r w:rsidRPr="00E04FAA">
                      <w:rPr>
                        <w:szCs w:val="21"/>
                      </w:rPr>
                      <w:t>公司的法定代表人</w:t>
                    </w:r>
                  </w:p>
                </w:tc>
              </w:sdtContent>
            </w:sdt>
            <w:sdt>
              <w:sdtPr>
                <w:rPr>
                  <w:rFonts w:hint="eastAsia"/>
                  <w:szCs w:val="21"/>
                </w:rPr>
                <w:alias w:val="公司法定代表人"/>
                <w:tag w:val="_GBC_71327a0d8afa49e1aba9d42a68663413"/>
                <w:id w:val="-1758211721"/>
                <w:lock w:val="sdtLocked"/>
                <w:dataBinding w:prefixMappings="xmlns:clcid-cgi='clcid-cgi'" w:xpath="/*/clcid-cgi:GongSiFaDingDaiBiaoRen[not(@periodRef)]" w:storeItemID="{89EBAB94-44A0-46A2-B712-30D997D04A6D}"/>
                <w:text/>
              </w:sdtPr>
              <w:sdtContent>
                <w:tc>
                  <w:tcPr>
                    <w:tcW w:w="2831" w:type="pct"/>
                    <w:tcBorders>
                      <w:top w:val="single" w:sz="4" w:space="0" w:color="auto"/>
                      <w:left w:val="single" w:sz="4" w:space="0" w:color="auto"/>
                      <w:bottom w:val="single" w:sz="4" w:space="0" w:color="auto"/>
                    </w:tcBorders>
                  </w:tcPr>
                  <w:p w:rsidR="00883153" w:rsidRPr="00E04FAA" w:rsidRDefault="00F04BBB">
                    <w:pPr>
                      <w:kinsoku w:val="0"/>
                      <w:overflowPunct w:val="0"/>
                      <w:autoSpaceDE w:val="0"/>
                      <w:autoSpaceDN w:val="0"/>
                      <w:adjustRightInd w:val="0"/>
                      <w:snapToGrid w:val="0"/>
                      <w:rPr>
                        <w:szCs w:val="21"/>
                      </w:rPr>
                    </w:pPr>
                    <w:r w:rsidRPr="00E04FAA">
                      <w:rPr>
                        <w:rFonts w:hint="eastAsia"/>
                        <w:szCs w:val="21"/>
                      </w:rPr>
                      <w:t>王文京</w:t>
                    </w:r>
                  </w:p>
                </w:tc>
              </w:sdtContent>
            </w:sdt>
          </w:tr>
        </w:tbl>
      </w:sdtContent>
    </w:sdt>
    <w:p w:rsidR="00883153" w:rsidRPr="00E04FAA" w:rsidRDefault="00883153">
      <w:pPr>
        <w:kinsoku w:val="0"/>
        <w:overflowPunct w:val="0"/>
        <w:autoSpaceDE w:val="0"/>
        <w:autoSpaceDN w:val="0"/>
        <w:adjustRightInd w:val="0"/>
        <w:snapToGrid w:val="0"/>
        <w:rPr>
          <w:szCs w:val="21"/>
        </w:rPr>
      </w:pPr>
    </w:p>
    <w:bookmarkStart w:id="7" w:name="_Toc342051042" w:displacedByCustomXml="next"/>
    <w:bookmarkStart w:id="8" w:name="_Toc342565882" w:displacedByCustomXml="next"/>
    <w:sdt>
      <w:sdtPr>
        <w:rPr>
          <w:rFonts w:ascii="Calibri" w:hAnsi="Calibri" w:cs="宋体" w:hint="eastAsia"/>
          <w:b w:val="0"/>
          <w:bCs w:val="0"/>
          <w:kern w:val="0"/>
          <w:sz w:val="24"/>
          <w:szCs w:val="22"/>
        </w:rPr>
        <w:alias w:val="模块:联系人和联系方式"/>
        <w:tag w:val="_GBC_c68db6bd18a148f3a9683d04b791123b"/>
        <w:id w:val="-618218963"/>
        <w:lock w:val="sdtLocked"/>
        <w:placeholder>
          <w:docPart w:val="GBC22222222222222222222222222222"/>
        </w:placeholder>
      </w:sdtPr>
      <w:sdtEndPr>
        <w:rPr>
          <w:rFonts w:ascii="宋体" w:hAnsi="宋体"/>
          <w:sz w:val="21"/>
          <w:szCs w:val="21"/>
        </w:rPr>
      </w:sdtEndPr>
      <w:sdtContent>
        <w:p w:rsidR="00883153" w:rsidRPr="00E04FAA" w:rsidRDefault="00200151">
          <w:pPr>
            <w:pStyle w:val="2"/>
            <w:numPr>
              <w:ilvl w:val="1"/>
              <w:numId w:val="4"/>
            </w:numPr>
            <w:ind w:left="566" w:hangingChars="236" w:hanging="566"/>
          </w:pPr>
          <w:r w:rsidRPr="00E04FAA">
            <w:rPr>
              <w:rFonts w:hint="eastAsia"/>
            </w:rPr>
            <w:t>联系人和联系方式</w:t>
          </w:r>
          <w:bookmarkEnd w:id="8"/>
          <w:bookmarkEnd w:id="7"/>
        </w:p>
        <w:tbl>
          <w:tblPr>
            <w:tblStyle w:val="g1"/>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2939"/>
            <w:gridCol w:w="2942"/>
            <w:gridCol w:w="2942"/>
          </w:tblGrid>
          <w:tr w:rsidR="00883153" w:rsidRPr="00E04FAA" w:rsidTr="003A0277">
            <w:tc>
              <w:tcPr>
                <w:tcW w:w="1666" w:type="pct"/>
                <w:tcBorders>
                  <w:top w:val="single" w:sz="4" w:space="0" w:color="auto"/>
                  <w:bottom w:val="single" w:sz="4" w:space="0" w:color="auto"/>
                  <w:right w:val="single" w:sz="4" w:space="0" w:color="auto"/>
                </w:tcBorders>
                <w:shd w:val="clear" w:color="auto" w:fill="auto"/>
              </w:tcPr>
              <w:p w:rsidR="00883153" w:rsidRPr="00E04FAA" w:rsidRDefault="00883153">
                <w:pPr>
                  <w:kinsoku w:val="0"/>
                  <w:overflowPunct w:val="0"/>
                  <w:autoSpaceDE w:val="0"/>
                  <w:autoSpaceDN w:val="0"/>
                  <w:adjustRightInd w:val="0"/>
                  <w:snapToGrid w:val="0"/>
                  <w:rPr>
                    <w:szCs w:val="21"/>
                  </w:rPr>
                </w:pPr>
              </w:p>
            </w:tc>
            <w:sdt>
              <w:sdtPr>
                <w:tag w:val="_PLD_d0432012a3f249c3b4fdd759ff340e86"/>
                <w:id w:val="1603064001"/>
                <w:lock w:val="sdtLocked"/>
              </w:sdtPr>
              <w:sdtContent>
                <w:tc>
                  <w:tcPr>
                    <w:tcW w:w="1667" w:type="pct"/>
                    <w:tcBorders>
                      <w:top w:val="single" w:sz="4" w:space="0" w:color="auto"/>
                      <w:left w:val="single" w:sz="4" w:space="0" w:color="auto"/>
                      <w:bottom w:val="single" w:sz="4" w:space="0" w:color="auto"/>
                      <w:right w:val="single" w:sz="4" w:space="0" w:color="auto"/>
                    </w:tcBorders>
                    <w:shd w:val="clear" w:color="auto" w:fill="auto"/>
                  </w:tcPr>
                  <w:p w:rsidR="00883153" w:rsidRPr="00E04FAA" w:rsidRDefault="00200151">
                    <w:pPr>
                      <w:pStyle w:val="ad"/>
                      <w:kinsoku w:val="0"/>
                      <w:overflowPunct w:val="0"/>
                      <w:autoSpaceDE w:val="0"/>
                      <w:autoSpaceDN w:val="0"/>
                      <w:adjustRightInd w:val="0"/>
                      <w:snapToGrid w:val="0"/>
                      <w:jc w:val="center"/>
                      <w:rPr>
                        <w:rFonts w:ascii="宋体" w:hAnsi="宋体"/>
                        <w:color w:val="008000"/>
                      </w:rPr>
                    </w:pPr>
                    <w:r w:rsidRPr="00E04FAA">
                      <w:rPr>
                        <w:rFonts w:ascii="宋体" w:hAnsi="宋体" w:cs="宋体" w:hint="eastAsia"/>
                      </w:rPr>
                      <w:t>董事会秘书</w:t>
                    </w:r>
                  </w:p>
                </w:tc>
              </w:sdtContent>
            </w:sdt>
            <w:sdt>
              <w:sdtPr>
                <w:tag w:val="_PLD_3a25396416c14d2cb0688ae0ac8a1d4d"/>
                <w:id w:val="-776861383"/>
                <w:lock w:val="sdtLocked"/>
              </w:sdtPr>
              <w:sdtContent>
                <w:tc>
                  <w:tcPr>
                    <w:tcW w:w="1667" w:type="pct"/>
                    <w:tcBorders>
                      <w:top w:val="single" w:sz="4" w:space="0" w:color="auto"/>
                      <w:left w:val="single" w:sz="4" w:space="0" w:color="auto"/>
                      <w:bottom w:val="single" w:sz="4" w:space="0" w:color="auto"/>
                    </w:tcBorders>
                    <w:shd w:val="clear" w:color="auto" w:fill="auto"/>
                  </w:tcPr>
                  <w:p w:rsidR="00883153" w:rsidRPr="00E04FAA" w:rsidRDefault="00200151">
                    <w:pPr>
                      <w:pStyle w:val="ad"/>
                      <w:kinsoku w:val="0"/>
                      <w:overflowPunct w:val="0"/>
                      <w:autoSpaceDE w:val="0"/>
                      <w:autoSpaceDN w:val="0"/>
                      <w:adjustRightInd w:val="0"/>
                      <w:snapToGrid w:val="0"/>
                      <w:jc w:val="center"/>
                      <w:rPr>
                        <w:rFonts w:ascii="宋体" w:hAnsi="宋体" w:cs="宋体"/>
                      </w:rPr>
                    </w:pPr>
                    <w:r w:rsidRPr="00E04FAA">
                      <w:rPr>
                        <w:rFonts w:ascii="宋体" w:hAnsi="宋体" w:cs="宋体" w:hint="eastAsia"/>
                      </w:rPr>
                      <w:t>证券事务代表</w:t>
                    </w:r>
                  </w:p>
                </w:tc>
              </w:sdtContent>
            </w:sdt>
          </w:tr>
          <w:tr w:rsidR="00883153" w:rsidRPr="00E04FAA" w:rsidTr="003A0277">
            <w:sdt>
              <w:sdtPr>
                <w:tag w:val="_PLD_c18fe8824f6a4cb6b9318e599fe71657"/>
                <w:id w:val="158210431"/>
                <w:lock w:val="sdtLocked"/>
              </w:sdtPr>
              <w:sdtContent>
                <w:tc>
                  <w:tcPr>
                    <w:tcW w:w="1666" w:type="pct"/>
                    <w:tcBorders>
                      <w:top w:val="single" w:sz="4" w:space="0" w:color="auto"/>
                      <w:bottom w:val="single" w:sz="4" w:space="0" w:color="auto"/>
                      <w:right w:val="single" w:sz="4" w:space="0" w:color="auto"/>
                    </w:tcBorders>
                    <w:shd w:val="clear" w:color="auto" w:fill="auto"/>
                  </w:tcPr>
                  <w:p w:rsidR="00883153" w:rsidRPr="00E04FAA" w:rsidRDefault="00200151">
                    <w:pPr>
                      <w:kinsoku w:val="0"/>
                      <w:overflowPunct w:val="0"/>
                      <w:autoSpaceDE w:val="0"/>
                      <w:autoSpaceDN w:val="0"/>
                      <w:adjustRightInd w:val="0"/>
                      <w:snapToGrid w:val="0"/>
                      <w:rPr>
                        <w:szCs w:val="21"/>
                      </w:rPr>
                    </w:pPr>
                    <w:r w:rsidRPr="00E04FAA">
                      <w:rPr>
                        <w:rFonts w:hint="eastAsia"/>
                        <w:szCs w:val="21"/>
                      </w:rPr>
                      <w:t>姓名</w:t>
                    </w:r>
                  </w:p>
                </w:tc>
              </w:sdtContent>
            </w:sdt>
            <w:tc>
              <w:tcPr>
                <w:tcW w:w="1667" w:type="pct"/>
                <w:tcBorders>
                  <w:top w:val="single" w:sz="4" w:space="0" w:color="auto"/>
                  <w:left w:val="single" w:sz="4" w:space="0" w:color="auto"/>
                  <w:bottom w:val="single" w:sz="4" w:space="0" w:color="auto"/>
                  <w:right w:val="single" w:sz="4" w:space="0" w:color="auto"/>
                </w:tcBorders>
              </w:tcPr>
              <w:p w:rsidR="00883153" w:rsidRPr="00E04FAA" w:rsidRDefault="00F04BBB">
                <w:pPr>
                  <w:kinsoku w:val="0"/>
                  <w:overflowPunct w:val="0"/>
                  <w:autoSpaceDE w:val="0"/>
                  <w:autoSpaceDN w:val="0"/>
                  <w:adjustRightInd w:val="0"/>
                  <w:snapToGrid w:val="0"/>
                  <w:rPr>
                    <w:szCs w:val="21"/>
                  </w:rPr>
                </w:pPr>
                <w:r w:rsidRPr="00E04FAA">
                  <w:t>欧阳青</w:t>
                </w:r>
              </w:p>
            </w:tc>
            <w:tc>
              <w:tcPr>
                <w:tcW w:w="1667" w:type="pct"/>
                <w:tcBorders>
                  <w:top w:val="single" w:sz="4" w:space="0" w:color="auto"/>
                  <w:left w:val="single" w:sz="4" w:space="0" w:color="auto"/>
                  <w:bottom w:val="single" w:sz="4" w:space="0" w:color="auto"/>
                </w:tcBorders>
              </w:tcPr>
              <w:p w:rsidR="00883153" w:rsidRPr="00E04FAA" w:rsidRDefault="006D1DF1">
                <w:pPr>
                  <w:kinsoku w:val="0"/>
                  <w:overflowPunct w:val="0"/>
                  <w:autoSpaceDE w:val="0"/>
                  <w:autoSpaceDN w:val="0"/>
                  <w:adjustRightInd w:val="0"/>
                  <w:snapToGrid w:val="0"/>
                  <w:rPr>
                    <w:szCs w:val="21"/>
                  </w:rPr>
                </w:pPr>
                <w:r w:rsidRPr="00E04FAA">
                  <w:rPr>
                    <w:rFonts w:hint="eastAsia"/>
                    <w:szCs w:val="21"/>
                  </w:rPr>
                  <w:t>马一杰</w:t>
                </w:r>
              </w:p>
            </w:tc>
          </w:tr>
          <w:tr w:rsidR="00646694" w:rsidRPr="00E04FAA" w:rsidTr="003A0277">
            <w:sdt>
              <w:sdtPr>
                <w:tag w:val="_PLD_7d3032f58380420991f3cbceac5e81fd"/>
                <w:id w:val="1672523044"/>
                <w:lock w:val="sdtLocked"/>
              </w:sdtPr>
              <w:sdtContent>
                <w:tc>
                  <w:tcPr>
                    <w:tcW w:w="1666" w:type="pct"/>
                    <w:tcBorders>
                      <w:top w:val="single" w:sz="4" w:space="0" w:color="auto"/>
                      <w:bottom w:val="single" w:sz="4" w:space="0" w:color="auto"/>
                      <w:right w:val="single" w:sz="4" w:space="0" w:color="auto"/>
                    </w:tcBorders>
                    <w:shd w:val="clear" w:color="auto" w:fill="auto"/>
                  </w:tcPr>
                  <w:p w:rsidR="00646694" w:rsidRPr="00E04FAA" w:rsidRDefault="00646694" w:rsidP="00646694">
                    <w:pPr>
                      <w:kinsoku w:val="0"/>
                      <w:overflowPunct w:val="0"/>
                      <w:autoSpaceDE w:val="0"/>
                      <w:autoSpaceDN w:val="0"/>
                      <w:adjustRightInd w:val="0"/>
                      <w:snapToGrid w:val="0"/>
                      <w:rPr>
                        <w:szCs w:val="21"/>
                      </w:rPr>
                    </w:pPr>
                    <w:r w:rsidRPr="00E04FAA">
                      <w:rPr>
                        <w:rFonts w:hint="eastAsia"/>
                        <w:szCs w:val="21"/>
                      </w:rPr>
                      <w:t>联系地址</w:t>
                    </w:r>
                  </w:p>
                </w:tc>
              </w:sdtContent>
            </w:sdt>
            <w:tc>
              <w:tcPr>
                <w:tcW w:w="1667" w:type="pct"/>
                <w:tcBorders>
                  <w:top w:val="single" w:sz="4" w:space="0" w:color="auto"/>
                  <w:left w:val="single" w:sz="4" w:space="0" w:color="auto"/>
                  <w:bottom w:val="single" w:sz="4" w:space="0" w:color="auto"/>
                  <w:right w:val="single" w:sz="4" w:space="0" w:color="auto"/>
                </w:tcBorders>
              </w:tcPr>
              <w:p w:rsidR="00646694" w:rsidRPr="00E04FAA" w:rsidRDefault="00646694" w:rsidP="00646694">
                <w:pPr>
                  <w:kinsoku w:val="0"/>
                  <w:overflowPunct w:val="0"/>
                  <w:autoSpaceDE w:val="0"/>
                  <w:autoSpaceDN w:val="0"/>
                  <w:adjustRightInd w:val="0"/>
                  <w:snapToGrid w:val="0"/>
                  <w:rPr>
                    <w:szCs w:val="21"/>
                  </w:rPr>
                </w:pPr>
                <w:r w:rsidRPr="00E04FAA">
                  <w:t>北京市海淀区北清路68号</w:t>
                </w:r>
              </w:p>
            </w:tc>
            <w:tc>
              <w:tcPr>
                <w:tcW w:w="1667" w:type="pct"/>
                <w:tcBorders>
                  <w:top w:val="single" w:sz="4" w:space="0" w:color="auto"/>
                  <w:left w:val="single" w:sz="4" w:space="0" w:color="auto"/>
                  <w:bottom w:val="single" w:sz="4" w:space="0" w:color="auto"/>
                </w:tcBorders>
              </w:tcPr>
              <w:p w:rsidR="00646694" w:rsidRPr="00E04FAA" w:rsidRDefault="00646694" w:rsidP="00646694">
                <w:r w:rsidRPr="00E04FAA">
                  <w:rPr>
                    <w:rFonts w:hint="eastAsia"/>
                  </w:rPr>
                  <w:t>北京市海淀区北清路</w:t>
                </w:r>
                <w:r w:rsidRPr="00E04FAA">
                  <w:t>68号</w:t>
                </w:r>
              </w:p>
            </w:tc>
          </w:tr>
          <w:tr w:rsidR="00646694" w:rsidRPr="00E04FAA" w:rsidTr="003A0277">
            <w:sdt>
              <w:sdtPr>
                <w:tag w:val="_PLD_84ed4619f9cd46ba8ed261c2524b976d"/>
                <w:id w:val="-1789039266"/>
                <w:lock w:val="sdtLocked"/>
              </w:sdtPr>
              <w:sdtContent>
                <w:tc>
                  <w:tcPr>
                    <w:tcW w:w="1666" w:type="pct"/>
                    <w:tcBorders>
                      <w:top w:val="single" w:sz="4" w:space="0" w:color="auto"/>
                      <w:bottom w:val="single" w:sz="4" w:space="0" w:color="auto"/>
                      <w:right w:val="single" w:sz="4" w:space="0" w:color="auto"/>
                    </w:tcBorders>
                    <w:shd w:val="clear" w:color="auto" w:fill="auto"/>
                  </w:tcPr>
                  <w:p w:rsidR="00646694" w:rsidRPr="00E04FAA" w:rsidRDefault="00646694" w:rsidP="00646694">
                    <w:pPr>
                      <w:kinsoku w:val="0"/>
                      <w:overflowPunct w:val="0"/>
                      <w:autoSpaceDE w:val="0"/>
                      <w:autoSpaceDN w:val="0"/>
                      <w:adjustRightInd w:val="0"/>
                      <w:snapToGrid w:val="0"/>
                      <w:rPr>
                        <w:szCs w:val="21"/>
                      </w:rPr>
                    </w:pPr>
                    <w:r w:rsidRPr="00E04FAA">
                      <w:rPr>
                        <w:szCs w:val="21"/>
                      </w:rPr>
                      <w:t>电话</w:t>
                    </w:r>
                  </w:p>
                </w:tc>
              </w:sdtContent>
            </w:sdt>
            <w:tc>
              <w:tcPr>
                <w:tcW w:w="1667" w:type="pct"/>
                <w:tcBorders>
                  <w:top w:val="single" w:sz="4" w:space="0" w:color="auto"/>
                  <w:left w:val="single" w:sz="4" w:space="0" w:color="auto"/>
                  <w:bottom w:val="single" w:sz="4" w:space="0" w:color="auto"/>
                  <w:right w:val="single" w:sz="4" w:space="0" w:color="auto"/>
                </w:tcBorders>
              </w:tcPr>
              <w:p w:rsidR="00646694" w:rsidRPr="00E04FAA" w:rsidRDefault="00646694" w:rsidP="00646694">
                <w:pPr>
                  <w:kinsoku w:val="0"/>
                  <w:overflowPunct w:val="0"/>
                  <w:autoSpaceDE w:val="0"/>
                  <w:autoSpaceDN w:val="0"/>
                  <w:adjustRightInd w:val="0"/>
                  <w:snapToGrid w:val="0"/>
                  <w:rPr>
                    <w:szCs w:val="21"/>
                  </w:rPr>
                </w:pPr>
                <w:r w:rsidRPr="00E04FAA">
                  <w:t>010-62436838</w:t>
                </w:r>
              </w:p>
            </w:tc>
            <w:tc>
              <w:tcPr>
                <w:tcW w:w="1667" w:type="pct"/>
                <w:tcBorders>
                  <w:top w:val="single" w:sz="4" w:space="0" w:color="auto"/>
                  <w:left w:val="single" w:sz="4" w:space="0" w:color="auto"/>
                  <w:bottom w:val="single" w:sz="4" w:space="0" w:color="auto"/>
                </w:tcBorders>
              </w:tcPr>
              <w:p w:rsidR="00646694" w:rsidRPr="00E04FAA" w:rsidRDefault="006D1DF1" w:rsidP="00646694">
                <w:r w:rsidRPr="00E04FAA">
                  <w:rPr>
                    <w:rFonts w:hint="eastAsia"/>
                  </w:rPr>
                  <w:t>010</w:t>
                </w:r>
                <w:r w:rsidRPr="00E04FAA">
                  <w:t>-</w:t>
                </w:r>
                <w:r w:rsidRPr="00E04FAA">
                  <w:rPr>
                    <w:rFonts w:hint="eastAsia"/>
                  </w:rPr>
                  <w:t>62439399</w:t>
                </w:r>
              </w:p>
            </w:tc>
          </w:tr>
          <w:tr w:rsidR="00646694" w:rsidRPr="00E04FAA" w:rsidTr="003A0277">
            <w:sdt>
              <w:sdtPr>
                <w:tag w:val="_PLD_53ff1b9808534a99b3bbc1bc09dac246"/>
                <w:id w:val="139551444"/>
                <w:lock w:val="sdtLocked"/>
              </w:sdtPr>
              <w:sdtContent>
                <w:tc>
                  <w:tcPr>
                    <w:tcW w:w="1666" w:type="pct"/>
                    <w:tcBorders>
                      <w:top w:val="single" w:sz="4" w:space="0" w:color="auto"/>
                      <w:bottom w:val="single" w:sz="4" w:space="0" w:color="auto"/>
                      <w:right w:val="single" w:sz="4" w:space="0" w:color="auto"/>
                    </w:tcBorders>
                    <w:shd w:val="clear" w:color="auto" w:fill="auto"/>
                  </w:tcPr>
                  <w:p w:rsidR="00646694" w:rsidRPr="00E04FAA" w:rsidRDefault="00646694" w:rsidP="00646694">
                    <w:pPr>
                      <w:kinsoku w:val="0"/>
                      <w:overflowPunct w:val="0"/>
                      <w:autoSpaceDE w:val="0"/>
                      <w:autoSpaceDN w:val="0"/>
                      <w:adjustRightInd w:val="0"/>
                      <w:snapToGrid w:val="0"/>
                      <w:rPr>
                        <w:szCs w:val="21"/>
                      </w:rPr>
                    </w:pPr>
                    <w:r w:rsidRPr="00E04FAA">
                      <w:rPr>
                        <w:szCs w:val="21"/>
                      </w:rPr>
                      <w:t>传真</w:t>
                    </w:r>
                  </w:p>
                </w:tc>
              </w:sdtContent>
            </w:sdt>
            <w:tc>
              <w:tcPr>
                <w:tcW w:w="1667" w:type="pct"/>
                <w:tcBorders>
                  <w:top w:val="single" w:sz="4" w:space="0" w:color="auto"/>
                  <w:left w:val="single" w:sz="4" w:space="0" w:color="auto"/>
                  <w:bottom w:val="single" w:sz="4" w:space="0" w:color="auto"/>
                  <w:right w:val="single" w:sz="4" w:space="0" w:color="auto"/>
                </w:tcBorders>
              </w:tcPr>
              <w:p w:rsidR="00646694" w:rsidRPr="00E04FAA" w:rsidRDefault="00646694" w:rsidP="00646694">
                <w:pPr>
                  <w:kinsoku w:val="0"/>
                  <w:overflowPunct w:val="0"/>
                  <w:autoSpaceDE w:val="0"/>
                  <w:autoSpaceDN w:val="0"/>
                  <w:adjustRightInd w:val="0"/>
                  <w:snapToGrid w:val="0"/>
                  <w:rPr>
                    <w:szCs w:val="21"/>
                  </w:rPr>
                </w:pPr>
                <w:r w:rsidRPr="00E04FAA">
                  <w:t>010-62436639</w:t>
                </w:r>
              </w:p>
            </w:tc>
            <w:tc>
              <w:tcPr>
                <w:tcW w:w="1667" w:type="pct"/>
                <w:tcBorders>
                  <w:top w:val="single" w:sz="4" w:space="0" w:color="auto"/>
                  <w:left w:val="single" w:sz="4" w:space="0" w:color="auto"/>
                  <w:bottom w:val="single" w:sz="4" w:space="0" w:color="auto"/>
                </w:tcBorders>
              </w:tcPr>
              <w:p w:rsidR="00646694" w:rsidRPr="00E04FAA" w:rsidRDefault="00646694" w:rsidP="00646694">
                <w:r w:rsidRPr="00E04FAA">
                  <w:t>010-62436639</w:t>
                </w:r>
              </w:p>
            </w:tc>
          </w:tr>
          <w:tr w:rsidR="00883153" w:rsidRPr="00E04FAA" w:rsidTr="003A0277">
            <w:sdt>
              <w:sdtPr>
                <w:tag w:val="_PLD_18165b6e55e1423db094125dc7ac3ad0"/>
                <w:id w:val="-1331443673"/>
                <w:lock w:val="sdtLocked"/>
              </w:sdtPr>
              <w:sdtContent>
                <w:tc>
                  <w:tcPr>
                    <w:tcW w:w="1666" w:type="pct"/>
                    <w:tcBorders>
                      <w:top w:val="single" w:sz="4" w:space="0" w:color="auto"/>
                      <w:bottom w:val="single" w:sz="4" w:space="0" w:color="auto"/>
                      <w:right w:val="single" w:sz="4" w:space="0" w:color="auto"/>
                    </w:tcBorders>
                    <w:shd w:val="clear" w:color="auto" w:fill="auto"/>
                  </w:tcPr>
                  <w:p w:rsidR="00883153" w:rsidRPr="00E04FAA" w:rsidRDefault="00200151">
                    <w:pPr>
                      <w:kinsoku w:val="0"/>
                      <w:overflowPunct w:val="0"/>
                      <w:autoSpaceDE w:val="0"/>
                      <w:autoSpaceDN w:val="0"/>
                      <w:adjustRightInd w:val="0"/>
                      <w:snapToGrid w:val="0"/>
                      <w:rPr>
                        <w:szCs w:val="21"/>
                      </w:rPr>
                    </w:pPr>
                    <w:r w:rsidRPr="00E04FAA">
                      <w:rPr>
                        <w:szCs w:val="21"/>
                      </w:rPr>
                      <w:t>电子信箱</w:t>
                    </w:r>
                  </w:p>
                </w:tc>
              </w:sdtContent>
            </w:sdt>
            <w:tc>
              <w:tcPr>
                <w:tcW w:w="1667" w:type="pct"/>
                <w:tcBorders>
                  <w:top w:val="single" w:sz="4" w:space="0" w:color="auto"/>
                  <w:left w:val="single" w:sz="4" w:space="0" w:color="auto"/>
                  <w:bottom w:val="single" w:sz="4" w:space="0" w:color="auto"/>
                  <w:right w:val="single" w:sz="4" w:space="0" w:color="auto"/>
                </w:tcBorders>
              </w:tcPr>
              <w:p w:rsidR="00883153" w:rsidRPr="00E04FAA" w:rsidRDefault="00646694">
                <w:pPr>
                  <w:kinsoku w:val="0"/>
                  <w:overflowPunct w:val="0"/>
                  <w:autoSpaceDE w:val="0"/>
                  <w:autoSpaceDN w:val="0"/>
                  <w:adjustRightInd w:val="0"/>
                  <w:snapToGrid w:val="0"/>
                  <w:rPr>
                    <w:szCs w:val="21"/>
                  </w:rPr>
                </w:pPr>
                <w:r w:rsidRPr="00E04FAA">
                  <w:t>ir@yonyou.com</w:t>
                </w:r>
              </w:p>
            </w:tc>
            <w:tc>
              <w:tcPr>
                <w:tcW w:w="1667" w:type="pct"/>
                <w:tcBorders>
                  <w:top w:val="single" w:sz="4" w:space="0" w:color="auto"/>
                  <w:left w:val="single" w:sz="4" w:space="0" w:color="auto"/>
                  <w:bottom w:val="single" w:sz="4" w:space="0" w:color="auto"/>
                </w:tcBorders>
              </w:tcPr>
              <w:p w:rsidR="00883153" w:rsidRPr="00E04FAA" w:rsidRDefault="00646694">
                <w:pPr>
                  <w:kinsoku w:val="0"/>
                  <w:overflowPunct w:val="0"/>
                  <w:autoSpaceDE w:val="0"/>
                  <w:autoSpaceDN w:val="0"/>
                  <w:adjustRightInd w:val="0"/>
                  <w:snapToGrid w:val="0"/>
                  <w:rPr>
                    <w:szCs w:val="21"/>
                  </w:rPr>
                </w:pPr>
                <w:r w:rsidRPr="00E04FAA">
                  <w:t>ir@yonyou.com</w:t>
                </w:r>
              </w:p>
            </w:tc>
          </w:tr>
        </w:tbl>
      </w:sdtContent>
    </w:sdt>
    <w:p w:rsidR="00883153" w:rsidRPr="00E04FAA" w:rsidRDefault="00883153">
      <w:pPr>
        <w:kinsoku w:val="0"/>
        <w:overflowPunct w:val="0"/>
        <w:autoSpaceDE w:val="0"/>
        <w:autoSpaceDN w:val="0"/>
        <w:adjustRightInd w:val="0"/>
        <w:snapToGrid w:val="0"/>
        <w:rPr>
          <w:szCs w:val="21"/>
        </w:rPr>
      </w:pPr>
    </w:p>
    <w:p w:rsidR="00883153" w:rsidRPr="00E04FAA" w:rsidRDefault="00200151">
      <w:pPr>
        <w:pStyle w:val="2"/>
        <w:numPr>
          <w:ilvl w:val="1"/>
          <w:numId w:val="4"/>
        </w:numPr>
      </w:pPr>
      <w:r w:rsidRPr="00E04FAA">
        <w:t>基本情况变更简介</w:t>
      </w:r>
    </w:p>
    <w:sdt>
      <w:sdtPr>
        <w:alias w:val="模块:基本情况变更简介"/>
        <w:tag w:val="_GBC_5882b65ee1af4c18a1a62f56241999ce"/>
        <w:id w:val="1742666001"/>
        <w:lock w:val="sdtLocked"/>
        <w:placeholder>
          <w:docPart w:val="GBC22222222222222222222222222222"/>
        </w:placeholder>
      </w:sdtPr>
      <w:sdtEndPr>
        <w:rPr>
          <w:rFonts w:hint="eastAsia"/>
          <w:szCs w:val="21"/>
        </w:rPr>
      </w:sdtEndPr>
      <w:sdtContent>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27"/>
            <w:gridCol w:w="4996"/>
          </w:tblGrid>
          <w:tr w:rsidR="001F4C89" w:rsidRPr="00E04FAA" w:rsidTr="00D973CF">
            <w:trPr>
              <w:trHeight w:val="293"/>
            </w:trPr>
            <w:tc>
              <w:tcPr>
                <w:tcW w:w="2169" w:type="pct"/>
                <w:tcBorders>
                  <w:top w:val="single" w:sz="4" w:space="0" w:color="auto"/>
                  <w:bottom w:val="single" w:sz="4" w:space="0" w:color="auto"/>
                  <w:right w:val="single" w:sz="4" w:space="0" w:color="auto"/>
                </w:tcBorders>
                <w:shd w:val="clear" w:color="auto" w:fill="auto"/>
              </w:tcPr>
              <w:p w:rsidR="001F4C89" w:rsidRPr="00E04FAA" w:rsidRDefault="000D0A99" w:rsidP="001F4C89">
                <w:pPr>
                  <w:kinsoku w:val="0"/>
                  <w:overflowPunct w:val="0"/>
                  <w:autoSpaceDE w:val="0"/>
                  <w:autoSpaceDN w:val="0"/>
                  <w:adjustRightInd w:val="0"/>
                  <w:snapToGrid w:val="0"/>
                  <w:rPr>
                    <w:szCs w:val="21"/>
                  </w:rPr>
                </w:pPr>
                <w:sdt>
                  <w:sdtPr>
                    <w:tag w:val="_PLD_85d89a4aa7974727a1dc32c53cb7ca26"/>
                    <w:id w:val="-1185053712"/>
                    <w:lock w:val="sdtLocked"/>
                  </w:sdtPr>
                  <w:sdtContent>
                    <w:r w:rsidR="001F4C89" w:rsidRPr="00E04FAA">
                      <w:t>公司注册地址</w:t>
                    </w:r>
                  </w:sdtContent>
                </w:sdt>
              </w:p>
            </w:tc>
            <w:tc>
              <w:tcPr>
                <w:tcW w:w="2831" w:type="pct"/>
                <w:tcBorders>
                  <w:top w:val="single" w:sz="4" w:space="0" w:color="auto"/>
                  <w:left w:val="single" w:sz="4" w:space="0" w:color="auto"/>
                  <w:bottom w:val="single" w:sz="4" w:space="0" w:color="auto"/>
                </w:tcBorders>
              </w:tcPr>
              <w:p w:rsidR="001F4C89" w:rsidRPr="00E04FAA" w:rsidRDefault="001F4C89" w:rsidP="001F4C89">
                <w:r w:rsidRPr="00E04FAA">
                  <w:rPr>
                    <w:rFonts w:hint="eastAsia"/>
                  </w:rPr>
                  <w:t>北京市海淀区北清路</w:t>
                </w:r>
                <w:r w:rsidRPr="00E04FAA">
                  <w:t>68号</w:t>
                </w:r>
              </w:p>
            </w:tc>
          </w:tr>
          <w:tr w:rsidR="001F4C89" w:rsidRPr="00E04FAA" w:rsidTr="00D973CF">
            <w:trPr>
              <w:trHeight w:val="293"/>
            </w:trPr>
            <w:sdt>
              <w:sdtPr>
                <w:tag w:val="_PLD_b649c2759a8e4b838b8bf28faba6591a"/>
                <w:id w:val="-193620638"/>
                <w:lock w:val="sdtLocked"/>
              </w:sdtPr>
              <w:sdtContent>
                <w:tc>
                  <w:tcPr>
                    <w:tcW w:w="2169" w:type="pct"/>
                    <w:tcBorders>
                      <w:top w:val="single" w:sz="4" w:space="0" w:color="auto"/>
                      <w:bottom w:val="single" w:sz="4" w:space="0" w:color="auto"/>
                      <w:right w:val="single" w:sz="4" w:space="0" w:color="auto"/>
                    </w:tcBorders>
                    <w:shd w:val="clear" w:color="auto" w:fill="auto"/>
                  </w:tcPr>
                  <w:p w:rsidR="001F4C89" w:rsidRPr="00E04FAA" w:rsidRDefault="001F4C89" w:rsidP="001F4C89">
                    <w:pPr>
                      <w:kinsoku w:val="0"/>
                      <w:overflowPunct w:val="0"/>
                      <w:autoSpaceDE w:val="0"/>
                      <w:autoSpaceDN w:val="0"/>
                      <w:adjustRightInd w:val="0"/>
                      <w:snapToGrid w:val="0"/>
                      <w:rPr>
                        <w:szCs w:val="21"/>
                      </w:rPr>
                    </w:pPr>
                    <w:r w:rsidRPr="00E04FAA">
                      <w:t>公司注册地址的邮政编码</w:t>
                    </w:r>
                  </w:p>
                </w:tc>
              </w:sdtContent>
            </w:sdt>
            <w:tc>
              <w:tcPr>
                <w:tcW w:w="2831" w:type="pct"/>
                <w:tcBorders>
                  <w:top w:val="single" w:sz="4" w:space="0" w:color="auto"/>
                  <w:left w:val="single" w:sz="4" w:space="0" w:color="auto"/>
                  <w:bottom w:val="single" w:sz="4" w:space="0" w:color="auto"/>
                </w:tcBorders>
              </w:tcPr>
              <w:p w:rsidR="001F4C89" w:rsidRPr="00E04FAA" w:rsidRDefault="001F4C89" w:rsidP="001F4C89">
                <w:r w:rsidRPr="00E04FAA">
                  <w:t>100094</w:t>
                </w:r>
              </w:p>
            </w:tc>
          </w:tr>
          <w:tr w:rsidR="001F4C89" w:rsidRPr="00E04FAA" w:rsidTr="00D973CF">
            <w:trPr>
              <w:trHeight w:val="293"/>
            </w:trPr>
            <w:sdt>
              <w:sdtPr>
                <w:tag w:val="_PLD_afb934b530604b0a8d7df0bf16875d49"/>
                <w:id w:val="558376505"/>
                <w:lock w:val="sdtLocked"/>
              </w:sdtPr>
              <w:sdtContent>
                <w:tc>
                  <w:tcPr>
                    <w:tcW w:w="2169" w:type="pct"/>
                    <w:tcBorders>
                      <w:top w:val="single" w:sz="4" w:space="0" w:color="auto"/>
                      <w:bottom w:val="single" w:sz="4" w:space="0" w:color="auto"/>
                      <w:right w:val="single" w:sz="4" w:space="0" w:color="auto"/>
                    </w:tcBorders>
                    <w:shd w:val="clear" w:color="auto" w:fill="auto"/>
                  </w:tcPr>
                  <w:p w:rsidR="001F4C89" w:rsidRPr="00E04FAA" w:rsidRDefault="001F4C89" w:rsidP="001F4C89">
                    <w:pPr>
                      <w:kinsoku w:val="0"/>
                      <w:overflowPunct w:val="0"/>
                      <w:autoSpaceDE w:val="0"/>
                      <w:autoSpaceDN w:val="0"/>
                      <w:adjustRightInd w:val="0"/>
                      <w:snapToGrid w:val="0"/>
                      <w:rPr>
                        <w:szCs w:val="21"/>
                      </w:rPr>
                    </w:pPr>
                    <w:r w:rsidRPr="00E04FAA">
                      <w:t>公司办公地址</w:t>
                    </w:r>
                  </w:p>
                </w:tc>
              </w:sdtContent>
            </w:sdt>
            <w:tc>
              <w:tcPr>
                <w:tcW w:w="2831" w:type="pct"/>
                <w:tcBorders>
                  <w:top w:val="single" w:sz="4" w:space="0" w:color="auto"/>
                  <w:left w:val="single" w:sz="4" w:space="0" w:color="auto"/>
                  <w:bottom w:val="single" w:sz="4" w:space="0" w:color="auto"/>
                </w:tcBorders>
              </w:tcPr>
              <w:p w:rsidR="001F4C89" w:rsidRPr="00E04FAA" w:rsidRDefault="001F4C89" w:rsidP="001F4C89">
                <w:r w:rsidRPr="00E04FAA">
                  <w:rPr>
                    <w:rFonts w:hint="eastAsia"/>
                  </w:rPr>
                  <w:t>北京市海淀区北清路</w:t>
                </w:r>
                <w:r w:rsidRPr="00E04FAA">
                  <w:t>68号</w:t>
                </w:r>
              </w:p>
            </w:tc>
          </w:tr>
          <w:tr w:rsidR="001F4C89" w:rsidRPr="00E04FAA" w:rsidTr="00D973CF">
            <w:trPr>
              <w:trHeight w:val="293"/>
            </w:trPr>
            <w:sdt>
              <w:sdtPr>
                <w:tag w:val="_PLD_0b92629df2db4d92969852a0afee64f9"/>
                <w:id w:val="-1441760725"/>
                <w:lock w:val="sdtLocked"/>
              </w:sdtPr>
              <w:sdtContent>
                <w:tc>
                  <w:tcPr>
                    <w:tcW w:w="2169" w:type="pct"/>
                    <w:tcBorders>
                      <w:top w:val="single" w:sz="4" w:space="0" w:color="auto"/>
                      <w:bottom w:val="single" w:sz="4" w:space="0" w:color="auto"/>
                      <w:right w:val="single" w:sz="4" w:space="0" w:color="auto"/>
                    </w:tcBorders>
                    <w:shd w:val="clear" w:color="auto" w:fill="auto"/>
                  </w:tcPr>
                  <w:p w:rsidR="001F4C89" w:rsidRPr="00E04FAA" w:rsidRDefault="001F4C89" w:rsidP="001F4C89">
                    <w:pPr>
                      <w:kinsoku w:val="0"/>
                      <w:overflowPunct w:val="0"/>
                      <w:autoSpaceDE w:val="0"/>
                      <w:autoSpaceDN w:val="0"/>
                      <w:adjustRightInd w:val="0"/>
                      <w:snapToGrid w:val="0"/>
                      <w:rPr>
                        <w:szCs w:val="21"/>
                      </w:rPr>
                    </w:pPr>
                    <w:r w:rsidRPr="00E04FAA">
                      <w:t>公司办公地址的邮政编码</w:t>
                    </w:r>
                  </w:p>
                </w:tc>
              </w:sdtContent>
            </w:sdt>
            <w:tc>
              <w:tcPr>
                <w:tcW w:w="2831" w:type="pct"/>
                <w:tcBorders>
                  <w:top w:val="single" w:sz="4" w:space="0" w:color="auto"/>
                  <w:left w:val="single" w:sz="4" w:space="0" w:color="auto"/>
                  <w:bottom w:val="single" w:sz="4" w:space="0" w:color="auto"/>
                </w:tcBorders>
              </w:tcPr>
              <w:p w:rsidR="001F4C89" w:rsidRPr="00E04FAA" w:rsidRDefault="001F4C89" w:rsidP="001F4C89">
                <w:r w:rsidRPr="00E04FAA">
                  <w:t>100094</w:t>
                </w:r>
              </w:p>
            </w:tc>
          </w:tr>
          <w:tr w:rsidR="001F4C89" w:rsidRPr="00E04FAA" w:rsidTr="00D973CF">
            <w:trPr>
              <w:trHeight w:val="293"/>
            </w:trPr>
            <w:sdt>
              <w:sdtPr>
                <w:tag w:val="_PLD_0d67a69c3a1340c3a07767557b490fe5"/>
                <w:id w:val="657427226"/>
                <w:lock w:val="sdtLocked"/>
              </w:sdtPr>
              <w:sdtContent>
                <w:tc>
                  <w:tcPr>
                    <w:tcW w:w="2169" w:type="pct"/>
                    <w:tcBorders>
                      <w:top w:val="single" w:sz="4" w:space="0" w:color="auto"/>
                      <w:bottom w:val="single" w:sz="4" w:space="0" w:color="auto"/>
                      <w:right w:val="single" w:sz="4" w:space="0" w:color="auto"/>
                    </w:tcBorders>
                    <w:shd w:val="clear" w:color="auto" w:fill="auto"/>
                  </w:tcPr>
                  <w:p w:rsidR="001F4C89" w:rsidRPr="00E04FAA" w:rsidRDefault="001F4C89" w:rsidP="001F4C89">
                    <w:pPr>
                      <w:kinsoku w:val="0"/>
                      <w:overflowPunct w:val="0"/>
                      <w:autoSpaceDE w:val="0"/>
                      <w:autoSpaceDN w:val="0"/>
                      <w:adjustRightInd w:val="0"/>
                      <w:snapToGrid w:val="0"/>
                      <w:rPr>
                        <w:szCs w:val="21"/>
                      </w:rPr>
                    </w:pPr>
                    <w:r w:rsidRPr="00E04FAA">
                      <w:t>公司网址</w:t>
                    </w:r>
                  </w:p>
                </w:tc>
              </w:sdtContent>
            </w:sdt>
            <w:tc>
              <w:tcPr>
                <w:tcW w:w="2831" w:type="pct"/>
                <w:tcBorders>
                  <w:top w:val="single" w:sz="4" w:space="0" w:color="auto"/>
                  <w:left w:val="single" w:sz="4" w:space="0" w:color="auto"/>
                  <w:bottom w:val="single" w:sz="4" w:space="0" w:color="auto"/>
                </w:tcBorders>
              </w:tcPr>
              <w:p w:rsidR="001F4C89" w:rsidRPr="00E04FAA" w:rsidRDefault="001F4C89" w:rsidP="001F4C89">
                <w:r w:rsidRPr="00E04FAA">
                  <w:t>http://www.yonyou.com</w:t>
                </w:r>
              </w:p>
            </w:tc>
          </w:tr>
          <w:tr w:rsidR="001F4C89" w:rsidRPr="00E04FAA" w:rsidTr="00D973CF">
            <w:trPr>
              <w:trHeight w:val="293"/>
            </w:trPr>
            <w:sdt>
              <w:sdtPr>
                <w:tag w:val="_PLD_f90a226f402046c6b34fcce5cb28265b"/>
                <w:id w:val="-1656296987"/>
                <w:lock w:val="sdtLocked"/>
              </w:sdtPr>
              <w:sdtContent>
                <w:tc>
                  <w:tcPr>
                    <w:tcW w:w="2169" w:type="pct"/>
                    <w:tcBorders>
                      <w:top w:val="single" w:sz="4" w:space="0" w:color="auto"/>
                      <w:bottom w:val="single" w:sz="4" w:space="0" w:color="auto"/>
                      <w:right w:val="single" w:sz="4" w:space="0" w:color="auto"/>
                    </w:tcBorders>
                    <w:shd w:val="clear" w:color="auto" w:fill="auto"/>
                  </w:tcPr>
                  <w:p w:rsidR="001F4C89" w:rsidRPr="00E04FAA" w:rsidRDefault="001F4C89" w:rsidP="001F4C89">
                    <w:pPr>
                      <w:kinsoku w:val="0"/>
                      <w:overflowPunct w:val="0"/>
                      <w:autoSpaceDE w:val="0"/>
                      <w:autoSpaceDN w:val="0"/>
                      <w:adjustRightInd w:val="0"/>
                      <w:snapToGrid w:val="0"/>
                      <w:rPr>
                        <w:szCs w:val="21"/>
                      </w:rPr>
                    </w:pPr>
                    <w:r w:rsidRPr="00E04FAA">
                      <w:t>电子信箱</w:t>
                    </w:r>
                  </w:p>
                </w:tc>
              </w:sdtContent>
            </w:sdt>
            <w:tc>
              <w:tcPr>
                <w:tcW w:w="2831" w:type="pct"/>
                <w:tcBorders>
                  <w:top w:val="single" w:sz="4" w:space="0" w:color="auto"/>
                  <w:left w:val="single" w:sz="4" w:space="0" w:color="auto"/>
                  <w:bottom w:val="single" w:sz="4" w:space="0" w:color="auto"/>
                </w:tcBorders>
              </w:tcPr>
              <w:p w:rsidR="001F4C89" w:rsidRPr="00E04FAA" w:rsidRDefault="001F4C89" w:rsidP="001F4C89">
                <w:r w:rsidRPr="00E04FAA">
                  <w:t>ir@yonyou.com</w:t>
                </w:r>
              </w:p>
            </w:tc>
          </w:tr>
          <w:tr w:rsidR="00883153" w:rsidRPr="00E04FAA" w:rsidTr="00D973CF">
            <w:trPr>
              <w:trHeight w:val="293"/>
            </w:trPr>
            <w:sdt>
              <w:sdtPr>
                <w:tag w:val="_PLD_780e327206de42a7a09f77e6debfb7d1"/>
                <w:id w:val="1755774002"/>
                <w:lock w:val="sdtLocked"/>
              </w:sdtPr>
              <w:sdtContent>
                <w:tc>
                  <w:tcPr>
                    <w:tcW w:w="2169" w:type="pct"/>
                    <w:tcBorders>
                      <w:top w:val="single" w:sz="4" w:space="0" w:color="auto"/>
                      <w:bottom w:val="single" w:sz="4" w:space="0" w:color="auto"/>
                      <w:right w:val="single" w:sz="4" w:space="0" w:color="auto"/>
                    </w:tcBorders>
                    <w:shd w:val="clear" w:color="auto" w:fill="auto"/>
                  </w:tcPr>
                  <w:p w:rsidR="00883153" w:rsidRPr="00E04FAA" w:rsidRDefault="00200151">
                    <w:pPr>
                      <w:kinsoku w:val="0"/>
                      <w:overflowPunct w:val="0"/>
                      <w:autoSpaceDE w:val="0"/>
                      <w:autoSpaceDN w:val="0"/>
                      <w:adjustRightInd w:val="0"/>
                      <w:snapToGrid w:val="0"/>
                      <w:rPr>
                        <w:szCs w:val="21"/>
                      </w:rPr>
                    </w:pPr>
                    <w:r w:rsidRPr="00E04FAA">
                      <w:t>报告期内变更情况查询索引</w:t>
                    </w:r>
                  </w:p>
                </w:tc>
              </w:sdtContent>
            </w:sdt>
            <w:tc>
              <w:tcPr>
                <w:tcW w:w="2831" w:type="pct"/>
                <w:tcBorders>
                  <w:top w:val="single" w:sz="4" w:space="0" w:color="auto"/>
                  <w:left w:val="single" w:sz="4" w:space="0" w:color="auto"/>
                  <w:bottom w:val="single" w:sz="4" w:space="0" w:color="auto"/>
                </w:tcBorders>
              </w:tcPr>
              <w:p w:rsidR="00883153" w:rsidRPr="00E04FAA" w:rsidRDefault="00545631">
                <w:pPr>
                  <w:kinsoku w:val="0"/>
                  <w:overflowPunct w:val="0"/>
                  <w:autoSpaceDE w:val="0"/>
                  <w:autoSpaceDN w:val="0"/>
                  <w:adjustRightInd w:val="0"/>
                  <w:snapToGrid w:val="0"/>
                  <w:rPr>
                    <w:szCs w:val="21"/>
                  </w:rPr>
                </w:pPr>
                <w:r w:rsidRPr="00E04FAA">
                  <w:rPr>
                    <w:rFonts w:hint="eastAsia"/>
                    <w:szCs w:val="21"/>
                  </w:rPr>
                  <w:t>无</w:t>
                </w:r>
              </w:p>
            </w:tc>
          </w:tr>
        </w:tbl>
      </w:sdtContent>
    </w:sdt>
    <w:p w:rsidR="00883153" w:rsidRPr="00E04FAA" w:rsidRDefault="00883153">
      <w:pPr>
        <w:kinsoku w:val="0"/>
        <w:overflowPunct w:val="0"/>
        <w:autoSpaceDE w:val="0"/>
        <w:autoSpaceDN w:val="0"/>
        <w:adjustRightInd w:val="0"/>
        <w:snapToGrid w:val="0"/>
        <w:rPr>
          <w:szCs w:val="21"/>
        </w:rPr>
      </w:pPr>
    </w:p>
    <w:sdt>
      <w:sdtPr>
        <w:rPr>
          <w:rFonts w:ascii="Calibri" w:hAnsi="Calibri" w:cs="宋体"/>
          <w:b w:val="0"/>
          <w:bCs w:val="0"/>
          <w:kern w:val="0"/>
          <w:szCs w:val="22"/>
        </w:rPr>
        <w:alias w:val="模块:信息披露及备置地点变更情况简介"/>
        <w:tag w:val="_GBC_20a39c6141734cc19616660ebf1a0dfa"/>
        <w:id w:val="2048025306"/>
        <w:lock w:val="sdtLocked"/>
        <w:placeholder>
          <w:docPart w:val="GBC22222222222222222222222222222"/>
        </w:placeholder>
      </w:sdtPr>
      <w:sdtEndPr>
        <w:rPr>
          <w:rFonts w:ascii="宋体" w:hAnsi="宋体" w:hint="eastAsia"/>
          <w:szCs w:val="24"/>
        </w:rPr>
      </w:sdtEndPr>
      <w:sdtContent>
        <w:p w:rsidR="00883153" w:rsidRPr="00E04FAA" w:rsidRDefault="00200151">
          <w:pPr>
            <w:pStyle w:val="2"/>
            <w:numPr>
              <w:ilvl w:val="1"/>
              <w:numId w:val="4"/>
            </w:numPr>
          </w:pPr>
          <w:r w:rsidRPr="00E04FAA">
            <w:t>信息披露及备置地点变更情况简介</w:t>
          </w:r>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27"/>
            <w:gridCol w:w="4996"/>
          </w:tblGrid>
          <w:tr w:rsidR="001F4C89" w:rsidRPr="00E04FAA" w:rsidTr="00D973CF">
            <w:trPr>
              <w:trHeight w:val="293"/>
            </w:trPr>
            <w:sdt>
              <w:sdtPr>
                <w:tag w:val="_PLD_5a9e1277ac2b48eb8d7aa1b69c532d31"/>
                <w:id w:val="-2102324084"/>
                <w:lock w:val="sdtLocked"/>
              </w:sdtPr>
              <w:sdtContent>
                <w:tc>
                  <w:tcPr>
                    <w:tcW w:w="2169" w:type="pct"/>
                    <w:tcBorders>
                      <w:top w:val="single" w:sz="4" w:space="0" w:color="auto"/>
                      <w:bottom w:val="single" w:sz="4" w:space="0" w:color="auto"/>
                      <w:right w:val="single" w:sz="4" w:space="0" w:color="auto"/>
                    </w:tcBorders>
                    <w:shd w:val="clear" w:color="auto" w:fill="auto"/>
                  </w:tcPr>
                  <w:p w:rsidR="001F4C89" w:rsidRPr="00E04FAA" w:rsidRDefault="001F4C89" w:rsidP="001F4C89">
                    <w:pPr>
                      <w:kinsoku w:val="0"/>
                      <w:overflowPunct w:val="0"/>
                      <w:autoSpaceDE w:val="0"/>
                      <w:autoSpaceDN w:val="0"/>
                      <w:adjustRightInd w:val="0"/>
                      <w:snapToGrid w:val="0"/>
                      <w:rPr>
                        <w:szCs w:val="21"/>
                      </w:rPr>
                    </w:pPr>
                    <w:r w:rsidRPr="00E04FAA">
                      <w:t>公司选定的信息披露报纸名称</w:t>
                    </w:r>
                  </w:p>
                </w:tc>
              </w:sdtContent>
            </w:sdt>
            <w:tc>
              <w:tcPr>
                <w:tcW w:w="2831" w:type="pct"/>
                <w:tcBorders>
                  <w:top w:val="single" w:sz="4" w:space="0" w:color="auto"/>
                  <w:left w:val="single" w:sz="4" w:space="0" w:color="auto"/>
                  <w:bottom w:val="single" w:sz="4" w:space="0" w:color="auto"/>
                </w:tcBorders>
              </w:tcPr>
              <w:p w:rsidR="001F4C89" w:rsidRPr="00E04FAA" w:rsidRDefault="001F4C89" w:rsidP="001F4C89">
                <w:pPr>
                  <w:kinsoku w:val="0"/>
                  <w:overflowPunct w:val="0"/>
                  <w:autoSpaceDE w:val="0"/>
                  <w:autoSpaceDN w:val="0"/>
                  <w:adjustRightInd w:val="0"/>
                  <w:snapToGrid w:val="0"/>
                  <w:rPr>
                    <w:szCs w:val="21"/>
                  </w:rPr>
                </w:pPr>
                <w:r w:rsidRPr="00E04FAA">
                  <w:t>《上海证券报》、《中国证券报》、《证券时报》、《证券日报》</w:t>
                </w:r>
              </w:p>
            </w:tc>
          </w:tr>
          <w:tr w:rsidR="001F4C89" w:rsidRPr="00E04FAA" w:rsidTr="00D973CF">
            <w:trPr>
              <w:trHeight w:val="293"/>
            </w:trPr>
            <w:sdt>
              <w:sdtPr>
                <w:tag w:val="_PLD_34ad3e071c96488fa36dcc1913587c39"/>
                <w:id w:val="-1653678708"/>
                <w:lock w:val="sdtLocked"/>
              </w:sdtPr>
              <w:sdtContent>
                <w:tc>
                  <w:tcPr>
                    <w:tcW w:w="2169" w:type="pct"/>
                    <w:tcBorders>
                      <w:top w:val="single" w:sz="4" w:space="0" w:color="auto"/>
                      <w:bottom w:val="single" w:sz="4" w:space="0" w:color="auto"/>
                      <w:right w:val="single" w:sz="4" w:space="0" w:color="auto"/>
                    </w:tcBorders>
                    <w:shd w:val="clear" w:color="auto" w:fill="auto"/>
                  </w:tcPr>
                  <w:p w:rsidR="001F4C89" w:rsidRPr="00E04FAA" w:rsidRDefault="001F4C89" w:rsidP="001F4C89">
                    <w:pPr>
                      <w:kinsoku w:val="0"/>
                      <w:overflowPunct w:val="0"/>
                      <w:autoSpaceDE w:val="0"/>
                      <w:autoSpaceDN w:val="0"/>
                      <w:adjustRightInd w:val="0"/>
                      <w:snapToGrid w:val="0"/>
                      <w:rPr>
                        <w:szCs w:val="21"/>
                      </w:rPr>
                    </w:pPr>
                    <w:r w:rsidRPr="00E04FAA">
                      <w:t>登载半年度报告的中国证监会指定网站的网址</w:t>
                    </w:r>
                  </w:p>
                </w:tc>
              </w:sdtContent>
            </w:sdt>
            <w:tc>
              <w:tcPr>
                <w:tcW w:w="2831" w:type="pct"/>
                <w:tcBorders>
                  <w:top w:val="single" w:sz="4" w:space="0" w:color="auto"/>
                  <w:left w:val="single" w:sz="4" w:space="0" w:color="auto"/>
                  <w:bottom w:val="single" w:sz="4" w:space="0" w:color="auto"/>
                </w:tcBorders>
              </w:tcPr>
              <w:p w:rsidR="001F4C89" w:rsidRPr="00E04FAA" w:rsidRDefault="001F4C89" w:rsidP="001F4C89">
                <w:pPr>
                  <w:kinsoku w:val="0"/>
                  <w:overflowPunct w:val="0"/>
                  <w:autoSpaceDE w:val="0"/>
                  <w:autoSpaceDN w:val="0"/>
                  <w:adjustRightInd w:val="0"/>
                  <w:snapToGrid w:val="0"/>
                  <w:rPr>
                    <w:szCs w:val="21"/>
                  </w:rPr>
                </w:pPr>
                <w:r w:rsidRPr="00E04FAA">
                  <w:t>http://www.sse.com.cn</w:t>
                </w:r>
              </w:p>
            </w:tc>
          </w:tr>
          <w:tr w:rsidR="001F4C89" w:rsidRPr="00E04FAA" w:rsidTr="00D973CF">
            <w:trPr>
              <w:trHeight w:val="293"/>
            </w:trPr>
            <w:sdt>
              <w:sdtPr>
                <w:tag w:val="_PLD_533f230e5c504d15b6024014067b6306"/>
                <w:id w:val="-1210955207"/>
                <w:lock w:val="sdtLocked"/>
              </w:sdtPr>
              <w:sdtContent>
                <w:tc>
                  <w:tcPr>
                    <w:tcW w:w="2169" w:type="pct"/>
                    <w:tcBorders>
                      <w:top w:val="single" w:sz="4" w:space="0" w:color="auto"/>
                      <w:bottom w:val="single" w:sz="4" w:space="0" w:color="auto"/>
                      <w:right w:val="single" w:sz="4" w:space="0" w:color="auto"/>
                    </w:tcBorders>
                    <w:shd w:val="clear" w:color="auto" w:fill="auto"/>
                  </w:tcPr>
                  <w:p w:rsidR="001F4C89" w:rsidRPr="00E04FAA" w:rsidRDefault="001F4C89" w:rsidP="001F4C89">
                    <w:pPr>
                      <w:kinsoku w:val="0"/>
                      <w:overflowPunct w:val="0"/>
                      <w:autoSpaceDE w:val="0"/>
                      <w:autoSpaceDN w:val="0"/>
                      <w:adjustRightInd w:val="0"/>
                      <w:snapToGrid w:val="0"/>
                      <w:rPr>
                        <w:szCs w:val="21"/>
                      </w:rPr>
                    </w:pPr>
                    <w:r w:rsidRPr="00E04FAA">
                      <w:t>公司半年度报告备置地点</w:t>
                    </w:r>
                  </w:p>
                </w:tc>
              </w:sdtContent>
            </w:sdt>
            <w:tc>
              <w:tcPr>
                <w:tcW w:w="2831" w:type="pct"/>
                <w:tcBorders>
                  <w:top w:val="single" w:sz="4" w:space="0" w:color="auto"/>
                  <w:left w:val="single" w:sz="4" w:space="0" w:color="auto"/>
                  <w:bottom w:val="single" w:sz="4" w:space="0" w:color="auto"/>
                </w:tcBorders>
              </w:tcPr>
              <w:p w:rsidR="001F4C89" w:rsidRPr="00E04FAA" w:rsidRDefault="001F4C89" w:rsidP="001F4C89">
                <w:pPr>
                  <w:kinsoku w:val="0"/>
                  <w:overflowPunct w:val="0"/>
                  <w:autoSpaceDE w:val="0"/>
                  <w:autoSpaceDN w:val="0"/>
                  <w:adjustRightInd w:val="0"/>
                  <w:snapToGrid w:val="0"/>
                  <w:rPr>
                    <w:szCs w:val="21"/>
                  </w:rPr>
                </w:pPr>
                <w:r w:rsidRPr="00E04FAA">
                  <w:t>公司证券与投资者关系部</w:t>
                </w:r>
              </w:p>
            </w:tc>
          </w:tr>
          <w:tr w:rsidR="00883153" w:rsidRPr="00E04FAA" w:rsidTr="00D973CF">
            <w:trPr>
              <w:trHeight w:val="293"/>
            </w:trPr>
            <w:sdt>
              <w:sdtPr>
                <w:tag w:val="_PLD_71b3b22b33f543709c7346090ee03414"/>
                <w:id w:val="-1153751009"/>
                <w:lock w:val="sdtLocked"/>
              </w:sdtPr>
              <w:sdtContent>
                <w:tc>
                  <w:tcPr>
                    <w:tcW w:w="2169" w:type="pct"/>
                    <w:tcBorders>
                      <w:top w:val="single" w:sz="4" w:space="0" w:color="auto"/>
                      <w:bottom w:val="single" w:sz="4" w:space="0" w:color="auto"/>
                      <w:right w:val="single" w:sz="4" w:space="0" w:color="auto"/>
                    </w:tcBorders>
                    <w:shd w:val="clear" w:color="auto" w:fill="auto"/>
                  </w:tcPr>
                  <w:p w:rsidR="00883153" w:rsidRPr="00E04FAA" w:rsidRDefault="00200151">
                    <w:pPr>
                      <w:kinsoku w:val="0"/>
                      <w:overflowPunct w:val="0"/>
                      <w:autoSpaceDE w:val="0"/>
                      <w:autoSpaceDN w:val="0"/>
                      <w:adjustRightInd w:val="0"/>
                      <w:snapToGrid w:val="0"/>
                      <w:rPr>
                        <w:szCs w:val="21"/>
                      </w:rPr>
                    </w:pPr>
                    <w:r w:rsidRPr="00E04FAA">
                      <w:t>报告期内变更情况查询索引</w:t>
                    </w:r>
                  </w:p>
                </w:tc>
              </w:sdtContent>
            </w:sdt>
            <w:tc>
              <w:tcPr>
                <w:tcW w:w="2831" w:type="pct"/>
                <w:tcBorders>
                  <w:top w:val="single" w:sz="4" w:space="0" w:color="auto"/>
                  <w:left w:val="single" w:sz="4" w:space="0" w:color="auto"/>
                  <w:bottom w:val="single" w:sz="4" w:space="0" w:color="auto"/>
                </w:tcBorders>
              </w:tcPr>
              <w:p w:rsidR="00883153" w:rsidRPr="00E04FAA" w:rsidRDefault="00545631">
                <w:pPr>
                  <w:kinsoku w:val="0"/>
                  <w:overflowPunct w:val="0"/>
                  <w:autoSpaceDE w:val="0"/>
                  <w:autoSpaceDN w:val="0"/>
                  <w:adjustRightInd w:val="0"/>
                  <w:snapToGrid w:val="0"/>
                  <w:rPr>
                    <w:szCs w:val="21"/>
                  </w:rPr>
                </w:pPr>
                <w:r w:rsidRPr="00E04FAA">
                  <w:rPr>
                    <w:rFonts w:hint="eastAsia"/>
                    <w:szCs w:val="21"/>
                  </w:rPr>
                  <w:t>无</w:t>
                </w:r>
              </w:p>
            </w:tc>
          </w:tr>
        </w:tbl>
      </w:sdtContent>
    </w:sdt>
    <w:p w:rsidR="00883153" w:rsidRPr="00E04FAA" w:rsidRDefault="00883153">
      <w:pPr>
        <w:kinsoku w:val="0"/>
        <w:overflowPunct w:val="0"/>
        <w:autoSpaceDE w:val="0"/>
        <w:autoSpaceDN w:val="0"/>
        <w:adjustRightInd w:val="0"/>
        <w:snapToGrid w:val="0"/>
        <w:rPr>
          <w:szCs w:val="21"/>
        </w:rPr>
      </w:pPr>
    </w:p>
    <w:bookmarkStart w:id="9" w:name="_Toc342051045" w:displacedByCustomXml="next"/>
    <w:bookmarkStart w:id="10" w:name="_Toc342565885" w:displacedByCustomXml="next"/>
    <w:sdt>
      <w:sdtPr>
        <w:rPr>
          <w:rFonts w:ascii="Calibri" w:hAnsi="Calibri" w:cs="宋体" w:hint="eastAsia"/>
          <w:b w:val="0"/>
          <w:bCs w:val="0"/>
          <w:kern w:val="0"/>
          <w:szCs w:val="22"/>
        </w:rPr>
        <w:alias w:val="模块:公司股票简况"/>
        <w:tag w:val="_GBC_f73e31215837403db78d7a2ed15723c6"/>
        <w:id w:val="820694027"/>
        <w:lock w:val="sdtLocked"/>
        <w:placeholder>
          <w:docPart w:val="GBC22222222222222222222222222222"/>
        </w:placeholder>
      </w:sdtPr>
      <w:sdtEndPr>
        <w:rPr>
          <w:rFonts w:ascii="宋体" w:hAnsi="宋体"/>
          <w:color w:val="0070C0"/>
          <w:szCs w:val="24"/>
        </w:rPr>
      </w:sdtEndPr>
      <w:sdtContent>
        <w:p w:rsidR="00883153" w:rsidRPr="00E04FAA" w:rsidRDefault="00200151">
          <w:pPr>
            <w:pStyle w:val="2"/>
            <w:numPr>
              <w:ilvl w:val="1"/>
              <w:numId w:val="4"/>
            </w:numPr>
          </w:pPr>
          <w:r w:rsidRPr="00E04FAA">
            <w:rPr>
              <w:rFonts w:hint="eastAsia"/>
            </w:rPr>
            <w:t>公司股票简况</w:t>
          </w:r>
          <w:bookmarkEnd w:id="10"/>
          <w:bookmarkEnd w:id="9"/>
        </w:p>
        <w:tbl>
          <w:tblPr>
            <w:tblStyle w:val="g1"/>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1764"/>
            <w:gridCol w:w="1764"/>
            <w:gridCol w:w="1765"/>
            <w:gridCol w:w="1765"/>
            <w:gridCol w:w="1765"/>
          </w:tblGrid>
          <w:tr w:rsidR="00883153" w:rsidRPr="00E04FAA" w:rsidTr="00D973CF">
            <w:trPr>
              <w:trHeight w:val="293"/>
            </w:trPr>
            <w:sdt>
              <w:sdtPr>
                <w:tag w:val="_PLD_136d907086394f5eaee0ec7d22ac5510"/>
                <w:id w:val="-1611276957"/>
                <w:lock w:val="sdtLocked"/>
              </w:sdtPr>
              <w:sdtContent>
                <w:tc>
                  <w:tcPr>
                    <w:tcW w:w="1000" w:type="pct"/>
                    <w:tcBorders>
                      <w:top w:val="single" w:sz="4" w:space="0" w:color="auto"/>
                      <w:bottom w:val="single" w:sz="4" w:space="0" w:color="auto"/>
                      <w:right w:val="single" w:sz="4" w:space="0" w:color="auto"/>
                    </w:tcBorders>
                    <w:shd w:val="clear" w:color="auto" w:fill="auto"/>
                  </w:tcPr>
                  <w:p w:rsidR="00883153" w:rsidRPr="00E04FAA" w:rsidRDefault="00200151">
                    <w:pPr>
                      <w:kinsoku w:val="0"/>
                      <w:overflowPunct w:val="0"/>
                      <w:autoSpaceDE w:val="0"/>
                      <w:autoSpaceDN w:val="0"/>
                      <w:adjustRightInd w:val="0"/>
                      <w:snapToGrid w:val="0"/>
                      <w:jc w:val="center"/>
                      <w:rPr>
                        <w:szCs w:val="21"/>
                      </w:rPr>
                    </w:pPr>
                    <w:r w:rsidRPr="00E04FAA">
                      <w:rPr>
                        <w:rFonts w:hint="eastAsia"/>
                        <w:szCs w:val="21"/>
                      </w:rPr>
                      <w:t>股票种类</w:t>
                    </w:r>
                  </w:p>
                </w:tc>
              </w:sdtContent>
            </w:sdt>
            <w:sdt>
              <w:sdtPr>
                <w:tag w:val="_PLD_6a843bcbb5a24c0aa6b5fa899c00d11d"/>
                <w:id w:val="2052958754"/>
                <w:lock w:val="sdtLocked"/>
              </w:sdt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rsidR="00883153" w:rsidRPr="00E04FAA" w:rsidRDefault="00200151">
                    <w:pPr>
                      <w:kinsoku w:val="0"/>
                      <w:overflowPunct w:val="0"/>
                      <w:autoSpaceDE w:val="0"/>
                      <w:autoSpaceDN w:val="0"/>
                      <w:adjustRightInd w:val="0"/>
                      <w:snapToGrid w:val="0"/>
                      <w:jc w:val="center"/>
                      <w:rPr>
                        <w:szCs w:val="21"/>
                      </w:rPr>
                    </w:pPr>
                    <w:r w:rsidRPr="00E04FAA">
                      <w:rPr>
                        <w:rFonts w:hint="eastAsia"/>
                        <w:szCs w:val="21"/>
                      </w:rPr>
                      <w:t>股票上市交易所</w:t>
                    </w:r>
                  </w:p>
                </w:tc>
              </w:sdtContent>
            </w:sdt>
            <w:sdt>
              <w:sdtPr>
                <w:tag w:val="_PLD_c012a58bb3cc4bbd9a7de1f52bd17553"/>
                <w:id w:val="862797760"/>
                <w:lock w:val="sdtLocked"/>
              </w:sdt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rsidR="00883153" w:rsidRPr="00E04FAA" w:rsidRDefault="00200151">
                    <w:pPr>
                      <w:kinsoku w:val="0"/>
                      <w:overflowPunct w:val="0"/>
                      <w:autoSpaceDE w:val="0"/>
                      <w:autoSpaceDN w:val="0"/>
                      <w:adjustRightInd w:val="0"/>
                      <w:snapToGrid w:val="0"/>
                      <w:jc w:val="center"/>
                      <w:rPr>
                        <w:szCs w:val="21"/>
                      </w:rPr>
                    </w:pPr>
                    <w:r w:rsidRPr="00E04FAA">
                      <w:rPr>
                        <w:rFonts w:hint="eastAsia"/>
                        <w:szCs w:val="21"/>
                      </w:rPr>
                      <w:t>股票简称</w:t>
                    </w:r>
                  </w:p>
                </w:tc>
              </w:sdtContent>
            </w:sdt>
            <w:sdt>
              <w:sdtPr>
                <w:tag w:val="_PLD_9fa1e8781b094b29b21027138e9f63e8"/>
                <w:id w:val="-161852294"/>
                <w:lock w:val="sdtLocked"/>
              </w:sdt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rsidR="00883153" w:rsidRPr="00E04FAA" w:rsidRDefault="00200151">
                    <w:pPr>
                      <w:kinsoku w:val="0"/>
                      <w:overflowPunct w:val="0"/>
                      <w:autoSpaceDE w:val="0"/>
                      <w:autoSpaceDN w:val="0"/>
                      <w:adjustRightInd w:val="0"/>
                      <w:snapToGrid w:val="0"/>
                      <w:jc w:val="center"/>
                      <w:rPr>
                        <w:szCs w:val="21"/>
                      </w:rPr>
                    </w:pPr>
                    <w:r w:rsidRPr="00E04FAA">
                      <w:rPr>
                        <w:rFonts w:hint="eastAsia"/>
                        <w:szCs w:val="21"/>
                      </w:rPr>
                      <w:t>股票代码</w:t>
                    </w:r>
                  </w:p>
                </w:tc>
              </w:sdtContent>
            </w:sdt>
            <w:sdt>
              <w:sdtPr>
                <w:tag w:val="_PLD_38293dc771ef4460bd5252827867d07d"/>
                <w:id w:val="261347426"/>
                <w:lock w:val="sdtLocked"/>
              </w:sdtPr>
              <w:sdtContent>
                <w:tc>
                  <w:tcPr>
                    <w:tcW w:w="1000" w:type="pct"/>
                    <w:tcBorders>
                      <w:top w:val="single" w:sz="4" w:space="0" w:color="auto"/>
                      <w:left w:val="single" w:sz="4" w:space="0" w:color="auto"/>
                      <w:bottom w:val="single" w:sz="4" w:space="0" w:color="auto"/>
                    </w:tcBorders>
                    <w:shd w:val="clear" w:color="auto" w:fill="auto"/>
                  </w:tcPr>
                  <w:p w:rsidR="00883153" w:rsidRPr="00E04FAA" w:rsidRDefault="00200151">
                    <w:pPr>
                      <w:kinsoku w:val="0"/>
                      <w:overflowPunct w:val="0"/>
                      <w:autoSpaceDE w:val="0"/>
                      <w:autoSpaceDN w:val="0"/>
                      <w:adjustRightInd w:val="0"/>
                      <w:snapToGrid w:val="0"/>
                      <w:jc w:val="center"/>
                      <w:rPr>
                        <w:szCs w:val="21"/>
                      </w:rPr>
                    </w:pPr>
                    <w:r w:rsidRPr="00E04FAA">
                      <w:rPr>
                        <w:rFonts w:hint="eastAsia"/>
                        <w:szCs w:val="21"/>
                      </w:rPr>
                      <w:t>变更前股票简称</w:t>
                    </w:r>
                  </w:p>
                </w:tc>
              </w:sdtContent>
            </w:sdt>
          </w:tr>
          <w:sdt>
            <w:sdtPr>
              <w:rPr>
                <w:rFonts w:hint="eastAsia"/>
                <w:szCs w:val="21"/>
              </w:rPr>
              <w:alias w:val="公司其他股票简况"/>
              <w:tag w:val="_GBC_4e064b55e0734b1d9be1e41379a353e2"/>
              <w:id w:val="-2075960090"/>
              <w:lock w:val="sdtLocked"/>
              <w:placeholder>
                <w:docPart w:val="GBC11111111111111111111111111111"/>
              </w:placeholder>
            </w:sdtPr>
            <w:sdtContent>
              <w:tr w:rsidR="00883153" w:rsidRPr="00E04FAA" w:rsidTr="00D973CF">
                <w:trPr>
                  <w:trHeight w:val="293"/>
                </w:trPr>
                <w:tc>
                  <w:tcPr>
                    <w:tcW w:w="1000" w:type="pct"/>
                    <w:tcBorders>
                      <w:top w:val="single" w:sz="4" w:space="0" w:color="auto"/>
                      <w:bottom w:val="single" w:sz="4" w:space="0" w:color="auto"/>
                      <w:right w:val="single" w:sz="4" w:space="0" w:color="auto"/>
                    </w:tcBorders>
                    <w:shd w:val="clear" w:color="auto" w:fill="auto"/>
                  </w:tcPr>
                  <w:p w:rsidR="00883153" w:rsidRPr="00E04FAA" w:rsidRDefault="001F4C89">
                    <w:pPr>
                      <w:kinsoku w:val="0"/>
                      <w:overflowPunct w:val="0"/>
                      <w:autoSpaceDE w:val="0"/>
                      <w:autoSpaceDN w:val="0"/>
                      <w:adjustRightInd w:val="0"/>
                      <w:snapToGrid w:val="0"/>
                      <w:rPr>
                        <w:szCs w:val="21"/>
                      </w:rPr>
                    </w:pPr>
                    <w:r w:rsidRPr="00E04FAA">
                      <w:t>A股</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883153" w:rsidRPr="00E04FAA" w:rsidRDefault="001F4C89">
                    <w:pPr>
                      <w:kinsoku w:val="0"/>
                      <w:overflowPunct w:val="0"/>
                      <w:autoSpaceDE w:val="0"/>
                      <w:autoSpaceDN w:val="0"/>
                      <w:adjustRightInd w:val="0"/>
                      <w:snapToGrid w:val="0"/>
                      <w:rPr>
                        <w:szCs w:val="21"/>
                      </w:rPr>
                    </w:pPr>
                    <w:r w:rsidRPr="00E04FAA">
                      <w:t>上海证券交易所</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883153" w:rsidRPr="00E04FAA" w:rsidRDefault="001F4C89">
                    <w:pPr>
                      <w:kinsoku w:val="0"/>
                      <w:overflowPunct w:val="0"/>
                      <w:autoSpaceDE w:val="0"/>
                      <w:autoSpaceDN w:val="0"/>
                      <w:adjustRightInd w:val="0"/>
                      <w:snapToGrid w:val="0"/>
                      <w:rPr>
                        <w:szCs w:val="21"/>
                      </w:rPr>
                    </w:pPr>
                    <w:r w:rsidRPr="00E04FAA">
                      <w:t>用友网络</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883153" w:rsidRPr="00E04FAA" w:rsidRDefault="001F4C89">
                    <w:pPr>
                      <w:kinsoku w:val="0"/>
                      <w:overflowPunct w:val="0"/>
                      <w:autoSpaceDE w:val="0"/>
                      <w:autoSpaceDN w:val="0"/>
                      <w:adjustRightInd w:val="0"/>
                      <w:snapToGrid w:val="0"/>
                      <w:rPr>
                        <w:szCs w:val="21"/>
                      </w:rPr>
                    </w:pPr>
                    <w:r w:rsidRPr="00E04FAA">
                      <w:t>600588</w:t>
                    </w:r>
                  </w:p>
                </w:tc>
                <w:tc>
                  <w:tcPr>
                    <w:tcW w:w="1000" w:type="pct"/>
                    <w:tcBorders>
                      <w:top w:val="single" w:sz="4" w:space="0" w:color="auto"/>
                      <w:left w:val="single" w:sz="4" w:space="0" w:color="auto"/>
                      <w:bottom w:val="single" w:sz="4" w:space="0" w:color="auto"/>
                    </w:tcBorders>
                    <w:shd w:val="clear" w:color="auto" w:fill="auto"/>
                  </w:tcPr>
                  <w:p w:rsidR="00883153" w:rsidRPr="00E04FAA" w:rsidRDefault="001F4C89">
                    <w:pPr>
                      <w:kinsoku w:val="0"/>
                      <w:overflowPunct w:val="0"/>
                      <w:autoSpaceDE w:val="0"/>
                      <w:autoSpaceDN w:val="0"/>
                      <w:adjustRightInd w:val="0"/>
                      <w:snapToGrid w:val="0"/>
                      <w:rPr>
                        <w:szCs w:val="21"/>
                      </w:rPr>
                    </w:pPr>
                    <w:r w:rsidRPr="00E04FAA">
                      <w:t>用友软件</w:t>
                    </w:r>
                  </w:p>
                </w:tc>
              </w:tr>
            </w:sdtContent>
          </w:sdt>
        </w:tbl>
        <w:p w:rsidR="00883153" w:rsidRPr="00E04FAA" w:rsidRDefault="000D0A99">
          <w:pPr>
            <w:kinsoku w:val="0"/>
            <w:overflowPunct w:val="0"/>
            <w:autoSpaceDE w:val="0"/>
            <w:autoSpaceDN w:val="0"/>
            <w:adjustRightInd w:val="0"/>
            <w:snapToGrid w:val="0"/>
            <w:rPr>
              <w:color w:val="0070C0"/>
              <w:szCs w:val="21"/>
            </w:rPr>
          </w:pPr>
        </w:p>
      </w:sdtContent>
    </w:sdt>
    <w:sdt>
      <w:sdtPr>
        <w:rPr>
          <w:rFonts w:ascii="Calibri" w:hAnsi="Calibri" w:cs="宋体"/>
          <w:b w:val="0"/>
          <w:bCs w:val="0"/>
          <w:kern w:val="0"/>
          <w:szCs w:val="22"/>
        </w:rPr>
        <w:alias w:val="模块:其他有关资料"/>
        <w:tag w:val="_GBC_cd186ef4acaf4e28b71fed998e691ebd"/>
        <w:id w:val="588662577"/>
        <w:lock w:val="sdtLocked"/>
        <w:placeholder>
          <w:docPart w:val="GBC22222222222222222222222222222"/>
        </w:placeholder>
      </w:sdtPr>
      <w:sdtEndPr>
        <w:rPr>
          <w:rFonts w:ascii="宋体" w:hAnsi="宋体" w:hint="eastAsia"/>
          <w:szCs w:val="24"/>
        </w:rPr>
      </w:sdtEndPr>
      <w:sdtContent>
        <w:p w:rsidR="00883153" w:rsidRPr="00E04FAA" w:rsidRDefault="00200151">
          <w:pPr>
            <w:pStyle w:val="2"/>
            <w:numPr>
              <w:ilvl w:val="1"/>
              <w:numId w:val="4"/>
            </w:numPr>
          </w:pPr>
          <w:r w:rsidRPr="00E04FAA">
            <w:t>其他有关资料</w:t>
          </w:r>
        </w:p>
        <w:sdt>
          <w:sdtPr>
            <w:alias w:val="是否适用：其他有关资料[双击切换]"/>
            <w:tag w:val="_GBC_78c3cc115c0d4dd3bf5e7c57142e5e68"/>
            <w:id w:val="805520238"/>
            <w:lock w:val="sdtContentLocked"/>
            <w:placeholder>
              <w:docPart w:val="GBC22222222222222222222222222222"/>
            </w:placeholder>
          </w:sdtPr>
          <w:sdtContent>
            <w:p w:rsidR="00883153" w:rsidRPr="00E04FAA" w:rsidRDefault="00200151" w:rsidP="00797C38">
              <w:r w:rsidRPr="00E04FAA">
                <w:fldChar w:fldCharType="begin"/>
              </w:r>
              <w:r w:rsidR="00797C38" w:rsidRPr="00E04FAA">
                <w:instrText xml:space="preserve"> MACROBUTTON  SnrToggleCheckbox □适用 </w:instrText>
              </w:r>
              <w:r w:rsidRPr="00E04FAA">
                <w:fldChar w:fldCharType="end"/>
              </w:r>
              <w:r w:rsidRPr="00E04FAA">
                <w:fldChar w:fldCharType="begin"/>
              </w:r>
              <w:r w:rsidR="00797C38" w:rsidRPr="00E04FAA">
                <w:instrText xml:space="preserve"> MACROBUTTON  SnrToggleCheckbox √不适用 </w:instrText>
              </w:r>
              <w:r w:rsidRPr="00E04FAA">
                <w:fldChar w:fldCharType="end"/>
              </w:r>
            </w:p>
          </w:sdtContent>
        </w:sdt>
      </w:sdtContent>
    </w:sdt>
    <w:p w:rsidR="00883153" w:rsidRPr="00E04FAA" w:rsidRDefault="00883153">
      <w:pPr>
        <w:rPr>
          <w:bdr w:val="single" w:sz="4" w:space="0" w:color="auto"/>
        </w:rPr>
      </w:pPr>
    </w:p>
    <w:p w:rsidR="00883153" w:rsidRPr="00E04FAA" w:rsidRDefault="00200151">
      <w:pPr>
        <w:pStyle w:val="2"/>
        <w:numPr>
          <w:ilvl w:val="1"/>
          <w:numId w:val="4"/>
        </w:numPr>
      </w:pPr>
      <w:bookmarkStart w:id="11" w:name="_Toc342056397"/>
      <w:bookmarkStart w:id="12" w:name="_Toc342565889"/>
      <w:r w:rsidRPr="00E04FAA">
        <w:rPr>
          <w:rFonts w:hint="eastAsia"/>
        </w:rPr>
        <w:t>公司主要会计数据和财务指标</w:t>
      </w:r>
      <w:bookmarkEnd w:id="11"/>
      <w:bookmarkEnd w:id="12"/>
    </w:p>
    <w:p w:rsidR="00883153" w:rsidRPr="00E04FAA" w:rsidRDefault="00200151">
      <w:pPr>
        <w:pStyle w:val="3"/>
        <w:numPr>
          <w:ilvl w:val="1"/>
          <w:numId w:val="2"/>
        </w:numPr>
      </w:pPr>
      <w:r w:rsidRPr="00E04FAA">
        <w:rPr>
          <w:rFonts w:hint="eastAsia"/>
        </w:rPr>
        <w:t>主要会计数据</w:t>
      </w:r>
    </w:p>
    <w:p w:rsidR="00883153" w:rsidRPr="00E04FAA" w:rsidRDefault="00200151">
      <w:pPr>
        <w:jc w:val="right"/>
        <w:rPr>
          <w:szCs w:val="21"/>
        </w:rPr>
      </w:pPr>
      <w:r w:rsidRPr="00E04FAA">
        <w:rPr>
          <w:rFonts w:hint="eastAsia"/>
          <w:szCs w:val="21"/>
        </w:rPr>
        <w:t>单位：</w:t>
      </w:r>
      <w:sdt>
        <w:sdtPr>
          <w:rPr>
            <w:rFonts w:hint="eastAsia"/>
            <w:szCs w:val="21"/>
          </w:rPr>
          <w:alias w:val="单位：报告期末公司前三年主要会计数据和财务指标"/>
          <w:tag w:val="_GBC_c7cd0dd826b247dbba8cc8b1a811aefb"/>
          <w:id w:val="198103498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E04FAA">
            <w:rPr>
              <w:rFonts w:hint="eastAsia"/>
              <w:szCs w:val="21"/>
            </w:rPr>
            <w:t>元</w:t>
          </w:r>
        </w:sdtContent>
      </w:sdt>
      <w:r w:rsidRPr="00E04FAA">
        <w:rPr>
          <w:rFonts w:hint="eastAsia"/>
          <w:szCs w:val="21"/>
        </w:rPr>
        <w:t xml:space="preserve">  币种：</w:t>
      </w:r>
      <w:sdt>
        <w:sdtPr>
          <w:rPr>
            <w:rFonts w:hint="eastAsia"/>
            <w:szCs w:val="21"/>
          </w:rPr>
          <w:alias w:val="币种：报告期末公司前三年主要会计数据和财务指标"/>
          <w:tag w:val="_GBC_2df6a5d441324c13bcf6c4c54ac41eb0"/>
          <w:id w:val="-18233368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E04FAA">
            <w:rPr>
              <w:rFonts w:hint="eastAsia"/>
              <w:szCs w:val="21"/>
            </w:rPr>
            <w:t>人民币</w:t>
          </w:r>
        </w:sdtContent>
      </w:sdt>
    </w:p>
    <w:sdt>
      <w:sdtPr>
        <w:alias w:val="选项模块:主要会计数据(无追溯)"/>
        <w:tag w:val="_GBC_aea1fefe2cc54d88a8a870982a41d97a"/>
        <w:id w:val="-2043192997"/>
        <w:lock w:val="sdtLocked"/>
        <w:placeholder>
          <w:docPart w:val="DefaultPlaceholder_-1854013440"/>
        </w:placeholder>
      </w:sdtPr>
      <w:sdtContent>
        <w:p w:rsidR="00D82D73" w:rsidRPr="00E04FAA" w:rsidRDefault="00D82D73" w:rsidP="00D82D73"/>
        <w:tbl>
          <w:tblPr>
            <w:tblStyle w:val="a9"/>
            <w:tblW w:w="5000" w:type="pct"/>
            <w:tblLook w:val="0000" w:firstRow="0" w:lastRow="0" w:firstColumn="0" w:lastColumn="0" w:noHBand="0" w:noVBand="0"/>
          </w:tblPr>
          <w:tblGrid>
            <w:gridCol w:w="3586"/>
            <w:gridCol w:w="1775"/>
            <w:gridCol w:w="1747"/>
            <w:gridCol w:w="1715"/>
          </w:tblGrid>
          <w:tr w:rsidR="00193DDE" w:rsidRPr="00E04FAA" w:rsidTr="00567368">
            <w:trPr>
              <w:trHeight w:val="596"/>
            </w:trPr>
            <w:tc>
              <w:tcPr>
                <w:tcW w:w="2032" w:type="pct"/>
                <w:vAlign w:val="center"/>
              </w:tcPr>
              <w:bookmarkStart w:id="13" w:name="_Hlk16775917"/>
              <w:p w:rsidR="00193DDE" w:rsidRPr="00E04FAA" w:rsidRDefault="000D0A99" w:rsidP="00567368">
                <w:pPr>
                  <w:kinsoku w:val="0"/>
                  <w:overflowPunct w:val="0"/>
                  <w:autoSpaceDE w:val="0"/>
                  <w:autoSpaceDN w:val="0"/>
                  <w:adjustRightInd w:val="0"/>
                  <w:snapToGrid w:val="0"/>
                  <w:jc w:val="center"/>
                  <w:rPr>
                    <w:szCs w:val="21"/>
                  </w:rPr>
                </w:pPr>
                <w:sdt>
                  <w:sdtPr>
                    <w:rPr>
                      <w:rFonts w:hint="eastAsia"/>
                      <w:szCs w:val="21"/>
                    </w:rPr>
                    <w:tag w:val="_PLD_e63d02b963714237aa4678b1878c888d"/>
                    <w:id w:val="-955410865"/>
                    <w:lock w:val="sdtLocked"/>
                  </w:sdtPr>
                  <w:sdtEndPr>
                    <w:rPr>
                      <w:rFonts w:hint="default"/>
                      <w:szCs w:val="20"/>
                    </w:rPr>
                  </w:sdtEndPr>
                  <w:sdtContent>
                    <w:r w:rsidR="00193DDE" w:rsidRPr="00E04FAA">
                      <w:rPr>
                        <w:rFonts w:hint="eastAsia"/>
                        <w:szCs w:val="21"/>
                      </w:rPr>
                      <w:t>主要会计数据</w:t>
                    </w:r>
                  </w:sdtContent>
                </w:sdt>
              </w:p>
            </w:tc>
            <w:sdt>
              <w:sdtPr>
                <w:tag w:val="_PLD_913ae157f7e74eee947ea98d96be3599"/>
                <w:id w:val="-1478525140"/>
                <w:lock w:val="sdtLocked"/>
              </w:sdtPr>
              <w:sdtContent>
                <w:tc>
                  <w:tcPr>
                    <w:tcW w:w="1006" w:type="pct"/>
                    <w:vAlign w:val="center"/>
                  </w:tcPr>
                  <w:p w:rsidR="00193DDE" w:rsidRPr="00E04FAA" w:rsidRDefault="00193DDE" w:rsidP="00567368">
                    <w:pPr>
                      <w:kinsoku w:val="0"/>
                      <w:overflowPunct w:val="0"/>
                      <w:autoSpaceDE w:val="0"/>
                      <w:autoSpaceDN w:val="0"/>
                      <w:adjustRightInd w:val="0"/>
                      <w:snapToGrid w:val="0"/>
                      <w:jc w:val="center"/>
                    </w:pPr>
                    <w:r w:rsidRPr="00E04FAA">
                      <w:rPr>
                        <w:rFonts w:hint="eastAsia"/>
                      </w:rPr>
                      <w:t>本</w:t>
                    </w:r>
                    <w:r w:rsidRPr="00E04FAA">
                      <w:t>报告期</w:t>
                    </w:r>
                  </w:p>
                  <w:p w:rsidR="00193DDE" w:rsidRPr="00E04FAA" w:rsidRDefault="00193DDE" w:rsidP="00567368">
                    <w:pPr>
                      <w:kinsoku w:val="0"/>
                      <w:overflowPunct w:val="0"/>
                      <w:autoSpaceDE w:val="0"/>
                      <w:autoSpaceDN w:val="0"/>
                      <w:adjustRightInd w:val="0"/>
                      <w:snapToGrid w:val="0"/>
                      <w:jc w:val="center"/>
                      <w:rPr>
                        <w:szCs w:val="21"/>
                      </w:rPr>
                    </w:pPr>
                    <w:r w:rsidRPr="00E04FAA">
                      <w:t>（1－6月）</w:t>
                    </w:r>
                  </w:p>
                </w:tc>
              </w:sdtContent>
            </w:sdt>
            <w:sdt>
              <w:sdtPr>
                <w:tag w:val="_PLD_0f32665f64034720b1ecd674058f4d8b"/>
                <w:id w:val="278452665"/>
                <w:lock w:val="sdtLocked"/>
              </w:sdtPr>
              <w:sdtContent>
                <w:tc>
                  <w:tcPr>
                    <w:tcW w:w="990" w:type="pct"/>
                    <w:vAlign w:val="center"/>
                  </w:tcPr>
                  <w:p w:rsidR="00193DDE" w:rsidRPr="00E04FAA" w:rsidRDefault="00193DDE" w:rsidP="00567368">
                    <w:pPr>
                      <w:kinsoku w:val="0"/>
                      <w:overflowPunct w:val="0"/>
                      <w:autoSpaceDE w:val="0"/>
                      <w:autoSpaceDN w:val="0"/>
                      <w:adjustRightInd w:val="0"/>
                      <w:snapToGrid w:val="0"/>
                      <w:jc w:val="center"/>
                      <w:rPr>
                        <w:szCs w:val="21"/>
                      </w:rPr>
                    </w:pPr>
                    <w:r w:rsidRPr="00E04FAA">
                      <w:t>上年同期</w:t>
                    </w:r>
                  </w:p>
                </w:tc>
              </w:sdtContent>
            </w:sdt>
            <w:sdt>
              <w:sdtPr>
                <w:tag w:val="_PLD_e634aa67fe8c44038b152224d8a245d6"/>
                <w:id w:val="-332531403"/>
                <w:lock w:val="sdtLocked"/>
              </w:sdtPr>
              <w:sdtContent>
                <w:tc>
                  <w:tcPr>
                    <w:tcW w:w="972" w:type="pct"/>
                    <w:vAlign w:val="center"/>
                  </w:tcPr>
                  <w:p w:rsidR="00193DDE" w:rsidRPr="00E04FAA" w:rsidRDefault="00193DDE" w:rsidP="00567368">
                    <w:pPr>
                      <w:kinsoku w:val="0"/>
                      <w:overflowPunct w:val="0"/>
                      <w:autoSpaceDE w:val="0"/>
                      <w:autoSpaceDN w:val="0"/>
                      <w:adjustRightInd w:val="0"/>
                      <w:snapToGrid w:val="0"/>
                      <w:jc w:val="center"/>
                      <w:rPr>
                        <w:szCs w:val="21"/>
                      </w:rPr>
                    </w:pPr>
                    <w:r w:rsidRPr="00E04FAA">
                      <w:t>本报告期比上年同期增减</w:t>
                    </w:r>
                    <w:r w:rsidRPr="00E04FAA">
                      <w:rPr>
                        <w:szCs w:val="21"/>
                      </w:rPr>
                      <w:t>(%)</w:t>
                    </w:r>
                  </w:p>
                </w:tc>
              </w:sdtContent>
            </w:sdt>
          </w:tr>
          <w:tr w:rsidR="00193DDE" w:rsidRPr="00E04FAA" w:rsidTr="00567368">
            <w:trPr>
              <w:trHeight w:val="285"/>
            </w:trPr>
            <w:sdt>
              <w:sdtPr>
                <w:tag w:val="_PLD_601d7d8438f74f1c9abca1ce60a4f163"/>
                <w:id w:val="-903367570"/>
                <w:lock w:val="sdtLocked"/>
              </w:sdtPr>
              <w:sdtContent>
                <w:tc>
                  <w:tcPr>
                    <w:tcW w:w="2032" w:type="pct"/>
                  </w:tcPr>
                  <w:p w:rsidR="00193DDE" w:rsidRPr="00E04FAA" w:rsidRDefault="00193DDE" w:rsidP="00567368">
                    <w:pPr>
                      <w:kinsoku w:val="0"/>
                      <w:overflowPunct w:val="0"/>
                      <w:autoSpaceDE w:val="0"/>
                      <w:autoSpaceDN w:val="0"/>
                      <w:adjustRightInd w:val="0"/>
                      <w:snapToGrid w:val="0"/>
                      <w:rPr>
                        <w:szCs w:val="21"/>
                      </w:rPr>
                    </w:pPr>
                    <w:r w:rsidRPr="00E04FAA">
                      <w:rPr>
                        <w:rFonts w:hint="eastAsia"/>
                        <w:szCs w:val="21"/>
                      </w:rPr>
                      <w:t>营业收入</w:t>
                    </w:r>
                  </w:p>
                </w:tc>
              </w:sdtContent>
            </w:sdt>
            <w:tc>
              <w:tcPr>
                <w:tcW w:w="1006" w:type="pct"/>
              </w:tcPr>
              <w:p w:rsidR="00193DDE" w:rsidRPr="00E04FAA" w:rsidRDefault="00193DDE" w:rsidP="00567368">
                <w:pPr>
                  <w:kinsoku w:val="0"/>
                  <w:overflowPunct w:val="0"/>
                  <w:autoSpaceDE w:val="0"/>
                  <w:autoSpaceDN w:val="0"/>
                  <w:adjustRightInd w:val="0"/>
                  <w:snapToGrid w:val="0"/>
                  <w:jc w:val="right"/>
                  <w:rPr>
                    <w:szCs w:val="21"/>
                  </w:rPr>
                </w:pPr>
                <w:r w:rsidRPr="00E04FAA">
                  <w:rPr>
                    <w:szCs w:val="21"/>
                  </w:rPr>
                  <w:t>3,313,006,831</w:t>
                </w:r>
              </w:p>
            </w:tc>
            <w:tc>
              <w:tcPr>
                <w:tcW w:w="990" w:type="pct"/>
              </w:tcPr>
              <w:p w:rsidR="00193DDE" w:rsidRPr="00E04FAA" w:rsidRDefault="00193DDE" w:rsidP="00567368">
                <w:pPr>
                  <w:kinsoku w:val="0"/>
                  <w:overflowPunct w:val="0"/>
                  <w:autoSpaceDE w:val="0"/>
                  <w:autoSpaceDN w:val="0"/>
                  <w:adjustRightInd w:val="0"/>
                  <w:snapToGrid w:val="0"/>
                  <w:jc w:val="right"/>
                  <w:rPr>
                    <w:bCs/>
                    <w:szCs w:val="21"/>
                  </w:rPr>
                </w:pPr>
                <w:r w:rsidRPr="00E04FAA">
                  <w:rPr>
                    <w:bCs/>
                    <w:szCs w:val="21"/>
                  </w:rPr>
                  <w:t>3,005,703,090</w:t>
                </w:r>
              </w:p>
            </w:tc>
            <w:tc>
              <w:tcPr>
                <w:tcW w:w="972" w:type="pct"/>
              </w:tcPr>
              <w:p w:rsidR="00193DDE" w:rsidRPr="00E04FAA" w:rsidRDefault="00193DDE" w:rsidP="00567368">
                <w:pPr>
                  <w:kinsoku w:val="0"/>
                  <w:overflowPunct w:val="0"/>
                  <w:autoSpaceDE w:val="0"/>
                  <w:autoSpaceDN w:val="0"/>
                  <w:adjustRightInd w:val="0"/>
                  <w:snapToGrid w:val="0"/>
                  <w:jc w:val="right"/>
                  <w:rPr>
                    <w:szCs w:val="21"/>
                  </w:rPr>
                </w:pPr>
                <w:r w:rsidRPr="00E04FAA">
                  <w:rPr>
                    <w:szCs w:val="21"/>
                  </w:rPr>
                  <w:t>10.2</w:t>
                </w:r>
              </w:p>
            </w:tc>
          </w:tr>
          <w:sdt>
            <w:sdtPr>
              <w:rPr>
                <w:rFonts w:asciiTheme="minorHAnsi" w:eastAsiaTheme="minorEastAsia" w:hAnsiTheme="minorHAnsi" w:cstheme="minorBidi"/>
                <w:kern w:val="2"/>
                <w:szCs w:val="21"/>
              </w:rPr>
              <w:alias w:val="主要时期数会计数据"/>
              <w:tag w:val="_GBC_4b6455b0069141d59ef27889062d8c76"/>
              <w:id w:val="1393773715"/>
              <w:lock w:val="sdtLocked"/>
            </w:sdtPr>
            <w:sdtEndPr>
              <w:rPr>
                <w:color w:val="008000"/>
              </w:rPr>
            </w:sdtEndPr>
            <w:sdtContent>
              <w:tr w:rsidR="00193DDE" w:rsidRPr="00E04FAA" w:rsidTr="00567368">
                <w:trPr>
                  <w:trHeight w:val="285"/>
                </w:trPr>
                <w:tc>
                  <w:tcPr>
                    <w:tcW w:w="2032" w:type="pct"/>
                  </w:tcPr>
                  <w:p w:rsidR="00193DDE" w:rsidRPr="00E04FAA" w:rsidRDefault="00193DDE" w:rsidP="00567368">
                    <w:pPr>
                      <w:kinsoku w:val="0"/>
                      <w:overflowPunct w:val="0"/>
                      <w:autoSpaceDE w:val="0"/>
                      <w:autoSpaceDN w:val="0"/>
                      <w:adjustRightInd w:val="0"/>
                      <w:snapToGrid w:val="0"/>
                      <w:jc w:val="left"/>
                      <w:rPr>
                        <w:szCs w:val="21"/>
                      </w:rPr>
                    </w:pPr>
                    <w:r w:rsidRPr="00E04FAA">
                      <w:rPr>
                        <w:rFonts w:asciiTheme="minorHAnsi" w:eastAsiaTheme="minorEastAsia" w:hAnsiTheme="minorHAnsi" w:cstheme="minorBidi" w:hint="eastAsia"/>
                        <w:kern w:val="2"/>
                        <w:szCs w:val="21"/>
                      </w:rPr>
                      <w:t>营业利润</w:t>
                    </w:r>
                  </w:p>
                </w:tc>
                <w:tc>
                  <w:tcPr>
                    <w:tcW w:w="1006" w:type="pct"/>
                  </w:tcPr>
                  <w:p w:rsidR="00193DDE" w:rsidRPr="00E04FAA" w:rsidRDefault="00AB38E3" w:rsidP="00567368">
                    <w:pPr>
                      <w:kinsoku w:val="0"/>
                      <w:overflowPunct w:val="0"/>
                      <w:autoSpaceDE w:val="0"/>
                      <w:autoSpaceDN w:val="0"/>
                      <w:adjustRightInd w:val="0"/>
                      <w:snapToGrid w:val="0"/>
                      <w:jc w:val="right"/>
                      <w:rPr>
                        <w:szCs w:val="21"/>
                      </w:rPr>
                    </w:pPr>
                    <w:r w:rsidRPr="00E04FAA">
                      <w:t>594,432,866</w:t>
                    </w:r>
                  </w:p>
                </w:tc>
                <w:tc>
                  <w:tcPr>
                    <w:tcW w:w="990" w:type="pct"/>
                  </w:tcPr>
                  <w:p w:rsidR="00193DDE" w:rsidRPr="00E04FAA" w:rsidRDefault="00193DDE" w:rsidP="00567368">
                    <w:pPr>
                      <w:kinsoku w:val="0"/>
                      <w:overflowPunct w:val="0"/>
                      <w:autoSpaceDE w:val="0"/>
                      <w:autoSpaceDN w:val="0"/>
                      <w:adjustRightInd w:val="0"/>
                      <w:snapToGrid w:val="0"/>
                      <w:jc w:val="right"/>
                      <w:rPr>
                        <w:szCs w:val="21"/>
                      </w:rPr>
                    </w:pPr>
                    <w:r w:rsidRPr="00E04FAA">
                      <w:t>294,039,6</w:t>
                    </w:r>
                    <w:r w:rsidR="00E7488C">
                      <w:t>30</w:t>
                    </w:r>
                  </w:p>
                </w:tc>
                <w:tc>
                  <w:tcPr>
                    <w:tcW w:w="972" w:type="pct"/>
                  </w:tcPr>
                  <w:p w:rsidR="00193DDE" w:rsidRPr="00E04FAA" w:rsidRDefault="00AB38E3" w:rsidP="00567368">
                    <w:pPr>
                      <w:kinsoku w:val="0"/>
                      <w:overflowPunct w:val="0"/>
                      <w:autoSpaceDE w:val="0"/>
                      <w:autoSpaceDN w:val="0"/>
                      <w:adjustRightInd w:val="0"/>
                      <w:snapToGrid w:val="0"/>
                      <w:jc w:val="right"/>
                      <w:rPr>
                        <w:szCs w:val="21"/>
                      </w:rPr>
                    </w:pPr>
                    <w:r w:rsidRPr="00E04FAA">
                      <w:t>102.2</w:t>
                    </w:r>
                  </w:p>
                </w:tc>
              </w:tr>
            </w:sdtContent>
          </w:sdt>
          <w:sdt>
            <w:sdtPr>
              <w:rPr>
                <w:rFonts w:asciiTheme="minorHAnsi" w:eastAsiaTheme="minorEastAsia" w:hAnsiTheme="minorHAnsi" w:cstheme="minorBidi"/>
                <w:kern w:val="2"/>
                <w:szCs w:val="21"/>
              </w:rPr>
              <w:alias w:val="主要时期数会计数据"/>
              <w:tag w:val="_GBC_4b6455b0069141d59ef27889062d8c76"/>
              <w:id w:val="87366943"/>
              <w:lock w:val="sdtLocked"/>
            </w:sdtPr>
            <w:sdtEndPr>
              <w:rPr>
                <w:color w:val="008000"/>
              </w:rPr>
            </w:sdtEndPr>
            <w:sdtContent>
              <w:tr w:rsidR="00193DDE" w:rsidRPr="00E04FAA" w:rsidTr="00567368">
                <w:trPr>
                  <w:trHeight w:val="285"/>
                </w:trPr>
                <w:tc>
                  <w:tcPr>
                    <w:tcW w:w="2032" w:type="pct"/>
                  </w:tcPr>
                  <w:p w:rsidR="00193DDE" w:rsidRPr="00E04FAA" w:rsidRDefault="00193DDE" w:rsidP="00567368">
                    <w:pPr>
                      <w:kinsoku w:val="0"/>
                      <w:overflowPunct w:val="0"/>
                      <w:autoSpaceDE w:val="0"/>
                      <w:autoSpaceDN w:val="0"/>
                      <w:adjustRightInd w:val="0"/>
                      <w:snapToGrid w:val="0"/>
                      <w:jc w:val="left"/>
                      <w:rPr>
                        <w:szCs w:val="21"/>
                      </w:rPr>
                    </w:pPr>
                    <w:r w:rsidRPr="00E04FAA">
                      <w:rPr>
                        <w:rFonts w:asciiTheme="minorHAnsi" w:eastAsiaTheme="minorEastAsia" w:hAnsiTheme="minorHAnsi" w:cstheme="minorBidi" w:hint="eastAsia"/>
                        <w:kern w:val="2"/>
                        <w:szCs w:val="21"/>
                      </w:rPr>
                      <w:t>利润总额</w:t>
                    </w:r>
                  </w:p>
                </w:tc>
                <w:tc>
                  <w:tcPr>
                    <w:tcW w:w="1006" w:type="pct"/>
                  </w:tcPr>
                  <w:p w:rsidR="00193DDE" w:rsidRPr="00E04FAA" w:rsidRDefault="00AB38E3" w:rsidP="00567368">
                    <w:pPr>
                      <w:kinsoku w:val="0"/>
                      <w:overflowPunct w:val="0"/>
                      <w:autoSpaceDE w:val="0"/>
                      <w:autoSpaceDN w:val="0"/>
                      <w:adjustRightInd w:val="0"/>
                      <w:snapToGrid w:val="0"/>
                      <w:jc w:val="right"/>
                      <w:rPr>
                        <w:szCs w:val="21"/>
                      </w:rPr>
                    </w:pPr>
                    <w:r w:rsidRPr="00E04FAA">
                      <w:t>595,524,586</w:t>
                    </w:r>
                  </w:p>
                </w:tc>
                <w:tc>
                  <w:tcPr>
                    <w:tcW w:w="990" w:type="pct"/>
                  </w:tcPr>
                  <w:p w:rsidR="00193DDE" w:rsidRPr="00E04FAA" w:rsidRDefault="00193DDE" w:rsidP="00567368">
                    <w:pPr>
                      <w:kinsoku w:val="0"/>
                      <w:overflowPunct w:val="0"/>
                      <w:autoSpaceDE w:val="0"/>
                      <w:autoSpaceDN w:val="0"/>
                      <w:adjustRightInd w:val="0"/>
                      <w:snapToGrid w:val="0"/>
                      <w:jc w:val="right"/>
                      <w:rPr>
                        <w:szCs w:val="21"/>
                      </w:rPr>
                    </w:pPr>
                    <w:r w:rsidRPr="00E04FAA">
                      <w:t>297,047,8</w:t>
                    </w:r>
                    <w:r w:rsidR="004E53C5">
                      <w:t>41</w:t>
                    </w:r>
                  </w:p>
                </w:tc>
                <w:tc>
                  <w:tcPr>
                    <w:tcW w:w="972" w:type="pct"/>
                  </w:tcPr>
                  <w:p w:rsidR="00193DDE" w:rsidRPr="00E04FAA" w:rsidRDefault="00AB38E3" w:rsidP="00567368">
                    <w:pPr>
                      <w:kinsoku w:val="0"/>
                      <w:overflowPunct w:val="0"/>
                      <w:autoSpaceDE w:val="0"/>
                      <w:autoSpaceDN w:val="0"/>
                      <w:adjustRightInd w:val="0"/>
                      <w:snapToGrid w:val="0"/>
                      <w:jc w:val="right"/>
                      <w:rPr>
                        <w:szCs w:val="21"/>
                      </w:rPr>
                    </w:pPr>
                    <w:r w:rsidRPr="00E04FAA">
                      <w:t>100.5</w:t>
                    </w:r>
                  </w:p>
                </w:tc>
              </w:tr>
            </w:sdtContent>
          </w:sdt>
          <w:tr w:rsidR="00193DDE" w:rsidRPr="00E04FAA" w:rsidTr="00567368">
            <w:trPr>
              <w:trHeight w:val="285"/>
            </w:trPr>
            <w:sdt>
              <w:sdtPr>
                <w:tag w:val="_PLD_1825ec6c60fc481f877063c3cecfffca"/>
                <w:id w:val="-2040966514"/>
                <w:lock w:val="sdtLocked"/>
              </w:sdtPr>
              <w:sdtContent>
                <w:tc>
                  <w:tcPr>
                    <w:tcW w:w="2032" w:type="pct"/>
                  </w:tcPr>
                  <w:p w:rsidR="00193DDE" w:rsidRPr="00E04FAA" w:rsidRDefault="00193DDE" w:rsidP="00567368">
                    <w:pPr>
                      <w:kinsoku w:val="0"/>
                      <w:overflowPunct w:val="0"/>
                      <w:autoSpaceDE w:val="0"/>
                      <w:autoSpaceDN w:val="0"/>
                      <w:adjustRightInd w:val="0"/>
                      <w:snapToGrid w:val="0"/>
                      <w:rPr>
                        <w:szCs w:val="21"/>
                      </w:rPr>
                    </w:pPr>
                    <w:r w:rsidRPr="00E04FAA">
                      <w:rPr>
                        <w:rFonts w:hint="eastAsia"/>
                        <w:szCs w:val="21"/>
                      </w:rPr>
                      <w:t>归属于上市公司股东的净利润</w:t>
                    </w:r>
                  </w:p>
                </w:tc>
              </w:sdtContent>
            </w:sdt>
            <w:tc>
              <w:tcPr>
                <w:tcW w:w="1006" w:type="pct"/>
              </w:tcPr>
              <w:p w:rsidR="00193DDE" w:rsidRPr="00E04FAA" w:rsidRDefault="00AB38E3" w:rsidP="00567368">
                <w:pPr>
                  <w:kinsoku w:val="0"/>
                  <w:overflowPunct w:val="0"/>
                  <w:autoSpaceDE w:val="0"/>
                  <w:autoSpaceDN w:val="0"/>
                  <w:adjustRightInd w:val="0"/>
                  <w:snapToGrid w:val="0"/>
                  <w:jc w:val="right"/>
                  <w:rPr>
                    <w:szCs w:val="21"/>
                  </w:rPr>
                </w:pPr>
                <w:r w:rsidRPr="00E04FAA">
                  <w:rPr>
                    <w:szCs w:val="21"/>
                  </w:rPr>
                  <w:t>482,379,589</w:t>
                </w:r>
              </w:p>
            </w:tc>
            <w:tc>
              <w:tcPr>
                <w:tcW w:w="990" w:type="pct"/>
              </w:tcPr>
              <w:p w:rsidR="00193DDE" w:rsidRPr="00E04FAA" w:rsidRDefault="00193DDE" w:rsidP="00567368">
                <w:pPr>
                  <w:kinsoku w:val="0"/>
                  <w:overflowPunct w:val="0"/>
                  <w:autoSpaceDE w:val="0"/>
                  <w:autoSpaceDN w:val="0"/>
                  <w:adjustRightInd w:val="0"/>
                  <w:snapToGrid w:val="0"/>
                  <w:jc w:val="right"/>
                  <w:rPr>
                    <w:bCs/>
                    <w:szCs w:val="21"/>
                  </w:rPr>
                </w:pPr>
                <w:r w:rsidRPr="00E04FAA">
                  <w:rPr>
                    <w:bCs/>
                    <w:szCs w:val="21"/>
                  </w:rPr>
                  <w:t>123,656,504</w:t>
                </w:r>
              </w:p>
            </w:tc>
            <w:tc>
              <w:tcPr>
                <w:tcW w:w="972" w:type="pct"/>
              </w:tcPr>
              <w:p w:rsidR="00193DDE" w:rsidRPr="00E04FAA" w:rsidRDefault="00AB38E3" w:rsidP="00567368">
                <w:pPr>
                  <w:kinsoku w:val="0"/>
                  <w:overflowPunct w:val="0"/>
                  <w:autoSpaceDE w:val="0"/>
                  <w:autoSpaceDN w:val="0"/>
                  <w:adjustRightInd w:val="0"/>
                  <w:snapToGrid w:val="0"/>
                  <w:jc w:val="right"/>
                  <w:rPr>
                    <w:szCs w:val="21"/>
                  </w:rPr>
                </w:pPr>
                <w:r w:rsidRPr="00E04FAA">
                  <w:rPr>
                    <w:szCs w:val="21"/>
                  </w:rPr>
                  <w:t>290.1</w:t>
                </w:r>
              </w:p>
            </w:tc>
          </w:tr>
          <w:tr w:rsidR="00193DDE" w:rsidRPr="00E04FAA" w:rsidTr="00567368">
            <w:trPr>
              <w:trHeight w:val="285"/>
            </w:trPr>
            <w:sdt>
              <w:sdtPr>
                <w:tag w:val="_PLD_f59cc08add024388b79135816e85f0a1"/>
                <w:id w:val="1467169959"/>
                <w:lock w:val="sdtLocked"/>
              </w:sdtPr>
              <w:sdtContent>
                <w:tc>
                  <w:tcPr>
                    <w:tcW w:w="2032" w:type="pct"/>
                  </w:tcPr>
                  <w:p w:rsidR="00193DDE" w:rsidRPr="00E04FAA" w:rsidRDefault="00193DDE" w:rsidP="00567368">
                    <w:pPr>
                      <w:kinsoku w:val="0"/>
                      <w:overflowPunct w:val="0"/>
                      <w:autoSpaceDE w:val="0"/>
                      <w:autoSpaceDN w:val="0"/>
                      <w:adjustRightInd w:val="0"/>
                      <w:snapToGrid w:val="0"/>
                      <w:rPr>
                        <w:szCs w:val="21"/>
                      </w:rPr>
                    </w:pPr>
                    <w:r w:rsidRPr="00E04FAA">
                      <w:rPr>
                        <w:rFonts w:hint="eastAsia"/>
                        <w:szCs w:val="21"/>
                      </w:rPr>
                      <w:t>归属于上市公司股东的扣除非经常性损益的净利润</w:t>
                    </w:r>
                  </w:p>
                </w:tc>
              </w:sdtContent>
            </w:sdt>
            <w:tc>
              <w:tcPr>
                <w:tcW w:w="1006" w:type="pct"/>
              </w:tcPr>
              <w:p w:rsidR="00193DDE" w:rsidRPr="00E04FAA" w:rsidRDefault="00AB38E3" w:rsidP="00567368">
                <w:pPr>
                  <w:kinsoku w:val="0"/>
                  <w:overflowPunct w:val="0"/>
                  <w:autoSpaceDE w:val="0"/>
                  <w:autoSpaceDN w:val="0"/>
                  <w:adjustRightInd w:val="0"/>
                  <w:snapToGrid w:val="0"/>
                  <w:jc w:val="right"/>
                  <w:rPr>
                    <w:szCs w:val="21"/>
                  </w:rPr>
                </w:pPr>
                <w:r w:rsidRPr="00E04FAA">
                  <w:rPr>
                    <w:szCs w:val="21"/>
                  </w:rPr>
                  <w:t>264,296,562</w:t>
                </w:r>
              </w:p>
            </w:tc>
            <w:tc>
              <w:tcPr>
                <w:tcW w:w="990" w:type="pct"/>
              </w:tcPr>
              <w:p w:rsidR="00193DDE" w:rsidRPr="00E04FAA" w:rsidRDefault="00193DDE" w:rsidP="00567368">
                <w:pPr>
                  <w:kinsoku w:val="0"/>
                  <w:overflowPunct w:val="0"/>
                  <w:autoSpaceDE w:val="0"/>
                  <w:autoSpaceDN w:val="0"/>
                  <w:adjustRightInd w:val="0"/>
                  <w:snapToGrid w:val="0"/>
                  <w:jc w:val="right"/>
                  <w:rPr>
                    <w:bCs/>
                    <w:szCs w:val="21"/>
                  </w:rPr>
                </w:pPr>
                <w:r w:rsidRPr="00E04FAA">
                  <w:rPr>
                    <w:bCs/>
                    <w:szCs w:val="21"/>
                  </w:rPr>
                  <w:t>103,616,172</w:t>
                </w:r>
              </w:p>
            </w:tc>
            <w:tc>
              <w:tcPr>
                <w:tcW w:w="972" w:type="pct"/>
              </w:tcPr>
              <w:p w:rsidR="00193DDE" w:rsidRPr="00E04FAA" w:rsidRDefault="00193DDE" w:rsidP="00B406F4">
                <w:pPr>
                  <w:kinsoku w:val="0"/>
                  <w:overflowPunct w:val="0"/>
                  <w:autoSpaceDE w:val="0"/>
                  <w:autoSpaceDN w:val="0"/>
                  <w:adjustRightInd w:val="0"/>
                  <w:snapToGrid w:val="0"/>
                  <w:jc w:val="right"/>
                  <w:rPr>
                    <w:szCs w:val="21"/>
                  </w:rPr>
                </w:pPr>
                <w:r w:rsidRPr="00E04FAA">
                  <w:rPr>
                    <w:szCs w:val="21"/>
                  </w:rPr>
                  <w:t>155.</w:t>
                </w:r>
                <w:r w:rsidR="00AB38E3" w:rsidRPr="00E04FAA">
                  <w:rPr>
                    <w:szCs w:val="21"/>
                  </w:rPr>
                  <w:t>1</w:t>
                </w:r>
              </w:p>
            </w:tc>
          </w:tr>
          <w:tr w:rsidR="009F0970" w:rsidRPr="00E04FAA" w:rsidTr="00567368">
            <w:trPr>
              <w:trHeight w:val="285"/>
            </w:trPr>
            <w:sdt>
              <w:sdtPr>
                <w:tag w:val="_PLD_895da6708d8042d69e93b2530ead8964"/>
                <w:id w:val="588125285"/>
                <w:lock w:val="sdtLocked"/>
              </w:sdtPr>
              <w:sdtContent>
                <w:tc>
                  <w:tcPr>
                    <w:tcW w:w="2032" w:type="pct"/>
                  </w:tcPr>
                  <w:p w:rsidR="00193DDE" w:rsidRPr="00E04FAA" w:rsidRDefault="00193DDE" w:rsidP="00567368">
                    <w:pPr>
                      <w:kinsoku w:val="0"/>
                      <w:overflowPunct w:val="0"/>
                      <w:autoSpaceDE w:val="0"/>
                      <w:autoSpaceDN w:val="0"/>
                      <w:adjustRightInd w:val="0"/>
                      <w:snapToGrid w:val="0"/>
                      <w:rPr>
                        <w:szCs w:val="21"/>
                      </w:rPr>
                    </w:pPr>
                    <w:r w:rsidRPr="00E04FAA">
                      <w:rPr>
                        <w:rFonts w:hint="eastAsia"/>
                        <w:szCs w:val="21"/>
                      </w:rPr>
                      <w:t>经营活动产生的现金流量净额</w:t>
                    </w:r>
                  </w:p>
                </w:tc>
              </w:sdtContent>
            </w:sdt>
            <w:tc>
              <w:tcPr>
                <w:tcW w:w="1006" w:type="pct"/>
              </w:tcPr>
              <w:p w:rsidR="00193DDE" w:rsidRPr="00E04FAA" w:rsidRDefault="00193DDE" w:rsidP="00567368">
                <w:pPr>
                  <w:kinsoku w:val="0"/>
                  <w:overflowPunct w:val="0"/>
                  <w:autoSpaceDE w:val="0"/>
                  <w:autoSpaceDN w:val="0"/>
                  <w:adjustRightInd w:val="0"/>
                  <w:snapToGrid w:val="0"/>
                  <w:jc w:val="right"/>
                  <w:rPr>
                    <w:szCs w:val="21"/>
                  </w:rPr>
                </w:pPr>
                <w:r w:rsidRPr="00E04FAA">
                  <w:rPr>
                    <w:szCs w:val="21"/>
                  </w:rPr>
                  <w:t>-321,855,084</w:t>
                </w:r>
              </w:p>
            </w:tc>
            <w:tc>
              <w:tcPr>
                <w:tcW w:w="990" w:type="pct"/>
              </w:tcPr>
              <w:p w:rsidR="00193DDE" w:rsidRPr="00E04FAA" w:rsidRDefault="00193DDE" w:rsidP="00567368">
                <w:pPr>
                  <w:kinsoku w:val="0"/>
                  <w:overflowPunct w:val="0"/>
                  <w:autoSpaceDE w:val="0"/>
                  <w:autoSpaceDN w:val="0"/>
                  <w:adjustRightInd w:val="0"/>
                  <w:snapToGrid w:val="0"/>
                  <w:jc w:val="right"/>
                  <w:rPr>
                    <w:szCs w:val="21"/>
                  </w:rPr>
                </w:pPr>
                <w:r w:rsidRPr="00E04FAA">
                  <w:rPr>
                    <w:szCs w:val="21"/>
                  </w:rPr>
                  <w:t>-36,282,414</w:t>
                </w:r>
              </w:p>
            </w:tc>
            <w:tc>
              <w:tcPr>
                <w:tcW w:w="972" w:type="pct"/>
              </w:tcPr>
              <w:p w:rsidR="00193DDE" w:rsidRPr="00E04FAA" w:rsidRDefault="00AB38E3" w:rsidP="00567368">
                <w:pPr>
                  <w:kinsoku w:val="0"/>
                  <w:overflowPunct w:val="0"/>
                  <w:autoSpaceDE w:val="0"/>
                  <w:autoSpaceDN w:val="0"/>
                  <w:adjustRightInd w:val="0"/>
                  <w:snapToGrid w:val="0"/>
                  <w:jc w:val="right"/>
                  <w:rPr>
                    <w:color w:val="FF0000"/>
                    <w:szCs w:val="21"/>
                  </w:rPr>
                </w:pPr>
                <w:r w:rsidRPr="00E04FAA">
                  <w:rPr>
                    <w:rFonts w:hint="eastAsia"/>
                    <w:szCs w:val="21"/>
                  </w:rPr>
                  <w:t>不适用</w:t>
                </w:r>
              </w:p>
            </w:tc>
          </w:tr>
          <w:tr w:rsidR="00193DDE" w:rsidRPr="00E04FAA" w:rsidTr="00567368">
            <w:trPr>
              <w:trHeight w:val="533"/>
            </w:trPr>
            <w:tc>
              <w:tcPr>
                <w:tcW w:w="2032" w:type="pct"/>
                <w:vAlign w:val="center"/>
              </w:tcPr>
              <w:p w:rsidR="00193DDE" w:rsidRPr="00E04FAA" w:rsidRDefault="00193DDE" w:rsidP="00567368">
                <w:pPr>
                  <w:kinsoku w:val="0"/>
                  <w:overflowPunct w:val="0"/>
                  <w:autoSpaceDE w:val="0"/>
                  <w:autoSpaceDN w:val="0"/>
                  <w:adjustRightInd w:val="0"/>
                  <w:snapToGrid w:val="0"/>
                  <w:jc w:val="center"/>
                  <w:rPr>
                    <w:szCs w:val="21"/>
                  </w:rPr>
                </w:pPr>
              </w:p>
            </w:tc>
            <w:sdt>
              <w:sdtPr>
                <w:tag w:val="_PLD_b75e9aa554cc48539ab9de572d244f45"/>
                <w:id w:val="-1108355122"/>
                <w:lock w:val="sdtLocked"/>
              </w:sdtPr>
              <w:sdtContent>
                <w:tc>
                  <w:tcPr>
                    <w:tcW w:w="1006" w:type="pct"/>
                    <w:vAlign w:val="center"/>
                  </w:tcPr>
                  <w:p w:rsidR="00193DDE" w:rsidRPr="00E04FAA" w:rsidRDefault="00193DDE" w:rsidP="00567368">
                    <w:pPr>
                      <w:kinsoku w:val="0"/>
                      <w:overflowPunct w:val="0"/>
                      <w:autoSpaceDE w:val="0"/>
                      <w:autoSpaceDN w:val="0"/>
                      <w:adjustRightInd w:val="0"/>
                      <w:snapToGrid w:val="0"/>
                      <w:jc w:val="center"/>
                      <w:rPr>
                        <w:szCs w:val="21"/>
                      </w:rPr>
                    </w:pPr>
                    <w:r w:rsidRPr="00E04FAA">
                      <w:t>本报告期末</w:t>
                    </w:r>
                  </w:p>
                </w:tc>
              </w:sdtContent>
            </w:sdt>
            <w:sdt>
              <w:sdtPr>
                <w:tag w:val="_PLD_7425b2bc6a39452296814978a781ba72"/>
                <w:id w:val="1503936950"/>
                <w:lock w:val="sdtLocked"/>
              </w:sdtPr>
              <w:sdtContent>
                <w:tc>
                  <w:tcPr>
                    <w:tcW w:w="990" w:type="pct"/>
                    <w:vAlign w:val="center"/>
                  </w:tcPr>
                  <w:p w:rsidR="00193DDE" w:rsidRPr="00E04FAA" w:rsidRDefault="00193DDE" w:rsidP="00567368">
                    <w:pPr>
                      <w:kinsoku w:val="0"/>
                      <w:overflowPunct w:val="0"/>
                      <w:autoSpaceDE w:val="0"/>
                      <w:autoSpaceDN w:val="0"/>
                      <w:adjustRightInd w:val="0"/>
                      <w:snapToGrid w:val="0"/>
                      <w:jc w:val="center"/>
                      <w:rPr>
                        <w:szCs w:val="21"/>
                      </w:rPr>
                    </w:pPr>
                    <w:r w:rsidRPr="00E04FAA">
                      <w:t>上年度末</w:t>
                    </w:r>
                  </w:p>
                </w:tc>
              </w:sdtContent>
            </w:sdt>
            <w:sdt>
              <w:sdtPr>
                <w:tag w:val="_PLD_7a1ba9a6d9b54e51bd320f47b6233184"/>
                <w:id w:val="696125219"/>
                <w:lock w:val="sdtLocked"/>
              </w:sdtPr>
              <w:sdtContent>
                <w:tc>
                  <w:tcPr>
                    <w:tcW w:w="972" w:type="pct"/>
                    <w:vAlign w:val="center"/>
                  </w:tcPr>
                  <w:p w:rsidR="00193DDE" w:rsidRPr="00E04FAA" w:rsidRDefault="00193DDE" w:rsidP="00567368">
                    <w:pPr>
                      <w:kinsoku w:val="0"/>
                      <w:overflowPunct w:val="0"/>
                      <w:autoSpaceDE w:val="0"/>
                      <w:autoSpaceDN w:val="0"/>
                      <w:adjustRightInd w:val="0"/>
                      <w:snapToGrid w:val="0"/>
                      <w:jc w:val="center"/>
                      <w:rPr>
                        <w:szCs w:val="21"/>
                      </w:rPr>
                    </w:pPr>
                    <w:r w:rsidRPr="00E04FAA">
                      <w:t>本报告期末比上年度末增减</w:t>
                    </w:r>
                    <w:r w:rsidRPr="00E04FAA">
                      <w:rPr>
                        <w:szCs w:val="21"/>
                      </w:rPr>
                      <w:t>(%)</w:t>
                    </w:r>
                  </w:p>
                </w:tc>
              </w:sdtContent>
            </w:sdt>
          </w:tr>
          <w:tr w:rsidR="00193DDE" w:rsidRPr="00E04FAA" w:rsidTr="00567368">
            <w:trPr>
              <w:trHeight w:val="285"/>
            </w:trPr>
            <w:sdt>
              <w:sdtPr>
                <w:tag w:val="_PLD_c12ab31af03f46e4bd02eb659877c070"/>
                <w:id w:val="651793324"/>
                <w:lock w:val="sdtLocked"/>
              </w:sdtPr>
              <w:sdtContent>
                <w:tc>
                  <w:tcPr>
                    <w:tcW w:w="2032" w:type="pct"/>
                  </w:tcPr>
                  <w:p w:rsidR="00193DDE" w:rsidRPr="00E04FAA" w:rsidRDefault="00193DDE" w:rsidP="00567368">
                    <w:pPr>
                      <w:kinsoku w:val="0"/>
                      <w:overflowPunct w:val="0"/>
                      <w:autoSpaceDE w:val="0"/>
                      <w:autoSpaceDN w:val="0"/>
                      <w:adjustRightInd w:val="0"/>
                      <w:snapToGrid w:val="0"/>
                      <w:rPr>
                        <w:szCs w:val="21"/>
                      </w:rPr>
                    </w:pPr>
                    <w:r w:rsidRPr="00E04FAA">
                      <w:rPr>
                        <w:rFonts w:hint="eastAsia"/>
                        <w:szCs w:val="21"/>
                      </w:rPr>
                      <w:t>归属于上市公司股东的净资产</w:t>
                    </w:r>
                  </w:p>
                </w:tc>
              </w:sdtContent>
            </w:sdt>
            <w:tc>
              <w:tcPr>
                <w:tcW w:w="1006" w:type="pct"/>
              </w:tcPr>
              <w:p w:rsidR="00193DDE" w:rsidRPr="00E04FAA" w:rsidRDefault="00AB38E3" w:rsidP="00567368">
                <w:pPr>
                  <w:kinsoku w:val="0"/>
                  <w:overflowPunct w:val="0"/>
                  <w:autoSpaceDE w:val="0"/>
                  <w:autoSpaceDN w:val="0"/>
                  <w:adjustRightInd w:val="0"/>
                  <w:snapToGrid w:val="0"/>
                  <w:jc w:val="right"/>
                  <w:rPr>
                    <w:szCs w:val="21"/>
                  </w:rPr>
                </w:pPr>
                <w:r w:rsidRPr="00E04FAA">
                  <w:t>6,264,373,010</w:t>
                </w:r>
              </w:p>
            </w:tc>
            <w:tc>
              <w:tcPr>
                <w:tcW w:w="990" w:type="pct"/>
              </w:tcPr>
              <w:p w:rsidR="00193DDE" w:rsidRPr="00E04FAA" w:rsidRDefault="00193DDE" w:rsidP="00567368">
                <w:pPr>
                  <w:kinsoku w:val="0"/>
                  <w:overflowPunct w:val="0"/>
                  <w:autoSpaceDE w:val="0"/>
                  <w:autoSpaceDN w:val="0"/>
                  <w:adjustRightInd w:val="0"/>
                  <w:snapToGrid w:val="0"/>
                  <w:jc w:val="right"/>
                  <w:rPr>
                    <w:bCs/>
                    <w:szCs w:val="21"/>
                  </w:rPr>
                </w:pPr>
                <w:r w:rsidRPr="00E04FAA">
                  <w:t>6,570,697,503</w:t>
                </w:r>
              </w:p>
            </w:tc>
            <w:tc>
              <w:tcPr>
                <w:tcW w:w="972" w:type="pct"/>
              </w:tcPr>
              <w:p w:rsidR="00193DDE" w:rsidRPr="00E04FAA" w:rsidRDefault="00193DDE" w:rsidP="00B406F4">
                <w:pPr>
                  <w:kinsoku w:val="0"/>
                  <w:overflowPunct w:val="0"/>
                  <w:autoSpaceDE w:val="0"/>
                  <w:autoSpaceDN w:val="0"/>
                  <w:adjustRightInd w:val="0"/>
                  <w:snapToGrid w:val="0"/>
                  <w:jc w:val="right"/>
                  <w:rPr>
                    <w:szCs w:val="21"/>
                  </w:rPr>
                </w:pPr>
                <w:r w:rsidRPr="00E04FAA">
                  <w:t>-4.</w:t>
                </w:r>
                <w:r w:rsidR="00AB38E3" w:rsidRPr="00E04FAA">
                  <w:t>7</w:t>
                </w:r>
              </w:p>
            </w:tc>
          </w:tr>
          <w:tr w:rsidR="00193DDE" w:rsidRPr="00E04FAA" w:rsidTr="00567368">
            <w:trPr>
              <w:trHeight w:val="285"/>
            </w:trPr>
            <w:sdt>
              <w:sdtPr>
                <w:tag w:val="_PLD_c9e79cad72304cada434a9145656a31f"/>
                <w:id w:val="-2078888008"/>
                <w:lock w:val="sdtLocked"/>
              </w:sdtPr>
              <w:sdtContent>
                <w:tc>
                  <w:tcPr>
                    <w:tcW w:w="2032" w:type="pct"/>
                  </w:tcPr>
                  <w:p w:rsidR="00193DDE" w:rsidRPr="00E04FAA" w:rsidRDefault="00193DDE" w:rsidP="00567368">
                    <w:pPr>
                      <w:kinsoku w:val="0"/>
                      <w:overflowPunct w:val="0"/>
                      <w:autoSpaceDE w:val="0"/>
                      <w:autoSpaceDN w:val="0"/>
                      <w:adjustRightInd w:val="0"/>
                      <w:snapToGrid w:val="0"/>
                      <w:rPr>
                        <w:szCs w:val="21"/>
                      </w:rPr>
                    </w:pPr>
                    <w:r w:rsidRPr="00E04FAA">
                      <w:rPr>
                        <w:rFonts w:hint="eastAsia"/>
                        <w:szCs w:val="21"/>
                      </w:rPr>
                      <w:t>总资产</w:t>
                    </w:r>
                  </w:p>
                </w:tc>
              </w:sdtContent>
            </w:sdt>
            <w:tc>
              <w:tcPr>
                <w:tcW w:w="1006" w:type="pct"/>
              </w:tcPr>
              <w:p w:rsidR="00193DDE" w:rsidRPr="00E04FAA" w:rsidRDefault="00AB38E3" w:rsidP="00567368">
                <w:pPr>
                  <w:kinsoku w:val="0"/>
                  <w:overflowPunct w:val="0"/>
                  <w:autoSpaceDE w:val="0"/>
                  <w:autoSpaceDN w:val="0"/>
                  <w:adjustRightInd w:val="0"/>
                  <w:snapToGrid w:val="0"/>
                  <w:jc w:val="right"/>
                  <w:rPr>
                    <w:szCs w:val="21"/>
                  </w:rPr>
                </w:pPr>
                <w:r w:rsidRPr="00E04FAA">
                  <w:t>15,058,850,024</w:t>
                </w:r>
              </w:p>
            </w:tc>
            <w:tc>
              <w:tcPr>
                <w:tcW w:w="990" w:type="pct"/>
              </w:tcPr>
              <w:p w:rsidR="00193DDE" w:rsidRPr="00E04FAA" w:rsidRDefault="00193DDE" w:rsidP="00567368">
                <w:pPr>
                  <w:kinsoku w:val="0"/>
                  <w:overflowPunct w:val="0"/>
                  <w:autoSpaceDE w:val="0"/>
                  <w:autoSpaceDN w:val="0"/>
                  <w:adjustRightInd w:val="0"/>
                  <w:snapToGrid w:val="0"/>
                  <w:jc w:val="right"/>
                  <w:rPr>
                    <w:bCs/>
                    <w:szCs w:val="21"/>
                  </w:rPr>
                </w:pPr>
                <w:r w:rsidRPr="00E04FAA">
                  <w:t>15,220,896,594</w:t>
                </w:r>
              </w:p>
            </w:tc>
            <w:tc>
              <w:tcPr>
                <w:tcW w:w="972" w:type="pct"/>
              </w:tcPr>
              <w:p w:rsidR="00193DDE" w:rsidRPr="00E04FAA" w:rsidRDefault="00193DDE" w:rsidP="00B406F4">
                <w:pPr>
                  <w:kinsoku w:val="0"/>
                  <w:overflowPunct w:val="0"/>
                  <w:autoSpaceDE w:val="0"/>
                  <w:autoSpaceDN w:val="0"/>
                  <w:adjustRightInd w:val="0"/>
                  <w:snapToGrid w:val="0"/>
                  <w:jc w:val="right"/>
                  <w:rPr>
                    <w:szCs w:val="21"/>
                  </w:rPr>
                </w:pPr>
                <w:r w:rsidRPr="00E04FAA">
                  <w:t>-</w:t>
                </w:r>
                <w:r w:rsidR="00AB38E3" w:rsidRPr="00E04FAA">
                  <w:t>1.1</w:t>
                </w:r>
              </w:p>
            </w:tc>
          </w:tr>
        </w:tbl>
        <w:p w:rsidR="00883153" w:rsidRPr="00E04FAA" w:rsidRDefault="000D0A99" w:rsidP="00193DDE"/>
        <w:bookmarkEnd w:id="13" w:displacedByCustomXml="next"/>
      </w:sdtContent>
    </w:sdt>
    <w:p w:rsidR="00883153" w:rsidRPr="00E04FAA" w:rsidRDefault="00200151">
      <w:pPr>
        <w:pStyle w:val="3"/>
        <w:numPr>
          <w:ilvl w:val="1"/>
          <w:numId w:val="2"/>
        </w:numPr>
        <w:rPr>
          <w:rFonts w:ascii="宋体" w:hAnsi="宋体"/>
          <w:szCs w:val="21"/>
        </w:rPr>
      </w:pPr>
      <w:r w:rsidRPr="00E04FAA">
        <w:t>主要财务指标</w:t>
      </w:r>
    </w:p>
    <w:bookmarkStart w:id="14" w:name="_Toc342565890" w:displacedByCustomXml="next"/>
    <w:bookmarkStart w:id="15" w:name="_Toc342056398" w:displacedByCustomXml="next"/>
    <w:sdt>
      <w:sdtPr>
        <w:alias w:val="选项模块:主要财务指标(无追溯)"/>
        <w:tag w:val="_GBC_b44cc48c2c094fe699f563d257345cf5"/>
        <w:id w:val="467402683"/>
        <w:lock w:val="sdtLocked"/>
        <w:placeholder>
          <w:docPart w:val="DefaultPlaceholder_-1854013440"/>
        </w:placeholder>
      </w:sdtPr>
      <w:sdtContent>
        <w:p w:rsidR="00D82D73" w:rsidRPr="00E04FAA" w:rsidRDefault="00D82D73" w:rsidP="00D82D73"/>
        <w:tbl>
          <w:tblPr>
            <w:tblStyle w:val="a9"/>
            <w:tblW w:w="0" w:type="auto"/>
            <w:tblLook w:val="04A0" w:firstRow="1" w:lastRow="0" w:firstColumn="1" w:lastColumn="0" w:noHBand="0" w:noVBand="1"/>
          </w:tblPr>
          <w:tblGrid>
            <w:gridCol w:w="3536"/>
            <w:gridCol w:w="1663"/>
            <w:gridCol w:w="1459"/>
            <w:gridCol w:w="2165"/>
          </w:tblGrid>
          <w:tr w:rsidR="00007196" w:rsidRPr="00E04FAA" w:rsidTr="002846C9">
            <w:tc>
              <w:tcPr>
                <w:tcW w:w="3536" w:type="dxa"/>
                <w:vAlign w:val="center"/>
              </w:tcPr>
              <w:p w:rsidR="003512B0" w:rsidRPr="00E04FAA" w:rsidRDefault="000D0A99" w:rsidP="00567368">
                <w:pPr>
                  <w:kinsoku w:val="0"/>
                  <w:overflowPunct w:val="0"/>
                  <w:autoSpaceDE w:val="0"/>
                  <w:autoSpaceDN w:val="0"/>
                  <w:adjustRightInd w:val="0"/>
                  <w:snapToGrid w:val="0"/>
                  <w:jc w:val="center"/>
                  <w:rPr>
                    <w:color w:val="000000" w:themeColor="text1"/>
                    <w:szCs w:val="21"/>
                  </w:rPr>
                </w:pPr>
                <w:sdt>
                  <w:sdtPr>
                    <w:rPr>
                      <w:rFonts w:ascii="Calibri" w:hAnsi="Calibri"/>
                      <w:color w:val="000000" w:themeColor="text1"/>
                    </w:rPr>
                    <w:tag w:val="_PLD_b12e929543994adfbc7a21fe743cd125"/>
                    <w:id w:val="1413824084"/>
                    <w:lock w:val="sdtLocked"/>
                  </w:sdtPr>
                  <w:sdtEndPr>
                    <w:rPr>
                      <w:rFonts w:ascii="Times New Roman" w:hAnsi="Times New Roman"/>
                    </w:rPr>
                  </w:sdtEndPr>
                  <w:sdtContent>
                    <w:r w:rsidR="003512B0" w:rsidRPr="00E04FAA">
                      <w:rPr>
                        <w:color w:val="000000" w:themeColor="text1"/>
                      </w:rPr>
                      <w:t>主要财务指标</w:t>
                    </w:r>
                  </w:sdtContent>
                </w:sdt>
              </w:p>
            </w:tc>
            <w:sdt>
              <w:sdtPr>
                <w:rPr>
                  <w:color w:val="000000" w:themeColor="text1"/>
                </w:rPr>
                <w:tag w:val="_PLD_d04f89449ff14c5fa39e871117b7e9e2"/>
                <w:id w:val="2115625723"/>
                <w:lock w:val="sdtLocked"/>
              </w:sdtPr>
              <w:sdtContent>
                <w:tc>
                  <w:tcPr>
                    <w:tcW w:w="1663" w:type="dxa"/>
                    <w:vAlign w:val="center"/>
                  </w:tcPr>
                  <w:p w:rsidR="003512B0" w:rsidRPr="00E04FAA" w:rsidRDefault="003512B0" w:rsidP="00567368">
                    <w:pPr>
                      <w:kinsoku w:val="0"/>
                      <w:overflowPunct w:val="0"/>
                      <w:autoSpaceDE w:val="0"/>
                      <w:autoSpaceDN w:val="0"/>
                      <w:adjustRightInd w:val="0"/>
                      <w:snapToGrid w:val="0"/>
                      <w:jc w:val="center"/>
                      <w:rPr>
                        <w:color w:val="000000" w:themeColor="text1"/>
                      </w:rPr>
                    </w:pPr>
                    <w:r w:rsidRPr="00E04FAA">
                      <w:rPr>
                        <w:color w:val="000000" w:themeColor="text1"/>
                      </w:rPr>
                      <w:t>本报告期</w:t>
                    </w:r>
                  </w:p>
                  <w:p w:rsidR="003512B0" w:rsidRPr="00E04FAA" w:rsidRDefault="003512B0" w:rsidP="00567368">
                    <w:pPr>
                      <w:kinsoku w:val="0"/>
                      <w:overflowPunct w:val="0"/>
                      <w:autoSpaceDE w:val="0"/>
                      <w:autoSpaceDN w:val="0"/>
                      <w:adjustRightInd w:val="0"/>
                      <w:snapToGrid w:val="0"/>
                      <w:jc w:val="center"/>
                      <w:rPr>
                        <w:color w:val="000000" w:themeColor="text1"/>
                        <w:szCs w:val="21"/>
                      </w:rPr>
                    </w:pPr>
                    <w:r w:rsidRPr="00E04FAA">
                      <w:rPr>
                        <w:color w:val="000000" w:themeColor="text1"/>
                      </w:rPr>
                      <w:t>（1－6月）</w:t>
                    </w:r>
                  </w:p>
                </w:tc>
              </w:sdtContent>
            </w:sdt>
            <w:sdt>
              <w:sdtPr>
                <w:rPr>
                  <w:color w:val="000000" w:themeColor="text1"/>
                </w:rPr>
                <w:tag w:val="_PLD_bdb91a2a58254a0e945eecc5aef91521"/>
                <w:id w:val="735895310"/>
                <w:lock w:val="sdtLocked"/>
              </w:sdtPr>
              <w:sdtContent>
                <w:tc>
                  <w:tcPr>
                    <w:tcW w:w="1459" w:type="dxa"/>
                    <w:vAlign w:val="center"/>
                  </w:tcPr>
                  <w:p w:rsidR="003512B0" w:rsidRPr="00E04FAA" w:rsidRDefault="003512B0" w:rsidP="00567368">
                    <w:pPr>
                      <w:kinsoku w:val="0"/>
                      <w:overflowPunct w:val="0"/>
                      <w:autoSpaceDE w:val="0"/>
                      <w:autoSpaceDN w:val="0"/>
                      <w:adjustRightInd w:val="0"/>
                      <w:snapToGrid w:val="0"/>
                      <w:jc w:val="center"/>
                      <w:rPr>
                        <w:color w:val="000000" w:themeColor="text1"/>
                        <w:szCs w:val="21"/>
                      </w:rPr>
                    </w:pPr>
                    <w:r w:rsidRPr="00E04FAA">
                      <w:rPr>
                        <w:color w:val="000000" w:themeColor="text1"/>
                      </w:rPr>
                      <w:t>上年同期</w:t>
                    </w:r>
                  </w:p>
                </w:tc>
              </w:sdtContent>
            </w:sdt>
            <w:sdt>
              <w:sdtPr>
                <w:rPr>
                  <w:color w:val="000000" w:themeColor="text1"/>
                </w:rPr>
                <w:tag w:val="_PLD_08306889e5b040aa83784b3f6db386f1"/>
                <w:id w:val="-1985915253"/>
                <w:lock w:val="sdtLocked"/>
              </w:sdtPr>
              <w:sdtContent>
                <w:tc>
                  <w:tcPr>
                    <w:tcW w:w="2165" w:type="dxa"/>
                    <w:vAlign w:val="center"/>
                  </w:tcPr>
                  <w:p w:rsidR="003512B0" w:rsidRPr="00E04FAA" w:rsidRDefault="003512B0" w:rsidP="00567368">
                    <w:pPr>
                      <w:kinsoku w:val="0"/>
                      <w:overflowPunct w:val="0"/>
                      <w:autoSpaceDE w:val="0"/>
                      <w:autoSpaceDN w:val="0"/>
                      <w:adjustRightInd w:val="0"/>
                      <w:snapToGrid w:val="0"/>
                      <w:jc w:val="center"/>
                      <w:rPr>
                        <w:color w:val="000000" w:themeColor="text1"/>
                        <w:szCs w:val="21"/>
                      </w:rPr>
                    </w:pPr>
                    <w:r w:rsidRPr="00E04FAA">
                      <w:rPr>
                        <w:color w:val="000000" w:themeColor="text1"/>
                      </w:rPr>
                      <w:t>本报告期比上年同期增减</w:t>
                    </w:r>
                    <w:r w:rsidRPr="00E04FAA">
                      <w:rPr>
                        <w:color w:val="000000" w:themeColor="text1"/>
                        <w:szCs w:val="21"/>
                      </w:rPr>
                      <w:t>(%)</w:t>
                    </w:r>
                  </w:p>
                </w:tc>
              </w:sdtContent>
            </w:sdt>
          </w:tr>
          <w:tr w:rsidR="00007196" w:rsidRPr="00E04FAA" w:rsidTr="002846C9">
            <w:sdt>
              <w:sdtPr>
                <w:rPr>
                  <w:color w:val="000000" w:themeColor="text1"/>
                </w:rPr>
                <w:tag w:val="_PLD_089671b43cd048bda3f42f7ff187200a"/>
                <w:id w:val="1715462626"/>
                <w:lock w:val="sdtLocked"/>
              </w:sdtPr>
              <w:sdtContent>
                <w:tc>
                  <w:tcPr>
                    <w:tcW w:w="3536" w:type="dxa"/>
                  </w:tcPr>
                  <w:p w:rsidR="003512B0" w:rsidRPr="00E04FAA" w:rsidRDefault="003512B0" w:rsidP="00567368">
                    <w:pPr>
                      <w:kinsoku w:val="0"/>
                      <w:overflowPunct w:val="0"/>
                      <w:autoSpaceDE w:val="0"/>
                      <w:autoSpaceDN w:val="0"/>
                      <w:adjustRightInd w:val="0"/>
                      <w:snapToGrid w:val="0"/>
                      <w:rPr>
                        <w:color w:val="000000" w:themeColor="text1"/>
                        <w:szCs w:val="21"/>
                      </w:rPr>
                    </w:pPr>
                    <w:r w:rsidRPr="00E04FAA">
                      <w:rPr>
                        <w:color w:val="000000" w:themeColor="text1"/>
                      </w:rPr>
                      <w:t>基本每股收益（元／股）</w:t>
                    </w:r>
                  </w:p>
                </w:tc>
              </w:sdtContent>
            </w:sdt>
            <w:tc>
              <w:tcPr>
                <w:tcW w:w="1663" w:type="dxa"/>
              </w:tcPr>
              <w:p w:rsidR="003512B0" w:rsidRPr="00E04FAA" w:rsidRDefault="008364E7" w:rsidP="00567368">
                <w:pPr>
                  <w:kinsoku w:val="0"/>
                  <w:overflowPunct w:val="0"/>
                  <w:autoSpaceDE w:val="0"/>
                  <w:autoSpaceDN w:val="0"/>
                  <w:adjustRightInd w:val="0"/>
                  <w:snapToGrid w:val="0"/>
                  <w:jc w:val="right"/>
                  <w:rPr>
                    <w:color w:val="000000" w:themeColor="text1"/>
                    <w:szCs w:val="21"/>
                  </w:rPr>
                </w:pPr>
                <w:r w:rsidRPr="00E04FAA">
                  <w:rPr>
                    <w:color w:val="000000" w:themeColor="text1"/>
                  </w:rPr>
                  <w:t>0.19</w:t>
                </w:r>
              </w:p>
            </w:tc>
            <w:tc>
              <w:tcPr>
                <w:tcW w:w="1459" w:type="dxa"/>
              </w:tcPr>
              <w:p w:rsidR="003512B0" w:rsidRPr="00E04FAA" w:rsidRDefault="003512B0" w:rsidP="00567368">
                <w:pPr>
                  <w:kinsoku w:val="0"/>
                  <w:overflowPunct w:val="0"/>
                  <w:autoSpaceDE w:val="0"/>
                  <w:autoSpaceDN w:val="0"/>
                  <w:adjustRightInd w:val="0"/>
                  <w:snapToGrid w:val="0"/>
                  <w:jc w:val="right"/>
                  <w:rPr>
                    <w:color w:val="000000" w:themeColor="text1"/>
                    <w:szCs w:val="21"/>
                  </w:rPr>
                </w:pPr>
                <w:r w:rsidRPr="00E04FAA">
                  <w:rPr>
                    <w:color w:val="000000" w:themeColor="text1"/>
                  </w:rPr>
                  <w:t>0.05</w:t>
                </w:r>
              </w:p>
            </w:tc>
            <w:tc>
              <w:tcPr>
                <w:tcW w:w="2165" w:type="dxa"/>
              </w:tcPr>
              <w:p w:rsidR="003512B0" w:rsidRPr="00E04FAA" w:rsidRDefault="008364E7" w:rsidP="00567368">
                <w:pPr>
                  <w:kinsoku w:val="0"/>
                  <w:overflowPunct w:val="0"/>
                  <w:autoSpaceDE w:val="0"/>
                  <w:autoSpaceDN w:val="0"/>
                  <w:adjustRightInd w:val="0"/>
                  <w:snapToGrid w:val="0"/>
                  <w:jc w:val="right"/>
                  <w:rPr>
                    <w:color w:val="000000" w:themeColor="text1"/>
                    <w:szCs w:val="21"/>
                  </w:rPr>
                </w:pPr>
                <w:r w:rsidRPr="00E04FAA">
                  <w:rPr>
                    <w:color w:val="000000" w:themeColor="text1"/>
                  </w:rPr>
                  <w:t>280</w:t>
                </w:r>
                <w:r w:rsidR="003512B0" w:rsidRPr="00E04FAA">
                  <w:rPr>
                    <w:color w:val="000000" w:themeColor="text1"/>
                  </w:rPr>
                  <w:t>.0</w:t>
                </w:r>
              </w:p>
            </w:tc>
          </w:tr>
          <w:tr w:rsidR="00007196" w:rsidRPr="00E04FAA" w:rsidTr="002846C9">
            <w:sdt>
              <w:sdtPr>
                <w:rPr>
                  <w:color w:val="000000" w:themeColor="text1"/>
                </w:rPr>
                <w:tag w:val="_PLD_b53c618810f6494198af9022cf5f9c92"/>
                <w:id w:val="-44214580"/>
                <w:lock w:val="sdtLocked"/>
              </w:sdtPr>
              <w:sdtContent>
                <w:tc>
                  <w:tcPr>
                    <w:tcW w:w="3536" w:type="dxa"/>
                  </w:tcPr>
                  <w:p w:rsidR="003512B0" w:rsidRPr="00E04FAA" w:rsidRDefault="003512B0" w:rsidP="00567368">
                    <w:pPr>
                      <w:kinsoku w:val="0"/>
                      <w:overflowPunct w:val="0"/>
                      <w:autoSpaceDE w:val="0"/>
                      <w:autoSpaceDN w:val="0"/>
                      <w:adjustRightInd w:val="0"/>
                      <w:snapToGrid w:val="0"/>
                      <w:rPr>
                        <w:color w:val="000000" w:themeColor="text1"/>
                        <w:szCs w:val="21"/>
                      </w:rPr>
                    </w:pPr>
                    <w:r w:rsidRPr="00E04FAA">
                      <w:rPr>
                        <w:color w:val="000000" w:themeColor="text1"/>
                      </w:rPr>
                      <w:t>稀释每股收益（元／股）</w:t>
                    </w:r>
                  </w:p>
                </w:tc>
              </w:sdtContent>
            </w:sdt>
            <w:tc>
              <w:tcPr>
                <w:tcW w:w="1663" w:type="dxa"/>
              </w:tcPr>
              <w:p w:rsidR="003512B0" w:rsidRPr="00E04FAA" w:rsidRDefault="003512B0" w:rsidP="00567368">
                <w:pPr>
                  <w:kinsoku w:val="0"/>
                  <w:overflowPunct w:val="0"/>
                  <w:autoSpaceDE w:val="0"/>
                  <w:autoSpaceDN w:val="0"/>
                  <w:adjustRightInd w:val="0"/>
                  <w:snapToGrid w:val="0"/>
                  <w:jc w:val="right"/>
                  <w:rPr>
                    <w:color w:val="000000" w:themeColor="text1"/>
                    <w:szCs w:val="21"/>
                  </w:rPr>
                </w:pPr>
                <w:r w:rsidRPr="00E04FAA">
                  <w:rPr>
                    <w:color w:val="000000" w:themeColor="text1"/>
                  </w:rPr>
                  <w:t>0.19</w:t>
                </w:r>
              </w:p>
            </w:tc>
            <w:tc>
              <w:tcPr>
                <w:tcW w:w="1459" w:type="dxa"/>
              </w:tcPr>
              <w:p w:rsidR="003512B0" w:rsidRPr="00E04FAA" w:rsidRDefault="003512B0" w:rsidP="00567368">
                <w:pPr>
                  <w:kinsoku w:val="0"/>
                  <w:overflowPunct w:val="0"/>
                  <w:autoSpaceDE w:val="0"/>
                  <w:autoSpaceDN w:val="0"/>
                  <w:adjustRightInd w:val="0"/>
                  <w:snapToGrid w:val="0"/>
                  <w:jc w:val="right"/>
                  <w:rPr>
                    <w:color w:val="000000" w:themeColor="text1"/>
                    <w:szCs w:val="21"/>
                  </w:rPr>
                </w:pPr>
                <w:r w:rsidRPr="00E04FAA">
                  <w:rPr>
                    <w:color w:val="000000" w:themeColor="text1"/>
                  </w:rPr>
                  <w:t>0.05</w:t>
                </w:r>
              </w:p>
            </w:tc>
            <w:tc>
              <w:tcPr>
                <w:tcW w:w="2165" w:type="dxa"/>
              </w:tcPr>
              <w:p w:rsidR="003512B0" w:rsidRPr="00E04FAA" w:rsidRDefault="003512B0" w:rsidP="00567368">
                <w:pPr>
                  <w:kinsoku w:val="0"/>
                  <w:overflowPunct w:val="0"/>
                  <w:autoSpaceDE w:val="0"/>
                  <w:autoSpaceDN w:val="0"/>
                  <w:adjustRightInd w:val="0"/>
                  <w:snapToGrid w:val="0"/>
                  <w:jc w:val="right"/>
                  <w:rPr>
                    <w:color w:val="000000" w:themeColor="text1"/>
                    <w:szCs w:val="21"/>
                  </w:rPr>
                </w:pPr>
                <w:r w:rsidRPr="00E04FAA">
                  <w:rPr>
                    <w:color w:val="000000" w:themeColor="text1"/>
                  </w:rPr>
                  <w:t>280.0</w:t>
                </w:r>
              </w:p>
            </w:tc>
          </w:tr>
          <w:tr w:rsidR="00007196" w:rsidRPr="00E04FAA" w:rsidTr="002846C9">
            <w:sdt>
              <w:sdtPr>
                <w:rPr>
                  <w:color w:val="000000" w:themeColor="text1"/>
                </w:rPr>
                <w:tag w:val="_PLD_7ae3fa8992794ff1bdf49e4e770ce96d"/>
                <w:id w:val="338053307"/>
                <w:lock w:val="sdtLocked"/>
              </w:sdtPr>
              <w:sdtContent>
                <w:tc>
                  <w:tcPr>
                    <w:tcW w:w="3536" w:type="dxa"/>
                  </w:tcPr>
                  <w:p w:rsidR="003512B0" w:rsidRPr="00E04FAA" w:rsidRDefault="003512B0" w:rsidP="00567368">
                    <w:pPr>
                      <w:kinsoku w:val="0"/>
                      <w:overflowPunct w:val="0"/>
                      <w:autoSpaceDE w:val="0"/>
                      <w:autoSpaceDN w:val="0"/>
                      <w:adjustRightInd w:val="0"/>
                      <w:snapToGrid w:val="0"/>
                      <w:rPr>
                        <w:color w:val="000000" w:themeColor="text1"/>
                        <w:szCs w:val="21"/>
                      </w:rPr>
                    </w:pPr>
                    <w:r w:rsidRPr="00E04FAA">
                      <w:rPr>
                        <w:color w:val="000000" w:themeColor="text1"/>
                      </w:rPr>
                      <w:t>加权平均净资产收益率（%）</w:t>
                    </w:r>
                  </w:p>
                </w:tc>
              </w:sdtContent>
            </w:sdt>
            <w:tc>
              <w:tcPr>
                <w:tcW w:w="1663" w:type="dxa"/>
              </w:tcPr>
              <w:p w:rsidR="003512B0" w:rsidRPr="00E04FAA" w:rsidRDefault="003512B0" w:rsidP="00B406F4">
                <w:pPr>
                  <w:kinsoku w:val="0"/>
                  <w:overflowPunct w:val="0"/>
                  <w:autoSpaceDE w:val="0"/>
                  <w:autoSpaceDN w:val="0"/>
                  <w:adjustRightInd w:val="0"/>
                  <w:snapToGrid w:val="0"/>
                  <w:jc w:val="right"/>
                  <w:rPr>
                    <w:color w:val="000000" w:themeColor="text1"/>
                    <w:szCs w:val="21"/>
                  </w:rPr>
                </w:pPr>
                <w:r w:rsidRPr="00E04FAA">
                  <w:rPr>
                    <w:color w:val="000000" w:themeColor="text1"/>
                  </w:rPr>
                  <w:t>7.</w:t>
                </w:r>
                <w:r w:rsidR="008364E7" w:rsidRPr="00E04FAA">
                  <w:rPr>
                    <w:color w:val="000000" w:themeColor="text1"/>
                  </w:rPr>
                  <w:t>2</w:t>
                </w:r>
                <w:r w:rsidR="00CE5078" w:rsidRPr="00E04FAA">
                  <w:rPr>
                    <w:color w:val="000000" w:themeColor="text1"/>
                  </w:rPr>
                  <w:t>4</w:t>
                </w:r>
              </w:p>
            </w:tc>
            <w:tc>
              <w:tcPr>
                <w:tcW w:w="1459" w:type="dxa"/>
              </w:tcPr>
              <w:p w:rsidR="003512B0" w:rsidRPr="00E04FAA" w:rsidRDefault="003512B0" w:rsidP="00567368">
                <w:pPr>
                  <w:kinsoku w:val="0"/>
                  <w:overflowPunct w:val="0"/>
                  <w:autoSpaceDE w:val="0"/>
                  <w:autoSpaceDN w:val="0"/>
                  <w:adjustRightInd w:val="0"/>
                  <w:snapToGrid w:val="0"/>
                  <w:jc w:val="right"/>
                  <w:rPr>
                    <w:color w:val="000000" w:themeColor="text1"/>
                    <w:szCs w:val="21"/>
                  </w:rPr>
                </w:pPr>
                <w:r w:rsidRPr="00E04FAA">
                  <w:rPr>
                    <w:color w:val="000000" w:themeColor="text1"/>
                  </w:rPr>
                  <w:t>2.17</w:t>
                </w:r>
              </w:p>
            </w:tc>
            <w:tc>
              <w:tcPr>
                <w:tcW w:w="2165" w:type="dxa"/>
              </w:tcPr>
              <w:p w:rsidR="003512B0" w:rsidRPr="00E04FAA" w:rsidRDefault="004E53C5" w:rsidP="002846C9">
                <w:pPr>
                  <w:kinsoku w:val="0"/>
                  <w:overflowPunct w:val="0"/>
                  <w:autoSpaceDE w:val="0"/>
                  <w:autoSpaceDN w:val="0"/>
                  <w:adjustRightInd w:val="0"/>
                  <w:snapToGrid w:val="0"/>
                  <w:jc w:val="right"/>
                  <w:rPr>
                    <w:color w:val="000000" w:themeColor="text1"/>
                    <w:szCs w:val="21"/>
                  </w:rPr>
                </w:pPr>
                <w:r>
                  <w:rPr>
                    <w:rFonts w:hint="eastAsia"/>
                    <w:color w:val="000000" w:themeColor="text1"/>
                  </w:rPr>
                  <w:t>增加</w:t>
                </w:r>
                <w:r>
                  <w:rPr>
                    <w:color w:val="000000" w:themeColor="text1"/>
                  </w:rPr>
                  <w:t>5.07个百分点</w:t>
                </w:r>
              </w:p>
            </w:tc>
          </w:tr>
          <w:tr w:rsidR="00007196" w:rsidRPr="00E04FAA" w:rsidTr="002846C9">
            <w:sdt>
              <w:sdtPr>
                <w:rPr>
                  <w:color w:val="000000" w:themeColor="text1"/>
                </w:rPr>
                <w:tag w:val="_PLD_37d92f3112bf450196ad8233f93a5237"/>
                <w:id w:val="2050026928"/>
                <w:lock w:val="sdtLocked"/>
              </w:sdtPr>
              <w:sdtContent>
                <w:tc>
                  <w:tcPr>
                    <w:tcW w:w="3536" w:type="dxa"/>
                  </w:tcPr>
                  <w:p w:rsidR="003512B0" w:rsidRPr="00E04FAA" w:rsidRDefault="003512B0" w:rsidP="00567368">
                    <w:pPr>
                      <w:kinsoku w:val="0"/>
                      <w:overflowPunct w:val="0"/>
                      <w:autoSpaceDE w:val="0"/>
                      <w:autoSpaceDN w:val="0"/>
                      <w:adjustRightInd w:val="0"/>
                      <w:snapToGrid w:val="0"/>
                      <w:rPr>
                        <w:color w:val="000000" w:themeColor="text1"/>
                        <w:szCs w:val="21"/>
                      </w:rPr>
                    </w:pPr>
                    <w:r w:rsidRPr="00E04FAA">
                      <w:rPr>
                        <w:color w:val="000000" w:themeColor="text1"/>
                      </w:rPr>
                      <w:t>扣除非经常性损益后的加权平均净资产收益率（%）</w:t>
                    </w:r>
                  </w:p>
                </w:tc>
              </w:sdtContent>
            </w:sdt>
            <w:tc>
              <w:tcPr>
                <w:tcW w:w="1663" w:type="dxa"/>
              </w:tcPr>
              <w:p w:rsidR="003512B0" w:rsidRPr="00E04FAA" w:rsidRDefault="003512B0" w:rsidP="002846C9">
                <w:pPr>
                  <w:jc w:val="right"/>
                  <w:rPr>
                    <w:color w:val="000000" w:themeColor="text1"/>
                  </w:rPr>
                </w:pPr>
                <w:r w:rsidRPr="00E04FAA">
                  <w:rPr>
                    <w:color w:val="000000" w:themeColor="text1"/>
                  </w:rPr>
                  <w:t>3.97</w:t>
                </w:r>
              </w:p>
            </w:tc>
            <w:tc>
              <w:tcPr>
                <w:tcW w:w="1459" w:type="dxa"/>
              </w:tcPr>
              <w:p w:rsidR="003512B0" w:rsidRPr="00E04FAA" w:rsidRDefault="003512B0" w:rsidP="002846C9">
                <w:pPr>
                  <w:jc w:val="right"/>
                  <w:rPr>
                    <w:color w:val="000000" w:themeColor="text1"/>
                  </w:rPr>
                </w:pPr>
                <w:r w:rsidRPr="00E04FAA">
                  <w:rPr>
                    <w:color w:val="000000" w:themeColor="text1"/>
                  </w:rPr>
                  <w:t>1.82</w:t>
                </w:r>
              </w:p>
            </w:tc>
            <w:tc>
              <w:tcPr>
                <w:tcW w:w="2165" w:type="dxa"/>
              </w:tcPr>
              <w:p w:rsidR="003512B0" w:rsidRPr="00E04FAA" w:rsidRDefault="003512B0" w:rsidP="002846C9">
                <w:pPr>
                  <w:jc w:val="right"/>
                  <w:rPr>
                    <w:color w:val="000000" w:themeColor="text1"/>
                  </w:rPr>
                </w:pPr>
                <w:r w:rsidRPr="00E04FAA">
                  <w:rPr>
                    <w:color w:val="000000" w:themeColor="text1"/>
                  </w:rPr>
                  <w:t>增加2.15个百分点</w:t>
                </w:r>
              </w:p>
            </w:tc>
          </w:tr>
          <w:sdt>
            <w:sdtPr>
              <w:rPr>
                <w:rFonts w:asciiTheme="minorHAnsi" w:eastAsiaTheme="minorEastAsia" w:hAnsiTheme="minorHAnsi" w:cstheme="minorBidi" w:hint="eastAsia"/>
                <w:color w:val="000000" w:themeColor="text1"/>
                <w:kern w:val="2"/>
                <w:szCs w:val="21"/>
              </w:rPr>
              <w:alias w:val="主要财务指标"/>
              <w:tag w:val="_GBC_f8966eaa1e1e407dbeb4d749d5193700"/>
              <w:id w:val="-547450136"/>
              <w:lock w:val="sdtLocked"/>
            </w:sdtPr>
            <w:sdtEndPr>
              <w:rPr>
                <w:color w:val="FF0000"/>
              </w:rPr>
            </w:sdtEndPr>
            <w:sdtContent>
              <w:tr w:rsidR="00007196" w:rsidRPr="00E04FAA" w:rsidTr="002846C9">
                <w:tc>
                  <w:tcPr>
                    <w:tcW w:w="3536" w:type="dxa"/>
                  </w:tcPr>
                  <w:p w:rsidR="003512B0" w:rsidRPr="00E04FAA" w:rsidRDefault="003512B0" w:rsidP="00567368">
                    <w:pPr>
                      <w:kinsoku w:val="0"/>
                      <w:overflowPunct w:val="0"/>
                      <w:autoSpaceDE w:val="0"/>
                      <w:autoSpaceDN w:val="0"/>
                      <w:adjustRightInd w:val="0"/>
                      <w:snapToGrid w:val="0"/>
                      <w:jc w:val="left"/>
                      <w:rPr>
                        <w:color w:val="000000" w:themeColor="text1"/>
                        <w:szCs w:val="21"/>
                      </w:rPr>
                    </w:pPr>
                    <w:r w:rsidRPr="00E04FAA">
                      <w:rPr>
                        <w:rFonts w:asciiTheme="minorHAnsi" w:eastAsiaTheme="minorEastAsia" w:hAnsiTheme="minorHAnsi" w:cstheme="minorBidi" w:hint="eastAsia"/>
                        <w:color w:val="000000" w:themeColor="text1"/>
                        <w:kern w:val="2"/>
                        <w:szCs w:val="21"/>
                      </w:rPr>
                      <w:t>每股经营活动产生的现金流量净额（元／股）</w:t>
                    </w:r>
                  </w:p>
                </w:tc>
                <w:tc>
                  <w:tcPr>
                    <w:tcW w:w="1663" w:type="dxa"/>
                  </w:tcPr>
                  <w:p w:rsidR="003512B0" w:rsidRPr="00E04FAA" w:rsidRDefault="003512B0" w:rsidP="00567368">
                    <w:pPr>
                      <w:kinsoku w:val="0"/>
                      <w:overflowPunct w:val="0"/>
                      <w:autoSpaceDE w:val="0"/>
                      <w:autoSpaceDN w:val="0"/>
                      <w:adjustRightInd w:val="0"/>
                      <w:snapToGrid w:val="0"/>
                      <w:jc w:val="right"/>
                      <w:rPr>
                        <w:color w:val="000000" w:themeColor="text1"/>
                        <w:szCs w:val="21"/>
                      </w:rPr>
                    </w:pPr>
                    <w:r w:rsidRPr="00E04FAA">
                      <w:rPr>
                        <w:color w:val="000000" w:themeColor="text1"/>
                      </w:rPr>
                      <w:t>-0.13</w:t>
                    </w:r>
                  </w:p>
                </w:tc>
                <w:tc>
                  <w:tcPr>
                    <w:tcW w:w="1459" w:type="dxa"/>
                  </w:tcPr>
                  <w:p w:rsidR="003512B0" w:rsidRPr="00E04FAA" w:rsidRDefault="003512B0" w:rsidP="00567368">
                    <w:pPr>
                      <w:kinsoku w:val="0"/>
                      <w:overflowPunct w:val="0"/>
                      <w:autoSpaceDE w:val="0"/>
                      <w:autoSpaceDN w:val="0"/>
                      <w:adjustRightInd w:val="0"/>
                      <w:snapToGrid w:val="0"/>
                      <w:jc w:val="right"/>
                      <w:rPr>
                        <w:color w:val="000000" w:themeColor="text1"/>
                        <w:szCs w:val="21"/>
                      </w:rPr>
                    </w:pPr>
                    <w:r w:rsidRPr="00E04FAA">
                      <w:rPr>
                        <w:color w:val="000000" w:themeColor="text1"/>
                      </w:rPr>
                      <w:t>-0.01</w:t>
                    </w:r>
                  </w:p>
                </w:tc>
                <w:tc>
                  <w:tcPr>
                    <w:tcW w:w="2165" w:type="dxa"/>
                  </w:tcPr>
                  <w:p w:rsidR="003512B0" w:rsidRPr="00E04FAA" w:rsidRDefault="00D221F8" w:rsidP="00567368">
                    <w:pPr>
                      <w:kinsoku w:val="0"/>
                      <w:overflowPunct w:val="0"/>
                      <w:autoSpaceDE w:val="0"/>
                      <w:autoSpaceDN w:val="0"/>
                      <w:adjustRightInd w:val="0"/>
                      <w:snapToGrid w:val="0"/>
                      <w:jc w:val="right"/>
                      <w:rPr>
                        <w:color w:val="FF0000"/>
                        <w:szCs w:val="21"/>
                      </w:rPr>
                    </w:pPr>
                    <w:r w:rsidRPr="00E04FAA">
                      <w:rPr>
                        <w:rFonts w:asciiTheme="minorEastAsia" w:eastAsiaTheme="minorEastAsia" w:hAnsiTheme="minorEastAsia"/>
                        <w:sz w:val="20"/>
                        <w:szCs w:val="21"/>
                      </w:rPr>
                      <w:t>不适用</w:t>
                    </w:r>
                  </w:p>
                </w:tc>
              </w:tr>
            </w:sdtContent>
          </w:sdt>
          <w:sdt>
            <w:sdtPr>
              <w:rPr>
                <w:rFonts w:asciiTheme="minorHAnsi" w:eastAsiaTheme="minorEastAsia" w:hAnsiTheme="minorHAnsi" w:cstheme="minorBidi" w:hint="eastAsia"/>
                <w:color w:val="000000" w:themeColor="text1"/>
                <w:kern w:val="2"/>
                <w:szCs w:val="21"/>
              </w:rPr>
              <w:alias w:val="主要财务指标"/>
              <w:tag w:val="_GBC_f8966eaa1e1e407dbeb4d749d5193700"/>
              <w:id w:val="825403013"/>
              <w:lock w:val="sdtLocked"/>
            </w:sdtPr>
            <w:sdtContent>
              <w:tr w:rsidR="00007196" w:rsidRPr="00E04FAA" w:rsidTr="002846C9">
                <w:tc>
                  <w:tcPr>
                    <w:tcW w:w="3536" w:type="dxa"/>
                  </w:tcPr>
                  <w:p w:rsidR="003512B0" w:rsidRPr="00E04FAA" w:rsidRDefault="003512B0" w:rsidP="00567368">
                    <w:pPr>
                      <w:kinsoku w:val="0"/>
                      <w:overflowPunct w:val="0"/>
                      <w:autoSpaceDE w:val="0"/>
                      <w:autoSpaceDN w:val="0"/>
                      <w:adjustRightInd w:val="0"/>
                      <w:snapToGrid w:val="0"/>
                      <w:jc w:val="left"/>
                      <w:rPr>
                        <w:color w:val="000000" w:themeColor="text1"/>
                        <w:szCs w:val="21"/>
                      </w:rPr>
                    </w:pPr>
                    <w:r w:rsidRPr="00E04FAA">
                      <w:rPr>
                        <w:rFonts w:asciiTheme="minorHAnsi" w:eastAsiaTheme="minorEastAsia" w:hAnsiTheme="minorHAnsi" w:cstheme="minorBidi" w:hint="eastAsia"/>
                        <w:color w:val="000000" w:themeColor="text1"/>
                        <w:kern w:val="2"/>
                        <w:szCs w:val="21"/>
                      </w:rPr>
                      <w:t>归属于上市公司股东的每股净资产（元／股）</w:t>
                    </w:r>
                  </w:p>
                </w:tc>
                <w:tc>
                  <w:tcPr>
                    <w:tcW w:w="1663" w:type="dxa"/>
                  </w:tcPr>
                  <w:p w:rsidR="003512B0" w:rsidRPr="00E04FAA" w:rsidRDefault="003512B0" w:rsidP="00567368">
                    <w:pPr>
                      <w:kinsoku w:val="0"/>
                      <w:overflowPunct w:val="0"/>
                      <w:autoSpaceDE w:val="0"/>
                      <w:autoSpaceDN w:val="0"/>
                      <w:adjustRightInd w:val="0"/>
                      <w:snapToGrid w:val="0"/>
                      <w:jc w:val="right"/>
                      <w:rPr>
                        <w:color w:val="000000" w:themeColor="text1"/>
                        <w:szCs w:val="21"/>
                      </w:rPr>
                    </w:pPr>
                    <w:r w:rsidRPr="00E04FAA">
                      <w:rPr>
                        <w:color w:val="000000" w:themeColor="text1"/>
                      </w:rPr>
                      <w:t>2.5</w:t>
                    </w:r>
                    <w:r w:rsidR="00CE5078" w:rsidRPr="00E04FAA">
                      <w:rPr>
                        <w:color w:val="000000" w:themeColor="text1"/>
                      </w:rPr>
                      <w:t>2</w:t>
                    </w:r>
                  </w:p>
                </w:tc>
                <w:tc>
                  <w:tcPr>
                    <w:tcW w:w="1459" w:type="dxa"/>
                  </w:tcPr>
                  <w:p w:rsidR="003512B0" w:rsidRPr="00E04FAA" w:rsidRDefault="0015555B" w:rsidP="00567368">
                    <w:pPr>
                      <w:kinsoku w:val="0"/>
                      <w:overflowPunct w:val="0"/>
                      <w:autoSpaceDE w:val="0"/>
                      <w:autoSpaceDN w:val="0"/>
                      <w:adjustRightInd w:val="0"/>
                      <w:snapToGrid w:val="0"/>
                      <w:jc w:val="right"/>
                      <w:rPr>
                        <w:color w:val="000000" w:themeColor="text1"/>
                        <w:szCs w:val="21"/>
                      </w:rPr>
                    </w:pPr>
                    <w:r w:rsidRPr="00E04FAA">
                      <w:rPr>
                        <w:color w:val="000000" w:themeColor="text1"/>
                      </w:rPr>
                      <w:t>2.35</w:t>
                    </w:r>
                  </w:p>
                </w:tc>
                <w:tc>
                  <w:tcPr>
                    <w:tcW w:w="2165" w:type="dxa"/>
                  </w:tcPr>
                  <w:p w:rsidR="003512B0" w:rsidRPr="00E04FAA" w:rsidRDefault="00CE5078" w:rsidP="00567368">
                    <w:pPr>
                      <w:kinsoku w:val="0"/>
                      <w:overflowPunct w:val="0"/>
                      <w:autoSpaceDE w:val="0"/>
                      <w:autoSpaceDN w:val="0"/>
                      <w:adjustRightInd w:val="0"/>
                      <w:snapToGrid w:val="0"/>
                      <w:jc w:val="right"/>
                      <w:rPr>
                        <w:color w:val="000000" w:themeColor="text1"/>
                        <w:szCs w:val="21"/>
                      </w:rPr>
                    </w:pPr>
                    <w:r w:rsidRPr="00E04FAA">
                      <w:rPr>
                        <w:color w:val="000000" w:themeColor="text1"/>
                      </w:rPr>
                      <w:t>7.2</w:t>
                    </w:r>
                  </w:p>
                </w:tc>
              </w:tr>
            </w:sdtContent>
          </w:sdt>
          <w:sdt>
            <w:sdtPr>
              <w:rPr>
                <w:rFonts w:asciiTheme="minorHAnsi" w:eastAsiaTheme="minorEastAsia" w:hAnsiTheme="minorHAnsi" w:cstheme="minorBidi" w:hint="eastAsia"/>
                <w:kern w:val="2"/>
                <w:szCs w:val="21"/>
              </w:rPr>
              <w:alias w:val="主要财务指标"/>
              <w:tag w:val="_GBC_f8966eaa1e1e407dbeb4d749d5193700"/>
              <w:id w:val="-1776008832"/>
              <w:lock w:val="sdtLocked"/>
            </w:sdtPr>
            <w:sdtContent>
              <w:tr w:rsidR="003512B0" w:rsidRPr="00E04FAA" w:rsidTr="002846C9">
                <w:tc>
                  <w:tcPr>
                    <w:tcW w:w="3536" w:type="dxa"/>
                  </w:tcPr>
                  <w:p w:rsidR="003512B0" w:rsidRPr="00E04FAA" w:rsidRDefault="003512B0" w:rsidP="00567368">
                    <w:pPr>
                      <w:kinsoku w:val="0"/>
                      <w:overflowPunct w:val="0"/>
                      <w:autoSpaceDE w:val="0"/>
                      <w:autoSpaceDN w:val="0"/>
                      <w:adjustRightInd w:val="0"/>
                      <w:snapToGrid w:val="0"/>
                      <w:jc w:val="left"/>
                      <w:rPr>
                        <w:szCs w:val="21"/>
                      </w:rPr>
                    </w:pPr>
                    <w:r w:rsidRPr="00E04FAA">
                      <w:rPr>
                        <w:rFonts w:asciiTheme="minorHAnsi" w:eastAsiaTheme="minorEastAsia" w:hAnsiTheme="minorHAnsi" w:cstheme="minorBidi" w:hint="eastAsia"/>
                        <w:kern w:val="2"/>
                        <w:szCs w:val="21"/>
                      </w:rPr>
                      <w:t>资产负债率（</w:t>
                    </w:r>
                    <w:r w:rsidRPr="00E04FAA">
                      <w:rPr>
                        <w:rFonts w:asciiTheme="minorHAnsi" w:eastAsiaTheme="minorEastAsia" w:hAnsiTheme="minorHAnsi" w:cstheme="minorBidi"/>
                        <w:kern w:val="2"/>
                        <w:szCs w:val="21"/>
                      </w:rPr>
                      <w:t xml:space="preserve"> %</w:t>
                    </w:r>
                    <w:r w:rsidRPr="00E04FAA">
                      <w:rPr>
                        <w:rFonts w:asciiTheme="minorHAnsi" w:eastAsiaTheme="minorEastAsia" w:hAnsiTheme="minorHAnsi" w:cstheme="minorBidi"/>
                        <w:kern w:val="2"/>
                        <w:szCs w:val="21"/>
                      </w:rPr>
                      <w:t>）</w:t>
                    </w:r>
                  </w:p>
                </w:tc>
                <w:tc>
                  <w:tcPr>
                    <w:tcW w:w="1663" w:type="dxa"/>
                  </w:tcPr>
                  <w:p w:rsidR="003512B0" w:rsidRPr="00E04FAA" w:rsidRDefault="003512B0" w:rsidP="00567368">
                    <w:pPr>
                      <w:kinsoku w:val="0"/>
                      <w:overflowPunct w:val="0"/>
                      <w:autoSpaceDE w:val="0"/>
                      <w:autoSpaceDN w:val="0"/>
                      <w:adjustRightInd w:val="0"/>
                      <w:snapToGrid w:val="0"/>
                      <w:jc w:val="right"/>
                      <w:rPr>
                        <w:szCs w:val="21"/>
                      </w:rPr>
                    </w:pPr>
                    <w:r w:rsidRPr="00E04FAA">
                      <w:t>51.</w:t>
                    </w:r>
                    <w:r w:rsidR="00CE5078" w:rsidRPr="00E04FAA">
                      <w:t>5</w:t>
                    </w:r>
                  </w:p>
                </w:tc>
                <w:tc>
                  <w:tcPr>
                    <w:tcW w:w="1459" w:type="dxa"/>
                  </w:tcPr>
                  <w:p w:rsidR="003512B0" w:rsidRPr="00E04FAA" w:rsidRDefault="004E53C5" w:rsidP="00567368">
                    <w:pPr>
                      <w:kinsoku w:val="0"/>
                      <w:overflowPunct w:val="0"/>
                      <w:autoSpaceDE w:val="0"/>
                      <w:autoSpaceDN w:val="0"/>
                      <w:adjustRightInd w:val="0"/>
                      <w:snapToGrid w:val="0"/>
                      <w:jc w:val="right"/>
                      <w:rPr>
                        <w:szCs w:val="21"/>
                      </w:rPr>
                    </w:pPr>
                    <w:r>
                      <w:rPr>
                        <w:rFonts w:hint="eastAsia"/>
                      </w:rPr>
                      <w:t>5</w:t>
                    </w:r>
                    <w:r>
                      <w:t>1.4</w:t>
                    </w:r>
                  </w:p>
                </w:tc>
                <w:tc>
                  <w:tcPr>
                    <w:tcW w:w="2165" w:type="dxa"/>
                  </w:tcPr>
                  <w:p w:rsidR="003512B0" w:rsidRPr="00E04FAA" w:rsidRDefault="003512B0" w:rsidP="00567368">
                    <w:pPr>
                      <w:kinsoku w:val="0"/>
                      <w:overflowPunct w:val="0"/>
                      <w:autoSpaceDE w:val="0"/>
                      <w:autoSpaceDN w:val="0"/>
                      <w:adjustRightInd w:val="0"/>
                      <w:snapToGrid w:val="0"/>
                      <w:jc w:val="right"/>
                      <w:rPr>
                        <w:szCs w:val="21"/>
                      </w:rPr>
                    </w:pPr>
                    <w:r w:rsidRPr="00E04FAA">
                      <w:t>增加</w:t>
                    </w:r>
                    <w:r w:rsidR="004E53C5">
                      <w:rPr>
                        <w:rFonts w:hint="eastAsia"/>
                      </w:rPr>
                      <w:t>0</w:t>
                    </w:r>
                    <w:r w:rsidR="004E53C5">
                      <w:t>.1</w:t>
                    </w:r>
                    <w:r w:rsidRPr="00E04FAA">
                      <w:t>个百分点</w:t>
                    </w:r>
                  </w:p>
                </w:tc>
              </w:tr>
            </w:sdtContent>
          </w:sdt>
        </w:tbl>
        <w:p w:rsidR="00883153" w:rsidRPr="00E04FAA" w:rsidRDefault="000D0A99" w:rsidP="003512B0"/>
      </w:sdtContent>
    </w:sdt>
    <w:sdt>
      <w:sdtPr>
        <w:alias w:val="模块:公司主要会计数据和财务指标的说明"/>
        <w:tag w:val="_GBC_89dd4b4cf79140928f55be83e164f009"/>
        <w:id w:val="-1018314450"/>
        <w:lock w:val="sdtLocked"/>
        <w:placeholder>
          <w:docPart w:val="GBC22222222222222222222222222222"/>
        </w:placeholder>
      </w:sdtPr>
      <w:sdtContent>
        <w:p w:rsidR="00883153" w:rsidRPr="00E04FAA" w:rsidRDefault="00200151">
          <w:r w:rsidRPr="00E04FAA">
            <w:t>公司主要会计数据和财务指标的说明</w:t>
          </w:r>
        </w:p>
        <w:sdt>
          <w:sdtPr>
            <w:alias w:val="是否适用：公司主要会计数据和财务指标的说明[双击切换]"/>
            <w:tag w:val="_GBC_cfe99dae5f804f6f8f02eb429483f98a"/>
            <w:id w:val="710462817"/>
            <w:lock w:val="sdtContentLocked"/>
            <w:placeholder>
              <w:docPart w:val="GBC22222222222222222222222222222"/>
            </w:placeholder>
          </w:sdtPr>
          <w:sdtContent>
            <w:p w:rsidR="00883153" w:rsidRPr="00E04FAA" w:rsidRDefault="00200151">
              <w:r w:rsidRPr="00E04FAA">
                <w:fldChar w:fldCharType="begin"/>
              </w:r>
              <w:r w:rsidR="001C218B" w:rsidRPr="00E04FAA">
                <w:instrText xml:space="preserve"> MACROBUTTON  SnrToggleCheckbox √适用 </w:instrText>
              </w:r>
              <w:r w:rsidRPr="00E04FAA">
                <w:fldChar w:fldCharType="end"/>
              </w:r>
              <w:r w:rsidRPr="00E04FAA">
                <w:fldChar w:fldCharType="begin"/>
              </w:r>
              <w:r w:rsidR="001C218B" w:rsidRPr="00E04FAA">
                <w:instrText xml:space="preserve"> MACROBUTTON  SnrToggleCheckbox □不适用 </w:instrText>
              </w:r>
              <w:r w:rsidRPr="00E04FAA">
                <w:fldChar w:fldCharType="end"/>
              </w:r>
            </w:p>
          </w:sdtContent>
        </w:sdt>
        <w:sdt>
          <w:sdtPr>
            <w:alias w:val="公司主要会计数据和财务指标的说明"/>
            <w:tag w:val="_GBC_97608ceee0dd4babbeaf5daeb2216ce1"/>
            <w:id w:val="1964612853"/>
            <w:lock w:val="sdtLocked"/>
            <w:placeholder>
              <w:docPart w:val="GBC22222222222222222222222222222"/>
            </w:placeholder>
          </w:sdtPr>
          <w:sdtContent>
            <w:p w:rsidR="00883153" w:rsidRPr="00E04FAA" w:rsidRDefault="001C218B">
              <w:r w:rsidRPr="00E04FAA">
                <w:rPr>
                  <w:rFonts w:hint="eastAsia"/>
                </w:rPr>
                <w:t>注：基本每股收益、每股经营活动产生的现金流量净额以报告期加权平均股本为基数计算，本报告期加权平均股数为</w:t>
              </w:r>
              <w:r w:rsidR="001747D2" w:rsidRPr="00E04FAA">
                <w:t>2,475,415,224</w:t>
              </w:r>
              <w:r w:rsidRPr="00E04FAA">
                <w:t>股，追溯调整后上年同期的加权平均股数为</w:t>
              </w:r>
              <w:r w:rsidR="0015555B" w:rsidRPr="00E04FAA">
                <w:t>2,446,601,073</w:t>
              </w:r>
              <w:r w:rsidRPr="00E04FAA">
                <w:t>股；归属于上市公司股东的每股净资产以报告期末总股数为基数计算，本报告期末总股数为</w:t>
              </w:r>
              <w:r w:rsidR="0015555B" w:rsidRPr="00E04FAA">
                <w:t>2,486,134,575</w:t>
              </w:r>
              <w:r w:rsidRPr="00E04FAA">
                <w:t>股，追溯调整后上年同期期末总股数为</w:t>
              </w:r>
              <w:r w:rsidR="0015555B" w:rsidRPr="00E04FAA">
                <w:t>2,469,472,325</w:t>
              </w:r>
              <w:r w:rsidRPr="00E04FAA">
                <w:t>股。</w:t>
              </w:r>
            </w:p>
          </w:sdtContent>
        </w:sdt>
      </w:sdtContent>
    </w:sdt>
    <w:p w:rsidR="00883153" w:rsidRPr="00E04FAA" w:rsidRDefault="00883153"/>
    <w:p w:rsidR="00883153" w:rsidRPr="00E04FAA" w:rsidRDefault="00200151">
      <w:pPr>
        <w:pStyle w:val="2"/>
        <w:numPr>
          <w:ilvl w:val="1"/>
          <w:numId w:val="4"/>
        </w:numPr>
      </w:pPr>
      <w:r w:rsidRPr="00E04FAA">
        <w:rPr>
          <w:rFonts w:hint="eastAsia"/>
        </w:rPr>
        <w:t>境内外会计准则下会计数据差异</w:t>
      </w:r>
      <w:bookmarkEnd w:id="15"/>
      <w:bookmarkEnd w:id="14"/>
    </w:p>
    <w:sdt>
      <w:sdtPr>
        <w:alias w:val="是否适用：境内外会计准则下会计数据差异[双击切换]"/>
        <w:tag w:val="_GBC_bdabc18d82504a7696c49b78e67b7ce4"/>
        <w:id w:val="1824394081"/>
        <w:lock w:val="sdtContentLocked"/>
        <w:placeholder>
          <w:docPart w:val="GBC22222222222222222222222222222"/>
        </w:placeholder>
      </w:sdtPr>
      <w:sdtContent>
        <w:p w:rsidR="00984305" w:rsidRPr="00E04FAA" w:rsidRDefault="00200151" w:rsidP="00984305">
          <w:r w:rsidRPr="00E04FAA">
            <w:fldChar w:fldCharType="begin"/>
          </w:r>
          <w:r w:rsidR="00984305" w:rsidRPr="00E04FAA">
            <w:instrText xml:space="preserve"> MACROBUTTON  SnrToggleCheckbox □适用 </w:instrText>
          </w:r>
          <w:r w:rsidRPr="00E04FAA">
            <w:fldChar w:fldCharType="end"/>
          </w:r>
          <w:r w:rsidRPr="00E04FAA">
            <w:fldChar w:fldCharType="begin"/>
          </w:r>
          <w:r w:rsidR="00984305" w:rsidRPr="00E04FAA">
            <w:instrText xml:space="preserve"> MACROBUTTON  SnrToggleCheckbox √不适用 </w:instrText>
          </w:r>
          <w:r w:rsidRPr="00E04FAA">
            <w:fldChar w:fldCharType="end"/>
          </w:r>
        </w:p>
      </w:sdtContent>
    </w:sdt>
    <w:p w:rsidR="00883153" w:rsidRPr="00E04FAA" w:rsidRDefault="00883153"/>
    <w:bookmarkStart w:id="16" w:name="_Hlk10207943" w:displacedByCustomXml="next"/>
    <w:sdt>
      <w:sdtPr>
        <w:rPr>
          <w:rFonts w:ascii="Calibri" w:hAnsi="Calibri" w:cs="宋体"/>
          <w:b w:val="0"/>
          <w:bCs w:val="0"/>
          <w:kern w:val="0"/>
          <w:szCs w:val="22"/>
        </w:rPr>
        <w:alias w:val="模块:非经常性损益项目和金额"/>
        <w:tag w:val="_GBC_cc768cb4b3324e91897639bcc1eabf3a"/>
        <w:id w:val="-54937490"/>
        <w:lock w:val="sdtLocked"/>
        <w:placeholder>
          <w:docPart w:val="GBC22222222222222222222222222222"/>
        </w:placeholder>
      </w:sdtPr>
      <w:sdtEndPr>
        <w:rPr>
          <w:rFonts w:ascii="宋体" w:hAnsi="宋体" w:hint="eastAsia"/>
          <w:szCs w:val="24"/>
        </w:rPr>
      </w:sdtEndPr>
      <w:sdtContent>
        <w:p w:rsidR="001A3BC3" w:rsidRPr="00E04FAA" w:rsidRDefault="001A3BC3" w:rsidP="001A3BC3">
          <w:pPr>
            <w:pStyle w:val="2"/>
            <w:numPr>
              <w:ilvl w:val="1"/>
              <w:numId w:val="4"/>
            </w:numPr>
          </w:pPr>
          <w:r w:rsidRPr="00E04FAA">
            <w:t>非经常性损益项目和金额</w:t>
          </w:r>
        </w:p>
        <w:sdt>
          <w:sdtPr>
            <w:alias w:val="是否适用：扣除非经常性损益项目和金额[双击切换]"/>
            <w:tag w:val="_GBC_73788dbb480b4eb4a9ce7ed83af2d844"/>
            <w:id w:val="-916242807"/>
            <w:lock w:val="sdtContentLocked"/>
            <w:placeholder>
              <w:docPart w:val="A38F939CE7F8427F84BF451D0EFB76C5"/>
            </w:placeholder>
          </w:sdtPr>
          <w:sdtContent>
            <w:p w:rsidR="001A3BC3" w:rsidRPr="00E04FAA" w:rsidRDefault="001A3BC3" w:rsidP="00797C38">
              <w:r w:rsidRPr="00E04FAA">
                <w:fldChar w:fldCharType="begin"/>
              </w:r>
              <w:r w:rsidR="002642A4" w:rsidRPr="00E04FAA">
                <w:instrText xml:space="preserve"> MACROBUTTON  SnrToggleCheckbox √适用 </w:instrText>
              </w:r>
              <w:r w:rsidRPr="00E04FAA">
                <w:fldChar w:fldCharType="end"/>
              </w:r>
              <w:r w:rsidRPr="00E04FAA">
                <w:fldChar w:fldCharType="begin"/>
              </w:r>
              <w:r w:rsidR="002642A4" w:rsidRPr="00E04FAA">
                <w:instrText xml:space="preserve"> MACROBUTTON  SnrToggleCheckbox □不适用 </w:instrText>
              </w:r>
              <w:r w:rsidRPr="00E04FAA">
                <w:fldChar w:fldCharType="end"/>
              </w:r>
            </w:p>
          </w:sdtContent>
        </w:sdt>
        <w:p w:rsidR="001A3BC3" w:rsidRPr="00E04FAA" w:rsidRDefault="001A3BC3" w:rsidP="00797C38">
          <w:pPr>
            <w:jc w:val="right"/>
          </w:pPr>
          <w:r w:rsidRPr="00E04FAA">
            <w:rPr>
              <w:rFonts w:hint="eastAsia"/>
            </w:rPr>
            <w:t>单位:</w:t>
          </w:r>
          <w:sdt>
            <w:sdtPr>
              <w:rPr>
                <w:rFonts w:hint="eastAsia"/>
              </w:rPr>
              <w:alias w:val="单位：扣除非经常性损益项目和金额"/>
              <w:tag w:val="_GBC_4e9158759d174bf5a404e9d2ad2cb849"/>
              <w:id w:val="1341588403"/>
              <w:lock w:val="sdtLocked"/>
              <w:comboBox>
                <w:listItem w:displayText="元" w:value="1"/>
                <w:listItem w:displayText="千元" w:value="1000"/>
                <w:listItem w:displayText="万元" w:value="10000"/>
                <w:listItem w:displayText="百万元" w:value="1000000"/>
                <w:listItem w:displayText="亿元" w:value="100000000"/>
              </w:comboBox>
            </w:sdtPr>
            <w:sdtContent>
              <w:r w:rsidRPr="00E04FAA">
                <w:rPr>
                  <w:rFonts w:hint="eastAsia"/>
                </w:rPr>
                <w:t>元</w:t>
              </w:r>
            </w:sdtContent>
          </w:sdt>
          <w:r w:rsidRPr="00E04FAA">
            <w:rPr>
              <w:rFonts w:hint="eastAsia"/>
            </w:rPr>
            <w:t xml:space="preserve">  币种:</w:t>
          </w:r>
          <w:sdt>
            <w:sdtPr>
              <w:rPr>
                <w:rFonts w:hint="eastAsia"/>
              </w:rPr>
              <w:alias w:val="币种：扣除非经常性损益项目和金额"/>
              <w:tag w:val="_GBC_afe0377f3c754b5092310bd32f09f447"/>
              <w:id w:val="70984835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E04FAA">
                <w:rPr>
                  <w:rFonts w:hint="eastAsia"/>
                </w:rPr>
                <w:t>人民币</w:t>
              </w:r>
            </w:sdtContent>
          </w:sdt>
        </w:p>
        <w:tbl>
          <w:tblPr>
            <w:tblStyle w:val="a9"/>
            <w:tblW w:w="0" w:type="auto"/>
            <w:tblLook w:val="04A0" w:firstRow="1" w:lastRow="0" w:firstColumn="1" w:lastColumn="0" w:noHBand="0" w:noVBand="1"/>
          </w:tblPr>
          <w:tblGrid>
            <w:gridCol w:w="2933"/>
            <w:gridCol w:w="2958"/>
            <w:gridCol w:w="2932"/>
          </w:tblGrid>
          <w:tr w:rsidR="00115154" w:rsidRPr="00E04FAA" w:rsidTr="00860468">
            <w:sdt>
              <w:sdtPr>
                <w:tag w:val="_PLD_46af532b652e45b49bf4f28412917df0"/>
                <w:id w:val="-1563015073"/>
                <w:lock w:val="sdtLocked"/>
              </w:sdtPr>
              <w:sdtContent>
                <w:tc>
                  <w:tcPr>
                    <w:tcW w:w="2933" w:type="dxa"/>
                  </w:tcPr>
                  <w:p w:rsidR="00115154" w:rsidRPr="00E04FAA" w:rsidRDefault="00115154" w:rsidP="00860468">
                    <w:pPr>
                      <w:pStyle w:val="af"/>
                      <w:ind w:firstLineChars="0" w:firstLine="0"/>
                      <w:jc w:val="center"/>
                    </w:pPr>
                    <w:r w:rsidRPr="00E04FAA">
                      <w:rPr>
                        <w:rFonts w:hint="eastAsia"/>
                      </w:rPr>
                      <w:t>非经常性损益项目</w:t>
                    </w:r>
                  </w:p>
                </w:tc>
              </w:sdtContent>
            </w:sdt>
            <w:sdt>
              <w:sdtPr>
                <w:tag w:val="_PLD_61b9b734635d488db996440c136563c8"/>
                <w:id w:val="-1466273069"/>
                <w:lock w:val="sdtLocked"/>
              </w:sdtPr>
              <w:sdtContent>
                <w:tc>
                  <w:tcPr>
                    <w:tcW w:w="2958" w:type="dxa"/>
                  </w:tcPr>
                  <w:p w:rsidR="00115154" w:rsidRPr="00E04FAA" w:rsidRDefault="00115154" w:rsidP="00860468">
                    <w:pPr>
                      <w:pStyle w:val="af"/>
                      <w:ind w:firstLineChars="0" w:firstLine="0"/>
                      <w:jc w:val="center"/>
                    </w:pPr>
                    <w:r w:rsidRPr="00E04FAA">
                      <w:rPr>
                        <w:rFonts w:hint="eastAsia"/>
                      </w:rPr>
                      <w:t>金额</w:t>
                    </w:r>
                  </w:p>
                </w:tc>
              </w:sdtContent>
            </w:sdt>
            <w:sdt>
              <w:sdtPr>
                <w:tag w:val="_PLD_9e5d4505fc224fa08bc94ae2dc6cd081"/>
                <w:id w:val="1671761149"/>
                <w:lock w:val="sdtLocked"/>
              </w:sdtPr>
              <w:sdtContent>
                <w:tc>
                  <w:tcPr>
                    <w:tcW w:w="2932" w:type="dxa"/>
                  </w:tcPr>
                  <w:p w:rsidR="00115154" w:rsidRPr="00E04FAA" w:rsidRDefault="00115154" w:rsidP="00860468">
                    <w:pPr>
                      <w:pStyle w:val="af"/>
                      <w:ind w:firstLineChars="0" w:firstLine="0"/>
                      <w:jc w:val="center"/>
                    </w:pPr>
                    <w:r w:rsidRPr="00E04FAA">
                      <w:rPr>
                        <w:rFonts w:hint="eastAsia"/>
                      </w:rPr>
                      <w:t>附注（如适用）</w:t>
                    </w:r>
                  </w:p>
                </w:tc>
              </w:sdtContent>
            </w:sdt>
          </w:tr>
          <w:tr w:rsidR="00115154" w:rsidRPr="00E04FAA" w:rsidTr="00860468">
            <w:sdt>
              <w:sdtPr>
                <w:tag w:val="_PLD_1ec9e925297d478d84779a68eec2bcd9"/>
                <w:id w:val="-1751878345"/>
                <w:lock w:val="sdtLocked"/>
              </w:sdtPr>
              <w:sdtContent>
                <w:tc>
                  <w:tcPr>
                    <w:tcW w:w="2933" w:type="dxa"/>
                  </w:tcPr>
                  <w:p w:rsidR="00115154" w:rsidRPr="00E04FAA" w:rsidRDefault="00115154" w:rsidP="00860468">
                    <w:pPr>
                      <w:pStyle w:val="af"/>
                      <w:ind w:firstLineChars="0" w:firstLine="0"/>
                      <w:jc w:val="left"/>
                    </w:pPr>
                    <w:r w:rsidRPr="00E04FAA">
                      <w:t>非流动资产处置损益</w:t>
                    </w:r>
                  </w:p>
                </w:tc>
              </w:sdtContent>
            </w:sdt>
            <w:tc>
              <w:tcPr>
                <w:tcW w:w="2958" w:type="dxa"/>
              </w:tcPr>
              <w:p w:rsidR="00115154" w:rsidRPr="00E04FAA" w:rsidRDefault="00115154" w:rsidP="00860468">
                <w:pPr>
                  <w:jc w:val="right"/>
                </w:pPr>
                <w:r w:rsidRPr="00E04FAA">
                  <w:t>111,872</w:t>
                </w:r>
              </w:p>
            </w:tc>
            <w:tc>
              <w:tcPr>
                <w:tcW w:w="2932" w:type="dxa"/>
              </w:tcPr>
              <w:p w:rsidR="00115154" w:rsidRPr="00E04FAA" w:rsidRDefault="00115154" w:rsidP="00860468">
                <w:pPr>
                  <w:jc w:val="left"/>
                </w:pPr>
              </w:p>
            </w:tc>
          </w:tr>
          <w:tr w:rsidR="00115154" w:rsidRPr="00E04FAA" w:rsidTr="00860468">
            <w:sdt>
              <w:sdtPr>
                <w:tag w:val="_PLD_69edea550024421a884da164740efd47"/>
                <w:id w:val="738137254"/>
                <w:lock w:val="sdtLocked"/>
              </w:sdtPr>
              <w:sdtContent>
                <w:tc>
                  <w:tcPr>
                    <w:tcW w:w="2933" w:type="dxa"/>
                  </w:tcPr>
                  <w:p w:rsidR="00115154" w:rsidRPr="00E04FAA" w:rsidRDefault="00115154" w:rsidP="00860468">
                    <w:pPr>
                      <w:pStyle w:val="af"/>
                      <w:ind w:firstLineChars="0" w:firstLine="0"/>
                      <w:jc w:val="left"/>
                    </w:pPr>
                    <w:r w:rsidRPr="00E04FAA">
                      <w:t>越权审批，或无正式批准文件，或偶发性的税收返还、减免</w:t>
                    </w:r>
                  </w:p>
                </w:tc>
              </w:sdtContent>
            </w:sdt>
            <w:tc>
              <w:tcPr>
                <w:tcW w:w="2958" w:type="dxa"/>
              </w:tcPr>
              <w:p w:rsidR="00115154" w:rsidRPr="00E04FAA" w:rsidRDefault="00115154" w:rsidP="00860468">
                <w:pPr>
                  <w:jc w:val="right"/>
                </w:pPr>
              </w:p>
            </w:tc>
            <w:tc>
              <w:tcPr>
                <w:tcW w:w="2932" w:type="dxa"/>
              </w:tcPr>
              <w:p w:rsidR="00115154" w:rsidRPr="00E04FAA" w:rsidRDefault="00115154" w:rsidP="00860468">
                <w:pPr>
                  <w:jc w:val="left"/>
                </w:pPr>
              </w:p>
            </w:tc>
          </w:tr>
          <w:tr w:rsidR="00115154" w:rsidRPr="00E04FAA" w:rsidTr="00860468">
            <w:sdt>
              <w:sdtPr>
                <w:tag w:val="_PLD_02595b9db1a84694900203cf9656bfe9"/>
                <w:id w:val="1698730302"/>
                <w:lock w:val="sdtLocked"/>
              </w:sdtPr>
              <w:sdtContent>
                <w:tc>
                  <w:tcPr>
                    <w:tcW w:w="2933" w:type="dxa"/>
                  </w:tcPr>
                  <w:p w:rsidR="00115154" w:rsidRPr="00E04FAA" w:rsidRDefault="00115154" w:rsidP="00860468">
                    <w:pPr>
                      <w:pStyle w:val="af"/>
                      <w:ind w:firstLineChars="0" w:firstLine="0"/>
                      <w:jc w:val="left"/>
                    </w:pPr>
                    <w:r w:rsidRPr="00E04FAA">
                      <w:t>计入当期损益的政府补助，</w:t>
                    </w:r>
                    <w:r w:rsidRPr="00E04FAA">
                      <w:lastRenderedPageBreak/>
                      <w:t>但与公司正常经营业务密切相关，符合国家政策规定、按照一定标准定额或定量持续享受的政府补助除外</w:t>
                    </w:r>
                  </w:p>
                </w:tc>
              </w:sdtContent>
            </w:sdt>
            <w:tc>
              <w:tcPr>
                <w:tcW w:w="2958" w:type="dxa"/>
              </w:tcPr>
              <w:p w:rsidR="00115154" w:rsidRPr="00E04FAA" w:rsidRDefault="00115154" w:rsidP="00860468">
                <w:pPr>
                  <w:jc w:val="right"/>
                </w:pPr>
                <w:r w:rsidRPr="00E04FAA">
                  <w:lastRenderedPageBreak/>
                  <w:t>27,808,466</w:t>
                </w:r>
              </w:p>
            </w:tc>
            <w:tc>
              <w:tcPr>
                <w:tcW w:w="2932" w:type="dxa"/>
              </w:tcPr>
              <w:p w:rsidR="00115154" w:rsidRPr="00E04FAA" w:rsidRDefault="00115154" w:rsidP="00860468">
                <w:pPr>
                  <w:jc w:val="left"/>
                </w:pPr>
              </w:p>
            </w:tc>
          </w:tr>
          <w:tr w:rsidR="00115154" w:rsidRPr="00E04FAA" w:rsidTr="00860468">
            <w:sdt>
              <w:sdtPr>
                <w:tag w:val="_PLD_e255b5bb064c4c0694bb65440d7bb1c2"/>
                <w:id w:val="1417280333"/>
                <w:lock w:val="sdtLocked"/>
              </w:sdtPr>
              <w:sdtContent>
                <w:tc>
                  <w:tcPr>
                    <w:tcW w:w="2933" w:type="dxa"/>
                  </w:tcPr>
                  <w:p w:rsidR="00115154" w:rsidRPr="00E04FAA" w:rsidRDefault="00115154" w:rsidP="00860468">
                    <w:pPr>
                      <w:pStyle w:val="af"/>
                      <w:ind w:firstLineChars="0" w:firstLine="0"/>
                      <w:jc w:val="left"/>
                    </w:pPr>
                    <w:r w:rsidRPr="00E04FAA">
                      <w:t>计入当期损益的对非金融企业收取的资金占用费</w:t>
                    </w:r>
                  </w:p>
                </w:tc>
              </w:sdtContent>
            </w:sdt>
            <w:tc>
              <w:tcPr>
                <w:tcW w:w="2958" w:type="dxa"/>
              </w:tcPr>
              <w:p w:rsidR="00115154" w:rsidRPr="00E04FAA" w:rsidRDefault="00115154" w:rsidP="00860468">
                <w:pPr>
                  <w:jc w:val="right"/>
                </w:pPr>
              </w:p>
            </w:tc>
            <w:tc>
              <w:tcPr>
                <w:tcW w:w="2932" w:type="dxa"/>
              </w:tcPr>
              <w:p w:rsidR="00115154" w:rsidRPr="00E04FAA" w:rsidRDefault="00115154" w:rsidP="00860468">
                <w:pPr>
                  <w:jc w:val="left"/>
                </w:pPr>
              </w:p>
            </w:tc>
          </w:tr>
          <w:tr w:rsidR="00115154" w:rsidRPr="00E04FAA" w:rsidTr="00860468">
            <w:sdt>
              <w:sdtPr>
                <w:tag w:val="_PLD_09b4af3349af48359dce87b8be6a224a"/>
                <w:id w:val="550505059"/>
                <w:lock w:val="sdtLocked"/>
              </w:sdtPr>
              <w:sdtContent>
                <w:tc>
                  <w:tcPr>
                    <w:tcW w:w="2933" w:type="dxa"/>
                  </w:tcPr>
                  <w:p w:rsidR="00115154" w:rsidRPr="00E04FAA" w:rsidRDefault="00115154" w:rsidP="00860468">
                    <w:pPr>
                      <w:pStyle w:val="af"/>
                      <w:ind w:firstLineChars="0" w:firstLine="0"/>
                      <w:jc w:val="left"/>
                    </w:pPr>
                    <w:r w:rsidRPr="00E04FAA">
                      <w:t>企业取得子公司、联营企业及合营企业的投资成本小于取得投资时应享有被投资单位可辨认净资产公允价值产生的收益</w:t>
                    </w:r>
                  </w:p>
                </w:tc>
              </w:sdtContent>
            </w:sdt>
            <w:tc>
              <w:tcPr>
                <w:tcW w:w="2958" w:type="dxa"/>
              </w:tcPr>
              <w:p w:rsidR="00115154" w:rsidRPr="00E04FAA" w:rsidRDefault="00115154" w:rsidP="00860468">
                <w:pPr>
                  <w:jc w:val="right"/>
                </w:pPr>
              </w:p>
            </w:tc>
            <w:tc>
              <w:tcPr>
                <w:tcW w:w="2932" w:type="dxa"/>
              </w:tcPr>
              <w:p w:rsidR="00115154" w:rsidRPr="00E04FAA" w:rsidRDefault="00115154" w:rsidP="00860468">
                <w:pPr>
                  <w:jc w:val="left"/>
                </w:pPr>
              </w:p>
            </w:tc>
          </w:tr>
          <w:tr w:rsidR="00115154" w:rsidRPr="00E04FAA" w:rsidTr="00860468">
            <w:sdt>
              <w:sdtPr>
                <w:tag w:val="_PLD_428e8a6b0f714a4895facab4d1ebbbd6"/>
                <w:id w:val="-901293332"/>
                <w:lock w:val="sdtLocked"/>
              </w:sdtPr>
              <w:sdtContent>
                <w:tc>
                  <w:tcPr>
                    <w:tcW w:w="2933" w:type="dxa"/>
                  </w:tcPr>
                  <w:p w:rsidR="00115154" w:rsidRPr="00E04FAA" w:rsidRDefault="00115154" w:rsidP="00860468">
                    <w:pPr>
                      <w:pStyle w:val="af"/>
                      <w:ind w:firstLineChars="0" w:firstLine="0"/>
                      <w:jc w:val="left"/>
                    </w:pPr>
                    <w:r w:rsidRPr="00E04FAA">
                      <w:t>非货币性资产交换损益</w:t>
                    </w:r>
                  </w:p>
                </w:tc>
              </w:sdtContent>
            </w:sdt>
            <w:tc>
              <w:tcPr>
                <w:tcW w:w="2958" w:type="dxa"/>
              </w:tcPr>
              <w:p w:rsidR="00115154" w:rsidRPr="00E04FAA" w:rsidRDefault="00115154" w:rsidP="00860468">
                <w:pPr>
                  <w:jc w:val="right"/>
                </w:pPr>
              </w:p>
            </w:tc>
            <w:tc>
              <w:tcPr>
                <w:tcW w:w="2932" w:type="dxa"/>
              </w:tcPr>
              <w:p w:rsidR="00115154" w:rsidRPr="00E04FAA" w:rsidRDefault="00115154" w:rsidP="00860468">
                <w:pPr>
                  <w:jc w:val="left"/>
                </w:pPr>
              </w:p>
            </w:tc>
          </w:tr>
          <w:tr w:rsidR="00115154" w:rsidRPr="00E04FAA" w:rsidTr="00860468">
            <w:sdt>
              <w:sdtPr>
                <w:tag w:val="_PLD_9cc3804b94354fc1b0925734be3d281a"/>
                <w:id w:val="1777663919"/>
                <w:lock w:val="sdtLocked"/>
              </w:sdtPr>
              <w:sdtContent>
                <w:tc>
                  <w:tcPr>
                    <w:tcW w:w="2933" w:type="dxa"/>
                  </w:tcPr>
                  <w:p w:rsidR="00115154" w:rsidRPr="00E04FAA" w:rsidRDefault="00115154" w:rsidP="00860468">
                    <w:pPr>
                      <w:pStyle w:val="af"/>
                      <w:ind w:firstLineChars="0" w:firstLine="0"/>
                      <w:jc w:val="left"/>
                    </w:pPr>
                    <w:r w:rsidRPr="00E04FAA">
                      <w:t>委托他人投资或管理资产的损益</w:t>
                    </w:r>
                  </w:p>
                </w:tc>
              </w:sdtContent>
            </w:sdt>
            <w:tc>
              <w:tcPr>
                <w:tcW w:w="2958" w:type="dxa"/>
              </w:tcPr>
              <w:p w:rsidR="00115154" w:rsidRPr="00E04FAA" w:rsidRDefault="00115154" w:rsidP="00860468">
                <w:pPr>
                  <w:jc w:val="right"/>
                </w:pPr>
              </w:p>
            </w:tc>
            <w:tc>
              <w:tcPr>
                <w:tcW w:w="2932" w:type="dxa"/>
              </w:tcPr>
              <w:p w:rsidR="00115154" w:rsidRPr="00E04FAA" w:rsidRDefault="00115154" w:rsidP="00860468">
                <w:pPr>
                  <w:jc w:val="left"/>
                </w:pPr>
              </w:p>
            </w:tc>
          </w:tr>
          <w:tr w:rsidR="00115154" w:rsidRPr="00E04FAA" w:rsidTr="00860468">
            <w:sdt>
              <w:sdtPr>
                <w:tag w:val="_PLD_fecca44b524c43b6a0e1f89ecfc4895f"/>
                <w:id w:val="1295255761"/>
                <w:lock w:val="sdtLocked"/>
              </w:sdtPr>
              <w:sdtContent>
                <w:tc>
                  <w:tcPr>
                    <w:tcW w:w="2933" w:type="dxa"/>
                  </w:tcPr>
                  <w:p w:rsidR="00115154" w:rsidRPr="00E04FAA" w:rsidRDefault="00115154" w:rsidP="00860468">
                    <w:pPr>
                      <w:pStyle w:val="af"/>
                      <w:ind w:firstLineChars="0" w:firstLine="0"/>
                      <w:jc w:val="left"/>
                    </w:pPr>
                    <w:r w:rsidRPr="00E04FAA">
                      <w:t>因不可抗力因素，如遭受自然灾害而计提的各项资产减值准备</w:t>
                    </w:r>
                  </w:p>
                </w:tc>
              </w:sdtContent>
            </w:sdt>
            <w:tc>
              <w:tcPr>
                <w:tcW w:w="2958" w:type="dxa"/>
              </w:tcPr>
              <w:p w:rsidR="00115154" w:rsidRPr="00E04FAA" w:rsidRDefault="00115154" w:rsidP="00860468">
                <w:pPr>
                  <w:jc w:val="right"/>
                </w:pPr>
              </w:p>
            </w:tc>
            <w:tc>
              <w:tcPr>
                <w:tcW w:w="2932" w:type="dxa"/>
              </w:tcPr>
              <w:p w:rsidR="00115154" w:rsidRPr="00E04FAA" w:rsidRDefault="00115154" w:rsidP="00860468">
                <w:pPr>
                  <w:jc w:val="left"/>
                </w:pPr>
              </w:p>
            </w:tc>
          </w:tr>
          <w:tr w:rsidR="00115154" w:rsidRPr="00E04FAA" w:rsidTr="00860468">
            <w:sdt>
              <w:sdtPr>
                <w:tag w:val="_PLD_c626abd827544a1fb3e7de188e0e31cd"/>
                <w:id w:val="2022499183"/>
                <w:lock w:val="sdtLocked"/>
              </w:sdtPr>
              <w:sdtContent>
                <w:tc>
                  <w:tcPr>
                    <w:tcW w:w="2933" w:type="dxa"/>
                  </w:tcPr>
                  <w:p w:rsidR="00115154" w:rsidRPr="00E04FAA" w:rsidRDefault="00115154" w:rsidP="00860468">
                    <w:pPr>
                      <w:pStyle w:val="af"/>
                      <w:ind w:firstLineChars="0" w:firstLine="0"/>
                      <w:jc w:val="left"/>
                    </w:pPr>
                    <w:r w:rsidRPr="00E04FAA">
                      <w:t>债务重组损益</w:t>
                    </w:r>
                  </w:p>
                </w:tc>
              </w:sdtContent>
            </w:sdt>
            <w:tc>
              <w:tcPr>
                <w:tcW w:w="2958" w:type="dxa"/>
              </w:tcPr>
              <w:p w:rsidR="00115154" w:rsidRPr="00E04FAA" w:rsidRDefault="00115154" w:rsidP="00860468">
                <w:pPr>
                  <w:jc w:val="right"/>
                </w:pPr>
              </w:p>
            </w:tc>
            <w:tc>
              <w:tcPr>
                <w:tcW w:w="2932" w:type="dxa"/>
              </w:tcPr>
              <w:p w:rsidR="00115154" w:rsidRPr="00E04FAA" w:rsidRDefault="00115154" w:rsidP="00860468">
                <w:pPr>
                  <w:jc w:val="left"/>
                </w:pPr>
              </w:p>
            </w:tc>
          </w:tr>
          <w:tr w:rsidR="00115154" w:rsidRPr="00E04FAA" w:rsidTr="00860468">
            <w:sdt>
              <w:sdtPr>
                <w:tag w:val="_PLD_ae9b12ee17354afbb6160dc193b1ac86"/>
                <w:id w:val="1904565360"/>
                <w:lock w:val="sdtLocked"/>
              </w:sdtPr>
              <w:sdtContent>
                <w:tc>
                  <w:tcPr>
                    <w:tcW w:w="2933" w:type="dxa"/>
                  </w:tcPr>
                  <w:p w:rsidR="00115154" w:rsidRPr="00E04FAA" w:rsidRDefault="00115154" w:rsidP="00860468">
                    <w:pPr>
                      <w:pStyle w:val="af"/>
                      <w:ind w:firstLineChars="0" w:firstLine="0"/>
                      <w:jc w:val="left"/>
                    </w:pPr>
                    <w:r w:rsidRPr="00E04FAA">
                      <w:t>企业重组费用，如安置职工的支出、整合费用等</w:t>
                    </w:r>
                  </w:p>
                </w:tc>
              </w:sdtContent>
            </w:sdt>
            <w:tc>
              <w:tcPr>
                <w:tcW w:w="2958" w:type="dxa"/>
              </w:tcPr>
              <w:p w:rsidR="00115154" w:rsidRPr="00E04FAA" w:rsidRDefault="00115154" w:rsidP="00860468">
                <w:pPr>
                  <w:jc w:val="right"/>
                </w:pPr>
              </w:p>
            </w:tc>
            <w:tc>
              <w:tcPr>
                <w:tcW w:w="2932" w:type="dxa"/>
              </w:tcPr>
              <w:p w:rsidR="00115154" w:rsidRPr="00E04FAA" w:rsidRDefault="00115154" w:rsidP="00860468">
                <w:pPr>
                  <w:jc w:val="left"/>
                </w:pPr>
              </w:p>
            </w:tc>
          </w:tr>
          <w:tr w:rsidR="00115154" w:rsidRPr="00E04FAA" w:rsidTr="00860468">
            <w:sdt>
              <w:sdtPr>
                <w:tag w:val="_PLD_d593e972b89d4f63b162bd30012b012a"/>
                <w:id w:val="-2147352985"/>
                <w:lock w:val="sdtLocked"/>
              </w:sdtPr>
              <w:sdtContent>
                <w:tc>
                  <w:tcPr>
                    <w:tcW w:w="2933" w:type="dxa"/>
                  </w:tcPr>
                  <w:p w:rsidR="00115154" w:rsidRPr="00E04FAA" w:rsidRDefault="00115154" w:rsidP="00860468">
                    <w:pPr>
                      <w:pStyle w:val="af"/>
                      <w:ind w:firstLineChars="0" w:firstLine="0"/>
                      <w:jc w:val="left"/>
                    </w:pPr>
                    <w:r w:rsidRPr="00E04FAA">
                      <w:t>交易价格显失公允的交易产生的超过公允价值部分的损益</w:t>
                    </w:r>
                  </w:p>
                </w:tc>
              </w:sdtContent>
            </w:sdt>
            <w:tc>
              <w:tcPr>
                <w:tcW w:w="2958" w:type="dxa"/>
              </w:tcPr>
              <w:p w:rsidR="00115154" w:rsidRPr="00E04FAA" w:rsidRDefault="00115154" w:rsidP="00860468">
                <w:pPr>
                  <w:jc w:val="right"/>
                </w:pPr>
              </w:p>
            </w:tc>
            <w:tc>
              <w:tcPr>
                <w:tcW w:w="2932" w:type="dxa"/>
              </w:tcPr>
              <w:p w:rsidR="00115154" w:rsidRPr="00E04FAA" w:rsidRDefault="00115154" w:rsidP="00860468">
                <w:pPr>
                  <w:jc w:val="left"/>
                </w:pPr>
              </w:p>
            </w:tc>
          </w:tr>
          <w:tr w:rsidR="00115154" w:rsidRPr="00E04FAA" w:rsidTr="00860468">
            <w:sdt>
              <w:sdtPr>
                <w:tag w:val="_PLD_d0759855140a42e887b44ac9b84eefb5"/>
                <w:id w:val="343905002"/>
                <w:lock w:val="sdtLocked"/>
              </w:sdtPr>
              <w:sdtContent>
                <w:tc>
                  <w:tcPr>
                    <w:tcW w:w="2933" w:type="dxa"/>
                  </w:tcPr>
                  <w:p w:rsidR="00115154" w:rsidRPr="00E04FAA" w:rsidRDefault="00115154" w:rsidP="00860468">
                    <w:pPr>
                      <w:pStyle w:val="af"/>
                      <w:ind w:firstLineChars="0" w:firstLine="0"/>
                      <w:jc w:val="left"/>
                    </w:pPr>
                    <w:r w:rsidRPr="00E04FAA">
                      <w:t>同一控制下企业合并产生的子公司期初至合并日的当期净损益</w:t>
                    </w:r>
                  </w:p>
                </w:tc>
              </w:sdtContent>
            </w:sdt>
            <w:tc>
              <w:tcPr>
                <w:tcW w:w="2958" w:type="dxa"/>
              </w:tcPr>
              <w:p w:rsidR="00115154" w:rsidRPr="00E04FAA" w:rsidRDefault="00115154" w:rsidP="00860468">
                <w:pPr>
                  <w:jc w:val="right"/>
                </w:pPr>
              </w:p>
            </w:tc>
            <w:tc>
              <w:tcPr>
                <w:tcW w:w="2932" w:type="dxa"/>
              </w:tcPr>
              <w:p w:rsidR="00115154" w:rsidRPr="00E04FAA" w:rsidRDefault="00115154" w:rsidP="00860468">
                <w:pPr>
                  <w:jc w:val="left"/>
                </w:pPr>
              </w:p>
            </w:tc>
          </w:tr>
          <w:tr w:rsidR="00115154" w:rsidRPr="00E04FAA" w:rsidTr="00860468">
            <w:sdt>
              <w:sdtPr>
                <w:tag w:val="_PLD_0eefeb426a104d448899cf6f7c9f4fae"/>
                <w:id w:val="-1946676942"/>
                <w:lock w:val="sdtLocked"/>
              </w:sdtPr>
              <w:sdtContent>
                <w:tc>
                  <w:tcPr>
                    <w:tcW w:w="2933" w:type="dxa"/>
                  </w:tcPr>
                  <w:p w:rsidR="00115154" w:rsidRPr="00E04FAA" w:rsidRDefault="00115154" w:rsidP="00860468">
                    <w:pPr>
                      <w:pStyle w:val="af"/>
                      <w:ind w:firstLineChars="0" w:firstLine="0"/>
                      <w:jc w:val="left"/>
                    </w:pPr>
                    <w:r w:rsidRPr="00E04FAA">
                      <w:t>与公司正常经营业务无关的或有事项产生的损益</w:t>
                    </w:r>
                  </w:p>
                </w:tc>
              </w:sdtContent>
            </w:sdt>
            <w:tc>
              <w:tcPr>
                <w:tcW w:w="2958" w:type="dxa"/>
              </w:tcPr>
              <w:p w:rsidR="00115154" w:rsidRPr="00E04FAA" w:rsidRDefault="00115154" w:rsidP="00860468">
                <w:pPr>
                  <w:jc w:val="right"/>
                </w:pPr>
              </w:p>
            </w:tc>
            <w:tc>
              <w:tcPr>
                <w:tcW w:w="2932" w:type="dxa"/>
              </w:tcPr>
              <w:p w:rsidR="00115154" w:rsidRPr="00E04FAA" w:rsidRDefault="00115154" w:rsidP="00860468">
                <w:pPr>
                  <w:jc w:val="left"/>
                </w:pPr>
              </w:p>
            </w:tc>
          </w:tr>
          <w:tr w:rsidR="00115154" w:rsidRPr="00E04FAA" w:rsidTr="00860468">
            <w:tc>
              <w:tcPr>
                <w:tcW w:w="2933" w:type="dxa"/>
                <w:vAlign w:val="center"/>
              </w:tcPr>
              <w:sdt>
                <w:sdtPr>
                  <w:rPr>
                    <w:rFonts w:hint="eastAsia"/>
                  </w:rPr>
                  <w:tag w:val="_PLD_9013c99948ab4bafbc5ae7fb21987377"/>
                  <w:id w:val="82109341"/>
                  <w:lock w:val="sdtLocked"/>
                </w:sdtPr>
                <w:sdtContent>
                  <w:p w:rsidR="00115154" w:rsidRPr="00E04FAA" w:rsidRDefault="00115154" w:rsidP="00860468">
                    <w:pPr>
                      <w:pStyle w:val="af"/>
                      <w:ind w:firstLineChars="0" w:firstLine="0"/>
                    </w:pPr>
                    <w:r w:rsidRPr="00E04FAA">
                      <w:rPr>
                        <w:rFonts w:hint="eastAsia"/>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tc>
              <w:tcPr>
                <w:tcW w:w="2958" w:type="dxa"/>
              </w:tcPr>
              <w:p w:rsidR="00115154" w:rsidRPr="00E04FAA" w:rsidRDefault="00115154" w:rsidP="00860468">
                <w:pPr>
                  <w:jc w:val="right"/>
                  <w:rPr>
                    <w:szCs w:val="21"/>
                  </w:rPr>
                </w:pPr>
                <w:r w:rsidRPr="00E04FAA">
                  <w:rPr>
                    <w:szCs w:val="21"/>
                  </w:rPr>
                  <w:t>69,046,944</w:t>
                </w:r>
              </w:p>
            </w:tc>
            <w:tc>
              <w:tcPr>
                <w:tcW w:w="2932" w:type="dxa"/>
              </w:tcPr>
              <w:p w:rsidR="00115154" w:rsidRPr="00E04FAA" w:rsidRDefault="00115154" w:rsidP="00860468">
                <w:pPr>
                  <w:rPr>
                    <w:szCs w:val="21"/>
                  </w:rPr>
                </w:pPr>
              </w:p>
            </w:tc>
          </w:tr>
          <w:tr w:rsidR="00115154" w:rsidRPr="00E04FAA" w:rsidTr="00860468">
            <w:sdt>
              <w:sdtPr>
                <w:tag w:val="_PLD_4334644c0c104bec93e75eb7978ae2a1"/>
                <w:id w:val="1671290190"/>
                <w:lock w:val="sdtLocked"/>
              </w:sdtPr>
              <w:sdtContent>
                <w:tc>
                  <w:tcPr>
                    <w:tcW w:w="2933" w:type="dxa"/>
                  </w:tcPr>
                  <w:p w:rsidR="00115154" w:rsidRPr="00E04FAA" w:rsidRDefault="00115154" w:rsidP="00860468">
                    <w:pPr>
                      <w:pStyle w:val="af"/>
                      <w:ind w:firstLineChars="0" w:firstLine="0"/>
                      <w:jc w:val="left"/>
                    </w:pPr>
                    <w:r w:rsidRPr="00E04FAA">
                      <w:t>单独进行减值测试的应收款项减值准备转回</w:t>
                    </w:r>
                  </w:p>
                </w:tc>
              </w:sdtContent>
            </w:sdt>
            <w:tc>
              <w:tcPr>
                <w:tcW w:w="2958" w:type="dxa"/>
              </w:tcPr>
              <w:p w:rsidR="00115154" w:rsidRPr="00E04FAA" w:rsidRDefault="00115154" w:rsidP="00860468">
                <w:pPr>
                  <w:jc w:val="right"/>
                </w:pPr>
              </w:p>
            </w:tc>
            <w:sdt>
              <w:sdtPr>
                <w:alias w:val="单独进行减值测试的应收款项减值准备转回的说明（非经常性损益项目）"/>
                <w:tag w:val="_GBC_9cd6d013c5824a54b5e9c0bf6ef69ba4"/>
                <w:id w:val="1475951105"/>
                <w:lock w:val="sdtLocked"/>
                <w:showingPlcHdr/>
                <w:dataBinding w:prefixMappings="xmlns:clcid-pte='clcid-pte'" w:xpath="/*/clcid-pte:DanDuJinXingJianZhiCeShiDeYingShouKuanXiangJianZhiZhunBeiZhuanHuiShuoMing[not(@periodRef)]" w:storeItemID="{89EBAB94-44A0-46A2-B712-30D997D04A6D}"/>
                <w:text/>
              </w:sdtPr>
              <w:sdtContent>
                <w:tc>
                  <w:tcPr>
                    <w:tcW w:w="2932" w:type="dxa"/>
                  </w:tcPr>
                  <w:p w:rsidR="00115154" w:rsidRPr="00E04FAA" w:rsidRDefault="00115154" w:rsidP="00860468">
                    <w:pPr>
                      <w:jc w:val="left"/>
                    </w:pPr>
                    <w:r w:rsidRPr="00E04FAA">
                      <w:rPr>
                        <w:rFonts w:hint="eastAsia"/>
                        <w:szCs w:val="21"/>
                      </w:rPr>
                      <w:t xml:space="preserve">　</w:t>
                    </w:r>
                  </w:p>
                </w:tc>
              </w:sdtContent>
            </w:sdt>
          </w:tr>
          <w:tr w:rsidR="00115154" w:rsidRPr="00E04FAA" w:rsidTr="00860468">
            <w:tc>
              <w:tcPr>
                <w:tcW w:w="2933" w:type="dxa"/>
                <w:vAlign w:val="center"/>
              </w:tcPr>
              <w:sdt>
                <w:sdtPr>
                  <w:rPr>
                    <w:rFonts w:hint="eastAsia"/>
                  </w:rPr>
                  <w:tag w:val="_PLD_07983e73f75f4d6380526934b80f9026"/>
                  <w:id w:val="-1654980024"/>
                  <w:lock w:val="sdtLocked"/>
                </w:sdtPr>
                <w:sdtContent>
                  <w:p w:rsidR="00115154" w:rsidRPr="00E04FAA" w:rsidRDefault="00115154" w:rsidP="00860468">
                    <w:pPr>
                      <w:pStyle w:val="af"/>
                      <w:ind w:firstLineChars="0" w:firstLine="0"/>
                    </w:pPr>
                    <w:r w:rsidRPr="00E04FAA">
                      <w:rPr>
                        <w:rFonts w:hint="eastAsia"/>
                      </w:rPr>
                      <w:t>单独进行减值测试的应收款项、合同资产减值准备转回</w:t>
                    </w:r>
                  </w:p>
                </w:sdtContent>
              </w:sdt>
            </w:tc>
            <w:tc>
              <w:tcPr>
                <w:tcW w:w="2958" w:type="dxa"/>
              </w:tcPr>
              <w:p w:rsidR="00115154" w:rsidRPr="00E04FAA" w:rsidRDefault="00115154" w:rsidP="00860468">
                <w:pPr>
                  <w:jc w:val="right"/>
                  <w:rPr>
                    <w:szCs w:val="21"/>
                  </w:rPr>
                </w:pPr>
              </w:p>
            </w:tc>
            <w:sdt>
              <w:sdtPr>
                <w:rPr>
                  <w:szCs w:val="21"/>
                </w:rPr>
                <w:alias w:val="单独进行减值测试的应收款项、合同资产减值准备转回的说明（非经常性损益项目）"/>
                <w:tag w:val="_GBC_bad7c98154a64afe8bf80aee3a621494"/>
                <w:id w:val="-1052459189"/>
                <w:lock w:val="sdtLocked"/>
                <w:showingPlcHdr/>
                <w:dataBinding w:prefixMappings="xmlns:clcid-pte='clcid-pte'" w:xpath="/*/clcid-pte:DanDuJinXingJianZhiCeShiDeYingShouKuanXiangHeTongZiChanJianZhiZhunBeiZhuanHuiDeShuoMingFeiJingChangXingSunYiXiangMu[not(@periodRef)]" w:storeItemID="{89EBAB94-44A0-46A2-B712-30D997D04A6D}"/>
                <w:text/>
              </w:sdtPr>
              <w:sdtContent>
                <w:tc>
                  <w:tcPr>
                    <w:tcW w:w="2932" w:type="dxa"/>
                  </w:tcPr>
                  <w:p w:rsidR="00115154" w:rsidRPr="00E04FAA" w:rsidRDefault="00115154" w:rsidP="00860468">
                    <w:pPr>
                      <w:rPr>
                        <w:szCs w:val="21"/>
                      </w:rPr>
                    </w:pPr>
                    <w:r w:rsidRPr="00E04FAA">
                      <w:rPr>
                        <w:rFonts w:hint="eastAsia"/>
                      </w:rPr>
                      <w:t xml:space="preserve">　</w:t>
                    </w:r>
                  </w:p>
                </w:tc>
              </w:sdtContent>
            </w:sdt>
          </w:tr>
          <w:tr w:rsidR="00115154" w:rsidRPr="00E04FAA" w:rsidTr="00860468">
            <w:sdt>
              <w:sdtPr>
                <w:tag w:val="_PLD_299f6d9f507d4cb48114acd837ad8359"/>
                <w:id w:val="-143044083"/>
                <w:lock w:val="sdtLocked"/>
              </w:sdtPr>
              <w:sdtContent>
                <w:tc>
                  <w:tcPr>
                    <w:tcW w:w="2933" w:type="dxa"/>
                  </w:tcPr>
                  <w:p w:rsidR="00115154" w:rsidRPr="00E04FAA" w:rsidRDefault="00115154" w:rsidP="00860468">
                    <w:pPr>
                      <w:pStyle w:val="af"/>
                      <w:ind w:firstLineChars="0" w:firstLine="0"/>
                      <w:jc w:val="left"/>
                    </w:pPr>
                    <w:r w:rsidRPr="00E04FAA">
                      <w:t>对外委托贷款取得的损益</w:t>
                    </w:r>
                  </w:p>
                </w:tc>
              </w:sdtContent>
            </w:sdt>
            <w:tc>
              <w:tcPr>
                <w:tcW w:w="2958" w:type="dxa"/>
              </w:tcPr>
              <w:p w:rsidR="00115154" w:rsidRPr="00E04FAA" w:rsidRDefault="00115154" w:rsidP="00860468">
                <w:pPr>
                  <w:jc w:val="right"/>
                </w:pPr>
              </w:p>
            </w:tc>
            <w:tc>
              <w:tcPr>
                <w:tcW w:w="2932" w:type="dxa"/>
              </w:tcPr>
              <w:p w:rsidR="00115154" w:rsidRPr="00E04FAA" w:rsidRDefault="00115154" w:rsidP="00860468">
                <w:pPr>
                  <w:jc w:val="left"/>
                </w:pPr>
              </w:p>
            </w:tc>
          </w:tr>
          <w:tr w:rsidR="00115154" w:rsidRPr="00E04FAA" w:rsidTr="00860468">
            <w:sdt>
              <w:sdtPr>
                <w:tag w:val="_PLD_72cb907064dc458eba67ef7a85130648"/>
                <w:id w:val="391234866"/>
                <w:lock w:val="sdtLocked"/>
              </w:sdtPr>
              <w:sdtContent>
                <w:tc>
                  <w:tcPr>
                    <w:tcW w:w="2933" w:type="dxa"/>
                  </w:tcPr>
                  <w:p w:rsidR="00115154" w:rsidRPr="00E04FAA" w:rsidRDefault="00115154" w:rsidP="00860468">
                    <w:pPr>
                      <w:pStyle w:val="af"/>
                      <w:ind w:firstLineChars="0" w:firstLine="0"/>
                      <w:jc w:val="left"/>
                    </w:pPr>
                    <w:r w:rsidRPr="00E04FAA">
                      <w:t>采用公允价值模式进行后续计量的投资性房地产公允价值变动产生的损益</w:t>
                    </w:r>
                  </w:p>
                </w:tc>
              </w:sdtContent>
            </w:sdt>
            <w:tc>
              <w:tcPr>
                <w:tcW w:w="2958" w:type="dxa"/>
              </w:tcPr>
              <w:p w:rsidR="00115154" w:rsidRPr="00E04FAA" w:rsidRDefault="00115154" w:rsidP="00860468">
                <w:pPr>
                  <w:jc w:val="right"/>
                </w:pPr>
              </w:p>
            </w:tc>
            <w:tc>
              <w:tcPr>
                <w:tcW w:w="2932" w:type="dxa"/>
              </w:tcPr>
              <w:p w:rsidR="00115154" w:rsidRPr="00E04FAA" w:rsidRDefault="00115154" w:rsidP="00860468">
                <w:pPr>
                  <w:jc w:val="left"/>
                </w:pPr>
              </w:p>
            </w:tc>
          </w:tr>
          <w:tr w:rsidR="00115154" w:rsidRPr="00E04FAA" w:rsidTr="00860468">
            <w:sdt>
              <w:sdtPr>
                <w:tag w:val="_PLD_aa0be028e1d94d7091c2fcdebb5010f4"/>
                <w:id w:val="1952115539"/>
                <w:lock w:val="sdtLocked"/>
              </w:sdtPr>
              <w:sdtContent>
                <w:tc>
                  <w:tcPr>
                    <w:tcW w:w="2933" w:type="dxa"/>
                  </w:tcPr>
                  <w:p w:rsidR="00115154" w:rsidRPr="00E04FAA" w:rsidRDefault="00115154" w:rsidP="00860468">
                    <w:pPr>
                      <w:pStyle w:val="af"/>
                      <w:ind w:firstLineChars="0" w:firstLine="0"/>
                      <w:jc w:val="left"/>
                    </w:pPr>
                    <w:r w:rsidRPr="00E04FAA">
                      <w:t>根据税收、会计等法律、法规的要求对当期损益进行一次性调整对当期损益的影响</w:t>
                    </w:r>
                  </w:p>
                </w:tc>
              </w:sdtContent>
            </w:sdt>
            <w:tc>
              <w:tcPr>
                <w:tcW w:w="2958" w:type="dxa"/>
              </w:tcPr>
              <w:p w:rsidR="00115154" w:rsidRPr="00E04FAA" w:rsidRDefault="00115154" w:rsidP="00860468">
                <w:pPr>
                  <w:jc w:val="right"/>
                </w:pPr>
              </w:p>
            </w:tc>
            <w:tc>
              <w:tcPr>
                <w:tcW w:w="2932" w:type="dxa"/>
              </w:tcPr>
              <w:p w:rsidR="00115154" w:rsidRPr="00E04FAA" w:rsidRDefault="00115154" w:rsidP="00860468">
                <w:pPr>
                  <w:jc w:val="left"/>
                </w:pPr>
              </w:p>
            </w:tc>
          </w:tr>
          <w:tr w:rsidR="00115154" w:rsidRPr="00E04FAA" w:rsidTr="00860468">
            <w:sdt>
              <w:sdtPr>
                <w:tag w:val="_PLD_c52efb594a7b40eeacf6cee54ea027cd"/>
                <w:id w:val="1152951264"/>
                <w:lock w:val="sdtLocked"/>
              </w:sdtPr>
              <w:sdtContent>
                <w:tc>
                  <w:tcPr>
                    <w:tcW w:w="2933" w:type="dxa"/>
                  </w:tcPr>
                  <w:p w:rsidR="00115154" w:rsidRPr="00E04FAA" w:rsidRDefault="00115154" w:rsidP="00860468">
                    <w:pPr>
                      <w:pStyle w:val="af"/>
                      <w:ind w:firstLineChars="0" w:firstLine="0"/>
                      <w:jc w:val="left"/>
                    </w:pPr>
                    <w:r w:rsidRPr="00E04FAA">
                      <w:t>受托经营取得的托管费收入</w:t>
                    </w:r>
                  </w:p>
                </w:tc>
              </w:sdtContent>
            </w:sdt>
            <w:tc>
              <w:tcPr>
                <w:tcW w:w="2958" w:type="dxa"/>
              </w:tcPr>
              <w:p w:rsidR="00115154" w:rsidRPr="00E04FAA" w:rsidRDefault="00115154" w:rsidP="00860468">
                <w:pPr>
                  <w:jc w:val="right"/>
                </w:pPr>
              </w:p>
            </w:tc>
            <w:tc>
              <w:tcPr>
                <w:tcW w:w="2932" w:type="dxa"/>
              </w:tcPr>
              <w:p w:rsidR="00115154" w:rsidRPr="00E04FAA" w:rsidRDefault="00115154" w:rsidP="00860468">
                <w:pPr>
                  <w:jc w:val="left"/>
                </w:pPr>
              </w:p>
            </w:tc>
          </w:tr>
          <w:tr w:rsidR="00115154" w:rsidRPr="00E04FAA" w:rsidTr="00860468">
            <w:sdt>
              <w:sdtPr>
                <w:tag w:val="_PLD_65d777c46bf342c69b250c467e00507e"/>
                <w:id w:val="765277745"/>
                <w:lock w:val="sdtLocked"/>
              </w:sdtPr>
              <w:sdtContent>
                <w:tc>
                  <w:tcPr>
                    <w:tcW w:w="2933" w:type="dxa"/>
                  </w:tcPr>
                  <w:p w:rsidR="00115154" w:rsidRPr="00E04FAA" w:rsidRDefault="00115154" w:rsidP="00860468">
                    <w:pPr>
                      <w:pStyle w:val="af"/>
                      <w:ind w:firstLineChars="0" w:firstLine="0"/>
                      <w:jc w:val="left"/>
                    </w:pPr>
                    <w:r w:rsidRPr="00E04FAA">
                      <w:t>除上述各项之外的其他营业</w:t>
                    </w:r>
                    <w:r w:rsidRPr="00E04FAA">
                      <w:lastRenderedPageBreak/>
                      <w:t>外收入和支出</w:t>
                    </w:r>
                  </w:p>
                </w:tc>
              </w:sdtContent>
            </w:sdt>
            <w:tc>
              <w:tcPr>
                <w:tcW w:w="2958" w:type="dxa"/>
              </w:tcPr>
              <w:p w:rsidR="00115154" w:rsidRPr="00E04FAA" w:rsidRDefault="00115154" w:rsidP="00860468">
                <w:pPr>
                  <w:jc w:val="right"/>
                </w:pPr>
                <w:r>
                  <w:lastRenderedPageBreak/>
                  <w:t>-</w:t>
                </w:r>
                <w:r w:rsidRPr="00E04FAA">
                  <w:t>1,819,837</w:t>
                </w:r>
              </w:p>
            </w:tc>
            <w:tc>
              <w:tcPr>
                <w:tcW w:w="2932" w:type="dxa"/>
              </w:tcPr>
              <w:p w:rsidR="00115154" w:rsidRPr="00E04FAA" w:rsidRDefault="00115154" w:rsidP="00860468">
                <w:pPr>
                  <w:jc w:val="left"/>
                </w:pPr>
              </w:p>
            </w:tc>
          </w:tr>
          <w:sdt>
            <w:sdtPr>
              <w:rPr>
                <w:rFonts w:ascii="Calibri" w:eastAsiaTheme="minorEastAsia" w:hAnsi="Calibri" w:cstheme="minorBidi"/>
                <w:kern w:val="2"/>
                <w:szCs w:val="22"/>
              </w:rPr>
              <w:alias w:val="扣除的非经常性损益"/>
              <w:tag w:val="_GBC_c3958f9f8abb422090b4451e6f5d9973"/>
              <w:id w:val="-1354501934"/>
              <w:lock w:val="sdtLocked"/>
            </w:sdtPr>
            <w:sdtContent>
              <w:tr w:rsidR="00115154" w:rsidTr="00D973CF">
                <w:tc>
                  <w:tcPr>
                    <w:tcW w:w="3016" w:type="dxa"/>
                  </w:tcPr>
                  <w:p w:rsidR="00115154" w:rsidRDefault="00115154">
                    <w:r>
                      <w:rPr>
                        <w:rFonts w:asciiTheme="minorHAnsi" w:eastAsiaTheme="minorEastAsia" w:hAnsiTheme="minorHAnsi" w:cstheme="minorBidi" w:hint="eastAsia"/>
                        <w:kern w:val="2"/>
                        <w:szCs w:val="21"/>
                      </w:rPr>
                      <w:t>处置长期股权投资取得的投资收益</w:t>
                    </w:r>
                  </w:p>
                </w:tc>
                <w:tc>
                  <w:tcPr>
                    <w:tcW w:w="3016" w:type="dxa"/>
                  </w:tcPr>
                  <w:p w:rsidR="00115154" w:rsidRDefault="00115154">
                    <w:pPr>
                      <w:jc w:val="right"/>
                    </w:pPr>
                    <w:r w:rsidRPr="00E04FAA">
                      <w:t>140,300,332</w:t>
                    </w:r>
                  </w:p>
                </w:tc>
                <w:tc>
                  <w:tcPr>
                    <w:tcW w:w="3016" w:type="dxa"/>
                  </w:tcPr>
                  <w:p w:rsidR="00115154" w:rsidRDefault="00115154">
                    <w:pPr>
                      <w:jc w:val="left"/>
                    </w:pPr>
                  </w:p>
                </w:tc>
              </w:tr>
            </w:sdtContent>
          </w:sdt>
          <w:tr w:rsidR="00115154" w:rsidRPr="00E04FAA" w:rsidTr="00860468">
            <w:sdt>
              <w:sdtPr>
                <w:tag w:val="_PLD_0bcc4b6356f34adeb11de3e851d72079"/>
                <w:id w:val="104160750"/>
                <w:lock w:val="sdtLocked"/>
              </w:sdtPr>
              <w:sdtContent>
                <w:tc>
                  <w:tcPr>
                    <w:tcW w:w="2933" w:type="dxa"/>
                  </w:tcPr>
                  <w:p w:rsidR="00115154" w:rsidRPr="00E04FAA" w:rsidRDefault="00115154" w:rsidP="00860468">
                    <w:pPr>
                      <w:pStyle w:val="af"/>
                      <w:ind w:firstLineChars="0" w:firstLine="0"/>
                      <w:jc w:val="left"/>
                    </w:pPr>
                    <w:r w:rsidRPr="00E04FAA">
                      <w:t>其他符合非经常性损益定义的损益项目</w:t>
                    </w:r>
                  </w:p>
                </w:tc>
              </w:sdtContent>
            </w:sdt>
            <w:tc>
              <w:tcPr>
                <w:tcW w:w="2958" w:type="dxa"/>
              </w:tcPr>
              <w:p w:rsidR="00115154" w:rsidRPr="00E04FAA" w:rsidRDefault="00115154" w:rsidP="00860468">
                <w:pPr>
                  <w:jc w:val="right"/>
                </w:pPr>
              </w:p>
            </w:tc>
            <w:tc>
              <w:tcPr>
                <w:tcW w:w="2932" w:type="dxa"/>
              </w:tcPr>
              <w:p w:rsidR="00115154" w:rsidRPr="00E04FAA" w:rsidRDefault="00115154" w:rsidP="00860468">
                <w:pPr>
                  <w:jc w:val="left"/>
                </w:pPr>
              </w:p>
            </w:tc>
          </w:tr>
          <w:tr w:rsidR="00115154" w:rsidRPr="00E04FAA" w:rsidTr="00860468">
            <w:sdt>
              <w:sdtPr>
                <w:tag w:val="_PLD_4e0667d68c0b417b952eb294efd204d7"/>
                <w:id w:val="-793216094"/>
                <w:lock w:val="sdtLocked"/>
              </w:sdtPr>
              <w:sdtContent>
                <w:tc>
                  <w:tcPr>
                    <w:tcW w:w="2933" w:type="dxa"/>
                  </w:tcPr>
                  <w:p w:rsidR="00115154" w:rsidRPr="00E04FAA" w:rsidRDefault="00115154" w:rsidP="00860468">
                    <w:pPr>
                      <w:pStyle w:val="af"/>
                      <w:ind w:firstLineChars="0" w:firstLine="0"/>
                      <w:jc w:val="left"/>
                    </w:pPr>
                    <w:r w:rsidRPr="00E04FAA">
                      <w:t>少数股东权益影响额</w:t>
                    </w:r>
                  </w:p>
                </w:tc>
              </w:sdtContent>
            </w:sdt>
            <w:tc>
              <w:tcPr>
                <w:tcW w:w="2958" w:type="dxa"/>
              </w:tcPr>
              <w:p w:rsidR="00115154" w:rsidRPr="00E04FAA" w:rsidRDefault="00115154" w:rsidP="00860468">
                <w:pPr>
                  <w:jc w:val="right"/>
                </w:pPr>
              </w:p>
            </w:tc>
            <w:tc>
              <w:tcPr>
                <w:tcW w:w="2932" w:type="dxa"/>
              </w:tcPr>
              <w:p w:rsidR="00115154" w:rsidRPr="00E04FAA" w:rsidRDefault="00115154" w:rsidP="00860468">
                <w:pPr>
                  <w:jc w:val="left"/>
                </w:pPr>
              </w:p>
            </w:tc>
          </w:tr>
          <w:tr w:rsidR="00115154" w:rsidRPr="00E04FAA" w:rsidTr="00860468">
            <w:sdt>
              <w:sdtPr>
                <w:tag w:val="_PLD_f67b3fcceba046d6ad67b7ce52c94054"/>
                <w:id w:val="1199356062"/>
                <w:lock w:val="sdtLocked"/>
              </w:sdtPr>
              <w:sdtContent>
                <w:tc>
                  <w:tcPr>
                    <w:tcW w:w="2933" w:type="dxa"/>
                  </w:tcPr>
                  <w:p w:rsidR="00115154" w:rsidRPr="00E04FAA" w:rsidRDefault="00115154" w:rsidP="00860468">
                    <w:pPr>
                      <w:pStyle w:val="af"/>
                      <w:ind w:firstLineChars="0" w:firstLine="0"/>
                      <w:jc w:val="left"/>
                    </w:pPr>
                    <w:r w:rsidRPr="00E04FAA">
                      <w:t>所得税影响额</w:t>
                    </w:r>
                  </w:p>
                </w:tc>
              </w:sdtContent>
            </w:sdt>
            <w:tc>
              <w:tcPr>
                <w:tcW w:w="2958" w:type="dxa"/>
              </w:tcPr>
              <w:p w:rsidR="00115154" w:rsidRPr="00E04FAA" w:rsidRDefault="00115154" w:rsidP="00860468">
                <w:pPr>
                  <w:jc w:val="right"/>
                </w:pPr>
                <w:r>
                  <w:t>-</w:t>
                </w:r>
                <w:r w:rsidRPr="00E04FAA">
                  <w:t>17,364,750</w:t>
                </w:r>
              </w:p>
            </w:tc>
            <w:tc>
              <w:tcPr>
                <w:tcW w:w="2932" w:type="dxa"/>
              </w:tcPr>
              <w:p w:rsidR="00115154" w:rsidRPr="00E04FAA" w:rsidRDefault="00115154" w:rsidP="00860468">
                <w:pPr>
                  <w:jc w:val="left"/>
                </w:pPr>
              </w:p>
            </w:tc>
          </w:tr>
          <w:tr w:rsidR="00115154" w:rsidRPr="00E04FAA" w:rsidTr="00860468">
            <w:sdt>
              <w:sdtPr>
                <w:tag w:val="_PLD_196ea10929cc45b2a25a10ce3f3fd3ad"/>
                <w:id w:val="-595864018"/>
                <w:lock w:val="sdtLocked"/>
              </w:sdtPr>
              <w:sdtContent>
                <w:tc>
                  <w:tcPr>
                    <w:tcW w:w="2933" w:type="dxa"/>
                  </w:tcPr>
                  <w:p w:rsidR="00115154" w:rsidRPr="00E04FAA" w:rsidRDefault="00115154" w:rsidP="00860468">
                    <w:pPr>
                      <w:pStyle w:val="af"/>
                      <w:ind w:firstLineChars="0" w:firstLine="0"/>
                      <w:jc w:val="left"/>
                    </w:pPr>
                    <w:r w:rsidRPr="00E04FAA">
                      <w:t>合计</w:t>
                    </w:r>
                  </w:p>
                </w:tc>
              </w:sdtContent>
            </w:sdt>
            <w:tc>
              <w:tcPr>
                <w:tcW w:w="2958" w:type="dxa"/>
              </w:tcPr>
              <w:p w:rsidR="00115154" w:rsidRPr="00E04FAA" w:rsidRDefault="00115154" w:rsidP="00860468">
                <w:pPr>
                  <w:jc w:val="right"/>
                </w:pPr>
                <w:r w:rsidRPr="00E04FAA">
                  <w:t>218,083,027</w:t>
                </w:r>
              </w:p>
            </w:tc>
            <w:tc>
              <w:tcPr>
                <w:tcW w:w="2932" w:type="dxa"/>
              </w:tcPr>
              <w:p w:rsidR="00115154" w:rsidRPr="00E04FAA" w:rsidRDefault="00115154" w:rsidP="00860468"/>
            </w:tc>
          </w:tr>
        </w:tbl>
        <w:p w:rsidR="00115154" w:rsidRDefault="00115154"/>
        <w:p w:rsidR="00883153" w:rsidRPr="00E04FAA" w:rsidRDefault="000D0A99" w:rsidP="001A3BC3"/>
      </w:sdtContent>
    </w:sdt>
    <w:bookmarkEnd w:id="16" w:displacedByCustomXml="prev"/>
    <w:sdt>
      <w:sdtPr>
        <w:rPr>
          <w:rFonts w:ascii="Calibri" w:hAnsi="Calibri" w:cs="宋体" w:hint="eastAsia"/>
          <w:b w:val="0"/>
          <w:bCs w:val="0"/>
          <w:kern w:val="0"/>
          <w:szCs w:val="22"/>
        </w:rPr>
        <w:alias w:val="模块:其他财务和业务数据"/>
        <w:tag w:val="_GBC_129e81c113f94ab2b6af974b5d24abc6"/>
        <w:id w:val="-281339296"/>
        <w:lock w:val="sdtLocked"/>
        <w:placeholder>
          <w:docPart w:val="GBC22222222222222222222222222222"/>
        </w:placeholder>
      </w:sdtPr>
      <w:sdtEndPr>
        <w:rPr>
          <w:rFonts w:ascii="宋体" w:hAnsi="宋体"/>
          <w:szCs w:val="24"/>
        </w:rPr>
      </w:sdtEndPr>
      <w:sdtContent>
        <w:p w:rsidR="00883153" w:rsidRPr="00E04FAA" w:rsidRDefault="00200151">
          <w:pPr>
            <w:pStyle w:val="2"/>
            <w:numPr>
              <w:ilvl w:val="1"/>
              <w:numId w:val="4"/>
            </w:numPr>
            <w:rPr>
              <w:bCs w:val="0"/>
            </w:rPr>
          </w:pPr>
          <w:r w:rsidRPr="00E04FAA">
            <w:rPr>
              <w:rFonts w:hint="eastAsia"/>
              <w:bCs w:val="0"/>
            </w:rPr>
            <w:t>其他</w:t>
          </w:r>
        </w:p>
        <w:sdt>
          <w:sdtPr>
            <w:alias w:val="是否适用：公司简介和主要财务指标其他说明[双击切换]"/>
            <w:tag w:val="_GBC_5b4104dc5c2c4501bc2420c70be30c2a"/>
            <w:id w:val="-1100492593"/>
            <w:lock w:val="sdtContentLocked"/>
            <w:placeholder>
              <w:docPart w:val="GBC22222222222222222222222222222"/>
            </w:placeholder>
          </w:sdtPr>
          <w:sdtContent>
            <w:p w:rsidR="00883153" w:rsidRPr="00E04FAA" w:rsidRDefault="00200151" w:rsidP="00984305">
              <w:r w:rsidRPr="00E04FAA">
                <w:fldChar w:fldCharType="begin"/>
              </w:r>
              <w:r w:rsidR="00984305" w:rsidRPr="00E04FAA">
                <w:instrText xml:space="preserve"> MACROBUTTON  SnrToggleCheckbox □适用 </w:instrText>
              </w:r>
              <w:r w:rsidRPr="00E04FAA">
                <w:fldChar w:fldCharType="end"/>
              </w:r>
              <w:r w:rsidRPr="00E04FAA">
                <w:fldChar w:fldCharType="begin"/>
              </w:r>
              <w:r w:rsidR="00984305" w:rsidRPr="00E04FAA">
                <w:instrText xml:space="preserve"> MACROBUTTON  SnrToggleCheckbox √不适用 </w:instrText>
              </w:r>
              <w:r w:rsidRPr="00E04FAA">
                <w:fldChar w:fldCharType="end"/>
              </w:r>
            </w:p>
          </w:sdtContent>
        </w:sdt>
      </w:sdtContent>
    </w:sdt>
    <w:p w:rsidR="00883153" w:rsidRPr="00E04FAA" w:rsidRDefault="00883153">
      <w:pPr>
        <w:kinsoku w:val="0"/>
        <w:overflowPunct w:val="0"/>
        <w:autoSpaceDE w:val="0"/>
        <w:autoSpaceDN w:val="0"/>
        <w:adjustRightInd w:val="0"/>
        <w:snapToGrid w:val="0"/>
        <w:rPr>
          <w:szCs w:val="21"/>
        </w:rPr>
      </w:pPr>
    </w:p>
    <w:p w:rsidR="00883153" w:rsidRPr="00E04FAA" w:rsidRDefault="00200151">
      <w:pPr>
        <w:pStyle w:val="10"/>
        <w:numPr>
          <w:ilvl w:val="0"/>
          <w:numId w:val="3"/>
        </w:numPr>
        <w:rPr>
          <w:szCs w:val="21"/>
        </w:rPr>
      </w:pPr>
      <w:bookmarkStart w:id="17" w:name="_Toc484510566"/>
      <w:r w:rsidRPr="00E04FAA">
        <w:rPr>
          <w:rFonts w:hint="eastAsia"/>
          <w:szCs w:val="21"/>
        </w:rPr>
        <w:t>公司业务概要</w:t>
      </w:r>
      <w:bookmarkEnd w:id="17"/>
    </w:p>
    <w:sdt>
      <w:sdtPr>
        <w:rPr>
          <w:rFonts w:ascii="宋体" w:hAnsi="宋体" w:cs="宋体" w:hint="eastAsia"/>
          <w:b w:val="0"/>
          <w:bCs w:val="0"/>
          <w:kern w:val="0"/>
          <w:szCs w:val="24"/>
        </w:rPr>
        <w:alias w:val="模块:报告期内公司所从事的主要业务、经营模式及行业情况说明"/>
        <w:tag w:val="_SEC_30613ac4c1d74a918acca2b58acc457d"/>
        <w:id w:val="-2029089871"/>
        <w:lock w:val="sdtLocked"/>
        <w:placeholder>
          <w:docPart w:val="GBC22222222222222222222222222222"/>
        </w:placeholder>
      </w:sdtPr>
      <w:sdtContent>
        <w:p w:rsidR="00883153" w:rsidRPr="00E04FAA" w:rsidRDefault="00200151" w:rsidP="00FC3870">
          <w:pPr>
            <w:pStyle w:val="2"/>
            <w:numPr>
              <w:ilvl w:val="0"/>
              <w:numId w:val="28"/>
            </w:numPr>
            <w:tabs>
              <w:tab w:val="left" w:pos="426"/>
            </w:tabs>
            <w:jc w:val="left"/>
          </w:pPr>
          <w:r w:rsidRPr="00E04FAA">
            <w:rPr>
              <w:rFonts w:hint="eastAsia"/>
            </w:rPr>
            <w:t>报告期内公司所从事的主要业务、经营模式及行业情况说明</w:t>
          </w:r>
        </w:p>
        <w:sdt>
          <w:sdtPr>
            <w:rPr>
              <w:rFonts w:hint="eastAsia"/>
            </w:rPr>
            <w:alias w:val="报告期内公司所从事的主要业务、经营模式及行业情况说明"/>
            <w:tag w:val="_GBC_5c28d6f46eea48f892bed0c5fc99ab60"/>
            <w:id w:val="453527786"/>
            <w:lock w:val="sdtLocked"/>
            <w:placeholder>
              <w:docPart w:val="GBC22222222222222222222222222222"/>
            </w:placeholder>
          </w:sdtPr>
          <w:sdtContent>
            <w:p w:rsidR="00894C86" w:rsidRPr="00E04FAA" w:rsidRDefault="00894C86" w:rsidP="00894C86">
              <w:pPr>
                <w:spacing w:line="360" w:lineRule="auto"/>
                <w:rPr>
                  <w:b/>
                </w:rPr>
              </w:pPr>
              <w:r w:rsidRPr="00E04FAA">
                <w:rPr>
                  <w:rFonts w:hint="eastAsia"/>
                  <w:b/>
                </w:rPr>
                <w:t>（一）公司主营业务和经营模式</w:t>
              </w:r>
            </w:p>
            <w:p w:rsidR="004D4B1E" w:rsidRDefault="004D4B1E" w:rsidP="004D4B1E">
              <w:pPr>
                <w:spacing w:line="360" w:lineRule="auto"/>
                <w:ind w:firstLine="420"/>
                <w:jc w:val="both"/>
                <w:rPr>
                  <w:color w:val="000000"/>
                </w:rPr>
              </w:pPr>
              <w:bookmarkStart w:id="18" w:name="_Hlk15302662"/>
              <w:r w:rsidRPr="00E84B51">
                <w:rPr>
                  <w:rFonts w:hint="eastAsia"/>
                  <w:color w:val="000000"/>
                </w:rPr>
                <w:t>公司在3.0战略的新时期，形成了以用友</w:t>
              </w:r>
              <w:r>
                <w:rPr>
                  <w:rFonts w:hint="eastAsia"/>
                  <w:color w:val="000000"/>
                </w:rPr>
                <w:t>企业</w:t>
              </w:r>
              <w:r w:rsidRPr="00E84B51">
                <w:rPr>
                  <w:rFonts w:hint="eastAsia"/>
                  <w:color w:val="000000"/>
                </w:rPr>
                <w:t>云</w:t>
              </w:r>
              <w:r>
                <w:rPr>
                  <w:rFonts w:hint="eastAsia"/>
                  <w:color w:val="000000"/>
                </w:rPr>
                <w:t>服务</w:t>
              </w:r>
              <w:r w:rsidRPr="00E84B51">
                <w:rPr>
                  <w:rFonts w:hint="eastAsia"/>
                  <w:color w:val="000000"/>
                </w:rPr>
                <w:t>为核心，云服务、软件、金融服务融合发展的新战略布局。公司基于移动互联网、云计算、大数据、人工智能、物联网、区块链等新一代企业计算技术，定位社会化商业应用基础设施和企业服务产业共享平台，推动中国数字经济与智慧社会的进步与发展。</w:t>
              </w:r>
            </w:p>
            <w:p w:rsidR="004D4B1E" w:rsidRPr="003F00D4" w:rsidRDefault="004D4B1E" w:rsidP="004D4B1E">
              <w:pPr>
                <w:spacing w:line="360" w:lineRule="auto"/>
              </w:pPr>
              <w:r>
                <w:rPr>
                  <w:b/>
                </w:rPr>
                <w:t>1</w:t>
              </w:r>
              <w:r>
                <w:rPr>
                  <w:rFonts w:hint="eastAsia"/>
                  <w:b/>
                </w:rPr>
                <w:t>、</w:t>
              </w:r>
              <w:r w:rsidRPr="003F00D4">
                <w:rPr>
                  <w:rFonts w:hint="eastAsia"/>
                  <w:b/>
                </w:rPr>
                <w:t>云服务业务</w:t>
              </w:r>
            </w:p>
            <w:p w:rsidR="004D4B1E" w:rsidRDefault="004D4B1E" w:rsidP="004D4B1E">
              <w:pPr>
                <w:spacing w:line="360" w:lineRule="auto"/>
                <w:ind w:firstLine="420"/>
                <w:jc w:val="both"/>
              </w:pPr>
              <w:r w:rsidRPr="003F00D4">
                <w:rPr>
                  <w:rFonts w:hint="eastAsia"/>
                </w:rPr>
                <w:t>公司的云服务业务面向数字化转型和数字化原生企业与公共组织，提供数字化、智能化的企业与公共组织服务。用友</w:t>
              </w:r>
              <w:r>
                <w:rPr>
                  <w:rFonts w:hint="eastAsia"/>
                </w:rPr>
                <w:t>企业</w:t>
              </w:r>
              <w:r w:rsidRPr="003F00D4">
                <w:rPr>
                  <w:rFonts w:hint="eastAsia"/>
                </w:rPr>
                <w:t>云</w:t>
              </w:r>
              <w:r>
                <w:rPr>
                  <w:rFonts w:hint="eastAsia"/>
                </w:rPr>
                <w:t>服务</w:t>
              </w:r>
              <w:r w:rsidRPr="003F00D4">
                <w:rPr>
                  <w:rFonts w:hint="eastAsia"/>
                </w:rPr>
                <w:t>作为中国领先的企业云服务平台和生态，为众多行业的企业提供公共能力和领域服务，使其能力聚焦，快速创新，并通过聚合企业云服务，构建强大生态，一站式服务客户，带动生态伙伴发展，推动企业服务产业的整体发展。</w:t>
              </w:r>
            </w:p>
            <w:p w:rsidR="004D4B1E" w:rsidRPr="003F00D4" w:rsidRDefault="004D4B1E" w:rsidP="004D4B1E">
              <w:pPr>
                <w:spacing w:line="360" w:lineRule="auto"/>
                <w:jc w:val="both"/>
              </w:pPr>
              <w:r w:rsidRPr="006C5F70">
                <w:rPr>
                  <w:noProof/>
                </w:rPr>
                <w:drawing>
                  <wp:inline distT="0" distB="0" distL="0" distR="0" wp14:anchorId="16814706" wp14:editId="788E6C25">
                    <wp:extent cx="5276850" cy="24066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6850" cy="2406650"/>
                            </a:xfrm>
                            <a:prstGeom prst="rect">
                              <a:avLst/>
                            </a:prstGeom>
                            <a:noFill/>
                            <a:ln>
                              <a:noFill/>
                            </a:ln>
                          </pic:spPr>
                        </pic:pic>
                      </a:graphicData>
                    </a:graphic>
                  </wp:inline>
                </w:drawing>
              </w:r>
            </w:p>
            <w:p w:rsidR="004D4B1E" w:rsidRPr="003F00D4" w:rsidRDefault="004D4B1E" w:rsidP="004D4B1E">
              <w:pPr>
                <w:spacing w:line="360" w:lineRule="auto"/>
                <w:ind w:firstLineChars="200" w:firstLine="420"/>
                <w:jc w:val="both"/>
              </w:pPr>
              <w:r w:rsidRPr="003F00D4">
                <w:rPr>
                  <w:rFonts w:hint="eastAsia"/>
                </w:rPr>
                <w:t>公司的云服务经营模式为向客户提供企业互联网服务，收入包括：运营服务收入、应用服务收入、</w:t>
              </w:r>
              <w:r>
                <w:rPr>
                  <w:rFonts w:hint="eastAsia"/>
                </w:rPr>
                <w:t>平台服务收入、</w:t>
              </w:r>
              <w:r w:rsidRPr="003F00D4">
                <w:rPr>
                  <w:rFonts w:hint="eastAsia"/>
                </w:rPr>
                <w:t xml:space="preserve">信息和数据服务收入、平台交易收入（含分成）、推广第三方厂商应用服务获得的分润收入以及其他增值服务收入。 </w:t>
              </w:r>
            </w:p>
            <w:p w:rsidR="004D4B1E" w:rsidRPr="003F00D4" w:rsidRDefault="004D4B1E" w:rsidP="004D4B1E">
              <w:pPr>
                <w:spacing w:line="360" w:lineRule="auto"/>
                <w:rPr>
                  <w:b/>
                </w:rPr>
              </w:pPr>
              <w:r>
                <w:rPr>
                  <w:rFonts w:hint="eastAsia"/>
                  <w:b/>
                </w:rPr>
                <w:lastRenderedPageBreak/>
                <w:t>（1）</w:t>
              </w:r>
              <w:r w:rsidRPr="003F00D4">
                <w:rPr>
                  <w:rFonts w:hint="eastAsia"/>
                  <w:b/>
                </w:rPr>
                <w:t>云平台</w:t>
              </w:r>
            </w:p>
            <w:p w:rsidR="004D4B1E" w:rsidRPr="003F00D4" w:rsidRDefault="004D4B1E" w:rsidP="004D4B1E">
              <w:pPr>
                <w:spacing w:line="360" w:lineRule="auto"/>
                <w:ind w:firstLine="420"/>
                <w:jc w:val="both"/>
              </w:pPr>
              <w:r w:rsidRPr="003F00D4">
                <w:rPr>
                  <w:rFonts w:hint="eastAsia"/>
                </w:rPr>
                <w:t>用友</w:t>
              </w:r>
              <w:proofErr w:type="spellStart"/>
              <w:r w:rsidRPr="003F00D4">
                <w:rPr>
                  <w:rFonts w:hint="eastAsia"/>
                </w:rPr>
                <w:t>iuap</w:t>
              </w:r>
              <w:proofErr w:type="spellEnd"/>
              <w:r w:rsidRPr="003F00D4">
                <w:rPr>
                  <w:rFonts w:hint="eastAsia"/>
                </w:rPr>
                <w:t>云平台聚焦PaaS，支撑SaaS（软件应用服务）、</w:t>
              </w:r>
              <w:proofErr w:type="spellStart"/>
              <w:r w:rsidRPr="003F00D4">
                <w:rPr>
                  <w:rFonts w:hint="eastAsia"/>
                </w:rPr>
                <w:t>DaaS</w:t>
              </w:r>
              <w:proofErr w:type="spellEnd"/>
              <w:r w:rsidRPr="003F00D4">
                <w:rPr>
                  <w:rFonts w:hint="eastAsia"/>
                </w:rPr>
                <w:t>（数据服务）、BaaS（业务运营服务），适配</w:t>
              </w:r>
              <w:r>
                <w:rPr>
                  <w:rFonts w:hint="eastAsia"/>
                </w:rPr>
                <w:t>主流</w:t>
              </w:r>
              <w:r w:rsidRPr="003F00D4">
                <w:rPr>
                  <w:rFonts w:hint="eastAsia"/>
                </w:rPr>
                <w:t>IaaS，遵循开放、开源、生态的发展原则，基于公司30 年来在不同规模、不同领域、不同行业、不同业务及组织模式的沉淀积累，提供企业</w:t>
              </w:r>
              <w:r>
                <w:rPr>
                  <w:rFonts w:hint="eastAsia"/>
                </w:rPr>
                <w:t>与公共组织</w:t>
              </w:r>
              <w:r w:rsidRPr="003F00D4">
                <w:rPr>
                  <w:rFonts w:hint="eastAsia"/>
                </w:rPr>
                <w:t>业务创新所需的开发、集成、运行、运维、运营、基础数据及应用服务，帮助开发者快速构建面向特定领域或行业的企业</w:t>
              </w:r>
              <w:r>
                <w:rPr>
                  <w:rFonts w:hint="eastAsia"/>
                </w:rPr>
                <w:t>与公共组织</w:t>
              </w:r>
              <w:r w:rsidRPr="003F00D4">
                <w:rPr>
                  <w:rFonts w:hint="eastAsia"/>
                </w:rPr>
                <w:t>服务。</w:t>
              </w:r>
            </w:p>
            <w:p w:rsidR="004D4B1E" w:rsidRPr="003F00D4" w:rsidRDefault="004D4B1E" w:rsidP="004D4B1E">
              <w:pPr>
                <w:spacing w:line="360" w:lineRule="auto"/>
                <w:jc w:val="both"/>
                <w:rPr>
                  <w:b/>
                </w:rPr>
              </w:pPr>
              <w:r>
                <w:rPr>
                  <w:rFonts w:hint="eastAsia"/>
                  <w:b/>
                </w:rPr>
                <w:t>（2）</w:t>
              </w:r>
              <w:r w:rsidRPr="003F00D4">
                <w:rPr>
                  <w:rFonts w:hint="eastAsia"/>
                  <w:b/>
                </w:rPr>
                <w:t>领域云</w:t>
              </w:r>
            </w:p>
            <w:p w:rsidR="004D4B1E" w:rsidRPr="003F00D4" w:rsidRDefault="004D4B1E" w:rsidP="004D4B1E">
              <w:pPr>
                <w:spacing w:line="360" w:lineRule="auto"/>
                <w:ind w:firstLine="420"/>
                <w:jc w:val="both"/>
              </w:pPr>
              <w:r w:rsidRPr="003F00D4">
                <w:rPr>
                  <w:rFonts w:hint="eastAsia"/>
                </w:rPr>
                <w:t>营销云致力于为国内大中型企业的营销数字化转型提供相关的云服务，产品包括面向</w:t>
              </w:r>
              <w:r w:rsidRPr="003F00D4">
                <w:t>B2C管理的U会员和友零售，面向企业B2B管理的渠道云、U订货和CRM云</w:t>
              </w:r>
              <w:r w:rsidRPr="003F00D4">
                <w:rPr>
                  <w:rFonts w:hint="eastAsia"/>
                </w:rPr>
                <w:t>。经营模式为向客户提供企业互联网数字营销、移动CRM以及网上经销商平台服务，获得运营服务收入、应用服务收入、信息和数据服务收入、推广第三方厂商应用服务获得的分润收入以及其他增值服务收入。</w:t>
              </w:r>
            </w:p>
            <w:p w:rsidR="004D4B1E" w:rsidRPr="003F00D4" w:rsidRDefault="004D4B1E" w:rsidP="004D4B1E">
              <w:pPr>
                <w:spacing w:line="360" w:lineRule="auto"/>
                <w:ind w:firstLine="420"/>
                <w:jc w:val="both"/>
              </w:pPr>
              <w:r w:rsidRPr="003F00D4">
                <w:rPr>
                  <w:rFonts w:hint="eastAsia"/>
                </w:rPr>
                <w:t>协同云通过连接企业员工、产业链伙伴及社会化用户，帮助企业在云服务时代，打破沟通壁垒，提升协同工作效率，实现社交化沟通与分享，激发组织活力。协同云的核心产品友空间是专为企业及组织打造的社交化协同办公平台，提供统一门户、协同办公、社交沟通、业务协同四大领域的解决方案，帮助企业在云服务时代提升协同工作效率，激发组织活力。构建以人为中心的工作门户，提供统一应用中心和一站式服务平台；聚焦企业核心办公应用，将多样化的沟通方式融合到业务中，使团队协作更高效；连接</w:t>
              </w:r>
              <w:r w:rsidRPr="003F00D4">
                <w:t>NC、U9、U8+、用友</w:t>
              </w:r>
              <w:r>
                <w:rPr>
                  <w:rFonts w:hint="eastAsia"/>
                </w:rPr>
                <w:t>领域及行业</w:t>
              </w:r>
              <w:r w:rsidRPr="003F00D4">
                <w:t>云</w:t>
              </w:r>
              <w:r>
                <w:rPr>
                  <w:rFonts w:hint="eastAsia"/>
                </w:rPr>
                <w:t>服务</w:t>
              </w:r>
              <w:r w:rsidRPr="003F00D4">
                <w:t>等用友生态业务，实现不同系统间的</w:t>
              </w:r>
              <w:r>
                <w:rPr>
                  <w:rFonts w:hint="eastAsia"/>
                </w:rPr>
                <w:t>紧密</w:t>
              </w:r>
              <w:r w:rsidRPr="003F00D4">
                <w:t>融合。经营模式为客户购买服务的产品租用费用、运营服务费用等为主；少量合作第三方分润收入。</w:t>
              </w:r>
            </w:p>
            <w:p w:rsidR="004D4B1E" w:rsidRPr="001339DB" w:rsidRDefault="004D4B1E" w:rsidP="004D4B1E">
              <w:pPr>
                <w:spacing w:line="360" w:lineRule="auto"/>
                <w:ind w:firstLine="420"/>
                <w:jc w:val="both"/>
              </w:pPr>
              <w:r w:rsidRPr="00D0658B">
                <w:rPr>
                  <w:rFonts w:hint="eastAsia"/>
                </w:rPr>
                <w:t>人力云业务包括友人才、薪福社等产品。用友新一代人力资源云服务平台</w:t>
              </w:r>
              <w:r>
                <w:rPr>
                  <w:rFonts w:hint="eastAsia"/>
                </w:rPr>
                <w:t>—</w:t>
              </w:r>
              <w:r w:rsidRPr="00D0658B">
                <w:rPr>
                  <w:rFonts w:hint="eastAsia"/>
                </w:rPr>
                <w:t>友人才产品包括核心人力、员工服务、共享服务、人才管理等核心应用领域，以全员参与、端到端流程、智能化、开放连接为主要特点，致力于提升人力资源运营效率和员工体验，为组织赋能。</w:t>
              </w:r>
              <w:r w:rsidRPr="00E84B51">
                <w:rPr>
                  <w:rFonts w:hint="eastAsia"/>
                  <w:color w:val="000000"/>
                </w:rPr>
                <w:t>薪福社依托</w:t>
              </w:r>
              <w:r w:rsidRPr="00E84B51">
                <w:rPr>
                  <w:color w:val="000000"/>
                </w:rPr>
                <w:t>SaaS业务系统，为企业提供社会化用工人员的费用、酬劳、福利等结算和涉税业务的专业外包服务。为企业客户及个人带来准确高效</w:t>
              </w:r>
              <w:r w:rsidRPr="00E84B51">
                <w:rPr>
                  <w:rFonts w:hint="eastAsia"/>
                  <w:color w:val="000000"/>
                </w:rPr>
                <w:t>、</w:t>
              </w:r>
              <w:r w:rsidRPr="00E84B51">
                <w:rPr>
                  <w:color w:val="000000"/>
                </w:rPr>
                <w:t>合规的一体化解决方案</w:t>
              </w:r>
              <w:r w:rsidRPr="0041122B">
                <w:t>。</w:t>
              </w:r>
            </w:p>
            <w:p w:rsidR="004D4B1E" w:rsidRPr="003F00D4" w:rsidRDefault="004D4B1E" w:rsidP="004D4B1E">
              <w:pPr>
                <w:spacing w:line="360" w:lineRule="auto"/>
                <w:ind w:firstLine="420"/>
                <w:jc w:val="both"/>
              </w:pPr>
              <w:r w:rsidRPr="003F00D4">
                <w:rPr>
                  <w:rFonts w:hint="eastAsia"/>
                </w:rPr>
                <w:t>采购云是企业互联网采购服务平台，旨在帮助企业进行采购决策和高效协同。友云采提供云采超市、工业品超市、供应商门户协同三个交易场景服务，为办公用品、MRO工业品、BOM原材料不同品类采购提供一站式服务。友云采立足采购方的企业互联网采购服务平台，构建全球供应商网络资源库，帮助企业实现全球采购</w:t>
              </w:r>
              <w:r>
                <w:rPr>
                  <w:rFonts w:hint="eastAsia"/>
                </w:rPr>
                <w:t>、阳光采购</w:t>
              </w:r>
              <w:r w:rsidRPr="003F00D4">
                <w:rPr>
                  <w:rFonts w:hint="eastAsia"/>
                </w:rPr>
                <w:t>，构建数字商业新生态。</w:t>
              </w:r>
            </w:p>
            <w:p w:rsidR="004D4B1E" w:rsidRPr="00E84B51" w:rsidRDefault="004D4B1E" w:rsidP="004D4B1E">
              <w:pPr>
                <w:spacing w:line="360" w:lineRule="auto"/>
                <w:ind w:firstLine="420"/>
                <w:rPr>
                  <w:color w:val="000000"/>
                </w:rPr>
              </w:pPr>
              <w:r w:rsidRPr="00E84B51">
                <w:rPr>
                  <w:rFonts w:hint="eastAsia"/>
                  <w:color w:val="000000"/>
                </w:rPr>
                <w:t>财务云基于前沿的云计算、大数据、人工智能等技术，基于社会化商业这一新的商业范式，为企业提供以</w:t>
              </w:r>
              <w:r>
                <w:rPr>
                  <w:rFonts w:hint="eastAsia"/>
                  <w:color w:val="000000"/>
                </w:rPr>
                <w:t>实时会计</w:t>
              </w:r>
              <w:r w:rsidRPr="00E84B51">
                <w:rPr>
                  <w:rFonts w:hint="eastAsia"/>
                  <w:color w:val="000000"/>
                </w:rPr>
                <w:t>、</w:t>
              </w:r>
              <w:r>
                <w:rPr>
                  <w:rFonts w:hint="eastAsia"/>
                  <w:color w:val="000000"/>
                </w:rPr>
                <w:t>智能财务、精准</w:t>
              </w:r>
              <w:r w:rsidRPr="00E84B51">
                <w:rPr>
                  <w:rFonts w:hint="eastAsia"/>
                  <w:color w:val="000000"/>
                </w:rPr>
                <w:t>税务为核心的财务服务，帮助企业建立起具有连接、融合、实时、智能新特性的财务云平台，引领企业财务数字化转型，创造财务新价值。智能报账服务</w:t>
              </w:r>
              <w:r>
                <w:rPr>
                  <w:rFonts w:hint="eastAsia"/>
                  <w:color w:val="000000"/>
                </w:rPr>
                <w:t>—</w:t>
              </w:r>
              <w:r w:rsidRPr="00E84B51">
                <w:rPr>
                  <w:color w:val="000000"/>
                </w:rPr>
                <w:t>友报账为企业提供专业化的报账服务和连接服务，面向企业全员应用，并整合社会资源，为企业员工提供端到端的一站式互联网服务，打通从申请、审批、交易、报账、支付、核算、报告所有环节。</w:t>
              </w:r>
              <w:r>
                <w:rPr>
                  <w:rFonts w:hint="eastAsia"/>
                  <w:color w:val="000000"/>
                </w:rPr>
                <w:t>实时会计</w:t>
              </w:r>
              <w:r w:rsidRPr="00E84B51">
                <w:rPr>
                  <w:color w:val="000000"/>
                </w:rPr>
                <w:t>服务为企业提供自动实时的多核算目的多会计主体的会计核算、报表与分</w:t>
              </w:r>
              <w:r w:rsidRPr="00E84B51">
                <w:rPr>
                  <w:rFonts w:hint="eastAsia"/>
                  <w:color w:val="000000"/>
                </w:rPr>
                <w:t>析</w:t>
              </w:r>
              <w:r>
                <w:rPr>
                  <w:rFonts w:hint="eastAsia"/>
                  <w:color w:val="000000"/>
                </w:rPr>
                <w:lastRenderedPageBreak/>
                <w:t>等的数据</w:t>
              </w:r>
              <w:r w:rsidRPr="00E84B51">
                <w:rPr>
                  <w:rFonts w:hint="eastAsia"/>
                  <w:color w:val="000000"/>
                </w:rPr>
                <w:t>服务，融合各领域和各行业的业务云，形成云端的业财自动化融合，满足企业当下管理会计转型的需要。税务服务为企业提供以销项管理、进项管理、纳税申报为核心的增值税服务，为企业提供经营过程中所有涉税环节的解决方案及全税种管理、税务风险监控与税收筹划。电子会计档案为企业档案管理全过程提供信息化支撑，从收单、制单到归档，再到存储以及档案的利用，助力企业会计档案的无纸化、高效率。</w:t>
              </w:r>
            </w:p>
            <w:p w:rsidR="004D4B1E" w:rsidRPr="00E84B51" w:rsidRDefault="004D4B1E" w:rsidP="004D4B1E">
              <w:pPr>
                <w:spacing w:line="360" w:lineRule="auto"/>
                <w:rPr>
                  <w:b/>
                  <w:color w:val="000000"/>
                </w:rPr>
              </w:pPr>
              <w:r w:rsidRPr="00E84B51">
                <w:rPr>
                  <w:rFonts w:hint="eastAsia"/>
                  <w:b/>
                  <w:color w:val="000000"/>
                </w:rPr>
                <w:t>（3）云ERP</w:t>
              </w:r>
            </w:p>
            <w:p w:rsidR="004D4B1E" w:rsidRPr="00E84B51" w:rsidRDefault="004D4B1E" w:rsidP="004D4B1E">
              <w:pPr>
                <w:spacing w:line="360" w:lineRule="auto"/>
                <w:ind w:firstLine="420"/>
                <w:jc w:val="both"/>
                <w:rPr>
                  <w:color w:val="000000"/>
                </w:rPr>
              </w:pPr>
              <w:r w:rsidRPr="00E84B51">
                <w:rPr>
                  <w:color w:val="000000"/>
                </w:rPr>
                <w:t>NC Cloud目标客户群是从成长型集团企业到大型企业集团，全面应用最新混合云技术架构，支持公有云、专属云</w:t>
              </w:r>
              <w:r>
                <w:rPr>
                  <w:rFonts w:hint="eastAsia"/>
                  <w:color w:val="000000"/>
                </w:rPr>
                <w:t>、私有云</w:t>
              </w:r>
              <w:r w:rsidRPr="00E84B51">
                <w:rPr>
                  <w:color w:val="000000"/>
                </w:rPr>
                <w:t>的灵活部署模式。NC Cloud 帮助大型企业建立数字化商业创新平台，实现业务创新、管理变革、金融嵌入的全面数字化。同时，借助开放互联，全面融合智能云服务，打造数字企业新平台，重塑企业新技术、新商业的核心竞争力。NC Cloud包括了数字营销与新零售、数字化工厂与智能制造、数字采购与供应链协同</w:t>
              </w:r>
              <w:r w:rsidRPr="00E84B51">
                <w:rPr>
                  <w:rFonts w:hint="eastAsia"/>
                  <w:color w:val="000000"/>
                </w:rPr>
                <w:t>、</w:t>
              </w:r>
              <w:r w:rsidRPr="00E84B51">
                <w:rPr>
                  <w:color w:val="000000"/>
                </w:rPr>
                <w:t>财务共享与企业绩效管理、智慧税务与电子发票</w:t>
              </w:r>
              <w:r w:rsidRPr="00E84B51">
                <w:rPr>
                  <w:rFonts w:hint="eastAsia"/>
                  <w:color w:val="000000"/>
                </w:rPr>
                <w:t>、</w:t>
              </w:r>
              <w:r w:rsidRPr="00E84B51">
                <w:rPr>
                  <w:color w:val="000000"/>
                </w:rPr>
                <w:t>人才管理、企业社交智慧协同等十八大企业数字化创新产品，并提供覆盖十四大行业的</w:t>
              </w:r>
              <w:r w:rsidRPr="00E84B51">
                <w:rPr>
                  <w:rFonts w:hint="eastAsia"/>
                  <w:color w:val="000000"/>
                </w:rPr>
                <w:t>最佳实践解决方案。</w:t>
              </w:r>
            </w:p>
            <w:p w:rsidR="004D4B1E" w:rsidRPr="001339DB" w:rsidRDefault="004D4B1E" w:rsidP="004D4B1E">
              <w:pPr>
                <w:spacing w:line="360" w:lineRule="auto"/>
                <w:ind w:firstLine="420"/>
                <w:jc w:val="both"/>
              </w:pPr>
              <w:r w:rsidRPr="001339DB">
                <w:rPr>
                  <w:rFonts w:hint="eastAsia"/>
                </w:rPr>
                <w:t>U8</w:t>
              </w:r>
              <w:r w:rsidRPr="001339DB">
                <w:t xml:space="preserve"> </w:t>
              </w:r>
              <w:r w:rsidRPr="001339DB">
                <w:rPr>
                  <w:rFonts w:hint="eastAsia"/>
                </w:rPr>
                <w:t>Cloud主要面向需要云ERP企业管理软件的创新型、成长型企业，采用互联网新技术，支持公有云、混合云、专属云的部署，融合了交易、服务、管理于一体的整体解决方案。U8</w:t>
              </w:r>
              <w:r>
                <w:t xml:space="preserve"> C</w:t>
              </w:r>
              <w:r w:rsidRPr="001339DB">
                <w:rPr>
                  <w:rFonts w:hint="eastAsia"/>
                </w:rPr>
                <w:t>loud是公司新一代的云ERP产品，通过云模式、低成本、快速部署、即租即用帮助企业免除硬软件投入并快速搭建企业管理架构。</w:t>
              </w:r>
            </w:p>
            <w:p w:rsidR="004D4B1E" w:rsidRPr="003F00D4" w:rsidRDefault="004D4B1E" w:rsidP="004D4B1E">
              <w:pPr>
                <w:spacing w:line="360" w:lineRule="auto"/>
                <w:jc w:val="both"/>
                <w:rPr>
                  <w:b/>
                </w:rPr>
              </w:pPr>
              <w:r>
                <w:rPr>
                  <w:rFonts w:hint="eastAsia"/>
                  <w:b/>
                </w:rPr>
                <w:t>（4）</w:t>
              </w:r>
              <w:r w:rsidRPr="003F00D4">
                <w:rPr>
                  <w:rFonts w:hint="eastAsia"/>
                  <w:b/>
                </w:rPr>
                <w:t>行业云</w:t>
              </w:r>
            </w:p>
            <w:p w:rsidR="004D4B1E" w:rsidRPr="008C6EE8" w:rsidRDefault="004D4B1E" w:rsidP="004D4B1E">
              <w:pPr>
                <w:spacing w:line="360" w:lineRule="auto"/>
                <w:ind w:firstLine="420"/>
                <w:jc w:val="both"/>
              </w:pPr>
              <w:r w:rsidRPr="003F00D4">
                <w:rPr>
                  <w:rFonts w:hint="eastAsia"/>
                  <w:color w:val="000000"/>
                </w:rPr>
                <w:t>精智用友工业互联网平台</w:t>
              </w:r>
              <w:r>
                <w:rPr>
                  <w:rFonts w:hint="eastAsia"/>
                  <w:color w:val="000000"/>
                </w:rPr>
                <w:t>。</w:t>
              </w:r>
              <w:r w:rsidRPr="003F00D4">
                <w:rPr>
                  <w:rFonts w:hint="eastAsia"/>
                  <w:color w:val="000000"/>
                </w:rPr>
                <w:t>该平台在用友云</w:t>
              </w:r>
              <w:r>
                <w:rPr>
                  <w:rFonts w:hint="eastAsia"/>
                  <w:color w:val="000000"/>
                </w:rPr>
                <w:t>服务</w:t>
              </w:r>
              <w:r w:rsidRPr="003F00D4">
                <w:rPr>
                  <w:rFonts w:hint="eastAsia"/>
                  <w:color w:val="000000"/>
                </w:rPr>
                <w:t>平台基础上，融合了物联网、</w:t>
              </w:r>
              <w:r>
                <w:rPr>
                  <w:rFonts w:hint="eastAsia"/>
                  <w:color w:val="000000"/>
                </w:rPr>
                <w:t>工业</w:t>
              </w:r>
              <w:r w:rsidRPr="003F00D4">
                <w:rPr>
                  <w:rFonts w:hint="eastAsia"/>
                  <w:color w:val="000000"/>
                </w:rPr>
                <w:t>智能等</w:t>
              </w:r>
              <w:r>
                <w:rPr>
                  <w:rFonts w:hint="eastAsia"/>
                  <w:color w:val="000000"/>
                </w:rPr>
                <w:t>当代最新</w:t>
              </w:r>
              <w:r w:rsidRPr="003F00D4">
                <w:rPr>
                  <w:rFonts w:hint="eastAsia"/>
                  <w:color w:val="000000"/>
                </w:rPr>
                <w:t>技术，核心是为工业企业提供设计云、制造云、服务云、分析云、营销云、采购云、财务云、人力云、协同云、金融云以及第三方SaaS服务，以开放的生态体系，帮助工业企业实现敏经营、轻管理、易金融、简IT。</w:t>
              </w:r>
            </w:p>
            <w:p w:rsidR="004D4B1E" w:rsidRPr="001339DB" w:rsidRDefault="004D4B1E" w:rsidP="004D4B1E">
              <w:pPr>
                <w:spacing w:line="360" w:lineRule="auto"/>
                <w:ind w:firstLine="420"/>
                <w:jc w:val="both"/>
              </w:pPr>
              <w:r w:rsidRPr="001339DB">
                <w:rPr>
                  <w:rFonts w:hint="eastAsia"/>
                </w:rPr>
                <w:t>其它行业云还包括汽车云</w:t>
              </w:r>
              <w:r>
                <w:rPr>
                  <w:rFonts w:hint="eastAsia"/>
                </w:rPr>
                <w:t>、</w:t>
              </w:r>
              <w:r w:rsidRPr="001339DB">
                <w:rPr>
                  <w:rFonts w:hint="eastAsia"/>
                </w:rPr>
                <w:t>金融云、</w:t>
              </w:r>
              <w:r>
                <w:rPr>
                  <w:rFonts w:hint="eastAsia"/>
                </w:rPr>
                <w:t>建筑云、</w:t>
              </w:r>
              <w:r w:rsidRPr="001339DB">
                <w:rPr>
                  <w:rFonts w:hint="eastAsia"/>
                </w:rPr>
                <w:t>财政云、教育云等。</w:t>
              </w:r>
            </w:p>
            <w:p w:rsidR="004D4B1E" w:rsidRPr="001339DB" w:rsidRDefault="004D4B1E" w:rsidP="004D4B1E">
              <w:pPr>
                <w:spacing w:line="360" w:lineRule="auto"/>
                <w:jc w:val="both"/>
                <w:rPr>
                  <w:b/>
                </w:rPr>
              </w:pPr>
              <w:r w:rsidRPr="001339DB">
                <w:rPr>
                  <w:rFonts w:hint="eastAsia"/>
                  <w:b/>
                </w:rPr>
                <w:t>（5）畅捷通云</w:t>
              </w:r>
            </w:p>
            <w:p w:rsidR="004D4B1E" w:rsidRPr="001339DB" w:rsidRDefault="004D4B1E" w:rsidP="004D4B1E">
              <w:pPr>
                <w:spacing w:line="360" w:lineRule="auto"/>
                <w:ind w:firstLine="420"/>
                <w:jc w:val="both"/>
              </w:pPr>
              <w:r w:rsidRPr="001339DB">
                <w:rPr>
                  <w:rFonts w:hint="eastAsia"/>
                </w:rPr>
                <w:t>畅捷通全面打通小微企业的人、财、货、客管理，整合财务管理、进销存管理、客户收支管理、协同办公等应用，覆盖企业从找客户、跑客户到服务客户的生意全过程，为小微企业提供社交化、个性化、服务化、小量化的生意管理支持，为中国小微企业提供以财务服务为核心的平台服务、应用服务、数据服务、金融服务，主要云服务产品包括好会计、好生意、易代账、工作圈等产品。</w:t>
              </w:r>
            </w:p>
            <w:p w:rsidR="004D4B1E" w:rsidRPr="001339DB" w:rsidRDefault="004D4B1E" w:rsidP="004D4B1E">
              <w:pPr>
                <w:spacing w:line="360" w:lineRule="auto"/>
                <w:ind w:firstLine="420"/>
                <w:jc w:val="both"/>
              </w:pPr>
              <w:r w:rsidRPr="001339DB">
                <w:rPr>
                  <w:rFonts w:hint="eastAsia"/>
                </w:rPr>
                <w:t>畅捷通好会计作为专业、智能、便捷、安全的互联网财务应用服务，实现了PC端、移动端、微信端三端同步，以及语音记账、短信记账、微信分享等功能；在业内率先实现“票-财-税”的数据打通，实现发票的一键取票导入，发票税负测算及部分城市的一键报税；畅捷通好生意是向小微企业提供的进销存应用服务，针对小微企业用互联网方式管理生意的趋势，解决企业采购、</w:t>
              </w:r>
              <w:r w:rsidRPr="001339DB">
                <w:rPr>
                  <w:rFonts w:hint="eastAsia"/>
                </w:rPr>
                <w:lastRenderedPageBreak/>
                <w:t>销售、库存的管理问题；畅捷通易代账企业版上线了一键报税、员工绩效管理、经营分析、票据管理、合同管理等新功能，优化了代账公司运营流程，大幅提高其工作效率。</w:t>
              </w:r>
            </w:p>
            <w:p w:rsidR="004D4B1E" w:rsidRPr="00E84B51" w:rsidRDefault="004D4B1E" w:rsidP="004D4B1E">
              <w:pPr>
                <w:spacing w:line="360" w:lineRule="auto"/>
                <w:ind w:firstLine="420"/>
                <w:jc w:val="both"/>
                <w:rPr>
                  <w:color w:val="000000"/>
                </w:rPr>
              </w:pPr>
              <w:proofErr w:type="spellStart"/>
              <w:r w:rsidRPr="00E84B51">
                <w:rPr>
                  <w:color w:val="000000"/>
                </w:rPr>
                <w:t>T+Cloud</w:t>
              </w:r>
              <w:proofErr w:type="spellEnd"/>
              <w:r w:rsidRPr="00E84B51">
                <w:rPr>
                  <w:color w:val="000000"/>
                </w:rPr>
                <w:t>采用先进的SaaS模式</w:t>
              </w:r>
              <w:r w:rsidRPr="00E84B51">
                <w:rPr>
                  <w:rFonts w:hint="eastAsia"/>
                  <w:color w:val="000000"/>
                </w:rPr>
                <w:t>，</w:t>
              </w:r>
              <w:r w:rsidRPr="00E84B51">
                <w:rPr>
                  <w:color w:val="000000"/>
                </w:rPr>
                <w:t>通过PC/手机端随时随地管理财务、进销存、批量订货、</w:t>
              </w:r>
              <w:r w:rsidRPr="00E84B51">
                <w:rPr>
                  <w:rFonts w:hint="eastAsia"/>
                  <w:color w:val="000000"/>
                </w:rPr>
                <w:t>生产管理、多门店经营等企业常见需求，轻松打通企业管理“人财货客”全链条。</w:t>
              </w:r>
            </w:p>
            <w:p w:rsidR="004D4B1E" w:rsidRPr="003F00D4" w:rsidRDefault="004D4B1E" w:rsidP="004D4B1E">
              <w:pPr>
                <w:spacing w:line="360" w:lineRule="auto"/>
                <w:jc w:val="both"/>
                <w:rPr>
                  <w:b/>
                </w:rPr>
              </w:pPr>
              <w:r>
                <w:rPr>
                  <w:rFonts w:hint="eastAsia"/>
                  <w:b/>
                </w:rPr>
                <w:t>（6）</w:t>
              </w:r>
              <w:r w:rsidRPr="003F00D4">
                <w:rPr>
                  <w:rFonts w:hint="eastAsia"/>
                  <w:b/>
                </w:rPr>
                <w:t>云市场</w:t>
              </w:r>
            </w:p>
            <w:p w:rsidR="004D4B1E" w:rsidRDefault="004D4B1E" w:rsidP="004D4B1E">
              <w:pPr>
                <w:spacing w:line="360" w:lineRule="auto"/>
                <w:ind w:firstLine="420"/>
                <w:jc w:val="both"/>
              </w:pPr>
              <w:r w:rsidRPr="003F00D4">
                <w:rPr>
                  <w:rFonts w:hint="eastAsia"/>
                </w:rPr>
                <w:t>用友云市场是专业的企业云服务市场，致力于满足企业客户一站式购买企业服务和一体化应用需求。用友云市场设有云平台服务、企业应用服务、行业云、云解决方案等共11大类。用友云市场通过融合创新，与生态伙伴共同赋能中国企业。</w:t>
              </w:r>
            </w:p>
            <w:p w:rsidR="004D4B1E" w:rsidRPr="003F00D4" w:rsidRDefault="004D4B1E" w:rsidP="004D4B1E">
              <w:pPr>
                <w:spacing w:line="360" w:lineRule="auto"/>
                <w:jc w:val="both"/>
                <w:rPr>
                  <w:b/>
                </w:rPr>
              </w:pPr>
              <w:r>
                <w:rPr>
                  <w:b/>
                </w:rPr>
                <w:t>2</w:t>
              </w:r>
              <w:r>
                <w:rPr>
                  <w:rFonts w:hint="eastAsia"/>
                  <w:b/>
                </w:rPr>
                <w:t>、</w:t>
              </w:r>
              <w:r w:rsidRPr="003F00D4">
                <w:rPr>
                  <w:rFonts w:hint="eastAsia"/>
                  <w:b/>
                </w:rPr>
                <w:t>软件业务</w:t>
              </w:r>
            </w:p>
            <w:p w:rsidR="004D4B1E" w:rsidRPr="003F00D4" w:rsidRDefault="004D4B1E" w:rsidP="004D4B1E">
              <w:pPr>
                <w:spacing w:line="360" w:lineRule="auto"/>
                <w:jc w:val="both"/>
                <w:rPr>
                  <w:b/>
                </w:rPr>
              </w:pPr>
              <w:r w:rsidRPr="003E4733">
                <w:rPr>
                  <w:noProof/>
                </w:rPr>
                <w:drawing>
                  <wp:inline distT="0" distB="0" distL="0" distR="0" wp14:anchorId="0AD7C5C6" wp14:editId="12CAFA00">
                    <wp:extent cx="5613400" cy="2413000"/>
                    <wp:effectExtent l="0" t="0" r="635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3400" cy="2413000"/>
                            </a:xfrm>
                            <a:prstGeom prst="rect">
                              <a:avLst/>
                            </a:prstGeom>
                            <a:noFill/>
                            <a:ln>
                              <a:noFill/>
                            </a:ln>
                          </pic:spPr>
                        </pic:pic>
                      </a:graphicData>
                    </a:graphic>
                  </wp:inline>
                </w:drawing>
              </w:r>
            </w:p>
            <w:p w:rsidR="004D4B1E" w:rsidRDefault="004D4B1E" w:rsidP="004D4B1E">
              <w:pPr>
                <w:spacing w:line="360" w:lineRule="auto"/>
                <w:jc w:val="both"/>
                <w:rPr>
                  <w:b/>
                </w:rPr>
              </w:pPr>
              <w:r>
                <w:rPr>
                  <w:rFonts w:hint="eastAsia"/>
                  <w:b/>
                </w:rPr>
                <w:t>（1）</w:t>
              </w:r>
              <w:r w:rsidRPr="003F00D4">
                <w:rPr>
                  <w:rFonts w:hint="eastAsia"/>
                  <w:b/>
                </w:rPr>
                <w:t>面向大型企业的解决方案与专业服务业务</w:t>
              </w:r>
            </w:p>
            <w:p w:rsidR="004D4B1E" w:rsidRPr="00727F80" w:rsidRDefault="004D4B1E" w:rsidP="004D4B1E">
              <w:pPr>
                <w:spacing w:line="360" w:lineRule="auto"/>
                <w:ind w:firstLineChars="200" w:firstLine="420"/>
                <w:jc w:val="both"/>
                <w:rPr>
                  <w:b/>
                </w:rPr>
              </w:pPr>
              <w:r w:rsidRPr="003F00D4">
                <w:rPr>
                  <w:rFonts w:hint="eastAsia"/>
                </w:rPr>
                <w:t>公司面向集团等大型企业的解决方案与专业服务业务主要是面向大型企业提供ERP套件、行业解决方案、技术和应用平台和专业服务，产品主要包括NC产品线、U9产品线、PLM产品线。其中NC产品线为业务重点，NC作为大型企业的工作平台、运营平台、管理平台、生意平台，聚焦企业的核心业务，包括：财务与共享服务、人力资源管理、数字营销与O2O、智能制造、商业分析业务等，帮助企业实现管理转型升级。该业务经营模式是为客户提供软件和专业服务，收入来源包括软件许可、产品支持与运维服务、咨询实施服务、客户化开发等。</w:t>
              </w:r>
            </w:p>
            <w:p w:rsidR="004D4B1E" w:rsidRDefault="004D4B1E" w:rsidP="004D4B1E">
              <w:pPr>
                <w:spacing w:line="360" w:lineRule="auto"/>
                <w:jc w:val="both"/>
                <w:rPr>
                  <w:b/>
                </w:rPr>
              </w:pPr>
              <w:r>
                <w:rPr>
                  <w:rFonts w:hint="eastAsia"/>
                  <w:b/>
                </w:rPr>
                <w:t>（2）</w:t>
              </w:r>
              <w:r w:rsidRPr="003F00D4">
                <w:rPr>
                  <w:rFonts w:hint="eastAsia"/>
                  <w:b/>
                </w:rPr>
                <w:t>面向中型企业的软件产品与解决方案业务</w:t>
              </w:r>
            </w:p>
            <w:p w:rsidR="004D4B1E" w:rsidRPr="00727F80" w:rsidRDefault="004D4B1E" w:rsidP="004D4B1E">
              <w:pPr>
                <w:spacing w:line="360" w:lineRule="auto"/>
                <w:ind w:firstLineChars="200" w:firstLine="420"/>
                <w:jc w:val="both"/>
                <w:rPr>
                  <w:b/>
                </w:rPr>
              </w:pPr>
              <w:r w:rsidRPr="003F00D4">
                <w:rPr>
                  <w:rFonts w:hint="eastAsia"/>
                </w:rPr>
                <w:t>公司面向中型企业的产品与解决方案业务主要是面向中型企业提供ERP套件、解决方案，主要产品为U8+产品线，包括智能制造、O2O多渠道营销、业务管控、供应链、财务核算、全面移动应用以及人力资源等领域。该业务经营模式是为客户提供标准产品及解决方案，采用全分销销售模式，收入主要为标准产品许可、产品支持与运维服务收入。</w:t>
              </w:r>
            </w:p>
            <w:p w:rsidR="004D4B1E" w:rsidRDefault="004D4B1E" w:rsidP="004D4B1E">
              <w:pPr>
                <w:spacing w:line="360" w:lineRule="auto"/>
                <w:jc w:val="both"/>
                <w:rPr>
                  <w:b/>
                </w:rPr>
              </w:pPr>
              <w:r>
                <w:rPr>
                  <w:rFonts w:hint="eastAsia"/>
                  <w:b/>
                </w:rPr>
                <w:t>（3）面向小微企业的软件包业务</w:t>
              </w:r>
            </w:p>
            <w:p w:rsidR="004D4B1E" w:rsidRDefault="004D4B1E" w:rsidP="004D4B1E">
              <w:pPr>
                <w:spacing w:line="360" w:lineRule="auto"/>
                <w:ind w:firstLineChars="200" w:firstLine="420"/>
                <w:jc w:val="both"/>
                <w:rPr>
                  <w:b/>
                </w:rPr>
              </w:pPr>
              <w:r w:rsidRPr="003F00D4">
                <w:rPr>
                  <w:rFonts w:hint="eastAsia"/>
                </w:rPr>
                <w:t>公司面向小微企业的软件包业务主要是面向小微企业提供软件包和产品支持服务，该业务主要是由公司控股子公司畅捷通信息技术股份有限公司（下称“畅捷通公司”）提供。畅捷通公司</w:t>
              </w:r>
              <w:r w:rsidRPr="003F00D4">
                <w:rPr>
                  <w:rFonts w:hint="eastAsia"/>
                </w:rPr>
                <w:lastRenderedPageBreak/>
                <w:t>聚焦小微企业财务及管理服务，面向不同成长阶段的小微企业提供专业的会计核算及进销存等管理软件。畅捷通公司采用标准化产品分销销售模式，收入主要为标准产品许可、产品支持与运维服务收入。</w:t>
              </w:r>
            </w:p>
            <w:p w:rsidR="004D4B1E" w:rsidRDefault="004D4B1E" w:rsidP="004D4B1E">
              <w:pPr>
                <w:spacing w:line="360" w:lineRule="auto"/>
                <w:jc w:val="both"/>
                <w:rPr>
                  <w:b/>
                </w:rPr>
              </w:pPr>
              <w:r>
                <w:rPr>
                  <w:rFonts w:hint="eastAsia"/>
                  <w:b/>
                </w:rPr>
                <w:t>（4）</w:t>
              </w:r>
              <w:r w:rsidRPr="003F00D4">
                <w:rPr>
                  <w:rFonts w:hint="eastAsia"/>
                  <w:b/>
                </w:rPr>
                <w:t>面向行业和领域的解决方案与专业服务业务</w:t>
              </w:r>
            </w:p>
            <w:p w:rsidR="004D4B1E" w:rsidRPr="003F00D4" w:rsidRDefault="004D4B1E" w:rsidP="004D4B1E">
              <w:pPr>
                <w:spacing w:line="360" w:lineRule="auto"/>
                <w:ind w:firstLineChars="200" w:firstLine="420"/>
                <w:jc w:val="both"/>
              </w:pPr>
              <w:r w:rsidRPr="003F00D4">
                <w:rPr>
                  <w:rFonts w:hint="eastAsia"/>
                </w:rPr>
                <w:t>公司面向政府客户的业务由北京用友政务软件</w:t>
              </w:r>
              <w:r w:rsidR="0048353D">
                <w:rPr>
                  <w:rFonts w:hint="eastAsia"/>
                </w:rPr>
                <w:t>股份</w:t>
              </w:r>
              <w:r w:rsidRPr="003F00D4">
                <w:rPr>
                  <w:rFonts w:hint="eastAsia"/>
                </w:rPr>
                <w:t>有限公司（下称“用友政务公司”）负责经营。用友政务公司聚焦政府客户，以标准化的产品为交付基础，以定制化的解决方案为价值点，以专业化的服务持续经营，并将经营范围从以财</w:t>
              </w:r>
              <w:r>
                <w:rPr>
                  <w:rFonts w:hint="eastAsia"/>
                </w:rPr>
                <w:t>政</w:t>
              </w:r>
              <w:r w:rsidRPr="003F00D4">
                <w:rPr>
                  <w:rFonts w:hint="eastAsia"/>
                </w:rPr>
                <w:t>为核心，扩充到与财</w:t>
              </w:r>
              <w:r>
                <w:rPr>
                  <w:rFonts w:hint="eastAsia"/>
                </w:rPr>
                <w:t>政</w:t>
              </w:r>
              <w:r w:rsidRPr="003F00D4">
                <w:rPr>
                  <w:rFonts w:hint="eastAsia"/>
                </w:rPr>
                <w:t>有关的相关业务。用友政务公司的主要产品包括财政一体化管理软件、政府财务管理软件、社保基金管理软件、服务产品等。用友政务公司为政府客户提供标准产品和解决方案、专业服务、运营服务等。用友政务公司收入主要包括标准产品许可收入、支持与运维服务收入、咨询实施收入等。</w:t>
              </w:r>
            </w:p>
            <w:p w:rsidR="004D4B1E" w:rsidRPr="003F00D4" w:rsidRDefault="004D4B1E" w:rsidP="004D4B1E">
              <w:pPr>
                <w:spacing w:line="360" w:lineRule="auto"/>
                <w:ind w:firstLineChars="200" w:firstLine="420"/>
                <w:jc w:val="both"/>
              </w:pPr>
              <w:r w:rsidRPr="003F00D4">
                <w:rPr>
                  <w:rFonts w:hint="eastAsia"/>
                </w:rPr>
                <w:t>公司面向汽车行业的业务由用友汽车信息科技（上海）股份有限公司（下称“用友汽车公司”）负责经营。用友汽车公司专注于汽车营销与后市场，为汽车主机厂、工程机械厂家和相关经销商、服务商提供业务流程专业咨询服务和DMS、CRM等核心应用系统全套解决方案。用友汽车公司收入主要是产品许可收入、产品支持与运维服务收入、咨询实施收入等。</w:t>
              </w:r>
            </w:p>
            <w:p w:rsidR="004D4B1E" w:rsidRPr="003F00D4" w:rsidRDefault="004D4B1E" w:rsidP="004D4B1E">
              <w:pPr>
                <w:spacing w:line="360" w:lineRule="auto"/>
                <w:ind w:firstLineChars="200" w:firstLine="420"/>
                <w:jc w:val="both"/>
              </w:pPr>
              <w:r w:rsidRPr="003F00D4">
                <w:rPr>
                  <w:rFonts w:hint="eastAsia"/>
                </w:rPr>
                <w:t>公司面向教育行业的业务由新道科技股份有限公司（下称“新道科技公司”）负责经营。新道科技公司为院校提供商科实践教学解决方案以及创新创业教育解决方案，收入主要包括标准产品许可收入、产品支持与运维服务收入、咨询实施收入以及其他增值服务收入。</w:t>
              </w:r>
            </w:p>
            <w:p w:rsidR="004D4B1E" w:rsidRPr="003F00D4" w:rsidRDefault="004D4B1E" w:rsidP="004D4B1E">
              <w:pPr>
                <w:spacing w:line="360" w:lineRule="auto"/>
                <w:ind w:firstLineChars="200" w:firstLine="420"/>
                <w:jc w:val="both"/>
              </w:pPr>
              <w:r w:rsidRPr="003F00D4">
                <w:rPr>
                  <w:rFonts w:hint="eastAsia"/>
                </w:rPr>
                <w:t>公司面向烟草行业的业务由厦门用友烟草软件有限责任公司（下称“用友烟草公司”）负责经营。用友烟草公司主要聚焦烟草行业，主要产品有烟草行业统一会计核算软件、烟草行业预算管理系统、烟草行业资金管理系统、烟草行业资产管理系统、烟草行业财务管控平台及行业定制化需求开发与服务等，提供的解决方案包括烟草企业ERP解决方案和烟草行业财务管理解决方案、烟草行业财务管控平台解决方案，收入主要包括软件产品许可收入、实施服务收入、产品支持与运维服务收入。</w:t>
              </w:r>
            </w:p>
            <w:p w:rsidR="004D4B1E" w:rsidRPr="003F00D4" w:rsidRDefault="004D4B1E" w:rsidP="004D4B1E">
              <w:pPr>
                <w:spacing w:line="360" w:lineRule="auto"/>
                <w:ind w:firstLineChars="200" w:firstLine="420"/>
                <w:jc w:val="both"/>
              </w:pPr>
              <w:r w:rsidRPr="003F00D4">
                <w:rPr>
                  <w:rFonts w:hint="eastAsia"/>
                </w:rPr>
                <w:t>公司面向金融行业的业务由用友金融信息技术股份有限公司（下称“用友金融公司”）负责经营。用友金融公司以业务咨询与信息技术手段相结合，为金融企业提供咨询、软件、行业解决方案与专业服务。产品涵盖金融企业经营管理、业务交易、营销服务、商业分析等领域。用友金融公司的收费模式以标准软件+项目交付+运维服务为主，还有平台+应用+运营模式。</w:t>
              </w:r>
            </w:p>
            <w:p w:rsidR="004D4B1E" w:rsidRPr="003F00D4" w:rsidRDefault="004D4B1E" w:rsidP="004D4B1E">
              <w:pPr>
                <w:spacing w:line="360" w:lineRule="auto"/>
                <w:ind w:firstLineChars="200" w:firstLine="420"/>
                <w:jc w:val="both"/>
              </w:pPr>
              <w:r w:rsidRPr="003F00D4">
                <w:rPr>
                  <w:rFonts w:hint="eastAsia"/>
                </w:rPr>
                <w:t>公司面向电信运营商和广电行业客户的业务由用友广信网络科技有限公司（下称“用友广信公司”）负责经营。用友广信公司服务电信运营商和广电企业互联网化，真正打通客户上下游垂直一体化生态链。核心业务是“网购式”报账平台、“B2B电子商务”平台、“电子采购”平台、稽核管理系统等。用友广信公司的收入主要包括软件许可、咨询实施和定制开发收入、产品支持与运维服务收入、运营服务收入等。</w:t>
              </w:r>
            </w:p>
            <w:p w:rsidR="004D4B1E" w:rsidRPr="003F00D4" w:rsidRDefault="004D4B1E" w:rsidP="004D4B1E">
              <w:pPr>
                <w:spacing w:line="360" w:lineRule="auto"/>
                <w:jc w:val="both"/>
                <w:rPr>
                  <w:b/>
                </w:rPr>
              </w:pPr>
              <w:r>
                <w:rPr>
                  <w:rFonts w:hint="eastAsia"/>
                  <w:b/>
                </w:rPr>
                <w:t>3、</w:t>
              </w:r>
              <w:r w:rsidRPr="003F00D4">
                <w:rPr>
                  <w:rFonts w:hint="eastAsia"/>
                  <w:b/>
                </w:rPr>
                <w:t>金融服务业务概要</w:t>
              </w:r>
            </w:p>
            <w:p w:rsidR="004D4B1E" w:rsidRDefault="004D4B1E" w:rsidP="004D4B1E">
              <w:pPr>
                <w:spacing w:line="360" w:lineRule="auto"/>
                <w:ind w:firstLine="420"/>
                <w:jc w:val="both"/>
              </w:pPr>
              <w:r w:rsidRPr="003F00D4">
                <w:rPr>
                  <w:rFonts w:hint="eastAsia"/>
                </w:rPr>
                <w:t>金融服务业务主要包括面向企业的支付服务业务和互联网投融资信息服务业务。</w:t>
              </w:r>
            </w:p>
            <w:p w:rsidR="004D4B1E" w:rsidRDefault="004D4B1E" w:rsidP="004D4B1E">
              <w:pPr>
                <w:spacing w:line="360" w:lineRule="auto"/>
                <w:jc w:val="both"/>
              </w:pPr>
              <w:r>
                <w:rPr>
                  <w:rFonts w:hint="eastAsia"/>
                  <w:b/>
                </w:rPr>
                <w:lastRenderedPageBreak/>
                <w:t>（1）</w:t>
              </w:r>
              <w:r w:rsidRPr="003F00D4">
                <w:rPr>
                  <w:rFonts w:hint="eastAsia"/>
                  <w:b/>
                </w:rPr>
                <w:t>企业支付服务业务</w:t>
              </w:r>
            </w:p>
            <w:p w:rsidR="004D4B1E" w:rsidRPr="003F00D4" w:rsidRDefault="004D4B1E" w:rsidP="004D4B1E">
              <w:pPr>
                <w:spacing w:line="360" w:lineRule="auto"/>
                <w:ind w:firstLineChars="200" w:firstLine="420"/>
                <w:jc w:val="both"/>
              </w:pPr>
              <w:r w:rsidRPr="003F00D4">
                <w:rPr>
                  <w:rFonts w:hint="eastAsia"/>
                </w:rPr>
                <w:t>公司控股子公司北京畅捷通支付技术有限公司（下称“畅捷支付公司”）面向企业级市场，致力创新金融服务并将其融入到企业业务场景中， 为企业及公共组织客户提供方便、快捷与低成本的</w:t>
              </w:r>
              <w:r>
                <w:rPr>
                  <w:rFonts w:hint="eastAsia"/>
                </w:rPr>
                <w:t>支付</w:t>
              </w:r>
              <w:r w:rsidRPr="003F00D4">
                <w:rPr>
                  <w:rFonts w:hint="eastAsia"/>
                </w:rPr>
                <w:t>服务。畅捷支付主要</w:t>
              </w:r>
              <w:r w:rsidRPr="00C47EF1">
                <w:rPr>
                  <w:rFonts w:hint="eastAsia"/>
                </w:rPr>
                <w:t>提供包括聚合支付、</w:t>
              </w:r>
              <w:r w:rsidRPr="00C47EF1">
                <w:t>POS收单、网银支付、快捷支付、扫码支付、代收/代付、鉴权等多种服务</w:t>
              </w:r>
              <w:r w:rsidRPr="003F00D4">
                <w:rPr>
                  <w:rFonts w:hint="eastAsia"/>
                </w:rPr>
                <w:t>。</w:t>
              </w:r>
            </w:p>
            <w:p w:rsidR="004D4B1E" w:rsidRDefault="004D4B1E" w:rsidP="004D4B1E">
              <w:pPr>
                <w:spacing w:line="360" w:lineRule="auto"/>
                <w:jc w:val="both"/>
                <w:rPr>
                  <w:b/>
                </w:rPr>
              </w:pPr>
              <w:r>
                <w:rPr>
                  <w:rFonts w:hint="eastAsia"/>
                  <w:b/>
                </w:rPr>
                <w:t>（2）</w:t>
              </w:r>
              <w:r w:rsidRPr="003F00D4">
                <w:rPr>
                  <w:rFonts w:hint="eastAsia"/>
                  <w:b/>
                </w:rPr>
                <w:t>互联网投融资信息服务业务</w:t>
              </w:r>
            </w:p>
            <w:p w:rsidR="004D4B1E" w:rsidRPr="008C6EE8" w:rsidRDefault="004D4B1E" w:rsidP="004D4B1E">
              <w:pPr>
                <w:spacing w:line="360" w:lineRule="auto"/>
                <w:ind w:firstLineChars="200" w:firstLine="420"/>
                <w:jc w:val="both"/>
                <w:rPr>
                  <w:color w:val="FF0000"/>
                </w:rPr>
              </w:pPr>
              <w:r w:rsidRPr="003F00D4">
                <w:rPr>
                  <w:rFonts w:hint="eastAsia"/>
                </w:rPr>
                <w:t>公司控股子公司深圳前海用友力合金融服务有限公司（下称“友金所”）致力于提供专业的全流程金融信息服务，打造安全、便捷、丰富的互联网投融资信息服务平台。借助股东</w:t>
              </w:r>
              <w:r>
                <w:rPr>
                  <w:rFonts w:hint="eastAsia"/>
                </w:rPr>
                <w:t>单位的</w:t>
              </w:r>
              <w:r w:rsidRPr="003F00D4">
                <w:rPr>
                  <w:rFonts w:hint="eastAsia"/>
                </w:rPr>
                <w:t>客户</w:t>
              </w:r>
              <w:r>
                <w:rPr>
                  <w:rFonts w:hint="eastAsia"/>
                </w:rPr>
                <w:t>与</w:t>
              </w:r>
              <w:r w:rsidRPr="003F00D4">
                <w:rPr>
                  <w:rFonts w:hint="eastAsia"/>
                </w:rPr>
                <w:t>渠道</w:t>
              </w:r>
              <w:r>
                <w:rPr>
                  <w:rFonts w:hint="eastAsia"/>
                </w:rPr>
                <w:t>资源</w:t>
              </w:r>
              <w:r w:rsidRPr="003F00D4">
                <w:rPr>
                  <w:rFonts w:hint="eastAsia"/>
                </w:rPr>
                <w:t>、技术支持、管理经验等，依托专业银行专家管理团队，为客户提供安全、便捷、稳健的互联网投融资信息服务。</w:t>
              </w:r>
            </w:p>
            <w:p w:rsidR="004D4B1E" w:rsidRPr="00FF1A07" w:rsidRDefault="004D4B1E" w:rsidP="004D4B1E">
              <w:pPr>
                <w:spacing w:line="360" w:lineRule="auto"/>
                <w:rPr>
                  <w:b/>
                </w:rPr>
              </w:pPr>
              <w:r w:rsidRPr="002642A4">
                <w:rPr>
                  <w:rFonts w:hint="eastAsia"/>
                  <w:b/>
                </w:rPr>
                <w:t>（二）行业情况</w:t>
              </w:r>
            </w:p>
            <w:p w:rsidR="004D4B1E" w:rsidRPr="00E84B51" w:rsidRDefault="004D4B1E" w:rsidP="004D4B1E">
              <w:pPr>
                <w:spacing w:line="360" w:lineRule="auto"/>
                <w:ind w:firstLine="420"/>
                <w:jc w:val="both"/>
                <w:rPr>
                  <w:color w:val="000000"/>
                </w:rPr>
              </w:pPr>
              <w:r w:rsidRPr="00B60537">
                <w:rPr>
                  <w:color w:val="000000"/>
                </w:rPr>
                <w:t>201</w:t>
              </w:r>
              <w:r>
                <w:rPr>
                  <w:color w:val="000000"/>
                </w:rPr>
                <w:t>9</w:t>
              </w:r>
              <w:r w:rsidRPr="00B60537">
                <w:rPr>
                  <w:color w:val="000000"/>
                </w:rPr>
                <w:t>年，</w:t>
              </w:r>
              <w:r w:rsidRPr="00E84B51">
                <w:rPr>
                  <w:rFonts w:hint="eastAsia"/>
                  <w:color w:val="000000"/>
                </w:rPr>
                <w:t>中国经济</w:t>
              </w:r>
              <w:r>
                <w:rPr>
                  <w:rFonts w:hint="eastAsia"/>
                  <w:color w:val="000000"/>
                </w:rPr>
                <w:t>尚处在转型升级的关键阶段</w:t>
              </w:r>
              <w:r w:rsidRPr="00E84B51">
                <w:rPr>
                  <w:rFonts w:hint="eastAsia"/>
                  <w:color w:val="000000"/>
                </w:rPr>
                <w:t>，软件</w:t>
              </w:r>
              <w:r>
                <w:rPr>
                  <w:color w:val="000000"/>
                </w:rPr>
                <w:t>与</w:t>
              </w:r>
              <w:r w:rsidRPr="00E84B51">
                <w:rPr>
                  <w:rFonts w:hint="eastAsia"/>
                  <w:color w:val="000000"/>
                </w:rPr>
                <w:t>信息技术服务业</w:t>
              </w:r>
              <w:r>
                <w:rPr>
                  <w:rFonts w:hint="eastAsia"/>
                  <w:color w:val="000000"/>
                </w:rPr>
                <w:t>作为中国</w:t>
              </w:r>
              <w:r w:rsidRPr="00E84B51">
                <w:rPr>
                  <w:rFonts w:hint="eastAsia"/>
                  <w:color w:val="000000"/>
                </w:rPr>
                <w:t>经济</w:t>
              </w:r>
              <w:r>
                <w:rPr>
                  <w:rFonts w:hint="eastAsia"/>
                  <w:color w:val="000000"/>
                </w:rPr>
                <w:t>转型升级的新动力，已经</w:t>
              </w:r>
              <w:r>
                <w:rPr>
                  <w:color w:val="000000"/>
                </w:rPr>
                <w:t>成</w:t>
              </w:r>
              <w:r w:rsidRPr="00E84B51">
                <w:rPr>
                  <w:rFonts w:hint="eastAsia"/>
                  <w:color w:val="000000"/>
                </w:rPr>
                <w:t>为国家战略性新兴产业的重要组成部分，产业规模稳步增长</w:t>
              </w:r>
              <w:r>
                <w:rPr>
                  <w:rFonts w:hint="eastAsia"/>
                  <w:color w:val="000000"/>
                </w:rPr>
                <w:t>，</w:t>
              </w:r>
              <w:r>
                <w:rPr>
                  <w:color w:val="000000"/>
                </w:rPr>
                <w:t>其中</w:t>
              </w:r>
              <w:r w:rsidRPr="00E84B51">
                <w:rPr>
                  <w:color w:val="000000"/>
                </w:rPr>
                <w:t>云计算</w:t>
              </w:r>
              <w:r w:rsidRPr="00E84B51">
                <w:rPr>
                  <w:rFonts w:hint="eastAsia"/>
                  <w:color w:val="000000"/>
                </w:rPr>
                <w:t>、</w:t>
              </w:r>
              <w:r w:rsidRPr="00E84B51">
                <w:rPr>
                  <w:color w:val="000000"/>
                </w:rPr>
                <w:t>大数据</w:t>
              </w:r>
              <w:r w:rsidRPr="00E84B51">
                <w:rPr>
                  <w:rFonts w:hint="eastAsia"/>
                  <w:color w:val="000000"/>
                </w:rPr>
                <w:t>、</w:t>
              </w:r>
              <w:r w:rsidRPr="00E84B51">
                <w:rPr>
                  <w:color w:val="000000"/>
                </w:rPr>
                <w:t>人工智能等新一代信息技术</w:t>
              </w:r>
              <w:r>
                <w:rPr>
                  <w:color w:val="000000"/>
                </w:rPr>
                <w:t>已经逐步</w:t>
              </w:r>
              <w:r w:rsidRPr="00E84B51">
                <w:rPr>
                  <w:color w:val="000000"/>
                </w:rPr>
                <w:t>渗透到经济和社会生活的各个</w:t>
              </w:r>
              <w:r>
                <w:rPr>
                  <w:color w:val="000000"/>
                </w:rPr>
                <w:t>行业和</w:t>
              </w:r>
              <w:r w:rsidRPr="00E84B51">
                <w:rPr>
                  <w:color w:val="000000"/>
                </w:rPr>
                <w:t>领域</w:t>
              </w:r>
              <w:r w:rsidRPr="00E84B51">
                <w:rPr>
                  <w:rFonts w:hint="eastAsia"/>
                  <w:color w:val="000000"/>
                </w:rPr>
                <w:t>，</w:t>
              </w:r>
              <w:r>
                <w:rPr>
                  <w:rFonts w:hint="eastAsia"/>
                  <w:color w:val="000000"/>
                </w:rPr>
                <w:t>并呈现加速的趋势，行业加速</w:t>
              </w:r>
              <w:r w:rsidRPr="001A6AEA">
                <w:rPr>
                  <w:rFonts w:hint="eastAsia"/>
                  <w:color w:val="000000"/>
                </w:rPr>
                <w:t>发展</w:t>
              </w:r>
              <w:r>
                <w:rPr>
                  <w:rFonts w:hint="eastAsia"/>
                  <w:color w:val="000000"/>
                </w:rPr>
                <w:t>的时</w:t>
              </w:r>
              <w:r w:rsidRPr="001A6AEA">
                <w:rPr>
                  <w:rFonts w:hint="eastAsia"/>
                  <w:color w:val="000000"/>
                </w:rPr>
                <w:t>期已经到来。</w:t>
              </w:r>
            </w:p>
            <w:p w:rsidR="00883153" w:rsidRPr="00E04FAA" w:rsidRDefault="004D4B1E" w:rsidP="004D4B1E">
              <w:pPr>
                <w:spacing w:line="360" w:lineRule="auto"/>
                <w:ind w:firstLine="420"/>
                <w:jc w:val="both"/>
              </w:pPr>
              <w:r w:rsidRPr="001A6AEA">
                <w:rPr>
                  <w:rFonts w:hint="eastAsia"/>
                  <w:color w:val="000000"/>
                </w:rPr>
                <w:t>伴随企业日益强烈</w:t>
              </w:r>
              <w:r>
                <w:rPr>
                  <w:rFonts w:hint="eastAsia"/>
                  <w:color w:val="000000"/>
                </w:rPr>
                <w:t>的</w:t>
              </w:r>
              <w:r w:rsidRPr="001A6AEA">
                <w:rPr>
                  <w:rFonts w:hint="eastAsia"/>
                  <w:color w:val="000000"/>
                </w:rPr>
                <w:t>转型升级需求，越来越多的企</w:t>
              </w:r>
              <w:r>
                <w:rPr>
                  <w:rFonts w:hint="eastAsia"/>
                  <w:color w:val="000000"/>
                </w:rPr>
                <w:t>业</w:t>
              </w:r>
              <w:r w:rsidRPr="001A6AEA">
                <w:rPr>
                  <w:rFonts w:hint="eastAsia"/>
                  <w:color w:val="000000"/>
                </w:rPr>
                <w:t>希望借助云原生等新一代信息技术实现数字化转型。行业面临数字化、</w:t>
              </w:r>
              <w:r w:rsidR="006575B6">
                <w:rPr>
                  <w:rFonts w:hint="eastAsia"/>
                  <w:color w:val="000000"/>
                </w:rPr>
                <w:t>国产化</w:t>
              </w:r>
              <w:r w:rsidRPr="001A6AEA">
                <w:rPr>
                  <w:rFonts w:hint="eastAsia"/>
                  <w:color w:val="000000"/>
                </w:rPr>
                <w:t>的历史发展机遇，</w:t>
              </w:r>
              <w:r w:rsidRPr="00E84B51">
                <w:rPr>
                  <w:color w:val="000000"/>
                </w:rPr>
                <w:t>企业的信息化趋势稳健增长</w:t>
              </w:r>
              <w:r w:rsidRPr="00E84B51">
                <w:rPr>
                  <w:rFonts w:hint="eastAsia"/>
                  <w:color w:val="000000"/>
                </w:rPr>
                <w:t>，</w:t>
              </w:r>
              <w:r>
                <w:rPr>
                  <w:rFonts w:hint="eastAsia"/>
                  <w:color w:val="000000"/>
                </w:rPr>
                <w:t>数字化需求加速增长</w:t>
              </w:r>
              <w:r w:rsidRPr="00E84B51">
                <w:rPr>
                  <w:rFonts w:hint="eastAsia"/>
                  <w:color w:val="000000"/>
                </w:rPr>
                <w:t>，软件</w:t>
              </w:r>
              <w:r>
                <w:rPr>
                  <w:color w:val="000000"/>
                </w:rPr>
                <w:t>与</w:t>
              </w:r>
              <w:r w:rsidRPr="00E84B51">
                <w:rPr>
                  <w:rFonts w:hint="eastAsia"/>
                  <w:color w:val="000000"/>
                </w:rPr>
                <w:t>信息技术服务行业呈现加速创新、加快迭代、群体突破的新格局和</w:t>
              </w:r>
              <w:r w:rsidRPr="00E84B51">
                <w:rPr>
                  <w:color w:val="000000"/>
                </w:rPr>
                <w:t>数据驱动、平台支撑、服务增值、智能主导的重要特征。</w:t>
              </w:r>
            </w:p>
          </w:sdtContent>
        </w:sdt>
      </w:sdtContent>
    </w:sdt>
    <w:bookmarkEnd w:id="18"/>
    <w:p w:rsidR="00883153" w:rsidRPr="00E04FAA" w:rsidRDefault="00883153"/>
    <w:p w:rsidR="00883153" w:rsidRPr="00E04FAA" w:rsidRDefault="00200151" w:rsidP="00FC3870">
      <w:pPr>
        <w:pStyle w:val="2"/>
        <w:numPr>
          <w:ilvl w:val="0"/>
          <w:numId w:val="28"/>
        </w:numPr>
        <w:tabs>
          <w:tab w:val="left" w:pos="426"/>
        </w:tabs>
        <w:jc w:val="left"/>
      </w:pPr>
      <w:r w:rsidRPr="00E04FAA">
        <w:rPr>
          <w:rFonts w:hint="eastAsia"/>
        </w:rPr>
        <w:t>报告期内公司主要资产发生重大变化情况的说明</w:t>
      </w:r>
    </w:p>
    <w:sdt>
      <w:sdtPr>
        <w:alias w:val="是否适用：报告期内公司主要资产发生重大变化情况的说明[双击切换]"/>
        <w:tag w:val="_GBC_0083322c81164d0d8e608f3b6a898fca"/>
        <w:id w:val="1734887532"/>
        <w:lock w:val="sdtContentLocked"/>
        <w:placeholder>
          <w:docPart w:val="GBC22222222222222222222222222222"/>
        </w:placeholder>
      </w:sdtPr>
      <w:sdtContent>
        <w:p w:rsidR="00984305" w:rsidRPr="00E04FAA" w:rsidRDefault="00200151" w:rsidP="00984305">
          <w:r w:rsidRPr="00E04FAA">
            <w:fldChar w:fldCharType="begin"/>
          </w:r>
          <w:r w:rsidR="00984305" w:rsidRPr="00E04FAA">
            <w:instrText xml:space="preserve"> MACROBUTTON  SnrToggleCheckbox □适用 </w:instrText>
          </w:r>
          <w:r w:rsidRPr="00E04FAA">
            <w:fldChar w:fldCharType="end"/>
          </w:r>
          <w:r w:rsidRPr="00E04FAA">
            <w:fldChar w:fldCharType="begin"/>
          </w:r>
          <w:r w:rsidR="00984305" w:rsidRPr="00E04FAA">
            <w:instrText xml:space="preserve"> MACROBUTTON  SnrToggleCheckbox √不适用 </w:instrText>
          </w:r>
          <w:r w:rsidRPr="00E04FAA">
            <w:fldChar w:fldCharType="end"/>
          </w:r>
        </w:p>
      </w:sdtContent>
    </w:sdt>
    <w:p w:rsidR="00536F53" w:rsidRPr="00E04FAA" w:rsidRDefault="00536F53" w:rsidP="00984305"/>
    <w:sdt>
      <w:sdtPr>
        <w:rPr>
          <w:rFonts w:ascii="宋体" w:hAnsi="宋体" w:cs="宋体" w:hint="eastAsia"/>
          <w:b w:val="0"/>
          <w:bCs w:val="0"/>
          <w:color w:val="000000"/>
          <w:kern w:val="0"/>
          <w:sz w:val="24"/>
          <w:szCs w:val="24"/>
        </w:rPr>
        <w:alias w:val="模块:报告期内核心竞争力分析"/>
        <w:tag w:val="_SEC_95fcc6373f8d4d92bdccbe04323713c4"/>
        <w:id w:val="-1660303732"/>
        <w:lock w:val="sdtLocked"/>
        <w:placeholder>
          <w:docPart w:val="GBC22222222222222222222222222222"/>
        </w:placeholder>
      </w:sdtPr>
      <w:sdtEndPr>
        <w:rPr>
          <w:rFonts w:hAnsi="Calibri"/>
        </w:rPr>
      </w:sdtEndPr>
      <w:sdtContent>
        <w:p w:rsidR="00883153" w:rsidRPr="00E04FAA" w:rsidRDefault="00200151" w:rsidP="00FC3870">
          <w:pPr>
            <w:pStyle w:val="2"/>
            <w:numPr>
              <w:ilvl w:val="0"/>
              <w:numId w:val="28"/>
            </w:numPr>
            <w:tabs>
              <w:tab w:val="left" w:pos="426"/>
            </w:tabs>
            <w:jc w:val="left"/>
          </w:pPr>
          <w:r w:rsidRPr="00E04FAA">
            <w:rPr>
              <w:rFonts w:hint="eastAsia"/>
            </w:rPr>
            <w:t>报告期内核心竞争力分析</w:t>
          </w:r>
        </w:p>
        <w:sdt>
          <w:sdtPr>
            <w:alias w:val="是否适用：报告期内核心竞争力分析[双击切换]"/>
            <w:tag w:val="_GBC_f5e4beedb06c4dedb1da9c7f429d840e"/>
            <w:id w:val="-1216272657"/>
            <w:lock w:val="sdtContentLocked"/>
            <w:placeholder>
              <w:docPart w:val="GBC22222222222222222222222222222"/>
            </w:placeholder>
          </w:sdtPr>
          <w:sdtContent>
            <w:p w:rsidR="00883153" w:rsidRPr="00E04FAA" w:rsidRDefault="00200151">
              <w:r w:rsidRPr="00E04FAA">
                <w:fldChar w:fldCharType="begin"/>
              </w:r>
              <w:r w:rsidR="00984305" w:rsidRPr="00E04FAA">
                <w:instrText xml:space="preserve"> MACROBUTTON  SnrToggleCheckbox √适用 </w:instrText>
              </w:r>
              <w:r w:rsidRPr="00E04FAA">
                <w:fldChar w:fldCharType="end"/>
              </w:r>
              <w:r w:rsidRPr="00E04FAA">
                <w:fldChar w:fldCharType="begin"/>
              </w:r>
              <w:r w:rsidR="00984305" w:rsidRPr="00E04FAA">
                <w:instrText xml:space="preserve"> MACROBUTTON  SnrToggleCheckbox □不适用 </w:instrText>
              </w:r>
              <w:r w:rsidRPr="00E04FAA">
                <w:fldChar w:fldCharType="end"/>
              </w:r>
            </w:p>
          </w:sdtContent>
        </w:sdt>
        <w:sdt>
          <w:sdtPr>
            <w:rPr>
              <w:rFonts w:hAnsi="Calibri" w:hint="eastAsia"/>
              <w:color w:val="000000"/>
              <w:sz w:val="24"/>
            </w:rPr>
            <w:alias w:val="报告期内核心竞争力分析"/>
            <w:tag w:val="_GBC_2aded0644185447a9ec788ba0b35ac4f"/>
            <w:id w:val="20108"/>
            <w:lock w:val="sdtLocked"/>
            <w:placeholder>
              <w:docPart w:val="GBC22222222222222222222222222222"/>
            </w:placeholder>
          </w:sdtPr>
          <w:sdtContent>
            <w:p w:rsidR="00894C86" w:rsidRPr="00E04FAA" w:rsidRDefault="00894C86" w:rsidP="00894C86">
              <w:pPr>
                <w:ind w:firstLineChars="200" w:firstLine="480"/>
                <w:rPr>
                  <w:szCs w:val="21"/>
                </w:rPr>
              </w:pPr>
              <w:r w:rsidRPr="00E04FAA">
                <w:rPr>
                  <w:rFonts w:hint="eastAsia"/>
                  <w:szCs w:val="21"/>
                </w:rPr>
                <w:t>报告期内，公司核心竞争力主要体现在下述几个方面：</w:t>
              </w:r>
            </w:p>
            <w:p w:rsidR="00894C86" w:rsidRPr="00E04FAA" w:rsidRDefault="00894C86" w:rsidP="00894C86">
              <w:pPr>
                <w:spacing w:line="360" w:lineRule="auto"/>
                <w:rPr>
                  <w:b/>
                  <w:szCs w:val="21"/>
                </w:rPr>
              </w:pPr>
              <w:r w:rsidRPr="00E04FAA">
                <w:rPr>
                  <w:rFonts w:hint="eastAsia"/>
                  <w:b/>
                  <w:szCs w:val="21"/>
                </w:rPr>
                <w:t>（一） 产品优势</w:t>
              </w:r>
            </w:p>
            <w:p w:rsidR="0095009E" w:rsidRPr="00567368" w:rsidRDefault="00894C86" w:rsidP="0095009E">
              <w:pPr>
                <w:pStyle w:val="Default"/>
                <w:spacing w:line="360" w:lineRule="auto"/>
                <w:jc w:val="both"/>
                <w:rPr>
                  <w:color w:val="000000" w:themeColor="text1"/>
                  <w:sz w:val="21"/>
                  <w:szCs w:val="21"/>
                </w:rPr>
              </w:pPr>
              <w:r w:rsidRPr="00E04FAA">
                <w:rPr>
                  <w:rFonts w:hint="eastAsia"/>
                  <w:szCs w:val="21"/>
                </w:rPr>
                <w:t xml:space="preserve">   </w:t>
              </w:r>
              <w:r w:rsidR="0095009E" w:rsidRPr="00567368">
                <w:rPr>
                  <w:rFonts w:hint="eastAsia"/>
                  <w:color w:val="000000" w:themeColor="text1"/>
                  <w:sz w:val="21"/>
                  <w:szCs w:val="21"/>
                </w:rPr>
                <w:t>公司基于移动互联网、云计算、大数据、人工智能、物联网、区块链等新一代企业计算技术和客户导向、员工能动、全球资源、数据驱动、智能运营、实时企业等互联网时代商业范式，形成了以</w:t>
              </w:r>
              <w:r w:rsidR="0095009E" w:rsidRPr="00567368">
                <w:rPr>
                  <w:color w:val="000000" w:themeColor="text1"/>
                  <w:sz w:val="21"/>
                  <w:szCs w:val="21"/>
                </w:rPr>
                <w:t>“</w:t>
              </w:r>
              <w:r w:rsidR="0095009E" w:rsidRPr="00567368">
                <w:rPr>
                  <w:rFonts w:hint="eastAsia"/>
                  <w:color w:val="000000" w:themeColor="text1"/>
                  <w:sz w:val="21"/>
                  <w:szCs w:val="21"/>
                </w:rPr>
                <w:t>云服务、软件、金融</w:t>
              </w:r>
              <w:r w:rsidR="0095009E" w:rsidRPr="00567368">
                <w:rPr>
                  <w:color w:val="000000" w:themeColor="text1"/>
                  <w:sz w:val="21"/>
                  <w:szCs w:val="21"/>
                </w:rPr>
                <w:t>”</w:t>
              </w:r>
              <w:r w:rsidR="0095009E" w:rsidRPr="00567368">
                <w:rPr>
                  <w:rFonts w:hint="eastAsia"/>
                  <w:color w:val="000000" w:themeColor="text1"/>
                  <w:sz w:val="21"/>
                  <w:szCs w:val="21"/>
                </w:rPr>
                <w:t xml:space="preserve">为三大核心业务的新一代企业服务，业务领域从之前的企业管理扩展到业务运营和企业金融，服务层级从企业级走向社会级，形成了以客户为中心的综合型、融合化、生态式的企业数字化平台和企业服务产业的共享平台与生态，公司已经全面进入3.0发展时期。 </w:t>
              </w:r>
            </w:p>
            <w:p w:rsidR="0095009E" w:rsidRPr="00567368" w:rsidRDefault="0095009E" w:rsidP="0095009E">
              <w:pPr>
                <w:pStyle w:val="Default"/>
                <w:spacing w:line="360" w:lineRule="auto"/>
                <w:ind w:firstLine="420"/>
                <w:jc w:val="both"/>
                <w:rPr>
                  <w:color w:val="000000" w:themeColor="text1"/>
                  <w:sz w:val="21"/>
                  <w:szCs w:val="21"/>
                </w:rPr>
              </w:pPr>
              <w:r w:rsidRPr="00567368">
                <w:rPr>
                  <w:rFonts w:hint="eastAsia"/>
                  <w:color w:val="000000" w:themeColor="text1"/>
                  <w:sz w:val="21"/>
                  <w:szCs w:val="21"/>
                </w:rPr>
                <w:t>用友</w:t>
              </w:r>
              <w:r>
                <w:rPr>
                  <w:rFonts w:hint="eastAsia"/>
                  <w:color w:val="000000" w:themeColor="text1"/>
                  <w:sz w:val="21"/>
                  <w:szCs w:val="21"/>
                </w:rPr>
                <w:t>企业</w:t>
              </w:r>
              <w:r w:rsidRPr="00567368">
                <w:rPr>
                  <w:rFonts w:hint="eastAsia"/>
                  <w:color w:val="000000" w:themeColor="text1"/>
                  <w:sz w:val="21"/>
                  <w:szCs w:val="21"/>
                </w:rPr>
                <w:t>云</w:t>
              </w:r>
              <w:r>
                <w:rPr>
                  <w:rFonts w:hint="eastAsia"/>
                  <w:color w:val="000000" w:themeColor="text1"/>
                  <w:sz w:val="21"/>
                  <w:szCs w:val="21"/>
                </w:rPr>
                <w:t>服务</w:t>
              </w:r>
              <w:r w:rsidRPr="00567368">
                <w:rPr>
                  <w:rFonts w:hint="eastAsia"/>
                  <w:color w:val="000000" w:themeColor="text1"/>
                  <w:sz w:val="21"/>
                  <w:szCs w:val="21"/>
                </w:rPr>
                <w:t>以“数字企业、智能服务”为核心理念，包含PaaS、SaaS、</w:t>
              </w:r>
              <w:r w:rsidRPr="00567368">
                <w:rPr>
                  <w:color w:val="000000" w:themeColor="text1"/>
                  <w:sz w:val="21"/>
                  <w:szCs w:val="21"/>
                </w:rPr>
                <w:t>BaaS</w:t>
              </w:r>
              <w:r w:rsidRPr="00567368">
                <w:rPr>
                  <w:rFonts w:hint="eastAsia"/>
                  <w:color w:val="000000" w:themeColor="text1"/>
                  <w:sz w:val="21"/>
                  <w:szCs w:val="21"/>
                </w:rPr>
                <w:t>、</w:t>
              </w:r>
              <w:proofErr w:type="spellStart"/>
              <w:r w:rsidRPr="00567368">
                <w:rPr>
                  <w:rFonts w:hint="eastAsia"/>
                  <w:color w:val="000000" w:themeColor="text1"/>
                  <w:sz w:val="21"/>
                  <w:szCs w:val="21"/>
                </w:rPr>
                <w:t>DaaS</w:t>
              </w:r>
              <w:proofErr w:type="spellEnd"/>
              <w:r w:rsidRPr="00567368">
                <w:rPr>
                  <w:rFonts w:hint="eastAsia"/>
                  <w:color w:val="000000" w:themeColor="text1"/>
                  <w:sz w:val="21"/>
                  <w:szCs w:val="21"/>
                </w:rPr>
                <w:t>等多类云服务业务，平台包括技术中台、业务中台和数据中台，领域包括数字营销、数字采购、智能制造、智能财务</w:t>
              </w:r>
              <w:r>
                <w:rPr>
                  <w:rFonts w:hint="eastAsia"/>
                  <w:color w:val="000000" w:themeColor="text1"/>
                  <w:sz w:val="21"/>
                  <w:szCs w:val="21"/>
                </w:rPr>
                <w:t>、</w:t>
              </w:r>
              <w:r w:rsidRPr="00567368">
                <w:rPr>
                  <w:rFonts w:hint="eastAsia"/>
                  <w:color w:val="000000" w:themeColor="text1"/>
                  <w:sz w:val="21"/>
                  <w:szCs w:val="21"/>
                </w:rPr>
                <w:t>人力资源和协同办公、等领域云服务，提供面向数字化商业的社会级企业服务，为企业业务创新、管理变革、金融嵌入提供生态化服务平台。用友云荣获2018年中国国际软件博</w:t>
              </w:r>
              <w:r w:rsidRPr="00567368">
                <w:rPr>
                  <w:rFonts w:hint="eastAsia"/>
                  <w:color w:val="000000" w:themeColor="text1"/>
                  <w:sz w:val="21"/>
                  <w:szCs w:val="21"/>
                </w:rPr>
                <w:lastRenderedPageBreak/>
                <w:t>览会金奖，用友的产品技术达到中国领先水平，用友云</w:t>
              </w:r>
              <w:r>
                <w:rPr>
                  <w:rFonts w:hint="eastAsia"/>
                  <w:color w:val="000000" w:themeColor="text1"/>
                  <w:sz w:val="21"/>
                  <w:szCs w:val="21"/>
                </w:rPr>
                <w:t>服务</w:t>
              </w:r>
              <w:r w:rsidRPr="00567368">
                <w:rPr>
                  <w:rFonts w:hint="eastAsia"/>
                  <w:color w:val="000000" w:themeColor="text1"/>
                  <w:sz w:val="21"/>
                  <w:szCs w:val="21"/>
                </w:rPr>
                <w:t xml:space="preserve">作为社会化商业应用基础设施和企业服务产业的共享平台，也获得业界充分认可。 </w:t>
              </w:r>
            </w:p>
            <w:p w:rsidR="0095009E" w:rsidRPr="00567368" w:rsidRDefault="0095009E" w:rsidP="0095009E">
              <w:pPr>
                <w:pStyle w:val="Default"/>
                <w:spacing w:line="360" w:lineRule="auto"/>
                <w:ind w:firstLine="420"/>
                <w:jc w:val="both"/>
                <w:rPr>
                  <w:color w:val="000000" w:themeColor="text1"/>
                  <w:sz w:val="21"/>
                  <w:szCs w:val="21"/>
                </w:rPr>
              </w:pPr>
              <w:r w:rsidRPr="00567368">
                <w:rPr>
                  <w:rFonts w:hint="eastAsia"/>
                  <w:color w:val="000000" w:themeColor="text1"/>
                  <w:sz w:val="21"/>
                  <w:szCs w:val="21"/>
                </w:rPr>
                <w:t>公司持续专注在企业和公共组织信息化领域的创新和发展，在客户与伙伴基础、专业团队和领域经验等方面有着深厚的积淀。基于更加理解中国企业的优势，公司通过技术换代、产品创新和模式转型已经构建了全新的企业服务产品体系。公司积极推进公司内部云服务平台和各产品之间、云服务与软件及金融服务之间的融合，以及公共服务平台的共享</w:t>
              </w:r>
              <w:r w:rsidRPr="00567368">
                <w:rPr>
                  <w:color w:val="000000" w:themeColor="text1"/>
                  <w:sz w:val="21"/>
                  <w:szCs w:val="21"/>
                </w:rPr>
                <w:t>,</w:t>
              </w:r>
              <w:r w:rsidRPr="00567368">
                <w:rPr>
                  <w:rFonts w:hint="eastAsia"/>
                  <w:color w:val="000000" w:themeColor="text1"/>
                  <w:sz w:val="21"/>
                  <w:szCs w:val="21"/>
                </w:rPr>
                <w:t xml:space="preserve"> 赋能整个生态，致力于成为全球领先的企业与公共组织云服务、软件、金融服务提供商。 </w:t>
              </w:r>
            </w:p>
            <w:p w:rsidR="0095009E" w:rsidRDefault="0095009E" w:rsidP="0095009E">
              <w:pPr>
                <w:pStyle w:val="Default"/>
                <w:spacing w:line="360" w:lineRule="auto"/>
                <w:ind w:firstLineChars="200" w:firstLine="420"/>
                <w:jc w:val="both"/>
                <w:rPr>
                  <w:color w:val="000000" w:themeColor="text1"/>
                </w:rPr>
              </w:pPr>
              <w:r w:rsidRPr="00567368">
                <w:rPr>
                  <w:rFonts w:hint="eastAsia"/>
                  <w:color w:val="000000" w:themeColor="text1"/>
                  <w:sz w:val="21"/>
                  <w:szCs w:val="21"/>
                </w:rPr>
                <w:t>另外，公司在财政、汽车、金融、</w:t>
              </w:r>
              <w:r>
                <w:rPr>
                  <w:rFonts w:hint="eastAsia"/>
                  <w:color w:val="000000" w:themeColor="text1"/>
                  <w:sz w:val="21"/>
                  <w:szCs w:val="21"/>
                </w:rPr>
                <w:t>电信与广电</w:t>
              </w:r>
              <w:r w:rsidRPr="00567368">
                <w:rPr>
                  <w:rFonts w:hint="eastAsia"/>
                  <w:color w:val="000000" w:themeColor="text1"/>
                  <w:sz w:val="21"/>
                  <w:szCs w:val="21"/>
                </w:rPr>
                <w:t>、烟草、教育、</w:t>
              </w:r>
              <w:r>
                <w:rPr>
                  <w:rFonts w:hint="eastAsia"/>
                  <w:color w:val="000000" w:themeColor="text1"/>
                  <w:sz w:val="21"/>
                  <w:szCs w:val="21"/>
                </w:rPr>
                <w:t>建筑、</w:t>
              </w:r>
              <w:r w:rsidRPr="00567368">
                <w:rPr>
                  <w:rFonts w:hint="eastAsia"/>
                  <w:color w:val="000000" w:themeColor="text1"/>
                  <w:sz w:val="21"/>
                  <w:szCs w:val="21"/>
                </w:rPr>
                <w:t>餐饮等行业的云服务、产品与解决方案居国内领先水平。</w:t>
              </w:r>
              <w:r w:rsidRPr="00567368">
                <w:rPr>
                  <w:rFonts w:hint="eastAsia"/>
                  <w:color w:val="000000" w:themeColor="text1"/>
                </w:rPr>
                <w:t xml:space="preserve"> </w:t>
              </w:r>
            </w:p>
            <w:p w:rsidR="0095009E" w:rsidRPr="00DD1A35" w:rsidRDefault="0095009E" w:rsidP="0095009E">
              <w:pPr>
                <w:pStyle w:val="Default"/>
                <w:spacing w:line="360" w:lineRule="auto"/>
                <w:jc w:val="both"/>
                <w:rPr>
                  <w:b/>
                  <w:sz w:val="21"/>
                  <w:szCs w:val="21"/>
                </w:rPr>
              </w:pPr>
              <w:r w:rsidRPr="00DD1A35">
                <w:rPr>
                  <w:rFonts w:hint="eastAsia"/>
                  <w:b/>
                  <w:sz w:val="21"/>
                  <w:szCs w:val="21"/>
                </w:rPr>
                <w:t xml:space="preserve">（二） 研发优势 </w:t>
              </w:r>
            </w:p>
            <w:p w:rsidR="0095009E" w:rsidRPr="008F1CCF" w:rsidRDefault="0095009E" w:rsidP="0095009E">
              <w:pPr>
                <w:pStyle w:val="Default"/>
                <w:spacing w:line="360" w:lineRule="auto"/>
                <w:ind w:firstLineChars="200" w:firstLine="420"/>
                <w:jc w:val="both"/>
                <w:rPr>
                  <w:color w:val="000000" w:themeColor="text1"/>
                  <w:sz w:val="21"/>
                  <w:szCs w:val="21"/>
                </w:rPr>
              </w:pPr>
              <w:r w:rsidRPr="008F1CCF">
                <w:rPr>
                  <w:rFonts w:hint="eastAsia"/>
                  <w:color w:val="000000" w:themeColor="text1"/>
                  <w:sz w:val="21"/>
                  <w:szCs w:val="21"/>
                </w:rPr>
                <w:t>公司在中国多</w:t>
              </w:r>
              <w:r>
                <w:rPr>
                  <w:rFonts w:hint="eastAsia"/>
                  <w:color w:val="000000" w:themeColor="text1"/>
                  <w:sz w:val="21"/>
                  <w:szCs w:val="21"/>
                </w:rPr>
                <w:t>地</w:t>
              </w:r>
              <w:r w:rsidRPr="008F1CCF">
                <w:rPr>
                  <w:rFonts w:hint="eastAsia"/>
                  <w:color w:val="000000" w:themeColor="text1"/>
                  <w:sz w:val="21"/>
                  <w:szCs w:val="21"/>
                </w:rPr>
                <w:t>设有研发机构，由总部研发中心（用友北京产业园）、南京制造业研发</w:t>
              </w:r>
              <w:r>
                <w:rPr>
                  <w:rFonts w:hint="eastAsia"/>
                  <w:color w:val="000000" w:themeColor="text1"/>
                  <w:sz w:val="21"/>
                  <w:szCs w:val="21"/>
                </w:rPr>
                <w:t>中心</w:t>
              </w:r>
              <w:r w:rsidRPr="008F1CCF">
                <w:rPr>
                  <w:rFonts w:hint="eastAsia"/>
                  <w:color w:val="000000" w:themeColor="text1"/>
                  <w:sz w:val="21"/>
                  <w:szCs w:val="21"/>
                </w:rPr>
                <w:t>、重庆</w:t>
              </w:r>
              <w:r w:rsidRPr="008F1CCF">
                <w:rPr>
                  <w:color w:val="000000" w:themeColor="text1"/>
                  <w:sz w:val="21"/>
                  <w:szCs w:val="21"/>
                </w:rPr>
                <w:t>PLM研发中心、上海汽车行业应用研发中心、</w:t>
              </w:r>
              <w:r>
                <w:rPr>
                  <w:rFonts w:hint="eastAsia"/>
                  <w:color w:val="000000" w:themeColor="text1"/>
                  <w:sz w:val="21"/>
                  <w:szCs w:val="21"/>
                </w:rPr>
                <w:t>厦门烟草行业研发中心、</w:t>
              </w:r>
              <w:r w:rsidRPr="008F1CCF">
                <w:rPr>
                  <w:color w:val="000000" w:themeColor="text1"/>
                  <w:sz w:val="21"/>
                  <w:szCs w:val="21"/>
                </w:rPr>
                <w:t>深圳电子行业应用开发中心</w:t>
              </w:r>
              <w:r w:rsidRPr="008F1CCF">
                <w:rPr>
                  <w:rFonts w:hint="eastAsia"/>
                  <w:color w:val="000000" w:themeColor="text1"/>
                  <w:sz w:val="21"/>
                  <w:szCs w:val="21"/>
                </w:rPr>
                <w:t>、全球技术服务中心（用友南昌产业园）</w:t>
              </w:r>
              <w:r w:rsidRPr="008F1CCF">
                <w:rPr>
                  <w:color w:val="000000" w:themeColor="text1"/>
                  <w:sz w:val="21"/>
                  <w:szCs w:val="21"/>
                </w:rPr>
                <w:t>等在内的中国最大的企业管理软件、云服务与金融服务研发体系</w:t>
              </w:r>
              <w:r w:rsidRPr="008F1CCF">
                <w:rPr>
                  <w:rFonts w:hint="eastAsia"/>
                  <w:color w:val="000000" w:themeColor="text1"/>
                  <w:sz w:val="21"/>
                  <w:szCs w:val="21"/>
                </w:rPr>
                <w:t>。公司拥有业界领先的研发人员组织和研发管理平台。公司的研发与支持服务团队是一支基础扎实、实践经验丰富、专业合理的人才队伍，专业化的员工队伍是业务顺利开展的重要保证。</w:t>
              </w:r>
            </w:p>
            <w:p w:rsidR="0095009E" w:rsidRPr="00DD1A35" w:rsidRDefault="0095009E" w:rsidP="0095009E">
              <w:pPr>
                <w:pStyle w:val="Default"/>
                <w:spacing w:line="360" w:lineRule="auto"/>
                <w:jc w:val="both"/>
                <w:rPr>
                  <w:b/>
                  <w:sz w:val="21"/>
                  <w:szCs w:val="21"/>
                </w:rPr>
              </w:pPr>
              <w:r w:rsidRPr="002642A4">
                <w:rPr>
                  <w:rFonts w:hint="eastAsia"/>
                  <w:b/>
                  <w:sz w:val="21"/>
                  <w:szCs w:val="21"/>
                </w:rPr>
                <w:t>（三） 品牌及市场优势</w:t>
              </w:r>
            </w:p>
            <w:p w:rsidR="0095009E" w:rsidRPr="00DD1A35" w:rsidRDefault="0095009E" w:rsidP="0095009E">
              <w:pPr>
                <w:pStyle w:val="Default"/>
                <w:spacing w:line="360" w:lineRule="auto"/>
                <w:ind w:firstLineChars="200" w:firstLine="420"/>
                <w:jc w:val="both"/>
                <w:rPr>
                  <w:sz w:val="21"/>
                  <w:szCs w:val="21"/>
                </w:rPr>
              </w:pPr>
              <w:r w:rsidRPr="00DD1A35">
                <w:rPr>
                  <w:rFonts w:hint="eastAsia"/>
                  <w:sz w:val="21"/>
                  <w:szCs w:val="21"/>
                </w:rPr>
                <w:t>公司专注企业服务30年，在企业服务领域拥有深厚的积淀，是全球领先的企业云服务提供商，在营销、采购、制造、财务、人力资源、社交与协同办公、企业金融等企业云服务领域快速发展。现在，公司形成了以用友</w:t>
              </w:r>
              <w:r>
                <w:rPr>
                  <w:rFonts w:hint="eastAsia"/>
                  <w:sz w:val="21"/>
                  <w:szCs w:val="21"/>
                </w:rPr>
                <w:t>企业</w:t>
              </w:r>
              <w:r w:rsidRPr="00DD1A35">
                <w:rPr>
                  <w:rFonts w:hint="eastAsia"/>
                  <w:sz w:val="21"/>
                  <w:szCs w:val="21"/>
                </w:rPr>
                <w:t>云</w:t>
              </w:r>
              <w:r>
                <w:rPr>
                  <w:rFonts w:hint="eastAsia"/>
                  <w:sz w:val="21"/>
                  <w:szCs w:val="21"/>
                </w:rPr>
                <w:t>服务</w:t>
              </w:r>
              <w:r w:rsidRPr="00DD1A35">
                <w:rPr>
                  <w:rFonts w:hint="eastAsia"/>
                  <w:sz w:val="21"/>
                  <w:szCs w:val="21"/>
                </w:rPr>
                <w:t>为核心，云服务、软件、金融服务融合发展的新战略布局，服务企业的业务、金融和IT三位一体的创新发展，为企业与公共组织提供数字化、智能化服务，构建中国领先的企业服务生态。</w:t>
              </w:r>
            </w:p>
            <w:p w:rsidR="0095009E" w:rsidRPr="00DD1A35" w:rsidRDefault="0095009E" w:rsidP="0095009E">
              <w:pPr>
                <w:pStyle w:val="Default"/>
                <w:spacing w:line="360" w:lineRule="auto"/>
                <w:ind w:firstLineChars="200" w:firstLine="420"/>
                <w:jc w:val="both"/>
                <w:rPr>
                  <w:sz w:val="21"/>
                  <w:szCs w:val="21"/>
                </w:rPr>
              </w:pPr>
              <w:r w:rsidRPr="00DD1A35">
                <w:rPr>
                  <w:rFonts w:hint="eastAsia"/>
                  <w:sz w:val="21"/>
                  <w:szCs w:val="21"/>
                </w:rPr>
                <w:t>公司连续多年被评定为国家“规划布局内重点软件企业”。公司董事长王文京入选中央统战部、全国工商联评选的“改革开放</w:t>
              </w:r>
              <w:r w:rsidRPr="00DD1A35">
                <w:rPr>
                  <w:sz w:val="21"/>
                  <w:szCs w:val="21"/>
                </w:rPr>
                <w:t>40年百名杰出民营企业家</w:t>
              </w:r>
              <w:r w:rsidRPr="00DD1A35">
                <w:rPr>
                  <w:rFonts w:hint="eastAsia"/>
                  <w:sz w:val="21"/>
                  <w:szCs w:val="21"/>
                </w:rPr>
                <w:t>”</w:t>
              </w:r>
              <w:r w:rsidRPr="00DD1A35">
                <w:rPr>
                  <w:sz w:val="21"/>
                  <w:szCs w:val="21"/>
                </w:rPr>
                <w:t>，被中国企业家杂志评为</w:t>
              </w:r>
              <w:r w:rsidRPr="00DD1A35">
                <w:rPr>
                  <w:rFonts w:hint="eastAsia"/>
                  <w:sz w:val="21"/>
                  <w:szCs w:val="21"/>
                </w:rPr>
                <w:t>“</w:t>
              </w:r>
              <w:r w:rsidRPr="00DD1A35">
                <w:rPr>
                  <w:sz w:val="21"/>
                  <w:szCs w:val="21"/>
                </w:rPr>
                <w:t>影响改革开放进程的企业领袖</w:t>
              </w:r>
              <w:r w:rsidRPr="00DD1A35">
                <w:rPr>
                  <w:rFonts w:hint="eastAsia"/>
                  <w:sz w:val="21"/>
                  <w:szCs w:val="21"/>
                </w:rPr>
                <w:t>”</w:t>
              </w:r>
              <w:r w:rsidRPr="00DD1A35">
                <w:rPr>
                  <w:sz w:val="21"/>
                  <w:szCs w:val="21"/>
                </w:rPr>
                <w:t>。</w:t>
              </w:r>
              <w:r w:rsidRPr="00DD1A35">
                <w:rPr>
                  <w:rFonts w:hint="eastAsia"/>
                  <w:sz w:val="21"/>
                  <w:szCs w:val="21"/>
                </w:rPr>
                <w:t>报告期内，</w:t>
              </w:r>
              <w:r w:rsidRPr="00DD1A35">
                <w:rPr>
                  <w:sz w:val="21"/>
                  <w:szCs w:val="21"/>
                </w:rPr>
                <w:t>公司入选中国互联网协会、工业和信息化部信息中心联合发布2018中国互联网企业百强榜，位列榜单第21位。据赛迪顾问发布的《2017-2018年中国云计算市场研究年度报告》显示，用友云2017年中国公有云SaaS市场占有率第一，据赛迪顾问发布的《2017-2018年中国企业级应用软件市场研究年度报告》显示，用友2017年中国企业级应用软件市场占有率第一。公司在赛迪网</w:t>
              </w:r>
              <w:r w:rsidRPr="00DD1A35">
                <w:rPr>
                  <w:rFonts w:hint="eastAsia"/>
                  <w:sz w:val="21"/>
                  <w:szCs w:val="21"/>
                </w:rPr>
                <w:t>顾问主办的</w:t>
              </w:r>
              <w:r w:rsidRPr="00DD1A35">
                <w:rPr>
                  <w:sz w:val="21"/>
                  <w:szCs w:val="21"/>
                </w:rPr>
                <w:t>2018中国IT市场年会上荣获</w:t>
              </w:r>
              <w:r w:rsidRPr="00DD1A35">
                <w:rPr>
                  <w:rFonts w:hint="eastAsia"/>
                  <w:sz w:val="21"/>
                  <w:szCs w:val="21"/>
                </w:rPr>
                <w:t>“</w:t>
              </w:r>
              <w:r w:rsidRPr="00DD1A35">
                <w:rPr>
                  <w:sz w:val="21"/>
                  <w:szCs w:val="21"/>
                </w:rPr>
                <w:t>2017-2018中国企业云服务市场年度成长最快企业</w:t>
              </w:r>
              <w:r w:rsidRPr="00DD1A35">
                <w:rPr>
                  <w:rFonts w:hint="eastAsia"/>
                  <w:sz w:val="21"/>
                  <w:szCs w:val="21"/>
                </w:rPr>
                <w:t>”、“</w:t>
              </w:r>
              <w:r w:rsidRPr="00DD1A35">
                <w:rPr>
                  <w:sz w:val="21"/>
                  <w:szCs w:val="21"/>
                </w:rPr>
                <w:t>2017-2018中国企业互联网服务市场占有率第一</w:t>
              </w:r>
              <w:r w:rsidRPr="00DD1A35">
                <w:rPr>
                  <w:rFonts w:hint="eastAsia"/>
                  <w:sz w:val="21"/>
                  <w:szCs w:val="21"/>
                </w:rPr>
                <w:t>”</w:t>
              </w:r>
              <w:r w:rsidRPr="00DD1A35">
                <w:rPr>
                  <w:sz w:val="21"/>
                  <w:szCs w:val="21"/>
                </w:rPr>
                <w:t>等16项大奖。用友云平台荣获中国软件行业协会颁发的</w:t>
              </w:r>
              <w:r w:rsidRPr="00DD1A35">
                <w:rPr>
                  <w:rFonts w:hint="eastAsia"/>
                  <w:sz w:val="21"/>
                  <w:szCs w:val="21"/>
                </w:rPr>
                <w:t>“</w:t>
              </w:r>
              <w:r w:rsidRPr="00DD1A35">
                <w:rPr>
                  <w:sz w:val="21"/>
                  <w:szCs w:val="21"/>
                </w:rPr>
                <w:t>2018创新云服务平台</w:t>
              </w:r>
              <w:r w:rsidRPr="00DD1A35">
                <w:rPr>
                  <w:rFonts w:hint="eastAsia"/>
                  <w:sz w:val="21"/>
                  <w:szCs w:val="21"/>
                </w:rPr>
                <w:t>”</w:t>
              </w:r>
              <w:r w:rsidRPr="00DD1A35">
                <w:rPr>
                  <w:sz w:val="21"/>
                  <w:szCs w:val="21"/>
                </w:rPr>
                <w:t>奖，友云采产品荣获</w:t>
              </w:r>
              <w:r w:rsidRPr="00DD1A35">
                <w:rPr>
                  <w:rFonts w:hint="eastAsia"/>
                  <w:sz w:val="21"/>
                  <w:szCs w:val="21"/>
                </w:rPr>
                <w:t>2</w:t>
              </w:r>
              <w:r w:rsidRPr="00DD1A35">
                <w:rPr>
                  <w:sz w:val="21"/>
                  <w:szCs w:val="21"/>
                </w:rPr>
                <w:t>018</w:t>
              </w:r>
              <w:r w:rsidRPr="00DD1A35">
                <w:rPr>
                  <w:rFonts w:hint="eastAsia"/>
                  <w:sz w:val="21"/>
                  <w:szCs w:val="21"/>
                </w:rPr>
                <w:t>年</w:t>
              </w:r>
              <w:r w:rsidRPr="00DD1A35">
                <w:rPr>
                  <w:sz w:val="21"/>
                  <w:szCs w:val="21"/>
                </w:rPr>
                <w:t>中国国际软件博览会优秀产品奖。</w:t>
              </w:r>
            </w:p>
            <w:p w:rsidR="0095009E" w:rsidRPr="00DD1A35" w:rsidRDefault="0095009E" w:rsidP="0095009E">
              <w:pPr>
                <w:pStyle w:val="Default"/>
                <w:spacing w:line="360" w:lineRule="auto"/>
                <w:ind w:firstLineChars="200" w:firstLine="420"/>
                <w:jc w:val="both"/>
                <w:rPr>
                  <w:sz w:val="21"/>
                  <w:szCs w:val="21"/>
                </w:rPr>
              </w:pPr>
              <w:r w:rsidRPr="00DD1A35">
                <w:rPr>
                  <w:rFonts w:hint="eastAsia"/>
                  <w:sz w:val="21"/>
                  <w:szCs w:val="21"/>
                </w:rPr>
                <w:t>新的时期，用友将引领企业服务产业的商业范式变革，基于创想与新一代信息技术，通过用友</w:t>
              </w:r>
              <w:r>
                <w:rPr>
                  <w:rFonts w:hint="eastAsia"/>
                  <w:sz w:val="21"/>
                  <w:szCs w:val="21"/>
                </w:rPr>
                <w:t>企业</w:t>
              </w:r>
              <w:r w:rsidRPr="00DD1A35">
                <w:rPr>
                  <w:rFonts w:hint="eastAsia"/>
                  <w:sz w:val="21"/>
                  <w:szCs w:val="21"/>
                </w:rPr>
                <w:t>云</w:t>
              </w:r>
              <w:r>
                <w:rPr>
                  <w:rFonts w:hint="eastAsia"/>
                  <w:sz w:val="21"/>
                  <w:szCs w:val="21"/>
                </w:rPr>
                <w:t>服务</w:t>
              </w:r>
              <w:r w:rsidRPr="00DD1A35">
                <w:rPr>
                  <w:rFonts w:hint="eastAsia"/>
                  <w:sz w:val="21"/>
                  <w:szCs w:val="21"/>
                </w:rPr>
                <w:t>为企业提供全新服务，支持企业业务创新，管理变革、金融嵌入与IT升级，带动企</w:t>
              </w:r>
              <w:r w:rsidRPr="00DD1A35">
                <w:rPr>
                  <w:rFonts w:hint="eastAsia"/>
                  <w:sz w:val="21"/>
                  <w:szCs w:val="21"/>
                </w:rPr>
                <w:lastRenderedPageBreak/>
                <w:t xml:space="preserve">业IT产业的新发展，推进商业和社会进步。 </w:t>
              </w:r>
            </w:p>
            <w:p w:rsidR="0095009E" w:rsidRPr="00DD1A35" w:rsidRDefault="0095009E" w:rsidP="0095009E">
              <w:pPr>
                <w:pStyle w:val="Default"/>
                <w:spacing w:line="360" w:lineRule="auto"/>
                <w:jc w:val="both"/>
                <w:rPr>
                  <w:b/>
                  <w:sz w:val="21"/>
                  <w:szCs w:val="21"/>
                </w:rPr>
              </w:pPr>
              <w:r w:rsidRPr="002642A4">
                <w:rPr>
                  <w:rFonts w:hint="eastAsia"/>
                  <w:b/>
                  <w:sz w:val="21"/>
                  <w:szCs w:val="21"/>
                </w:rPr>
                <w:t xml:space="preserve">（四）营销服务网络优势 </w:t>
              </w:r>
            </w:p>
            <w:p w:rsidR="0095009E" w:rsidRPr="00DD1A35" w:rsidRDefault="0095009E" w:rsidP="0095009E">
              <w:pPr>
                <w:pStyle w:val="Default"/>
                <w:spacing w:line="360" w:lineRule="auto"/>
                <w:ind w:firstLineChars="200" w:firstLine="420"/>
                <w:jc w:val="both"/>
                <w:rPr>
                  <w:sz w:val="21"/>
                  <w:szCs w:val="21"/>
                </w:rPr>
              </w:pPr>
              <w:r w:rsidRPr="00DD1A35">
                <w:rPr>
                  <w:rFonts w:hint="eastAsia"/>
                  <w:sz w:val="21"/>
                  <w:szCs w:val="21"/>
                </w:rPr>
                <w:t>公司拥有中国管理软件业最大的营销服务网络。公司中高端客户业务营销服务网络遍布全国，拥有近百家分支机构开展客户营销、销售、服务业务，为国内大中型企业提供及时快捷的本土化贴身服务。公司设置了海外客户事业本部，在多个地区和国家设立了营销服务机构，以拓展海外中高端业务。公司面向小微企业客户的业务目前已拥有近2000家渠道合作伙伴，遍布全国各地。公司首创的</w:t>
              </w:r>
              <w:r w:rsidRPr="00DD1A35">
                <w:rPr>
                  <w:sz w:val="21"/>
                  <w:szCs w:val="21"/>
                </w:rPr>
                <w:t>“</w:t>
              </w:r>
              <w:r w:rsidRPr="00DD1A35">
                <w:rPr>
                  <w:rFonts w:hint="eastAsia"/>
                  <w:sz w:val="21"/>
                  <w:szCs w:val="21"/>
                </w:rPr>
                <w:t>全程服务模式</w:t>
              </w:r>
              <w:r w:rsidRPr="00DD1A35">
                <w:rPr>
                  <w:sz w:val="21"/>
                  <w:szCs w:val="21"/>
                </w:rPr>
                <w:t>”</w:t>
              </w:r>
              <w:r w:rsidRPr="00DD1A35">
                <w:rPr>
                  <w:rFonts w:hint="eastAsia"/>
                  <w:sz w:val="21"/>
                  <w:szCs w:val="21"/>
                </w:rPr>
                <w:t>，根据客户在不同阶段所遇到的信息化管理问题，提供针对性地专业服务，包括经营诊断、在线服务、远程服务、现场服务、用户培训等客户定制化服务。公司行业业务在政务、汽车、金融、烟草、医疗、教育、广电和电信、能源、</w:t>
              </w:r>
              <w:r>
                <w:rPr>
                  <w:rFonts w:hint="eastAsia"/>
                  <w:sz w:val="21"/>
                  <w:szCs w:val="21"/>
                </w:rPr>
                <w:t>建筑</w:t>
              </w:r>
              <w:r w:rsidRPr="00DD1A35">
                <w:rPr>
                  <w:rFonts w:hint="eastAsia"/>
                  <w:sz w:val="21"/>
                  <w:szCs w:val="21"/>
                </w:rPr>
                <w:t xml:space="preserve">等行业和领域已具有非常成熟的营销服务生态链。 </w:t>
              </w:r>
            </w:p>
            <w:p w:rsidR="0095009E" w:rsidRPr="00DD1A35" w:rsidRDefault="0095009E" w:rsidP="0095009E">
              <w:pPr>
                <w:pStyle w:val="Default"/>
                <w:spacing w:line="360" w:lineRule="auto"/>
                <w:jc w:val="both"/>
                <w:rPr>
                  <w:b/>
                  <w:sz w:val="21"/>
                  <w:szCs w:val="21"/>
                </w:rPr>
              </w:pPr>
              <w:r w:rsidRPr="002642A4">
                <w:rPr>
                  <w:rFonts w:hint="eastAsia"/>
                  <w:b/>
                  <w:sz w:val="21"/>
                  <w:szCs w:val="21"/>
                </w:rPr>
                <w:t>（五）公司客户基础优势</w:t>
              </w:r>
            </w:p>
            <w:p w:rsidR="00883153" w:rsidRPr="00E04FAA" w:rsidRDefault="0095009E" w:rsidP="0095009E">
              <w:pPr>
                <w:pStyle w:val="Default"/>
                <w:spacing w:line="360" w:lineRule="auto"/>
                <w:ind w:firstLineChars="200" w:firstLine="420"/>
                <w:jc w:val="both"/>
              </w:pPr>
              <w:r w:rsidRPr="00DD1A35">
                <w:rPr>
                  <w:rFonts w:hint="eastAsia"/>
                  <w:sz w:val="21"/>
                  <w:szCs w:val="21"/>
                </w:rPr>
                <w:t>经过多年的经营，公司形成了庞大的客户基础，用户粘度高。公司将凭借这些优势，通过企业互联网服务逐渐形成企业服务生态圈，实现用友三大业务的协同发展。用友为中国及亚太地区众多企业与机构提供软件、云服务和金融服务，其中中国500强企业超过60%与用友建立合作关系。在用友发展的3.0阶段，用友将与合作伙伴持续合作，合力构建中国最强大的数字化商业应用基础设施服务，共同打造中国领先的企业服务生态，服务超过千万家中国企业</w:t>
              </w:r>
              <w:r>
                <w:rPr>
                  <w:rFonts w:hint="eastAsia"/>
                  <w:sz w:val="21"/>
                  <w:szCs w:val="21"/>
                </w:rPr>
                <w:t>数字化</w:t>
              </w:r>
              <w:r w:rsidRPr="00DD1A35">
                <w:rPr>
                  <w:rFonts w:hint="eastAsia"/>
                  <w:sz w:val="21"/>
                  <w:szCs w:val="21"/>
                </w:rPr>
                <w:t>、</w:t>
              </w:r>
              <w:r>
                <w:rPr>
                  <w:rFonts w:hint="eastAsia"/>
                  <w:sz w:val="21"/>
                  <w:szCs w:val="21"/>
                </w:rPr>
                <w:t>智能化</w:t>
              </w:r>
              <w:r w:rsidRPr="00DD1A35">
                <w:rPr>
                  <w:rFonts w:hint="eastAsia"/>
                  <w:sz w:val="21"/>
                  <w:szCs w:val="21"/>
                </w:rPr>
                <w:t>，共同赢在企业</w:t>
              </w:r>
              <w:r>
                <w:rPr>
                  <w:rFonts w:hint="eastAsia"/>
                  <w:sz w:val="21"/>
                  <w:szCs w:val="21"/>
                </w:rPr>
                <w:t>数字化</w:t>
              </w:r>
              <w:r w:rsidRPr="00DD1A35">
                <w:rPr>
                  <w:rFonts w:hint="eastAsia"/>
                  <w:sz w:val="21"/>
                  <w:szCs w:val="21"/>
                </w:rPr>
                <w:t>时代。</w:t>
              </w:r>
            </w:p>
          </w:sdtContent>
        </w:sdt>
      </w:sdtContent>
    </w:sdt>
    <w:p w:rsidR="00883153" w:rsidRPr="00E04FAA" w:rsidRDefault="00200151">
      <w:pPr>
        <w:pStyle w:val="10"/>
        <w:numPr>
          <w:ilvl w:val="0"/>
          <w:numId w:val="3"/>
        </w:numPr>
      </w:pPr>
      <w:bookmarkStart w:id="19" w:name="_Toc484510567"/>
      <w:r w:rsidRPr="00E04FAA">
        <w:rPr>
          <w:rFonts w:hint="eastAsia"/>
        </w:rPr>
        <w:t>经营情况的讨论与分析</w:t>
      </w:r>
      <w:bookmarkEnd w:id="19"/>
    </w:p>
    <w:sdt>
      <w:sdtPr>
        <w:rPr>
          <w:rFonts w:ascii="宋体" w:hAnsi="宋体" w:cs="宋体" w:hint="eastAsia"/>
          <w:b w:val="0"/>
          <w:bCs w:val="0"/>
          <w:kern w:val="0"/>
          <w:szCs w:val="24"/>
        </w:rPr>
        <w:alias w:val="模块:经营情况的讨论与分析"/>
        <w:tag w:val="_GBC_ba3734a9f27a452095f3115c17f4b09e"/>
        <w:id w:val="-888259005"/>
        <w:lock w:val="sdtLocked"/>
        <w:placeholder>
          <w:docPart w:val="GBC22222222222222222222222222222"/>
        </w:placeholder>
      </w:sdtPr>
      <w:sdtEndPr>
        <w:rPr>
          <w:rFonts w:ascii="Arial" w:hAnsi="Arial" w:cs="Times New Roman"/>
          <w:b/>
          <w:bCs/>
          <w:color w:val="000000" w:themeColor="text1"/>
          <w:kern w:val="2"/>
          <w:szCs w:val="21"/>
        </w:rPr>
      </w:sdtEndPr>
      <w:sdtContent>
        <w:p w:rsidR="00883153" w:rsidRPr="00E04FAA" w:rsidRDefault="00200151" w:rsidP="00FC3870">
          <w:pPr>
            <w:pStyle w:val="2"/>
            <w:numPr>
              <w:ilvl w:val="0"/>
              <w:numId w:val="16"/>
            </w:numPr>
            <w:spacing w:line="360" w:lineRule="auto"/>
          </w:pPr>
          <w:r w:rsidRPr="00E04FAA">
            <w:t>经营情况的讨论与分析</w:t>
          </w:r>
        </w:p>
        <w:sdt>
          <w:sdtPr>
            <w:rPr>
              <w:rFonts w:ascii="Calibri" w:hAnsi="Calibri" w:cs="Times New Roman" w:hint="eastAsia"/>
              <w:kern w:val="2"/>
              <w:szCs w:val="22"/>
            </w:rPr>
            <w:alias w:val="经营情况的讨论与分析"/>
            <w:tag w:val="_GBC_886258ec69e240da99b57ac102afbda6"/>
            <w:id w:val="1263648379"/>
            <w:lock w:val="sdtLocked"/>
            <w:placeholder>
              <w:docPart w:val="GBC22222222222222222222222222222"/>
            </w:placeholder>
          </w:sdtPr>
          <w:sdtEndPr>
            <w:rPr>
              <w:rFonts w:ascii="宋体" w:hAnsi="宋体" w:cs="宋体"/>
              <w:kern w:val="0"/>
              <w:szCs w:val="24"/>
            </w:rPr>
          </w:sdtEndPr>
          <w:sdtContent>
            <w:p w:rsidR="00AD2449" w:rsidRPr="00E04FAA" w:rsidRDefault="00420EE4" w:rsidP="00AD2449">
              <w:pPr>
                <w:tabs>
                  <w:tab w:val="left" w:pos="567"/>
                </w:tabs>
                <w:spacing w:beforeLines="100" w:before="240" w:afterLines="50" w:after="120" w:line="360" w:lineRule="auto"/>
                <w:jc w:val="both"/>
                <w:rPr>
                  <w:b/>
                </w:rPr>
              </w:pPr>
              <w:r w:rsidRPr="00E04FAA">
                <w:rPr>
                  <w:rFonts w:hint="eastAsia"/>
                  <w:b/>
                </w:rPr>
                <w:t>（一）</w:t>
              </w:r>
              <w:r w:rsidR="00AD2449" w:rsidRPr="00E04FAA">
                <w:rPr>
                  <w:rFonts w:hint="eastAsia"/>
                  <w:b/>
                </w:rPr>
                <w:t>公司总体业务经营情况回顾</w:t>
              </w:r>
            </w:p>
            <w:p w:rsidR="005237DA" w:rsidRPr="005237DA" w:rsidRDefault="005237DA" w:rsidP="005237DA">
              <w:pPr>
                <w:spacing w:line="360" w:lineRule="auto"/>
                <w:ind w:firstLine="420"/>
                <w:jc w:val="both"/>
                <w:rPr>
                  <w:color w:val="000000"/>
                </w:rPr>
              </w:pPr>
              <w:r w:rsidRPr="005237DA">
                <w:rPr>
                  <w:rFonts w:hint="eastAsia"/>
                  <w:color w:val="000000"/>
                </w:rPr>
                <w:t>报告期内，公司实现营业收入</w:t>
              </w:r>
              <w:r w:rsidRPr="005237DA">
                <w:rPr>
                  <w:color w:val="000000"/>
                </w:rPr>
                <w:t>3,313,006,831元，同比增加307,303,741元，增长10.2%，实现了主营业务收入稳定增长。归属于上市公司股东的净利润为482,379,589元，同比增加358,723,085元，增长290.1%；归属于上市公司股东的扣除非经常性损益后的净利润为264,296,562元，同比增加160,680,390元，增长155.1%；归属于上市公司股东的扣除非经常性损益和股权激励成本的净利润为319,676,445元，同比增加92,069,010元，增长40.5%，经营效益大幅</w:t>
              </w:r>
              <w:r w:rsidRPr="005237DA">
                <w:rPr>
                  <w:rFonts w:hint="eastAsia"/>
                  <w:color w:val="000000"/>
                </w:rPr>
                <w:t>改善。</w:t>
              </w:r>
            </w:p>
            <w:p w:rsidR="00C84BDD" w:rsidRDefault="005237DA" w:rsidP="005237DA">
              <w:pPr>
                <w:spacing w:line="360" w:lineRule="auto"/>
                <w:ind w:firstLine="420"/>
                <w:jc w:val="both"/>
                <w:rPr>
                  <w:color w:val="000000"/>
                </w:rPr>
              </w:pPr>
              <w:r w:rsidRPr="005237DA">
                <w:rPr>
                  <w:rFonts w:hint="eastAsia"/>
                  <w:color w:val="000000"/>
                </w:rPr>
                <w:t>报告期内，公司云服务业务（不含金融类云服务业务）实现收入</w:t>
              </w:r>
              <w:r w:rsidRPr="005237DA">
                <w:rPr>
                  <w:color w:val="000000"/>
                </w:rPr>
                <w:t>471,814,247元，同比增长114.6%，继续保持高速增长；软件业务实现收入2,248,156,624元，同比增长5.0%，实现稳定增长；支付服务业务实现收入200,028,501元，同比增长321.6%，继续保持高速增长；互联网投融资信息服务业务在继续坚持稳健经营，控制适度规模的方针指引下，实现收入369,150,508元，同比下降36.5%。</w:t>
              </w:r>
              <w:r w:rsidR="00C84BDD" w:rsidRPr="00E04FAA">
                <w:rPr>
                  <w:rFonts w:hint="eastAsia"/>
                  <w:color w:val="000000"/>
                </w:rPr>
                <w:t>报告期内，公司云服务业务收入（不含金融类云服务业务收入）按照企业规模分类，小微企业云服务业务实现收入</w:t>
              </w:r>
              <w:r w:rsidR="00C84BDD" w:rsidRPr="00E04FAA">
                <w:rPr>
                  <w:color w:val="000000"/>
                </w:rPr>
                <w:t>4,527</w:t>
              </w:r>
              <w:r w:rsidR="00C84BDD" w:rsidRPr="00E04FAA">
                <w:rPr>
                  <w:rFonts w:hint="eastAsia"/>
                  <w:color w:val="000000"/>
                </w:rPr>
                <w:t>万</w:t>
              </w:r>
              <w:r w:rsidR="00C84BDD" w:rsidRPr="00E04FAA">
                <w:rPr>
                  <w:color w:val="000000"/>
                </w:rPr>
                <w:t>元，增长142.3</w:t>
              </w:r>
              <w:r w:rsidR="00C84BDD" w:rsidRPr="00E04FAA">
                <w:rPr>
                  <w:rFonts w:hint="eastAsia"/>
                  <w:color w:val="000000"/>
                </w:rPr>
                <w:t>%；大中型企业云服务业务实现收入</w:t>
              </w:r>
              <w:r w:rsidR="00C84BDD" w:rsidRPr="00E04FAA">
                <w:rPr>
                  <w:color w:val="000000"/>
                </w:rPr>
                <w:lastRenderedPageBreak/>
                <w:t>42,654</w:t>
              </w:r>
              <w:r w:rsidR="00C84BDD" w:rsidRPr="00E04FAA">
                <w:rPr>
                  <w:rFonts w:hint="eastAsia"/>
                  <w:color w:val="000000"/>
                </w:rPr>
                <w:t>万</w:t>
              </w:r>
              <w:r w:rsidR="00C84BDD" w:rsidRPr="00E04FAA">
                <w:rPr>
                  <w:color w:val="000000"/>
                </w:rPr>
                <w:t>元，增长</w:t>
              </w:r>
              <w:r w:rsidR="00CE5078" w:rsidRPr="00E04FAA">
                <w:rPr>
                  <w:color w:val="000000"/>
                </w:rPr>
                <w:t>112</w:t>
              </w:r>
              <w:r w:rsidR="00C84BDD" w:rsidRPr="00E04FAA">
                <w:rPr>
                  <w:rFonts w:hint="eastAsia"/>
                  <w:color w:val="000000"/>
                </w:rPr>
                <w:t>%。按照业务形态分类，Sa</w:t>
              </w:r>
              <w:r w:rsidR="00C84BDD" w:rsidRPr="00E04FAA">
                <w:rPr>
                  <w:color w:val="000000"/>
                </w:rPr>
                <w:t>aS</w:t>
              </w:r>
              <w:r w:rsidR="00C84BDD" w:rsidRPr="00E04FAA">
                <w:rPr>
                  <w:rFonts w:hint="eastAsia"/>
                  <w:color w:val="000000"/>
                </w:rPr>
                <w:t>业务实现收入2</w:t>
              </w:r>
              <w:r w:rsidR="00C84BDD" w:rsidRPr="00E04FAA">
                <w:rPr>
                  <w:color w:val="000000"/>
                </w:rPr>
                <w:t>8,566</w:t>
              </w:r>
              <w:r w:rsidR="00C84BDD" w:rsidRPr="00E04FAA">
                <w:rPr>
                  <w:rFonts w:hint="eastAsia"/>
                  <w:color w:val="000000"/>
                </w:rPr>
                <w:t>万元，同比增长1</w:t>
              </w:r>
              <w:r w:rsidR="00C84BDD" w:rsidRPr="00E04FAA">
                <w:rPr>
                  <w:color w:val="000000"/>
                </w:rPr>
                <w:t>33.6</w:t>
              </w:r>
              <w:r w:rsidR="00C84BDD" w:rsidRPr="00E04FAA">
                <w:rPr>
                  <w:rFonts w:hint="eastAsia"/>
                  <w:color w:val="000000"/>
                </w:rPr>
                <w:t>%；</w:t>
              </w:r>
              <w:r w:rsidR="00C84BDD" w:rsidRPr="00E04FAA">
                <w:rPr>
                  <w:color w:val="000000"/>
                </w:rPr>
                <w:t>B</w:t>
              </w:r>
              <w:r w:rsidR="00C84BDD" w:rsidRPr="00E04FAA">
                <w:rPr>
                  <w:rFonts w:hint="eastAsia"/>
                  <w:color w:val="000000"/>
                </w:rPr>
                <w:t>a</w:t>
              </w:r>
              <w:r w:rsidR="00C84BDD" w:rsidRPr="00E04FAA">
                <w:rPr>
                  <w:color w:val="000000"/>
                </w:rPr>
                <w:t>aS</w:t>
              </w:r>
              <w:r w:rsidR="00C84BDD" w:rsidRPr="00E04FAA">
                <w:rPr>
                  <w:rFonts w:hint="eastAsia"/>
                  <w:color w:val="000000"/>
                </w:rPr>
                <w:t>业务实现收入1</w:t>
              </w:r>
              <w:r w:rsidR="00C84BDD" w:rsidRPr="00E04FAA">
                <w:rPr>
                  <w:color w:val="000000"/>
                </w:rPr>
                <w:t>1,324</w:t>
              </w:r>
              <w:r w:rsidR="00C84BDD" w:rsidRPr="00E04FAA">
                <w:rPr>
                  <w:rFonts w:hint="eastAsia"/>
                  <w:color w:val="000000"/>
                </w:rPr>
                <w:t>万元，同比增长</w:t>
              </w:r>
              <w:r w:rsidR="00C84BDD" w:rsidRPr="00E04FAA">
                <w:rPr>
                  <w:color w:val="000000"/>
                </w:rPr>
                <w:t>146.1%</w:t>
              </w:r>
              <w:r w:rsidR="00C84BDD" w:rsidRPr="00E04FAA">
                <w:rPr>
                  <w:rFonts w:hint="eastAsia"/>
                  <w:color w:val="000000"/>
                </w:rPr>
                <w:t>；Pa</w:t>
              </w:r>
              <w:r w:rsidR="00C84BDD" w:rsidRPr="00E04FAA">
                <w:rPr>
                  <w:color w:val="000000"/>
                </w:rPr>
                <w:t>aS</w:t>
              </w:r>
              <w:r w:rsidR="00C84BDD" w:rsidRPr="00E04FAA">
                <w:rPr>
                  <w:rFonts w:hint="eastAsia"/>
                  <w:color w:val="000000"/>
                </w:rPr>
                <w:t>业务实现收入6</w:t>
              </w:r>
              <w:r w:rsidR="00C84BDD" w:rsidRPr="00E04FAA">
                <w:rPr>
                  <w:color w:val="000000"/>
                </w:rPr>
                <w:t>877</w:t>
              </w:r>
              <w:r w:rsidR="00C84BDD" w:rsidRPr="00E04FAA">
                <w:rPr>
                  <w:rFonts w:hint="eastAsia"/>
                  <w:color w:val="000000"/>
                </w:rPr>
                <w:t>万元，同比增长</w:t>
              </w:r>
              <w:r w:rsidR="00C84BDD" w:rsidRPr="00E04FAA">
                <w:rPr>
                  <w:color w:val="000000"/>
                </w:rPr>
                <w:t>39.5%</w:t>
              </w:r>
              <w:r w:rsidR="00C84BDD" w:rsidRPr="00E04FAA">
                <w:rPr>
                  <w:rFonts w:hint="eastAsia"/>
                  <w:color w:val="000000"/>
                </w:rPr>
                <w:t>；</w:t>
              </w:r>
              <w:proofErr w:type="spellStart"/>
              <w:r w:rsidR="00C84BDD" w:rsidRPr="00E04FAA">
                <w:rPr>
                  <w:color w:val="000000"/>
                </w:rPr>
                <w:t>D</w:t>
              </w:r>
              <w:r w:rsidR="00C84BDD" w:rsidRPr="00E04FAA">
                <w:rPr>
                  <w:rFonts w:hint="eastAsia"/>
                  <w:color w:val="000000"/>
                </w:rPr>
                <w:t>a</w:t>
              </w:r>
              <w:r w:rsidR="00C84BDD" w:rsidRPr="00E04FAA">
                <w:rPr>
                  <w:color w:val="000000"/>
                </w:rPr>
                <w:t>aS</w:t>
              </w:r>
              <w:proofErr w:type="spellEnd"/>
              <w:r w:rsidR="00C84BDD" w:rsidRPr="00E04FAA">
                <w:rPr>
                  <w:rFonts w:hint="eastAsia"/>
                  <w:color w:val="000000"/>
                </w:rPr>
                <w:t>业务实现收入4</w:t>
              </w:r>
              <w:r w:rsidR="00C84BDD" w:rsidRPr="00E04FAA">
                <w:rPr>
                  <w:color w:val="000000"/>
                </w:rPr>
                <w:t>14</w:t>
              </w:r>
              <w:r w:rsidR="00C84BDD" w:rsidRPr="00E04FAA">
                <w:rPr>
                  <w:rFonts w:hint="eastAsia"/>
                  <w:color w:val="000000"/>
                </w:rPr>
                <w:t>万元，同比增长</w:t>
              </w:r>
              <w:r w:rsidR="00C84BDD" w:rsidRPr="00E04FAA">
                <w:rPr>
                  <w:color w:val="000000"/>
                </w:rPr>
                <w:t>78.3%</w:t>
              </w:r>
              <w:r w:rsidR="00C84BDD" w:rsidRPr="00E04FAA">
                <w:rPr>
                  <w:rFonts w:hint="eastAsia"/>
                  <w:color w:val="000000"/>
                </w:rPr>
                <w:t>。公司各类云服务业务收入继续保持高速增长，均衡发展，充分展现了公司云服务业务综合型、融合化、生态式的优势，较好地满足了客户多样性需求。</w:t>
              </w:r>
            </w:p>
            <w:p w:rsidR="00AA3BBF" w:rsidRPr="00E04FAA" w:rsidRDefault="00AA3BBF" w:rsidP="005237DA">
              <w:pPr>
                <w:spacing w:line="360" w:lineRule="auto"/>
                <w:ind w:firstLine="420"/>
                <w:jc w:val="both"/>
                <w:rPr>
                  <w:color w:val="000000"/>
                </w:rPr>
              </w:pPr>
              <w:r w:rsidRPr="00AA3BBF">
                <w:rPr>
                  <w:rFonts w:hint="eastAsia"/>
                  <w:color w:val="000000"/>
                </w:rPr>
                <w:t>报告期内，公司其他云服务业务数据及指标也表现优良。截至报告期末，公司云服务业务的企业客户数为</w:t>
              </w:r>
              <w:r w:rsidRPr="00AA3BBF">
                <w:rPr>
                  <w:color w:val="000000"/>
                </w:rPr>
                <w:t>493.17万家，其中累计付费企业客户数为43.01万家, 较2019年一季度末增长13.2%（较2018年半年度末增长48.0%）；公司企业客户续约率和客单价稳步提高，其中私有云与混合云客单价大幅提高；公司云服务业务（不含金融类云服务业务）预收账款43,996万元，比年初增长46%，云服务业务预收账款增长高、增速加快一定程度上会影响公司当期收入增长，但有利于公司业务转型，长期发展，价值提升；公司云服务业务收入占比持</w:t>
              </w:r>
              <w:r w:rsidRPr="00AA3BBF">
                <w:rPr>
                  <w:rFonts w:hint="eastAsia"/>
                  <w:color w:val="000000"/>
                </w:rPr>
                <w:t>续提高。公司云服务业务发展强劲，向云服务业务转型获得基本成功。</w:t>
              </w:r>
            </w:p>
            <w:p w:rsidR="00AD2449" w:rsidRPr="00E04FAA" w:rsidRDefault="00BB3160" w:rsidP="00AD2449">
              <w:pPr>
                <w:tabs>
                  <w:tab w:val="left" w:pos="567"/>
                </w:tabs>
                <w:spacing w:beforeLines="100" w:before="240" w:afterLines="50" w:after="120" w:line="360" w:lineRule="auto"/>
                <w:jc w:val="both"/>
                <w:rPr>
                  <w:b/>
                </w:rPr>
              </w:pPr>
              <w:r w:rsidRPr="00E04FAA">
                <w:rPr>
                  <w:rFonts w:hint="eastAsia"/>
                  <w:b/>
                </w:rPr>
                <w:t>（二）</w:t>
              </w:r>
              <w:r w:rsidR="00AD2449" w:rsidRPr="00E04FAA">
                <w:rPr>
                  <w:rFonts w:hint="eastAsia"/>
                  <w:b/>
                </w:rPr>
                <w:t>公司各项业务发展情况</w:t>
              </w:r>
            </w:p>
            <w:p w:rsidR="000E1F95" w:rsidRPr="006E586B" w:rsidRDefault="000E1F95" w:rsidP="000E1F95">
              <w:pPr>
                <w:spacing w:line="360" w:lineRule="auto"/>
                <w:ind w:firstLineChars="200" w:firstLine="420"/>
                <w:jc w:val="both"/>
                <w:rPr>
                  <w:color w:val="000000"/>
                  <w:szCs w:val="21"/>
                </w:rPr>
              </w:pPr>
              <w:r w:rsidRPr="006E586B">
                <w:rPr>
                  <w:rFonts w:hint="eastAsia"/>
                  <w:color w:val="000000"/>
                  <w:szCs w:val="21"/>
                </w:rPr>
                <w:t>报告期内，公司继续坚定执行用友</w:t>
              </w:r>
              <w:r w:rsidRPr="006E586B">
                <w:rPr>
                  <w:color w:val="000000"/>
                  <w:szCs w:val="21"/>
                </w:rPr>
                <w:t>3.0</w:t>
              </w:r>
              <w:r w:rsidRPr="006E586B">
                <w:rPr>
                  <w:rFonts w:hint="eastAsia"/>
                  <w:color w:val="000000"/>
                  <w:szCs w:val="21"/>
                </w:rPr>
                <w:t>战略，抓</w:t>
              </w:r>
              <w:r>
                <w:rPr>
                  <w:rFonts w:hint="eastAsia"/>
                  <w:color w:val="000000"/>
                  <w:szCs w:val="21"/>
                </w:rPr>
                <w:t>住</w:t>
              </w:r>
              <w:r w:rsidRPr="006E586B">
                <w:rPr>
                  <w:rFonts w:hint="eastAsia"/>
                  <w:color w:val="000000"/>
                  <w:szCs w:val="21"/>
                </w:rPr>
                <w:t>企业数字化、</w:t>
              </w:r>
              <w:r w:rsidR="006575B6">
                <w:rPr>
                  <w:rFonts w:hint="eastAsia"/>
                  <w:color w:val="000000"/>
                  <w:szCs w:val="21"/>
                </w:rPr>
                <w:t>国产化</w:t>
              </w:r>
              <w:r w:rsidRPr="006E586B">
                <w:rPr>
                  <w:rFonts w:hint="eastAsia"/>
                  <w:color w:val="000000"/>
                  <w:szCs w:val="21"/>
                </w:rPr>
                <w:t>的市场机会，聚焦数字化主航道、主战场</w:t>
              </w:r>
              <w:r w:rsidRPr="006E586B">
                <w:rPr>
                  <w:rFonts w:cs="Times New Roman" w:hint="eastAsia"/>
                  <w:color w:val="000000"/>
                  <w:szCs w:val="21"/>
                </w:rPr>
                <w:t>，围绕用友企业云服务核心业务，</w:t>
              </w:r>
              <w:r w:rsidRPr="006E586B">
                <w:rPr>
                  <w:rFonts w:hint="eastAsia"/>
                  <w:color w:val="000000"/>
                  <w:szCs w:val="21"/>
                </w:rPr>
                <w:t>加强核心产品与技术研发与客户运营体系升级</w:t>
              </w:r>
              <w:r>
                <w:rPr>
                  <w:rFonts w:hint="eastAsia"/>
                  <w:color w:val="000000"/>
                  <w:szCs w:val="21"/>
                </w:rPr>
                <w:t>，</w:t>
              </w:r>
              <w:r w:rsidRPr="006E586B">
                <w:rPr>
                  <w:rFonts w:hint="eastAsia"/>
                  <w:color w:val="000000"/>
                  <w:szCs w:val="21"/>
                </w:rPr>
                <w:t>采</w:t>
              </w:r>
              <w:r>
                <w:rPr>
                  <w:color w:val="000000"/>
                  <w:szCs w:val="21"/>
                </w:rPr>
                <w:t>取</w:t>
              </w:r>
              <w:r w:rsidRPr="006E586B">
                <w:rPr>
                  <w:rFonts w:hint="eastAsia"/>
                  <w:color w:val="000000"/>
                  <w:szCs w:val="21"/>
                </w:rPr>
                <w:t>扁平化、一体化运作模式，</w:t>
              </w:r>
              <w:r>
                <w:rPr>
                  <w:color w:val="000000"/>
                  <w:szCs w:val="21"/>
                </w:rPr>
                <w:t>凝聚</w:t>
              </w:r>
              <w:r w:rsidRPr="006E586B">
                <w:rPr>
                  <w:rFonts w:hint="eastAsia"/>
                  <w:color w:val="000000"/>
                  <w:szCs w:val="21"/>
                </w:rPr>
                <w:t>组织合力，</w:t>
              </w:r>
              <w:r w:rsidRPr="006E586B">
                <w:rPr>
                  <w:rFonts w:cs="Times New Roman" w:hint="eastAsia"/>
                  <w:color w:val="000000"/>
                  <w:szCs w:val="21"/>
                </w:rPr>
                <w:t>大力拓展企业服务市场，积极推进</w:t>
              </w:r>
              <w:r>
                <w:rPr>
                  <w:rFonts w:cs="Times New Roman" w:hint="eastAsia"/>
                  <w:color w:val="000000"/>
                  <w:szCs w:val="21"/>
                </w:rPr>
                <w:t>了</w:t>
              </w:r>
              <w:r w:rsidRPr="006E586B">
                <w:rPr>
                  <w:rFonts w:cs="Times New Roman" w:hint="eastAsia"/>
                  <w:color w:val="000000"/>
                  <w:szCs w:val="21"/>
                </w:rPr>
                <w:t>各项业务发展</w:t>
              </w:r>
              <w:r w:rsidRPr="006E586B">
                <w:rPr>
                  <w:rFonts w:hint="eastAsia"/>
                  <w:color w:val="000000"/>
                  <w:szCs w:val="21"/>
                </w:rPr>
                <w:t>。</w:t>
              </w:r>
            </w:p>
            <w:p w:rsidR="000E1F95" w:rsidRPr="00800741" w:rsidRDefault="000E1F95" w:rsidP="000E1F95">
              <w:pPr>
                <w:spacing w:line="360" w:lineRule="auto"/>
                <w:ind w:firstLine="420"/>
                <w:jc w:val="both"/>
                <w:rPr>
                  <w:color w:val="000000"/>
                </w:rPr>
              </w:pPr>
              <w:r w:rsidRPr="006E586B">
                <w:rPr>
                  <w:color w:val="000000"/>
                  <w:szCs w:val="21"/>
                </w:rPr>
                <w:t>报告期内</w:t>
              </w:r>
              <w:r w:rsidRPr="006E586B">
                <w:rPr>
                  <w:rFonts w:hint="eastAsia"/>
                  <w:color w:val="000000"/>
                  <w:szCs w:val="21"/>
                </w:rPr>
                <w:t>，公司发布了用友云平台</w:t>
              </w:r>
              <w:proofErr w:type="spellStart"/>
              <w:r w:rsidRPr="006E586B">
                <w:rPr>
                  <w:color w:val="000000"/>
                  <w:szCs w:val="21"/>
                </w:rPr>
                <w:t>iuap</w:t>
              </w:r>
              <w:proofErr w:type="spellEnd"/>
              <w:r w:rsidRPr="006E586B">
                <w:rPr>
                  <w:color w:val="000000"/>
                  <w:szCs w:val="21"/>
                </w:rPr>
                <w:t xml:space="preserve"> V3.5.6，支撑</w:t>
              </w:r>
              <w:r w:rsidRPr="006E586B">
                <w:rPr>
                  <w:rFonts w:hint="eastAsia"/>
                  <w:color w:val="000000"/>
                  <w:szCs w:val="21"/>
                </w:rPr>
                <w:t>了</w:t>
              </w:r>
              <w:r>
                <w:rPr>
                  <w:rFonts w:cs="Times New Roman" w:hint="eastAsia"/>
                  <w:color w:val="000000"/>
                  <w:szCs w:val="21"/>
                </w:rPr>
                <w:t>公司</w:t>
              </w:r>
              <w:r w:rsidRPr="006E586B">
                <w:rPr>
                  <w:rFonts w:cs="Times New Roman" w:hint="eastAsia"/>
                  <w:color w:val="000000"/>
                  <w:szCs w:val="21"/>
                </w:rPr>
                <w:t>各类企业云服务</w:t>
              </w:r>
              <w:r w:rsidRPr="006E586B">
                <w:rPr>
                  <w:color w:val="000000"/>
                  <w:szCs w:val="21"/>
                </w:rPr>
                <w:t>的</w:t>
              </w:r>
              <w:r w:rsidRPr="006E586B">
                <w:rPr>
                  <w:rFonts w:hint="eastAsia"/>
                  <w:color w:val="000000"/>
                  <w:szCs w:val="21"/>
                </w:rPr>
                <w:t>融合发展</w:t>
              </w:r>
              <w:r>
                <w:rPr>
                  <w:rFonts w:hint="eastAsia"/>
                  <w:color w:val="000000"/>
                  <w:szCs w:val="21"/>
                </w:rPr>
                <w:t>；</w:t>
              </w:r>
              <w:r w:rsidRPr="006E586B">
                <w:rPr>
                  <w:rFonts w:hint="eastAsia"/>
                  <w:color w:val="000000"/>
                  <w:szCs w:val="21"/>
                </w:rPr>
                <w:t>加快了用友云平台</w:t>
              </w:r>
              <w:r w:rsidRPr="006E586B">
                <w:rPr>
                  <w:color w:val="000000"/>
                  <w:szCs w:val="21"/>
                </w:rPr>
                <w:t>iuap5.0</w:t>
              </w:r>
              <w:r w:rsidRPr="006E586B">
                <w:rPr>
                  <w:rFonts w:hint="eastAsia"/>
                  <w:color w:val="000000"/>
                  <w:szCs w:val="21"/>
                </w:rPr>
                <w:t>的研发。</w:t>
              </w:r>
              <w:r w:rsidRPr="006E586B">
                <w:rPr>
                  <w:color w:val="000000"/>
                  <w:szCs w:val="21"/>
                </w:rPr>
                <w:t>发布了</w:t>
              </w:r>
              <w:r>
                <w:rPr>
                  <w:color w:val="000000"/>
                  <w:szCs w:val="21"/>
                </w:rPr>
                <w:t>年度重要产品</w:t>
              </w:r>
              <w:r w:rsidRPr="006E586B">
                <w:rPr>
                  <w:color w:val="000000"/>
                  <w:szCs w:val="21"/>
                </w:rPr>
                <w:t>用友NC Cloud 1903</w:t>
              </w:r>
              <w:r w:rsidRPr="006E586B">
                <w:rPr>
                  <w:rFonts w:hint="eastAsia"/>
                  <w:color w:val="000000"/>
                  <w:szCs w:val="21"/>
                </w:rPr>
                <w:t>，</w:t>
              </w:r>
              <w:r w:rsidRPr="006E586B">
                <w:rPr>
                  <w:color w:val="000000"/>
                  <w:szCs w:val="21"/>
                </w:rPr>
                <w:t>实现了全行业产品支持</w:t>
              </w:r>
              <w:r w:rsidRPr="006E586B">
                <w:rPr>
                  <w:rFonts w:hint="eastAsia"/>
                  <w:color w:val="000000"/>
                  <w:szCs w:val="21"/>
                </w:rPr>
                <w:t>，并</w:t>
              </w:r>
              <w:r w:rsidRPr="006E586B">
                <w:rPr>
                  <w:color w:val="000000"/>
                  <w:szCs w:val="21"/>
                </w:rPr>
                <w:t>支持大型企业私有云、混合云和公有云等多种部署模式</w:t>
              </w:r>
              <w:r>
                <w:rPr>
                  <w:rFonts w:hint="eastAsia"/>
                  <w:color w:val="000000"/>
                  <w:szCs w:val="21"/>
                </w:rPr>
                <w:t>；</w:t>
              </w:r>
              <w:r w:rsidRPr="006E586B">
                <w:rPr>
                  <w:color w:val="000000"/>
                  <w:szCs w:val="21"/>
                </w:rPr>
                <w:t>加快了用友NC Cloud 1909的研发</w:t>
              </w:r>
              <w:r>
                <w:rPr>
                  <w:rFonts w:hint="eastAsia"/>
                  <w:color w:val="000000"/>
                  <w:szCs w:val="21"/>
                </w:rPr>
                <w:t>，支持了</w:t>
              </w:r>
              <w:r w:rsidRPr="006E586B">
                <w:rPr>
                  <w:color w:val="000000"/>
                  <w:szCs w:val="21"/>
                </w:rPr>
                <w:t>NC Cloud</w:t>
              </w:r>
              <w:r>
                <w:rPr>
                  <w:color w:val="000000"/>
                  <w:szCs w:val="21"/>
                </w:rPr>
                <w:t>的高增长</w:t>
              </w:r>
              <w:r w:rsidRPr="006E586B">
                <w:rPr>
                  <w:rFonts w:hint="eastAsia"/>
                  <w:color w:val="000000"/>
                  <w:szCs w:val="21"/>
                </w:rPr>
                <w:t>。发布了</w:t>
              </w:r>
              <w:r>
                <w:rPr>
                  <w:rFonts w:hint="eastAsia"/>
                  <w:color w:val="000000"/>
                  <w:szCs w:val="21"/>
                </w:rPr>
                <w:t>用友</w:t>
              </w:r>
              <w:r w:rsidRPr="006E586B">
                <w:rPr>
                  <w:color w:val="000000"/>
                  <w:szCs w:val="21"/>
                </w:rPr>
                <w:t>U8 Cloud V2.6，在智能财务、制度合规、生态融合、移动应用和简化交付等方面加快了迭代升级</w:t>
              </w:r>
              <w:r w:rsidRPr="006E586B">
                <w:rPr>
                  <w:rFonts w:hint="eastAsia"/>
                  <w:color w:val="000000"/>
                  <w:szCs w:val="21"/>
                </w:rPr>
                <w:t>；</w:t>
              </w:r>
              <w:r>
                <w:rPr>
                  <w:rFonts w:hint="eastAsia"/>
                  <w:color w:val="000000"/>
                  <w:szCs w:val="21"/>
                </w:rPr>
                <w:t>发布了用友</w:t>
              </w:r>
              <w:r w:rsidRPr="00BD50A5">
                <w:rPr>
                  <w:rFonts w:hint="eastAsia"/>
                  <w:color w:val="000000"/>
                </w:rPr>
                <w:t>U8</w:t>
              </w:r>
              <w:r>
                <w:rPr>
                  <w:color w:val="000000"/>
                </w:rPr>
                <w:t xml:space="preserve"> </w:t>
              </w:r>
              <w:r w:rsidRPr="00BD50A5">
                <w:rPr>
                  <w:rFonts w:hint="eastAsia"/>
                  <w:color w:val="000000"/>
                </w:rPr>
                <w:t>15.1</w:t>
              </w:r>
              <w:r>
                <w:rPr>
                  <w:rFonts w:hint="eastAsia"/>
                  <w:color w:val="000000"/>
                </w:rPr>
                <w:t>，</w:t>
              </w:r>
              <w:r w:rsidRPr="00BD50A5">
                <w:rPr>
                  <w:rFonts w:hint="eastAsia"/>
                  <w:color w:val="000000"/>
                </w:rPr>
                <w:t>融合</w:t>
              </w:r>
              <w:r>
                <w:rPr>
                  <w:rFonts w:hint="eastAsia"/>
                  <w:color w:val="000000"/>
                </w:rPr>
                <w:t>了</w:t>
              </w:r>
              <w:r w:rsidRPr="00BD50A5">
                <w:rPr>
                  <w:rFonts w:hint="eastAsia"/>
                  <w:color w:val="000000"/>
                </w:rPr>
                <w:t>友报账、税务云、电子</w:t>
              </w:r>
              <w:r>
                <w:rPr>
                  <w:rFonts w:hint="eastAsia"/>
                  <w:color w:val="000000"/>
                </w:rPr>
                <w:t>票据等，</w:t>
              </w:r>
              <w:r w:rsidRPr="00BD50A5">
                <w:rPr>
                  <w:rFonts w:hint="eastAsia"/>
                  <w:color w:val="000000"/>
                </w:rPr>
                <w:t>集成</w:t>
              </w:r>
              <w:r>
                <w:rPr>
                  <w:rFonts w:hint="eastAsia"/>
                  <w:color w:val="000000"/>
                </w:rPr>
                <w:t>了</w:t>
              </w:r>
              <w:r w:rsidRPr="00BD50A5">
                <w:rPr>
                  <w:rFonts w:hint="eastAsia"/>
                  <w:color w:val="000000"/>
                </w:rPr>
                <w:t>服务机器人</w:t>
              </w:r>
              <w:r>
                <w:rPr>
                  <w:rFonts w:hint="eastAsia"/>
                  <w:color w:val="000000"/>
                </w:rPr>
                <w:t>；</w:t>
              </w:r>
              <w:r w:rsidRPr="006E586B">
                <w:rPr>
                  <w:color w:val="000000"/>
                  <w:szCs w:val="21"/>
                </w:rPr>
                <w:t>加快了</w:t>
              </w:r>
              <w:r>
                <w:rPr>
                  <w:color w:val="000000"/>
                  <w:szCs w:val="21"/>
                </w:rPr>
                <w:t>用友</w:t>
              </w:r>
              <w:r w:rsidRPr="006757C8">
                <w:rPr>
                  <w:rFonts w:hint="eastAsia"/>
                  <w:color w:val="000000"/>
                  <w:szCs w:val="21"/>
                </w:rPr>
                <w:t>面向成长型企业的云</w:t>
              </w:r>
              <w:r w:rsidRPr="006757C8">
                <w:rPr>
                  <w:color w:val="000000"/>
                  <w:szCs w:val="21"/>
                </w:rPr>
                <w:t>ERP套件</w:t>
              </w:r>
              <w:r w:rsidRPr="006E586B">
                <w:rPr>
                  <w:rFonts w:hint="eastAsia"/>
                  <w:color w:val="000000"/>
                  <w:szCs w:val="21"/>
                </w:rPr>
                <w:t>的</w:t>
              </w:r>
              <w:r w:rsidRPr="006E586B">
                <w:rPr>
                  <w:color w:val="000000"/>
                  <w:szCs w:val="21"/>
                </w:rPr>
                <w:t>研发</w:t>
              </w:r>
              <w:r w:rsidRPr="006E586B">
                <w:rPr>
                  <w:rFonts w:hint="eastAsia"/>
                  <w:color w:val="000000"/>
                  <w:szCs w:val="21"/>
                </w:rPr>
                <w:t>。</w:t>
              </w:r>
              <w:r>
                <w:rPr>
                  <w:rFonts w:hint="eastAsia"/>
                  <w:color w:val="000000"/>
                  <w:szCs w:val="21"/>
                </w:rPr>
                <w:t>快速迭代了面向小微企业的畅捷通好会计、好生意、</w:t>
              </w:r>
              <w:proofErr w:type="spellStart"/>
              <w:r>
                <w:rPr>
                  <w:rFonts w:hint="eastAsia"/>
                  <w:color w:val="000000"/>
                  <w:szCs w:val="21"/>
                </w:rPr>
                <w:t>T</w:t>
              </w:r>
              <w:r>
                <w:rPr>
                  <w:color w:val="000000"/>
                  <w:szCs w:val="21"/>
                </w:rPr>
                <w:t>+</w:t>
              </w:r>
              <w:r w:rsidRPr="006E586B">
                <w:rPr>
                  <w:color w:val="000000"/>
                  <w:szCs w:val="21"/>
                </w:rPr>
                <w:t>Cloud</w:t>
              </w:r>
              <w:proofErr w:type="spellEnd"/>
              <w:r>
                <w:rPr>
                  <w:rFonts w:hint="eastAsia"/>
                  <w:color w:val="000000"/>
                  <w:szCs w:val="21"/>
                </w:rPr>
                <w:t>等云产品。</w:t>
              </w:r>
              <w:r w:rsidRPr="006E586B">
                <w:rPr>
                  <w:rFonts w:hint="eastAsia"/>
                  <w:color w:val="000000"/>
                  <w:szCs w:val="21"/>
                </w:rPr>
                <w:t>继续加强了财务、人力、协同、营销、采购、制造等</w:t>
              </w:r>
              <w:r w:rsidRPr="006E586B">
                <w:rPr>
                  <w:color w:val="000000"/>
                  <w:szCs w:val="21"/>
                </w:rPr>
                <w:t>领域云的研发</w:t>
              </w:r>
              <w:r w:rsidRPr="006E586B">
                <w:rPr>
                  <w:rFonts w:hint="eastAsia"/>
                  <w:color w:val="000000"/>
                  <w:szCs w:val="21"/>
                </w:rPr>
                <w:t>，</w:t>
              </w:r>
              <w:r w:rsidRPr="006E586B">
                <w:rPr>
                  <w:color w:val="000000"/>
                  <w:szCs w:val="21"/>
                </w:rPr>
                <w:t>提升了领域云的</w:t>
              </w:r>
              <w:r>
                <w:rPr>
                  <w:rFonts w:hint="eastAsia"/>
                  <w:color w:val="000000"/>
                  <w:szCs w:val="21"/>
                </w:rPr>
                <w:t>性能</w:t>
              </w:r>
              <w:r w:rsidRPr="006E586B">
                <w:rPr>
                  <w:rFonts w:hint="eastAsia"/>
                  <w:color w:val="000000"/>
                  <w:szCs w:val="21"/>
                </w:rPr>
                <w:t>和竞争力。</w:t>
              </w:r>
              <w:r>
                <w:rPr>
                  <w:color w:val="000000"/>
                  <w:szCs w:val="21"/>
                </w:rPr>
                <w:t>发布</w:t>
              </w:r>
              <w:r w:rsidRPr="006E586B">
                <w:rPr>
                  <w:rFonts w:hint="eastAsia"/>
                  <w:color w:val="000000"/>
                  <w:szCs w:val="21"/>
                </w:rPr>
                <w:t>了多个基于</w:t>
              </w:r>
              <w:r>
                <w:rPr>
                  <w:rFonts w:hint="eastAsia"/>
                  <w:color w:val="000000"/>
                  <w:szCs w:val="21"/>
                </w:rPr>
                <w:t>用友</w:t>
              </w:r>
              <w:r w:rsidRPr="006E586B">
                <w:rPr>
                  <w:color w:val="000000"/>
                  <w:szCs w:val="21"/>
                </w:rPr>
                <w:t>NC Cloud</w:t>
              </w:r>
              <w:r w:rsidRPr="006E586B">
                <w:rPr>
                  <w:rFonts w:hint="eastAsia"/>
                  <w:color w:val="000000"/>
                  <w:szCs w:val="21"/>
                </w:rPr>
                <w:t>的行业混合云解决方案，加快了行业云业务</w:t>
              </w:r>
              <w:r>
                <w:rPr>
                  <w:color w:val="000000"/>
                  <w:szCs w:val="21"/>
                </w:rPr>
                <w:t>深</w:t>
              </w:r>
              <w:r w:rsidRPr="006E586B">
                <w:rPr>
                  <w:rFonts w:hint="eastAsia"/>
                  <w:color w:val="000000"/>
                  <w:szCs w:val="21"/>
                </w:rPr>
                <w:t>度发展。</w:t>
              </w:r>
              <w:r>
                <w:rPr>
                  <w:rFonts w:hint="eastAsia"/>
                  <w:color w:val="000000"/>
                  <w:szCs w:val="21"/>
                </w:rPr>
                <w:t>加强了薪税、采购等运营服务业务。</w:t>
              </w:r>
              <w:r w:rsidRPr="006E586B">
                <w:rPr>
                  <w:rFonts w:hint="eastAsia"/>
                  <w:color w:val="000000"/>
                  <w:szCs w:val="21"/>
                </w:rPr>
                <w:t>公司</w:t>
              </w:r>
              <w:r>
                <w:rPr>
                  <w:rFonts w:hint="eastAsia"/>
                  <w:color w:val="000000"/>
                  <w:szCs w:val="21"/>
                </w:rPr>
                <w:t>还</w:t>
              </w:r>
              <w:r w:rsidRPr="006E586B">
                <w:rPr>
                  <w:rFonts w:hint="eastAsia"/>
                  <w:color w:val="000000"/>
                  <w:szCs w:val="21"/>
                </w:rPr>
                <w:t>加强了用友企业云运维服务</w:t>
              </w:r>
              <w:r>
                <w:rPr>
                  <w:rFonts w:hint="eastAsia"/>
                  <w:color w:val="000000"/>
                  <w:szCs w:val="21"/>
                </w:rPr>
                <w:t>业务</w:t>
              </w:r>
              <w:r w:rsidRPr="006E586B">
                <w:rPr>
                  <w:rFonts w:hint="eastAsia"/>
                  <w:color w:val="000000"/>
                  <w:szCs w:val="21"/>
                </w:rPr>
                <w:t>，应用总数、微服务总数、</w:t>
              </w:r>
              <w:r w:rsidRPr="006E586B">
                <w:rPr>
                  <w:color w:val="000000"/>
                  <w:szCs w:val="21"/>
                </w:rPr>
                <w:t>API总数</w:t>
              </w:r>
              <w:r w:rsidRPr="006E586B">
                <w:rPr>
                  <w:rFonts w:hint="eastAsia"/>
                  <w:color w:val="000000"/>
                  <w:szCs w:val="21"/>
                </w:rPr>
                <w:t>、服务器总数、日均调用总数等呈现快速增长。</w:t>
              </w:r>
            </w:p>
            <w:p w:rsidR="000E1F95" w:rsidRDefault="000E1F95" w:rsidP="000E1F95">
              <w:pPr>
                <w:spacing w:line="360" w:lineRule="auto"/>
                <w:ind w:firstLine="420"/>
                <w:jc w:val="both"/>
                <w:rPr>
                  <w:color w:val="000000"/>
                  <w:szCs w:val="21"/>
                </w:rPr>
              </w:pPr>
              <w:r w:rsidRPr="006E586B">
                <w:rPr>
                  <w:color w:val="000000"/>
                  <w:szCs w:val="21"/>
                </w:rPr>
                <w:t>报告期内</w:t>
              </w:r>
              <w:r w:rsidRPr="006E586B">
                <w:rPr>
                  <w:rFonts w:hint="eastAsia"/>
                  <w:color w:val="000000"/>
                  <w:szCs w:val="21"/>
                </w:rPr>
                <w:t>，</w:t>
              </w:r>
              <w:r w:rsidRPr="006E586B">
                <w:rPr>
                  <w:color w:val="000000"/>
                  <w:szCs w:val="21"/>
                </w:rPr>
                <w:t>公司进一步加强了客户经营体系升级工作</w:t>
              </w:r>
              <w:r w:rsidRPr="006E586B">
                <w:rPr>
                  <w:rFonts w:hint="eastAsia"/>
                  <w:color w:val="000000"/>
                  <w:szCs w:val="21"/>
                </w:rPr>
                <w:t>。</w:t>
              </w:r>
              <w:r w:rsidRPr="006E586B">
                <w:rPr>
                  <w:color w:val="000000"/>
                  <w:szCs w:val="21"/>
                </w:rPr>
                <w:t>围绕客户运营和业绩增长</w:t>
              </w:r>
              <w:r w:rsidRPr="006E586B">
                <w:rPr>
                  <w:rFonts w:hint="eastAsia"/>
                  <w:color w:val="000000"/>
                  <w:szCs w:val="21"/>
                </w:rPr>
                <w:t>，</w:t>
              </w:r>
              <w:r>
                <w:rPr>
                  <w:rFonts w:hint="eastAsia"/>
                  <w:color w:val="000000"/>
                  <w:szCs w:val="21"/>
                </w:rPr>
                <w:t>公司</w:t>
              </w:r>
              <w:r w:rsidRPr="006E586B">
                <w:rPr>
                  <w:color w:val="000000"/>
                  <w:szCs w:val="21"/>
                </w:rPr>
                <w:t>在各经营机构中加强了组织裂变</w:t>
              </w:r>
              <w:r>
                <w:rPr>
                  <w:rFonts w:hint="eastAsia"/>
                  <w:color w:val="000000"/>
                  <w:szCs w:val="21"/>
                </w:rPr>
                <w:t>，</w:t>
              </w:r>
              <w:r>
                <w:rPr>
                  <w:color w:val="000000"/>
                  <w:szCs w:val="21"/>
                </w:rPr>
                <w:t>提升了组织绩效</w:t>
              </w:r>
              <w:r w:rsidRPr="006E586B">
                <w:rPr>
                  <w:rFonts w:hint="eastAsia"/>
                  <w:color w:val="000000"/>
                  <w:szCs w:val="21"/>
                </w:rPr>
                <w:t>；加强了数字化用友和</w:t>
              </w:r>
              <w:r w:rsidRPr="006E586B">
                <w:rPr>
                  <w:rFonts w:hint="eastAsia"/>
                  <w:bCs/>
                  <w:color w:val="000000"/>
                  <w:szCs w:val="21"/>
                </w:rPr>
                <w:t>中台赋能，</w:t>
              </w:r>
              <w:r>
                <w:rPr>
                  <w:rFonts w:hint="eastAsia"/>
                  <w:bCs/>
                  <w:color w:val="000000"/>
                  <w:szCs w:val="21"/>
                </w:rPr>
                <w:t>完善</w:t>
              </w:r>
              <w:r w:rsidRPr="006E586B">
                <w:rPr>
                  <w:rFonts w:hint="eastAsia"/>
                  <w:bCs/>
                  <w:color w:val="000000"/>
                  <w:szCs w:val="21"/>
                </w:rPr>
                <w:t>了</w:t>
              </w:r>
              <w:r w:rsidRPr="006E586B">
                <w:rPr>
                  <w:rFonts w:cs="Times New Roman" w:hint="eastAsia"/>
                  <w:color w:val="000000"/>
                  <w:szCs w:val="21"/>
                </w:rPr>
                <w:t>用友</w:t>
              </w:r>
              <w:r w:rsidRPr="006E586B">
                <w:rPr>
                  <w:color w:val="000000"/>
                  <w:szCs w:val="21"/>
                </w:rPr>
                <w:t>NC Cloud</w:t>
              </w:r>
              <w:r>
                <w:rPr>
                  <w:color w:val="000000"/>
                  <w:szCs w:val="21"/>
                </w:rPr>
                <w:t>等</w:t>
              </w:r>
              <w:r>
                <w:rPr>
                  <w:rFonts w:cs="Times New Roman"/>
                  <w:color w:val="000000"/>
                  <w:szCs w:val="21"/>
                </w:rPr>
                <w:t>产品的</w:t>
              </w:r>
              <w:r w:rsidRPr="006E586B">
                <w:rPr>
                  <w:color w:val="000000"/>
                  <w:szCs w:val="21"/>
                </w:rPr>
                <w:t>营销工具</w:t>
              </w:r>
              <w:r w:rsidRPr="006E586B">
                <w:rPr>
                  <w:rFonts w:hint="eastAsia"/>
                  <w:color w:val="000000"/>
                  <w:szCs w:val="21"/>
                </w:rPr>
                <w:t>、</w:t>
              </w:r>
              <w:r w:rsidRPr="006E586B">
                <w:rPr>
                  <w:color w:val="000000"/>
                  <w:szCs w:val="21"/>
                </w:rPr>
                <w:t>营销培训</w:t>
              </w:r>
              <w:r w:rsidRPr="006E586B">
                <w:rPr>
                  <w:rFonts w:hint="eastAsia"/>
                  <w:color w:val="000000"/>
                  <w:szCs w:val="21"/>
                </w:rPr>
                <w:t>、</w:t>
              </w:r>
              <w:r w:rsidRPr="006E586B">
                <w:rPr>
                  <w:color w:val="000000"/>
                  <w:szCs w:val="21"/>
                </w:rPr>
                <w:t>样板案例</w:t>
              </w:r>
              <w:r w:rsidRPr="006E586B">
                <w:rPr>
                  <w:rFonts w:hint="eastAsia"/>
                  <w:color w:val="000000"/>
                  <w:szCs w:val="21"/>
                </w:rPr>
                <w:t>、</w:t>
              </w:r>
              <w:r w:rsidRPr="006E586B">
                <w:rPr>
                  <w:color w:val="000000"/>
                  <w:szCs w:val="21"/>
                </w:rPr>
                <w:t>实施方法论</w:t>
              </w:r>
              <w:r w:rsidRPr="006E586B">
                <w:rPr>
                  <w:rFonts w:hint="eastAsia"/>
                  <w:color w:val="000000"/>
                  <w:szCs w:val="21"/>
                </w:rPr>
                <w:t>、</w:t>
              </w:r>
              <w:r w:rsidRPr="006E586B">
                <w:rPr>
                  <w:color w:val="000000"/>
                  <w:szCs w:val="21"/>
                </w:rPr>
                <w:t>实施工具</w:t>
              </w:r>
              <w:r>
                <w:rPr>
                  <w:color w:val="000000"/>
                  <w:szCs w:val="21"/>
                </w:rPr>
                <w:t>等</w:t>
              </w:r>
              <w:r w:rsidRPr="006E586B">
                <w:rPr>
                  <w:rFonts w:hint="eastAsia"/>
                  <w:color w:val="000000"/>
                  <w:szCs w:val="21"/>
                </w:rPr>
                <w:t>，</w:t>
              </w:r>
              <w:r>
                <w:rPr>
                  <w:rFonts w:hint="eastAsia"/>
                  <w:color w:val="000000"/>
                  <w:szCs w:val="21"/>
                </w:rPr>
                <w:t>有效地支持了</w:t>
              </w:r>
              <w:r w:rsidRPr="00857EC6">
                <w:rPr>
                  <w:color w:val="000000"/>
                  <w:szCs w:val="21"/>
                </w:rPr>
                <w:t>各经营机构</w:t>
              </w:r>
              <w:r>
                <w:rPr>
                  <w:color w:val="000000"/>
                  <w:szCs w:val="21"/>
                </w:rPr>
                <w:t>打单活动</w:t>
              </w:r>
              <w:r>
                <w:rPr>
                  <w:rFonts w:hint="eastAsia"/>
                  <w:color w:val="000000"/>
                  <w:szCs w:val="21"/>
                </w:rPr>
                <w:t>，并</w:t>
              </w:r>
              <w:r>
                <w:rPr>
                  <w:color w:val="000000"/>
                  <w:szCs w:val="21"/>
                </w:rPr>
                <w:t>实现了用友企业云服务业务的高速增长</w:t>
              </w:r>
              <w:r>
                <w:rPr>
                  <w:rFonts w:hint="eastAsia"/>
                  <w:color w:val="000000"/>
                  <w:szCs w:val="21"/>
                </w:rPr>
                <w:t>；积极开展了“</w:t>
              </w:r>
              <w:r w:rsidRPr="00B5480E">
                <w:rPr>
                  <w:rFonts w:hint="eastAsia"/>
                  <w:color w:val="000000"/>
                </w:rPr>
                <w:t>鲲鹏计</w:t>
              </w:r>
              <w:r w:rsidRPr="002F7030">
                <w:rPr>
                  <w:rFonts w:hint="eastAsia"/>
                  <w:color w:val="000000"/>
                </w:rPr>
                <w:t>划</w:t>
              </w:r>
              <w:r>
                <w:rPr>
                  <w:rFonts w:hint="eastAsia"/>
                  <w:color w:val="000000"/>
                </w:rPr>
                <w:t>”、</w:t>
              </w:r>
              <w:r w:rsidRPr="002F7030">
                <w:rPr>
                  <w:bCs/>
                  <w:color w:val="000000"/>
                </w:rPr>
                <w:t>“云鹰行动</w:t>
              </w:r>
              <w:r>
                <w:rPr>
                  <w:rFonts w:hint="eastAsia"/>
                  <w:bCs/>
                  <w:color w:val="000000"/>
                </w:rPr>
                <w:t>”、“战狼行动”等</w:t>
              </w:r>
              <w:r w:rsidRPr="00801417">
                <w:rPr>
                  <w:rFonts w:hint="eastAsia"/>
                  <w:color w:val="000000"/>
                  <w:szCs w:val="21"/>
                </w:rPr>
                <w:t>市场</w:t>
              </w:r>
              <w:r>
                <w:rPr>
                  <w:rFonts w:hint="eastAsia"/>
                  <w:color w:val="000000"/>
                  <w:szCs w:val="21"/>
                </w:rPr>
                <w:t>专项活动</w:t>
              </w:r>
              <w:r w:rsidRPr="00801417">
                <w:rPr>
                  <w:rFonts w:hint="eastAsia"/>
                  <w:color w:val="000000"/>
                  <w:szCs w:val="21"/>
                </w:rPr>
                <w:t>，</w:t>
              </w:r>
              <w:r>
                <w:rPr>
                  <w:rFonts w:hint="eastAsia"/>
                  <w:color w:val="000000"/>
                  <w:szCs w:val="21"/>
                </w:rPr>
                <w:t>通过</w:t>
              </w:r>
              <w:r w:rsidRPr="00801417">
                <w:rPr>
                  <w:rFonts w:hint="eastAsia"/>
                  <w:color w:val="000000"/>
                  <w:szCs w:val="21"/>
                </w:rPr>
                <w:t>公司</w:t>
              </w:r>
              <w:r>
                <w:rPr>
                  <w:rFonts w:hint="eastAsia"/>
                  <w:color w:val="000000"/>
                  <w:szCs w:val="21"/>
                </w:rPr>
                <w:t>商业伙伴大会、用友企业云新品发布会</w:t>
              </w:r>
              <w:r w:rsidRPr="00801417">
                <w:rPr>
                  <w:rFonts w:hint="eastAsia"/>
                  <w:color w:val="000000"/>
                  <w:szCs w:val="21"/>
                </w:rPr>
                <w:t>等</w:t>
              </w:r>
              <w:r>
                <w:rPr>
                  <w:rFonts w:hint="eastAsia"/>
                  <w:color w:val="000000"/>
                  <w:szCs w:val="21"/>
                </w:rPr>
                <w:t>市场</w:t>
              </w:r>
              <w:r w:rsidRPr="00801417">
                <w:rPr>
                  <w:rFonts w:hint="eastAsia"/>
                  <w:color w:val="000000"/>
                  <w:szCs w:val="21"/>
                </w:rPr>
                <w:t>活</w:t>
              </w:r>
              <w:r w:rsidRPr="00801417">
                <w:rPr>
                  <w:rFonts w:hint="eastAsia"/>
                  <w:color w:val="000000"/>
                  <w:szCs w:val="21"/>
                </w:rPr>
                <w:lastRenderedPageBreak/>
                <w:t>动，加强</w:t>
              </w:r>
              <w:r>
                <w:rPr>
                  <w:rFonts w:hint="eastAsia"/>
                  <w:color w:val="000000"/>
                  <w:szCs w:val="21"/>
                </w:rPr>
                <w:t>了市场</w:t>
              </w:r>
              <w:r w:rsidRPr="00801417">
                <w:rPr>
                  <w:rFonts w:hint="eastAsia"/>
                  <w:color w:val="000000"/>
                  <w:szCs w:val="21"/>
                </w:rPr>
                <w:t>传播，提高</w:t>
              </w:r>
              <w:r>
                <w:rPr>
                  <w:rFonts w:hint="eastAsia"/>
                  <w:color w:val="000000"/>
                  <w:szCs w:val="21"/>
                </w:rPr>
                <w:t>了</w:t>
              </w:r>
              <w:r w:rsidRPr="00801417">
                <w:rPr>
                  <w:rFonts w:hint="eastAsia"/>
                  <w:color w:val="000000"/>
                  <w:szCs w:val="21"/>
                </w:rPr>
                <w:t>市场</w:t>
              </w:r>
              <w:r>
                <w:rPr>
                  <w:rFonts w:hint="eastAsia"/>
                  <w:color w:val="000000"/>
                  <w:szCs w:val="21"/>
                </w:rPr>
                <w:t>对公司</w:t>
              </w:r>
              <w:r>
                <w:rPr>
                  <w:color w:val="000000"/>
                </w:rPr>
                <w:t>作为</w:t>
              </w:r>
              <w:r w:rsidRPr="00857EC6">
                <w:rPr>
                  <w:color w:val="000000"/>
                </w:rPr>
                <w:t>企业服务</w:t>
              </w:r>
              <w:r>
                <w:rPr>
                  <w:color w:val="000000"/>
                </w:rPr>
                <w:t>领导厂商的</w:t>
              </w:r>
              <w:r w:rsidRPr="00801417">
                <w:rPr>
                  <w:rFonts w:hint="eastAsia"/>
                  <w:color w:val="000000"/>
                  <w:szCs w:val="21"/>
                </w:rPr>
                <w:t>认知</w:t>
              </w:r>
              <w:r>
                <w:rPr>
                  <w:rFonts w:hint="eastAsia"/>
                  <w:color w:val="000000"/>
                  <w:szCs w:val="21"/>
                </w:rPr>
                <w:t>，拉动了公司</w:t>
              </w:r>
              <w:r>
                <w:rPr>
                  <w:color w:val="000000"/>
                  <w:szCs w:val="21"/>
                </w:rPr>
                <w:t>云服务业务的高增长</w:t>
              </w:r>
              <w:r>
                <w:rPr>
                  <w:rFonts w:hint="eastAsia"/>
                  <w:color w:val="000000"/>
                  <w:szCs w:val="21"/>
                </w:rPr>
                <w:t>。</w:t>
              </w:r>
            </w:p>
            <w:p w:rsidR="000E1F95" w:rsidRDefault="000E1F95" w:rsidP="000E1F95">
              <w:pPr>
                <w:spacing w:line="360" w:lineRule="auto"/>
                <w:ind w:firstLine="420"/>
                <w:jc w:val="both"/>
                <w:rPr>
                  <w:rFonts w:cs="Times New Roman"/>
                  <w:color w:val="000000"/>
                  <w:szCs w:val="21"/>
                </w:rPr>
              </w:pPr>
              <w:r w:rsidRPr="00857EC6">
                <w:rPr>
                  <w:color w:val="000000"/>
                  <w:szCs w:val="21"/>
                </w:rPr>
                <w:t>报告期内</w:t>
              </w:r>
              <w:r w:rsidRPr="00857EC6">
                <w:rPr>
                  <w:rFonts w:hint="eastAsia"/>
                  <w:color w:val="000000"/>
                  <w:szCs w:val="21"/>
                </w:rPr>
                <w:t>，</w:t>
              </w:r>
              <w:r w:rsidRPr="00857EC6">
                <w:rPr>
                  <w:color w:val="000000"/>
                  <w:szCs w:val="21"/>
                </w:rPr>
                <w:t>公司</w:t>
              </w:r>
              <w:r>
                <w:rPr>
                  <w:color w:val="000000"/>
                  <w:szCs w:val="21"/>
                </w:rPr>
                <w:t>重视并</w:t>
              </w:r>
              <w:r>
                <w:rPr>
                  <w:color w:val="000000"/>
                </w:rPr>
                <w:t>加强</w:t>
              </w:r>
              <w:r>
                <w:rPr>
                  <w:rFonts w:hint="eastAsia"/>
                  <w:color w:val="000000"/>
                </w:rPr>
                <w:t>了生态战略</w:t>
              </w:r>
              <w:r>
                <w:rPr>
                  <w:color w:val="000000"/>
                </w:rPr>
                <w:t>建设</w:t>
              </w:r>
              <w:r>
                <w:rPr>
                  <w:rFonts w:hint="eastAsia"/>
                  <w:color w:val="000000"/>
                </w:rPr>
                <w:t>。</w:t>
              </w:r>
              <w:r w:rsidRPr="00857EC6">
                <w:rPr>
                  <w:rFonts w:hint="eastAsia"/>
                  <w:color w:val="000000"/>
                </w:rPr>
                <w:t>公司</w:t>
              </w:r>
              <w:r>
                <w:rPr>
                  <w:rFonts w:hint="eastAsia"/>
                  <w:color w:val="000000"/>
                </w:rPr>
                <w:t>重点加强了</w:t>
              </w:r>
              <w:r w:rsidRPr="00857EC6">
                <w:rPr>
                  <w:color w:val="000000"/>
                </w:rPr>
                <w:t>与华为、</w:t>
              </w:r>
              <w:r>
                <w:rPr>
                  <w:rFonts w:hint="eastAsia"/>
                  <w:color w:val="000000"/>
                </w:rPr>
                <w:t>中国</w:t>
              </w:r>
              <w:r w:rsidRPr="00857EC6">
                <w:rPr>
                  <w:color w:val="000000"/>
                </w:rPr>
                <w:t>电信</w:t>
              </w:r>
              <w:r>
                <w:rPr>
                  <w:rFonts w:hint="eastAsia"/>
                  <w:color w:val="000000"/>
                </w:rPr>
                <w:t>、</w:t>
              </w:r>
              <w:r>
                <w:rPr>
                  <w:color w:val="000000"/>
                </w:rPr>
                <w:t>中国工商银行</w:t>
              </w:r>
              <w:r w:rsidRPr="00857EC6">
                <w:rPr>
                  <w:color w:val="000000"/>
                </w:rPr>
                <w:t>等战略</w:t>
              </w:r>
              <w:r>
                <w:rPr>
                  <w:color w:val="000000"/>
                </w:rPr>
                <w:t>合作伙伴的业务合作</w:t>
              </w:r>
              <w:r>
                <w:rPr>
                  <w:rFonts w:hint="eastAsia"/>
                  <w:color w:val="000000"/>
                </w:rPr>
                <w:t>，制定了专项计划，并积极落地，</w:t>
              </w:r>
              <w:r w:rsidRPr="00857EC6">
                <w:rPr>
                  <w:color w:val="000000"/>
                </w:rPr>
                <w:t>取得</w:t>
              </w:r>
              <w:r>
                <w:rPr>
                  <w:color w:val="000000"/>
                </w:rPr>
                <w:t>了阶段性成果</w:t>
              </w:r>
              <w:r>
                <w:rPr>
                  <w:rFonts w:hint="eastAsia"/>
                  <w:color w:val="000000"/>
                </w:rPr>
                <w:t>；公司</w:t>
              </w:r>
              <w:r w:rsidRPr="00857EC6">
                <w:rPr>
                  <w:color w:val="000000"/>
                </w:rPr>
                <w:t>云市场</w:t>
              </w:r>
              <w:r w:rsidRPr="00857EC6">
                <w:rPr>
                  <w:rFonts w:hint="eastAsia"/>
                  <w:color w:val="000000"/>
                </w:rPr>
                <w:t>入驻</w:t>
              </w:r>
              <w:r w:rsidRPr="00857EC6">
                <w:rPr>
                  <w:color w:val="000000"/>
                </w:rPr>
                <w:t>生态伙</w:t>
              </w:r>
              <w:r w:rsidRPr="00857EC6">
                <w:rPr>
                  <w:rFonts w:hint="eastAsia"/>
                  <w:color w:val="000000"/>
                </w:rPr>
                <w:t>伴稳步增长，入驻伙伴突破</w:t>
              </w:r>
              <w:r w:rsidRPr="00857EC6">
                <w:rPr>
                  <w:color w:val="000000"/>
                </w:rPr>
                <w:t>4000家</w:t>
              </w:r>
              <w:r>
                <w:rPr>
                  <w:rFonts w:hint="eastAsia"/>
                  <w:color w:val="000000"/>
                </w:rPr>
                <w:t>，</w:t>
              </w:r>
              <w:r w:rsidRPr="00857EC6">
                <w:rPr>
                  <w:color w:val="000000"/>
                </w:rPr>
                <w:t>入驻产品及服务突破6200款</w:t>
              </w:r>
              <w:r w:rsidRPr="00857EC6">
                <w:rPr>
                  <w:rFonts w:hint="eastAsia"/>
                  <w:color w:val="000000"/>
                </w:rPr>
                <w:t>，</w:t>
              </w:r>
              <w:r w:rsidRPr="00857EC6">
                <w:rPr>
                  <w:color w:val="000000"/>
                </w:rPr>
                <w:t>进一步巩固</w:t>
              </w:r>
              <w:r>
                <w:rPr>
                  <w:color w:val="000000"/>
                </w:rPr>
                <w:t>了公司作为</w:t>
              </w:r>
              <w:r w:rsidRPr="00857EC6">
                <w:rPr>
                  <w:color w:val="000000"/>
                </w:rPr>
                <w:t>企业服务</w:t>
              </w:r>
              <w:r>
                <w:rPr>
                  <w:color w:val="000000"/>
                </w:rPr>
                <w:t>领导厂商地位</w:t>
              </w:r>
              <w:r>
                <w:rPr>
                  <w:rFonts w:hint="eastAsia"/>
                  <w:color w:val="000000"/>
                </w:rPr>
                <w:t>；</w:t>
              </w:r>
              <w:r w:rsidRPr="004F3071">
                <w:rPr>
                  <w:rFonts w:cs="Times New Roman" w:hint="eastAsia"/>
                  <w:color w:val="000000"/>
                  <w:szCs w:val="21"/>
                </w:rPr>
                <w:t>公司</w:t>
              </w:r>
              <w:r w:rsidRPr="004F3071">
                <w:rPr>
                  <w:rFonts w:cs="Times New Roman"/>
                  <w:color w:val="000000"/>
                  <w:szCs w:val="21"/>
                </w:rPr>
                <w:t>联合中国软协</w:t>
              </w:r>
              <w:r>
                <w:rPr>
                  <w:rFonts w:cs="Times New Roman"/>
                  <w:color w:val="000000"/>
                  <w:szCs w:val="21"/>
                </w:rPr>
                <w:t>及</w:t>
              </w:r>
              <w:r w:rsidRPr="004F3071">
                <w:rPr>
                  <w:rFonts w:cs="Times New Roman"/>
                  <w:color w:val="000000"/>
                  <w:szCs w:val="21"/>
                </w:rPr>
                <w:t>华为、中国电科普华、上海兆芯、龙芯中科、360</w:t>
              </w:r>
              <w:r>
                <w:rPr>
                  <w:rFonts w:cs="Times New Roman"/>
                  <w:color w:val="000000"/>
                  <w:szCs w:val="21"/>
                </w:rPr>
                <w:t>企业安全等国内知名厂商，共同发起组建了</w:t>
              </w:r>
              <w:r w:rsidRPr="004F3071">
                <w:rPr>
                  <w:rFonts w:cs="Times New Roman"/>
                  <w:color w:val="000000"/>
                  <w:szCs w:val="21"/>
                </w:rPr>
                <w:t>“企业数字化自主可控服务联盟”</w:t>
              </w:r>
              <w:r>
                <w:rPr>
                  <w:rFonts w:cs="Times New Roman" w:hint="eastAsia"/>
                  <w:color w:val="000000"/>
                  <w:szCs w:val="21"/>
                </w:rPr>
                <w:t>，</w:t>
              </w:r>
              <w:r>
                <w:rPr>
                  <w:rFonts w:cs="Times New Roman"/>
                  <w:color w:val="000000"/>
                  <w:szCs w:val="21"/>
                </w:rPr>
                <w:t>积极推动了企业数字化</w:t>
              </w:r>
              <w:r>
                <w:rPr>
                  <w:rFonts w:cs="Times New Roman" w:hint="eastAsia"/>
                  <w:color w:val="000000"/>
                  <w:szCs w:val="21"/>
                </w:rPr>
                <w:t>、</w:t>
              </w:r>
              <w:r w:rsidR="006575B6">
                <w:rPr>
                  <w:rFonts w:cs="Times New Roman" w:hint="eastAsia"/>
                  <w:color w:val="000000"/>
                  <w:szCs w:val="21"/>
                </w:rPr>
                <w:t>国产化</w:t>
              </w:r>
              <w:r>
                <w:rPr>
                  <w:rFonts w:cs="Times New Roman" w:hint="eastAsia"/>
                  <w:color w:val="000000"/>
                  <w:szCs w:val="21"/>
                </w:rPr>
                <w:t>工作。</w:t>
              </w:r>
            </w:p>
            <w:p w:rsidR="000E1F95" w:rsidRPr="006E586B" w:rsidRDefault="000E1F95" w:rsidP="000E1F95">
              <w:pPr>
                <w:spacing w:line="360" w:lineRule="auto"/>
                <w:ind w:firstLine="420"/>
                <w:jc w:val="both"/>
                <w:rPr>
                  <w:color w:val="FF0000"/>
                  <w:shd w:val="clear" w:color="auto" w:fill="FFFFFF"/>
                </w:rPr>
              </w:pPr>
              <w:r w:rsidRPr="006E586B">
                <w:rPr>
                  <w:rFonts w:hint="eastAsia"/>
                  <w:color w:val="000000"/>
                </w:rPr>
                <w:t>报告期内，</w:t>
              </w:r>
              <w:r>
                <w:rPr>
                  <w:rFonts w:hint="eastAsia"/>
                  <w:color w:val="000000"/>
                </w:rPr>
                <w:t>公司</w:t>
              </w:r>
              <w:r w:rsidRPr="006E586B">
                <w:rPr>
                  <w:rFonts w:hint="eastAsia"/>
                  <w:color w:val="000000"/>
                </w:rPr>
                <w:t>企业支付业务</w:t>
              </w:r>
              <w:r w:rsidRPr="006E586B">
                <w:rPr>
                  <w:color w:val="000000"/>
                </w:rPr>
                <w:t>升级</w:t>
              </w:r>
              <w:r>
                <w:rPr>
                  <w:color w:val="000000"/>
                </w:rPr>
                <w:t>了</w:t>
              </w:r>
              <w:r w:rsidRPr="006E586B">
                <w:rPr>
                  <w:color w:val="000000"/>
                </w:rPr>
                <w:t>核心平台系统</w:t>
              </w:r>
              <w:r w:rsidRPr="006E586B">
                <w:rPr>
                  <w:rFonts w:hint="eastAsia"/>
                  <w:color w:val="000000"/>
                </w:rPr>
                <w:t>，推出</w:t>
              </w:r>
              <w:r>
                <w:rPr>
                  <w:rFonts w:hint="eastAsia"/>
                  <w:color w:val="000000"/>
                </w:rPr>
                <w:t>了多个</w:t>
              </w:r>
              <w:r w:rsidRPr="006E586B">
                <w:rPr>
                  <w:color w:val="000000"/>
                </w:rPr>
                <w:t>行业应用支付解决方案</w:t>
              </w:r>
              <w:r>
                <w:rPr>
                  <w:rFonts w:hint="eastAsia"/>
                  <w:color w:val="000000"/>
                </w:rPr>
                <w:t>；</w:t>
              </w:r>
              <w:r w:rsidRPr="006E586B">
                <w:rPr>
                  <w:color w:val="000000"/>
                </w:rPr>
                <w:t>通过</w:t>
              </w:r>
              <w:r w:rsidRPr="006E586B">
                <w:rPr>
                  <w:rFonts w:hint="eastAsia"/>
                  <w:color w:val="000000"/>
                </w:rPr>
                <w:t>严控业务风险，主动</w:t>
              </w:r>
              <w:r>
                <w:rPr>
                  <w:color w:val="000000"/>
                </w:rPr>
                <w:t>适应</w:t>
              </w:r>
              <w:r w:rsidRPr="006E586B">
                <w:rPr>
                  <w:rFonts w:hint="eastAsia"/>
                  <w:color w:val="000000"/>
                </w:rPr>
                <w:t>监管政策变化，全面提升</w:t>
              </w:r>
              <w:r>
                <w:rPr>
                  <w:rFonts w:hint="eastAsia"/>
                  <w:color w:val="000000"/>
                </w:rPr>
                <w:t>了</w:t>
              </w:r>
              <w:r w:rsidRPr="006E586B">
                <w:rPr>
                  <w:rFonts w:hint="eastAsia"/>
                  <w:color w:val="000000"/>
                </w:rPr>
                <w:t>企业支付综合服务能力。</w:t>
              </w:r>
              <w:r>
                <w:rPr>
                  <w:rFonts w:hint="eastAsia"/>
                  <w:color w:val="000000"/>
                </w:rPr>
                <w:t>公司</w:t>
              </w:r>
              <w:r w:rsidRPr="006E586B">
                <w:rPr>
                  <w:rFonts w:hint="eastAsia"/>
                  <w:color w:val="000000"/>
                </w:rPr>
                <w:t>互联网投融资信息服务业务按照金融监管部门</w:t>
              </w:r>
              <w:r>
                <w:rPr>
                  <w:color w:val="000000"/>
                </w:rPr>
                <w:t>规定</w:t>
              </w:r>
              <w:r>
                <w:rPr>
                  <w:rFonts w:hint="eastAsia"/>
                  <w:color w:val="000000"/>
                </w:rPr>
                <w:t>，继续坚持稳健经营，控制适度规模，积极</w:t>
              </w:r>
              <w:r w:rsidRPr="006E586B">
                <w:rPr>
                  <w:rFonts w:hint="eastAsia"/>
                  <w:color w:val="000000"/>
                </w:rPr>
                <w:t>落实“三降”</w:t>
              </w:r>
              <w:r>
                <w:rPr>
                  <w:rFonts w:hint="eastAsia"/>
                  <w:color w:val="000000"/>
                </w:rPr>
                <w:t>要求</w:t>
              </w:r>
              <w:r w:rsidRPr="006E586B">
                <w:rPr>
                  <w:rFonts w:hint="eastAsia"/>
                  <w:color w:val="000000"/>
                </w:rPr>
                <w:t>，业务稳定</w:t>
              </w:r>
              <w:r>
                <w:rPr>
                  <w:rFonts w:hint="eastAsia"/>
                  <w:color w:val="000000"/>
                </w:rPr>
                <w:t>，</w:t>
              </w:r>
              <w:r w:rsidRPr="006E586B">
                <w:rPr>
                  <w:rFonts w:hint="eastAsia"/>
                  <w:color w:val="000000"/>
                </w:rPr>
                <w:t>风险可控</w:t>
              </w:r>
              <w:r w:rsidRPr="006E586B">
                <w:rPr>
                  <w:rFonts w:hint="eastAsia"/>
                  <w:shd w:val="clear" w:color="auto" w:fill="FFFFFF"/>
                </w:rPr>
                <w:t>。</w:t>
              </w:r>
            </w:p>
            <w:p w:rsidR="00AD2449" w:rsidRPr="00E04FAA" w:rsidRDefault="000E1F95" w:rsidP="000E1F95">
              <w:pPr>
                <w:autoSpaceDE w:val="0"/>
                <w:autoSpaceDN w:val="0"/>
                <w:adjustRightInd w:val="0"/>
                <w:spacing w:before="50" w:after="50" w:line="360" w:lineRule="auto"/>
                <w:ind w:firstLineChars="200" w:firstLine="420"/>
                <w:jc w:val="both"/>
                <w:rPr>
                  <w:shd w:val="clear" w:color="auto" w:fill="FFFFFF"/>
                </w:rPr>
              </w:pPr>
              <w:r w:rsidRPr="00752D6C">
                <w:rPr>
                  <w:rFonts w:hint="eastAsia"/>
                  <w:shd w:val="clear" w:color="auto" w:fill="FFFFFF"/>
                </w:rPr>
                <w:t>报告期内，公司</w:t>
              </w:r>
              <w:r>
                <w:rPr>
                  <w:rFonts w:hint="eastAsia"/>
                  <w:shd w:val="clear" w:color="auto" w:fill="FFFFFF"/>
                </w:rPr>
                <w:t>加强了人才队伍和文化建设，</w:t>
              </w:r>
              <w:r w:rsidRPr="00752D6C">
                <w:rPr>
                  <w:rFonts w:hint="eastAsia"/>
                  <w:shd w:val="clear" w:color="auto" w:fill="FFFFFF"/>
                </w:rPr>
                <w:t>积极引进人才，</w:t>
              </w:r>
              <w:r>
                <w:rPr>
                  <w:rFonts w:hint="eastAsia"/>
                  <w:shd w:val="clear" w:color="auto" w:fill="FFFFFF"/>
                </w:rPr>
                <w:t>同时</w:t>
              </w:r>
              <w:r w:rsidRPr="00752D6C">
                <w:rPr>
                  <w:rFonts w:hint="eastAsia"/>
                  <w:shd w:val="clear" w:color="auto" w:fill="FFFFFF"/>
                </w:rPr>
                <w:t>加强</w:t>
              </w:r>
              <w:r>
                <w:rPr>
                  <w:rFonts w:hint="eastAsia"/>
                  <w:shd w:val="clear" w:color="auto" w:fill="FFFFFF"/>
                </w:rPr>
                <w:t>员工业绩</w:t>
              </w:r>
              <w:r>
                <w:rPr>
                  <w:shd w:val="clear" w:color="auto" w:fill="FFFFFF"/>
                </w:rPr>
                <w:t>末位管理</w:t>
              </w:r>
              <w:r w:rsidRPr="00752D6C">
                <w:rPr>
                  <w:rFonts w:hint="eastAsia"/>
                  <w:shd w:val="clear" w:color="auto" w:fill="FFFFFF"/>
                </w:rPr>
                <w:t>，提升了人才竞争力，改进了组织绩效。截止报告期末，公司员工总数为</w:t>
              </w:r>
              <w:r w:rsidRPr="00752D6C">
                <w:rPr>
                  <w:shd w:val="clear" w:color="auto" w:fill="FFFFFF"/>
                </w:rPr>
                <w:t>16</w:t>
              </w:r>
              <w:r>
                <w:rPr>
                  <w:shd w:val="clear" w:color="auto" w:fill="FFFFFF"/>
                </w:rPr>
                <w:t>,</w:t>
              </w:r>
              <w:r w:rsidRPr="00752D6C">
                <w:rPr>
                  <w:shd w:val="clear" w:color="auto" w:fill="FFFFFF"/>
                </w:rPr>
                <w:t>359</w:t>
              </w:r>
              <w:r w:rsidRPr="00752D6C">
                <w:rPr>
                  <w:rFonts w:hint="eastAsia"/>
                  <w:shd w:val="clear" w:color="auto" w:fill="FFFFFF"/>
                </w:rPr>
                <w:t>人，比本报告期初增长了1</w:t>
              </w:r>
              <w:r w:rsidRPr="00752D6C">
                <w:rPr>
                  <w:shd w:val="clear" w:color="auto" w:fill="FFFFFF"/>
                </w:rPr>
                <w:t>.74</w:t>
              </w:r>
              <w:r w:rsidRPr="00752D6C">
                <w:rPr>
                  <w:rFonts w:hint="eastAsia"/>
                  <w:shd w:val="clear" w:color="auto" w:fill="FFFFFF"/>
                </w:rPr>
                <w:t>%。</w:t>
              </w:r>
            </w:p>
            <w:p w:rsidR="00AD2449" w:rsidRPr="00E04FAA" w:rsidRDefault="00BB3160" w:rsidP="00AD2449">
              <w:pPr>
                <w:tabs>
                  <w:tab w:val="left" w:pos="567"/>
                </w:tabs>
                <w:spacing w:beforeLines="100" w:before="240" w:afterLines="50" w:after="120" w:line="360" w:lineRule="auto"/>
                <w:jc w:val="both"/>
                <w:rPr>
                  <w:b/>
                </w:rPr>
              </w:pPr>
              <w:r w:rsidRPr="00E04FAA">
                <w:rPr>
                  <w:rFonts w:hint="eastAsia"/>
                  <w:b/>
                </w:rPr>
                <w:t>（三）</w:t>
              </w:r>
              <w:r w:rsidR="00AD2449" w:rsidRPr="00E04FAA">
                <w:rPr>
                  <w:rFonts w:hint="eastAsia"/>
                  <w:b/>
                </w:rPr>
                <w:t>公司下半年工作计划</w:t>
              </w:r>
            </w:p>
            <w:p w:rsidR="000E1F95" w:rsidRPr="006E586B" w:rsidRDefault="000E1F95" w:rsidP="000E1F95">
              <w:pPr>
                <w:spacing w:line="360" w:lineRule="auto"/>
                <w:ind w:firstLine="420"/>
                <w:jc w:val="both"/>
                <w:rPr>
                  <w:color w:val="000000"/>
                </w:rPr>
              </w:pPr>
              <w:r>
                <w:rPr>
                  <w:rFonts w:hint="eastAsia"/>
                  <w:color w:val="000000"/>
                </w:rPr>
                <w:t>下半年，</w:t>
              </w:r>
              <w:r w:rsidRPr="006E586B">
                <w:rPr>
                  <w:rFonts w:hint="eastAsia"/>
                  <w:color w:val="000000"/>
                </w:rPr>
                <w:t>公司将继续执行用友</w:t>
              </w:r>
              <w:r w:rsidRPr="006E586B">
                <w:rPr>
                  <w:color w:val="000000"/>
                </w:rPr>
                <w:t>3.0</w:t>
              </w:r>
              <w:r w:rsidRPr="006E586B">
                <w:rPr>
                  <w:rFonts w:hint="eastAsia"/>
                  <w:color w:val="000000"/>
                </w:rPr>
                <w:t>战略，</w:t>
              </w:r>
              <w:r w:rsidRPr="00857EC6">
                <w:rPr>
                  <w:rFonts w:hint="eastAsia"/>
                  <w:color w:val="000000"/>
                  <w:szCs w:val="21"/>
                </w:rPr>
                <w:t>抢抓企业数字化、</w:t>
              </w:r>
              <w:r w:rsidR="006575B6">
                <w:rPr>
                  <w:rFonts w:hint="eastAsia"/>
                  <w:color w:val="000000"/>
                  <w:szCs w:val="21"/>
                </w:rPr>
                <w:t>国产化</w:t>
              </w:r>
              <w:r w:rsidRPr="00857EC6">
                <w:rPr>
                  <w:rFonts w:hint="eastAsia"/>
                  <w:color w:val="000000"/>
                  <w:szCs w:val="21"/>
                </w:rPr>
                <w:t>的</w:t>
              </w:r>
              <w:r w:rsidRPr="006E586B">
                <w:rPr>
                  <w:rFonts w:hint="eastAsia"/>
                  <w:color w:val="000000"/>
                </w:rPr>
                <w:t>历史性大机遇，</w:t>
              </w:r>
              <w:r>
                <w:rPr>
                  <w:rFonts w:hint="eastAsia"/>
                  <w:color w:val="000000"/>
                </w:rPr>
                <w:t>加大投入，加快发展，积极</w:t>
              </w:r>
              <w:r>
                <w:rPr>
                  <w:color w:val="000000"/>
                </w:rPr>
                <w:t>扎实推进</w:t>
              </w:r>
              <w:r w:rsidRPr="006E586B">
                <w:rPr>
                  <w:rFonts w:hint="eastAsia"/>
                  <w:color w:val="000000"/>
                </w:rPr>
                <w:t>各项经营计划，全面</w:t>
              </w:r>
              <w:r>
                <w:rPr>
                  <w:rFonts w:hint="eastAsia"/>
                  <w:color w:val="000000"/>
                </w:rPr>
                <w:t>实现</w:t>
              </w:r>
              <w:r w:rsidRPr="006E586B">
                <w:rPr>
                  <w:color w:val="000000"/>
                </w:rPr>
                <w:t>2019</w:t>
              </w:r>
              <w:r w:rsidRPr="006E586B">
                <w:rPr>
                  <w:rFonts w:hint="eastAsia"/>
                  <w:color w:val="000000"/>
                </w:rPr>
                <w:t>年度</w:t>
              </w:r>
              <w:r>
                <w:rPr>
                  <w:rFonts w:hint="eastAsia"/>
                  <w:color w:val="000000"/>
                </w:rPr>
                <w:t>公司</w:t>
              </w:r>
              <w:r w:rsidRPr="006E586B">
                <w:rPr>
                  <w:rFonts w:hint="eastAsia"/>
                  <w:color w:val="000000"/>
                </w:rPr>
                <w:t>各项经营</w:t>
              </w:r>
              <w:r w:rsidRPr="006E586B">
                <w:rPr>
                  <w:color w:val="000000"/>
                </w:rPr>
                <w:t>任务</w:t>
              </w:r>
              <w:r>
                <w:rPr>
                  <w:color w:val="000000"/>
                </w:rPr>
                <w:t>和目标</w:t>
              </w:r>
              <w:r>
                <w:rPr>
                  <w:rFonts w:hint="eastAsia"/>
                  <w:color w:val="000000"/>
                </w:rPr>
                <w:t>。</w:t>
              </w:r>
            </w:p>
            <w:p w:rsidR="000E1F95" w:rsidRPr="006E586B" w:rsidRDefault="000E1F95" w:rsidP="000E1F95">
              <w:pPr>
                <w:spacing w:line="360" w:lineRule="auto"/>
                <w:ind w:firstLineChars="201" w:firstLine="424"/>
                <w:rPr>
                  <w:b/>
                </w:rPr>
              </w:pPr>
              <w:r w:rsidRPr="006E586B">
                <w:rPr>
                  <w:b/>
                </w:rPr>
                <w:t>1</w:t>
              </w:r>
              <w:r w:rsidRPr="006E586B">
                <w:rPr>
                  <w:rFonts w:hint="eastAsia"/>
                  <w:b/>
                </w:rPr>
                <w:t>、</w:t>
              </w:r>
              <w:r>
                <w:rPr>
                  <w:rFonts w:hint="eastAsia"/>
                  <w:b/>
                  <w:bCs/>
                </w:rPr>
                <w:t>加大投入，加快产品发展</w:t>
              </w:r>
              <w:r w:rsidRPr="00D71A8F">
                <w:rPr>
                  <w:rFonts w:hint="eastAsia"/>
                  <w:b/>
                  <w:bCs/>
                </w:rPr>
                <w:t>，提升</w:t>
              </w:r>
              <w:r>
                <w:rPr>
                  <w:rFonts w:hint="eastAsia"/>
                  <w:b/>
                  <w:bCs/>
                </w:rPr>
                <w:t>核心竞争力</w:t>
              </w:r>
            </w:p>
            <w:p w:rsidR="000E1F95" w:rsidRPr="006E586B" w:rsidRDefault="000E1F95" w:rsidP="000E1F95">
              <w:pPr>
                <w:spacing w:line="360" w:lineRule="auto"/>
                <w:ind w:firstLine="420"/>
                <w:jc w:val="both"/>
                <w:rPr>
                  <w:color w:val="000000"/>
                </w:rPr>
              </w:pPr>
              <w:r w:rsidRPr="006E586B">
                <w:rPr>
                  <w:rFonts w:hint="eastAsia"/>
                  <w:color w:val="000000"/>
                </w:rPr>
                <w:t>公司</w:t>
              </w:r>
              <w:r>
                <w:rPr>
                  <w:rFonts w:hint="eastAsia"/>
                  <w:color w:val="000000"/>
                </w:rPr>
                <w:t>将加大研发</w:t>
              </w:r>
              <w:r w:rsidRPr="006E586B">
                <w:rPr>
                  <w:rFonts w:hint="eastAsia"/>
                  <w:color w:val="000000"/>
                </w:rPr>
                <w:t>投入，</w:t>
              </w:r>
              <w:r>
                <w:rPr>
                  <w:rFonts w:hint="eastAsia"/>
                  <w:color w:val="000000"/>
                </w:rPr>
                <w:t>重点加大对</w:t>
              </w:r>
              <w:r w:rsidRPr="006E586B">
                <w:rPr>
                  <w:rFonts w:hint="eastAsia"/>
                  <w:color w:val="000000"/>
                  <w:szCs w:val="21"/>
                </w:rPr>
                <w:t>用友</w:t>
              </w:r>
              <w:r w:rsidRPr="006757C8">
                <w:rPr>
                  <w:rFonts w:hint="eastAsia"/>
                  <w:color w:val="000000"/>
                  <w:szCs w:val="21"/>
                </w:rPr>
                <w:t>面向成长型企业的云</w:t>
              </w:r>
              <w:r w:rsidRPr="006757C8">
                <w:rPr>
                  <w:color w:val="000000"/>
                  <w:szCs w:val="21"/>
                </w:rPr>
                <w:t>ERP套件</w:t>
              </w:r>
              <w:r>
                <w:rPr>
                  <w:rFonts w:hint="eastAsia"/>
                  <w:color w:val="000000"/>
                  <w:szCs w:val="21"/>
                </w:rPr>
                <w:t>、</w:t>
              </w:r>
              <w:r w:rsidRPr="006E586B">
                <w:rPr>
                  <w:rFonts w:hint="eastAsia"/>
                  <w:color w:val="000000"/>
                  <w:szCs w:val="21"/>
                </w:rPr>
                <w:t>云平台</w:t>
              </w:r>
              <w:r>
                <w:rPr>
                  <w:rFonts w:hint="eastAsia"/>
                  <w:color w:val="000000"/>
                  <w:szCs w:val="21"/>
                </w:rPr>
                <w:t>、财务云、制造云的研发投入，继续</w:t>
              </w:r>
              <w:r>
                <w:rPr>
                  <w:rFonts w:hint="eastAsia"/>
                  <w:color w:val="000000"/>
                </w:rPr>
                <w:t>积极引进优秀研发人才，同时</w:t>
              </w:r>
              <w:r>
                <w:rPr>
                  <w:color w:val="000000"/>
                </w:rPr>
                <w:t>要</w:t>
              </w:r>
              <w:r w:rsidRPr="006E586B">
                <w:rPr>
                  <w:rFonts w:hint="eastAsia"/>
                  <w:color w:val="000000"/>
                </w:rPr>
                <w:t>发挥攻坚克难的研发精神，</w:t>
              </w:r>
              <w:r>
                <w:rPr>
                  <w:color w:val="000000"/>
                </w:rPr>
                <w:t>抢抓</w:t>
              </w:r>
              <w:r w:rsidRPr="006E586B">
                <w:rPr>
                  <w:rFonts w:hint="eastAsia"/>
                  <w:color w:val="000000"/>
                </w:rPr>
                <w:t>机遇，研发先行，全</w:t>
              </w:r>
              <w:r>
                <w:rPr>
                  <w:color w:val="000000"/>
                </w:rPr>
                <w:t>面支撑</w:t>
              </w:r>
              <w:r>
                <w:rPr>
                  <w:rFonts w:hint="eastAsia"/>
                  <w:color w:val="000000"/>
                </w:rPr>
                <w:t>用友</w:t>
              </w:r>
              <w:r w:rsidRPr="006E586B">
                <w:rPr>
                  <w:rFonts w:hint="eastAsia"/>
                  <w:color w:val="000000"/>
                </w:rPr>
                <w:t>企业云服务</w:t>
              </w:r>
              <w:r>
                <w:rPr>
                  <w:rFonts w:hint="eastAsia"/>
                  <w:color w:val="000000"/>
                </w:rPr>
                <w:t>业务</w:t>
              </w:r>
              <w:r w:rsidRPr="006E586B">
                <w:rPr>
                  <w:rFonts w:hint="eastAsia"/>
                  <w:color w:val="000000"/>
                </w:rPr>
                <w:t>发展。</w:t>
              </w:r>
              <w:r>
                <w:rPr>
                  <w:rFonts w:hint="eastAsia"/>
                  <w:color w:val="000000"/>
                </w:rPr>
                <w:t>3季度</w:t>
              </w:r>
              <w:r w:rsidRPr="006E586B">
                <w:rPr>
                  <w:rFonts w:hint="eastAsia"/>
                  <w:color w:val="000000"/>
                </w:rPr>
                <w:t>，公司</w:t>
              </w:r>
              <w:r>
                <w:rPr>
                  <w:rFonts w:hint="eastAsia"/>
                  <w:color w:val="000000"/>
                </w:rPr>
                <w:t>将推出用友</w:t>
              </w:r>
              <w:r w:rsidRPr="006757C8">
                <w:rPr>
                  <w:rFonts w:hint="eastAsia"/>
                  <w:color w:val="000000"/>
                </w:rPr>
                <w:t>面向成长型企业的</w:t>
              </w:r>
              <w:r>
                <w:rPr>
                  <w:rFonts w:hint="eastAsia"/>
                  <w:color w:val="000000"/>
                </w:rPr>
                <w:t>新一代</w:t>
              </w:r>
              <w:r w:rsidRPr="006757C8">
                <w:rPr>
                  <w:rFonts w:hint="eastAsia"/>
                  <w:color w:val="000000"/>
                </w:rPr>
                <w:t>云</w:t>
              </w:r>
              <w:r w:rsidRPr="006757C8">
                <w:rPr>
                  <w:color w:val="000000"/>
                </w:rPr>
                <w:t>ERP套件</w:t>
              </w:r>
              <w:r>
                <w:rPr>
                  <w:rFonts w:hint="eastAsia"/>
                  <w:color w:val="000000"/>
                  <w:szCs w:val="21"/>
                </w:rPr>
                <w:t>、用友公有云</w:t>
              </w:r>
              <w:r w:rsidRPr="006E586B">
                <w:rPr>
                  <w:rFonts w:hint="eastAsia"/>
                  <w:color w:val="000000"/>
                  <w:szCs w:val="21"/>
                </w:rPr>
                <w:t>平台</w:t>
              </w:r>
              <w:r w:rsidRPr="006E586B">
                <w:rPr>
                  <w:color w:val="000000"/>
                  <w:szCs w:val="21"/>
                </w:rPr>
                <w:t>iuap5.0</w:t>
              </w:r>
              <w:r>
                <w:rPr>
                  <w:rFonts w:hint="eastAsia"/>
                  <w:color w:val="000000"/>
                </w:rPr>
                <w:t>、</w:t>
              </w:r>
              <w:r w:rsidRPr="006E586B">
                <w:rPr>
                  <w:color w:val="000000"/>
                  <w:szCs w:val="21"/>
                </w:rPr>
                <w:t>用友</w:t>
              </w:r>
              <w:r>
                <w:rPr>
                  <w:color w:val="000000"/>
                  <w:szCs w:val="21"/>
                </w:rPr>
                <w:t>NC Cloud 1909等新产品</w:t>
              </w:r>
              <w:r>
                <w:rPr>
                  <w:rFonts w:hint="eastAsia"/>
                  <w:color w:val="000000"/>
                  <w:szCs w:val="21"/>
                </w:rPr>
                <w:t>，</w:t>
              </w:r>
              <w:r>
                <w:rPr>
                  <w:color w:val="000000"/>
                  <w:szCs w:val="21"/>
                </w:rPr>
                <w:t>并</w:t>
              </w:r>
              <w:r w:rsidRPr="006E586B">
                <w:rPr>
                  <w:rFonts w:hint="eastAsia"/>
                  <w:color w:val="000000"/>
                </w:rPr>
                <w:t>加快加速</w:t>
              </w:r>
              <w:r>
                <w:rPr>
                  <w:rFonts w:hint="eastAsia"/>
                  <w:color w:val="000000"/>
                </w:rPr>
                <w:t>用友企业</w:t>
              </w:r>
              <w:r w:rsidRPr="006E586B">
                <w:rPr>
                  <w:rFonts w:hint="eastAsia"/>
                  <w:color w:val="000000"/>
                </w:rPr>
                <w:t>云服务产品的融合发展。公司</w:t>
              </w:r>
              <w:r>
                <w:rPr>
                  <w:rFonts w:hint="eastAsia"/>
                  <w:color w:val="000000"/>
                </w:rPr>
                <w:t>将继续积极强化产品运营，改进产品管理，不断激发研发组织活力，实现产品</w:t>
              </w:r>
              <w:r w:rsidRPr="006E586B">
                <w:rPr>
                  <w:rFonts w:hint="eastAsia"/>
                  <w:color w:val="000000"/>
                </w:rPr>
                <w:t>突破创新</w:t>
              </w:r>
              <w:r>
                <w:rPr>
                  <w:rFonts w:hint="eastAsia"/>
                  <w:color w:val="000000"/>
                </w:rPr>
                <w:t>，</w:t>
              </w:r>
              <w:r>
                <w:rPr>
                  <w:color w:val="000000"/>
                </w:rPr>
                <w:t>促进</w:t>
              </w:r>
              <w:r w:rsidRPr="006E586B">
                <w:rPr>
                  <w:rFonts w:hint="eastAsia"/>
                  <w:color w:val="000000"/>
                </w:rPr>
                <w:t>业务</w:t>
              </w:r>
              <w:r>
                <w:rPr>
                  <w:color w:val="000000"/>
                </w:rPr>
                <w:t>快速</w:t>
              </w:r>
              <w:r w:rsidRPr="006E586B">
                <w:rPr>
                  <w:rFonts w:hint="eastAsia"/>
                  <w:color w:val="000000"/>
                </w:rPr>
                <w:t>发展</w:t>
              </w:r>
              <w:r>
                <w:rPr>
                  <w:rFonts w:hint="eastAsia"/>
                  <w:color w:val="000000"/>
                </w:rPr>
                <w:t>、业绩高速增长</w:t>
              </w:r>
              <w:r w:rsidRPr="006E586B">
                <w:rPr>
                  <w:rFonts w:hint="eastAsia"/>
                  <w:color w:val="000000"/>
                </w:rPr>
                <w:t>。</w:t>
              </w:r>
            </w:p>
            <w:p w:rsidR="000E1F95" w:rsidRPr="006E586B" w:rsidRDefault="000E1F95" w:rsidP="000E1F95">
              <w:pPr>
                <w:spacing w:line="360" w:lineRule="auto"/>
                <w:ind w:firstLineChars="201" w:firstLine="424"/>
                <w:rPr>
                  <w:b/>
                </w:rPr>
              </w:pPr>
              <w:r w:rsidRPr="006E586B">
                <w:rPr>
                  <w:b/>
                </w:rPr>
                <w:t>2</w:t>
              </w:r>
              <w:r w:rsidRPr="006E586B">
                <w:rPr>
                  <w:rFonts w:hint="eastAsia"/>
                  <w:b/>
                </w:rPr>
                <w:t>、</w:t>
              </w:r>
              <w:r w:rsidRPr="00D71A8F">
                <w:rPr>
                  <w:rFonts w:hint="eastAsia"/>
                  <w:b/>
                  <w:bCs/>
                </w:rPr>
                <w:t>强化军种主建，落地中台赋能，提升</w:t>
              </w:r>
              <w:r>
                <w:rPr>
                  <w:rFonts w:hint="eastAsia"/>
                  <w:b/>
                  <w:bCs/>
                </w:rPr>
                <w:t>战斗力</w:t>
              </w:r>
            </w:p>
            <w:p w:rsidR="000E1F95" w:rsidRPr="006E586B" w:rsidRDefault="000E1F95" w:rsidP="000E1F95">
              <w:pPr>
                <w:spacing w:line="360" w:lineRule="auto"/>
                <w:ind w:firstLine="420"/>
                <w:jc w:val="both"/>
                <w:rPr>
                  <w:color w:val="000000"/>
                </w:rPr>
              </w:pPr>
              <w:r w:rsidRPr="006E586B">
                <w:rPr>
                  <w:rFonts w:hint="eastAsia"/>
                  <w:color w:val="000000"/>
                </w:rPr>
                <w:t>公司将加强</w:t>
              </w:r>
              <w:r w:rsidRPr="006E586B">
                <w:rPr>
                  <w:rFonts w:hint="eastAsia"/>
                  <w:color w:val="000000"/>
                  <w:szCs w:val="21"/>
                </w:rPr>
                <w:t>数字化用友</w:t>
              </w:r>
              <w:r>
                <w:rPr>
                  <w:rFonts w:hint="eastAsia"/>
                  <w:color w:val="000000"/>
                  <w:szCs w:val="21"/>
                </w:rPr>
                <w:t>及</w:t>
              </w:r>
              <w:r w:rsidRPr="006E586B">
                <w:rPr>
                  <w:rFonts w:hint="eastAsia"/>
                  <w:color w:val="000000"/>
                </w:rPr>
                <w:t>中台赋能体系建设</w:t>
              </w:r>
              <w:r>
                <w:rPr>
                  <w:rFonts w:hint="eastAsia"/>
                  <w:color w:val="000000"/>
                  <w:szCs w:val="21"/>
                </w:rPr>
                <w:t>，</w:t>
              </w:r>
              <w:r w:rsidRPr="006E586B">
                <w:rPr>
                  <w:rFonts w:hint="eastAsia"/>
                  <w:color w:val="000000"/>
                </w:rPr>
                <w:t>公司各业务</w:t>
              </w:r>
              <w:r w:rsidRPr="006E586B">
                <w:rPr>
                  <w:color w:val="000000"/>
                </w:rPr>
                <w:t>BG</w:t>
              </w:r>
              <w:r>
                <w:rPr>
                  <w:color w:val="000000"/>
                </w:rPr>
                <w:t>要积极承担起军种主建的核心职责</w:t>
              </w:r>
              <w:r>
                <w:rPr>
                  <w:rFonts w:hint="eastAsia"/>
                  <w:color w:val="000000"/>
                </w:rPr>
                <w:t>，做好</w:t>
              </w:r>
              <w:r w:rsidRPr="006E586B">
                <w:rPr>
                  <w:rFonts w:hint="eastAsia"/>
                  <w:color w:val="000000"/>
                </w:rPr>
                <w:t>产品、解决方案创新、</w:t>
              </w:r>
              <w:r w:rsidRPr="006E586B">
                <w:rPr>
                  <w:color w:val="000000"/>
                  <w:szCs w:val="21"/>
                </w:rPr>
                <w:t>营销工具</w:t>
              </w:r>
              <w:r w:rsidRPr="006E586B">
                <w:rPr>
                  <w:rFonts w:hint="eastAsia"/>
                  <w:color w:val="000000"/>
                  <w:szCs w:val="21"/>
                </w:rPr>
                <w:t>、</w:t>
              </w:r>
              <w:r w:rsidRPr="006E586B">
                <w:rPr>
                  <w:color w:val="000000"/>
                  <w:szCs w:val="21"/>
                </w:rPr>
                <w:t>营销培训</w:t>
              </w:r>
              <w:r w:rsidRPr="006E586B">
                <w:rPr>
                  <w:rFonts w:hint="eastAsia"/>
                  <w:color w:val="000000"/>
                  <w:szCs w:val="21"/>
                </w:rPr>
                <w:t>、</w:t>
              </w:r>
              <w:r w:rsidRPr="006E586B">
                <w:rPr>
                  <w:color w:val="000000"/>
                  <w:szCs w:val="21"/>
                </w:rPr>
                <w:t>样板案例</w:t>
              </w:r>
              <w:r w:rsidRPr="006E586B">
                <w:rPr>
                  <w:rFonts w:hint="eastAsia"/>
                  <w:color w:val="000000"/>
                  <w:szCs w:val="21"/>
                </w:rPr>
                <w:t>、</w:t>
              </w:r>
              <w:r w:rsidRPr="006E586B">
                <w:rPr>
                  <w:color w:val="000000"/>
                  <w:szCs w:val="21"/>
                </w:rPr>
                <w:t>实施方法论</w:t>
              </w:r>
              <w:r w:rsidRPr="006E586B">
                <w:rPr>
                  <w:rFonts w:hint="eastAsia"/>
                  <w:color w:val="000000"/>
                  <w:szCs w:val="21"/>
                </w:rPr>
                <w:t>、</w:t>
              </w:r>
              <w:r w:rsidRPr="006E586B">
                <w:rPr>
                  <w:color w:val="000000"/>
                  <w:szCs w:val="21"/>
                </w:rPr>
                <w:t>实施工具</w:t>
              </w:r>
              <w:r>
                <w:rPr>
                  <w:rFonts w:hint="eastAsia"/>
                  <w:color w:val="000000"/>
                  <w:szCs w:val="21"/>
                </w:rPr>
                <w:t>等</w:t>
              </w:r>
              <w:r w:rsidRPr="006E586B">
                <w:rPr>
                  <w:rFonts w:hint="eastAsia"/>
                  <w:color w:val="000000"/>
                </w:rPr>
                <w:t>工作，</w:t>
              </w:r>
              <w:r>
                <w:rPr>
                  <w:rFonts w:hint="eastAsia"/>
                  <w:color w:val="000000"/>
                </w:rPr>
                <w:t>主动</w:t>
              </w:r>
              <w:r w:rsidRPr="006E586B">
                <w:rPr>
                  <w:rFonts w:hint="eastAsia"/>
                  <w:color w:val="000000"/>
                </w:rPr>
                <w:t>赋能</w:t>
              </w:r>
              <w:r>
                <w:rPr>
                  <w:rFonts w:hint="eastAsia"/>
                  <w:color w:val="000000"/>
                </w:rPr>
                <w:t>面向客户及伙伴的一线业务经营机构及人员</w:t>
              </w:r>
              <w:r w:rsidRPr="006E586B">
                <w:rPr>
                  <w:rFonts w:hint="eastAsia"/>
                  <w:color w:val="000000"/>
                </w:rPr>
                <w:t>，提升组织</w:t>
              </w:r>
              <w:r>
                <w:rPr>
                  <w:rFonts w:hint="eastAsia"/>
                  <w:color w:val="000000"/>
                </w:rPr>
                <w:t>及人员的专业</w:t>
              </w:r>
              <w:r w:rsidRPr="006E586B">
                <w:rPr>
                  <w:rFonts w:hint="eastAsia"/>
                  <w:color w:val="000000"/>
                </w:rPr>
                <w:t>能力</w:t>
              </w:r>
              <w:r>
                <w:rPr>
                  <w:rFonts w:hint="eastAsia"/>
                  <w:color w:val="000000"/>
                </w:rPr>
                <w:t>和战斗力，提高人均单产及人均效益</w:t>
              </w:r>
              <w:r w:rsidRPr="006E586B">
                <w:rPr>
                  <w:rFonts w:hint="eastAsia"/>
                  <w:color w:val="000000"/>
                </w:rPr>
                <w:t>。</w:t>
              </w:r>
            </w:p>
            <w:p w:rsidR="000E1F95" w:rsidRPr="006E586B" w:rsidRDefault="000E1F95" w:rsidP="000E1F95">
              <w:pPr>
                <w:spacing w:line="360" w:lineRule="auto"/>
                <w:ind w:firstLineChars="201" w:firstLine="424"/>
                <w:rPr>
                  <w:b/>
                </w:rPr>
              </w:pPr>
              <w:r w:rsidRPr="006E586B">
                <w:rPr>
                  <w:b/>
                </w:rPr>
                <w:t>3</w:t>
              </w:r>
              <w:r w:rsidRPr="006E586B">
                <w:rPr>
                  <w:rFonts w:hint="eastAsia"/>
                  <w:b/>
                </w:rPr>
                <w:t>、</w:t>
              </w:r>
              <w:r>
                <w:rPr>
                  <w:rFonts w:hint="eastAsia"/>
                  <w:b/>
                  <w:bCs/>
                </w:rPr>
                <w:t>加速转型，强化生态，实现云服务业务</w:t>
              </w:r>
              <w:r w:rsidRPr="00D71A8F">
                <w:rPr>
                  <w:rFonts w:hint="eastAsia"/>
                  <w:b/>
                  <w:bCs/>
                </w:rPr>
                <w:t>翻倍</w:t>
              </w:r>
              <w:r w:rsidRPr="006E586B">
                <w:rPr>
                  <w:rFonts w:hint="eastAsia"/>
                  <w:b/>
                </w:rPr>
                <w:t>增长</w:t>
              </w:r>
            </w:p>
            <w:p w:rsidR="000E1F95" w:rsidRPr="006E586B" w:rsidRDefault="000E1F95" w:rsidP="000E1F95">
              <w:pPr>
                <w:spacing w:line="360" w:lineRule="auto"/>
                <w:ind w:firstLine="420"/>
                <w:jc w:val="both"/>
                <w:rPr>
                  <w:color w:val="000000"/>
                </w:rPr>
              </w:pPr>
              <w:r>
                <w:rPr>
                  <w:rFonts w:hint="eastAsia"/>
                  <w:color w:val="000000"/>
                </w:rPr>
                <w:t>公司将继续</w:t>
              </w:r>
              <w:r w:rsidRPr="006E586B">
                <w:rPr>
                  <w:rFonts w:hint="eastAsia"/>
                  <w:color w:val="000000"/>
                </w:rPr>
                <w:t>加强市场推广，结合公司</w:t>
              </w:r>
              <w:r w:rsidRPr="00B64F94">
                <w:rPr>
                  <w:color w:val="000000"/>
                </w:rPr>
                <w:t>2019全球企业服务大会</w:t>
              </w:r>
              <w:r w:rsidRPr="006E586B">
                <w:rPr>
                  <w:rFonts w:hint="eastAsia"/>
                  <w:color w:val="000000"/>
                </w:rPr>
                <w:t>、</w:t>
              </w:r>
              <w:r w:rsidRPr="006757C8">
                <w:rPr>
                  <w:rFonts w:hint="eastAsia"/>
                  <w:color w:val="000000"/>
                </w:rPr>
                <w:t>云</w:t>
              </w:r>
              <w:r>
                <w:rPr>
                  <w:rFonts w:hint="eastAsia"/>
                  <w:color w:val="000000"/>
                </w:rPr>
                <w:t>服务新产品发布、各类专业</w:t>
              </w:r>
              <w:r w:rsidRPr="006E586B">
                <w:rPr>
                  <w:rFonts w:hint="eastAsia"/>
                  <w:color w:val="000000"/>
                </w:rPr>
                <w:t>峰会</w:t>
              </w:r>
              <w:r>
                <w:rPr>
                  <w:color w:val="000000"/>
                </w:rPr>
                <w:t>及</w:t>
              </w:r>
              <w:r w:rsidRPr="006E586B">
                <w:rPr>
                  <w:rFonts w:hint="eastAsia"/>
                  <w:color w:val="000000"/>
                </w:rPr>
                <w:t>巡展等活动，加强传播，提高市场认知</w:t>
              </w:r>
              <w:r>
                <w:rPr>
                  <w:rFonts w:hint="eastAsia"/>
                  <w:color w:val="000000"/>
                </w:rPr>
                <w:t>。抢抓</w:t>
              </w:r>
              <w:r w:rsidR="006575B6">
                <w:rPr>
                  <w:rFonts w:hint="eastAsia"/>
                  <w:color w:val="000000"/>
                  <w:szCs w:val="21"/>
                </w:rPr>
                <w:t>国产化</w:t>
              </w:r>
              <w:r>
                <w:rPr>
                  <w:color w:val="000000"/>
                  <w:szCs w:val="21"/>
                </w:rPr>
                <w:t>的历史性机遇</w:t>
              </w:r>
              <w:r>
                <w:rPr>
                  <w:rFonts w:hint="eastAsia"/>
                  <w:color w:val="000000"/>
                  <w:szCs w:val="21"/>
                </w:rPr>
                <w:t>，全力落实有关专项行</w:t>
              </w:r>
              <w:r>
                <w:rPr>
                  <w:rFonts w:hint="eastAsia"/>
                  <w:color w:val="000000"/>
                  <w:szCs w:val="21"/>
                </w:rPr>
                <w:lastRenderedPageBreak/>
                <w:t>动计划，完成典型样板用户建设，</w:t>
              </w:r>
              <w:r w:rsidRPr="006E586B">
                <w:rPr>
                  <w:rFonts w:hint="eastAsia"/>
                  <w:color w:val="000000"/>
                </w:rPr>
                <w:t>加快</w:t>
              </w:r>
              <w:r>
                <w:rPr>
                  <w:color w:val="000000"/>
                </w:rPr>
                <w:t>加速数字化系统</w:t>
              </w:r>
              <w:r w:rsidRPr="006E586B">
                <w:rPr>
                  <w:rFonts w:hint="eastAsia"/>
                  <w:color w:val="000000"/>
                </w:rPr>
                <w:t>替代</w:t>
              </w:r>
              <w:r>
                <w:rPr>
                  <w:rFonts w:hint="eastAsia"/>
                  <w:color w:val="000000"/>
                </w:rPr>
                <w:t>。</w:t>
              </w:r>
              <w:r w:rsidRPr="006E586B">
                <w:rPr>
                  <w:rFonts w:hint="eastAsia"/>
                  <w:color w:val="000000"/>
                </w:rPr>
                <w:t>继续加快畅捷通、政务、薪福社、红火台</w:t>
              </w:r>
              <w:r>
                <w:rPr>
                  <w:rFonts w:hint="eastAsia"/>
                  <w:color w:val="000000"/>
                </w:rPr>
                <w:t>等公司的</w:t>
              </w:r>
              <w:r>
                <w:rPr>
                  <w:rFonts w:cs="Times New Roman"/>
                  <w:color w:val="000000"/>
                  <w:szCs w:val="21"/>
                </w:rPr>
                <w:t>运营服务</w:t>
              </w:r>
              <w:r w:rsidRPr="006E586B">
                <w:rPr>
                  <w:rFonts w:hint="eastAsia"/>
                  <w:color w:val="000000"/>
                </w:rPr>
                <w:t>业务发展</w:t>
              </w:r>
              <w:r>
                <w:rPr>
                  <w:rFonts w:hint="eastAsia"/>
                  <w:color w:val="000000"/>
                </w:rPr>
                <w:t>，</w:t>
              </w:r>
              <w:r w:rsidRPr="006E586B">
                <w:rPr>
                  <w:rFonts w:hint="eastAsia"/>
                  <w:color w:val="000000"/>
                </w:rPr>
                <w:t>加强</w:t>
              </w:r>
              <w:r>
                <w:rPr>
                  <w:rFonts w:hint="eastAsia"/>
                  <w:color w:val="000000"/>
                </w:rPr>
                <w:t>与华为等战略合作伙伴的工作推进</w:t>
              </w:r>
              <w:r w:rsidRPr="006E586B">
                <w:rPr>
                  <w:rFonts w:hint="eastAsia"/>
                  <w:color w:val="000000"/>
                </w:rPr>
                <w:t>，</w:t>
              </w:r>
              <w:r>
                <w:rPr>
                  <w:rFonts w:hint="eastAsia"/>
                  <w:color w:val="000000"/>
                </w:rPr>
                <w:t>加速生态合作建设，</w:t>
              </w:r>
              <w:r>
                <w:rPr>
                  <w:color w:val="000000"/>
                </w:rPr>
                <w:t>实现公司</w:t>
              </w:r>
              <w:r w:rsidRPr="006E586B">
                <w:rPr>
                  <w:rFonts w:hint="eastAsia"/>
                  <w:color w:val="000000"/>
                </w:rPr>
                <w:t>云</w:t>
              </w:r>
              <w:r>
                <w:rPr>
                  <w:rFonts w:hint="eastAsia"/>
                  <w:color w:val="000000"/>
                </w:rPr>
                <w:t>服务</w:t>
              </w:r>
              <w:r w:rsidRPr="006E586B">
                <w:rPr>
                  <w:rFonts w:hint="eastAsia"/>
                  <w:color w:val="000000"/>
                </w:rPr>
                <w:t>业务翻倍增长。</w:t>
              </w:r>
            </w:p>
            <w:p w:rsidR="000E1F95" w:rsidRPr="006E586B" w:rsidRDefault="000E1F95" w:rsidP="000E1F95">
              <w:pPr>
                <w:spacing w:line="360" w:lineRule="auto"/>
                <w:ind w:firstLineChars="201" w:firstLine="424"/>
                <w:rPr>
                  <w:b/>
                </w:rPr>
              </w:pPr>
              <w:r w:rsidRPr="006E586B">
                <w:rPr>
                  <w:b/>
                </w:rPr>
                <w:t>4</w:t>
              </w:r>
              <w:r w:rsidRPr="006E586B">
                <w:rPr>
                  <w:rFonts w:hint="eastAsia"/>
                  <w:b/>
                </w:rPr>
                <w:t>、</w:t>
              </w:r>
              <w:r>
                <w:rPr>
                  <w:b/>
                </w:rPr>
                <w:t>加快</w:t>
              </w:r>
              <w:r w:rsidRPr="006E586B">
                <w:rPr>
                  <w:rFonts w:hint="eastAsia"/>
                  <w:b/>
                </w:rPr>
                <w:t>升级客户经营体系，提升客户满意度</w:t>
              </w:r>
            </w:p>
            <w:p w:rsidR="000E1F95" w:rsidRPr="006E586B" w:rsidRDefault="000E1F95" w:rsidP="000E1F95">
              <w:pPr>
                <w:spacing w:line="360" w:lineRule="auto"/>
                <w:ind w:firstLine="420"/>
                <w:jc w:val="both"/>
                <w:rPr>
                  <w:color w:val="000000"/>
                </w:rPr>
              </w:pPr>
              <w:r>
                <w:rPr>
                  <w:rFonts w:hint="eastAsia"/>
                  <w:color w:val="000000"/>
                </w:rPr>
                <w:t>公司将适应新时期客户要求全面</w:t>
              </w:r>
              <w:r w:rsidRPr="006E586B">
                <w:rPr>
                  <w:rFonts w:hint="eastAsia"/>
                  <w:color w:val="000000"/>
                </w:rPr>
                <w:t>升级</w:t>
              </w:r>
              <w:r>
                <w:rPr>
                  <w:rFonts w:hint="eastAsia"/>
                  <w:color w:val="000000"/>
                </w:rPr>
                <w:t>与落实</w:t>
              </w:r>
              <w:r w:rsidRPr="006E586B">
                <w:rPr>
                  <w:rFonts w:hint="eastAsia"/>
                  <w:color w:val="000000"/>
                </w:rPr>
                <w:t>客户经营体系，</w:t>
              </w:r>
              <w:r>
                <w:rPr>
                  <w:rFonts w:hint="eastAsia"/>
                  <w:color w:val="000000"/>
                </w:rPr>
                <w:t>从客户经营到客户运营，实现一线客户经营组织不断裂变，总部中台积极主动赋能，公司经营与管理全在线运营，持续</w:t>
              </w:r>
              <w:r w:rsidRPr="006E586B">
                <w:rPr>
                  <w:rFonts w:hint="eastAsia"/>
                  <w:color w:val="000000"/>
                </w:rPr>
                <w:t>满足</w:t>
              </w:r>
              <w:r>
                <w:rPr>
                  <w:color w:val="000000"/>
                </w:rPr>
                <w:t>客</w:t>
              </w:r>
              <w:r w:rsidRPr="006E586B">
                <w:rPr>
                  <w:rFonts w:hint="eastAsia"/>
                  <w:color w:val="000000"/>
                </w:rPr>
                <w:t>户</w:t>
              </w:r>
              <w:r>
                <w:rPr>
                  <w:color w:val="000000"/>
                </w:rPr>
                <w:t>要求</w:t>
              </w:r>
              <w:r>
                <w:rPr>
                  <w:rFonts w:hint="eastAsia"/>
                  <w:color w:val="000000"/>
                </w:rPr>
                <w:t>，</w:t>
              </w:r>
              <w:r>
                <w:rPr>
                  <w:color w:val="000000"/>
                </w:rPr>
                <w:t>帮助客户成功</w:t>
              </w:r>
              <w:r>
                <w:rPr>
                  <w:rFonts w:hint="eastAsia"/>
                  <w:color w:val="000000"/>
                </w:rPr>
                <w:t>，</w:t>
              </w:r>
              <w:r>
                <w:rPr>
                  <w:color w:val="000000"/>
                </w:rPr>
                <w:t>与</w:t>
              </w:r>
              <w:r w:rsidRPr="006E586B">
                <w:rPr>
                  <w:rFonts w:hint="eastAsia"/>
                  <w:color w:val="000000"/>
                </w:rPr>
                <w:t>伙伴</w:t>
              </w:r>
              <w:r>
                <w:rPr>
                  <w:color w:val="000000"/>
                </w:rPr>
                <w:t>共赢</w:t>
              </w:r>
              <w:r>
                <w:rPr>
                  <w:rFonts w:hint="eastAsia"/>
                  <w:color w:val="000000"/>
                </w:rPr>
                <w:t>、</w:t>
              </w:r>
              <w:r w:rsidRPr="006E586B">
                <w:rPr>
                  <w:rFonts w:hint="eastAsia"/>
                  <w:color w:val="000000"/>
                </w:rPr>
                <w:t>员工</w:t>
              </w:r>
              <w:r>
                <w:rPr>
                  <w:rFonts w:hint="eastAsia"/>
                  <w:color w:val="000000"/>
                </w:rPr>
                <w:t>共同</w:t>
              </w:r>
              <w:r w:rsidRPr="006E586B">
                <w:rPr>
                  <w:rFonts w:hint="eastAsia"/>
                  <w:color w:val="000000"/>
                </w:rPr>
                <w:t>发展</w:t>
              </w:r>
              <w:r>
                <w:rPr>
                  <w:rFonts w:hint="eastAsia"/>
                  <w:color w:val="000000"/>
                </w:rPr>
                <w:t>，并实现公司</w:t>
              </w:r>
              <w:r w:rsidRPr="006E586B">
                <w:rPr>
                  <w:rFonts w:hint="eastAsia"/>
                  <w:color w:val="000000"/>
                </w:rPr>
                <w:t>收入</w:t>
              </w:r>
              <w:r>
                <w:rPr>
                  <w:rFonts w:hint="eastAsia"/>
                  <w:color w:val="000000"/>
                </w:rPr>
                <w:t>持续</w:t>
              </w:r>
              <w:r w:rsidRPr="006E586B">
                <w:rPr>
                  <w:rFonts w:hint="eastAsia"/>
                  <w:color w:val="000000"/>
                </w:rPr>
                <w:t>增长、</w:t>
              </w:r>
              <w:r>
                <w:rPr>
                  <w:rFonts w:hint="eastAsia"/>
                  <w:color w:val="000000"/>
                </w:rPr>
                <w:t>效益提升</w:t>
              </w:r>
              <w:r w:rsidRPr="006E586B">
                <w:rPr>
                  <w:rFonts w:hint="eastAsia"/>
                  <w:color w:val="000000"/>
                </w:rPr>
                <w:t>。</w:t>
              </w:r>
            </w:p>
            <w:p w:rsidR="000E1F95" w:rsidRPr="006E586B" w:rsidRDefault="000E1F95" w:rsidP="000E1F95">
              <w:pPr>
                <w:spacing w:line="360" w:lineRule="auto"/>
                <w:ind w:firstLineChars="201" w:firstLine="424"/>
                <w:rPr>
                  <w:b/>
                </w:rPr>
              </w:pPr>
              <w:r w:rsidRPr="006E586B">
                <w:rPr>
                  <w:b/>
                </w:rPr>
                <w:t>5</w:t>
              </w:r>
              <w:r w:rsidRPr="006E586B">
                <w:rPr>
                  <w:rFonts w:hint="eastAsia"/>
                  <w:b/>
                </w:rPr>
                <w:t>、加</w:t>
              </w:r>
              <w:r>
                <w:rPr>
                  <w:b/>
                </w:rPr>
                <w:t>强</w:t>
              </w:r>
              <w:r w:rsidRPr="006E586B">
                <w:rPr>
                  <w:rFonts w:hint="eastAsia"/>
                  <w:b/>
                </w:rPr>
                <w:t>人才引进，优化人才布局，提升组织效能</w:t>
              </w:r>
            </w:p>
            <w:p w:rsidR="000E1F95" w:rsidRDefault="000E1F95" w:rsidP="000E1F95">
              <w:pPr>
                <w:spacing w:line="360" w:lineRule="auto"/>
                <w:ind w:firstLine="420"/>
                <w:jc w:val="both"/>
                <w:rPr>
                  <w:color w:val="000000"/>
                </w:rPr>
              </w:pPr>
              <w:r>
                <w:rPr>
                  <w:rFonts w:hint="eastAsia"/>
                  <w:color w:val="000000"/>
                </w:rPr>
                <w:t>公司将围绕用友企业云服务业务发展，加大投入，</w:t>
              </w:r>
              <w:r w:rsidRPr="006E586B">
                <w:rPr>
                  <w:rFonts w:hint="eastAsia"/>
                  <w:color w:val="000000"/>
                </w:rPr>
                <w:t>加强人才引进，特别是研发</w:t>
              </w:r>
              <w:r>
                <w:rPr>
                  <w:rFonts w:hint="eastAsia"/>
                  <w:color w:val="000000"/>
                </w:rPr>
                <w:t>与解决方案关键岗位</w:t>
              </w:r>
              <w:r w:rsidRPr="006E586B">
                <w:rPr>
                  <w:rFonts w:hint="eastAsia"/>
                  <w:color w:val="000000"/>
                </w:rPr>
                <w:t>人才的引进。</w:t>
              </w:r>
              <w:r>
                <w:rPr>
                  <w:rFonts w:hint="eastAsia"/>
                  <w:color w:val="000000"/>
                </w:rPr>
                <w:t>公司将进一步</w:t>
              </w:r>
              <w:r w:rsidRPr="006E586B">
                <w:rPr>
                  <w:rFonts w:hint="eastAsia"/>
                  <w:color w:val="000000"/>
                </w:rPr>
                <w:t>加强人力</w:t>
              </w:r>
              <w:r>
                <w:rPr>
                  <w:rFonts w:hint="eastAsia"/>
                  <w:color w:val="000000"/>
                </w:rPr>
                <w:t>资源</w:t>
              </w:r>
              <w:r w:rsidRPr="006E586B">
                <w:rPr>
                  <w:rFonts w:hint="eastAsia"/>
                  <w:color w:val="000000"/>
                </w:rPr>
                <w:t>队伍自身建设，提升人力资源</w:t>
              </w:r>
              <w:r>
                <w:rPr>
                  <w:rFonts w:hint="eastAsia"/>
                  <w:color w:val="000000"/>
                </w:rPr>
                <w:t>管理</w:t>
              </w:r>
              <w:r w:rsidRPr="006E586B">
                <w:rPr>
                  <w:rFonts w:hint="eastAsia"/>
                  <w:color w:val="000000"/>
                </w:rPr>
                <w:t>水平</w:t>
              </w:r>
              <w:r>
                <w:rPr>
                  <w:rFonts w:hint="eastAsia"/>
                  <w:color w:val="000000"/>
                </w:rPr>
                <w:t>；</w:t>
              </w:r>
              <w:r>
                <w:rPr>
                  <w:color w:val="000000"/>
                </w:rPr>
                <w:t>同时</w:t>
              </w:r>
              <w:r>
                <w:rPr>
                  <w:rFonts w:hint="eastAsia"/>
                  <w:color w:val="000000"/>
                </w:rPr>
                <w:t>，继续改进职能部门工作作风，精简冗员，提升组织效能。</w:t>
              </w:r>
            </w:p>
            <w:p w:rsidR="000E1F95" w:rsidRPr="00AF6CA9" w:rsidRDefault="000E1F95" w:rsidP="000E1F95">
              <w:pPr>
                <w:tabs>
                  <w:tab w:val="left" w:pos="567"/>
                </w:tabs>
                <w:spacing w:beforeLines="100" w:before="240" w:afterLines="50" w:after="120" w:line="360" w:lineRule="auto"/>
                <w:rPr>
                  <w:b/>
                  <w:szCs w:val="21"/>
                </w:rPr>
              </w:pPr>
              <w:r w:rsidRPr="00AF6CA9">
                <w:rPr>
                  <w:rFonts w:hint="eastAsia"/>
                  <w:b/>
                  <w:szCs w:val="21"/>
                </w:rPr>
                <w:t>（四）可能面对的风险</w:t>
              </w:r>
              <w:r>
                <w:rPr>
                  <w:rFonts w:hint="eastAsia"/>
                  <w:b/>
                  <w:szCs w:val="21"/>
                </w:rPr>
                <w:t>及应对措施</w:t>
              </w:r>
            </w:p>
            <w:p w:rsidR="000E1F95" w:rsidRPr="007C2DB3" w:rsidRDefault="000E1F95" w:rsidP="000E1F95">
              <w:pPr>
                <w:spacing w:line="360" w:lineRule="auto"/>
                <w:ind w:firstLineChars="201" w:firstLine="424"/>
                <w:rPr>
                  <w:b/>
                  <w:szCs w:val="21"/>
                </w:rPr>
              </w:pPr>
              <w:r w:rsidRPr="007C2DB3">
                <w:rPr>
                  <w:b/>
                  <w:szCs w:val="21"/>
                </w:rPr>
                <w:t>1、公司可能面对的风险</w:t>
              </w:r>
            </w:p>
            <w:p w:rsidR="000E1F95" w:rsidRPr="00E43FA9" w:rsidRDefault="000E1F95" w:rsidP="000E1F95">
              <w:pPr>
                <w:spacing w:line="360" w:lineRule="auto"/>
                <w:ind w:firstLineChars="300" w:firstLine="630"/>
                <w:rPr>
                  <w:color w:val="000000"/>
                  <w:szCs w:val="21"/>
                </w:rPr>
              </w:pPr>
              <w:r>
                <w:rPr>
                  <w:rFonts w:hint="eastAsia"/>
                  <w:color w:val="000000"/>
                  <w:szCs w:val="21"/>
                </w:rPr>
                <w:t>（</w:t>
              </w:r>
              <w:r>
                <w:rPr>
                  <w:color w:val="000000"/>
                  <w:szCs w:val="21"/>
                </w:rPr>
                <w:t>1</w:t>
              </w:r>
              <w:r>
                <w:rPr>
                  <w:rFonts w:hint="eastAsia"/>
                  <w:color w:val="000000"/>
                  <w:szCs w:val="21"/>
                </w:rPr>
                <w:t>）数字化阶段</w:t>
              </w:r>
              <w:r w:rsidRPr="00E43FA9">
                <w:rPr>
                  <w:rFonts w:hint="eastAsia"/>
                  <w:color w:val="000000"/>
                  <w:szCs w:val="21"/>
                </w:rPr>
                <w:t>同业厂商增多，企业服务产业竞争加剧。</w:t>
              </w:r>
            </w:p>
            <w:p w:rsidR="000E1F95" w:rsidRPr="00E43FA9" w:rsidRDefault="000E1F95" w:rsidP="000E1F95">
              <w:pPr>
                <w:spacing w:line="360" w:lineRule="auto"/>
                <w:ind w:firstLineChars="300" w:firstLine="630"/>
                <w:rPr>
                  <w:color w:val="000000"/>
                  <w:szCs w:val="21"/>
                </w:rPr>
              </w:pPr>
              <w:r>
                <w:rPr>
                  <w:rFonts w:hint="eastAsia"/>
                  <w:color w:val="000000"/>
                  <w:szCs w:val="21"/>
                </w:rPr>
                <w:t>（2）</w:t>
              </w:r>
              <w:r w:rsidRPr="00E43FA9">
                <w:rPr>
                  <w:rFonts w:hint="eastAsia"/>
                  <w:color w:val="000000"/>
                  <w:szCs w:val="21"/>
                </w:rPr>
                <w:t>受经济形势因素影响导致部分企业</w:t>
              </w:r>
              <w:r w:rsidRPr="00E43FA9">
                <w:rPr>
                  <w:color w:val="000000"/>
                  <w:szCs w:val="21"/>
                </w:rPr>
                <w:t>IT</w:t>
              </w:r>
              <w:r w:rsidRPr="00E43FA9">
                <w:rPr>
                  <w:rFonts w:hint="eastAsia"/>
                  <w:color w:val="000000"/>
                  <w:szCs w:val="21"/>
                </w:rPr>
                <w:t>支出放缓。</w:t>
              </w:r>
            </w:p>
            <w:p w:rsidR="000E1F95" w:rsidRPr="00E43FA9" w:rsidRDefault="000E1F95" w:rsidP="000E1F95">
              <w:pPr>
                <w:spacing w:line="360" w:lineRule="auto"/>
                <w:ind w:firstLineChars="300" w:firstLine="630"/>
                <w:rPr>
                  <w:color w:val="000000"/>
                  <w:szCs w:val="21"/>
                </w:rPr>
              </w:pPr>
              <w:r>
                <w:rPr>
                  <w:rFonts w:hint="eastAsia"/>
                  <w:color w:val="000000"/>
                  <w:szCs w:val="21"/>
                </w:rPr>
                <w:t>（3）</w:t>
              </w:r>
              <w:r w:rsidRPr="00E43FA9">
                <w:rPr>
                  <w:rFonts w:hint="eastAsia"/>
                  <w:color w:val="000000"/>
                  <w:szCs w:val="21"/>
                </w:rPr>
                <w:t>互联网金融业务发展风险控制。</w:t>
              </w:r>
              <w:r w:rsidRPr="00E43FA9">
                <w:rPr>
                  <w:color w:val="000000"/>
                  <w:szCs w:val="21"/>
                </w:rPr>
                <w:t> </w:t>
              </w:r>
            </w:p>
            <w:p w:rsidR="000E1F95" w:rsidRPr="007C2DB3" w:rsidRDefault="000E1F95" w:rsidP="000E1F95">
              <w:pPr>
                <w:spacing w:line="360" w:lineRule="auto"/>
                <w:ind w:firstLineChars="201" w:firstLine="424"/>
                <w:rPr>
                  <w:b/>
                  <w:szCs w:val="21"/>
                </w:rPr>
              </w:pPr>
              <w:r w:rsidRPr="007C2DB3">
                <w:rPr>
                  <w:b/>
                  <w:szCs w:val="21"/>
                </w:rPr>
                <w:t>2、</w:t>
              </w:r>
              <w:r>
                <w:rPr>
                  <w:b/>
                  <w:szCs w:val="21"/>
                </w:rPr>
                <w:t>公司</w:t>
              </w:r>
              <w:r w:rsidRPr="007C2DB3">
                <w:rPr>
                  <w:b/>
                  <w:szCs w:val="21"/>
                </w:rPr>
                <w:t>应对措施</w:t>
              </w:r>
            </w:p>
            <w:p w:rsidR="00AD2449" w:rsidRPr="00E04FAA" w:rsidRDefault="000E1F95" w:rsidP="000E1F95">
              <w:pPr>
                <w:spacing w:line="360" w:lineRule="auto"/>
                <w:ind w:firstLine="420"/>
                <w:jc w:val="both"/>
                <w:rPr>
                  <w:color w:val="000000"/>
                </w:rPr>
              </w:pPr>
              <w:r>
                <w:rPr>
                  <w:rFonts w:hint="eastAsia"/>
                </w:rPr>
                <w:t>公司应对风险的措施详见本节</w:t>
              </w:r>
              <w:r w:rsidRPr="009542B4">
                <w:rPr>
                  <w:rFonts w:hint="eastAsia"/>
                </w:rPr>
                <w:t>“一、经营情况的讨论与分析”</w:t>
              </w:r>
              <w:r w:rsidRPr="009542B4">
                <w:t>的</w:t>
              </w:r>
              <w:r w:rsidRPr="009542B4">
                <w:rPr>
                  <w:rFonts w:hint="eastAsia"/>
                </w:rPr>
                <w:t>“（三）下半年工作计划</w:t>
              </w:r>
              <w:r>
                <w:rPr>
                  <w:rFonts w:hint="eastAsia"/>
                </w:rPr>
                <w:t>”。</w:t>
              </w:r>
            </w:p>
          </w:sdtContent>
        </w:sdt>
        <w:p w:rsidR="00883153" w:rsidRPr="00E04FAA" w:rsidRDefault="00220788" w:rsidP="00FC3870">
          <w:pPr>
            <w:pStyle w:val="2"/>
            <w:numPr>
              <w:ilvl w:val="0"/>
              <w:numId w:val="16"/>
            </w:numPr>
            <w:spacing w:line="360" w:lineRule="auto"/>
            <w:rPr>
              <w:color w:val="000000" w:themeColor="text1"/>
            </w:rPr>
          </w:pPr>
          <w:r w:rsidRPr="00E04FAA">
            <w:rPr>
              <w:color w:val="000000" w:themeColor="text1"/>
            </w:rPr>
            <w:t>其他经营情况分析</w:t>
          </w:r>
        </w:p>
      </w:sdtContent>
    </w:sdt>
    <w:p w:rsidR="00883153" w:rsidRPr="00E04FAA" w:rsidRDefault="00200151" w:rsidP="00FC3870">
      <w:pPr>
        <w:pStyle w:val="3"/>
        <w:numPr>
          <w:ilvl w:val="0"/>
          <w:numId w:val="7"/>
        </w:numPr>
      </w:pPr>
      <w:bookmarkStart w:id="20" w:name="_Toc342559738"/>
      <w:bookmarkStart w:id="21" w:name="_Toc342565895"/>
      <w:r w:rsidRPr="00E04FAA">
        <w:rPr>
          <w:rFonts w:hint="eastAsia"/>
        </w:rPr>
        <w:t>主营业务分析</w:t>
      </w:r>
      <w:bookmarkEnd w:id="20"/>
      <w:bookmarkEnd w:id="21"/>
    </w:p>
    <w:p w:rsidR="00883153" w:rsidRPr="00E04FAA" w:rsidRDefault="00200151" w:rsidP="00FC3870">
      <w:pPr>
        <w:pStyle w:val="4"/>
        <w:numPr>
          <w:ilvl w:val="0"/>
          <w:numId w:val="8"/>
        </w:numPr>
      </w:pPr>
      <w:bookmarkStart w:id="22" w:name="_Toc342559739"/>
      <w:bookmarkStart w:id="23" w:name="_Toc342565896"/>
      <w:r w:rsidRPr="00E04FAA">
        <w:rPr>
          <w:rFonts w:hint="eastAsia"/>
        </w:rPr>
        <w:t>财务报表相关科目变动分析表</w:t>
      </w:r>
      <w:bookmarkEnd w:id="22"/>
      <w:bookmarkEnd w:id="23"/>
    </w:p>
    <w:bookmarkStart w:id="24" w:name="_Hlk10208083" w:displacedByCustomXml="next"/>
    <w:sdt>
      <w:sdtPr>
        <w:rPr>
          <w:rFonts w:hint="eastAsia"/>
        </w:rPr>
        <w:alias w:val="模块:财务报表相关科目变动分析表"/>
        <w:tag w:val="_GBC_281bf95299804381a41f7dd82e2c19f3"/>
        <w:id w:val="1041481618"/>
        <w:lock w:val="sdtLocked"/>
        <w:placeholder>
          <w:docPart w:val="GBC22222222222222222222222222222"/>
        </w:placeholder>
      </w:sdtPr>
      <w:sdtContent>
        <w:p w:rsidR="00883153" w:rsidRPr="00E04FAA" w:rsidRDefault="00200151">
          <w:pPr>
            <w:pStyle w:val="af"/>
            <w:ind w:left="360" w:firstLineChars="0" w:firstLine="0"/>
            <w:jc w:val="right"/>
          </w:pPr>
          <w:r w:rsidRPr="00E04FAA">
            <w:rPr>
              <w:rFonts w:ascii="宋体" w:hAnsi="宋体" w:hint="eastAsia"/>
              <w:szCs w:val="21"/>
            </w:rPr>
            <w:t>单位</w:t>
          </w:r>
          <w:r w:rsidRPr="00E04FAA">
            <w:rPr>
              <w:rFonts w:ascii="宋体" w:hAnsi="宋体"/>
              <w:szCs w:val="21"/>
            </w:rPr>
            <w:t>:</w:t>
          </w:r>
          <w:sdt>
            <w:sdtPr>
              <w:rPr>
                <w:rFonts w:ascii="宋体" w:hAnsi="宋体"/>
                <w:szCs w:val="21"/>
              </w:rPr>
              <w:alias w:val="单位：利润表及现金流量表相关科目变动分析表"/>
              <w:tag w:val="_GBC_ece1a77905b94e6db0c76206578fe2db"/>
              <w:id w:val="-24781537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E04FAA">
                <w:rPr>
                  <w:rFonts w:ascii="宋体" w:hAnsi="宋体"/>
                  <w:szCs w:val="21"/>
                </w:rPr>
                <w:t>元</w:t>
              </w:r>
            </w:sdtContent>
          </w:sdt>
          <w:r w:rsidRPr="00E04FAA">
            <w:rPr>
              <w:rFonts w:ascii="宋体" w:hAnsi="宋体" w:hint="eastAsia"/>
              <w:szCs w:val="21"/>
            </w:rPr>
            <w:t xml:space="preserve">  币种</w:t>
          </w:r>
          <w:r w:rsidRPr="00E04FAA">
            <w:rPr>
              <w:rFonts w:ascii="宋体" w:hAnsi="宋体"/>
              <w:szCs w:val="21"/>
            </w:rPr>
            <w:t>:</w:t>
          </w:r>
          <w:sdt>
            <w:sdtPr>
              <w:rPr>
                <w:rFonts w:ascii="宋体" w:hAnsi="宋体"/>
                <w:szCs w:val="21"/>
              </w:rPr>
              <w:alias w:val="币种：利润表及现金流量表相关科目变动分析表"/>
              <w:tag w:val="_GBC_6c86f79f9e2349b09f37ad908cd43f73"/>
              <w:id w:val="-12428702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E04FAA">
                <w:rPr>
                  <w:rFonts w:ascii="宋体" w:hAnsi="宋体" w:hint="eastAsia"/>
                  <w:szCs w:val="21"/>
                </w:rPr>
                <w:t>人民币</w:t>
              </w:r>
            </w:sdtContent>
          </w:sdt>
        </w:p>
        <w:tbl>
          <w:tblPr>
            <w:tblStyle w:val="a9"/>
            <w:tblW w:w="4994" w:type="pct"/>
            <w:tblLook w:val="04A0" w:firstRow="1" w:lastRow="0" w:firstColumn="1" w:lastColumn="0" w:noHBand="0" w:noVBand="1"/>
          </w:tblPr>
          <w:tblGrid>
            <w:gridCol w:w="3008"/>
            <w:gridCol w:w="2073"/>
            <w:gridCol w:w="1935"/>
            <w:gridCol w:w="1796"/>
          </w:tblGrid>
          <w:tr w:rsidR="007F1E4B" w:rsidRPr="00E04FAA" w:rsidTr="00567368">
            <w:bookmarkStart w:id="25" w:name="_Hlk16691303" w:displacedByCustomXml="next"/>
            <w:sdt>
              <w:sdtPr>
                <w:tag w:val="_PLD_2e2e0d1bb8d44a278061305ea6808979"/>
                <w:id w:val="952987416"/>
                <w:lock w:val="sdtLocked"/>
              </w:sdtPr>
              <w:sdtContent>
                <w:tc>
                  <w:tcPr>
                    <w:tcW w:w="1707" w:type="pct"/>
                  </w:tcPr>
                  <w:p w:rsidR="007F1E4B" w:rsidRPr="00E04FAA" w:rsidRDefault="007F1E4B" w:rsidP="00567368">
                    <w:pPr>
                      <w:pStyle w:val="af"/>
                      <w:ind w:firstLineChars="0" w:firstLine="0"/>
                      <w:rPr>
                        <w:rFonts w:ascii="宋体" w:hAnsi="宋体"/>
                        <w:szCs w:val="21"/>
                      </w:rPr>
                    </w:pPr>
                    <w:r w:rsidRPr="00E04FAA">
                      <w:rPr>
                        <w:rFonts w:ascii="宋体" w:hAnsi="宋体" w:hint="eastAsia"/>
                        <w:szCs w:val="21"/>
                      </w:rPr>
                      <w:t>科目</w:t>
                    </w:r>
                  </w:p>
                </w:tc>
              </w:sdtContent>
            </w:sdt>
            <w:sdt>
              <w:sdtPr>
                <w:tag w:val="_PLD_37391874ab08430b841a55f53c4d20e6"/>
                <w:id w:val="1398482542"/>
                <w:lock w:val="sdtLocked"/>
              </w:sdtPr>
              <w:sdtContent>
                <w:tc>
                  <w:tcPr>
                    <w:tcW w:w="1176" w:type="pct"/>
                    <w:vAlign w:val="center"/>
                  </w:tcPr>
                  <w:p w:rsidR="007F1E4B" w:rsidRPr="00E04FAA" w:rsidRDefault="007F1E4B" w:rsidP="00567368">
                    <w:pPr>
                      <w:pStyle w:val="af"/>
                      <w:ind w:firstLineChars="0" w:firstLine="0"/>
                      <w:jc w:val="center"/>
                      <w:rPr>
                        <w:rFonts w:ascii="宋体" w:hAnsi="宋体"/>
                        <w:szCs w:val="21"/>
                      </w:rPr>
                    </w:pPr>
                    <w:r w:rsidRPr="00E04FAA">
                      <w:rPr>
                        <w:rFonts w:ascii="宋体" w:hAnsi="宋体" w:hint="eastAsia"/>
                        <w:szCs w:val="21"/>
                      </w:rPr>
                      <w:t>本期数</w:t>
                    </w:r>
                  </w:p>
                </w:tc>
              </w:sdtContent>
            </w:sdt>
            <w:sdt>
              <w:sdtPr>
                <w:tag w:val="_PLD_d061bf6d7e824e93a5540d2e36feb15d"/>
                <w:id w:val="-2045134010"/>
                <w:lock w:val="sdtLocked"/>
              </w:sdtPr>
              <w:sdtContent>
                <w:tc>
                  <w:tcPr>
                    <w:tcW w:w="1098" w:type="pct"/>
                    <w:vAlign w:val="center"/>
                  </w:tcPr>
                  <w:p w:rsidR="007F1E4B" w:rsidRPr="00E04FAA" w:rsidRDefault="007F1E4B" w:rsidP="00567368">
                    <w:pPr>
                      <w:pStyle w:val="af"/>
                      <w:ind w:firstLineChars="0" w:firstLine="0"/>
                      <w:jc w:val="center"/>
                      <w:rPr>
                        <w:rFonts w:ascii="宋体" w:hAnsi="宋体"/>
                        <w:szCs w:val="21"/>
                      </w:rPr>
                    </w:pPr>
                    <w:r w:rsidRPr="00E04FAA">
                      <w:rPr>
                        <w:rFonts w:ascii="宋体" w:hAnsi="宋体" w:hint="eastAsia"/>
                        <w:szCs w:val="21"/>
                      </w:rPr>
                      <w:t>上年同期数</w:t>
                    </w:r>
                  </w:p>
                </w:tc>
              </w:sdtContent>
            </w:sdt>
            <w:sdt>
              <w:sdtPr>
                <w:tag w:val="_PLD_1792b71106c34c75af22292391c96e49"/>
                <w:id w:val="355551858"/>
                <w:lock w:val="sdtLocked"/>
              </w:sdtPr>
              <w:sdtContent>
                <w:tc>
                  <w:tcPr>
                    <w:tcW w:w="1019" w:type="pct"/>
                    <w:vAlign w:val="center"/>
                  </w:tcPr>
                  <w:p w:rsidR="007F1E4B" w:rsidRPr="00E04FAA" w:rsidRDefault="007F1E4B" w:rsidP="00567368">
                    <w:pPr>
                      <w:pStyle w:val="af"/>
                      <w:ind w:firstLineChars="0" w:firstLine="0"/>
                      <w:jc w:val="center"/>
                      <w:rPr>
                        <w:rFonts w:ascii="宋体" w:hAnsi="宋体"/>
                        <w:szCs w:val="21"/>
                      </w:rPr>
                    </w:pPr>
                    <w:r w:rsidRPr="00E04FAA">
                      <w:rPr>
                        <w:rFonts w:ascii="宋体" w:hAnsi="宋体" w:hint="eastAsia"/>
                        <w:szCs w:val="21"/>
                      </w:rPr>
                      <w:t>变动比例（%）</w:t>
                    </w:r>
                  </w:p>
                </w:tc>
              </w:sdtContent>
            </w:sdt>
          </w:tr>
          <w:tr w:rsidR="007F1E4B" w:rsidRPr="00E04FAA" w:rsidTr="00567368">
            <w:sdt>
              <w:sdtPr>
                <w:tag w:val="_PLD_c7aabd73356d4df6ad6c67395e690823"/>
                <w:id w:val="1433166003"/>
                <w:lock w:val="sdtLocked"/>
              </w:sdtPr>
              <w:sdtContent>
                <w:tc>
                  <w:tcPr>
                    <w:tcW w:w="1707" w:type="pct"/>
                  </w:tcPr>
                  <w:p w:rsidR="007F1E4B" w:rsidRPr="00E04FAA" w:rsidRDefault="007F1E4B" w:rsidP="00567368">
                    <w:pPr>
                      <w:pStyle w:val="af"/>
                      <w:ind w:firstLineChars="0" w:firstLine="0"/>
                      <w:rPr>
                        <w:rFonts w:ascii="宋体" w:hAnsi="宋体"/>
                        <w:szCs w:val="21"/>
                      </w:rPr>
                    </w:pPr>
                    <w:r w:rsidRPr="00E04FAA">
                      <w:rPr>
                        <w:rFonts w:ascii="宋体" w:hAnsi="宋体" w:hint="eastAsia"/>
                        <w:szCs w:val="21"/>
                      </w:rPr>
                      <w:t>营业收入</w:t>
                    </w:r>
                  </w:p>
                </w:tc>
              </w:sdtContent>
            </w:sdt>
            <w:tc>
              <w:tcPr>
                <w:tcW w:w="1176" w:type="pct"/>
              </w:tcPr>
              <w:p w:rsidR="007F1E4B" w:rsidRPr="00E04FAA" w:rsidRDefault="007F1E4B" w:rsidP="00567368">
                <w:pPr>
                  <w:pStyle w:val="af"/>
                  <w:ind w:firstLineChars="0" w:firstLine="0"/>
                  <w:jc w:val="right"/>
                  <w:rPr>
                    <w:rFonts w:asciiTheme="minorEastAsia" w:eastAsiaTheme="minorEastAsia" w:hAnsiTheme="minorEastAsia"/>
                    <w:sz w:val="20"/>
                    <w:szCs w:val="21"/>
                  </w:rPr>
                </w:pPr>
                <w:r w:rsidRPr="00E04FAA">
                  <w:rPr>
                    <w:rFonts w:asciiTheme="minorEastAsia" w:eastAsiaTheme="minorEastAsia" w:hAnsiTheme="minorEastAsia"/>
                    <w:sz w:val="20"/>
                    <w:szCs w:val="21"/>
                  </w:rPr>
                  <w:t>3,313,006,831</w:t>
                </w:r>
              </w:p>
            </w:tc>
            <w:tc>
              <w:tcPr>
                <w:tcW w:w="1098" w:type="pct"/>
              </w:tcPr>
              <w:p w:rsidR="007F1E4B" w:rsidRPr="00E04FAA" w:rsidRDefault="007F1E4B" w:rsidP="00567368">
                <w:pPr>
                  <w:pStyle w:val="af"/>
                  <w:ind w:firstLineChars="0" w:firstLine="0"/>
                  <w:jc w:val="right"/>
                  <w:rPr>
                    <w:rFonts w:asciiTheme="minorEastAsia" w:eastAsiaTheme="minorEastAsia" w:hAnsiTheme="minorEastAsia"/>
                    <w:sz w:val="20"/>
                    <w:szCs w:val="21"/>
                  </w:rPr>
                </w:pPr>
                <w:r w:rsidRPr="00E04FAA">
                  <w:rPr>
                    <w:rFonts w:asciiTheme="minorEastAsia" w:eastAsiaTheme="minorEastAsia" w:hAnsiTheme="minorEastAsia"/>
                    <w:sz w:val="20"/>
                    <w:szCs w:val="21"/>
                  </w:rPr>
                  <w:t>3,005,703,090</w:t>
                </w:r>
              </w:p>
            </w:tc>
            <w:tc>
              <w:tcPr>
                <w:tcW w:w="1019" w:type="pct"/>
              </w:tcPr>
              <w:p w:rsidR="007F1E4B" w:rsidRPr="00E04FAA" w:rsidRDefault="007F1E4B" w:rsidP="00567368">
                <w:pPr>
                  <w:pStyle w:val="af"/>
                  <w:ind w:firstLineChars="0" w:firstLine="0"/>
                  <w:jc w:val="right"/>
                  <w:rPr>
                    <w:rFonts w:asciiTheme="minorEastAsia" w:eastAsiaTheme="minorEastAsia" w:hAnsiTheme="minorEastAsia"/>
                    <w:sz w:val="20"/>
                    <w:szCs w:val="21"/>
                  </w:rPr>
                </w:pPr>
                <w:r w:rsidRPr="00E04FAA">
                  <w:rPr>
                    <w:rFonts w:asciiTheme="minorEastAsia" w:eastAsiaTheme="minorEastAsia" w:hAnsiTheme="minorEastAsia"/>
                    <w:sz w:val="20"/>
                    <w:szCs w:val="21"/>
                  </w:rPr>
                  <w:t>10.2</w:t>
                </w:r>
              </w:p>
            </w:tc>
          </w:tr>
          <w:tr w:rsidR="007F1E4B" w:rsidRPr="00E04FAA" w:rsidTr="00567368">
            <w:sdt>
              <w:sdtPr>
                <w:tag w:val="_PLD_143930b444784190b0545eacad3472d8"/>
                <w:id w:val="112728460"/>
                <w:lock w:val="sdtLocked"/>
              </w:sdtPr>
              <w:sdtContent>
                <w:tc>
                  <w:tcPr>
                    <w:tcW w:w="1707" w:type="pct"/>
                  </w:tcPr>
                  <w:p w:rsidR="007F1E4B" w:rsidRPr="00E04FAA" w:rsidRDefault="007F1E4B" w:rsidP="00567368">
                    <w:pPr>
                      <w:pStyle w:val="af"/>
                      <w:ind w:firstLineChars="0" w:firstLine="0"/>
                      <w:rPr>
                        <w:rFonts w:ascii="宋体" w:hAnsi="宋体"/>
                        <w:szCs w:val="21"/>
                      </w:rPr>
                    </w:pPr>
                    <w:r w:rsidRPr="00E04FAA">
                      <w:rPr>
                        <w:rFonts w:ascii="宋体" w:hAnsi="宋体"/>
                        <w:szCs w:val="21"/>
                      </w:rPr>
                      <w:t>营业成本</w:t>
                    </w:r>
                  </w:p>
                </w:tc>
              </w:sdtContent>
            </w:sdt>
            <w:tc>
              <w:tcPr>
                <w:tcW w:w="1176" w:type="pct"/>
              </w:tcPr>
              <w:p w:rsidR="007F1E4B" w:rsidRPr="00E04FAA" w:rsidRDefault="007F1E4B" w:rsidP="00567368">
                <w:pPr>
                  <w:pStyle w:val="af"/>
                  <w:ind w:firstLineChars="0" w:firstLine="0"/>
                  <w:jc w:val="right"/>
                  <w:rPr>
                    <w:rFonts w:asciiTheme="minorEastAsia" w:eastAsiaTheme="minorEastAsia" w:hAnsiTheme="minorEastAsia"/>
                    <w:sz w:val="20"/>
                    <w:szCs w:val="21"/>
                  </w:rPr>
                </w:pPr>
                <w:r w:rsidRPr="00E04FAA">
                  <w:rPr>
                    <w:rFonts w:asciiTheme="minorEastAsia" w:eastAsiaTheme="minorEastAsia" w:hAnsiTheme="minorEastAsia"/>
                    <w:sz w:val="20"/>
                    <w:szCs w:val="21"/>
                  </w:rPr>
                  <w:t>1,126,448,420</w:t>
                </w:r>
              </w:p>
            </w:tc>
            <w:tc>
              <w:tcPr>
                <w:tcW w:w="1098" w:type="pct"/>
              </w:tcPr>
              <w:p w:rsidR="007F1E4B" w:rsidRPr="00E04FAA" w:rsidRDefault="007F1E4B" w:rsidP="00567368">
                <w:pPr>
                  <w:pStyle w:val="af"/>
                  <w:ind w:firstLineChars="0" w:firstLine="0"/>
                  <w:jc w:val="right"/>
                  <w:rPr>
                    <w:rFonts w:asciiTheme="minorEastAsia" w:eastAsiaTheme="minorEastAsia" w:hAnsiTheme="minorEastAsia"/>
                    <w:sz w:val="20"/>
                    <w:szCs w:val="21"/>
                  </w:rPr>
                </w:pPr>
                <w:r w:rsidRPr="00E04FAA">
                  <w:rPr>
                    <w:rFonts w:asciiTheme="minorEastAsia" w:eastAsiaTheme="minorEastAsia" w:hAnsiTheme="minorEastAsia"/>
                    <w:sz w:val="20"/>
                    <w:szCs w:val="21"/>
                  </w:rPr>
                  <w:t>934,640,953</w:t>
                </w:r>
              </w:p>
            </w:tc>
            <w:tc>
              <w:tcPr>
                <w:tcW w:w="1019" w:type="pct"/>
              </w:tcPr>
              <w:p w:rsidR="007F1E4B" w:rsidRPr="00E04FAA" w:rsidRDefault="007F1E4B" w:rsidP="00567368">
                <w:pPr>
                  <w:pStyle w:val="af"/>
                  <w:ind w:firstLineChars="0" w:firstLine="0"/>
                  <w:jc w:val="right"/>
                  <w:rPr>
                    <w:rFonts w:asciiTheme="minorEastAsia" w:eastAsiaTheme="minorEastAsia" w:hAnsiTheme="minorEastAsia"/>
                    <w:sz w:val="20"/>
                    <w:szCs w:val="21"/>
                  </w:rPr>
                </w:pPr>
                <w:r w:rsidRPr="00E04FAA">
                  <w:rPr>
                    <w:rFonts w:asciiTheme="minorEastAsia" w:eastAsiaTheme="minorEastAsia" w:hAnsiTheme="minorEastAsia"/>
                    <w:sz w:val="20"/>
                    <w:szCs w:val="21"/>
                  </w:rPr>
                  <w:t>20.5</w:t>
                </w:r>
              </w:p>
            </w:tc>
          </w:tr>
          <w:tr w:rsidR="007F1E4B" w:rsidRPr="00E04FAA" w:rsidTr="00567368">
            <w:sdt>
              <w:sdtPr>
                <w:tag w:val="_PLD_3140de3631dd486996919c00b7b71b20"/>
                <w:id w:val="1337501908"/>
                <w:lock w:val="sdtLocked"/>
              </w:sdtPr>
              <w:sdtContent>
                <w:tc>
                  <w:tcPr>
                    <w:tcW w:w="1707" w:type="pct"/>
                  </w:tcPr>
                  <w:p w:rsidR="007F1E4B" w:rsidRPr="00E04FAA" w:rsidRDefault="007F1E4B" w:rsidP="00567368">
                    <w:pPr>
                      <w:pStyle w:val="af"/>
                      <w:ind w:firstLineChars="0" w:firstLine="0"/>
                      <w:rPr>
                        <w:rFonts w:ascii="宋体" w:hAnsi="宋体"/>
                        <w:szCs w:val="21"/>
                      </w:rPr>
                    </w:pPr>
                    <w:r w:rsidRPr="00E04FAA">
                      <w:rPr>
                        <w:rFonts w:ascii="宋体" w:hAnsi="宋体"/>
                        <w:szCs w:val="21"/>
                      </w:rPr>
                      <w:t>销售费用</w:t>
                    </w:r>
                  </w:p>
                </w:tc>
              </w:sdtContent>
            </w:sdt>
            <w:tc>
              <w:tcPr>
                <w:tcW w:w="1176" w:type="pct"/>
              </w:tcPr>
              <w:p w:rsidR="007F1E4B" w:rsidRPr="00E04FAA" w:rsidRDefault="007F1E4B" w:rsidP="00567368">
                <w:pPr>
                  <w:pStyle w:val="af"/>
                  <w:ind w:firstLineChars="0" w:firstLine="0"/>
                  <w:jc w:val="right"/>
                  <w:rPr>
                    <w:rFonts w:asciiTheme="minorEastAsia" w:eastAsiaTheme="minorEastAsia" w:hAnsiTheme="minorEastAsia"/>
                    <w:sz w:val="20"/>
                    <w:szCs w:val="21"/>
                  </w:rPr>
                </w:pPr>
                <w:r w:rsidRPr="00E04FAA">
                  <w:rPr>
                    <w:rFonts w:asciiTheme="minorEastAsia" w:eastAsiaTheme="minorEastAsia" w:hAnsiTheme="minorEastAsia"/>
                    <w:sz w:val="20"/>
                    <w:szCs w:val="21"/>
                  </w:rPr>
                  <w:t>584,161,462</w:t>
                </w:r>
              </w:p>
            </w:tc>
            <w:tc>
              <w:tcPr>
                <w:tcW w:w="1098" w:type="pct"/>
              </w:tcPr>
              <w:p w:rsidR="007F1E4B" w:rsidRPr="00E04FAA" w:rsidRDefault="007F1E4B" w:rsidP="00567368">
                <w:pPr>
                  <w:pStyle w:val="af"/>
                  <w:ind w:firstLineChars="0" w:firstLine="0"/>
                  <w:jc w:val="right"/>
                  <w:rPr>
                    <w:rFonts w:asciiTheme="minorEastAsia" w:eastAsiaTheme="minorEastAsia" w:hAnsiTheme="minorEastAsia"/>
                    <w:sz w:val="20"/>
                    <w:szCs w:val="21"/>
                  </w:rPr>
                </w:pPr>
                <w:r w:rsidRPr="00E04FAA">
                  <w:rPr>
                    <w:rFonts w:asciiTheme="minorEastAsia" w:eastAsiaTheme="minorEastAsia" w:hAnsiTheme="minorEastAsia"/>
                    <w:sz w:val="20"/>
                    <w:szCs w:val="21"/>
                  </w:rPr>
                  <w:t>596,651,632</w:t>
                </w:r>
              </w:p>
            </w:tc>
            <w:tc>
              <w:tcPr>
                <w:tcW w:w="1019" w:type="pct"/>
              </w:tcPr>
              <w:p w:rsidR="007F1E4B" w:rsidRPr="00E04FAA" w:rsidRDefault="007F1E4B" w:rsidP="00567368">
                <w:pPr>
                  <w:pStyle w:val="af"/>
                  <w:ind w:firstLineChars="0" w:firstLine="0"/>
                  <w:jc w:val="right"/>
                  <w:rPr>
                    <w:rFonts w:asciiTheme="minorEastAsia" w:eastAsiaTheme="minorEastAsia" w:hAnsiTheme="minorEastAsia"/>
                    <w:sz w:val="20"/>
                    <w:szCs w:val="21"/>
                  </w:rPr>
                </w:pPr>
                <w:r w:rsidRPr="00E04FAA">
                  <w:rPr>
                    <w:rFonts w:asciiTheme="minorEastAsia" w:eastAsiaTheme="minorEastAsia" w:hAnsiTheme="minorEastAsia"/>
                    <w:sz w:val="20"/>
                    <w:szCs w:val="21"/>
                  </w:rPr>
                  <w:t>-2.1</w:t>
                </w:r>
              </w:p>
            </w:tc>
          </w:tr>
          <w:tr w:rsidR="007F1E4B" w:rsidRPr="00E04FAA" w:rsidTr="00567368">
            <w:sdt>
              <w:sdtPr>
                <w:tag w:val="_PLD_6448b6c19be4461084a37286c6a46673"/>
                <w:id w:val="805351543"/>
                <w:lock w:val="sdtLocked"/>
              </w:sdtPr>
              <w:sdtContent>
                <w:tc>
                  <w:tcPr>
                    <w:tcW w:w="1707" w:type="pct"/>
                  </w:tcPr>
                  <w:p w:rsidR="007F1E4B" w:rsidRPr="00E04FAA" w:rsidRDefault="007F1E4B" w:rsidP="00567368">
                    <w:pPr>
                      <w:pStyle w:val="af"/>
                      <w:ind w:firstLineChars="0" w:firstLine="0"/>
                      <w:rPr>
                        <w:rFonts w:ascii="宋体" w:hAnsi="宋体"/>
                        <w:szCs w:val="21"/>
                      </w:rPr>
                    </w:pPr>
                    <w:r w:rsidRPr="00E04FAA">
                      <w:rPr>
                        <w:rFonts w:ascii="宋体" w:hAnsi="宋体"/>
                        <w:szCs w:val="21"/>
                      </w:rPr>
                      <w:t>管理费用</w:t>
                    </w:r>
                  </w:p>
                </w:tc>
              </w:sdtContent>
            </w:sdt>
            <w:tc>
              <w:tcPr>
                <w:tcW w:w="1176" w:type="pct"/>
              </w:tcPr>
              <w:p w:rsidR="007F1E4B" w:rsidRPr="00E04FAA" w:rsidRDefault="003F19CF" w:rsidP="00567368">
                <w:pPr>
                  <w:pStyle w:val="af"/>
                  <w:ind w:firstLineChars="0" w:firstLine="0"/>
                  <w:jc w:val="right"/>
                  <w:rPr>
                    <w:rFonts w:asciiTheme="minorEastAsia" w:eastAsiaTheme="minorEastAsia" w:hAnsiTheme="minorEastAsia"/>
                    <w:sz w:val="20"/>
                    <w:szCs w:val="21"/>
                  </w:rPr>
                </w:pPr>
                <w:r w:rsidRPr="003F19CF">
                  <w:rPr>
                    <w:rFonts w:asciiTheme="minorEastAsia" w:eastAsiaTheme="minorEastAsia" w:hAnsiTheme="minorEastAsia"/>
                    <w:sz w:val="20"/>
                    <w:szCs w:val="21"/>
                  </w:rPr>
                  <w:t>539,906,471</w:t>
                </w:r>
              </w:p>
            </w:tc>
            <w:tc>
              <w:tcPr>
                <w:tcW w:w="1098" w:type="pct"/>
              </w:tcPr>
              <w:p w:rsidR="007F1E4B" w:rsidRPr="00E04FAA" w:rsidRDefault="003F19CF" w:rsidP="00567368">
                <w:pPr>
                  <w:pStyle w:val="af"/>
                  <w:ind w:firstLineChars="0" w:firstLine="0"/>
                  <w:jc w:val="right"/>
                  <w:rPr>
                    <w:rFonts w:asciiTheme="minorEastAsia" w:eastAsiaTheme="minorEastAsia" w:hAnsiTheme="minorEastAsia"/>
                    <w:sz w:val="20"/>
                    <w:szCs w:val="21"/>
                  </w:rPr>
                </w:pPr>
                <w:r w:rsidRPr="003F19CF">
                  <w:rPr>
                    <w:rFonts w:asciiTheme="minorEastAsia" w:eastAsiaTheme="minorEastAsia" w:hAnsiTheme="minorEastAsia"/>
                    <w:sz w:val="20"/>
                    <w:szCs w:val="21"/>
                  </w:rPr>
                  <w:t>570,583,756</w:t>
                </w:r>
              </w:p>
            </w:tc>
            <w:tc>
              <w:tcPr>
                <w:tcW w:w="1019" w:type="pct"/>
              </w:tcPr>
              <w:p w:rsidR="007F1E4B" w:rsidRPr="00E04FAA" w:rsidRDefault="007F1E4B" w:rsidP="00567368">
                <w:pPr>
                  <w:pStyle w:val="af"/>
                  <w:ind w:firstLineChars="0" w:firstLine="0"/>
                  <w:jc w:val="right"/>
                  <w:rPr>
                    <w:rFonts w:asciiTheme="minorEastAsia" w:eastAsiaTheme="minorEastAsia" w:hAnsiTheme="minorEastAsia"/>
                    <w:sz w:val="20"/>
                    <w:szCs w:val="21"/>
                  </w:rPr>
                </w:pPr>
                <w:r w:rsidRPr="00E04FAA">
                  <w:rPr>
                    <w:rFonts w:asciiTheme="minorEastAsia" w:eastAsiaTheme="minorEastAsia" w:hAnsiTheme="minorEastAsia"/>
                    <w:sz w:val="20"/>
                    <w:szCs w:val="21"/>
                  </w:rPr>
                  <w:t>-</w:t>
                </w:r>
                <w:r w:rsidR="003F19CF" w:rsidRPr="003F19CF">
                  <w:rPr>
                    <w:rFonts w:asciiTheme="minorEastAsia" w:eastAsiaTheme="minorEastAsia" w:hAnsiTheme="minorEastAsia"/>
                    <w:sz w:val="20"/>
                    <w:szCs w:val="21"/>
                  </w:rPr>
                  <w:t>5.4</w:t>
                </w:r>
              </w:p>
            </w:tc>
          </w:tr>
          <w:tr w:rsidR="007F1E4B" w:rsidRPr="00E04FAA" w:rsidTr="00567368">
            <w:sdt>
              <w:sdtPr>
                <w:tag w:val="_PLD_d989f363470245b8a8044d51af95f876"/>
                <w:id w:val="612404736"/>
                <w:lock w:val="sdtLocked"/>
              </w:sdtPr>
              <w:sdtContent>
                <w:tc>
                  <w:tcPr>
                    <w:tcW w:w="1707" w:type="pct"/>
                  </w:tcPr>
                  <w:p w:rsidR="007F1E4B" w:rsidRPr="00E04FAA" w:rsidRDefault="007F1E4B" w:rsidP="00567368">
                    <w:pPr>
                      <w:pStyle w:val="af"/>
                      <w:ind w:firstLineChars="0" w:firstLine="0"/>
                      <w:rPr>
                        <w:rFonts w:ascii="宋体" w:hAnsi="宋体"/>
                        <w:szCs w:val="21"/>
                      </w:rPr>
                    </w:pPr>
                    <w:r w:rsidRPr="00E04FAA">
                      <w:rPr>
                        <w:rFonts w:ascii="宋体" w:hAnsi="宋体"/>
                        <w:szCs w:val="21"/>
                      </w:rPr>
                      <w:t>财务费用</w:t>
                    </w:r>
                  </w:p>
                </w:tc>
              </w:sdtContent>
            </w:sdt>
            <w:tc>
              <w:tcPr>
                <w:tcW w:w="1176" w:type="pct"/>
              </w:tcPr>
              <w:p w:rsidR="007F1E4B" w:rsidRPr="00E04FAA" w:rsidRDefault="0006622F" w:rsidP="00567368">
                <w:pPr>
                  <w:pStyle w:val="af"/>
                  <w:ind w:firstLineChars="0" w:firstLine="0"/>
                  <w:jc w:val="right"/>
                  <w:rPr>
                    <w:rFonts w:asciiTheme="minorEastAsia" w:eastAsiaTheme="minorEastAsia" w:hAnsiTheme="minorEastAsia"/>
                    <w:sz w:val="20"/>
                    <w:szCs w:val="21"/>
                  </w:rPr>
                </w:pPr>
                <w:r w:rsidRPr="00E04FAA">
                  <w:rPr>
                    <w:rFonts w:asciiTheme="minorEastAsia" w:eastAsiaTheme="minorEastAsia" w:hAnsiTheme="minorEastAsia"/>
                    <w:sz w:val="20"/>
                    <w:szCs w:val="21"/>
                  </w:rPr>
                  <w:t>56,984,064</w:t>
                </w:r>
              </w:p>
            </w:tc>
            <w:tc>
              <w:tcPr>
                <w:tcW w:w="1098" w:type="pct"/>
              </w:tcPr>
              <w:p w:rsidR="007F1E4B" w:rsidRPr="00E04FAA" w:rsidRDefault="007F1E4B" w:rsidP="00567368">
                <w:pPr>
                  <w:pStyle w:val="af"/>
                  <w:ind w:firstLineChars="0" w:firstLine="0"/>
                  <w:jc w:val="right"/>
                  <w:rPr>
                    <w:rFonts w:asciiTheme="minorEastAsia" w:eastAsiaTheme="minorEastAsia" w:hAnsiTheme="minorEastAsia"/>
                    <w:sz w:val="20"/>
                    <w:szCs w:val="21"/>
                  </w:rPr>
                </w:pPr>
                <w:r w:rsidRPr="00E04FAA">
                  <w:rPr>
                    <w:rFonts w:asciiTheme="minorEastAsia" w:eastAsiaTheme="minorEastAsia" w:hAnsiTheme="minorEastAsia"/>
                    <w:sz w:val="20"/>
                    <w:szCs w:val="21"/>
                  </w:rPr>
                  <w:t>59,078,027</w:t>
                </w:r>
              </w:p>
            </w:tc>
            <w:tc>
              <w:tcPr>
                <w:tcW w:w="1019" w:type="pct"/>
              </w:tcPr>
              <w:p w:rsidR="007F1E4B" w:rsidRPr="00E04FAA" w:rsidRDefault="007F1E4B" w:rsidP="00567368">
                <w:pPr>
                  <w:pStyle w:val="af"/>
                  <w:ind w:firstLineChars="0" w:firstLine="0"/>
                  <w:jc w:val="right"/>
                  <w:rPr>
                    <w:rFonts w:asciiTheme="minorEastAsia" w:eastAsiaTheme="minorEastAsia" w:hAnsiTheme="minorEastAsia"/>
                    <w:sz w:val="20"/>
                    <w:szCs w:val="21"/>
                  </w:rPr>
                </w:pPr>
                <w:r w:rsidRPr="00E04FAA">
                  <w:rPr>
                    <w:rFonts w:asciiTheme="minorEastAsia" w:eastAsiaTheme="minorEastAsia" w:hAnsiTheme="minorEastAsia"/>
                    <w:sz w:val="20"/>
                    <w:szCs w:val="21"/>
                  </w:rPr>
                  <w:t>-</w:t>
                </w:r>
                <w:r w:rsidR="0006622F" w:rsidRPr="00E04FAA">
                  <w:rPr>
                    <w:rFonts w:asciiTheme="minorEastAsia" w:eastAsiaTheme="minorEastAsia" w:hAnsiTheme="minorEastAsia"/>
                    <w:sz w:val="20"/>
                    <w:szCs w:val="21"/>
                  </w:rPr>
                  <w:t>3.5</w:t>
                </w:r>
              </w:p>
            </w:tc>
          </w:tr>
          <w:tr w:rsidR="006D2333" w:rsidRPr="00E04FAA" w:rsidTr="00567368">
            <w:sdt>
              <w:sdtPr>
                <w:tag w:val="_PLD_79aac573eb414fcbb6f291d963446057"/>
                <w:id w:val="93527391"/>
                <w:lock w:val="sdtLocked"/>
              </w:sdtPr>
              <w:sdtContent>
                <w:tc>
                  <w:tcPr>
                    <w:tcW w:w="1707" w:type="pct"/>
                  </w:tcPr>
                  <w:p w:rsidR="006D2333" w:rsidRPr="00E04FAA" w:rsidRDefault="006D2333" w:rsidP="006D2333">
                    <w:pPr>
                      <w:pStyle w:val="af"/>
                      <w:ind w:firstLineChars="0" w:firstLine="0"/>
                      <w:rPr>
                        <w:rFonts w:ascii="宋体" w:hAnsi="宋体"/>
                        <w:szCs w:val="21"/>
                      </w:rPr>
                    </w:pPr>
                    <w:r w:rsidRPr="00E04FAA">
                      <w:rPr>
                        <w:rFonts w:ascii="宋体" w:hAnsi="宋体" w:hint="eastAsia"/>
                        <w:szCs w:val="21"/>
                      </w:rPr>
                      <w:t>研发费用</w:t>
                    </w:r>
                  </w:p>
                </w:tc>
              </w:sdtContent>
            </w:sdt>
            <w:tc>
              <w:tcPr>
                <w:tcW w:w="1176" w:type="pct"/>
              </w:tcPr>
              <w:p w:rsidR="006D2333" w:rsidRPr="00AD06C6" w:rsidRDefault="006D2333" w:rsidP="006D2333">
                <w:pPr>
                  <w:jc w:val="right"/>
                </w:pPr>
                <w:r w:rsidRPr="00AD06C6">
                  <w:t>739,692,423</w:t>
                </w:r>
              </w:p>
            </w:tc>
            <w:tc>
              <w:tcPr>
                <w:tcW w:w="1098" w:type="pct"/>
              </w:tcPr>
              <w:p w:rsidR="006D2333" w:rsidRDefault="006D2333" w:rsidP="006D2333">
                <w:pPr>
                  <w:jc w:val="right"/>
                </w:pPr>
                <w:r w:rsidRPr="00AD06C6">
                  <w:t>589,193,711</w:t>
                </w:r>
              </w:p>
            </w:tc>
            <w:tc>
              <w:tcPr>
                <w:tcW w:w="1019" w:type="pct"/>
              </w:tcPr>
              <w:p w:rsidR="006D2333" w:rsidRPr="00E04FAA" w:rsidRDefault="00523A14" w:rsidP="006D2333">
                <w:pPr>
                  <w:pStyle w:val="af"/>
                  <w:ind w:firstLineChars="0" w:firstLine="0"/>
                  <w:jc w:val="right"/>
                  <w:rPr>
                    <w:rFonts w:asciiTheme="minorEastAsia" w:eastAsiaTheme="minorEastAsia" w:hAnsiTheme="minorEastAsia"/>
                    <w:sz w:val="20"/>
                    <w:szCs w:val="21"/>
                  </w:rPr>
                </w:pPr>
                <w:r>
                  <w:rPr>
                    <w:rFonts w:asciiTheme="minorEastAsia" w:eastAsiaTheme="minorEastAsia" w:hAnsiTheme="minorEastAsia"/>
                    <w:sz w:val="20"/>
                    <w:szCs w:val="21"/>
                  </w:rPr>
                  <w:t>25.5</w:t>
                </w:r>
              </w:p>
            </w:tc>
          </w:tr>
          <w:tr w:rsidR="007F1E4B" w:rsidRPr="00E04FAA" w:rsidTr="00567368">
            <w:sdt>
              <w:sdtPr>
                <w:tag w:val="_PLD_3e652539acb44f708b4f7202c302af4f"/>
                <w:id w:val="562067937"/>
                <w:lock w:val="sdtLocked"/>
              </w:sdtPr>
              <w:sdtContent>
                <w:tc>
                  <w:tcPr>
                    <w:tcW w:w="1707" w:type="pct"/>
                  </w:tcPr>
                  <w:p w:rsidR="007F1E4B" w:rsidRPr="00E04FAA" w:rsidRDefault="007F1E4B" w:rsidP="00567368">
                    <w:pPr>
                      <w:pStyle w:val="af"/>
                      <w:ind w:firstLineChars="0" w:firstLine="0"/>
                      <w:rPr>
                        <w:rFonts w:ascii="宋体" w:hAnsi="宋体"/>
                        <w:szCs w:val="21"/>
                      </w:rPr>
                    </w:pPr>
                    <w:r w:rsidRPr="00E04FAA">
                      <w:rPr>
                        <w:rFonts w:ascii="宋体" w:hAnsi="宋体"/>
                        <w:szCs w:val="21"/>
                      </w:rPr>
                      <w:t>经营活动产生的现金流量净额</w:t>
                    </w:r>
                  </w:p>
                </w:tc>
              </w:sdtContent>
            </w:sdt>
            <w:tc>
              <w:tcPr>
                <w:tcW w:w="1176" w:type="pct"/>
              </w:tcPr>
              <w:p w:rsidR="007F1E4B" w:rsidRPr="00E04FAA" w:rsidRDefault="007F1E4B" w:rsidP="00567368">
                <w:pPr>
                  <w:pStyle w:val="af"/>
                  <w:ind w:firstLineChars="0" w:firstLine="0"/>
                  <w:jc w:val="right"/>
                  <w:rPr>
                    <w:rFonts w:asciiTheme="minorEastAsia" w:eastAsiaTheme="minorEastAsia" w:hAnsiTheme="minorEastAsia"/>
                    <w:sz w:val="20"/>
                    <w:szCs w:val="21"/>
                  </w:rPr>
                </w:pPr>
                <w:r w:rsidRPr="00E04FAA">
                  <w:rPr>
                    <w:rFonts w:asciiTheme="minorEastAsia" w:eastAsiaTheme="minorEastAsia" w:hAnsiTheme="minorEastAsia"/>
                    <w:sz w:val="20"/>
                    <w:szCs w:val="21"/>
                  </w:rPr>
                  <w:t>-321,855,084</w:t>
                </w:r>
              </w:p>
            </w:tc>
            <w:tc>
              <w:tcPr>
                <w:tcW w:w="1098" w:type="pct"/>
              </w:tcPr>
              <w:p w:rsidR="007F1E4B" w:rsidRPr="00E04FAA" w:rsidRDefault="007F1E4B" w:rsidP="00567368">
                <w:pPr>
                  <w:pStyle w:val="af"/>
                  <w:ind w:firstLineChars="0" w:firstLine="0"/>
                  <w:jc w:val="right"/>
                  <w:rPr>
                    <w:rFonts w:asciiTheme="minorEastAsia" w:eastAsiaTheme="minorEastAsia" w:hAnsiTheme="minorEastAsia"/>
                    <w:sz w:val="20"/>
                    <w:szCs w:val="21"/>
                  </w:rPr>
                </w:pPr>
                <w:r w:rsidRPr="00E04FAA">
                  <w:rPr>
                    <w:rFonts w:asciiTheme="minorEastAsia" w:eastAsiaTheme="minorEastAsia" w:hAnsiTheme="minorEastAsia"/>
                    <w:sz w:val="20"/>
                    <w:szCs w:val="21"/>
                  </w:rPr>
                  <w:t>-36,282,414</w:t>
                </w:r>
              </w:p>
            </w:tc>
            <w:tc>
              <w:tcPr>
                <w:tcW w:w="1019" w:type="pct"/>
              </w:tcPr>
              <w:p w:rsidR="007F1E4B" w:rsidRPr="00E04FAA" w:rsidRDefault="001B713D" w:rsidP="00567368">
                <w:pPr>
                  <w:pStyle w:val="af"/>
                  <w:ind w:firstLineChars="0" w:firstLine="0"/>
                  <w:jc w:val="right"/>
                  <w:rPr>
                    <w:rFonts w:asciiTheme="minorEastAsia" w:eastAsiaTheme="minorEastAsia" w:hAnsiTheme="minorEastAsia"/>
                    <w:color w:val="FF0000"/>
                    <w:sz w:val="20"/>
                    <w:szCs w:val="21"/>
                  </w:rPr>
                </w:pPr>
                <w:r w:rsidRPr="00E04FAA">
                  <w:rPr>
                    <w:rFonts w:asciiTheme="minorEastAsia" w:eastAsiaTheme="minorEastAsia" w:hAnsiTheme="minorEastAsia"/>
                    <w:sz w:val="20"/>
                    <w:szCs w:val="21"/>
                  </w:rPr>
                  <w:t>不适用</w:t>
                </w:r>
              </w:p>
            </w:tc>
          </w:tr>
          <w:tr w:rsidR="007F1E4B" w:rsidRPr="00E04FAA" w:rsidTr="00567368">
            <w:sdt>
              <w:sdtPr>
                <w:tag w:val="_PLD_93331660aee640afb46a84edc7e2d2a4"/>
                <w:id w:val="401807647"/>
                <w:lock w:val="sdtLocked"/>
              </w:sdtPr>
              <w:sdtContent>
                <w:tc>
                  <w:tcPr>
                    <w:tcW w:w="1707" w:type="pct"/>
                  </w:tcPr>
                  <w:p w:rsidR="007F1E4B" w:rsidRPr="00E04FAA" w:rsidRDefault="007F1E4B" w:rsidP="00567368">
                    <w:pPr>
                      <w:pStyle w:val="af"/>
                      <w:ind w:firstLineChars="0" w:firstLine="0"/>
                      <w:rPr>
                        <w:rFonts w:ascii="宋体" w:hAnsi="宋体"/>
                        <w:szCs w:val="21"/>
                      </w:rPr>
                    </w:pPr>
                    <w:r w:rsidRPr="00E04FAA">
                      <w:rPr>
                        <w:rFonts w:ascii="宋体" w:hAnsi="宋体"/>
                        <w:szCs w:val="21"/>
                      </w:rPr>
                      <w:t>投资活动产生的现金流量净额</w:t>
                    </w:r>
                  </w:p>
                </w:tc>
              </w:sdtContent>
            </w:sdt>
            <w:tc>
              <w:tcPr>
                <w:tcW w:w="1176" w:type="pct"/>
              </w:tcPr>
              <w:p w:rsidR="007F1E4B" w:rsidRPr="00E04FAA" w:rsidRDefault="007F1E4B" w:rsidP="00567368">
                <w:pPr>
                  <w:pStyle w:val="af"/>
                  <w:ind w:firstLineChars="0" w:firstLine="0"/>
                  <w:jc w:val="right"/>
                  <w:rPr>
                    <w:rFonts w:asciiTheme="minorEastAsia" w:eastAsiaTheme="minorEastAsia" w:hAnsiTheme="minorEastAsia"/>
                    <w:sz w:val="20"/>
                    <w:szCs w:val="21"/>
                  </w:rPr>
                </w:pPr>
                <w:r w:rsidRPr="00E04FAA">
                  <w:rPr>
                    <w:rFonts w:asciiTheme="minorEastAsia" w:eastAsiaTheme="minorEastAsia" w:hAnsiTheme="minorEastAsia"/>
                    <w:sz w:val="20"/>
                    <w:szCs w:val="21"/>
                  </w:rPr>
                  <w:t>-950,562,734</w:t>
                </w:r>
              </w:p>
            </w:tc>
            <w:tc>
              <w:tcPr>
                <w:tcW w:w="1098" w:type="pct"/>
              </w:tcPr>
              <w:p w:rsidR="007F1E4B" w:rsidRPr="00E04FAA" w:rsidRDefault="007F1E4B" w:rsidP="00567368">
                <w:pPr>
                  <w:pStyle w:val="af"/>
                  <w:ind w:firstLineChars="0" w:firstLine="0"/>
                  <w:jc w:val="right"/>
                  <w:rPr>
                    <w:rFonts w:asciiTheme="minorEastAsia" w:eastAsiaTheme="minorEastAsia" w:hAnsiTheme="minorEastAsia"/>
                    <w:sz w:val="20"/>
                    <w:szCs w:val="21"/>
                  </w:rPr>
                </w:pPr>
                <w:r w:rsidRPr="00E04FAA">
                  <w:rPr>
                    <w:rFonts w:asciiTheme="minorEastAsia" w:eastAsiaTheme="minorEastAsia" w:hAnsiTheme="minorEastAsia"/>
                    <w:sz w:val="20"/>
                    <w:szCs w:val="21"/>
                  </w:rPr>
                  <w:t>-290,187,853</w:t>
                </w:r>
              </w:p>
            </w:tc>
            <w:tc>
              <w:tcPr>
                <w:tcW w:w="1019" w:type="pct"/>
              </w:tcPr>
              <w:p w:rsidR="007F1E4B" w:rsidRPr="00E04FAA" w:rsidRDefault="001B713D" w:rsidP="00567368">
                <w:pPr>
                  <w:pStyle w:val="af"/>
                  <w:ind w:firstLineChars="0" w:firstLine="0"/>
                  <w:jc w:val="right"/>
                  <w:rPr>
                    <w:rFonts w:asciiTheme="minorEastAsia" w:eastAsiaTheme="minorEastAsia" w:hAnsiTheme="minorEastAsia"/>
                    <w:sz w:val="20"/>
                    <w:szCs w:val="21"/>
                  </w:rPr>
                </w:pPr>
                <w:r w:rsidRPr="00E04FAA">
                  <w:rPr>
                    <w:rFonts w:asciiTheme="minorEastAsia" w:eastAsiaTheme="minorEastAsia" w:hAnsiTheme="minorEastAsia"/>
                    <w:sz w:val="20"/>
                    <w:szCs w:val="21"/>
                  </w:rPr>
                  <w:t>不适用</w:t>
                </w:r>
              </w:p>
            </w:tc>
          </w:tr>
          <w:tr w:rsidR="007F1E4B" w:rsidRPr="00E04FAA" w:rsidTr="00567368">
            <w:sdt>
              <w:sdtPr>
                <w:tag w:val="_PLD_8e32eafcb28041f58b5df53597b43172"/>
                <w:id w:val="62910795"/>
                <w:lock w:val="sdtLocked"/>
              </w:sdtPr>
              <w:sdtContent>
                <w:tc>
                  <w:tcPr>
                    <w:tcW w:w="1707" w:type="pct"/>
                  </w:tcPr>
                  <w:p w:rsidR="007F1E4B" w:rsidRPr="00E04FAA" w:rsidRDefault="007F1E4B" w:rsidP="00567368">
                    <w:pPr>
                      <w:pStyle w:val="af"/>
                      <w:ind w:firstLineChars="0" w:firstLine="0"/>
                      <w:rPr>
                        <w:rFonts w:ascii="宋体" w:hAnsi="宋体"/>
                        <w:szCs w:val="21"/>
                      </w:rPr>
                    </w:pPr>
                    <w:r w:rsidRPr="00E04FAA">
                      <w:rPr>
                        <w:rFonts w:ascii="宋体" w:hAnsi="宋体"/>
                        <w:szCs w:val="21"/>
                      </w:rPr>
                      <w:t>筹资活动产生的现金流量净额</w:t>
                    </w:r>
                  </w:p>
                </w:tc>
              </w:sdtContent>
            </w:sdt>
            <w:tc>
              <w:tcPr>
                <w:tcW w:w="1176" w:type="pct"/>
              </w:tcPr>
              <w:p w:rsidR="007F1E4B" w:rsidRPr="00E04FAA" w:rsidRDefault="007F1E4B" w:rsidP="00567368">
                <w:pPr>
                  <w:pStyle w:val="af"/>
                  <w:ind w:firstLineChars="0" w:firstLine="0"/>
                  <w:jc w:val="right"/>
                  <w:rPr>
                    <w:rFonts w:asciiTheme="minorEastAsia" w:eastAsiaTheme="minorEastAsia" w:hAnsiTheme="minorEastAsia"/>
                    <w:sz w:val="20"/>
                    <w:szCs w:val="21"/>
                  </w:rPr>
                </w:pPr>
                <w:r w:rsidRPr="00E04FAA">
                  <w:rPr>
                    <w:rFonts w:asciiTheme="minorEastAsia" w:eastAsiaTheme="minorEastAsia" w:hAnsiTheme="minorEastAsia"/>
                    <w:sz w:val="20"/>
                    <w:szCs w:val="21"/>
                  </w:rPr>
                  <w:t>-49,008,517</w:t>
                </w:r>
              </w:p>
            </w:tc>
            <w:tc>
              <w:tcPr>
                <w:tcW w:w="1098" w:type="pct"/>
              </w:tcPr>
              <w:p w:rsidR="007F1E4B" w:rsidRPr="00E04FAA" w:rsidRDefault="007F1E4B" w:rsidP="00567368">
                <w:pPr>
                  <w:pStyle w:val="af"/>
                  <w:ind w:firstLineChars="0" w:firstLine="0"/>
                  <w:jc w:val="right"/>
                  <w:rPr>
                    <w:rFonts w:asciiTheme="minorEastAsia" w:eastAsiaTheme="minorEastAsia" w:hAnsiTheme="minorEastAsia"/>
                    <w:sz w:val="20"/>
                    <w:szCs w:val="21"/>
                  </w:rPr>
                </w:pPr>
                <w:r w:rsidRPr="00E04FAA">
                  <w:rPr>
                    <w:rFonts w:asciiTheme="minorEastAsia" w:eastAsiaTheme="minorEastAsia" w:hAnsiTheme="minorEastAsia"/>
                    <w:sz w:val="20"/>
                    <w:szCs w:val="21"/>
                  </w:rPr>
                  <w:t>-151,056,005</w:t>
                </w:r>
              </w:p>
            </w:tc>
            <w:tc>
              <w:tcPr>
                <w:tcW w:w="1019" w:type="pct"/>
              </w:tcPr>
              <w:p w:rsidR="007F1E4B" w:rsidRPr="00E04FAA" w:rsidRDefault="001B713D" w:rsidP="00567368">
                <w:pPr>
                  <w:pStyle w:val="af"/>
                  <w:ind w:firstLineChars="0" w:firstLine="0"/>
                  <w:jc w:val="right"/>
                  <w:rPr>
                    <w:rFonts w:asciiTheme="minorEastAsia" w:eastAsiaTheme="minorEastAsia" w:hAnsiTheme="minorEastAsia"/>
                    <w:sz w:val="20"/>
                    <w:szCs w:val="21"/>
                  </w:rPr>
                </w:pPr>
                <w:r w:rsidRPr="00E04FAA">
                  <w:rPr>
                    <w:rFonts w:asciiTheme="minorEastAsia" w:eastAsiaTheme="minorEastAsia" w:hAnsiTheme="minorEastAsia"/>
                    <w:sz w:val="20"/>
                    <w:szCs w:val="21"/>
                  </w:rPr>
                  <w:t>不适用</w:t>
                </w:r>
              </w:p>
            </w:tc>
          </w:tr>
        </w:tbl>
        <w:bookmarkEnd w:id="25"/>
        <w:p w:rsidR="00883153" w:rsidRPr="00E04FAA" w:rsidRDefault="00200151">
          <w:pPr>
            <w:pStyle w:val="af"/>
            <w:ind w:firstLineChars="0" w:firstLine="0"/>
            <w:jc w:val="left"/>
          </w:pPr>
          <w:r w:rsidRPr="00E04FAA">
            <w:rPr>
              <w:rFonts w:hint="eastAsia"/>
            </w:rPr>
            <w:t>营业收入变动原因说明</w:t>
          </w:r>
          <w:r w:rsidRPr="00E04FAA">
            <w:rPr>
              <w:rFonts w:hint="eastAsia"/>
            </w:rPr>
            <w:t>:</w:t>
          </w:r>
          <w:sdt>
            <w:sdtPr>
              <w:rPr>
                <w:rFonts w:ascii="宋体" w:hAnsi="宋体"/>
                <w:szCs w:val="21"/>
              </w:rPr>
              <w:alias w:val="营业收入变动原因说明"/>
              <w:tag w:val="_GBC_f42c61e6c2ef46fe886ea6ecdd4ea15b"/>
              <w:id w:val="887996462"/>
              <w:lock w:val="sdtLocked"/>
              <w:placeholder>
                <w:docPart w:val="GBC22222222222222222222222222222"/>
              </w:placeholder>
            </w:sdtPr>
            <w:sdtContent>
              <w:r w:rsidR="007F1E4B" w:rsidRPr="00E04FAA">
                <w:rPr>
                  <w:rFonts w:ascii="宋体" w:hAnsi="宋体" w:hint="eastAsia"/>
                  <w:szCs w:val="21"/>
                </w:rPr>
                <w:t>软件业务保持稳定增长，</w:t>
              </w:r>
              <w:r w:rsidR="007F1E4B" w:rsidRPr="00E04FAA">
                <w:rPr>
                  <w:rFonts w:ascii="宋体" w:hAnsi="宋体"/>
                  <w:szCs w:val="21"/>
                </w:rPr>
                <w:t>云服务业务实现快速增长</w:t>
              </w:r>
              <w:r w:rsidR="006F2EE0" w:rsidRPr="00E04FAA">
                <w:rPr>
                  <w:rFonts w:ascii="宋体" w:hAnsi="宋体" w:hint="eastAsia"/>
                  <w:szCs w:val="21"/>
                </w:rPr>
                <w:t>。</w:t>
              </w:r>
            </w:sdtContent>
          </w:sdt>
        </w:p>
        <w:p w:rsidR="00883153" w:rsidRPr="00E04FAA" w:rsidRDefault="00200151">
          <w:pPr>
            <w:pStyle w:val="af"/>
            <w:ind w:firstLineChars="0" w:firstLine="0"/>
            <w:jc w:val="left"/>
          </w:pPr>
          <w:r w:rsidRPr="00E04FAA">
            <w:rPr>
              <w:rFonts w:hint="eastAsia"/>
            </w:rPr>
            <w:t>营业成本变动原因说明</w:t>
          </w:r>
          <w:r w:rsidRPr="00E04FAA">
            <w:rPr>
              <w:rFonts w:hint="eastAsia"/>
            </w:rPr>
            <w:t>:</w:t>
          </w:r>
          <w:sdt>
            <w:sdtPr>
              <w:rPr>
                <w:rFonts w:hint="eastAsia"/>
              </w:rPr>
              <w:alias w:val="营业成本变动原因说明"/>
              <w:tag w:val="_GBC_4ab47071f9844da58abe164f6bd272aa"/>
              <w:id w:val="167838965"/>
              <w:lock w:val="sdtLocked"/>
              <w:placeholder>
                <w:docPart w:val="GBC22222222222222222222222222222"/>
              </w:placeholder>
            </w:sdtPr>
            <w:sdtContent>
              <w:r w:rsidR="007F1E4B" w:rsidRPr="00E04FAA">
                <w:rPr>
                  <w:rFonts w:hint="eastAsia"/>
                </w:rPr>
                <w:t>主要由于人员费用增长所致</w:t>
              </w:r>
              <w:r w:rsidR="006F2EE0" w:rsidRPr="00E04FAA">
                <w:rPr>
                  <w:rFonts w:hint="eastAsia"/>
                </w:rPr>
                <w:t>。</w:t>
              </w:r>
            </w:sdtContent>
          </w:sdt>
        </w:p>
        <w:p w:rsidR="00883153" w:rsidRPr="00E04FAA" w:rsidRDefault="00200151">
          <w:pPr>
            <w:pStyle w:val="af"/>
            <w:ind w:firstLineChars="0" w:firstLine="0"/>
            <w:jc w:val="left"/>
          </w:pPr>
          <w:r w:rsidRPr="00E04FAA">
            <w:rPr>
              <w:rFonts w:hint="eastAsia"/>
            </w:rPr>
            <w:t>销售费用变动原因说明</w:t>
          </w:r>
          <w:r w:rsidRPr="00E04FAA">
            <w:rPr>
              <w:rFonts w:hint="eastAsia"/>
            </w:rPr>
            <w:t>:</w:t>
          </w:r>
          <w:sdt>
            <w:sdtPr>
              <w:rPr>
                <w:rFonts w:hint="eastAsia"/>
              </w:rPr>
              <w:alias w:val="销售费用变动原因说明"/>
              <w:tag w:val="_GBC_d8f3d3236009445ca57b171f1c954fae"/>
              <w:id w:val="-2064627711"/>
              <w:lock w:val="sdtLocked"/>
              <w:placeholder>
                <w:docPart w:val="GBC22222222222222222222222222222"/>
              </w:placeholder>
            </w:sdtPr>
            <w:sdtContent>
              <w:r w:rsidR="00D40063" w:rsidRPr="00E04FAA">
                <w:rPr>
                  <w:rFonts w:hint="eastAsia"/>
                </w:rPr>
                <w:t>主要由于人员费用下降所致。</w:t>
              </w:r>
            </w:sdtContent>
          </w:sdt>
        </w:p>
        <w:p w:rsidR="00883153" w:rsidRPr="00E04FAA" w:rsidRDefault="00200151">
          <w:pPr>
            <w:pStyle w:val="af"/>
            <w:ind w:firstLineChars="0" w:firstLine="0"/>
            <w:jc w:val="left"/>
          </w:pPr>
          <w:r w:rsidRPr="00E04FAA">
            <w:rPr>
              <w:rFonts w:hint="eastAsia"/>
            </w:rPr>
            <w:t>管理费用变动原因说明</w:t>
          </w:r>
          <w:r w:rsidRPr="00E04FAA">
            <w:rPr>
              <w:rFonts w:hint="eastAsia"/>
            </w:rPr>
            <w:t>:</w:t>
          </w:r>
          <w:sdt>
            <w:sdtPr>
              <w:rPr>
                <w:rFonts w:hint="eastAsia"/>
              </w:rPr>
              <w:alias w:val="管理费用变动原因说明"/>
              <w:tag w:val="_GBC_13103bbe23ee4770b17eecdee03d38a1"/>
              <w:id w:val="-1313943281"/>
              <w:lock w:val="sdtLocked"/>
              <w:placeholder>
                <w:docPart w:val="GBC22222222222222222222222222222"/>
              </w:placeholder>
            </w:sdtPr>
            <w:sdtContent>
              <w:r w:rsidR="00D40063" w:rsidRPr="00E04FAA">
                <w:rPr>
                  <w:rFonts w:hint="eastAsia"/>
                </w:rPr>
                <w:t>主要由于人员费用下降所致。</w:t>
              </w:r>
            </w:sdtContent>
          </w:sdt>
        </w:p>
        <w:p w:rsidR="00883153" w:rsidRPr="00E04FAA" w:rsidRDefault="00200151">
          <w:pPr>
            <w:pStyle w:val="af"/>
            <w:ind w:firstLineChars="0" w:firstLine="0"/>
            <w:jc w:val="left"/>
          </w:pPr>
          <w:r w:rsidRPr="00E04FAA">
            <w:rPr>
              <w:rFonts w:hint="eastAsia"/>
            </w:rPr>
            <w:t>财务费用变动原因说明</w:t>
          </w:r>
          <w:r w:rsidRPr="00E04FAA">
            <w:rPr>
              <w:rFonts w:hint="eastAsia"/>
            </w:rPr>
            <w:t>:</w:t>
          </w:r>
          <w:sdt>
            <w:sdtPr>
              <w:rPr>
                <w:rFonts w:hint="eastAsia"/>
              </w:rPr>
              <w:alias w:val="财务费用变动原因说明"/>
              <w:tag w:val="_GBC_2876360f1d844724b6ba84d6b9756580"/>
              <w:id w:val="-1877767061"/>
              <w:lock w:val="sdtLocked"/>
              <w:placeholder>
                <w:docPart w:val="GBC22222222222222222222222222222"/>
              </w:placeholder>
            </w:sdtPr>
            <w:sdtContent>
              <w:r w:rsidR="00D40063" w:rsidRPr="00E04FAA">
                <w:rPr>
                  <w:rFonts w:hint="eastAsia"/>
                </w:rPr>
                <w:t>主要由于</w:t>
              </w:r>
              <w:r w:rsidR="0006622F" w:rsidRPr="00E04FAA">
                <w:rPr>
                  <w:rFonts w:hint="eastAsia"/>
                </w:rPr>
                <w:t>主要由于利息支出</w:t>
              </w:r>
              <w:r w:rsidR="00D40063" w:rsidRPr="00E04FAA">
                <w:rPr>
                  <w:rFonts w:hint="eastAsia"/>
                </w:rPr>
                <w:t>减少所致。</w:t>
              </w:r>
            </w:sdtContent>
          </w:sdt>
        </w:p>
        <w:p w:rsidR="00883153" w:rsidRPr="00E04FAA" w:rsidRDefault="00200151">
          <w:pPr>
            <w:pStyle w:val="af"/>
            <w:ind w:firstLineChars="0" w:firstLine="0"/>
            <w:jc w:val="left"/>
          </w:pPr>
          <w:r w:rsidRPr="00E04FAA">
            <w:rPr>
              <w:rFonts w:hint="eastAsia"/>
            </w:rPr>
            <w:t>研发费用变动原因说明</w:t>
          </w:r>
          <w:r w:rsidRPr="00E04FAA">
            <w:t>:</w:t>
          </w:r>
          <w:sdt>
            <w:sdtPr>
              <w:alias w:val="研发费用变动原因说明"/>
              <w:tag w:val="_GBC_b0b71742eb3f4715afa18751ce433454"/>
              <w:id w:val="1052973350"/>
              <w:lock w:val="sdtLocked"/>
              <w:placeholder>
                <w:docPart w:val="GBC22222222222222222222222222222"/>
              </w:placeholder>
            </w:sdtPr>
            <w:sdtContent>
              <w:r w:rsidR="00D40063" w:rsidRPr="00E04FAA">
                <w:rPr>
                  <w:rFonts w:hint="eastAsia"/>
                </w:rPr>
                <w:t>主要由于报告期内加大对产品的研发投入所致。</w:t>
              </w:r>
            </w:sdtContent>
          </w:sdt>
        </w:p>
        <w:p w:rsidR="00883153" w:rsidRPr="00E04FAA" w:rsidRDefault="00200151">
          <w:pPr>
            <w:pStyle w:val="af"/>
            <w:ind w:firstLineChars="0" w:firstLine="0"/>
            <w:jc w:val="left"/>
          </w:pPr>
          <w:r w:rsidRPr="00E04FAA">
            <w:rPr>
              <w:rFonts w:ascii="宋体" w:hAnsi="宋体"/>
              <w:szCs w:val="21"/>
            </w:rPr>
            <w:lastRenderedPageBreak/>
            <w:t>经营活动产生的现金流量净额</w:t>
          </w:r>
          <w:r w:rsidRPr="00E04FAA">
            <w:rPr>
              <w:rFonts w:ascii="宋体" w:hAnsi="宋体" w:hint="eastAsia"/>
              <w:szCs w:val="21"/>
            </w:rPr>
            <w:t>变动原因说明:</w:t>
          </w:r>
          <w:sdt>
            <w:sdtPr>
              <w:rPr>
                <w:rFonts w:ascii="宋体" w:hAnsi="宋体" w:hint="eastAsia"/>
                <w:szCs w:val="21"/>
              </w:rPr>
              <w:alias w:val="经营活动产生的现金流量净额变动原因说明"/>
              <w:tag w:val="_GBC_309323bb8b0046e9bb6afe0231994d50"/>
              <w:id w:val="609471380"/>
              <w:lock w:val="sdtLocked"/>
              <w:placeholder>
                <w:docPart w:val="GBC22222222222222222222222222222"/>
              </w:placeholder>
            </w:sdtPr>
            <w:sdtContent>
              <w:r w:rsidR="00D40063" w:rsidRPr="00E04FAA">
                <w:rPr>
                  <w:rFonts w:ascii="宋体" w:hAnsi="宋体" w:hint="eastAsia"/>
                  <w:szCs w:val="21"/>
                </w:rPr>
                <w:t>主要由于报告期支付职工和为职工支付的现金增长所致。</w:t>
              </w:r>
            </w:sdtContent>
          </w:sdt>
        </w:p>
        <w:p w:rsidR="00883153" w:rsidRPr="00E04FAA" w:rsidRDefault="00200151">
          <w:pPr>
            <w:pStyle w:val="af"/>
            <w:ind w:firstLineChars="0" w:firstLine="0"/>
            <w:jc w:val="left"/>
          </w:pPr>
          <w:r w:rsidRPr="00E04FAA">
            <w:rPr>
              <w:rFonts w:ascii="宋体" w:hAnsi="宋体"/>
              <w:szCs w:val="21"/>
            </w:rPr>
            <w:t>投资活动产生的现金流量净额</w:t>
          </w:r>
          <w:r w:rsidRPr="00E04FAA">
            <w:rPr>
              <w:rFonts w:ascii="宋体" w:hAnsi="宋体" w:hint="eastAsia"/>
              <w:szCs w:val="21"/>
            </w:rPr>
            <w:t>变动原因说明:</w:t>
          </w:r>
          <w:sdt>
            <w:sdtPr>
              <w:rPr>
                <w:rFonts w:ascii="宋体" w:hAnsi="宋体" w:hint="eastAsia"/>
                <w:szCs w:val="21"/>
              </w:rPr>
              <w:alias w:val="投资活动产生的现金流量净额变动原因说明"/>
              <w:tag w:val="_GBC_981bcb9573814b8080b52fae435fb1b0"/>
              <w:id w:val="1181929468"/>
              <w:lock w:val="sdtLocked"/>
              <w:placeholder>
                <w:docPart w:val="GBC22222222222222222222222222222"/>
              </w:placeholder>
            </w:sdtPr>
            <w:sdtContent>
              <w:r w:rsidR="00D40063" w:rsidRPr="00E04FAA">
                <w:rPr>
                  <w:rFonts w:ascii="宋体" w:hAnsi="宋体" w:hint="eastAsia"/>
                  <w:szCs w:val="21"/>
                </w:rPr>
                <w:t>主要由于报告期公司购买</w:t>
              </w:r>
              <w:r w:rsidR="007E7D32" w:rsidRPr="00E04FAA">
                <w:rPr>
                  <w:rFonts w:ascii="宋体" w:hAnsi="宋体" w:hint="eastAsia"/>
                  <w:szCs w:val="21"/>
                </w:rPr>
                <w:t>交易性金融资产</w:t>
              </w:r>
              <w:r w:rsidR="00D40063" w:rsidRPr="00E04FAA">
                <w:rPr>
                  <w:rFonts w:ascii="宋体" w:hAnsi="宋体" w:hint="eastAsia"/>
                  <w:szCs w:val="21"/>
                </w:rPr>
                <w:t>增加所致。</w:t>
              </w:r>
            </w:sdtContent>
          </w:sdt>
        </w:p>
        <w:p w:rsidR="00883153" w:rsidRPr="00E04FAA" w:rsidRDefault="00200151">
          <w:pPr>
            <w:pStyle w:val="af"/>
            <w:ind w:firstLineChars="0" w:firstLine="0"/>
            <w:jc w:val="left"/>
          </w:pPr>
          <w:r w:rsidRPr="00E04FAA">
            <w:rPr>
              <w:rFonts w:ascii="宋体" w:hAnsi="宋体"/>
              <w:szCs w:val="21"/>
            </w:rPr>
            <w:t>筹资活动产生的现金流量净额</w:t>
          </w:r>
          <w:r w:rsidRPr="00E04FAA">
            <w:rPr>
              <w:rFonts w:ascii="宋体" w:hAnsi="宋体" w:hint="eastAsia"/>
              <w:szCs w:val="21"/>
            </w:rPr>
            <w:t>变动原因说明:</w:t>
          </w:r>
          <w:sdt>
            <w:sdtPr>
              <w:rPr>
                <w:rFonts w:ascii="宋体" w:hAnsi="宋体" w:hint="eastAsia"/>
                <w:szCs w:val="21"/>
              </w:rPr>
              <w:alias w:val="筹资活动产生的现金流量净额变动原因说明"/>
              <w:tag w:val="_GBC_900a9d8acfac4ec18a35c4034161c13e"/>
              <w:id w:val="1295724581"/>
              <w:lock w:val="sdtLocked"/>
              <w:placeholder>
                <w:docPart w:val="GBC22222222222222222222222222222"/>
              </w:placeholder>
            </w:sdtPr>
            <w:sdtContent>
              <w:r w:rsidR="00D40063" w:rsidRPr="00E04FAA">
                <w:rPr>
                  <w:rFonts w:ascii="宋体" w:hAnsi="宋体" w:hint="eastAsia"/>
                  <w:szCs w:val="21"/>
                </w:rPr>
                <w:t>主要由于报告期内公司</w:t>
              </w:r>
              <w:r w:rsidR="005171FD" w:rsidRPr="00E04FAA">
                <w:rPr>
                  <w:rFonts w:ascii="宋体" w:hAnsi="宋体" w:hint="eastAsia"/>
                  <w:szCs w:val="21"/>
                </w:rPr>
                <w:t>偿还</w:t>
              </w:r>
              <w:r w:rsidR="00D40063" w:rsidRPr="00E04FAA">
                <w:rPr>
                  <w:rFonts w:ascii="宋体" w:hAnsi="宋体" w:hint="eastAsia"/>
                  <w:szCs w:val="21"/>
                </w:rPr>
                <w:t>借款</w:t>
              </w:r>
              <w:r w:rsidR="005171FD" w:rsidRPr="00E04FAA">
                <w:rPr>
                  <w:rFonts w:ascii="宋体" w:hAnsi="宋体" w:hint="eastAsia"/>
                  <w:szCs w:val="21"/>
                </w:rPr>
                <w:t>减少、</w:t>
              </w:r>
              <w:r w:rsidR="00D40063" w:rsidRPr="00E04FAA">
                <w:rPr>
                  <w:rFonts w:ascii="宋体" w:hAnsi="宋体" w:hint="eastAsia"/>
                  <w:szCs w:val="21"/>
                </w:rPr>
                <w:t>支付股利增加</w:t>
              </w:r>
              <w:r w:rsidR="005171FD" w:rsidRPr="00E04FAA">
                <w:rPr>
                  <w:rFonts w:ascii="宋体" w:hAnsi="宋体" w:hint="eastAsia"/>
                  <w:szCs w:val="21"/>
                </w:rPr>
                <w:t>及股票回购</w:t>
              </w:r>
              <w:r w:rsidR="00D40063" w:rsidRPr="00E04FAA">
                <w:rPr>
                  <w:rFonts w:ascii="宋体" w:hAnsi="宋体" w:hint="eastAsia"/>
                  <w:szCs w:val="21"/>
                </w:rPr>
                <w:t>综合导致。</w:t>
              </w:r>
            </w:sdtContent>
          </w:sdt>
        </w:p>
      </w:sdtContent>
    </w:sdt>
    <w:p w:rsidR="00883153" w:rsidRPr="00E04FAA" w:rsidRDefault="00200151" w:rsidP="00FC3870">
      <w:pPr>
        <w:pStyle w:val="4"/>
        <w:numPr>
          <w:ilvl w:val="0"/>
          <w:numId w:val="8"/>
        </w:numPr>
      </w:pPr>
      <w:bookmarkStart w:id="26" w:name="_Toc342559755"/>
      <w:bookmarkStart w:id="27" w:name="_Toc342565903"/>
      <w:bookmarkEnd w:id="24"/>
      <w:r w:rsidRPr="00E04FAA">
        <w:rPr>
          <w:rFonts w:hint="eastAsia"/>
        </w:rPr>
        <w:t>其他</w:t>
      </w:r>
    </w:p>
    <w:sdt>
      <w:sdtPr>
        <w:rPr>
          <w:rFonts w:ascii="宋体" w:hAnsi="宋体" w:cs="宋体"/>
          <w:b w:val="0"/>
          <w:bCs w:val="0"/>
          <w:kern w:val="0"/>
          <w:szCs w:val="22"/>
        </w:rPr>
        <w:alias w:val="模块:公司利润构成或利润来源发生重大变动的详细说明"/>
        <w:tag w:val="_GBC_2346c2f60a0d447bb4e68d1cdeb1ae6e"/>
        <w:id w:val="-356431545"/>
        <w:lock w:val="sdtLocked"/>
        <w:placeholder>
          <w:docPart w:val="GBC22222222222222222222222222222"/>
        </w:placeholder>
      </w:sdtPr>
      <w:sdtEndPr>
        <w:rPr>
          <w:rFonts w:hint="eastAsia"/>
          <w:szCs w:val="24"/>
        </w:rPr>
      </w:sdtEndPr>
      <w:sdtContent>
        <w:p w:rsidR="00883153" w:rsidRPr="00E04FAA" w:rsidRDefault="00200151" w:rsidP="00FC3870">
          <w:pPr>
            <w:pStyle w:val="5"/>
            <w:numPr>
              <w:ilvl w:val="0"/>
              <w:numId w:val="19"/>
            </w:numPr>
          </w:pPr>
          <w:r w:rsidRPr="00E04FAA">
            <w:t>公司利润构成或利润来源发生重大变动的详细说明</w:t>
          </w:r>
        </w:p>
        <w:sdt>
          <w:sdtPr>
            <w:alias w:val="是否适用：公司利润构成或利润来源发生重大变动的详细说明[双击切换]"/>
            <w:tag w:val="_GBC_cf62b49cb7b54052a77aa6c4ec7218c8"/>
            <w:id w:val="-1397822245"/>
            <w:lock w:val="sdtContentLocked"/>
            <w:placeholder>
              <w:docPart w:val="GBC22222222222222222222222222222"/>
            </w:placeholder>
          </w:sdtPr>
          <w:sdtContent>
            <w:p w:rsidR="00883153" w:rsidRPr="00E04FAA" w:rsidRDefault="00200151" w:rsidP="00B16D9A">
              <w:r w:rsidRPr="00E04FAA">
                <w:fldChar w:fldCharType="begin"/>
              </w:r>
              <w:r w:rsidR="00B16D9A" w:rsidRPr="00E04FAA">
                <w:instrText xml:space="preserve"> MACROBUTTON  SnrToggleCheckbox □适用 </w:instrText>
              </w:r>
              <w:r w:rsidRPr="00E04FAA">
                <w:fldChar w:fldCharType="end"/>
              </w:r>
              <w:r w:rsidRPr="00E04FAA">
                <w:fldChar w:fldCharType="begin"/>
              </w:r>
              <w:r w:rsidR="00B16D9A" w:rsidRPr="00E04FAA">
                <w:instrText xml:space="preserve"> MACROBUTTON  SnrToggleCheckbox √不适用 </w:instrText>
              </w:r>
              <w:r w:rsidRPr="00E04FAA">
                <w:fldChar w:fldCharType="end"/>
              </w:r>
            </w:p>
          </w:sdtContent>
        </w:sdt>
        <w:p w:rsidR="00883153" w:rsidRPr="00E04FAA" w:rsidRDefault="000D0A99"/>
      </w:sdtContent>
    </w:sdt>
    <w:sdt>
      <w:sdtPr>
        <w:rPr>
          <w:rFonts w:ascii="宋体" w:hAnsi="宋体" w:cs="宋体"/>
          <w:b w:val="0"/>
          <w:bCs w:val="0"/>
          <w:kern w:val="0"/>
          <w:szCs w:val="22"/>
        </w:rPr>
        <w:alias w:val="模块:主营业务其他项目说明"/>
        <w:tag w:val="_GBC_6e5fe080dde8462ca9fa8c7bae6ec617"/>
        <w:id w:val="1263493453"/>
        <w:lock w:val="sdtLocked"/>
        <w:placeholder>
          <w:docPart w:val="GBC22222222222222222222222222222"/>
        </w:placeholder>
      </w:sdtPr>
      <w:sdtEndPr>
        <w:rPr>
          <w:rFonts w:hint="eastAsia"/>
          <w:szCs w:val="24"/>
        </w:rPr>
      </w:sdtEndPr>
      <w:sdtContent>
        <w:p w:rsidR="00883153" w:rsidRPr="00E04FAA" w:rsidRDefault="00200151" w:rsidP="00FC3870">
          <w:pPr>
            <w:pStyle w:val="5"/>
            <w:numPr>
              <w:ilvl w:val="0"/>
              <w:numId w:val="19"/>
            </w:numPr>
          </w:pPr>
          <w:r w:rsidRPr="00E04FAA">
            <w:t>其他</w:t>
          </w:r>
        </w:p>
        <w:sdt>
          <w:sdtPr>
            <w:alias w:val="是否适用：主营业务其他项目的其他说明[双击切换]"/>
            <w:tag w:val="_GBC_3b36f261ce9e41a5bec5415813cc43fa"/>
            <w:id w:val="2105448479"/>
            <w:lock w:val="sdtContentLocked"/>
            <w:placeholder>
              <w:docPart w:val="GBC22222222222222222222222222222"/>
            </w:placeholder>
          </w:sdtPr>
          <w:sdtContent>
            <w:p w:rsidR="00883153" w:rsidRPr="00E04FAA" w:rsidRDefault="00200151" w:rsidP="00B16D9A">
              <w:r w:rsidRPr="00E04FAA">
                <w:fldChar w:fldCharType="begin"/>
              </w:r>
              <w:r w:rsidR="00B16D9A" w:rsidRPr="00E04FAA">
                <w:instrText xml:space="preserve"> MACROBUTTON  SnrToggleCheckbox □适用 </w:instrText>
              </w:r>
              <w:r w:rsidRPr="00E04FAA">
                <w:fldChar w:fldCharType="end"/>
              </w:r>
              <w:r w:rsidRPr="00E04FAA">
                <w:fldChar w:fldCharType="begin"/>
              </w:r>
              <w:r w:rsidR="00B16D9A" w:rsidRPr="00E04FAA">
                <w:instrText xml:space="preserve"> MACROBUTTON  SnrToggleCheckbox √不适用 </w:instrText>
              </w:r>
              <w:r w:rsidRPr="00E04FAA">
                <w:fldChar w:fldCharType="end"/>
              </w:r>
            </w:p>
          </w:sdtContent>
        </w:sdt>
      </w:sdtContent>
    </w:sdt>
    <w:p w:rsidR="00883153" w:rsidRPr="00E04FAA" w:rsidRDefault="00883153"/>
    <w:sdt>
      <w:sdtPr>
        <w:rPr>
          <w:rFonts w:ascii="宋体" w:hAnsi="宋体" w:cs="宋体" w:hint="eastAsia"/>
          <w:b w:val="0"/>
          <w:bCs w:val="0"/>
          <w:kern w:val="0"/>
          <w:szCs w:val="24"/>
        </w:rPr>
        <w:alias w:val="模块:非主营业务导致利润重大变化的说明"/>
        <w:tag w:val="_SEC_8eca3e31ebef41f0bccb8c1e5fae0579"/>
        <w:id w:val="-182971277"/>
        <w:lock w:val="sdtLocked"/>
        <w:placeholder>
          <w:docPart w:val="GBC22222222222222222222222222222"/>
        </w:placeholder>
      </w:sdtPr>
      <w:sdtContent>
        <w:p w:rsidR="00883153" w:rsidRPr="00E04FAA" w:rsidRDefault="00200151" w:rsidP="00FC3870">
          <w:pPr>
            <w:pStyle w:val="3"/>
            <w:numPr>
              <w:ilvl w:val="0"/>
              <w:numId w:val="7"/>
            </w:numPr>
          </w:pPr>
          <w:r w:rsidRPr="00E04FAA">
            <w:t>非主营业务导致利润重大变化的说明</w:t>
          </w:r>
        </w:p>
        <w:sdt>
          <w:sdtPr>
            <w:rPr>
              <w:rFonts w:hint="eastAsia"/>
            </w:rPr>
            <w:alias w:val="是否适用：非主营业务来源分析[双击切换]"/>
            <w:tag w:val="_GBC_45f0580c6f114551af0270412b25ccd0"/>
            <w:id w:val="628901598"/>
            <w:lock w:val="sdtContentLocked"/>
            <w:placeholder>
              <w:docPart w:val="GBC22222222222222222222222222222"/>
            </w:placeholder>
          </w:sdtPr>
          <w:sdtContent>
            <w:p w:rsidR="00883153" w:rsidRPr="00E04FAA" w:rsidRDefault="00200151" w:rsidP="0073462A">
              <w:r w:rsidRPr="00E04FAA">
                <w:fldChar w:fldCharType="begin"/>
              </w:r>
              <w:r w:rsidR="0073462A" w:rsidRPr="00E04FAA">
                <w:instrText xml:space="preserve"> MACROBUTTON  SnrToggleCheckbox □适用 </w:instrText>
              </w:r>
              <w:r w:rsidRPr="00E04FAA">
                <w:fldChar w:fldCharType="end"/>
              </w:r>
              <w:r w:rsidRPr="00E04FAA">
                <w:fldChar w:fldCharType="begin"/>
              </w:r>
              <w:r w:rsidR="0073462A" w:rsidRPr="00E04FAA">
                <w:instrText xml:space="preserve"> MACROBUTTON  SnrToggleCheckbox √不适用 </w:instrText>
              </w:r>
              <w:r w:rsidRPr="00E04FAA">
                <w:fldChar w:fldCharType="end"/>
              </w:r>
            </w:p>
          </w:sdtContent>
        </w:sdt>
      </w:sdtContent>
    </w:sdt>
    <w:p w:rsidR="00883153" w:rsidRPr="00E04FAA" w:rsidRDefault="00883153"/>
    <w:p w:rsidR="00883153" w:rsidRPr="00E04FAA" w:rsidRDefault="00200151" w:rsidP="00FC3870">
      <w:pPr>
        <w:pStyle w:val="3"/>
        <w:numPr>
          <w:ilvl w:val="0"/>
          <w:numId w:val="7"/>
        </w:numPr>
        <w:rPr>
          <w:szCs w:val="21"/>
        </w:rPr>
      </w:pPr>
      <w:r w:rsidRPr="00E04FAA">
        <w:rPr>
          <w:szCs w:val="21"/>
        </w:rPr>
        <w:t>资产、负债情况分析</w:t>
      </w:r>
    </w:p>
    <w:p w:rsidR="00B16D9A" w:rsidRPr="00E04FAA" w:rsidRDefault="000D0A99" w:rsidP="00B16D9A">
      <w:sdt>
        <w:sdtPr>
          <w:rPr>
            <w:rFonts w:hint="eastAsia"/>
          </w:rPr>
          <w:alias w:val="是否适用：资产、负债情况分析[双击切换]"/>
          <w:tag w:val="_GBC_7e768f46f428417e8696bff3cfaf9902"/>
          <w:id w:val="-926416519"/>
          <w:lock w:val="sdtContentLocked"/>
          <w:placeholder>
            <w:docPart w:val="GBC22222222222222222222222222222"/>
          </w:placeholder>
        </w:sdtPr>
        <w:sdtContent>
          <w:r w:rsidR="00200151" w:rsidRPr="00E04FAA">
            <w:fldChar w:fldCharType="begin"/>
          </w:r>
          <w:r w:rsidR="00B16D9A" w:rsidRPr="00E04FAA">
            <w:instrText xml:space="preserve"> MACROBUTTON  SnrToggleCheckbox √适用 </w:instrText>
          </w:r>
          <w:r w:rsidR="00200151" w:rsidRPr="00E04FAA">
            <w:fldChar w:fldCharType="end"/>
          </w:r>
          <w:r w:rsidR="00200151" w:rsidRPr="00E04FAA">
            <w:fldChar w:fldCharType="begin"/>
          </w:r>
          <w:r w:rsidR="00B16D9A" w:rsidRPr="00E04FAA">
            <w:instrText xml:space="preserve"> MACROBUTTON  SnrToggleCheckbox □不适用 </w:instrText>
          </w:r>
          <w:r w:rsidR="00200151" w:rsidRPr="00E04FAA">
            <w:fldChar w:fldCharType="end"/>
          </w:r>
        </w:sdtContent>
      </w:sdt>
    </w:p>
    <w:sdt>
      <w:sdtPr>
        <w:rPr>
          <w:rFonts w:ascii="宋体" w:hAnsi="宋体" w:cs="宋体"/>
          <w:b w:val="0"/>
          <w:bCs w:val="0"/>
          <w:kern w:val="0"/>
          <w:szCs w:val="21"/>
        </w:rPr>
        <w:alias w:val="模块:资产负债情况分析表"/>
        <w:tag w:val="_SEC_6223798588db4238825d68a423f52705"/>
        <w:id w:val="1524279777"/>
        <w:lock w:val="sdtLocked"/>
        <w:placeholder>
          <w:docPart w:val="4382D6A4720A42C7BB43B446FD01FB1E"/>
        </w:placeholder>
      </w:sdtPr>
      <w:sdtContent>
        <w:p w:rsidR="00B16D9A" w:rsidRPr="00E04FAA" w:rsidRDefault="00B16D9A" w:rsidP="00FC3870">
          <w:pPr>
            <w:pStyle w:val="4"/>
            <w:numPr>
              <w:ilvl w:val="0"/>
              <w:numId w:val="29"/>
            </w:numPr>
            <w:rPr>
              <w:b w:val="0"/>
            </w:rPr>
          </w:pPr>
          <w:r w:rsidRPr="00E04FAA">
            <w:t>资产</w:t>
          </w:r>
          <w:r w:rsidRPr="00E04FAA">
            <w:rPr>
              <w:rFonts w:hint="eastAsia"/>
            </w:rPr>
            <w:t>及</w:t>
          </w:r>
          <w:r w:rsidRPr="00E04FAA">
            <w:t>负债</w:t>
          </w:r>
          <w:r w:rsidRPr="00E04FAA">
            <w:rPr>
              <w:rFonts w:hint="eastAsia"/>
              <w:szCs w:val="21"/>
            </w:rPr>
            <w:t>状</w:t>
          </w:r>
          <w:r w:rsidRPr="00E04FAA">
            <w:rPr>
              <w:szCs w:val="21"/>
            </w:rPr>
            <w:t>况</w:t>
          </w:r>
        </w:p>
        <w:p w:rsidR="00B16D9A" w:rsidRPr="00E04FAA" w:rsidRDefault="00B16D9A">
          <w:pPr>
            <w:jc w:val="right"/>
            <w:rPr>
              <w:szCs w:val="21"/>
            </w:rPr>
          </w:pPr>
          <w:r w:rsidRPr="00E04FAA">
            <w:rPr>
              <w:rFonts w:hint="eastAsia"/>
              <w:szCs w:val="21"/>
            </w:rPr>
            <w:t>单位：</w:t>
          </w:r>
          <w:sdt>
            <w:sdtPr>
              <w:rPr>
                <w:rFonts w:hint="eastAsia"/>
                <w:szCs w:val="21"/>
              </w:rPr>
              <w:alias w:val="单位：资产负债状况分析"/>
              <w:tag w:val="_GBC_21de4e2184d94baf8e19137a1d0d5b74"/>
              <w:id w:val="-1120523646"/>
              <w:lock w:val="sdtLocked"/>
              <w:placeholder>
                <w:docPart w:val="4382D6A4720A42C7BB43B446FD01FB1E"/>
              </w:placeholder>
              <w:comboBox>
                <w:listItem w:displayText="元" w:value="1"/>
                <w:listItem w:displayText="千元" w:value="1000"/>
                <w:listItem w:displayText="万元" w:value="10000"/>
                <w:listItem w:displayText="百万元" w:value="1000000"/>
                <w:listItem w:displayText="亿元" w:value="100000000"/>
              </w:comboBox>
            </w:sdtPr>
            <w:sdtContent>
              <w:r w:rsidRPr="00E04FAA">
                <w:rPr>
                  <w:rFonts w:hint="eastAsia"/>
                  <w:szCs w:val="21"/>
                </w:rPr>
                <w:t>元</w:t>
              </w:r>
            </w:sdtContent>
          </w:sdt>
        </w:p>
        <w:tbl>
          <w:tblPr>
            <w:tblStyle w:val="a9"/>
            <w:tblW w:w="5175" w:type="pct"/>
            <w:tblLayout w:type="fixed"/>
            <w:tblLook w:val="04A0" w:firstRow="1" w:lastRow="0" w:firstColumn="1" w:lastColumn="0" w:noHBand="0" w:noVBand="1"/>
          </w:tblPr>
          <w:tblGrid>
            <w:gridCol w:w="1108"/>
            <w:gridCol w:w="1724"/>
            <w:gridCol w:w="975"/>
            <w:gridCol w:w="1406"/>
            <w:gridCol w:w="838"/>
            <w:gridCol w:w="979"/>
            <w:gridCol w:w="2102"/>
          </w:tblGrid>
          <w:tr w:rsidR="00226D19" w:rsidRPr="00E04FAA" w:rsidTr="0067641A">
            <w:trPr>
              <w:trHeight w:val="180"/>
            </w:trPr>
            <w:bookmarkStart w:id="28" w:name="_Hlk16634591" w:displacedByCustomXml="next"/>
            <w:sdt>
              <w:sdtPr>
                <w:rPr>
                  <w:szCs w:val="21"/>
                </w:rPr>
                <w:tag w:val="_PLD_d0f356a255cd4ad2a1d809f43b17afe4"/>
                <w:id w:val="-55938680"/>
                <w:lock w:val="sdtLocked"/>
              </w:sdtPr>
              <w:sdtContent>
                <w:tc>
                  <w:tcPr>
                    <w:tcW w:w="606" w:type="pct"/>
                  </w:tcPr>
                  <w:p w:rsidR="00226D19" w:rsidRPr="0067641A" w:rsidRDefault="00226D19" w:rsidP="0067641A">
                    <w:pPr>
                      <w:jc w:val="center"/>
                      <w:rPr>
                        <w:rStyle w:val="50"/>
                        <w:szCs w:val="21"/>
                      </w:rPr>
                    </w:pPr>
                    <w:r w:rsidRPr="0067641A">
                      <w:rPr>
                        <w:szCs w:val="21"/>
                      </w:rPr>
                      <w:t>项目名称</w:t>
                    </w:r>
                  </w:p>
                </w:tc>
              </w:sdtContent>
            </w:sdt>
            <w:sdt>
              <w:sdtPr>
                <w:rPr>
                  <w:szCs w:val="21"/>
                </w:rPr>
                <w:tag w:val="_PLD_908740cf286747d79d5abbe407fef2b5"/>
                <w:id w:val="-613365155"/>
                <w:lock w:val="sdtLocked"/>
              </w:sdtPr>
              <w:sdtContent>
                <w:tc>
                  <w:tcPr>
                    <w:tcW w:w="944" w:type="pct"/>
                  </w:tcPr>
                  <w:p w:rsidR="00226D19" w:rsidRPr="0067641A" w:rsidRDefault="00226D19" w:rsidP="0067641A">
                    <w:pPr>
                      <w:jc w:val="center"/>
                      <w:rPr>
                        <w:rStyle w:val="50"/>
                        <w:szCs w:val="21"/>
                      </w:rPr>
                    </w:pPr>
                    <w:r w:rsidRPr="0067641A">
                      <w:rPr>
                        <w:szCs w:val="21"/>
                      </w:rPr>
                      <w:t>本期期末数</w:t>
                    </w:r>
                  </w:p>
                </w:tc>
              </w:sdtContent>
            </w:sdt>
            <w:sdt>
              <w:sdtPr>
                <w:rPr>
                  <w:szCs w:val="21"/>
                </w:rPr>
                <w:tag w:val="_PLD_329bbbc9fa484c0990e705c4343b8bd2"/>
                <w:id w:val="-1014923242"/>
                <w:lock w:val="sdtLocked"/>
              </w:sdtPr>
              <w:sdtContent>
                <w:tc>
                  <w:tcPr>
                    <w:tcW w:w="534" w:type="pct"/>
                  </w:tcPr>
                  <w:p w:rsidR="00226D19" w:rsidRPr="0067641A" w:rsidRDefault="00226D19" w:rsidP="0067641A">
                    <w:pPr>
                      <w:jc w:val="center"/>
                      <w:rPr>
                        <w:rStyle w:val="50"/>
                        <w:szCs w:val="21"/>
                      </w:rPr>
                    </w:pPr>
                    <w:r w:rsidRPr="0067641A">
                      <w:rPr>
                        <w:szCs w:val="21"/>
                      </w:rPr>
                      <w:t>本期期末数占总资产的比例（%）</w:t>
                    </w:r>
                  </w:p>
                </w:tc>
              </w:sdtContent>
            </w:sdt>
            <w:sdt>
              <w:sdtPr>
                <w:rPr>
                  <w:szCs w:val="21"/>
                </w:rPr>
                <w:tag w:val="_PLD_56ec8d815a204f39816e77d18cf2ac7e"/>
                <w:id w:val="504946102"/>
                <w:lock w:val="sdtLocked"/>
              </w:sdtPr>
              <w:sdtEndPr>
                <w:rPr>
                  <w:color w:val="FF0000"/>
                </w:rPr>
              </w:sdtEndPr>
              <w:sdtContent>
                <w:tc>
                  <w:tcPr>
                    <w:tcW w:w="770" w:type="pct"/>
                  </w:tcPr>
                  <w:p w:rsidR="00226D19" w:rsidRPr="0067641A" w:rsidRDefault="00226D19" w:rsidP="0067641A">
                    <w:pPr>
                      <w:jc w:val="center"/>
                      <w:rPr>
                        <w:rStyle w:val="50"/>
                        <w:szCs w:val="21"/>
                      </w:rPr>
                    </w:pPr>
                    <w:r w:rsidRPr="0067641A">
                      <w:rPr>
                        <w:color w:val="000000" w:themeColor="text1"/>
                        <w:szCs w:val="21"/>
                      </w:rPr>
                      <w:t>上期期末数</w:t>
                    </w:r>
                  </w:p>
                </w:tc>
              </w:sdtContent>
            </w:sdt>
            <w:sdt>
              <w:sdtPr>
                <w:rPr>
                  <w:szCs w:val="21"/>
                </w:rPr>
                <w:tag w:val="_PLD_4bc2806364aa476db7b5ac96d585ad18"/>
                <w:id w:val="-373848700"/>
                <w:lock w:val="sdtLocked"/>
              </w:sdtPr>
              <w:sdtContent>
                <w:tc>
                  <w:tcPr>
                    <w:tcW w:w="459" w:type="pct"/>
                  </w:tcPr>
                  <w:p w:rsidR="00226D19" w:rsidRPr="0067641A" w:rsidRDefault="00226D19" w:rsidP="0067641A">
                    <w:pPr>
                      <w:jc w:val="center"/>
                      <w:rPr>
                        <w:rStyle w:val="50"/>
                        <w:szCs w:val="21"/>
                      </w:rPr>
                    </w:pPr>
                    <w:r w:rsidRPr="0067641A">
                      <w:rPr>
                        <w:szCs w:val="21"/>
                      </w:rPr>
                      <w:t>上期期末数占总资产的比例（%）</w:t>
                    </w:r>
                  </w:p>
                </w:tc>
              </w:sdtContent>
            </w:sdt>
            <w:sdt>
              <w:sdtPr>
                <w:rPr>
                  <w:szCs w:val="21"/>
                </w:rPr>
                <w:tag w:val="_PLD_4cfcbfaae8d94f2d87cb33b122df7a82"/>
                <w:id w:val="-2025471972"/>
                <w:lock w:val="sdtLocked"/>
              </w:sdtPr>
              <w:sdtContent>
                <w:tc>
                  <w:tcPr>
                    <w:tcW w:w="536" w:type="pct"/>
                  </w:tcPr>
                  <w:p w:rsidR="00226D19" w:rsidRPr="0067641A" w:rsidRDefault="00226D19" w:rsidP="0067641A">
                    <w:pPr>
                      <w:jc w:val="center"/>
                      <w:rPr>
                        <w:rStyle w:val="50"/>
                        <w:szCs w:val="21"/>
                      </w:rPr>
                    </w:pPr>
                    <w:r w:rsidRPr="0067641A">
                      <w:rPr>
                        <w:szCs w:val="21"/>
                      </w:rPr>
                      <w:t>本期期末金额较上期期末变动比例（%）</w:t>
                    </w:r>
                  </w:p>
                </w:tc>
              </w:sdtContent>
            </w:sdt>
            <w:sdt>
              <w:sdtPr>
                <w:rPr>
                  <w:szCs w:val="21"/>
                </w:rPr>
                <w:tag w:val="_PLD_2acc4b359fa846d5bfb9939daf2ce46b"/>
                <w:id w:val="1724648039"/>
                <w:lock w:val="sdtLocked"/>
              </w:sdtPr>
              <w:sdtContent>
                <w:tc>
                  <w:tcPr>
                    <w:tcW w:w="1151" w:type="pct"/>
                  </w:tcPr>
                  <w:p w:rsidR="00226D19" w:rsidRPr="0067641A" w:rsidRDefault="00226D19" w:rsidP="0067641A">
                    <w:pPr>
                      <w:jc w:val="center"/>
                      <w:rPr>
                        <w:rStyle w:val="50"/>
                        <w:szCs w:val="21"/>
                      </w:rPr>
                    </w:pPr>
                    <w:r w:rsidRPr="0067641A">
                      <w:rPr>
                        <w:szCs w:val="21"/>
                      </w:rPr>
                      <w:t>情况说明</w:t>
                    </w:r>
                  </w:p>
                </w:tc>
              </w:sdtContent>
            </w:sdt>
          </w:tr>
          <w:sdt>
            <w:sdtPr>
              <w:rPr>
                <w:rStyle w:val="50"/>
                <w:rFonts w:hint="eastAsia"/>
                <w:b w:val="0"/>
                <w:szCs w:val="21"/>
              </w:rPr>
              <w:alias w:val="资产负债状况分析"/>
              <w:tag w:val="_TUP_5b9451a24cf94bb19fcd924892517ec7"/>
              <w:id w:val="1262034418"/>
              <w:lock w:val="sdtLocked"/>
              <w:placeholder>
                <w:docPart w:val="6C21C5C31B5D491EA559B52E13A38CEA"/>
              </w:placeholder>
            </w:sdtPr>
            <w:sdtContent>
              <w:tr w:rsidR="00226D19" w:rsidRPr="00E04FAA" w:rsidTr="0067641A">
                <w:trPr>
                  <w:trHeight w:val="135"/>
                </w:trPr>
                <w:tc>
                  <w:tcPr>
                    <w:tcW w:w="606" w:type="pct"/>
                  </w:tcPr>
                  <w:p w:rsidR="00226D19" w:rsidRPr="0067641A" w:rsidRDefault="00226D19" w:rsidP="0067641A">
                    <w:pPr>
                      <w:jc w:val="center"/>
                      <w:rPr>
                        <w:rStyle w:val="50"/>
                        <w:b w:val="0"/>
                        <w:szCs w:val="21"/>
                      </w:rPr>
                    </w:pPr>
                    <w:r w:rsidRPr="0067641A">
                      <w:rPr>
                        <w:szCs w:val="21"/>
                      </w:rPr>
                      <w:t>交易性金融资产</w:t>
                    </w:r>
                  </w:p>
                </w:tc>
                <w:tc>
                  <w:tcPr>
                    <w:tcW w:w="944" w:type="pct"/>
                  </w:tcPr>
                  <w:p w:rsidR="00226D19" w:rsidRPr="0067641A" w:rsidRDefault="008C5A1D" w:rsidP="0067641A">
                    <w:pPr>
                      <w:jc w:val="center"/>
                      <w:rPr>
                        <w:rStyle w:val="50"/>
                        <w:b w:val="0"/>
                        <w:szCs w:val="21"/>
                      </w:rPr>
                    </w:pPr>
                    <w:r w:rsidRPr="0067641A">
                      <w:rPr>
                        <w:szCs w:val="21"/>
                      </w:rPr>
                      <w:t>1,221,635,881</w:t>
                    </w:r>
                  </w:p>
                </w:tc>
                <w:tc>
                  <w:tcPr>
                    <w:tcW w:w="534" w:type="pct"/>
                  </w:tcPr>
                  <w:p w:rsidR="00226D19" w:rsidRPr="0067641A" w:rsidRDefault="005B0854" w:rsidP="0067641A">
                    <w:pPr>
                      <w:jc w:val="center"/>
                      <w:rPr>
                        <w:rStyle w:val="50"/>
                        <w:b w:val="0"/>
                        <w:szCs w:val="21"/>
                      </w:rPr>
                    </w:pPr>
                    <w:r w:rsidRPr="0067641A">
                      <w:rPr>
                        <w:rStyle w:val="50"/>
                        <w:rFonts w:hint="eastAsia"/>
                        <w:b w:val="0"/>
                        <w:szCs w:val="21"/>
                      </w:rPr>
                      <w:t>8</w:t>
                    </w:r>
                    <w:r w:rsidRPr="0067641A">
                      <w:rPr>
                        <w:rStyle w:val="50"/>
                        <w:b w:val="0"/>
                        <w:szCs w:val="21"/>
                      </w:rPr>
                      <w:t>.</w:t>
                    </w:r>
                    <w:r w:rsidR="008C5A1D" w:rsidRPr="0067641A">
                      <w:rPr>
                        <w:rStyle w:val="50"/>
                        <w:b w:val="0"/>
                        <w:szCs w:val="21"/>
                      </w:rPr>
                      <w:t>11</w:t>
                    </w:r>
                  </w:p>
                </w:tc>
                <w:tc>
                  <w:tcPr>
                    <w:tcW w:w="770" w:type="pct"/>
                  </w:tcPr>
                  <w:p w:rsidR="00226D19" w:rsidRPr="0067641A" w:rsidRDefault="005B0854" w:rsidP="0067641A">
                    <w:pPr>
                      <w:jc w:val="center"/>
                      <w:rPr>
                        <w:rStyle w:val="50"/>
                        <w:b w:val="0"/>
                        <w:szCs w:val="21"/>
                      </w:rPr>
                    </w:pPr>
                    <w:r w:rsidRPr="0067641A">
                      <w:rPr>
                        <w:szCs w:val="21"/>
                      </w:rPr>
                      <w:t>0</w:t>
                    </w:r>
                  </w:p>
                </w:tc>
                <w:tc>
                  <w:tcPr>
                    <w:tcW w:w="459" w:type="pct"/>
                  </w:tcPr>
                  <w:p w:rsidR="00226D19" w:rsidRPr="0067641A" w:rsidRDefault="005B0854" w:rsidP="0067641A">
                    <w:pPr>
                      <w:jc w:val="center"/>
                      <w:rPr>
                        <w:rStyle w:val="50"/>
                        <w:b w:val="0"/>
                        <w:szCs w:val="21"/>
                      </w:rPr>
                    </w:pPr>
                    <w:r w:rsidRPr="0067641A">
                      <w:rPr>
                        <w:rStyle w:val="50"/>
                        <w:rFonts w:hint="eastAsia"/>
                        <w:b w:val="0"/>
                        <w:szCs w:val="21"/>
                      </w:rPr>
                      <w:t>0</w:t>
                    </w:r>
                  </w:p>
                </w:tc>
                <w:tc>
                  <w:tcPr>
                    <w:tcW w:w="536" w:type="pct"/>
                  </w:tcPr>
                  <w:p w:rsidR="00226D19" w:rsidRPr="0067641A" w:rsidRDefault="00226D19" w:rsidP="0067641A">
                    <w:pPr>
                      <w:jc w:val="center"/>
                      <w:rPr>
                        <w:rStyle w:val="50"/>
                        <w:b w:val="0"/>
                        <w:szCs w:val="21"/>
                      </w:rPr>
                    </w:pPr>
                    <w:r w:rsidRPr="0067641A">
                      <w:rPr>
                        <w:szCs w:val="21"/>
                      </w:rPr>
                      <w:t>100.00</w:t>
                    </w:r>
                  </w:p>
                </w:tc>
                <w:tc>
                  <w:tcPr>
                    <w:tcW w:w="1151" w:type="pct"/>
                  </w:tcPr>
                  <w:p w:rsidR="00226D19" w:rsidRPr="0067641A" w:rsidRDefault="00226D19" w:rsidP="0067641A">
                    <w:pPr>
                      <w:jc w:val="center"/>
                      <w:rPr>
                        <w:rStyle w:val="50"/>
                        <w:b w:val="0"/>
                        <w:szCs w:val="21"/>
                      </w:rPr>
                    </w:pPr>
                    <w:r w:rsidRPr="0067641A">
                      <w:rPr>
                        <w:szCs w:val="21"/>
                      </w:rPr>
                      <w:t>主要系年初公司执行新金融工具准则的重分类以及当期理财产品增加所致。 </w:t>
                    </w:r>
                  </w:p>
                </w:tc>
              </w:tr>
            </w:sdtContent>
          </w:sdt>
          <w:sdt>
            <w:sdtPr>
              <w:rPr>
                <w:rStyle w:val="50"/>
                <w:rFonts w:hint="eastAsia"/>
                <w:b w:val="0"/>
                <w:szCs w:val="21"/>
              </w:rPr>
              <w:alias w:val="资产负债状况分析"/>
              <w:tag w:val="_TUP_5b9451a24cf94bb19fcd924892517ec7"/>
              <w:id w:val="453677520"/>
              <w:lock w:val="sdtLocked"/>
              <w:placeholder>
                <w:docPart w:val="6C21C5C31B5D491EA559B52E13A38CEA"/>
              </w:placeholder>
            </w:sdtPr>
            <w:sdtContent>
              <w:tr w:rsidR="00226D19" w:rsidRPr="00E04FAA" w:rsidTr="0067641A">
                <w:trPr>
                  <w:trHeight w:val="135"/>
                </w:trPr>
                <w:tc>
                  <w:tcPr>
                    <w:tcW w:w="606" w:type="pct"/>
                  </w:tcPr>
                  <w:p w:rsidR="00226D19" w:rsidRPr="0067641A" w:rsidRDefault="00226D19" w:rsidP="0067641A">
                    <w:pPr>
                      <w:jc w:val="center"/>
                      <w:rPr>
                        <w:rStyle w:val="50"/>
                        <w:b w:val="0"/>
                        <w:szCs w:val="21"/>
                      </w:rPr>
                    </w:pPr>
                    <w:r w:rsidRPr="0067641A">
                      <w:rPr>
                        <w:szCs w:val="21"/>
                      </w:rPr>
                      <w:t>其他应收款</w:t>
                    </w:r>
                  </w:p>
                </w:tc>
                <w:tc>
                  <w:tcPr>
                    <w:tcW w:w="944" w:type="pct"/>
                  </w:tcPr>
                  <w:p w:rsidR="00226D19" w:rsidRPr="0067641A" w:rsidRDefault="00226D19" w:rsidP="0067641A">
                    <w:pPr>
                      <w:jc w:val="center"/>
                      <w:rPr>
                        <w:rStyle w:val="50"/>
                        <w:b w:val="0"/>
                        <w:szCs w:val="21"/>
                      </w:rPr>
                    </w:pPr>
                    <w:r w:rsidRPr="0067641A">
                      <w:rPr>
                        <w:szCs w:val="21"/>
                      </w:rPr>
                      <w:t>529,411,754</w:t>
                    </w:r>
                  </w:p>
                </w:tc>
                <w:tc>
                  <w:tcPr>
                    <w:tcW w:w="534" w:type="pct"/>
                  </w:tcPr>
                  <w:p w:rsidR="00226D19" w:rsidRPr="0067641A" w:rsidRDefault="006F2EE0" w:rsidP="0067641A">
                    <w:pPr>
                      <w:jc w:val="center"/>
                      <w:rPr>
                        <w:rStyle w:val="50"/>
                        <w:b w:val="0"/>
                        <w:szCs w:val="21"/>
                      </w:rPr>
                    </w:pPr>
                    <w:r w:rsidRPr="0067641A">
                      <w:rPr>
                        <w:rStyle w:val="50"/>
                        <w:b w:val="0"/>
                        <w:szCs w:val="21"/>
                      </w:rPr>
                      <w:t>3.52</w:t>
                    </w:r>
                  </w:p>
                </w:tc>
                <w:tc>
                  <w:tcPr>
                    <w:tcW w:w="770" w:type="pct"/>
                  </w:tcPr>
                  <w:p w:rsidR="00226D19" w:rsidRPr="0067641A" w:rsidRDefault="00226D19" w:rsidP="0067641A">
                    <w:pPr>
                      <w:jc w:val="center"/>
                      <w:rPr>
                        <w:rStyle w:val="50"/>
                        <w:b w:val="0"/>
                        <w:szCs w:val="21"/>
                      </w:rPr>
                    </w:pPr>
                    <w:r w:rsidRPr="0067641A">
                      <w:rPr>
                        <w:szCs w:val="21"/>
                      </w:rPr>
                      <w:t>393,441,377</w:t>
                    </w:r>
                  </w:p>
                </w:tc>
                <w:tc>
                  <w:tcPr>
                    <w:tcW w:w="459" w:type="pct"/>
                  </w:tcPr>
                  <w:p w:rsidR="00226D19" w:rsidRPr="0067641A" w:rsidRDefault="005B0854" w:rsidP="0067641A">
                    <w:pPr>
                      <w:jc w:val="center"/>
                      <w:rPr>
                        <w:rStyle w:val="50"/>
                        <w:b w:val="0"/>
                        <w:szCs w:val="21"/>
                      </w:rPr>
                    </w:pPr>
                    <w:r w:rsidRPr="0067641A">
                      <w:rPr>
                        <w:rStyle w:val="50"/>
                        <w:rFonts w:hint="eastAsia"/>
                        <w:b w:val="0"/>
                        <w:szCs w:val="21"/>
                      </w:rPr>
                      <w:t>2</w:t>
                    </w:r>
                    <w:r w:rsidRPr="0067641A">
                      <w:rPr>
                        <w:rStyle w:val="50"/>
                        <w:b w:val="0"/>
                        <w:szCs w:val="21"/>
                      </w:rPr>
                      <w:t>.58</w:t>
                    </w:r>
                  </w:p>
                </w:tc>
                <w:tc>
                  <w:tcPr>
                    <w:tcW w:w="536" w:type="pct"/>
                  </w:tcPr>
                  <w:p w:rsidR="00226D19" w:rsidRPr="0067641A" w:rsidRDefault="006F2EE0" w:rsidP="0067641A">
                    <w:pPr>
                      <w:jc w:val="center"/>
                      <w:rPr>
                        <w:rStyle w:val="50"/>
                        <w:b w:val="0"/>
                        <w:szCs w:val="21"/>
                      </w:rPr>
                    </w:pPr>
                    <w:r w:rsidRPr="0067641A">
                      <w:rPr>
                        <w:color w:val="000000" w:themeColor="text1"/>
                        <w:szCs w:val="21"/>
                      </w:rPr>
                      <w:t>34.56</w:t>
                    </w:r>
                  </w:p>
                </w:tc>
                <w:tc>
                  <w:tcPr>
                    <w:tcW w:w="1151" w:type="pct"/>
                  </w:tcPr>
                  <w:p w:rsidR="00226D19" w:rsidRPr="0067641A" w:rsidRDefault="00226D19" w:rsidP="0067641A">
                    <w:pPr>
                      <w:jc w:val="center"/>
                      <w:rPr>
                        <w:rStyle w:val="50"/>
                        <w:b w:val="0"/>
                        <w:szCs w:val="21"/>
                      </w:rPr>
                    </w:pPr>
                    <w:r w:rsidRPr="0067641A">
                      <w:rPr>
                        <w:szCs w:val="21"/>
                      </w:rPr>
                      <w:t>主要由于应收增值税退税及押金及保证金增加所致。 </w:t>
                    </w:r>
                  </w:p>
                </w:tc>
              </w:tr>
            </w:sdtContent>
          </w:sdt>
          <w:sdt>
            <w:sdtPr>
              <w:rPr>
                <w:rStyle w:val="50"/>
                <w:rFonts w:hint="eastAsia"/>
                <w:b w:val="0"/>
                <w:szCs w:val="21"/>
              </w:rPr>
              <w:alias w:val="资产负债状况分析"/>
              <w:tag w:val="_TUP_5b9451a24cf94bb19fcd924892517ec7"/>
              <w:id w:val="1060828827"/>
              <w:lock w:val="sdtLocked"/>
              <w:placeholder>
                <w:docPart w:val="6C21C5C31B5D491EA559B52E13A38CEA"/>
              </w:placeholder>
            </w:sdtPr>
            <w:sdtContent>
              <w:tr w:rsidR="00226D19" w:rsidRPr="00E04FAA" w:rsidTr="0067641A">
                <w:trPr>
                  <w:trHeight w:val="135"/>
                </w:trPr>
                <w:tc>
                  <w:tcPr>
                    <w:tcW w:w="606" w:type="pct"/>
                  </w:tcPr>
                  <w:p w:rsidR="00226D19" w:rsidRPr="0067641A" w:rsidRDefault="00226D19" w:rsidP="0067641A">
                    <w:pPr>
                      <w:jc w:val="center"/>
                      <w:rPr>
                        <w:rStyle w:val="50"/>
                        <w:b w:val="0"/>
                        <w:szCs w:val="21"/>
                      </w:rPr>
                    </w:pPr>
                    <w:r w:rsidRPr="0067641A">
                      <w:rPr>
                        <w:szCs w:val="21"/>
                      </w:rPr>
                      <w:t>其他流动资产</w:t>
                    </w:r>
                  </w:p>
                </w:tc>
                <w:tc>
                  <w:tcPr>
                    <w:tcW w:w="944" w:type="pct"/>
                  </w:tcPr>
                  <w:p w:rsidR="00226D19" w:rsidRPr="0067641A" w:rsidRDefault="0006622F" w:rsidP="0067641A">
                    <w:pPr>
                      <w:jc w:val="center"/>
                      <w:rPr>
                        <w:rStyle w:val="50"/>
                        <w:b w:val="0"/>
                        <w:szCs w:val="21"/>
                      </w:rPr>
                    </w:pPr>
                    <w:r w:rsidRPr="0067641A">
                      <w:rPr>
                        <w:szCs w:val="21"/>
                      </w:rPr>
                      <w:t>119,129,678</w:t>
                    </w:r>
                  </w:p>
                </w:tc>
                <w:tc>
                  <w:tcPr>
                    <w:tcW w:w="534" w:type="pct"/>
                  </w:tcPr>
                  <w:p w:rsidR="00226D19" w:rsidRPr="0067641A" w:rsidRDefault="005B0854" w:rsidP="0067641A">
                    <w:pPr>
                      <w:jc w:val="center"/>
                      <w:rPr>
                        <w:rStyle w:val="50"/>
                        <w:b w:val="0"/>
                        <w:szCs w:val="21"/>
                      </w:rPr>
                    </w:pPr>
                    <w:r w:rsidRPr="0067641A">
                      <w:rPr>
                        <w:rStyle w:val="50"/>
                        <w:rFonts w:hint="eastAsia"/>
                        <w:b w:val="0"/>
                        <w:szCs w:val="21"/>
                      </w:rPr>
                      <w:t>0</w:t>
                    </w:r>
                    <w:r w:rsidRPr="0067641A">
                      <w:rPr>
                        <w:rStyle w:val="50"/>
                        <w:b w:val="0"/>
                        <w:szCs w:val="21"/>
                      </w:rPr>
                      <w:t>.79</w:t>
                    </w:r>
                  </w:p>
                </w:tc>
                <w:tc>
                  <w:tcPr>
                    <w:tcW w:w="770" w:type="pct"/>
                  </w:tcPr>
                  <w:p w:rsidR="00226D19" w:rsidRPr="0067641A" w:rsidRDefault="00226D19" w:rsidP="0067641A">
                    <w:pPr>
                      <w:jc w:val="center"/>
                      <w:rPr>
                        <w:rStyle w:val="50"/>
                        <w:b w:val="0"/>
                        <w:szCs w:val="21"/>
                      </w:rPr>
                    </w:pPr>
                    <w:r w:rsidRPr="0067641A">
                      <w:rPr>
                        <w:szCs w:val="21"/>
                      </w:rPr>
                      <w:t>823,208,213</w:t>
                    </w:r>
                  </w:p>
                </w:tc>
                <w:tc>
                  <w:tcPr>
                    <w:tcW w:w="459" w:type="pct"/>
                  </w:tcPr>
                  <w:p w:rsidR="00226D19" w:rsidRPr="0067641A" w:rsidRDefault="005B0854" w:rsidP="0067641A">
                    <w:pPr>
                      <w:jc w:val="center"/>
                      <w:rPr>
                        <w:rStyle w:val="50"/>
                        <w:b w:val="0"/>
                        <w:szCs w:val="21"/>
                      </w:rPr>
                    </w:pPr>
                    <w:r w:rsidRPr="0067641A">
                      <w:rPr>
                        <w:rStyle w:val="50"/>
                        <w:rFonts w:hint="eastAsia"/>
                        <w:b w:val="0"/>
                        <w:szCs w:val="21"/>
                      </w:rPr>
                      <w:t>5</w:t>
                    </w:r>
                    <w:r w:rsidRPr="0067641A">
                      <w:rPr>
                        <w:rStyle w:val="50"/>
                        <w:b w:val="0"/>
                        <w:szCs w:val="21"/>
                      </w:rPr>
                      <w:t>.41</w:t>
                    </w:r>
                  </w:p>
                </w:tc>
                <w:tc>
                  <w:tcPr>
                    <w:tcW w:w="536" w:type="pct"/>
                  </w:tcPr>
                  <w:p w:rsidR="00226D19" w:rsidRPr="0067641A" w:rsidRDefault="00226D19" w:rsidP="0067641A">
                    <w:pPr>
                      <w:jc w:val="center"/>
                      <w:rPr>
                        <w:rStyle w:val="50"/>
                        <w:b w:val="0"/>
                        <w:szCs w:val="21"/>
                      </w:rPr>
                    </w:pPr>
                    <w:r w:rsidRPr="0067641A">
                      <w:rPr>
                        <w:szCs w:val="21"/>
                      </w:rPr>
                      <w:t>-85.53</w:t>
                    </w:r>
                  </w:p>
                </w:tc>
                <w:tc>
                  <w:tcPr>
                    <w:tcW w:w="1151" w:type="pct"/>
                  </w:tcPr>
                  <w:p w:rsidR="00226D19" w:rsidRPr="0067641A" w:rsidRDefault="00226D19" w:rsidP="0067641A">
                    <w:pPr>
                      <w:jc w:val="center"/>
                      <w:rPr>
                        <w:rStyle w:val="50"/>
                        <w:b w:val="0"/>
                        <w:szCs w:val="21"/>
                      </w:rPr>
                    </w:pPr>
                    <w:r w:rsidRPr="0067641A">
                      <w:rPr>
                        <w:szCs w:val="21"/>
                      </w:rPr>
                      <w:t>主要系年初公司执行新金融工具准则重分类，当期应付客户备付金减少及摊余成本计量的理财到期所致。 </w:t>
                    </w:r>
                  </w:p>
                </w:tc>
              </w:tr>
            </w:sdtContent>
          </w:sdt>
          <w:sdt>
            <w:sdtPr>
              <w:rPr>
                <w:rStyle w:val="50"/>
                <w:rFonts w:hint="eastAsia"/>
                <w:b w:val="0"/>
                <w:szCs w:val="21"/>
              </w:rPr>
              <w:alias w:val="资产负债状况分析"/>
              <w:tag w:val="_TUP_5b9451a24cf94bb19fcd924892517ec7"/>
              <w:id w:val="231670955"/>
              <w:lock w:val="sdtLocked"/>
              <w:placeholder>
                <w:docPart w:val="6C21C5C31B5D491EA559B52E13A38CEA"/>
              </w:placeholder>
            </w:sdtPr>
            <w:sdtContent>
              <w:tr w:rsidR="00226D19" w:rsidRPr="00E04FAA" w:rsidTr="0067641A">
                <w:trPr>
                  <w:trHeight w:val="135"/>
                </w:trPr>
                <w:tc>
                  <w:tcPr>
                    <w:tcW w:w="606" w:type="pct"/>
                  </w:tcPr>
                  <w:p w:rsidR="00226D19" w:rsidRPr="0067641A" w:rsidRDefault="00226D19" w:rsidP="0067641A">
                    <w:pPr>
                      <w:jc w:val="center"/>
                      <w:rPr>
                        <w:rStyle w:val="50"/>
                        <w:b w:val="0"/>
                        <w:szCs w:val="21"/>
                      </w:rPr>
                    </w:pPr>
                    <w:r w:rsidRPr="0067641A">
                      <w:rPr>
                        <w:szCs w:val="21"/>
                      </w:rPr>
                      <w:t>其他非流动金融资产</w:t>
                    </w:r>
                  </w:p>
                </w:tc>
                <w:tc>
                  <w:tcPr>
                    <w:tcW w:w="944" w:type="pct"/>
                  </w:tcPr>
                  <w:p w:rsidR="00226D19" w:rsidRPr="0067641A" w:rsidRDefault="00226D19" w:rsidP="0067641A">
                    <w:pPr>
                      <w:jc w:val="center"/>
                      <w:rPr>
                        <w:rStyle w:val="50"/>
                        <w:b w:val="0"/>
                        <w:szCs w:val="21"/>
                      </w:rPr>
                    </w:pPr>
                    <w:r w:rsidRPr="0067641A">
                      <w:rPr>
                        <w:szCs w:val="21"/>
                      </w:rPr>
                      <w:t>931,572,507</w:t>
                    </w:r>
                  </w:p>
                </w:tc>
                <w:tc>
                  <w:tcPr>
                    <w:tcW w:w="534" w:type="pct"/>
                  </w:tcPr>
                  <w:p w:rsidR="00226D19" w:rsidRPr="0067641A" w:rsidRDefault="005B0854" w:rsidP="0067641A">
                    <w:pPr>
                      <w:jc w:val="center"/>
                      <w:rPr>
                        <w:rStyle w:val="50"/>
                        <w:b w:val="0"/>
                        <w:szCs w:val="21"/>
                      </w:rPr>
                    </w:pPr>
                    <w:r w:rsidRPr="0067641A">
                      <w:rPr>
                        <w:rStyle w:val="50"/>
                        <w:rFonts w:hint="eastAsia"/>
                        <w:b w:val="0"/>
                        <w:szCs w:val="21"/>
                      </w:rPr>
                      <w:t>6</w:t>
                    </w:r>
                    <w:r w:rsidRPr="0067641A">
                      <w:rPr>
                        <w:rStyle w:val="50"/>
                        <w:b w:val="0"/>
                        <w:szCs w:val="21"/>
                      </w:rPr>
                      <w:t>.1</w:t>
                    </w:r>
                    <w:r w:rsidR="000F2264">
                      <w:rPr>
                        <w:rStyle w:val="50"/>
                        <w:b w:val="0"/>
                        <w:szCs w:val="21"/>
                      </w:rPr>
                      <w:t>9</w:t>
                    </w:r>
                  </w:p>
                </w:tc>
                <w:tc>
                  <w:tcPr>
                    <w:tcW w:w="770" w:type="pct"/>
                  </w:tcPr>
                  <w:p w:rsidR="00226D19" w:rsidRPr="0067641A" w:rsidRDefault="005B0854" w:rsidP="0067641A">
                    <w:pPr>
                      <w:jc w:val="center"/>
                      <w:rPr>
                        <w:rStyle w:val="50"/>
                        <w:b w:val="0"/>
                        <w:szCs w:val="21"/>
                      </w:rPr>
                    </w:pPr>
                    <w:r w:rsidRPr="0067641A">
                      <w:rPr>
                        <w:szCs w:val="21"/>
                      </w:rPr>
                      <w:t>0</w:t>
                    </w:r>
                  </w:p>
                </w:tc>
                <w:tc>
                  <w:tcPr>
                    <w:tcW w:w="459" w:type="pct"/>
                  </w:tcPr>
                  <w:p w:rsidR="00226D19" w:rsidRPr="0067641A" w:rsidRDefault="005B0854" w:rsidP="0067641A">
                    <w:pPr>
                      <w:jc w:val="center"/>
                      <w:rPr>
                        <w:rStyle w:val="50"/>
                        <w:b w:val="0"/>
                        <w:szCs w:val="21"/>
                      </w:rPr>
                    </w:pPr>
                    <w:r w:rsidRPr="0067641A">
                      <w:rPr>
                        <w:rStyle w:val="50"/>
                        <w:rFonts w:hint="eastAsia"/>
                        <w:b w:val="0"/>
                        <w:szCs w:val="21"/>
                      </w:rPr>
                      <w:t>0</w:t>
                    </w:r>
                    <w:r w:rsidRPr="0067641A">
                      <w:rPr>
                        <w:rStyle w:val="50"/>
                        <w:b w:val="0"/>
                        <w:szCs w:val="21"/>
                      </w:rPr>
                      <w:t>.00</w:t>
                    </w:r>
                  </w:p>
                </w:tc>
                <w:tc>
                  <w:tcPr>
                    <w:tcW w:w="536" w:type="pct"/>
                  </w:tcPr>
                  <w:p w:rsidR="00226D19" w:rsidRPr="0067641A" w:rsidRDefault="005B0854" w:rsidP="0067641A">
                    <w:pPr>
                      <w:jc w:val="center"/>
                      <w:rPr>
                        <w:rStyle w:val="50"/>
                        <w:b w:val="0"/>
                        <w:szCs w:val="21"/>
                      </w:rPr>
                    </w:pPr>
                    <w:r w:rsidRPr="0067641A">
                      <w:rPr>
                        <w:szCs w:val="21"/>
                      </w:rPr>
                      <w:t>100.00</w:t>
                    </w:r>
                  </w:p>
                </w:tc>
                <w:tc>
                  <w:tcPr>
                    <w:tcW w:w="1151" w:type="pct"/>
                  </w:tcPr>
                  <w:p w:rsidR="00226D19" w:rsidRPr="0067641A" w:rsidRDefault="00226D19" w:rsidP="0067641A">
                    <w:pPr>
                      <w:jc w:val="center"/>
                      <w:rPr>
                        <w:rStyle w:val="50"/>
                        <w:b w:val="0"/>
                        <w:szCs w:val="21"/>
                      </w:rPr>
                    </w:pPr>
                    <w:r w:rsidRPr="0067641A">
                      <w:rPr>
                        <w:szCs w:val="21"/>
                      </w:rPr>
                      <w:t>主要系年初公司执行新金融工具准则影响及当期新增投资所致。 </w:t>
                    </w:r>
                  </w:p>
                </w:tc>
              </w:tr>
            </w:sdtContent>
          </w:sdt>
          <w:sdt>
            <w:sdtPr>
              <w:rPr>
                <w:rStyle w:val="50"/>
                <w:rFonts w:hint="eastAsia"/>
                <w:b w:val="0"/>
                <w:szCs w:val="21"/>
              </w:rPr>
              <w:alias w:val="资产负债状况分析"/>
              <w:tag w:val="_TUP_5b9451a24cf94bb19fcd924892517ec7"/>
              <w:id w:val="1300575902"/>
              <w:lock w:val="sdtLocked"/>
              <w:placeholder>
                <w:docPart w:val="6C21C5C31B5D491EA559B52E13A38CEA"/>
              </w:placeholder>
            </w:sdtPr>
            <w:sdtContent>
              <w:tr w:rsidR="00226D19" w:rsidRPr="00E04FAA" w:rsidTr="0067641A">
                <w:trPr>
                  <w:trHeight w:val="135"/>
                </w:trPr>
                <w:tc>
                  <w:tcPr>
                    <w:tcW w:w="606" w:type="pct"/>
                  </w:tcPr>
                  <w:p w:rsidR="00226D19" w:rsidRPr="0067641A" w:rsidRDefault="00226D19" w:rsidP="0067641A">
                    <w:pPr>
                      <w:jc w:val="center"/>
                      <w:rPr>
                        <w:rStyle w:val="50"/>
                        <w:b w:val="0"/>
                        <w:szCs w:val="21"/>
                      </w:rPr>
                    </w:pPr>
                    <w:r w:rsidRPr="0067641A">
                      <w:rPr>
                        <w:szCs w:val="21"/>
                      </w:rPr>
                      <w:t>可供出售金融资产</w:t>
                    </w:r>
                  </w:p>
                </w:tc>
                <w:tc>
                  <w:tcPr>
                    <w:tcW w:w="944" w:type="pct"/>
                  </w:tcPr>
                  <w:p w:rsidR="00226D19" w:rsidRPr="0067641A" w:rsidRDefault="005B0854" w:rsidP="0067641A">
                    <w:pPr>
                      <w:jc w:val="center"/>
                      <w:rPr>
                        <w:rStyle w:val="50"/>
                        <w:b w:val="0"/>
                        <w:szCs w:val="21"/>
                      </w:rPr>
                    </w:pPr>
                    <w:r w:rsidRPr="0067641A">
                      <w:rPr>
                        <w:szCs w:val="21"/>
                      </w:rPr>
                      <w:t>0</w:t>
                    </w:r>
                  </w:p>
                </w:tc>
                <w:tc>
                  <w:tcPr>
                    <w:tcW w:w="534" w:type="pct"/>
                  </w:tcPr>
                  <w:p w:rsidR="00226D19" w:rsidRPr="0067641A" w:rsidRDefault="005B0854" w:rsidP="0067641A">
                    <w:pPr>
                      <w:jc w:val="center"/>
                      <w:rPr>
                        <w:rStyle w:val="50"/>
                        <w:b w:val="0"/>
                        <w:szCs w:val="21"/>
                      </w:rPr>
                    </w:pPr>
                    <w:r w:rsidRPr="0067641A">
                      <w:rPr>
                        <w:rStyle w:val="50"/>
                        <w:rFonts w:hint="eastAsia"/>
                        <w:b w:val="0"/>
                        <w:szCs w:val="21"/>
                      </w:rPr>
                      <w:t>0</w:t>
                    </w:r>
                    <w:r w:rsidRPr="0067641A">
                      <w:rPr>
                        <w:rStyle w:val="50"/>
                        <w:b w:val="0"/>
                        <w:szCs w:val="21"/>
                      </w:rPr>
                      <w:t>.00</w:t>
                    </w:r>
                  </w:p>
                </w:tc>
                <w:tc>
                  <w:tcPr>
                    <w:tcW w:w="770" w:type="pct"/>
                  </w:tcPr>
                  <w:p w:rsidR="00226D19" w:rsidRPr="0067641A" w:rsidRDefault="00226D19" w:rsidP="0067641A">
                    <w:pPr>
                      <w:jc w:val="center"/>
                      <w:rPr>
                        <w:rStyle w:val="50"/>
                        <w:b w:val="0"/>
                        <w:szCs w:val="21"/>
                      </w:rPr>
                    </w:pPr>
                    <w:r w:rsidRPr="0067641A">
                      <w:rPr>
                        <w:szCs w:val="21"/>
                      </w:rPr>
                      <w:t>677,081,266</w:t>
                    </w:r>
                  </w:p>
                </w:tc>
                <w:tc>
                  <w:tcPr>
                    <w:tcW w:w="459" w:type="pct"/>
                  </w:tcPr>
                  <w:p w:rsidR="00226D19" w:rsidRPr="0067641A" w:rsidRDefault="005B0854" w:rsidP="0067641A">
                    <w:pPr>
                      <w:jc w:val="center"/>
                      <w:rPr>
                        <w:rStyle w:val="50"/>
                        <w:b w:val="0"/>
                        <w:szCs w:val="21"/>
                      </w:rPr>
                    </w:pPr>
                    <w:r w:rsidRPr="0067641A">
                      <w:rPr>
                        <w:rStyle w:val="50"/>
                        <w:rFonts w:hint="eastAsia"/>
                        <w:b w:val="0"/>
                        <w:szCs w:val="21"/>
                      </w:rPr>
                      <w:t>4</w:t>
                    </w:r>
                    <w:r w:rsidRPr="0067641A">
                      <w:rPr>
                        <w:rStyle w:val="50"/>
                        <w:b w:val="0"/>
                        <w:szCs w:val="21"/>
                      </w:rPr>
                      <w:t>.45</w:t>
                    </w:r>
                  </w:p>
                </w:tc>
                <w:tc>
                  <w:tcPr>
                    <w:tcW w:w="536" w:type="pct"/>
                  </w:tcPr>
                  <w:p w:rsidR="00226D19" w:rsidRPr="0067641A" w:rsidRDefault="006F2EE0" w:rsidP="0067641A">
                    <w:pPr>
                      <w:jc w:val="center"/>
                      <w:rPr>
                        <w:rStyle w:val="50"/>
                        <w:b w:val="0"/>
                        <w:color w:val="000000" w:themeColor="text1"/>
                        <w:szCs w:val="21"/>
                      </w:rPr>
                    </w:pPr>
                    <w:r w:rsidRPr="0067641A">
                      <w:rPr>
                        <w:rFonts w:hint="eastAsia"/>
                        <w:color w:val="000000" w:themeColor="text1"/>
                        <w:szCs w:val="21"/>
                      </w:rPr>
                      <w:t>-</w:t>
                    </w:r>
                    <w:r w:rsidR="00226D19" w:rsidRPr="0067641A">
                      <w:rPr>
                        <w:color w:val="000000" w:themeColor="text1"/>
                        <w:szCs w:val="21"/>
                      </w:rPr>
                      <w:t>100.00</w:t>
                    </w:r>
                  </w:p>
                </w:tc>
                <w:tc>
                  <w:tcPr>
                    <w:tcW w:w="1151" w:type="pct"/>
                  </w:tcPr>
                  <w:p w:rsidR="00226D19" w:rsidRPr="0067641A" w:rsidRDefault="00226D19" w:rsidP="0067641A">
                    <w:pPr>
                      <w:jc w:val="center"/>
                      <w:rPr>
                        <w:rStyle w:val="50"/>
                        <w:b w:val="0"/>
                        <w:szCs w:val="21"/>
                      </w:rPr>
                    </w:pPr>
                    <w:r w:rsidRPr="0067641A">
                      <w:rPr>
                        <w:szCs w:val="21"/>
                      </w:rPr>
                      <w:t>主要系年初公司执行新金融工具准则影响。 </w:t>
                    </w:r>
                  </w:p>
                </w:tc>
              </w:tr>
            </w:sdtContent>
          </w:sdt>
          <w:sdt>
            <w:sdtPr>
              <w:rPr>
                <w:rStyle w:val="50"/>
                <w:rFonts w:hint="eastAsia"/>
                <w:b w:val="0"/>
                <w:szCs w:val="21"/>
              </w:rPr>
              <w:alias w:val="资产负债状况分析"/>
              <w:tag w:val="_TUP_5b9451a24cf94bb19fcd924892517ec7"/>
              <w:id w:val="-1413161266"/>
              <w:lock w:val="sdtLocked"/>
              <w:placeholder>
                <w:docPart w:val="6C21C5C31B5D491EA559B52E13A38CEA"/>
              </w:placeholder>
            </w:sdtPr>
            <w:sdtContent>
              <w:tr w:rsidR="00226D19" w:rsidRPr="00E04FAA" w:rsidTr="0067641A">
                <w:trPr>
                  <w:trHeight w:val="135"/>
                </w:trPr>
                <w:tc>
                  <w:tcPr>
                    <w:tcW w:w="606" w:type="pct"/>
                  </w:tcPr>
                  <w:p w:rsidR="00226D19" w:rsidRPr="0067641A" w:rsidRDefault="00226D19" w:rsidP="0067641A">
                    <w:pPr>
                      <w:jc w:val="center"/>
                      <w:rPr>
                        <w:rStyle w:val="50"/>
                        <w:b w:val="0"/>
                        <w:szCs w:val="21"/>
                      </w:rPr>
                    </w:pPr>
                    <w:r w:rsidRPr="0067641A">
                      <w:rPr>
                        <w:szCs w:val="21"/>
                      </w:rPr>
                      <w:t>在建工程</w:t>
                    </w:r>
                  </w:p>
                </w:tc>
                <w:tc>
                  <w:tcPr>
                    <w:tcW w:w="944" w:type="pct"/>
                  </w:tcPr>
                  <w:p w:rsidR="00226D19" w:rsidRPr="0067641A" w:rsidRDefault="005B0854" w:rsidP="0067641A">
                    <w:pPr>
                      <w:jc w:val="center"/>
                      <w:rPr>
                        <w:rStyle w:val="50"/>
                        <w:b w:val="0"/>
                        <w:szCs w:val="21"/>
                      </w:rPr>
                    </w:pPr>
                    <w:r w:rsidRPr="0067641A">
                      <w:rPr>
                        <w:szCs w:val="21"/>
                      </w:rPr>
                      <w:t>0</w:t>
                    </w:r>
                  </w:p>
                </w:tc>
                <w:tc>
                  <w:tcPr>
                    <w:tcW w:w="534" w:type="pct"/>
                  </w:tcPr>
                  <w:p w:rsidR="00226D19" w:rsidRPr="0067641A" w:rsidRDefault="005B0854" w:rsidP="0067641A">
                    <w:pPr>
                      <w:jc w:val="center"/>
                      <w:rPr>
                        <w:rStyle w:val="50"/>
                        <w:b w:val="0"/>
                        <w:szCs w:val="21"/>
                      </w:rPr>
                    </w:pPr>
                    <w:r w:rsidRPr="0067641A">
                      <w:rPr>
                        <w:rStyle w:val="50"/>
                        <w:rFonts w:hint="eastAsia"/>
                        <w:b w:val="0"/>
                        <w:szCs w:val="21"/>
                      </w:rPr>
                      <w:t>0</w:t>
                    </w:r>
                    <w:r w:rsidRPr="0067641A">
                      <w:rPr>
                        <w:rStyle w:val="50"/>
                        <w:b w:val="0"/>
                        <w:szCs w:val="21"/>
                      </w:rPr>
                      <w:t>.00</w:t>
                    </w:r>
                  </w:p>
                </w:tc>
                <w:tc>
                  <w:tcPr>
                    <w:tcW w:w="770" w:type="pct"/>
                  </w:tcPr>
                  <w:p w:rsidR="00226D19" w:rsidRPr="0067641A" w:rsidRDefault="00226D19" w:rsidP="0067641A">
                    <w:pPr>
                      <w:jc w:val="center"/>
                      <w:rPr>
                        <w:rStyle w:val="50"/>
                        <w:b w:val="0"/>
                        <w:szCs w:val="21"/>
                      </w:rPr>
                    </w:pPr>
                    <w:r w:rsidRPr="0067641A">
                      <w:rPr>
                        <w:szCs w:val="21"/>
                      </w:rPr>
                      <w:t>446,130,020</w:t>
                    </w:r>
                  </w:p>
                </w:tc>
                <w:tc>
                  <w:tcPr>
                    <w:tcW w:w="459" w:type="pct"/>
                  </w:tcPr>
                  <w:p w:rsidR="00226D19" w:rsidRPr="0067641A" w:rsidRDefault="005B0854" w:rsidP="0067641A">
                    <w:pPr>
                      <w:jc w:val="center"/>
                      <w:rPr>
                        <w:rStyle w:val="50"/>
                        <w:b w:val="0"/>
                        <w:szCs w:val="21"/>
                      </w:rPr>
                    </w:pPr>
                    <w:r w:rsidRPr="0067641A">
                      <w:rPr>
                        <w:rStyle w:val="50"/>
                        <w:rFonts w:hint="eastAsia"/>
                        <w:b w:val="0"/>
                        <w:szCs w:val="21"/>
                      </w:rPr>
                      <w:t>2</w:t>
                    </w:r>
                    <w:r w:rsidRPr="0067641A">
                      <w:rPr>
                        <w:rStyle w:val="50"/>
                        <w:b w:val="0"/>
                        <w:szCs w:val="21"/>
                      </w:rPr>
                      <w:t>.93</w:t>
                    </w:r>
                  </w:p>
                </w:tc>
                <w:tc>
                  <w:tcPr>
                    <w:tcW w:w="536" w:type="pct"/>
                  </w:tcPr>
                  <w:p w:rsidR="00226D19" w:rsidRPr="0067641A" w:rsidRDefault="00226D19" w:rsidP="0067641A">
                    <w:pPr>
                      <w:jc w:val="center"/>
                      <w:rPr>
                        <w:rStyle w:val="50"/>
                        <w:b w:val="0"/>
                        <w:color w:val="000000" w:themeColor="text1"/>
                        <w:szCs w:val="21"/>
                      </w:rPr>
                    </w:pPr>
                    <w:r w:rsidRPr="0067641A">
                      <w:rPr>
                        <w:color w:val="000000" w:themeColor="text1"/>
                        <w:szCs w:val="21"/>
                      </w:rPr>
                      <w:t>-100.00</w:t>
                    </w:r>
                  </w:p>
                </w:tc>
                <w:tc>
                  <w:tcPr>
                    <w:tcW w:w="1151" w:type="pct"/>
                  </w:tcPr>
                  <w:p w:rsidR="00226D19" w:rsidRPr="0067641A" w:rsidRDefault="00226D19" w:rsidP="0067641A">
                    <w:pPr>
                      <w:jc w:val="center"/>
                      <w:rPr>
                        <w:rStyle w:val="50"/>
                        <w:b w:val="0"/>
                        <w:szCs w:val="21"/>
                      </w:rPr>
                    </w:pPr>
                    <w:r w:rsidRPr="0067641A">
                      <w:rPr>
                        <w:szCs w:val="21"/>
                      </w:rPr>
                      <w:t>主要系公司在建工程达到可使用状态转固所致。 </w:t>
                    </w:r>
                  </w:p>
                </w:tc>
              </w:tr>
            </w:sdtContent>
          </w:sdt>
          <w:sdt>
            <w:sdtPr>
              <w:rPr>
                <w:rStyle w:val="50"/>
                <w:rFonts w:hint="eastAsia"/>
                <w:b w:val="0"/>
                <w:szCs w:val="21"/>
              </w:rPr>
              <w:alias w:val="资产负债状况分析"/>
              <w:tag w:val="_TUP_5b9451a24cf94bb19fcd924892517ec7"/>
              <w:id w:val="-164938096"/>
              <w:lock w:val="sdtLocked"/>
              <w:placeholder>
                <w:docPart w:val="6C21C5C31B5D491EA559B52E13A38CEA"/>
              </w:placeholder>
            </w:sdtPr>
            <w:sdtContent>
              <w:tr w:rsidR="00226D19" w:rsidRPr="00E04FAA" w:rsidTr="0067641A">
                <w:trPr>
                  <w:trHeight w:val="135"/>
                </w:trPr>
                <w:tc>
                  <w:tcPr>
                    <w:tcW w:w="606" w:type="pct"/>
                  </w:tcPr>
                  <w:p w:rsidR="00226D19" w:rsidRPr="0067641A" w:rsidRDefault="00226D19" w:rsidP="0067641A">
                    <w:pPr>
                      <w:jc w:val="center"/>
                      <w:rPr>
                        <w:rStyle w:val="50"/>
                        <w:b w:val="0"/>
                        <w:szCs w:val="21"/>
                      </w:rPr>
                    </w:pPr>
                    <w:r w:rsidRPr="0067641A">
                      <w:rPr>
                        <w:szCs w:val="21"/>
                      </w:rPr>
                      <w:t>短期借款</w:t>
                    </w:r>
                  </w:p>
                </w:tc>
                <w:tc>
                  <w:tcPr>
                    <w:tcW w:w="944" w:type="pct"/>
                  </w:tcPr>
                  <w:p w:rsidR="00226D19" w:rsidRPr="0067641A" w:rsidRDefault="00226D19" w:rsidP="0067641A">
                    <w:pPr>
                      <w:jc w:val="center"/>
                      <w:rPr>
                        <w:rStyle w:val="50"/>
                        <w:b w:val="0"/>
                        <w:szCs w:val="21"/>
                      </w:rPr>
                    </w:pPr>
                    <w:r w:rsidRPr="0067641A">
                      <w:rPr>
                        <w:szCs w:val="21"/>
                      </w:rPr>
                      <w:t>4,330,976,000</w:t>
                    </w:r>
                  </w:p>
                </w:tc>
                <w:tc>
                  <w:tcPr>
                    <w:tcW w:w="534" w:type="pct"/>
                  </w:tcPr>
                  <w:p w:rsidR="00226D19" w:rsidRPr="0067641A" w:rsidRDefault="005B0854" w:rsidP="0067641A">
                    <w:pPr>
                      <w:jc w:val="center"/>
                      <w:rPr>
                        <w:rStyle w:val="50"/>
                        <w:b w:val="0"/>
                        <w:szCs w:val="21"/>
                      </w:rPr>
                    </w:pPr>
                    <w:r w:rsidRPr="0067641A">
                      <w:rPr>
                        <w:rStyle w:val="50"/>
                        <w:rFonts w:hint="eastAsia"/>
                        <w:b w:val="0"/>
                        <w:szCs w:val="21"/>
                      </w:rPr>
                      <w:t>2</w:t>
                    </w:r>
                    <w:r w:rsidRPr="0067641A">
                      <w:rPr>
                        <w:rStyle w:val="50"/>
                        <w:b w:val="0"/>
                        <w:szCs w:val="21"/>
                      </w:rPr>
                      <w:t>8.</w:t>
                    </w:r>
                    <w:r w:rsidR="0050151B" w:rsidRPr="0067641A">
                      <w:rPr>
                        <w:rStyle w:val="50"/>
                        <w:b w:val="0"/>
                        <w:szCs w:val="21"/>
                      </w:rPr>
                      <w:t>76</w:t>
                    </w:r>
                  </w:p>
                </w:tc>
                <w:tc>
                  <w:tcPr>
                    <w:tcW w:w="770" w:type="pct"/>
                  </w:tcPr>
                  <w:p w:rsidR="00226D19" w:rsidRPr="0067641A" w:rsidRDefault="00226D19" w:rsidP="0067641A">
                    <w:pPr>
                      <w:jc w:val="center"/>
                      <w:rPr>
                        <w:rStyle w:val="50"/>
                        <w:b w:val="0"/>
                        <w:szCs w:val="21"/>
                      </w:rPr>
                    </w:pPr>
                    <w:r w:rsidRPr="0067641A">
                      <w:rPr>
                        <w:szCs w:val="21"/>
                      </w:rPr>
                      <w:t>3,156,404,000</w:t>
                    </w:r>
                  </w:p>
                </w:tc>
                <w:tc>
                  <w:tcPr>
                    <w:tcW w:w="459" w:type="pct"/>
                  </w:tcPr>
                  <w:p w:rsidR="00226D19" w:rsidRPr="0067641A" w:rsidRDefault="005B0854" w:rsidP="0067641A">
                    <w:pPr>
                      <w:jc w:val="center"/>
                      <w:rPr>
                        <w:rStyle w:val="50"/>
                        <w:b w:val="0"/>
                        <w:szCs w:val="21"/>
                      </w:rPr>
                    </w:pPr>
                    <w:r w:rsidRPr="0067641A">
                      <w:rPr>
                        <w:rStyle w:val="50"/>
                        <w:rFonts w:hint="eastAsia"/>
                        <w:b w:val="0"/>
                        <w:szCs w:val="21"/>
                      </w:rPr>
                      <w:t>2</w:t>
                    </w:r>
                    <w:r w:rsidRPr="0067641A">
                      <w:rPr>
                        <w:rStyle w:val="50"/>
                        <w:b w:val="0"/>
                        <w:szCs w:val="21"/>
                      </w:rPr>
                      <w:t>0.74</w:t>
                    </w:r>
                  </w:p>
                </w:tc>
                <w:tc>
                  <w:tcPr>
                    <w:tcW w:w="536" w:type="pct"/>
                  </w:tcPr>
                  <w:p w:rsidR="00226D19" w:rsidRPr="0067641A" w:rsidRDefault="00226D19" w:rsidP="0067641A">
                    <w:pPr>
                      <w:jc w:val="center"/>
                      <w:rPr>
                        <w:rStyle w:val="50"/>
                        <w:b w:val="0"/>
                        <w:szCs w:val="21"/>
                      </w:rPr>
                    </w:pPr>
                    <w:r w:rsidRPr="0067641A">
                      <w:rPr>
                        <w:szCs w:val="21"/>
                      </w:rPr>
                      <w:t>37.21</w:t>
                    </w:r>
                  </w:p>
                </w:tc>
                <w:tc>
                  <w:tcPr>
                    <w:tcW w:w="1151" w:type="pct"/>
                  </w:tcPr>
                  <w:p w:rsidR="00226D19" w:rsidRPr="0067641A" w:rsidRDefault="00226D19" w:rsidP="0067641A">
                    <w:pPr>
                      <w:jc w:val="center"/>
                      <w:rPr>
                        <w:rStyle w:val="50"/>
                        <w:b w:val="0"/>
                        <w:szCs w:val="21"/>
                      </w:rPr>
                    </w:pPr>
                    <w:r w:rsidRPr="0067641A">
                      <w:rPr>
                        <w:szCs w:val="21"/>
                      </w:rPr>
                      <w:t>主要系本期借款增加所致。 </w:t>
                    </w:r>
                  </w:p>
                </w:tc>
              </w:tr>
            </w:sdtContent>
          </w:sdt>
          <w:sdt>
            <w:sdtPr>
              <w:rPr>
                <w:rStyle w:val="50"/>
                <w:rFonts w:hint="eastAsia"/>
                <w:b w:val="0"/>
                <w:szCs w:val="21"/>
              </w:rPr>
              <w:alias w:val="资产负债状况分析"/>
              <w:tag w:val="_TUP_5b9451a24cf94bb19fcd924892517ec7"/>
              <w:id w:val="1607917794"/>
              <w:lock w:val="sdtLocked"/>
              <w:placeholder>
                <w:docPart w:val="6C21C5C31B5D491EA559B52E13A38CEA"/>
              </w:placeholder>
            </w:sdtPr>
            <w:sdtContent>
              <w:tr w:rsidR="00226D19" w:rsidRPr="00E04FAA" w:rsidTr="0067641A">
                <w:trPr>
                  <w:trHeight w:val="135"/>
                </w:trPr>
                <w:tc>
                  <w:tcPr>
                    <w:tcW w:w="606" w:type="pct"/>
                  </w:tcPr>
                  <w:p w:rsidR="00226D19" w:rsidRPr="0067641A" w:rsidRDefault="00226D19" w:rsidP="0067641A">
                    <w:pPr>
                      <w:jc w:val="center"/>
                      <w:rPr>
                        <w:rStyle w:val="50"/>
                        <w:b w:val="0"/>
                        <w:szCs w:val="21"/>
                      </w:rPr>
                    </w:pPr>
                    <w:r w:rsidRPr="0067641A">
                      <w:rPr>
                        <w:szCs w:val="21"/>
                      </w:rPr>
                      <w:t>应付职工薪酬</w:t>
                    </w:r>
                  </w:p>
                </w:tc>
                <w:tc>
                  <w:tcPr>
                    <w:tcW w:w="944" w:type="pct"/>
                  </w:tcPr>
                  <w:p w:rsidR="00226D19" w:rsidRPr="0067641A" w:rsidRDefault="00226D19" w:rsidP="0067641A">
                    <w:pPr>
                      <w:jc w:val="center"/>
                      <w:rPr>
                        <w:rStyle w:val="50"/>
                        <w:b w:val="0"/>
                        <w:szCs w:val="21"/>
                      </w:rPr>
                    </w:pPr>
                    <w:r w:rsidRPr="0067641A">
                      <w:rPr>
                        <w:szCs w:val="21"/>
                      </w:rPr>
                      <w:t>496,600,570</w:t>
                    </w:r>
                  </w:p>
                </w:tc>
                <w:tc>
                  <w:tcPr>
                    <w:tcW w:w="534" w:type="pct"/>
                  </w:tcPr>
                  <w:p w:rsidR="00226D19" w:rsidRPr="0067641A" w:rsidRDefault="005B0854" w:rsidP="0067641A">
                    <w:pPr>
                      <w:jc w:val="center"/>
                      <w:rPr>
                        <w:rStyle w:val="50"/>
                        <w:b w:val="0"/>
                        <w:szCs w:val="21"/>
                      </w:rPr>
                    </w:pPr>
                    <w:r w:rsidRPr="0067641A">
                      <w:rPr>
                        <w:rStyle w:val="50"/>
                        <w:rFonts w:hint="eastAsia"/>
                        <w:b w:val="0"/>
                        <w:szCs w:val="21"/>
                      </w:rPr>
                      <w:t>3</w:t>
                    </w:r>
                    <w:r w:rsidRPr="0067641A">
                      <w:rPr>
                        <w:rStyle w:val="50"/>
                        <w:b w:val="0"/>
                        <w:szCs w:val="21"/>
                      </w:rPr>
                      <w:t>.</w:t>
                    </w:r>
                    <w:r w:rsidR="0050151B" w:rsidRPr="0067641A">
                      <w:rPr>
                        <w:rStyle w:val="50"/>
                        <w:b w:val="0"/>
                        <w:szCs w:val="21"/>
                      </w:rPr>
                      <w:t>30</w:t>
                    </w:r>
                  </w:p>
                </w:tc>
                <w:tc>
                  <w:tcPr>
                    <w:tcW w:w="770" w:type="pct"/>
                  </w:tcPr>
                  <w:p w:rsidR="00226D19" w:rsidRPr="0067641A" w:rsidRDefault="00226D19" w:rsidP="0067641A">
                    <w:pPr>
                      <w:jc w:val="center"/>
                      <w:rPr>
                        <w:rStyle w:val="50"/>
                        <w:b w:val="0"/>
                        <w:szCs w:val="21"/>
                      </w:rPr>
                    </w:pPr>
                    <w:r w:rsidRPr="0067641A">
                      <w:rPr>
                        <w:szCs w:val="21"/>
                      </w:rPr>
                      <w:t>1,160,402,569</w:t>
                    </w:r>
                  </w:p>
                </w:tc>
                <w:tc>
                  <w:tcPr>
                    <w:tcW w:w="459" w:type="pct"/>
                  </w:tcPr>
                  <w:p w:rsidR="00226D19" w:rsidRPr="0067641A" w:rsidRDefault="005B0854" w:rsidP="0067641A">
                    <w:pPr>
                      <w:jc w:val="center"/>
                      <w:rPr>
                        <w:rStyle w:val="50"/>
                        <w:b w:val="0"/>
                        <w:szCs w:val="21"/>
                      </w:rPr>
                    </w:pPr>
                    <w:r w:rsidRPr="0067641A">
                      <w:rPr>
                        <w:rStyle w:val="50"/>
                        <w:rFonts w:hint="eastAsia"/>
                        <w:b w:val="0"/>
                        <w:szCs w:val="21"/>
                      </w:rPr>
                      <w:t>7</w:t>
                    </w:r>
                    <w:r w:rsidRPr="0067641A">
                      <w:rPr>
                        <w:rStyle w:val="50"/>
                        <w:b w:val="0"/>
                        <w:szCs w:val="21"/>
                      </w:rPr>
                      <w:t>.62</w:t>
                    </w:r>
                  </w:p>
                </w:tc>
                <w:tc>
                  <w:tcPr>
                    <w:tcW w:w="536" w:type="pct"/>
                  </w:tcPr>
                  <w:p w:rsidR="00226D19" w:rsidRPr="0067641A" w:rsidRDefault="00226D19" w:rsidP="0067641A">
                    <w:pPr>
                      <w:jc w:val="center"/>
                      <w:rPr>
                        <w:rStyle w:val="50"/>
                        <w:b w:val="0"/>
                        <w:szCs w:val="21"/>
                      </w:rPr>
                    </w:pPr>
                    <w:r w:rsidRPr="0067641A">
                      <w:rPr>
                        <w:szCs w:val="21"/>
                      </w:rPr>
                      <w:t>-57.20</w:t>
                    </w:r>
                  </w:p>
                </w:tc>
                <w:tc>
                  <w:tcPr>
                    <w:tcW w:w="1151" w:type="pct"/>
                  </w:tcPr>
                  <w:p w:rsidR="00226D19" w:rsidRPr="0067641A" w:rsidRDefault="00226D19" w:rsidP="0067641A">
                    <w:pPr>
                      <w:jc w:val="center"/>
                      <w:rPr>
                        <w:rStyle w:val="50"/>
                        <w:b w:val="0"/>
                        <w:szCs w:val="21"/>
                      </w:rPr>
                    </w:pPr>
                    <w:r w:rsidRPr="0067641A">
                      <w:rPr>
                        <w:szCs w:val="21"/>
                      </w:rPr>
                      <w:t>主要由于报告期内支付员工工资及奖金所致。 </w:t>
                    </w:r>
                  </w:p>
                </w:tc>
              </w:tr>
            </w:sdtContent>
          </w:sdt>
          <w:sdt>
            <w:sdtPr>
              <w:rPr>
                <w:rStyle w:val="50"/>
                <w:rFonts w:hint="eastAsia"/>
                <w:b w:val="0"/>
                <w:szCs w:val="21"/>
              </w:rPr>
              <w:alias w:val="资产负债状况分析"/>
              <w:tag w:val="_TUP_5b9451a24cf94bb19fcd924892517ec7"/>
              <w:id w:val="-1698851659"/>
              <w:lock w:val="sdtLocked"/>
              <w:placeholder>
                <w:docPart w:val="6C21C5C31B5D491EA559B52E13A38CEA"/>
              </w:placeholder>
            </w:sdtPr>
            <w:sdtContent>
              <w:tr w:rsidR="00226D19" w:rsidRPr="00E04FAA" w:rsidTr="0067641A">
                <w:trPr>
                  <w:trHeight w:val="135"/>
                </w:trPr>
                <w:tc>
                  <w:tcPr>
                    <w:tcW w:w="606" w:type="pct"/>
                  </w:tcPr>
                  <w:p w:rsidR="00226D19" w:rsidRPr="0067641A" w:rsidRDefault="00226D19" w:rsidP="0067641A">
                    <w:pPr>
                      <w:jc w:val="center"/>
                      <w:rPr>
                        <w:rStyle w:val="50"/>
                        <w:b w:val="0"/>
                        <w:szCs w:val="21"/>
                      </w:rPr>
                    </w:pPr>
                    <w:r w:rsidRPr="0067641A">
                      <w:rPr>
                        <w:szCs w:val="21"/>
                      </w:rPr>
                      <w:t>应交税费</w:t>
                    </w:r>
                  </w:p>
                </w:tc>
                <w:tc>
                  <w:tcPr>
                    <w:tcW w:w="944" w:type="pct"/>
                  </w:tcPr>
                  <w:p w:rsidR="00226D19" w:rsidRPr="0067641A" w:rsidRDefault="00226D19" w:rsidP="0067641A">
                    <w:pPr>
                      <w:jc w:val="center"/>
                      <w:rPr>
                        <w:rStyle w:val="50"/>
                        <w:b w:val="0"/>
                        <w:szCs w:val="21"/>
                      </w:rPr>
                    </w:pPr>
                    <w:r w:rsidRPr="0067641A">
                      <w:rPr>
                        <w:szCs w:val="21"/>
                      </w:rPr>
                      <w:t>180,842,107</w:t>
                    </w:r>
                  </w:p>
                </w:tc>
                <w:tc>
                  <w:tcPr>
                    <w:tcW w:w="534" w:type="pct"/>
                  </w:tcPr>
                  <w:p w:rsidR="00226D19" w:rsidRPr="0067641A" w:rsidRDefault="005B0854" w:rsidP="0067641A">
                    <w:pPr>
                      <w:jc w:val="center"/>
                      <w:rPr>
                        <w:rStyle w:val="50"/>
                        <w:b w:val="0"/>
                        <w:szCs w:val="21"/>
                      </w:rPr>
                    </w:pPr>
                    <w:r w:rsidRPr="0067641A">
                      <w:rPr>
                        <w:rStyle w:val="50"/>
                        <w:rFonts w:hint="eastAsia"/>
                        <w:b w:val="0"/>
                        <w:szCs w:val="21"/>
                      </w:rPr>
                      <w:t>1</w:t>
                    </w:r>
                    <w:r w:rsidRPr="0067641A">
                      <w:rPr>
                        <w:rStyle w:val="50"/>
                        <w:b w:val="0"/>
                        <w:szCs w:val="21"/>
                      </w:rPr>
                      <w:t>.20</w:t>
                    </w:r>
                  </w:p>
                </w:tc>
                <w:tc>
                  <w:tcPr>
                    <w:tcW w:w="770" w:type="pct"/>
                  </w:tcPr>
                  <w:p w:rsidR="00226D19" w:rsidRPr="0067641A" w:rsidRDefault="00226D19" w:rsidP="0067641A">
                    <w:pPr>
                      <w:jc w:val="center"/>
                      <w:rPr>
                        <w:rStyle w:val="50"/>
                        <w:b w:val="0"/>
                        <w:szCs w:val="21"/>
                      </w:rPr>
                    </w:pPr>
                    <w:r w:rsidRPr="0067641A">
                      <w:rPr>
                        <w:szCs w:val="21"/>
                      </w:rPr>
                      <w:t>315,521,063</w:t>
                    </w:r>
                  </w:p>
                </w:tc>
                <w:tc>
                  <w:tcPr>
                    <w:tcW w:w="459" w:type="pct"/>
                  </w:tcPr>
                  <w:p w:rsidR="00226D19" w:rsidRPr="0067641A" w:rsidRDefault="005B0854" w:rsidP="0067641A">
                    <w:pPr>
                      <w:jc w:val="center"/>
                      <w:rPr>
                        <w:rStyle w:val="50"/>
                        <w:b w:val="0"/>
                        <w:szCs w:val="21"/>
                      </w:rPr>
                    </w:pPr>
                    <w:r w:rsidRPr="0067641A">
                      <w:rPr>
                        <w:rStyle w:val="50"/>
                        <w:rFonts w:hint="eastAsia"/>
                        <w:b w:val="0"/>
                        <w:szCs w:val="21"/>
                      </w:rPr>
                      <w:t>2</w:t>
                    </w:r>
                    <w:r w:rsidRPr="0067641A">
                      <w:rPr>
                        <w:rStyle w:val="50"/>
                        <w:b w:val="0"/>
                        <w:szCs w:val="21"/>
                      </w:rPr>
                      <w:t>.07</w:t>
                    </w:r>
                  </w:p>
                </w:tc>
                <w:tc>
                  <w:tcPr>
                    <w:tcW w:w="536" w:type="pct"/>
                  </w:tcPr>
                  <w:p w:rsidR="00226D19" w:rsidRPr="0067641A" w:rsidRDefault="00226D19" w:rsidP="0067641A">
                    <w:pPr>
                      <w:jc w:val="center"/>
                      <w:rPr>
                        <w:rStyle w:val="50"/>
                        <w:b w:val="0"/>
                        <w:szCs w:val="21"/>
                      </w:rPr>
                    </w:pPr>
                    <w:r w:rsidRPr="0067641A">
                      <w:rPr>
                        <w:szCs w:val="21"/>
                      </w:rPr>
                      <w:t>-42.68</w:t>
                    </w:r>
                  </w:p>
                </w:tc>
                <w:tc>
                  <w:tcPr>
                    <w:tcW w:w="1151" w:type="pct"/>
                  </w:tcPr>
                  <w:p w:rsidR="00226D19" w:rsidRPr="0067641A" w:rsidRDefault="00226D19" w:rsidP="0067641A">
                    <w:pPr>
                      <w:jc w:val="center"/>
                      <w:rPr>
                        <w:rStyle w:val="50"/>
                        <w:b w:val="0"/>
                        <w:szCs w:val="21"/>
                      </w:rPr>
                    </w:pPr>
                    <w:r w:rsidRPr="0067641A">
                      <w:rPr>
                        <w:szCs w:val="21"/>
                      </w:rPr>
                      <w:t>主要由于报告期内支付上年税金所致。 </w:t>
                    </w:r>
                  </w:p>
                </w:tc>
              </w:tr>
            </w:sdtContent>
          </w:sdt>
          <w:sdt>
            <w:sdtPr>
              <w:rPr>
                <w:rStyle w:val="50"/>
                <w:rFonts w:hint="eastAsia"/>
                <w:b w:val="0"/>
                <w:szCs w:val="21"/>
              </w:rPr>
              <w:alias w:val="资产负债状况分析"/>
              <w:tag w:val="_TUP_5b9451a24cf94bb19fcd924892517ec7"/>
              <w:id w:val="829717600"/>
              <w:lock w:val="sdtLocked"/>
              <w:placeholder>
                <w:docPart w:val="6C21C5C31B5D491EA559B52E13A38CEA"/>
              </w:placeholder>
            </w:sdtPr>
            <w:sdtContent>
              <w:tr w:rsidR="00226D19" w:rsidRPr="00E04FAA" w:rsidTr="0067641A">
                <w:trPr>
                  <w:trHeight w:val="135"/>
                </w:trPr>
                <w:tc>
                  <w:tcPr>
                    <w:tcW w:w="606" w:type="pct"/>
                  </w:tcPr>
                  <w:p w:rsidR="00226D19" w:rsidRPr="0067641A" w:rsidRDefault="00226D19" w:rsidP="0067641A">
                    <w:pPr>
                      <w:jc w:val="center"/>
                      <w:rPr>
                        <w:rStyle w:val="50"/>
                        <w:b w:val="0"/>
                        <w:szCs w:val="21"/>
                      </w:rPr>
                    </w:pPr>
                    <w:r w:rsidRPr="0067641A">
                      <w:rPr>
                        <w:szCs w:val="21"/>
                      </w:rPr>
                      <w:t>一年内到期的非流动负债</w:t>
                    </w:r>
                  </w:p>
                </w:tc>
                <w:tc>
                  <w:tcPr>
                    <w:tcW w:w="944" w:type="pct"/>
                  </w:tcPr>
                  <w:p w:rsidR="00226D19" w:rsidRPr="0067641A" w:rsidRDefault="00226D19" w:rsidP="0067641A">
                    <w:pPr>
                      <w:jc w:val="center"/>
                      <w:rPr>
                        <w:rStyle w:val="50"/>
                        <w:b w:val="0"/>
                        <w:szCs w:val="21"/>
                      </w:rPr>
                    </w:pPr>
                    <w:r w:rsidRPr="0067641A">
                      <w:rPr>
                        <w:szCs w:val="21"/>
                      </w:rPr>
                      <w:t>90,000,000</w:t>
                    </w:r>
                  </w:p>
                </w:tc>
                <w:tc>
                  <w:tcPr>
                    <w:tcW w:w="534" w:type="pct"/>
                  </w:tcPr>
                  <w:p w:rsidR="00226D19" w:rsidRPr="0067641A" w:rsidRDefault="005B0854" w:rsidP="0067641A">
                    <w:pPr>
                      <w:jc w:val="center"/>
                      <w:rPr>
                        <w:rStyle w:val="50"/>
                        <w:b w:val="0"/>
                        <w:szCs w:val="21"/>
                      </w:rPr>
                    </w:pPr>
                    <w:r w:rsidRPr="0067641A">
                      <w:rPr>
                        <w:rStyle w:val="50"/>
                        <w:rFonts w:hint="eastAsia"/>
                        <w:b w:val="0"/>
                        <w:szCs w:val="21"/>
                      </w:rPr>
                      <w:t>0</w:t>
                    </w:r>
                    <w:r w:rsidRPr="0067641A">
                      <w:rPr>
                        <w:rStyle w:val="50"/>
                        <w:b w:val="0"/>
                        <w:szCs w:val="21"/>
                      </w:rPr>
                      <w:t>.60</w:t>
                    </w:r>
                  </w:p>
                </w:tc>
                <w:tc>
                  <w:tcPr>
                    <w:tcW w:w="770" w:type="pct"/>
                  </w:tcPr>
                  <w:p w:rsidR="00226D19" w:rsidRPr="0067641A" w:rsidRDefault="00226D19" w:rsidP="0067641A">
                    <w:pPr>
                      <w:jc w:val="center"/>
                      <w:rPr>
                        <w:rStyle w:val="50"/>
                        <w:b w:val="0"/>
                        <w:szCs w:val="21"/>
                      </w:rPr>
                    </w:pPr>
                    <w:r w:rsidRPr="0067641A">
                      <w:rPr>
                        <w:szCs w:val="21"/>
                      </w:rPr>
                      <w:t>157,441,377</w:t>
                    </w:r>
                  </w:p>
                </w:tc>
                <w:tc>
                  <w:tcPr>
                    <w:tcW w:w="459" w:type="pct"/>
                  </w:tcPr>
                  <w:p w:rsidR="00226D19" w:rsidRPr="0067641A" w:rsidRDefault="005B0854" w:rsidP="0067641A">
                    <w:pPr>
                      <w:jc w:val="center"/>
                      <w:rPr>
                        <w:rStyle w:val="50"/>
                        <w:b w:val="0"/>
                        <w:szCs w:val="21"/>
                      </w:rPr>
                    </w:pPr>
                    <w:r w:rsidRPr="0067641A">
                      <w:rPr>
                        <w:rStyle w:val="50"/>
                        <w:rFonts w:hint="eastAsia"/>
                        <w:b w:val="0"/>
                        <w:szCs w:val="21"/>
                      </w:rPr>
                      <w:t>1</w:t>
                    </w:r>
                    <w:r w:rsidRPr="0067641A">
                      <w:rPr>
                        <w:rStyle w:val="50"/>
                        <w:b w:val="0"/>
                        <w:szCs w:val="21"/>
                      </w:rPr>
                      <w:t>.03</w:t>
                    </w:r>
                  </w:p>
                </w:tc>
                <w:tc>
                  <w:tcPr>
                    <w:tcW w:w="536" w:type="pct"/>
                  </w:tcPr>
                  <w:p w:rsidR="00226D19" w:rsidRPr="0067641A" w:rsidRDefault="00226D19" w:rsidP="0067641A">
                    <w:pPr>
                      <w:jc w:val="center"/>
                      <w:rPr>
                        <w:rStyle w:val="50"/>
                        <w:b w:val="0"/>
                        <w:szCs w:val="21"/>
                      </w:rPr>
                    </w:pPr>
                    <w:r w:rsidRPr="0067641A">
                      <w:rPr>
                        <w:szCs w:val="21"/>
                      </w:rPr>
                      <w:t>-42.84</w:t>
                    </w:r>
                  </w:p>
                </w:tc>
                <w:tc>
                  <w:tcPr>
                    <w:tcW w:w="1151" w:type="pct"/>
                  </w:tcPr>
                  <w:p w:rsidR="00226D19" w:rsidRPr="0067641A" w:rsidRDefault="00226D19" w:rsidP="0067641A">
                    <w:pPr>
                      <w:jc w:val="center"/>
                      <w:rPr>
                        <w:rStyle w:val="50"/>
                        <w:b w:val="0"/>
                        <w:szCs w:val="21"/>
                      </w:rPr>
                    </w:pPr>
                    <w:r w:rsidRPr="0067641A">
                      <w:rPr>
                        <w:szCs w:val="21"/>
                      </w:rPr>
                      <w:t>主要系部分长期借款本年归还所致</w:t>
                    </w:r>
                    <w:r w:rsidR="00EF0C49" w:rsidRPr="0067641A">
                      <w:rPr>
                        <w:rFonts w:hint="eastAsia"/>
                        <w:szCs w:val="21"/>
                      </w:rPr>
                      <w:t>。</w:t>
                    </w:r>
                  </w:p>
                </w:tc>
              </w:tr>
            </w:sdtContent>
          </w:sdt>
          <w:sdt>
            <w:sdtPr>
              <w:rPr>
                <w:rStyle w:val="50"/>
                <w:rFonts w:hint="eastAsia"/>
                <w:b w:val="0"/>
                <w:szCs w:val="21"/>
              </w:rPr>
              <w:alias w:val="资产负债状况分析"/>
              <w:tag w:val="_TUP_5b9451a24cf94bb19fcd924892517ec7"/>
              <w:id w:val="-756738321"/>
              <w:lock w:val="sdtLocked"/>
              <w:placeholder>
                <w:docPart w:val="6C21C5C31B5D491EA559B52E13A38CEA"/>
              </w:placeholder>
            </w:sdtPr>
            <w:sdtContent>
              <w:tr w:rsidR="00226D19" w:rsidRPr="00E04FAA" w:rsidTr="0067641A">
                <w:trPr>
                  <w:trHeight w:val="135"/>
                </w:trPr>
                <w:tc>
                  <w:tcPr>
                    <w:tcW w:w="606" w:type="pct"/>
                  </w:tcPr>
                  <w:p w:rsidR="00226D19" w:rsidRPr="0067641A" w:rsidRDefault="00226D19" w:rsidP="0067641A">
                    <w:pPr>
                      <w:jc w:val="center"/>
                      <w:rPr>
                        <w:rStyle w:val="50"/>
                        <w:b w:val="0"/>
                        <w:szCs w:val="21"/>
                      </w:rPr>
                    </w:pPr>
                    <w:r w:rsidRPr="0067641A">
                      <w:rPr>
                        <w:szCs w:val="21"/>
                      </w:rPr>
                      <w:t>长期借款</w:t>
                    </w:r>
                  </w:p>
                </w:tc>
                <w:tc>
                  <w:tcPr>
                    <w:tcW w:w="944" w:type="pct"/>
                  </w:tcPr>
                  <w:p w:rsidR="00226D19" w:rsidRPr="0067641A" w:rsidRDefault="00226D19" w:rsidP="0067641A">
                    <w:pPr>
                      <w:jc w:val="center"/>
                      <w:rPr>
                        <w:rStyle w:val="50"/>
                        <w:b w:val="0"/>
                        <w:szCs w:val="21"/>
                      </w:rPr>
                    </w:pPr>
                    <w:r w:rsidRPr="0067641A">
                      <w:rPr>
                        <w:szCs w:val="21"/>
                      </w:rPr>
                      <w:t>90,000,000</w:t>
                    </w:r>
                  </w:p>
                </w:tc>
                <w:tc>
                  <w:tcPr>
                    <w:tcW w:w="534" w:type="pct"/>
                  </w:tcPr>
                  <w:p w:rsidR="00226D19" w:rsidRPr="0067641A" w:rsidRDefault="005B0854" w:rsidP="0067641A">
                    <w:pPr>
                      <w:jc w:val="center"/>
                      <w:rPr>
                        <w:rStyle w:val="50"/>
                        <w:b w:val="0"/>
                        <w:szCs w:val="21"/>
                      </w:rPr>
                    </w:pPr>
                    <w:r w:rsidRPr="0067641A">
                      <w:rPr>
                        <w:rStyle w:val="50"/>
                        <w:rFonts w:hint="eastAsia"/>
                        <w:b w:val="0"/>
                        <w:szCs w:val="21"/>
                      </w:rPr>
                      <w:t>0</w:t>
                    </w:r>
                    <w:r w:rsidRPr="0067641A">
                      <w:rPr>
                        <w:rStyle w:val="50"/>
                        <w:b w:val="0"/>
                        <w:szCs w:val="21"/>
                      </w:rPr>
                      <w:t>.60</w:t>
                    </w:r>
                  </w:p>
                </w:tc>
                <w:tc>
                  <w:tcPr>
                    <w:tcW w:w="770" w:type="pct"/>
                  </w:tcPr>
                  <w:p w:rsidR="00226D19" w:rsidRPr="0067641A" w:rsidRDefault="00226D19" w:rsidP="0067641A">
                    <w:pPr>
                      <w:jc w:val="center"/>
                      <w:rPr>
                        <w:rStyle w:val="50"/>
                        <w:b w:val="0"/>
                        <w:szCs w:val="21"/>
                      </w:rPr>
                    </w:pPr>
                    <w:r w:rsidRPr="0067641A">
                      <w:rPr>
                        <w:szCs w:val="21"/>
                      </w:rPr>
                      <w:t>171,666,664</w:t>
                    </w:r>
                  </w:p>
                </w:tc>
                <w:tc>
                  <w:tcPr>
                    <w:tcW w:w="459" w:type="pct"/>
                  </w:tcPr>
                  <w:p w:rsidR="00226D19" w:rsidRPr="0067641A" w:rsidRDefault="005B0854" w:rsidP="0067641A">
                    <w:pPr>
                      <w:jc w:val="center"/>
                      <w:rPr>
                        <w:rStyle w:val="50"/>
                        <w:b w:val="0"/>
                        <w:szCs w:val="21"/>
                      </w:rPr>
                    </w:pPr>
                    <w:r w:rsidRPr="0067641A">
                      <w:rPr>
                        <w:rStyle w:val="50"/>
                        <w:rFonts w:hint="eastAsia"/>
                        <w:b w:val="0"/>
                        <w:szCs w:val="21"/>
                      </w:rPr>
                      <w:t>1</w:t>
                    </w:r>
                    <w:r w:rsidRPr="0067641A">
                      <w:rPr>
                        <w:rStyle w:val="50"/>
                        <w:b w:val="0"/>
                        <w:szCs w:val="21"/>
                      </w:rPr>
                      <w:t>.13</w:t>
                    </w:r>
                  </w:p>
                </w:tc>
                <w:tc>
                  <w:tcPr>
                    <w:tcW w:w="536" w:type="pct"/>
                  </w:tcPr>
                  <w:p w:rsidR="00226D19" w:rsidRPr="0067641A" w:rsidRDefault="00226D19" w:rsidP="0067641A">
                    <w:pPr>
                      <w:jc w:val="center"/>
                      <w:rPr>
                        <w:rStyle w:val="50"/>
                        <w:b w:val="0"/>
                        <w:szCs w:val="21"/>
                      </w:rPr>
                    </w:pPr>
                    <w:r w:rsidRPr="0067641A">
                      <w:rPr>
                        <w:szCs w:val="21"/>
                      </w:rPr>
                      <w:t>-47.57</w:t>
                    </w:r>
                  </w:p>
                </w:tc>
                <w:tc>
                  <w:tcPr>
                    <w:tcW w:w="1151" w:type="pct"/>
                  </w:tcPr>
                  <w:p w:rsidR="00226D19" w:rsidRPr="0067641A" w:rsidRDefault="00226D19" w:rsidP="0067641A">
                    <w:pPr>
                      <w:jc w:val="center"/>
                      <w:rPr>
                        <w:rStyle w:val="50"/>
                        <w:b w:val="0"/>
                        <w:szCs w:val="21"/>
                      </w:rPr>
                    </w:pPr>
                    <w:r w:rsidRPr="0067641A">
                      <w:rPr>
                        <w:szCs w:val="21"/>
                      </w:rPr>
                      <w:t>主要系部分长期借款本年归还所致</w:t>
                    </w:r>
                    <w:r w:rsidR="00EF0C49" w:rsidRPr="0067641A">
                      <w:rPr>
                        <w:rFonts w:hint="eastAsia"/>
                        <w:szCs w:val="21"/>
                      </w:rPr>
                      <w:t>。</w:t>
                    </w:r>
                    <w:r w:rsidRPr="0067641A">
                      <w:rPr>
                        <w:szCs w:val="21"/>
                      </w:rPr>
                      <w:t> </w:t>
                    </w:r>
                  </w:p>
                </w:tc>
              </w:tr>
            </w:sdtContent>
          </w:sdt>
          <w:sdt>
            <w:sdtPr>
              <w:rPr>
                <w:rStyle w:val="50"/>
                <w:rFonts w:hint="eastAsia"/>
                <w:b w:val="0"/>
                <w:szCs w:val="21"/>
              </w:rPr>
              <w:alias w:val="资产负债状况分析"/>
              <w:tag w:val="_TUP_5b9451a24cf94bb19fcd924892517ec7"/>
              <w:id w:val="254871889"/>
              <w:lock w:val="sdtLocked"/>
              <w:placeholder>
                <w:docPart w:val="6C21C5C31B5D491EA559B52E13A38CEA"/>
              </w:placeholder>
            </w:sdtPr>
            <w:sdtEndPr>
              <w:rPr>
                <w:rStyle w:val="50"/>
                <w:color w:val="000000" w:themeColor="text1"/>
              </w:rPr>
            </w:sdtEndPr>
            <w:sdtContent>
              <w:tr w:rsidR="00226D19" w:rsidRPr="00E04FAA" w:rsidTr="0067641A">
                <w:trPr>
                  <w:trHeight w:val="135"/>
                </w:trPr>
                <w:tc>
                  <w:tcPr>
                    <w:tcW w:w="606" w:type="pct"/>
                  </w:tcPr>
                  <w:p w:rsidR="00226D19" w:rsidRPr="0067641A" w:rsidRDefault="00226D19" w:rsidP="0067641A">
                    <w:pPr>
                      <w:jc w:val="center"/>
                      <w:rPr>
                        <w:rStyle w:val="50"/>
                        <w:b w:val="0"/>
                        <w:szCs w:val="21"/>
                      </w:rPr>
                    </w:pPr>
                    <w:r w:rsidRPr="0067641A">
                      <w:rPr>
                        <w:szCs w:val="21"/>
                      </w:rPr>
                      <w:t>库存股</w:t>
                    </w:r>
                  </w:p>
                </w:tc>
                <w:tc>
                  <w:tcPr>
                    <w:tcW w:w="944" w:type="pct"/>
                  </w:tcPr>
                  <w:p w:rsidR="00226D19" w:rsidRPr="0067641A" w:rsidRDefault="00226D19" w:rsidP="0067641A">
                    <w:pPr>
                      <w:jc w:val="center"/>
                      <w:rPr>
                        <w:rStyle w:val="50"/>
                        <w:b w:val="0"/>
                        <w:color w:val="000000" w:themeColor="text1"/>
                        <w:szCs w:val="21"/>
                      </w:rPr>
                    </w:pPr>
                    <w:r w:rsidRPr="0067641A">
                      <w:rPr>
                        <w:color w:val="000000" w:themeColor="text1"/>
                        <w:szCs w:val="21"/>
                      </w:rPr>
                      <w:t>514,204,879</w:t>
                    </w:r>
                  </w:p>
                </w:tc>
                <w:tc>
                  <w:tcPr>
                    <w:tcW w:w="534" w:type="pct"/>
                  </w:tcPr>
                  <w:p w:rsidR="00226D19" w:rsidRPr="0067641A" w:rsidRDefault="005B0854" w:rsidP="0067641A">
                    <w:pPr>
                      <w:jc w:val="center"/>
                      <w:rPr>
                        <w:rStyle w:val="50"/>
                        <w:b w:val="0"/>
                        <w:color w:val="000000" w:themeColor="text1"/>
                        <w:szCs w:val="21"/>
                      </w:rPr>
                    </w:pPr>
                    <w:r w:rsidRPr="0067641A">
                      <w:rPr>
                        <w:rStyle w:val="50"/>
                        <w:b w:val="0"/>
                        <w:color w:val="000000" w:themeColor="text1"/>
                        <w:szCs w:val="21"/>
                      </w:rPr>
                      <w:t>3.</w:t>
                    </w:r>
                    <w:r w:rsidR="0050151B" w:rsidRPr="0067641A">
                      <w:rPr>
                        <w:rStyle w:val="50"/>
                        <w:b w:val="0"/>
                        <w:color w:val="000000" w:themeColor="text1"/>
                        <w:szCs w:val="21"/>
                      </w:rPr>
                      <w:t>41</w:t>
                    </w:r>
                  </w:p>
                </w:tc>
                <w:tc>
                  <w:tcPr>
                    <w:tcW w:w="770" w:type="pct"/>
                  </w:tcPr>
                  <w:p w:rsidR="00226D19" w:rsidRPr="0067641A" w:rsidRDefault="00226D19" w:rsidP="0067641A">
                    <w:pPr>
                      <w:jc w:val="center"/>
                      <w:rPr>
                        <w:rStyle w:val="50"/>
                        <w:b w:val="0"/>
                        <w:color w:val="000000" w:themeColor="text1"/>
                        <w:szCs w:val="21"/>
                      </w:rPr>
                    </w:pPr>
                    <w:r w:rsidRPr="0067641A">
                      <w:rPr>
                        <w:color w:val="000000" w:themeColor="text1"/>
                        <w:szCs w:val="21"/>
                      </w:rPr>
                      <w:t>55,787,910</w:t>
                    </w:r>
                  </w:p>
                </w:tc>
                <w:tc>
                  <w:tcPr>
                    <w:tcW w:w="459" w:type="pct"/>
                  </w:tcPr>
                  <w:p w:rsidR="00226D19" w:rsidRPr="0067641A" w:rsidRDefault="005B0854" w:rsidP="0067641A">
                    <w:pPr>
                      <w:jc w:val="center"/>
                      <w:rPr>
                        <w:rStyle w:val="50"/>
                        <w:b w:val="0"/>
                        <w:color w:val="000000" w:themeColor="text1"/>
                        <w:szCs w:val="21"/>
                      </w:rPr>
                    </w:pPr>
                    <w:r w:rsidRPr="0067641A">
                      <w:rPr>
                        <w:rStyle w:val="50"/>
                        <w:b w:val="0"/>
                        <w:color w:val="000000" w:themeColor="text1"/>
                        <w:szCs w:val="21"/>
                      </w:rPr>
                      <w:t>0.37</w:t>
                    </w:r>
                  </w:p>
                </w:tc>
                <w:tc>
                  <w:tcPr>
                    <w:tcW w:w="536" w:type="pct"/>
                  </w:tcPr>
                  <w:p w:rsidR="00226D19" w:rsidRPr="0067641A" w:rsidRDefault="00226D19" w:rsidP="0067641A">
                    <w:pPr>
                      <w:jc w:val="center"/>
                      <w:rPr>
                        <w:rStyle w:val="50"/>
                        <w:b w:val="0"/>
                        <w:color w:val="000000" w:themeColor="text1"/>
                        <w:szCs w:val="21"/>
                      </w:rPr>
                    </w:pPr>
                    <w:r w:rsidRPr="0067641A">
                      <w:rPr>
                        <w:color w:val="000000" w:themeColor="text1"/>
                        <w:szCs w:val="21"/>
                      </w:rPr>
                      <w:t>821.71</w:t>
                    </w:r>
                  </w:p>
                </w:tc>
                <w:tc>
                  <w:tcPr>
                    <w:tcW w:w="1151" w:type="pct"/>
                  </w:tcPr>
                  <w:p w:rsidR="00226D19" w:rsidRPr="0067641A" w:rsidRDefault="00226D19" w:rsidP="0067641A">
                    <w:pPr>
                      <w:jc w:val="center"/>
                      <w:rPr>
                        <w:rStyle w:val="50"/>
                        <w:b w:val="0"/>
                        <w:color w:val="000000" w:themeColor="text1"/>
                        <w:szCs w:val="21"/>
                      </w:rPr>
                    </w:pPr>
                    <w:r w:rsidRPr="0067641A">
                      <w:rPr>
                        <w:color w:val="000000" w:themeColor="text1"/>
                        <w:szCs w:val="21"/>
                      </w:rPr>
                      <w:t>主要由于报告期内回购股票所致。 </w:t>
                    </w:r>
                  </w:p>
                </w:tc>
              </w:tr>
            </w:sdtContent>
          </w:sdt>
        </w:tbl>
        <w:bookmarkEnd w:id="28"/>
        <w:p w:rsidR="00B16D9A" w:rsidRPr="00E04FAA" w:rsidRDefault="00B16D9A">
          <w:pPr>
            <w:rPr>
              <w:szCs w:val="21"/>
            </w:rPr>
          </w:pPr>
          <w:r w:rsidRPr="00E04FAA">
            <w:rPr>
              <w:rFonts w:hint="eastAsia"/>
              <w:szCs w:val="21"/>
            </w:rPr>
            <w:t>其他说明</w:t>
          </w:r>
          <w:r w:rsidR="002F41AA" w:rsidRPr="00E04FAA">
            <w:rPr>
              <w:rFonts w:hint="eastAsia"/>
              <w:szCs w:val="21"/>
            </w:rPr>
            <w:t>：</w:t>
          </w:r>
        </w:p>
        <w:sdt>
          <w:sdtPr>
            <w:rPr>
              <w:rFonts w:hint="eastAsia"/>
              <w:szCs w:val="21"/>
            </w:rPr>
            <w:alias w:val="资产及负债状况的其他说明"/>
            <w:tag w:val="_GBC_cb3eda90e3e24589a444c633ca113f7e"/>
            <w:id w:val="-1196771321"/>
            <w:lock w:val="sdtLocked"/>
            <w:placeholder>
              <w:docPart w:val="4382D6A4720A42C7BB43B446FD01FB1E"/>
            </w:placeholder>
          </w:sdtPr>
          <w:sdtContent>
            <w:p w:rsidR="00B16D9A" w:rsidRPr="00E04FAA" w:rsidRDefault="00B16D9A">
              <w:pPr>
                <w:rPr>
                  <w:szCs w:val="21"/>
                </w:rPr>
              </w:pPr>
              <w:r w:rsidRPr="00E04FAA">
                <w:rPr>
                  <w:rFonts w:hint="eastAsia"/>
                  <w:szCs w:val="21"/>
                </w:rPr>
                <w:t>无。</w:t>
              </w:r>
            </w:p>
          </w:sdtContent>
        </w:sdt>
      </w:sdtContent>
    </w:sdt>
    <w:p w:rsidR="00B16D9A" w:rsidRPr="00E04FAA" w:rsidRDefault="00B16D9A">
      <w:pPr>
        <w:rPr>
          <w:szCs w:val="21"/>
        </w:rPr>
      </w:pPr>
    </w:p>
    <w:sdt>
      <w:sdtPr>
        <w:rPr>
          <w:rFonts w:ascii="宋体" w:hAnsi="宋体" w:cs="宋体"/>
          <w:b w:val="0"/>
          <w:bCs w:val="0"/>
          <w:kern w:val="0"/>
          <w:szCs w:val="21"/>
        </w:rPr>
        <w:alias w:val="模块:截至报告期末主要资产受限情"/>
        <w:tag w:val="_SEC_390cddc4349f46b4bcccd468c3e69d14"/>
        <w:id w:val="800573940"/>
        <w:lock w:val="sdtLocked"/>
        <w:placeholder>
          <w:docPart w:val="4382D6A4720A42C7BB43B446FD01FB1E"/>
        </w:placeholder>
      </w:sdtPr>
      <w:sdtEndPr>
        <w:rPr>
          <w:szCs w:val="24"/>
        </w:rPr>
      </w:sdtEndPr>
      <w:sdtContent>
        <w:p w:rsidR="00B16D9A" w:rsidRPr="00E04FAA" w:rsidRDefault="00B16D9A" w:rsidP="00FC3870">
          <w:pPr>
            <w:pStyle w:val="4"/>
            <w:numPr>
              <w:ilvl w:val="0"/>
              <w:numId w:val="29"/>
            </w:numPr>
            <w:rPr>
              <w:szCs w:val="21"/>
            </w:rPr>
          </w:pPr>
          <w:r w:rsidRPr="00E04FAA">
            <w:rPr>
              <w:szCs w:val="21"/>
            </w:rPr>
            <w:t>截至报告期末主要资产</w:t>
          </w:r>
          <w:r w:rsidRPr="00E04FAA">
            <w:rPr>
              <w:rFonts w:hint="eastAsia"/>
              <w:szCs w:val="21"/>
            </w:rPr>
            <w:t>受限</w:t>
          </w:r>
          <w:r w:rsidRPr="00E04FAA">
            <w:rPr>
              <w:szCs w:val="21"/>
            </w:rPr>
            <w:t>情</w:t>
          </w:r>
          <w:r w:rsidRPr="00E04FAA">
            <w:rPr>
              <w:rFonts w:hint="eastAsia"/>
              <w:szCs w:val="21"/>
            </w:rPr>
            <w:t>况</w:t>
          </w:r>
        </w:p>
        <w:sdt>
          <w:sdtPr>
            <w:rPr>
              <w:rFonts w:hint="eastAsia"/>
              <w:szCs w:val="21"/>
            </w:rPr>
            <w:alias w:val="是否适用：主要资产受限情况[双击切换]"/>
            <w:tag w:val="_GBC_e9f1a2b3f13345eaac848c40837fffbb"/>
            <w:id w:val="1888374934"/>
            <w:lock w:val="sdtContentLocked"/>
            <w:placeholder>
              <w:docPart w:val="4382D6A4720A42C7BB43B446FD01FB1E"/>
            </w:placeholder>
          </w:sdtPr>
          <w:sdtContent>
            <w:p w:rsidR="00CB656E" w:rsidRPr="00E04FAA" w:rsidRDefault="00B16D9A" w:rsidP="00CB656E">
              <w:pPr>
                <w:rPr>
                  <w:szCs w:val="21"/>
                </w:rPr>
              </w:pPr>
              <w:r w:rsidRPr="00E04FAA">
                <w:rPr>
                  <w:szCs w:val="21"/>
                </w:rPr>
                <w:fldChar w:fldCharType="begin"/>
              </w:r>
              <w:r w:rsidR="00CB656E" w:rsidRPr="00E04FAA">
                <w:rPr>
                  <w:szCs w:val="21"/>
                </w:rPr>
                <w:instrText xml:space="preserve"> MACROBUTTON  SnrToggleCheckbox √适用 </w:instrText>
              </w:r>
              <w:r w:rsidRPr="00E04FAA">
                <w:rPr>
                  <w:szCs w:val="21"/>
                </w:rPr>
                <w:fldChar w:fldCharType="end"/>
              </w:r>
              <w:r w:rsidRPr="00E04FAA">
                <w:rPr>
                  <w:szCs w:val="21"/>
                </w:rPr>
                <w:fldChar w:fldCharType="begin"/>
              </w:r>
              <w:r w:rsidR="00CB656E" w:rsidRPr="00E04FAA">
                <w:rPr>
                  <w:szCs w:val="21"/>
                </w:rPr>
                <w:instrText xml:space="preserve"> MACROBUTTON  SnrToggleCheckbox □不适用 </w:instrText>
              </w:r>
              <w:r w:rsidRPr="00E04FAA">
                <w:rPr>
                  <w:szCs w:val="21"/>
                </w:rPr>
                <w:fldChar w:fldCharType="end"/>
              </w:r>
            </w:p>
          </w:sdtContent>
        </w:sdt>
        <w:sdt>
          <w:sdtPr>
            <w:rPr>
              <w:szCs w:val="21"/>
            </w:rPr>
            <w:alias w:val="主要资产受限情况"/>
            <w:tag w:val="_GBC_a45de9537ca94b758cc1d9c201a60b53"/>
            <w:id w:val="-253441313"/>
            <w:lock w:val="sdtLocked"/>
            <w:placeholder>
              <w:docPart w:val="3E44D4DA077740B6BB933C4ED14883AC"/>
            </w:placeholder>
          </w:sdtPr>
          <w:sdtEndPr>
            <w:rPr>
              <w:szCs w:val="24"/>
            </w:rPr>
          </w:sdtEndPr>
          <w:sdtContent>
            <w:p w:rsidR="00CB656E" w:rsidRPr="00E04FAA" w:rsidRDefault="00CB656E">
              <w:pPr>
                <w:rPr>
                  <w:szCs w:val="21"/>
                </w:rPr>
              </w:pPr>
            </w:p>
            <w:tbl>
              <w:tblPr>
                <w:tblStyle w:val="a9"/>
                <w:tblW w:w="0" w:type="auto"/>
                <w:tblLook w:val="04A0" w:firstRow="1" w:lastRow="0" w:firstColumn="1" w:lastColumn="0" w:noHBand="0" w:noVBand="1"/>
              </w:tblPr>
              <w:tblGrid>
                <w:gridCol w:w="2725"/>
                <w:gridCol w:w="3368"/>
                <w:gridCol w:w="2725"/>
              </w:tblGrid>
              <w:tr w:rsidR="000F2264" w:rsidRPr="00E04FAA" w:rsidTr="00B637B2">
                <w:tc>
                  <w:tcPr>
                    <w:tcW w:w="2725" w:type="dxa"/>
                  </w:tcPr>
                  <w:p w:rsidR="000F2264" w:rsidRPr="00E04FAA" w:rsidRDefault="000F2264" w:rsidP="00B637B2">
                    <w:pPr>
                      <w:jc w:val="center"/>
                    </w:pPr>
                    <w:bookmarkStart w:id="29" w:name="_Hlk16688051"/>
                    <w:r w:rsidRPr="00E04FAA">
                      <w:rPr>
                        <w:rFonts w:hint="eastAsia"/>
                      </w:rPr>
                      <w:t>利润表项目</w:t>
                    </w:r>
                  </w:p>
                </w:tc>
                <w:tc>
                  <w:tcPr>
                    <w:tcW w:w="3368" w:type="dxa"/>
                  </w:tcPr>
                  <w:p w:rsidR="000F2264" w:rsidRPr="00E04FAA" w:rsidRDefault="000F2264" w:rsidP="00B637B2">
                    <w:pPr>
                      <w:jc w:val="center"/>
                    </w:pPr>
                    <w:r>
                      <w:rPr>
                        <w:rFonts w:hint="eastAsia"/>
                      </w:rPr>
                      <w:t>期末账面价值</w:t>
                    </w:r>
                  </w:p>
                </w:tc>
                <w:tc>
                  <w:tcPr>
                    <w:tcW w:w="2725" w:type="dxa"/>
                  </w:tcPr>
                  <w:p w:rsidR="000F2264" w:rsidRPr="00E04FAA" w:rsidRDefault="000F2264" w:rsidP="00B637B2">
                    <w:pPr>
                      <w:jc w:val="center"/>
                    </w:pPr>
                    <w:r w:rsidRPr="00E04FAA">
                      <w:rPr>
                        <w:rFonts w:hint="eastAsia"/>
                      </w:rPr>
                      <w:t>变动原因</w:t>
                    </w:r>
                  </w:p>
                </w:tc>
              </w:tr>
              <w:tr w:rsidR="000F2264" w:rsidRPr="00E04FAA" w:rsidTr="00B637B2">
                <w:tc>
                  <w:tcPr>
                    <w:tcW w:w="2725" w:type="dxa"/>
                  </w:tcPr>
                  <w:p w:rsidR="000F2264" w:rsidRPr="00E04FAA" w:rsidRDefault="000F2264" w:rsidP="00B637B2">
                    <w:pPr>
                      <w:jc w:val="left"/>
                    </w:pPr>
                    <w:r w:rsidRPr="00E04FAA">
                      <w:rPr>
                        <w:rFonts w:hint="eastAsia"/>
                      </w:rPr>
                      <w:t>货币资金</w:t>
                    </w:r>
                  </w:p>
                </w:tc>
                <w:tc>
                  <w:tcPr>
                    <w:tcW w:w="3368" w:type="dxa"/>
                  </w:tcPr>
                  <w:p w:rsidR="000F2264" w:rsidRPr="00E04FAA" w:rsidRDefault="000F2264" w:rsidP="00B637B2">
                    <w:pPr>
                      <w:jc w:val="right"/>
                    </w:pPr>
                    <w:r w:rsidRPr="00E04FAA">
                      <w:t>27,439,950</w:t>
                    </w:r>
                  </w:p>
                </w:tc>
                <w:tc>
                  <w:tcPr>
                    <w:tcW w:w="2725" w:type="dxa"/>
                  </w:tcPr>
                  <w:p w:rsidR="000F2264" w:rsidRPr="00E04FAA" w:rsidRDefault="000B00AE" w:rsidP="00B637B2">
                    <w:pPr>
                      <w:jc w:val="right"/>
                    </w:pPr>
                    <w:r>
                      <w:rPr>
                        <w:rFonts w:hint="eastAsia"/>
                      </w:rPr>
                      <w:t>履约保证金</w:t>
                    </w:r>
                  </w:p>
                </w:tc>
              </w:tr>
              <w:tr w:rsidR="000F2264" w:rsidRPr="00E04FAA" w:rsidTr="00B637B2">
                <w:tc>
                  <w:tcPr>
                    <w:tcW w:w="2725" w:type="dxa"/>
                  </w:tcPr>
                  <w:p w:rsidR="000F2264" w:rsidRPr="00E04FAA" w:rsidRDefault="000B00AE" w:rsidP="00B637B2">
                    <w:pPr>
                      <w:jc w:val="left"/>
                    </w:pPr>
                    <w:r>
                      <w:rPr>
                        <w:rFonts w:hint="eastAsia"/>
                      </w:rPr>
                      <w:t>固定资产</w:t>
                    </w:r>
                  </w:p>
                </w:tc>
                <w:tc>
                  <w:tcPr>
                    <w:tcW w:w="3368" w:type="dxa"/>
                  </w:tcPr>
                  <w:p w:rsidR="000F2264" w:rsidRPr="00E04FAA" w:rsidRDefault="000F2264" w:rsidP="00B637B2">
                    <w:pPr>
                      <w:jc w:val="right"/>
                    </w:pPr>
                    <w:r w:rsidRPr="00E04FAA">
                      <w:t xml:space="preserve"> 619,016,810 </w:t>
                    </w:r>
                  </w:p>
                </w:tc>
                <w:tc>
                  <w:tcPr>
                    <w:tcW w:w="2725" w:type="dxa"/>
                  </w:tcPr>
                  <w:p w:rsidR="000F2264" w:rsidRPr="00E04FAA" w:rsidRDefault="000B00AE" w:rsidP="00B637B2">
                    <w:pPr>
                      <w:jc w:val="right"/>
                    </w:pPr>
                    <w:r>
                      <w:rPr>
                        <w:rFonts w:hint="eastAsia"/>
                      </w:rPr>
                      <w:t>取得银行借款抵押</w:t>
                    </w:r>
                  </w:p>
                </w:tc>
              </w:tr>
              <w:tr w:rsidR="000B00AE" w:rsidRPr="00E04FAA" w:rsidTr="00B637B2">
                <w:tc>
                  <w:tcPr>
                    <w:tcW w:w="2725" w:type="dxa"/>
                  </w:tcPr>
                  <w:p w:rsidR="000B00AE" w:rsidRPr="00E04FAA" w:rsidRDefault="000B00AE" w:rsidP="000B00AE">
                    <w:pPr>
                      <w:jc w:val="left"/>
                    </w:pPr>
                    <w:r w:rsidRPr="00E04FAA">
                      <w:rPr>
                        <w:rFonts w:hint="eastAsia"/>
                      </w:rPr>
                      <w:t>无形资产</w:t>
                    </w:r>
                  </w:p>
                </w:tc>
                <w:tc>
                  <w:tcPr>
                    <w:tcW w:w="3368" w:type="dxa"/>
                  </w:tcPr>
                  <w:p w:rsidR="000B00AE" w:rsidRPr="00E04FAA" w:rsidRDefault="000B00AE" w:rsidP="000B00AE">
                    <w:pPr>
                      <w:jc w:val="right"/>
                    </w:pPr>
                    <w:r w:rsidRPr="00E04FAA">
                      <w:t xml:space="preserve"> 30,790,486 </w:t>
                    </w:r>
                  </w:p>
                </w:tc>
                <w:tc>
                  <w:tcPr>
                    <w:tcW w:w="2725" w:type="dxa"/>
                  </w:tcPr>
                  <w:p w:rsidR="000B00AE" w:rsidRDefault="000B00AE" w:rsidP="000B00AE">
                    <w:pPr>
                      <w:jc w:val="right"/>
                    </w:pPr>
                    <w:r w:rsidRPr="00436A4E">
                      <w:rPr>
                        <w:rFonts w:hint="eastAsia"/>
                      </w:rPr>
                      <w:t>取得银行借款抵押</w:t>
                    </w:r>
                  </w:p>
                </w:tc>
              </w:tr>
              <w:tr w:rsidR="000B00AE" w:rsidRPr="000F2264" w:rsidTr="00B637B2">
                <w:tc>
                  <w:tcPr>
                    <w:tcW w:w="2725" w:type="dxa"/>
                  </w:tcPr>
                  <w:p w:rsidR="000B00AE" w:rsidRPr="00E04FAA" w:rsidRDefault="000B00AE" w:rsidP="00B637B2">
                    <w:r>
                      <w:rPr>
                        <w:rFonts w:hint="eastAsia"/>
                      </w:rPr>
                      <w:t>合计</w:t>
                    </w:r>
                  </w:p>
                </w:tc>
                <w:tc>
                  <w:tcPr>
                    <w:tcW w:w="3368" w:type="dxa"/>
                  </w:tcPr>
                  <w:p w:rsidR="000B00AE" w:rsidRPr="00E04FAA" w:rsidRDefault="000B00AE" w:rsidP="00B637B2">
                    <w:pPr>
                      <w:jc w:val="right"/>
                    </w:pPr>
                    <w:r>
                      <w:rPr>
                        <w:rFonts w:hint="eastAsia"/>
                      </w:rPr>
                      <w:t>6</w:t>
                    </w:r>
                    <w:r>
                      <w:t>77,247,246</w:t>
                    </w:r>
                  </w:p>
                </w:tc>
                <w:tc>
                  <w:tcPr>
                    <w:tcW w:w="2725" w:type="dxa"/>
                  </w:tcPr>
                  <w:p w:rsidR="000B00AE" w:rsidRPr="00E04FAA" w:rsidRDefault="000B00AE" w:rsidP="00B637B2">
                    <w:pPr>
                      <w:jc w:val="right"/>
                    </w:pPr>
                    <w:r>
                      <w:rPr>
                        <w:rFonts w:hint="eastAsia"/>
                      </w:rPr>
                      <w:t>/</w:t>
                    </w:r>
                  </w:p>
                </w:tc>
              </w:tr>
            </w:tbl>
            <w:p w:rsidR="00CB656E" w:rsidRPr="000F2264" w:rsidRDefault="000D0A99" w:rsidP="000F2264"/>
            <w:bookmarkEnd w:id="29" w:displacedByCustomXml="next"/>
          </w:sdtContent>
        </w:sdt>
      </w:sdtContent>
    </w:sdt>
    <w:p w:rsidR="00B16D9A" w:rsidRPr="00E04FAA" w:rsidRDefault="00B16D9A">
      <w:pPr>
        <w:rPr>
          <w:szCs w:val="21"/>
        </w:rPr>
      </w:pPr>
    </w:p>
    <w:sdt>
      <w:sdtPr>
        <w:rPr>
          <w:rFonts w:ascii="宋体" w:hAnsi="宋体" w:cs="宋体"/>
          <w:b w:val="0"/>
          <w:bCs w:val="0"/>
          <w:kern w:val="0"/>
          <w:szCs w:val="21"/>
        </w:rPr>
        <w:alias w:val="模块:其他说明"/>
        <w:tag w:val="_SEC_a3069c29080242b4a4de48db80a4164e"/>
        <w:id w:val="1917283223"/>
        <w:lock w:val="sdtLocked"/>
        <w:placeholder>
          <w:docPart w:val="4382D6A4720A42C7BB43B446FD01FB1E"/>
        </w:placeholder>
      </w:sdtPr>
      <w:sdtEndPr>
        <w:rPr>
          <w:rFonts w:hint="eastAsia"/>
        </w:rPr>
      </w:sdtEndPr>
      <w:sdtContent>
        <w:p w:rsidR="00B16D9A" w:rsidRPr="00E04FAA" w:rsidRDefault="00B16D9A" w:rsidP="00FC3870">
          <w:pPr>
            <w:pStyle w:val="4"/>
            <w:numPr>
              <w:ilvl w:val="0"/>
              <w:numId w:val="29"/>
            </w:numPr>
            <w:rPr>
              <w:szCs w:val="21"/>
            </w:rPr>
          </w:pPr>
          <w:r w:rsidRPr="00E04FAA">
            <w:rPr>
              <w:szCs w:val="21"/>
            </w:rPr>
            <w:t>其他说明</w:t>
          </w:r>
        </w:p>
        <w:sdt>
          <w:sdtPr>
            <w:rPr>
              <w:rFonts w:hint="eastAsia"/>
              <w:szCs w:val="21"/>
            </w:rPr>
            <w:alias w:val="是否适用：资产及负债状况的其他说明[双击切换]"/>
            <w:tag w:val="_GBC_ba674147d80648fba521aedf33ce0b27"/>
            <w:id w:val="-301069113"/>
            <w:lock w:val="sdtContentLocked"/>
            <w:placeholder>
              <w:docPart w:val="4382D6A4720A42C7BB43B446FD01FB1E"/>
            </w:placeholder>
          </w:sdtPr>
          <w:sdtContent>
            <w:p w:rsidR="00B16D9A" w:rsidRPr="00E04FAA" w:rsidRDefault="00B16D9A" w:rsidP="004B559D">
              <w:pPr>
                <w:rPr>
                  <w:szCs w:val="21"/>
                </w:rPr>
              </w:pPr>
              <w:r w:rsidRPr="00E04FAA">
                <w:rPr>
                  <w:szCs w:val="21"/>
                </w:rPr>
                <w:fldChar w:fldCharType="begin"/>
              </w:r>
              <w:r w:rsidR="004B559D" w:rsidRPr="00E04FAA">
                <w:rPr>
                  <w:szCs w:val="21"/>
                </w:rPr>
                <w:instrText xml:space="preserve"> MACROBUTTON  SnrToggleCheckbox □适用 </w:instrText>
              </w:r>
              <w:r w:rsidRPr="00E04FAA">
                <w:rPr>
                  <w:szCs w:val="21"/>
                </w:rPr>
                <w:fldChar w:fldCharType="end"/>
              </w:r>
              <w:r w:rsidRPr="00E04FAA">
                <w:rPr>
                  <w:szCs w:val="21"/>
                </w:rPr>
                <w:fldChar w:fldCharType="begin"/>
              </w:r>
              <w:r w:rsidR="004B559D" w:rsidRPr="00E04FAA">
                <w:rPr>
                  <w:szCs w:val="21"/>
                </w:rPr>
                <w:instrText xml:space="preserve"> MACROBUTTON  SnrToggleCheckbox √不适用 </w:instrText>
              </w:r>
              <w:r w:rsidRPr="00E04FAA">
                <w:rPr>
                  <w:szCs w:val="21"/>
                </w:rPr>
                <w:fldChar w:fldCharType="end"/>
              </w:r>
            </w:p>
          </w:sdtContent>
        </w:sdt>
      </w:sdtContent>
    </w:sdt>
    <w:p w:rsidR="00883153" w:rsidRPr="00E04FAA" w:rsidRDefault="00883153"/>
    <w:p w:rsidR="00883153" w:rsidRPr="00E04FAA" w:rsidRDefault="00200151" w:rsidP="00FC3870">
      <w:pPr>
        <w:pStyle w:val="3"/>
        <w:numPr>
          <w:ilvl w:val="0"/>
          <w:numId w:val="7"/>
        </w:numPr>
      </w:pPr>
      <w:r w:rsidRPr="00E04FAA">
        <w:rPr>
          <w:rFonts w:hint="eastAsia"/>
        </w:rPr>
        <w:t>投资状况分析</w:t>
      </w:r>
    </w:p>
    <w:p w:rsidR="00883153" w:rsidRPr="00E04FAA" w:rsidRDefault="00200151" w:rsidP="00FC3870">
      <w:pPr>
        <w:pStyle w:val="4"/>
        <w:numPr>
          <w:ilvl w:val="0"/>
          <w:numId w:val="17"/>
        </w:numPr>
      </w:pPr>
      <w:r w:rsidRPr="00E04FAA">
        <w:t>对外股权投资总体分析</w:t>
      </w:r>
    </w:p>
    <w:sdt>
      <w:sdtPr>
        <w:alias w:val="模块:对外股权投资总体分析"/>
        <w:tag w:val="_SEC_e7a08c655c9844a8b5127e2ae800064c"/>
        <w:id w:val="1220323379"/>
        <w:lock w:val="sdtLocked"/>
        <w:placeholder>
          <w:docPart w:val="GBC22222222222222222222222222222"/>
        </w:placeholder>
      </w:sdtPr>
      <w:sdtEndPr>
        <w:rPr>
          <w:rFonts w:asciiTheme="minorEastAsia" w:eastAsiaTheme="minorEastAsia" w:hAnsiTheme="minorEastAsia" w:hint="eastAsia"/>
        </w:rPr>
      </w:sdtEndPr>
      <w:sdtContent>
        <w:sdt>
          <w:sdtPr>
            <w:alias w:val="是否适用：对外股权投资总体分析[双击切换]"/>
            <w:tag w:val="_GBC_d1852fb41d2a420f9f1d78c35235341a"/>
            <w:id w:val="-436290943"/>
            <w:lock w:val="sdtContentLocked"/>
            <w:placeholder>
              <w:docPart w:val="GBC22222222222222222222222222222"/>
            </w:placeholder>
          </w:sdtPr>
          <w:sdtContent>
            <w:p w:rsidR="00883153" w:rsidRPr="00E04FAA" w:rsidRDefault="00200151" w:rsidP="00A424B9">
              <w:r w:rsidRPr="00E04FAA">
                <w:fldChar w:fldCharType="begin"/>
              </w:r>
              <w:r w:rsidR="00A424B9" w:rsidRPr="00E04FAA">
                <w:instrText xml:space="preserve"> MACROBUTTON  SnrToggleCheckbox □适用 </w:instrText>
              </w:r>
              <w:r w:rsidRPr="00E04FAA">
                <w:fldChar w:fldCharType="end"/>
              </w:r>
              <w:r w:rsidRPr="00E04FAA">
                <w:fldChar w:fldCharType="begin"/>
              </w:r>
              <w:r w:rsidR="00A424B9" w:rsidRPr="00E04FAA">
                <w:instrText xml:space="preserve"> MACROBUTTON  SnrToggleCheckbox √不适用 </w:instrText>
              </w:r>
              <w:r w:rsidRPr="00E04FAA">
                <w:fldChar w:fldCharType="end"/>
              </w:r>
            </w:p>
          </w:sdtContent>
        </w:sdt>
        <w:p w:rsidR="00883153" w:rsidRPr="00E04FAA" w:rsidRDefault="000D0A99">
          <w:pPr>
            <w:rPr>
              <w:rFonts w:asciiTheme="minorEastAsia" w:eastAsiaTheme="minorEastAsia" w:hAnsiTheme="minorEastAsia"/>
            </w:rPr>
          </w:pPr>
        </w:p>
      </w:sdtContent>
    </w:sdt>
    <w:sdt>
      <w:sdtPr>
        <w:rPr>
          <w:rFonts w:ascii="宋体" w:hAnsi="宋体" w:cs="宋体" w:hint="eastAsia"/>
          <w:b w:val="0"/>
          <w:bCs w:val="0"/>
          <w:kern w:val="0"/>
          <w:szCs w:val="21"/>
        </w:rPr>
        <w:alias w:val="模块:重大的股权投资"/>
        <w:tag w:val="_SEC_72e4a7e3254a45e8898d094084d31b27"/>
        <w:id w:val="-1468353104"/>
        <w:lock w:val="sdtLocked"/>
        <w:placeholder>
          <w:docPart w:val="GBC22222222222222222222222222222"/>
        </w:placeholder>
      </w:sdtPr>
      <w:sdtEndPr>
        <w:rPr>
          <w:szCs w:val="24"/>
        </w:rPr>
      </w:sdtEndPr>
      <w:sdtContent>
        <w:p w:rsidR="00883153" w:rsidRPr="00E04FAA" w:rsidRDefault="00200151" w:rsidP="00FC3870">
          <w:pPr>
            <w:pStyle w:val="5"/>
            <w:numPr>
              <w:ilvl w:val="0"/>
              <w:numId w:val="18"/>
            </w:numPr>
            <w:rPr>
              <w:szCs w:val="21"/>
            </w:rPr>
          </w:pPr>
          <w:r w:rsidRPr="00E04FAA">
            <w:rPr>
              <w:rFonts w:hint="eastAsia"/>
              <w:szCs w:val="21"/>
            </w:rPr>
            <w:t>重大的股权投资</w:t>
          </w:r>
        </w:p>
        <w:sdt>
          <w:sdtPr>
            <w:rPr>
              <w:rFonts w:hint="eastAsia"/>
            </w:rPr>
            <w:alias w:val="是否适用：重大的股权投资[双击切换]"/>
            <w:tag w:val="_GBC_f8bfa224d9f34f9e99e6f78de51aa576"/>
            <w:id w:val="219881270"/>
            <w:lock w:val="sdtContentLocked"/>
            <w:placeholder>
              <w:docPart w:val="GBC22222222222222222222222222222"/>
            </w:placeholder>
          </w:sdtPr>
          <w:sdtContent>
            <w:p w:rsidR="00883153" w:rsidRPr="00E04FAA" w:rsidRDefault="00200151" w:rsidP="001A7B0D">
              <w:r w:rsidRPr="00E04FAA">
                <w:fldChar w:fldCharType="begin"/>
              </w:r>
              <w:r w:rsidR="001A7B0D" w:rsidRPr="00E04FAA">
                <w:instrText xml:space="preserve"> MACROBUTTON  SnrToggleCheckbox □适用 </w:instrText>
              </w:r>
              <w:r w:rsidRPr="00E04FAA">
                <w:fldChar w:fldCharType="end"/>
              </w:r>
              <w:r w:rsidRPr="00E04FAA">
                <w:fldChar w:fldCharType="begin"/>
              </w:r>
              <w:r w:rsidR="001A7B0D" w:rsidRPr="00E04FAA">
                <w:instrText xml:space="preserve"> MACROBUTTON  SnrToggleCheckbox √不适用 </w:instrText>
              </w:r>
              <w:r w:rsidRPr="00E04FAA">
                <w:fldChar w:fldCharType="end"/>
              </w:r>
            </w:p>
          </w:sdtContent>
        </w:sdt>
        <w:p w:rsidR="00883153" w:rsidRPr="00E04FAA" w:rsidRDefault="000D0A99"/>
      </w:sdtContent>
    </w:sdt>
    <w:sdt>
      <w:sdtPr>
        <w:rPr>
          <w:rFonts w:ascii="宋体" w:hAnsi="宋体" w:cs="宋体" w:hint="eastAsia"/>
          <w:b w:val="0"/>
          <w:bCs w:val="0"/>
          <w:kern w:val="0"/>
          <w:szCs w:val="21"/>
        </w:rPr>
        <w:alias w:val="模块:重大的非股权投资"/>
        <w:tag w:val="_SEC_ac9932f6d2bb4e35b86dbcc496bca6c4"/>
        <w:id w:val="-1715110174"/>
        <w:lock w:val="sdtLocked"/>
        <w:placeholder>
          <w:docPart w:val="GBC22222222222222222222222222222"/>
        </w:placeholder>
      </w:sdtPr>
      <w:sdtEndPr>
        <w:rPr>
          <w:szCs w:val="24"/>
        </w:rPr>
      </w:sdtEndPr>
      <w:sdtContent>
        <w:p w:rsidR="00883153" w:rsidRPr="00E04FAA" w:rsidRDefault="00200151" w:rsidP="00FC3870">
          <w:pPr>
            <w:pStyle w:val="5"/>
            <w:numPr>
              <w:ilvl w:val="0"/>
              <w:numId w:val="18"/>
            </w:numPr>
            <w:rPr>
              <w:szCs w:val="21"/>
            </w:rPr>
          </w:pPr>
          <w:r w:rsidRPr="00E04FAA">
            <w:rPr>
              <w:rFonts w:hint="eastAsia"/>
              <w:szCs w:val="21"/>
            </w:rPr>
            <w:t>重大的非股权投资</w:t>
          </w:r>
        </w:p>
        <w:sdt>
          <w:sdtPr>
            <w:rPr>
              <w:rFonts w:hint="eastAsia"/>
            </w:rPr>
            <w:alias w:val="是否适用：重大的非股权投资[双击切换]"/>
            <w:tag w:val="_GBC_ea7fdcb7583549f38c0db41e73af0a8b"/>
            <w:id w:val="-1807846953"/>
            <w:lock w:val="sdtContentLocked"/>
            <w:placeholder>
              <w:docPart w:val="GBC22222222222222222222222222222"/>
            </w:placeholder>
          </w:sdtPr>
          <w:sdtContent>
            <w:p w:rsidR="00883153" w:rsidRPr="00E04FAA" w:rsidRDefault="00200151" w:rsidP="001A7B0D">
              <w:r w:rsidRPr="00E04FAA">
                <w:fldChar w:fldCharType="begin"/>
              </w:r>
              <w:r w:rsidR="001A7B0D" w:rsidRPr="00E04FAA">
                <w:instrText xml:space="preserve"> MACROBUTTON  SnrToggleCheckbox □适用 </w:instrText>
              </w:r>
              <w:r w:rsidRPr="00E04FAA">
                <w:fldChar w:fldCharType="end"/>
              </w:r>
              <w:r w:rsidRPr="00E04FAA">
                <w:fldChar w:fldCharType="begin"/>
              </w:r>
              <w:r w:rsidR="001A7B0D" w:rsidRPr="00E04FAA">
                <w:instrText xml:space="preserve"> MACROBUTTON  SnrToggleCheckbox √不适用 </w:instrText>
              </w:r>
              <w:r w:rsidRPr="00E04FAA">
                <w:fldChar w:fldCharType="end"/>
              </w:r>
            </w:p>
          </w:sdtContent>
        </w:sdt>
        <w:p w:rsidR="00883153" w:rsidRPr="00E04FAA" w:rsidRDefault="000D0A99"/>
      </w:sdtContent>
    </w:sdt>
    <w:sdt>
      <w:sdtPr>
        <w:rPr>
          <w:rFonts w:ascii="宋体" w:hAnsi="宋体" w:cs="宋体" w:hint="eastAsia"/>
          <w:b w:val="0"/>
          <w:bCs w:val="0"/>
          <w:kern w:val="0"/>
          <w:szCs w:val="21"/>
        </w:rPr>
        <w:alias w:val="模块:以公允价值计量的金融资产"/>
        <w:tag w:val="_SEC_e1149f3e433f42c9895dce036b5525db"/>
        <w:id w:val="1111546213"/>
        <w:lock w:val="sdtLocked"/>
        <w:placeholder>
          <w:docPart w:val="GBC22222222222222222222222222222"/>
        </w:placeholder>
      </w:sdtPr>
      <w:sdtContent>
        <w:p w:rsidR="00883153" w:rsidRPr="00E04FAA" w:rsidRDefault="00200151" w:rsidP="00FC3870">
          <w:pPr>
            <w:pStyle w:val="5"/>
            <w:numPr>
              <w:ilvl w:val="0"/>
              <w:numId w:val="18"/>
            </w:numPr>
            <w:rPr>
              <w:szCs w:val="21"/>
            </w:rPr>
          </w:pPr>
          <w:r w:rsidRPr="00E04FAA">
            <w:rPr>
              <w:rFonts w:hint="eastAsia"/>
              <w:szCs w:val="21"/>
            </w:rPr>
            <w:t>以公允价值计量的金融资产</w:t>
          </w:r>
        </w:p>
        <w:sdt>
          <w:sdtPr>
            <w:rPr>
              <w:rFonts w:hint="eastAsia"/>
              <w:szCs w:val="21"/>
            </w:rPr>
            <w:alias w:val="是否适用：以公允价值计量的金融资产[双击切换]"/>
            <w:tag w:val="_GBC_b79a1e16dad54b258983c3fa6da7033b"/>
            <w:id w:val="-16932292"/>
            <w:lock w:val="sdtContentLocked"/>
            <w:placeholder>
              <w:docPart w:val="GBC22222222222222222222222222222"/>
            </w:placeholder>
          </w:sdtPr>
          <w:sdtContent>
            <w:p w:rsidR="00A424B9" w:rsidRPr="00E04FAA" w:rsidRDefault="00200151" w:rsidP="001A7B0D">
              <w:pPr>
                <w:rPr>
                  <w:szCs w:val="21"/>
                </w:rPr>
              </w:pPr>
              <w:r w:rsidRPr="00E04FAA">
                <w:rPr>
                  <w:szCs w:val="21"/>
                </w:rPr>
                <w:fldChar w:fldCharType="begin"/>
              </w:r>
              <w:r w:rsidR="00A424B9" w:rsidRPr="00E04FAA">
                <w:rPr>
                  <w:szCs w:val="21"/>
                </w:rPr>
                <w:instrText xml:space="preserve"> MACROBUTTON  SnrToggleCheckbox √适用 </w:instrText>
              </w:r>
              <w:r w:rsidRPr="00E04FAA">
                <w:rPr>
                  <w:szCs w:val="21"/>
                </w:rPr>
                <w:fldChar w:fldCharType="end"/>
              </w:r>
              <w:r w:rsidRPr="00E04FAA">
                <w:rPr>
                  <w:szCs w:val="21"/>
                </w:rPr>
                <w:fldChar w:fldCharType="begin"/>
              </w:r>
              <w:r w:rsidR="00A424B9" w:rsidRPr="00E04FAA">
                <w:rPr>
                  <w:szCs w:val="21"/>
                </w:rPr>
                <w:instrText xml:space="preserve"> MACROBUTTON  SnrToggleCheckbox □不适用 </w:instrText>
              </w:r>
              <w:r w:rsidRPr="00E04FAA">
                <w:rPr>
                  <w:szCs w:val="21"/>
                </w:rPr>
                <w:fldChar w:fldCharType="end"/>
              </w:r>
            </w:p>
          </w:sdtContent>
        </w:sdt>
        <w:sdt>
          <w:sdtPr>
            <w:rPr>
              <w:rFonts w:hint="eastAsia"/>
              <w:szCs w:val="21"/>
            </w:rPr>
            <w:alias w:val="以公允价值计量的金融资产情况"/>
            <w:tag w:val="_GBC_13d8538a1f944759907f2b446bfead94"/>
            <w:id w:val="1081570015"/>
            <w:lock w:val="sdtLocked"/>
            <w:placeholder>
              <w:docPart w:val="82C424284BFC4146A1023AD760A0FFE2"/>
            </w:placeholder>
          </w:sdtPr>
          <w:sdtContent>
            <w:p w:rsidR="004B559D" w:rsidRPr="00E04FAA" w:rsidRDefault="004B559D">
              <w:pPr>
                <w:rPr>
                  <w:szCs w:val="21"/>
                </w:rPr>
              </w:pPr>
            </w:p>
            <w:tbl>
              <w:tblPr>
                <w:tblStyle w:val="g1"/>
                <w:tblW w:w="8676" w:type="dxa"/>
                <w:tblInd w:w="108" w:type="dxa"/>
                <w:tblLayout w:type="fixed"/>
                <w:tblLook w:val="04A0" w:firstRow="1" w:lastRow="0" w:firstColumn="1" w:lastColumn="0" w:noHBand="0" w:noVBand="1"/>
              </w:tblPr>
              <w:tblGrid>
                <w:gridCol w:w="1872"/>
                <w:gridCol w:w="1616"/>
                <w:gridCol w:w="1657"/>
                <w:gridCol w:w="1985"/>
                <w:gridCol w:w="1546"/>
              </w:tblGrid>
              <w:tr w:rsidR="00F1625B" w:rsidRPr="00E04FAA" w:rsidTr="00F1625B">
                <w:trPr>
                  <w:trHeight w:val="648"/>
                </w:trPr>
                <w:tc>
                  <w:tcPr>
                    <w:tcW w:w="18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559D" w:rsidRPr="00E04FAA" w:rsidRDefault="004B559D" w:rsidP="00567368">
                    <w:pPr>
                      <w:widowControl w:val="0"/>
                      <w:jc w:val="center"/>
                      <w:rPr>
                        <w:sz w:val="20"/>
                        <w:szCs w:val="21"/>
                      </w:rPr>
                    </w:pPr>
                    <w:bookmarkStart w:id="30" w:name="_Hlk15808786"/>
                    <w:r w:rsidRPr="00E04FAA">
                      <w:rPr>
                        <w:rFonts w:hint="eastAsia"/>
                        <w:sz w:val="20"/>
                        <w:szCs w:val="21"/>
                      </w:rPr>
                      <w:t>项目名称</w:t>
                    </w:r>
                  </w:p>
                </w:tc>
                <w:tc>
                  <w:tcPr>
                    <w:tcW w:w="1616" w:type="dxa"/>
                    <w:tcBorders>
                      <w:top w:val="single" w:sz="4" w:space="0" w:color="auto"/>
                      <w:left w:val="nil"/>
                      <w:bottom w:val="single" w:sz="4" w:space="0" w:color="auto"/>
                      <w:right w:val="single" w:sz="4" w:space="0" w:color="auto"/>
                    </w:tcBorders>
                    <w:shd w:val="clear" w:color="auto" w:fill="auto"/>
                    <w:vAlign w:val="center"/>
                    <w:hideMark/>
                  </w:tcPr>
                  <w:p w:rsidR="004B559D" w:rsidRPr="00E04FAA" w:rsidRDefault="004B559D" w:rsidP="00567368">
                    <w:pPr>
                      <w:widowControl w:val="0"/>
                      <w:jc w:val="center"/>
                      <w:rPr>
                        <w:sz w:val="20"/>
                        <w:szCs w:val="21"/>
                      </w:rPr>
                    </w:pPr>
                    <w:r w:rsidRPr="00E04FAA">
                      <w:rPr>
                        <w:rFonts w:hint="eastAsia"/>
                        <w:sz w:val="20"/>
                        <w:szCs w:val="21"/>
                      </w:rPr>
                      <w:t>本报告期末</w:t>
                    </w:r>
                  </w:p>
                </w:tc>
                <w:tc>
                  <w:tcPr>
                    <w:tcW w:w="1657" w:type="dxa"/>
                    <w:tcBorders>
                      <w:top w:val="single" w:sz="4" w:space="0" w:color="auto"/>
                      <w:left w:val="nil"/>
                      <w:bottom w:val="single" w:sz="4" w:space="0" w:color="auto"/>
                      <w:right w:val="single" w:sz="4" w:space="0" w:color="auto"/>
                    </w:tcBorders>
                    <w:shd w:val="clear" w:color="auto" w:fill="auto"/>
                    <w:vAlign w:val="center"/>
                    <w:hideMark/>
                  </w:tcPr>
                  <w:p w:rsidR="004B559D" w:rsidRPr="00E04FAA" w:rsidRDefault="004B559D" w:rsidP="00567368">
                    <w:pPr>
                      <w:widowControl w:val="0"/>
                      <w:jc w:val="center"/>
                      <w:rPr>
                        <w:sz w:val="20"/>
                        <w:szCs w:val="21"/>
                      </w:rPr>
                    </w:pPr>
                    <w:r w:rsidRPr="00E04FAA">
                      <w:rPr>
                        <w:rFonts w:hint="eastAsia"/>
                        <w:sz w:val="20"/>
                        <w:szCs w:val="21"/>
                      </w:rPr>
                      <w:t>上年末</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4B559D" w:rsidRPr="00E04FAA" w:rsidRDefault="004B559D" w:rsidP="00567368">
                    <w:pPr>
                      <w:widowControl w:val="0"/>
                      <w:jc w:val="center"/>
                      <w:rPr>
                        <w:sz w:val="20"/>
                        <w:szCs w:val="21"/>
                      </w:rPr>
                    </w:pPr>
                    <w:r w:rsidRPr="00E04FAA">
                      <w:rPr>
                        <w:rFonts w:hint="eastAsia"/>
                        <w:sz w:val="20"/>
                        <w:szCs w:val="21"/>
                      </w:rPr>
                      <w:t>当期变动</w:t>
                    </w:r>
                  </w:p>
                </w:tc>
                <w:tc>
                  <w:tcPr>
                    <w:tcW w:w="1546" w:type="dxa"/>
                    <w:tcBorders>
                      <w:top w:val="single" w:sz="4" w:space="0" w:color="auto"/>
                      <w:left w:val="nil"/>
                      <w:bottom w:val="single" w:sz="4" w:space="0" w:color="auto"/>
                      <w:right w:val="single" w:sz="4" w:space="0" w:color="auto"/>
                    </w:tcBorders>
                    <w:shd w:val="clear" w:color="auto" w:fill="auto"/>
                    <w:vAlign w:val="center"/>
                    <w:hideMark/>
                  </w:tcPr>
                  <w:p w:rsidR="004B559D" w:rsidRPr="00E04FAA" w:rsidRDefault="004B559D" w:rsidP="00567368">
                    <w:pPr>
                      <w:widowControl w:val="0"/>
                      <w:jc w:val="center"/>
                      <w:rPr>
                        <w:sz w:val="20"/>
                        <w:szCs w:val="21"/>
                      </w:rPr>
                    </w:pPr>
                    <w:r w:rsidRPr="00E04FAA">
                      <w:rPr>
                        <w:rFonts w:hint="eastAsia"/>
                        <w:sz w:val="20"/>
                        <w:szCs w:val="21"/>
                      </w:rPr>
                      <w:t>对当期利润的影响金额</w:t>
                    </w:r>
                  </w:p>
                </w:tc>
              </w:tr>
              <w:tr w:rsidR="00F1625B" w:rsidRPr="00E04FAA" w:rsidTr="00A91011">
                <w:trPr>
                  <w:trHeight w:val="312"/>
                </w:trPr>
                <w:tc>
                  <w:tcPr>
                    <w:tcW w:w="1872" w:type="dxa"/>
                    <w:tcBorders>
                      <w:top w:val="nil"/>
                      <w:left w:val="single" w:sz="4" w:space="0" w:color="auto"/>
                      <w:bottom w:val="single" w:sz="4" w:space="0" w:color="auto"/>
                      <w:right w:val="single" w:sz="4" w:space="0" w:color="auto"/>
                    </w:tcBorders>
                    <w:shd w:val="clear" w:color="auto" w:fill="auto"/>
                    <w:vAlign w:val="center"/>
                    <w:hideMark/>
                  </w:tcPr>
                  <w:p w:rsidR="00644217" w:rsidRPr="00E04FAA" w:rsidRDefault="00644217" w:rsidP="00644217">
                    <w:pPr>
                      <w:widowControl w:val="0"/>
                      <w:rPr>
                        <w:sz w:val="20"/>
                        <w:szCs w:val="20"/>
                      </w:rPr>
                    </w:pPr>
                    <w:r w:rsidRPr="00E04FAA">
                      <w:rPr>
                        <w:rFonts w:hint="eastAsia"/>
                        <w:sz w:val="20"/>
                        <w:szCs w:val="20"/>
                      </w:rPr>
                      <w:t>交易性金融资产</w:t>
                    </w:r>
                  </w:p>
                </w:tc>
                <w:tc>
                  <w:tcPr>
                    <w:tcW w:w="1616" w:type="dxa"/>
                    <w:tcBorders>
                      <w:top w:val="nil"/>
                      <w:left w:val="nil"/>
                      <w:bottom w:val="single" w:sz="4" w:space="0" w:color="auto"/>
                      <w:right w:val="single" w:sz="4" w:space="0" w:color="auto"/>
                    </w:tcBorders>
                    <w:shd w:val="clear" w:color="auto" w:fill="auto"/>
                    <w:vAlign w:val="center"/>
                    <w:hideMark/>
                  </w:tcPr>
                  <w:p w:rsidR="00644217" w:rsidRPr="00E04FAA" w:rsidRDefault="00644217" w:rsidP="00644217">
                    <w:pPr>
                      <w:widowControl w:val="0"/>
                      <w:jc w:val="right"/>
                      <w:rPr>
                        <w:sz w:val="20"/>
                        <w:szCs w:val="20"/>
                      </w:rPr>
                    </w:pPr>
                    <w:r w:rsidRPr="00E04FAA">
                      <w:rPr>
                        <w:color w:val="000000"/>
                        <w:sz w:val="20"/>
                        <w:szCs w:val="20"/>
                      </w:rPr>
                      <w:t>1,221,635,881</w:t>
                    </w:r>
                  </w:p>
                </w:tc>
                <w:tc>
                  <w:tcPr>
                    <w:tcW w:w="1657" w:type="dxa"/>
                    <w:tcBorders>
                      <w:top w:val="nil"/>
                      <w:left w:val="nil"/>
                      <w:bottom w:val="single" w:sz="4" w:space="0" w:color="auto"/>
                      <w:right w:val="single" w:sz="4" w:space="0" w:color="auto"/>
                    </w:tcBorders>
                    <w:shd w:val="clear" w:color="auto" w:fill="auto"/>
                    <w:vAlign w:val="center"/>
                    <w:hideMark/>
                  </w:tcPr>
                  <w:p w:rsidR="00644217" w:rsidRPr="00E04FAA" w:rsidRDefault="00644217" w:rsidP="00644217">
                    <w:pPr>
                      <w:widowControl w:val="0"/>
                      <w:jc w:val="right"/>
                      <w:rPr>
                        <w:sz w:val="20"/>
                        <w:szCs w:val="20"/>
                      </w:rPr>
                    </w:pPr>
                    <w:r w:rsidRPr="00E04FAA">
                      <w:rPr>
                        <w:color w:val="000000"/>
                        <w:sz w:val="20"/>
                        <w:szCs w:val="20"/>
                      </w:rPr>
                      <w:t>0</w:t>
                    </w:r>
                  </w:p>
                </w:tc>
                <w:tc>
                  <w:tcPr>
                    <w:tcW w:w="1985" w:type="dxa"/>
                    <w:tcBorders>
                      <w:top w:val="nil"/>
                      <w:left w:val="nil"/>
                      <w:bottom w:val="single" w:sz="4" w:space="0" w:color="auto"/>
                      <w:right w:val="single" w:sz="4" w:space="0" w:color="auto"/>
                    </w:tcBorders>
                    <w:shd w:val="clear" w:color="auto" w:fill="auto"/>
                    <w:vAlign w:val="center"/>
                    <w:hideMark/>
                  </w:tcPr>
                  <w:p w:rsidR="00644217" w:rsidRPr="00E04FAA" w:rsidRDefault="00644217" w:rsidP="00644217">
                    <w:pPr>
                      <w:widowControl w:val="0"/>
                      <w:jc w:val="right"/>
                      <w:rPr>
                        <w:sz w:val="20"/>
                        <w:szCs w:val="20"/>
                      </w:rPr>
                    </w:pPr>
                    <w:r w:rsidRPr="00E04FAA">
                      <w:rPr>
                        <w:color w:val="000000"/>
                        <w:sz w:val="20"/>
                        <w:szCs w:val="20"/>
                      </w:rPr>
                      <w:t>1,221,635,881</w:t>
                    </w:r>
                  </w:p>
                </w:tc>
                <w:tc>
                  <w:tcPr>
                    <w:tcW w:w="1546" w:type="dxa"/>
                    <w:tcBorders>
                      <w:top w:val="nil"/>
                      <w:left w:val="nil"/>
                      <w:bottom w:val="single" w:sz="4" w:space="0" w:color="auto"/>
                      <w:right w:val="single" w:sz="4" w:space="0" w:color="auto"/>
                    </w:tcBorders>
                    <w:shd w:val="clear" w:color="auto" w:fill="auto"/>
                    <w:noWrap/>
                    <w:vAlign w:val="center"/>
                    <w:hideMark/>
                  </w:tcPr>
                  <w:p w:rsidR="00644217" w:rsidRPr="00E04FAA" w:rsidRDefault="00644217" w:rsidP="00644217">
                    <w:pPr>
                      <w:widowControl w:val="0"/>
                      <w:jc w:val="right"/>
                      <w:rPr>
                        <w:sz w:val="20"/>
                        <w:szCs w:val="20"/>
                      </w:rPr>
                    </w:pPr>
                    <w:r w:rsidRPr="00E04FAA">
                      <w:rPr>
                        <w:color w:val="000000"/>
                        <w:sz w:val="20"/>
                        <w:szCs w:val="20"/>
                      </w:rPr>
                      <w:t>11,543,083</w:t>
                    </w:r>
                  </w:p>
                </w:tc>
              </w:tr>
              <w:tr w:rsidR="00F1625B" w:rsidRPr="00E04FAA" w:rsidTr="00A91011">
                <w:trPr>
                  <w:trHeight w:val="312"/>
                </w:trPr>
                <w:tc>
                  <w:tcPr>
                    <w:tcW w:w="1872" w:type="dxa"/>
                    <w:tcBorders>
                      <w:top w:val="nil"/>
                      <w:left w:val="single" w:sz="4" w:space="0" w:color="auto"/>
                      <w:bottom w:val="single" w:sz="4" w:space="0" w:color="auto"/>
                      <w:right w:val="single" w:sz="4" w:space="0" w:color="auto"/>
                    </w:tcBorders>
                    <w:shd w:val="clear" w:color="auto" w:fill="auto"/>
                    <w:vAlign w:val="center"/>
                  </w:tcPr>
                  <w:p w:rsidR="00644217" w:rsidRPr="00E04FAA" w:rsidRDefault="00644217" w:rsidP="00644217">
                    <w:pPr>
                      <w:widowControl w:val="0"/>
                      <w:rPr>
                        <w:sz w:val="20"/>
                        <w:szCs w:val="20"/>
                      </w:rPr>
                    </w:pPr>
                    <w:r w:rsidRPr="00E04FAA">
                      <w:rPr>
                        <w:rFonts w:hint="eastAsia"/>
                        <w:sz w:val="20"/>
                        <w:szCs w:val="20"/>
                      </w:rPr>
                      <w:t>其他非流动金融资产</w:t>
                    </w:r>
                  </w:p>
                </w:tc>
                <w:tc>
                  <w:tcPr>
                    <w:tcW w:w="1616" w:type="dxa"/>
                    <w:tcBorders>
                      <w:top w:val="nil"/>
                      <w:left w:val="nil"/>
                      <w:bottom w:val="single" w:sz="4" w:space="0" w:color="auto"/>
                      <w:right w:val="single" w:sz="4" w:space="0" w:color="auto"/>
                    </w:tcBorders>
                    <w:shd w:val="clear" w:color="auto" w:fill="auto"/>
                    <w:vAlign w:val="center"/>
                  </w:tcPr>
                  <w:p w:rsidR="00644217" w:rsidRPr="00E04FAA" w:rsidRDefault="00644217" w:rsidP="00644217">
                    <w:pPr>
                      <w:widowControl w:val="0"/>
                      <w:jc w:val="right"/>
                      <w:rPr>
                        <w:sz w:val="20"/>
                        <w:szCs w:val="20"/>
                      </w:rPr>
                    </w:pPr>
                    <w:r w:rsidRPr="00E04FAA">
                      <w:rPr>
                        <w:color w:val="000000"/>
                        <w:sz w:val="20"/>
                        <w:szCs w:val="20"/>
                      </w:rPr>
                      <w:t>931,572,507</w:t>
                    </w:r>
                  </w:p>
                </w:tc>
                <w:tc>
                  <w:tcPr>
                    <w:tcW w:w="1657" w:type="dxa"/>
                    <w:tcBorders>
                      <w:top w:val="nil"/>
                      <w:left w:val="nil"/>
                      <w:bottom w:val="single" w:sz="4" w:space="0" w:color="auto"/>
                      <w:right w:val="single" w:sz="4" w:space="0" w:color="auto"/>
                    </w:tcBorders>
                    <w:shd w:val="clear" w:color="auto" w:fill="auto"/>
                    <w:vAlign w:val="center"/>
                  </w:tcPr>
                  <w:p w:rsidR="00644217" w:rsidRPr="00E04FAA" w:rsidRDefault="00644217" w:rsidP="00644217">
                    <w:pPr>
                      <w:widowControl w:val="0"/>
                      <w:jc w:val="right"/>
                      <w:rPr>
                        <w:sz w:val="20"/>
                        <w:szCs w:val="20"/>
                      </w:rPr>
                    </w:pPr>
                    <w:r w:rsidRPr="00E04FAA">
                      <w:rPr>
                        <w:color w:val="000000"/>
                        <w:sz w:val="20"/>
                        <w:szCs w:val="20"/>
                      </w:rPr>
                      <w:t>0</w:t>
                    </w:r>
                  </w:p>
                </w:tc>
                <w:tc>
                  <w:tcPr>
                    <w:tcW w:w="1985" w:type="dxa"/>
                    <w:tcBorders>
                      <w:top w:val="nil"/>
                      <w:left w:val="nil"/>
                      <w:bottom w:val="single" w:sz="4" w:space="0" w:color="auto"/>
                      <w:right w:val="single" w:sz="4" w:space="0" w:color="auto"/>
                    </w:tcBorders>
                    <w:shd w:val="clear" w:color="auto" w:fill="auto"/>
                    <w:vAlign w:val="center"/>
                  </w:tcPr>
                  <w:p w:rsidR="00644217" w:rsidRPr="00E04FAA" w:rsidRDefault="00644217" w:rsidP="00644217">
                    <w:pPr>
                      <w:widowControl w:val="0"/>
                      <w:jc w:val="right"/>
                      <w:rPr>
                        <w:sz w:val="20"/>
                        <w:szCs w:val="20"/>
                      </w:rPr>
                    </w:pPr>
                    <w:r w:rsidRPr="00E04FAA">
                      <w:rPr>
                        <w:color w:val="000000"/>
                        <w:sz w:val="20"/>
                        <w:szCs w:val="20"/>
                      </w:rPr>
                      <w:t>931,572,507</w:t>
                    </w:r>
                  </w:p>
                </w:tc>
                <w:tc>
                  <w:tcPr>
                    <w:tcW w:w="1546" w:type="dxa"/>
                    <w:tcBorders>
                      <w:top w:val="nil"/>
                      <w:left w:val="nil"/>
                      <w:bottom w:val="single" w:sz="4" w:space="0" w:color="auto"/>
                      <w:right w:val="single" w:sz="4" w:space="0" w:color="auto"/>
                    </w:tcBorders>
                    <w:shd w:val="clear" w:color="auto" w:fill="auto"/>
                    <w:noWrap/>
                    <w:vAlign w:val="center"/>
                  </w:tcPr>
                  <w:p w:rsidR="00644217" w:rsidRPr="00E04FAA" w:rsidRDefault="0050151B" w:rsidP="00644217">
                    <w:pPr>
                      <w:widowControl w:val="0"/>
                      <w:jc w:val="right"/>
                      <w:rPr>
                        <w:sz w:val="20"/>
                        <w:szCs w:val="20"/>
                      </w:rPr>
                    </w:pPr>
                    <w:r w:rsidRPr="00E04FAA">
                      <w:rPr>
                        <w:color w:val="000000"/>
                        <w:sz w:val="20"/>
                        <w:szCs w:val="20"/>
                      </w:rPr>
                      <w:t>31,648,519</w:t>
                    </w:r>
                  </w:p>
                </w:tc>
              </w:tr>
              <w:tr w:rsidR="00F1625B" w:rsidRPr="00E04FAA" w:rsidTr="00A91011">
                <w:trPr>
                  <w:trHeight w:val="312"/>
                </w:trPr>
                <w:tc>
                  <w:tcPr>
                    <w:tcW w:w="1872" w:type="dxa"/>
                    <w:tcBorders>
                      <w:top w:val="nil"/>
                      <w:left w:val="single" w:sz="4" w:space="0" w:color="auto"/>
                      <w:bottom w:val="single" w:sz="4" w:space="0" w:color="auto"/>
                      <w:right w:val="single" w:sz="4" w:space="0" w:color="auto"/>
                    </w:tcBorders>
                    <w:shd w:val="clear" w:color="auto" w:fill="auto"/>
                    <w:vAlign w:val="center"/>
                    <w:hideMark/>
                  </w:tcPr>
                  <w:p w:rsidR="00644217" w:rsidRPr="00E04FAA" w:rsidRDefault="00644217" w:rsidP="00644217">
                    <w:pPr>
                      <w:widowControl w:val="0"/>
                      <w:rPr>
                        <w:sz w:val="20"/>
                        <w:szCs w:val="20"/>
                      </w:rPr>
                    </w:pPr>
                    <w:r w:rsidRPr="00E04FAA">
                      <w:rPr>
                        <w:rFonts w:hint="eastAsia"/>
                        <w:color w:val="000000"/>
                        <w:sz w:val="20"/>
                        <w:szCs w:val="20"/>
                      </w:rPr>
                      <w:t>可供出售金融资产</w:t>
                    </w:r>
                  </w:p>
                </w:tc>
                <w:tc>
                  <w:tcPr>
                    <w:tcW w:w="1616" w:type="dxa"/>
                    <w:tcBorders>
                      <w:top w:val="nil"/>
                      <w:left w:val="nil"/>
                      <w:bottom w:val="single" w:sz="4" w:space="0" w:color="auto"/>
                      <w:right w:val="single" w:sz="4" w:space="0" w:color="auto"/>
                    </w:tcBorders>
                    <w:shd w:val="clear" w:color="auto" w:fill="auto"/>
                    <w:vAlign w:val="center"/>
                    <w:hideMark/>
                  </w:tcPr>
                  <w:p w:rsidR="00644217" w:rsidRPr="00E04FAA" w:rsidRDefault="00644217" w:rsidP="00644217">
                    <w:pPr>
                      <w:widowControl w:val="0"/>
                      <w:jc w:val="right"/>
                      <w:rPr>
                        <w:sz w:val="20"/>
                        <w:szCs w:val="20"/>
                      </w:rPr>
                    </w:pPr>
                    <w:r w:rsidRPr="00E04FAA">
                      <w:rPr>
                        <w:color w:val="000000"/>
                        <w:sz w:val="20"/>
                        <w:szCs w:val="20"/>
                      </w:rPr>
                      <w:t>0</w:t>
                    </w:r>
                  </w:p>
                </w:tc>
                <w:tc>
                  <w:tcPr>
                    <w:tcW w:w="1657" w:type="dxa"/>
                    <w:tcBorders>
                      <w:top w:val="nil"/>
                      <w:left w:val="nil"/>
                      <w:bottom w:val="single" w:sz="4" w:space="0" w:color="auto"/>
                      <w:right w:val="single" w:sz="4" w:space="0" w:color="auto"/>
                    </w:tcBorders>
                    <w:shd w:val="clear" w:color="auto" w:fill="auto"/>
                    <w:vAlign w:val="center"/>
                    <w:hideMark/>
                  </w:tcPr>
                  <w:p w:rsidR="00644217" w:rsidRPr="00E04FAA" w:rsidRDefault="00644217" w:rsidP="00644217">
                    <w:pPr>
                      <w:widowControl w:val="0"/>
                      <w:jc w:val="right"/>
                      <w:rPr>
                        <w:sz w:val="20"/>
                        <w:szCs w:val="20"/>
                      </w:rPr>
                    </w:pPr>
                    <w:r w:rsidRPr="00E04FAA">
                      <w:rPr>
                        <w:color w:val="000000"/>
                        <w:sz w:val="20"/>
                        <w:szCs w:val="20"/>
                      </w:rPr>
                      <w:t>167,713,557</w:t>
                    </w:r>
                  </w:p>
                </w:tc>
                <w:tc>
                  <w:tcPr>
                    <w:tcW w:w="1985" w:type="dxa"/>
                    <w:tcBorders>
                      <w:top w:val="nil"/>
                      <w:left w:val="nil"/>
                      <w:bottom w:val="single" w:sz="4" w:space="0" w:color="auto"/>
                      <w:right w:val="single" w:sz="4" w:space="0" w:color="auto"/>
                    </w:tcBorders>
                    <w:shd w:val="clear" w:color="auto" w:fill="auto"/>
                    <w:vAlign w:val="center"/>
                    <w:hideMark/>
                  </w:tcPr>
                  <w:p w:rsidR="00644217" w:rsidRPr="00E04FAA" w:rsidRDefault="00644217" w:rsidP="00644217">
                    <w:pPr>
                      <w:widowControl w:val="0"/>
                      <w:jc w:val="right"/>
                      <w:rPr>
                        <w:sz w:val="20"/>
                        <w:szCs w:val="20"/>
                      </w:rPr>
                    </w:pPr>
                    <w:r w:rsidRPr="00E04FAA">
                      <w:rPr>
                        <w:color w:val="000000"/>
                        <w:sz w:val="20"/>
                        <w:szCs w:val="20"/>
                      </w:rPr>
                      <w:t>-167,713,557</w:t>
                    </w:r>
                  </w:p>
                </w:tc>
                <w:tc>
                  <w:tcPr>
                    <w:tcW w:w="1546" w:type="dxa"/>
                    <w:tcBorders>
                      <w:top w:val="nil"/>
                      <w:left w:val="nil"/>
                      <w:bottom w:val="single" w:sz="4" w:space="0" w:color="auto"/>
                      <w:right w:val="single" w:sz="4" w:space="0" w:color="auto"/>
                    </w:tcBorders>
                    <w:shd w:val="clear" w:color="auto" w:fill="auto"/>
                    <w:noWrap/>
                    <w:vAlign w:val="center"/>
                    <w:hideMark/>
                  </w:tcPr>
                  <w:p w:rsidR="00644217" w:rsidRPr="00E04FAA" w:rsidRDefault="00644217" w:rsidP="00644217">
                    <w:pPr>
                      <w:widowControl w:val="0"/>
                      <w:jc w:val="right"/>
                      <w:rPr>
                        <w:sz w:val="20"/>
                        <w:szCs w:val="20"/>
                      </w:rPr>
                    </w:pPr>
                    <w:r w:rsidRPr="00E04FAA">
                      <w:rPr>
                        <w:rFonts w:hint="eastAsia"/>
                        <w:color w:val="000000"/>
                        <w:sz w:val="20"/>
                        <w:szCs w:val="20"/>
                      </w:rPr>
                      <w:t xml:space="preserve">　</w:t>
                    </w:r>
                  </w:p>
                </w:tc>
              </w:tr>
              <w:tr w:rsidR="00F1625B" w:rsidRPr="00E04FAA" w:rsidTr="00A91011">
                <w:trPr>
                  <w:trHeight w:val="312"/>
                </w:trPr>
                <w:tc>
                  <w:tcPr>
                    <w:tcW w:w="1872" w:type="dxa"/>
                    <w:tcBorders>
                      <w:top w:val="nil"/>
                      <w:left w:val="single" w:sz="4" w:space="0" w:color="auto"/>
                      <w:bottom w:val="single" w:sz="4" w:space="0" w:color="auto"/>
                      <w:right w:val="single" w:sz="4" w:space="0" w:color="auto"/>
                    </w:tcBorders>
                    <w:shd w:val="clear" w:color="auto" w:fill="auto"/>
                  </w:tcPr>
                  <w:p w:rsidR="00644217" w:rsidRPr="00E04FAA" w:rsidRDefault="00644217" w:rsidP="00644217">
                    <w:pPr>
                      <w:widowControl w:val="0"/>
                    </w:pPr>
                    <w:r w:rsidRPr="00E04FAA">
                      <w:rPr>
                        <w:rFonts w:hint="eastAsia"/>
                      </w:rPr>
                      <w:t>套期工具</w:t>
                    </w:r>
                  </w:p>
                </w:tc>
                <w:tc>
                  <w:tcPr>
                    <w:tcW w:w="1616" w:type="dxa"/>
                    <w:tcBorders>
                      <w:top w:val="nil"/>
                      <w:left w:val="nil"/>
                      <w:bottom w:val="single" w:sz="4" w:space="0" w:color="auto"/>
                      <w:right w:val="single" w:sz="4" w:space="0" w:color="auto"/>
                    </w:tcBorders>
                    <w:shd w:val="clear" w:color="auto" w:fill="auto"/>
                  </w:tcPr>
                  <w:p w:rsidR="00644217" w:rsidRPr="00E04FAA" w:rsidRDefault="00644217" w:rsidP="00644217">
                    <w:pPr>
                      <w:widowControl w:val="0"/>
                      <w:jc w:val="right"/>
                    </w:pPr>
                    <w:r w:rsidRPr="00E04FAA">
                      <w:t>-968,641</w:t>
                    </w:r>
                  </w:p>
                </w:tc>
                <w:tc>
                  <w:tcPr>
                    <w:tcW w:w="1657" w:type="dxa"/>
                    <w:tcBorders>
                      <w:top w:val="nil"/>
                      <w:left w:val="nil"/>
                      <w:bottom w:val="single" w:sz="4" w:space="0" w:color="auto"/>
                      <w:right w:val="single" w:sz="4" w:space="0" w:color="auto"/>
                    </w:tcBorders>
                    <w:shd w:val="clear" w:color="auto" w:fill="auto"/>
                  </w:tcPr>
                  <w:p w:rsidR="00644217" w:rsidRPr="00E04FAA" w:rsidRDefault="00644217" w:rsidP="00644217">
                    <w:pPr>
                      <w:widowControl w:val="0"/>
                      <w:jc w:val="right"/>
                    </w:pPr>
                    <w:r w:rsidRPr="00E04FAA">
                      <w:t>9,549,542</w:t>
                    </w:r>
                  </w:p>
                </w:tc>
                <w:tc>
                  <w:tcPr>
                    <w:tcW w:w="1985" w:type="dxa"/>
                    <w:tcBorders>
                      <w:top w:val="nil"/>
                      <w:left w:val="nil"/>
                      <w:bottom w:val="single" w:sz="4" w:space="0" w:color="auto"/>
                      <w:right w:val="single" w:sz="4" w:space="0" w:color="auto"/>
                    </w:tcBorders>
                    <w:shd w:val="clear" w:color="auto" w:fill="auto"/>
                  </w:tcPr>
                  <w:p w:rsidR="00644217" w:rsidRPr="00E04FAA" w:rsidRDefault="00644217" w:rsidP="00644217">
                    <w:pPr>
                      <w:widowControl w:val="0"/>
                      <w:jc w:val="right"/>
                    </w:pPr>
                    <w:r w:rsidRPr="00E04FAA">
                      <w:t>-10,518,183</w:t>
                    </w:r>
                  </w:p>
                </w:tc>
                <w:tc>
                  <w:tcPr>
                    <w:tcW w:w="1546" w:type="dxa"/>
                    <w:tcBorders>
                      <w:top w:val="nil"/>
                      <w:left w:val="nil"/>
                      <w:bottom w:val="single" w:sz="4" w:space="0" w:color="auto"/>
                      <w:right w:val="single" w:sz="4" w:space="0" w:color="auto"/>
                    </w:tcBorders>
                    <w:shd w:val="clear" w:color="auto" w:fill="auto"/>
                    <w:noWrap/>
                  </w:tcPr>
                  <w:p w:rsidR="00644217" w:rsidRPr="00E04FAA" w:rsidRDefault="00644217" w:rsidP="00644217">
                    <w:pPr>
                      <w:widowControl w:val="0"/>
                      <w:jc w:val="right"/>
                    </w:pPr>
                    <w:r w:rsidRPr="00E04FAA">
                      <w:t>-10,518,183</w:t>
                    </w:r>
                  </w:p>
                </w:tc>
              </w:tr>
              <w:tr w:rsidR="00F1625B" w:rsidRPr="00E04FAA" w:rsidTr="00A91011">
                <w:trPr>
                  <w:trHeight w:val="312"/>
                </w:trPr>
                <w:tc>
                  <w:tcPr>
                    <w:tcW w:w="1872" w:type="dxa"/>
                    <w:tcBorders>
                      <w:top w:val="nil"/>
                      <w:left w:val="single" w:sz="4" w:space="0" w:color="auto"/>
                      <w:bottom w:val="single" w:sz="4" w:space="0" w:color="auto"/>
                      <w:right w:val="single" w:sz="4" w:space="0" w:color="auto"/>
                    </w:tcBorders>
                    <w:shd w:val="clear" w:color="auto" w:fill="auto"/>
                    <w:hideMark/>
                  </w:tcPr>
                  <w:p w:rsidR="00D77F02" w:rsidRPr="00E04FAA" w:rsidRDefault="00D77F02" w:rsidP="00D77F02">
                    <w:pPr>
                      <w:widowControl w:val="0"/>
                      <w:jc w:val="center"/>
                      <w:rPr>
                        <w:sz w:val="20"/>
                        <w:szCs w:val="21"/>
                      </w:rPr>
                    </w:pPr>
                    <w:r w:rsidRPr="00E04FAA">
                      <w:rPr>
                        <w:rFonts w:hint="eastAsia"/>
                      </w:rPr>
                      <w:t>合计</w:t>
                    </w:r>
                  </w:p>
                </w:tc>
                <w:tc>
                  <w:tcPr>
                    <w:tcW w:w="1616" w:type="dxa"/>
                    <w:tcBorders>
                      <w:top w:val="nil"/>
                      <w:left w:val="nil"/>
                      <w:bottom w:val="single" w:sz="4" w:space="0" w:color="auto"/>
                      <w:right w:val="single" w:sz="4" w:space="0" w:color="auto"/>
                    </w:tcBorders>
                    <w:shd w:val="clear" w:color="auto" w:fill="auto"/>
                    <w:hideMark/>
                  </w:tcPr>
                  <w:p w:rsidR="00D77F02" w:rsidRPr="00E04FAA" w:rsidRDefault="00F1625B" w:rsidP="00D77F02">
                    <w:pPr>
                      <w:widowControl w:val="0"/>
                      <w:jc w:val="right"/>
                      <w:rPr>
                        <w:sz w:val="20"/>
                        <w:szCs w:val="21"/>
                      </w:rPr>
                    </w:pPr>
                    <w:r w:rsidRPr="00E04FAA">
                      <w:t>2,152,239,747</w:t>
                    </w:r>
                  </w:p>
                </w:tc>
                <w:tc>
                  <w:tcPr>
                    <w:tcW w:w="1657" w:type="dxa"/>
                    <w:tcBorders>
                      <w:top w:val="nil"/>
                      <w:left w:val="nil"/>
                      <w:bottom w:val="single" w:sz="4" w:space="0" w:color="auto"/>
                      <w:right w:val="single" w:sz="4" w:space="0" w:color="auto"/>
                    </w:tcBorders>
                    <w:shd w:val="clear" w:color="auto" w:fill="auto"/>
                    <w:hideMark/>
                  </w:tcPr>
                  <w:p w:rsidR="00D77F02" w:rsidRPr="00E04FAA" w:rsidRDefault="00F1625B" w:rsidP="00D77F02">
                    <w:pPr>
                      <w:widowControl w:val="0"/>
                      <w:jc w:val="right"/>
                      <w:rPr>
                        <w:sz w:val="20"/>
                        <w:szCs w:val="21"/>
                      </w:rPr>
                    </w:pPr>
                    <w:r w:rsidRPr="00E04FAA">
                      <w:t>177,263,099</w:t>
                    </w:r>
                  </w:p>
                </w:tc>
                <w:tc>
                  <w:tcPr>
                    <w:tcW w:w="1985" w:type="dxa"/>
                    <w:tcBorders>
                      <w:top w:val="nil"/>
                      <w:left w:val="nil"/>
                      <w:bottom w:val="single" w:sz="4" w:space="0" w:color="auto"/>
                      <w:right w:val="single" w:sz="4" w:space="0" w:color="auto"/>
                    </w:tcBorders>
                    <w:shd w:val="clear" w:color="auto" w:fill="auto"/>
                    <w:hideMark/>
                  </w:tcPr>
                  <w:p w:rsidR="00D77F02" w:rsidRPr="00E04FAA" w:rsidRDefault="00F1625B" w:rsidP="00D77F02">
                    <w:pPr>
                      <w:widowControl w:val="0"/>
                      <w:jc w:val="right"/>
                      <w:rPr>
                        <w:sz w:val="20"/>
                        <w:szCs w:val="21"/>
                      </w:rPr>
                    </w:pPr>
                    <w:r w:rsidRPr="00E04FAA">
                      <w:t>1,974,976,648</w:t>
                    </w:r>
                  </w:p>
                </w:tc>
                <w:tc>
                  <w:tcPr>
                    <w:tcW w:w="1546" w:type="dxa"/>
                    <w:tcBorders>
                      <w:top w:val="nil"/>
                      <w:left w:val="nil"/>
                      <w:bottom w:val="single" w:sz="4" w:space="0" w:color="auto"/>
                      <w:right w:val="single" w:sz="4" w:space="0" w:color="auto"/>
                    </w:tcBorders>
                    <w:shd w:val="clear" w:color="auto" w:fill="auto"/>
                    <w:hideMark/>
                  </w:tcPr>
                  <w:p w:rsidR="00D77F02" w:rsidRPr="00E04FAA" w:rsidRDefault="0050151B" w:rsidP="00D77F02">
                    <w:pPr>
                      <w:widowControl w:val="0"/>
                      <w:jc w:val="right"/>
                      <w:rPr>
                        <w:sz w:val="20"/>
                        <w:szCs w:val="21"/>
                      </w:rPr>
                    </w:pPr>
                    <w:r w:rsidRPr="00E04FAA">
                      <w:t>32,673,419</w:t>
                    </w:r>
                  </w:p>
                </w:tc>
              </w:tr>
              <w:bookmarkEnd w:id="30"/>
            </w:tbl>
          </w:sdtContent>
        </w:sdt>
      </w:sdtContent>
    </w:sdt>
    <w:p w:rsidR="00883153" w:rsidRPr="00E04FAA" w:rsidRDefault="00883153">
      <w:pPr>
        <w:rPr>
          <w:rFonts w:asciiTheme="minorEastAsia" w:eastAsiaTheme="minorEastAsia" w:hAnsiTheme="minorEastAsia"/>
        </w:rPr>
      </w:pPr>
    </w:p>
    <w:sdt>
      <w:sdtPr>
        <w:rPr>
          <w:rFonts w:asciiTheme="minorEastAsia" w:eastAsiaTheme="minorEastAsia" w:hAnsiTheme="minorEastAsia" w:cs="宋体"/>
          <w:b w:val="0"/>
          <w:bCs w:val="0"/>
          <w:kern w:val="0"/>
          <w:szCs w:val="24"/>
        </w:rPr>
        <w:alias w:val="模块:重大资产和股权出售"/>
        <w:tag w:val="_SEC_04b9238e9d184f1bab78bd58a24f46ef"/>
        <w:id w:val="-323976360"/>
        <w:lock w:val="sdtLocked"/>
        <w:placeholder>
          <w:docPart w:val="GBC22222222222222222222222222222"/>
        </w:placeholder>
      </w:sdtPr>
      <w:sdtEndPr>
        <w:rPr>
          <w:rFonts w:hint="eastAsia"/>
        </w:rPr>
      </w:sdtEndPr>
      <w:sdtContent>
        <w:p w:rsidR="00883153" w:rsidRPr="00E04FAA" w:rsidRDefault="00200151" w:rsidP="00FC3870">
          <w:pPr>
            <w:pStyle w:val="3"/>
            <w:numPr>
              <w:ilvl w:val="0"/>
              <w:numId w:val="7"/>
            </w:numPr>
            <w:rPr>
              <w:rFonts w:asciiTheme="minorEastAsia" w:eastAsiaTheme="minorEastAsia" w:hAnsiTheme="minorEastAsia"/>
            </w:rPr>
          </w:pPr>
          <w:r w:rsidRPr="00E04FAA">
            <w:rPr>
              <w:rFonts w:asciiTheme="minorEastAsia" w:eastAsiaTheme="minorEastAsia" w:hAnsiTheme="minorEastAsia"/>
            </w:rPr>
            <w:t>重大资产和股权出售</w:t>
          </w:r>
        </w:p>
        <w:sdt>
          <w:sdtPr>
            <w:rPr>
              <w:rFonts w:asciiTheme="minorEastAsia" w:eastAsiaTheme="minorEastAsia" w:hAnsiTheme="minorEastAsia" w:hint="eastAsia"/>
            </w:rPr>
            <w:alias w:val="是否适用：重大资产和股权出售[双击切换]"/>
            <w:tag w:val="_GBC_f566f251245e49238092032f065852be"/>
            <w:id w:val="1727180697"/>
            <w:lock w:val="sdtContentLocked"/>
            <w:placeholder>
              <w:docPart w:val="GBC22222222222222222222222222222"/>
            </w:placeholder>
          </w:sdtPr>
          <w:sdtContent>
            <w:p w:rsidR="00883153" w:rsidRPr="00E04FAA" w:rsidRDefault="00200151" w:rsidP="001A7B0D">
              <w:pPr>
                <w:rPr>
                  <w:rFonts w:asciiTheme="minorEastAsia" w:eastAsiaTheme="minorEastAsia" w:hAnsiTheme="minorEastAsia"/>
                </w:rPr>
              </w:pPr>
              <w:r w:rsidRPr="00E04FAA">
                <w:fldChar w:fldCharType="begin"/>
              </w:r>
              <w:r w:rsidR="001A7B0D" w:rsidRPr="00E04FAA">
                <w:instrText xml:space="preserve"> MACROBUTTON  SnrToggleCheckbox □适用 </w:instrText>
              </w:r>
              <w:r w:rsidRPr="00E04FAA">
                <w:fldChar w:fldCharType="end"/>
              </w:r>
              <w:r w:rsidRPr="00E04FAA">
                <w:fldChar w:fldCharType="begin"/>
              </w:r>
              <w:r w:rsidR="001A7B0D" w:rsidRPr="00E04FAA">
                <w:instrText xml:space="preserve"> MACROBUTTON  SnrToggleCheckbox √不适用 </w:instrText>
              </w:r>
              <w:r w:rsidRPr="00E04FAA">
                <w:fldChar w:fldCharType="end"/>
              </w:r>
            </w:p>
          </w:sdtContent>
        </w:sdt>
      </w:sdtContent>
    </w:sdt>
    <w:p w:rsidR="00883153" w:rsidRPr="00E04FAA" w:rsidRDefault="00883153">
      <w:pPr>
        <w:rPr>
          <w:rFonts w:asciiTheme="minorEastAsia" w:eastAsiaTheme="minorEastAsia" w:hAnsiTheme="minorEastAsia"/>
        </w:rPr>
      </w:pPr>
    </w:p>
    <w:sdt>
      <w:sdtPr>
        <w:rPr>
          <w:rFonts w:ascii="宋体" w:hAnsi="宋体" w:cs="宋体"/>
          <w:b w:val="0"/>
          <w:bCs w:val="0"/>
          <w:kern w:val="0"/>
          <w:szCs w:val="22"/>
        </w:rPr>
        <w:alias w:val="模块:主要控股参股公司分析"/>
        <w:tag w:val="_SEC_2a2bbe84e5b044d9b42284613cdb120d"/>
        <w:id w:val="953517061"/>
        <w:lock w:val="sdtLocked"/>
        <w:placeholder>
          <w:docPart w:val="GBC22222222222222222222222222222"/>
        </w:placeholder>
      </w:sdtPr>
      <w:sdtEndPr>
        <w:rPr>
          <w:rFonts w:hint="eastAsia"/>
          <w:szCs w:val="24"/>
        </w:rPr>
      </w:sdtEndPr>
      <w:sdtContent>
        <w:bookmarkStart w:id="31" w:name="_Hlk16633640" w:displacedByCustomXml="prev"/>
        <w:p w:rsidR="00883153" w:rsidRPr="00E04FAA" w:rsidRDefault="00200151" w:rsidP="00FC3870">
          <w:pPr>
            <w:pStyle w:val="3"/>
            <w:numPr>
              <w:ilvl w:val="0"/>
              <w:numId w:val="7"/>
            </w:numPr>
          </w:pPr>
          <w:r w:rsidRPr="00E04FAA">
            <w:rPr>
              <w:rFonts w:hint="eastAsia"/>
            </w:rPr>
            <w:t>主要控股</w:t>
          </w:r>
          <w:r w:rsidRPr="00E04FAA">
            <w:rPr>
              <w:rFonts w:asciiTheme="minorEastAsia" w:eastAsiaTheme="minorEastAsia" w:hAnsiTheme="minorEastAsia" w:hint="eastAsia"/>
            </w:rPr>
            <w:t>参股</w:t>
          </w:r>
          <w:r w:rsidRPr="00E04FAA">
            <w:rPr>
              <w:rFonts w:hint="eastAsia"/>
            </w:rPr>
            <w:t>公司分析</w:t>
          </w:r>
        </w:p>
        <w:sdt>
          <w:sdtPr>
            <w:alias w:val="是否适用：主要控股参股公司分析[双击切换]"/>
            <w:tag w:val="_GBC_3f3bd67865a44413bcd1143c0df7558d"/>
            <w:id w:val="833887468"/>
            <w:lock w:val="sdtContentLocked"/>
            <w:placeholder>
              <w:docPart w:val="GBC22222222222222222222222222222"/>
            </w:placeholder>
          </w:sdtPr>
          <w:sdtContent>
            <w:p w:rsidR="000765D1" w:rsidRPr="00E04FAA" w:rsidRDefault="00200151" w:rsidP="000765D1">
              <w:r w:rsidRPr="00E04FAA">
                <w:fldChar w:fldCharType="begin"/>
              </w:r>
              <w:r w:rsidR="000765D1" w:rsidRPr="00E04FAA">
                <w:instrText xml:space="preserve"> MACROBUTTON  SnrToggleCheckbox √适用 </w:instrText>
              </w:r>
              <w:r w:rsidRPr="00E04FAA">
                <w:fldChar w:fldCharType="end"/>
              </w:r>
              <w:r w:rsidRPr="00E04FAA">
                <w:fldChar w:fldCharType="begin"/>
              </w:r>
              <w:r w:rsidR="000765D1" w:rsidRPr="00E04FAA">
                <w:instrText xml:space="preserve"> MACROBUTTON  SnrToggleCheckbox □不适用 </w:instrText>
              </w:r>
              <w:r w:rsidRPr="00E04FAA">
                <w:fldChar w:fldCharType="end"/>
              </w:r>
            </w:p>
          </w:sdtContent>
        </w:sdt>
        <w:sdt>
          <w:sdtPr>
            <w:rPr>
              <w:rFonts w:hint="eastAsia"/>
            </w:rPr>
            <w:alias w:val="主要子公司、参股公司分析"/>
            <w:tag w:val="_GBC_839e73df2f5d460cbcde577c1623d15c"/>
            <w:id w:val="-944073047"/>
            <w:lock w:val="sdtLocked"/>
            <w:placeholder>
              <w:docPart w:val="E1EE4D1B5F2A4CA59B843FE248B34F24"/>
            </w:placeholder>
          </w:sdtPr>
          <w:sdtContent>
            <w:p w:rsidR="000765D1" w:rsidRPr="00E04FAA" w:rsidRDefault="000765D1"/>
            <w:tbl>
              <w:tblPr>
                <w:tblStyle w:val="a9"/>
                <w:tblW w:w="0" w:type="auto"/>
                <w:tblLayout w:type="fixed"/>
                <w:tblLook w:val="04A0" w:firstRow="1" w:lastRow="0" w:firstColumn="1" w:lastColumn="0" w:noHBand="0" w:noVBand="1"/>
              </w:tblPr>
              <w:tblGrid>
                <w:gridCol w:w="752"/>
                <w:gridCol w:w="1472"/>
                <w:gridCol w:w="909"/>
                <w:gridCol w:w="952"/>
                <w:gridCol w:w="1518"/>
                <w:gridCol w:w="1746"/>
                <w:gridCol w:w="1472"/>
              </w:tblGrid>
              <w:tr w:rsidR="000765D1" w:rsidRPr="00E04FAA" w:rsidTr="00122393">
                <w:tc>
                  <w:tcPr>
                    <w:tcW w:w="752" w:type="dxa"/>
                  </w:tcPr>
                  <w:p w:rsidR="000765D1" w:rsidRPr="00E04FAA" w:rsidRDefault="000765D1" w:rsidP="00122393">
                    <w:bookmarkStart w:id="32" w:name="_Hlk16633716"/>
                    <w:r w:rsidRPr="00E04FAA">
                      <w:rPr>
                        <w:rFonts w:hint="eastAsia"/>
                      </w:rPr>
                      <w:t>公司名称</w:t>
                    </w:r>
                  </w:p>
                </w:tc>
                <w:tc>
                  <w:tcPr>
                    <w:tcW w:w="1472" w:type="dxa"/>
                  </w:tcPr>
                  <w:p w:rsidR="000765D1" w:rsidRPr="00E04FAA" w:rsidRDefault="000765D1" w:rsidP="00122393">
                    <w:r w:rsidRPr="00E04FAA">
                      <w:t xml:space="preserve"> 注 册 资本(元） </w:t>
                    </w:r>
                  </w:p>
                </w:tc>
                <w:tc>
                  <w:tcPr>
                    <w:tcW w:w="909" w:type="dxa"/>
                  </w:tcPr>
                  <w:p w:rsidR="000765D1" w:rsidRPr="00E04FAA" w:rsidRDefault="000765D1" w:rsidP="00122393">
                    <w:r w:rsidRPr="00E04FAA">
                      <w:t>主 要 产品 或 服务</w:t>
                    </w:r>
                  </w:p>
                </w:tc>
                <w:tc>
                  <w:tcPr>
                    <w:tcW w:w="952" w:type="dxa"/>
                  </w:tcPr>
                  <w:p w:rsidR="000765D1" w:rsidRPr="00E04FAA" w:rsidRDefault="000765D1" w:rsidP="00122393">
                    <w:r w:rsidRPr="00E04FAA">
                      <w:t>公司直接持股比 例（%）</w:t>
                    </w:r>
                  </w:p>
                </w:tc>
                <w:tc>
                  <w:tcPr>
                    <w:tcW w:w="1518" w:type="dxa"/>
                  </w:tcPr>
                  <w:p w:rsidR="000765D1" w:rsidRPr="00E04FAA" w:rsidRDefault="000765D1" w:rsidP="00122393">
                    <w:r w:rsidRPr="00E04FAA">
                      <w:t>主 营 业务 收 入（元）</w:t>
                    </w:r>
                  </w:p>
                </w:tc>
                <w:tc>
                  <w:tcPr>
                    <w:tcW w:w="1746" w:type="dxa"/>
                  </w:tcPr>
                  <w:p w:rsidR="000765D1" w:rsidRPr="00E04FAA" w:rsidRDefault="000765D1" w:rsidP="00122393">
                    <w:r w:rsidRPr="00E04FAA">
                      <w:t>总 资 产（元）</w:t>
                    </w:r>
                  </w:p>
                </w:tc>
                <w:tc>
                  <w:tcPr>
                    <w:tcW w:w="1472" w:type="dxa"/>
                  </w:tcPr>
                  <w:p w:rsidR="000765D1" w:rsidRPr="00E04FAA" w:rsidRDefault="000765D1" w:rsidP="00122393">
                    <w:r w:rsidRPr="00E04FAA">
                      <w:t>净 利 润（ 净 亏损）</w:t>
                    </w:r>
                    <w:r w:rsidRPr="00E04FAA">
                      <w:rPr>
                        <w:rFonts w:hint="eastAsia"/>
                      </w:rPr>
                      <w:t>（</w:t>
                    </w:r>
                    <w:r w:rsidRPr="00E04FAA">
                      <w:t>元）</w:t>
                    </w:r>
                  </w:p>
                </w:tc>
              </w:tr>
              <w:tr w:rsidR="000765D1" w:rsidRPr="00E04FAA" w:rsidTr="00122393">
                <w:tc>
                  <w:tcPr>
                    <w:tcW w:w="752" w:type="dxa"/>
                  </w:tcPr>
                  <w:p w:rsidR="000765D1" w:rsidRPr="00E04FAA" w:rsidRDefault="000765D1" w:rsidP="00122393">
                    <w:r w:rsidRPr="00E04FAA">
                      <w:rPr>
                        <w:rFonts w:hint="eastAsia"/>
                      </w:rPr>
                      <w:t>北京用友政务软件股份有限公司</w:t>
                    </w:r>
                  </w:p>
                </w:tc>
                <w:tc>
                  <w:tcPr>
                    <w:tcW w:w="1472" w:type="dxa"/>
                  </w:tcPr>
                  <w:p w:rsidR="000765D1" w:rsidRPr="00E04FAA" w:rsidRDefault="000765D1" w:rsidP="00122393">
                    <w:pPr>
                      <w:jc w:val="left"/>
                    </w:pPr>
                    <w:r w:rsidRPr="00E04FAA">
                      <w:t xml:space="preserve">140,999,277 </w:t>
                    </w:r>
                  </w:p>
                </w:tc>
                <w:tc>
                  <w:tcPr>
                    <w:tcW w:w="909" w:type="dxa"/>
                  </w:tcPr>
                  <w:p w:rsidR="000765D1" w:rsidRPr="00E04FAA" w:rsidRDefault="000765D1" w:rsidP="00122393">
                    <w:r w:rsidRPr="00E04FAA">
                      <w:t>计 算 机软 / 硬件、技术咨询</w:t>
                    </w:r>
                  </w:p>
                </w:tc>
                <w:tc>
                  <w:tcPr>
                    <w:tcW w:w="952" w:type="dxa"/>
                  </w:tcPr>
                  <w:p w:rsidR="000765D1" w:rsidRPr="00E04FAA" w:rsidRDefault="000765D1" w:rsidP="00122393">
                    <w:pPr>
                      <w:jc w:val="right"/>
                    </w:pPr>
                    <w:r w:rsidRPr="00E04FAA">
                      <w:t>77.49</w:t>
                    </w:r>
                  </w:p>
                </w:tc>
                <w:tc>
                  <w:tcPr>
                    <w:tcW w:w="1518" w:type="dxa"/>
                  </w:tcPr>
                  <w:p w:rsidR="000765D1" w:rsidRPr="00E04FAA" w:rsidRDefault="000765D1" w:rsidP="00122393">
                    <w:pPr>
                      <w:jc w:val="right"/>
                    </w:pPr>
                    <w:r w:rsidRPr="00E04FAA">
                      <w:t>351,617,253</w:t>
                    </w:r>
                  </w:p>
                </w:tc>
                <w:tc>
                  <w:tcPr>
                    <w:tcW w:w="1746" w:type="dxa"/>
                  </w:tcPr>
                  <w:p w:rsidR="000765D1" w:rsidRPr="00E04FAA" w:rsidRDefault="000765D1" w:rsidP="00122393">
                    <w:pPr>
                      <w:jc w:val="right"/>
                    </w:pPr>
                    <w:r w:rsidRPr="00E04FAA">
                      <w:t>1,222,940,509</w:t>
                    </w:r>
                  </w:p>
                </w:tc>
                <w:tc>
                  <w:tcPr>
                    <w:tcW w:w="1472" w:type="dxa"/>
                  </w:tcPr>
                  <w:p w:rsidR="000765D1" w:rsidRPr="00E04FAA" w:rsidRDefault="000765D1" w:rsidP="00122393">
                    <w:pPr>
                      <w:jc w:val="right"/>
                    </w:pPr>
                    <w:r w:rsidRPr="00E04FAA">
                      <w:t>109,422,487</w:t>
                    </w:r>
                  </w:p>
                </w:tc>
              </w:tr>
              <w:tr w:rsidR="000765D1" w:rsidRPr="00E04FAA" w:rsidTr="00122393">
                <w:tc>
                  <w:tcPr>
                    <w:tcW w:w="752" w:type="dxa"/>
                  </w:tcPr>
                  <w:p w:rsidR="000765D1" w:rsidRPr="00E04FAA" w:rsidRDefault="000765D1" w:rsidP="00122393">
                    <w:r w:rsidRPr="00E04FAA">
                      <w:rPr>
                        <w:rFonts w:hint="eastAsia"/>
                      </w:rPr>
                      <w:t>用友汽车信息科技（上海）股份有限公司</w:t>
                    </w:r>
                  </w:p>
                </w:tc>
                <w:tc>
                  <w:tcPr>
                    <w:tcW w:w="1472" w:type="dxa"/>
                  </w:tcPr>
                  <w:p w:rsidR="000765D1" w:rsidRPr="00E04FAA" w:rsidRDefault="000765D1" w:rsidP="00122393">
                    <w:r w:rsidRPr="00E04FAA">
                      <w:t xml:space="preserve">102,000,000 </w:t>
                    </w:r>
                  </w:p>
                </w:tc>
                <w:tc>
                  <w:tcPr>
                    <w:tcW w:w="909" w:type="dxa"/>
                  </w:tcPr>
                  <w:p w:rsidR="000765D1" w:rsidRPr="00E04FAA" w:rsidRDefault="000765D1" w:rsidP="00122393">
                    <w:r w:rsidRPr="00E04FAA">
                      <w:t>计 算 机软件/系统集成/咨 询 行业</w:t>
                    </w:r>
                  </w:p>
                </w:tc>
                <w:tc>
                  <w:tcPr>
                    <w:tcW w:w="952" w:type="dxa"/>
                  </w:tcPr>
                  <w:p w:rsidR="000765D1" w:rsidRPr="00E04FAA" w:rsidRDefault="000765D1" w:rsidP="00122393">
                    <w:pPr>
                      <w:jc w:val="right"/>
                    </w:pPr>
                    <w:r w:rsidRPr="00E04FAA">
                      <w:t xml:space="preserve"> 80.39 </w:t>
                    </w:r>
                  </w:p>
                </w:tc>
                <w:tc>
                  <w:tcPr>
                    <w:tcW w:w="1518" w:type="dxa"/>
                  </w:tcPr>
                  <w:p w:rsidR="000765D1" w:rsidRPr="00E04FAA" w:rsidRDefault="000765D1" w:rsidP="00122393">
                    <w:pPr>
                      <w:jc w:val="right"/>
                    </w:pPr>
                    <w:r w:rsidRPr="00E04FAA">
                      <w:t>217,430,633</w:t>
                    </w:r>
                  </w:p>
                </w:tc>
                <w:tc>
                  <w:tcPr>
                    <w:tcW w:w="1746" w:type="dxa"/>
                  </w:tcPr>
                  <w:p w:rsidR="000765D1" w:rsidRPr="00E04FAA" w:rsidRDefault="000765D1" w:rsidP="00122393">
                    <w:pPr>
                      <w:jc w:val="right"/>
                    </w:pPr>
                    <w:r w:rsidRPr="00E04FAA">
                      <w:t>519,534,205</w:t>
                    </w:r>
                  </w:p>
                </w:tc>
                <w:tc>
                  <w:tcPr>
                    <w:tcW w:w="1472" w:type="dxa"/>
                  </w:tcPr>
                  <w:p w:rsidR="000765D1" w:rsidRPr="00E04FAA" w:rsidRDefault="000765D1" w:rsidP="00122393">
                    <w:pPr>
                      <w:jc w:val="right"/>
                    </w:pPr>
                    <w:r w:rsidRPr="00E04FAA">
                      <w:t>43,527,007</w:t>
                    </w:r>
                  </w:p>
                </w:tc>
              </w:tr>
              <w:tr w:rsidR="000765D1" w:rsidRPr="00E04FAA" w:rsidTr="00122393">
                <w:tc>
                  <w:tcPr>
                    <w:tcW w:w="752" w:type="dxa"/>
                  </w:tcPr>
                  <w:p w:rsidR="000765D1" w:rsidRPr="00E04FAA" w:rsidRDefault="000765D1" w:rsidP="00122393">
                    <w:r w:rsidRPr="00E04FAA">
                      <w:rPr>
                        <w:rFonts w:hint="eastAsia"/>
                      </w:rPr>
                      <w:t>用友金融信息技术有限公司</w:t>
                    </w:r>
                  </w:p>
                </w:tc>
                <w:tc>
                  <w:tcPr>
                    <w:tcW w:w="1472" w:type="dxa"/>
                  </w:tcPr>
                  <w:p w:rsidR="000765D1" w:rsidRPr="00E04FAA" w:rsidRDefault="000765D1" w:rsidP="00122393">
                    <w:r w:rsidRPr="00E04FAA">
                      <w:t xml:space="preserve">102,000,000 </w:t>
                    </w:r>
                  </w:p>
                </w:tc>
                <w:tc>
                  <w:tcPr>
                    <w:tcW w:w="909" w:type="dxa"/>
                  </w:tcPr>
                  <w:p w:rsidR="000765D1" w:rsidRPr="00E04FAA" w:rsidRDefault="000765D1" w:rsidP="00122393">
                    <w:r w:rsidRPr="00E04FAA">
                      <w:t>计 算 机软/硬件/网 络、技 术 咨询 及 电子行业</w:t>
                    </w:r>
                  </w:p>
                </w:tc>
                <w:tc>
                  <w:tcPr>
                    <w:tcW w:w="952" w:type="dxa"/>
                  </w:tcPr>
                  <w:p w:rsidR="000765D1" w:rsidRPr="00E04FAA" w:rsidRDefault="000765D1" w:rsidP="00122393">
                    <w:pPr>
                      <w:jc w:val="right"/>
                    </w:pPr>
                    <w:r w:rsidRPr="00E04FAA">
                      <w:t>78.43</w:t>
                    </w:r>
                  </w:p>
                </w:tc>
                <w:tc>
                  <w:tcPr>
                    <w:tcW w:w="1518" w:type="dxa"/>
                  </w:tcPr>
                  <w:p w:rsidR="000765D1" w:rsidRPr="00E04FAA" w:rsidRDefault="000765D1" w:rsidP="00122393">
                    <w:pPr>
                      <w:jc w:val="right"/>
                    </w:pPr>
                    <w:r w:rsidRPr="00E04FAA">
                      <w:t>100,031,380</w:t>
                    </w:r>
                  </w:p>
                </w:tc>
                <w:tc>
                  <w:tcPr>
                    <w:tcW w:w="1746" w:type="dxa"/>
                  </w:tcPr>
                  <w:p w:rsidR="000765D1" w:rsidRPr="00E04FAA" w:rsidRDefault="000765D1" w:rsidP="00122393">
                    <w:pPr>
                      <w:jc w:val="right"/>
                    </w:pPr>
                    <w:r w:rsidRPr="00E04FAA">
                      <w:t>266,666,821</w:t>
                    </w:r>
                  </w:p>
                </w:tc>
                <w:tc>
                  <w:tcPr>
                    <w:tcW w:w="1472" w:type="dxa"/>
                  </w:tcPr>
                  <w:p w:rsidR="000765D1" w:rsidRPr="00E04FAA" w:rsidRDefault="000765D1" w:rsidP="00122393">
                    <w:pPr>
                      <w:jc w:val="right"/>
                    </w:pPr>
                    <w:r w:rsidRPr="00E04FAA">
                      <w:t>-26,295,40</w:t>
                    </w:r>
                    <w:r w:rsidR="003C4714" w:rsidRPr="00E04FAA">
                      <w:t>0</w:t>
                    </w:r>
                  </w:p>
                </w:tc>
              </w:tr>
              <w:tr w:rsidR="000765D1" w:rsidRPr="00E04FAA" w:rsidTr="00122393">
                <w:tc>
                  <w:tcPr>
                    <w:tcW w:w="752" w:type="dxa"/>
                  </w:tcPr>
                  <w:p w:rsidR="000765D1" w:rsidRPr="00E04FAA" w:rsidRDefault="000765D1" w:rsidP="00122393">
                    <w:r w:rsidRPr="00E04FAA">
                      <w:rPr>
                        <w:rFonts w:hint="eastAsia"/>
                      </w:rPr>
                      <w:t>用友新道科技股份</w:t>
                    </w:r>
                    <w:r w:rsidRPr="00E04FAA">
                      <w:rPr>
                        <w:rFonts w:hint="eastAsia"/>
                      </w:rPr>
                      <w:lastRenderedPageBreak/>
                      <w:t>有限公司</w:t>
                    </w:r>
                  </w:p>
                </w:tc>
                <w:tc>
                  <w:tcPr>
                    <w:tcW w:w="1472" w:type="dxa"/>
                  </w:tcPr>
                  <w:p w:rsidR="000765D1" w:rsidRPr="00E04FAA" w:rsidRDefault="000765D1" w:rsidP="00122393">
                    <w:r w:rsidRPr="00E04FAA">
                      <w:lastRenderedPageBreak/>
                      <w:t xml:space="preserve">218,409,000 </w:t>
                    </w:r>
                  </w:p>
                </w:tc>
                <w:tc>
                  <w:tcPr>
                    <w:tcW w:w="909" w:type="dxa"/>
                  </w:tcPr>
                  <w:p w:rsidR="000765D1" w:rsidRPr="00E04FAA" w:rsidRDefault="000765D1" w:rsidP="00122393">
                    <w:r w:rsidRPr="00E04FAA">
                      <w:t>计 算 机软件/管理培训</w:t>
                    </w:r>
                  </w:p>
                </w:tc>
                <w:tc>
                  <w:tcPr>
                    <w:tcW w:w="952" w:type="dxa"/>
                  </w:tcPr>
                  <w:p w:rsidR="000765D1" w:rsidRPr="00E04FAA" w:rsidRDefault="000765D1" w:rsidP="00122393">
                    <w:pPr>
                      <w:jc w:val="right"/>
                    </w:pPr>
                    <w:r w:rsidRPr="00E04FAA">
                      <w:t>57.42</w:t>
                    </w:r>
                  </w:p>
                </w:tc>
                <w:tc>
                  <w:tcPr>
                    <w:tcW w:w="1518" w:type="dxa"/>
                  </w:tcPr>
                  <w:p w:rsidR="000765D1" w:rsidRPr="00E04FAA" w:rsidRDefault="000765D1" w:rsidP="00122393">
                    <w:pPr>
                      <w:jc w:val="right"/>
                    </w:pPr>
                    <w:r w:rsidRPr="00E04FAA">
                      <w:t>78,632,541</w:t>
                    </w:r>
                  </w:p>
                </w:tc>
                <w:tc>
                  <w:tcPr>
                    <w:tcW w:w="1746" w:type="dxa"/>
                  </w:tcPr>
                  <w:p w:rsidR="000765D1" w:rsidRPr="00E04FAA" w:rsidRDefault="000765D1" w:rsidP="00122393">
                    <w:pPr>
                      <w:jc w:val="right"/>
                    </w:pPr>
                    <w:r w:rsidRPr="00E04FAA">
                      <w:t>528,287,06</w:t>
                    </w:r>
                    <w:r w:rsidR="003C4714" w:rsidRPr="00E04FAA">
                      <w:t>8</w:t>
                    </w:r>
                  </w:p>
                </w:tc>
                <w:tc>
                  <w:tcPr>
                    <w:tcW w:w="1472" w:type="dxa"/>
                  </w:tcPr>
                  <w:p w:rsidR="000765D1" w:rsidRPr="00E04FAA" w:rsidRDefault="000765D1" w:rsidP="00122393">
                    <w:pPr>
                      <w:jc w:val="right"/>
                    </w:pPr>
                    <w:r w:rsidRPr="00E04FAA">
                      <w:t>15,449,423</w:t>
                    </w:r>
                  </w:p>
                </w:tc>
              </w:tr>
              <w:tr w:rsidR="000765D1" w:rsidRPr="00E04FAA" w:rsidTr="00122393">
                <w:tc>
                  <w:tcPr>
                    <w:tcW w:w="752" w:type="dxa"/>
                  </w:tcPr>
                  <w:p w:rsidR="000765D1" w:rsidRPr="00E04FAA" w:rsidRDefault="000765D1" w:rsidP="00122393">
                    <w:r w:rsidRPr="00E04FAA">
                      <w:t>畅捷通信息技术股份有限公</w:t>
                    </w:r>
                  </w:p>
                </w:tc>
                <w:tc>
                  <w:tcPr>
                    <w:tcW w:w="1472" w:type="dxa"/>
                  </w:tcPr>
                  <w:p w:rsidR="000765D1" w:rsidRPr="00E04FAA" w:rsidRDefault="000765D1" w:rsidP="00122393">
                    <w:r w:rsidRPr="00E04FAA">
                      <w:t xml:space="preserve">217,181,666 </w:t>
                    </w:r>
                  </w:p>
                </w:tc>
                <w:tc>
                  <w:tcPr>
                    <w:tcW w:w="909" w:type="dxa"/>
                  </w:tcPr>
                  <w:p w:rsidR="000765D1" w:rsidRPr="00E04FAA" w:rsidRDefault="000765D1" w:rsidP="00122393">
                    <w:r w:rsidRPr="00E04FAA">
                      <w:t>计 算 机软/硬件/耗 材、电子 行业</w:t>
                    </w:r>
                  </w:p>
                </w:tc>
                <w:tc>
                  <w:tcPr>
                    <w:tcW w:w="952" w:type="dxa"/>
                  </w:tcPr>
                  <w:p w:rsidR="000765D1" w:rsidRPr="00E04FAA" w:rsidRDefault="000765D1" w:rsidP="00122393">
                    <w:pPr>
                      <w:jc w:val="right"/>
                    </w:pPr>
                    <w:r w:rsidRPr="00E04FAA">
                      <w:t>71.84</w:t>
                    </w:r>
                  </w:p>
                </w:tc>
                <w:tc>
                  <w:tcPr>
                    <w:tcW w:w="1518" w:type="dxa"/>
                  </w:tcPr>
                  <w:p w:rsidR="000765D1" w:rsidRPr="00E04FAA" w:rsidRDefault="000765D1" w:rsidP="00122393">
                    <w:pPr>
                      <w:jc w:val="right"/>
                    </w:pPr>
                    <w:r w:rsidRPr="00E04FAA">
                      <w:t>262,418,714</w:t>
                    </w:r>
                  </w:p>
                </w:tc>
                <w:tc>
                  <w:tcPr>
                    <w:tcW w:w="1746" w:type="dxa"/>
                  </w:tcPr>
                  <w:p w:rsidR="000765D1" w:rsidRPr="00E04FAA" w:rsidRDefault="000765D1" w:rsidP="00122393">
                    <w:pPr>
                      <w:jc w:val="right"/>
                    </w:pPr>
                    <w:r w:rsidRPr="00E04FAA">
                      <w:t>1,627,639,660</w:t>
                    </w:r>
                  </w:p>
                </w:tc>
                <w:tc>
                  <w:tcPr>
                    <w:tcW w:w="1472" w:type="dxa"/>
                  </w:tcPr>
                  <w:p w:rsidR="000765D1" w:rsidRPr="00E04FAA" w:rsidRDefault="000765D1" w:rsidP="00122393">
                    <w:pPr>
                      <w:jc w:val="right"/>
                    </w:pPr>
                    <w:r w:rsidRPr="00E04FAA">
                      <w:t>91,887,174</w:t>
                    </w:r>
                  </w:p>
                </w:tc>
              </w:tr>
            </w:tbl>
            <w:p w:rsidR="000765D1" w:rsidRPr="00E04FAA" w:rsidRDefault="000D0A99"/>
            <w:bookmarkEnd w:id="32" w:displacedByCustomXml="next"/>
          </w:sdtContent>
        </w:sdt>
        <w:p w:rsidR="000E0269" w:rsidRPr="00E04FAA" w:rsidRDefault="000D0A99" w:rsidP="000765D1"/>
      </w:sdtContent>
    </w:sdt>
    <w:bookmarkEnd w:id="31"/>
    <w:p w:rsidR="00883153" w:rsidRPr="00E04FAA" w:rsidRDefault="00883153"/>
    <w:sdt>
      <w:sdtPr>
        <w:rPr>
          <w:rFonts w:ascii="宋体" w:hAnsi="宋体" w:cs="宋体"/>
          <w:b w:val="0"/>
          <w:bCs w:val="0"/>
          <w:kern w:val="0"/>
          <w:szCs w:val="24"/>
        </w:rPr>
        <w:alias w:val="模块:公司控制的结构化主体情况"/>
        <w:tag w:val="_SEC_1ac5f271c9c14f569093b3be96ecc8d2"/>
        <w:id w:val="1763172791"/>
        <w:lock w:val="sdtLocked"/>
        <w:placeholder>
          <w:docPart w:val="GBC22222222222222222222222222222"/>
        </w:placeholder>
      </w:sdtPr>
      <w:sdtContent>
        <w:p w:rsidR="00883153" w:rsidRPr="00E04FAA" w:rsidRDefault="00200151" w:rsidP="00FC3870">
          <w:pPr>
            <w:pStyle w:val="3"/>
            <w:numPr>
              <w:ilvl w:val="0"/>
              <w:numId w:val="7"/>
            </w:numPr>
          </w:pPr>
          <w:r w:rsidRPr="00E04FAA">
            <w:t>公司控制的结构化主体情况</w:t>
          </w:r>
        </w:p>
        <w:sdt>
          <w:sdtPr>
            <w:rPr>
              <w:rFonts w:hint="eastAsia"/>
            </w:rPr>
            <w:alias w:val="是否适用：公司控制的结构化主体情况[双击切换]"/>
            <w:tag w:val="_GBC_6dee8f13bc9a4596ad3e5af6f90f0b8b"/>
            <w:id w:val="228504787"/>
            <w:lock w:val="sdtContentLocked"/>
            <w:placeholder>
              <w:docPart w:val="GBC22222222222222222222222222222"/>
            </w:placeholder>
          </w:sdtPr>
          <w:sdtContent>
            <w:p w:rsidR="00883153" w:rsidRPr="00E04FAA" w:rsidRDefault="00200151" w:rsidP="001A7B0D">
              <w:r w:rsidRPr="00E04FAA">
                <w:fldChar w:fldCharType="begin"/>
              </w:r>
              <w:r w:rsidR="001A7B0D" w:rsidRPr="00E04FAA">
                <w:instrText xml:space="preserve"> MACROBUTTON  SnrToggleCheckbox □适用 </w:instrText>
              </w:r>
              <w:r w:rsidRPr="00E04FAA">
                <w:fldChar w:fldCharType="end"/>
              </w:r>
              <w:r w:rsidRPr="00E04FAA">
                <w:fldChar w:fldCharType="begin"/>
              </w:r>
              <w:r w:rsidR="001A7B0D" w:rsidRPr="00E04FAA">
                <w:instrText xml:space="preserve"> MACROBUTTON  SnrToggleCheckbox √不适用 </w:instrText>
              </w:r>
              <w:r w:rsidRPr="00E04FAA">
                <w:fldChar w:fldCharType="end"/>
              </w:r>
            </w:p>
          </w:sdtContent>
        </w:sdt>
      </w:sdtContent>
    </w:sdt>
    <w:p w:rsidR="00883153" w:rsidRPr="00E04FAA" w:rsidRDefault="00883153"/>
    <w:p w:rsidR="00883153" w:rsidRPr="00E04FAA" w:rsidRDefault="00200151" w:rsidP="00FC3870">
      <w:pPr>
        <w:pStyle w:val="2"/>
        <w:numPr>
          <w:ilvl w:val="0"/>
          <w:numId w:val="16"/>
        </w:numPr>
        <w:spacing w:line="360" w:lineRule="auto"/>
      </w:pPr>
      <w:r w:rsidRPr="00E04FAA">
        <w:rPr>
          <w:rFonts w:hint="eastAsia"/>
        </w:rPr>
        <w:t>其他披露事项</w:t>
      </w:r>
    </w:p>
    <w:sdt>
      <w:sdtPr>
        <w:rPr>
          <w:rFonts w:ascii="宋体" w:hAnsi="宋体" w:cs="宋体"/>
          <w:b w:val="0"/>
          <w:bCs w:val="0"/>
          <w:kern w:val="0"/>
          <w:szCs w:val="24"/>
        </w:rPr>
        <w:alias w:val="模块:预测年初至下一报告期期末的累计净利润可能为亏损或者与上年同期相比发生大幅度变动的警示及说明"/>
        <w:tag w:val="_SEC_69129d38b7d94d03aaf945ee5c158c25"/>
        <w:id w:val="1669439488"/>
        <w:lock w:val="sdtLocked"/>
        <w:placeholder>
          <w:docPart w:val="GBC22222222222222222222222222222"/>
        </w:placeholder>
      </w:sdtPr>
      <w:sdtContent>
        <w:p w:rsidR="00883153" w:rsidRPr="00E04FAA" w:rsidRDefault="00200151" w:rsidP="00FC3870">
          <w:pPr>
            <w:pStyle w:val="3"/>
            <w:numPr>
              <w:ilvl w:val="0"/>
              <w:numId w:val="26"/>
            </w:numPr>
          </w:pPr>
          <w:r w:rsidRPr="00E04FAA">
            <w:t>预测年初至下一报告期期末的累计净利润可能为亏损或者与上年同期相比发生大幅度变动的警示及说明</w:t>
          </w:r>
        </w:p>
        <w:sdt>
          <w:sdtPr>
            <w:alias w:val="是否适用：预测年初至下一报告期期末的累计净利润可能为亏损或者与上年同期相比发生大幅度变动的警示及说明[双击切换]"/>
            <w:tag w:val="_GBC_960ddb23677d458dac0c0bec3fbd79cd"/>
            <w:id w:val="-1823729368"/>
            <w:lock w:val="sdtContentLocked"/>
            <w:placeholder>
              <w:docPart w:val="GBC22222222222222222222222222222"/>
            </w:placeholder>
          </w:sdtPr>
          <w:sdtContent>
            <w:p w:rsidR="00883153" w:rsidRPr="00E04FAA" w:rsidRDefault="00200151" w:rsidP="00A424B9">
              <w:r w:rsidRPr="00E04FAA">
                <w:fldChar w:fldCharType="begin"/>
              </w:r>
              <w:r w:rsidR="00A424B9" w:rsidRPr="00E04FAA">
                <w:instrText xml:space="preserve"> MACROBUTTON  SnrToggleCheckbox □适用 </w:instrText>
              </w:r>
              <w:r w:rsidRPr="00E04FAA">
                <w:fldChar w:fldCharType="end"/>
              </w:r>
              <w:r w:rsidRPr="00E04FAA">
                <w:fldChar w:fldCharType="begin"/>
              </w:r>
              <w:r w:rsidR="00A424B9" w:rsidRPr="00E04FAA">
                <w:instrText xml:space="preserve"> MACROBUTTON  SnrToggleCheckbox √不适用 </w:instrText>
              </w:r>
              <w:r w:rsidRPr="00E04FAA">
                <w:fldChar w:fldCharType="end"/>
              </w:r>
            </w:p>
          </w:sdtContent>
        </w:sdt>
        <w:p w:rsidR="00883153" w:rsidRPr="00E04FAA" w:rsidRDefault="000D0A99"/>
      </w:sdtContent>
    </w:sdt>
    <w:sdt>
      <w:sdtPr>
        <w:rPr>
          <w:rFonts w:ascii="宋体" w:hAnsi="宋体" w:cs="宋体"/>
          <w:b w:val="0"/>
          <w:bCs w:val="0"/>
          <w:kern w:val="0"/>
          <w:szCs w:val="24"/>
        </w:rPr>
        <w:alias w:val="模块:可能面对的风险"/>
        <w:tag w:val="_SEC_81e2de17d1214ba3b0e3ff89b6c2b65d"/>
        <w:id w:val="-1145508827"/>
        <w:lock w:val="sdtLocked"/>
        <w:placeholder>
          <w:docPart w:val="GBC22222222222222222222222222222"/>
        </w:placeholder>
      </w:sdtPr>
      <w:sdtEndPr>
        <w:rPr>
          <w:rFonts w:hint="eastAsia"/>
        </w:rPr>
      </w:sdtEndPr>
      <w:sdtContent>
        <w:p w:rsidR="00883153" w:rsidRPr="00E04FAA" w:rsidRDefault="00200151" w:rsidP="00FC3870">
          <w:pPr>
            <w:pStyle w:val="3"/>
            <w:numPr>
              <w:ilvl w:val="0"/>
              <w:numId w:val="26"/>
            </w:numPr>
          </w:pPr>
          <w:r w:rsidRPr="00E04FAA">
            <w:t>可能面对的风险</w:t>
          </w:r>
        </w:p>
        <w:sdt>
          <w:sdtPr>
            <w:rPr>
              <w:rFonts w:hint="eastAsia"/>
            </w:rPr>
            <w:alias w:val="是否适用：可能面对的风险[双击切换]"/>
            <w:tag w:val="_GBC_2a971d8ab5884d3eb5547ede4e1e17c9"/>
            <w:id w:val="1996302075"/>
            <w:lock w:val="sdtContentLocked"/>
            <w:placeholder>
              <w:docPart w:val="GBC22222222222222222222222222222"/>
            </w:placeholder>
          </w:sdtPr>
          <w:sdtContent>
            <w:p w:rsidR="00883153" w:rsidRPr="00E04FAA" w:rsidRDefault="00200151">
              <w:r w:rsidRPr="00E04FAA">
                <w:fldChar w:fldCharType="begin"/>
              </w:r>
              <w:r w:rsidR="00A424B9" w:rsidRPr="00E04FAA">
                <w:instrText xml:space="preserve"> MACROBUTTON  SnrToggleCheckbox √适用 </w:instrText>
              </w:r>
              <w:r w:rsidRPr="00E04FAA">
                <w:fldChar w:fldCharType="end"/>
              </w:r>
              <w:r w:rsidRPr="00E04FAA">
                <w:fldChar w:fldCharType="begin"/>
              </w:r>
              <w:r w:rsidRPr="00E04FAA">
                <w:instrText xml:space="preserve"> MACROBUTTON  SnrToggleCheckbox □不适用 </w:instrText>
              </w:r>
              <w:r w:rsidRPr="00E04FAA">
                <w:fldChar w:fldCharType="end"/>
              </w:r>
            </w:p>
          </w:sdtContent>
        </w:sdt>
        <w:sdt>
          <w:sdtPr>
            <w:rPr>
              <w:rFonts w:hint="eastAsia"/>
            </w:rPr>
            <w:alias w:val="公司可能面对的风险"/>
            <w:tag w:val="_GBC_6e03b01ba4f1453dbc563404b41bfdbc"/>
            <w:id w:val="-959725137"/>
            <w:lock w:val="sdtLocked"/>
            <w:placeholder>
              <w:docPart w:val="GBC22222222222222222222222222222"/>
            </w:placeholder>
          </w:sdtPr>
          <w:sdtContent>
            <w:p w:rsidR="00883153" w:rsidRPr="00E04FAA" w:rsidRDefault="00A424B9">
              <w:r w:rsidRPr="00E04FAA">
                <w:rPr>
                  <w:rFonts w:hint="eastAsia"/>
                </w:rPr>
                <w:t>报告期内公司可能面对的风险详见</w:t>
              </w:r>
              <w:r w:rsidR="00F608B2" w:rsidRPr="00E04FAA">
                <w:rPr>
                  <w:rFonts w:hint="eastAsia"/>
                </w:rPr>
                <w:t>本报告第四节“一、经营情况的讨论与分析”</w:t>
              </w:r>
              <w:r w:rsidR="004C4745" w:rsidRPr="00E04FAA">
                <w:rPr>
                  <w:rFonts w:hint="eastAsia"/>
                </w:rPr>
                <w:t>中“（</w:t>
              </w:r>
              <w:r w:rsidR="00F608B2" w:rsidRPr="00E04FAA">
                <w:t>四</w:t>
              </w:r>
              <w:r w:rsidR="004C4745" w:rsidRPr="00E04FAA">
                <w:rPr>
                  <w:rFonts w:hint="eastAsia"/>
                </w:rPr>
                <w:t>）</w:t>
              </w:r>
              <w:r w:rsidR="00F608B2" w:rsidRPr="00E04FAA">
                <w:rPr>
                  <w:rFonts w:hint="eastAsia"/>
                </w:rPr>
                <w:t>可能面对的风险及应对措施</w:t>
              </w:r>
              <w:r w:rsidR="004C4745" w:rsidRPr="00E04FAA">
                <w:rPr>
                  <w:rFonts w:hint="eastAsia"/>
                </w:rPr>
                <w:t>”。</w:t>
              </w:r>
            </w:p>
          </w:sdtContent>
        </w:sdt>
      </w:sdtContent>
    </w:sdt>
    <w:p w:rsidR="00883153" w:rsidRPr="00E04FAA" w:rsidRDefault="00883153"/>
    <w:sdt>
      <w:sdtPr>
        <w:rPr>
          <w:rFonts w:ascii="宋体" w:hAnsi="宋体" w:cs="宋体"/>
          <w:b w:val="0"/>
          <w:bCs w:val="0"/>
          <w:kern w:val="0"/>
          <w:szCs w:val="24"/>
        </w:rPr>
        <w:alias w:val="模块:其他披露事项"/>
        <w:tag w:val="_SEC_2d00d0d8a1b7409b884a0beb6a447e0d"/>
        <w:id w:val="-1394656007"/>
        <w:lock w:val="sdtLocked"/>
        <w:placeholder>
          <w:docPart w:val="GBC22222222222222222222222222222"/>
        </w:placeholder>
      </w:sdtPr>
      <w:sdtContent>
        <w:p w:rsidR="00883153" w:rsidRPr="00E04FAA" w:rsidRDefault="00200151" w:rsidP="00FC3870">
          <w:pPr>
            <w:pStyle w:val="3"/>
            <w:numPr>
              <w:ilvl w:val="0"/>
              <w:numId w:val="26"/>
            </w:numPr>
          </w:pPr>
          <w:r w:rsidRPr="00E04FAA">
            <w:t>其他披露事项</w:t>
          </w:r>
        </w:p>
        <w:sdt>
          <w:sdtPr>
            <w:rPr>
              <w:rFonts w:hint="eastAsia"/>
            </w:rPr>
            <w:alias w:val="是否适用：董事会其他需要披露的事项[双击切换]"/>
            <w:tag w:val="_GBC_4bd5ba6bf4044aee9ecd40a0c2fc29bf"/>
            <w:id w:val="-1245562773"/>
            <w:lock w:val="sdtContentLocked"/>
            <w:placeholder>
              <w:docPart w:val="GBC22222222222222222222222222222"/>
            </w:placeholder>
          </w:sdtPr>
          <w:sdtContent>
            <w:p w:rsidR="00883153" w:rsidRPr="00E04FAA" w:rsidRDefault="00200151" w:rsidP="00A424B9">
              <w:r w:rsidRPr="00E04FAA">
                <w:fldChar w:fldCharType="begin"/>
              </w:r>
              <w:r w:rsidR="00A424B9" w:rsidRPr="00E04FAA">
                <w:instrText xml:space="preserve"> MACROBUTTON  SnrToggleCheckbox □适用 </w:instrText>
              </w:r>
              <w:r w:rsidRPr="00E04FAA">
                <w:fldChar w:fldCharType="end"/>
              </w:r>
              <w:r w:rsidRPr="00E04FAA">
                <w:fldChar w:fldCharType="begin"/>
              </w:r>
              <w:r w:rsidR="00A424B9" w:rsidRPr="00E04FAA">
                <w:instrText xml:space="preserve"> MACROBUTTON  SnrToggleCheckbox √不适用 </w:instrText>
              </w:r>
              <w:r w:rsidRPr="00E04FAA">
                <w:fldChar w:fldCharType="end"/>
              </w:r>
            </w:p>
          </w:sdtContent>
        </w:sdt>
      </w:sdtContent>
    </w:sdt>
    <w:bookmarkEnd w:id="26"/>
    <w:bookmarkEnd w:id="27"/>
    <w:p w:rsidR="00883153" w:rsidRPr="00E04FAA" w:rsidRDefault="00883153"/>
    <w:p w:rsidR="00883153" w:rsidRPr="00E04FAA" w:rsidRDefault="00200151">
      <w:pPr>
        <w:pStyle w:val="10"/>
        <w:numPr>
          <w:ilvl w:val="0"/>
          <w:numId w:val="3"/>
        </w:numPr>
      </w:pPr>
      <w:bookmarkStart w:id="33" w:name="_Toc484510568"/>
      <w:r w:rsidRPr="00E04FAA">
        <w:t>重要事项</w:t>
      </w:r>
      <w:bookmarkEnd w:id="33"/>
    </w:p>
    <w:sdt>
      <w:sdtPr>
        <w:rPr>
          <w:rFonts w:ascii="宋体" w:hAnsi="宋体" w:cs="宋体"/>
          <w:b w:val="0"/>
          <w:bCs w:val="0"/>
          <w:kern w:val="0"/>
          <w:szCs w:val="24"/>
        </w:rPr>
        <w:alias w:val="模块:股东大会情况简介"/>
        <w:tag w:val="_SEC_3ae22d0bfcd94a15aff38fa624550b48"/>
        <w:id w:val="1967859859"/>
        <w:lock w:val="sdtLocked"/>
        <w:placeholder>
          <w:docPart w:val="GBC22222222222222222222222222222"/>
        </w:placeholder>
      </w:sdtPr>
      <w:sdtEndPr>
        <w:rPr>
          <w:rFonts w:hint="eastAsia"/>
        </w:rPr>
      </w:sdtEndPr>
      <w:sdtContent>
        <w:p w:rsidR="00883153" w:rsidRPr="00E04FAA" w:rsidRDefault="00200151" w:rsidP="00FC3870">
          <w:pPr>
            <w:pStyle w:val="2"/>
            <w:numPr>
              <w:ilvl w:val="0"/>
              <w:numId w:val="30"/>
            </w:numPr>
            <w:spacing w:line="360" w:lineRule="auto"/>
          </w:pPr>
          <w:r w:rsidRPr="00E04FAA">
            <w:t>股东大会情况简介</w:t>
          </w:r>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2110"/>
            <w:gridCol w:w="2347"/>
            <w:gridCol w:w="2112"/>
          </w:tblGrid>
          <w:tr w:rsidR="00A424B9" w:rsidRPr="00E04FAA" w:rsidTr="001A1C83">
            <w:trPr>
              <w:trHeight w:val="165"/>
            </w:trPr>
            <w:sdt>
              <w:sdtPr>
                <w:tag w:val="_PLD_1cc20ffce09e4c6f9177bb14ea86e7d0"/>
                <w:id w:val="2101130098"/>
                <w:lock w:val="sdtLocked"/>
              </w:sdtPr>
              <w:sdtContent>
                <w:tc>
                  <w:tcPr>
                    <w:tcW w:w="1277" w:type="pct"/>
                    <w:vAlign w:val="center"/>
                  </w:tcPr>
                  <w:p w:rsidR="00A424B9" w:rsidRPr="00E04FAA" w:rsidRDefault="00A424B9" w:rsidP="001A1C83">
                    <w:pPr>
                      <w:jc w:val="center"/>
                      <w:rPr>
                        <w:szCs w:val="21"/>
                      </w:rPr>
                    </w:pPr>
                    <w:r w:rsidRPr="00E04FAA">
                      <w:rPr>
                        <w:szCs w:val="21"/>
                      </w:rPr>
                      <w:t>会议届次</w:t>
                    </w:r>
                  </w:p>
                </w:tc>
              </w:sdtContent>
            </w:sdt>
            <w:sdt>
              <w:sdtPr>
                <w:tag w:val="_PLD_5131bed02b6844c0b5c01da7fd041fdf"/>
                <w:id w:val="-1969428227"/>
                <w:lock w:val="sdtLocked"/>
              </w:sdtPr>
              <w:sdtContent>
                <w:tc>
                  <w:tcPr>
                    <w:tcW w:w="1196" w:type="pct"/>
                    <w:vAlign w:val="center"/>
                  </w:tcPr>
                  <w:p w:rsidR="00A424B9" w:rsidRPr="00E04FAA" w:rsidRDefault="00A424B9" w:rsidP="001A1C83">
                    <w:pPr>
                      <w:jc w:val="center"/>
                      <w:rPr>
                        <w:szCs w:val="21"/>
                      </w:rPr>
                    </w:pPr>
                    <w:r w:rsidRPr="00E04FAA">
                      <w:rPr>
                        <w:szCs w:val="21"/>
                      </w:rPr>
                      <w:t>召开日期</w:t>
                    </w:r>
                  </w:p>
                </w:tc>
              </w:sdtContent>
            </w:sdt>
            <w:sdt>
              <w:sdtPr>
                <w:tag w:val="_PLD_ac686bea69a24374b72f5cb24ad75278"/>
                <w:id w:val="-1897577403"/>
                <w:lock w:val="sdtLocked"/>
              </w:sdtPr>
              <w:sdtContent>
                <w:tc>
                  <w:tcPr>
                    <w:tcW w:w="1330" w:type="pct"/>
                    <w:vAlign w:val="center"/>
                  </w:tcPr>
                  <w:p w:rsidR="00A424B9" w:rsidRPr="00E04FAA" w:rsidRDefault="00A424B9" w:rsidP="001A1C83">
                    <w:pPr>
                      <w:jc w:val="center"/>
                      <w:rPr>
                        <w:szCs w:val="21"/>
                      </w:rPr>
                    </w:pPr>
                    <w:r w:rsidRPr="00E04FAA">
                      <w:rPr>
                        <w:szCs w:val="21"/>
                      </w:rPr>
                      <w:t>决议刊登的指定网站的查询索引</w:t>
                    </w:r>
                  </w:p>
                </w:tc>
              </w:sdtContent>
            </w:sdt>
            <w:sdt>
              <w:sdtPr>
                <w:tag w:val="_PLD_847128bdbe6f44d0a995f094abd3685c"/>
                <w:id w:val="1521126387"/>
                <w:lock w:val="sdtLocked"/>
              </w:sdtPr>
              <w:sdtContent>
                <w:tc>
                  <w:tcPr>
                    <w:tcW w:w="1197" w:type="pct"/>
                    <w:vAlign w:val="center"/>
                  </w:tcPr>
                  <w:p w:rsidR="00A424B9" w:rsidRPr="00E04FAA" w:rsidRDefault="00A424B9" w:rsidP="001A1C83">
                    <w:pPr>
                      <w:jc w:val="center"/>
                      <w:rPr>
                        <w:szCs w:val="21"/>
                      </w:rPr>
                    </w:pPr>
                    <w:r w:rsidRPr="00E04FAA">
                      <w:rPr>
                        <w:szCs w:val="21"/>
                      </w:rPr>
                      <w:t>决议刊登的披露日期</w:t>
                    </w:r>
                  </w:p>
                </w:tc>
              </w:sdtContent>
            </w:sdt>
          </w:tr>
          <w:sdt>
            <w:sdtPr>
              <w:rPr>
                <w:rFonts w:hint="eastAsia"/>
                <w:szCs w:val="21"/>
              </w:rPr>
              <w:alias w:val="股东大会情况"/>
              <w:tag w:val="_TUP_23eb487759fc41b6a2a06b40dd3fe0d9"/>
              <w:id w:val="1176845875"/>
              <w:lock w:val="sdtLocked"/>
              <w:placeholder>
                <w:docPart w:val="AA44819B98464254BAA2BD2B98C39753"/>
              </w:placeholder>
            </w:sdtPr>
            <w:sdtContent>
              <w:tr w:rsidR="00A424B9" w:rsidRPr="00E04FAA" w:rsidTr="001A1C83">
                <w:trPr>
                  <w:trHeight w:val="195"/>
                </w:trPr>
                <w:tc>
                  <w:tcPr>
                    <w:tcW w:w="1277" w:type="pct"/>
                  </w:tcPr>
                  <w:p w:rsidR="00A424B9" w:rsidRPr="00E04FAA" w:rsidRDefault="00A424B9" w:rsidP="001A1C83">
                    <w:pPr>
                      <w:rPr>
                        <w:szCs w:val="21"/>
                      </w:rPr>
                    </w:pPr>
                    <w:r w:rsidRPr="00E04FAA">
                      <w:t>2018年度股东大会</w:t>
                    </w:r>
                  </w:p>
                </w:tc>
                <w:tc>
                  <w:tcPr>
                    <w:tcW w:w="1196" w:type="pct"/>
                  </w:tcPr>
                  <w:p w:rsidR="00A424B9" w:rsidRPr="00E04FAA" w:rsidRDefault="00A424B9" w:rsidP="001A1C83">
                    <w:pPr>
                      <w:rPr>
                        <w:szCs w:val="21"/>
                      </w:rPr>
                    </w:pPr>
                    <w:r w:rsidRPr="00E04FAA">
                      <w:t>2019/4/</w:t>
                    </w:r>
                    <w:r w:rsidR="009D13C6" w:rsidRPr="00E04FAA">
                      <w:t>8</w:t>
                    </w:r>
                  </w:p>
                </w:tc>
                <w:tc>
                  <w:tcPr>
                    <w:tcW w:w="1330" w:type="pct"/>
                  </w:tcPr>
                  <w:p w:rsidR="00A424B9" w:rsidRPr="00E04FAA" w:rsidRDefault="00A424B9" w:rsidP="001A1C83">
                    <w:pPr>
                      <w:rPr>
                        <w:szCs w:val="21"/>
                      </w:rPr>
                    </w:pPr>
                    <w:r w:rsidRPr="00E04FAA">
                      <w:t>www.sse.com.cn</w:t>
                    </w:r>
                  </w:p>
                </w:tc>
                <w:tc>
                  <w:tcPr>
                    <w:tcW w:w="1197" w:type="pct"/>
                  </w:tcPr>
                  <w:p w:rsidR="00A424B9" w:rsidRPr="00E04FAA" w:rsidRDefault="00A424B9" w:rsidP="001A1C83">
                    <w:pPr>
                      <w:rPr>
                        <w:szCs w:val="21"/>
                      </w:rPr>
                    </w:pPr>
                    <w:r w:rsidRPr="00E04FAA">
                      <w:t>201</w:t>
                    </w:r>
                    <w:r w:rsidR="009D13C6" w:rsidRPr="00E04FAA">
                      <w:t>9</w:t>
                    </w:r>
                    <w:r w:rsidRPr="00E04FAA">
                      <w:t>/4/</w:t>
                    </w:r>
                    <w:r w:rsidR="009D13C6" w:rsidRPr="00E04FAA">
                      <w:t>9</w:t>
                    </w:r>
                  </w:p>
                </w:tc>
              </w:tr>
            </w:sdtContent>
          </w:sdt>
        </w:tbl>
        <w:p w:rsidR="00883153" w:rsidRPr="00E04FAA" w:rsidRDefault="000D0A99"/>
      </w:sdtContent>
    </w:sdt>
    <w:sdt>
      <w:sdtPr>
        <w:rPr>
          <w:rFonts w:hint="eastAsia"/>
        </w:rPr>
        <w:alias w:val="模块:股东大会情况说明"/>
        <w:tag w:val="_SEC_bf1ce0d19a464ce2a3d1a1d438ffde42"/>
        <w:id w:val="-1090542589"/>
        <w:lock w:val="sdtLocked"/>
        <w:placeholder>
          <w:docPart w:val="GBC22222222222222222222222222222"/>
        </w:placeholder>
      </w:sdtPr>
      <w:sdtContent>
        <w:p w:rsidR="00883153" w:rsidRPr="00E04FAA" w:rsidRDefault="00200151">
          <w:r w:rsidRPr="00E04FAA">
            <w:rPr>
              <w:rFonts w:hint="eastAsia"/>
            </w:rPr>
            <w:t>股东大会情况说明</w:t>
          </w:r>
        </w:p>
        <w:sdt>
          <w:sdtPr>
            <w:rPr>
              <w:rFonts w:hint="eastAsia"/>
            </w:rPr>
            <w:alias w:val="是否适用：股东大会情况说明[双击切换]"/>
            <w:tag w:val="_GBC_bc06fc78c35044b0a848192606e2a5ad"/>
            <w:id w:val="-588318898"/>
            <w:lock w:val="sdtContentLocked"/>
            <w:placeholder>
              <w:docPart w:val="GBC22222222222222222222222222222"/>
            </w:placeholder>
          </w:sdtPr>
          <w:sdtContent>
            <w:p w:rsidR="00883153" w:rsidRPr="00E04FAA" w:rsidRDefault="00200151">
              <w:r w:rsidRPr="00E04FAA">
                <w:fldChar w:fldCharType="begin"/>
              </w:r>
              <w:r w:rsidR="00A424B9" w:rsidRPr="00E04FAA">
                <w:instrText xml:space="preserve"> MACROBUTTON  SnrToggleCheckbox √适用 </w:instrText>
              </w:r>
              <w:r w:rsidRPr="00E04FAA">
                <w:fldChar w:fldCharType="end"/>
              </w:r>
              <w:r w:rsidRPr="00E04FAA">
                <w:fldChar w:fldCharType="begin"/>
              </w:r>
              <w:r w:rsidR="00A424B9" w:rsidRPr="00E04FAA">
                <w:instrText xml:space="preserve"> MACROBUTTON  SnrToggleCheckbox □不适用 </w:instrText>
              </w:r>
              <w:r w:rsidRPr="00E04FAA">
                <w:fldChar w:fldCharType="end"/>
              </w:r>
            </w:p>
          </w:sdtContent>
        </w:sdt>
        <w:sdt>
          <w:sdtPr>
            <w:rPr>
              <w:rFonts w:hint="eastAsia"/>
            </w:rPr>
            <w:alias w:val="年度股东大会情况的说明"/>
            <w:tag w:val="_GBC_f97651ca2866412b9255a1ff13fdc83d"/>
            <w:id w:val="-776412037"/>
            <w:lock w:val="sdtLocked"/>
            <w:placeholder>
              <w:docPart w:val="GBC22222222222222222222222222222"/>
            </w:placeholder>
          </w:sdtPr>
          <w:sdtContent>
            <w:p w:rsidR="00883153" w:rsidRPr="00E04FAA" w:rsidRDefault="00A424B9">
              <w:r w:rsidRPr="00E04FAA">
                <w:rPr>
                  <w:rFonts w:hint="eastAsia"/>
                </w:rPr>
                <w:t>报告期内，公司召开了</w:t>
              </w:r>
              <w:r w:rsidRPr="00E04FAA">
                <w:t>1次年度股东大会。公司股东大会的召集、召开等相关程序符合《公司章程》及《股东大会议事规则》的相关规定，确保了股东尤其是中小股东的合法权益。</w:t>
              </w:r>
            </w:p>
          </w:sdtContent>
        </w:sdt>
      </w:sdtContent>
    </w:sdt>
    <w:p w:rsidR="00883153" w:rsidRPr="00E04FAA" w:rsidRDefault="00883153"/>
    <w:p w:rsidR="00883153" w:rsidRPr="00E04FAA" w:rsidRDefault="00200151" w:rsidP="00FC3870">
      <w:pPr>
        <w:pStyle w:val="2"/>
        <w:numPr>
          <w:ilvl w:val="0"/>
          <w:numId w:val="30"/>
        </w:numPr>
        <w:spacing w:line="360" w:lineRule="auto"/>
      </w:pPr>
      <w:r w:rsidRPr="00E04FAA">
        <w:t>利润分配或资本公积金转增预案</w:t>
      </w:r>
    </w:p>
    <w:p w:rsidR="00883153" w:rsidRPr="00E04FAA" w:rsidRDefault="00200151" w:rsidP="00FC3870">
      <w:pPr>
        <w:pStyle w:val="3"/>
        <w:numPr>
          <w:ilvl w:val="0"/>
          <w:numId w:val="25"/>
        </w:numPr>
      </w:pPr>
      <w:r w:rsidRPr="00E04FAA">
        <w:t>半年度拟定的利润分配预案、公积金转增股本预案</w:t>
      </w:r>
    </w:p>
    <w:sdt>
      <w:sdtPr>
        <w:rPr>
          <w:rFonts w:ascii="Calibri" w:hAnsi="Calibri"/>
        </w:rPr>
        <w:alias w:val="模块:半年度拟定的利润分配预案"/>
        <w:tag w:val="_GBC_e4b48d016b974478b1fce3e8671a7227"/>
        <w:id w:val="1024289266"/>
        <w:lock w:val="sdtLocked"/>
        <w:placeholder>
          <w:docPart w:val="GBC22222222222222222222222222222"/>
        </w:placeholder>
      </w:sdtPr>
      <w:sdtEndPr>
        <w:rPr>
          <w:rFonts w:hint="eastAsia"/>
        </w:rPr>
      </w:sdtEndPr>
      <w:sdtContent>
        <w:tbl>
          <w:tblPr>
            <w:tblStyle w:val="a9"/>
            <w:tblW w:w="0" w:type="auto"/>
            <w:tblLook w:val="04A0" w:firstRow="1" w:lastRow="0" w:firstColumn="1" w:lastColumn="0" w:noHBand="0" w:noVBand="1"/>
          </w:tblPr>
          <w:tblGrid>
            <w:gridCol w:w="4418"/>
            <w:gridCol w:w="4405"/>
          </w:tblGrid>
          <w:tr w:rsidR="00883153" w:rsidRPr="00E04FAA" w:rsidTr="000F6939">
            <w:sdt>
              <w:sdtPr>
                <w:rPr>
                  <w:rFonts w:ascii="Calibri" w:hAnsi="Calibri"/>
                </w:rPr>
                <w:tag w:val="_PLD_dee68179c02c4ccc8a9b8d7e3f70f2c6"/>
                <w:id w:val="1811831720"/>
                <w:lock w:val="sdtLocked"/>
              </w:sdtPr>
              <w:sdtEndPr>
                <w:rPr>
                  <w:rFonts w:ascii="宋体" w:hAnsi="宋体"/>
                </w:rPr>
              </w:sdtEndPr>
              <w:sdtContent>
                <w:tc>
                  <w:tcPr>
                    <w:tcW w:w="4524" w:type="dxa"/>
                  </w:tcPr>
                  <w:p w:rsidR="00883153" w:rsidRPr="00E04FAA" w:rsidRDefault="00200151">
                    <w:r w:rsidRPr="00E04FAA">
                      <w:t>是否分配或转增</w:t>
                    </w:r>
                  </w:p>
                </w:tc>
              </w:sdtContent>
            </w:sdt>
            <w:sdt>
              <w:sdtPr>
                <w:rPr>
                  <w:rFonts w:hint="eastAsia"/>
                </w:rPr>
                <w:alias w:val="是否分配或转增"/>
                <w:tag w:val="_GBC_1aa3bb539f35454da0536200efcc4f60"/>
                <w:id w:val="-1811471315"/>
                <w:lock w:val="sdtLocked"/>
                <w:comboBox>
                  <w:listItem w:displayText="是" w:value="true"/>
                  <w:listItem w:displayText="否" w:value="false"/>
                </w:comboBox>
              </w:sdtPr>
              <w:sdtContent>
                <w:tc>
                  <w:tcPr>
                    <w:tcW w:w="4524" w:type="dxa"/>
                  </w:tcPr>
                  <w:p w:rsidR="00883153" w:rsidRPr="00E04FAA" w:rsidRDefault="009D13C6">
                    <w:pPr>
                      <w:jc w:val="left"/>
                    </w:pPr>
                    <w:r w:rsidRPr="00E04FAA">
                      <w:rPr>
                        <w:rFonts w:hint="eastAsia"/>
                      </w:rPr>
                      <w:t>否</w:t>
                    </w:r>
                  </w:p>
                </w:tc>
              </w:sdtContent>
            </w:sdt>
          </w:tr>
          <w:tr w:rsidR="00883153" w:rsidRPr="00E04FAA" w:rsidTr="000F6939">
            <w:sdt>
              <w:sdtPr>
                <w:tag w:val="_PLD_bd901803dd924026b7c6f59fdd31aad5"/>
                <w:id w:val="261340953"/>
                <w:lock w:val="sdtLocked"/>
              </w:sdtPr>
              <w:sdtContent>
                <w:tc>
                  <w:tcPr>
                    <w:tcW w:w="4524" w:type="dxa"/>
                  </w:tcPr>
                  <w:p w:rsidR="00883153" w:rsidRPr="00E04FAA" w:rsidRDefault="00200151">
                    <w:r w:rsidRPr="00E04FAA">
                      <w:t>每10股送红股数（股）</w:t>
                    </w:r>
                  </w:p>
                </w:tc>
              </w:sdtContent>
            </w:sdt>
            <w:tc>
              <w:tcPr>
                <w:tcW w:w="4524" w:type="dxa"/>
              </w:tcPr>
              <w:p w:rsidR="00883153" w:rsidRPr="00E04FAA" w:rsidRDefault="00883153">
                <w:pPr>
                  <w:jc w:val="right"/>
                </w:pPr>
              </w:p>
            </w:tc>
          </w:tr>
          <w:tr w:rsidR="00883153" w:rsidRPr="00E04FAA" w:rsidTr="000F6939">
            <w:sdt>
              <w:sdtPr>
                <w:tag w:val="_PLD_6cbe2a97f01847b28eeb312b29d1d347"/>
                <w:id w:val="-1783489458"/>
                <w:lock w:val="sdtLocked"/>
              </w:sdtPr>
              <w:sdtContent>
                <w:tc>
                  <w:tcPr>
                    <w:tcW w:w="4524" w:type="dxa"/>
                  </w:tcPr>
                  <w:p w:rsidR="00883153" w:rsidRPr="00E04FAA" w:rsidRDefault="00200151">
                    <w:r w:rsidRPr="00E04FAA">
                      <w:t>每10股派息数(元)（含税）</w:t>
                    </w:r>
                  </w:p>
                </w:tc>
              </w:sdtContent>
            </w:sdt>
            <w:tc>
              <w:tcPr>
                <w:tcW w:w="4524" w:type="dxa"/>
              </w:tcPr>
              <w:p w:rsidR="00883153" w:rsidRPr="00E04FAA" w:rsidRDefault="00883153">
                <w:pPr>
                  <w:jc w:val="right"/>
                </w:pPr>
              </w:p>
            </w:tc>
          </w:tr>
          <w:tr w:rsidR="00883153" w:rsidRPr="00E04FAA" w:rsidTr="000F6939">
            <w:sdt>
              <w:sdtPr>
                <w:tag w:val="_PLD_ea0844d0f72e40a392aba3e62b2e7e9c"/>
                <w:id w:val="710542836"/>
                <w:lock w:val="sdtLocked"/>
              </w:sdtPr>
              <w:sdtContent>
                <w:tc>
                  <w:tcPr>
                    <w:tcW w:w="4524" w:type="dxa"/>
                  </w:tcPr>
                  <w:p w:rsidR="00883153" w:rsidRPr="00E04FAA" w:rsidRDefault="00200151">
                    <w:r w:rsidRPr="00E04FAA">
                      <w:t>每10股转增数（股）</w:t>
                    </w:r>
                  </w:p>
                </w:tc>
              </w:sdtContent>
            </w:sdt>
            <w:tc>
              <w:tcPr>
                <w:tcW w:w="4524" w:type="dxa"/>
              </w:tcPr>
              <w:p w:rsidR="00883153" w:rsidRPr="00E04FAA" w:rsidRDefault="00883153">
                <w:pPr>
                  <w:jc w:val="right"/>
                </w:pPr>
              </w:p>
            </w:tc>
          </w:tr>
          <w:tr w:rsidR="00883153" w:rsidRPr="00E04FAA" w:rsidTr="000F6939">
            <w:sdt>
              <w:sdtPr>
                <w:tag w:val="_PLD_6f4b1db2793f4d00b5b11589fa8a57fc"/>
                <w:id w:val="-1645815730"/>
                <w:lock w:val="sdtLocked"/>
              </w:sdtPr>
              <w:sdtContent>
                <w:tc>
                  <w:tcPr>
                    <w:tcW w:w="9048" w:type="dxa"/>
                    <w:gridSpan w:val="2"/>
                  </w:tcPr>
                  <w:p w:rsidR="00883153" w:rsidRPr="00E04FAA" w:rsidRDefault="00200151">
                    <w:pPr>
                      <w:jc w:val="center"/>
                    </w:pPr>
                    <w:r w:rsidRPr="00E04FAA">
                      <w:t>利润分配或资本公积金转增预案的相关情况说明</w:t>
                    </w:r>
                  </w:p>
                </w:tc>
              </w:sdtContent>
            </w:sdt>
          </w:tr>
          <w:tr w:rsidR="00883153" w:rsidRPr="00E04FAA" w:rsidTr="000F6939">
            <w:sdt>
              <w:sdtPr>
                <w:alias w:val="利润分配或资本公积金转增预案详细情况"/>
                <w:tag w:val="_GBC_94bed1d7442547dda64f3e2963ffc525"/>
                <w:id w:val="-1878377124"/>
                <w:lock w:val="sdtLocked"/>
              </w:sdtPr>
              <w:sdtContent>
                <w:tc>
                  <w:tcPr>
                    <w:tcW w:w="9048" w:type="dxa"/>
                    <w:gridSpan w:val="2"/>
                  </w:tcPr>
                  <w:p w:rsidR="00883153" w:rsidRPr="00E04FAA" w:rsidRDefault="009D13C6">
                    <w:r w:rsidRPr="00E04FAA">
                      <w:rPr>
                        <w:rFonts w:hint="eastAsia"/>
                      </w:rPr>
                      <w:t>无</w:t>
                    </w:r>
                  </w:p>
                </w:tc>
              </w:sdtContent>
            </w:sdt>
          </w:tr>
        </w:tbl>
      </w:sdtContent>
    </w:sdt>
    <w:p w:rsidR="00883153" w:rsidRPr="00E04FAA" w:rsidRDefault="00883153">
      <w:bookmarkStart w:id="34" w:name="_Toc342565988"/>
    </w:p>
    <w:p w:rsidR="00883153" w:rsidRPr="00E04FAA" w:rsidRDefault="00200151" w:rsidP="00FC3870">
      <w:pPr>
        <w:pStyle w:val="2"/>
        <w:numPr>
          <w:ilvl w:val="0"/>
          <w:numId w:val="30"/>
        </w:numPr>
        <w:spacing w:line="360" w:lineRule="auto"/>
      </w:pPr>
      <w:r w:rsidRPr="00E04FAA">
        <w:rPr>
          <w:rFonts w:hint="eastAsia"/>
        </w:rPr>
        <w:t>承诺事项履行情况</w:t>
      </w:r>
    </w:p>
    <w:sdt>
      <w:sdtPr>
        <w:rPr>
          <w:rFonts w:ascii="宋体" w:hAnsi="宋体" w:cs="宋体" w:hint="eastAsia"/>
          <w:b w:val="0"/>
          <w:bCs w:val="0"/>
          <w:kern w:val="0"/>
          <w:szCs w:val="21"/>
        </w:rPr>
        <w:alias w:val="模块:公司实际控制人、股东、关联方、收购人以及公司等承诺相关方在报..."/>
        <w:tag w:val="_SEC_0b5886e57afd437b88c6e55a33dbccb9"/>
        <w:id w:val="788168700"/>
        <w:lock w:val="sdtLocked"/>
        <w:placeholder>
          <w:docPart w:val="GBC22222222222222222222222222222"/>
        </w:placeholder>
      </w:sdtPr>
      <w:sdtEndPr>
        <w:rPr>
          <w:rFonts w:hint="default"/>
        </w:rPr>
      </w:sdtEndPr>
      <w:sdtContent>
        <w:p w:rsidR="00883153" w:rsidRPr="00E04FAA" w:rsidRDefault="00200151" w:rsidP="00FC3870">
          <w:pPr>
            <w:pStyle w:val="3"/>
            <w:numPr>
              <w:ilvl w:val="1"/>
              <w:numId w:val="15"/>
            </w:numPr>
            <w:rPr>
              <w:szCs w:val="21"/>
            </w:rPr>
          </w:pPr>
          <w:r w:rsidRPr="00E04FAA">
            <w:rPr>
              <w:rFonts w:hint="eastAsia"/>
              <w:szCs w:val="21"/>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1f306de554d7473c98965061dbefd050"/>
            <w:id w:val="-1121848913"/>
            <w:lock w:val="sdtContentLocked"/>
            <w:placeholder>
              <w:docPart w:val="GBC22222222222222222222222222222"/>
            </w:placeholder>
          </w:sdtPr>
          <w:sdtContent>
            <w:p w:rsidR="00883153" w:rsidRPr="00E04FAA" w:rsidRDefault="00200151" w:rsidP="00460C16">
              <w:pPr>
                <w:rPr>
                  <w:szCs w:val="21"/>
                </w:rPr>
              </w:pPr>
              <w:r w:rsidRPr="00E04FAA">
                <w:fldChar w:fldCharType="begin"/>
              </w:r>
              <w:r w:rsidR="00460C16" w:rsidRPr="00E04FAA">
                <w:instrText xml:space="preserve"> MACROBUTTON  SnrToggleCheckbox □适用 </w:instrText>
              </w:r>
              <w:r w:rsidRPr="00E04FAA">
                <w:fldChar w:fldCharType="end"/>
              </w:r>
              <w:r w:rsidRPr="00E04FAA">
                <w:fldChar w:fldCharType="begin"/>
              </w:r>
              <w:r w:rsidR="00460C16" w:rsidRPr="00E04FAA">
                <w:instrText xml:space="preserve"> MACROBUTTON  SnrToggleCheckbox √不适用 </w:instrText>
              </w:r>
              <w:r w:rsidRPr="00E04FAA">
                <w:fldChar w:fldCharType="end"/>
              </w:r>
            </w:p>
          </w:sdtContent>
        </w:sdt>
      </w:sdtContent>
    </w:sdt>
    <w:p w:rsidR="00220788" w:rsidRPr="00E04FAA" w:rsidRDefault="00220788" w:rsidP="00460C16">
      <w:pPr>
        <w:rPr>
          <w:szCs w:val="21"/>
        </w:rPr>
      </w:pPr>
    </w:p>
    <w:p w:rsidR="00883153" w:rsidRPr="00E04FAA" w:rsidRDefault="00200151" w:rsidP="00FC3870">
      <w:pPr>
        <w:pStyle w:val="2"/>
        <w:numPr>
          <w:ilvl w:val="0"/>
          <w:numId w:val="30"/>
        </w:numPr>
        <w:spacing w:line="360" w:lineRule="auto"/>
      </w:pPr>
      <w:r w:rsidRPr="00E04FAA">
        <w:t>聘任、解聘会计师事务所情况</w:t>
      </w:r>
    </w:p>
    <w:sdt>
      <w:sdtPr>
        <w:rPr>
          <w:rFonts w:hint="eastAsia"/>
        </w:rPr>
        <w:alias w:val="模块:聘任、解聘会计师事务所的情况说明"/>
        <w:tag w:val="_SEC_da98fea575804e4da57e6ed94a08807a"/>
        <w:id w:val="-652609700"/>
        <w:lock w:val="sdtLocked"/>
        <w:placeholder>
          <w:docPart w:val="GBC22222222222222222222222222222"/>
        </w:placeholder>
      </w:sdtPr>
      <w:sdtContent>
        <w:p w:rsidR="00883153" w:rsidRPr="00E04FAA" w:rsidRDefault="00200151">
          <w:r w:rsidRPr="00E04FAA">
            <w:rPr>
              <w:rFonts w:hint="eastAsia"/>
            </w:rPr>
            <w:t>聘任、解聘会计师事务所的情况说明</w:t>
          </w:r>
        </w:p>
        <w:sdt>
          <w:sdtPr>
            <w:rPr>
              <w:rFonts w:hint="eastAsia"/>
            </w:rPr>
            <w:alias w:val="是否适用：聘任、解聘会计师事务所情况[双击切换]"/>
            <w:tag w:val="_GBC_e563da3651274dd6a705d1da6434db17"/>
            <w:id w:val="1141232169"/>
            <w:lock w:val="sdtContentLocked"/>
            <w:placeholder>
              <w:docPart w:val="GBC22222222222222222222222222222"/>
            </w:placeholder>
          </w:sdtPr>
          <w:sdtContent>
            <w:p w:rsidR="000C5139" w:rsidRPr="00E04FAA" w:rsidRDefault="00200151" w:rsidP="001A1C83">
              <w:r w:rsidRPr="00E04FAA">
                <w:fldChar w:fldCharType="begin"/>
              </w:r>
              <w:r w:rsidR="001A1C83" w:rsidRPr="00E04FAA">
                <w:instrText xml:space="preserve"> MACROBUTTON  SnrToggleCheckbox □适用 </w:instrText>
              </w:r>
              <w:r w:rsidRPr="00E04FAA">
                <w:fldChar w:fldCharType="end"/>
              </w:r>
              <w:r w:rsidRPr="00E04FAA">
                <w:fldChar w:fldCharType="begin"/>
              </w:r>
              <w:r w:rsidR="001A1C83" w:rsidRPr="00E04FAA">
                <w:instrText xml:space="preserve"> MACROBUTTON  SnrToggleCheckbox √不适用 </w:instrText>
              </w:r>
              <w:r w:rsidRPr="00E04FAA">
                <w:fldChar w:fldCharType="end"/>
              </w:r>
            </w:p>
          </w:sdtContent>
        </w:sdt>
        <w:p w:rsidR="00883153" w:rsidRPr="00E04FAA" w:rsidRDefault="000D0A99" w:rsidP="00460C16"/>
      </w:sdtContent>
    </w:sdt>
    <w:sdt>
      <w:sdtPr>
        <w:rPr>
          <w:rFonts w:hint="eastAsia"/>
        </w:rPr>
        <w:alias w:val="模块:审计期间改聘会计师事务所的情况说明"/>
        <w:tag w:val="_SEC_39a839676dca47f595f0cbe05d986e81"/>
        <w:id w:val="610407383"/>
        <w:lock w:val="sdtLocked"/>
        <w:placeholder>
          <w:docPart w:val="GBC22222222222222222222222222222"/>
        </w:placeholder>
      </w:sdtPr>
      <w:sdtContent>
        <w:p w:rsidR="00883153" w:rsidRPr="00E04FAA" w:rsidRDefault="00200151">
          <w:r w:rsidRPr="00E04FAA">
            <w:rPr>
              <w:rFonts w:hint="eastAsia"/>
            </w:rPr>
            <w:t>审计期间改聘会计师事务所的情况说明</w:t>
          </w:r>
        </w:p>
        <w:sdt>
          <w:sdtPr>
            <w:rPr>
              <w:rFonts w:hint="eastAsia"/>
            </w:rPr>
            <w:alias w:val="是否适用：审计期间改聘会计师事务所的情况说明[双击切换]"/>
            <w:tag w:val="_GBC_b7e7dc4aa79c474aa3d686f172086ee6"/>
            <w:id w:val="-124624650"/>
            <w:lock w:val="sdtContentLocked"/>
            <w:placeholder>
              <w:docPart w:val="GBC22222222222222222222222222222"/>
            </w:placeholder>
          </w:sdtPr>
          <w:sdtContent>
            <w:p w:rsidR="00883153" w:rsidRPr="00E04FAA" w:rsidRDefault="00200151" w:rsidP="00460C16">
              <w:r w:rsidRPr="00E04FAA">
                <w:fldChar w:fldCharType="begin"/>
              </w:r>
              <w:r w:rsidR="00460C16" w:rsidRPr="00E04FAA">
                <w:instrText xml:space="preserve"> MACROBUTTON  SnrToggleCheckbox □适用 </w:instrText>
              </w:r>
              <w:r w:rsidRPr="00E04FAA">
                <w:fldChar w:fldCharType="end"/>
              </w:r>
              <w:r w:rsidRPr="00E04FAA">
                <w:fldChar w:fldCharType="begin"/>
              </w:r>
              <w:r w:rsidR="00460C16" w:rsidRPr="00E04FAA">
                <w:instrText xml:space="preserve"> MACROBUTTON  SnrToggleCheckbox √不适用 </w:instrText>
              </w:r>
              <w:r w:rsidRPr="00E04FAA">
                <w:fldChar w:fldCharType="end"/>
              </w:r>
            </w:p>
          </w:sdtContent>
        </w:sdt>
      </w:sdtContent>
    </w:sdt>
    <w:p w:rsidR="00883153" w:rsidRPr="00E04FAA" w:rsidRDefault="00883153"/>
    <w:sdt>
      <w:sdtPr>
        <w:rPr>
          <w:b/>
          <w:bCs/>
          <w:szCs w:val="22"/>
        </w:rPr>
        <w:alias w:val="模块:公司对会计师事务所“非标准审计报告”的说明"/>
        <w:tag w:val="_SEC_ff2ca8295db041209fe47eea7ae742aa"/>
        <w:id w:val="1622183670"/>
        <w:lock w:val="sdtLocked"/>
        <w:placeholder>
          <w:docPart w:val="GBC22222222222222222222222222222"/>
        </w:placeholder>
      </w:sdtPr>
      <w:sdtEndPr>
        <w:rPr>
          <w:rFonts w:hint="eastAsia"/>
          <w:b w:val="0"/>
          <w:bCs w:val="0"/>
          <w:szCs w:val="24"/>
        </w:rPr>
      </w:sdtEndPr>
      <w:sdtContent>
        <w:p w:rsidR="00883153" w:rsidRPr="00E04FAA" w:rsidRDefault="00200151">
          <w:r w:rsidRPr="00E04FAA">
            <w:rPr>
              <w:rFonts w:hint="eastAsia"/>
            </w:rPr>
            <w:t>公司</w:t>
          </w:r>
          <w:r w:rsidRPr="00E04FAA">
            <w:t>对会计师事务所“非标准审计报告”的说明</w:t>
          </w:r>
        </w:p>
        <w:sdt>
          <w:sdtPr>
            <w:rPr>
              <w:rFonts w:hint="eastAsia"/>
            </w:rPr>
            <w:alias w:val="是否适用：董事会对会计师事务所非标准审计报告的说明[双击切换]"/>
            <w:tag w:val="_GBC_d326f269313b4caba360515f0154b27f"/>
            <w:id w:val="1130827858"/>
            <w:lock w:val="sdtContentLocked"/>
            <w:placeholder>
              <w:docPart w:val="GBC22222222222222222222222222222"/>
            </w:placeholder>
          </w:sdtPr>
          <w:sdtContent>
            <w:p w:rsidR="00883153" w:rsidRPr="00E04FAA" w:rsidRDefault="00200151" w:rsidP="00460C16">
              <w:r w:rsidRPr="00E04FAA">
                <w:fldChar w:fldCharType="begin"/>
              </w:r>
              <w:r w:rsidR="00460C16" w:rsidRPr="00E04FAA">
                <w:instrText xml:space="preserve"> MACROBUTTON  SnrToggleCheckbox □适用 </w:instrText>
              </w:r>
              <w:r w:rsidRPr="00E04FAA">
                <w:fldChar w:fldCharType="end"/>
              </w:r>
              <w:r w:rsidRPr="00E04FAA">
                <w:fldChar w:fldCharType="begin"/>
              </w:r>
              <w:r w:rsidR="00460C16" w:rsidRPr="00E04FAA">
                <w:instrText xml:space="preserve"> MACROBUTTON  SnrToggleCheckbox √不适用 </w:instrText>
              </w:r>
              <w:r w:rsidRPr="00E04FAA">
                <w:fldChar w:fldCharType="end"/>
              </w:r>
            </w:p>
          </w:sdtContent>
        </w:sdt>
      </w:sdtContent>
    </w:sdt>
    <w:p w:rsidR="00883153" w:rsidRPr="00E04FAA" w:rsidRDefault="00883153"/>
    <w:sdt>
      <w:sdtPr>
        <w:rPr>
          <w:rFonts w:hint="eastAsia"/>
        </w:rPr>
        <w:alias w:val="模块:公司对上年年度报告中的财务报告被注册会计师出具“非标准审计报..."/>
        <w:tag w:val="_SEC_10be83ff0126440a8620e35536191767"/>
        <w:id w:val="127293515"/>
        <w:lock w:val="sdtLocked"/>
        <w:placeholder>
          <w:docPart w:val="GBC22222222222222222222222222222"/>
        </w:placeholder>
      </w:sdtPr>
      <w:sdtContent>
        <w:p w:rsidR="00883153" w:rsidRPr="00E04FAA" w:rsidRDefault="00200151">
          <w:r w:rsidRPr="00E04FAA">
            <w:rPr>
              <w:rFonts w:hint="eastAsia"/>
            </w:rPr>
            <w:t>公司对上年年度报告中的财务报告被注册会计师出具“非标准审计报告”的说明</w:t>
          </w:r>
        </w:p>
        <w:sdt>
          <w:sdtPr>
            <w:rPr>
              <w:rFonts w:hint="eastAsia"/>
            </w:rPr>
            <w:alias w:val="是否适用：公司对上年年度报告中的财务报告被注册会计师出具“非标准审计报告”的说明 [双击切换]"/>
            <w:tag w:val="_GBC_06e0811c47124b6da79369103f766350"/>
            <w:id w:val="-921168606"/>
            <w:lock w:val="sdtContentLocked"/>
            <w:placeholder>
              <w:docPart w:val="GBC22222222222222222222222222222"/>
            </w:placeholder>
          </w:sdtPr>
          <w:sdtContent>
            <w:p w:rsidR="00883153" w:rsidRPr="00E04FAA" w:rsidRDefault="00200151" w:rsidP="00460C16">
              <w:r w:rsidRPr="00E04FAA">
                <w:fldChar w:fldCharType="begin"/>
              </w:r>
              <w:r w:rsidR="00460C16" w:rsidRPr="00E04FAA">
                <w:instrText xml:space="preserve"> MACROBUTTON  SnrToggleCheckbox □适用 </w:instrText>
              </w:r>
              <w:r w:rsidRPr="00E04FAA">
                <w:fldChar w:fldCharType="end"/>
              </w:r>
              <w:r w:rsidRPr="00E04FAA">
                <w:fldChar w:fldCharType="begin"/>
              </w:r>
              <w:r w:rsidR="00460C16" w:rsidRPr="00E04FAA">
                <w:instrText xml:space="preserve"> MACROBUTTON  SnrToggleCheckbox √不适用 </w:instrText>
              </w:r>
              <w:r w:rsidRPr="00E04FAA">
                <w:fldChar w:fldCharType="end"/>
              </w:r>
            </w:p>
          </w:sdtContent>
        </w:sdt>
        <w:p w:rsidR="00883153" w:rsidRPr="00E04FAA" w:rsidRDefault="000D0A99"/>
      </w:sdtContent>
    </w:sdt>
    <w:sdt>
      <w:sdtPr>
        <w:rPr>
          <w:rFonts w:ascii="宋体" w:hAnsi="宋体" w:cs="宋体" w:hint="eastAsia"/>
          <w:b w:val="0"/>
          <w:bCs w:val="0"/>
          <w:kern w:val="0"/>
          <w:szCs w:val="24"/>
        </w:rPr>
        <w:alias w:val="模块:破产重整相关事项"/>
        <w:tag w:val="_SEC_1ae3a3f4b3c4484980120137749e19ed"/>
        <w:id w:val="406034992"/>
        <w:lock w:val="sdtLocked"/>
        <w:placeholder>
          <w:docPart w:val="GBC22222222222222222222222222222"/>
        </w:placeholder>
      </w:sdtPr>
      <w:sdtContent>
        <w:p w:rsidR="00883153" w:rsidRPr="00E04FAA" w:rsidRDefault="00200151" w:rsidP="00FC3870">
          <w:pPr>
            <w:pStyle w:val="2"/>
            <w:numPr>
              <w:ilvl w:val="0"/>
              <w:numId w:val="30"/>
            </w:numPr>
            <w:spacing w:line="360" w:lineRule="auto"/>
          </w:pPr>
          <w:r w:rsidRPr="00E04FAA">
            <w:rPr>
              <w:rFonts w:hint="eastAsia"/>
            </w:rPr>
            <w:t>破产重整相关事项</w:t>
          </w:r>
        </w:p>
        <w:sdt>
          <w:sdtPr>
            <w:rPr>
              <w:rFonts w:hint="eastAsia"/>
            </w:rPr>
            <w:alias w:val="是否适用：破产重整相关事项[双击切换]"/>
            <w:tag w:val="_GBC_c4fc8890d63b44b19353d2188a5bce59"/>
            <w:id w:val="-1698924269"/>
            <w:lock w:val="sdtContentLocked"/>
            <w:placeholder>
              <w:docPart w:val="GBC22222222222222222222222222222"/>
            </w:placeholder>
          </w:sdtPr>
          <w:sdtContent>
            <w:p w:rsidR="00883153" w:rsidRPr="00E04FAA" w:rsidRDefault="00200151" w:rsidP="00460C16">
              <w:r w:rsidRPr="00E04FAA">
                <w:fldChar w:fldCharType="begin"/>
              </w:r>
              <w:r w:rsidR="00460C16" w:rsidRPr="00E04FAA">
                <w:instrText xml:space="preserve"> MACROBUTTON  SnrToggleCheckbox □适用 </w:instrText>
              </w:r>
              <w:r w:rsidRPr="00E04FAA">
                <w:fldChar w:fldCharType="end"/>
              </w:r>
              <w:r w:rsidRPr="00E04FAA">
                <w:fldChar w:fldCharType="begin"/>
              </w:r>
              <w:r w:rsidR="00460C16" w:rsidRPr="00E04FAA">
                <w:instrText xml:space="preserve"> MACROBUTTON  SnrToggleCheckbox √不适用 </w:instrText>
              </w:r>
              <w:r w:rsidRPr="00E04FAA">
                <w:fldChar w:fldCharType="end"/>
              </w:r>
            </w:p>
          </w:sdtContent>
        </w:sdt>
      </w:sdtContent>
    </w:sdt>
    <w:p w:rsidR="00883153" w:rsidRPr="00E04FAA" w:rsidRDefault="00883153">
      <w:pPr>
        <w:rPr>
          <w:szCs w:val="21"/>
        </w:rPr>
      </w:pPr>
    </w:p>
    <w:p w:rsidR="00883153" w:rsidRPr="00E04FAA" w:rsidRDefault="00200151" w:rsidP="00FC3870">
      <w:pPr>
        <w:pStyle w:val="2"/>
        <w:numPr>
          <w:ilvl w:val="0"/>
          <w:numId w:val="30"/>
        </w:numPr>
        <w:spacing w:line="360" w:lineRule="auto"/>
      </w:pPr>
      <w:r w:rsidRPr="00E04FAA">
        <w:t>重大诉讼、仲裁事项</w:t>
      </w:r>
    </w:p>
    <w:sdt>
      <w:sdtPr>
        <w:alias w:val="本年度公司有无重大诉讼、仲裁事项"/>
        <w:tag w:val="_GBC_0fcf1cd2d0814185bde747855edf5227"/>
        <w:id w:val="2139219512"/>
        <w:lock w:val="sdtContentLocked"/>
        <w:placeholder>
          <w:docPart w:val="GBC22222222222222222222222222222"/>
        </w:placeholder>
      </w:sdtPr>
      <w:sdtContent>
        <w:p w:rsidR="00460C16" w:rsidRPr="00E04FAA" w:rsidRDefault="00200151" w:rsidP="00460C16">
          <w:r w:rsidRPr="00E04FAA">
            <w:fldChar w:fldCharType="begin"/>
          </w:r>
          <w:r w:rsidR="00460C16" w:rsidRPr="00E04FAA">
            <w:instrText xml:space="preserve"> MACROBUTTON  SnrToggleCheckbox □本报告期公司有重大诉讼、仲裁事项 </w:instrText>
          </w:r>
          <w:r w:rsidRPr="00E04FAA">
            <w:fldChar w:fldCharType="end"/>
          </w:r>
          <w:r w:rsidRPr="00E04FAA">
            <w:fldChar w:fldCharType="begin"/>
          </w:r>
          <w:r w:rsidR="00460C16" w:rsidRPr="00E04FAA">
            <w:instrText xml:space="preserve"> MACROBUTTON  SnrToggleCheckbox √本报告期公司无重大诉讼、仲裁事项 </w:instrText>
          </w:r>
          <w:r w:rsidRPr="00E04FAA">
            <w:fldChar w:fldCharType="end"/>
          </w:r>
        </w:p>
      </w:sdtContent>
    </w:sdt>
    <w:p w:rsidR="00883153" w:rsidRPr="00E04FAA" w:rsidRDefault="00883153"/>
    <w:sdt>
      <w:sdtPr>
        <w:rPr>
          <w:rFonts w:ascii="宋体" w:hAnsi="宋体" w:cs="宋体"/>
          <w:b w:val="0"/>
          <w:bCs w:val="0"/>
          <w:kern w:val="0"/>
          <w:szCs w:val="24"/>
        </w:rPr>
        <w:alias w:val="模块:上市公司及其董事、监事、高级管理人员、控股股东、实际控制人、收购人处罚及整改情况"/>
        <w:tag w:val="_SEC_61682565f6714c6a81ab8e6d05a5abaa"/>
        <w:id w:val="497310192"/>
        <w:lock w:val="sdtLocked"/>
        <w:placeholder>
          <w:docPart w:val="GBC22222222222222222222222222222"/>
        </w:placeholder>
      </w:sdtPr>
      <w:sdtEndPr>
        <w:rPr>
          <w:rFonts w:hint="eastAsia"/>
        </w:rPr>
      </w:sdtEndPr>
      <w:sdtContent>
        <w:p w:rsidR="00883153" w:rsidRPr="00E04FAA" w:rsidRDefault="00200151" w:rsidP="00FC3870">
          <w:pPr>
            <w:pStyle w:val="2"/>
            <w:numPr>
              <w:ilvl w:val="0"/>
              <w:numId w:val="30"/>
            </w:numPr>
            <w:spacing w:line="360" w:lineRule="auto"/>
          </w:pPr>
          <w:r w:rsidRPr="00E04FAA">
            <w:t>上市公司及其董事、监事、高级管理人员、控股股东、实际控制人、收购人处罚及整改情况</w:t>
          </w:r>
        </w:p>
        <w:sdt>
          <w:sdtPr>
            <w:rPr>
              <w:rFonts w:hint="eastAsia"/>
            </w:rPr>
            <w:alias w:val="是否适用：上市公司及其董事、监事、高级管理人员、持有5%以上股份的股东、实际控制人、收购人处罚及整改情况[双击切换]"/>
            <w:tag w:val="_GBC_05b097ae59254d13916df227f563a3ed"/>
            <w:id w:val="1802346634"/>
            <w:lock w:val="sdtContentLocked"/>
            <w:placeholder>
              <w:docPart w:val="GBC22222222222222222222222222222"/>
            </w:placeholder>
          </w:sdtPr>
          <w:sdtContent>
            <w:p w:rsidR="00883153" w:rsidRPr="00E04FAA" w:rsidRDefault="00200151" w:rsidP="000C5139">
              <w:r w:rsidRPr="00E04FAA">
                <w:fldChar w:fldCharType="begin"/>
              </w:r>
              <w:r w:rsidR="000C5139" w:rsidRPr="00E04FAA">
                <w:instrText xml:space="preserve"> MACROBUTTON  SnrToggleCheckbox □适用 </w:instrText>
              </w:r>
              <w:r w:rsidRPr="00E04FAA">
                <w:fldChar w:fldCharType="end"/>
              </w:r>
              <w:r w:rsidRPr="00E04FAA">
                <w:fldChar w:fldCharType="begin"/>
              </w:r>
              <w:r w:rsidR="000C5139" w:rsidRPr="00E04FAA">
                <w:instrText xml:space="preserve"> MACROBUTTON  SnrToggleCheckbox √不适用 </w:instrText>
              </w:r>
              <w:r w:rsidRPr="00E04FAA">
                <w:fldChar w:fldCharType="end"/>
              </w:r>
            </w:p>
          </w:sdtContent>
        </w:sdt>
        <w:p w:rsidR="00883153" w:rsidRPr="00E04FAA" w:rsidRDefault="000D0A99"/>
      </w:sdtContent>
    </w:sdt>
    <w:sdt>
      <w:sdtPr>
        <w:rPr>
          <w:rFonts w:ascii="宋体" w:hAnsi="宋体" w:cs="宋体" w:hint="eastAsia"/>
          <w:b w:val="0"/>
          <w:bCs w:val="0"/>
          <w:kern w:val="0"/>
          <w:szCs w:val="24"/>
        </w:rPr>
        <w:alias w:val="模块:报告期内公司及其控股股东、实际控制人诚信状况的说明"/>
        <w:tag w:val="_SEC_b6520273283341408b24eceadfb999dd"/>
        <w:id w:val="-1673714188"/>
        <w:lock w:val="sdtLocked"/>
        <w:placeholder>
          <w:docPart w:val="GBC22222222222222222222222222222"/>
        </w:placeholder>
      </w:sdtPr>
      <w:sdtContent>
        <w:p w:rsidR="00883153" w:rsidRPr="00E04FAA" w:rsidRDefault="00200151" w:rsidP="00FC3870">
          <w:pPr>
            <w:pStyle w:val="2"/>
            <w:numPr>
              <w:ilvl w:val="0"/>
              <w:numId w:val="30"/>
            </w:numPr>
            <w:spacing w:line="360" w:lineRule="auto"/>
          </w:pPr>
          <w:r w:rsidRPr="00E04FAA">
            <w:t>报告期内公司及其控股股东、实际控制人诚信状况的说明</w:t>
          </w:r>
        </w:p>
        <w:sdt>
          <w:sdtPr>
            <w:rPr>
              <w:rFonts w:hint="eastAsia"/>
            </w:rPr>
            <w:alias w:val="是否适用：报告期内公司及其控股股东、实际控制人诚信状况的说明[双击切换]"/>
            <w:tag w:val="_GBC_650ef1e21808426d806ee2024dd14590"/>
            <w:id w:val="-1609892960"/>
            <w:lock w:val="sdtContentLocked"/>
            <w:placeholder>
              <w:docPart w:val="GBC22222222222222222222222222222"/>
            </w:placeholder>
          </w:sdtPr>
          <w:sdtContent>
            <w:p w:rsidR="00883153" w:rsidRPr="00E04FAA" w:rsidRDefault="00200151" w:rsidP="000C5139">
              <w:r w:rsidRPr="00E04FAA">
                <w:fldChar w:fldCharType="begin"/>
              </w:r>
              <w:r w:rsidR="000C5139" w:rsidRPr="00E04FAA">
                <w:instrText xml:space="preserve"> MACROBUTTON  SnrToggleCheckbox □适用 </w:instrText>
              </w:r>
              <w:r w:rsidRPr="00E04FAA">
                <w:fldChar w:fldCharType="end"/>
              </w:r>
              <w:r w:rsidRPr="00E04FAA">
                <w:fldChar w:fldCharType="begin"/>
              </w:r>
              <w:r w:rsidR="000C5139" w:rsidRPr="00E04FAA">
                <w:instrText xml:space="preserve"> MACROBUTTON  SnrToggleCheckbox √不适用 </w:instrText>
              </w:r>
              <w:r w:rsidRPr="00E04FAA">
                <w:fldChar w:fldCharType="end"/>
              </w:r>
            </w:p>
          </w:sdtContent>
        </w:sdt>
        <w:p w:rsidR="00883153" w:rsidRPr="00E04FAA" w:rsidRDefault="000D0A99"/>
      </w:sdtContent>
    </w:sdt>
    <w:p w:rsidR="00883153" w:rsidRPr="00E04FAA" w:rsidRDefault="00200151" w:rsidP="00FC3870">
      <w:pPr>
        <w:pStyle w:val="2"/>
        <w:numPr>
          <w:ilvl w:val="0"/>
          <w:numId w:val="30"/>
        </w:numPr>
        <w:spacing w:line="360" w:lineRule="auto"/>
      </w:pPr>
      <w:r w:rsidRPr="00E04FAA">
        <w:rPr>
          <w:rFonts w:hint="eastAsia"/>
        </w:rPr>
        <w:t>公司股权激励计划、员工持股计划或其他员工激励措施的情况及其影响</w:t>
      </w:r>
    </w:p>
    <w:sdt>
      <w:sdtPr>
        <w:rPr>
          <w:rFonts w:ascii="宋体" w:hAnsi="宋体" w:cs="宋体" w:hint="eastAsia"/>
          <w:b w:val="0"/>
          <w:bCs w:val="0"/>
          <w:kern w:val="44"/>
          <w:szCs w:val="22"/>
        </w:rPr>
        <w:alias w:val="模块:相关股权激励事项已在临时公告披露且后续实施无进展或变化"/>
        <w:tag w:val="_SEC_411f00cbba714819bb6b4829850672c8"/>
        <w:id w:val="768510667"/>
        <w:lock w:val="sdtLocked"/>
        <w:placeholder>
          <w:docPart w:val="GBC22222222222222222222222222222"/>
        </w:placeholder>
      </w:sdtPr>
      <w:sdtEndPr>
        <w:rPr>
          <w:rFonts w:hint="default"/>
          <w:szCs w:val="21"/>
        </w:rPr>
      </w:sdtEndPr>
      <w:sdtContent>
        <w:p w:rsidR="00883153" w:rsidRPr="00E04FAA" w:rsidRDefault="00200151" w:rsidP="00FC3870">
          <w:pPr>
            <w:pStyle w:val="3"/>
            <w:numPr>
              <w:ilvl w:val="1"/>
              <w:numId w:val="9"/>
            </w:numPr>
            <w:rPr>
              <w:kern w:val="44"/>
            </w:rPr>
          </w:pPr>
          <w:r w:rsidRPr="00E04FAA">
            <w:rPr>
              <w:rFonts w:hint="eastAsia"/>
              <w:kern w:val="44"/>
            </w:rPr>
            <w:t>相关股权激励事项已在临时公告披露且后续实施无进展或变化的</w:t>
          </w:r>
        </w:p>
        <w:p w:rsidR="00883153" w:rsidRPr="00E04FAA" w:rsidRDefault="000D0A99" w:rsidP="00982DDF">
          <w:sdt>
            <w:sdtPr>
              <w:alias w:val="是否适用：相关激励事项已在临时公告披露且后续实施无进展或变化的[双击切换]"/>
              <w:tag w:val="_GBC_6d3d46ffc441429fa473c06ffa671d27"/>
              <w:id w:val="1082642687"/>
              <w:lock w:val="sdtContentLocked"/>
              <w:placeholder>
                <w:docPart w:val="GBC22222222222222222222222222222"/>
              </w:placeholder>
            </w:sdtPr>
            <w:sdtContent>
              <w:r w:rsidR="00200151" w:rsidRPr="00E04FAA">
                <w:fldChar w:fldCharType="begin"/>
              </w:r>
              <w:r w:rsidR="00982DDF" w:rsidRPr="00E04FAA">
                <w:instrText xml:space="preserve"> MACROBUTTON  SnrToggleCheckbox □适用 </w:instrText>
              </w:r>
              <w:r w:rsidR="00200151" w:rsidRPr="00E04FAA">
                <w:fldChar w:fldCharType="end"/>
              </w:r>
              <w:r w:rsidR="00200151" w:rsidRPr="00E04FAA">
                <w:fldChar w:fldCharType="begin"/>
              </w:r>
              <w:r w:rsidR="00982DDF" w:rsidRPr="00E04FAA">
                <w:instrText xml:space="preserve"> MACROBUTTON  SnrToggleCheckbox √不适用 </w:instrText>
              </w:r>
              <w:r w:rsidR="00200151" w:rsidRPr="00E04FAA">
                <w:fldChar w:fldCharType="end"/>
              </w:r>
            </w:sdtContent>
          </w:sdt>
        </w:p>
      </w:sdtContent>
    </w:sdt>
    <w:p w:rsidR="00883153" w:rsidRPr="00E04FAA" w:rsidRDefault="00200151" w:rsidP="00FC3870">
      <w:pPr>
        <w:pStyle w:val="3"/>
        <w:numPr>
          <w:ilvl w:val="1"/>
          <w:numId w:val="9"/>
        </w:numPr>
        <w:rPr>
          <w:kern w:val="44"/>
        </w:rPr>
      </w:pPr>
      <w:r w:rsidRPr="00E04FAA">
        <w:rPr>
          <w:rFonts w:hint="eastAsia"/>
          <w:kern w:val="44"/>
        </w:rPr>
        <w:t>临时公告未披露或有后续进展的激励情况</w:t>
      </w:r>
    </w:p>
    <w:p w:rsidR="00883153" w:rsidRPr="00E04FAA" w:rsidRDefault="00200151">
      <w:r w:rsidRPr="00E04FAA">
        <w:rPr>
          <w:rFonts w:hint="eastAsia"/>
        </w:rPr>
        <w:t>股权激励情况</w:t>
      </w:r>
    </w:p>
    <w:sdt>
      <w:sdtPr>
        <w:alias w:val="是否适用：股权激励情况[双击切换]"/>
        <w:tag w:val="_GBC_388221bc7be24cdca55be337256c8bc1"/>
        <w:id w:val="-75904017"/>
        <w:lock w:val="sdtContentLocked"/>
        <w:placeholder>
          <w:docPart w:val="GBC22222222222222222222222222222"/>
        </w:placeholder>
      </w:sdtPr>
      <w:sdtContent>
        <w:p w:rsidR="00982DDF" w:rsidRPr="00E04FAA" w:rsidRDefault="00200151" w:rsidP="00982DDF">
          <w:r w:rsidRPr="00E04FAA">
            <w:fldChar w:fldCharType="begin"/>
          </w:r>
          <w:r w:rsidR="00982DDF" w:rsidRPr="00E04FAA">
            <w:instrText xml:space="preserve"> MACROBUTTON  SnrToggleCheckbox □适用 </w:instrText>
          </w:r>
          <w:r w:rsidRPr="00E04FAA">
            <w:fldChar w:fldCharType="end"/>
          </w:r>
          <w:r w:rsidRPr="00E04FAA">
            <w:fldChar w:fldCharType="begin"/>
          </w:r>
          <w:r w:rsidR="00982DDF" w:rsidRPr="00E04FAA">
            <w:instrText xml:space="preserve"> MACROBUTTON  SnrToggleCheckbox √不适用 </w:instrText>
          </w:r>
          <w:r w:rsidRPr="00E04FAA">
            <w:fldChar w:fldCharType="end"/>
          </w:r>
        </w:p>
      </w:sdtContent>
    </w:sdt>
    <w:sdt>
      <w:sdtPr>
        <w:rPr>
          <w:rFonts w:hint="eastAsia"/>
          <w:szCs w:val="21"/>
        </w:rPr>
        <w:alias w:val="模块:股权激励情况的说明"/>
        <w:tag w:val="_SEC_a417a9b40b6a4adeba436d511837e016"/>
        <w:id w:val="-249893411"/>
        <w:lock w:val="sdtLocked"/>
        <w:placeholder>
          <w:docPart w:val="GBC22222222222222222222222222222"/>
        </w:placeholder>
      </w:sdtPr>
      <w:sdtEndPr>
        <w:rPr>
          <w:rFonts w:hint="default"/>
        </w:rPr>
      </w:sdtEndPr>
      <w:sdtContent>
        <w:p w:rsidR="00883153" w:rsidRPr="00E04FAA" w:rsidRDefault="00200151">
          <w:pPr>
            <w:rPr>
              <w:szCs w:val="21"/>
            </w:rPr>
          </w:pPr>
          <w:r w:rsidRPr="00E04FAA">
            <w:rPr>
              <w:rFonts w:hint="eastAsia"/>
              <w:szCs w:val="21"/>
            </w:rPr>
            <w:t>其他说明</w:t>
          </w:r>
        </w:p>
        <w:p w:rsidR="00883153" w:rsidRPr="00E04FAA" w:rsidRDefault="000D0A99">
          <w:pPr>
            <w:rPr>
              <w:szCs w:val="21"/>
            </w:rPr>
          </w:pPr>
          <w:sdt>
            <w:sdtPr>
              <w:rPr>
                <w:rFonts w:hint="eastAsia"/>
                <w:szCs w:val="21"/>
              </w:rPr>
              <w:alias w:val="是否适用：股权激励情况的说明[双击切换]"/>
              <w:tag w:val="_GBC_e5a032ecd3e24335b29a38809f65a990"/>
              <w:id w:val="-199781035"/>
              <w:lock w:val="sdtContentLocked"/>
              <w:placeholder>
                <w:docPart w:val="GBC22222222222222222222222222222"/>
              </w:placeholder>
            </w:sdtPr>
            <w:sdtContent>
              <w:r w:rsidR="00200151" w:rsidRPr="00E04FAA">
                <w:rPr>
                  <w:szCs w:val="21"/>
                </w:rPr>
                <w:fldChar w:fldCharType="begin"/>
              </w:r>
              <w:r w:rsidR="00982DDF" w:rsidRPr="00E04FAA">
                <w:rPr>
                  <w:szCs w:val="21"/>
                </w:rPr>
                <w:instrText xml:space="preserve"> MACROBUTTON  SnrToggleCheckbox √适用 </w:instrText>
              </w:r>
              <w:r w:rsidR="00200151" w:rsidRPr="00E04FAA">
                <w:rPr>
                  <w:szCs w:val="21"/>
                </w:rPr>
                <w:fldChar w:fldCharType="end"/>
              </w:r>
              <w:r w:rsidR="00200151" w:rsidRPr="00E04FAA">
                <w:rPr>
                  <w:szCs w:val="21"/>
                </w:rPr>
                <w:fldChar w:fldCharType="begin"/>
              </w:r>
              <w:r w:rsidR="00200151" w:rsidRPr="00E04FAA">
                <w:rPr>
                  <w:szCs w:val="21"/>
                </w:rPr>
                <w:instrText xml:space="preserve"> MACROBUTTON  SnrToggleCheckbox □不适用 </w:instrText>
              </w:r>
              <w:r w:rsidR="00200151" w:rsidRPr="00E04FAA">
                <w:rPr>
                  <w:szCs w:val="21"/>
                </w:rPr>
                <w:fldChar w:fldCharType="end"/>
              </w:r>
            </w:sdtContent>
          </w:sdt>
        </w:p>
        <w:sdt>
          <w:sdtPr>
            <w:rPr>
              <w:szCs w:val="21"/>
            </w:rPr>
            <w:alias w:val="股权激励情况的说明"/>
            <w:tag w:val="_GBC_be9fb7d8997f40ba95ab4f85bf0f7784"/>
            <w:id w:val="743459453"/>
            <w:lock w:val="sdtLocked"/>
            <w:placeholder>
              <w:docPart w:val="GBC22222222222222222222222222222"/>
            </w:placeholder>
          </w:sdtPr>
          <w:sdtContent>
            <w:p w:rsidR="006B0132" w:rsidRPr="00E04FAA" w:rsidRDefault="006B0132" w:rsidP="00000A4E">
              <w:pPr>
                <w:ind w:firstLine="420"/>
                <w:jc w:val="both"/>
              </w:pPr>
              <w:r w:rsidRPr="00E04FAA">
                <w:rPr>
                  <w:rFonts w:hint="eastAsia"/>
                </w:rPr>
                <w:t>公司于</w:t>
              </w:r>
              <w:r w:rsidRPr="00E04FAA">
                <w:t>2018年12月29日披露</w:t>
              </w:r>
              <w:r w:rsidRPr="00E04FAA">
                <w:rPr>
                  <w:rFonts w:hint="eastAsia"/>
                </w:rPr>
                <w:t>了</w:t>
              </w:r>
              <w:r w:rsidRPr="00E04FAA">
                <w:t>《公司关于注销已回购的股权激励股份的公告》，公司</w:t>
              </w:r>
              <w:r w:rsidRPr="00E04FAA">
                <w:rPr>
                  <w:rFonts w:hint="eastAsia"/>
                </w:rPr>
                <w:t>于2</w:t>
              </w:r>
              <w:r w:rsidRPr="00E04FAA">
                <w:t>019</w:t>
              </w:r>
              <w:r w:rsidRPr="00E04FAA">
                <w:rPr>
                  <w:rFonts w:hint="eastAsia"/>
                </w:rPr>
                <w:t>年1月2日</w:t>
              </w:r>
              <w:r w:rsidRPr="00E04FAA">
                <w:t>合计注销了</w:t>
              </w:r>
              <w:r w:rsidRPr="00E04FAA">
                <w:rPr>
                  <w:rFonts w:hint="eastAsia"/>
                </w:rPr>
                <w:t>350,859</w:t>
              </w:r>
              <w:r w:rsidRPr="00E04FAA">
                <w:t>股限制性股票。</w:t>
              </w:r>
              <w:r w:rsidRPr="00E04FAA">
                <w:rPr>
                  <w:rFonts w:hint="eastAsia"/>
                </w:rPr>
                <w:t>本次注销完成后，公司总股本</w:t>
              </w:r>
              <w:r w:rsidRPr="00E04FAA">
                <w:t>变为1,917,481,933股。</w:t>
              </w:r>
            </w:p>
            <w:p w:rsidR="00173AAD" w:rsidRPr="00E04FAA" w:rsidRDefault="007E430E" w:rsidP="00000A4E">
              <w:pPr>
                <w:ind w:firstLine="420"/>
                <w:jc w:val="both"/>
                <w:rPr>
                  <w:szCs w:val="21"/>
                </w:rPr>
              </w:pPr>
              <w:r w:rsidRPr="00E04FAA">
                <w:rPr>
                  <w:rFonts w:hint="eastAsia"/>
                  <w:szCs w:val="21"/>
                </w:rPr>
                <w:t>公司于</w:t>
              </w:r>
              <w:r w:rsidRPr="00E04FAA">
                <w:rPr>
                  <w:szCs w:val="21"/>
                </w:rPr>
                <w:t>2019年1月2日召开了第七届董事会第三十次会议，审议通过了《公司关于以集中竞价交易方式回购股份的议案》。</w:t>
              </w:r>
              <w:r w:rsidR="00E01BB0" w:rsidRPr="00E04FAA">
                <w:rPr>
                  <w:rFonts w:hint="eastAsia"/>
                  <w:szCs w:val="21"/>
                </w:rPr>
                <w:t>公司拟回购股份用于公司后期骨干员工股权激励。截至</w:t>
              </w:r>
              <w:r w:rsidR="00E01BB0" w:rsidRPr="00E04FAA">
                <w:rPr>
                  <w:szCs w:val="21"/>
                </w:rPr>
                <w:t>2019年7月2日，公司回购时间已到期，实际回购公司股份19,186,721股，占公司总股本的1%</w:t>
              </w:r>
              <w:r w:rsidR="008440B8" w:rsidRPr="00E04FAA">
                <w:rPr>
                  <w:rFonts w:hint="eastAsia"/>
                  <w:szCs w:val="21"/>
                </w:rPr>
                <w:t>。</w:t>
              </w:r>
            </w:p>
            <w:p w:rsidR="00173AAD" w:rsidRPr="00E04FAA" w:rsidRDefault="00E01BB0" w:rsidP="00000A4E">
              <w:pPr>
                <w:ind w:firstLine="420"/>
                <w:jc w:val="both"/>
                <w:rPr>
                  <w:szCs w:val="21"/>
                </w:rPr>
              </w:pPr>
              <w:r w:rsidRPr="00E04FAA">
                <w:rPr>
                  <w:rFonts w:hint="eastAsia"/>
                  <w:szCs w:val="21"/>
                </w:rPr>
                <w:t>公司于</w:t>
              </w:r>
              <w:r w:rsidR="00EB0275" w:rsidRPr="00E04FAA">
                <w:rPr>
                  <w:szCs w:val="21"/>
                </w:rPr>
                <w:t>2019年3月15日</w:t>
              </w:r>
              <w:r w:rsidRPr="00E04FAA">
                <w:rPr>
                  <w:szCs w:val="21"/>
                </w:rPr>
                <w:t>召开了第七届董事会第三十</w:t>
              </w:r>
              <w:r w:rsidR="00EB0275" w:rsidRPr="00E04FAA">
                <w:rPr>
                  <w:rFonts w:hint="eastAsia"/>
                  <w:szCs w:val="21"/>
                </w:rPr>
                <w:t>二</w:t>
              </w:r>
              <w:r w:rsidRPr="00E04FAA">
                <w:rPr>
                  <w:szCs w:val="21"/>
                </w:rPr>
                <w:t>次会议，审议通过了《公司</w:t>
              </w:r>
              <w:r w:rsidR="00EB0275" w:rsidRPr="00E04FAA">
                <w:rPr>
                  <w:rFonts w:hint="eastAsia"/>
                  <w:szCs w:val="21"/>
                </w:rPr>
                <w:t>关于作废部分已授出股票期权及回购注销部分已授出限制性股票的议案</w:t>
              </w:r>
              <w:r w:rsidRPr="00E04FAA">
                <w:rPr>
                  <w:szCs w:val="21"/>
                </w:rPr>
                <w:t>》。</w:t>
              </w:r>
              <w:r w:rsidR="00EB0275" w:rsidRPr="00E04FAA">
                <w:rPr>
                  <w:rFonts w:hint="eastAsia"/>
                  <w:szCs w:val="21"/>
                </w:rPr>
                <w:t>公司董事会决定作废原股权激励对象张清华等5</w:t>
              </w:r>
              <w:r w:rsidR="00EB0275" w:rsidRPr="00E04FAA">
                <w:rPr>
                  <w:szCs w:val="21"/>
                </w:rPr>
                <w:t>2</w:t>
              </w:r>
              <w:r w:rsidR="00EB0275" w:rsidRPr="00E04FAA">
                <w:rPr>
                  <w:rFonts w:hint="eastAsia"/>
                  <w:szCs w:val="21"/>
                </w:rPr>
                <w:t>人</w:t>
              </w:r>
              <w:r w:rsidR="00EB0275" w:rsidRPr="00E04FAA">
                <w:rPr>
                  <w:szCs w:val="21"/>
                </w:rPr>
                <w:t>已获授但未获准行权的股票期权共计881,466份，及回购注销已获授但尚未解锁的限制性股票共计437,334股。</w:t>
              </w:r>
            </w:p>
            <w:p w:rsidR="00883153" w:rsidRPr="00E04FAA" w:rsidRDefault="00982DDF" w:rsidP="00000A4E">
              <w:pPr>
                <w:ind w:firstLine="420"/>
                <w:jc w:val="both"/>
                <w:rPr>
                  <w:szCs w:val="21"/>
                </w:rPr>
              </w:pPr>
              <w:r w:rsidRPr="00E04FAA">
                <w:rPr>
                  <w:rFonts w:hint="eastAsia"/>
                  <w:szCs w:val="21"/>
                </w:rPr>
                <w:t>公司于</w:t>
              </w:r>
              <w:r w:rsidRPr="00E04FAA">
                <w:rPr>
                  <w:szCs w:val="21"/>
                </w:rPr>
                <w:t>2019年5月</w:t>
              </w:r>
              <w:r w:rsidR="000A54AB" w:rsidRPr="00E04FAA">
                <w:rPr>
                  <w:rFonts w:hint="eastAsia"/>
                  <w:szCs w:val="21"/>
                </w:rPr>
                <w:t>1</w:t>
              </w:r>
              <w:r w:rsidR="000A54AB" w:rsidRPr="00E04FAA">
                <w:rPr>
                  <w:szCs w:val="21"/>
                </w:rPr>
                <w:t>5</w:t>
              </w:r>
              <w:r w:rsidRPr="00E04FAA">
                <w:rPr>
                  <w:szCs w:val="21"/>
                </w:rPr>
                <w:t>日披露《公司关于注销已回购的股权激励股份的公告》，公司合计注销了</w:t>
              </w:r>
              <w:r w:rsidR="000A54AB" w:rsidRPr="00E04FAA">
                <w:rPr>
                  <w:szCs w:val="21"/>
                </w:rPr>
                <w:t>643,000</w:t>
              </w:r>
              <w:r w:rsidRPr="00E04FAA">
                <w:rPr>
                  <w:szCs w:val="21"/>
                </w:rPr>
                <w:t>股限制性股票。</w:t>
              </w:r>
              <w:r w:rsidR="00E04AFE" w:rsidRPr="00E04FAA">
                <w:rPr>
                  <w:rFonts w:hint="eastAsia"/>
                </w:rPr>
                <w:t>本次回购注销完成后，公司总股本</w:t>
              </w:r>
              <w:r w:rsidR="00E04AFE" w:rsidRPr="00E04FAA">
                <w:t>变为2,486,134,575股。</w:t>
              </w:r>
            </w:p>
          </w:sdtContent>
        </w:sdt>
      </w:sdtContent>
    </w:sdt>
    <w:p w:rsidR="00883153" w:rsidRPr="00E04FAA" w:rsidRDefault="00883153">
      <w:pPr>
        <w:rPr>
          <w:szCs w:val="21"/>
        </w:rPr>
      </w:pPr>
    </w:p>
    <w:sdt>
      <w:sdtPr>
        <w:rPr>
          <w:rFonts w:hint="eastAsia"/>
          <w:bCs/>
          <w:szCs w:val="21"/>
        </w:rPr>
        <w:alias w:val="模块:员工持股计划情况"/>
        <w:tag w:val="_SEC_70861e225efc4a6aa2a87c82bdeffa60"/>
        <w:id w:val="112325854"/>
        <w:lock w:val="sdtLocked"/>
        <w:placeholder>
          <w:docPart w:val="GBC22222222222222222222222222222"/>
        </w:placeholder>
      </w:sdtPr>
      <w:sdtContent>
        <w:p w:rsidR="00883153" w:rsidRPr="00E04FAA" w:rsidRDefault="00200151">
          <w:pPr>
            <w:rPr>
              <w:bCs/>
              <w:szCs w:val="21"/>
            </w:rPr>
          </w:pPr>
          <w:r w:rsidRPr="00E04FAA">
            <w:rPr>
              <w:rFonts w:hint="eastAsia"/>
              <w:bCs/>
              <w:szCs w:val="21"/>
            </w:rPr>
            <w:t>员工持股计划情况</w:t>
          </w:r>
        </w:p>
        <w:sdt>
          <w:sdtPr>
            <w:rPr>
              <w:szCs w:val="21"/>
            </w:rPr>
            <w:alias w:val="是否适用：员工持股计划情况[双击切换]"/>
            <w:tag w:val="_GBC_60a13b60efda4715a83fed9c5960ee3b"/>
            <w:id w:val="-1692294537"/>
            <w:lock w:val="sdtContentLocked"/>
            <w:placeholder>
              <w:docPart w:val="GBC22222222222222222222222222222"/>
            </w:placeholder>
          </w:sdtPr>
          <w:sdtContent>
            <w:p w:rsidR="00883153" w:rsidRPr="00E04FAA" w:rsidRDefault="00200151" w:rsidP="000C5139">
              <w:pPr>
                <w:rPr>
                  <w:bCs/>
                  <w:szCs w:val="21"/>
                </w:rPr>
              </w:pPr>
              <w:r w:rsidRPr="00E04FAA">
                <w:rPr>
                  <w:szCs w:val="21"/>
                </w:rPr>
                <w:fldChar w:fldCharType="begin"/>
              </w:r>
              <w:r w:rsidR="000C5139" w:rsidRPr="00E04FAA">
                <w:rPr>
                  <w:szCs w:val="21"/>
                </w:rPr>
                <w:instrText xml:space="preserve"> MACROBUTTON  SnrToggleCheckbox □适用 </w:instrText>
              </w:r>
              <w:r w:rsidRPr="00E04FAA">
                <w:rPr>
                  <w:szCs w:val="21"/>
                </w:rPr>
                <w:fldChar w:fldCharType="end"/>
              </w:r>
              <w:r w:rsidRPr="00E04FAA">
                <w:rPr>
                  <w:szCs w:val="21"/>
                </w:rPr>
                <w:fldChar w:fldCharType="begin"/>
              </w:r>
              <w:r w:rsidR="000C5139" w:rsidRPr="00E04FAA">
                <w:rPr>
                  <w:szCs w:val="21"/>
                </w:rPr>
                <w:instrText xml:space="preserve"> MACROBUTTON  SnrToggleCheckbox √不适用 </w:instrText>
              </w:r>
              <w:r w:rsidRPr="00E04FAA">
                <w:rPr>
                  <w:szCs w:val="21"/>
                </w:rPr>
                <w:fldChar w:fldCharType="end"/>
              </w:r>
            </w:p>
          </w:sdtContent>
        </w:sdt>
      </w:sdtContent>
    </w:sdt>
    <w:p w:rsidR="00883153" w:rsidRPr="00E04FAA" w:rsidRDefault="00883153">
      <w:pPr>
        <w:rPr>
          <w:bCs/>
          <w:szCs w:val="21"/>
        </w:rPr>
      </w:pPr>
    </w:p>
    <w:sdt>
      <w:sdtPr>
        <w:rPr>
          <w:rFonts w:hint="eastAsia"/>
          <w:bCs/>
          <w:szCs w:val="21"/>
        </w:rPr>
        <w:alias w:val="模块:其他激励措施"/>
        <w:tag w:val="_SEC_63920368dc0b49e9a257b190129bf278"/>
        <w:id w:val="-267857884"/>
        <w:lock w:val="sdtLocked"/>
        <w:placeholder>
          <w:docPart w:val="GBC22222222222222222222222222222"/>
        </w:placeholder>
      </w:sdtPr>
      <w:sdtContent>
        <w:p w:rsidR="00883153" w:rsidRPr="00E04FAA" w:rsidRDefault="00200151">
          <w:pPr>
            <w:rPr>
              <w:bCs/>
              <w:szCs w:val="21"/>
            </w:rPr>
          </w:pPr>
          <w:r w:rsidRPr="00E04FAA">
            <w:rPr>
              <w:rFonts w:hint="eastAsia"/>
              <w:bCs/>
              <w:szCs w:val="21"/>
            </w:rPr>
            <w:t>其他激励措施</w:t>
          </w:r>
        </w:p>
        <w:sdt>
          <w:sdtPr>
            <w:rPr>
              <w:szCs w:val="21"/>
            </w:rPr>
            <w:alias w:val="是否适用：其他激励措施[双击切换]"/>
            <w:tag w:val="_GBC_87e3c04518ac4bed97846d84cc8784e1"/>
            <w:id w:val="1162587297"/>
            <w:lock w:val="sdtContentLocked"/>
            <w:placeholder>
              <w:docPart w:val="GBC22222222222222222222222222222"/>
            </w:placeholder>
          </w:sdtPr>
          <w:sdtContent>
            <w:p w:rsidR="00883153" w:rsidRPr="00E04FAA" w:rsidRDefault="00200151" w:rsidP="000C5139">
              <w:pPr>
                <w:rPr>
                  <w:bCs/>
                  <w:szCs w:val="21"/>
                </w:rPr>
              </w:pPr>
              <w:r w:rsidRPr="00E04FAA">
                <w:rPr>
                  <w:szCs w:val="21"/>
                </w:rPr>
                <w:fldChar w:fldCharType="begin"/>
              </w:r>
              <w:r w:rsidR="000C5139" w:rsidRPr="00E04FAA">
                <w:rPr>
                  <w:szCs w:val="21"/>
                </w:rPr>
                <w:instrText xml:space="preserve"> MACROBUTTON  SnrToggleCheckbox □适用 </w:instrText>
              </w:r>
              <w:r w:rsidRPr="00E04FAA">
                <w:rPr>
                  <w:szCs w:val="21"/>
                </w:rPr>
                <w:fldChar w:fldCharType="end"/>
              </w:r>
              <w:r w:rsidRPr="00E04FAA">
                <w:rPr>
                  <w:szCs w:val="21"/>
                </w:rPr>
                <w:fldChar w:fldCharType="begin"/>
              </w:r>
              <w:r w:rsidR="000C5139" w:rsidRPr="00E04FAA">
                <w:rPr>
                  <w:szCs w:val="21"/>
                </w:rPr>
                <w:instrText xml:space="preserve"> MACROBUTTON  SnrToggleCheckbox √不适用 </w:instrText>
              </w:r>
              <w:r w:rsidRPr="00E04FAA">
                <w:rPr>
                  <w:szCs w:val="21"/>
                </w:rPr>
                <w:fldChar w:fldCharType="end"/>
              </w:r>
            </w:p>
          </w:sdtContent>
        </w:sdt>
      </w:sdtContent>
    </w:sdt>
    <w:p w:rsidR="00883153" w:rsidRPr="00E04FAA" w:rsidRDefault="00883153">
      <w:pPr>
        <w:rPr>
          <w:szCs w:val="21"/>
        </w:rPr>
      </w:pPr>
    </w:p>
    <w:p w:rsidR="00883153" w:rsidRPr="00E04FAA" w:rsidRDefault="00200151" w:rsidP="00FC3870">
      <w:pPr>
        <w:pStyle w:val="2"/>
        <w:numPr>
          <w:ilvl w:val="0"/>
          <w:numId w:val="30"/>
        </w:numPr>
        <w:spacing w:line="360" w:lineRule="auto"/>
      </w:pPr>
      <w:r w:rsidRPr="00E04FAA">
        <w:rPr>
          <w:rFonts w:hint="eastAsia"/>
        </w:rPr>
        <w:t>重大关联交易</w:t>
      </w:r>
    </w:p>
    <w:p w:rsidR="00883153" w:rsidRPr="00E04FAA" w:rsidRDefault="00200151">
      <w:pPr>
        <w:pStyle w:val="3"/>
        <w:numPr>
          <w:ilvl w:val="2"/>
          <w:numId w:val="2"/>
        </w:numPr>
      </w:pPr>
      <w:r w:rsidRPr="00E04FAA">
        <w:rPr>
          <w:rFonts w:hint="eastAsia"/>
        </w:rPr>
        <w:t>与日常经营相关的关联交易</w:t>
      </w:r>
    </w:p>
    <w:sdt>
      <w:sdtPr>
        <w:rPr>
          <w:rFonts w:ascii="Calibri" w:hAnsi="Calibri" w:cs="宋体"/>
          <w:b w:val="0"/>
          <w:bCs w:val="0"/>
          <w:kern w:val="0"/>
          <w:szCs w:val="22"/>
        </w:rPr>
        <w:alias w:val="模块:已在临时公告披露且后续实施无进展或变化的事项"/>
        <w:tag w:val="_SEC_b9489dd6b4c843e6be6e5a97de24b51b"/>
        <w:id w:val="-302303788"/>
        <w:lock w:val="sdtLocked"/>
        <w:placeholder>
          <w:docPart w:val="GBC22222222222222222222222222222"/>
        </w:placeholder>
      </w:sdtPr>
      <w:sdtEndPr>
        <w:rPr>
          <w:rFonts w:ascii="宋体" w:hAnsi="宋体" w:hint="eastAsia"/>
          <w:szCs w:val="24"/>
        </w:rPr>
      </w:sdtEndPr>
      <w:sdtContent>
        <w:p w:rsidR="00883153" w:rsidRPr="00E04FAA" w:rsidRDefault="00200151" w:rsidP="00FC3870">
          <w:pPr>
            <w:pStyle w:val="4"/>
            <w:numPr>
              <w:ilvl w:val="2"/>
              <w:numId w:val="10"/>
            </w:numPr>
          </w:pPr>
          <w:r w:rsidRPr="00E04FAA">
            <w:t>已在临时公告披露且后续实施无进展或变化的事项</w:t>
          </w:r>
        </w:p>
        <w:p w:rsidR="00883153" w:rsidRPr="00E04FAA" w:rsidRDefault="000D0A99" w:rsidP="000C5139">
          <w:sdt>
            <w:sdtPr>
              <w:alias w:val="是否适用：已在临时公告披露且后续实施无进展或变化的事项_与日常经营相关的关联交易[双击切换]"/>
              <w:tag w:val="_GBC_9cce66e2c46445bea6fd259dd8b5277c"/>
              <w:id w:val="1476416746"/>
              <w:lock w:val="sdtContentLocked"/>
              <w:placeholder>
                <w:docPart w:val="GBC22222222222222222222222222222"/>
              </w:placeholder>
            </w:sdtPr>
            <w:sdtContent>
              <w:r w:rsidR="00200151" w:rsidRPr="00E04FAA">
                <w:fldChar w:fldCharType="begin"/>
              </w:r>
              <w:r w:rsidR="000C5139" w:rsidRPr="00E04FAA">
                <w:instrText xml:space="preserve"> MACROBUTTON  SnrToggleCheckbox □适用 </w:instrText>
              </w:r>
              <w:r w:rsidR="00200151" w:rsidRPr="00E04FAA">
                <w:fldChar w:fldCharType="end"/>
              </w:r>
              <w:r w:rsidR="00200151" w:rsidRPr="00E04FAA">
                <w:fldChar w:fldCharType="begin"/>
              </w:r>
              <w:r w:rsidR="000C5139" w:rsidRPr="00E04FAA">
                <w:instrText xml:space="preserve"> MACROBUTTON  SnrToggleCheckbox √不适用 </w:instrText>
              </w:r>
              <w:r w:rsidR="00200151" w:rsidRPr="00E04FAA">
                <w:fldChar w:fldCharType="end"/>
              </w:r>
            </w:sdtContent>
          </w:sdt>
        </w:p>
      </w:sdtContent>
    </w:sdt>
    <w:sdt>
      <w:sdtPr>
        <w:rPr>
          <w:rFonts w:ascii="Calibri" w:hAnsi="Calibri" w:cs="宋体"/>
          <w:b w:val="0"/>
          <w:bCs w:val="0"/>
          <w:kern w:val="0"/>
          <w:szCs w:val="22"/>
        </w:rPr>
        <w:alias w:val="模块:已在临时公告披露，但有后续实施的进展或变化的事项"/>
        <w:tag w:val="_SEC_ec9777844cc44aa6b3f98c8af0a20f95"/>
        <w:id w:val="1988049977"/>
        <w:lock w:val="sdtLocked"/>
        <w:placeholder>
          <w:docPart w:val="GBC22222222222222222222222222222"/>
        </w:placeholder>
      </w:sdtPr>
      <w:sdtEndPr>
        <w:rPr>
          <w:rFonts w:ascii="宋体" w:hAnsi="宋体" w:hint="eastAsia"/>
          <w:szCs w:val="24"/>
        </w:rPr>
      </w:sdtEndPr>
      <w:sdtContent>
        <w:p w:rsidR="00883153" w:rsidRPr="00E04FAA" w:rsidRDefault="00200151" w:rsidP="00FC3870">
          <w:pPr>
            <w:pStyle w:val="4"/>
            <w:numPr>
              <w:ilvl w:val="2"/>
              <w:numId w:val="10"/>
            </w:numPr>
          </w:pPr>
          <w:r w:rsidRPr="00E04FAA">
            <w:t>已在临时公告披露，但有后续实施的进展或变化的事项</w:t>
          </w:r>
        </w:p>
        <w:sdt>
          <w:sdtPr>
            <w:alias w:val="是否适用：已在临时公告披露，但有后续实施的进展或变化的事项_与日常经营相关的关联交易[双击切换]"/>
            <w:tag w:val="_GBC_3d236e76c44140259dd09a3aed77ca15"/>
            <w:id w:val="1624341418"/>
            <w:lock w:val="sdtContentLocked"/>
            <w:placeholder>
              <w:docPart w:val="GBC22222222222222222222222222222"/>
            </w:placeholder>
          </w:sdtPr>
          <w:sdtContent>
            <w:p w:rsidR="00883153" w:rsidRPr="00E04FAA" w:rsidRDefault="00200151" w:rsidP="000C5139">
              <w:r w:rsidRPr="00E04FAA">
                <w:fldChar w:fldCharType="begin"/>
              </w:r>
              <w:r w:rsidR="000C5139" w:rsidRPr="00E04FAA">
                <w:instrText xml:space="preserve"> MACROBUTTON  SnrToggleCheckbox □适用 </w:instrText>
              </w:r>
              <w:r w:rsidRPr="00E04FAA">
                <w:fldChar w:fldCharType="end"/>
              </w:r>
              <w:r w:rsidRPr="00E04FAA">
                <w:fldChar w:fldCharType="begin"/>
              </w:r>
              <w:r w:rsidR="000C5139" w:rsidRPr="00E04FAA">
                <w:instrText xml:space="preserve"> MACROBUTTON  SnrToggleCheckbox √不适用 </w:instrText>
              </w:r>
              <w:r w:rsidRPr="00E04FAA">
                <w:fldChar w:fldCharType="end"/>
              </w:r>
            </w:p>
          </w:sdtContent>
        </w:sdt>
      </w:sdtContent>
    </w:sdt>
    <w:sdt>
      <w:sdtPr>
        <w:rPr>
          <w:rFonts w:ascii="Calibri" w:hAnsi="Calibri" w:cs="宋体" w:hint="eastAsia"/>
          <w:b w:val="0"/>
          <w:bCs w:val="0"/>
          <w:kern w:val="0"/>
          <w:szCs w:val="22"/>
        </w:rPr>
        <w:alias w:val="模块:临时公告未披露的事项"/>
        <w:tag w:val="_SEC_227a4feb5cd045acb20f0e655bf26ea8"/>
        <w:id w:val="-786497046"/>
        <w:lock w:val="sdtLocked"/>
        <w:placeholder>
          <w:docPart w:val="GBC22222222222222222222222222222"/>
        </w:placeholder>
      </w:sdtPr>
      <w:sdtEndPr>
        <w:rPr>
          <w:rFonts w:ascii="宋体" w:hAnsi="宋体" w:hint="default"/>
          <w:szCs w:val="21"/>
        </w:rPr>
      </w:sdtEndPr>
      <w:sdtContent>
        <w:p w:rsidR="00883153" w:rsidRPr="00E04FAA" w:rsidRDefault="00200151" w:rsidP="00FC3870">
          <w:pPr>
            <w:pStyle w:val="4"/>
            <w:numPr>
              <w:ilvl w:val="2"/>
              <w:numId w:val="10"/>
            </w:numPr>
          </w:pPr>
          <w:r w:rsidRPr="00E04FAA">
            <w:rPr>
              <w:rFonts w:hint="eastAsia"/>
            </w:rPr>
            <w:t>临时公告未披露的事项</w:t>
          </w:r>
        </w:p>
        <w:p w:rsidR="00883153" w:rsidRPr="00E04FAA" w:rsidRDefault="000D0A99" w:rsidP="000C5139">
          <w:pPr>
            <w:rPr>
              <w:szCs w:val="21"/>
            </w:rPr>
          </w:pPr>
          <w:sdt>
            <w:sdtPr>
              <w:alias w:val="是否适用：与日常经营相关的关联交易_临时公告未披露的事项[双击切换]"/>
              <w:tag w:val="_GBC_91ad548daaa84603a8faa6c0ce358499"/>
              <w:id w:val="-1746564686"/>
              <w:lock w:val="sdtContentLocked"/>
              <w:placeholder>
                <w:docPart w:val="GBC22222222222222222222222222222"/>
              </w:placeholder>
            </w:sdtPr>
            <w:sdtContent>
              <w:r w:rsidR="00200151" w:rsidRPr="00E04FAA">
                <w:fldChar w:fldCharType="begin"/>
              </w:r>
              <w:r w:rsidR="000C5139" w:rsidRPr="00E04FAA">
                <w:instrText xml:space="preserve"> MACROBUTTON  SnrToggleCheckbox □适用 </w:instrText>
              </w:r>
              <w:r w:rsidR="00200151" w:rsidRPr="00E04FAA">
                <w:fldChar w:fldCharType="end"/>
              </w:r>
              <w:r w:rsidR="00200151" w:rsidRPr="00E04FAA">
                <w:fldChar w:fldCharType="begin"/>
              </w:r>
              <w:r w:rsidR="000C5139" w:rsidRPr="00E04FAA">
                <w:instrText xml:space="preserve"> MACROBUTTON  SnrToggleCheckbox √不适用 </w:instrText>
              </w:r>
              <w:r w:rsidR="00200151" w:rsidRPr="00E04FAA">
                <w:fldChar w:fldCharType="end"/>
              </w:r>
            </w:sdtContent>
          </w:sdt>
        </w:p>
      </w:sdtContent>
    </w:sdt>
    <w:p w:rsidR="00CE5208" w:rsidRPr="00E04FAA" w:rsidRDefault="00CE5208" w:rsidP="000C5139">
      <w:pPr>
        <w:rPr>
          <w:szCs w:val="21"/>
        </w:rPr>
      </w:pPr>
    </w:p>
    <w:p w:rsidR="00883153" w:rsidRPr="00E04FAA" w:rsidRDefault="00200151">
      <w:pPr>
        <w:pStyle w:val="3"/>
        <w:numPr>
          <w:ilvl w:val="2"/>
          <w:numId w:val="2"/>
        </w:numPr>
      </w:pPr>
      <w:r w:rsidRPr="00E04FAA">
        <w:rPr>
          <w:rFonts w:hint="eastAsia"/>
        </w:rPr>
        <w:t>资产收购或股权收购、出售发生的关联交易</w:t>
      </w:r>
    </w:p>
    <w:sdt>
      <w:sdtPr>
        <w:rPr>
          <w:rFonts w:ascii="Calibri" w:hAnsi="Calibri" w:cs="宋体"/>
          <w:b w:val="0"/>
          <w:bCs w:val="0"/>
          <w:kern w:val="0"/>
          <w:szCs w:val="22"/>
        </w:rPr>
        <w:alias w:val="模块:已在临时公告披露且后续实施无进展或变化的事项"/>
        <w:tag w:val="_SEC_bf9131838c5b421d81cb3165b3861506"/>
        <w:id w:val="-1057242272"/>
        <w:lock w:val="sdtLocked"/>
        <w:placeholder>
          <w:docPart w:val="GBC22222222222222222222222222222"/>
        </w:placeholder>
      </w:sdtPr>
      <w:sdtEndPr>
        <w:rPr>
          <w:rFonts w:ascii="宋体" w:hAnsi="宋体"/>
          <w:szCs w:val="24"/>
        </w:rPr>
      </w:sdtEndPr>
      <w:sdtContent>
        <w:p w:rsidR="00883153" w:rsidRPr="00E04FAA" w:rsidRDefault="00200151" w:rsidP="00FC3870">
          <w:pPr>
            <w:pStyle w:val="4"/>
            <w:numPr>
              <w:ilvl w:val="0"/>
              <w:numId w:val="20"/>
            </w:numPr>
          </w:pPr>
          <w:r w:rsidRPr="00E04FAA">
            <w:t>已在临时公告披露且后续实施无进展或变化的事项</w:t>
          </w:r>
        </w:p>
        <w:sdt>
          <w:sdtPr>
            <w:alias w:val="是否适用：已在临时公告披露且后续实施无进展或变化的事项_资产或股权收购、出售发生的关联交易[双击切换]"/>
            <w:tag w:val="_GBC_208b69178a984ade8f4f4dd7a3362ae3"/>
            <w:id w:val="-1526171027"/>
            <w:lock w:val="sdtContentLocked"/>
            <w:placeholder>
              <w:docPart w:val="GBC22222222222222222222222222222"/>
            </w:placeholder>
          </w:sdtPr>
          <w:sdtContent>
            <w:p w:rsidR="00BC5116" w:rsidRPr="00E04FAA" w:rsidRDefault="00200151">
              <w:r w:rsidRPr="00E04FAA">
                <w:fldChar w:fldCharType="begin"/>
              </w:r>
              <w:r w:rsidR="00C75D8C" w:rsidRPr="00E04FAA">
                <w:instrText xml:space="preserve"> MACROBUTTON  SnrToggleCheckbox √适用 </w:instrText>
              </w:r>
              <w:r w:rsidRPr="00E04FAA">
                <w:fldChar w:fldCharType="end"/>
              </w:r>
              <w:r w:rsidRPr="00E04FAA">
                <w:fldChar w:fldCharType="begin"/>
              </w:r>
              <w:r w:rsidR="00C75D8C" w:rsidRPr="00E04FAA">
                <w:instrText xml:space="preserve"> MACROBUTTON  SnrToggleCheckbox □不适用 </w:instrText>
              </w:r>
              <w:r w:rsidRPr="00E04FAA">
                <w:fldChar w:fldCharType="end"/>
              </w:r>
            </w:p>
          </w:sdtContent>
        </w:sdt>
        <w:tbl>
          <w:tblPr>
            <w:tblStyle w:val="a9"/>
            <w:tblW w:w="0" w:type="auto"/>
            <w:tblLook w:val="04A0" w:firstRow="1" w:lastRow="0" w:firstColumn="1" w:lastColumn="0" w:noHBand="0" w:noVBand="1"/>
          </w:tblPr>
          <w:tblGrid>
            <w:gridCol w:w="4673"/>
            <w:gridCol w:w="4150"/>
          </w:tblGrid>
          <w:tr w:rsidR="00BC5116" w:rsidRPr="00E04FAA" w:rsidTr="00607299">
            <w:sdt>
              <w:sdtPr>
                <w:tag w:val="_PLD_8c23fd3fbb5e4f64a3e8c04645a2ad17"/>
                <w:id w:val="346230763"/>
                <w:lock w:val="sdtLocked"/>
              </w:sdtPr>
              <w:sdtContent>
                <w:tc>
                  <w:tcPr>
                    <w:tcW w:w="4673" w:type="dxa"/>
                  </w:tcPr>
                  <w:p w:rsidR="00BC5116" w:rsidRPr="00E04FAA" w:rsidRDefault="00BC5116" w:rsidP="001A1C83">
                    <w:pPr>
                      <w:jc w:val="center"/>
                    </w:pPr>
                    <w:r w:rsidRPr="00E04FAA">
                      <w:t>事项概述</w:t>
                    </w:r>
                  </w:p>
                </w:tc>
              </w:sdtContent>
            </w:sdt>
            <w:sdt>
              <w:sdtPr>
                <w:tag w:val="_PLD_33ab4723b35a485a88f0f87d615efe5f"/>
                <w:id w:val="-367525225"/>
                <w:lock w:val="sdtLocked"/>
              </w:sdtPr>
              <w:sdtContent>
                <w:tc>
                  <w:tcPr>
                    <w:tcW w:w="4150" w:type="dxa"/>
                  </w:tcPr>
                  <w:p w:rsidR="00BC5116" w:rsidRPr="00E04FAA" w:rsidRDefault="00BC5116" w:rsidP="001A1C83">
                    <w:pPr>
                      <w:jc w:val="center"/>
                    </w:pPr>
                    <w:r w:rsidRPr="00E04FAA">
                      <w:t>查询索引</w:t>
                    </w:r>
                  </w:p>
                </w:tc>
              </w:sdtContent>
            </w:sdt>
          </w:tr>
          <w:sdt>
            <w:sdtPr>
              <w:rPr>
                <w:rFonts w:ascii="Calibri" w:eastAsiaTheme="minorEastAsia" w:hAnsi="Calibri" w:cstheme="minorBidi" w:hint="eastAsia"/>
                <w:kern w:val="2"/>
                <w:szCs w:val="22"/>
              </w:rPr>
              <w:alias w:val="资产收购、出售发生的关联交易事项已在临时报告披露且后续实施无进展或变化的"/>
              <w:tag w:val="_TUP_02b62502f0834ef584cdfe6ac293aa5a"/>
              <w:id w:val="-1470426683"/>
              <w:lock w:val="sdtLocked"/>
              <w:placeholder>
                <w:docPart w:val="E0968711854349FAAA56721B4AB34713"/>
              </w:placeholder>
            </w:sdtPr>
            <w:sdtContent>
              <w:tr w:rsidR="00BC5116" w:rsidRPr="00E04FAA" w:rsidTr="00607299">
                <w:tc>
                  <w:tcPr>
                    <w:tcW w:w="4673" w:type="dxa"/>
                  </w:tcPr>
                  <w:p w:rsidR="00BC5116" w:rsidRPr="00E04FAA" w:rsidRDefault="00BC5116" w:rsidP="001A1C83">
                    <w:pPr>
                      <w:jc w:val="left"/>
                    </w:pPr>
                    <w:r w:rsidRPr="00E04FAA">
                      <w:rPr>
                        <w:rFonts w:ascii="Calibri" w:eastAsiaTheme="minorEastAsia" w:hAnsi="Calibri" w:cstheme="minorBidi" w:hint="eastAsia"/>
                        <w:kern w:val="2"/>
                        <w:szCs w:val="22"/>
                      </w:rPr>
                      <w:t>发起设立用友薪福社云科技有限公司</w:t>
                    </w:r>
                  </w:p>
                </w:tc>
                <w:tc>
                  <w:tcPr>
                    <w:tcW w:w="4150" w:type="dxa"/>
                  </w:tcPr>
                  <w:p w:rsidR="00BC5116" w:rsidRPr="00E04FAA" w:rsidRDefault="00BC5116" w:rsidP="001A1C83">
                    <w:pPr>
                      <w:jc w:val="left"/>
                    </w:pPr>
                    <w:r w:rsidRPr="00E04FAA">
                      <w:rPr>
                        <w:rFonts w:hint="eastAsia"/>
                      </w:rPr>
                      <w:t>临</w:t>
                    </w:r>
                    <w:r w:rsidRPr="00E04FAA">
                      <w:t>2019-042</w:t>
                    </w:r>
                  </w:p>
                </w:tc>
              </w:tr>
            </w:sdtContent>
          </w:sdt>
          <w:sdt>
            <w:sdtPr>
              <w:rPr>
                <w:rFonts w:ascii="Calibri" w:eastAsiaTheme="minorEastAsia" w:hAnsi="Calibri" w:cstheme="minorBidi" w:hint="eastAsia"/>
                <w:kern w:val="2"/>
                <w:szCs w:val="22"/>
              </w:rPr>
              <w:alias w:val="资产收购、出售发生的关联交易事项已在临时报告披露且后续实施无进展或变化的"/>
              <w:tag w:val="_TUP_02b62502f0834ef584cdfe6ac293aa5a"/>
              <w:id w:val="-181199503"/>
              <w:lock w:val="sdtLocked"/>
              <w:placeholder>
                <w:docPart w:val="E0968711854349FAAA56721B4AB34713"/>
              </w:placeholder>
            </w:sdtPr>
            <w:sdtContent>
              <w:tr w:rsidR="00BC5116" w:rsidRPr="00E04FAA" w:rsidTr="00607299">
                <w:tc>
                  <w:tcPr>
                    <w:tcW w:w="4673" w:type="dxa"/>
                  </w:tcPr>
                  <w:p w:rsidR="00BC5116" w:rsidRPr="00E04FAA" w:rsidRDefault="00BC5116" w:rsidP="001A1C83">
                    <w:pPr>
                      <w:jc w:val="left"/>
                    </w:pPr>
                    <w:r w:rsidRPr="00E04FAA">
                      <w:rPr>
                        <w:rFonts w:ascii="Calibri" w:eastAsiaTheme="minorEastAsia" w:hAnsi="Calibri" w:cstheme="minorBidi" w:hint="eastAsia"/>
                        <w:kern w:val="2"/>
                        <w:szCs w:val="22"/>
                      </w:rPr>
                      <w:t>收购用友能源科技有限公司部分股权</w:t>
                    </w:r>
                  </w:p>
                </w:tc>
                <w:tc>
                  <w:tcPr>
                    <w:tcW w:w="4150" w:type="dxa"/>
                  </w:tcPr>
                  <w:p w:rsidR="00BC5116" w:rsidRPr="00E04FAA" w:rsidRDefault="00BC5116" w:rsidP="001A1C83">
                    <w:pPr>
                      <w:jc w:val="left"/>
                    </w:pPr>
                    <w:r w:rsidRPr="00E04FAA">
                      <w:rPr>
                        <w:rFonts w:hint="eastAsia"/>
                      </w:rPr>
                      <w:t>临</w:t>
                    </w:r>
                    <w:r w:rsidRPr="00E04FAA">
                      <w:t>2019-043</w:t>
                    </w:r>
                  </w:p>
                </w:tc>
              </w:tr>
            </w:sdtContent>
          </w:sdt>
          <w:sdt>
            <w:sdtPr>
              <w:rPr>
                <w:rFonts w:ascii="Calibri" w:eastAsiaTheme="minorEastAsia" w:hAnsi="Calibri" w:cstheme="minorBidi" w:hint="eastAsia"/>
                <w:kern w:val="2"/>
                <w:szCs w:val="22"/>
              </w:rPr>
              <w:alias w:val="资产收购、出售发生的关联交易事项已在临时报告披露且后续实施无进展或变化的"/>
              <w:tag w:val="_TUP_02b62502f0834ef584cdfe6ac293aa5a"/>
              <w:id w:val="-1037423726"/>
              <w:lock w:val="sdtLocked"/>
              <w:placeholder>
                <w:docPart w:val="E0968711854349FAAA56721B4AB34713"/>
              </w:placeholder>
            </w:sdtPr>
            <w:sdtContent>
              <w:tr w:rsidR="00BC5116" w:rsidRPr="00E04FAA" w:rsidTr="00607299">
                <w:tc>
                  <w:tcPr>
                    <w:tcW w:w="4673" w:type="dxa"/>
                  </w:tcPr>
                  <w:p w:rsidR="00BC5116" w:rsidRPr="00E04FAA" w:rsidRDefault="00BC5116" w:rsidP="001A1C83">
                    <w:pPr>
                      <w:jc w:val="left"/>
                    </w:pPr>
                    <w:r w:rsidRPr="00E04FAA">
                      <w:rPr>
                        <w:rFonts w:ascii="Calibri" w:eastAsiaTheme="minorEastAsia" w:hAnsi="Calibri" w:cstheme="minorBidi" w:hint="eastAsia"/>
                        <w:kern w:val="2"/>
                        <w:szCs w:val="22"/>
                      </w:rPr>
                      <w:t>关于转让北京用友审计软件有限公司部分股权</w:t>
                    </w:r>
                  </w:p>
                </w:tc>
                <w:tc>
                  <w:tcPr>
                    <w:tcW w:w="4150" w:type="dxa"/>
                  </w:tcPr>
                  <w:p w:rsidR="00BC5116" w:rsidRPr="00E04FAA" w:rsidRDefault="00BC5116" w:rsidP="001A1C83">
                    <w:pPr>
                      <w:jc w:val="left"/>
                    </w:pPr>
                    <w:r w:rsidRPr="00E04FAA">
                      <w:rPr>
                        <w:rFonts w:hint="eastAsia"/>
                      </w:rPr>
                      <w:t>临</w:t>
                    </w:r>
                    <w:r w:rsidRPr="00E04FAA">
                      <w:t>2019-044</w:t>
                    </w:r>
                  </w:p>
                </w:tc>
              </w:tr>
            </w:sdtContent>
          </w:sdt>
        </w:tbl>
        <w:p w:rsidR="00883153" w:rsidRPr="00E04FAA" w:rsidRDefault="000D0A99" w:rsidP="00BC5116"/>
      </w:sdtContent>
    </w:sdt>
    <w:sdt>
      <w:sdtPr>
        <w:rPr>
          <w:rFonts w:ascii="Calibri" w:hAnsi="Calibri" w:cs="宋体"/>
          <w:b w:val="0"/>
          <w:bCs w:val="0"/>
          <w:kern w:val="0"/>
          <w:szCs w:val="22"/>
        </w:rPr>
        <w:alias w:val="模块:已在临时公告披露，但有后续实施的进展或变化的事项"/>
        <w:tag w:val="_SEC_f9a57b14408248c4bc6881cfd0e81074"/>
        <w:id w:val="-2002960006"/>
        <w:lock w:val="sdtLocked"/>
        <w:placeholder>
          <w:docPart w:val="GBC22222222222222222222222222222"/>
        </w:placeholder>
      </w:sdtPr>
      <w:sdtEndPr>
        <w:rPr>
          <w:rFonts w:ascii="宋体" w:hAnsi="宋体" w:hint="eastAsia"/>
          <w:szCs w:val="24"/>
        </w:rPr>
      </w:sdtEndPr>
      <w:sdtContent>
        <w:p w:rsidR="00883153" w:rsidRPr="00E04FAA" w:rsidRDefault="00200151" w:rsidP="00FC3870">
          <w:pPr>
            <w:pStyle w:val="4"/>
            <w:numPr>
              <w:ilvl w:val="0"/>
              <w:numId w:val="20"/>
            </w:numPr>
          </w:pPr>
          <w:r w:rsidRPr="00E04FAA">
            <w:t>已在临时公告披露，但有后续实施的进展或变化的事项</w:t>
          </w:r>
        </w:p>
        <w:sdt>
          <w:sdtPr>
            <w:alias w:val="是否适用：已在临时公告披露，但有后续实施的进展或变化的事项_资产或股权收购、出售发生的关联交易[双击切换]"/>
            <w:tag w:val="_GBC_b72de17637e74020b42aa0636b393f25"/>
            <w:id w:val="-1499258182"/>
            <w:lock w:val="sdtContentLocked"/>
            <w:placeholder>
              <w:docPart w:val="GBC22222222222222222222222222222"/>
            </w:placeholder>
          </w:sdtPr>
          <w:sdtContent>
            <w:p w:rsidR="00883153" w:rsidRPr="00E04FAA" w:rsidRDefault="00200151">
              <w:r w:rsidRPr="00E04FAA">
                <w:fldChar w:fldCharType="begin"/>
              </w:r>
              <w:r w:rsidR="00C75D8C" w:rsidRPr="00E04FAA">
                <w:instrText xml:space="preserve"> MACROBUTTON  SnrToggleCheckbox □适用 </w:instrText>
              </w:r>
              <w:r w:rsidRPr="00E04FAA">
                <w:fldChar w:fldCharType="end"/>
              </w:r>
              <w:r w:rsidRPr="00E04FAA">
                <w:fldChar w:fldCharType="begin"/>
              </w:r>
              <w:r w:rsidR="00C75D8C" w:rsidRPr="00E04FAA">
                <w:instrText xml:space="preserve"> MACROBUTTON  SnrToggleCheckbox √不适用 </w:instrText>
              </w:r>
              <w:r w:rsidRPr="00E04FAA">
                <w:fldChar w:fldCharType="end"/>
              </w:r>
            </w:p>
          </w:sdtContent>
        </w:sdt>
      </w:sdtContent>
    </w:sdt>
    <w:sdt>
      <w:sdtPr>
        <w:rPr>
          <w:rFonts w:ascii="Calibri" w:hAnsi="Calibri" w:cs="宋体"/>
          <w:b w:val="0"/>
          <w:bCs w:val="0"/>
          <w:kern w:val="0"/>
          <w:szCs w:val="22"/>
        </w:rPr>
        <w:alias w:val="模块:临时公告未披露的事项"/>
        <w:tag w:val="_SEC_a7b4eef2f39c4550974e81ee8caca798"/>
        <w:id w:val="209391775"/>
        <w:lock w:val="sdtLocked"/>
        <w:placeholder>
          <w:docPart w:val="GBC22222222222222222222222222222"/>
        </w:placeholder>
      </w:sdtPr>
      <w:sdtEndPr>
        <w:rPr>
          <w:rFonts w:ascii="宋体" w:hAnsi="宋体" w:hint="eastAsia"/>
          <w:szCs w:val="24"/>
        </w:rPr>
      </w:sdtEndPr>
      <w:sdtContent>
        <w:p w:rsidR="00883153" w:rsidRPr="00E04FAA" w:rsidRDefault="00200151" w:rsidP="00FC3870">
          <w:pPr>
            <w:pStyle w:val="4"/>
            <w:numPr>
              <w:ilvl w:val="0"/>
              <w:numId w:val="20"/>
            </w:numPr>
            <w:rPr>
              <w:rFonts w:ascii="Calibri" w:hAnsi="Calibri"/>
              <w:szCs w:val="32"/>
            </w:rPr>
          </w:pPr>
          <w:r w:rsidRPr="00E04FAA">
            <w:rPr>
              <w:rFonts w:ascii="Calibri" w:hAnsi="Calibri"/>
              <w:szCs w:val="32"/>
            </w:rPr>
            <w:t>临时公告未披露的事项</w:t>
          </w:r>
        </w:p>
        <w:sdt>
          <w:sdtPr>
            <w:alias w:val="是否适用：资产收购、出售发生的关联交易_临时公告未披露的事项[双击切换]"/>
            <w:tag w:val="_GBC_d3f1f3f5ce564209aee49197432643af"/>
            <w:id w:val="762955476"/>
            <w:lock w:val="sdtContentLocked"/>
            <w:placeholder>
              <w:docPart w:val="GBC22222222222222222222222222222"/>
            </w:placeholder>
          </w:sdtPr>
          <w:sdtContent>
            <w:p w:rsidR="00883153" w:rsidRPr="00E04FAA" w:rsidRDefault="00200151">
              <w:r w:rsidRPr="00E04FAA">
                <w:fldChar w:fldCharType="begin"/>
              </w:r>
              <w:r w:rsidR="00C75D8C" w:rsidRPr="00E04FAA">
                <w:instrText xml:space="preserve"> MACROBUTTON  SnrToggleCheckbox □适用 </w:instrText>
              </w:r>
              <w:r w:rsidRPr="00E04FAA">
                <w:fldChar w:fldCharType="end"/>
              </w:r>
              <w:r w:rsidRPr="00E04FAA">
                <w:fldChar w:fldCharType="begin"/>
              </w:r>
              <w:r w:rsidR="00C75D8C" w:rsidRPr="00E04FAA">
                <w:instrText xml:space="preserve"> MACROBUTTON  SnrToggleCheckbox √不适用 </w:instrText>
              </w:r>
              <w:r w:rsidRPr="00E04FAA">
                <w:fldChar w:fldCharType="end"/>
              </w:r>
            </w:p>
          </w:sdtContent>
        </w:sdt>
      </w:sdtContent>
    </w:sdt>
    <w:sdt>
      <w:sdtPr>
        <w:rPr>
          <w:rFonts w:ascii="宋体" w:hAnsi="宋体" w:cs="宋体"/>
          <w:b w:val="0"/>
          <w:bCs w:val="0"/>
          <w:kern w:val="0"/>
          <w:szCs w:val="24"/>
        </w:rPr>
        <w:alias w:val="模块:涉及业绩约定的，应当披露报告期内的业绩实现情况"/>
        <w:tag w:val="_SEC_e17a03ced9e54c92b773a7e185d85bd3"/>
        <w:id w:val="635069776"/>
        <w:lock w:val="sdtLocked"/>
        <w:placeholder>
          <w:docPart w:val="GBC22222222222222222222222222222"/>
        </w:placeholder>
      </w:sdtPr>
      <w:sdtContent>
        <w:p w:rsidR="00883153" w:rsidRPr="00E04FAA" w:rsidRDefault="00200151" w:rsidP="00FC3870">
          <w:pPr>
            <w:pStyle w:val="4"/>
            <w:numPr>
              <w:ilvl w:val="0"/>
              <w:numId w:val="20"/>
            </w:numPr>
          </w:pPr>
          <w:r w:rsidRPr="00E04FAA">
            <w:t>涉及业绩约定的，应当披露报告期内的业绩实现情况</w:t>
          </w:r>
        </w:p>
        <w:sdt>
          <w:sdtPr>
            <w:alias w:val="是否适用：涉及业绩约定的，应当披露报告期内的业绩实现情况[双击切换]"/>
            <w:tag w:val="_GBC_0640a8fc3526461ca1eed7810b087c23"/>
            <w:id w:val="-589855085"/>
            <w:lock w:val="sdtContentLocked"/>
            <w:placeholder>
              <w:docPart w:val="GBC22222222222222222222222222222"/>
            </w:placeholder>
          </w:sdtPr>
          <w:sdtContent>
            <w:p w:rsidR="00CE5208" w:rsidRPr="00E04FAA" w:rsidRDefault="00200151" w:rsidP="00C75D8C">
              <w:r w:rsidRPr="00E04FAA">
                <w:fldChar w:fldCharType="begin"/>
              </w:r>
              <w:r w:rsidR="00C75D8C" w:rsidRPr="00E04FAA">
                <w:instrText xml:space="preserve"> MACROBUTTON  SnrToggleCheckbox □适用 </w:instrText>
              </w:r>
              <w:r w:rsidRPr="00E04FAA">
                <w:fldChar w:fldCharType="end"/>
              </w:r>
              <w:r w:rsidRPr="00E04FAA">
                <w:fldChar w:fldCharType="begin"/>
              </w:r>
              <w:r w:rsidR="00C75D8C" w:rsidRPr="00E04FAA">
                <w:instrText xml:space="preserve"> MACROBUTTON  SnrToggleCheckbox √不适用 </w:instrText>
              </w:r>
              <w:r w:rsidRPr="00E04FAA">
                <w:fldChar w:fldCharType="end"/>
              </w:r>
            </w:p>
          </w:sdtContent>
        </w:sdt>
      </w:sdtContent>
    </w:sdt>
    <w:p w:rsidR="00883153" w:rsidRPr="00E04FAA" w:rsidRDefault="00883153"/>
    <w:p w:rsidR="00883153" w:rsidRPr="00E04FAA" w:rsidRDefault="00200151">
      <w:pPr>
        <w:pStyle w:val="3"/>
        <w:numPr>
          <w:ilvl w:val="2"/>
          <w:numId w:val="2"/>
        </w:numPr>
      </w:pPr>
      <w:r w:rsidRPr="00E04FAA">
        <w:rPr>
          <w:rFonts w:hint="eastAsia"/>
        </w:rPr>
        <w:lastRenderedPageBreak/>
        <w:t>共同对外投资的重大关联交易</w:t>
      </w:r>
    </w:p>
    <w:sdt>
      <w:sdtPr>
        <w:rPr>
          <w:rFonts w:ascii="Calibri" w:hAnsi="Calibri" w:cs="宋体"/>
          <w:b w:val="0"/>
          <w:bCs w:val="0"/>
          <w:kern w:val="0"/>
          <w:szCs w:val="22"/>
        </w:rPr>
        <w:alias w:val="模块:已在临时公告披露且后续实施无进展或变化的事项"/>
        <w:tag w:val="_SEC_d9e67609bdab489e985efba8758860bd"/>
        <w:id w:val="610785050"/>
        <w:lock w:val="sdtLocked"/>
        <w:placeholder>
          <w:docPart w:val="GBC22222222222222222222222222222"/>
        </w:placeholder>
      </w:sdtPr>
      <w:sdtEndPr>
        <w:rPr>
          <w:rFonts w:ascii="宋体" w:hAnsi="宋体" w:hint="eastAsia"/>
          <w:b/>
          <w:bCs/>
          <w:szCs w:val="24"/>
        </w:rPr>
      </w:sdtEndPr>
      <w:sdtContent>
        <w:p w:rsidR="00883153" w:rsidRPr="00E04FAA" w:rsidRDefault="00200151" w:rsidP="00FC3870">
          <w:pPr>
            <w:pStyle w:val="4"/>
            <w:numPr>
              <w:ilvl w:val="0"/>
              <w:numId w:val="21"/>
            </w:numPr>
          </w:pPr>
          <w:r w:rsidRPr="00E04FAA">
            <w:t>已在临时公告披露且后续实施无进展或变化的事项</w:t>
          </w:r>
        </w:p>
        <w:p w:rsidR="000D685E" w:rsidRPr="00E04FAA" w:rsidRDefault="000D0A99" w:rsidP="000D685E">
          <w:pPr>
            <w:rPr>
              <w:rFonts w:ascii="Calibri" w:hAnsi="Calibri"/>
              <w:b/>
              <w:bCs/>
              <w:szCs w:val="22"/>
            </w:rPr>
          </w:pPr>
          <w:sdt>
            <w:sdtPr>
              <w:alias w:val="是否适用：已在临时公告披露且后续实施无进展或变化的事项_共同对外投资的重大关联交易[双击切换]"/>
              <w:tag w:val="_GBC_dda9192a67f44f8698afb5d0b3e3c767"/>
              <w:id w:val="291180945"/>
              <w:lock w:val="sdtContentLocked"/>
              <w:placeholder>
                <w:docPart w:val="GBC22222222222222222222222222222"/>
              </w:placeholder>
            </w:sdtPr>
            <w:sdtContent>
              <w:r w:rsidR="00200151" w:rsidRPr="00E04FAA">
                <w:fldChar w:fldCharType="begin"/>
              </w:r>
              <w:r w:rsidR="000D685E" w:rsidRPr="00E04FAA">
                <w:instrText xml:space="preserve"> MACROBUTTON  SnrToggleCheckbox □适用 </w:instrText>
              </w:r>
              <w:r w:rsidR="00200151" w:rsidRPr="00E04FAA">
                <w:fldChar w:fldCharType="end"/>
              </w:r>
              <w:r w:rsidR="00200151" w:rsidRPr="00E04FAA">
                <w:fldChar w:fldCharType="begin"/>
              </w:r>
              <w:r w:rsidR="000D685E" w:rsidRPr="00E04FAA">
                <w:instrText xml:space="preserve"> MACROBUTTON  SnrToggleCheckbox √不适用 </w:instrText>
              </w:r>
              <w:r w:rsidR="00200151" w:rsidRPr="00E04FAA">
                <w:fldChar w:fldCharType="end"/>
              </w:r>
            </w:sdtContent>
          </w:sdt>
        </w:p>
      </w:sdtContent>
    </w:sdt>
    <w:sdt>
      <w:sdtPr>
        <w:rPr>
          <w:rFonts w:ascii="Calibri" w:hAnsi="Calibri" w:cs="宋体"/>
          <w:b w:val="0"/>
          <w:bCs w:val="0"/>
          <w:kern w:val="0"/>
          <w:szCs w:val="22"/>
        </w:rPr>
        <w:alias w:val="模块:已在临时公告披露，但有后续实施的进展或变化的事项"/>
        <w:tag w:val="_SEC_53e4f8cd2c114fb1a1c9d74236ebd2fc"/>
        <w:id w:val="-714354332"/>
        <w:lock w:val="sdtLocked"/>
        <w:placeholder>
          <w:docPart w:val="GBC22222222222222222222222222222"/>
        </w:placeholder>
      </w:sdtPr>
      <w:sdtEndPr>
        <w:rPr>
          <w:rFonts w:ascii="宋体" w:hAnsi="宋体" w:hint="eastAsia"/>
          <w:szCs w:val="24"/>
        </w:rPr>
      </w:sdtEndPr>
      <w:sdtContent>
        <w:p w:rsidR="00883153" w:rsidRPr="00E04FAA" w:rsidRDefault="00200151" w:rsidP="00FC3870">
          <w:pPr>
            <w:pStyle w:val="4"/>
            <w:numPr>
              <w:ilvl w:val="0"/>
              <w:numId w:val="21"/>
            </w:numPr>
          </w:pPr>
          <w:r w:rsidRPr="00E04FAA">
            <w:t>已在临时公告披露，但有后续实施的进展或变化的事项</w:t>
          </w:r>
        </w:p>
        <w:sdt>
          <w:sdtPr>
            <w:alias w:val="是否适用：已在临时公告披露，但有后续实施的进展或变化的事项_共同对外投资的重大关联交易[双击切换]"/>
            <w:tag w:val="_GBC_f5354c189ecd4cad9ef1e263c325c0db"/>
            <w:id w:val="1949119706"/>
            <w:lock w:val="sdtContentLocked"/>
            <w:placeholder>
              <w:docPart w:val="GBC22222222222222222222222222222"/>
            </w:placeholder>
          </w:sdtPr>
          <w:sdtContent>
            <w:p w:rsidR="00883153" w:rsidRPr="00E04FAA" w:rsidRDefault="00200151" w:rsidP="00C75D8C">
              <w:r w:rsidRPr="00E04FAA">
                <w:fldChar w:fldCharType="begin"/>
              </w:r>
              <w:r w:rsidR="00C75D8C" w:rsidRPr="00E04FAA">
                <w:instrText xml:space="preserve"> MACROBUTTON  SnrToggleCheckbox □适用 </w:instrText>
              </w:r>
              <w:r w:rsidRPr="00E04FAA">
                <w:fldChar w:fldCharType="end"/>
              </w:r>
              <w:r w:rsidRPr="00E04FAA">
                <w:fldChar w:fldCharType="begin"/>
              </w:r>
              <w:r w:rsidR="00C75D8C" w:rsidRPr="00E04FAA">
                <w:instrText xml:space="preserve"> MACROBUTTON  SnrToggleCheckbox √不适用 </w:instrText>
              </w:r>
              <w:r w:rsidRPr="00E04FAA">
                <w:fldChar w:fldCharType="end"/>
              </w:r>
            </w:p>
          </w:sdtContent>
        </w:sdt>
      </w:sdtContent>
    </w:sdt>
    <w:sdt>
      <w:sdtPr>
        <w:rPr>
          <w:rFonts w:ascii="Calibri" w:hAnsi="Calibri" w:cs="宋体"/>
          <w:b w:val="0"/>
          <w:bCs w:val="0"/>
          <w:kern w:val="0"/>
          <w:szCs w:val="22"/>
        </w:rPr>
        <w:alias w:val="模块:临时公告未披露的事项"/>
        <w:tag w:val="_SEC_25e347f9cbc546cbafdf30522b654328"/>
        <w:id w:val="1442722947"/>
        <w:lock w:val="sdtLocked"/>
        <w:placeholder>
          <w:docPart w:val="GBC22222222222222222222222222222"/>
        </w:placeholder>
      </w:sdtPr>
      <w:sdtEndPr>
        <w:rPr>
          <w:rFonts w:ascii="宋体" w:hAnsi="宋体" w:hint="eastAsia"/>
          <w:szCs w:val="24"/>
        </w:rPr>
      </w:sdtEndPr>
      <w:sdtContent>
        <w:p w:rsidR="00883153" w:rsidRPr="00E04FAA" w:rsidRDefault="00200151" w:rsidP="00FC3870">
          <w:pPr>
            <w:pStyle w:val="4"/>
            <w:numPr>
              <w:ilvl w:val="0"/>
              <w:numId w:val="21"/>
            </w:numPr>
          </w:pPr>
          <w:r w:rsidRPr="00E04FAA">
            <w:t>临时公告未披露的事项</w:t>
          </w:r>
        </w:p>
        <w:sdt>
          <w:sdtPr>
            <w:rPr>
              <w:rFonts w:hint="eastAsia"/>
            </w:rPr>
            <w:alias w:val="是否适用：共同对外投资的重大关联交易_临时公告未披露的事项[双击切换]"/>
            <w:tag w:val="_GBC_3ac28148c3754202ba544078ad581a24"/>
            <w:id w:val="1537464003"/>
            <w:lock w:val="sdtContentLocked"/>
            <w:placeholder>
              <w:docPart w:val="GBC22222222222222222222222222222"/>
            </w:placeholder>
          </w:sdtPr>
          <w:sdtContent>
            <w:p w:rsidR="00C75D8C" w:rsidRPr="00E04FAA" w:rsidRDefault="00200151" w:rsidP="00C75D8C">
              <w:r w:rsidRPr="00E04FAA">
                <w:fldChar w:fldCharType="begin"/>
              </w:r>
              <w:r w:rsidR="00C75D8C" w:rsidRPr="00E04FAA">
                <w:instrText xml:space="preserve"> MACROBUTTON  SnrToggleCheckbox □适用 </w:instrText>
              </w:r>
              <w:r w:rsidRPr="00E04FAA">
                <w:fldChar w:fldCharType="end"/>
              </w:r>
              <w:r w:rsidRPr="00E04FAA">
                <w:fldChar w:fldCharType="begin"/>
              </w:r>
              <w:r w:rsidR="00C75D8C" w:rsidRPr="00E04FAA">
                <w:instrText xml:space="preserve"> MACROBUTTON  SnrToggleCheckbox √不适用 </w:instrText>
              </w:r>
              <w:r w:rsidRPr="00E04FAA">
                <w:fldChar w:fldCharType="end"/>
              </w:r>
            </w:p>
          </w:sdtContent>
        </w:sdt>
      </w:sdtContent>
    </w:sdt>
    <w:p w:rsidR="00883153" w:rsidRPr="00E04FAA" w:rsidRDefault="00883153"/>
    <w:p w:rsidR="00883153" w:rsidRPr="00E04FAA" w:rsidRDefault="00200151">
      <w:pPr>
        <w:pStyle w:val="3"/>
        <w:numPr>
          <w:ilvl w:val="2"/>
          <w:numId w:val="2"/>
        </w:numPr>
      </w:pPr>
      <w:r w:rsidRPr="00E04FAA">
        <w:rPr>
          <w:rFonts w:hint="eastAsia"/>
        </w:rPr>
        <w:t>关联债权债务往来</w:t>
      </w:r>
    </w:p>
    <w:sdt>
      <w:sdtPr>
        <w:rPr>
          <w:rFonts w:ascii="Calibri" w:hAnsi="Calibri" w:cs="宋体"/>
          <w:b w:val="0"/>
          <w:bCs w:val="0"/>
          <w:kern w:val="0"/>
          <w:szCs w:val="22"/>
        </w:rPr>
        <w:alias w:val="模块:已在临时公告披露且后续实施无进展或变化的事项"/>
        <w:tag w:val="_SEC_2fd4e717dd2949d2b4b4fb580dfce32a"/>
        <w:id w:val="2103071139"/>
        <w:lock w:val="sdtLocked"/>
        <w:placeholder>
          <w:docPart w:val="GBC22222222222222222222222222222"/>
        </w:placeholder>
      </w:sdtPr>
      <w:sdtEndPr>
        <w:rPr>
          <w:rFonts w:ascii="宋体" w:hAnsi="宋体" w:hint="eastAsia"/>
          <w:b/>
          <w:bCs/>
          <w:szCs w:val="24"/>
        </w:rPr>
      </w:sdtEndPr>
      <w:sdtContent>
        <w:p w:rsidR="00883153" w:rsidRPr="00E04FAA" w:rsidRDefault="00200151" w:rsidP="00FC3870">
          <w:pPr>
            <w:pStyle w:val="4"/>
            <w:numPr>
              <w:ilvl w:val="0"/>
              <w:numId w:val="22"/>
            </w:numPr>
          </w:pPr>
          <w:r w:rsidRPr="00E04FAA">
            <w:t>已在临时公告披露且后续实施无进展或变化的事项</w:t>
          </w:r>
        </w:p>
        <w:p w:rsidR="00C75D8C" w:rsidRPr="00E04FAA" w:rsidRDefault="000D0A99" w:rsidP="00C75D8C">
          <w:pPr>
            <w:rPr>
              <w:rFonts w:ascii="Calibri" w:hAnsi="Calibri"/>
              <w:b/>
              <w:bCs/>
              <w:szCs w:val="22"/>
            </w:rPr>
          </w:pPr>
          <w:sdt>
            <w:sdtPr>
              <w:alias w:val="是否适用：已在临时公告披露且后续实施无进展或变化的事项_关联债权债务往来[双击切换]"/>
              <w:tag w:val="_GBC_480ccdae6247445ca78cf6327eb0e24f"/>
              <w:id w:val="-566888068"/>
              <w:lock w:val="sdtContentLocked"/>
              <w:placeholder>
                <w:docPart w:val="GBC22222222222222222222222222222"/>
              </w:placeholder>
            </w:sdtPr>
            <w:sdtContent>
              <w:r w:rsidR="00200151" w:rsidRPr="00E04FAA">
                <w:fldChar w:fldCharType="begin"/>
              </w:r>
              <w:r w:rsidR="00C75D8C" w:rsidRPr="00E04FAA">
                <w:instrText xml:space="preserve"> MACROBUTTON  SnrToggleCheckbox □适用 </w:instrText>
              </w:r>
              <w:r w:rsidR="00200151" w:rsidRPr="00E04FAA">
                <w:fldChar w:fldCharType="end"/>
              </w:r>
              <w:r w:rsidR="00200151" w:rsidRPr="00E04FAA">
                <w:fldChar w:fldCharType="begin"/>
              </w:r>
              <w:r w:rsidR="00C75D8C" w:rsidRPr="00E04FAA">
                <w:instrText xml:space="preserve"> MACROBUTTON  SnrToggleCheckbox √不适用 </w:instrText>
              </w:r>
              <w:r w:rsidR="00200151" w:rsidRPr="00E04FAA">
                <w:fldChar w:fldCharType="end"/>
              </w:r>
            </w:sdtContent>
          </w:sdt>
        </w:p>
      </w:sdtContent>
    </w:sdt>
    <w:sdt>
      <w:sdtPr>
        <w:rPr>
          <w:rFonts w:ascii="Calibri" w:hAnsi="Calibri" w:cs="宋体"/>
          <w:b w:val="0"/>
          <w:bCs w:val="0"/>
          <w:kern w:val="0"/>
          <w:szCs w:val="22"/>
        </w:rPr>
        <w:alias w:val="模块:已在临时公告披露，但有后续实施的进展或变化的事项"/>
        <w:tag w:val="_SEC_dcb3650518df4296931e576a9d6fdaf3"/>
        <w:id w:val="2079867187"/>
        <w:lock w:val="sdtLocked"/>
        <w:placeholder>
          <w:docPart w:val="GBC22222222222222222222222222222"/>
        </w:placeholder>
      </w:sdtPr>
      <w:sdtEndPr>
        <w:rPr>
          <w:rFonts w:ascii="宋体" w:hAnsi="宋体" w:hint="eastAsia"/>
          <w:szCs w:val="24"/>
        </w:rPr>
      </w:sdtEndPr>
      <w:sdtContent>
        <w:p w:rsidR="00883153" w:rsidRPr="00E04FAA" w:rsidRDefault="00200151" w:rsidP="00FC3870">
          <w:pPr>
            <w:pStyle w:val="4"/>
            <w:numPr>
              <w:ilvl w:val="0"/>
              <w:numId w:val="22"/>
            </w:numPr>
          </w:pPr>
          <w:r w:rsidRPr="00E04FAA">
            <w:t>已在临时公告披露，但有后续实施的进展或变化的事项</w:t>
          </w:r>
        </w:p>
        <w:sdt>
          <w:sdtPr>
            <w:alias w:val="是否适用：已在临时公告披露，但有后续实施的进展或变化的事项_关联债权债务往来[双击切换]"/>
            <w:tag w:val="_GBC_06dcfbbd6aed49aa878ab07a09b2270b"/>
            <w:id w:val="537243115"/>
            <w:lock w:val="sdtContentLocked"/>
            <w:placeholder>
              <w:docPart w:val="GBC22222222222222222222222222222"/>
            </w:placeholder>
          </w:sdtPr>
          <w:sdtContent>
            <w:p w:rsidR="00883153" w:rsidRPr="00E04FAA" w:rsidRDefault="00200151" w:rsidP="00C75D8C">
              <w:r w:rsidRPr="00E04FAA">
                <w:fldChar w:fldCharType="begin"/>
              </w:r>
              <w:r w:rsidR="00C75D8C" w:rsidRPr="00E04FAA">
                <w:instrText xml:space="preserve"> MACROBUTTON  SnrToggleCheckbox □适用 </w:instrText>
              </w:r>
              <w:r w:rsidRPr="00E04FAA">
                <w:fldChar w:fldCharType="end"/>
              </w:r>
              <w:r w:rsidRPr="00E04FAA">
                <w:fldChar w:fldCharType="begin"/>
              </w:r>
              <w:r w:rsidR="00C75D8C" w:rsidRPr="00E04FAA">
                <w:instrText xml:space="preserve"> MACROBUTTON  SnrToggleCheckbox √不适用 </w:instrText>
              </w:r>
              <w:r w:rsidRPr="00E04FAA">
                <w:fldChar w:fldCharType="end"/>
              </w:r>
            </w:p>
          </w:sdtContent>
        </w:sdt>
      </w:sdtContent>
    </w:sdt>
    <w:sdt>
      <w:sdtPr>
        <w:rPr>
          <w:rFonts w:ascii="Calibri" w:hAnsi="Calibri" w:cs="宋体" w:hint="eastAsia"/>
          <w:b w:val="0"/>
          <w:bCs w:val="0"/>
          <w:kern w:val="0"/>
          <w:szCs w:val="22"/>
        </w:rPr>
        <w:alias w:val="模块:临时公告未披露的事项"/>
        <w:tag w:val="_SEC_da19abf815bb4e3a97fcb901c6225551"/>
        <w:id w:val="699207729"/>
        <w:lock w:val="sdtLocked"/>
        <w:placeholder>
          <w:docPart w:val="GBC22222222222222222222222222222"/>
        </w:placeholder>
      </w:sdtPr>
      <w:sdtEndPr>
        <w:rPr>
          <w:rFonts w:asciiTheme="minorEastAsia" w:eastAsiaTheme="minorEastAsia" w:hAnsiTheme="minorEastAsia"/>
          <w:szCs w:val="21"/>
        </w:rPr>
      </w:sdtEndPr>
      <w:sdtContent>
        <w:p w:rsidR="00883153" w:rsidRPr="00E04FAA" w:rsidRDefault="00200151" w:rsidP="00FC3870">
          <w:pPr>
            <w:pStyle w:val="4"/>
            <w:numPr>
              <w:ilvl w:val="0"/>
              <w:numId w:val="22"/>
            </w:numPr>
          </w:pPr>
          <w:r w:rsidRPr="00E04FAA">
            <w:rPr>
              <w:rFonts w:hint="eastAsia"/>
            </w:rPr>
            <w:t>临时公告未披露的事项</w:t>
          </w:r>
        </w:p>
        <w:sdt>
          <w:sdtPr>
            <w:alias w:val="是否适用：关联债权债务往来_临时公告未披露的事项[双击切换]"/>
            <w:tag w:val="_GBC_0f4a6802ca704b49a413888379a91f0b"/>
            <w:id w:val="-1824498852"/>
            <w:lock w:val="sdtContentLocked"/>
            <w:placeholder>
              <w:docPart w:val="GBC22222222222222222222222222222"/>
            </w:placeholder>
          </w:sdtPr>
          <w:sdtContent>
            <w:p w:rsidR="00883153" w:rsidRPr="00E04FAA" w:rsidRDefault="00200151" w:rsidP="00C75D8C">
              <w:pPr>
                <w:rPr>
                  <w:rFonts w:asciiTheme="minorEastAsia" w:eastAsiaTheme="minorEastAsia" w:hAnsiTheme="minorEastAsia"/>
                  <w:szCs w:val="21"/>
                </w:rPr>
              </w:pPr>
              <w:r w:rsidRPr="00E04FAA">
                <w:fldChar w:fldCharType="begin"/>
              </w:r>
              <w:r w:rsidR="00C75D8C" w:rsidRPr="00E04FAA">
                <w:instrText xml:space="preserve"> MACROBUTTON  SnrToggleCheckbox □适用 </w:instrText>
              </w:r>
              <w:r w:rsidRPr="00E04FAA">
                <w:fldChar w:fldCharType="end"/>
              </w:r>
              <w:r w:rsidRPr="00E04FAA">
                <w:fldChar w:fldCharType="begin"/>
              </w:r>
              <w:r w:rsidR="00C75D8C" w:rsidRPr="00E04FAA">
                <w:instrText xml:space="preserve"> MACROBUTTON  SnrToggleCheckbox √不适用 </w:instrText>
              </w:r>
              <w:r w:rsidRPr="00E04FAA">
                <w:fldChar w:fldCharType="end"/>
              </w:r>
            </w:p>
          </w:sdtContent>
        </w:sdt>
      </w:sdtContent>
    </w:sdt>
    <w:p w:rsidR="00CE5208" w:rsidRPr="00E04FAA" w:rsidRDefault="00CE5208" w:rsidP="00C75D8C">
      <w:pPr>
        <w:rPr>
          <w:rFonts w:asciiTheme="minorEastAsia" w:eastAsiaTheme="minorEastAsia" w:hAnsiTheme="minorEastAsia"/>
          <w:szCs w:val="21"/>
        </w:rPr>
      </w:pPr>
    </w:p>
    <w:sdt>
      <w:sdtPr>
        <w:rPr>
          <w:rFonts w:ascii="宋体" w:hAnsi="宋体" w:cs="宋体" w:hint="eastAsia"/>
          <w:b w:val="0"/>
          <w:bCs w:val="0"/>
          <w:kern w:val="0"/>
          <w:szCs w:val="22"/>
        </w:rPr>
        <w:alias w:val="模块:(五) 其他重大关联交易"/>
        <w:tag w:val="_SEC_d0d528034450466db3d12315559a161a"/>
        <w:id w:val="1934398588"/>
        <w:lock w:val="sdtLocked"/>
        <w:placeholder>
          <w:docPart w:val="GBC22222222222222222222222222222"/>
        </w:placeholder>
      </w:sdtPr>
      <w:sdtEndPr>
        <w:rPr>
          <w:rFonts w:asciiTheme="minorEastAsia" w:eastAsiaTheme="minorEastAsia" w:hAnsiTheme="minorEastAsia" w:hint="default"/>
          <w:szCs w:val="21"/>
        </w:rPr>
      </w:sdtEndPr>
      <w:sdtContent>
        <w:p w:rsidR="00883153" w:rsidRPr="00E04FAA" w:rsidRDefault="00200151">
          <w:pPr>
            <w:pStyle w:val="3"/>
            <w:numPr>
              <w:ilvl w:val="2"/>
              <w:numId w:val="2"/>
            </w:numPr>
          </w:pPr>
          <w:r w:rsidRPr="00E04FAA">
            <w:rPr>
              <w:rFonts w:hint="eastAsia"/>
            </w:rPr>
            <w:t>其他重大关联交易</w:t>
          </w:r>
        </w:p>
        <w:sdt>
          <w:sdtPr>
            <w:rPr>
              <w:rFonts w:asciiTheme="minorEastAsia" w:eastAsiaTheme="minorEastAsia" w:hAnsiTheme="minorEastAsia" w:hint="eastAsia"/>
              <w:szCs w:val="21"/>
            </w:rPr>
            <w:alias w:val="是否适用：重大关联交易其他说明[双击切换]"/>
            <w:tag w:val="_GBC_7dd39ac420a244dcb8ea88c29ac07190"/>
            <w:id w:val="2033294272"/>
            <w:lock w:val="sdtContentLocked"/>
            <w:placeholder>
              <w:docPart w:val="GBC22222222222222222222222222222"/>
            </w:placeholder>
          </w:sdtPr>
          <w:sdtContent>
            <w:p w:rsidR="00883153" w:rsidRPr="00E04FAA" w:rsidRDefault="00200151" w:rsidP="00C75D8C">
              <w:r w:rsidRPr="00E04FAA">
                <w:rPr>
                  <w:szCs w:val="21"/>
                </w:rPr>
                <w:fldChar w:fldCharType="begin"/>
              </w:r>
              <w:r w:rsidR="00C75D8C" w:rsidRPr="00E04FAA">
                <w:rPr>
                  <w:szCs w:val="21"/>
                </w:rPr>
                <w:instrText xml:space="preserve"> MACROBUTTON  SnrToggleCheckbox □适用 </w:instrText>
              </w:r>
              <w:r w:rsidRPr="00E04FAA">
                <w:rPr>
                  <w:szCs w:val="21"/>
                </w:rPr>
                <w:fldChar w:fldCharType="end"/>
              </w:r>
              <w:r w:rsidRPr="00E04FAA">
                <w:rPr>
                  <w:szCs w:val="21"/>
                </w:rPr>
                <w:fldChar w:fldCharType="begin"/>
              </w:r>
              <w:r w:rsidR="00C75D8C" w:rsidRPr="00E04FAA">
                <w:rPr>
                  <w:szCs w:val="21"/>
                </w:rPr>
                <w:instrText xml:space="preserve"> MACROBUTTON  SnrToggleCheckbox √不适用 </w:instrText>
              </w:r>
              <w:r w:rsidRPr="00E04FAA">
                <w:rPr>
                  <w:szCs w:val="21"/>
                </w:rPr>
                <w:fldChar w:fldCharType="end"/>
              </w:r>
            </w:p>
          </w:sdtContent>
        </w:sdt>
      </w:sdtContent>
    </w:sdt>
    <w:p w:rsidR="00883153" w:rsidRPr="00E04FAA" w:rsidRDefault="00883153"/>
    <w:sdt>
      <w:sdtPr>
        <w:rPr>
          <w:rFonts w:ascii="宋体" w:hAnsi="宋体" w:cs="宋体" w:hint="eastAsia"/>
          <w:b w:val="0"/>
          <w:bCs w:val="0"/>
          <w:kern w:val="0"/>
          <w:szCs w:val="24"/>
        </w:rPr>
        <w:alias w:val="模块:其他"/>
        <w:tag w:val="_SEC_94b5dc0c50e04cae8442e9675bd15742"/>
        <w:id w:val="772900471"/>
        <w:lock w:val="sdtLocked"/>
        <w:placeholder>
          <w:docPart w:val="GBC22222222222222222222222222222"/>
        </w:placeholder>
      </w:sdtPr>
      <w:sdtContent>
        <w:p w:rsidR="00883153" w:rsidRPr="00E04FAA" w:rsidRDefault="00200151">
          <w:pPr>
            <w:pStyle w:val="3"/>
            <w:numPr>
              <w:ilvl w:val="2"/>
              <w:numId w:val="2"/>
            </w:numPr>
          </w:pPr>
          <w:r w:rsidRPr="00E04FAA">
            <w:rPr>
              <w:rFonts w:hint="eastAsia"/>
            </w:rPr>
            <w:t>其他</w:t>
          </w:r>
        </w:p>
        <w:sdt>
          <w:sdtPr>
            <w:rPr>
              <w:rFonts w:hint="eastAsia"/>
            </w:rPr>
            <w:alias w:val="是否适用：重大关联交易事项其他补充说明[双击切换]"/>
            <w:tag w:val="_GBC_272061194cde466a9c566f0881c76d0d"/>
            <w:id w:val="-1127001159"/>
            <w:lock w:val="sdtContentLocked"/>
            <w:placeholder>
              <w:docPart w:val="GBC22222222222222222222222222222"/>
            </w:placeholder>
          </w:sdtPr>
          <w:sdtContent>
            <w:p w:rsidR="00883153" w:rsidRPr="00E04FAA" w:rsidRDefault="00200151" w:rsidP="00C75D8C">
              <w:r w:rsidRPr="00E04FAA">
                <w:fldChar w:fldCharType="begin"/>
              </w:r>
              <w:r w:rsidR="00C75D8C" w:rsidRPr="00E04FAA">
                <w:instrText xml:space="preserve"> MACROBUTTON  SnrToggleCheckbox □适用 </w:instrText>
              </w:r>
              <w:r w:rsidRPr="00E04FAA">
                <w:fldChar w:fldCharType="end"/>
              </w:r>
              <w:r w:rsidRPr="00E04FAA">
                <w:fldChar w:fldCharType="begin"/>
              </w:r>
              <w:r w:rsidR="00C75D8C" w:rsidRPr="00E04FAA">
                <w:instrText xml:space="preserve"> MACROBUTTON  SnrToggleCheckbox √不适用 </w:instrText>
              </w:r>
              <w:r w:rsidRPr="00E04FAA">
                <w:fldChar w:fldCharType="end"/>
              </w:r>
            </w:p>
          </w:sdtContent>
        </w:sdt>
      </w:sdtContent>
    </w:sdt>
    <w:p w:rsidR="00883153" w:rsidRPr="00E04FAA" w:rsidRDefault="00883153"/>
    <w:p w:rsidR="00883153" w:rsidRPr="00E04FAA" w:rsidRDefault="00200151" w:rsidP="00FC3870">
      <w:pPr>
        <w:pStyle w:val="2"/>
        <w:numPr>
          <w:ilvl w:val="0"/>
          <w:numId w:val="30"/>
        </w:numPr>
        <w:spacing w:line="360" w:lineRule="auto"/>
      </w:pPr>
      <w:r w:rsidRPr="00E04FAA">
        <w:rPr>
          <w:rFonts w:hint="eastAsia"/>
        </w:rPr>
        <w:t>重大合同及其履行情况</w:t>
      </w:r>
    </w:p>
    <w:p w:rsidR="00883153" w:rsidRPr="00E04FAA" w:rsidRDefault="00200151" w:rsidP="00FC3870">
      <w:pPr>
        <w:pStyle w:val="3"/>
        <w:numPr>
          <w:ilvl w:val="0"/>
          <w:numId w:val="23"/>
        </w:numPr>
      </w:pPr>
      <w:r w:rsidRPr="00E04FAA">
        <w:t>托管、承包、租赁事项</w:t>
      </w:r>
    </w:p>
    <w:p w:rsidR="00C75D8C" w:rsidRPr="00E04FAA" w:rsidRDefault="000D0A99" w:rsidP="00C75D8C">
      <w:pPr>
        <w:rPr>
          <w:szCs w:val="21"/>
          <w:shd w:val="pct15" w:color="auto" w:fill="FFFFFF"/>
        </w:rPr>
      </w:pPr>
      <w:sdt>
        <w:sdtPr>
          <w:rPr>
            <w:szCs w:val="21"/>
          </w:rPr>
          <w:alias w:val="是否适用：托管、承包、租赁事项[双击切换]"/>
          <w:tag w:val="_GBC_daed561e68674d828a348a97bffbc154"/>
          <w:id w:val="-327282281"/>
          <w:lock w:val="sdtContentLocked"/>
          <w:placeholder>
            <w:docPart w:val="GBC22222222222222222222222222222"/>
          </w:placeholder>
        </w:sdtPr>
        <w:sdtContent>
          <w:r w:rsidR="00200151" w:rsidRPr="00E04FAA">
            <w:rPr>
              <w:szCs w:val="21"/>
            </w:rPr>
            <w:fldChar w:fldCharType="begin"/>
          </w:r>
          <w:r w:rsidR="00C75D8C" w:rsidRPr="00E04FAA">
            <w:rPr>
              <w:szCs w:val="21"/>
            </w:rPr>
            <w:instrText xml:space="preserve"> MACROBUTTON  SnrToggleCheckbox □适用 </w:instrText>
          </w:r>
          <w:r w:rsidR="00200151" w:rsidRPr="00E04FAA">
            <w:rPr>
              <w:szCs w:val="21"/>
            </w:rPr>
            <w:fldChar w:fldCharType="end"/>
          </w:r>
          <w:r w:rsidR="00200151" w:rsidRPr="00E04FAA">
            <w:rPr>
              <w:szCs w:val="21"/>
            </w:rPr>
            <w:fldChar w:fldCharType="begin"/>
          </w:r>
          <w:r w:rsidR="00C75D8C" w:rsidRPr="00E04FAA">
            <w:rPr>
              <w:szCs w:val="21"/>
            </w:rPr>
            <w:instrText xml:space="preserve"> MACROBUTTON  SnrToggleCheckbox √不适用 </w:instrText>
          </w:r>
          <w:r w:rsidR="00200151" w:rsidRPr="00E04FAA">
            <w:rPr>
              <w:szCs w:val="21"/>
            </w:rPr>
            <w:fldChar w:fldCharType="end"/>
          </w:r>
        </w:sdtContent>
      </w:sdt>
    </w:p>
    <w:p w:rsidR="00883153" w:rsidRPr="00E04FAA" w:rsidRDefault="00883153">
      <w:pPr>
        <w:rPr>
          <w:szCs w:val="21"/>
          <w:shd w:val="pct15" w:color="auto" w:fill="FFFFFF"/>
        </w:rPr>
      </w:pPr>
    </w:p>
    <w:p w:rsidR="00883153" w:rsidRPr="00E04FAA" w:rsidRDefault="00200151" w:rsidP="00FC3870">
      <w:pPr>
        <w:pStyle w:val="3"/>
        <w:numPr>
          <w:ilvl w:val="0"/>
          <w:numId w:val="23"/>
        </w:numPr>
      </w:pPr>
      <w:r w:rsidRPr="00E04FAA">
        <w:rPr>
          <w:rFonts w:hint="eastAsia"/>
        </w:rPr>
        <w:t>担保情况</w:t>
      </w:r>
    </w:p>
    <w:sdt>
      <w:sdtPr>
        <w:alias w:val="是否适用：担保情况[双击切换]"/>
        <w:tag w:val="_GBC_aae98b3e30bd49e4b2e1d2643f200047"/>
        <w:id w:val="606004964"/>
        <w:lock w:val="sdtContentLocked"/>
        <w:placeholder>
          <w:docPart w:val="GBC22222222222222222222222222222"/>
        </w:placeholder>
      </w:sdtPr>
      <w:sdtContent>
        <w:p w:rsidR="00883153" w:rsidRPr="00E04FAA" w:rsidRDefault="00200151">
          <w:r w:rsidRPr="00E04FAA">
            <w:fldChar w:fldCharType="begin"/>
          </w:r>
          <w:r w:rsidR="00F0210F" w:rsidRPr="00E04FAA">
            <w:instrText xml:space="preserve"> MACROBUTTON  SnrToggleCheckbox √适用 </w:instrText>
          </w:r>
          <w:r w:rsidRPr="00E04FAA">
            <w:fldChar w:fldCharType="end"/>
          </w:r>
          <w:r w:rsidRPr="00E04FAA">
            <w:fldChar w:fldCharType="begin"/>
          </w:r>
          <w:r w:rsidRPr="00E04FAA">
            <w:instrText xml:space="preserve"> MACROBUTTON  SnrToggleCheckbox □不适用 </w:instrText>
          </w:r>
          <w:r w:rsidRPr="00E04FAA">
            <w:fldChar w:fldCharType="end"/>
          </w:r>
        </w:p>
      </w:sdtContent>
    </w:sdt>
    <w:sdt>
      <w:sdtPr>
        <w:rPr>
          <w:rFonts w:hint="eastAsia"/>
          <w:szCs w:val="21"/>
        </w:rPr>
        <w:alias w:val="模块:担保情况"/>
        <w:tag w:val="_SEC_7252a26412904d92b0bddfc3266d9f75"/>
        <w:id w:val="-1338456096"/>
        <w:lock w:val="sdtLocked"/>
        <w:placeholder>
          <w:docPart w:val="GBC22222222222222222222222222222"/>
        </w:placeholder>
      </w:sdtPr>
      <w:sdtEndPr>
        <w:rPr>
          <w:rFonts w:asciiTheme="minorEastAsia" w:eastAsiaTheme="minorEastAsia" w:hAnsiTheme="minorEastAsia"/>
        </w:rPr>
      </w:sdtEndPr>
      <w:sdtContent>
        <w:p w:rsidR="00883153" w:rsidRPr="00E04FAA" w:rsidRDefault="00200151">
          <w:pPr>
            <w:ind w:rightChars="-150" w:right="-315"/>
            <w:jc w:val="right"/>
            <w:rPr>
              <w:szCs w:val="21"/>
            </w:rPr>
          </w:pPr>
          <w:r w:rsidRPr="00E04FAA">
            <w:rPr>
              <w:rFonts w:hint="eastAsia"/>
              <w:szCs w:val="21"/>
            </w:rPr>
            <w:t>单位</w:t>
          </w:r>
          <w:r w:rsidRPr="00E04FAA">
            <w:rPr>
              <w:szCs w:val="21"/>
            </w:rPr>
            <w:t xml:space="preserve">: </w:t>
          </w:r>
          <w:sdt>
            <w:sdtPr>
              <w:rPr>
                <w:szCs w:val="21"/>
              </w:rPr>
              <w:alias w:val="单位：担保情况"/>
              <w:tag w:val="_GBC_27c8b92380c14fd7885db4b4050dbded"/>
              <w:id w:val="84714619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E04FAA">
                <w:rPr>
                  <w:szCs w:val="21"/>
                </w:rPr>
                <w:t>元</w:t>
              </w:r>
            </w:sdtContent>
          </w:sdt>
          <w:r w:rsidRPr="00E04FAA">
            <w:rPr>
              <w:rFonts w:hint="eastAsia"/>
              <w:szCs w:val="21"/>
            </w:rPr>
            <w:t xml:space="preserve">  币种</w:t>
          </w:r>
          <w:r w:rsidRPr="00E04FAA">
            <w:rPr>
              <w:szCs w:val="21"/>
            </w:rPr>
            <w:t xml:space="preserve">: </w:t>
          </w:r>
          <w:sdt>
            <w:sdtPr>
              <w:rPr>
                <w:szCs w:val="21"/>
              </w:rPr>
              <w:alias w:val="币种：担保情况"/>
              <w:tag w:val="_GBC_a5bed87537d146398206f22cc051cc03"/>
              <w:id w:val="155458650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E04FAA">
                <w:rPr>
                  <w:szCs w:val="21"/>
                </w:rPr>
                <w:t>人民币</w:t>
              </w:r>
            </w:sdtContent>
          </w:sdt>
        </w:p>
        <w:tbl>
          <w:tblPr>
            <w:tblStyle w:val="g1"/>
            <w:tblW w:w="5198"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658"/>
            <w:gridCol w:w="657"/>
            <w:gridCol w:w="657"/>
            <w:gridCol w:w="660"/>
            <w:gridCol w:w="633"/>
            <w:gridCol w:w="682"/>
            <w:gridCol w:w="723"/>
            <w:gridCol w:w="585"/>
            <w:gridCol w:w="688"/>
            <w:gridCol w:w="703"/>
            <w:gridCol w:w="703"/>
            <w:gridCol w:w="704"/>
            <w:gridCol w:w="699"/>
            <w:gridCol w:w="420"/>
          </w:tblGrid>
          <w:tr w:rsidR="00883153" w:rsidRPr="00E04FAA" w:rsidTr="00D11029">
            <w:trPr>
              <w:trHeight w:val="293"/>
            </w:trPr>
            <w:bookmarkStart w:id="35" w:name="_Hlk14442928" w:displacedByCustomXml="next"/>
            <w:sdt>
              <w:sdtPr>
                <w:tag w:val="_PLD_339abae6f6c44cfcbe09c986183c11d5"/>
                <w:id w:val="1108075223"/>
                <w:lock w:val="sdtLocked"/>
              </w:sdtPr>
              <w:sdtContent>
                <w:tc>
                  <w:tcPr>
                    <w:tcW w:w="5000" w:type="pct"/>
                    <w:gridSpan w:val="14"/>
                    <w:tcBorders>
                      <w:top w:val="single" w:sz="4" w:space="0" w:color="auto"/>
                      <w:bottom w:val="single" w:sz="4" w:space="0" w:color="auto"/>
                    </w:tcBorders>
                    <w:shd w:val="clear" w:color="auto" w:fill="auto"/>
                  </w:tcPr>
                  <w:p w:rsidR="00883153" w:rsidRPr="00E04FAA" w:rsidRDefault="00200151">
                    <w:pPr>
                      <w:autoSpaceDE w:val="0"/>
                      <w:autoSpaceDN w:val="0"/>
                      <w:adjustRightInd w:val="0"/>
                      <w:jc w:val="center"/>
                      <w:rPr>
                        <w:szCs w:val="21"/>
                      </w:rPr>
                    </w:pPr>
                    <w:r w:rsidRPr="00E04FAA">
                      <w:rPr>
                        <w:rFonts w:hint="eastAsia"/>
                        <w:szCs w:val="21"/>
                      </w:rPr>
                      <w:t>公司对外担保情况（不包括对子公司的担保）</w:t>
                    </w:r>
                  </w:p>
                </w:tc>
              </w:sdtContent>
            </w:sdt>
          </w:tr>
          <w:tr w:rsidR="00883153" w:rsidRPr="00E04FAA" w:rsidTr="006F01B1">
            <w:trPr>
              <w:trHeight w:val="293"/>
            </w:trPr>
            <w:sdt>
              <w:sdtPr>
                <w:tag w:val="_PLD_12d62cd6282146e2b5e6145b2d39ce44"/>
                <w:id w:val="-1212034427"/>
                <w:lock w:val="sdtLocked"/>
              </w:sdtPr>
              <w:sdtContent>
                <w:tc>
                  <w:tcPr>
                    <w:tcW w:w="359" w:type="pct"/>
                    <w:tcBorders>
                      <w:top w:val="single" w:sz="4" w:space="0" w:color="auto"/>
                      <w:bottom w:val="single" w:sz="4" w:space="0" w:color="auto"/>
                      <w:right w:val="single" w:sz="4" w:space="0" w:color="auto"/>
                    </w:tcBorders>
                    <w:shd w:val="clear" w:color="auto" w:fill="auto"/>
                    <w:vAlign w:val="center"/>
                  </w:tcPr>
                  <w:p w:rsidR="00883153" w:rsidRPr="00E04FAA" w:rsidRDefault="00200151">
                    <w:pPr>
                      <w:autoSpaceDE w:val="0"/>
                      <w:autoSpaceDN w:val="0"/>
                      <w:adjustRightInd w:val="0"/>
                      <w:jc w:val="center"/>
                      <w:rPr>
                        <w:szCs w:val="21"/>
                      </w:rPr>
                    </w:pPr>
                    <w:r w:rsidRPr="00E04FAA">
                      <w:rPr>
                        <w:rFonts w:hint="eastAsia"/>
                        <w:szCs w:val="21"/>
                      </w:rPr>
                      <w:t>担保方</w:t>
                    </w:r>
                  </w:p>
                </w:tc>
              </w:sdtContent>
            </w:sdt>
            <w:sdt>
              <w:sdtPr>
                <w:tag w:val="_PLD_6eec713b5ee74d49879198fa2d529c0c"/>
                <w:id w:val="-1308241934"/>
                <w:lock w:val="sdtLocked"/>
              </w:sdtPr>
              <w:sdtContent>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883153" w:rsidRPr="00E04FAA" w:rsidRDefault="00200151">
                    <w:pPr>
                      <w:autoSpaceDE w:val="0"/>
                      <w:autoSpaceDN w:val="0"/>
                      <w:adjustRightInd w:val="0"/>
                      <w:jc w:val="center"/>
                      <w:rPr>
                        <w:szCs w:val="21"/>
                      </w:rPr>
                    </w:pPr>
                    <w:r w:rsidRPr="00E04FAA">
                      <w:rPr>
                        <w:rFonts w:hint="eastAsia"/>
                        <w:szCs w:val="21"/>
                      </w:rPr>
                      <w:t>担保方与上市公司的关系</w:t>
                    </w:r>
                  </w:p>
                </w:tc>
              </w:sdtContent>
            </w:sdt>
            <w:sdt>
              <w:sdtPr>
                <w:tag w:val="_PLD_67fae0ad2a5a4feab4c1a7a50f03ee99"/>
                <w:id w:val="-594320889"/>
                <w:lock w:val="sdtLocked"/>
              </w:sdtPr>
              <w:sdtContent>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883153" w:rsidRPr="00E04FAA" w:rsidRDefault="00200151">
                    <w:pPr>
                      <w:autoSpaceDE w:val="0"/>
                      <w:autoSpaceDN w:val="0"/>
                      <w:adjustRightInd w:val="0"/>
                      <w:jc w:val="center"/>
                      <w:rPr>
                        <w:szCs w:val="21"/>
                      </w:rPr>
                    </w:pPr>
                    <w:r w:rsidRPr="00E04FAA">
                      <w:rPr>
                        <w:rFonts w:hint="eastAsia"/>
                        <w:szCs w:val="21"/>
                      </w:rPr>
                      <w:t>被担保方</w:t>
                    </w:r>
                  </w:p>
                </w:tc>
              </w:sdtContent>
            </w:sdt>
            <w:sdt>
              <w:sdtPr>
                <w:tag w:val="_PLD_0677b2d108e24428a2e2ab78e792f6a4"/>
                <w:id w:val="-310182713"/>
                <w:lock w:val="sdtLocked"/>
              </w:sdtPr>
              <w:sdtContent>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883153" w:rsidRPr="00E04FAA" w:rsidRDefault="00200151">
                    <w:pPr>
                      <w:autoSpaceDE w:val="0"/>
                      <w:autoSpaceDN w:val="0"/>
                      <w:adjustRightInd w:val="0"/>
                      <w:jc w:val="center"/>
                      <w:rPr>
                        <w:szCs w:val="21"/>
                      </w:rPr>
                    </w:pPr>
                    <w:r w:rsidRPr="00E04FAA">
                      <w:rPr>
                        <w:rFonts w:hint="eastAsia"/>
                        <w:szCs w:val="21"/>
                      </w:rPr>
                      <w:t>担保金额</w:t>
                    </w:r>
                  </w:p>
                </w:tc>
              </w:sdtContent>
            </w:sdt>
            <w:sdt>
              <w:sdtPr>
                <w:tag w:val="_PLD_08d02df1e64f465690a5f04aa7682eec"/>
                <w:id w:val="-625004289"/>
                <w:lock w:val="sdtLocked"/>
              </w:sdtPr>
              <w:sdtContent>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883153" w:rsidRPr="00E04FAA" w:rsidRDefault="00200151">
                    <w:pPr>
                      <w:autoSpaceDE w:val="0"/>
                      <w:autoSpaceDN w:val="0"/>
                      <w:adjustRightInd w:val="0"/>
                      <w:jc w:val="center"/>
                      <w:rPr>
                        <w:szCs w:val="21"/>
                      </w:rPr>
                    </w:pPr>
                    <w:r w:rsidRPr="00E04FAA">
                      <w:rPr>
                        <w:rFonts w:hint="eastAsia"/>
                        <w:szCs w:val="21"/>
                      </w:rPr>
                      <w:t>担保发生日期</w:t>
                    </w:r>
                    <w:r w:rsidRPr="00E04FAA">
                      <w:rPr>
                        <w:szCs w:val="21"/>
                      </w:rPr>
                      <w:t>(</w:t>
                    </w:r>
                    <w:r w:rsidRPr="00E04FAA">
                      <w:rPr>
                        <w:rFonts w:hint="eastAsia"/>
                        <w:szCs w:val="21"/>
                      </w:rPr>
                      <w:t>协议签署日</w:t>
                    </w:r>
                    <w:r w:rsidRPr="00E04FAA">
                      <w:rPr>
                        <w:szCs w:val="21"/>
                      </w:rPr>
                      <w:t>)</w:t>
                    </w:r>
                  </w:p>
                </w:tc>
              </w:sdtContent>
            </w:sdt>
            <w:sdt>
              <w:sdtPr>
                <w:tag w:val="_PLD_db68d237c2bd486f9678203386c94502"/>
                <w:id w:val="169843314"/>
                <w:lock w:val="sdtLocked"/>
              </w:sdtPr>
              <w:sdtContent>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883153" w:rsidRPr="00E04FAA" w:rsidRDefault="00200151">
                    <w:pPr>
                      <w:autoSpaceDE w:val="0"/>
                      <w:autoSpaceDN w:val="0"/>
                      <w:adjustRightInd w:val="0"/>
                      <w:jc w:val="center"/>
                      <w:rPr>
                        <w:szCs w:val="21"/>
                      </w:rPr>
                    </w:pPr>
                    <w:r w:rsidRPr="00E04FAA">
                      <w:rPr>
                        <w:rFonts w:hint="eastAsia"/>
                        <w:szCs w:val="21"/>
                      </w:rPr>
                      <w:t>担保</w:t>
                    </w:r>
                  </w:p>
                  <w:p w:rsidR="00883153" w:rsidRPr="00E04FAA" w:rsidRDefault="00200151">
                    <w:pPr>
                      <w:autoSpaceDE w:val="0"/>
                      <w:autoSpaceDN w:val="0"/>
                      <w:adjustRightInd w:val="0"/>
                      <w:jc w:val="center"/>
                      <w:rPr>
                        <w:szCs w:val="21"/>
                      </w:rPr>
                    </w:pPr>
                    <w:r w:rsidRPr="00E04FAA">
                      <w:rPr>
                        <w:rFonts w:hint="eastAsia"/>
                        <w:szCs w:val="21"/>
                      </w:rPr>
                      <w:t>起始日</w:t>
                    </w:r>
                  </w:p>
                </w:tc>
              </w:sdtContent>
            </w:sdt>
            <w:sdt>
              <w:sdtPr>
                <w:tag w:val="_PLD_a6959f81190443adbb5d539ab518bbd7"/>
                <w:id w:val="1871029528"/>
                <w:lock w:val="sdtLocked"/>
              </w:sdtPr>
              <w:sdtContent>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rsidR="00883153" w:rsidRPr="00E04FAA" w:rsidRDefault="00200151">
                    <w:pPr>
                      <w:autoSpaceDE w:val="0"/>
                      <w:autoSpaceDN w:val="0"/>
                      <w:adjustRightInd w:val="0"/>
                      <w:jc w:val="center"/>
                      <w:rPr>
                        <w:szCs w:val="21"/>
                      </w:rPr>
                    </w:pPr>
                    <w:r w:rsidRPr="00E04FAA">
                      <w:rPr>
                        <w:rFonts w:hint="eastAsia"/>
                        <w:szCs w:val="21"/>
                      </w:rPr>
                      <w:t>担保</w:t>
                    </w:r>
                  </w:p>
                  <w:p w:rsidR="00883153" w:rsidRPr="00E04FAA" w:rsidRDefault="00200151">
                    <w:pPr>
                      <w:autoSpaceDE w:val="0"/>
                      <w:autoSpaceDN w:val="0"/>
                      <w:adjustRightInd w:val="0"/>
                      <w:jc w:val="center"/>
                      <w:rPr>
                        <w:szCs w:val="21"/>
                      </w:rPr>
                    </w:pPr>
                    <w:r w:rsidRPr="00E04FAA">
                      <w:rPr>
                        <w:rFonts w:hint="eastAsia"/>
                        <w:szCs w:val="21"/>
                      </w:rPr>
                      <w:t>到期日</w:t>
                    </w:r>
                  </w:p>
                </w:tc>
              </w:sdtContent>
            </w:sdt>
            <w:sdt>
              <w:sdtPr>
                <w:tag w:val="_PLD_75e32258c6844aec8573f878a67fe10b"/>
                <w:id w:val="-301541218"/>
                <w:lock w:val="sdtLocked"/>
              </w:sdtPr>
              <w:sdtContent>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rsidR="00883153" w:rsidRPr="00E04FAA" w:rsidRDefault="00200151">
                    <w:pPr>
                      <w:autoSpaceDE w:val="0"/>
                      <w:autoSpaceDN w:val="0"/>
                      <w:adjustRightInd w:val="0"/>
                      <w:jc w:val="center"/>
                      <w:rPr>
                        <w:szCs w:val="21"/>
                      </w:rPr>
                    </w:pPr>
                    <w:r w:rsidRPr="00E04FAA">
                      <w:rPr>
                        <w:rFonts w:hint="eastAsia"/>
                        <w:szCs w:val="21"/>
                      </w:rPr>
                      <w:t>担保类型</w:t>
                    </w:r>
                  </w:p>
                </w:tc>
              </w:sdtContent>
            </w:sdt>
            <w:sdt>
              <w:sdtPr>
                <w:tag w:val="_PLD_42d34b2ce73243f0aaf069d386c841fc"/>
                <w:id w:val="-2123672197"/>
                <w:lock w:val="sdtLocked"/>
              </w:sdtPr>
              <w:sdtContent>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rsidR="00883153" w:rsidRPr="00E04FAA" w:rsidRDefault="00200151">
                    <w:pPr>
                      <w:autoSpaceDE w:val="0"/>
                      <w:autoSpaceDN w:val="0"/>
                      <w:adjustRightInd w:val="0"/>
                      <w:jc w:val="center"/>
                      <w:rPr>
                        <w:szCs w:val="21"/>
                      </w:rPr>
                    </w:pPr>
                    <w:r w:rsidRPr="00E04FAA">
                      <w:rPr>
                        <w:rFonts w:hint="eastAsia"/>
                        <w:szCs w:val="21"/>
                      </w:rPr>
                      <w:t>担保是否已经履行完毕</w:t>
                    </w:r>
                  </w:p>
                </w:tc>
              </w:sdtContent>
            </w:sdt>
            <w:sdt>
              <w:sdtPr>
                <w:tag w:val="_PLD_403448dc7ddf41c39f4fa08043a16c8b"/>
                <w:id w:val="-1791430086"/>
                <w:lock w:val="sdtLocked"/>
              </w:sdtPr>
              <w:sdtContent>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883153" w:rsidRPr="00E04FAA" w:rsidRDefault="00200151">
                    <w:pPr>
                      <w:autoSpaceDE w:val="0"/>
                      <w:autoSpaceDN w:val="0"/>
                      <w:adjustRightInd w:val="0"/>
                      <w:jc w:val="center"/>
                      <w:rPr>
                        <w:szCs w:val="21"/>
                      </w:rPr>
                    </w:pPr>
                    <w:r w:rsidRPr="00E04FAA">
                      <w:rPr>
                        <w:rFonts w:hint="eastAsia"/>
                        <w:szCs w:val="21"/>
                      </w:rPr>
                      <w:t>担保是否逾期</w:t>
                    </w:r>
                  </w:p>
                </w:tc>
              </w:sdtContent>
            </w:sdt>
            <w:sdt>
              <w:sdtPr>
                <w:tag w:val="_PLD_ca377d377d7248f08cdb915dab5482be"/>
                <w:id w:val="246314580"/>
                <w:lock w:val="sdtLocked"/>
              </w:sdtPr>
              <w:sdtContent>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883153" w:rsidRPr="00E04FAA" w:rsidRDefault="00200151">
                    <w:pPr>
                      <w:autoSpaceDE w:val="0"/>
                      <w:autoSpaceDN w:val="0"/>
                      <w:adjustRightInd w:val="0"/>
                      <w:jc w:val="center"/>
                      <w:rPr>
                        <w:szCs w:val="21"/>
                      </w:rPr>
                    </w:pPr>
                    <w:r w:rsidRPr="00E04FAA">
                      <w:rPr>
                        <w:rFonts w:hint="eastAsia"/>
                        <w:szCs w:val="21"/>
                      </w:rPr>
                      <w:t>担保逾期金额</w:t>
                    </w:r>
                  </w:p>
                </w:tc>
              </w:sdtContent>
            </w:sdt>
            <w:sdt>
              <w:sdtPr>
                <w:tag w:val="_PLD_903e646f7fd94820bc0e307c15ee33f8"/>
                <w:id w:val="-520009716"/>
                <w:lock w:val="sdtLocked"/>
              </w:sdtPr>
              <w:sdtContent>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83153" w:rsidRPr="00E04FAA" w:rsidRDefault="00200151">
                    <w:pPr>
                      <w:autoSpaceDE w:val="0"/>
                      <w:autoSpaceDN w:val="0"/>
                      <w:adjustRightInd w:val="0"/>
                      <w:jc w:val="center"/>
                      <w:rPr>
                        <w:szCs w:val="21"/>
                      </w:rPr>
                    </w:pPr>
                    <w:r w:rsidRPr="00E04FAA">
                      <w:rPr>
                        <w:rFonts w:hint="eastAsia"/>
                        <w:szCs w:val="21"/>
                      </w:rPr>
                      <w:t>是否存在反担保</w:t>
                    </w:r>
                  </w:p>
                </w:tc>
              </w:sdtContent>
            </w:sdt>
            <w:sdt>
              <w:sdtPr>
                <w:tag w:val="_PLD_65b2ef0e2fd04e0b95897d967a782d0b"/>
                <w:id w:val="935795629"/>
                <w:lock w:val="sdtLocked"/>
              </w:sdtPr>
              <w:sdtContent>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883153" w:rsidRPr="00E04FAA" w:rsidRDefault="00200151">
                    <w:pPr>
                      <w:autoSpaceDE w:val="0"/>
                      <w:autoSpaceDN w:val="0"/>
                      <w:adjustRightInd w:val="0"/>
                      <w:jc w:val="center"/>
                      <w:rPr>
                        <w:szCs w:val="21"/>
                      </w:rPr>
                    </w:pPr>
                    <w:r w:rsidRPr="00E04FAA">
                      <w:rPr>
                        <w:rFonts w:hint="eastAsia"/>
                        <w:szCs w:val="21"/>
                      </w:rPr>
                      <w:t>是否为关联方担保</w:t>
                    </w:r>
                  </w:p>
                </w:tc>
              </w:sdtContent>
            </w:sdt>
            <w:sdt>
              <w:sdtPr>
                <w:tag w:val="_PLD_8fbdff89cd1a4810bce18b958b316ad2"/>
                <w:id w:val="224576337"/>
                <w:lock w:val="sdtLocked"/>
              </w:sdtPr>
              <w:sdtContent>
                <w:tc>
                  <w:tcPr>
                    <w:tcW w:w="230" w:type="pct"/>
                    <w:tcBorders>
                      <w:top w:val="single" w:sz="4" w:space="0" w:color="auto"/>
                      <w:left w:val="single" w:sz="4" w:space="0" w:color="auto"/>
                      <w:bottom w:val="single" w:sz="4" w:space="0" w:color="auto"/>
                    </w:tcBorders>
                    <w:shd w:val="clear" w:color="auto" w:fill="auto"/>
                    <w:vAlign w:val="center"/>
                  </w:tcPr>
                  <w:p w:rsidR="00883153" w:rsidRPr="00E04FAA" w:rsidRDefault="00200151">
                    <w:pPr>
                      <w:autoSpaceDE w:val="0"/>
                      <w:autoSpaceDN w:val="0"/>
                      <w:adjustRightInd w:val="0"/>
                      <w:jc w:val="center"/>
                      <w:rPr>
                        <w:szCs w:val="21"/>
                      </w:rPr>
                    </w:pPr>
                    <w:r w:rsidRPr="00E04FAA">
                      <w:rPr>
                        <w:rFonts w:hint="eastAsia"/>
                        <w:szCs w:val="21"/>
                      </w:rPr>
                      <w:t>关联</w:t>
                    </w:r>
                  </w:p>
                  <w:p w:rsidR="00883153" w:rsidRPr="00E04FAA" w:rsidRDefault="00200151">
                    <w:pPr>
                      <w:autoSpaceDE w:val="0"/>
                      <w:autoSpaceDN w:val="0"/>
                      <w:adjustRightInd w:val="0"/>
                      <w:jc w:val="center"/>
                      <w:rPr>
                        <w:szCs w:val="21"/>
                      </w:rPr>
                    </w:pPr>
                    <w:r w:rsidRPr="00E04FAA">
                      <w:rPr>
                        <w:rFonts w:hint="eastAsia"/>
                        <w:szCs w:val="21"/>
                      </w:rPr>
                      <w:t>关系</w:t>
                    </w:r>
                  </w:p>
                </w:tc>
              </w:sdtContent>
            </w:sdt>
          </w:tr>
          <w:sdt>
            <w:sdtPr>
              <w:rPr>
                <w:szCs w:val="21"/>
              </w:rPr>
              <w:alias w:val="担保情况"/>
              <w:tag w:val="_TUP_114bc3c6d7bc4581bbdfcca2eb572a5d"/>
              <w:id w:val="-1759356414"/>
              <w:lock w:val="sdtLocked"/>
              <w:placeholder>
                <w:docPart w:val="GBC11111111111111111111111111111"/>
              </w:placeholder>
            </w:sdtPr>
            <w:sdtEndPr>
              <w:rPr>
                <w:color w:val="FFC000"/>
              </w:rPr>
            </w:sdtEndPr>
            <w:sdtContent>
              <w:tr w:rsidR="00883153" w:rsidRPr="00E04FAA" w:rsidTr="006F01B1">
                <w:trPr>
                  <w:trHeight w:val="293"/>
                </w:trPr>
                <w:tc>
                  <w:tcPr>
                    <w:tcW w:w="359" w:type="pct"/>
                    <w:tcBorders>
                      <w:top w:val="single" w:sz="4" w:space="0" w:color="auto"/>
                      <w:bottom w:val="single" w:sz="4" w:space="0" w:color="auto"/>
                      <w:right w:val="single" w:sz="4" w:space="0" w:color="auto"/>
                    </w:tcBorders>
                    <w:shd w:val="clear" w:color="auto" w:fill="auto"/>
                  </w:tcPr>
                  <w:p w:rsidR="00883153" w:rsidRPr="00E04FAA" w:rsidRDefault="00883153">
                    <w:pPr>
                      <w:autoSpaceDE w:val="0"/>
                      <w:autoSpaceDN w:val="0"/>
                      <w:adjustRightInd w:val="0"/>
                      <w:rPr>
                        <w:szCs w:val="21"/>
                      </w:rPr>
                    </w:pPr>
                  </w:p>
                </w:tc>
                <w:sdt>
                  <w:sdtPr>
                    <w:rPr>
                      <w:rFonts w:hint="eastAsia"/>
                      <w:bCs/>
                      <w:szCs w:val="21"/>
                    </w:rPr>
                    <w:alias w:val="担保方与上市公司的关联关系"/>
                    <w:tag w:val="_GBC_fbb2ddbcfdb946cd833a00fea18d6c61"/>
                    <w:id w:val="1401943805"/>
                    <w:lock w:val="sdtLocked"/>
                    <w:showingPlcHdr/>
                    <w:comboBox>
                      <w:listItem w:displayText="公司本部" w:value="公司本部"/>
                      <w:listItem w:displayText="控股子公司" w:value="控股子公司"/>
                      <w:listItem w:displayText="全资子公司" w:value="全资子公司"/>
                    </w:comboBox>
                  </w:sdtPr>
                  <w:sdtContent>
                    <w:tc>
                      <w:tcPr>
                        <w:tcW w:w="358" w:type="pct"/>
                        <w:tcBorders>
                          <w:top w:val="single" w:sz="4" w:space="0" w:color="auto"/>
                          <w:left w:val="single" w:sz="4" w:space="0" w:color="auto"/>
                          <w:bottom w:val="single" w:sz="4" w:space="0" w:color="auto"/>
                          <w:right w:val="single" w:sz="4" w:space="0" w:color="auto"/>
                        </w:tcBorders>
                        <w:shd w:val="clear" w:color="auto" w:fill="auto"/>
                      </w:tcPr>
                      <w:p w:rsidR="00883153" w:rsidRPr="00E04FAA" w:rsidRDefault="00200151">
                        <w:pPr>
                          <w:autoSpaceDE w:val="0"/>
                          <w:autoSpaceDN w:val="0"/>
                          <w:adjustRightInd w:val="0"/>
                          <w:rPr>
                            <w:color w:val="FFC000"/>
                            <w:szCs w:val="21"/>
                          </w:rPr>
                        </w:pPr>
                        <w:r w:rsidRPr="00E04FAA">
                          <w:rPr>
                            <w:rFonts w:hint="eastAsia"/>
                          </w:rPr>
                          <w:t xml:space="preserve">　</w:t>
                        </w:r>
                      </w:p>
                    </w:tc>
                  </w:sdtContent>
                </w:sdt>
                <w:tc>
                  <w:tcPr>
                    <w:tcW w:w="358" w:type="pct"/>
                    <w:tcBorders>
                      <w:top w:val="single" w:sz="4" w:space="0" w:color="auto"/>
                      <w:left w:val="single" w:sz="4" w:space="0" w:color="auto"/>
                      <w:bottom w:val="single" w:sz="4" w:space="0" w:color="auto"/>
                      <w:right w:val="single" w:sz="4" w:space="0" w:color="auto"/>
                    </w:tcBorders>
                    <w:shd w:val="clear" w:color="auto" w:fill="auto"/>
                  </w:tcPr>
                  <w:p w:rsidR="00883153" w:rsidRPr="00E04FAA" w:rsidRDefault="00883153">
                    <w:pPr>
                      <w:autoSpaceDE w:val="0"/>
                      <w:autoSpaceDN w:val="0"/>
                      <w:adjustRightInd w:val="0"/>
                      <w:rPr>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tcPr>
                  <w:p w:rsidR="00883153" w:rsidRPr="00E04FAA" w:rsidRDefault="00883153">
                    <w:pPr>
                      <w:autoSpaceDE w:val="0"/>
                      <w:autoSpaceDN w:val="0"/>
                      <w:adjustRightInd w:val="0"/>
                      <w:jc w:val="right"/>
                      <w:rPr>
                        <w:szCs w:val="21"/>
                      </w:rPr>
                    </w:pPr>
                  </w:p>
                </w:tc>
                <w:tc>
                  <w:tcPr>
                    <w:tcW w:w="345" w:type="pct"/>
                    <w:tcBorders>
                      <w:top w:val="single" w:sz="4" w:space="0" w:color="auto"/>
                      <w:left w:val="single" w:sz="4" w:space="0" w:color="auto"/>
                      <w:bottom w:val="single" w:sz="4" w:space="0" w:color="auto"/>
                      <w:right w:val="single" w:sz="4" w:space="0" w:color="auto"/>
                    </w:tcBorders>
                    <w:shd w:val="clear" w:color="auto" w:fill="auto"/>
                  </w:tcPr>
                  <w:p w:rsidR="00883153" w:rsidRPr="00E04FAA" w:rsidRDefault="00883153">
                    <w:pPr>
                      <w:autoSpaceDE w:val="0"/>
                      <w:autoSpaceDN w:val="0"/>
                      <w:adjustRightInd w:val="0"/>
                      <w:rPr>
                        <w:szCs w:val="21"/>
                      </w:rPr>
                    </w:pPr>
                  </w:p>
                </w:tc>
                <w:tc>
                  <w:tcPr>
                    <w:tcW w:w="372" w:type="pct"/>
                    <w:tcBorders>
                      <w:top w:val="single" w:sz="4" w:space="0" w:color="auto"/>
                      <w:left w:val="single" w:sz="4" w:space="0" w:color="auto"/>
                      <w:bottom w:val="single" w:sz="4" w:space="0" w:color="auto"/>
                      <w:right w:val="single" w:sz="4" w:space="0" w:color="auto"/>
                    </w:tcBorders>
                    <w:shd w:val="clear" w:color="auto" w:fill="auto"/>
                  </w:tcPr>
                  <w:p w:rsidR="00883153" w:rsidRPr="00E04FAA" w:rsidRDefault="00883153">
                    <w:pPr>
                      <w:autoSpaceDE w:val="0"/>
                      <w:autoSpaceDN w:val="0"/>
                      <w:adjustRightInd w:val="0"/>
                      <w:rPr>
                        <w:szCs w:val="21"/>
                      </w:rPr>
                    </w:pPr>
                  </w:p>
                </w:tc>
                <w:tc>
                  <w:tcPr>
                    <w:tcW w:w="394" w:type="pct"/>
                    <w:tcBorders>
                      <w:top w:val="single" w:sz="4" w:space="0" w:color="auto"/>
                      <w:left w:val="single" w:sz="4" w:space="0" w:color="auto"/>
                      <w:bottom w:val="single" w:sz="4" w:space="0" w:color="auto"/>
                      <w:right w:val="single" w:sz="4" w:space="0" w:color="auto"/>
                    </w:tcBorders>
                    <w:shd w:val="clear" w:color="auto" w:fill="auto"/>
                  </w:tcPr>
                  <w:p w:rsidR="00883153" w:rsidRPr="00E04FAA" w:rsidRDefault="00883153">
                    <w:pPr>
                      <w:autoSpaceDE w:val="0"/>
                      <w:autoSpaceDN w:val="0"/>
                      <w:adjustRightInd w:val="0"/>
                      <w:rPr>
                        <w:szCs w:val="21"/>
                      </w:rPr>
                    </w:pPr>
                  </w:p>
                </w:tc>
                <w:sdt>
                  <w:sdtPr>
                    <w:rPr>
                      <w:szCs w:val="21"/>
                    </w:rPr>
                    <w:alias w:val="担保类型"/>
                    <w:tag w:val="_GBC_871b43b2ae5f437d83be371cbce6a82e"/>
                    <w:id w:val="-1522547047"/>
                    <w:lock w:val="sdtLocked"/>
                    <w:showingPlcHdr/>
                    <w:comboBox>
                      <w:listItem w:displayText="一般担保" w:value="一般担保"/>
                      <w:listItem w:displayText="连带责任担保" w:value="连带责任担保"/>
                    </w:comboBox>
                  </w:sdtPr>
                  <w:sdtContent>
                    <w:tc>
                      <w:tcPr>
                        <w:tcW w:w="319" w:type="pct"/>
                        <w:tcBorders>
                          <w:top w:val="single" w:sz="4" w:space="0" w:color="auto"/>
                          <w:left w:val="single" w:sz="4" w:space="0" w:color="auto"/>
                          <w:bottom w:val="single" w:sz="4" w:space="0" w:color="auto"/>
                          <w:right w:val="single" w:sz="4" w:space="0" w:color="auto"/>
                        </w:tcBorders>
                        <w:shd w:val="clear" w:color="auto" w:fill="auto"/>
                      </w:tcPr>
                      <w:p w:rsidR="00883153" w:rsidRPr="00E04FAA" w:rsidRDefault="00200151">
                        <w:pPr>
                          <w:autoSpaceDE w:val="0"/>
                          <w:autoSpaceDN w:val="0"/>
                          <w:adjustRightInd w:val="0"/>
                          <w:rPr>
                            <w:color w:val="FFC000"/>
                            <w:szCs w:val="21"/>
                          </w:rPr>
                        </w:pPr>
                        <w:r w:rsidRPr="00E04FAA">
                          <w:rPr>
                            <w:rFonts w:hint="eastAsia"/>
                          </w:rPr>
                          <w:t xml:space="preserve">　</w:t>
                        </w:r>
                      </w:p>
                    </w:tc>
                  </w:sdtContent>
                </w:sdt>
                <w:sdt>
                  <w:sdtPr>
                    <w:rPr>
                      <w:rFonts w:hint="eastAsia"/>
                      <w:bCs/>
                      <w:szCs w:val="21"/>
                    </w:rPr>
                    <w:alias w:val="担保是否已经履行完毕"/>
                    <w:tag w:val="_GBC_bdf19978cab14e0695bbd3790203faee"/>
                    <w:id w:val="1089739469"/>
                    <w:lock w:val="sdtLocked"/>
                    <w:showingPlcHdr/>
                    <w:comboBox>
                      <w:listItem w:displayText="是" w:value="true"/>
                      <w:listItem w:displayText="否" w:value="false"/>
                    </w:comboBox>
                  </w:sdtPr>
                  <w:sdtContent>
                    <w:tc>
                      <w:tcPr>
                        <w:tcW w:w="375" w:type="pct"/>
                        <w:tcBorders>
                          <w:top w:val="single" w:sz="4" w:space="0" w:color="auto"/>
                          <w:left w:val="single" w:sz="4" w:space="0" w:color="auto"/>
                          <w:bottom w:val="single" w:sz="4" w:space="0" w:color="auto"/>
                          <w:right w:val="single" w:sz="4" w:space="0" w:color="auto"/>
                        </w:tcBorders>
                        <w:shd w:val="clear" w:color="auto" w:fill="auto"/>
                      </w:tcPr>
                      <w:p w:rsidR="00883153" w:rsidRPr="00E04FAA" w:rsidRDefault="00200151">
                        <w:pPr>
                          <w:autoSpaceDE w:val="0"/>
                          <w:autoSpaceDN w:val="0"/>
                          <w:adjustRightInd w:val="0"/>
                          <w:rPr>
                            <w:color w:val="FFC000"/>
                            <w:szCs w:val="21"/>
                          </w:rPr>
                        </w:pPr>
                        <w:r w:rsidRPr="00E04FAA">
                          <w:rPr>
                            <w:rFonts w:hint="eastAsia"/>
                          </w:rPr>
                          <w:t xml:space="preserve">　</w:t>
                        </w:r>
                      </w:p>
                    </w:tc>
                  </w:sdtContent>
                </w:sdt>
                <w:sdt>
                  <w:sdtPr>
                    <w:rPr>
                      <w:rFonts w:hint="eastAsia"/>
                      <w:bCs/>
                      <w:szCs w:val="21"/>
                    </w:rPr>
                    <w:alias w:val="担保是否逾期"/>
                    <w:tag w:val="_GBC_ea4f351af62f42fcb8bd7c7b737a5b8c"/>
                    <w:id w:val="1815836711"/>
                    <w:lock w:val="sdtLocked"/>
                    <w:showingPlcHdr/>
                    <w:comboBox>
                      <w:listItem w:displayText="是" w:value="true"/>
                      <w:listItem w:displayText="否" w:value="false"/>
                    </w:comboBox>
                  </w:sdtPr>
                  <w:sdtContent>
                    <w:tc>
                      <w:tcPr>
                        <w:tcW w:w="383" w:type="pct"/>
                        <w:tcBorders>
                          <w:top w:val="single" w:sz="4" w:space="0" w:color="auto"/>
                          <w:left w:val="single" w:sz="4" w:space="0" w:color="auto"/>
                          <w:bottom w:val="single" w:sz="4" w:space="0" w:color="auto"/>
                          <w:right w:val="single" w:sz="4" w:space="0" w:color="auto"/>
                        </w:tcBorders>
                        <w:shd w:val="clear" w:color="auto" w:fill="auto"/>
                      </w:tcPr>
                      <w:p w:rsidR="00883153" w:rsidRPr="00E04FAA" w:rsidRDefault="00200151">
                        <w:pPr>
                          <w:autoSpaceDE w:val="0"/>
                          <w:autoSpaceDN w:val="0"/>
                          <w:adjustRightInd w:val="0"/>
                          <w:rPr>
                            <w:color w:val="FFC000"/>
                            <w:szCs w:val="21"/>
                          </w:rPr>
                        </w:pPr>
                        <w:r w:rsidRPr="00E04FAA">
                          <w:rPr>
                            <w:rFonts w:hint="eastAsia"/>
                          </w:rPr>
                          <w:t xml:space="preserve">　</w:t>
                        </w:r>
                      </w:p>
                    </w:tc>
                  </w:sdtContent>
                </w:sdt>
                <w:tc>
                  <w:tcPr>
                    <w:tcW w:w="383" w:type="pct"/>
                    <w:tcBorders>
                      <w:top w:val="single" w:sz="4" w:space="0" w:color="auto"/>
                      <w:left w:val="single" w:sz="4" w:space="0" w:color="auto"/>
                      <w:bottom w:val="single" w:sz="4" w:space="0" w:color="auto"/>
                      <w:right w:val="single" w:sz="4" w:space="0" w:color="auto"/>
                    </w:tcBorders>
                    <w:shd w:val="clear" w:color="auto" w:fill="auto"/>
                  </w:tcPr>
                  <w:p w:rsidR="00883153" w:rsidRPr="00E04FAA" w:rsidRDefault="00883153">
                    <w:pPr>
                      <w:autoSpaceDE w:val="0"/>
                      <w:autoSpaceDN w:val="0"/>
                      <w:adjustRightInd w:val="0"/>
                      <w:jc w:val="right"/>
                      <w:rPr>
                        <w:bCs/>
                        <w:szCs w:val="21"/>
                      </w:rPr>
                    </w:pPr>
                  </w:p>
                </w:tc>
                <w:sdt>
                  <w:sdtPr>
                    <w:rPr>
                      <w:rFonts w:hint="eastAsia"/>
                      <w:bCs/>
                      <w:szCs w:val="21"/>
                    </w:rPr>
                    <w:alias w:val="是否存在反担保"/>
                    <w:tag w:val="_GBC_ce15751c87d741c1a10cb582db4b476f"/>
                    <w:id w:val="-1178272525"/>
                    <w:lock w:val="sdtLocked"/>
                    <w:showingPlcHdr/>
                    <w:comboBox>
                      <w:listItem w:displayText="是" w:value="true"/>
                      <w:listItem w:displayText="否" w:value="false"/>
                    </w:comboBox>
                  </w:sdtPr>
                  <w:sdtContent>
                    <w:tc>
                      <w:tcPr>
                        <w:tcW w:w="384" w:type="pct"/>
                        <w:tcBorders>
                          <w:top w:val="single" w:sz="4" w:space="0" w:color="auto"/>
                          <w:left w:val="single" w:sz="4" w:space="0" w:color="auto"/>
                          <w:bottom w:val="single" w:sz="4" w:space="0" w:color="auto"/>
                          <w:right w:val="single" w:sz="4" w:space="0" w:color="auto"/>
                        </w:tcBorders>
                        <w:shd w:val="clear" w:color="auto" w:fill="auto"/>
                      </w:tcPr>
                      <w:p w:rsidR="00883153" w:rsidRPr="00E04FAA" w:rsidRDefault="00200151">
                        <w:pPr>
                          <w:autoSpaceDE w:val="0"/>
                          <w:autoSpaceDN w:val="0"/>
                          <w:adjustRightInd w:val="0"/>
                          <w:rPr>
                            <w:color w:val="FFC000"/>
                            <w:szCs w:val="21"/>
                          </w:rPr>
                        </w:pPr>
                        <w:r w:rsidRPr="00E04FAA">
                          <w:rPr>
                            <w:rFonts w:hint="eastAsia"/>
                          </w:rPr>
                          <w:t xml:space="preserve">　</w:t>
                        </w:r>
                      </w:p>
                    </w:tc>
                  </w:sdtContent>
                </w:sdt>
                <w:sdt>
                  <w:sdtPr>
                    <w:rPr>
                      <w:rFonts w:hint="eastAsia"/>
                      <w:bCs/>
                      <w:szCs w:val="21"/>
                    </w:rPr>
                    <w:alias w:val="是否为关联方担保"/>
                    <w:tag w:val="_GBC_5afbeb334bf54467b575bc2463ee2ca3"/>
                    <w:id w:val="1873650374"/>
                    <w:lock w:val="sdtLocked"/>
                    <w:showingPlcHdr/>
                    <w:comboBox>
                      <w:listItem w:displayText="是" w:value="true"/>
                      <w:listItem w:displayText="否" w:value="false"/>
                    </w:comboBox>
                  </w:sdtPr>
                  <w:sdtContent>
                    <w:tc>
                      <w:tcPr>
                        <w:tcW w:w="381" w:type="pct"/>
                        <w:tcBorders>
                          <w:top w:val="single" w:sz="4" w:space="0" w:color="auto"/>
                          <w:left w:val="single" w:sz="4" w:space="0" w:color="auto"/>
                          <w:bottom w:val="single" w:sz="4" w:space="0" w:color="auto"/>
                          <w:right w:val="single" w:sz="4" w:space="0" w:color="auto"/>
                        </w:tcBorders>
                        <w:shd w:val="clear" w:color="auto" w:fill="auto"/>
                      </w:tcPr>
                      <w:p w:rsidR="00883153" w:rsidRPr="00E04FAA" w:rsidRDefault="00200151">
                        <w:pPr>
                          <w:autoSpaceDE w:val="0"/>
                          <w:autoSpaceDN w:val="0"/>
                          <w:adjustRightInd w:val="0"/>
                          <w:rPr>
                            <w:color w:val="FFC000"/>
                            <w:szCs w:val="21"/>
                          </w:rPr>
                        </w:pPr>
                        <w:r w:rsidRPr="00E04FAA">
                          <w:rPr>
                            <w:rFonts w:hint="eastAsia"/>
                          </w:rPr>
                          <w:t xml:space="preserve">　</w:t>
                        </w:r>
                      </w:p>
                    </w:tc>
                  </w:sdtContent>
                </w:sdt>
                <w:sdt>
                  <w:sdtPr>
                    <w:rPr>
                      <w:szCs w:val="21"/>
                    </w:rPr>
                    <w:alias w:val="担保中关联方与本公司关系"/>
                    <w:tag w:val="_GBC_ffc837376a404ab5b855ee41efc74a03"/>
                    <w:id w:val="-167555831"/>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230" w:type="pct"/>
                        <w:tcBorders>
                          <w:top w:val="single" w:sz="4" w:space="0" w:color="auto"/>
                          <w:left w:val="single" w:sz="4" w:space="0" w:color="auto"/>
                          <w:bottom w:val="single" w:sz="4" w:space="0" w:color="auto"/>
                        </w:tcBorders>
                        <w:shd w:val="clear" w:color="auto" w:fill="auto"/>
                      </w:tcPr>
                      <w:p w:rsidR="00883153" w:rsidRPr="00E04FAA" w:rsidRDefault="00200151">
                        <w:pPr>
                          <w:autoSpaceDE w:val="0"/>
                          <w:autoSpaceDN w:val="0"/>
                          <w:adjustRightInd w:val="0"/>
                          <w:jc w:val="center"/>
                          <w:rPr>
                            <w:color w:val="FFC000"/>
                            <w:szCs w:val="21"/>
                          </w:rPr>
                        </w:pPr>
                        <w:r w:rsidRPr="00E04FAA">
                          <w:rPr>
                            <w:rFonts w:hint="eastAsia"/>
                          </w:rPr>
                          <w:t xml:space="preserve">　</w:t>
                        </w:r>
                      </w:p>
                    </w:tc>
                  </w:sdtContent>
                </w:sdt>
              </w:tr>
            </w:sdtContent>
          </w:sdt>
          <w:sdt>
            <w:sdtPr>
              <w:rPr>
                <w:szCs w:val="21"/>
              </w:rPr>
              <w:alias w:val="担保情况"/>
              <w:tag w:val="_TUP_114bc3c6d7bc4581bbdfcca2eb572a5d"/>
              <w:id w:val="-241412995"/>
              <w:lock w:val="sdtLocked"/>
              <w:placeholder>
                <w:docPart w:val="GBC11111111111111111111111111111"/>
              </w:placeholder>
            </w:sdtPr>
            <w:sdtEndPr>
              <w:rPr>
                <w:color w:val="FFC000"/>
              </w:rPr>
            </w:sdtEndPr>
            <w:sdtContent>
              <w:tr w:rsidR="00883153" w:rsidRPr="00E04FAA" w:rsidTr="006F01B1">
                <w:trPr>
                  <w:trHeight w:val="293"/>
                </w:trPr>
                <w:tc>
                  <w:tcPr>
                    <w:tcW w:w="359" w:type="pct"/>
                    <w:tcBorders>
                      <w:top w:val="single" w:sz="4" w:space="0" w:color="auto"/>
                      <w:bottom w:val="single" w:sz="4" w:space="0" w:color="auto"/>
                      <w:right w:val="single" w:sz="4" w:space="0" w:color="auto"/>
                    </w:tcBorders>
                    <w:shd w:val="clear" w:color="auto" w:fill="auto"/>
                  </w:tcPr>
                  <w:p w:rsidR="00883153" w:rsidRPr="00E04FAA" w:rsidRDefault="00883153">
                    <w:pPr>
                      <w:autoSpaceDE w:val="0"/>
                      <w:autoSpaceDN w:val="0"/>
                      <w:adjustRightInd w:val="0"/>
                      <w:rPr>
                        <w:szCs w:val="21"/>
                      </w:rPr>
                    </w:pPr>
                  </w:p>
                </w:tc>
                <w:sdt>
                  <w:sdtPr>
                    <w:rPr>
                      <w:rFonts w:hint="eastAsia"/>
                      <w:bCs/>
                      <w:szCs w:val="21"/>
                    </w:rPr>
                    <w:alias w:val="担保方与上市公司的关联关系"/>
                    <w:tag w:val="_GBC_fbb2ddbcfdb946cd833a00fea18d6c61"/>
                    <w:id w:val="1532996753"/>
                    <w:lock w:val="sdtLocked"/>
                    <w:showingPlcHdr/>
                    <w:comboBox>
                      <w:listItem w:displayText="公司本部" w:value="公司本部"/>
                      <w:listItem w:displayText="控股子公司" w:value="控股子公司"/>
                      <w:listItem w:displayText="全资子公司" w:value="全资子公司"/>
                    </w:comboBox>
                  </w:sdtPr>
                  <w:sdtContent>
                    <w:tc>
                      <w:tcPr>
                        <w:tcW w:w="358" w:type="pct"/>
                        <w:tcBorders>
                          <w:top w:val="single" w:sz="4" w:space="0" w:color="auto"/>
                          <w:left w:val="single" w:sz="4" w:space="0" w:color="auto"/>
                          <w:bottom w:val="single" w:sz="4" w:space="0" w:color="auto"/>
                          <w:right w:val="single" w:sz="4" w:space="0" w:color="auto"/>
                        </w:tcBorders>
                        <w:shd w:val="clear" w:color="auto" w:fill="auto"/>
                      </w:tcPr>
                      <w:p w:rsidR="00883153" w:rsidRPr="00E04FAA" w:rsidRDefault="00200151">
                        <w:pPr>
                          <w:autoSpaceDE w:val="0"/>
                          <w:autoSpaceDN w:val="0"/>
                          <w:adjustRightInd w:val="0"/>
                          <w:rPr>
                            <w:color w:val="FFC000"/>
                            <w:szCs w:val="21"/>
                          </w:rPr>
                        </w:pPr>
                        <w:r w:rsidRPr="00E04FAA">
                          <w:rPr>
                            <w:rFonts w:hint="eastAsia"/>
                          </w:rPr>
                          <w:t xml:space="preserve">　</w:t>
                        </w:r>
                      </w:p>
                    </w:tc>
                  </w:sdtContent>
                </w:sdt>
                <w:tc>
                  <w:tcPr>
                    <w:tcW w:w="358" w:type="pct"/>
                    <w:tcBorders>
                      <w:top w:val="single" w:sz="4" w:space="0" w:color="auto"/>
                      <w:left w:val="single" w:sz="4" w:space="0" w:color="auto"/>
                      <w:bottom w:val="single" w:sz="4" w:space="0" w:color="auto"/>
                      <w:right w:val="single" w:sz="4" w:space="0" w:color="auto"/>
                    </w:tcBorders>
                    <w:shd w:val="clear" w:color="auto" w:fill="auto"/>
                  </w:tcPr>
                  <w:p w:rsidR="00883153" w:rsidRPr="00E04FAA" w:rsidRDefault="00883153">
                    <w:pPr>
                      <w:autoSpaceDE w:val="0"/>
                      <w:autoSpaceDN w:val="0"/>
                      <w:adjustRightInd w:val="0"/>
                      <w:rPr>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tcPr>
                  <w:p w:rsidR="00883153" w:rsidRPr="00E04FAA" w:rsidRDefault="00883153">
                    <w:pPr>
                      <w:autoSpaceDE w:val="0"/>
                      <w:autoSpaceDN w:val="0"/>
                      <w:adjustRightInd w:val="0"/>
                      <w:jc w:val="right"/>
                      <w:rPr>
                        <w:szCs w:val="21"/>
                      </w:rPr>
                    </w:pPr>
                  </w:p>
                </w:tc>
                <w:tc>
                  <w:tcPr>
                    <w:tcW w:w="345" w:type="pct"/>
                    <w:tcBorders>
                      <w:top w:val="single" w:sz="4" w:space="0" w:color="auto"/>
                      <w:left w:val="single" w:sz="4" w:space="0" w:color="auto"/>
                      <w:bottom w:val="single" w:sz="4" w:space="0" w:color="auto"/>
                      <w:right w:val="single" w:sz="4" w:space="0" w:color="auto"/>
                    </w:tcBorders>
                    <w:shd w:val="clear" w:color="auto" w:fill="auto"/>
                  </w:tcPr>
                  <w:p w:rsidR="00883153" w:rsidRPr="00E04FAA" w:rsidRDefault="00883153">
                    <w:pPr>
                      <w:autoSpaceDE w:val="0"/>
                      <w:autoSpaceDN w:val="0"/>
                      <w:adjustRightInd w:val="0"/>
                      <w:rPr>
                        <w:szCs w:val="21"/>
                      </w:rPr>
                    </w:pPr>
                  </w:p>
                </w:tc>
                <w:tc>
                  <w:tcPr>
                    <w:tcW w:w="372" w:type="pct"/>
                    <w:tcBorders>
                      <w:top w:val="single" w:sz="4" w:space="0" w:color="auto"/>
                      <w:left w:val="single" w:sz="4" w:space="0" w:color="auto"/>
                      <w:bottom w:val="single" w:sz="4" w:space="0" w:color="auto"/>
                      <w:right w:val="single" w:sz="4" w:space="0" w:color="auto"/>
                    </w:tcBorders>
                    <w:shd w:val="clear" w:color="auto" w:fill="auto"/>
                  </w:tcPr>
                  <w:p w:rsidR="00883153" w:rsidRPr="00E04FAA" w:rsidRDefault="00883153">
                    <w:pPr>
                      <w:autoSpaceDE w:val="0"/>
                      <w:autoSpaceDN w:val="0"/>
                      <w:adjustRightInd w:val="0"/>
                      <w:rPr>
                        <w:szCs w:val="21"/>
                      </w:rPr>
                    </w:pPr>
                  </w:p>
                </w:tc>
                <w:tc>
                  <w:tcPr>
                    <w:tcW w:w="394" w:type="pct"/>
                    <w:tcBorders>
                      <w:top w:val="single" w:sz="4" w:space="0" w:color="auto"/>
                      <w:left w:val="single" w:sz="4" w:space="0" w:color="auto"/>
                      <w:bottom w:val="single" w:sz="4" w:space="0" w:color="auto"/>
                      <w:right w:val="single" w:sz="4" w:space="0" w:color="auto"/>
                    </w:tcBorders>
                    <w:shd w:val="clear" w:color="auto" w:fill="auto"/>
                  </w:tcPr>
                  <w:p w:rsidR="00883153" w:rsidRPr="00E04FAA" w:rsidRDefault="00883153">
                    <w:pPr>
                      <w:autoSpaceDE w:val="0"/>
                      <w:autoSpaceDN w:val="0"/>
                      <w:adjustRightInd w:val="0"/>
                      <w:rPr>
                        <w:szCs w:val="21"/>
                      </w:rPr>
                    </w:pPr>
                  </w:p>
                </w:tc>
                <w:sdt>
                  <w:sdtPr>
                    <w:rPr>
                      <w:szCs w:val="21"/>
                    </w:rPr>
                    <w:alias w:val="担保类型"/>
                    <w:tag w:val="_GBC_871b43b2ae5f437d83be371cbce6a82e"/>
                    <w:id w:val="-1892421766"/>
                    <w:lock w:val="sdtLocked"/>
                    <w:showingPlcHdr/>
                    <w:comboBox>
                      <w:listItem w:displayText="一般担保" w:value="一般担保"/>
                      <w:listItem w:displayText="连带责任担保" w:value="连带责任担保"/>
                    </w:comboBox>
                  </w:sdtPr>
                  <w:sdtContent>
                    <w:tc>
                      <w:tcPr>
                        <w:tcW w:w="319" w:type="pct"/>
                        <w:tcBorders>
                          <w:top w:val="single" w:sz="4" w:space="0" w:color="auto"/>
                          <w:left w:val="single" w:sz="4" w:space="0" w:color="auto"/>
                          <w:bottom w:val="single" w:sz="4" w:space="0" w:color="auto"/>
                          <w:right w:val="single" w:sz="4" w:space="0" w:color="auto"/>
                        </w:tcBorders>
                        <w:shd w:val="clear" w:color="auto" w:fill="auto"/>
                      </w:tcPr>
                      <w:p w:rsidR="00883153" w:rsidRPr="00E04FAA" w:rsidRDefault="00200151">
                        <w:pPr>
                          <w:autoSpaceDE w:val="0"/>
                          <w:autoSpaceDN w:val="0"/>
                          <w:adjustRightInd w:val="0"/>
                          <w:rPr>
                            <w:color w:val="FFC000"/>
                            <w:szCs w:val="21"/>
                          </w:rPr>
                        </w:pPr>
                        <w:r w:rsidRPr="00E04FAA">
                          <w:rPr>
                            <w:rFonts w:hint="eastAsia"/>
                          </w:rPr>
                          <w:t xml:space="preserve">　</w:t>
                        </w:r>
                      </w:p>
                    </w:tc>
                  </w:sdtContent>
                </w:sdt>
                <w:sdt>
                  <w:sdtPr>
                    <w:rPr>
                      <w:rFonts w:hint="eastAsia"/>
                      <w:bCs/>
                      <w:szCs w:val="21"/>
                    </w:rPr>
                    <w:alias w:val="担保是否已经履行完毕"/>
                    <w:tag w:val="_GBC_bdf19978cab14e0695bbd3790203faee"/>
                    <w:id w:val="-1814248326"/>
                    <w:lock w:val="sdtLocked"/>
                    <w:showingPlcHdr/>
                    <w:comboBox>
                      <w:listItem w:displayText="是" w:value="true"/>
                      <w:listItem w:displayText="否" w:value="false"/>
                    </w:comboBox>
                  </w:sdtPr>
                  <w:sdtContent>
                    <w:tc>
                      <w:tcPr>
                        <w:tcW w:w="375" w:type="pct"/>
                        <w:tcBorders>
                          <w:top w:val="single" w:sz="4" w:space="0" w:color="auto"/>
                          <w:left w:val="single" w:sz="4" w:space="0" w:color="auto"/>
                          <w:bottom w:val="single" w:sz="4" w:space="0" w:color="auto"/>
                          <w:right w:val="single" w:sz="4" w:space="0" w:color="auto"/>
                        </w:tcBorders>
                        <w:shd w:val="clear" w:color="auto" w:fill="auto"/>
                      </w:tcPr>
                      <w:p w:rsidR="00883153" w:rsidRPr="00E04FAA" w:rsidRDefault="00200151">
                        <w:pPr>
                          <w:autoSpaceDE w:val="0"/>
                          <w:autoSpaceDN w:val="0"/>
                          <w:adjustRightInd w:val="0"/>
                          <w:rPr>
                            <w:color w:val="FFC000"/>
                            <w:szCs w:val="21"/>
                          </w:rPr>
                        </w:pPr>
                        <w:r w:rsidRPr="00E04FAA">
                          <w:rPr>
                            <w:rFonts w:hint="eastAsia"/>
                          </w:rPr>
                          <w:t xml:space="preserve">　</w:t>
                        </w:r>
                      </w:p>
                    </w:tc>
                  </w:sdtContent>
                </w:sdt>
                <w:sdt>
                  <w:sdtPr>
                    <w:rPr>
                      <w:rFonts w:hint="eastAsia"/>
                      <w:bCs/>
                      <w:szCs w:val="21"/>
                    </w:rPr>
                    <w:alias w:val="担保是否逾期"/>
                    <w:tag w:val="_GBC_ea4f351af62f42fcb8bd7c7b737a5b8c"/>
                    <w:id w:val="-424423425"/>
                    <w:lock w:val="sdtLocked"/>
                    <w:showingPlcHdr/>
                    <w:comboBox>
                      <w:listItem w:displayText="是" w:value="true"/>
                      <w:listItem w:displayText="否" w:value="false"/>
                    </w:comboBox>
                  </w:sdtPr>
                  <w:sdtContent>
                    <w:tc>
                      <w:tcPr>
                        <w:tcW w:w="383" w:type="pct"/>
                        <w:tcBorders>
                          <w:top w:val="single" w:sz="4" w:space="0" w:color="auto"/>
                          <w:left w:val="single" w:sz="4" w:space="0" w:color="auto"/>
                          <w:bottom w:val="single" w:sz="4" w:space="0" w:color="auto"/>
                          <w:right w:val="single" w:sz="4" w:space="0" w:color="auto"/>
                        </w:tcBorders>
                        <w:shd w:val="clear" w:color="auto" w:fill="auto"/>
                      </w:tcPr>
                      <w:p w:rsidR="00883153" w:rsidRPr="00E04FAA" w:rsidRDefault="00200151">
                        <w:pPr>
                          <w:autoSpaceDE w:val="0"/>
                          <w:autoSpaceDN w:val="0"/>
                          <w:adjustRightInd w:val="0"/>
                          <w:rPr>
                            <w:color w:val="FFC000"/>
                            <w:szCs w:val="21"/>
                          </w:rPr>
                        </w:pPr>
                        <w:r w:rsidRPr="00E04FAA">
                          <w:rPr>
                            <w:rFonts w:hint="eastAsia"/>
                          </w:rPr>
                          <w:t xml:space="preserve">　</w:t>
                        </w:r>
                      </w:p>
                    </w:tc>
                  </w:sdtContent>
                </w:sdt>
                <w:tc>
                  <w:tcPr>
                    <w:tcW w:w="383" w:type="pct"/>
                    <w:tcBorders>
                      <w:top w:val="single" w:sz="4" w:space="0" w:color="auto"/>
                      <w:left w:val="single" w:sz="4" w:space="0" w:color="auto"/>
                      <w:bottom w:val="single" w:sz="4" w:space="0" w:color="auto"/>
                      <w:right w:val="single" w:sz="4" w:space="0" w:color="auto"/>
                    </w:tcBorders>
                    <w:shd w:val="clear" w:color="auto" w:fill="auto"/>
                  </w:tcPr>
                  <w:p w:rsidR="00883153" w:rsidRPr="00E04FAA" w:rsidRDefault="00883153">
                    <w:pPr>
                      <w:autoSpaceDE w:val="0"/>
                      <w:autoSpaceDN w:val="0"/>
                      <w:adjustRightInd w:val="0"/>
                      <w:jc w:val="right"/>
                      <w:rPr>
                        <w:bCs/>
                        <w:szCs w:val="21"/>
                      </w:rPr>
                    </w:pPr>
                  </w:p>
                </w:tc>
                <w:sdt>
                  <w:sdtPr>
                    <w:rPr>
                      <w:rFonts w:hint="eastAsia"/>
                      <w:bCs/>
                      <w:szCs w:val="21"/>
                    </w:rPr>
                    <w:alias w:val="是否存在反担保"/>
                    <w:tag w:val="_GBC_ce15751c87d741c1a10cb582db4b476f"/>
                    <w:id w:val="-1021708747"/>
                    <w:lock w:val="sdtLocked"/>
                    <w:showingPlcHdr/>
                    <w:comboBox>
                      <w:listItem w:displayText="是" w:value="true"/>
                      <w:listItem w:displayText="否" w:value="false"/>
                    </w:comboBox>
                  </w:sdtPr>
                  <w:sdtContent>
                    <w:tc>
                      <w:tcPr>
                        <w:tcW w:w="384" w:type="pct"/>
                        <w:tcBorders>
                          <w:top w:val="single" w:sz="4" w:space="0" w:color="auto"/>
                          <w:left w:val="single" w:sz="4" w:space="0" w:color="auto"/>
                          <w:bottom w:val="single" w:sz="4" w:space="0" w:color="auto"/>
                          <w:right w:val="single" w:sz="4" w:space="0" w:color="auto"/>
                        </w:tcBorders>
                        <w:shd w:val="clear" w:color="auto" w:fill="auto"/>
                      </w:tcPr>
                      <w:p w:rsidR="00883153" w:rsidRPr="00E04FAA" w:rsidRDefault="00200151">
                        <w:pPr>
                          <w:autoSpaceDE w:val="0"/>
                          <w:autoSpaceDN w:val="0"/>
                          <w:adjustRightInd w:val="0"/>
                          <w:rPr>
                            <w:color w:val="FFC000"/>
                            <w:szCs w:val="21"/>
                          </w:rPr>
                        </w:pPr>
                        <w:r w:rsidRPr="00E04FAA">
                          <w:rPr>
                            <w:rFonts w:hint="eastAsia"/>
                          </w:rPr>
                          <w:t xml:space="preserve">　</w:t>
                        </w:r>
                      </w:p>
                    </w:tc>
                  </w:sdtContent>
                </w:sdt>
                <w:sdt>
                  <w:sdtPr>
                    <w:rPr>
                      <w:rFonts w:hint="eastAsia"/>
                      <w:bCs/>
                      <w:szCs w:val="21"/>
                    </w:rPr>
                    <w:alias w:val="是否为关联方担保"/>
                    <w:tag w:val="_GBC_5afbeb334bf54467b575bc2463ee2ca3"/>
                    <w:id w:val="-1333372789"/>
                    <w:lock w:val="sdtLocked"/>
                    <w:showingPlcHdr/>
                    <w:comboBox>
                      <w:listItem w:displayText="是" w:value="true"/>
                      <w:listItem w:displayText="否" w:value="false"/>
                    </w:comboBox>
                  </w:sdtPr>
                  <w:sdtContent>
                    <w:tc>
                      <w:tcPr>
                        <w:tcW w:w="381" w:type="pct"/>
                        <w:tcBorders>
                          <w:top w:val="single" w:sz="4" w:space="0" w:color="auto"/>
                          <w:left w:val="single" w:sz="4" w:space="0" w:color="auto"/>
                          <w:bottom w:val="single" w:sz="4" w:space="0" w:color="auto"/>
                          <w:right w:val="single" w:sz="4" w:space="0" w:color="auto"/>
                        </w:tcBorders>
                        <w:shd w:val="clear" w:color="auto" w:fill="auto"/>
                      </w:tcPr>
                      <w:p w:rsidR="00883153" w:rsidRPr="00E04FAA" w:rsidRDefault="00200151">
                        <w:pPr>
                          <w:autoSpaceDE w:val="0"/>
                          <w:autoSpaceDN w:val="0"/>
                          <w:adjustRightInd w:val="0"/>
                          <w:rPr>
                            <w:color w:val="FFC000"/>
                            <w:szCs w:val="21"/>
                          </w:rPr>
                        </w:pPr>
                        <w:r w:rsidRPr="00E04FAA">
                          <w:rPr>
                            <w:rFonts w:hint="eastAsia"/>
                          </w:rPr>
                          <w:t xml:space="preserve">　</w:t>
                        </w:r>
                      </w:p>
                    </w:tc>
                  </w:sdtContent>
                </w:sdt>
                <w:sdt>
                  <w:sdtPr>
                    <w:rPr>
                      <w:szCs w:val="21"/>
                    </w:rPr>
                    <w:alias w:val="担保中关联方与本公司关系"/>
                    <w:tag w:val="_GBC_ffc837376a404ab5b855ee41efc74a03"/>
                    <w:id w:val="631211533"/>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230" w:type="pct"/>
                        <w:tcBorders>
                          <w:top w:val="single" w:sz="4" w:space="0" w:color="auto"/>
                          <w:left w:val="single" w:sz="4" w:space="0" w:color="auto"/>
                          <w:bottom w:val="single" w:sz="4" w:space="0" w:color="auto"/>
                        </w:tcBorders>
                        <w:shd w:val="clear" w:color="auto" w:fill="auto"/>
                      </w:tcPr>
                      <w:p w:rsidR="00883153" w:rsidRPr="00E04FAA" w:rsidRDefault="00200151">
                        <w:pPr>
                          <w:autoSpaceDE w:val="0"/>
                          <w:autoSpaceDN w:val="0"/>
                          <w:adjustRightInd w:val="0"/>
                          <w:jc w:val="center"/>
                          <w:rPr>
                            <w:color w:val="FFC000"/>
                            <w:szCs w:val="21"/>
                          </w:rPr>
                        </w:pPr>
                        <w:r w:rsidRPr="00E04FAA">
                          <w:rPr>
                            <w:rFonts w:hint="eastAsia"/>
                          </w:rPr>
                          <w:t xml:space="preserve">　</w:t>
                        </w:r>
                      </w:p>
                    </w:tc>
                  </w:sdtContent>
                </w:sdt>
              </w:tr>
            </w:sdtContent>
          </w:sdt>
          <w:tr w:rsidR="00883153" w:rsidRPr="00E04FAA" w:rsidTr="006F01B1">
            <w:trPr>
              <w:trHeight w:val="308"/>
            </w:trPr>
            <w:sdt>
              <w:sdtPr>
                <w:tag w:val="_PLD_34b0da1b2cbe48e68fc0a932cd8b0340"/>
                <w:id w:val="-1915385289"/>
                <w:lock w:val="sdtLocked"/>
              </w:sdtPr>
              <w:sdtContent>
                <w:tc>
                  <w:tcPr>
                    <w:tcW w:w="2151" w:type="pct"/>
                    <w:gridSpan w:val="6"/>
                    <w:tcBorders>
                      <w:top w:val="single" w:sz="4" w:space="0" w:color="auto"/>
                      <w:bottom w:val="single" w:sz="4" w:space="0" w:color="auto"/>
                      <w:right w:val="single" w:sz="4" w:space="0" w:color="auto"/>
                    </w:tcBorders>
                    <w:shd w:val="clear" w:color="auto" w:fill="auto"/>
                  </w:tcPr>
                  <w:p w:rsidR="00883153" w:rsidRPr="00E04FAA" w:rsidRDefault="00200151">
                    <w:pPr>
                      <w:autoSpaceDE w:val="0"/>
                      <w:autoSpaceDN w:val="0"/>
                      <w:adjustRightInd w:val="0"/>
                      <w:rPr>
                        <w:szCs w:val="21"/>
                      </w:rPr>
                    </w:pPr>
                    <w:r w:rsidRPr="00E04FAA">
                      <w:rPr>
                        <w:rFonts w:hint="eastAsia"/>
                        <w:szCs w:val="21"/>
                      </w:rPr>
                      <w:t>报告期内担保发生额合计（不包括对子公司的担保）</w:t>
                    </w:r>
                  </w:p>
                </w:tc>
              </w:sdtContent>
            </w:sdt>
            <w:tc>
              <w:tcPr>
                <w:tcW w:w="2849" w:type="pct"/>
                <w:gridSpan w:val="8"/>
                <w:tcBorders>
                  <w:top w:val="single" w:sz="4" w:space="0" w:color="auto"/>
                  <w:left w:val="single" w:sz="4" w:space="0" w:color="auto"/>
                  <w:bottom w:val="single" w:sz="4" w:space="0" w:color="auto"/>
                </w:tcBorders>
                <w:shd w:val="clear" w:color="auto" w:fill="auto"/>
              </w:tcPr>
              <w:p w:rsidR="00883153" w:rsidRPr="00E04FAA" w:rsidRDefault="00883153">
                <w:pPr>
                  <w:jc w:val="right"/>
                  <w:rPr>
                    <w:szCs w:val="21"/>
                  </w:rPr>
                </w:pPr>
              </w:p>
            </w:tc>
          </w:tr>
          <w:tr w:rsidR="00883153" w:rsidRPr="00E04FAA" w:rsidTr="006F01B1">
            <w:trPr>
              <w:trHeight w:val="308"/>
            </w:trPr>
            <w:sdt>
              <w:sdtPr>
                <w:tag w:val="_PLD_df234c2feee3412b87d0e8903d9a61b6"/>
                <w:id w:val="-1113361420"/>
                <w:lock w:val="sdtLocked"/>
              </w:sdtPr>
              <w:sdtContent>
                <w:tc>
                  <w:tcPr>
                    <w:tcW w:w="2151" w:type="pct"/>
                    <w:gridSpan w:val="6"/>
                    <w:tcBorders>
                      <w:top w:val="single" w:sz="4" w:space="0" w:color="auto"/>
                      <w:bottom w:val="single" w:sz="4" w:space="0" w:color="auto"/>
                      <w:right w:val="single" w:sz="4" w:space="0" w:color="auto"/>
                    </w:tcBorders>
                    <w:shd w:val="clear" w:color="auto" w:fill="auto"/>
                  </w:tcPr>
                  <w:p w:rsidR="00883153" w:rsidRPr="00E04FAA" w:rsidRDefault="00200151">
                    <w:pPr>
                      <w:autoSpaceDE w:val="0"/>
                      <w:autoSpaceDN w:val="0"/>
                      <w:adjustRightInd w:val="0"/>
                      <w:rPr>
                        <w:szCs w:val="21"/>
                      </w:rPr>
                    </w:pPr>
                    <w:r w:rsidRPr="00E04FAA">
                      <w:rPr>
                        <w:rFonts w:hint="eastAsia"/>
                        <w:szCs w:val="21"/>
                      </w:rPr>
                      <w:t>报告期末担保余额合计（</w:t>
                    </w:r>
                    <w:r w:rsidRPr="00E04FAA">
                      <w:rPr>
                        <w:szCs w:val="21"/>
                      </w:rPr>
                      <w:t>A</w:t>
                    </w:r>
                    <w:r w:rsidRPr="00E04FAA">
                      <w:rPr>
                        <w:rFonts w:hint="eastAsia"/>
                        <w:szCs w:val="21"/>
                      </w:rPr>
                      <w:t>）（不包括对子公司的担保）</w:t>
                    </w:r>
                  </w:p>
                </w:tc>
              </w:sdtContent>
            </w:sdt>
            <w:tc>
              <w:tcPr>
                <w:tcW w:w="2849" w:type="pct"/>
                <w:gridSpan w:val="8"/>
                <w:tcBorders>
                  <w:top w:val="single" w:sz="4" w:space="0" w:color="auto"/>
                  <w:left w:val="single" w:sz="4" w:space="0" w:color="auto"/>
                  <w:bottom w:val="single" w:sz="4" w:space="0" w:color="auto"/>
                </w:tcBorders>
                <w:shd w:val="clear" w:color="auto" w:fill="auto"/>
              </w:tcPr>
              <w:p w:rsidR="00883153" w:rsidRPr="00E04FAA" w:rsidRDefault="00883153">
                <w:pPr>
                  <w:autoSpaceDE w:val="0"/>
                  <w:autoSpaceDN w:val="0"/>
                  <w:adjustRightInd w:val="0"/>
                  <w:jc w:val="right"/>
                  <w:rPr>
                    <w:szCs w:val="21"/>
                  </w:rPr>
                </w:pPr>
              </w:p>
            </w:tc>
          </w:tr>
          <w:tr w:rsidR="00883153" w:rsidRPr="00E04FAA" w:rsidTr="00D11029">
            <w:trPr>
              <w:trHeight w:val="308"/>
            </w:trPr>
            <w:sdt>
              <w:sdtPr>
                <w:tag w:val="_PLD_10e721900c124ea9a7b3b2e7387bde54"/>
                <w:id w:val="-1586289373"/>
                <w:lock w:val="sdtLocked"/>
              </w:sdtPr>
              <w:sdtContent>
                <w:tc>
                  <w:tcPr>
                    <w:tcW w:w="5000" w:type="pct"/>
                    <w:gridSpan w:val="14"/>
                    <w:tcBorders>
                      <w:top w:val="single" w:sz="4" w:space="0" w:color="auto"/>
                      <w:bottom w:val="single" w:sz="4" w:space="0" w:color="auto"/>
                    </w:tcBorders>
                    <w:shd w:val="clear" w:color="auto" w:fill="auto"/>
                  </w:tcPr>
                  <w:p w:rsidR="00883153" w:rsidRPr="00E04FAA" w:rsidRDefault="00200151">
                    <w:pPr>
                      <w:autoSpaceDE w:val="0"/>
                      <w:autoSpaceDN w:val="0"/>
                      <w:adjustRightInd w:val="0"/>
                      <w:jc w:val="center"/>
                      <w:rPr>
                        <w:szCs w:val="21"/>
                      </w:rPr>
                    </w:pPr>
                    <w:r w:rsidRPr="00E04FAA">
                      <w:rPr>
                        <w:rFonts w:hint="eastAsia"/>
                        <w:szCs w:val="21"/>
                      </w:rPr>
                      <w:t>公司对子公司的担保情况</w:t>
                    </w:r>
                  </w:p>
                </w:tc>
              </w:sdtContent>
            </w:sdt>
          </w:tr>
          <w:tr w:rsidR="00883153" w:rsidRPr="00E04FAA" w:rsidTr="006F01B1">
            <w:trPr>
              <w:trHeight w:val="308"/>
            </w:trPr>
            <w:sdt>
              <w:sdtPr>
                <w:tag w:val="_PLD_e689943a6ae642e6b6e124130cfbc004"/>
                <w:id w:val="293256233"/>
                <w:lock w:val="sdtLocked"/>
              </w:sdtPr>
              <w:sdtContent>
                <w:tc>
                  <w:tcPr>
                    <w:tcW w:w="2151" w:type="pct"/>
                    <w:gridSpan w:val="6"/>
                    <w:tcBorders>
                      <w:top w:val="single" w:sz="4" w:space="0" w:color="auto"/>
                      <w:bottom w:val="single" w:sz="4" w:space="0" w:color="auto"/>
                      <w:right w:val="single" w:sz="4" w:space="0" w:color="auto"/>
                    </w:tcBorders>
                    <w:shd w:val="clear" w:color="auto" w:fill="auto"/>
                  </w:tcPr>
                  <w:p w:rsidR="00883153" w:rsidRPr="00E04FAA" w:rsidRDefault="00200151">
                    <w:pPr>
                      <w:autoSpaceDE w:val="0"/>
                      <w:autoSpaceDN w:val="0"/>
                      <w:adjustRightInd w:val="0"/>
                      <w:rPr>
                        <w:color w:val="FF0000"/>
                        <w:szCs w:val="21"/>
                      </w:rPr>
                    </w:pPr>
                    <w:r w:rsidRPr="00E04FAA">
                      <w:rPr>
                        <w:rFonts w:hint="eastAsia"/>
                        <w:szCs w:val="21"/>
                      </w:rPr>
                      <w:t>报告期内对子公司担保发生额合计</w:t>
                    </w:r>
                  </w:p>
                </w:tc>
              </w:sdtContent>
            </w:sdt>
            <w:tc>
              <w:tcPr>
                <w:tcW w:w="2849" w:type="pct"/>
                <w:gridSpan w:val="8"/>
                <w:tcBorders>
                  <w:top w:val="single" w:sz="4" w:space="0" w:color="auto"/>
                  <w:left w:val="single" w:sz="4" w:space="0" w:color="auto"/>
                  <w:bottom w:val="single" w:sz="4" w:space="0" w:color="auto"/>
                </w:tcBorders>
                <w:shd w:val="clear" w:color="auto" w:fill="auto"/>
              </w:tcPr>
              <w:p w:rsidR="00883153" w:rsidRPr="00E04FAA" w:rsidRDefault="00F0210F">
                <w:pPr>
                  <w:jc w:val="right"/>
                  <w:rPr>
                    <w:szCs w:val="21"/>
                  </w:rPr>
                </w:pPr>
                <w:r w:rsidRPr="00E04FAA">
                  <w:rPr>
                    <w:szCs w:val="21"/>
                  </w:rPr>
                  <w:t>180,000,000</w:t>
                </w:r>
              </w:p>
            </w:tc>
          </w:tr>
          <w:tr w:rsidR="00883153" w:rsidRPr="00E04FAA" w:rsidTr="006F01B1">
            <w:trPr>
              <w:trHeight w:val="308"/>
            </w:trPr>
            <w:sdt>
              <w:sdtPr>
                <w:tag w:val="_PLD_a3b413daaec14a9d9fa0473f4034cb78"/>
                <w:id w:val="-513153240"/>
                <w:lock w:val="sdtLocked"/>
              </w:sdtPr>
              <w:sdtContent>
                <w:tc>
                  <w:tcPr>
                    <w:tcW w:w="2151" w:type="pct"/>
                    <w:gridSpan w:val="6"/>
                    <w:tcBorders>
                      <w:top w:val="single" w:sz="4" w:space="0" w:color="auto"/>
                      <w:bottom w:val="single" w:sz="4" w:space="0" w:color="auto"/>
                      <w:right w:val="single" w:sz="4" w:space="0" w:color="auto"/>
                    </w:tcBorders>
                    <w:shd w:val="clear" w:color="auto" w:fill="auto"/>
                  </w:tcPr>
                  <w:p w:rsidR="00883153" w:rsidRPr="00E04FAA" w:rsidRDefault="00200151">
                    <w:pPr>
                      <w:autoSpaceDE w:val="0"/>
                      <w:autoSpaceDN w:val="0"/>
                      <w:adjustRightInd w:val="0"/>
                      <w:rPr>
                        <w:color w:val="FF0000"/>
                        <w:szCs w:val="21"/>
                      </w:rPr>
                    </w:pPr>
                    <w:r w:rsidRPr="00E04FAA">
                      <w:rPr>
                        <w:rFonts w:hint="eastAsia"/>
                        <w:szCs w:val="21"/>
                      </w:rPr>
                      <w:t>报告期末对子公司担保余额合计（</w:t>
                    </w:r>
                    <w:r w:rsidRPr="00E04FAA">
                      <w:rPr>
                        <w:szCs w:val="21"/>
                      </w:rPr>
                      <w:t>B</w:t>
                    </w:r>
                    <w:r w:rsidRPr="00E04FAA">
                      <w:rPr>
                        <w:rFonts w:hint="eastAsia"/>
                        <w:szCs w:val="21"/>
                      </w:rPr>
                      <w:t>）</w:t>
                    </w:r>
                  </w:p>
                </w:tc>
              </w:sdtContent>
            </w:sdt>
            <w:tc>
              <w:tcPr>
                <w:tcW w:w="2849" w:type="pct"/>
                <w:gridSpan w:val="8"/>
                <w:tcBorders>
                  <w:top w:val="single" w:sz="4" w:space="0" w:color="auto"/>
                  <w:left w:val="single" w:sz="4" w:space="0" w:color="auto"/>
                  <w:bottom w:val="single" w:sz="4" w:space="0" w:color="auto"/>
                </w:tcBorders>
                <w:shd w:val="clear" w:color="auto" w:fill="auto"/>
              </w:tcPr>
              <w:p w:rsidR="00883153" w:rsidRPr="00E04FAA" w:rsidRDefault="00F0210F">
                <w:pPr>
                  <w:autoSpaceDE w:val="0"/>
                  <w:autoSpaceDN w:val="0"/>
                  <w:adjustRightInd w:val="0"/>
                  <w:jc w:val="right"/>
                  <w:rPr>
                    <w:szCs w:val="21"/>
                  </w:rPr>
                </w:pPr>
                <w:r w:rsidRPr="00E04FAA">
                  <w:rPr>
                    <w:rFonts w:hint="eastAsia"/>
                    <w:szCs w:val="21"/>
                  </w:rPr>
                  <w:t>180</w:t>
                </w:r>
                <w:r w:rsidR="00AC55C9" w:rsidRPr="00E04FAA">
                  <w:rPr>
                    <w:szCs w:val="21"/>
                  </w:rPr>
                  <w:t>,</w:t>
                </w:r>
                <w:r w:rsidRPr="00E04FAA">
                  <w:rPr>
                    <w:rFonts w:hint="eastAsia"/>
                    <w:szCs w:val="21"/>
                  </w:rPr>
                  <w:t>000</w:t>
                </w:r>
                <w:r w:rsidR="00AC55C9" w:rsidRPr="00E04FAA">
                  <w:rPr>
                    <w:rFonts w:hint="eastAsia"/>
                    <w:szCs w:val="21"/>
                  </w:rPr>
                  <w:t>,</w:t>
                </w:r>
                <w:r w:rsidRPr="00E04FAA">
                  <w:rPr>
                    <w:rFonts w:hint="eastAsia"/>
                    <w:szCs w:val="21"/>
                  </w:rPr>
                  <w:t>000</w:t>
                </w:r>
              </w:p>
            </w:tc>
          </w:tr>
          <w:tr w:rsidR="00883153" w:rsidRPr="00E04FAA" w:rsidTr="00D11029">
            <w:trPr>
              <w:trHeight w:val="308"/>
            </w:trPr>
            <w:sdt>
              <w:sdtPr>
                <w:tag w:val="_PLD_d2a06800984c41d686ebfa2c2f95a2d0"/>
                <w:id w:val="1287702731"/>
                <w:lock w:val="sdtLocked"/>
              </w:sdtPr>
              <w:sdtContent>
                <w:tc>
                  <w:tcPr>
                    <w:tcW w:w="5000" w:type="pct"/>
                    <w:gridSpan w:val="14"/>
                    <w:tcBorders>
                      <w:top w:val="single" w:sz="4" w:space="0" w:color="auto"/>
                      <w:bottom w:val="single" w:sz="4" w:space="0" w:color="auto"/>
                    </w:tcBorders>
                    <w:shd w:val="clear" w:color="auto" w:fill="auto"/>
                  </w:tcPr>
                  <w:p w:rsidR="00883153" w:rsidRPr="00E04FAA" w:rsidRDefault="00200151">
                    <w:pPr>
                      <w:autoSpaceDE w:val="0"/>
                      <w:autoSpaceDN w:val="0"/>
                      <w:adjustRightInd w:val="0"/>
                      <w:jc w:val="center"/>
                      <w:rPr>
                        <w:szCs w:val="21"/>
                      </w:rPr>
                    </w:pPr>
                    <w:r w:rsidRPr="00E04FAA">
                      <w:rPr>
                        <w:rFonts w:hint="eastAsia"/>
                        <w:szCs w:val="21"/>
                      </w:rPr>
                      <w:t>公司担保总额情况（包括对子公司的担保）</w:t>
                    </w:r>
                  </w:p>
                </w:tc>
              </w:sdtContent>
            </w:sdt>
          </w:tr>
          <w:tr w:rsidR="00883153" w:rsidRPr="00E04FAA" w:rsidTr="006F01B1">
            <w:trPr>
              <w:trHeight w:val="470"/>
            </w:trPr>
            <w:sdt>
              <w:sdtPr>
                <w:tag w:val="_PLD_58fae6f28a2c4816b36ad5da6b671435"/>
                <w:id w:val="-1911529866"/>
                <w:lock w:val="sdtLocked"/>
              </w:sdtPr>
              <w:sdtContent>
                <w:tc>
                  <w:tcPr>
                    <w:tcW w:w="2151" w:type="pct"/>
                    <w:gridSpan w:val="6"/>
                    <w:tcBorders>
                      <w:top w:val="single" w:sz="4" w:space="0" w:color="auto"/>
                      <w:bottom w:val="single" w:sz="4" w:space="0" w:color="auto"/>
                      <w:right w:val="single" w:sz="4" w:space="0" w:color="auto"/>
                    </w:tcBorders>
                    <w:shd w:val="clear" w:color="auto" w:fill="auto"/>
                  </w:tcPr>
                  <w:p w:rsidR="00883153" w:rsidRPr="00E04FAA" w:rsidRDefault="00200151">
                    <w:pPr>
                      <w:autoSpaceDE w:val="0"/>
                      <w:autoSpaceDN w:val="0"/>
                      <w:adjustRightInd w:val="0"/>
                      <w:rPr>
                        <w:szCs w:val="21"/>
                      </w:rPr>
                    </w:pPr>
                    <w:r w:rsidRPr="00E04FAA">
                      <w:rPr>
                        <w:rFonts w:hint="eastAsia"/>
                        <w:szCs w:val="21"/>
                      </w:rPr>
                      <w:t>担保总额（</w:t>
                    </w:r>
                    <w:r w:rsidRPr="00E04FAA">
                      <w:rPr>
                        <w:szCs w:val="21"/>
                      </w:rPr>
                      <w:t>A+B</w:t>
                    </w:r>
                    <w:r w:rsidRPr="00E04FAA">
                      <w:rPr>
                        <w:rFonts w:hint="eastAsia"/>
                        <w:szCs w:val="21"/>
                      </w:rPr>
                      <w:t>）</w:t>
                    </w:r>
                  </w:p>
                </w:tc>
              </w:sdtContent>
            </w:sdt>
            <w:tc>
              <w:tcPr>
                <w:tcW w:w="2849" w:type="pct"/>
                <w:gridSpan w:val="8"/>
                <w:tcBorders>
                  <w:top w:val="single" w:sz="4" w:space="0" w:color="auto"/>
                  <w:left w:val="single" w:sz="4" w:space="0" w:color="auto"/>
                  <w:bottom w:val="single" w:sz="4" w:space="0" w:color="auto"/>
                </w:tcBorders>
                <w:shd w:val="clear" w:color="auto" w:fill="auto"/>
              </w:tcPr>
              <w:p w:rsidR="00883153" w:rsidRPr="00E04FAA" w:rsidRDefault="003D0AC9">
                <w:pPr>
                  <w:autoSpaceDE w:val="0"/>
                  <w:autoSpaceDN w:val="0"/>
                  <w:adjustRightInd w:val="0"/>
                  <w:jc w:val="right"/>
                  <w:rPr>
                    <w:szCs w:val="21"/>
                  </w:rPr>
                </w:pPr>
                <w:r w:rsidRPr="00E04FAA">
                  <w:rPr>
                    <w:szCs w:val="21"/>
                  </w:rPr>
                  <w:t>180,000,000</w:t>
                </w:r>
              </w:p>
            </w:tc>
          </w:tr>
          <w:tr w:rsidR="00883153" w:rsidRPr="00E04FAA" w:rsidTr="006F01B1">
            <w:trPr>
              <w:trHeight w:val="308"/>
            </w:trPr>
            <w:sdt>
              <w:sdtPr>
                <w:rPr>
                  <w:color w:val="000000" w:themeColor="text1"/>
                </w:rPr>
                <w:tag w:val="_PLD_d087dc7561364a229391240a8017a64d"/>
                <w:id w:val="451296447"/>
                <w:lock w:val="sdtLocked"/>
              </w:sdtPr>
              <w:sdtContent>
                <w:tc>
                  <w:tcPr>
                    <w:tcW w:w="2151" w:type="pct"/>
                    <w:gridSpan w:val="6"/>
                    <w:tcBorders>
                      <w:top w:val="single" w:sz="4" w:space="0" w:color="auto"/>
                      <w:bottom w:val="single" w:sz="4" w:space="0" w:color="auto"/>
                      <w:right w:val="single" w:sz="4" w:space="0" w:color="auto"/>
                    </w:tcBorders>
                    <w:shd w:val="clear" w:color="auto" w:fill="auto"/>
                  </w:tcPr>
                  <w:p w:rsidR="00883153" w:rsidRPr="00E04FAA" w:rsidRDefault="00200151">
                    <w:pPr>
                      <w:autoSpaceDE w:val="0"/>
                      <w:autoSpaceDN w:val="0"/>
                      <w:adjustRightInd w:val="0"/>
                      <w:rPr>
                        <w:color w:val="000000" w:themeColor="text1"/>
                        <w:szCs w:val="21"/>
                      </w:rPr>
                    </w:pPr>
                    <w:r w:rsidRPr="00E04FAA">
                      <w:rPr>
                        <w:rFonts w:hint="eastAsia"/>
                        <w:color w:val="000000" w:themeColor="text1"/>
                        <w:szCs w:val="21"/>
                      </w:rPr>
                      <w:t>担保总额占公司净资产的比例</w:t>
                    </w:r>
                    <w:r w:rsidRPr="00E04FAA">
                      <w:rPr>
                        <w:color w:val="000000" w:themeColor="text1"/>
                        <w:szCs w:val="21"/>
                      </w:rPr>
                      <w:t>(%)</w:t>
                    </w:r>
                  </w:p>
                </w:tc>
              </w:sdtContent>
            </w:sdt>
            <w:tc>
              <w:tcPr>
                <w:tcW w:w="2849" w:type="pct"/>
                <w:gridSpan w:val="8"/>
                <w:tcBorders>
                  <w:top w:val="single" w:sz="4" w:space="0" w:color="auto"/>
                  <w:left w:val="single" w:sz="4" w:space="0" w:color="auto"/>
                  <w:bottom w:val="single" w:sz="4" w:space="0" w:color="auto"/>
                </w:tcBorders>
                <w:shd w:val="clear" w:color="auto" w:fill="auto"/>
              </w:tcPr>
              <w:p w:rsidR="00883153" w:rsidRPr="00E04FAA" w:rsidRDefault="00FA3353" w:rsidP="00E04BC8">
                <w:pPr>
                  <w:autoSpaceDE w:val="0"/>
                  <w:autoSpaceDN w:val="0"/>
                  <w:adjustRightInd w:val="0"/>
                  <w:jc w:val="right"/>
                  <w:rPr>
                    <w:color w:val="000000" w:themeColor="text1"/>
                    <w:szCs w:val="21"/>
                  </w:rPr>
                </w:pPr>
                <w:r w:rsidRPr="00E04FAA">
                  <w:rPr>
                    <w:color w:val="000000" w:themeColor="text1"/>
                    <w:szCs w:val="21"/>
                  </w:rPr>
                  <w:t>2.</w:t>
                </w:r>
                <w:r w:rsidR="005A1345" w:rsidRPr="00E04FAA">
                  <w:rPr>
                    <w:color w:val="000000" w:themeColor="text1"/>
                    <w:szCs w:val="21"/>
                  </w:rPr>
                  <w:t>87</w:t>
                </w:r>
                <w:r w:rsidRPr="00E04FAA">
                  <w:rPr>
                    <w:color w:val="000000" w:themeColor="text1"/>
                    <w:szCs w:val="21"/>
                  </w:rPr>
                  <w:t>%</w:t>
                </w:r>
              </w:p>
            </w:tc>
          </w:tr>
          <w:tr w:rsidR="00883153" w:rsidRPr="00E04FAA" w:rsidTr="00D11029">
            <w:trPr>
              <w:trHeight w:val="308"/>
            </w:trPr>
            <w:sdt>
              <w:sdtPr>
                <w:tag w:val="_PLD_77dfdd08f7324aa680629079fb968fbe"/>
                <w:id w:val="-904761945"/>
                <w:lock w:val="sdtLocked"/>
              </w:sdtPr>
              <w:sdtContent>
                <w:tc>
                  <w:tcPr>
                    <w:tcW w:w="5000" w:type="pct"/>
                    <w:gridSpan w:val="14"/>
                    <w:tcBorders>
                      <w:top w:val="single" w:sz="4" w:space="0" w:color="auto"/>
                      <w:bottom w:val="single" w:sz="4" w:space="0" w:color="auto"/>
                    </w:tcBorders>
                    <w:shd w:val="clear" w:color="auto" w:fill="auto"/>
                  </w:tcPr>
                  <w:p w:rsidR="00883153" w:rsidRPr="00E04FAA" w:rsidRDefault="00200151">
                    <w:pPr>
                      <w:pStyle w:val="ad"/>
                      <w:autoSpaceDE w:val="0"/>
                      <w:autoSpaceDN w:val="0"/>
                      <w:adjustRightInd w:val="0"/>
                      <w:rPr>
                        <w:rFonts w:ascii="宋体" w:hAnsi="宋体"/>
                      </w:rPr>
                    </w:pPr>
                    <w:r w:rsidRPr="00E04FAA">
                      <w:rPr>
                        <w:rFonts w:ascii="宋体" w:hAnsi="宋体" w:hint="eastAsia"/>
                      </w:rPr>
                      <w:t>其中：</w:t>
                    </w:r>
                  </w:p>
                </w:tc>
              </w:sdtContent>
            </w:sdt>
          </w:tr>
          <w:tr w:rsidR="00883153" w:rsidRPr="00E04FAA" w:rsidTr="006F01B1">
            <w:trPr>
              <w:trHeight w:val="308"/>
            </w:trPr>
            <w:sdt>
              <w:sdtPr>
                <w:tag w:val="_PLD_2d5f0e0798234f1a90f1dad87f984317"/>
                <w:id w:val="988129483"/>
                <w:lock w:val="sdtLocked"/>
              </w:sdtPr>
              <w:sdtContent>
                <w:tc>
                  <w:tcPr>
                    <w:tcW w:w="2151" w:type="pct"/>
                    <w:gridSpan w:val="6"/>
                    <w:tcBorders>
                      <w:top w:val="single" w:sz="4" w:space="0" w:color="auto"/>
                      <w:bottom w:val="single" w:sz="4" w:space="0" w:color="auto"/>
                      <w:right w:val="single" w:sz="4" w:space="0" w:color="auto"/>
                    </w:tcBorders>
                    <w:shd w:val="clear" w:color="auto" w:fill="auto"/>
                  </w:tcPr>
                  <w:p w:rsidR="00883153" w:rsidRPr="00E04FAA" w:rsidRDefault="00200151">
                    <w:pPr>
                      <w:autoSpaceDE w:val="0"/>
                      <w:autoSpaceDN w:val="0"/>
                      <w:adjustRightInd w:val="0"/>
                      <w:rPr>
                        <w:szCs w:val="21"/>
                      </w:rPr>
                    </w:pPr>
                    <w:r w:rsidRPr="00E04FAA">
                      <w:rPr>
                        <w:rFonts w:hint="eastAsia"/>
                        <w:szCs w:val="21"/>
                      </w:rPr>
                      <w:t>为股东、实际控制人及其关联方提供担保的金额（</w:t>
                    </w:r>
                    <w:r w:rsidRPr="00E04FAA">
                      <w:rPr>
                        <w:szCs w:val="21"/>
                      </w:rPr>
                      <w:t>C</w:t>
                    </w:r>
                    <w:r w:rsidRPr="00E04FAA">
                      <w:rPr>
                        <w:rFonts w:hint="eastAsia"/>
                        <w:szCs w:val="21"/>
                      </w:rPr>
                      <w:t>）</w:t>
                    </w:r>
                  </w:p>
                </w:tc>
              </w:sdtContent>
            </w:sdt>
            <w:tc>
              <w:tcPr>
                <w:tcW w:w="2849" w:type="pct"/>
                <w:gridSpan w:val="8"/>
                <w:tcBorders>
                  <w:top w:val="single" w:sz="4" w:space="0" w:color="auto"/>
                  <w:left w:val="single" w:sz="4" w:space="0" w:color="auto"/>
                  <w:bottom w:val="single" w:sz="4" w:space="0" w:color="auto"/>
                </w:tcBorders>
                <w:shd w:val="clear" w:color="auto" w:fill="auto"/>
              </w:tcPr>
              <w:p w:rsidR="00883153" w:rsidRPr="00E04FAA" w:rsidRDefault="00883153">
                <w:pPr>
                  <w:jc w:val="right"/>
                  <w:rPr>
                    <w:szCs w:val="21"/>
                  </w:rPr>
                </w:pPr>
              </w:p>
            </w:tc>
          </w:tr>
          <w:tr w:rsidR="00883153" w:rsidRPr="00E04FAA" w:rsidTr="006F01B1">
            <w:trPr>
              <w:trHeight w:val="308"/>
            </w:trPr>
            <w:sdt>
              <w:sdtPr>
                <w:tag w:val="_PLD_f89842235bd34b1b951fbb79c61b64d2"/>
                <w:id w:val="-389572331"/>
                <w:lock w:val="sdtLocked"/>
              </w:sdtPr>
              <w:sdtContent>
                <w:tc>
                  <w:tcPr>
                    <w:tcW w:w="2151" w:type="pct"/>
                    <w:gridSpan w:val="6"/>
                    <w:tcBorders>
                      <w:top w:val="single" w:sz="4" w:space="0" w:color="auto"/>
                      <w:bottom w:val="single" w:sz="4" w:space="0" w:color="auto"/>
                      <w:right w:val="single" w:sz="4" w:space="0" w:color="auto"/>
                    </w:tcBorders>
                    <w:shd w:val="clear" w:color="auto" w:fill="auto"/>
                  </w:tcPr>
                  <w:p w:rsidR="00883153" w:rsidRPr="00E04FAA" w:rsidRDefault="00200151">
                    <w:pPr>
                      <w:autoSpaceDE w:val="0"/>
                      <w:autoSpaceDN w:val="0"/>
                      <w:adjustRightInd w:val="0"/>
                      <w:rPr>
                        <w:szCs w:val="21"/>
                      </w:rPr>
                    </w:pPr>
                    <w:r w:rsidRPr="00E04FAA">
                      <w:rPr>
                        <w:rFonts w:hint="eastAsia"/>
                        <w:szCs w:val="21"/>
                      </w:rPr>
                      <w:t>直接或间接为资产负债率超过</w:t>
                    </w:r>
                    <w:r w:rsidRPr="00E04FAA">
                      <w:rPr>
                        <w:szCs w:val="21"/>
                      </w:rPr>
                      <w:t>70</w:t>
                    </w:r>
                    <w:r w:rsidRPr="00E04FAA">
                      <w:rPr>
                        <w:rFonts w:hint="eastAsia"/>
                        <w:szCs w:val="21"/>
                      </w:rPr>
                      <w:t>%的被担保对象提供的债务担保金额（</w:t>
                    </w:r>
                    <w:r w:rsidRPr="00E04FAA">
                      <w:rPr>
                        <w:szCs w:val="21"/>
                      </w:rPr>
                      <w:t>D</w:t>
                    </w:r>
                    <w:r w:rsidRPr="00E04FAA">
                      <w:rPr>
                        <w:rFonts w:hint="eastAsia"/>
                        <w:szCs w:val="21"/>
                      </w:rPr>
                      <w:t>）</w:t>
                    </w:r>
                  </w:p>
                </w:tc>
              </w:sdtContent>
            </w:sdt>
            <w:tc>
              <w:tcPr>
                <w:tcW w:w="2849" w:type="pct"/>
                <w:gridSpan w:val="8"/>
                <w:tcBorders>
                  <w:top w:val="single" w:sz="4" w:space="0" w:color="auto"/>
                  <w:left w:val="single" w:sz="4" w:space="0" w:color="auto"/>
                  <w:bottom w:val="single" w:sz="4" w:space="0" w:color="auto"/>
                </w:tcBorders>
                <w:shd w:val="clear" w:color="auto" w:fill="auto"/>
              </w:tcPr>
              <w:p w:rsidR="00883153" w:rsidRPr="00E04FAA" w:rsidRDefault="00883153">
                <w:pPr>
                  <w:autoSpaceDE w:val="0"/>
                  <w:autoSpaceDN w:val="0"/>
                  <w:adjustRightInd w:val="0"/>
                  <w:jc w:val="right"/>
                  <w:rPr>
                    <w:szCs w:val="21"/>
                  </w:rPr>
                </w:pPr>
              </w:p>
            </w:tc>
          </w:tr>
          <w:tr w:rsidR="00883153" w:rsidRPr="00E04FAA" w:rsidTr="006F01B1">
            <w:trPr>
              <w:trHeight w:val="308"/>
            </w:trPr>
            <w:sdt>
              <w:sdtPr>
                <w:tag w:val="_PLD_f6c15ecfd9b0468d94a3b97f93ede907"/>
                <w:id w:val="175620197"/>
                <w:lock w:val="sdtLocked"/>
              </w:sdtPr>
              <w:sdtContent>
                <w:tc>
                  <w:tcPr>
                    <w:tcW w:w="2151" w:type="pct"/>
                    <w:gridSpan w:val="6"/>
                    <w:tcBorders>
                      <w:top w:val="single" w:sz="4" w:space="0" w:color="auto"/>
                      <w:bottom w:val="single" w:sz="4" w:space="0" w:color="auto"/>
                      <w:right w:val="single" w:sz="4" w:space="0" w:color="auto"/>
                    </w:tcBorders>
                    <w:shd w:val="clear" w:color="auto" w:fill="auto"/>
                  </w:tcPr>
                  <w:p w:rsidR="00883153" w:rsidRPr="00E04FAA" w:rsidRDefault="00200151">
                    <w:pPr>
                      <w:autoSpaceDE w:val="0"/>
                      <w:autoSpaceDN w:val="0"/>
                      <w:adjustRightInd w:val="0"/>
                      <w:rPr>
                        <w:szCs w:val="21"/>
                      </w:rPr>
                    </w:pPr>
                    <w:r w:rsidRPr="00E04FAA">
                      <w:rPr>
                        <w:rFonts w:hint="eastAsia"/>
                        <w:szCs w:val="21"/>
                      </w:rPr>
                      <w:t>担保总额超过净资产</w:t>
                    </w:r>
                    <w:r w:rsidRPr="00E04FAA">
                      <w:rPr>
                        <w:szCs w:val="21"/>
                      </w:rPr>
                      <w:t>50</w:t>
                    </w:r>
                    <w:r w:rsidRPr="00E04FAA">
                      <w:rPr>
                        <w:rFonts w:hint="eastAsia"/>
                        <w:szCs w:val="21"/>
                      </w:rPr>
                      <w:t>%部分的金额（</w:t>
                    </w:r>
                    <w:r w:rsidRPr="00E04FAA">
                      <w:rPr>
                        <w:szCs w:val="21"/>
                      </w:rPr>
                      <w:t>E</w:t>
                    </w:r>
                    <w:r w:rsidRPr="00E04FAA">
                      <w:rPr>
                        <w:rFonts w:hint="eastAsia"/>
                        <w:szCs w:val="21"/>
                      </w:rPr>
                      <w:t>）</w:t>
                    </w:r>
                  </w:p>
                </w:tc>
              </w:sdtContent>
            </w:sdt>
            <w:tc>
              <w:tcPr>
                <w:tcW w:w="2849" w:type="pct"/>
                <w:gridSpan w:val="8"/>
                <w:tcBorders>
                  <w:top w:val="single" w:sz="4" w:space="0" w:color="auto"/>
                  <w:left w:val="single" w:sz="4" w:space="0" w:color="auto"/>
                  <w:bottom w:val="single" w:sz="4" w:space="0" w:color="auto"/>
                </w:tcBorders>
                <w:shd w:val="clear" w:color="auto" w:fill="auto"/>
              </w:tcPr>
              <w:p w:rsidR="00883153" w:rsidRPr="00E04FAA" w:rsidRDefault="00883153">
                <w:pPr>
                  <w:jc w:val="right"/>
                  <w:rPr>
                    <w:szCs w:val="21"/>
                  </w:rPr>
                </w:pPr>
              </w:p>
            </w:tc>
          </w:tr>
          <w:tr w:rsidR="00883153" w:rsidRPr="00E04FAA" w:rsidTr="006F01B1">
            <w:trPr>
              <w:trHeight w:val="308"/>
            </w:trPr>
            <w:sdt>
              <w:sdtPr>
                <w:tag w:val="_PLD_6ca5bba63c8643bdbd082061a2347245"/>
                <w:id w:val="1388299846"/>
                <w:lock w:val="sdtLocked"/>
              </w:sdtPr>
              <w:sdtContent>
                <w:tc>
                  <w:tcPr>
                    <w:tcW w:w="2151" w:type="pct"/>
                    <w:gridSpan w:val="6"/>
                    <w:tcBorders>
                      <w:top w:val="single" w:sz="4" w:space="0" w:color="auto"/>
                      <w:bottom w:val="single" w:sz="4" w:space="0" w:color="auto"/>
                      <w:right w:val="single" w:sz="4" w:space="0" w:color="auto"/>
                    </w:tcBorders>
                    <w:shd w:val="clear" w:color="auto" w:fill="auto"/>
                    <w:vAlign w:val="center"/>
                  </w:tcPr>
                  <w:p w:rsidR="00883153" w:rsidRPr="00E04FAA" w:rsidRDefault="00200151">
                    <w:pPr>
                      <w:autoSpaceDE w:val="0"/>
                      <w:autoSpaceDN w:val="0"/>
                      <w:adjustRightInd w:val="0"/>
                      <w:rPr>
                        <w:szCs w:val="21"/>
                      </w:rPr>
                    </w:pPr>
                    <w:r w:rsidRPr="00E04FAA">
                      <w:rPr>
                        <w:rFonts w:hint="eastAsia"/>
                        <w:szCs w:val="21"/>
                      </w:rPr>
                      <w:t>上述三项担保金额合计（</w:t>
                    </w:r>
                    <w:r w:rsidRPr="00E04FAA">
                      <w:rPr>
                        <w:szCs w:val="21"/>
                      </w:rPr>
                      <w:t>C+D+E</w:t>
                    </w:r>
                    <w:r w:rsidRPr="00E04FAA">
                      <w:rPr>
                        <w:rFonts w:hint="eastAsia"/>
                        <w:szCs w:val="21"/>
                      </w:rPr>
                      <w:t>）</w:t>
                    </w:r>
                  </w:p>
                </w:tc>
              </w:sdtContent>
            </w:sdt>
            <w:tc>
              <w:tcPr>
                <w:tcW w:w="2849" w:type="pct"/>
                <w:gridSpan w:val="8"/>
                <w:tcBorders>
                  <w:top w:val="single" w:sz="4" w:space="0" w:color="auto"/>
                  <w:left w:val="single" w:sz="4" w:space="0" w:color="auto"/>
                  <w:bottom w:val="single" w:sz="4" w:space="0" w:color="auto"/>
                </w:tcBorders>
                <w:shd w:val="clear" w:color="auto" w:fill="auto"/>
              </w:tcPr>
              <w:p w:rsidR="00883153" w:rsidRPr="00E04FAA" w:rsidRDefault="00883153">
                <w:pPr>
                  <w:autoSpaceDE w:val="0"/>
                  <w:autoSpaceDN w:val="0"/>
                  <w:adjustRightInd w:val="0"/>
                  <w:jc w:val="right"/>
                  <w:rPr>
                    <w:szCs w:val="21"/>
                  </w:rPr>
                </w:pPr>
              </w:p>
            </w:tc>
          </w:tr>
          <w:tr w:rsidR="00883153" w:rsidRPr="00E04FAA" w:rsidTr="006F01B1">
            <w:trPr>
              <w:trHeight w:val="308"/>
            </w:trPr>
            <w:sdt>
              <w:sdtPr>
                <w:tag w:val="_PLD_4a7bd61d8b404728a167c5b1c1edaf66"/>
                <w:id w:val="-867909140"/>
                <w:lock w:val="sdtLocked"/>
              </w:sdtPr>
              <w:sdtContent>
                <w:tc>
                  <w:tcPr>
                    <w:tcW w:w="2151" w:type="pct"/>
                    <w:gridSpan w:val="6"/>
                    <w:tcBorders>
                      <w:top w:val="single" w:sz="4" w:space="0" w:color="auto"/>
                      <w:bottom w:val="single" w:sz="4" w:space="0" w:color="auto"/>
                      <w:right w:val="single" w:sz="4" w:space="0" w:color="auto"/>
                    </w:tcBorders>
                    <w:shd w:val="clear" w:color="auto" w:fill="auto"/>
                    <w:vAlign w:val="center"/>
                  </w:tcPr>
                  <w:p w:rsidR="00883153" w:rsidRPr="00E04FAA" w:rsidRDefault="00200151">
                    <w:pPr>
                      <w:pStyle w:val="ad"/>
                      <w:autoSpaceDE w:val="0"/>
                      <w:autoSpaceDN w:val="0"/>
                      <w:adjustRightInd w:val="0"/>
                      <w:rPr>
                        <w:rFonts w:ascii="宋体" w:hAnsi="宋体"/>
                      </w:rPr>
                    </w:pPr>
                    <w:r w:rsidRPr="00E04FAA">
                      <w:rPr>
                        <w:rFonts w:ascii="宋体" w:hAnsi="宋体" w:hint="eastAsia"/>
                      </w:rPr>
                      <w:t>未到期担保可能承担连带清偿责任说明</w:t>
                    </w:r>
                  </w:p>
                </w:tc>
              </w:sdtContent>
            </w:sdt>
            <w:tc>
              <w:tcPr>
                <w:tcW w:w="2849" w:type="pct"/>
                <w:gridSpan w:val="8"/>
                <w:tcBorders>
                  <w:top w:val="single" w:sz="4" w:space="0" w:color="auto"/>
                  <w:left w:val="single" w:sz="4" w:space="0" w:color="auto"/>
                  <w:bottom w:val="single" w:sz="4" w:space="0" w:color="auto"/>
                </w:tcBorders>
                <w:shd w:val="clear" w:color="auto" w:fill="auto"/>
              </w:tcPr>
              <w:p w:rsidR="00883153" w:rsidRPr="00E04FAA" w:rsidRDefault="00883153">
                <w:pPr>
                  <w:autoSpaceDE w:val="0"/>
                  <w:autoSpaceDN w:val="0"/>
                  <w:adjustRightInd w:val="0"/>
                  <w:rPr>
                    <w:szCs w:val="21"/>
                  </w:rPr>
                </w:pPr>
              </w:p>
            </w:tc>
          </w:tr>
          <w:tr w:rsidR="00883153" w:rsidRPr="00E04FAA" w:rsidTr="006F01B1">
            <w:trPr>
              <w:trHeight w:val="308"/>
            </w:trPr>
            <w:sdt>
              <w:sdtPr>
                <w:tag w:val="_PLD_16a94b903b094334bb55fb779aedd949"/>
                <w:id w:val="-686372826"/>
                <w:lock w:val="sdtLocked"/>
              </w:sdtPr>
              <w:sdtContent>
                <w:tc>
                  <w:tcPr>
                    <w:tcW w:w="2151" w:type="pct"/>
                    <w:gridSpan w:val="6"/>
                    <w:tcBorders>
                      <w:top w:val="single" w:sz="4" w:space="0" w:color="auto"/>
                      <w:bottom w:val="single" w:sz="4" w:space="0" w:color="auto"/>
                      <w:right w:val="single" w:sz="4" w:space="0" w:color="auto"/>
                    </w:tcBorders>
                    <w:shd w:val="clear" w:color="auto" w:fill="auto"/>
                  </w:tcPr>
                  <w:p w:rsidR="00883153" w:rsidRPr="00E04FAA" w:rsidRDefault="00200151">
                    <w:pPr>
                      <w:autoSpaceDE w:val="0"/>
                      <w:autoSpaceDN w:val="0"/>
                      <w:adjustRightInd w:val="0"/>
                      <w:rPr>
                        <w:szCs w:val="21"/>
                      </w:rPr>
                    </w:pPr>
                    <w:r w:rsidRPr="00E04FAA">
                      <w:rPr>
                        <w:rFonts w:hint="eastAsia"/>
                        <w:szCs w:val="21"/>
                      </w:rPr>
                      <w:t>担保情况说明</w:t>
                    </w:r>
                  </w:p>
                </w:tc>
              </w:sdtContent>
            </w:sdt>
            <w:tc>
              <w:tcPr>
                <w:tcW w:w="2849" w:type="pct"/>
                <w:gridSpan w:val="8"/>
                <w:tcBorders>
                  <w:top w:val="single" w:sz="4" w:space="0" w:color="auto"/>
                  <w:left w:val="single" w:sz="4" w:space="0" w:color="auto"/>
                  <w:bottom w:val="single" w:sz="4" w:space="0" w:color="auto"/>
                </w:tcBorders>
                <w:shd w:val="clear" w:color="auto" w:fill="auto"/>
              </w:tcPr>
              <w:p w:rsidR="00883153" w:rsidRPr="00E04FAA" w:rsidRDefault="00883153">
                <w:pPr>
                  <w:autoSpaceDE w:val="0"/>
                  <w:autoSpaceDN w:val="0"/>
                  <w:adjustRightInd w:val="0"/>
                  <w:rPr>
                    <w:szCs w:val="21"/>
                  </w:rPr>
                </w:pPr>
              </w:p>
            </w:tc>
          </w:tr>
        </w:tbl>
        <w:p w:rsidR="00883153" w:rsidRPr="00E04FAA" w:rsidRDefault="000D0A99"/>
        <w:bookmarkEnd w:id="35" w:displacedByCustomXml="next"/>
      </w:sdtContent>
    </w:sdt>
    <w:sdt>
      <w:sdtPr>
        <w:rPr>
          <w:rFonts w:ascii="宋体" w:hAnsi="宋体" w:cs="宋体"/>
          <w:b w:val="0"/>
          <w:bCs w:val="0"/>
          <w:kern w:val="0"/>
          <w:szCs w:val="24"/>
        </w:rPr>
        <w:alias w:val="模块:其他重大合同"/>
        <w:tag w:val="_SEC_e046194a1b604165ab4ac9dbd406e6b1"/>
        <w:id w:val="488984494"/>
        <w:lock w:val="sdtLocked"/>
        <w:placeholder>
          <w:docPart w:val="GBC22222222222222222222222222222"/>
        </w:placeholder>
      </w:sdtPr>
      <w:sdtEndPr>
        <w:rPr>
          <w:rFonts w:hint="eastAsia"/>
        </w:rPr>
      </w:sdtEndPr>
      <w:sdtContent>
        <w:p w:rsidR="00883153" w:rsidRPr="00E04FAA" w:rsidRDefault="00200151" w:rsidP="00FC3870">
          <w:pPr>
            <w:pStyle w:val="3"/>
            <w:numPr>
              <w:ilvl w:val="0"/>
              <w:numId w:val="23"/>
            </w:numPr>
          </w:pPr>
          <w:r w:rsidRPr="00E04FAA">
            <w:t>其他重大合同</w:t>
          </w:r>
        </w:p>
        <w:sdt>
          <w:sdtPr>
            <w:alias w:val="是否适用：其他重大合同[双击切换]"/>
            <w:tag w:val="_GBC_23289ac36e3b4aeeaff6a4f1df0c3165"/>
            <w:id w:val="972019380"/>
            <w:lock w:val="sdtContentLocked"/>
            <w:placeholder>
              <w:docPart w:val="GBC22222222222222222222222222222"/>
            </w:placeholder>
          </w:sdtPr>
          <w:sdtContent>
            <w:p w:rsidR="00883153" w:rsidRPr="00E04FAA" w:rsidRDefault="00200151" w:rsidP="00C75D8C">
              <w:r w:rsidRPr="00E04FAA">
                <w:fldChar w:fldCharType="begin"/>
              </w:r>
              <w:r w:rsidR="00C75D8C" w:rsidRPr="00E04FAA">
                <w:instrText xml:space="preserve"> MACROBUTTON  SnrToggleCheckbox □适用 </w:instrText>
              </w:r>
              <w:r w:rsidRPr="00E04FAA">
                <w:fldChar w:fldCharType="end"/>
              </w:r>
              <w:r w:rsidRPr="00E04FAA">
                <w:fldChar w:fldCharType="begin"/>
              </w:r>
              <w:r w:rsidR="00C75D8C" w:rsidRPr="00E04FAA">
                <w:instrText xml:space="preserve"> MACROBUTTON  SnrToggleCheckbox √不适用 </w:instrText>
              </w:r>
              <w:r w:rsidRPr="00E04FAA">
                <w:fldChar w:fldCharType="end"/>
              </w:r>
            </w:p>
          </w:sdtContent>
        </w:sdt>
      </w:sdtContent>
    </w:sdt>
    <w:p w:rsidR="00883153" w:rsidRPr="00E04FAA" w:rsidRDefault="00883153"/>
    <w:p w:rsidR="00883153" w:rsidRPr="00E04FAA" w:rsidRDefault="00200151" w:rsidP="00FC3870">
      <w:pPr>
        <w:pStyle w:val="2"/>
        <w:numPr>
          <w:ilvl w:val="0"/>
          <w:numId w:val="30"/>
        </w:numPr>
        <w:spacing w:line="360" w:lineRule="auto"/>
      </w:pPr>
      <w:r w:rsidRPr="00E04FAA">
        <w:rPr>
          <w:rFonts w:hint="eastAsia"/>
        </w:rPr>
        <w:t>上市公司扶贫工作情况</w:t>
      </w:r>
    </w:p>
    <w:sdt>
      <w:sdtPr>
        <w:alias w:val="是否适用：上市公司扶贫工作情况[双击切换]"/>
        <w:tag w:val="_GBC_a47427153555452aab8fef6451a58abc"/>
        <w:id w:val="310369560"/>
        <w:lock w:val="sdtContentLocked"/>
        <w:placeholder>
          <w:docPart w:val="GBC22222222222222222222222222222"/>
        </w:placeholder>
      </w:sdtPr>
      <w:sdtContent>
        <w:p w:rsidR="00C75D8C" w:rsidRPr="00E04FAA" w:rsidRDefault="00200151" w:rsidP="00C75D8C">
          <w:r w:rsidRPr="00E04FAA">
            <w:fldChar w:fldCharType="begin"/>
          </w:r>
          <w:r w:rsidR="00C75D8C" w:rsidRPr="00E04FAA">
            <w:instrText xml:space="preserve"> MACROBUTTON  SnrToggleCheckbox □适用 </w:instrText>
          </w:r>
          <w:r w:rsidRPr="00E04FAA">
            <w:fldChar w:fldCharType="end"/>
          </w:r>
          <w:r w:rsidRPr="00E04FAA">
            <w:fldChar w:fldCharType="begin"/>
          </w:r>
          <w:r w:rsidR="00C75D8C" w:rsidRPr="00E04FAA">
            <w:instrText xml:space="preserve"> MACROBUTTON  SnrToggleCheckbox √不适用 </w:instrText>
          </w:r>
          <w:r w:rsidRPr="00E04FAA">
            <w:fldChar w:fldCharType="end"/>
          </w:r>
        </w:p>
      </w:sdtContent>
    </w:sdt>
    <w:p w:rsidR="00883153" w:rsidRPr="00E04FAA" w:rsidRDefault="00883153"/>
    <w:p w:rsidR="00883153" w:rsidRPr="00E04FAA" w:rsidRDefault="00200151" w:rsidP="00FC3870">
      <w:pPr>
        <w:pStyle w:val="2"/>
        <w:numPr>
          <w:ilvl w:val="0"/>
          <w:numId w:val="30"/>
        </w:numPr>
        <w:spacing w:line="360" w:lineRule="auto"/>
      </w:pPr>
      <w:r w:rsidRPr="00E04FAA">
        <w:rPr>
          <w:rFonts w:hint="eastAsia"/>
        </w:rPr>
        <w:t>可转换公司债券情况</w:t>
      </w:r>
    </w:p>
    <w:sdt>
      <w:sdtPr>
        <w:alias w:val="是否适用：可转换公司债券情况[双击切换]"/>
        <w:tag w:val="_GBC_6a49e99841294af3b87ba6216b1997d9"/>
        <w:id w:val="1435713389"/>
        <w:lock w:val="sdtContentLocked"/>
        <w:placeholder>
          <w:docPart w:val="GBC22222222222222222222222222222"/>
        </w:placeholder>
      </w:sdtPr>
      <w:sdtContent>
        <w:p w:rsidR="00C75D8C" w:rsidRPr="00E04FAA" w:rsidRDefault="00200151" w:rsidP="00C75D8C">
          <w:r w:rsidRPr="00E04FAA">
            <w:fldChar w:fldCharType="begin"/>
          </w:r>
          <w:r w:rsidR="00C75D8C" w:rsidRPr="00E04FAA">
            <w:instrText xml:space="preserve"> MACROBUTTON  SnrToggleCheckbox □适用 </w:instrText>
          </w:r>
          <w:r w:rsidRPr="00E04FAA">
            <w:fldChar w:fldCharType="end"/>
          </w:r>
          <w:r w:rsidRPr="00E04FAA">
            <w:fldChar w:fldCharType="begin"/>
          </w:r>
          <w:r w:rsidR="00C75D8C" w:rsidRPr="00E04FAA">
            <w:instrText xml:space="preserve"> MACROBUTTON  SnrToggleCheckbox √不适用 </w:instrText>
          </w:r>
          <w:r w:rsidRPr="00E04FAA">
            <w:fldChar w:fldCharType="end"/>
          </w:r>
        </w:p>
      </w:sdtContent>
    </w:sdt>
    <w:p w:rsidR="00883153" w:rsidRPr="00E04FAA" w:rsidRDefault="00883153"/>
    <w:p w:rsidR="00883153" w:rsidRPr="00E04FAA" w:rsidRDefault="00200151" w:rsidP="00FC3870">
      <w:pPr>
        <w:pStyle w:val="2"/>
        <w:numPr>
          <w:ilvl w:val="0"/>
          <w:numId w:val="30"/>
        </w:numPr>
        <w:spacing w:line="360" w:lineRule="auto"/>
      </w:pPr>
      <w:r w:rsidRPr="00E04FAA">
        <w:rPr>
          <w:rFonts w:ascii="宋体" w:hAnsi="宋体" w:cs="宋体" w:hint="eastAsia"/>
          <w:bCs w:val="0"/>
          <w:kern w:val="0"/>
          <w:szCs w:val="24"/>
        </w:rPr>
        <w:t>环境</w:t>
      </w:r>
      <w:r w:rsidRPr="00E04FAA">
        <w:rPr>
          <w:rFonts w:ascii="宋体" w:hAnsi="宋体" w:cs="宋体"/>
          <w:bCs w:val="0"/>
          <w:kern w:val="0"/>
          <w:szCs w:val="24"/>
        </w:rPr>
        <w:t>信息情况</w:t>
      </w:r>
    </w:p>
    <w:p w:rsidR="00883153" w:rsidRPr="00E04FAA" w:rsidRDefault="00200151" w:rsidP="00FC3870">
      <w:pPr>
        <w:pStyle w:val="3"/>
        <w:numPr>
          <w:ilvl w:val="0"/>
          <w:numId w:val="31"/>
        </w:numPr>
      </w:pPr>
      <w:r w:rsidRPr="00E04FAA">
        <w:t>属于环境保护部门公布的重点排污单位的公司及其</w:t>
      </w:r>
      <w:r w:rsidRPr="00E04FAA">
        <w:rPr>
          <w:rFonts w:hint="eastAsia"/>
        </w:rPr>
        <w:t>重要</w:t>
      </w:r>
      <w:r w:rsidRPr="00E04FAA">
        <w:t>子公司的环保情况说明</w:t>
      </w:r>
    </w:p>
    <w:sdt>
      <w:sdtPr>
        <w:rPr>
          <w:rFonts w:hint="eastAsia"/>
        </w:rPr>
        <w:alias w:val="是否适用：重点排污单位环保情况[双击切换]"/>
        <w:tag w:val="_GBC_820250e25791459fb9ab9ed79c168408"/>
        <w:id w:val="-1643264824"/>
        <w:lock w:val="sdtContentLocked"/>
        <w:placeholder>
          <w:docPart w:val="GBC22222222222222222222222222222"/>
        </w:placeholder>
      </w:sdtPr>
      <w:sdtContent>
        <w:p w:rsidR="00C75D8C" w:rsidRPr="00E04FAA" w:rsidRDefault="00200151" w:rsidP="00C75D8C">
          <w:r w:rsidRPr="00E04FAA">
            <w:fldChar w:fldCharType="begin"/>
          </w:r>
          <w:r w:rsidR="00C75D8C" w:rsidRPr="00E04FAA">
            <w:instrText xml:space="preserve"> MACROBUTTON  SnrToggleCheckbox □适用 </w:instrText>
          </w:r>
          <w:r w:rsidRPr="00E04FAA">
            <w:fldChar w:fldCharType="end"/>
          </w:r>
          <w:r w:rsidRPr="00E04FAA">
            <w:fldChar w:fldCharType="begin"/>
          </w:r>
          <w:r w:rsidR="00C75D8C" w:rsidRPr="00E04FAA">
            <w:instrText xml:space="preserve"> MACROBUTTON  SnrToggleCheckbox √不适用 </w:instrText>
          </w:r>
          <w:r w:rsidRPr="00E04FAA">
            <w:fldChar w:fldCharType="end"/>
          </w:r>
        </w:p>
      </w:sdtContent>
    </w:sdt>
    <w:bookmarkStart w:id="36" w:name="_Hlk14706303" w:displacedByCustomXml="next"/>
    <w:sdt>
      <w:sdtPr>
        <w:rPr>
          <w:rFonts w:ascii="宋体" w:hAnsi="宋体" w:cs="宋体" w:hint="eastAsia"/>
          <w:b w:val="0"/>
          <w:bCs w:val="0"/>
          <w:kern w:val="0"/>
          <w:szCs w:val="24"/>
        </w:rPr>
        <w:alias w:val="模块:重点排污单位之外的公司的环保情况说明 "/>
        <w:tag w:val="_SEC_bfa32e5ef2364f6689da91138dfa9ec9"/>
        <w:id w:val="562762323"/>
        <w:lock w:val="sdtLocked"/>
        <w:placeholder>
          <w:docPart w:val="GBC22222222222222222222222222222"/>
        </w:placeholder>
      </w:sdtPr>
      <w:sdtContent>
        <w:p w:rsidR="00883153" w:rsidRPr="00E04FAA" w:rsidRDefault="00200151" w:rsidP="00FC3870">
          <w:pPr>
            <w:pStyle w:val="3"/>
            <w:numPr>
              <w:ilvl w:val="0"/>
              <w:numId w:val="31"/>
            </w:numPr>
          </w:pPr>
          <w:r w:rsidRPr="00E04FAA">
            <w:rPr>
              <w:rFonts w:hint="eastAsia"/>
            </w:rPr>
            <w:t>重点排污单位之外的公司的环保情况说明</w:t>
          </w:r>
        </w:p>
        <w:sdt>
          <w:sdtPr>
            <w:alias w:val="是否适用：重点排污单位之外的公司的环保情况[双击切换]"/>
            <w:tag w:val="_GBC_5429e6d325df48abbf95eb4f87e71363"/>
            <w:id w:val="-1651594885"/>
            <w:lock w:val="sdtContentLocked"/>
            <w:placeholder>
              <w:docPart w:val="GBC22222222222222222222222222222"/>
            </w:placeholder>
          </w:sdtPr>
          <w:sdtContent>
            <w:p w:rsidR="00883153" w:rsidRPr="00E04FAA" w:rsidRDefault="00200151">
              <w:r w:rsidRPr="00E04FAA">
                <w:fldChar w:fldCharType="begin"/>
              </w:r>
              <w:r w:rsidR="00384632" w:rsidRPr="00E04FAA">
                <w:instrText xml:space="preserve"> MACROBUTTON  SnrToggleCheckbox √适用 </w:instrText>
              </w:r>
              <w:r w:rsidRPr="00E04FAA">
                <w:fldChar w:fldCharType="end"/>
              </w:r>
              <w:r w:rsidRPr="00E04FAA">
                <w:fldChar w:fldCharType="begin"/>
              </w:r>
              <w:r w:rsidR="00384632" w:rsidRPr="00E04FAA">
                <w:instrText xml:space="preserve"> MACROBUTTON  SnrToggleCheckbox □不适用 </w:instrText>
              </w:r>
              <w:r w:rsidRPr="00E04FAA">
                <w:fldChar w:fldCharType="end"/>
              </w:r>
            </w:p>
          </w:sdtContent>
        </w:sdt>
        <w:sdt>
          <w:sdtPr>
            <w:alias w:val="重点排污单位之外的公司的环保情况"/>
            <w:tag w:val="_GBC_e03d8e437622461db6d403dd40eb7e91"/>
            <w:id w:val="633222237"/>
            <w:lock w:val="sdtLocked"/>
            <w:placeholder>
              <w:docPart w:val="GBC22222222222222222222222222222"/>
            </w:placeholder>
          </w:sdtPr>
          <w:sdtContent>
            <w:p w:rsidR="00883153" w:rsidRPr="00E04FAA" w:rsidRDefault="002D0420" w:rsidP="00486ECD">
              <w:pPr>
                <w:jc w:val="both"/>
              </w:pPr>
              <w:r w:rsidRPr="00E04FAA">
                <w:rPr>
                  <w:rFonts w:hint="eastAsia"/>
                </w:rPr>
                <w:t>报告期内，公司坚持</w:t>
              </w:r>
              <w:r w:rsidR="006575B6">
                <w:rPr>
                  <w:rFonts w:hint="eastAsia"/>
                </w:rPr>
                <w:t>国产化</w:t>
              </w:r>
              <w:r w:rsidRPr="00E04FAA">
                <w:rPr>
                  <w:rFonts w:hint="eastAsia"/>
                </w:rPr>
                <w:t>、依法经营的发展道路，秉承“立足长远，持续创新，均衡发展，高绩效，阳光经营，履行社会责任”的发展方针，自成立伊始便关注企业的社会价值，关注人本主义、人文精神，逐步落实并切实承担公司应尽的社会责任。公司以提升企业价值、与利益相关者共赢为己任，以弘扬人文关怀、无私奉献社会为使命，以倡议环保行动、筑造绿色企业为目标。报告期内，公司在用友产业园</w:t>
              </w:r>
              <w:r w:rsidR="008E23A2" w:rsidRPr="00E04FAA">
                <w:rPr>
                  <w:rFonts w:hint="eastAsia"/>
                </w:rPr>
                <w:t>（北京）</w:t>
              </w:r>
              <w:r w:rsidRPr="00E04FAA">
                <w:rPr>
                  <w:rFonts w:hint="eastAsia"/>
                </w:rPr>
                <w:t>建设与运营过程中，应用高科技、环保、智能园区的理念，对原生态环境进行了充分的保护，同时采用了地源热泵、冰蓄冷、雨水回收、节能砌块、太阳能景观灯、新能源充电桩等大量节能、节水的环保新技术和新材料。这些新材料和新技术的尝试与应用，对园区内环境保护起到了显著的作用，推动了园区循环经济应用建设，节约能源，减少了大量废气、废水的排放，实现了园区“低碳”生活。目前用友产业园</w:t>
              </w:r>
              <w:r w:rsidR="008E23A2" w:rsidRPr="00E04FAA">
                <w:rPr>
                  <w:rFonts w:hint="eastAsia"/>
                </w:rPr>
                <w:t>（北京）</w:t>
              </w:r>
              <w:r w:rsidRPr="00E04FAA">
                <w:rPr>
                  <w:rFonts w:hint="eastAsia"/>
                </w:rPr>
                <w:t>已评为北京市循环经济示范园。</w:t>
              </w:r>
              <w:r w:rsidRPr="00E04FAA">
                <w:t xml:space="preserve"> 公司动员全员环保、节能，严格遵守环保节能相关法律法规，取得了良好成效。</w:t>
              </w:r>
            </w:p>
          </w:sdtContent>
        </w:sdt>
        <w:p w:rsidR="00883153" w:rsidRPr="00E04FAA" w:rsidRDefault="000D0A99"/>
      </w:sdtContent>
    </w:sdt>
    <w:bookmarkEnd w:id="36" w:displacedByCustomXml="prev"/>
    <w:sdt>
      <w:sdtPr>
        <w:rPr>
          <w:rFonts w:ascii="宋体" w:hAnsi="宋体" w:cs="宋体" w:hint="eastAsia"/>
          <w:b w:val="0"/>
          <w:bCs w:val="0"/>
          <w:kern w:val="0"/>
          <w:szCs w:val="24"/>
        </w:rPr>
        <w:alias w:val="模块:重点排污单位之外的公司未披露环境信息的原因说明"/>
        <w:tag w:val="_SEC_dbf114d9dfed451c943c0db36f9761bc"/>
        <w:id w:val="-1904058582"/>
        <w:lock w:val="sdtLocked"/>
        <w:placeholder>
          <w:docPart w:val="GBC22222222222222222222222222222"/>
        </w:placeholder>
      </w:sdtPr>
      <w:sdtEndPr>
        <w:rPr>
          <w:rFonts w:hint="default"/>
        </w:rPr>
      </w:sdtEndPr>
      <w:sdtContent>
        <w:p w:rsidR="00883153" w:rsidRPr="00E04FAA" w:rsidRDefault="00200151" w:rsidP="00FC3870">
          <w:pPr>
            <w:pStyle w:val="3"/>
            <w:numPr>
              <w:ilvl w:val="0"/>
              <w:numId w:val="31"/>
            </w:numPr>
          </w:pPr>
          <w:r w:rsidRPr="00E04FAA">
            <w:rPr>
              <w:rFonts w:hint="eastAsia"/>
            </w:rPr>
            <w:t>重点排污单位之外的公司未披露环境信息的原因说明</w:t>
          </w:r>
        </w:p>
        <w:sdt>
          <w:sdtPr>
            <w:alias w:val="是否适用：重点排污单位之外的公司未披露环境信息的原因[双击切换]"/>
            <w:tag w:val="_GBC_31106daab34d41698243bfe90ff75054"/>
            <w:id w:val="1366493940"/>
            <w:lock w:val="sdtContentLocked"/>
            <w:placeholder>
              <w:docPart w:val="GBC22222222222222222222222222222"/>
            </w:placeholder>
          </w:sdtPr>
          <w:sdtContent>
            <w:p w:rsidR="00883153" w:rsidRPr="00E04FAA" w:rsidRDefault="00200151" w:rsidP="00384632">
              <w:r w:rsidRPr="00E04FAA">
                <w:fldChar w:fldCharType="begin"/>
              </w:r>
              <w:r w:rsidR="00384632" w:rsidRPr="00E04FAA">
                <w:instrText xml:space="preserve"> MACROBUTTON  SnrToggleCheckbox □适用 </w:instrText>
              </w:r>
              <w:r w:rsidRPr="00E04FAA">
                <w:fldChar w:fldCharType="end"/>
              </w:r>
              <w:r w:rsidRPr="00E04FAA">
                <w:fldChar w:fldCharType="begin"/>
              </w:r>
              <w:r w:rsidR="00384632" w:rsidRPr="00E04FAA">
                <w:instrText xml:space="preserve"> MACROBUTTON  SnrToggleCheckbox √不适用 </w:instrText>
              </w:r>
              <w:r w:rsidRPr="00E04FAA">
                <w:fldChar w:fldCharType="end"/>
              </w:r>
            </w:p>
          </w:sdtContent>
        </w:sdt>
        <w:p w:rsidR="00883153" w:rsidRPr="00E04FAA" w:rsidRDefault="000D0A99"/>
      </w:sdtContent>
    </w:sdt>
    <w:sdt>
      <w:sdtPr>
        <w:rPr>
          <w:rFonts w:ascii="宋体" w:hAnsi="宋体" w:cs="宋体" w:hint="eastAsia"/>
          <w:b w:val="0"/>
          <w:bCs w:val="0"/>
          <w:kern w:val="0"/>
          <w:szCs w:val="24"/>
        </w:rPr>
        <w:alias w:val="模块:报告期内披露环境信息内容的后续进展或变化情况的说明"/>
        <w:tag w:val="_SEC_3c63bb32177f4f368bb662e3b696830a"/>
        <w:id w:val="607546076"/>
        <w:lock w:val="sdtLocked"/>
        <w:placeholder>
          <w:docPart w:val="GBC22222222222222222222222222222"/>
        </w:placeholder>
      </w:sdtPr>
      <w:sdtContent>
        <w:p w:rsidR="00883153" w:rsidRPr="00E04FAA" w:rsidRDefault="00200151" w:rsidP="00FC3870">
          <w:pPr>
            <w:pStyle w:val="3"/>
            <w:numPr>
              <w:ilvl w:val="0"/>
              <w:numId w:val="31"/>
            </w:numPr>
          </w:pPr>
          <w:r w:rsidRPr="00E04FAA">
            <w:rPr>
              <w:rFonts w:hint="eastAsia"/>
            </w:rPr>
            <w:t>报告期内披露环境信息内容的后续进展或变化情况的说明</w:t>
          </w:r>
        </w:p>
        <w:sdt>
          <w:sdtPr>
            <w:alias w:val="是否适用：披露环境信息内容的后续进展或变化情况[双击切换]"/>
            <w:tag w:val="_GBC_451a415ae7344df7ba110ec71bce5279"/>
            <w:id w:val="704216863"/>
            <w:lock w:val="sdtContentLocked"/>
            <w:placeholder>
              <w:docPart w:val="GBC22222222222222222222222222222"/>
            </w:placeholder>
          </w:sdtPr>
          <w:sdtContent>
            <w:p w:rsidR="00883153" w:rsidRPr="00E04FAA" w:rsidRDefault="00200151" w:rsidP="00384632">
              <w:r w:rsidRPr="00E04FAA">
                <w:fldChar w:fldCharType="begin"/>
              </w:r>
              <w:r w:rsidR="00384632" w:rsidRPr="00E04FAA">
                <w:instrText xml:space="preserve"> MACROBUTTON  SnrToggleCheckbox □适用 </w:instrText>
              </w:r>
              <w:r w:rsidRPr="00E04FAA">
                <w:fldChar w:fldCharType="end"/>
              </w:r>
              <w:r w:rsidRPr="00E04FAA">
                <w:fldChar w:fldCharType="begin"/>
              </w:r>
              <w:r w:rsidR="00384632" w:rsidRPr="00E04FAA">
                <w:instrText xml:space="preserve"> MACROBUTTON  SnrToggleCheckbox √不适用 </w:instrText>
              </w:r>
              <w:r w:rsidRPr="00E04FAA">
                <w:fldChar w:fldCharType="end"/>
              </w:r>
            </w:p>
          </w:sdtContent>
        </w:sdt>
        <w:p w:rsidR="00883153" w:rsidRPr="00E04FAA" w:rsidRDefault="000D0A99"/>
      </w:sdtContent>
    </w:sdt>
    <w:p w:rsidR="00883153" w:rsidRPr="00E04FAA" w:rsidRDefault="00200151" w:rsidP="00FC3870">
      <w:pPr>
        <w:pStyle w:val="2"/>
        <w:numPr>
          <w:ilvl w:val="0"/>
          <w:numId w:val="30"/>
        </w:numPr>
        <w:spacing w:line="360" w:lineRule="auto"/>
      </w:pPr>
      <w:r w:rsidRPr="00E04FAA">
        <w:t>其他重大事项的说明</w:t>
      </w:r>
    </w:p>
    <w:sdt>
      <w:sdtPr>
        <w:rPr>
          <w:rFonts w:ascii="宋体" w:hAnsi="宋体" w:cs="宋体"/>
          <w:b w:val="0"/>
          <w:bCs w:val="0"/>
          <w:kern w:val="0"/>
          <w:szCs w:val="22"/>
        </w:rPr>
        <w:alias w:val="模块:与上一会计期间相比，会计政策、会计估计和核算方法发生变化的情况、原因及其影响"/>
        <w:tag w:val="_SEC_572555491c014d86bbc08c93750a3130"/>
        <w:id w:val="340594727"/>
        <w:lock w:val="sdtLocked"/>
        <w:placeholder>
          <w:docPart w:val="GBC22222222222222222222222222222"/>
        </w:placeholder>
      </w:sdtPr>
      <w:sdtEndPr>
        <w:rPr>
          <w:rFonts w:asciiTheme="minorEastAsia" w:eastAsiaTheme="minorEastAsia" w:hAnsiTheme="minorEastAsia"/>
          <w:szCs w:val="21"/>
        </w:rPr>
      </w:sdtEndPr>
      <w:sdtContent>
        <w:p w:rsidR="00883153" w:rsidRPr="00E04FAA" w:rsidRDefault="00200151" w:rsidP="00FC3870">
          <w:pPr>
            <w:pStyle w:val="3"/>
            <w:numPr>
              <w:ilvl w:val="0"/>
              <w:numId w:val="27"/>
            </w:numPr>
          </w:pPr>
          <w:r w:rsidRPr="00E04FAA">
            <w:rPr>
              <w:rFonts w:hint="eastAsia"/>
            </w:rPr>
            <w:t>与上一会计期间相比，会计政策、会计估计和核算方法发生变化的情况、原因及其影响</w:t>
          </w:r>
        </w:p>
        <w:sdt>
          <w:sdtPr>
            <w:alias w:val="是否适用：与上一会计期间相比，会计政策、会计估计和核算方法发生变化的情况、原因及其影响[双击切换]"/>
            <w:tag w:val="_GBC_590bd3564d664b3480b31f69245f5bae"/>
            <w:id w:val="-443539121"/>
            <w:lock w:val="sdtContentLocked"/>
            <w:placeholder>
              <w:docPart w:val="GBC22222222222222222222222222222"/>
            </w:placeholder>
          </w:sdtPr>
          <w:sdtContent>
            <w:p w:rsidR="00883153" w:rsidRPr="00E04FAA" w:rsidRDefault="00200151">
              <w:r w:rsidRPr="00E04FAA">
                <w:fldChar w:fldCharType="begin"/>
              </w:r>
              <w:r w:rsidR="003F2EED" w:rsidRPr="00E04FAA">
                <w:instrText xml:space="preserve"> MACROBUTTON  SnrToggleCheckbox √适用 </w:instrText>
              </w:r>
              <w:r w:rsidRPr="00E04FAA">
                <w:fldChar w:fldCharType="end"/>
              </w:r>
              <w:r w:rsidRPr="00E04FAA">
                <w:fldChar w:fldCharType="begin"/>
              </w:r>
              <w:r w:rsidR="003F2EED" w:rsidRPr="00E04FAA">
                <w:instrText xml:space="preserve"> MACROBUTTON  SnrToggleCheckbox □不适用 </w:instrText>
              </w:r>
              <w:r w:rsidRPr="00E04FAA">
                <w:fldChar w:fldCharType="end"/>
              </w:r>
            </w:p>
          </w:sdtContent>
        </w:sdt>
        <w:bookmarkStart w:id="37" w:name="_Hlk16806506" w:displacedByCustomXml="next"/>
        <w:sdt>
          <w:sdtPr>
            <w:rPr>
              <w:rFonts w:hint="eastAsia"/>
            </w:rPr>
            <w:alias w:val="与上一会计期间相比，会计政策、会计估计和核算方法发生变化的情况、原因及其影响"/>
            <w:tag w:val="_GBC_b55d9dfb61bf461694aee006e3de0cf0"/>
            <w:id w:val="344055023"/>
            <w:lock w:val="sdtLocked"/>
            <w:placeholder>
              <w:docPart w:val="GBC22222222222222222222222222222"/>
            </w:placeholder>
          </w:sdtPr>
          <w:sdtContent>
            <w:p w:rsidR="00F40AA3" w:rsidRPr="00E04FAA" w:rsidRDefault="005A0D0A" w:rsidP="00F40AA3">
              <w:pPr>
                <w:rPr>
                  <w:rFonts w:asciiTheme="minorEastAsia" w:eastAsiaTheme="minorEastAsia" w:hAnsiTheme="minorEastAsia"/>
                  <w:szCs w:val="21"/>
                </w:rPr>
              </w:pPr>
              <w:r>
                <w:rPr>
                  <w:rFonts w:ascii="Arial" w:eastAsia="黑体" w:hAnsi="Arial" w:cs="Arial" w:hint="eastAsia"/>
                  <w:snapToGrid w:val="0"/>
                  <w:sz w:val="20"/>
                  <w:szCs w:val="20"/>
                </w:rPr>
                <w:t>财务报表列报方式变更</w:t>
              </w:r>
            </w:p>
            <w:bookmarkEnd w:id="37"/>
            <w:p w:rsidR="00F40AA3" w:rsidRPr="00E04FAA" w:rsidRDefault="00F40AA3" w:rsidP="00F40AA3">
              <w:pPr>
                <w:rPr>
                  <w:rFonts w:asciiTheme="minorEastAsia" w:eastAsiaTheme="minorEastAsia" w:hAnsiTheme="minorEastAsia"/>
                  <w:szCs w:val="21"/>
                </w:rPr>
              </w:pPr>
              <w:r w:rsidRPr="00E04FAA">
                <w:rPr>
                  <w:rFonts w:asciiTheme="minorEastAsia" w:eastAsiaTheme="minorEastAsia" w:hAnsiTheme="minorEastAsia" w:hint="eastAsia"/>
                  <w:szCs w:val="21"/>
                </w:rPr>
                <w:t>根据《关于修订印发</w:t>
              </w:r>
              <w:r w:rsidRPr="00E04FAA">
                <w:rPr>
                  <w:rFonts w:asciiTheme="minorEastAsia" w:eastAsiaTheme="minorEastAsia" w:hAnsiTheme="minorEastAsia"/>
                  <w:szCs w:val="21"/>
                </w:rPr>
                <w:t>2019年度一般企业财务报表格式的通知》（财会[2019]6号）要求，资产负债表中，“应收票据及应收账款”项目分拆为“应收票据”及“应收账款”，“应付票据及应付账款”项目分拆为“应付票据”及“应付账款”；利润表中，“研发费用”项目除反映进行研究与开发过程中发生的费用化支出外，还包括了原在“管理费用”项目中列示的自行开发无形资产的摊销；</w:t>
              </w:r>
              <w:r w:rsidR="00CE3ECB" w:rsidRPr="00E72139">
                <w:rPr>
                  <w:rFonts w:hint="eastAsia"/>
                  <w:szCs w:val="21"/>
                </w:rPr>
                <w:t>“递延收益”项目中摊销期限只剩一年或不足一年的，或预计在一年内（含一年）进行摊销的部分，仍在该项目中填列，不转入“一年内到期的非流动负债”项目。</w:t>
              </w:r>
              <w:r w:rsidRPr="00E04FAA">
                <w:rPr>
                  <w:rFonts w:asciiTheme="minorEastAsia" w:eastAsiaTheme="minorEastAsia" w:hAnsiTheme="minorEastAsia"/>
                  <w:szCs w:val="21"/>
                </w:rPr>
                <w:t>本集团相应追溯调整了比较数据。该会计政策变更对合并及公司净利润和股东权益无影响。</w:t>
              </w:r>
            </w:p>
            <w:p w:rsidR="00F40AA3" w:rsidRPr="00E04FAA" w:rsidRDefault="00F40AA3" w:rsidP="00F40AA3">
              <w:pPr>
                <w:rPr>
                  <w:rFonts w:asciiTheme="minorEastAsia" w:eastAsiaTheme="minorEastAsia" w:hAnsiTheme="minorEastAsia"/>
                  <w:szCs w:val="21"/>
                </w:rPr>
              </w:pPr>
              <w:r w:rsidRPr="00E04FAA">
                <w:rPr>
                  <w:rFonts w:asciiTheme="minorEastAsia" w:eastAsiaTheme="minorEastAsia" w:hAnsiTheme="minorEastAsia"/>
                  <w:szCs w:val="21"/>
                </w:rPr>
                <w:t>2017年，财政部颁布了修订的《企业会计准则第22号——金融工具确认和计量》、《企业会计准则第23号——金融资产转移》、《企业会计准则第24号——套期保值》以及《企业会计准则第37号——金融工具列报》(统称“新金融工具准则”)。本集团自2019年1月1日开始按照新修订的上述准则进行会计处理，根据衔接规定，对可比期间信息不予调整，首日执行新准则与现行准则的差异追溯调整本报告期期初留存收益。</w:t>
              </w:r>
            </w:p>
            <w:p w:rsidR="00F40AA3" w:rsidRPr="00E04FAA" w:rsidRDefault="00F40AA3" w:rsidP="00F40AA3">
              <w:pPr>
                <w:rPr>
                  <w:rFonts w:asciiTheme="minorEastAsia" w:eastAsiaTheme="minorEastAsia" w:hAnsiTheme="minorEastAsia"/>
                  <w:szCs w:val="21"/>
                </w:rPr>
              </w:pPr>
            </w:p>
            <w:p w:rsidR="00F40AA3" w:rsidRPr="00E04FAA" w:rsidRDefault="00F40AA3" w:rsidP="00F40AA3">
              <w:pPr>
                <w:rPr>
                  <w:rFonts w:asciiTheme="minorEastAsia" w:eastAsiaTheme="minorEastAsia" w:hAnsiTheme="minorEastAsia"/>
                  <w:szCs w:val="21"/>
                </w:rPr>
              </w:pPr>
              <w:r w:rsidRPr="00E04FAA">
                <w:rPr>
                  <w:rFonts w:asciiTheme="minorEastAsia" w:eastAsiaTheme="minorEastAsia" w:hAnsiTheme="minorEastAsia" w:hint="eastAsia"/>
                  <w:szCs w:val="21"/>
                </w:rPr>
                <w:t>新金融工具准则</w:t>
              </w:r>
              <w:r w:rsidR="002F41AA" w:rsidRPr="00E04FAA">
                <w:rPr>
                  <w:rFonts w:asciiTheme="minorEastAsia" w:eastAsiaTheme="minorEastAsia" w:hAnsiTheme="minorEastAsia" w:hint="eastAsia"/>
                  <w:szCs w:val="21"/>
                </w:rPr>
                <w:t>：</w:t>
              </w:r>
            </w:p>
            <w:p w:rsidR="00F40AA3" w:rsidRPr="00E04FAA" w:rsidRDefault="00F40AA3" w:rsidP="00F40AA3">
              <w:pPr>
                <w:rPr>
                  <w:rFonts w:asciiTheme="minorEastAsia" w:eastAsiaTheme="minorEastAsia" w:hAnsiTheme="minorEastAsia"/>
                  <w:szCs w:val="21"/>
                </w:rPr>
              </w:pPr>
              <w:r w:rsidRPr="00E04FAA">
                <w:rPr>
                  <w:rFonts w:asciiTheme="minorEastAsia" w:eastAsiaTheme="minorEastAsia" w:hAnsiTheme="minorEastAsia" w:hint="eastAsia"/>
                  <w:szCs w:val="21"/>
                </w:rPr>
                <w:t>新金融工具准则改变了金融资产的分类和计量方式，确定了三个主要的计量类别：摊余成本；以公允价值计量且其变动计入其他综合收益；以公允价值计量且其变动计入当期损益。企业需考虑自身业务模式，以及金融资产的合同现金流特征进行上述分类。权益工具投资需按公允价值计量且其变动计入当期损益，但在初始确认时可选择将非交易性权益工具投资不可撤销地指定为以公允价值计量且其变动计入其他综合收益的金融资产。</w:t>
              </w:r>
            </w:p>
            <w:p w:rsidR="00F40AA3" w:rsidRPr="00E04FAA" w:rsidRDefault="00F40AA3" w:rsidP="00F40AA3">
              <w:pPr>
                <w:rPr>
                  <w:rFonts w:asciiTheme="minorEastAsia" w:eastAsiaTheme="minorEastAsia" w:hAnsiTheme="minorEastAsia"/>
                  <w:szCs w:val="21"/>
                </w:rPr>
              </w:pPr>
              <w:r w:rsidRPr="00E04FAA">
                <w:rPr>
                  <w:rFonts w:asciiTheme="minorEastAsia" w:eastAsiaTheme="minorEastAsia" w:hAnsiTheme="minorEastAsia" w:hint="eastAsia"/>
                  <w:szCs w:val="21"/>
                </w:rPr>
                <w:t>新金融工具准则要求金融资产减值计量由“已发生损失模型”改为“预期信用损失模型”，适用于以摊余成本计量的金融资产、以公允价值计量且其变动计入其他综合收益的金融资产，以及贷款承诺和财务担保合同。</w:t>
              </w:r>
            </w:p>
            <w:p w:rsidR="00F40AA3" w:rsidRPr="00E04FAA" w:rsidRDefault="00F40AA3" w:rsidP="00F40AA3">
              <w:pPr>
                <w:rPr>
                  <w:rFonts w:asciiTheme="minorEastAsia" w:eastAsiaTheme="minorEastAsia" w:hAnsiTheme="minorEastAsia"/>
                  <w:szCs w:val="21"/>
                </w:rPr>
              </w:pPr>
              <w:r w:rsidRPr="00E04FAA">
                <w:rPr>
                  <w:rFonts w:asciiTheme="minorEastAsia" w:eastAsiaTheme="minorEastAsia" w:hAnsiTheme="minorEastAsia" w:hint="eastAsia"/>
                  <w:szCs w:val="21"/>
                </w:rPr>
                <w:t>在首次执行日，金融资产按照修订前后金融工具确认计量准则的规定进行分类和计量结果对比如下：</w:t>
              </w:r>
            </w:p>
            <w:tbl>
              <w:tblPr>
                <w:tblStyle w:val="g1"/>
                <w:tblW w:w="8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
                <w:gridCol w:w="1418"/>
                <w:gridCol w:w="1134"/>
                <w:gridCol w:w="1543"/>
                <w:gridCol w:w="1110"/>
                <w:gridCol w:w="1049"/>
                <w:gridCol w:w="1543"/>
                <w:gridCol w:w="16"/>
              </w:tblGrid>
              <w:tr w:rsidR="00994C71" w:rsidRPr="00E04FAA" w:rsidTr="00B7772E">
                <w:trPr>
                  <w:trHeight w:val="300"/>
                  <w:jc w:val="center"/>
                </w:trPr>
                <w:tc>
                  <w:tcPr>
                    <w:tcW w:w="1129" w:type="dxa"/>
                  </w:tcPr>
                  <w:p w:rsidR="00994C71" w:rsidRPr="00E04FAA" w:rsidRDefault="00994C71" w:rsidP="00B7772E">
                    <w:pPr>
                      <w:jc w:val="center"/>
                      <w:rPr>
                        <w:rFonts w:cs="Calibri"/>
                        <w:color w:val="000000"/>
                        <w:szCs w:val="21"/>
                      </w:rPr>
                    </w:pPr>
                  </w:p>
                </w:tc>
                <w:tc>
                  <w:tcPr>
                    <w:tcW w:w="3834" w:type="dxa"/>
                    <w:gridSpan w:val="3"/>
                    <w:noWrap/>
                    <w:hideMark/>
                  </w:tcPr>
                  <w:p w:rsidR="00994C71" w:rsidRPr="00E04FAA" w:rsidRDefault="00994C71" w:rsidP="00B7772E">
                    <w:pPr>
                      <w:jc w:val="center"/>
                      <w:rPr>
                        <w:rFonts w:cs="Calibri"/>
                        <w:color w:val="000000"/>
                        <w:szCs w:val="21"/>
                      </w:rPr>
                    </w:pPr>
                    <w:r w:rsidRPr="00E04FAA">
                      <w:rPr>
                        <w:rFonts w:cs="Calibri" w:hint="eastAsia"/>
                        <w:color w:val="000000"/>
                        <w:szCs w:val="21"/>
                      </w:rPr>
                      <w:t>原金融工具准则</w:t>
                    </w:r>
                  </w:p>
                </w:tc>
                <w:tc>
                  <w:tcPr>
                    <w:tcW w:w="3896" w:type="dxa"/>
                    <w:gridSpan w:val="4"/>
                  </w:tcPr>
                  <w:p w:rsidR="00994C71" w:rsidRPr="00E04FAA" w:rsidRDefault="00994C71" w:rsidP="00B7772E">
                    <w:pPr>
                      <w:jc w:val="center"/>
                      <w:rPr>
                        <w:rFonts w:cs="Calibri"/>
                        <w:color w:val="000000"/>
                        <w:szCs w:val="21"/>
                      </w:rPr>
                    </w:pPr>
                    <w:r w:rsidRPr="00E04FAA">
                      <w:rPr>
                        <w:rFonts w:cs="Calibri" w:hint="eastAsia"/>
                        <w:color w:val="000000"/>
                        <w:szCs w:val="21"/>
                      </w:rPr>
                      <w:t>新金融工具准则</w:t>
                    </w:r>
                  </w:p>
                </w:tc>
              </w:tr>
              <w:tr w:rsidR="00994C71" w:rsidRPr="00E04FAA" w:rsidTr="00B7772E">
                <w:trPr>
                  <w:gridAfter w:val="1"/>
                  <w:wAfter w:w="18" w:type="dxa"/>
                  <w:trHeight w:val="300"/>
                  <w:jc w:val="center"/>
                </w:trPr>
                <w:tc>
                  <w:tcPr>
                    <w:tcW w:w="1129" w:type="dxa"/>
                  </w:tcPr>
                  <w:p w:rsidR="00994C71" w:rsidRPr="00E04FAA" w:rsidRDefault="00994C71" w:rsidP="00B7772E">
                    <w:pPr>
                      <w:rPr>
                        <w:szCs w:val="21"/>
                      </w:rPr>
                    </w:pPr>
                  </w:p>
                </w:tc>
                <w:tc>
                  <w:tcPr>
                    <w:tcW w:w="1418" w:type="dxa"/>
                    <w:noWrap/>
                  </w:tcPr>
                  <w:p w:rsidR="00994C71" w:rsidRPr="00E04FAA" w:rsidRDefault="00994C71" w:rsidP="00B7772E">
                    <w:pPr>
                      <w:rPr>
                        <w:szCs w:val="21"/>
                      </w:rPr>
                    </w:pPr>
                    <w:r w:rsidRPr="00E04FAA">
                      <w:rPr>
                        <w:rFonts w:hint="eastAsia"/>
                        <w:szCs w:val="21"/>
                      </w:rPr>
                      <w:t>列报项目</w:t>
                    </w:r>
                  </w:p>
                </w:tc>
                <w:tc>
                  <w:tcPr>
                    <w:tcW w:w="1134" w:type="dxa"/>
                    <w:noWrap/>
                  </w:tcPr>
                  <w:p w:rsidR="00994C71" w:rsidRPr="00E04FAA" w:rsidRDefault="00994C71" w:rsidP="00B7772E">
                    <w:pPr>
                      <w:rPr>
                        <w:rFonts w:cs="Calibri"/>
                        <w:color w:val="000000"/>
                        <w:szCs w:val="21"/>
                      </w:rPr>
                    </w:pPr>
                    <w:r w:rsidRPr="00E04FAA">
                      <w:rPr>
                        <w:rFonts w:cs="Calibri" w:hint="eastAsia"/>
                        <w:color w:val="000000"/>
                        <w:szCs w:val="21"/>
                      </w:rPr>
                      <w:t>计量类别</w:t>
                    </w:r>
                  </w:p>
                </w:tc>
                <w:tc>
                  <w:tcPr>
                    <w:tcW w:w="1282" w:type="dxa"/>
                    <w:noWrap/>
                  </w:tcPr>
                  <w:p w:rsidR="00994C71" w:rsidRPr="00E04FAA" w:rsidRDefault="00994C71" w:rsidP="00B7772E">
                    <w:pPr>
                      <w:jc w:val="right"/>
                      <w:rPr>
                        <w:rFonts w:cs="Calibri"/>
                        <w:color w:val="000000"/>
                        <w:szCs w:val="21"/>
                      </w:rPr>
                    </w:pPr>
                    <w:r w:rsidRPr="00E04FAA">
                      <w:rPr>
                        <w:rFonts w:cs="Calibri" w:hint="eastAsia"/>
                        <w:color w:val="000000"/>
                        <w:szCs w:val="21"/>
                      </w:rPr>
                      <w:t>账面价值</w:t>
                    </w:r>
                  </w:p>
                </w:tc>
                <w:tc>
                  <w:tcPr>
                    <w:tcW w:w="1202" w:type="dxa"/>
                  </w:tcPr>
                  <w:p w:rsidR="00994C71" w:rsidRPr="00E04FAA" w:rsidRDefault="00994C71" w:rsidP="00B7772E">
                    <w:pPr>
                      <w:rPr>
                        <w:rFonts w:cs="Calibri"/>
                        <w:color w:val="000000"/>
                        <w:szCs w:val="21"/>
                      </w:rPr>
                    </w:pPr>
                    <w:r w:rsidRPr="00E04FAA">
                      <w:rPr>
                        <w:rFonts w:hint="eastAsia"/>
                        <w:szCs w:val="21"/>
                      </w:rPr>
                      <w:t>列报项目</w:t>
                    </w:r>
                  </w:p>
                </w:tc>
                <w:tc>
                  <w:tcPr>
                    <w:tcW w:w="1133" w:type="dxa"/>
                  </w:tcPr>
                  <w:p w:rsidR="00994C71" w:rsidRPr="00E04FAA" w:rsidRDefault="00994C71" w:rsidP="00B7772E">
                    <w:pPr>
                      <w:rPr>
                        <w:rFonts w:cs="Calibri"/>
                        <w:color w:val="000000"/>
                        <w:szCs w:val="21"/>
                      </w:rPr>
                    </w:pPr>
                    <w:r w:rsidRPr="00E04FAA">
                      <w:rPr>
                        <w:rFonts w:cs="Calibri" w:hint="eastAsia"/>
                        <w:color w:val="000000"/>
                        <w:szCs w:val="21"/>
                      </w:rPr>
                      <w:t>计量类别</w:t>
                    </w:r>
                  </w:p>
                </w:tc>
                <w:tc>
                  <w:tcPr>
                    <w:tcW w:w="1543" w:type="dxa"/>
                  </w:tcPr>
                  <w:p w:rsidR="00994C71" w:rsidRPr="00E04FAA" w:rsidRDefault="00994C71" w:rsidP="00B7772E">
                    <w:pPr>
                      <w:jc w:val="right"/>
                      <w:rPr>
                        <w:rFonts w:cs="Calibri"/>
                        <w:color w:val="000000"/>
                        <w:szCs w:val="21"/>
                      </w:rPr>
                    </w:pPr>
                    <w:r w:rsidRPr="00E04FAA">
                      <w:rPr>
                        <w:rFonts w:cs="Calibri" w:hint="eastAsia"/>
                        <w:color w:val="000000"/>
                        <w:szCs w:val="21"/>
                      </w:rPr>
                      <w:t>账面价值</w:t>
                    </w:r>
                  </w:p>
                </w:tc>
              </w:tr>
              <w:tr w:rsidR="00994C71" w:rsidRPr="00E04FAA" w:rsidTr="00B7772E">
                <w:trPr>
                  <w:gridAfter w:val="1"/>
                  <w:wAfter w:w="18" w:type="dxa"/>
                  <w:trHeight w:val="300"/>
                  <w:jc w:val="center"/>
                </w:trPr>
                <w:tc>
                  <w:tcPr>
                    <w:tcW w:w="1129" w:type="dxa"/>
                  </w:tcPr>
                  <w:p w:rsidR="00994C71" w:rsidRPr="00E04FAA" w:rsidRDefault="00994C71" w:rsidP="00B7772E">
                    <w:pPr>
                      <w:ind w:hanging="66"/>
                      <w:jc w:val="center"/>
                      <w:rPr>
                        <w:color w:val="000000"/>
                        <w:szCs w:val="21"/>
                      </w:rPr>
                    </w:pPr>
                    <w:r w:rsidRPr="00E04FAA">
                      <w:rPr>
                        <w:rFonts w:hint="eastAsia"/>
                        <w:color w:val="000000"/>
                        <w:szCs w:val="21"/>
                      </w:rPr>
                      <w:t>套期工具</w:t>
                    </w:r>
                  </w:p>
                </w:tc>
                <w:tc>
                  <w:tcPr>
                    <w:tcW w:w="1418" w:type="dxa"/>
                    <w:noWrap/>
                    <w:hideMark/>
                  </w:tcPr>
                  <w:p w:rsidR="00994C71" w:rsidRPr="00E04FAA" w:rsidRDefault="00994C71" w:rsidP="00B7772E">
                    <w:pPr>
                      <w:ind w:hanging="66"/>
                      <w:jc w:val="center"/>
                      <w:rPr>
                        <w:rFonts w:cs="Calibri"/>
                        <w:color w:val="000000"/>
                        <w:szCs w:val="21"/>
                      </w:rPr>
                    </w:pPr>
                    <w:r w:rsidRPr="00E04FAA">
                      <w:rPr>
                        <w:rFonts w:hint="eastAsia"/>
                        <w:color w:val="000000"/>
                        <w:szCs w:val="21"/>
                      </w:rPr>
                      <w:t>其他流动资产</w:t>
                    </w:r>
                  </w:p>
                </w:tc>
                <w:tc>
                  <w:tcPr>
                    <w:tcW w:w="1134" w:type="dxa"/>
                    <w:noWrap/>
                    <w:hideMark/>
                  </w:tcPr>
                  <w:p w:rsidR="00994C71" w:rsidRPr="00E04FAA" w:rsidRDefault="00994C71" w:rsidP="00B7772E">
                    <w:pPr>
                      <w:jc w:val="center"/>
                      <w:rPr>
                        <w:rFonts w:cs="Calibri"/>
                        <w:color w:val="000000"/>
                        <w:szCs w:val="21"/>
                      </w:rPr>
                    </w:pPr>
                    <w:r w:rsidRPr="00E04FAA">
                      <w:rPr>
                        <w:rFonts w:cs="Calibri" w:hint="eastAsia"/>
                        <w:color w:val="000000"/>
                        <w:szCs w:val="21"/>
                      </w:rPr>
                      <w:t>公允价值</w:t>
                    </w:r>
                  </w:p>
                </w:tc>
                <w:tc>
                  <w:tcPr>
                    <w:tcW w:w="1282" w:type="dxa"/>
                    <w:noWrap/>
                  </w:tcPr>
                  <w:p w:rsidR="00994C71" w:rsidRPr="00E04FAA" w:rsidRDefault="00994C71" w:rsidP="00B7772E">
                    <w:pPr>
                      <w:ind w:leftChars="-18" w:left="4" w:rightChars="-30" w:right="-63" w:hangingChars="20" w:hanging="42"/>
                      <w:jc w:val="center"/>
                      <w:rPr>
                        <w:rFonts w:cs="Arial"/>
                        <w:color w:val="000000"/>
                        <w:szCs w:val="21"/>
                      </w:rPr>
                    </w:pPr>
                    <w:r w:rsidRPr="00E04FAA">
                      <w:rPr>
                        <w:rFonts w:cs="Arial"/>
                        <w:color w:val="000000"/>
                        <w:szCs w:val="21"/>
                      </w:rPr>
                      <w:t>9,549,542</w:t>
                    </w:r>
                  </w:p>
                </w:tc>
                <w:tc>
                  <w:tcPr>
                    <w:tcW w:w="1202" w:type="dxa"/>
                  </w:tcPr>
                  <w:p w:rsidR="00994C71" w:rsidRPr="00E04FAA" w:rsidRDefault="00994C71" w:rsidP="00B7772E">
                    <w:pPr>
                      <w:ind w:leftChars="-18" w:left="4" w:rightChars="-30" w:right="-63" w:hangingChars="20" w:hanging="42"/>
                      <w:jc w:val="center"/>
                      <w:rPr>
                        <w:rFonts w:cs="Arial"/>
                        <w:color w:val="000000"/>
                        <w:szCs w:val="21"/>
                      </w:rPr>
                    </w:pPr>
                    <w:r w:rsidRPr="00E04FAA">
                      <w:rPr>
                        <w:rFonts w:cs="Calibri" w:hint="eastAsia"/>
                        <w:color w:val="000000"/>
                        <w:szCs w:val="21"/>
                      </w:rPr>
                      <w:t>衍生金融资产</w:t>
                    </w:r>
                  </w:p>
                </w:tc>
                <w:tc>
                  <w:tcPr>
                    <w:tcW w:w="1133" w:type="dxa"/>
                  </w:tcPr>
                  <w:p w:rsidR="00994C71" w:rsidRPr="00E04FAA" w:rsidRDefault="00994C71" w:rsidP="00B7772E">
                    <w:pPr>
                      <w:ind w:leftChars="-18" w:left="4" w:rightChars="-30" w:right="-63" w:hangingChars="20" w:hanging="42"/>
                      <w:jc w:val="center"/>
                      <w:rPr>
                        <w:rFonts w:cs="Arial"/>
                        <w:color w:val="000000"/>
                        <w:szCs w:val="21"/>
                      </w:rPr>
                    </w:pPr>
                    <w:r w:rsidRPr="00E04FAA">
                      <w:rPr>
                        <w:rFonts w:cs="Calibri" w:hint="eastAsia"/>
                        <w:color w:val="000000"/>
                        <w:szCs w:val="21"/>
                      </w:rPr>
                      <w:t>公允价值</w:t>
                    </w:r>
                  </w:p>
                </w:tc>
                <w:tc>
                  <w:tcPr>
                    <w:tcW w:w="1543" w:type="dxa"/>
                  </w:tcPr>
                  <w:p w:rsidR="00994C71" w:rsidRPr="00E04FAA" w:rsidRDefault="00994C71" w:rsidP="00B7772E">
                    <w:pPr>
                      <w:ind w:leftChars="-18" w:left="4" w:rightChars="-30" w:right="-63" w:hangingChars="20" w:hanging="42"/>
                      <w:jc w:val="center"/>
                      <w:rPr>
                        <w:rFonts w:cs="Arial"/>
                        <w:color w:val="000000" w:themeColor="text1"/>
                        <w:szCs w:val="21"/>
                      </w:rPr>
                    </w:pPr>
                    <w:r w:rsidRPr="00E04FAA">
                      <w:rPr>
                        <w:rFonts w:cs="Arial"/>
                        <w:color w:val="000000" w:themeColor="text1"/>
                        <w:szCs w:val="21"/>
                      </w:rPr>
                      <w:t>9,549,542</w:t>
                    </w:r>
                  </w:p>
                </w:tc>
              </w:tr>
              <w:tr w:rsidR="00994C71" w:rsidRPr="00E04FAA" w:rsidTr="00B7772E">
                <w:trPr>
                  <w:gridAfter w:val="1"/>
                  <w:wAfter w:w="18" w:type="dxa"/>
                  <w:trHeight w:val="300"/>
                  <w:jc w:val="center"/>
                </w:trPr>
                <w:tc>
                  <w:tcPr>
                    <w:tcW w:w="1129" w:type="dxa"/>
                  </w:tcPr>
                  <w:p w:rsidR="00994C71" w:rsidRPr="00E04FAA" w:rsidRDefault="00994C71" w:rsidP="00B7772E">
                    <w:pPr>
                      <w:ind w:hanging="66"/>
                      <w:jc w:val="center"/>
                      <w:rPr>
                        <w:color w:val="000000"/>
                        <w:szCs w:val="21"/>
                      </w:rPr>
                    </w:pPr>
                    <w:r w:rsidRPr="00E04FAA">
                      <w:rPr>
                        <w:rFonts w:hint="eastAsia"/>
                        <w:color w:val="000000"/>
                        <w:szCs w:val="21"/>
                      </w:rPr>
                      <w:t>应收票据</w:t>
                    </w:r>
                  </w:p>
                </w:tc>
                <w:tc>
                  <w:tcPr>
                    <w:tcW w:w="1418" w:type="dxa"/>
                    <w:noWrap/>
                  </w:tcPr>
                  <w:p w:rsidR="00994C71" w:rsidRPr="00E04FAA" w:rsidRDefault="00994C71" w:rsidP="00B7772E">
                    <w:pPr>
                      <w:ind w:hanging="66"/>
                      <w:jc w:val="center"/>
                      <w:rPr>
                        <w:color w:val="000000"/>
                        <w:szCs w:val="21"/>
                      </w:rPr>
                    </w:pPr>
                    <w:r w:rsidRPr="00E04FAA">
                      <w:rPr>
                        <w:rFonts w:hint="eastAsia"/>
                        <w:color w:val="000000"/>
                        <w:szCs w:val="21"/>
                      </w:rPr>
                      <w:t>应收票据</w:t>
                    </w:r>
                  </w:p>
                </w:tc>
                <w:tc>
                  <w:tcPr>
                    <w:tcW w:w="1134" w:type="dxa"/>
                    <w:noWrap/>
                  </w:tcPr>
                  <w:p w:rsidR="00994C71" w:rsidRPr="00E04FAA" w:rsidRDefault="00994C71" w:rsidP="00B7772E">
                    <w:pPr>
                      <w:jc w:val="center"/>
                      <w:rPr>
                        <w:rFonts w:cs="Calibri"/>
                        <w:color w:val="000000"/>
                        <w:szCs w:val="21"/>
                      </w:rPr>
                    </w:pPr>
                    <w:r w:rsidRPr="00E04FAA">
                      <w:rPr>
                        <w:rFonts w:cs="Calibri" w:hint="eastAsia"/>
                        <w:color w:val="000000"/>
                        <w:szCs w:val="21"/>
                      </w:rPr>
                      <w:t>摊余成本</w:t>
                    </w:r>
                  </w:p>
                </w:tc>
                <w:tc>
                  <w:tcPr>
                    <w:tcW w:w="1282" w:type="dxa"/>
                    <w:noWrap/>
                  </w:tcPr>
                  <w:p w:rsidR="00994C71" w:rsidRPr="00E04FAA" w:rsidRDefault="00994C71" w:rsidP="00B7772E">
                    <w:pPr>
                      <w:ind w:leftChars="-18" w:left="4" w:rightChars="-30" w:right="-63" w:hangingChars="20" w:hanging="42"/>
                      <w:jc w:val="center"/>
                      <w:rPr>
                        <w:rFonts w:cs="Arial"/>
                        <w:color w:val="000000"/>
                        <w:szCs w:val="21"/>
                      </w:rPr>
                    </w:pPr>
                    <w:r w:rsidRPr="00E04FAA">
                      <w:rPr>
                        <w:rFonts w:cs="Arial"/>
                        <w:color w:val="000000"/>
                        <w:szCs w:val="21"/>
                      </w:rPr>
                      <w:t>115,302,348</w:t>
                    </w:r>
                  </w:p>
                </w:tc>
                <w:tc>
                  <w:tcPr>
                    <w:tcW w:w="1202" w:type="dxa"/>
                  </w:tcPr>
                  <w:p w:rsidR="00994C71" w:rsidRPr="00E04FAA" w:rsidRDefault="00994C71" w:rsidP="00B7772E">
                    <w:pPr>
                      <w:ind w:leftChars="-18" w:left="4" w:rightChars="-30" w:right="-63" w:hangingChars="20" w:hanging="42"/>
                      <w:jc w:val="center"/>
                      <w:rPr>
                        <w:color w:val="000000"/>
                        <w:szCs w:val="21"/>
                      </w:rPr>
                    </w:pPr>
                    <w:r w:rsidRPr="00E04FAA">
                      <w:rPr>
                        <w:rFonts w:hint="eastAsia"/>
                        <w:color w:val="000000"/>
                        <w:szCs w:val="21"/>
                      </w:rPr>
                      <w:t>应收票据</w:t>
                    </w:r>
                  </w:p>
                </w:tc>
                <w:tc>
                  <w:tcPr>
                    <w:tcW w:w="1133" w:type="dxa"/>
                  </w:tcPr>
                  <w:p w:rsidR="00994C71" w:rsidRPr="00E04FAA" w:rsidRDefault="00994C71" w:rsidP="00B7772E">
                    <w:pPr>
                      <w:ind w:leftChars="-18" w:left="4" w:rightChars="-30" w:right="-63" w:hangingChars="20" w:hanging="42"/>
                      <w:jc w:val="center"/>
                      <w:rPr>
                        <w:rFonts w:cs="Calibri"/>
                        <w:color w:val="000000"/>
                        <w:szCs w:val="21"/>
                      </w:rPr>
                    </w:pPr>
                    <w:r w:rsidRPr="00E04FAA">
                      <w:rPr>
                        <w:rFonts w:cs="Calibri" w:hint="eastAsia"/>
                        <w:color w:val="000000"/>
                        <w:szCs w:val="21"/>
                      </w:rPr>
                      <w:t>摊余成本</w:t>
                    </w:r>
                  </w:p>
                </w:tc>
                <w:tc>
                  <w:tcPr>
                    <w:tcW w:w="1543" w:type="dxa"/>
                  </w:tcPr>
                  <w:p w:rsidR="00994C71" w:rsidRPr="00E04FAA" w:rsidRDefault="00994C71" w:rsidP="00B7772E">
                    <w:pPr>
                      <w:ind w:leftChars="-18" w:left="4" w:rightChars="-30" w:right="-63" w:hangingChars="20" w:hanging="42"/>
                      <w:jc w:val="center"/>
                      <w:rPr>
                        <w:rFonts w:cs="Arial"/>
                        <w:color w:val="000000" w:themeColor="text1"/>
                        <w:szCs w:val="21"/>
                      </w:rPr>
                    </w:pPr>
                    <w:r w:rsidRPr="00E04FAA">
                      <w:rPr>
                        <w:rFonts w:cs="Arial"/>
                        <w:color w:val="000000" w:themeColor="text1"/>
                        <w:szCs w:val="21"/>
                      </w:rPr>
                      <w:t>115,009,862</w:t>
                    </w:r>
                  </w:p>
                </w:tc>
              </w:tr>
              <w:tr w:rsidR="00994C71" w:rsidRPr="00E04FAA" w:rsidTr="00B7772E">
                <w:trPr>
                  <w:gridAfter w:val="1"/>
                  <w:wAfter w:w="18" w:type="dxa"/>
                  <w:trHeight w:val="300"/>
                  <w:jc w:val="center"/>
                </w:trPr>
                <w:tc>
                  <w:tcPr>
                    <w:tcW w:w="1129" w:type="dxa"/>
                  </w:tcPr>
                  <w:p w:rsidR="00994C71" w:rsidRPr="00E04FAA" w:rsidRDefault="00994C71" w:rsidP="00B7772E">
                    <w:pPr>
                      <w:ind w:hanging="66"/>
                      <w:jc w:val="center"/>
                      <w:rPr>
                        <w:color w:val="000000"/>
                        <w:szCs w:val="21"/>
                      </w:rPr>
                    </w:pPr>
                    <w:r w:rsidRPr="00E04FAA">
                      <w:rPr>
                        <w:rFonts w:hint="eastAsia"/>
                        <w:color w:val="000000"/>
                        <w:szCs w:val="21"/>
                      </w:rPr>
                      <w:t>应收账款</w:t>
                    </w:r>
                  </w:p>
                </w:tc>
                <w:tc>
                  <w:tcPr>
                    <w:tcW w:w="1418" w:type="dxa"/>
                    <w:noWrap/>
                  </w:tcPr>
                  <w:p w:rsidR="00994C71" w:rsidRPr="00E04FAA" w:rsidRDefault="00994C71" w:rsidP="00B7772E">
                    <w:pPr>
                      <w:ind w:hanging="66"/>
                      <w:jc w:val="center"/>
                      <w:rPr>
                        <w:color w:val="000000"/>
                        <w:szCs w:val="21"/>
                      </w:rPr>
                    </w:pPr>
                    <w:r w:rsidRPr="00E04FAA">
                      <w:rPr>
                        <w:rFonts w:hint="eastAsia"/>
                        <w:color w:val="000000"/>
                        <w:szCs w:val="21"/>
                      </w:rPr>
                      <w:t>应收账款</w:t>
                    </w:r>
                  </w:p>
                </w:tc>
                <w:tc>
                  <w:tcPr>
                    <w:tcW w:w="1134" w:type="dxa"/>
                    <w:noWrap/>
                  </w:tcPr>
                  <w:p w:rsidR="00994C71" w:rsidRPr="00E04FAA" w:rsidRDefault="00994C71" w:rsidP="00B7772E">
                    <w:pPr>
                      <w:jc w:val="center"/>
                      <w:rPr>
                        <w:rFonts w:cs="Calibri"/>
                        <w:color w:val="000000"/>
                        <w:szCs w:val="21"/>
                      </w:rPr>
                    </w:pPr>
                    <w:r w:rsidRPr="00E04FAA">
                      <w:rPr>
                        <w:rFonts w:cs="Calibri" w:hint="eastAsia"/>
                        <w:color w:val="000000"/>
                        <w:szCs w:val="21"/>
                      </w:rPr>
                      <w:t>摊余成本</w:t>
                    </w:r>
                  </w:p>
                </w:tc>
                <w:tc>
                  <w:tcPr>
                    <w:tcW w:w="1282" w:type="dxa"/>
                    <w:noWrap/>
                  </w:tcPr>
                  <w:p w:rsidR="00994C71" w:rsidRPr="00E04FAA" w:rsidRDefault="00994C71" w:rsidP="00B7772E">
                    <w:pPr>
                      <w:ind w:leftChars="-18" w:left="4" w:rightChars="-30" w:right="-63" w:hangingChars="20" w:hanging="42"/>
                      <w:jc w:val="center"/>
                      <w:rPr>
                        <w:rFonts w:cs="Arial"/>
                        <w:color w:val="000000"/>
                        <w:szCs w:val="21"/>
                      </w:rPr>
                    </w:pPr>
                    <w:r w:rsidRPr="00E04FAA">
                      <w:rPr>
                        <w:rFonts w:cs="Arial"/>
                        <w:color w:val="000000"/>
                        <w:szCs w:val="21"/>
                      </w:rPr>
                      <w:t>1,389,930,749</w:t>
                    </w:r>
                  </w:p>
                </w:tc>
                <w:tc>
                  <w:tcPr>
                    <w:tcW w:w="1202" w:type="dxa"/>
                  </w:tcPr>
                  <w:p w:rsidR="00994C71" w:rsidRPr="00E04FAA" w:rsidRDefault="00994C71" w:rsidP="00B7772E">
                    <w:pPr>
                      <w:ind w:leftChars="-18" w:left="4" w:rightChars="-30" w:right="-63" w:hangingChars="20" w:hanging="42"/>
                      <w:jc w:val="center"/>
                      <w:rPr>
                        <w:color w:val="000000"/>
                        <w:szCs w:val="21"/>
                      </w:rPr>
                    </w:pPr>
                    <w:r w:rsidRPr="00E04FAA">
                      <w:rPr>
                        <w:rFonts w:hint="eastAsia"/>
                        <w:color w:val="000000"/>
                        <w:szCs w:val="21"/>
                      </w:rPr>
                      <w:t>应收账款</w:t>
                    </w:r>
                  </w:p>
                </w:tc>
                <w:tc>
                  <w:tcPr>
                    <w:tcW w:w="1133" w:type="dxa"/>
                  </w:tcPr>
                  <w:p w:rsidR="00994C71" w:rsidRPr="00E04FAA" w:rsidRDefault="00994C71" w:rsidP="00B7772E">
                    <w:pPr>
                      <w:ind w:leftChars="-18" w:left="4" w:rightChars="-30" w:right="-63" w:hangingChars="20" w:hanging="42"/>
                      <w:jc w:val="center"/>
                      <w:rPr>
                        <w:rFonts w:cs="Calibri"/>
                        <w:color w:val="000000"/>
                        <w:szCs w:val="21"/>
                      </w:rPr>
                    </w:pPr>
                    <w:r w:rsidRPr="00E04FAA">
                      <w:rPr>
                        <w:rFonts w:cs="Calibri" w:hint="eastAsia"/>
                        <w:color w:val="000000"/>
                        <w:szCs w:val="21"/>
                      </w:rPr>
                      <w:t>摊余成本</w:t>
                    </w:r>
                  </w:p>
                </w:tc>
                <w:tc>
                  <w:tcPr>
                    <w:tcW w:w="1543" w:type="dxa"/>
                  </w:tcPr>
                  <w:p w:rsidR="00994C71" w:rsidRPr="00E04FAA" w:rsidRDefault="00994C71" w:rsidP="00B7772E">
                    <w:pPr>
                      <w:ind w:leftChars="-18" w:left="4" w:rightChars="-30" w:right="-63" w:hangingChars="20" w:hanging="42"/>
                      <w:jc w:val="center"/>
                      <w:rPr>
                        <w:rFonts w:cs="Arial"/>
                        <w:color w:val="000000" w:themeColor="text1"/>
                        <w:szCs w:val="21"/>
                      </w:rPr>
                    </w:pPr>
                    <w:r w:rsidRPr="00E04FAA">
                      <w:rPr>
                        <w:rFonts w:cs="Arial"/>
                        <w:color w:val="000000" w:themeColor="text1"/>
                        <w:szCs w:val="21"/>
                      </w:rPr>
                      <w:t>1,323,414,467</w:t>
                    </w:r>
                  </w:p>
                </w:tc>
              </w:tr>
              <w:tr w:rsidR="00994C71" w:rsidRPr="00E04FAA" w:rsidTr="00B7772E">
                <w:trPr>
                  <w:gridAfter w:val="1"/>
                  <w:wAfter w:w="18" w:type="dxa"/>
                  <w:trHeight w:val="300"/>
                  <w:jc w:val="center"/>
                </w:trPr>
                <w:tc>
                  <w:tcPr>
                    <w:tcW w:w="1129" w:type="dxa"/>
                  </w:tcPr>
                  <w:p w:rsidR="00994C71" w:rsidRPr="00E04FAA" w:rsidRDefault="00994C71" w:rsidP="00B7772E">
                    <w:pPr>
                      <w:ind w:hanging="66"/>
                      <w:jc w:val="center"/>
                      <w:rPr>
                        <w:color w:val="000000"/>
                        <w:szCs w:val="21"/>
                      </w:rPr>
                    </w:pPr>
                    <w:r w:rsidRPr="00E04FAA">
                      <w:rPr>
                        <w:rFonts w:hint="eastAsia"/>
                        <w:color w:val="000000"/>
                        <w:szCs w:val="21"/>
                      </w:rPr>
                      <w:t>其他应收款</w:t>
                    </w:r>
                  </w:p>
                </w:tc>
                <w:tc>
                  <w:tcPr>
                    <w:tcW w:w="1418" w:type="dxa"/>
                    <w:noWrap/>
                  </w:tcPr>
                  <w:p w:rsidR="00994C71" w:rsidRPr="00E04FAA" w:rsidRDefault="00994C71" w:rsidP="00B7772E">
                    <w:pPr>
                      <w:ind w:hanging="66"/>
                      <w:jc w:val="center"/>
                      <w:rPr>
                        <w:color w:val="000000"/>
                        <w:szCs w:val="21"/>
                      </w:rPr>
                    </w:pPr>
                    <w:r w:rsidRPr="00E04FAA">
                      <w:rPr>
                        <w:rFonts w:hint="eastAsia"/>
                        <w:color w:val="000000"/>
                        <w:szCs w:val="21"/>
                      </w:rPr>
                      <w:t>其他应收款</w:t>
                    </w:r>
                  </w:p>
                </w:tc>
                <w:tc>
                  <w:tcPr>
                    <w:tcW w:w="1134" w:type="dxa"/>
                    <w:noWrap/>
                  </w:tcPr>
                  <w:p w:rsidR="00994C71" w:rsidRPr="00E04FAA" w:rsidRDefault="00994C71" w:rsidP="00B7772E">
                    <w:pPr>
                      <w:ind w:left="172" w:hanging="172"/>
                      <w:jc w:val="center"/>
                      <w:rPr>
                        <w:rFonts w:cs="Calibri"/>
                        <w:color w:val="000000"/>
                        <w:szCs w:val="21"/>
                      </w:rPr>
                    </w:pPr>
                    <w:r w:rsidRPr="00E04FAA">
                      <w:rPr>
                        <w:rFonts w:cs="Calibri" w:hint="eastAsia"/>
                        <w:color w:val="000000"/>
                        <w:szCs w:val="21"/>
                      </w:rPr>
                      <w:t>摊余成本</w:t>
                    </w:r>
                  </w:p>
                </w:tc>
                <w:tc>
                  <w:tcPr>
                    <w:tcW w:w="1282" w:type="dxa"/>
                    <w:noWrap/>
                  </w:tcPr>
                  <w:p w:rsidR="00994C71" w:rsidRPr="00E04FAA" w:rsidRDefault="00994C71" w:rsidP="00B7772E">
                    <w:pPr>
                      <w:ind w:rightChars="-30" w:right="-63"/>
                      <w:jc w:val="center"/>
                      <w:rPr>
                        <w:rFonts w:cs="Arial"/>
                        <w:color w:val="000000"/>
                        <w:szCs w:val="21"/>
                      </w:rPr>
                    </w:pPr>
                    <w:r w:rsidRPr="00E04FAA">
                      <w:rPr>
                        <w:rFonts w:cs="Arial"/>
                        <w:color w:val="000000"/>
                        <w:szCs w:val="21"/>
                      </w:rPr>
                      <w:t>390,482,683</w:t>
                    </w:r>
                  </w:p>
                </w:tc>
                <w:tc>
                  <w:tcPr>
                    <w:tcW w:w="1202" w:type="dxa"/>
                  </w:tcPr>
                  <w:p w:rsidR="00994C71" w:rsidRPr="00E04FAA" w:rsidRDefault="00994C71" w:rsidP="00B7772E">
                    <w:pPr>
                      <w:ind w:rightChars="-30" w:right="-63"/>
                      <w:jc w:val="center"/>
                      <w:rPr>
                        <w:rFonts w:cs="Arial"/>
                        <w:color w:val="000000"/>
                        <w:szCs w:val="21"/>
                      </w:rPr>
                    </w:pPr>
                    <w:r w:rsidRPr="00E04FAA">
                      <w:rPr>
                        <w:rFonts w:hint="eastAsia"/>
                        <w:color w:val="000000"/>
                        <w:szCs w:val="21"/>
                      </w:rPr>
                      <w:t>其他应收款</w:t>
                    </w:r>
                  </w:p>
                </w:tc>
                <w:tc>
                  <w:tcPr>
                    <w:tcW w:w="1133" w:type="dxa"/>
                  </w:tcPr>
                  <w:p w:rsidR="00994C71" w:rsidRPr="00E04FAA" w:rsidRDefault="00994C71" w:rsidP="00B7772E">
                    <w:pPr>
                      <w:ind w:rightChars="-30" w:right="-63"/>
                      <w:jc w:val="center"/>
                      <w:rPr>
                        <w:rFonts w:cs="Arial"/>
                        <w:color w:val="000000"/>
                        <w:szCs w:val="21"/>
                      </w:rPr>
                    </w:pPr>
                    <w:r w:rsidRPr="00E04FAA">
                      <w:rPr>
                        <w:rFonts w:cs="Calibri" w:hint="eastAsia"/>
                        <w:color w:val="000000"/>
                        <w:szCs w:val="21"/>
                      </w:rPr>
                      <w:t>摊余成本</w:t>
                    </w:r>
                  </w:p>
                </w:tc>
                <w:tc>
                  <w:tcPr>
                    <w:tcW w:w="1543" w:type="dxa"/>
                  </w:tcPr>
                  <w:p w:rsidR="00994C71" w:rsidRPr="00E04FAA" w:rsidRDefault="00994C71" w:rsidP="00B7772E">
                    <w:pPr>
                      <w:ind w:rightChars="-30" w:right="-63"/>
                      <w:jc w:val="center"/>
                      <w:rPr>
                        <w:rFonts w:cs="Arial"/>
                        <w:color w:val="000000" w:themeColor="text1"/>
                        <w:szCs w:val="21"/>
                      </w:rPr>
                    </w:pPr>
                    <w:r w:rsidRPr="00E04FAA">
                      <w:rPr>
                        <w:rFonts w:cs="Arial"/>
                        <w:color w:val="000000" w:themeColor="text1"/>
                        <w:szCs w:val="21"/>
                      </w:rPr>
                      <w:t>392,017,159</w:t>
                    </w:r>
                  </w:p>
                </w:tc>
              </w:tr>
              <w:tr w:rsidR="00994C71" w:rsidRPr="00E04FAA" w:rsidTr="00B7772E">
                <w:trPr>
                  <w:gridAfter w:val="1"/>
                  <w:wAfter w:w="18" w:type="dxa"/>
                  <w:trHeight w:val="593"/>
                  <w:jc w:val="center"/>
                </w:trPr>
                <w:tc>
                  <w:tcPr>
                    <w:tcW w:w="1129" w:type="dxa"/>
                  </w:tcPr>
                  <w:p w:rsidR="00994C71" w:rsidRPr="00E04FAA" w:rsidRDefault="00994C71" w:rsidP="00B7772E">
                    <w:pPr>
                      <w:ind w:hanging="66"/>
                      <w:jc w:val="center"/>
                      <w:rPr>
                        <w:rFonts w:cs="Arial"/>
                        <w:snapToGrid w:val="0"/>
                        <w:szCs w:val="21"/>
                      </w:rPr>
                    </w:pPr>
                    <w:r w:rsidRPr="00E04FAA">
                      <w:rPr>
                        <w:rFonts w:hint="eastAsia"/>
                        <w:color w:val="000000"/>
                        <w:szCs w:val="21"/>
                      </w:rPr>
                      <w:t>股权投资</w:t>
                    </w:r>
                  </w:p>
                </w:tc>
                <w:tc>
                  <w:tcPr>
                    <w:tcW w:w="1418" w:type="dxa"/>
                    <w:noWrap/>
                    <w:hideMark/>
                  </w:tcPr>
                  <w:p w:rsidR="00994C71" w:rsidRPr="00E04FAA" w:rsidRDefault="00994C71" w:rsidP="00B7772E">
                    <w:pPr>
                      <w:ind w:hanging="66"/>
                      <w:jc w:val="center"/>
                      <w:rPr>
                        <w:rFonts w:cs="Calibri"/>
                        <w:color w:val="000000"/>
                        <w:szCs w:val="21"/>
                      </w:rPr>
                    </w:pPr>
                    <w:r w:rsidRPr="00E04FAA">
                      <w:rPr>
                        <w:rFonts w:cs="Arial" w:hint="eastAsia"/>
                        <w:snapToGrid w:val="0"/>
                        <w:szCs w:val="21"/>
                      </w:rPr>
                      <w:t>可供出售金融资产</w:t>
                    </w:r>
                  </w:p>
                </w:tc>
                <w:tc>
                  <w:tcPr>
                    <w:tcW w:w="1134" w:type="dxa"/>
                    <w:noWrap/>
                    <w:hideMark/>
                  </w:tcPr>
                  <w:p w:rsidR="00994C71" w:rsidRPr="00E04FAA" w:rsidRDefault="00994C71" w:rsidP="00B7772E">
                    <w:pPr>
                      <w:ind w:hanging="66"/>
                      <w:jc w:val="center"/>
                      <w:rPr>
                        <w:rFonts w:cs="Calibri"/>
                        <w:color w:val="000000"/>
                        <w:szCs w:val="21"/>
                      </w:rPr>
                    </w:pPr>
                    <w:r w:rsidRPr="004D693D">
                      <w:rPr>
                        <w:rFonts w:cs="Arial" w:hint="eastAsia"/>
                        <w:snapToGrid w:val="0"/>
                        <w:szCs w:val="21"/>
                      </w:rPr>
                      <w:t>以成本计量</w:t>
                    </w:r>
                  </w:p>
                </w:tc>
                <w:tc>
                  <w:tcPr>
                    <w:tcW w:w="1282" w:type="dxa"/>
                    <w:noWrap/>
                  </w:tcPr>
                  <w:p w:rsidR="00994C71" w:rsidRPr="00E04FAA" w:rsidRDefault="00994C71" w:rsidP="00B7772E">
                    <w:pPr>
                      <w:ind w:rightChars="-30" w:right="-63"/>
                      <w:jc w:val="center"/>
                      <w:rPr>
                        <w:rFonts w:cs="Arial"/>
                        <w:color w:val="000000"/>
                        <w:szCs w:val="21"/>
                      </w:rPr>
                    </w:pPr>
                    <w:r w:rsidRPr="00E04FAA">
                      <w:rPr>
                        <w:rFonts w:cs="Arial"/>
                        <w:color w:val="000000"/>
                        <w:szCs w:val="21"/>
                      </w:rPr>
                      <w:t>509,367,709</w:t>
                    </w:r>
                  </w:p>
                </w:tc>
                <w:tc>
                  <w:tcPr>
                    <w:tcW w:w="1202" w:type="dxa"/>
                  </w:tcPr>
                  <w:p w:rsidR="00994C71" w:rsidRPr="00E04FAA" w:rsidRDefault="00994C71" w:rsidP="00B7772E">
                    <w:pPr>
                      <w:ind w:rightChars="-30" w:right="-63"/>
                      <w:jc w:val="center"/>
                      <w:rPr>
                        <w:rFonts w:cs="Arial"/>
                        <w:color w:val="000000"/>
                        <w:szCs w:val="21"/>
                      </w:rPr>
                    </w:pPr>
                    <w:r w:rsidRPr="00E04FAA">
                      <w:rPr>
                        <w:rFonts w:cs="Arial" w:hint="eastAsia"/>
                        <w:snapToGrid w:val="0"/>
                        <w:szCs w:val="21"/>
                      </w:rPr>
                      <w:t>其他非流动金融资产</w:t>
                    </w:r>
                  </w:p>
                </w:tc>
                <w:tc>
                  <w:tcPr>
                    <w:tcW w:w="1133" w:type="dxa"/>
                  </w:tcPr>
                  <w:p w:rsidR="00994C71" w:rsidRPr="00E04FAA" w:rsidRDefault="00994C71" w:rsidP="00B7772E">
                    <w:pPr>
                      <w:ind w:rightChars="-30" w:right="-63"/>
                      <w:jc w:val="center"/>
                      <w:rPr>
                        <w:rFonts w:cs="Arial"/>
                        <w:color w:val="000000"/>
                        <w:szCs w:val="21"/>
                      </w:rPr>
                    </w:pPr>
                    <w:r w:rsidRPr="00E04FAA">
                      <w:rPr>
                        <w:rFonts w:cs="Arial" w:hint="eastAsia"/>
                        <w:color w:val="000000"/>
                        <w:szCs w:val="21"/>
                      </w:rPr>
                      <w:t>以公允价值计量且其变动计入当期损益</w:t>
                    </w:r>
                  </w:p>
                </w:tc>
                <w:tc>
                  <w:tcPr>
                    <w:tcW w:w="1543" w:type="dxa"/>
                  </w:tcPr>
                  <w:p w:rsidR="00994C71" w:rsidRPr="00E04FAA" w:rsidRDefault="00994C71" w:rsidP="00B7772E">
                    <w:pPr>
                      <w:ind w:rightChars="-30" w:right="-63"/>
                      <w:jc w:val="center"/>
                      <w:rPr>
                        <w:rFonts w:cs="Arial"/>
                        <w:color w:val="000000" w:themeColor="text1"/>
                        <w:szCs w:val="21"/>
                      </w:rPr>
                    </w:pPr>
                    <w:r w:rsidRPr="00E04FAA">
                      <w:rPr>
                        <w:rFonts w:cs="Arial"/>
                        <w:color w:val="000000" w:themeColor="text1"/>
                        <w:szCs w:val="21"/>
                      </w:rPr>
                      <w:t>677,037,200</w:t>
                    </w:r>
                  </w:p>
                </w:tc>
              </w:tr>
              <w:tr w:rsidR="00994C71" w:rsidRPr="00E04FAA" w:rsidTr="00B7772E">
                <w:trPr>
                  <w:gridAfter w:val="1"/>
                  <w:wAfter w:w="18" w:type="dxa"/>
                  <w:trHeight w:val="772"/>
                  <w:jc w:val="center"/>
                </w:trPr>
                <w:tc>
                  <w:tcPr>
                    <w:tcW w:w="1129" w:type="dxa"/>
                  </w:tcPr>
                  <w:p w:rsidR="00994C71" w:rsidRPr="00E04FAA" w:rsidRDefault="00994C71" w:rsidP="00B7772E">
                    <w:pPr>
                      <w:ind w:hanging="66"/>
                      <w:jc w:val="center"/>
                      <w:rPr>
                        <w:rFonts w:cs="Arial"/>
                        <w:snapToGrid w:val="0"/>
                        <w:szCs w:val="21"/>
                      </w:rPr>
                    </w:pPr>
                    <w:r w:rsidRPr="00E04FAA">
                      <w:rPr>
                        <w:rFonts w:hint="eastAsia"/>
                        <w:color w:val="000000"/>
                        <w:szCs w:val="21"/>
                      </w:rPr>
                      <w:t>股权投资</w:t>
                    </w:r>
                  </w:p>
                </w:tc>
                <w:tc>
                  <w:tcPr>
                    <w:tcW w:w="1418" w:type="dxa"/>
                    <w:noWrap/>
                  </w:tcPr>
                  <w:p w:rsidR="00994C71" w:rsidRPr="00E04FAA" w:rsidRDefault="00994C71" w:rsidP="00B7772E">
                    <w:pPr>
                      <w:ind w:hanging="66"/>
                      <w:jc w:val="center"/>
                      <w:rPr>
                        <w:rFonts w:cs="Arial"/>
                        <w:snapToGrid w:val="0"/>
                        <w:szCs w:val="21"/>
                      </w:rPr>
                    </w:pPr>
                    <w:r w:rsidRPr="00E04FAA">
                      <w:rPr>
                        <w:rFonts w:cs="Arial" w:hint="eastAsia"/>
                        <w:snapToGrid w:val="0"/>
                        <w:szCs w:val="21"/>
                      </w:rPr>
                      <w:t>可供出售金融资产</w:t>
                    </w:r>
                  </w:p>
                </w:tc>
                <w:tc>
                  <w:tcPr>
                    <w:tcW w:w="1134" w:type="dxa"/>
                    <w:noWrap/>
                  </w:tcPr>
                  <w:p w:rsidR="00994C71" w:rsidRPr="00E04FAA" w:rsidRDefault="00994C71" w:rsidP="00B7772E">
                    <w:pPr>
                      <w:jc w:val="center"/>
                      <w:rPr>
                        <w:rFonts w:cs="Calibri"/>
                        <w:color w:val="000000"/>
                        <w:szCs w:val="21"/>
                      </w:rPr>
                    </w:pPr>
                    <w:r w:rsidRPr="00E04FAA">
                      <w:rPr>
                        <w:rFonts w:cs="Calibri" w:hint="eastAsia"/>
                        <w:color w:val="000000"/>
                        <w:szCs w:val="21"/>
                      </w:rPr>
                      <w:t>以公允价值计量且其变动计</w:t>
                    </w:r>
                    <w:r w:rsidRPr="00E04FAA">
                      <w:rPr>
                        <w:rFonts w:cs="Calibri" w:hint="eastAsia"/>
                        <w:color w:val="000000"/>
                        <w:szCs w:val="21"/>
                      </w:rPr>
                      <w:lastRenderedPageBreak/>
                      <w:t>入其他综合收益</w:t>
                    </w:r>
                  </w:p>
                </w:tc>
                <w:tc>
                  <w:tcPr>
                    <w:tcW w:w="1282" w:type="dxa"/>
                    <w:noWrap/>
                  </w:tcPr>
                  <w:p w:rsidR="00994C71" w:rsidRPr="00E04FAA" w:rsidRDefault="00994C71" w:rsidP="00B7772E">
                    <w:pPr>
                      <w:ind w:rightChars="-30" w:right="-63"/>
                      <w:jc w:val="center"/>
                      <w:rPr>
                        <w:rFonts w:cs="Arial"/>
                        <w:color w:val="000000"/>
                        <w:szCs w:val="21"/>
                      </w:rPr>
                    </w:pPr>
                    <w:r w:rsidRPr="00E04FAA">
                      <w:rPr>
                        <w:rFonts w:cs="Arial"/>
                        <w:color w:val="000000"/>
                        <w:szCs w:val="21"/>
                      </w:rPr>
                      <w:lastRenderedPageBreak/>
                      <w:t>167,713,557</w:t>
                    </w:r>
                  </w:p>
                </w:tc>
                <w:tc>
                  <w:tcPr>
                    <w:tcW w:w="1202" w:type="dxa"/>
                  </w:tcPr>
                  <w:p w:rsidR="00994C71" w:rsidRPr="00E04FAA" w:rsidRDefault="00994C71" w:rsidP="00B7772E">
                    <w:pPr>
                      <w:ind w:rightChars="-30" w:right="-63"/>
                      <w:jc w:val="center"/>
                      <w:rPr>
                        <w:rFonts w:cs="Arial"/>
                        <w:color w:val="000000"/>
                        <w:szCs w:val="21"/>
                      </w:rPr>
                    </w:pPr>
                    <w:r w:rsidRPr="00E04FAA">
                      <w:rPr>
                        <w:rFonts w:cs="Arial" w:hint="eastAsia"/>
                        <w:snapToGrid w:val="0"/>
                        <w:szCs w:val="21"/>
                      </w:rPr>
                      <w:t>其他非流动金融资产</w:t>
                    </w:r>
                  </w:p>
                </w:tc>
                <w:tc>
                  <w:tcPr>
                    <w:tcW w:w="1133" w:type="dxa"/>
                  </w:tcPr>
                  <w:p w:rsidR="00994C71" w:rsidRPr="00E04FAA" w:rsidRDefault="00994C71" w:rsidP="00B7772E">
                    <w:pPr>
                      <w:ind w:rightChars="-30" w:right="-63"/>
                      <w:jc w:val="center"/>
                      <w:rPr>
                        <w:rFonts w:cs="Arial"/>
                        <w:color w:val="000000"/>
                        <w:szCs w:val="21"/>
                      </w:rPr>
                    </w:pPr>
                    <w:r w:rsidRPr="00E04FAA">
                      <w:rPr>
                        <w:rFonts w:cs="Arial" w:hint="eastAsia"/>
                        <w:color w:val="000000"/>
                        <w:szCs w:val="21"/>
                      </w:rPr>
                      <w:t>以公允价值计量且其变动计</w:t>
                    </w:r>
                    <w:r w:rsidRPr="00E04FAA">
                      <w:rPr>
                        <w:rFonts w:cs="Arial" w:hint="eastAsia"/>
                        <w:color w:val="000000"/>
                        <w:szCs w:val="21"/>
                      </w:rPr>
                      <w:lastRenderedPageBreak/>
                      <w:t>入当期损益</w:t>
                    </w:r>
                  </w:p>
                </w:tc>
                <w:tc>
                  <w:tcPr>
                    <w:tcW w:w="1543" w:type="dxa"/>
                  </w:tcPr>
                  <w:p w:rsidR="00994C71" w:rsidRPr="00E04FAA" w:rsidRDefault="00994C71" w:rsidP="00B7772E">
                    <w:pPr>
                      <w:ind w:rightChars="-30" w:right="-63"/>
                      <w:jc w:val="center"/>
                      <w:rPr>
                        <w:rFonts w:cs="Arial"/>
                        <w:color w:val="000000" w:themeColor="text1"/>
                        <w:szCs w:val="21"/>
                      </w:rPr>
                    </w:pPr>
                    <w:r w:rsidRPr="00E04FAA">
                      <w:rPr>
                        <w:rFonts w:cs="Arial"/>
                        <w:color w:val="000000" w:themeColor="text1"/>
                        <w:szCs w:val="21"/>
                      </w:rPr>
                      <w:lastRenderedPageBreak/>
                      <w:t>167,713,557</w:t>
                    </w:r>
                  </w:p>
                </w:tc>
              </w:tr>
              <w:tr w:rsidR="00994C71" w:rsidRPr="00E04FAA" w:rsidTr="00B7772E">
                <w:trPr>
                  <w:gridAfter w:val="1"/>
                  <w:wAfter w:w="18" w:type="dxa"/>
                  <w:trHeight w:val="772"/>
                  <w:jc w:val="center"/>
                </w:trPr>
                <w:tc>
                  <w:tcPr>
                    <w:tcW w:w="1129" w:type="dxa"/>
                  </w:tcPr>
                  <w:p w:rsidR="00994C71" w:rsidRPr="00E04FAA" w:rsidRDefault="00994C71" w:rsidP="00B7772E">
                    <w:pPr>
                      <w:ind w:hanging="66"/>
                      <w:jc w:val="center"/>
                      <w:rPr>
                        <w:rFonts w:cs="Arial"/>
                        <w:snapToGrid w:val="0"/>
                        <w:szCs w:val="21"/>
                      </w:rPr>
                    </w:pPr>
                    <w:r w:rsidRPr="00E04FAA">
                      <w:rPr>
                        <w:rFonts w:hint="eastAsia"/>
                        <w:color w:val="000000"/>
                        <w:szCs w:val="21"/>
                      </w:rPr>
                      <w:t>理财产品</w:t>
                    </w:r>
                  </w:p>
                </w:tc>
                <w:tc>
                  <w:tcPr>
                    <w:tcW w:w="1418" w:type="dxa"/>
                    <w:noWrap/>
                  </w:tcPr>
                  <w:p w:rsidR="00994C71" w:rsidRPr="00E04FAA" w:rsidRDefault="00994C71" w:rsidP="00B7772E">
                    <w:pPr>
                      <w:ind w:hanging="66"/>
                      <w:jc w:val="center"/>
                      <w:rPr>
                        <w:rFonts w:cs="Arial"/>
                        <w:snapToGrid w:val="0"/>
                        <w:szCs w:val="21"/>
                      </w:rPr>
                    </w:pPr>
                    <w:r w:rsidRPr="00E04FAA">
                      <w:rPr>
                        <w:rFonts w:cs="Arial" w:hint="eastAsia"/>
                        <w:snapToGrid w:val="0"/>
                        <w:szCs w:val="21"/>
                      </w:rPr>
                      <w:t>其他流动资产</w:t>
                    </w:r>
                  </w:p>
                </w:tc>
                <w:tc>
                  <w:tcPr>
                    <w:tcW w:w="1134" w:type="dxa"/>
                    <w:noWrap/>
                  </w:tcPr>
                  <w:p w:rsidR="00994C71" w:rsidRPr="00E04FAA" w:rsidRDefault="00994C71" w:rsidP="00B7772E">
                    <w:pPr>
                      <w:ind w:left="172" w:hanging="172"/>
                      <w:jc w:val="center"/>
                      <w:rPr>
                        <w:rFonts w:cs="Calibri"/>
                        <w:color w:val="000000"/>
                        <w:szCs w:val="21"/>
                      </w:rPr>
                    </w:pPr>
                    <w:r w:rsidRPr="00E04FAA">
                      <w:rPr>
                        <w:rFonts w:cs="Calibri" w:hint="eastAsia"/>
                        <w:color w:val="000000"/>
                        <w:szCs w:val="21"/>
                      </w:rPr>
                      <w:t>以成本计量</w:t>
                    </w:r>
                  </w:p>
                </w:tc>
                <w:tc>
                  <w:tcPr>
                    <w:tcW w:w="1282" w:type="dxa"/>
                    <w:noWrap/>
                  </w:tcPr>
                  <w:p w:rsidR="00994C71" w:rsidRPr="00E04FAA" w:rsidRDefault="00994C71" w:rsidP="00B7772E">
                    <w:pPr>
                      <w:ind w:rightChars="-30" w:right="-63"/>
                      <w:jc w:val="center"/>
                      <w:rPr>
                        <w:rFonts w:cs="Arial"/>
                        <w:color w:val="000000"/>
                        <w:szCs w:val="21"/>
                      </w:rPr>
                    </w:pPr>
                    <w:r w:rsidRPr="00E04FAA">
                      <w:rPr>
                        <w:rFonts w:cs="Arial"/>
                        <w:color w:val="000000"/>
                        <w:szCs w:val="21"/>
                      </w:rPr>
                      <w:t>411,143,000</w:t>
                    </w:r>
                  </w:p>
                </w:tc>
                <w:tc>
                  <w:tcPr>
                    <w:tcW w:w="1202" w:type="dxa"/>
                  </w:tcPr>
                  <w:p w:rsidR="00994C71" w:rsidRPr="00E04FAA" w:rsidRDefault="00994C71" w:rsidP="00B7772E">
                    <w:pPr>
                      <w:ind w:rightChars="-30" w:right="-63"/>
                      <w:jc w:val="center"/>
                      <w:rPr>
                        <w:rFonts w:cs="Arial"/>
                        <w:color w:val="000000"/>
                        <w:szCs w:val="21"/>
                      </w:rPr>
                    </w:pPr>
                    <w:r w:rsidRPr="00E04FAA">
                      <w:rPr>
                        <w:rFonts w:cs="Arial" w:hint="eastAsia"/>
                        <w:color w:val="000000"/>
                        <w:szCs w:val="21"/>
                      </w:rPr>
                      <w:t>交易性金融资产</w:t>
                    </w:r>
                  </w:p>
                </w:tc>
                <w:tc>
                  <w:tcPr>
                    <w:tcW w:w="1133" w:type="dxa"/>
                  </w:tcPr>
                  <w:p w:rsidR="00994C71" w:rsidRPr="00E04FAA" w:rsidRDefault="00994C71" w:rsidP="00B7772E">
                    <w:pPr>
                      <w:ind w:rightChars="-30" w:right="-63"/>
                      <w:jc w:val="center"/>
                      <w:rPr>
                        <w:rFonts w:cs="Arial"/>
                        <w:color w:val="000000"/>
                        <w:szCs w:val="21"/>
                      </w:rPr>
                    </w:pPr>
                    <w:r w:rsidRPr="00E04FAA">
                      <w:rPr>
                        <w:rFonts w:cs="Arial" w:hint="eastAsia"/>
                        <w:color w:val="000000"/>
                        <w:szCs w:val="21"/>
                      </w:rPr>
                      <w:t>以公允价值计量且其变动计入当期损益</w:t>
                    </w:r>
                  </w:p>
                </w:tc>
                <w:tc>
                  <w:tcPr>
                    <w:tcW w:w="1543" w:type="dxa"/>
                  </w:tcPr>
                  <w:p w:rsidR="00994C71" w:rsidRPr="00E04FAA" w:rsidRDefault="00994C71" w:rsidP="00B7772E">
                    <w:pPr>
                      <w:ind w:rightChars="-30" w:right="-63"/>
                      <w:jc w:val="center"/>
                      <w:rPr>
                        <w:rFonts w:cs="Arial"/>
                        <w:color w:val="000000" w:themeColor="text1"/>
                        <w:szCs w:val="21"/>
                      </w:rPr>
                    </w:pPr>
                    <w:r w:rsidRPr="00E04FAA">
                      <w:rPr>
                        <w:rFonts w:cs="Arial"/>
                        <w:color w:val="000000" w:themeColor="text1"/>
                        <w:szCs w:val="21"/>
                      </w:rPr>
                      <w:t>421,886,644</w:t>
                    </w:r>
                  </w:p>
                </w:tc>
              </w:tr>
            </w:tbl>
            <w:p w:rsidR="00883153" w:rsidRPr="00E04FAA" w:rsidRDefault="000D0A99"/>
          </w:sdtContent>
        </w:sdt>
      </w:sdtContent>
    </w:sdt>
    <w:sdt>
      <w:sdtPr>
        <w:rPr>
          <w:rFonts w:ascii="宋体" w:hAnsi="宋体" w:cs="宋体"/>
          <w:b w:val="0"/>
          <w:bCs w:val="0"/>
          <w:kern w:val="0"/>
          <w:szCs w:val="22"/>
        </w:rPr>
        <w:alias w:val="模块:报告期内发生重大会计差错更正需追溯重述的情况、更正金额、原因及其影响"/>
        <w:tag w:val="_SEC_83528b94e395480a94a7f6617700e6b6"/>
        <w:id w:val="-933515351"/>
        <w:lock w:val="sdtLocked"/>
        <w:placeholder>
          <w:docPart w:val="GBC22222222222222222222222222222"/>
        </w:placeholder>
      </w:sdtPr>
      <w:sdtEndPr>
        <w:rPr>
          <w:rFonts w:asciiTheme="minorEastAsia" w:eastAsiaTheme="minorEastAsia" w:hAnsiTheme="minorEastAsia" w:hint="eastAsia"/>
          <w:szCs w:val="24"/>
        </w:rPr>
      </w:sdtEndPr>
      <w:sdtContent>
        <w:p w:rsidR="00883153" w:rsidRPr="00E04FAA" w:rsidRDefault="00200151" w:rsidP="00FC3870">
          <w:pPr>
            <w:pStyle w:val="3"/>
            <w:numPr>
              <w:ilvl w:val="0"/>
              <w:numId w:val="27"/>
            </w:numPr>
          </w:pPr>
          <w:r w:rsidRPr="00E04FAA">
            <w:rPr>
              <w:rFonts w:hint="eastAsia"/>
            </w:rPr>
            <w:t>报告期内发生重大会计差错更正需追溯重述的情况、更正金额、原因及其影响</w:t>
          </w:r>
        </w:p>
        <w:sdt>
          <w:sdtPr>
            <w:alias w:val="是否适用：报告期内发生重大会计差错更正需追溯重述的情况、更正金额、原因及其影响[双击切换]"/>
            <w:tag w:val="_GBC_99df8f3092464ddf9e18bd83e954214a"/>
            <w:id w:val="-64653340"/>
            <w:lock w:val="sdtContentLocked"/>
            <w:placeholder>
              <w:docPart w:val="GBC22222222222222222222222222222"/>
            </w:placeholder>
          </w:sdtPr>
          <w:sdtContent>
            <w:p w:rsidR="00883153" w:rsidRPr="00E04FAA" w:rsidRDefault="00200151" w:rsidP="00AC55C9">
              <w:r w:rsidRPr="00E04FAA">
                <w:fldChar w:fldCharType="begin"/>
              </w:r>
              <w:r w:rsidR="00AC55C9" w:rsidRPr="00E04FAA">
                <w:instrText xml:space="preserve"> MACROBUTTON  SnrToggleCheckbox □适用 </w:instrText>
              </w:r>
              <w:r w:rsidRPr="00E04FAA">
                <w:fldChar w:fldCharType="end"/>
              </w:r>
              <w:r w:rsidRPr="00E04FAA">
                <w:fldChar w:fldCharType="begin"/>
              </w:r>
              <w:r w:rsidR="00AC55C9" w:rsidRPr="00E04FAA">
                <w:instrText xml:space="preserve"> MACROBUTTON  SnrToggleCheckbox √不适用 </w:instrText>
              </w:r>
              <w:r w:rsidRPr="00E04FAA">
                <w:fldChar w:fldCharType="end"/>
              </w:r>
            </w:p>
          </w:sdtContent>
        </w:sdt>
        <w:p w:rsidR="00883153" w:rsidRPr="00E04FAA" w:rsidRDefault="000D0A99">
          <w:pPr>
            <w:rPr>
              <w:rFonts w:asciiTheme="minorEastAsia" w:eastAsiaTheme="minorEastAsia" w:hAnsiTheme="minorEastAsia"/>
            </w:rPr>
          </w:pPr>
        </w:p>
      </w:sdtContent>
    </w:sdt>
    <w:sdt>
      <w:sdtPr>
        <w:rPr>
          <w:rFonts w:ascii="宋体" w:hAnsi="宋体" w:cs="宋体"/>
          <w:b w:val="0"/>
          <w:bCs w:val="0"/>
          <w:kern w:val="0"/>
          <w:szCs w:val="22"/>
        </w:rPr>
        <w:alias w:val="模块:其他重大事项"/>
        <w:tag w:val="_SEC_138307d780ec4289808d3b63009b0a05"/>
        <w:id w:val="-993248490"/>
        <w:lock w:val="sdtLocked"/>
        <w:placeholder>
          <w:docPart w:val="GBC22222222222222222222222222222"/>
        </w:placeholder>
      </w:sdtPr>
      <w:sdtEndPr>
        <w:rPr>
          <w:szCs w:val="24"/>
        </w:rPr>
      </w:sdtEndPr>
      <w:sdtContent>
        <w:p w:rsidR="00883153" w:rsidRPr="00E04FAA" w:rsidRDefault="00200151" w:rsidP="00FC3870">
          <w:pPr>
            <w:pStyle w:val="3"/>
            <w:numPr>
              <w:ilvl w:val="0"/>
              <w:numId w:val="27"/>
            </w:numPr>
          </w:pPr>
          <w:r w:rsidRPr="00E04FAA">
            <w:t>其他</w:t>
          </w:r>
        </w:p>
        <w:sdt>
          <w:sdtPr>
            <w:alias w:val="是否适用：其他重大事项的说明[双击切换]"/>
            <w:tag w:val="_GBC_305fce3f50ec40648f3016211970114b"/>
            <w:id w:val="1050118845"/>
            <w:lock w:val="sdtContentLocked"/>
            <w:placeholder>
              <w:docPart w:val="GBC22222222222222222222222222222"/>
            </w:placeholder>
          </w:sdtPr>
          <w:sdtContent>
            <w:p w:rsidR="00883153" w:rsidRPr="00E04FAA" w:rsidRDefault="00200151" w:rsidP="00384632">
              <w:r w:rsidRPr="00E04FAA">
                <w:fldChar w:fldCharType="begin"/>
              </w:r>
              <w:r w:rsidR="00384632" w:rsidRPr="00E04FAA">
                <w:instrText xml:space="preserve"> MACROBUTTON  SnrToggleCheckbox □适用 </w:instrText>
              </w:r>
              <w:r w:rsidRPr="00E04FAA">
                <w:fldChar w:fldCharType="end"/>
              </w:r>
              <w:r w:rsidRPr="00E04FAA">
                <w:fldChar w:fldCharType="begin"/>
              </w:r>
              <w:r w:rsidR="00384632" w:rsidRPr="00E04FAA">
                <w:instrText xml:space="preserve"> MACROBUTTON  SnrToggleCheckbox √不适用 </w:instrText>
              </w:r>
              <w:r w:rsidRPr="00E04FAA">
                <w:fldChar w:fldCharType="end"/>
              </w:r>
            </w:p>
          </w:sdtContent>
        </w:sdt>
      </w:sdtContent>
    </w:sdt>
    <w:p w:rsidR="00883153" w:rsidRPr="00E04FAA" w:rsidRDefault="00200151">
      <w:pPr>
        <w:pStyle w:val="10"/>
        <w:numPr>
          <w:ilvl w:val="0"/>
          <w:numId w:val="3"/>
        </w:numPr>
      </w:pPr>
      <w:bookmarkStart w:id="38" w:name="_Toc392233016"/>
      <w:bookmarkStart w:id="39" w:name="_Toc484510569"/>
      <w:r w:rsidRPr="00E04FAA">
        <w:rPr>
          <w:rFonts w:hint="eastAsia"/>
        </w:rPr>
        <w:t>普通股股份变动及股东情况</w:t>
      </w:r>
      <w:bookmarkEnd w:id="34"/>
      <w:bookmarkEnd w:id="38"/>
      <w:bookmarkEnd w:id="39"/>
    </w:p>
    <w:p w:rsidR="00883153" w:rsidRPr="00E04FAA" w:rsidRDefault="00200151">
      <w:pPr>
        <w:pStyle w:val="2"/>
        <w:numPr>
          <w:ilvl w:val="0"/>
          <w:numId w:val="1"/>
        </w:numPr>
        <w:spacing w:line="360" w:lineRule="auto"/>
        <w:ind w:left="448" w:hanging="448"/>
      </w:pPr>
      <w:bookmarkStart w:id="40" w:name="_Toc342059476"/>
      <w:bookmarkStart w:id="41" w:name="_Toc342565989"/>
      <w:r w:rsidRPr="00E04FAA">
        <w:t>股</w:t>
      </w:r>
      <w:r w:rsidRPr="00E04FAA">
        <w:rPr>
          <w:rFonts w:hint="eastAsia"/>
        </w:rPr>
        <w:t>本变动情况</w:t>
      </w:r>
      <w:bookmarkEnd w:id="40"/>
      <w:bookmarkEnd w:id="41"/>
    </w:p>
    <w:p w:rsidR="00883153" w:rsidRPr="00E04FAA" w:rsidRDefault="00200151" w:rsidP="00FC3870">
      <w:pPr>
        <w:pStyle w:val="3"/>
        <w:numPr>
          <w:ilvl w:val="1"/>
          <w:numId w:val="11"/>
        </w:numPr>
      </w:pPr>
      <w:bookmarkStart w:id="42" w:name="_Toc342059477"/>
      <w:bookmarkStart w:id="43" w:name="_Toc342565990"/>
      <w:r w:rsidRPr="00E04FAA">
        <w:rPr>
          <w:rFonts w:hint="eastAsia"/>
        </w:rPr>
        <w:t>股份变动情况表</w:t>
      </w:r>
      <w:bookmarkEnd w:id="42"/>
      <w:bookmarkEnd w:id="43"/>
    </w:p>
    <w:p w:rsidR="00883153" w:rsidRPr="00E04FAA" w:rsidRDefault="00200151" w:rsidP="00FC3870">
      <w:pPr>
        <w:pStyle w:val="4"/>
        <w:numPr>
          <w:ilvl w:val="2"/>
          <w:numId w:val="12"/>
        </w:numPr>
      </w:pPr>
      <w:r w:rsidRPr="00E04FAA">
        <w:rPr>
          <w:rFonts w:hint="eastAsia"/>
        </w:rPr>
        <w:t>股份变动情况表</w:t>
      </w:r>
    </w:p>
    <w:bookmarkStart w:id="44" w:name="_Hlk14699332" w:displacedByCustomXml="next"/>
    <w:sdt>
      <w:sdtPr>
        <w:rPr>
          <w:rFonts w:hint="eastAsia"/>
        </w:rPr>
        <w:alias w:val="选项模块:股份变动情况表(已完成或不涉及股改)"/>
        <w:tag w:val="_GBC_f9397743097a41aeb54f7cc576d0c924"/>
        <w:id w:val="-758983162"/>
        <w:lock w:val="sdtLocked"/>
        <w:placeholder>
          <w:docPart w:val="GBC22222222222222222222222222222"/>
        </w:placeholder>
      </w:sdtPr>
      <w:sdtEndPr>
        <w:rPr>
          <w:color w:val="000000" w:themeColor="text1"/>
          <w:sz w:val="16"/>
          <w:szCs w:val="16"/>
        </w:rPr>
      </w:sdtEndPr>
      <w:sdtContent>
        <w:p w:rsidR="00922A40" w:rsidRPr="00E04FAA" w:rsidRDefault="00922A40" w:rsidP="00EC264E">
          <w:pPr>
            <w:jc w:val="right"/>
            <w:rPr>
              <w:szCs w:val="21"/>
            </w:rPr>
          </w:pPr>
          <w:r w:rsidRPr="00E04FAA">
            <w:rPr>
              <w:szCs w:val="21"/>
            </w:rPr>
            <w:t>单位：</w:t>
          </w:r>
          <w:sdt>
            <w:sdtPr>
              <w:rPr>
                <w:rFonts w:hint="eastAsia"/>
                <w:szCs w:val="21"/>
              </w:rPr>
              <w:alias w:val="单位：股份变动情况表"/>
              <w:tag w:val="_GBC_649f6bada42647f7be991e46e2b2e42d"/>
              <w:id w:val="482359001"/>
              <w:lock w:val="sdtLocked"/>
              <w:placeholder>
                <w:docPart w:val="E5905C209EBA4DF893BACF01E6927F3C"/>
              </w:placeholder>
              <w:comboBox>
                <w:listItem w:displayText="股" w:value="1"/>
                <w:listItem w:displayText="千股" w:value="1000"/>
                <w:listItem w:displayText="万股" w:value="10000"/>
                <w:listItem w:displayText="百万股" w:value="1000000"/>
                <w:listItem w:displayText="亿股" w:value="100000000"/>
              </w:comboBox>
            </w:sdtPr>
            <w:sdtContent>
              <w:r w:rsidRPr="00E04FAA">
                <w:rPr>
                  <w:rFonts w:hint="eastAsia"/>
                  <w:szCs w:val="21"/>
                </w:rPr>
                <w:t>股</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1135"/>
            <w:gridCol w:w="566"/>
            <w:gridCol w:w="425"/>
            <w:gridCol w:w="284"/>
            <w:gridCol w:w="993"/>
            <w:gridCol w:w="1276"/>
            <w:gridCol w:w="1135"/>
            <w:gridCol w:w="1108"/>
            <w:gridCol w:w="630"/>
          </w:tblGrid>
          <w:tr w:rsidR="004B1879" w:rsidRPr="00E04FAA" w:rsidTr="00187111">
            <w:tc>
              <w:tcPr>
                <w:tcW w:w="720" w:type="pct"/>
                <w:vMerge w:val="restart"/>
                <w:shd w:val="clear" w:color="auto" w:fill="auto"/>
              </w:tcPr>
              <w:p w:rsidR="004B1879" w:rsidRPr="00E04FAA" w:rsidRDefault="004B1879" w:rsidP="00187111">
                <w:pPr>
                  <w:jc w:val="right"/>
                  <w:rPr>
                    <w:sz w:val="18"/>
                    <w:szCs w:val="18"/>
                  </w:rPr>
                </w:pPr>
              </w:p>
            </w:tc>
            <w:sdt>
              <w:sdtPr>
                <w:rPr>
                  <w:sz w:val="18"/>
                  <w:szCs w:val="18"/>
                </w:rPr>
                <w:tag w:val="_PLD_1d3571976c514fb18cb081806befcec3"/>
                <w:id w:val="2024510140"/>
                <w:lock w:val="sdtLocked"/>
              </w:sdtPr>
              <w:sdtContent>
                <w:tc>
                  <w:tcPr>
                    <w:tcW w:w="964" w:type="pct"/>
                    <w:gridSpan w:val="2"/>
                    <w:shd w:val="clear" w:color="auto" w:fill="auto"/>
                  </w:tcPr>
                  <w:p w:rsidR="004B1879" w:rsidRPr="00E04FAA" w:rsidRDefault="004B1879" w:rsidP="00187111">
                    <w:pPr>
                      <w:pStyle w:val="af7"/>
                      <w:jc w:val="center"/>
                      <w:rPr>
                        <w:rFonts w:hAnsi="宋体"/>
                        <w:sz w:val="18"/>
                        <w:szCs w:val="18"/>
                      </w:rPr>
                    </w:pPr>
                    <w:r w:rsidRPr="00E04FAA">
                      <w:rPr>
                        <w:rFonts w:hAnsi="宋体"/>
                        <w:sz w:val="18"/>
                        <w:szCs w:val="18"/>
                      </w:rPr>
                      <w:t>本次变动前</w:t>
                    </w:r>
                  </w:p>
                </w:tc>
              </w:sdtContent>
            </w:sdt>
            <w:sdt>
              <w:sdtPr>
                <w:rPr>
                  <w:sz w:val="18"/>
                  <w:szCs w:val="18"/>
                </w:rPr>
                <w:tag w:val="_PLD_f954d926be3144c9ae3f8e8632aa9d60"/>
                <w:id w:val="-1770378594"/>
                <w:lock w:val="sdtLocked"/>
              </w:sdtPr>
              <w:sdtContent>
                <w:tc>
                  <w:tcPr>
                    <w:tcW w:w="2331" w:type="pct"/>
                    <w:gridSpan w:val="5"/>
                    <w:shd w:val="clear" w:color="auto" w:fill="auto"/>
                  </w:tcPr>
                  <w:p w:rsidR="004B1879" w:rsidRPr="00E04FAA" w:rsidRDefault="004B1879" w:rsidP="00187111">
                    <w:pPr>
                      <w:jc w:val="center"/>
                      <w:rPr>
                        <w:sz w:val="18"/>
                        <w:szCs w:val="18"/>
                      </w:rPr>
                    </w:pPr>
                    <w:r w:rsidRPr="00E04FAA">
                      <w:rPr>
                        <w:sz w:val="18"/>
                        <w:szCs w:val="18"/>
                      </w:rPr>
                      <w:t>本次变动增减（＋，－）</w:t>
                    </w:r>
                  </w:p>
                </w:tc>
              </w:sdtContent>
            </w:sdt>
            <w:sdt>
              <w:sdtPr>
                <w:rPr>
                  <w:sz w:val="18"/>
                  <w:szCs w:val="18"/>
                </w:rPr>
                <w:tag w:val="_PLD_cec7316485294778b9434173c325ba5e"/>
                <w:id w:val="1096283089"/>
                <w:lock w:val="sdtLocked"/>
              </w:sdtPr>
              <w:sdtContent>
                <w:tc>
                  <w:tcPr>
                    <w:tcW w:w="985" w:type="pct"/>
                    <w:gridSpan w:val="2"/>
                    <w:shd w:val="clear" w:color="auto" w:fill="auto"/>
                  </w:tcPr>
                  <w:p w:rsidR="004B1879" w:rsidRPr="00E04FAA" w:rsidRDefault="004B1879" w:rsidP="00187111">
                    <w:pPr>
                      <w:jc w:val="center"/>
                      <w:rPr>
                        <w:sz w:val="18"/>
                        <w:szCs w:val="18"/>
                      </w:rPr>
                    </w:pPr>
                    <w:r w:rsidRPr="00E04FAA">
                      <w:rPr>
                        <w:sz w:val="18"/>
                        <w:szCs w:val="18"/>
                      </w:rPr>
                      <w:t>本次变动后</w:t>
                    </w:r>
                  </w:p>
                </w:tc>
              </w:sdtContent>
            </w:sdt>
          </w:tr>
          <w:tr w:rsidR="00187111" w:rsidRPr="00E04FAA" w:rsidTr="00187111">
            <w:trPr>
              <w:trHeight w:val="273"/>
            </w:trPr>
            <w:tc>
              <w:tcPr>
                <w:tcW w:w="720" w:type="pct"/>
                <w:vMerge/>
                <w:shd w:val="clear" w:color="auto" w:fill="auto"/>
              </w:tcPr>
              <w:p w:rsidR="004B1879" w:rsidRPr="00E04FAA" w:rsidRDefault="004B1879" w:rsidP="00187111">
                <w:pPr>
                  <w:jc w:val="right"/>
                  <w:rPr>
                    <w:sz w:val="18"/>
                    <w:szCs w:val="18"/>
                  </w:rPr>
                </w:pPr>
              </w:p>
            </w:tc>
            <w:sdt>
              <w:sdtPr>
                <w:rPr>
                  <w:sz w:val="18"/>
                  <w:szCs w:val="18"/>
                </w:rPr>
                <w:tag w:val="_PLD_988f8052801b48dbbfb8723a148d46cc"/>
                <w:id w:val="154886318"/>
                <w:lock w:val="sdtLocked"/>
              </w:sdtPr>
              <w:sdtContent>
                <w:tc>
                  <w:tcPr>
                    <w:tcW w:w="643" w:type="pct"/>
                    <w:shd w:val="clear" w:color="auto" w:fill="auto"/>
                  </w:tcPr>
                  <w:p w:rsidR="004B1879" w:rsidRPr="00E04FAA" w:rsidRDefault="004B1879" w:rsidP="00187111">
                    <w:pPr>
                      <w:pStyle w:val="af7"/>
                      <w:jc w:val="center"/>
                      <w:rPr>
                        <w:rFonts w:hAnsi="宋体"/>
                        <w:sz w:val="18"/>
                        <w:szCs w:val="18"/>
                      </w:rPr>
                    </w:pPr>
                    <w:r w:rsidRPr="00E04FAA">
                      <w:rPr>
                        <w:rFonts w:hAnsi="宋体"/>
                        <w:sz w:val="18"/>
                        <w:szCs w:val="18"/>
                      </w:rPr>
                      <w:t>数量</w:t>
                    </w:r>
                  </w:p>
                </w:tc>
              </w:sdtContent>
            </w:sdt>
            <w:sdt>
              <w:sdtPr>
                <w:rPr>
                  <w:sz w:val="18"/>
                  <w:szCs w:val="18"/>
                </w:rPr>
                <w:tag w:val="_PLD_cc8dc17fd4d4489393b7d886bbaba2ae"/>
                <w:id w:val="1503779454"/>
                <w:lock w:val="sdtLocked"/>
              </w:sdtPr>
              <w:sdtContent>
                <w:tc>
                  <w:tcPr>
                    <w:tcW w:w="321" w:type="pct"/>
                    <w:shd w:val="clear" w:color="auto" w:fill="auto"/>
                  </w:tcPr>
                  <w:p w:rsidR="004B1879" w:rsidRPr="00E04FAA" w:rsidRDefault="004B1879" w:rsidP="00187111">
                    <w:pPr>
                      <w:pStyle w:val="af7"/>
                      <w:jc w:val="center"/>
                      <w:rPr>
                        <w:rFonts w:hAnsi="宋体"/>
                        <w:sz w:val="18"/>
                        <w:szCs w:val="18"/>
                      </w:rPr>
                    </w:pPr>
                    <w:r w:rsidRPr="00E04FAA">
                      <w:rPr>
                        <w:rFonts w:hAnsi="宋体"/>
                        <w:sz w:val="18"/>
                        <w:szCs w:val="18"/>
                      </w:rPr>
                      <w:t>比例(%)</w:t>
                    </w:r>
                  </w:p>
                </w:tc>
              </w:sdtContent>
            </w:sdt>
            <w:sdt>
              <w:sdtPr>
                <w:rPr>
                  <w:sz w:val="18"/>
                  <w:szCs w:val="18"/>
                </w:rPr>
                <w:tag w:val="_PLD_819ab102e7454eaeaeeb2e735bb58a47"/>
                <w:id w:val="-2071330581"/>
                <w:lock w:val="sdtLocked"/>
              </w:sdtPr>
              <w:sdtContent>
                <w:tc>
                  <w:tcPr>
                    <w:tcW w:w="241" w:type="pct"/>
                    <w:shd w:val="clear" w:color="auto" w:fill="auto"/>
                  </w:tcPr>
                  <w:p w:rsidR="004B1879" w:rsidRPr="00E04FAA" w:rsidRDefault="004B1879" w:rsidP="00187111">
                    <w:pPr>
                      <w:pStyle w:val="af7"/>
                      <w:jc w:val="center"/>
                      <w:rPr>
                        <w:rFonts w:hAnsi="宋体"/>
                        <w:sz w:val="18"/>
                        <w:szCs w:val="18"/>
                      </w:rPr>
                    </w:pPr>
                    <w:r w:rsidRPr="00E04FAA">
                      <w:rPr>
                        <w:rFonts w:hAnsi="宋体"/>
                        <w:sz w:val="18"/>
                        <w:szCs w:val="18"/>
                      </w:rPr>
                      <w:t>发行新股</w:t>
                    </w:r>
                  </w:p>
                </w:tc>
              </w:sdtContent>
            </w:sdt>
            <w:sdt>
              <w:sdtPr>
                <w:rPr>
                  <w:sz w:val="18"/>
                  <w:szCs w:val="18"/>
                </w:rPr>
                <w:tag w:val="_PLD_ca852324ba5846e4a03f00a70d2419b6"/>
                <w:id w:val="1931696078"/>
                <w:lock w:val="sdtLocked"/>
              </w:sdtPr>
              <w:sdtContent>
                <w:tc>
                  <w:tcPr>
                    <w:tcW w:w="161" w:type="pct"/>
                    <w:shd w:val="clear" w:color="auto" w:fill="auto"/>
                  </w:tcPr>
                  <w:p w:rsidR="004B1879" w:rsidRPr="00E04FAA" w:rsidRDefault="004B1879" w:rsidP="00187111">
                    <w:pPr>
                      <w:jc w:val="center"/>
                      <w:rPr>
                        <w:sz w:val="18"/>
                        <w:szCs w:val="18"/>
                      </w:rPr>
                    </w:pPr>
                    <w:r w:rsidRPr="00E04FAA">
                      <w:rPr>
                        <w:sz w:val="18"/>
                        <w:szCs w:val="18"/>
                      </w:rPr>
                      <w:t>送股</w:t>
                    </w:r>
                  </w:p>
                </w:tc>
              </w:sdtContent>
            </w:sdt>
            <w:sdt>
              <w:sdtPr>
                <w:rPr>
                  <w:sz w:val="18"/>
                  <w:szCs w:val="18"/>
                </w:rPr>
                <w:tag w:val="_PLD_256901472d194e72bb27b5c58bda16f6"/>
                <w:id w:val="-1006443735"/>
                <w:lock w:val="sdtLocked"/>
              </w:sdtPr>
              <w:sdtContent>
                <w:tc>
                  <w:tcPr>
                    <w:tcW w:w="563" w:type="pct"/>
                    <w:shd w:val="clear" w:color="auto" w:fill="auto"/>
                  </w:tcPr>
                  <w:p w:rsidR="004B1879" w:rsidRPr="00E04FAA" w:rsidRDefault="004B1879" w:rsidP="00187111">
                    <w:pPr>
                      <w:jc w:val="center"/>
                      <w:rPr>
                        <w:sz w:val="18"/>
                        <w:szCs w:val="18"/>
                      </w:rPr>
                    </w:pPr>
                    <w:r w:rsidRPr="00E04FAA">
                      <w:rPr>
                        <w:sz w:val="18"/>
                        <w:szCs w:val="18"/>
                      </w:rPr>
                      <w:t>公积金转股</w:t>
                    </w:r>
                  </w:p>
                </w:tc>
              </w:sdtContent>
            </w:sdt>
            <w:sdt>
              <w:sdtPr>
                <w:rPr>
                  <w:sz w:val="18"/>
                  <w:szCs w:val="18"/>
                </w:rPr>
                <w:tag w:val="_PLD_19719ecd361d42b8b1c40359981df642"/>
                <w:id w:val="236757689"/>
                <w:lock w:val="sdtLocked"/>
              </w:sdtPr>
              <w:sdtContent>
                <w:tc>
                  <w:tcPr>
                    <w:tcW w:w="723" w:type="pct"/>
                    <w:shd w:val="clear" w:color="auto" w:fill="auto"/>
                  </w:tcPr>
                  <w:p w:rsidR="004B1879" w:rsidRPr="00E04FAA" w:rsidRDefault="004B1879" w:rsidP="00187111">
                    <w:pPr>
                      <w:pStyle w:val="af7"/>
                      <w:jc w:val="center"/>
                      <w:rPr>
                        <w:rFonts w:hAnsi="宋体"/>
                        <w:sz w:val="18"/>
                        <w:szCs w:val="18"/>
                      </w:rPr>
                    </w:pPr>
                    <w:r w:rsidRPr="00E04FAA">
                      <w:rPr>
                        <w:rFonts w:hAnsi="宋体"/>
                        <w:color w:val="000000" w:themeColor="text1"/>
                        <w:sz w:val="18"/>
                        <w:szCs w:val="18"/>
                      </w:rPr>
                      <w:t>其他</w:t>
                    </w:r>
                  </w:p>
                </w:tc>
              </w:sdtContent>
            </w:sdt>
            <w:sdt>
              <w:sdtPr>
                <w:rPr>
                  <w:sz w:val="18"/>
                  <w:szCs w:val="18"/>
                </w:rPr>
                <w:tag w:val="_PLD_3813d11427a043ca89700d021749eb26"/>
                <w:id w:val="-116756381"/>
                <w:lock w:val="sdtLocked"/>
              </w:sdtPr>
              <w:sdtContent>
                <w:tc>
                  <w:tcPr>
                    <w:tcW w:w="643" w:type="pct"/>
                    <w:shd w:val="clear" w:color="auto" w:fill="auto"/>
                  </w:tcPr>
                  <w:p w:rsidR="004B1879" w:rsidRPr="00E04FAA" w:rsidRDefault="004B1879" w:rsidP="00187111">
                    <w:pPr>
                      <w:pStyle w:val="af7"/>
                      <w:jc w:val="center"/>
                      <w:rPr>
                        <w:rFonts w:hAnsi="宋体"/>
                        <w:sz w:val="18"/>
                        <w:szCs w:val="18"/>
                      </w:rPr>
                    </w:pPr>
                    <w:r w:rsidRPr="00E04FAA">
                      <w:rPr>
                        <w:rFonts w:hAnsi="宋体"/>
                        <w:sz w:val="18"/>
                        <w:szCs w:val="18"/>
                      </w:rPr>
                      <w:t>小计</w:t>
                    </w:r>
                  </w:p>
                </w:tc>
              </w:sdtContent>
            </w:sdt>
            <w:sdt>
              <w:sdtPr>
                <w:rPr>
                  <w:sz w:val="18"/>
                  <w:szCs w:val="18"/>
                </w:rPr>
                <w:tag w:val="_PLD_8ff8f75dfeaa4bf2a6068460efe092f4"/>
                <w:id w:val="-235409354"/>
                <w:lock w:val="sdtLocked"/>
              </w:sdtPr>
              <w:sdtContent>
                <w:tc>
                  <w:tcPr>
                    <w:tcW w:w="628" w:type="pct"/>
                    <w:shd w:val="clear" w:color="auto" w:fill="auto"/>
                  </w:tcPr>
                  <w:p w:rsidR="004B1879" w:rsidRPr="00E04FAA" w:rsidRDefault="004B1879" w:rsidP="00187111">
                    <w:pPr>
                      <w:pStyle w:val="af7"/>
                      <w:jc w:val="center"/>
                      <w:rPr>
                        <w:rFonts w:hAnsi="宋体"/>
                        <w:sz w:val="18"/>
                        <w:szCs w:val="18"/>
                      </w:rPr>
                    </w:pPr>
                    <w:r w:rsidRPr="00E04FAA">
                      <w:rPr>
                        <w:rFonts w:hAnsi="宋体"/>
                        <w:sz w:val="18"/>
                        <w:szCs w:val="18"/>
                      </w:rPr>
                      <w:t>数量</w:t>
                    </w:r>
                  </w:p>
                </w:tc>
              </w:sdtContent>
            </w:sdt>
            <w:sdt>
              <w:sdtPr>
                <w:rPr>
                  <w:sz w:val="18"/>
                  <w:szCs w:val="18"/>
                </w:rPr>
                <w:tag w:val="_PLD_e100c0c8ad354419b737193b7eb5de7f"/>
                <w:id w:val="-1168556970"/>
                <w:lock w:val="sdtLocked"/>
              </w:sdtPr>
              <w:sdtContent>
                <w:tc>
                  <w:tcPr>
                    <w:tcW w:w="357" w:type="pct"/>
                    <w:shd w:val="clear" w:color="auto" w:fill="auto"/>
                  </w:tcPr>
                  <w:p w:rsidR="004B1879" w:rsidRPr="00E04FAA" w:rsidRDefault="004B1879" w:rsidP="00187111">
                    <w:pPr>
                      <w:pStyle w:val="af7"/>
                      <w:jc w:val="center"/>
                      <w:rPr>
                        <w:rFonts w:hAnsi="宋体"/>
                        <w:sz w:val="18"/>
                        <w:szCs w:val="18"/>
                      </w:rPr>
                    </w:pPr>
                    <w:r w:rsidRPr="00E04FAA">
                      <w:rPr>
                        <w:rFonts w:hAnsi="宋体"/>
                        <w:sz w:val="18"/>
                        <w:szCs w:val="18"/>
                      </w:rPr>
                      <w:t>比例(%)</w:t>
                    </w:r>
                  </w:p>
                </w:tc>
              </w:sdtContent>
            </w:sdt>
          </w:tr>
          <w:tr w:rsidR="00187111" w:rsidRPr="00E04FAA" w:rsidTr="00187111">
            <w:sdt>
              <w:sdtPr>
                <w:rPr>
                  <w:sz w:val="18"/>
                  <w:szCs w:val="18"/>
                </w:rPr>
                <w:tag w:val="_PLD_621a216776da4cfd878061824b8c5ef1"/>
                <w:id w:val="8193302"/>
                <w:lock w:val="sdtLocked"/>
              </w:sdtPr>
              <w:sdtContent>
                <w:tc>
                  <w:tcPr>
                    <w:tcW w:w="720" w:type="pct"/>
                    <w:shd w:val="clear" w:color="auto" w:fill="auto"/>
                  </w:tcPr>
                  <w:p w:rsidR="004B1879" w:rsidRPr="00E04FAA" w:rsidRDefault="004B1879" w:rsidP="00187111">
                    <w:pPr>
                      <w:jc w:val="both"/>
                      <w:rPr>
                        <w:sz w:val="18"/>
                        <w:szCs w:val="18"/>
                      </w:rPr>
                    </w:pPr>
                    <w:r w:rsidRPr="00E04FAA">
                      <w:rPr>
                        <w:sz w:val="18"/>
                        <w:szCs w:val="18"/>
                      </w:rPr>
                      <w:t>一、有限售条件股份</w:t>
                    </w:r>
                  </w:p>
                </w:tc>
              </w:sdtContent>
            </w:sdt>
            <w:tc>
              <w:tcPr>
                <w:tcW w:w="643" w:type="pct"/>
                <w:shd w:val="clear" w:color="auto" w:fill="auto"/>
              </w:tcPr>
              <w:p w:rsidR="004B1879" w:rsidRPr="00E04FAA" w:rsidRDefault="004B1879" w:rsidP="00187111">
                <w:pPr>
                  <w:jc w:val="right"/>
                  <w:rPr>
                    <w:sz w:val="16"/>
                    <w:szCs w:val="16"/>
                  </w:rPr>
                </w:pPr>
                <w:r w:rsidRPr="00E04FAA">
                  <w:rPr>
                    <w:sz w:val="16"/>
                    <w:szCs w:val="16"/>
                  </w:rPr>
                  <w:t>26,684,771</w:t>
                </w:r>
              </w:p>
            </w:tc>
            <w:tc>
              <w:tcPr>
                <w:tcW w:w="321" w:type="pct"/>
                <w:shd w:val="clear" w:color="auto" w:fill="auto"/>
              </w:tcPr>
              <w:p w:rsidR="004B1879" w:rsidRPr="00E04FAA" w:rsidRDefault="004B1879" w:rsidP="00187111">
                <w:pPr>
                  <w:jc w:val="right"/>
                  <w:rPr>
                    <w:sz w:val="16"/>
                    <w:szCs w:val="16"/>
                  </w:rPr>
                </w:pPr>
                <w:r w:rsidRPr="00E04FAA">
                  <w:rPr>
                    <w:sz w:val="16"/>
                    <w:szCs w:val="16"/>
                  </w:rPr>
                  <w:t>1.39</w:t>
                </w:r>
              </w:p>
            </w:tc>
            <w:tc>
              <w:tcPr>
                <w:tcW w:w="241" w:type="pct"/>
                <w:shd w:val="clear" w:color="auto" w:fill="auto"/>
              </w:tcPr>
              <w:p w:rsidR="004B1879" w:rsidRPr="00E04FAA" w:rsidRDefault="004B1879" w:rsidP="00187111">
                <w:pPr>
                  <w:jc w:val="right"/>
                  <w:rPr>
                    <w:sz w:val="16"/>
                    <w:szCs w:val="16"/>
                  </w:rPr>
                </w:pPr>
              </w:p>
            </w:tc>
            <w:tc>
              <w:tcPr>
                <w:tcW w:w="161" w:type="pct"/>
                <w:shd w:val="clear" w:color="auto" w:fill="auto"/>
              </w:tcPr>
              <w:p w:rsidR="004B1879" w:rsidRPr="00E04FAA" w:rsidRDefault="004B1879" w:rsidP="00187111">
                <w:pPr>
                  <w:jc w:val="right"/>
                  <w:rPr>
                    <w:sz w:val="16"/>
                    <w:szCs w:val="16"/>
                  </w:rPr>
                </w:pPr>
              </w:p>
            </w:tc>
            <w:tc>
              <w:tcPr>
                <w:tcW w:w="563" w:type="pct"/>
                <w:shd w:val="clear" w:color="auto" w:fill="auto"/>
              </w:tcPr>
              <w:p w:rsidR="004B1879" w:rsidRPr="00E04FAA" w:rsidRDefault="004B1879" w:rsidP="00187111">
                <w:pPr>
                  <w:jc w:val="right"/>
                  <w:rPr>
                    <w:sz w:val="16"/>
                    <w:szCs w:val="16"/>
                  </w:rPr>
                </w:pPr>
                <w:r w:rsidRPr="00E04FAA">
                  <w:rPr>
                    <w:sz w:val="16"/>
                    <w:szCs w:val="16"/>
                  </w:rPr>
                  <w:t>4,534,478</w:t>
                </w:r>
              </w:p>
            </w:tc>
            <w:tc>
              <w:tcPr>
                <w:tcW w:w="723" w:type="pct"/>
                <w:shd w:val="clear" w:color="auto" w:fill="auto"/>
              </w:tcPr>
              <w:p w:rsidR="004B1879" w:rsidRPr="00E04FAA" w:rsidRDefault="004B1879" w:rsidP="00187111">
                <w:pPr>
                  <w:jc w:val="right"/>
                  <w:rPr>
                    <w:sz w:val="16"/>
                    <w:szCs w:val="16"/>
                  </w:rPr>
                </w:pPr>
                <w:r w:rsidRPr="00E04FAA">
                  <w:rPr>
                    <w:sz w:val="16"/>
                    <w:szCs w:val="16"/>
                  </w:rPr>
                  <w:t>-11,569,773</w:t>
                </w:r>
              </w:p>
            </w:tc>
            <w:tc>
              <w:tcPr>
                <w:tcW w:w="643" w:type="pct"/>
                <w:shd w:val="clear" w:color="auto" w:fill="auto"/>
              </w:tcPr>
              <w:p w:rsidR="004B1879" w:rsidRPr="00E04FAA" w:rsidRDefault="004B1879" w:rsidP="00187111">
                <w:pPr>
                  <w:jc w:val="right"/>
                  <w:rPr>
                    <w:sz w:val="16"/>
                    <w:szCs w:val="16"/>
                  </w:rPr>
                </w:pPr>
                <w:r w:rsidRPr="00E04FAA">
                  <w:rPr>
                    <w:sz w:val="16"/>
                    <w:szCs w:val="16"/>
                  </w:rPr>
                  <w:t>-7,035,295</w:t>
                </w:r>
              </w:p>
            </w:tc>
            <w:tc>
              <w:tcPr>
                <w:tcW w:w="628" w:type="pct"/>
                <w:shd w:val="clear" w:color="auto" w:fill="auto"/>
              </w:tcPr>
              <w:p w:rsidR="004B1879" w:rsidRPr="00E04FAA" w:rsidRDefault="004B1879" w:rsidP="00187111">
                <w:pPr>
                  <w:jc w:val="right"/>
                  <w:rPr>
                    <w:sz w:val="16"/>
                    <w:szCs w:val="16"/>
                  </w:rPr>
                </w:pPr>
                <w:r w:rsidRPr="00E04FAA">
                  <w:rPr>
                    <w:sz w:val="16"/>
                    <w:szCs w:val="16"/>
                  </w:rPr>
                  <w:t>19,649,476</w:t>
                </w:r>
              </w:p>
            </w:tc>
            <w:tc>
              <w:tcPr>
                <w:tcW w:w="357" w:type="pct"/>
                <w:shd w:val="clear" w:color="auto" w:fill="auto"/>
              </w:tcPr>
              <w:p w:rsidR="004B1879" w:rsidRPr="00E04FAA" w:rsidRDefault="004B1879" w:rsidP="00187111">
                <w:pPr>
                  <w:jc w:val="right"/>
                  <w:rPr>
                    <w:sz w:val="16"/>
                    <w:szCs w:val="16"/>
                  </w:rPr>
                </w:pPr>
                <w:r w:rsidRPr="00E04FAA">
                  <w:rPr>
                    <w:sz w:val="16"/>
                    <w:szCs w:val="16"/>
                  </w:rPr>
                  <w:t>0.79</w:t>
                </w:r>
              </w:p>
            </w:tc>
          </w:tr>
          <w:tr w:rsidR="00187111" w:rsidRPr="00E04FAA" w:rsidTr="00187111">
            <w:sdt>
              <w:sdtPr>
                <w:rPr>
                  <w:sz w:val="18"/>
                  <w:szCs w:val="18"/>
                </w:rPr>
                <w:tag w:val="_PLD_825e374a10b04cd8b646fb0b790744ee"/>
                <w:id w:val="1814746553"/>
                <w:lock w:val="sdtLocked"/>
              </w:sdtPr>
              <w:sdtContent>
                <w:tc>
                  <w:tcPr>
                    <w:tcW w:w="720" w:type="pct"/>
                    <w:shd w:val="clear" w:color="auto" w:fill="auto"/>
                  </w:tcPr>
                  <w:p w:rsidR="004B1879" w:rsidRPr="00E04FAA" w:rsidRDefault="004B1879" w:rsidP="00187111">
                    <w:pPr>
                      <w:jc w:val="both"/>
                      <w:rPr>
                        <w:sz w:val="18"/>
                        <w:szCs w:val="18"/>
                      </w:rPr>
                    </w:pPr>
                    <w:r w:rsidRPr="00E04FAA">
                      <w:rPr>
                        <w:sz w:val="18"/>
                        <w:szCs w:val="18"/>
                      </w:rPr>
                      <w:t>1、国家持股</w:t>
                    </w:r>
                  </w:p>
                </w:tc>
              </w:sdtContent>
            </w:sdt>
            <w:tc>
              <w:tcPr>
                <w:tcW w:w="643" w:type="pct"/>
                <w:shd w:val="clear" w:color="auto" w:fill="auto"/>
              </w:tcPr>
              <w:p w:rsidR="004B1879" w:rsidRPr="00E04FAA" w:rsidRDefault="004B1879" w:rsidP="00187111">
                <w:pPr>
                  <w:jc w:val="right"/>
                  <w:rPr>
                    <w:sz w:val="18"/>
                    <w:szCs w:val="18"/>
                  </w:rPr>
                </w:pPr>
              </w:p>
            </w:tc>
            <w:tc>
              <w:tcPr>
                <w:tcW w:w="321" w:type="pct"/>
                <w:shd w:val="clear" w:color="auto" w:fill="auto"/>
              </w:tcPr>
              <w:p w:rsidR="004B1879" w:rsidRPr="00E04FAA" w:rsidRDefault="004B1879" w:rsidP="00187111">
                <w:pPr>
                  <w:jc w:val="right"/>
                  <w:rPr>
                    <w:sz w:val="18"/>
                    <w:szCs w:val="18"/>
                  </w:rPr>
                </w:pPr>
              </w:p>
            </w:tc>
            <w:tc>
              <w:tcPr>
                <w:tcW w:w="241" w:type="pct"/>
                <w:shd w:val="clear" w:color="auto" w:fill="auto"/>
              </w:tcPr>
              <w:p w:rsidR="004B1879" w:rsidRPr="00E04FAA" w:rsidRDefault="004B1879" w:rsidP="00187111">
                <w:pPr>
                  <w:jc w:val="right"/>
                  <w:rPr>
                    <w:sz w:val="18"/>
                    <w:szCs w:val="18"/>
                  </w:rPr>
                </w:pPr>
              </w:p>
            </w:tc>
            <w:tc>
              <w:tcPr>
                <w:tcW w:w="161" w:type="pct"/>
                <w:shd w:val="clear" w:color="auto" w:fill="auto"/>
              </w:tcPr>
              <w:p w:rsidR="004B1879" w:rsidRPr="00E04FAA" w:rsidRDefault="004B1879" w:rsidP="00187111">
                <w:pPr>
                  <w:jc w:val="right"/>
                  <w:rPr>
                    <w:sz w:val="18"/>
                    <w:szCs w:val="18"/>
                  </w:rPr>
                </w:pPr>
              </w:p>
            </w:tc>
            <w:tc>
              <w:tcPr>
                <w:tcW w:w="563" w:type="pct"/>
                <w:shd w:val="clear" w:color="auto" w:fill="auto"/>
              </w:tcPr>
              <w:p w:rsidR="004B1879" w:rsidRPr="00E04FAA" w:rsidRDefault="004B1879" w:rsidP="00187111">
                <w:pPr>
                  <w:jc w:val="right"/>
                  <w:rPr>
                    <w:sz w:val="18"/>
                    <w:szCs w:val="18"/>
                  </w:rPr>
                </w:pPr>
              </w:p>
            </w:tc>
            <w:tc>
              <w:tcPr>
                <w:tcW w:w="723" w:type="pct"/>
                <w:shd w:val="clear" w:color="auto" w:fill="auto"/>
              </w:tcPr>
              <w:p w:rsidR="004B1879" w:rsidRPr="00E04FAA" w:rsidRDefault="004B1879" w:rsidP="00187111">
                <w:pPr>
                  <w:jc w:val="right"/>
                  <w:rPr>
                    <w:sz w:val="18"/>
                    <w:szCs w:val="18"/>
                  </w:rPr>
                </w:pPr>
              </w:p>
            </w:tc>
            <w:tc>
              <w:tcPr>
                <w:tcW w:w="643" w:type="pct"/>
                <w:shd w:val="clear" w:color="auto" w:fill="auto"/>
              </w:tcPr>
              <w:p w:rsidR="004B1879" w:rsidRPr="00E04FAA" w:rsidRDefault="004B1879" w:rsidP="00187111">
                <w:pPr>
                  <w:jc w:val="right"/>
                  <w:rPr>
                    <w:sz w:val="18"/>
                    <w:szCs w:val="18"/>
                  </w:rPr>
                </w:pPr>
              </w:p>
            </w:tc>
            <w:tc>
              <w:tcPr>
                <w:tcW w:w="628" w:type="pct"/>
                <w:shd w:val="clear" w:color="auto" w:fill="auto"/>
              </w:tcPr>
              <w:p w:rsidR="004B1879" w:rsidRPr="00E04FAA" w:rsidRDefault="004B1879" w:rsidP="00187111">
                <w:pPr>
                  <w:jc w:val="right"/>
                  <w:rPr>
                    <w:sz w:val="18"/>
                    <w:szCs w:val="18"/>
                  </w:rPr>
                </w:pPr>
              </w:p>
            </w:tc>
            <w:tc>
              <w:tcPr>
                <w:tcW w:w="357" w:type="pct"/>
                <w:shd w:val="clear" w:color="auto" w:fill="auto"/>
              </w:tcPr>
              <w:p w:rsidR="004B1879" w:rsidRPr="00E04FAA" w:rsidRDefault="004B1879" w:rsidP="00187111">
                <w:pPr>
                  <w:jc w:val="right"/>
                  <w:rPr>
                    <w:sz w:val="18"/>
                    <w:szCs w:val="18"/>
                  </w:rPr>
                </w:pPr>
              </w:p>
            </w:tc>
          </w:tr>
          <w:tr w:rsidR="00187111" w:rsidRPr="00E04FAA" w:rsidTr="00187111">
            <w:sdt>
              <w:sdtPr>
                <w:rPr>
                  <w:sz w:val="18"/>
                  <w:szCs w:val="18"/>
                </w:rPr>
                <w:tag w:val="_PLD_e9367609fbe840d5b2eaeeabe5e068f8"/>
                <w:id w:val="-1947542118"/>
                <w:lock w:val="sdtLocked"/>
              </w:sdtPr>
              <w:sdtContent>
                <w:tc>
                  <w:tcPr>
                    <w:tcW w:w="720" w:type="pct"/>
                    <w:shd w:val="clear" w:color="auto" w:fill="auto"/>
                  </w:tcPr>
                  <w:p w:rsidR="004B1879" w:rsidRPr="00E04FAA" w:rsidRDefault="004B1879" w:rsidP="00187111">
                    <w:pPr>
                      <w:jc w:val="both"/>
                      <w:rPr>
                        <w:sz w:val="18"/>
                        <w:szCs w:val="18"/>
                      </w:rPr>
                    </w:pPr>
                    <w:r w:rsidRPr="00E04FAA">
                      <w:rPr>
                        <w:sz w:val="18"/>
                        <w:szCs w:val="18"/>
                      </w:rPr>
                      <w:t>2、国有法人持股</w:t>
                    </w:r>
                  </w:p>
                </w:tc>
              </w:sdtContent>
            </w:sdt>
            <w:tc>
              <w:tcPr>
                <w:tcW w:w="643" w:type="pct"/>
                <w:shd w:val="clear" w:color="auto" w:fill="auto"/>
              </w:tcPr>
              <w:p w:rsidR="004B1879" w:rsidRPr="00E04FAA" w:rsidRDefault="004B1879" w:rsidP="00187111">
                <w:pPr>
                  <w:jc w:val="right"/>
                  <w:rPr>
                    <w:sz w:val="18"/>
                    <w:szCs w:val="18"/>
                  </w:rPr>
                </w:pPr>
              </w:p>
            </w:tc>
            <w:tc>
              <w:tcPr>
                <w:tcW w:w="321" w:type="pct"/>
                <w:shd w:val="clear" w:color="auto" w:fill="auto"/>
              </w:tcPr>
              <w:p w:rsidR="004B1879" w:rsidRPr="00E04FAA" w:rsidRDefault="004B1879" w:rsidP="00187111">
                <w:pPr>
                  <w:jc w:val="right"/>
                  <w:rPr>
                    <w:sz w:val="18"/>
                    <w:szCs w:val="18"/>
                  </w:rPr>
                </w:pPr>
              </w:p>
            </w:tc>
            <w:tc>
              <w:tcPr>
                <w:tcW w:w="241" w:type="pct"/>
                <w:shd w:val="clear" w:color="auto" w:fill="auto"/>
              </w:tcPr>
              <w:p w:rsidR="004B1879" w:rsidRPr="00E04FAA" w:rsidRDefault="004B1879" w:rsidP="00187111">
                <w:pPr>
                  <w:jc w:val="right"/>
                  <w:rPr>
                    <w:sz w:val="18"/>
                    <w:szCs w:val="18"/>
                  </w:rPr>
                </w:pPr>
              </w:p>
            </w:tc>
            <w:tc>
              <w:tcPr>
                <w:tcW w:w="161" w:type="pct"/>
                <w:shd w:val="clear" w:color="auto" w:fill="auto"/>
              </w:tcPr>
              <w:p w:rsidR="004B1879" w:rsidRPr="00E04FAA" w:rsidRDefault="004B1879" w:rsidP="00187111">
                <w:pPr>
                  <w:jc w:val="right"/>
                  <w:rPr>
                    <w:sz w:val="18"/>
                    <w:szCs w:val="18"/>
                  </w:rPr>
                </w:pPr>
              </w:p>
            </w:tc>
            <w:tc>
              <w:tcPr>
                <w:tcW w:w="563" w:type="pct"/>
                <w:shd w:val="clear" w:color="auto" w:fill="auto"/>
              </w:tcPr>
              <w:p w:rsidR="004B1879" w:rsidRPr="00E04FAA" w:rsidRDefault="004B1879" w:rsidP="00187111">
                <w:pPr>
                  <w:jc w:val="right"/>
                  <w:rPr>
                    <w:sz w:val="18"/>
                    <w:szCs w:val="18"/>
                  </w:rPr>
                </w:pPr>
              </w:p>
            </w:tc>
            <w:tc>
              <w:tcPr>
                <w:tcW w:w="723" w:type="pct"/>
                <w:shd w:val="clear" w:color="auto" w:fill="auto"/>
              </w:tcPr>
              <w:p w:rsidR="004B1879" w:rsidRPr="00E04FAA" w:rsidRDefault="004B1879" w:rsidP="00187111">
                <w:pPr>
                  <w:jc w:val="right"/>
                  <w:rPr>
                    <w:sz w:val="18"/>
                    <w:szCs w:val="18"/>
                  </w:rPr>
                </w:pPr>
              </w:p>
            </w:tc>
            <w:tc>
              <w:tcPr>
                <w:tcW w:w="643" w:type="pct"/>
                <w:shd w:val="clear" w:color="auto" w:fill="auto"/>
              </w:tcPr>
              <w:p w:rsidR="004B1879" w:rsidRPr="00E04FAA" w:rsidRDefault="004B1879" w:rsidP="00187111">
                <w:pPr>
                  <w:jc w:val="right"/>
                  <w:rPr>
                    <w:sz w:val="18"/>
                    <w:szCs w:val="18"/>
                  </w:rPr>
                </w:pPr>
              </w:p>
            </w:tc>
            <w:tc>
              <w:tcPr>
                <w:tcW w:w="628" w:type="pct"/>
                <w:shd w:val="clear" w:color="auto" w:fill="auto"/>
              </w:tcPr>
              <w:p w:rsidR="004B1879" w:rsidRPr="00E04FAA" w:rsidRDefault="004B1879" w:rsidP="00187111">
                <w:pPr>
                  <w:jc w:val="right"/>
                  <w:rPr>
                    <w:sz w:val="18"/>
                    <w:szCs w:val="18"/>
                  </w:rPr>
                </w:pPr>
              </w:p>
            </w:tc>
            <w:tc>
              <w:tcPr>
                <w:tcW w:w="357" w:type="pct"/>
                <w:shd w:val="clear" w:color="auto" w:fill="auto"/>
              </w:tcPr>
              <w:p w:rsidR="004B1879" w:rsidRPr="00E04FAA" w:rsidRDefault="004B1879" w:rsidP="00187111">
                <w:pPr>
                  <w:jc w:val="right"/>
                  <w:rPr>
                    <w:sz w:val="18"/>
                    <w:szCs w:val="18"/>
                  </w:rPr>
                </w:pPr>
              </w:p>
            </w:tc>
          </w:tr>
          <w:tr w:rsidR="00187111" w:rsidRPr="00E04FAA" w:rsidTr="00187111">
            <w:sdt>
              <w:sdtPr>
                <w:rPr>
                  <w:sz w:val="18"/>
                  <w:szCs w:val="18"/>
                </w:rPr>
                <w:tag w:val="_PLD_394e7d2a99854fa785f7d22ad2bcf2df"/>
                <w:id w:val="-1051304709"/>
                <w:lock w:val="sdtLocked"/>
              </w:sdtPr>
              <w:sdtContent>
                <w:tc>
                  <w:tcPr>
                    <w:tcW w:w="720" w:type="pct"/>
                    <w:shd w:val="clear" w:color="auto" w:fill="auto"/>
                  </w:tcPr>
                  <w:p w:rsidR="004B1879" w:rsidRPr="00E04FAA" w:rsidRDefault="004B1879" w:rsidP="00187111">
                    <w:pPr>
                      <w:jc w:val="both"/>
                      <w:rPr>
                        <w:sz w:val="18"/>
                        <w:szCs w:val="18"/>
                      </w:rPr>
                    </w:pPr>
                    <w:r w:rsidRPr="00E04FAA">
                      <w:rPr>
                        <w:sz w:val="18"/>
                        <w:szCs w:val="18"/>
                      </w:rPr>
                      <w:t>3、其他内资持股</w:t>
                    </w:r>
                  </w:p>
                </w:tc>
              </w:sdtContent>
            </w:sdt>
            <w:tc>
              <w:tcPr>
                <w:tcW w:w="643" w:type="pct"/>
                <w:shd w:val="clear" w:color="auto" w:fill="auto"/>
              </w:tcPr>
              <w:p w:rsidR="004B1879" w:rsidRPr="00E04FAA" w:rsidRDefault="004B1879" w:rsidP="00187111">
                <w:pPr>
                  <w:jc w:val="right"/>
                  <w:rPr>
                    <w:sz w:val="16"/>
                    <w:szCs w:val="16"/>
                  </w:rPr>
                </w:pPr>
                <w:r w:rsidRPr="00E04FAA">
                  <w:rPr>
                    <w:sz w:val="16"/>
                    <w:szCs w:val="16"/>
                  </w:rPr>
                  <w:t>26,684,771</w:t>
                </w:r>
              </w:p>
            </w:tc>
            <w:tc>
              <w:tcPr>
                <w:tcW w:w="321" w:type="pct"/>
                <w:shd w:val="clear" w:color="auto" w:fill="auto"/>
              </w:tcPr>
              <w:p w:rsidR="004B1879" w:rsidRPr="00E04FAA" w:rsidRDefault="004B1879" w:rsidP="00187111">
                <w:pPr>
                  <w:jc w:val="right"/>
                  <w:rPr>
                    <w:sz w:val="16"/>
                    <w:szCs w:val="16"/>
                  </w:rPr>
                </w:pPr>
                <w:r w:rsidRPr="00E04FAA">
                  <w:rPr>
                    <w:sz w:val="16"/>
                    <w:szCs w:val="16"/>
                  </w:rPr>
                  <w:t>1.39</w:t>
                </w:r>
              </w:p>
            </w:tc>
            <w:tc>
              <w:tcPr>
                <w:tcW w:w="241" w:type="pct"/>
                <w:shd w:val="clear" w:color="auto" w:fill="auto"/>
              </w:tcPr>
              <w:p w:rsidR="004B1879" w:rsidRPr="00E04FAA" w:rsidRDefault="004B1879" w:rsidP="00187111">
                <w:pPr>
                  <w:jc w:val="right"/>
                  <w:rPr>
                    <w:sz w:val="16"/>
                    <w:szCs w:val="16"/>
                  </w:rPr>
                </w:pPr>
              </w:p>
            </w:tc>
            <w:tc>
              <w:tcPr>
                <w:tcW w:w="161" w:type="pct"/>
                <w:shd w:val="clear" w:color="auto" w:fill="auto"/>
              </w:tcPr>
              <w:p w:rsidR="004B1879" w:rsidRPr="00E04FAA" w:rsidRDefault="004B1879" w:rsidP="00187111">
                <w:pPr>
                  <w:jc w:val="right"/>
                  <w:rPr>
                    <w:sz w:val="16"/>
                    <w:szCs w:val="16"/>
                  </w:rPr>
                </w:pPr>
              </w:p>
            </w:tc>
            <w:tc>
              <w:tcPr>
                <w:tcW w:w="563" w:type="pct"/>
                <w:shd w:val="clear" w:color="auto" w:fill="auto"/>
              </w:tcPr>
              <w:p w:rsidR="004B1879" w:rsidRPr="00E04FAA" w:rsidRDefault="004B1879" w:rsidP="00187111">
                <w:pPr>
                  <w:jc w:val="right"/>
                  <w:rPr>
                    <w:sz w:val="16"/>
                    <w:szCs w:val="16"/>
                  </w:rPr>
                </w:pPr>
                <w:r w:rsidRPr="00E04FAA">
                  <w:rPr>
                    <w:sz w:val="16"/>
                    <w:szCs w:val="16"/>
                  </w:rPr>
                  <w:t>4,534,478</w:t>
                </w:r>
              </w:p>
            </w:tc>
            <w:tc>
              <w:tcPr>
                <w:tcW w:w="723" w:type="pct"/>
                <w:shd w:val="clear" w:color="auto" w:fill="auto"/>
              </w:tcPr>
              <w:p w:rsidR="004B1879" w:rsidRPr="00E04FAA" w:rsidRDefault="004B1879" w:rsidP="00187111">
                <w:pPr>
                  <w:jc w:val="right"/>
                  <w:rPr>
                    <w:sz w:val="16"/>
                    <w:szCs w:val="16"/>
                  </w:rPr>
                </w:pPr>
                <w:r w:rsidRPr="00E04FAA">
                  <w:rPr>
                    <w:sz w:val="16"/>
                    <w:szCs w:val="16"/>
                  </w:rPr>
                  <w:t>-11,569,773</w:t>
                </w:r>
              </w:p>
            </w:tc>
            <w:tc>
              <w:tcPr>
                <w:tcW w:w="643" w:type="pct"/>
                <w:shd w:val="clear" w:color="auto" w:fill="auto"/>
              </w:tcPr>
              <w:p w:rsidR="004B1879" w:rsidRPr="00E04FAA" w:rsidRDefault="004B1879" w:rsidP="00187111">
                <w:pPr>
                  <w:jc w:val="right"/>
                  <w:rPr>
                    <w:sz w:val="16"/>
                    <w:szCs w:val="16"/>
                  </w:rPr>
                </w:pPr>
                <w:r w:rsidRPr="00E04FAA">
                  <w:rPr>
                    <w:sz w:val="16"/>
                    <w:szCs w:val="16"/>
                  </w:rPr>
                  <w:t>-7,035,295</w:t>
                </w:r>
              </w:p>
            </w:tc>
            <w:tc>
              <w:tcPr>
                <w:tcW w:w="628" w:type="pct"/>
                <w:shd w:val="clear" w:color="auto" w:fill="auto"/>
              </w:tcPr>
              <w:p w:rsidR="004B1879" w:rsidRPr="00E04FAA" w:rsidRDefault="004B1879" w:rsidP="00187111">
                <w:pPr>
                  <w:jc w:val="right"/>
                  <w:rPr>
                    <w:sz w:val="16"/>
                    <w:szCs w:val="16"/>
                  </w:rPr>
                </w:pPr>
                <w:r w:rsidRPr="00E04FAA">
                  <w:rPr>
                    <w:sz w:val="16"/>
                    <w:szCs w:val="16"/>
                  </w:rPr>
                  <w:t>19,649,476</w:t>
                </w:r>
              </w:p>
            </w:tc>
            <w:tc>
              <w:tcPr>
                <w:tcW w:w="357" w:type="pct"/>
                <w:shd w:val="clear" w:color="auto" w:fill="auto"/>
              </w:tcPr>
              <w:p w:rsidR="004B1879" w:rsidRPr="00E04FAA" w:rsidRDefault="004B1879" w:rsidP="00187111">
                <w:pPr>
                  <w:jc w:val="right"/>
                  <w:rPr>
                    <w:sz w:val="16"/>
                    <w:szCs w:val="16"/>
                  </w:rPr>
                </w:pPr>
                <w:r w:rsidRPr="00E04FAA">
                  <w:rPr>
                    <w:sz w:val="16"/>
                    <w:szCs w:val="16"/>
                  </w:rPr>
                  <w:t>0.79</w:t>
                </w:r>
              </w:p>
            </w:tc>
          </w:tr>
          <w:tr w:rsidR="00187111" w:rsidRPr="00E04FAA" w:rsidTr="00187111">
            <w:sdt>
              <w:sdtPr>
                <w:rPr>
                  <w:sz w:val="18"/>
                  <w:szCs w:val="18"/>
                </w:rPr>
                <w:tag w:val="_PLD_cab51a2eff7741aa91025aa3b6dca821"/>
                <w:id w:val="1508408763"/>
                <w:lock w:val="sdtLocked"/>
              </w:sdtPr>
              <w:sdtContent>
                <w:tc>
                  <w:tcPr>
                    <w:tcW w:w="720" w:type="pct"/>
                    <w:shd w:val="clear" w:color="auto" w:fill="auto"/>
                  </w:tcPr>
                  <w:p w:rsidR="004B1879" w:rsidRPr="00E04FAA" w:rsidRDefault="004B1879" w:rsidP="00187111">
                    <w:pPr>
                      <w:jc w:val="both"/>
                      <w:rPr>
                        <w:sz w:val="18"/>
                        <w:szCs w:val="18"/>
                      </w:rPr>
                    </w:pPr>
                    <w:r w:rsidRPr="00E04FAA">
                      <w:rPr>
                        <w:sz w:val="18"/>
                        <w:szCs w:val="18"/>
                      </w:rPr>
                      <w:t>其中：境内非国有法人持股</w:t>
                    </w:r>
                  </w:p>
                </w:tc>
              </w:sdtContent>
            </w:sdt>
            <w:tc>
              <w:tcPr>
                <w:tcW w:w="643" w:type="pct"/>
                <w:shd w:val="clear" w:color="auto" w:fill="auto"/>
              </w:tcPr>
              <w:p w:rsidR="004B1879" w:rsidRPr="00E04FAA" w:rsidRDefault="004B1879" w:rsidP="00187111">
                <w:pPr>
                  <w:jc w:val="right"/>
                  <w:rPr>
                    <w:sz w:val="16"/>
                    <w:szCs w:val="16"/>
                  </w:rPr>
                </w:pPr>
                <w:r w:rsidRPr="00E04FAA">
                  <w:rPr>
                    <w:sz w:val="16"/>
                    <w:szCs w:val="16"/>
                  </w:rPr>
                  <w:t>70</w:t>
                </w:r>
              </w:p>
            </w:tc>
            <w:tc>
              <w:tcPr>
                <w:tcW w:w="321" w:type="pct"/>
                <w:shd w:val="clear" w:color="auto" w:fill="auto"/>
              </w:tcPr>
              <w:p w:rsidR="004B1879" w:rsidRPr="00E04FAA" w:rsidRDefault="004B1879" w:rsidP="00187111">
                <w:pPr>
                  <w:jc w:val="right"/>
                  <w:rPr>
                    <w:sz w:val="16"/>
                    <w:szCs w:val="16"/>
                  </w:rPr>
                </w:pPr>
                <w:r w:rsidRPr="00E04FAA">
                  <w:rPr>
                    <w:sz w:val="16"/>
                    <w:szCs w:val="16"/>
                  </w:rPr>
                  <w:t>0</w:t>
                </w:r>
              </w:p>
            </w:tc>
            <w:tc>
              <w:tcPr>
                <w:tcW w:w="241" w:type="pct"/>
                <w:shd w:val="clear" w:color="auto" w:fill="auto"/>
              </w:tcPr>
              <w:p w:rsidR="004B1879" w:rsidRPr="00E04FAA" w:rsidRDefault="004B1879" w:rsidP="00187111">
                <w:pPr>
                  <w:jc w:val="right"/>
                  <w:rPr>
                    <w:sz w:val="16"/>
                    <w:szCs w:val="16"/>
                  </w:rPr>
                </w:pPr>
              </w:p>
            </w:tc>
            <w:tc>
              <w:tcPr>
                <w:tcW w:w="161" w:type="pct"/>
                <w:shd w:val="clear" w:color="auto" w:fill="auto"/>
              </w:tcPr>
              <w:p w:rsidR="004B1879" w:rsidRPr="00E04FAA" w:rsidRDefault="004B1879" w:rsidP="00187111">
                <w:pPr>
                  <w:jc w:val="right"/>
                  <w:rPr>
                    <w:sz w:val="16"/>
                    <w:szCs w:val="16"/>
                  </w:rPr>
                </w:pPr>
              </w:p>
            </w:tc>
            <w:tc>
              <w:tcPr>
                <w:tcW w:w="563" w:type="pct"/>
                <w:shd w:val="clear" w:color="auto" w:fill="auto"/>
              </w:tcPr>
              <w:p w:rsidR="004B1879" w:rsidRPr="00E04FAA" w:rsidRDefault="004B1879" w:rsidP="00187111">
                <w:pPr>
                  <w:jc w:val="right"/>
                  <w:rPr>
                    <w:sz w:val="16"/>
                    <w:szCs w:val="16"/>
                  </w:rPr>
                </w:pPr>
              </w:p>
            </w:tc>
            <w:tc>
              <w:tcPr>
                <w:tcW w:w="723" w:type="pct"/>
                <w:shd w:val="clear" w:color="auto" w:fill="auto"/>
              </w:tcPr>
              <w:p w:rsidR="004B1879" w:rsidRPr="00E04FAA" w:rsidRDefault="004B1879" w:rsidP="00187111">
                <w:pPr>
                  <w:jc w:val="right"/>
                  <w:rPr>
                    <w:sz w:val="16"/>
                    <w:szCs w:val="16"/>
                  </w:rPr>
                </w:pPr>
              </w:p>
            </w:tc>
            <w:tc>
              <w:tcPr>
                <w:tcW w:w="643" w:type="pct"/>
                <w:shd w:val="clear" w:color="auto" w:fill="auto"/>
              </w:tcPr>
              <w:p w:rsidR="004B1879" w:rsidRPr="00E04FAA" w:rsidRDefault="004B1879" w:rsidP="00187111">
                <w:pPr>
                  <w:jc w:val="right"/>
                  <w:rPr>
                    <w:sz w:val="16"/>
                    <w:szCs w:val="16"/>
                  </w:rPr>
                </w:pPr>
              </w:p>
            </w:tc>
            <w:tc>
              <w:tcPr>
                <w:tcW w:w="628" w:type="pct"/>
                <w:shd w:val="clear" w:color="auto" w:fill="auto"/>
              </w:tcPr>
              <w:p w:rsidR="004B1879" w:rsidRPr="00E04FAA" w:rsidRDefault="004B1879" w:rsidP="00187111">
                <w:pPr>
                  <w:jc w:val="right"/>
                  <w:rPr>
                    <w:color w:val="000000" w:themeColor="text1"/>
                    <w:sz w:val="16"/>
                    <w:szCs w:val="16"/>
                  </w:rPr>
                </w:pPr>
                <w:r w:rsidRPr="00E04FAA">
                  <w:rPr>
                    <w:color w:val="000000" w:themeColor="text1"/>
                    <w:sz w:val="16"/>
                    <w:szCs w:val="16"/>
                  </w:rPr>
                  <w:t>70</w:t>
                </w:r>
              </w:p>
            </w:tc>
            <w:tc>
              <w:tcPr>
                <w:tcW w:w="357" w:type="pct"/>
                <w:shd w:val="clear" w:color="auto" w:fill="auto"/>
              </w:tcPr>
              <w:p w:rsidR="004B1879" w:rsidRPr="00E04FAA" w:rsidRDefault="004B1879" w:rsidP="00187111">
                <w:pPr>
                  <w:jc w:val="right"/>
                  <w:rPr>
                    <w:color w:val="000000" w:themeColor="text1"/>
                    <w:sz w:val="16"/>
                    <w:szCs w:val="16"/>
                  </w:rPr>
                </w:pPr>
                <w:r w:rsidRPr="00E04FAA">
                  <w:rPr>
                    <w:color w:val="000000" w:themeColor="text1"/>
                    <w:sz w:val="16"/>
                    <w:szCs w:val="16"/>
                  </w:rPr>
                  <w:t>0.00</w:t>
                </w:r>
              </w:p>
            </w:tc>
          </w:tr>
          <w:tr w:rsidR="00187111" w:rsidRPr="00E04FAA" w:rsidTr="00187111">
            <w:sdt>
              <w:sdtPr>
                <w:rPr>
                  <w:sz w:val="18"/>
                  <w:szCs w:val="18"/>
                </w:rPr>
                <w:tag w:val="_PLD_80478013c74a49cf94d92f76bfd657a1"/>
                <w:id w:val="-1054844591"/>
                <w:lock w:val="sdtLocked"/>
              </w:sdtPr>
              <w:sdtEndPr>
                <w:rPr>
                  <w:color w:val="FF0000"/>
                </w:rPr>
              </w:sdtEndPr>
              <w:sdtContent>
                <w:tc>
                  <w:tcPr>
                    <w:tcW w:w="720" w:type="pct"/>
                    <w:shd w:val="clear" w:color="auto" w:fill="auto"/>
                  </w:tcPr>
                  <w:p w:rsidR="004B1879" w:rsidRPr="00E04FAA" w:rsidRDefault="004B1879" w:rsidP="00187111">
                    <w:pPr>
                      <w:jc w:val="both"/>
                      <w:rPr>
                        <w:sz w:val="18"/>
                        <w:szCs w:val="18"/>
                      </w:rPr>
                    </w:pPr>
                    <w:r w:rsidRPr="00E04FAA">
                      <w:rPr>
                        <w:color w:val="000000" w:themeColor="text1"/>
                        <w:sz w:val="18"/>
                        <w:szCs w:val="18"/>
                      </w:rPr>
                      <w:t>境内自然人持股</w:t>
                    </w:r>
                  </w:p>
                </w:tc>
              </w:sdtContent>
            </w:sdt>
            <w:tc>
              <w:tcPr>
                <w:tcW w:w="643" w:type="pct"/>
                <w:shd w:val="clear" w:color="auto" w:fill="auto"/>
              </w:tcPr>
              <w:p w:rsidR="004B1879" w:rsidRPr="00E04FAA" w:rsidRDefault="004B1879" w:rsidP="00187111">
                <w:pPr>
                  <w:jc w:val="right"/>
                  <w:rPr>
                    <w:sz w:val="16"/>
                    <w:szCs w:val="16"/>
                  </w:rPr>
                </w:pPr>
                <w:r w:rsidRPr="00E04FAA">
                  <w:rPr>
                    <w:sz w:val="16"/>
                    <w:szCs w:val="16"/>
                  </w:rPr>
                  <w:t>26,684,701</w:t>
                </w:r>
              </w:p>
            </w:tc>
            <w:tc>
              <w:tcPr>
                <w:tcW w:w="321" w:type="pct"/>
                <w:shd w:val="clear" w:color="auto" w:fill="auto"/>
              </w:tcPr>
              <w:p w:rsidR="004B1879" w:rsidRPr="00E04FAA" w:rsidRDefault="004B1879" w:rsidP="00187111">
                <w:pPr>
                  <w:jc w:val="right"/>
                  <w:rPr>
                    <w:sz w:val="16"/>
                    <w:szCs w:val="16"/>
                  </w:rPr>
                </w:pPr>
                <w:r w:rsidRPr="00E04FAA">
                  <w:rPr>
                    <w:sz w:val="16"/>
                    <w:szCs w:val="16"/>
                  </w:rPr>
                  <w:t>1.39</w:t>
                </w:r>
              </w:p>
            </w:tc>
            <w:tc>
              <w:tcPr>
                <w:tcW w:w="241" w:type="pct"/>
                <w:shd w:val="clear" w:color="auto" w:fill="auto"/>
              </w:tcPr>
              <w:p w:rsidR="004B1879" w:rsidRPr="00E04FAA" w:rsidRDefault="004B1879" w:rsidP="00187111">
                <w:pPr>
                  <w:jc w:val="right"/>
                  <w:rPr>
                    <w:sz w:val="16"/>
                    <w:szCs w:val="16"/>
                  </w:rPr>
                </w:pPr>
              </w:p>
            </w:tc>
            <w:tc>
              <w:tcPr>
                <w:tcW w:w="161" w:type="pct"/>
                <w:shd w:val="clear" w:color="auto" w:fill="auto"/>
              </w:tcPr>
              <w:p w:rsidR="004B1879" w:rsidRPr="00E04FAA" w:rsidRDefault="004B1879" w:rsidP="00187111">
                <w:pPr>
                  <w:jc w:val="right"/>
                  <w:rPr>
                    <w:sz w:val="16"/>
                    <w:szCs w:val="16"/>
                  </w:rPr>
                </w:pPr>
              </w:p>
            </w:tc>
            <w:tc>
              <w:tcPr>
                <w:tcW w:w="563" w:type="pct"/>
                <w:shd w:val="clear" w:color="auto" w:fill="auto"/>
              </w:tcPr>
              <w:p w:rsidR="004B1879" w:rsidRPr="00E04FAA" w:rsidRDefault="004B1879" w:rsidP="00187111">
                <w:pPr>
                  <w:jc w:val="right"/>
                  <w:rPr>
                    <w:sz w:val="16"/>
                    <w:szCs w:val="16"/>
                  </w:rPr>
                </w:pPr>
                <w:r w:rsidRPr="00E04FAA">
                  <w:rPr>
                    <w:sz w:val="16"/>
                    <w:szCs w:val="16"/>
                  </w:rPr>
                  <w:t>4,534,478</w:t>
                </w:r>
              </w:p>
            </w:tc>
            <w:tc>
              <w:tcPr>
                <w:tcW w:w="723" w:type="pct"/>
                <w:shd w:val="clear" w:color="auto" w:fill="auto"/>
              </w:tcPr>
              <w:p w:rsidR="004B1879" w:rsidRPr="00E04FAA" w:rsidRDefault="004B1879" w:rsidP="00187111">
                <w:pPr>
                  <w:jc w:val="right"/>
                  <w:rPr>
                    <w:sz w:val="16"/>
                    <w:szCs w:val="16"/>
                  </w:rPr>
                </w:pPr>
                <w:r w:rsidRPr="00E04FAA">
                  <w:rPr>
                    <w:sz w:val="16"/>
                    <w:szCs w:val="16"/>
                  </w:rPr>
                  <w:t>-11,569,773</w:t>
                </w:r>
              </w:p>
            </w:tc>
            <w:tc>
              <w:tcPr>
                <w:tcW w:w="643" w:type="pct"/>
                <w:shd w:val="clear" w:color="auto" w:fill="auto"/>
              </w:tcPr>
              <w:p w:rsidR="004B1879" w:rsidRPr="00E04FAA" w:rsidRDefault="004B1879" w:rsidP="00187111">
                <w:pPr>
                  <w:jc w:val="right"/>
                  <w:rPr>
                    <w:sz w:val="16"/>
                    <w:szCs w:val="16"/>
                  </w:rPr>
                </w:pPr>
                <w:r w:rsidRPr="00E04FAA">
                  <w:rPr>
                    <w:sz w:val="16"/>
                    <w:szCs w:val="16"/>
                  </w:rPr>
                  <w:t>-7,035,295</w:t>
                </w:r>
              </w:p>
            </w:tc>
            <w:tc>
              <w:tcPr>
                <w:tcW w:w="628" w:type="pct"/>
                <w:shd w:val="clear" w:color="auto" w:fill="auto"/>
              </w:tcPr>
              <w:p w:rsidR="004B1879" w:rsidRPr="00E04FAA" w:rsidRDefault="004B1879" w:rsidP="00187111">
                <w:pPr>
                  <w:jc w:val="right"/>
                  <w:rPr>
                    <w:color w:val="000000" w:themeColor="text1"/>
                    <w:sz w:val="16"/>
                    <w:szCs w:val="16"/>
                  </w:rPr>
                </w:pPr>
                <w:r w:rsidRPr="00E04FAA">
                  <w:rPr>
                    <w:color w:val="000000" w:themeColor="text1"/>
                    <w:sz w:val="16"/>
                    <w:szCs w:val="16"/>
                  </w:rPr>
                  <w:t>19,649,406</w:t>
                </w:r>
              </w:p>
            </w:tc>
            <w:tc>
              <w:tcPr>
                <w:tcW w:w="357" w:type="pct"/>
                <w:shd w:val="clear" w:color="auto" w:fill="auto"/>
              </w:tcPr>
              <w:p w:rsidR="004B1879" w:rsidRPr="00E04FAA" w:rsidRDefault="004B1879" w:rsidP="00187111">
                <w:pPr>
                  <w:jc w:val="right"/>
                  <w:rPr>
                    <w:color w:val="000000" w:themeColor="text1"/>
                    <w:sz w:val="16"/>
                    <w:szCs w:val="16"/>
                  </w:rPr>
                </w:pPr>
                <w:r w:rsidRPr="00E04FAA">
                  <w:rPr>
                    <w:color w:val="000000" w:themeColor="text1"/>
                    <w:sz w:val="16"/>
                    <w:szCs w:val="16"/>
                  </w:rPr>
                  <w:t>0.79</w:t>
                </w:r>
              </w:p>
            </w:tc>
          </w:tr>
          <w:tr w:rsidR="00187111" w:rsidRPr="00E04FAA" w:rsidTr="00187111">
            <w:sdt>
              <w:sdtPr>
                <w:rPr>
                  <w:sz w:val="18"/>
                  <w:szCs w:val="18"/>
                </w:rPr>
                <w:tag w:val="_PLD_3517f418e2dd48a9bda723f00556843a"/>
                <w:id w:val="-911626950"/>
                <w:lock w:val="sdtLocked"/>
              </w:sdtPr>
              <w:sdtContent>
                <w:tc>
                  <w:tcPr>
                    <w:tcW w:w="720" w:type="pct"/>
                    <w:shd w:val="clear" w:color="auto" w:fill="auto"/>
                  </w:tcPr>
                  <w:p w:rsidR="004B1879" w:rsidRPr="00E04FAA" w:rsidRDefault="004B1879" w:rsidP="00187111">
                    <w:pPr>
                      <w:jc w:val="both"/>
                      <w:rPr>
                        <w:sz w:val="18"/>
                        <w:szCs w:val="18"/>
                      </w:rPr>
                    </w:pPr>
                    <w:r w:rsidRPr="00E04FAA">
                      <w:rPr>
                        <w:rFonts w:hint="eastAsia"/>
                        <w:sz w:val="18"/>
                        <w:szCs w:val="18"/>
                      </w:rPr>
                      <w:t>4、</w:t>
                    </w:r>
                    <w:r w:rsidRPr="00E04FAA">
                      <w:rPr>
                        <w:sz w:val="18"/>
                        <w:szCs w:val="18"/>
                      </w:rPr>
                      <w:t>外资持股</w:t>
                    </w:r>
                  </w:p>
                </w:tc>
              </w:sdtContent>
            </w:sdt>
            <w:tc>
              <w:tcPr>
                <w:tcW w:w="643" w:type="pct"/>
                <w:shd w:val="clear" w:color="auto" w:fill="auto"/>
              </w:tcPr>
              <w:p w:rsidR="004B1879" w:rsidRPr="00E04FAA" w:rsidRDefault="004B1879" w:rsidP="00187111">
                <w:pPr>
                  <w:jc w:val="right"/>
                  <w:rPr>
                    <w:sz w:val="16"/>
                    <w:szCs w:val="16"/>
                  </w:rPr>
                </w:pPr>
              </w:p>
            </w:tc>
            <w:tc>
              <w:tcPr>
                <w:tcW w:w="321" w:type="pct"/>
                <w:shd w:val="clear" w:color="auto" w:fill="auto"/>
              </w:tcPr>
              <w:p w:rsidR="004B1879" w:rsidRPr="00E04FAA" w:rsidRDefault="004B1879" w:rsidP="00187111">
                <w:pPr>
                  <w:jc w:val="right"/>
                  <w:rPr>
                    <w:sz w:val="16"/>
                    <w:szCs w:val="16"/>
                  </w:rPr>
                </w:pPr>
              </w:p>
            </w:tc>
            <w:tc>
              <w:tcPr>
                <w:tcW w:w="241" w:type="pct"/>
                <w:shd w:val="clear" w:color="auto" w:fill="auto"/>
              </w:tcPr>
              <w:p w:rsidR="004B1879" w:rsidRPr="00E04FAA" w:rsidRDefault="004B1879" w:rsidP="00187111">
                <w:pPr>
                  <w:jc w:val="right"/>
                  <w:rPr>
                    <w:sz w:val="16"/>
                    <w:szCs w:val="16"/>
                  </w:rPr>
                </w:pPr>
              </w:p>
            </w:tc>
            <w:tc>
              <w:tcPr>
                <w:tcW w:w="161" w:type="pct"/>
                <w:shd w:val="clear" w:color="auto" w:fill="auto"/>
              </w:tcPr>
              <w:p w:rsidR="004B1879" w:rsidRPr="00E04FAA" w:rsidRDefault="004B1879" w:rsidP="00187111">
                <w:pPr>
                  <w:jc w:val="right"/>
                  <w:rPr>
                    <w:sz w:val="16"/>
                    <w:szCs w:val="16"/>
                  </w:rPr>
                </w:pPr>
              </w:p>
            </w:tc>
            <w:tc>
              <w:tcPr>
                <w:tcW w:w="563" w:type="pct"/>
                <w:shd w:val="clear" w:color="auto" w:fill="auto"/>
              </w:tcPr>
              <w:p w:rsidR="004B1879" w:rsidRPr="00E04FAA" w:rsidRDefault="004B1879" w:rsidP="00187111">
                <w:pPr>
                  <w:jc w:val="right"/>
                  <w:rPr>
                    <w:sz w:val="16"/>
                    <w:szCs w:val="16"/>
                  </w:rPr>
                </w:pPr>
              </w:p>
            </w:tc>
            <w:tc>
              <w:tcPr>
                <w:tcW w:w="723" w:type="pct"/>
                <w:shd w:val="clear" w:color="auto" w:fill="auto"/>
              </w:tcPr>
              <w:p w:rsidR="004B1879" w:rsidRPr="00E04FAA" w:rsidRDefault="004B1879" w:rsidP="00187111">
                <w:pPr>
                  <w:jc w:val="right"/>
                  <w:rPr>
                    <w:sz w:val="16"/>
                    <w:szCs w:val="16"/>
                  </w:rPr>
                </w:pPr>
              </w:p>
            </w:tc>
            <w:tc>
              <w:tcPr>
                <w:tcW w:w="643" w:type="pct"/>
                <w:shd w:val="clear" w:color="auto" w:fill="auto"/>
              </w:tcPr>
              <w:p w:rsidR="004B1879" w:rsidRPr="00E04FAA" w:rsidRDefault="004B1879" w:rsidP="00187111">
                <w:pPr>
                  <w:jc w:val="right"/>
                  <w:rPr>
                    <w:sz w:val="16"/>
                    <w:szCs w:val="16"/>
                  </w:rPr>
                </w:pPr>
              </w:p>
            </w:tc>
            <w:tc>
              <w:tcPr>
                <w:tcW w:w="628" w:type="pct"/>
                <w:shd w:val="clear" w:color="auto" w:fill="auto"/>
              </w:tcPr>
              <w:p w:rsidR="004B1879" w:rsidRPr="00E04FAA" w:rsidRDefault="004B1879" w:rsidP="00187111">
                <w:pPr>
                  <w:jc w:val="right"/>
                  <w:rPr>
                    <w:color w:val="000000" w:themeColor="text1"/>
                    <w:sz w:val="16"/>
                    <w:szCs w:val="16"/>
                  </w:rPr>
                </w:pPr>
              </w:p>
            </w:tc>
            <w:tc>
              <w:tcPr>
                <w:tcW w:w="357" w:type="pct"/>
                <w:shd w:val="clear" w:color="auto" w:fill="auto"/>
              </w:tcPr>
              <w:p w:rsidR="004B1879" w:rsidRPr="00E04FAA" w:rsidRDefault="004B1879" w:rsidP="00187111">
                <w:pPr>
                  <w:jc w:val="right"/>
                  <w:rPr>
                    <w:color w:val="000000" w:themeColor="text1"/>
                    <w:sz w:val="16"/>
                    <w:szCs w:val="16"/>
                  </w:rPr>
                </w:pPr>
              </w:p>
            </w:tc>
          </w:tr>
          <w:tr w:rsidR="00187111" w:rsidRPr="00E04FAA" w:rsidTr="00187111">
            <w:sdt>
              <w:sdtPr>
                <w:rPr>
                  <w:sz w:val="18"/>
                  <w:szCs w:val="18"/>
                </w:rPr>
                <w:tag w:val="_PLD_cf3d2363f23a4a3298302ad03b87e8ea"/>
                <w:id w:val="-215204751"/>
                <w:lock w:val="sdtLocked"/>
              </w:sdtPr>
              <w:sdtContent>
                <w:tc>
                  <w:tcPr>
                    <w:tcW w:w="720" w:type="pct"/>
                    <w:shd w:val="clear" w:color="auto" w:fill="auto"/>
                  </w:tcPr>
                  <w:p w:rsidR="004B1879" w:rsidRPr="00E04FAA" w:rsidRDefault="004B1879" w:rsidP="00187111">
                    <w:pPr>
                      <w:jc w:val="both"/>
                      <w:rPr>
                        <w:sz w:val="18"/>
                        <w:szCs w:val="18"/>
                      </w:rPr>
                    </w:pPr>
                    <w:r w:rsidRPr="00E04FAA">
                      <w:rPr>
                        <w:sz w:val="18"/>
                        <w:szCs w:val="18"/>
                      </w:rPr>
                      <w:t>其中：境外法人持股</w:t>
                    </w:r>
                  </w:p>
                </w:tc>
              </w:sdtContent>
            </w:sdt>
            <w:tc>
              <w:tcPr>
                <w:tcW w:w="643" w:type="pct"/>
                <w:shd w:val="clear" w:color="auto" w:fill="auto"/>
              </w:tcPr>
              <w:p w:rsidR="004B1879" w:rsidRPr="00E04FAA" w:rsidRDefault="004B1879" w:rsidP="00187111">
                <w:pPr>
                  <w:jc w:val="right"/>
                  <w:rPr>
                    <w:sz w:val="16"/>
                    <w:szCs w:val="16"/>
                  </w:rPr>
                </w:pPr>
              </w:p>
            </w:tc>
            <w:tc>
              <w:tcPr>
                <w:tcW w:w="321" w:type="pct"/>
                <w:shd w:val="clear" w:color="auto" w:fill="auto"/>
              </w:tcPr>
              <w:p w:rsidR="004B1879" w:rsidRPr="00E04FAA" w:rsidRDefault="004B1879" w:rsidP="00187111">
                <w:pPr>
                  <w:jc w:val="right"/>
                  <w:rPr>
                    <w:sz w:val="16"/>
                    <w:szCs w:val="16"/>
                  </w:rPr>
                </w:pPr>
              </w:p>
            </w:tc>
            <w:tc>
              <w:tcPr>
                <w:tcW w:w="241" w:type="pct"/>
                <w:shd w:val="clear" w:color="auto" w:fill="auto"/>
              </w:tcPr>
              <w:p w:rsidR="004B1879" w:rsidRPr="00E04FAA" w:rsidRDefault="004B1879" w:rsidP="00187111">
                <w:pPr>
                  <w:jc w:val="right"/>
                  <w:rPr>
                    <w:sz w:val="16"/>
                    <w:szCs w:val="16"/>
                  </w:rPr>
                </w:pPr>
              </w:p>
            </w:tc>
            <w:tc>
              <w:tcPr>
                <w:tcW w:w="161" w:type="pct"/>
                <w:shd w:val="clear" w:color="auto" w:fill="auto"/>
              </w:tcPr>
              <w:p w:rsidR="004B1879" w:rsidRPr="00E04FAA" w:rsidRDefault="004B1879" w:rsidP="00187111">
                <w:pPr>
                  <w:jc w:val="right"/>
                  <w:rPr>
                    <w:sz w:val="16"/>
                    <w:szCs w:val="16"/>
                  </w:rPr>
                </w:pPr>
              </w:p>
            </w:tc>
            <w:tc>
              <w:tcPr>
                <w:tcW w:w="563" w:type="pct"/>
                <w:shd w:val="clear" w:color="auto" w:fill="auto"/>
              </w:tcPr>
              <w:p w:rsidR="004B1879" w:rsidRPr="00E04FAA" w:rsidRDefault="004B1879" w:rsidP="00187111">
                <w:pPr>
                  <w:jc w:val="right"/>
                  <w:rPr>
                    <w:sz w:val="16"/>
                    <w:szCs w:val="16"/>
                  </w:rPr>
                </w:pPr>
              </w:p>
            </w:tc>
            <w:tc>
              <w:tcPr>
                <w:tcW w:w="723" w:type="pct"/>
                <w:shd w:val="clear" w:color="auto" w:fill="auto"/>
              </w:tcPr>
              <w:p w:rsidR="004B1879" w:rsidRPr="00E04FAA" w:rsidRDefault="004B1879" w:rsidP="00187111">
                <w:pPr>
                  <w:jc w:val="right"/>
                  <w:rPr>
                    <w:sz w:val="16"/>
                    <w:szCs w:val="16"/>
                  </w:rPr>
                </w:pPr>
              </w:p>
            </w:tc>
            <w:tc>
              <w:tcPr>
                <w:tcW w:w="643" w:type="pct"/>
                <w:shd w:val="clear" w:color="auto" w:fill="auto"/>
              </w:tcPr>
              <w:p w:rsidR="004B1879" w:rsidRPr="00E04FAA" w:rsidRDefault="004B1879" w:rsidP="00187111">
                <w:pPr>
                  <w:jc w:val="right"/>
                  <w:rPr>
                    <w:sz w:val="16"/>
                    <w:szCs w:val="16"/>
                  </w:rPr>
                </w:pPr>
              </w:p>
            </w:tc>
            <w:tc>
              <w:tcPr>
                <w:tcW w:w="628" w:type="pct"/>
                <w:shd w:val="clear" w:color="auto" w:fill="auto"/>
              </w:tcPr>
              <w:p w:rsidR="004B1879" w:rsidRPr="00E04FAA" w:rsidRDefault="004B1879" w:rsidP="00187111">
                <w:pPr>
                  <w:jc w:val="right"/>
                  <w:rPr>
                    <w:color w:val="000000" w:themeColor="text1"/>
                    <w:sz w:val="16"/>
                    <w:szCs w:val="16"/>
                  </w:rPr>
                </w:pPr>
              </w:p>
            </w:tc>
            <w:tc>
              <w:tcPr>
                <w:tcW w:w="357" w:type="pct"/>
                <w:shd w:val="clear" w:color="auto" w:fill="auto"/>
              </w:tcPr>
              <w:p w:rsidR="004B1879" w:rsidRPr="00E04FAA" w:rsidRDefault="004B1879" w:rsidP="00187111">
                <w:pPr>
                  <w:jc w:val="right"/>
                  <w:rPr>
                    <w:color w:val="000000" w:themeColor="text1"/>
                    <w:sz w:val="16"/>
                    <w:szCs w:val="16"/>
                  </w:rPr>
                </w:pPr>
              </w:p>
            </w:tc>
          </w:tr>
          <w:tr w:rsidR="00187111" w:rsidRPr="00E04FAA" w:rsidTr="00187111">
            <w:sdt>
              <w:sdtPr>
                <w:rPr>
                  <w:sz w:val="18"/>
                  <w:szCs w:val="18"/>
                </w:rPr>
                <w:tag w:val="_PLD_97a2f177ac3442dbba0348247e7a0738"/>
                <w:id w:val="143632794"/>
                <w:lock w:val="sdtLocked"/>
              </w:sdtPr>
              <w:sdtContent>
                <w:tc>
                  <w:tcPr>
                    <w:tcW w:w="720" w:type="pct"/>
                    <w:shd w:val="clear" w:color="auto" w:fill="auto"/>
                  </w:tcPr>
                  <w:p w:rsidR="004B1879" w:rsidRPr="00E04FAA" w:rsidRDefault="004B1879" w:rsidP="00187111">
                    <w:pPr>
                      <w:ind w:firstLineChars="300" w:firstLine="540"/>
                      <w:jc w:val="both"/>
                      <w:rPr>
                        <w:sz w:val="18"/>
                        <w:szCs w:val="18"/>
                      </w:rPr>
                    </w:pPr>
                    <w:r w:rsidRPr="00E04FAA">
                      <w:rPr>
                        <w:sz w:val="18"/>
                        <w:szCs w:val="18"/>
                      </w:rPr>
                      <w:t>境外自然人持股</w:t>
                    </w:r>
                  </w:p>
                </w:tc>
              </w:sdtContent>
            </w:sdt>
            <w:tc>
              <w:tcPr>
                <w:tcW w:w="643" w:type="pct"/>
                <w:shd w:val="clear" w:color="auto" w:fill="auto"/>
              </w:tcPr>
              <w:p w:rsidR="004B1879" w:rsidRPr="00E04FAA" w:rsidRDefault="004B1879" w:rsidP="00187111">
                <w:pPr>
                  <w:jc w:val="right"/>
                  <w:rPr>
                    <w:sz w:val="16"/>
                    <w:szCs w:val="16"/>
                  </w:rPr>
                </w:pPr>
              </w:p>
            </w:tc>
            <w:tc>
              <w:tcPr>
                <w:tcW w:w="321" w:type="pct"/>
                <w:shd w:val="clear" w:color="auto" w:fill="auto"/>
              </w:tcPr>
              <w:p w:rsidR="004B1879" w:rsidRPr="00E04FAA" w:rsidRDefault="004B1879" w:rsidP="00187111">
                <w:pPr>
                  <w:jc w:val="right"/>
                  <w:rPr>
                    <w:sz w:val="16"/>
                    <w:szCs w:val="16"/>
                  </w:rPr>
                </w:pPr>
              </w:p>
            </w:tc>
            <w:tc>
              <w:tcPr>
                <w:tcW w:w="241" w:type="pct"/>
                <w:shd w:val="clear" w:color="auto" w:fill="auto"/>
              </w:tcPr>
              <w:p w:rsidR="004B1879" w:rsidRPr="00E04FAA" w:rsidRDefault="004B1879" w:rsidP="00187111">
                <w:pPr>
                  <w:jc w:val="right"/>
                  <w:rPr>
                    <w:sz w:val="16"/>
                    <w:szCs w:val="16"/>
                  </w:rPr>
                </w:pPr>
              </w:p>
            </w:tc>
            <w:tc>
              <w:tcPr>
                <w:tcW w:w="161" w:type="pct"/>
                <w:shd w:val="clear" w:color="auto" w:fill="auto"/>
              </w:tcPr>
              <w:p w:rsidR="004B1879" w:rsidRPr="00E04FAA" w:rsidRDefault="004B1879" w:rsidP="00187111">
                <w:pPr>
                  <w:jc w:val="right"/>
                  <w:rPr>
                    <w:sz w:val="16"/>
                    <w:szCs w:val="16"/>
                  </w:rPr>
                </w:pPr>
              </w:p>
            </w:tc>
            <w:tc>
              <w:tcPr>
                <w:tcW w:w="563" w:type="pct"/>
                <w:shd w:val="clear" w:color="auto" w:fill="auto"/>
              </w:tcPr>
              <w:p w:rsidR="004B1879" w:rsidRPr="00E04FAA" w:rsidRDefault="004B1879" w:rsidP="00187111">
                <w:pPr>
                  <w:jc w:val="right"/>
                  <w:rPr>
                    <w:sz w:val="16"/>
                    <w:szCs w:val="16"/>
                  </w:rPr>
                </w:pPr>
              </w:p>
            </w:tc>
            <w:tc>
              <w:tcPr>
                <w:tcW w:w="723" w:type="pct"/>
                <w:shd w:val="clear" w:color="auto" w:fill="auto"/>
              </w:tcPr>
              <w:p w:rsidR="004B1879" w:rsidRPr="00E04FAA" w:rsidRDefault="004B1879" w:rsidP="00187111">
                <w:pPr>
                  <w:jc w:val="right"/>
                  <w:rPr>
                    <w:sz w:val="16"/>
                    <w:szCs w:val="16"/>
                  </w:rPr>
                </w:pPr>
              </w:p>
            </w:tc>
            <w:tc>
              <w:tcPr>
                <w:tcW w:w="643" w:type="pct"/>
                <w:shd w:val="clear" w:color="auto" w:fill="auto"/>
              </w:tcPr>
              <w:p w:rsidR="004B1879" w:rsidRPr="00E04FAA" w:rsidRDefault="004B1879" w:rsidP="00187111">
                <w:pPr>
                  <w:jc w:val="right"/>
                  <w:rPr>
                    <w:sz w:val="16"/>
                    <w:szCs w:val="16"/>
                  </w:rPr>
                </w:pPr>
              </w:p>
            </w:tc>
            <w:tc>
              <w:tcPr>
                <w:tcW w:w="628" w:type="pct"/>
                <w:shd w:val="clear" w:color="auto" w:fill="auto"/>
              </w:tcPr>
              <w:p w:rsidR="004B1879" w:rsidRPr="00E04FAA" w:rsidRDefault="004B1879" w:rsidP="00187111">
                <w:pPr>
                  <w:jc w:val="right"/>
                  <w:rPr>
                    <w:color w:val="000000" w:themeColor="text1"/>
                    <w:sz w:val="16"/>
                    <w:szCs w:val="16"/>
                  </w:rPr>
                </w:pPr>
              </w:p>
            </w:tc>
            <w:tc>
              <w:tcPr>
                <w:tcW w:w="357" w:type="pct"/>
                <w:shd w:val="clear" w:color="auto" w:fill="auto"/>
              </w:tcPr>
              <w:p w:rsidR="004B1879" w:rsidRPr="00E04FAA" w:rsidRDefault="004B1879" w:rsidP="00187111">
                <w:pPr>
                  <w:jc w:val="right"/>
                  <w:rPr>
                    <w:color w:val="000000" w:themeColor="text1"/>
                    <w:sz w:val="16"/>
                    <w:szCs w:val="16"/>
                  </w:rPr>
                </w:pPr>
              </w:p>
            </w:tc>
          </w:tr>
          <w:tr w:rsidR="00187111" w:rsidRPr="00E04FAA" w:rsidTr="00187111">
            <w:sdt>
              <w:sdtPr>
                <w:rPr>
                  <w:sz w:val="18"/>
                  <w:szCs w:val="18"/>
                </w:rPr>
                <w:tag w:val="_PLD_96f1aa1935a04b8ab80a51c650206e0c"/>
                <w:id w:val="-886950396"/>
                <w:lock w:val="sdtLocked"/>
              </w:sdtPr>
              <w:sdtContent>
                <w:tc>
                  <w:tcPr>
                    <w:tcW w:w="720" w:type="pct"/>
                    <w:shd w:val="clear" w:color="auto" w:fill="auto"/>
                  </w:tcPr>
                  <w:p w:rsidR="004B1879" w:rsidRPr="00E04FAA" w:rsidRDefault="004B1879" w:rsidP="00187111">
                    <w:pPr>
                      <w:pStyle w:val="ad"/>
                      <w:rPr>
                        <w:rFonts w:ascii="宋体" w:hAnsi="宋体"/>
                        <w:sz w:val="18"/>
                        <w:szCs w:val="18"/>
                      </w:rPr>
                    </w:pPr>
                    <w:r w:rsidRPr="00E04FAA">
                      <w:rPr>
                        <w:rFonts w:ascii="宋体" w:hAnsi="宋体"/>
                        <w:sz w:val="18"/>
                        <w:szCs w:val="18"/>
                      </w:rPr>
                      <w:t>二、无限售条件流通股份</w:t>
                    </w:r>
                  </w:p>
                </w:tc>
              </w:sdtContent>
            </w:sdt>
            <w:tc>
              <w:tcPr>
                <w:tcW w:w="643" w:type="pct"/>
                <w:shd w:val="clear" w:color="auto" w:fill="auto"/>
              </w:tcPr>
              <w:p w:rsidR="004B1879" w:rsidRPr="00E04FAA" w:rsidRDefault="004B1879" w:rsidP="00187111">
                <w:pPr>
                  <w:jc w:val="right"/>
                  <w:rPr>
                    <w:sz w:val="16"/>
                    <w:szCs w:val="16"/>
                  </w:rPr>
                </w:pPr>
                <w:r w:rsidRPr="00E04FAA">
                  <w:rPr>
                    <w:sz w:val="16"/>
                    <w:szCs w:val="16"/>
                  </w:rPr>
                  <w:t>1,891,148,021</w:t>
                </w:r>
              </w:p>
            </w:tc>
            <w:tc>
              <w:tcPr>
                <w:tcW w:w="321" w:type="pct"/>
                <w:shd w:val="clear" w:color="auto" w:fill="auto"/>
              </w:tcPr>
              <w:p w:rsidR="004B1879" w:rsidRPr="00E04FAA" w:rsidRDefault="004B1879" w:rsidP="00187111">
                <w:pPr>
                  <w:jc w:val="right"/>
                  <w:rPr>
                    <w:sz w:val="16"/>
                    <w:szCs w:val="16"/>
                  </w:rPr>
                </w:pPr>
                <w:r w:rsidRPr="00E04FAA">
                  <w:rPr>
                    <w:sz w:val="16"/>
                    <w:szCs w:val="16"/>
                  </w:rPr>
                  <w:t>98.61</w:t>
                </w:r>
              </w:p>
            </w:tc>
            <w:tc>
              <w:tcPr>
                <w:tcW w:w="241" w:type="pct"/>
                <w:shd w:val="clear" w:color="auto" w:fill="auto"/>
              </w:tcPr>
              <w:p w:rsidR="004B1879" w:rsidRPr="00E04FAA" w:rsidRDefault="004B1879" w:rsidP="00187111">
                <w:pPr>
                  <w:jc w:val="right"/>
                  <w:rPr>
                    <w:sz w:val="16"/>
                    <w:szCs w:val="16"/>
                  </w:rPr>
                </w:pPr>
              </w:p>
            </w:tc>
            <w:tc>
              <w:tcPr>
                <w:tcW w:w="161" w:type="pct"/>
                <w:shd w:val="clear" w:color="auto" w:fill="auto"/>
              </w:tcPr>
              <w:p w:rsidR="004B1879" w:rsidRPr="00E04FAA" w:rsidRDefault="004B1879" w:rsidP="00187111">
                <w:pPr>
                  <w:jc w:val="right"/>
                  <w:rPr>
                    <w:sz w:val="16"/>
                    <w:szCs w:val="16"/>
                  </w:rPr>
                </w:pPr>
              </w:p>
            </w:tc>
            <w:tc>
              <w:tcPr>
                <w:tcW w:w="563" w:type="pct"/>
                <w:shd w:val="clear" w:color="auto" w:fill="auto"/>
              </w:tcPr>
              <w:p w:rsidR="004B1879" w:rsidRPr="00E04FAA" w:rsidRDefault="004B1879" w:rsidP="00187111">
                <w:pPr>
                  <w:jc w:val="right"/>
                  <w:rPr>
                    <w:color w:val="000000" w:themeColor="text1"/>
                    <w:sz w:val="16"/>
                    <w:szCs w:val="16"/>
                  </w:rPr>
                </w:pPr>
                <w:r w:rsidRPr="00E04FAA">
                  <w:rPr>
                    <w:color w:val="000000" w:themeColor="text1"/>
                    <w:sz w:val="16"/>
                    <w:szCs w:val="16"/>
                  </w:rPr>
                  <w:t>564,761,164</w:t>
                </w:r>
              </w:p>
            </w:tc>
            <w:tc>
              <w:tcPr>
                <w:tcW w:w="723" w:type="pct"/>
                <w:shd w:val="clear" w:color="auto" w:fill="auto"/>
              </w:tcPr>
              <w:p w:rsidR="004B1879" w:rsidRPr="00E04FAA" w:rsidRDefault="004B1879" w:rsidP="00187111">
                <w:pPr>
                  <w:jc w:val="right"/>
                  <w:rPr>
                    <w:color w:val="000000" w:themeColor="text1"/>
                    <w:sz w:val="16"/>
                    <w:szCs w:val="16"/>
                  </w:rPr>
                </w:pPr>
                <w:r w:rsidRPr="00E04FAA">
                  <w:rPr>
                    <w:color w:val="000000" w:themeColor="text1"/>
                    <w:sz w:val="16"/>
                    <w:szCs w:val="16"/>
                  </w:rPr>
                  <w:t>10,575,914</w:t>
                </w:r>
              </w:p>
            </w:tc>
            <w:tc>
              <w:tcPr>
                <w:tcW w:w="643" w:type="pct"/>
                <w:shd w:val="clear" w:color="auto" w:fill="auto"/>
              </w:tcPr>
              <w:p w:rsidR="004B1879" w:rsidRPr="00E04FAA" w:rsidRDefault="004B1879" w:rsidP="00187111">
                <w:pPr>
                  <w:jc w:val="right"/>
                  <w:rPr>
                    <w:color w:val="000000" w:themeColor="text1"/>
                    <w:sz w:val="16"/>
                    <w:szCs w:val="16"/>
                  </w:rPr>
                </w:pPr>
                <w:r w:rsidRPr="00E04FAA">
                  <w:rPr>
                    <w:color w:val="000000" w:themeColor="text1"/>
                    <w:sz w:val="16"/>
                    <w:szCs w:val="16"/>
                  </w:rPr>
                  <w:t>575,337,078</w:t>
                </w:r>
              </w:p>
            </w:tc>
            <w:tc>
              <w:tcPr>
                <w:tcW w:w="628" w:type="pct"/>
                <w:shd w:val="clear" w:color="auto" w:fill="auto"/>
              </w:tcPr>
              <w:p w:rsidR="004B1879" w:rsidRPr="00E04FAA" w:rsidRDefault="004B1879" w:rsidP="00187111">
                <w:pPr>
                  <w:jc w:val="right"/>
                  <w:rPr>
                    <w:color w:val="000000" w:themeColor="text1"/>
                    <w:sz w:val="16"/>
                    <w:szCs w:val="16"/>
                  </w:rPr>
                </w:pPr>
                <w:r w:rsidRPr="00E04FAA">
                  <w:rPr>
                    <w:color w:val="000000" w:themeColor="text1"/>
                    <w:sz w:val="16"/>
                    <w:szCs w:val="16"/>
                  </w:rPr>
                  <w:t>2,466,485,099</w:t>
                </w:r>
              </w:p>
            </w:tc>
            <w:tc>
              <w:tcPr>
                <w:tcW w:w="357" w:type="pct"/>
                <w:shd w:val="clear" w:color="auto" w:fill="auto"/>
              </w:tcPr>
              <w:p w:rsidR="004B1879" w:rsidRPr="00E04FAA" w:rsidRDefault="004B1879" w:rsidP="00187111">
                <w:pPr>
                  <w:jc w:val="right"/>
                  <w:rPr>
                    <w:color w:val="000000" w:themeColor="text1"/>
                    <w:sz w:val="16"/>
                    <w:szCs w:val="16"/>
                  </w:rPr>
                </w:pPr>
                <w:r w:rsidRPr="00E04FAA">
                  <w:rPr>
                    <w:color w:val="000000" w:themeColor="text1"/>
                    <w:sz w:val="16"/>
                    <w:szCs w:val="16"/>
                  </w:rPr>
                  <w:t>99.21</w:t>
                </w:r>
              </w:p>
            </w:tc>
          </w:tr>
          <w:tr w:rsidR="00187111" w:rsidRPr="00E04FAA" w:rsidTr="00187111">
            <w:sdt>
              <w:sdtPr>
                <w:rPr>
                  <w:sz w:val="18"/>
                  <w:szCs w:val="18"/>
                </w:rPr>
                <w:tag w:val="_PLD_f6699caa719d4738a70d214288990173"/>
                <w:id w:val="-1817017284"/>
                <w:lock w:val="sdtLocked"/>
              </w:sdtPr>
              <w:sdtContent>
                <w:tc>
                  <w:tcPr>
                    <w:tcW w:w="720" w:type="pct"/>
                    <w:shd w:val="clear" w:color="auto" w:fill="auto"/>
                  </w:tcPr>
                  <w:p w:rsidR="004B1879" w:rsidRPr="00E04FAA" w:rsidRDefault="004B1879" w:rsidP="00187111">
                    <w:pPr>
                      <w:jc w:val="both"/>
                      <w:rPr>
                        <w:sz w:val="18"/>
                        <w:szCs w:val="18"/>
                      </w:rPr>
                    </w:pPr>
                    <w:r w:rsidRPr="00E04FAA">
                      <w:rPr>
                        <w:sz w:val="18"/>
                        <w:szCs w:val="18"/>
                      </w:rPr>
                      <w:t>1、人民币普通股</w:t>
                    </w:r>
                  </w:p>
                </w:tc>
              </w:sdtContent>
            </w:sdt>
            <w:tc>
              <w:tcPr>
                <w:tcW w:w="643" w:type="pct"/>
                <w:shd w:val="clear" w:color="auto" w:fill="auto"/>
              </w:tcPr>
              <w:p w:rsidR="004B1879" w:rsidRPr="00E04FAA" w:rsidRDefault="004B1879" w:rsidP="00187111">
                <w:pPr>
                  <w:jc w:val="right"/>
                  <w:rPr>
                    <w:sz w:val="16"/>
                    <w:szCs w:val="16"/>
                  </w:rPr>
                </w:pPr>
                <w:r w:rsidRPr="00E04FAA">
                  <w:rPr>
                    <w:sz w:val="16"/>
                    <w:szCs w:val="16"/>
                  </w:rPr>
                  <w:t>1,891,148,021</w:t>
                </w:r>
              </w:p>
            </w:tc>
            <w:tc>
              <w:tcPr>
                <w:tcW w:w="321" w:type="pct"/>
                <w:shd w:val="clear" w:color="auto" w:fill="auto"/>
              </w:tcPr>
              <w:p w:rsidR="004B1879" w:rsidRPr="00E04FAA" w:rsidRDefault="004B1879" w:rsidP="00187111">
                <w:pPr>
                  <w:jc w:val="right"/>
                  <w:rPr>
                    <w:sz w:val="16"/>
                    <w:szCs w:val="16"/>
                  </w:rPr>
                </w:pPr>
                <w:r w:rsidRPr="00E04FAA">
                  <w:rPr>
                    <w:sz w:val="16"/>
                    <w:szCs w:val="16"/>
                  </w:rPr>
                  <w:t>98.61</w:t>
                </w:r>
              </w:p>
            </w:tc>
            <w:tc>
              <w:tcPr>
                <w:tcW w:w="241" w:type="pct"/>
                <w:shd w:val="clear" w:color="auto" w:fill="auto"/>
              </w:tcPr>
              <w:p w:rsidR="004B1879" w:rsidRPr="00E04FAA" w:rsidRDefault="004B1879" w:rsidP="00187111">
                <w:pPr>
                  <w:jc w:val="right"/>
                  <w:rPr>
                    <w:sz w:val="16"/>
                    <w:szCs w:val="16"/>
                  </w:rPr>
                </w:pPr>
              </w:p>
            </w:tc>
            <w:tc>
              <w:tcPr>
                <w:tcW w:w="161" w:type="pct"/>
                <w:shd w:val="clear" w:color="auto" w:fill="auto"/>
              </w:tcPr>
              <w:p w:rsidR="004B1879" w:rsidRPr="00E04FAA" w:rsidRDefault="004B1879" w:rsidP="00187111">
                <w:pPr>
                  <w:jc w:val="right"/>
                  <w:rPr>
                    <w:sz w:val="16"/>
                    <w:szCs w:val="16"/>
                  </w:rPr>
                </w:pPr>
              </w:p>
            </w:tc>
            <w:tc>
              <w:tcPr>
                <w:tcW w:w="563" w:type="pct"/>
                <w:shd w:val="clear" w:color="auto" w:fill="auto"/>
              </w:tcPr>
              <w:p w:rsidR="004B1879" w:rsidRPr="00E04FAA" w:rsidRDefault="004B1879" w:rsidP="00187111">
                <w:pPr>
                  <w:jc w:val="right"/>
                  <w:rPr>
                    <w:color w:val="000000" w:themeColor="text1"/>
                    <w:sz w:val="16"/>
                    <w:szCs w:val="16"/>
                  </w:rPr>
                </w:pPr>
                <w:r w:rsidRPr="00E04FAA">
                  <w:rPr>
                    <w:color w:val="000000" w:themeColor="text1"/>
                    <w:sz w:val="16"/>
                    <w:szCs w:val="16"/>
                  </w:rPr>
                  <w:t>564,761,164</w:t>
                </w:r>
              </w:p>
            </w:tc>
            <w:tc>
              <w:tcPr>
                <w:tcW w:w="723" w:type="pct"/>
                <w:shd w:val="clear" w:color="auto" w:fill="auto"/>
              </w:tcPr>
              <w:p w:rsidR="004B1879" w:rsidRPr="00E04FAA" w:rsidRDefault="004B1879" w:rsidP="00187111">
                <w:pPr>
                  <w:jc w:val="right"/>
                  <w:rPr>
                    <w:color w:val="000000" w:themeColor="text1"/>
                    <w:sz w:val="16"/>
                    <w:szCs w:val="16"/>
                  </w:rPr>
                </w:pPr>
                <w:r w:rsidRPr="00E04FAA">
                  <w:rPr>
                    <w:color w:val="000000" w:themeColor="text1"/>
                    <w:sz w:val="16"/>
                    <w:szCs w:val="16"/>
                  </w:rPr>
                  <w:t>10,575,914</w:t>
                </w:r>
              </w:p>
            </w:tc>
            <w:tc>
              <w:tcPr>
                <w:tcW w:w="643" w:type="pct"/>
                <w:shd w:val="clear" w:color="auto" w:fill="auto"/>
              </w:tcPr>
              <w:p w:rsidR="004B1879" w:rsidRPr="00E04FAA" w:rsidRDefault="004B1879" w:rsidP="00187111">
                <w:pPr>
                  <w:jc w:val="right"/>
                  <w:rPr>
                    <w:color w:val="000000" w:themeColor="text1"/>
                    <w:sz w:val="16"/>
                    <w:szCs w:val="16"/>
                  </w:rPr>
                </w:pPr>
                <w:r w:rsidRPr="00E04FAA">
                  <w:rPr>
                    <w:color w:val="000000" w:themeColor="text1"/>
                    <w:sz w:val="16"/>
                    <w:szCs w:val="16"/>
                  </w:rPr>
                  <w:t>575,337,078</w:t>
                </w:r>
              </w:p>
            </w:tc>
            <w:tc>
              <w:tcPr>
                <w:tcW w:w="628" w:type="pct"/>
                <w:shd w:val="clear" w:color="auto" w:fill="auto"/>
              </w:tcPr>
              <w:p w:rsidR="004B1879" w:rsidRPr="00E04FAA" w:rsidRDefault="004B1879" w:rsidP="00187111">
                <w:pPr>
                  <w:jc w:val="right"/>
                  <w:rPr>
                    <w:color w:val="000000" w:themeColor="text1"/>
                    <w:sz w:val="16"/>
                    <w:szCs w:val="16"/>
                  </w:rPr>
                </w:pPr>
                <w:r w:rsidRPr="00E04FAA">
                  <w:rPr>
                    <w:color w:val="000000" w:themeColor="text1"/>
                    <w:sz w:val="16"/>
                    <w:szCs w:val="16"/>
                  </w:rPr>
                  <w:t>2,466,485,099</w:t>
                </w:r>
              </w:p>
            </w:tc>
            <w:tc>
              <w:tcPr>
                <w:tcW w:w="357" w:type="pct"/>
                <w:shd w:val="clear" w:color="auto" w:fill="auto"/>
              </w:tcPr>
              <w:p w:rsidR="004B1879" w:rsidRPr="00E04FAA" w:rsidRDefault="004B1879" w:rsidP="00187111">
                <w:pPr>
                  <w:jc w:val="right"/>
                  <w:rPr>
                    <w:color w:val="000000" w:themeColor="text1"/>
                    <w:sz w:val="16"/>
                    <w:szCs w:val="16"/>
                  </w:rPr>
                </w:pPr>
                <w:r w:rsidRPr="00E04FAA">
                  <w:rPr>
                    <w:color w:val="000000" w:themeColor="text1"/>
                    <w:sz w:val="16"/>
                    <w:szCs w:val="16"/>
                  </w:rPr>
                  <w:t>99.21</w:t>
                </w:r>
              </w:p>
            </w:tc>
          </w:tr>
          <w:tr w:rsidR="00187111" w:rsidRPr="00E04FAA" w:rsidTr="00187111">
            <w:sdt>
              <w:sdtPr>
                <w:rPr>
                  <w:sz w:val="18"/>
                  <w:szCs w:val="18"/>
                </w:rPr>
                <w:tag w:val="_PLD_738d7157b56d4720aa9fdbc02cd69609"/>
                <w:id w:val="1298034467"/>
                <w:lock w:val="sdtLocked"/>
              </w:sdtPr>
              <w:sdtContent>
                <w:tc>
                  <w:tcPr>
                    <w:tcW w:w="720" w:type="pct"/>
                    <w:shd w:val="clear" w:color="auto" w:fill="auto"/>
                  </w:tcPr>
                  <w:p w:rsidR="004B1879" w:rsidRPr="00E04FAA" w:rsidRDefault="004B1879" w:rsidP="00187111">
                    <w:pPr>
                      <w:jc w:val="both"/>
                      <w:rPr>
                        <w:sz w:val="18"/>
                        <w:szCs w:val="18"/>
                      </w:rPr>
                    </w:pPr>
                    <w:r w:rsidRPr="00E04FAA">
                      <w:rPr>
                        <w:sz w:val="18"/>
                        <w:szCs w:val="18"/>
                      </w:rPr>
                      <w:t>2、境内上市的外资股</w:t>
                    </w:r>
                  </w:p>
                </w:tc>
              </w:sdtContent>
            </w:sdt>
            <w:tc>
              <w:tcPr>
                <w:tcW w:w="643" w:type="pct"/>
                <w:shd w:val="clear" w:color="auto" w:fill="auto"/>
              </w:tcPr>
              <w:p w:rsidR="004B1879" w:rsidRPr="00E04FAA" w:rsidRDefault="004B1879" w:rsidP="00187111">
                <w:pPr>
                  <w:jc w:val="right"/>
                  <w:rPr>
                    <w:sz w:val="16"/>
                    <w:szCs w:val="16"/>
                  </w:rPr>
                </w:pPr>
              </w:p>
            </w:tc>
            <w:tc>
              <w:tcPr>
                <w:tcW w:w="321" w:type="pct"/>
                <w:shd w:val="clear" w:color="auto" w:fill="auto"/>
              </w:tcPr>
              <w:p w:rsidR="004B1879" w:rsidRPr="00E04FAA" w:rsidRDefault="004B1879" w:rsidP="00187111">
                <w:pPr>
                  <w:jc w:val="right"/>
                  <w:rPr>
                    <w:sz w:val="16"/>
                    <w:szCs w:val="16"/>
                  </w:rPr>
                </w:pPr>
              </w:p>
            </w:tc>
            <w:tc>
              <w:tcPr>
                <w:tcW w:w="241" w:type="pct"/>
                <w:shd w:val="clear" w:color="auto" w:fill="auto"/>
              </w:tcPr>
              <w:p w:rsidR="004B1879" w:rsidRPr="00E04FAA" w:rsidRDefault="004B1879" w:rsidP="00187111">
                <w:pPr>
                  <w:jc w:val="right"/>
                  <w:rPr>
                    <w:sz w:val="16"/>
                    <w:szCs w:val="16"/>
                  </w:rPr>
                </w:pPr>
              </w:p>
            </w:tc>
            <w:tc>
              <w:tcPr>
                <w:tcW w:w="161" w:type="pct"/>
                <w:shd w:val="clear" w:color="auto" w:fill="auto"/>
              </w:tcPr>
              <w:p w:rsidR="004B1879" w:rsidRPr="00E04FAA" w:rsidRDefault="004B1879" w:rsidP="00187111">
                <w:pPr>
                  <w:jc w:val="right"/>
                  <w:rPr>
                    <w:sz w:val="16"/>
                    <w:szCs w:val="16"/>
                  </w:rPr>
                </w:pPr>
              </w:p>
            </w:tc>
            <w:tc>
              <w:tcPr>
                <w:tcW w:w="563" w:type="pct"/>
                <w:shd w:val="clear" w:color="auto" w:fill="auto"/>
              </w:tcPr>
              <w:p w:rsidR="004B1879" w:rsidRPr="00E04FAA" w:rsidRDefault="004B1879" w:rsidP="00187111">
                <w:pPr>
                  <w:jc w:val="right"/>
                  <w:rPr>
                    <w:color w:val="FF0000"/>
                    <w:sz w:val="16"/>
                    <w:szCs w:val="16"/>
                  </w:rPr>
                </w:pPr>
              </w:p>
            </w:tc>
            <w:tc>
              <w:tcPr>
                <w:tcW w:w="723" w:type="pct"/>
                <w:shd w:val="clear" w:color="auto" w:fill="auto"/>
              </w:tcPr>
              <w:p w:rsidR="004B1879" w:rsidRPr="00E04FAA" w:rsidRDefault="004B1879" w:rsidP="00187111">
                <w:pPr>
                  <w:jc w:val="right"/>
                  <w:rPr>
                    <w:color w:val="FF0000"/>
                    <w:sz w:val="16"/>
                    <w:szCs w:val="16"/>
                  </w:rPr>
                </w:pPr>
              </w:p>
            </w:tc>
            <w:tc>
              <w:tcPr>
                <w:tcW w:w="643" w:type="pct"/>
                <w:shd w:val="clear" w:color="auto" w:fill="auto"/>
              </w:tcPr>
              <w:p w:rsidR="004B1879" w:rsidRPr="00E04FAA" w:rsidRDefault="004B1879" w:rsidP="00187111">
                <w:pPr>
                  <w:jc w:val="right"/>
                  <w:rPr>
                    <w:color w:val="FF0000"/>
                    <w:sz w:val="16"/>
                    <w:szCs w:val="16"/>
                  </w:rPr>
                </w:pPr>
              </w:p>
            </w:tc>
            <w:tc>
              <w:tcPr>
                <w:tcW w:w="628" w:type="pct"/>
                <w:shd w:val="clear" w:color="auto" w:fill="auto"/>
              </w:tcPr>
              <w:p w:rsidR="004B1879" w:rsidRPr="00E04FAA" w:rsidRDefault="004B1879" w:rsidP="00187111">
                <w:pPr>
                  <w:jc w:val="right"/>
                  <w:rPr>
                    <w:color w:val="000000" w:themeColor="text1"/>
                    <w:sz w:val="16"/>
                    <w:szCs w:val="16"/>
                  </w:rPr>
                </w:pPr>
              </w:p>
            </w:tc>
            <w:tc>
              <w:tcPr>
                <w:tcW w:w="357" w:type="pct"/>
                <w:shd w:val="clear" w:color="auto" w:fill="auto"/>
              </w:tcPr>
              <w:p w:rsidR="004B1879" w:rsidRPr="00E04FAA" w:rsidRDefault="004B1879" w:rsidP="00187111">
                <w:pPr>
                  <w:jc w:val="right"/>
                  <w:rPr>
                    <w:color w:val="000000" w:themeColor="text1"/>
                    <w:sz w:val="16"/>
                    <w:szCs w:val="16"/>
                  </w:rPr>
                </w:pPr>
              </w:p>
            </w:tc>
          </w:tr>
          <w:tr w:rsidR="00187111" w:rsidRPr="00E04FAA" w:rsidTr="00187111">
            <w:sdt>
              <w:sdtPr>
                <w:rPr>
                  <w:sz w:val="18"/>
                  <w:szCs w:val="18"/>
                </w:rPr>
                <w:tag w:val="_PLD_d9ee6f8045fe47889045c1a68a75f2f9"/>
                <w:id w:val="-238490800"/>
                <w:lock w:val="sdtLocked"/>
              </w:sdtPr>
              <w:sdtContent>
                <w:tc>
                  <w:tcPr>
                    <w:tcW w:w="720" w:type="pct"/>
                    <w:shd w:val="clear" w:color="auto" w:fill="auto"/>
                  </w:tcPr>
                  <w:p w:rsidR="004B1879" w:rsidRPr="00E04FAA" w:rsidRDefault="004B1879" w:rsidP="00187111">
                    <w:pPr>
                      <w:jc w:val="both"/>
                      <w:rPr>
                        <w:sz w:val="18"/>
                        <w:szCs w:val="18"/>
                      </w:rPr>
                    </w:pPr>
                    <w:r w:rsidRPr="00E04FAA">
                      <w:rPr>
                        <w:sz w:val="18"/>
                        <w:szCs w:val="18"/>
                      </w:rPr>
                      <w:t>3、境外上市的外资股</w:t>
                    </w:r>
                  </w:p>
                </w:tc>
              </w:sdtContent>
            </w:sdt>
            <w:tc>
              <w:tcPr>
                <w:tcW w:w="643" w:type="pct"/>
                <w:shd w:val="clear" w:color="auto" w:fill="auto"/>
              </w:tcPr>
              <w:p w:rsidR="004B1879" w:rsidRPr="00E04FAA" w:rsidRDefault="004B1879" w:rsidP="00187111">
                <w:pPr>
                  <w:jc w:val="right"/>
                  <w:rPr>
                    <w:sz w:val="16"/>
                    <w:szCs w:val="16"/>
                  </w:rPr>
                </w:pPr>
              </w:p>
            </w:tc>
            <w:tc>
              <w:tcPr>
                <w:tcW w:w="321" w:type="pct"/>
                <w:shd w:val="clear" w:color="auto" w:fill="auto"/>
              </w:tcPr>
              <w:p w:rsidR="004B1879" w:rsidRPr="00E04FAA" w:rsidRDefault="004B1879" w:rsidP="00187111">
                <w:pPr>
                  <w:jc w:val="right"/>
                  <w:rPr>
                    <w:sz w:val="16"/>
                    <w:szCs w:val="16"/>
                  </w:rPr>
                </w:pPr>
              </w:p>
            </w:tc>
            <w:tc>
              <w:tcPr>
                <w:tcW w:w="241" w:type="pct"/>
                <w:shd w:val="clear" w:color="auto" w:fill="auto"/>
              </w:tcPr>
              <w:p w:rsidR="004B1879" w:rsidRPr="00E04FAA" w:rsidRDefault="004B1879" w:rsidP="00187111">
                <w:pPr>
                  <w:jc w:val="right"/>
                  <w:rPr>
                    <w:sz w:val="16"/>
                    <w:szCs w:val="16"/>
                  </w:rPr>
                </w:pPr>
              </w:p>
            </w:tc>
            <w:tc>
              <w:tcPr>
                <w:tcW w:w="161" w:type="pct"/>
                <w:shd w:val="clear" w:color="auto" w:fill="auto"/>
              </w:tcPr>
              <w:p w:rsidR="004B1879" w:rsidRPr="00E04FAA" w:rsidRDefault="004B1879" w:rsidP="00187111">
                <w:pPr>
                  <w:jc w:val="right"/>
                  <w:rPr>
                    <w:sz w:val="16"/>
                    <w:szCs w:val="16"/>
                  </w:rPr>
                </w:pPr>
              </w:p>
            </w:tc>
            <w:tc>
              <w:tcPr>
                <w:tcW w:w="563" w:type="pct"/>
                <w:shd w:val="clear" w:color="auto" w:fill="auto"/>
              </w:tcPr>
              <w:p w:rsidR="004B1879" w:rsidRPr="00E04FAA" w:rsidRDefault="004B1879" w:rsidP="00187111">
                <w:pPr>
                  <w:jc w:val="right"/>
                  <w:rPr>
                    <w:color w:val="FF0000"/>
                    <w:sz w:val="16"/>
                    <w:szCs w:val="16"/>
                  </w:rPr>
                </w:pPr>
              </w:p>
            </w:tc>
            <w:tc>
              <w:tcPr>
                <w:tcW w:w="723" w:type="pct"/>
                <w:shd w:val="clear" w:color="auto" w:fill="auto"/>
              </w:tcPr>
              <w:p w:rsidR="004B1879" w:rsidRPr="00E04FAA" w:rsidRDefault="004B1879" w:rsidP="00187111">
                <w:pPr>
                  <w:jc w:val="right"/>
                  <w:rPr>
                    <w:color w:val="FF0000"/>
                    <w:sz w:val="16"/>
                    <w:szCs w:val="16"/>
                  </w:rPr>
                </w:pPr>
              </w:p>
            </w:tc>
            <w:tc>
              <w:tcPr>
                <w:tcW w:w="643" w:type="pct"/>
                <w:shd w:val="clear" w:color="auto" w:fill="auto"/>
              </w:tcPr>
              <w:p w:rsidR="004B1879" w:rsidRPr="00E04FAA" w:rsidRDefault="004B1879" w:rsidP="00187111">
                <w:pPr>
                  <w:jc w:val="right"/>
                  <w:rPr>
                    <w:color w:val="FF0000"/>
                    <w:sz w:val="16"/>
                    <w:szCs w:val="16"/>
                  </w:rPr>
                </w:pPr>
              </w:p>
            </w:tc>
            <w:tc>
              <w:tcPr>
                <w:tcW w:w="628" w:type="pct"/>
                <w:shd w:val="clear" w:color="auto" w:fill="auto"/>
              </w:tcPr>
              <w:p w:rsidR="004B1879" w:rsidRPr="00E04FAA" w:rsidRDefault="004B1879" w:rsidP="00187111">
                <w:pPr>
                  <w:jc w:val="right"/>
                  <w:rPr>
                    <w:color w:val="000000" w:themeColor="text1"/>
                    <w:sz w:val="16"/>
                    <w:szCs w:val="16"/>
                  </w:rPr>
                </w:pPr>
              </w:p>
            </w:tc>
            <w:tc>
              <w:tcPr>
                <w:tcW w:w="357" w:type="pct"/>
                <w:shd w:val="clear" w:color="auto" w:fill="auto"/>
              </w:tcPr>
              <w:p w:rsidR="004B1879" w:rsidRPr="00E04FAA" w:rsidRDefault="004B1879" w:rsidP="00187111">
                <w:pPr>
                  <w:jc w:val="right"/>
                  <w:rPr>
                    <w:color w:val="000000" w:themeColor="text1"/>
                    <w:sz w:val="16"/>
                    <w:szCs w:val="16"/>
                  </w:rPr>
                </w:pPr>
              </w:p>
            </w:tc>
          </w:tr>
          <w:tr w:rsidR="00187111" w:rsidRPr="00E04FAA" w:rsidTr="00187111">
            <w:sdt>
              <w:sdtPr>
                <w:rPr>
                  <w:sz w:val="18"/>
                  <w:szCs w:val="18"/>
                </w:rPr>
                <w:tag w:val="_PLD_7f62c3d54a4442729759c4c069c9a7c2"/>
                <w:id w:val="-736859879"/>
                <w:lock w:val="sdtLocked"/>
              </w:sdtPr>
              <w:sdtContent>
                <w:tc>
                  <w:tcPr>
                    <w:tcW w:w="720" w:type="pct"/>
                    <w:shd w:val="clear" w:color="auto" w:fill="auto"/>
                  </w:tcPr>
                  <w:p w:rsidR="004B1879" w:rsidRPr="00E04FAA" w:rsidRDefault="004B1879" w:rsidP="00187111">
                    <w:pPr>
                      <w:jc w:val="both"/>
                      <w:rPr>
                        <w:sz w:val="18"/>
                        <w:szCs w:val="18"/>
                      </w:rPr>
                    </w:pPr>
                    <w:r w:rsidRPr="00E04FAA">
                      <w:rPr>
                        <w:sz w:val="18"/>
                        <w:szCs w:val="18"/>
                      </w:rPr>
                      <w:t>4、其他</w:t>
                    </w:r>
                  </w:p>
                </w:tc>
              </w:sdtContent>
            </w:sdt>
            <w:tc>
              <w:tcPr>
                <w:tcW w:w="643" w:type="pct"/>
                <w:shd w:val="clear" w:color="auto" w:fill="auto"/>
              </w:tcPr>
              <w:p w:rsidR="004B1879" w:rsidRPr="00E04FAA" w:rsidRDefault="004B1879" w:rsidP="00187111">
                <w:pPr>
                  <w:jc w:val="right"/>
                  <w:rPr>
                    <w:sz w:val="16"/>
                    <w:szCs w:val="16"/>
                  </w:rPr>
                </w:pPr>
              </w:p>
            </w:tc>
            <w:tc>
              <w:tcPr>
                <w:tcW w:w="321" w:type="pct"/>
                <w:shd w:val="clear" w:color="auto" w:fill="auto"/>
              </w:tcPr>
              <w:p w:rsidR="004B1879" w:rsidRPr="00E04FAA" w:rsidRDefault="004B1879" w:rsidP="00187111">
                <w:pPr>
                  <w:jc w:val="right"/>
                  <w:rPr>
                    <w:sz w:val="16"/>
                    <w:szCs w:val="16"/>
                  </w:rPr>
                </w:pPr>
              </w:p>
            </w:tc>
            <w:tc>
              <w:tcPr>
                <w:tcW w:w="241" w:type="pct"/>
                <w:shd w:val="clear" w:color="auto" w:fill="auto"/>
              </w:tcPr>
              <w:p w:rsidR="004B1879" w:rsidRPr="00E04FAA" w:rsidRDefault="004B1879" w:rsidP="00187111">
                <w:pPr>
                  <w:jc w:val="right"/>
                  <w:rPr>
                    <w:sz w:val="16"/>
                    <w:szCs w:val="16"/>
                  </w:rPr>
                </w:pPr>
              </w:p>
            </w:tc>
            <w:tc>
              <w:tcPr>
                <w:tcW w:w="161" w:type="pct"/>
                <w:shd w:val="clear" w:color="auto" w:fill="auto"/>
              </w:tcPr>
              <w:p w:rsidR="004B1879" w:rsidRPr="00E04FAA" w:rsidRDefault="004B1879" w:rsidP="00187111">
                <w:pPr>
                  <w:jc w:val="right"/>
                  <w:rPr>
                    <w:sz w:val="16"/>
                    <w:szCs w:val="16"/>
                  </w:rPr>
                </w:pPr>
              </w:p>
            </w:tc>
            <w:tc>
              <w:tcPr>
                <w:tcW w:w="563" w:type="pct"/>
                <w:shd w:val="clear" w:color="auto" w:fill="auto"/>
              </w:tcPr>
              <w:p w:rsidR="004B1879" w:rsidRPr="00E04FAA" w:rsidRDefault="004B1879" w:rsidP="00187111">
                <w:pPr>
                  <w:jc w:val="right"/>
                  <w:rPr>
                    <w:color w:val="FF0000"/>
                    <w:sz w:val="16"/>
                    <w:szCs w:val="16"/>
                  </w:rPr>
                </w:pPr>
              </w:p>
            </w:tc>
            <w:tc>
              <w:tcPr>
                <w:tcW w:w="723" w:type="pct"/>
                <w:shd w:val="clear" w:color="auto" w:fill="auto"/>
              </w:tcPr>
              <w:p w:rsidR="004B1879" w:rsidRPr="00E04FAA" w:rsidRDefault="004B1879" w:rsidP="00187111">
                <w:pPr>
                  <w:jc w:val="right"/>
                  <w:rPr>
                    <w:color w:val="FF0000"/>
                    <w:sz w:val="16"/>
                    <w:szCs w:val="16"/>
                  </w:rPr>
                </w:pPr>
              </w:p>
            </w:tc>
            <w:tc>
              <w:tcPr>
                <w:tcW w:w="643" w:type="pct"/>
                <w:shd w:val="clear" w:color="auto" w:fill="auto"/>
              </w:tcPr>
              <w:p w:rsidR="004B1879" w:rsidRPr="00E04FAA" w:rsidRDefault="004B1879" w:rsidP="00187111">
                <w:pPr>
                  <w:jc w:val="right"/>
                  <w:rPr>
                    <w:color w:val="FF0000"/>
                    <w:sz w:val="16"/>
                    <w:szCs w:val="16"/>
                  </w:rPr>
                </w:pPr>
              </w:p>
            </w:tc>
            <w:tc>
              <w:tcPr>
                <w:tcW w:w="628" w:type="pct"/>
                <w:shd w:val="clear" w:color="auto" w:fill="auto"/>
              </w:tcPr>
              <w:p w:rsidR="004B1879" w:rsidRPr="00E04FAA" w:rsidRDefault="004B1879" w:rsidP="00187111">
                <w:pPr>
                  <w:jc w:val="right"/>
                  <w:rPr>
                    <w:color w:val="FF0000"/>
                    <w:sz w:val="16"/>
                    <w:szCs w:val="16"/>
                  </w:rPr>
                </w:pPr>
              </w:p>
            </w:tc>
            <w:tc>
              <w:tcPr>
                <w:tcW w:w="357" w:type="pct"/>
                <w:shd w:val="clear" w:color="auto" w:fill="auto"/>
              </w:tcPr>
              <w:p w:rsidR="004B1879" w:rsidRPr="00E04FAA" w:rsidRDefault="004B1879" w:rsidP="00187111">
                <w:pPr>
                  <w:jc w:val="right"/>
                  <w:rPr>
                    <w:color w:val="FF0000"/>
                    <w:sz w:val="16"/>
                    <w:szCs w:val="16"/>
                  </w:rPr>
                </w:pPr>
              </w:p>
            </w:tc>
          </w:tr>
          <w:tr w:rsidR="00187111" w:rsidRPr="00E04FAA" w:rsidTr="00187111">
            <w:sdt>
              <w:sdtPr>
                <w:rPr>
                  <w:sz w:val="18"/>
                  <w:szCs w:val="18"/>
                </w:rPr>
                <w:tag w:val="_PLD_18428e388059473180af7313fb539834"/>
                <w:id w:val="847222292"/>
                <w:lock w:val="sdtLocked"/>
              </w:sdtPr>
              <w:sdtContent>
                <w:tc>
                  <w:tcPr>
                    <w:tcW w:w="720" w:type="pct"/>
                    <w:shd w:val="clear" w:color="auto" w:fill="auto"/>
                  </w:tcPr>
                  <w:p w:rsidR="004B1879" w:rsidRPr="00E04FAA" w:rsidRDefault="004B1879" w:rsidP="00187111">
                    <w:pPr>
                      <w:jc w:val="both"/>
                      <w:rPr>
                        <w:sz w:val="18"/>
                        <w:szCs w:val="18"/>
                      </w:rPr>
                    </w:pPr>
                    <w:r w:rsidRPr="00E04FAA">
                      <w:rPr>
                        <w:sz w:val="18"/>
                        <w:szCs w:val="18"/>
                      </w:rPr>
                      <w:t>三、股份总数</w:t>
                    </w:r>
                  </w:p>
                </w:tc>
              </w:sdtContent>
            </w:sdt>
            <w:tc>
              <w:tcPr>
                <w:tcW w:w="643" w:type="pct"/>
                <w:shd w:val="clear" w:color="auto" w:fill="auto"/>
              </w:tcPr>
              <w:p w:rsidR="004B1879" w:rsidRPr="00E04FAA" w:rsidRDefault="004B1879" w:rsidP="00187111">
                <w:pPr>
                  <w:jc w:val="right"/>
                  <w:rPr>
                    <w:sz w:val="16"/>
                    <w:szCs w:val="16"/>
                  </w:rPr>
                </w:pPr>
                <w:r w:rsidRPr="00E04FAA">
                  <w:rPr>
                    <w:sz w:val="16"/>
                    <w:szCs w:val="16"/>
                  </w:rPr>
                  <w:t>1,917,832,792</w:t>
                </w:r>
              </w:p>
            </w:tc>
            <w:tc>
              <w:tcPr>
                <w:tcW w:w="321" w:type="pct"/>
                <w:shd w:val="clear" w:color="auto" w:fill="auto"/>
              </w:tcPr>
              <w:p w:rsidR="004B1879" w:rsidRPr="00E04FAA" w:rsidRDefault="004B1879" w:rsidP="00187111">
                <w:pPr>
                  <w:jc w:val="right"/>
                  <w:rPr>
                    <w:sz w:val="16"/>
                    <w:szCs w:val="16"/>
                  </w:rPr>
                </w:pPr>
                <w:r w:rsidRPr="00E04FAA">
                  <w:rPr>
                    <w:sz w:val="16"/>
                    <w:szCs w:val="16"/>
                  </w:rPr>
                  <w:t>100</w:t>
                </w:r>
              </w:p>
            </w:tc>
            <w:tc>
              <w:tcPr>
                <w:tcW w:w="241" w:type="pct"/>
                <w:shd w:val="clear" w:color="auto" w:fill="auto"/>
              </w:tcPr>
              <w:p w:rsidR="004B1879" w:rsidRPr="00E04FAA" w:rsidRDefault="004B1879" w:rsidP="00187111">
                <w:pPr>
                  <w:jc w:val="right"/>
                  <w:rPr>
                    <w:sz w:val="16"/>
                    <w:szCs w:val="16"/>
                  </w:rPr>
                </w:pPr>
              </w:p>
            </w:tc>
            <w:tc>
              <w:tcPr>
                <w:tcW w:w="161" w:type="pct"/>
                <w:shd w:val="clear" w:color="auto" w:fill="auto"/>
              </w:tcPr>
              <w:p w:rsidR="004B1879" w:rsidRPr="00E04FAA" w:rsidRDefault="004B1879" w:rsidP="00187111">
                <w:pPr>
                  <w:jc w:val="right"/>
                  <w:rPr>
                    <w:sz w:val="16"/>
                    <w:szCs w:val="16"/>
                  </w:rPr>
                </w:pPr>
              </w:p>
            </w:tc>
            <w:tc>
              <w:tcPr>
                <w:tcW w:w="563" w:type="pct"/>
                <w:shd w:val="clear" w:color="auto" w:fill="auto"/>
              </w:tcPr>
              <w:p w:rsidR="004B1879" w:rsidRPr="00E04FAA" w:rsidRDefault="004B1879" w:rsidP="00187111">
                <w:pPr>
                  <w:jc w:val="right"/>
                  <w:rPr>
                    <w:color w:val="000000" w:themeColor="text1"/>
                    <w:sz w:val="16"/>
                    <w:szCs w:val="16"/>
                  </w:rPr>
                </w:pPr>
                <w:r w:rsidRPr="00E04FAA">
                  <w:rPr>
                    <w:color w:val="000000" w:themeColor="text1"/>
                    <w:sz w:val="16"/>
                    <w:szCs w:val="16"/>
                  </w:rPr>
                  <w:t>569,295,642</w:t>
                </w:r>
              </w:p>
            </w:tc>
            <w:tc>
              <w:tcPr>
                <w:tcW w:w="723" w:type="pct"/>
                <w:shd w:val="clear" w:color="auto" w:fill="auto"/>
              </w:tcPr>
              <w:p w:rsidR="004B1879" w:rsidRPr="00E04FAA" w:rsidRDefault="004B1879" w:rsidP="00187111">
                <w:pPr>
                  <w:jc w:val="right"/>
                  <w:rPr>
                    <w:color w:val="000000" w:themeColor="text1"/>
                    <w:sz w:val="16"/>
                    <w:szCs w:val="16"/>
                  </w:rPr>
                </w:pPr>
                <w:r w:rsidRPr="00E04FAA">
                  <w:rPr>
                    <w:color w:val="000000" w:themeColor="text1"/>
                    <w:sz w:val="16"/>
                    <w:szCs w:val="16"/>
                  </w:rPr>
                  <w:t>-993,859</w:t>
                </w:r>
              </w:p>
            </w:tc>
            <w:tc>
              <w:tcPr>
                <w:tcW w:w="643" w:type="pct"/>
                <w:shd w:val="clear" w:color="auto" w:fill="auto"/>
              </w:tcPr>
              <w:p w:rsidR="004B1879" w:rsidRPr="00E04FAA" w:rsidRDefault="004B1879" w:rsidP="00187111">
                <w:pPr>
                  <w:jc w:val="right"/>
                  <w:rPr>
                    <w:color w:val="000000" w:themeColor="text1"/>
                    <w:sz w:val="16"/>
                    <w:szCs w:val="16"/>
                  </w:rPr>
                </w:pPr>
                <w:r w:rsidRPr="00E04FAA">
                  <w:rPr>
                    <w:color w:val="000000" w:themeColor="text1"/>
                    <w:sz w:val="16"/>
                    <w:szCs w:val="16"/>
                  </w:rPr>
                  <w:t>568,301,783</w:t>
                </w:r>
              </w:p>
            </w:tc>
            <w:tc>
              <w:tcPr>
                <w:tcW w:w="628" w:type="pct"/>
                <w:shd w:val="clear" w:color="auto" w:fill="auto"/>
              </w:tcPr>
              <w:p w:rsidR="004B1879" w:rsidRPr="00E04FAA" w:rsidRDefault="004B1879" w:rsidP="00187111">
                <w:pPr>
                  <w:jc w:val="right"/>
                  <w:rPr>
                    <w:color w:val="000000" w:themeColor="text1"/>
                    <w:sz w:val="16"/>
                    <w:szCs w:val="16"/>
                  </w:rPr>
                </w:pPr>
                <w:r w:rsidRPr="00E04FAA">
                  <w:rPr>
                    <w:color w:val="000000" w:themeColor="text1"/>
                    <w:sz w:val="16"/>
                    <w:szCs w:val="16"/>
                  </w:rPr>
                  <w:t>2,486,134,575</w:t>
                </w:r>
              </w:p>
            </w:tc>
            <w:tc>
              <w:tcPr>
                <w:tcW w:w="357" w:type="pct"/>
                <w:shd w:val="clear" w:color="auto" w:fill="auto"/>
              </w:tcPr>
              <w:p w:rsidR="004B1879" w:rsidRPr="00E04FAA" w:rsidRDefault="004B1879" w:rsidP="00187111">
                <w:pPr>
                  <w:jc w:val="right"/>
                  <w:rPr>
                    <w:color w:val="000000" w:themeColor="text1"/>
                    <w:sz w:val="16"/>
                    <w:szCs w:val="16"/>
                  </w:rPr>
                </w:pPr>
                <w:r w:rsidRPr="00E04FAA">
                  <w:rPr>
                    <w:color w:val="000000" w:themeColor="text1"/>
                    <w:sz w:val="16"/>
                    <w:szCs w:val="16"/>
                  </w:rPr>
                  <w:t>100.0</w:t>
                </w:r>
              </w:p>
            </w:tc>
          </w:tr>
        </w:tbl>
      </w:sdtContent>
    </w:sdt>
    <w:bookmarkEnd w:id="44" w:displacedByCustomXml="next"/>
    <w:bookmarkStart w:id="45" w:name="_Toc342565996" w:displacedByCustomXml="next"/>
    <w:bookmarkStart w:id="46" w:name="_Toc342059483" w:displacedByCustomXml="next"/>
    <w:sdt>
      <w:sdtPr>
        <w:rPr>
          <w:rFonts w:ascii="Calibri" w:hAnsi="Calibri" w:cs="宋体"/>
          <w:b w:val="0"/>
          <w:bCs w:val="0"/>
          <w:kern w:val="0"/>
          <w:sz w:val="18"/>
          <w:szCs w:val="18"/>
        </w:rPr>
        <w:alias w:val="模块:股份变动情况说明"/>
        <w:tag w:val="_GBC_11d26f58e47e4a1f997d73362074f464"/>
        <w:id w:val="510641769"/>
        <w:lock w:val="sdtLocked"/>
        <w:placeholder>
          <w:docPart w:val="GBC22222222222222222222222222222"/>
        </w:placeholder>
      </w:sdtPr>
      <w:sdtEndPr>
        <w:rPr>
          <w:rFonts w:ascii="宋体" w:hAnsi="宋体" w:hint="eastAsia"/>
          <w:sz w:val="21"/>
          <w:szCs w:val="24"/>
        </w:rPr>
      </w:sdtEndPr>
      <w:sdtContent>
        <w:p w:rsidR="00883153" w:rsidRPr="00E04FAA" w:rsidRDefault="00200151" w:rsidP="00FC3870">
          <w:pPr>
            <w:pStyle w:val="4"/>
            <w:numPr>
              <w:ilvl w:val="2"/>
              <w:numId w:val="12"/>
            </w:numPr>
          </w:pPr>
          <w:r w:rsidRPr="00E04FAA">
            <w:t>股份变动情况说明</w:t>
          </w:r>
        </w:p>
        <w:sdt>
          <w:sdtPr>
            <w:alias w:val="是否适用：普通股股份变动情况说明[双击切换]"/>
            <w:tag w:val="_GBC_28994e6dc9c649e498c0ab9c340777bf"/>
            <w:id w:val="-90395811"/>
            <w:lock w:val="sdtContentLocked"/>
            <w:placeholder>
              <w:docPart w:val="GBC22222222222222222222222222222"/>
            </w:placeholder>
          </w:sdtPr>
          <w:sdtContent>
            <w:p w:rsidR="00883153" w:rsidRPr="00E04FAA" w:rsidRDefault="00200151" w:rsidP="00922A40">
              <w:r w:rsidRPr="00E04FAA">
                <w:fldChar w:fldCharType="begin"/>
              </w:r>
              <w:r w:rsidR="00424A0D" w:rsidRPr="00E04FAA">
                <w:instrText xml:space="preserve"> MACROBUTTON  SnrToggleCheckbox √适用 </w:instrText>
              </w:r>
              <w:r w:rsidRPr="00E04FAA">
                <w:fldChar w:fldCharType="end"/>
              </w:r>
              <w:r w:rsidRPr="00E04FAA">
                <w:fldChar w:fldCharType="begin"/>
              </w:r>
              <w:r w:rsidR="00424A0D" w:rsidRPr="00E04FAA">
                <w:instrText xml:space="preserve"> MACROBUTTON  SnrToggleCheckbox □不适用 </w:instrText>
              </w:r>
              <w:r w:rsidRPr="00E04FAA">
                <w:fldChar w:fldCharType="end"/>
              </w:r>
            </w:p>
          </w:sdtContent>
        </w:sdt>
        <w:sdt>
          <w:sdtPr>
            <w:rPr>
              <w:rFonts w:hint="eastAsia"/>
            </w:rPr>
            <w:alias w:val="股份变动情况说明"/>
            <w:tag w:val="_GBC_370febd389f14759b2ed3f1114b289a6"/>
            <w:id w:val="1891696806"/>
            <w:lock w:val="sdtLocked"/>
            <w:placeholder>
              <w:docPart w:val="GBC22222222222222222222222222222"/>
            </w:placeholder>
          </w:sdtPr>
          <w:sdtContent>
            <w:p w:rsidR="006B0132" w:rsidRPr="00E04FAA" w:rsidRDefault="006B0132" w:rsidP="006B0132">
              <w:pPr>
                <w:ind w:firstLine="420"/>
              </w:pPr>
              <w:r w:rsidRPr="00E04FAA">
                <w:rPr>
                  <w:rFonts w:hint="eastAsia"/>
                </w:rPr>
                <w:t>公司于</w:t>
              </w:r>
              <w:r w:rsidRPr="00E04FAA">
                <w:t>2018年12月29日披露</w:t>
              </w:r>
              <w:r w:rsidRPr="00E04FAA">
                <w:rPr>
                  <w:rFonts w:hint="eastAsia"/>
                </w:rPr>
                <w:t>了</w:t>
              </w:r>
              <w:r w:rsidRPr="00E04FAA">
                <w:t>《公司关于注销已回购的股权激励股份的公告》，公司</w:t>
              </w:r>
              <w:r w:rsidRPr="00E04FAA">
                <w:rPr>
                  <w:rFonts w:hint="eastAsia"/>
                </w:rPr>
                <w:t>于2</w:t>
              </w:r>
              <w:r w:rsidRPr="00E04FAA">
                <w:t>019</w:t>
              </w:r>
              <w:r w:rsidRPr="00E04FAA">
                <w:rPr>
                  <w:rFonts w:hint="eastAsia"/>
                </w:rPr>
                <w:t>年1月2日</w:t>
              </w:r>
              <w:r w:rsidRPr="00E04FAA">
                <w:t>合计注销了</w:t>
              </w:r>
              <w:r w:rsidRPr="00E04FAA">
                <w:rPr>
                  <w:rFonts w:hint="eastAsia"/>
                </w:rPr>
                <w:t>350,859</w:t>
              </w:r>
              <w:r w:rsidRPr="00E04FAA">
                <w:t>股限制性股票。</w:t>
              </w:r>
              <w:r w:rsidRPr="00E04FAA">
                <w:rPr>
                  <w:rFonts w:hint="eastAsia"/>
                </w:rPr>
                <w:t>本次回购注销完成后，公司总股本</w:t>
              </w:r>
              <w:r w:rsidRPr="00E04FAA">
                <w:t>变为1,917,481,933股。</w:t>
              </w:r>
            </w:p>
            <w:p w:rsidR="007D43AF" w:rsidRPr="00E04FAA" w:rsidRDefault="007D43AF" w:rsidP="008856C3">
              <w:pPr>
                <w:ind w:firstLine="420"/>
              </w:pPr>
              <w:r w:rsidRPr="00E04FAA">
                <w:t>2019年4月8日公司2018年年度股东大会审议通过了《公司2018年度利润分配方案》和《公司2018年度资本公积金转增股本方案》，公司向全体股东每10股派发现金股利2.5元(含税),向全体股东每10股转增3股。以上权益分派方案已实施完毕。本次权益分派共计转增股份569,295,642股，本次分配后总股本变为2,486,777,575股。</w:t>
              </w:r>
            </w:p>
            <w:p w:rsidR="00883153" w:rsidRPr="00E04FAA" w:rsidRDefault="008856C3" w:rsidP="007D43AF">
              <w:pPr>
                <w:ind w:firstLine="420"/>
              </w:pPr>
              <w:r w:rsidRPr="00E04FAA">
                <w:rPr>
                  <w:rFonts w:hint="eastAsia"/>
                </w:rPr>
                <w:t>公司于</w:t>
              </w:r>
              <w:r w:rsidRPr="00E04FAA">
                <w:t>2019年5月15日披露《公司关于注销已回购的股权激励股份的公告》，公司合计注销了643,000股限制性股票。</w:t>
              </w:r>
              <w:r w:rsidR="00E04AFE" w:rsidRPr="00E04FAA">
                <w:rPr>
                  <w:rFonts w:hint="eastAsia"/>
                </w:rPr>
                <w:t>本次回购注销完成后，公司总股本</w:t>
              </w:r>
              <w:r w:rsidR="00E04AFE" w:rsidRPr="00E04FAA">
                <w:t>变为2,486,134,575股。</w:t>
              </w:r>
            </w:p>
          </w:sdtContent>
        </w:sdt>
      </w:sdtContent>
    </w:sdt>
    <w:p w:rsidR="00883153" w:rsidRPr="00E04FAA" w:rsidRDefault="00883153"/>
    <w:sdt>
      <w:sdtPr>
        <w:rPr>
          <w:rFonts w:ascii="宋体" w:hAnsi="宋体" w:cs="宋体"/>
          <w:b/>
          <w:bCs/>
          <w:kern w:val="0"/>
          <w:szCs w:val="24"/>
        </w:rPr>
        <w:alias w:val="模块:报告期后到半年报披露日期间发生股份变动对每股收益等指标影响"/>
        <w:tag w:val="_GBC_2c9eb79778814e39ab254196ba75dab3"/>
        <w:id w:val="834426254"/>
        <w:lock w:val="sdtLocked"/>
        <w:placeholder>
          <w:docPart w:val="GBC22222222222222222222222222222"/>
        </w:placeholder>
      </w:sdtPr>
      <w:sdtEndPr>
        <w:rPr>
          <w:rFonts w:hint="eastAsia"/>
          <w:b w:val="0"/>
          <w:bCs w:val="0"/>
        </w:rPr>
      </w:sdtEndPr>
      <w:sdtContent>
        <w:p w:rsidR="00883153" w:rsidRPr="00E04FAA" w:rsidRDefault="00200151" w:rsidP="00FC3870">
          <w:pPr>
            <w:pStyle w:val="af"/>
            <w:numPr>
              <w:ilvl w:val="2"/>
              <w:numId w:val="12"/>
            </w:numPr>
            <w:ind w:firstLineChars="0"/>
            <w:rPr>
              <w:rFonts w:ascii="Cambria" w:hAnsi="Cambria"/>
              <w:b/>
              <w:bCs/>
              <w:szCs w:val="28"/>
            </w:rPr>
          </w:pPr>
          <w:r w:rsidRPr="00E04FAA">
            <w:rPr>
              <w:rFonts w:ascii="Cambria" w:hAnsi="Cambria" w:hint="eastAsia"/>
              <w:b/>
              <w:bCs/>
              <w:szCs w:val="28"/>
            </w:rPr>
            <w:t>报告期后到半年报披露日期间发生股份变动对每股收益、每股净资产等财务指标的影响（如有）</w:t>
          </w:r>
        </w:p>
        <w:sdt>
          <w:sdtPr>
            <w:rPr>
              <w:rFonts w:hint="eastAsia"/>
            </w:rPr>
            <w:alias w:val="是否适用：普通股股份变动对最近一年和最近一期每股收益、每股净资产等财务指标的影响[双击切换]"/>
            <w:tag w:val="_GBC_bb0980f1589b4db8944ca5595f342bfe"/>
            <w:id w:val="397874898"/>
            <w:lock w:val="sdtContentLocked"/>
            <w:placeholder>
              <w:docPart w:val="GBC22222222222222222222222222222"/>
            </w:placeholder>
          </w:sdtPr>
          <w:sdtContent>
            <w:p w:rsidR="00883153" w:rsidRPr="00E04FAA" w:rsidRDefault="00200151">
              <w:r w:rsidRPr="00E04FAA">
                <w:fldChar w:fldCharType="begin"/>
              </w:r>
              <w:r w:rsidR="00424A0D" w:rsidRPr="00E04FAA">
                <w:instrText xml:space="preserve"> MACROBUTTON  SnrToggleCheckbox √适用 </w:instrText>
              </w:r>
              <w:r w:rsidRPr="00E04FAA">
                <w:fldChar w:fldCharType="end"/>
              </w:r>
              <w:r w:rsidRPr="00E04FAA">
                <w:fldChar w:fldCharType="begin"/>
              </w:r>
              <w:r w:rsidR="00424A0D" w:rsidRPr="00E04FAA">
                <w:instrText xml:space="preserve"> MACROBUTTON  SnrToggleCheckbox □不适用 </w:instrText>
              </w:r>
              <w:r w:rsidRPr="00E04FAA">
                <w:fldChar w:fldCharType="end"/>
              </w:r>
            </w:p>
          </w:sdtContent>
        </w:sdt>
        <w:sdt>
          <w:sdtPr>
            <w:rPr>
              <w:rFonts w:hint="eastAsia"/>
            </w:rPr>
            <w:alias w:val="股份变动对最近一年和最近一期财务指标的影响"/>
            <w:tag w:val="_GBC_357a4417afe34f56bf112d0f65cd7d39"/>
            <w:id w:val="-1068561151"/>
            <w:lock w:val="sdtLocked"/>
            <w:placeholder>
              <w:docPart w:val="GBC22222222222222222222222222222"/>
            </w:placeholder>
          </w:sdtPr>
          <w:sdtContent>
            <w:p w:rsidR="00883153" w:rsidRPr="00E04FAA" w:rsidRDefault="00CE2B87" w:rsidP="00CE2B87">
              <w:pPr>
                <w:ind w:firstLine="420"/>
              </w:pPr>
              <w:r w:rsidRPr="00E04FAA">
                <w:rPr>
                  <w:rFonts w:hint="eastAsia"/>
                </w:rPr>
                <w:t>公司</w:t>
              </w:r>
              <w:r w:rsidRPr="00E04FAA">
                <w:t>于2019年8月5</w:t>
              </w:r>
              <w:r w:rsidRPr="00E04FAA">
                <w:rPr>
                  <w:rFonts w:hint="eastAsia"/>
                </w:rPr>
                <w:t>日解锁限制性股票</w:t>
              </w:r>
              <w:r w:rsidRPr="00E04FAA">
                <w:t>8,930,125股， 解锁后总股本不变。</w:t>
              </w:r>
              <w:r w:rsidR="00424A0D" w:rsidRPr="00E04FAA">
                <w:t>在归属于母公司股东的净利润不变的情况下，以调整后的股数重新计算的公司基本每股收益相应摊薄。</w:t>
              </w:r>
            </w:p>
          </w:sdtContent>
        </w:sdt>
      </w:sdtContent>
    </w:sdt>
    <w:p w:rsidR="00883153" w:rsidRPr="00E04FAA" w:rsidRDefault="00883153"/>
    <w:sdt>
      <w:sdtPr>
        <w:rPr>
          <w:rFonts w:ascii="Calibri" w:hAnsi="Calibri" w:cs="宋体"/>
          <w:b w:val="0"/>
          <w:bCs w:val="0"/>
          <w:kern w:val="0"/>
          <w:szCs w:val="22"/>
        </w:rPr>
        <w:alias w:val="模块:公司认为必要或证券监管机构要求披露的其他内容"/>
        <w:tag w:val="_GBC_ea8cea8d08c04df4b51a4a58c86eadd2"/>
        <w:id w:val="528220094"/>
        <w:lock w:val="sdtLocked"/>
        <w:placeholder>
          <w:docPart w:val="GBC22222222222222222222222222222"/>
        </w:placeholder>
      </w:sdtPr>
      <w:sdtEndPr>
        <w:rPr>
          <w:rFonts w:ascii="宋体" w:hAnsi="宋体" w:hint="eastAsia"/>
          <w:szCs w:val="24"/>
        </w:rPr>
      </w:sdtEndPr>
      <w:sdtContent>
        <w:p w:rsidR="00883153" w:rsidRPr="00E04FAA" w:rsidRDefault="00200151" w:rsidP="00FC3870">
          <w:pPr>
            <w:pStyle w:val="4"/>
            <w:numPr>
              <w:ilvl w:val="2"/>
              <w:numId w:val="12"/>
            </w:numPr>
          </w:pPr>
          <w:r w:rsidRPr="00E04FAA">
            <w:t>公司认为必要或证券监管机构要求披露的其他内容</w:t>
          </w:r>
        </w:p>
        <w:sdt>
          <w:sdtPr>
            <w:alias w:val="是否适用：公司认为必要或证券监管机构要求披露的其他内容[双击切换]"/>
            <w:tag w:val="_GBC_7554eed1e25047d282437f24056d532b"/>
            <w:id w:val="-1914232003"/>
            <w:lock w:val="sdtContentLocked"/>
            <w:placeholder>
              <w:docPart w:val="GBC22222222222222222222222222222"/>
            </w:placeholder>
          </w:sdtPr>
          <w:sdtContent>
            <w:p w:rsidR="00883153" w:rsidRPr="00E04FAA" w:rsidRDefault="00200151" w:rsidP="00384632">
              <w:r w:rsidRPr="00E04FAA">
                <w:fldChar w:fldCharType="begin"/>
              </w:r>
              <w:r w:rsidR="00384632" w:rsidRPr="00E04FAA">
                <w:instrText xml:space="preserve"> MACROBUTTON  SnrToggleCheckbox □适用 </w:instrText>
              </w:r>
              <w:r w:rsidRPr="00E04FAA">
                <w:fldChar w:fldCharType="end"/>
              </w:r>
              <w:r w:rsidRPr="00E04FAA">
                <w:fldChar w:fldCharType="begin"/>
              </w:r>
              <w:r w:rsidR="00384632" w:rsidRPr="00E04FAA">
                <w:instrText xml:space="preserve"> MACROBUTTON  SnrToggleCheckbox √不适用 </w:instrText>
              </w:r>
              <w:r w:rsidRPr="00E04FAA">
                <w:fldChar w:fldCharType="end"/>
              </w:r>
            </w:p>
          </w:sdtContent>
        </w:sdt>
      </w:sdtContent>
    </w:sdt>
    <w:p w:rsidR="00883153" w:rsidRPr="00E04FAA" w:rsidRDefault="00883153"/>
    <w:p w:rsidR="00883153" w:rsidRPr="00E04FAA" w:rsidRDefault="00200151" w:rsidP="00FC3870">
      <w:pPr>
        <w:pStyle w:val="3"/>
        <w:numPr>
          <w:ilvl w:val="1"/>
          <w:numId w:val="11"/>
        </w:numPr>
      </w:pPr>
      <w:r w:rsidRPr="00E04FAA">
        <w:t>限售股份变动情况</w:t>
      </w:r>
    </w:p>
    <w:sdt>
      <w:sdtPr>
        <w:alias w:val="是否适用：限售股份变动情况表[双击切换]"/>
        <w:tag w:val="_GBC_6f5978a50e224b6aa94189436cdee711"/>
        <w:id w:val="-2096698195"/>
        <w:lock w:val="sdtContentLocked"/>
        <w:placeholder>
          <w:docPart w:val="GBC22222222222222222222222222222"/>
        </w:placeholder>
      </w:sdtPr>
      <w:sdtContent>
        <w:p w:rsidR="00883153" w:rsidRPr="00E04FAA" w:rsidRDefault="00200151">
          <w:r w:rsidRPr="00E04FAA">
            <w:fldChar w:fldCharType="begin"/>
          </w:r>
          <w:r w:rsidR="00384632" w:rsidRPr="00E04FAA">
            <w:instrText xml:space="preserve"> MACROBUTTON  SnrToggleCheckbox √适用 </w:instrText>
          </w:r>
          <w:r w:rsidRPr="00E04FAA">
            <w:fldChar w:fldCharType="end"/>
          </w:r>
          <w:r w:rsidRPr="00E04FAA">
            <w:fldChar w:fldCharType="begin"/>
          </w:r>
          <w:r w:rsidR="00384632" w:rsidRPr="00E04FAA">
            <w:instrText xml:space="preserve"> MACROBUTTON  SnrToggleCheckbox □不适用 </w:instrText>
          </w:r>
          <w:r w:rsidRPr="00E04FAA">
            <w:fldChar w:fldCharType="end"/>
          </w:r>
        </w:p>
      </w:sdtContent>
    </w:sdt>
    <w:sdt>
      <w:sdtPr>
        <w:rPr>
          <w:rFonts w:hint="eastAsia"/>
        </w:rPr>
        <w:alias w:val="模块:限售股份变动情况"/>
        <w:tag w:val="_GBC_f5a42c6148a54c6195b7258dcf04422f"/>
        <w:id w:val="658738905"/>
        <w:lock w:val="sdtLocked"/>
        <w:placeholder>
          <w:docPart w:val="GBC22222222222222222222222222222"/>
        </w:placeholder>
      </w:sdtPr>
      <w:sdtEndPr>
        <w:rPr>
          <w:rFonts w:asciiTheme="minorEastAsia" w:eastAsiaTheme="minorEastAsia" w:hAnsiTheme="minorEastAsia"/>
        </w:rPr>
      </w:sdtEndPr>
      <w:sdtContent>
        <w:p w:rsidR="002B43EE" w:rsidRPr="00E04FAA" w:rsidRDefault="002B43EE" w:rsidP="008D3697">
          <w:pPr>
            <w:ind w:firstLine="420"/>
          </w:pPr>
          <w:r w:rsidRPr="00E04FAA">
            <w:rPr>
              <w:rFonts w:hint="eastAsia"/>
            </w:rPr>
            <w:t>公司于</w:t>
          </w:r>
          <w:r w:rsidRPr="00E04FAA">
            <w:t>2018年12月29日披露</w:t>
          </w:r>
          <w:r w:rsidRPr="00E04FAA">
            <w:rPr>
              <w:rFonts w:hint="eastAsia"/>
            </w:rPr>
            <w:t>了</w:t>
          </w:r>
          <w:r w:rsidRPr="00E04FAA">
            <w:t>《公司关于注销已回购的股权激励股份的公告》，公司</w:t>
          </w:r>
          <w:r w:rsidRPr="00E04FAA">
            <w:rPr>
              <w:rFonts w:hint="eastAsia"/>
            </w:rPr>
            <w:t>于2</w:t>
          </w:r>
          <w:r w:rsidRPr="00E04FAA">
            <w:t>019</w:t>
          </w:r>
          <w:r w:rsidRPr="00E04FAA">
            <w:rPr>
              <w:rFonts w:hint="eastAsia"/>
            </w:rPr>
            <w:t>年1月2日</w:t>
          </w:r>
          <w:r w:rsidRPr="00E04FAA">
            <w:t>合计注销了</w:t>
          </w:r>
          <w:r w:rsidRPr="00E04FAA">
            <w:rPr>
              <w:rFonts w:hint="eastAsia"/>
            </w:rPr>
            <w:t>350,859</w:t>
          </w:r>
          <w:r w:rsidRPr="00E04FAA">
            <w:t>股限制性股票。</w:t>
          </w:r>
          <w:r w:rsidRPr="00E04FAA">
            <w:rPr>
              <w:rFonts w:hint="eastAsia"/>
            </w:rPr>
            <w:t>本次回购注销完成后，公司总股本</w:t>
          </w:r>
          <w:r w:rsidRPr="00E04FAA">
            <w:t>变为1,917,481,933股。</w:t>
          </w:r>
        </w:p>
        <w:p w:rsidR="00BA0A0E" w:rsidRPr="00E04FAA" w:rsidRDefault="008D3697" w:rsidP="008D3697">
          <w:pPr>
            <w:ind w:firstLine="420"/>
          </w:pPr>
          <w:r w:rsidRPr="00E04FAA">
            <w:rPr>
              <w:rFonts w:hint="eastAsia"/>
            </w:rPr>
            <w:t>公司于</w:t>
          </w:r>
          <w:r w:rsidRPr="00E04FAA">
            <w:t>2019年5月15日披露《公司关于注销已回购的股权激励股份的公告》，公司合计注销了643,000股限制性股票。</w:t>
          </w:r>
          <w:r w:rsidR="00A07BE1" w:rsidRPr="00E04FAA">
            <w:rPr>
              <w:rFonts w:hint="eastAsia"/>
            </w:rPr>
            <w:t>本次回购注销完成后，公司总股本</w:t>
          </w:r>
          <w:r w:rsidR="00A07BE1" w:rsidRPr="00E04FAA">
            <w:t>变为2,486,134,575股。</w:t>
          </w:r>
        </w:p>
        <w:p w:rsidR="00883153" w:rsidRPr="00E04FAA" w:rsidRDefault="000D0A99" w:rsidP="008D3697">
          <w:pPr>
            <w:ind w:firstLine="420"/>
            <w:rPr>
              <w:rFonts w:asciiTheme="minorEastAsia" w:eastAsiaTheme="minorEastAsia" w:hAnsiTheme="minorEastAsia"/>
            </w:rPr>
          </w:pPr>
        </w:p>
      </w:sdtContent>
    </w:sdt>
    <w:p w:rsidR="00883153" w:rsidRPr="00E04FAA" w:rsidRDefault="00200151">
      <w:pPr>
        <w:pStyle w:val="2"/>
        <w:numPr>
          <w:ilvl w:val="0"/>
          <w:numId w:val="1"/>
        </w:numPr>
        <w:spacing w:line="360" w:lineRule="auto"/>
        <w:ind w:left="448" w:hanging="448"/>
      </w:pPr>
      <w:r w:rsidRPr="00E04FAA">
        <w:t>股东情况</w:t>
      </w:r>
      <w:bookmarkEnd w:id="46"/>
      <w:bookmarkEnd w:id="45"/>
    </w:p>
    <w:sdt>
      <w:sdtPr>
        <w:rPr>
          <w:rFonts w:ascii="宋体" w:hAnsi="宋体" w:cs="宋体"/>
          <w:b w:val="0"/>
          <w:bCs w:val="0"/>
          <w:kern w:val="0"/>
          <w:szCs w:val="22"/>
        </w:rPr>
        <w:alias w:val="模块:股东总数"/>
        <w:tag w:val="_GBC_ba0ac3b5d31347c0a620e3662112fa62"/>
        <w:id w:val="361939241"/>
        <w:lock w:val="sdtLocked"/>
        <w:placeholder>
          <w:docPart w:val="GBC22222222222222222222222222222"/>
        </w:placeholder>
      </w:sdtPr>
      <w:sdtEndPr>
        <w:rPr>
          <w:szCs w:val="24"/>
        </w:rPr>
      </w:sdtEndPr>
      <w:sdtContent>
        <w:p w:rsidR="00883153" w:rsidRPr="00E04FAA" w:rsidRDefault="00200151" w:rsidP="00FC3870">
          <w:pPr>
            <w:pStyle w:val="3"/>
            <w:numPr>
              <w:ilvl w:val="1"/>
              <w:numId w:val="13"/>
            </w:numPr>
          </w:pPr>
          <w:r w:rsidRPr="00E04FAA">
            <w:t>股东总数</w:t>
          </w:r>
          <w:r w:rsidRPr="00E04FAA">
            <w:t>:</w:t>
          </w:r>
        </w:p>
        <w:tbl>
          <w:tblPr>
            <w:tblStyle w:val="a9"/>
            <w:tblW w:w="0" w:type="auto"/>
            <w:tblLook w:val="04A0" w:firstRow="1" w:lastRow="0" w:firstColumn="1" w:lastColumn="0" w:noHBand="0" w:noVBand="1"/>
          </w:tblPr>
          <w:tblGrid>
            <w:gridCol w:w="4943"/>
            <w:gridCol w:w="3880"/>
          </w:tblGrid>
          <w:tr w:rsidR="00883153" w:rsidRPr="00E04FAA" w:rsidTr="00310188">
            <w:bookmarkStart w:id="47" w:name="_Hlk14443172" w:displacedByCustomXml="next"/>
            <w:sdt>
              <w:sdtPr>
                <w:tag w:val="_PLD_9206d6884981495295105158630a6172"/>
                <w:id w:val="-2127150345"/>
                <w:lock w:val="sdtLocked"/>
              </w:sdtPr>
              <w:sdtContent>
                <w:tc>
                  <w:tcPr>
                    <w:tcW w:w="5070" w:type="dxa"/>
                  </w:tcPr>
                  <w:p w:rsidR="00883153" w:rsidRPr="00E04FAA" w:rsidRDefault="00200151">
                    <w:r w:rsidRPr="00E04FAA">
                      <w:t>截止报告期末</w:t>
                    </w:r>
                    <w:r w:rsidRPr="00E04FAA">
                      <w:rPr>
                        <w:rFonts w:hint="eastAsia"/>
                      </w:rPr>
                      <w:t>普通股</w:t>
                    </w:r>
                    <w:r w:rsidRPr="00E04FAA">
                      <w:t>股东总数(户)</w:t>
                    </w:r>
                  </w:p>
                </w:tc>
              </w:sdtContent>
            </w:sdt>
            <w:sdt>
              <w:sdtPr>
                <w:alias w:val="报告期末股东总数"/>
                <w:tag w:val="_GBC_9fd402ec66014f4e9716c7fdb0286bd2"/>
                <w:id w:val="1390072989"/>
                <w:lock w:val="sdtLocked"/>
              </w:sdtPr>
              <w:sdtContent>
                <w:tc>
                  <w:tcPr>
                    <w:tcW w:w="3978" w:type="dxa"/>
                  </w:tcPr>
                  <w:p w:rsidR="00883153" w:rsidRPr="00E04FAA" w:rsidRDefault="00645D69" w:rsidP="00645D69">
                    <w:pPr>
                      <w:jc w:val="right"/>
                    </w:pPr>
                    <w:r w:rsidRPr="00E04FAA">
                      <w:rPr>
                        <w:rFonts w:hint="eastAsia"/>
                        <w:color w:val="000000"/>
                        <w:szCs w:val="21"/>
                      </w:rPr>
                      <w:t>75378</w:t>
                    </w:r>
                  </w:p>
                </w:tc>
              </w:sdtContent>
            </w:sdt>
          </w:tr>
          <w:tr w:rsidR="00883153" w:rsidRPr="00E04FAA" w:rsidTr="00310188">
            <w:sdt>
              <w:sdtPr>
                <w:tag w:val="_PLD_40c51c13ddad420ab635010b5df15a40"/>
                <w:id w:val="-418868224"/>
                <w:lock w:val="sdtLocked"/>
              </w:sdtPr>
              <w:sdtContent>
                <w:tc>
                  <w:tcPr>
                    <w:tcW w:w="5070" w:type="dxa"/>
                  </w:tcPr>
                  <w:p w:rsidR="00883153" w:rsidRPr="00E04FAA" w:rsidRDefault="00200151">
                    <w:r w:rsidRPr="00E04FAA">
                      <w:rPr>
                        <w:rFonts w:hint="eastAsia"/>
                      </w:rPr>
                      <w:t>截止报告期末表决权恢复的优先股股东总数（户）</w:t>
                    </w:r>
                  </w:p>
                </w:tc>
              </w:sdtContent>
            </w:sdt>
            <w:tc>
              <w:tcPr>
                <w:tcW w:w="3978" w:type="dxa"/>
              </w:tcPr>
              <w:p w:rsidR="00883153" w:rsidRPr="00E04FAA" w:rsidRDefault="00C21E7F">
                <w:pPr>
                  <w:jc w:val="right"/>
                </w:pPr>
                <w:r w:rsidRPr="00E04FAA">
                  <w:rPr>
                    <w:rFonts w:hint="eastAsia"/>
                  </w:rPr>
                  <w:t>0</w:t>
                </w:r>
              </w:p>
            </w:tc>
          </w:tr>
          <w:bookmarkEnd w:id="47"/>
        </w:tbl>
      </w:sdtContent>
    </w:sdt>
    <w:p w:rsidR="00883153" w:rsidRPr="00E04FAA" w:rsidRDefault="00883153"/>
    <w:p w:rsidR="00883153" w:rsidRPr="00E04FAA" w:rsidRDefault="00200151" w:rsidP="00FC3870">
      <w:pPr>
        <w:pStyle w:val="3"/>
        <w:numPr>
          <w:ilvl w:val="1"/>
          <w:numId w:val="13"/>
        </w:numPr>
      </w:pPr>
      <w:bookmarkStart w:id="48" w:name="_Toc342059485"/>
      <w:bookmarkStart w:id="49" w:name="_Toc342565998"/>
      <w:r w:rsidRPr="00E04FAA">
        <w:rPr>
          <w:rFonts w:hint="eastAsia"/>
          <w:szCs w:val="21"/>
        </w:rPr>
        <w:t>截止报告期末前十名股东、前十名流通股东（或无限售条件股东）持股情况表</w:t>
      </w:r>
    </w:p>
    <w:sdt>
      <w:sdtPr>
        <w:rPr>
          <w:rFonts w:hint="eastAsia"/>
          <w:b/>
          <w:bCs/>
          <w:szCs w:val="22"/>
        </w:rPr>
        <w:alias w:val="选项模块:前十名股东持股情况(已完成或不涉及股改)"/>
        <w:tag w:val="_GBC_558dfa41ef4b4fa8adb57b3c9c0a2887"/>
        <w:id w:val="463093574"/>
        <w:lock w:val="sdtLocked"/>
        <w:placeholder>
          <w:docPart w:val="GBC22222222222222222222222222222"/>
        </w:placeholder>
      </w:sdtPr>
      <w:sdtEndPr>
        <w:rPr>
          <w:rFonts w:cs="Arial" w:hint="default"/>
          <w:b w:val="0"/>
          <w:bCs w:val="0"/>
          <w:szCs w:val="21"/>
        </w:rPr>
      </w:sdtEndPr>
      <w:sdtContent>
        <w:bookmarkEnd w:id="49" w:displacedByCustomXml="prev"/>
        <w:bookmarkEnd w:id="48" w:displacedByCustomXml="prev"/>
        <w:p w:rsidR="00883153" w:rsidRPr="00E04FAA" w:rsidRDefault="00200151">
          <w:pPr>
            <w:jc w:val="right"/>
            <w:rPr>
              <w:szCs w:val="21"/>
            </w:rPr>
          </w:pPr>
          <w:r w:rsidRPr="00E04FAA">
            <w:rPr>
              <w:bCs/>
              <w:szCs w:val="21"/>
            </w:rPr>
            <w:t>单位:</w:t>
          </w:r>
          <w:sdt>
            <w:sdtPr>
              <w:rPr>
                <w:bCs/>
                <w:szCs w:val="21"/>
              </w:rPr>
              <w:alias w:val="单位：前十名股东持股情况"/>
              <w:tag w:val="_GBC_9d020b31dcb449c980ed0856cf6dae82"/>
              <w:id w:val="-1560472176"/>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sidRPr="00E04FAA">
                <w:rPr>
                  <w:rFonts w:hint="eastAsia"/>
                  <w:bCs/>
                  <w:szCs w:val="21"/>
                </w:rPr>
                <w:t>股</w:t>
              </w:r>
            </w:sdtContent>
          </w:sdt>
        </w:p>
        <w:tbl>
          <w:tblPr>
            <w:tblStyle w:val="g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1560"/>
            <w:gridCol w:w="1417"/>
            <w:gridCol w:w="779"/>
            <w:gridCol w:w="812"/>
            <w:gridCol w:w="677"/>
            <w:gridCol w:w="763"/>
            <w:gridCol w:w="763"/>
            <w:gridCol w:w="923"/>
          </w:tblGrid>
          <w:tr w:rsidR="001523DC" w:rsidRPr="00E04FAA" w:rsidTr="006837EA">
            <w:trPr>
              <w:cantSplit/>
            </w:trPr>
            <w:sdt>
              <w:sdtPr>
                <w:tag w:val="_PLD_3038da138bad4905b589aeba821a8575"/>
                <w:id w:val="-2054144977"/>
                <w:lock w:val="sdtLocked"/>
              </w:sdtPr>
              <w:sdtContent>
                <w:tc>
                  <w:tcPr>
                    <w:tcW w:w="8823" w:type="dxa"/>
                    <w:gridSpan w:val="9"/>
                    <w:shd w:val="clear" w:color="auto" w:fill="auto"/>
                  </w:tcPr>
                  <w:p w:rsidR="001523DC" w:rsidRPr="00E04FAA" w:rsidRDefault="001523DC" w:rsidP="000F02D6">
                    <w:pPr>
                      <w:pStyle w:val="ad"/>
                      <w:jc w:val="center"/>
                      <w:rPr>
                        <w:rFonts w:ascii="宋体" w:hAnsi="宋体"/>
                      </w:rPr>
                    </w:pPr>
                    <w:r w:rsidRPr="00E04FAA">
                      <w:rPr>
                        <w:rFonts w:ascii="宋体" w:hAnsi="宋体"/>
                      </w:rPr>
                      <w:t>前十名股东持股情况</w:t>
                    </w:r>
                  </w:p>
                </w:tc>
              </w:sdtContent>
            </w:sdt>
          </w:tr>
          <w:tr w:rsidR="001523DC" w:rsidRPr="00E04FAA" w:rsidTr="006837EA">
            <w:trPr>
              <w:cantSplit/>
            </w:trPr>
            <w:sdt>
              <w:sdtPr>
                <w:tag w:val="_PLD_80eda5ca76254dc1b950ed7de7dc5885"/>
                <w:id w:val="503407317"/>
                <w:lock w:val="sdtLocked"/>
              </w:sdtPr>
              <w:sdtContent>
                <w:tc>
                  <w:tcPr>
                    <w:tcW w:w="1129" w:type="dxa"/>
                    <w:vMerge w:val="restart"/>
                    <w:shd w:val="clear" w:color="auto" w:fill="auto"/>
                    <w:vAlign w:val="center"/>
                  </w:tcPr>
                  <w:p w:rsidR="001523DC" w:rsidRPr="00E04FAA" w:rsidRDefault="001523DC" w:rsidP="000F02D6">
                    <w:pPr>
                      <w:jc w:val="center"/>
                      <w:rPr>
                        <w:szCs w:val="21"/>
                      </w:rPr>
                    </w:pPr>
                    <w:r w:rsidRPr="00E04FAA">
                      <w:rPr>
                        <w:szCs w:val="21"/>
                      </w:rPr>
                      <w:t>股东名称</w:t>
                    </w:r>
                  </w:p>
                  <w:p w:rsidR="001523DC" w:rsidRPr="00E04FAA" w:rsidRDefault="001523DC" w:rsidP="000F02D6">
                    <w:pPr>
                      <w:jc w:val="center"/>
                      <w:rPr>
                        <w:szCs w:val="21"/>
                      </w:rPr>
                    </w:pPr>
                    <w:r w:rsidRPr="00E04FAA">
                      <w:rPr>
                        <w:rFonts w:hint="eastAsia"/>
                        <w:szCs w:val="21"/>
                      </w:rPr>
                      <w:t>（全称）</w:t>
                    </w:r>
                  </w:p>
                </w:tc>
              </w:sdtContent>
            </w:sdt>
            <w:sdt>
              <w:sdtPr>
                <w:tag w:val="_PLD_ca2ffd3fc186426e98aac562ecc1ba54"/>
                <w:id w:val="-389186270"/>
                <w:lock w:val="sdtLocked"/>
              </w:sdtPr>
              <w:sdtContent>
                <w:tc>
                  <w:tcPr>
                    <w:tcW w:w="1560" w:type="dxa"/>
                    <w:vMerge w:val="restart"/>
                    <w:shd w:val="clear" w:color="auto" w:fill="auto"/>
                    <w:vAlign w:val="center"/>
                  </w:tcPr>
                  <w:p w:rsidR="001523DC" w:rsidRPr="00E04FAA" w:rsidRDefault="001523DC" w:rsidP="000F02D6">
                    <w:pPr>
                      <w:jc w:val="center"/>
                      <w:rPr>
                        <w:szCs w:val="21"/>
                      </w:rPr>
                    </w:pPr>
                    <w:r w:rsidRPr="00E04FAA">
                      <w:rPr>
                        <w:szCs w:val="21"/>
                      </w:rPr>
                      <w:t>报告期内增减</w:t>
                    </w:r>
                  </w:p>
                </w:tc>
              </w:sdtContent>
            </w:sdt>
            <w:sdt>
              <w:sdtPr>
                <w:tag w:val="_PLD_084006d53bec42bea9418fc4576a1210"/>
                <w:id w:val="-860897251"/>
                <w:lock w:val="sdtLocked"/>
              </w:sdtPr>
              <w:sdtContent>
                <w:tc>
                  <w:tcPr>
                    <w:tcW w:w="1417" w:type="dxa"/>
                    <w:vMerge w:val="restart"/>
                    <w:shd w:val="clear" w:color="auto" w:fill="auto"/>
                    <w:vAlign w:val="center"/>
                  </w:tcPr>
                  <w:p w:rsidR="001523DC" w:rsidRPr="00E04FAA" w:rsidRDefault="001523DC" w:rsidP="000F02D6">
                    <w:pPr>
                      <w:jc w:val="center"/>
                      <w:rPr>
                        <w:szCs w:val="21"/>
                      </w:rPr>
                    </w:pPr>
                    <w:r w:rsidRPr="00E04FAA">
                      <w:rPr>
                        <w:szCs w:val="21"/>
                      </w:rPr>
                      <w:t>期末持股数量</w:t>
                    </w:r>
                  </w:p>
                </w:tc>
              </w:sdtContent>
            </w:sdt>
            <w:sdt>
              <w:sdtPr>
                <w:tag w:val="_PLD_f27008de77ee4b27b35e2ae22d35699c"/>
                <w:id w:val="2015571283"/>
                <w:lock w:val="sdtLocked"/>
              </w:sdtPr>
              <w:sdtContent>
                <w:tc>
                  <w:tcPr>
                    <w:tcW w:w="779" w:type="dxa"/>
                    <w:vMerge w:val="restart"/>
                    <w:shd w:val="clear" w:color="auto" w:fill="auto"/>
                    <w:vAlign w:val="center"/>
                  </w:tcPr>
                  <w:p w:rsidR="001523DC" w:rsidRPr="00E04FAA" w:rsidRDefault="001523DC" w:rsidP="000F02D6">
                    <w:pPr>
                      <w:jc w:val="center"/>
                      <w:rPr>
                        <w:szCs w:val="21"/>
                      </w:rPr>
                    </w:pPr>
                    <w:r w:rsidRPr="00E04FAA">
                      <w:rPr>
                        <w:szCs w:val="21"/>
                      </w:rPr>
                      <w:t>比例(%)</w:t>
                    </w:r>
                  </w:p>
                </w:tc>
              </w:sdtContent>
            </w:sdt>
            <w:sdt>
              <w:sdtPr>
                <w:tag w:val="_PLD_34fcc5fa9a414555bef1b48aa74c8135"/>
                <w:id w:val="173463522"/>
                <w:lock w:val="sdtLocked"/>
              </w:sdtPr>
              <w:sdtContent>
                <w:tc>
                  <w:tcPr>
                    <w:tcW w:w="812" w:type="dxa"/>
                    <w:vMerge w:val="restart"/>
                    <w:shd w:val="clear" w:color="auto" w:fill="auto"/>
                    <w:vAlign w:val="center"/>
                  </w:tcPr>
                  <w:p w:rsidR="001523DC" w:rsidRPr="00E04FAA" w:rsidRDefault="001523DC" w:rsidP="000F02D6">
                    <w:pPr>
                      <w:pStyle w:val="afd"/>
                      <w:rPr>
                        <w:rFonts w:ascii="宋体" w:hAnsi="宋体"/>
                        <w:bCs/>
                        <w:color w:val="00B050"/>
                      </w:rPr>
                    </w:pPr>
                    <w:r w:rsidRPr="00E04FAA">
                      <w:rPr>
                        <w:rFonts w:ascii="宋体" w:hAnsi="宋体"/>
                        <w:bCs/>
                      </w:rPr>
                      <w:t>持有有限售条件股份数量</w:t>
                    </w:r>
                  </w:p>
                </w:tc>
              </w:sdtContent>
            </w:sdt>
            <w:sdt>
              <w:sdtPr>
                <w:tag w:val="_PLD_94fbee67e09740e59eb90272af77b58a"/>
                <w:id w:val="1624036165"/>
                <w:lock w:val="sdtLocked"/>
              </w:sdtPr>
              <w:sdtContent>
                <w:tc>
                  <w:tcPr>
                    <w:tcW w:w="2203" w:type="dxa"/>
                    <w:gridSpan w:val="3"/>
                    <w:shd w:val="clear" w:color="auto" w:fill="auto"/>
                    <w:vAlign w:val="center"/>
                  </w:tcPr>
                  <w:p w:rsidR="001523DC" w:rsidRPr="00E04FAA" w:rsidRDefault="001523DC" w:rsidP="000F02D6">
                    <w:pPr>
                      <w:jc w:val="center"/>
                      <w:rPr>
                        <w:szCs w:val="21"/>
                      </w:rPr>
                    </w:pPr>
                    <w:r w:rsidRPr="00E04FAA">
                      <w:rPr>
                        <w:szCs w:val="21"/>
                      </w:rPr>
                      <w:t>质押或冻结情况</w:t>
                    </w:r>
                  </w:p>
                </w:tc>
              </w:sdtContent>
            </w:sdt>
            <w:sdt>
              <w:sdtPr>
                <w:tag w:val="_PLD_2228ecf4db6a4362bff11fe1e2d3c903"/>
                <w:id w:val="1874275147"/>
                <w:lock w:val="sdtLocked"/>
              </w:sdtPr>
              <w:sdtContent>
                <w:tc>
                  <w:tcPr>
                    <w:tcW w:w="923" w:type="dxa"/>
                    <w:vMerge w:val="restart"/>
                    <w:shd w:val="clear" w:color="auto" w:fill="auto"/>
                    <w:vAlign w:val="center"/>
                  </w:tcPr>
                  <w:p w:rsidR="001523DC" w:rsidRPr="00E04FAA" w:rsidRDefault="001523DC" w:rsidP="000F02D6">
                    <w:pPr>
                      <w:jc w:val="center"/>
                      <w:rPr>
                        <w:szCs w:val="21"/>
                      </w:rPr>
                    </w:pPr>
                    <w:r w:rsidRPr="00E04FAA">
                      <w:rPr>
                        <w:szCs w:val="21"/>
                      </w:rPr>
                      <w:t>股东性质</w:t>
                    </w:r>
                  </w:p>
                </w:tc>
              </w:sdtContent>
            </w:sdt>
          </w:tr>
          <w:tr w:rsidR="006837EA" w:rsidRPr="00E04FAA" w:rsidTr="006837EA">
            <w:trPr>
              <w:cantSplit/>
            </w:trPr>
            <w:tc>
              <w:tcPr>
                <w:tcW w:w="1129" w:type="dxa"/>
                <w:vMerge/>
                <w:tcBorders>
                  <w:bottom w:val="single" w:sz="4" w:space="0" w:color="auto"/>
                </w:tcBorders>
                <w:shd w:val="clear" w:color="auto" w:fill="auto"/>
              </w:tcPr>
              <w:p w:rsidR="001523DC" w:rsidRPr="00E04FAA" w:rsidRDefault="001523DC" w:rsidP="000F02D6">
                <w:pPr>
                  <w:jc w:val="center"/>
                  <w:rPr>
                    <w:szCs w:val="21"/>
                  </w:rPr>
                </w:pPr>
              </w:p>
            </w:tc>
            <w:tc>
              <w:tcPr>
                <w:tcW w:w="1560" w:type="dxa"/>
                <w:vMerge/>
                <w:tcBorders>
                  <w:bottom w:val="single" w:sz="4" w:space="0" w:color="auto"/>
                </w:tcBorders>
                <w:shd w:val="clear" w:color="auto" w:fill="auto"/>
              </w:tcPr>
              <w:p w:rsidR="001523DC" w:rsidRPr="00E04FAA" w:rsidRDefault="001523DC" w:rsidP="000F02D6">
                <w:pPr>
                  <w:jc w:val="center"/>
                  <w:rPr>
                    <w:szCs w:val="21"/>
                  </w:rPr>
                </w:pPr>
              </w:p>
            </w:tc>
            <w:tc>
              <w:tcPr>
                <w:tcW w:w="1417" w:type="dxa"/>
                <w:vMerge/>
                <w:tcBorders>
                  <w:bottom w:val="single" w:sz="4" w:space="0" w:color="auto"/>
                </w:tcBorders>
                <w:shd w:val="clear" w:color="auto" w:fill="auto"/>
              </w:tcPr>
              <w:p w:rsidR="001523DC" w:rsidRPr="00E04FAA" w:rsidRDefault="001523DC" w:rsidP="000F02D6">
                <w:pPr>
                  <w:jc w:val="center"/>
                  <w:rPr>
                    <w:szCs w:val="21"/>
                  </w:rPr>
                </w:pPr>
              </w:p>
            </w:tc>
            <w:tc>
              <w:tcPr>
                <w:tcW w:w="779" w:type="dxa"/>
                <w:vMerge/>
                <w:tcBorders>
                  <w:bottom w:val="single" w:sz="4" w:space="0" w:color="auto"/>
                </w:tcBorders>
                <w:shd w:val="clear" w:color="auto" w:fill="auto"/>
              </w:tcPr>
              <w:p w:rsidR="001523DC" w:rsidRPr="00E04FAA" w:rsidRDefault="001523DC" w:rsidP="000F02D6">
                <w:pPr>
                  <w:jc w:val="center"/>
                  <w:rPr>
                    <w:szCs w:val="21"/>
                  </w:rPr>
                </w:pPr>
              </w:p>
            </w:tc>
            <w:tc>
              <w:tcPr>
                <w:tcW w:w="812" w:type="dxa"/>
                <w:vMerge/>
                <w:tcBorders>
                  <w:bottom w:val="single" w:sz="4" w:space="0" w:color="auto"/>
                </w:tcBorders>
                <w:shd w:val="clear" w:color="auto" w:fill="auto"/>
              </w:tcPr>
              <w:p w:rsidR="001523DC" w:rsidRPr="00E04FAA" w:rsidRDefault="001523DC" w:rsidP="000F02D6">
                <w:pPr>
                  <w:jc w:val="center"/>
                  <w:rPr>
                    <w:szCs w:val="21"/>
                  </w:rPr>
                </w:pPr>
              </w:p>
            </w:tc>
            <w:sdt>
              <w:sdtPr>
                <w:tag w:val="_PLD_45bf36a531de47beb596ebacadac576a"/>
                <w:id w:val="620969637"/>
                <w:lock w:val="sdtLocked"/>
              </w:sdtPr>
              <w:sdtContent>
                <w:tc>
                  <w:tcPr>
                    <w:tcW w:w="677" w:type="dxa"/>
                    <w:tcBorders>
                      <w:bottom w:val="single" w:sz="4" w:space="0" w:color="auto"/>
                    </w:tcBorders>
                    <w:shd w:val="clear" w:color="auto" w:fill="auto"/>
                    <w:vAlign w:val="center"/>
                  </w:tcPr>
                  <w:p w:rsidR="001523DC" w:rsidRPr="00E04FAA" w:rsidRDefault="001523DC" w:rsidP="000F02D6">
                    <w:pPr>
                      <w:jc w:val="center"/>
                      <w:rPr>
                        <w:szCs w:val="21"/>
                      </w:rPr>
                    </w:pPr>
                    <w:r w:rsidRPr="00E04FAA">
                      <w:rPr>
                        <w:szCs w:val="21"/>
                      </w:rPr>
                      <w:t>股份状态</w:t>
                    </w:r>
                  </w:p>
                </w:tc>
              </w:sdtContent>
            </w:sdt>
            <w:sdt>
              <w:sdtPr>
                <w:tag w:val="_PLD_bea7397233604f859f8d14f2ae0a0417"/>
                <w:id w:val="-1651669723"/>
                <w:lock w:val="sdtLocked"/>
              </w:sdtPr>
              <w:sdtContent>
                <w:tc>
                  <w:tcPr>
                    <w:tcW w:w="1526" w:type="dxa"/>
                    <w:gridSpan w:val="2"/>
                    <w:tcBorders>
                      <w:bottom w:val="single" w:sz="4" w:space="0" w:color="auto"/>
                    </w:tcBorders>
                    <w:shd w:val="clear" w:color="auto" w:fill="auto"/>
                  </w:tcPr>
                  <w:p w:rsidR="001523DC" w:rsidRPr="00E04FAA" w:rsidRDefault="001523DC" w:rsidP="000F02D6">
                    <w:pPr>
                      <w:jc w:val="center"/>
                      <w:rPr>
                        <w:szCs w:val="21"/>
                      </w:rPr>
                    </w:pPr>
                    <w:r w:rsidRPr="00E04FAA">
                      <w:rPr>
                        <w:szCs w:val="21"/>
                      </w:rPr>
                      <w:t>数量</w:t>
                    </w:r>
                  </w:p>
                </w:tc>
              </w:sdtContent>
            </w:sdt>
            <w:tc>
              <w:tcPr>
                <w:tcW w:w="923" w:type="dxa"/>
                <w:vMerge/>
                <w:shd w:val="clear" w:color="auto" w:fill="auto"/>
              </w:tcPr>
              <w:p w:rsidR="001523DC" w:rsidRPr="00E04FAA" w:rsidRDefault="001523DC" w:rsidP="000F02D6">
                <w:pPr>
                  <w:jc w:val="center"/>
                  <w:rPr>
                    <w:szCs w:val="21"/>
                  </w:rPr>
                </w:pPr>
              </w:p>
            </w:tc>
          </w:tr>
          <w:sdt>
            <w:sdtPr>
              <w:rPr>
                <w:szCs w:val="21"/>
              </w:rPr>
              <w:alias w:val="前十名股东持股情况"/>
              <w:tag w:val="_GBC_5fc8eaeeffc7456eb1a09687db3d4206"/>
              <w:id w:val="987061382"/>
              <w:lock w:val="sdtLocked"/>
              <w:placeholder>
                <w:docPart w:val="E9D92AB775B34514AEF3E8F3A873E37E"/>
              </w:placeholder>
            </w:sdtPr>
            <w:sdtEndPr>
              <w:rPr>
                <w:color w:val="FF9900"/>
              </w:rPr>
            </w:sdtEndPr>
            <w:sdtContent>
              <w:tr w:rsidR="006837EA" w:rsidRPr="00E04FAA" w:rsidTr="00FB337B">
                <w:trPr>
                  <w:cantSplit/>
                </w:trPr>
                <w:tc>
                  <w:tcPr>
                    <w:tcW w:w="1129" w:type="dxa"/>
                    <w:shd w:val="clear" w:color="auto" w:fill="auto"/>
                  </w:tcPr>
                  <w:p w:rsidR="006837EA" w:rsidRPr="00E04FAA" w:rsidRDefault="006837EA" w:rsidP="006837EA">
                    <w:pPr>
                      <w:rPr>
                        <w:szCs w:val="21"/>
                      </w:rPr>
                    </w:pPr>
                    <w:r w:rsidRPr="00E04FAA">
                      <w:rPr>
                        <w:rFonts w:hint="eastAsia"/>
                        <w:color w:val="000000"/>
                        <w:szCs w:val="21"/>
                      </w:rPr>
                      <w:t xml:space="preserve">北京用友科技有限公司 </w:t>
                    </w:r>
                  </w:p>
                </w:tc>
                <w:tc>
                  <w:tcPr>
                    <w:tcW w:w="1560" w:type="dxa"/>
                    <w:shd w:val="clear" w:color="auto" w:fill="auto"/>
                  </w:tcPr>
                  <w:p w:rsidR="006837EA" w:rsidRPr="00902402" w:rsidRDefault="006837EA" w:rsidP="00FB337B">
                    <w:pPr>
                      <w:jc w:val="right"/>
                    </w:pPr>
                    <w:r w:rsidRPr="00902402">
                      <w:t>545,066,053</w:t>
                    </w:r>
                  </w:p>
                </w:tc>
                <w:tc>
                  <w:tcPr>
                    <w:tcW w:w="1417" w:type="dxa"/>
                    <w:shd w:val="clear" w:color="auto" w:fill="auto"/>
                  </w:tcPr>
                  <w:p w:rsidR="006837EA" w:rsidRPr="005274B7" w:rsidRDefault="006837EA" w:rsidP="00FB337B">
                    <w:pPr>
                      <w:jc w:val="right"/>
                    </w:pPr>
                    <w:r w:rsidRPr="005274B7">
                      <w:t xml:space="preserve">708,585,869 </w:t>
                    </w:r>
                  </w:p>
                </w:tc>
                <w:tc>
                  <w:tcPr>
                    <w:tcW w:w="779" w:type="dxa"/>
                    <w:shd w:val="clear" w:color="auto" w:fill="auto"/>
                  </w:tcPr>
                  <w:p w:rsidR="006837EA" w:rsidRPr="00E04FAA" w:rsidRDefault="006837EA" w:rsidP="00FB337B">
                    <w:pPr>
                      <w:jc w:val="right"/>
                    </w:pPr>
                    <w:r w:rsidRPr="00E04FAA">
                      <w:t xml:space="preserve"> 28.50</w:t>
                    </w:r>
                  </w:p>
                </w:tc>
                <w:tc>
                  <w:tcPr>
                    <w:tcW w:w="812" w:type="dxa"/>
                    <w:shd w:val="clear" w:color="auto" w:fill="auto"/>
                  </w:tcPr>
                  <w:p w:rsidR="006837EA" w:rsidRPr="00E04FAA" w:rsidRDefault="006837EA" w:rsidP="00FB337B">
                    <w:pPr>
                      <w:jc w:val="right"/>
                    </w:pPr>
                    <w:r w:rsidRPr="00E04FAA">
                      <w:t>0</w:t>
                    </w:r>
                  </w:p>
                </w:tc>
                <w:sdt>
                  <w:sdtPr>
                    <w:rPr>
                      <w:szCs w:val="21"/>
                    </w:rPr>
                    <w:alias w:val="前十名股东持有股份状态"/>
                    <w:tag w:val="_GBC_d5194108b2a8481e94140819dbdc5afe"/>
                    <w:id w:val="698828382"/>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77" w:type="dxa"/>
                        <w:shd w:val="clear" w:color="auto" w:fill="auto"/>
                      </w:tcPr>
                      <w:p w:rsidR="006837EA" w:rsidRPr="00E04FAA" w:rsidRDefault="006837EA" w:rsidP="00FB337B">
                        <w:pPr>
                          <w:jc w:val="right"/>
                          <w:rPr>
                            <w:color w:val="FF9900"/>
                            <w:szCs w:val="21"/>
                          </w:rPr>
                        </w:pPr>
                        <w:r w:rsidRPr="00E04FAA">
                          <w:rPr>
                            <w:szCs w:val="21"/>
                          </w:rPr>
                          <w:t>质押</w:t>
                        </w:r>
                      </w:p>
                    </w:tc>
                  </w:sdtContent>
                </w:sdt>
                <w:tc>
                  <w:tcPr>
                    <w:tcW w:w="1526" w:type="dxa"/>
                    <w:gridSpan w:val="2"/>
                    <w:shd w:val="clear" w:color="auto" w:fill="auto"/>
                  </w:tcPr>
                  <w:p w:rsidR="006837EA" w:rsidRPr="00E04FAA" w:rsidRDefault="006837EA" w:rsidP="00FB337B">
                    <w:pPr>
                      <w:jc w:val="right"/>
                      <w:rPr>
                        <w:szCs w:val="21"/>
                      </w:rPr>
                    </w:pPr>
                    <w:r w:rsidRPr="00E04FAA">
                      <w:rPr>
                        <w:szCs w:val="21"/>
                      </w:rPr>
                      <w:t xml:space="preserve">344,284,896 </w:t>
                    </w:r>
                  </w:p>
                </w:tc>
                <w:sdt>
                  <w:sdtPr>
                    <w:rPr>
                      <w:szCs w:val="21"/>
                    </w:rPr>
                    <w:alias w:val="前十名股东的股东性质"/>
                    <w:tag w:val="_GBC_71380bc899eb4b9781e95e37e7a1e221"/>
                    <w:id w:val="-62909305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923" w:type="dxa"/>
                        <w:shd w:val="clear" w:color="auto" w:fill="auto"/>
                      </w:tcPr>
                      <w:p w:rsidR="006837EA" w:rsidRPr="00E04FAA" w:rsidRDefault="006837EA" w:rsidP="00FB337B">
                        <w:pPr>
                          <w:jc w:val="right"/>
                          <w:rPr>
                            <w:color w:val="FF9900"/>
                            <w:szCs w:val="21"/>
                          </w:rPr>
                        </w:pPr>
                        <w:r w:rsidRPr="00E04FAA">
                          <w:rPr>
                            <w:szCs w:val="21"/>
                          </w:rPr>
                          <w:t>境内非国有法人</w:t>
                        </w:r>
                      </w:p>
                    </w:tc>
                  </w:sdtContent>
                </w:sdt>
              </w:tr>
            </w:sdtContent>
          </w:sdt>
          <w:sdt>
            <w:sdtPr>
              <w:rPr>
                <w:szCs w:val="21"/>
              </w:rPr>
              <w:alias w:val="前十名股东持股情况"/>
              <w:tag w:val="_GBC_5fc8eaeeffc7456eb1a09687db3d4206"/>
              <w:id w:val="1040704783"/>
              <w:lock w:val="sdtLocked"/>
              <w:placeholder>
                <w:docPart w:val="E9D92AB775B34514AEF3E8F3A873E37E"/>
              </w:placeholder>
            </w:sdtPr>
            <w:sdtEndPr>
              <w:rPr>
                <w:color w:val="FF9900"/>
              </w:rPr>
            </w:sdtEndPr>
            <w:sdtContent>
              <w:tr w:rsidR="006837EA" w:rsidRPr="00E04FAA" w:rsidTr="00FB337B">
                <w:trPr>
                  <w:cantSplit/>
                </w:trPr>
                <w:tc>
                  <w:tcPr>
                    <w:tcW w:w="1129" w:type="dxa"/>
                    <w:shd w:val="clear" w:color="auto" w:fill="auto"/>
                  </w:tcPr>
                  <w:p w:rsidR="006837EA" w:rsidRPr="00E04FAA" w:rsidRDefault="006837EA" w:rsidP="006837EA">
                    <w:pPr>
                      <w:rPr>
                        <w:szCs w:val="21"/>
                      </w:rPr>
                    </w:pPr>
                    <w:r w:rsidRPr="00E04FAA">
                      <w:rPr>
                        <w:rFonts w:hint="eastAsia"/>
                        <w:szCs w:val="21"/>
                      </w:rPr>
                      <w:t>上海用友科技咨询有限公司</w:t>
                    </w:r>
                    <w:r w:rsidRPr="00E04FAA">
                      <w:rPr>
                        <w:szCs w:val="21"/>
                      </w:rPr>
                      <w:t xml:space="preserve">           </w:t>
                    </w:r>
                  </w:p>
                </w:tc>
                <w:tc>
                  <w:tcPr>
                    <w:tcW w:w="1560" w:type="dxa"/>
                    <w:shd w:val="clear" w:color="auto" w:fill="auto"/>
                  </w:tcPr>
                  <w:p w:rsidR="006837EA" w:rsidRPr="00902402" w:rsidRDefault="006837EA" w:rsidP="00FB337B">
                    <w:pPr>
                      <w:jc w:val="right"/>
                    </w:pPr>
                    <w:r w:rsidRPr="00902402">
                      <w:t>231,993,654</w:t>
                    </w:r>
                  </w:p>
                </w:tc>
                <w:tc>
                  <w:tcPr>
                    <w:tcW w:w="1417" w:type="dxa"/>
                    <w:shd w:val="clear" w:color="auto" w:fill="auto"/>
                  </w:tcPr>
                  <w:p w:rsidR="006837EA" w:rsidRPr="005274B7" w:rsidRDefault="006837EA" w:rsidP="00FB337B">
                    <w:pPr>
                      <w:jc w:val="right"/>
                    </w:pPr>
                    <w:r w:rsidRPr="005274B7">
                      <w:t xml:space="preserve">301,591,750 </w:t>
                    </w:r>
                  </w:p>
                </w:tc>
                <w:tc>
                  <w:tcPr>
                    <w:tcW w:w="779" w:type="dxa"/>
                    <w:shd w:val="clear" w:color="auto" w:fill="auto"/>
                  </w:tcPr>
                  <w:p w:rsidR="006837EA" w:rsidRPr="00E04FAA" w:rsidRDefault="006837EA" w:rsidP="00FB337B">
                    <w:pPr>
                      <w:jc w:val="right"/>
                    </w:pPr>
                    <w:r w:rsidRPr="00E04FAA">
                      <w:t xml:space="preserve"> 12.13</w:t>
                    </w:r>
                  </w:p>
                </w:tc>
                <w:tc>
                  <w:tcPr>
                    <w:tcW w:w="812" w:type="dxa"/>
                    <w:shd w:val="clear" w:color="auto" w:fill="auto"/>
                  </w:tcPr>
                  <w:p w:rsidR="006837EA" w:rsidRPr="00E04FAA" w:rsidRDefault="006837EA" w:rsidP="00FB337B">
                    <w:pPr>
                      <w:jc w:val="right"/>
                    </w:pPr>
                    <w:r w:rsidRPr="00E04FAA">
                      <w:t>0</w:t>
                    </w:r>
                  </w:p>
                </w:tc>
                <w:sdt>
                  <w:sdtPr>
                    <w:rPr>
                      <w:szCs w:val="21"/>
                    </w:rPr>
                    <w:alias w:val="前十名股东持有股份状态"/>
                    <w:tag w:val="_GBC_d5194108b2a8481e94140819dbdc5afe"/>
                    <w:id w:val="-366527571"/>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77" w:type="dxa"/>
                        <w:shd w:val="clear" w:color="auto" w:fill="auto"/>
                      </w:tcPr>
                      <w:p w:rsidR="006837EA" w:rsidRPr="00E04FAA" w:rsidRDefault="006837EA" w:rsidP="00FB337B">
                        <w:pPr>
                          <w:jc w:val="right"/>
                          <w:rPr>
                            <w:color w:val="FF9900"/>
                            <w:szCs w:val="21"/>
                          </w:rPr>
                        </w:pPr>
                        <w:r w:rsidRPr="00E04FAA">
                          <w:rPr>
                            <w:szCs w:val="21"/>
                          </w:rPr>
                          <w:t>无</w:t>
                        </w:r>
                      </w:p>
                    </w:tc>
                  </w:sdtContent>
                </w:sdt>
                <w:tc>
                  <w:tcPr>
                    <w:tcW w:w="1526" w:type="dxa"/>
                    <w:gridSpan w:val="2"/>
                    <w:shd w:val="clear" w:color="auto" w:fill="auto"/>
                  </w:tcPr>
                  <w:p w:rsidR="006837EA" w:rsidRPr="00E04FAA" w:rsidRDefault="006837EA" w:rsidP="00FB337B">
                    <w:pPr>
                      <w:jc w:val="right"/>
                      <w:rPr>
                        <w:szCs w:val="21"/>
                      </w:rPr>
                    </w:pPr>
                    <w:r w:rsidRPr="00E04FAA">
                      <w:rPr>
                        <w:rFonts w:hint="eastAsia"/>
                        <w:szCs w:val="21"/>
                      </w:rPr>
                      <w:t>0</w:t>
                    </w:r>
                  </w:p>
                </w:tc>
                <w:sdt>
                  <w:sdtPr>
                    <w:rPr>
                      <w:szCs w:val="21"/>
                    </w:rPr>
                    <w:alias w:val="前十名股东的股东性质"/>
                    <w:tag w:val="_GBC_71380bc899eb4b9781e95e37e7a1e221"/>
                    <w:id w:val="-106872211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923" w:type="dxa"/>
                        <w:shd w:val="clear" w:color="auto" w:fill="auto"/>
                      </w:tcPr>
                      <w:p w:rsidR="006837EA" w:rsidRPr="00E04FAA" w:rsidRDefault="006837EA" w:rsidP="00FB337B">
                        <w:pPr>
                          <w:jc w:val="right"/>
                          <w:rPr>
                            <w:color w:val="FF9900"/>
                            <w:szCs w:val="21"/>
                          </w:rPr>
                        </w:pPr>
                        <w:r w:rsidRPr="00E04FAA">
                          <w:rPr>
                            <w:szCs w:val="21"/>
                          </w:rPr>
                          <w:t>境内非国有法人</w:t>
                        </w:r>
                      </w:p>
                    </w:tc>
                  </w:sdtContent>
                </w:sdt>
              </w:tr>
            </w:sdtContent>
          </w:sdt>
          <w:sdt>
            <w:sdtPr>
              <w:rPr>
                <w:szCs w:val="21"/>
              </w:rPr>
              <w:alias w:val="前十名股东持股情况"/>
              <w:tag w:val="_GBC_5fc8eaeeffc7456eb1a09687db3d4206"/>
              <w:id w:val="-558935349"/>
              <w:lock w:val="sdtLocked"/>
              <w:placeholder>
                <w:docPart w:val="E9D92AB775B34514AEF3E8F3A873E37E"/>
              </w:placeholder>
            </w:sdtPr>
            <w:sdtEndPr>
              <w:rPr>
                <w:color w:val="FF9900"/>
              </w:rPr>
            </w:sdtEndPr>
            <w:sdtContent>
              <w:tr w:rsidR="006837EA" w:rsidRPr="00E04FAA" w:rsidTr="00FB337B">
                <w:trPr>
                  <w:cantSplit/>
                </w:trPr>
                <w:tc>
                  <w:tcPr>
                    <w:tcW w:w="1129" w:type="dxa"/>
                    <w:shd w:val="clear" w:color="auto" w:fill="auto"/>
                  </w:tcPr>
                  <w:p w:rsidR="006837EA" w:rsidRPr="00E04FAA" w:rsidRDefault="006837EA" w:rsidP="006837EA">
                    <w:pPr>
                      <w:rPr>
                        <w:color w:val="000000"/>
                        <w:szCs w:val="21"/>
                      </w:rPr>
                    </w:pPr>
                    <w:r w:rsidRPr="00E04FAA">
                      <w:rPr>
                        <w:rFonts w:hint="eastAsia"/>
                        <w:color w:val="000000"/>
                        <w:szCs w:val="21"/>
                      </w:rPr>
                      <w:t xml:space="preserve">上海益倍管理咨询有限公司                                                                                                          </w:t>
                    </w:r>
                  </w:p>
                  <w:p w:rsidR="006837EA" w:rsidRPr="00E04FAA" w:rsidRDefault="006837EA" w:rsidP="006837EA">
                    <w:pPr>
                      <w:rPr>
                        <w:szCs w:val="21"/>
                      </w:rPr>
                    </w:pPr>
                  </w:p>
                </w:tc>
                <w:tc>
                  <w:tcPr>
                    <w:tcW w:w="1560" w:type="dxa"/>
                    <w:shd w:val="clear" w:color="auto" w:fill="auto"/>
                  </w:tcPr>
                  <w:p w:rsidR="006837EA" w:rsidRPr="00902402" w:rsidRDefault="006837EA" w:rsidP="00FB337B">
                    <w:pPr>
                      <w:jc w:val="right"/>
                    </w:pPr>
                    <w:r w:rsidRPr="00902402">
                      <w:t>87,069,500</w:t>
                    </w:r>
                  </w:p>
                </w:tc>
                <w:tc>
                  <w:tcPr>
                    <w:tcW w:w="1417" w:type="dxa"/>
                    <w:shd w:val="clear" w:color="auto" w:fill="auto"/>
                  </w:tcPr>
                  <w:p w:rsidR="006837EA" w:rsidRPr="005274B7" w:rsidRDefault="006837EA" w:rsidP="00FB337B">
                    <w:pPr>
                      <w:jc w:val="right"/>
                    </w:pPr>
                    <w:r w:rsidRPr="005274B7">
                      <w:t xml:space="preserve">105,074,089 </w:t>
                    </w:r>
                  </w:p>
                </w:tc>
                <w:tc>
                  <w:tcPr>
                    <w:tcW w:w="779" w:type="dxa"/>
                    <w:shd w:val="clear" w:color="auto" w:fill="auto"/>
                  </w:tcPr>
                  <w:p w:rsidR="006837EA" w:rsidRPr="00E04FAA" w:rsidRDefault="006837EA" w:rsidP="00FB337B">
                    <w:pPr>
                      <w:ind w:firstLineChars="100" w:firstLine="210"/>
                      <w:jc w:val="right"/>
                    </w:pPr>
                    <w:r w:rsidRPr="00E04FAA">
                      <w:t>4.23</w:t>
                    </w:r>
                  </w:p>
                </w:tc>
                <w:tc>
                  <w:tcPr>
                    <w:tcW w:w="812" w:type="dxa"/>
                    <w:shd w:val="clear" w:color="auto" w:fill="auto"/>
                  </w:tcPr>
                  <w:p w:rsidR="006837EA" w:rsidRPr="00E04FAA" w:rsidRDefault="006837EA" w:rsidP="00FB337B">
                    <w:pPr>
                      <w:jc w:val="right"/>
                    </w:pPr>
                    <w:r w:rsidRPr="00E04FAA">
                      <w:t>0</w:t>
                    </w:r>
                  </w:p>
                </w:tc>
                <w:sdt>
                  <w:sdtPr>
                    <w:rPr>
                      <w:szCs w:val="21"/>
                    </w:rPr>
                    <w:alias w:val="前十名股东持有股份状态"/>
                    <w:tag w:val="_GBC_d5194108b2a8481e94140819dbdc5afe"/>
                    <w:id w:val="-869222157"/>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77" w:type="dxa"/>
                        <w:shd w:val="clear" w:color="auto" w:fill="auto"/>
                      </w:tcPr>
                      <w:p w:rsidR="006837EA" w:rsidRPr="00E04FAA" w:rsidRDefault="006837EA" w:rsidP="00FB337B">
                        <w:pPr>
                          <w:jc w:val="right"/>
                          <w:rPr>
                            <w:color w:val="FF9900"/>
                            <w:szCs w:val="21"/>
                          </w:rPr>
                        </w:pPr>
                        <w:r w:rsidRPr="00E04FAA">
                          <w:rPr>
                            <w:szCs w:val="21"/>
                          </w:rPr>
                          <w:t>无</w:t>
                        </w:r>
                      </w:p>
                    </w:tc>
                  </w:sdtContent>
                </w:sdt>
                <w:tc>
                  <w:tcPr>
                    <w:tcW w:w="1526" w:type="dxa"/>
                    <w:gridSpan w:val="2"/>
                    <w:shd w:val="clear" w:color="auto" w:fill="auto"/>
                  </w:tcPr>
                  <w:p w:rsidR="006837EA" w:rsidRPr="00E04FAA" w:rsidRDefault="006837EA" w:rsidP="00FB337B">
                    <w:pPr>
                      <w:jc w:val="right"/>
                      <w:rPr>
                        <w:szCs w:val="21"/>
                      </w:rPr>
                    </w:pPr>
                    <w:r w:rsidRPr="00E04FAA">
                      <w:rPr>
                        <w:rFonts w:hint="eastAsia"/>
                        <w:szCs w:val="21"/>
                      </w:rPr>
                      <w:t>0</w:t>
                    </w:r>
                  </w:p>
                </w:tc>
                <w:sdt>
                  <w:sdtPr>
                    <w:rPr>
                      <w:szCs w:val="21"/>
                    </w:rPr>
                    <w:alias w:val="前十名股东的股东性质"/>
                    <w:tag w:val="_GBC_71380bc899eb4b9781e95e37e7a1e221"/>
                    <w:id w:val="-172289795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923" w:type="dxa"/>
                        <w:shd w:val="clear" w:color="auto" w:fill="auto"/>
                      </w:tcPr>
                      <w:p w:rsidR="006837EA" w:rsidRPr="00E04FAA" w:rsidRDefault="006837EA" w:rsidP="00FB337B">
                        <w:pPr>
                          <w:jc w:val="right"/>
                          <w:rPr>
                            <w:color w:val="FF9900"/>
                            <w:szCs w:val="21"/>
                          </w:rPr>
                        </w:pPr>
                        <w:r w:rsidRPr="00E04FAA">
                          <w:rPr>
                            <w:szCs w:val="21"/>
                          </w:rPr>
                          <w:t>境内非国有法人</w:t>
                        </w:r>
                      </w:p>
                    </w:tc>
                  </w:sdtContent>
                </w:sdt>
              </w:tr>
            </w:sdtContent>
          </w:sdt>
          <w:sdt>
            <w:sdtPr>
              <w:rPr>
                <w:szCs w:val="21"/>
              </w:rPr>
              <w:alias w:val="前十名股东持股情况"/>
              <w:tag w:val="_GBC_5fc8eaeeffc7456eb1a09687db3d4206"/>
              <w:id w:val="-280115928"/>
              <w:lock w:val="sdtLocked"/>
              <w:placeholder>
                <w:docPart w:val="E9D92AB775B34514AEF3E8F3A873E37E"/>
              </w:placeholder>
            </w:sdtPr>
            <w:sdtEndPr>
              <w:rPr>
                <w:color w:val="FF9900"/>
              </w:rPr>
            </w:sdtEndPr>
            <w:sdtContent>
              <w:tr w:rsidR="006837EA" w:rsidRPr="00E04FAA" w:rsidTr="00FB337B">
                <w:trPr>
                  <w:cantSplit/>
                </w:trPr>
                <w:tc>
                  <w:tcPr>
                    <w:tcW w:w="1129" w:type="dxa"/>
                    <w:shd w:val="clear" w:color="auto" w:fill="auto"/>
                  </w:tcPr>
                  <w:p w:rsidR="006837EA" w:rsidRPr="00E04FAA" w:rsidRDefault="006837EA" w:rsidP="006837EA">
                    <w:pPr>
                      <w:rPr>
                        <w:color w:val="000000"/>
                        <w:szCs w:val="21"/>
                      </w:rPr>
                    </w:pPr>
                    <w:r w:rsidRPr="00E04FAA">
                      <w:rPr>
                        <w:rFonts w:hint="eastAsia"/>
                        <w:color w:val="000000"/>
                        <w:szCs w:val="21"/>
                      </w:rPr>
                      <w:t xml:space="preserve">北京用友企业管理研究所有限公司                                                                                                    </w:t>
                    </w:r>
                  </w:p>
                  <w:p w:rsidR="006837EA" w:rsidRPr="00E04FAA" w:rsidRDefault="006837EA" w:rsidP="006837EA">
                    <w:pPr>
                      <w:rPr>
                        <w:szCs w:val="21"/>
                      </w:rPr>
                    </w:pPr>
                  </w:p>
                </w:tc>
                <w:tc>
                  <w:tcPr>
                    <w:tcW w:w="1560" w:type="dxa"/>
                    <w:shd w:val="clear" w:color="auto" w:fill="auto"/>
                  </w:tcPr>
                  <w:p w:rsidR="006837EA" w:rsidRPr="00902402" w:rsidRDefault="006837EA" w:rsidP="00FB337B">
                    <w:pPr>
                      <w:jc w:val="right"/>
                    </w:pPr>
                    <w:r w:rsidRPr="00902402">
                      <w:t>76,118,938</w:t>
                    </w:r>
                  </w:p>
                </w:tc>
                <w:tc>
                  <w:tcPr>
                    <w:tcW w:w="1417" w:type="dxa"/>
                    <w:shd w:val="clear" w:color="auto" w:fill="auto"/>
                  </w:tcPr>
                  <w:p w:rsidR="006837EA" w:rsidRPr="005274B7" w:rsidRDefault="006837EA" w:rsidP="00FB337B">
                    <w:pPr>
                      <w:jc w:val="right"/>
                    </w:pPr>
                    <w:r w:rsidRPr="005274B7">
                      <w:t>98,954,620</w:t>
                    </w:r>
                  </w:p>
                </w:tc>
                <w:tc>
                  <w:tcPr>
                    <w:tcW w:w="779" w:type="dxa"/>
                    <w:shd w:val="clear" w:color="auto" w:fill="auto"/>
                  </w:tcPr>
                  <w:p w:rsidR="006837EA" w:rsidRPr="00E04FAA" w:rsidRDefault="006837EA" w:rsidP="00FB337B">
                    <w:pPr>
                      <w:jc w:val="right"/>
                    </w:pPr>
                    <w:r w:rsidRPr="00E04FAA">
                      <w:t xml:space="preserve"> 3.98</w:t>
                    </w:r>
                  </w:p>
                </w:tc>
                <w:tc>
                  <w:tcPr>
                    <w:tcW w:w="812" w:type="dxa"/>
                    <w:shd w:val="clear" w:color="auto" w:fill="auto"/>
                  </w:tcPr>
                  <w:p w:rsidR="006837EA" w:rsidRPr="00E04FAA" w:rsidRDefault="006837EA" w:rsidP="00FB337B">
                    <w:pPr>
                      <w:jc w:val="right"/>
                    </w:pPr>
                    <w:r w:rsidRPr="00E04FAA">
                      <w:t>0</w:t>
                    </w:r>
                  </w:p>
                </w:tc>
                <w:sdt>
                  <w:sdtPr>
                    <w:rPr>
                      <w:szCs w:val="21"/>
                    </w:rPr>
                    <w:alias w:val="前十名股东持有股份状态"/>
                    <w:tag w:val="_GBC_d5194108b2a8481e94140819dbdc5afe"/>
                    <w:id w:val="2081471982"/>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77" w:type="dxa"/>
                        <w:shd w:val="clear" w:color="auto" w:fill="auto"/>
                      </w:tcPr>
                      <w:p w:rsidR="006837EA" w:rsidRPr="00E04FAA" w:rsidRDefault="006837EA" w:rsidP="00FB337B">
                        <w:pPr>
                          <w:jc w:val="right"/>
                          <w:rPr>
                            <w:color w:val="FF9900"/>
                            <w:szCs w:val="21"/>
                          </w:rPr>
                        </w:pPr>
                        <w:r w:rsidRPr="00E04FAA">
                          <w:rPr>
                            <w:szCs w:val="21"/>
                          </w:rPr>
                          <w:t>质押</w:t>
                        </w:r>
                      </w:p>
                    </w:tc>
                  </w:sdtContent>
                </w:sdt>
                <w:tc>
                  <w:tcPr>
                    <w:tcW w:w="1526" w:type="dxa"/>
                    <w:gridSpan w:val="2"/>
                    <w:shd w:val="clear" w:color="auto" w:fill="auto"/>
                  </w:tcPr>
                  <w:p w:rsidR="006837EA" w:rsidRPr="00E04FAA" w:rsidRDefault="006837EA" w:rsidP="00FB337B">
                    <w:pPr>
                      <w:jc w:val="right"/>
                      <w:rPr>
                        <w:szCs w:val="21"/>
                      </w:rPr>
                    </w:pPr>
                    <w:r w:rsidRPr="00E04FAA">
                      <w:rPr>
                        <w:szCs w:val="21"/>
                      </w:rPr>
                      <w:t>73,482,000</w:t>
                    </w:r>
                  </w:p>
                </w:tc>
                <w:sdt>
                  <w:sdtPr>
                    <w:rPr>
                      <w:szCs w:val="21"/>
                    </w:rPr>
                    <w:alias w:val="前十名股东的股东性质"/>
                    <w:tag w:val="_GBC_71380bc899eb4b9781e95e37e7a1e221"/>
                    <w:id w:val="-93898607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923" w:type="dxa"/>
                        <w:shd w:val="clear" w:color="auto" w:fill="auto"/>
                      </w:tcPr>
                      <w:p w:rsidR="006837EA" w:rsidRPr="00E04FAA" w:rsidRDefault="006837EA" w:rsidP="00FB337B">
                        <w:pPr>
                          <w:jc w:val="right"/>
                          <w:rPr>
                            <w:color w:val="FF9900"/>
                            <w:szCs w:val="21"/>
                          </w:rPr>
                        </w:pPr>
                        <w:r w:rsidRPr="00E04FAA">
                          <w:rPr>
                            <w:szCs w:val="21"/>
                          </w:rPr>
                          <w:t>境内非国有法人</w:t>
                        </w:r>
                      </w:p>
                    </w:tc>
                  </w:sdtContent>
                </w:sdt>
              </w:tr>
            </w:sdtContent>
          </w:sdt>
          <w:sdt>
            <w:sdtPr>
              <w:rPr>
                <w:szCs w:val="21"/>
              </w:rPr>
              <w:alias w:val="前十名股东持股情况"/>
              <w:tag w:val="_GBC_5fc8eaeeffc7456eb1a09687db3d4206"/>
              <w:id w:val="187646969"/>
              <w:lock w:val="sdtLocked"/>
              <w:placeholder>
                <w:docPart w:val="E9D92AB775B34514AEF3E8F3A873E37E"/>
              </w:placeholder>
            </w:sdtPr>
            <w:sdtEndPr>
              <w:rPr>
                <w:color w:val="FF9900"/>
              </w:rPr>
            </w:sdtEndPr>
            <w:sdtContent>
              <w:tr w:rsidR="006837EA" w:rsidRPr="00E04FAA" w:rsidTr="00FB337B">
                <w:trPr>
                  <w:cantSplit/>
                </w:trPr>
                <w:tc>
                  <w:tcPr>
                    <w:tcW w:w="1129" w:type="dxa"/>
                    <w:shd w:val="clear" w:color="auto" w:fill="auto"/>
                  </w:tcPr>
                  <w:p w:rsidR="006837EA" w:rsidRPr="00E04FAA" w:rsidRDefault="006837EA" w:rsidP="006837EA">
                    <w:pPr>
                      <w:rPr>
                        <w:color w:val="000000"/>
                        <w:szCs w:val="21"/>
                      </w:rPr>
                    </w:pPr>
                    <w:r w:rsidRPr="00E04FAA">
                      <w:rPr>
                        <w:rFonts w:hint="eastAsia"/>
                        <w:color w:val="000000"/>
                        <w:szCs w:val="21"/>
                      </w:rPr>
                      <w:t xml:space="preserve">葛卫东                                                                                                                          </w:t>
                    </w:r>
                  </w:p>
                  <w:p w:rsidR="006837EA" w:rsidRPr="00E04FAA" w:rsidRDefault="006837EA" w:rsidP="006837EA">
                    <w:pPr>
                      <w:rPr>
                        <w:szCs w:val="21"/>
                      </w:rPr>
                    </w:pPr>
                  </w:p>
                </w:tc>
                <w:tc>
                  <w:tcPr>
                    <w:tcW w:w="1560" w:type="dxa"/>
                    <w:shd w:val="clear" w:color="auto" w:fill="auto"/>
                  </w:tcPr>
                  <w:p w:rsidR="006837EA" w:rsidRPr="00902402" w:rsidRDefault="006837EA" w:rsidP="00FB337B">
                    <w:pPr>
                      <w:jc w:val="right"/>
                    </w:pPr>
                    <w:r w:rsidRPr="00902402">
                      <w:t>71,400,000</w:t>
                    </w:r>
                  </w:p>
                </w:tc>
                <w:tc>
                  <w:tcPr>
                    <w:tcW w:w="1417" w:type="dxa"/>
                    <w:shd w:val="clear" w:color="auto" w:fill="auto"/>
                  </w:tcPr>
                  <w:p w:rsidR="006837EA" w:rsidRPr="005274B7" w:rsidRDefault="006837EA" w:rsidP="00FB337B">
                    <w:pPr>
                      <w:jc w:val="right"/>
                    </w:pPr>
                    <w:r w:rsidRPr="005274B7">
                      <w:t>92,690,000</w:t>
                    </w:r>
                  </w:p>
                </w:tc>
                <w:tc>
                  <w:tcPr>
                    <w:tcW w:w="779" w:type="dxa"/>
                    <w:shd w:val="clear" w:color="auto" w:fill="auto"/>
                  </w:tcPr>
                  <w:p w:rsidR="006837EA" w:rsidRPr="00E04FAA" w:rsidRDefault="006837EA" w:rsidP="00FB337B">
                    <w:pPr>
                      <w:jc w:val="right"/>
                    </w:pPr>
                    <w:r w:rsidRPr="00E04FAA">
                      <w:t xml:space="preserve"> 3.73</w:t>
                    </w:r>
                  </w:p>
                </w:tc>
                <w:tc>
                  <w:tcPr>
                    <w:tcW w:w="812" w:type="dxa"/>
                    <w:shd w:val="clear" w:color="auto" w:fill="auto"/>
                  </w:tcPr>
                  <w:p w:rsidR="006837EA" w:rsidRPr="00E04FAA" w:rsidRDefault="006837EA" w:rsidP="00FB337B">
                    <w:pPr>
                      <w:jc w:val="right"/>
                    </w:pPr>
                    <w:r w:rsidRPr="00E04FAA">
                      <w:t>0</w:t>
                    </w:r>
                  </w:p>
                </w:tc>
                <w:sdt>
                  <w:sdtPr>
                    <w:rPr>
                      <w:szCs w:val="21"/>
                    </w:rPr>
                    <w:alias w:val="前十名股东持有股份状态"/>
                    <w:tag w:val="_GBC_d5194108b2a8481e94140819dbdc5afe"/>
                    <w:id w:val="79114143"/>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77" w:type="dxa"/>
                        <w:shd w:val="clear" w:color="auto" w:fill="auto"/>
                      </w:tcPr>
                      <w:p w:rsidR="006837EA" w:rsidRPr="00E04FAA" w:rsidRDefault="006837EA" w:rsidP="00FB337B">
                        <w:pPr>
                          <w:jc w:val="right"/>
                          <w:rPr>
                            <w:color w:val="FF9900"/>
                            <w:szCs w:val="21"/>
                          </w:rPr>
                        </w:pPr>
                        <w:r w:rsidRPr="00E04FAA">
                          <w:rPr>
                            <w:szCs w:val="21"/>
                          </w:rPr>
                          <w:t>无</w:t>
                        </w:r>
                      </w:p>
                    </w:tc>
                  </w:sdtContent>
                </w:sdt>
                <w:tc>
                  <w:tcPr>
                    <w:tcW w:w="1526" w:type="dxa"/>
                    <w:gridSpan w:val="2"/>
                    <w:shd w:val="clear" w:color="auto" w:fill="auto"/>
                  </w:tcPr>
                  <w:p w:rsidR="006837EA" w:rsidRPr="00E04FAA" w:rsidRDefault="006837EA" w:rsidP="00FB337B">
                    <w:pPr>
                      <w:jc w:val="right"/>
                      <w:rPr>
                        <w:szCs w:val="21"/>
                      </w:rPr>
                    </w:pPr>
                    <w:r w:rsidRPr="00E04FAA">
                      <w:rPr>
                        <w:rFonts w:hint="eastAsia"/>
                        <w:szCs w:val="21"/>
                      </w:rPr>
                      <w:t>0</w:t>
                    </w:r>
                  </w:p>
                </w:tc>
                <w:sdt>
                  <w:sdtPr>
                    <w:rPr>
                      <w:szCs w:val="21"/>
                    </w:rPr>
                    <w:alias w:val="前十名股东的股东性质"/>
                    <w:tag w:val="_GBC_71380bc899eb4b9781e95e37e7a1e221"/>
                    <w:id w:val="112828806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923" w:type="dxa"/>
                        <w:shd w:val="clear" w:color="auto" w:fill="auto"/>
                      </w:tcPr>
                      <w:p w:rsidR="006837EA" w:rsidRPr="00E04FAA" w:rsidRDefault="006837EA" w:rsidP="00FB337B">
                        <w:pPr>
                          <w:jc w:val="right"/>
                          <w:rPr>
                            <w:color w:val="FF9900"/>
                            <w:szCs w:val="21"/>
                          </w:rPr>
                        </w:pPr>
                        <w:r w:rsidRPr="00E04FAA">
                          <w:rPr>
                            <w:szCs w:val="21"/>
                          </w:rPr>
                          <w:t>境内自然人</w:t>
                        </w:r>
                      </w:p>
                    </w:tc>
                  </w:sdtContent>
                </w:sdt>
              </w:tr>
            </w:sdtContent>
          </w:sdt>
          <w:sdt>
            <w:sdtPr>
              <w:rPr>
                <w:szCs w:val="21"/>
              </w:rPr>
              <w:alias w:val="前十名股东持股情况"/>
              <w:tag w:val="_GBC_5fc8eaeeffc7456eb1a09687db3d4206"/>
              <w:id w:val="-871535190"/>
              <w:lock w:val="sdtLocked"/>
              <w:placeholder>
                <w:docPart w:val="E9D92AB775B34514AEF3E8F3A873E37E"/>
              </w:placeholder>
            </w:sdtPr>
            <w:sdtEndPr>
              <w:rPr>
                <w:color w:val="FF9900"/>
              </w:rPr>
            </w:sdtEndPr>
            <w:sdtContent>
              <w:tr w:rsidR="006837EA" w:rsidRPr="00E04FAA" w:rsidTr="00FB337B">
                <w:trPr>
                  <w:cantSplit/>
                </w:trPr>
                <w:tc>
                  <w:tcPr>
                    <w:tcW w:w="1129" w:type="dxa"/>
                    <w:shd w:val="clear" w:color="auto" w:fill="auto"/>
                  </w:tcPr>
                  <w:p w:rsidR="006837EA" w:rsidRPr="00E04FAA" w:rsidRDefault="006837EA" w:rsidP="006837EA">
                    <w:pPr>
                      <w:rPr>
                        <w:color w:val="000000"/>
                        <w:szCs w:val="21"/>
                      </w:rPr>
                    </w:pPr>
                    <w:r w:rsidRPr="00E04FAA">
                      <w:rPr>
                        <w:rFonts w:hint="eastAsia"/>
                        <w:color w:val="000000"/>
                        <w:szCs w:val="21"/>
                      </w:rPr>
                      <w:t xml:space="preserve">共青城优富投资管理合伙企业（有限合伙）                                                                                            </w:t>
                    </w:r>
                  </w:p>
                  <w:p w:rsidR="006837EA" w:rsidRPr="00E04FAA" w:rsidRDefault="006837EA" w:rsidP="006837EA">
                    <w:pPr>
                      <w:rPr>
                        <w:szCs w:val="21"/>
                      </w:rPr>
                    </w:pPr>
                  </w:p>
                </w:tc>
                <w:tc>
                  <w:tcPr>
                    <w:tcW w:w="1560" w:type="dxa"/>
                    <w:shd w:val="clear" w:color="auto" w:fill="auto"/>
                  </w:tcPr>
                  <w:p w:rsidR="006837EA" w:rsidRPr="00902402" w:rsidRDefault="006837EA" w:rsidP="00FB337B">
                    <w:pPr>
                      <w:jc w:val="right"/>
                    </w:pPr>
                    <w:r w:rsidRPr="00902402">
                      <w:t>52,660,000</w:t>
                    </w:r>
                  </w:p>
                </w:tc>
                <w:tc>
                  <w:tcPr>
                    <w:tcW w:w="1417" w:type="dxa"/>
                    <w:shd w:val="clear" w:color="auto" w:fill="auto"/>
                  </w:tcPr>
                  <w:p w:rsidR="006837EA" w:rsidRPr="005274B7" w:rsidRDefault="006837EA" w:rsidP="00FB337B">
                    <w:pPr>
                      <w:jc w:val="right"/>
                    </w:pPr>
                    <w:r w:rsidRPr="005274B7">
                      <w:t>64,458,000</w:t>
                    </w:r>
                  </w:p>
                </w:tc>
                <w:tc>
                  <w:tcPr>
                    <w:tcW w:w="779" w:type="dxa"/>
                    <w:shd w:val="clear" w:color="auto" w:fill="auto"/>
                  </w:tcPr>
                  <w:p w:rsidR="006837EA" w:rsidRPr="00E04FAA" w:rsidRDefault="006837EA" w:rsidP="00FB337B">
                    <w:pPr>
                      <w:jc w:val="right"/>
                    </w:pPr>
                    <w:r w:rsidRPr="00E04FAA">
                      <w:t xml:space="preserve"> 2.59</w:t>
                    </w:r>
                  </w:p>
                </w:tc>
                <w:tc>
                  <w:tcPr>
                    <w:tcW w:w="812" w:type="dxa"/>
                    <w:shd w:val="clear" w:color="auto" w:fill="auto"/>
                  </w:tcPr>
                  <w:p w:rsidR="006837EA" w:rsidRPr="00E04FAA" w:rsidRDefault="006837EA" w:rsidP="00FB337B">
                    <w:pPr>
                      <w:jc w:val="right"/>
                    </w:pPr>
                    <w:r w:rsidRPr="00E04FAA">
                      <w:t>0</w:t>
                    </w:r>
                  </w:p>
                </w:tc>
                <w:sdt>
                  <w:sdtPr>
                    <w:rPr>
                      <w:szCs w:val="21"/>
                    </w:rPr>
                    <w:alias w:val="前十名股东持有股份状态"/>
                    <w:tag w:val="_GBC_d5194108b2a8481e94140819dbdc5afe"/>
                    <w:id w:val="-123931291"/>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77" w:type="dxa"/>
                        <w:shd w:val="clear" w:color="auto" w:fill="auto"/>
                      </w:tcPr>
                      <w:p w:rsidR="006837EA" w:rsidRPr="00E04FAA" w:rsidRDefault="006837EA" w:rsidP="00FB337B">
                        <w:pPr>
                          <w:jc w:val="right"/>
                          <w:rPr>
                            <w:color w:val="FF9900"/>
                            <w:szCs w:val="21"/>
                          </w:rPr>
                        </w:pPr>
                        <w:r w:rsidRPr="00E04FAA">
                          <w:rPr>
                            <w:szCs w:val="21"/>
                          </w:rPr>
                          <w:t>质押</w:t>
                        </w:r>
                      </w:p>
                    </w:tc>
                  </w:sdtContent>
                </w:sdt>
                <w:tc>
                  <w:tcPr>
                    <w:tcW w:w="1526" w:type="dxa"/>
                    <w:gridSpan w:val="2"/>
                    <w:shd w:val="clear" w:color="auto" w:fill="auto"/>
                  </w:tcPr>
                  <w:p w:rsidR="006837EA" w:rsidRPr="00E04FAA" w:rsidRDefault="006837EA" w:rsidP="00FB337B">
                    <w:pPr>
                      <w:jc w:val="right"/>
                      <w:rPr>
                        <w:szCs w:val="21"/>
                      </w:rPr>
                    </w:pPr>
                    <w:r w:rsidRPr="00E04FAA">
                      <w:rPr>
                        <w:szCs w:val="21"/>
                      </w:rPr>
                      <w:t>6,500,000</w:t>
                    </w:r>
                  </w:p>
                </w:tc>
                <w:sdt>
                  <w:sdtPr>
                    <w:rPr>
                      <w:szCs w:val="21"/>
                    </w:rPr>
                    <w:alias w:val="前十名股东的股东性质"/>
                    <w:tag w:val="_GBC_71380bc899eb4b9781e95e37e7a1e221"/>
                    <w:id w:val="-196419111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923" w:type="dxa"/>
                        <w:shd w:val="clear" w:color="auto" w:fill="auto"/>
                      </w:tcPr>
                      <w:p w:rsidR="006837EA" w:rsidRPr="00E04FAA" w:rsidRDefault="006837EA" w:rsidP="00FB337B">
                        <w:pPr>
                          <w:jc w:val="right"/>
                          <w:rPr>
                            <w:color w:val="FF9900"/>
                            <w:szCs w:val="21"/>
                          </w:rPr>
                        </w:pPr>
                        <w:r w:rsidRPr="00E04FAA">
                          <w:rPr>
                            <w:szCs w:val="21"/>
                          </w:rPr>
                          <w:t>境内非国有法人</w:t>
                        </w:r>
                      </w:p>
                    </w:tc>
                  </w:sdtContent>
                </w:sdt>
              </w:tr>
            </w:sdtContent>
          </w:sdt>
          <w:sdt>
            <w:sdtPr>
              <w:rPr>
                <w:szCs w:val="21"/>
              </w:rPr>
              <w:alias w:val="前十名股东持股情况"/>
              <w:tag w:val="_GBC_5fc8eaeeffc7456eb1a09687db3d4206"/>
              <w:id w:val="-1131397278"/>
              <w:lock w:val="sdtLocked"/>
              <w:placeholder>
                <w:docPart w:val="E9D92AB775B34514AEF3E8F3A873E37E"/>
              </w:placeholder>
            </w:sdtPr>
            <w:sdtEndPr>
              <w:rPr>
                <w:color w:val="FF9900"/>
              </w:rPr>
            </w:sdtEndPr>
            <w:sdtContent>
              <w:tr w:rsidR="006837EA" w:rsidRPr="00E04FAA" w:rsidTr="00FB337B">
                <w:trPr>
                  <w:cantSplit/>
                </w:trPr>
                <w:tc>
                  <w:tcPr>
                    <w:tcW w:w="1129" w:type="dxa"/>
                    <w:shd w:val="clear" w:color="auto" w:fill="auto"/>
                  </w:tcPr>
                  <w:p w:rsidR="006837EA" w:rsidRPr="00E04FAA" w:rsidRDefault="006837EA" w:rsidP="006837EA">
                    <w:pPr>
                      <w:rPr>
                        <w:color w:val="000000"/>
                        <w:szCs w:val="21"/>
                      </w:rPr>
                    </w:pPr>
                    <w:r w:rsidRPr="00E04FAA">
                      <w:rPr>
                        <w:rFonts w:hint="eastAsia"/>
                        <w:color w:val="000000"/>
                        <w:szCs w:val="21"/>
                      </w:rPr>
                      <w:t xml:space="preserve">中国证券金融股份有限公司                                                                                                          </w:t>
                    </w:r>
                  </w:p>
                  <w:p w:rsidR="006837EA" w:rsidRPr="00E04FAA" w:rsidRDefault="006837EA" w:rsidP="006837EA">
                    <w:pPr>
                      <w:rPr>
                        <w:szCs w:val="21"/>
                      </w:rPr>
                    </w:pPr>
                  </w:p>
                </w:tc>
                <w:tc>
                  <w:tcPr>
                    <w:tcW w:w="1560" w:type="dxa"/>
                    <w:shd w:val="clear" w:color="auto" w:fill="auto"/>
                  </w:tcPr>
                  <w:p w:rsidR="006837EA" w:rsidRPr="00902402" w:rsidRDefault="006837EA" w:rsidP="00FB337B">
                    <w:pPr>
                      <w:jc w:val="right"/>
                    </w:pPr>
                    <w:r w:rsidRPr="00902402">
                      <w:t>36,265,668</w:t>
                    </w:r>
                  </w:p>
                </w:tc>
                <w:tc>
                  <w:tcPr>
                    <w:tcW w:w="1417" w:type="dxa"/>
                    <w:shd w:val="clear" w:color="auto" w:fill="auto"/>
                  </w:tcPr>
                  <w:p w:rsidR="006837EA" w:rsidRPr="005274B7" w:rsidRDefault="006837EA" w:rsidP="00FB337B">
                    <w:pPr>
                      <w:jc w:val="right"/>
                    </w:pPr>
                    <w:r w:rsidRPr="005274B7">
                      <w:t>47,145,368</w:t>
                    </w:r>
                  </w:p>
                </w:tc>
                <w:tc>
                  <w:tcPr>
                    <w:tcW w:w="779" w:type="dxa"/>
                    <w:shd w:val="clear" w:color="auto" w:fill="auto"/>
                  </w:tcPr>
                  <w:p w:rsidR="006837EA" w:rsidRPr="00E04FAA" w:rsidRDefault="006837EA" w:rsidP="00FB337B">
                    <w:pPr>
                      <w:ind w:firstLineChars="50" w:firstLine="105"/>
                      <w:jc w:val="right"/>
                    </w:pPr>
                    <w:r w:rsidRPr="00E04FAA">
                      <w:t>1.90</w:t>
                    </w:r>
                  </w:p>
                </w:tc>
                <w:tc>
                  <w:tcPr>
                    <w:tcW w:w="812" w:type="dxa"/>
                    <w:shd w:val="clear" w:color="auto" w:fill="auto"/>
                  </w:tcPr>
                  <w:p w:rsidR="006837EA" w:rsidRPr="00E04FAA" w:rsidRDefault="006837EA" w:rsidP="00FB337B">
                    <w:pPr>
                      <w:jc w:val="right"/>
                    </w:pPr>
                    <w:r w:rsidRPr="00E04FAA">
                      <w:t>0</w:t>
                    </w:r>
                  </w:p>
                </w:tc>
                <w:sdt>
                  <w:sdtPr>
                    <w:rPr>
                      <w:szCs w:val="21"/>
                    </w:rPr>
                    <w:alias w:val="前十名股东持有股份状态"/>
                    <w:tag w:val="_GBC_d5194108b2a8481e94140819dbdc5afe"/>
                    <w:id w:val="1987282260"/>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77" w:type="dxa"/>
                        <w:shd w:val="clear" w:color="auto" w:fill="auto"/>
                      </w:tcPr>
                      <w:p w:rsidR="006837EA" w:rsidRPr="00E04FAA" w:rsidRDefault="006837EA" w:rsidP="00FB337B">
                        <w:pPr>
                          <w:jc w:val="right"/>
                          <w:rPr>
                            <w:color w:val="FF9900"/>
                            <w:szCs w:val="21"/>
                          </w:rPr>
                        </w:pPr>
                        <w:r w:rsidRPr="00E04FAA">
                          <w:rPr>
                            <w:szCs w:val="21"/>
                          </w:rPr>
                          <w:t>无</w:t>
                        </w:r>
                      </w:p>
                    </w:tc>
                  </w:sdtContent>
                </w:sdt>
                <w:tc>
                  <w:tcPr>
                    <w:tcW w:w="1526" w:type="dxa"/>
                    <w:gridSpan w:val="2"/>
                    <w:shd w:val="clear" w:color="auto" w:fill="auto"/>
                  </w:tcPr>
                  <w:p w:rsidR="006837EA" w:rsidRPr="00E04FAA" w:rsidRDefault="006837EA" w:rsidP="00FB337B">
                    <w:pPr>
                      <w:jc w:val="right"/>
                      <w:rPr>
                        <w:szCs w:val="21"/>
                      </w:rPr>
                    </w:pPr>
                    <w:r w:rsidRPr="00E04FAA">
                      <w:rPr>
                        <w:rFonts w:hint="eastAsia"/>
                        <w:szCs w:val="21"/>
                      </w:rPr>
                      <w:t>0</w:t>
                    </w:r>
                  </w:p>
                </w:tc>
                <w:sdt>
                  <w:sdtPr>
                    <w:rPr>
                      <w:szCs w:val="21"/>
                    </w:rPr>
                    <w:alias w:val="前十名股东的股东性质"/>
                    <w:tag w:val="_GBC_71380bc899eb4b9781e95e37e7a1e221"/>
                    <w:id w:val="144912033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923" w:type="dxa"/>
                        <w:shd w:val="clear" w:color="auto" w:fill="auto"/>
                      </w:tcPr>
                      <w:p w:rsidR="006837EA" w:rsidRPr="00E04FAA" w:rsidRDefault="006837EA" w:rsidP="00FB337B">
                        <w:pPr>
                          <w:jc w:val="right"/>
                          <w:rPr>
                            <w:color w:val="FF9900"/>
                            <w:szCs w:val="21"/>
                          </w:rPr>
                        </w:pPr>
                        <w:r w:rsidRPr="00E04FAA">
                          <w:rPr>
                            <w:szCs w:val="21"/>
                          </w:rPr>
                          <w:t>其他</w:t>
                        </w:r>
                      </w:p>
                    </w:tc>
                  </w:sdtContent>
                </w:sdt>
              </w:tr>
            </w:sdtContent>
          </w:sdt>
          <w:sdt>
            <w:sdtPr>
              <w:rPr>
                <w:szCs w:val="21"/>
              </w:rPr>
              <w:alias w:val="前十名股东持股情况"/>
              <w:tag w:val="_GBC_5fc8eaeeffc7456eb1a09687db3d4206"/>
              <w:id w:val="135154446"/>
              <w:lock w:val="sdtLocked"/>
              <w:placeholder>
                <w:docPart w:val="E9D92AB775B34514AEF3E8F3A873E37E"/>
              </w:placeholder>
            </w:sdtPr>
            <w:sdtEndPr>
              <w:rPr>
                <w:color w:val="FF9900"/>
              </w:rPr>
            </w:sdtEndPr>
            <w:sdtContent>
              <w:tr w:rsidR="006837EA" w:rsidRPr="00E04FAA" w:rsidTr="00FB337B">
                <w:trPr>
                  <w:cantSplit/>
                </w:trPr>
                <w:tc>
                  <w:tcPr>
                    <w:tcW w:w="1129" w:type="dxa"/>
                    <w:shd w:val="clear" w:color="auto" w:fill="auto"/>
                  </w:tcPr>
                  <w:p w:rsidR="006837EA" w:rsidRPr="00E04FAA" w:rsidRDefault="006837EA" w:rsidP="006837EA">
                    <w:pPr>
                      <w:rPr>
                        <w:color w:val="000000"/>
                        <w:szCs w:val="21"/>
                      </w:rPr>
                    </w:pPr>
                    <w:r w:rsidRPr="00E04FAA">
                      <w:rPr>
                        <w:rFonts w:hint="eastAsia"/>
                        <w:color w:val="000000"/>
                        <w:szCs w:val="21"/>
                      </w:rPr>
                      <w:t xml:space="preserve">香港中央结算有限公司                                                                                                              </w:t>
                    </w:r>
                  </w:p>
                  <w:p w:rsidR="006837EA" w:rsidRPr="00E04FAA" w:rsidRDefault="006837EA" w:rsidP="006837EA">
                    <w:pPr>
                      <w:rPr>
                        <w:szCs w:val="21"/>
                      </w:rPr>
                    </w:pPr>
                  </w:p>
                </w:tc>
                <w:tc>
                  <w:tcPr>
                    <w:tcW w:w="1560" w:type="dxa"/>
                    <w:shd w:val="clear" w:color="auto" w:fill="auto"/>
                  </w:tcPr>
                  <w:p w:rsidR="006837EA" w:rsidRPr="00902402" w:rsidRDefault="006837EA" w:rsidP="00FB337B">
                    <w:pPr>
                      <w:jc w:val="right"/>
                    </w:pPr>
                    <w:r w:rsidRPr="00902402">
                      <w:t>17,578,525</w:t>
                    </w:r>
                  </w:p>
                </w:tc>
                <w:tc>
                  <w:tcPr>
                    <w:tcW w:w="1417" w:type="dxa"/>
                    <w:shd w:val="clear" w:color="auto" w:fill="auto"/>
                  </w:tcPr>
                  <w:p w:rsidR="006837EA" w:rsidRPr="005274B7" w:rsidRDefault="006837EA" w:rsidP="00FB337B">
                    <w:pPr>
                      <w:jc w:val="right"/>
                    </w:pPr>
                    <w:r w:rsidRPr="005274B7">
                      <w:t>45,419,721</w:t>
                    </w:r>
                  </w:p>
                </w:tc>
                <w:tc>
                  <w:tcPr>
                    <w:tcW w:w="779" w:type="dxa"/>
                    <w:shd w:val="clear" w:color="auto" w:fill="auto"/>
                  </w:tcPr>
                  <w:p w:rsidR="006837EA" w:rsidRPr="00E04FAA" w:rsidRDefault="006837EA" w:rsidP="00FB337B">
                    <w:pPr>
                      <w:ind w:firstLineChars="50" w:firstLine="105"/>
                      <w:jc w:val="right"/>
                    </w:pPr>
                    <w:r w:rsidRPr="00E04FAA">
                      <w:t>1.83</w:t>
                    </w:r>
                  </w:p>
                </w:tc>
                <w:tc>
                  <w:tcPr>
                    <w:tcW w:w="812" w:type="dxa"/>
                    <w:shd w:val="clear" w:color="auto" w:fill="auto"/>
                  </w:tcPr>
                  <w:p w:rsidR="006837EA" w:rsidRPr="00E04FAA" w:rsidRDefault="006837EA" w:rsidP="00FB337B">
                    <w:pPr>
                      <w:jc w:val="right"/>
                    </w:pPr>
                    <w:r w:rsidRPr="00E04FAA">
                      <w:t>0</w:t>
                    </w:r>
                  </w:p>
                </w:tc>
                <w:sdt>
                  <w:sdtPr>
                    <w:rPr>
                      <w:szCs w:val="21"/>
                    </w:rPr>
                    <w:alias w:val="前十名股东持有股份状态"/>
                    <w:tag w:val="_GBC_d5194108b2a8481e94140819dbdc5afe"/>
                    <w:id w:val="-572668652"/>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77" w:type="dxa"/>
                        <w:shd w:val="clear" w:color="auto" w:fill="auto"/>
                      </w:tcPr>
                      <w:p w:rsidR="006837EA" w:rsidRPr="00E04FAA" w:rsidRDefault="006837EA" w:rsidP="00FB337B">
                        <w:pPr>
                          <w:jc w:val="right"/>
                          <w:rPr>
                            <w:color w:val="FF9900"/>
                            <w:szCs w:val="21"/>
                          </w:rPr>
                        </w:pPr>
                        <w:r w:rsidRPr="00E04FAA">
                          <w:rPr>
                            <w:szCs w:val="21"/>
                          </w:rPr>
                          <w:t>无</w:t>
                        </w:r>
                      </w:p>
                    </w:tc>
                  </w:sdtContent>
                </w:sdt>
                <w:tc>
                  <w:tcPr>
                    <w:tcW w:w="1526" w:type="dxa"/>
                    <w:gridSpan w:val="2"/>
                    <w:shd w:val="clear" w:color="auto" w:fill="auto"/>
                  </w:tcPr>
                  <w:p w:rsidR="006837EA" w:rsidRPr="00E04FAA" w:rsidRDefault="006837EA" w:rsidP="00FB337B">
                    <w:pPr>
                      <w:jc w:val="right"/>
                      <w:rPr>
                        <w:szCs w:val="21"/>
                      </w:rPr>
                    </w:pPr>
                    <w:r w:rsidRPr="00E04FAA">
                      <w:rPr>
                        <w:rFonts w:hint="eastAsia"/>
                        <w:szCs w:val="21"/>
                      </w:rPr>
                      <w:t>0</w:t>
                    </w:r>
                  </w:p>
                </w:tc>
                <w:sdt>
                  <w:sdtPr>
                    <w:rPr>
                      <w:szCs w:val="21"/>
                    </w:rPr>
                    <w:alias w:val="前十名股东的股东性质"/>
                    <w:tag w:val="_GBC_71380bc899eb4b9781e95e37e7a1e221"/>
                    <w:id w:val="-34055207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923" w:type="dxa"/>
                        <w:shd w:val="clear" w:color="auto" w:fill="auto"/>
                      </w:tcPr>
                      <w:p w:rsidR="006837EA" w:rsidRPr="00E04FAA" w:rsidRDefault="006837EA" w:rsidP="00FB337B">
                        <w:pPr>
                          <w:jc w:val="right"/>
                          <w:rPr>
                            <w:color w:val="FF9900"/>
                            <w:szCs w:val="21"/>
                          </w:rPr>
                        </w:pPr>
                        <w:r w:rsidRPr="00E04FAA">
                          <w:rPr>
                            <w:szCs w:val="21"/>
                          </w:rPr>
                          <w:t>其他</w:t>
                        </w:r>
                      </w:p>
                    </w:tc>
                  </w:sdtContent>
                </w:sdt>
              </w:tr>
            </w:sdtContent>
          </w:sdt>
          <w:sdt>
            <w:sdtPr>
              <w:rPr>
                <w:szCs w:val="21"/>
              </w:rPr>
              <w:alias w:val="前十名股东持股情况"/>
              <w:tag w:val="_GBC_5fc8eaeeffc7456eb1a09687db3d4206"/>
              <w:id w:val="695655863"/>
              <w:lock w:val="sdtLocked"/>
              <w:placeholder>
                <w:docPart w:val="E9D92AB775B34514AEF3E8F3A873E37E"/>
              </w:placeholder>
            </w:sdtPr>
            <w:sdtEndPr>
              <w:rPr>
                <w:color w:val="FF9900"/>
              </w:rPr>
            </w:sdtEndPr>
            <w:sdtContent>
              <w:tr w:rsidR="006837EA" w:rsidRPr="00E04FAA" w:rsidTr="00FB337B">
                <w:trPr>
                  <w:cantSplit/>
                </w:trPr>
                <w:tc>
                  <w:tcPr>
                    <w:tcW w:w="1129" w:type="dxa"/>
                    <w:shd w:val="clear" w:color="auto" w:fill="auto"/>
                  </w:tcPr>
                  <w:p w:rsidR="006837EA" w:rsidRPr="00E04FAA" w:rsidRDefault="006837EA" w:rsidP="006837EA">
                    <w:pPr>
                      <w:rPr>
                        <w:color w:val="000000"/>
                        <w:szCs w:val="21"/>
                      </w:rPr>
                    </w:pPr>
                    <w:r w:rsidRPr="00E04FAA">
                      <w:rPr>
                        <w:rFonts w:hint="eastAsia"/>
                        <w:color w:val="000000"/>
                        <w:szCs w:val="21"/>
                      </w:rPr>
                      <w:t xml:space="preserve">于桂珍                                                                                                                            </w:t>
                    </w:r>
                  </w:p>
                  <w:p w:rsidR="006837EA" w:rsidRPr="00E04FAA" w:rsidRDefault="006837EA" w:rsidP="006837EA">
                    <w:pPr>
                      <w:rPr>
                        <w:szCs w:val="21"/>
                      </w:rPr>
                    </w:pPr>
                  </w:p>
                </w:tc>
                <w:tc>
                  <w:tcPr>
                    <w:tcW w:w="1560" w:type="dxa"/>
                    <w:shd w:val="clear" w:color="auto" w:fill="auto"/>
                  </w:tcPr>
                  <w:p w:rsidR="006837EA" w:rsidRPr="00902402" w:rsidRDefault="006837EA" w:rsidP="00FB337B">
                    <w:pPr>
                      <w:jc w:val="right"/>
                    </w:pPr>
                    <w:r w:rsidRPr="00902402">
                      <w:t>20,891,520</w:t>
                    </w:r>
                  </w:p>
                </w:tc>
                <w:tc>
                  <w:tcPr>
                    <w:tcW w:w="1417" w:type="dxa"/>
                    <w:shd w:val="clear" w:color="auto" w:fill="auto"/>
                  </w:tcPr>
                  <w:p w:rsidR="006837EA" w:rsidRPr="005274B7" w:rsidRDefault="006837EA" w:rsidP="00FB337B">
                    <w:pPr>
                      <w:jc w:val="right"/>
                    </w:pPr>
                    <w:r w:rsidRPr="005274B7">
                      <w:t>29,915,145</w:t>
                    </w:r>
                  </w:p>
                </w:tc>
                <w:tc>
                  <w:tcPr>
                    <w:tcW w:w="779" w:type="dxa"/>
                    <w:shd w:val="clear" w:color="auto" w:fill="auto"/>
                  </w:tcPr>
                  <w:p w:rsidR="006837EA" w:rsidRPr="00E04FAA" w:rsidRDefault="006837EA" w:rsidP="00FB337B">
                    <w:pPr>
                      <w:jc w:val="right"/>
                    </w:pPr>
                    <w:r w:rsidRPr="00E04FAA">
                      <w:t xml:space="preserve"> 1.20</w:t>
                    </w:r>
                  </w:p>
                </w:tc>
                <w:tc>
                  <w:tcPr>
                    <w:tcW w:w="812" w:type="dxa"/>
                    <w:shd w:val="clear" w:color="auto" w:fill="auto"/>
                  </w:tcPr>
                  <w:p w:rsidR="006837EA" w:rsidRPr="00E04FAA" w:rsidRDefault="006837EA" w:rsidP="00FB337B">
                    <w:pPr>
                      <w:jc w:val="right"/>
                    </w:pPr>
                    <w:r w:rsidRPr="00E04FAA">
                      <w:t>0</w:t>
                    </w:r>
                  </w:p>
                </w:tc>
                <w:sdt>
                  <w:sdtPr>
                    <w:rPr>
                      <w:szCs w:val="21"/>
                    </w:rPr>
                    <w:alias w:val="前十名股东持有股份状态"/>
                    <w:tag w:val="_GBC_d5194108b2a8481e94140819dbdc5afe"/>
                    <w:id w:val="-1704934120"/>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77" w:type="dxa"/>
                        <w:shd w:val="clear" w:color="auto" w:fill="auto"/>
                      </w:tcPr>
                      <w:p w:rsidR="006837EA" w:rsidRPr="00E04FAA" w:rsidRDefault="006837EA" w:rsidP="00FB337B">
                        <w:pPr>
                          <w:jc w:val="right"/>
                          <w:rPr>
                            <w:color w:val="FF9900"/>
                            <w:szCs w:val="21"/>
                          </w:rPr>
                        </w:pPr>
                        <w:r w:rsidRPr="00E04FAA">
                          <w:rPr>
                            <w:szCs w:val="21"/>
                          </w:rPr>
                          <w:t>无</w:t>
                        </w:r>
                      </w:p>
                    </w:tc>
                  </w:sdtContent>
                </w:sdt>
                <w:tc>
                  <w:tcPr>
                    <w:tcW w:w="1526" w:type="dxa"/>
                    <w:gridSpan w:val="2"/>
                    <w:shd w:val="clear" w:color="auto" w:fill="auto"/>
                  </w:tcPr>
                  <w:p w:rsidR="006837EA" w:rsidRPr="00E04FAA" w:rsidRDefault="006837EA" w:rsidP="00FB337B">
                    <w:pPr>
                      <w:jc w:val="right"/>
                      <w:rPr>
                        <w:szCs w:val="21"/>
                      </w:rPr>
                    </w:pPr>
                    <w:r w:rsidRPr="00E04FAA">
                      <w:rPr>
                        <w:rFonts w:hint="eastAsia"/>
                        <w:szCs w:val="21"/>
                      </w:rPr>
                      <w:t>0</w:t>
                    </w:r>
                  </w:p>
                </w:tc>
                <w:sdt>
                  <w:sdtPr>
                    <w:rPr>
                      <w:szCs w:val="21"/>
                    </w:rPr>
                    <w:alias w:val="前十名股东的股东性质"/>
                    <w:tag w:val="_GBC_71380bc899eb4b9781e95e37e7a1e221"/>
                    <w:id w:val="-204026617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923" w:type="dxa"/>
                        <w:shd w:val="clear" w:color="auto" w:fill="auto"/>
                      </w:tcPr>
                      <w:p w:rsidR="006837EA" w:rsidRPr="00E04FAA" w:rsidRDefault="006837EA" w:rsidP="00FB337B">
                        <w:pPr>
                          <w:jc w:val="right"/>
                          <w:rPr>
                            <w:color w:val="FF9900"/>
                            <w:szCs w:val="21"/>
                          </w:rPr>
                        </w:pPr>
                        <w:r w:rsidRPr="00E04FAA">
                          <w:rPr>
                            <w:szCs w:val="21"/>
                          </w:rPr>
                          <w:t>境内自然人</w:t>
                        </w:r>
                      </w:p>
                    </w:tc>
                  </w:sdtContent>
                </w:sdt>
              </w:tr>
            </w:sdtContent>
          </w:sdt>
          <w:sdt>
            <w:sdtPr>
              <w:rPr>
                <w:szCs w:val="21"/>
              </w:rPr>
              <w:alias w:val="前十名股东持股情况"/>
              <w:tag w:val="_GBC_5fc8eaeeffc7456eb1a09687db3d4206"/>
              <w:id w:val="1393154638"/>
              <w:lock w:val="sdtLocked"/>
              <w:placeholder>
                <w:docPart w:val="E9D92AB775B34514AEF3E8F3A873E37E"/>
              </w:placeholder>
            </w:sdtPr>
            <w:sdtEndPr>
              <w:rPr>
                <w:color w:val="FF9900"/>
              </w:rPr>
            </w:sdtEndPr>
            <w:sdtContent>
              <w:tr w:rsidR="006837EA" w:rsidRPr="00E04FAA" w:rsidTr="00FB337B">
                <w:trPr>
                  <w:cantSplit/>
                </w:trPr>
                <w:tc>
                  <w:tcPr>
                    <w:tcW w:w="1129" w:type="dxa"/>
                    <w:shd w:val="clear" w:color="auto" w:fill="auto"/>
                  </w:tcPr>
                  <w:p w:rsidR="006837EA" w:rsidRPr="00E04FAA" w:rsidRDefault="006837EA" w:rsidP="006837EA">
                    <w:pPr>
                      <w:rPr>
                        <w:color w:val="000000"/>
                        <w:szCs w:val="21"/>
                      </w:rPr>
                    </w:pPr>
                    <w:r w:rsidRPr="00E04FAA">
                      <w:rPr>
                        <w:rFonts w:hint="eastAsia"/>
                        <w:color w:val="000000"/>
                        <w:szCs w:val="21"/>
                      </w:rPr>
                      <w:t xml:space="preserve">刘世运                                                                                                                            </w:t>
                    </w:r>
                  </w:p>
                  <w:p w:rsidR="006837EA" w:rsidRPr="00E04FAA" w:rsidRDefault="006837EA" w:rsidP="006837EA">
                    <w:pPr>
                      <w:rPr>
                        <w:szCs w:val="21"/>
                      </w:rPr>
                    </w:pPr>
                  </w:p>
                </w:tc>
                <w:tc>
                  <w:tcPr>
                    <w:tcW w:w="1560" w:type="dxa"/>
                    <w:shd w:val="clear" w:color="auto" w:fill="auto"/>
                  </w:tcPr>
                  <w:p w:rsidR="006837EA" w:rsidRDefault="006837EA" w:rsidP="00FB337B">
                    <w:pPr>
                      <w:jc w:val="right"/>
                    </w:pPr>
                    <w:r w:rsidRPr="00902402">
                      <w:t>22,170,000</w:t>
                    </w:r>
                  </w:p>
                </w:tc>
                <w:tc>
                  <w:tcPr>
                    <w:tcW w:w="1417" w:type="dxa"/>
                    <w:shd w:val="clear" w:color="auto" w:fill="auto"/>
                  </w:tcPr>
                  <w:p w:rsidR="006837EA" w:rsidRDefault="006837EA" w:rsidP="00FB337B">
                    <w:pPr>
                      <w:jc w:val="right"/>
                    </w:pPr>
                    <w:r w:rsidRPr="005274B7">
                      <w:t>28,821,000</w:t>
                    </w:r>
                  </w:p>
                </w:tc>
                <w:tc>
                  <w:tcPr>
                    <w:tcW w:w="779" w:type="dxa"/>
                    <w:shd w:val="clear" w:color="auto" w:fill="auto"/>
                  </w:tcPr>
                  <w:p w:rsidR="006837EA" w:rsidRPr="00E04FAA" w:rsidRDefault="006837EA" w:rsidP="00FB337B">
                    <w:pPr>
                      <w:jc w:val="right"/>
                    </w:pPr>
                    <w:r w:rsidRPr="00E04FAA">
                      <w:t xml:space="preserve"> 1.16</w:t>
                    </w:r>
                  </w:p>
                </w:tc>
                <w:tc>
                  <w:tcPr>
                    <w:tcW w:w="812" w:type="dxa"/>
                    <w:shd w:val="clear" w:color="auto" w:fill="auto"/>
                  </w:tcPr>
                  <w:p w:rsidR="006837EA" w:rsidRPr="00E04FAA" w:rsidRDefault="006837EA" w:rsidP="00FB337B">
                    <w:pPr>
                      <w:jc w:val="right"/>
                    </w:pPr>
                    <w:r w:rsidRPr="00E04FAA">
                      <w:t>0</w:t>
                    </w:r>
                  </w:p>
                </w:tc>
                <w:sdt>
                  <w:sdtPr>
                    <w:rPr>
                      <w:szCs w:val="21"/>
                    </w:rPr>
                    <w:alias w:val="前十名股东持有股份状态"/>
                    <w:tag w:val="_GBC_d5194108b2a8481e94140819dbdc5afe"/>
                    <w:id w:val="321399337"/>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77" w:type="dxa"/>
                        <w:shd w:val="clear" w:color="auto" w:fill="auto"/>
                      </w:tcPr>
                      <w:p w:rsidR="006837EA" w:rsidRPr="00E04FAA" w:rsidRDefault="006837EA" w:rsidP="00FB337B">
                        <w:pPr>
                          <w:jc w:val="right"/>
                          <w:rPr>
                            <w:color w:val="FF9900"/>
                            <w:szCs w:val="21"/>
                          </w:rPr>
                        </w:pPr>
                        <w:r w:rsidRPr="00E04FAA">
                          <w:rPr>
                            <w:szCs w:val="21"/>
                          </w:rPr>
                          <w:t>无</w:t>
                        </w:r>
                      </w:p>
                    </w:tc>
                  </w:sdtContent>
                </w:sdt>
                <w:tc>
                  <w:tcPr>
                    <w:tcW w:w="1526" w:type="dxa"/>
                    <w:gridSpan w:val="2"/>
                    <w:shd w:val="clear" w:color="auto" w:fill="auto"/>
                  </w:tcPr>
                  <w:p w:rsidR="006837EA" w:rsidRPr="00E04FAA" w:rsidRDefault="006837EA" w:rsidP="00FB337B">
                    <w:pPr>
                      <w:jc w:val="right"/>
                      <w:rPr>
                        <w:szCs w:val="21"/>
                      </w:rPr>
                    </w:pPr>
                    <w:r w:rsidRPr="00E04FAA">
                      <w:rPr>
                        <w:rFonts w:hint="eastAsia"/>
                        <w:szCs w:val="21"/>
                      </w:rPr>
                      <w:t>0</w:t>
                    </w:r>
                  </w:p>
                </w:tc>
                <w:sdt>
                  <w:sdtPr>
                    <w:rPr>
                      <w:szCs w:val="21"/>
                    </w:rPr>
                    <w:alias w:val="前十名股东的股东性质"/>
                    <w:tag w:val="_GBC_71380bc899eb4b9781e95e37e7a1e221"/>
                    <w:id w:val="-92773521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923" w:type="dxa"/>
                        <w:shd w:val="clear" w:color="auto" w:fill="auto"/>
                      </w:tcPr>
                      <w:p w:rsidR="006837EA" w:rsidRPr="00E04FAA" w:rsidRDefault="006837EA" w:rsidP="00FB337B">
                        <w:pPr>
                          <w:jc w:val="right"/>
                          <w:rPr>
                            <w:color w:val="FF9900"/>
                            <w:szCs w:val="21"/>
                          </w:rPr>
                        </w:pPr>
                        <w:r w:rsidRPr="00E04FAA">
                          <w:rPr>
                            <w:szCs w:val="21"/>
                          </w:rPr>
                          <w:t>境内自然人</w:t>
                        </w:r>
                      </w:p>
                    </w:tc>
                  </w:sdtContent>
                </w:sdt>
              </w:tr>
            </w:sdtContent>
          </w:sdt>
          <w:tr w:rsidR="001523DC" w:rsidRPr="00E04FAA" w:rsidTr="006837EA">
            <w:trPr>
              <w:cantSplit/>
            </w:trPr>
            <w:sdt>
              <w:sdtPr>
                <w:tag w:val="_PLD_6f36efd0621247ffb7b2462dd9753e27"/>
                <w:id w:val="1284611588"/>
                <w:lock w:val="sdtLocked"/>
              </w:sdtPr>
              <w:sdtContent>
                <w:tc>
                  <w:tcPr>
                    <w:tcW w:w="8823" w:type="dxa"/>
                    <w:gridSpan w:val="9"/>
                    <w:shd w:val="clear" w:color="auto" w:fill="auto"/>
                  </w:tcPr>
                  <w:p w:rsidR="001523DC" w:rsidRPr="00E04FAA" w:rsidRDefault="001523DC" w:rsidP="000F02D6">
                    <w:pPr>
                      <w:jc w:val="center"/>
                      <w:rPr>
                        <w:color w:val="FF9900"/>
                        <w:szCs w:val="21"/>
                      </w:rPr>
                    </w:pPr>
                    <w:r w:rsidRPr="00E04FAA">
                      <w:rPr>
                        <w:szCs w:val="21"/>
                      </w:rPr>
                      <w:t>前十名无限售条件股东持股情况</w:t>
                    </w:r>
                  </w:p>
                </w:tc>
              </w:sdtContent>
            </w:sdt>
          </w:tr>
          <w:tr w:rsidR="001523DC" w:rsidRPr="00E04FAA" w:rsidTr="006837EA">
            <w:trPr>
              <w:cantSplit/>
            </w:trPr>
            <w:sdt>
              <w:sdtPr>
                <w:tag w:val="_PLD_6c8c7d50ba2b44858757eeaaa20b5499"/>
                <w:id w:val="1731113704"/>
                <w:lock w:val="sdtLocked"/>
              </w:sdtPr>
              <w:sdtContent>
                <w:tc>
                  <w:tcPr>
                    <w:tcW w:w="2689" w:type="dxa"/>
                    <w:gridSpan w:val="2"/>
                    <w:vMerge w:val="restart"/>
                    <w:shd w:val="clear" w:color="auto" w:fill="auto"/>
                    <w:vAlign w:val="center"/>
                  </w:tcPr>
                  <w:p w:rsidR="001523DC" w:rsidRPr="00E04FAA" w:rsidRDefault="001523DC" w:rsidP="000F02D6">
                    <w:pPr>
                      <w:jc w:val="center"/>
                      <w:rPr>
                        <w:color w:val="FF9900"/>
                        <w:szCs w:val="21"/>
                      </w:rPr>
                    </w:pPr>
                    <w:r w:rsidRPr="00E04FAA">
                      <w:t>股东名称</w:t>
                    </w:r>
                  </w:p>
                </w:tc>
              </w:sdtContent>
            </w:sdt>
            <w:sdt>
              <w:sdtPr>
                <w:tag w:val="_PLD_e4987b1a07a6489c82ab5ef0aa3370ea"/>
                <w:id w:val="-634636700"/>
                <w:lock w:val="sdtLocked"/>
              </w:sdtPr>
              <w:sdtContent>
                <w:tc>
                  <w:tcPr>
                    <w:tcW w:w="3008" w:type="dxa"/>
                    <w:gridSpan w:val="3"/>
                    <w:vMerge w:val="restart"/>
                    <w:shd w:val="clear" w:color="auto" w:fill="auto"/>
                    <w:vAlign w:val="center"/>
                  </w:tcPr>
                  <w:p w:rsidR="001523DC" w:rsidRPr="00E04FAA" w:rsidRDefault="001523DC" w:rsidP="000F02D6">
                    <w:pPr>
                      <w:jc w:val="center"/>
                      <w:rPr>
                        <w:color w:val="FF9900"/>
                        <w:szCs w:val="21"/>
                      </w:rPr>
                    </w:pPr>
                    <w:r w:rsidRPr="00E04FAA">
                      <w:t>持有无限售条件流通股的数量</w:t>
                    </w:r>
                  </w:p>
                </w:tc>
              </w:sdtContent>
            </w:sdt>
            <w:sdt>
              <w:sdtPr>
                <w:tag w:val="_PLD_26ce78cac14a427ca05aa80b21b65936"/>
                <w:id w:val="-426808978"/>
                <w:lock w:val="sdtLocked"/>
              </w:sdtPr>
              <w:sdtContent>
                <w:tc>
                  <w:tcPr>
                    <w:tcW w:w="3126" w:type="dxa"/>
                    <w:gridSpan w:val="4"/>
                    <w:tcBorders>
                      <w:bottom w:val="single" w:sz="4" w:space="0" w:color="auto"/>
                    </w:tcBorders>
                    <w:shd w:val="clear" w:color="auto" w:fill="auto"/>
                    <w:vAlign w:val="center"/>
                  </w:tcPr>
                  <w:p w:rsidR="001523DC" w:rsidRPr="00E04FAA" w:rsidRDefault="001523DC" w:rsidP="000F02D6">
                    <w:pPr>
                      <w:jc w:val="center"/>
                      <w:rPr>
                        <w:color w:val="FF9900"/>
                        <w:szCs w:val="21"/>
                      </w:rPr>
                    </w:pPr>
                    <w:r w:rsidRPr="00E04FAA">
                      <w:rPr>
                        <w:szCs w:val="21"/>
                      </w:rPr>
                      <w:t>股份种类</w:t>
                    </w:r>
                    <w:r w:rsidRPr="00E04FAA">
                      <w:rPr>
                        <w:rFonts w:hint="eastAsia"/>
                        <w:szCs w:val="21"/>
                      </w:rPr>
                      <w:t>及数量</w:t>
                    </w:r>
                  </w:p>
                </w:tc>
              </w:sdtContent>
            </w:sdt>
          </w:tr>
          <w:tr w:rsidR="001523DC" w:rsidRPr="00E04FAA" w:rsidTr="006837EA">
            <w:trPr>
              <w:cantSplit/>
            </w:trPr>
            <w:tc>
              <w:tcPr>
                <w:tcW w:w="2689" w:type="dxa"/>
                <w:gridSpan w:val="2"/>
                <w:vMerge/>
                <w:shd w:val="clear" w:color="auto" w:fill="auto"/>
                <w:vAlign w:val="center"/>
              </w:tcPr>
              <w:p w:rsidR="001523DC" w:rsidRPr="00E04FAA" w:rsidRDefault="001523DC" w:rsidP="000F02D6">
                <w:pPr>
                  <w:jc w:val="center"/>
                  <w:rPr>
                    <w:color w:val="FF9900"/>
                    <w:szCs w:val="21"/>
                  </w:rPr>
                </w:pPr>
              </w:p>
            </w:tc>
            <w:tc>
              <w:tcPr>
                <w:tcW w:w="3008" w:type="dxa"/>
                <w:gridSpan w:val="3"/>
                <w:vMerge/>
                <w:shd w:val="clear" w:color="auto" w:fill="auto"/>
                <w:vAlign w:val="center"/>
              </w:tcPr>
              <w:p w:rsidR="001523DC" w:rsidRPr="00E04FAA" w:rsidRDefault="001523DC" w:rsidP="000F02D6">
                <w:pPr>
                  <w:jc w:val="center"/>
                  <w:rPr>
                    <w:color w:val="FF9900"/>
                    <w:szCs w:val="21"/>
                  </w:rPr>
                </w:pPr>
              </w:p>
            </w:tc>
            <w:sdt>
              <w:sdtPr>
                <w:tag w:val="_PLD_05580a00e3f942c0b2da618818a84669"/>
                <w:id w:val="-62180415"/>
                <w:lock w:val="sdtLocked"/>
              </w:sdtPr>
              <w:sdtContent>
                <w:tc>
                  <w:tcPr>
                    <w:tcW w:w="1440" w:type="dxa"/>
                    <w:gridSpan w:val="2"/>
                    <w:shd w:val="clear" w:color="auto" w:fill="auto"/>
                    <w:vAlign w:val="center"/>
                  </w:tcPr>
                  <w:p w:rsidR="001523DC" w:rsidRPr="00E04FAA" w:rsidRDefault="001523DC" w:rsidP="000F02D6">
                    <w:pPr>
                      <w:jc w:val="center"/>
                      <w:rPr>
                        <w:color w:val="008000"/>
                        <w:szCs w:val="21"/>
                      </w:rPr>
                    </w:pPr>
                    <w:r w:rsidRPr="00E04FAA">
                      <w:rPr>
                        <w:rFonts w:hint="eastAsia"/>
                        <w:szCs w:val="21"/>
                      </w:rPr>
                      <w:t>种类</w:t>
                    </w:r>
                  </w:p>
                </w:tc>
              </w:sdtContent>
            </w:sdt>
            <w:sdt>
              <w:sdtPr>
                <w:tag w:val="_PLD_7f8ec6251e234192b411b34b07ccd732"/>
                <w:id w:val="-1194380586"/>
                <w:lock w:val="sdtLocked"/>
              </w:sdtPr>
              <w:sdtContent>
                <w:tc>
                  <w:tcPr>
                    <w:tcW w:w="1686" w:type="dxa"/>
                    <w:gridSpan w:val="2"/>
                    <w:shd w:val="clear" w:color="auto" w:fill="auto"/>
                    <w:vAlign w:val="center"/>
                  </w:tcPr>
                  <w:p w:rsidR="001523DC" w:rsidRPr="00E04FAA" w:rsidRDefault="001523DC" w:rsidP="000F02D6">
                    <w:pPr>
                      <w:jc w:val="center"/>
                      <w:rPr>
                        <w:color w:val="008000"/>
                        <w:szCs w:val="21"/>
                      </w:rPr>
                    </w:pPr>
                    <w:r w:rsidRPr="00E04FAA">
                      <w:rPr>
                        <w:rFonts w:hint="eastAsia"/>
                        <w:szCs w:val="21"/>
                      </w:rPr>
                      <w:t>数量</w:t>
                    </w:r>
                  </w:p>
                </w:tc>
              </w:sdtContent>
            </w:sdt>
          </w:tr>
          <w:sdt>
            <w:sdtPr>
              <w:rPr>
                <w:szCs w:val="21"/>
              </w:rPr>
              <w:alias w:val="前十名无限售条件股东持股情况"/>
              <w:tag w:val="_GBC_d4835fea183942b8823bf8913d1f2f26"/>
              <w:id w:val="1637451299"/>
              <w:lock w:val="sdtLocked"/>
              <w:placeholder>
                <w:docPart w:val="69DF9299F27B4F29ACDF66984F2615B0"/>
              </w:placeholder>
            </w:sdtPr>
            <w:sdtContent>
              <w:tr w:rsidR="001523DC" w:rsidRPr="00E04FAA" w:rsidTr="00B456C1">
                <w:trPr>
                  <w:cantSplit/>
                </w:trPr>
                <w:tc>
                  <w:tcPr>
                    <w:tcW w:w="2689" w:type="dxa"/>
                    <w:gridSpan w:val="2"/>
                    <w:shd w:val="clear" w:color="auto" w:fill="auto"/>
                  </w:tcPr>
                  <w:p w:rsidR="001523DC" w:rsidRPr="00E04FAA" w:rsidRDefault="001523DC" w:rsidP="000F02D6">
                    <w:pPr>
                      <w:rPr>
                        <w:szCs w:val="21"/>
                      </w:rPr>
                    </w:pPr>
                    <w:r w:rsidRPr="00E04FAA">
                      <w:rPr>
                        <w:rFonts w:hint="eastAsia"/>
                        <w:szCs w:val="21"/>
                      </w:rPr>
                      <w:t>北京用友科技有限公司</w:t>
                    </w:r>
                    <w:r w:rsidRPr="00E04FAA">
                      <w:rPr>
                        <w:szCs w:val="21"/>
                      </w:rPr>
                      <w:t xml:space="preserve"> </w:t>
                    </w:r>
                  </w:p>
                </w:tc>
                <w:tc>
                  <w:tcPr>
                    <w:tcW w:w="3008" w:type="dxa"/>
                    <w:gridSpan w:val="3"/>
                    <w:shd w:val="clear" w:color="auto" w:fill="auto"/>
                  </w:tcPr>
                  <w:p w:rsidR="001523DC" w:rsidRPr="00E04FAA" w:rsidRDefault="001523DC" w:rsidP="00B456C1">
                    <w:pPr>
                      <w:jc w:val="right"/>
                    </w:pPr>
                    <w:r w:rsidRPr="00E04FAA">
                      <w:t xml:space="preserve">708,585,869 </w:t>
                    </w:r>
                  </w:p>
                </w:tc>
                <w:sdt>
                  <w:sdtPr>
                    <w:rPr>
                      <w:bCs/>
                      <w:szCs w:val="21"/>
                    </w:rPr>
                    <w:alias w:val="前十名无限售条件股东期末持有流通股的种类"/>
                    <w:tag w:val="_GBC_5d0d3dfc3b8545ce906ab8a21728fb94"/>
                    <w:id w:val="-197727997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440" w:type="dxa"/>
                        <w:gridSpan w:val="2"/>
                        <w:shd w:val="clear" w:color="auto" w:fill="auto"/>
                        <w:vAlign w:val="center"/>
                      </w:tcPr>
                      <w:p w:rsidR="001523DC" w:rsidRPr="00E04FAA" w:rsidRDefault="001523DC" w:rsidP="000F02D6">
                        <w:pPr>
                          <w:jc w:val="center"/>
                          <w:rPr>
                            <w:bCs/>
                            <w:szCs w:val="21"/>
                          </w:rPr>
                        </w:pPr>
                        <w:r w:rsidRPr="00E04FAA">
                          <w:rPr>
                            <w:bCs/>
                            <w:szCs w:val="21"/>
                          </w:rPr>
                          <w:t>人民币普通股</w:t>
                        </w:r>
                      </w:p>
                    </w:tc>
                  </w:sdtContent>
                </w:sdt>
                <w:tc>
                  <w:tcPr>
                    <w:tcW w:w="1686" w:type="dxa"/>
                    <w:gridSpan w:val="2"/>
                    <w:shd w:val="clear" w:color="auto" w:fill="auto"/>
                  </w:tcPr>
                  <w:p w:rsidR="001523DC" w:rsidRPr="00E04FAA" w:rsidRDefault="001523DC" w:rsidP="000F02D6">
                    <w:pPr>
                      <w:jc w:val="right"/>
                      <w:rPr>
                        <w:szCs w:val="21"/>
                      </w:rPr>
                    </w:pPr>
                    <w:r w:rsidRPr="00E04FAA">
                      <w:t>708,585,869</w:t>
                    </w:r>
                  </w:p>
                </w:tc>
              </w:tr>
            </w:sdtContent>
          </w:sdt>
          <w:sdt>
            <w:sdtPr>
              <w:rPr>
                <w:szCs w:val="21"/>
              </w:rPr>
              <w:alias w:val="前十名无限售条件股东持股情况"/>
              <w:tag w:val="_GBC_d4835fea183942b8823bf8913d1f2f26"/>
              <w:id w:val="1514718533"/>
              <w:lock w:val="sdtLocked"/>
              <w:placeholder>
                <w:docPart w:val="69DF9299F27B4F29ACDF66984F2615B0"/>
              </w:placeholder>
            </w:sdtPr>
            <w:sdtContent>
              <w:tr w:rsidR="001523DC" w:rsidRPr="00E04FAA" w:rsidTr="00B456C1">
                <w:trPr>
                  <w:cantSplit/>
                </w:trPr>
                <w:tc>
                  <w:tcPr>
                    <w:tcW w:w="2689" w:type="dxa"/>
                    <w:gridSpan w:val="2"/>
                    <w:shd w:val="clear" w:color="auto" w:fill="auto"/>
                  </w:tcPr>
                  <w:p w:rsidR="001523DC" w:rsidRPr="00E04FAA" w:rsidRDefault="001523DC" w:rsidP="000F02D6">
                    <w:pPr>
                      <w:rPr>
                        <w:szCs w:val="21"/>
                      </w:rPr>
                    </w:pPr>
                    <w:r w:rsidRPr="00E04FAA">
                      <w:rPr>
                        <w:rFonts w:hint="eastAsia"/>
                        <w:szCs w:val="21"/>
                      </w:rPr>
                      <w:t>上海用友科技咨询有限公司</w:t>
                    </w:r>
                  </w:p>
                </w:tc>
                <w:tc>
                  <w:tcPr>
                    <w:tcW w:w="3008" w:type="dxa"/>
                    <w:gridSpan w:val="3"/>
                    <w:shd w:val="clear" w:color="auto" w:fill="auto"/>
                  </w:tcPr>
                  <w:p w:rsidR="001523DC" w:rsidRPr="00E04FAA" w:rsidRDefault="001523DC" w:rsidP="00B456C1">
                    <w:pPr>
                      <w:jc w:val="right"/>
                    </w:pPr>
                    <w:r w:rsidRPr="00E04FAA">
                      <w:t xml:space="preserve">301,591,750 </w:t>
                    </w:r>
                  </w:p>
                </w:tc>
                <w:sdt>
                  <w:sdtPr>
                    <w:rPr>
                      <w:bCs/>
                      <w:szCs w:val="21"/>
                    </w:rPr>
                    <w:alias w:val="前十名无限售条件股东期末持有流通股的种类"/>
                    <w:tag w:val="_GBC_5d0d3dfc3b8545ce906ab8a21728fb94"/>
                    <w:id w:val="104363375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440" w:type="dxa"/>
                        <w:gridSpan w:val="2"/>
                        <w:shd w:val="clear" w:color="auto" w:fill="auto"/>
                        <w:vAlign w:val="center"/>
                      </w:tcPr>
                      <w:p w:rsidR="001523DC" w:rsidRPr="00E04FAA" w:rsidRDefault="001523DC" w:rsidP="000F02D6">
                        <w:pPr>
                          <w:jc w:val="center"/>
                          <w:rPr>
                            <w:bCs/>
                            <w:szCs w:val="21"/>
                          </w:rPr>
                        </w:pPr>
                        <w:r w:rsidRPr="00E04FAA">
                          <w:rPr>
                            <w:bCs/>
                            <w:szCs w:val="21"/>
                          </w:rPr>
                          <w:t>人民币普通股</w:t>
                        </w:r>
                      </w:p>
                    </w:tc>
                  </w:sdtContent>
                </w:sdt>
                <w:tc>
                  <w:tcPr>
                    <w:tcW w:w="1686" w:type="dxa"/>
                    <w:gridSpan w:val="2"/>
                    <w:shd w:val="clear" w:color="auto" w:fill="auto"/>
                  </w:tcPr>
                  <w:p w:rsidR="001523DC" w:rsidRPr="00E04FAA" w:rsidRDefault="001523DC" w:rsidP="000F02D6">
                    <w:pPr>
                      <w:jc w:val="right"/>
                      <w:rPr>
                        <w:szCs w:val="21"/>
                      </w:rPr>
                    </w:pPr>
                    <w:r w:rsidRPr="00E04FAA">
                      <w:t>301,591,750</w:t>
                    </w:r>
                  </w:p>
                </w:tc>
              </w:tr>
            </w:sdtContent>
          </w:sdt>
          <w:sdt>
            <w:sdtPr>
              <w:rPr>
                <w:szCs w:val="21"/>
              </w:rPr>
              <w:alias w:val="前十名无限售条件股东持股情况"/>
              <w:tag w:val="_GBC_d4835fea183942b8823bf8913d1f2f26"/>
              <w:id w:val="-1914078187"/>
              <w:lock w:val="sdtLocked"/>
              <w:placeholder>
                <w:docPart w:val="69DF9299F27B4F29ACDF66984F2615B0"/>
              </w:placeholder>
            </w:sdtPr>
            <w:sdtContent>
              <w:tr w:rsidR="001523DC" w:rsidRPr="00E04FAA" w:rsidTr="00B456C1">
                <w:trPr>
                  <w:cantSplit/>
                </w:trPr>
                <w:tc>
                  <w:tcPr>
                    <w:tcW w:w="2689" w:type="dxa"/>
                    <w:gridSpan w:val="2"/>
                    <w:shd w:val="clear" w:color="auto" w:fill="auto"/>
                  </w:tcPr>
                  <w:p w:rsidR="001523DC" w:rsidRPr="00E04FAA" w:rsidRDefault="001523DC" w:rsidP="000F02D6">
                    <w:pPr>
                      <w:rPr>
                        <w:szCs w:val="21"/>
                      </w:rPr>
                    </w:pPr>
                    <w:r w:rsidRPr="00E04FAA">
                      <w:rPr>
                        <w:rFonts w:hint="eastAsia"/>
                        <w:szCs w:val="21"/>
                      </w:rPr>
                      <w:t>上海益倍管理咨询有限公司</w:t>
                    </w:r>
                    <w:r w:rsidRPr="00E04FAA">
                      <w:rPr>
                        <w:szCs w:val="21"/>
                      </w:rPr>
                      <w:t xml:space="preserve">  </w:t>
                    </w:r>
                  </w:p>
                </w:tc>
                <w:tc>
                  <w:tcPr>
                    <w:tcW w:w="3008" w:type="dxa"/>
                    <w:gridSpan w:val="3"/>
                    <w:shd w:val="clear" w:color="auto" w:fill="auto"/>
                  </w:tcPr>
                  <w:p w:rsidR="001523DC" w:rsidRPr="00E04FAA" w:rsidRDefault="001523DC" w:rsidP="00B456C1">
                    <w:pPr>
                      <w:jc w:val="right"/>
                    </w:pPr>
                    <w:r w:rsidRPr="00E04FAA">
                      <w:t xml:space="preserve">105,074,089 </w:t>
                    </w:r>
                  </w:p>
                </w:tc>
                <w:sdt>
                  <w:sdtPr>
                    <w:rPr>
                      <w:bCs/>
                      <w:szCs w:val="21"/>
                    </w:rPr>
                    <w:alias w:val="前十名无限售条件股东期末持有流通股的种类"/>
                    <w:tag w:val="_GBC_5d0d3dfc3b8545ce906ab8a21728fb94"/>
                    <w:id w:val="134281588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440" w:type="dxa"/>
                        <w:gridSpan w:val="2"/>
                        <w:shd w:val="clear" w:color="auto" w:fill="auto"/>
                        <w:vAlign w:val="center"/>
                      </w:tcPr>
                      <w:p w:rsidR="001523DC" w:rsidRPr="00E04FAA" w:rsidRDefault="001523DC" w:rsidP="000F02D6">
                        <w:pPr>
                          <w:jc w:val="center"/>
                          <w:rPr>
                            <w:bCs/>
                            <w:szCs w:val="21"/>
                          </w:rPr>
                        </w:pPr>
                        <w:r w:rsidRPr="00E04FAA">
                          <w:rPr>
                            <w:bCs/>
                            <w:szCs w:val="21"/>
                          </w:rPr>
                          <w:t>人民币普通股</w:t>
                        </w:r>
                      </w:p>
                    </w:tc>
                  </w:sdtContent>
                </w:sdt>
                <w:tc>
                  <w:tcPr>
                    <w:tcW w:w="1686" w:type="dxa"/>
                    <w:gridSpan w:val="2"/>
                    <w:shd w:val="clear" w:color="auto" w:fill="auto"/>
                  </w:tcPr>
                  <w:p w:rsidR="001523DC" w:rsidRPr="00E04FAA" w:rsidRDefault="001523DC" w:rsidP="000F02D6">
                    <w:pPr>
                      <w:jc w:val="right"/>
                      <w:rPr>
                        <w:szCs w:val="21"/>
                      </w:rPr>
                    </w:pPr>
                    <w:r w:rsidRPr="00E04FAA">
                      <w:t>105,074,089</w:t>
                    </w:r>
                  </w:p>
                </w:tc>
              </w:tr>
            </w:sdtContent>
          </w:sdt>
          <w:sdt>
            <w:sdtPr>
              <w:rPr>
                <w:szCs w:val="21"/>
              </w:rPr>
              <w:alias w:val="前十名无限售条件股东持股情况"/>
              <w:tag w:val="_GBC_d4835fea183942b8823bf8913d1f2f26"/>
              <w:id w:val="-18784791"/>
              <w:lock w:val="sdtLocked"/>
              <w:placeholder>
                <w:docPart w:val="69DF9299F27B4F29ACDF66984F2615B0"/>
              </w:placeholder>
            </w:sdtPr>
            <w:sdtContent>
              <w:tr w:rsidR="001523DC" w:rsidRPr="00E04FAA" w:rsidTr="00B456C1">
                <w:trPr>
                  <w:cantSplit/>
                </w:trPr>
                <w:tc>
                  <w:tcPr>
                    <w:tcW w:w="2689" w:type="dxa"/>
                    <w:gridSpan w:val="2"/>
                    <w:shd w:val="clear" w:color="auto" w:fill="auto"/>
                  </w:tcPr>
                  <w:p w:rsidR="001523DC" w:rsidRPr="00E04FAA" w:rsidRDefault="001523DC" w:rsidP="000F02D6">
                    <w:pPr>
                      <w:rPr>
                        <w:szCs w:val="21"/>
                      </w:rPr>
                    </w:pPr>
                    <w:r w:rsidRPr="00E04FAA">
                      <w:rPr>
                        <w:rFonts w:hint="eastAsia"/>
                        <w:color w:val="000000"/>
                      </w:rPr>
                      <w:t>北京用友企业管理研究所有限公司</w:t>
                    </w:r>
                  </w:p>
                </w:tc>
                <w:tc>
                  <w:tcPr>
                    <w:tcW w:w="3008" w:type="dxa"/>
                    <w:gridSpan w:val="3"/>
                    <w:shd w:val="clear" w:color="auto" w:fill="auto"/>
                  </w:tcPr>
                  <w:p w:rsidR="001523DC" w:rsidRPr="00E04FAA" w:rsidRDefault="001523DC" w:rsidP="00B456C1">
                    <w:pPr>
                      <w:jc w:val="right"/>
                    </w:pPr>
                    <w:r w:rsidRPr="00E04FAA">
                      <w:t xml:space="preserve">98,954,620 </w:t>
                    </w:r>
                  </w:p>
                </w:tc>
                <w:sdt>
                  <w:sdtPr>
                    <w:rPr>
                      <w:bCs/>
                      <w:szCs w:val="21"/>
                    </w:rPr>
                    <w:alias w:val="前十名无限售条件股东期末持有流通股的种类"/>
                    <w:tag w:val="_GBC_5d0d3dfc3b8545ce906ab8a21728fb94"/>
                    <w:id w:val="-207125895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440" w:type="dxa"/>
                        <w:gridSpan w:val="2"/>
                        <w:shd w:val="clear" w:color="auto" w:fill="auto"/>
                        <w:vAlign w:val="center"/>
                      </w:tcPr>
                      <w:p w:rsidR="001523DC" w:rsidRPr="00E04FAA" w:rsidRDefault="001523DC" w:rsidP="000F02D6">
                        <w:pPr>
                          <w:jc w:val="center"/>
                          <w:rPr>
                            <w:bCs/>
                            <w:szCs w:val="21"/>
                          </w:rPr>
                        </w:pPr>
                        <w:r w:rsidRPr="00E04FAA">
                          <w:rPr>
                            <w:bCs/>
                            <w:szCs w:val="21"/>
                          </w:rPr>
                          <w:t>人民币普通股</w:t>
                        </w:r>
                      </w:p>
                    </w:tc>
                  </w:sdtContent>
                </w:sdt>
                <w:tc>
                  <w:tcPr>
                    <w:tcW w:w="1686" w:type="dxa"/>
                    <w:gridSpan w:val="2"/>
                    <w:shd w:val="clear" w:color="auto" w:fill="auto"/>
                  </w:tcPr>
                  <w:p w:rsidR="001523DC" w:rsidRPr="00E04FAA" w:rsidRDefault="001523DC" w:rsidP="000F02D6">
                    <w:pPr>
                      <w:jc w:val="right"/>
                      <w:rPr>
                        <w:szCs w:val="21"/>
                      </w:rPr>
                    </w:pPr>
                    <w:r w:rsidRPr="00E04FAA">
                      <w:t>98,954,620</w:t>
                    </w:r>
                  </w:p>
                </w:tc>
              </w:tr>
            </w:sdtContent>
          </w:sdt>
          <w:sdt>
            <w:sdtPr>
              <w:rPr>
                <w:szCs w:val="21"/>
              </w:rPr>
              <w:alias w:val="前十名无限售条件股东持股情况"/>
              <w:tag w:val="_GBC_d4835fea183942b8823bf8913d1f2f26"/>
              <w:id w:val="-94791317"/>
              <w:lock w:val="sdtLocked"/>
              <w:placeholder>
                <w:docPart w:val="69DF9299F27B4F29ACDF66984F2615B0"/>
              </w:placeholder>
            </w:sdtPr>
            <w:sdtContent>
              <w:tr w:rsidR="001523DC" w:rsidRPr="00E04FAA" w:rsidTr="00B456C1">
                <w:trPr>
                  <w:cantSplit/>
                </w:trPr>
                <w:tc>
                  <w:tcPr>
                    <w:tcW w:w="2689" w:type="dxa"/>
                    <w:gridSpan w:val="2"/>
                    <w:shd w:val="clear" w:color="auto" w:fill="auto"/>
                  </w:tcPr>
                  <w:p w:rsidR="001523DC" w:rsidRPr="00E04FAA" w:rsidRDefault="001523DC" w:rsidP="000F02D6">
                    <w:pPr>
                      <w:rPr>
                        <w:szCs w:val="21"/>
                      </w:rPr>
                    </w:pPr>
                    <w:r w:rsidRPr="00E04FAA">
                      <w:rPr>
                        <w:rFonts w:hint="eastAsia"/>
                        <w:szCs w:val="21"/>
                      </w:rPr>
                      <w:t>葛卫东</w:t>
                    </w:r>
                  </w:p>
                </w:tc>
                <w:tc>
                  <w:tcPr>
                    <w:tcW w:w="3008" w:type="dxa"/>
                    <w:gridSpan w:val="3"/>
                    <w:shd w:val="clear" w:color="auto" w:fill="auto"/>
                  </w:tcPr>
                  <w:p w:rsidR="001523DC" w:rsidRPr="00E04FAA" w:rsidRDefault="001523DC" w:rsidP="00B456C1">
                    <w:pPr>
                      <w:jc w:val="right"/>
                    </w:pPr>
                    <w:r w:rsidRPr="00E04FAA">
                      <w:t xml:space="preserve">92,690,000 </w:t>
                    </w:r>
                  </w:p>
                </w:tc>
                <w:sdt>
                  <w:sdtPr>
                    <w:rPr>
                      <w:bCs/>
                      <w:szCs w:val="21"/>
                    </w:rPr>
                    <w:alias w:val="前十名无限售条件股东期末持有流通股的种类"/>
                    <w:tag w:val="_GBC_5d0d3dfc3b8545ce906ab8a21728fb94"/>
                    <w:id w:val="14085471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440" w:type="dxa"/>
                        <w:gridSpan w:val="2"/>
                        <w:shd w:val="clear" w:color="auto" w:fill="auto"/>
                        <w:vAlign w:val="center"/>
                      </w:tcPr>
                      <w:p w:rsidR="001523DC" w:rsidRPr="00E04FAA" w:rsidRDefault="001523DC" w:rsidP="000F02D6">
                        <w:pPr>
                          <w:jc w:val="center"/>
                          <w:rPr>
                            <w:bCs/>
                            <w:szCs w:val="21"/>
                          </w:rPr>
                        </w:pPr>
                        <w:r w:rsidRPr="00E04FAA">
                          <w:rPr>
                            <w:bCs/>
                            <w:szCs w:val="21"/>
                          </w:rPr>
                          <w:t>人民币普通股</w:t>
                        </w:r>
                      </w:p>
                    </w:tc>
                  </w:sdtContent>
                </w:sdt>
                <w:tc>
                  <w:tcPr>
                    <w:tcW w:w="1686" w:type="dxa"/>
                    <w:gridSpan w:val="2"/>
                    <w:shd w:val="clear" w:color="auto" w:fill="auto"/>
                  </w:tcPr>
                  <w:p w:rsidR="001523DC" w:rsidRPr="00E04FAA" w:rsidRDefault="001523DC" w:rsidP="000F02D6">
                    <w:pPr>
                      <w:jc w:val="right"/>
                      <w:rPr>
                        <w:szCs w:val="21"/>
                      </w:rPr>
                    </w:pPr>
                    <w:r w:rsidRPr="00E04FAA">
                      <w:t>92,690,000</w:t>
                    </w:r>
                  </w:p>
                </w:tc>
              </w:tr>
            </w:sdtContent>
          </w:sdt>
          <w:sdt>
            <w:sdtPr>
              <w:rPr>
                <w:szCs w:val="21"/>
              </w:rPr>
              <w:alias w:val="前十名无限售条件股东持股情况"/>
              <w:tag w:val="_GBC_d4835fea183942b8823bf8913d1f2f26"/>
              <w:id w:val="-1873454556"/>
              <w:lock w:val="sdtLocked"/>
              <w:placeholder>
                <w:docPart w:val="69DF9299F27B4F29ACDF66984F2615B0"/>
              </w:placeholder>
            </w:sdtPr>
            <w:sdtContent>
              <w:tr w:rsidR="001523DC" w:rsidRPr="00E04FAA" w:rsidTr="00B456C1">
                <w:trPr>
                  <w:cantSplit/>
                </w:trPr>
                <w:tc>
                  <w:tcPr>
                    <w:tcW w:w="2689" w:type="dxa"/>
                    <w:gridSpan w:val="2"/>
                    <w:shd w:val="clear" w:color="auto" w:fill="auto"/>
                  </w:tcPr>
                  <w:p w:rsidR="001523DC" w:rsidRPr="00E04FAA" w:rsidRDefault="001523DC" w:rsidP="000F02D6">
                    <w:pPr>
                      <w:rPr>
                        <w:szCs w:val="21"/>
                      </w:rPr>
                    </w:pPr>
                    <w:r w:rsidRPr="00E04FAA">
                      <w:rPr>
                        <w:rFonts w:hint="eastAsia"/>
                        <w:szCs w:val="21"/>
                      </w:rPr>
                      <w:t>共青城优富投资管理合伙企业（有限合伙）</w:t>
                    </w:r>
                    <w:r w:rsidRPr="00E04FAA">
                      <w:rPr>
                        <w:szCs w:val="21"/>
                      </w:rPr>
                      <w:t xml:space="preserve">  </w:t>
                    </w:r>
                  </w:p>
                </w:tc>
                <w:tc>
                  <w:tcPr>
                    <w:tcW w:w="3008" w:type="dxa"/>
                    <w:gridSpan w:val="3"/>
                    <w:shd w:val="clear" w:color="auto" w:fill="auto"/>
                  </w:tcPr>
                  <w:p w:rsidR="001523DC" w:rsidRPr="00E04FAA" w:rsidRDefault="001523DC" w:rsidP="00B456C1">
                    <w:pPr>
                      <w:jc w:val="right"/>
                    </w:pPr>
                    <w:r w:rsidRPr="00E04FAA">
                      <w:t xml:space="preserve">64,458,000 </w:t>
                    </w:r>
                  </w:p>
                </w:tc>
                <w:sdt>
                  <w:sdtPr>
                    <w:rPr>
                      <w:bCs/>
                      <w:szCs w:val="21"/>
                    </w:rPr>
                    <w:alias w:val="前十名无限售条件股东期末持有流通股的种类"/>
                    <w:tag w:val="_GBC_5d0d3dfc3b8545ce906ab8a21728fb94"/>
                    <w:id w:val="-13325590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440" w:type="dxa"/>
                        <w:gridSpan w:val="2"/>
                        <w:shd w:val="clear" w:color="auto" w:fill="auto"/>
                        <w:vAlign w:val="center"/>
                      </w:tcPr>
                      <w:p w:rsidR="001523DC" w:rsidRPr="00E04FAA" w:rsidRDefault="001523DC" w:rsidP="000F02D6">
                        <w:pPr>
                          <w:jc w:val="center"/>
                          <w:rPr>
                            <w:bCs/>
                            <w:szCs w:val="21"/>
                          </w:rPr>
                        </w:pPr>
                        <w:r w:rsidRPr="00E04FAA">
                          <w:rPr>
                            <w:bCs/>
                            <w:szCs w:val="21"/>
                          </w:rPr>
                          <w:t>人民币普通股</w:t>
                        </w:r>
                      </w:p>
                    </w:tc>
                  </w:sdtContent>
                </w:sdt>
                <w:tc>
                  <w:tcPr>
                    <w:tcW w:w="1686" w:type="dxa"/>
                    <w:gridSpan w:val="2"/>
                    <w:shd w:val="clear" w:color="auto" w:fill="auto"/>
                  </w:tcPr>
                  <w:p w:rsidR="001523DC" w:rsidRPr="00E04FAA" w:rsidRDefault="001523DC" w:rsidP="000F02D6">
                    <w:pPr>
                      <w:jc w:val="right"/>
                      <w:rPr>
                        <w:szCs w:val="21"/>
                      </w:rPr>
                    </w:pPr>
                    <w:r w:rsidRPr="00E04FAA">
                      <w:t>64,458,000</w:t>
                    </w:r>
                  </w:p>
                </w:tc>
              </w:tr>
            </w:sdtContent>
          </w:sdt>
          <w:sdt>
            <w:sdtPr>
              <w:rPr>
                <w:szCs w:val="21"/>
              </w:rPr>
              <w:alias w:val="前十名无限售条件股东持股情况"/>
              <w:tag w:val="_GBC_d4835fea183942b8823bf8913d1f2f26"/>
              <w:id w:val="513741083"/>
              <w:lock w:val="sdtLocked"/>
              <w:placeholder>
                <w:docPart w:val="69DF9299F27B4F29ACDF66984F2615B0"/>
              </w:placeholder>
            </w:sdtPr>
            <w:sdtContent>
              <w:tr w:rsidR="001523DC" w:rsidRPr="00E04FAA" w:rsidTr="00B456C1">
                <w:trPr>
                  <w:cantSplit/>
                </w:trPr>
                <w:tc>
                  <w:tcPr>
                    <w:tcW w:w="2689" w:type="dxa"/>
                    <w:gridSpan w:val="2"/>
                    <w:shd w:val="clear" w:color="auto" w:fill="auto"/>
                  </w:tcPr>
                  <w:p w:rsidR="001523DC" w:rsidRPr="00E04FAA" w:rsidRDefault="001523DC" w:rsidP="000F02D6">
                    <w:pPr>
                      <w:rPr>
                        <w:szCs w:val="21"/>
                      </w:rPr>
                    </w:pPr>
                    <w:r w:rsidRPr="00E04FAA">
                      <w:rPr>
                        <w:rFonts w:hint="eastAsia"/>
                        <w:szCs w:val="21"/>
                      </w:rPr>
                      <w:t>中国证券金融股份有限公司</w:t>
                    </w:r>
                  </w:p>
                </w:tc>
                <w:tc>
                  <w:tcPr>
                    <w:tcW w:w="3008" w:type="dxa"/>
                    <w:gridSpan w:val="3"/>
                    <w:shd w:val="clear" w:color="auto" w:fill="auto"/>
                  </w:tcPr>
                  <w:p w:rsidR="001523DC" w:rsidRPr="00E04FAA" w:rsidRDefault="001523DC" w:rsidP="00B456C1">
                    <w:pPr>
                      <w:jc w:val="right"/>
                    </w:pPr>
                    <w:r w:rsidRPr="00E04FAA">
                      <w:t xml:space="preserve">47,145,368 </w:t>
                    </w:r>
                  </w:p>
                </w:tc>
                <w:sdt>
                  <w:sdtPr>
                    <w:rPr>
                      <w:bCs/>
                      <w:szCs w:val="21"/>
                    </w:rPr>
                    <w:alias w:val="前十名无限售条件股东期末持有流通股的种类"/>
                    <w:tag w:val="_GBC_5d0d3dfc3b8545ce906ab8a21728fb94"/>
                    <w:id w:val="178684952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440" w:type="dxa"/>
                        <w:gridSpan w:val="2"/>
                        <w:shd w:val="clear" w:color="auto" w:fill="auto"/>
                        <w:vAlign w:val="center"/>
                      </w:tcPr>
                      <w:p w:rsidR="001523DC" w:rsidRPr="00E04FAA" w:rsidRDefault="001523DC" w:rsidP="000F02D6">
                        <w:pPr>
                          <w:jc w:val="center"/>
                          <w:rPr>
                            <w:bCs/>
                            <w:szCs w:val="21"/>
                          </w:rPr>
                        </w:pPr>
                        <w:r w:rsidRPr="00E04FAA">
                          <w:rPr>
                            <w:bCs/>
                            <w:szCs w:val="21"/>
                          </w:rPr>
                          <w:t>人民币普通股</w:t>
                        </w:r>
                      </w:p>
                    </w:tc>
                  </w:sdtContent>
                </w:sdt>
                <w:tc>
                  <w:tcPr>
                    <w:tcW w:w="1686" w:type="dxa"/>
                    <w:gridSpan w:val="2"/>
                    <w:shd w:val="clear" w:color="auto" w:fill="auto"/>
                  </w:tcPr>
                  <w:p w:rsidR="001523DC" w:rsidRPr="00E04FAA" w:rsidRDefault="001523DC" w:rsidP="000F02D6">
                    <w:pPr>
                      <w:jc w:val="right"/>
                      <w:rPr>
                        <w:szCs w:val="21"/>
                      </w:rPr>
                    </w:pPr>
                    <w:r w:rsidRPr="00E04FAA">
                      <w:t>47,145,368</w:t>
                    </w:r>
                  </w:p>
                </w:tc>
              </w:tr>
            </w:sdtContent>
          </w:sdt>
          <w:sdt>
            <w:sdtPr>
              <w:rPr>
                <w:szCs w:val="21"/>
              </w:rPr>
              <w:alias w:val="前十名无限售条件股东持股情况"/>
              <w:tag w:val="_GBC_d4835fea183942b8823bf8913d1f2f26"/>
              <w:id w:val="-565578733"/>
              <w:lock w:val="sdtLocked"/>
              <w:placeholder>
                <w:docPart w:val="69DF9299F27B4F29ACDF66984F2615B0"/>
              </w:placeholder>
            </w:sdtPr>
            <w:sdtContent>
              <w:tr w:rsidR="001523DC" w:rsidRPr="00E04FAA" w:rsidTr="00B456C1">
                <w:trPr>
                  <w:cantSplit/>
                </w:trPr>
                <w:tc>
                  <w:tcPr>
                    <w:tcW w:w="2689" w:type="dxa"/>
                    <w:gridSpan w:val="2"/>
                    <w:shd w:val="clear" w:color="auto" w:fill="auto"/>
                  </w:tcPr>
                  <w:p w:rsidR="001523DC" w:rsidRPr="00E04FAA" w:rsidRDefault="001523DC" w:rsidP="000F02D6">
                    <w:pPr>
                      <w:rPr>
                        <w:szCs w:val="21"/>
                      </w:rPr>
                    </w:pPr>
                    <w:r w:rsidRPr="00E04FAA">
                      <w:rPr>
                        <w:rFonts w:hint="eastAsia"/>
                        <w:szCs w:val="21"/>
                      </w:rPr>
                      <w:t>香港中央结算有限公司</w:t>
                    </w:r>
                  </w:p>
                </w:tc>
                <w:tc>
                  <w:tcPr>
                    <w:tcW w:w="3008" w:type="dxa"/>
                    <w:gridSpan w:val="3"/>
                    <w:shd w:val="clear" w:color="auto" w:fill="auto"/>
                  </w:tcPr>
                  <w:p w:rsidR="001523DC" w:rsidRPr="00E04FAA" w:rsidRDefault="001523DC" w:rsidP="00B456C1">
                    <w:pPr>
                      <w:jc w:val="right"/>
                    </w:pPr>
                    <w:r w:rsidRPr="00E04FAA">
                      <w:t xml:space="preserve">45,419,721 </w:t>
                    </w:r>
                  </w:p>
                </w:tc>
                <w:sdt>
                  <w:sdtPr>
                    <w:rPr>
                      <w:bCs/>
                      <w:szCs w:val="21"/>
                    </w:rPr>
                    <w:alias w:val="前十名无限售条件股东期末持有流通股的种类"/>
                    <w:tag w:val="_GBC_5d0d3dfc3b8545ce906ab8a21728fb94"/>
                    <w:id w:val="214229305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440" w:type="dxa"/>
                        <w:gridSpan w:val="2"/>
                        <w:shd w:val="clear" w:color="auto" w:fill="auto"/>
                        <w:vAlign w:val="center"/>
                      </w:tcPr>
                      <w:p w:rsidR="001523DC" w:rsidRPr="00E04FAA" w:rsidRDefault="001523DC" w:rsidP="000F02D6">
                        <w:pPr>
                          <w:jc w:val="center"/>
                          <w:rPr>
                            <w:bCs/>
                            <w:szCs w:val="21"/>
                          </w:rPr>
                        </w:pPr>
                        <w:r w:rsidRPr="00E04FAA">
                          <w:rPr>
                            <w:bCs/>
                            <w:szCs w:val="21"/>
                          </w:rPr>
                          <w:t>人民币普通股</w:t>
                        </w:r>
                      </w:p>
                    </w:tc>
                  </w:sdtContent>
                </w:sdt>
                <w:tc>
                  <w:tcPr>
                    <w:tcW w:w="1686" w:type="dxa"/>
                    <w:gridSpan w:val="2"/>
                    <w:shd w:val="clear" w:color="auto" w:fill="auto"/>
                  </w:tcPr>
                  <w:p w:rsidR="001523DC" w:rsidRPr="00E04FAA" w:rsidRDefault="001523DC" w:rsidP="000F02D6">
                    <w:pPr>
                      <w:jc w:val="right"/>
                      <w:rPr>
                        <w:szCs w:val="21"/>
                      </w:rPr>
                    </w:pPr>
                    <w:r w:rsidRPr="00E04FAA">
                      <w:t>45,419,721</w:t>
                    </w:r>
                  </w:p>
                </w:tc>
              </w:tr>
            </w:sdtContent>
          </w:sdt>
          <w:sdt>
            <w:sdtPr>
              <w:rPr>
                <w:szCs w:val="21"/>
              </w:rPr>
              <w:alias w:val="前十名无限售条件股东持股情况"/>
              <w:tag w:val="_GBC_d4835fea183942b8823bf8913d1f2f26"/>
              <w:id w:val="1902402572"/>
              <w:lock w:val="sdtLocked"/>
              <w:placeholder>
                <w:docPart w:val="69DF9299F27B4F29ACDF66984F2615B0"/>
              </w:placeholder>
            </w:sdtPr>
            <w:sdtContent>
              <w:tr w:rsidR="001523DC" w:rsidRPr="00E04FAA" w:rsidTr="00B456C1">
                <w:trPr>
                  <w:cantSplit/>
                </w:trPr>
                <w:tc>
                  <w:tcPr>
                    <w:tcW w:w="2689" w:type="dxa"/>
                    <w:gridSpan w:val="2"/>
                    <w:shd w:val="clear" w:color="auto" w:fill="auto"/>
                  </w:tcPr>
                  <w:p w:rsidR="001523DC" w:rsidRPr="00E04FAA" w:rsidRDefault="001523DC" w:rsidP="000F02D6">
                    <w:pPr>
                      <w:rPr>
                        <w:szCs w:val="21"/>
                      </w:rPr>
                    </w:pPr>
                    <w:r w:rsidRPr="00E04FAA">
                      <w:rPr>
                        <w:rFonts w:hint="eastAsia"/>
                        <w:szCs w:val="21"/>
                      </w:rPr>
                      <w:t>于桂珍</w:t>
                    </w:r>
                  </w:p>
                </w:tc>
                <w:tc>
                  <w:tcPr>
                    <w:tcW w:w="3008" w:type="dxa"/>
                    <w:gridSpan w:val="3"/>
                    <w:shd w:val="clear" w:color="auto" w:fill="auto"/>
                  </w:tcPr>
                  <w:p w:rsidR="001523DC" w:rsidRPr="00E04FAA" w:rsidRDefault="001523DC" w:rsidP="00B456C1">
                    <w:pPr>
                      <w:jc w:val="right"/>
                    </w:pPr>
                    <w:r w:rsidRPr="00E04FAA">
                      <w:t xml:space="preserve">29,915,145 </w:t>
                    </w:r>
                  </w:p>
                </w:tc>
                <w:sdt>
                  <w:sdtPr>
                    <w:rPr>
                      <w:bCs/>
                      <w:szCs w:val="21"/>
                    </w:rPr>
                    <w:alias w:val="前十名无限售条件股东期末持有流通股的种类"/>
                    <w:tag w:val="_GBC_5d0d3dfc3b8545ce906ab8a21728fb94"/>
                    <w:id w:val="-52254907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440" w:type="dxa"/>
                        <w:gridSpan w:val="2"/>
                        <w:shd w:val="clear" w:color="auto" w:fill="auto"/>
                        <w:vAlign w:val="center"/>
                      </w:tcPr>
                      <w:p w:rsidR="001523DC" w:rsidRPr="00E04FAA" w:rsidRDefault="001523DC" w:rsidP="000F02D6">
                        <w:pPr>
                          <w:jc w:val="center"/>
                          <w:rPr>
                            <w:bCs/>
                            <w:szCs w:val="21"/>
                          </w:rPr>
                        </w:pPr>
                        <w:r w:rsidRPr="00E04FAA">
                          <w:rPr>
                            <w:bCs/>
                            <w:szCs w:val="21"/>
                          </w:rPr>
                          <w:t>人民币普通股</w:t>
                        </w:r>
                      </w:p>
                    </w:tc>
                  </w:sdtContent>
                </w:sdt>
                <w:tc>
                  <w:tcPr>
                    <w:tcW w:w="1686" w:type="dxa"/>
                    <w:gridSpan w:val="2"/>
                    <w:shd w:val="clear" w:color="auto" w:fill="auto"/>
                  </w:tcPr>
                  <w:p w:rsidR="001523DC" w:rsidRPr="00E04FAA" w:rsidRDefault="001523DC" w:rsidP="000F02D6">
                    <w:pPr>
                      <w:jc w:val="right"/>
                      <w:rPr>
                        <w:szCs w:val="21"/>
                      </w:rPr>
                    </w:pPr>
                    <w:r w:rsidRPr="00E04FAA">
                      <w:t>29,915,145</w:t>
                    </w:r>
                  </w:p>
                </w:tc>
              </w:tr>
            </w:sdtContent>
          </w:sdt>
          <w:sdt>
            <w:sdtPr>
              <w:rPr>
                <w:szCs w:val="21"/>
              </w:rPr>
              <w:alias w:val="前十名无限售条件股东持股情况"/>
              <w:tag w:val="_GBC_d4835fea183942b8823bf8913d1f2f26"/>
              <w:id w:val="-1318876596"/>
              <w:lock w:val="sdtLocked"/>
              <w:placeholder>
                <w:docPart w:val="69DF9299F27B4F29ACDF66984F2615B0"/>
              </w:placeholder>
            </w:sdtPr>
            <w:sdtContent>
              <w:tr w:rsidR="001523DC" w:rsidRPr="00E04FAA" w:rsidTr="00B456C1">
                <w:trPr>
                  <w:cantSplit/>
                </w:trPr>
                <w:tc>
                  <w:tcPr>
                    <w:tcW w:w="2689" w:type="dxa"/>
                    <w:gridSpan w:val="2"/>
                    <w:shd w:val="clear" w:color="auto" w:fill="auto"/>
                  </w:tcPr>
                  <w:p w:rsidR="001523DC" w:rsidRPr="00E04FAA" w:rsidRDefault="001523DC" w:rsidP="000F02D6">
                    <w:pPr>
                      <w:rPr>
                        <w:szCs w:val="21"/>
                      </w:rPr>
                    </w:pPr>
                    <w:r w:rsidRPr="00E04FAA">
                      <w:rPr>
                        <w:rFonts w:hint="eastAsia"/>
                        <w:szCs w:val="21"/>
                      </w:rPr>
                      <w:t>刘世运</w:t>
                    </w:r>
                  </w:p>
                </w:tc>
                <w:tc>
                  <w:tcPr>
                    <w:tcW w:w="3008" w:type="dxa"/>
                    <w:gridSpan w:val="3"/>
                    <w:shd w:val="clear" w:color="auto" w:fill="auto"/>
                  </w:tcPr>
                  <w:p w:rsidR="001523DC" w:rsidRPr="00E04FAA" w:rsidRDefault="001523DC" w:rsidP="00B456C1">
                    <w:pPr>
                      <w:jc w:val="right"/>
                    </w:pPr>
                    <w:r w:rsidRPr="00E04FAA">
                      <w:t xml:space="preserve">28,821,000 </w:t>
                    </w:r>
                  </w:p>
                </w:tc>
                <w:sdt>
                  <w:sdtPr>
                    <w:rPr>
                      <w:bCs/>
                      <w:szCs w:val="21"/>
                    </w:rPr>
                    <w:alias w:val="前十名无限售条件股东期末持有流通股的种类"/>
                    <w:tag w:val="_GBC_5d0d3dfc3b8545ce906ab8a21728fb94"/>
                    <w:id w:val="-160741663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440" w:type="dxa"/>
                        <w:gridSpan w:val="2"/>
                        <w:shd w:val="clear" w:color="auto" w:fill="auto"/>
                        <w:vAlign w:val="center"/>
                      </w:tcPr>
                      <w:p w:rsidR="001523DC" w:rsidRPr="00E04FAA" w:rsidRDefault="001523DC" w:rsidP="000F02D6">
                        <w:pPr>
                          <w:jc w:val="center"/>
                          <w:rPr>
                            <w:bCs/>
                            <w:szCs w:val="21"/>
                          </w:rPr>
                        </w:pPr>
                        <w:r w:rsidRPr="00E04FAA">
                          <w:rPr>
                            <w:bCs/>
                            <w:szCs w:val="21"/>
                          </w:rPr>
                          <w:t>人民币普通股</w:t>
                        </w:r>
                      </w:p>
                    </w:tc>
                  </w:sdtContent>
                </w:sdt>
                <w:tc>
                  <w:tcPr>
                    <w:tcW w:w="1686" w:type="dxa"/>
                    <w:gridSpan w:val="2"/>
                    <w:shd w:val="clear" w:color="auto" w:fill="auto"/>
                  </w:tcPr>
                  <w:p w:rsidR="001523DC" w:rsidRPr="00E04FAA" w:rsidRDefault="001523DC" w:rsidP="000F02D6">
                    <w:pPr>
                      <w:jc w:val="right"/>
                      <w:rPr>
                        <w:szCs w:val="21"/>
                      </w:rPr>
                    </w:pPr>
                    <w:r w:rsidRPr="00E04FAA">
                      <w:t>28,821,000</w:t>
                    </w:r>
                  </w:p>
                </w:tc>
              </w:tr>
            </w:sdtContent>
          </w:sdt>
          <w:tr w:rsidR="001523DC" w:rsidRPr="00E04FAA" w:rsidTr="006837EA">
            <w:trPr>
              <w:cantSplit/>
            </w:trPr>
            <w:sdt>
              <w:sdtPr>
                <w:tag w:val="_PLD_7013809d29cf4718a9bcc3305f3a2fcd"/>
                <w:id w:val="-211893428"/>
                <w:lock w:val="sdtLocked"/>
              </w:sdtPr>
              <w:sdtContent>
                <w:tc>
                  <w:tcPr>
                    <w:tcW w:w="2689" w:type="dxa"/>
                    <w:gridSpan w:val="2"/>
                    <w:shd w:val="clear" w:color="auto" w:fill="auto"/>
                  </w:tcPr>
                  <w:p w:rsidR="001523DC" w:rsidRPr="00E04FAA" w:rsidRDefault="001523DC" w:rsidP="000F02D6">
                    <w:pPr>
                      <w:rPr>
                        <w:szCs w:val="21"/>
                      </w:rPr>
                    </w:pPr>
                    <w:r w:rsidRPr="00E04FAA">
                      <w:rPr>
                        <w:szCs w:val="21"/>
                      </w:rPr>
                      <w:t>上述股东关联关系或一致行动的说明</w:t>
                    </w:r>
                  </w:p>
                </w:tc>
              </w:sdtContent>
            </w:sdt>
            <w:tc>
              <w:tcPr>
                <w:tcW w:w="6134" w:type="dxa"/>
                <w:gridSpan w:val="7"/>
                <w:shd w:val="clear" w:color="auto" w:fill="auto"/>
              </w:tcPr>
              <w:p w:rsidR="001523DC" w:rsidRPr="00E04FAA" w:rsidRDefault="001523DC" w:rsidP="000F02D6">
                <w:pPr>
                  <w:rPr>
                    <w:szCs w:val="21"/>
                  </w:rPr>
                </w:pPr>
                <w:r w:rsidRPr="00E04FAA">
                  <w:rPr>
                    <w:rFonts w:hint="eastAsia"/>
                    <w:szCs w:val="21"/>
                  </w:rPr>
                  <w:t>北京用友科技有限公司</w:t>
                </w:r>
                <w:r w:rsidRPr="00E04FAA">
                  <w:rPr>
                    <w:szCs w:val="21"/>
                  </w:rPr>
                  <w:t>(</w:t>
                </w:r>
                <w:r w:rsidRPr="00E04FAA">
                  <w:rPr>
                    <w:rFonts w:hint="eastAsia"/>
                    <w:szCs w:val="21"/>
                  </w:rPr>
                  <w:t>简称</w:t>
                </w:r>
                <w:r w:rsidRPr="00E04FAA">
                  <w:rPr>
                    <w:szCs w:val="21"/>
                  </w:rPr>
                  <w:t>“</w:t>
                </w:r>
                <w:r w:rsidRPr="00E04FAA">
                  <w:rPr>
                    <w:rFonts w:hint="eastAsia"/>
                    <w:szCs w:val="21"/>
                  </w:rPr>
                  <w:t>用友科技</w:t>
                </w:r>
                <w:r w:rsidRPr="00E04FAA">
                  <w:rPr>
                    <w:szCs w:val="21"/>
                  </w:rPr>
                  <w:t>”)</w:t>
                </w:r>
                <w:r w:rsidRPr="00E04FAA">
                  <w:rPr>
                    <w:rFonts w:hint="eastAsia"/>
                    <w:szCs w:val="21"/>
                  </w:rPr>
                  <w:t>、上海用友科技咨询有限公司</w:t>
                </w:r>
                <w:r w:rsidRPr="00E04FAA">
                  <w:rPr>
                    <w:szCs w:val="21"/>
                  </w:rPr>
                  <w:t>(</w:t>
                </w:r>
                <w:r w:rsidRPr="00E04FAA">
                  <w:rPr>
                    <w:rFonts w:hint="eastAsia"/>
                    <w:szCs w:val="21"/>
                  </w:rPr>
                  <w:t>简称</w:t>
                </w:r>
                <w:r w:rsidRPr="00E04FAA">
                  <w:rPr>
                    <w:szCs w:val="21"/>
                  </w:rPr>
                  <w:t>“</w:t>
                </w:r>
                <w:r w:rsidRPr="00E04FAA">
                  <w:rPr>
                    <w:rFonts w:hint="eastAsia"/>
                    <w:szCs w:val="21"/>
                  </w:rPr>
                  <w:t>用友咨询</w:t>
                </w:r>
                <w:r w:rsidRPr="00E04FAA">
                  <w:rPr>
                    <w:szCs w:val="21"/>
                  </w:rPr>
                  <w:t>”)</w:t>
                </w:r>
                <w:r w:rsidRPr="00E04FAA">
                  <w:rPr>
                    <w:rFonts w:hint="eastAsia"/>
                    <w:szCs w:val="21"/>
                  </w:rPr>
                  <w:t>和北京用友企业管理研究所有限公司</w:t>
                </w:r>
                <w:r w:rsidRPr="00E04FAA">
                  <w:rPr>
                    <w:szCs w:val="21"/>
                  </w:rPr>
                  <w:t>(</w:t>
                </w:r>
                <w:r w:rsidRPr="00E04FAA">
                  <w:rPr>
                    <w:rFonts w:hint="eastAsia"/>
                    <w:szCs w:val="21"/>
                  </w:rPr>
                  <w:t>简称</w:t>
                </w:r>
                <w:r w:rsidRPr="00E04FAA">
                  <w:rPr>
                    <w:szCs w:val="21"/>
                  </w:rPr>
                  <w:t>“</w:t>
                </w:r>
                <w:r w:rsidRPr="00E04FAA">
                  <w:rPr>
                    <w:rFonts w:hint="eastAsia"/>
                    <w:szCs w:val="21"/>
                  </w:rPr>
                  <w:t>用友研究所</w:t>
                </w:r>
                <w:r w:rsidRPr="00E04FAA">
                  <w:rPr>
                    <w:szCs w:val="21"/>
                  </w:rPr>
                  <w:t>”)</w:t>
                </w:r>
                <w:r w:rsidRPr="00E04FAA">
                  <w:rPr>
                    <w:rFonts w:hint="eastAsia"/>
                    <w:szCs w:val="21"/>
                  </w:rPr>
                  <w:t>因受相同控股股东控制而存在关联关系，上海益倍管理咨询有限公司</w:t>
                </w:r>
                <w:r w:rsidRPr="00E04FAA">
                  <w:rPr>
                    <w:szCs w:val="21"/>
                  </w:rPr>
                  <w:t>(</w:t>
                </w:r>
                <w:r w:rsidRPr="00E04FAA">
                  <w:rPr>
                    <w:rFonts w:hint="eastAsia"/>
                    <w:szCs w:val="21"/>
                  </w:rPr>
                  <w:t>简称</w:t>
                </w:r>
                <w:r w:rsidRPr="00E04FAA">
                  <w:rPr>
                    <w:szCs w:val="21"/>
                  </w:rPr>
                  <w:t>“</w:t>
                </w:r>
                <w:r w:rsidRPr="00E04FAA">
                  <w:rPr>
                    <w:rFonts w:hint="eastAsia"/>
                    <w:szCs w:val="21"/>
                  </w:rPr>
                  <w:t>上海益倍</w:t>
                </w:r>
                <w:r w:rsidRPr="00E04FAA">
                  <w:rPr>
                    <w:szCs w:val="21"/>
                  </w:rPr>
                  <w:t>”)</w:t>
                </w:r>
                <w:r w:rsidRPr="00E04FAA">
                  <w:rPr>
                    <w:rFonts w:hint="eastAsia"/>
                  </w:rPr>
                  <w:t xml:space="preserve"> </w:t>
                </w:r>
                <w:r w:rsidRPr="00E04FAA">
                  <w:rPr>
                    <w:rFonts w:hint="eastAsia"/>
                    <w:szCs w:val="21"/>
                  </w:rPr>
                  <w:t>执行董事与共青城优富投资管理合伙企业（有限合伙）</w:t>
                </w:r>
                <w:r w:rsidRPr="00E04FAA">
                  <w:rPr>
                    <w:szCs w:val="21"/>
                  </w:rPr>
                  <w:t>(</w:t>
                </w:r>
                <w:r w:rsidRPr="00E04FAA">
                  <w:rPr>
                    <w:rFonts w:hint="eastAsia"/>
                    <w:szCs w:val="21"/>
                  </w:rPr>
                  <w:t>简称</w:t>
                </w:r>
                <w:r w:rsidRPr="00E04FAA">
                  <w:rPr>
                    <w:szCs w:val="21"/>
                  </w:rPr>
                  <w:t>“</w:t>
                </w:r>
                <w:r w:rsidRPr="00E04FAA">
                  <w:rPr>
                    <w:rFonts w:hint="eastAsia"/>
                    <w:szCs w:val="21"/>
                  </w:rPr>
                  <w:t>共青城优富</w:t>
                </w:r>
                <w:r w:rsidRPr="00E04FAA">
                  <w:rPr>
                    <w:szCs w:val="21"/>
                  </w:rPr>
                  <w:t>”)</w:t>
                </w:r>
                <w:r w:rsidRPr="00E04FAA">
                  <w:rPr>
                    <w:rFonts w:hint="eastAsia"/>
                  </w:rPr>
                  <w:t xml:space="preserve"> </w:t>
                </w:r>
                <w:r w:rsidRPr="00E04FAA">
                  <w:rPr>
                    <w:rFonts w:hint="eastAsia"/>
                    <w:szCs w:val="21"/>
                  </w:rPr>
                  <w:t>执行事务合伙人因同时担任用友咨询与用友研究所的董事而分别与用友咨询和用友研究所形成关联关系。上海益倍与共青城优富因受不同控股股东控制而不存在关联关系，与用友科技因受不同控股股东控制也不存在关联关系。上述五家股东与其他股东之间不存在关联关系。本公司不了解其他股东之间是否存在关联关系或是否是一致行动人。</w:t>
                </w:r>
              </w:p>
            </w:tc>
          </w:tr>
          <w:tr w:rsidR="001523DC" w:rsidRPr="00E04FAA" w:rsidTr="006837EA">
            <w:trPr>
              <w:cantSplit/>
            </w:trPr>
            <w:sdt>
              <w:sdtPr>
                <w:tag w:val="_PLD_03a6639ad7fb4ac1a2cd145fe333146e"/>
                <w:id w:val="-1385475690"/>
                <w:lock w:val="sdtLocked"/>
              </w:sdtPr>
              <w:sdtContent>
                <w:tc>
                  <w:tcPr>
                    <w:tcW w:w="2689" w:type="dxa"/>
                    <w:gridSpan w:val="2"/>
                    <w:shd w:val="clear" w:color="auto" w:fill="auto"/>
                  </w:tcPr>
                  <w:p w:rsidR="001523DC" w:rsidRPr="00E04FAA" w:rsidRDefault="001523DC" w:rsidP="000F02D6">
                    <w:pPr>
                      <w:rPr>
                        <w:szCs w:val="21"/>
                      </w:rPr>
                    </w:pPr>
                    <w:r w:rsidRPr="00E04FAA">
                      <w:rPr>
                        <w:rFonts w:hint="eastAsia"/>
                        <w:szCs w:val="21"/>
                      </w:rPr>
                      <w:t>表决权恢复的优先股股东及持股数量的说明</w:t>
                    </w:r>
                  </w:p>
                </w:tc>
              </w:sdtContent>
            </w:sdt>
            <w:tc>
              <w:tcPr>
                <w:tcW w:w="6134" w:type="dxa"/>
                <w:gridSpan w:val="7"/>
                <w:shd w:val="clear" w:color="auto" w:fill="auto"/>
              </w:tcPr>
              <w:p w:rsidR="001523DC" w:rsidRPr="00E04FAA" w:rsidRDefault="001523DC" w:rsidP="000F02D6">
                <w:pPr>
                  <w:rPr>
                    <w:szCs w:val="21"/>
                  </w:rPr>
                </w:pPr>
                <w:r w:rsidRPr="00E04FAA">
                  <w:rPr>
                    <w:rFonts w:hint="eastAsia"/>
                    <w:szCs w:val="21"/>
                  </w:rPr>
                  <w:t>无。</w:t>
                </w:r>
              </w:p>
            </w:tc>
          </w:tr>
        </w:tbl>
        <w:p w:rsidR="001523DC" w:rsidRPr="00E04FAA" w:rsidRDefault="001523DC"/>
        <w:p w:rsidR="00883153" w:rsidRPr="00E04FAA" w:rsidRDefault="00200151">
          <w:pPr>
            <w:rPr>
              <w:szCs w:val="21"/>
            </w:rPr>
          </w:pPr>
          <w:r w:rsidRPr="00E04FAA">
            <w:rPr>
              <w:szCs w:val="21"/>
            </w:rPr>
            <w:t>前十名有限售条件股东持股数量及限售条件</w:t>
          </w:r>
        </w:p>
        <w:p w:rsidR="00883153" w:rsidRPr="00E04FAA" w:rsidRDefault="000D0A99" w:rsidP="00EE58A4">
          <w:pPr>
            <w:rPr>
              <w:rFonts w:cs="Arial"/>
              <w:szCs w:val="21"/>
            </w:rPr>
          </w:pPr>
          <w:sdt>
            <w:sdtPr>
              <w:rPr>
                <w:bCs/>
                <w:szCs w:val="21"/>
              </w:rPr>
              <w:alias w:val="是否适用：前十名有限售条件股东持股数量及限售条件[双击切换]"/>
              <w:tag w:val="_GBC_681c25d581914cb19d4b007c00511b6a"/>
              <w:id w:val="1101691108"/>
              <w:lock w:val="sdtContentLocked"/>
              <w:placeholder>
                <w:docPart w:val="GBC22222222222222222222222222222"/>
              </w:placeholder>
            </w:sdtPr>
            <w:sdtContent>
              <w:r w:rsidR="00200151" w:rsidRPr="00E04FAA">
                <w:rPr>
                  <w:bCs/>
                  <w:szCs w:val="21"/>
                </w:rPr>
                <w:fldChar w:fldCharType="begin"/>
              </w:r>
              <w:r w:rsidR="00EE58A4" w:rsidRPr="00E04FAA">
                <w:rPr>
                  <w:bCs/>
                  <w:szCs w:val="21"/>
                </w:rPr>
                <w:instrText xml:space="preserve"> MACROBUTTON  SnrToggleCheckbox □适用 </w:instrText>
              </w:r>
              <w:r w:rsidR="00200151" w:rsidRPr="00E04FAA">
                <w:rPr>
                  <w:bCs/>
                  <w:szCs w:val="21"/>
                </w:rPr>
                <w:fldChar w:fldCharType="end"/>
              </w:r>
              <w:r w:rsidR="00200151" w:rsidRPr="00E04FAA">
                <w:rPr>
                  <w:bCs/>
                  <w:szCs w:val="21"/>
                </w:rPr>
                <w:fldChar w:fldCharType="begin"/>
              </w:r>
              <w:r w:rsidR="00EE58A4" w:rsidRPr="00E04FAA">
                <w:rPr>
                  <w:bCs/>
                  <w:szCs w:val="21"/>
                </w:rPr>
                <w:instrText xml:space="preserve"> MACROBUTTON  SnrToggleCheckbox √不适用 </w:instrText>
              </w:r>
              <w:r w:rsidR="00200151" w:rsidRPr="00E04FAA">
                <w:rPr>
                  <w:bCs/>
                  <w:szCs w:val="21"/>
                </w:rPr>
                <w:fldChar w:fldCharType="end"/>
              </w:r>
            </w:sdtContent>
          </w:sdt>
        </w:p>
        <w:bookmarkStart w:id="50" w:name="_Toc342059487" w:displacedByCustomXml="next"/>
        <w:bookmarkStart w:id="51" w:name="_Toc342566000" w:displacedByCustomXml="next"/>
      </w:sdtContent>
    </w:sdt>
    <w:p w:rsidR="00BA0A0E" w:rsidRPr="00E04FAA" w:rsidRDefault="00BA0A0E" w:rsidP="00EE58A4"/>
    <w:sdt>
      <w:sdtPr>
        <w:rPr>
          <w:rFonts w:ascii="宋体" w:hAnsi="宋体" w:cs="宋体"/>
          <w:b w:val="0"/>
          <w:bCs w:val="0"/>
          <w:kern w:val="0"/>
          <w:szCs w:val="22"/>
        </w:rPr>
        <w:alias w:val="模块:战略投资者或一般法人因配售新股成为前10名股东"/>
        <w:tag w:val="_GBC_e978a717352b4bf6852a761b15c1e95b"/>
        <w:id w:val="-1495104073"/>
        <w:lock w:val="sdtLocked"/>
        <w:placeholder>
          <w:docPart w:val="GBC22222222222222222222222222222"/>
        </w:placeholder>
      </w:sdtPr>
      <w:sdtEndPr>
        <w:rPr>
          <w:rFonts w:hint="eastAsia"/>
          <w:szCs w:val="24"/>
        </w:rPr>
      </w:sdtEndPr>
      <w:sdtContent>
        <w:p w:rsidR="00883153" w:rsidRPr="00E04FAA" w:rsidRDefault="00200151" w:rsidP="00FC3870">
          <w:pPr>
            <w:pStyle w:val="3"/>
            <w:numPr>
              <w:ilvl w:val="1"/>
              <w:numId w:val="13"/>
            </w:numPr>
          </w:pPr>
          <w:r w:rsidRPr="00E04FAA">
            <w:t>战略投资者或一般法人因配售新股成为前</w:t>
          </w:r>
          <w:r w:rsidRPr="00E04FAA">
            <w:t>10</w:t>
          </w:r>
          <w:r w:rsidRPr="00E04FAA">
            <w:t>名股东</w:t>
          </w:r>
        </w:p>
        <w:p w:rsidR="00883153" w:rsidRPr="00E04FAA" w:rsidRDefault="000D0A99" w:rsidP="00384632">
          <w:sdt>
            <w:sdtPr>
              <w:alias w:val="是否适用：战略投资者或一般法人因配售新股成为前10名股东[双击切换]"/>
              <w:tag w:val="_GBC_fe7bdc72bd78490fb48d0f3eaca6248e"/>
              <w:id w:val="-1401745311"/>
              <w:lock w:val="sdtContentLocked"/>
              <w:placeholder>
                <w:docPart w:val="GBC22222222222222222222222222222"/>
              </w:placeholder>
            </w:sdtPr>
            <w:sdtContent>
              <w:r w:rsidR="00200151" w:rsidRPr="00E04FAA">
                <w:fldChar w:fldCharType="begin"/>
              </w:r>
              <w:r w:rsidR="00384632" w:rsidRPr="00E04FAA">
                <w:instrText xml:space="preserve"> MACROBUTTON  SnrToggleCheckbox □适用 </w:instrText>
              </w:r>
              <w:r w:rsidR="00200151" w:rsidRPr="00E04FAA">
                <w:fldChar w:fldCharType="end"/>
              </w:r>
              <w:r w:rsidR="00200151" w:rsidRPr="00E04FAA">
                <w:fldChar w:fldCharType="begin"/>
              </w:r>
              <w:r w:rsidR="00384632" w:rsidRPr="00E04FAA">
                <w:instrText xml:space="preserve"> MACROBUTTON  SnrToggleCheckbox √不适用 </w:instrText>
              </w:r>
              <w:r w:rsidR="00200151" w:rsidRPr="00E04FAA">
                <w:fldChar w:fldCharType="end"/>
              </w:r>
            </w:sdtContent>
          </w:sdt>
        </w:p>
      </w:sdtContent>
    </w:sdt>
    <w:p w:rsidR="00BA0A0E" w:rsidRPr="00E04FAA" w:rsidRDefault="00BA0A0E" w:rsidP="00384632"/>
    <w:bookmarkEnd w:id="51"/>
    <w:bookmarkEnd w:id="50"/>
    <w:p w:rsidR="00883153" w:rsidRPr="00E04FAA" w:rsidRDefault="00200151">
      <w:pPr>
        <w:pStyle w:val="2"/>
        <w:numPr>
          <w:ilvl w:val="0"/>
          <w:numId w:val="1"/>
        </w:numPr>
        <w:spacing w:line="360" w:lineRule="auto"/>
        <w:ind w:left="448" w:hanging="448"/>
      </w:pPr>
      <w:r w:rsidRPr="00E04FAA">
        <w:rPr>
          <w:rFonts w:hint="eastAsia"/>
        </w:rPr>
        <w:t>控股股东或实际控制人变更情况</w:t>
      </w:r>
    </w:p>
    <w:sdt>
      <w:sdtPr>
        <w:alias w:val="模块:控股股东及实际控制人变更情况"/>
        <w:tag w:val="_GBC_2e7a202224f3494aa0093f3bd0f39d33"/>
        <w:id w:val="-241491348"/>
        <w:lock w:val="sdtLocked"/>
        <w:placeholder>
          <w:docPart w:val="GBC22222222222222222222222222222"/>
        </w:placeholder>
      </w:sdtPr>
      <w:sdtContent>
        <w:sdt>
          <w:sdtPr>
            <w:alias w:val="是否适用：控股股东及实际控制人变更情况[双击切换]"/>
            <w:tag w:val="_GBC_84ff369a3f714dbbbec5a13460906f4b"/>
            <w:id w:val="470104626"/>
            <w:lock w:val="sdtContentLocked"/>
            <w:placeholder>
              <w:docPart w:val="GBC22222222222222222222222222222"/>
            </w:placeholder>
          </w:sdtPr>
          <w:sdtContent>
            <w:p w:rsidR="00883153" w:rsidRPr="00E04FAA" w:rsidRDefault="00200151" w:rsidP="00384632">
              <w:r w:rsidRPr="00E04FAA">
                <w:fldChar w:fldCharType="begin"/>
              </w:r>
              <w:r w:rsidR="00384632" w:rsidRPr="00E04FAA">
                <w:instrText xml:space="preserve"> MACROBUTTON  SnrToggleCheckbox □适用 </w:instrText>
              </w:r>
              <w:r w:rsidRPr="00E04FAA">
                <w:fldChar w:fldCharType="end"/>
              </w:r>
              <w:r w:rsidRPr="00E04FAA">
                <w:fldChar w:fldCharType="begin"/>
              </w:r>
              <w:r w:rsidR="00384632" w:rsidRPr="00E04FAA">
                <w:instrText xml:space="preserve"> MACROBUTTON  SnrToggleCheckbox √不适用 </w:instrText>
              </w:r>
              <w:r w:rsidRPr="00E04FAA">
                <w:fldChar w:fldCharType="end"/>
              </w:r>
            </w:p>
          </w:sdtContent>
        </w:sdt>
      </w:sdtContent>
    </w:sdt>
    <w:p w:rsidR="00BA0A0E" w:rsidRPr="00E04FAA" w:rsidRDefault="00BA0A0E" w:rsidP="00384632">
      <w:pPr>
        <w:rPr>
          <w:color w:val="0000FF"/>
          <w:szCs w:val="21"/>
          <w:bdr w:val="single" w:sz="4" w:space="0" w:color="auto"/>
        </w:rPr>
      </w:pPr>
    </w:p>
    <w:p w:rsidR="00883153" w:rsidRPr="00E04FAA" w:rsidRDefault="00200151">
      <w:pPr>
        <w:pStyle w:val="10"/>
        <w:numPr>
          <w:ilvl w:val="0"/>
          <w:numId w:val="3"/>
        </w:numPr>
      </w:pPr>
      <w:bookmarkStart w:id="52" w:name="_Toc392233017"/>
      <w:bookmarkStart w:id="53" w:name="_Toc484510570"/>
      <w:r w:rsidRPr="00E04FAA">
        <w:rPr>
          <w:rFonts w:hint="eastAsia"/>
        </w:rPr>
        <w:t>优先股相关情况</w:t>
      </w:r>
      <w:bookmarkEnd w:id="52"/>
      <w:bookmarkEnd w:id="53"/>
    </w:p>
    <w:sdt>
      <w:sdtPr>
        <w:alias w:val="是否适用：优先股相关情况[双击切换]"/>
        <w:tag w:val="_GBC_2113adbee8464e1c828b3d6d35c60abf"/>
        <w:id w:val="-671480868"/>
        <w:lock w:val="sdtContentLocked"/>
        <w:placeholder>
          <w:docPart w:val="GBC22222222222222222222222222222"/>
        </w:placeholder>
      </w:sdtPr>
      <w:sdtContent>
        <w:p w:rsidR="00384632" w:rsidRPr="00E04FAA" w:rsidRDefault="00200151" w:rsidP="00384632">
          <w:r w:rsidRPr="00E04FAA">
            <w:fldChar w:fldCharType="begin"/>
          </w:r>
          <w:r w:rsidR="00384632" w:rsidRPr="00E04FAA">
            <w:instrText xml:space="preserve"> MACROBUTTON  SnrToggleCheckbox □适用 </w:instrText>
          </w:r>
          <w:r w:rsidRPr="00E04FAA">
            <w:fldChar w:fldCharType="end"/>
          </w:r>
          <w:r w:rsidRPr="00E04FAA">
            <w:fldChar w:fldCharType="begin"/>
          </w:r>
          <w:r w:rsidR="00384632" w:rsidRPr="00E04FAA">
            <w:instrText xml:space="preserve"> MACROBUTTON  SnrToggleCheckbox √不适用 </w:instrText>
          </w:r>
          <w:r w:rsidRPr="00E04FAA">
            <w:fldChar w:fldCharType="end"/>
          </w:r>
        </w:p>
      </w:sdtContent>
    </w:sdt>
    <w:p w:rsidR="00883153" w:rsidRPr="00E04FAA" w:rsidRDefault="00883153"/>
    <w:p w:rsidR="00883153" w:rsidRPr="00E04FAA" w:rsidRDefault="00200151">
      <w:pPr>
        <w:pStyle w:val="10"/>
        <w:numPr>
          <w:ilvl w:val="0"/>
          <w:numId w:val="3"/>
        </w:numPr>
      </w:pPr>
      <w:bookmarkStart w:id="54" w:name="_Toc342566003"/>
      <w:bookmarkStart w:id="55" w:name="_Toc392233018"/>
      <w:bookmarkStart w:id="56" w:name="_Toc484510571"/>
      <w:r w:rsidRPr="00E04FAA">
        <w:rPr>
          <w:rFonts w:hint="eastAsia"/>
        </w:rPr>
        <w:t>董事、监事、高级管理人员</w:t>
      </w:r>
      <w:bookmarkEnd w:id="54"/>
      <w:r w:rsidRPr="00E04FAA">
        <w:rPr>
          <w:rFonts w:hint="eastAsia"/>
        </w:rPr>
        <w:t>情况</w:t>
      </w:r>
      <w:bookmarkEnd w:id="55"/>
      <w:bookmarkEnd w:id="56"/>
    </w:p>
    <w:p w:rsidR="00883153" w:rsidRPr="00E04FAA" w:rsidRDefault="00200151">
      <w:pPr>
        <w:pStyle w:val="2"/>
        <w:numPr>
          <w:ilvl w:val="0"/>
          <w:numId w:val="5"/>
        </w:numPr>
        <w:spacing w:line="360" w:lineRule="auto"/>
      </w:pPr>
      <w:bookmarkStart w:id="57" w:name="_Toc342057944"/>
      <w:bookmarkStart w:id="58" w:name="_Toc342566004"/>
      <w:r w:rsidRPr="00E04FAA">
        <w:rPr>
          <w:rFonts w:hint="eastAsia"/>
        </w:rPr>
        <w:t>持股变动情况</w:t>
      </w:r>
    </w:p>
    <w:p w:rsidR="00883153" w:rsidRPr="00E04FAA" w:rsidRDefault="00200151" w:rsidP="00FC3870">
      <w:pPr>
        <w:pStyle w:val="3"/>
        <w:numPr>
          <w:ilvl w:val="2"/>
          <w:numId w:val="14"/>
        </w:numPr>
      </w:pPr>
      <w:r w:rsidRPr="00E04FAA">
        <w:t>现任及报告期内离任董事、监事和高级管理人员持股变动情况</w:t>
      </w:r>
    </w:p>
    <w:sdt>
      <w:sdtPr>
        <w:alias w:val="是否适用：董事、监事和高级管理人员持股变动[双击切换]"/>
        <w:tag w:val="_GBC_e4aa9f89c24b4cbb80c479762adcf568"/>
        <w:id w:val="1769741519"/>
        <w:lock w:val="sdtContentLocked"/>
        <w:placeholder>
          <w:docPart w:val="GBC22222222222222222222222222222"/>
        </w:placeholder>
      </w:sdtPr>
      <w:sdtContent>
        <w:p w:rsidR="00883153" w:rsidRPr="00E04FAA" w:rsidRDefault="00200151">
          <w:r w:rsidRPr="00E04FAA">
            <w:fldChar w:fldCharType="begin"/>
          </w:r>
          <w:r w:rsidR="00EE58A4" w:rsidRPr="00E04FAA">
            <w:instrText xml:space="preserve"> MACROBUTTON  SnrToggleCheckbox √适用 </w:instrText>
          </w:r>
          <w:r w:rsidRPr="00E04FAA">
            <w:fldChar w:fldCharType="end"/>
          </w:r>
          <w:r w:rsidRPr="00E04FAA">
            <w:fldChar w:fldCharType="begin"/>
          </w:r>
          <w:r w:rsidR="00EE58A4" w:rsidRPr="00E04FAA">
            <w:instrText xml:space="preserve"> MACROBUTTON  SnrToggleCheckbox □不适用 </w:instrText>
          </w:r>
          <w:r w:rsidRPr="00E04FAA">
            <w:fldChar w:fldCharType="end"/>
          </w:r>
        </w:p>
      </w:sdtContent>
    </w:sdt>
    <w:sdt>
      <w:sdtPr>
        <w:rPr>
          <w:rFonts w:hint="eastAsia"/>
        </w:rPr>
        <w:alias w:val="模块:现任及报告期内离任董事、监事和高级管理人员持股变动情况"/>
        <w:tag w:val="_GBC_3071a4b4906b45b7a6749d6aecdb83e5"/>
        <w:id w:val="-932891611"/>
        <w:lock w:val="sdtLocked"/>
        <w:placeholder>
          <w:docPart w:val="GBC22222222222222222222222222222"/>
        </w:placeholder>
      </w:sdtPr>
      <w:sdtContent>
        <w:p w:rsidR="00883153" w:rsidRPr="00E04FAA" w:rsidRDefault="00200151">
          <w:pPr>
            <w:jc w:val="right"/>
          </w:pPr>
          <w:r w:rsidRPr="00E04FAA">
            <w:rPr>
              <w:rFonts w:hint="eastAsia"/>
            </w:rPr>
            <w:t>单位:股</w:t>
          </w:r>
        </w:p>
        <w:tbl>
          <w:tblPr>
            <w:tblStyle w:val="a9"/>
            <w:tblW w:w="0" w:type="auto"/>
            <w:tblLook w:val="04A0" w:firstRow="1" w:lastRow="0" w:firstColumn="1" w:lastColumn="0" w:noHBand="0" w:noVBand="1"/>
          </w:tblPr>
          <w:tblGrid>
            <w:gridCol w:w="1461"/>
            <w:gridCol w:w="1450"/>
            <w:gridCol w:w="1489"/>
            <w:gridCol w:w="1489"/>
            <w:gridCol w:w="1484"/>
            <w:gridCol w:w="1450"/>
          </w:tblGrid>
          <w:tr w:rsidR="00312ECC" w:rsidRPr="00E04FAA" w:rsidTr="004F50BC">
            <w:sdt>
              <w:sdtPr>
                <w:tag w:val="_PLD_1f7680f216a54f238a0fc6f41541ae82"/>
                <w:id w:val="-2062393230"/>
                <w:lock w:val="sdtLocked"/>
              </w:sdtPr>
              <w:sdtContent>
                <w:tc>
                  <w:tcPr>
                    <w:tcW w:w="1461" w:type="dxa"/>
                    <w:vAlign w:val="center"/>
                  </w:tcPr>
                  <w:p w:rsidR="00312ECC" w:rsidRPr="00E04FAA" w:rsidRDefault="00312ECC" w:rsidP="004F50BC">
                    <w:pPr>
                      <w:jc w:val="center"/>
                    </w:pPr>
                    <w:r w:rsidRPr="00E04FAA">
                      <w:t>姓名</w:t>
                    </w:r>
                  </w:p>
                </w:tc>
              </w:sdtContent>
            </w:sdt>
            <w:sdt>
              <w:sdtPr>
                <w:tag w:val="_PLD_f9cf95b77e9f44c08a598757ed99ae89"/>
                <w:id w:val="1000085396"/>
                <w:lock w:val="sdtLocked"/>
              </w:sdtPr>
              <w:sdtContent>
                <w:tc>
                  <w:tcPr>
                    <w:tcW w:w="1450" w:type="dxa"/>
                    <w:vAlign w:val="center"/>
                  </w:tcPr>
                  <w:p w:rsidR="00312ECC" w:rsidRPr="00E04FAA" w:rsidRDefault="00312ECC" w:rsidP="004F50BC">
                    <w:pPr>
                      <w:jc w:val="center"/>
                    </w:pPr>
                    <w:r w:rsidRPr="00E04FAA">
                      <w:t>职务</w:t>
                    </w:r>
                  </w:p>
                </w:tc>
              </w:sdtContent>
            </w:sdt>
            <w:sdt>
              <w:sdtPr>
                <w:tag w:val="_PLD_97b791fb142e4247b083ceff8590ac69"/>
                <w:id w:val="-723439340"/>
                <w:lock w:val="sdtLocked"/>
              </w:sdtPr>
              <w:sdtContent>
                <w:tc>
                  <w:tcPr>
                    <w:tcW w:w="1489" w:type="dxa"/>
                    <w:vAlign w:val="center"/>
                  </w:tcPr>
                  <w:p w:rsidR="00312ECC" w:rsidRPr="00E04FAA" w:rsidRDefault="00312ECC" w:rsidP="004F50BC">
                    <w:pPr>
                      <w:jc w:val="center"/>
                    </w:pPr>
                    <w:r w:rsidRPr="00E04FAA">
                      <w:t>期初持股数</w:t>
                    </w:r>
                  </w:p>
                </w:tc>
              </w:sdtContent>
            </w:sdt>
            <w:sdt>
              <w:sdtPr>
                <w:tag w:val="_PLD_548f968bd4a54832b0fba78005a85b32"/>
                <w:id w:val="777838600"/>
                <w:lock w:val="sdtLocked"/>
              </w:sdtPr>
              <w:sdtContent>
                <w:tc>
                  <w:tcPr>
                    <w:tcW w:w="1489" w:type="dxa"/>
                    <w:vAlign w:val="center"/>
                  </w:tcPr>
                  <w:p w:rsidR="00312ECC" w:rsidRPr="00E04FAA" w:rsidRDefault="00312ECC" w:rsidP="004F50BC">
                    <w:pPr>
                      <w:jc w:val="center"/>
                    </w:pPr>
                    <w:r w:rsidRPr="00E04FAA">
                      <w:t>期末持股数</w:t>
                    </w:r>
                  </w:p>
                </w:tc>
              </w:sdtContent>
            </w:sdt>
            <w:sdt>
              <w:sdtPr>
                <w:tag w:val="_PLD_bbad2f3819564189adee6d267c1fd8e7"/>
                <w:id w:val="-19096776"/>
                <w:lock w:val="sdtLocked"/>
              </w:sdtPr>
              <w:sdtContent>
                <w:tc>
                  <w:tcPr>
                    <w:tcW w:w="1484" w:type="dxa"/>
                    <w:vAlign w:val="center"/>
                  </w:tcPr>
                  <w:p w:rsidR="00312ECC" w:rsidRPr="00E04FAA" w:rsidRDefault="00312ECC" w:rsidP="004F50BC">
                    <w:pPr>
                      <w:jc w:val="center"/>
                    </w:pPr>
                    <w:r w:rsidRPr="00E04FAA">
                      <w:t>报告期内股份增减变动量</w:t>
                    </w:r>
                  </w:p>
                </w:tc>
              </w:sdtContent>
            </w:sdt>
            <w:sdt>
              <w:sdtPr>
                <w:tag w:val="_PLD_4dafa7f2d8e14e03aadd815fa6ee7ac6"/>
                <w:id w:val="34017071"/>
                <w:lock w:val="sdtLocked"/>
              </w:sdtPr>
              <w:sdtContent>
                <w:tc>
                  <w:tcPr>
                    <w:tcW w:w="1450" w:type="dxa"/>
                    <w:vAlign w:val="center"/>
                  </w:tcPr>
                  <w:p w:rsidR="00312ECC" w:rsidRPr="00E04FAA" w:rsidRDefault="00312ECC" w:rsidP="004F50BC">
                    <w:pPr>
                      <w:jc w:val="center"/>
                    </w:pPr>
                    <w:r w:rsidRPr="00E04FAA">
                      <w:t>增减变动原因</w:t>
                    </w:r>
                  </w:p>
                </w:tc>
              </w:sdtContent>
            </w:sdt>
          </w:tr>
          <w:sdt>
            <w:sdtPr>
              <w:rPr>
                <w:rFonts w:ascii="Calibri" w:eastAsiaTheme="minorEastAsia" w:hAnsi="Calibri" w:cstheme="minorBidi" w:hint="eastAsia"/>
                <w:kern w:val="2"/>
                <w:szCs w:val="22"/>
              </w:rPr>
              <w:alias w:val="董事、监事、高级管理人员基本情况"/>
              <w:tag w:val="_GBC_637f1e2e02a742e98479d730ea2f8e02"/>
              <w:id w:val="280927760"/>
              <w:lock w:val="sdtLocked"/>
              <w:placeholder>
                <w:docPart w:val="F1E0045D8F9848909A72C7A2B38DB1E8"/>
              </w:placeholder>
            </w:sdtPr>
            <w:sdtContent>
              <w:tr w:rsidR="00312ECC" w:rsidRPr="00E04FAA" w:rsidTr="004F50BC">
                <w:tc>
                  <w:tcPr>
                    <w:tcW w:w="1461" w:type="dxa"/>
                  </w:tcPr>
                  <w:p w:rsidR="00312ECC" w:rsidRPr="00E04FAA" w:rsidRDefault="00312ECC" w:rsidP="004F50BC">
                    <w:pPr>
                      <w:jc w:val="left"/>
                    </w:pPr>
                    <w:r w:rsidRPr="00E04FAA">
                      <w:t>王文京</w:t>
                    </w:r>
                  </w:p>
                </w:tc>
                <w:sdt>
                  <w:sdtPr>
                    <w:rPr>
                      <w:rFonts w:hint="eastAsia"/>
                    </w:rPr>
                    <w:alias w:val="董事、监事、高级管理人员职务"/>
                    <w:tag w:val="_GBC_adb15e3b887d44c2a04f8e548067c2dd"/>
                    <w:id w:val="-819720459"/>
                    <w:lock w:val="sdtLocked"/>
                    <w:comboBox>
                      <w:listItem w:displayText="董事" w:value="董事"/>
                      <w:listItem w:displayText="独立董事" w:value="独立董事"/>
                      <w:listItem w:displayText="监事" w:value="监事"/>
                      <w:listItem w:displayText="高管" w:value="高管"/>
                    </w:comboBox>
                  </w:sdtPr>
                  <w:sdtContent>
                    <w:tc>
                      <w:tcPr>
                        <w:tcW w:w="1450" w:type="dxa"/>
                      </w:tcPr>
                      <w:p w:rsidR="00312ECC" w:rsidRPr="00E04FAA" w:rsidRDefault="00312ECC" w:rsidP="004F50BC">
                        <w:pPr>
                          <w:jc w:val="left"/>
                        </w:pPr>
                        <w:r w:rsidRPr="00E04FAA">
                          <w:rPr>
                            <w:rFonts w:hint="eastAsia"/>
                          </w:rPr>
                          <w:t>董事</w:t>
                        </w:r>
                      </w:p>
                    </w:tc>
                  </w:sdtContent>
                </w:sdt>
                <w:tc>
                  <w:tcPr>
                    <w:tcW w:w="1489" w:type="dxa"/>
                  </w:tcPr>
                  <w:p w:rsidR="00312ECC" w:rsidRPr="00E04FAA" w:rsidRDefault="00312ECC" w:rsidP="004F50BC">
                    <w:pPr>
                      <w:jc w:val="right"/>
                    </w:pPr>
                    <w:r w:rsidRPr="00E04FAA">
                      <w:t>0</w:t>
                    </w:r>
                  </w:p>
                </w:tc>
                <w:tc>
                  <w:tcPr>
                    <w:tcW w:w="1489" w:type="dxa"/>
                  </w:tcPr>
                  <w:p w:rsidR="00312ECC" w:rsidRPr="00E04FAA" w:rsidRDefault="00312ECC" w:rsidP="004F50BC">
                    <w:pPr>
                      <w:jc w:val="right"/>
                    </w:pPr>
                    <w:r w:rsidRPr="00E04FAA">
                      <w:t>0</w:t>
                    </w:r>
                  </w:p>
                </w:tc>
                <w:tc>
                  <w:tcPr>
                    <w:tcW w:w="1484" w:type="dxa"/>
                  </w:tcPr>
                  <w:p w:rsidR="00312ECC" w:rsidRPr="00E04FAA" w:rsidRDefault="00312ECC" w:rsidP="004F50BC">
                    <w:pPr>
                      <w:jc w:val="right"/>
                    </w:pPr>
                    <w:r w:rsidRPr="00E04FAA">
                      <w:t>0</w:t>
                    </w:r>
                  </w:p>
                </w:tc>
                <w:tc>
                  <w:tcPr>
                    <w:tcW w:w="1450" w:type="dxa"/>
                  </w:tcPr>
                  <w:p w:rsidR="00312ECC" w:rsidRPr="00E04FAA" w:rsidRDefault="00312ECC" w:rsidP="004F50BC">
                    <w:pPr>
                      <w:jc w:val="left"/>
                    </w:pPr>
                    <w:r w:rsidRPr="00E04FAA">
                      <w:t xml:space="preserve">　</w:t>
                    </w:r>
                  </w:p>
                </w:tc>
              </w:tr>
            </w:sdtContent>
          </w:sdt>
          <w:sdt>
            <w:sdtPr>
              <w:rPr>
                <w:rFonts w:ascii="Calibri" w:eastAsiaTheme="minorEastAsia" w:hAnsi="Calibri" w:cstheme="minorBidi" w:hint="eastAsia"/>
                <w:kern w:val="2"/>
                <w:szCs w:val="22"/>
              </w:rPr>
              <w:alias w:val="董事、监事、高级管理人员基本情况"/>
              <w:tag w:val="_GBC_637f1e2e02a742e98479d730ea2f8e02"/>
              <w:id w:val="-886646454"/>
              <w:lock w:val="sdtLocked"/>
              <w:placeholder>
                <w:docPart w:val="F1E0045D8F9848909A72C7A2B38DB1E8"/>
              </w:placeholder>
            </w:sdtPr>
            <w:sdtContent>
              <w:tr w:rsidR="00312ECC" w:rsidRPr="00E04FAA" w:rsidTr="004F50BC">
                <w:tc>
                  <w:tcPr>
                    <w:tcW w:w="1461" w:type="dxa"/>
                  </w:tcPr>
                  <w:p w:rsidR="00312ECC" w:rsidRPr="00E04FAA" w:rsidRDefault="00312ECC" w:rsidP="004F50BC">
                    <w:pPr>
                      <w:jc w:val="left"/>
                    </w:pPr>
                    <w:r w:rsidRPr="00E04FAA">
                      <w:t>郭新平</w:t>
                    </w:r>
                  </w:p>
                </w:tc>
                <w:sdt>
                  <w:sdtPr>
                    <w:rPr>
                      <w:rFonts w:hint="eastAsia"/>
                    </w:rPr>
                    <w:alias w:val="董事、监事、高级管理人员职务"/>
                    <w:tag w:val="_GBC_adb15e3b887d44c2a04f8e548067c2dd"/>
                    <w:id w:val="440264952"/>
                    <w:lock w:val="sdtLocked"/>
                    <w:comboBox>
                      <w:listItem w:displayText="董事" w:value="董事"/>
                      <w:listItem w:displayText="独立董事" w:value="独立董事"/>
                      <w:listItem w:displayText="监事" w:value="监事"/>
                      <w:listItem w:displayText="高管" w:value="高管"/>
                    </w:comboBox>
                  </w:sdtPr>
                  <w:sdtContent>
                    <w:tc>
                      <w:tcPr>
                        <w:tcW w:w="1450" w:type="dxa"/>
                      </w:tcPr>
                      <w:p w:rsidR="00312ECC" w:rsidRPr="00E04FAA" w:rsidRDefault="00312ECC" w:rsidP="004F50BC">
                        <w:pPr>
                          <w:jc w:val="left"/>
                        </w:pPr>
                        <w:r w:rsidRPr="00E04FAA">
                          <w:rPr>
                            <w:rFonts w:hint="eastAsia"/>
                          </w:rPr>
                          <w:t>董事</w:t>
                        </w:r>
                      </w:p>
                    </w:tc>
                  </w:sdtContent>
                </w:sdt>
                <w:tc>
                  <w:tcPr>
                    <w:tcW w:w="1489" w:type="dxa"/>
                  </w:tcPr>
                  <w:p w:rsidR="00312ECC" w:rsidRPr="00E04FAA" w:rsidRDefault="00312ECC" w:rsidP="004F50BC">
                    <w:pPr>
                      <w:jc w:val="right"/>
                    </w:pPr>
                    <w:r w:rsidRPr="00E04FAA">
                      <w:t>0</w:t>
                    </w:r>
                  </w:p>
                </w:tc>
                <w:tc>
                  <w:tcPr>
                    <w:tcW w:w="1489" w:type="dxa"/>
                  </w:tcPr>
                  <w:p w:rsidR="00312ECC" w:rsidRPr="00E04FAA" w:rsidRDefault="00312ECC" w:rsidP="004F50BC">
                    <w:pPr>
                      <w:jc w:val="right"/>
                    </w:pPr>
                    <w:r w:rsidRPr="00E04FAA">
                      <w:t>0</w:t>
                    </w:r>
                  </w:p>
                </w:tc>
                <w:tc>
                  <w:tcPr>
                    <w:tcW w:w="1484" w:type="dxa"/>
                  </w:tcPr>
                  <w:p w:rsidR="00312ECC" w:rsidRPr="00E04FAA" w:rsidRDefault="00312ECC" w:rsidP="004F50BC">
                    <w:pPr>
                      <w:jc w:val="right"/>
                    </w:pPr>
                    <w:r w:rsidRPr="00E04FAA">
                      <w:t>0</w:t>
                    </w:r>
                  </w:p>
                </w:tc>
                <w:tc>
                  <w:tcPr>
                    <w:tcW w:w="1450" w:type="dxa"/>
                  </w:tcPr>
                  <w:p w:rsidR="00312ECC" w:rsidRPr="00E04FAA" w:rsidRDefault="00312ECC" w:rsidP="004F50BC">
                    <w:pPr>
                      <w:jc w:val="left"/>
                    </w:pPr>
                    <w:r w:rsidRPr="00E04FAA">
                      <w:t xml:space="preserve">　</w:t>
                    </w:r>
                  </w:p>
                </w:tc>
              </w:tr>
            </w:sdtContent>
          </w:sdt>
          <w:sdt>
            <w:sdtPr>
              <w:rPr>
                <w:rFonts w:ascii="Calibri" w:eastAsiaTheme="minorEastAsia" w:hAnsi="Calibri" w:cstheme="minorBidi" w:hint="eastAsia"/>
                <w:kern w:val="2"/>
                <w:szCs w:val="22"/>
              </w:rPr>
              <w:alias w:val="董事、监事、高级管理人员基本情况"/>
              <w:tag w:val="_GBC_637f1e2e02a742e98479d730ea2f8e02"/>
              <w:id w:val="1851442346"/>
              <w:lock w:val="sdtLocked"/>
              <w:placeholder>
                <w:docPart w:val="F1E0045D8F9848909A72C7A2B38DB1E8"/>
              </w:placeholder>
            </w:sdtPr>
            <w:sdtContent>
              <w:tr w:rsidR="00312ECC" w:rsidRPr="00E04FAA" w:rsidTr="004F50BC">
                <w:tc>
                  <w:tcPr>
                    <w:tcW w:w="1461" w:type="dxa"/>
                  </w:tcPr>
                  <w:p w:rsidR="00312ECC" w:rsidRPr="00E04FAA" w:rsidRDefault="00312ECC" w:rsidP="004F50BC">
                    <w:pPr>
                      <w:jc w:val="left"/>
                    </w:pPr>
                    <w:r w:rsidRPr="00E04FAA">
                      <w:t>吴政平</w:t>
                    </w:r>
                  </w:p>
                </w:tc>
                <w:sdt>
                  <w:sdtPr>
                    <w:rPr>
                      <w:rFonts w:hint="eastAsia"/>
                    </w:rPr>
                    <w:alias w:val="董事、监事、高级管理人员职务"/>
                    <w:tag w:val="_GBC_adb15e3b887d44c2a04f8e548067c2dd"/>
                    <w:id w:val="1216314742"/>
                    <w:lock w:val="sdtLocked"/>
                    <w:comboBox>
                      <w:listItem w:displayText="董事" w:value="董事"/>
                      <w:listItem w:displayText="独立董事" w:value="独立董事"/>
                      <w:listItem w:displayText="监事" w:value="监事"/>
                      <w:listItem w:displayText="高管" w:value="高管"/>
                    </w:comboBox>
                  </w:sdtPr>
                  <w:sdtContent>
                    <w:tc>
                      <w:tcPr>
                        <w:tcW w:w="1450" w:type="dxa"/>
                      </w:tcPr>
                      <w:p w:rsidR="00312ECC" w:rsidRPr="00E04FAA" w:rsidRDefault="00312ECC" w:rsidP="004F50BC">
                        <w:pPr>
                          <w:jc w:val="left"/>
                        </w:pPr>
                        <w:r w:rsidRPr="00E04FAA">
                          <w:rPr>
                            <w:rFonts w:hint="eastAsia"/>
                          </w:rPr>
                          <w:t>董事</w:t>
                        </w:r>
                      </w:p>
                    </w:tc>
                  </w:sdtContent>
                </w:sdt>
                <w:tc>
                  <w:tcPr>
                    <w:tcW w:w="1489" w:type="dxa"/>
                  </w:tcPr>
                  <w:p w:rsidR="00312ECC" w:rsidRPr="00E04FAA" w:rsidRDefault="00312ECC" w:rsidP="004F50BC">
                    <w:pPr>
                      <w:jc w:val="right"/>
                    </w:pPr>
                    <w:r w:rsidRPr="00E04FAA">
                      <w:t>1,105,000</w:t>
                    </w:r>
                  </w:p>
                </w:tc>
                <w:tc>
                  <w:tcPr>
                    <w:tcW w:w="1489" w:type="dxa"/>
                  </w:tcPr>
                  <w:p w:rsidR="00312ECC" w:rsidRPr="00E04FAA" w:rsidRDefault="00312ECC" w:rsidP="004F50BC">
                    <w:pPr>
                      <w:jc w:val="right"/>
                    </w:pPr>
                    <w:r w:rsidRPr="00E04FAA">
                      <w:t>1,436,500</w:t>
                    </w:r>
                  </w:p>
                </w:tc>
                <w:tc>
                  <w:tcPr>
                    <w:tcW w:w="1484" w:type="dxa"/>
                  </w:tcPr>
                  <w:p w:rsidR="00312ECC" w:rsidRPr="00E04FAA" w:rsidRDefault="00312ECC" w:rsidP="004F50BC">
                    <w:pPr>
                      <w:jc w:val="right"/>
                    </w:pPr>
                    <w:r w:rsidRPr="00E04FAA">
                      <w:t>331,500</w:t>
                    </w:r>
                  </w:p>
                </w:tc>
                <w:tc>
                  <w:tcPr>
                    <w:tcW w:w="1450" w:type="dxa"/>
                  </w:tcPr>
                  <w:p w:rsidR="00312ECC" w:rsidRPr="00E04FAA" w:rsidRDefault="00312ECC" w:rsidP="004F50BC">
                    <w:pPr>
                      <w:jc w:val="left"/>
                    </w:pPr>
                    <w:r w:rsidRPr="00E04FAA">
                      <w:t>资本公积转增股本</w:t>
                    </w:r>
                  </w:p>
                </w:tc>
              </w:tr>
            </w:sdtContent>
          </w:sdt>
          <w:sdt>
            <w:sdtPr>
              <w:rPr>
                <w:rFonts w:ascii="Calibri" w:eastAsiaTheme="minorEastAsia" w:hAnsi="Calibri" w:cstheme="minorBidi" w:hint="eastAsia"/>
                <w:kern w:val="2"/>
                <w:szCs w:val="22"/>
              </w:rPr>
              <w:alias w:val="董事、监事、高级管理人员基本情况"/>
              <w:tag w:val="_GBC_637f1e2e02a742e98479d730ea2f8e02"/>
              <w:id w:val="-1522777906"/>
              <w:lock w:val="sdtLocked"/>
              <w:placeholder>
                <w:docPart w:val="F1E0045D8F9848909A72C7A2B38DB1E8"/>
              </w:placeholder>
            </w:sdtPr>
            <w:sdtContent>
              <w:tr w:rsidR="00312ECC" w:rsidRPr="00E04FAA" w:rsidTr="004F50BC">
                <w:tc>
                  <w:tcPr>
                    <w:tcW w:w="1461" w:type="dxa"/>
                  </w:tcPr>
                  <w:p w:rsidR="00312ECC" w:rsidRPr="00E04FAA" w:rsidRDefault="00312ECC" w:rsidP="004F50BC">
                    <w:pPr>
                      <w:jc w:val="left"/>
                    </w:pPr>
                    <w:r w:rsidRPr="00E04FAA">
                      <w:t>陈强兵</w:t>
                    </w:r>
                  </w:p>
                </w:tc>
                <w:sdt>
                  <w:sdtPr>
                    <w:rPr>
                      <w:rFonts w:hint="eastAsia"/>
                    </w:rPr>
                    <w:alias w:val="董事、监事、高级管理人员职务"/>
                    <w:tag w:val="_GBC_adb15e3b887d44c2a04f8e548067c2dd"/>
                    <w:id w:val="635295943"/>
                    <w:lock w:val="sdtLocked"/>
                    <w:comboBox>
                      <w:listItem w:displayText="董事" w:value="董事"/>
                      <w:listItem w:displayText="独立董事" w:value="独立董事"/>
                      <w:listItem w:displayText="监事" w:value="监事"/>
                      <w:listItem w:displayText="高管" w:value="高管"/>
                    </w:comboBox>
                  </w:sdtPr>
                  <w:sdtContent>
                    <w:tc>
                      <w:tcPr>
                        <w:tcW w:w="1450" w:type="dxa"/>
                      </w:tcPr>
                      <w:p w:rsidR="00312ECC" w:rsidRPr="00E04FAA" w:rsidRDefault="00312ECC" w:rsidP="004F50BC">
                        <w:pPr>
                          <w:jc w:val="left"/>
                        </w:pPr>
                        <w:r w:rsidRPr="00E04FAA">
                          <w:rPr>
                            <w:rFonts w:hint="eastAsia"/>
                          </w:rPr>
                          <w:t>董事</w:t>
                        </w:r>
                      </w:p>
                    </w:tc>
                  </w:sdtContent>
                </w:sdt>
                <w:tc>
                  <w:tcPr>
                    <w:tcW w:w="1489" w:type="dxa"/>
                  </w:tcPr>
                  <w:p w:rsidR="00312ECC" w:rsidRPr="00E04FAA" w:rsidRDefault="00312ECC" w:rsidP="004F50BC">
                    <w:pPr>
                      <w:jc w:val="right"/>
                    </w:pPr>
                    <w:r w:rsidRPr="00E04FAA">
                      <w:t>780,466</w:t>
                    </w:r>
                  </w:p>
                </w:tc>
                <w:tc>
                  <w:tcPr>
                    <w:tcW w:w="1489" w:type="dxa"/>
                  </w:tcPr>
                  <w:p w:rsidR="00312ECC" w:rsidRPr="00E04FAA" w:rsidRDefault="00312ECC" w:rsidP="004F50BC">
                    <w:pPr>
                      <w:jc w:val="right"/>
                    </w:pPr>
                    <w:r w:rsidRPr="00E04FAA">
                      <w:t>1,014,607</w:t>
                    </w:r>
                  </w:p>
                </w:tc>
                <w:tc>
                  <w:tcPr>
                    <w:tcW w:w="1484" w:type="dxa"/>
                  </w:tcPr>
                  <w:p w:rsidR="00312ECC" w:rsidRPr="00E04FAA" w:rsidRDefault="00312ECC" w:rsidP="004F50BC">
                    <w:pPr>
                      <w:jc w:val="right"/>
                    </w:pPr>
                    <w:r w:rsidRPr="00E04FAA">
                      <w:t>234,141</w:t>
                    </w:r>
                  </w:p>
                </w:tc>
                <w:tc>
                  <w:tcPr>
                    <w:tcW w:w="1450" w:type="dxa"/>
                  </w:tcPr>
                  <w:p w:rsidR="00312ECC" w:rsidRPr="00E04FAA" w:rsidRDefault="00312ECC" w:rsidP="004F50BC">
                    <w:pPr>
                      <w:jc w:val="left"/>
                    </w:pPr>
                    <w:r w:rsidRPr="00E04FAA">
                      <w:t>资本公积转增股本</w:t>
                    </w:r>
                  </w:p>
                </w:tc>
              </w:tr>
            </w:sdtContent>
          </w:sdt>
          <w:sdt>
            <w:sdtPr>
              <w:rPr>
                <w:rFonts w:ascii="Calibri" w:eastAsiaTheme="minorEastAsia" w:hAnsi="Calibri" w:cstheme="minorBidi" w:hint="eastAsia"/>
                <w:kern w:val="2"/>
                <w:szCs w:val="22"/>
              </w:rPr>
              <w:alias w:val="董事、监事、高级管理人员基本情况"/>
              <w:tag w:val="_GBC_637f1e2e02a742e98479d730ea2f8e02"/>
              <w:id w:val="-1536343929"/>
              <w:lock w:val="sdtLocked"/>
              <w:placeholder>
                <w:docPart w:val="F1E0045D8F9848909A72C7A2B38DB1E8"/>
              </w:placeholder>
            </w:sdtPr>
            <w:sdtContent>
              <w:tr w:rsidR="00312ECC" w:rsidRPr="00E04FAA" w:rsidTr="004F50BC">
                <w:tc>
                  <w:tcPr>
                    <w:tcW w:w="1461" w:type="dxa"/>
                  </w:tcPr>
                  <w:p w:rsidR="00312ECC" w:rsidRPr="00E04FAA" w:rsidRDefault="00312ECC" w:rsidP="004F50BC">
                    <w:pPr>
                      <w:jc w:val="left"/>
                    </w:pPr>
                    <w:r w:rsidRPr="00E04FAA">
                      <w:t>黄锦辉</w:t>
                    </w:r>
                  </w:p>
                </w:tc>
                <w:sdt>
                  <w:sdtPr>
                    <w:rPr>
                      <w:rFonts w:hint="eastAsia"/>
                    </w:rPr>
                    <w:alias w:val="董事、监事、高级管理人员职务"/>
                    <w:tag w:val="_GBC_adb15e3b887d44c2a04f8e548067c2dd"/>
                    <w:id w:val="1656412585"/>
                    <w:lock w:val="sdtLocked"/>
                    <w:comboBox>
                      <w:listItem w:displayText="董事" w:value="董事"/>
                      <w:listItem w:displayText="独立董事" w:value="独立董事"/>
                      <w:listItem w:displayText="监事" w:value="监事"/>
                      <w:listItem w:displayText="高管" w:value="高管"/>
                    </w:comboBox>
                  </w:sdtPr>
                  <w:sdtContent>
                    <w:tc>
                      <w:tcPr>
                        <w:tcW w:w="1450" w:type="dxa"/>
                      </w:tcPr>
                      <w:p w:rsidR="00312ECC" w:rsidRPr="00E04FAA" w:rsidRDefault="00312ECC" w:rsidP="004F50BC">
                        <w:pPr>
                          <w:jc w:val="left"/>
                        </w:pPr>
                        <w:r w:rsidRPr="00E04FAA">
                          <w:rPr>
                            <w:rFonts w:hint="eastAsia"/>
                          </w:rPr>
                          <w:t>独立董事</w:t>
                        </w:r>
                      </w:p>
                    </w:tc>
                  </w:sdtContent>
                </w:sdt>
                <w:tc>
                  <w:tcPr>
                    <w:tcW w:w="1489" w:type="dxa"/>
                  </w:tcPr>
                  <w:p w:rsidR="00312ECC" w:rsidRPr="00E04FAA" w:rsidRDefault="00312ECC" w:rsidP="004F50BC">
                    <w:pPr>
                      <w:jc w:val="right"/>
                    </w:pPr>
                    <w:r w:rsidRPr="00E04FAA">
                      <w:t>0</w:t>
                    </w:r>
                  </w:p>
                </w:tc>
                <w:tc>
                  <w:tcPr>
                    <w:tcW w:w="1489" w:type="dxa"/>
                  </w:tcPr>
                  <w:p w:rsidR="00312ECC" w:rsidRPr="00E04FAA" w:rsidRDefault="00312ECC" w:rsidP="004F50BC">
                    <w:pPr>
                      <w:jc w:val="right"/>
                    </w:pPr>
                    <w:r w:rsidRPr="00E04FAA">
                      <w:t>0</w:t>
                    </w:r>
                  </w:p>
                </w:tc>
                <w:tc>
                  <w:tcPr>
                    <w:tcW w:w="1484" w:type="dxa"/>
                  </w:tcPr>
                  <w:p w:rsidR="00312ECC" w:rsidRPr="00E04FAA" w:rsidRDefault="00312ECC" w:rsidP="004F50BC">
                    <w:pPr>
                      <w:jc w:val="right"/>
                    </w:pPr>
                    <w:r w:rsidRPr="00E04FAA">
                      <w:t>0</w:t>
                    </w:r>
                  </w:p>
                </w:tc>
                <w:tc>
                  <w:tcPr>
                    <w:tcW w:w="1450" w:type="dxa"/>
                  </w:tcPr>
                  <w:p w:rsidR="00312ECC" w:rsidRPr="00E04FAA" w:rsidRDefault="00312ECC" w:rsidP="004F50BC">
                    <w:pPr>
                      <w:jc w:val="left"/>
                    </w:pPr>
                    <w:r w:rsidRPr="00E04FAA">
                      <w:t xml:space="preserve">　</w:t>
                    </w:r>
                  </w:p>
                </w:tc>
              </w:tr>
            </w:sdtContent>
          </w:sdt>
          <w:sdt>
            <w:sdtPr>
              <w:rPr>
                <w:rFonts w:ascii="Calibri" w:eastAsiaTheme="minorEastAsia" w:hAnsi="Calibri" w:cstheme="minorBidi" w:hint="eastAsia"/>
                <w:kern w:val="2"/>
                <w:szCs w:val="22"/>
              </w:rPr>
              <w:alias w:val="董事、监事、高级管理人员基本情况"/>
              <w:tag w:val="_GBC_637f1e2e02a742e98479d730ea2f8e02"/>
              <w:id w:val="515053869"/>
              <w:lock w:val="sdtLocked"/>
              <w:placeholder>
                <w:docPart w:val="F1E0045D8F9848909A72C7A2B38DB1E8"/>
              </w:placeholder>
            </w:sdtPr>
            <w:sdtContent>
              <w:tr w:rsidR="00312ECC" w:rsidRPr="00E04FAA" w:rsidTr="004F50BC">
                <w:tc>
                  <w:tcPr>
                    <w:tcW w:w="1461" w:type="dxa"/>
                  </w:tcPr>
                  <w:p w:rsidR="00312ECC" w:rsidRPr="00E04FAA" w:rsidRDefault="00312ECC" w:rsidP="004F50BC">
                    <w:pPr>
                      <w:jc w:val="left"/>
                    </w:pPr>
                    <w:r w:rsidRPr="00E04FAA">
                      <w:t>于扬</w:t>
                    </w:r>
                  </w:p>
                </w:tc>
                <w:sdt>
                  <w:sdtPr>
                    <w:rPr>
                      <w:rFonts w:hint="eastAsia"/>
                    </w:rPr>
                    <w:alias w:val="董事、监事、高级管理人员职务"/>
                    <w:tag w:val="_GBC_adb15e3b887d44c2a04f8e548067c2dd"/>
                    <w:id w:val="-852870251"/>
                    <w:lock w:val="sdtLocked"/>
                    <w:comboBox>
                      <w:listItem w:displayText="董事" w:value="董事"/>
                      <w:listItem w:displayText="独立董事" w:value="独立董事"/>
                      <w:listItem w:displayText="监事" w:value="监事"/>
                      <w:listItem w:displayText="高管" w:value="高管"/>
                    </w:comboBox>
                  </w:sdtPr>
                  <w:sdtContent>
                    <w:tc>
                      <w:tcPr>
                        <w:tcW w:w="1450" w:type="dxa"/>
                      </w:tcPr>
                      <w:p w:rsidR="00312ECC" w:rsidRPr="00E04FAA" w:rsidRDefault="00312ECC" w:rsidP="004F50BC">
                        <w:pPr>
                          <w:jc w:val="left"/>
                        </w:pPr>
                        <w:r w:rsidRPr="00E04FAA">
                          <w:rPr>
                            <w:rFonts w:hint="eastAsia"/>
                          </w:rPr>
                          <w:t>独立董事</w:t>
                        </w:r>
                      </w:p>
                    </w:tc>
                  </w:sdtContent>
                </w:sdt>
                <w:tc>
                  <w:tcPr>
                    <w:tcW w:w="1489" w:type="dxa"/>
                  </w:tcPr>
                  <w:p w:rsidR="00312ECC" w:rsidRPr="00E04FAA" w:rsidRDefault="00312ECC" w:rsidP="004F50BC">
                    <w:pPr>
                      <w:jc w:val="right"/>
                    </w:pPr>
                    <w:r w:rsidRPr="00E04FAA">
                      <w:t>0</w:t>
                    </w:r>
                  </w:p>
                </w:tc>
                <w:tc>
                  <w:tcPr>
                    <w:tcW w:w="1489" w:type="dxa"/>
                  </w:tcPr>
                  <w:p w:rsidR="00312ECC" w:rsidRPr="00E04FAA" w:rsidRDefault="00312ECC" w:rsidP="004F50BC">
                    <w:pPr>
                      <w:jc w:val="right"/>
                    </w:pPr>
                    <w:r w:rsidRPr="00E04FAA">
                      <w:t>0</w:t>
                    </w:r>
                  </w:p>
                </w:tc>
                <w:tc>
                  <w:tcPr>
                    <w:tcW w:w="1484" w:type="dxa"/>
                  </w:tcPr>
                  <w:p w:rsidR="00312ECC" w:rsidRPr="00E04FAA" w:rsidRDefault="00312ECC" w:rsidP="004F50BC">
                    <w:pPr>
                      <w:jc w:val="right"/>
                    </w:pPr>
                    <w:r w:rsidRPr="00E04FAA">
                      <w:t>0</w:t>
                    </w:r>
                  </w:p>
                </w:tc>
                <w:tc>
                  <w:tcPr>
                    <w:tcW w:w="1450" w:type="dxa"/>
                  </w:tcPr>
                  <w:p w:rsidR="00312ECC" w:rsidRPr="00E04FAA" w:rsidRDefault="00312ECC" w:rsidP="004F50BC">
                    <w:pPr>
                      <w:jc w:val="left"/>
                    </w:pPr>
                    <w:r w:rsidRPr="00E04FAA">
                      <w:t xml:space="preserve">　</w:t>
                    </w:r>
                  </w:p>
                </w:tc>
              </w:tr>
            </w:sdtContent>
          </w:sdt>
          <w:sdt>
            <w:sdtPr>
              <w:rPr>
                <w:rFonts w:ascii="Calibri" w:eastAsiaTheme="minorEastAsia" w:hAnsi="Calibri" w:cstheme="minorBidi" w:hint="eastAsia"/>
                <w:kern w:val="2"/>
                <w:szCs w:val="22"/>
              </w:rPr>
              <w:alias w:val="董事、监事、高级管理人员基本情况"/>
              <w:tag w:val="_GBC_637f1e2e02a742e98479d730ea2f8e02"/>
              <w:id w:val="1246074454"/>
              <w:lock w:val="sdtLocked"/>
              <w:placeholder>
                <w:docPart w:val="F1E0045D8F9848909A72C7A2B38DB1E8"/>
              </w:placeholder>
            </w:sdtPr>
            <w:sdtContent>
              <w:tr w:rsidR="00312ECC" w:rsidRPr="00E04FAA" w:rsidTr="004F50BC">
                <w:tc>
                  <w:tcPr>
                    <w:tcW w:w="1461" w:type="dxa"/>
                  </w:tcPr>
                  <w:p w:rsidR="00312ECC" w:rsidRPr="00E04FAA" w:rsidRDefault="00312ECC" w:rsidP="004F50BC">
                    <w:pPr>
                      <w:jc w:val="left"/>
                    </w:pPr>
                    <w:r w:rsidRPr="00E04FAA">
                      <w:t>张为国</w:t>
                    </w:r>
                  </w:p>
                </w:tc>
                <w:sdt>
                  <w:sdtPr>
                    <w:rPr>
                      <w:rFonts w:hint="eastAsia"/>
                    </w:rPr>
                    <w:alias w:val="董事、监事、高级管理人员职务"/>
                    <w:tag w:val="_GBC_adb15e3b887d44c2a04f8e548067c2dd"/>
                    <w:id w:val="375363622"/>
                    <w:lock w:val="sdtLocked"/>
                    <w:comboBox>
                      <w:listItem w:displayText="董事" w:value="董事"/>
                      <w:listItem w:displayText="独立董事" w:value="独立董事"/>
                      <w:listItem w:displayText="监事" w:value="监事"/>
                      <w:listItem w:displayText="高管" w:value="高管"/>
                    </w:comboBox>
                  </w:sdtPr>
                  <w:sdtContent>
                    <w:tc>
                      <w:tcPr>
                        <w:tcW w:w="1450" w:type="dxa"/>
                      </w:tcPr>
                      <w:p w:rsidR="00312ECC" w:rsidRPr="00E04FAA" w:rsidRDefault="00312ECC" w:rsidP="004F50BC">
                        <w:pPr>
                          <w:jc w:val="left"/>
                        </w:pPr>
                        <w:r w:rsidRPr="00E04FAA">
                          <w:rPr>
                            <w:rFonts w:hint="eastAsia"/>
                          </w:rPr>
                          <w:t>独立董事</w:t>
                        </w:r>
                      </w:p>
                    </w:tc>
                  </w:sdtContent>
                </w:sdt>
                <w:tc>
                  <w:tcPr>
                    <w:tcW w:w="1489" w:type="dxa"/>
                  </w:tcPr>
                  <w:p w:rsidR="00312ECC" w:rsidRPr="00E04FAA" w:rsidRDefault="00312ECC" w:rsidP="004F50BC">
                    <w:pPr>
                      <w:jc w:val="right"/>
                    </w:pPr>
                    <w:r w:rsidRPr="00E04FAA">
                      <w:t>0</w:t>
                    </w:r>
                  </w:p>
                </w:tc>
                <w:tc>
                  <w:tcPr>
                    <w:tcW w:w="1489" w:type="dxa"/>
                  </w:tcPr>
                  <w:p w:rsidR="00312ECC" w:rsidRPr="00E04FAA" w:rsidRDefault="00312ECC" w:rsidP="004F50BC">
                    <w:pPr>
                      <w:jc w:val="right"/>
                    </w:pPr>
                    <w:r w:rsidRPr="00E04FAA">
                      <w:t>0</w:t>
                    </w:r>
                  </w:p>
                </w:tc>
                <w:tc>
                  <w:tcPr>
                    <w:tcW w:w="1484" w:type="dxa"/>
                  </w:tcPr>
                  <w:p w:rsidR="00312ECC" w:rsidRPr="00E04FAA" w:rsidRDefault="00312ECC" w:rsidP="004F50BC">
                    <w:pPr>
                      <w:jc w:val="right"/>
                    </w:pPr>
                    <w:r w:rsidRPr="00E04FAA">
                      <w:t>0</w:t>
                    </w:r>
                  </w:p>
                </w:tc>
                <w:tc>
                  <w:tcPr>
                    <w:tcW w:w="1450" w:type="dxa"/>
                  </w:tcPr>
                  <w:p w:rsidR="00312ECC" w:rsidRPr="00E04FAA" w:rsidRDefault="00312ECC" w:rsidP="004F50BC">
                    <w:pPr>
                      <w:jc w:val="left"/>
                    </w:pPr>
                    <w:r w:rsidRPr="00E04FAA">
                      <w:t xml:space="preserve">　</w:t>
                    </w:r>
                  </w:p>
                </w:tc>
              </w:tr>
            </w:sdtContent>
          </w:sdt>
          <w:sdt>
            <w:sdtPr>
              <w:rPr>
                <w:rFonts w:ascii="Calibri" w:eastAsiaTheme="minorEastAsia" w:hAnsi="Calibri" w:cstheme="minorBidi" w:hint="eastAsia"/>
                <w:kern w:val="2"/>
                <w:szCs w:val="22"/>
              </w:rPr>
              <w:alias w:val="董事、监事、高级管理人员基本情况"/>
              <w:tag w:val="_GBC_637f1e2e02a742e98479d730ea2f8e02"/>
              <w:id w:val="1697663922"/>
              <w:lock w:val="sdtLocked"/>
              <w:placeholder>
                <w:docPart w:val="F1E0045D8F9848909A72C7A2B38DB1E8"/>
              </w:placeholder>
            </w:sdtPr>
            <w:sdtContent>
              <w:tr w:rsidR="00312ECC" w:rsidRPr="00E04FAA" w:rsidTr="004F50BC">
                <w:tc>
                  <w:tcPr>
                    <w:tcW w:w="1461" w:type="dxa"/>
                  </w:tcPr>
                  <w:p w:rsidR="00312ECC" w:rsidRPr="00E04FAA" w:rsidRDefault="00312ECC" w:rsidP="004F50BC">
                    <w:pPr>
                      <w:jc w:val="left"/>
                    </w:pPr>
                    <w:r w:rsidRPr="00E04FAA">
                      <w:t>许建钢</w:t>
                    </w:r>
                  </w:p>
                </w:tc>
                <w:sdt>
                  <w:sdtPr>
                    <w:rPr>
                      <w:rFonts w:hint="eastAsia"/>
                    </w:rPr>
                    <w:alias w:val="董事、监事、高级管理人员职务"/>
                    <w:tag w:val="_GBC_adb15e3b887d44c2a04f8e548067c2dd"/>
                    <w:id w:val="-1244713429"/>
                    <w:lock w:val="sdtLocked"/>
                    <w:comboBox>
                      <w:listItem w:displayText="董事" w:value="董事"/>
                      <w:listItem w:displayText="独立董事" w:value="独立董事"/>
                      <w:listItem w:displayText="监事" w:value="监事"/>
                      <w:listItem w:displayText="高管" w:value="高管"/>
                    </w:comboBox>
                  </w:sdtPr>
                  <w:sdtContent>
                    <w:tc>
                      <w:tcPr>
                        <w:tcW w:w="1450" w:type="dxa"/>
                      </w:tcPr>
                      <w:p w:rsidR="00312ECC" w:rsidRPr="00E04FAA" w:rsidRDefault="00312ECC" w:rsidP="004F50BC">
                        <w:pPr>
                          <w:jc w:val="left"/>
                        </w:pPr>
                        <w:r w:rsidRPr="00E04FAA">
                          <w:rPr>
                            <w:rFonts w:hint="eastAsia"/>
                          </w:rPr>
                          <w:t>监事</w:t>
                        </w:r>
                      </w:p>
                    </w:tc>
                  </w:sdtContent>
                </w:sdt>
                <w:tc>
                  <w:tcPr>
                    <w:tcW w:w="1489" w:type="dxa"/>
                  </w:tcPr>
                  <w:p w:rsidR="00312ECC" w:rsidRPr="00E04FAA" w:rsidRDefault="00312ECC" w:rsidP="004F50BC">
                    <w:pPr>
                      <w:jc w:val="right"/>
                    </w:pPr>
                    <w:r w:rsidRPr="00E04FAA">
                      <w:t>287,698</w:t>
                    </w:r>
                  </w:p>
                </w:tc>
                <w:tc>
                  <w:tcPr>
                    <w:tcW w:w="1489" w:type="dxa"/>
                  </w:tcPr>
                  <w:p w:rsidR="00312ECC" w:rsidRPr="00E04FAA" w:rsidRDefault="00312ECC" w:rsidP="004F50BC">
                    <w:pPr>
                      <w:jc w:val="right"/>
                    </w:pPr>
                    <w:r w:rsidRPr="00E04FAA">
                      <w:t>374,007</w:t>
                    </w:r>
                  </w:p>
                </w:tc>
                <w:tc>
                  <w:tcPr>
                    <w:tcW w:w="1484" w:type="dxa"/>
                  </w:tcPr>
                  <w:p w:rsidR="00312ECC" w:rsidRPr="00E04FAA" w:rsidRDefault="00312ECC" w:rsidP="004F50BC">
                    <w:pPr>
                      <w:jc w:val="right"/>
                    </w:pPr>
                    <w:r w:rsidRPr="00E04FAA">
                      <w:t>86,309.4</w:t>
                    </w:r>
                  </w:p>
                </w:tc>
                <w:tc>
                  <w:tcPr>
                    <w:tcW w:w="1450" w:type="dxa"/>
                  </w:tcPr>
                  <w:p w:rsidR="00312ECC" w:rsidRPr="00E04FAA" w:rsidRDefault="00312ECC" w:rsidP="004F50BC">
                    <w:pPr>
                      <w:jc w:val="left"/>
                    </w:pPr>
                    <w:r w:rsidRPr="00E04FAA">
                      <w:t>资本公积转增股本</w:t>
                    </w:r>
                  </w:p>
                </w:tc>
              </w:tr>
            </w:sdtContent>
          </w:sdt>
          <w:sdt>
            <w:sdtPr>
              <w:rPr>
                <w:rFonts w:ascii="Calibri" w:eastAsiaTheme="minorEastAsia" w:hAnsi="Calibri" w:cstheme="minorBidi" w:hint="eastAsia"/>
                <w:kern w:val="2"/>
                <w:szCs w:val="22"/>
              </w:rPr>
              <w:alias w:val="董事、监事、高级管理人员基本情况"/>
              <w:tag w:val="_GBC_637f1e2e02a742e98479d730ea2f8e02"/>
              <w:id w:val="1787225345"/>
              <w:lock w:val="sdtLocked"/>
              <w:placeholder>
                <w:docPart w:val="F1E0045D8F9848909A72C7A2B38DB1E8"/>
              </w:placeholder>
            </w:sdtPr>
            <w:sdtContent>
              <w:tr w:rsidR="00312ECC" w:rsidRPr="00E04FAA" w:rsidTr="004F50BC">
                <w:tc>
                  <w:tcPr>
                    <w:tcW w:w="1461" w:type="dxa"/>
                  </w:tcPr>
                  <w:p w:rsidR="00312ECC" w:rsidRPr="00E04FAA" w:rsidRDefault="00312ECC" w:rsidP="004F50BC">
                    <w:pPr>
                      <w:jc w:val="left"/>
                    </w:pPr>
                    <w:r w:rsidRPr="00E04FAA">
                      <w:t>章珂</w:t>
                    </w:r>
                  </w:p>
                </w:tc>
                <w:sdt>
                  <w:sdtPr>
                    <w:rPr>
                      <w:rFonts w:hint="eastAsia"/>
                    </w:rPr>
                    <w:alias w:val="董事、监事、高级管理人员职务"/>
                    <w:tag w:val="_GBC_adb15e3b887d44c2a04f8e548067c2dd"/>
                    <w:id w:val="757718364"/>
                    <w:lock w:val="sdtLocked"/>
                    <w:comboBox>
                      <w:listItem w:displayText="董事" w:value="董事"/>
                      <w:listItem w:displayText="独立董事" w:value="独立董事"/>
                      <w:listItem w:displayText="监事" w:value="监事"/>
                      <w:listItem w:displayText="高管" w:value="高管"/>
                    </w:comboBox>
                  </w:sdtPr>
                  <w:sdtContent>
                    <w:tc>
                      <w:tcPr>
                        <w:tcW w:w="1450" w:type="dxa"/>
                      </w:tcPr>
                      <w:p w:rsidR="00312ECC" w:rsidRPr="00E04FAA" w:rsidRDefault="00312ECC" w:rsidP="004F50BC">
                        <w:pPr>
                          <w:jc w:val="left"/>
                        </w:pPr>
                        <w:r w:rsidRPr="00E04FAA">
                          <w:rPr>
                            <w:rFonts w:hint="eastAsia"/>
                          </w:rPr>
                          <w:t>监事</w:t>
                        </w:r>
                      </w:p>
                    </w:tc>
                  </w:sdtContent>
                </w:sdt>
                <w:tc>
                  <w:tcPr>
                    <w:tcW w:w="1489" w:type="dxa"/>
                  </w:tcPr>
                  <w:p w:rsidR="00312ECC" w:rsidRPr="00E04FAA" w:rsidRDefault="00312ECC" w:rsidP="004F50BC">
                    <w:pPr>
                      <w:jc w:val="right"/>
                    </w:pPr>
                    <w:r w:rsidRPr="00E04FAA">
                      <w:t>0</w:t>
                    </w:r>
                  </w:p>
                </w:tc>
                <w:tc>
                  <w:tcPr>
                    <w:tcW w:w="1489" w:type="dxa"/>
                  </w:tcPr>
                  <w:p w:rsidR="00312ECC" w:rsidRPr="00E04FAA" w:rsidRDefault="00312ECC" w:rsidP="004F50BC">
                    <w:pPr>
                      <w:jc w:val="right"/>
                    </w:pPr>
                    <w:r w:rsidRPr="00E04FAA">
                      <w:t>0</w:t>
                    </w:r>
                  </w:p>
                </w:tc>
                <w:tc>
                  <w:tcPr>
                    <w:tcW w:w="1484" w:type="dxa"/>
                  </w:tcPr>
                  <w:p w:rsidR="00312ECC" w:rsidRPr="00E04FAA" w:rsidRDefault="00312ECC" w:rsidP="004F50BC">
                    <w:pPr>
                      <w:jc w:val="right"/>
                    </w:pPr>
                    <w:r w:rsidRPr="00E04FAA">
                      <w:t>0</w:t>
                    </w:r>
                  </w:p>
                </w:tc>
                <w:tc>
                  <w:tcPr>
                    <w:tcW w:w="1450" w:type="dxa"/>
                  </w:tcPr>
                  <w:p w:rsidR="00312ECC" w:rsidRPr="00E04FAA" w:rsidRDefault="00312ECC" w:rsidP="004F50BC">
                    <w:pPr>
                      <w:jc w:val="left"/>
                    </w:pPr>
                    <w:r w:rsidRPr="00E04FAA">
                      <w:t xml:space="preserve">　</w:t>
                    </w:r>
                  </w:p>
                </w:tc>
              </w:tr>
            </w:sdtContent>
          </w:sdt>
          <w:sdt>
            <w:sdtPr>
              <w:rPr>
                <w:rFonts w:ascii="Calibri" w:eastAsiaTheme="minorEastAsia" w:hAnsi="Calibri" w:cstheme="minorBidi" w:hint="eastAsia"/>
                <w:kern w:val="2"/>
                <w:szCs w:val="22"/>
              </w:rPr>
              <w:alias w:val="董事、监事、高级管理人员基本情况"/>
              <w:tag w:val="_GBC_637f1e2e02a742e98479d730ea2f8e02"/>
              <w:id w:val="385610925"/>
              <w:lock w:val="sdtLocked"/>
              <w:placeholder>
                <w:docPart w:val="F1E0045D8F9848909A72C7A2B38DB1E8"/>
              </w:placeholder>
            </w:sdtPr>
            <w:sdtContent>
              <w:tr w:rsidR="00312ECC" w:rsidRPr="00E04FAA" w:rsidTr="004F50BC">
                <w:tc>
                  <w:tcPr>
                    <w:tcW w:w="1461" w:type="dxa"/>
                  </w:tcPr>
                  <w:p w:rsidR="00312ECC" w:rsidRPr="00E04FAA" w:rsidRDefault="00312ECC" w:rsidP="004F50BC">
                    <w:pPr>
                      <w:jc w:val="left"/>
                    </w:pPr>
                    <w:r w:rsidRPr="00E04FAA">
                      <w:t>高志勇</w:t>
                    </w:r>
                  </w:p>
                </w:tc>
                <w:sdt>
                  <w:sdtPr>
                    <w:rPr>
                      <w:rFonts w:hint="eastAsia"/>
                    </w:rPr>
                    <w:alias w:val="董事、监事、高级管理人员职务"/>
                    <w:tag w:val="_GBC_adb15e3b887d44c2a04f8e548067c2dd"/>
                    <w:id w:val="-748655266"/>
                    <w:lock w:val="sdtLocked"/>
                    <w:comboBox>
                      <w:listItem w:displayText="董事" w:value="董事"/>
                      <w:listItem w:displayText="独立董事" w:value="独立董事"/>
                      <w:listItem w:displayText="监事" w:value="监事"/>
                      <w:listItem w:displayText="高管" w:value="高管"/>
                    </w:comboBox>
                  </w:sdtPr>
                  <w:sdtContent>
                    <w:tc>
                      <w:tcPr>
                        <w:tcW w:w="1450" w:type="dxa"/>
                      </w:tcPr>
                      <w:p w:rsidR="00312ECC" w:rsidRPr="00E04FAA" w:rsidRDefault="00312ECC" w:rsidP="004F50BC">
                        <w:pPr>
                          <w:jc w:val="left"/>
                        </w:pPr>
                        <w:r w:rsidRPr="00E04FAA">
                          <w:rPr>
                            <w:rFonts w:hint="eastAsia"/>
                          </w:rPr>
                          <w:t>监事</w:t>
                        </w:r>
                      </w:p>
                    </w:tc>
                  </w:sdtContent>
                </w:sdt>
                <w:tc>
                  <w:tcPr>
                    <w:tcW w:w="1489" w:type="dxa"/>
                  </w:tcPr>
                  <w:p w:rsidR="00312ECC" w:rsidRPr="00E04FAA" w:rsidRDefault="00312ECC" w:rsidP="004F50BC">
                    <w:pPr>
                      <w:jc w:val="right"/>
                    </w:pPr>
                    <w:r w:rsidRPr="00E04FAA">
                      <w:t>0</w:t>
                    </w:r>
                  </w:p>
                </w:tc>
                <w:tc>
                  <w:tcPr>
                    <w:tcW w:w="1489" w:type="dxa"/>
                  </w:tcPr>
                  <w:p w:rsidR="00312ECC" w:rsidRPr="00E04FAA" w:rsidRDefault="00312ECC" w:rsidP="004F50BC">
                    <w:pPr>
                      <w:jc w:val="right"/>
                    </w:pPr>
                    <w:r w:rsidRPr="00E04FAA">
                      <w:t>0</w:t>
                    </w:r>
                  </w:p>
                </w:tc>
                <w:tc>
                  <w:tcPr>
                    <w:tcW w:w="1484" w:type="dxa"/>
                  </w:tcPr>
                  <w:p w:rsidR="00312ECC" w:rsidRPr="00E04FAA" w:rsidRDefault="00312ECC" w:rsidP="004F50BC">
                    <w:pPr>
                      <w:jc w:val="right"/>
                    </w:pPr>
                    <w:r w:rsidRPr="00E04FAA">
                      <w:t>0</w:t>
                    </w:r>
                  </w:p>
                </w:tc>
                <w:tc>
                  <w:tcPr>
                    <w:tcW w:w="1450" w:type="dxa"/>
                  </w:tcPr>
                  <w:p w:rsidR="00312ECC" w:rsidRPr="00E04FAA" w:rsidRDefault="00312ECC" w:rsidP="004F50BC">
                    <w:pPr>
                      <w:jc w:val="left"/>
                    </w:pPr>
                    <w:r w:rsidRPr="00E04FAA">
                      <w:t xml:space="preserve">　</w:t>
                    </w:r>
                  </w:p>
                </w:tc>
              </w:tr>
            </w:sdtContent>
          </w:sdt>
          <w:sdt>
            <w:sdtPr>
              <w:rPr>
                <w:rFonts w:ascii="Calibri" w:eastAsiaTheme="minorEastAsia" w:hAnsi="Calibri" w:cstheme="minorBidi" w:hint="eastAsia"/>
                <w:kern w:val="2"/>
                <w:szCs w:val="22"/>
              </w:rPr>
              <w:alias w:val="董事、监事、高级管理人员基本情况"/>
              <w:tag w:val="_GBC_637f1e2e02a742e98479d730ea2f8e02"/>
              <w:id w:val="204611924"/>
              <w:lock w:val="sdtLocked"/>
              <w:placeholder>
                <w:docPart w:val="F1E0045D8F9848909A72C7A2B38DB1E8"/>
              </w:placeholder>
            </w:sdtPr>
            <w:sdtContent>
              <w:tr w:rsidR="00312ECC" w:rsidRPr="00E04FAA" w:rsidTr="004F50BC">
                <w:tc>
                  <w:tcPr>
                    <w:tcW w:w="1461" w:type="dxa"/>
                  </w:tcPr>
                  <w:p w:rsidR="00312ECC" w:rsidRPr="00E04FAA" w:rsidRDefault="00312ECC" w:rsidP="004F50BC">
                    <w:pPr>
                      <w:jc w:val="left"/>
                    </w:pPr>
                    <w:r w:rsidRPr="00E04FAA">
                      <w:t>谢志华</w:t>
                    </w:r>
                  </w:p>
                </w:tc>
                <w:sdt>
                  <w:sdtPr>
                    <w:rPr>
                      <w:rFonts w:hint="eastAsia"/>
                    </w:rPr>
                    <w:alias w:val="董事、监事、高级管理人员职务"/>
                    <w:tag w:val="_GBC_adb15e3b887d44c2a04f8e548067c2dd"/>
                    <w:id w:val="-161085868"/>
                    <w:lock w:val="sdtLocked"/>
                    <w:comboBox>
                      <w:listItem w:displayText="董事" w:value="董事"/>
                      <w:listItem w:displayText="独立董事" w:value="独立董事"/>
                      <w:listItem w:displayText="监事" w:value="监事"/>
                      <w:listItem w:displayText="高管" w:value="高管"/>
                    </w:comboBox>
                  </w:sdtPr>
                  <w:sdtContent>
                    <w:tc>
                      <w:tcPr>
                        <w:tcW w:w="1450" w:type="dxa"/>
                      </w:tcPr>
                      <w:p w:rsidR="00312ECC" w:rsidRPr="00E04FAA" w:rsidRDefault="00312ECC" w:rsidP="004F50BC">
                        <w:pPr>
                          <w:jc w:val="left"/>
                        </w:pPr>
                        <w:r w:rsidRPr="00E04FAA">
                          <w:rPr>
                            <w:rFonts w:hint="eastAsia"/>
                          </w:rPr>
                          <w:t>高管</w:t>
                        </w:r>
                      </w:p>
                    </w:tc>
                  </w:sdtContent>
                </w:sdt>
                <w:tc>
                  <w:tcPr>
                    <w:tcW w:w="1489" w:type="dxa"/>
                  </w:tcPr>
                  <w:p w:rsidR="00312ECC" w:rsidRPr="00E04FAA" w:rsidRDefault="00312ECC" w:rsidP="004F50BC">
                    <w:pPr>
                      <w:jc w:val="right"/>
                    </w:pPr>
                    <w:r w:rsidRPr="00E04FAA">
                      <w:t>652,290</w:t>
                    </w:r>
                  </w:p>
                </w:tc>
                <w:tc>
                  <w:tcPr>
                    <w:tcW w:w="1489" w:type="dxa"/>
                  </w:tcPr>
                  <w:p w:rsidR="00312ECC" w:rsidRPr="00E04FAA" w:rsidRDefault="00312ECC" w:rsidP="004F50BC">
                    <w:pPr>
                      <w:jc w:val="right"/>
                    </w:pPr>
                    <w:r w:rsidRPr="00E04FAA">
                      <w:t>847,976</w:t>
                    </w:r>
                  </w:p>
                </w:tc>
                <w:tc>
                  <w:tcPr>
                    <w:tcW w:w="1484" w:type="dxa"/>
                  </w:tcPr>
                  <w:p w:rsidR="00312ECC" w:rsidRPr="00E04FAA" w:rsidRDefault="00312ECC" w:rsidP="004F50BC">
                    <w:pPr>
                      <w:jc w:val="right"/>
                    </w:pPr>
                    <w:r w:rsidRPr="00E04FAA">
                      <w:t>195,686</w:t>
                    </w:r>
                  </w:p>
                </w:tc>
                <w:tc>
                  <w:tcPr>
                    <w:tcW w:w="1450" w:type="dxa"/>
                  </w:tcPr>
                  <w:p w:rsidR="00312ECC" w:rsidRPr="00E04FAA" w:rsidRDefault="00312ECC" w:rsidP="004F50BC">
                    <w:pPr>
                      <w:jc w:val="left"/>
                    </w:pPr>
                    <w:r w:rsidRPr="00E04FAA">
                      <w:t>资本公积转增股本</w:t>
                    </w:r>
                  </w:p>
                </w:tc>
              </w:tr>
            </w:sdtContent>
          </w:sdt>
          <w:sdt>
            <w:sdtPr>
              <w:rPr>
                <w:rFonts w:ascii="Calibri" w:eastAsiaTheme="minorEastAsia" w:hAnsi="Calibri" w:cstheme="minorBidi" w:hint="eastAsia"/>
                <w:kern w:val="2"/>
                <w:szCs w:val="22"/>
              </w:rPr>
              <w:alias w:val="董事、监事、高级管理人员基本情况"/>
              <w:tag w:val="_GBC_637f1e2e02a742e98479d730ea2f8e02"/>
              <w:id w:val="-645437292"/>
              <w:lock w:val="sdtLocked"/>
              <w:placeholder>
                <w:docPart w:val="FFEF76BCF69A4E80AC34884FD222810E"/>
              </w:placeholder>
            </w:sdtPr>
            <w:sdtContent>
              <w:tr w:rsidR="00D57F7A" w:rsidRPr="00E04FAA" w:rsidTr="004F50BC">
                <w:tc>
                  <w:tcPr>
                    <w:tcW w:w="1461" w:type="dxa"/>
                  </w:tcPr>
                  <w:p w:rsidR="00D57F7A" w:rsidRPr="00E04FAA" w:rsidRDefault="00D57F7A" w:rsidP="00D57F7A">
                    <w:pPr>
                      <w:jc w:val="left"/>
                    </w:pPr>
                    <w:r w:rsidRPr="00E04FAA">
                      <w:t>章培林</w:t>
                    </w:r>
                  </w:p>
                </w:tc>
                <w:sdt>
                  <w:sdtPr>
                    <w:rPr>
                      <w:rFonts w:hint="eastAsia"/>
                    </w:rPr>
                    <w:alias w:val="董事、监事、高级管理人员职务"/>
                    <w:tag w:val="_GBC_adb15e3b887d44c2a04f8e548067c2dd"/>
                    <w:id w:val="-604105252"/>
                    <w:lock w:val="sdtLocked"/>
                    <w:comboBox>
                      <w:listItem w:displayText="董事" w:value="董事"/>
                      <w:listItem w:displayText="独立董事" w:value="独立董事"/>
                      <w:listItem w:displayText="监事" w:value="监事"/>
                      <w:listItem w:displayText="高管" w:value="高管"/>
                    </w:comboBox>
                  </w:sdtPr>
                  <w:sdtContent>
                    <w:tc>
                      <w:tcPr>
                        <w:tcW w:w="1450" w:type="dxa"/>
                      </w:tcPr>
                      <w:p w:rsidR="00D57F7A" w:rsidRPr="00E04FAA" w:rsidRDefault="00085105" w:rsidP="00D57F7A">
                        <w:pPr>
                          <w:jc w:val="left"/>
                        </w:pPr>
                        <w:r>
                          <w:rPr>
                            <w:rFonts w:hint="eastAsia"/>
                          </w:rPr>
                          <w:t>高管</w:t>
                        </w:r>
                      </w:p>
                    </w:tc>
                  </w:sdtContent>
                </w:sdt>
                <w:tc>
                  <w:tcPr>
                    <w:tcW w:w="1489" w:type="dxa"/>
                  </w:tcPr>
                  <w:p w:rsidR="00D57F7A" w:rsidRPr="00E04FAA" w:rsidRDefault="00D57F7A" w:rsidP="00D57F7A">
                    <w:pPr>
                      <w:jc w:val="right"/>
                      <w:rPr>
                        <w:color w:val="FF0000"/>
                      </w:rPr>
                    </w:pPr>
                    <w:r w:rsidRPr="00E04FAA">
                      <w:t>1,176,179</w:t>
                    </w:r>
                  </w:p>
                </w:tc>
                <w:tc>
                  <w:tcPr>
                    <w:tcW w:w="1489" w:type="dxa"/>
                  </w:tcPr>
                  <w:p w:rsidR="00D57F7A" w:rsidRPr="00E04FAA" w:rsidRDefault="00D57F7A" w:rsidP="00D57F7A">
                    <w:pPr>
                      <w:jc w:val="right"/>
                      <w:rPr>
                        <w:color w:val="FF0000"/>
                      </w:rPr>
                    </w:pPr>
                    <w:r w:rsidRPr="00E04FAA">
                      <w:t xml:space="preserve"> 1,529,032</w:t>
                    </w:r>
                  </w:p>
                </w:tc>
                <w:tc>
                  <w:tcPr>
                    <w:tcW w:w="1484" w:type="dxa"/>
                  </w:tcPr>
                  <w:p w:rsidR="00D57F7A" w:rsidRPr="00E04FAA" w:rsidRDefault="00D57F7A" w:rsidP="00D57F7A">
                    <w:pPr>
                      <w:jc w:val="right"/>
                    </w:pPr>
                    <w:r w:rsidRPr="00E04FAA">
                      <w:t xml:space="preserve">352,853 </w:t>
                    </w:r>
                  </w:p>
                </w:tc>
                <w:tc>
                  <w:tcPr>
                    <w:tcW w:w="1450" w:type="dxa"/>
                  </w:tcPr>
                  <w:p w:rsidR="00D57F7A" w:rsidRPr="00E04FAA" w:rsidRDefault="00D57F7A" w:rsidP="00D57F7A">
                    <w:pPr>
                      <w:jc w:val="left"/>
                    </w:pPr>
                    <w:r w:rsidRPr="00E04FAA">
                      <w:t>资本公积转增股本</w:t>
                    </w:r>
                  </w:p>
                </w:tc>
              </w:tr>
            </w:sdtContent>
          </w:sdt>
          <w:sdt>
            <w:sdtPr>
              <w:rPr>
                <w:rFonts w:ascii="Calibri" w:eastAsiaTheme="minorEastAsia" w:hAnsi="Calibri" w:cstheme="minorBidi" w:hint="eastAsia"/>
                <w:kern w:val="2"/>
                <w:szCs w:val="22"/>
              </w:rPr>
              <w:alias w:val="董事、监事、高级管理人员基本情况"/>
              <w:tag w:val="_GBC_637f1e2e02a742e98479d730ea2f8e02"/>
              <w:id w:val="-1828208412"/>
              <w:lock w:val="sdtLocked"/>
              <w:placeholder>
                <w:docPart w:val="FFEF76BCF69A4E80AC34884FD222810E"/>
              </w:placeholder>
            </w:sdtPr>
            <w:sdtContent>
              <w:tr w:rsidR="00D57F7A" w:rsidRPr="00E04FAA" w:rsidTr="004F50BC">
                <w:tc>
                  <w:tcPr>
                    <w:tcW w:w="1461" w:type="dxa"/>
                  </w:tcPr>
                  <w:p w:rsidR="00D57F7A" w:rsidRPr="00E04FAA" w:rsidRDefault="00D57F7A" w:rsidP="00D57F7A">
                    <w:pPr>
                      <w:jc w:val="left"/>
                    </w:pPr>
                    <w:r w:rsidRPr="00E04FAA">
                      <w:t>欧阳青</w:t>
                    </w:r>
                  </w:p>
                </w:tc>
                <w:sdt>
                  <w:sdtPr>
                    <w:rPr>
                      <w:rFonts w:hint="eastAsia"/>
                    </w:rPr>
                    <w:alias w:val="董事、监事、高级管理人员职务"/>
                    <w:tag w:val="_GBC_adb15e3b887d44c2a04f8e548067c2dd"/>
                    <w:id w:val="1363481313"/>
                    <w:lock w:val="sdtLocked"/>
                    <w:comboBox>
                      <w:listItem w:displayText="董事" w:value="董事"/>
                      <w:listItem w:displayText="独立董事" w:value="独立董事"/>
                      <w:listItem w:displayText="监事" w:value="监事"/>
                      <w:listItem w:displayText="高管" w:value="高管"/>
                    </w:comboBox>
                  </w:sdtPr>
                  <w:sdtContent>
                    <w:tc>
                      <w:tcPr>
                        <w:tcW w:w="1450" w:type="dxa"/>
                      </w:tcPr>
                      <w:p w:rsidR="00D57F7A" w:rsidRPr="00E04FAA" w:rsidRDefault="00404A02" w:rsidP="00D57F7A">
                        <w:pPr>
                          <w:jc w:val="left"/>
                        </w:pPr>
                        <w:r>
                          <w:rPr>
                            <w:rFonts w:hint="eastAsia"/>
                          </w:rPr>
                          <w:t>高管</w:t>
                        </w:r>
                      </w:p>
                    </w:tc>
                  </w:sdtContent>
                </w:sdt>
                <w:tc>
                  <w:tcPr>
                    <w:tcW w:w="1489" w:type="dxa"/>
                  </w:tcPr>
                  <w:p w:rsidR="00D57F7A" w:rsidRPr="00E04FAA" w:rsidRDefault="00D57F7A" w:rsidP="00D57F7A">
                    <w:pPr>
                      <w:jc w:val="right"/>
                      <w:rPr>
                        <w:color w:val="FF0000"/>
                      </w:rPr>
                    </w:pPr>
                    <w:r w:rsidRPr="00E04FAA">
                      <w:t>1,105,533</w:t>
                    </w:r>
                  </w:p>
                </w:tc>
                <w:tc>
                  <w:tcPr>
                    <w:tcW w:w="1489" w:type="dxa"/>
                  </w:tcPr>
                  <w:p w:rsidR="00D57F7A" w:rsidRPr="00E04FAA" w:rsidRDefault="00D57F7A" w:rsidP="00D57F7A">
                    <w:pPr>
                      <w:jc w:val="right"/>
                      <w:rPr>
                        <w:color w:val="FF0000"/>
                      </w:rPr>
                    </w:pPr>
                    <w:r w:rsidRPr="00E04FAA">
                      <w:t xml:space="preserve">1,437,194 </w:t>
                    </w:r>
                  </w:p>
                </w:tc>
                <w:tc>
                  <w:tcPr>
                    <w:tcW w:w="1484" w:type="dxa"/>
                  </w:tcPr>
                  <w:p w:rsidR="00D57F7A" w:rsidRPr="00E04FAA" w:rsidRDefault="00D57F7A" w:rsidP="00D57F7A">
                    <w:pPr>
                      <w:jc w:val="right"/>
                    </w:pPr>
                    <w:r w:rsidRPr="00E04FAA">
                      <w:t xml:space="preserve">331,661 </w:t>
                    </w:r>
                  </w:p>
                </w:tc>
                <w:tc>
                  <w:tcPr>
                    <w:tcW w:w="1450" w:type="dxa"/>
                  </w:tcPr>
                  <w:p w:rsidR="00D57F7A" w:rsidRPr="00E04FAA" w:rsidRDefault="00D57F7A" w:rsidP="00D57F7A">
                    <w:pPr>
                      <w:jc w:val="left"/>
                    </w:pPr>
                    <w:r w:rsidRPr="00E04FAA">
                      <w:t>资本公积转增股本</w:t>
                    </w:r>
                  </w:p>
                </w:tc>
              </w:tr>
            </w:sdtContent>
          </w:sdt>
          <w:sdt>
            <w:sdtPr>
              <w:rPr>
                <w:rFonts w:ascii="Calibri" w:eastAsiaTheme="minorEastAsia" w:hAnsi="Calibri" w:cstheme="minorBidi" w:hint="eastAsia"/>
                <w:kern w:val="2"/>
                <w:szCs w:val="22"/>
              </w:rPr>
              <w:alias w:val="董事、监事、高级管理人员基本情况"/>
              <w:tag w:val="_GBC_637f1e2e02a742e98479d730ea2f8e02"/>
              <w:id w:val="-929050241"/>
              <w:lock w:val="sdtLocked"/>
              <w:placeholder>
                <w:docPart w:val="F1E0045D8F9848909A72C7A2B38DB1E8"/>
              </w:placeholder>
            </w:sdtPr>
            <w:sdtContent>
              <w:tr w:rsidR="00312ECC" w:rsidRPr="00E04FAA" w:rsidTr="004F50BC">
                <w:tc>
                  <w:tcPr>
                    <w:tcW w:w="1461" w:type="dxa"/>
                  </w:tcPr>
                  <w:p w:rsidR="00312ECC" w:rsidRPr="00E04FAA" w:rsidRDefault="00312ECC" w:rsidP="004F50BC">
                    <w:pPr>
                      <w:jc w:val="left"/>
                    </w:pPr>
                    <w:r w:rsidRPr="00E04FAA">
                      <w:t>王健</w:t>
                    </w:r>
                  </w:p>
                </w:tc>
                <w:sdt>
                  <w:sdtPr>
                    <w:rPr>
                      <w:rFonts w:hint="eastAsia"/>
                    </w:rPr>
                    <w:alias w:val="董事、监事、高级管理人员职务"/>
                    <w:tag w:val="_GBC_adb15e3b887d44c2a04f8e548067c2dd"/>
                    <w:id w:val="1680232738"/>
                    <w:lock w:val="sdtLocked"/>
                    <w:comboBox>
                      <w:listItem w:displayText="董事" w:value="董事"/>
                      <w:listItem w:displayText="独立董事" w:value="独立董事"/>
                      <w:listItem w:displayText="监事" w:value="监事"/>
                      <w:listItem w:displayText="高管" w:value="高管"/>
                    </w:comboBox>
                  </w:sdtPr>
                  <w:sdtContent>
                    <w:tc>
                      <w:tcPr>
                        <w:tcW w:w="1450" w:type="dxa"/>
                      </w:tcPr>
                      <w:p w:rsidR="00312ECC" w:rsidRPr="00E04FAA" w:rsidRDefault="00312ECC" w:rsidP="004F50BC">
                        <w:pPr>
                          <w:jc w:val="left"/>
                        </w:pPr>
                        <w:r w:rsidRPr="00E04FAA">
                          <w:rPr>
                            <w:rFonts w:hint="eastAsia"/>
                          </w:rPr>
                          <w:t>高管</w:t>
                        </w:r>
                      </w:p>
                    </w:tc>
                  </w:sdtContent>
                </w:sdt>
                <w:tc>
                  <w:tcPr>
                    <w:tcW w:w="1489" w:type="dxa"/>
                  </w:tcPr>
                  <w:p w:rsidR="00312ECC" w:rsidRPr="00E04FAA" w:rsidRDefault="00312ECC" w:rsidP="004F50BC">
                    <w:pPr>
                      <w:jc w:val="right"/>
                    </w:pPr>
                    <w:r w:rsidRPr="00E04FAA">
                      <w:t>280,285</w:t>
                    </w:r>
                  </w:p>
                </w:tc>
                <w:tc>
                  <w:tcPr>
                    <w:tcW w:w="1489" w:type="dxa"/>
                  </w:tcPr>
                  <w:p w:rsidR="00312ECC" w:rsidRPr="00E04FAA" w:rsidRDefault="00312ECC" w:rsidP="004F50BC">
                    <w:pPr>
                      <w:jc w:val="right"/>
                    </w:pPr>
                    <w:r w:rsidRPr="00E04FAA">
                      <w:t>364,370</w:t>
                    </w:r>
                  </w:p>
                </w:tc>
                <w:tc>
                  <w:tcPr>
                    <w:tcW w:w="1484" w:type="dxa"/>
                  </w:tcPr>
                  <w:p w:rsidR="00312ECC" w:rsidRPr="00E04FAA" w:rsidRDefault="00312ECC" w:rsidP="004F50BC">
                    <w:pPr>
                      <w:jc w:val="right"/>
                    </w:pPr>
                    <w:r w:rsidRPr="00E04FAA">
                      <w:t>84,085</w:t>
                    </w:r>
                  </w:p>
                </w:tc>
                <w:tc>
                  <w:tcPr>
                    <w:tcW w:w="1450" w:type="dxa"/>
                  </w:tcPr>
                  <w:p w:rsidR="00312ECC" w:rsidRPr="00E04FAA" w:rsidRDefault="00312ECC" w:rsidP="004F50BC">
                    <w:pPr>
                      <w:jc w:val="left"/>
                    </w:pPr>
                    <w:r w:rsidRPr="00E04FAA">
                      <w:t>资本公积转增股本</w:t>
                    </w:r>
                  </w:p>
                </w:tc>
              </w:tr>
            </w:sdtContent>
          </w:sdt>
          <w:sdt>
            <w:sdtPr>
              <w:rPr>
                <w:rFonts w:ascii="Calibri" w:eastAsiaTheme="minorEastAsia" w:hAnsi="Calibri" w:cstheme="minorBidi" w:hint="eastAsia"/>
                <w:kern w:val="2"/>
                <w:szCs w:val="22"/>
              </w:rPr>
              <w:alias w:val="董事、监事、高级管理人员基本情况"/>
              <w:tag w:val="_GBC_637f1e2e02a742e98479d730ea2f8e02"/>
              <w:id w:val="1298885043"/>
              <w:lock w:val="sdtLocked"/>
              <w:placeholder>
                <w:docPart w:val="F1E0045D8F9848909A72C7A2B38DB1E8"/>
              </w:placeholder>
            </w:sdtPr>
            <w:sdtContent>
              <w:tr w:rsidR="00312ECC" w:rsidRPr="00E04FAA" w:rsidTr="004F50BC">
                <w:tc>
                  <w:tcPr>
                    <w:tcW w:w="1461" w:type="dxa"/>
                  </w:tcPr>
                  <w:p w:rsidR="00312ECC" w:rsidRPr="00E04FAA" w:rsidRDefault="00312ECC" w:rsidP="004F50BC">
                    <w:pPr>
                      <w:jc w:val="left"/>
                    </w:pPr>
                    <w:r w:rsidRPr="00E04FAA">
                      <w:t>徐洋</w:t>
                    </w:r>
                  </w:p>
                </w:tc>
                <w:sdt>
                  <w:sdtPr>
                    <w:rPr>
                      <w:rFonts w:hint="eastAsia"/>
                    </w:rPr>
                    <w:alias w:val="董事、监事、高级管理人员职务"/>
                    <w:tag w:val="_GBC_adb15e3b887d44c2a04f8e548067c2dd"/>
                    <w:id w:val="1351144721"/>
                    <w:lock w:val="sdtLocked"/>
                    <w:comboBox>
                      <w:listItem w:displayText="董事" w:value="董事"/>
                      <w:listItem w:displayText="独立董事" w:value="独立董事"/>
                      <w:listItem w:displayText="监事" w:value="监事"/>
                      <w:listItem w:displayText="高管" w:value="高管"/>
                    </w:comboBox>
                  </w:sdtPr>
                  <w:sdtContent>
                    <w:tc>
                      <w:tcPr>
                        <w:tcW w:w="1450" w:type="dxa"/>
                      </w:tcPr>
                      <w:p w:rsidR="00312ECC" w:rsidRPr="00E04FAA" w:rsidRDefault="00312ECC" w:rsidP="004F50BC">
                        <w:pPr>
                          <w:jc w:val="left"/>
                        </w:pPr>
                        <w:r w:rsidRPr="00E04FAA">
                          <w:rPr>
                            <w:rFonts w:hint="eastAsia"/>
                          </w:rPr>
                          <w:t>高管</w:t>
                        </w:r>
                      </w:p>
                    </w:tc>
                  </w:sdtContent>
                </w:sdt>
                <w:tc>
                  <w:tcPr>
                    <w:tcW w:w="1489" w:type="dxa"/>
                  </w:tcPr>
                  <w:p w:rsidR="00312ECC" w:rsidRPr="00E04FAA" w:rsidRDefault="00312ECC" w:rsidP="004F50BC">
                    <w:pPr>
                      <w:jc w:val="right"/>
                    </w:pPr>
                    <w:r w:rsidRPr="00E04FAA">
                      <w:t>273,002</w:t>
                    </w:r>
                  </w:p>
                </w:tc>
                <w:tc>
                  <w:tcPr>
                    <w:tcW w:w="1489" w:type="dxa"/>
                  </w:tcPr>
                  <w:p w:rsidR="00312ECC" w:rsidRPr="00E04FAA" w:rsidRDefault="00312ECC" w:rsidP="004F50BC">
                    <w:pPr>
                      <w:jc w:val="right"/>
                    </w:pPr>
                    <w:r w:rsidRPr="00E04FAA">
                      <w:t>354,902</w:t>
                    </w:r>
                  </w:p>
                </w:tc>
                <w:tc>
                  <w:tcPr>
                    <w:tcW w:w="1484" w:type="dxa"/>
                  </w:tcPr>
                  <w:p w:rsidR="00312ECC" w:rsidRPr="00E04FAA" w:rsidRDefault="00312ECC" w:rsidP="004F50BC">
                    <w:pPr>
                      <w:jc w:val="right"/>
                    </w:pPr>
                    <w:r w:rsidRPr="00E04FAA">
                      <w:t>81,900</w:t>
                    </w:r>
                  </w:p>
                </w:tc>
                <w:tc>
                  <w:tcPr>
                    <w:tcW w:w="1450" w:type="dxa"/>
                  </w:tcPr>
                  <w:p w:rsidR="00312ECC" w:rsidRPr="00E04FAA" w:rsidRDefault="00312ECC" w:rsidP="004F50BC">
                    <w:pPr>
                      <w:jc w:val="left"/>
                    </w:pPr>
                    <w:r w:rsidRPr="00E04FAA">
                      <w:t>资本公积转增股本</w:t>
                    </w:r>
                  </w:p>
                </w:tc>
              </w:tr>
            </w:sdtContent>
          </w:sdt>
          <w:sdt>
            <w:sdtPr>
              <w:rPr>
                <w:rFonts w:ascii="Calibri" w:eastAsiaTheme="minorEastAsia" w:hAnsi="Calibri" w:cstheme="minorBidi" w:hint="eastAsia"/>
                <w:kern w:val="2"/>
                <w:szCs w:val="22"/>
              </w:rPr>
              <w:alias w:val="董事、监事、高级管理人员基本情况"/>
              <w:tag w:val="_GBC_637f1e2e02a742e98479d730ea2f8e02"/>
              <w:id w:val="1696191796"/>
              <w:lock w:val="sdtLocked"/>
              <w:placeholder>
                <w:docPart w:val="F1E0045D8F9848909A72C7A2B38DB1E8"/>
              </w:placeholder>
            </w:sdtPr>
            <w:sdtContent>
              <w:tr w:rsidR="00312ECC" w:rsidRPr="00E04FAA" w:rsidTr="004F50BC">
                <w:tc>
                  <w:tcPr>
                    <w:tcW w:w="1461" w:type="dxa"/>
                  </w:tcPr>
                  <w:p w:rsidR="00312ECC" w:rsidRPr="00E04FAA" w:rsidRDefault="00312ECC" w:rsidP="004F50BC">
                    <w:pPr>
                      <w:jc w:val="left"/>
                    </w:pPr>
                    <w:r w:rsidRPr="00E04FAA">
                      <w:t>左骏</w:t>
                    </w:r>
                  </w:p>
                </w:tc>
                <w:sdt>
                  <w:sdtPr>
                    <w:rPr>
                      <w:rFonts w:hint="eastAsia"/>
                    </w:rPr>
                    <w:alias w:val="董事、监事、高级管理人员职务"/>
                    <w:tag w:val="_GBC_adb15e3b887d44c2a04f8e548067c2dd"/>
                    <w:id w:val="1064214447"/>
                    <w:lock w:val="sdtLocked"/>
                    <w:comboBox>
                      <w:listItem w:displayText="董事" w:value="董事"/>
                      <w:listItem w:displayText="独立董事" w:value="独立董事"/>
                      <w:listItem w:displayText="监事" w:value="监事"/>
                      <w:listItem w:displayText="高管" w:value="高管"/>
                    </w:comboBox>
                  </w:sdtPr>
                  <w:sdtContent>
                    <w:tc>
                      <w:tcPr>
                        <w:tcW w:w="1450" w:type="dxa"/>
                      </w:tcPr>
                      <w:p w:rsidR="00312ECC" w:rsidRPr="00E04FAA" w:rsidRDefault="00312ECC" w:rsidP="004F50BC">
                        <w:pPr>
                          <w:jc w:val="left"/>
                        </w:pPr>
                        <w:r w:rsidRPr="00E04FAA">
                          <w:rPr>
                            <w:rFonts w:hint="eastAsia"/>
                          </w:rPr>
                          <w:t>高管</w:t>
                        </w:r>
                      </w:p>
                    </w:tc>
                  </w:sdtContent>
                </w:sdt>
                <w:tc>
                  <w:tcPr>
                    <w:tcW w:w="1489" w:type="dxa"/>
                  </w:tcPr>
                  <w:p w:rsidR="00312ECC" w:rsidRPr="00E04FAA" w:rsidRDefault="00312ECC" w:rsidP="004F50BC">
                    <w:pPr>
                      <w:jc w:val="right"/>
                    </w:pPr>
                    <w:r w:rsidRPr="00E04FAA">
                      <w:t>305,762</w:t>
                    </w:r>
                  </w:p>
                </w:tc>
                <w:tc>
                  <w:tcPr>
                    <w:tcW w:w="1489" w:type="dxa"/>
                  </w:tcPr>
                  <w:p w:rsidR="00312ECC" w:rsidRPr="00E04FAA" w:rsidRDefault="00312ECC" w:rsidP="004F50BC">
                    <w:pPr>
                      <w:jc w:val="right"/>
                    </w:pPr>
                    <w:r w:rsidRPr="00E04FAA">
                      <w:t>397,490</w:t>
                    </w:r>
                  </w:p>
                </w:tc>
                <w:tc>
                  <w:tcPr>
                    <w:tcW w:w="1484" w:type="dxa"/>
                  </w:tcPr>
                  <w:p w:rsidR="00312ECC" w:rsidRPr="00E04FAA" w:rsidRDefault="00312ECC" w:rsidP="004F50BC">
                    <w:pPr>
                      <w:jc w:val="right"/>
                    </w:pPr>
                    <w:r w:rsidRPr="00E04FAA">
                      <w:t>91,728</w:t>
                    </w:r>
                  </w:p>
                </w:tc>
                <w:tc>
                  <w:tcPr>
                    <w:tcW w:w="1450" w:type="dxa"/>
                  </w:tcPr>
                  <w:p w:rsidR="00312ECC" w:rsidRPr="00E04FAA" w:rsidRDefault="00312ECC" w:rsidP="004F50BC">
                    <w:pPr>
                      <w:jc w:val="left"/>
                    </w:pPr>
                    <w:r w:rsidRPr="00E04FAA">
                      <w:t>资本公积转增股本</w:t>
                    </w:r>
                  </w:p>
                </w:tc>
              </w:tr>
            </w:sdtContent>
          </w:sdt>
          <w:sdt>
            <w:sdtPr>
              <w:rPr>
                <w:rFonts w:ascii="Calibri" w:eastAsiaTheme="minorEastAsia" w:hAnsi="Calibri" w:cstheme="minorBidi" w:hint="eastAsia"/>
                <w:kern w:val="2"/>
                <w:szCs w:val="22"/>
              </w:rPr>
              <w:alias w:val="董事、监事、高级管理人员基本情况"/>
              <w:tag w:val="_GBC_637f1e2e02a742e98479d730ea2f8e02"/>
              <w:id w:val="-1465186116"/>
              <w:lock w:val="sdtLocked"/>
              <w:placeholder>
                <w:docPart w:val="F1E0045D8F9848909A72C7A2B38DB1E8"/>
              </w:placeholder>
            </w:sdtPr>
            <w:sdtContent>
              <w:tr w:rsidR="00312ECC" w:rsidRPr="00E04FAA" w:rsidTr="004F50BC">
                <w:tc>
                  <w:tcPr>
                    <w:tcW w:w="1461" w:type="dxa"/>
                  </w:tcPr>
                  <w:p w:rsidR="00312ECC" w:rsidRPr="00E04FAA" w:rsidRDefault="00312ECC" w:rsidP="004F50BC">
                    <w:pPr>
                      <w:jc w:val="left"/>
                    </w:pPr>
                    <w:r w:rsidRPr="00E04FAA">
                      <w:t>任志刚</w:t>
                    </w:r>
                  </w:p>
                </w:tc>
                <w:sdt>
                  <w:sdtPr>
                    <w:rPr>
                      <w:rFonts w:hint="eastAsia"/>
                    </w:rPr>
                    <w:alias w:val="董事、监事、高级管理人员职务"/>
                    <w:tag w:val="_GBC_adb15e3b887d44c2a04f8e548067c2dd"/>
                    <w:id w:val="-1709572108"/>
                    <w:lock w:val="sdtLocked"/>
                    <w:comboBox>
                      <w:listItem w:displayText="董事" w:value="董事"/>
                      <w:listItem w:displayText="独立董事" w:value="独立董事"/>
                      <w:listItem w:displayText="监事" w:value="监事"/>
                      <w:listItem w:displayText="高管" w:value="高管"/>
                    </w:comboBox>
                  </w:sdtPr>
                  <w:sdtContent>
                    <w:tc>
                      <w:tcPr>
                        <w:tcW w:w="1450" w:type="dxa"/>
                      </w:tcPr>
                      <w:p w:rsidR="00312ECC" w:rsidRPr="00E04FAA" w:rsidRDefault="00312ECC" w:rsidP="004F50BC">
                        <w:pPr>
                          <w:jc w:val="left"/>
                        </w:pPr>
                        <w:r w:rsidRPr="00E04FAA">
                          <w:rPr>
                            <w:rFonts w:hint="eastAsia"/>
                          </w:rPr>
                          <w:t>高管</w:t>
                        </w:r>
                      </w:p>
                    </w:tc>
                  </w:sdtContent>
                </w:sdt>
                <w:tc>
                  <w:tcPr>
                    <w:tcW w:w="1489" w:type="dxa"/>
                  </w:tcPr>
                  <w:p w:rsidR="00312ECC" w:rsidRPr="00E04FAA" w:rsidRDefault="00312ECC" w:rsidP="004F50BC">
                    <w:pPr>
                      <w:jc w:val="right"/>
                    </w:pPr>
                    <w:r w:rsidRPr="00E04FAA">
                      <w:t>375,693</w:t>
                    </w:r>
                  </w:p>
                </w:tc>
                <w:tc>
                  <w:tcPr>
                    <w:tcW w:w="1489" w:type="dxa"/>
                  </w:tcPr>
                  <w:p w:rsidR="00312ECC" w:rsidRPr="00E04FAA" w:rsidRDefault="00312ECC" w:rsidP="004F50BC">
                    <w:pPr>
                      <w:jc w:val="right"/>
                    </w:pPr>
                    <w:r w:rsidRPr="00E04FAA">
                      <w:t>488,400</w:t>
                    </w:r>
                  </w:p>
                </w:tc>
                <w:tc>
                  <w:tcPr>
                    <w:tcW w:w="1484" w:type="dxa"/>
                  </w:tcPr>
                  <w:p w:rsidR="00312ECC" w:rsidRPr="00E04FAA" w:rsidRDefault="00312ECC" w:rsidP="004F50BC">
                    <w:pPr>
                      <w:jc w:val="right"/>
                    </w:pPr>
                    <w:r w:rsidRPr="00E04FAA">
                      <w:t>112,707</w:t>
                    </w:r>
                  </w:p>
                </w:tc>
                <w:tc>
                  <w:tcPr>
                    <w:tcW w:w="1450" w:type="dxa"/>
                  </w:tcPr>
                  <w:p w:rsidR="00312ECC" w:rsidRPr="00E04FAA" w:rsidRDefault="00312ECC" w:rsidP="004F50BC">
                    <w:pPr>
                      <w:jc w:val="left"/>
                    </w:pPr>
                    <w:r w:rsidRPr="00E04FAA">
                      <w:t>资本公积转增股本</w:t>
                    </w:r>
                  </w:p>
                </w:tc>
              </w:tr>
            </w:sdtContent>
          </w:sdt>
          <w:sdt>
            <w:sdtPr>
              <w:rPr>
                <w:rFonts w:ascii="Calibri" w:eastAsiaTheme="minorEastAsia" w:hAnsi="Calibri" w:cstheme="minorBidi" w:hint="eastAsia"/>
                <w:kern w:val="2"/>
                <w:szCs w:val="22"/>
              </w:rPr>
              <w:alias w:val="董事、监事、高级管理人员基本情况"/>
              <w:tag w:val="_GBC_637f1e2e02a742e98479d730ea2f8e02"/>
              <w:id w:val="457072702"/>
              <w:lock w:val="sdtLocked"/>
              <w:placeholder>
                <w:docPart w:val="F1E0045D8F9848909A72C7A2B38DB1E8"/>
              </w:placeholder>
            </w:sdtPr>
            <w:sdtContent>
              <w:tr w:rsidR="00312ECC" w:rsidRPr="00E04FAA" w:rsidTr="004F50BC">
                <w:tc>
                  <w:tcPr>
                    <w:tcW w:w="1461" w:type="dxa"/>
                  </w:tcPr>
                  <w:p w:rsidR="00312ECC" w:rsidRPr="00E04FAA" w:rsidRDefault="00312ECC" w:rsidP="004F50BC">
                    <w:pPr>
                      <w:jc w:val="left"/>
                    </w:pPr>
                    <w:r w:rsidRPr="00E04FAA">
                      <w:t>杜宇</w:t>
                    </w:r>
                  </w:p>
                </w:tc>
                <w:sdt>
                  <w:sdtPr>
                    <w:rPr>
                      <w:rFonts w:hint="eastAsia"/>
                    </w:rPr>
                    <w:alias w:val="董事、监事、高级管理人员职务"/>
                    <w:tag w:val="_GBC_adb15e3b887d44c2a04f8e548067c2dd"/>
                    <w:id w:val="1734189267"/>
                    <w:lock w:val="sdtLocked"/>
                    <w:comboBox>
                      <w:listItem w:displayText="董事" w:value="董事"/>
                      <w:listItem w:displayText="独立董事" w:value="独立董事"/>
                      <w:listItem w:displayText="监事" w:value="监事"/>
                      <w:listItem w:displayText="高管" w:value="高管"/>
                    </w:comboBox>
                  </w:sdtPr>
                  <w:sdtContent>
                    <w:tc>
                      <w:tcPr>
                        <w:tcW w:w="1450" w:type="dxa"/>
                      </w:tcPr>
                      <w:p w:rsidR="00312ECC" w:rsidRPr="00E04FAA" w:rsidRDefault="00312ECC" w:rsidP="004F50BC">
                        <w:pPr>
                          <w:jc w:val="left"/>
                        </w:pPr>
                        <w:r w:rsidRPr="00E04FAA">
                          <w:rPr>
                            <w:rFonts w:hint="eastAsia"/>
                          </w:rPr>
                          <w:t>高管</w:t>
                        </w:r>
                      </w:p>
                    </w:tc>
                  </w:sdtContent>
                </w:sdt>
                <w:tc>
                  <w:tcPr>
                    <w:tcW w:w="1489" w:type="dxa"/>
                  </w:tcPr>
                  <w:p w:rsidR="00312ECC" w:rsidRPr="00E04FAA" w:rsidRDefault="00312ECC" w:rsidP="004F50BC">
                    <w:pPr>
                      <w:jc w:val="right"/>
                    </w:pPr>
                    <w:r w:rsidRPr="00E04FAA">
                      <w:t>210,600</w:t>
                    </w:r>
                  </w:p>
                </w:tc>
                <w:tc>
                  <w:tcPr>
                    <w:tcW w:w="1489" w:type="dxa"/>
                  </w:tcPr>
                  <w:p w:rsidR="00312ECC" w:rsidRPr="00E04FAA" w:rsidRDefault="00312ECC" w:rsidP="004F50BC">
                    <w:pPr>
                      <w:jc w:val="right"/>
                    </w:pPr>
                    <w:r w:rsidRPr="00E04FAA">
                      <w:t>273,780</w:t>
                    </w:r>
                  </w:p>
                </w:tc>
                <w:tc>
                  <w:tcPr>
                    <w:tcW w:w="1484" w:type="dxa"/>
                  </w:tcPr>
                  <w:p w:rsidR="00312ECC" w:rsidRPr="00E04FAA" w:rsidRDefault="00312ECC" w:rsidP="004F50BC">
                    <w:pPr>
                      <w:jc w:val="right"/>
                    </w:pPr>
                    <w:r w:rsidRPr="00E04FAA">
                      <w:t>63,180</w:t>
                    </w:r>
                  </w:p>
                </w:tc>
                <w:tc>
                  <w:tcPr>
                    <w:tcW w:w="1450" w:type="dxa"/>
                  </w:tcPr>
                  <w:p w:rsidR="00312ECC" w:rsidRPr="00E04FAA" w:rsidRDefault="00312ECC" w:rsidP="004F50BC">
                    <w:pPr>
                      <w:jc w:val="left"/>
                    </w:pPr>
                    <w:r w:rsidRPr="00E04FAA">
                      <w:t>资本公积转增股本</w:t>
                    </w:r>
                  </w:p>
                </w:tc>
              </w:tr>
            </w:sdtContent>
          </w:sdt>
          <w:sdt>
            <w:sdtPr>
              <w:rPr>
                <w:rFonts w:ascii="Calibri" w:eastAsiaTheme="minorEastAsia" w:hAnsi="Calibri" w:cstheme="minorBidi" w:hint="eastAsia"/>
                <w:kern w:val="2"/>
                <w:szCs w:val="22"/>
              </w:rPr>
              <w:alias w:val="董事、监事、高级管理人员基本情况"/>
              <w:tag w:val="_GBC_637f1e2e02a742e98479d730ea2f8e02"/>
              <w:id w:val="1832100573"/>
              <w:lock w:val="sdtLocked"/>
              <w:placeholder>
                <w:docPart w:val="F1E0045D8F9848909A72C7A2B38DB1E8"/>
              </w:placeholder>
            </w:sdtPr>
            <w:sdtContent>
              <w:tr w:rsidR="00312ECC" w:rsidRPr="00E04FAA" w:rsidTr="004F50BC">
                <w:tc>
                  <w:tcPr>
                    <w:tcW w:w="1461" w:type="dxa"/>
                  </w:tcPr>
                  <w:p w:rsidR="00312ECC" w:rsidRPr="00E04FAA" w:rsidRDefault="00312ECC" w:rsidP="004F50BC">
                    <w:pPr>
                      <w:jc w:val="left"/>
                    </w:pPr>
                    <w:r w:rsidRPr="00E04FAA">
                      <w:t>牛立伟</w:t>
                    </w:r>
                  </w:p>
                </w:tc>
                <w:sdt>
                  <w:sdtPr>
                    <w:rPr>
                      <w:rFonts w:hint="eastAsia"/>
                    </w:rPr>
                    <w:alias w:val="董事、监事、高级管理人员职务"/>
                    <w:tag w:val="_GBC_adb15e3b887d44c2a04f8e548067c2dd"/>
                    <w:id w:val="1940480795"/>
                    <w:lock w:val="sdtLocked"/>
                    <w:comboBox>
                      <w:listItem w:displayText="董事" w:value="董事"/>
                      <w:listItem w:displayText="独立董事" w:value="独立董事"/>
                      <w:listItem w:displayText="监事" w:value="监事"/>
                      <w:listItem w:displayText="高管" w:value="高管"/>
                    </w:comboBox>
                  </w:sdtPr>
                  <w:sdtContent>
                    <w:tc>
                      <w:tcPr>
                        <w:tcW w:w="1450" w:type="dxa"/>
                      </w:tcPr>
                      <w:p w:rsidR="00312ECC" w:rsidRPr="00E04FAA" w:rsidRDefault="00312ECC" w:rsidP="004F50BC">
                        <w:pPr>
                          <w:jc w:val="left"/>
                        </w:pPr>
                        <w:r w:rsidRPr="00E04FAA">
                          <w:rPr>
                            <w:rFonts w:hint="eastAsia"/>
                          </w:rPr>
                          <w:t>高管</w:t>
                        </w:r>
                      </w:p>
                    </w:tc>
                  </w:sdtContent>
                </w:sdt>
                <w:tc>
                  <w:tcPr>
                    <w:tcW w:w="1489" w:type="dxa"/>
                  </w:tcPr>
                  <w:p w:rsidR="00312ECC" w:rsidRPr="00E04FAA" w:rsidRDefault="00312ECC" w:rsidP="004F50BC">
                    <w:pPr>
                      <w:jc w:val="right"/>
                    </w:pPr>
                    <w:r w:rsidRPr="00E04FAA">
                      <w:t>0</w:t>
                    </w:r>
                  </w:p>
                </w:tc>
                <w:tc>
                  <w:tcPr>
                    <w:tcW w:w="1489" w:type="dxa"/>
                  </w:tcPr>
                  <w:p w:rsidR="00312ECC" w:rsidRPr="00E04FAA" w:rsidRDefault="00312ECC" w:rsidP="004F50BC">
                    <w:pPr>
                      <w:jc w:val="right"/>
                      <w:rPr>
                        <w:color w:val="FF0000"/>
                      </w:rPr>
                    </w:pPr>
                    <w:r w:rsidRPr="00E04FAA">
                      <w:t>0</w:t>
                    </w:r>
                  </w:p>
                </w:tc>
                <w:tc>
                  <w:tcPr>
                    <w:tcW w:w="1484" w:type="dxa"/>
                  </w:tcPr>
                  <w:p w:rsidR="00312ECC" w:rsidRPr="00E04FAA" w:rsidRDefault="00312ECC" w:rsidP="004F50BC">
                    <w:pPr>
                      <w:jc w:val="right"/>
                      <w:rPr>
                        <w:color w:val="FF0000"/>
                      </w:rPr>
                    </w:pPr>
                    <w:r w:rsidRPr="00E04FAA">
                      <w:t>0</w:t>
                    </w:r>
                  </w:p>
                </w:tc>
                <w:tc>
                  <w:tcPr>
                    <w:tcW w:w="1450" w:type="dxa"/>
                  </w:tcPr>
                  <w:p w:rsidR="00312ECC" w:rsidRPr="00E04FAA" w:rsidRDefault="00312ECC" w:rsidP="004F50BC">
                    <w:pPr>
                      <w:jc w:val="left"/>
                    </w:pPr>
                    <w:r w:rsidRPr="00E04FAA">
                      <w:t xml:space="preserve">　</w:t>
                    </w:r>
                  </w:p>
                </w:tc>
              </w:tr>
            </w:sdtContent>
          </w:sdt>
          <w:sdt>
            <w:sdtPr>
              <w:rPr>
                <w:rFonts w:ascii="Calibri" w:eastAsiaTheme="minorEastAsia" w:hAnsi="Calibri" w:cstheme="minorBidi" w:hint="eastAsia"/>
                <w:kern w:val="2"/>
                <w:szCs w:val="22"/>
              </w:rPr>
              <w:alias w:val="董事、监事、高级管理人员基本情况"/>
              <w:tag w:val="_GBC_637f1e2e02a742e98479d730ea2f8e02"/>
              <w:id w:val="400869218"/>
              <w:lock w:val="sdtLocked"/>
              <w:placeholder>
                <w:docPart w:val="F1E0045D8F9848909A72C7A2B38DB1E8"/>
              </w:placeholder>
            </w:sdtPr>
            <w:sdtContent>
              <w:tr w:rsidR="00312ECC" w:rsidRPr="00E04FAA" w:rsidTr="004F50BC">
                <w:tc>
                  <w:tcPr>
                    <w:tcW w:w="1461" w:type="dxa"/>
                  </w:tcPr>
                  <w:p w:rsidR="00312ECC" w:rsidRPr="00E04FAA" w:rsidRDefault="00312ECC" w:rsidP="004F50BC">
                    <w:pPr>
                      <w:jc w:val="left"/>
                    </w:pPr>
                    <w:r w:rsidRPr="00E04FAA">
                      <w:t>孙淑嫔</w:t>
                    </w:r>
                  </w:p>
                </w:tc>
                <w:sdt>
                  <w:sdtPr>
                    <w:rPr>
                      <w:rFonts w:hint="eastAsia"/>
                    </w:rPr>
                    <w:alias w:val="董事、监事、高级管理人员职务"/>
                    <w:tag w:val="_GBC_adb15e3b887d44c2a04f8e548067c2dd"/>
                    <w:id w:val="1535852127"/>
                    <w:lock w:val="sdtLocked"/>
                    <w:comboBox>
                      <w:listItem w:displayText="董事" w:value="董事"/>
                      <w:listItem w:displayText="独立董事" w:value="独立董事"/>
                      <w:listItem w:displayText="监事" w:value="监事"/>
                      <w:listItem w:displayText="高管" w:value="高管"/>
                    </w:comboBox>
                  </w:sdtPr>
                  <w:sdtContent>
                    <w:tc>
                      <w:tcPr>
                        <w:tcW w:w="1450" w:type="dxa"/>
                      </w:tcPr>
                      <w:p w:rsidR="00312ECC" w:rsidRPr="00E04FAA" w:rsidRDefault="00312ECC" w:rsidP="004F50BC">
                        <w:pPr>
                          <w:jc w:val="left"/>
                        </w:pPr>
                        <w:r w:rsidRPr="00E04FAA">
                          <w:rPr>
                            <w:rFonts w:hint="eastAsia"/>
                          </w:rPr>
                          <w:t>高管</w:t>
                        </w:r>
                      </w:p>
                    </w:tc>
                  </w:sdtContent>
                </w:sdt>
                <w:tc>
                  <w:tcPr>
                    <w:tcW w:w="1489" w:type="dxa"/>
                  </w:tcPr>
                  <w:p w:rsidR="00312ECC" w:rsidRPr="00E04FAA" w:rsidRDefault="00312ECC" w:rsidP="004F50BC">
                    <w:pPr>
                      <w:jc w:val="right"/>
                      <w:rPr>
                        <w:color w:val="000000" w:themeColor="text1"/>
                      </w:rPr>
                    </w:pPr>
                    <w:r w:rsidRPr="00E04FAA">
                      <w:rPr>
                        <w:color w:val="000000" w:themeColor="text1"/>
                      </w:rPr>
                      <w:t>60,261</w:t>
                    </w:r>
                  </w:p>
                </w:tc>
                <w:tc>
                  <w:tcPr>
                    <w:tcW w:w="1489" w:type="dxa"/>
                  </w:tcPr>
                  <w:p w:rsidR="00312ECC" w:rsidRPr="00E04FAA" w:rsidRDefault="00312ECC" w:rsidP="004F50BC">
                    <w:pPr>
                      <w:jc w:val="right"/>
                      <w:rPr>
                        <w:color w:val="000000" w:themeColor="text1"/>
                      </w:rPr>
                    </w:pPr>
                    <w:r w:rsidRPr="00E04FAA">
                      <w:rPr>
                        <w:color w:val="000000" w:themeColor="text1"/>
                      </w:rPr>
                      <w:t>109,407</w:t>
                    </w:r>
                  </w:p>
                </w:tc>
                <w:tc>
                  <w:tcPr>
                    <w:tcW w:w="1484" w:type="dxa"/>
                  </w:tcPr>
                  <w:p w:rsidR="00312ECC" w:rsidRPr="00E04FAA" w:rsidRDefault="00312ECC" w:rsidP="004F50BC">
                    <w:pPr>
                      <w:jc w:val="right"/>
                      <w:rPr>
                        <w:color w:val="000000" w:themeColor="text1"/>
                      </w:rPr>
                    </w:pPr>
                    <w:r w:rsidRPr="00E04FAA">
                      <w:rPr>
                        <w:color w:val="000000" w:themeColor="text1"/>
                      </w:rPr>
                      <w:t>49,146</w:t>
                    </w:r>
                  </w:p>
                </w:tc>
                <w:tc>
                  <w:tcPr>
                    <w:tcW w:w="1450" w:type="dxa"/>
                  </w:tcPr>
                  <w:p w:rsidR="00312ECC" w:rsidRPr="00E04FAA" w:rsidRDefault="00312ECC" w:rsidP="004F50BC">
                    <w:pPr>
                      <w:jc w:val="left"/>
                    </w:pPr>
                    <w:r w:rsidRPr="00E04FAA">
                      <w:t>二级市场买卖及资本公积转增股本</w:t>
                    </w:r>
                  </w:p>
                </w:tc>
              </w:tr>
            </w:sdtContent>
          </w:sdt>
        </w:tbl>
        <w:p w:rsidR="00883153" w:rsidRPr="00E04FAA" w:rsidRDefault="00200151">
          <w:r w:rsidRPr="00E04FAA">
            <w:t>其它情况说明</w:t>
          </w:r>
        </w:p>
        <w:sdt>
          <w:sdtPr>
            <w:alias w:val="是否适用：董事、监事 和高级管理人员持股变动及报酬情况其他情况说明[双击切换]"/>
            <w:tag w:val="_GBC_6604d619d6f94a81b12f8155637bb211"/>
            <w:id w:val="1406567180"/>
            <w:lock w:val="sdtContentLocked"/>
            <w:placeholder>
              <w:docPart w:val="GBC22222222222222222222222222222"/>
            </w:placeholder>
          </w:sdtPr>
          <w:sdtContent>
            <w:p w:rsidR="00883153" w:rsidRPr="00E04FAA" w:rsidRDefault="00200151">
              <w:r w:rsidRPr="00E04FAA">
                <w:fldChar w:fldCharType="begin"/>
              </w:r>
              <w:r w:rsidR="00EE58A4" w:rsidRPr="00E04FAA">
                <w:instrText xml:space="preserve"> MACROBUTTON  SnrToggleCheckbox √适用 </w:instrText>
              </w:r>
              <w:r w:rsidRPr="00E04FAA">
                <w:fldChar w:fldCharType="end"/>
              </w:r>
              <w:r w:rsidRPr="00E04FAA">
                <w:fldChar w:fldCharType="begin"/>
              </w:r>
              <w:r w:rsidR="00EE58A4" w:rsidRPr="00E04FAA">
                <w:instrText xml:space="preserve"> MACROBUTTON  SnrToggleCheckbox □不适用 </w:instrText>
              </w:r>
              <w:r w:rsidRPr="00E04FAA">
                <w:fldChar w:fldCharType="end"/>
              </w:r>
            </w:p>
          </w:sdtContent>
        </w:sdt>
        <w:sdt>
          <w:sdtPr>
            <w:rPr>
              <w:rFonts w:hint="eastAsia"/>
            </w:rPr>
            <w:alias w:val="董事、监事和高级管理人员持股变动及报酬其他情况说明"/>
            <w:tag w:val="_GBC_520552c5760c4b59804fd199ba28d397"/>
            <w:id w:val="-777640957"/>
            <w:lock w:val="sdtLocked"/>
            <w:placeholder>
              <w:docPart w:val="GBC22222222222222222222222222222"/>
            </w:placeholder>
          </w:sdtPr>
          <w:sdtContent>
            <w:p w:rsidR="00562AD8" w:rsidRPr="00E04FAA" w:rsidRDefault="00EE58A4" w:rsidP="00EE58A4">
              <w:r w:rsidRPr="00E04FAA">
                <w:rPr>
                  <w:rFonts w:hint="eastAsia"/>
                </w:rPr>
                <w:t>注：</w:t>
              </w:r>
            </w:p>
            <w:p w:rsidR="008C5B56" w:rsidRPr="00E04FAA" w:rsidRDefault="008C5B56" w:rsidP="0050480A">
              <w:pPr>
                <w:jc w:val="both"/>
              </w:pPr>
              <w:r w:rsidRPr="00E04FAA">
                <w:rPr>
                  <w:rFonts w:hint="eastAsia"/>
                </w:rPr>
                <w:t>1</w:t>
              </w:r>
              <w:r w:rsidR="00BA0A0E" w:rsidRPr="00E04FAA">
                <w:rPr>
                  <w:rFonts w:hint="eastAsia"/>
                </w:rPr>
                <w:t>、</w:t>
              </w:r>
              <w:r w:rsidRPr="00E04FAA">
                <w:rPr>
                  <w:rFonts w:hint="eastAsia"/>
                </w:rPr>
                <w:t>公司董事会于</w:t>
              </w:r>
              <w:r w:rsidRPr="00E04FAA">
                <w:t>2019年1月2日收到公司董事长、总裁王文京先生提交的书面辞职函,申请辞去所担任的公司总裁职务，其辞职申请自辞职函送达公司董事会之日起生效。王文京先生辞去公司总裁职务后，仍继续担任公司董事长及董事会下设的相关专门委员会委员。</w:t>
              </w:r>
            </w:p>
            <w:p w:rsidR="008C5B56" w:rsidRPr="00E04FAA" w:rsidRDefault="008C5B56" w:rsidP="0050480A">
              <w:pPr>
                <w:jc w:val="both"/>
              </w:pPr>
              <w:r w:rsidRPr="00E04FAA">
                <w:rPr>
                  <w:rFonts w:hint="eastAsia"/>
                </w:rPr>
                <w:t>2</w:t>
              </w:r>
              <w:r w:rsidR="00BA0A0E" w:rsidRPr="00E04FAA">
                <w:rPr>
                  <w:rFonts w:hint="eastAsia"/>
                </w:rPr>
                <w:t>、</w:t>
              </w:r>
              <w:r w:rsidRPr="00E04FAA">
                <w:rPr>
                  <w:rFonts w:hint="eastAsia"/>
                </w:rPr>
                <w:t>公司于</w:t>
              </w:r>
              <w:r w:rsidRPr="00E04FAA">
                <w:t>2019</w:t>
              </w:r>
              <w:r w:rsidRPr="00E04FAA">
                <w:rPr>
                  <w:rFonts w:hint="eastAsia"/>
                </w:rPr>
                <w:t>年</w:t>
              </w:r>
              <w:r w:rsidRPr="00E04FAA">
                <w:t>1</w:t>
              </w:r>
              <w:r w:rsidRPr="00E04FAA">
                <w:rPr>
                  <w:rFonts w:hint="eastAsia"/>
                </w:rPr>
                <w:t>月2日召开了第七届董事会第三十次会议</w:t>
              </w:r>
              <w:r w:rsidR="004B69D6" w:rsidRPr="00E04FAA">
                <w:rPr>
                  <w:rFonts w:hint="eastAsia"/>
                </w:rPr>
                <w:t>，</w:t>
              </w:r>
              <w:r w:rsidRPr="00E04FAA">
                <w:rPr>
                  <w:rFonts w:hint="eastAsia"/>
                </w:rPr>
                <w:t>提名陈强兵先生为公司第七届董事会董事候选人。2</w:t>
              </w:r>
              <w:r w:rsidRPr="00E04FAA">
                <w:t>019</w:t>
              </w:r>
              <w:r w:rsidRPr="00E04FAA">
                <w:rPr>
                  <w:rFonts w:hint="eastAsia"/>
                </w:rPr>
                <w:t>年4月8日，公司2</w:t>
              </w:r>
              <w:r w:rsidRPr="00E04FAA">
                <w:t>018</w:t>
              </w:r>
              <w:r w:rsidR="004B69D6" w:rsidRPr="00E04FAA">
                <w:rPr>
                  <w:rFonts w:hint="eastAsia"/>
                </w:rPr>
                <w:t>年</w:t>
              </w:r>
              <w:r w:rsidRPr="00E04FAA">
                <w:rPr>
                  <w:rFonts w:hint="eastAsia"/>
                </w:rPr>
                <w:t>年度股东大会选举陈强兵先生为公司第七届董事会董事。任期自2019年4月8日起至公司2019年年度股东大会选举出新一届董事会之日止。</w:t>
              </w:r>
            </w:p>
            <w:p w:rsidR="008C5B56" w:rsidRPr="00E04FAA" w:rsidRDefault="008C5B56" w:rsidP="0050480A">
              <w:pPr>
                <w:jc w:val="both"/>
              </w:pPr>
              <w:r w:rsidRPr="00E04FAA">
                <w:rPr>
                  <w:rFonts w:hint="eastAsia"/>
                </w:rPr>
                <w:t>3</w:t>
              </w:r>
              <w:r w:rsidR="00BA0A0E" w:rsidRPr="00E04FAA">
                <w:rPr>
                  <w:rFonts w:hint="eastAsia"/>
                </w:rPr>
                <w:t>、</w:t>
              </w:r>
              <w:r w:rsidRPr="00E04FAA">
                <w:rPr>
                  <w:rFonts w:hint="eastAsia"/>
                </w:rPr>
                <w:t>公司于</w:t>
              </w:r>
              <w:r w:rsidRPr="00E04FAA">
                <w:t>2019</w:t>
              </w:r>
              <w:r w:rsidRPr="00E04FAA">
                <w:rPr>
                  <w:rFonts w:hint="eastAsia"/>
                </w:rPr>
                <w:t>年</w:t>
              </w:r>
              <w:r w:rsidRPr="00E04FAA">
                <w:t>1</w:t>
              </w:r>
              <w:r w:rsidRPr="00E04FAA">
                <w:rPr>
                  <w:rFonts w:hint="eastAsia"/>
                </w:rPr>
                <w:t>月2日召开了第七届董事会第三十次会议，聘任陈强兵先生为公司总裁。任期自本次董事会审议通过之日起至公司</w:t>
              </w:r>
              <w:r w:rsidRPr="00E04FAA">
                <w:t>2019年年度股东大会选举出新一届董事会之日止。</w:t>
              </w:r>
            </w:p>
            <w:p w:rsidR="008C5B56" w:rsidRPr="00E04FAA" w:rsidRDefault="008C5B56" w:rsidP="0050480A">
              <w:pPr>
                <w:jc w:val="both"/>
                <w:rPr>
                  <w:color w:val="000000" w:themeColor="text1"/>
                </w:rPr>
              </w:pPr>
              <w:r w:rsidRPr="00E04FAA">
                <w:t>4</w:t>
              </w:r>
              <w:r w:rsidR="00BA0A0E" w:rsidRPr="00E04FAA">
                <w:rPr>
                  <w:rFonts w:hint="eastAsia"/>
                </w:rPr>
                <w:t>、</w:t>
              </w:r>
              <w:r w:rsidRPr="00E04FAA">
                <w:rPr>
                  <w:rFonts w:hint="eastAsia"/>
                </w:rPr>
                <w:t>公司于</w:t>
              </w:r>
              <w:r w:rsidRPr="00E04FAA">
                <w:t>2019</w:t>
              </w:r>
              <w:r w:rsidRPr="00E04FAA">
                <w:rPr>
                  <w:rFonts w:hint="eastAsia"/>
                </w:rPr>
                <w:t>年</w:t>
              </w:r>
              <w:r w:rsidRPr="00E04FAA">
                <w:t>1</w:t>
              </w:r>
              <w:r w:rsidRPr="00E04FAA">
                <w:rPr>
                  <w:rFonts w:hint="eastAsia"/>
                </w:rPr>
                <w:t>月</w:t>
              </w:r>
              <w:r w:rsidRPr="00E04FAA">
                <w:t>23</w:t>
              </w:r>
              <w:r w:rsidRPr="00E04FAA">
                <w:rPr>
                  <w:rFonts w:hint="eastAsia"/>
                </w:rPr>
                <w:t>日召开了第七届董事会第三十一次会议。聘任牛立伟先生为公司高级副总裁；聘任孙淑嫔女士为公司高级副总裁。上述被聘任人员的任期至公司</w:t>
              </w:r>
              <w:r w:rsidRPr="00E04FAA">
                <w:t>2019年年度股东大会选举出新一届董事会聘任公司高级管理人员之日止。</w:t>
              </w:r>
              <w:r w:rsidRPr="00E04FAA">
                <w:rPr>
                  <w:rFonts w:hint="eastAsia"/>
                </w:rPr>
                <w:t>严绍业先生、张纪雄先生、胡彬先生、徐宝东</w:t>
              </w:r>
              <w:r w:rsidRPr="00E04FAA">
                <w:rPr>
                  <w:rFonts w:hint="eastAsia"/>
                  <w:color w:val="000000" w:themeColor="text1"/>
                </w:rPr>
                <w:t>先生、杨晓柏先生不再担任公司高级副总裁，其工作另有安排。</w:t>
              </w:r>
            </w:p>
            <w:p w:rsidR="008C5B56" w:rsidRPr="00E04FAA" w:rsidRDefault="008C5B56" w:rsidP="0050480A">
              <w:pPr>
                <w:jc w:val="both"/>
                <w:rPr>
                  <w:color w:val="000000" w:themeColor="text1"/>
                </w:rPr>
              </w:pPr>
              <w:r w:rsidRPr="00E04FAA">
                <w:rPr>
                  <w:color w:val="000000" w:themeColor="text1"/>
                </w:rPr>
                <w:t>5</w:t>
              </w:r>
              <w:r w:rsidR="00BA0A0E" w:rsidRPr="00E04FAA">
                <w:rPr>
                  <w:rFonts w:hint="eastAsia"/>
                  <w:color w:val="000000" w:themeColor="text1"/>
                </w:rPr>
                <w:t>、</w:t>
              </w:r>
              <w:r w:rsidRPr="00E04FAA">
                <w:rPr>
                  <w:rFonts w:hint="eastAsia"/>
                  <w:color w:val="000000" w:themeColor="text1"/>
                </w:rPr>
                <w:t>公司董事会于</w:t>
              </w:r>
              <w:r w:rsidRPr="00E04FAA">
                <w:rPr>
                  <w:color w:val="000000" w:themeColor="text1"/>
                </w:rPr>
                <w:t xml:space="preserve"> 2019年4月</w:t>
              </w:r>
              <w:r w:rsidRPr="00E04FAA">
                <w:rPr>
                  <w:rFonts w:hint="eastAsia"/>
                  <w:color w:val="000000" w:themeColor="text1"/>
                </w:rPr>
                <w:t>3</w:t>
              </w:r>
              <w:r w:rsidRPr="00E04FAA">
                <w:rPr>
                  <w:color w:val="000000" w:themeColor="text1"/>
                </w:rPr>
                <w:t>日收到公司独立董事王贵亚先生的辞职报告，王贵亚先生因个人原因辞去公司第七届董事会独立董事职务</w:t>
              </w:r>
              <w:r w:rsidR="004C4F03" w:rsidRPr="00E04FAA">
                <w:rPr>
                  <w:color w:val="000000" w:themeColor="text1"/>
                </w:rPr>
                <w:t>及董事会下设的相关专门委员会委员</w:t>
              </w:r>
              <w:r w:rsidRPr="00E04FAA">
                <w:rPr>
                  <w:rFonts w:hint="eastAsia"/>
                  <w:color w:val="000000" w:themeColor="text1"/>
                </w:rPr>
                <w:t>，其辞职报告自</w:t>
              </w:r>
              <w:r w:rsidRPr="00E04FAA">
                <w:rPr>
                  <w:color w:val="000000" w:themeColor="text1"/>
                </w:rPr>
                <w:t>2019年4月</w:t>
              </w:r>
              <w:r w:rsidRPr="00E04FAA">
                <w:rPr>
                  <w:rFonts w:hint="eastAsia"/>
                  <w:color w:val="000000" w:themeColor="text1"/>
                </w:rPr>
                <w:t>3</w:t>
              </w:r>
              <w:r w:rsidRPr="00E04FAA">
                <w:rPr>
                  <w:color w:val="000000" w:themeColor="text1"/>
                </w:rPr>
                <w:t>日起生效。</w:t>
              </w:r>
            </w:p>
            <w:p w:rsidR="00883153" w:rsidRPr="00E04FAA" w:rsidRDefault="008C5B56" w:rsidP="0050480A">
              <w:pPr>
                <w:jc w:val="both"/>
              </w:pPr>
              <w:r w:rsidRPr="00E04FAA">
                <w:t>6</w:t>
              </w:r>
              <w:r w:rsidR="00BA0A0E" w:rsidRPr="00E04FAA">
                <w:rPr>
                  <w:rFonts w:hint="eastAsia"/>
                </w:rPr>
                <w:t>、</w:t>
              </w:r>
              <w:r w:rsidR="004958A1" w:rsidRPr="00E04FAA">
                <w:t>2019年4月8日公司2018年年度股东大会审议通过了《公司2018年度利润分配方案》和《公司2018年度资本公积金转增股本方案》，公司向全体股东每10股派发现金股利2.5元(含税),向全体股东每10股转增3股。以上权益分派方案已实施完毕。本次权益分派共计转增股份569,295,642股，本次分配后总股本变为2,486,777,575股。</w:t>
              </w:r>
            </w:p>
          </w:sdtContent>
        </w:sdt>
      </w:sdtContent>
    </w:sdt>
    <w:p w:rsidR="00883153" w:rsidRPr="00E04FAA" w:rsidRDefault="00883153"/>
    <w:p w:rsidR="00883153" w:rsidRPr="00E04FAA" w:rsidRDefault="00200151" w:rsidP="00FC3870">
      <w:pPr>
        <w:pStyle w:val="3"/>
        <w:numPr>
          <w:ilvl w:val="2"/>
          <w:numId w:val="14"/>
        </w:numPr>
      </w:pPr>
      <w:bookmarkStart w:id="59" w:name="_Toc342057945"/>
      <w:bookmarkStart w:id="60" w:name="_Toc342566005"/>
      <w:bookmarkEnd w:id="57"/>
      <w:bookmarkEnd w:id="58"/>
      <w:r w:rsidRPr="00E04FAA">
        <w:rPr>
          <w:rFonts w:hint="eastAsia"/>
        </w:rPr>
        <w:lastRenderedPageBreak/>
        <w:t>董事、监事、高级管理人员报告期内被授予的股权激励情况</w:t>
      </w:r>
      <w:bookmarkEnd w:id="59"/>
      <w:bookmarkEnd w:id="60"/>
    </w:p>
    <w:p w:rsidR="00883153" w:rsidRPr="00E04FAA" w:rsidRDefault="000D0A99" w:rsidP="00EE58A4">
      <w:pPr>
        <w:kinsoku w:val="0"/>
        <w:overflowPunct w:val="0"/>
        <w:autoSpaceDE w:val="0"/>
        <w:autoSpaceDN w:val="0"/>
        <w:adjustRightInd w:val="0"/>
        <w:snapToGrid w:val="0"/>
        <w:rPr>
          <w:szCs w:val="21"/>
        </w:rPr>
      </w:pPr>
      <w:sdt>
        <w:sdtPr>
          <w:rPr>
            <w:rFonts w:hint="eastAsia"/>
            <w:szCs w:val="21"/>
          </w:rPr>
          <w:alias w:val="是否适用：董事、监事、高级管理人员报告期内被授予的股权激励情况[双击切换]"/>
          <w:tag w:val="_GBC_3c204ebee7cf4fc2a7c4a3ad63ffe1c4"/>
          <w:id w:val="-1188906616"/>
          <w:lock w:val="sdtContentLocked"/>
          <w:placeholder>
            <w:docPart w:val="GBC22222222222222222222222222222"/>
          </w:placeholder>
        </w:sdtPr>
        <w:sdtContent>
          <w:r w:rsidR="00200151" w:rsidRPr="00E04FAA">
            <w:rPr>
              <w:szCs w:val="21"/>
            </w:rPr>
            <w:fldChar w:fldCharType="begin"/>
          </w:r>
          <w:r w:rsidR="00EE58A4" w:rsidRPr="00E04FAA">
            <w:rPr>
              <w:szCs w:val="21"/>
            </w:rPr>
            <w:instrText xml:space="preserve"> MACROBUTTON  SnrToggleCheckbox □适用 </w:instrText>
          </w:r>
          <w:r w:rsidR="00200151" w:rsidRPr="00E04FAA">
            <w:rPr>
              <w:szCs w:val="21"/>
            </w:rPr>
            <w:fldChar w:fldCharType="end"/>
          </w:r>
          <w:r w:rsidR="00200151" w:rsidRPr="00E04FAA">
            <w:rPr>
              <w:szCs w:val="21"/>
            </w:rPr>
            <w:fldChar w:fldCharType="begin"/>
          </w:r>
          <w:r w:rsidR="00EE58A4" w:rsidRPr="00E04FAA">
            <w:rPr>
              <w:szCs w:val="21"/>
            </w:rPr>
            <w:instrText xml:space="preserve"> MACROBUTTON  SnrToggleCheckbox √不适用 </w:instrText>
          </w:r>
          <w:r w:rsidR="00200151" w:rsidRPr="00E04FAA">
            <w:rPr>
              <w:szCs w:val="21"/>
            </w:rPr>
            <w:fldChar w:fldCharType="end"/>
          </w:r>
        </w:sdtContent>
      </w:sdt>
    </w:p>
    <w:p w:rsidR="00BA0A0E" w:rsidRPr="00E04FAA" w:rsidRDefault="00BA0A0E" w:rsidP="00EE58A4">
      <w:pPr>
        <w:kinsoku w:val="0"/>
        <w:overflowPunct w:val="0"/>
        <w:autoSpaceDE w:val="0"/>
        <w:autoSpaceDN w:val="0"/>
        <w:adjustRightInd w:val="0"/>
        <w:snapToGrid w:val="0"/>
        <w:rPr>
          <w:color w:val="0000FF"/>
          <w:szCs w:val="21"/>
        </w:rPr>
      </w:pPr>
    </w:p>
    <w:bookmarkStart w:id="61" w:name="_Toc342057949" w:displacedByCustomXml="next"/>
    <w:bookmarkStart w:id="62" w:name="_Toc342566009" w:displacedByCustomXml="next"/>
    <w:sdt>
      <w:sdtPr>
        <w:rPr>
          <w:rFonts w:ascii="宋体" w:hAnsi="宋体" w:cs="宋体" w:hint="eastAsia"/>
          <w:b w:val="0"/>
          <w:bCs w:val="0"/>
          <w:kern w:val="0"/>
          <w:szCs w:val="24"/>
        </w:rPr>
        <w:alias w:val="模块:公司董事、监事、高级管理人员变动情况"/>
        <w:tag w:val="_SEC_fe90051e8bfd40b8bb8541284a29b30e"/>
        <w:id w:val="1765331700"/>
        <w:lock w:val="sdtLocked"/>
        <w:placeholder>
          <w:docPart w:val="GBC22222222222222222222222222222"/>
        </w:placeholder>
      </w:sdtPr>
      <w:sdtContent>
        <w:p w:rsidR="00883153" w:rsidRPr="00E04FAA" w:rsidRDefault="00200151">
          <w:pPr>
            <w:pStyle w:val="2"/>
            <w:numPr>
              <w:ilvl w:val="0"/>
              <w:numId w:val="5"/>
            </w:numPr>
            <w:spacing w:line="360" w:lineRule="auto"/>
          </w:pPr>
          <w:r w:rsidRPr="00E04FAA">
            <w:rPr>
              <w:rFonts w:hint="eastAsia"/>
            </w:rPr>
            <w:t>公司董事、监事、高级管理人员变动情况</w:t>
          </w:r>
          <w:bookmarkEnd w:id="62"/>
          <w:bookmarkEnd w:id="61"/>
        </w:p>
        <w:sdt>
          <w:sdtPr>
            <w:alias w:val="是否适用：公司董事、监事、高级管理人员变动情况[双击切换]"/>
            <w:tag w:val="_GBC_001d837207464f1aaa52a7fb8cd9d226"/>
            <w:id w:val="-106977826"/>
            <w:lock w:val="sdtContentLocked"/>
            <w:placeholder>
              <w:docPart w:val="GBC22222222222222222222222222222"/>
            </w:placeholder>
          </w:sdtPr>
          <w:sdtContent>
            <w:p w:rsidR="00883153" w:rsidRPr="00E04FAA" w:rsidRDefault="00200151">
              <w:r w:rsidRPr="00E04FAA">
                <w:fldChar w:fldCharType="begin"/>
              </w:r>
              <w:r w:rsidR="00EE58A4" w:rsidRPr="00E04FAA">
                <w:instrText xml:space="preserve"> MACROBUTTON  SnrToggleCheckbox √适用 </w:instrText>
              </w:r>
              <w:r w:rsidRPr="00E04FAA">
                <w:fldChar w:fldCharType="end"/>
              </w:r>
              <w:r w:rsidRPr="00E04FAA">
                <w:fldChar w:fldCharType="begin"/>
              </w:r>
              <w:r w:rsidR="00EE58A4" w:rsidRPr="00E04FAA">
                <w:instrText xml:space="preserve"> MACROBUTTON  SnrToggleCheckbox □不适用 </w:instrText>
              </w:r>
              <w:r w:rsidRPr="00E04FAA">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900"/>
            <w:gridCol w:w="3056"/>
            <w:gridCol w:w="2867"/>
          </w:tblGrid>
          <w:tr w:rsidR="00921F3B" w:rsidRPr="00E04FAA" w:rsidTr="00E15AB8">
            <w:sdt>
              <w:sdtPr>
                <w:tag w:val="_PLD_8d21520223e04755b8822b634d237604"/>
                <w:id w:val="-2036107805"/>
                <w:lock w:val="sdtLocked"/>
              </w:sdtPr>
              <w:sdtContent>
                <w:tc>
                  <w:tcPr>
                    <w:tcW w:w="1643" w:type="pct"/>
                    <w:shd w:val="clear" w:color="auto" w:fill="auto"/>
                  </w:tcPr>
                  <w:p w:rsidR="00921F3B" w:rsidRPr="00E04FAA" w:rsidRDefault="00921F3B" w:rsidP="00E15AB8">
                    <w:pPr>
                      <w:kinsoku w:val="0"/>
                      <w:overflowPunct w:val="0"/>
                      <w:autoSpaceDE w:val="0"/>
                      <w:autoSpaceDN w:val="0"/>
                      <w:adjustRightInd w:val="0"/>
                      <w:snapToGrid w:val="0"/>
                      <w:jc w:val="center"/>
                      <w:rPr>
                        <w:szCs w:val="21"/>
                      </w:rPr>
                    </w:pPr>
                    <w:r w:rsidRPr="00E04FAA">
                      <w:rPr>
                        <w:rFonts w:hint="eastAsia"/>
                        <w:szCs w:val="21"/>
                      </w:rPr>
                      <w:t>姓名</w:t>
                    </w:r>
                  </w:p>
                </w:tc>
              </w:sdtContent>
            </w:sdt>
            <w:sdt>
              <w:sdtPr>
                <w:tag w:val="_PLD_fbd3bf633b6f43caac5e618a32167462"/>
                <w:id w:val="-791274754"/>
                <w:lock w:val="sdtLocked"/>
              </w:sdtPr>
              <w:sdtContent>
                <w:tc>
                  <w:tcPr>
                    <w:tcW w:w="1732" w:type="pct"/>
                    <w:shd w:val="clear" w:color="auto" w:fill="auto"/>
                  </w:tcPr>
                  <w:p w:rsidR="00921F3B" w:rsidRPr="00E04FAA" w:rsidRDefault="00921F3B" w:rsidP="00E15AB8">
                    <w:pPr>
                      <w:kinsoku w:val="0"/>
                      <w:overflowPunct w:val="0"/>
                      <w:autoSpaceDE w:val="0"/>
                      <w:autoSpaceDN w:val="0"/>
                      <w:adjustRightInd w:val="0"/>
                      <w:snapToGrid w:val="0"/>
                      <w:jc w:val="center"/>
                      <w:rPr>
                        <w:szCs w:val="21"/>
                      </w:rPr>
                    </w:pPr>
                    <w:r w:rsidRPr="00E04FAA">
                      <w:rPr>
                        <w:rFonts w:hint="eastAsia"/>
                        <w:szCs w:val="21"/>
                      </w:rPr>
                      <w:t>担任的职务</w:t>
                    </w:r>
                  </w:p>
                </w:tc>
              </w:sdtContent>
            </w:sdt>
            <w:sdt>
              <w:sdtPr>
                <w:tag w:val="_PLD_32b7efb7e5ea42b9a9c73ad4470b3d12"/>
                <w:id w:val="-776800963"/>
                <w:lock w:val="sdtLocked"/>
              </w:sdtPr>
              <w:sdtContent>
                <w:tc>
                  <w:tcPr>
                    <w:tcW w:w="1625" w:type="pct"/>
                    <w:shd w:val="clear" w:color="auto" w:fill="auto"/>
                  </w:tcPr>
                  <w:p w:rsidR="00921F3B" w:rsidRPr="00E04FAA" w:rsidRDefault="00921F3B" w:rsidP="00E15AB8">
                    <w:pPr>
                      <w:kinsoku w:val="0"/>
                      <w:overflowPunct w:val="0"/>
                      <w:autoSpaceDE w:val="0"/>
                      <w:autoSpaceDN w:val="0"/>
                      <w:adjustRightInd w:val="0"/>
                      <w:snapToGrid w:val="0"/>
                      <w:jc w:val="center"/>
                      <w:rPr>
                        <w:szCs w:val="21"/>
                      </w:rPr>
                    </w:pPr>
                    <w:r w:rsidRPr="00E04FAA">
                      <w:rPr>
                        <w:rFonts w:hint="eastAsia"/>
                        <w:szCs w:val="21"/>
                      </w:rPr>
                      <w:t>变动情形</w:t>
                    </w:r>
                  </w:p>
                </w:tc>
              </w:sdtContent>
            </w:sdt>
          </w:tr>
          <w:sdt>
            <w:sdtPr>
              <w:rPr>
                <w:rFonts w:hint="eastAsia"/>
                <w:szCs w:val="21"/>
              </w:rPr>
              <w:alias w:val="在报告期内公司董事、监事、高级管理人员变动情况"/>
              <w:tag w:val="_GBC_f8245c93a5574f05bb6e0a400a7c4f3b"/>
              <w:id w:val="-1516529387"/>
              <w:lock w:val="sdtLocked"/>
              <w:placeholder>
                <w:docPart w:val="6466ED1FD76A4FA78AE03A73CB33221B"/>
              </w:placeholder>
            </w:sdtPr>
            <w:sdtContent>
              <w:tr w:rsidR="00921F3B" w:rsidRPr="00E04FAA" w:rsidTr="00E15AB8">
                <w:tc>
                  <w:tcPr>
                    <w:tcW w:w="1643" w:type="pct"/>
                  </w:tcPr>
                  <w:p w:rsidR="00921F3B" w:rsidRPr="00E04FAA" w:rsidRDefault="00921F3B" w:rsidP="00E15AB8">
                    <w:pPr>
                      <w:kinsoku w:val="0"/>
                      <w:overflowPunct w:val="0"/>
                      <w:autoSpaceDE w:val="0"/>
                      <w:autoSpaceDN w:val="0"/>
                      <w:adjustRightInd w:val="0"/>
                      <w:snapToGrid w:val="0"/>
                      <w:rPr>
                        <w:szCs w:val="21"/>
                      </w:rPr>
                    </w:pPr>
                    <w:r w:rsidRPr="00E04FAA">
                      <w:t>王文京</w:t>
                    </w:r>
                  </w:p>
                </w:tc>
                <w:tc>
                  <w:tcPr>
                    <w:tcW w:w="1732" w:type="pct"/>
                  </w:tcPr>
                  <w:p w:rsidR="00921F3B" w:rsidRPr="00E04FAA" w:rsidRDefault="00921F3B" w:rsidP="00E15AB8">
                    <w:pPr>
                      <w:kinsoku w:val="0"/>
                      <w:overflowPunct w:val="0"/>
                      <w:autoSpaceDE w:val="0"/>
                      <w:autoSpaceDN w:val="0"/>
                      <w:adjustRightInd w:val="0"/>
                      <w:snapToGrid w:val="0"/>
                      <w:rPr>
                        <w:szCs w:val="21"/>
                      </w:rPr>
                    </w:pPr>
                    <w:r w:rsidRPr="00E04FAA">
                      <w:t>总裁</w:t>
                    </w:r>
                  </w:p>
                </w:tc>
                <w:sdt>
                  <w:sdtPr>
                    <w:rPr>
                      <w:szCs w:val="21"/>
                    </w:rPr>
                    <w:alias w:val="公司董事、监事、高级管理人员的变动情形"/>
                    <w:tag w:val="_GBC_466f24fb36cc4d949be4225fed8d37c7"/>
                    <w:id w:val="-794834820"/>
                    <w:lock w:val="sdtLocked"/>
                    <w:comboBox>
                      <w:listItem w:displayText="聘任" w:value="聘任"/>
                      <w:listItem w:displayText="离任" w:value="离任"/>
                      <w:listItem w:displayText="解任" w:value="解任"/>
                      <w:listItem w:displayText="选举" w:value="选举"/>
                    </w:comboBox>
                  </w:sdtPr>
                  <w:sdtContent>
                    <w:tc>
                      <w:tcPr>
                        <w:tcW w:w="1625" w:type="pct"/>
                      </w:tcPr>
                      <w:p w:rsidR="00921F3B" w:rsidRPr="00E04FAA" w:rsidRDefault="00921F3B" w:rsidP="00E15AB8">
                        <w:pPr>
                          <w:kinsoku w:val="0"/>
                          <w:overflowPunct w:val="0"/>
                          <w:autoSpaceDE w:val="0"/>
                          <w:autoSpaceDN w:val="0"/>
                          <w:adjustRightInd w:val="0"/>
                          <w:snapToGrid w:val="0"/>
                          <w:rPr>
                            <w:color w:val="FFC000"/>
                            <w:szCs w:val="21"/>
                          </w:rPr>
                        </w:pPr>
                        <w:r w:rsidRPr="00E04FAA">
                          <w:rPr>
                            <w:szCs w:val="21"/>
                          </w:rPr>
                          <w:t>离任</w:t>
                        </w:r>
                      </w:p>
                    </w:tc>
                  </w:sdtContent>
                </w:sdt>
              </w:tr>
            </w:sdtContent>
          </w:sdt>
          <w:sdt>
            <w:sdtPr>
              <w:rPr>
                <w:rFonts w:hint="eastAsia"/>
                <w:szCs w:val="21"/>
              </w:rPr>
              <w:alias w:val="在报告期内公司董事、监事、高级管理人员变动情况"/>
              <w:tag w:val="_GBC_f8245c93a5574f05bb6e0a400a7c4f3b"/>
              <w:id w:val="369804206"/>
              <w:lock w:val="sdtLocked"/>
              <w:placeholder>
                <w:docPart w:val="6466ED1FD76A4FA78AE03A73CB33221B"/>
              </w:placeholder>
            </w:sdtPr>
            <w:sdtContent>
              <w:tr w:rsidR="00921F3B" w:rsidRPr="00E04FAA" w:rsidTr="00E15AB8">
                <w:tc>
                  <w:tcPr>
                    <w:tcW w:w="1643" w:type="pct"/>
                  </w:tcPr>
                  <w:p w:rsidR="00921F3B" w:rsidRPr="00E04FAA" w:rsidRDefault="00921F3B" w:rsidP="00E15AB8">
                    <w:pPr>
                      <w:kinsoku w:val="0"/>
                      <w:overflowPunct w:val="0"/>
                      <w:autoSpaceDE w:val="0"/>
                      <w:autoSpaceDN w:val="0"/>
                      <w:adjustRightInd w:val="0"/>
                      <w:snapToGrid w:val="0"/>
                      <w:rPr>
                        <w:szCs w:val="21"/>
                      </w:rPr>
                    </w:pPr>
                    <w:r w:rsidRPr="00E04FAA">
                      <w:t>陈强兵</w:t>
                    </w:r>
                  </w:p>
                </w:tc>
                <w:tc>
                  <w:tcPr>
                    <w:tcW w:w="1732" w:type="pct"/>
                  </w:tcPr>
                  <w:p w:rsidR="00921F3B" w:rsidRPr="00E04FAA" w:rsidRDefault="00921F3B" w:rsidP="00E15AB8">
                    <w:pPr>
                      <w:kinsoku w:val="0"/>
                      <w:overflowPunct w:val="0"/>
                      <w:autoSpaceDE w:val="0"/>
                      <w:autoSpaceDN w:val="0"/>
                      <w:adjustRightInd w:val="0"/>
                      <w:snapToGrid w:val="0"/>
                      <w:rPr>
                        <w:szCs w:val="21"/>
                      </w:rPr>
                    </w:pPr>
                    <w:r w:rsidRPr="00E04FAA">
                      <w:t>董事</w:t>
                    </w:r>
                  </w:p>
                </w:tc>
                <w:sdt>
                  <w:sdtPr>
                    <w:rPr>
                      <w:szCs w:val="21"/>
                    </w:rPr>
                    <w:alias w:val="公司董事、监事、高级管理人员的变动情形"/>
                    <w:tag w:val="_GBC_466f24fb36cc4d949be4225fed8d37c7"/>
                    <w:id w:val="734584420"/>
                    <w:lock w:val="sdtLocked"/>
                    <w:comboBox>
                      <w:listItem w:displayText="聘任" w:value="聘任"/>
                      <w:listItem w:displayText="离任" w:value="离任"/>
                      <w:listItem w:displayText="解任" w:value="解任"/>
                      <w:listItem w:displayText="选举" w:value="选举"/>
                    </w:comboBox>
                  </w:sdtPr>
                  <w:sdtContent>
                    <w:tc>
                      <w:tcPr>
                        <w:tcW w:w="1625" w:type="pct"/>
                      </w:tcPr>
                      <w:p w:rsidR="00921F3B" w:rsidRPr="00E04FAA" w:rsidRDefault="00921F3B" w:rsidP="00E15AB8">
                        <w:pPr>
                          <w:kinsoku w:val="0"/>
                          <w:overflowPunct w:val="0"/>
                          <w:autoSpaceDE w:val="0"/>
                          <w:autoSpaceDN w:val="0"/>
                          <w:adjustRightInd w:val="0"/>
                          <w:snapToGrid w:val="0"/>
                          <w:rPr>
                            <w:szCs w:val="21"/>
                          </w:rPr>
                        </w:pPr>
                        <w:r w:rsidRPr="00E04FAA">
                          <w:rPr>
                            <w:szCs w:val="21"/>
                          </w:rPr>
                          <w:t>选举</w:t>
                        </w:r>
                      </w:p>
                    </w:tc>
                  </w:sdtContent>
                </w:sdt>
              </w:tr>
            </w:sdtContent>
          </w:sdt>
          <w:sdt>
            <w:sdtPr>
              <w:rPr>
                <w:rFonts w:hint="eastAsia"/>
                <w:szCs w:val="21"/>
              </w:rPr>
              <w:alias w:val="在报告期内公司董事、监事、高级管理人员变动情况"/>
              <w:tag w:val="_GBC_f8245c93a5574f05bb6e0a400a7c4f3b"/>
              <w:id w:val="1834797578"/>
              <w:lock w:val="sdtLocked"/>
              <w:placeholder>
                <w:docPart w:val="6466ED1FD76A4FA78AE03A73CB33221B"/>
              </w:placeholder>
            </w:sdtPr>
            <w:sdtContent>
              <w:tr w:rsidR="00921F3B" w:rsidRPr="00E04FAA" w:rsidTr="00E15AB8">
                <w:tc>
                  <w:tcPr>
                    <w:tcW w:w="1643" w:type="pct"/>
                  </w:tcPr>
                  <w:p w:rsidR="00921F3B" w:rsidRPr="00E04FAA" w:rsidRDefault="00921F3B" w:rsidP="00E15AB8">
                    <w:pPr>
                      <w:kinsoku w:val="0"/>
                      <w:overflowPunct w:val="0"/>
                      <w:autoSpaceDE w:val="0"/>
                      <w:autoSpaceDN w:val="0"/>
                      <w:adjustRightInd w:val="0"/>
                      <w:snapToGrid w:val="0"/>
                      <w:rPr>
                        <w:szCs w:val="21"/>
                      </w:rPr>
                    </w:pPr>
                    <w:r w:rsidRPr="00E04FAA">
                      <w:t>陈强兵</w:t>
                    </w:r>
                  </w:p>
                </w:tc>
                <w:tc>
                  <w:tcPr>
                    <w:tcW w:w="1732" w:type="pct"/>
                  </w:tcPr>
                  <w:p w:rsidR="00921F3B" w:rsidRPr="00E04FAA" w:rsidRDefault="00921F3B" w:rsidP="00E15AB8">
                    <w:pPr>
                      <w:kinsoku w:val="0"/>
                      <w:overflowPunct w:val="0"/>
                      <w:autoSpaceDE w:val="0"/>
                      <w:autoSpaceDN w:val="0"/>
                      <w:adjustRightInd w:val="0"/>
                      <w:snapToGrid w:val="0"/>
                      <w:rPr>
                        <w:szCs w:val="21"/>
                      </w:rPr>
                    </w:pPr>
                    <w:r w:rsidRPr="00E04FAA">
                      <w:t>总裁</w:t>
                    </w:r>
                  </w:p>
                </w:tc>
                <w:sdt>
                  <w:sdtPr>
                    <w:rPr>
                      <w:szCs w:val="21"/>
                    </w:rPr>
                    <w:alias w:val="公司董事、监事、高级管理人员的变动情形"/>
                    <w:tag w:val="_GBC_466f24fb36cc4d949be4225fed8d37c7"/>
                    <w:id w:val="1578707915"/>
                    <w:lock w:val="sdtLocked"/>
                    <w:comboBox>
                      <w:listItem w:displayText="聘任" w:value="聘任"/>
                      <w:listItem w:displayText="离任" w:value="离任"/>
                      <w:listItem w:displayText="解任" w:value="解任"/>
                      <w:listItem w:displayText="选举" w:value="选举"/>
                    </w:comboBox>
                  </w:sdtPr>
                  <w:sdtContent>
                    <w:tc>
                      <w:tcPr>
                        <w:tcW w:w="1625" w:type="pct"/>
                      </w:tcPr>
                      <w:p w:rsidR="00921F3B" w:rsidRPr="00E04FAA" w:rsidRDefault="00921F3B" w:rsidP="00E15AB8">
                        <w:pPr>
                          <w:kinsoku w:val="0"/>
                          <w:overflowPunct w:val="0"/>
                          <w:autoSpaceDE w:val="0"/>
                          <w:autoSpaceDN w:val="0"/>
                          <w:adjustRightInd w:val="0"/>
                          <w:snapToGrid w:val="0"/>
                          <w:rPr>
                            <w:szCs w:val="21"/>
                          </w:rPr>
                        </w:pPr>
                        <w:r w:rsidRPr="00E04FAA">
                          <w:rPr>
                            <w:szCs w:val="21"/>
                          </w:rPr>
                          <w:t>聘任</w:t>
                        </w:r>
                      </w:p>
                    </w:tc>
                  </w:sdtContent>
                </w:sdt>
              </w:tr>
            </w:sdtContent>
          </w:sdt>
          <w:sdt>
            <w:sdtPr>
              <w:rPr>
                <w:rFonts w:hint="eastAsia"/>
                <w:szCs w:val="21"/>
              </w:rPr>
              <w:alias w:val="在报告期内公司董事、监事、高级管理人员变动情况"/>
              <w:tag w:val="_GBC_f8245c93a5574f05bb6e0a400a7c4f3b"/>
              <w:id w:val="332267877"/>
              <w:lock w:val="sdtLocked"/>
              <w:placeholder>
                <w:docPart w:val="6466ED1FD76A4FA78AE03A73CB33221B"/>
              </w:placeholder>
            </w:sdtPr>
            <w:sdtContent>
              <w:tr w:rsidR="00921F3B" w:rsidRPr="00E04FAA" w:rsidTr="00E15AB8">
                <w:tc>
                  <w:tcPr>
                    <w:tcW w:w="1643" w:type="pct"/>
                  </w:tcPr>
                  <w:p w:rsidR="00921F3B" w:rsidRPr="00E04FAA" w:rsidRDefault="00921F3B" w:rsidP="00E15AB8">
                    <w:pPr>
                      <w:kinsoku w:val="0"/>
                      <w:overflowPunct w:val="0"/>
                      <w:autoSpaceDE w:val="0"/>
                      <w:autoSpaceDN w:val="0"/>
                      <w:adjustRightInd w:val="0"/>
                      <w:snapToGrid w:val="0"/>
                      <w:rPr>
                        <w:szCs w:val="21"/>
                      </w:rPr>
                    </w:pPr>
                    <w:r w:rsidRPr="00E04FAA">
                      <w:t>王贵亚</w:t>
                    </w:r>
                  </w:p>
                </w:tc>
                <w:tc>
                  <w:tcPr>
                    <w:tcW w:w="1732" w:type="pct"/>
                  </w:tcPr>
                  <w:p w:rsidR="00921F3B" w:rsidRPr="00E04FAA" w:rsidRDefault="00921F3B" w:rsidP="00E15AB8">
                    <w:pPr>
                      <w:kinsoku w:val="0"/>
                      <w:overflowPunct w:val="0"/>
                      <w:autoSpaceDE w:val="0"/>
                      <w:autoSpaceDN w:val="0"/>
                      <w:adjustRightInd w:val="0"/>
                      <w:snapToGrid w:val="0"/>
                      <w:rPr>
                        <w:szCs w:val="21"/>
                      </w:rPr>
                    </w:pPr>
                    <w:r w:rsidRPr="00E04FAA">
                      <w:t>独立董事</w:t>
                    </w:r>
                  </w:p>
                </w:tc>
                <w:sdt>
                  <w:sdtPr>
                    <w:rPr>
                      <w:szCs w:val="21"/>
                    </w:rPr>
                    <w:alias w:val="公司董事、监事、高级管理人员的变动情形"/>
                    <w:tag w:val="_GBC_466f24fb36cc4d949be4225fed8d37c7"/>
                    <w:id w:val="1383673885"/>
                    <w:lock w:val="sdtLocked"/>
                    <w:comboBox>
                      <w:listItem w:displayText="聘任" w:value="聘任"/>
                      <w:listItem w:displayText="离任" w:value="离任"/>
                      <w:listItem w:displayText="解任" w:value="解任"/>
                      <w:listItem w:displayText="选举" w:value="选举"/>
                    </w:comboBox>
                  </w:sdtPr>
                  <w:sdtContent>
                    <w:tc>
                      <w:tcPr>
                        <w:tcW w:w="1625" w:type="pct"/>
                      </w:tcPr>
                      <w:p w:rsidR="00921F3B" w:rsidRPr="00E04FAA" w:rsidRDefault="00921F3B" w:rsidP="00E15AB8">
                        <w:pPr>
                          <w:kinsoku w:val="0"/>
                          <w:overflowPunct w:val="0"/>
                          <w:autoSpaceDE w:val="0"/>
                          <w:autoSpaceDN w:val="0"/>
                          <w:adjustRightInd w:val="0"/>
                          <w:snapToGrid w:val="0"/>
                          <w:rPr>
                            <w:szCs w:val="21"/>
                          </w:rPr>
                        </w:pPr>
                        <w:r w:rsidRPr="00E04FAA">
                          <w:rPr>
                            <w:szCs w:val="21"/>
                          </w:rPr>
                          <w:t>离任</w:t>
                        </w:r>
                      </w:p>
                    </w:tc>
                  </w:sdtContent>
                </w:sdt>
              </w:tr>
            </w:sdtContent>
          </w:sdt>
          <w:sdt>
            <w:sdtPr>
              <w:rPr>
                <w:rFonts w:hint="eastAsia"/>
                <w:szCs w:val="21"/>
              </w:rPr>
              <w:alias w:val="在报告期内公司董事、监事、高级管理人员变动情况"/>
              <w:tag w:val="_GBC_f8245c93a5574f05bb6e0a400a7c4f3b"/>
              <w:id w:val="1443881396"/>
              <w:lock w:val="sdtLocked"/>
              <w:placeholder>
                <w:docPart w:val="6466ED1FD76A4FA78AE03A73CB33221B"/>
              </w:placeholder>
            </w:sdtPr>
            <w:sdtContent>
              <w:tr w:rsidR="00921F3B" w:rsidRPr="00E04FAA" w:rsidTr="00E15AB8">
                <w:tc>
                  <w:tcPr>
                    <w:tcW w:w="1643" w:type="pct"/>
                  </w:tcPr>
                  <w:p w:rsidR="00921F3B" w:rsidRPr="00E04FAA" w:rsidRDefault="00921F3B" w:rsidP="00E15AB8">
                    <w:pPr>
                      <w:kinsoku w:val="0"/>
                      <w:overflowPunct w:val="0"/>
                      <w:autoSpaceDE w:val="0"/>
                      <w:autoSpaceDN w:val="0"/>
                      <w:adjustRightInd w:val="0"/>
                      <w:snapToGrid w:val="0"/>
                      <w:rPr>
                        <w:szCs w:val="21"/>
                      </w:rPr>
                    </w:pPr>
                    <w:r w:rsidRPr="00E04FAA">
                      <w:t>孙淑嫔</w:t>
                    </w:r>
                  </w:p>
                </w:tc>
                <w:tc>
                  <w:tcPr>
                    <w:tcW w:w="1732" w:type="pct"/>
                  </w:tcPr>
                  <w:p w:rsidR="00921F3B" w:rsidRPr="00E04FAA" w:rsidRDefault="00921F3B" w:rsidP="00E15AB8">
                    <w:pPr>
                      <w:kinsoku w:val="0"/>
                      <w:overflowPunct w:val="0"/>
                      <w:autoSpaceDE w:val="0"/>
                      <w:autoSpaceDN w:val="0"/>
                      <w:adjustRightInd w:val="0"/>
                      <w:snapToGrid w:val="0"/>
                      <w:rPr>
                        <w:szCs w:val="21"/>
                      </w:rPr>
                    </w:pPr>
                    <w:r w:rsidRPr="00E04FAA">
                      <w:t>高级副总裁</w:t>
                    </w:r>
                  </w:p>
                </w:tc>
                <w:sdt>
                  <w:sdtPr>
                    <w:rPr>
                      <w:szCs w:val="21"/>
                    </w:rPr>
                    <w:alias w:val="公司董事、监事、高级管理人员的变动情形"/>
                    <w:tag w:val="_GBC_466f24fb36cc4d949be4225fed8d37c7"/>
                    <w:id w:val="-1205396448"/>
                    <w:lock w:val="sdtLocked"/>
                    <w:comboBox>
                      <w:listItem w:displayText="聘任" w:value="聘任"/>
                      <w:listItem w:displayText="离任" w:value="离任"/>
                      <w:listItem w:displayText="解任" w:value="解任"/>
                      <w:listItem w:displayText="选举" w:value="选举"/>
                    </w:comboBox>
                  </w:sdtPr>
                  <w:sdtContent>
                    <w:tc>
                      <w:tcPr>
                        <w:tcW w:w="1625" w:type="pct"/>
                      </w:tcPr>
                      <w:p w:rsidR="00921F3B" w:rsidRPr="00E04FAA" w:rsidRDefault="00921F3B" w:rsidP="00E15AB8">
                        <w:pPr>
                          <w:kinsoku w:val="0"/>
                          <w:overflowPunct w:val="0"/>
                          <w:autoSpaceDE w:val="0"/>
                          <w:autoSpaceDN w:val="0"/>
                          <w:adjustRightInd w:val="0"/>
                          <w:snapToGrid w:val="0"/>
                          <w:rPr>
                            <w:szCs w:val="21"/>
                          </w:rPr>
                        </w:pPr>
                        <w:r w:rsidRPr="00E04FAA">
                          <w:rPr>
                            <w:szCs w:val="21"/>
                          </w:rPr>
                          <w:t>聘任</w:t>
                        </w:r>
                      </w:p>
                    </w:tc>
                  </w:sdtContent>
                </w:sdt>
              </w:tr>
            </w:sdtContent>
          </w:sdt>
          <w:sdt>
            <w:sdtPr>
              <w:rPr>
                <w:rFonts w:hint="eastAsia"/>
                <w:szCs w:val="21"/>
              </w:rPr>
              <w:alias w:val="在报告期内公司董事、监事、高级管理人员变动情况"/>
              <w:tag w:val="_GBC_f8245c93a5574f05bb6e0a400a7c4f3b"/>
              <w:id w:val="754325894"/>
              <w:lock w:val="sdtLocked"/>
              <w:placeholder>
                <w:docPart w:val="6466ED1FD76A4FA78AE03A73CB33221B"/>
              </w:placeholder>
            </w:sdtPr>
            <w:sdtContent>
              <w:tr w:rsidR="00921F3B" w:rsidRPr="00E04FAA" w:rsidTr="00E15AB8">
                <w:tc>
                  <w:tcPr>
                    <w:tcW w:w="1643" w:type="pct"/>
                  </w:tcPr>
                  <w:p w:rsidR="00921F3B" w:rsidRPr="00E04FAA" w:rsidRDefault="00921F3B" w:rsidP="00E15AB8">
                    <w:pPr>
                      <w:kinsoku w:val="0"/>
                      <w:overflowPunct w:val="0"/>
                      <w:autoSpaceDE w:val="0"/>
                      <w:autoSpaceDN w:val="0"/>
                      <w:adjustRightInd w:val="0"/>
                      <w:snapToGrid w:val="0"/>
                      <w:rPr>
                        <w:szCs w:val="21"/>
                      </w:rPr>
                    </w:pPr>
                    <w:r w:rsidRPr="00E04FAA">
                      <w:t>牛立伟</w:t>
                    </w:r>
                  </w:p>
                </w:tc>
                <w:tc>
                  <w:tcPr>
                    <w:tcW w:w="1732" w:type="pct"/>
                  </w:tcPr>
                  <w:p w:rsidR="00921F3B" w:rsidRPr="00E04FAA" w:rsidRDefault="00921F3B" w:rsidP="00E15AB8">
                    <w:pPr>
                      <w:kinsoku w:val="0"/>
                      <w:overflowPunct w:val="0"/>
                      <w:autoSpaceDE w:val="0"/>
                      <w:autoSpaceDN w:val="0"/>
                      <w:adjustRightInd w:val="0"/>
                      <w:snapToGrid w:val="0"/>
                      <w:rPr>
                        <w:szCs w:val="21"/>
                      </w:rPr>
                    </w:pPr>
                    <w:r w:rsidRPr="00E04FAA">
                      <w:t>高级副总裁</w:t>
                    </w:r>
                  </w:p>
                </w:tc>
                <w:sdt>
                  <w:sdtPr>
                    <w:rPr>
                      <w:szCs w:val="21"/>
                    </w:rPr>
                    <w:alias w:val="公司董事、监事、高级管理人员的变动情形"/>
                    <w:tag w:val="_GBC_466f24fb36cc4d949be4225fed8d37c7"/>
                    <w:id w:val="475648722"/>
                    <w:lock w:val="sdtLocked"/>
                    <w:comboBox>
                      <w:listItem w:displayText="聘任" w:value="聘任"/>
                      <w:listItem w:displayText="离任" w:value="离任"/>
                      <w:listItem w:displayText="解任" w:value="解任"/>
                      <w:listItem w:displayText="选举" w:value="选举"/>
                    </w:comboBox>
                  </w:sdtPr>
                  <w:sdtContent>
                    <w:tc>
                      <w:tcPr>
                        <w:tcW w:w="1625" w:type="pct"/>
                      </w:tcPr>
                      <w:p w:rsidR="00921F3B" w:rsidRPr="00E04FAA" w:rsidRDefault="00921F3B" w:rsidP="00E15AB8">
                        <w:pPr>
                          <w:kinsoku w:val="0"/>
                          <w:overflowPunct w:val="0"/>
                          <w:autoSpaceDE w:val="0"/>
                          <w:autoSpaceDN w:val="0"/>
                          <w:adjustRightInd w:val="0"/>
                          <w:snapToGrid w:val="0"/>
                          <w:rPr>
                            <w:szCs w:val="21"/>
                          </w:rPr>
                        </w:pPr>
                        <w:r w:rsidRPr="00E04FAA">
                          <w:rPr>
                            <w:szCs w:val="21"/>
                          </w:rPr>
                          <w:t>聘任</w:t>
                        </w:r>
                      </w:p>
                    </w:tc>
                  </w:sdtContent>
                </w:sdt>
              </w:tr>
            </w:sdtContent>
          </w:sdt>
          <w:sdt>
            <w:sdtPr>
              <w:rPr>
                <w:rFonts w:hint="eastAsia"/>
                <w:szCs w:val="21"/>
              </w:rPr>
              <w:alias w:val="在报告期内公司董事、监事、高级管理人员变动情况"/>
              <w:tag w:val="_GBC_f8245c93a5574f05bb6e0a400a7c4f3b"/>
              <w:id w:val="1800793707"/>
              <w:lock w:val="sdtLocked"/>
              <w:placeholder>
                <w:docPart w:val="6466ED1FD76A4FA78AE03A73CB33221B"/>
              </w:placeholder>
            </w:sdtPr>
            <w:sdtContent>
              <w:tr w:rsidR="00921F3B" w:rsidRPr="00E04FAA" w:rsidTr="00E15AB8">
                <w:tc>
                  <w:tcPr>
                    <w:tcW w:w="1643" w:type="pct"/>
                  </w:tcPr>
                  <w:p w:rsidR="00921F3B" w:rsidRPr="00E04FAA" w:rsidRDefault="00921F3B" w:rsidP="00E15AB8">
                    <w:pPr>
                      <w:kinsoku w:val="0"/>
                      <w:overflowPunct w:val="0"/>
                      <w:autoSpaceDE w:val="0"/>
                      <w:autoSpaceDN w:val="0"/>
                      <w:adjustRightInd w:val="0"/>
                      <w:snapToGrid w:val="0"/>
                      <w:rPr>
                        <w:szCs w:val="21"/>
                      </w:rPr>
                    </w:pPr>
                    <w:r w:rsidRPr="00E04FAA">
                      <w:t>严绍业</w:t>
                    </w:r>
                  </w:p>
                </w:tc>
                <w:tc>
                  <w:tcPr>
                    <w:tcW w:w="1732" w:type="pct"/>
                  </w:tcPr>
                  <w:p w:rsidR="00921F3B" w:rsidRPr="00E04FAA" w:rsidRDefault="00921F3B" w:rsidP="00E15AB8">
                    <w:pPr>
                      <w:kinsoku w:val="0"/>
                      <w:overflowPunct w:val="0"/>
                      <w:autoSpaceDE w:val="0"/>
                      <w:autoSpaceDN w:val="0"/>
                      <w:adjustRightInd w:val="0"/>
                      <w:snapToGrid w:val="0"/>
                      <w:rPr>
                        <w:szCs w:val="21"/>
                      </w:rPr>
                    </w:pPr>
                    <w:r w:rsidRPr="00E04FAA">
                      <w:t>高级副总裁</w:t>
                    </w:r>
                  </w:p>
                </w:tc>
                <w:sdt>
                  <w:sdtPr>
                    <w:rPr>
                      <w:szCs w:val="21"/>
                    </w:rPr>
                    <w:alias w:val="公司董事、监事、高级管理人员的变动情形"/>
                    <w:tag w:val="_GBC_466f24fb36cc4d949be4225fed8d37c7"/>
                    <w:id w:val="-1994023019"/>
                    <w:lock w:val="sdtLocked"/>
                    <w:comboBox>
                      <w:listItem w:displayText="聘任" w:value="聘任"/>
                      <w:listItem w:displayText="离任" w:value="离任"/>
                      <w:listItem w:displayText="解任" w:value="解任"/>
                      <w:listItem w:displayText="选举" w:value="选举"/>
                    </w:comboBox>
                  </w:sdtPr>
                  <w:sdtContent>
                    <w:tc>
                      <w:tcPr>
                        <w:tcW w:w="1625" w:type="pct"/>
                      </w:tcPr>
                      <w:p w:rsidR="00921F3B" w:rsidRPr="00E04FAA" w:rsidRDefault="00921F3B" w:rsidP="00E15AB8">
                        <w:pPr>
                          <w:kinsoku w:val="0"/>
                          <w:overflowPunct w:val="0"/>
                          <w:autoSpaceDE w:val="0"/>
                          <w:autoSpaceDN w:val="0"/>
                          <w:adjustRightInd w:val="0"/>
                          <w:snapToGrid w:val="0"/>
                          <w:rPr>
                            <w:szCs w:val="21"/>
                          </w:rPr>
                        </w:pPr>
                        <w:r w:rsidRPr="00E04FAA">
                          <w:rPr>
                            <w:szCs w:val="21"/>
                          </w:rPr>
                          <w:t>离任</w:t>
                        </w:r>
                      </w:p>
                    </w:tc>
                  </w:sdtContent>
                </w:sdt>
              </w:tr>
            </w:sdtContent>
          </w:sdt>
          <w:sdt>
            <w:sdtPr>
              <w:rPr>
                <w:rFonts w:hint="eastAsia"/>
                <w:szCs w:val="21"/>
              </w:rPr>
              <w:alias w:val="在报告期内公司董事、监事、高级管理人员变动情况"/>
              <w:tag w:val="_GBC_f8245c93a5574f05bb6e0a400a7c4f3b"/>
              <w:id w:val="-1483618828"/>
              <w:lock w:val="sdtLocked"/>
              <w:placeholder>
                <w:docPart w:val="6466ED1FD76A4FA78AE03A73CB33221B"/>
              </w:placeholder>
            </w:sdtPr>
            <w:sdtContent>
              <w:tr w:rsidR="00921F3B" w:rsidRPr="00E04FAA" w:rsidTr="00E15AB8">
                <w:tc>
                  <w:tcPr>
                    <w:tcW w:w="1643" w:type="pct"/>
                  </w:tcPr>
                  <w:p w:rsidR="00921F3B" w:rsidRPr="00E04FAA" w:rsidRDefault="00921F3B" w:rsidP="00E15AB8">
                    <w:pPr>
                      <w:kinsoku w:val="0"/>
                      <w:overflowPunct w:val="0"/>
                      <w:autoSpaceDE w:val="0"/>
                      <w:autoSpaceDN w:val="0"/>
                      <w:adjustRightInd w:val="0"/>
                      <w:snapToGrid w:val="0"/>
                      <w:rPr>
                        <w:szCs w:val="21"/>
                      </w:rPr>
                    </w:pPr>
                    <w:r w:rsidRPr="00E04FAA">
                      <w:t>张纪雄</w:t>
                    </w:r>
                  </w:p>
                </w:tc>
                <w:tc>
                  <w:tcPr>
                    <w:tcW w:w="1732" w:type="pct"/>
                  </w:tcPr>
                  <w:p w:rsidR="00921F3B" w:rsidRPr="00E04FAA" w:rsidRDefault="00921F3B" w:rsidP="00E15AB8">
                    <w:pPr>
                      <w:kinsoku w:val="0"/>
                      <w:overflowPunct w:val="0"/>
                      <w:autoSpaceDE w:val="0"/>
                      <w:autoSpaceDN w:val="0"/>
                      <w:adjustRightInd w:val="0"/>
                      <w:snapToGrid w:val="0"/>
                      <w:rPr>
                        <w:szCs w:val="21"/>
                      </w:rPr>
                    </w:pPr>
                    <w:r w:rsidRPr="00E04FAA">
                      <w:t>高级副总裁</w:t>
                    </w:r>
                  </w:p>
                </w:tc>
                <w:sdt>
                  <w:sdtPr>
                    <w:rPr>
                      <w:szCs w:val="21"/>
                    </w:rPr>
                    <w:alias w:val="公司董事、监事、高级管理人员的变动情形"/>
                    <w:tag w:val="_GBC_466f24fb36cc4d949be4225fed8d37c7"/>
                    <w:id w:val="-501740224"/>
                    <w:lock w:val="sdtLocked"/>
                    <w:comboBox>
                      <w:listItem w:displayText="聘任" w:value="聘任"/>
                      <w:listItem w:displayText="离任" w:value="离任"/>
                      <w:listItem w:displayText="解任" w:value="解任"/>
                      <w:listItem w:displayText="选举" w:value="选举"/>
                    </w:comboBox>
                  </w:sdtPr>
                  <w:sdtContent>
                    <w:tc>
                      <w:tcPr>
                        <w:tcW w:w="1625" w:type="pct"/>
                      </w:tcPr>
                      <w:p w:rsidR="00921F3B" w:rsidRPr="00E04FAA" w:rsidRDefault="00921F3B" w:rsidP="00E15AB8">
                        <w:pPr>
                          <w:kinsoku w:val="0"/>
                          <w:overflowPunct w:val="0"/>
                          <w:autoSpaceDE w:val="0"/>
                          <w:autoSpaceDN w:val="0"/>
                          <w:adjustRightInd w:val="0"/>
                          <w:snapToGrid w:val="0"/>
                          <w:rPr>
                            <w:szCs w:val="21"/>
                          </w:rPr>
                        </w:pPr>
                        <w:r w:rsidRPr="00E04FAA">
                          <w:rPr>
                            <w:szCs w:val="21"/>
                          </w:rPr>
                          <w:t>离任</w:t>
                        </w:r>
                      </w:p>
                    </w:tc>
                  </w:sdtContent>
                </w:sdt>
              </w:tr>
            </w:sdtContent>
          </w:sdt>
          <w:sdt>
            <w:sdtPr>
              <w:rPr>
                <w:rFonts w:hint="eastAsia"/>
                <w:szCs w:val="21"/>
              </w:rPr>
              <w:alias w:val="在报告期内公司董事、监事、高级管理人员变动情况"/>
              <w:tag w:val="_GBC_f8245c93a5574f05bb6e0a400a7c4f3b"/>
              <w:id w:val="1916208309"/>
              <w:lock w:val="sdtLocked"/>
              <w:placeholder>
                <w:docPart w:val="6466ED1FD76A4FA78AE03A73CB33221B"/>
              </w:placeholder>
            </w:sdtPr>
            <w:sdtContent>
              <w:tr w:rsidR="00921F3B" w:rsidRPr="00E04FAA" w:rsidTr="00E15AB8">
                <w:tc>
                  <w:tcPr>
                    <w:tcW w:w="1643" w:type="pct"/>
                  </w:tcPr>
                  <w:p w:rsidR="00921F3B" w:rsidRPr="00E04FAA" w:rsidRDefault="00921F3B" w:rsidP="00E15AB8">
                    <w:pPr>
                      <w:kinsoku w:val="0"/>
                      <w:overflowPunct w:val="0"/>
                      <w:autoSpaceDE w:val="0"/>
                      <w:autoSpaceDN w:val="0"/>
                      <w:adjustRightInd w:val="0"/>
                      <w:snapToGrid w:val="0"/>
                      <w:rPr>
                        <w:szCs w:val="21"/>
                      </w:rPr>
                    </w:pPr>
                    <w:r w:rsidRPr="00E04FAA">
                      <w:t>胡彬</w:t>
                    </w:r>
                  </w:p>
                </w:tc>
                <w:tc>
                  <w:tcPr>
                    <w:tcW w:w="1732" w:type="pct"/>
                  </w:tcPr>
                  <w:p w:rsidR="00921F3B" w:rsidRPr="00E04FAA" w:rsidRDefault="00921F3B" w:rsidP="00E15AB8">
                    <w:pPr>
                      <w:kinsoku w:val="0"/>
                      <w:overflowPunct w:val="0"/>
                      <w:autoSpaceDE w:val="0"/>
                      <w:autoSpaceDN w:val="0"/>
                      <w:adjustRightInd w:val="0"/>
                      <w:snapToGrid w:val="0"/>
                      <w:rPr>
                        <w:szCs w:val="21"/>
                      </w:rPr>
                    </w:pPr>
                    <w:r w:rsidRPr="00E04FAA">
                      <w:t>高级副总裁</w:t>
                    </w:r>
                  </w:p>
                </w:tc>
                <w:sdt>
                  <w:sdtPr>
                    <w:rPr>
                      <w:szCs w:val="21"/>
                    </w:rPr>
                    <w:alias w:val="公司董事、监事、高级管理人员的变动情形"/>
                    <w:tag w:val="_GBC_466f24fb36cc4d949be4225fed8d37c7"/>
                    <w:id w:val="-2057077326"/>
                    <w:lock w:val="sdtLocked"/>
                    <w:comboBox>
                      <w:listItem w:displayText="聘任" w:value="聘任"/>
                      <w:listItem w:displayText="离任" w:value="离任"/>
                      <w:listItem w:displayText="解任" w:value="解任"/>
                      <w:listItem w:displayText="选举" w:value="选举"/>
                    </w:comboBox>
                  </w:sdtPr>
                  <w:sdtContent>
                    <w:tc>
                      <w:tcPr>
                        <w:tcW w:w="1625" w:type="pct"/>
                      </w:tcPr>
                      <w:p w:rsidR="00921F3B" w:rsidRPr="00E04FAA" w:rsidRDefault="00921F3B" w:rsidP="00E15AB8">
                        <w:pPr>
                          <w:kinsoku w:val="0"/>
                          <w:overflowPunct w:val="0"/>
                          <w:autoSpaceDE w:val="0"/>
                          <w:autoSpaceDN w:val="0"/>
                          <w:adjustRightInd w:val="0"/>
                          <w:snapToGrid w:val="0"/>
                          <w:rPr>
                            <w:szCs w:val="21"/>
                          </w:rPr>
                        </w:pPr>
                        <w:r w:rsidRPr="00E04FAA">
                          <w:rPr>
                            <w:szCs w:val="21"/>
                          </w:rPr>
                          <w:t>离任</w:t>
                        </w:r>
                      </w:p>
                    </w:tc>
                  </w:sdtContent>
                </w:sdt>
              </w:tr>
            </w:sdtContent>
          </w:sdt>
          <w:sdt>
            <w:sdtPr>
              <w:rPr>
                <w:rFonts w:hint="eastAsia"/>
                <w:szCs w:val="21"/>
              </w:rPr>
              <w:alias w:val="在报告期内公司董事、监事、高级管理人员变动情况"/>
              <w:tag w:val="_GBC_f8245c93a5574f05bb6e0a400a7c4f3b"/>
              <w:id w:val="-854574438"/>
              <w:lock w:val="sdtLocked"/>
              <w:placeholder>
                <w:docPart w:val="6466ED1FD76A4FA78AE03A73CB33221B"/>
              </w:placeholder>
            </w:sdtPr>
            <w:sdtContent>
              <w:tr w:rsidR="00921F3B" w:rsidRPr="00E04FAA" w:rsidTr="00E15AB8">
                <w:tc>
                  <w:tcPr>
                    <w:tcW w:w="1643" w:type="pct"/>
                  </w:tcPr>
                  <w:p w:rsidR="00921F3B" w:rsidRPr="00E04FAA" w:rsidRDefault="00921F3B" w:rsidP="00E15AB8">
                    <w:pPr>
                      <w:kinsoku w:val="0"/>
                      <w:overflowPunct w:val="0"/>
                      <w:autoSpaceDE w:val="0"/>
                      <w:autoSpaceDN w:val="0"/>
                      <w:adjustRightInd w:val="0"/>
                      <w:snapToGrid w:val="0"/>
                      <w:rPr>
                        <w:szCs w:val="21"/>
                      </w:rPr>
                    </w:pPr>
                    <w:r w:rsidRPr="00E04FAA">
                      <w:t>徐宝东</w:t>
                    </w:r>
                  </w:p>
                </w:tc>
                <w:tc>
                  <w:tcPr>
                    <w:tcW w:w="1732" w:type="pct"/>
                  </w:tcPr>
                  <w:p w:rsidR="00921F3B" w:rsidRPr="00E04FAA" w:rsidRDefault="00921F3B" w:rsidP="00E15AB8">
                    <w:pPr>
                      <w:kinsoku w:val="0"/>
                      <w:overflowPunct w:val="0"/>
                      <w:autoSpaceDE w:val="0"/>
                      <w:autoSpaceDN w:val="0"/>
                      <w:adjustRightInd w:val="0"/>
                      <w:snapToGrid w:val="0"/>
                      <w:rPr>
                        <w:szCs w:val="21"/>
                      </w:rPr>
                    </w:pPr>
                    <w:r w:rsidRPr="00E04FAA">
                      <w:t>高级副总裁</w:t>
                    </w:r>
                  </w:p>
                </w:tc>
                <w:sdt>
                  <w:sdtPr>
                    <w:rPr>
                      <w:szCs w:val="21"/>
                    </w:rPr>
                    <w:alias w:val="公司董事、监事、高级管理人员的变动情形"/>
                    <w:tag w:val="_GBC_466f24fb36cc4d949be4225fed8d37c7"/>
                    <w:id w:val="-576289896"/>
                    <w:lock w:val="sdtLocked"/>
                    <w:comboBox>
                      <w:listItem w:displayText="聘任" w:value="聘任"/>
                      <w:listItem w:displayText="离任" w:value="离任"/>
                      <w:listItem w:displayText="解任" w:value="解任"/>
                      <w:listItem w:displayText="选举" w:value="选举"/>
                    </w:comboBox>
                  </w:sdtPr>
                  <w:sdtContent>
                    <w:tc>
                      <w:tcPr>
                        <w:tcW w:w="1625" w:type="pct"/>
                      </w:tcPr>
                      <w:p w:rsidR="00921F3B" w:rsidRPr="00E04FAA" w:rsidRDefault="00921F3B" w:rsidP="00E15AB8">
                        <w:pPr>
                          <w:kinsoku w:val="0"/>
                          <w:overflowPunct w:val="0"/>
                          <w:autoSpaceDE w:val="0"/>
                          <w:autoSpaceDN w:val="0"/>
                          <w:adjustRightInd w:val="0"/>
                          <w:snapToGrid w:val="0"/>
                          <w:rPr>
                            <w:szCs w:val="21"/>
                          </w:rPr>
                        </w:pPr>
                        <w:r w:rsidRPr="00E04FAA">
                          <w:rPr>
                            <w:szCs w:val="21"/>
                          </w:rPr>
                          <w:t>离任</w:t>
                        </w:r>
                      </w:p>
                    </w:tc>
                  </w:sdtContent>
                </w:sdt>
              </w:tr>
            </w:sdtContent>
          </w:sdt>
          <w:sdt>
            <w:sdtPr>
              <w:rPr>
                <w:rFonts w:hint="eastAsia"/>
                <w:szCs w:val="21"/>
              </w:rPr>
              <w:alias w:val="在报告期内公司董事、监事、高级管理人员变动情况"/>
              <w:tag w:val="_GBC_f8245c93a5574f05bb6e0a400a7c4f3b"/>
              <w:id w:val="1423381556"/>
              <w:lock w:val="sdtLocked"/>
              <w:placeholder>
                <w:docPart w:val="6466ED1FD76A4FA78AE03A73CB33221B"/>
              </w:placeholder>
            </w:sdtPr>
            <w:sdtContent>
              <w:tr w:rsidR="00921F3B" w:rsidRPr="00E04FAA" w:rsidTr="00E15AB8">
                <w:tc>
                  <w:tcPr>
                    <w:tcW w:w="1643" w:type="pct"/>
                  </w:tcPr>
                  <w:p w:rsidR="00921F3B" w:rsidRPr="00E04FAA" w:rsidRDefault="00921F3B" w:rsidP="00E15AB8">
                    <w:pPr>
                      <w:kinsoku w:val="0"/>
                      <w:overflowPunct w:val="0"/>
                      <w:autoSpaceDE w:val="0"/>
                      <w:autoSpaceDN w:val="0"/>
                      <w:adjustRightInd w:val="0"/>
                      <w:snapToGrid w:val="0"/>
                      <w:rPr>
                        <w:szCs w:val="21"/>
                      </w:rPr>
                    </w:pPr>
                    <w:r w:rsidRPr="00E04FAA">
                      <w:t>杨晓柏</w:t>
                    </w:r>
                  </w:p>
                </w:tc>
                <w:tc>
                  <w:tcPr>
                    <w:tcW w:w="1732" w:type="pct"/>
                  </w:tcPr>
                  <w:p w:rsidR="00921F3B" w:rsidRPr="00E04FAA" w:rsidRDefault="00921F3B" w:rsidP="00E15AB8">
                    <w:pPr>
                      <w:kinsoku w:val="0"/>
                      <w:overflowPunct w:val="0"/>
                      <w:autoSpaceDE w:val="0"/>
                      <w:autoSpaceDN w:val="0"/>
                      <w:adjustRightInd w:val="0"/>
                      <w:snapToGrid w:val="0"/>
                      <w:rPr>
                        <w:szCs w:val="21"/>
                      </w:rPr>
                    </w:pPr>
                    <w:r w:rsidRPr="00E04FAA">
                      <w:t>高级副总裁</w:t>
                    </w:r>
                  </w:p>
                </w:tc>
                <w:sdt>
                  <w:sdtPr>
                    <w:rPr>
                      <w:szCs w:val="21"/>
                    </w:rPr>
                    <w:alias w:val="公司董事、监事、高级管理人员的变动情形"/>
                    <w:tag w:val="_GBC_466f24fb36cc4d949be4225fed8d37c7"/>
                    <w:id w:val="2009018419"/>
                    <w:lock w:val="sdtLocked"/>
                    <w:comboBox>
                      <w:listItem w:displayText="聘任" w:value="聘任"/>
                      <w:listItem w:displayText="离任" w:value="离任"/>
                      <w:listItem w:displayText="解任" w:value="解任"/>
                      <w:listItem w:displayText="选举" w:value="选举"/>
                    </w:comboBox>
                  </w:sdtPr>
                  <w:sdtContent>
                    <w:tc>
                      <w:tcPr>
                        <w:tcW w:w="1625" w:type="pct"/>
                      </w:tcPr>
                      <w:p w:rsidR="00921F3B" w:rsidRPr="00E04FAA" w:rsidRDefault="00921F3B" w:rsidP="00E15AB8">
                        <w:pPr>
                          <w:kinsoku w:val="0"/>
                          <w:overflowPunct w:val="0"/>
                          <w:autoSpaceDE w:val="0"/>
                          <w:autoSpaceDN w:val="0"/>
                          <w:adjustRightInd w:val="0"/>
                          <w:snapToGrid w:val="0"/>
                          <w:rPr>
                            <w:color w:val="FFC000"/>
                            <w:szCs w:val="21"/>
                          </w:rPr>
                        </w:pPr>
                        <w:r w:rsidRPr="00E04FAA">
                          <w:rPr>
                            <w:szCs w:val="21"/>
                          </w:rPr>
                          <w:t>离任</w:t>
                        </w:r>
                      </w:p>
                    </w:tc>
                  </w:sdtContent>
                </w:sdt>
              </w:tr>
            </w:sdtContent>
          </w:sdt>
        </w:tbl>
      </w:sdtContent>
    </w:sdt>
    <w:sdt>
      <w:sdtPr>
        <w:rPr>
          <w:rFonts w:hint="eastAsia"/>
        </w:rPr>
        <w:alias w:val="模块:公司董事、监事、高级管理人员变动的情况说明"/>
        <w:tag w:val="_SEC_9d764ab9e1c44e0e972e846b8ecf0813"/>
        <w:id w:val="1684395419"/>
        <w:lock w:val="sdtLocked"/>
        <w:placeholder>
          <w:docPart w:val="GBC22222222222222222222222222222"/>
        </w:placeholder>
      </w:sdtPr>
      <w:sdtContent>
        <w:p w:rsidR="00883153" w:rsidRPr="00E04FAA" w:rsidRDefault="00200151">
          <w:r w:rsidRPr="00E04FAA">
            <w:rPr>
              <w:rFonts w:hint="eastAsia"/>
            </w:rPr>
            <w:t>公司董事、监事、高级管理人员变动的情况说明</w:t>
          </w:r>
        </w:p>
        <w:sdt>
          <w:sdtPr>
            <w:rPr>
              <w:rFonts w:hint="eastAsia"/>
            </w:rPr>
            <w:alias w:val="是否适用：公司董事、监事、高级管理人员变动的情况说明 [双击切换]"/>
            <w:tag w:val="_GBC_1eda708e71a542fa89f6ad1bb8abbf70"/>
            <w:id w:val="903494807"/>
            <w:lock w:val="sdtContentLocked"/>
            <w:placeholder>
              <w:docPart w:val="GBC22222222222222222222222222222"/>
            </w:placeholder>
          </w:sdtPr>
          <w:sdtContent>
            <w:p w:rsidR="00883153" w:rsidRPr="00E04FAA" w:rsidRDefault="00200151">
              <w:r w:rsidRPr="00E04FAA">
                <w:fldChar w:fldCharType="begin"/>
              </w:r>
              <w:r w:rsidR="00EE58A4" w:rsidRPr="00E04FAA">
                <w:instrText xml:space="preserve"> MACROBUTTON  SnrToggleCheckbox √适用 </w:instrText>
              </w:r>
              <w:r w:rsidRPr="00E04FAA">
                <w:fldChar w:fldCharType="end"/>
              </w:r>
              <w:r w:rsidRPr="00E04FAA">
                <w:fldChar w:fldCharType="begin"/>
              </w:r>
              <w:r w:rsidR="00EE58A4" w:rsidRPr="00E04FAA">
                <w:instrText xml:space="preserve"> MACROBUTTON  SnrToggleCheckbox □不适用 </w:instrText>
              </w:r>
              <w:r w:rsidRPr="00E04FAA">
                <w:fldChar w:fldCharType="end"/>
              </w:r>
            </w:p>
          </w:sdtContent>
        </w:sdt>
        <w:sdt>
          <w:sdtPr>
            <w:rPr>
              <w:rFonts w:hint="eastAsia"/>
            </w:rPr>
            <w:alias w:val="公司董事、监事、高级管理人员变动的情况说明"/>
            <w:tag w:val="_GBC_f2e7651aeda04cb8847fc3d49af6315f"/>
            <w:id w:val="-861288199"/>
            <w:lock w:val="sdtLocked"/>
            <w:placeholder>
              <w:docPart w:val="GBC22222222222222222222222222222"/>
            </w:placeholder>
          </w:sdtPr>
          <w:sdtContent>
            <w:p w:rsidR="00883153" w:rsidRPr="00E04FAA" w:rsidRDefault="00AF0FA4" w:rsidP="00AF0FA4">
              <w:r w:rsidRPr="00E04FAA">
                <w:rPr>
                  <w:rFonts w:hint="eastAsia"/>
                </w:rPr>
                <w:t>参见上文“一、持股变动情况”中</w:t>
              </w:r>
              <w:r w:rsidRPr="00E04FAA">
                <w:t xml:space="preserve"> </w:t>
              </w:r>
              <w:r w:rsidRPr="00E04FAA">
                <w:rPr>
                  <w:rFonts w:hint="eastAsia"/>
                </w:rPr>
                <w:t>“</w:t>
              </w:r>
              <w:r w:rsidRPr="00E04FAA">
                <w:t>(一)现任及报告期内离任董事、监事和高级管理人员持股变动情况”。</w:t>
              </w:r>
            </w:p>
          </w:sdtContent>
        </w:sdt>
      </w:sdtContent>
    </w:sdt>
    <w:p w:rsidR="00883153" w:rsidRPr="00E04FAA" w:rsidRDefault="00883153"/>
    <w:sdt>
      <w:sdtPr>
        <w:rPr>
          <w:rFonts w:ascii="宋体" w:hAnsi="宋体" w:cs="宋体" w:hint="eastAsia"/>
          <w:b w:val="0"/>
          <w:bCs w:val="0"/>
          <w:kern w:val="0"/>
          <w:szCs w:val="24"/>
        </w:rPr>
        <w:alias w:val="模块:其他董事、监事、高级管理人员和员工情况"/>
        <w:tag w:val="_SEC_a1a4d90699494886b231030a7c17645b"/>
        <w:id w:val="2047560440"/>
        <w:lock w:val="sdtLocked"/>
        <w:placeholder>
          <w:docPart w:val="GBC22222222222222222222222222222"/>
        </w:placeholder>
      </w:sdtPr>
      <w:sdtEndPr>
        <w:rPr>
          <w:rFonts w:hint="default"/>
        </w:rPr>
      </w:sdtEndPr>
      <w:sdtContent>
        <w:p w:rsidR="00883153" w:rsidRPr="00E04FAA" w:rsidRDefault="00200151">
          <w:pPr>
            <w:pStyle w:val="2"/>
            <w:numPr>
              <w:ilvl w:val="0"/>
              <w:numId w:val="5"/>
            </w:numPr>
            <w:spacing w:line="360" w:lineRule="auto"/>
          </w:pPr>
          <w:r w:rsidRPr="00E04FAA">
            <w:rPr>
              <w:rFonts w:hint="eastAsia"/>
            </w:rPr>
            <w:t>其他说明</w:t>
          </w:r>
        </w:p>
        <w:sdt>
          <w:sdtPr>
            <w:alias w:val="是否适用：其他董事、监事、高级管理人员情况说明[双击切换]"/>
            <w:tag w:val="_GBC_8e7eb434c4c34c1b86cdb9f39b70c323"/>
            <w:id w:val="326630917"/>
            <w:lock w:val="sdtContentLocked"/>
            <w:placeholder>
              <w:docPart w:val="GBC22222222222222222222222222222"/>
            </w:placeholder>
          </w:sdtPr>
          <w:sdtContent>
            <w:p w:rsidR="00883153" w:rsidRPr="00E04FAA" w:rsidRDefault="00200151" w:rsidP="00384632">
              <w:r w:rsidRPr="00E04FAA">
                <w:fldChar w:fldCharType="begin"/>
              </w:r>
              <w:r w:rsidR="00384632" w:rsidRPr="00E04FAA">
                <w:instrText xml:space="preserve"> MACROBUTTON  SnrToggleCheckbox □适用 </w:instrText>
              </w:r>
              <w:r w:rsidRPr="00E04FAA">
                <w:fldChar w:fldCharType="end"/>
              </w:r>
              <w:r w:rsidRPr="00E04FAA">
                <w:fldChar w:fldCharType="begin"/>
              </w:r>
              <w:r w:rsidR="00384632" w:rsidRPr="00E04FAA">
                <w:instrText xml:space="preserve"> MACROBUTTON  SnrToggleCheckbox √不适用 </w:instrText>
              </w:r>
              <w:r w:rsidRPr="00E04FAA">
                <w:fldChar w:fldCharType="end"/>
              </w:r>
            </w:p>
          </w:sdtContent>
        </w:sdt>
      </w:sdtContent>
    </w:sdt>
    <w:p w:rsidR="00883153" w:rsidRPr="00E04FAA" w:rsidRDefault="00200151">
      <w:pPr>
        <w:spacing w:line="360" w:lineRule="exact"/>
        <w:ind w:right="5"/>
      </w:pPr>
      <w:r w:rsidRPr="00E04FAA">
        <w:br w:type="page"/>
      </w:r>
    </w:p>
    <w:p w:rsidR="00883153" w:rsidRPr="00E04FAA" w:rsidRDefault="00200151">
      <w:pPr>
        <w:pStyle w:val="10"/>
        <w:numPr>
          <w:ilvl w:val="0"/>
          <w:numId w:val="3"/>
        </w:numPr>
        <w:rPr>
          <w:bCs w:val="0"/>
          <w:szCs w:val="28"/>
        </w:rPr>
      </w:pPr>
      <w:bookmarkStart w:id="63" w:name="_Toc437440717"/>
      <w:bookmarkStart w:id="64" w:name="_Toc438111012"/>
      <w:bookmarkStart w:id="65" w:name="_Toc484510572"/>
      <w:r w:rsidRPr="00E04FAA">
        <w:rPr>
          <w:rFonts w:hint="eastAsia"/>
          <w:bCs w:val="0"/>
          <w:szCs w:val="28"/>
        </w:rPr>
        <w:lastRenderedPageBreak/>
        <w:t>公司债券相关情况</w:t>
      </w:r>
      <w:bookmarkEnd w:id="63"/>
      <w:bookmarkEnd w:id="64"/>
      <w:bookmarkEnd w:id="65"/>
    </w:p>
    <w:sdt>
      <w:sdtPr>
        <w:rPr>
          <w:szCs w:val="21"/>
        </w:rPr>
        <w:alias w:val="是否适用：公司债券相关情况[双击切换]"/>
        <w:tag w:val="_GBC_0aefba4fc6d84d32a7c7d372906dfb2e"/>
        <w:id w:val="1398469035"/>
        <w:lock w:val="sdtContentLocked"/>
        <w:placeholder>
          <w:docPart w:val="GBC22222222222222222222222222222"/>
        </w:placeholder>
      </w:sdtPr>
      <w:sdtContent>
        <w:p w:rsidR="002725D0" w:rsidRPr="00E04FAA" w:rsidRDefault="00200151" w:rsidP="002725D0">
          <w:r w:rsidRPr="00E04FAA">
            <w:rPr>
              <w:szCs w:val="21"/>
            </w:rPr>
            <w:fldChar w:fldCharType="begin"/>
          </w:r>
          <w:r w:rsidR="002725D0" w:rsidRPr="00E04FAA">
            <w:rPr>
              <w:szCs w:val="21"/>
            </w:rPr>
            <w:instrText xml:space="preserve"> MACROBUTTON  SnrToggleCheckbox □适用 </w:instrText>
          </w:r>
          <w:r w:rsidRPr="00E04FAA">
            <w:rPr>
              <w:szCs w:val="21"/>
            </w:rPr>
            <w:fldChar w:fldCharType="end"/>
          </w:r>
          <w:r w:rsidRPr="00E04FAA">
            <w:rPr>
              <w:szCs w:val="21"/>
            </w:rPr>
            <w:fldChar w:fldCharType="begin"/>
          </w:r>
          <w:r w:rsidR="002725D0" w:rsidRPr="00E04FAA">
            <w:rPr>
              <w:szCs w:val="21"/>
            </w:rPr>
            <w:instrText xml:space="preserve"> MACROBUTTON  SnrToggleCheckbox √不适用 </w:instrText>
          </w:r>
          <w:r w:rsidRPr="00E04FAA">
            <w:rPr>
              <w:szCs w:val="21"/>
            </w:rPr>
            <w:fldChar w:fldCharType="end"/>
          </w:r>
        </w:p>
      </w:sdtContent>
    </w:sdt>
    <w:p w:rsidR="00ED2DC7" w:rsidRDefault="00ED2DC7">
      <w:pPr>
        <w:pStyle w:val="affffffffffffffffff"/>
        <w:numPr>
          <w:ilvl w:val="0"/>
          <w:numId w:val="3"/>
        </w:numPr>
        <w:rPr>
          <w:rFonts w:ascii="宋体" w:eastAsia="宋体" w:hAnsi="宋体"/>
          <w:bCs w:val="0"/>
          <w:szCs w:val="28"/>
        </w:rPr>
      </w:pPr>
      <w:bookmarkStart w:id="66" w:name="_Toc484510573"/>
      <w:r>
        <w:rPr>
          <w:rFonts w:ascii="宋体" w:eastAsia="宋体" w:hAnsi="宋体"/>
          <w:bCs w:val="0"/>
          <w:szCs w:val="28"/>
        </w:rPr>
        <w:t>财务报告</w:t>
      </w:r>
      <w:bookmarkEnd w:id="66"/>
    </w:p>
    <w:sdt>
      <w:sdtPr>
        <w:rPr>
          <w:rFonts w:ascii="宋体" w:hAnsi="宋体" w:cs="宋体" w:hint="eastAsia"/>
          <w:b w:val="0"/>
          <w:bCs w:val="0"/>
          <w:kern w:val="0"/>
          <w:szCs w:val="24"/>
        </w:rPr>
        <w:alias w:val="模块:审计报告"/>
        <w:tag w:val="_GBC_3c4b7d00409449a2b71d41277e7bd042"/>
        <w:id w:val="1277990379"/>
        <w:lock w:val="sdtLocked"/>
        <w:placeholder>
          <w:docPart w:val="GBC22222222222222222222222222222"/>
        </w:placeholder>
      </w:sdtPr>
      <w:sdtContent>
        <w:p w:rsidR="00ED2DC7" w:rsidRDefault="00ED2DC7" w:rsidP="00036BDC">
          <w:pPr>
            <w:pStyle w:val="affffffffffffffffff0"/>
            <w:numPr>
              <w:ilvl w:val="0"/>
              <w:numId w:val="35"/>
            </w:numPr>
            <w:rPr>
              <w:rFonts w:ascii="宋体" w:hAnsi="宋体"/>
            </w:rPr>
          </w:pPr>
          <w:r>
            <w:rPr>
              <w:rFonts w:hint="eastAsia"/>
            </w:rPr>
            <w:t>审计</w:t>
          </w:r>
          <w:r>
            <w:rPr>
              <w:rFonts w:ascii="宋体" w:hAnsi="宋体" w:hint="eastAsia"/>
            </w:rPr>
            <w:t>报告</w:t>
          </w:r>
        </w:p>
        <w:sdt>
          <w:sdtPr>
            <w:alias w:val="是否适用：审计报告[双击切换]"/>
            <w:tag w:val="_GBC_33dac3baf6634fba91e3026ebaaad280"/>
            <w:id w:val="-1452468369"/>
            <w:lock w:val="sdtContentLocked"/>
            <w:placeholder>
              <w:docPart w:val="GBC22222222222222222222222222222"/>
            </w:placeholder>
          </w:sdtPr>
          <w:sdtContent>
            <w:p w:rsidR="00ED2DC7" w:rsidRDefault="00ED2DC7" w:rsidP="007E6333">
              <w:r>
                <w:fldChar w:fldCharType="begin"/>
              </w:r>
              <w:r w:rsidR="007E6333">
                <w:instrText xml:space="preserve"> MACROBUTTON  SnrToggleCheckbox □适用 </w:instrText>
              </w:r>
              <w:r>
                <w:fldChar w:fldCharType="end"/>
              </w:r>
              <w:r>
                <w:fldChar w:fldCharType="begin"/>
              </w:r>
              <w:r w:rsidR="007E6333">
                <w:instrText xml:space="preserve"> MACROBUTTON  SnrToggleCheckbox √不适用 </w:instrText>
              </w:r>
              <w:r>
                <w:fldChar w:fldCharType="end"/>
              </w:r>
            </w:p>
          </w:sdtContent>
        </w:sdt>
      </w:sdtContent>
    </w:sdt>
    <w:p w:rsidR="00ED2DC7" w:rsidRDefault="00ED2DC7"/>
    <w:p w:rsidR="00ED2DC7" w:rsidRDefault="00ED2DC7" w:rsidP="00036BDC">
      <w:pPr>
        <w:pStyle w:val="affffffffffffffffff0"/>
        <w:numPr>
          <w:ilvl w:val="0"/>
          <w:numId w:val="35"/>
        </w:numPr>
        <w:rPr>
          <w:rFonts w:ascii="宋体" w:hAnsi="宋体"/>
        </w:rPr>
      </w:pPr>
      <w:r>
        <w:rPr>
          <w:rFonts w:ascii="宋体" w:hAnsi="宋体" w:hint="eastAsia"/>
        </w:rPr>
        <w:t>财务报表</w:t>
      </w:r>
    </w:p>
    <w:bookmarkStart w:id="67" w:name="_Hlk10208794" w:displacedByCustomXml="next"/>
    <w:sdt>
      <w:sdtPr>
        <w:rPr>
          <w:rFonts w:ascii="宋体" w:hAnsi="宋体" w:cs="宋体"/>
          <w:b w:val="0"/>
          <w:bCs w:val="0"/>
          <w:kern w:val="0"/>
          <w:szCs w:val="24"/>
        </w:rPr>
        <w:alias w:val="选项模块:需要编制合并报表"/>
        <w:tag w:val="_GBC_f3d43b26b5d34a4c88db3cb7d81650cc"/>
        <w:id w:val="-190852165"/>
        <w:lock w:val="sdtLocked"/>
        <w:placeholder>
          <w:docPart w:val="GBC22222222222222222222222222222"/>
        </w:placeholder>
      </w:sdtPr>
      <w:sdtEndPr>
        <w:rPr>
          <w:szCs w:val="21"/>
        </w:rPr>
      </w:sdtEndPr>
      <w:sdtContent>
        <w:sdt>
          <w:sdtPr>
            <w:rPr>
              <w:rFonts w:ascii="宋体" w:hAnsi="宋体" w:cs="宋体" w:hint="eastAsia"/>
              <w:b w:val="0"/>
              <w:bCs w:val="0"/>
              <w:kern w:val="0"/>
              <w:szCs w:val="24"/>
            </w:rPr>
            <w:tag w:val="_GBC_b84409e42f904bdab44813a972d54149"/>
            <w:id w:val="274224248"/>
            <w:lock w:val="sdtLocked"/>
            <w:placeholder>
              <w:docPart w:val="GBC22222222222222222222222222222"/>
            </w:placeholder>
          </w:sdtPr>
          <w:sdtEndPr>
            <w:rPr>
              <w:rFonts w:hint="default"/>
              <w:color w:val="008000"/>
              <w:szCs w:val="21"/>
              <w:u w:val="single"/>
            </w:rPr>
          </w:sdtEndPr>
          <w:sdtContent>
            <w:p w:rsidR="00ED2DC7" w:rsidRDefault="00ED2DC7">
              <w:pPr>
                <w:pStyle w:val="affffffffffffffffff1"/>
                <w:jc w:val="center"/>
              </w:pPr>
              <w:r>
                <w:rPr>
                  <w:rFonts w:hint="eastAsia"/>
                </w:rPr>
                <w:t>合并资产负债表</w:t>
              </w:r>
            </w:p>
            <w:p w:rsidR="00ED2DC7" w:rsidRDefault="00ED2DC7">
              <w:pPr>
                <w:snapToGrid w:val="0"/>
                <w:spacing w:line="240" w:lineRule="atLeast"/>
                <w:jc w:val="center"/>
                <w:rPr>
                  <w:b/>
                  <w:szCs w:val="21"/>
                </w:rPr>
              </w:pPr>
              <w:r>
                <w:rPr>
                  <w:szCs w:val="21"/>
                </w:rPr>
                <w:t>2019年</w:t>
              </w:r>
              <w:r>
                <w:rPr>
                  <w:rFonts w:hint="eastAsia"/>
                  <w:szCs w:val="21"/>
                </w:rPr>
                <w:t>6</w:t>
              </w:r>
              <w:r>
                <w:rPr>
                  <w:szCs w:val="21"/>
                </w:rPr>
                <w:t>月3</w:t>
              </w:r>
              <w:r>
                <w:rPr>
                  <w:rFonts w:hint="eastAsia"/>
                  <w:szCs w:val="21"/>
                </w:rPr>
                <w:t>0</w:t>
              </w:r>
              <w:r>
                <w:rPr>
                  <w:szCs w:val="21"/>
                </w:rPr>
                <w:t>日</w:t>
              </w:r>
            </w:p>
            <w:p w:rsidR="00ED2DC7" w:rsidRDefault="00ED2DC7">
              <w:pPr>
                <w:rPr>
                  <w:szCs w:val="21"/>
                </w:rPr>
              </w:pPr>
              <w:r>
                <w:rPr>
                  <w:szCs w:val="21"/>
                </w:rPr>
                <w:t xml:space="preserve">编制单位: </w:t>
              </w:r>
              <w:sdt>
                <w:sdtPr>
                  <w:rPr>
                    <w:szCs w:val="21"/>
                  </w:rPr>
                  <w:alias w:val="公司法定中文名称"/>
                  <w:tag w:val="_GBC_76dae7aa62d842859c05c05e750163c2"/>
                  <w:id w:val="-1053076798"/>
                  <w:lock w:val="sdtLocked"/>
                  <w:placeholder>
                    <w:docPart w:val="GBC22222222222222222222222222222"/>
                  </w:placeholder>
                  <w:dataBinding w:prefixMappings="xmlns:clcid-cgi='clcid-cgi'" w:xpath="/*/clcid-cgi:GongSiFaDingZhongWenMingCheng[not(@periodRef)]" w:storeItemID="{89EBAB94-44A0-46A2-B712-30D997D04A6D}"/>
                  <w:text/>
                </w:sdtPr>
                <w:sdtContent>
                  <w:r w:rsidR="008F04CF">
                    <w:rPr>
                      <w:szCs w:val="21"/>
                    </w:rPr>
                    <w:t>用友网络科技股份有限公司</w:t>
                  </w:r>
                </w:sdtContent>
              </w:sdt>
            </w:p>
            <w:p w:rsidR="00ED2DC7" w:rsidRDefault="00ED2DC7">
              <w:pPr>
                <w:jc w:val="right"/>
                <w:rPr>
                  <w:szCs w:val="21"/>
                </w:rPr>
              </w:pPr>
              <w:r>
                <w:rPr>
                  <w:szCs w:val="21"/>
                </w:rPr>
                <w:t>单位:</w:t>
              </w:r>
              <w:sdt>
                <w:sdtPr>
                  <w:rPr>
                    <w:szCs w:val="21"/>
                  </w:rPr>
                  <w:alias w:val="单位：合并资产负债表"/>
                  <w:tag w:val="_GBC_710dced47e5943589779e071c78c5512"/>
                  <w:id w:val="6868700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szCs w:val="21"/>
                    </w:rPr>
                    <w:t>元</w:t>
                  </w:r>
                </w:sdtContent>
              </w:sdt>
              <w:r>
                <w:rPr>
                  <w:szCs w:val="21"/>
                </w:rPr>
                <w:t xml:space="preserve">  币种:</w:t>
              </w:r>
              <w:sdt>
                <w:sdtPr>
                  <w:rPr>
                    <w:szCs w:val="21"/>
                  </w:rPr>
                  <w:alias w:val="币种：合并资产负债表"/>
                  <w:tag w:val="_GBC_7e2679155b104d33ba04158c7414bcff"/>
                  <w:id w:val="-124871920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szCs w:val="21"/>
                    </w:rPr>
                    <w:t>人民币</w:t>
                  </w:r>
                </w:sdtContent>
              </w:sdt>
            </w:p>
            <w:tbl>
              <w:tblPr>
                <w:tblStyle w:val="g38"/>
                <w:tblW w:w="5001"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21"/>
                <w:gridCol w:w="991"/>
                <w:gridCol w:w="1984"/>
                <w:gridCol w:w="2023"/>
              </w:tblGrid>
              <w:tr w:rsidR="00B637B2" w:rsidTr="00B637B2">
                <w:sdt>
                  <w:sdtPr>
                    <w:tag w:val="_PLD_1d3f74748a444e6ea0d191e81e54edca"/>
                    <w:id w:val="-134724434"/>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3F54E5" w:rsidRDefault="003F54E5" w:rsidP="003F54E5">
                        <w:pPr>
                          <w:jc w:val="center"/>
                          <w:rPr>
                            <w:b/>
                            <w:szCs w:val="21"/>
                          </w:rPr>
                        </w:pPr>
                        <w:r>
                          <w:rPr>
                            <w:b/>
                            <w:szCs w:val="21"/>
                          </w:rPr>
                          <w:t>项目</w:t>
                        </w:r>
                      </w:p>
                    </w:tc>
                  </w:sdtContent>
                </w:sdt>
                <w:sdt>
                  <w:sdtPr>
                    <w:tag w:val="_PLD_da216b439a53487e85f12225916c5563"/>
                    <w:id w:val="616801469"/>
                    <w:lock w:val="sdtLocked"/>
                  </w:sdtPr>
                  <w:sdtContent>
                    <w:tc>
                      <w:tcPr>
                        <w:tcW w:w="562" w:type="pct"/>
                        <w:tcBorders>
                          <w:top w:val="outset" w:sz="6" w:space="0" w:color="auto"/>
                          <w:left w:val="outset" w:sz="6" w:space="0" w:color="auto"/>
                          <w:bottom w:val="outset" w:sz="6" w:space="0" w:color="auto"/>
                          <w:right w:val="outset" w:sz="6" w:space="0" w:color="auto"/>
                        </w:tcBorders>
                        <w:vAlign w:val="center"/>
                      </w:tcPr>
                      <w:p w:rsidR="003F54E5" w:rsidRDefault="003F54E5" w:rsidP="003F54E5">
                        <w:pPr>
                          <w:jc w:val="center"/>
                          <w:rPr>
                            <w:b/>
                            <w:szCs w:val="21"/>
                          </w:rPr>
                        </w:pPr>
                        <w:r>
                          <w:rPr>
                            <w:rFonts w:hint="eastAsia"/>
                            <w:b/>
                            <w:szCs w:val="21"/>
                          </w:rPr>
                          <w:t>附注</w:t>
                        </w:r>
                      </w:p>
                    </w:tc>
                  </w:sdtContent>
                </w:sdt>
                <w:sdt>
                  <w:sdtPr>
                    <w:tag w:val="_PLD_21df1d74f3114abf83688ef31bc4d9a7"/>
                    <w:id w:val="1369578307"/>
                    <w:lock w:val="sdtLocked"/>
                  </w:sdtPr>
                  <w:sdtContent>
                    <w:tc>
                      <w:tcPr>
                        <w:tcW w:w="1125" w:type="pct"/>
                        <w:tcBorders>
                          <w:top w:val="outset" w:sz="6" w:space="0" w:color="auto"/>
                          <w:left w:val="outset" w:sz="6" w:space="0" w:color="auto"/>
                          <w:bottom w:val="outset" w:sz="6" w:space="0" w:color="auto"/>
                          <w:right w:val="outset" w:sz="6" w:space="0" w:color="auto"/>
                        </w:tcBorders>
                        <w:vAlign w:val="center"/>
                      </w:tcPr>
                      <w:p w:rsidR="003F54E5" w:rsidRDefault="003F54E5" w:rsidP="003F54E5">
                        <w:pPr>
                          <w:jc w:val="center"/>
                          <w:rPr>
                            <w:b/>
                            <w:szCs w:val="21"/>
                          </w:rPr>
                        </w:pPr>
                        <w:r>
                          <w:rPr>
                            <w:rFonts w:hint="eastAsia"/>
                            <w:b/>
                          </w:rPr>
                          <w:t>2</w:t>
                        </w:r>
                        <w:r>
                          <w:rPr>
                            <w:b/>
                          </w:rPr>
                          <w:t>019</w:t>
                        </w:r>
                        <w:r>
                          <w:rPr>
                            <w:rFonts w:hint="eastAsia"/>
                            <w:b/>
                          </w:rPr>
                          <w:t>年</w:t>
                        </w:r>
                        <w:r>
                          <w:rPr>
                            <w:b/>
                          </w:rPr>
                          <w:t>6</w:t>
                        </w:r>
                        <w:r>
                          <w:rPr>
                            <w:rFonts w:hint="eastAsia"/>
                            <w:b/>
                          </w:rPr>
                          <w:t>月</w:t>
                        </w:r>
                        <w:r>
                          <w:rPr>
                            <w:b/>
                          </w:rPr>
                          <w:t>30</w:t>
                        </w:r>
                        <w:r>
                          <w:rPr>
                            <w:rFonts w:hint="eastAsia"/>
                            <w:b/>
                          </w:rPr>
                          <w:t>日</w:t>
                        </w:r>
                      </w:p>
                    </w:tc>
                  </w:sdtContent>
                </w:sdt>
                <w:sdt>
                  <w:sdtPr>
                    <w:tag w:val="_PLD_d92c936206d34a64b4b2139999e7311b"/>
                    <w:id w:val="684253395"/>
                    <w:lock w:val="sdtLocked"/>
                  </w:sdtPr>
                  <w:sdtContent>
                    <w:tc>
                      <w:tcPr>
                        <w:tcW w:w="1147" w:type="pct"/>
                        <w:tcBorders>
                          <w:top w:val="outset" w:sz="6" w:space="0" w:color="auto"/>
                          <w:left w:val="outset" w:sz="6" w:space="0" w:color="auto"/>
                          <w:bottom w:val="outset" w:sz="6" w:space="0" w:color="auto"/>
                          <w:right w:val="outset" w:sz="6" w:space="0" w:color="auto"/>
                        </w:tcBorders>
                        <w:vAlign w:val="center"/>
                      </w:tcPr>
                      <w:p w:rsidR="003F54E5" w:rsidRDefault="003F54E5" w:rsidP="003F54E5">
                        <w:pPr>
                          <w:jc w:val="center"/>
                          <w:rPr>
                            <w:b/>
                            <w:szCs w:val="21"/>
                          </w:rPr>
                        </w:pPr>
                        <w:r>
                          <w:rPr>
                            <w:rFonts w:hint="eastAsia"/>
                            <w:b/>
                            <w:szCs w:val="21"/>
                          </w:rPr>
                          <w:t>2018年12月31日</w:t>
                        </w:r>
                      </w:p>
                    </w:tc>
                  </w:sdtContent>
                </w:sdt>
              </w:tr>
              <w:tr w:rsidR="00B637B2" w:rsidTr="00B637B2">
                <w:sdt>
                  <w:sdtPr>
                    <w:tag w:val="_PLD_c47a329e79ad491ca413bdaf35b1f19b"/>
                    <w:id w:val="1722631064"/>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3F54E5" w:rsidRDefault="003F54E5" w:rsidP="003F54E5">
                        <w:pPr>
                          <w:rPr>
                            <w:szCs w:val="21"/>
                          </w:rPr>
                        </w:pPr>
                        <w:r>
                          <w:rPr>
                            <w:rFonts w:hint="eastAsia"/>
                            <w:b/>
                            <w:bCs/>
                            <w:szCs w:val="21"/>
                          </w:rPr>
                          <w:t>流动资产：</w:t>
                        </w:r>
                      </w:p>
                    </w:tc>
                  </w:sdtContent>
                </w:sdt>
                <w:tc>
                  <w:tcPr>
                    <w:tcW w:w="562" w:type="pct"/>
                    <w:tcBorders>
                      <w:top w:val="outset" w:sz="6" w:space="0" w:color="auto"/>
                      <w:left w:val="outset" w:sz="6" w:space="0" w:color="auto"/>
                      <w:bottom w:val="outset" w:sz="6" w:space="0" w:color="auto"/>
                      <w:right w:val="outset" w:sz="6" w:space="0" w:color="auto"/>
                    </w:tcBorders>
                    <w:vAlign w:val="center"/>
                  </w:tcPr>
                  <w:p w:rsidR="003F54E5" w:rsidRDefault="003F54E5" w:rsidP="00B637B2">
                    <w:pPr>
                      <w:jc w:val="both"/>
                      <w:rPr>
                        <w:b/>
                        <w:szCs w:val="21"/>
                      </w:rPr>
                    </w:pPr>
                    <w:r>
                      <w:t xml:space="preserve">　</w:t>
                    </w:r>
                  </w:p>
                </w:tc>
                <w:tc>
                  <w:tcPr>
                    <w:tcW w:w="1125" w:type="pct"/>
                    <w:tcBorders>
                      <w:top w:val="outset" w:sz="6" w:space="0" w:color="auto"/>
                      <w:left w:val="outset" w:sz="6" w:space="0" w:color="auto"/>
                      <w:bottom w:val="outset" w:sz="6" w:space="0" w:color="auto"/>
                      <w:right w:val="outset" w:sz="6" w:space="0" w:color="auto"/>
                    </w:tcBorders>
                  </w:tcPr>
                  <w:p w:rsidR="003F54E5" w:rsidRDefault="003F54E5" w:rsidP="003F54E5">
                    <w:pPr>
                      <w:rPr>
                        <w:b/>
                        <w:szCs w:val="21"/>
                      </w:rPr>
                    </w:pPr>
                    <w:r>
                      <w:t xml:space="preserve">　</w:t>
                    </w:r>
                  </w:p>
                </w:tc>
                <w:tc>
                  <w:tcPr>
                    <w:tcW w:w="1147" w:type="pct"/>
                    <w:tcBorders>
                      <w:top w:val="outset" w:sz="6" w:space="0" w:color="auto"/>
                      <w:left w:val="outset" w:sz="6" w:space="0" w:color="auto"/>
                      <w:bottom w:val="outset" w:sz="6" w:space="0" w:color="auto"/>
                      <w:right w:val="outset" w:sz="6" w:space="0" w:color="auto"/>
                    </w:tcBorders>
                  </w:tcPr>
                  <w:p w:rsidR="003F54E5" w:rsidRDefault="003F54E5" w:rsidP="003F54E5">
                    <w:pPr>
                      <w:rPr>
                        <w:b/>
                        <w:szCs w:val="21"/>
                      </w:rPr>
                    </w:pPr>
                    <w:r>
                      <w:t xml:space="preserve">　</w:t>
                    </w:r>
                  </w:p>
                </w:tc>
              </w:tr>
              <w:tr w:rsidR="00B637B2" w:rsidTr="00B637B2">
                <w:sdt>
                  <w:sdtPr>
                    <w:tag w:val="_PLD_36a7056a6e314e22ba0fd39d033ba0ea"/>
                    <w:id w:val="-2129079413"/>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3F54E5" w:rsidRDefault="003F54E5" w:rsidP="003F54E5">
                        <w:pPr>
                          <w:ind w:firstLineChars="100" w:firstLine="210"/>
                          <w:rPr>
                            <w:szCs w:val="21"/>
                          </w:rPr>
                        </w:pPr>
                        <w:r>
                          <w:rPr>
                            <w:rFonts w:hint="eastAsia"/>
                            <w:szCs w:val="21"/>
                          </w:rPr>
                          <w:t>货币资金</w:t>
                        </w:r>
                      </w:p>
                    </w:tc>
                  </w:sdtContent>
                </w:sdt>
                <w:tc>
                  <w:tcPr>
                    <w:tcW w:w="562" w:type="pct"/>
                    <w:tcBorders>
                      <w:top w:val="outset" w:sz="6" w:space="0" w:color="auto"/>
                      <w:left w:val="outset" w:sz="6" w:space="0" w:color="auto"/>
                      <w:bottom w:val="outset" w:sz="6" w:space="0" w:color="auto"/>
                      <w:right w:val="outset" w:sz="6" w:space="0" w:color="auto"/>
                    </w:tcBorders>
                    <w:vAlign w:val="center"/>
                  </w:tcPr>
                  <w:p w:rsidR="003F54E5" w:rsidRDefault="008F04CF" w:rsidP="00B637B2">
                    <w:pPr>
                      <w:rPr>
                        <w:szCs w:val="21"/>
                      </w:rPr>
                    </w:pPr>
                    <w:r>
                      <w:rPr>
                        <w:rFonts w:hint="eastAsia"/>
                      </w:rPr>
                      <w:t>七、1</w:t>
                    </w:r>
                  </w:p>
                </w:tc>
                <w:tc>
                  <w:tcPr>
                    <w:tcW w:w="1125"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4,440,702,448</w:t>
                    </w:r>
                  </w:p>
                </w:tc>
                <w:tc>
                  <w:tcPr>
                    <w:tcW w:w="1147"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5,530,811,375</w:t>
                    </w:r>
                  </w:p>
                </w:tc>
              </w:tr>
              <w:tr w:rsidR="00B637B2" w:rsidTr="00B637B2">
                <w:sdt>
                  <w:sdtPr>
                    <w:tag w:val="_PLD_eeecea89787644c581a60f0ab1e1e353"/>
                    <w:id w:val="-459342868"/>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3F54E5" w:rsidRDefault="003F54E5" w:rsidP="003F54E5">
                        <w:pPr>
                          <w:ind w:firstLineChars="100" w:firstLine="210"/>
                          <w:rPr>
                            <w:szCs w:val="21"/>
                          </w:rPr>
                        </w:pPr>
                        <w:r>
                          <w:rPr>
                            <w:rFonts w:hint="eastAsia"/>
                            <w:szCs w:val="21"/>
                          </w:rPr>
                          <w:t>结算备付金</w:t>
                        </w:r>
                      </w:p>
                    </w:tc>
                  </w:sdtContent>
                </w:sdt>
                <w:tc>
                  <w:tcPr>
                    <w:tcW w:w="562" w:type="pct"/>
                    <w:tcBorders>
                      <w:top w:val="outset" w:sz="6" w:space="0" w:color="auto"/>
                      <w:left w:val="outset" w:sz="6" w:space="0" w:color="auto"/>
                      <w:bottom w:val="outset" w:sz="6" w:space="0" w:color="auto"/>
                      <w:right w:val="outset" w:sz="6" w:space="0" w:color="auto"/>
                    </w:tcBorders>
                    <w:vAlign w:val="center"/>
                  </w:tcPr>
                  <w:p w:rsidR="003F54E5" w:rsidRDefault="003F54E5" w:rsidP="00B637B2">
                    <w:pPr>
                      <w:jc w:val="both"/>
                      <w:rPr>
                        <w:szCs w:val="21"/>
                      </w:rPr>
                    </w:pPr>
                    <w:r>
                      <w:t xml:space="preserve">　</w:t>
                    </w:r>
                  </w:p>
                </w:tc>
                <w:tc>
                  <w:tcPr>
                    <w:tcW w:w="1125"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w:t>
                    </w:r>
                  </w:p>
                </w:tc>
                <w:tc>
                  <w:tcPr>
                    <w:tcW w:w="1147"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w:t>
                    </w:r>
                  </w:p>
                </w:tc>
              </w:tr>
              <w:tr w:rsidR="00B637B2" w:rsidTr="00B637B2">
                <w:sdt>
                  <w:sdtPr>
                    <w:tag w:val="_PLD_879bf785eb864905ac5a35d3fcf6fc5e"/>
                    <w:id w:val="50198765"/>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3F54E5" w:rsidRDefault="003F54E5" w:rsidP="003F54E5">
                        <w:pPr>
                          <w:ind w:firstLineChars="100" w:firstLine="210"/>
                          <w:rPr>
                            <w:szCs w:val="21"/>
                          </w:rPr>
                        </w:pPr>
                        <w:r>
                          <w:rPr>
                            <w:rFonts w:hint="eastAsia"/>
                            <w:szCs w:val="21"/>
                          </w:rPr>
                          <w:t>拆出资金</w:t>
                        </w:r>
                      </w:p>
                    </w:tc>
                  </w:sdtContent>
                </w:sdt>
                <w:tc>
                  <w:tcPr>
                    <w:tcW w:w="562" w:type="pct"/>
                    <w:tcBorders>
                      <w:top w:val="outset" w:sz="6" w:space="0" w:color="auto"/>
                      <w:left w:val="outset" w:sz="6" w:space="0" w:color="auto"/>
                      <w:bottom w:val="outset" w:sz="6" w:space="0" w:color="auto"/>
                      <w:right w:val="outset" w:sz="6" w:space="0" w:color="auto"/>
                    </w:tcBorders>
                    <w:vAlign w:val="center"/>
                  </w:tcPr>
                  <w:p w:rsidR="003F54E5" w:rsidRDefault="003F54E5" w:rsidP="00B637B2">
                    <w:pPr>
                      <w:jc w:val="both"/>
                      <w:rPr>
                        <w:szCs w:val="21"/>
                      </w:rPr>
                    </w:pPr>
                    <w:r>
                      <w:t xml:space="preserve">　</w:t>
                    </w:r>
                  </w:p>
                </w:tc>
                <w:tc>
                  <w:tcPr>
                    <w:tcW w:w="1125"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w:t>
                    </w:r>
                  </w:p>
                </w:tc>
                <w:tc>
                  <w:tcPr>
                    <w:tcW w:w="1147"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w:t>
                    </w:r>
                  </w:p>
                </w:tc>
              </w:tr>
              <w:tr w:rsidR="00B637B2" w:rsidTr="00B637B2">
                <w:tc>
                  <w:tcPr>
                    <w:tcW w:w="2166"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6d63ef987134b32b553402ba76eef23"/>
                      <w:id w:val="399184544"/>
                      <w:lock w:val="sdtLocked"/>
                    </w:sdtPr>
                    <w:sdtContent>
                      <w:p w:rsidR="003F54E5" w:rsidRDefault="003F54E5" w:rsidP="003F54E5">
                        <w:pPr>
                          <w:ind w:firstLineChars="100" w:firstLine="210"/>
                        </w:pPr>
                        <w:r>
                          <w:rPr>
                            <w:rFonts w:hint="eastAsia"/>
                          </w:rPr>
                          <w:t>交易性金融资产</w:t>
                        </w:r>
                      </w:p>
                    </w:sdtContent>
                  </w:sdt>
                </w:tc>
                <w:tc>
                  <w:tcPr>
                    <w:tcW w:w="562" w:type="pct"/>
                    <w:tcBorders>
                      <w:top w:val="outset" w:sz="6" w:space="0" w:color="auto"/>
                      <w:left w:val="outset" w:sz="6" w:space="0" w:color="auto"/>
                      <w:bottom w:val="outset" w:sz="6" w:space="0" w:color="auto"/>
                      <w:right w:val="outset" w:sz="6" w:space="0" w:color="auto"/>
                    </w:tcBorders>
                    <w:vAlign w:val="center"/>
                  </w:tcPr>
                  <w:p w:rsidR="003F54E5" w:rsidRDefault="008F04CF" w:rsidP="00B637B2">
                    <w:pPr>
                      <w:jc w:val="both"/>
                      <w:rPr>
                        <w:szCs w:val="21"/>
                      </w:rPr>
                    </w:pPr>
                    <w:r>
                      <w:rPr>
                        <w:rFonts w:hint="eastAsia"/>
                      </w:rPr>
                      <w:t>七、</w:t>
                    </w:r>
                    <w:r>
                      <w:t>2</w:t>
                    </w:r>
                  </w:p>
                </w:tc>
                <w:tc>
                  <w:tcPr>
                    <w:tcW w:w="1125"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1,221,635,881</w:t>
                    </w:r>
                  </w:p>
                </w:tc>
                <w:tc>
                  <w:tcPr>
                    <w:tcW w:w="1147"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w:t>
                    </w:r>
                  </w:p>
                </w:tc>
              </w:tr>
              <w:tr w:rsidR="00B637B2" w:rsidTr="00B637B2">
                <w:sdt>
                  <w:sdtPr>
                    <w:tag w:val="_PLD_8abb4e37844448aab49c1d5c57e8aa52"/>
                    <w:id w:val="-1007440970"/>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3F54E5" w:rsidRDefault="003F54E5" w:rsidP="003F54E5">
                        <w:pPr>
                          <w:ind w:firstLineChars="100" w:firstLine="210"/>
                          <w:rPr>
                            <w:szCs w:val="21"/>
                          </w:rPr>
                        </w:pPr>
                        <w:r>
                          <w:rPr>
                            <w:rFonts w:hint="eastAsia"/>
                            <w:szCs w:val="21"/>
                          </w:rPr>
                          <w:t>以公允价值计量且其变动计入当期损益的金融资产</w:t>
                        </w:r>
                      </w:p>
                    </w:tc>
                  </w:sdtContent>
                </w:sdt>
                <w:tc>
                  <w:tcPr>
                    <w:tcW w:w="562" w:type="pct"/>
                    <w:tcBorders>
                      <w:top w:val="outset" w:sz="6" w:space="0" w:color="auto"/>
                      <w:left w:val="outset" w:sz="6" w:space="0" w:color="auto"/>
                      <w:bottom w:val="outset" w:sz="6" w:space="0" w:color="auto"/>
                      <w:right w:val="outset" w:sz="6" w:space="0" w:color="auto"/>
                    </w:tcBorders>
                    <w:vAlign w:val="center"/>
                  </w:tcPr>
                  <w:p w:rsidR="003F54E5" w:rsidRDefault="003F54E5" w:rsidP="00B637B2">
                    <w:pPr>
                      <w:jc w:val="both"/>
                      <w:rPr>
                        <w:szCs w:val="21"/>
                      </w:rPr>
                    </w:pPr>
                    <w:r>
                      <w:t xml:space="preserve">　</w:t>
                    </w:r>
                  </w:p>
                </w:tc>
                <w:tc>
                  <w:tcPr>
                    <w:tcW w:w="1125"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w:t>
                    </w:r>
                  </w:p>
                </w:tc>
                <w:tc>
                  <w:tcPr>
                    <w:tcW w:w="1147"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w:t>
                    </w:r>
                  </w:p>
                </w:tc>
              </w:tr>
              <w:tr w:rsidR="00B637B2" w:rsidTr="00B637B2">
                <w:sdt>
                  <w:sdtPr>
                    <w:tag w:val="_PLD_a2a2e8b160574a929568047f67b21dba"/>
                    <w:id w:val="-970818767"/>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3F54E5" w:rsidRDefault="003F54E5" w:rsidP="003F54E5">
                        <w:pPr>
                          <w:ind w:firstLineChars="100" w:firstLine="210"/>
                          <w:rPr>
                            <w:szCs w:val="21"/>
                          </w:rPr>
                        </w:pPr>
                        <w:r>
                          <w:rPr>
                            <w:rFonts w:hint="eastAsia"/>
                            <w:szCs w:val="21"/>
                          </w:rPr>
                          <w:t>衍生金融资产</w:t>
                        </w:r>
                      </w:p>
                    </w:tc>
                  </w:sdtContent>
                </w:sdt>
                <w:tc>
                  <w:tcPr>
                    <w:tcW w:w="562" w:type="pct"/>
                    <w:tcBorders>
                      <w:top w:val="outset" w:sz="6" w:space="0" w:color="auto"/>
                      <w:left w:val="outset" w:sz="6" w:space="0" w:color="auto"/>
                      <w:bottom w:val="outset" w:sz="6" w:space="0" w:color="auto"/>
                      <w:right w:val="outset" w:sz="6" w:space="0" w:color="auto"/>
                    </w:tcBorders>
                    <w:vAlign w:val="center"/>
                  </w:tcPr>
                  <w:p w:rsidR="003F54E5" w:rsidRDefault="003F54E5" w:rsidP="00B637B2">
                    <w:pPr>
                      <w:jc w:val="both"/>
                      <w:rPr>
                        <w:szCs w:val="21"/>
                      </w:rPr>
                    </w:pPr>
                    <w:r>
                      <w:t xml:space="preserve">　</w:t>
                    </w:r>
                  </w:p>
                </w:tc>
                <w:tc>
                  <w:tcPr>
                    <w:tcW w:w="1125"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w:t>
                    </w:r>
                  </w:p>
                </w:tc>
                <w:tc>
                  <w:tcPr>
                    <w:tcW w:w="1147"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w:t>
                    </w:r>
                  </w:p>
                </w:tc>
              </w:tr>
              <w:tr w:rsidR="00B637B2" w:rsidTr="00B637B2">
                <w:sdt>
                  <w:sdtPr>
                    <w:tag w:val="_PLD_b4275fbbd6c24380aaa849df8e4a5394"/>
                    <w:id w:val="1902477017"/>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3F54E5" w:rsidRDefault="003F54E5" w:rsidP="003F54E5">
                        <w:pPr>
                          <w:ind w:firstLineChars="100" w:firstLine="210"/>
                          <w:rPr>
                            <w:szCs w:val="21"/>
                          </w:rPr>
                        </w:pPr>
                        <w:r>
                          <w:rPr>
                            <w:rFonts w:hint="eastAsia"/>
                            <w:szCs w:val="21"/>
                          </w:rPr>
                          <w:t>应收票据</w:t>
                        </w:r>
                      </w:p>
                    </w:tc>
                  </w:sdtContent>
                </w:sdt>
                <w:tc>
                  <w:tcPr>
                    <w:tcW w:w="562" w:type="pct"/>
                    <w:tcBorders>
                      <w:top w:val="outset" w:sz="6" w:space="0" w:color="auto"/>
                      <w:left w:val="outset" w:sz="6" w:space="0" w:color="auto"/>
                      <w:bottom w:val="outset" w:sz="6" w:space="0" w:color="auto"/>
                      <w:right w:val="outset" w:sz="6" w:space="0" w:color="auto"/>
                    </w:tcBorders>
                    <w:vAlign w:val="center"/>
                  </w:tcPr>
                  <w:p w:rsidR="003F54E5" w:rsidRDefault="008F04CF" w:rsidP="00B637B2">
                    <w:pPr>
                      <w:jc w:val="both"/>
                      <w:rPr>
                        <w:szCs w:val="21"/>
                      </w:rPr>
                    </w:pPr>
                    <w:r>
                      <w:rPr>
                        <w:rFonts w:hint="eastAsia"/>
                      </w:rPr>
                      <w:t>七、</w:t>
                    </w:r>
                    <w:r>
                      <w:t>4</w:t>
                    </w:r>
                  </w:p>
                </w:tc>
                <w:tc>
                  <w:tcPr>
                    <w:tcW w:w="1125" w:type="pct"/>
                    <w:tcBorders>
                      <w:top w:val="outset" w:sz="6" w:space="0" w:color="auto"/>
                      <w:left w:val="outset" w:sz="6" w:space="0" w:color="auto"/>
                      <w:bottom w:val="outset" w:sz="6" w:space="0" w:color="auto"/>
                      <w:right w:val="outset" w:sz="6" w:space="0" w:color="auto"/>
                    </w:tcBorders>
                  </w:tcPr>
                  <w:p w:rsidR="003F54E5" w:rsidRDefault="008F04CF" w:rsidP="003F54E5">
                    <w:pPr>
                      <w:jc w:val="right"/>
                      <w:rPr>
                        <w:szCs w:val="21"/>
                      </w:rPr>
                    </w:pPr>
                    <w:r w:rsidRPr="00375A89">
                      <w:t>87,418,428</w:t>
                    </w:r>
                  </w:p>
                </w:tc>
                <w:tc>
                  <w:tcPr>
                    <w:tcW w:w="1147" w:type="pct"/>
                    <w:tcBorders>
                      <w:top w:val="outset" w:sz="6" w:space="0" w:color="auto"/>
                      <w:left w:val="outset" w:sz="6" w:space="0" w:color="auto"/>
                      <w:bottom w:val="outset" w:sz="6" w:space="0" w:color="auto"/>
                      <w:right w:val="outset" w:sz="6" w:space="0" w:color="auto"/>
                    </w:tcBorders>
                  </w:tcPr>
                  <w:p w:rsidR="003F54E5" w:rsidRDefault="008F04CF" w:rsidP="003F54E5">
                    <w:pPr>
                      <w:jc w:val="right"/>
                      <w:rPr>
                        <w:szCs w:val="21"/>
                      </w:rPr>
                    </w:pPr>
                    <w:r w:rsidRPr="00375A89">
                      <w:t>115,302,348</w:t>
                    </w:r>
                  </w:p>
                </w:tc>
              </w:tr>
              <w:tr w:rsidR="00B637B2" w:rsidTr="00B637B2">
                <w:sdt>
                  <w:sdtPr>
                    <w:tag w:val="_PLD_916701d47616495dad873446e57f88f1"/>
                    <w:id w:val="-1215811913"/>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3F54E5" w:rsidRDefault="003F54E5" w:rsidP="003F54E5">
                        <w:pPr>
                          <w:ind w:firstLineChars="100" w:firstLine="210"/>
                          <w:rPr>
                            <w:szCs w:val="21"/>
                          </w:rPr>
                        </w:pPr>
                        <w:r>
                          <w:rPr>
                            <w:rFonts w:hint="eastAsia"/>
                            <w:szCs w:val="21"/>
                          </w:rPr>
                          <w:t>应收账款</w:t>
                        </w:r>
                      </w:p>
                    </w:tc>
                  </w:sdtContent>
                </w:sdt>
                <w:tc>
                  <w:tcPr>
                    <w:tcW w:w="562" w:type="pct"/>
                    <w:tcBorders>
                      <w:top w:val="outset" w:sz="6" w:space="0" w:color="auto"/>
                      <w:left w:val="outset" w:sz="6" w:space="0" w:color="auto"/>
                      <w:bottom w:val="outset" w:sz="6" w:space="0" w:color="auto"/>
                      <w:right w:val="outset" w:sz="6" w:space="0" w:color="auto"/>
                    </w:tcBorders>
                    <w:vAlign w:val="center"/>
                  </w:tcPr>
                  <w:p w:rsidR="003F54E5" w:rsidRDefault="008F04CF" w:rsidP="00B637B2">
                    <w:pPr>
                      <w:jc w:val="both"/>
                      <w:rPr>
                        <w:szCs w:val="21"/>
                      </w:rPr>
                    </w:pPr>
                    <w:r>
                      <w:rPr>
                        <w:rFonts w:hint="eastAsia"/>
                      </w:rPr>
                      <w:t>七、</w:t>
                    </w:r>
                    <w:r>
                      <w:t>5</w:t>
                    </w:r>
                  </w:p>
                </w:tc>
                <w:tc>
                  <w:tcPr>
                    <w:tcW w:w="1125" w:type="pct"/>
                    <w:tcBorders>
                      <w:top w:val="outset" w:sz="6" w:space="0" w:color="auto"/>
                      <w:left w:val="outset" w:sz="6" w:space="0" w:color="auto"/>
                      <w:bottom w:val="outset" w:sz="6" w:space="0" w:color="auto"/>
                      <w:right w:val="outset" w:sz="6" w:space="0" w:color="auto"/>
                    </w:tcBorders>
                  </w:tcPr>
                  <w:p w:rsidR="003F54E5" w:rsidRDefault="008F04CF" w:rsidP="003F54E5">
                    <w:pPr>
                      <w:jc w:val="right"/>
                      <w:rPr>
                        <w:szCs w:val="21"/>
                      </w:rPr>
                    </w:pPr>
                    <w:r w:rsidRPr="00375A89">
                      <w:t>1,292,507,917</w:t>
                    </w:r>
                  </w:p>
                </w:tc>
                <w:tc>
                  <w:tcPr>
                    <w:tcW w:w="1147" w:type="pct"/>
                    <w:tcBorders>
                      <w:top w:val="outset" w:sz="6" w:space="0" w:color="auto"/>
                      <w:left w:val="outset" w:sz="6" w:space="0" w:color="auto"/>
                      <w:bottom w:val="outset" w:sz="6" w:space="0" w:color="auto"/>
                      <w:right w:val="outset" w:sz="6" w:space="0" w:color="auto"/>
                    </w:tcBorders>
                  </w:tcPr>
                  <w:p w:rsidR="003F54E5" w:rsidRDefault="008F04CF" w:rsidP="003F54E5">
                    <w:pPr>
                      <w:jc w:val="right"/>
                      <w:rPr>
                        <w:szCs w:val="21"/>
                      </w:rPr>
                    </w:pPr>
                    <w:r w:rsidRPr="00375A89">
                      <w:t>1,389,930,749</w:t>
                    </w:r>
                  </w:p>
                </w:tc>
              </w:tr>
              <w:tr w:rsidR="00B637B2" w:rsidTr="00B637B2">
                <w:tc>
                  <w:tcPr>
                    <w:tcW w:w="2166"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1ffdf4cf3084797bec970e07c957549"/>
                      <w:id w:val="1788700053"/>
                      <w:lock w:val="sdtLocked"/>
                    </w:sdtPr>
                    <w:sdtContent>
                      <w:p w:rsidR="003F54E5" w:rsidRDefault="003F54E5" w:rsidP="003F54E5">
                        <w:pPr>
                          <w:ind w:firstLineChars="100" w:firstLine="210"/>
                        </w:pPr>
                        <w:r>
                          <w:rPr>
                            <w:rFonts w:hint="eastAsia"/>
                          </w:rPr>
                          <w:t>应收款项融资</w:t>
                        </w:r>
                      </w:p>
                    </w:sdtContent>
                  </w:sdt>
                </w:tc>
                <w:tc>
                  <w:tcPr>
                    <w:tcW w:w="562" w:type="pct"/>
                    <w:tcBorders>
                      <w:top w:val="outset" w:sz="6" w:space="0" w:color="auto"/>
                      <w:left w:val="outset" w:sz="6" w:space="0" w:color="auto"/>
                      <w:bottom w:val="outset" w:sz="6" w:space="0" w:color="auto"/>
                      <w:right w:val="outset" w:sz="6" w:space="0" w:color="auto"/>
                    </w:tcBorders>
                    <w:vAlign w:val="center"/>
                  </w:tcPr>
                  <w:p w:rsidR="003F54E5" w:rsidRDefault="003F54E5" w:rsidP="00B637B2">
                    <w:pPr>
                      <w:jc w:val="both"/>
                      <w:rPr>
                        <w:szCs w:val="21"/>
                      </w:rPr>
                    </w:pPr>
                    <w:r>
                      <w:t xml:space="preserve">　</w:t>
                    </w:r>
                  </w:p>
                </w:tc>
                <w:tc>
                  <w:tcPr>
                    <w:tcW w:w="1125" w:type="pct"/>
                    <w:tcBorders>
                      <w:top w:val="outset" w:sz="6" w:space="0" w:color="auto"/>
                      <w:left w:val="outset" w:sz="6" w:space="0" w:color="auto"/>
                      <w:bottom w:val="outset" w:sz="6" w:space="0" w:color="auto"/>
                      <w:right w:val="outset" w:sz="6" w:space="0" w:color="auto"/>
                    </w:tcBorders>
                  </w:tcPr>
                  <w:p w:rsidR="003F54E5" w:rsidRDefault="008F04CF" w:rsidP="003F54E5">
                    <w:pPr>
                      <w:jc w:val="right"/>
                      <w:rPr>
                        <w:szCs w:val="21"/>
                      </w:rPr>
                    </w:pPr>
                    <w:r>
                      <w:rPr>
                        <w:rFonts w:hint="eastAsia"/>
                        <w:szCs w:val="21"/>
                      </w:rPr>
                      <w:t>-</w:t>
                    </w:r>
                  </w:p>
                </w:tc>
                <w:tc>
                  <w:tcPr>
                    <w:tcW w:w="1147" w:type="pct"/>
                    <w:tcBorders>
                      <w:top w:val="outset" w:sz="6" w:space="0" w:color="auto"/>
                      <w:left w:val="outset" w:sz="6" w:space="0" w:color="auto"/>
                      <w:bottom w:val="outset" w:sz="6" w:space="0" w:color="auto"/>
                      <w:right w:val="outset" w:sz="6" w:space="0" w:color="auto"/>
                    </w:tcBorders>
                  </w:tcPr>
                  <w:p w:rsidR="003F54E5" w:rsidRDefault="008F04CF" w:rsidP="003F54E5">
                    <w:pPr>
                      <w:jc w:val="right"/>
                      <w:rPr>
                        <w:szCs w:val="21"/>
                      </w:rPr>
                    </w:pPr>
                    <w:r>
                      <w:rPr>
                        <w:rFonts w:hint="eastAsia"/>
                        <w:szCs w:val="21"/>
                      </w:rPr>
                      <w:t>-</w:t>
                    </w:r>
                  </w:p>
                </w:tc>
              </w:tr>
              <w:tr w:rsidR="00B637B2" w:rsidTr="00B637B2">
                <w:sdt>
                  <w:sdtPr>
                    <w:tag w:val="_PLD_eff32a719f7a407f8e2bd0fc67579696"/>
                    <w:id w:val="1348753069"/>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3F54E5" w:rsidRDefault="003F54E5" w:rsidP="003F54E5">
                        <w:pPr>
                          <w:ind w:firstLineChars="100" w:firstLine="210"/>
                          <w:rPr>
                            <w:szCs w:val="21"/>
                          </w:rPr>
                        </w:pPr>
                        <w:r>
                          <w:rPr>
                            <w:rFonts w:hint="eastAsia"/>
                            <w:szCs w:val="21"/>
                          </w:rPr>
                          <w:t>预付款项</w:t>
                        </w:r>
                      </w:p>
                    </w:tc>
                  </w:sdtContent>
                </w:sdt>
                <w:tc>
                  <w:tcPr>
                    <w:tcW w:w="562" w:type="pct"/>
                    <w:tcBorders>
                      <w:top w:val="outset" w:sz="6" w:space="0" w:color="auto"/>
                      <w:left w:val="outset" w:sz="6" w:space="0" w:color="auto"/>
                      <w:bottom w:val="outset" w:sz="6" w:space="0" w:color="auto"/>
                      <w:right w:val="outset" w:sz="6" w:space="0" w:color="auto"/>
                    </w:tcBorders>
                    <w:vAlign w:val="center"/>
                  </w:tcPr>
                  <w:p w:rsidR="003F54E5" w:rsidRDefault="008F04CF" w:rsidP="00B637B2">
                    <w:pPr>
                      <w:jc w:val="both"/>
                      <w:rPr>
                        <w:szCs w:val="21"/>
                      </w:rPr>
                    </w:pPr>
                    <w:r>
                      <w:rPr>
                        <w:rFonts w:hint="eastAsia"/>
                      </w:rPr>
                      <w:t>七、</w:t>
                    </w:r>
                    <w:r>
                      <w:t>7</w:t>
                    </w:r>
                  </w:p>
                </w:tc>
                <w:tc>
                  <w:tcPr>
                    <w:tcW w:w="1125"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75,414,603</w:t>
                    </w:r>
                  </w:p>
                </w:tc>
                <w:tc>
                  <w:tcPr>
                    <w:tcW w:w="1147"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65,643,720</w:t>
                    </w:r>
                  </w:p>
                </w:tc>
              </w:tr>
              <w:tr w:rsidR="00B637B2" w:rsidTr="00B637B2">
                <w:sdt>
                  <w:sdtPr>
                    <w:tag w:val="_PLD_a40cfdfb0ba6490cb057d30f2eced3ad"/>
                    <w:id w:val="1850669767"/>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3F54E5" w:rsidRDefault="003F54E5" w:rsidP="003F54E5">
                        <w:pPr>
                          <w:ind w:firstLineChars="100" w:firstLine="210"/>
                          <w:rPr>
                            <w:szCs w:val="21"/>
                          </w:rPr>
                        </w:pPr>
                        <w:r>
                          <w:rPr>
                            <w:rFonts w:hint="eastAsia"/>
                            <w:szCs w:val="21"/>
                          </w:rPr>
                          <w:t>应收保费</w:t>
                        </w:r>
                      </w:p>
                    </w:tc>
                  </w:sdtContent>
                </w:sdt>
                <w:tc>
                  <w:tcPr>
                    <w:tcW w:w="562" w:type="pct"/>
                    <w:tcBorders>
                      <w:top w:val="outset" w:sz="6" w:space="0" w:color="auto"/>
                      <w:left w:val="outset" w:sz="6" w:space="0" w:color="auto"/>
                      <w:bottom w:val="outset" w:sz="6" w:space="0" w:color="auto"/>
                      <w:right w:val="outset" w:sz="6" w:space="0" w:color="auto"/>
                    </w:tcBorders>
                    <w:vAlign w:val="center"/>
                  </w:tcPr>
                  <w:p w:rsidR="003F54E5" w:rsidRDefault="003F54E5" w:rsidP="00B637B2">
                    <w:pPr>
                      <w:jc w:val="both"/>
                      <w:rPr>
                        <w:szCs w:val="21"/>
                      </w:rPr>
                    </w:pPr>
                    <w:r>
                      <w:t xml:space="preserve">　</w:t>
                    </w:r>
                  </w:p>
                </w:tc>
                <w:tc>
                  <w:tcPr>
                    <w:tcW w:w="1125"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w:t>
                    </w:r>
                  </w:p>
                </w:tc>
                <w:tc>
                  <w:tcPr>
                    <w:tcW w:w="1147"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w:t>
                    </w:r>
                  </w:p>
                </w:tc>
              </w:tr>
              <w:tr w:rsidR="00B637B2" w:rsidTr="00B637B2">
                <w:sdt>
                  <w:sdtPr>
                    <w:tag w:val="_PLD_78ae33502cc54f38ad943e4f0832ea8d"/>
                    <w:id w:val="612866963"/>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3F54E5" w:rsidRDefault="003F54E5" w:rsidP="003F54E5">
                        <w:pPr>
                          <w:ind w:firstLineChars="100" w:firstLine="210"/>
                          <w:rPr>
                            <w:szCs w:val="21"/>
                          </w:rPr>
                        </w:pPr>
                        <w:r>
                          <w:rPr>
                            <w:rFonts w:hint="eastAsia"/>
                            <w:szCs w:val="21"/>
                          </w:rPr>
                          <w:t>应收分保账款</w:t>
                        </w:r>
                      </w:p>
                    </w:tc>
                  </w:sdtContent>
                </w:sdt>
                <w:tc>
                  <w:tcPr>
                    <w:tcW w:w="562" w:type="pct"/>
                    <w:tcBorders>
                      <w:top w:val="outset" w:sz="6" w:space="0" w:color="auto"/>
                      <w:left w:val="outset" w:sz="6" w:space="0" w:color="auto"/>
                      <w:bottom w:val="outset" w:sz="6" w:space="0" w:color="auto"/>
                      <w:right w:val="outset" w:sz="6" w:space="0" w:color="auto"/>
                    </w:tcBorders>
                    <w:vAlign w:val="center"/>
                  </w:tcPr>
                  <w:p w:rsidR="003F54E5" w:rsidRDefault="003F54E5" w:rsidP="00B637B2">
                    <w:pPr>
                      <w:jc w:val="both"/>
                      <w:rPr>
                        <w:szCs w:val="21"/>
                      </w:rPr>
                    </w:pPr>
                    <w:r>
                      <w:t xml:space="preserve">　</w:t>
                    </w:r>
                  </w:p>
                </w:tc>
                <w:tc>
                  <w:tcPr>
                    <w:tcW w:w="1125"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w:t>
                    </w:r>
                  </w:p>
                </w:tc>
                <w:tc>
                  <w:tcPr>
                    <w:tcW w:w="1147"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w:t>
                    </w:r>
                  </w:p>
                </w:tc>
              </w:tr>
              <w:tr w:rsidR="00B637B2" w:rsidTr="00B637B2">
                <w:sdt>
                  <w:sdtPr>
                    <w:tag w:val="_PLD_c81dfd1c51694e04be879fd98e2f222f"/>
                    <w:id w:val="-1276482479"/>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3F54E5" w:rsidRDefault="003F54E5" w:rsidP="003F54E5">
                        <w:pPr>
                          <w:ind w:firstLineChars="100" w:firstLine="210"/>
                          <w:rPr>
                            <w:szCs w:val="21"/>
                          </w:rPr>
                        </w:pPr>
                        <w:r>
                          <w:rPr>
                            <w:rFonts w:hint="eastAsia"/>
                            <w:szCs w:val="21"/>
                          </w:rPr>
                          <w:t>应收分保合同准备金</w:t>
                        </w:r>
                      </w:p>
                    </w:tc>
                  </w:sdtContent>
                </w:sdt>
                <w:tc>
                  <w:tcPr>
                    <w:tcW w:w="562" w:type="pct"/>
                    <w:tcBorders>
                      <w:top w:val="outset" w:sz="6" w:space="0" w:color="auto"/>
                      <w:left w:val="outset" w:sz="6" w:space="0" w:color="auto"/>
                      <w:bottom w:val="outset" w:sz="6" w:space="0" w:color="auto"/>
                      <w:right w:val="outset" w:sz="6" w:space="0" w:color="auto"/>
                    </w:tcBorders>
                    <w:vAlign w:val="center"/>
                  </w:tcPr>
                  <w:p w:rsidR="003F54E5" w:rsidRDefault="003F54E5" w:rsidP="00B637B2">
                    <w:pPr>
                      <w:jc w:val="both"/>
                      <w:rPr>
                        <w:szCs w:val="21"/>
                      </w:rPr>
                    </w:pPr>
                    <w:r>
                      <w:t xml:space="preserve">　</w:t>
                    </w:r>
                  </w:p>
                </w:tc>
                <w:tc>
                  <w:tcPr>
                    <w:tcW w:w="1125"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w:t>
                    </w:r>
                  </w:p>
                </w:tc>
                <w:tc>
                  <w:tcPr>
                    <w:tcW w:w="1147"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w:t>
                    </w:r>
                  </w:p>
                </w:tc>
              </w:tr>
              <w:tr w:rsidR="00B637B2" w:rsidTr="00B637B2">
                <w:sdt>
                  <w:sdtPr>
                    <w:tag w:val="_PLD_14b6c1004ee94e9c86f6872629ce8ec5"/>
                    <w:id w:val="-1432427269"/>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3F54E5" w:rsidRDefault="003F54E5" w:rsidP="003F54E5">
                        <w:pPr>
                          <w:ind w:firstLineChars="100" w:firstLine="210"/>
                          <w:rPr>
                            <w:szCs w:val="21"/>
                          </w:rPr>
                        </w:pPr>
                        <w:r>
                          <w:rPr>
                            <w:rFonts w:hint="eastAsia"/>
                            <w:szCs w:val="21"/>
                          </w:rPr>
                          <w:t>其他应收款</w:t>
                        </w:r>
                      </w:p>
                    </w:tc>
                  </w:sdtContent>
                </w:sdt>
                <w:tc>
                  <w:tcPr>
                    <w:tcW w:w="562" w:type="pct"/>
                    <w:tcBorders>
                      <w:top w:val="outset" w:sz="6" w:space="0" w:color="auto"/>
                      <w:left w:val="outset" w:sz="6" w:space="0" w:color="auto"/>
                      <w:bottom w:val="outset" w:sz="6" w:space="0" w:color="auto"/>
                      <w:right w:val="outset" w:sz="6" w:space="0" w:color="auto"/>
                    </w:tcBorders>
                    <w:vAlign w:val="center"/>
                  </w:tcPr>
                  <w:p w:rsidR="003F54E5" w:rsidRDefault="008F04CF" w:rsidP="00B637B2">
                    <w:pPr>
                      <w:jc w:val="both"/>
                      <w:rPr>
                        <w:szCs w:val="21"/>
                      </w:rPr>
                    </w:pPr>
                    <w:r>
                      <w:rPr>
                        <w:rFonts w:hint="eastAsia"/>
                      </w:rPr>
                      <w:t>七、</w:t>
                    </w:r>
                    <w:r>
                      <w:t>8</w:t>
                    </w:r>
                  </w:p>
                </w:tc>
                <w:tc>
                  <w:tcPr>
                    <w:tcW w:w="1125"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529,411,754</w:t>
                    </w:r>
                  </w:p>
                </w:tc>
                <w:tc>
                  <w:tcPr>
                    <w:tcW w:w="1147"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393,441,377</w:t>
                    </w:r>
                  </w:p>
                </w:tc>
              </w:tr>
              <w:tr w:rsidR="00B637B2" w:rsidTr="00B637B2">
                <w:sdt>
                  <w:sdtPr>
                    <w:tag w:val="_PLD_f7b8b5cf09f34b18bdaa893a720147a3"/>
                    <w:id w:val="-541823625"/>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3F54E5" w:rsidRDefault="003F54E5" w:rsidP="003F54E5">
                        <w:pPr>
                          <w:ind w:firstLineChars="100" w:firstLine="210"/>
                          <w:rPr>
                            <w:szCs w:val="21"/>
                          </w:rPr>
                        </w:pPr>
                        <w:r>
                          <w:rPr>
                            <w:rFonts w:hint="eastAsia"/>
                          </w:rPr>
                          <w:t>其中：</w:t>
                        </w:r>
                        <w:r>
                          <w:rPr>
                            <w:rFonts w:hint="eastAsia"/>
                            <w:szCs w:val="21"/>
                          </w:rPr>
                          <w:t>应收利息</w:t>
                        </w:r>
                      </w:p>
                    </w:tc>
                  </w:sdtContent>
                </w:sdt>
                <w:tc>
                  <w:tcPr>
                    <w:tcW w:w="562" w:type="pct"/>
                    <w:tcBorders>
                      <w:top w:val="outset" w:sz="6" w:space="0" w:color="auto"/>
                      <w:left w:val="outset" w:sz="6" w:space="0" w:color="auto"/>
                      <w:bottom w:val="outset" w:sz="6" w:space="0" w:color="auto"/>
                      <w:right w:val="outset" w:sz="6" w:space="0" w:color="auto"/>
                    </w:tcBorders>
                    <w:vAlign w:val="center"/>
                  </w:tcPr>
                  <w:p w:rsidR="003F54E5" w:rsidRDefault="008F04CF" w:rsidP="00B637B2">
                    <w:pPr>
                      <w:jc w:val="both"/>
                      <w:rPr>
                        <w:szCs w:val="21"/>
                      </w:rPr>
                    </w:pPr>
                    <w:r>
                      <w:rPr>
                        <w:rFonts w:hint="eastAsia"/>
                      </w:rPr>
                      <w:t>七、</w:t>
                    </w:r>
                    <w:r>
                      <w:t>8</w:t>
                    </w:r>
                  </w:p>
                </w:tc>
                <w:tc>
                  <w:tcPr>
                    <w:tcW w:w="1125"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9,132,193</w:t>
                    </w:r>
                  </w:p>
                </w:tc>
                <w:tc>
                  <w:tcPr>
                    <w:tcW w:w="1147"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2,958,695</w:t>
                    </w:r>
                  </w:p>
                </w:tc>
              </w:tr>
              <w:tr w:rsidR="00B637B2" w:rsidTr="00B637B2">
                <w:sdt>
                  <w:sdtPr>
                    <w:tag w:val="_PLD_4d3fdbd13bd44399aedfc802cf2f5e84"/>
                    <w:id w:val="-718583532"/>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3F54E5" w:rsidRDefault="003F54E5" w:rsidP="003F54E5">
                        <w:pPr>
                          <w:ind w:firstLineChars="400" w:firstLine="840"/>
                          <w:rPr>
                            <w:szCs w:val="21"/>
                          </w:rPr>
                        </w:pPr>
                        <w:r>
                          <w:rPr>
                            <w:rFonts w:hint="eastAsia"/>
                            <w:szCs w:val="21"/>
                          </w:rPr>
                          <w:t>应收股利</w:t>
                        </w:r>
                      </w:p>
                    </w:tc>
                  </w:sdtContent>
                </w:sdt>
                <w:tc>
                  <w:tcPr>
                    <w:tcW w:w="562" w:type="pct"/>
                    <w:tcBorders>
                      <w:top w:val="outset" w:sz="6" w:space="0" w:color="auto"/>
                      <w:left w:val="outset" w:sz="6" w:space="0" w:color="auto"/>
                      <w:bottom w:val="outset" w:sz="6" w:space="0" w:color="auto"/>
                      <w:right w:val="outset" w:sz="6" w:space="0" w:color="auto"/>
                    </w:tcBorders>
                    <w:vAlign w:val="center"/>
                  </w:tcPr>
                  <w:p w:rsidR="003F54E5" w:rsidRDefault="003F54E5" w:rsidP="00B637B2">
                    <w:pPr>
                      <w:jc w:val="both"/>
                      <w:rPr>
                        <w:szCs w:val="21"/>
                      </w:rPr>
                    </w:pPr>
                    <w:r>
                      <w:t xml:space="preserve">　</w:t>
                    </w:r>
                  </w:p>
                </w:tc>
                <w:tc>
                  <w:tcPr>
                    <w:tcW w:w="1125"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w:t>
                    </w:r>
                  </w:p>
                </w:tc>
                <w:tc>
                  <w:tcPr>
                    <w:tcW w:w="1147"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w:t>
                    </w:r>
                  </w:p>
                </w:tc>
              </w:tr>
              <w:tr w:rsidR="00B637B2" w:rsidTr="00B637B2">
                <w:sdt>
                  <w:sdtPr>
                    <w:tag w:val="_PLD_150565b75bcd4f3c8e385b838e4135fa"/>
                    <w:id w:val="-565342276"/>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3F54E5" w:rsidRDefault="003F54E5" w:rsidP="003F54E5">
                        <w:pPr>
                          <w:ind w:firstLineChars="100" w:firstLine="210"/>
                          <w:rPr>
                            <w:szCs w:val="21"/>
                          </w:rPr>
                        </w:pPr>
                        <w:r>
                          <w:rPr>
                            <w:rFonts w:hint="eastAsia"/>
                            <w:szCs w:val="21"/>
                          </w:rPr>
                          <w:t>买入返售金融资产</w:t>
                        </w:r>
                      </w:p>
                    </w:tc>
                  </w:sdtContent>
                </w:sdt>
                <w:tc>
                  <w:tcPr>
                    <w:tcW w:w="562" w:type="pct"/>
                    <w:tcBorders>
                      <w:top w:val="outset" w:sz="6" w:space="0" w:color="auto"/>
                      <w:left w:val="outset" w:sz="6" w:space="0" w:color="auto"/>
                      <w:bottom w:val="outset" w:sz="6" w:space="0" w:color="auto"/>
                      <w:right w:val="outset" w:sz="6" w:space="0" w:color="auto"/>
                    </w:tcBorders>
                    <w:vAlign w:val="center"/>
                  </w:tcPr>
                  <w:p w:rsidR="003F54E5" w:rsidRDefault="003F54E5" w:rsidP="00B637B2">
                    <w:pPr>
                      <w:jc w:val="both"/>
                      <w:rPr>
                        <w:szCs w:val="21"/>
                      </w:rPr>
                    </w:pPr>
                    <w:r>
                      <w:t xml:space="preserve">　</w:t>
                    </w:r>
                  </w:p>
                </w:tc>
                <w:tc>
                  <w:tcPr>
                    <w:tcW w:w="1125"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w:t>
                    </w:r>
                  </w:p>
                </w:tc>
                <w:tc>
                  <w:tcPr>
                    <w:tcW w:w="1147"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w:t>
                    </w:r>
                  </w:p>
                </w:tc>
              </w:tr>
              <w:tr w:rsidR="00B637B2" w:rsidTr="00B637B2">
                <w:sdt>
                  <w:sdtPr>
                    <w:tag w:val="_PLD_0967af437eee4294b4f611b5abd91937"/>
                    <w:id w:val="-1948077751"/>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3F54E5" w:rsidRDefault="003F54E5" w:rsidP="003F54E5">
                        <w:pPr>
                          <w:ind w:firstLineChars="100" w:firstLine="210"/>
                          <w:rPr>
                            <w:szCs w:val="21"/>
                          </w:rPr>
                        </w:pPr>
                        <w:r>
                          <w:rPr>
                            <w:rFonts w:hint="eastAsia"/>
                            <w:szCs w:val="21"/>
                          </w:rPr>
                          <w:t>存货</w:t>
                        </w:r>
                      </w:p>
                    </w:tc>
                  </w:sdtContent>
                </w:sdt>
                <w:tc>
                  <w:tcPr>
                    <w:tcW w:w="562" w:type="pct"/>
                    <w:tcBorders>
                      <w:top w:val="outset" w:sz="6" w:space="0" w:color="auto"/>
                      <w:left w:val="outset" w:sz="6" w:space="0" w:color="auto"/>
                      <w:bottom w:val="outset" w:sz="6" w:space="0" w:color="auto"/>
                      <w:right w:val="outset" w:sz="6" w:space="0" w:color="auto"/>
                    </w:tcBorders>
                    <w:vAlign w:val="center"/>
                  </w:tcPr>
                  <w:p w:rsidR="003F54E5" w:rsidRDefault="008F04CF" w:rsidP="00B637B2">
                    <w:pPr>
                      <w:jc w:val="both"/>
                      <w:rPr>
                        <w:szCs w:val="21"/>
                      </w:rPr>
                    </w:pPr>
                    <w:r>
                      <w:rPr>
                        <w:rFonts w:hint="eastAsia"/>
                      </w:rPr>
                      <w:t>七、</w:t>
                    </w:r>
                    <w:r>
                      <w:t>9</w:t>
                    </w:r>
                  </w:p>
                </w:tc>
                <w:tc>
                  <w:tcPr>
                    <w:tcW w:w="1125"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22,923,009</w:t>
                    </w:r>
                  </w:p>
                </w:tc>
                <w:tc>
                  <w:tcPr>
                    <w:tcW w:w="1147"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21,767,989</w:t>
                    </w:r>
                  </w:p>
                </w:tc>
              </w:tr>
              <w:tr w:rsidR="00B637B2" w:rsidTr="00B637B2">
                <w:tc>
                  <w:tcPr>
                    <w:tcW w:w="2166"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ecfb75d6b6f43eaab87b9fe006ab819"/>
                      <w:id w:val="-1267912765"/>
                      <w:lock w:val="sdtLocked"/>
                    </w:sdtPr>
                    <w:sdtContent>
                      <w:p w:rsidR="003F54E5" w:rsidRDefault="003F54E5" w:rsidP="003F54E5">
                        <w:pPr>
                          <w:ind w:firstLineChars="100" w:firstLine="210"/>
                        </w:pPr>
                        <w:r>
                          <w:rPr>
                            <w:rFonts w:hint="eastAsia"/>
                          </w:rPr>
                          <w:t>合同资产</w:t>
                        </w:r>
                      </w:p>
                    </w:sdtContent>
                  </w:sdt>
                </w:tc>
                <w:tc>
                  <w:tcPr>
                    <w:tcW w:w="562" w:type="pct"/>
                    <w:tcBorders>
                      <w:top w:val="outset" w:sz="6" w:space="0" w:color="auto"/>
                      <w:left w:val="outset" w:sz="6" w:space="0" w:color="auto"/>
                      <w:bottom w:val="outset" w:sz="6" w:space="0" w:color="auto"/>
                      <w:right w:val="outset" w:sz="6" w:space="0" w:color="auto"/>
                    </w:tcBorders>
                    <w:vAlign w:val="center"/>
                  </w:tcPr>
                  <w:p w:rsidR="003F54E5" w:rsidRDefault="003F54E5" w:rsidP="00B637B2">
                    <w:pPr>
                      <w:jc w:val="both"/>
                      <w:rPr>
                        <w:szCs w:val="21"/>
                      </w:rPr>
                    </w:pPr>
                    <w:r>
                      <w:t xml:space="preserve">　</w:t>
                    </w:r>
                  </w:p>
                </w:tc>
                <w:tc>
                  <w:tcPr>
                    <w:tcW w:w="1125"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w:t>
                    </w:r>
                  </w:p>
                </w:tc>
                <w:tc>
                  <w:tcPr>
                    <w:tcW w:w="1147"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w:t>
                    </w:r>
                  </w:p>
                </w:tc>
              </w:tr>
              <w:tr w:rsidR="00B637B2" w:rsidTr="00B637B2">
                <w:sdt>
                  <w:sdtPr>
                    <w:tag w:val="_PLD_20a26361e8f8463bbf996022971e66c0"/>
                    <w:id w:val="-1740864304"/>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3F54E5" w:rsidRDefault="003F54E5" w:rsidP="003F54E5">
                        <w:pPr>
                          <w:ind w:firstLineChars="100" w:firstLine="210"/>
                          <w:rPr>
                            <w:szCs w:val="21"/>
                          </w:rPr>
                        </w:pPr>
                        <w:r>
                          <w:rPr>
                            <w:rFonts w:hint="eastAsia"/>
                            <w:szCs w:val="21"/>
                          </w:rPr>
                          <w:t>持有待售资产</w:t>
                        </w:r>
                      </w:p>
                    </w:tc>
                  </w:sdtContent>
                </w:sdt>
                <w:tc>
                  <w:tcPr>
                    <w:tcW w:w="562" w:type="pct"/>
                    <w:tcBorders>
                      <w:top w:val="outset" w:sz="6" w:space="0" w:color="auto"/>
                      <w:left w:val="outset" w:sz="6" w:space="0" w:color="auto"/>
                      <w:bottom w:val="outset" w:sz="6" w:space="0" w:color="auto"/>
                      <w:right w:val="outset" w:sz="6" w:space="0" w:color="auto"/>
                    </w:tcBorders>
                    <w:vAlign w:val="center"/>
                  </w:tcPr>
                  <w:p w:rsidR="003F54E5" w:rsidRDefault="003F54E5" w:rsidP="00B637B2">
                    <w:pPr>
                      <w:jc w:val="both"/>
                      <w:rPr>
                        <w:szCs w:val="21"/>
                      </w:rPr>
                    </w:pPr>
                    <w:r>
                      <w:t xml:space="preserve">　</w:t>
                    </w:r>
                  </w:p>
                </w:tc>
                <w:tc>
                  <w:tcPr>
                    <w:tcW w:w="1125"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w:t>
                    </w:r>
                  </w:p>
                </w:tc>
                <w:tc>
                  <w:tcPr>
                    <w:tcW w:w="1147"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w:t>
                    </w:r>
                  </w:p>
                </w:tc>
              </w:tr>
              <w:tr w:rsidR="00B637B2" w:rsidTr="00B637B2">
                <w:sdt>
                  <w:sdtPr>
                    <w:tag w:val="_PLD_85034baf09ae473db2e4694be7430d29"/>
                    <w:id w:val="1983955662"/>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3F54E5" w:rsidRDefault="003F54E5" w:rsidP="003F54E5">
                        <w:pPr>
                          <w:ind w:firstLineChars="100" w:firstLine="210"/>
                          <w:rPr>
                            <w:szCs w:val="21"/>
                          </w:rPr>
                        </w:pPr>
                        <w:r>
                          <w:rPr>
                            <w:rFonts w:hint="eastAsia"/>
                            <w:szCs w:val="21"/>
                          </w:rPr>
                          <w:t>一年内到期的非流动资产</w:t>
                        </w:r>
                      </w:p>
                    </w:tc>
                  </w:sdtContent>
                </w:sdt>
                <w:tc>
                  <w:tcPr>
                    <w:tcW w:w="562" w:type="pct"/>
                    <w:tcBorders>
                      <w:top w:val="outset" w:sz="6" w:space="0" w:color="auto"/>
                      <w:left w:val="outset" w:sz="6" w:space="0" w:color="auto"/>
                      <w:bottom w:val="outset" w:sz="6" w:space="0" w:color="auto"/>
                      <w:right w:val="outset" w:sz="6" w:space="0" w:color="auto"/>
                    </w:tcBorders>
                    <w:vAlign w:val="center"/>
                  </w:tcPr>
                  <w:p w:rsidR="003F54E5" w:rsidRDefault="003F54E5" w:rsidP="00B637B2">
                    <w:pPr>
                      <w:jc w:val="both"/>
                      <w:rPr>
                        <w:szCs w:val="21"/>
                      </w:rPr>
                    </w:pPr>
                    <w:r>
                      <w:t xml:space="preserve">　</w:t>
                    </w:r>
                  </w:p>
                </w:tc>
                <w:tc>
                  <w:tcPr>
                    <w:tcW w:w="1125"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w:t>
                    </w:r>
                  </w:p>
                </w:tc>
                <w:tc>
                  <w:tcPr>
                    <w:tcW w:w="1147"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w:t>
                    </w:r>
                  </w:p>
                </w:tc>
              </w:tr>
              <w:tr w:rsidR="00B637B2" w:rsidTr="00B637B2">
                <w:sdt>
                  <w:sdtPr>
                    <w:tag w:val="_PLD_59111301b0474503970c30d14c6c16c1"/>
                    <w:id w:val="-984621766"/>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3F54E5" w:rsidRDefault="003F54E5" w:rsidP="003F54E5">
                        <w:pPr>
                          <w:ind w:firstLineChars="100" w:firstLine="210"/>
                          <w:rPr>
                            <w:szCs w:val="21"/>
                          </w:rPr>
                        </w:pPr>
                        <w:r>
                          <w:rPr>
                            <w:rFonts w:hint="eastAsia"/>
                            <w:szCs w:val="21"/>
                          </w:rPr>
                          <w:t>其他流动资产</w:t>
                        </w:r>
                      </w:p>
                    </w:tc>
                  </w:sdtContent>
                </w:sdt>
                <w:tc>
                  <w:tcPr>
                    <w:tcW w:w="562" w:type="pct"/>
                    <w:tcBorders>
                      <w:top w:val="outset" w:sz="6" w:space="0" w:color="auto"/>
                      <w:left w:val="outset" w:sz="6" w:space="0" w:color="auto"/>
                      <w:bottom w:val="outset" w:sz="6" w:space="0" w:color="auto"/>
                      <w:right w:val="outset" w:sz="6" w:space="0" w:color="auto"/>
                    </w:tcBorders>
                    <w:vAlign w:val="center"/>
                  </w:tcPr>
                  <w:p w:rsidR="003F54E5" w:rsidRDefault="008F04CF" w:rsidP="00B637B2">
                    <w:pPr>
                      <w:jc w:val="both"/>
                      <w:rPr>
                        <w:szCs w:val="21"/>
                      </w:rPr>
                    </w:pPr>
                    <w:r>
                      <w:rPr>
                        <w:rFonts w:hint="eastAsia"/>
                      </w:rPr>
                      <w:t>七、</w:t>
                    </w:r>
                    <w:r>
                      <w:t>13</w:t>
                    </w:r>
                  </w:p>
                </w:tc>
                <w:tc>
                  <w:tcPr>
                    <w:tcW w:w="1125"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119,129,678</w:t>
                    </w:r>
                  </w:p>
                </w:tc>
                <w:tc>
                  <w:tcPr>
                    <w:tcW w:w="1147"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823,208,213</w:t>
                    </w:r>
                  </w:p>
                </w:tc>
              </w:tr>
              <w:tr w:rsidR="00B637B2" w:rsidTr="00B637B2">
                <w:sdt>
                  <w:sdtPr>
                    <w:tag w:val="_PLD_e89c5fc1115a4751868d93f96af78d12"/>
                    <w:id w:val="1608311957"/>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3F54E5" w:rsidRDefault="003F54E5" w:rsidP="003F54E5">
                        <w:pPr>
                          <w:ind w:firstLineChars="200" w:firstLine="420"/>
                          <w:rPr>
                            <w:szCs w:val="21"/>
                          </w:rPr>
                        </w:pPr>
                        <w:r>
                          <w:rPr>
                            <w:rFonts w:hint="eastAsia"/>
                            <w:szCs w:val="21"/>
                          </w:rPr>
                          <w:t>流动资产合计</w:t>
                        </w:r>
                      </w:p>
                    </w:tc>
                  </w:sdtContent>
                </w:sdt>
                <w:tc>
                  <w:tcPr>
                    <w:tcW w:w="562" w:type="pct"/>
                    <w:tcBorders>
                      <w:top w:val="outset" w:sz="6" w:space="0" w:color="auto"/>
                      <w:left w:val="outset" w:sz="6" w:space="0" w:color="auto"/>
                      <w:bottom w:val="outset" w:sz="6" w:space="0" w:color="auto"/>
                      <w:right w:val="outset" w:sz="6" w:space="0" w:color="auto"/>
                    </w:tcBorders>
                    <w:vAlign w:val="center"/>
                  </w:tcPr>
                  <w:p w:rsidR="003F54E5" w:rsidRDefault="003F54E5" w:rsidP="00B637B2">
                    <w:pPr>
                      <w:jc w:val="both"/>
                      <w:rPr>
                        <w:szCs w:val="21"/>
                      </w:rPr>
                    </w:pPr>
                    <w:r>
                      <w:t xml:space="preserve">　</w:t>
                    </w:r>
                  </w:p>
                </w:tc>
                <w:tc>
                  <w:tcPr>
                    <w:tcW w:w="1125"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7,789,143,718</w:t>
                    </w:r>
                  </w:p>
                </w:tc>
                <w:tc>
                  <w:tcPr>
                    <w:tcW w:w="1147"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8,340,105,771</w:t>
                    </w:r>
                  </w:p>
                </w:tc>
              </w:tr>
              <w:tr w:rsidR="00B637B2" w:rsidTr="00B637B2">
                <w:sdt>
                  <w:sdtPr>
                    <w:tag w:val="_PLD_66ac6acc14e74939b5cc43190a3afd2b"/>
                    <w:id w:val="-1777171105"/>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3F54E5" w:rsidRDefault="003F54E5" w:rsidP="003F54E5">
                        <w:pPr>
                          <w:rPr>
                            <w:szCs w:val="21"/>
                          </w:rPr>
                        </w:pPr>
                        <w:r>
                          <w:rPr>
                            <w:rFonts w:hint="eastAsia"/>
                            <w:b/>
                            <w:bCs/>
                            <w:szCs w:val="21"/>
                          </w:rPr>
                          <w:t>非流动资产：</w:t>
                        </w:r>
                      </w:p>
                    </w:tc>
                  </w:sdtContent>
                </w:sdt>
                <w:tc>
                  <w:tcPr>
                    <w:tcW w:w="562" w:type="pct"/>
                    <w:tcBorders>
                      <w:top w:val="outset" w:sz="6" w:space="0" w:color="auto"/>
                      <w:left w:val="outset" w:sz="6" w:space="0" w:color="auto"/>
                      <w:bottom w:val="outset" w:sz="6" w:space="0" w:color="auto"/>
                      <w:right w:val="outset" w:sz="6" w:space="0" w:color="auto"/>
                    </w:tcBorders>
                    <w:vAlign w:val="center"/>
                  </w:tcPr>
                  <w:p w:rsidR="003F54E5" w:rsidRDefault="003F54E5" w:rsidP="00B637B2">
                    <w:pPr>
                      <w:jc w:val="both"/>
                      <w:rPr>
                        <w:szCs w:val="21"/>
                      </w:rPr>
                    </w:pPr>
                    <w:r>
                      <w:t xml:space="preserve">　</w:t>
                    </w:r>
                  </w:p>
                </w:tc>
                <w:tc>
                  <w:tcPr>
                    <w:tcW w:w="1125" w:type="pct"/>
                    <w:tcBorders>
                      <w:top w:val="outset" w:sz="6" w:space="0" w:color="auto"/>
                      <w:left w:val="outset" w:sz="6" w:space="0" w:color="auto"/>
                      <w:bottom w:val="outset" w:sz="6" w:space="0" w:color="auto"/>
                      <w:right w:val="outset" w:sz="6" w:space="0" w:color="auto"/>
                    </w:tcBorders>
                  </w:tcPr>
                  <w:p w:rsidR="003F54E5" w:rsidRDefault="003F54E5" w:rsidP="003F54E5">
                    <w:pPr>
                      <w:rPr>
                        <w:color w:val="008000"/>
                        <w:szCs w:val="21"/>
                      </w:rPr>
                    </w:pPr>
                  </w:p>
                </w:tc>
                <w:tc>
                  <w:tcPr>
                    <w:tcW w:w="1147" w:type="pct"/>
                    <w:tcBorders>
                      <w:top w:val="outset" w:sz="6" w:space="0" w:color="auto"/>
                      <w:left w:val="outset" w:sz="6" w:space="0" w:color="auto"/>
                      <w:bottom w:val="outset" w:sz="6" w:space="0" w:color="auto"/>
                      <w:right w:val="outset" w:sz="6" w:space="0" w:color="auto"/>
                    </w:tcBorders>
                  </w:tcPr>
                  <w:p w:rsidR="003F54E5" w:rsidRDefault="003F54E5" w:rsidP="003F54E5">
                    <w:pPr>
                      <w:rPr>
                        <w:szCs w:val="21"/>
                      </w:rPr>
                    </w:pPr>
                    <w:r>
                      <w:t xml:space="preserve">　</w:t>
                    </w:r>
                  </w:p>
                </w:tc>
              </w:tr>
              <w:tr w:rsidR="00B637B2" w:rsidTr="00B637B2">
                <w:sdt>
                  <w:sdtPr>
                    <w:tag w:val="_PLD_22aa48a975974ca794a64ae94835362c"/>
                    <w:id w:val="-54243016"/>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3F54E5" w:rsidRDefault="003F54E5" w:rsidP="003F54E5">
                        <w:pPr>
                          <w:ind w:firstLineChars="100" w:firstLine="210"/>
                          <w:rPr>
                            <w:szCs w:val="21"/>
                          </w:rPr>
                        </w:pPr>
                        <w:r>
                          <w:rPr>
                            <w:rFonts w:hint="eastAsia"/>
                            <w:szCs w:val="21"/>
                          </w:rPr>
                          <w:t>发放贷款和垫款</w:t>
                        </w:r>
                      </w:p>
                    </w:tc>
                  </w:sdtContent>
                </w:sdt>
                <w:tc>
                  <w:tcPr>
                    <w:tcW w:w="562" w:type="pct"/>
                    <w:tcBorders>
                      <w:top w:val="outset" w:sz="6" w:space="0" w:color="auto"/>
                      <w:left w:val="outset" w:sz="6" w:space="0" w:color="auto"/>
                      <w:bottom w:val="outset" w:sz="6" w:space="0" w:color="auto"/>
                      <w:right w:val="outset" w:sz="6" w:space="0" w:color="auto"/>
                    </w:tcBorders>
                    <w:vAlign w:val="center"/>
                  </w:tcPr>
                  <w:p w:rsidR="003F54E5" w:rsidRDefault="003F54E5" w:rsidP="00B637B2">
                    <w:pPr>
                      <w:jc w:val="both"/>
                      <w:rPr>
                        <w:szCs w:val="21"/>
                      </w:rPr>
                    </w:pPr>
                    <w:r>
                      <w:t xml:space="preserve">　</w:t>
                    </w:r>
                  </w:p>
                </w:tc>
                <w:tc>
                  <w:tcPr>
                    <w:tcW w:w="1125"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w:t>
                    </w:r>
                  </w:p>
                </w:tc>
                <w:tc>
                  <w:tcPr>
                    <w:tcW w:w="1147"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w:t>
                    </w:r>
                  </w:p>
                </w:tc>
              </w:tr>
              <w:tr w:rsidR="00B637B2" w:rsidTr="00B637B2">
                <w:tc>
                  <w:tcPr>
                    <w:tcW w:w="2166"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b4e85a6b3e74bac9cd4834b80365bf5"/>
                      <w:id w:val="950285084"/>
                      <w:lock w:val="sdtLocked"/>
                    </w:sdtPr>
                    <w:sdtContent>
                      <w:p w:rsidR="003F54E5" w:rsidRDefault="003F54E5" w:rsidP="003F54E5">
                        <w:pPr>
                          <w:ind w:firstLineChars="100" w:firstLine="210"/>
                        </w:pPr>
                        <w:r>
                          <w:rPr>
                            <w:rFonts w:hint="eastAsia"/>
                          </w:rPr>
                          <w:t>债权投资</w:t>
                        </w:r>
                      </w:p>
                    </w:sdtContent>
                  </w:sdt>
                </w:tc>
                <w:tc>
                  <w:tcPr>
                    <w:tcW w:w="562" w:type="pct"/>
                    <w:tcBorders>
                      <w:top w:val="outset" w:sz="6" w:space="0" w:color="auto"/>
                      <w:left w:val="outset" w:sz="6" w:space="0" w:color="auto"/>
                      <w:bottom w:val="outset" w:sz="6" w:space="0" w:color="auto"/>
                      <w:right w:val="outset" w:sz="6" w:space="0" w:color="auto"/>
                    </w:tcBorders>
                    <w:vAlign w:val="center"/>
                  </w:tcPr>
                  <w:p w:rsidR="003F54E5" w:rsidRDefault="003F54E5" w:rsidP="00B637B2">
                    <w:pPr>
                      <w:jc w:val="both"/>
                      <w:rPr>
                        <w:szCs w:val="21"/>
                      </w:rPr>
                    </w:pPr>
                    <w:r>
                      <w:t xml:space="preserve">　</w:t>
                    </w:r>
                  </w:p>
                </w:tc>
                <w:tc>
                  <w:tcPr>
                    <w:tcW w:w="1125"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w:t>
                    </w:r>
                  </w:p>
                </w:tc>
                <w:tc>
                  <w:tcPr>
                    <w:tcW w:w="1147"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w:t>
                    </w:r>
                  </w:p>
                </w:tc>
              </w:tr>
              <w:tr w:rsidR="00B637B2" w:rsidTr="00B637B2">
                <w:sdt>
                  <w:sdtPr>
                    <w:tag w:val="_PLD_9a41977c94194dad8d06a60b24eadb3d"/>
                    <w:id w:val="206297612"/>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3F54E5" w:rsidRDefault="003F54E5" w:rsidP="003F54E5">
                        <w:pPr>
                          <w:ind w:firstLineChars="100" w:firstLine="210"/>
                          <w:rPr>
                            <w:szCs w:val="21"/>
                          </w:rPr>
                        </w:pPr>
                        <w:r>
                          <w:rPr>
                            <w:rFonts w:hint="eastAsia"/>
                            <w:szCs w:val="21"/>
                          </w:rPr>
                          <w:t>可供出售金融资产</w:t>
                        </w:r>
                      </w:p>
                    </w:tc>
                  </w:sdtContent>
                </w:sdt>
                <w:tc>
                  <w:tcPr>
                    <w:tcW w:w="562" w:type="pct"/>
                    <w:tcBorders>
                      <w:top w:val="outset" w:sz="6" w:space="0" w:color="auto"/>
                      <w:left w:val="outset" w:sz="6" w:space="0" w:color="auto"/>
                      <w:bottom w:val="outset" w:sz="6" w:space="0" w:color="auto"/>
                      <w:right w:val="outset" w:sz="6" w:space="0" w:color="auto"/>
                    </w:tcBorders>
                    <w:vAlign w:val="center"/>
                  </w:tcPr>
                  <w:p w:rsidR="003F54E5" w:rsidRDefault="003F54E5" w:rsidP="00B637B2">
                    <w:pPr>
                      <w:jc w:val="both"/>
                      <w:rPr>
                        <w:szCs w:val="21"/>
                      </w:rPr>
                    </w:pPr>
                    <w:r>
                      <w:t xml:space="preserve">　</w:t>
                    </w:r>
                  </w:p>
                </w:tc>
                <w:tc>
                  <w:tcPr>
                    <w:tcW w:w="1125"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w:t>
                    </w:r>
                  </w:p>
                </w:tc>
                <w:tc>
                  <w:tcPr>
                    <w:tcW w:w="1147"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677,081,266</w:t>
                    </w:r>
                  </w:p>
                </w:tc>
              </w:tr>
              <w:tr w:rsidR="00B637B2" w:rsidTr="00B637B2">
                <w:tc>
                  <w:tcPr>
                    <w:tcW w:w="2166"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a42e80c658846cda83a637d16a3300f"/>
                      <w:id w:val="1732956765"/>
                      <w:lock w:val="sdtLocked"/>
                    </w:sdtPr>
                    <w:sdtContent>
                      <w:p w:rsidR="003F54E5" w:rsidRDefault="003F54E5" w:rsidP="003F54E5">
                        <w:pPr>
                          <w:ind w:firstLineChars="100" w:firstLine="210"/>
                        </w:pPr>
                        <w:r>
                          <w:rPr>
                            <w:rFonts w:hint="eastAsia"/>
                          </w:rPr>
                          <w:t>其他债权投资</w:t>
                        </w:r>
                      </w:p>
                    </w:sdtContent>
                  </w:sdt>
                </w:tc>
                <w:tc>
                  <w:tcPr>
                    <w:tcW w:w="562" w:type="pct"/>
                    <w:tcBorders>
                      <w:top w:val="outset" w:sz="6" w:space="0" w:color="auto"/>
                      <w:left w:val="outset" w:sz="6" w:space="0" w:color="auto"/>
                      <w:bottom w:val="outset" w:sz="6" w:space="0" w:color="auto"/>
                      <w:right w:val="outset" w:sz="6" w:space="0" w:color="auto"/>
                    </w:tcBorders>
                    <w:vAlign w:val="center"/>
                  </w:tcPr>
                  <w:p w:rsidR="003F54E5" w:rsidRDefault="003F54E5" w:rsidP="00B637B2">
                    <w:pPr>
                      <w:jc w:val="both"/>
                      <w:rPr>
                        <w:szCs w:val="21"/>
                      </w:rPr>
                    </w:pPr>
                    <w:r>
                      <w:t xml:space="preserve">　</w:t>
                    </w:r>
                  </w:p>
                </w:tc>
                <w:tc>
                  <w:tcPr>
                    <w:tcW w:w="1125"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w:t>
                    </w:r>
                  </w:p>
                </w:tc>
                <w:tc>
                  <w:tcPr>
                    <w:tcW w:w="1147"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w:t>
                    </w:r>
                  </w:p>
                </w:tc>
              </w:tr>
              <w:tr w:rsidR="00B637B2" w:rsidTr="00B637B2">
                <w:sdt>
                  <w:sdtPr>
                    <w:tag w:val="_PLD_68e9461b513d481f9ecb3fdc92eb95f6"/>
                    <w:id w:val="-1846084665"/>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3F54E5" w:rsidRDefault="003F54E5" w:rsidP="003F54E5">
                        <w:pPr>
                          <w:ind w:firstLineChars="100" w:firstLine="210"/>
                          <w:rPr>
                            <w:szCs w:val="21"/>
                          </w:rPr>
                        </w:pPr>
                        <w:r>
                          <w:rPr>
                            <w:rFonts w:hint="eastAsia"/>
                            <w:szCs w:val="21"/>
                          </w:rPr>
                          <w:t>持有至到期投资</w:t>
                        </w:r>
                      </w:p>
                    </w:tc>
                  </w:sdtContent>
                </w:sdt>
                <w:tc>
                  <w:tcPr>
                    <w:tcW w:w="562" w:type="pct"/>
                    <w:tcBorders>
                      <w:top w:val="outset" w:sz="6" w:space="0" w:color="auto"/>
                      <w:left w:val="outset" w:sz="6" w:space="0" w:color="auto"/>
                      <w:bottom w:val="outset" w:sz="6" w:space="0" w:color="auto"/>
                      <w:right w:val="outset" w:sz="6" w:space="0" w:color="auto"/>
                    </w:tcBorders>
                    <w:vAlign w:val="center"/>
                  </w:tcPr>
                  <w:p w:rsidR="003F54E5" w:rsidRDefault="003F54E5" w:rsidP="00B637B2">
                    <w:pPr>
                      <w:jc w:val="both"/>
                      <w:rPr>
                        <w:szCs w:val="21"/>
                      </w:rPr>
                    </w:pPr>
                    <w:r>
                      <w:t xml:space="preserve">　</w:t>
                    </w:r>
                  </w:p>
                </w:tc>
                <w:tc>
                  <w:tcPr>
                    <w:tcW w:w="1125"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w:t>
                    </w:r>
                  </w:p>
                </w:tc>
                <w:tc>
                  <w:tcPr>
                    <w:tcW w:w="1147"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w:t>
                    </w:r>
                  </w:p>
                </w:tc>
              </w:tr>
              <w:tr w:rsidR="00B637B2" w:rsidTr="00B637B2">
                <w:sdt>
                  <w:sdtPr>
                    <w:tag w:val="_PLD_235e8def5b4b4c7abc05596f3566e5ca"/>
                    <w:id w:val="1862626516"/>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3F54E5" w:rsidRDefault="003F54E5" w:rsidP="003F54E5">
                        <w:pPr>
                          <w:ind w:firstLineChars="100" w:firstLine="210"/>
                          <w:rPr>
                            <w:szCs w:val="21"/>
                          </w:rPr>
                        </w:pPr>
                        <w:r>
                          <w:rPr>
                            <w:rFonts w:hint="eastAsia"/>
                            <w:szCs w:val="21"/>
                          </w:rPr>
                          <w:t>长期应收款</w:t>
                        </w:r>
                      </w:p>
                    </w:tc>
                  </w:sdtContent>
                </w:sdt>
                <w:tc>
                  <w:tcPr>
                    <w:tcW w:w="562" w:type="pct"/>
                    <w:tcBorders>
                      <w:top w:val="outset" w:sz="6" w:space="0" w:color="auto"/>
                      <w:left w:val="outset" w:sz="6" w:space="0" w:color="auto"/>
                      <w:bottom w:val="outset" w:sz="6" w:space="0" w:color="auto"/>
                      <w:right w:val="outset" w:sz="6" w:space="0" w:color="auto"/>
                    </w:tcBorders>
                    <w:vAlign w:val="center"/>
                  </w:tcPr>
                  <w:p w:rsidR="003F54E5" w:rsidRDefault="003F54E5" w:rsidP="00B637B2">
                    <w:pPr>
                      <w:jc w:val="both"/>
                      <w:rPr>
                        <w:szCs w:val="21"/>
                      </w:rPr>
                    </w:pPr>
                    <w:r>
                      <w:t xml:space="preserve">　</w:t>
                    </w:r>
                  </w:p>
                </w:tc>
                <w:tc>
                  <w:tcPr>
                    <w:tcW w:w="1125"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w:t>
                    </w:r>
                  </w:p>
                </w:tc>
                <w:tc>
                  <w:tcPr>
                    <w:tcW w:w="1147"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w:t>
                    </w:r>
                  </w:p>
                </w:tc>
              </w:tr>
              <w:tr w:rsidR="00B637B2" w:rsidTr="00B637B2">
                <w:sdt>
                  <w:sdtPr>
                    <w:tag w:val="_PLD_a03693997f484cfcaa912b0e71d5709d"/>
                    <w:id w:val="1367416045"/>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3F54E5" w:rsidRDefault="003F54E5" w:rsidP="003F54E5">
                        <w:pPr>
                          <w:ind w:firstLineChars="100" w:firstLine="210"/>
                          <w:rPr>
                            <w:szCs w:val="21"/>
                          </w:rPr>
                        </w:pPr>
                        <w:r>
                          <w:rPr>
                            <w:rFonts w:hint="eastAsia"/>
                            <w:szCs w:val="21"/>
                          </w:rPr>
                          <w:t>长期股权投资</w:t>
                        </w:r>
                      </w:p>
                    </w:tc>
                  </w:sdtContent>
                </w:sdt>
                <w:tc>
                  <w:tcPr>
                    <w:tcW w:w="562" w:type="pct"/>
                    <w:tcBorders>
                      <w:top w:val="outset" w:sz="6" w:space="0" w:color="auto"/>
                      <w:left w:val="outset" w:sz="6" w:space="0" w:color="auto"/>
                      <w:bottom w:val="outset" w:sz="6" w:space="0" w:color="auto"/>
                      <w:right w:val="outset" w:sz="6" w:space="0" w:color="auto"/>
                    </w:tcBorders>
                    <w:vAlign w:val="center"/>
                  </w:tcPr>
                  <w:p w:rsidR="003F54E5" w:rsidRDefault="008F04CF" w:rsidP="00B637B2">
                    <w:pPr>
                      <w:jc w:val="both"/>
                      <w:rPr>
                        <w:szCs w:val="21"/>
                      </w:rPr>
                    </w:pPr>
                    <w:r>
                      <w:rPr>
                        <w:rFonts w:hint="eastAsia"/>
                      </w:rPr>
                      <w:t>七、</w:t>
                    </w:r>
                    <w:r>
                      <w:t>17</w:t>
                    </w:r>
                  </w:p>
                </w:tc>
                <w:tc>
                  <w:tcPr>
                    <w:tcW w:w="1125"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1,728,249,818</w:t>
                    </w:r>
                  </w:p>
                </w:tc>
                <w:tc>
                  <w:tcPr>
                    <w:tcW w:w="1147"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1,702,892,459</w:t>
                    </w:r>
                  </w:p>
                </w:tc>
              </w:tr>
              <w:tr w:rsidR="00B637B2" w:rsidTr="00B637B2">
                <w:tc>
                  <w:tcPr>
                    <w:tcW w:w="2166"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c57523e7f9d4490b8fc01da554e0edf"/>
                      <w:id w:val="26989108"/>
                      <w:lock w:val="sdtLocked"/>
                    </w:sdtPr>
                    <w:sdtContent>
                      <w:p w:rsidR="003F54E5" w:rsidRDefault="003F54E5" w:rsidP="003F54E5">
                        <w:pPr>
                          <w:ind w:firstLineChars="100" w:firstLine="210"/>
                        </w:pPr>
                        <w:r>
                          <w:rPr>
                            <w:rFonts w:hint="eastAsia"/>
                          </w:rPr>
                          <w:t>其他权益工具投资</w:t>
                        </w:r>
                      </w:p>
                    </w:sdtContent>
                  </w:sdt>
                </w:tc>
                <w:tc>
                  <w:tcPr>
                    <w:tcW w:w="562" w:type="pct"/>
                    <w:tcBorders>
                      <w:top w:val="outset" w:sz="6" w:space="0" w:color="auto"/>
                      <w:left w:val="outset" w:sz="6" w:space="0" w:color="auto"/>
                      <w:bottom w:val="outset" w:sz="6" w:space="0" w:color="auto"/>
                      <w:right w:val="outset" w:sz="6" w:space="0" w:color="auto"/>
                    </w:tcBorders>
                    <w:vAlign w:val="center"/>
                  </w:tcPr>
                  <w:p w:rsidR="003F54E5" w:rsidRDefault="003F54E5" w:rsidP="00B637B2">
                    <w:pPr>
                      <w:jc w:val="both"/>
                      <w:rPr>
                        <w:szCs w:val="21"/>
                      </w:rPr>
                    </w:pPr>
                    <w:r>
                      <w:t xml:space="preserve">　</w:t>
                    </w:r>
                  </w:p>
                </w:tc>
                <w:tc>
                  <w:tcPr>
                    <w:tcW w:w="1125"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w:t>
                    </w:r>
                  </w:p>
                </w:tc>
                <w:tc>
                  <w:tcPr>
                    <w:tcW w:w="1147"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w:t>
                    </w:r>
                  </w:p>
                </w:tc>
              </w:tr>
              <w:tr w:rsidR="00B637B2" w:rsidTr="00B637B2">
                <w:tc>
                  <w:tcPr>
                    <w:tcW w:w="2166"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89d47082a034512856b0d9af89eed72"/>
                      <w:id w:val="2015501337"/>
                      <w:lock w:val="sdtLocked"/>
                    </w:sdtPr>
                    <w:sdtContent>
                      <w:p w:rsidR="003F54E5" w:rsidRDefault="003F54E5" w:rsidP="003F54E5">
                        <w:pPr>
                          <w:ind w:firstLineChars="100" w:firstLine="210"/>
                        </w:pPr>
                        <w:r>
                          <w:rPr>
                            <w:rFonts w:hint="eastAsia"/>
                          </w:rPr>
                          <w:t>其他非流动金融资产</w:t>
                        </w:r>
                      </w:p>
                    </w:sdtContent>
                  </w:sdt>
                </w:tc>
                <w:tc>
                  <w:tcPr>
                    <w:tcW w:w="562" w:type="pct"/>
                    <w:tcBorders>
                      <w:top w:val="outset" w:sz="6" w:space="0" w:color="auto"/>
                      <w:left w:val="outset" w:sz="6" w:space="0" w:color="auto"/>
                      <w:bottom w:val="outset" w:sz="6" w:space="0" w:color="auto"/>
                      <w:right w:val="outset" w:sz="6" w:space="0" w:color="auto"/>
                    </w:tcBorders>
                    <w:vAlign w:val="center"/>
                  </w:tcPr>
                  <w:p w:rsidR="003F54E5" w:rsidRDefault="008F04CF" w:rsidP="00B637B2">
                    <w:pPr>
                      <w:jc w:val="both"/>
                      <w:rPr>
                        <w:szCs w:val="21"/>
                      </w:rPr>
                    </w:pPr>
                    <w:r>
                      <w:rPr>
                        <w:rFonts w:hint="eastAsia"/>
                      </w:rPr>
                      <w:t>七、</w:t>
                    </w:r>
                    <w:r>
                      <w:t>19</w:t>
                    </w:r>
                  </w:p>
                </w:tc>
                <w:tc>
                  <w:tcPr>
                    <w:tcW w:w="1125"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931,572,507</w:t>
                    </w:r>
                  </w:p>
                </w:tc>
                <w:tc>
                  <w:tcPr>
                    <w:tcW w:w="1147"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w:t>
                    </w:r>
                  </w:p>
                </w:tc>
              </w:tr>
              <w:tr w:rsidR="00B637B2" w:rsidTr="00B637B2">
                <w:sdt>
                  <w:sdtPr>
                    <w:tag w:val="_PLD_4684cd13f34942aabf4f5a55f1148c84"/>
                    <w:id w:val="910657665"/>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3F54E5" w:rsidRDefault="003F54E5" w:rsidP="003F54E5">
                        <w:pPr>
                          <w:ind w:firstLineChars="100" w:firstLine="210"/>
                          <w:rPr>
                            <w:szCs w:val="21"/>
                          </w:rPr>
                        </w:pPr>
                        <w:r>
                          <w:rPr>
                            <w:rFonts w:hint="eastAsia"/>
                            <w:szCs w:val="21"/>
                          </w:rPr>
                          <w:t>投资性房地产</w:t>
                        </w:r>
                      </w:p>
                    </w:tc>
                  </w:sdtContent>
                </w:sdt>
                <w:tc>
                  <w:tcPr>
                    <w:tcW w:w="562" w:type="pct"/>
                    <w:tcBorders>
                      <w:top w:val="outset" w:sz="6" w:space="0" w:color="auto"/>
                      <w:left w:val="outset" w:sz="6" w:space="0" w:color="auto"/>
                      <w:bottom w:val="outset" w:sz="6" w:space="0" w:color="auto"/>
                      <w:right w:val="outset" w:sz="6" w:space="0" w:color="auto"/>
                    </w:tcBorders>
                    <w:vAlign w:val="center"/>
                  </w:tcPr>
                  <w:p w:rsidR="003F54E5" w:rsidRDefault="003F54E5" w:rsidP="00B637B2">
                    <w:pPr>
                      <w:jc w:val="both"/>
                      <w:rPr>
                        <w:szCs w:val="21"/>
                      </w:rPr>
                    </w:pPr>
                    <w:r>
                      <w:t xml:space="preserve">　</w:t>
                    </w:r>
                  </w:p>
                </w:tc>
                <w:tc>
                  <w:tcPr>
                    <w:tcW w:w="1125"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w:t>
                    </w:r>
                  </w:p>
                </w:tc>
                <w:tc>
                  <w:tcPr>
                    <w:tcW w:w="1147"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w:t>
                    </w:r>
                  </w:p>
                </w:tc>
              </w:tr>
              <w:tr w:rsidR="00B637B2" w:rsidTr="00B637B2">
                <w:sdt>
                  <w:sdtPr>
                    <w:tag w:val="_PLD_ea85d42312a14428bf960d1d9ac28904"/>
                    <w:id w:val="169845706"/>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3F54E5" w:rsidRDefault="003F54E5" w:rsidP="003F54E5">
                        <w:pPr>
                          <w:ind w:firstLineChars="100" w:firstLine="210"/>
                          <w:rPr>
                            <w:szCs w:val="21"/>
                          </w:rPr>
                        </w:pPr>
                        <w:r>
                          <w:rPr>
                            <w:rFonts w:hint="eastAsia"/>
                            <w:szCs w:val="21"/>
                          </w:rPr>
                          <w:t>固定资产</w:t>
                        </w:r>
                      </w:p>
                    </w:tc>
                  </w:sdtContent>
                </w:sdt>
                <w:tc>
                  <w:tcPr>
                    <w:tcW w:w="562" w:type="pct"/>
                    <w:tcBorders>
                      <w:top w:val="outset" w:sz="6" w:space="0" w:color="auto"/>
                      <w:left w:val="outset" w:sz="6" w:space="0" w:color="auto"/>
                      <w:bottom w:val="outset" w:sz="6" w:space="0" w:color="auto"/>
                      <w:right w:val="outset" w:sz="6" w:space="0" w:color="auto"/>
                    </w:tcBorders>
                    <w:vAlign w:val="center"/>
                  </w:tcPr>
                  <w:p w:rsidR="003F54E5" w:rsidRDefault="008F04CF" w:rsidP="00B637B2">
                    <w:pPr>
                      <w:jc w:val="both"/>
                      <w:rPr>
                        <w:szCs w:val="21"/>
                      </w:rPr>
                    </w:pPr>
                    <w:r>
                      <w:rPr>
                        <w:rFonts w:hint="eastAsia"/>
                      </w:rPr>
                      <w:t>七、</w:t>
                    </w:r>
                    <w:r>
                      <w:t>21</w:t>
                    </w:r>
                  </w:p>
                </w:tc>
                <w:tc>
                  <w:tcPr>
                    <w:tcW w:w="1125"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2,674,069,386</w:t>
                    </w:r>
                  </w:p>
                </w:tc>
                <w:tc>
                  <w:tcPr>
                    <w:tcW w:w="1147"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2,073,150,867</w:t>
                    </w:r>
                  </w:p>
                </w:tc>
              </w:tr>
              <w:tr w:rsidR="00B637B2" w:rsidTr="00B637B2">
                <w:sdt>
                  <w:sdtPr>
                    <w:tag w:val="_PLD_6572a20e6bfc4146a00336e842a92a6c"/>
                    <w:id w:val="-787817550"/>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3F54E5" w:rsidRDefault="003F54E5" w:rsidP="003F54E5">
                        <w:pPr>
                          <w:ind w:firstLineChars="100" w:firstLine="210"/>
                          <w:rPr>
                            <w:szCs w:val="21"/>
                          </w:rPr>
                        </w:pPr>
                        <w:r>
                          <w:rPr>
                            <w:rFonts w:hint="eastAsia"/>
                            <w:szCs w:val="21"/>
                          </w:rPr>
                          <w:t>在建工程</w:t>
                        </w:r>
                      </w:p>
                    </w:tc>
                  </w:sdtContent>
                </w:sdt>
                <w:tc>
                  <w:tcPr>
                    <w:tcW w:w="562" w:type="pct"/>
                    <w:tcBorders>
                      <w:top w:val="outset" w:sz="6" w:space="0" w:color="auto"/>
                      <w:left w:val="outset" w:sz="6" w:space="0" w:color="auto"/>
                      <w:bottom w:val="outset" w:sz="6" w:space="0" w:color="auto"/>
                      <w:right w:val="outset" w:sz="6" w:space="0" w:color="auto"/>
                    </w:tcBorders>
                    <w:vAlign w:val="center"/>
                  </w:tcPr>
                  <w:p w:rsidR="003F54E5" w:rsidRDefault="008F04CF" w:rsidP="00B637B2">
                    <w:pPr>
                      <w:jc w:val="both"/>
                      <w:rPr>
                        <w:szCs w:val="21"/>
                      </w:rPr>
                    </w:pPr>
                    <w:r>
                      <w:rPr>
                        <w:rFonts w:hint="eastAsia"/>
                      </w:rPr>
                      <w:t>七、</w:t>
                    </w:r>
                    <w:r>
                      <w:t>22</w:t>
                    </w:r>
                  </w:p>
                </w:tc>
                <w:tc>
                  <w:tcPr>
                    <w:tcW w:w="1125"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w:t>
                    </w:r>
                  </w:p>
                </w:tc>
                <w:tc>
                  <w:tcPr>
                    <w:tcW w:w="1147"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446,130,020</w:t>
                    </w:r>
                  </w:p>
                </w:tc>
              </w:tr>
              <w:tr w:rsidR="00B637B2" w:rsidTr="00B637B2">
                <w:sdt>
                  <w:sdtPr>
                    <w:tag w:val="_PLD_681c8940563045f7a9114e64a64c0cbb"/>
                    <w:id w:val="-1467581698"/>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3F54E5" w:rsidRDefault="003F54E5" w:rsidP="003F54E5">
                        <w:pPr>
                          <w:ind w:firstLineChars="100" w:firstLine="210"/>
                          <w:rPr>
                            <w:szCs w:val="21"/>
                          </w:rPr>
                        </w:pPr>
                        <w:r>
                          <w:rPr>
                            <w:rFonts w:hint="eastAsia"/>
                            <w:szCs w:val="21"/>
                          </w:rPr>
                          <w:t>生产性生物资产</w:t>
                        </w:r>
                      </w:p>
                    </w:tc>
                  </w:sdtContent>
                </w:sdt>
                <w:tc>
                  <w:tcPr>
                    <w:tcW w:w="562" w:type="pct"/>
                    <w:tcBorders>
                      <w:top w:val="outset" w:sz="6" w:space="0" w:color="auto"/>
                      <w:left w:val="outset" w:sz="6" w:space="0" w:color="auto"/>
                      <w:bottom w:val="outset" w:sz="6" w:space="0" w:color="auto"/>
                      <w:right w:val="outset" w:sz="6" w:space="0" w:color="auto"/>
                    </w:tcBorders>
                    <w:vAlign w:val="center"/>
                  </w:tcPr>
                  <w:p w:rsidR="003F54E5" w:rsidRDefault="003F54E5" w:rsidP="00B637B2">
                    <w:pPr>
                      <w:jc w:val="both"/>
                      <w:rPr>
                        <w:szCs w:val="21"/>
                      </w:rPr>
                    </w:pPr>
                    <w:r>
                      <w:t xml:space="preserve">　</w:t>
                    </w:r>
                  </w:p>
                </w:tc>
                <w:tc>
                  <w:tcPr>
                    <w:tcW w:w="1125"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w:t>
                    </w:r>
                  </w:p>
                </w:tc>
                <w:tc>
                  <w:tcPr>
                    <w:tcW w:w="1147"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w:t>
                    </w:r>
                  </w:p>
                </w:tc>
              </w:tr>
              <w:tr w:rsidR="00B637B2" w:rsidTr="00B637B2">
                <w:sdt>
                  <w:sdtPr>
                    <w:tag w:val="_PLD_86e2225c67a84720afd738287a9c2365"/>
                    <w:id w:val="-828058385"/>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3F54E5" w:rsidRDefault="003F54E5" w:rsidP="003F54E5">
                        <w:pPr>
                          <w:ind w:firstLineChars="100" w:firstLine="210"/>
                          <w:rPr>
                            <w:szCs w:val="21"/>
                          </w:rPr>
                        </w:pPr>
                        <w:r>
                          <w:rPr>
                            <w:rFonts w:hint="eastAsia"/>
                            <w:szCs w:val="21"/>
                          </w:rPr>
                          <w:t>油气资产</w:t>
                        </w:r>
                      </w:p>
                    </w:tc>
                  </w:sdtContent>
                </w:sdt>
                <w:tc>
                  <w:tcPr>
                    <w:tcW w:w="562" w:type="pct"/>
                    <w:tcBorders>
                      <w:top w:val="outset" w:sz="6" w:space="0" w:color="auto"/>
                      <w:left w:val="outset" w:sz="6" w:space="0" w:color="auto"/>
                      <w:bottom w:val="outset" w:sz="6" w:space="0" w:color="auto"/>
                      <w:right w:val="outset" w:sz="6" w:space="0" w:color="auto"/>
                    </w:tcBorders>
                    <w:vAlign w:val="center"/>
                  </w:tcPr>
                  <w:p w:rsidR="003F54E5" w:rsidRDefault="003F54E5" w:rsidP="00B637B2">
                    <w:pPr>
                      <w:jc w:val="both"/>
                      <w:rPr>
                        <w:szCs w:val="21"/>
                      </w:rPr>
                    </w:pPr>
                    <w:r>
                      <w:t xml:space="preserve">　</w:t>
                    </w:r>
                  </w:p>
                </w:tc>
                <w:tc>
                  <w:tcPr>
                    <w:tcW w:w="1125"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w:t>
                    </w:r>
                  </w:p>
                </w:tc>
                <w:tc>
                  <w:tcPr>
                    <w:tcW w:w="1147"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w:t>
                    </w:r>
                  </w:p>
                </w:tc>
              </w:tr>
              <w:tr w:rsidR="00B637B2" w:rsidTr="00B637B2">
                <w:tc>
                  <w:tcPr>
                    <w:tcW w:w="2166"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b039fa9358a43b398f3274466785fc8"/>
                      <w:id w:val="1182626989"/>
                      <w:lock w:val="sdtLocked"/>
                    </w:sdtPr>
                    <w:sdtContent>
                      <w:p w:rsidR="003F54E5" w:rsidRDefault="003F54E5" w:rsidP="003F54E5">
                        <w:pPr>
                          <w:ind w:firstLineChars="100" w:firstLine="210"/>
                        </w:pPr>
                        <w:r>
                          <w:rPr>
                            <w:rFonts w:hint="eastAsia"/>
                          </w:rPr>
                          <w:t>使用权资产</w:t>
                        </w:r>
                      </w:p>
                    </w:sdtContent>
                  </w:sdt>
                </w:tc>
                <w:tc>
                  <w:tcPr>
                    <w:tcW w:w="562" w:type="pct"/>
                    <w:tcBorders>
                      <w:top w:val="outset" w:sz="6" w:space="0" w:color="auto"/>
                      <w:left w:val="outset" w:sz="6" w:space="0" w:color="auto"/>
                      <w:bottom w:val="outset" w:sz="6" w:space="0" w:color="auto"/>
                      <w:right w:val="outset" w:sz="6" w:space="0" w:color="auto"/>
                    </w:tcBorders>
                    <w:vAlign w:val="center"/>
                  </w:tcPr>
                  <w:p w:rsidR="003F54E5" w:rsidRDefault="003F54E5" w:rsidP="00B637B2">
                    <w:pPr>
                      <w:jc w:val="both"/>
                      <w:rPr>
                        <w:szCs w:val="21"/>
                      </w:rPr>
                    </w:pPr>
                    <w:r>
                      <w:t xml:space="preserve">　</w:t>
                    </w:r>
                  </w:p>
                </w:tc>
                <w:tc>
                  <w:tcPr>
                    <w:tcW w:w="1125"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w:t>
                    </w:r>
                  </w:p>
                </w:tc>
                <w:tc>
                  <w:tcPr>
                    <w:tcW w:w="1147"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w:t>
                    </w:r>
                  </w:p>
                </w:tc>
              </w:tr>
              <w:tr w:rsidR="00B637B2" w:rsidTr="00B637B2">
                <w:sdt>
                  <w:sdtPr>
                    <w:tag w:val="_PLD_f9f0cc8ce8dc4387b1611032921da1ea"/>
                    <w:id w:val="1864088156"/>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3F54E5" w:rsidRDefault="003F54E5" w:rsidP="003F54E5">
                        <w:pPr>
                          <w:ind w:firstLineChars="100" w:firstLine="210"/>
                          <w:rPr>
                            <w:szCs w:val="21"/>
                          </w:rPr>
                        </w:pPr>
                        <w:r>
                          <w:rPr>
                            <w:rFonts w:hint="eastAsia"/>
                            <w:szCs w:val="21"/>
                          </w:rPr>
                          <w:t>无形资产</w:t>
                        </w:r>
                      </w:p>
                    </w:tc>
                  </w:sdtContent>
                </w:sdt>
                <w:tc>
                  <w:tcPr>
                    <w:tcW w:w="562" w:type="pct"/>
                    <w:tcBorders>
                      <w:top w:val="outset" w:sz="6" w:space="0" w:color="auto"/>
                      <w:left w:val="outset" w:sz="6" w:space="0" w:color="auto"/>
                      <w:bottom w:val="outset" w:sz="6" w:space="0" w:color="auto"/>
                      <w:right w:val="outset" w:sz="6" w:space="0" w:color="auto"/>
                    </w:tcBorders>
                    <w:vAlign w:val="center"/>
                  </w:tcPr>
                  <w:p w:rsidR="003F54E5" w:rsidRDefault="008F04CF" w:rsidP="00B637B2">
                    <w:pPr>
                      <w:jc w:val="both"/>
                      <w:rPr>
                        <w:szCs w:val="21"/>
                      </w:rPr>
                    </w:pPr>
                    <w:r>
                      <w:rPr>
                        <w:rFonts w:hint="eastAsia"/>
                      </w:rPr>
                      <w:t>七、</w:t>
                    </w:r>
                    <w:r>
                      <w:t>26</w:t>
                    </w:r>
                  </w:p>
                </w:tc>
                <w:tc>
                  <w:tcPr>
                    <w:tcW w:w="1125"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815,583,417</w:t>
                    </w:r>
                  </w:p>
                </w:tc>
                <w:tc>
                  <w:tcPr>
                    <w:tcW w:w="1147"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875,919,137</w:t>
                    </w:r>
                  </w:p>
                </w:tc>
              </w:tr>
              <w:tr w:rsidR="00B637B2" w:rsidTr="00B637B2">
                <w:sdt>
                  <w:sdtPr>
                    <w:tag w:val="_PLD_9e19501f4749495c8e2c099358304536"/>
                    <w:id w:val="-850256867"/>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3F54E5" w:rsidRDefault="003F54E5" w:rsidP="003F54E5">
                        <w:pPr>
                          <w:ind w:firstLineChars="100" w:firstLine="210"/>
                          <w:rPr>
                            <w:szCs w:val="21"/>
                          </w:rPr>
                        </w:pPr>
                        <w:r>
                          <w:rPr>
                            <w:rFonts w:hint="eastAsia"/>
                            <w:szCs w:val="21"/>
                          </w:rPr>
                          <w:t>开发支出</w:t>
                        </w:r>
                      </w:p>
                    </w:tc>
                  </w:sdtContent>
                </w:sdt>
                <w:tc>
                  <w:tcPr>
                    <w:tcW w:w="562" w:type="pct"/>
                    <w:tcBorders>
                      <w:top w:val="outset" w:sz="6" w:space="0" w:color="auto"/>
                      <w:left w:val="outset" w:sz="6" w:space="0" w:color="auto"/>
                      <w:bottom w:val="outset" w:sz="6" w:space="0" w:color="auto"/>
                      <w:right w:val="outset" w:sz="6" w:space="0" w:color="auto"/>
                    </w:tcBorders>
                    <w:vAlign w:val="center"/>
                  </w:tcPr>
                  <w:p w:rsidR="003F54E5" w:rsidRDefault="008F04CF" w:rsidP="00B637B2">
                    <w:pPr>
                      <w:jc w:val="both"/>
                      <w:rPr>
                        <w:szCs w:val="21"/>
                      </w:rPr>
                    </w:pPr>
                    <w:r>
                      <w:rPr>
                        <w:rFonts w:hint="eastAsia"/>
                      </w:rPr>
                      <w:t>七、</w:t>
                    </w:r>
                    <w:r>
                      <w:t>27</w:t>
                    </w:r>
                  </w:p>
                </w:tc>
                <w:tc>
                  <w:tcPr>
                    <w:tcW w:w="1125"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40,190,352</w:t>
                    </w:r>
                  </w:p>
                </w:tc>
                <w:tc>
                  <w:tcPr>
                    <w:tcW w:w="1147"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41,091,121</w:t>
                    </w:r>
                  </w:p>
                </w:tc>
              </w:tr>
              <w:tr w:rsidR="00B637B2" w:rsidTr="00B637B2">
                <w:sdt>
                  <w:sdtPr>
                    <w:tag w:val="_PLD_f8ed91a88675406ea5643bb20525ebab"/>
                    <w:id w:val="-613743198"/>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3F54E5" w:rsidRDefault="003F54E5" w:rsidP="003F54E5">
                        <w:pPr>
                          <w:ind w:firstLineChars="100" w:firstLine="210"/>
                          <w:rPr>
                            <w:szCs w:val="21"/>
                          </w:rPr>
                        </w:pPr>
                        <w:r>
                          <w:rPr>
                            <w:rFonts w:hint="eastAsia"/>
                            <w:szCs w:val="21"/>
                          </w:rPr>
                          <w:t>商誉</w:t>
                        </w:r>
                      </w:p>
                    </w:tc>
                  </w:sdtContent>
                </w:sdt>
                <w:tc>
                  <w:tcPr>
                    <w:tcW w:w="562" w:type="pct"/>
                    <w:tcBorders>
                      <w:top w:val="outset" w:sz="6" w:space="0" w:color="auto"/>
                      <w:left w:val="outset" w:sz="6" w:space="0" w:color="auto"/>
                      <w:bottom w:val="outset" w:sz="6" w:space="0" w:color="auto"/>
                      <w:right w:val="outset" w:sz="6" w:space="0" w:color="auto"/>
                    </w:tcBorders>
                    <w:vAlign w:val="center"/>
                  </w:tcPr>
                  <w:p w:rsidR="003F54E5" w:rsidRDefault="008F04CF" w:rsidP="00B637B2">
                    <w:pPr>
                      <w:jc w:val="both"/>
                      <w:rPr>
                        <w:szCs w:val="21"/>
                      </w:rPr>
                    </w:pPr>
                    <w:r>
                      <w:rPr>
                        <w:rFonts w:hint="eastAsia"/>
                      </w:rPr>
                      <w:t>七、</w:t>
                    </w:r>
                    <w:r>
                      <w:t>28</w:t>
                    </w:r>
                  </w:p>
                </w:tc>
                <w:tc>
                  <w:tcPr>
                    <w:tcW w:w="1125"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925,021,513</w:t>
                    </w:r>
                  </w:p>
                </w:tc>
                <w:tc>
                  <w:tcPr>
                    <w:tcW w:w="1147"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925,021,513</w:t>
                    </w:r>
                  </w:p>
                </w:tc>
              </w:tr>
              <w:tr w:rsidR="00B637B2" w:rsidTr="00B637B2">
                <w:sdt>
                  <w:sdtPr>
                    <w:tag w:val="_PLD_c7616aaf37e541948f0c2ca1f9b68af9"/>
                    <w:id w:val="1577330504"/>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3F54E5" w:rsidRDefault="003F54E5" w:rsidP="003F54E5">
                        <w:pPr>
                          <w:ind w:firstLineChars="100" w:firstLine="210"/>
                          <w:rPr>
                            <w:szCs w:val="21"/>
                          </w:rPr>
                        </w:pPr>
                        <w:r>
                          <w:rPr>
                            <w:rFonts w:hint="eastAsia"/>
                            <w:szCs w:val="21"/>
                          </w:rPr>
                          <w:t>长期待摊费用</w:t>
                        </w:r>
                      </w:p>
                    </w:tc>
                  </w:sdtContent>
                </w:sdt>
                <w:tc>
                  <w:tcPr>
                    <w:tcW w:w="562" w:type="pct"/>
                    <w:tcBorders>
                      <w:top w:val="outset" w:sz="6" w:space="0" w:color="auto"/>
                      <w:left w:val="outset" w:sz="6" w:space="0" w:color="auto"/>
                      <w:bottom w:val="outset" w:sz="6" w:space="0" w:color="auto"/>
                      <w:right w:val="outset" w:sz="6" w:space="0" w:color="auto"/>
                    </w:tcBorders>
                    <w:vAlign w:val="center"/>
                  </w:tcPr>
                  <w:p w:rsidR="003F54E5" w:rsidRDefault="008F04CF" w:rsidP="00B637B2">
                    <w:pPr>
                      <w:jc w:val="both"/>
                      <w:rPr>
                        <w:szCs w:val="21"/>
                      </w:rPr>
                    </w:pPr>
                    <w:r>
                      <w:rPr>
                        <w:rFonts w:hint="eastAsia"/>
                      </w:rPr>
                      <w:t>七、</w:t>
                    </w:r>
                    <w:r>
                      <w:t>29</w:t>
                    </w:r>
                  </w:p>
                </w:tc>
                <w:tc>
                  <w:tcPr>
                    <w:tcW w:w="1125"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20,558,489</w:t>
                    </w:r>
                  </w:p>
                </w:tc>
                <w:tc>
                  <w:tcPr>
                    <w:tcW w:w="1147"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25,628,708</w:t>
                    </w:r>
                  </w:p>
                </w:tc>
              </w:tr>
              <w:tr w:rsidR="00B637B2" w:rsidTr="00B637B2">
                <w:sdt>
                  <w:sdtPr>
                    <w:tag w:val="_PLD_831746b98bdc4418bed3ce5f97331371"/>
                    <w:id w:val="851763640"/>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3F54E5" w:rsidRDefault="003F54E5" w:rsidP="003F54E5">
                        <w:pPr>
                          <w:ind w:firstLineChars="100" w:firstLine="210"/>
                          <w:rPr>
                            <w:szCs w:val="21"/>
                          </w:rPr>
                        </w:pPr>
                        <w:r>
                          <w:rPr>
                            <w:rFonts w:hint="eastAsia"/>
                            <w:szCs w:val="21"/>
                          </w:rPr>
                          <w:t>递延所得税资产</w:t>
                        </w:r>
                      </w:p>
                    </w:tc>
                  </w:sdtContent>
                </w:sdt>
                <w:tc>
                  <w:tcPr>
                    <w:tcW w:w="562" w:type="pct"/>
                    <w:tcBorders>
                      <w:top w:val="outset" w:sz="6" w:space="0" w:color="auto"/>
                      <w:left w:val="outset" w:sz="6" w:space="0" w:color="auto"/>
                      <w:bottom w:val="outset" w:sz="6" w:space="0" w:color="auto"/>
                      <w:right w:val="outset" w:sz="6" w:space="0" w:color="auto"/>
                    </w:tcBorders>
                    <w:vAlign w:val="center"/>
                  </w:tcPr>
                  <w:p w:rsidR="003F54E5" w:rsidRDefault="008F04CF" w:rsidP="00B637B2">
                    <w:pPr>
                      <w:jc w:val="both"/>
                      <w:rPr>
                        <w:szCs w:val="21"/>
                      </w:rPr>
                    </w:pPr>
                    <w:r>
                      <w:rPr>
                        <w:rFonts w:hint="eastAsia"/>
                      </w:rPr>
                      <w:t>七、</w:t>
                    </w:r>
                    <w:r>
                      <w:t>30</w:t>
                    </w:r>
                  </w:p>
                </w:tc>
                <w:tc>
                  <w:tcPr>
                    <w:tcW w:w="1125"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134,460,824</w:t>
                    </w:r>
                  </w:p>
                </w:tc>
                <w:tc>
                  <w:tcPr>
                    <w:tcW w:w="1147"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113,875,732</w:t>
                    </w:r>
                  </w:p>
                </w:tc>
              </w:tr>
              <w:tr w:rsidR="00B637B2" w:rsidTr="00B637B2">
                <w:sdt>
                  <w:sdtPr>
                    <w:tag w:val="_PLD_b16d4dbbdf9e4712984ce3d90131c10b"/>
                    <w:id w:val="-1040980988"/>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3F54E5" w:rsidRDefault="003F54E5" w:rsidP="003F54E5">
                        <w:pPr>
                          <w:ind w:firstLineChars="100" w:firstLine="210"/>
                          <w:rPr>
                            <w:szCs w:val="21"/>
                          </w:rPr>
                        </w:pPr>
                        <w:r>
                          <w:rPr>
                            <w:rFonts w:hint="eastAsia"/>
                            <w:szCs w:val="21"/>
                          </w:rPr>
                          <w:t>其他非流动资产</w:t>
                        </w:r>
                      </w:p>
                    </w:tc>
                  </w:sdtContent>
                </w:sdt>
                <w:tc>
                  <w:tcPr>
                    <w:tcW w:w="562" w:type="pct"/>
                    <w:tcBorders>
                      <w:top w:val="outset" w:sz="6" w:space="0" w:color="auto"/>
                      <w:left w:val="outset" w:sz="6" w:space="0" w:color="auto"/>
                      <w:bottom w:val="outset" w:sz="6" w:space="0" w:color="auto"/>
                      <w:right w:val="outset" w:sz="6" w:space="0" w:color="auto"/>
                    </w:tcBorders>
                    <w:vAlign w:val="center"/>
                  </w:tcPr>
                  <w:p w:rsidR="003F54E5" w:rsidRDefault="003F54E5" w:rsidP="00B637B2">
                    <w:pPr>
                      <w:jc w:val="both"/>
                      <w:rPr>
                        <w:szCs w:val="21"/>
                      </w:rPr>
                    </w:pPr>
                    <w:r>
                      <w:t xml:space="preserve">　</w:t>
                    </w:r>
                  </w:p>
                </w:tc>
                <w:tc>
                  <w:tcPr>
                    <w:tcW w:w="1125"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w:t>
                    </w:r>
                  </w:p>
                </w:tc>
                <w:tc>
                  <w:tcPr>
                    <w:tcW w:w="1147"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w:t>
                    </w:r>
                  </w:p>
                </w:tc>
              </w:tr>
              <w:tr w:rsidR="00B637B2" w:rsidTr="00B637B2">
                <w:sdt>
                  <w:sdtPr>
                    <w:tag w:val="_PLD_244b63fab9214d849ab2fc2afd25f0a8"/>
                    <w:id w:val="-763692521"/>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3F54E5" w:rsidRDefault="003F54E5" w:rsidP="003F54E5">
                        <w:pPr>
                          <w:ind w:firstLineChars="200" w:firstLine="420"/>
                          <w:rPr>
                            <w:szCs w:val="21"/>
                          </w:rPr>
                        </w:pPr>
                        <w:r>
                          <w:rPr>
                            <w:rFonts w:hint="eastAsia"/>
                            <w:szCs w:val="21"/>
                          </w:rPr>
                          <w:t>非流动资产合计</w:t>
                        </w:r>
                      </w:p>
                    </w:tc>
                  </w:sdtContent>
                </w:sdt>
                <w:tc>
                  <w:tcPr>
                    <w:tcW w:w="562" w:type="pct"/>
                    <w:tcBorders>
                      <w:top w:val="outset" w:sz="6" w:space="0" w:color="auto"/>
                      <w:left w:val="outset" w:sz="6" w:space="0" w:color="auto"/>
                      <w:bottom w:val="outset" w:sz="6" w:space="0" w:color="auto"/>
                      <w:right w:val="outset" w:sz="6" w:space="0" w:color="auto"/>
                    </w:tcBorders>
                    <w:vAlign w:val="center"/>
                  </w:tcPr>
                  <w:p w:rsidR="003F54E5" w:rsidRDefault="003F54E5" w:rsidP="00B637B2">
                    <w:pPr>
                      <w:jc w:val="both"/>
                      <w:rPr>
                        <w:szCs w:val="21"/>
                      </w:rPr>
                    </w:pPr>
                    <w:r>
                      <w:t xml:space="preserve">　</w:t>
                    </w:r>
                  </w:p>
                </w:tc>
                <w:tc>
                  <w:tcPr>
                    <w:tcW w:w="1125"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7,269,706,306</w:t>
                    </w:r>
                  </w:p>
                </w:tc>
                <w:tc>
                  <w:tcPr>
                    <w:tcW w:w="1147"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6,880,790,823</w:t>
                    </w:r>
                  </w:p>
                </w:tc>
              </w:tr>
              <w:tr w:rsidR="00B637B2" w:rsidTr="00B637B2">
                <w:sdt>
                  <w:sdtPr>
                    <w:tag w:val="_PLD_6e563319c2e4471398624f06f1db4a4e"/>
                    <w:id w:val="-1219510348"/>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3F54E5" w:rsidRDefault="003F54E5" w:rsidP="003F54E5">
                        <w:pPr>
                          <w:ind w:firstLineChars="300" w:firstLine="630"/>
                          <w:rPr>
                            <w:szCs w:val="21"/>
                          </w:rPr>
                        </w:pPr>
                        <w:r>
                          <w:rPr>
                            <w:rFonts w:hint="eastAsia"/>
                            <w:szCs w:val="21"/>
                          </w:rPr>
                          <w:t>资产总计</w:t>
                        </w:r>
                      </w:p>
                    </w:tc>
                  </w:sdtContent>
                </w:sdt>
                <w:tc>
                  <w:tcPr>
                    <w:tcW w:w="562" w:type="pct"/>
                    <w:tcBorders>
                      <w:top w:val="outset" w:sz="6" w:space="0" w:color="auto"/>
                      <w:left w:val="outset" w:sz="6" w:space="0" w:color="auto"/>
                      <w:bottom w:val="outset" w:sz="6" w:space="0" w:color="auto"/>
                      <w:right w:val="outset" w:sz="6" w:space="0" w:color="auto"/>
                    </w:tcBorders>
                    <w:vAlign w:val="center"/>
                  </w:tcPr>
                  <w:p w:rsidR="003F54E5" w:rsidRDefault="003F54E5" w:rsidP="00B637B2">
                    <w:pPr>
                      <w:jc w:val="both"/>
                      <w:rPr>
                        <w:szCs w:val="21"/>
                      </w:rPr>
                    </w:pPr>
                    <w:r>
                      <w:t xml:space="preserve">　</w:t>
                    </w:r>
                  </w:p>
                </w:tc>
                <w:tc>
                  <w:tcPr>
                    <w:tcW w:w="1125"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15,058,850,024</w:t>
                    </w:r>
                  </w:p>
                </w:tc>
                <w:tc>
                  <w:tcPr>
                    <w:tcW w:w="1147"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15,220,896,594</w:t>
                    </w:r>
                  </w:p>
                </w:tc>
              </w:tr>
              <w:tr w:rsidR="00B637B2" w:rsidTr="00B637B2">
                <w:sdt>
                  <w:sdtPr>
                    <w:tag w:val="_PLD_9375d0f637964c329fb26d2b4f648745"/>
                    <w:id w:val="-931970234"/>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3F54E5" w:rsidRDefault="003F54E5" w:rsidP="003F54E5">
                        <w:pPr>
                          <w:rPr>
                            <w:szCs w:val="21"/>
                          </w:rPr>
                        </w:pPr>
                        <w:r>
                          <w:rPr>
                            <w:rFonts w:hint="eastAsia"/>
                            <w:b/>
                            <w:bCs/>
                            <w:szCs w:val="21"/>
                          </w:rPr>
                          <w:t>流动负债：</w:t>
                        </w:r>
                      </w:p>
                    </w:tc>
                  </w:sdtContent>
                </w:sdt>
                <w:tc>
                  <w:tcPr>
                    <w:tcW w:w="562" w:type="pct"/>
                    <w:tcBorders>
                      <w:top w:val="outset" w:sz="6" w:space="0" w:color="auto"/>
                      <w:left w:val="outset" w:sz="6" w:space="0" w:color="auto"/>
                      <w:bottom w:val="outset" w:sz="6" w:space="0" w:color="auto"/>
                      <w:right w:val="outset" w:sz="6" w:space="0" w:color="auto"/>
                    </w:tcBorders>
                    <w:vAlign w:val="center"/>
                  </w:tcPr>
                  <w:p w:rsidR="003F54E5" w:rsidRDefault="003F54E5" w:rsidP="00B637B2">
                    <w:pPr>
                      <w:jc w:val="both"/>
                      <w:rPr>
                        <w:szCs w:val="21"/>
                      </w:rPr>
                    </w:pPr>
                    <w:r>
                      <w:t xml:space="preserve">　</w:t>
                    </w:r>
                  </w:p>
                </w:tc>
                <w:tc>
                  <w:tcPr>
                    <w:tcW w:w="1125" w:type="pct"/>
                    <w:tcBorders>
                      <w:top w:val="outset" w:sz="6" w:space="0" w:color="auto"/>
                      <w:left w:val="outset" w:sz="6" w:space="0" w:color="auto"/>
                      <w:bottom w:val="outset" w:sz="6" w:space="0" w:color="auto"/>
                      <w:right w:val="outset" w:sz="6" w:space="0" w:color="auto"/>
                    </w:tcBorders>
                  </w:tcPr>
                  <w:p w:rsidR="003F54E5" w:rsidRDefault="003F54E5" w:rsidP="003F54E5">
                    <w:pPr>
                      <w:rPr>
                        <w:color w:val="FF00FF"/>
                        <w:szCs w:val="21"/>
                      </w:rPr>
                    </w:pPr>
                  </w:p>
                </w:tc>
                <w:tc>
                  <w:tcPr>
                    <w:tcW w:w="1147" w:type="pct"/>
                    <w:tcBorders>
                      <w:top w:val="outset" w:sz="6" w:space="0" w:color="auto"/>
                      <w:left w:val="outset" w:sz="6" w:space="0" w:color="auto"/>
                      <w:bottom w:val="outset" w:sz="6" w:space="0" w:color="auto"/>
                      <w:right w:val="outset" w:sz="6" w:space="0" w:color="auto"/>
                    </w:tcBorders>
                  </w:tcPr>
                  <w:p w:rsidR="003F54E5" w:rsidRDefault="003F54E5" w:rsidP="003F54E5">
                    <w:pPr>
                      <w:rPr>
                        <w:szCs w:val="21"/>
                      </w:rPr>
                    </w:pPr>
                    <w:r>
                      <w:t xml:space="preserve">　</w:t>
                    </w:r>
                  </w:p>
                </w:tc>
              </w:tr>
              <w:tr w:rsidR="00B637B2" w:rsidTr="00B637B2">
                <w:sdt>
                  <w:sdtPr>
                    <w:tag w:val="_PLD_2fd37dc37d5e4c28b5b0dbe25be93232"/>
                    <w:id w:val="459921415"/>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3F54E5" w:rsidRDefault="003F54E5" w:rsidP="003F54E5">
                        <w:pPr>
                          <w:ind w:firstLineChars="100" w:firstLine="210"/>
                          <w:rPr>
                            <w:szCs w:val="21"/>
                          </w:rPr>
                        </w:pPr>
                        <w:r>
                          <w:rPr>
                            <w:rFonts w:hint="eastAsia"/>
                            <w:szCs w:val="21"/>
                          </w:rPr>
                          <w:t>短期借款</w:t>
                        </w:r>
                      </w:p>
                    </w:tc>
                  </w:sdtContent>
                </w:sdt>
                <w:tc>
                  <w:tcPr>
                    <w:tcW w:w="562" w:type="pct"/>
                    <w:tcBorders>
                      <w:top w:val="outset" w:sz="6" w:space="0" w:color="auto"/>
                      <w:left w:val="outset" w:sz="6" w:space="0" w:color="auto"/>
                      <w:bottom w:val="outset" w:sz="6" w:space="0" w:color="auto"/>
                      <w:right w:val="outset" w:sz="6" w:space="0" w:color="auto"/>
                    </w:tcBorders>
                    <w:vAlign w:val="center"/>
                  </w:tcPr>
                  <w:p w:rsidR="003F54E5" w:rsidRDefault="008F04CF" w:rsidP="00B637B2">
                    <w:pPr>
                      <w:jc w:val="both"/>
                      <w:rPr>
                        <w:szCs w:val="21"/>
                      </w:rPr>
                    </w:pPr>
                    <w:r>
                      <w:rPr>
                        <w:rFonts w:hint="eastAsia"/>
                      </w:rPr>
                      <w:t>七、</w:t>
                    </w:r>
                    <w:r>
                      <w:t>32</w:t>
                    </w:r>
                  </w:p>
                </w:tc>
                <w:tc>
                  <w:tcPr>
                    <w:tcW w:w="1125"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4,330,976,000</w:t>
                    </w:r>
                  </w:p>
                </w:tc>
                <w:tc>
                  <w:tcPr>
                    <w:tcW w:w="1147"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3,156,404,000</w:t>
                    </w:r>
                  </w:p>
                </w:tc>
              </w:tr>
              <w:tr w:rsidR="00B637B2" w:rsidTr="00B637B2">
                <w:sdt>
                  <w:sdtPr>
                    <w:tag w:val="_PLD_d4d41992aeff449e841a25d78244a217"/>
                    <w:id w:val="-568344656"/>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3F54E5" w:rsidRDefault="003F54E5" w:rsidP="003F54E5">
                        <w:pPr>
                          <w:ind w:firstLineChars="100" w:firstLine="210"/>
                          <w:rPr>
                            <w:szCs w:val="21"/>
                          </w:rPr>
                        </w:pPr>
                        <w:r>
                          <w:rPr>
                            <w:rFonts w:hint="eastAsia"/>
                            <w:szCs w:val="21"/>
                          </w:rPr>
                          <w:t>向中央银行借款</w:t>
                        </w:r>
                      </w:p>
                    </w:tc>
                  </w:sdtContent>
                </w:sdt>
                <w:tc>
                  <w:tcPr>
                    <w:tcW w:w="562" w:type="pct"/>
                    <w:tcBorders>
                      <w:top w:val="outset" w:sz="6" w:space="0" w:color="auto"/>
                      <w:left w:val="outset" w:sz="6" w:space="0" w:color="auto"/>
                      <w:bottom w:val="outset" w:sz="6" w:space="0" w:color="auto"/>
                      <w:right w:val="outset" w:sz="6" w:space="0" w:color="auto"/>
                    </w:tcBorders>
                    <w:vAlign w:val="center"/>
                  </w:tcPr>
                  <w:p w:rsidR="003F54E5" w:rsidRDefault="003F54E5" w:rsidP="00B637B2">
                    <w:pPr>
                      <w:jc w:val="both"/>
                      <w:rPr>
                        <w:szCs w:val="21"/>
                      </w:rPr>
                    </w:pPr>
                    <w:r>
                      <w:t xml:space="preserve">　</w:t>
                    </w:r>
                  </w:p>
                </w:tc>
                <w:tc>
                  <w:tcPr>
                    <w:tcW w:w="1125"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w:t>
                    </w:r>
                  </w:p>
                </w:tc>
                <w:tc>
                  <w:tcPr>
                    <w:tcW w:w="1147"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w:t>
                    </w:r>
                  </w:p>
                </w:tc>
              </w:tr>
              <w:tr w:rsidR="00B637B2" w:rsidTr="00B637B2">
                <w:sdt>
                  <w:sdtPr>
                    <w:tag w:val="_PLD_aa8e7d1680b146519de30874741a7d72"/>
                    <w:id w:val="644785072"/>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3F54E5" w:rsidRDefault="003F54E5" w:rsidP="003F54E5">
                        <w:pPr>
                          <w:ind w:firstLineChars="100" w:firstLine="210"/>
                          <w:rPr>
                            <w:szCs w:val="21"/>
                          </w:rPr>
                        </w:pPr>
                        <w:r>
                          <w:rPr>
                            <w:rFonts w:hint="eastAsia"/>
                            <w:szCs w:val="21"/>
                          </w:rPr>
                          <w:t>拆入资金</w:t>
                        </w:r>
                      </w:p>
                    </w:tc>
                  </w:sdtContent>
                </w:sdt>
                <w:tc>
                  <w:tcPr>
                    <w:tcW w:w="562" w:type="pct"/>
                    <w:tcBorders>
                      <w:top w:val="outset" w:sz="6" w:space="0" w:color="auto"/>
                      <w:left w:val="outset" w:sz="6" w:space="0" w:color="auto"/>
                      <w:bottom w:val="outset" w:sz="6" w:space="0" w:color="auto"/>
                      <w:right w:val="outset" w:sz="6" w:space="0" w:color="auto"/>
                    </w:tcBorders>
                    <w:vAlign w:val="center"/>
                  </w:tcPr>
                  <w:p w:rsidR="003F54E5" w:rsidRDefault="003F54E5" w:rsidP="00B637B2">
                    <w:pPr>
                      <w:jc w:val="both"/>
                      <w:rPr>
                        <w:szCs w:val="21"/>
                      </w:rPr>
                    </w:pPr>
                    <w:r>
                      <w:t xml:space="preserve">　</w:t>
                    </w:r>
                  </w:p>
                </w:tc>
                <w:tc>
                  <w:tcPr>
                    <w:tcW w:w="1125"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w:t>
                    </w:r>
                  </w:p>
                </w:tc>
                <w:tc>
                  <w:tcPr>
                    <w:tcW w:w="1147"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w:t>
                    </w:r>
                  </w:p>
                </w:tc>
              </w:tr>
              <w:tr w:rsidR="00B637B2" w:rsidTr="00B637B2">
                <w:tc>
                  <w:tcPr>
                    <w:tcW w:w="2166"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695121b86514004a89ae09bf4805868"/>
                      <w:id w:val="147252556"/>
                      <w:lock w:val="sdtLocked"/>
                    </w:sdtPr>
                    <w:sdtContent>
                      <w:p w:rsidR="003F54E5" w:rsidRDefault="003F54E5" w:rsidP="003F54E5">
                        <w:pPr>
                          <w:ind w:firstLineChars="100" w:firstLine="210"/>
                        </w:pPr>
                        <w:r>
                          <w:rPr>
                            <w:rFonts w:hint="eastAsia"/>
                          </w:rPr>
                          <w:t>交易性金融负债</w:t>
                        </w:r>
                      </w:p>
                    </w:sdtContent>
                  </w:sdt>
                </w:tc>
                <w:tc>
                  <w:tcPr>
                    <w:tcW w:w="562" w:type="pct"/>
                    <w:tcBorders>
                      <w:top w:val="outset" w:sz="6" w:space="0" w:color="auto"/>
                      <w:left w:val="outset" w:sz="6" w:space="0" w:color="auto"/>
                      <w:bottom w:val="outset" w:sz="6" w:space="0" w:color="auto"/>
                      <w:right w:val="outset" w:sz="6" w:space="0" w:color="auto"/>
                    </w:tcBorders>
                    <w:vAlign w:val="center"/>
                  </w:tcPr>
                  <w:p w:rsidR="003F54E5" w:rsidRDefault="003F54E5" w:rsidP="00B637B2">
                    <w:pPr>
                      <w:jc w:val="both"/>
                      <w:rPr>
                        <w:szCs w:val="21"/>
                      </w:rPr>
                    </w:pPr>
                    <w:r>
                      <w:t xml:space="preserve">　</w:t>
                    </w:r>
                  </w:p>
                </w:tc>
                <w:tc>
                  <w:tcPr>
                    <w:tcW w:w="1125"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w:t>
                    </w:r>
                  </w:p>
                </w:tc>
                <w:tc>
                  <w:tcPr>
                    <w:tcW w:w="1147"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w:t>
                    </w:r>
                  </w:p>
                </w:tc>
              </w:tr>
              <w:tr w:rsidR="00B637B2" w:rsidTr="00B637B2">
                <w:sdt>
                  <w:sdtPr>
                    <w:tag w:val="_PLD_2f22ddfd947647d087db1fa709d0a6ff"/>
                    <w:id w:val="121891401"/>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3F54E5" w:rsidRDefault="003F54E5" w:rsidP="003F54E5">
                        <w:pPr>
                          <w:ind w:firstLineChars="100" w:firstLine="210"/>
                          <w:rPr>
                            <w:szCs w:val="21"/>
                          </w:rPr>
                        </w:pPr>
                        <w:r>
                          <w:rPr>
                            <w:rFonts w:hint="eastAsia"/>
                            <w:szCs w:val="21"/>
                          </w:rPr>
                          <w:t>以公允价值计量且其变动计入当期损益的金融负债</w:t>
                        </w:r>
                      </w:p>
                    </w:tc>
                  </w:sdtContent>
                </w:sdt>
                <w:tc>
                  <w:tcPr>
                    <w:tcW w:w="562" w:type="pct"/>
                    <w:tcBorders>
                      <w:top w:val="outset" w:sz="6" w:space="0" w:color="auto"/>
                      <w:left w:val="outset" w:sz="6" w:space="0" w:color="auto"/>
                      <w:bottom w:val="outset" w:sz="6" w:space="0" w:color="auto"/>
                      <w:right w:val="outset" w:sz="6" w:space="0" w:color="auto"/>
                    </w:tcBorders>
                    <w:vAlign w:val="center"/>
                  </w:tcPr>
                  <w:p w:rsidR="003F54E5" w:rsidRDefault="003F54E5" w:rsidP="00B637B2">
                    <w:pPr>
                      <w:jc w:val="both"/>
                      <w:rPr>
                        <w:szCs w:val="21"/>
                      </w:rPr>
                    </w:pPr>
                    <w:r>
                      <w:t xml:space="preserve">　</w:t>
                    </w:r>
                  </w:p>
                </w:tc>
                <w:tc>
                  <w:tcPr>
                    <w:tcW w:w="1125"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w:t>
                    </w:r>
                  </w:p>
                </w:tc>
                <w:tc>
                  <w:tcPr>
                    <w:tcW w:w="1147"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w:t>
                    </w:r>
                  </w:p>
                </w:tc>
              </w:tr>
              <w:tr w:rsidR="00B637B2" w:rsidTr="00B637B2">
                <w:sdt>
                  <w:sdtPr>
                    <w:tag w:val="_PLD_24e5d5bfa7f841d1bd60fddcb2e66c58"/>
                    <w:id w:val="1444263270"/>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3F54E5" w:rsidRDefault="003F54E5" w:rsidP="003F54E5">
                        <w:pPr>
                          <w:ind w:firstLineChars="100" w:firstLine="210"/>
                          <w:rPr>
                            <w:szCs w:val="21"/>
                          </w:rPr>
                        </w:pPr>
                        <w:r>
                          <w:rPr>
                            <w:rFonts w:hint="eastAsia"/>
                            <w:szCs w:val="21"/>
                          </w:rPr>
                          <w:t>衍生金融负债</w:t>
                        </w:r>
                      </w:p>
                    </w:tc>
                  </w:sdtContent>
                </w:sdt>
                <w:tc>
                  <w:tcPr>
                    <w:tcW w:w="562" w:type="pct"/>
                    <w:tcBorders>
                      <w:top w:val="outset" w:sz="6" w:space="0" w:color="auto"/>
                      <w:left w:val="outset" w:sz="6" w:space="0" w:color="auto"/>
                      <w:bottom w:val="outset" w:sz="6" w:space="0" w:color="auto"/>
                      <w:right w:val="outset" w:sz="6" w:space="0" w:color="auto"/>
                    </w:tcBorders>
                    <w:vAlign w:val="center"/>
                  </w:tcPr>
                  <w:p w:rsidR="003F54E5" w:rsidRDefault="008F04CF" w:rsidP="00B637B2">
                    <w:pPr>
                      <w:jc w:val="both"/>
                      <w:rPr>
                        <w:szCs w:val="21"/>
                      </w:rPr>
                    </w:pPr>
                    <w:r>
                      <w:rPr>
                        <w:rFonts w:hint="eastAsia"/>
                      </w:rPr>
                      <w:t>七、</w:t>
                    </w:r>
                    <w:r>
                      <w:t>34</w:t>
                    </w:r>
                  </w:p>
                </w:tc>
                <w:tc>
                  <w:tcPr>
                    <w:tcW w:w="1125"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968,641</w:t>
                    </w:r>
                  </w:p>
                </w:tc>
                <w:tc>
                  <w:tcPr>
                    <w:tcW w:w="1147"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w:t>
                    </w:r>
                  </w:p>
                </w:tc>
              </w:tr>
              <w:tr w:rsidR="00B637B2" w:rsidTr="00B637B2">
                <w:sdt>
                  <w:sdtPr>
                    <w:tag w:val="_PLD_a1ccdf0c4f4443b685142442e1c3f8f6"/>
                    <w:id w:val="1783308221"/>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3F54E5" w:rsidRDefault="003F54E5" w:rsidP="003F54E5">
                        <w:pPr>
                          <w:ind w:firstLineChars="100" w:firstLine="210"/>
                          <w:rPr>
                            <w:szCs w:val="21"/>
                          </w:rPr>
                        </w:pPr>
                        <w:r>
                          <w:rPr>
                            <w:rFonts w:hint="eastAsia"/>
                            <w:szCs w:val="21"/>
                          </w:rPr>
                          <w:t>应付票据</w:t>
                        </w:r>
                      </w:p>
                    </w:tc>
                  </w:sdtContent>
                </w:sdt>
                <w:tc>
                  <w:tcPr>
                    <w:tcW w:w="562" w:type="pct"/>
                    <w:tcBorders>
                      <w:top w:val="outset" w:sz="6" w:space="0" w:color="auto"/>
                      <w:left w:val="outset" w:sz="6" w:space="0" w:color="auto"/>
                      <w:bottom w:val="outset" w:sz="6" w:space="0" w:color="auto"/>
                      <w:right w:val="outset" w:sz="6" w:space="0" w:color="auto"/>
                    </w:tcBorders>
                    <w:vAlign w:val="center"/>
                  </w:tcPr>
                  <w:p w:rsidR="003F54E5" w:rsidRDefault="003F54E5" w:rsidP="00B637B2">
                    <w:pPr>
                      <w:jc w:val="both"/>
                      <w:rPr>
                        <w:szCs w:val="21"/>
                      </w:rPr>
                    </w:pPr>
                    <w:r>
                      <w:t xml:space="preserve">　</w:t>
                    </w:r>
                  </w:p>
                </w:tc>
                <w:tc>
                  <w:tcPr>
                    <w:tcW w:w="1125" w:type="pct"/>
                    <w:tcBorders>
                      <w:top w:val="outset" w:sz="6" w:space="0" w:color="auto"/>
                      <w:left w:val="outset" w:sz="6" w:space="0" w:color="auto"/>
                      <w:bottom w:val="outset" w:sz="6" w:space="0" w:color="auto"/>
                      <w:right w:val="outset" w:sz="6" w:space="0" w:color="auto"/>
                    </w:tcBorders>
                  </w:tcPr>
                  <w:p w:rsidR="003F54E5" w:rsidRDefault="008F04CF" w:rsidP="003F54E5">
                    <w:pPr>
                      <w:jc w:val="right"/>
                      <w:rPr>
                        <w:szCs w:val="21"/>
                      </w:rPr>
                    </w:pPr>
                    <w:r>
                      <w:rPr>
                        <w:rFonts w:hint="eastAsia"/>
                        <w:szCs w:val="21"/>
                      </w:rPr>
                      <w:t>-</w:t>
                    </w:r>
                  </w:p>
                </w:tc>
                <w:tc>
                  <w:tcPr>
                    <w:tcW w:w="1147" w:type="pct"/>
                    <w:tcBorders>
                      <w:top w:val="outset" w:sz="6" w:space="0" w:color="auto"/>
                      <w:left w:val="outset" w:sz="6" w:space="0" w:color="auto"/>
                      <w:bottom w:val="outset" w:sz="6" w:space="0" w:color="auto"/>
                      <w:right w:val="outset" w:sz="6" w:space="0" w:color="auto"/>
                    </w:tcBorders>
                  </w:tcPr>
                  <w:p w:rsidR="003F54E5" w:rsidRDefault="008F04CF" w:rsidP="003F54E5">
                    <w:pPr>
                      <w:jc w:val="right"/>
                      <w:rPr>
                        <w:szCs w:val="21"/>
                      </w:rPr>
                    </w:pPr>
                    <w:r>
                      <w:rPr>
                        <w:rFonts w:hint="eastAsia"/>
                        <w:szCs w:val="21"/>
                      </w:rPr>
                      <w:t>-</w:t>
                    </w:r>
                  </w:p>
                </w:tc>
              </w:tr>
              <w:tr w:rsidR="00B637B2" w:rsidTr="00B637B2">
                <w:sdt>
                  <w:sdtPr>
                    <w:tag w:val="_PLD_63f7bc90fdbe4fe9b76159c57157c382"/>
                    <w:id w:val="-711030575"/>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3F54E5" w:rsidRDefault="003F54E5" w:rsidP="003F54E5">
                        <w:pPr>
                          <w:ind w:firstLineChars="100" w:firstLine="210"/>
                          <w:rPr>
                            <w:szCs w:val="21"/>
                          </w:rPr>
                        </w:pPr>
                        <w:r>
                          <w:rPr>
                            <w:rFonts w:hint="eastAsia"/>
                            <w:szCs w:val="21"/>
                          </w:rPr>
                          <w:t>应付账款</w:t>
                        </w:r>
                      </w:p>
                    </w:tc>
                  </w:sdtContent>
                </w:sdt>
                <w:tc>
                  <w:tcPr>
                    <w:tcW w:w="562" w:type="pct"/>
                    <w:tcBorders>
                      <w:top w:val="outset" w:sz="6" w:space="0" w:color="auto"/>
                      <w:left w:val="outset" w:sz="6" w:space="0" w:color="auto"/>
                      <w:bottom w:val="outset" w:sz="6" w:space="0" w:color="auto"/>
                      <w:right w:val="outset" w:sz="6" w:space="0" w:color="auto"/>
                    </w:tcBorders>
                    <w:vAlign w:val="center"/>
                  </w:tcPr>
                  <w:p w:rsidR="003F54E5" w:rsidRDefault="008F04CF" w:rsidP="00B637B2">
                    <w:pPr>
                      <w:jc w:val="both"/>
                      <w:rPr>
                        <w:szCs w:val="21"/>
                      </w:rPr>
                    </w:pPr>
                    <w:r>
                      <w:rPr>
                        <w:rFonts w:hint="eastAsia"/>
                      </w:rPr>
                      <w:t>七、</w:t>
                    </w:r>
                    <w:r>
                      <w:t>36</w:t>
                    </w:r>
                  </w:p>
                </w:tc>
                <w:tc>
                  <w:tcPr>
                    <w:tcW w:w="1125" w:type="pct"/>
                    <w:tcBorders>
                      <w:top w:val="outset" w:sz="6" w:space="0" w:color="auto"/>
                      <w:left w:val="outset" w:sz="6" w:space="0" w:color="auto"/>
                      <w:bottom w:val="outset" w:sz="6" w:space="0" w:color="auto"/>
                      <w:right w:val="outset" w:sz="6" w:space="0" w:color="auto"/>
                    </w:tcBorders>
                  </w:tcPr>
                  <w:p w:rsidR="003F54E5" w:rsidRDefault="008F04CF" w:rsidP="003F54E5">
                    <w:pPr>
                      <w:jc w:val="right"/>
                      <w:rPr>
                        <w:szCs w:val="21"/>
                      </w:rPr>
                    </w:pPr>
                    <w:r>
                      <w:t>460,055,944</w:t>
                    </w:r>
                  </w:p>
                </w:tc>
                <w:tc>
                  <w:tcPr>
                    <w:tcW w:w="1147" w:type="pct"/>
                    <w:tcBorders>
                      <w:top w:val="outset" w:sz="6" w:space="0" w:color="auto"/>
                      <w:left w:val="outset" w:sz="6" w:space="0" w:color="auto"/>
                      <w:bottom w:val="outset" w:sz="6" w:space="0" w:color="auto"/>
                      <w:right w:val="outset" w:sz="6" w:space="0" w:color="auto"/>
                    </w:tcBorders>
                  </w:tcPr>
                  <w:p w:rsidR="003F54E5" w:rsidRDefault="008F04CF" w:rsidP="003F54E5">
                    <w:pPr>
                      <w:jc w:val="right"/>
                      <w:rPr>
                        <w:szCs w:val="21"/>
                      </w:rPr>
                    </w:pPr>
                    <w:r>
                      <w:t>455,622,484</w:t>
                    </w:r>
                  </w:p>
                </w:tc>
              </w:tr>
              <w:tr w:rsidR="00B637B2" w:rsidTr="00B637B2">
                <w:sdt>
                  <w:sdtPr>
                    <w:tag w:val="_PLD_3652c9d68fee4d45b2cd80abc417bcfd"/>
                    <w:id w:val="514573243"/>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3F54E5" w:rsidRDefault="003F54E5" w:rsidP="003F54E5">
                        <w:pPr>
                          <w:ind w:firstLineChars="100" w:firstLine="210"/>
                          <w:rPr>
                            <w:szCs w:val="21"/>
                          </w:rPr>
                        </w:pPr>
                        <w:r>
                          <w:rPr>
                            <w:rFonts w:hint="eastAsia"/>
                            <w:szCs w:val="21"/>
                          </w:rPr>
                          <w:t>预收款项</w:t>
                        </w:r>
                      </w:p>
                    </w:tc>
                  </w:sdtContent>
                </w:sdt>
                <w:tc>
                  <w:tcPr>
                    <w:tcW w:w="562" w:type="pct"/>
                    <w:tcBorders>
                      <w:top w:val="outset" w:sz="6" w:space="0" w:color="auto"/>
                      <w:left w:val="outset" w:sz="6" w:space="0" w:color="auto"/>
                      <w:bottom w:val="outset" w:sz="6" w:space="0" w:color="auto"/>
                      <w:right w:val="outset" w:sz="6" w:space="0" w:color="auto"/>
                    </w:tcBorders>
                    <w:vAlign w:val="center"/>
                  </w:tcPr>
                  <w:p w:rsidR="003F54E5" w:rsidRDefault="008F04CF" w:rsidP="00B637B2">
                    <w:pPr>
                      <w:jc w:val="both"/>
                      <w:rPr>
                        <w:szCs w:val="21"/>
                      </w:rPr>
                    </w:pPr>
                    <w:r>
                      <w:rPr>
                        <w:rFonts w:hint="eastAsia"/>
                      </w:rPr>
                      <w:t>七、</w:t>
                    </w:r>
                    <w:r>
                      <w:t>37</w:t>
                    </w:r>
                  </w:p>
                </w:tc>
                <w:tc>
                  <w:tcPr>
                    <w:tcW w:w="1125" w:type="pct"/>
                    <w:tcBorders>
                      <w:top w:val="outset" w:sz="6" w:space="0" w:color="auto"/>
                      <w:left w:val="outset" w:sz="6" w:space="0" w:color="auto"/>
                      <w:bottom w:val="outset" w:sz="6" w:space="0" w:color="auto"/>
                      <w:right w:val="outset" w:sz="6" w:space="0" w:color="auto"/>
                    </w:tcBorders>
                  </w:tcPr>
                  <w:p w:rsidR="003F54E5" w:rsidRDefault="008F04CF" w:rsidP="003F54E5">
                    <w:pPr>
                      <w:jc w:val="right"/>
                      <w:rPr>
                        <w:szCs w:val="21"/>
                      </w:rPr>
                    </w:pPr>
                    <w:r w:rsidRPr="005D7A66">
                      <w:t>1,134,583,957</w:t>
                    </w:r>
                  </w:p>
                </w:tc>
                <w:tc>
                  <w:tcPr>
                    <w:tcW w:w="1147" w:type="pct"/>
                    <w:tcBorders>
                      <w:top w:val="outset" w:sz="6" w:space="0" w:color="auto"/>
                      <w:left w:val="outset" w:sz="6" w:space="0" w:color="auto"/>
                      <w:bottom w:val="outset" w:sz="6" w:space="0" w:color="auto"/>
                      <w:right w:val="outset" w:sz="6" w:space="0" w:color="auto"/>
                    </w:tcBorders>
                  </w:tcPr>
                  <w:p w:rsidR="003F54E5" w:rsidRDefault="008F04CF" w:rsidP="003F54E5">
                    <w:pPr>
                      <w:jc w:val="right"/>
                      <w:rPr>
                        <w:szCs w:val="21"/>
                      </w:rPr>
                    </w:pPr>
                    <w:r w:rsidRPr="005D7A66">
                      <w:t>1,079,683,098</w:t>
                    </w:r>
                  </w:p>
                </w:tc>
              </w:tr>
              <w:tr w:rsidR="00B637B2" w:rsidTr="00B637B2">
                <w:sdt>
                  <w:sdtPr>
                    <w:tag w:val="_PLD_be5eec398fb24e96b51c778e07be994c"/>
                    <w:id w:val="1287157963"/>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3F54E5" w:rsidRDefault="003F54E5" w:rsidP="003F54E5">
                        <w:pPr>
                          <w:ind w:firstLineChars="100" w:firstLine="210"/>
                          <w:rPr>
                            <w:szCs w:val="21"/>
                          </w:rPr>
                        </w:pPr>
                        <w:r>
                          <w:rPr>
                            <w:rFonts w:hint="eastAsia"/>
                            <w:szCs w:val="21"/>
                          </w:rPr>
                          <w:t>卖出回购金融资产款</w:t>
                        </w:r>
                      </w:p>
                    </w:tc>
                  </w:sdtContent>
                </w:sdt>
                <w:tc>
                  <w:tcPr>
                    <w:tcW w:w="562" w:type="pct"/>
                    <w:tcBorders>
                      <w:top w:val="outset" w:sz="6" w:space="0" w:color="auto"/>
                      <w:left w:val="outset" w:sz="6" w:space="0" w:color="auto"/>
                      <w:bottom w:val="outset" w:sz="6" w:space="0" w:color="auto"/>
                      <w:right w:val="outset" w:sz="6" w:space="0" w:color="auto"/>
                    </w:tcBorders>
                    <w:vAlign w:val="center"/>
                  </w:tcPr>
                  <w:p w:rsidR="003F54E5" w:rsidRDefault="003F54E5" w:rsidP="00B637B2">
                    <w:pPr>
                      <w:jc w:val="both"/>
                      <w:rPr>
                        <w:szCs w:val="21"/>
                      </w:rPr>
                    </w:pPr>
                    <w:r>
                      <w:t xml:space="preserve">　</w:t>
                    </w:r>
                  </w:p>
                </w:tc>
                <w:tc>
                  <w:tcPr>
                    <w:tcW w:w="1125"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w:t>
                    </w:r>
                  </w:p>
                </w:tc>
                <w:tc>
                  <w:tcPr>
                    <w:tcW w:w="1147"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w:t>
                    </w:r>
                  </w:p>
                </w:tc>
              </w:tr>
              <w:tr w:rsidR="00B637B2" w:rsidTr="00B637B2">
                <w:sdt>
                  <w:sdtPr>
                    <w:tag w:val="_PLD_c96881e9f0ab40769bcc86283e6097ff"/>
                    <w:id w:val="1652568817"/>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3F54E5" w:rsidRDefault="003F54E5" w:rsidP="003F54E5">
                        <w:pPr>
                          <w:ind w:firstLineChars="100" w:firstLine="210"/>
                          <w:rPr>
                            <w:szCs w:val="21"/>
                          </w:rPr>
                        </w:pPr>
                        <w:r>
                          <w:rPr>
                            <w:rFonts w:hint="eastAsia"/>
                            <w:szCs w:val="21"/>
                          </w:rPr>
                          <w:t>吸收存款及同业存放</w:t>
                        </w:r>
                      </w:p>
                    </w:tc>
                  </w:sdtContent>
                </w:sdt>
                <w:tc>
                  <w:tcPr>
                    <w:tcW w:w="562" w:type="pct"/>
                    <w:tcBorders>
                      <w:top w:val="outset" w:sz="6" w:space="0" w:color="auto"/>
                      <w:left w:val="outset" w:sz="6" w:space="0" w:color="auto"/>
                      <w:bottom w:val="outset" w:sz="6" w:space="0" w:color="auto"/>
                      <w:right w:val="outset" w:sz="6" w:space="0" w:color="auto"/>
                    </w:tcBorders>
                    <w:vAlign w:val="center"/>
                  </w:tcPr>
                  <w:p w:rsidR="003F54E5" w:rsidRDefault="003F54E5" w:rsidP="00B637B2">
                    <w:pPr>
                      <w:jc w:val="both"/>
                      <w:rPr>
                        <w:szCs w:val="21"/>
                      </w:rPr>
                    </w:pPr>
                    <w:r>
                      <w:t xml:space="preserve">　</w:t>
                    </w:r>
                  </w:p>
                </w:tc>
                <w:tc>
                  <w:tcPr>
                    <w:tcW w:w="1125"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w:t>
                    </w:r>
                  </w:p>
                </w:tc>
                <w:tc>
                  <w:tcPr>
                    <w:tcW w:w="1147"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w:t>
                    </w:r>
                  </w:p>
                </w:tc>
              </w:tr>
              <w:tr w:rsidR="00B637B2" w:rsidTr="00B637B2">
                <w:sdt>
                  <w:sdtPr>
                    <w:tag w:val="_PLD_f52e1d03b4c642029c957ce402548b4d"/>
                    <w:id w:val="-1905213610"/>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3F54E5" w:rsidRDefault="003F54E5" w:rsidP="003F54E5">
                        <w:pPr>
                          <w:ind w:firstLineChars="100" w:firstLine="210"/>
                          <w:rPr>
                            <w:szCs w:val="21"/>
                          </w:rPr>
                        </w:pPr>
                        <w:r>
                          <w:rPr>
                            <w:rFonts w:hint="eastAsia"/>
                            <w:szCs w:val="21"/>
                          </w:rPr>
                          <w:t>代理买卖证券款</w:t>
                        </w:r>
                      </w:p>
                    </w:tc>
                  </w:sdtContent>
                </w:sdt>
                <w:tc>
                  <w:tcPr>
                    <w:tcW w:w="562" w:type="pct"/>
                    <w:tcBorders>
                      <w:top w:val="outset" w:sz="6" w:space="0" w:color="auto"/>
                      <w:left w:val="outset" w:sz="6" w:space="0" w:color="auto"/>
                      <w:bottom w:val="outset" w:sz="6" w:space="0" w:color="auto"/>
                      <w:right w:val="outset" w:sz="6" w:space="0" w:color="auto"/>
                    </w:tcBorders>
                    <w:vAlign w:val="center"/>
                  </w:tcPr>
                  <w:p w:rsidR="003F54E5" w:rsidRDefault="003F54E5" w:rsidP="00B637B2">
                    <w:pPr>
                      <w:jc w:val="both"/>
                      <w:rPr>
                        <w:szCs w:val="21"/>
                      </w:rPr>
                    </w:pPr>
                    <w:r>
                      <w:t xml:space="preserve">　</w:t>
                    </w:r>
                  </w:p>
                </w:tc>
                <w:tc>
                  <w:tcPr>
                    <w:tcW w:w="1125"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w:t>
                    </w:r>
                  </w:p>
                </w:tc>
                <w:tc>
                  <w:tcPr>
                    <w:tcW w:w="1147"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w:t>
                    </w:r>
                  </w:p>
                </w:tc>
              </w:tr>
              <w:tr w:rsidR="00B637B2" w:rsidTr="00B637B2">
                <w:sdt>
                  <w:sdtPr>
                    <w:tag w:val="_PLD_eac3eaf64a174f42beaddc0b3be0ef73"/>
                    <w:id w:val="-1430421903"/>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3F54E5" w:rsidRDefault="003F54E5" w:rsidP="003F54E5">
                        <w:pPr>
                          <w:ind w:firstLineChars="100" w:firstLine="210"/>
                          <w:rPr>
                            <w:szCs w:val="21"/>
                          </w:rPr>
                        </w:pPr>
                        <w:r>
                          <w:rPr>
                            <w:rFonts w:hint="eastAsia"/>
                            <w:szCs w:val="21"/>
                          </w:rPr>
                          <w:t>代理承销证券款</w:t>
                        </w:r>
                      </w:p>
                    </w:tc>
                  </w:sdtContent>
                </w:sdt>
                <w:tc>
                  <w:tcPr>
                    <w:tcW w:w="562" w:type="pct"/>
                    <w:tcBorders>
                      <w:top w:val="outset" w:sz="6" w:space="0" w:color="auto"/>
                      <w:left w:val="outset" w:sz="6" w:space="0" w:color="auto"/>
                      <w:bottom w:val="outset" w:sz="6" w:space="0" w:color="auto"/>
                      <w:right w:val="outset" w:sz="6" w:space="0" w:color="auto"/>
                    </w:tcBorders>
                    <w:vAlign w:val="center"/>
                  </w:tcPr>
                  <w:p w:rsidR="003F54E5" w:rsidRDefault="003F54E5" w:rsidP="00B637B2">
                    <w:pPr>
                      <w:jc w:val="both"/>
                      <w:rPr>
                        <w:szCs w:val="21"/>
                      </w:rPr>
                    </w:pPr>
                    <w:r>
                      <w:t xml:space="preserve">　</w:t>
                    </w:r>
                  </w:p>
                </w:tc>
                <w:tc>
                  <w:tcPr>
                    <w:tcW w:w="1125" w:type="pct"/>
                    <w:tcBorders>
                      <w:top w:val="outset" w:sz="6" w:space="0" w:color="auto"/>
                      <w:left w:val="outset" w:sz="6" w:space="0" w:color="auto"/>
                      <w:bottom w:val="outset" w:sz="6" w:space="0" w:color="auto"/>
                      <w:right w:val="outset" w:sz="6" w:space="0" w:color="auto"/>
                    </w:tcBorders>
                  </w:tcPr>
                  <w:p w:rsidR="003F54E5" w:rsidRDefault="008F04CF" w:rsidP="003F54E5">
                    <w:pPr>
                      <w:jc w:val="right"/>
                      <w:rPr>
                        <w:szCs w:val="21"/>
                      </w:rPr>
                    </w:pPr>
                    <w:r>
                      <w:rPr>
                        <w:rFonts w:hint="eastAsia"/>
                        <w:szCs w:val="21"/>
                      </w:rPr>
                      <w:t>-</w:t>
                    </w:r>
                  </w:p>
                </w:tc>
                <w:tc>
                  <w:tcPr>
                    <w:tcW w:w="1147" w:type="pct"/>
                    <w:tcBorders>
                      <w:top w:val="outset" w:sz="6" w:space="0" w:color="auto"/>
                      <w:left w:val="outset" w:sz="6" w:space="0" w:color="auto"/>
                      <w:bottom w:val="outset" w:sz="6" w:space="0" w:color="auto"/>
                      <w:right w:val="outset" w:sz="6" w:space="0" w:color="auto"/>
                    </w:tcBorders>
                  </w:tcPr>
                  <w:p w:rsidR="003F54E5" w:rsidRDefault="008F04CF" w:rsidP="003F54E5">
                    <w:pPr>
                      <w:jc w:val="right"/>
                      <w:rPr>
                        <w:szCs w:val="21"/>
                      </w:rPr>
                    </w:pPr>
                    <w:r>
                      <w:rPr>
                        <w:rFonts w:hint="eastAsia"/>
                        <w:szCs w:val="21"/>
                      </w:rPr>
                      <w:t>-</w:t>
                    </w:r>
                  </w:p>
                </w:tc>
              </w:tr>
              <w:tr w:rsidR="00B637B2" w:rsidTr="00B637B2">
                <w:sdt>
                  <w:sdtPr>
                    <w:tag w:val="_PLD_b46164c72e3e41ec9fc7c62554dc88df"/>
                    <w:id w:val="-495414791"/>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3F54E5" w:rsidRDefault="003F54E5" w:rsidP="003F54E5">
                        <w:pPr>
                          <w:ind w:firstLineChars="100" w:firstLine="210"/>
                          <w:rPr>
                            <w:szCs w:val="21"/>
                          </w:rPr>
                        </w:pPr>
                        <w:r>
                          <w:rPr>
                            <w:rFonts w:hint="eastAsia"/>
                            <w:szCs w:val="21"/>
                          </w:rPr>
                          <w:t>应付职工薪酬</w:t>
                        </w:r>
                      </w:p>
                    </w:tc>
                  </w:sdtContent>
                </w:sdt>
                <w:tc>
                  <w:tcPr>
                    <w:tcW w:w="562" w:type="pct"/>
                    <w:tcBorders>
                      <w:top w:val="outset" w:sz="6" w:space="0" w:color="auto"/>
                      <w:left w:val="outset" w:sz="6" w:space="0" w:color="auto"/>
                      <w:bottom w:val="outset" w:sz="6" w:space="0" w:color="auto"/>
                      <w:right w:val="outset" w:sz="6" w:space="0" w:color="auto"/>
                    </w:tcBorders>
                    <w:vAlign w:val="center"/>
                  </w:tcPr>
                  <w:p w:rsidR="003F54E5" w:rsidRDefault="008F04CF" w:rsidP="00B637B2">
                    <w:pPr>
                      <w:jc w:val="both"/>
                      <w:rPr>
                        <w:szCs w:val="21"/>
                      </w:rPr>
                    </w:pPr>
                    <w:r>
                      <w:rPr>
                        <w:rFonts w:hint="eastAsia"/>
                      </w:rPr>
                      <w:t>七、</w:t>
                    </w:r>
                    <w:r>
                      <w:t>38</w:t>
                    </w:r>
                  </w:p>
                </w:tc>
                <w:tc>
                  <w:tcPr>
                    <w:tcW w:w="1125" w:type="pct"/>
                    <w:tcBorders>
                      <w:top w:val="outset" w:sz="6" w:space="0" w:color="auto"/>
                      <w:left w:val="outset" w:sz="6" w:space="0" w:color="auto"/>
                      <w:bottom w:val="outset" w:sz="6" w:space="0" w:color="auto"/>
                      <w:right w:val="outset" w:sz="6" w:space="0" w:color="auto"/>
                    </w:tcBorders>
                  </w:tcPr>
                  <w:p w:rsidR="003F54E5" w:rsidRDefault="008F04CF" w:rsidP="003F54E5">
                    <w:pPr>
                      <w:jc w:val="right"/>
                      <w:rPr>
                        <w:szCs w:val="21"/>
                      </w:rPr>
                    </w:pPr>
                    <w:r w:rsidRPr="005D7A66">
                      <w:t>496,600,570</w:t>
                    </w:r>
                  </w:p>
                </w:tc>
                <w:tc>
                  <w:tcPr>
                    <w:tcW w:w="1147" w:type="pct"/>
                    <w:tcBorders>
                      <w:top w:val="outset" w:sz="6" w:space="0" w:color="auto"/>
                      <w:left w:val="outset" w:sz="6" w:space="0" w:color="auto"/>
                      <w:bottom w:val="outset" w:sz="6" w:space="0" w:color="auto"/>
                      <w:right w:val="outset" w:sz="6" w:space="0" w:color="auto"/>
                    </w:tcBorders>
                  </w:tcPr>
                  <w:p w:rsidR="003F54E5" w:rsidRDefault="008F04CF" w:rsidP="003F54E5">
                    <w:pPr>
                      <w:jc w:val="right"/>
                      <w:rPr>
                        <w:szCs w:val="21"/>
                      </w:rPr>
                    </w:pPr>
                    <w:r w:rsidRPr="005D7A66">
                      <w:t>1,160,402,569</w:t>
                    </w:r>
                  </w:p>
                </w:tc>
              </w:tr>
              <w:tr w:rsidR="00B637B2" w:rsidTr="00B637B2">
                <w:sdt>
                  <w:sdtPr>
                    <w:tag w:val="_PLD_da4e94adb66d4e528e4e8867ce4f2302"/>
                    <w:id w:val="1617483061"/>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3F54E5" w:rsidRDefault="003F54E5" w:rsidP="003F54E5">
                        <w:pPr>
                          <w:ind w:firstLineChars="100" w:firstLine="210"/>
                          <w:rPr>
                            <w:szCs w:val="21"/>
                          </w:rPr>
                        </w:pPr>
                        <w:r>
                          <w:rPr>
                            <w:rFonts w:hint="eastAsia"/>
                            <w:szCs w:val="21"/>
                          </w:rPr>
                          <w:t>应交税费</w:t>
                        </w:r>
                      </w:p>
                    </w:tc>
                  </w:sdtContent>
                </w:sdt>
                <w:tc>
                  <w:tcPr>
                    <w:tcW w:w="562" w:type="pct"/>
                    <w:tcBorders>
                      <w:top w:val="outset" w:sz="6" w:space="0" w:color="auto"/>
                      <w:left w:val="outset" w:sz="6" w:space="0" w:color="auto"/>
                      <w:bottom w:val="outset" w:sz="6" w:space="0" w:color="auto"/>
                      <w:right w:val="outset" w:sz="6" w:space="0" w:color="auto"/>
                    </w:tcBorders>
                    <w:vAlign w:val="center"/>
                  </w:tcPr>
                  <w:p w:rsidR="003F54E5" w:rsidRDefault="008F04CF" w:rsidP="00B637B2">
                    <w:pPr>
                      <w:jc w:val="both"/>
                      <w:rPr>
                        <w:szCs w:val="21"/>
                      </w:rPr>
                    </w:pPr>
                    <w:r>
                      <w:rPr>
                        <w:rFonts w:hint="eastAsia"/>
                      </w:rPr>
                      <w:t>七、</w:t>
                    </w:r>
                    <w:r>
                      <w:t>39</w:t>
                    </w:r>
                  </w:p>
                </w:tc>
                <w:tc>
                  <w:tcPr>
                    <w:tcW w:w="1125" w:type="pct"/>
                    <w:tcBorders>
                      <w:top w:val="outset" w:sz="6" w:space="0" w:color="auto"/>
                      <w:left w:val="outset" w:sz="6" w:space="0" w:color="auto"/>
                      <w:bottom w:val="outset" w:sz="6" w:space="0" w:color="auto"/>
                      <w:right w:val="outset" w:sz="6" w:space="0" w:color="auto"/>
                    </w:tcBorders>
                  </w:tcPr>
                  <w:p w:rsidR="003F54E5" w:rsidRDefault="008F04CF" w:rsidP="003F54E5">
                    <w:pPr>
                      <w:jc w:val="right"/>
                      <w:rPr>
                        <w:szCs w:val="21"/>
                      </w:rPr>
                    </w:pPr>
                    <w:r w:rsidRPr="005D7A66">
                      <w:t>180,842,107</w:t>
                    </w:r>
                  </w:p>
                </w:tc>
                <w:tc>
                  <w:tcPr>
                    <w:tcW w:w="1147" w:type="pct"/>
                    <w:tcBorders>
                      <w:top w:val="outset" w:sz="6" w:space="0" w:color="auto"/>
                      <w:left w:val="outset" w:sz="6" w:space="0" w:color="auto"/>
                      <w:bottom w:val="outset" w:sz="6" w:space="0" w:color="auto"/>
                      <w:right w:val="outset" w:sz="6" w:space="0" w:color="auto"/>
                    </w:tcBorders>
                  </w:tcPr>
                  <w:p w:rsidR="003F54E5" w:rsidRDefault="008F04CF" w:rsidP="003F54E5">
                    <w:pPr>
                      <w:jc w:val="right"/>
                      <w:rPr>
                        <w:szCs w:val="21"/>
                      </w:rPr>
                    </w:pPr>
                    <w:r w:rsidRPr="00E77425">
                      <w:t>315,521,063</w:t>
                    </w:r>
                  </w:p>
                </w:tc>
              </w:tr>
              <w:tr w:rsidR="00B637B2" w:rsidTr="00B637B2">
                <w:sdt>
                  <w:sdtPr>
                    <w:tag w:val="_PLD_f1bb75ef275f4cabafc790de2f817512"/>
                    <w:id w:val="-1225906220"/>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3F54E5" w:rsidRDefault="003F54E5" w:rsidP="003F54E5">
                        <w:pPr>
                          <w:ind w:firstLineChars="100" w:firstLine="210"/>
                          <w:rPr>
                            <w:szCs w:val="21"/>
                          </w:rPr>
                        </w:pPr>
                        <w:r>
                          <w:rPr>
                            <w:rFonts w:hint="eastAsia"/>
                            <w:szCs w:val="21"/>
                          </w:rPr>
                          <w:t>其他应付款</w:t>
                        </w:r>
                      </w:p>
                    </w:tc>
                  </w:sdtContent>
                </w:sdt>
                <w:tc>
                  <w:tcPr>
                    <w:tcW w:w="562" w:type="pct"/>
                    <w:tcBorders>
                      <w:top w:val="outset" w:sz="6" w:space="0" w:color="auto"/>
                      <w:left w:val="outset" w:sz="6" w:space="0" w:color="auto"/>
                      <w:bottom w:val="outset" w:sz="6" w:space="0" w:color="auto"/>
                      <w:right w:val="outset" w:sz="6" w:space="0" w:color="auto"/>
                    </w:tcBorders>
                    <w:vAlign w:val="center"/>
                  </w:tcPr>
                  <w:p w:rsidR="003F54E5" w:rsidRDefault="008F04CF" w:rsidP="00B637B2">
                    <w:pPr>
                      <w:jc w:val="both"/>
                      <w:rPr>
                        <w:szCs w:val="21"/>
                      </w:rPr>
                    </w:pPr>
                    <w:r>
                      <w:rPr>
                        <w:rFonts w:hint="eastAsia"/>
                      </w:rPr>
                      <w:t>七、</w:t>
                    </w:r>
                    <w:r>
                      <w:t>40</w:t>
                    </w:r>
                  </w:p>
                </w:tc>
                <w:tc>
                  <w:tcPr>
                    <w:tcW w:w="1125" w:type="pct"/>
                    <w:tcBorders>
                      <w:top w:val="outset" w:sz="6" w:space="0" w:color="auto"/>
                      <w:left w:val="outset" w:sz="6" w:space="0" w:color="auto"/>
                      <w:bottom w:val="outset" w:sz="6" w:space="0" w:color="auto"/>
                      <w:right w:val="outset" w:sz="6" w:space="0" w:color="auto"/>
                    </w:tcBorders>
                  </w:tcPr>
                  <w:p w:rsidR="003F54E5" w:rsidRDefault="008F04CF" w:rsidP="003F54E5">
                    <w:pPr>
                      <w:jc w:val="right"/>
                      <w:rPr>
                        <w:szCs w:val="21"/>
                      </w:rPr>
                    </w:pPr>
                    <w:r w:rsidRPr="005D7A66">
                      <w:t>741,545,831</w:t>
                    </w:r>
                  </w:p>
                </w:tc>
                <w:tc>
                  <w:tcPr>
                    <w:tcW w:w="1147" w:type="pct"/>
                    <w:tcBorders>
                      <w:top w:val="outset" w:sz="6" w:space="0" w:color="auto"/>
                      <w:left w:val="outset" w:sz="6" w:space="0" w:color="auto"/>
                      <w:bottom w:val="outset" w:sz="6" w:space="0" w:color="auto"/>
                      <w:right w:val="outset" w:sz="6" w:space="0" w:color="auto"/>
                    </w:tcBorders>
                  </w:tcPr>
                  <w:p w:rsidR="003F54E5" w:rsidRDefault="008F04CF" w:rsidP="003F54E5">
                    <w:pPr>
                      <w:jc w:val="right"/>
                      <w:rPr>
                        <w:szCs w:val="21"/>
                      </w:rPr>
                    </w:pPr>
                    <w:r w:rsidRPr="00E77425">
                      <w:t>840,741,172</w:t>
                    </w:r>
                  </w:p>
                </w:tc>
              </w:tr>
              <w:tr w:rsidR="00B637B2" w:rsidTr="00B637B2">
                <w:sdt>
                  <w:sdtPr>
                    <w:tag w:val="_PLD_c2d9be160e384569b83c6b4fa8a1aa71"/>
                    <w:id w:val="1171686488"/>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3F54E5" w:rsidRDefault="003F54E5" w:rsidP="003F54E5">
                        <w:pPr>
                          <w:ind w:firstLineChars="100" w:firstLine="210"/>
                          <w:rPr>
                            <w:szCs w:val="21"/>
                          </w:rPr>
                        </w:pPr>
                        <w:r>
                          <w:rPr>
                            <w:rFonts w:hint="eastAsia"/>
                          </w:rPr>
                          <w:t>其中：</w:t>
                        </w:r>
                        <w:r>
                          <w:rPr>
                            <w:rFonts w:hint="eastAsia"/>
                            <w:szCs w:val="21"/>
                          </w:rPr>
                          <w:t>应付利息</w:t>
                        </w:r>
                      </w:p>
                    </w:tc>
                  </w:sdtContent>
                </w:sdt>
                <w:tc>
                  <w:tcPr>
                    <w:tcW w:w="562" w:type="pct"/>
                    <w:tcBorders>
                      <w:top w:val="outset" w:sz="6" w:space="0" w:color="auto"/>
                      <w:left w:val="outset" w:sz="6" w:space="0" w:color="auto"/>
                      <w:bottom w:val="outset" w:sz="6" w:space="0" w:color="auto"/>
                      <w:right w:val="outset" w:sz="6" w:space="0" w:color="auto"/>
                    </w:tcBorders>
                    <w:vAlign w:val="center"/>
                  </w:tcPr>
                  <w:p w:rsidR="003F54E5" w:rsidRDefault="003F54E5" w:rsidP="00B637B2">
                    <w:pPr>
                      <w:jc w:val="both"/>
                      <w:rPr>
                        <w:szCs w:val="21"/>
                      </w:rPr>
                    </w:pPr>
                    <w:r>
                      <w:t xml:space="preserve">　</w:t>
                    </w:r>
                  </w:p>
                </w:tc>
                <w:tc>
                  <w:tcPr>
                    <w:tcW w:w="1125" w:type="pct"/>
                    <w:tcBorders>
                      <w:top w:val="outset" w:sz="6" w:space="0" w:color="auto"/>
                      <w:left w:val="outset" w:sz="6" w:space="0" w:color="auto"/>
                      <w:bottom w:val="outset" w:sz="6" w:space="0" w:color="auto"/>
                      <w:right w:val="outset" w:sz="6" w:space="0" w:color="auto"/>
                    </w:tcBorders>
                  </w:tcPr>
                  <w:p w:rsidR="003F54E5" w:rsidRDefault="008F04CF" w:rsidP="003F54E5">
                    <w:pPr>
                      <w:jc w:val="right"/>
                      <w:rPr>
                        <w:szCs w:val="21"/>
                      </w:rPr>
                    </w:pPr>
                    <w:r>
                      <w:rPr>
                        <w:rFonts w:hint="eastAsia"/>
                        <w:szCs w:val="21"/>
                      </w:rPr>
                      <w:t>-</w:t>
                    </w:r>
                  </w:p>
                </w:tc>
                <w:tc>
                  <w:tcPr>
                    <w:tcW w:w="1147"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w:t>
                    </w:r>
                  </w:p>
                </w:tc>
              </w:tr>
              <w:tr w:rsidR="00B637B2" w:rsidTr="00B637B2">
                <w:sdt>
                  <w:sdtPr>
                    <w:tag w:val="_PLD_d687f45d03d4450780c80600a9c2e9d5"/>
                    <w:id w:val="-2020157406"/>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3F54E5" w:rsidRDefault="003F54E5" w:rsidP="003F54E5">
                        <w:pPr>
                          <w:ind w:firstLineChars="400" w:firstLine="840"/>
                          <w:rPr>
                            <w:szCs w:val="21"/>
                          </w:rPr>
                        </w:pPr>
                        <w:r>
                          <w:rPr>
                            <w:rFonts w:hint="eastAsia"/>
                            <w:szCs w:val="21"/>
                          </w:rPr>
                          <w:t>应付股利</w:t>
                        </w:r>
                      </w:p>
                    </w:tc>
                  </w:sdtContent>
                </w:sdt>
                <w:tc>
                  <w:tcPr>
                    <w:tcW w:w="562" w:type="pct"/>
                    <w:tcBorders>
                      <w:top w:val="outset" w:sz="6" w:space="0" w:color="auto"/>
                      <w:left w:val="outset" w:sz="6" w:space="0" w:color="auto"/>
                      <w:bottom w:val="outset" w:sz="6" w:space="0" w:color="auto"/>
                      <w:right w:val="outset" w:sz="6" w:space="0" w:color="auto"/>
                    </w:tcBorders>
                    <w:vAlign w:val="center"/>
                  </w:tcPr>
                  <w:p w:rsidR="003F54E5" w:rsidRDefault="008F04CF" w:rsidP="00B637B2">
                    <w:pPr>
                      <w:jc w:val="both"/>
                      <w:rPr>
                        <w:szCs w:val="21"/>
                      </w:rPr>
                    </w:pPr>
                    <w:r>
                      <w:rPr>
                        <w:rFonts w:hint="eastAsia"/>
                      </w:rPr>
                      <w:t>七、</w:t>
                    </w:r>
                    <w:r>
                      <w:t>40</w:t>
                    </w:r>
                  </w:p>
                </w:tc>
                <w:tc>
                  <w:tcPr>
                    <w:tcW w:w="1125" w:type="pct"/>
                    <w:tcBorders>
                      <w:top w:val="outset" w:sz="6" w:space="0" w:color="auto"/>
                      <w:left w:val="outset" w:sz="6" w:space="0" w:color="auto"/>
                      <w:bottom w:val="outset" w:sz="6" w:space="0" w:color="auto"/>
                      <w:right w:val="outset" w:sz="6" w:space="0" w:color="auto"/>
                    </w:tcBorders>
                  </w:tcPr>
                  <w:p w:rsidR="003F54E5" w:rsidRDefault="008F04CF" w:rsidP="003F54E5">
                    <w:pPr>
                      <w:jc w:val="right"/>
                      <w:rPr>
                        <w:szCs w:val="21"/>
                      </w:rPr>
                    </w:pPr>
                    <w:r w:rsidRPr="00E77425">
                      <w:t>32,625,183</w:t>
                    </w:r>
                  </w:p>
                </w:tc>
                <w:tc>
                  <w:tcPr>
                    <w:tcW w:w="1147"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w:t>
                    </w:r>
                  </w:p>
                </w:tc>
              </w:tr>
              <w:tr w:rsidR="00B637B2" w:rsidTr="00B637B2">
                <w:sdt>
                  <w:sdtPr>
                    <w:tag w:val="_PLD_92ed0ec1441a49ed9ae726f88f149d23"/>
                    <w:id w:val="-229150261"/>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3F54E5" w:rsidRDefault="003F54E5" w:rsidP="003F54E5">
                        <w:pPr>
                          <w:ind w:firstLineChars="100" w:firstLine="210"/>
                          <w:rPr>
                            <w:szCs w:val="21"/>
                          </w:rPr>
                        </w:pPr>
                        <w:r>
                          <w:rPr>
                            <w:rFonts w:hint="eastAsia"/>
                            <w:szCs w:val="21"/>
                          </w:rPr>
                          <w:t>应付手续费及佣金</w:t>
                        </w:r>
                      </w:p>
                    </w:tc>
                  </w:sdtContent>
                </w:sdt>
                <w:tc>
                  <w:tcPr>
                    <w:tcW w:w="562" w:type="pct"/>
                    <w:tcBorders>
                      <w:top w:val="outset" w:sz="6" w:space="0" w:color="auto"/>
                      <w:left w:val="outset" w:sz="6" w:space="0" w:color="auto"/>
                      <w:bottom w:val="outset" w:sz="6" w:space="0" w:color="auto"/>
                      <w:right w:val="outset" w:sz="6" w:space="0" w:color="auto"/>
                    </w:tcBorders>
                    <w:vAlign w:val="center"/>
                  </w:tcPr>
                  <w:p w:rsidR="003F54E5" w:rsidRDefault="003F54E5" w:rsidP="00B637B2">
                    <w:pPr>
                      <w:jc w:val="both"/>
                      <w:rPr>
                        <w:szCs w:val="21"/>
                      </w:rPr>
                    </w:pPr>
                    <w:r>
                      <w:t xml:space="preserve">　</w:t>
                    </w:r>
                  </w:p>
                </w:tc>
                <w:tc>
                  <w:tcPr>
                    <w:tcW w:w="1125"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w:t>
                    </w:r>
                  </w:p>
                </w:tc>
                <w:tc>
                  <w:tcPr>
                    <w:tcW w:w="1147"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w:t>
                    </w:r>
                  </w:p>
                </w:tc>
              </w:tr>
              <w:tr w:rsidR="00B637B2" w:rsidTr="00B637B2">
                <w:sdt>
                  <w:sdtPr>
                    <w:tag w:val="_PLD_3cd74a6b00ca416da58e99206b2a6150"/>
                    <w:id w:val="-444008348"/>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3F54E5" w:rsidRDefault="003F54E5" w:rsidP="003F54E5">
                        <w:pPr>
                          <w:ind w:firstLineChars="100" w:firstLine="210"/>
                          <w:rPr>
                            <w:szCs w:val="21"/>
                          </w:rPr>
                        </w:pPr>
                        <w:r>
                          <w:rPr>
                            <w:rFonts w:hint="eastAsia"/>
                            <w:szCs w:val="21"/>
                          </w:rPr>
                          <w:t>应付分保账款</w:t>
                        </w:r>
                      </w:p>
                    </w:tc>
                  </w:sdtContent>
                </w:sdt>
                <w:tc>
                  <w:tcPr>
                    <w:tcW w:w="562" w:type="pct"/>
                    <w:tcBorders>
                      <w:top w:val="outset" w:sz="6" w:space="0" w:color="auto"/>
                      <w:left w:val="outset" w:sz="6" w:space="0" w:color="auto"/>
                      <w:bottom w:val="outset" w:sz="6" w:space="0" w:color="auto"/>
                      <w:right w:val="outset" w:sz="6" w:space="0" w:color="auto"/>
                    </w:tcBorders>
                    <w:vAlign w:val="center"/>
                  </w:tcPr>
                  <w:p w:rsidR="003F54E5" w:rsidRDefault="003F54E5" w:rsidP="00B637B2">
                    <w:pPr>
                      <w:jc w:val="both"/>
                      <w:rPr>
                        <w:szCs w:val="21"/>
                      </w:rPr>
                    </w:pPr>
                    <w:r>
                      <w:t xml:space="preserve">　</w:t>
                    </w:r>
                  </w:p>
                </w:tc>
                <w:tc>
                  <w:tcPr>
                    <w:tcW w:w="1125"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w:t>
                    </w:r>
                  </w:p>
                </w:tc>
                <w:tc>
                  <w:tcPr>
                    <w:tcW w:w="1147"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w:t>
                    </w:r>
                  </w:p>
                </w:tc>
              </w:tr>
              <w:tr w:rsidR="00B637B2" w:rsidTr="00B637B2">
                <w:tc>
                  <w:tcPr>
                    <w:tcW w:w="2166"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c16bfcfaac284e66b961859169968520"/>
                      <w:id w:val="-1847390628"/>
                      <w:lock w:val="sdtLocked"/>
                    </w:sdtPr>
                    <w:sdtContent>
                      <w:p w:rsidR="003F54E5" w:rsidRDefault="003F54E5" w:rsidP="003F54E5">
                        <w:pPr>
                          <w:ind w:firstLineChars="100" w:firstLine="210"/>
                        </w:pPr>
                        <w:r>
                          <w:rPr>
                            <w:rFonts w:hint="eastAsia"/>
                          </w:rPr>
                          <w:t>合同负债</w:t>
                        </w:r>
                      </w:p>
                    </w:sdtContent>
                  </w:sdt>
                </w:tc>
                <w:tc>
                  <w:tcPr>
                    <w:tcW w:w="562" w:type="pct"/>
                    <w:tcBorders>
                      <w:top w:val="outset" w:sz="6" w:space="0" w:color="auto"/>
                      <w:left w:val="outset" w:sz="6" w:space="0" w:color="auto"/>
                      <w:bottom w:val="outset" w:sz="6" w:space="0" w:color="auto"/>
                      <w:right w:val="outset" w:sz="6" w:space="0" w:color="auto"/>
                    </w:tcBorders>
                    <w:vAlign w:val="center"/>
                  </w:tcPr>
                  <w:p w:rsidR="003F54E5" w:rsidRDefault="003F54E5" w:rsidP="00B637B2">
                    <w:pPr>
                      <w:jc w:val="both"/>
                      <w:rPr>
                        <w:szCs w:val="21"/>
                      </w:rPr>
                    </w:pPr>
                    <w:r>
                      <w:t xml:space="preserve">　</w:t>
                    </w:r>
                  </w:p>
                </w:tc>
                <w:tc>
                  <w:tcPr>
                    <w:tcW w:w="1125"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w:t>
                    </w:r>
                  </w:p>
                </w:tc>
                <w:tc>
                  <w:tcPr>
                    <w:tcW w:w="1147"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w:t>
                    </w:r>
                  </w:p>
                </w:tc>
              </w:tr>
              <w:tr w:rsidR="00B637B2" w:rsidTr="00B637B2">
                <w:sdt>
                  <w:sdtPr>
                    <w:tag w:val="_PLD_e2e76edca1004352bfa9fe9ea4f74480"/>
                    <w:id w:val="907267991"/>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3F54E5" w:rsidRDefault="003F54E5" w:rsidP="003F54E5">
                        <w:pPr>
                          <w:ind w:firstLineChars="100" w:firstLine="210"/>
                          <w:rPr>
                            <w:szCs w:val="21"/>
                          </w:rPr>
                        </w:pPr>
                        <w:r>
                          <w:rPr>
                            <w:rFonts w:hint="eastAsia"/>
                            <w:szCs w:val="21"/>
                          </w:rPr>
                          <w:t>持有待售负债</w:t>
                        </w:r>
                      </w:p>
                    </w:tc>
                  </w:sdtContent>
                </w:sdt>
                <w:tc>
                  <w:tcPr>
                    <w:tcW w:w="562" w:type="pct"/>
                    <w:tcBorders>
                      <w:top w:val="outset" w:sz="6" w:space="0" w:color="auto"/>
                      <w:left w:val="outset" w:sz="6" w:space="0" w:color="auto"/>
                      <w:bottom w:val="outset" w:sz="6" w:space="0" w:color="auto"/>
                      <w:right w:val="outset" w:sz="6" w:space="0" w:color="auto"/>
                    </w:tcBorders>
                    <w:vAlign w:val="center"/>
                  </w:tcPr>
                  <w:p w:rsidR="003F54E5" w:rsidRDefault="003F54E5" w:rsidP="00B637B2">
                    <w:pPr>
                      <w:jc w:val="both"/>
                      <w:rPr>
                        <w:szCs w:val="21"/>
                      </w:rPr>
                    </w:pPr>
                    <w:r>
                      <w:t xml:space="preserve">　</w:t>
                    </w:r>
                  </w:p>
                </w:tc>
                <w:tc>
                  <w:tcPr>
                    <w:tcW w:w="1125" w:type="pct"/>
                    <w:tcBorders>
                      <w:top w:val="outset" w:sz="6" w:space="0" w:color="auto"/>
                      <w:left w:val="outset" w:sz="6" w:space="0" w:color="auto"/>
                      <w:bottom w:val="outset" w:sz="6" w:space="0" w:color="auto"/>
                      <w:right w:val="outset" w:sz="6" w:space="0" w:color="auto"/>
                    </w:tcBorders>
                  </w:tcPr>
                  <w:p w:rsidR="003F54E5" w:rsidRDefault="008F04CF" w:rsidP="003F54E5">
                    <w:pPr>
                      <w:jc w:val="right"/>
                      <w:rPr>
                        <w:szCs w:val="21"/>
                      </w:rPr>
                    </w:pPr>
                    <w:r>
                      <w:rPr>
                        <w:rFonts w:hint="eastAsia"/>
                        <w:szCs w:val="21"/>
                      </w:rPr>
                      <w:t>-</w:t>
                    </w:r>
                  </w:p>
                </w:tc>
                <w:tc>
                  <w:tcPr>
                    <w:tcW w:w="1147" w:type="pct"/>
                    <w:tcBorders>
                      <w:top w:val="outset" w:sz="6" w:space="0" w:color="auto"/>
                      <w:left w:val="outset" w:sz="6" w:space="0" w:color="auto"/>
                      <w:bottom w:val="outset" w:sz="6" w:space="0" w:color="auto"/>
                      <w:right w:val="outset" w:sz="6" w:space="0" w:color="auto"/>
                    </w:tcBorders>
                  </w:tcPr>
                  <w:p w:rsidR="003F54E5" w:rsidRDefault="008F04CF" w:rsidP="003F54E5">
                    <w:pPr>
                      <w:jc w:val="right"/>
                      <w:rPr>
                        <w:szCs w:val="21"/>
                      </w:rPr>
                    </w:pPr>
                    <w:r>
                      <w:rPr>
                        <w:rFonts w:hint="eastAsia"/>
                        <w:szCs w:val="21"/>
                      </w:rPr>
                      <w:t>-</w:t>
                    </w:r>
                  </w:p>
                </w:tc>
              </w:tr>
              <w:tr w:rsidR="00B637B2" w:rsidTr="00B637B2">
                <w:sdt>
                  <w:sdtPr>
                    <w:tag w:val="_PLD_3d84ac3419c14af1a70409a1e659bc33"/>
                    <w:id w:val="939727796"/>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3F54E5" w:rsidRDefault="003F54E5" w:rsidP="003F54E5">
                        <w:pPr>
                          <w:ind w:firstLineChars="100" w:firstLine="210"/>
                          <w:rPr>
                            <w:szCs w:val="21"/>
                          </w:rPr>
                        </w:pPr>
                        <w:r>
                          <w:rPr>
                            <w:rFonts w:hint="eastAsia"/>
                            <w:szCs w:val="21"/>
                          </w:rPr>
                          <w:t>一年内到期的非流动负债</w:t>
                        </w:r>
                      </w:p>
                    </w:tc>
                  </w:sdtContent>
                </w:sdt>
                <w:tc>
                  <w:tcPr>
                    <w:tcW w:w="562" w:type="pct"/>
                    <w:tcBorders>
                      <w:top w:val="outset" w:sz="6" w:space="0" w:color="auto"/>
                      <w:left w:val="outset" w:sz="6" w:space="0" w:color="auto"/>
                      <w:bottom w:val="outset" w:sz="6" w:space="0" w:color="auto"/>
                      <w:right w:val="outset" w:sz="6" w:space="0" w:color="auto"/>
                    </w:tcBorders>
                    <w:vAlign w:val="center"/>
                  </w:tcPr>
                  <w:p w:rsidR="003F54E5" w:rsidRDefault="008F04CF" w:rsidP="00B637B2">
                    <w:pPr>
                      <w:jc w:val="both"/>
                      <w:rPr>
                        <w:szCs w:val="21"/>
                      </w:rPr>
                    </w:pPr>
                    <w:r>
                      <w:rPr>
                        <w:rFonts w:hint="eastAsia"/>
                      </w:rPr>
                      <w:t>七、</w:t>
                    </w:r>
                    <w:r>
                      <w:t>43</w:t>
                    </w:r>
                  </w:p>
                </w:tc>
                <w:tc>
                  <w:tcPr>
                    <w:tcW w:w="1125" w:type="pct"/>
                    <w:tcBorders>
                      <w:top w:val="outset" w:sz="6" w:space="0" w:color="auto"/>
                      <w:left w:val="outset" w:sz="6" w:space="0" w:color="auto"/>
                      <w:bottom w:val="outset" w:sz="6" w:space="0" w:color="auto"/>
                      <w:right w:val="outset" w:sz="6" w:space="0" w:color="auto"/>
                    </w:tcBorders>
                  </w:tcPr>
                  <w:p w:rsidR="003F54E5" w:rsidRDefault="008F04CF" w:rsidP="003F54E5">
                    <w:pPr>
                      <w:jc w:val="right"/>
                      <w:rPr>
                        <w:szCs w:val="21"/>
                      </w:rPr>
                    </w:pPr>
                    <w:r>
                      <w:t>90,000,000</w:t>
                    </w:r>
                  </w:p>
                </w:tc>
                <w:tc>
                  <w:tcPr>
                    <w:tcW w:w="1147" w:type="pct"/>
                    <w:tcBorders>
                      <w:top w:val="outset" w:sz="6" w:space="0" w:color="auto"/>
                      <w:left w:val="outset" w:sz="6" w:space="0" w:color="auto"/>
                      <w:bottom w:val="outset" w:sz="6" w:space="0" w:color="auto"/>
                      <w:right w:val="outset" w:sz="6" w:space="0" w:color="auto"/>
                    </w:tcBorders>
                  </w:tcPr>
                  <w:p w:rsidR="003F54E5" w:rsidRDefault="008F04CF" w:rsidP="003F54E5">
                    <w:pPr>
                      <w:jc w:val="right"/>
                      <w:rPr>
                        <w:szCs w:val="21"/>
                      </w:rPr>
                    </w:pPr>
                    <w:r>
                      <w:t>157,441,377</w:t>
                    </w:r>
                  </w:p>
                </w:tc>
              </w:tr>
              <w:tr w:rsidR="00B637B2" w:rsidTr="00B637B2">
                <w:sdt>
                  <w:sdtPr>
                    <w:tag w:val="_PLD_d98d6b8169c447a0bc0b1ae069d60a30"/>
                    <w:id w:val="166605868"/>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3F54E5" w:rsidRDefault="003F54E5" w:rsidP="003F54E5">
                        <w:pPr>
                          <w:ind w:firstLineChars="100" w:firstLine="210"/>
                          <w:rPr>
                            <w:szCs w:val="21"/>
                          </w:rPr>
                        </w:pPr>
                        <w:r>
                          <w:rPr>
                            <w:rFonts w:hint="eastAsia"/>
                            <w:szCs w:val="21"/>
                          </w:rPr>
                          <w:t>其他流动负债</w:t>
                        </w:r>
                      </w:p>
                    </w:tc>
                  </w:sdtContent>
                </w:sdt>
                <w:tc>
                  <w:tcPr>
                    <w:tcW w:w="562" w:type="pct"/>
                    <w:tcBorders>
                      <w:top w:val="outset" w:sz="6" w:space="0" w:color="auto"/>
                      <w:left w:val="outset" w:sz="6" w:space="0" w:color="auto"/>
                      <w:bottom w:val="outset" w:sz="6" w:space="0" w:color="auto"/>
                      <w:right w:val="outset" w:sz="6" w:space="0" w:color="auto"/>
                    </w:tcBorders>
                    <w:vAlign w:val="center"/>
                  </w:tcPr>
                  <w:p w:rsidR="003F54E5" w:rsidRDefault="008F04CF" w:rsidP="00B637B2">
                    <w:pPr>
                      <w:jc w:val="both"/>
                      <w:rPr>
                        <w:szCs w:val="21"/>
                      </w:rPr>
                    </w:pPr>
                    <w:r>
                      <w:rPr>
                        <w:rFonts w:hint="eastAsia"/>
                      </w:rPr>
                      <w:t>七、</w:t>
                    </w:r>
                    <w:r>
                      <w:t>44</w:t>
                    </w:r>
                  </w:p>
                </w:tc>
                <w:tc>
                  <w:tcPr>
                    <w:tcW w:w="1125" w:type="pct"/>
                    <w:tcBorders>
                      <w:top w:val="outset" w:sz="6" w:space="0" w:color="auto"/>
                      <w:left w:val="outset" w:sz="6" w:space="0" w:color="auto"/>
                      <w:bottom w:val="outset" w:sz="6" w:space="0" w:color="auto"/>
                      <w:right w:val="outset" w:sz="6" w:space="0" w:color="auto"/>
                    </w:tcBorders>
                  </w:tcPr>
                  <w:p w:rsidR="003F54E5" w:rsidRDefault="008F04CF" w:rsidP="003F54E5">
                    <w:pPr>
                      <w:jc w:val="right"/>
                      <w:rPr>
                        <w:szCs w:val="21"/>
                      </w:rPr>
                    </w:pPr>
                    <w:r w:rsidRPr="00E77425">
                      <w:t>139,670,469</w:t>
                    </w:r>
                  </w:p>
                </w:tc>
                <w:tc>
                  <w:tcPr>
                    <w:tcW w:w="1147" w:type="pct"/>
                    <w:tcBorders>
                      <w:top w:val="outset" w:sz="6" w:space="0" w:color="auto"/>
                      <w:left w:val="outset" w:sz="6" w:space="0" w:color="auto"/>
                      <w:bottom w:val="outset" w:sz="6" w:space="0" w:color="auto"/>
                      <w:right w:val="outset" w:sz="6" w:space="0" w:color="auto"/>
                    </w:tcBorders>
                  </w:tcPr>
                  <w:p w:rsidR="003F54E5" w:rsidRDefault="008F04CF" w:rsidP="003F54E5">
                    <w:pPr>
                      <w:jc w:val="right"/>
                      <w:rPr>
                        <w:szCs w:val="21"/>
                      </w:rPr>
                    </w:pPr>
                    <w:r w:rsidRPr="00E77425">
                      <w:t>182,312,101</w:t>
                    </w:r>
                  </w:p>
                </w:tc>
              </w:tr>
              <w:tr w:rsidR="00B637B2" w:rsidTr="00B637B2">
                <w:sdt>
                  <w:sdtPr>
                    <w:tag w:val="_PLD_d6387f8c45ce4f8599c26d4b88544573"/>
                    <w:id w:val="-596704840"/>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3F54E5" w:rsidRDefault="003F54E5" w:rsidP="003F54E5">
                        <w:pPr>
                          <w:ind w:firstLineChars="200" w:firstLine="420"/>
                          <w:rPr>
                            <w:szCs w:val="21"/>
                          </w:rPr>
                        </w:pPr>
                        <w:r>
                          <w:rPr>
                            <w:rFonts w:hint="eastAsia"/>
                            <w:szCs w:val="21"/>
                          </w:rPr>
                          <w:t>流动负债合计</w:t>
                        </w:r>
                      </w:p>
                    </w:tc>
                  </w:sdtContent>
                </w:sdt>
                <w:tc>
                  <w:tcPr>
                    <w:tcW w:w="562" w:type="pct"/>
                    <w:tcBorders>
                      <w:top w:val="outset" w:sz="6" w:space="0" w:color="auto"/>
                      <w:left w:val="outset" w:sz="6" w:space="0" w:color="auto"/>
                      <w:bottom w:val="outset" w:sz="6" w:space="0" w:color="auto"/>
                      <w:right w:val="outset" w:sz="6" w:space="0" w:color="auto"/>
                    </w:tcBorders>
                    <w:vAlign w:val="center"/>
                  </w:tcPr>
                  <w:p w:rsidR="003F54E5" w:rsidRDefault="003F54E5" w:rsidP="00B637B2">
                    <w:pPr>
                      <w:jc w:val="both"/>
                      <w:rPr>
                        <w:szCs w:val="21"/>
                      </w:rPr>
                    </w:pPr>
                    <w:r>
                      <w:t xml:space="preserve">　</w:t>
                    </w:r>
                  </w:p>
                </w:tc>
                <w:tc>
                  <w:tcPr>
                    <w:tcW w:w="1125" w:type="pct"/>
                    <w:tcBorders>
                      <w:top w:val="outset" w:sz="6" w:space="0" w:color="auto"/>
                      <w:left w:val="outset" w:sz="6" w:space="0" w:color="auto"/>
                      <w:bottom w:val="outset" w:sz="6" w:space="0" w:color="auto"/>
                      <w:right w:val="outset" w:sz="6" w:space="0" w:color="auto"/>
                    </w:tcBorders>
                  </w:tcPr>
                  <w:p w:rsidR="003F54E5" w:rsidRDefault="008F04CF" w:rsidP="003F54E5">
                    <w:pPr>
                      <w:jc w:val="right"/>
                      <w:rPr>
                        <w:szCs w:val="21"/>
                      </w:rPr>
                    </w:pPr>
                    <w:r w:rsidRPr="00E77425">
                      <w:rPr>
                        <w:szCs w:val="21"/>
                      </w:rPr>
                      <w:t>7,575,243,519</w:t>
                    </w:r>
                  </w:p>
                </w:tc>
                <w:tc>
                  <w:tcPr>
                    <w:tcW w:w="1147" w:type="pct"/>
                    <w:tcBorders>
                      <w:top w:val="outset" w:sz="6" w:space="0" w:color="auto"/>
                      <w:left w:val="outset" w:sz="6" w:space="0" w:color="auto"/>
                      <w:bottom w:val="outset" w:sz="6" w:space="0" w:color="auto"/>
                      <w:right w:val="outset" w:sz="6" w:space="0" w:color="auto"/>
                    </w:tcBorders>
                  </w:tcPr>
                  <w:p w:rsidR="003F54E5" w:rsidRDefault="008F04CF" w:rsidP="003F54E5">
                    <w:pPr>
                      <w:jc w:val="right"/>
                      <w:rPr>
                        <w:szCs w:val="21"/>
                      </w:rPr>
                    </w:pPr>
                    <w:r w:rsidRPr="00E77425">
                      <w:rPr>
                        <w:szCs w:val="21"/>
                      </w:rPr>
                      <w:t>7,348,127,864</w:t>
                    </w:r>
                  </w:p>
                </w:tc>
              </w:tr>
              <w:tr w:rsidR="00B637B2" w:rsidTr="00B637B2">
                <w:sdt>
                  <w:sdtPr>
                    <w:tag w:val="_PLD_e92d79badc1945afbed8782cdacf599f"/>
                    <w:id w:val="1088965254"/>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3F54E5" w:rsidRDefault="003F54E5" w:rsidP="003F54E5">
                        <w:pPr>
                          <w:rPr>
                            <w:szCs w:val="21"/>
                          </w:rPr>
                        </w:pPr>
                        <w:r>
                          <w:rPr>
                            <w:rFonts w:hint="eastAsia"/>
                            <w:b/>
                            <w:bCs/>
                            <w:szCs w:val="21"/>
                          </w:rPr>
                          <w:t>非流动负债：</w:t>
                        </w:r>
                      </w:p>
                    </w:tc>
                  </w:sdtContent>
                </w:sdt>
                <w:tc>
                  <w:tcPr>
                    <w:tcW w:w="562" w:type="pct"/>
                    <w:tcBorders>
                      <w:top w:val="outset" w:sz="6" w:space="0" w:color="auto"/>
                      <w:left w:val="outset" w:sz="6" w:space="0" w:color="auto"/>
                      <w:bottom w:val="outset" w:sz="6" w:space="0" w:color="auto"/>
                      <w:right w:val="outset" w:sz="6" w:space="0" w:color="auto"/>
                    </w:tcBorders>
                    <w:vAlign w:val="center"/>
                  </w:tcPr>
                  <w:p w:rsidR="003F54E5" w:rsidRDefault="003F54E5" w:rsidP="00B637B2">
                    <w:pPr>
                      <w:jc w:val="both"/>
                      <w:rPr>
                        <w:szCs w:val="21"/>
                      </w:rPr>
                    </w:pPr>
                    <w:r>
                      <w:t xml:space="preserve">　</w:t>
                    </w:r>
                  </w:p>
                </w:tc>
                <w:tc>
                  <w:tcPr>
                    <w:tcW w:w="1125" w:type="pct"/>
                    <w:tcBorders>
                      <w:top w:val="outset" w:sz="6" w:space="0" w:color="auto"/>
                      <w:left w:val="outset" w:sz="6" w:space="0" w:color="auto"/>
                      <w:bottom w:val="outset" w:sz="6" w:space="0" w:color="auto"/>
                      <w:right w:val="outset" w:sz="6" w:space="0" w:color="auto"/>
                    </w:tcBorders>
                    <w:vAlign w:val="center"/>
                  </w:tcPr>
                  <w:p w:rsidR="003F54E5" w:rsidRDefault="003F54E5" w:rsidP="00B637B2">
                    <w:pPr>
                      <w:jc w:val="right"/>
                      <w:rPr>
                        <w:szCs w:val="21"/>
                      </w:rPr>
                    </w:pPr>
                  </w:p>
                </w:tc>
                <w:tc>
                  <w:tcPr>
                    <w:tcW w:w="1147" w:type="pct"/>
                    <w:tcBorders>
                      <w:top w:val="outset" w:sz="6" w:space="0" w:color="auto"/>
                      <w:left w:val="outset" w:sz="6" w:space="0" w:color="auto"/>
                      <w:bottom w:val="outset" w:sz="6" w:space="0" w:color="auto"/>
                      <w:right w:val="outset" w:sz="6" w:space="0" w:color="auto"/>
                    </w:tcBorders>
                    <w:vAlign w:val="center"/>
                  </w:tcPr>
                  <w:p w:rsidR="003F54E5" w:rsidRDefault="003F54E5" w:rsidP="00B637B2">
                    <w:pPr>
                      <w:jc w:val="right"/>
                      <w:rPr>
                        <w:szCs w:val="21"/>
                      </w:rPr>
                    </w:pPr>
                  </w:p>
                </w:tc>
              </w:tr>
              <w:tr w:rsidR="00B637B2" w:rsidTr="00B637B2">
                <w:sdt>
                  <w:sdtPr>
                    <w:tag w:val="_PLD_4515eae7d3ee403aac2fdade1a6ff71a"/>
                    <w:id w:val="1188868673"/>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3F54E5" w:rsidRDefault="003F54E5" w:rsidP="003F54E5">
                        <w:pPr>
                          <w:ind w:firstLineChars="100" w:firstLine="210"/>
                          <w:rPr>
                            <w:szCs w:val="21"/>
                          </w:rPr>
                        </w:pPr>
                        <w:r>
                          <w:rPr>
                            <w:rFonts w:hint="eastAsia"/>
                            <w:szCs w:val="21"/>
                          </w:rPr>
                          <w:t>保险合同准备金</w:t>
                        </w:r>
                      </w:p>
                    </w:tc>
                  </w:sdtContent>
                </w:sdt>
                <w:tc>
                  <w:tcPr>
                    <w:tcW w:w="562" w:type="pct"/>
                    <w:tcBorders>
                      <w:top w:val="outset" w:sz="6" w:space="0" w:color="auto"/>
                      <w:left w:val="outset" w:sz="6" w:space="0" w:color="auto"/>
                      <w:bottom w:val="outset" w:sz="6" w:space="0" w:color="auto"/>
                      <w:right w:val="outset" w:sz="6" w:space="0" w:color="auto"/>
                    </w:tcBorders>
                    <w:vAlign w:val="center"/>
                  </w:tcPr>
                  <w:p w:rsidR="003F54E5" w:rsidRDefault="003F54E5" w:rsidP="00B637B2">
                    <w:pPr>
                      <w:jc w:val="both"/>
                      <w:rPr>
                        <w:szCs w:val="21"/>
                      </w:rPr>
                    </w:pPr>
                    <w:r>
                      <w:t xml:space="preserve">　</w:t>
                    </w:r>
                  </w:p>
                </w:tc>
                <w:tc>
                  <w:tcPr>
                    <w:tcW w:w="1125" w:type="pct"/>
                    <w:tcBorders>
                      <w:top w:val="outset" w:sz="6" w:space="0" w:color="auto"/>
                      <w:left w:val="outset" w:sz="6" w:space="0" w:color="auto"/>
                      <w:bottom w:val="outset" w:sz="6" w:space="0" w:color="auto"/>
                      <w:right w:val="outset" w:sz="6" w:space="0" w:color="auto"/>
                    </w:tcBorders>
                  </w:tcPr>
                  <w:p w:rsidR="003F54E5" w:rsidRDefault="008F04CF" w:rsidP="003F54E5">
                    <w:pPr>
                      <w:jc w:val="right"/>
                      <w:rPr>
                        <w:szCs w:val="21"/>
                      </w:rPr>
                    </w:pPr>
                    <w:r>
                      <w:rPr>
                        <w:rFonts w:hint="eastAsia"/>
                        <w:szCs w:val="21"/>
                      </w:rPr>
                      <w:t>-</w:t>
                    </w:r>
                  </w:p>
                </w:tc>
                <w:tc>
                  <w:tcPr>
                    <w:tcW w:w="1147" w:type="pct"/>
                    <w:tcBorders>
                      <w:top w:val="outset" w:sz="6" w:space="0" w:color="auto"/>
                      <w:left w:val="outset" w:sz="6" w:space="0" w:color="auto"/>
                      <w:bottom w:val="outset" w:sz="6" w:space="0" w:color="auto"/>
                      <w:right w:val="outset" w:sz="6" w:space="0" w:color="auto"/>
                    </w:tcBorders>
                  </w:tcPr>
                  <w:p w:rsidR="003F54E5" w:rsidRDefault="008F04CF" w:rsidP="003F54E5">
                    <w:pPr>
                      <w:jc w:val="right"/>
                      <w:rPr>
                        <w:szCs w:val="21"/>
                      </w:rPr>
                    </w:pPr>
                    <w:r>
                      <w:rPr>
                        <w:rFonts w:hint="eastAsia"/>
                        <w:szCs w:val="21"/>
                      </w:rPr>
                      <w:t>-</w:t>
                    </w:r>
                  </w:p>
                </w:tc>
              </w:tr>
              <w:tr w:rsidR="00B637B2" w:rsidTr="00B637B2">
                <w:sdt>
                  <w:sdtPr>
                    <w:tag w:val="_PLD_0b8d7682584443f4bae26e2ed50f8040"/>
                    <w:id w:val="-615598522"/>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3F54E5" w:rsidRDefault="003F54E5" w:rsidP="003F54E5">
                        <w:pPr>
                          <w:ind w:firstLineChars="100" w:firstLine="210"/>
                          <w:rPr>
                            <w:szCs w:val="21"/>
                          </w:rPr>
                        </w:pPr>
                        <w:r>
                          <w:rPr>
                            <w:rFonts w:hint="eastAsia"/>
                            <w:szCs w:val="21"/>
                          </w:rPr>
                          <w:t>长期借款</w:t>
                        </w:r>
                      </w:p>
                    </w:tc>
                  </w:sdtContent>
                </w:sdt>
                <w:tc>
                  <w:tcPr>
                    <w:tcW w:w="562" w:type="pct"/>
                    <w:tcBorders>
                      <w:top w:val="outset" w:sz="6" w:space="0" w:color="auto"/>
                      <w:left w:val="outset" w:sz="6" w:space="0" w:color="auto"/>
                      <w:bottom w:val="outset" w:sz="6" w:space="0" w:color="auto"/>
                      <w:right w:val="outset" w:sz="6" w:space="0" w:color="auto"/>
                    </w:tcBorders>
                    <w:vAlign w:val="center"/>
                  </w:tcPr>
                  <w:p w:rsidR="003F54E5" w:rsidRDefault="008F04CF" w:rsidP="00B637B2">
                    <w:pPr>
                      <w:jc w:val="both"/>
                      <w:rPr>
                        <w:szCs w:val="21"/>
                      </w:rPr>
                    </w:pPr>
                    <w:r>
                      <w:rPr>
                        <w:rFonts w:hint="eastAsia"/>
                      </w:rPr>
                      <w:t>七、</w:t>
                    </w:r>
                    <w:r>
                      <w:t>45</w:t>
                    </w:r>
                  </w:p>
                </w:tc>
                <w:tc>
                  <w:tcPr>
                    <w:tcW w:w="1125" w:type="pct"/>
                    <w:tcBorders>
                      <w:top w:val="outset" w:sz="6" w:space="0" w:color="auto"/>
                      <w:left w:val="outset" w:sz="6" w:space="0" w:color="auto"/>
                      <w:bottom w:val="outset" w:sz="6" w:space="0" w:color="auto"/>
                      <w:right w:val="outset" w:sz="6" w:space="0" w:color="auto"/>
                    </w:tcBorders>
                  </w:tcPr>
                  <w:p w:rsidR="003F54E5" w:rsidRDefault="008F04CF" w:rsidP="003F54E5">
                    <w:pPr>
                      <w:jc w:val="right"/>
                      <w:rPr>
                        <w:szCs w:val="21"/>
                      </w:rPr>
                    </w:pPr>
                    <w:r w:rsidRPr="00225E64">
                      <w:t>90,000,000</w:t>
                    </w:r>
                  </w:p>
                </w:tc>
                <w:tc>
                  <w:tcPr>
                    <w:tcW w:w="1147" w:type="pct"/>
                    <w:tcBorders>
                      <w:top w:val="outset" w:sz="6" w:space="0" w:color="auto"/>
                      <w:left w:val="outset" w:sz="6" w:space="0" w:color="auto"/>
                      <w:bottom w:val="outset" w:sz="6" w:space="0" w:color="auto"/>
                      <w:right w:val="outset" w:sz="6" w:space="0" w:color="auto"/>
                    </w:tcBorders>
                  </w:tcPr>
                  <w:p w:rsidR="003F54E5" w:rsidRDefault="008F04CF" w:rsidP="003F54E5">
                    <w:pPr>
                      <w:jc w:val="right"/>
                      <w:rPr>
                        <w:szCs w:val="21"/>
                      </w:rPr>
                    </w:pPr>
                    <w:r w:rsidRPr="00225E64">
                      <w:t>171,666,664</w:t>
                    </w:r>
                  </w:p>
                </w:tc>
              </w:tr>
              <w:tr w:rsidR="00B637B2" w:rsidTr="00B637B2">
                <w:sdt>
                  <w:sdtPr>
                    <w:tag w:val="_PLD_21503c6281dc48d19440b9f16f150ec0"/>
                    <w:id w:val="-29416834"/>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3F54E5" w:rsidRDefault="003F54E5" w:rsidP="003F54E5">
                        <w:pPr>
                          <w:ind w:firstLineChars="100" w:firstLine="210"/>
                          <w:rPr>
                            <w:szCs w:val="21"/>
                          </w:rPr>
                        </w:pPr>
                        <w:r>
                          <w:rPr>
                            <w:rFonts w:hint="eastAsia"/>
                            <w:szCs w:val="21"/>
                          </w:rPr>
                          <w:t>应付债券</w:t>
                        </w:r>
                      </w:p>
                    </w:tc>
                  </w:sdtContent>
                </w:sdt>
                <w:tc>
                  <w:tcPr>
                    <w:tcW w:w="562" w:type="pct"/>
                    <w:tcBorders>
                      <w:top w:val="outset" w:sz="6" w:space="0" w:color="auto"/>
                      <w:left w:val="outset" w:sz="6" w:space="0" w:color="auto"/>
                      <w:bottom w:val="outset" w:sz="6" w:space="0" w:color="auto"/>
                      <w:right w:val="outset" w:sz="6" w:space="0" w:color="auto"/>
                    </w:tcBorders>
                    <w:vAlign w:val="center"/>
                  </w:tcPr>
                  <w:p w:rsidR="003F54E5" w:rsidRDefault="003F54E5" w:rsidP="00B637B2">
                    <w:pPr>
                      <w:jc w:val="both"/>
                      <w:rPr>
                        <w:szCs w:val="21"/>
                      </w:rPr>
                    </w:pPr>
                    <w:r>
                      <w:t xml:space="preserve">　</w:t>
                    </w:r>
                  </w:p>
                </w:tc>
                <w:tc>
                  <w:tcPr>
                    <w:tcW w:w="1125"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w:t>
                    </w:r>
                  </w:p>
                </w:tc>
                <w:tc>
                  <w:tcPr>
                    <w:tcW w:w="1147"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w:t>
                    </w:r>
                  </w:p>
                </w:tc>
              </w:tr>
              <w:tr w:rsidR="00B637B2" w:rsidTr="00B637B2">
                <w:sdt>
                  <w:sdtPr>
                    <w:tag w:val="_PLD_cfeff2e31a4d4689842e8f9ce5e8b342"/>
                    <w:id w:val="2135829639"/>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3F54E5" w:rsidRDefault="003F54E5" w:rsidP="003F54E5">
                        <w:pPr>
                          <w:ind w:firstLineChars="100" w:firstLine="210"/>
                          <w:rPr>
                            <w:szCs w:val="21"/>
                          </w:rPr>
                        </w:pPr>
                        <w:r>
                          <w:rPr>
                            <w:rFonts w:hint="eastAsia"/>
                            <w:szCs w:val="21"/>
                          </w:rPr>
                          <w:t>其中：优先股</w:t>
                        </w:r>
                      </w:p>
                    </w:tc>
                  </w:sdtContent>
                </w:sdt>
                <w:tc>
                  <w:tcPr>
                    <w:tcW w:w="562" w:type="pct"/>
                    <w:tcBorders>
                      <w:top w:val="outset" w:sz="6" w:space="0" w:color="auto"/>
                      <w:left w:val="outset" w:sz="6" w:space="0" w:color="auto"/>
                      <w:bottom w:val="outset" w:sz="6" w:space="0" w:color="auto"/>
                      <w:right w:val="outset" w:sz="6" w:space="0" w:color="auto"/>
                    </w:tcBorders>
                    <w:vAlign w:val="center"/>
                  </w:tcPr>
                  <w:p w:rsidR="003F54E5" w:rsidRDefault="003F54E5" w:rsidP="00B637B2">
                    <w:pPr>
                      <w:jc w:val="both"/>
                      <w:rPr>
                        <w:szCs w:val="21"/>
                      </w:rPr>
                    </w:pPr>
                    <w:r>
                      <w:t xml:space="preserve">　</w:t>
                    </w:r>
                  </w:p>
                </w:tc>
                <w:tc>
                  <w:tcPr>
                    <w:tcW w:w="1125"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w:t>
                    </w:r>
                  </w:p>
                </w:tc>
                <w:tc>
                  <w:tcPr>
                    <w:tcW w:w="1147"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w:t>
                    </w:r>
                  </w:p>
                </w:tc>
              </w:tr>
              <w:tr w:rsidR="00B637B2" w:rsidTr="00B637B2">
                <w:sdt>
                  <w:sdtPr>
                    <w:tag w:val="_PLD_36b6cba673904261afdd80fbfbf5d1b4"/>
                    <w:id w:val="-2029331614"/>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3F54E5" w:rsidRDefault="003F54E5" w:rsidP="003F54E5">
                        <w:pPr>
                          <w:ind w:leftChars="300" w:left="630" w:firstLineChars="100" w:firstLine="210"/>
                          <w:rPr>
                            <w:szCs w:val="21"/>
                          </w:rPr>
                        </w:pPr>
                        <w:r>
                          <w:rPr>
                            <w:rFonts w:hint="eastAsia"/>
                            <w:szCs w:val="21"/>
                          </w:rPr>
                          <w:t>永续债</w:t>
                        </w:r>
                      </w:p>
                    </w:tc>
                  </w:sdtContent>
                </w:sdt>
                <w:tc>
                  <w:tcPr>
                    <w:tcW w:w="562" w:type="pct"/>
                    <w:tcBorders>
                      <w:top w:val="outset" w:sz="6" w:space="0" w:color="auto"/>
                      <w:left w:val="outset" w:sz="6" w:space="0" w:color="auto"/>
                      <w:bottom w:val="outset" w:sz="6" w:space="0" w:color="auto"/>
                      <w:right w:val="outset" w:sz="6" w:space="0" w:color="auto"/>
                    </w:tcBorders>
                    <w:vAlign w:val="center"/>
                  </w:tcPr>
                  <w:p w:rsidR="003F54E5" w:rsidRDefault="003F54E5" w:rsidP="00B637B2">
                    <w:pPr>
                      <w:jc w:val="both"/>
                      <w:rPr>
                        <w:szCs w:val="21"/>
                      </w:rPr>
                    </w:pPr>
                    <w:r>
                      <w:t xml:space="preserve">　</w:t>
                    </w:r>
                  </w:p>
                </w:tc>
                <w:tc>
                  <w:tcPr>
                    <w:tcW w:w="1125"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w:t>
                    </w:r>
                  </w:p>
                </w:tc>
                <w:tc>
                  <w:tcPr>
                    <w:tcW w:w="1147"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w:t>
                    </w:r>
                  </w:p>
                </w:tc>
              </w:tr>
              <w:tr w:rsidR="00B637B2" w:rsidTr="00B637B2">
                <w:tc>
                  <w:tcPr>
                    <w:tcW w:w="2166"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5f24a143dea468283877b9adfce049b"/>
                      <w:id w:val="-1755355254"/>
                      <w:lock w:val="sdtLocked"/>
                    </w:sdtPr>
                    <w:sdtContent>
                      <w:p w:rsidR="003F54E5" w:rsidRDefault="003F54E5" w:rsidP="003F54E5">
                        <w:pPr>
                          <w:ind w:firstLineChars="100" w:firstLine="210"/>
                        </w:pPr>
                        <w:r>
                          <w:rPr>
                            <w:rFonts w:hint="eastAsia"/>
                          </w:rPr>
                          <w:t>租赁负债</w:t>
                        </w:r>
                      </w:p>
                    </w:sdtContent>
                  </w:sdt>
                </w:tc>
                <w:tc>
                  <w:tcPr>
                    <w:tcW w:w="562" w:type="pct"/>
                    <w:tcBorders>
                      <w:top w:val="outset" w:sz="6" w:space="0" w:color="auto"/>
                      <w:left w:val="outset" w:sz="6" w:space="0" w:color="auto"/>
                      <w:bottom w:val="outset" w:sz="6" w:space="0" w:color="auto"/>
                      <w:right w:val="outset" w:sz="6" w:space="0" w:color="auto"/>
                    </w:tcBorders>
                    <w:vAlign w:val="center"/>
                  </w:tcPr>
                  <w:p w:rsidR="003F54E5" w:rsidRDefault="003F54E5" w:rsidP="00B637B2">
                    <w:pPr>
                      <w:jc w:val="both"/>
                      <w:rPr>
                        <w:szCs w:val="21"/>
                      </w:rPr>
                    </w:pPr>
                    <w:r>
                      <w:t xml:space="preserve">　</w:t>
                    </w:r>
                  </w:p>
                </w:tc>
                <w:tc>
                  <w:tcPr>
                    <w:tcW w:w="1125"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w:t>
                    </w:r>
                  </w:p>
                </w:tc>
                <w:tc>
                  <w:tcPr>
                    <w:tcW w:w="1147"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w:t>
                    </w:r>
                  </w:p>
                </w:tc>
              </w:tr>
              <w:tr w:rsidR="00B637B2" w:rsidTr="00B637B2">
                <w:sdt>
                  <w:sdtPr>
                    <w:tag w:val="_PLD_e7eb803a0fb248e2b8805e67dbe2336f"/>
                    <w:id w:val="1877272261"/>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3F54E5" w:rsidRDefault="003F54E5" w:rsidP="003F54E5">
                        <w:pPr>
                          <w:ind w:firstLineChars="100" w:firstLine="210"/>
                          <w:rPr>
                            <w:szCs w:val="21"/>
                          </w:rPr>
                        </w:pPr>
                        <w:r>
                          <w:rPr>
                            <w:rFonts w:hint="eastAsia"/>
                            <w:szCs w:val="21"/>
                          </w:rPr>
                          <w:t>长期应付款</w:t>
                        </w:r>
                      </w:p>
                    </w:tc>
                  </w:sdtContent>
                </w:sdt>
                <w:tc>
                  <w:tcPr>
                    <w:tcW w:w="562" w:type="pct"/>
                    <w:tcBorders>
                      <w:top w:val="outset" w:sz="6" w:space="0" w:color="auto"/>
                      <w:left w:val="outset" w:sz="6" w:space="0" w:color="auto"/>
                      <w:bottom w:val="outset" w:sz="6" w:space="0" w:color="auto"/>
                      <w:right w:val="outset" w:sz="6" w:space="0" w:color="auto"/>
                    </w:tcBorders>
                    <w:vAlign w:val="center"/>
                  </w:tcPr>
                  <w:p w:rsidR="003F54E5" w:rsidRDefault="003F54E5" w:rsidP="00B637B2">
                    <w:pPr>
                      <w:jc w:val="both"/>
                      <w:rPr>
                        <w:szCs w:val="21"/>
                      </w:rPr>
                    </w:pPr>
                    <w:r>
                      <w:t xml:space="preserve">　</w:t>
                    </w:r>
                  </w:p>
                </w:tc>
                <w:tc>
                  <w:tcPr>
                    <w:tcW w:w="1125"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w:t>
                    </w:r>
                  </w:p>
                </w:tc>
                <w:tc>
                  <w:tcPr>
                    <w:tcW w:w="1147"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w:t>
                    </w:r>
                  </w:p>
                </w:tc>
              </w:tr>
              <w:tr w:rsidR="00B637B2" w:rsidTr="00B637B2">
                <w:sdt>
                  <w:sdtPr>
                    <w:tag w:val="_PLD_5eafba3923544dfc81be450ef6e000ee"/>
                    <w:id w:val="-1857190165"/>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3F54E5" w:rsidRDefault="003F54E5" w:rsidP="003F54E5">
                        <w:pPr>
                          <w:ind w:firstLineChars="100" w:firstLine="210"/>
                          <w:rPr>
                            <w:szCs w:val="21"/>
                          </w:rPr>
                        </w:pPr>
                        <w:r>
                          <w:rPr>
                            <w:rFonts w:hint="eastAsia"/>
                            <w:szCs w:val="21"/>
                          </w:rPr>
                          <w:t>长期应付职工薪酬</w:t>
                        </w:r>
                      </w:p>
                    </w:tc>
                  </w:sdtContent>
                </w:sdt>
                <w:tc>
                  <w:tcPr>
                    <w:tcW w:w="562" w:type="pct"/>
                    <w:tcBorders>
                      <w:top w:val="outset" w:sz="6" w:space="0" w:color="auto"/>
                      <w:left w:val="outset" w:sz="6" w:space="0" w:color="auto"/>
                      <w:bottom w:val="outset" w:sz="6" w:space="0" w:color="auto"/>
                      <w:right w:val="outset" w:sz="6" w:space="0" w:color="auto"/>
                    </w:tcBorders>
                    <w:vAlign w:val="center"/>
                  </w:tcPr>
                  <w:p w:rsidR="003F54E5" w:rsidRDefault="003F54E5" w:rsidP="00B637B2">
                    <w:pPr>
                      <w:jc w:val="both"/>
                      <w:rPr>
                        <w:szCs w:val="21"/>
                      </w:rPr>
                    </w:pPr>
                    <w:r>
                      <w:t xml:space="preserve">　</w:t>
                    </w:r>
                  </w:p>
                </w:tc>
                <w:tc>
                  <w:tcPr>
                    <w:tcW w:w="1125" w:type="pct"/>
                    <w:tcBorders>
                      <w:top w:val="outset" w:sz="6" w:space="0" w:color="auto"/>
                      <w:left w:val="outset" w:sz="6" w:space="0" w:color="auto"/>
                      <w:bottom w:val="outset" w:sz="6" w:space="0" w:color="auto"/>
                      <w:right w:val="outset" w:sz="6" w:space="0" w:color="auto"/>
                    </w:tcBorders>
                  </w:tcPr>
                  <w:p w:rsidR="003F54E5" w:rsidRDefault="008F04CF" w:rsidP="003F54E5">
                    <w:pPr>
                      <w:jc w:val="right"/>
                      <w:rPr>
                        <w:szCs w:val="21"/>
                      </w:rPr>
                    </w:pPr>
                    <w:r>
                      <w:rPr>
                        <w:rFonts w:hint="eastAsia"/>
                        <w:szCs w:val="21"/>
                      </w:rPr>
                      <w:t>-</w:t>
                    </w:r>
                  </w:p>
                </w:tc>
                <w:tc>
                  <w:tcPr>
                    <w:tcW w:w="1147" w:type="pct"/>
                    <w:tcBorders>
                      <w:top w:val="outset" w:sz="6" w:space="0" w:color="auto"/>
                      <w:left w:val="outset" w:sz="6" w:space="0" w:color="auto"/>
                      <w:bottom w:val="outset" w:sz="6" w:space="0" w:color="auto"/>
                      <w:right w:val="outset" w:sz="6" w:space="0" w:color="auto"/>
                    </w:tcBorders>
                  </w:tcPr>
                  <w:p w:rsidR="003F54E5" w:rsidRDefault="008F04CF" w:rsidP="003F54E5">
                    <w:pPr>
                      <w:jc w:val="right"/>
                      <w:rPr>
                        <w:szCs w:val="21"/>
                      </w:rPr>
                    </w:pPr>
                    <w:r>
                      <w:rPr>
                        <w:rFonts w:hint="eastAsia"/>
                        <w:szCs w:val="21"/>
                      </w:rPr>
                      <w:t>-</w:t>
                    </w:r>
                  </w:p>
                </w:tc>
              </w:tr>
              <w:tr w:rsidR="00B637B2" w:rsidTr="00B637B2">
                <w:sdt>
                  <w:sdtPr>
                    <w:tag w:val="_PLD_ed2d2511d3684ed0ac593049a3abc203"/>
                    <w:id w:val="1433238866"/>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3F54E5" w:rsidRDefault="003F54E5" w:rsidP="003F54E5">
                        <w:pPr>
                          <w:ind w:firstLineChars="100" w:firstLine="210"/>
                          <w:rPr>
                            <w:szCs w:val="21"/>
                          </w:rPr>
                        </w:pPr>
                        <w:r>
                          <w:rPr>
                            <w:rFonts w:hint="eastAsia"/>
                            <w:szCs w:val="21"/>
                          </w:rPr>
                          <w:t>预计负债</w:t>
                        </w:r>
                      </w:p>
                    </w:tc>
                  </w:sdtContent>
                </w:sdt>
                <w:tc>
                  <w:tcPr>
                    <w:tcW w:w="562" w:type="pct"/>
                    <w:tcBorders>
                      <w:top w:val="outset" w:sz="6" w:space="0" w:color="auto"/>
                      <w:left w:val="outset" w:sz="6" w:space="0" w:color="auto"/>
                      <w:bottom w:val="outset" w:sz="6" w:space="0" w:color="auto"/>
                      <w:right w:val="outset" w:sz="6" w:space="0" w:color="auto"/>
                    </w:tcBorders>
                    <w:vAlign w:val="center"/>
                  </w:tcPr>
                  <w:p w:rsidR="003F54E5" w:rsidRDefault="003F54E5" w:rsidP="00B637B2">
                    <w:pPr>
                      <w:jc w:val="both"/>
                      <w:rPr>
                        <w:szCs w:val="21"/>
                      </w:rPr>
                    </w:pPr>
                    <w:r>
                      <w:t xml:space="preserve">　</w:t>
                    </w:r>
                  </w:p>
                </w:tc>
                <w:tc>
                  <w:tcPr>
                    <w:tcW w:w="1125" w:type="pct"/>
                    <w:tcBorders>
                      <w:top w:val="outset" w:sz="6" w:space="0" w:color="auto"/>
                      <w:left w:val="outset" w:sz="6" w:space="0" w:color="auto"/>
                      <w:bottom w:val="outset" w:sz="6" w:space="0" w:color="auto"/>
                      <w:right w:val="outset" w:sz="6" w:space="0" w:color="auto"/>
                    </w:tcBorders>
                  </w:tcPr>
                  <w:p w:rsidR="003F54E5" w:rsidRDefault="008F04CF" w:rsidP="003F54E5">
                    <w:pPr>
                      <w:jc w:val="right"/>
                      <w:rPr>
                        <w:szCs w:val="21"/>
                      </w:rPr>
                    </w:pPr>
                    <w:r>
                      <w:rPr>
                        <w:rFonts w:hint="eastAsia"/>
                        <w:szCs w:val="21"/>
                      </w:rPr>
                      <w:t>-</w:t>
                    </w:r>
                  </w:p>
                </w:tc>
                <w:tc>
                  <w:tcPr>
                    <w:tcW w:w="1147" w:type="pct"/>
                    <w:tcBorders>
                      <w:top w:val="outset" w:sz="6" w:space="0" w:color="auto"/>
                      <w:left w:val="outset" w:sz="6" w:space="0" w:color="auto"/>
                      <w:bottom w:val="outset" w:sz="6" w:space="0" w:color="auto"/>
                      <w:right w:val="outset" w:sz="6" w:space="0" w:color="auto"/>
                    </w:tcBorders>
                  </w:tcPr>
                  <w:p w:rsidR="003F54E5" w:rsidRDefault="008F04CF" w:rsidP="003F54E5">
                    <w:pPr>
                      <w:jc w:val="right"/>
                      <w:rPr>
                        <w:szCs w:val="21"/>
                      </w:rPr>
                    </w:pPr>
                    <w:r>
                      <w:rPr>
                        <w:rFonts w:hint="eastAsia"/>
                        <w:szCs w:val="21"/>
                      </w:rPr>
                      <w:t>-</w:t>
                    </w:r>
                  </w:p>
                </w:tc>
              </w:tr>
              <w:tr w:rsidR="00B637B2" w:rsidTr="00B637B2">
                <w:sdt>
                  <w:sdtPr>
                    <w:tag w:val="_PLD_ee1b0ee29ae24aa09d29da2690e141a2"/>
                    <w:id w:val="166678752"/>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3F54E5" w:rsidRDefault="003F54E5" w:rsidP="003F54E5">
                        <w:pPr>
                          <w:ind w:firstLineChars="100" w:firstLine="210"/>
                          <w:rPr>
                            <w:szCs w:val="21"/>
                          </w:rPr>
                        </w:pPr>
                        <w:r>
                          <w:rPr>
                            <w:rFonts w:hint="eastAsia"/>
                            <w:szCs w:val="21"/>
                          </w:rPr>
                          <w:t>递延收益</w:t>
                        </w:r>
                      </w:p>
                    </w:tc>
                  </w:sdtContent>
                </w:sdt>
                <w:tc>
                  <w:tcPr>
                    <w:tcW w:w="562" w:type="pct"/>
                    <w:tcBorders>
                      <w:top w:val="outset" w:sz="6" w:space="0" w:color="auto"/>
                      <w:left w:val="outset" w:sz="6" w:space="0" w:color="auto"/>
                      <w:bottom w:val="outset" w:sz="6" w:space="0" w:color="auto"/>
                      <w:right w:val="outset" w:sz="6" w:space="0" w:color="auto"/>
                    </w:tcBorders>
                    <w:vAlign w:val="center"/>
                  </w:tcPr>
                  <w:p w:rsidR="003F54E5" w:rsidRDefault="008F04CF" w:rsidP="00B637B2">
                    <w:pPr>
                      <w:jc w:val="both"/>
                      <w:rPr>
                        <w:szCs w:val="21"/>
                      </w:rPr>
                    </w:pPr>
                    <w:r>
                      <w:rPr>
                        <w:rFonts w:hint="eastAsia"/>
                      </w:rPr>
                      <w:t>七、</w:t>
                    </w:r>
                    <w:r>
                      <w:t>51</w:t>
                    </w:r>
                  </w:p>
                </w:tc>
                <w:tc>
                  <w:tcPr>
                    <w:tcW w:w="1125" w:type="pct"/>
                    <w:tcBorders>
                      <w:top w:val="outset" w:sz="6" w:space="0" w:color="auto"/>
                      <w:left w:val="outset" w:sz="6" w:space="0" w:color="auto"/>
                      <w:bottom w:val="outset" w:sz="6" w:space="0" w:color="auto"/>
                      <w:right w:val="outset" w:sz="6" w:space="0" w:color="auto"/>
                    </w:tcBorders>
                  </w:tcPr>
                  <w:p w:rsidR="003F54E5" w:rsidRDefault="008F04CF" w:rsidP="003F54E5">
                    <w:pPr>
                      <w:jc w:val="right"/>
                      <w:rPr>
                        <w:szCs w:val="21"/>
                      </w:rPr>
                    </w:pPr>
                    <w:r>
                      <w:t>51,258,179</w:t>
                    </w:r>
                  </w:p>
                </w:tc>
                <w:tc>
                  <w:tcPr>
                    <w:tcW w:w="1147" w:type="pct"/>
                    <w:tcBorders>
                      <w:top w:val="outset" w:sz="6" w:space="0" w:color="auto"/>
                      <w:left w:val="outset" w:sz="6" w:space="0" w:color="auto"/>
                      <w:bottom w:val="outset" w:sz="6" w:space="0" w:color="auto"/>
                      <w:right w:val="outset" w:sz="6" w:space="0" w:color="auto"/>
                    </w:tcBorders>
                  </w:tcPr>
                  <w:p w:rsidR="003F54E5" w:rsidRDefault="008F04CF" w:rsidP="003F54E5">
                    <w:pPr>
                      <w:jc w:val="right"/>
                      <w:rPr>
                        <w:szCs w:val="21"/>
                      </w:rPr>
                    </w:pPr>
                    <w:r>
                      <w:t>31,456,778</w:t>
                    </w:r>
                  </w:p>
                </w:tc>
              </w:tr>
              <w:tr w:rsidR="00B637B2" w:rsidTr="00B637B2">
                <w:sdt>
                  <w:sdtPr>
                    <w:tag w:val="_PLD_f6e51ce85b734d1984a9495c17250c42"/>
                    <w:id w:val="-320354636"/>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3F54E5" w:rsidRDefault="003F54E5" w:rsidP="003F54E5">
                        <w:pPr>
                          <w:ind w:firstLineChars="100" w:firstLine="210"/>
                          <w:rPr>
                            <w:szCs w:val="21"/>
                          </w:rPr>
                        </w:pPr>
                        <w:r>
                          <w:rPr>
                            <w:rFonts w:hint="eastAsia"/>
                            <w:szCs w:val="21"/>
                          </w:rPr>
                          <w:t>递延所得税负债</w:t>
                        </w:r>
                      </w:p>
                    </w:tc>
                  </w:sdtContent>
                </w:sdt>
                <w:tc>
                  <w:tcPr>
                    <w:tcW w:w="562" w:type="pct"/>
                    <w:tcBorders>
                      <w:top w:val="outset" w:sz="6" w:space="0" w:color="auto"/>
                      <w:left w:val="outset" w:sz="6" w:space="0" w:color="auto"/>
                      <w:bottom w:val="outset" w:sz="6" w:space="0" w:color="auto"/>
                      <w:right w:val="outset" w:sz="6" w:space="0" w:color="auto"/>
                    </w:tcBorders>
                    <w:vAlign w:val="center"/>
                  </w:tcPr>
                  <w:p w:rsidR="003F54E5" w:rsidRDefault="008F04CF" w:rsidP="00B637B2">
                    <w:pPr>
                      <w:jc w:val="both"/>
                      <w:rPr>
                        <w:szCs w:val="21"/>
                      </w:rPr>
                    </w:pPr>
                    <w:r>
                      <w:rPr>
                        <w:rFonts w:hint="eastAsia"/>
                      </w:rPr>
                      <w:t>七、</w:t>
                    </w:r>
                    <w:r>
                      <w:t>30</w:t>
                    </w:r>
                  </w:p>
                </w:tc>
                <w:tc>
                  <w:tcPr>
                    <w:tcW w:w="1125" w:type="pct"/>
                    <w:tcBorders>
                      <w:top w:val="outset" w:sz="6" w:space="0" w:color="auto"/>
                      <w:left w:val="outset" w:sz="6" w:space="0" w:color="auto"/>
                      <w:bottom w:val="outset" w:sz="6" w:space="0" w:color="auto"/>
                      <w:right w:val="outset" w:sz="6" w:space="0" w:color="auto"/>
                    </w:tcBorders>
                  </w:tcPr>
                  <w:p w:rsidR="003F54E5" w:rsidRDefault="008F04CF" w:rsidP="003F54E5">
                    <w:pPr>
                      <w:jc w:val="right"/>
                      <w:rPr>
                        <w:szCs w:val="21"/>
                      </w:rPr>
                    </w:pPr>
                    <w:r w:rsidRPr="00225E64">
                      <w:t>37,366,049</w:t>
                    </w:r>
                  </w:p>
                </w:tc>
                <w:tc>
                  <w:tcPr>
                    <w:tcW w:w="1147" w:type="pct"/>
                    <w:tcBorders>
                      <w:top w:val="outset" w:sz="6" w:space="0" w:color="auto"/>
                      <w:left w:val="outset" w:sz="6" w:space="0" w:color="auto"/>
                      <w:bottom w:val="outset" w:sz="6" w:space="0" w:color="auto"/>
                      <w:right w:val="outset" w:sz="6" w:space="0" w:color="auto"/>
                    </w:tcBorders>
                  </w:tcPr>
                  <w:p w:rsidR="003F54E5" w:rsidRDefault="008F04CF" w:rsidP="003F54E5">
                    <w:pPr>
                      <w:jc w:val="right"/>
                      <w:rPr>
                        <w:szCs w:val="21"/>
                      </w:rPr>
                    </w:pPr>
                    <w:r w:rsidRPr="00225E64">
                      <w:t>17,682,143</w:t>
                    </w:r>
                  </w:p>
                </w:tc>
              </w:tr>
              <w:tr w:rsidR="00B637B2" w:rsidTr="00B637B2">
                <w:sdt>
                  <w:sdtPr>
                    <w:tag w:val="_PLD_4811ce5907e64a868d871af763ddc347"/>
                    <w:id w:val="1094051660"/>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3F54E5" w:rsidRDefault="003F54E5" w:rsidP="003F54E5">
                        <w:pPr>
                          <w:ind w:firstLineChars="100" w:firstLine="210"/>
                          <w:rPr>
                            <w:szCs w:val="21"/>
                          </w:rPr>
                        </w:pPr>
                        <w:r>
                          <w:rPr>
                            <w:rFonts w:hint="eastAsia"/>
                            <w:szCs w:val="21"/>
                          </w:rPr>
                          <w:t>其他非流动负债</w:t>
                        </w:r>
                      </w:p>
                    </w:tc>
                  </w:sdtContent>
                </w:sdt>
                <w:tc>
                  <w:tcPr>
                    <w:tcW w:w="562" w:type="pct"/>
                    <w:tcBorders>
                      <w:top w:val="outset" w:sz="6" w:space="0" w:color="auto"/>
                      <w:left w:val="outset" w:sz="6" w:space="0" w:color="auto"/>
                      <w:bottom w:val="outset" w:sz="6" w:space="0" w:color="auto"/>
                      <w:right w:val="outset" w:sz="6" w:space="0" w:color="auto"/>
                    </w:tcBorders>
                    <w:vAlign w:val="center"/>
                  </w:tcPr>
                  <w:p w:rsidR="003F54E5" w:rsidRDefault="003F54E5" w:rsidP="00B637B2">
                    <w:pPr>
                      <w:jc w:val="both"/>
                      <w:rPr>
                        <w:szCs w:val="21"/>
                      </w:rPr>
                    </w:pPr>
                    <w:r>
                      <w:t xml:space="preserve">　</w:t>
                    </w:r>
                  </w:p>
                </w:tc>
                <w:tc>
                  <w:tcPr>
                    <w:tcW w:w="1125" w:type="pct"/>
                    <w:tcBorders>
                      <w:top w:val="outset" w:sz="6" w:space="0" w:color="auto"/>
                      <w:left w:val="outset" w:sz="6" w:space="0" w:color="auto"/>
                      <w:bottom w:val="outset" w:sz="6" w:space="0" w:color="auto"/>
                      <w:right w:val="outset" w:sz="6" w:space="0" w:color="auto"/>
                    </w:tcBorders>
                  </w:tcPr>
                  <w:p w:rsidR="003F54E5" w:rsidRDefault="008F04CF" w:rsidP="003F54E5">
                    <w:pPr>
                      <w:jc w:val="right"/>
                      <w:rPr>
                        <w:szCs w:val="21"/>
                      </w:rPr>
                    </w:pPr>
                    <w:r>
                      <w:rPr>
                        <w:rFonts w:hint="eastAsia"/>
                        <w:szCs w:val="21"/>
                      </w:rPr>
                      <w:t>-</w:t>
                    </w:r>
                  </w:p>
                </w:tc>
                <w:tc>
                  <w:tcPr>
                    <w:tcW w:w="1147" w:type="pct"/>
                    <w:tcBorders>
                      <w:top w:val="outset" w:sz="6" w:space="0" w:color="auto"/>
                      <w:left w:val="outset" w:sz="6" w:space="0" w:color="auto"/>
                      <w:bottom w:val="outset" w:sz="6" w:space="0" w:color="auto"/>
                      <w:right w:val="outset" w:sz="6" w:space="0" w:color="auto"/>
                    </w:tcBorders>
                  </w:tcPr>
                  <w:p w:rsidR="003F54E5" w:rsidRDefault="008F04CF" w:rsidP="003F54E5">
                    <w:pPr>
                      <w:jc w:val="right"/>
                      <w:rPr>
                        <w:szCs w:val="21"/>
                      </w:rPr>
                    </w:pPr>
                    <w:r>
                      <w:rPr>
                        <w:rFonts w:hint="eastAsia"/>
                        <w:szCs w:val="21"/>
                      </w:rPr>
                      <w:t>-</w:t>
                    </w:r>
                  </w:p>
                </w:tc>
              </w:tr>
              <w:tr w:rsidR="00B637B2" w:rsidTr="00B637B2">
                <w:sdt>
                  <w:sdtPr>
                    <w:tag w:val="_PLD_9a037ee272c84e11aebdce23c3e2fab7"/>
                    <w:id w:val="-1181353112"/>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3F54E5" w:rsidRDefault="003F54E5" w:rsidP="003F54E5">
                        <w:pPr>
                          <w:ind w:firstLineChars="200" w:firstLine="420"/>
                          <w:rPr>
                            <w:szCs w:val="21"/>
                          </w:rPr>
                        </w:pPr>
                        <w:r>
                          <w:rPr>
                            <w:rFonts w:hint="eastAsia"/>
                            <w:szCs w:val="21"/>
                          </w:rPr>
                          <w:t>非流动负债合计</w:t>
                        </w:r>
                      </w:p>
                    </w:tc>
                  </w:sdtContent>
                </w:sdt>
                <w:tc>
                  <w:tcPr>
                    <w:tcW w:w="562" w:type="pct"/>
                    <w:tcBorders>
                      <w:top w:val="outset" w:sz="6" w:space="0" w:color="auto"/>
                      <w:left w:val="outset" w:sz="6" w:space="0" w:color="auto"/>
                      <w:bottom w:val="outset" w:sz="6" w:space="0" w:color="auto"/>
                      <w:right w:val="outset" w:sz="6" w:space="0" w:color="auto"/>
                    </w:tcBorders>
                    <w:vAlign w:val="center"/>
                  </w:tcPr>
                  <w:p w:rsidR="003F54E5" w:rsidRDefault="003F54E5" w:rsidP="00B637B2">
                    <w:pPr>
                      <w:jc w:val="both"/>
                      <w:rPr>
                        <w:szCs w:val="21"/>
                      </w:rPr>
                    </w:pPr>
                    <w:r>
                      <w:t xml:space="preserve">　</w:t>
                    </w:r>
                  </w:p>
                </w:tc>
                <w:tc>
                  <w:tcPr>
                    <w:tcW w:w="1125" w:type="pct"/>
                    <w:tcBorders>
                      <w:top w:val="outset" w:sz="6" w:space="0" w:color="auto"/>
                      <w:left w:val="outset" w:sz="6" w:space="0" w:color="auto"/>
                      <w:bottom w:val="outset" w:sz="6" w:space="0" w:color="auto"/>
                      <w:right w:val="outset" w:sz="6" w:space="0" w:color="auto"/>
                    </w:tcBorders>
                  </w:tcPr>
                  <w:p w:rsidR="003F54E5" w:rsidRDefault="008F04CF" w:rsidP="003F54E5">
                    <w:pPr>
                      <w:jc w:val="right"/>
                      <w:rPr>
                        <w:szCs w:val="21"/>
                      </w:rPr>
                    </w:pPr>
                    <w:r w:rsidRPr="00225E64">
                      <w:rPr>
                        <w:szCs w:val="21"/>
                      </w:rPr>
                      <w:t>178,624,228</w:t>
                    </w:r>
                  </w:p>
                </w:tc>
                <w:tc>
                  <w:tcPr>
                    <w:tcW w:w="1147" w:type="pct"/>
                    <w:tcBorders>
                      <w:top w:val="outset" w:sz="6" w:space="0" w:color="auto"/>
                      <w:left w:val="outset" w:sz="6" w:space="0" w:color="auto"/>
                      <w:bottom w:val="outset" w:sz="6" w:space="0" w:color="auto"/>
                      <w:right w:val="outset" w:sz="6" w:space="0" w:color="auto"/>
                    </w:tcBorders>
                  </w:tcPr>
                  <w:p w:rsidR="003F54E5" w:rsidRDefault="008F04CF" w:rsidP="003F54E5">
                    <w:pPr>
                      <w:jc w:val="right"/>
                      <w:rPr>
                        <w:szCs w:val="21"/>
                      </w:rPr>
                    </w:pPr>
                    <w:r w:rsidRPr="00225E64">
                      <w:rPr>
                        <w:szCs w:val="21"/>
                      </w:rPr>
                      <w:t>220,805,585</w:t>
                    </w:r>
                  </w:p>
                </w:tc>
              </w:tr>
              <w:tr w:rsidR="00B637B2" w:rsidTr="00B637B2">
                <w:sdt>
                  <w:sdtPr>
                    <w:tag w:val="_PLD_233108162bf84d59baba5ef73da9dcd0"/>
                    <w:id w:val="668603823"/>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3F54E5" w:rsidRDefault="003F54E5" w:rsidP="003F54E5">
                        <w:pPr>
                          <w:ind w:firstLineChars="300" w:firstLine="630"/>
                          <w:rPr>
                            <w:szCs w:val="21"/>
                          </w:rPr>
                        </w:pPr>
                        <w:r>
                          <w:rPr>
                            <w:rFonts w:hint="eastAsia"/>
                            <w:szCs w:val="21"/>
                          </w:rPr>
                          <w:t>负债合计</w:t>
                        </w:r>
                      </w:p>
                    </w:tc>
                  </w:sdtContent>
                </w:sdt>
                <w:tc>
                  <w:tcPr>
                    <w:tcW w:w="562" w:type="pct"/>
                    <w:tcBorders>
                      <w:top w:val="outset" w:sz="6" w:space="0" w:color="auto"/>
                      <w:left w:val="outset" w:sz="6" w:space="0" w:color="auto"/>
                      <w:bottom w:val="outset" w:sz="6" w:space="0" w:color="auto"/>
                      <w:right w:val="outset" w:sz="6" w:space="0" w:color="auto"/>
                    </w:tcBorders>
                    <w:vAlign w:val="center"/>
                  </w:tcPr>
                  <w:p w:rsidR="003F54E5" w:rsidRDefault="003F54E5" w:rsidP="00B637B2">
                    <w:pPr>
                      <w:jc w:val="both"/>
                      <w:rPr>
                        <w:szCs w:val="21"/>
                      </w:rPr>
                    </w:pPr>
                    <w:r>
                      <w:t xml:space="preserve">　</w:t>
                    </w:r>
                  </w:p>
                </w:tc>
                <w:tc>
                  <w:tcPr>
                    <w:tcW w:w="1125" w:type="pct"/>
                    <w:tcBorders>
                      <w:top w:val="outset" w:sz="6" w:space="0" w:color="auto"/>
                      <w:left w:val="outset" w:sz="6" w:space="0" w:color="auto"/>
                      <w:bottom w:val="outset" w:sz="6" w:space="0" w:color="auto"/>
                      <w:right w:val="outset" w:sz="6" w:space="0" w:color="auto"/>
                    </w:tcBorders>
                  </w:tcPr>
                  <w:p w:rsidR="003F54E5" w:rsidRDefault="008F04CF" w:rsidP="003F54E5">
                    <w:pPr>
                      <w:jc w:val="right"/>
                      <w:rPr>
                        <w:szCs w:val="21"/>
                      </w:rPr>
                    </w:pPr>
                    <w:r w:rsidRPr="00225E64">
                      <w:t>7,753,867,747</w:t>
                    </w:r>
                  </w:p>
                </w:tc>
                <w:tc>
                  <w:tcPr>
                    <w:tcW w:w="1147" w:type="pct"/>
                    <w:tcBorders>
                      <w:top w:val="outset" w:sz="6" w:space="0" w:color="auto"/>
                      <w:left w:val="outset" w:sz="6" w:space="0" w:color="auto"/>
                      <w:bottom w:val="outset" w:sz="6" w:space="0" w:color="auto"/>
                      <w:right w:val="outset" w:sz="6" w:space="0" w:color="auto"/>
                    </w:tcBorders>
                  </w:tcPr>
                  <w:p w:rsidR="003F54E5" w:rsidRDefault="008F04CF" w:rsidP="003F54E5">
                    <w:pPr>
                      <w:jc w:val="right"/>
                      <w:rPr>
                        <w:szCs w:val="21"/>
                      </w:rPr>
                    </w:pPr>
                    <w:r w:rsidRPr="00225E64">
                      <w:t>7,568,933,449</w:t>
                    </w:r>
                  </w:p>
                </w:tc>
              </w:tr>
              <w:tr w:rsidR="00B637B2" w:rsidTr="00B637B2">
                <w:sdt>
                  <w:sdtPr>
                    <w:tag w:val="_PLD_4fe68479676b4c8c840de2211f0c67b8"/>
                    <w:id w:val="534936728"/>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3F54E5" w:rsidRDefault="003F54E5" w:rsidP="003F54E5">
                        <w:pPr>
                          <w:rPr>
                            <w:szCs w:val="21"/>
                          </w:rPr>
                        </w:pPr>
                        <w:r>
                          <w:rPr>
                            <w:rFonts w:hint="eastAsia"/>
                            <w:b/>
                            <w:bCs/>
                            <w:szCs w:val="21"/>
                          </w:rPr>
                          <w:t>所有者权益（或股东权益）：</w:t>
                        </w:r>
                      </w:p>
                    </w:tc>
                  </w:sdtContent>
                </w:sdt>
                <w:tc>
                  <w:tcPr>
                    <w:tcW w:w="562" w:type="pct"/>
                    <w:tcBorders>
                      <w:top w:val="outset" w:sz="6" w:space="0" w:color="auto"/>
                      <w:left w:val="outset" w:sz="6" w:space="0" w:color="auto"/>
                      <w:bottom w:val="outset" w:sz="6" w:space="0" w:color="auto"/>
                      <w:right w:val="outset" w:sz="6" w:space="0" w:color="auto"/>
                    </w:tcBorders>
                    <w:vAlign w:val="center"/>
                  </w:tcPr>
                  <w:p w:rsidR="003F54E5" w:rsidRDefault="003F54E5" w:rsidP="00B637B2">
                    <w:pPr>
                      <w:jc w:val="both"/>
                      <w:rPr>
                        <w:szCs w:val="21"/>
                      </w:rPr>
                    </w:pPr>
                    <w:r>
                      <w:t xml:space="preserve">　</w:t>
                    </w:r>
                  </w:p>
                </w:tc>
                <w:tc>
                  <w:tcPr>
                    <w:tcW w:w="1125" w:type="pct"/>
                    <w:tcBorders>
                      <w:top w:val="outset" w:sz="6" w:space="0" w:color="auto"/>
                      <w:left w:val="outset" w:sz="6" w:space="0" w:color="auto"/>
                      <w:bottom w:val="outset" w:sz="6" w:space="0" w:color="auto"/>
                      <w:right w:val="outset" w:sz="6" w:space="0" w:color="auto"/>
                    </w:tcBorders>
                    <w:vAlign w:val="center"/>
                  </w:tcPr>
                  <w:p w:rsidR="003F54E5" w:rsidRDefault="003F54E5" w:rsidP="00B637B2">
                    <w:pPr>
                      <w:jc w:val="right"/>
                      <w:rPr>
                        <w:szCs w:val="21"/>
                      </w:rPr>
                    </w:pPr>
                  </w:p>
                </w:tc>
                <w:tc>
                  <w:tcPr>
                    <w:tcW w:w="1147" w:type="pct"/>
                    <w:tcBorders>
                      <w:top w:val="outset" w:sz="6" w:space="0" w:color="auto"/>
                      <w:left w:val="outset" w:sz="6" w:space="0" w:color="auto"/>
                      <w:bottom w:val="outset" w:sz="6" w:space="0" w:color="auto"/>
                      <w:right w:val="outset" w:sz="6" w:space="0" w:color="auto"/>
                    </w:tcBorders>
                    <w:vAlign w:val="center"/>
                  </w:tcPr>
                  <w:p w:rsidR="003F54E5" w:rsidRDefault="003F54E5" w:rsidP="00B637B2">
                    <w:pPr>
                      <w:jc w:val="right"/>
                      <w:rPr>
                        <w:szCs w:val="21"/>
                      </w:rPr>
                    </w:pPr>
                  </w:p>
                </w:tc>
              </w:tr>
              <w:tr w:rsidR="00B637B2" w:rsidTr="00B637B2">
                <w:sdt>
                  <w:sdtPr>
                    <w:tag w:val="_PLD_b456a8ee715b430f8ed57755440db66b"/>
                    <w:id w:val="474111712"/>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B637B2" w:rsidRDefault="008F04CF" w:rsidP="00B637B2">
                        <w:pPr>
                          <w:ind w:firstLineChars="100" w:firstLine="210"/>
                          <w:rPr>
                            <w:szCs w:val="21"/>
                          </w:rPr>
                        </w:pPr>
                        <w:r>
                          <w:rPr>
                            <w:rFonts w:hint="eastAsia"/>
                            <w:szCs w:val="21"/>
                          </w:rPr>
                          <w:t>实收资本（或股本）</w:t>
                        </w:r>
                      </w:p>
                    </w:tc>
                  </w:sdtContent>
                </w:sdt>
                <w:tc>
                  <w:tcPr>
                    <w:tcW w:w="562" w:type="pct"/>
                    <w:tcBorders>
                      <w:top w:val="outset" w:sz="6" w:space="0" w:color="auto"/>
                      <w:left w:val="outset" w:sz="6" w:space="0" w:color="auto"/>
                      <w:bottom w:val="outset" w:sz="6" w:space="0" w:color="auto"/>
                      <w:right w:val="outset" w:sz="6" w:space="0" w:color="auto"/>
                    </w:tcBorders>
                    <w:vAlign w:val="center"/>
                  </w:tcPr>
                  <w:p w:rsidR="00B637B2" w:rsidRDefault="008F04CF" w:rsidP="00B637B2">
                    <w:pPr>
                      <w:jc w:val="both"/>
                      <w:rPr>
                        <w:szCs w:val="21"/>
                      </w:rPr>
                    </w:pPr>
                    <w:r>
                      <w:rPr>
                        <w:rFonts w:hint="eastAsia"/>
                      </w:rPr>
                      <w:t>七、</w:t>
                    </w:r>
                    <w:r>
                      <w:t>53</w:t>
                    </w:r>
                  </w:p>
                </w:tc>
                <w:tc>
                  <w:tcPr>
                    <w:tcW w:w="1125" w:type="pct"/>
                    <w:tcBorders>
                      <w:top w:val="outset" w:sz="6" w:space="0" w:color="auto"/>
                      <w:left w:val="outset" w:sz="6" w:space="0" w:color="auto"/>
                      <w:bottom w:val="outset" w:sz="6" w:space="0" w:color="auto"/>
                      <w:right w:val="outset" w:sz="6" w:space="0" w:color="auto"/>
                    </w:tcBorders>
                  </w:tcPr>
                  <w:p w:rsidR="00B637B2" w:rsidRDefault="008F04CF" w:rsidP="00B637B2">
                    <w:pPr>
                      <w:jc w:val="right"/>
                      <w:rPr>
                        <w:szCs w:val="21"/>
                      </w:rPr>
                    </w:pPr>
                    <w:r w:rsidRPr="00B77DD9">
                      <w:t>2,486,134,575</w:t>
                    </w:r>
                  </w:p>
                </w:tc>
                <w:tc>
                  <w:tcPr>
                    <w:tcW w:w="1147" w:type="pct"/>
                    <w:tcBorders>
                      <w:top w:val="outset" w:sz="6" w:space="0" w:color="auto"/>
                      <w:left w:val="outset" w:sz="6" w:space="0" w:color="auto"/>
                      <w:bottom w:val="outset" w:sz="6" w:space="0" w:color="auto"/>
                      <w:right w:val="outset" w:sz="6" w:space="0" w:color="auto"/>
                    </w:tcBorders>
                  </w:tcPr>
                  <w:p w:rsidR="00B637B2" w:rsidRDefault="008F04CF" w:rsidP="00B637B2">
                    <w:pPr>
                      <w:jc w:val="right"/>
                      <w:rPr>
                        <w:szCs w:val="21"/>
                      </w:rPr>
                    </w:pPr>
                    <w:r w:rsidRPr="00B77DD9">
                      <w:t>1,917,832,792</w:t>
                    </w:r>
                  </w:p>
                </w:tc>
              </w:tr>
              <w:tr w:rsidR="00B637B2" w:rsidTr="00B637B2">
                <w:sdt>
                  <w:sdtPr>
                    <w:tag w:val="_PLD_f03411a9f0b84565a295b92424cbb955"/>
                    <w:id w:val="483896444"/>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3F54E5" w:rsidRDefault="003F54E5" w:rsidP="003F54E5">
                        <w:pPr>
                          <w:ind w:firstLineChars="100" w:firstLine="210"/>
                          <w:rPr>
                            <w:szCs w:val="21"/>
                          </w:rPr>
                        </w:pPr>
                        <w:r>
                          <w:rPr>
                            <w:rFonts w:hint="eastAsia"/>
                            <w:szCs w:val="21"/>
                          </w:rPr>
                          <w:t>其他权益工具</w:t>
                        </w:r>
                      </w:p>
                    </w:tc>
                  </w:sdtContent>
                </w:sdt>
                <w:tc>
                  <w:tcPr>
                    <w:tcW w:w="562" w:type="pct"/>
                    <w:tcBorders>
                      <w:top w:val="outset" w:sz="6" w:space="0" w:color="auto"/>
                      <w:left w:val="outset" w:sz="6" w:space="0" w:color="auto"/>
                      <w:bottom w:val="outset" w:sz="6" w:space="0" w:color="auto"/>
                      <w:right w:val="outset" w:sz="6" w:space="0" w:color="auto"/>
                    </w:tcBorders>
                    <w:vAlign w:val="center"/>
                  </w:tcPr>
                  <w:p w:rsidR="003F54E5" w:rsidRDefault="003F54E5" w:rsidP="00B637B2">
                    <w:pPr>
                      <w:jc w:val="both"/>
                      <w:rPr>
                        <w:szCs w:val="21"/>
                      </w:rPr>
                    </w:pPr>
                    <w:r>
                      <w:t xml:space="preserve">　</w:t>
                    </w:r>
                  </w:p>
                </w:tc>
                <w:tc>
                  <w:tcPr>
                    <w:tcW w:w="1125"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w:t>
                    </w:r>
                  </w:p>
                </w:tc>
                <w:tc>
                  <w:tcPr>
                    <w:tcW w:w="1147" w:type="pct"/>
                    <w:tcBorders>
                      <w:top w:val="outset" w:sz="6" w:space="0" w:color="auto"/>
                      <w:left w:val="outset" w:sz="6" w:space="0" w:color="auto"/>
                      <w:bottom w:val="outset" w:sz="6" w:space="0" w:color="auto"/>
                      <w:right w:val="outset" w:sz="6" w:space="0" w:color="auto"/>
                    </w:tcBorders>
                  </w:tcPr>
                  <w:p w:rsidR="003F54E5" w:rsidRDefault="003F54E5" w:rsidP="003F54E5">
                    <w:pPr>
                      <w:jc w:val="right"/>
                      <w:rPr>
                        <w:szCs w:val="21"/>
                      </w:rPr>
                    </w:pPr>
                    <w:r>
                      <w:t>-</w:t>
                    </w:r>
                  </w:p>
                </w:tc>
              </w:tr>
              <w:tr w:rsidR="00B637B2" w:rsidTr="00B637B2">
                <w:sdt>
                  <w:sdtPr>
                    <w:tag w:val="_PLD_c9ec7a87a13f488c86dc6eef623b59eb"/>
                    <w:id w:val="1811593093"/>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3F54E5" w:rsidRDefault="003F54E5" w:rsidP="003F54E5">
                        <w:pPr>
                          <w:ind w:firstLineChars="100" w:firstLine="210"/>
                          <w:rPr>
                            <w:szCs w:val="21"/>
                          </w:rPr>
                        </w:pPr>
                        <w:r>
                          <w:rPr>
                            <w:rFonts w:hint="eastAsia"/>
                            <w:szCs w:val="21"/>
                          </w:rPr>
                          <w:t>其中：优先股</w:t>
                        </w:r>
                      </w:p>
                    </w:tc>
                  </w:sdtContent>
                </w:sdt>
                <w:tc>
                  <w:tcPr>
                    <w:tcW w:w="562" w:type="pct"/>
                    <w:tcBorders>
                      <w:top w:val="outset" w:sz="6" w:space="0" w:color="auto"/>
                      <w:left w:val="outset" w:sz="6" w:space="0" w:color="auto"/>
                      <w:bottom w:val="outset" w:sz="6" w:space="0" w:color="auto"/>
                      <w:right w:val="outset" w:sz="6" w:space="0" w:color="auto"/>
                    </w:tcBorders>
                    <w:vAlign w:val="center"/>
                  </w:tcPr>
                  <w:p w:rsidR="003F54E5" w:rsidRDefault="003F54E5" w:rsidP="00B637B2">
                    <w:pPr>
                      <w:jc w:val="both"/>
                      <w:rPr>
                        <w:szCs w:val="21"/>
                      </w:rPr>
                    </w:pPr>
                    <w:r>
                      <w:t xml:space="preserve">　</w:t>
                    </w:r>
                  </w:p>
                </w:tc>
                <w:tc>
                  <w:tcPr>
                    <w:tcW w:w="1125" w:type="pct"/>
                    <w:tcBorders>
                      <w:top w:val="outset" w:sz="6" w:space="0" w:color="auto"/>
                      <w:left w:val="outset" w:sz="6" w:space="0" w:color="auto"/>
                      <w:bottom w:val="outset" w:sz="6" w:space="0" w:color="auto"/>
                      <w:right w:val="outset" w:sz="6" w:space="0" w:color="auto"/>
                    </w:tcBorders>
                  </w:tcPr>
                  <w:p w:rsidR="003F54E5" w:rsidRDefault="008F04CF" w:rsidP="003F54E5">
                    <w:pPr>
                      <w:jc w:val="right"/>
                      <w:rPr>
                        <w:szCs w:val="21"/>
                      </w:rPr>
                    </w:pPr>
                    <w:r>
                      <w:rPr>
                        <w:rFonts w:hint="eastAsia"/>
                        <w:szCs w:val="21"/>
                      </w:rPr>
                      <w:t>-</w:t>
                    </w:r>
                  </w:p>
                </w:tc>
                <w:tc>
                  <w:tcPr>
                    <w:tcW w:w="1147" w:type="pct"/>
                    <w:tcBorders>
                      <w:top w:val="outset" w:sz="6" w:space="0" w:color="auto"/>
                      <w:left w:val="outset" w:sz="6" w:space="0" w:color="auto"/>
                      <w:bottom w:val="outset" w:sz="6" w:space="0" w:color="auto"/>
                      <w:right w:val="outset" w:sz="6" w:space="0" w:color="auto"/>
                    </w:tcBorders>
                  </w:tcPr>
                  <w:p w:rsidR="003F54E5" w:rsidRDefault="008F04CF" w:rsidP="003F54E5">
                    <w:pPr>
                      <w:jc w:val="right"/>
                      <w:rPr>
                        <w:szCs w:val="21"/>
                      </w:rPr>
                    </w:pPr>
                    <w:r>
                      <w:rPr>
                        <w:rFonts w:hint="eastAsia"/>
                        <w:szCs w:val="21"/>
                      </w:rPr>
                      <w:t>-</w:t>
                    </w:r>
                  </w:p>
                </w:tc>
              </w:tr>
              <w:tr w:rsidR="00B637B2" w:rsidTr="00B637B2">
                <w:sdt>
                  <w:sdtPr>
                    <w:tag w:val="_PLD_cb955a4562374c1795f3fa8ff4b3341b"/>
                    <w:id w:val="-764231792"/>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3F54E5" w:rsidRDefault="003F54E5" w:rsidP="003F54E5">
                        <w:pPr>
                          <w:ind w:leftChars="300" w:left="630" w:firstLineChars="100" w:firstLine="210"/>
                          <w:rPr>
                            <w:szCs w:val="21"/>
                          </w:rPr>
                        </w:pPr>
                        <w:r>
                          <w:rPr>
                            <w:rFonts w:hint="eastAsia"/>
                            <w:szCs w:val="21"/>
                          </w:rPr>
                          <w:t>永续债</w:t>
                        </w:r>
                      </w:p>
                    </w:tc>
                  </w:sdtContent>
                </w:sdt>
                <w:tc>
                  <w:tcPr>
                    <w:tcW w:w="562" w:type="pct"/>
                    <w:tcBorders>
                      <w:top w:val="outset" w:sz="6" w:space="0" w:color="auto"/>
                      <w:left w:val="outset" w:sz="6" w:space="0" w:color="auto"/>
                      <w:bottom w:val="outset" w:sz="6" w:space="0" w:color="auto"/>
                      <w:right w:val="outset" w:sz="6" w:space="0" w:color="auto"/>
                    </w:tcBorders>
                    <w:vAlign w:val="center"/>
                  </w:tcPr>
                  <w:p w:rsidR="003F54E5" w:rsidRDefault="003F54E5" w:rsidP="00B637B2">
                    <w:pPr>
                      <w:jc w:val="both"/>
                      <w:rPr>
                        <w:szCs w:val="21"/>
                      </w:rPr>
                    </w:pPr>
                    <w:r>
                      <w:t xml:space="preserve">　</w:t>
                    </w:r>
                  </w:p>
                </w:tc>
                <w:tc>
                  <w:tcPr>
                    <w:tcW w:w="1125" w:type="pct"/>
                    <w:tcBorders>
                      <w:top w:val="outset" w:sz="6" w:space="0" w:color="auto"/>
                      <w:left w:val="outset" w:sz="6" w:space="0" w:color="auto"/>
                      <w:bottom w:val="outset" w:sz="6" w:space="0" w:color="auto"/>
                      <w:right w:val="outset" w:sz="6" w:space="0" w:color="auto"/>
                    </w:tcBorders>
                  </w:tcPr>
                  <w:p w:rsidR="003F54E5" w:rsidRDefault="008F04CF" w:rsidP="003F54E5">
                    <w:pPr>
                      <w:jc w:val="right"/>
                      <w:rPr>
                        <w:szCs w:val="21"/>
                      </w:rPr>
                    </w:pPr>
                    <w:r>
                      <w:rPr>
                        <w:rFonts w:hint="eastAsia"/>
                        <w:szCs w:val="21"/>
                      </w:rPr>
                      <w:t>-</w:t>
                    </w:r>
                  </w:p>
                </w:tc>
                <w:tc>
                  <w:tcPr>
                    <w:tcW w:w="1147" w:type="pct"/>
                    <w:tcBorders>
                      <w:top w:val="outset" w:sz="6" w:space="0" w:color="auto"/>
                      <w:left w:val="outset" w:sz="6" w:space="0" w:color="auto"/>
                      <w:bottom w:val="outset" w:sz="6" w:space="0" w:color="auto"/>
                      <w:right w:val="outset" w:sz="6" w:space="0" w:color="auto"/>
                    </w:tcBorders>
                  </w:tcPr>
                  <w:p w:rsidR="003F54E5" w:rsidRDefault="008F04CF" w:rsidP="003F54E5">
                    <w:pPr>
                      <w:jc w:val="right"/>
                      <w:rPr>
                        <w:szCs w:val="21"/>
                      </w:rPr>
                    </w:pPr>
                    <w:r>
                      <w:rPr>
                        <w:rFonts w:hint="eastAsia"/>
                        <w:szCs w:val="21"/>
                      </w:rPr>
                      <w:t>-</w:t>
                    </w:r>
                  </w:p>
                </w:tc>
              </w:tr>
              <w:tr w:rsidR="00B637B2" w:rsidTr="00B637B2">
                <w:sdt>
                  <w:sdtPr>
                    <w:tag w:val="_PLD_e6837305adaf4d9aba334aa74c5bef79"/>
                    <w:id w:val="1345745583"/>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B637B2" w:rsidRDefault="008F04CF" w:rsidP="00B637B2">
                        <w:pPr>
                          <w:ind w:firstLineChars="100" w:firstLine="210"/>
                          <w:rPr>
                            <w:szCs w:val="21"/>
                          </w:rPr>
                        </w:pPr>
                        <w:r>
                          <w:rPr>
                            <w:rFonts w:hint="eastAsia"/>
                            <w:szCs w:val="21"/>
                          </w:rPr>
                          <w:t>资本公积</w:t>
                        </w:r>
                      </w:p>
                    </w:tc>
                  </w:sdtContent>
                </w:sdt>
                <w:tc>
                  <w:tcPr>
                    <w:tcW w:w="562" w:type="pct"/>
                    <w:tcBorders>
                      <w:top w:val="outset" w:sz="6" w:space="0" w:color="auto"/>
                      <w:left w:val="outset" w:sz="6" w:space="0" w:color="auto"/>
                      <w:bottom w:val="outset" w:sz="6" w:space="0" w:color="auto"/>
                      <w:right w:val="outset" w:sz="6" w:space="0" w:color="auto"/>
                    </w:tcBorders>
                    <w:vAlign w:val="center"/>
                  </w:tcPr>
                  <w:p w:rsidR="00B637B2" w:rsidRDefault="008F04CF" w:rsidP="00B637B2">
                    <w:pPr>
                      <w:jc w:val="both"/>
                      <w:rPr>
                        <w:szCs w:val="21"/>
                      </w:rPr>
                    </w:pPr>
                    <w:r>
                      <w:rPr>
                        <w:rFonts w:hint="eastAsia"/>
                      </w:rPr>
                      <w:t>七、</w:t>
                    </w:r>
                    <w:r>
                      <w:t>55</w:t>
                    </w:r>
                  </w:p>
                </w:tc>
                <w:tc>
                  <w:tcPr>
                    <w:tcW w:w="1125" w:type="pct"/>
                    <w:tcBorders>
                      <w:top w:val="outset" w:sz="6" w:space="0" w:color="auto"/>
                      <w:left w:val="outset" w:sz="6" w:space="0" w:color="auto"/>
                      <w:bottom w:val="outset" w:sz="6" w:space="0" w:color="auto"/>
                      <w:right w:val="outset" w:sz="6" w:space="0" w:color="auto"/>
                    </w:tcBorders>
                  </w:tcPr>
                  <w:p w:rsidR="00B637B2" w:rsidRDefault="008F04CF" w:rsidP="00B637B2">
                    <w:pPr>
                      <w:jc w:val="right"/>
                      <w:rPr>
                        <w:szCs w:val="21"/>
                      </w:rPr>
                    </w:pPr>
                    <w:r w:rsidRPr="00B77DD9">
                      <w:rPr>
                        <w:szCs w:val="21"/>
                      </w:rPr>
                      <w:t>1,597,293,138</w:t>
                    </w:r>
                  </w:p>
                </w:tc>
                <w:tc>
                  <w:tcPr>
                    <w:tcW w:w="1147" w:type="pct"/>
                    <w:tcBorders>
                      <w:top w:val="outset" w:sz="6" w:space="0" w:color="auto"/>
                      <w:left w:val="outset" w:sz="6" w:space="0" w:color="auto"/>
                      <w:bottom w:val="outset" w:sz="6" w:space="0" w:color="auto"/>
                      <w:right w:val="outset" w:sz="6" w:space="0" w:color="auto"/>
                    </w:tcBorders>
                  </w:tcPr>
                  <w:p w:rsidR="00B637B2" w:rsidRDefault="008F04CF" w:rsidP="00B637B2">
                    <w:pPr>
                      <w:jc w:val="right"/>
                      <w:rPr>
                        <w:szCs w:val="21"/>
                      </w:rPr>
                    </w:pPr>
                    <w:r w:rsidRPr="00B77DD9">
                      <w:rPr>
                        <w:szCs w:val="21"/>
                      </w:rPr>
                      <w:t>2,120,758,790</w:t>
                    </w:r>
                  </w:p>
                </w:tc>
              </w:tr>
              <w:tr w:rsidR="00B637B2" w:rsidTr="00B637B2">
                <w:sdt>
                  <w:sdtPr>
                    <w:tag w:val="_PLD_a0bc7febf8c447638471a1616647725d"/>
                    <w:id w:val="-85544433"/>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B637B2" w:rsidRDefault="008F04CF" w:rsidP="00B637B2">
                        <w:pPr>
                          <w:ind w:firstLineChars="100" w:firstLine="210"/>
                          <w:rPr>
                            <w:szCs w:val="21"/>
                          </w:rPr>
                        </w:pPr>
                        <w:r>
                          <w:rPr>
                            <w:rFonts w:hint="eastAsia"/>
                            <w:szCs w:val="21"/>
                          </w:rPr>
                          <w:t>减：库存股</w:t>
                        </w:r>
                      </w:p>
                    </w:tc>
                  </w:sdtContent>
                </w:sdt>
                <w:tc>
                  <w:tcPr>
                    <w:tcW w:w="562" w:type="pct"/>
                    <w:tcBorders>
                      <w:top w:val="outset" w:sz="6" w:space="0" w:color="auto"/>
                      <w:left w:val="outset" w:sz="6" w:space="0" w:color="auto"/>
                      <w:bottom w:val="outset" w:sz="6" w:space="0" w:color="auto"/>
                      <w:right w:val="outset" w:sz="6" w:space="0" w:color="auto"/>
                    </w:tcBorders>
                    <w:vAlign w:val="center"/>
                  </w:tcPr>
                  <w:p w:rsidR="00B637B2" w:rsidRDefault="008F04CF" w:rsidP="00B637B2">
                    <w:pPr>
                      <w:jc w:val="both"/>
                      <w:rPr>
                        <w:szCs w:val="21"/>
                      </w:rPr>
                    </w:pPr>
                    <w:r>
                      <w:rPr>
                        <w:rFonts w:hint="eastAsia"/>
                      </w:rPr>
                      <w:t>七、</w:t>
                    </w:r>
                    <w:r>
                      <w:t>56</w:t>
                    </w:r>
                  </w:p>
                </w:tc>
                <w:tc>
                  <w:tcPr>
                    <w:tcW w:w="1125" w:type="pct"/>
                    <w:tcBorders>
                      <w:top w:val="outset" w:sz="6" w:space="0" w:color="auto"/>
                      <w:left w:val="outset" w:sz="6" w:space="0" w:color="auto"/>
                      <w:bottom w:val="outset" w:sz="6" w:space="0" w:color="auto"/>
                      <w:right w:val="outset" w:sz="6" w:space="0" w:color="auto"/>
                    </w:tcBorders>
                  </w:tcPr>
                  <w:p w:rsidR="00B637B2" w:rsidRDefault="008F04CF" w:rsidP="00B637B2">
                    <w:pPr>
                      <w:jc w:val="right"/>
                      <w:rPr>
                        <w:szCs w:val="21"/>
                      </w:rPr>
                    </w:pPr>
                    <w:r w:rsidRPr="00B77DD9">
                      <w:rPr>
                        <w:szCs w:val="21"/>
                      </w:rPr>
                      <w:t>514,204,879</w:t>
                    </w:r>
                  </w:p>
                </w:tc>
                <w:tc>
                  <w:tcPr>
                    <w:tcW w:w="1147" w:type="pct"/>
                    <w:tcBorders>
                      <w:top w:val="outset" w:sz="6" w:space="0" w:color="auto"/>
                      <w:left w:val="outset" w:sz="6" w:space="0" w:color="auto"/>
                      <w:bottom w:val="outset" w:sz="6" w:space="0" w:color="auto"/>
                      <w:right w:val="outset" w:sz="6" w:space="0" w:color="auto"/>
                    </w:tcBorders>
                  </w:tcPr>
                  <w:p w:rsidR="00B637B2" w:rsidRDefault="008F04CF" w:rsidP="00B637B2">
                    <w:pPr>
                      <w:jc w:val="right"/>
                      <w:rPr>
                        <w:szCs w:val="21"/>
                      </w:rPr>
                    </w:pPr>
                    <w:r w:rsidRPr="00B77DD9">
                      <w:rPr>
                        <w:szCs w:val="21"/>
                      </w:rPr>
                      <w:t>55,787,910</w:t>
                    </w:r>
                  </w:p>
                </w:tc>
              </w:tr>
              <w:tr w:rsidR="00B637B2" w:rsidTr="00B637B2">
                <w:sdt>
                  <w:sdtPr>
                    <w:tag w:val="_PLD_ed778b8c2aaa425cb45af63fe0d20a4d"/>
                    <w:id w:val="1570533313"/>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B637B2" w:rsidRDefault="008F04CF" w:rsidP="00B637B2">
                        <w:pPr>
                          <w:ind w:firstLineChars="100" w:firstLine="210"/>
                          <w:rPr>
                            <w:szCs w:val="21"/>
                          </w:rPr>
                        </w:pPr>
                        <w:r>
                          <w:rPr>
                            <w:rFonts w:hint="eastAsia"/>
                            <w:szCs w:val="21"/>
                          </w:rPr>
                          <w:t>其他综合收益</w:t>
                        </w:r>
                      </w:p>
                    </w:tc>
                  </w:sdtContent>
                </w:sdt>
                <w:tc>
                  <w:tcPr>
                    <w:tcW w:w="562" w:type="pct"/>
                    <w:tcBorders>
                      <w:top w:val="outset" w:sz="6" w:space="0" w:color="auto"/>
                      <w:left w:val="outset" w:sz="6" w:space="0" w:color="auto"/>
                      <w:bottom w:val="outset" w:sz="6" w:space="0" w:color="auto"/>
                      <w:right w:val="outset" w:sz="6" w:space="0" w:color="auto"/>
                    </w:tcBorders>
                    <w:vAlign w:val="center"/>
                  </w:tcPr>
                  <w:p w:rsidR="00B637B2" w:rsidRDefault="008F04CF" w:rsidP="00B637B2">
                    <w:pPr>
                      <w:jc w:val="both"/>
                      <w:rPr>
                        <w:szCs w:val="21"/>
                      </w:rPr>
                    </w:pPr>
                    <w:r>
                      <w:rPr>
                        <w:rFonts w:hint="eastAsia"/>
                      </w:rPr>
                      <w:t>七、</w:t>
                    </w:r>
                    <w:r>
                      <w:t>57</w:t>
                    </w:r>
                  </w:p>
                </w:tc>
                <w:tc>
                  <w:tcPr>
                    <w:tcW w:w="1125" w:type="pct"/>
                    <w:tcBorders>
                      <w:top w:val="outset" w:sz="6" w:space="0" w:color="auto"/>
                      <w:left w:val="outset" w:sz="6" w:space="0" w:color="auto"/>
                      <w:bottom w:val="outset" w:sz="6" w:space="0" w:color="auto"/>
                      <w:right w:val="outset" w:sz="6" w:space="0" w:color="auto"/>
                    </w:tcBorders>
                  </w:tcPr>
                  <w:p w:rsidR="00B637B2" w:rsidRDefault="008F04CF" w:rsidP="00B637B2">
                    <w:pPr>
                      <w:jc w:val="right"/>
                      <w:rPr>
                        <w:szCs w:val="21"/>
                      </w:rPr>
                    </w:pPr>
                    <w:r w:rsidRPr="00B77DD9">
                      <w:t>3,945,749</w:t>
                    </w:r>
                  </w:p>
                </w:tc>
                <w:tc>
                  <w:tcPr>
                    <w:tcW w:w="1147" w:type="pct"/>
                    <w:tcBorders>
                      <w:top w:val="outset" w:sz="6" w:space="0" w:color="auto"/>
                      <w:left w:val="outset" w:sz="6" w:space="0" w:color="auto"/>
                      <w:bottom w:val="outset" w:sz="6" w:space="0" w:color="auto"/>
                      <w:right w:val="outset" w:sz="6" w:space="0" w:color="auto"/>
                    </w:tcBorders>
                  </w:tcPr>
                  <w:p w:rsidR="00B637B2" w:rsidRDefault="008F04CF" w:rsidP="00B637B2">
                    <w:pPr>
                      <w:jc w:val="right"/>
                      <w:rPr>
                        <w:szCs w:val="21"/>
                      </w:rPr>
                    </w:pPr>
                    <w:r w:rsidRPr="00B77DD9">
                      <w:t>-25,234,857</w:t>
                    </w:r>
                  </w:p>
                </w:tc>
              </w:tr>
              <w:tr w:rsidR="00B637B2" w:rsidTr="00B637B2">
                <w:sdt>
                  <w:sdtPr>
                    <w:tag w:val="_PLD_88ef3a1b7ae6448183de3fe2b91f7cd5"/>
                    <w:id w:val="-1608195727"/>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3F54E5" w:rsidRDefault="003F54E5" w:rsidP="003F54E5">
                        <w:pPr>
                          <w:ind w:firstLineChars="100" w:firstLine="210"/>
                          <w:rPr>
                            <w:szCs w:val="21"/>
                          </w:rPr>
                        </w:pPr>
                        <w:r>
                          <w:rPr>
                            <w:rFonts w:hint="eastAsia"/>
                            <w:szCs w:val="21"/>
                          </w:rPr>
                          <w:t>专项储备</w:t>
                        </w:r>
                      </w:p>
                    </w:tc>
                  </w:sdtContent>
                </w:sdt>
                <w:tc>
                  <w:tcPr>
                    <w:tcW w:w="562" w:type="pct"/>
                    <w:tcBorders>
                      <w:top w:val="outset" w:sz="6" w:space="0" w:color="auto"/>
                      <w:left w:val="outset" w:sz="6" w:space="0" w:color="auto"/>
                      <w:bottom w:val="outset" w:sz="6" w:space="0" w:color="auto"/>
                      <w:right w:val="outset" w:sz="6" w:space="0" w:color="auto"/>
                    </w:tcBorders>
                    <w:vAlign w:val="center"/>
                  </w:tcPr>
                  <w:p w:rsidR="003F54E5" w:rsidRDefault="003F54E5" w:rsidP="00B637B2">
                    <w:pPr>
                      <w:jc w:val="both"/>
                      <w:rPr>
                        <w:szCs w:val="21"/>
                      </w:rPr>
                    </w:pPr>
                    <w:r>
                      <w:t xml:space="preserve">　</w:t>
                    </w:r>
                  </w:p>
                </w:tc>
                <w:tc>
                  <w:tcPr>
                    <w:tcW w:w="1125" w:type="pct"/>
                    <w:tcBorders>
                      <w:top w:val="outset" w:sz="6" w:space="0" w:color="auto"/>
                      <w:left w:val="outset" w:sz="6" w:space="0" w:color="auto"/>
                      <w:bottom w:val="outset" w:sz="6" w:space="0" w:color="auto"/>
                      <w:right w:val="outset" w:sz="6" w:space="0" w:color="auto"/>
                    </w:tcBorders>
                  </w:tcPr>
                  <w:p w:rsidR="003F54E5" w:rsidRDefault="008F04CF" w:rsidP="003F54E5">
                    <w:pPr>
                      <w:jc w:val="right"/>
                      <w:rPr>
                        <w:szCs w:val="21"/>
                      </w:rPr>
                    </w:pPr>
                    <w:r>
                      <w:rPr>
                        <w:rFonts w:hint="eastAsia"/>
                        <w:szCs w:val="21"/>
                      </w:rPr>
                      <w:t>-</w:t>
                    </w:r>
                  </w:p>
                </w:tc>
                <w:tc>
                  <w:tcPr>
                    <w:tcW w:w="1147" w:type="pct"/>
                    <w:tcBorders>
                      <w:top w:val="outset" w:sz="6" w:space="0" w:color="auto"/>
                      <w:left w:val="outset" w:sz="6" w:space="0" w:color="auto"/>
                      <w:bottom w:val="outset" w:sz="6" w:space="0" w:color="auto"/>
                      <w:right w:val="outset" w:sz="6" w:space="0" w:color="auto"/>
                    </w:tcBorders>
                  </w:tcPr>
                  <w:p w:rsidR="003F54E5" w:rsidRDefault="008F04CF" w:rsidP="003F54E5">
                    <w:pPr>
                      <w:jc w:val="right"/>
                      <w:rPr>
                        <w:szCs w:val="21"/>
                      </w:rPr>
                    </w:pPr>
                    <w:r>
                      <w:rPr>
                        <w:rFonts w:hint="eastAsia"/>
                        <w:szCs w:val="21"/>
                      </w:rPr>
                      <w:t>-</w:t>
                    </w:r>
                  </w:p>
                </w:tc>
              </w:tr>
              <w:tr w:rsidR="00B637B2" w:rsidTr="00B637B2">
                <w:sdt>
                  <w:sdtPr>
                    <w:tag w:val="_PLD_9f1157091e4b41f7b980273a3e11b2e5"/>
                    <w:id w:val="491450492"/>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B637B2" w:rsidRDefault="008F04CF" w:rsidP="00B637B2">
                        <w:pPr>
                          <w:ind w:firstLineChars="100" w:firstLine="210"/>
                          <w:rPr>
                            <w:szCs w:val="21"/>
                          </w:rPr>
                        </w:pPr>
                        <w:r>
                          <w:rPr>
                            <w:rFonts w:hint="eastAsia"/>
                            <w:szCs w:val="21"/>
                          </w:rPr>
                          <w:t>盈余公积</w:t>
                        </w:r>
                      </w:p>
                    </w:tc>
                  </w:sdtContent>
                </w:sdt>
                <w:tc>
                  <w:tcPr>
                    <w:tcW w:w="562" w:type="pct"/>
                    <w:tcBorders>
                      <w:top w:val="outset" w:sz="6" w:space="0" w:color="auto"/>
                      <w:left w:val="outset" w:sz="6" w:space="0" w:color="auto"/>
                      <w:bottom w:val="outset" w:sz="6" w:space="0" w:color="auto"/>
                      <w:right w:val="outset" w:sz="6" w:space="0" w:color="auto"/>
                    </w:tcBorders>
                    <w:vAlign w:val="center"/>
                  </w:tcPr>
                  <w:p w:rsidR="00B637B2" w:rsidRDefault="008F04CF" w:rsidP="00B637B2">
                    <w:pPr>
                      <w:jc w:val="both"/>
                      <w:rPr>
                        <w:szCs w:val="21"/>
                      </w:rPr>
                    </w:pPr>
                    <w:r>
                      <w:rPr>
                        <w:rFonts w:hint="eastAsia"/>
                      </w:rPr>
                      <w:t>七、</w:t>
                    </w:r>
                    <w:r>
                      <w:t>59</w:t>
                    </w:r>
                  </w:p>
                </w:tc>
                <w:tc>
                  <w:tcPr>
                    <w:tcW w:w="1125" w:type="pct"/>
                    <w:tcBorders>
                      <w:top w:val="outset" w:sz="6" w:space="0" w:color="auto"/>
                      <w:left w:val="outset" w:sz="6" w:space="0" w:color="auto"/>
                      <w:bottom w:val="outset" w:sz="6" w:space="0" w:color="auto"/>
                      <w:right w:val="outset" w:sz="6" w:space="0" w:color="auto"/>
                    </w:tcBorders>
                  </w:tcPr>
                  <w:p w:rsidR="00B637B2" w:rsidRDefault="008F04CF" w:rsidP="00B637B2">
                    <w:pPr>
                      <w:jc w:val="right"/>
                      <w:rPr>
                        <w:szCs w:val="21"/>
                      </w:rPr>
                    </w:pPr>
                    <w:r w:rsidRPr="00B77DD9">
                      <w:rPr>
                        <w:szCs w:val="21"/>
                      </w:rPr>
                      <w:t>831,983,441</w:t>
                    </w:r>
                  </w:p>
                </w:tc>
                <w:tc>
                  <w:tcPr>
                    <w:tcW w:w="1147" w:type="pct"/>
                    <w:tcBorders>
                      <w:top w:val="outset" w:sz="6" w:space="0" w:color="auto"/>
                      <w:left w:val="outset" w:sz="6" w:space="0" w:color="auto"/>
                      <w:bottom w:val="outset" w:sz="6" w:space="0" w:color="auto"/>
                      <w:right w:val="outset" w:sz="6" w:space="0" w:color="auto"/>
                    </w:tcBorders>
                  </w:tcPr>
                  <w:p w:rsidR="00B637B2" w:rsidRDefault="008F04CF" w:rsidP="00B637B2">
                    <w:pPr>
                      <w:jc w:val="right"/>
                      <w:rPr>
                        <w:szCs w:val="21"/>
                      </w:rPr>
                    </w:pPr>
                    <w:r w:rsidRPr="00B77DD9">
                      <w:rPr>
                        <w:szCs w:val="21"/>
                      </w:rPr>
                      <w:t>827,153,655</w:t>
                    </w:r>
                  </w:p>
                </w:tc>
              </w:tr>
              <w:tr w:rsidR="00B637B2" w:rsidTr="00B637B2">
                <w:sdt>
                  <w:sdtPr>
                    <w:tag w:val="_PLD_c223f5905b0e4651a5a022690a7a5a1c"/>
                    <w:id w:val="1006790648"/>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3F54E5" w:rsidRDefault="003F54E5" w:rsidP="003F54E5">
                        <w:pPr>
                          <w:ind w:firstLineChars="100" w:firstLine="210"/>
                          <w:rPr>
                            <w:szCs w:val="21"/>
                          </w:rPr>
                        </w:pPr>
                        <w:r>
                          <w:rPr>
                            <w:rFonts w:hint="eastAsia"/>
                            <w:szCs w:val="21"/>
                          </w:rPr>
                          <w:t>一般风险准备</w:t>
                        </w:r>
                      </w:p>
                    </w:tc>
                  </w:sdtContent>
                </w:sdt>
                <w:tc>
                  <w:tcPr>
                    <w:tcW w:w="562" w:type="pct"/>
                    <w:tcBorders>
                      <w:top w:val="outset" w:sz="6" w:space="0" w:color="auto"/>
                      <w:left w:val="outset" w:sz="6" w:space="0" w:color="auto"/>
                      <w:bottom w:val="outset" w:sz="6" w:space="0" w:color="auto"/>
                      <w:right w:val="outset" w:sz="6" w:space="0" w:color="auto"/>
                    </w:tcBorders>
                    <w:vAlign w:val="center"/>
                  </w:tcPr>
                  <w:p w:rsidR="003F54E5" w:rsidRDefault="003F54E5" w:rsidP="00B637B2">
                    <w:pPr>
                      <w:jc w:val="both"/>
                      <w:rPr>
                        <w:szCs w:val="21"/>
                      </w:rPr>
                    </w:pPr>
                    <w:r>
                      <w:t xml:space="preserve">　</w:t>
                    </w:r>
                  </w:p>
                </w:tc>
                <w:tc>
                  <w:tcPr>
                    <w:tcW w:w="1125" w:type="pct"/>
                    <w:tcBorders>
                      <w:top w:val="outset" w:sz="6" w:space="0" w:color="auto"/>
                      <w:left w:val="outset" w:sz="6" w:space="0" w:color="auto"/>
                      <w:bottom w:val="outset" w:sz="6" w:space="0" w:color="auto"/>
                      <w:right w:val="outset" w:sz="6" w:space="0" w:color="auto"/>
                    </w:tcBorders>
                  </w:tcPr>
                  <w:p w:rsidR="003F54E5" w:rsidRDefault="008F04CF" w:rsidP="003F54E5">
                    <w:pPr>
                      <w:jc w:val="right"/>
                      <w:rPr>
                        <w:szCs w:val="21"/>
                      </w:rPr>
                    </w:pPr>
                    <w:r>
                      <w:rPr>
                        <w:rFonts w:hint="eastAsia"/>
                        <w:szCs w:val="21"/>
                      </w:rPr>
                      <w:t>-</w:t>
                    </w:r>
                  </w:p>
                </w:tc>
                <w:tc>
                  <w:tcPr>
                    <w:tcW w:w="1147" w:type="pct"/>
                    <w:tcBorders>
                      <w:top w:val="outset" w:sz="6" w:space="0" w:color="auto"/>
                      <w:left w:val="outset" w:sz="6" w:space="0" w:color="auto"/>
                      <w:bottom w:val="outset" w:sz="6" w:space="0" w:color="auto"/>
                      <w:right w:val="outset" w:sz="6" w:space="0" w:color="auto"/>
                    </w:tcBorders>
                  </w:tcPr>
                  <w:p w:rsidR="003F54E5" w:rsidRDefault="008F04CF" w:rsidP="003F54E5">
                    <w:pPr>
                      <w:jc w:val="right"/>
                      <w:rPr>
                        <w:szCs w:val="21"/>
                      </w:rPr>
                    </w:pPr>
                    <w:r>
                      <w:rPr>
                        <w:rFonts w:hint="eastAsia"/>
                        <w:szCs w:val="21"/>
                      </w:rPr>
                      <w:t>-</w:t>
                    </w:r>
                  </w:p>
                </w:tc>
              </w:tr>
              <w:tr w:rsidR="00B637B2" w:rsidTr="00B637B2">
                <w:sdt>
                  <w:sdtPr>
                    <w:tag w:val="_PLD_c329719465d9412cab74b5424ac30bd4"/>
                    <w:id w:val="-616679961"/>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B637B2" w:rsidRDefault="008F04CF" w:rsidP="00B637B2">
                        <w:pPr>
                          <w:ind w:firstLineChars="100" w:firstLine="210"/>
                          <w:rPr>
                            <w:szCs w:val="21"/>
                          </w:rPr>
                        </w:pPr>
                        <w:r>
                          <w:rPr>
                            <w:rFonts w:hint="eastAsia"/>
                            <w:szCs w:val="21"/>
                          </w:rPr>
                          <w:t>未分配利润</w:t>
                        </w:r>
                      </w:p>
                    </w:tc>
                  </w:sdtContent>
                </w:sdt>
                <w:tc>
                  <w:tcPr>
                    <w:tcW w:w="562" w:type="pct"/>
                    <w:tcBorders>
                      <w:top w:val="outset" w:sz="6" w:space="0" w:color="auto"/>
                      <w:left w:val="outset" w:sz="6" w:space="0" w:color="auto"/>
                      <w:bottom w:val="outset" w:sz="6" w:space="0" w:color="auto"/>
                      <w:right w:val="outset" w:sz="6" w:space="0" w:color="auto"/>
                    </w:tcBorders>
                    <w:vAlign w:val="center"/>
                  </w:tcPr>
                  <w:p w:rsidR="00B637B2" w:rsidRDefault="008F04CF" w:rsidP="00B637B2">
                    <w:pPr>
                      <w:jc w:val="both"/>
                      <w:rPr>
                        <w:szCs w:val="21"/>
                      </w:rPr>
                    </w:pPr>
                    <w:r>
                      <w:rPr>
                        <w:rFonts w:hint="eastAsia"/>
                      </w:rPr>
                      <w:t>七、</w:t>
                    </w:r>
                    <w:r>
                      <w:t>60</w:t>
                    </w:r>
                  </w:p>
                </w:tc>
                <w:tc>
                  <w:tcPr>
                    <w:tcW w:w="1125" w:type="pct"/>
                    <w:tcBorders>
                      <w:top w:val="outset" w:sz="6" w:space="0" w:color="auto"/>
                      <w:left w:val="outset" w:sz="6" w:space="0" w:color="auto"/>
                      <w:bottom w:val="outset" w:sz="6" w:space="0" w:color="auto"/>
                      <w:right w:val="outset" w:sz="6" w:space="0" w:color="auto"/>
                    </w:tcBorders>
                  </w:tcPr>
                  <w:p w:rsidR="00B637B2" w:rsidRDefault="008F04CF" w:rsidP="00B637B2">
                    <w:pPr>
                      <w:jc w:val="right"/>
                      <w:rPr>
                        <w:szCs w:val="21"/>
                      </w:rPr>
                    </w:pPr>
                    <w:r w:rsidRPr="00B77DD9">
                      <w:rPr>
                        <w:szCs w:val="21"/>
                      </w:rPr>
                      <w:t>1,859,220,986</w:t>
                    </w:r>
                  </w:p>
                </w:tc>
                <w:tc>
                  <w:tcPr>
                    <w:tcW w:w="1147" w:type="pct"/>
                    <w:tcBorders>
                      <w:top w:val="outset" w:sz="6" w:space="0" w:color="auto"/>
                      <w:left w:val="outset" w:sz="6" w:space="0" w:color="auto"/>
                      <w:bottom w:val="outset" w:sz="6" w:space="0" w:color="auto"/>
                      <w:right w:val="outset" w:sz="6" w:space="0" w:color="auto"/>
                    </w:tcBorders>
                  </w:tcPr>
                  <w:p w:rsidR="00B637B2" w:rsidRDefault="008F04CF" w:rsidP="00B637B2">
                    <w:pPr>
                      <w:jc w:val="right"/>
                      <w:rPr>
                        <w:szCs w:val="21"/>
                      </w:rPr>
                    </w:pPr>
                    <w:r w:rsidRPr="00B77DD9">
                      <w:rPr>
                        <w:szCs w:val="21"/>
                      </w:rPr>
                      <w:t>1,785,975,033</w:t>
                    </w:r>
                  </w:p>
                </w:tc>
              </w:tr>
              <w:tr w:rsidR="00B637B2" w:rsidTr="00B637B2">
                <w:sdt>
                  <w:sdtPr>
                    <w:tag w:val="_PLD_09fcb4ca82f14307ab214d34a90b9ef2"/>
                    <w:id w:val="587434286"/>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3F54E5" w:rsidRDefault="003F54E5" w:rsidP="003F54E5">
                        <w:pPr>
                          <w:ind w:firstLineChars="100" w:firstLine="210"/>
                          <w:rPr>
                            <w:szCs w:val="21"/>
                          </w:rPr>
                        </w:pPr>
                        <w:r>
                          <w:rPr>
                            <w:rFonts w:hint="eastAsia"/>
                          </w:rPr>
                          <w:t>归属于母公司所有者权益（或股东权益）合计</w:t>
                        </w:r>
                      </w:p>
                    </w:tc>
                  </w:sdtContent>
                </w:sdt>
                <w:tc>
                  <w:tcPr>
                    <w:tcW w:w="562" w:type="pct"/>
                    <w:tcBorders>
                      <w:top w:val="outset" w:sz="6" w:space="0" w:color="auto"/>
                      <w:left w:val="outset" w:sz="6" w:space="0" w:color="auto"/>
                      <w:bottom w:val="outset" w:sz="6" w:space="0" w:color="auto"/>
                      <w:right w:val="outset" w:sz="6" w:space="0" w:color="auto"/>
                    </w:tcBorders>
                    <w:vAlign w:val="center"/>
                  </w:tcPr>
                  <w:p w:rsidR="003F54E5" w:rsidRDefault="003F54E5" w:rsidP="00B637B2">
                    <w:pPr>
                      <w:jc w:val="both"/>
                      <w:rPr>
                        <w:szCs w:val="21"/>
                      </w:rPr>
                    </w:pPr>
                  </w:p>
                </w:tc>
                <w:tc>
                  <w:tcPr>
                    <w:tcW w:w="1125" w:type="pct"/>
                    <w:tcBorders>
                      <w:top w:val="outset" w:sz="6" w:space="0" w:color="auto"/>
                      <w:left w:val="outset" w:sz="6" w:space="0" w:color="auto"/>
                      <w:bottom w:val="outset" w:sz="6" w:space="0" w:color="auto"/>
                      <w:right w:val="outset" w:sz="6" w:space="0" w:color="auto"/>
                    </w:tcBorders>
                    <w:vAlign w:val="center"/>
                  </w:tcPr>
                  <w:p w:rsidR="003F54E5" w:rsidRDefault="008F04CF" w:rsidP="00B637B2">
                    <w:pPr>
                      <w:jc w:val="right"/>
                      <w:rPr>
                        <w:szCs w:val="21"/>
                      </w:rPr>
                    </w:pPr>
                    <w:r w:rsidRPr="00B77DD9">
                      <w:rPr>
                        <w:szCs w:val="21"/>
                      </w:rPr>
                      <w:t>6,264,373,010</w:t>
                    </w:r>
                  </w:p>
                </w:tc>
                <w:tc>
                  <w:tcPr>
                    <w:tcW w:w="1147" w:type="pct"/>
                    <w:tcBorders>
                      <w:top w:val="outset" w:sz="6" w:space="0" w:color="auto"/>
                      <w:left w:val="outset" w:sz="6" w:space="0" w:color="auto"/>
                      <w:bottom w:val="outset" w:sz="6" w:space="0" w:color="auto"/>
                      <w:right w:val="outset" w:sz="6" w:space="0" w:color="auto"/>
                    </w:tcBorders>
                    <w:vAlign w:val="center"/>
                  </w:tcPr>
                  <w:p w:rsidR="003F54E5" w:rsidRDefault="008F04CF" w:rsidP="00B637B2">
                    <w:pPr>
                      <w:jc w:val="right"/>
                      <w:rPr>
                        <w:szCs w:val="21"/>
                      </w:rPr>
                    </w:pPr>
                    <w:r w:rsidRPr="00B77DD9">
                      <w:rPr>
                        <w:szCs w:val="21"/>
                      </w:rPr>
                      <w:t>6,570,697,503</w:t>
                    </w:r>
                  </w:p>
                </w:tc>
              </w:tr>
              <w:tr w:rsidR="00B637B2" w:rsidTr="00B637B2">
                <w:sdt>
                  <w:sdtPr>
                    <w:tag w:val="_PLD_ba9844f67b5f427c8b672b584512bc30"/>
                    <w:id w:val="339288457"/>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3F54E5" w:rsidRDefault="003F54E5" w:rsidP="003F54E5">
                        <w:pPr>
                          <w:ind w:firstLineChars="100" w:firstLine="210"/>
                          <w:rPr>
                            <w:szCs w:val="21"/>
                          </w:rPr>
                        </w:pPr>
                        <w:r>
                          <w:rPr>
                            <w:rFonts w:hint="eastAsia"/>
                            <w:szCs w:val="21"/>
                          </w:rPr>
                          <w:t>少数股东权益</w:t>
                        </w:r>
                      </w:p>
                    </w:tc>
                  </w:sdtContent>
                </w:sdt>
                <w:tc>
                  <w:tcPr>
                    <w:tcW w:w="562" w:type="pct"/>
                    <w:tcBorders>
                      <w:top w:val="outset" w:sz="6" w:space="0" w:color="auto"/>
                      <w:left w:val="outset" w:sz="6" w:space="0" w:color="auto"/>
                      <w:bottom w:val="outset" w:sz="6" w:space="0" w:color="auto"/>
                      <w:right w:val="outset" w:sz="6" w:space="0" w:color="auto"/>
                    </w:tcBorders>
                    <w:vAlign w:val="center"/>
                  </w:tcPr>
                  <w:p w:rsidR="003F54E5" w:rsidRDefault="003F54E5" w:rsidP="00B637B2">
                    <w:pPr>
                      <w:jc w:val="both"/>
                      <w:rPr>
                        <w:szCs w:val="21"/>
                      </w:rPr>
                    </w:pPr>
                  </w:p>
                </w:tc>
                <w:tc>
                  <w:tcPr>
                    <w:tcW w:w="1125" w:type="pct"/>
                    <w:tcBorders>
                      <w:top w:val="outset" w:sz="6" w:space="0" w:color="auto"/>
                      <w:left w:val="outset" w:sz="6" w:space="0" w:color="auto"/>
                      <w:bottom w:val="outset" w:sz="6" w:space="0" w:color="auto"/>
                      <w:right w:val="outset" w:sz="6" w:space="0" w:color="auto"/>
                    </w:tcBorders>
                  </w:tcPr>
                  <w:p w:rsidR="003F54E5" w:rsidRDefault="008F04CF" w:rsidP="003F54E5">
                    <w:pPr>
                      <w:jc w:val="right"/>
                      <w:rPr>
                        <w:szCs w:val="21"/>
                      </w:rPr>
                    </w:pPr>
                    <w:r w:rsidRPr="00B77DD9">
                      <w:rPr>
                        <w:szCs w:val="21"/>
                      </w:rPr>
                      <w:t>1,040,609,267</w:t>
                    </w:r>
                  </w:p>
                </w:tc>
                <w:tc>
                  <w:tcPr>
                    <w:tcW w:w="1147" w:type="pct"/>
                    <w:tcBorders>
                      <w:top w:val="outset" w:sz="6" w:space="0" w:color="auto"/>
                      <w:left w:val="outset" w:sz="6" w:space="0" w:color="auto"/>
                      <w:bottom w:val="outset" w:sz="6" w:space="0" w:color="auto"/>
                      <w:right w:val="outset" w:sz="6" w:space="0" w:color="auto"/>
                    </w:tcBorders>
                  </w:tcPr>
                  <w:p w:rsidR="003F54E5" w:rsidRDefault="008F04CF" w:rsidP="003F54E5">
                    <w:pPr>
                      <w:jc w:val="right"/>
                      <w:rPr>
                        <w:szCs w:val="21"/>
                      </w:rPr>
                    </w:pPr>
                    <w:r w:rsidRPr="00B77DD9">
                      <w:rPr>
                        <w:szCs w:val="21"/>
                      </w:rPr>
                      <w:t>1,081,265,642</w:t>
                    </w:r>
                  </w:p>
                </w:tc>
              </w:tr>
              <w:tr w:rsidR="00B637B2" w:rsidTr="00B637B2">
                <w:sdt>
                  <w:sdtPr>
                    <w:tag w:val="_PLD_49d0693ecf324c179ed30b3065d9fd15"/>
                    <w:id w:val="-996261772"/>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3F54E5" w:rsidRDefault="003F54E5" w:rsidP="003F54E5">
                        <w:pPr>
                          <w:ind w:firstLineChars="200" w:firstLine="420"/>
                          <w:rPr>
                            <w:szCs w:val="21"/>
                          </w:rPr>
                        </w:pPr>
                        <w:r>
                          <w:rPr>
                            <w:rFonts w:hint="eastAsia"/>
                          </w:rPr>
                          <w:t>所有者权益（或股东权益）合计</w:t>
                        </w:r>
                      </w:p>
                    </w:tc>
                  </w:sdtContent>
                </w:sdt>
                <w:tc>
                  <w:tcPr>
                    <w:tcW w:w="562" w:type="pct"/>
                    <w:tcBorders>
                      <w:top w:val="outset" w:sz="6" w:space="0" w:color="auto"/>
                      <w:left w:val="outset" w:sz="6" w:space="0" w:color="auto"/>
                      <w:bottom w:val="outset" w:sz="6" w:space="0" w:color="auto"/>
                      <w:right w:val="outset" w:sz="6" w:space="0" w:color="auto"/>
                    </w:tcBorders>
                    <w:vAlign w:val="center"/>
                  </w:tcPr>
                  <w:p w:rsidR="003F54E5" w:rsidRDefault="003F54E5" w:rsidP="00B637B2">
                    <w:pPr>
                      <w:jc w:val="both"/>
                      <w:rPr>
                        <w:szCs w:val="21"/>
                      </w:rPr>
                    </w:pPr>
                  </w:p>
                </w:tc>
                <w:tc>
                  <w:tcPr>
                    <w:tcW w:w="1125" w:type="pct"/>
                    <w:tcBorders>
                      <w:top w:val="outset" w:sz="6" w:space="0" w:color="auto"/>
                      <w:left w:val="outset" w:sz="6" w:space="0" w:color="auto"/>
                      <w:bottom w:val="outset" w:sz="6" w:space="0" w:color="auto"/>
                      <w:right w:val="outset" w:sz="6" w:space="0" w:color="auto"/>
                    </w:tcBorders>
                  </w:tcPr>
                  <w:p w:rsidR="003F54E5" w:rsidRDefault="008F04CF" w:rsidP="003F54E5">
                    <w:pPr>
                      <w:jc w:val="right"/>
                      <w:rPr>
                        <w:szCs w:val="21"/>
                      </w:rPr>
                    </w:pPr>
                    <w:r w:rsidRPr="00B77DD9">
                      <w:rPr>
                        <w:szCs w:val="21"/>
                      </w:rPr>
                      <w:t>7,304,982,277</w:t>
                    </w:r>
                  </w:p>
                </w:tc>
                <w:tc>
                  <w:tcPr>
                    <w:tcW w:w="1147" w:type="pct"/>
                    <w:tcBorders>
                      <w:top w:val="outset" w:sz="6" w:space="0" w:color="auto"/>
                      <w:left w:val="outset" w:sz="6" w:space="0" w:color="auto"/>
                      <w:bottom w:val="outset" w:sz="6" w:space="0" w:color="auto"/>
                      <w:right w:val="outset" w:sz="6" w:space="0" w:color="auto"/>
                    </w:tcBorders>
                  </w:tcPr>
                  <w:p w:rsidR="003F54E5" w:rsidRDefault="008F04CF" w:rsidP="003F54E5">
                    <w:pPr>
                      <w:jc w:val="right"/>
                      <w:rPr>
                        <w:szCs w:val="21"/>
                      </w:rPr>
                    </w:pPr>
                    <w:r w:rsidRPr="00B77DD9">
                      <w:rPr>
                        <w:szCs w:val="21"/>
                      </w:rPr>
                      <w:t>7,651,963,145</w:t>
                    </w:r>
                  </w:p>
                </w:tc>
              </w:tr>
              <w:tr w:rsidR="00B637B2" w:rsidTr="00B637B2">
                <w:sdt>
                  <w:sdtPr>
                    <w:tag w:val="_PLD_def9f9081ac845ec93bbb1e70817d650"/>
                    <w:id w:val="-329289429"/>
                    <w:lock w:val="sdtLocked"/>
                  </w:sdtPr>
                  <w:sdtContent>
                    <w:tc>
                      <w:tcPr>
                        <w:tcW w:w="2166" w:type="pct"/>
                        <w:tcBorders>
                          <w:top w:val="outset" w:sz="6" w:space="0" w:color="auto"/>
                          <w:left w:val="outset" w:sz="6" w:space="0" w:color="auto"/>
                          <w:bottom w:val="outset" w:sz="6" w:space="0" w:color="auto"/>
                          <w:right w:val="outset" w:sz="6" w:space="0" w:color="auto"/>
                        </w:tcBorders>
                        <w:vAlign w:val="center"/>
                      </w:tcPr>
                      <w:p w:rsidR="003F54E5" w:rsidRDefault="003F54E5" w:rsidP="003F54E5">
                        <w:pPr>
                          <w:ind w:firstLineChars="300" w:firstLine="630"/>
                          <w:rPr>
                            <w:szCs w:val="21"/>
                          </w:rPr>
                        </w:pPr>
                        <w:r>
                          <w:rPr>
                            <w:rFonts w:hint="eastAsia"/>
                            <w:szCs w:val="21"/>
                          </w:rPr>
                          <w:t>负债和所有者权益（或股东权益）总计</w:t>
                        </w:r>
                      </w:p>
                    </w:tc>
                  </w:sdtContent>
                </w:sdt>
                <w:tc>
                  <w:tcPr>
                    <w:tcW w:w="562" w:type="pct"/>
                    <w:tcBorders>
                      <w:top w:val="outset" w:sz="6" w:space="0" w:color="auto"/>
                      <w:left w:val="outset" w:sz="6" w:space="0" w:color="auto"/>
                      <w:bottom w:val="outset" w:sz="6" w:space="0" w:color="auto"/>
                      <w:right w:val="outset" w:sz="6" w:space="0" w:color="auto"/>
                    </w:tcBorders>
                    <w:vAlign w:val="center"/>
                  </w:tcPr>
                  <w:p w:rsidR="003F54E5" w:rsidRDefault="003F54E5" w:rsidP="00B637B2">
                    <w:pPr>
                      <w:jc w:val="both"/>
                      <w:rPr>
                        <w:szCs w:val="21"/>
                      </w:rPr>
                    </w:pPr>
                  </w:p>
                </w:tc>
                <w:tc>
                  <w:tcPr>
                    <w:tcW w:w="1125" w:type="pct"/>
                    <w:tcBorders>
                      <w:top w:val="outset" w:sz="6" w:space="0" w:color="auto"/>
                      <w:left w:val="outset" w:sz="6" w:space="0" w:color="auto"/>
                      <w:bottom w:val="outset" w:sz="6" w:space="0" w:color="auto"/>
                      <w:right w:val="outset" w:sz="6" w:space="0" w:color="auto"/>
                    </w:tcBorders>
                    <w:vAlign w:val="center"/>
                  </w:tcPr>
                  <w:p w:rsidR="003F54E5" w:rsidRDefault="008F04CF" w:rsidP="00B637B2">
                    <w:pPr>
                      <w:jc w:val="right"/>
                      <w:rPr>
                        <w:szCs w:val="21"/>
                      </w:rPr>
                    </w:pPr>
                    <w:r w:rsidRPr="00B77DD9">
                      <w:rPr>
                        <w:szCs w:val="21"/>
                      </w:rPr>
                      <w:t>15,058,850,024</w:t>
                    </w:r>
                  </w:p>
                </w:tc>
                <w:tc>
                  <w:tcPr>
                    <w:tcW w:w="1147" w:type="pct"/>
                    <w:tcBorders>
                      <w:top w:val="outset" w:sz="6" w:space="0" w:color="auto"/>
                      <w:left w:val="outset" w:sz="6" w:space="0" w:color="auto"/>
                      <w:bottom w:val="outset" w:sz="6" w:space="0" w:color="auto"/>
                      <w:right w:val="outset" w:sz="6" w:space="0" w:color="auto"/>
                    </w:tcBorders>
                    <w:vAlign w:val="center"/>
                  </w:tcPr>
                  <w:p w:rsidR="003F54E5" w:rsidRDefault="008F04CF" w:rsidP="00B637B2">
                    <w:pPr>
                      <w:jc w:val="right"/>
                      <w:rPr>
                        <w:szCs w:val="21"/>
                      </w:rPr>
                    </w:pPr>
                    <w:r w:rsidRPr="00B77DD9">
                      <w:rPr>
                        <w:szCs w:val="21"/>
                      </w:rPr>
                      <w:t>15,220,896,594</w:t>
                    </w:r>
                  </w:p>
                </w:tc>
              </w:tr>
            </w:tbl>
            <w:p w:rsidR="003F54E5" w:rsidRDefault="003F54E5"/>
            <w:p w:rsidR="00ED2DC7" w:rsidRDefault="00ED2DC7">
              <w:pPr>
                <w:ind w:rightChars="-73" w:right="-153"/>
                <w:rPr>
                  <w:color w:val="008000"/>
                  <w:szCs w:val="21"/>
                  <w:u w:val="single"/>
                </w:rPr>
              </w:pPr>
              <w:r>
                <w:rPr>
                  <w:szCs w:val="21"/>
                </w:rPr>
                <w:t>法定代表人</w:t>
              </w:r>
              <w:r>
                <w:rPr>
                  <w:rFonts w:hint="eastAsia"/>
                  <w:szCs w:val="21"/>
                </w:rPr>
                <w:t>：</w:t>
              </w:r>
              <w:sdt>
                <w:sdtPr>
                  <w:rPr>
                    <w:rFonts w:hint="eastAsia"/>
                    <w:szCs w:val="21"/>
                  </w:rPr>
                  <w:alias w:val="公司法定代表人"/>
                  <w:tag w:val="_GBC_82350876809b4479afe9f3c55db147dd"/>
                  <w:id w:val="-505209985"/>
                  <w:lock w:val="sdtLocked"/>
                  <w:placeholder>
                    <w:docPart w:val="GBC22222222222222222222222222222"/>
                  </w:placeholder>
                  <w:dataBinding w:prefixMappings="xmlns:clcid-cgi='clcid-cgi'" w:xpath="/*/clcid-cgi:GongSiFaDingDaiBiaoRen[not(@periodRef)]" w:storeItemID="{89EBAB94-44A0-46A2-B712-30D997D04A6D}"/>
                  <w:text/>
                </w:sdtPr>
                <w:sdtContent>
                  <w:r w:rsidR="008F04CF">
                    <w:rPr>
                      <w:rFonts w:hint="eastAsia"/>
                      <w:szCs w:val="21"/>
                    </w:rPr>
                    <w:t>王文京</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9caf2fff268b41a7b3fe74fc4a3d6533"/>
                  <w:id w:val="641312680"/>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8F04CF">
                    <w:rPr>
                      <w:rFonts w:hint="eastAsia"/>
                      <w:szCs w:val="21"/>
                    </w:rPr>
                    <w:t>章培林</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8cacbe4a6fcc41699e67ce809516ec50"/>
                  <w:id w:val="1293635942"/>
                  <w:lock w:val="sdtLocked"/>
                  <w:placeholder>
                    <w:docPart w:val="GBC22222222222222222222222222222"/>
                  </w:placeholder>
                  <w:dataBinding w:prefixMappings="xmlns:clcid-mr='clcid-mr'" w:xpath="/*/clcid-mr:KuaiJiJiGouFuZeRenXingMing[not(@periodRef)]" w:storeItemID="{89EBAB94-44A0-46A2-B712-30D997D04A6D}"/>
                  <w:text/>
                </w:sdtPr>
                <w:sdtContent>
                  <w:r w:rsidR="008F04CF">
                    <w:rPr>
                      <w:rFonts w:hint="eastAsia"/>
                      <w:szCs w:val="21"/>
                    </w:rPr>
                    <w:t>孙淑嫔</w:t>
                  </w:r>
                </w:sdtContent>
              </w:sdt>
            </w:p>
            <w:p w:rsidR="00ED2DC7" w:rsidRDefault="000D0A99">
              <w:pPr>
                <w:ind w:rightChars="-73" w:right="-153"/>
                <w:rPr>
                  <w:b/>
                  <w:bCs/>
                  <w:color w:val="008000"/>
                  <w:szCs w:val="21"/>
                  <w:u w:val="single"/>
                </w:rPr>
              </w:pPr>
            </w:p>
          </w:sdtContent>
        </w:sdt>
        <w:p w:rsidR="00ED2DC7" w:rsidRDefault="00ED2DC7">
          <w:pPr>
            <w:snapToGrid w:val="0"/>
            <w:spacing w:line="240" w:lineRule="atLeast"/>
            <w:ind w:rightChars="-759" w:right="-1594"/>
            <w:rPr>
              <w:szCs w:val="21"/>
            </w:rPr>
          </w:pPr>
        </w:p>
        <w:sdt>
          <w:sdtPr>
            <w:rPr>
              <w:rFonts w:ascii="宋体" w:hAnsi="宋体" w:cs="宋体" w:hint="eastAsia"/>
              <w:b w:val="0"/>
              <w:bCs w:val="0"/>
              <w:kern w:val="0"/>
              <w:szCs w:val="24"/>
            </w:rPr>
            <w:tag w:val="_GBC_af8c8d1094d041008b00be724891aff3"/>
            <w:id w:val="-1722508883"/>
            <w:lock w:val="sdtLocked"/>
            <w:placeholder>
              <w:docPart w:val="GBC22222222222222222222222222222"/>
            </w:placeholder>
          </w:sdtPr>
          <w:sdtEndPr>
            <w:rPr>
              <w:szCs w:val="21"/>
            </w:rPr>
          </w:sdtEndPr>
          <w:sdtContent>
            <w:p w:rsidR="00ED2DC7" w:rsidRDefault="00ED2DC7">
              <w:pPr>
                <w:pStyle w:val="affffffffffffffffff1"/>
                <w:jc w:val="center"/>
              </w:pPr>
              <w:r>
                <w:rPr>
                  <w:rFonts w:hint="eastAsia"/>
                </w:rPr>
                <w:t>母公司</w:t>
              </w:r>
              <w:r>
                <w:t>资产负债表</w:t>
              </w:r>
            </w:p>
            <w:p w:rsidR="00ED2DC7" w:rsidRDefault="00ED2DC7">
              <w:pPr>
                <w:jc w:val="center"/>
                <w:rPr>
                  <w:b/>
                  <w:bCs/>
                  <w:szCs w:val="21"/>
                </w:rPr>
              </w:pPr>
              <w:r>
                <w:rPr>
                  <w:szCs w:val="21"/>
                </w:rPr>
                <w:t>2019年</w:t>
              </w:r>
              <w:r>
                <w:rPr>
                  <w:rFonts w:hint="eastAsia"/>
                  <w:szCs w:val="21"/>
                </w:rPr>
                <w:t>6</w:t>
              </w:r>
              <w:r>
                <w:rPr>
                  <w:szCs w:val="21"/>
                </w:rPr>
                <w:t>月3</w:t>
              </w:r>
              <w:r>
                <w:rPr>
                  <w:rFonts w:hint="eastAsia"/>
                  <w:szCs w:val="21"/>
                </w:rPr>
                <w:t>0</w:t>
              </w:r>
              <w:r>
                <w:rPr>
                  <w:szCs w:val="21"/>
                </w:rPr>
                <w:t>日</w:t>
              </w:r>
            </w:p>
            <w:p w:rsidR="00ED2DC7" w:rsidRDefault="00ED2DC7">
              <w:pPr>
                <w:rPr>
                  <w:szCs w:val="21"/>
                </w:rPr>
              </w:pPr>
              <w:r>
                <w:rPr>
                  <w:szCs w:val="21"/>
                </w:rPr>
                <w:t>编制单位:</w:t>
              </w:r>
              <w:sdt>
                <w:sdtPr>
                  <w:rPr>
                    <w:szCs w:val="21"/>
                  </w:rPr>
                  <w:alias w:val="公司法定中文名称"/>
                  <w:tag w:val="_GBC_824a3e7402834e78aa66a9ee77d287bc"/>
                  <w:id w:val="-450321223"/>
                  <w:lock w:val="sdtLocked"/>
                  <w:placeholder>
                    <w:docPart w:val="GBC22222222222222222222222222222"/>
                  </w:placeholder>
                  <w:dataBinding w:prefixMappings="xmlns:clcid-cgi='clcid-cgi'" w:xpath="/*/clcid-cgi:GongSiFaDingZhongWenMingCheng[not(@periodRef)]" w:storeItemID="{89EBAB94-44A0-46A2-B712-30D997D04A6D}"/>
                  <w:text/>
                </w:sdtPr>
                <w:sdtContent>
                  <w:r w:rsidR="008F04CF">
                    <w:rPr>
                      <w:szCs w:val="21"/>
                    </w:rPr>
                    <w:t>用友网络科技股份有限公司</w:t>
                  </w:r>
                </w:sdtContent>
              </w:sdt>
              <w:r>
                <w:rPr>
                  <w:szCs w:val="21"/>
                </w:rPr>
                <w:t> </w:t>
              </w:r>
            </w:p>
            <w:p w:rsidR="00ED2DC7" w:rsidRDefault="00ED2DC7">
              <w:pPr>
                <w:jc w:val="right"/>
                <w:rPr>
                  <w:szCs w:val="21"/>
                </w:rPr>
              </w:pPr>
              <w:r>
                <w:rPr>
                  <w:szCs w:val="21"/>
                </w:rPr>
                <w:t>单位:</w:t>
              </w:r>
              <w:sdt>
                <w:sdtPr>
                  <w:rPr>
                    <w:szCs w:val="21"/>
                  </w:rPr>
                  <w:alias w:val="单位：母公司资产负债表"/>
                  <w:tag w:val="_GBC_7be010b1a07f4048a3805d40208ccda4"/>
                  <w:id w:val="-14200856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szCs w:val="21"/>
                    </w:rPr>
                    <w:t>元</w:t>
                  </w:r>
                </w:sdtContent>
              </w:sdt>
              <w:r>
                <w:rPr>
                  <w:szCs w:val="21"/>
                </w:rPr>
                <w:t xml:space="preserve">  币种:</w:t>
              </w:r>
              <w:sdt>
                <w:sdtPr>
                  <w:rPr>
                    <w:szCs w:val="21"/>
                  </w:rPr>
                  <w:alias w:val="币种：母公司资产负债表"/>
                  <w:tag w:val="_GBC_ecd35f8ce6f84d6f8ad30e1e244c15ff"/>
                  <w:id w:val="-13299759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szCs w:val="21"/>
                    </w:rPr>
                    <w:t>人民币</w:t>
                  </w:r>
                </w:sdtContent>
              </w:sdt>
            </w:p>
            <w:tbl>
              <w:tblPr>
                <w:tblStyle w:val="g38"/>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819"/>
                <w:gridCol w:w="992"/>
                <w:gridCol w:w="1985"/>
                <w:gridCol w:w="2010"/>
              </w:tblGrid>
              <w:tr w:rsidR="00B637B2" w:rsidTr="00B637B2">
                <w:sdt>
                  <w:sdtPr>
                    <w:tag w:val="_PLD_7b231a79acb54050b640bf23dd34ab8c"/>
                    <w:id w:val="1990898641"/>
                    <w:lock w:val="sdtLocked"/>
                  </w:sdtPr>
                  <w:sdtContent>
                    <w:tc>
                      <w:tcPr>
                        <w:tcW w:w="2169" w:type="pct"/>
                        <w:tcBorders>
                          <w:top w:val="outset" w:sz="6" w:space="0" w:color="auto"/>
                          <w:left w:val="outset" w:sz="6" w:space="0" w:color="auto"/>
                          <w:bottom w:val="outset" w:sz="6" w:space="0" w:color="auto"/>
                          <w:right w:val="outset" w:sz="6" w:space="0" w:color="auto"/>
                        </w:tcBorders>
                        <w:vAlign w:val="center"/>
                      </w:tcPr>
                      <w:p w:rsidR="00B637B2" w:rsidRDefault="008F04CF" w:rsidP="00B637B2">
                        <w:pPr>
                          <w:jc w:val="center"/>
                          <w:rPr>
                            <w:b/>
                            <w:szCs w:val="21"/>
                          </w:rPr>
                        </w:pPr>
                        <w:r>
                          <w:rPr>
                            <w:b/>
                            <w:szCs w:val="21"/>
                          </w:rPr>
                          <w:t>项目</w:t>
                        </w:r>
                      </w:p>
                    </w:tc>
                  </w:sdtContent>
                </w:sdt>
                <w:sdt>
                  <w:sdtPr>
                    <w:tag w:val="_PLD_5e370aa08a144a709185abd9b2f11c20"/>
                    <w:id w:val="-1310389658"/>
                    <w:lock w:val="sdtLocked"/>
                  </w:sdtPr>
                  <w:sdtContent>
                    <w:tc>
                      <w:tcPr>
                        <w:tcW w:w="563" w:type="pct"/>
                        <w:tcBorders>
                          <w:top w:val="outset" w:sz="6" w:space="0" w:color="auto"/>
                          <w:left w:val="outset" w:sz="6" w:space="0" w:color="auto"/>
                          <w:bottom w:val="outset" w:sz="6" w:space="0" w:color="auto"/>
                          <w:right w:val="outset" w:sz="6" w:space="0" w:color="auto"/>
                        </w:tcBorders>
                        <w:vAlign w:val="center"/>
                      </w:tcPr>
                      <w:p w:rsidR="00B637B2" w:rsidRDefault="008F04CF" w:rsidP="00B637B2">
                        <w:pPr>
                          <w:jc w:val="center"/>
                          <w:rPr>
                            <w:b/>
                            <w:szCs w:val="21"/>
                          </w:rPr>
                        </w:pPr>
                        <w:r>
                          <w:rPr>
                            <w:rFonts w:hint="eastAsia"/>
                            <w:b/>
                            <w:szCs w:val="21"/>
                          </w:rPr>
                          <w:t>附注</w:t>
                        </w:r>
                      </w:p>
                    </w:tc>
                  </w:sdtContent>
                </w:sdt>
                <w:sdt>
                  <w:sdtPr>
                    <w:tag w:val="_PLD_0aa0a7a0cd4c45afa7cfb1bcfbba36c3"/>
                    <w:id w:val="593138840"/>
                    <w:lock w:val="sdtLocked"/>
                  </w:sdtPr>
                  <w:sdtContent>
                    <w:tc>
                      <w:tcPr>
                        <w:tcW w:w="1127" w:type="pct"/>
                        <w:tcBorders>
                          <w:top w:val="outset" w:sz="6" w:space="0" w:color="auto"/>
                          <w:left w:val="outset" w:sz="6" w:space="0" w:color="auto"/>
                          <w:bottom w:val="outset" w:sz="6" w:space="0" w:color="auto"/>
                          <w:right w:val="outset" w:sz="6" w:space="0" w:color="auto"/>
                        </w:tcBorders>
                        <w:vAlign w:val="center"/>
                      </w:tcPr>
                      <w:p w:rsidR="00B637B2" w:rsidRDefault="008F04CF" w:rsidP="00B637B2">
                        <w:pPr>
                          <w:jc w:val="center"/>
                          <w:rPr>
                            <w:b/>
                            <w:szCs w:val="21"/>
                          </w:rPr>
                        </w:pPr>
                        <w:r>
                          <w:rPr>
                            <w:rFonts w:hint="eastAsia"/>
                            <w:b/>
                          </w:rPr>
                          <w:t>2</w:t>
                        </w:r>
                        <w:r>
                          <w:rPr>
                            <w:b/>
                          </w:rPr>
                          <w:t>019</w:t>
                        </w:r>
                        <w:r>
                          <w:rPr>
                            <w:rFonts w:hint="eastAsia"/>
                            <w:b/>
                          </w:rPr>
                          <w:t>年</w:t>
                        </w:r>
                        <w:r>
                          <w:rPr>
                            <w:b/>
                          </w:rPr>
                          <w:t>6</w:t>
                        </w:r>
                        <w:r>
                          <w:rPr>
                            <w:rFonts w:hint="eastAsia"/>
                            <w:b/>
                          </w:rPr>
                          <w:t>月</w:t>
                        </w:r>
                        <w:r>
                          <w:rPr>
                            <w:b/>
                          </w:rPr>
                          <w:t>30</w:t>
                        </w:r>
                        <w:r>
                          <w:rPr>
                            <w:rFonts w:hint="eastAsia"/>
                            <w:b/>
                          </w:rPr>
                          <w:t>日</w:t>
                        </w:r>
                      </w:p>
                    </w:tc>
                  </w:sdtContent>
                </w:sdt>
                <w:sdt>
                  <w:sdtPr>
                    <w:tag w:val="_PLD_e986dda0dbc74346a9296e5a4646b696"/>
                    <w:id w:val="-220906707"/>
                    <w:lock w:val="sdtLocked"/>
                  </w:sdtPr>
                  <w:sdtContent>
                    <w:tc>
                      <w:tcPr>
                        <w:tcW w:w="1141" w:type="pct"/>
                        <w:tcBorders>
                          <w:top w:val="outset" w:sz="6" w:space="0" w:color="auto"/>
                          <w:left w:val="outset" w:sz="6" w:space="0" w:color="auto"/>
                          <w:bottom w:val="outset" w:sz="6" w:space="0" w:color="auto"/>
                          <w:right w:val="outset" w:sz="6" w:space="0" w:color="auto"/>
                        </w:tcBorders>
                        <w:vAlign w:val="center"/>
                      </w:tcPr>
                      <w:p w:rsidR="00B637B2" w:rsidRDefault="008F04CF" w:rsidP="00B637B2">
                        <w:pPr>
                          <w:jc w:val="center"/>
                          <w:rPr>
                            <w:b/>
                            <w:szCs w:val="21"/>
                          </w:rPr>
                        </w:pPr>
                        <w:r>
                          <w:rPr>
                            <w:rFonts w:hint="eastAsia"/>
                            <w:b/>
                            <w:szCs w:val="21"/>
                          </w:rPr>
                          <w:t>2018年12月31日</w:t>
                        </w:r>
                      </w:p>
                    </w:tc>
                  </w:sdtContent>
                </w:sdt>
              </w:tr>
              <w:tr w:rsidR="00B637B2" w:rsidTr="00B637B2">
                <w:sdt>
                  <w:sdtPr>
                    <w:tag w:val="_PLD_64ae72669eea4837a1a220d585585bdf"/>
                    <w:id w:val="2047709223"/>
                    <w:lock w:val="sdtLocked"/>
                  </w:sdtPr>
                  <w:sdtContent>
                    <w:tc>
                      <w:tcPr>
                        <w:tcW w:w="2169" w:type="pct"/>
                        <w:tcBorders>
                          <w:top w:val="outset" w:sz="6" w:space="0" w:color="auto"/>
                          <w:left w:val="outset" w:sz="6" w:space="0" w:color="auto"/>
                          <w:bottom w:val="outset" w:sz="6" w:space="0" w:color="auto"/>
                          <w:right w:val="outset" w:sz="6" w:space="0" w:color="auto"/>
                        </w:tcBorders>
                        <w:vAlign w:val="center"/>
                      </w:tcPr>
                      <w:p w:rsidR="00B637B2" w:rsidRDefault="008F04CF" w:rsidP="00B637B2">
                        <w:pPr>
                          <w:rPr>
                            <w:szCs w:val="21"/>
                          </w:rPr>
                        </w:pPr>
                        <w:r>
                          <w:rPr>
                            <w:rFonts w:hint="eastAsia"/>
                            <w:b/>
                            <w:bCs/>
                            <w:szCs w:val="21"/>
                          </w:rPr>
                          <w:t>流动资产：</w:t>
                        </w:r>
                      </w:p>
                    </w:tc>
                  </w:sdtContent>
                </w:sdt>
                <w:tc>
                  <w:tcPr>
                    <w:tcW w:w="563" w:type="pct"/>
                    <w:tcBorders>
                      <w:top w:val="outset" w:sz="6" w:space="0" w:color="auto"/>
                      <w:left w:val="outset" w:sz="6" w:space="0" w:color="auto"/>
                      <w:bottom w:val="outset" w:sz="6" w:space="0" w:color="auto"/>
                      <w:right w:val="outset" w:sz="6" w:space="0" w:color="auto"/>
                    </w:tcBorders>
                  </w:tcPr>
                  <w:p w:rsidR="00B637B2" w:rsidRPr="00777B68" w:rsidRDefault="00B637B2" w:rsidP="00B637B2"/>
                </w:tc>
                <w:tc>
                  <w:tcPr>
                    <w:tcW w:w="1127" w:type="pct"/>
                    <w:tcBorders>
                      <w:top w:val="outset" w:sz="6" w:space="0" w:color="auto"/>
                      <w:left w:val="outset" w:sz="6" w:space="0" w:color="auto"/>
                      <w:bottom w:val="outset" w:sz="6" w:space="0" w:color="auto"/>
                      <w:right w:val="outset" w:sz="6" w:space="0" w:color="auto"/>
                    </w:tcBorders>
                    <w:vAlign w:val="center"/>
                  </w:tcPr>
                  <w:p w:rsidR="00B637B2" w:rsidRPr="00777B68" w:rsidRDefault="00B637B2" w:rsidP="00B637B2">
                    <w:pPr>
                      <w:jc w:val="right"/>
                    </w:pPr>
                  </w:p>
                </w:tc>
                <w:tc>
                  <w:tcPr>
                    <w:tcW w:w="1141" w:type="pct"/>
                    <w:tcBorders>
                      <w:top w:val="outset" w:sz="6" w:space="0" w:color="auto"/>
                      <w:left w:val="outset" w:sz="6" w:space="0" w:color="auto"/>
                      <w:bottom w:val="outset" w:sz="6" w:space="0" w:color="auto"/>
                      <w:right w:val="outset" w:sz="6" w:space="0" w:color="auto"/>
                    </w:tcBorders>
                    <w:vAlign w:val="center"/>
                  </w:tcPr>
                  <w:p w:rsidR="00B637B2" w:rsidRPr="00777B68" w:rsidRDefault="00B637B2" w:rsidP="00B637B2">
                    <w:pPr>
                      <w:jc w:val="right"/>
                    </w:pPr>
                  </w:p>
                </w:tc>
              </w:tr>
              <w:tr w:rsidR="00B637B2" w:rsidTr="00B637B2">
                <w:sdt>
                  <w:sdtPr>
                    <w:tag w:val="_PLD_9b78743cdab64576b5cd6da9a3a930fa"/>
                    <w:id w:val="2004545381"/>
                    <w:lock w:val="sdtLocked"/>
                  </w:sdtPr>
                  <w:sdtContent>
                    <w:tc>
                      <w:tcPr>
                        <w:tcW w:w="2169" w:type="pct"/>
                        <w:tcBorders>
                          <w:top w:val="outset" w:sz="6" w:space="0" w:color="auto"/>
                          <w:left w:val="outset" w:sz="6" w:space="0" w:color="auto"/>
                          <w:bottom w:val="outset" w:sz="6" w:space="0" w:color="auto"/>
                          <w:right w:val="outset" w:sz="6" w:space="0" w:color="auto"/>
                        </w:tcBorders>
                        <w:vAlign w:val="center"/>
                      </w:tcPr>
                      <w:p w:rsidR="00B637B2" w:rsidRDefault="008F04CF" w:rsidP="00B637B2">
                        <w:pPr>
                          <w:ind w:firstLineChars="100" w:firstLine="210"/>
                          <w:rPr>
                            <w:szCs w:val="21"/>
                          </w:rPr>
                        </w:pPr>
                        <w:r>
                          <w:rPr>
                            <w:rFonts w:hint="eastAsia"/>
                            <w:szCs w:val="21"/>
                          </w:rPr>
                          <w:t>货币资金</w:t>
                        </w:r>
                      </w:p>
                    </w:tc>
                  </w:sdtContent>
                </w:sdt>
                <w:tc>
                  <w:tcPr>
                    <w:tcW w:w="563" w:type="pct"/>
                    <w:tcBorders>
                      <w:top w:val="outset" w:sz="6" w:space="0" w:color="auto"/>
                      <w:left w:val="outset" w:sz="6" w:space="0" w:color="auto"/>
                      <w:bottom w:val="outset" w:sz="6" w:space="0" w:color="auto"/>
                      <w:right w:val="outset" w:sz="6" w:space="0" w:color="auto"/>
                    </w:tcBorders>
                  </w:tcPr>
                  <w:p w:rsidR="00B637B2" w:rsidRPr="00777B68" w:rsidRDefault="00B637B2" w:rsidP="00B637B2"/>
                </w:tc>
                <w:tc>
                  <w:tcPr>
                    <w:tcW w:w="1127"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1,513,086,724</w:t>
                    </w:r>
                  </w:p>
                </w:tc>
                <w:tc>
                  <w:tcPr>
                    <w:tcW w:w="1141"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1,762,980,607</w:t>
                    </w:r>
                  </w:p>
                </w:tc>
              </w:tr>
              <w:tr w:rsidR="00B637B2" w:rsidTr="00B637B2">
                <w:tc>
                  <w:tcPr>
                    <w:tcW w:w="216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110b32630da4518a6cd2897b5ab904c"/>
                      <w:id w:val="1667663199"/>
                      <w:lock w:val="sdtLocked"/>
                    </w:sdtPr>
                    <w:sdtContent>
                      <w:p w:rsidR="00B637B2" w:rsidRDefault="008F04CF" w:rsidP="00B637B2">
                        <w:pPr>
                          <w:ind w:firstLineChars="100" w:firstLine="210"/>
                        </w:pPr>
                        <w:r>
                          <w:rPr>
                            <w:rFonts w:hint="eastAsia"/>
                          </w:rPr>
                          <w:t>交易性金融资产</w:t>
                        </w:r>
                      </w:p>
                    </w:sdtContent>
                  </w:sdt>
                </w:tc>
                <w:tc>
                  <w:tcPr>
                    <w:tcW w:w="563" w:type="pct"/>
                    <w:tcBorders>
                      <w:top w:val="outset" w:sz="6" w:space="0" w:color="auto"/>
                      <w:left w:val="outset" w:sz="6" w:space="0" w:color="auto"/>
                      <w:bottom w:val="outset" w:sz="6" w:space="0" w:color="auto"/>
                      <w:right w:val="outset" w:sz="6" w:space="0" w:color="auto"/>
                    </w:tcBorders>
                  </w:tcPr>
                  <w:p w:rsidR="00B637B2" w:rsidRPr="00777B68" w:rsidRDefault="00B637B2" w:rsidP="00B637B2"/>
                </w:tc>
                <w:tc>
                  <w:tcPr>
                    <w:tcW w:w="1127"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94,799,330</w:t>
                    </w:r>
                  </w:p>
                </w:tc>
                <w:tc>
                  <w:tcPr>
                    <w:tcW w:w="1141"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w:t>
                    </w:r>
                  </w:p>
                </w:tc>
              </w:tr>
              <w:tr w:rsidR="00B637B2" w:rsidTr="00B637B2">
                <w:sdt>
                  <w:sdtPr>
                    <w:tag w:val="_PLD_f575fdab78c04d7588e8f6b821663555"/>
                    <w:id w:val="-370613620"/>
                    <w:lock w:val="sdtLocked"/>
                  </w:sdtPr>
                  <w:sdtContent>
                    <w:tc>
                      <w:tcPr>
                        <w:tcW w:w="2169" w:type="pct"/>
                        <w:tcBorders>
                          <w:top w:val="outset" w:sz="6" w:space="0" w:color="auto"/>
                          <w:left w:val="outset" w:sz="6" w:space="0" w:color="auto"/>
                          <w:bottom w:val="outset" w:sz="6" w:space="0" w:color="auto"/>
                          <w:right w:val="outset" w:sz="6" w:space="0" w:color="auto"/>
                        </w:tcBorders>
                        <w:vAlign w:val="center"/>
                      </w:tcPr>
                      <w:p w:rsidR="00B637B2" w:rsidRDefault="008F04CF" w:rsidP="00B637B2">
                        <w:pPr>
                          <w:ind w:firstLineChars="100" w:firstLine="210"/>
                          <w:rPr>
                            <w:szCs w:val="21"/>
                          </w:rPr>
                        </w:pPr>
                        <w:r>
                          <w:rPr>
                            <w:rFonts w:hint="eastAsia"/>
                            <w:szCs w:val="21"/>
                          </w:rPr>
                          <w:t>以公允价值计量且其变动计入当期损益的金融资产</w:t>
                        </w:r>
                      </w:p>
                    </w:tc>
                  </w:sdtContent>
                </w:sdt>
                <w:tc>
                  <w:tcPr>
                    <w:tcW w:w="563" w:type="pct"/>
                    <w:tcBorders>
                      <w:top w:val="outset" w:sz="6" w:space="0" w:color="auto"/>
                      <w:left w:val="outset" w:sz="6" w:space="0" w:color="auto"/>
                      <w:bottom w:val="outset" w:sz="6" w:space="0" w:color="auto"/>
                      <w:right w:val="outset" w:sz="6" w:space="0" w:color="auto"/>
                    </w:tcBorders>
                  </w:tcPr>
                  <w:p w:rsidR="00B637B2" w:rsidRPr="00777B68" w:rsidRDefault="00B637B2" w:rsidP="00B637B2"/>
                </w:tc>
                <w:tc>
                  <w:tcPr>
                    <w:tcW w:w="1127"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w:t>
                    </w:r>
                  </w:p>
                </w:tc>
                <w:tc>
                  <w:tcPr>
                    <w:tcW w:w="1141"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w:t>
                    </w:r>
                  </w:p>
                </w:tc>
              </w:tr>
              <w:tr w:rsidR="00B637B2" w:rsidTr="00B637B2">
                <w:sdt>
                  <w:sdtPr>
                    <w:tag w:val="_PLD_1bfca77991c7445a99252c547d869547"/>
                    <w:id w:val="-2057996480"/>
                    <w:lock w:val="sdtLocked"/>
                  </w:sdtPr>
                  <w:sdtContent>
                    <w:tc>
                      <w:tcPr>
                        <w:tcW w:w="2169" w:type="pct"/>
                        <w:tcBorders>
                          <w:top w:val="outset" w:sz="6" w:space="0" w:color="auto"/>
                          <w:left w:val="outset" w:sz="6" w:space="0" w:color="auto"/>
                          <w:bottom w:val="outset" w:sz="6" w:space="0" w:color="auto"/>
                          <w:right w:val="outset" w:sz="6" w:space="0" w:color="auto"/>
                        </w:tcBorders>
                        <w:vAlign w:val="center"/>
                      </w:tcPr>
                      <w:p w:rsidR="00B637B2" w:rsidRDefault="008F04CF" w:rsidP="00B637B2">
                        <w:pPr>
                          <w:ind w:firstLineChars="100" w:firstLine="210"/>
                          <w:rPr>
                            <w:szCs w:val="21"/>
                          </w:rPr>
                        </w:pPr>
                        <w:r>
                          <w:rPr>
                            <w:rFonts w:hint="eastAsia"/>
                            <w:szCs w:val="21"/>
                          </w:rPr>
                          <w:t>衍生金融资产</w:t>
                        </w:r>
                      </w:p>
                    </w:tc>
                  </w:sdtContent>
                </w:sdt>
                <w:tc>
                  <w:tcPr>
                    <w:tcW w:w="563" w:type="pct"/>
                    <w:tcBorders>
                      <w:top w:val="outset" w:sz="6" w:space="0" w:color="auto"/>
                      <w:left w:val="outset" w:sz="6" w:space="0" w:color="auto"/>
                      <w:bottom w:val="outset" w:sz="6" w:space="0" w:color="auto"/>
                      <w:right w:val="outset" w:sz="6" w:space="0" w:color="auto"/>
                    </w:tcBorders>
                  </w:tcPr>
                  <w:p w:rsidR="00B637B2" w:rsidRPr="00777B68" w:rsidRDefault="00B637B2" w:rsidP="00B637B2"/>
                </w:tc>
                <w:tc>
                  <w:tcPr>
                    <w:tcW w:w="1127"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w:t>
                    </w:r>
                  </w:p>
                </w:tc>
                <w:tc>
                  <w:tcPr>
                    <w:tcW w:w="1141"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w:t>
                    </w:r>
                  </w:p>
                </w:tc>
              </w:tr>
              <w:tr w:rsidR="00B637B2" w:rsidTr="00B637B2">
                <w:sdt>
                  <w:sdtPr>
                    <w:tag w:val="_PLD_ff993f326eb24b209c608805e7d5452d"/>
                    <w:id w:val="701058704"/>
                    <w:lock w:val="sdtLocked"/>
                  </w:sdtPr>
                  <w:sdtContent>
                    <w:tc>
                      <w:tcPr>
                        <w:tcW w:w="2169" w:type="pct"/>
                        <w:tcBorders>
                          <w:top w:val="outset" w:sz="6" w:space="0" w:color="auto"/>
                          <w:left w:val="outset" w:sz="6" w:space="0" w:color="auto"/>
                          <w:bottom w:val="outset" w:sz="6" w:space="0" w:color="auto"/>
                          <w:right w:val="outset" w:sz="6" w:space="0" w:color="auto"/>
                        </w:tcBorders>
                        <w:vAlign w:val="center"/>
                      </w:tcPr>
                      <w:p w:rsidR="00B637B2" w:rsidRDefault="008F04CF" w:rsidP="00B637B2">
                        <w:pPr>
                          <w:ind w:firstLineChars="100" w:firstLine="210"/>
                          <w:rPr>
                            <w:szCs w:val="21"/>
                          </w:rPr>
                        </w:pPr>
                        <w:r>
                          <w:rPr>
                            <w:rFonts w:hint="eastAsia"/>
                            <w:szCs w:val="21"/>
                          </w:rPr>
                          <w:t>应收票据</w:t>
                        </w:r>
                      </w:p>
                    </w:tc>
                  </w:sdtContent>
                </w:sdt>
                <w:tc>
                  <w:tcPr>
                    <w:tcW w:w="563" w:type="pct"/>
                    <w:tcBorders>
                      <w:top w:val="outset" w:sz="6" w:space="0" w:color="auto"/>
                      <w:left w:val="outset" w:sz="6" w:space="0" w:color="auto"/>
                      <w:bottom w:val="outset" w:sz="6" w:space="0" w:color="auto"/>
                      <w:right w:val="outset" w:sz="6" w:space="0" w:color="auto"/>
                    </w:tcBorders>
                  </w:tcPr>
                  <w:p w:rsidR="00B637B2" w:rsidRPr="00777B68" w:rsidRDefault="00B637B2" w:rsidP="00B637B2"/>
                </w:tc>
                <w:tc>
                  <w:tcPr>
                    <w:tcW w:w="1127"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58,261,630</w:t>
                    </w:r>
                  </w:p>
                </w:tc>
                <w:tc>
                  <w:tcPr>
                    <w:tcW w:w="1141"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89,998,500</w:t>
                    </w:r>
                  </w:p>
                </w:tc>
              </w:tr>
              <w:tr w:rsidR="00B637B2" w:rsidTr="00B637B2">
                <w:sdt>
                  <w:sdtPr>
                    <w:tag w:val="_PLD_e1b51c42e6ff4b2b89ce73b84b0ca8c1"/>
                    <w:id w:val="1356007378"/>
                    <w:lock w:val="sdtLocked"/>
                  </w:sdtPr>
                  <w:sdtContent>
                    <w:tc>
                      <w:tcPr>
                        <w:tcW w:w="2169" w:type="pct"/>
                        <w:tcBorders>
                          <w:top w:val="outset" w:sz="6" w:space="0" w:color="auto"/>
                          <w:left w:val="outset" w:sz="6" w:space="0" w:color="auto"/>
                          <w:bottom w:val="outset" w:sz="6" w:space="0" w:color="auto"/>
                          <w:right w:val="outset" w:sz="6" w:space="0" w:color="auto"/>
                        </w:tcBorders>
                        <w:vAlign w:val="center"/>
                      </w:tcPr>
                      <w:p w:rsidR="00B637B2" w:rsidRDefault="008F04CF" w:rsidP="00B637B2">
                        <w:pPr>
                          <w:ind w:firstLineChars="100" w:firstLine="210"/>
                          <w:rPr>
                            <w:szCs w:val="21"/>
                          </w:rPr>
                        </w:pPr>
                        <w:r>
                          <w:rPr>
                            <w:rFonts w:hint="eastAsia"/>
                            <w:szCs w:val="21"/>
                          </w:rPr>
                          <w:t>应收账款</w:t>
                        </w:r>
                      </w:p>
                    </w:tc>
                  </w:sdtContent>
                </w:sdt>
                <w:tc>
                  <w:tcPr>
                    <w:tcW w:w="563" w:type="pct"/>
                    <w:tcBorders>
                      <w:top w:val="outset" w:sz="6" w:space="0" w:color="auto"/>
                      <w:left w:val="outset" w:sz="6" w:space="0" w:color="auto"/>
                      <w:bottom w:val="outset" w:sz="6" w:space="0" w:color="auto"/>
                      <w:right w:val="outset" w:sz="6" w:space="0" w:color="auto"/>
                    </w:tcBorders>
                  </w:tcPr>
                  <w:p w:rsidR="00B637B2" w:rsidRPr="00777B68" w:rsidRDefault="008F04CF" w:rsidP="00B637B2">
                    <w:r>
                      <w:rPr>
                        <w:rFonts w:hint="eastAsia"/>
                      </w:rPr>
                      <w:t>十七、</w:t>
                    </w:r>
                    <w:r>
                      <w:t>1</w:t>
                    </w:r>
                  </w:p>
                </w:tc>
                <w:tc>
                  <w:tcPr>
                    <w:tcW w:w="1127"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523,004,112</w:t>
                    </w:r>
                  </w:p>
                </w:tc>
                <w:tc>
                  <w:tcPr>
                    <w:tcW w:w="1141"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606,199,417</w:t>
                    </w:r>
                  </w:p>
                </w:tc>
              </w:tr>
              <w:tr w:rsidR="00B637B2" w:rsidTr="00B637B2">
                <w:tc>
                  <w:tcPr>
                    <w:tcW w:w="216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11cc65422d84c058777e9f23de9aaef"/>
                      <w:id w:val="1373566395"/>
                      <w:lock w:val="sdtLocked"/>
                    </w:sdtPr>
                    <w:sdtContent>
                      <w:p w:rsidR="00B637B2" w:rsidRDefault="008F04CF" w:rsidP="00B637B2">
                        <w:pPr>
                          <w:ind w:firstLineChars="100" w:firstLine="210"/>
                        </w:pPr>
                        <w:r>
                          <w:rPr>
                            <w:rFonts w:hint="eastAsia"/>
                          </w:rPr>
                          <w:t>应收款项融资</w:t>
                        </w:r>
                      </w:p>
                    </w:sdtContent>
                  </w:sdt>
                </w:tc>
                <w:tc>
                  <w:tcPr>
                    <w:tcW w:w="563" w:type="pct"/>
                    <w:tcBorders>
                      <w:top w:val="outset" w:sz="6" w:space="0" w:color="auto"/>
                      <w:left w:val="outset" w:sz="6" w:space="0" w:color="auto"/>
                      <w:bottom w:val="outset" w:sz="6" w:space="0" w:color="auto"/>
                      <w:right w:val="outset" w:sz="6" w:space="0" w:color="auto"/>
                    </w:tcBorders>
                  </w:tcPr>
                  <w:p w:rsidR="00B637B2" w:rsidRPr="00777B68" w:rsidRDefault="00B637B2" w:rsidP="00B637B2"/>
                </w:tc>
                <w:tc>
                  <w:tcPr>
                    <w:tcW w:w="1127"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Pr>
                        <w:rFonts w:hint="eastAsia"/>
                      </w:rPr>
                      <w:t>-</w:t>
                    </w:r>
                  </w:p>
                </w:tc>
                <w:tc>
                  <w:tcPr>
                    <w:tcW w:w="1141"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Pr>
                        <w:rFonts w:hint="eastAsia"/>
                      </w:rPr>
                      <w:t>-</w:t>
                    </w:r>
                  </w:p>
                </w:tc>
              </w:tr>
              <w:tr w:rsidR="00B637B2" w:rsidTr="00B637B2">
                <w:sdt>
                  <w:sdtPr>
                    <w:tag w:val="_PLD_805b2d340ad24fae990479b422656525"/>
                    <w:id w:val="1834877091"/>
                    <w:lock w:val="sdtLocked"/>
                  </w:sdtPr>
                  <w:sdtContent>
                    <w:tc>
                      <w:tcPr>
                        <w:tcW w:w="2169" w:type="pct"/>
                        <w:tcBorders>
                          <w:top w:val="outset" w:sz="6" w:space="0" w:color="auto"/>
                          <w:left w:val="outset" w:sz="6" w:space="0" w:color="auto"/>
                          <w:bottom w:val="outset" w:sz="6" w:space="0" w:color="auto"/>
                          <w:right w:val="outset" w:sz="6" w:space="0" w:color="auto"/>
                        </w:tcBorders>
                        <w:vAlign w:val="center"/>
                      </w:tcPr>
                      <w:p w:rsidR="00B637B2" w:rsidRDefault="008F04CF" w:rsidP="00B637B2">
                        <w:pPr>
                          <w:ind w:firstLineChars="100" w:firstLine="210"/>
                          <w:rPr>
                            <w:szCs w:val="21"/>
                          </w:rPr>
                        </w:pPr>
                        <w:r>
                          <w:rPr>
                            <w:rFonts w:hint="eastAsia"/>
                            <w:szCs w:val="21"/>
                          </w:rPr>
                          <w:t>预付款项</w:t>
                        </w:r>
                      </w:p>
                    </w:tc>
                  </w:sdtContent>
                </w:sdt>
                <w:tc>
                  <w:tcPr>
                    <w:tcW w:w="563" w:type="pct"/>
                    <w:tcBorders>
                      <w:top w:val="outset" w:sz="6" w:space="0" w:color="auto"/>
                      <w:left w:val="outset" w:sz="6" w:space="0" w:color="auto"/>
                      <w:bottom w:val="outset" w:sz="6" w:space="0" w:color="auto"/>
                      <w:right w:val="outset" w:sz="6" w:space="0" w:color="auto"/>
                    </w:tcBorders>
                  </w:tcPr>
                  <w:p w:rsidR="00B637B2" w:rsidRPr="00777B68" w:rsidRDefault="00B637B2" w:rsidP="00B637B2"/>
                </w:tc>
                <w:tc>
                  <w:tcPr>
                    <w:tcW w:w="1127"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27,578,543</w:t>
                    </w:r>
                  </w:p>
                </w:tc>
                <w:tc>
                  <w:tcPr>
                    <w:tcW w:w="1141"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16,724,897</w:t>
                    </w:r>
                  </w:p>
                </w:tc>
              </w:tr>
              <w:tr w:rsidR="00B637B2" w:rsidTr="00B637B2">
                <w:sdt>
                  <w:sdtPr>
                    <w:tag w:val="_PLD_cf9f116dabbb48b2a5a0f3ba0b4772cd"/>
                    <w:id w:val="-1230221222"/>
                    <w:lock w:val="sdtLocked"/>
                  </w:sdtPr>
                  <w:sdtContent>
                    <w:tc>
                      <w:tcPr>
                        <w:tcW w:w="2169" w:type="pct"/>
                        <w:tcBorders>
                          <w:top w:val="outset" w:sz="6" w:space="0" w:color="auto"/>
                          <w:left w:val="outset" w:sz="6" w:space="0" w:color="auto"/>
                          <w:bottom w:val="outset" w:sz="6" w:space="0" w:color="auto"/>
                          <w:right w:val="outset" w:sz="6" w:space="0" w:color="auto"/>
                        </w:tcBorders>
                        <w:vAlign w:val="center"/>
                      </w:tcPr>
                      <w:p w:rsidR="00B637B2" w:rsidRDefault="008F04CF" w:rsidP="00B637B2">
                        <w:pPr>
                          <w:ind w:firstLineChars="100" w:firstLine="210"/>
                          <w:rPr>
                            <w:szCs w:val="21"/>
                          </w:rPr>
                        </w:pPr>
                        <w:r>
                          <w:rPr>
                            <w:rFonts w:hint="eastAsia"/>
                            <w:szCs w:val="21"/>
                          </w:rPr>
                          <w:t>其他应收款</w:t>
                        </w:r>
                      </w:p>
                    </w:tc>
                  </w:sdtContent>
                </w:sdt>
                <w:tc>
                  <w:tcPr>
                    <w:tcW w:w="563" w:type="pct"/>
                    <w:tcBorders>
                      <w:top w:val="outset" w:sz="6" w:space="0" w:color="auto"/>
                      <w:left w:val="outset" w:sz="6" w:space="0" w:color="auto"/>
                      <w:bottom w:val="outset" w:sz="6" w:space="0" w:color="auto"/>
                      <w:right w:val="outset" w:sz="6" w:space="0" w:color="auto"/>
                    </w:tcBorders>
                  </w:tcPr>
                  <w:p w:rsidR="00B637B2" w:rsidRPr="00777B68" w:rsidRDefault="008F04CF" w:rsidP="00B637B2">
                    <w:r>
                      <w:rPr>
                        <w:rFonts w:hint="eastAsia"/>
                      </w:rPr>
                      <w:t>十七、</w:t>
                    </w:r>
                    <w:r>
                      <w:t>2</w:t>
                    </w:r>
                  </w:p>
                </w:tc>
                <w:tc>
                  <w:tcPr>
                    <w:tcW w:w="1127"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1,618,742,114</w:t>
                    </w:r>
                  </w:p>
                </w:tc>
                <w:tc>
                  <w:tcPr>
                    <w:tcW w:w="1141"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922,376,813</w:t>
                    </w:r>
                  </w:p>
                </w:tc>
              </w:tr>
              <w:tr w:rsidR="00B637B2" w:rsidTr="00B637B2">
                <w:sdt>
                  <w:sdtPr>
                    <w:tag w:val="_PLD_b55f9182bb0f4ff099725b83128277f5"/>
                    <w:id w:val="-544149085"/>
                    <w:lock w:val="sdtLocked"/>
                  </w:sdtPr>
                  <w:sdtContent>
                    <w:tc>
                      <w:tcPr>
                        <w:tcW w:w="2169" w:type="pct"/>
                        <w:tcBorders>
                          <w:top w:val="outset" w:sz="6" w:space="0" w:color="auto"/>
                          <w:left w:val="outset" w:sz="6" w:space="0" w:color="auto"/>
                          <w:bottom w:val="outset" w:sz="6" w:space="0" w:color="auto"/>
                          <w:right w:val="outset" w:sz="6" w:space="0" w:color="auto"/>
                        </w:tcBorders>
                        <w:vAlign w:val="center"/>
                      </w:tcPr>
                      <w:p w:rsidR="00B637B2" w:rsidRDefault="008F04CF" w:rsidP="00B637B2">
                        <w:pPr>
                          <w:ind w:firstLineChars="100" w:firstLine="210"/>
                          <w:rPr>
                            <w:szCs w:val="21"/>
                          </w:rPr>
                        </w:pPr>
                        <w:r>
                          <w:rPr>
                            <w:rFonts w:hint="eastAsia"/>
                          </w:rPr>
                          <w:t>其中：</w:t>
                        </w:r>
                        <w:r>
                          <w:rPr>
                            <w:rFonts w:hint="eastAsia"/>
                            <w:szCs w:val="21"/>
                          </w:rPr>
                          <w:t>应收利息</w:t>
                        </w:r>
                      </w:p>
                    </w:tc>
                  </w:sdtContent>
                </w:sdt>
                <w:tc>
                  <w:tcPr>
                    <w:tcW w:w="563" w:type="pct"/>
                    <w:tcBorders>
                      <w:top w:val="outset" w:sz="6" w:space="0" w:color="auto"/>
                      <w:left w:val="outset" w:sz="6" w:space="0" w:color="auto"/>
                      <w:bottom w:val="outset" w:sz="6" w:space="0" w:color="auto"/>
                      <w:right w:val="outset" w:sz="6" w:space="0" w:color="auto"/>
                    </w:tcBorders>
                  </w:tcPr>
                  <w:p w:rsidR="00B637B2" w:rsidRPr="00777B68" w:rsidRDefault="00B637B2" w:rsidP="00B637B2"/>
                </w:tc>
                <w:tc>
                  <w:tcPr>
                    <w:tcW w:w="1127"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w:t>
                    </w:r>
                  </w:p>
                </w:tc>
                <w:tc>
                  <w:tcPr>
                    <w:tcW w:w="1141"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w:t>
                    </w:r>
                  </w:p>
                </w:tc>
              </w:tr>
              <w:tr w:rsidR="00B637B2" w:rsidTr="00B637B2">
                <w:sdt>
                  <w:sdtPr>
                    <w:tag w:val="_PLD_e9ef2df028eb46cbb98922f7b2e9c423"/>
                    <w:id w:val="1529140761"/>
                    <w:lock w:val="sdtLocked"/>
                  </w:sdtPr>
                  <w:sdtContent>
                    <w:tc>
                      <w:tcPr>
                        <w:tcW w:w="2169" w:type="pct"/>
                        <w:tcBorders>
                          <w:top w:val="outset" w:sz="6" w:space="0" w:color="auto"/>
                          <w:left w:val="outset" w:sz="6" w:space="0" w:color="auto"/>
                          <w:bottom w:val="outset" w:sz="6" w:space="0" w:color="auto"/>
                          <w:right w:val="outset" w:sz="6" w:space="0" w:color="auto"/>
                        </w:tcBorders>
                        <w:vAlign w:val="center"/>
                      </w:tcPr>
                      <w:p w:rsidR="00B637B2" w:rsidRDefault="008F04CF" w:rsidP="00B637B2">
                        <w:pPr>
                          <w:ind w:firstLineChars="400" w:firstLine="840"/>
                          <w:rPr>
                            <w:szCs w:val="21"/>
                          </w:rPr>
                        </w:pPr>
                        <w:r>
                          <w:rPr>
                            <w:rFonts w:hint="eastAsia"/>
                            <w:szCs w:val="21"/>
                          </w:rPr>
                          <w:t>应收股利</w:t>
                        </w:r>
                      </w:p>
                    </w:tc>
                  </w:sdtContent>
                </w:sdt>
                <w:tc>
                  <w:tcPr>
                    <w:tcW w:w="563" w:type="pct"/>
                    <w:tcBorders>
                      <w:top w:val="outset" w:sz="6" w:space="0" w:color="auto"/>
                      <w:left w:val="outset" w:sz="6" w:space="0" w:color="auto"/>
                      <w:bottom w:val="outset" w:sz="6" w:space="0" w:color="auto"/>
                      <w:right w:val="outset" w:sz="6" w:space="0" w:color="auto"/>
                    </w:tcBorders>
                  </w:tcPr>
                  <w:p w:rsidR="00B637B2" w:rsidRPr="00777B68" w:rsidRDefault="008F04CF" w:rsidP="00B637B2">
                    <w:r>
                      <w:rPr>
                        <w:rFonts w:hint="eastAsia"/>
                      </w:rPr>
                      <w:t>十七、</w:t>
                    </w:r>
                    <w:r>
                      <w:t>2</w:t>
                    </w:r>
                  </w:p>
                </w:tc>
                <w:tc>
                  <w:tcPr>
                    <w:tcW w:w="1127"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199,136,438</w:t>
                    </w:r>
                  </w:p>
                </w:tc>
                <w:tc>
                  <w:tcPr>
                    <w:tcW w:w="1141"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w:t>
                    </w:r>
                  </w:p>
                </w:tc>
              </w:tr>
              <w:tr w:rsidR="00B637B2" w:rsidTr="00B637B2">
                <w:sdt>
                  <w:sdtPr>
                    <w:tag w:val="_PLD_6cc0aeaf59b04efabb1f01b5c63b990f"/>
                    <w:id w:val="-539897325"/>
                    <w:lock w:val="sdtLocked"/>
                  </w:sdtPr>
                  <w:sdtContent>
                    <w:tc>
                      <w:tcPr>
                        <w:tcW w:w="2169" w:type="pct"/>
                        <w:tcBorders>
                          <w:top w:val="outset" w:sz="6" w:space="0" w:color="auto"/>
                          <w:left w:val="outset" w:sz="6" w:space="0" w:color="auto"/>
                          <w:bottom w:val="outset" w:sz="6" w:space="0" w:color="auto"/>
                          <w:right w:val="outset" w:sz="6" w:space="0" w:color="auto"/>
                        </w:tcBorders>
                        <w:vAlign w:val="center"/>
                      </w:tcPr>
                      <w:p w:rsidR="00B637B2" w:rsidRDefault="008F04CF" w:rsidP="00B637B2">
                        <w:pPr>
                          <w:ind w:firstLineChars="100" w:firstLine="210"/>
                          <w:rPr>
                            <w:szCs w:val="21"/>
                          </w:rPr>
                        </w:pPr>
                        <w:r>
                          <w:rPr>
                            <w:rFonts w:hint="eastAsia"/>
                            <w:szCs w:val="21"/>
                          </w:rPr>
                          <w:t>存货</w:t>
                        </w:r>
                      </w:p>
                    </w:tc>
                  </w:sdtContent>
                </w:sdt>
                <w:tc>
                  <w:tcPr>
                    <w:tcW w:w="563" w:type="pct"/>
                    <w:tcBorders>
                      <w:top w:val="outset" w:sz="6" w:space="0" w:color="auto"/>
                      <w:left w:val="outset" w:sz="6" w:space="0" w:color="auto"/>
                      <w:bottom w:val="outset" w:sz="6" w:space="0" w:color="auto"/>
                      <w:right w:val="outset" w:sz="6" w:space="0" w:color="auto"/>
                    </w:tcBorders>
                  </w:tcPr>
                  <w:p w:rsidR="00B637B2" w:rsidRPr="00777B68" w:rsidRDefault="00B637B2" w:rsidP="00B637B2"/>
                </w:tc>
                <w:tc>
                  <w:tcPr>
                    <w:tcW w:w="1127"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7,784,847</w:t>
                    </w:r>
                  </w:p>
                </w:tc>
                <w:tc>
                  <w:tcPr>
                    <w:tcW w:w="1141"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7,782,625</w:t>
                    </w:r>
                  </w:p>
                </w:tc>
              </w:tr>
              <w:tr w:rsidR="00B637B2" w:rsidTr="00B637B2">
                <w:tc>
                  <w:tcPr>
                    <w:tcW w:w="216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e3d0e1008ca4d3b96e66b5c92068d38"/>
                      <w:id w:val="-2120905343"/>
                      <w:lock w:val="sdtLocked"/>
                    </w:sdtPr>
                    <w:sdtContent>
                      <w:p w:rsidR="00B637B2" w:rsidRDefault="008F04CF" w:rsidP="00B637B2">
                        <w:pPr>
                          <w:ind w:firstLineChars="100" w:firstLine="210"/>
                        </w:pPr>
                        <w:r>
                          <w:rPr>
                            <w:rFonts w:hint="eastAsia"/>
                          </w:rPr>
                          <w:t>合同资产</w:t>
                        </w:r>
                      </w:p>
                    </w:sdtContent>
                  </w:sdt>
                </w:tc>
                <w:tc>
                  <w:tcPr>
                    <w:tcW w:w="563" w:type="pct"/>
                    <w:tcBorders>
                      <w:top w:val="outset" w:sz="6" w:space="0" w:color="auto"/>
                      <w:left w:val="outset" w:sz="6" w:space="0" w:color="auto"/>
                      <w:bottom w:val="outset" w:sz="6" w:space="0" w:color="auto"/>
                      <w:right w:val="outset" w:sz="6" w:space="0" w:color="auto"/>
                    </w:tcBorders>
                  </w:tcPr>
                  <w:p w:rsidR="00B637B2" w:rsidRPr="00777B68" w:rsidRDefault="00B637B2" w:rsidP="00B637B2"/>
                </w:tc>
                <w:tc>
                  <w:tcPr>
                    <w:tcW w:w="1127"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w:t>
                    </w:r>
                  </w:p>
                </w:tc>
                <w:tc>
                  <w:tcPr>
                    <w:tcW w:w="1141"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w:t>
                    </w:r>
                  </w:p>
                </w:tc>
              </w:tr>
              <w:tr w:rsidR="00B637B2" w:rsidTr="00B637B2">
                <w:sdt>
                  <w:sdtPr>
                    <w:tag w:val="_PLD_a0e80251eb49414f8ed0e4f3efcb5263"/>
                    <w:id w:val="-451008891"/>
                    <w:lock w:val="sdtLocked"/>
                  </w:sdtPr>
                  <w:sdtContent>
                    <w:tc>
                      <w:tcPr>
                        <w:tcW w:w="2169" w:type="pct"/>
                        <w:tcBorders>
                          <w:top w:val="outset" w:sz="6" w:space="0" w:color="auto"/>
                          <w:left w:val="outset" w:sz="6" w:space="0" w:color="auto"/>
                          <w:bottom w:val="outset" w:sz="6" w:space="0" w:color="auto"/>
                          <w:right w:val="outset" w:sz="6" w:space="0" w:color="auto"/>
                        </w:tcBorders>
                        <w:vAlign w:val="center"/>
                      </w:tcPr>
                      <w:p w:rsidR="00B637B2" w:rsidRDefault="008F04CF" w:rsidP="00B637B2">
                        <w:pPr>
                          <w:ind w:firstLineChars="100" w:firstLine="210"/>
                          <w:rPr>
                            <w:szCs w:val="21"/>
                          </w:rPr>
                        </w:pPr>
                        <w:r>
                          <w:rPr>
                            <w:rFonts w:hint="eastAsia"/>
                            <w:szCs w:val="21"/>
                          </w:rPr>
                          <w:t>持有待售资产</w:t>
                        </w:r>
                      </w:p>
                    </w:tc>
                  </w:sdtContent>
                </w:sdt>
                <w:tc>
                  <w:tcPr>
                    <w:tcW w:w="563" w:type="pct"/>
                    <w:tcBorders>
                      <w:top w:val="outset" w:sz="6" w:space="0" w:color="auto"/>
                      <w:left w:val="outset" w:sz="6" w:space="0" w:color="auto"/>
                      <w:bottom w:val="outset" w:sz="6" w:space="0" w:color="auto"/>
                      <w:right w:val="outset" w:sz="6" w:space="0" w:color="auto"/>
                    </w:tcBorders>
                  </w:tcPr>
                  <w:p w:rsidR="00B637B2" w:rsidRPr="00777B68" w:rsidRDefault="00B637B2" w:rsidP="00B637B2"/>
                </w:tc>
                <w:tc>
                  <w:tcPr>
                    <w:tcW w:w="1127"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w:t>
                    </w:r>
                  </w:p>
                </w:tc>
                <w:tc>
                  <w:tcPr>
                    <w:tcW w:w="1141"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w:t>
                    </w:r>
                  </w:p>
                </w:tc>
              </w:tr>
              <w:tr w:rsidR="00B637B2" w:rsidTr="00B637B2">
                <w:sdt>
                  <w:sdtPr>
                    <w:tag w:val="_PLD_b0b228c115df478088a29f03f8d7ad59"/>
                    <w:id w:val="-34359524"/>
                    <w:lock w:val="sdtLocked"/>
                  </w:sdtPr>
                  <w:sdtContent>
                    <w:tc>
                      <w:tcPr>
                        <w:tcW w:w="2169" w:type="pct"/>
                        <w:tcBorders>
                          <w:top w:val="outset" w:sz="6" w:space="0" w:color="auto"/>
                          <w:left w:val="outset" w:sz="6" w:space="0" w:color="auto"/>
                          <w:bottom w:val="outset" w:sz="6" w:space="0" w:color="auto"/>
                          <w:right w:val="outset" w:sz="6" w:space="0" w:color="auto"/>
                        </w:tcBorders>
                        <w:vAlign w:val="center"/>
                      </w:tcPr>
                      <w:p w:rsidR="00B637B2" w:rsidRDefault="008F04CF" w:rsidP="00B637B2">
                        <w:pPr>
                          <w:ind w:firstLineChars="100" w:firstLine="210"/>
                          <w:rPr>
                            <w:szCs w:val="21"/>
                          </w:rPr>
                        </w:pPr>
                        <w:r>
                          <w:rPr>
                            <w:rFonts w:hint="eastAsia"/>
                            <w:szCs w:val="21"/>
                          </w:rPr>
                          <w:t>一年内到期的非流动资产</w:t>
                        </w:r>
                      </w:p>
                    </w:tc>
                  </w:sdtContent>
                </w:sdt>
                <w:tc>
                  <w:tcPr>
                    <w:tcW w:w="563" w:type="pct"/>
                    <w:tcBorders>
                      <w:top w:val="outset" w:sz="6" w:space="0" w:color="auto"/>
                      <w:left w:val="outset" w:sz="6" w:space="0" w:color="auto"/>
                      <w:bottom w:val="outset" w:sz="6" w:space="0" w:color="auto"/>
                      <w:right w:val="outset" w:sz="6" w:space="0" w:color="auto"/>
                    </w:tcBorders>
                  </w:tcPr>
                  <w:p w:rsidR="00B637B2" w:rsidRPr="00777B68" w:rsidRDefault="00B637B2" w:rsidP="00B637B2"/>
                </w:tc>
                <w:tc>
                  <w:tcPr>
                    <w:tcW w:w="1127"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w:t>
                    </w:r>
                  </w:p>
                </w:tc>
                <w:tc>
                  <w:tcPr>
                    <w:tcW w:w="1141"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w:t>
                    </w:r>
                  </w:p>
                </w:tc>
              </w:tr>
              <w:tr w:rsidR="00B637B2" w:rsidTr="00B637B2">
                <w:sdt>
                  <w:sdtPr>
                    <w:tag w:val="_PLD_62c79909426d483f990fd7869da0a773"/>
                    <w:id w:val="180947258"/>
                    <w:lock w:val="sdtLocked"/>
                  </w:sdtPr>
                  <w:sdtContent>
                    <w:tc>
                      <w:tcPr>
                        <w:tcW w:w="2169" w:type="pct"/>
                        <w:tcBorders>
                          <w:top w:val="outset" w:sz="6" w:space="0" w:color="auto"/>
                          <w:left w:val="outset" w:sz="6" w:space="0" w:color="auto"/>
                          <w:bottom w:val="outset" w:sz="6" w:space="0" w:color="auto"/>
                          <w:right w:val="outset" w:sz="6" w:space="0" w:color="auto"/>
                        </w:tcBorders>
                        <w:vAlign w:val="center"/>
                      </w:tcPr>
                      <w:p w:rsidR="00B637B2" w:rsidRDefault="008F04CF" w:rsidP="00B637B2">
                        <w:pPr>
                          <w:ind w:firstLineChars="100" w:firstLine="210"/>
                          <w:rPr>
                            <w:szCs w:val="21"/>
                          </w:rPr>
                        </w:pPr>
                        <w:r>
                          <w:rPr>
                            <w:rFonts w:hint="eastAsia"/>
                            <w:szCs w:val="21"/>
                          </w:rPr>
                          <w:t>其他流动资产</w:t>
                        </w:r>
                      </w:p>
                    </w:tc>
                  </w:sdtContent>
                </w:sdt>
                <w:tc>
                  <w:tcPr>
                    <w:tcW w:w="563" w:type="pct"/>
                    <w:tcBorders>
                      <w:top w:val="outset" w:sz="6" w:space="0" w:color="auto"/>
                      <w:left w:val="outset" w:sz="6" w:space="0" w:color="auto"/>
                      <w:bottom w:val="outset" w:sz="6" w:space="0" w:color="auto"/>
                      <w:right w:val="outset" w:sz="6" w:space="0" w:color="auto"/>
                    </w:tcBorders>
                  </w:tcPr>
                  <w:p w:rsidR="00B637B2" w:rsidRPr="00777B68" w:rsidRDefault="00B637B2" w:rsidP="00B637B2"/>
                </w:tc>
                <w:tc>
                  <w:tcPr>
                    <w:tcW w:w="1127"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279,246,695</w:t>
                    </w:r>
                  </w:p>
                </w:tc>
                <w:tc>
                  <w:tcPr>
                    <w:tcW w:w="1141"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250,536,934</w:t>
                    </w:r>
                  </w:p>
                </w:tc>
              </w:tr>
              <w:tr w:rsidR="00B637B2" w:rsidTr="00B637B2">
                <w:sdt>
                  <w:sdtPr>
                    <w:tag w:val="_PLD_b5f1546085cd4f41ba16ec6a8b42ac7f"/>
                    <w:id w:val="1364331570"/>
                    <w:lock w:val="sdtLocked"/>
                  </w:sdtPr>
                  <w:sdtContent>
                    <w:tc>
                      <w:tcPr>
                        <w:tcW w:w="2169" w:type="pct"/>
                        <w:tcBorders>
                          <w:top w:val="outset" w:sz="6" w:space="0" w:color="auto"/>
                          <w:left w:val="outset" w:sz="6" w:space="0" w:color="auto"/>
                          <w:bottom w:val="outset" w:sz="6" w:space="0" w:color="auto"/>
                          <w:right w:val="outset" w:sz="6" w:space="0" w:color="auto"/>
                        </w:tcBorders>
                        <w:vAlign w:val="center"/>
                      </w:tcPr>
                      <w:p w:rsidR="00B637B2" w:rsidRDefault="008F04CF" w:rsidP="00B637B2">
                        <w:pPr>
                          <w:ind w:firstLineChars="200" w:firstLine="420"/>
                          <w:rPr>
                            <w:szCs w:val="21"/>
                          </w:rPr>
                        </w:pPr>
                        <w:r>
                          <w:rPr>
                            <w:rFonts w:hint="eastAsia"/>
                            <w:szCs w:val="21"/>
                          </w:rPr>
                          <w:t>流动资产合计</w:t>
                        </w:r>
                      </w:p>
                    </w:tc>
                  </w:sdtContent>
                </w:sdt>
                <w:tc>
                  <w:tcPr>
                    <w:tcW w:w="563" w:type="pct"/>
                    <w:tcBorders>
                      <w:top w:val="outset" w:sz="6" w:space="0" w:color="auto"/>
                      <w:left w:val="outset" w:sz="6" w:space="0" w:color="auto"/>
                      <w:bottom w:val="outset" w:sz="6" w:space="0" w:color="auto"/>
                      <w:right w:val="outset" w:sz="6" w:space="0" w:color="auto"/>
                    </w:tcBorders>
                  </w:tcPr>
                  <w:p w:rsidR="00B637B2" w:rsidRPr="00777B68" w:rsidRDefault="00B637B2" w:rsidP="00B637B2"/>
                </w:tc>
                <w:tc>
                  <w:tcPr>
                    <w:tcW w:w="1127"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4,122,503,995</w:t>
                    </w:r>
                  </w:p>
                </w:tc>
                <w:tc>
                  <w:tcPr>
                    <w:tcW w:w="1141"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3,656,599,793</w:t>
                    </w:r>
                  </w:p>
                </w:tc>
              </w:tr>
              <w:tr w:rsidR="00B637B2" w:rsidTr="00B637B2">
                <w:sdt>
                  <w:sdtPr>
                    <w:tag w:val="_PLD_71f45ac7535d4ffeaa6273d6527bae0d"/>
                    <w:id w:val="338439147"/>
                    <w:lock w:val="sdtLocked"/>
                  </w:sdtPr>
                  <w:sdtContent>
                    <w:tc>
                      <w:tcPr>
                        <w:tcW w:w="2169" w:type="pct"/>
                        <w:tcBorders>
                          <w:top w:val="outset" w:sz="6" w:space="0" w:color="auto"/>
                          <w:left w:val="outset" w:sz="6" w:space="0" w:color="auto"/>
                          <w:bottom w:val="outset" w:sz="6" w:space="0" w:color="auto"/>
                          <w:right w:val="outset" w:sz="6" w:space="0" w:color="auto"/>
                        </w:tcBorders>
                        <w:vAlign w:val="center"/>
                      </w:tcPr>
                      <w:p w:rsidR="00B637B2" w:rsidRDefault="008F04CF" w:rsidP="00B637B2">
                        <w:pPr>
                          <w:rPr>
                            <w:szCs w:val="21"/>
                          </w:rPr>
                        </w:pPr>
                        <w:r>
                          <w:rPr>
                            <w:rFonts w:hint="eastAsia"/>
                            <w:b/>
                            <w:bCs/>
                            <w:szCs w:val="21"/>
                          </w:rPr>
                          <w:t>非流动资产：</w:t>
                        </w:r>
                      </w:p>
                    </w:tc>
                  </w:sdtContent>
                </w:sdt>
                <w:tc>
                  <w:tcPr>
                    <w:tcW w:w="563" w:type="pct"/>
                    <w:tcBorders>
                      <w:top w:val="outset" w:sz="6" w:space="0" w:color="auto"/>
                      <w:left w:val="outset" w:sz="6" w:space="0" w:color="auto"/>
                      <w:bottom w:val="outset" w:sz="6" w:space="0" w:color="auto"/>
                      <w:right w:val="outset" w:sz="6" w:space="0" w:color="auto"/>
                    </w:tcBorders>
                  </w:tcPr>
                  <w:p w:rsidR="00B637B2" w:rsidRPr="00777B68" w:rsidRDefault="00B637B2" w:rsidP="00B637B2"/>
                </w:tc>
                <w:tc>
                  <w:tcPr>
                    <w:tcW w:w="1127" w:type="pct"/>
                    <w:tcBorders>
                      <w:top w:val="outset" w:sz="6" w:space="0" w:color="auto"/>
                      <w:left w:val="outset" w:sz="6" w:space="0" w:color="auto"/>
                      <w:bottom w:val="outset" w:sz="6" w:space="0" w:color="auto"/>
                      <w:right w:val="outset" w:sz="6" w:space="0" w:color="auto"/>
                    </w:tcBorders>
                    <w:vAlign w:val="center"/>
                  </w:tcPr>
                  <w:p w:rsidR="00B637B2" w:rsidRPr="00777B68" w:rsidRDefault="00B637B2" w:rsidP="00B637B2">
                    <w:pPr>
                      <w:jc w:val="right"/>
                    </w:pPr>
                  </w:p>
                </w:tc>
                <w:tc>
                  <w:tcPr>
                    <w:tcW w:w="1141" w:type="pct"/>
                    <w:tcBorders>
                      <w:top w:val="outset" w:sz="6" w:space="0" w:color="auto"/>
                      <w:left w:val="outset" w:sz="6" w:space="0" w:color="auto"/>
                      <w:bottom w:val="outset" w:sz="6" w:space="0" w:color="auto"/>
                      <w:right w:val="outset" w:sz="6" w:space="0" w:color="auto"/>
                    </w:tcBorders>
                    <w:vAlign w:val="center"/>
                  </w:tcPr>
                  <w:p w:rsidR="00B637B2" w:rsidRPr="00777B68" w:rsidRDefault="00B637B2" w:rsidP="00B637B2">
                    <w:pPr>
                      <w:jc w:val="right"/>
                    </w:pPr>
                  </w:p>
                </w:tc>
              </w:tr>
              <w:tr w:rsidR="00B637B2" w:rsidTr="00B637B2">
                <w:tc>
                  <w:tcPr>
                    <w:tcW w:w="216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c2fbd80d951495a9e6e271d71a458e3"/>
                      <w:id w:val="896705664"/>
                      <w:lock w:val="sdtLocked"/>
                    </w:sdtPr>
                    <w:sdtContent>
                      <w:p w:rsidR="00B637B2" w:rsidRDefault="008F04CF" w:rsidP="00B637B2">
                        <w:pPr>
                          <w:ind w:firstLineChars="100" w:firstLine="210"/>
                        </w:pPr>
                        <w:r>
                          <w:rPr>
                            <w:rFonts w:hint="eastAsia"/>
                          </w:rPr>
                          <w:t>债权投资</w:t>
                        </w:r>
                      </w:p>
                    </w:sdtContent>
                  </w:sdt>
                </w:tc>
                <w:tc>
                  <w:tcPr>
                    <w:tcW w:w="563" w:type="pct"/>
                    <w:tcBorders>
                      <w:top w:val="outset" w:sz="6" w:space="0" w:color="auto"/>
                      <w:left w:val="outset" w:sz="6" w:space="0" w:color="auto"/>
                      <w:bottom w:val="outset" w:sz="6" w:space="0" w:color="auto"/>
                      <w:right w:val="outset" w:sz="6" w:space="0" w:color="auto"/>
                    </w:tcBorders>
                  </w:tcPr>
                  <w:p w:rsidR="00B637B2" w:rsidRPr="00777B68" w:rsidRDefault="00B637B2" w:rsidP="00B637B2"/>
                </w:tc>
                <w:tc>
                  <w:tcPr>
                    <w:tcW w:w="1127"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w:t>
                    </w:r>
                  </w:p>
                </w:tc>
                <w:tc>
                  <w:tcPr>
                    <w:tcW w:w="1141"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w:t>
                    </w:r>
                  </w:p>
                </w:tc>
              </w:tr>
              <w:tr w:rsidR="00B637B2" w:rsidTr="00B637B2">
                <w:sdt>
                  <w:sdtPr>
                    <w:tag w:val="_PLD_9ca9c359a8ae4814b54559fc8e718361"/>
                    <w:id w:val="314684267"/>
                    <w:lock w:val="sdtLocked"/>
                  </w:sdtPr>
                  <w:sdtContent>
                    <w:tc>
                      <w:tcPr>
                        <w:tcW w:w="2169" w:type="pct"/>
                        <w:tcBorders>
                          <w:top w:val="outset" w:sz="6" w:space="0" w:color="auto"/>
                          <w:left w:val="outset" w:sz="6" w:space="0" w:color="auto"/>
                          <w:bottom w:val="outset" w:sz="6" w:space="0" w:color="auto"/>
                          <w:right w:val="outset" w:sz="6" w:space="0" w:color="auto"/>
                        </w:tcBorders>
                        <w:vAlign w:val="center"/>
                      </w:tcPr>
                      <w:p w:rsidR="00B637B2" w:rsidRDefault="008F04CF" w:rsidP="00B637B2">
                        <w:pPr>
                          <w:ind w:firstLineChars="100" w:firstLine="210"/>
                          <w:rPr>
                            <w:szCs w:val="21"/>
                          </w:rPr>
                        </w:pPr>
                        <w:r>
                          <w:rPr>
                            <w:rFonts w:hint="eastAsia"/>
                            <w:szCs w:val="21"/>
                          </w:rPr>
                          <w:t>可供出售金融资产</w:t>
                        </w:r>
                      </w:p>
                    </w:tc>
                  </w:sdtContent>
                </w:sdt>
                <w:tc>
                  <w:tcPr>
                    <w:tcW w:w="563" w:type="pct"/>
                    <w:tcBorders>
                      <w:top w:val="outset" w:sz="6" w:space="0" w:color="auto"/>
                      <w:left w:val="outset" w:sz="6" w:space="0" w:color="auto"/>
                      <w:bottom w:val="outset" w:sz="6" w:space="0" w:color="auto"/>
                      <w:right w:val="outset" w:sz="6" w:space="0" w:color="auto"/>
                    </w:tcBorders>
                  </w:tcPr>
                  <w:p w:rsidR="00B637B2" w:rsidRPr="00777B68" w:rsidRDefault="00B637B2" w:rsidP="00B637B2"/>
                </w:tc>
                <w:tc>
                  <w:tcPr>
                    <w:tcW w:w="1127"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w:t>
                    </w:r>
                  </w:p>
                </w:tc>
                <w:tc>
                  <w:tcPr>
                    <w:tcW w:w="1141"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585,401,962</w:t>
                    </w:r>
                  </w:p>
                </w:tc>
              </w:tr>
              <w:tr w:rsidR="00B637B2" w:rsidTr="00B637B2">
                <w:tc>
                  <w:tcPr>
                    <w:tcW w:w="216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e13bbca7370496690a32404c8d408c7"/>
                      <w:id w:val="2051036315"/>
                      <w:lock w:val="sdtLocked"/>
                    </w:sdtPr>
                    <w:sdtContent>
                      <w:p w:rsidR="00B637B2" w:rsidRDefault="008F04CF" w:rsidP="00B637B2">
                        <w:pPr>
                          <w:ind w:firstLineChars="100" w:firstLine="210"/>
                        </w:pPr>
                        <w:r>
                          <w:rPr>
                            <w:rFonts w:hint="eastAsia"/>
                          </w:rPr>
                          <w:t>其他债权投资</w:t>
                        </w:r>
                      </w:p>
                    </w:sdtContent>
                  </w:sdt>
                </w:tc>
                <w:tc>
                  <w:tcPr>
                    <w:tcW w:w="563" w:type="pct"/>
                    <w:tcBorders>
                      <w:top w:val="outset" w:sz="6" w:space="0" w:color="auto"/>
                      <w:left w:val="outset" w:sz="6" w:space="0" w:color="auto"/>
                      <w:bottom w:val="outset" w:sz="6" w:space="0" w:color="auto"/>
                      <w:right w:val="outset" w:sz="6" w:space="0" w:color="auto"/>
                    </w:tcBorders>
                  </w:tcPr>
                  <w:p w:rsidR="00B637B2" w:rsidRPr="00777B68" w:rsidRDefault="00B637B2" w:rsidP="00B637B2"/>
                </w:tc>
                <w:tc>
                  <w:tcPr>
                    <w:tcW w:w="1127"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w:t>
                    </w:r>
                  </w:p>
                </w:tc>
                <w:tc>
                  <w:tcPr>
                    <w:tcW w:w="1141"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w:t>
                    </w:r>
                  </w:p>
                </w:tc>
              </w:tr>
              <w:tr w:rsidR="00B637B2" w:rsidTr="00B637B2">
                <w:sdt>
                  <w:sdtPr>
                    <w:tag w:val="_PLD_362a8693963c4a1abd7bd9b56633e066"/>
                    <w:id w:val="20830707"/>
                    <w:lock w:val="sdtLocked"/>
                  </w:sdtPr>
                  <w:sdtContent>
                    <w:tc>
                      <w:tcPr>
                        <w:tcW w:w="2169" w:type="pct"/>
                        <w:tcBorders>
                          <w:top w:val="outset" w:sz="6" w:space="0" w:color="auto"/>
                          <w:left w:val="outset" w:sz="6" w:space="0" w:color="auto"/>
                          <w:bottom w:val="outset" w:sz="6" w:space="0" w:color="auto"/>
                          <w:right w:val="outset" w:sz="6" w:space="0" w:color="auto"/>
                        </w:tcBorders>
                        <w:vAlign w:val="center"/>
                      </w:tcPr>
                      <w:p w:rsidR="00B637B2" w:rsidRDefault="008F04CF" w:rsidP="00B637B2">
                        <w:pPr>
                          <w:ind w:firstLineChars="100" w:firstLine="210"/>
                          <w:rPr>
                            <w:szCs w:val="21"/>
                          </w:rPr>
                        </w:pPr>
                        <w:r>
                          <w:rPr>
                            <w:rFonts w:hint="eastAsia"/>
                            <w:szCs w:val="21"/>
                          </w:rPr>
                          <w:t>持有至到期投资</w:t>
                        </w:r>
                      </w:p>
                    </w:tc>
                  </w:sdtContent>
                </w:sdt>
                <w:tc>
                  <w:tcPr>
                    <w:tcW w:w="563" w:type="pct"/>
                    <w:tcBorders>
                      <w:top w:val="outset" w:sz="6" w:space="0" w:color="auto"/>
                      <w:left w:val="outset" w:sz="6" w:space="0" w:color="auto"/>
                      <w:bottom w:val="outset" w:sz="6" w:space="0" w:color="auto"/>
                      <w:right w:val="outset" w:sz="6" w:space="0" w:color="auto"/>
                    </w:tcBorders>
                  </w:tcPr>
                  <w:p w:rsidR="00B637B2" w:rsidRPr="00777B68" w:rsidRDefault="00B637B2" w:rsidP="00B637B2"/>
                </w:tc>
                <w:tc>
                  <w:tcPr>
                    <w:tcW w:w="1127"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w:t>
                    </w:r>
                  </w:p>
                </w:tc>
                <w:tc>
                  <w:tcPr>
                    <w:tcW w:w="1141"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w:t>
                    </w:r>
                  </w:p>
                </w:tc>
              </w:tr>
              <w:tr w:rsidR="00B637B2" w:rsidTr="00B637B2">
                <w:sdt>
                  <w:sdtPr>
                    <w:tag w:val="_PLD_6305d0ab634c4b40bd8df81ff23c8d0d"/>
                    <w:id w:val="-1362663717"/>
                    <w:lock w:val="sdtLocked"/>
                  </w:sdtPr>
                  <w:sdtContent>
                    <w:tc>
                      <w:tcPr>
                        <w:tcW w:w="2169" w:type="pct"/>
                        <w:tcBorders>
                          <w:top w:val="outset" w:sz="6" w:space="0" w:color="auto"/>
                          <w:left w:val="outset" w:sz="6" w:space="0" w:color="auto"/>
                          <w:bottom w:val="outset" w:sz="6" w:space="0" w:color="auto"/>
                          <w:right w:val="outset" w:sz="6" w:space="0" w:color="auto"/>
                        </w:tcBorders>
                        <w:vAlign w:val="center"/>
                      </w:tcPr>
                      <w:p w:rsidR="00B637B2" w:rsidRDefault="008F04CF" w:rsidP="00B637B2">
                        <w:pPr>
                          <w:ind w:firstLineChars="100" w:firstLine="210"/>
                          <w:rPr>
                            <w:szCs w:val="21"/>
                          </w:rPr>
                        </w:pPr>
                        <w:r>
                          <w:rPr>
                            <w:rFonts w:hint="eastAsia"/>
                            <w:szCs w:val="21"/>
                          </w:rPr>
                          <w:t>长期应收款</w:t>
                        </w:r>
                      </w:p>
                    </w:tc>
                  </w:sdtContent>
                </w:sdt>
                <w:tc>
                  <w:tcPr>
                    <w:tcW w:w="563" w:type="pct"/>
                    <w:tcBorders>
                      <w:top w:val="outset" w:sz="6" w:space="0" w:color="auto"/>
                      <w:left w:val="outset" w:sz="6" w:space="0" w:color="auto"/>
                      <w:bottom w:val="outset" w:sz="6" w:space="0" w:color="auto"/>
                      <w:right w:val="outset" w:sz="6" w:space="0" w:color="auto"/>
                    </w:tcBorders>
                  </w:tcPr>
                  <w:p w:rsidR="00B637B2" w:rsidRPr="00777B68" w:rsidRDefault="00B637B2" w:rsidP="00B637B2"/>
                </w:tc>
                <w:tc>
                  <w:tcPr>
                    <w:tcW w:w="1127"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w:t>
                    </w:r>
                  </w:p>
                </w:tc>
                <w:tc>
                  <w:tcPr>
                    <w:tcW w:w="1141"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w:t>
                    </w:r>
                  </w:p>
                </w:tc>
              </w:tr>
              <w:tr w:rsidR="00B637B2" w:rsidTr="00B637B2">
                <w:sdt>
                  <w:sdtPr>
                    <w:tag w:val="_PLD_fa3d0d37a62a4d8890171550ab1664b1"/>
                    <w:id w:val="1149097425"/>
                    <w:lock w:val="sdtLocked"/>
                  </w:sdtPr>
                  <w:sdtContent>
                    <w:tc>
                      <w:tcPr>
                        <w:tcW w:w="2169" w:type="pct"/>
                        <w:tcBorders>
                          <w:top w:val="outset" w:sz="6" w:space="0" w:color="auto"/>
                          <w:left w:val="outset" w:sz="6" w:space="0" w:color="auto"/>
                          <w:bottom w:val="outset" w:sz="6" w:space="0" w:color="auto"/>
                          <w:right w:val="outset" w:sz="6" w:space="0" w:color="auto"/>
                        </w:tcBorders>
                        <w:vAlign w:val="center"/>
                      </w:tcPr>
                      <w:p w:rsidR="00B637B2" w:rsidRDefault="008F04CF" w:rsidP="00B637B2">
                        <w:pPr>
                          <w:ind w:firstLineChars="100" w:firstLine="210"/>
                          <w:rPr>
                            <w:szCs w:val="21"/>
                          </w:rPr>
                        </w:pPr>
                        <w:r>
                          <w:rPr>
                            <w:rFonts w:hint="eastAsia"/>
                            <w:szCs w:val="21"/>
                          </w:rPr>
                          <w:t>长期股权投资</w:t>
                        </w:r>
                      </w:p>
                    </w:tc>
                  </w:sdtContent>
                </w:sdt>
                <w:tc>
                  <w:tcPr>
                    <w:tcW w:w="563" w:type="pct"/>
                    <w:tcBorders>
                      <w:top w:val="outset" w:sz="6" w:space="0" w:color="auto"/>
                      <w:left w:val="outset" w:sz="6" w:space="0" w:color="auto"/>
                      <w:bottom w:val="outset" w:sz="6" w:space="0" w:color="auto"/>
                      <w:right w:val="outset" w:sz="6" w:space="0" w:color="auto"/>
                    </w:tcBorders>
                  </w:tcPr>
                  <w:p w:rsidR="00B637B2" w:rsidRPr="00777B68" w:rsidRDefault="008F04CF" w:rsidP="00B637B2">
                    <w:r>
                      <w:rPr>
                        <w:rFonts w:hint="eastAsia"/>
                      </w:rPr>
                      <w:t>十七、</w:t>
                    </w:r>
                    <w:r>
                      <w:t>3</w:t>
                    </w:r>
                  </w:p>
                </w:tc>
                <w:tc>
                  <w:tcPr>
                    <w:tcW w:w="1127"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4,675,523,737</w:t>
                    </w:r>
                  </w:p>
                </w:tc>
                <w:tc>
                  <w:tcPr>
                    <w:tcW w:w="1141"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4,610,304,544</w:t>
                    </w:r>
                  </w:p>
                </w:tc>
              </w:tr>
              <w:tr w:rsidR="00B637B2" w:rsidTr="00B637B2">
                <w:tc>
                  <w:tcPr>
                    <w:tcW w:w="216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ff348e432d64b2db9dfbd6062b82eb5"/>
                      <w:id w:val="303587650"/>
                      <w:lock w:val="sdtLocked"/>
                    </w:sdtPr>
                    <w:sdtContent>
                      <w:p w:rsidR="00B637B2" w:rsidRDefault="008F04CF" w:rsidP="00B637B2">
                        <w:pPr>
                          <w:ind w:firstLineChars="100" w:firstLine="210"/>
                        </w:pPr>
                        <w:r>
                          <w:rPr>
                            <w:rFonts w:hint="eastAsia"/>
                          </w:rPr>
                          <w:t>其他权益工具投资</w:t>
                        </w:r>
                      </w:p>
                    </w:sdtContent>
                  </w:sdt>
                </w:tc>
                <w:tc>
                  <w:tcPr>
                    <w:tcW w:w="563" w:type="pct"/>
                    <w:tcBorders>
                      <w:top w:val="outset" w:sz="6" w:space="0" w:color="auto"/>
                      <w:left w:val="outset" w:sz="6" w:space="0" w:color="auto"/>
                      <w:bottom w:val="outset" w:sz="6" w:space="0" w:color="auto"/>
                      <w:right w:val="outset" w:sz="6" w:space="0" w:color="auto"/>
                    </w:tcBorders>
                  </w:tcPr>
                  <w:p w:rsidR="00B637B2" w:rsidRPr="00777B68" w:rsidRDefault="00B637B2" w:rsidP="00B637B2"/>
                </w:tc>
                <w:tc>
                  <w:tcPr>
                    <w:tcW w:w="1127"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w:t>
                    </w:r>
                  </w:p>
                </w:tc>
                <w:tc>
                  <w:tcPr>
                    <w:tcW w:w="1141"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w:t>
                    </w:r>
                  </w:p>
                </w:tc>
              </w:tr>
              <w:tr w:rsidR="00B637B2" w:rsidTr="00B637B2">
                <w:tc>
                  <w:tcPr>
                    <w:tcW w:w="216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3127ce1ff284582992a5980b440c217"/>
                      <w:id w:val="-2057075935"/>
                      <w:lock w:val="sdtLocked"/>
                    </w:sdtPr>
                    <w:sdtContent>
                      <w:p w:rsidR="00B637B2" w:rsidRDefault="008F04CF" w:rsidP="00B637B2">
                        <w:pPr>
                          <w:ind w:firstLineChars="100" w:firstLine="210"/>
                        </w:pPr>
                        <w:r>
                          <w:rPr>
                            <w:rFonts w:hint="eastAsia"/>
                          </w:rPr>
                          <w:t>其他非流动金融资产</w:t>
                        </w:r>
                      </w:p>
                    </w:sdtContent>
                  </w:sdt>
                </w:tc>
                <w:tc>
                  <w:tcPr>
                    <w:tcW w:w="563" w:type="pct"/>
                    <w:tcBorders>
                      <w:top w:val="outset" w:sz="6" w:space="0" w:color="auto"/>
                      <w:left w:val="outset" w:sz="6" w:space="0" w:color="auto"/>
                      <w:bottom w:val="outset" w:sz="6" w:space="0" w:color="auto"/>
                      <w:right w:val="outset" w:sz="6" w:space="0" w:color="auto"/>
                    </w:tcBorders>
                  </w:tcPr>
                  <w:p w:rsidR="00B637B2" w:rsidRPr="00777B68" w:rsidRDefault="00B637B2" w:rsidP="00B637B2"/>
                </w:tc>
                <w:tc>
                  <w:tcPr>
                    <w:tcW w:w="1127"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759,852,123</w:t>
                    </w:r>
                  </w:p>
                </w:tc>
                <w:tc>
                  <w:tcPr>
                    <w:tcW w:w="1141"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w:t>
                    </w:r>
                  </w:p>
                </w:tc>
              </w:tr>
              <w:tr w:rsidR="00B637B2" w:rsidTr="00B637B2">
                <w:sdt>
                  <w:sdtPr>
                    <w:tag w:val="_PLD_d598b192b9aa4c77b3dbe14be0a567ae"/>
                    <w:id w:val="-388413951"/>
                    <w:lock w:val="sdtLocked"/>
                  </w:sdtPr>
                  <w:sdtContent>
                    <w:tc>
                      <w:tcPr>
                        <w:tcW w:w="2169" w:type="pct"/>
                        <w:tcBorders>
                          <w:top w:val="outset" w:sz="6" w:space="0" w:color="auto"/>
                          <w:left w:val="outset" w:sz="6" w:space="0" w:color="auto"/>
                          <w:bottom w:val="outset" w:sz="6" w:space="0" w:color="auto"/>
                          <w:right w:val="outset" w:sz="6" w:space="0" w:color="auto"/>
                        </w:tcBorders>
                        <w:vAlign w:val="center"/>
                      </w:tcPr>
                      <w:p w:rsidR="00B637B2" w:rsidRDefault="008F04CF" w:rsidP="00B637B2">
                        <w:pPr>
                          <w:ind w:firstLineChars="100" w:firstLine="210"/>
                          <w:rPr>
                            <w:szCs w:val="21"/>
                          </w:rPr>
                        </w:pPr>
                        <w:r>
                          <w:rPr>
                            <w:rFonts w:hint="eastAsia"/>
                            <w:szCs w:val="21"/>
                          </w:rPr>
                          <w:t>投资性房地产</w:t>
                        </w:r>
                      </w:p>
                    </w:tc>
                  </w:sdtContent>
                </w:sdt>
                <w:tc>
                  <w:tcPr>
                    <w:tcW w:w="563" w:type="pct"/>
                    <w:tcBorders>
                      <w:top w:val="outset" w:sz="6" w:space="0" w:color="auto"/>
                      <w:left w:val="outset" w:sz="6" w:space="0" w:color="auto"/>
                      <w:bottom w:val="outset" w:sz="6" w:space="0" w:color="auto"/>
                      <w:right w:val="outset" w:sz="6" w:space="0" w:color="auto"/>
                    </w:tcBorders>
                  </w:tcPr>
                  <w:p w:rsidR="00B637B2" w:rsidRPr="00777B68" w:rsidRDefault="00B637B2" w:rsidP="00B637B2"/>
                </w:tc>
                <w:tc>
                  <w:tcPr>
                    <w:tcW w:w="1127"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w:t>
                    </w:r>
                  </w:p>
                </w:tc>
                <w:tc>
                  <w:tcPr>
                    <w:tcW w:w="1141"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w:t>
                    </w:r>
                  </w:p>
                </w:tc>
              </w:tr>
              <w:tr w:rsidR="00B637B2" w:rsidTr="00B637B2">
                <w:sdt>
                  <w:sdtPr>
                    <w:tag w:val="_PLD_36c5e0c04606490d92af21e793463b46"/>
                    <w:id w:val="-210735665"/>
                    <w:lock w:val="sdtLocked"/>
                  </w:sdtPr>
                  <w:sdtContent>
                    <w:tc>
                      <w:tcPr>
                        <w:tcW w:w="2169" w:type="pct"/>
                        <w:tcBorders>
                          <w:top w:val="outset" w:sz="6" w:space="0" w:color="auto"/>
                          <w:left w:val="outset" w:sz="6" w:space="0" w:color="auto"/>
                          <w:bottom w:val="outset" w:sz="6" w:space="0" w:color="auto"/>
                          <w:right w:val="outset" w:sz="6" w:space="0" w:color="auto"/>
                        </w:tcBorders>
                        <w:vAlign w:val="center"/>
                      </w:tcPr>
                      <w:p w:rsidR="00B637B2" w:rsidRDefault="008F04CF" w:rsidP="00B637B2">
                        <w:pPr>
                          <w:ind w:firstLineChars="100" w:firstLine="210"/>
                          <w:rPr>
                            <w:szCs w:val="21"/>
                          </w:rPr>
                        </w:pPr>
                        <w:r>
                          <w:rPr>
                            <w:rFonts w:hint="eastAsia"/>
                            <w:szCs w:val="21"/>
                          </w:rPr>
                          <w:t>固定资产</w:t>
                        </w:r>
                      </w:p>
                    </w:tc>
                  </w:sdtContent>
                </w:sdt>
                <w:tc>
                  <w:tcPr>
                    <w:tcW w:w="563" w:type="pct"/>
                    <w:tcBorders>
                      <w:top w:val="outset" w:sz="6" w:space="0" w:color="auto"/>
                      <w:left w:val="outset" w:sz="6" w:space="0" w:color="auto"/>
                      <w:bottom w:val="outset" w:sz="6" w:space="0" w:color="auto"/>
                      <w:right w:val="outset" w:sz="6" w:space="0" w:color="auto"/>
                    </w:tcBorders>
                  </w:tcPr>
                  <w:p w:rsidR="00B637B2" w:rsidRPr="00777B68" w:rsidRDefault="00B637B2" w:rsidP="00B637B2"/>
                </w:tc>
                <w:tc>
                  <w:tcPr>
                    <w:tcW w:w="1127"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1,664,772,077</w:t>
                    </w:r>
                  </w:p>
                </w:tc>
                <w:tc>
                  <w:tcPr>
                    <w:tcW w:w="1141"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1,648,380,701</w:t>
                    </w:r>
                  </w:p>
                </w:tc>
              </w:tr>
              <w:tr w:rsidR="00B637B2" w:rsidTr="00B637B2">
                <w:sdt>
                  <w:sdtPr>
                    <w:tag w:val="_PLD_81cd0ff44d5a4f0e8701c556dd24e59c"/>
                    <w:id w:val="-436977892"/>
                    <w:lock w:val="sdtLocked"/>
                  </w:sdtPr>
                  <w:sdtContent>
                    <w:tc>
                      <w:tcPr>
                        <w:tcW w:w="2169" w:type="pct"/>
                        <w:tcBorders>
                          <w:top w:val="outset" w:sz="6" w:space="0" w:color="auto"/>
                          <w:left w:val="outset" w:sz="6" w:space="0" w:color="auto"/>
                          <w:bottom w:val="outset" w:sz="6" w:space="0" w:color="auto"/>
                          <w:right w:val="outset" w:sz="6" w:space="0" w:color="auto"/>
                        </w:tcBorders>
                        <w:vAlign w:val="center"/>
                      </w:tcPr>
                      <w:p w:rsidR="00B637B2" w:rsidRDefault="008F04CF" w:rsidP="00B637B2">
                        <w:pPr>
                          <w:ind w:firstLineChars="100" w:firstLine="210"/>
                          <w:rPr>
                            <w:szCs w:val="21"/>
                          </w:rPr>
                        </w:pPr>
                        <w:r>
                          <w:rPr>
                            <w:rFonts w:hint="eastAsia"/>
                            <w:szCs w:val="21"/>
                          </w:rPr>
                          <w:t>在建工程</w:t>
                        </w:r>
                      </w:p>
                    </w:tc>
                  </w:sdtContent>
                </w:sdt>
                <w:tc>
                  <w:tcPr>
                    <w:tcW w:w="563" w:type="pct"/>
                    <w:tcBorders>
                      <w:top w:val="outset" w:sz="6" w:space="0" w:color="auto"/>
                      <w:left w:val="outset" w:sz="6" w:space="0" w:color="auto"/>
                      <w:bottom w:val="outset" w:sz="6" w:space="0" w:color="auto"/>
                      <w:right w:val="outset" w:sz="6" w:space="0" w:color="auto"/>
                    </w:tcBorders>
                  </w:tcPr>
                  <w:p w:rsidR="00B637B2" w:rsidRPr="00777B68" w:rsidRDefault="00B637B2" w:rsidP="00B637B2"/>
                </w:tc>
                <w:tc>
                  <w:tcPr>
                    <w:tcW w:w="1127"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w:t>
                    </w:r>
                  </w:p>
                </w:tc>
                <w:tc>
                  <w:tcPr>
                    <w:tcW w:w="1141"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w:t>
                    </w:r>
                  </w:p>
                </w:tc>
              </w:tr>
              <w:tr w:rsidR="00B637B2" w:rsidTr="00B637B2">
                <w:sdt>
                  <w:sdtPr>
                    <w:tag w:val="_PLD_74c33ad5ce6d42528b0c43102a02972c"/>
                    <w:id w:val="2062133354"/>
                    <w:lock w:val="sdtLocked"/>
                  </w:sdtPr>
                  <w:sdtContent>
                    <w:tc>
                      <w:tcPr>
                        <w:tcW w:w="2169" w:type="pct"/>
                        <w:tcBorders>
                          <w:top w:val="outset" w:sz="6" w:space="0" w:color="auto"/>
                          <w:left w:val="outset" w:sz="6" w:space="0" w:color="auto"/>
                          <w:bottom w:val="outset" w:sz="6" w:space="0" w:color="auto"/>
                          <w:right w:val="outset" w:sz="6" w:space="0" w:color="auto"/>
                        </w:tcBorders>
                        <w:vAlign w:val="center"/>
                      </w:tcPr>
                      <w:p w:rsidR="00B637B2" w:rsidRDefault="008F04CF" w:rsidP="00B637B2">
                        <w:pPr>
                          <w:ind w:firstLineChars="100" w:firstLine="210"/>
                          <w:rPr>
                            <w:szCs w:val="21"/>
                          </w:rPr>
                        </w:pPr>
                        <w:r>
                          <w:rPr>
                            <w:rFonts w:hint="eastAsia"/>
                            <w:szCs w:val="21"/>
                          </w:rPr>
                          <w:t>生产性生物资产</w:t>
                        </w:r>
                      </w:p>
                    </w:tc>
                  </w:sdtContent>
                </w:sdt>
                <w:tc>
                  <w:tcPr>
                    <w:tcW w:w="563" w:type="pct"/>
                    <w:tcBorders>
                      <w:top w:val="outset" w:sz="6" w:space="0" w:color="auto"/>
                      <w:left w:val="outset" w:sz="6" w:space="0" w:color="auto"/>
                      <w:bottom w:val="outset" w:sz="6" w:space="0" w:color="auto"/>
                      <w:right w:val="outset" w:sz="6" w:space="0" w:color="auto"/>
                    </w:tcBorders>
                  </w:tcPr>
                  <w:p w:rsidR="00B637B2" w:rsidRPr="00777B68" w:rsidRDefault="00B637B2" w:rsidP="00B637B2"/>
                </w:tc>
                <w:tc>
                  <w:tcPr>
                    <w:tcW w:w="1127"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w:t>
                    </w:r>
                  </w:p>
                </w:tc>
                <w:tc>
                  <w:tcPr>
                    <w:tcW w:w="1141"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w:t>
                    </w:r>
                  </w:p>
                </w:tc>
              </w:tr>
              <w:tr w:rsidR="00B637B2" w:rsidTr="00B637B2">
                <w:sdt>
                  <w:sdtPr>
                    <w:tag w:val="_PLD_edcc58c83399408895b0a6d09d9073f2"/>
                    <w:id w:val="1382593540"/>
                    <w:lock w:val="sdtLocked"/>
                  </w:sdtPr>
                  <w:sdtContent>
                    <w:tc>
                      <w:tcPr>
                        <w:tcW w:w="2169" w:type="pct"/>
                        <w:tcBorders>
                          <w:top w:val="outset" w:sz="6" w:space="0" w:color="auto"/>
                          <w:left w:val="outset" w:sz="6" w:space="0" w:color="auto"/>
                          <w:bottom w:val="outset" w:sz="6" w:space="0" w:color="auto"/>
                          <w:right w:val="outset" w:sz="6" w:space="0" w:color="auto"/>
                        </w:tcBorders>
                        <w:vAlign w:val="center"/>
                      </w:tcPr>
                      <w:p w:rsidR="00B637B2" w:rsidRDefault="008F04CF" w:rsidP="00B637B2">
                        <w:pPr>
                          <w:ind w:firstLineChars="100" w:firstLine="210"/>
                          <w:rPr>
                            <w:szCs w:val="21"/>
                          </w:rPr>
                        </w:pPr>
                        <w:r>
                          <w:rPr>
                            <w:rFonts w:hint="eastAsia"/>
                            <w:szCs w:val="21"/>
                          </w:rPr>
                          <w:t>油气资产</w:t>
                        </w:r>
                      </w:p>
                    </w:tc>
                  </w:sdtContent>
                </w:sdt>
                <w:tc>
                  <w:tcPr>
                    <w:tcW w:w="563" w:type="pct"/>
                    <w:tcBorders>
                      <w:top w:val="outset" w:sz="6" w:space="0" w:color="auto"/>
                      <w:left w:val="outset" w:sz="6" w:space="0" w:color="auto"/>
                      <w:bottom w:val="outset" w:sz="6" w:space="0" w:color="auto"/>
                      <w:right w:val="outset" w:sz="6" w:space="0" w:color="auto"/>
                    </w:tcBorders>
                  </w:tcPr>
                  <w:p w:rsidR="00B637B2" w:rsidRPr="00777B68" w:rsidRDefault="00B637B2" w:rsidP="00B637B2"/>
                </w:tc>
                <w:tc>
                  <w:tcPr>
                    <w:tcW w:w="1127"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w:t>
                    </w:r>
                  </w:p>
                </w:tc>
                <w:tc>
                  <w:tcPr>
                    <w:tcW w:w="1141"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w:t>
                    </w:r>
                  </w:p>
                </w:tc>
              </w:tr>
              <w:tr w:rsidR="00B637B2" w:rsidTr="00B637B2">
                <w:tc>
                  <w:tcPr>
                    <w:tcW w:w="216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d2c3b675df54b0b89d82ab1b691d06c"/>
                      <w:id w:val="1754091466"/>
                      <w:lock w:val="sdtLocked"/>
                    </w:sdtPr>
                    <w:sdtContent>
                      <w:p w:rsidR="00B637B2" w:rsidRDefault="008F04CF" w:rsidP="00B637B2">
                        <w:pPr>
                          <w:ind w:firstLineChars="100" w:firstLine="210"/>
                        </w:pPr>
                        <w:r>
                          <w:rPr>
                            <w:rFonts w:hint="eastAsia"/>
                          </w:rPr>
                          <w:t>使用权资产</w:t>
                        </w:r>
                      </w:p>
                    </w:sdtContent>
                  </w:sdt>
                </w:tc>
                <w:tc>
                  <w:tcPr>
                    <w:tcW w:w="563" w:type="pct"/>
                    <w:tcBorders>
                      <w:top w:val="outset" w:sz="6" w:space="0" w:color="auto"/>
                      <w:left w:val="outset" w:sz="6" w:space="0" w:color="auto"/>
                      <w:bottom w:val="outset" w:sz="6" w:space="0" w:color="auto"/>
                      <w:right w:val="outset" w:sz="6" w:space="0" w:color="auto"/>
                    </w:tcBorders>
                  </w:tcPr>
                  <w:p w:rsidR="00B637B2" w:rsidRPr="00777B68" w:rsidRDefault="00B637B2" w:rsidP="00B637B2"/>
                </w:tc>
                <w:tc>
                  <w:tcPr>
                    <w:tcW w:w="1127"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w:t>
                    </w:r>
                  </w:p>
                </w:tc>
                <w:tc>
                  <w:tcPr>
                    <w:tcW w:w="1141"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w:t>
                    </w:r>
                  </w:p>
                </w:tc>
              </w:tr>
              <w:tr w:rsidR="00B637B2" w:rsidTr="00B637B2">
                <w:sdt>
                  <w:sdtPr>
                    <w:tag w:val="_PLD_e97c32de07ca406c995520445e6dffbf"/>
                    <w:id w:val="1080261599"/>
                    <w:lock w:val="sdtLocked"/>
                  </w:sdtPr>
                  <w:sdtContent>
                    <w:tc>
                      <w:tcPr>
                        <w:tcW w:w="2169" w:type="pct"/>
                        <w:tcBorders>
                          <w:top w:val="outset" w:sz="6" w:space="0" w:color="auto"/>
                          <w:left w:val="outset" w:sz="6" w:space="0" w:color="auto"/>
                          <w:bottom w:val="outset" w:sz="6" w:space="0" w:color="auto"/>
                          <w:right w:val="outset" w:sz="6" w:space="0" w:color="auto"/>
                        </w:tcBorders>
                        <w:vAlign w:val="center"/>
                      </w:tcPr>
                      <w:p w:rsidR="00B637B2" w:rsidRDefault="008F04CF" w:rsidP="00B637B2">
                        <w:pPr>
                          <w:ind w:firstLineChars="100" w:firstLine="210"/>
                          <w:rPr>
                            <w:szCs w:val="21"/>
                          </w:rPr>
                        </w:pPr>
                        <w:r>
                          <w:rPr>
                            <w:rFonts w:hint="eastAsia"/>
                            <w:szCs w:val="21"/>
                          </w:rPr>
                          <w:t>无形资产</w:t>
                        </w:r>
                      </w:p>
                    </w:tc>
                  </w:sdtContent>
                </w:sdt>
                <w:tc>
                  <w:tcPr>
                    <w:tcW w:w="563" w:type="pct"/>
                    <w:tcBorders>
                      <w:top w:val="outset" w:sz="6" w:space="0" w:color="auto"/>
                      <w:left w:val="outset" w:sz="6" w:space="0" w:color="auto"/>
                      <w:bottom w:val="outset" w:sz="6" w:space="0" w:color="auto"/>
                      <w:right w:val="outset" w:sz="6" w:space="0" w:color="auto"/>
                    </w:tcBorders>
                  </w:tcPr>
                  <w:p w:rsidR="00B637B2" w:rsidRPr="00777B68" w:rsidRDefault="00B637B2" w:rsidP="00B637B2"/>
                </w:tc>
                <w:tc>
                  <w:tcPr>
                    <w:tcW w:w="1127"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471,435,709</w:t>
                    </w:r>
                  </w:p>
                </w:tc>
                <w:tc>
                  <w:tcPr>
                    <w:tcW w:w="1141"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506,269,673</w:t>
                    </w:r>
                  </w:p>
                </w:tc>
              </w:tr>
              <w:tr w:rsidR="00B637B2" w:rsidTr="00B637B2">
                <w:sdt>
                  <w:sdtPr>
                    <w:tag w:val="_PLD_f4ffd10790ec4e6bb2e54090fd20cdea"/>
                    <w:id w:val="-2089603902"/>
                    <w:lock w:val="sdtLocked"/>
                  </w:sdtPr>
                  <w:sdtContent>
                    <w:tc>
                      <w:tcPr>
                        <w:tcW w:w="2169" w:type="pct"/>
                        <w:tcBorders>
                          <w:top w:val="outset" w:sz="6" w:space="0" w:color="auto"/>
                          <w:left w:val="outset" w:sz="6" w:space="0" w:color="auto"/>
                          <w:bottom w:val="outset" w:sz="6" w:space="0" w:color="auto"/>
                          <w:right w:val="outset" w:sz="6" w:space="0" w:color="auto"/>
                        </w:tcBorders>
                        <w:vAlign w:val="center"/>
                      </w:tcPr>
                      <w:p w:rsidR="00B637B2" w:rsidRDefault="008F04CF" w:rsidP="00B637B2">
                        <w:pPr>
                          <w:ind w:firstLineChars="100" w:firstLine="210"/>
                          <w:rPr>
                            <w:szCs w:val="21"/>
                          </w:rPr>
                        </w:pPr>
                        <w:r>
                          <w:rPr>
                            <w:rFonts w:hint="eastAsia"/>
                            <w:szCs w:val="21"/>
                          </w:rPr>
                          <w:t>开发支出</w:t>
                        </w:r>
                      </w:p>
                    </w:tc>
                  </w:sdtContent>
                </w:sdt>
                <w:tc>
                  <w:tcPr>
                    <w:tcW w:w="563" w:type="pct"/>
                    <w:tcBorders>
                      <w:top w:val="outset" w:sz="6" w:space="0" w:color="auto"/>
                      <w:left w:val="outset" w:sz="6" w:space="0" w:color="auto"/>
                      <w:bottom w:val="outset" w:sz="6" w:space="0" w:color="auto"/>
                      <w:right w:val="outset" w:sz="6" w:space="0" w:color="auto"/>
                    </w:tcBorders>
                  </w:tcPr>
                  <w:p w:rsidR="00B637B2" w:rsidRPr="00777B68" w:rsidRDefault="00B637B2" w:rsidP="00B637B2"/>
                </w:tc>
                <w:tc>
                  <w:tcPr>
                    <w:tcW w:w="1127"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10,093,002</w:t>
                    </w:r>
                  </w:p>
                </w:tc>
                <w:tc>
                  <w:tcPr>
                    <w:tcW w:w="1141"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w:t>
                    </w:r>
                  </w:p>
                </w:tc>
              </w:tr>
              <w:tr w:rsidR="00B637B2" w:rsidTr="00B637B2">
                <w:sdt>
                  <w:sdtPr>
                    <w:tag w:val="_PLD_8ab7a8967dca44f3b2bd0ec65150e937"/>
                    <w:id w:val="1524446374"/>
                    <w:lock w:val="sdtLocked"/>
                  </w:sdtPr>
                  <w:sdtContent>
                    <w:tc>
                      <w:tcPr>
                        <w:tcW w:w="2169" w:type="pct"/>
                        <w:tcBorders>
                          <w:top w:val="outset" w:sz="6" w:space="0" w:color="auto"/>
                          <w:left w:val="outset" w:sz="6" w:space="0" w:color="auto"/>
                          <w:bottom w:val="outset" w:sz="6" w:space="0" w:color="auto"/>
                          <w:right w:val="outset" w:sz="6" w:space="0" w:color="auto"/>
                        </w:tcBorders>
                        <w:vAlign w:val="center"/>
                      </w:tcPr>
                      <w:p w:rsidR="00B637B2" w:rsidRDefault="008F04CF" w:rsidP="00B637B2">
                        <w:pPr>
                          <w:ind w:firstLineChars="100" w:firstLine="210"/>
                          <w:rPr>
                            <w:szCs w:val="21"/>
                          </w:rPr>
                        </w:pPr>
                        <w:r>
                          <w:rPr>
                            <w:rFonts w:hint="eastAsia"/>
                            <w:szCs w:val="21"/>
                          </w:rPr>
                          <w:t>商誉</w:t>
                        </w:r>
                      </w:p>
                    </w:tc>
                  </w:sdtContent>
                </w:sdt>
                <w:tc>
                  <w:tcPr>
                    <w:tcW w:w="563" w:type="pct"/>
                    <w:tcBorders>
                      <w:top w:val="outset" w:sz="6" w:space="0" w:color="auto"/>
                      <w:left w:val="outset" w:sz="6" w:space="0" w:color="auto"/>
                      <w:bottom w:val="outset" w:sz="6" w:space="0" w:color="auto"/>
                      <w:right w:val="outset" w:sz="6" w:space="0" w:color="auto"/>
                    </w:tcBorders>
                  </w:tcPr>
                  <w:p w:rsidR="00B637B2" w:rsidRPr="00777B68" w:rsidRDefault="00B637B2" w:rsidP="00B637B2"/>
                </w:tc>
                <w:tc>
                  <w:tcPr>
                    <w:tcW w:w="1127"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96,914,448</w:t>
                    </w:r>
                  </w:p>
                </w:tc>
                <w:tc>
                  <w:tcPr>
                    <w:tcW w:w="1141"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96,914,448</w:t>
                    </w:r>
                  </w:p>
                </w:tc>
              </w:tr>
              <w:tr w:rsidR="00B637B2" w:rsidTr="00B637B2">
                <w:sdt>
                  <w:sdtPr>
                    <w:tag w:val="_PLD_c056001bc1b3464fb0b5268a537d7ec4"/>
                    <w:id w:val="447438276"/>
                    <w:lock w:val="sdtLocked"/>
                  </w:sdtPr>
                  <w:sdtContent>
                    <w:tc>
                      <w:tcPr>
                        <w:tcW w:w="2169" w:type="pct"/>
                        <w:tcBorders>
                          <w:top w:val="outset" w:sz="6" w:space="0" w:color="auto"/>
                          <w:left w:val="outset" w:sz="6" w:space="0" w:color="auto"/>
                          <w:bottom w:val="outset" w:sz="6" w:space="0" w:color="auto"/>
                          <w:right w:val="outset" w:sz="6" w:space="0" w:color="auto"/>
                        </w:tcBorders>
                        <w:vAlign w:val="center"/>
                      </w:tcPr>
                      <w:p w:rsidR="00B637B2" w:rsidRDefault="008F04CF" w:rsidP="00B637B2">
                        <w:pPr>
                          <w:ind w:firstLineChars="100" w:firstLine="210"/>
                          <w:rPr>
                            <w:szCs w:val="21"/>
                          </w:rPr>
                        </w:pPr>
                        <w:r>
                          <w:rPr>
                            <w:rFonts w:hint="eastAsia"/>
                            <w:szCs w:val="21"/>
                          </w:rPr>
                          <w:t>长期待摊费用</w:t>
                        </w:r>
                      </w:p>
                    </w:tc>
                  </w:sdtContent>
                </w:sdt>
                <w:tc>
                  <w:tcPr>
                    <w:tcW w:w="563" w:type="pct"/>
                    <w:tcBorders>
                      <w:top w:val="outset" w:sz="6" w:space="0" w:color="auto"/>
                      <w:left w:val="outset" w:sz="6" w:space="0" w:color="auto"/>
                      <w:bottom w:val="outset" w:sz="6" w:space="0" w:color="auto"/>
                      <w:right w:val="outset" w:sz="6" w:space="0" w:color="auto"/>
                    </w:tcBorders>
                  </w:tcPr>
                  <w:p w:rsidR="00B637B2" w:rsidRPr="00777B68" w:rsidRDefault="00B637B2" w:rsidP="00B637B2"/>
                </w:tc>
                <w:tc>
                  <w:tcPr>
                    <w:tcW w:w="1127"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4,902,896</w:t>
                    </w:r>
                  </w:p>
                </w:tc>
                <w:tc>
                  <w:tcPr>
                    <w:tcW w:w="1141"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6,112,786</w:t>
                    </w:r>
                  </w:p>
                </w:tc>
              </w:tr>
              <w:tr w:rsidR="00B637B2" w:rsidTr="00B637B2">
                <w:sdt>
                  <w:sdtPr>
                    <w:tag w:val="_PLD_8c08fa756eba4bf89ad37621da0216df"/>
                    <w:id w:val="-1901203456"/>
                    <w:lock w:val="sdtLocked"/>
                  </w:sdtPr>
                  <w:sdtContent>
                    <w:tc>
                      <w:tcPr>
                        <w:tcW w:w="2169" w:type="pct"/>
                        <w:tcBorders>
                          <w:top w:val="outset" w:sz="6" w:space="0" w:color="auto"/>
                          <w:left w:val="outset" w:sz="6" w:space="0" w:color="auto"/>
                          <w:bottom w:val="outset" w:sz="6" w:space="0" w:color="auto"/>
                          <w:right w:val="outset" w:sz="6" w:space="0" w:color="auto"/>
                        </w:tcBorders>
                        <w:vAlign w:val="center"/>
                      </w:tcPr>
                      <w:p w:rsidR="00B637B2" w:rsidRDefault="008F04CF" w:rsidP="00B637B2">
                        <w:pPr>
                          <w:ind w:firstLineChars="100" w:firstLine="210"/>
                          <w:rPr>
                            <w:szCs w:val="21"/>
                          </w:rPr>
                        </w:pPr>
                        <w:r>
                          <w:rPr>
                            <w:rFonts w:hint="eastAsia"/>
                            <w:szCs w:val="21"/>
                          </w:rPr>
                          <w:t>递延所得税资产</w:t>
                        </w:r>
                      </w:p>
                    </w:tc>
                  </w:sdtContent>
                </w:sdt>
                <w:tc>
                  <w:tcPr>
                    <w:tcW w:w="563" w:type="pct"/>
                    <w:tcBorders>
                      <w:top w:val="outset" w:sz="6" w:space="0" w:color="auto"/>
                      <w:left w:val="outset" w:sz="6" w:space="0" w:color="auto"/>
                      <w:bottom w:val="outset" w:sz="6" w:space="0" w:color="auto"/>
                      <w:right w:val="outset" w:sz="6" w:space="0" w:color="auto"/>
                    </w:tcBorders>
                  </w:tcPr>
                  <w:p w:rsidR="00B637B2" w:rsidRPr="00777B68" w:rsidRDefault="00B637B2" w:rsidP="00B637B2"/>
                </w:tc>
                <w:tc>
                  <w:tcPr>
                    <w:tcW w:w="1127"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51,725,762</w:t>
                    </w:r>
                  </w:p>
                </w:tc>
                <w:tc>
                  <w:tcPr>
                    <w:tcW w:w="1141"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48,397,636</w:t>
                    </w:r>
                  </w:p>
                </w:tc>
              </w:tr>
              <w:tr w:rsidR="00B637B2" w:rsidTr="00B637B2">
                <w:sdt>
                  <w:sdtPr>
                    <w:tag w:val="_PLD_2c72539456a6441ab49e4634f35d3b45"/>
                    <w:id w:val="-1778315531"/>
                    <w:lock w:val="sdtLocked"/>
                  </w:sdtPr>
                  <w:sdtContent>
                    <w:tc>
                      <w:tcPr>
                        <w:tcW w:w="2169" w:type="pct"/>
                        <w:tcBorders>
                          <w:top w:val="outset" w:sz="6" w:space="0" w:color="auto"/>
                          <w:left w:val="outset" w:sz="6" w:space="0" w:color="auto"/>
                          <w:bottom w:val="outset" w:sz="6" w:space="0" w:color="auto"/>
                          <w:right w:val="outset" w:sz="6" w:space="0" w:color="auto"/>
                        </w:tcBorders>
                        <w:vAlign w:val="center"/>
                      </w:tcPr>
                      <w:p w:rsidR="00B637B2" w:rsidRDefault="008F04CF" w:rsidP="00B637B2">
                        <w:pPr>
                          <w:ind w:firstLineChars="100" w:firstLine="210"/>
                          <w:rPr>
                            <w:szCs w:val="21"/>
                          </w:rPr>
                        </w:pPr>
                        <w:r>
                          <w:rPr>
                            <w:rFonts w:hint="eastAsia"/>
                            <w:szCs w:val="21"/>
                          </w:rPr>
                          <w:t>其他非流动资产</w:t>
                        </w:r>
                      </w:p>
                    </w:tc>
                  </w:sdtContent>
                </w:sdt>
                <w:tc>
                  <w:tcPr>
                    <w:tcW w:w="563" w:type="pct"/>
                    <w:tcBorders>
                      <w:top w:val="outset" w:sz="6" w:space="0" w:color="auto"/>
                      <w:left w:val="outset" w:sz="6" w:space="0" w:color="auto"/>
                      <w:bottom w:val="outset" w:sz="6" w:space="0" w:color="auto"/>
                      <w:right w:val="outset" w:sz="6" w:space="0" w:color="auto"/>
                    </w:tcBorders>
                  </w:tcPr>
                  <w:p w:rsidR="00B637B2" w:rsidRPr="00777B68" w:rsidRDefault="00B637B2" w:rsidP="00B637B2"/>
                </w:tc>
                <w:tc>
                  <w:tcPr>
                    <w:tcW w:w="1127"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w:t>
                    </w:r>
                  </w:p>
                </w:tc>
                <w:tc>
                  <w:tcPr>
                    <w:tcW w:w="1141"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w:t>
                    </w:r>
                  </w:p>
                </w:tc>
              </w:tr>
              <w:tr w:rsidR="00B637B2" w:rsidTr="00B637B2">
                <w:sdt>
                  <w:sdtPr>
                    <w:tag w:val="_PLD_0584991385414bca8cca9a7a9f5fabfd"/>
                    <w:id w:val="685408359"/>
                    <w:lock w:val="sdtLocked"/>
                  </w:sdtPr>
                  <w:sdtContent>
                    <w:tc>
                      <w:tcPr>
                        <w:tcW w:w="2169" w:type="pct"/>
                        <w:tcBorders>
                          <w:top w:val="outset" w:sz="6" w:space="0" w:color="auto"/>
                          <w:left w:val="outset" w:sz="6" w:space="0" w:color="auto"/>
                          <w:bottom w:val="outset" w:sz="6" w:space="0" w:color="auto"/>
                          <w:right w:val="outset" w:sz="6" w:space="0" w:color="auto"/>
                        </w:tcBorders>
                        <w:vAlign w:val="center"/>
                      </w:tcPr>
                      <w:p w:rsidR="00B637B2" w:rsidRDefault="008F04CF" w:rsidP="00B637B2">
                        <w:pPr>
                          <w:ind w:firstLineChars="200" w:firstLine="420"/>
                          <w:rPr>
                            <w:szCs w:val="21"/>
                          </w:rPr>
                        </w:pPr>
                        <w:r>
                          <w:rPr>
                            <w:rFonts w:hint="eastAsia"/>
                            <w:szCs w:val="21"/>
                          </w:rPr>
                          <w:t>非流动资产合计</w:t>
                        </w:r>
                      </w:p>
                    </w:tc>
                  </w:sdtContent>
                </w:sdt>
                <w:tc>
                  <w:tcPr>
                    <w:tcW w:w="563" w:type="pct"/>
                    <w:tcBorders>
                      <w:top w:val="outset" w:sz="6" w:space="0" w:color="auto"/>
                      <w:left w:val="outset" w:sz="6" w:space="0" w:color="auto"/>
                      <w:bottom w:val="outset" w:sz="6" w:space="0" w:color="auto"/>
                      <w:right w:val="outset" w:sz="6" w:space="0" w:color="auto"/>
                    </w:tcBorders>
                  </w:tcPr>
                  <w:p w:rsidR="00B637B2" w:rsidRPr="00777B68" w:rsidRDefault="00B637B2" w:rsidP="00B637B2"/>
                </w:tc>
                <w:tc>
                  <w:tcPr>
                    <w:tcW w:w="1127"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7,735,219,754</w:t>
                    </w:r>
                  </w:p>
                </w:tc>
                <w:tc>
                  <w:tcPr>
                    <w:tcW w:w="1141"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7,501,781,750</w:t>
                    </w:r>
                  </w:p>
                </w:tc>
              </w:tr>
              <w:tr w:rsidR="00B637B2" w:rsidTr="00B637B2">
                <w:sdt>
                  <w:sdtPr>
                    <w:tag w:val="_PLD_064f3b6fe172472c8abf2e1bf1a2b68a"/>
                    <w:id w:val="1365327652"/>
                    <w:lock w:val="sdtLocked"/>
                  </w:sdtPr>
                  <w:sdtContent>
                    <w:tc>
                      <w:tcPr>
                        <w:tcW w:w="2169" w:type="pct"/>
                        <w:tcBorders>
                          <w:top w:val="outset" w:sz="6" w:space="0" w:color="auto"/>
                          <w:left w:val="outset" w:sz="6" w:space="0" w:color="auto"/>
                          <w:bottom w:val="outset" w:sz="6" w:space="0" w:color="auto"/>
                          <w:right w:val="outset" w:sz="6" w:space="0" w:color="auto"/>
                        </w:tcBorders>
                        <w:vAlign w:val="center"/>
                      </w:tcPr>
                      <w:p w:rsidR="00B637B2" w:rsidRDefault="008F04CF" w:rsidP="00B637B2">
                        <w:pPr>
                          <w:ind w:firstLineChars="300" w:firstLine="630"/>
                          <w:rPr>
                            <w:szCs w:val="21"/>
                          </w:rPr>
                        </w:pPr>
                        <w:r>
                          <w:rPr>
                            <w:rFonts w:hint="eastAsia"/>
                            <w:szCs w:val="21"/>
                          </w:rPr>
                          <w:t>资产总计</w:t>
                        </w:r>
                      </w:p>
                    </w:tc>
                  </w:sdtContent>
                </w:sdt>
                <w:tc>
                  <w:tcPr>
                    <w:tcW w:w="563" w:type="pct"/>
                    <w:tcBorders>
                      <w:top w:val="outset" w:sz="6" w:space="0" w:color="auto"/>
                      <w:left w:val="outset" w:sz="6" w:space="0" w:color="auto"/>
                      <w:bottom w:val="outset" w:sz="6" w:space="0" w:color="auto"/>
                      <w:right w:val="outset" w:sz="6" w:space="0" w:color="auto"/>
                    </w:tcBorders>
                  </w:tcPr>
                  <w:p w:rsidR="00B637B2" w:rsidRPr="00777B68" w:rsidRDefault="00B637B2" w:rsidP="00B637B2"/>
                </w:tc>
                <w:tc>
                  <w:tcPr>
                    <w:tcW w:w="1127"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11,857,723,749</w:t>
                    </w:r>
                  </w:p>
                </w:tc>
                <w:tc>
                  <w:tcPr>
                    <w:tcW w:w="1141"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11,158,381,543</w:t>
                    </w:r>
                  </w:p>
                </w:tc>
              </w:tr>
              <w:tr w:rsidR="00B637B2" w:rsidTr="00B637B2">
                <w:sdt>
                  <w:sdtPr>
                    <w:tag w:val="_PLD_380943e088034c15ad8af33927d58d1b"/>
                    <w:id w:val="-1756824309"/>
                    <w:lock w:val="sdtLocked"/>
                  </w:sdtPr>
                  <w:sdtContent>
                    <w:tc>
                      <w:tcPr>
                        <w:tcW w:w="2169" w:type="pct"/>
                        <w:tcBorders>
                          <w:top w:val="outset" w:sz="6" w:space="0" w:color="auto"/>
                          <w:left w:val="outset" w:sz="6" w:space="0" w:color="auto"/>
                          <w:bottom w:val="outset" w:sz="6" w:space="0" w:color="auto"/>
                          <w:right w:val="outset" w:sz="6" w:space="0" w:color="auto"/>
                        </w:tcBorders>
                        <w:vAlign w:val="center"/>
                      </w:tcPr>
                      <w:p w:rsidR="00B637B2" w:rsidRDefault="008F04CF" w:rsidP="00B637B2">
                        <w:pPr>
                          <w:rPr>
                            <w:szCs w:val="21"/>
                          </w:rPr>
                        </w:pPr>
                        <w:r>
                          <w:rPr>
                            <w:rFonts w:hint="eastAsia"/>
                            <w:b/>
                            <w:bCs/>
                            <w:szCs w:val="21"/>
                          </w:rPr>
                          <w:t>流动负债：</w:t>
                        </w:r>
                      </w:p>
                    </w:tc>
                  </w:sdtContent>
                </w:sdt>
                <w:tc>
                  <w:tcPr>
                    <w:tcW w:w="563" w:type="pct"/>
                    <w:tcBorders>
                      <w:top w:val="outset" w:sz="6" w:space="0" w:color="auto"/>
                      <w:left w:val="outset" w:sz="6" w:space="0" w:color="auto"/>
                      <w:bottom w:val="outset" w:sz="6" w:space="0" w:color="auto"/>
                      <w:right w:val="outset" w:sz="6" w:space="0" w:color="auto"/>
                    </w:tcBorders>
                  </w:tcPr>
                  <w:p w:rsidR="00B637B2" w:rsidRPr="00777B68" w:rsidRDefault="00B637B2" w:rsidP="00B637B2"/>
                </w:tc>
                <w:tc>
                  <w:tcPr>
                    <w:tcW w:w="1127" w:type="pct"/>
                    <w:tcBorders>
                      <w:top w:val="outset" w:sz="6" w:space="0" w:color="auto"/>
                      <w:left w:val="outset" w:sz="6" w:space="0" w:color="auto"/>
                      <w:bottom w:val="outset" w:sz="6" w:space="0" w:color="auto"/>
                      <w:right w:val="outset" w:sz="6" w:space="0" w:color="auto"/>
                    </w:tcBorders>
                    <w:vAlign w:val="center"/>
                  </w:tcPr>
                  <w:p w:rsidR="00B637B2" w:rsidRPr="00777B68" w:rsidRDefault="00B637B2" w:rsidP="00B637B2">
                    <w:pPr>
                      <w:jc w:val="right"/>
                    </w:pPr>
                  </w:p>
                </w:tc>
                <w:tc>
                  <w:tcPr>
                    <w:tcW w:w="1141" w:type="pct"/>
                    <w:tcBorders>
                      <w:top w:val="outset" w:sz="6" w:space="0" w:color="auto"/>
                      <w:left w:val="outset" w:sz="6" w:space="0" w:color="auto"/>
                      <w:bottom w:val="outset" w:sz="6" w:space="0" w:color="auto"/>
                      <w:right w:val="outset" w:sz="6" w:space="0" w:color="auto"/>
                    </w:tcBorders>
                    <w:vAlign w:val="center"/>
                  </w:tcPr>
                  <w:p w:rsidR="00B637B2" w:rsidRPr="00777B68" w:rsidRDefault="00B637B2" w:rsidP="00B637B2">
                    <w:pPr>
                      <w:jc w:val="right"/>
                    </w:pPr>
                  </w:p>
                </w:tc>
              </w:tr>
              <w:tr w:rsidR="00B637B2" w:rsidTr="00B637B2">
                <w:sdt>
                  <w:sdtPr>
                    <w:tag w:val="_PLD_43de8e9c3fff4ed09c99de434527ef0d"/>
                    <w:id w:val="112103404"/>
                    <w:lock w:val="sdtLocked"/>
                  </w:sdtPr>
                  <w:sdtContent>
                    <w:tc>
                      <w:tcPr>
                        <w:tcW w:w="2169" w:type="pct"/>
                        <w:tcBorders>
                          <w:top w:val="outset" w:sz="6" w:space="0" w:color="auto"/>
                          <w:left w:val="outset" w:sz="6" w:space="0" w:color="auto"/>
                          <w:bottom w:val="outset" w:sz="6" w:space="0" w:color="auto"/>
                          <w:right w:val="outset" w:sz="6" w:space="0" w:color="auto"/>
                        </w:tcBorders>
                        <w:vAlign w:val="center"/>
                      </w:tcPr>
                      <w:p w:rsidR="00B637B2" w:rsidRDefault="008F04CF" w:rsidP="00B637B2">
                        <w:pPr>
                          <w:ind w:firstLineChars="100" w:firstLine="210"/>
                          <w:rPr>
                            <w:szCs w:val="21"/>
                          </w:rPr>
                        </w:pPr>
                        <w:r>
                          <w:rPr>
                            <w:rFonts w:hint="eastAsia"/>
                            <w:szCs w:val="21"/>
                          </w:rPr>
                          <w:t>短期借款</w:t>
                        </w:r>
                      </w:p>
                    </w:tc>
                  </w:sdtContent>
                </w:sdt>
                <w:tc>
                  <w:tcPr>
                    <w:tcW w:w="563" w:type="pct"/>
                    <w:tcBorders>
                      <w:top w:val="outset" w:sz="6" w:space="0" w:color="auto"/>
                      <w:left w:val="outset" w:sz="6" w:space="0" w:color="auto"/>
                      <w:bottom w:val="outset" w:sz="6" w:space="0" w:color="auto"/>
                      <w:right w:val="outset" w:sz="6" w:space="0" w:color="auto"/>
                    </w:tcBorders>
                  </w:tcPr>
                  <w:p w:rsidR="00B637B2" w:rsidRPr="00777B68" w:rsidRDefault="00B637B2" w:rsidP="00B637B2"/>
                </w:tc>
                <w:tc>
                  <w:tcPr>
                    <w:tcW w:w="1127"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4,542,500,872</w:t>
                    </w:r>
                  </w:p>
                </w:tc>
                <w:tc>
                  <w:tcPr>
                    <w:tcW w:w="1141"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3,399,927,278</w:t>
                    </w:r>
                  </w:p>
                </w:tc>
              </w:tr>
              <w:tr w:rsidR="00B637B2" w:rsidTr="00B637B2">
                <w:tc>
                  <w:tcPr>
                    <w:tcW w:w="216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c16a31b429943b78fc30663bc4be1b8"/>
                      <w:id w:val="-1303610051"/>
                      <w:lock w:val="sdtLocked"/>
                    </w:sdtPr>
                    <w:sdtContent>
                      <w:p w:rsidR="00B637B2" w:rsidRDefault="008F04CF" w:rsidP="00B637B2">
                        <w:pPr>
                          <w:ind w:firstLineChars="100" w:firstLine="210"/>
                        </w:pPr>
                        <w:r>
                          <w:rPr>
                            <w:rFonts w:hint="eastAsia"/>
                          </w:rPr>
                          <w:t>交易性金融负债</w:t>
                        </w:r>
                      </w:p>
                    </w:sdtContent>
                  </w:sdt>
                </w:tc>
                <w:tc>
                  <w:tcPr>
                    <w:tcW w:w="563" w:type="pct"/>
                    <w:tcBorders>
                      <w:top w:val="outset" w:sz="6" w:space="0" w:color="auto"/>
                      <w:left w:val="outset" w:sz="6" w:space="0" w:color="auto"/>
                      <w:bottom w:val="outset" w:sz="6" w:space="0" w:color="auto"/>
                      <w:right w:val="outset" w:sz="6" w:space="0" w:color="auto"/>
                    </w:tcBorders>
                  </w:tcPr>
                  <w:p w:rsidR="00B637B2" w:rsidRPr="00777B68" w:rsidRDefault="00B637B2" w:rsidP="00B637B2"/>
                </w:tc>
                <w:tc>
                  <w:tcPr>
                    <w:tcW w:w="1127"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w:t>
                    </w:r>
                  </w:p>
                </w:tc>
                <w:tc>
                  <w:tcPr>
                    <w:tcW w:w="1141" w:type="pct"/>
                    <w:tcBorders>
                      <w:top w:val="outset" w:sz="6" w:space="0" w:color="auto"/>
                      <w:left w:val="outset" w:sz="6" w:space="0" w:color="auto"/>
                      <w:bottom w:val="outset" w:sz="6" w:space="0" w:color="auto"/>
                      <w:right w:val="outset" w:sz="6" w:space="0" w:color="auto"/>
                    </w:tcBorders>
                    <w:vAlign w:val="center"/>
                  </w:tcPr>
                  <w:p w:rsidR="00B637B2" w:rsidRPr="00777B68" w:rsidRDefault="00B637B2" w:rsidP="00B637B2">
                    <w:pPr>
                      <w:jc w:val="right"/>
                    </w:pPr>
                  </w:p>
                </w:tc>
              </w:tr>
              <w:tr w:rsidR="00B637B2" w:rsidTr="00B637B2">
                <w:sdt>
                  <w:sdtPr>
                    <w:tag w:val="_PLD_3d2a4fa93d6d45e18bc3a4475865196c"/>
                    <w:id w:val="-77142419"/>
                    <w:lock w:val="sdtLocked"/>
                  </w:sdtPr>
                  <w:sdtContent>
                    <w:tc>
                      <w:tcPr>
                        <w:tcW w:w="2169" w:type="pct"/>
                        <w:tcBorders>
                          <w:top w:val="outset" w:sz="6" w:space="0" w:color="auto"/>
                          <w:left w:val="outset" w:sz="6" w:space="0" w:color="auto"/>
                          <w:bottom w:val="outset" w:sz="6" w:space="0" w:color="auto"/>
                          <w:right w:val="outset" w:sz="6" w:space="0" w:color="auto"/>
                        </w:tcBorders>
                        <w:vAlign w:val="center"/>
                      </w:tcPr>
                      <w:p w:rsidR="00B637B2" w:rsidRDefault="008F04CF" w:rsidP="00B637B2">
                        <w:pPr>
                          <w:ind w:firstLineChars="100" w:firstLine="210"/>
                          <w:rPr>
                            <w:szCs w:val="21"/>
                          </w:rPr>
                        </w:pPr>
                        <w:r>
                          <w:rPr>
                            <w:rFonts w:hint="eastAsia"/>
                            <w:szCs w:val="21"/>
                          </w:rPr>
                          <w:t>以公允价值计量且其变动计入当期损益的金融负债</w:t>
                        </w:r>
                      </w:p>
                    </w:tc>
                  </w:sdtContent>
                </w:sdt>
                <w:tc>
                  <w:tcPr>
                    <w:tcW w:w="563" w:type="pct"/>
                    <w:tcBorders>
                      <w:top w:val="outset" w:sz="6" w:space="0" w:color="auto"/>
                      <w:left w:val="outset" w:sz="6" w:space="0" w:color="auto"/>
                      <w:bottom w:val="outset" w:sz="6" w:space="0" w:color="auto"/>
                      <w:right w:val="outset" w:sz="6" w:space="0" w:color="auto"/>
                    </w:tcBorders>
                  </w:tcPr>
                  <w:p w:rsidR="00B637B2" w:rsidRPr="00777B68" w:rsidRDefault="00B637B2" w:rsidP="00B637B2"/>
                </w:tc>
                <w:tc>
                  <w:tcPr>
                    <w:tcW w:w="1127"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w:t>
                    </w:r>
                  </w:p>
                </w:tc>
                <w:tc>
                  <w:tcPr>
                    <w:tcW w:w="1141"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w:t>
                    </w:r>
                  </w:p>
                </w:tc>
              </w:tr>
              <w:tr w:rsidR="00B637B2" w:rsidTr="00B637B2">
                <w:sdt>
                  <w:sdtPr>
                    <w:tag w:val="_PLD_9ca7ab0d48474bdbb62e5ad7f94b7c27"/>
                    <w:id w:val="1181097269"/>
                    <w:lock w:val="sdtLocked"/>
                  </w:sdtPr>
                  <w:sdtContent>
                    <w:tc>
                      <w:tcPr>
                        <w:tcW w:w="2169" w:type="pct"/>
                        <w:tcBorders>
                          <w:top w:val="outset" w:sz="6" w:space="0" w:color="auto"/>
                          <w:left w:val="outset" w:sz="6" w:space="0" w:color="auto"/>
                          <w:bottom w:val="outset" w:sz="6" w:space="0" w:color="auto"/>
                          <w:right w:val="outset" w:sz="6" w:space="0" w:color="auto"/>
                        </w:tcBorders>
                        <w:vAlign w:val="center"/>
                      </w:tcPr>
                      <w:p w:rsidR="00B637B2" w:rsidRDefault="008F04CF" w:rsidP="00B637B2">
                        <w:pPr>
                          <w:ind w:firstLineChars="100" w:firstLine="210"/>
                          <w:rPr>
                            <w:szCs w:val="21"/>
                          </w:rPr>
                        </w:pPr>
                        <w:r>
                          <w:rPr>
                            <w:rFonts w:hint="eastAsia"/>
                            <w:szCs w:val="21"/>
                          </w:rPr>
                          <w:t>衍生金融负债</w:t>
                        </w:r>
                      </w:p>
                    </w:tc>
                  </w:sdtContent>
                </w:sdt>
                <w:tc>
                  <w:tcPr>
                    <w:tcW w:w="563" w:type="pct"/>
                    <w:tcBorders>
                      <w:top w:val="outset" w:sz="6" w:space="0" w:color="auto"/>
                      <w:left w:val="outset" w:sz="6" w:space="0" w:color="auto"/>
                      <w:bottom w:val="outset" w:sz="6" w:space="0" w:color="auto"/>
                      <w:right w:val="outset" w:sz="6" w:space="0" w:color="auto"/>
                    </w:tcBorders>
                  </w:tcPr>
                  <w:p w:rsidR="00B637B2" w:rsidRPr="00777B68" w:rsidRDefault="00B637B2" w:rsidP="00B637B2"/>
                </w:tc>
                <w:tc>
                  <w:tcPr>
                    <w:tcW w:w="1127"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968,641</w:t>
                    </w:r>
                  </w:p>
                </w:tc>
                <w:tc>
                  <w:tcPr>
                    <w:tcW w:w="1141"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w:t>
                    </w:r>
                  </w:p>
                </w:tc>
              </w:tr>
              <w:tr w:rsidR="00B637B2" w:rsidTr="00B637B2">
                <w:sdt>
                  <w:sdtPr>
                    <w:tag w:val="_PLD_ef54e09967474f6490bedae105a3d5af"/>
                    <w:id w:val="1182316617"/>
                    <w:lock w:val="sdtLocked"/>
                  </w:sdtPr>
                  <w:sdtContent>
                    <w:tc>
                      <w:tcPr>
                        <w:tcW w:w="2169" w:type="pct"/>
                        <w:tcBorders>
                          <w:top w:val="outset" w:sz="6" w:space="0" w:color="auto"/>
                          <w:left w:val="outset" w:sz="6" w:space="0" w:color="auto"/>
                          <w:bottom w:val="outset" w:sz="6" w:space="0" w:color="auto"/>
                          <w:right w:val="outset" w:sz="6" w:space="0" w:color="auto"/>
                        </w:tcBorders>
                        <w:vAlign w:val="center"/>
                      </w:tcPr>
                      <w:p w:rsidR="00B637B2" w:rsidRDefault="008F04CF" w:rsidP="00B637B2">
                        <w:pPr>
                          <w:ind w:firstLineChars="100" w:firstLine="210"/>
                          <w:rPr>
                            <w:szCs w:val="21"/>
                          </w:rPr>
                        </w:pPr>
                        <w:r>
                          <w:rPr>
                            <w:rFonts w:hint="eastAsia"/>
                            <w:szCs w:val="21"/>
                          </w:rPr>
                          <w:t>应付票据</w:t>
                        </w:r>
                      </w:p>
                    </w:tc>
                  </w:sdtContent>
                </w:sdt>
                <w:tc>
                  <w:tcPr>
                    <w:tcW w:w="563" w:type="pct"/>
                    <w:tcBorders>
                      <w:top w:val="outset" w:sz="6" w:space="0" w:color="auto"/>
                      <w:left w:val="outset" w:sz="6" w:space="0" w:color="auto"/>
                      <w:bottom w:val="outset" w:sz="6" w:space="0" w:color="auto"/>
                      <w:right w:val="outset" w:sz="6" w:space="0" w:color="auto"/>
                    </w:tcBorders>
                  </w:tcPr>
                  <w:p w:rsidR="00B637B2" w:rsidRPr="00777B68" w:rsidRDefault="00B637B2" w:rsidP="00B637B2"/>
                </w:tc>
                <w:tc>
                  <w:tcPr>
                    <w:tcW w:w="1127"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Pr>
                        <w:rFonts w:hint="eastAsia"/>
                      </w:rPr>
                      <w:t>-</w:t>
                    </w:r>
                  </w:p>
                </w:tc>
                <w:tc>
                  <w:tcPr>
                    <w:tcW w:w="1141"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Pr>
                        <w:rFonts w:hint="eastAsia"/>
                      </w:rPr>
                      <w:t>-</w:t>
                    </w:r>
                  </w:p>
                </w:tc>
              </w:tr>
              <w:tr w:rsidR="00B637B2" w:rsidTr="00B637B2">
                <w:sdt>
                  <w:sdtPr>
                    <w:tag w:val="_PLD_73f601396ff94f55ba0d9f4f04bea3f7"/>
                    <w:id w:val="725881429"/>
                    <w:lock w:val="sdtLocked"/>
                  </w:sdtPr>
                  <w:sdtContent>
                    <w:tc>
                      <w:tcPr>
                        <w:tcW w:w="2169" w:type="pct"/>
                        <w:tcBorders>
                          <w:top w:val="outset" w:sz="6" w:space="0" w:color="auto"/>
                          <w:left w:val="outset" w:sz="6" w:space="0" w:color="auto"/>
                          <w:bottom w:val="outset" w:sz="6" w:space="0" w:color="auto"/>
                          <w:right w:val="outset" w:sz="6" w:space="0" w:color="auto"/>
                        </w:tcBorders>
                        <w:vAlign w:val="center"/>
                      </w:tcPr>
                      <w:p w:rsidR="00B637B2" w:rsidRDefault="008F04CF" w:rsidP="00B637B2">
                        <w:pPr>
                          <w:ind w:firstLineChars="100" w:firstLine="210"/>
                          <w:rPr>
                            <w:szCs w:val="21"/>
                          </w:rPr>
                        </w:pPr>
                        <w:r>
                          <w:rPr>
                            <w:rFonts w:hint="eastAsia"/>
                            <w:szCs w:val="21"/>
                          </w:rPr>
                          <w:t>应付账款</w:t>
                        </w:r>
                      </w:p>
                    </w:tc>
                  </w:sdtContent>
                </w:sdt>
                <w:tc>
                  <w:tcPr>
                    <w:tcW w:w="563" w:type="pct"/>
                    <w:tcBorders>
                      <w:top w:val="outset" w:sz="6" w:space="0" w:color="auto"/>
                      <w:left w:val="outset" w:sz="6" w:space="0" w:color="auto"/>
                      <w:bottom w:val="outset" w:sz="6" w:space="0" w:color="auto"/>
                      <w:right w:val="outset" w:sz="6" w:space="0" w:color="auto"/>
                    </w:tcBorders>
                  </w:tcPr>
                  <w:p w:rsidR="00B637B2" w:rsidRPr="00777B68" w:rsidRDefault="00B637B2" w:rsidP="00B637B2"/>
                </w:tc>
                <w:tc>
                  <w:tcPr>
                    <w:tcW w:w="1127"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128,097,198</w:t>
                    </w:r>
                  </w:p>
                </w:tc>
                <w:tc>
                  <w:tcPr>
                    <w:tcW w:w="1141"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171,967,237</w:t>
                    </w:r>
                  </w:p>
                </w:tc>
              </w:tr>
              <w:tr w:rsidR="00B637B2" w:rsidTr="00B637B2">
                <w:sdt>
                  <w:sdtPr>
                    <w:tag w:val="_PLD_8d33cba97f8f47758fee51d65c9dfe52"/>
                    <w:id w:val="-1708018332"/>
                    <w:lock w:val="sdtLocked"/>
                  </w:sdtPr>
                  <w:sdtContent>
                    <w:tc>
                      <w:tcPr>
                        <w:tcW w:w="2169" w:type="pct"/>
                        <w:tcBorders>
                          <w:top w:val="outset" w:sz="6" w:space="0" w:color="auto"/>
                          <w:left w:val="outset" w:sz="6" w:space="0" w:color="auto"/>
                          <w:bottom w:val="outset" w:sz="6" w:space="0" w:color="auto"/>
                          <w:right w:val="outset" w:sz="6" w:space="0" w:color="auto"/>
                        </w:tcBorders>
                        <w:vAlign w:val="center"/>
                      </w:tcPr>
                      <w:p w:rsidR="00B637B2" w:rsidRDefault="008F04CF" w:rsidP="00B637B2">
                        <w:pPr>
                          <w:ind w:firstLineChars="100" w:firstLine="210"/>
                          <w:rPr>
                            <w:szCs w:val="21"/>
                          </w:rPr>
                        </w:pPr>
                        <w:r>
                          <w:rPr>
                            <w:rFonts w:hint="eastAsia"/>
                            <w:szCs w:val="21"/>
                          </w:rPr>
                          <w:t>预收款项</w:t>
                        </w:r>
                      </w:p>
                    </w:tc>
                  </w:sdtContent>
                </w:sdt>
                <w:tc>
                  <w:tcPr>
                    <w:tcW w:w="563" w:type="pct"/>
                    <w:tcBorders>
                      <w:top w:val="outset" w:sz="6" w:space="0" w:color="auto"/>
                      <w:left w:val="outset" w:sz="6" w:space="0" w:color="auto"/>
                      <w:bottom w:val="outset" w:sz="6" w:space="0" w:color="auto"/>
                      <w:right w:val="outset" w:sz="6" w:space="0" w:color="auto"/>
                    </w:tcBorders>
                  </w:tcPr>
                  <w:p w:rsidR="00B637B2" w:rsidRPr="00777B68" w:rsidRDefault="00B637B2" w:rsidP="00B637B2"/>
                </w:tc>
                <w:tc>
                  <w:tcPr>
                    <w:tcW w:w="1127"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471,250,467</w:t>
                    </w:r>
                  </w:p>
                </w:tc>
                <w:tc>
                  <w:tcPr>
                    <w:tcW w:w="1141"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t>429,741,602</w:t>
                    </w:r>
                  </w:p>
                </w:tc>
              </w:tr>
              <w:tr w:rsidR="00B637B2" w:rsidTr="00B637B2">
                <w:tc>
                  <w:tcPr>
                    <w:tcW w:w="216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7a9889c00684dd48ad945fce53e8274"/>
                      <w:id w:val="320858257"/>
                      <w:lock w:val="sdtLocked"/>
                    </w:sdtPr>
                    <w:sdtContent>
                      <w:p w:rsidR="00B637B2" w:rsidRDefault="008F04CF" w:rsidP="00B637B2">
                        <w:pPr>
                          <w:ind w:firstLineChars="100" w:firstLine="210"/>
                        </w:pPr>
                        <w:r>
                          <w:rPr>
                            <w:rFonts w:hint="eastAsia"/>
                          </w:rPr>
                          <w:t>合同负债</w:t>
                        </w:r>
                      </w:p>
                    </w:sdtContent>
                  </w:sdt>
                </w:tc>
                <w:tc>
                  <w:tcPr>
                    <w:tcW w:w="563" w:type="pct"/>
                    <w:tcBorders>
                      <w:top w:val="outset" w:sz="6" w:space="0" w:color="auto"/>
                      <w:left w:val="outset" w:sz="6" w:space="0" w:color="auto"/>
                      <w:bottom w:val="outset" w:sz="6" w:space="0" w:color="auto"/>
                      <w:right w:val="outset" w:sz="6" w:space="0" w:color="auto"/>
                    </w:tcBorders>
                  </w:tcPr>
                  <w:p w:rsidR="00B637B2" w:rsidRPr="00777B68" w:rsidRDefault="00B637B2" w:rsidP="00B637B2"/>
                </w:tc>
                <w:tc>
                  <w:tcPr>
                    <w:tcW w:w="1127"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Pr>
                        <w:rFonts w:hint="eastAsia"/>
                      </w:rPr>
                      <w:t>-</w:t>
                    </w:r>
                  </w:p>
                </w:tc>
                <w:tc>
                  <w:tcPr>
                    <w:tcW w:w="1141"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Pr>
                        <w:rFonts w:hint="eastAsia"/>
                      </w:rPr>
                      <w:t>-</w:t>
                    </w:r>
                  </w:p>
                </w:tc>
              </w:tr>
              <w:tr w:rsidR="00B637B2" w:rsidTr="00B637B2">
                <w:sdt>
                  <w:sdtPr>
                    <w:tag w:val="_PLD_5179db1f484045d98b88860edc153236"/>
                    <w:id w:val="1600530602"/>
                    <w:lock w:val="sdtLocked"/>
                  </w:sdtPr>
                  <w:sdtContent>
                    <w:tc>
                      <w:tcPr>
                        <w:tcW w:w="2169" w:type="pct"/>
                        <w:tcBorders>
                          <w:top w:val="outset" w:sz="6" w:space="0" w:color="auto"/>
                          <w:left w:val="outset" w:sz="6" w:space="0" w:color="auto"/>
                          <w:bottom w:val="outset" w:sz="6" w:space="0" w:color="auto"/>
                          <w:right w:val="outset" w:sz="6" w:space="0" w:color="auto"/>
                        </w:tcBorders>
                        <w:vAlign w:val="center"/>
                      </w:tcPr>
                      <w:p w:rsidR="00B637B2" w:rsidRDefault="008F04CF" w:rsidP="00B637B2">
                        <w:pPr>
                          <w:ind w:firstLineChars="100" w:firstLine="210"/>
                          <w:rPr>
                            <w:szCs w:val="21"/>
                          </w:rPr>
                        </w:pPr>
                        <w:r>
                          <w:rPr>
                            <w:rFonts w:hint="eastAsia"/>
                            <w:szCs w:val="21"/>
                          </w:rPr>
                          <w:t>应付职工薪酬</w:t>
                        </w:r>
                      </w:p>
                    </w:tc>
                  </w:sdtContent>
                </w:sdt>
                <w:tc>
                  <w:tcPr>
                    <w:tcW w:w="563" w:type="pct"/>
                    <w:tcBorders>
                      <w:top w:val="outset" w:sz="6" w:space="0" w:color="auto"/>
                      <w:left w:val="outset" w:sz="6" w:space="0" w:color="auto"/>
                      <w:bottom w:val="outset" w:sz="6" w:space="0" w:color="auto"/>
                      <w:right w:val="outset" w:sz="6" w:space="0" w:color="auto"/>
                    </w:tcBorders>
                  </w:tcPr>
                  <w:p w:rsidR="00B637B2" w:rsidRPr="00777B68" w:rsidRDefault="00B637B2" w:rsidP="00B637B2"/>
                </w:tc>
                <w:tc>
                  <w:tcPr>
                    <w:tcW w:w="1127"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160,572,057</w:t>
                    </w:r>
                  </w:p>
                </w:tc>
                <w:tc>
                  <w:tcPr>
                    <w:tcW w:w="1141"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485,835,578</w:t>
                    </w:r>
                  </w:p>
                </w:tc>
              </w:tr>
              <w:tr w:rsidR="00B637B2" w:rsidTr="00B637B2">
                <w:sdt>
                  <w:sdtPr>
                    <w:tag w:val="_PLD_f9c6f095658e40b2a72d3d8b778fd72b"/>
                    <w:id w:val="1309274986"/>
                    <w:lock w:val="sdtLocked"/>
                  </w:sdtPr>
                  <w:sdtContent>
                    <w:tc>
                      <w:tcPr>
                        <w:tcW w:w="2169" w:type="pct"/>
                        <w:tcBorders>
                          <w:top w:val="outset" w:sz="6" w:space="0" w:color="auto"/>
                          <w:left w:val="outset" w:sz="6" w:space="0" w:color="auto"/>
                          <w:bottom w:val="outset" w:sz="6" w:space="0" w:color="auto"/>
                          <w:right w:val="outset" w:sz="6" w:space="0" w:color="auto"/>
                        </w:tcBorders>
                        <w:vAlign w:val="center"/>
                      </w:tcPr>
                      <w:p w:rsidR="00B637B2" w:rsidRDefault="008F04CF" w:rsidP="00B637B2">
                        <w:pPr>
                          <w:ind w:firstLineChars="100" w:firstLine="210"/>
                          <w:rPr>
                            <w:szCs w:val="21"/>
                          </w:rPr>
                        </w:pPr>
                        <w:r>
                          <w:rPr>
                            <w:rFonts w:hint="eastAsia"/>
                            <w:szCs w:val="21"/>
                          </w:rPr>
                          <w:t>应交税费</w:t>
                        </w:r>
                      </w:p>
                    </w:tc>
                  </w:sdtContent>
                </w:sdt>
                <w:tc>
                  <w:tcPr>
                    <w:tcW w:w="563" w:type="pct"/>
                    <w:tcBorders>
                      <w:top w:val="outset" w:sz="6" w:space="0" w:color="auto"/>
                      <w:left w:val="outset" w:sz="6" w:space="0" w:color="auto"/>
                      <w:bottom w:val="outset" w:sz="6" w:space="0" w:color="auto"/>
                      <w:right w:val="outset" w:sz="6" w:space="0" w:color="auto"/>
                    </w:tcBorders>
                  </w:tcPr>
                  <w:p w:rsidR="00B637B2" w:rsidRPr="00777B68" w:rsidRDefault="00B637B2" w:rsidP="00B637B2"/>
                </w:tc>
                <w:tc>
                  <w:tcPr>
                    <w:tcW w:w="1127"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100,308,039</w:t>
                    </w:r>
                  </w:p>
                </w:tc>
                <w:tc>
                  <w:tcPr>
                    <w:tcW w:w="1141"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117,402,749</w:t>
                    </w:r>
                  </w:p>
                </w:tc>
              </w:tr>
              <w:tr w:rsidR="00B637B2" w:rsidTr="00B637B2">
                <w:sdt>
                  <w:sdtPr>
                    <w:tag w:val="_PLD_c490ad2cbccd426084cbcc4f5ffff983"/>
                    <w:id w:val="-1810239666"/>
                    <w:lock w:val="sdtLocked"/>
                  </w:sdtPr>
                  <w:sdtContent>
                    <w:tc>
                      <w:tcPr>
                        <w:tcW w:w="2169" w:type="pct"/>
                        <w:tcBorders>
                          <w:top w:val="outset" w:sz="6" w:space="0" w:color="auto"/>
                          <w:left w:val="outset" w:sz="6" w:space="0" w:color="auto"/>
                          <w:bottom w:val="outset" w:sz="6" w:space="0" w:color="auto"/>
                          <w:right w:val="outset" w:sz="6" w:space="0" w:color="auto"/>
                        </w:tcBorders>
                        <w:vAlign w:val="center"/>
                      </w:tcPr>
                      <w:p w:rsidR="00B637B2" w:rsidRDefault="008F04CF" w:rsidP="00B637B2">
                        <w:pPr>
                          <w:ind w:firstLineChars="100" w:firstLine="210"/>
                          <w:rPr>
                            <w:szCs w:val="21"/>
                          </w:rPr>
                        </w:pPr>
                        <w:r>
                          <w:rPr>
                            <w:rFonts w:hint="eastAsia"/>
                            <w:szCs w:val="21"/>
                          </w:rPr>
                          <w:t>其他应付款</w:t>
                        </w:r>
                      </w:p>
                    </w:tc>
                  </w:sdtContent>
                </w:sdt>
                <w:tc>
                  <w:tcPr>
                    <w:tcW w:w="563" w:type="pct"/>
                    <w:tcBorders>
                      <w:top w:val="outset" w:sz="6" w:space="0" w:color="auto"/>
                      <w:left w:val="outset" w:sz="6" w:space="0" w:color="auto"/>
                      <w:bottom w:val="outset" w:sz="6" w:space="0" w:color="auto"/>
                      <w:right w:val="outset" w:sz="6" w:space="0" w:color="auto"/>
                    </w:tcBorders>
                  </w:tcPr>
                  <w:p w:rsidR="00B637B2" w:rsidRPr="00777B68" w:rsidRDefault="00B637B2" w:rsidP="00B637B2"/>
                </w:tc>
                <w:tc>
                  <w:tcPr>
                    <w:tcW w:w="1127"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761,712,893</w:t>
                    </w:r>
                  </w:p>
                </w:tc>
                <w:tc>
                  <w:tcPr>
                    <w:tcW w:w="1141"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441,749,100</w:t>
                    </w:r>
                  </w:p>
                </w:tc>
              </w:tr>
              <w:tr w:rsidR="00B637B2" w:rsidTr="00B637B2">
                <w:sdt>
                  <w:sdtPr>
                    <w:tag w:val="_PLD_33305757c71a4e02885ac4b4bd4dd023"/>
                    <w:id w:val="-320431764"/>
                    <w:lock w:val="sdtLocked"/>
                  </w:sdtPr>
                  <w:sdtContent>
                    <w:tc>
                      <w:tcPr>
                        <w:tcW w:w="2169" w:type="pct"/>
                        <w:tcBorders>
                          <w:top w:val="outset" w:sz="6" w:space="0" w:color="auto"/>
                          <w:left w:val="outset" w:sz="6" w:space="0" w:color="auto"/>
                          <w:bottom w:val="outset" w:sz="6" w:space="0" w:color="auto"/>
                          <w:right w:val="outset" w:sz="6" w:space="0" w:color="auto"/>
                        </w:tcBorders>
                        <w:vAlign w:val="center"/>
                      </w:tcPr>
                      <w:p w:rsidR="00B637B2" w:rsidRDefault="008F04CF" w:rsidP="00B637B2">
                        <w:pPr>
                          <w:ind w:firstLineChars="100" w:firstLine="210"/>
                          <w:rPr>
                            <w:szCs w:val="21"/>
                          </w:rPr>
                        </w:pPr>
                        <w:r>
                          <w:rPr>
                            <w:rFonts w:hint="eastAsia"/>
                          </w:rPr>
                          <w:t>其中：</w:t>
                        </w:r>
                        <w:r>
                          <w:rPr>
                            <w:rFonts w:hint="eastAsia"/>
                            <w:szCs w:val="21"/>
                          </w:rPr>
                          <w:t>应付利息</w:t>
                        </w:r>
                      </w:p>
                    </w:tc>
                  </w:sdtContent>
                </w:sdt>
                <w:tc>
                  <w:tcPr>
                    <w:tcW w:w="563" w:type="pct"/>
                    <w:tcBorders>
                      <w:top w:val="outset" w:sz="6" w:space="0" w:color="auto"/>
                      <w:left w:val="outset" w:sz="6" w:space="0" w:color="auto"/>
                      <w:bottom w:val="outset" w:sz="6" w:space="0" w:color="auto"/>
                      <w:right w:val="outset" w:sz="6" w:space="0" w:color="auto"/>
                    </w:tcBorders>
                  </w:tcPr>
                  <w:p w:rsidR="00B637B2" w:rsidRPr="00777B68" w:rsidRDefault="00B637B2" w:rsidP="00B637B2"/>
                </w:tc>
                <w:tc>
                  <w:tcPr>
                    <w:tcW w:w="1127"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w:t>
                    </w:r>
                  </w:p>
                </w:tc>
                <w:tc>
                  <w:tcPr>
                    <w:tcW w:w="1141"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w:t>
                    </w:r>
                  </w:p>
                </w:tc>
              </w:tr>
              <w:tr w:rsidR="00B637B2" w:rsidTr="00B637B2">
                <w:sdt>
                  <w:sdtPr>
                    <w:tag w:val="_PLD_af17ddcf0f4c41d7ad5d3631e95d7da2"/>
                    <w:id w:val="590676357"/>
                    <w:lock w:val="sdtLocked"/>
                  </w:sdtPr>
                  <w:sdtContent>
                    <w:tc>
                      <w:tcPr>
                        <w:tcW w:w="2169" w:type="pct"/>
                        <w:tcBorders>
                          <w:top w:val="outset" w:sz="6" w:space="0" w:color="auto"/>
                          <w:left w:val="outset" w:sz="6" w:space="0" w:color="auto"/>
                          <w:bottom w:val="outset" w:sz="6" w:space="0" w:color="auto"/>
                          <w:right w:val="outset" w:sz="6" w:space="0" w:color="auto"/>
                        </w:tcBorders>
                        <w:vAlign w:val="center"/>
                      </w:tcPr>
                      <w:p w:rsidR="00B637B2" w:rsidRDefault="008F04CF" w:rsidP="00B637B2">
                        <w:pPr>
                          <w:ind w:firstLineChars="400" w:firstLine="840"/>
                          <w:rPr>
                            <w:szCs w:val="21"/>
                          </w:rPr>
                        </w:pPr>
                        <w:r>
                          <w:rPr>
                            <w:rFonts w:hint="eastAsia"/>
                            <w:szCs w:val="21"/>
                          </w:rPr>
                          <w:t>应付股利</w:t>
                        </w:r>
                      </w:p>
                    </w:tc>
                  </w:sdtContent>
                </w:sdt>
                <w:tc>
                  <w:tcPr>
                    <w:tcW w:w="563" w:type="pct"/>
                    <w:tcBorders>
                      <w:top w:val="outset" w:sz="6" w:space="0" w:color="auto"/>
                      <w:left w:val="outset" w:sz="6" w:space="0" w:color="auto"/>
                      <w:bottom w:val="outset" w:sz="6" w:space="0" w:color="auto"/>
                      <w:right w:val="outset" w:sz="6" w:space="0" w:color="auto"/>
                    </w:tcBorders>
                  </w:tcPr>
                  <w:p w:rsidR="00B637B2" w:rsidRPr="00777B68" w:rsidRDefault="00B637B2" w:rsidP="00B637B2"/>
                </w:tc>
                <w:tc>
                  <w:tcPr>
                    <w:tcW w:w="1127"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w:t>
                    </w:r>
                  </w:p>
                </w:tc>
                <w:tc>
                  <w:tcPr>
                    <w:tcW w:w="1141"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w:t>
                    </w:r>
                  </w:p>
                </w:tc>
              </w:tr>
              <w:tr w:rsidR="00B637B2" w:rsidTr="00B637B2">
                <w:sdt>
                  <w:sdtPr>
                    <w:tag w:val="_PLD_f77f7dcdf9d04cd9ae289b7b3f5b7b02"/>
                    <w:id w:val="-1766759186"/>
                    <w:lock w:val="sdtLocked"/>
                  </w:sdtPr>
                  <w:sdtContent>
                    <w:tc>
                      <w:tcPr>
                        <w:tcW w:w="2169" w:type="pct"/>
                        <w:tcBorders>
                          <w:top w:val="outset" w:sz="6" w:space="0" w:color="auto"/>
                          <w:left w:val="outset" w:sz="6" w:space="0" w:color="auto"/>
                          <w:bottom w:val="outset" w:sz="6" w:space="0" w:color="auto"/>
                          <w:right w:val="outset" w:sz="6" w:space="0" w:color="auto"/>
                        </w:tcBorders>
                        <w:vAlign w:val="center"/>
                      </w:tcPr>
                      <w:p w:rsidR="00B637B2" w:rsidRDefault="008F04CF" w:rsidP="00B637B2">
                        <w:pPr>
                          <w:ind w:firstLineChars="100" w:firstLine="210"/>
                          <w:rPr>
                            <w:szCs w:val="21"/>
                          </w:rPr>
                        </w:pPr>
                        <w:r>
                          <w:rPr>
                            <w:rFonts w:hint="eastAsia"/>
                            <w:szCs w:val="21"/>
                          </w:rPr>
                          <w:t>持有待售负债</w:t>
                        </w:r>
                      </w:p>
                    </w:tc>
                  </w:sdtContent>
                </w:sdt>
                <w:tc>
                  <w:tcPr>
                    <w:tcW w:w="563" w:type="pct"/>
                    <w:tcBorders>
                      <w:top w:val="outset" w:sz="6" w:space="0" w:color="auto"/>
                      <w:left w:val="outset" w:sz="6" w:space="0" w:color="auto"/>
                      <w:bottom w:val="outset" w:sz="6" w:space="0" w:color="auto"/>
                      <w:right w:val="outset" w:sz="6" w:space="0" w:color="auto"/>
                    </w:tcBorders>
                  </w:tcPr>
                  <w:p w:rsidR="00B637B2" w:rsidRPr="00777B68" w:rsidRDefault="00B637B2" w:rsidP="00B637B2"/>
                </w:tc>
                <w:tc>
                  <w:tcPr>
                    <w:tcW w:w="1127"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w:t>
                    </w:r>
                  </w:p>
                </w:tc>
                <w:tc>
                  <w:tcPr>
                    <w:tcW w:w="1141"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Pr>
                        <w:rFonts w:hint="eastAsia"/>
                      </w:rPr>
                      <w:t>-</w:t>
                    </w:r>
                  </w:p>
                </w:tc>
              </w:tr>
              <w:tr w:rsidR="00B637B2" w:rsidTr="00B637B2">
                <w:sdt>
                  <w:sdtPr>
                    <w:tag w:val="_PLD_a29046fb2b7d4844a6a2146909afbe96"/>
                    <w:id w:val="1552345806"/>
                    <w:lock w:val="sdtLocked"/>
                  </w:sdtPr>
                  <w:sdtContent>
                    <w:tc>
                      <w:tcPr>
                        <w:tcW w:w="2169" w:type="pct"/>
                        <w:tcBorders>
                          <w:top w:val="outset" w:sz="6" w:space="0" w:color="auto"/>
                          <w:left w:val="outset" w:sz="6" w:space="0" w:color="auto"/>
                          <w:bottom w:val="outset" w:sz="6" w:space="0" w:color="auto"/>
                          <w:right w:val="outset" w:sz="6" w:space="0" w:color="auto"/>
                        </w:tcBorders>
                        <w:vAlign w:val="center"/>
                      </w:tcPr>
                      <w:p w:rsidR="00B637B2" w:rsidRDefault="008F04CF" w:rsidP="00B637B2">
                        <w:pPr>
                          <w:ind w:firstLineChars="100" w:firstLine="210"/>
                          <w:rPr>
                            <w:szCs w:val="21"/>
                          </w:rPr>
                        </w:pPr>
                        <w:r>
                          <w:rPr>
                            <w:rFonts w:hint="eastAsia"/>
                            <w:szCs w:val="21"/>
                          </w:rPr>
                          <w:t>一年内到期的非流动负债</w:t>
                        </w:r>
                      </w:p>
                    </w:tc>
                  </w:sdtContent>
                </w:sdt>
                <w:tc>
                  <w:tcPr>
                    <w:tcW w:w="563" w:type="pct"/>
                    <w:tcBorders>
                      <w:top w:val="outset" w:sz="6" w:space="0" w:color="auto"/>
                      <w:left w:val="outset" w:sz="6" w:space="0" w:color="auto"/>
                      <w:bottom w:val="outset" w:sz="6" w:space="0" w:color="auto"/>
                      <w:right w:val="outset" w:sz="6" w:space="0" w:color="auto"/>
                    </w:tcBorders>
                  </w:tcPr>
                  <w:p w:rsidR="00B637B2" w:rsidRPr="00777B68" w:rsidRDefault="00B637B2" w:rsidP="00B637B2"/>
                </w:tc>
                <w:tc>
                  <w:tcPr>
                    <w:tcW w:w="1127"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Pr>
                        <w:rFonts w:hint="eastAsia"/>
                      </w:rPr>
                      <w:t>-</w:t>
                    </w:r>
                  </w:p>
                </w:tc>
                <w:tc>
                  <w:tcPr>
                    <w:tcW w:w="1141"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F22B5C">
                      <w:t>81,621,227</w:t>
                    </w:r>
                  </w:p>
                </w:tc>
              </w:tr>
              <w:tr w:rsidR="00B637B2" w:rsidTr="00B637B2">
                <w:sdt>
                  <w:sdtPr>
                    <w:tag w:val="_PLD_29a119c77a3042f187a5aba37b5deecc"/>
                    <w:id w:val="1480805093"/>
                    <w:lock w:val="sdtLocked"/>
                  </w:sdtPr>
                  <w:sdtContent>
                    <w:tc>
                      <w:tcPr>
                        <w:tcW w:w="2169" w:type="pct"/>
                        <w:tcBorders>
                          <w:top w:val="outset" w:sz="6" w:space="0" w:color="auto"/>
                          <w:left w:val="outset" w:sz="6" w:space="0" w:color="auto"/>
                          <w:bottom w:val="outset" w:sz="6" w:space="0" w:color="auto"/>
                          <w:right w:val="outset" w:sz="6" w:space="0" w:color="auto"/>
                        </w:tcBorders>
                        <w:vAlign w:val="center"/>
                      </w:tcPr>
                      <w:p w:rsidR="00B637B2" w:rsidRDefault="008F04CF" w:rsidP="00B637B2">
                        <w:pPr>
                          <w:ind w:firstLineChars="100" w:firstLine="210"/>
                          <w:rPr>
                            <w:szCs w:val="21"/>
                          </w:rPr>
                        </w:pPr>
                        <w:r>
                          <w:rPr>
                            <w:rFonts w:hint="eastAsia"/>
                            <w:szCs w:val="21"/>
                          </w:rPr>
                          <w:t>其他流动负债</w:t>
                        </w:r>
                      </w:p>
                    </w:tc>
                  </w:sdtContent>
                </w:sdt>
                <w:tc>
                  <w:tcPr>
                    <w:tcW w:w="563" w:type="pct"/>
                    <w:tcBorders>
                      <w:top w:val="outset" w:sz="6" w:space="0" w:color="auto"/>
                      <w:left w:val="outset" w:sz="6" w:space="0" w:color="auto"/>
                      <w:bottom w:val="outset" w:sz="6" w:space="0" w:color="auto"/>
                      <w:right w:val="outset" w:sz="6" w:space="0" w:color="auto"/>
                    </w:tcBorders>
                  </w:tcPr>
                  <w:p w:rsidR="00B637B2" w:rsidRPr="00777B68" w:rsidRDefault="00B637B2" w:rsidP="00B637B2"/>
                </w:tc>
                <w:tc>
                  <w:tcPr>
                    <w:tcW w:w="1127"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78,708,117</w:t>
                    </w:r>
                  </w:p>
                </w:tc>
                <w:tc>
                  <w:tcPr>
                    <w:tcW w:w="1141"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91,170,839</w:t>
                    </w:r>
                  </w:p>
                </w:tc>
              </w:tr>
              <w:tr w:rsidR="00B637B2" w:rsidTr="00B637B2">
                <w:sdt>
                  <w:sdtPr>
                    <w:tag w:val="_PLD_fd497b996a3c46b99eb5112ec0f3d649"/>
                    <w:id w:val="-1996252136"/>
                    <w:lock w:val="sdtLocked"/>
                  </w:sdtPr>
                  <w:sdtContent>
                    <w:tc>
                      <w:tcPr>
                        <w:tcW w:w="2169" w:type="pct"/>
                        <w:tcBorders>
                          <w:top w:val="outset" w:sz="6" w:space="0" w:color="auto"/>
                          <w:left w:val="outset" w:sz="6" w:space="0" w:color="auto"/>
                          <w:bottom w:val="outset" w:sz="6" w:space="0" w:color="auto"/>
                          <w:right w:val="outset" w:sz="6" w:space="0" w:color="auto"/>
                        </w:tcBorders>
                        <w:vAlign w:val="center"/>
                      </w:tcPr>
                      <w:p w:rsidR="00B637B2" w:rsidRDefault="008F04CF" w:rsidP="00B637B2">
                        <w:pPr>
                          <w:ind w:firstLineChars="200" w:firstLine="420"/>
                          <w:rPr>
                            <w:szCs w:val="21"/>
                          </w:rPr>
                        </w:pPr>
                        <w:r>
                          <w:rPr>
                            <w:rFonts w:hint="eastAsia"/>
                            <w:szCs w:val="21"/>
                          </w:rPr>
                          <w:t>流动负债合计</w:t>
                        </w:r>
                      </w:p>
                    </w:tc>
                  </w:sdtContent>
                </w:sdt>
                <w:tc>
                  <w:tcPr>
                    <w:tcW w:w="563" w:type="pct"/>
                    <w:tcBorders>
                      <w:top w:val="outset" w:sz="6" w:space="0" w:color="auto"/>
                      <w:left w:val="outset" w:sz="6" w:space="0" w:color="auto"/>
                      <w:bottom w:val="outset" w:sz="6" w:space="0" w:color="auto"/>
                      <w:right w:val="outset" w:sz="6" w:space="0" w:color="auto"/>
                    </w:tcBorders>
                  </w:tcPr>
                  <w:p w:rsidR="00B637B2" w:rsidRPr="00777B68" w:rsidRDefault="00B637B2" w:rsidP="00B637B2"/>
                </w:tc>
                <w:tc>
                  <w:tcPr>
                    <w:tcW w:w="1127"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t>6,244,118,284</w:t>
                    </w:r>
                  </w:p>
                </w:tc>
                <w:tc>
                  <w:tcPr>
                    <w:tcW w:w="1141"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t>5,219,415,610</w:t>
                    </w:r>
                  </w:p>
                </w:tc>
              </w:tr>
              <w:tr w:rsidR="00B637B2" w:rsidTr="00B637B2">
                <w:sdt>
                  <w:sdtPr>
                    <w:tag w:val="_PLD_e62929b21cd4456494013c9cb0dc5b16"/>
                    <w:id w:val="-1379462705"/>
                    <w:lock w:val="sdtLocked"/>
                  </w:sdtPr>
                  <w:sdtContent>
                    <w:tc>
                      <w:tcPr>
                        <w:tcW w:w="2169" w:type="pct"/>
                        <w:tcBorders>
                          <w:top w:val="outset" w:sz="6" w:space="0" w:color="auto"/>
                          <w:left w:val="outset" w:sz="6" w:space="0" w:color="auto"/>
                          <w:bottom w:val="outset" w:sz="6" w:space="0" w:color="auto"/>
                          <w:right w:val="outset" w:sz="6" w:space="0" w:color="auto"/>
                        </w:tcBorders>
                        <w:vAlign w:val="center"/>
                      </w:tcPr>
                      <w:p w:rsidR="00B637B2" w:rsidRDefault="008F04CF" w:rsidP="00B637B2">
                        <w:pPr>
                          <w:rPr>
                            <w:szCs w:val="21"/>
                          </w:rPr>
                        </w:pPr>
                        <w:r>
                          <w:rPr>
                            <w:rFonts w:hint="eastAsia"/>
                            <w:b/>
                            <w:bCs/>
                            <w:szCs w:val="21"/>
                          </w:rPr>
                          <w:t>非流动负债：</w:t>
                        </w:r>
                      </w:p>
                    </w:tc>
                  </w:sdtContent>
                </w:sdt>
                <w:tc>
                  <w:tcPr>
                    <w:tcW w:w="563" w:type="pct"/>
                    <w:tcBorders>
                      <w:top w:val="outset" w:sz="6" w:space="0" w:color="auto"/>
                      <w:left w:val="outset" w:sz="6" w:space="0" w:color="auto"/>
                      <w:bottom w:val="outset" w:sz="6" w:space="0" w:color="auto"/>
                      <w:right w:val="outset" w:sz="6" w:space="0" w:color="auto"/>
                    </w:tcBorders>
                  </w:tcPr>
                  <w:p w:rsidR="00B637B2" w:rsidRPr="00777B68" w:rsidRDefault="00B637B2" w:rsidP="00B637B2"/>
                </w:tc>
                <w:tc>
                  <w:tcPr>
                    <w:tcW w:w="1127" w:type="pct"/>
                    <w:tcBorders>
                      <w:top w:val="outset" w:sz="6" w:space="0" w:color="auto"/>
                      <w:left w:val="outset" w:sz="6" w:space="0" w:color="auto"/>
                      <w:bottom w:val="outset" w:sz="6" w:space="0" w:color="auto"/>
                      <w:right w:val="outset" w:sz="6" w:space="0" w:color="auto"/>
                    </w:tcBorders>
                    <w:vAlign w:val="center"/>
                  </w:tcPr>
                  <w:p w:rsidR="00B637B2" w:rsidRPr="00777B68" w:rsidRDefault="00B637B2" w:rsidP="00B637B2">
                    <w:pPr>
                      <w:jc w:val="right"/>
                    </w:pPr>
                  </w:p>
                </w:tc>
                <w:tc>
                  <w:tcPr>
                    <w:tcW w:w="1141" w:type="pct"/>
                    <w:tcBorders>
                      <w:top w:val="outset" w:sz="6" w:space="0" w:color="auto"/>
                      <w:left w:val="outset" w:sz="6" w:space="0" w:color="auto"/>
                      <w:bottom w:val="outset" w:sz="6" w:space="0" w:color="auto"/>
                      <w:right w:val="outset" w:sz="6" w:space="0" w:color="auto"/>
                    </w:tcBorders>
                    <w:vAlign w:val="center"/>
                  </w:tcPr>
                  <w:p w:rsidR="00B637B2" w:rsidRPr="00777B68" w:rsidRDefault="00B637B2" w:rsidP="00B637B2">
                    <w:pPr>
                      <w:jc w:val="right"/>
                    </w:pPr>
                  </w:p>
                </w:tc>
              </w:tr>
              <w:tr w:rsidR="00B637B2" w:rsidTr="00B637B2">
                <w:sdt>
                  <w:sdtPr>
                    <w:tag w:val="_PLD_dc705bf824d14c06a0f0ff2183f061bb"/>
                    <w:id w:val="1871262705"/>
                    <w:lock w:val="sdtLocked"/>
                  </w:sdtPr>
                  <w:sdtContent>
                    <w:tc>
                      <w:tcPr>
                        <w:tcW w:w="2169" w:type="pct"/>
                        <w:tcBorders>
                          <w:top w:val="outset" w:sz="6" w:space="0" w:color="auto"/>
                          <w:left w:val="outset" w:sz="6" w:space="0" w:color="auto"/>
                          <w:bottom w:val="outset" w:sz="6" w:space="0" w:color="auto"/>
                          <w:right w:val="outset" w:sz="6" w:space="0" w:color="auto"/>
                        </w:tcBorders>
                        <w:vAlign w:val="center"/>
                      </w:tcPr>
                      <w:p w:rsidR="00B637B2" w:rsidRDefault="008F04CF" w:rsidP="00B637B2">
                        <w:pPr>
                          <w:ind w:firstLineChars="100" w:firstLine="210"/>
                          <w:rPr>
                            <w:szCs w:val="21"/>
                          </w:rPr>
                        </w:pPr>
                        <w:r>
                          <w:rPr>
                            <w:rFonts w:hint="eastAsia"/>
                            <w:szCs w:val="21"/>
                          </w:rPr>
                          <w:t>长期借款</w:t>
                        </w:r>
                      </w:p>
                    </w:tc>
                  </w:sdtContent>
                </w:sdt>
                <w:tc>
                  <w:tcPr>
                    <w:tcW w:w="563" w:type="pct"/>
                    <w:tcBorders>
                      <w:top w:val="outset" w:sz="6" w:space="0" w:color="auto"/>
                      <w:left w:val="outset" w:sz="6" w:space="0" w:color="auto"/>
                      <w:bottom w:val="outset" w:sz="6" w:space="0" w:color="auto"/>
                      <w:right w:val="outset" w:sz="6" w:space="0" w:color="auto"/>
                    </w:tcBorders>
                  </w:tcPr>
                  <w:p w:rsidR="00B637B2" w:rsidRPr="00777B68" w:rsidRDefault="00B637B2" w:rsidP="00B637B2"/>
                </w:tc>
                <w:tc>
                  <w:tcPr>
                    <w:tcW w:w="1127"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w:t>
                    </w:r>
                  </w:p>
                </w:tc>
                <w:tc>
                  <w:tcPr>
                    <w:tcW w:w="1141"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F22B5C">
                      <w:t>36,666,664</w:t>
                    </w:r>
                  </w:p>
                </w:tc>
              </w:tr>
              <w:tr w:rsidR="00B637B2" w:rsidTr="00B637B2">
                <w:sdt>
                  <w:sdtPr>
                    <w:tag w:val="_PLD_338e61244aeb4a06b85c45422b5d2e25"/>
                    <w:id w:val="-398442338"/>
                    <w:lock w:val="sdtLocked"/>
                  </w:sdtPr>
                  <w:sdtContent>
                    <w:tc>
                      <w:tcPr>
                        <w:tcW w:w="2169" w:type="pct"/>
                        <w:tcBorders>
                          <w:top w:val="outset" w:sz="6" w:space="0" w:color="auto"/>
                          <w:left w:val="outset" w:sz="6" w:space="0" w:color="auto"/>
                          <w:bottom w:val="outset" w:sz="6" w:space="0" w:color="auto"/>
                          <w:right w:val="outset" w:sz="6" w:space="0" w:color="auto"/>
                        </w:tcBorders>
                        <w:vAlign w:val="center"/>
                      </w:tcPr>
                      <w:p w:rsidR="00B637B2" w:rsidRDefault="008F04CF" w:rsidP="00B637B2">
                        <w:pPr>
                          <w:ind w:firstLineChars="100" w:firstLine="210"/>
                          <w:rPr>
                            <w:szCs w:val="21"/>
                          </w:rPr>
                        </w:pPr>
                        <w:r>
                          <w:rPr>
                            <w:rFonts w:hint="eastAsia"/>
                            <w:szCs w:val="21"/>
                          </w:rPr>
                          <w:t>应付债券</w:t>
                        </w:r>
                      </w:p>
                    </w:tc>
                  </w:sdtContent>
                </w:sdt>
                <w:tc>
                  <w:tcPr>
                    <w:tcW w:w="563" w:type="pct"/>
                    <w:tcBorders>
                      <w:top w:val="outset" w:sz="6" w:space="0" w:color="auto"/>
                      <w:left w:val="outset" w:sz="6" w:space="0" w:color="auto"/>
                      <w:bottom w:val="outset" w:sz="6" w:space="0" w:color="auto"/>
                      <w:right w:val="outset" w:sz="6" w:space="0" w:color="auto"/>
                    </w:tcBorders>
                  </w:tcPr>
                  <w:p w:rsidR="00B637B2" w:rsidRPr="00777B68" w:rsidRDefault="00B637B2" w:rsidP="00B637B2"/>
                </w:tc>
                <w:tc>
                  <w:tcPr>
                    <w:tcW w:w="1127"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w:t>
                    </w:r>
                  </w:p>
                </w:tc>
                <w:tc>
                  <w:tcPr>
                    <w:tcW w:w="1141"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w:t>
                    </w:r>
                  </w:p>
                </w:tc>
              </w:tr>
              <w:tr w:rsidR="00B637B2" w:rsidTr="00B637B2">
                <w:sdt>
                  <w:sdtPr>
                    <w:tag w:val="_PLD_314bd73553e7420a8c904cb2018c47e8"/>
                    <w:id w:val="1135835442"/>
                    <w:lock w:val="sdtLocked"/>
                  </w:sdtPr>
                  <w:sdtContent>
                    <w:tc>
                      <w:tcPr>
                        <w:tcW w:w="2169" w:type="pct"/>
                        <w:tcBorders>
                          <w:top w:val="outset" w:sz="6" w:space="0" w:color="auto"/>
                          <w:left w:val="outset" w:sz="6" w:space="0" w:color="auto"/>
                          <w:bottom w:val="outset" w:sz="6" w:space="0" w:color="auto"/>
                          <w:right w:val="outset" w:sz="6" w:space="0" w:color="auto"/>
                        </w:tcBorders>
                        <w:vAlign w:val="center"/>
                      </w:tcPr>
                      <w:p w:rsidR="00B637B2" w:rsidRDefault="008F04CF" w:rsidP="00B637B2">
                        <w:pPr>
                          <w:ind w:firstLineChars="100" w:firstLine="210"/>
                          <w:rPr>
                            <w:szCs w:val="21"/>
                          </w:rPr>
                        </w:pPr>
                        <w:r>
                          <w:rPr>
                            <w:rFonts w:hint="eastAsia"/>
                            <w:szCs w:val="21"/>
                          </w:rPr>
                          <w:t>其中：优先股</w:t>
                        </w:r>
                      </w:p>
                    </w:tc>
                  </w:sdtContent>
                </w:sdt>
                <w:tc>
                  <w:tcPr>
                    <w:tcW w:w="563" w:type="pct"/>
                    <w:tcBorders>
                      <w:top w:val="outset" w:sz="6" w:space="0" w:color="auto"/>
                      <w:left w:val="outset" w:sz="6" w:space="0" w:color="auto"/>
                      <w:bottom w:val="outset" w:sz="6" w:space="0" w:color="auto"/>
                      <w:right w:val="outset" w:sz="6" w:space="0" w:color="auto"/>
                    </w:tcBorders>
                  </w:tcPr>
                  <w:p w:rsidR="00B637B2" w:rsidRPr="00777B68" w:rsidRDefault="00B637B2" w:rsidP="00B637B2"/>
                </w:tc>
                <w:tc>
                  <w:tcPr>
                    <w:tcW w:w="1127"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w:t>
                    </w:r>
                  </w:p>
                </w:tc>
                <w:tc>
                  <w:tcPr>
                    <w:tcW w:w="1141"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w:t>
                    </w:r>
                  </w:p>
                </w:tc>
              </w:tr>
              <w:tr w:rsidR="00B637B2" w:rsidTr="00B637B2">
                <w:sdt>
                  <w:sdtPr>
                    <w:tag w:val="_PLD_5044e414e8a34f969372ff67406d75ff"/>
                    <w:id w:val="-992787660"/>
                    <w:lock w:val="sdtLocked"/>
                  </w:sdtPr>
                  <w:sdtContent>
                    <w:tc>
                      <w:tcPr>
                        <w:tcW w:w="2169" w:type="pct"/>
                        <w:tcBorders>
                          <w:top w:val="outset" w:sz="6" w:space="0" w:color="auto"/>
                          <w:left w:val="outset" w:sz="6" w:space="0" w:color="auto"/>
                          <w:bottom w:val="outset" w:sz="6" w:space="0" w:color="auto"/>
                          <w:right w:val="outset" w:sz="6" w:space="0" w:color="auto"/>
                        </w:tcBorders>
                        <w:vAlign w:val="center"/>
                      </w:tcPr>
                      <w:p w:rsidR="00B637B2" w:rsidRDefault="008F04CF" w:rsidP="00B637B2">
                        <w:pPr>
                          <w:ind w:leftChars="300" w:left="630" w:firstLineChars="100" w:firstLine="210"/>
                          <w:rPr>
                            <w:szCs w:val="21"/>
                          </w:rPr>
                        </w:pPr>
                        <w:r>
                          <w:rPr>
                            <w:rFonts w:hint="eastAsia"/>
                            <w:szCs w:val="21"/>
                          </w:rPr>
                          <w:t>永续债</w:t>
                        </w:r>
                      </w:p>
                    </w:tc>
                  </w:sdtContent>
                </w:sdt>
                <w:tc>
                  <w:tcPr>
                    <w:tcW w:w="563" w:type="pct"/>
                    <w:tcBorders>
                      <w:top w:val="outset" w:sz="6" w:space="0" w:color="auto"/>
                      <w:left w:val="outset" w:sz="6" w:space="0" w:color="auto"/>
                      <w:bottom w:val="outset" w:sz="6" w:space="0" w:color="auto"/>
                      <w:right w:val="outset" w:sz="6" w:space="0" w:color="auto"/>
                    </w:tcBorders>
                  </w:tcPr>
                  <w:p w:rsidR="00B637B2" w:rsidRPr="00777B68" w:rsidRDefault="00B637B2" w:rsidP="00B637B2"/>
                </w:tc>
                <w:tc>
                  <w:tcPr>
                    <w:tcW w:w="1127"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w:t>
                    </w:r>
                  </w:p>
                </w:tc>
                <w:tc>
                  <w:tcPr>
                    <w:tcW w:w="1141"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w:t>
                    </w:r>
                  </w:p>
                </w:tc>
              </w:tr>
              <w:tr w:rsidR="00B637B2" w:rsidTr="00B637B2">
                <w:sdt>
                  <w:sdtPr>
                    <w:tag w:val="_PLD_7b2441d86aba45d4ab5739ca0af69796"/>
                    <w:id w:val="-2047055152"/>
                    <w:lock w:val="sdtLocked"/>
                  </w:sdtPr>
                  <w:sdtContent>
                    <w:tc>
                      <w:tcPr>
                        <w:tcW w:w="2169" w:type="pct"/>
                        <w:tcBorders>
                          <w:top w:val="outset" w:sz="6" w:space="0" w:color="auto"/>
                          <w:left w:val="outset" w:sz="6" w:space="0" w:color="auto"/>
                          <w:bottom w:val="outset" w:sz="6" w:space="0" w:color="auto"/>
                          <w:right w:val="outset" w:sz="6" w:space="0" w:color="auto"/>
                        </w:tcBorders>
                        <w:vAlign w:val="center"/>
                      </w:tcPr>
                      <w:p w:rsidR="00B637B2" w:rsidRDefault="008F04CF" w:rsidP="00B637B2">
                        <w:pPr>
                          <w:ind w:firstLineChars="100" w:firstLine="210"/>
                        </w:pPr>
                        <w:r>
                          <w:rPr>
                            <w:rFonts w:hint="eastAsia"/>
                          </w:rPr>
                          <w:t>租赁负债</w:t>
                        </w:r>
                      </w:p>
                    </w:tc>
                  </w:sdtContent>
                </w:sdt>
                <w:tc>
                  <w:tcPr>
                    <w:tcW w:w="563" w:type="pct"/>
                    <w:tcBorders>
                      <w:top w:val="outset" w:sz="6" w:space="0" w:color="auto"/>
                      <w:left w:val="outset" w:sz="6" w:space="0" w:color="auto"/>
                      <w:bottom w:val="outset" w:sz="6" w:space="0" w:color="auto"/>
                      <w:right w:val="outset" w:sz="6" w:space="0" w:color="auto"/>
                    </w:tcBorders>
                  </w:tcPr>
                  <w:p w:rsidR="00B637B2" w:rsidRPr="00777B68" w:rsidRDefault="00B637B2" w:rsidP="00B637B2"/>
                </w:tc>
                <w:tc>
                  <w:tcPr>
                    <w:tcW w:w="1127"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w:t>
                    </w:r>
                  </w:p>
                </w:tc>
                <w:tc>
                  <w:tcPr>
                    <w:tcW w:w="1141"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w:t>
                    </w:r>
                  </w:p>
                </w:tc>
              </w:tr>
              <w:tr w:rsidR="00B637B2" w:rsidTr="00B637B2">
                <w:sdt>
                  <w:sdtPr>
                    <w:tag w:val="_PLD_d268871ae8f24f1d920dd95b56180bba"/>
                    <w:id w:val="110164664"/>
                    <w:lock w:val="sdtLocked"/>
                  </w:sdtPr>
                  <w:sdtContent>
                    <w:tc>
                      <w:tcPr>
                        <w:tcW w:w="2169" w:type="pct"/>
                        <w:tcBorders>
                          <w:top w:val="outset" w:sz="6" w:space="0" w:color="auto"/>
                          <w:left w:val="outset" w:sz="6" w:space="0" w:color="auto"/>
                          <w:bottom w:val="outset" w:sz="6" w:space="0" w:color="auto"/>
                          <w:right w:val="outset" w:sz="6" w:space="0" w:color="auto"/>
                        </w:tcBorders>
                        <w:vAlign w:val="center"/>
                      </w:tcPr>
                      <w:p w:rsidR="00B637B2" w:rsidRDefault="008F04CF" w:rsidP="00B637B2">
                        <w:pPr>
                          <w:ind w:firstLineChars="100" w:firstLine="210"/>
                          <w:rPr>
                            <w:szCs w:val="21"/>
                          </w:rPr>
                        </w:pPr>
                        <w:r>
                          <w:rPr>
                            <w:rFonts w:hint="eastAsia"/>
                            <w:szCs w:val="21"/>
                          </w:rPr>
                          <w:t>长期应付款</w:t>
                        </w:r>
                      </w:p>
                    </w:tc>
                  </w:sdtContent>
                </w:sdt>
                <w:tc>
                  <w:tcPr>
                    <w:tcW w:w="563" w:type="pct"/>
                    <w:tcBorders>
                      <w:top w:val="outset" w:sz="6" w:space="0" w:color="auto"/>
                      <w:left w:val="outset" w:sz="6" w:space="0" w:color="auto"/>
                      <w:bottom w:val="outset" w:sz="6" w:space="0" w:color="auto"/>
                      <w:right w:val="outset" w:sz="6" w:space="0" w:color="auto"/>
                    </w:tcBorders>
                  </w:tcPr>
                  <w:p w:rsidR="00B637B2" w:rsidRPr="00777B68" w:rsidRDefault="00B637B2" w:rsidP="00B637B2"/>
                </w:tc>
                <w:tc>
                  <w:tcPr>
                    <w:tcW w:w="1127"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w:t>
                    </w:r>
                  </w:p>
                </w:tc>
                <w:tc>
                  <w:tcPr>
                    <w:tcW w:w="1141"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w:t>
                    </w:r>
                  </w:p>
                </w:tc>
              </w:tr>
              <w:tr w:rsidR="00B637B2" w:rsidTr="00B637B2">
                <w:sdt>
                  <w:sdtPr>
                    <w:tag w:val="_PLD_200b2b0412114e3b932260eef9b4c6fe"/>
                    <w:id w:val="-678737770"/>
                    <w:lock w:val="sdtLocked"/>
                  </w:sdtPr>
                  <w:sdtContent>
                    <w:tc>
                      <w:tcPr>
                        <w:tcW w:w="2169" w:type="pct"/>
                        <w:tcBorders>
                          <w:top w:val="outset" w:sz="6" w:space="0" w:color="auto"/>
                          <w:left w:val="outset" w:sz="6" w:space="0" w:color="auto"/>
                          <w:bottom w:val="outset" w:sz="6" w:space="0" w:color="auto"/>
                          <w:right w:val="outset" w:sz="6" w:space="0" w:color="auto"/>
                        </w:tcBorders>
                        <w:vAlign w:val="center"/>
                      </w:tcPr>
                      <w:p w:rsidR="00B637B2" w:rsidRDefault="008F04CF" w:rsidP="00B637B2">
                        <w:pPr>
                          <w:ind w:firstLineChars="100" w:firstLine="210"/>
                          <w:rPr>
                            <w:szCs w:val="21"/>
                          </w:rPr>
                        </w:pPr>
                        <w:r>
                          <w:rPr>
                            <w:rFonts w:hint="eastAsia"/>
                            <w:szCs w:val="21"/>
                          </w:rPr>
                          <w:t>长期应付职工薪酬</w:t>
                        </w:r>
                      </w:p>
                    </w:tc>
                  </w:sdtContent>
                </w:sdt>
                <w:tc>
                  <w:tcPr>
                    <w:tcW w:w="563" w:type="pct"/>
                    <w:tcBorders>
                      <w:top w:val="outset" w:sz="6" w:space="0" w:color="auto"/>
                      <w:left w:val="outset" w:sz="6" w:space="0" w:color="auto"/>
                      <w:bottom w:val="outset" w:sz="6" w:space="0" w:color="auto"/>
                      <w:right w:val="outset" w:sz="6" w:space="0" w:color="auto"/>
                    </w:tcBorders>
                  </w:tcPr>
                  <w:p w:rsidR="00B637B2" w:rsidRPr="00777B68" w:rsidRDefault="00B637B2" w:rsidP="00B637B2"/>
                </w:tc>
                <w:tc>
                  <w:tcPr>
                    <w:tcW w:w="1127"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w:t>
                    </w:r>
                  </w:p>
                </w:tc>
                <w:tc>
                  <w:tcPr>
                    <w:tcW w:w="1141"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w:t>
                    </w:r>
                  </w:p>
                </w:tc>
              </w:tr>
              <w:tr w:rsidR="00B637B2" w:rsidTr="00B637B2">
                <w:sdt>
                  <w:sdtPr>
                    <w:tag w:val="_PLD_175206d9834f4332bb966826e2fc6cf7"/>
                    <w:id w:val="-361284946"/>
                    <w:lock w:val="sdtLocked"/>
                  </w:sdtPr>
                  <w:sdtContent>
                    <w:tc>
                      <w:tcPr>
                        <w:tcW w:w="2169" w:type="pct"/>
                        <w:tcBorders>
                          <w:top w:val="outset" w:sz="6" w:space="0" w:color="auto"/>
                          <w:left w:val="outset" w:sz="6" w:space="0" w:color="auto"/>
                          <w:bottom w:val="outset" w:sz="6" w:space="0" w:color="auto"/>
                          <w:right w:val="outset" w:sz="6" w:space="0" w:color="auto"/>
                        </w:tcBorders>
                        <w:vAlign w:val="center"/>
                      </w:tcPr>
                      <w:p w:rsidR="00B637B2" w:rsidRDefault="008F04CF" w:rsidP="00B637B2">
                        <w:pPr>
                          <w:ind w:firstLineChars="100" w:firstLine="210"/>
                          <w:rPr>
                            <w:szCs w:val="21"/>
                          </w:rPr>
                        </w:pPr>
                        <w:r>
                          <w:rPr>
                            <w:rFonts w:hint="eastAsia"/>
                            <w:szCs w:val="21"/>
                          </w:rPr>
                          <w:t>预计负债</w:t>
                        </w:r>
                      </w:p>
                    </w:tc>
                  </w:sdtContent>
                </w:sdt>
                <w:tc>
                  <w:tcPr>
                    <w:tcW w:w="563" w:type="pct"/>
                    <w:tcBorders>
                      <w:top w:val="outset" w:sz="6" w:space="0" w:color="auto"/>
                      <w:left w:val="outset" w:sz="6" w:space="0" w:color="auto"/>
                      <w:bottom w:val="outset" w:sz="6" w:space="0" w:color="auto"/>
                      <w:right w:val="outset" w:sz="6" w:space="0" w:color="auto"/>
                    </w:tcBorders>
                  </w:tcPr>
                  <w:p w:rsidR="00B637B2" w:rsidRPr="00777B68" w:rsidRDefault="00B637B2" w:rsidP="00B637B2"/>
                </w:tc>
                <w:tc>
                  <w:tcPr>
                    <w:tcW w:w="1127"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Pr>
                        <w:rFonts w:hint="eastAsia"/>
                      </w:rPr>
                      <w:t>-</w:t>
                    </w:r>
                  </w:p>
                </w:tc>
                <w:tc>
                  <w:tcPr>
                    <w:tcW w:w="1141"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Pr>
                        <w:rFonts w:hint="eastAsia"/>
                      </w:rPr>
                      <w:t>-</w:t>
                    </w:r>
                  </w:p>
                </w:tc>
              </w:tr>
              <w:tr w:rsidR="00B637B2" w:rsidTr="00B637B2">
                <w:sdt>
                  <w:sdtPr>
                    <w:tag w:val="_PLD_eab00dbf5a03497493b7cecfc307a4f7"/>
                    <w:id w:val="1697344022"/>
                    <w:lock w:val="sdtLocked"/>
                  </w:sdtPr>
                  <w:sdtContent>
                    <w:tc>
                      <w:tcPr>
                        <w:tcW w:w="2169" w:type="pct"/>
                        <w:tcBorders>
                          <w:top w:val="outset" w:sz="6" w:space="0" w:color="auto"/>
                          <w:left w:val="outset" w:sz="6" w:space="0" w:color="auto"/>
                          <w:bottom w:val="outset" w:sz="6" w:space="0" w:color="auto"/>
                          <w:right w:val="outset" w:sz="6" w:space="0" w:color="auto"/>
                        </w:tcBorders>
                        <w:vAlign w:val="center"/>
                      </w:tcPr>
                      <w:p w:rsidR="00B637B2" w:rsidRDefault="008F04CF" w:rsidP="00B637B2">
                        <w:pPr>
                          <w:ind w:firstLineChars="100" w:firstLine="210"/>
                          <w:rPr>
                            <w:szCs w:val="21"/>
                          </w:rPr>
                        </w:pPr>
                        <w:r>
                          <w:rPr>
                            <w:rFonts w:hint="eastAsia"/>
                            <w:szCs w:val="21"/>
                          </w:rPr>
                          <w:t>递延收益</w:t>
                        </w:r>
                      </w:p>
                    </w:tc>
                  </w:sdtContent>
                </w:sdt>
                <w:tc>
                  <w:tcPr>
                    <w:tcW w:w="563" w:type="pct"/>
                    <w:tcBorders>
                      <w:top w:val="outset" w:sz="6" w:space="0" w:color="auto"/>
                      <w:left w:val="outset" w:sz="6" w:space="0" w:color="auto"/>
                      <w:bottom w:val="outset" w:sz="6" w:space="0" w:color="auto"/>
                      <w:right w:val="outset" w:sz="6" w:space="0" w:color="auto"/>
                    </w:tcBorders>
                  </w:tcPr>
                  <w:p w:rsidR="00B637B2" w:rsidRPr="00777B68" w:rsidRDefault="00B637B2" w:rsidP="00B637B2"/>
                </w:tc>
                <w:tc>
                  <w:tcPr>
                    <w:tcW w:w="1127"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44,150,000</w:t>
                    </w:r>
                  </w:p>
                </w:tc>
                <w:tc>
                  <w:tcPr>
                    <w:tcW w:w="1141"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25,000,000</w:t>
                    </w:r>
                  </w:p>
                </w:tc>
              </w:tr>
              <w:tr w:rsidR="00B637B2" w:rsidTr="00B637B2">
                <w:sdt>
                  <w:sdtPr>
                    <w:tag w:val="_PLD_b27860a290d6473991cd09d203f00279"/>
                    <w:id w:val="556679857"/>
                    <w:lock w:val="sdtLocked"/>
                  </w:sdtPr>
                  <w:sdtContent>
                    <w:tc>
                      <w:tcPr>
                        <w:tcW w:w="2169" w:type="pct"/>
                        <w:tcBorders>
                          <w:top w:val="outset" w:sz="6" w:space="0" w:color="auto"/>
                          <w:left w:val="outset" w:sz="6" w:space="0" w:color="auto"/>
                          <w:bottom w:val="outset" w:sz="6" w:space="0" w:color="auto"/>
                          <w:right w:val="outset" w:sz="6" w:space="0" w:color="auto"/>
                        </w:tcBorders>
                        <w:vAlign w:val="center"/>
                      </w:tcPr>
                      <w:p w:rsidR="00B637B2" w:rsidRDefault="008F04CF" w:rsidP="00B637B2">
                        <w:pPr>
                          <w:ind w:firstLineChars="100" w:firstLine="210"/>
                          <w:rPr>
                            <w:szCs w:val="21"/>
                          </w:rPr>
                        </w:pPr>
                        <w:r>
                          <w:rPr>
                            <w:rFonts w:hint="eastAsia"/>
                            <w:szCs w:val="21"/>
                          </w:rPr>
                          <w:t>递延所得税负债</w:t>
                        </w:r>
                      </w:p>
                    </w:tc>
                  </w:sdtContent>
                </w:sdt>
                <w:tc>
                  <w:tcPr>
                    <w:tcW w:w="563" w:type="pct"/>
                    <w:tcBorders>
                      <w:top w:val="outset" w:sz="6" w:space="0" w:color="auto"/>
                      <w:left w:val="outset" w:sz="6" w:space="0" w:color="auto"/>
                      <w:bottom w:val="outset" w:sz="6" w:space="0" w:color="auto"/>
                      <w:right w:val="outset" w:sz="6" w:space="0" w:color="auto"/>
                    </w:tcBorders>
                  </w:tcPr>
                  <w:p w:rsidR="00B637B2" w:rsidRPr="00777B68" w:rsidRDefault="00B637B2" w:rsidP="00B637B2"/>
                </w:tc>
                <w:tc>
                  <w:tcPr>
                    <w:tcW w:w="1127"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23,372,495</w:t>
                    </w:r>
                  </w:p>
                </w:tc>
                <w:tc>
                  <w:tcPr>
                    <w:tcW w:w="1141"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4,156,055</w:t>
                    </w:r>
                  </w:p>
                </w:tc>
              </w:tr>
              <w:tr w:rsidR="00B637B2" w:rsidTr="00B637B2">
                <w:sdt>
                  <w:sdtPr>
                    <w:tag w:val="_PLD_4e68f69147854f91a45d2da03b70d4d5"/>
                    <w:id w:val="-568426755"/>
                    <w:lock w:val="sdtLocked"/>
                  </w:sdtPr>
                  <w:sdtContent>
                    <w:tc>
                      <w:tcPr>
                        <w:tcW w:w="2169" w:type="pct"/>
                        <w:tcBorders>
                          <w:top w:val="outset" w:sz="6" w:space="0" w:color="auto"/>
                          <w:left w:val="outset" w:sz="6" w:space="0" w:color="auto"/>
                          <w:bottom w:val="outset" w:sz="6" w:space="0" w:color="auto"/>
                          <w:right w:val="outset" w:sz="6" w:space="0" w:color="auto"/>
                        </w:tcBorders>
                        <w:vAlign w:val="center"/>
                      </w:tcPr>
                      <w:p w:rsidR="00B637B2" w:rsidRDefault="008F04CF" w:rsidP="00B637B2">
                        <w:pPr>
                          <w:ind w:firstLineChars="100" w:firstLine="210"/>
                          <w:rPr>
                            <w:szCs w:val="21"/>
                          </w:rPr>
                        </w:pPr>
                        <w:r>
                          <w:rPr>
                            <w:rFonts w:hint="eastAsia"/>
                            <w:szCs w:val="21"/>
                          </w:rPr>
                          <w:t>其他非流动负债</w:t>
                        </w:r>
                      </w:p>
                    </w:tc>
                  </w:sdtContent>
                </w:sdt>
                <w:tc>
                  <w:tcPr>
                    <w:tcW w:w="563" w:type="pct"/>
                    <w:tcBorders>
                      <w:top w:val="outset" w:sz="6" w:space="0" w:color="auto"/>
                      <w:left w:val="outset" w:sz="6" w:space="0" w:color="auto"/>
                      <w:bottom w:val="outset" w:sz="6" w:space="0" w:color="auto"/>
                      <w:right w:val="outset" w:sz="6" w:space="0" w:color="auto"/>
                    </w:tcBorders>
                  </w:tcPr>
                  <w:p w:rsidR="00B637B2" w:rsidRPr="00777B68" w:rsidRDefault="00B637B2" w:rsidP="00B637B2"/>
                </w:tc>
                <w:tc>
                  <w:tcPr>
                    <w:tcW w:w="1127"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Pr>
                        <w:rFonts w:hint="eastAsia"/>
                      </w:rPr>
                      <w:t>-</w:t>
                    </w:r>
                  </w:p>
                </w:tc>
                <w:tc>
                  <w:tcPr>
                    <w:tcW w:w="1141"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Pr>
                        <w:rFonts w:hint="eastAsia"/>
                      </w:rPr>
                      <w:t>-</w:t>
                    </w:r>
                  </w:p>
                </w:tc>
              </w:tr>
              <w:tr w:rsidR="00B637B2" w:rsidTr="00B637B2">
                <w:sdt>
                  <w:sdtPr>
                    <w:tag w:val="_PLD_2c899ef8da434424b5289e4324851489"/>
                    <w:id w:val="472799201"/>
                    <w:lock w:val="sdtLocked"/>
                  </w:sdtPr>
                  <w:sdtContent>
                    <w:tc>
                      <w:tcPr>
                        <w:tcW w:w="2169" w:type="pct"/>
                        <w:tcBorders>
                          <w:top w:val="outset" w:sz="6" w:space="0" w:color="auto"/>
                          <w:left w:val="outset" w:sz="6" w:space="0" w:color="auto"/>
                          <w:bottom w:val="outset" w:sz="6" w:space="0" w:color="auto"/>
                          <w:right w:val="outset" w:sz="6" w:space="0" w:color="auto"/>
                        </w:tcBorders>
                        <w:vAlign w:val="center"/>
                      </w:tcPr>
                      <w:p w:rsidR="00B637B2" w:rsidRDefault="008F04CF" w:rsidP="00B637B2">
                        <w:pPr>
                          <w:ind w:firstLineChars="200" w:firstLine="420"/>
                          <w:rPr>
                            <w:szCs w:val="21"/>
                          </w:rPr>
                        </w:pPr>
                        <w:r>
                          <w:rPr>
                            <w:rFonts w:hint="eastAsia"/>
                            <w:szCs w:val="21"/>
                          </w:rPr>
                          <w:t>非流动负债合计</w:t>
                        </w:r>
                      </w:p>
                    </w:tc>
                  </w:sdtContent>
                </w:sdt>
                <w:tc>
                  <w:tcPr>
                    <w:tcW w:w="563" w:type="pct"/>
                    <w:tcBorders>
                      <w:top w:val="outset" w:sz="6" w:space="0" w:color="auto"/>
                      <w:left w:val="outset" w:sz="6" w:space="0" w:color="auto"/>
                      <w:bottom w:val="outset" w:sz="6" w:space="0" w:color="auto"/>
                      <w:right w:val="outset" w:sz="6" w:space="0" w:color="auto"/>
                    </w:tcBorders>
                  </w:tcPr>
                  <w:p w:rsidR="00B637B2" w:rsidRPr="00777B68" w:rsidRDefault="00B637B2" w:rsidP="00B637B2"/>
                </w:tc>
                <w:tc>
                  <w:tcPr>
                    <w:tcW w:w="1127"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t>67,522,495</w:t>
                    </w:r>
                  </w:p>
                </w:tc>
                <w:tc>
                  <w:tcPr>
                    <w:tcW w:w="1141"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t>65,822,719</w:t>
                    </w:r>
                  </w:p>
                </w:tc>
              </w:tr>
              <w:tr w:rsidR="00B637B2" w:rsidTr="00B637B2">
                <w:sdt>
                  <w:sdtPr>
                    <w:tag w:val="_PLD_e2102ad9792147f2bf11ec884c204033"/>
                    <w:id w:val="-1303617541"/>
                    <w:lock w:val="sdtLocked"/>
                  </w:sdtPr>
                  <w:sdtContent>
                    <w:tc>
                      <w:tcPr>
                        <w:tcW w:w="2169" w:type="pct"/>
                        <w:tcBorders>
                          <w:top w:val="outset" w:sz="6" w:space="0" w:color="auto"/>
                          <w:left w:val="outset" w:sz="6" w:space="0" w:color="auto"/>
                          <w:bottom w:val="outset" w:sz="6" w:space="0" w:color="auto"/>
                          <w:right w:val="outset" w:sz="6" w:space="0" w:color="auto"/>
                        </w:tcBorders>
                        <w:vAlign w:val="center"/>
                      </w:tcPr>
                      <w:p w:rsidR="00B637B2" w:rsidRDefault="008F04CF" w:rsidP="00B637B2">
                        <w:pPr>
                          <w:ind w:firstLineChars="300" w:firstLine="630"/>
                          <w:rPr>
                            <w:szCs w:val="21"/>
                          </w:rPr>
                        </w:pPr>
                        <w:r>
                          <w:rPr>
                            <w:rFonts w:hint="eastAsia"/>
                            <w:szCs w:val="21"/>
                          </w:rPr>
                          <w:t>负债合计</w:t>
                        </w:r>
                      </w:p>
                    </w:tc>
                  </w:sdtContent>
                </w:sdt>
                <w:tc>
                  <w:tcPr>
                    <w:tcW w:w="563" w:type="pct"/>
                    <w:tcBorders>
                      <w:top w:val="outset" w:sz="6" w:space="0" w:color="auto"/>
                      <w:left w:val="outset" w:sz="6" w:space="0" w:color="auto"/>
                      <w:bottom w:val="outset" w:sz="6" w:space="0" w:color="auto"/>
                      <w:right w:val="outset" w:sz="6" w:space="0" w:color="auto"/>
                    </w:tcBorders>
                  </w:tcPr>
                  <w:p w:rsidR="00B637B2" w:rsidRPr="00777B68" w:rsidRDefault="00B637B2" w:rsidP="00B637B2"/>
                </w:tc>
                <w:tc>
                  <w:tcPr>
                    <w:tcW w:w="1127"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6,311,640,779</w:t>
                    </w:r>
                  </w:p>
                </w:tc>
                <w:tc>
                  <w:tcPr>
                    <w:tcW w:w="1141"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5,285,238,329</w:t>
                    </w:r>
                  </w:p>
                </w:tc>
              </w:tr>
              <w:tr w:rsidR="00B637B2" w:rsidTr="00B637B2">
                <w:sdt>
                  <w:sdtPr>
                    <w:tag w:val="_PLD_b3c95ee428314f8b8091bd15dff2a83d"/>
                    <w:id w:val="1747226386"/>
                    <w:lock w:val="sdtLocked"/>
                  </w:sdtPr>
                  <w:sdtContent>
                    <w:tc>
                      <w:tcPr>
                        <w:tcW w:w="2169" w:type="pct"/>
                        <w:tcBorders>
                          <w:top w:val="outset" w:sz="6" w:space="0" w:color="auto"/>
                          <w:left w:val="outset" w:sz="6" w:space="0" w:color="auto"/>
                          <w:bottom w:val="outset" w:sz="6" w:space="0" w:color="auto"/>
                          <w:right w:val="outset" w:sz="6" w:space="0" w:color="auto"/>
                        </w:tcBorders>
                        <w:vAlign w:val="center"/>
                      </w:tcPr>
                      <w:p w:rsidR="00B637B2" w:rsidRDefault="008F04CF" w:rsidP="00B637B2">
                        <w:pPr>
                          <w:rPr>
                            <w:szCs w:val="21"/>
                          </w:rPr>
                        </w:pPr>
                        <w:r>
                          <w:rPr>
                            <w:rFonts w:hint="eastAsia"/>
                            <w:b/>
                            <w:bCs/>
                            <w:szCs w:val="21"/>
                          </w:rPr>
                          <w:t>所有者权益（或股东权益）：</w:t>
                        </w:r>
                      </w:p>
                    </w:tc>
                  </w:sdtContent>
                </w:sdt>
                <w:tc>
                  <w:tcPr>
                    <w:tcW w:w="563" w:type="pct"/>
                    <w:tcBorders>
                      <w:top w:val="outset" w:sz="6" w:space="0" w:color="auto"/>
                      <w:left w:val="outset" w:sz="6" w:space="0" w:color="auto"/>
                      <w:bottom w:val="outset" w:sz="6" w:space="0" w:color="auto"/>
                      <w:right w:val="outset" w:sz="6" w:space="0" w:color="auto"/>
                    </w:tcBorders>
                  </w:tcPr>
                  <w:p w:rsidR="00B637B2" w:rsidRPr="00777B68" w:rsidRDefault="00B637B2" w:rsidP="00B637B2"/>
                </w:tc>
                <w:tc>
                  <w:tcPr>
                    <w:tcW w:w="1127" w:type="pct"/>
                    <w:tcBorders>
                      <w:top w:val="outset" w:sz="6" w:space="0" w:color="auto"/>
                      <w:left w:val="outset" w:sz="6" w:space="0" w:color="auto"/>
                      <w:bottom w:val="outset" w:sz="6" w:space="0" w:color="auto"/>
                      <w:right w:val="outset" w:sz="6" w:space="0" w:color="auto"/>
                    </w:tcBorders>
                    <w:vAlign w:val="center"/>
                  </w:tcPr>
                  <w:p w:rsidR="00B637B2" w:rsidRPr="00777B68" w:rsidRDefault="00B637B2" w:rsidP="00B637B2">
                    <w:pPr>
                      <w:jc w:val="right"/>
                    </w:pPr>
                  </w:p>
                </w:tc>
                <w:tc>
                  <w:tcPr>
                    <w:tcW w:w="1141" w:type="pct"/>
                    <w:tcBorders>
                      <w:top w:val="outset" w:sz="6" w:space="0" w:color="auto"/>
                      <w:left w:val="outset" w:sz="6" w:space="0" w:color="auto"/>
                      <w:bottom w:val="outset" w:sz="6" w:space="0" w:color="auto"/>
                      <w:right w:val="outset" w:sz="6" w:space="0" w:color="auto"/>
                    </w:tcBorders>
                    <w:vAlign w:val="center"/>
                  </w:tcPr>
                  <w:p w:rsidR="00B637B2" w:rsidRPr="00777B68" w:rsidRDefault="00B637B2" w:rsidP="00B637B2">
                    <w:pPr>
                      <w:jc w:val="right"/>
                    </w:pPr>
                  </w:p>
                </w:tc>
              </w:tr>
              <w:tr w:rsidR="00B637B2" w:rsidTr="00B637B2">
                <w:sdt>
                  <w:sdtPr>
                    <w:tag w:val="_PLD_4dc50e71aa7b412096aaa176abd95e28"/>
                    <w:id w:val="-142579207"/>
                    <w:lock w:val="sdtLocked"/>
                  </w:sdtPr>
                  <w:sdtContent>
                    <w:tc>
                      <w:tcPr>
                        <w:tcW w:w="2169" w:type="pct"/>
                        <w:tcBorders>
                          <w:top w:val="outset" w:sz="6" w:space="0" w:color="auto"/>
                          <w:left w:val="outset" w:sz="6" w:space="0" w:color="auto"/>
                          <w:bottom w:val="outset" w:sz="6" w:space="0" w:color="auto"/>
                          <w:right w:val="outset" w:sz="6" w:space="0" w:color="auto"/>
                        </w:tcBorders>
                        <w:vAlign w:val="center"/>
                      </w:tcPr>
                      <w:p w:rsidR="00B637B2" w:rsidRDefault="008F04CF" w:rsidP="00B637B2">
                        <w:pPr>
                          <w:ind w:firstLineChars="100" w:firstLine="210"/>
                          <w:rPr>
                            <w:szCs w:val="21"/>
                          </w:rPr>
                        </w:pPr>
                        <w:r>
                          <w:rPr>
                            <w:rFonts w:hint="eastAsia"/>
                            <w:szCs w:val="21"/>
                          </w:rPr>
                          <w:t>实收资本（或股本）</w:t>
                        </w:r>
                      </w:p>
                    </w:tc>
                  </w:sdtContent>
                </w:sdt>
                <w:tc>
                  <w:tcPr>
                    <w:tcW w:w="563" w:type="pct"/>
                    <w:tcBorders>
                      <w:top w:val="outset" w:sz="6" w:space="0" w:color="auto"/>
                      <w:left w:val="outset" w:sz="6" w:space="0" w:color="auto"/>
                      <w:bottom w:val="outset" w:sz="6" w:space="0" w:color="auto"/>
                      <w:right w:val="outset" w:sz="6" w:space="0" w:color="auto"/>
                    </w:tcBorders>
                  </w:tcPr>
                  <w:p w:rsidR="00B637B2" w:rsidRPr="00777B68" w:rsidRDefault="00B637B2" w:rsidP="00B637B2"/>
                </w:tc>
                <w:tc>
                  <w:tcPr>
                    <w:tcW w:w="1127"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2,486,134,575</w:t>
                    </w:r>
                  </w:p>
                </w:tc>
                <w:tc>
                  <w:tcPr>
                    <w:tcW w:w="1141"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1,917,832,792</w:t>
                    </w:r>
                  </w:p>
                </w:tc>
              </w:tr>
              <w:tr w:rsidR="00B637B2" w:rsidTr="00B637B2">
                <w:sdt>
                  <w:sdtPr>
                    <w:tag w:val="_PLD_f36127e51236487893688b464544872d"/>
                    <w:id w:val="-1042746208"/>
                    <w:lock w:val="sdtLocked"/>
                  </w:sdtPr>
                  <w:sdtContent>
                    <w:tc>
                      <w:tcPr>
                        <w:tcW w:w="2169" w:type="pct"/>
                        <w:tcBorders>
                          <w:top w:val="outset" w:sz="6" w:space="0" w:color="auto"/>
                          <w:left w:val="outset" w:sz="6" w:space="0" w:color="auto"/>
                          <w:bottom w:val="outset" w:sz="6" w:space="0" w:color="auto"/>
                          <w:right w:val="outset" w:sz="6" w:space="0" w:color="auto"/>
                        </w:tcBorders>
                        <w:vAlign w:val="center"/>
                      </w:tcPr>
                      <w:p w:rsidR="00B637B2" w:rsidRDefault="008F04CF" w:rsidP="00B637B2">
                        <w:pPr>
                          <w:ind w:firstLineChars="100" w:firstLine="210"/>
                          <w:rPr>
                            <w:szCs w:val="21"/>
                          </w:rPr>
                        </w:pPr>
                        <w:r>
                          <w:rPr>
                            <w:rFonts w:hint="eastAsia"/>
                            <w:szCs w:val="21"/>
                          </w:rPr>
                          <w:t>其他权益工具</w:t>
                        </w:r>
                      </w:p>
                    </w:tc>
                  </w:sdtContent>
                </w:sdt>
                <w:tc>
                  <w:tcPr>
                    <w:tcW w:w="563" w:type="pct"/>
                    <w:tcBorders>
                      <w:top w:val="outset" w:sz="6" w:space="0" w:color="auto"/>
                      <w:left w:val="outset" w:sz="6" w:space="0" w:color="auto"/>
                      <w:bottom w:val="outset" w:sz="6" w:space="0" w:color="auto"/>
                      <w:right w:val="outset" w:sz="6" w:space="0" w:color="auto"/>
                    </w:tcBorders>
                  </w:tcPr>
                  <w:p w:rsidR="00B637B2" w:rsidRPr="00777B68" w:rsidRDefault="00B637B2" w:rsidP="00B637B2"/>
                </w:tc>
                <w:tc>
                  <w:tcPr>
                    <w:tcW w:w="1127"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w:t>
                    </w:r>
                  </w:p>
                </w:tc>
                <w:tc>
                  <w:tcPr>
                    <w:tcW w:w="1141"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w:t>
                    </w:r>
                  </w:p>
                </w:tc>
              </w:tr>
              <w:tr w:rsidR="00B637B2" w:rsidTr="00B637B2">
                <w:sdt>
                  <w:sdtPr>
                    <w:tag w:val="_PLD_6ff9fed10f5e4421b4d017b86f339700"/>
                    <w:id w:val="170153152"/>
                    <w:lock w:val="sdtLocked"/>
                  </w:sdtPr>
                  <w:sdtContent>
                    <w:tc>
                      <w:tcPr>
                        <w:tcW w:w="2169" w:type="pct"/>
                        <w:tcBorders>
                          <w:top w:val="outset" w:sz="6" w:space="0" w:color="auto"/>
                          <w:left w:val="outset" w:sz="6" w:space="0" w:color="auto"/>
                          <w:bottom w:val="outset" w:sz="6" w:space="0" w:color="auto"/>
                          <w:right w:val="outset" w:sz="6" w:space="0" w:color="auto"/>
                        </w:tcBorders>
                        <w:vAlign w:val="center"/>
                      </w:tcPr>
                      <w:p w:rsidR="00B637B2" w:rsidRDefault="008F04CF" w:rsidP="00B637B2">
                        <w:pPr>
                          <w:ind w:firstLineChars="100" w:firstLine="210"/>
                          <w:rPr>
                            <w:szCs w:val="21"/>
                          </w:rPr>
                        </w:pPr>
                        <w:r>
                          <w:rPr>
                            <w:rFonts w:hint="eastAsia"/>
                            <w:szCs w:val="21"/>
                          </w:rPr>
                          <w:t>其中：优先股</w:t>
                        </w:r>
                      </w:p>
                    </w:tc>
                  </w:sdtContent>
                </w:sdt>
                <w:tc>
                  <w:tcPr>
                    <w:tcW w:w="563" w:type="pct"/>
                    <w:tcBorders>
                      <w:top w:val="outset" w:sz="6" w:space="0" w:color="auto"/>
                      <w:left w:val="outset" w:sz="6" w:space="0" w:color="auto"/>
                      <w:bottom w:val="outset" w:sz="6" w:space="0" w:color="auto"/>
                      <w:right w:val="outset" w:sz="6" w:space="0" w:color="auto"/>
                    </w:tcBorders>
                  </w:tcPr>
                  <w:p w:rsidR="00B637B2" w:rsidRPr="00777B68" w:rsidRDefault="00B637B2" w:rsidP="00B637B2"/>
                </w:tc>
                <w:tc>
                  <w:tcPr>
                    <w:tcW w:w="1127"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Pr>
                        <w:rFonts w:hint="eastAsia"/>
                      </w:rPr>
                      <w:t>-</w:t>
                    </w:r>
                  </w:p>
                </w:tc>
                <w:tc>
                  <w:tcPr>
                    <w:tcW w:w="1141"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Pr>
                        <w:rFonts w:hint="eastAsia"/>
                      </w:rPr>
                      <w:t>-</w:t>
                    </w:r>
                  </w:p>
                </w:tc>
              </w:tr>
              <w:tr w:rsidR="00B637B2" w:rsidTr="00B637B2">
                <w:sdt>
                  <w:sdtPr>
                    <w:tag w:val="_PLD_a53508683d034577843778ba9d06a615"/>
                    <w:id w:val="-1842070856"/>
                    <w:lock w:val="sdtLocked"/>
                  </w:sdtPr>
                  <w:sdtContent>
                    <w:tc>
                      <w:tcPr>
                        <w:tcW w:w="2169" w:type="pct"/>
                        <w:tcBorders>
                          <w:top w:val="outset" w:sz="6" w:space="0" w:color="auto"/>
                          <w:left w:val="outset" w:sz="6" w:space="0" w:color="auto"/>
                          <w:bottom w:val="outset" w:sz="6" w:space="0" w:color="auto"/>
                          <w:right w:val="outset" w:sz="6" w:space="0" w:color="auto"/>
                        </w:tcBorders>
                        <w:vAlign w:val="center"/>
                      </w:tcPr>
                      <w:p w:rsidR="00B637B2" w:rsidRDefault="008F04CF" w:rsidP="00B637B2">
                        <w:pPr>
                          <w:ind w:leftChars="300" w:left="630" w:firstLineChars="100" w:firstLine="210"/>
                          <w:rPr>
                            <w:szCs w:val="21"/>
                          </w:rPr>
                        </w:pPr>
                        <w:r>
                          <w:rPr>
                            <w:rFonts w:hint="eastAsia"/>
                            <w:szCs w:val="21"/>
                          </w:rPr>
                          <w:t>永续债</w:t>
                        </w:r>
                      </w:p>
                    </w:tc>
                  </w:sdtContent>
                </w:sdt>
                <w:tc>
                  <w:tcPr>
                    <w:tcW w:w="563" w:type="pct"/>
                    <w:tcBorders>
                      <w:top w:val="outset" w:sz="6" w:space="0" w:color="auto"/>
                      <w:left w:val="outset" w:sz="6" w:space="0" w:color="auto"/>
                      <w:bottom w:val="outset" w:sz="6" w:space="0" w:color="auto"/>
                      <w:right w:val="outset" w:sz="6" w:space="0" w:color="auto"/>
                    </w:tcBorders>
                  </w:tcPr>
                  <w:p w:rsidR="00B637B2" w:rsidRPr="00777B68" w:rsidRDefault="00B637B2" w:rsidP="00B637B2"/>
                </w:tc>
                <w:tc>
                  <w:tcPr>
                    <w:tcW w:w="1127"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Pr>
                        <w:rFonts w:hint="eastAsia"/>
                      </w:rPr>
                      <w:t>-</w:t>
                    </w:r>
                  </w:p>
                </w:tc>
                <w:tc>
                  <w:tcPr>
                    <w:tcW w:w="1141"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Pr>
                        <w:rFonts w:hint="eastAsia"/>
                      </w:rPr>
                      <w:t>-</w:t>
                    </w:r>
                  </w:p>
                </w:tc>
              </w:tr>
              <w:tr w:rsidR="00B637B2" w:rsidTr="00B637B2">
                <w:sdt>
                  <w:sdtPr>
                    <w:tag w:val="_PLD_08724ab7c9244a1186a8219085238e9f"/>
                    <w:id w:val="87820597"/>
                    <w:lock w:val="sdtLocked"/>
                  </w:sdtPr>
                  <w:sdtContent>
                    <w:tc>
                      <w:tcPr>
                        <w:tcW w:w="2169" w:type="pct"/>
                        <w:tcBorders>
                          <w:top w:val="outset" w:sz="6" w:space="0" w:color="auto"/>
                          <w:left w:val="outset" w:sz="6" w:space="0" w:color="auto"/>
                          <w:bottom w:val="outset" w:sz="6" w:space="0" w:color="auto"/>
                          <w:right w:val="outset" w:sz="6" w:space="0" w:color="auto"/>
                        </w:tcBorders>
                        <w:vAlign w:val="center"/>
                      </w:tcPr>
                      <w:p w:rsidR="00B637B2" w:rsidRDefault="008F04CF" w:rsidP="00B637B2">
                        <w:pPr>
                          <w:ind w:firstLineChars="100" w:firstLine="210"/>
                          <w:rPr>
                            <w:szCs w:val="21"/>
                          </w:rPr>
                        </w:pPr>
                        <w:r>
                          <w:rPr>
                            <w:rFonts w:hint="eastAsia"/>
                            <w:szCs w:val="21"/>
                          </w:rPr>
                          <w:t>资本公积</w:t>
                        </w:r>
                      </w:p>
                    </w:tc>
                  </w:sdtContent>
                </w:sdt>
                <w:tc>
                  <w:tcPr>
                    <w:tcW w:w="563" w:type="pct"/>
                    <w:tcBorders>
                      <w:top w:val="outset" w:sz="6" w:space="0" w:color="auto"/>
                      <w:left w:val="outset" w:sz="6" w:space="0" w:color="auto"/>
                      <w:bottom w:val="outset" w:sz="6" w:space="0" w:color="auto"/>
                      <w:right w:val="outset" w:sz="6" w:space="0" w:color="auto"/>
                    </w:tcBorders>
                  </w:tcPr>
                  <w:p w:rsidR="00B637B2" w:rsidRPr="00777B68" w:rsidRDefault="00B637B2" w:rsidP="00B637B2"/>
                </w:tc>
                <w:tc>
                  <w:tcPr>
                    <w:tcW w:w="1127"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1,094,341,296</w:t>
                    </w:r>
                  </w:p>
                </w:tc>
                <w:tc>
                  <w:tcPr>
                    <w:tcW w:w="1141"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1,619,007,491</w:t>
                    </w:r>
                  </w:p>
                </w:tc>
              </w:tr>
              <w:tr w:rsidR="00B637B2" w:rsidTr="00B637B2">
                <w:sdt>
                  <w:sdtPr>
                    <w:tag w:val="_PLD_acf5eb5023ce48a38a6314aa3a59978b"/>
                    <w:id w:val="-2054531922"/>
                    <w:lock w:val="sdtLocked"/>
                  </w:sdtPr>
                  <w:sdtContent>
                    <w:tc>
                      <w:tcPr>
                        <w:tcW w:w="2169" w:type="pct"/>
                        <w:tcBorders>
                          <w:top w:val="outset" w:sz="6" w:space="0" w:color="auto"/>
                          <w:left w:val="outset" w:sz="6" w:space="0" w:color="auto"/>
                          <w:bottom w:val="outset" w:sz="6" w:space="0" w:color="auto"/>
                          <w:right w:val="outset" w:sz="6" w:space="0" w:color="auto"/>
                        </w:tcBorders>
                        <w:vAlign w:val="center"/>
                      </w:tcPr>
                      <w:p w:rsidR="00B637B2" w:rsidRDefault="008F04CF" w:rsidP="00B637B2">
                        <w:pPr>
                          <w:ind w:firstLineChars="100" w:firstLine="210"/>
                          <w:rPr>
                            <w:szCs w:val="21"/>
                          </w:rPr>
                        </w:pPr>
                        <w:r>
                          <w:rPr>
                            <w:rFonts w:hint="eastAsia"/>
                            <w:szCs w:val="21"/>
                          </w:rPr>
                          <w:t>减：库存股</w:t>
                        </w:r>
                      </w:p>
                    </w:tc>
                  </w:sdtContent>
                </w:sdt>
                <w:tc>
                  <w:tcPr>
                    <w:tcW w:w="563" w:type="pct"/>
                    <w:tcBorders>
                      <w:top w:val="outset" w:sz="6" w:space="0" w:color="auto"/>
                      <w:left w:val="outset" w:sz="6" w:space="0" w:color="auto"/>
                      <w:bottom w:val="outset" w:sz="6" w:space="0" w:color="auto"/>
                      <w:right w:val="outset" w:sz="6" w:space="0" w:color="auto"/>
                    </w:tcBorders>
                  </w:tcPr>
                  <w:p w:rsidR="00B637B2" w:rsidRPr="00777B68" w:rsidRDefault="00B637B2" w:rsidP="00B637B2"/>
                </w:tc>
                <w:tc>
                  <w:tcPr>
                    <w:tcW w:w="1127"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514,204,879</w:t>
                    </w:r>
                  </w:p>
                </w:tc>
                <w:tc>
                  <w:tcPr>
                    <w:tcW w:w="1141"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55,787,910</w:t>
                    </w:r>
                  </w:p>
                </w:tc>
              </w:tr>
              <w:tr w:rsidR="00B637B2" w:rsidTr="00B637B2">
                <w:sdt>
                  <w:sdtPr>
                    <w:tag w:val="_PLD_b511319799ae49febdfc2f1e81f6d67c"/>
                    <w:id w:val="-46765544"/>
                    <w:lock w:val="sdtLocked"/>
                  </w:sdtPr>
                  <w:sdtContent>
                    <w:tc>
                      <w:tcPr>
                        <w:tcW w:w="2169" w:type="pct"/>
                        <w:tcBorders>
                          <w:top w:val="outset" w:sz="6" w:space="0" w:color="auto"/>
                          <w:left w:val="outset" w:sz="6" w:space="0" w:color="auto"/>
                          <w:bottom w:val="outset" w:sz="6" w:space="0" w:color="auto"/>
                          <w:right w:val="outset" w:sz="6" w:space="0" w:color="auto"/>
                        </w:tcBorders>
                        <w:vAlign w:val="center"/>
                      </w:tcPr>
                      <w:p w:rsidR="00B637B2" w:rsidRDefault="008F04CF" w:rsidP="00B637B2">
                        <w:pPr>
                          <w:ind w:firstLineChars="100" w:firstLine="210"/>
                          <w:rPr>
                            <w:szCs w:val="21"/>
                          </w:rPr>
                        </w:pPr>
                        <w:r>
                          <w:rPr>
                            <w:rFonts w:hint="eastAsia"/>
                            <w:szCs w:val="21"/>
                          </w:rPr>
                          <w:t>其他综合收益</w:t>
                        </w:r>
                      </w:p>
                    </w:tc>
                  </w:sdtContent>
                </w:sdt>
                <w:tc>
                  <w:tcPr>
                    <w:tcW w:w="563" w:type="pct"/>
                    <w:tcBorders>
                      <w:top w:val="outset" w:sz="6" w:space="0" w:color="auto"/>
                      <w:left w:val="outset" w:sz="6" w:space="0" w:color="auto"/>
                      <w:bottom w:val="outset" w:sz="6" w:space="0" w:color="auto"/>
                      <w:right w:val="outset" w:sz="6" w:space="0" w:color="auto"/>
                    </w:tcBorders>
                  </w:tcPr>
                  <w:p w:rsidR="00B637B2" w:rsidRPr="00777B68" w:rsidRDefault="00B637B2" w:rsidP="00B637B2"/>
                </w:tc>
                <w:tc>
                  <w:tcPr>
                    <w:tcW w:w="1127"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188,747</w:t>
                    </w:r>
                  </w:p>
                </w:tc>
                <w:tc>
                  <w:tcPr>
                    <w:tcW w:w="1141"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-49,462,234</w:t>
                    </w:r>
                  </w:p>
                </w:tc>
              </w:tr>
              <w:tr w:rsidR="00B637B2" w:rsidTr="00B637B2">
                <w:sdt>
                  <w:sdtPr>
                    <w:tag w:val="_PLD_485864b6f1a24685a2635ee51b952005"/>
                    <w:id w:val="-2128311349"/>
                    <w:lock w:val="sdtLocked"/>
                  </w:sdtPr>
                  <w:sdtContent>
                    <w:tc>
                      <w:tcPr>
                        <w:tcW w:w="2169" w:type="pct"/>
                        <w:tcBorders>
                          <w:top w:val="outset" w:sz="6" w:space="0" w:color="auto"/>
                          <w:left w:val="outset" w:sz="6" w:space="0" w:color="auto"/>
                          <w:bottom w:val="outset" w:sz="6" w:space="0" w:color="auto"/>
                          <w:right w:val="outset" w:sz="6" w:space="0" w:color="auto"/>
                        </w:tcBorders>
                        <w:vAlign w:val="center"/>
                      </w:tcPr>
                      <w:p w:rsidR="00B637B2" w:rsidRDefault="008F04CF" w:rsidP="00B637B2">
                        <w:pPr>
                          <w:ind w:firstLineChars="100" w:firstLine="210"/>
                          <w:rPr>
                            <w:szCs w:val="21"/>
                          </w:rPr>
                        </w:pPr>
                        <w:r>
                          <w:rPr>
                            <w:rFonts w:hint="eastAsia"/>
                            <w:szCs w:val="21"/>
                          </w:rPr>
                          <w:t>专项储备</w:t>
                        </w:r>
                      </w:p>
                    </w:tc>
                  </w:sdtContent>
                </w:sdt>
                <w:tc>
                  <w:tcPr>
                    <w:tcW w:w="563" w:type="pct"/>
                    <w:tcBorders>
                      <w:top w:val="outset" w:sz="6" w:space="0" w:color="auto"/>
                      <w:left w:val="outset" w:sz="6" w:space="0" w:color="auto"/>
                      <w:bottom w:val="outset" w:sz="6" w:space="0" w:color="auto"/>
                      <w:right w:val="outset" w:sz="6" w:space="0" w:color="auto"/>
                    </w:tcBorders>
                  </w:tcPr>
                  <w:p w:rsidR="00B637B2" w:rsidRPr="00777B68" w:rsidRDefault="00B637B2" w:rsidP="00B637B2"/>
                </w:tc>
                <w:tc>
                  <w:tcPr>
                    <w:tcW w:w="1127"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Pr>
                        <w:rFonts w:hint="eastAsia"/>
                      </w:rPr>
                      <w:t>-</w:t>
                    </w:r>
                  </w:p>
                </w:tc>
                <w:tc>
                  <w:tcPr>
                    <w:tcW w:w="1141"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Pr>
                        <w:rFonts w:hint="eastAsia"/>
                      </w:rPr>
                      <w:t>-</w:t>
                    </w:r>
                  </w:p>
                </w:tc>
              </w:tr>
              <w:tr w:rsidR="00B637B2" w:rsidTr="00B637B2">
                <w:sdt>
                  <w:sdtPr>
                    <w:tag w:val="_PLD_81d459a1820947dd8bb91df8e71c615b"/>
                    <w:id w:val="1053821538"/>
                    <w:lock w:val="sdtLocked"/>
                  </w:sdtPr>
                  <w:sdtContent>
                    <w:tc>
                      <w:tcPr>
                        <w:tcW w:w="2169" w:type="pct"/>
                        <w:tcBorders>
                          <w:top w:val="outset" w:sz="6" w:space="0" w:color="auto"/>
                          <w:left w:val="outset" w:sz="6" w:space="0" w:color="auto"/>
                          <w:bottom w:val="outset" w:sz="6" w:space="0" w:color="auto"/>
                          <w:right w:val="outset" w:sz="6" w:space="0" w:color="auto"/>
                        </w:tcBorders>
                        <w:vAlign w:val="center"/>
                      </w:tcPr>
                      <w:p w:rsidR="00B637B2" w:rsidRDefault="008F04CF" w:rsidP="00B637B2">
                        <w:pPr>
                          <w:ind w:firstLineChars="100" w:firstLine="210"/>
                          <w:rPr>
                            <w:szCs w:val="21"/>
                          </w:rPr>
                        </w:pPr>
                        <w:r>
                          <w:rPr>
                            <w:rFonts w:hint="eastAsia"/>
                            <w:szCs w:val="21"/>
                          </w:rPr>
                          <w:t>盈余公积</w:t>
                        </w:r>
                      </w:p>
                    </w:tc>
                  </w:sdtContent>
                </w:sdt>
                <w:tc>
                  <w:tcPr>
                    <w:tcW w:w="563" w:type="pct"/>
                    <w:tcBorders>
                      <w:top w:val="outset" w:sz="6" w:space="0" w:color="auto"/>
                      <w:left w:val="outset" w:sz="6" w:space="0" w:color="auto"/>
                      <w:bottom w:val="outset" w:sz="6" w:space="0" w:color="auto"/>
                      <w:right w:val="outset" w:sz="6" w:space="0" w:color="auto"/>
                    </w:tcBorders>
                  </w:tcPr>
                  <w:p w:rsidR="00B637B2" w:rsidRPr="00777B68" w:rsidRDefault="00B637B2" w:rsidP="00B637B2"/>
                </w:tc>
                <w:tc>
                  <w:tcPr>
                    <w:tcW w:w="1127"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831,983,441</w:t>
                    </w:r>
                  </w:p>
                </w:tc>
                <w:tc>
                  <w:tcPr>
                    <w:tcW w:w="1141" w:type="pct"/>
                    <w:tcBorders>
                      <w:top w:val="outset" w:sz="6" w:space="0" w:color="auto"/>
                      <w:left w:val="outset" w:sz="6" w:space="0" w:color="auto"/>
                      <w:bottom w:val="outset" w:sz="6" w:space="0" w:color="auto"/>
                      <w:right w:val="outset" w:sz="6" w:space="0" w:color="auto"/>
                    </w:tcBorders>
                    <w:vAlign w:val="center"/>
                  </w:tcPr>
                  <w:p w:rsidR="00B637B2" w:rsidRDefault="008F04CF" w:rsidP="00B637B2">
                    <w:pPr>
                      <w:jc w:val="right"/>
                    </w:pPr>
                    <w:r w:rsidRPr="00777B68">
                      <w:t>827,153,655</w:t>
                    </w:r>
                  </w:p>
                </w:tc>
              </w:tr>
              <w:tr w:rsidR="00B637B2" w:rsidTr="00B637B2">
                <w:sdt>
                  <w:sdtPr>
                    <w:tag w:val="_PLD_9bf3fa2bf87240889853d8e32c117a77"/>
                    <w:id w:val="-1983759099"/>
                    <w:lock w:val="sdtLocked"/>
                  </w:sdtPr>
                  <w:sdtContent>
                    <w:tc>
                      <w:tcPr>
                        <w:tcW w:w="2169" w:type="pct"/>
                        <w:tcBorders>
                          <w:top w:val="outset" w:sz="6" w:space="0" w:color="auto"/>
                          <w:left w:val="outset" w:sz="6" w:space="0" w:color="auto"/>
                          <w:bottom w:val="outset" w:sz="6" w:space="0" w:color="auto"/>
                          <w:right w:val="outset" w:sz="6" w:space="0" w:color="auto"/>
                        </w:tcBorders>
                        <w:vAlign w:val="center"/>
                      </w:tcPr>
                      <w:p w:rsidR="00B637B2" w:rsidRDefault="008F04CF" w:rsidP="00B637B2">
                        <w:pPr>
                          <w:ind w:firstLineChars="100" w:firstLine="210"/>
                          <w:rPr>
                            <w:szCs w:val="21"/>
                          </w:rPr>
                        </w:pPr>
                        <w:r>
                          <w:rPr>
                            <w:rFonts w:hint="eastAsia"/>
                            <w:szCs w:val="21"/>
                          </w:rPr>
                          <w:t>未分配利润</w:t>
                        </w:r>
                      </w:p>
                    </w:tc>
                  </w:sdtContent>
                </w:sdt>
                <w:tc>
                  <w:tcPr>
                    <w:tcW w:w="563" w:type="pct"/>
                    <w:tcBorders>
                      <w:top w:val="outset" w:sz="6" w:space="0" w:color="auto"/>
                      <w:left w:val="outset" w:sz="6" w:space="0" w:color="auto"/>
                      <w:bottom w:val="outset" w:sz="6" w:space="0" w:color="auto"/>
                      <w:right w:val="outset" w:sz="6" w:space="0" w:color="auto"/>
                    </w:tcBorders>
                  </w:tcPr>
                  <w:p w:rsidR="00B637B2" w:rsidRPr="00777B68" w:rsidRDefault="00B637B2" w:rsidP="00B637B2"/>
                </w:tc>
                <w:tc>
                  <w:tcPr>
                    <w:tcW w:w="1127"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t>1,647,639,790</w:t>
                    </w:r>
                  </w:p>
                </w:tc>
                <w:tc>
                  <w:tcPr>
                    <w:tcW w:w="1141"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t>1,614,399,420</w:t>
                    </w:r>
                  </w:p>
                </w:tc>
              </w:tr>
              <w:tr w:rsidR="00B637B2" w:rsidTr="00B637B2">
                <w:sdt>
                  <w:sdtPr>
                    <w:tag w:val="_PLD_a8e701b7d2f8447c8bb34870babce384"/>
                    <w:id w:val="1302353348"/>
                    <w:lock w:val="sdtLocked"/>
                  </w:sdtPr>
                  <w:sdtContent>
                    <w:tc>
                      <w:tcPr>
                        <w:tcW w:w="2169" w:type="pct"/>
                        <w:tcBorders>
                          <w:top w:val="outset" w:sz="6" w:space="0" w:color="auto"/>
                          <w:left w:val="outset" w:sz="6" w:space="0" w:color="auto"/>
                          <w:bottom w:val="outset" w:sz="6" w:space="0" w:color="auto"/>
                          <w:right w:val="outset" w:sz="6" w:space="0" w:color="auto"/>
                        </w:tcBorders>
                        <w:vAlign w:val="center"/>
                      </w:tcPr>
                      <w:p w:rsidR="00B637B2" w:rsidRDefault="008F04CF" w:rsidP="00B637B2">
                        <w:pPr>
                          <w:ind w:firstLineChars="200" w:firstLine="420"/>
                          <w:rPr>
                            <w:szCs w:val="21"/>
                          </w:rPr>
                        </w:pPr>
                        <w:r>
                          <w:rPr>
                            <w:rFonts w:hint="eastAsia"/>
                          </w:rPr>
                          <w:t>所有者权益（或股东权益）合计</w:t>
                        </w:r>
                      </w:p>
                    </w:tc>
                  </w:sdtContent>
                </w:sdt>
                <w:tc>
                  <w:tcPr>
                    <w:tcW w:w="563" w:type="pct"/>
                    <w:tcBorders>
                      <w:top w:val="outset" w:sz="6" w:space="0" w:color="auto"/>
                      <w:left w:val="outset" w:sz="6" w:space="0" w:color="auto"/>
                      <w:bottom w:val="outset" w:sz="6" w:space="0" w:color="auto"/>
                      <w:right w:val="outset" w:sz="6" w:space="0" w:color="auto"/>
                    </w:tcBorders>
                  </w:tcPr>
                  <w:p w:rsidR="00B637B2" w:rsidRPr="00777B68" w:rsidRDefault="00B637B2" w:rsidP="00B637B2"/>
                </w:tc>
                <w:tc>
                  <w:tcPr>
                    <w:tcW w:w="1127"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5,546,082,970</w:t>
                    </w:r>
                  </w:p>
                </w:tc>
                <w:tc>
                  <w:tcPr>
                    <w:tcW w:w="1141"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5,873,143,214</w:t>
                    </w:r>
                  </w:p>
                </w:tc>
              </w:tr>
              <w:tr w:rsidR="00B637B2" w:rsidTr="00B637B2">
                <w:sdt>
                  <w:sdtPr>
                    <w:tag w:val="_PLD_448d7a5f1f6c488cb5525aa8d0d88441"/>
                    <w:id w:val="-1669314419"/>
                    <w:lock w:val="sdtLocked"/>
                  </w:sdtPr>
                  <w:sdtContent>
                    <w:tc>
                      <w:tcPr>
                        <w:tcW w:w="2169" w:type="pct"/>
                        <w:tcBorders>
                          <w:top w:val="outset" w:sz="6" w:space="0" w:color="auto"/>
                          <w:left w:val="outset" w:sz="6" w:space="0" w:color="auto"/>
                          <w:bottom w:val="outset" w:sz="6" w:space="0" w:color="auto"/>
                          <w:right w:val="outset" w:sz="6" w:space="0" w:color="auto"/>
                        </w:tcBorders>
                        <w:vAlign w:val="center"/>
                      </w:tcPr>
                      <w:p w:rsidR="00B637B2" w:rsidRDefault="008F04CF" w:rsidP="00B637B2">
                        <w:pPr>
                          <w:ind w:firstLineChars="300" w:firstLine="630"/>
                          <w:rPr>
                            <w:szCs w:val="21"/>
                          </w:rPr>
                        </w:pPr>
                        <w:r>
                          <w:rPr>
                            <w:rFonts w:hint="eastAsia"/>
                            <w:szCs w:val="21"/>
                          </w:rPr>
                          <w:t>负债和所有者权益（或股东权益）总计</w:t>
                        </w:r>
                      </w:p>
                    </w:tc>
                  </w:sdtContent>
                </w:sdt>
                <w:tc>
                  <w:tcPr>
                    <w:tcW w:w="563" w:type="pct"/>
                    <w:tcBorders>
                      <w:top w:val="outset" w:sz="6" w:space="0" w:color="auto"/>
                      <w:left w:val="outset" w:sz="6" w:space="0" w:color="auto"/>
                      <w:bottom w:val="outset" w:sz="6" w:space="0" w:color="auto"/>
                      <w:right w:val="outset" w:sz="6" w:space="0" w:color="auto"/>
                    </w:tcBorders>
                  </w:tcPr>
                  <w:p w:rsidR="00B637B2" w:rsidRPr="00777B68" w:rsidRDefault="00B637B2" w:rsidP="00B637B2"/>
                </w:tc>
                <w:tc>
                  <w:tcPr>
                    <w:tcW w:w="1127"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11,857,723,749</w:t>
                    </w:r>
                  </w:p>
                </w:tc>
                <w:tc>
                  <w:tcPr>
                    <w:tcW w:w="1141" w:type="pct"/>
                    <w:tcBorders>
                      <w:top w:val="outset" w:sz="6" w:space="0" w:color="auto"/>
                      <w:left w:val="outset" w:sz="6" w:space="0" w:color="auto"/>
                      <w:bottom w:val="outset" w:sz="6" w:space="0" w:color="auto"/>
                      <w:right w:val="outset" w:sz="6" w:space="0" w:color="auto"/>
                    </w:tcBorders>
                    <w:vAlign w:val="center"/>
                  </w:tcPr>
                  <w:p w:rsidR="00B637B2" w:rsidRPr="00777B68" w:rsidRDefault="008F04CF" w:rsidP="00B637B2">
                    <w:pPr>
                      <w:jc w:val="right"/>
                    </w:pPr>
                    <w:r w:rsidRPr="00777B68">
                      <w:t>11,158,381,543</w:t>
                    </w:r>
                  </w:p>
                </w:tc>
              </w:tr>
            </w:tbl>
            <w:p w:rsidR="00B637B2" w:rsidRDefault="00B637B2"/>
            <w:p w:rsidR="00ED2DC7" w:rsidRDefault="00ED2DC7">
              <w:pPr>
                <w:ind w:rightChars="-73" w:right="-153"/>
                <w:rPr>
                  <w:szCs w:val="21"/>
                </w:rPr>
              </w:pPr>
              <w:r>
                <w:rPr>
                  <w:szCs w:val="21"/>
                </w:rPr>
                <w:t>法定代表人</w:t>
              </w:r>
              <w:r>
                <w:rPr>
                  <w:rFonts w:hint="eastAsia"/>
                  <w:szCs w:val="21"/>
                </w:rPr>
                <w:t>：</w:t>
              </w:r>
              <w:sdt>
                <w:sdtPr>
                  <w:rPr>
                    <w:rFonts w:hint="eastAsia"/>
                    <w:szCs w:val="21"/>
                  </w:rPr>
                  <w:alias w:val="公司法定代表人"/>
                  <w:tag w:val="_GBC_f43f422c96ec4e009c3976ce8e58b778"/>
                  <w:id w:val="-1562709306"/>
                  <w:lock w:val="sdtLocked"/>
                  <w:placeholder>
                    <w:docPart w:val="GBC22222222222222222222222222222"/>
                  </w:placeholder>
                  <w:dataBinding w:prefixMappings="xmlns:clcid-cgi='clcid-cgi'" w:xpath="/*/clcid-cgi:GongSiFaDingDaiBiaoRen[not(@periodRef)]" w:storeItemID="{89EBAB94-44A0-46A2-B712-30D997D04A6D}"/>
                  <w:text/>
                </w:sdtPr>
                <w:sdtContent>
                  <w:r w:rsidR="008F04CF">
                    <w:rPr>
                      <w:rFonts w:hint="eastAsia"/>
                      <w:szCs w:val="21"/>
                    </w:rPr>
                    <w:t>王文京</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3ac751c8378d4424bbdf4c74057683d9"/>
                  <w:id w:val="-33812868"/>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8F04CF">
                    <w:rPr>
                      <w:rFonts w:hint="eastAsia"/>
                      <w:szCs w:val="21"/>
                    </w:rPr>
                    <w:t>章培林</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182ff185180a4ea4b9c93bbd4b01de2c"/>
                  <w:id w:val="-372225914"/>
                  <w:lock w:val="sdtLocked"/>
                  <w:placeholder>
                    <w:docPart w:val="GBC22222222222222222222222222222"/>
                  </w:placeholder>
                  <w:dataBinding w:prefixMappings="xmlns:clcid-mr='clcid-mr'" w:xpath="/*/clcid-mr:KuaiJiJiGouFuZeRenXingMing[not(@periodRef)]" w:storeItemID="{89EBAB94-44A0-46A2-B712-30D997D04A6D}"/>
                  <w:text/>
                </w:sdtPr>
                <w:sdtContent>
                  <w:r w:rsidR="008F04CF">
                    <w:rPr>
                      <w:rFonts w:hint="eastAsia"/>
                      <w:szCs w:val="21"/>
                    </w:rPr>
                    <w:t>孙淑嫔</w:t>
                  </w:r>
                </w:sdtContent>
              </w:sdt>
            </w:p>
          </w:sdtContent>
        </w:sdt>
        <w:p w:rsidR="00ED2DC7" w:rsidRDefault="000D0A99">
          <w:pPr>
            <w:snapToGrid w:val="0"/>
            <w:rPr>
              <w:szCs w:val="21"/>
            </w:rPr>
          </w:pPr>
        </w:p>
      </w:sdtContent>
    </w:sdt>
    <w:bookmarkEnd w:id="67" w:displacedByCustomXml="prev"/>
    <w:p w:rsidR="00ED2DC7" w:rsidRDefault="00ED2DC7">
      <w:pPr>
        <w:ind w:rightChars="-73" w:right="-153"/>
        <w:rPr>
          <w:b/>
          <w:bCs/>
          <w:color w:val="008000"/>
          <w:szCs w:val="21"/>
          <w:u w:val="single"/>
        </w:rPr>
      </w:pPr>
    </w:p>
    <w:bookmarkStart w:id="68" w:name="_Hlk10210822" w:displacedByCustomXml="next"/>
    <w:sdt>
      <w:sdtPr>
        <w:rPr>
          <w:rFonts w:hint="eastAsia"/>
          <w:b/>
          <w:szCs w:val="21"/>
        </w:rPr>
        <w:alias w:val="选项模块:需要编制合并报表"/>
        <w:tag w:val="_GBC_bf89afc47e17438594730edb3412d929"/>
        <w:id w:val="-1870136666"/>
        <w:lock w:val="sdtLocked"/>
        <w:placeholder>
          <w:docPart w:val="GBC22222222222222222222222222222"/>
        </w:placeholder>
      </w:sdtPr>
      <w:sdtEndPr>
        <w:rPr>
          <w:rFonts w:cs="宋体-方正超大字符集"/>
          <w:b w:val="0"/>
        </w:rPr>
      </w:sdtEndPr>
      <w:sdtContent>
        <w:p w:rsidR="00ED2DC7" w:rsidRDefault="00ED2DC7">
          <w:pPr>
            <w:jc w:val="center"/>
            <w:rPr>
              <w:b/>
              <w:szCs w:val="21"/>
            </w:rPr>
          </w:pPr>
        </w:p>
        <w:sdt>
          <w:sdtPr>
            <w:rPr>
              <w:rFonts w:ascii="宋体" w:hAnsi="宋体" w:cs="宋体" w:hint="eastAsia"/>
              <w:b w:val="0"/>
              <w:bCs w:val="0"/>
              <w:kern w:val="0"/>
              <w:szCs w:val="24"/>
            </w:rPr>
            <w:tag w:val="_GBC_cc363e9840a448cbaf363887668cbe2a"/>
            <w:id w:val="-1891414474"/>
            <w:lock w:val="sdtLocked"/>
            <w:placeholder>
              <w:docPart w:val="GBC22222222222222222222222222222"/>
            </w:placeholder>
          </w:sdtPr>
          <w:sdtEndPr>
            <w:rPr>
              <w:szCs w:val="21"/>
            </w:rPr>
          </w:sdtEndPr>
          <w:sdtContent>
            <w:p w:rsidR="00ED2DC7" w:rsidRDefault="00ED2DC7">
              <w:pPr>
                <w:pStyle w:val="affffffffffffffffff1"/>
                <w:jc w:val="center"/>
              </w:pPr>
              <w:r>
                <w:rPr>
                  <w:rFonts w:hint="eastAsia"/>
                </w:rPr>
                <w:t>合并</w:t>
              </w:r>
              <w:r>
                <w:t>利润表</w:t>
              </w:r>
            </w:p>
            <w:p w:rsidR="00ED2DC7" w:rsidRDefault="00ED2DC7">
              <w:pPr>
                <w:jc w:val="center"/>
                <w:rPr>
                  <w:b/>
                  <w:bCs/>
                  <w:szCs w:val="21"/>
                </w:rPr>
              </w:pPr>
              <w:r>
                <w:rPr>
                  <w:szCs w:val="21"/>
                </w:rPr>
                <w:t>2019年</w:t>
              </w:r>
              <w:r>
                <w:rPr>
                  <w:rFonts w:hint="eastAsia"/>
                  <w:szCs w:val="21"/>
                </w:rPr>
                <w:t>1—6</w:t>
              </w:r>
              <w:r>
                <w:rPr>
                  <w:szCs w:val="21"/>
                </w:rPr>
                <w:t>月</w:t>
              </w:r>
            </w:p>
            <w:p w:rsidR="00ED2DC7" w:rsidRDefault="00ED2DC7">
              <w:pPr>
                <w:jc w:val="right"/>
                <w:rPr>
                  <w:szCs w:val="21"/>
                </w:rPr>
              </w:pPr>
              <w:r>
                <w:rPr>
                  <w:szCs w:val="21"/>
                </w:rPr>
                <w:t>单位:</w:t>
              </w:r>
              <w:sdt>
                <w:sdtPr>
                  <w:rPr>
                    <w:szCs w:val="21"/>
                  </w:rPr>
                  <w:alias w:val="单位：合并利润表"/>
                  <w:tag w:val="_GBC_4fec24feb4834b768c484fe556046382"/>
                  <w:id w:val="693182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szCs w:val="21"/>
                    </w:rPr>
                    <w:t>元</w:t>
                  </w:r>
                </w:sdtContent>
              </w:sdt>
              <w:r>
                <w:rPr>
                  <w:szCs w:val="21"/>
                </w:rPr>
                <w:t xml:space="preserve">  币种:</w:t>
              </w:r>
              <w:sdt>
                <w:sdtPr>
                  <w:rPr>
                    <w:szCs w:val="21"/>
                  </w:rPr>
                  <w:alias w:val="币种：合并利润表"/>
                  <w:tag w:val="_GBC_ae5c0d79e5694eb28ba1b8160e27a464"/>
                  <w:id w:val="5213647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szCs w:val="21"/>
                    </w:rPr>
                    <w:t>人民币</w:t>
                  </w:r>
                </w:sdtContent>
              </w:sdt>
            </w:p>
            <w:tbl>
              <w:tblPr>
                <w:tblStyle w:val="g38"/>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823"/>
                <w:gridCol w:w="992"/>
                <w:gridCol w:w="2042"/>
                <w:gridCol w:w="1966"/>
              </w:tblGrid>
              <w:tr w:rsidR="00B637B2" w:rsidTr="00B637B2">
                <w:trPr>
                  <w:cantSplit/>
                </w:trPr>
                <w:sdt>
                  <w:sdtPr>
                    <w:tag w:val="_PLD_ea01e0b0c9224fe59426c375515c2359"/>
                    <w:id w:val="-649290311"/>
                    <w:lock w:val="sdtLocked"/>
                  </w:sdtPr>
                  <w:sdtContent>
                    <w:tc>
                      <w:tcPr>
                        <w:tcW w:w="2166"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leftChars="-19" w:hangingChars="19" w:hanging="40"/>
                          <w:jc w:val="center"/>
                          <w:rPr>
                            <w:b/>
                            <w:szCs w:val="21"/>
                          </w:rPr>
                        </w:pPr>
                        <w:r>
                          <w:rPr>
                            <w:b/>
                            <w:szCs w:val="21"/>
                          </w:rPr>
                          <w:t>项目</w:t>
                        </w:r>
                      </w:p>
                    </w:tc>
                  </w:sdtContent>
                </w:sdt>
                <w:sdt>
                  <w:sdtPr>
                    <w:tag w:val="_PLD_e4f45f42e79e4a4aba892e3a7a7b123d"/>
                    <w:id w:val="549187913"/>
                    <w:lock w:val="sdtLocked"/>
                  </w:sdtPr>
                  <w:sdtContent>
                    <w:tc>
                      <w:tcPr>
                        <w:tcW w:w="562"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jc w:val="center"/>
                          <w:rPr>
                            <w:b/>
                            <w:szCs w:val="21"/>
                          </w:rPr>
                        </w:pPr>
                        <w:r>
                          <w:rPr>
                            <w:rFonts w:hint="eastAsia"/>
                            <w:b/>
                            <w:szCs w:val="21"/>
                          </w:rPr>
                          <w:t>附注</w:t>
                        </w:r>
                      </w:p>
                    </w:tc>
                  </w:sdtContent>
                </w:sdt>
                <w:sdt>
                  <w:sdtPr>
                    <w:tag w:val="_PLD_41682cdf00e5450394986df99de953d1"/>
                    <w:id w:val="-528416833"/>
                    <w:lock w:val="sdtLocked"/>
                  </w:sdtPr>
                  <w:sdtContent>
                    <w:tc>
                      <w:tcPr>
                        <w:tcW w:w="1157"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jc w:val="center"/>
                          <w:rPr>
                            <w:b/>
                            <w:szCs w:val="21"/>
                          </w:rPr>
                        </w:pPr>
                        <w:r>
                          <w:rPr>
                            <w:rFonts w:hint="eastAsia"/>
                            <w:b/>
                            <w:szCs w:val="21"/>
                          </w:rPr>
                          <w:t>2019年半年度</w:t>
                        </w:r>
                      </w:p>
                    </w:tc>
                  </w:sdtContent>
                </w:sdt>
                <w:sdt>
                  <w:sdtPr>
                    <w:tag w:val="_PLD_f020215569a54a6db2bd3d5298280e01"/>
                    <w:id w:val="-1240557125"/>
                    <w:lock w:val="sdtLocked"/>
                  </w:sdtPr>
                  <w:sdtContent>
                    <w:tc>
                      <w:tcPr>
                        <w:tcW w:w="111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jc w:val="center"/>
                          <w:rPr>
                            <w:b/>
                            <w:szCs w:val="21"/>
                          </w:rPr>
                        </w:pPr>
                        <w:r>
                          <w:rPr>
                            <w:rFonts w:hint="eastAsia"/>
                            <w:b/>
                            <w:szCs w:val="21"/>
                          </w:rPr>
                          <w:t>2018年半年度</w:t>
                        </w:r>
                      </w:p>
                    </w:tc>
                  </w:sdtContent>
                </w:sdt>
              </w:tr>
              <w:tr w:rsidR="00B637B2" w:rsidTr="00B637B2">
                <w:sdt>
                  <w:sdtPr>
                    <w:tag w:val="_PLD_2d877c352d5440b8bf7dcd1940d9f85b"/>
                    <w:id w:val="-266624026"/>
                    <w:lock w:val="sdtLocked"/>
                  </w:sdtPr>
                  <w:sdtContent>
                    <w:tc>
                      <w:tcPr>
                        <w:tcW w:w="2166"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rPr>
                            <w:color w:val="000000"/>
                            <w:szCs w:val="21"/>
                          </w:rPr>
                        </w:pPr>
                        <w:r>
                          <w:rPr>
                            <w:rFonts w:hint="eastAsia"/>
                            <w:szCs w:val="21"/>
                          </w:rPr>
                          <w:t>一、营业总收入</w:t>
                        </w:r>
                      </w:p>
                    </w:tc>
                  </w:sdtContent>
                </w:sdt>
                <w:tc>
                  <w:tcPr>
                    <w:tcW w:w="562"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sidRPr="00144C3E">
                      <w:t>3,313,006,831</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sidRPr="00144C3E">
                      <w:t>3,005,703,090</w:t>
                    </w:r>
                  </w:p>
                </w:tc>
              </w:tr>
              <w:tr w:rsidR="00B637B2" w:rsidTr="00B637B2">
                <w:sdt>
                  <w:sdtPr>
                    <w:tag w:val="_PLD_7f7b1fb368014debb0a48d797b8c9159"/>
                    <w:id w:val="-34049913"/>
                    <w:lock w:val="sdtLocked"/>
                  </w:sdtPr>
                  <w:sdtContent>
                    <w:tc>
                      <w:tcPr>
                        <w:tcW w:w="2166"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rPr>
                            <w:color w:val="000000"/>
                            <w:szCs w:val="21"/>
                          </w:rPr>
                        </w:pPr>
                        <w:r>
                          <w:rPr>
                            <w:rFonts w:hint="eastAsia"/>
                            <w:szCs w:val="21"/>
                          </w:rPr>
                          <w:t>其中：营业收入</w:t>
                        </w:r>
                      </w:p>
                    </w:tc>
                  </w:sdtContent>
                </w:sdt>
                <w:tc>
                  <w:tcPr>
                    <w:tcW w:w="562" w:type="pct"/>
                    <w:tcBorders>
                      <w:top w:val="outset" w:sz="4" w:space="0" w:color="auto"/>
                      <w:left w:val="outset" w:sz="4" w:space="0" w:color="auto"/>
                      <w:bottom w:val="outset" w:sz="4" w:space="0" w:color="auto"/>
                      <w:right w:val="outset" w:sz="4" w:space="0" w:color="auto"/>
                    </w:tcBorders>
                  </w:tcPr>
                  <w:p w:rsidR="00B637B2" w:rsidRDefault="008F04CF" w:rsidP="00B637B2">
                    <w:pPr>
                      <w:rPr>
                        <w:szCs w:val="21"/>
                      </w:rPr>
                    </w:pPr>
                    <w:r>
                      <w:rPr>
                        <w:rFonts w:hint="eastAsia"/>
                        <w:szCs w:val="21"/>
                      </w:rPr>
                      <w:t>七、61</w:t>
                    </w: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sidRPr="00144C3E">
                      <w:t>3,313,006,831</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sidRPr="00144C3E">
                      <w:t>3,005,703,090</w:t>
                    </w:r>
                  </w:p>
                </w:tc>
              </w:tr>
              <w:tr w:rsidR="00B637B2" w:rsidTr="00B637B2">
                <w:sdt>
                  <w:sdtPr>
                    <w:tag w:val="_PLD_4bb4a9195510467caafeb8cff0762036"/>
                    <w:id w:val="881992602"/>
                    <w:lock w:val="sdtLocked"/>
                  </w:sdtPr>
                  <w:sdtContent>
                    <w:tc>
                      <w:tcPr>
                        <w:tcW w:w="2166"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300" w:firstLine="630"/>
                          <w:rPr>
                            <w:color w:val="000000"/>
                            <w:szCs w:val="21"/>
                          </w:rPr>
                        </w:pPr>
                        <w:r>
                          <w:rPr>
                            <w:rFonts w:hint="eastAsia"/>
                            <w:szCs w:val="21"/>
                          </w:rPr>
                          <w:t>利息收入</w:t>
                        </w:r>
                      </w:p>
                    </w:tc>
                  </w:sdtContent>
                </w:sdt>
                <w:tc>
                  <w:tcPr>
                    <w:tcW w:w="562"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sidRPr="00144C3E">
                      <w:t>-</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sidRPr="00144C3E">
                      <w:t>-</w:t>
                    </w:r>
                  </w:p>
                </w:tc>
              </w:tr>
              <w:tr w:rsidR="00B637B2" w:rsidTr="00B637B2">
                <w:sdt>
                  <w:sdtPr>
                    <w:tag w:val="_PLD_30359468eba04ffa9f75eced8813c7f6"/>
                    <w:id w:val="680791040"/>
                    <w:lock w:val="sdtLocked"/>
                  </w:sdtPr>
                  <w:sdtContent>
                    <w:tc>
                      <w:tcPr>
                        <w:tcW w:w="2166"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300" w:firstLine="630"/>
                          <w:rPr>
                            <w:szCs w:val="21"/>
                          </w:rPr>
                        </w:pPr>
                        <w:r>
                          <w:rPr>
                            <w:rFonts w:hint="eastAsia"/>
                            <w:szCs w:val="21"/>
                          </w:rPr>
                          <w:t>已赚保费</w:t>
                        </w:r>
                      </w:p>
                    </w:tc>
                  </w:sdtContent>
                </w:sdt>
                <w:tc>
                  <w:tcPr>
                    <w:tcW w:w="562"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sidRPr="00144C3E">
                      <w:t>-</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sidRPr="00144C3E">
                      <w:t>-</w:t>
                    </w:r>
                  </w:p>
                </w:tc>
              </w:tr>
              <w:tr w:rsidR="00B637B2" w:rsidTr="00B637B2">
                <w:sdt>
                  <w:sdtPr>
                    <w:tag w:val="_PLD_b7b3fd7ce91b4e7e9b50735409fad4b2"/>
                    <w:id w:val="-1710326322"/>
                    <w:lock w:val="sdtLocked"/>
                  </w:sdtPr>
                  <w:sdtContent>
                    <w:tc>
                      <w:tcPr>
                        <w:tcW w:w="2166"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300" w:firstLine="630"/>
                          <w:rPr>
                            <w:szCs w:val="21"/>
                          </w:rPr>
                        </w:pPr>
                        <w:r>
                          <w:rPr>
                            <w:rFonts w:hint="eastAsia"/>
                            <w:szCs w:val="21"/>
                          </w:rPr>
                          <w:t>手续费及佣金收入</w:t>
                        </w:r>
                      </w:p>
                    </w:tc>
                  </w:sdtContent>
                </w:sdt>
                <w:tc>
                  <w:tcPr>
                    <w:tcW w:w="562"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sidRPr="00144C3E">
                      <w:t>-</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sidRPr="00144C3E">
                      <w:t>-</w:t>
                    </w:r>
                  </w:p>
                </w:tc>
              </w:tr>
              <w:tr w:rsidR="00B637B2" w:rsidTr="00B637B2">
                <w:sdt>
                  <w:sdtPr>
                    <w:tag w:val="_PLD_f666055067944f82816d6d4acfa0eb4c"/>
                    <w:id w:val="-1299144936"/>
                    <w:lock w:val="sdtLocked"/>
                  </w:sdtPr>
                  <w:sdtContent>
                    <w:tc>
                      <w:tcPr>
                        <w:tcW w:w="2166"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rPr>
                            <w:color w:val="000000"/>
                            <w:szCs w:val="21"/>
                          </w:rPr>
                        </w:pPr>
                        <w:r>
                          <w:rPr>
                            <w:rFonts w:hint="eastAsia"/>
                            <w:szCs w:val="21"/>
                          </w:rPr>
                          <w:t>二、营业总成本</w:t>
                        </w:r>
                      </w:p>
                    </w:tc>
                  </w:sdtContent>
                </w:sdt>
                <w:tc>
                  <w:tcPr>
                    <w:tcW w:w="562"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144C3E" w:rsidRDefault="00036BDC" w:rsidP="00B637B2">
                    <w:pPr>
                      <w:jc w:val="right"/>
                    </w:pPr>
                    <w:r w:rsidRPr="006648A4">
                      <w:t>3,097,637,951</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144C3E" w:rsidRDefault="00036BDC" w:rsidP="00B637B2">
                    <w:pPr>
                      <w:jc w:val="right"/>
                    </w:pPr>
                    <w:r w:rsidRPr="006648A4">
                      <w:t>2,796,831,232</w:t>
                    </w:r>
                  </w:p>
                </w:tc>
              </w:tr>
              <w:tr w:rsidR="00B637B2" w:rsidTr="00B637B2">
                <w:sdt>
                  <w:sdtPr>
                    <w:tag w:val="_PLD_21171334ba69445a843af4e467f2f7b1"/>
                    <w:id w:val="-1078507967"/>
                    <w:lock w:val="sdtLocked"/>
                  </w:sdtPr>
                  <w:sdtContent>
                    <w:tc>
                      <w:tcPr>
                        <w:tcW w:w="2166"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rPr>
                            <w:color w:val="000000"/>
                            <w:szCs w:val="21"/>
                          </w:rPr>
                        </w:pPr>
                        <w:r>
                          <w:rPr>
                            <w:rFonts w:hint="eastAsia"/>
                            <w:szCs w:val="21"/>
                          </w:rPr>
                          <w:t>其中：营业成本</w:t>
                        </w:r>
                      </w:p>
                    </w:tc>
                  </w:sdtContent>
                </w:sdt>
                <w:tc>
                  <w:tcPr>
                    <w:tcW w:w="562" w:type="pct"/>
                    <w:tcBorders>
                      <w:top w:val="outset" w:sz="4" w:space="0" w:color="auto"/>
                      <w:left w:val="outset" w:sz="4" w:space="0" w:color="auto"/>
                      <w:bottom w:val="outset" w:sz="4" w:space="0" w:color="auto"/>
                      <w:right w:val="outset" w:sz="4" w:space="0" w:color="auto"/>
                    </w:tcBorders>
                  </w:tcPr>
                  <w:p w:rsidR="00B637B2" w:rsidRDefault="008F04CF" w:rsidP="00B637B2">
                    <w:pPr>
                      <w:rPr>
                        <w:szCs w:val="21"/>
                      </w:rPr>
                    </w:pPr>
                    <w:r>
                      <w:rPr>
                        <w:rFonts w:hint="eastAsia"/>
                        <w:szCs w:val="21"/>
                      </w:rPr>
                      <w:t>七、61</w:t>
                    </w: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sidRPr="00144C3E">
                      <w:t>1,126,448,420</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sidRPr="00144C3E">
                      <w:t>934,640,953</w:t>
                    </w:r>
                  </w:p>
                </w:tc>
              </w:tr>
              <w:tr w:rsidR="00B637B2" w:rsidTr="00B637B2">
                <w:sdt>
                  <w:sdtPr>
                    <w:tag w:val="_PLD_63933a3d083f4e46896b598fd5ce81e0"/>
                    <w:id w:val="2023660736"/>
                    <w:lock w:val="sdtLocked"/>
                  </w:sdtPr>
                  <w:sdtContent>
                    <w:tc>
                      <w:tcPr>
                        <w:tcW w:w="2166"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300" w:firstLine="630"/>
                          <w:rPr>
                            <w:szCs w:val="21"/>
                          </w:rPr>
                        </w:pPr>
                        <w:r>
                          <w:rPr>
                            <w:rFonts w:hint="eastAsia"/>
                            <w:szCs w:val="21"/>
                          </w:rPr>
                          <w:t>利息支出</w:t>
                        </w:r>
                      </w:p>
                    </w:tc>
                  </w:sdtContent>
                </w:sdt>
                <w:tc>
                  <w:tcPr>
                    <w:tcW w:w="562"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sidRPr="00144C3E">
                      <w:t>-</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sidRPr="00144C3E">
                      <w:t>-</w:t>
                    </w:r>
                  </w:p>
                </w:tc>
              </w:tr>
              <w:tr w:rsidR="00B637B2" w:rsidTr="00B637B2">
                <w:sdt>
                  <w:sdtPr>
                    <w:tag w:val="_PLD_934fe982f64044ad97c0d08ecb41b364"/>
                    <w:id w:val="-1016004982"/>
                    <w:lock w:val="sdtLocked"/>
                  </w:sdtPr>
                  <w:sdtContent>
                    <w:tc>
                      <w:tcPr>
                        <w:tcW w:w="2166"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300" w:firstLine="630"/>
                          <w:rPr>
                            <w:szCs w:val="21"/>
                          </w:rPr>
                        </w:pPr>
                        <w:r>
                          <w:rPr>
                            <w:rFonts w:hint="eastAsia"/>
                            <w:szCs w:val="21"/>
                          </w:rPr>
                          <w:t>手续费及佣金支出</w:t>
                        </w:r>
                      </w:p>
                    </w:tc>
                  </w:sdtContent>
                </w:sdt>
                <w:tc>
                  <w:tcPr>
                    <w:tcW w:w="562"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sidRPr="00144C3E">
                      <w:t>-</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sidRPr="00144C3E">
                      <w:t>-</w:t>
                    </w:r>
                  </w:p>
                </w:tc>
              </w:tr>
              <w:tr w:rsidR="00B637B2" w:rsidTr="00B637B2">
                <w:sdt>
                  <w:sdtPr>
                    <w:tag w:val="_PLD_eaafee5ba2dd4351ac6567c52b90028d"/>
                    <w:id w:val="1618174789"/>
                    <w:lock w:val="sdtLocked"/>
                  </w:sdtPr>
                  <w:sdtContent>
                    <w:tc>
                      <w:tcPr>
                        <w:tcW w:w="2166"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300" w:firstLine="630"/>
                          <w:rPr>
                            <w:szCs w:val="21"/>
                          </w:rPr>
                        </w:pPr>
                        <w:r>
                          <w:rPr>
                            <w:rFonts w:hint="eastAsia"/>
                            <w:szCs w:val="21"/>
                          </w:rPr>
                          <w:t>退保金</w:t>
                        </w:r>
                      </w:p>
                    </w:tc>
                  </w:sdtContent>
                </w:sdt>
                <w:tc>
                  <w:tcPr>
                    <w:tcW w:w="562"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sidRPr="00144C3E">
                      <w:t>-</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sidRPr="00144C3E">
                      <w:t>-</w:t>
                    </w:r>
                  </w:p>
                </w:tc>
              </w:tr>
              <w:tr w:rsidR="00B637B2" w:rsidTr="00B637B2">
                <w:sdt>
                  <w:sdtPr>
                    <w:tag w:val="_PLD_d2b12062f8d44ca990403c69bec23c10"/>
                    <w:id w:val="-1527403510"/>
                    <w:lock w:val="sdtLocked"/>
                  </w:sdtPr>
                  <w:sdtContent>
                    <w:tc>
                      <w:tcPr>
                        <w:tcW w:w="2166"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300" w:firstLine="630"/>
                          <w:rPr>
                            <w:szCs w:val="21"/>
                          </w:rPr>
                        </w:pPr>
                        <w:r>
                          <w:rPr>
                            <w:rFonts w:hint="eastAsia"/>
                            <w:szCs w:val="21"/>
                          </w:rPr>
                          <w:t>赔付支出净额</w:t>
                        </w:r>
                      </w:p>
                    </w:tc>
                  </w:sdtContent>
                </w:sdt>
                <w:tc>
                  <w:tcPr>
                    <w:tcW w:w="562"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sidRPr="00144C3E">
                      <w:t>-</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sidRPr="00144C3E">
                      <w:t>-</w:t>
                    </w:r>
                  </w:p>
                </w:tc>
              </w:tr>
              <w:tr w:rsidR="00B637B2" w:rsidTr="00B637B2">
                <w:sdt>
                  <w:sdtPr>
                    <w:tag w:val="_PLD_875c876824d140a6b5076aa4e7f82db5"/>
                    <w:id w:val="1503315475"/>
                    <w:lock w:val="sdtLocked"/>
                  </w:sdtPr>
                  <w:sdtContent>
                    <w:tc>
                      <w:tcPr>
                        <w:tcW w:w="2166"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300" w:firstLine="630"/>
                          <w:rPr>
                            <w:szCs w:val="21"/>
                          </w:rPr>
                        </w:pPr>
                        <w:r>
                          <w:rPr>
                            <w:rFonts w:hint="eastAsia"/>
                            <w:szCs w:val="21"/>
                          </w:rPr>
                          <w:t>提取保险合同准备金净额</w:t>
                        </w:r>
                      </w:p>
                    </w:tc>
                  </w:sdtContent>
                </w:sdt>
                <w:tc>
                  <w:tcPr>
                    <w:tcW w:w="562"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sidRPr="00144C3E">
                      <w:t>-</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sidRPr="00144C3E">
                      <w:t>-</w:t>
                    </w:r>
                  </w:p>
                </w:tc>
              </w:tr>
              <w:tr w:rsidR="00B637B2" w:rsidTr="00B637B2">
                <w:sdt>
                  <w:sdtPr>
                    <w:tag w:val="_PLD_9d4d1ca3123b4cdc816e88724acaf725"/>
                    <w:id w:val="729500685"/>
                    <w:lock w:val="sdtLocked"/>
                  </w:sdtPr>
                  <w:sdtContent>
                    <w:tc>
                      <w:tcPr>
                        <w:tcW w:w="2166"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300" w:firstLine="630"/>
                          <w:rPr>
                            <w:szCs w:val="21"/>
                          </w:rPr>
                        </w:pPr>
                        <w:r>
                          <w:rPr>
                            <w:rFonts w:hint="eastAsia"/>
                            <w:szCs w:val="21"/>
                          </w:rPr>
                          <w:t>保单红利支出</w:t>
                        </w:r>
                      </w:p>
                    </w:tc>
                  </w:sdtContent>
                </w:sdt>
                <w:tc>
                  <w:tcPr>
                    <w:tcW w:w="562"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sidRPr="00144C3E">
                      <w:t>-</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sidRPr="00144C3E">
                      <w:t>-</w:t>
                    </w:r>
                  </w:p>
                </w:tc>
              </w:tr>
              <w:tr w:rsidR="00B637B2" w:rsidTr="00B637B2">
                <w:sdt>
                  <w:sdtPr>
                    <w:tag w:val="_PLD_c70ac86a67b244f1a170db9b0705b55a"/>
                    <w:id w:val="-534957218"/>
                    <w:lock w:val="sdtLocked"/>
                  </w:sdtPr>
                  <w:sdtContent>
                    <w:tc>
                      <w:tcPr>
                        <w:tcW w:w="2166"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300" w:firstLine="630"/>
                          <w:rPr>
                            <w:szCs w:val="21"/>
                          </w:rPr>
                        </w:pPr>
                        <w:r>
                          <w:rPr>
                            <w:rFonts w:hint="eastAsia"/>
                            <w:szCs w:val="21"/>
                          </w:rPr>
                          <w:t>分保费用</w:t>
                        </w:r>
                      </w:p>
                    </w:tc>
                  </w:sdtContent>
                </w:sdt>
                <w:tc>
                  <w:tcPr>
                    <w:tcW w:w="562"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sidRPr="00144C3E">
                      <w:t>-</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sidRPr="00144C3E">
                      <w:t>-</w:t>
                    </w:r>
                  </w:p>
                </w:tc>
              </w:tr>
              <w:tr w:rsidR="00B637B2" w:rsidTr="00B637B2">
                <w:sdt>
                  <w:sdtPr>
                    <w:tag w:val="_PLD_06c17ba723b44617ab108e2265705c9e"/>
                    <w:id w:val="-377466858"/>
                    <w:lock w:val="sdtLocked"/>
                  </w:sdtPr>
                  <w:sdtContent>
                    <w:tc>
                      <w:tcPr>
                        <w:tcW w:w="2166"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300" w:firstLine="630"/>
                          <w:rPr>
                            <w:szCs w:val="21"/>
                          </w:rPr>
                        </w:pPr>
                        <w:r>
                          <w:rPr>
                            <w:rFonts w:hint="eastAsia"/>
                            <w:szCs w:val="21"/>
                          </w:rPr>
                          <w:t>税金及附加</w:t>
                        </w:r>
                      </w:p>
                    </w:tc>
                  </w:sdtContent>
                </w:sdt>
                <w:tc>
                  <w:tcPr>
                    <w:tcW w:w="562" w:type="pct"/>
                    <w:tcBorders>
                      <w:top w:val="outset" w:sz="4" w:space="0" w:color="auto"/>
                      <w:left w:val="outset" w:sz="4" w:space="0" w:color="auto"/>
                      <w:bottom w:val="outset" w:sz="4" w:space="0" w:color="auto"/>
                      <w:right w:val="outset" w:sz="4" w:space="0" w:color="auto"/>
                    </w:tcBorders>
                  </w:tcPr>
                  <w:p w:rsidR="00B637B2" w:rsidRDefault="008F04CF" w:rsidP="00B637B2">
                    <w:pPr>
                      <w:rPr>
                        <w:szCs w:val="21"/>
                      </w:rPr>
                    </w:pPr>
                    <w:r>
                      <w:rPr>
                        <w:rFonts w:hint="eastAsia"/>
                        <w:szCs w:val="21"/>
                      </w:rPr>
                      <w:t>七、6</w:t>
                    </w:r>
                    <w:r>
                      <w:rPr>
                        <w:szCs w:val="21"/>
                      </w:rPr>
                      <w:t>2</w:t>
                    </w: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sidRPr="00144C3E">
                      <w:t>50,445,111</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sidRPr="00144C3E">
                      <w:t>46,683,153</w:t>
                    </w:r>
                  </w:p>
                </w:tc>
              </w:tr>
              <w:tr w:rsidR="00B637B2" w:rsidTr="00B637B2">
                <w:sdt>
                  <w:sdtPr>
                    <w:tag w:val="_PLD_a3b8d65ff4ec461aa0e45656973f9d4f"/>
                    <w:id w:val="-1016845341"/>
                    <w:lock w:val="sdtLocked"/>
                  </w:sdtPr>
                  <w:sdtContent>
                    <w:tc>
                      <w:tcPr>
                        <w:tcW w:w="2166"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300" w:firstLine="630"/>
                          <w:rPr>
                            <w:szCs w:val="21"/>
                          </w:rPr>
                        </w:pPr>
                        <w:r>
                          <w:rPr>
                            <w:rFonts w:hint="eastAsia"/>
                            <w:szCs w:val="21"/>
                          </w:rPr>
                          <w:t>销售费用</w:t>
                        </w:r>
                      </w:p>
                    </w:tc>
                  </w:sdtContent>
                </w:sdt>
                <w:tc>
                  <w:tcPr>
                    <w:tcW w:w="562" w:type="pct"/>
                    <w:tcBorders>
                      <w:top w:val="outset" w:sz="4" w:space="0" w:color="auto"/>
                      <w:left w:val="outset" w:sz="4" w:space="0" w:color="auto"/>
                      <w:bottom w:val="outset" w:sz="4" w:space="0" w:color="auto"/>
                      <w:right w:val="outset" w:sz="4" w:space="0" w:color="auto"/>
                    </w:tcBorders>
                  </w:tcPr>
                  <w:p w:rsidR="00B637B2" w:rsidRDefault="008F04CF" w:rsidP="00B637B2">
                    <w:pPr>
                      <w:rPr>
                        <w:szCs w:val="21"/>
                      </w:rPr>
                    </w:pPr>
                    <w:r>
                      <w:rPr>
                        <w:rFonts w:hint="eastAsia"/>
                        <w:szCs w:val="21"/>
                      </w:rPr>
                      <w:t>七、6</w:t>
                    </w:r>
                    <w:r>
                      <w:rPr>
                        <w:szCs w:val="21"/>
                      </w:rPr>
                      <w:t>3</w:t>
                    </w: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sidRPr="00144C3E">
                      <w:t>584,161,462</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sidRPr="00144C3E">
                      <w:t>596,651,632</w:t>
                    </w:r>
                  </w:p>
                </w:tc>
              </w:tr>
              <w:tr w:rsidR="00B637B2" w:rsidTr="00B637B2">
                <w:sdt>
                  <w:sdtPr>
                    <w:tag w:val="_PLD_bed77e0a08324462af3ef7a5005bb139"/>
                    <w:id w:val="-249350164"/>
                    <w:lock w:val="sdtLocked"/>
                  </w:sdtPr>
                  <w:sdtContent>
                    <w:tc>
                      <w:tcPr>
                        <w:tcW w:w="2166"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300" w:firstLine="630"/>
                          <w:rPr>
                            <w:szCs w:val="21"/>
                          </w:rPr>
                        </w:pPr>
                        <w:r>
                          <w:rPr>
                            <w:rFonts w:hint="eastAsia"/>
                            <w:szCs w:val="21"/>
                          </w:rPr>
                          <w:t>管理费用</w:t>
                        </w:r>
                      </w:p>
                    </w:tc>
                  </w:sdtContent>
                </w:sdt>
                <w:tc>
                  <w:tcPr>
                    <w:tcW w:w="562" w:type="pct"/>
                    <w:tcBorders>
                      <w:top w:val="outset" w:sz="4" w:space="0" w:color="auto"/>
                      <w:left w:val="outset" w:sz="4" w:space="0" w:color="auto"/>
                      <w:bottom w:val="outset" w:sz="4" w:space="0" w:color="auto"/>
                      <w:right w:val="outset" w:sz="4" w:space="0" w:color="auto"/>
                    </w:tcBorders>
                  </w:tcPr>
                  <w:p w:rsidR="00B637B2" w:rsidRDefault="008F04CF" w:rsidP="00B637B2">
                    <w:pPr>
                      <w:rPr>
                        <w:szCs w:val="21"/>
                      </w:rPr>
                    </w:pPr>
                    <w:r>
                      <w:rPr>
                        <w:rFonts w:hint="eastAsia"/>
                        <w:szCs w:val="21"/>
                      </w:rPr>
                      <w:t>七、6</w:t>
                    </w:r>
                    <w:r>
                      <w:rPr>
                        <w:szCs w:val="21"/>
                      </w:rPr>
                      <w:t>4</w:t>
                    </w: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sidRPr="00144C3E">
                      <w:t>539,906,471</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sidRPr="00144C3E">
                      <w:t>570,583,756</w:t>
                    </w:r>
                  </w:p>
                </w:tc>
              </w:tr>
              <w:tr w:rsidR="00B637B2" w:rsidTr="00B637B2">
                <w:tc>
                  <w:tcPr>
                    <w:tcW w:w="2166"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016c8567363a4b4facb5a9c7d99f206b"/>
                      <w:id w:val="-1489473456"/>
                      <w:lock w:val="sdtLocked"/>
                    </w:sdtPr>
                    <w:sdtContent>
                      <w:p w:rsidR="00B637B2" w:rsidRDefault="008F04CF" w:rsidP="00B637B2">
                        <w:pPr>
                          <w:ind w:firstLineChars="300" w:firstLine="630"/>
                        </w:pPr>
                        <w:r>
                          <w:rPr>
                            <w:rFonts w:hint="eastAsia"/>
                          </w:rPr>
                          <w:t>研发费用</w:t>
                        </w:r>
                      </w:p>
                    </w:sdtContent>
                  </w:sdt>
                </w:tc>
                <w:tc>
                  <w:tcPr>
                    <w:tcW w:w="562" w:type="pct"/>
                    <w:tcBorders>
                      <w:top w:val="outset" w:sz="4" w:space="0" w:color="auto"/>
                      <w:left w:val="outset" w:sz="4" w:space="0" w:color="auto"/>
                      <w:bottom w:val="outset" w:sz="4" w:space="0" w:color="auto"/>
                      <w:right w:val="outset" w:sz="4" w:space="0" w:color="auto"/>
                    </w:tcBorders>
                  </w:tcPr>
                  <w:p w:rsidR="00B637B2" w:rsidRDefault="008F04CF" w:rsidP="00B637B2">
                    <w:pPr>
                      <w:rPr>
                        <w:szCs w:val="21"/>
                      </w:rPr>
                    </w:pPr>
                    <w:r>
                      <w:rPr>
                        <w:rFonts w:hint="eastAsia"/>
                        <w:szCs w:val="21"/>
                      </w:rPr>
                      <w:t>七、6</w:t>
                    </w:r>
                    <w:r>
                      <w:rPr>
                        <w:szCs w:val="21"/>
                      </w:rPr>
                      <w:t>5</w:t>
                    </w: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sidRPr="00144C3E">
                      <w:t>739,692,423</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sidRPr="00144C3E">
                      <w:t>589,193,711</w:t>
                    </w:r>
                  </w:p>
                </w:tc>
              </w:tr>
              <w:tr w:rsidR="00B637B2" w:rsidTr="00B637B2">
                <w:sdt>
                  <w:sdtPr>
                    <w:tag w:val="_PLD_6faf3cf39dfa4fd1925e0d9be4566671"/>
                    <w:id w:val="-75597551"/>
                    <w:lock w:val="sdtLocked"/>
                  </w:sdtPr>
                  <w:sdtContent>
                    <w:tc>
                      <w:tcPr>
                        <w:tcW w:w="2166"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300" w:firstLine="630"/>
                          <w:rPr>
                            <w:szCs w:val="21"/>
                          </w:rPr>
                        </w:pPr>
                        <w:r>
                          <w:rPr>
                            <w:rFonts w:hint="eastAsia"/>
                            <w:szCs w:val="21"/>
                          </w:rPr>
                          <w:t>财务费用</w:t>
                        </w:r>
                      </w:p>
                    </w:tc>
                  </w:sdtContent>
                </w:sdt>
                <w:tc>
                  <w:tcPr>
                    <w:tcW w:w="562" w:type="pct"/>
                    <w:tcBorders>
                      <w:top w:val="outset" w:sz="4" w:space="0" w:color="auto"/>
                      <w:left w:val="outset" w:sz="4" w:space="0" w:color="auto"/>
                      <w:bottom w:val="outset" w:sz="4" w:space="0" w:color="auto"/>
                      <w:right w:val="outset" w:sz="4" w:space="0" w:color="auto"/>
                    </w:tcBorders>
                  </w:tcPr>
                  <w:p w:rsidR="00B637B2" w:rsidRDefault="008F04CF" w:rsidP="00B637B2">
                    <w:pPr>
                      <w:rPr>
                        <w:szCs w:val="21"/>
                      </w:rPr>
                    </w:pPr>
                    <w:r>
                      <w:rPr>
                        <w:rFonts w:hint="eastAsia"/>
                        <w:szCs w:val="21"/>
                      </w:rPr>
                      <w:t>七、6</w:t>
                    </w:r>
                    <w:r>
                      <w:rPr>
                        <w:szCs w:val="21"/>
                      </w:rPr>
                      <w:t>6</w:t>
                    </w: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sidRPr="00144C3E">
                      <w:t>56,984,064</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sidRPr="00144C3E">
                      <w:t>59,078,027</w:t>
                    </w:r>
                  </w:p>
                </w:tc>
              </w:tr>
              <w:tr w:rsidR="00B637B2" w:rsidTr="00B637B2">
                <w:tc>
                  <w:tcPr>
                    <w:tcW w:w="2166"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8e9b72af75c437aafc0c975b29e2a55"/>
                      <w:id w:val="-596645273"/>
                      <w:lock w:val="sdtLocked"/>
                    </w:sdtPr>
                    <w:sdtContent>
                      <w:p w:rsidR="00B637B2" w:rsidRDefault="008F04CF" w:rsidP="00B637B2">
                        <w:pPr>
                          <w:ind w:firstLineChars="300" w:firstLine="630"/>
                        </w:pPr>
                        <w:r>
                          <w:rPr>
                            <w:rFonts w:hint="eastAsia"/>
                          </w:rPr>
                          <w:t>其中：利息费用</w:t>
                        </w:r>
                      </w:p>
                    </w:sdtContent>
                  </w:sdt>
                </w:tc>
                <w:tc>
                  <w:tcPr>
                    <w:tcW w:w="562" w:type="pct"/>
                    <w:tcBorders>
                      <w:top w:val="outset" w:sz="4" w:space="0" w:color="auto"/>
                      <w:left w:val="outset" w:sz="4" w:space="0" w:color="auto"/>
                      <w:bottom w:val="outset" w:sz="4" w:space="0" w:color="auto"/>
                      <w:right w:val="outset" w:sz="4" w:space="0" w:color="auto"/>
                    </w:tcBorders>
                  </w:tcPr>
                  <w:p w:rsidR="00B637B2" w:rsidRDefault="008F04CF" w:rsidP="00B637B2">
                    <w:pPr>
                      <w:rPr>
                        <w:szCs w:val="21"/>
                      </w:rPr>
                    </w:pPr>
                    <w:r>
                      <w:rPr>
                        <w:rFonts w:hint="eastAsia"/>
                        <w:szCs w:val="21"/>
                      </w:rPr>
                      <w:t>七、6</w:t>
                    </w:r>
                    <w:r>
                      <w:rPr>
                        <w:szCs w:val="21"/>
                      </w:rPr>
                      <w:t>6</w:t>
                    </w: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sidRPr="00144C3E">
                      <w:t>86,959,910</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144C3E" w:rsidRDefault="00036BDC" w:rsidP="00B637B2">
                    <w:pPr>
                      <w:jc w:val="right"/>
                    </w:pPr>
                    <w:r w:rsidRPr="00D43D4E">
                      <w:t>90,490,030</w:t>
                    </w:r>
                  </w:p>
                </w:tc>
              </w:tr>
              <w:tr w:rsidR="00B637B2" w:rsidTr="00B637B2">
                <w:tc>
                  <w:tcPr>
                    <w:tcW w:w="2166"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9295ba98b84473595f32450ae66410e"/>
                      <w:id w:val="-294146619"/>
                      <w:lock w:val="sdtLocked"/>
                    </w:sdtPr>
                    <w:sdtContent>
                      <w:p w:rsidR="00B637B2" w:rsidRDefault="008F04CF" w:rsidP="00B637B2">
                        <w:pPr>
                          <w:ind w:firstLineChars="600" w:firstLine="1260"/>
                        </w:pPr>
                        <w:r>
                          <w:rPr>
                            <w:rFonts w:hint="eastAsia"/>
                          </w:rPr>
                          <w:t>利息收入</w:t>
                        </w:r>
                      </w:p>
                    </w:sdtContent>
                  </w:sdt>
                </w:tc>
                <w:tc>
                  <w:tcPr>
                    <w:tcW w:w="562" w:type="pct"/>
                    <w:tcBorders>
                      <w:top w:val="outset" w:sz="4" w:space="0" w:color="auto"/>
                      <w:left w:val="outset" w:sz="4" w:space="0" w:color="auto"/>
                      <w:bottom w:val="outset" w:sz="4" w:space="0" w:color="auto"/>
                      <w:right w:val="outset" w:sz="4" w:space="0" w:color="auto"/>
                    </w:tcBorders>
                  </w:tcPr>
                  <w:p w:rsidR="00B637B2" w:rsidRDefault="008F04CF" w:rsidP="00B637B2">
                    <w:pPr>
                      <w:rPr>
                        <w:szCs w:val="21"/>
                      </w:rPr>
                    </w:pPr>
                    <w:r>
                      <w:rPr>
                        <w:rFonts w:hint="eastAsia"/>
                        <w:szCs w:val="21"/>
                      </w:rPr>
                      <w:t>七、6</w:t>
                    </w:r>
                    <w:r>
                      <w:rPr>
                        <w:szCs w:val="21"/>
                      </w:rPr>
                      <w:t>6</w:t>
                    </w: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sidRPr="00144C3E">
                      <w:t>32,777,877</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sidRPr="00144C3E">
                      <w:t>32,740,131</w:t>
                    </w:r>
                  </w:p>
                </w:tc>
              </w:tr>
              <w:tr w:rsidR="00B637B2" w:rsidTr="00B637B2">
                <w:sdt>
                  <w:sdtPr>
                    <w:tag w:val="_PLD_c5148208867748028cb9d238ab2addb6"/>
                    <w:id w:val="-1350180497"/>
                    <w:lock w:val="sdtLocked"/>
                  </w:sdtPr>
                  <w:sdtContent>
                    <w:tc>
                      <w:tcPr>
                        <w:tcW w:w="2166"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rPr>
                          <w:t>加：</w:t>
                        </w:r>
                        <w:r>
                          <w:rPr>
                            <w:rFonts w:hint="eastAsia"/>
                            <w:szCs w:val="21"/>
                          </w:rPr>
                          <w:t>其他收益</w:t>
                        </w:r>
                      </w:p>
                    </w:tc>
                  </w:sdtContent>
                </w:sdt>
                <w:tc>
                  <w:tcPr>
                    <w:tcW w:w="562" w:type="pct"/>
                    <w:tcBorders>
                      <w:top w:val="outset" w:sz="4" w:space="0" w:color="auto"/>
                      <w:left w:val="outset" w:sz="4" w:space="0" w:color="auto"/>
                      <w:bottom w:val="outset" w:sz="4" w:space="0" w:color="auto"/>
                      <w:right w:val="outset" w:sz="4" w:space="0" w:color="auto"/>
                    </w:tcBorders>
                  </w:tcPr>
                  <w:p w:rsidR="00B637B2" w:rsidRDefault="008F04CF" w:rsidP="00B637B2">
                    <w:pPr>
                      <w:rPr>
                        <w:szCs w:val="21"/>
                      </w:rPr>
                    </w:pPr>
                    <w:r>
                      <w:rPr>
                        <w:rFonts w:hint="eastAsia"/>
                        <w:szCs w:val="21"/>
                      </w:rPr>
                      <w:t>七、6</w:t>
                    </w:r>
                    <w:r>
                      <w:rPr>
                        <w:szCs w:val="21"/>
                      </w:rPr>
                      <w:t>7</w:t>
                    </w: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sidRPr="00144C3E">
                      <w:t>215,774,740</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sidRPr="00144C3E">
                      <w:t>192,610,998</w:t>
                    </w:r>
                  </w:p>
                </w:tc>
              </w:tr>
              <w:tr w:rsidR="00B637B2" w:rsidTr="00B637B2">
                <w:sdt>
                  <w:sdtPr>
                    <w:tag w:val="_PLD_c58a027e2ee74b79b026fbba720ccf3a"/>
                    <w:id w:val="-601646613"/>
                    <w:lock w:val="sdtLocked"/>
                  </w:sdtPr>
                  <w:sdtContent>
                    <w:tc>
                      <w:tcPr>
                        <w:tcW w:w="2166"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300" w:firstLine="630"/>
                          <w:rPr>
                            <w:szCs w:val="21"/>
                          </w:rPr>
                        </w:pPr>
                        <w:r>
                          <w:rPr>
                            <w:rFonts w:hint="eastAsia"/>
                            <w:szCs w:val="21"/>
                          </w:rPr>
                          <w:t>投资收益（损失以“－”号填列）</w:t>
                        </w:r>
                      </w:p>
                    </w:tc>
                  </w:sdtContent>
                </w:sdt>
                <w:tc>
                  <w:tcPr>
                    <w:tcW w:w="562"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jc w:val="both"/>
                      <w:rPr>
                        <w:szCs w:val="21"/>
                      </w:rPr>
                    </w:pPr>
                    <w:r>
                      <w:rPr>
                        <w:rFonts w:hint="eastAsia"/>
                        <w:szCs w:val="21"/>
                      </w:rPr>
                      <w:t>七、6</w:t>
                    </w:r>
                    <w:r>
                      <w:rPr>
                        <w:szCs w:val="21"/>
                      </w:rPr>
                      <w:t>8</w:t>
                    </w: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sidRPr="00144C3E">
                      <w:t>169,690,511</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sidRPr="00144C3E">
                      <w:t>18,775,559</w:t>
                    </w:r>
                  </w:p>
                </w:tc>
              </w:tr>
              <w:tr w:rsidR="00B637B2" w:rsidTr="00B637B2">
                <w:sdt>
                  <w:sdtPr>
                    <w:tag w:val="_PLD_58f92dc598044243844972f7264dee3f"/>
                    <w:id w:val="807292458"/>
                    <w:lock w:val="sdtLocked"/>
                  </w:sdtPr>
                  <w:sdtContent>
                    <w:tc>
                      <w:tcPr>
                        <w:tcW w:w="2166"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300" w:firstLine="630"/>
                          <w:rPr>
                            <w:szCs w:val="21"/>
                          </w:rPr>
                        </w:pPr>
                        <w:r>
                          <w:rPr>
                            <w:rFonts w:hint="eastAsia"/>
                            <w:szCs w:val="21"/>
                          </w:rPr>
                          <w:t>其中：对联营企业和合营企业的投资收益</w:t>
                        </w:r>
                      </w:p>
                    </w:tc>
                  </w:sdtContent>
                </w:sdt>
                <w:tc>
                  <w:tcPr>
                    <w:tcW w:w="562"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jc w:val="both"/>
                      <w:rPr>
                        <w:szCs w:val="21"/>
                      </w:rPr>
                    </w:pPr>
                    <w:r>
                      <w:rPr>
                        <w:rFonts w:hint="eastAsia"/>
                        <w:szCs w:val="21"/>
                      </w:rPr>
                      <w:t>七、6</w:t>
                    </w:r>
                    <w:r>
                      <w:rPr>
                        <w:szCs w:val="21"/>
                      </w:rPr>
                      <w:t>8</w:t>
                    </w: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sidRPr="00144C3E">
                      <w:t>2,742,845</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sidRPr="00144C3E">
                      <w:t>-2,629,877</w:t>
                    </w:r>
                  </w:p>
                </w:tc>
              </w:tr>
              <w:tr w:rsidR="00B637B2" w:rsidTr="00B637B2">
                <w:sdt>
                  <w:sdtPr>
                    <w:tag w:val="_PLD_f783ee8c18aa4ec6b0fe746603c1afc2"/>
                    <w:id w:val="-283886358"/>
                    <w:lock w:val="sdtLocked"/>
                  </w:sdtPr>
                  <w:sdtContent>
                    <w:tc>
                      <w:tcPr>
                        <w:tcW w:w="2166" w:type="pct"/>
                        <w:tcBorders>
                          <w:top w:val="outset" w:sz="4" w:space="0" w:color="auto"/>
                          <w:left w:val="outset" w:sz="4" w:space="0" w:color="auto"/>
                          <w:bottom w:val="outset" w:sz="4" w:space="0" w:color="auto"/>
                          <w:right w:val="outset" w:sz="4" w:space="0" w:color="auto"/>
                        </w:tcBorders>
                      </w:tcPr>
                      <w:p w:rsidR="00B637B2" w:rsidRDefault="008F04CF" w:rsidP="00B637B2">
                        <w:pPr>
                          <w:ind w:firstLineChars="550" w:firstLine="1155"/>
                        </w:pPr>
                        <w:r>
                          <w:rPr>
                            <w:rFonts w:hint="eastAsia"/>
                          </w:rPr>
                          <w:t>以摊余成本计量的金融资产终止确认收益（损失以“</w:t>
                        </w:r>
                        <w:r>
                          <w:t>-”号填列）</w:t>
                        </w:r>
                      </w:p>
                    </w:tc>
                  </w:sdtContent>
                </w:sdt>
                <w:tc>
                  <w:tcPr>
                    <w:tcW w:w="562"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Pr>
                        <w:rFonts w:hint="eastAsia"/>
                      </w:rPr>
                      <w:t>-</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Pr>
                        <w:rFonts w:hint="eastAsia"/>
                      </w:rPr>
                      <w:t>-</w:t>
                    </w:r>
                  </w:p>
                </w:tc>
              </w:tr>
              <w:tr w:rsidR="00B637B2" w:rsidTr="00B637B2">
                <w:sdt>
                  <w:sdtPr>
                    <w:tag w:val="_PLD_33855fc7ddf74a1b9f9c1dfc4ab34fc7"/>
                    <w:id w:val="718394969"/>
                    <w:lock w:val="sdtLocked"/>
                  </w:sdtPr>
                  <w:sdtContent>
                    <w:tc>
                      <w:tcPr>
                        <w:tcW w:w="2166"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300" w:firstLine="630"/>
                          <w:rPr>
                            <w:szCs w:val="21"/>
                          </w:rPr>
                        </w:pPr>
                        <w:r>
                          <w:rPr>
                            <w:rFonts w:hint="eastAsia"/>
                            <w:szCs w:val="21"/>
                          </w:rPr>
                          <w:t>汇兑收益（损失以“－”号填列）</w:t>
                        </w:r>
                      </w:p>
                    </w:tc>
                  </w:sdtContent>
                </w:sdt>
                <w:tc>
                  <w:tcPr>
                    <w:tcW w:w="562"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Pr>
                        <w:rFonts w:hint="eastAsia"/>
                      </w:rPr>
                      <w:t>-</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Pr>
                        <w:rFonts w:hint="eastAsia"/>
                      </w:rPr>
                      <w:t>-</w:t>
                    </w:r>
                  </w:p>
                </w:tc>
              </w:tr>
              <w:tr w:rsidR="00B637B2" w:rsidTr="00B637B2">
                <w:tc>
                  <w:tcPr>
                    <w:tcW w:w="2166"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6351bb9f9f034ce8b252cc8056810655"/>
                      <w:id w:val="-2012754496"/>
                      <w:lock w:val="sdtLocked"/>
                    </w:sdtPr>
                    <w:sdtEndPr>
                      <w:rPr>
                        <w:rFonts w:hint="default"/>
                      </w:rPr>
                    </w:sdtEndPr>
                    <w:sdtContent>
                      <w:p w:rsidR="00B637B2" w:rsidRDefault="008F04CF" w:rsidP="00B637B2">
                        <w:pPr>
                          <w:ind w:firstLineChars="300" w:firstLine="630"/>
                        </w:pPr>
                        <w:r>
                          <w:rPr>
                            <w:rFonts w:hint="eastAsia"/>
                          </w:rPr>
                          <w:t>净敞口套期收益（损失以“</w:t>
                        </w:r>
                        <w:r>
                          <w:t>-”号填列）</w:t>
                        </w:r>
                      </w:p>
                    </w:sdtContent>
                  </w:sdt>
                </w:tc>
                <w:tc>
                  <w:tcPr>
                    <w:tcW w:w="562"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Pr>
                        <w:rFonts w:hint="eastAsia"/>
                      </w:rPr>
                      <w:t>-</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sidRPr="00144C3E">
                      <w:t>-</w:t>
                    </w:r>
                  </w:p>
                </w:tc>
              </w:tr>
              <w:tr w:rsidR="00B637B2" w:rsidTr="00B637B2">
                <w:sdt>
                  <w:sdtPr>
                    <w:tag w:val="_PLD_e6e5f627ac054b8b8f91f930cd45c7d6"/>
                    <w:id w:val="-1270998898"/>
                    <w:lock w:val="sdtLocked"/>
                  </w:sdtPr>
                  <w:sdtContent>
                    <w:tc>
                      <w:tcPr>
                        <w:tcW w:w="2166"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300" w:firstLine="630"/>
                          <w:rPr>
                            <w:color w:val="000000"/>
                            <w:szCs w:val="21"/>
                          </w:rPr>
                        </w:pPr>
                        <w:r>
                          <w:rPr>
                            <w:rFonts w:hint="eastAsia"/>
                            <w:szCs w:val="21"/>
                          </w:rPr>
                          <w:t>公允价值变动收益（损失以“－”号填列）</w:t>
                        </w:r>
                      </w:p>
                    </w:tc>
                  </w:sdtContent>
                </w:sdt>
                <w:tc>
                  <w:tcPr>
                    <w:tcW w:w="562"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jc w:val="both"/>
                      <w:rPr>
                        <w:szCs w:val="21"/>
                      </w:rPr>
                    </w:pPr>
                    <w:r>
                      <w:rPr>
                        <w:rFonts w:hint="eastAsia"/>
                        <w:szCs w:val="21"/>
                      </w:rPr>
                      <w:t>七、</w:t>
                    </w:r>
                    <w:r>
                      <w:rPr>
                        <w:szCs w:val="21"/>
                      </w:rPr>
                      <w:t>70</w:t>
                    </w: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sidRPr="00144C3E">
                      <w:t>43,191,602</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sidRPr="00144C3E">
                      <w:t>-</w:t>
                    </w:r>
                  </w:p>
                </w:tc>
              </w:tr>
              <w:tr w:rsidR="00B637B2" w:rsidTr="00B637B2">
                <w:tc>
                  <w:tcPr>
                    <w:tcW w:w="2166"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30e32ac0eb74cccbe4261a78579a5ff"/>
                      <w:id w:val="1021355890"/>
                      <w:lock w:val="sdtLocked"/>
                    </w:sdtPr>
                    <w:sdtContent>
                      <w:p w:rsidR="00B637B2" w:rsidRDefault="008F04CF" w:rsidP="00B637B2">
                        <w:pPr>
                          <w:ind w:firstLineChars="300" w:firstLine="630"/>
                        </w:pPr>
                        <w:r>
                          <w:rPr>
                            <w:rFonts w:hint="eastAsia"/>
                          </w:rPr>
                          <w:t>信用减值损失（损失以“</w:t>
                        </w:r>
                        <w:r>
                          <w:t>-”号填列）</w:t>
                        </w:r>
                      </w:p>
                    </w:sdtContent>
                  </w:sdt>
                </w:tc>
                <w:tc>
                  <w:tcPr>
                    <w:tcW w:w="562"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jc w:val="both"/>
                      <w:rPr>
                        <w:szCs w:val="21"/>
                      </w:rPr>
                    </w:pPr>
                    <w:r>
                      <w:rPr>
                        <w:rFonts w:hint="eastAsia"/>
                        <w:szCs w:val="21"/>
                      </w:rPr>
                      <w:t>七、</w:t>
                    </w:r>
                    <w:r>
                      <w:rPr>
                        <w:szCs w:val="21"/>
                      </w:rPr>
                      <w:t>71</w:t>
                    </w: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Pr>
                        <w:rFonts w:hint="eastAsia"/>
                      </w:rPr>
                      <w:t>-</w:t>
                    </w:r>
                    <w:r w:rsidRPr="00AB57BF">
                      <w:t>48,831,384</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sidRPr="00144C3E">
                      <w:t>-</w:t>
                    </w:r>
                  </w:p>
                </w:tc>
              </w:tr>
              <w:tr w:rsidR="00B637B2" w:rsidTr="00B637B2">
                <w:sdt>
                  <w:sdtPr>
                    <w:tag w:val="_PLD_fe82d7189b7a42a6ae64dd80ca9bbe80"/>
                    <w:id w:val="320935131"/>
                    <w:lock w:val="sdtLocked"/>
                  </w:sdtPr>
                  <w:sdtContent>
                    <w:tc>
                      <w:tcPr>
                        <w:tcW w:w="2166"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300" w:firstLine="630"/>
                          <w:rPr>
                            <w:szCs w:val="21"/>
                          </w:rPr>
                        </w:pPr>
                        <w:r>
                          <w:rPr>
                            <w:rFonts w:hint="eastAsia"/>
                            <w:szCs w:val="21"/>
                          </w:rPr>
                          <w:t>资产减值损失</w:t>
                        </w:r>
                        <w:r>
                          <w:rPr>
                            <w:rFonts w:hint="eastAsia"/>
                          </w:rPr>
                          <w:t>（损失以“</w:t>
                        </w:r>
                        <w:r>
                          <w:t>-”号填列）</w:t>
                        </w:r>
                      </w:p>
                    </w:tc>
                  </w:sdtContent>
                </w:sdt>
                <w:tc>
                  <w:tcPr>
                    <w:tcW w:w="562"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jc w:val="both"/>
                      <w:rPr>
                        <w:szCs w:val="21"/>
                      </w:rPr>
                    </w:pPr>
                    <w:r>
                      <w:rPr>
                        <w:rFonts w:hint="eastAsia"/>
                        <w:szCs w:val="21"/>
                      </w:rPr>
                      <w:t>七、</w:t>
                    </w:r>
                    <w:r>
                      <w:rPr>
                        <w:szCs w:val="21"/>
                      </w:rPr>
                      <w:t>72</w:t>
                    </w: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Pr>
                        <w:rFonts w:hint="eastAsia"/>
                      </w:rPr>
                      <w:t>-</w:t>
                    </w:r>
                    <w:r w:rsidRPr="00144C3E">
                      <w:t>873,355</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Pr>
                        <w:rFonts w:hint="eastAsia"/>
                      </w:rPr>
                      <w:t>-</w:t>
                    </w:r>
                    <w:r w:rsidRPr="00144C3E">
                      <w:t>126,478,585</w:t>
                    </w:r>
                  </w:p>
                </w:tc>
              </w:tr>
              <w:tr w:rsidR="00B637B2" w:rsidTr="00B637B2">
                <w:sdt>
                  <w:sdtPr>
                    <w:rPr>
                      <w:rFonts w:hint="eastAsia"/>
                    </w:rPr>
                    <w:tag w:val="_PLD_60761ec4a82c4bc298a64deee215586d"/>
                    <w:id w:val="1784610600"/>
                    <w:lock w:val="sdtLocked"/>
                  </w:sdtPr>
                  <w:sdtContent>
                    <w:tc>
                      <w:tcPr>
                        <w:tcW w:w="2166"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300" w:firstLine="630"/>
                        </w:pPr>
                        <w:r>
                          <w:rPr>
                            <w:rFonts w:hint="eastAsia"/>
                          </w:rPr>
                          <w:t>资产处置收益（损失以“－”号填列）</w:t>
                        </w:r>
                      </w:p>
                    </w:tc>
                  </w:sdtContent>
                </w:sdt>
                <w:tc>
                  <w:tcPr>
                    <w:tcW w:w="562"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jc w:val="both"/>
                      <w:rPr>
                        <w:szCs w:val="21"/>
                      </w:rPr>
                    </w:pPr>
                    <w:r>
                      <w:rPr>
                        <w:rFonts w:hint="eastAsia"/>
                        <w:szCs w:val="21"/>
                      </w:rPr>
                      <w:t>七、</w:t>
                    </w:r>
                    <w:r>
                      <w:rPr>
                        <w:szCs w:val="21"/>
                      </w:rPr>
                      <w:t>73</w:t>
                    </w: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sidRPr="00144C3E">
                      <w:t>111,872</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sidRPr="00144C3E">
                      <w:t>259,800</w:t>
                    </w:r>
                  </w:p>
                </w:tc>
              </w:tr>
              <w:tr w:rsidR="00B637B2" w:rsidTr="00B637B2">
                <w:sdt>
                  <w:sdtPr>
                    <w:tag w:val="_PLD_18d15c0eacb94678be3131e09c8d9904"/>
                    <w:id w:val="111872488"/>
                    <w:lock w:val="sdtLocked"/>
                  </w:sdtPr>
                  <w:sdtContent>
                    <w:tc>
                      <w:tcPr>
                        <w:tcW w:w="2166"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rPr>
                            <w:color w:val="000000"/>
                            <w:szCs w:val="21"/>
                          </w:rPr>
                        </w:pPr>
                        <w:r>
                          <w:rPr>
                            <w:rFonts w:hint="eastAsia"/>
                            <w:szCs w:val="21"/>
                          </w:rPr>
                          <w:t>三、营业利润（亏损以“－”号填列）</w:t>
                        </w:r>
                      </w:p>
                    </w:tc>
                  </w:sdtContent>
                </w:sdt>
                <w:tc>
                  <w:tcPr>
                    <w:tcW w:w="562"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sidRPr="00144C3E">
                      <w:t>594,432,866</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sidRPr="00144C3E">
                      <w:t>294,039,630</w:t>
                    </w:r>
                  </w:p>
                </w:tc>
              </w:tr>
              <w:tr w:rsidR="00B637B2" w:rsidTr="00B637B2">
                <w:sdt>
                  <w:sdtPr>
                    <w:tag w:val="_PLD_e328c8d559944bfd89e7332623e0aea3"/>
                    <w:id w:val="1713614661"/>
                    <w:lock w:val="sdtLocked"/>
                  </w:sdtPr>
                  <w:sdtContent>
                    <w:tc>
                      <w:tcPr>
                        <w:tcW w:w="2166"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加：营业外收入</w:t>
                        </w:r>
                      </w:p>
                    </w:tc>
                  </w:sdtContent>
                </w:sdt>
                <w:tc>
                  <w:tcPr>
                    <w:tcW w:w="562" w:type="pct"/>
                    <w:tcBorders>
                      <w:top w:val="outset" w:sz="4" w:space="0" w:color="auto"/>
                      <w:left w:val="outset" w:sz="4" w:space="0" w:color="auto"/>
                      <w:bottom w:val="outset" w:sz="4" w:space="0" w:color="auto"/>
                      <w:right w:val="outset" w:sz="4" w:space="0" w:color="auto"/>
                    </w:tcBorders>
                  </w:tcPr>
                  <w:p w:rsidR="00B637B2" w:rsidRDefault="008F04CF" w:rsidP="00B637B2">
                    <w:pPr>
                      <w:rPr>
                        <w:szCs w:val="21"/>
                      </w:rPr>
                    </w:pPr>
                    <w:r>
                      <w:rPr>
                        <w:rFonts w:hint="eastAsia"/>
                        <w:szCs w:val="21"/>
                      </w:rPr>
                      <w:t>七、</w:t>
                    </w:r>
                    <w:r>
                      <w:rPr>
                        <w:szCs w:val="21"/>
                      </w:rPr>
                      <w:t>74</w:t>
                    </w: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sidRPr="00144C3E">
                      <w:t>3,776,528</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sidRPr="00144C3E">
                      <w:t>5,767,293</w:t>
                    </w:r>
                  </w:p>
                </w:tc>
              </w:tr>
              <w:tr w:rsidR="00B637B2" w:rsidTr="00B637B2">
                <w:sdt>
                  <w:sdtPr>
                    <w:tag w:val="_PLD_862b6a23799a4cfdb3792bfc43248bcd"/>
                    <w:id w:val="1103606844"/>
                    <w:lock w:val="sdtLocked"/>
                  </w:sdtPr>
                  <w:sdtContent>
                    <w:tc>
                      <w:tcPr>
                        <w:tcW w:w="2166"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减：营业外支出</w:t>
                        </w:r>
                      </w:p>
                    </w:tc>
                  </w:sdtContent>
                </w:sdt>
                <w:tc>
                  <w:tcPr>
                    <w:tcW w:w="562" w:type="pct"/>
                    <w:tcBorders>
                      <w:top w:val="outset" w:sz="4" w:space="0" w:color="auto"/>
                      <w:left w:val="outset" w:sz="4" w:space="0" w:color="auto"/>
                      <w:bottom w:val="outset" w:sz="4" w:space="0" w:color="auto"/>
                      <w:right w:val="outset" w:sz="4" w:space="0" w:color="auto"/>
                    </w:tcBorders>
                  </w:tcPr>
                  <w:p w:rsidR="00B637B2" w:rsidRDefault="008F04CF" w:rsidP="00B637B2">
                    <w:pPr>
                      <w:rPr>
                        <w:szCs w:val="21"/>
                      </w:rPr>
                    </w:pPr>
                    <w:r>
                      <w:rPr>
                        <w:rFonts w:hint="eastAsia"/>
                        <w:szCs w:val="21"/>
                      </w:rPr>
                      <w:t>七、</w:t>
                    </w:r>
                    <w:r>
                      <w:rPr>
                        <w:szCs w:val="21"/>
                      </w:rPr>
                      <w:t>75</w:t>
                    </w: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sidRPr="00144C3E">
                      <w:t>2,684,808</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sidRPr="00144C3E">
                      <w:t>2,759,082</w:t>
                    </w:r>
                  </w:p>
                </w:tc>
              </w:tr>
              <w:tr w:rsidR="00B637B2" w:rsidTr="00B637B2">
                <w:sdt>
                  <w:sdtPr>
                    <w:tag w:val="_PLD_91e0599aa02a45b39a5b0dfc801cbadf"/>
                    <w:id w:val="-1203234318"/>
                    <w:lock w:val="sdtLocked"/>
                  </w:sdtPr>
                  <w:sdtContent>
                    <w:tc>
                      <w:tcPr>
                        <w:tcW w:w="2166"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rPr>
                            <w:color w:val="000000"/>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Content>
                </w:sdt>
                <w:tc>
                  <w:tcPr>
                    <w:tcW w:w="562"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sidRPr="00144C3E">
                      <w:t>595,524,586</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sidRPr="00144C3E">
                      <w:t>297,047,841</w:t>
                    </w:r>
                  </w:p>
                </w:tc>
              </w:tr>
              <w:tr w:rsidR="00B637B2" w:rsidTr="00B637B2">
                <w:sdt>
                  <w:sdtPr>
                    <w:tag w:val="_PLD_068015dc8ea145fca7f54b4569a31184"/>
                    <w:id w:val="-1239703956"/>
                    <w:lock w:val="sdtLocked"/>
                  </w:sdtPr>
                  <w:sdtContent>
                    <w:tc>
                      <w:tcPr>
                        <w:tcW w:w="2166"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color w:val="000000"/>
                            <w:szCs w:val="21"/>
                          </w:rPr>
                        </w:pPr>
                        <w:r>
                          <w:rPr>
                            <w:rFonts w:hint="eastAsia"/>
                            <w:szCs w:val="21"/>
                          </w:rPr>
                          <w:t>减：所得税费用</w:t>
                        </w:r>
                      </w:p>
                    </w:tc>
                  </w:sdtContent>
                </w:sdt>
                <w:tc>
                  <w:tcPr>
                    <w:tcW w:w="562" w:type="pct"/>
                    <w:tcBorders>
                      <w:top w:val="outset" w:sz="4" w:space="0" w:color="auto"/>
                      <w:left w:val="outset" w:sz="4" w:space="0" w:color="auto"/>
                      <w:bottom w:val="outset" w:sz="4" w:space="0" w:color="auto"/>
                      <w:right w:val="outset" w:sz="4" w:space="0" w:color="auto"/>
                    </w:tcBorders>
                  </w:tcPr>
                  <w:p w:rsidR="00B637B2" w:rsidRDefault="008F04CF" w:rsidP="00B637B2">
                    <w:pPr>
                      <w:rPr>
                        <w:szCs w:val="21"/>
                      </w:rPr>
                    </w:pPr>
                    <w:r>
                      <w:rPr>
                        <w:rFonts w:hint="eastAsia"/>
                        <w:szCs w:val="21"/>
                      </w:rPr>
                      <w:t>七、</w:t>
                    </w:r>
                    <w:r>
                      <w:rPr>
                        <w:szCs w:val="21"/>
                      </w:rPr>
                      <w:t>76</w:t>
                    </w: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sidRPr="00144C3E">
                      <w:t>35,700,010</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sidRPr="00144C3E">
                      <w:t>72,355,406</w:t>
                    </w:r>
                  </w:p>
                </w:tc>
              </w:tr>
              <w:tr w:rsidR="00B637B2" w:rsidTr="00B637B2">
                <w:sdt>
                  <w:sdtPr>
                    <w:tag w:val="_PLD_355129e4ca9b4d29bd85d210d08f622f"/>
                    <w:id w:val="-157549693"/>
                    <w:lock w:val="sdtLocked"/>
                  </w:sdtPr>
                  <w:sdtContent>
                    <w:tc>
                      <w:tcPr>
                        <w:tcW w:w="2166"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rPr>
                            <w:color w:val="000000"/>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Content>
                </w:sdt>
                <w:tc>
                  <w:tcPr>
                    <w:tcW w:w="562"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sidRPr="00144C3E">
                      <w:t>559,824,576</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sidRPr="00144C3E">
                      <w:t>224,692,435</w:t>
                    </w:r>
                  </w:p>
                </w:tc>
              </w:tr>
              <w:tr w:rsidR="00B637B2" w:rsidTr="00B637B2">
                <w:sdt>
                  <w:sdtPr>
                    <w:tag w:val="_PLD_c576a2f5fbec4ba2b1cc36d0a215ba5c"/>
                    <w:id w:val="1139616087"/>
                    <w:lock w:val="sdtLocked"/>
                  </w:sdtPr>
                  <w:sdtContent>
                    <w:tc>
                      <w:tcPr>
                        <w:tcW w:w="2166"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pPr>
                        <w:r>
                          <w:rPr>
                            <w:rFonts w:hint="eastAsia"/>
                            <w:szCs w:val="21"/>
                          </w:rPr>
                          <w:t>（一）</w:t>
                        </w:r>
                        <w:r>
                          <w:t>按经营持续性分类</w:t>
                        </w:r>
                      </w:p>
                    </w:tc>
                  </w:sdtContent>
                </w:sdt>
                <w:tc>
                  <w:tcPr>
                    <w:tcW w:w="562"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144C3E" w:rsidRDefault="00B637B2" w:rsidP="00B637B2">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144C3E" w:rsidRDefault="00B637B2" w:rsidP="00B637B2">
                    <w:pPr>
                      <w:jc w:val="right"/>
                    </w:pPr>
                  </w:p>
                </w:tc>
              </w:tr>
              <w:tr w:rsidR="00B637B2" w:rsidTr="00B637B2">
                <w:sdt>
                  <w:sdtPr>
                    <w:rPr>
                      <w:rFonts w:hint="eastAsia"/>
                    </w:rPr>
                    <w:tag w:val="_PLD_0cbbecfa36204e9cb4a8afb27df49afc"/>
                    <w:id w:val="1219245593"/>
                    <w:lock w:val="sdtLocked"/>
                  </w:sdtPr>
                  <w:sdtContent>
                    <w:tc>
                      <w:tcPr>
                        <w:tcW w:w="2166"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200" w:firstLine="420"/>
                        </w:pPr>
                        <w:r>
                          <w:t>1.持续经营净利润（净亏损以“－”号填列）</w:t>
                        </w:r>
                      </w:p>
                    </w:tc>
                  </w:sdtContent>
                </w:sdt>
                <w:tc>
                  <w:tcPr>
                    <w:tcW w:w="562"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sidRPr="00144C3E">
                      <w:t>559,824,576</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sidRPr="00144C3E">
                      <w:t>224,692,435</w:t>
                    </w:r>
                  </w:p>
                </w:tc>
              </w:tr>
              <w:tr w:rsidR="00B637B2" w:rsidTr="00B637B2">
                <w:sdt>
                  <w:sdtPr>
                    <w:rPr>
                      <w:rFonts w:hint="eastAsia"/>
                    </w:rPr>
                    <w:tag w:val="_PLD_52694b4d274c4f909bf793dd26abeda4"/>
                    <w:id w:val="-1214961226"/>
                    <w:lock w:val="sdtLocked"/>
                  </w:sdtPr>
                  <w:sdtContent>
                    <w:tc>
                      <w:tcPr>
                        <w:tcW w:w="2166"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200" w:firstLine="420"/>
                        </w:pPr>
                        <w:r>
                          <w:t>2.终止经营净利润（净亏损以“－”号填列）</w:t>
                        </w:r>
                      </w:p>
                    </w:tc>
                  </w:sdtContent>
                </w:sdt>
                <w:tc>
                  <w:tcPr>
                    <w:tcW w:w="562"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sidRPr="00144C3E">
                      <w:t>-</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sidRPr="00144C3E">
                      <w:t>-</w:t>
                    </w:r>
                  </w:p>
                </w:tc>
              </w:tr>
              <w:tr w:rsidR="00B637B2" w:rsidTr="00B637B2">
                <w:sdt>
                  <w:sdtPr>
                    <w:tag w:val="_PLD_5da729560f54464cbcc9ce762078f9ba"/>
                    <w:id w:val="-2013904521"/>
                    <w:lock w:val="sdtLocked"/>
                  </w:sdtPr>
                  <w:sdtContent>
                    <w:tc>
                      <w:tcPr>
                        <w:tcW w:w="2166"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pPr>
                        <w:r>
                          <w:rPr>
                            <w:rFonts w:hint="eastAsia"/>
                            <w:szCs w:val="21"/>
                          </w:rPr>
                          <w:t>（二）</w:t>
                        </w:r>
                        <w:r>
                          <w:t>按所有权归属分类</w:t>
                        </w:r>
                      </w:p>
                    </w:tc>
                  </w:sdtContent>
                </w:sdt>
                <w:tc>
                  <w:tcPr>
                    <w:tcW w:w="562"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144C3E" w:rsidRDefault="00B637B2" w:rsidP="00B637B2">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144C3E" w:rsidRDefault="00B637B2" w:rsidP="00B637B2">
                    <w:pPr>
                      <w:jc w:val="right"/>
                    </w:pPr>
                  </w:p>
                </w:tc>
              </w:tr>
              <w:tr w:rsidR="00B637B2" w:rsidTr="00B637B2">
                <w:sdt>
                  <w:sdtPr>
                    <w:tag w:val="_PLD_d4f7c178814a4729a89415435ac2aac1"/>
                    <w:id w:val="-840390937"/>
                    <w:lock w:val="sdtLocked"/>
                  </w:sdtPr>
                  <w:sdtContent>
                    <w:tc>
                      <w:tcPr>
                        <w:tcW w:w="2166"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200" w:firstLine="420"/>
                          <w:rPr>
                            <w:szCs w:val="21"/>
                          </w:rPr>
                        </w:pPr>
                        <w:r>
                          <w:t>1.</w:t>
                        </w:r>
                        <w:r>
                          <w:rPr>
                            <w:rFonts w:hint="eastAsia"/>
                            <w:szCs w:val="21"/>
                          </w:rPr>
                          <w:t>归属于母</w:t>
                        </w:r>
                        <w:r>
                          <w:rPr>
                            <w:rFonts w:hint="eastAsia"/>
                          </w:rPr>
                          <w:t>公司</w:t>
                        </w:r>
                        <w:r>
                          <w:rPr>
                            <w:rFonts w:hint="eastAsia"/>
                            <w:szCs w:val="21"/>
                          </w:rPr>
                          <w:t>股东的净利润（净亏损以“</w:t>
                        </w:r>
                        <w:r>
                          <w:rPr>
                            <w:szCs w:val="21"/>
                          </w:rPr>
                          <w:t>-”号填列）</w:t>
                        </w:r>
                      </w:p>
                    </w:tc>
                  </w:sdtContent>
                </w:sdt>
                <w:tc>
                  <w:tcPr>
                    <w:tcW w:w="562"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sidRPr="00144C3E">
                      <w:t>482,379,589</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sidRPr="00144C3E">
                      <w:t>123,656,504</w:t>
                    </w:r>
                  </w:p>
                </w:tc>
              </w:tr>
              <w:tr w:rsidR="00B637B2" w:rsidTr="00B637B2">
                <w:sdt>
                  <w:sdtPr>
                    <w:tag w:val="_PLD_095b31d3979943dc85b47d9a42d89a91"/>
                    <w:id w:val="1091282501"/>
                    <w:lock w:val="sdtLocked"/>
                  </w:sdtPr>
                  <w:sdtContent>
                    <w:tc>
                      <w:tcPr>
                        <w:tcW w:w="2166"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200" w:firstLine="420"/>
                          <w:rPr>
                            <w:szCs w:val="21"/>
                          </w:rPr>
                        </w:pPr>
                        <w:r>
                          <w:t>2.</w:t>
                        </w:r>
                        <w:r>
                          <w:rPr>
                            <w:rFonts w:hint="eastAsia"/>
                            <w:szCs w:val="21"/>
                          </w:rPr>
                          <w:t>少数股东损益（净亏损以“</w:t>
                        </w:r>
                        <w:r>
                          <w:rPr>
                            <w:szCs w:val="21"/>
                          </w:rPr>
                          <w:t>-”号填列）</w:t>
                        </w:r>
                      </w:p>
                    </w:tc>
                  </w:sdtContent>
                </w:sdt>
                <w:tc>
                  <w:tcPr>
                    <w:tcW w:w="562"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sidRPr="00144C3E">
                      <w:t>77,444,987</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sidRPr="00144C3E">
                      <w:t>101,035,931</w:t>
                    </w:r>
                  </w:p>
                </w:tc>
              </w:tr>
              <w:tr w:rsidR="00B637B2" w:rsidTr="00B637B2">
                <w:sdt>
                  <w:sdtPr>
                    <w:tag w:val="_PLD_6a43e7f14d234c52a7ab5dff443252a7"/>
                    <w:id w:val="82586570"/>
                    <w:lock w:val="sdtLocked"/>
                  </w:sdtPr>
                  <w:sdtContent>
                    <w:tc>
                      <w:tcPr>
                        <w:tcW w:w="2166"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rPr>
                            <w:szCs w:val="21"/>
                          </w:rPr>
                        </w:pPr>
                        <w:r>
                          <w:rPr>
                            <w:rFonts w:hint="eastAsia"/>
                            <w:szCs w:val="21"/>
                          </w:rPr>
                          <w:t>六、其他综合收益的税后净额</w:t>
                        </w:r>
                      </w:p>
                    </w:tc>
                  </w:sdtContent>
                </w:sdt>
                <w:tc>
                  <w:tcPr>
                    <w:tcW w:w="562" w:type="pct"/>
                    <w:tcBorders>
                      <w:top w:val="outset" w:sz="4" w:space="0" w:color="auto"/>
                      <w:left w:val="outset" w:sz="4" w:space="0" w:color="auto"/>
                      <w:bottom w:val="outset" w:sz="4" w:space="0" w:color="auto"/>
                      <w:right w:val="outset" w:sz="4" w:space="0" w:color="auto"/>
                    </w:tcBorders>
                  </w:tcPr>
                  <w:p w:rsidR="00B637B2" w:rsidRDefault="008F04CF" w:rsidP="00B637B2">
                    <w:pPr>
                      <w:rPr>
                        <w:szCs w:val="21"/>
                      </w:rPr>
                    </w:pPr>
                    <w:r>
                      <w:rPr>
                        <w:rFonts w:hint="eastAsia"/>
                        <w:szCs w:val="21"/>
                      </w:rPr>
                      <w:t>七、</w:t>
                    </w:r>
                    <w:r>
                      <w:rPr>
                        <w:szCs w:val="21"/>
                      </w:rPr>
                      <w:t>77</w:t>
                    </w: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sidRPr="00144C3E">
                      <w:t>-862,661</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sidRPr="00144C3E">
                      <w:t>-51,677,250</w:t>
                    </w:r>
                  </w:p>
                </w:tc>
              </w:tr>
              <w:tr w:rsidR="00B637B2" w:rsidTr="00B637B2">
                <w:sdt>
                  <w:sdtPr>
                    <w:tag w:val="_PLD_402e48f41e92468e9ccfc9f5b154d698"/>
                    <w:id w:val="891150730"/>
                    <w:lock w:val="sdtLocked"/>
                  </w:sdtPr>
                  <w:sdtContent>
                    <w:tc>
                      <w:tcPr>
                        <w:tcW w:w="2166"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归属母公司所有者的其他综合收益的税后净额</w:t>
                        </w:r>
                      </w:p>
                    </w:tc>
                  </w:sdtContent>
                </w:sdt>
                <w:tc>
                  <w:tcPr>
                    <w:tcW w:w="562"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jc w:val="both"/>
                      <w:rPr>
                        <w:szCs w:val="21"/>
                      </w:rPr>
                    </w:pPr>
                    <w:r>
                      <w:rPr>
                        <w:rFonts w:hint="eastAsia"/>
                        <w:szCs w:val="21"/>
                      </w:rPr>
                      <w:t>七、</w:t>
                    </w:r>
                    <w:r>
                      <w:rPr>
                        <w:szCs w:val="21"/>
                      </w:rPr>
                      <w:t>77</w:t>
                    </w: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sidRPr="00144C3E">
                      <w:t>-481,523</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sidRPr="00144C3E">
                      <w:t>-50,818,916</w:t>
                    </w:r>
                  </w:p>
                </w:tc>
              </w:tr>
              <w:tr w:rsidR="00B637B2" w:rsidTr="00B637B2">
                <w:sdt>
                  <w:sdtPr>
                    <w:tag w:val="_PLD_b367f8195cde49b4861d967effb0f541"/>
                    <w:id w:val="-791979003"/>
                    <w:lock w:val="sdtLocked"/>
                  </w:sdtPr>
                  <w:sdtContent>
                    <w:tc>
                      <w:tcPr>
                        <w:tcW w:w="2166"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200" w:firstLine="420"/>
                          <w:rPr>
                            <w:szCs w:val="21"/>
                          </w:rPr>
                        </w:pPr>
                        <w:r>
                          <w:rPr>
                            <w:rFonts w:hint="eastAsia"/>
                            <w:szCs w:val="21"/>
                          </w:rPr>
                          <w:t>（一）不能重分类进损益的其他综合收益</w:t>
                        </w:r>
                      </w:p>
                    </w:tc>
                  </w:sdtContent>
                </w:sdt>
                <w:tc>
                  <w:tcPr>
                    <w:tcW w:w="562"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Pr>
                        <w:rFonts w:hint="eastAsia"/>
                      </w:rPr>
                      <w:t>-</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Pr>
                        <w:rFonts w:hint="eastAsia"/>
                      </w:rPr>
                      <w:t>-</w:t>
                    </w:r>
                  </w:p>
                </w:tc>
              </w:tr>
              <w:tr w:rsidR="00B637B2" w:rsidTr="00B637B2">
                <w:sdt>
                  <w:sdtPr>
                    <w:tag w:val="_PLD_c1d0eb5a70bd4147bff8f5ac51104882"/>
                    <w:id w:val="-2114197650"/>
                    <w:lock w:val="sdtLocked"/>
                  </w:sdtPr>
                  <w:sdtContent>
                    <w:tc>
                      <w:tcPr>
                        <w:tcW w:w="2166"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300" w:firstLine="630"/>
                          <w:rPr>
                            <w:szCs w:val="21"/>
                          </w:rPr>
                        </w:pPr>
                        <w:r>
                          <w:rPr>
                            <w:szCs w:val="21"/>
                          </w:rPr>
                          <w:t>1.重新计量设定受益计划变动额</w:t>
                        </w:r>
                      </w:p>
                    </w:tc>
                  </w:sdtContent>
                </w:sdt>
                <w:tc>
                  <w:tcPr>
                    <w:tcW w:w="562"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Pr>
                        <w:rFonts w:hint="eastAsia"/>
                      </w:rPr>
                      <w:t>-</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Pr>
                        <w:rFonts w:hint="eastAsia"/>
                      </w:rPr>
                      <w:t>-</w:t>
                    </w:r>
                  </w:p>
                </w:tc>
              </w:tr>
              <w:tr w:rsidR="00B637B2" w:rsidTr="00B637B2">
                <w:sdt>
                  <w:sdtPr>
                    <w:tag w:val="_PLD_da98b29079a040128e53e7426fc30a60"/>
                    <w:id w:val="-678493965"/>
                    <w:lock w:val="sdtLocked"/>
                  </w:sdtPr>
                  <w:sdtContent>
                    <w:tc>
                      <w:tcPr>
                        <w:tcW w:w="2166"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300" w:firstLine="630"/>
                          <w:rPr>
                            <w:szCs w:val="21"/>
                          </w:rPr>
                        </w:pPr>
                        <w:r>
                          <w:t>2.权益法下不能转损益的其他综合收益</w:t>
                        </w:r>
                      </w:p>
                    </w:tc>
                  </w:sdtContent>
                </w:sdt>
                <w:tc>
                  <w:tcPr>
                    <w:tcW w:w="562"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Pr>
                        <w:rFonts w:hint="eastAsia"/>
                      </w:rPr>
                      <w:t>-</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Pr>
                        <w:rFonts w:hint="eastAsia"/>
                      </w:rPr>
                      <w:t>-</w:t>
                    </w:r>
                  </w:p>
                </w:tc>
              </w:tr>
              <w:tr w:rsidR="00B637B2" w:rsidTr="00B637B2">
                <w:tc>
                  <w:tcPr>
                    <w:tcW w:w="2166" w:type="pct"/>
                    <w:tcBorders>
                      <w:top w:val="outset" w:sz="4" w:space="0" w:color="auto"/>
                      <w:left w:val="outset" w:sz="4" w:space="0" w:color="auto"/>
                      <w:bottom w:val="outset" w:sz="4" w:space="0" w:color="auto"/>
                      <w:right w:val="outset" w:sz="4" w:space="0" w:color="auto"/>
                    </w:tcBorders>
                    <w:vAlign w:val="center"/>
                  </w:tcPr>
                  <w:sdt>
                    <w:sdtPr>
                      <w:tag w:val="_PLD_9346e4819ec34beabe92d365c497e001"/>
                      <w:id w:val="-1133090942"/>
                      <w:lock w:val="sdtLocked"/>
                    </w:sdtPr>
                    <w:sdtContent>
                      <w:p w:rsidR="00B637B2" w:rsidRDefault="008F04CF" w:rsidP="00B637B2">
                        <w:pPr>
                          <w:ind w:firstLineChars="300" w:firstLine="630"/>
                        </w:pPr>
                        <w:r>
                          <w:t>3.其他权益工具投资公允价值变动</w:t>
                        </w:r>
                      </w:p>
                    </w:sdtContent>
                  </w:sdt>
                </w:tc>
                <w:tc>
                  <w:tcPr>
                    <w:tcW w:w="562"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Pr>
                        <w:rFonts w:hint="eastAsia"/>
                      </w:rPr>
                      <w:t>-</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Pr>
                        <w:rFonts w:hint="eastAsia"/>
                      </w:rPr>
                      <w:t>-</w:t>
                    </w:r>
                  </w:p>
                </w:tc>
              </w:tr>
              <w:tr w:rsidR="00B637B2" w:rsidTr="00B637B2">
                <w:tc>
                  <w:tcPr>
                    <w:tcW w:w="2166" w:type="pct"/>
                    <w:tcBorders>
                      <w:top w:val="outset" w:sz="4" w:space="0" w:color="auto"/>
                      <w:left w:val="outset" w:sz="4" w:space="0" w:color="auto"/>
                      <w:bottom w:val="outset" w:sz="4" w:space="0" w:color="auto"/>
                      <w:right w:val="outset" w:sz="4" w:space="0" w:color="auto"/>
                    </w:tcBorders>
                    <w:vAlign w:val="center"/>
                  </w:tcPr>
                  <w:sdt>
                    <w:sdtPr>
                      <w:tag w:val="_PLD_70f86b80dfa1468c8c481e18f675ad6a"/>
                      <w:id w:val="575869770"/>
                      <w:lock w:val="sdtLocked"/>
                    </w:sdtPr>
                    <w:sdtContent>
                      <w:p w:rsidR="00B637B2" w:rsidRDefault="008F04CF" w:rsidP="00B637B2">
                        <w:pPr>
                          <w:ind w:firstLineChars="300" w:firstLine="630"/>
                        </w:pPr>
                        <w:r>
                          <w:t>4.企业自身信用风险公允价值变动</w:t>
                        </w:r>
                      </w:p>
                    </w:sdtContent>
                  </w:sdt>
                </w:tc>
                <w:tc>
                  <w:tcPr>
                    <w:tcW w:w="562"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Pr>
                        <w:rFonts w:hint="eastAsia"/>
                      </w:rPr>
                      <w:t>-</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Pr>
                        <w:rFonts w:hint="eastAsia"/>
                      </w:rPr>
                      <w:t>-</w:t>
                    </w:r>
                  </w:p>
                </w:tc>
              </w:tr>
              <w:tr w:rsidR="00B637B2" w:rsidTr="00B637B2">
                <w:sdt>
                  <w:sdtPr>
                    <w:tag w:val="_PLD_1d4c3625b1a9453f98b920131a00b22a"/>
                    <w:id w:val="1338956071"/>
                    <w:lock w:val="sdtLocked"/>
                  </w:sdtPr>
                  <w:sdtContent>
                    <w:tc>
                      <w:tcPr>
                        <w:tcW w:w="2166"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200" w:firstLine="420"/>
                          <w:rPr>
                            <w:szCs w:val="21"/>
                          </w:rPr>
                        </w:pPr>
                        <w:r>
                          <w:rPr>
                            <w:rFonts w:hint="eastAsia"/>
                            <w:szCs w:val="21"/>
                          </w:rPr>
                          <w:t>（二）将重分类进损益的其他综合收益</w:t>
                        </w:r>
                      </w:p>
                    </w:tc>
                  </w:sdtContent>
                </w:sdt>
                <w:tc>
                  <w:tcPr>
                    <w:tcW w:w="562"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jc w:val="both"/>
                      <w:rPr>
                        <w:szCs w:val="21"/>
                      </w:rPr>
                    </w:pPr>
                    <w:r>
                      <w:rPr>
                        <w:rFonts w:hint="eastAsia"/>
                        <w:szCs w:val="21"/>
                      </w:rPr>
                      <w:t>七、</w:t>
                    </w:r>
                    <w:r>
                      <w:rPr>
                        <w:szCs w:val="21"/>
                      </w:rPr>
                      <w:t>77</w:t>
                    </w: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sidRPr="00144C3E">
                      <w:t>-481,523</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t>-50,818,916</w:t>
                    </w:r>
                  </w:p>
                </w:tc>
              </w:tr>
              <w:tr w:rsidR="00B637B2" w:rsidTr="00B637B2">
                <w:sdt>
                  <w:sdtPr>
                    <w:tag w:val="_PLD_e78255a0eaf548199db0c5a635c041ec"/>
                    <w:id w:val="427012142"/>
                    <w:lock w:val="sdtLocked"/>
                  </w:sdtPr>
                  <w:sdtContent>
                    <w:tc>
                      <w:tcPr>
                        <w:tcW w:w="2166"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300" w:firstLine="630"/>
                          <w:rPr>
                            <w:szCs w:val="21"/>
                          </w:rPr>
                        </w:pPr>
                        <w:r>
                          <w:t>1.权益法下可转损益的其他综合收益</w:t>
                        </w:r>
                      </w:p>
                    </w:tc>
                  </w:sdtContent>
                </w:sdt>
                <w:tc>
                  <w:tcPr>
                    <w:tcW w:w="562"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jc w:val="both"/>
                      <w:rPr>
                        <w:szCs w:val="21"/>
                      </w:rPr>
                    </w:pPr>
                    <w:r>
                      <w:rPr>
                        <w:rFonts w:hint="eastAsia"/>
                        <w:szCs w:val="21"/>
                      </w:rPr>
                      <w:t>七、</w:t>
                    </w:r>
                    <w:r>
                      <w:rPr>
                        <w:szCs w:val="21"/>
                      </w:rPr>
                      <w:t>77</w:t>
                    </w: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sidRPr="00AB57BF">
                      <w:t>188,747</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Pr>
                        <w:rFonts w:hint="eastAsia"/>
                      </w:rPr>
                      <w:t>-</w:t>
                    </w:r>
                  </w:p>
                </w:tc>
              </w:tr>
              <w:tr w:rsidR="00B637B2" w:rsidTr="00B637B2">
                <w:tc>
                  <w:tcPr>
                    <w:tcW w:w="2166" w:type="pct"/>
                    <w:tcBorders>
                      <w:top w:val="outset" w:sz="4" w:space="0" w:color="auto"/>
                      <w:left w:val="outset" w:sz="4" w:space="0" w:color="auto"/>
                      <w:bottom w:val="outset" w:sz="4" w:space="0" w:color="auto"/>
                      <w:right w:val="outset" w:sz="4" w:space="0" w:color="auto"/>
                    </w:tcBorders>
                    <w:vAlign w:val="center"/>
                  </w:tcPr>
                  <w:sdt>
                    <w:sdtPr>
                      <w:tag w:val="_PLD_a608a9b526b94d059af9488704db19ed"/>
                      <w:id w:val="704682401"/>
                      <w:lock w:val="sdtLocked"/>
                    </w:sdtPr>
                    <w:sdtContent>
                      <w:p w:rsidR="00B637B2" w:rsidRDefault="008F04CF" w:rsidP="00B637B2">
                        <w:pPr>
                          <w:ind w:firstLineChars="300" w:firstLine="630"/>
                        </w:pPr>
                        <w:r>
                          <w:t>2.其他债权投资公允价值变动</w:t>
                        </w:r>
                      </w:p>
                    </w:sdtContent>
                  </w:sdt>
                </w:tc>
                <w:tc>
                  <w:tcPr>
                    <w:tcW w:w="562"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Pr>
                        <w:rFonts w:hint="eastAsia"/>
                      </w:rPr>
                      <w:t>-</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Pr>
                        <w:rFonts w:hint="eastAsia"/>
                      </w:rPr>
                      <w:t>-</w:t>
                    </w:r>
                  </w:p>
                </w:tc>
              </w:tr>
              <w:tr w:rsidR="00B637B2" w:rsidTr="00B637B2">
                <w:tc>
                  <w:tcPr>
                    <w:tcW w:w="2166" w:type="pct"/>
                    <w:tcBorders>
                      <w:top w:val="outset" w:sz="4" w:space="0" w:color="auto"/>
                      <w:left w:val="outset" w:sz="4" w:space="0" w:color="auto"/>
                      <w:bottom w:val="outset" w:sz="4" w:space="0" w:color="auto"/>
                      <w:right w:val="outset" w:sz="4" w:space="0" w:color="auto"/>
                    </w:tcBorders>
                    <w:vAlign w:val="center"/>
                  </w:tcPr>
                  <w:sdt>
                    <w:sdtPr>
                      <w:tag w:val="_PLD_0f2ce5a67d7a4014aaa1158060598b8b"/>
                      <w:id w:val="57059048"/>
                      <w:lock w:val="sdtLocked"/>
                    </w:sdtPr>
                    <w:sdtContent>
                      <w:p w:rsidR="00B637B2" w:rsidRDefault="008F04CF" w:rsidP="00B637B2">
                        <w:pPr>
                          <w:ind w:firstLineChars="300" w:firstLine="630"/>
                        </w:pPr>
                        <w:r>
                          <w:t>3.可供出售金融资产公允价值变动损益</w:t>
                        </w:r>
                      </w:p>
                    </w:sdtContent>
                  </w:sdt>
                </w:tc>
                <w:tc>
                  <w:tcPr>
                    <w:tcW w:w="562" w:type="pct"/>
                    <w:tcBorders>
                      <w:top w:val="outset" w:sz="4" w:space="0" w:color="auto"/>
                      <w:left w:val="outset" w:sz="4" w:space="0" w:color="auto"/>
                      <w:bottom w:val="outset" w:sz="4" w:space="0" w:color="auto"/>
                      <w:right w:val="outset" w:sz="4" w:space="0" w:color="auto"/>
                    </w:tcBorders>
                  </w:tcPr>
                  <w:p w:rsidR="00B637B2" w:rsidRDefault="008F04CF" w:rsidP="00B637B2">
                    <w:pPr>
                      <w:rPr>
                        <w:szCs w:val="21"/>
                      </w:rPr>
                    </w:pPr>
                    <w:r>
                      <w:rPr>
                        <w:rFonts w:hint="eastAsia"/>
                        <w:szCs w:val="21"/>
                      </w:rPr>
                      <w:t>七、</w:t>
                    </w:r>
                    <w:r>
                      <w:rPr>
                        <w:szCs w:val="21"/>
                      </w:rPr>
                      <w:t>77</w:t>
                    </w: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Pr>
                        <w:rFonts w:hint="eastAsia"/>
                      </w:rPr>
                      <w:t>-</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sidRPr="00144C3E">
                      <w:t>-43,995,913</w:t>
                    </w:r>
                  </w:p>
                </w:tc>
              </w:tr>
              <w:tr w:rsidR="00B637B2" w:rsidTr="00B637B2">
                <w:tc>
                  <w:tcPr>
                    <w:tcW w:w="2166"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a9ae8ab6d184d70b8bcabf893d29ffc"/>
                      <w:id w:val="2038539345"/>
                      <w:lock w:val="sdtLocked"/>
                    </w:sdtPr>
                    <w:sdtEndPr>
                      <w:rPr>
                        <w:rFonts w:hint="default"/>
                      </w:rPr>
                    </w:sdtEndPr>
                    <w:sdtContent>
                      <w:p w:rsidR="00B637B2" w:rsidRDefault="008F04CF" w:rsidP="00B637B2">
                        <w:pPr>
                          <w:ind w:firstLineChars="300" w:firstLine="630"/>
                        </w:pPr>
                        <w:r>
                          <w:rPr>
                            <w:rFonts w:hint="eastAsia"/>
                          </w:rPr>
                          <w:t>4</w:t>
                        </w:r>
                        <w:r>
                          <w:t>.金融资产重分类计入其他综合收益的金额</w:t>
                        </w:r>
                      </w:p>
                    </w:sdtContent>
                  </w:sdt>
                </w:tc>
                <w:tc>
                  <w:tcPr>
                    <w:tcW w:w="562"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Pr>
                        <w:rFonts w:hint="eastAsia"/>
                      </w:rPr>
                      <w:t>-</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Pr>
                        <w:rFonts w:hint="eastAsia"/>
                      </w:rPr>
                      <w:t>-</w:t>
                    </w:r>
                  </w:p>
                </w:tc>
              </w:tr>
              <w:tr w:rsidR="00B637B2" w:rsidTr="00B637B2">
                <w:tc>
                  <w:tcPr>
                    <w:tcW w:w="2166" w:type="pct"/>
                    <w:tcBorders>
                      <w:top w:val="outset" w:sz="4" w:space="0" w:color="auto"/>
                      <w:left w:val="outset" w:sz="4" w:space="0" w:color="auto"/>
                      <w:bottom w:val="outset" w:sz="4" w:space="0" w:color="auto"/>
                      <w:right w:val="outset" w:sz="4" w:space="0" w:color="auto"/>
                    </w:tcBorders>
                    <w:vAlign w:val="center"/>
                  </w:tcPr>
                  <w:sdt>
                    <w:sdtPr>
                      <w:tag w:val="_PLD_0dac62f95ae44145aef458a4f1567b0b"/>
                      <w:id w:val="738296021"/>
                      <w:lock w:val="sdtLocked"/>
                    </w:sdtPr>
                    <w:sdtContent>
                      <w:p w:rsidR="00B637B2" w:rsidRDefault="008F04CF" w:rsidP="00B637B2">
                        <w:pPr>
                          <w:ind w:firstLineChars="300" w:firstLine="630"/>
                        </w:pPr>
                        <w:r>
                          <w:t>5.持有至到期投资重分类为可供出售金融资产损益</w:t>
                        </w:r>
                      </w:p>
                    </w:sdtContent>
                  </w:sdt>
                </w:tc>
                <w:tc>
                  <w:tcPr>
                    <w:tcW w:w="562"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Pr>
                        <w:rFonts w:hint="eastAsia"/>
                      </w:rPr>
                      <w:t>-</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Pr>
                        <w:rFonts w:hint="eastAsia"/>
                      </w:rPr>
                      <w:t>-</w:t>
                    </w:r>
                  </w:p>
                </w:tc>
              </w:tr>
              <w:tr w:rsidR="00B637B2" w:rsidTr="00B637B2">
                <w:tc>
                  <w:tcPr>
                    <w:tcW w:w="2166"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45de4743667a48328a43f776b78669b0"/>
                      <w:id w:val="-1044906864"/>
                      <w:lock w:val="sdtLocked"/>
                    </w:sdtPr>
                    <w:sdtEndPr>
                      <w:rPr>
                        <w:rFonts w:hint="default"/>
                      </w:rPr>
                    </w:sdtEndPr>
                    <w:sdtContent>
                      <w:p w:rsidR="00B637B2" w:rsidRDefault="008F04CF" w:rsidP="00B637B2">
                        <w:pPr>
                          <w:ind w:firstLineChars="300" w:firstLine="630"/>
                        </w:pPr>
                        <w:r>
                          <w:rPr>
                            <w:rFonts w:hint="eastAsia"/>
                          </w:rPr>
                          <w:t>6</w:t>
                        </w:r>
                        <w:r>
                          <w:t>.其他债权投资信用减值准备</w:t>
                        </w:r>
                      </w:p>
                    </w:sdtContent>
                  </w:sdt>
                </w:tc>
                <w:tc>
                  <w:tcPr>
                    <w:tcW w:w="562"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sidRPr="00144C3E">
                      <w:t>-</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Pr>
                        <w:rFonts w:hint="eastAsia"/>
                      </w:rPr>
                      <w:t>-</w:t>
                    </w:r>
                  </w:p>
                </w:tc>
              </w:tr>
              <w:tr w:rsidR="00B637B2" w:rsidTr="00B637B2">
                <w:tc>
                  <w:tcPr>
                    <w:tcW w:w="2166" w:type="pct"/>
                    <w:tcBorders>
                      <w:top w:val="outset" w:sz="4" w:space="0" w:color="auto"/>
                      <w:left w:val="outset" w:sz="4" w:space="0" w:color="auto"/>
                      <w:bottom w:val="outset" w:sz="4" w:space="0" w:color="auto"/>
                      <w:right w:val="outset" w:sz="4" w:space="0" w:color="auto"/>
                    </w:tcBorders>
                    <w:vAlign w:val="center"/>
                  </w:tcPr>
                  <w:sdt>
                    <w:sdtPr>
                      <w:tag w:val="_PLD_30eadfe5eb0b43159a484d6e9e241037"/>
                      <w:id w:val="2137599223"/>
                      <w:lock w:val="sdtLocked"/>
                    </w:sdtPr>
                    <w:sdtContent>
                      <w:p w:rsidR="00B637B2" w:rsidRDefault="008F04CF" w:rsidP="00B637B2">
                        <w:pPr>
                          <w:ind w:firstLineChars="300" w:firstLine="630"/>
                        </w:pPr>
                        <w:r>
                          <w:t>7.现金流量套期储备（现金流量套期损益的有效部分）</w:t>
                        </w:r>
                      </w:p>
                    </w:sdtContent>
                  </w:sdt>
                </w:tc>
                <w:tc>
                  <w:tcPr>
                    <w:tcW w:w="562"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jc w:val="both"/>
                      <w:rPr>
                        <w:szCs w:val="21"/>
                      </w:rPr>
                    </w:pPr>
                    <w:r>
                      <w:rPr>
                        <w:rFonts w:hint="eastAsia"/>
                        <w:szCs w:val="21"/>
                      </w:rPr>
                      <w:t>七、</w:t>
                    </w:r>
                    <w:r>
                      <w:rPr>
                        <w:szCs w:val="21"/>
                      </w:rPr>
                      <w:t>77</w:t>
                    </w: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Pr>
                        <w:rFonts w:hint="eastAsia"/>
                      </w:rPr>
                      <w:t>-</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sidRPr="00AB57BF">
                      <w:t>-1,261,406</w:t>
                    </w:r>
                  </w:p>
                </w:tc>
              </w:tr>
              <w:tr w:rsidR="00B637B2" w:rsidTr="00B637B2">
                <w:tc>
                  <w:tcPr>
                    <w:tcW w:w="2166" w:type="pct"/>
                    <w:tcBorders>
                      <w:top w:val="outset" w:sz="4" w:space="0" w:color="auto"/>
                      <w:left w:val="outset" w:sz="4" w:space="0" w:color="auto"/>
                      <w:bottom w:val="outset" w:sz="4" w:space="0" w:color="auto"/>
                      <w:right w:val="outset" w:sz="4" w:space="0" w:color="auto"/>
                    </w:tcBorders>
                    <w:vAlign w:val="center"/>
                  </w:tcPr>
                  <w:sdt>
                    <w:sdtPr>
                      <w:tag w:val="_PLD_a5d181921d264dc2857e201385fa2b90"/>
                      <w:id w:val="1442649485"/>
                      <w:lock w:val="sdtLocked"/>
                    </w:sdtPr>
                    <w:sdtContent>
                      <w:p w:rsidR="00B637B2" w:rsidRDefault="008F04CF" w:rsidP="00B637B2">
                        <w:pPr>
                          <w:ind w:firstLineChars="300" w:firstLine="630"/>
                        </w:pPr>
                        <w:r>
                          <w:t>8.外币财务报表折算差额</w:t>
                        </w:r>
                      </w:p>
                    </w:sdtContent>
                  </w:sdt>
                </w:tc>
                <w:tc>
                  <w:tcPr>
                    <w:tcW w:w="562" w:type="pct"/>
                    <w:tcBorders>
                      <w:top w:val="outset" w:sz="4" w:space="0" w:color="auto"/>
                      <w:left w:val="outset" w:sz="4" w:space="0" w:color="auto"/>
                      <w:bottom w:val="outset" w:sz="4" w:space="0" w:color="auto"/>
                      <w:right w:val="outset" w:sz="4" w:space="0" w:color="auto"/>
                    </w:tcBorders>
                  </w:tcPr>
                  <w:p w:rsidR="00B637B2" w:rsidRDefault="008F04CF" w:rsidP="00B637B2">
                    <w:pPr>
                      <w:rPr>
                        <w:szCs w:val="21"/>
                      </w:rPr>
                    </w:pPr>
                    <w:r>
                      <w:rPr>
                        <w:rFonts w:hint="eastAsia"/>
                        <w:szCs w:val="21"/>
                      </w:rPr>
                      <w:t>七、</w:t>
                    </w:r>
                    <w:r>
                      <w:rPr>
                        <w:szCs w:val="21"/>
                      </w:rPr>
                      <w:t>77</w:t>
                    </w: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t>-670,270</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t>-5,561,597</w:t>
                    </w:r>
                  </w:p>
                </w:tc>
              </w:tr>
              <w:tr w:rsidR="00B637B2" w:rsidTr="00B637B2">
                <w:tc>
                  <w:tcPr>
                    <w:tcW w:w="2166" w:type="pct"/>
                    <w:tcBorders>
                      <w:top w:val="outset" w:sz="4" w:space="0" w:color="auto"/>
                      <w:left w:val="outset" w:sz="4" w:space="0" w:color="auto"/>
                      <w:bottom w:val="outset" w:sz="4" w:space="0" w:color="auto"/>
                      <w:right w:val="outset" w:sz="4" w:space="0" w:color="auto"/>
                    </w:tcBorders>
                    <w:vAlign w:val="center"/>
                  </w:tcPr>
                  <w:sdt>
                    <w:sdtPr>
                      <w:tag w:val="_PLD_efc9c8840682443ab9c10573fa124a4f"/>
                      <w:id w:val="-26958520"/>
                      <w:lock w:val="sdtLocked"/>
                    </w:sdtPr>
                    <w:sdtContent>
                      <w:p w:rsidR="00B637B2" w:rsidRDefault="008F04CF" w:rsidP="00B637B2">
                        <w:pPr>
                          <w:ind w:firstLineChars="300" w:firstLine="630"/>
                        </w:pPr>
                        <w:r>
                          <w:t>9.其他</w:t>
                        </w:r>
                      </w:p>
                    </w:sdtContent>
                  </w:sdt>
                </w:tc>
                <w:tc>
                  <w:tcPr>
                    <w:tcW w:w="562"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Pr>
                        <w:rFonts w:hint="eastAsia"/>
                      </w:rPr>
                      <w:t>-</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Pr>
                        <w:rFonts w:hint="eastAsia"/>
                      </w:rPr>
                      <w:t>-</w:t>
                    </w:r>
                  </w:p>
                </w:tc>
              </w:tr>
              <w:tr w:rsidR="00B637B2" w:rsidTr="00B637B2">
                <w:sdt>
                  <w:sdtPr>
                    <w:tag w:val="_PLD_4f19daa8ec184be19a8a0afe308c1896"/>
                    <w:id w:val="709687730"/>
                    <w:lock w:val="sdtLocked"/>
                  </w:sdtPr>
                  <w:sdtContent>
                    <w:tc>
                      <w:tcPr>
                        <w:tcW w:w="2166"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归属于少数股东的其他综合收益的税后净额</w:t>
                        </w:r>
                      </w:p>
                    </w:tc>
                  </w:sdtContent>
                </w:sdt>
                <w:tc>
                  <w:tcPr>
                    <w:tcW w:w="562"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sidRPr="00144C3E">
                      <w:t>-381,138</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sidRPr="00144C3E">
                      <w:t>-858,334</w:t>
                    </w:r>
                  </w:p>
                </w:tc>
              </w:tr>
              <w:tr w:rsidR="00B637B2" w:rsidTr="00B637B2">
                <w:sdt>
                  <w:sdtPr>
                    <w:tag w:val="_PLD_29e4ab6c011f4b23961b002b616b19d8"/>
                    <w:id w:val="-1604259503"/>
                    <w:lock w:val="sdtLocked"/>
                  </w:sdtPr>
                  <w:sdtContent>
                    <w:tc>
                      <w:tcPr>
                        <w:tcW w:w="2166"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rPr>
                            <w:szCs w:val="21"/>
                          </w:rPr>
                        </w:pPr>
                        <w:r>
                          <w:rPr>
                            <w:rFonts w:hint="eastAsia"/>
                            <w:szCs w:val="21"/>
                          </w:rPr>
                          <w:t>七、综合收益总额</w:t>
                        </w:r>
                      </w:p>
                    </w:tc>
                  </w:sdtContent>
                </w:sdt>
                <w:tc>
                  <w:tcPr>
                    <w:tcW w:w="562"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sidRPr="00144C3E">
                      <w:t>558,961,915</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sidRPr="00144C3E">
                      <w:t>173,015,185</w:t>
                    </w:r>
                  </w:p>
                </w:tc>
              </w:tr>
              <w:tr w:rsidR="00B637B2" w:rsidTr="00B637B2">
                <w:sdt>
                  <w:sdtPr>
                    <w:tag w:val="_PLD_c6a40d405b9d4a8a8406c1d4ba16ad58"/>
                    <w:id w:val="467555605"/>
                    <w:lock w:val="sdtLocked"/>
                  </w:sdtPr>
                  <w:sdtContent>
                    <w:tc>
                      <w:tcPr>
                        <w:tcW w:w="2166"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归属于母公司所有者的综合收益总额</w:t>
                        </w:r>
                      </w:p>
                    </w:tc>
                  </w:sdtContent>
                </w:sdt>
                <w:tc>
                  <w:tcPr>
                    <w:tcW w:w="562"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sidRPr="00144C3E">
                      <w:t>481,898,066</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sidRPr="00144C3E">
                      <w:t>72,837,588</w:t>
                    </w:r>
                  </w:p>
                </w:tc>
              </w:tr>
              <w:tr w:rsidR="00B637B2" w:rsidTr="00B637B2">
                <w:sdt>
                  <w:sdtPr>
                    <w:tag w:val="_PLD_a3f7a78de9cc4a0c8e2b3e050895da67"/>
                    <w:id w:val="1662345627"/>
                    <w:lock w:val="sdtLocked"/>
                  </w:sdtPr>
                  <w:sdtContent>
                    <w:tc>
                      <w:tcPr>
                        <w:tcW w:w="2166"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归属于少数股东的综合收益总额</w:t>
                        </w:r>
                      </w:p>
                    </w:tc>
                  </w:sdtContent>
                </w:sdt>
                <w:tc>
                  <w:tcPr>
                    <w:tcW w:w="562"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t>77,063,849</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t>100,177,597</w:t>
                    </w:r>
                  </w:p>
                </w:tc>
              </w:tr>
              <w:tr w:rsidR="00B637B2" w:rsidTr="00B637B2">
                <w:sdt>
                  <w:sdtPr>
                    <w:tag w:val="_PLD_2faba48500f741229b3467bfe3ce2495"/>
                    <w:id w:val="-752122411"/>
                    <w:lock w:val="sdtLocked"/>
                  </w:sdtPr>
                  <w:sdtContent>
                    <w:tc>
                      <w:tcPr>
                        <w:tcW w:w="2166"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rPr>
                            <w:color w:val="000000"/>
                            <w:szCs w:val="21"/>
                          </w:rPr>
                        </w:pPr>
                        <w:r>
                          <w:rPr>
                            <w:rFonts w:hint="eastAsia"/>
                            <w:szCs w:val="21"/>
                          </w:rPr>
                          <w:t>八、每股收益：</w:t>
                        </w:r>
                      </w:p>
                    </w:tc>
                  </w:sdtContent>
                </w:sdt>
                <w:tc>
                  <w:tcPr>
                    <w:tcW w:w="562" w:type="pct"/>
                    <w:tcBorders>
                      <w:top w:val="outset" w:sz="4" w:space="0" w:color="auto"/>
                      <w:left w:val="outset" w:sz="4" w:space="0" w:color="auto"/>
                      <w:bottom w:val="outset" w:sz="4" w:space="0" w:color="auto"/>
                      <w:right w:val="outset" w:sz="4" w:space="0" w:color="auto"/>
                    </w:tcBorders>
                  </w:tcPr>
                  <w:p w:rsidR="00B637B2" w:rsidRDefault="00B637B2" w:rsidP="00B637B2">
                    <w:pPr>
                      <w:rPr>
                        <w:color w:val="008000"/>
                        <w:szCs w:val="21"/>
                      </w:rPr>
                    </w:pP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144C3E" w:rsidRDefault="00B637B2" w:rsidP="00B637B2">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144C3E" w:rsidRDefault="00B637B2" w:rsidP="00B637B2">
                    <w:pPr>
                      <w:jc w:val="right"/>
                    </w:pPr>
                  </w:p>
                </w:tc>
              </w:tr>
              <w:tr w:rsidR="00B637B2" w:rsidTr="00B637B2">
                <w:sdt>
                  <w:sdtPr>
                    <w:tag w:val="_PLD_16d9b9d4e8c34e3b874fbdaedc915880"/>
                    <w:id w:val="-1714337854"/>
                    <w:lock w:val="sdtLocked"/>
                  </w:sdtPr>
                  <w:sdtContent>
                    <w:tc>
                      <w:tcPr>
                        <w:tcW w:w="2166"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szCs w:val="21"/>
                          </w:rPr>
                          <w:t>（一）基本每股收益</w:t>
                        </w:r>
                        <w:r>
                          <w:rPr>
                            <w:rFonts w:hint="eastAsia"/>
                            <w:szCs w:val="21"/>
                          </w:rPr>
                          <w:t>(元/股)</w:t>
                        </w:r>
                      </w:p>
                    </w:tc>
                  </w:sdtContent>
                </w:sdt>
                <w:tc>
                  <w:tcPr>
                    <w:tcW w:w="562"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sidRPr="00144C3E">
                      <w:t>0.19</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jc w:val="right"/>
                    </w:pPr>
                    <w:r w:rsidRPr="00144C3E">
                      <w:t>0.05</w:t>
                    </w:r>
                  </w:p>
                </w:tc>
              </w:tr>
              <w:tr w:rsidR="00B637B2" w:rsidTr="00B637B2">
                <w:sdt>
                  <w:sdtPr>
                    <w:tag w:val="_PLD_ec4d9e148cba4e79bb3da0f8a0ddb92a"/>
                    <w:id w:val="830717993"/>
                    <w:lock w:val="sdtLocked"/>
                  </w:sdtPr>
                  <w:sdtContent>
                    <w:tc>
                      <w:tcPr>
                        <w:tcW w:w="2166"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szCs w:val="21"/>
                          </w:rPr>
                          <w:t>（二）稀释每股收益</w:t>
                        </w:r>
                        <w:r>
                          <w:rPr>
                            <w:rFonts w:hint="eastAsia"/>
                            <w:szCs w:val="21"/>
                          </w:rPr>
                          <w:t>(元/股)</w:t>
                        </w:r>
                      </w:p>
                    </w:tc>
                  </w:sdtContent>
                </w:sdt>
                <w:tc>
                  <w:tcPr>
                    <w:tcW w:w="562"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sidRPr="00144C3E">
                      <w:t>0.19</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144C3E" w:rsidRDefault="008F04CF" w:rsidP="00B637B2">
                    <w:pPr>
                      <w:jc w:val="right"/>
                    </w:pPr>
                    <w:r w:rsidRPr="00144C3E">
                      <w:t>0.05</w:t>
                    </w:r>
                  </w:p>
                </w:tc>
              </w:tr>
            </w:tbl>
            <w:p w:rsidR="00B637B2" w:rsidRDefault="00B637B2"/>
            <w:p w:rsidR="00ED2DC7" w:rsidRDefault="00ED2DC7">
              <w:pPr>
                <w:rPr>
                  <w:b/>
                  <w:bCs/>
                  <w:color w:val="FF0000"/>
                  <w:szCs w:val="21"/>
                </w:rPr>
              </w:pPr>
              <w:r>
                <w:rPr>
                  <w:rFonts w:hint="eastAsia"/>
                  <w:szCs w:val="21"/>
                </w:rPr>
                <w:t>本期发生同一控制下企业合并的，被合并方在合并前实现的净利润为：</w:t>
              </w:r>
              <w:sdt>
                <w:sdtPr>
                  <w:rPr>
                    <w:rFonts w:hint="eastAsia"/>
                    <w:szCs w:val="21"/>
                  </w:rPr>
                  <w:alias w:val="同一控制下的企业合并中被合并方在合并前实现的净利润"/>
                  <w:tag w:val="_GBC_0d3f3004d896427080339d4b0e2d499c"/>
                  <w:id w:val="1378197623"/>
                  <w:lock w:val="sdtLocked"/>
                  <w:placeholder>
                    <w:docPart w:val="GBC22222222222222222222222222222"/>
                  </w:placeholder>
                </w:sdtPr>
                <w:sdtContent>
                  <w:r w:rsidR="00812AD4">
                    <w:rPr>
                      <w:color w:val="333399"/>
                      <w:szCs w:val="21"/>
                      <w:u w:val="single"/>
                    </w:rPr>
                    <w:t>0</w:t>
                  </w:r>
                </w:sdtContent>
              </w:sdt>
              <w:r>
                <w:rPr>
                  <w:rFonts w:hint="eastAsia"/>
                  <w:szCs w:val="21"/>
                </w:rPr>
                <w:t xml:space="preserve"> 元, 上期被合并方实现的净利润为： </w:t>
              </w:r>
              <w:sdt>
                <w:sdtPr>
                  <w:rPr>
                    <w:rFonts w:hint="eastAsia"/>
                    <w:szCs w:val="21"/>
                  </w:rPr>
                  <w:alias w:val="同一控制下的企业合并中被合并方在合并前实现的净利润"/>
                  <w:tag w:val="_GBC_7e8cf02e71b9434883c60dcb8fb33270"/>
                  <w:id w:val="1327163606"/>
                  <w:lock w:val="sdtLocked"/>
                  <w:placeholder>
                    <w:docPart w:val="GBC22222222222222222222222222222"/>
                  </w:placeholder>
                </w:sdtPr>
                <w:sdtEndPr>
                  <w:rPr>
                    <w:rFonts w:hint="default"/>
                  </w:rPr>
                </w:sdtEndPr>
                <w:sdtContent>
                  <w:r w:rsidR="00812AD4">
                    <w:rPr>
                      <w:szCs w:val="21"/>
                    </w:rPr>
                    <w:t>0</w:t>
                  </w:r>
                </w:sdtContent>
              </w:sdt>
              <w:r>
                <w:rPr>
                  <w:rFonts w:hint="eastAsia"/>
                  <w:szCs w:val="21"/>
                </w:rPr>
                <w:t xml:space="preserve"> 元。</w:t>
              </w:r>
            </w:p>
            <w:p w:rsidR="00ED2DC7" w:rsidRDefault="00ED2DC7">
              <w:pPr>
                <w:rPr>
                  <w:color w:val="008000"/>
                  <w:szCs w:val="21"/>
                  <w:u w:val="single"/>
                </w:rPr>
              </w:pPr>
              <w:r>
                <w:rPr>
                  <w:szCs w:val="21"/>
                </w:rPr>
                <w:t>法定代表人</w:t>
              </w:r>
              <w:r>
                <w:rPr>
                  <w:rFonts w:hint="eastAsia"/>
                  <w:szCs w:val="21"/>
                </w:rPr>
                <w:t>：</w:t>
              </w:r>
              <w:sdt>
                <w:sdtPr>
                  <w:rPr>
                    <w:rFonts w:hint="eastAsia"/>
                    <w:szCs w:val="21"/>
                  </w:rPr>
                  <w:alias w:val="公司法定代表人"/>
                  <w:tag w:val="_GBC_84d2ead02dbe49699dff5184a9cd1bd3"/>
                  <w:id w:val="-688683077"/>
                  <w:lock w:val="sdtLocked"/>
                  <w:placeholder>
                    <w:docPart w:val="GBC22222222222222222222222222222"/>
                  </w:placeholder>
                  <w:dataBinding w:prefixMappings="xmlns:clcid-cgi='clcid-cgi'" w:xpath="/*/clcid-cgi:GongSiFaDingDaiBiaoRen[not(@periodRef)]" w:storeItemID="{89EBAB94-44A0-46A2-B712-30D997D04A6D}"/>
                  <w:text/>
                </w:sdtPr>
                <w:sdtContent>
                  <w:r w:rsidR="008F04CF">
                    <w:rPr>
                      <w:rFonts w:hint="eastAsia"/>
                      <w:szCs w:val="21"/>
                    </w:rPr>
                    <w:t>王文京</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e958f3d59232458da90c4799548d15ea"/>
                  <w:id w:val="2043626908"/>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8F04CF">
                    <w:rPr>
                      <w:rFonts w:hint="eastAsia"/>
                      <w:szCs w:val="21"/>
                    </w:rPr>
                    <w:t>章培林</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83eea96809554a8b86e8c53c6e3da040"/>
                  <w:id w:val="-978303309"/>
                  <w:lock w:val="sdtLocked"/>
                  <w:placeholder>
                    <w:docPart w:val="GBC22222222222222222222222222222"/>
                  </w:placeholder>
                  <w:dataBinding w:prefixMappings="xmlns:clcid-mr='clcid-mr'" w:xpath="/*/clcid-mr:KuaiJiJiGouFuZeRenXingMing[not(@periodRef)]" w:storeItemID="{89EBAB94-44A0-46A2-B712-30D997D04A6D}"/>
                  <w:text/>
                </w:sdtPr>
                <w:sdtContent>
                  <w:r w:rsidR="008F04CF">
                    <w:rPr>
                      <w:rFonts w:hint="eastAsia"/>
                      <w:szCs w:val="21"/>
                    </w:rPr>
                    <w:t>孙淑嫔</w:t>
                  </w:r>
                </w:sdtContent>
              </w:sdt>
            </w:p>
          </w:sdtContent>
        </w:sdt>
        <w:p w:rsidR="00ED2DC7" w:rsidRDefault="00ED2DC7">
          <w:pPr>
            <w:rPr>
              <w:color w:val="008000"/>
              <w:szCs w:val="21"/>
              <w:u w:val="single"/>
            </w:rPr>
          </w:pPr>
        </w:p>
        <w:p w:rsidR="00ED2DC7" w:rsidRDefault="00ED2DC7">
          <w:pPr>
            <w:rPr>
              <w:color w:val="008000"/>
              <w:szCs w:val="21"/>
              <w:u w:val="single"/>
            </w:rPr>
          </w:pPr>
        </w:p>
        <w:sdt>
          <w:sdtPr>
            <w:rPr>
              <w:rFonts w:ascii="宋体" w:hAnsi="宋体" w:cs="宋体" w:hint="eastAsia"/>
              <w:b w:val="0"/>
              <w:bCs w:val="0"/>
              <w:kern w:val="0"/>
              <w:szCs w:val="24"/>
            </w:rPr>
            <w:tag w:val="_GBC_fab740d2e6854481af171030c14673b7"/>
            <w:id w:val="1073930425"/>
            <w:lock w:val="sdtLocked"/>
            <w:placeholder>
              <w:docPart w:val="GBC22222222222222222222222222222"/>
            </w:placeholder>
          </w:sdtPr>
          <w:sdtEndPr>
            <w:rPr>
              <w:rFonts w:cs="宋体-方正超大字符集"/>
              <w:szCs w:val="21"/>
            </w:rPr>
          </w:sdtEndPr>
          <w:sdtContent>
            <w:p w:rsidR="00ED2DC7" w:rsidRDefault="00ED2DC7">
              <w:pPr>
                <w:pStyle w:val="affffffffffffffffff1"/>
                <w:jc w:val="center"/>
              </w:pPr>
              <w:r>
                <w:rPr>
                  <w:rFonts w:hint="eastAsia"/>
                </w:rPr>
                <w:t>母公司</w:t>
              </w:r>
              <w:r>
                <w:t>利润表</w:t>
              </w:r>
            </w:p>
            <w:p w:rsidR="00ED2DC7" w:rsidRDefault="00ED2DC7">
              <w:pPr>
                <w:jc w:val="center"/>
                <w:rPr>
                  <w:b/>
                  <w:bCs/>
                  <w:szCs w:val="21"/>
                </w:rPr>
              </w:pPr>
              <w:r>
                <w:rPr>
                  <w:szCs w:val="21"/>
                </w:rPr>
                <w:t>2019年</w:t>
              </w:r>
              <w:r>
                <w:rPr>
                  <w:rFonts w:hint="eastAsia"/>
                  <w:szCs w:val="21"/>
                </w:rPr>
                <w:t>1—6</w:t>
              </w:r>
              <w:r>
                <w:rPr>
                  <w:szCs w:val="21"/>
                </w:rPr>
                <w:t>月</w:t>
              </w:r>
            </w:p>
            <w:p w:rsidR="00ED2DC7" w:rsidRDefault="00ED2DC7">
              <w:pPr>
                <w:snapToGrid w:val="0"/>
                <w:spacing w:line="240" w:lineRule="atLeast"/>
                <w:jc w:val="right"/>
                <w:rPr>
                  <w:b/>
                  <w:bCs/>
                  <w:color w:val="FF0000"/>
                  <w:szCs w:val="21"/>
                </w:rPr>
              </w:pPr>
              <w:r>
                <w:rPr>
                  <w:szCs w:val="21"/>
                </w:rPr>
                <w:t>单位:</w:t>
              </w:r>
              <w:sdt>
                <w:sdtPr>
                  <w:rPr>
                    <w:szCs w:val="21"/>
                  </w:rPr>
                  <w:alias w:val="单位：母公司利润表"/>
                  <w:tag w:val="_GBC_955732cd74ff4f1f9b098e70c1b85c60"/>
                  <w:id w:val="-101908065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szCs w:val="21"/>
                    </w:rPr>
                    <w:t>元</w:t>
                  </w:r>
                </w:sdtContent>
              </w:sdt>
              <w:r>
                <w:rPr>
                  <w:szCs w:val="21"/>
                </w:rPr>
                <w:t xml:space="preserve">  币种:</w:t>
              </w:r>
              <w:sdt>
                <w:sdtPr>
                  <w:rPr>
                    <w:szCs w:val="21"/>
                  </w:rPr>
                  <w:alias w:val="币种：母公司利润表"/>
                  <w:tag w:val="_GBC_125a2547934143ccb384434361f57d37"/>
                  <w:id w:val="565976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szCs w:val="21"/>
                    </w:rPr>
                    <w:t>人民币</w:t>
                  </w:r>
                </w:sdtContent>
              </w:sdt>
            </w:p>
            <w:tbl>
              <w:tblPr>
                <w:tblStyle w:val="g38"/>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823"/>
                <w:gridCol w:w="992"/>
                <w:gridCol w:w="2042"/>
                <w:gridCol w:w="1966"/>
              </w:tblGrid>
              <w:tr w:rsidR="00B637B2" w:rsidTr="00B637B2">
                <w:trPr>
                  <w:cantSplit/>
                </w:trPr>
                <w:tc>
                  <w:tcPr>
                    <w:tcW w:w="2166"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2746da9ce382479bbcc34de94cc91419"/>
                      <w:id w:val="-1653212191"/>
                      <w:lock w:val="sdtLocked"/>
                    </w:sdtPr>
                    <w:sdtContent>
                      <w:p w:rsidR="00B637B2" w:rsidRDefault="008F04CF" w:rsidP="00B637B2">
                        <w:pPr>
                          <w:ind w:leftChars="-19" w:hangingChars="19" w:hanging="40"/>
                          <w:jc w:val="center"/>
                          <w:rPr>
                            <w:b/>
                          </w:rPr>
                        </w:pPr>
                        <w:r>
                          <w:rPr>
                            <w:rFonts w:hint="eastAsia"/>
                            <w:b/>
                          </w:rPr>
                          <w:t>项目</w:t>
                        </w:r>
                      </w:p>
                    </w:sdtContent>
                  </w:sdt>
                </w:tc>
                <w:tc>
                  <w:tcPr>
                    <w:tcW w:w="562" w:type="pct"/>
                    <w:tcBorders>
                      <w:top w:val="outset" w:sz="4" w:space="0" w:color="auto"/>
                      <w:left w:val="outset" w:sz="4" w:space="0" w:color="auto"/>
                      <w:bottom w:val="outset" w:sz="4" w:space="0" w:color="auto"/>
                      <w:right w:val="outset" w:sz="4" w:space="0" w:color="auto"/>
                    </w:tcBorders>
                  </w:tcPr>
                  <w:sdt>
                    <w:sdtPr>
                      <w:rPr>
                        <w:rFonts w:hint="eastAsia"/>
                        <w:b/>
                      </w:rPr>
                      <w:tag w:val="_PLD_353d1b95815e4cb9bce619c23384aae7"/>
                      <w:id w:val="1605762359"/>
                      <w:lock w:val="sdtLocked"/>
                    </w:sdtPr>
                    <w:sdtContent>
                      <w:p w:rsidR="00B637B2" w:rsidRDefault="008F04CF" w:rsidP="00B637B2">
                        <w:pPr>
                          <w:jc w:val="center"/>
                          <w:rPr>
                            <w:b/>
                          </w:rPr>
                        </w:pPr>
                        <w:r>
                          <w:rPr>
                            <w:rFonts w:hint="eastAsia"/>
                            <w:b/>
                          </w:rPr>
                          <w:t>附注</w:t>
                        </w:r>
                      </w:p>
                    </w:sdtContent>
                  </w:sdt>
                </w:tc>
                <w:tc>
                  <w:tcPr>
                    <w:tcW w:w="1157"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aa6da19e961f4f0aa9c1f47a5d8bdb21"/>
                      <w:id w:val="-1926866331"/>
                      <w:lock w:val="sdtLocked"/>
                    </w:sdtPr>
                    <w:sdtContent>
                      <w:p w:rsidR="00B637B2" w:rsidRDefault="008F04CF" w:rsidP="00B637B2">
                        <w:pPr>
                          <w:jc w:val="center"/>
                          <w:rPr>
                            <w:b/>
                          </w:rPr>
                        </w:pPr>
                        <w:r>
                          <w:rPr>
                            <w:rFonts w:hint="eastAsia"/>
                            <w:b/>
                          </w:rPr>
                          <w:t>201</w:t>
                        </w:r>
                        <w:r>
                          <w:rPr>
                            <w:b/>
                          </w:rPr>
                          <w:t>9</w:t>
                        </w:r>
                        <w:r>
                          <w:rPr>
                            <w:rFonts w:hint="eastAsia"/>
                            <w:b/>
                          </w:rPr>
                          <w:t>年半年度</w:t>
                        </w:r>
                      </w:p>
                    </w:sdtContent>
                  </w:sdt>
                </w:tc>
                <w:tc>
                  <w:tcPr>
                    <w:tcW w:w="1114"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fd6f3d63a7544a05b6f572cee64f39fb"/>
                      <w:id w:val="514504395"/>
                      <w:lock w:val="sdtLocked"/>
                    </w:sdtPr>
                    <w:sdtContent>
                      <w:p w:rsidR="00B637B2" w:rsidRDefault="008F04CF" w:rsidP="00B637B2">
                        <w:pPr>
                          <w:jc w:val="center"/>
                          <w:rPr>
                            <w:b/>
                          </w:rPr>
                        </w:pPr>
                        <w:r>
                          <w:rPr>
                            <w:rFonts w:hint="eastAsia"/>
                            <w:b/>
                          </w:rPr>
                          <w:t>2018年半年度</w:t>
                        </w:r>
                      </w:p>
                    </w:sdtContent>
                  </w:sdt>
                </w:tc>
              </w:tr>
              <w:tr w:rsidR="00B637B2" w:rsidTr="00B637B2">
                <w:sdt>
                  <w:sdtPr>
                    <w:tag w:val="_PLD_064cf96d2f1c4cf0927ae1121cfbe089"/>
                    <w:id w:val="-525561444"/>
                    <w:lock w:val="sdtLocked"/>
                  </w:sdtPr>
                  <w:sdtContent>
                    <w:tc>
                      <w:tcPr>
                        <w:tcW w:w="2166"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left="-19"/>
                          <w:rPr>
                            <w:color w:val="000000"/>
                            <w:szCs w:val="21"/>
                          </w:rPr>
                        </w:pPr>
                        <w:r>
                          <w:rPr>
                            <w:rFonts w:hint="eastAsia"/>
                            <w:szCs w:val="21"/>
                          </w:rPr>
                          <w:t>一、营业收入</w:t>
                        </w:r>
                      </w:p>
                    </w:tc>
                  </w:sdtContent>
                </w:sdt>
                <w:tc>
                  <w:tcPr>
                    <w:tcW w:w="562" w:type="pct"/>
                    <w:tcBorders>
                      <w:top w:val="outset" w:sz="4" w:space="0" w:color="auto"/>
                      <w:left w:val="outset" w:sz="4" w:space="0" w:color="auto"/>
                      <w:bottom w:val="outset" w:sz="4" w:space="0" w:color="auto"/>
                      <w:right w:val="outset" w:sz="4" w:space="0" w:color="auto"/>
                    </w:tcBorders>
                  </w:tcPr>
                  <w:p w:rsidR="00B637B2" w:rsidRDefault="008F04CF" w:rsidP="00B637B2">
                    <w:pPr>
                      <w:rPr>
                        <w:szCs w:val="21"/>
                      </w:rPr>
                    </w:pPr>
                    <w:r>
                      <w:rPr>
                        <w:rFonts w:hint="eastAsia"/>
                        <w:szCs w:val="21"/>
                      </w:rPr>
                      <w:t>十七、4</w:t>
                    </w: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D6646B" w:rsidRDefault="008F04CF" w:rsidP="00B637B2">
                    <w:pPr>
                      <w:jc w:val="right"/>
                    </w:pPr>
                    <w:r w:rsidRPr="00D6646B">
                      <w:t>1,258,267,434</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D6646B" w:rsidRDefault="008F04CF" w:rsidP="00B637B2">
                    <w:pPr>
                      <w:jc w:val="right"/>
                    </w:pPr>
                    <w:r w:rsidRPr="00D6646B">
                      <w:t>1,111,011,583</w:t>
                    </w:r>
                  </w:p>
                </w:tc>
              </w:tr>
              <w:tr w:rsidR="00B637B2" w:rsidTr="00B637B2">
                <w:sdt>
                  <w:sdtPr>
                    <w:tag w:val="_PLD_d41d97fe7493434d8f6c5694b95ac217"/>
                    <w:id w:val="1813748410"/>
                    <w:lock w:val="sdtLocked"/>
                  </w:sdtPr>
                  <w:sdtContent>
                    <w:tc>
                      <w:tcPr>
                        <w:tcW w:w="2166"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color w:val="000000"/>
                            <w:szCs w:val="21"/>
                          </w:rPr>
                        </w:pPr>
                        <w:r>
                          <w:rPr>
                            <w:rFonts w:hint="eastAsia"/>
                            <w:szCs w:val="21"/>
                          </w:rPr>
                          <w:t>减：营业成本</w:t>
                        </w:r>
                      </w:p>
                    </w:tc>
                  </w:sdtContent>
                </w:sdt>
                <w:tc>
                  <w:tcPr>
                    <w:tcW w:w="562" w:type="pct"/>
                    <w:tcBorders>
                      <w:top w:val="outset" w:sz="4" w:space="0" w:color="auto"/>
                      <w:left w:val="outset" w:sz="4" w:space="0" w:color="auto"/>
                      <w:bottom w:val="outset" w:sz="4" w:space="0" w:color="auto"/>
                      <w:right w:val="outset" w:sz="4" w:space="0" w:color="auto"/>
                    </w:tcBorders>
                  </w:tcPr>
                  <w:p w:rsidR="00B637B2" w:rsidRDefault="008F04CF" w:rsidP="00B637B2">
                    <w:pPr>
                      <w:rPr>
                        <w:szCs w:val="21"/>
                      </w:rPr>
                    </w:pPr>
                    <w:r>
                      <w:rPr>
                        <w:rFonts w:hint="eastAsia"/>
                        <w:szCs w:val="21"/>
                      </w:rPr>
                      <w:t>十七、4</w:t>
                    </w: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D6646B" w:rsidRDefault="008F04CF" w:rsidP="00B637B2">
                    <w:pPr>
                      <w:jc w:val="right"/>
                    </w:pPr>
                    <w:r w:rsidRPr="00D6646B">
                      <w:t>328,234,771</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D6646B" w:rsidRDefault="008F04CF" w:rsidP="00B637B2">
                    <w:pPr>
                      <w:jc w:val="right"/>
                    </w:pPr>
                    <w:r w:rsidRPr="00D6646B">
                      <w:t>283,501,676</w:t>
                    </w:r>
                  </w:p>
                </w:tc>
              </w:tr>
              <w:tr w:rsidR="00B637B2" w:rsidTr="00B637B2">
                <w:sdt>
                  <w:sdtPr>
                    <w:tag w:val="_PLD_310d343d286f48cca8b82d2d78d02a7b"/>
                    <w:id w:val="790019274"/>
                    <w:lock w:val="sdtLocked"/>
                  </w:sdtPr>
                  <w:sdtContent>
                    <w:tc>
                      <w:tcPr>
                        <w:tcW w:w="2166"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300" w:firstLine="630"/>
                          <w:rPr>
                            <w:szCs w:val="21"/>
                          </w:rPr>
                        </w:pPr>
                        <w:r>
                          <w:rPr>
                            <w:rFonts w:hint="eastAsia"/>
                            <w:szCs w:val="21"/>
                          </w:rPr>
                          <w:t>税金及附加</w:t>
                        </w:r>
                      </w:p>
                    </w:tc>
                  </w:sdtContent>
                </w:sdt>
                <w:tc>
                  <w:tcPr>
                    <w:tcW w:w="562"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D6646B" w:rsidRDefault="008F04CF" w:rsidP="00B637B2">
                    <w:pPr>
                      <w:jc w:val="right"/>
                    </w:pPr>
                    <w:r w:rsidRPr="00D6646B">
                      <w:t>32,025,405</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D6646B" w:rsidRDefault="008F04CF" w:rsidP="00B637B2">
                    <w:pPr>
                      <w:jc w:val="right"/>
                    </w:pPr>
                    <w:r w:rsidRPr="00D6646B">
                      <w:t>27,703,737</w:t>
                    </w:r>
                  </w:p>
                </w:tc>
              </w:tr>
              <w:tr w:rsidR="00B637B2" w:rsidTr="00B637B2">
                <w:sdt>
                  <w:sdtPr>
                    <w:tag w:val="_PLD_991800b670f245798d81fceda321ab53"/>
                    <w:id w:val="111791441"/>
                    <w:lock w:val="sdtLocked"/>
                  </w:sdtPr>
                  <w:sdtContent>
                    <w:tc>
                      <w:tcPr>
                        <w:tcW w:w="2166"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300" w:firstLine="630"/>
                          <w:rPr>
                            <w:szCs w:val="21"/>
                          </w:rPr>
                        </w:pPr>
                        <w:r>
                          <w:rPr>
                            <w:rFonts w:hint="eastAsia"/>
                            <w:szCs w:val="21"/>
                          </w:rPr>
                          <w:t>销售费用</w:t>
                        </w:r>
                      </w:p>
                    </w:tc>
                  </w:sdtContent>
                </w:sdt>
                <w:tc>
                  <w:tcPr>
                    <w:tcW w:w="562"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D6646B" w:rsidRDefault="008F04CF" w:rsidP="00B637B2">
                    <w:pPr>
                      <w:jc w:val="right"/>
                    </w:pPr>
                    <w:r w:rsidRPr="00D6646B">
                      <w:t>200,193,472</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D6646B" w:rsidRDefault="008F04CF" w:rsidP="00B637B2">
                    <w:pPr>
                      <w:jc w:val="right"/>
                    </w:pPr>
                    <w:r w:rsidRPr="00D6646B">
                      <w:t>178,169,162</w:t>
                    </w:r>
                  </w:p>
                </w:tc>
              </w:tr>
              <w:tr w:rsidR="00B637B2" w:rsidTr="00B637B2">
                <w:sdt>
                  <w:sdtPr>
                    <w:tag w:val="_PLD_a0661646595b49dea568535f2a30949c"/>
                    <w:id w:val="345136836"/>
                    <w:lock w:val="sdtLocked"/>
                  </w:sdtPr>
                  <w:sdtContent>
                    <w:tc>
                      <w:tcPr>
                        <w:tcW w:w="2166"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300" w:firstLine="630"/>
                          <w:rPr>
                            <w:szCs w:val="21"/>
                          </w:rPr>
                        </w:pPr>
                        <w:r>
                          <w:rPr>
                            <w:rFonts w:hint="eastAsia"/>
                            <w:szCs w:val="21"/>
                          </w:rPr>
                          <w:t>管理费用</w:t>
                        </w:r>
                      </w:p>
                    </w:tc>
                  </w:sdtContent>
                </w:sdt>
                <w:tc>
                  <w:tcPr>
                    <w:tcW w:w="562"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D6646B" w:rsidRDefault="008F04CF" w:rsidP="00B637B2">
                    <w:pPr>
                      <w:jc w:val="right"/>
                    </w:pPr>
                    <w:r w:rsidRPr="00D6646B">
                      <w:t>256,780,758</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D6646B" w:rsidRDefault="008F04CF" w:rsidP="00B637B2">
                    <w:pPr>
                      <w:jc w:val="right"/>
                    </w:pPr>
                    <w:r w:rsidRPr="00D6646B">
                      <w:t>301,875,740</w:t>
                    </w:r>
                  </w:p>
                </w:tc>
              </w:tr>
              <w:tr w:rsidR="00B637B2" w:rsidTr="00B637B2">
                <w:tc>
                  <w:tcPr>
                    <w:tcW w:w="2166"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69852ba9e79247049df3a6bc9ca51ca0"/>
                      <w:id w:val="-290516137"/>
                      <w:lock w:val="sdtLocked"/>
                    </w:sdtPr>
                    <w:sdtContent>
                      <w:p w:rsidR="00B637B2" w:rsidRDefault="008F04CF" w:rsidP="00B637B2">
                        <w:pPr>
                          <w:ind w:firstLineChars="300" w:firstLine="630"/>
                        </w:pPr>
                        <w:r>
                          <w:rPr>
                            <w:rFonts w:hint="eastAsia"/>
                          </w:rPr>
                          <w:t>研发费用</w:t>
                        </w:r>
                      </w:p>
                    </w:sdtContent>
                  </w:sdt>
                </w:tc>
                <w:tc>
                  <w:tcPr>
                    <w:tcW w:w="562"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D6646B" w:rsidRDefault="008F04CF" w:rsidP="00B637B2">
                    <w:pPr>
                      <w:jc w:val="right"/>
                    </w:pPr>
                    <w:r w:rsidRPr="00D6646B">
                      <w:t>347,071,391</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D6646B" w:rsidRDefault="008F04CF" w:rsidP="00B637B2">
                    <w:pPr>
                      <w:jc w:val="right"/>
                    </w:pPr>
                    <w:r w:rsidRPr="00D6646B">
                      <w:t>258,255,089</w:t>
                    </w:r>
                  </w:p>
                </w:tc>
              </w:tr>
              <w:tr w:rsidR="00B637B2" w:rsidTr="00B637B2">
                <w:sdt>
                  <w:sdtPr>
                    <w:tag w:val="_PLD_8d80afb387a7412cacbf6e23bf7e765d"/>
                    <w:id w:val="909966775"/>
                    <w:lock w:val="sdtLocked"/>
                  </w:sdtPr>
                  <w:sdtContent>
                    <w:tc>
                      <w:tcPr>
                        <w:tcW w:w="2166"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300" w:firstLine="630"/>
                          <w:rPr>
                            <w:szCs w:val="21"/>
                          </w:rPr>
                        </w:pPr>
                        <w:r>
                          <w:rPr>
                            <w:rFonts w:hint="eastAsia"/>
                            <w:szCs w:val="21"/>
                          </w:rPr>
                          <w:t>财务费用</w:t>
                        </w:r>
                      </w:p>
                    </w:tc>
                  </w:sdtContent>
                </w:sdt>
                <w:tc>
                  <w:tcPr>
                    <w:tcW w:w="562"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D6646B" w:rsidRDefault="008F04CF" w:rsidP="00B637B2">
                    <w:pPr>
                      <w:jc w:val="right"/>
                    </w:pPr>
                    <w:r w:rsidRPr="00D6646B">
                      <w:t>85,747,839</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D6646B" w:rsidRDefault="008F04CF" w:rsidP="00B637B2">
                    <w:pPr>
                      <w:jc w:val="right"/>
                    </w:pPr>
                    <w:r w:rsidRPr="00D6646B">
                      <w:t>88,669,351</w:t>
                    </w:r>
                  </w:p>
                </w:tc>
              </w:tr>
              <w:tr w:rsidR="00B637B2" w:rsidTr="00B637B2">
                <w:tc>
                  <w:tcPr>
                    <w:tcW w:w="2166"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4b579b7cdda84cef98e4af379ba33cb2"/>
                      <w:id w:val="-715666048"/>
                      <w:lock w:val="sdtLocked"/>
                    </w:sdtPr>
                    <w:sdtContent>
                      <w:p w:rsidR="00B637B2" w:rsidRDefault="008F04CF" w:rsidP="00B637B2">
                        <w:pPr>
                          <w:ind w:firstLineChars="300" w:firstLine="630"/>
                        </w:pPr>
                        <w:r>
                          <w:rPr>
                            <w:rFonts w:hint="eastAsia"/>
                          </w:rPr>
                          <w:t>其中：利息费用</w:t>
                        </w:r>
                      </w:p>
                    </w:sdtContent>
                  </w:sdt>
                </w:tc>
                <w:tc>
                  <w:tcPr>
                    <w:tcW w:w="562"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D6646B" w:rsidRDefault="008F04CF" w:rsidP="00B637B2">
                    <w:pPr>
                      <w:jc w:val="right"/>
                    </w:pPr>
                    <w:r w:rsidRPr="00D6646B">
                      <w:t>90,832,323</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D6646B" w:rsidRDefault="008F04CF" w:rsidP="00B637B2">
                    <w:pPr>
                      <w:jc w:val="right"/>
                    </w:pPr>
                    <w:r w:rsidRPr="00D6646B">
                      <w:t>9</w:t>
                    </w:r>
                    <w:r w:rsidR="00036BDC">
                      <w:t>3</w:t>
                    </w:r>
                    <w:r w:rsidRPr="00D6646B">
                      <w:t>,</w:t>
                    </w:r>
                    <w:r w:rsidR="00036BDC">
                      <w:t>996</w:t>
                    </w:r>
                    <w:r w:rsidRPr="00D6646B">
                      <w:t>,</w:t>
                    </w:r>
                    <w:r w:rsidR="00036BDC">
                      <w:t>611</w:t>
                    </w:r>
                  </w:p>
                </w:tc>
              </w:tr>
              <w:tr w:rsidR="00B637B2" w:rsidTr="00B637B2">
                <w:tc>
                  <w:tcPr>
                    <w:tcW w:w="2166"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935359bdf6941b58ec89fcbf4066014"/>
                      <w:id w:val="45501440"/>
                      <w:lock w:val="sdtLocked"/>
                    </w:sdtPr>
                    <w:sdtContent>
                      <w:p w:rsidR="00B637B2" w:rsidRDefault="008F04CF" w:rsidP="00B637B2">
                        <w:pPr>
                          <w:ind w:firstLineChars="600" w:firstLine="1260"/>
                        </w:pPr>
                        <w:r>
                          <w:rPr>
                            <w:rFonts w:hint="eastAsia"/>
                          </w:rPr>
                          <w:t>利息收入</w:t>
                        </w:r>
                      </w:p>
                    </w:sdtContent>
                  </w:sdt>
                </w:tc>
                <w:tc>
                  <w:tcPr>
                    <w:tcW w:w="562"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D6646B" w:rsidRDefault="008F04CF" w:rsidP="00B637B2">
                    <w:pPr>
                      <w:jc w:val="right"/>
                    </w:pPr>
                    <w:r w:rsidRPr="00D6646B">
                      <w:t>7,814,070</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D6646B" w:rsidRDefault="008F04CF" w:rsidP="00B637B2">
                    <w:pPr>
                      <w:jc w:val="right"/>
                    </w:pPr>
                    <w:r w:rsidRPr="00D6646B">
                      <w:t>7,122,758</w:t>
                    </w:r>
                  </w:p>
                </w:tc>
              </w:tr>
              <w:tr w:rsidR="00B637B2" w:rsidTr="00B637B2">
                <w:sdt>
                  <w:sdtPr>
                    <w:tag w:val="_PLD_57b368ef9f204da9ac5a6e42b07d2fda"/>
                    <w:id w:val="-422413456"/>
                    <w:lock w:val="sdtLocked"/>
                  </w:sdtPr>
                  <w:sdtContent>
                    <w:tc>
                      <w:tcPr>
                        <w:tcW w:w="2166"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rPr>
                          <w:t>加：</w:t>
                        </w:r>
                        <w:r>
                          <w:rPr>
                            <w:rFonts w:hint="eastAsia"/>
                            <w:szCs w:val="21"/>
                          </w:rPr>
                          <w:t>其他收益</w:t>
                        </w:r>
                      </w:p>
                    </w:tc>
                  </w:sdtContent>
                </w:sdt>
                <w:tc>
                  <w:tcPr>
                    <w:tcW w:w="562"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D6646B" w:rsidRDefault="008F04CF" w:rsidP="00B637B2">
                    <w:pPr>
                      <w:jc w:val="right"/>
                    </w:pPr>
                    <w:r w:rsidRPr="00D6646B">
                      <w:t>124,078,623</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D6646B" w:rsidRDefault="008F04CF" w:rsidP="00B637B2">
                    <w:pPr>
                      <w:jc w:val="right"/>
                    </w:pPr>
                    <w:r w:rsidRPr="00D6646B">
                      <w:t>119,590,831</w:t>
                    </w:r>
                  </w:p>
                </w:tc>
              </w:tr>
              <w:tr w:rsidR="00B637B2" w:rsidTr="00B637B2">
                <w:sdt>
                  <w:sdtPr>
                    <w:tag w:val="_PLD_16fd18eb434d4828b40716d17c61b068"/>
                    <w:id w:val="-1025402068"/>
                    <w:lock w:val="sdtLocked"/>
                  </w:sdtPr>
                  <w:sdtContent>
                    <w:tc>
                      <w:tcPr>
                        <w:tcW w:w="2166"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300" w:firstLine="630"/>
                          <w:rPr>
                            <w:szCs w:val="21"/>
                          </w:rPr>
                        </w:pPr>
                        <w:r>
                          <w:rPr>
                            <w:rFonts w:hint="eastAsia"/>
                            <w:szCs w:val="21"/>
                          </w:rPr>
                          <w:t>投资收益（损失以“－”号填列）</w:t>
                        </w:r>
                      </w:p>
                    </w:tc>
                  </w:sdtContent>
                </w:sdt>
                <w:tc>
                  <w:tcPr>
                    <w:tcW w:w="562" w:type="pct"/>
                    <w:tcBorders>
                      <w:top w:val="outset" w:sz="4" w:space="0" w:color="auto"/>
                      <w:left w:val="outset" w:sz="4" w:space="0" w:color="auto"/>
                      <w:bottom w:val="outset" w:sz="4" w:space="0" w:color="auto"/>
                      <w:right w:val="outset" w:sz="4" w:space="0" w:color="auto"/>
                    </w:tcBorders>
                  </w:tcPr>
                  <w:p w:rsidR="00B637B2" w:rsidRDefault="008F04CF" w:rsidP="00B637B2">
                    <w:pPr>
                      <w:rPr>
                        <w:szCs w:val="21"/>
                      </w:rPr>
                    </w:pPr>
                    <w:r>
                      <w:rPr>
                        <w:rFonts w:hint="eastAsia"/>
                        <w:szCs w:val="21"/>
                      </w:rPr>
                      <w:t>十七、</w:t>
                    </w:r>
                    <w:r>
                      <w:rPr>
                        <w:szCs w:val="21"/>
                      </w:rPr>
                      <w:t>5</w:t>
                    </w: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D6646B" w:rsidRDefault="008F04CF" w:rsidP="00B637B2">
                    <w:pPr>
                      <w:jc w:val="right"/>
                    </w:pPr>
                    <w:r w:rsidRPr="00D6646B">
                      <w:t>351,242,727</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D6646B" w:rsidRDefault="008F04CF" w:rsidP="00B637B2">
                    <w:pPr>
                      <w:jc w:val="right"/>
                    </w:pPr>
                    <w:r w:rsidRPr="00D6646B">
                      <w:t>337,363,681</w:t>
                    </w:r>
                  </w:p>
                </w:tc>
              </w:tr>
              <w:tr w:rsidR="00B637B2" w:rsidTr="00B637B2">
                <w:sdt>
                  <w:sdtPr>
                    <w:tag w:val="_PLD_2bea34f5113c449e9a05ba733de8a76c"/>
                    <w:id w:val="1303662139"/>
                    <w:lock w:val="sdtLocked"/>
                  </w:sdtPr>
                  <w:sdtContent>
                    <w:tc>
                      <w:tcPr>
                        <w:tcW w:w="2166"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300" w:firstLine="630"/>
                          <w:rPr>
                            <w:szCs w:val="21"/>
                          </w:rPr>
                        </w:pPr>
                        <w:r>
                          <w:rPr>
                            <w:rFonts w:hint="eastAsia"/>
                            <w:szCs w:val="21"/>
                          </w:rPr>
                          <w:t>其中：对联营企业和合营企业的投资收益</w:t>
                        </w:r>
                      </w:p>
                    </w:tc>
                  </w:sdtContent>
                </w:sdt>
                <w:tc>
                  <w:tcPr>
                    <w:tcW w:w="562"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D6646B" w:rsidRDefault="008F04CF" w:rsidP="00B637B2">
                    <w:pPr>
                      <w:jc w:val="right"/>
                    </w:pPr>
                    <w:r w:rsidRPr="00D6646B">
                      <w:t>6,722,591</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D6646B" w:rsidRDefault="008F04CF" w:rsidP="00B637B2">
                    <w:pPr>
                      <w:jc w:val="right"/>
                    </w:pPr>
                    <w:r w:rsidRPr="00D6646B">
                      <w:t>6,804,131</w:t>
                    </w:r>
                  </w:p>
                </w:tc>
              </w:tr>
              <w:tr w:rsidR="00B637B2" w:rsidTr="00B637B2">
                <w:sdt>
                  <w:sdtPr>
                    <w:tag w:val="_PLD_a015afefb87543308b983fbb12c6212d"/>
                    <w:id w:val="-1794819643"/>
                    <w:lock w:val="sdtLocked"/>
                  </w:sdtPr>
                  <w:sdtContent>
                    <w:tc>
                      <w:tcPr>
                        <w:tcW w:w="2166" w:type="pct"/>
                        <w:tcBorders>
                          <w:top w:val="outset" w:sz="4" w:space="0" w:color="auto"/>
                          <w:left w:val="outset" w:sz="4" w:space="0" w:color="auto"/>
                          <w:bottom w:val="outset" w:sz="4" w:space="0" w:color="auto"/>
                          <w:right w:val="outset" w:sz="4" w:space="0" w:color="auto"/>
                        </w:tcBorders>
                      </w:tcPr>
                      <w:p w:rsidR="00B637B2" w:rsidRDefault="008F04CF" w:rsidP="00B637B2">
                        <w:pPr>
                          <w:ind w:firstLineChars="550" w:firstLine="1155"/>
                        </w:pPr>
                        <w:r>
                          <w:rPr>
                            <w:rFonts w:hint="eastAsia"/>
                          </w:rPr>
                          <w:t>以摊余成本计量的金融资产终止确认收益（损失以“</w:t>
                        </w:r>
                        <w:r>
                          <w:t>-”号填列）</w:t>
                        </w:r>
                      </w:p>
                    </w:tc>
                  </w:sdtContent>
                </w:sdt>
                <w:tc>
                  <w:tcPr>
                    <w:tcW w:w="562"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D6646B" w:rsidRDefault="008F04CF" w:rsidP="00B637B2">
                    <w:pPr>
                      <w:jc w:val="right"/>
                    </w:pPr>
                    <w:r>
                      <w:rPr>
                        <w:rFonts w:hint="eastAsia"/>
                      </w:rPr>
                      <w:t>-</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D6646B" w:rsidRDefault="008F04CF" w:rsidP="00B637B2">
                    <w:pPr>
                      <w:jc w:val="right"/>
                    </w:pPr>
                    <w:r>
                      <w:rPr>
                        <w:rFonts w:hint="eastAsia"/>
                      </w:rPr>
                      <w:t>-</w:t>
                    </w:r>
                  </w:p>
                </w:tc>
              </w:tr>
              <w:tr w:rsidR="00B637B2" w:rsidTr="00B637B2">
                <w:tc>
                  <w:tcPr>
                    <w:tcW w:w="2166"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bcb300b294e416d865b2977935ac43a"/>
                      <w:id w:val="-1922639650"/>
                      <w:lock w:val="sdtLocked"/>
                    </w:sdtPr>
                    <w:sdtEndPr>
                      <w:rPr>
                        <w:rFonts w:hint="default"/>
                      </w:rPr>
                    </w:sdtEndPr>
                    <w:sdtContent>
                      <w:p w:rsidR="00B637B2" w:rsidRDefault="008F04CF" w:rsidP="00B637B2">
                        <w:pPr>
                          <w:ind w:firstLineChars="300" w:firstLine="630"/>
                        </w:pPr>
                        <w:r>
                          <w:rPr>
                            <w:rFonts w:hint="eastAsia"/>
                          </w:rPr>
                          <w:t>净敞口套期收益（损失以“</w:t>
                        </w:r>
                        <w:r>
                          <w:t>-”号填列）</w:t>
                        </w:r>
                      </w:p>
                    </w:sdtContent>
                  </w:sdt>
                </w:tc>
                <w:tc>
                  <w:tcPr>
                    <w:tcW w:w="562"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D6646B" w:rsidRDefault="008F04CF" w:rsidP="00B637B2">
                    <w:pPr>
                      <w:jc w:val="right"/>
                    </w:pPr>
                    <w:r>
                      <w:rPr>
                        <w:rFonts w:hint="eastAsia"/>
                      </w:rPr>
                      <w:t>-</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D6646B" w:rsidRDefault="008F04CF" w:rsidP="00B637B2">
                    <w:pPr>
                      <w:jc w:val="right"/>
                    </w:pPr>
                    <w:r>
                      <w:rPr>
                        <w:rFonts w:hint="eastAsia"/>
                      </w:rPr>
                      <w:t>-</w:t>
                    </w:r>
                  </w:p>
                </w:tc>
              </w:tr>
              <w:tr w:rsidR="00B637B2" w:rsidTr="00B637B2">
                <w:sdt>
                  <w:sdtPr>
                    <w:tag w:val="_PLD_96dddecaabdb4c699853ad79ff8ce0c7"/>
                    <w:id w:val="780617187"/>
                    <w:lock w:val="sdtLocked"/>
                  </w:sdtPr>
                  <w:sdtContent>
                    <w:tc>
                      <w:tcPr>
                        <w:tcW w:w="2166"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300" w:firstLine="630"/>
                          <w:rPr>
                            <w:color w:val="000000"/>
                            <w:szCs w:val="21"/>
                          </w:rPr>
                        </w:pPr>
                        <w:r>
                          <w:rPr>
                            <w:rFonts w:hint="eastAsia"/>
                            <w:szCs w:val="21"/>
                          </w:rPr>
                          <w:t>公允价值变动收益（损失以“－”号填列）</w:t>
                        </w:r>
                      </w:p>
                    </w:tc>
                  </w:sdtContent>
                </w:sdt>
                <w:tc>
                  <w:tcPr>
                    <w:tcW w:w="562"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D6646B" w:rsidRDefault="008F04CF" w:rsidP="00B637B2">
                    <w:pPr>
                      <w:jc w:val="right"/>
                    </w:pPr>
                    <w:r w:rsidRPr="00D6646B">
                      <w:t>24,875,311</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D6646B" w:rsidRDefault="008F04CF" w:rsidP="00B637B2">
                    <w:pPr>
                      <w:jc w:val="right"/>
                    </w:pPr>
                    <w:r w:rsidRPr="00D6646B">
                      <w:t>-</w:t>
                    </w:r>
                  </w:p>
                </w:tc>
              </w:tr>
              <w:tr w:rsidR="00B637B2" w:rsidTr="00B637B2">
                <w:tc>
                  <w:tcPr>
                    <w:tcW w:w="2166"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82ea4b74b8c74945853430e402c6958a"/>
                      <w:id w:val="1870716659"/>
                      <w:lock w:val="sdtLocked"/>
                    </w:sdtPr>
                    <w:sdtContent>
                      <w:p w:rsidR="00B637B2" w:rsidRDefault="008F04CF" w:rsidP="00B637B2">
                        <w:pPr>
                          <w:ind w:firstLineChars="300" w:firstLine="630"/>
                        </w:pPr>
                        <w:r>
                          <w:rPr>
                            <w:rFonts w:hint="eastAsia"/>
                          </w:rPr>
                          <w:t>信用减值损失（损失以“</w:t>
                        </w:r>
                        <w:r>
                          <w:t>-”号填列）</w:t>
                        </w:r>
                      </w:p>
                    </w:sdtContent>
                  </w:sdt>
                </w:tc>
                <w:tc>
                  <w:tcPr>
                    <w:tcW w:w="562"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D6646B" w:rsidRDefault="00036BDC" w:rsidP="00B637B2">
                    <w:pPr>
                      <w:jc w:val="right"/>
                    </w:pPr>
                    <w:r>
                      <w:rPr>
                        <w:rFonts w:hint="eastAsia"/>
                      </w:rPr>
                      <w:t>-</w:t>
                    </w:r>
                    <w:r w:rsidR="008F04CF" w:rsidRPr="00D6646B">
                      <w:t>30,465,614</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D6646B" w:rsidRDefault="008F04CF" w:rsidP="00B637B2">
                    <w:pPr>
                      <w:jc w:val="right"/>
                    </w:pPr>
                    <w:r>
                      <w:rPr>
                        <w:rFonts w:hint="eastAsia"/>
                      </w:rPr>
                      <w:t>-</w:t>
                    </w:r>
                  </w:p>
                </w:tc>
              </w:tr>
              <w:tr w:rsidR="00B637B2" w:rsidTr="00B637B2">
                <w:sdt>
                  <w:sdtPr>
                    <w:tag w:val="_PLD_16430dcabb93489da19dede13b679da4"/>
                    <w:id w:val="2000992224"/>
                    <w:lock w:val="sdtLocked"/>
                  </w:sdtPr>
                  <w:sdtContent>
                    <w:tc>
                      <w:tcPr>
                        <w:tcW w:w="2166"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300" w:firstLine="630"/>
                          <w:rPr>
                            <w:szCs w:val="21"/>
                          </w:rPr>
                        </w:pPr>
                        <w:r>
                          <w:rPr>
                            <w:rFonts w:hint="eastAsia"/>
                            <w:szCs w:val="21"/>
                          </w:rPr>
                          <w:t>资产减值损失（损失以“</w:t>
                        </w:r>
                        <w:r>
                          <w:rPr>
                            <w:szCs w:val="21"/>
                          </w:rPr>
                          <w:t>-”号填列）</w:t>
                        </w:r>
                      </w:p>
                    </w:tc>
                  </w:sdtContent>
                </w:sdt>
                <w:tc>
                  <w:tcPr>
                    <w:tcW w:w="562"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D6646B" w:rsidRDefault="008F04CF" w:rsidP="00B637B2">
                    <w:pPr>
                      <w:jc w:val="right"/>
                    </w:pPr>
                    <w:r>
                      <w:rPr>
                        <w:rFonts w:hint="eastAsia"/>
                      </w:rPr>
                      <w:t>-</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D6646B" w:rsidRDefault="00036BDC" w:rsidP="00B637B2">
                    <w:pPr>
                      <w:jc w:val="right"/>
                    </w:pPr>
                    <w:r>
                      <w:rPr>
                        <w:rFonts w:hint="eastAsia"/>
                      </w:rPr>
                      <w:t>-</w:t>
                    </w:r>
                    <w:r w:rsidR="008F04CF" w:rsidRPr="00D6646B">
                      <w:t>34,781,535</w:t>
                    </w:r>
                  </w:p>
                </w:tc>
              </w:tr>
              <w:tr w:rsidR="00B637B2" w:rsidTr="00B637B2">
                <w:sdt>
                  <w:sdtPr>
                    <w:rPr>
                      <w:rFonts w:hint="eastAsia"/>
                    </w:rPr>
                    <w:tag w:val="_PLD_907d21105eff451b99c14b026296e12a"/>
                    <w:id w:val="1856228783"/>
                    <w:lock w:val="sdtLocked"/>
                  </w:sdtPr>
                  <w:sdtContent>
                    <w:tc>
                      <w:tcPr>
                        <w:tcW w:w="2166"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300" w:firstLine="630"/>
                        </w:pPr>
                        <w:r>
                          <w:rPr>
                            <w:rFonts w:hint="eastAsia"/>
                          </w:rPr>
                          <w:t>资产处置收益（损失以“－”号填列）</w:t>
                        </w:r>
                      </w:p>
                    </w:tc>
                  </w:sdtContent>
                </w:sdt>
                <w:tc>
                  <w:tcPr>
                    <w:tcW w:w="562"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D6646B" w:rsidRDefault="008F04CF" w:rsidP="00B637B2">
                    <w:pPr>
                      <w:jc w:val="right"/>
                    </w:pPr>
                    <w:r w:rsidRPr="00D6646B">
                      <w:t>61,113</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D6646B" w:rsidRDefault="008F04CF" w:rsidP="00B637B2">
                    <w:pPr>
                      <w:jc w:val="right"/>
                    </w:pPr>
                    <w:r w:rsidRPr="00D6646B">
                      <w:t>221,745</w:t>
                    </w:r>
                  </w:p>
                </w:tc>
              </w:tr>
              <w:tr w:rsidR="00B637B2" w:rsidTr="00B637B2">
                <w:sdt>
                  <w:sdtPr>
                    <w:tag w:val="_PLD_107926df9ebd4b039128ab562ec28ff7"/>
                    <w:id w:val="730121313"/>
                    <w:lock w:val="sdtLocked"/>
                  </w:sdtPr>
                  <w:sdtContent>
                    <w:tc>
                      <w:tcPr>
                        <w:tcW w:w="2166"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left="-19"/>
                          <w:rPr>
                            <w:color w:val="000000"/>
                            <w:szCs w:val="21"/>
                          </w:rPr>
                        </w:pPr>
                        <w:r>
                          <w:rPr>
                            <w:rFonts w:hint="eastAsia"/>
                            <w:szCs w:val="21"/>
                          </w:rPr>
                          <w:t>二、营业利润（亏损以“－”号填列）</w:t>
                        </w:r>
                      </w:p>
                    </w:tc>
                  </w:sdtContent>
                </w:sdt>
                <w:tc>
                  <w:tcPr>
                    <w:tcW w:w="562"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D6646B" w:rsidRDefault="008F04CF" w:rsidP="00B637B2">
                    <w:pPr>
                      <w:jc w:val="right"/>
                    </w:pPr>
                    <w:r w:rsidRPr="00D6646B">
                      <w:t>478,005,958</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D6646B" w:rsidRDefault="008F04CF" w:rsidP="00B637B2">
                    <w:pPr>
                      <w:jc w:val="right"/>
                    </w:pPr>
                    <w:r w:rsidRPr="00D6646B">
                      <w:t>395,231,550</w:t>
                    </w:r>
                  </w:p>
                </w:tc>
              </w:tr>
              <w:tr w:rsidR="00B637B2" w:rsidTr="00B637B2">
                <w:sdt>
                  <w:sdtPr>
                    <w:tag w:val="_PLD_279fac843c63467da244e8b49f89e4dc"/>
                    <w:id w:val="881989079"/>
                    <w:lock w:val="sdtLocked"/>
                  </w:sdtPr>
                  <w:sdtContent>
                    <w:tc>
                      <w:tcPr>
                        <w:tcW w:w="2166"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color w:val="000000"/>
                            <w:szCs w:val="21"/>
                          </w:rPr>
                        </w:pPr>
                        <w:r>
                          <w:rPr>
                            <w:rFonts w:hint="eastAsia"/>
                            <w:szCs w:val="21"/>
                          </w:rPr>
                          <w:t>加：营业外收入</w:t>
                        </w:r>
                      </w:p>
                    </w:tc>
                  </w:sdtContent>
                </w:sdt>
                <w:tc>
                  <w:tcPr>
                    <w:tcW w:w="562"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D6646B" w:rsidRDefault="008F04CF" w:rsidP="00B637B2">
                    <w:pPr>
                      <w:jc w:val="right"/>
                    </w:pPr>
                    <w:r w:rsidRPr="00D6646B">
                      <w:t>928,782</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D6646B" w:rsidRDefault="008F04CF" w:rsidP="00B637B2">
                    <w:pPr>
                      <w:jc w:val="right"/>
                    </w:pPr>
                    <w:r w:rsidRPr="00D6646B">
                      <w:t>668,460</w:t>
                    </w:r>
                  </w:p>
                </w:tc>
              </w:tr>
              <w:tr w:rsidR="00B637B2" w:rsidTr="00B637B2">
                <w:sdt>
                  <w:sdtPr>
                    <w:tag w:val="_PLD_f7c3a61b735644a1a4b866e88cef247a"/>
                    <w:id w:val="820623438"/>
                    <w:lock w:val="sdtLocked"/>
                  </w:sdtPr>
                  <w:sdtContent>
                    <w:tc>
                      <w:tcPr>
                        <w:tcW w:w="2166"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color w:val="000000"/>
                            <w:szCs w:val="21"/>
                          </w:rPr>
                        </w:pPr>
                        <w:r>
                          <w:rPr>
                            <w:rFonts w:hint="eastAsia"/>
                            <w:szCs w:val="21"/>
                          </w:rPr>
                          <w:t>减：营业外支出</w:t>
                        </w:r>
                      </w:p>
                    </w:tc>
                  </w:sdtContent>
                </w:sdt>
                <w:tc>
                  <w:tcPr>
                    <w:tcW w:w="562"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D6646B" w:rsidRDefault="008F04CF" w:rsidP="00B637B2">
                    <w:pPr>
                      <w:jc w:val="right"/>
                    </w:pPr>
                    <w:r w:rsidRPr="00D6646B">
                      <w:t>201,351</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D6646B" w:rsidRDefault="008F04CF" w:rsidP="00B637B2">
                    <w:pPr>
                      <w:jc w:val="right"/>
                    </w:pPr>
                    <w:r w:rsidRPr="00D6646B">
                      <w:t>643,093</w:t>
                    </w:r>
                  </w:p>
                </w:tc>
              </w:tr>
              <w:tr w:rsidR="00B637B2" w:rsidTr="00B637B2">
                <w:sdt>
                  <w:sdtPr>
                    <w:tag w:val="_PLD_5956406fbb5b47029f2bca13fce9359e"/>
                    <w:id w:val="-258057969"/>
                    <w:lock w:val="sdtLocked"/>
                  </w:sdtPr>
                  <w:sdtContent>
                    <w:tc>
                      <w:tcPr>
                        <w:tcW w:w="2166"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left="-19"/>
                          <w:rPr>
                            <w:color w:val="000000"/>
                            <w:szCs w:val="21"/>
                          </w:rPr>
                        </w:pPr>
                        <w:r>
                          <w:rPr>
                            <w:rFonts w:hint="eastAsia"/>
                            <w:szCs w:val="21"/>
                          </w:rPr>
                          <w:t>三、利润总额（亏损总额以“－”号填列）</w:t>
                        </w:r>
                      </w:p>
                    </w:tc>
                  </w:sdtContent>
                </w:sdt>
                <w:tc>
                  <w:tcPr>
                    <w:tcW w:w="562"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D6646B" w:rsidRDefault="008F04CF" w:rsidP="00B637B2">
                    <w:pPr>
                      <w:jc w:val="right"/>
                    </w:pPr>
                    <w:r w:rsidRPr="00D6646B">
                      <w:t>478,733,389</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D6646B" w:rsidRDefault="008F04CF" w:rsidP="00B637B2">
                    <w:pPr>
                      <w:jc w:val="right"/>
                    </w:pPr>
                    <w:r w:rsidRPr="00D6646B">
                      <w:t>395,256,917</w:t>
                    </w:r>
                  </w:p>
                </w:tc>
              </w:tr>
              <w:tr w:rsidR="00B637B2" w:rsidTr="00B637B2">
                <w:sdt>
                  <w:sdtPr>
                    <w:tag w:val="_PLD_6de0aad305fe4960b4c088f68ada351b"/>
                    <w:id w:val="-117840615"/>
                    <w:lock w:val="sdtLocked"/>
                  </w:sdtPr>
                  <w:sdtContent>
                    <w:tc>
                      <w:tcPr>
                        <w:tcW w:w="2166"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left="-19" w:firstLineChars="200" w:firstLine="420"/>
                          <w:rPr>
                            <w:color w:val="000000"/>
                            <w:szCs w:val="21"/>
                          </w:rPr>
                        </w:pPr>
                        <w:r>
                          <w:rPr>
                            <w:rFonts w:hint="eastAsia"/>
                            <w:szCs w:val="21"/>
                          </w:rPr>
                          <w:t>减：所得税费用</w:t>
                        </w:r>
                      </w:p>
                    </w:tc>
                  </w:sdtContent>
                </w:sdt>
                <w:tc>
                  <w:tcPr>
                    <w:tcW w:w="562"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D6646B" w:rsidRDefault="008F04CF" w:rsidP="00B637B2">
                    <w:pPr>
                      <w:jc w:val="right"/>
                    </w:pPr>
                    <w:r w:rsidRPr="00D6646B">
                      <w:t>827,381</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D6646B" w:rsidRDefault="008F04CF" w:rsidP="00B637B2">
                    <w:pPr>
                      <w:jc w:val="right"/>
                    </w:pPr>
                    <w:r w:rsidRPr="00D6646B">
                      <w:t>116,345</w:t>
                    </w:r>
                  </w:p>
                </w:tc>
              </w:tr>
              <w:tr w:rsidR="00B637B2" w:rsidTr="00B637B2">
                <w:sdt>
                  <w:sdtPr>
                    <w:tag w:val="_PLD_7ab8a9f66eb1439ab50e43a032c9541e"/>
                    <w:id w:val="1814286257"/>
                    <w:lock w:val="sdtLocked"/>
                  </w:sdtPr>
                  <w:sdtContent>
                    <w:tc>
                      <w:tcPr>
                        <w:tcW w:w="2166"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left="-19"/>
                          <w:rPr>
                            <w:color w:val="000000"/>
                            <w:szCs w:val="21"/>
                          </w:rPr>
                        </w:pPr>
                        <w:r>
                          <w:rPr>
                            <w:rFonts w:hint="eastAsia"/>
                            <w:szCs w:val="21"/>
                          </w:rPr>
                          <w:t>四、净利润（净亏损以“－”号填列）</w:t>
                        </w:r>
                      </w:p>
                    </w:tc>
                  </w:sdtContent>
                </w:sdt>
                <w:tc>
                  <w:tcPr>
                    <w:tcW w:w="562"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D6646B" w:rsidRDefault="008F04CF" w:rsidP="00B637B2">
                    <w:pPr>
                      <w:jc w:val="right"/>
                    </w:pPr>
                    <w:r w:rsidRPr="00D6646B">
                      <w:t>477,906,008</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D6646B" w:rsidRDefault="008F04CF" w:rsidP="00B637B2">
                    <w:pPr>
                      <w:jc w:val="right"/>
                    </w:pPr>
                    <w:r w:rsidRPr="00D6646B">
                      <w:t>395,140,572</w:t>
                    </w:r>
                  </w:p>
                </w:tc>
              </w:tr>
              <w:tr w:rsidR="00B637B2" w:rsidTr="00B637B2">
                <w:sdt>
                  <w:sdtPr>
                    <w:tag w:val="_PLD_289ca01a050e4d34aae7f623dfff6058"/>
                    <w:id w:val="823942074"/>
                    <w:lock w:val="sdtLocked"/>
                  </w:sdtPr>
                  <w:sdtContent>
                    <w:tc>
                      <w:tcPr>
                        <w:tcW w:w="2166"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8" w:firstLine="227"/>
                        </w:pPr>
                        <w:r>
                          <w:rPr>
                            <w:rFonts w:hint="eastAsia"/>
                            <w:szCs w:val="21"/>
                          </w:rPr>
                          <w:t>（一）</w:t>
                        </w:r>
                        <w:r>
                          <w:t>持续经营净利润（净亏损以“－”号填列）</w:t>
                        </w:r>
                      </w:p>
                    </w:tc>
                  </w:sdtContent>
                </w:sdt>
                <w:tc>
                  <w:tcPr>
                    <w:tcW w:w="562"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D6646B" w:rsidRDefault="008F04CF" w:rsidP="00B637B2">
                    <w:pPr>
                      <w:jc w:val="right"/>
                    </w:pPr>
                    <w:r w:rsidRPr="00D6646B">
                      <w:t>477,906,008</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D6646B" w:rsidRDefault="008F04CF" w:rsidP="00B637B2">
                    <w:pPr>
                      <w:jc w:val="right"/>
                    </w:pPr>
                    <w:r w:rsidRPr="00D6646B">
                      <w:t>395,140,572</w:t>
                    </w:r>
                  </w:p>
                </w:tc>
              </w:tr>
              <w:tr w:rsidR="00B637B2" w:rsidTr="00B637B2">
                <w:sdt>
                  <w:sdtPr>
                    <w:rPr>
                      <w:rFonts w:hint="eastAsia"/>
                    </w:rPr>
                    <w:tag w:val="_PLD_3b2e8ef21ec246eaabe42c7024d8ce19"/>
                    <w:id w:val="1116253122"/>
                    <w:lock w:val="sdtLocked"/>
                  </w:sdtPr>
                  <w:sdtContent>
                    <w:tc>
                      <w:tcPr>
                        <w:tcW w:w="2166"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8" w:firstLine="227"/>
                        </w:pPr>
                        <w:r>
                          <w:rPr>
                            <w:rFonts w:hint="eastAsia"/>
                          </w:rPr>
                          <w:t>（二）终止经营净利润（净亏损以“－”号填列）</w:t>
                        </w:r>
                      </w:p>
                    </w:tc>
                  </w:sdtContent>
                </w:sdt>
                <w:tc>
                  <w:tcPr>
                    <w:tcW w:w="562"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D6646B" w:rsidRDefault="008F04CF" w:rsidP="00B637B2">
                    <w:pPr>
                      <w:jc w:val="right"/>
                    </w:pPr>
                    <w:r w:rsidRPr="00D6646B">
                      <w:t>-</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D6646B" w:rsidRDefault="008F04CF" w:rsidP="00B637B2">
                    <w:pPr>
                      <w:jc w:val="right"/>
                    </w:pPr>
                    <w:r w:rsidRPr="00D6646B">
                      <w:t>-</w:t>
                    </w:r>
                  </w:p>
                </w:tc>
              </w:tr>
              <w:tr w:rsidR="00B637B2" w:rsidTr="00B637B2">
                <w:sdt>
                  <w:sdtPr>
                    <w:tag w:val="_PLD_843a2fab84a848319e89b43f4f5f13af"/>
                    <w:id w:val="-1729298853"/>
                    <w:lock w:val="sdtLocked"/>
                  </w:sdtPr>
                  <w:sdtContent>
                    <w:tc>
                      <w:tcPr>
                        <w:tcW w:w="2166"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leftChars="-19" w:hangingChars="19" w:hanging="40"/>
                          <w:rPr>
                            <w:szCs w:val="21"/>
                          </w:rPr>
                        </w:pPr>
                        <w:r>
                          <w:rPr>
                            <w:rFonts w:hint="eastAsia"/>
                            <w:szCs w:val="21"/>
                          </w:rPr>
                          <w:t>五、其他综合收益的税后净额</w:t>
                        </w:r>
                      </w:p>
                    </w:tc>
                  </w:sdtContent>
                </w:sdt>
                <w:tc>
                  <w:tcPr>
                    <w:tcW w:w="562"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D6646B" w:rsidRDefault="008F04CF" w:rsidP="00B637B2">
                    <w:pPr>
                      <w:jc w:val="right"/>
                    </w:pPr>
                    <w:r w:rsidRPr="00D6646B">
                      <w:t>-</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D6646B" w:rsidRDefault="008F04CF" w:rsidP="00B637B2">
                    <w:pPr>
                      <w:jc w:val="right"/>
                    </w:pPr>
                    <w:r w:rsidRPr="00D6646B">
                      <w:t>-</w:t>
                    </w:r>
                  </w:p>
                </w:tc>
              </w:tr>
              <w:tr w:rsidR="00B637B2" w:rsidTr="00B637B2">
                <w:sdt>
                  <w:sdtPr>
                    <w:tag w:val="_PLD_b8aa6d052de04d1a947a8cf96dde3fef"/>
                    <w:id w:val="1443030444"/>
                    <w:lock w:val="sdtLocked"/>
                  </w:sdtPr>
                  <w:sdtContent>
                    <w:tc>
                      <w:tcPr>
                        <w:tcW w:w="2166"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（一）不能重分类进损益的其他综合收益</w:t>
                        </w:r>
                      </w:p>
                    </w:tc>
                  </w:sdtContent>
                </w:sdt>
                <w:tc>
                  <w:tcPr>
                    <w:tcW w:w="562"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D6646B" w:rsidRDefault="008F04CF" w:rsidP="00B637B2">
                    <w:pPr>
                      <w:jc w:val="right"/>
                    </w:pPr>
                    <w:r w:rsidRPr="00D6646B">
                      <w:t>-</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D6646B" w:rsidRDefault="008F04CF" w:rsidP="00B637B2">
                    <w:pPr>
                      <w:jc w:val="right"/>
                    </w:pPr>
                    <w:r w:rsidRPr="00D6646B">
                      <w:t>-</w:t>
                    </w:r>
                  </w:p>
                </w:tc>
              </w:tr>
              <w:tr w:rsidR="00B637B2" w:rsidTr="00B637B2">
                <w:sdt>
                  <w:sdtPr>
                    <w:tag w:val="_PLD_2f95025f3e0f4c69b258974fe8486517"/>
                    <w:id w:val="1805961505"/>
                    <w:lock w:val="sdtLocked"/>
                  </w:sdtPr>
                  <w:sdtContent>
                    <w:tc>
                      <w:tcPr>
                        <w:tcW w:w="2166"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200" w:firstLine="420"/>
                          <w:rPr>
                            <w:szCs w:val="21"/>
                          </w:rPr>
                        </w:pPr>
                        <w:r>
                          <w:rPr>
                            <w:szCs w:val="21"/>
                          </w:rPr>
                          <w:t>1.重新计量设定受益计划变动额</w:t>
                        </w:r>
                      </w:p>
                    </w:tc>
                  </w:sdtContent>
                </w:sdt>
                <w:tc>
                  <w:tcPr>
                    <w:tcW w:w="562"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D6646B" w:rsidRDefault="008F04CF" w:rsidP="00B637B2">
                    <w:pPr>
                      <w:jc w:val="right"/>
                    </w:pPr>
                    <w:r w:rsidRPr="00D6646B">
                      <w:t>-</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D6646B" w:rsidRDefault="008F04CF" w:rsidP="00B637B2">
                    <w:pPr>
                      <w:jc w:val="right"/>
                    </w:pPr>
                    <w:r w:rsidRPr="00D6646B">
                      <w:t>-</w:t>
                    </w:r>
                  </w:p>
                </w:tc>
              </w:tr>
              <w:tr w:rsidR="00B637B2" w:rsidTr="00B637B2">
                <w:sdt>
                  <w:sdtPr>
                    <w:tag w:val="_PLD_a1dd2af1863b4e3d917020633c99734c"/>
                    <w:id w:val="1306970477"/>
                    <w:lock w:val="sdtLocked"/>
                  </w:sdtPr>
                  <w:sdtContent>
                    <w:tc>
                      <w:tcPr>
                        <w:tcW w:w="2166"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200" w:firstLine="420"/>
                          <w:rPr>
                            <w:szCs w:val="21"/>
                          </w:rPr>
                        </w:pPr>
                        <w:r>
                          <w:rPr>
                            <w:szCs w:val="21"/>
                          </w:rPr>
                          <w:t>2.权益法下不能转损益的其他综合收益</w:t>
                        </w:r>
                      </w:p>
                    </w:tc>
                  </w:sdtContent>
                </w:sdt>
                <w:tc>
                  <w:tcPr>
                    <w:tcW w:w="562"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D6646B" w:rsidRDefault="008F04CF" w:rsidP="00B637B2">
                    <w:pPr>
                      <w:jc w:val="right"/>
                    </w:pPr>
                    <w:r w:rsidRPr="00D6646B">
                      <w:t>-</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D6646B" w:rsidRDefault="008F04CF" w:rsidP="00B637B2">
                    <w:pPr>
                      <w:jc w:val="right"/>
                    </w:pPr>
                    <w:r w:rsidRPr="00D6646B">
                      <w:t>-</w:t>
                    </w:r>
                  </w:p>
                </w:tc>
              </w:tr>
              <w:tr w:rsidR="00B637B2" w:rsidTr="00B637B2">
                <w:tc>
                  <w:tcPr>
                    <w:tcW w:w="2166" w:type="pct"/>
                    <w:tcBorders>
                      <w:top w:val="outset" w:sz="4" w:space="0" w:color="auto"/>
                      <w:left w:val="outset" w:sz="4" w:space="0" w:color="auto"/>
                      <w:bottom w:val="outset" w:sz="4" w:space="0" w:color="auto"/>
                      <w:right w:val="outset" w:sz="4" w:space="0" w:color="auto"/>
                    </w:tcBorders>
                    <w:vAlign w:val="center"/>
                  </w:tcPr>
                  <w:sdt>
                    <w:sdtPr>
                      <w:tag w:val="_PLD_db2b7892b44f4f818af9a0a288171043"/>
                      <w:id w:val="-1045747100"/>
                      <w:lock w:val="sdtLocked"/>
                    </w:sdtPr>
                    <w:sdtContent>
                      <w:p w:rsidR="00B637B2" w:rsidRDefault="008F04CF" w:rsidP="00B637B2">
                        <w:pPr>
                          <w:ind w:firstLineChars="200" w:firstLine="420"/>
                        </w:pPr>
                        <w:r>
                          <w:t>3.其他权益工具投资公允价值变动</w:t>
                        </w:r>
                      </w:p>
                    </w:sdtContent>
                  </w:sdt>
                </w:tc>
                <w:tc>
                  <w:tcPr>
                    <w:tcW w:w="562"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D6646B" w:rsidRDefault="008F04CF" w:rsidP="00B637B2">
                    <w:pPr>
                      <w:jc w:val="right"/>
                    </w:pPr>
                    <w:r w:rsidRPr="00D6646B">
                      <w:t>-</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D6646B" w:rsidRDefault="008F04CF" w:rsidP="00B637B2">
                    <w:pPr>
                      <w:jc w:val="right"/>
                    </w:pPr>
                    <w:r w:rsidRPr="00D6646B">
                      <w:t>-</w:t>
                    </w:r>
                  </w:p>
                </w:tc>
              </w:tr>
              <w:tr w:rsidR="00B637B2" w:rsidTr="00B637B2">
                <w:tc>
                  <w:tcPr>
                    <w:tcW w:w="2166" w:type="pct"/>
                    <w:tcBorders>
                      <w:top w:val="outset" w:sz="4" w:space="0" w:color="auto"/>
                      <w:left w:val="outset" w:sz="4" w:space="0" w:color="auto"/>
                      <w:bottom w:val="outset" w:sz="4" w:space="0" w:color="auto"/>
                      <w:right w:val="outset" w:sz="4" w:space="0" w:color="auto"/>
                    </w:tcBorders>
                    <w:vAlign w:val="center"/>
                  </w:tcPr>
                  <w:sdt>
                    <w:sdtPr>
                      <w:tag w:val="_PLD_2a0fa7e33fb34cd1bed8ba1525721e1e"/>
                      <w:id w:val="-2073648109"/>
                      <w:lock w:val="sdtLocked"/>
                    </w:sdtPr>
                    <w:sdtContent>
                      <w:p w:rsidR="00B637B2" w:rsidRDefault="008F04CF" w:rsidP="00B637B2">
                        <w:pPr>
                          <w:ind w:firstLineChars="200" w:firstLine="420"/>
                        </w:pPr>
                        <w:r>
                          <w:t>4.企业自身信用风险公允价值变动</w:t>
                        </w:r>
                      </w:p>
                    </w:sdtContent>
                  </w:sdt>
                </w:tc>
                <w:tc>
                  <w:tcPr>
                    <w:tcW w:w="562"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D6646B" w:rsidRDefault="008F04CF" w:rsidP="00B637B2">
                    <w:pPr>
                      <w:jc w:val="right"/>
                    </w:pPr>
                    <w:r w:rsidRPr="00D6646B">
                      <w:t>-</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D6646B" w:rsidRDefault="008F04CF" w:rsidP="00B637B2">
                    <w:pPr>
                      <w:jc w:val="right"/>
                    </w:pPr>
                    <w:r w:rsidRPr="00D6646B">
                      <w:t>-</w:t>
                    </w:r>
                  </w:p>
                </w:tc>
              </w:tr>
              <w:tr w:rsidR="00B637B2" w:rsidTr="00B637B2">
                <w:sdt>
                  <w:sdtPr>
                    <w:tag w:val="_PLD_37e542b34b764230a84886c730eceb4b"/>
                    <w:id w:val="-655452098"/>
                    <w:lock w:val="sdtLocked"/>
                  </w:sdtPr>
                  <w:sdtContent>
                    <w:tc>
                      <w:tcPr>
                        <w:tcW w:w="2166"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（二）将重分类进损益的其他综合收益</w:t>
                        </w:r>
                      </w:p>
                    </w:tc>
                  </w:sdtContent>
                </w:sdt>
                <w:tc>
                  <w:tcPr>
                    <w:tcW w:w="562"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D6646B" w:rsidRDefault="008F04CF" w:rsidP="00B637B2">
                    <w:pPr>
                      <w:jc w:val="right"/>
                    </w:pPr>
                    <w:r w:rsidRPr="00D6646B">
                      <w:t>-</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D6646B" w:rsidRDefault="008F04CF" w:rsidP="00B637B2">
                    <w:pPr>
                      <w:jc w:val="right"/>
                    </w:pPr>
                    <w:r w:rsidRPr="00D6646B">
                      <w:t>-</w:t>
                    </w:r>
                  </w:p>
                </w:tc>
              </w:tr>
              <w:tr w:rsidR="00B637B2" w:rsidTr="00B637B2">
                <w:sdt>
                  <w:sdtPr>
                    <w:tag w:val="_PLD_d4ccf04d8d17419faa79e993ba558b97"/>
                    <w:id w:val="-717819290"/>
                    <w:lock w:val="sdtLocked"/>
                  </w:sdtPr>
                  <w:sdtContent>
                    <w:tc>
                      <w:tcPr>
                        <w:tcW w:w="2166"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200" w:firstLine="420"/>
                          <w:rPr>
                            <w:szCs w:val="21"/>
                          </w:rPr>
                        </w:pPr>
                        <w:r>
                          <w:rPr>
                            <w:szCs w:val="21"/>
                          </w:rPr>
                          <w:t>1.权益法下可转损益的其他综合收益</w:t>
                        </w:r>
                      </w:p>
                    </w:tc>
                  </w:sdtContent>
                </w:sdt>
                <w:tc>
                  <w:tcPr>
                    <w:tcW w:w="562"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D6646B" w:rsidRDefault="008F04CF" w:rsidP="00B637B2">
                    <w:pPr>
                      <w:jc w:val="right"/>
                    </w:pPr>
                    <w:r w:rsidRPr="00D6646B">
                      <w:t>-</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D6646B" w:rsidRDefault="008F04CF" w:rsidP="00B637B2">
                    <w:pPr>
                      <w:jc w:val="right"/>
                    </w:pPr>
                    <w:r w:rsidRPr="00D6646B">
                      <w:t>-</w:t>
                    </w:r>
                  </w:p>
                </w:tc>
              </w:tr>
              <w:tr w:rsidR="00B637B2" w:rsidTr="00B637B2">
                <w:tc>
                  <w:tcPr>
                    <w:tcW w:w="2166" w:type="pct"/>
                    <w:tcBorders>
                      <w:top w:val="outset" w:sz="4" w:space="0" w:color="auto"/>
                      <w:left w:val="outset" w:sz="4" w:space="0" w:color="auto"/>
                      <w:bottom w:val="outset" w:sz="4" w:space="0" w:color="auto"/>
                      <w:right w:val="outset" w:sz="4" w:space="0" w:color="auto"/>
                    </w:tcBorders>
                    <w:vAlign w:val="center"/>
                  </w:tcPr>
                  <w:sdt>
                    <w:sdtPr>
                      <w:rPr>
                        <w:szCs w:val="21"/>
                      </w:rPr>
                      <w:tag w:val="_PLD_93132456e42c443bbad89584529b2f0a"/>
                      <w:id w:val="-1663920617"/>
                      <w:lock w:val="sdtLocked"/>
                    </w:sdtPr>
                    <w:sdtEndPr>
                      <w:rPr>
                        <w:szCs w:val="20"/>
                      </w:rPr>
                    </w:sdtEndPr>
                    <w:sdtContent>
                      <w:p w:rsidR="00B637B2" w:rsidRDefault="008F04CF" w:rsidP="00B637B2">
                        <w:pPr>
                          <w:ind w:firstLineChars="200" w:firstLine="420"/>
                        </w:pPr>
                        <w:r>
                          <w:rPr>
                            <w:szCs w:val="21"/>
                          </w:rPr>
                          <w:t>2.</w:t>
                        </w:r>
                        <w:r>
                          <w:t>其他债权投资公允价值变动</w:t>
                        </w:r>
                      </w:p>
                    </w:sdtContent>
                  </w:sdt>
                </w:tc>
                <w:tc>
                  <w:tcPr>
                    <w:tcW w:w="562"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D6646B" w:rsidRDefault="008F04CF" w:rsidP="00B637B2">
                    <w:pPr>
                      <w:jc w:val="right"/>
                    </w:pPr>
                    <w:r w:rsidRPr="00D6646B">
                      <w:t>-</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D6646B" w:rsidRDefault="008F04CF" w:rsidP="00B637B2">
                    <w:pPr>
                      <w:jc w:val="right"/>
                    </w:pPr>
                    <w:r w:rsidRPr="00D6646B">
                      <w:t>-</w:t>
                    </w:r>
                  </w:p>
                </w:tc>
              </w:tr>
              <w:tr w:rsidR="00B637B2" w:rsidTr="00B637B2">
                <w:tc>
                  <w:tcPr>
                    <w:tcW w:w="2166" w:type="pct"/>
                    <w:tcBorders>
                      <w:top w:val="outset" w:sz="4" w:space="0" w:color="auto"/>
                      <w:left w:val="outset" w:sz="4" w:space="0" w:color="auto"/>
                      <w:bottom w:val="outset" w:sz="4" w:space="0" w:color="auto"/>
                      <w:right w:val="outset" w:sz="4" w:space="0" w:color="auto"/>
                    </w:tcBorders>
                    <w:vAlign w:val="center"/>
                  </w:tcPr>
                  <w:sdt>
                    <w:sdtPr>
                      <w:tag w:val="_PLD_56cbac3f0eff46aeb135d338c62330b5"/>
                      <w:id w:val="1305731979"/>
                      <w:lock w:val="sdtLocked"/>
                    </w:sdtPr>
                    <w:sdtContent>
                      <w:p w:rsidR="00B637B2" w:rsidRDefault="008F04CF" w:rsidP="00B637B2">
                        <w:pPr>
                          <w:ind w:firstLineChars="200" w:firstLine="420"/>
                        </w:pPr>
                        <w:r>
                          <w:t>3.可供出售金融资产公允价值变动损益</w:t>
                        </w:r>
                      </w:p>
                    </w:sdtContent>
                  </w:sdt>
                </w:tc>
                <w:tc>
                  <w:tcPr>
                    <w:tcW w:w="562"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D6646B" w:rsidRDefault="008F04CF" w:rsidP="00B637B2">
                    <w:pPr>
                      <w:jc w:val="right"/>
                    </w:pPr>
                    <w:r w:rsidRPr="00D6646B">
                      <w:t>-</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D6646B" w:rsidRDefault="008F04CF" w:rsidP="00B637B2">
                    <w:pPr>
                      <w:jc w:val="right"/>
                    </w:pPr>
                    <w:r w:rsidRPr="00D6646B">
                      <w:t>-</w:t>
                    </w:r>
                  </w:p>
                </w:tc>
              </w:tr>
              <w:tr w:rsidR="00B637B2" w:rsidTr="00B637B2">
                <w:tc>
                  <w:tcPr>
                    <w:tcW w:w="2166" w:type="pct"/>
                    <w:tcBorders>
                      <w:top w:val="outset" w:sz="4" w:space="0" w:color="auto"/>
                      <w:left w:val="outset" w:sz="4" w:space="0" w:color="auto"/>
                      <w:bottom w:val="outset" w:sz="4" w:space="0" w:color="auto"/>
                      <w:right w:val="outset" w:sz="4" w:space="0" w:color="auto"/>
                    </w:tcBorders>
                    <w:vAlign w:val="center"/>
                  </w:tcPr>
                  <w:sdt>
                    <w:sdtPr>
                      <w:tag w:val="_PLD_a743db4ee3c74304b756c0773ac46b11"/>
                      <w:id w:val="-1210339322"/>
                      <w:lock w:val="sdtLocked"/>
                    </w:sdtPr>
                    <w:sdtContent>
                      <w:p w:rsidR="00B637B2" w:rsidRDefault="008F04CF" w:rsidP="00B637B2">
                        <w:pPr>
                          <w:ind w:firstLineChars="200" w:firstLine="420"/>
                        </w:pPr>
                        <w:r>
                          <w:t>4.金融资产重分类计入其他综合收益的金额</w:t>
                        </w:r>
                      </w:p>
                    </w:sdtContent>
                  </w:sdt>
                </w:tc>
                <w:tc>
                  <w:tcPr>
                    <w:tcW w:w="562"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D6646B" w:rsidRDefault="008F04CF" w:rsidP="00B637B2">
                    <w:pPr>
                      <w:jc w:val="right"/>
                    </w:pPr>
                    <w:r w:rsidRPr="00D6646B">
                      <w:t>-</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D6646B" w:rsidRDefault="008F04CF" w:rsidP="00B637B2">
                    <w:pPr>
                      <w:jc w:val="right"/>
                    </w:pPr>
                    <w:r w:rsidRPr="00D6646B">
                      <w:t>-</w:t>
                    </w:r>
                  </w:p>
                </w:tc>
              </w:tr>
              <w:tr w:rsidR="00B637B2" w:rsidTr="00B637B2">
                <w:tc>
                  <w:tcPr>
                    <w:tcW w:w="2166" w:type="pct"/>
                    <w:tcBorders>
                      <w:top w:val="outset" w:sz="4" w:space="0" w:color="auto"/>
                      <w:left w:val="outset" w:sz="4" w:space="0" w:color="auto"/>
                      <w:bottom w:val="outset" w:sz="4" w:space="0" w:color="auto"/>
                      <w:right w:val="outset" w:sz="4" w:space="0" w:color="auto"/>
                    </w:tcBorders>
                    <w:vAlign w:val="center"/>
                  </w:tcPr>
                  <w:sdt>
                    <w:sdtPr>
                      <w:tag w:val="_PLD_5f54f3472a0847b7987476f95415d5a8"/>
                      <w:id w:val="1081879915"/>
                      <w:lock w:val="sdtLocked"/>
                    </w:sdtPr>
                    <w:sdtContent>
                      <w:p w:rsidR="00B637B2" w:rsidRDefault="008F04CF" w:rsidP="00B637B2">
                        <w:pPr>
                          <w:ind w:firstLineChars="200" w:firstLine="420"/>
                        </w:pPr>
                        <w:r>
                          <w:t>5.持有至到期投资重分类为可供出售金融资产损益</w:t>
                        </w:r>
                      </w:p>
                    </w:sdtContent>
                  </w:sdt>
                </w:tc>
                <w:tc>
                  <w:tcPr>
                    <w:tcW w:w="562"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D6646B" w:rsidRDefault="008F04CF" w:rsidP="00B637B2">
                    <w:pPr>
                      <w:jc w:val="right"/>
                    </w:pPr>
                    <w:r w:rsidRPr="00D6646B">
                      <w:t>-</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D6646B" w:rsidRDefault="008F04CF" w:rsidP="00B637B2">
                    <w:pPr>
                      <w:jc w:val="right"/>
                    </w:pPr>
                    <w:r w:rsidRPr="00D6646B">
                      <w:t>-</w:t>
                    </w:r>
                  </w:p>
                </w:tc>
              </w:tr>
              <w:tr w:rsidR="00B637B2" w:rsidTr="00B637B2">
                <w:tc>
                  <w:tcPr>
                    <w:tcW w:w="2166" w:type="pct"/>
                    <w:tcBorders>
                      <w:top w:val="outset" w:sz="4" w:space="0" w:color="auto"/>
                      <w:left w:val="outset" w:sz="4" w:space="0" w:color="auto"/>
                      <w:bottom w:val="outset" w:sz="4" w:space="0" w:color="auto"/>
                      <w:right w:val="outset" w:sz="4" w:space="0" w:color="auto"/>
                    </w:tcBorders>
                    <w:vAlign w:val="center"/>
                  </w:tcPr>
                  <w:sdt>
                    <w:sdtPr>
                      <w:tag w:val="_PLD_14b4f884fa314ceab81d81f32b566281"/>
                      <w:id w:val="-1273931692"/>
                      <w:lock w:val="sdtLocked"/>
                    </w:sdtPr>
                    <w:sdtContent>
                      <w:p w:rsidR="00B637B2" w:rsidRDefault="008F04CF" w:rsidP="00B637B2">
                        <w:pPr>
                          <w:ind w:firstLineChars="200" w:firstLine="420"/>
                        </w:pPr>
                        <w:r>
                          <w:t>6.其他债权投资信用减值准备</w:t>
                        </w:r>
                      </w:p>
                    </w:sdtContent>
                  </w:sdt>
                </w:tc>
                <w:tc>
                  <w:tcPr>
                    <w:tcW w:w="562"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D6646B" w:rsidRDefault="008F04CF" w:rsidP="00B637B2">
                    <w:pPr>
                      <w:jc w:val="right"/>
                    </w:pPr>
                    <w:r w:rsidRPr="00D6646B">
                      <w:t>-</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D6646B" w:rsidRDefault="008F04CF" w:rsidP="00B637B2">
                    <w:pPr>
                      <w:jc w:val="right"/>
                    </w:pPr>
                    <w:r w:rsidRPr="00D6646B">
                      <w:t>-</w:t>
                    </w:r>
                  </w:p>
                </w:tc>
              </w:tr>
              <w:tr w:rsidR="00B637B2" w:rsidTr="00B637B2">
                <w:tc>
                  <w:tcPr>
                    <w:tcW w:w="2166" w:type="pct"/>
                    <w:tcBorders>
                      <w:top w:val="outset" w:sz="4" w:space="0" w:color="auto"/>
                      <w:left w:val="outset" w:sz="4" w:space="0" w:color="auto"/>
                      <w:bottom w:val="outset" w:sz="4" w:space="0" w:color="auto"/>
                      <w:right w:val="outset" w:sz="4" w:space="0" w:color="auto"/>
                    </w:tcBorders>
                    <w:vAlign w:val="center"/>
                  </w:tcPr>
                  <w:sdt>
                    <w:sdtPr>
                      <w:tag w:val="_PLD_796032270909454aa844e29f93af9bfd"/>
                      <w:id w:val="-761060437"/>
                      <w:lock w:val="sdtLocked"/>
                    </w:sdtPr>
                    <w:sdtContent>
                      <w:p w:rsidR="00B637B2" w:rsidRDefault="008F04CF" w:rsidP="00B637B2">
                        <w:pPr>
                          <w:ind w:firstLineChars="200" w:firstLine="420"/>
                        </w:pPr>
                        <w:r>
                          <w:t>7.现金流量套期储备（现金流量套期损益的有效部分</w:t>
                        </w:r>
                        <w:r>
                          <w:rPr>
                            <w:rFonts w:hint="eastAsia"/>
                          </w:rPr>
                          <w:t>）</w:t>
                        </w:r>
                      </w:p>
                    </w:sdtContent>
                  </w:sdt>
                </w:tc>
                <w:tc>
                  <w:tcPr>
                    <w:tcW w:w="562"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D6646B" w:rsidRDefault="008F04CF" w:rsidP="00B637B2">
                    <w:pPr>
                      <w:jc w:val="right"/>
                    </w:pPr>
                    <w:r w:rsidRPr="00D6646B">
                      <w:t>-</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D6646B" w:rsidRDefault="008F04CF" w:rsidP="00B637B2">
                    <w:pPr>
                      <w:jc w:val="right"/>
                    </w:pPr>
                    <w:r w:rsidRPr="00D6646B">
                      <w:t>-</w:t>
                    </w:r>
                  </w:p>
                </w:tc>
              </w:tr>
              <w:tr w:rsidR="00B637B2" w:rsidTr="00B637B2">
                <w:tc>
                  <w:tcPr>
                    <w:tcW w:w="2166" w:type="pct"/>
                    <w:tcBorders>
                      <w:top w:val="outset" w:sz="4" w:space="0" w:color="auto"/>
                      <w:left w:val="outset" w:sz="4" w:space="0" w:color="auto"/>
                      <w:bottom w:val="outset" w:sz="4" w:space="0" w:color="auto"/>
                      <w:right w:val="outset" w:sz="4" w:space="0" w:color="auto"/>
                    </w:tcBorders>
                    <w:vAlign w:val="center"/>
                  </w:tcPr>
                  <w:sdt>
                    <w:sdtPr>
                      <w:tag w:val="_PLD_323d275a987c439884f3d362a19ee65f"/>
                      <w:id w:val="-1646884457"/>
                      <w:lock w:val="sdtLocked"/>
                    </w:sdtPr>
                    <w:sdtContent>
                      <w:p w:rsidR="00B637B2" w:rsidRDefault="008F04CF" w:rsidP="00B637B2">
                        <w:pPr>
                          <w:ind w:firstLineChars="200" w:firstLine="420"/>
                        </w:pPr>
                        <w:r>
                          <w:t>8.外币财务报表折算差额</w:t>
                        </w:r>
                      </w:p>
                    </w:sdtContent>
                  </w:sdt>
                </w:tc>
                <w:tc>
                  <w:tcPr>
                    <w:tcW w:w="562"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D6646B" w:rsidRDefault="008F04CF" w:rsidP="00B637B2">
                    <w:pPr>
                      <w:jc w:val="right"/>
                    </w:pPr>
                    <w:r w:rsidRPr="00D6646B">
                      <w:t>-</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D6646B" w:rsidRDefault="008F04CF" w:rsidP="00B637B2">
                    <w:pPr>
                      <w:jc w:val="right"/>
                    </w:pPr>
                    <w:r w:rsidRPr="00D6646B">
                      <w:t>-</w:t>
                    </w:r>
                  </w:p>
                </w:tc>
              </w:tr>
              <w:tr w:rsidR="00B637B2" w:rsidTr="00B637B2">
                <w:tc>
                  <w:tcPr>
                    <w:tcW w:w="2166" w:type="pct"/>
                    <w:tcBorders>
                      <w:top w:val="outset" w:sz="4" w:space="0" w:color="auto"/>
                      <w:left w:val="outset" w:sz="4" w:space="0" w:color="auto"/>
                      <w:bottom w:val="outset" w:sz="4" w:space="0" w:color="auto"/>
                      <w:right w:val="outset" w:sz="4" w:space="0" w:color="auto"/>
                    </w:tcBorders>
                    <w:vAlign w:val="center"/>
                  </w:tcPr>
                  <w:sdt>
                    <w:sdtPr>
                      <w:tag w:val="_PLD_4762e9ad5d4d4b7c9fc8455f2f975e7d"/>
                      <w:id w:val="-1186436634"/>
                      <w:lock w:val="sdtLocked"/>
                    </w:sdtPr>
                    <w:sdtContent>
                      <w:p w:rsidR="00B637B2" w:rsidRDefault="008F04CF" w:rsidP="00B637B2">
                        <w:pPr>
                          <w:ind w:firstLineChars="200" w:firstLine="420"/>
                        </w:pPr>
                        <w:r>
                          <w:t>9.其他</w:t>
                        </w:r>
                      </w:p>
                    </w:sdtContent>
                  </w:sdt>
                </w:tc>
                <w:tc>
                  <w:tcPr>
                    <w:tcW w:w="562"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D6646B" w:rsidRDefault="008F04CF" w:rsidP="00B637B2">
                    <w:pPr>
                      <w:jc w:val="right"/>
                    </w:pPr>
                    <w:r w:rsidRPr="00D6646B">
                      <w:t>-</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D6646B" w:rsidRDefault="008F04CF" w:rsidP="00B637B2">
                    <w:pPr>
                      <w:jc w:val="right"/>
                    </w:pPr>
                    <w:r w:rsidRPr="00D6646B">
                      <w:t>-</w:t>
                    </w:r>
                  </w:p>
                </w:tc>
              </w:tr>
              <w:tr w:rsidR="00B637B2" w:rsidTr="00B637B2">
                <w:sdt>
                  <w:sdtPr>
                    <w:tag w:val="_PLD_28547dbb231643aebb7e2c7f824bc757"/>
                    <w:id w:val="-78293243"/>
                    <w:lock w:val="sdtLocked"/>
                  </w:sdtPr>
                  <w:sdtContent>
                    <w:tc>
                      <w:tcPr>
                        <w:tcW w:w="2166"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left="-19"/>
                          <w:rPr>
                            <w:szCs w:val="21"/>
                          </w:rPr>
                        </w:pPr>
                        <w:r>
                          <w:rPr>
                            <w:rFonts w:hint="eastAsia"/>
                            <w:szCs w:val="21"/>
                          </w:rPr>
                          <w:t>六、综合收益总额</w:t>
                        </w:r>
                      </w:p>
                    </w:tc>
                  </w:sdtContent>
                </w:sdt>
                <w:tc>
                  <w:tcPr>
                    <w:tcW w:w="562"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D6646B" w:rsidRDefault="008F04CF" w:rsidP="00B637B2">
                    <w:pPr>
                      <w:jc w:val="right"/>
                    </w:pPr>
                    <w:r w:rsidRPr="00D6646B">
                      <w:t>-</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D6646B" w:rsidRDefault="008F04CF" w:rsidP="00B637B2">
                    <w:pPr>
                      <w:jc w:val="right"/>
                    </w:pPr>
                    <w:r w:rsidRPr="00D6646B">
                      <w:t>-</w:t>
                    </w:r>
                  </w:p>
                </w:tc>
              </w:tr>
              <w:tr w:rsidR="00B637B2" w:rsidTr="00B637B2">
                <w:sdt>
                  <w:sdtPr>
                    <w:tag w:val="_PLD_302a225367d84b88a766d8daaf22e468"/>
                    <w:id w:val="-1348707607"/>
                    <w:lock w:val="sdtLocked"/>
                  </w:sdtPr>
                  <w:sdtContent>
                    <w:tc>
                      <w:tcPr>
                        <w:tcW w:w="2166"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leftChars="-19" w:hangingChars="19" w:hanging="40"/>
                          <w:rPr>
                            <w:szCs w:val="21"/>
                          </w:rPr>
                        </w:pPr>
                        <w:r>
                          <w:rPr>
                            <w:rFonts w:hint="eastAsia"/>
                            <w:szCs w:val="21"/>
                          </w:rPr>
                          <w:t>七</w:t>
                        </w:r>
                        <w:r>
                          <w:rPr>
                            <w:szCs w:val="21"/>
                          </w:rPr>
                          <w:t>、每股收益：</w:t>
                        </w:r>
                      </w:p>
                    </w:tc>
                  </w:sdtContent>
                </w:sdt>
                <w:tc>
                  <w:tcPr>
                    <w:tcW w:w="562"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D6646B" w:rsidRDefault="00B637B2" w:rsidP="00B637B2">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D6646B" w:rsidRDefault="00B637B2" w:rsidP="00B637B2">
                    <w:pPr>
                      <w:jc w:val="right"/>
                    </w:pPr>
                  </w:p>
                </w:tc>
              </w:tr>
              <w:tr w:rsidR="00B637B2" w:rsidTr="00B637B2">
                <w:sdt>
                  <w:sdtPr>
                    <w:tag w:val="_PLD_02c58dc4adaa4ac0a7ec8d49dda16ebf"/>
                    <w:id w:val="-199547305"/>
                    <w:lock w:val="sdtLocked"/>
                  </w:sdtPr>
                  <w:sdtContent>
                    <w:tc>
                      <w:tcPr>
                        <w:tcW w:w="2166"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left="-19" w:firstLineChars="200" w:firstLine="420"/>
                          <w:rPr>
                            <w:szCs w:val="21"/>
                          </w:rPr>
                        </w:pPr>
                        <w:r>
                          <w:rPr>
                            <w:szCs w:val="21"/>
                          </w:rPr>
                          <w:t>（一）基本每股收益</w:t>
                        </w:r>
                        <w:r>
                          <w:rPr>
                            <w:rFonts w:hint="eastAsia"/>
                            <w:szCs w:val="21"/>
                          </w:rPr>
                          <w:t>(元/股)</w:t>
                        </w:r>
                      </w:p>
                    </w:tc>
                  </w:sdtContent>
                </w:sdt>
                <w:tc>
                  <w:tcPr>
                    <w:tcW w:w="562"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D6646B" w:rsidRDefault="008F04CF" w:rsidP="00B637B2">
                    <w:pPr>
                      <w:jc w:val="right"/>
                    </w:pPr>
                    <w:r w:rsidRPr="00D6646B">
                      <w:t>0.19</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jc w:val="right"/>
                    </w:pPr>
                    <w:r w:rsidRPr="00D6646B">
                      <w:t>0.16</w:t>
                    </w:r>
                  </w:p>
                </w:tc>
              </w:tr>
              <w:tr w:rsidR="00B637B2" w:rsidTr="00B637B2">
                <w:sdt>
                  <w:sdtPr>
                    <w:tag w:val="_PLD_59e8f40ed93e41f8a25596a736bf29e0"/>
                    <w:id w:val="762120797"/>
                    <w:lock w:val="sdtLocked"/>
                  </w:sdtPr>
                  <w:sdtContent>
                    <w:tc>
                      <w:tcPr>
                        <w:tcW w:w="2166"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left="-19" w:firstLineChars="200" w:firstLine="420"/>
                          <w:rPr>
                            <w:szCs w:val="21"/>
                          </w:rPr>
                        </w:pPr>
                        <w:r>
                          <w:rPr>
                            <w:szCs w:val="21"/>
                          </w:rPr>
                          <w:t>（二）稀释每股收益</w:t>
                        </w:r>
                        <w:r>
                          <w:rPr>
                            <w:rFonts w:hint="eastAsia"/>
                            <w:szCs w:val="21"/>
                          </w:rPr>
                          <w:t>(元/股)</w:t>
                        </w:r>
                      </w:p>
                    </w:tc>
                  </w:sdtContent>
                </w:sdt>
                <w:tc>
                  <w:tcPr>
                    <w:tcW w:w="562"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57" w:type="pct"/>
                    <w:tcBorders>
                      <w:top w:val="outset" w:sz="4" w:space="0" w:color="auto"/>
                      <w:left w:val="outset" w:sz="4" w:space="0" w:color="auto"/>
                      <w:bottom w:val="outset" w:sz="4" w:space="0" w:color="auto"/>
                      <w:right w:val="outset" w:sz="4" w:space="0" w:color="auto"/>
                    </w:tcBorders>
                    <w:vAlign w:val="center"/>
                  </w:tcPr>
                  <w:p w:rsidR="00B637B2" w:rsidRPr="00D6646B" w:rsidRDefault="008F04CF" w:rsidP="00B637B2">
                    <w:pPr>
                      <w:jc w:val="right"/>
                    </w:pPr>
                    <w:r w:rsidRPr="00D6646B">
                      <w:t>0.19</w:t>
                    </w:r>
                  </w:p>
                </w:tc>
                <w:tc>
                  <w:tcPr>
                    <w:tcW w:w="1114" w:type="pct"/>
                    <w:tcBorders>
                      <w:top w:val="outset" w:sz="4" w:space="0" w:color="auto"/>
                      <w:left w:val="outset" w:sz="4" w:space="0" w:color="auto"/>
                      <w:bottom w:val="outset" w:sz="4" w:space="0" w:color="auto"/>
                      <w:right w:val="outset" w:sz="4" w:space="0" w:color="auto"/>
                    </w:tcBorders>
                    <w:vAlign w:val="center"/>
                  </w:tcPr>
                  <w:p w:rsidR="00B637B2" w:rsidRPr="00D6646B" w:rsidRDefault="008F04CF" w:rsidP="00B637B2">
                    <w:pPr>
                      <w:jc w:val="right"/>
                    </w:pPr>
                    <w:r w:rsidRPr="00D6646B">
                      <w:t>0.16</w:t>
                    </w:r>
                  </w:p>
                </w:tc>
              </w:tr>
            </w:tbl>
            <w:p w:rsidR="00B637B2" w:rsidRDefault="00B637B2"/>
            <w:p w:rsidR="00ED2DC7" w:rsidRDefault="00ED2DC7">
              <w:pPr>
                <w:snapToGrid w:val="0"/>
                <w:spacing w:line="240" w:lineRule="atLeast"/>
                <w:ind w:rightChars="-73" w:right="-153"/>
                <w:rPr>
                  <w:rFonts w:cs="宋体-方正超大字符集"/>
                  <w:szCs w:val="21"/>
                </w:rPr>
              </w:pPr>
              <w:r>
                <w:rPr>
                  <w:szCs w:val="21"/>
                </w:rPr>
                <w:t>法定代表人</w:t>
              </w:r>
              <w:r>
                <w:rPr>
                  <w:rFonts w:hint="eastAsia"/>
                  <w:szCs w:val="21"/>
                </w:rPr>
                <w:t>：</w:t>
              </w:r>
              <w:sdt>
                <w:sdtPr>
                  <w:rPr>
                    <w:rFonts w:hint="eastAsia"/>
                    <w:szCs w:val="21"/>
                  </w:rPr>
                  <w:alias w:val="公司法定代表人"/>
                  <w:tag w:val="_GBC_6be9c51ef68a40f0b60486f4414f2413"/>
                  <w:id w:val="-652369134"/>
                  <w:lock w:val="sdtLocked"/>
                  <w:placeholder>
                    <w:docPart w:val="GBC22222222222222222222222222222"/>
                  </w:placeholder>
                  <w:dataBinding w:prefixMappings="xmlns:clcid-cgi='clcid-cgi'" w:xpath="/*/clcid-cgi:GongSiFaDingDaiBiaoRen[not(@periodRef)]" w:storeItemID="{89EBAB94-44A0-46A2-B712-30D997D04A6D}"/>
                  <w:text/>
                </w:sdtPr>
                <w:sdtContent>
                  <w:r w:rsidR="008F04CF">
                    <w:rPr>
                      <w:rFonts w:hint="eastAsia"/>
                      <w:szCs w:val="21"/>
                    </w:rPr>
                    <w:t>王文京</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ac91a6c67f0a401ab312a449bd87b833"/>
                  <w:id w:val="1324002526"/>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8F04CF">
                    <w:rPr>
                      <w:rFonts w:hint="eastAsia"/>
                      <w:szCs w:val="21"/>
                    </w:rPr>
                    <w:t>章培林</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60f6b900783346cfad817de4d84acf5e"/>
                  <w:id w:val="823868510"/>
                  <w:lock w:val="sdtLocked"/>
                  <w:placeholder>
                    <w:docPart w:val="GBC22222222222222222222222222222"/>
                  </w:placeholder>
                  <w:dataBinding w:prefixMappings="xmlns:clcid-mr='clcid-mr'" w:xpath="/*/clcid-mr:KuaiJiJiGouFuZeRenXingMing[not(@periodRef)]" w:storeItemID="{89EBAB94-44A0-46A2-B712-30D997D04A6D}"/>
                  <w:text/>
                </w:sdtPr>
                <w:sdtContent>
                  <w:r w:rsidR="008F04CF">
                    <w:rPr>
                      <w:rFonts w:hint="eastAsia"/>
                      <w:szCs w:val="21"/>
                    </w:rPr>
                    <w:t>孙淑嫔</w:t>
                  </w:r>
                </w:sdtContent>
              </w:sdt>
            </w:p>
          </w:sdtContent>
        </w:sdt>
        <w:p w:rsidR="00ED2DC7" w:rsidRDefault="000D0A99">
          <w:pPr>
            <w:snapToGrid w:val="0"/>
            <w:spacing w:line="240" w:lineRule="atLeast"/>
            <w:ind w:rightChars="-73" w:right="-153"/>
            <w:rPr>
              <w:b/>
              <w:bCs/>
              <w:color w:val="FF0000"/>
              <w:szCs w:val="21"/>
            </w:rPr>
          </w:pPr>
        </w:p>
      </w:sdtContent>
    </w:sdt>
    <w:bookmarkEnd w:id="68" w:displacedByCustomXml="prev"/>
    <w:p w:rsidR="00ED2DC7" w:rsidRDefault="00ED2DC7">
      <w:pPr>
        <w:rPr>
          <w:color w:val="FF0000"/>
          <w:szCs w:val="21"/>
        </w:rPr>
      </w:pPr>
    </w:p>
    <w:p w:rsidR="00ED2DC7" w:rsidRDefault="00ED2DC7">
      <w:pPr>
        <w:rPr>
          <w:color w:val="FF0000"/>
          <w:szCs w:val="21"/>
        </w:rPr>
      </w:pPr>
    </w:p>
    <w:bookmarkStart w:id="69" w:name="_Hlk10211590" w:displacedByCustomXml="next"/>
    <w:sdt>
      <w:sdtPr>
        <w:rPr>
          <w:rFonts w:ascii="宋体" w:hAnsi="宋体" w:cs="宋体" w:hint="eastAsia"/>
          <w:b w:val="0"/>
          <w:bCs w:val="0"/>
          <w:kern w:val="0"/>
          <w:szCs w:val="24"/>
        </w:rPr>
        <w:alias w:val="选项模块:需要编制合并报表"/>
        <w:tag w:val="_GBC_d6533048a32749eaa7738390457b7f24"/>
        <w:id w:val="969013218"/>
        <w:lock w:val="sdtLocked"/>
        <w:placeholder>
          <w:docPart w:val="GBC22222222222222222222222222222"/>
        </w:placeholder>
      </w:sdtPr>
      <w:sdtEndPr>
        <w:rPr>
          <w:szCs w:val="21"/>
        </w:rPr>
      </w:sdtEndPr>
      <w:sdtContent>
        <w:sdt>
          <w:sdtPr>
            <w:rPr>
              <w:rFonts w:ascii="宋体" w:hAnsi="宋体" w:cs="宋体" w:hint="eastAsia"/>
              <w:b w:val="0"/>
              <w:bCs w:val="0"/>
              <w:kern w:val="0"/>
              <w:szCs w:val="24"/>
            </w:rPr>
            <w:tag w:val="_GBC_17c43da24c7845d3aa093910aeaf2348"/>
            <w:id w:val="-1153675683"/>
            <w:lock w:val="sdtLocked"/>
            <w:placeholder>
              <w:docPart w:val="GBC22222222222222222222222222222"/>
            </w:placeholder>
          </w:sdtPr>
          <w:sdtEndPr>
            <w:rPr>
              <w:szCs w:val="21"/>
            </w:rPr>
          </w:sdtEndPr>
          <w:sdtContent>
            <w:p w:rsidR="00ED2DC7" w:rsidRDefault="00ED2DC7">
              <w:pPr>
                <w:pStyle w:val="affffffffffffffffff1"/>
                <w:jc w:val="center"/>
              </w:pPr>
              <w:r>
                <w:rPr>
                  <w:rFonts w:hint="eastAsia"/>
                </w:rPr>
                <w:t>合并</w:t>
              </w:r>
              <w:r>
                <w:t>现金流量表</w:t>
              </w:r>
            </w:p>
            <w:p w:rsidR="00ED2DC7" w:rsidRDefault="00ED2DC7">
              <w:pPr>
                <w:jc w:val="center"/>
                <w:rPr>
                  <w:b/>
                  <w:bCs/>
                  <w:szCs w:val="21"/>
                </w:rPr>
              </w:pPr>
              <w:r>
                <w:rPr>
                  <w:szCs w:val="21"/>
                </w:rPr>
                <w:t>2019年</w:t>
              </w:r>
              <w:r>
                <w:rPr>
                  <w:rFonts w:hint="eastAsia"/>
                  <w:szCs w:val="21"/>
                </w:rPr>
                <w:t>1—6</w:t>
              </w:r>
              <w:r>
                <w:rPr>
                  <w:szCs w:val="21"/>
                </w:rPr>
                <w:t>月</w:t>
              </w:r>
            </w:p>
            <w:p w:rsidR="00ED2DC7" w:rsidRDefault="00ED2DC7">
              <w:pPr>
                <w:jc w:val="right"/>
                <w:rPr>
                  <w:szCs w:val="21"/>
                </w:rPr>
              </w:pPr>
              <w:r>
                <w:rPr>
                  <w:szCs w:val="21"/>
                </w:rPr>
                <w:t>单位</w:t>
              </w:r>
              <w:r>
                <w:rPr>
                  <w:rFonts w:hint="eastAsia"/>
                  <w:szCs w:val="21"/>
                </w:rPr>
                <w:t>：</w:t>
              </w:r>
              <w:sdt>
                <w:sdtPr>
                  <w:rPr>
                    <w:rFonts w:hint="eastAsia"/>
                    <w:szCs w:val="21"/>
                  </w:rPr>
                  <w:alias w:val="单位：合并现金流量表"/>
                  <w:tag w:val="_GBC_7049413ddb8f4e5eac9cb9fb4f802433"/>
                  <w:id w:val="84059268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hint="eastAsia"/>
                      <w:szCs w:val="21"/>
                    </w:rPr>
                    <w:t>元</w:t>
                  </w:r>
                </w:sdtContent>
              </w:sdt>
              <w:r>
                <w:rPr>
                  <w:szCs w:val="21"/>
                </w:rPr>
                <w:t xml:space="preserve">  币种</w:t>
              </w:r>
              <w:r>
                <w:rPr>
                  <w:rFonts w:hint="eastAsia"/>
                  <w:szCs w:val="21"/>
                </w:rPr>
                <w:t>：</w:t>
              </w:r>
              <w:sdt>
                <w:sdtPr>
                  <w:rPr>
                    <w:rFonts w:hint="eastAsia"/>
                    <w:szCs w:val="21"/>
                  </w:rPr>
                  <w:alias w:val="币种：合并现金流量表"/>
                  <w:tag w:val="_GBC_5ab1c6e244484b228b8cdc6ee3840fd6"/>
                  <w:id w:val="20933438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szCs w:val="21"/>
                    </w:rPr>
                    <w:t>人民币</w:t>
                  </w:r>
                </w:sdtContent>
              </w:sdt>
            </w:p>
            <w:tbl>
              <w:tblPr>
                <w:tblStyle w:val="g38"/>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823"/>
                <w:gridCol w:w="993"/>
                <w:gridCol w:w="1983"/>
                <w:gridCol w:w="2024"/>
              </w:tblGrid>
              <w:tr w:rsidR="00ED2DC7" w:rsidTr="00B637B2">
                <w:sdt>
                  <w:sdtPr>
                    <w:tag w:val="_PLD_2a3b6af3ab824e2db1022630f7a58e18"/>
                    <w:id w:val="1049959674"/>
                    <w:lock w:val="sdtLocked"/>
                  </w:sdtPr>
                  <w:sdtContent>
                    <w:tc>
                      <w:tcPr>
                        <w:tcW w:w="2166" w:type="pct"/>
                        <w:tcBorders>
                          <w:top w:val="outset" w:sz="4" w:space="0" w:color="auto"/>
                          <w:left w:val="outset" w:sz="4" w:space="0" w:color="auto"/>
                          <w:bottom w:val="outset" w:sz="4" w:space="0" w:color="auto"/>
                          <w:right w:val="outset" w:sz="4" w:space="0" w:color="auto"/>
                        </w:tcBorders>
                      </w:tcPr>
                      <w:p w:rsidR="00ED2DC7" w:rsidRDefault="00ED2DC7">
                        <w:pPr>
                          <w:jc w:val="center"/>
                          <w:rPr>
                            <w:b/>
                            <w:bCs/>
                            <w:szCs w:val="21"/>
                          </w:rPr>
                        </w:pPr>
                        <w:r>
                          <w:rPr>
                            <w:b/>
                            <w:szCs w:val="21"/>
                          </w:rPr>
                          <w:t>项目</w:t>
                        </w:r>
                      </w:p>
                    </w:tc>
                  </w:sdtContent>
                </w:sdt>
                <w:sdt>
                  <w:sdtPr>
                    <w:tag w:val="_PLD_49df1a6f5a224085bdcd56671a898d47"/>
                    <w:id w:val="-387727527"/>
                    <w:lock w:val="sdtLocked"/>
                  </w:sdtPr>
                  <w:sdtContent>
                    <w:tc>
                      <w:tcPr>
                        <w:tcW w:w="563" w:type="pct"/>
                        <w:tcBorders>
                          <w:top w:val="outset" w:sz="4" w:space="0" w:color="auto"/>
                          <w:left w:val="outset" w:sz="4" w:space="0" w:color="auto"/>
                          <w:bottom w:val="outset" w:sz="4" w:space="0" w:color="auto"/>
                          <w:right w:val="outset" w:sz="4" w:space="0" w:color="auto"/>
                        </w:tcBorders>
                      </w:tcPr>
                      <w:p w:rsidR="00ED2DC7" w:rsidRDefault="00ED2DC7">
                        <w:pPr>
                          <w:jc w:val="center"/>
                          <w:rPr>
                            <w:b/>
                            <w:szCs w:val="21"/>
                          </w:rPr>
                        </w:pPr>
                        <w:r>
                          <w:rPr>
                            <w:b/>
                            <w:szCs w:val="21"/>
                          </w:rPr>
                          <w:t>附注</w:t>
                        </w:r>
                      </w:p>
                    </w:tc>
                  </w:sdtContent>
                </w:sdt>
                <w:sdt>
                  <w:sdtPr>
                    <w:tag w:val="_PLD_aba5e14092764f689b78fdbe9892bc51"/>
                    <w:id w:val="750622518"/>
                    <w:lock w:val="sdtLocked"/>
                  </w:sdtPr>
                  <w:sdtContent>
                    <w:tc>
                      <w:tcPr>
                        <w:tcW w:w="1124" w:type="pct"/>
                        <w:tcBorders>
                          <w:top w:val="outset" w:sz="4" w:space="0" w:color="auto"/>
                          <w:left w:val="outset" w:sz="4" w:space="0" w:color="auto"/>
                          <w:bottom w:val="outset" w:sz="4" w:space="0" w:color="auto"/>
                          <w:right w:val="outset" w:sz="4" w:space="0" w:color="auto"/>
                        </w:tcBorders>
                      </w:tcPr>
                      <w:p w:rsidR="00ED2DC7" w:rsidRDefault="00ED2DC7">
                        <w:pPr>
                          <w:autoSpaceDE w:val="0"/>
                          <w:autoSpaceDN w:val="0"/>
                          <w:adjustRightInd w:val="0"/>
                          <w:jc w:val="center"/>
                          <w:rPr>
                            <w:b/>
                            <w:szCs w:val="21"/>
                          </w:rPr>
                        </w:pPr>
                        <w:r>
                          <w:rPr>
                            <w:rFonts w:hint="eastAsia"/>
                            <w:b/>
                            <w:szCs w:val="21"/>
                          </w:rPr>
                          <w:t>2019年半年度</w:t>
                        </w:r>
                      </w:p>
                    </w:tc>
                  </w:sdtContent>
                </w:sdt>
                <w:sdt>
                  <w:sdtPr>
                    <w:tag w:val="_PLD_8cac70c6f00c4266a9b8cff482cc71cc"/>
                    <w:id w:val="1407195879"/>
                    <w:lock w:val="sdtLocked"/>
                  </w:sdtPr>
                  <w:sdtContent>
                    <w:tc>
                      <w:tcPr>
                        <w:tcW w:w="1147" w:type="pct"/>
                        <w:tcBorders>
                          <w:top w:val="outset" w:sz="4" w:space="0" w:color="auto"/>
                          <w:left w:val="outset" w:sz="4" w:space="0" w:color="auto"/>
                          <w:bottom w:val="outset" w:sz="4" w:space="0" w:color="auto"/>
                          <w:right w:val="outset" w:sz="4" w:space="0" w:color="auto"/>
                        </w:tcBorders>
                      </w:tcPr>
                      <w:p w:rsidR="00ED2DC7" w:rsidRDefault="00ED2DC7">
                        <w:pPr>
                          <w:autoSpaceDE w:val="0"/>
                          <w:autoSpaceDN w:val="0"/>
                          <w:adjustRightInd w:val="0"/>
                          <w:jc w:val="center"/>
                          <w:rPr>
                            <w:b/>
                            <w:szCs w:val="21"/>
                          </w:rPr>
                        </w:pPr>
                        <w:r>
                          <w:rPr>
                            <w:rFonts w:hint="eastAsia"/>
                            <w:b/>
                            <w:szCs w:val="21"/>
                          </w:rPr>
                          <w:t>2018年半年度</w:t>
                        </w:r>
                      </w:p>
                    </w:tc>
                  </w:sdtContent>
                </w:sdt>
              </w:tr>
              <w:tr w:rsidR="00ED2DC7" w:rsidTr="00B637B2">
                <w:sdt>
                  <w:sdtPr>
                    <w:tag w:val="_PLD_ffd119a1ffa641c1a00397806a78ee23"/>
                    <w:id w:val="1451903007"/>
                    <w:lock w:val="sdtLocked"/>
                  </w:sdtPr>
                  <w:sdtContent>
                    <w:tc>
                      <w:tcPr>
                        <w:tcW w:w="2166" w:type="pct"/>
                        <w:tcBorders>
                          <w:top w:val="outset" w:sz="4" w:space="0" w:color="auto"/>
                          <w:left w:val="outset" w:sz="4" w:space="0" w:color="auto"/>
                          <w:bottom w:val="outset" w:sz="4" w:space="0" w:color="auto"/>
                          <w:right w:val="outset" w:sz="4" w:space="0" w:color="auto"/>
                        </w:tcBorders>
                      </w:tcPr>
                      <w:p w:rsidR="00ED2DC7" w:rsidRDefault="00ED2DC7">
                        <w:pPr>
                          <w:rPr>
                            <w:color w:val="000000"/>
                            <w:szCs w:val="21"/>
                          </w:rPr>
                        </w:pPr>
                        <w:r>
                          <w:rPr>
                            <w:rFonts w:hint="eastAsia"/>
                            <w:b/>
                            <w:bCs/>
                            <w:szCs w:val="21"/>
                          </w:rPr>
                          <w:t>一、经营活动产生的现金流量：</w:t>
                        </w:r>
                      </w:p>
                    </w:tc>
                  </w:sdtContent>
                </w:sdt>
                <w:tc>
                  <w:tcPr>
                    <w:tcW w:w="563" w:type="pct"/>
                    <w:tcBorders>
                      <w:top w:val="outset" w:sz="4" w:space="0" w:color="auto"/>
                      <w:left w:val="outset" w:sz="4" w:space="0" w:color="auto"/>
                      <w:bottom w:val="outset" w:sz="4" w:space="0" w:color="auto"/>
                      <w:right w:val="outset" w:sz="4" w:space="0" w:color="auto"/>
                    </w:tcBorders>
                  </w:tcPr>
                  <w:p w:rsidR="00ED2DC7" w:rsidRDefault="00ED2DC7">
                    <w:pPr>
                      <w:rPr>
                        <w:szCs w:val="21"/>
                      </w:rPr>
                    </w:pPr>
                  </w:p>
                </w:tc>
                <w:tc>
                  <w:tcPr>
                    <w:tcW w:w="1124" w:type="pct"/>
                    <w:tcBorders>
                      <w:top w:val="outset" w:sz="4" w:space="0" w:color="auto"/>
                      <w:left w:val="outset" w:sz="4" w:space="0" w:color="auto"/>
                      <w:bottom w:val="outset" w:sz="4" w:space="0" w:color="auto"/>
                      <w:right w:val="outset" w:sz="4" w:space="0" w:color="auto"/>
                    </w:tcBorders>
                    <w:vAlign w:val="center"/>
                  </w:tcPr>
                  <w:p w:rsidR="00ED2DC7" w:rsidRPr="00550A73" w:rsidRDefault="00ED2DC7" w:rsidP="00B637B2">
                    <w:pPr>
                      <w:jc w:val="right"/>
                      <w:rPr>
                        <w:szCs w:val="21"/>
                      </w:rPr>
                    </w:pPr>
                  </w:p>
                </w:tc>
                <w:tc>
                  <w:tcPr>
                    <w:tcW w:w="1147" w:type="pct"/>
                    <w:tcBorders>
                      <w:top w:val="outset" w:sz="4" w:space="0" w:color="auto"/>
                      <w:left w:val="outset" w:sz="4" w:space="0" w:color="auto"/>
                      <w:bottom w:val="outset" w:sz="4" w:space="0" w:color="auto"/>
                      <w:right w:val="outset" w:sz="4" w:space="0" w:color="auto"/>
                    </w:tcBorders>
                    <w:vAlign w:val="center"/>
                  </w:tcPr>
                  <w:p w:rsidR="00ED2DC7" w:rsidRDefault="00ED2DC7" w:rsidP="00B637B2">
                    <w:pPr>
                      <w:jc w:val="right"/>
                      <w:rPr>
                        <w:szCs w:val="21"/>
                      </w:rPr>
                    </w:pPr>
                  </w:p>
                </w:tc>
              </w:tr>
              <w:tr w:rsidR="007A6CFD" w:rsidTr="00B637B2">
                <w:sdt>
                  <w:sdtPr>
                    <w:tag w:val="_PLD_3737bef37bc541e2b41571186e0af02f"/>
                    <w:id w:val="562912147"/>
                    <w:lock w:val="sdtLocked"/>
                  </w:sdtPr>
                  <w:sdtContent>
                    <w:tc>
                      <w:tcPr>
                        <w:tcW w:w="2166" w:type="pct"/>
                        <w:tcBorders>
                          <w:top w:val="outset" w:sz="4" w:space="0" w:color="auto"/>
                          <w:left w:val="outset" w:sz="4" w:space="0" w:color="auto"/>
                          <w:bottom w:val="outset" w:sz="4" w:space="0" w:color="auto"/>
                          <w:right w:val="outset" w:sz="4" w:space="0" w:color="auto"/>
                        </w:tcBorders>
                      </w:tcPr>
                      <w:p w:rsidR="007A6CFD" w:rsidRDefault="007A6CFD" w:rsidP="007A6CFD">
                        <w:pPr>
                          <w:ind w:firstLineChars="100" w:firstLine="210"/>
                          <w:rPr>
                            <w:color w:val="000000"/>
                            <w:szCs w:val="21"/>
                          </w:rPr>
                        </w:pPr>
                        <w:r>
                          <w:rPr>
                            <w:rFonts w:hint="eastAsia"/>
                            <w:szCs w:val="21"/>
                          </w:rPr>
                          <w:t>销售商品、提供劳务收到的现金</w:t>
                        </w:r>
                      </w:p>
                    </w:tc>
                  </w:sdtContent>
                </w:sdt>
                <w:tc>
                  <w:tcPr>
                    <w:tcW w:w="563" w:type="pct"/>
                    <w:tcBorders>
                      <w:top w:val="outset" w:sz="4" w:space="0" w:color="auto"/>
                      <w:left w:val="outset" w:sz="4" w:space="0" w:color="auto"/>
                      <w:bottom w:val="outset" w:sz="4" w:space="0" w:color="auto"/>
                      <w:right w:val="outset" w:sz="4" w:space="0" w:color="auto"/>
                    </w:tcBorders>
                  </w:tcPr>
                  <w:p w:rsidR="007A6CFD" w:rsidRDefault="007A6CFD" w:rsidP="007A6CFD">
                    <w:pPr>
                      <w:rPr>
                        <w:szCs w:val="21"/>
                      </w:rPr>
                    </w:pPr>
                  </w:p>
                </w:tc>
                <w:tc>
                  <w:tcPr>
                    <w:tcW w:w="1124" w:type="pct"/>
                    <w:tcBorders>
                      <w:top w:val="outset" w:sz="4" w:space="0" w:color="auto"/>
                      <w:left w:val="outset" w:sz="4" w:space="0" w:color="auto"/>
                      <w:bottom w:val="outset" w:sz="4" w:space="0" w:color="auto"/>
                      <w:right w:val="outset" w:sz="4" w:space="0" w:color="auto"/>
                    </w:tcBorders>
                    <w:vAlign w:val="center"/>
                  </w:tcPr>
                  <w:p w:rsidR="007A6CFD" w:rsidRPr="00F20588" w:rsidRDefault="007A6CFD" w:rsidP="00B637B2">
                    <w:pPr>
                      <w:jc w:val="right"/>
                    </w:pPr>
                    <w:r w:rsidRPr="00F20588">
                      <w:t>3,509,341,565</w:t>
                    </w:r>
                  </w:p>
                </w:tc>
                <w:tc>
                  <w:tcPr>
                    <w:tcW w:w="1147" w:type="pct"/>
                    <w:tcBorders>
                      <w:top w:val="outset" w:sz="4" w:space="0" w:color="auto"/>
                      <w:left w:val="outset" w:sz="4" w:space="0" w:color="auto"/>
                      <w:bottom w:val="outset" w:sz="4" w:space="0" w:color="auto"/>
                      <w:right w:val="outset" w:sz="4" w:space="0" w:color="auto"/>
                    </w:tcBorders>
                    <w:vAlign w:val="center"/>
                  </w:tcPr>
                  <w:p w:rsidR="007A6CFD" w:rsidRDefault="007A6CFD" w:rsidP="00B637B2">
                    <w:pPr>
                      <w:jc w:val="right"/>
                    </w:pPr>
                    <w:r w:rsidRPr="00F20588">
                      <w:t>3,123,801,148</w:t>
                    </w:r>
                  </w:p>
                </w:tc>
              </w:tr>
              <w:tr w:rsidR="00ED2DC7" w:rsidTr="00B637B2">
                <w:sdt>
                  <w:sdtPr>
                    <w:tag w:val="_PLD_0e165cb86e9e42a0b268845ab2bfbc62"/>
                    <w:id w:val="1545878016"/>
                    <w:lock w:val="sdtLocked"/>
                  </w:sdtPr>
                  <w:sdtContent>
                    <w:tc>
                      <w:tcPr>
                        <w:tcW w:w="2166" w:type="pct"/>
                        <w:tcBorders>
                          <w:top w:val="outset" w:sz="4" w:space="0" w:color="auto"/>
                          <w:left w:val="outset" w:sz="4" w:space="0" w:color="auto"/>
                          <w:bottom w:val="outset" w:sz="4" w:space="0" w:color="auto"/>
                          <w:right w:val="outset" w:sz="4" w:space="0" w:color="auto"/>
                        </w:tcBorders>
                      </w:tcPr>
                      <w:p w:rsidR="00ED2DC7" w:rsidRDefault="00ED2DC7">
                        <w:pPr>
                          <w:ind w:firstLineChars="100" w:firstLine="210"/>
                          <w:rPr>
                            <w:szCs w:val="21"/>
                          </w:rPr>
                        </w:pPr>
                        <w:r>
                          <w:rPr>
                            <w:rFonts w:hint="eastAsia"/>
                            <w:szCs w:val="21"/>
                          </w:rPr>
                          <w:t>客户存款和同业存放款项净增加额</w:t>
                        </w:r>
                      </w:p>
                    </w:tc>
                  </w:sdtContent>
                </w:sdt>
                <w:tc>
                  <w:tcPr>
                    <w:tcW w:w="563" w:type="pct"/>
                    <w:tcBorders>
                      <w:top w:val="outset" w:sz="4" w:space="0" w:color="auto"/>
                      <w:left w:val="outset" w:sz="4" w:space="0" w:color="auto"/>
                      <w:bottom w:val="outset" w:sz="4" w:space="0" w:color="auto"/>
                      <w:right w:val="outset" w:sz="4" w:space="0" w:color="auto"/>
                    </w:tcBorders>
                  </w:tcPr>
                  <w:p w:rsidR="00ED2DC7" w:rsidRDefault="00ED2DC7">
                    <w:pPr>
                      <w:rPr>
                        <w:szCs w:val="21"/>
                      </w:rPr>
                    </w:pPr>
                  </w:p>
                </w:tc>
                <w:tc>
                  <w:tcPr>
                    <w:tcW w:w="1124" w:type="pct"/>
                    <w:tcBorders>
                      <w:top w:val="outset" w:sz="4" w:space="0" w:color="auto"/>
                      <w:left w:val="outset" w:sz="4" w:space="0" w:color="auto"/>
                      <w:bottom w:val="outset" w:sz="4" w:space="0" w:color="auto"/>
                      <w:right w:val="outset" w:sz="4" w:space="0" w:color="auto"/>
                    </w:tcBorders>
                    <w:vAlign w:val="center"/>
                  </w:tcPr>
                  <w:p w:rsidR="00ED2DC7" w:rsidRDefault="00ED2DC7" w:rsidP="00B637B2">
                    <w:pPr>
                      <w:jc w:val="right"/>
                      <w:rPr>
                        <w:szCs w:val="21"/>
                      </w:rPr>
                    </w:pPr>
                  </w:p>
                </w:tc>
                <w:tc>
                  <w:tcPr>
                    <w:tcW w:w="1147" w:type="pct"/>
                    <w:tcBorders>
                      <w:top w:val="outset" w:sz="4" w:space="0" w:color="auto"/>
                      <w:left w:val="outset" w:sz="4" w:space="0" w:color="auto"/>
                      <w:bottom w:val="outset" w:sz="4" w:space="0" w:color="auto"/>
                      <w:right w:val="outset" w:sz="4" w:space="0" w:color="auto"/>
                    </w:tcBorders>
                    <w:vAlign w:val="center"/>
                  </w:tcPr>
                  <w:p w:rsidR="00ED2DC7" w:rsidRDefault="00ED2DC7" w:rsidP="00B637B2">
                    <w:pPr>
                      <w:jc w:val="right"/>
                      <w:rPr>
                        <w:szCs w:val="21"/>
                      </w:rPr>
                    </w:pPr>
                  </w:p>
                </w:tc>
              </w:tr>
              <w:tr w:rsidR="00ED2DC7" w:rsidTr="00B637B2">
                <w:sdt>
                  <w:sdtPr>
                    <w:tag w:val="_PLD_53ac9ac9881c4fd7a23a964afe0f5ab9"/>
                    <w:id w:val="1389849042"/>
                    <w:lock w:val="sdtLocked"/>
                  </w:sdtPr>
                  <w:sdtContent>
                    <w:tc>
                      <w:tcPr>
                        <w:tcW w:w="2166" w:type="pct"/>
                        <w:tcBorders>
                          <w:top w:val="outset" w:sz="4" w:space="0" w:color="auto"/>
                          <w:left w:val="outset" w:sz="4" w:space="0" w:color="auto"/>
                          <w:bottom w:val="outset" w:sz="4" w:space="0" w:color="auto"/>
                          <w:right w:val="outset" w:sz="4" w:space="0" w:color="auto"/>
                        </w:tcBorders>
                      </w:tcPr>
                      <w:p w:rsidR="00ED2DC7" w:rsidRDefault="00ED2DC7">
                        <w:pPr>
                          <w:ind w:firstLineChars="100" w:firstLine="210"/>
                          <w:rPr>
                            <w:szCs w:val="21"/>
                          </w:rPr>
                        </w:pPr>
                        <w:r>
                          <w:rPr>
                            <w:rFonts w:hint="eastAsia"/>
                            <w:szCs w:val="21"/>
                          </w:rPr>
                          <w:t>向中央银行借款净增加额</w:t>
                        </w:r>
                      </w:p>
                    </w:tc>
                  </w:sdtContent>
                </w:sdt>
                <w:tc>
                  <w:tcPr>
                    <w:tcW w:w="563" w:type="pct"/>
                    <w:tcBorders>
                      <w:top w:val="outset" w:sz="4" w:space="0" w:color="auto"/>
                      <w:left w:val="outset" w:sz="4" w:space="0" w:color="auto"/>
                      <w:bottom w:val="outset" w:sz="4" w:space="0" w:color="auto"/>
                      <w:right w:val="outset" w:sz="4" w:space="0" w:color="auto"/>
                    </w:tcBorders>
                  </w:tcPr>
                  <w:p w:rsidR="00ED2DC7" w:rsidRDefault="00ED2DC7">
                    <w:pPr>
                      <w:rPr>
                        <w:szCs w:val="21"/>
                      </w:rPr>
                    </w:pPr>
                  </w:p>
                </w:tc>
                <w:tc>
                  <w:tcPr>
                    <w:tcW w:w="1124" w:type="pct"/>
                    <w:tcBorders>
                      <w:top w:val="outset" w:sz="4" w:space="0" w:color="auto"/>
                      <w:left w:val="outset" w:sz="4" w:space="0" w:color="auto"/>
                      <w:bottom w:val="outset" w:sz="4" w:space="0" w:color="auto"/>
                      <w:right w:val="outset" w:sz="4" w:space="0" w:color="auto"/>
                    </w:tcBorders>
                    <w:vAlign w:val="center"/>
                  </w:tcPr>
                  <w:p w:rsidR="00ED2DC7" w:rsidRDefault="00ED2DC7" w:rsidP="00B637B2">
                    <w:pPr>
                      <w:jc w:val="right"/>
                      <w:rPr>
                        <w:szCs w:val="21"/>
                      </w:rPr>
                    </w:pPr>
                  </w:p>
                </w:tc>
                <w:tc>
                  <w:tcPr>
                    <w:tcW w:w="1147" w:type="pct"/>
                    <w:tcBorders>
                      <w:top w:val="outset" w:sz="4" w:space="0" w:color="auto"/>
                      <w:left w:val="outset" w:sz="4" w:space="0" w:color="auto"/>
                      <w:bottom w:val="outset" w:sz="4" w:space="0" w:color="auto"/>
                      <w:right w:val="outset" w:sz="4" w:space="0" w:color="auto"/>
                    </w:tcBorders>
                    <w:vAlign w:val="center"/>
                  </w:tcPr>
                  <w:p w:rsidR="00ED2DC7" w:rsidRDefault="00ED2DC7" w:rsidP="00B637B2">
                    <w:pPr>
                      <w:jc w:val="right"/>
                      <w:rPr>
                        <w:szCs w:val="21"/>
                      </w:rPr>
                    </w:pPr>
                  </w:p>
                </w:tc>
              </w:tr>
              <w:tr w:rsidR="00ED2DC7" w:rsidTr="00B637B2">
                <w:sdt>
                  <w:sdtPr>
                    <w:tag w:val="_PLD_4fa5cd7231084d5e8d16a86dececd3b2"/>
                    <w:id w:val="44727388"/>
                    <w:lock w:val="sdtLocked"/>
                  </w:sdtPr>
                  <w:sdtContent>
                    <w:tc>
                      <w:tcPr>
                        <w:tcW w:w="2166" w:type="pct"/>
                        <w:tcBorders>
                          <w:top w:val="outset" w:sz="4" w:space="0" w:color="auto"/>
                          <w:left w:val="outset" w:sz="4" w:space="0" w:color="auto"/>
                          <w:bottom w:val="outset" w:sz="4" w:space="0" w:color="auto"/>
                          <w:right w:val="outset" w:sz="4" w:space="0" w:color="auto"/>
                        </w:tcBorders>
                      </w:tcPr>
                      <w:p w:rsidR="00ED2DC7" w:rsidRDefault="00ED2DC7">
                        <w:pPr>
                          <w:ind w:firstLineChars="100" w:firstLine="210"/>
                          <w:rPr>
                            <w:szCs w:val="21"/>
                          </w:rPr>
                        </w:pPr>
                        <w:r>
                          <w:rPr>
                            <w:rFonts w:hint="eastAsia"/>
                            <w:szCs w:val="21"/>
                          </w:rPr>
                          <w:t>向其他金融机构拆入资金净增加额</w:t>
                        </w:r>
                      </w:p>
                    </w:tc>
                  </w:sdtContent>
                </w:sdt>
                <w:tc>
                  <w:tcPr>
                    <w:tcW w:w="563" w:type="pct"/>
                    <w:tcBorders>
                      <w:top w:val="outset" w:sz="4" w:space="0" w:color="auto"/>
                      <w:left w:val="outset" w:sz="4" w:space="0" w:color="auto"/>
                      <w:bottom w:val="outset" w:sz="4" w:space="0" w:color="auto"/>
                      <w:right w:val="outset" w:sz="4" w:space="0" w:color="auto"/>
                    </w:tcBorders>
                  </w:tcPr>
                  <w:p w:rsidR="00ED2DC7" w:rsidRDefault="00ED2DC7">
                    <w:pPr>
                      <w:rPr>
                        <w:szCs w:val="21"/>
                      </w:rPr>
                    </w:pPr>
                  </w:p>
                </w:tc>
                <w:tc>
                  <w:tcPr>
                    <w:tcW w:w="1124" w:type="pct"/>
                    <w:tcBorders>
                      <w:top w:val="outset" w:sz="4" w:space="0" w:color="auto"/>
                      <w:left w:val="outset" w:sz="4" w:space="0" w:color="auto"/>
                      <w:bottom w:val="outset" w:sz="4" w:space="0" w:color="auto"/>
                      <w:right w:val="outset" w:sz="4" w:space="0" w:color="auto"/>
                    </w:tcBorders>
                    <w:vAlign w:val="center"/>
                  </w:tcPr>
                  <w:p w:rsidR="00ED2DC7" w:rsidRDefault="00ED2DC7" w:rsidP="00B637B2">
                    <w:pPr>
                      <w:jc w:val="right"/>
                      <w:rPr>
                        <w:szCs w:val="21"/>
                      </w:rPr>
                    </w:pPr>
                  </w:p>
                </w:tc>
                <w:tc>
                  <w:tcPr>
                    <w:tcW w:w="1147" w:type="pct"/>
                    <w:tcBorders>
                      <w:top w:val="outset" w:sz="4" w:space="0" w:color="auto"/>
                      <w:left w:val="outset" w:sz="4" w:space="0" w:color="auto"/>
                      <w:bottom w:val="outset" w:sz="4" w:space="0" w:color="auto"/>
                      <w:right w:val="outset" w:sz="4" w:space="0" w:color="auto"/>
                    </w:tcBorders>
                    <w:vAlign w:val="center"/>
                  </w:tcPr>
                  <w:p w:rsidR="00ED2DC7" w:rsidRDefault="00ED2DC7" w:rsidP="00B637B2">
                    <w:pPr>
                      <w:jc w:val="right"/>
                      <w:rPr>
                        <w:szCs w:val="21"/>
                      </w:rPr>
                    </w:pPr>
                  </w:p>
                </w:tc>
              </w:tr>
              <w:tr w:rsidR="00ED2DC7" w:rsidTr="00B637B2">
                <w:sdt>
                  <w:sdtPr>
                    <w:tag w:val="_PLD_ca0d502c0b574483ab47d4c8173169f9"/>
                    <w:id w:val="771285978"/>
                    <w:lock w:val="sdtLocked"/>
                  </w:sdtPr>
                  <w:sdtContent>
                    <w:tc>
                      <w:tcPr>
                        <w:tcW w:w="2166" w:type="pct"/>
                        <w:tcBorders>
                          <w:top w:val="outset" w:sz="4" w:space="0" w:color="auto"/>
                          <w:left w:val="outset" w:sz="4" w:space="0" w:color="auto"/>
                          <w:bottom w:val="outset" w:sz="4" w:space="0" w:color="auto"/>
                          <w:right w:val="outset" w:sz="4" w:space="0" w:color="auto"/>
                        </w:tcBorders>
                      </w:tcPr>
                      <w:p w:rsidR="00ED2DC7" w:rsidRDefault="00ED2DC7">
                        <w:pPr>
                          <w:ind w:firstLineChars="100" w:firstLine="210"/>
                          <w:rPr>
                            <w:szCs w:val="21"/>
                          </w:rPr>
                        </w:pPr>
                        <w:r>
                          <w:rPr>
                            <w:rFonts w:hint="eastAsia"/>
                            <w:szCs w:val="21"/>
                          </w:rPr>
                          <w:t>收到原保险合同保费取得的现金</w:t>
                        </w:r>
                      </w:p>
                    </w:tc>
                  </w:sdtContent>
                </w:sdt>
                <w:tc>
                  <w:tcPr>
                    <w:tcW w:w="563" w:type="pct"/>
                    <w:tcBorders>
                      <w:top w:val="outset" w:sz="4" w:space="0" w:color="auto"/>
                      <w:left w:val="outset" w:sz="4" w:space="0" w:color="auto"/>
                      <w:bottom w:val="outset" w:sz="4" w:space="0" w:color="auto"/>
                      <w:right w:val="outset" w:sz="4" w:space="0" w:color="auto"/>
                    </w:tcBorders>
                  </w:tcPr>
                  <w:p w:rsidR="00ED2DC7" w:rsidRDefault="00ED2DC7">
                    <w:pPr>
                      <w:rPr>
                        <w:szCs w:val="21"/>
                      </w:rPr>
                    </w:pPr>
                  </w:p>
                </w:tc>
                <w:tc>
                  <w:tcPr>
                    <w:tcW w:w="1124" w:type="pct"/>
                    <w:tcBorders>
                      <w:top w:val="outset" w:sz="4" w:space="0" w:color="auto"/>
                      <w:left w:val="outset" w:sz="4" w:space="0" w:color="auto"/>
                      <w:bottom w:val="outset" w:sz="4" w:space="0" w:color="auto"/>
                      <w:right w:val="outset" w:sz="4" w:space="0" w:color="auto"/>
                    </w:tcBorders>
                    <w:vAlign w:val="center"/>
                  </w:tcPr>
                  <w:p w:rsidR="00ED2DC7" w:rsidRDefault="00ED2DC7" w:rsidP="00B637B2">
                    <w:pPr>
                      <w:jc w:val="right"/>
                      <w:rPr>
                        <w:szCs w:val="21"/>
                      </w:rPr>
                    </w:pPr>
                  </w:p>
                </w:tc>
                <w:tc>
                  <w:tcPr>
                    <w:tcW w:w="1147" w:type="pct"/>
                    <w:tcBorders>
                      <w:top w:val="outset" w:sz="4" w:space="0" w:color="auto"/>
                      <w:left w:val="outset" w:sz="4" w:space="0" w:color="auto"/>
                      <w:bottom w:val="outset" w:sz="4" w:space="0" w:color="auto"/>
                      <w:right w:val="outset" w:sz="4" w:space="0" w:color="auto"/>
                    </w:tcBorders>
                    <w:vAlign w:val="center"/>
                  </w:tcPr>
                  <w:p w:rsidR="00ED2DC7" w:rsidRDefault="00ED2DC7" w:rsidP="00B637B2">
                    <w:pPr>
                      <w:jc w:val="right"/>
                      <w:rPr>
                        <w:szCs w:val="21"/>
                      </w:rPr>
                    </w:pPr>
                  </w:p>
                </w:tc>
              </w:tr>
              <w:tr w:rsidR="00ED2DC7" w:rsidTr="00B637B2">
                <w:sdt>
                  <w:sdtPr>
                    <w:tag w:val="_PLD_27d3854b584b426e821112162a2315b7"/>
                    <w:id w:val="-1803609316"/>
                    <w:lock w:val="sdtLocked"/>
                  </w:sdtPr>
                  <w:sdtContent>
                    <w:tc>
                      <w:tcPr>
                        <w:tcW w:w="2166" w:type="pct"/>
                        <w:tcBorders>
                          <w:top w:val="outset" w:sz="4" w:space="0" w:color="auto"/>
                          <w:left w:val="outset" w:sz="4" w:space="0" w:color="auto"/>
                          <w:bottom w:val="outset" w:sz="4" w:space="0" w:color="auto"/>
                          <w:right w:val="outset" w:sz="4" w:space="0" w:color="auto"/>
                        </w:tcBorders>
                      </w:tcPr>
                      <w:p w:rsidR="00ED2DC7" w:rsidRDefault="00ED2DC7">
                        <w:pPr>
                          <w:ind w:firstLineChars="100" w:firstLine="210"/>
                          <w:rPr>
                            <w:szCs w:val="21"/>
                          </w:rPr>
                        </w:pPr>
                        <w:r>
                          <w:rPr>
                            <w:rFonts w:hint="eastAsia"/>
                            <w:szCs w:val="21"/>
                          </w:rPr>
                          <w:t>收到再保险业务现金净额</w:t>
                        </w:r>
                      </w:p>
                    </w:tc>
                  </w:sdtContent>
                </w:sdt>
                <w:tc>
                  <w:tcPr>
                    <w:tcW w:w="563" w:type="pct"/>
                    <w:tcBorders>
                      <w:top w:val="outset" w:sz="4" w:space="0" w:color="auto"/>
                      <w:left w:val="outset" w:sz="4" w:space="0" w:color="auto"/>
                      <w:bottom w:val="outset" w:sz="4" w:space="0" w:color="auto"/>
                      <w:right w:val="outset" w:sz="4" w:space="0" w:color="auto"/>
                    </w:tcBorders>
                  </w:tcPr>
                  <w:p w:rsidR="00ED2DC7" w:rsidRDefault="00ED2DC7">
                    <w:pPr>
                      <w:rPr>
                        <w:szCs w:val="21"/>
                      </w:rPr>
                    </w:pPr>
                  </w:p>
                </w:tc>
                <w:tc>
                  <w:tcPr>
                    <w:tcW w:w="1124" w:type="pct"/>
                    <w:tcBorders>
                      <w:top w:val="outset" w:sz="4" w:space="0" w:color="auto"/>
                      <w:left w:val="outset" w:sz="4" w:space="0" w:color="auto"/>
                      <w:bottom w:val="outset" w:sz="4" w:space="0" w:color="auto"/>
                      <w:right w:val="outset" w:sz="4" w:space="0" w:color="auto"/>
                    </w:tcBorders>
                    <w:vAlign w:val="center"/>
                  </w:tcPr>
                  <w:p w:rsidR="00ED2DC7" w:rsidRDefault="00ED2DC7" w:rsidP="00B637B2">
                    <w:pPr>
                      <w:jc w:val="right"/>
                      <w:rPr>
                        <w:szCs w:val="21"/>
                      </w:rPr>
                    </w:pPr>
                  </w:p>
                </w:tc>
                <w:tc>
                  <w:tcPr>
                    <w:tcW w:w="1147" w:type="pct"/>
                    <w:tcBorders>
                      <w:top w:val="outset" w:sz="4" w:space="0" w:color="auto"/>
                      <w:left w:val="outset" w:sz="4" w:space="0" w:color="auto"/>
                      <w:bottom w:val="outset" w:sz="4" w:space="0" w:color="auto"/>
                      <w:right w:val="outset" w:sz="4" w:space="0" w:color="auto"/>
                    </w:tcBorders>
                    <w:vAlign w:val="center"/>
                  </w:tcPr>
                  <w:p w:rsidR="00ED2DC7" w:rsidRDefault="00ED2DC7" w:rsidP="00B637B2">
                    <w:pPr>
                      <w:jc w:val="right"/>
                      <w:rPr>
                        <w:szCs w:val="21"/>
                      </w:rPr>
                    </w:pPr>
                  </w:p>
                </w:tc>
              </w:tr>
              <w:tr w:rsidR="00ED2DC7" w:rsidTr="00B637B2">
                <w:sdt>
                  <w:sdtPr>
                    <w:tag w:val="_PLD_9042657b6c95463292e1d70a9dcb4339"/>
                    <w:id w:val="1599220147"/>
                    <w:lock w:val="sdtLocked"/>
                  </w:sdtPr>
                  <w:sdtContent>
                    <w:tc>
                      <w:tcPr>
                        <w:tcW w:w="2166" w:type="pct"/>
                        <w:tcBorders>
                          <w:top w:val="outset" w:sz="4" w:space="0" w:color="auto"/>
                          <w:left w:val="outset" w:sz="4" w:space="0" w:color="auto"/>
                          <w:bottom w:val="outset" w:sz="4" w:space="0" w:color="auto"/>
                          <w:right w:val="outset" w:sz="4" w:space="0" w:color="auto"/>
                        </w:tcBorders>
                      </w:tcPr>
                      <w:p w:rsidR="00ED2DC7" w:rsidRDefault="00ED2DC7">
                        <w:pPr>
                          <w:ind w:firstLineChars="100" w:firstLine="210"/>
                          <w:rPr>
                            <w:szCs w:val="21"/>
                          </w:rPr>
                        </w:pPr>
                        <w:r>
                          <w:rPr>
                            <w:rFonts w:hint="eastAsia"/>
                            <w:szCs w:val="21"/>
                          </w:rPr>
                          <w:t>保户储金及投资款净增加额</w:t>
                        </w:r>
                      </w:p>
                    </w:tc>
                  </w:sdtContent>
                </w:sdt>
                <w:tc>
                  <w:tcPr>
                    <w:tcW w:w="563" w:type="pct"/>
                    <w:tcBorders>
                      <w:top w:val="outset" w:sz="4" w:space="0" w:color="auto"/>
                      <w:left w:val="outset" w:sz="4" w:space="0" w:color="auto"/>
                      <w:bottom w:val="outset" w:sz="4" w:space="0" w:color="auto"/>
                      <w:right w:val="outset" w:sz="4" w:space="0" w:color="auto"/>
                    </w:tcBorders>
                  </w:tcPr>
                  <w:p w:rsidR="00ED2DC7" w:rsidRDefault="00ED2DC7">
                    <w:pPr>
                      <w:rPr>
                        <w:szCs w:val="21"/>
                      </w:rPr>
                    </w:pPr>
                  </w:p>
                </w:tc>
                <w:tc>
                  <w:tcPr>
                    <w:tcW w:w="1124" w:type="pct"/>
                    <w:tcBorders>
                      <w:top w:val="outset" w:sz="4" w:space="0" w:color="auto"/>
                      <w:left w:val="outset" w:sz="4" w:space="0" w:color="auto"/>
                      <w:bottom w:val="outset" w:sz="4" w:space="0" w:color="auto"/>
                      <w:right w:val="outset" w:sz="4" w:space="0" w:color="auto"/>
                    </w:tcBorders>
                    <w:vAlign w:val="center"/>
                  </w:tcPr>
                  <w:p w:rsidR="00ED2DC7" w:rsidRDefault="00ED2DC7" w:rsidP="00B637B2">
                    <w:pPr>
                      <w:jc w:val="right"/>
                      <w:rPr>
                        <w:szCs w:val="21"/>
                      </w:rPr>
                    </w:pPr>
                  </w:p>
                </w:tc>
                <w:tc>
                  <w:tcPr>
                    <w:tcW w:w="1147" w:type="pct"/>
                    <w:tcBorders>
                      <w:top w:val="outset" w:sz="4" w:space="0" w:color="auto"/>
                      <w:left w:val="outset" w:sz="4" w:space="0" w:color="auto"/>
                      <w:bottom w:val="outset" w:sz="4" w:space="0" w:color="auto"/>
                      <w:right w:val="outset" w:sz="4" w:space="0" w:color="auto"/>
                    </w:tcBorders>
                    <w:vAlign w:val="center"/>
                  </w:tcPr>
                  <w:p w:rsidR="00ED2DC7" w:rsidRDefault="00ED2DC7" w:rsidP="00B637B2">
                    <w:pPr>
                      <w:jc w:val="right"/>
                      <w:rPr>
                        <w:szCs w:val="21"/>
                      </w:rPr>
                    </w:pPr>
                  </w:p>
                </w:tc>
              </w:tr>
              <w:tr w:rsidR="00ED2DC7" w:rsidTr="00B637B2">
                <w:sdt>
                  <w:sdtPr>
                    <w:tag w:val="_PLD_f2b940928e9a441385d0fbc1e03e9847"/>
                    <w:id w:val="231586862"/>
                    <w:lock w:val="sdtLocked"/>
                  </w:sdtPr>
                  <w:sdtContent>
                    <w:tc>
                      <w:tcPr>
                        <w:tcW w:w="2166" w:type="pct"/>
                        <w:tcBorders>
                          <w:top w:val="outset" w:sz="4" w:space="0" w:color="auto"/>
                          <w:left w:val="outset" w:sz="4" w:space="0" w:color="auto"/>
                          <w:bottom w:val="outset" w:sz="4" w:space="0" w:color="auto"/>
                          <w:right w:val="outset" w:sz="4" w:space="0" w:color="auto"/>
                        </w:tcBorders>
                      </w:tcPr>
                      <w:p w:rsidR="00ED2DC7" w:rsidRDefault="00ED2DC7">
                        <w:pPr>
                          <w:ind w:firstLineChars="100" w:firstLine="210"/>
                          <w:rPr>
                            <w:szCs w:val="21"/>
                          </w:rPr>
                        </w:pPr>
                        <w:r>
                          <w:rPr>
                            <w:rFonts w:hint="eastAsia"/>
                            <w:szCs w:val="21"/>
                          </w:rPr>
                          <w:t>收取利息、手续费及佣金的现金</w:t>
                        </w:r>
                      </w:p>
                    </w:tc>
                  </w:sdtContent>
                </w:sdt>
                <w:tc>
                  <w:tcPr>
                    <w:tcW w:w="563" w:type="pct"/>
                    <w:tcBorders>
                      <w:top w:val="outset" w:sz="4" w:space="0" w:color="auto"/>
                      <w:left w:val="outset" w:sz="4" w:space="0" w:color="auto"/>
                      <w:bottom w:val="outset" w:sz="4" w:space="0" w:color="auto"/>
                      <w:right w:val="outset" w:sz="4" w:space="0" w:color="auto"/>
                    </w:tcBorders>
                  </w:tcPr>
                  <w:p w:rsidR="00ED2DC7" w:rsidRDefault="00ED2DC7">
                    <w:pPr>
                      <w:rPr>
                        <w:szCs w:val="21"/>
                      </w:rPr>
                    </w:pPr>
                  </w:p>
                </w:tc>
                <w:tc>
                  <w:tcPr>
                    <w:tcW w:w="1124" w:type="pct"/>
                    <w:tcBorders>
                      <w:top w:val="outset" w:sz="4" w:space="0" w:color="auto"/>
                      <w:left w:val="outset" w:sz="4" w:space="0" w:color="auto"/>
                      <w:bottom w:val="outset" w:sz="4" w:space="0" w:color="auto"/>
                      <w:right w:val="outset" w:sz="4" w:space="0" w:color="auto"/>
                    </w:tcBorders>
                    <w:vAlign w:val="center"/>
                  </w:tcPr>
                  <w:p w:rsidR="00ED2DC7" w:rsidRDefault="00ED2DC7" w:rsidP="00B637B2">
                    <w:pPr>
                      <w:jc w:val="right"/>
                      <w:rPr>
                        <w:szCs w:val="21"/>
                      </w:rPr>
                    </w:pPr>
                  </w:p>
                </w:tc>
                <w:tc>
                  <w:tcPr>
                    <w:tcW w:w="1147" w:type="pct"/>
                    <w:tcBorders>
                      <w:top w:val="outset" w:sz="4" w:space="0" w:color="auto"/>
                      <w:left w:val="outset" w:sz="4" w:space="0" w:color="auto"/>
                      <w:bottom w:val="outset" w:sz="4" w:space="0" w:color="auto"/>
                      <w:right w:val="outset" w:sz="4" w:space="0" w:color="auto"/>
                    </w:tcBorders>
                    <w:vAlign w:val="center"/>
                  </w:tcPr>
                  <w:p w:rsidR="00ED2DC7" w:rsidRDefault="00ED2DC7" w:rsidP="00B637B2">
                    <w:pPr>
                      <w:jc w:val="right"/>
                      <w:rPr>
                        <w:szCs w:val="21"/>
                      </w:rPr>
                    </w:pPr>
                  </w:p>
                </w:tc>
              </w:tr>
              <w:tr w:rsidR="00ED2DC7" w:rsidTr="00B637B2">
                <w:sdt>
                  <w:sdtPr>
                    <w:tag w:val="_PLD_fb8a102c0adb420b81df819e96f35605"/>
                    <w:id w:val="-1489788770"/>
                    <w:lock w:val="sdtLocked"/>
                  </w:sdtPr>
                  <w:sdtContent>
                    <w:tc>
                      <w:tcPr>
                        <w:tcW w:w="2166" w:type="pct"/>
                        <w:tcBorders>
                          <w:top w:val="outset" w:sz="4" w:space="0" w:color="auto"/>
                          <w:left w:val="outset" w:sz="4" w:space="0" w:color="auto"/>
                          <w:bottom w:val="outset" w:sz="4" w:space="0" w:color="auto"/>
                          <w:right w:val="outset" w:sz="4" w:space="0" w:color="auto"/>
                        </w:tcBorders>
                      </w:tcPr>
                      <w:p w:rsidR="00ED2DC7" w:rsidRDefault="00ED2DC7">
                        <w:pPr>
                          <w:ind w:firstLineChars="100" w:firstLine="210"/>
                          <w:rPr>
                            <w:szCs w:val="21"/>
                          </w:rPr>
                        </w:pPr>
                        <w:r>
                          <w:rPr>
                            <w:rFonts w:hint="eastAsia"/>
                            <w:szCs w:val="21"/>
                          </w:rPr>
                          <w:t>拆入资金净增加额</w:t>
                        </w:r>
                      </w:p>
                    </w:tc>
                  </w:sdtContent>
                </w:sdt>
                <w:tc>
                  <w:tcPr>
                    <w:tcW w:w="563" w:type="pct"/>
                    <w:tcBorders>
                      <w:top w:val="outset" w:sz="4" w:space="0" w:color="auto"/>
                      <w:left w:val="outset" w:sz="4" w:space="0" w:color="auto"/>
                      <w:bottom w:val="outset" w:sz="4" w:space="0" w:color="auto"/>
                      <w:right w:val="outset" w:sz="4" w:space="0" w:color="auto"/>
                    </w:tcBorders>
                  </w:tcPr>
                  <w:p w:rsidR="00ED2DC7" w:rsidRDefault="00ED2DC7">
                    <w:pPr>
                      <w:rPr>
                        <w:szCs w:val="21"/>
                      </w:rPr>
                    </w:pPr>
                  </w:p>
                </w:tc>
                <w:tc>
                  <w:tcPr>
                    <w:tcW w:w="1124" w:type="pct"/>
                    <w:tcBorders>
                      <w:top w:val="outset" w:sz="4" w:space="0" w:color="auto"/>
                      <w:left w:val="outset" w:sz="4" w:space="0" w:color="auto"/>
                      <w:bottom w:val="outset" w:sz="4" w:space="0" w:color="auto"/>
                      <w:right w:val="outset" w:sz="4" w:space="0" w:color="auto"/>
                    </w:tcBorders>
                    <w:vAlign w:val="center"/>
                  </w:tcPr>
                  <w:p w:rsidR="00ED2DC7" w:rsidRDefault="00ED2DC7" w:rsidP="00B637B2">
                    <w:pPr>
                      <w:jc w:val="right"/>
                      <w:rPr>
                        <w:szCs w:val="21"/>
                      </w:rPr>
                    </w:pPr>
                  </w:p>
                </w:tc>
                <w:tc>
                  <w:tcPr>
                    <w:tcW w:w="1147" w:type="pct"/>
                    <w:tcBorders>
                      <w:top w:val="outset" w:sz="4" w:space="0" w:color="auto"/>
                      <w:left w:val="outset" w:sz="4" w:space="0" w:color="auto"/>
                      <w:bottom w:val="outset" w:sz="4" w:space="0" w:color="auto"/>
                      <w:right w:val="outset" w:sz="4" w:space="0" w:color="auto"/>
                    </w:tcBorders>
                    <w:vAlign w:val="center"/>
                  </w:tcPr>
                  <w:p w:rsidR="00ED2DC7" w:rsidRDefault="00ED2DC7" w:rsidP="00B637B2">
                    <w:pPr>
                      <w:jc w:val="right"/>
                      <w:rPr>
                        <w:szCs w:val="21"/>
                      </w:rPr>
                    </w:pPr>
                  </w:p>
                </w:tc>
              </w:tr>
              <w:tr w:rsidR="00ED2DC7" w:rsidTr="00B637B2">
                <w:sdt>
                  <w:sdtPr>
                    <w:tag w:val="_PLD_ed524170a3b440c494db2f51afa02dae"/>
                    <w:id w:val="496777391"/>
                    <w:lock w:val="sdtLocked"/>
                  </w:sdtPr>
                  <w:sdtContent>
                    <w:tc>
                      <w:tcPr>
                        <w:tcW w:w="2166" w:type="pct"/>
                        <w:tcBorders>
                          <w:top w:val="outset" w:sz="4" w:space="0" w:color="auto"/>
                          <w:left w:val="outset" w:sz="4" w:space="0" w:color="auto"/>
                          <w:bottom w:val="outset" w:sz="4" w:space="0" w:color="auto"/>
                          <w:right w:val="outset" w:sz="4" w:space="0" w:color="auto"/>
                        </w:tcBorders>
                      </w:tcPr>
                      <w:p w:rsidR="00ED2DC7" w:rsidRDefault="00ED2DC7">
                        <w:pPr>
                          <w:ind w:firstLineChars="100" w:firstLine="210"/>
                          <w:rPr>
                            <w:szCs w:val="21"/>
                          </w:rPr>
                        </w:pPr>
                        <w:r>
                          <w:rPr>
                            <w:rFonts w:hint="eastAsia"/>
                            <w:szCs w:val="21"/>
                          </w:rPr>
                          <w:t>回购业务资金净增加额</w:t>
                        </w:r>
                      </w:p>
                    </w:tc>
                  </w:sdtContent>
                </w:sdt>
                <w:tc>
                  <w:tcPr>
                    <w:tcW w:w="563" w:type="pct"/>
                    <w:tcBorders>
                      <w:top w:val="outset" w:sz="4" w:space="0" w:color="auto"/>
                      <w:left w:val="outset" w:sz="4" w:space="0" w:color="auto"/>
                      <w:bottom w:val="outset" w:sz="4" w:space="0" w:color="auto"/>
                      <w:right w:val="outset" w:sz="4" w:space="0" w:color="auto"/>
                    </w:tcBorders>
                  </w:tcPr>
                  <w:p w:rsidR="00ED2DC7" w:rsidRDefault="00ED2DC7">
                    <w:pPr>
                      <w:rPr>
                        <w:szCs w:val="21"/>
                      </w:rPr>
                    </w:pPr>
                  </w:p>
                </w:tc>
                <w:tc>
                  <w:tcPr>
                    <w:tcW w:w="1124" w:type="pct"/>
                    <w:tcBorders>
                      <w:top w:val="outset" w:sz="4" w:space="0" w:color="auto"/>
                      <w:left w:val="outset" w:sz="4" w:space="0" w:color="auto"/>
                      <w:bottom w:val="outset" w:sz="4" w:space="0" w:color="auto"/>
                      <w:right w:val="outset" w:sz="4" w:space="0" w:color="auto"/>
                    </w:tcBorders>
                    <w:vAlign w:val="center"/>
                  </w:tcPr>
                  <w:p w:rsidR="00ED2DC7" w:rsidRDefault="00ED2DC7" w:rsidP="00B637B2">
                    <w:pPr>
                      <w:jc w:val="right"/>
                      <w:rPr>
                        <w:szCs w:val="21"/>
                      </w:rPr>
                    </w:pPr>
                  </w:p>
                </w:tc>
                <w:tc>
                  <w:tcPr>
                    <w:tcW w:w="1147" w:type="pct"/>
                    <w:tcBorders>
                      <w:top w:val="outset" w:sz="4" w:space="0" w:color="auto"/>
                      <w:left w:val="outset" w:sz="4" w:space="0" w:color="auto"/>
                      <w:bottom w:val="outset" w:sz="4" w:space="0" w:color="auto"/>
                      <w:right w:val="outset" w:sz="4" w:space="0" w:color="auto"/>
                    </w:tcBorders>
                    <w:vAlign w:val="center"/>
                  </w:tcPr>
                  <w:p w:rsidR="00ED2DC7" w:rsidRDefault="00ED2DC7" w:rsidP="00B637B2">
                    <w:pPr>
                      <w:jc w:val="right"/>
                      <w:rPr>
                        <w:szCs w:val="21"/>
                      </w:rPr>
                    </w:pPr>
                  </w:p>
                </w:tc>
              </w:tr>
              <w:tr w:rsidR="00ED2DC7" w:rsidTr="00B637B2">
                <w:tc>
                  <w:tcPr>
                    <w:tcW w:w="2166" w:type="pct"/>
                    <w:tcBorders>
                      <w:top w:val="outset" w:sz="4" w:space="0" w:color="auto"/>
                      <w:left w:val="outset" w:sz="4" w:space="0" w:color="auto"/>
                      <w:bottom w:val="outset" w:sz="4" w:space="0" w:color="auto"/>
                      <w:right w:val="outset" w:sz="4" w:space="0" w:color="auto"/>
                    </w:tcBorders>
                  </w:tcPr>
                  <w:sdt>
                    <w:sdtPr>
                      <w:rPr>
                        <w:rFonts w:hint="eastAsia"/>
                      </w:rPr>
                      <w:tag w:val="_PLD_92047b241c2a4992afcdac105b616305"/>
                      <w:id w:val="-750429248"/>
                      <w:lock w:val="sdtLocked"/>
                    </w:sdtPr>
                    <w:sdtContent>
                      <w:p w:rsidR="00ED2DC7" w:rsidRDefault="00ED2DC7">
                        <w:pPr>
                          <w:ind w:firstLineChars="100" w:firstLine="210"/>
                        </w:pPr>
                        <w:r>
                          <w:rPr>
                            <w:rFonts w:hint="eastAsia"/>
                          </w:rPr>
                          <w:t>代理买卖证券收到的现金净额</w:t>
                        </w:r>
                      </w:p>
                    </w:sdtContent>
                  </w:sdt>
                </w:tc>
                <w:tc>
                  <w:tcPr>
                    <w:tcW w:w="563" w:type="pct"/>
                    <w:tcBorders>
                      <w:top w:val="outset" w:sz="4" w:space="0" w:color="auto"/>
                      <w:left w:val="outset" w:sz="4" w:space="0" w:color="auto"/>
                      <w:bottom w:val="outset" w:sz="4" w:space="0" w:color="auto"/>
                      <w:right w:val="outset" w:sz="4" w:space="0" w:color="auto"/>
                    </w:tcBorders>
                  </w:tcPr>
                  <w:p w:rsidR="00ED2DC7" w:rsidRDefault="00ED2DC7">
                    <w:pPr>
                      <w:rPr>
                        <w:szCs w:val="21"/>
                      </w:rPr>
                    </w:pPr>
                  </w:p>
                </w:tc>
                <w:tc>
                  <w:tcPr>
                    <w:tcW w:w="1124" w:type="pct"/>
                    <w:tcBorders>
                      <w:top w:val="outset" w:sz="4" w:space="0" w:color="auto"/>
                      <w:left w:val="outset" w:sz="4" w:space="0" w:color="auto"/>
                      <w:bottom w:val="outset" w:sz="4" w:space="0" w:color="auto"/>
                      <w:right w:val="outset" w:sz="4" w:space="0" w:color="auto"/>
                    </w:tcBorders>
                    <w:vAlign w:val="center"/>
                  </w:tcPr>
                  <w:p w:rsidR="00ED2DC7" w:rsidRDefault="00ED2DC7" w:rsidP="00B637B2">
                    <w:pPr>
                      <w:jc w:val="right"/>
                      <w:rPr>
                        <w:szCs w:val="21"/>
                      </w:rPr>
                    </w:pPr>
                  </w:p>
                </w:tc>
                <w:tc>
                  <w:tcPr>
                    <w:tcW w:w="1147" w:type="pct"/>
                    <w:tcBorders>
                      <w:top w:val="outset" w:sz="4" w:space="0" w:color="auto"/>
                      <w:left w:val="outset" w:sz="4" w:space="0" w:color="auto"/>
                      <w:bottom w:val="outset" w:sz="4" w:space="0" w:color="auto"/>
                      <w:right w:val="outset" w:sz="4" w:space="0" w:color="auto"/>
                    </w:tcBorders>
                    <w:vAlign w:val="center"/>
                  </w:tcPr>
                  <w:p w:rsidR="00ED2DC7" w:rsidRDefault="00ED2DC7" w:rsidP="00B637B2">
                    <w:pPr>
                      <w:jc w:val="right"/>
                      <w:rPr>
                        <w:szCs w:val="21"/>
                      </w:rPr>
                    </w:pPr>
                  </w:p>
                </w:tc>
              </w:tr>
              <w:tr w:rsidR="007A6CFD" w:rsidTr="00B637B2">
                <w:sdt>
                  <w:sdtPr>
                    <w:tag w:val="_PLD_64653926f1d7432aafc100b141947533"/>
                    <w:id w:val="787544571"/>
                    <w:lock w:val="sdtLocked"/>
                  </w:sdtPr>
                  <w:sdtContent>
                    <w:tc>
                      <w:tcPr>
                        <w:tcW w:w="2166" w:type="pct"/>
                        <w:tcBorders>
                          <w:top w:val="outset" w:sz="4" w:space="0" w:color="auto"/>
                          <w:left w:val="outset" w:sz="4" w:space="0" w:color="auto"/>
                          <w:bottom w:val="outset" w:sz="4" w:space="0" w:color="auto"/>
                          <w:right w:val="outset" w:sz="4" w:space="0" w:color="auto"/>
                        </w:tcBorders>
                      </w:tcPr>
                      <w:p w:rsidR="007A6CFD" w:rsidRDefault="007A6CFD" w:rsidP="007A6CFD">
                        <w:pPr>
                          <w:ind w:firstLineChars="100" w:firstLine="210"/>
                          <w:rPr>
                            <w:szCs w:val="21"/>
                          </w:rPr>
                        </w:pPr>
                        <w:r>
                          <w:rPr>
                            <w:rFonts w:hint="eastAsia"/>
                            <w:szCs w:val="21"/>
                          </w:rPr>
                          <w:t>收到的税费返还</w:t>
                        </w:r>
                      </w:p>
                    </w:tc>
                  </w:sdtContent>
                </w:sdt>
                <w:tc>
                  <w:tcPr>
                    <w:tcW w:w="563" w:type="pct"/>
                    <w:tcBorders>
                      <w:top w:val="outset" w:sz="4" w:space="0" w:color="auto"/>
                      <w:left w:val="outset" w:sz="4" w:space="0" w:color="auto"/>
                      <w:bottom w:val="outset" w:sz="4" w:space="0" w:color="auto"/>
                      <w:right w:val="outset" w:sz="4" w:space="0" w:color="auto"/>
                    </w:tcBorders>
                  </w:tcPr>
                  <w:p w:rsidR="007A6CFD" w:rsidRDefault="007A6CFD" w:rsidP="007A6CFD">
                    <w:pPr>
                      <w:rPr>
                        <w:szCs w:val="21"/>
                      </w:rPr>
                    </w:pPr>
                  </w:p>
                </w:tc>
                <w:tc>
                  <w:tcPr>
                    <w:tcW w:w="1124" w:type="pct"/>
                    <w:tcBorders>
                      <w:top w:val="outset" w:sz="4" w:space="0" w:color="auto"/>
                      <w:left w:val="outset" w:sz="4" w:space="0" w:color="auto"/>
                      <w:bottom w:val="outset" w:sz="4" w:space="0" w:color="auto"/>
                      <w:right w:val="outset" w:sz="4" w:space="0" w:color="auto"/>
                    </w:tcBorders>
                    <w:vAlign w:val="center"/>
                  </w:tcPr>
                  <w:p w:rsidR="007A6CFD" w:rsidRPr="00CD3177" w:rsidRDefault="007A6CFD" w:rsidP="00B637B2">
                    <w:pPr>
                      <w:jc w:val="right"/>
                    </w:pPr>
                    <w:r w:rsidRPr="00CD3177">
                      <w:t>143,882,430</w:t>
                    </w:r>
                  </w:p>
                </w:tc>
                <w:tc>
                  <w:tcPr>
                    <w:tcW w:w="1147" w:type="pct"/>
                    <w:tcBorders>
                      <w:top w:val="outset" w:sz="4" w:space="0" w:color="auto"/>
                      <w:left w:val="outset" w:sz="4" w:space="0" w:color="auto"/>
                      <w:bottom w:val="outset" w:sz="4" w:space="0" w:color="auto"/>
                      <w:right w:val="outset" w:sz="4" w:space="0" w:color="auto"/>
                    </w:tcBorders>
                    <w:vAlign w:val="center"/>
                  </w:tcPr>
                  <w:p w:rsidR="007A6CFD" w:rsidRDefault="007A6CFD" w:rsidP="00B637B2">
                    <w:pPr>
                      <w:jc w:val="right"/>
                    </w:pPr>
                    <w:r w:rsidRPr="00CD3177">
                      <w:t>109,364,179</w:t>
                    </w:r>
                  </w:p>
                </w:tc>
              </w:tr>
              <w:tr w:rsidR="007A6CFD" w:rsidTr="00B637B2">
                <w:sdt>
                  <w:sdtPr>
                    <w:tag w:val="_PLD_a5a847bd8381445cacfacf3bd061b567"/>
                    <w:id w:val="-438288886"/>
                    <w:lock w:val="sdtLocked"/>
                  </w:sdtPr>
                  <w:sdtContent>
                    <w:tc>
                      <w:tcPr>
                        <w:tcW w:w="2166" w:type="pct"/>
                        <w:tcBorders>
                          <w:top w:val="outset" w:sz="4" w:space="0" w:color="auto"/>
                          <w:left w:val="outset" w:sz="4" w:space="0" w:color="auto"/>
                          <w:bottom w:val="outset" w:sz="4" w:space="0" w:color="auto"/>
                          <w:right w:val="outset" w:sz="4" w:space="0" w:color="auto"/>
                        </w:tcBorders>
                      </w:tcPr>
                      <w:p w:rsidR="007A6CFD" w:rsidRDefault="007A6CFD" w:rsidP="007A6CFD">
                        <w:pPr>
                          <w:ind w:firstLineChars="100" w:firstLine="210"/>
                          <w:rPr>
                            <w:szCs w:val="21"/>
                          </w:rPr>
                        </w:pPr>
                        <w:r>
                          <w:rPr>
                            <w:rFonts w:hint="eastAsia"/>
                            <w:szCs w:val="21"/>
                          </w:rPr>
                          <w:t>收到其他与经营活动有关的现金</w:t>
                        </w:r>
                      </w:p>
                    </w:tc>
                  </w:sdtContent>
                </w:sdt>
                <w:tc>
                  <w:tcPr>
                    <w:tcW w:w="563" w:type="pct"/>
                    <w:tcBorders>
                      <w:top w:val="outset" w:sz="4" w:space="0" w:color="auto"/>
                      <w:left w:val="outset" w:sz="4" w:space="0" w:color="auto"/>
                      <w:bottom w:val="outset" w:sz="4" w:space="0" w:color="auto"/>
                      <w:right w:val="outset" w:sz="4" w:space="0" w:color="auto"/>
                    </w:tcBorders>
                  </w:tcPr>
                  <w:p w:rsidR="007A6CFD" w:rsidRDefault="008F04CF" w:rsidP="007A6CFD">
                    <w:pPr>
                      <w:rPr>
                        <w:szCs w:val="21"/>
                      </w:rPr>
                    </w:pPr>
                    <w:r>
                      <w:rPr>
                        <w:rFonts w:hint="eastAsia"/>
                        <w:szCs w:val="21"/>
                      </w:rPr>
                      <w:t>七、78</w:t>
                    </w:r>
                  </w:p>
                </w:tc>
                <w:tc>
                  <w:tcPr>
                    <w:tcW w:w="1124" w:type="pct"/>
                    <w:tcBorders>
                      <w:top w:val="outset" w:sz="4" w:space="0" w:color="auto"/>
                      <w:left w:val="outset" w:sz="4" w:space="0" w:color="auto"/>
                      <w:bottom w:val="outset" w:sz="4" w:space="0" w:color="auto"/>
                      <w:right w:val="outset" w:sz="4" w:space="0" w:color="auto"/>
                    </w:tcBorders>
                    <w:vAlign w:val="center"/>
                  </w:tcPr>
                  <w:p w:rsidR="007A6CFD" w:rsidRPr="003E28B2" w:rsidRDefault="007A6CFD" w:rsidP="00B637B2">
                    <w:pPr>
                      <w:jc w:val="right"/>
                    </w:pPr>
                    <w:r w:rsidRPr="003E28B2">
                      <w:t>198,198,343</w:t>
                    </w:r>
                  </w:p>
                </w:tc>
                <w:tc>
                  <w:tcPr>
                    <w:tcW w:w="1147" w:type="pct"/>
                    <w:tcBorders>
                      <w:top w:val="outset" w:sz="4" w:space="0" w:color="auto"/>
                      <w:left w:val="outset" w:sz="4" w:space="0" w:color="auto"/>
                      <w:bottom w:val="outset" w:sz="4" w:space="0" w:color="auto"/>
                      <w:right w:val="outset" w:sz="4" w:space="0" w:color="auto"/>
                    </w:tcBorders>
                    <w:vAlign w:val="center"/>
                  </w:tcPr>
                  <w:p w:rsidR="007A6CFD" w:rsidRDefault="007A6CFD" w:rsidP="00B637B2">
                    <w:pPr>
                      <w:jc w:val="right"/>
                    </w:pPr>
                    <w:r w:rsidRPr="003E28B2">
                      <w:t>142,856,805</w:t>
                    </w:r>
                  </w:p>
                </w:tc>
              </w:tr>
              <w:tr w:rsidR="007A6CFD" w:rsidTr="00B637B2">
                <w:sdt>
                  <w:sdtPr>
                    <w:tag w:val="_PLD_99ee67e244574f82a472dc4db883c019"/>
                    <w:id w:val="1385374045"/>
                    <w:lock w:val="sdtLocked"/>
                  </w:sdtPr>
                  <w:sdtContent>
                    <w:tc>
                      <w:tcPr>
                        <w:tcW w:w="2166" w:type="pct"/>
                        <w:tcBorders>
                          <w:top w:val="outset" w:sz="4" w:space="0" w:color="auto"/>
                          <w:left w:val="outset" w:sz="4" w:space="0" w:color="auto"/>
                          <w:bottom w:val="outset" w:sz="4" w:space="0" w:color="auto"/>
                          <w:right w:val="outset" w:sz="4" w:space="0" w:color="auto"/>
                        </w:tcBorders>
                      </w:tcPr>
                      <w:p w:rsidR="007A6CFD" w:rsidRDefault="007A6CFD" w:rsidP="007A6CFD">
                        <w:pPr>
                          <w:ind w:firstLineChars="200" w:firstLine="420"/>
                          <w:rPr>
                            <w:color w:val="000000"/>
                            <w:szCs w:val="21"/>
                          </w:rPr>
                        </w:pPr>
                        <w:r>
                          <w:rPr>
                            <w:rFonts w:hint="eastAsia"/>
                            <w:szCs w:val="21"/>
                          </w:rPr>
                          <w:t>经营活动现金流入小计</w:t>
                        </w:r>
                      </w:p>
                    </w:tc>
                  </w:sdtContent>
                </w:sdt>
                <w:tc>
                  <w:tcPr>
                    <w:tcW w:w="563" w:type="pct"/>
                    <w:tcBorders>
                      <w:top w:val="outset" w:sz="4" w:space="0" w:color="auto"/>
                      <w:left w:val="outset" w:sz="4" w:space="0" w:color="auto"/>
                      <w:bottom w:val="outset" w:sz="4" w:space="0" w:color="auto"/>
                      <w:right w:val="outset" w:sz="4" w:space="0" w:color="auto"/>
                    </w:tcBorders>
                  </w:tcPr>
                  <w:p w:rsidR="007A6CFD" w:rsidRDefault="007A6CFD" w:rsidP="007A6CFD">
                    <w:pPr>
                      <w:rPr>
                        <w:szCs w:val="21"/>
                      </w:rPr>
                    </w:pPr>
                  </w:p>
                </w:tc>
                <w:tc>
                  <w:tcPr>
                    <w:tcW w:w="1124" w:type="pct"/>
                    <w:tcBorders>
                      <w:top w:val="outset" w:sz="4" w:space="0" w:color="auto"/>
                      <w:left w:val="outset" w:sz="4" w:space="0" w:color="auto"/>
                      <w:bottom w:val="outset" w:sz="4" w:space="0" w:color="auto"/>
                      <w:right w:val="outset" w:sz="4" w:space="0" w:color="auto"/>
                    </w:tcBorders>
                    <w:vAlign w:val="center"/>
                  </w:tcPr>
                  <w:p w:rsidR="007A6CFD" w:rsidRPr="00B91C7E" w:rsidRDefault="007A6CFD" w:rsidP="00B637B2">
                    <w:pPr>
                      <w:jc w:val="right"/>
                    </w:pPr>
                    <w:r w:rsidRPr="00B91C7E">
                      <w:t>3,851,422,338</w:t>
                    </w:r>
                  </w:p>
                </w:tc>
                <w:tc>
                  <w:tcPr>
                    <w:tcW w:w="1147" w:type="pct"/>
                    <w:tcBorders>
                      <w:top w:val="outset" w:sz="4" w:space="0" w:color="auto"/>
                      <w:left w:val="outset" w:sz="4" w:space="0" w:color="auto"/>
                      <w:bottom w:val="outset" w:sz="4" w:space="0" w:color="auto"/>
                      <w:right w:val="outset" w:sz="4" w:space="0" w:color="auto"/>
                    </w:tcBorders>
                    <w:vAlign w:val="center"/>
                  </w:tcPr>
                  <w:p w:rsidR="007A6CFD" w:rsidRDefault="007A6CFD" w:rsidP="00B637B2">
                    <w:pPr>
                      <w:jc w:val="right"/>
                    </w:pPr>
                    <w:r w:rsidRPr="00B91C7E">
                      <w:t>3,376,022,132</w:t>
                    </w:r>
                  </w:p>
                </w:tc>
              </w:tr>
              <w:tr w:rsidR="007A6CFD" w:rsidTr="00B637B2">
                <w:sdt>
                  <w:sdtPr>
                    <w:tag w:val="_PLD_7c898111c7fa4c2db82bbfa4cfade7b1"/>
                    <w:id w:val="693201055"/>
                    <w:lock w:val="sdtLocked"/>
                  </w:sdtPr>
                  <w:sdtContent>
                    <w:tc>
                      <w:tcPr>
                        <w:tcW w:w="2166" w:type="pct"/>
                        <w:tcBorders>
                          <w:top w:val="outset" w:sz="4" w:space="0" w:color="auto"/>
                          <w:left w:val="outset" w:sz="4" w:space="0" w:color="auto"/>
                          <w:bottom w:val="outset" w:sz="4" w:space="0" w:color="auto"/>
                          <w:right w:val="outset" w:sz="4" w:space="0" w:color="auto"/>
                        </w:tcBorders>
                      </w:tcPr>
                      <w:p w:rsidR="007A6CFD" w:rsidRDefault="007A6CFD" w:rsidP="007A6CFD">
                        <w:pPr>
                          <w:ind w:firstLineChars="100" w:firstLine="210"/>
                          <w:rPr>
                            <w:szCs w:val="21"/>
                          </w:rPr>
                        </w:pPr>
                        <w:r>
                          <w:rPr>
                            <w:rFonts w:hint="eastAsia"/>
                            <w:szCs w:val="21"/>
                          </w:rPr>
                          <w:t>购买商品、接受劳务支付的现金</w:t>
                        </w:r>
                      </w:p>
                    </w:tc>
                  </w:sdtContent>
                </w:sdt>
                <w:tc>
                  <w:tcPr>
                    <w:tcW w:w="563" w:type="pct"/>
                    <w:tcBorders>
                      <w:top w:val="outset" w:sz="4" w:space="0" w:color="auto"/>
                      <w:left w:val="outset" w:sz="4" w:space="0" w:color="auto"/>
                      <w:bottom w:val="outset" w:sz="4" w:space="0" w:color="auto"/>
                      <w:right w:val="outset" w:sz="4" w:space="0" w:color="auto"/>
                    </w:tcBorders>
                  </w:tcPr>
                  <w:p w:rsidR="007A6CFD" w:rsidRDefault="007A6CFD" w:rsidP="007A6CFD">
                    <w:pPr>
                      <w:rPr>
                        <w:szCs w:val="21"/>
                      </w:rPr>
                    </w:pPr>
                  </w:p>
                </w:tc>
                <w:tc>
                  <w:tcPr>
                    <w:tcW w:w="1124" w:type="pct"/>
                    <w:tcBorders>
                      <w:top w:val="outset" w:sz="4" w:space="0" w:color="auto"/>
                      <w:left w:val="outset" w:sz="4" w:space="0" w:color="auto"/>
                      <w:bottom w:val="outset" w:sz="4" w:space="0" w:color="auto"/>
                      <w:right w:val="outset" w:sz="4" w:space="0" w:color="auto"/>
                    </w:tcBorders>
                    <w:vAlign w:val="center"/>
                  </w:tcPr>
                  <w:p w:rsidR="007A6CFD" w:rsidRPr="0034533F" w:rsidRDefault="007A6CFD" w:rsidP="00B637B2">
                    <w:pPr>
                      <w:jc w:val="right"/>
                    </w:pPr>
                    <w:r w:rsidRPr="0034533F">
                      <w:t>535,383,533</w:t>
                    </w:r>
                  </w:p>
                </w:tc>
                <w:tc>
                  <w:tcPr>
                    <w:tcW w:w="1147" w:type="pct"/>
                    <w:tcBorders>
                      <w:top w:val="outset" w:sz="4" w:space="0" w:color="auto"/>
                      <w:left w:val="outset" w:sz="4" w:space="0" w:color="auto"/>
                      <w:bottom w:val="outset" w:sz="4" w:space="0" w:color="auto"/>
                      <w:right w:val="outset" w:sz="4" w:space="0" w:color="auto"/>
                    </w:tcBorders>
                    <w:vAlign w:val="center"/>
                  </w:tcPr>
                  <w:p w:rsidR="007A6CFD" w:rsidRDefault="007A6CFD" w:rsidP="00B637B2">
                    <w:pPr>
                      <w:jc w:val="right"/>
                    </w:pPr>
                    <w:r w:rsidRPr="0034533F">
                      <w:t>435,175,057</w:t>
                    </w:r>
                  </w:p>
                </w:tc>
              </w:tr>
              <w:tr w:rsidR="00ED2DC7" w:rsidTr="00B637B2">
                <w:sdt>
                  <w:sdtPr>
                    <w:tag w:val="_PLD_f94c31d02a6a46e28ef866c8d8b1eb4f"/>
                    <w:id w:val="-231165373"/>
                    <w:lock w:val="sdtLocked"/>
                  </w:sdtPr>
                  <w:sdtContent>
                    <w:tc>
                      <w:tcPr>
                        <w:tcW w:w="2166" w:type="pct"/>
                        <w:tcBorders>
                          <w:top w:val="outset" w:sz="4" w:space="0" w:color="auto"/>
                          <w:left w:val="outset" w:sz="4" w:space="0" w:color="auto"/>
                          <w:bottom w:val="outset" w:sz="4" w:space="0" w:color="auto"/>
                          <w:right w:val="outset" w:sz="4" w:space="0" w:color="auto"/>
                        </w:tcBorders>
                      </w:tcPr>
                      <w:p w:rsidR="00ED2DC7" w:rsidRDefault="00ED2DC7">
                        <w:pPr>
                          <w:ind w:firstLineChars="100" w:firstLine="210"/>
                          <w:rPr>
                            <w:szCs w:val="21"/>
                          </w:rPr>
                        </w:pPr>
                        <w:r>
                          <w:rPr>
                            <w:rFonts w:hint="eastAsia"/>
                            <w:szCs w:val="21"/>
                          </w:rPr>
                          <w:t>客户贷款及垫款净增加额</w:t>
                        </w:r>
                      </w:p>
                    </w:tc>
                  </w:sdtContent>
                </w:sdt>
                <w:tc>
                  <w:tcPr>
                    <w:tcW w:w="563" w:type="pct"/>
                    <w:tcBorders>
                      <w:top w:val="outset" w:sz="4" w:space="0" w:color="auto"/>
                      <w:left w:val="outset" w:sz="4" w:space="0" w:color="auto"/>
                      <w:bottom w:val="outset" w:sz="4" w:space="0" w:color="auto"/>
                      <w:right w:val="outset" w:sz="4" w:space="0" w:color="auto"/>
                    </w:tcBorders>
                  </w:tcPr>
                  <w:p w:rsidR="00ED2DC7" w:rsidRDefault="00ED2DC7">
                    <w:pPr>
                      <w:rPr>
                        <w:szCs w:val="21"/>
                      </w:rPr>
                    </w:pPr>
                  </w:p>
                </w:tc>
                <w:tc>
                  <w:tcPr>
                    <w:tcW w:w="1124" w:type="pct"/>
                    <w:tcBorders>
                      <w:top w:val="outset" w:sz="4" w:space="0" w:color="auto"/>
                      <w:left w:val="outset" w:sz="4" w:space="0" w:color="auto"/>
                      <w:bottom w:val="outset" w:sz="4" w:space="0" w:color="auto"/>
                      <w:right w:val="outset" w:sz="4" w:space="0" w:color="auto"/>
                    </w:tcBorders>
                    <w:vAlign w:val="center"/>
                  </w:tcPr>
                  <w:p w:rsidR="00ED2DC7" w:rsidRDefault="00ED2DC7" w:rsidP="00B637B2">
                    <w:pPr>
                      <w:jc w:val="right"/>
                      <w:rPr>
                        <w:szCs w:val="21"/>
                      </w:rPr>
                    </w:pPr>
                  </w:p>
                </w:tc>
                <w:tc>
                  <w:tcPr>
                    <w:tcW w:w="1147" w:type="pct"/>
                    <w:tcBorders>
                      <w:top w:val="outset" w:sz="4" w:space="0" w:color="auto"/>
                      <w:left w:val="outset" w:sz="4" w:space="0" w:color="auto"/>
                      <w:bottom w:val="outset" w:sz="4" w:space="0" w:color="auto"/>
                      <w:right w:val="outset" w:sz="4" w:space="0" w:color="auto"/>
                    </w:tcBorders>
                    <w:vAlign w:val="center"/>
                  </w:tcPr>
                  <w:p w:rsidR="00ED2DC7" w:rsidRDefault="00ED2DC7" w:rsidP="00B637B2">
                    <w:pPr>
                      <w:jc w:val="right"/>
                      <w:rPr>
                        <w:szCs w:val="21"/>
                      </w:rPr>
                    </w:pPr>
                  </w:p>
                </w:tc>
              </w:tr>
              <w:tr w:rsidR="00ED2DC7" w:rsidTr="00B637B2">
                <w:sdt>
                  <w:sdtPr>
                    <w:tag w:val="_PLD_c930b8bdc14d4d048d2b903bf85928a6"/>
                    <w:id w:val="117886291"/>
                    <w:lock w:val="sdtLocked"/>
                  </w:sdtPr>
                  <w:sdtContent>
                    <w:tc>
                      <w:tcPr>
                        <w:tcW w:w="2166" w:type="pct"/>
                        <w:tcBorders>
                          <w:top w:val="outset" w:sz="4" w:space="0" w:color="auto"/>
                          <w:left w:val="outset" w:sz="4" w:space="0" w:color="auto"/>
                          <w:bottom w:val="outset" w:sz="4" w:space="0" w:color="auto"/>
                          <w:right w:val="outset" w:sz="4" w:space="0" w:color="auto"/>
                        </w:tcBorders>
                      </w:tcPr>
                      <w:p w:rsidR="00ED2DC7" w:rsidRDefault="00ED2DC7">
                        <w:pPr>
                          <w:ind w:firstLineChars="100" w:firstLine="210"/>
                          <w:rPr>
                            <w:szCs w:val="21"/>
                          </w:rPr>
                        </w:pPr>
                        <w:r>
                          <w:rPr>
                            <w:rFonts w:hint="eastAsia"/>
                            <w:szCs w:val="21"/>
                          </w:rPr>
                          <w:t>存放中央银行和同业款项净增加额</w:t>
                        </w:r>
                      </w:p>
                    </w:tc>
                  </w:sdtContent>
                </w:sdt>
                <w:tc>
                  <w:tcPr>
                    <w:tcW w:w="563" w:type="pct"/>
                    <w:tcBorders>
                      <w:top w:val="outset" w:sz="4" w:space="0" w:color="auto"/>
                      <w:left w:val="outset" w:sz="4" w:space="0" w:color="auto"/>
                      <w:bottom w:val="outset" w:sz="4" w:space="0" w:color="auto"/>
                      <w:right w:val="outset" w:sz="4" w:space="0" w:color="auto"/>
                    </w:tcBorders>
                  </w:tcPr>
                  <w:p w:rsidR="00ED2DC7" w:rsidRDefault="00ED2DC7">
                    <w:pPr>
                      <w:rPr>
                        <w:szCs w:val="21"/>
                      </w:rPr>
                    </w:pPr>
                  </w:p>
                </w:tc>
                <w:tc>
                  <w:tcPr>
                    <w:tcW w:w="1124" w:type="pct"/>
                    <w:tcBorders>
                      <w:top w:val="outset" w:sz="4" w:space="0" w:color="auto"/>
                      <w:left w:val="outset" w:sz="4" w:space="0" w:color="auto"/>
                      <w:bottom w:val="outset" w:sz="4" w:space="0" w:color="auto"/>
                      <w:right w:val="outset" w:sz="4" w:space="0" w:color="auto"/>
                    </w:tcBorders>
                    <w:vAlign w:val="center"/>
                  </w:tcPr>
                  <w:p w:rsidR="00ED2DC7" w:rsidRDefault="00ED2DC7" w:rsidP="00B637B2">
                    <w:pPr>
                      <w:jc w:val="right"/>
                      <w:rPr>
                        <w:szCs w:val="21"/>
                      </w:rPr>
                    </w:pPr>
                  </w:p>
                </w:tc>
                <w:tc>
                  <w:tcPr>
                    <w:tcW w:w="1147" w:type="pct"/>
                    <w:tcBorders>
                      <w:top w:val="outset" w:sz="4" w:space="0" w:color="auto"/>
                      <w:left w:val="outset" w:sz="4" w:space="0" w:color="auto"/>
                      <w:bottom w:val="outset" w:sz="4" w:space="0" w:color="auto"/>
                      <w:right w:val="outset" w:sz="4" w:space="0" w:color="auto"/>
                    </w:tcBorders>
                    <w:vAlign w:val="center"/>
                  </w:tcPr>
                  <w:p w:rsidR="00ED2DC7" w:rsidRDefault="00ED2DC7" w:rsidP="00B637B2">
                    <w:pPr>
                      <w:jc w:val="right"/>
                      <w:rPr>
                        <w:szCs w:val="21"/>
                      </w:rPr>
                    </w:pPr>
                  </w:p>
                </w:tc>
              </w:tr>
              <w:tr w:rsidR="00ED2DC7" w:rsidTr="00B637B2">
                <w:sdt>
                  <w:sdtPr>
                    <w:tag w:val="_PLD_eb41952abbe741389032345de9aedbff"/>
                    <w:id w:val="1429459426"/>
                    <w:lock w:val="sdtLocked"/>
                  </w:sdtPr>
                  <w:sdtContent>
                    <w:tc>
                      <w:tcPr>
                        <w:tcW w:w="2166" w:type="pct"/>
                        <w:tcBorders>
                          <w:top w:val="outset" w:sz="4" w:space="0" w:color="auto"/>
                          <w:left w:val="outset" w:sz="4" w:space="0" w:color="auto"/>
                          <w:bottom w:val="outset" w:sz="4" w:space="0" w:color="auto"/>
                          <w:right w:val="outset" w:sz="4" w:space="0" w:color="auto"/>
                        </w:tcBorders>
                      </w:tcPr>
                      <w:p w:rsidR="00ED2DC7" w:rsidRDefault="00ED2DC7">
                        <w:pPr>
                          <w:ind w:firstLineChars="100" w:firstLine="210"/>
                          <w:rPr>
                            <w:szCs w:val="21"/>
                          </w:rPr>
                        </w:pPr>
                        <w:r>
                          <w:rPr>
                            <w:rFonts w:hint="eastAsia"/>
                            <w:szCs w:val="21"/>
                          </w:rPr>
                          <w:t>支付原保险合同赔付款项的现金</w:t>
                        </w:r>
                      </w:p>
                    </w:tc>
                  </w:sdtContent>
                </w:sdt>
                <w:tc>
                  <w:tcPr>
                    <w:tcW w:w="563" w:type="pct"/>
                    <w:tcBorders>
                      <w:top w:val="outset" w:sz="4" w:space="0" w:color="auto"/>
                      <w:left w:val="outset" w:sz="4" w:space="0" w:color="auto"/>
                      <w:bottom w:val="outset" w:sz="4" w:space="0" w:color="auto"/>
                      <w:right w:val="outset" w:sz="4" w:space="0" w:color="auto"/>
                    </w:tcBorders>
                  </w:tcPr>
                  <w:p w:rsidR="00ED2DC7" w:rsidRDefault="00ED2DC7">
                    <w:pPr>
                      <w:rPr>
                        <w:szCs w:val="21"/>
                      </w:rPr>
                    </w:pPr>
                  </w:p>
                </w:tc>
                <w:tc>
                  <w:tcPr>
                    <w:tcW w:w="1124" w:type="pct"/>
                    <w:tcBorders>
                      <w:top w:val="outset" w:sz="4" w:space="0" w:color="auto"/>
                      <w:left w:val="outset" w:sz="4" w:space="0" w:color="auto"/>
                      <w:bottom w:val="outset" w:sz="4" w:space="0" w:color="auto"/>
                      <w:right w:val="outset" w:sz="4" w:space="0" w:color="auto"/>
                    </w:tcBorders>
                    <w:vAlign w:val="center"/>
                  </w:tcPr>
                  <w:p w:rsidR="00ED2DC7" w:rsidRDefault="00ED2DC7" w:rsidP="00B637B2">
                    <w:pPr>
                      <w:jc w:val="right"/>
                      <w:rPr>
                        <w:szCs w:val="21"/>
                      </w:rPr>
                    </w:pPr>
                  </w:p>
                </w:tc>
                <w:tc>
                  <w:tcPr>
                    <w:tcW w:w="1147" w:type="pct"/>
                    <w:tcBorders>
                      <w:top w:val="outset" w:sz="4" w:space="0" w:color="auto"/>
                      <w:left w:val="outset" w:sz="4" w:space="0" w:color="auto"/>
                      <w:bottom w:val="outset" w:sz="4" w:space="0" w:color="auto"/>
                      <w:right w:val="outset" w:sz="4" w:space="0" w:color="auto"/>
                    </w:tcBorders>
                    <w:vAlign w:val="center"/>
                  </w:tcPr>
                  <w:p w:rsidR="00ED2DC7" w:rsidRDefault="00ED2DC7" w:rsidP="00B637B2">
                    <w:pPr>
                      <w:jc w:val="right"/>
                      <w:rPr>
                        <w:szCs w:val="21"/>
                      </w:rPr>
                    </w:pPr>
                  </w:p>
                </w:tc>
              </w:tr>
              <w:tr w:rsidR="00ED2DC7" w:rsidTr="00B637B2">
                <w:tc>
                  <w:tcPr>
                    <w:tcW w:w="2166" w:type="pct"/>
                    <w:tcBorders>
                      <w:top w:val="outset" w:sz="4" w:space="0" w:color="auto"/>
                      <w:left w:val="outset" w:sz="4" w:space="0" w:color="auto"/>
                      <w:bottom w:val="outset" w:sz="4" w:space="0" w:color="auto"/>
                      <w:right w:val="outset" w:sz="4" w:space="0" w:color="auto"/>
                    </w:tcBorders>
                  </w:tcPr>
                  <w:sdt>
                    <w:sdtPr>
                      <w:rPr>
                        <w:rFonts w:hint="eastAsia"/>
                      </w:rPr>
                      <w:tag w:val="_PLD_222d3afa1e414480a3fd63ef114eaa6e"/>
                      <w:id w:val="1132981852"/>
                      <w:lock w:val="sdtLocked"/>
                    </w:sdtPr>
                    <w:sdtContent>
                      <w:p w:rsidR="00ED2DC7" w:rsidRDefault="00ED2DC7">
                        <w:pPr>
                          <w:ind w:firstLineChars="100" w:firstLine="210"/>
                        </w:pPr>
                        <w:r>
                          <w:rPr>
                            <w:rFonts w:hint="eastAsia"/>
                          </w:rPr>
                          <w:t>为交易目的而持有的金融资产净增加额</w:t>
                        </w:r>
                      </w:p>
                    </w:sdtContent>
                  </w:sdt>
                </w:tc>
                <w:tc>
                  <w:tcPr>
                    <w:tcW w:w="563" w:type="pct"/>
                    <w:tcBorders>
                      <w:top w:val="outset" w:sz="4" w:space="0" w:color="auto"/>
                      <w:left w:val="outset" w:sz="4" w:space="0" w:color="auto"/>
                      <w:bottom w:val="outset" w:sz="4" w:space="0" w:color="auto"/>
                      <w:right w:val="outset" w:sz="4" w:space="0" w:color="auto"/>
                    </w:tcBorders>
                  </w:tcPr>
                  <w:p w:rsidR="00ED2DC7" w:rsidRDefault="00ED2DC7">
                    <w:pPr>
                      <w:rPr>
                        <w:szCs w:val="21"/>
                      </w:rPr>
                    </w:pPr>
                  </w:p>
                </w:tc>
                <w:tc>
                  <w:tcPr>
                    <w:tcW w:w="1124" w:type="pct"/>
                    <w:tcBorders>
                      <w:top w:val="outset" w:sz="4" w:space="0" w:color="auto"/>
                      <w:left w:val="outset" w:sz="4" w:space="0" w:color="auto"/>
                      <w:bottom w:val="outset" w:sz="4" w:space="0" w:color="auto"/>
                      <w:right w:val="outset" w:sz="4" w:space="0" w:color="auto"/>
                    </w:tcBorders>
                    <w:vAlign w:val="center"/>
                  </w:tcPr>
                  <w:p w:rsidR="00ED2DC7" w:rsidRDefault="00ED2DC7" w:rsidP="00B637B2">
                    <w:pPr>
                      <w:jc w:val="right"/>
                      <w:rPr>
                        <w:szCs w:val="21"/>
                      </w:rPr>
                    </w:pPr>
                  </w:p>
                </w:tc>
                <w:tc>
                  <w:tcPr>
                    <w:tcW w:w="1147" w:type="pct"/>
                    <w:tcBorders>
                      <w:top w:val="outset" w:sz="4" w:space="0" w:color="auto"/>
                      <w:left w:val="outset" w:sz="4" w:space="0" w:color="auto"/>
                      <w:bottom w:val="outset" w:sz="4" w:space="0" w:color="auto"/>
                      <w:right w:val="outset" w:sz="4" w:space="0" w:color="auto"/>
                    </w:tcBorders>
                    <w:vAlign w:val="center"/>
                  </w:tcPr>
                  <w:p w:rsidR="00ED2DC7" w:rsidRDefault="00ED2DC7" w:rsidP="00B637B2">
                    <w:pPr>
                      <w:jc w:val="right"/>
                      <w:rPr>
                        <w:szCs w:val="21"/>
                      </w:rPr>
                    </w:pPr>
                  </w:p>
                </w:tc>
              </w:tr>
              <w:tr w:rsidR="00ED2DC7" w:rsidTr="00B637B2">
                <w:tc>
                  <w:tcPr>
                    <w:tcW w:w="2166" w:type="pct"/>
                    <w:tcBorders>
                      <w:top w:val="outset" w:sz="4" w:space="0" w:color="auto"/>
                      <w:left w:val="outset" w:sz="4" w:space="0" w:color="auto"/>
                      <w:bottom w:val="outset" w:sz="4" w:space="0" w:color="auto"/>
                      <w:right w:val="outset" w:sz="4" w:space="0" w:color="auto"/>
                    </w:tcBorders>
                  </w:tcPr>
                  <w:sdt>
                    <w:sdtPr>
                      <w:rPr>
                        <w:rFonts w:hint="eastAsia"/>
                      </w:rPr>
                      <w:tag w:val="_PLD_22a8c5b88fa84ee5bb2a7df3c08dff78"/>
                      <w:id w:val="-1144353513"/>
                      <w:lock w:val="sdtLocked"/>
                    </w:sdtPr>
                    <w:sdtContent>
                      <w:p w:rsidR="00ED2DC7" w:rsidRDefault="00ED2DC7">
                        <w:pPr>
                          <w:ind w:firstLineChars="100" w:firstLine="210"/>
                        </w:pPr>
                        <w:r>
                          <w:rPr>
                            <w:rFonts w:hint="eastAsia"/>
                          </w:rPr>
                          <w:t>拆出资金净增加额</w:t>
                        </w:r>
                      </w:p>
                    </w:sdtContent>
                  </w:sdt>
                </w:tc>
                <w:tc>
                  <w:tcPr>
                    <w:tcW w:w="563" w:type="pct"/>
                    <w:tcBorders>
                      <w:top w:val="outset" w:sz="4" w:space="0" w:color="auto"/>
                      <w:left w:val="outset" w:sz="4" w:space="0" w:color="auto"/>
                      <w:bottom w:val="outset" w:sz="4" w:space="0" w:color="auto"/>
                      <w:right w:val="outset" w:sz="4" w:space="0" w:color="auto"/>
                    </w:tcBorders>
                  </w:tcPr>
                  <w:p w:rsidR="00ED2DC7" w:rsidRDefault="00ED2DC7">
                    <w:pPr>
                      <w:rPr>
                        <w:szCs w:val="21"/>
                      </w:rPr>
                    </w:pPr>
                  </w:p>
                </w:tc>
                <w:tc>
                  <w:tcPr>
                    <w:tcW w:w="1124" w:type="pct"/>
                    <w:tcBorders>
                      <w:top w:val="outset" w:sz="4" w:space="0" w:color="auto"/>
                      <w:left w:val="outset" w:sz="4" w:space="0" w:color="auto"/>
                      <w:bottom w:val="outset" w:sz="4" w:space="0" w:color="auto"/>
                      <w:right w:val="outset" w:sz="4" w:space="0" w:color="auto"/>
                    </w:tcBorders>
                    <w:vAlign w:val="center"/>
                  </w:tcPr>
                  <w:p w:rsidR="00ED2DC7" w:rsidRDefault="00ED2DC7" w:rsidP="00B637B2">
                    <w:pPr>
                      <w:jc w:val="right"/>
                      <w:rPr>
                        <w:szCs w:val="21"/>
                      </w:rPr>
                    </w:pPr>
                  </w:p>
                </w:tc>
                <w:tc>
                  <w:tcPr>
                    <w:tcW w:w="1147" w:type="pct"/>
                    <w:tcBorders>
                      <w:top w:val="outset" w:sz="4" w:space="0" w:color="auto"/>
                      <w:left w:val="outset" w:sz="4" w:space="0" w:color="auto"/>
                      <w:bottom w:val="outset" w:sz="4" w:space="0" w:color="auto"/>
                      <w:right w:val="outset" w:sz="4" w:space="0" w:color="auto"/>
                    </w:tcBorders>
                    <w:vAlign w:val="center"/>
                  </w:tcPr>
                  <w:p w:rsidR="00ED2DC7" w:rsidRDefault="00ED2DC7" w:rsidP="00B637B2">
                    <w:pPr>
                      <w:jc w:val="right"/>
                      <w:rPr>
                        <w:szCs w:val="21"/>
                      </w:rPr>
                    </w:pPr>
                  </w:p>
                </w:tc>
              </w:tr>
              <w:tr w:rsidR="00ED2DC7" w:rsidTr="00B637B2">
                <w:sdt>
                  <w:sdtPr>
                    <w:tag w:val="_PLD_182352293eb948718bd2d2895af0d012"/>
                    <w:id w:val="109018660"/>
                    <w:lock w:val="sdtLocked"/>
                  </w:sdtPr>
                  <w:sdtContent>
                    <w:tc>
                      <w:tcPr>
                        <w:tcW w:w="2166" w:type="pct"/>
                        <w:tcBorders>
                          <w:top w:val="outset" w:sz="4" w:space="0" w:color="auto"/>
                          <w:left w:val="outset" w:sz="4" w:space="0" w:color="auto"/>
                          <w:bottom w:val="outset" w:sz="4" w:space="0" w:color="auto"/>
                          <w:right w:val="outset" w:sz="4" w:space="0" w:color="auto"/>
                        </w:tcBorders>
                      </w:tcPr>
                      <w:p w:rsidR="00ED2DC7" w:rsidRDefault="00ED2DC7">
                        <w:pPr>
                          <w:ind w:firstLineChars="100" w:firstLine="210"/>
                          <w:rPr>
                            <w:szCs w:val="21"/>
                          </w:rPr>
                        </w:pPr>
                        <w:r>
                          <w:rPr>
                            <w:rFonts w:hint="eastAsia"/>
                            <w:szCs w:val="21"/>
                          </w:rPr>
                          <w:t>支付利息、手续费及佣金的现金</w:t>
                        </w:r>
                      </w:p>
                    </w:tc>
                  </w:sdtContent>
                </w:sdt>
                <w:tc>
                  <w:tcPr>
                    <w:tcW w:w="563" w:type="pct"/>
                    <w:tcBorders>
                      <w:top w:val="outset" w:sz="4" w:space="0" w:color="auto"/>
                      <w:left w:val="outset" w:sz="4" w:space="0" w:color="auto"/>
                      <w:bottom w:val="outset" w:sz="4" w:space="0" w:color="auto"/>
                      <w:right w:val="outset" w:sz="4" w:space="0" w:color="auto"/>
                    </w:tcBorders>
                  </w:tcPr>
                  <w:p w:rsidR="00ED2DC7" w:rsidRDefault="00ED2DC7">
                    <w:pPr>
                      <w:rPr>
                        <w:szCs w:val="21"/>
                      </w:rPr>
                    </w:pPr>
                  </w:p>
                </w:tc>
                <w:tc>
                  <w:tcPr>
                    <w:tcW w:w="1124" w:type="pct"/>
                    <w:tcBorders>
                      <w:top w:val="outset" w:sz="4" w:space="0" w:color="auto"/>
                      <w:left w:val="outset" w:sz="4" w:space="0" w:color="auto"/>
                      <w:bottom w:val="outset" w:sz="4" w:space="0" w:color="auto"/>
                      <w:right w:val="outset" w:sz="4" w:space="0" w:color="auto"/>
                    </w:tcBorders>
                    <w:vAlign w:val="center"/>
                  </w:tcPr>
                  <w:p w:rsidR="00ED2DC7" w:rsidRDefault="00ED2DC7" w:rsidP="00B637B2">
                    <w:pPr>
                      <w:jc w:val="right"/>
                      <w:rPr>
                        <w:szCs w:val="21"/>
                      </w:rPr>
                    </w:pPr>
                  </w:p>
                </w:tc>
                <w:tc>
                  <w:tcPr>
                    <w:tcW w:w="1147" w:type="pct"/>
                    <w:tcBorders>
                      <w:top w:val="outset" w:sz="4" w:space="0" w:color="auto"/>
                      <w:left w:val="outset" w:sz="4" w:space="0" w:color="auto"/>
                      <w:bottom w:val="outset" w:sz="4" w:space="0" w:color="auto"/>
                      <w:right w:val="outset" w:sz="4" w:space="0" w:color="auto"/>
                    </w:tcBorders>
                    <w:vAlign w:val="center"/>
                  </w:tcPr>
                  <w:p w:rsidR="00ED2DC7" w:rsidRDefault="00ED2DC7" w:rsidP="00B637B2">
                    <w:pPr>
                      <w:jc w:val="right"/>
                      <w:rPr>
                        <w:szCs w:val="21"/>
                      </w:rPr>
                    </w:pPr>
                  </w:p>
                </w:tc>
              </w:tr>
              <w:tr w:rsidR="00ED2DC7" w:rsidTr="00B637B2">
                <w:sdt>
                  <w:sdtPr>
                    <w:tag w:val="_PLD_c4e139d97f004b09b9ef784db1d19d92"/>
                    <w:id w:val="-1839077609"/>
                    <w:lock w:val="sdtLocked"/>
                  </w:sdtPr>
                  <w:sdtContent>
                    <w:tc>
                      <w:tcPr>
                        <w:tcW w:w="2166" w:type="pct"/>
                        <w:tcBorders>
                          <w:top w:val="outset" w:sz="4" w:space="0" w:color="auto"/>
                          <w:left w:val="outset" w:sz="4" w:space="0" w:color="auto"/>
                          <w:bottom w:val="outset" w:sz="4" w:space="0" w:color="auto"/>
                          <w:right w:val="outset" w:sz="4" w:space="0" w:color="auto"/>
                        </w:tcBorders>
                      </w:tcPr>
                      <w:p w:rsidR="00ED2DC7" w:rsidRDefault="00ED2DC7">
                        <w:pPr>
                          <w:ind w:firstLineChars="100" w:firstLine="210"/>
                          <w:rPr>
                            <w:szCs w:val="21"/>
                          </w:rPr>
                        </w:pPr>
                        <w:r>
                          <w:rPr>
                            <w:rFonts w:hint="eastAsia"/>
                            <w:szCs w:val="21"/>
                          </w:rPr>
                          <w:t>支付保单红利的现金</w:t>
                        </w:r>
                      </w:p>
                    </w:tc>
                  </w:sdtContent>
                </w:sdt>
                <w:tc>
                  <w:tcPr>
                    <w:tcW w:w="563" w:type="pct"/>
                    <w:tcBorders>
                      <w:top w:val="outset" w:sz="4" w:space="0" w:color="auto"/>
                      <w:left w:val="outset" w:sz="4" w:space="0" w:color="auto"/>
                      <w:bottom w:val="outset" w:sz="4" w:space="0" w:color="auto"/>
                      <w:right w:val="outset" w:sz="4" w:space="0" w:color="auto"/>
                    </w:tcBorders>
                  </w:tcPr>
                  <w:p w:rsidR="00ED2DC7" w:rsidRDefault="00ED2DC7">
                    <w:pPr>
                      <w:rPr>
                        <w:szCs w:val="21"/>
                      </w:rPr>
                    </w:pPr>
                  </w:p>
                </w:tc>
                <w:tc>
                  <w:tcPr>
                    <w:tcW w:w="1124" w:type="pct"/>
                    <w:tcBorders>
                      <w:top w:val="outset" w:sz="4" w:space="0" w:color="auto"/>
                      <w:left w:val="outset" w:sz="4" w:space="0" w:color="auto"/>
                      <w:bottom w:val="outset" w:sz="4" w:space="0" w:color="auto"/>
                      <w:right w:val="outset" w:sz="4" w:space="0" w:color="auto"/>
                    </w:tcBorders>
                    <w:vAlign w:val="center"/>
                  </w:tcPr>
                  <w:p w:rsidR="00ED2DC7" w:rsidRDefault="00ED2DC7" w:rsidP="00B637B2">
                    <w:pPr>
                      <w:jc w:val="right"/>
                      <w:rPr>
                        <w:szCs w:val="21"/>
                      </w:rPr>
                    </w:pPr>
                  </w:p>
                </w:tc>
                <w:tc>
                  <w:tcPr>
                    <w:tcW w:w="1147" w:type="pct"/>
                    <w:tcBorders>
                      <w:top w:val="outset" w:sz="4" w:space="0" w:color="auto"/>
                      <w:left w:val="outset" w:sz="4" w:space="0" w:color="auto"/>
                      <w:bottom w:val="outset" w:sz="4" w:space="0" w:color="auto"/>
                      <w:right w:val="outset" w:sz="4" w:space="0" w:color="auto"/>
                    </w:tcBorders>
                    <w:vAlign w:val="center"/>
                  </w:tcPr>
                  <w:p w:rsidR="00ED2DC7" w:rsidRDefault="00ED2DC7" w:rsidP="00B637B2">
                    <w:pPr>
                      <w:jc w:val="right"/>
                      <w:rPr>
                        <w:szCs w:val="21"/>
                      </w:rPr>
                    </w:pPr>
                  </w:p>
                </w:tc>
              </w:tr>
              <w:tr w:rsidR="007A6CFD" w:rsidTr="00B637B2">
                <w:sdt>
                  <w:sdtPr>
                    <w:tag w:val="_PLD_1706e75cd4ec4004b26be27bc8d7bb92"/>
                    <w:id w:val="-916316359"/>
                    <w:lock w:val="sdtLocked"/>
                  </w:sdtPr>
                  <w:sdtContent>
                    <w:tc>
                      <w:tcPr>
                        <w:tcW w:w="2166" w:type="pct"/>
                        <w:tcBorders>
                          <w:top w:val="outset" w:sz="4" w:space="0" w:color="auto"/>
                          <w:left w:val="outset" w:sz="4" w:space="0" w:color="auto"/>
                          <w:bottom w:val="outset" w:sz="4" w:space="0" w:color="auto"/>
                          <w:right w:val="outset" w:sz="4" w:space="0" w:color="auto"/>
                        </w:tcBorders>
                      </w:tcPr>
                      <w:p w:rsidR="007A6CFD" w:rsidRDefault="007A6CFD" w:rsidP="007A6CFD">
                        <w:pPr>
                          <w:ind w:firstLineChars="100" w:firstLine="210"/>
                          <w:rPr>
                            <w:szCs w:val="21"/>
                          </w:rPr>
                        </w:pPr>
                        <w:r>
                          <w:rPr>
                            <w:rFonts w:hint="eastAsia"/>
                            <w:szCs w:val="21"/>
                          </w:rPr>
                          <w:t>支付给职工以及为职工支付的现金</w:t>
                        </w:r>
                      </w:p>
                    </w:tc>
                  </w:sdtContent>
                </w:sdt>
                <w:tc>
                  <w:tcPr>
                    <w:tcW w:w="563" w:type="pct"/>
                    <w:tcBorders>
                      <w:top w:val="outset" w:sz="4" w:space="0" w:color="auto"/>
                      <w:left w:val="outset" w:sz="4" w:space="0" w:color="auto"/>
                      <w:bottom w:val="outset" w:sz="4" w:space="0" w:color="auto"/>
                      <w:right w:val="outset" w:sz="4" w:space="0" w:color="auto"/>
                    </w:tcBorders>
                  </w:tcPr>
                  <w:p w:rsidR="007A6CFD" w:rsidRDefault="007A6CFD" w:rsidP="007A6CFD">
                    <w:pPr>
                      <w:rPr>
                        <w:szCs w:val="21"/>
                      </w:rPr>
                    </w:pPr>
                  </w:p>
                </w:tc>
                <w:tc>
                  <w:tcPr>
                    <w:tcW w:w="1124" w:type="pct"/>
                    <w:tcBorders>
                      <w:top w:val="outset" w:sz="4" w:space="0" w:color="auto"/>
                      <w:left w:val="outset" w:sz="4" w:space="0" w:color="auto"/>
                      <w:bottom w:val="outset" w:sz="4" w:space="0" w:color="auto"/>
                      <w:right w:val="outset" w:sz="4" w:space="0" w:color="auto"/>
                    </w:tcBorders>
                    <w:vAlign w:val="center"/>
                  </w:tcPr>
                  <w:p w:rsidR="007A6CFD" w:rsidRPr="000719B6" w:rsidRDefault="007A6CFD" w:rsidP="00B637B2">
                    <w:pPr>
                      <w:jc w:val="right"/>
                    </w:pPr>
                    <w:r w:rsidRPr="000719B6">
                      <w:t>2,381,918,814</w:t>
                    </w:r>
                  </w:p>
                </w:tc>
                <w:tc>
                  <w:tcPr>
                    <w:tcW w:w="1147" w:type="pct"/>
                    <w:tcBorders>
                      <w:top w:val="outset" w:sz="4" w:space="0" w:color="auto"/>
                      <w:left w:val="outset" w:sz="4" w:space="0" w:color="auto"/>
                      <w:bottom w:val="outset" w:sz="4" w:space="0" w:color="auto"/>
                      <w:right w:val="outset" w:sz="4" w:space="0" w:color="auto"/>
                    </w:tcBorders>
                    <w:vAlign w:val="center"/>
                  </w:tcPr>
                  <w:p w:rsidR="007A6CFD" w:rsidRPr="000719B6" w:rsidRDefault="007A6CFD" w:rsidP="00B637B2">
                    <w:pPr>
                      <w:jc w:val="right"/>
                    </w:pPr>
                    <w:r w:rsidRPr="000719B6">
                      <w:t>1,840,231,299</w:t>
                    </w:r>
                  </w:p>
                </w:tc>
              </w:tr>
              <w:tr w:rsidR="007A6CFD" w:rsidTr="00B637B2">
                <w:sdt>
                  <w:sdtPr>
                    <w:tag w:val="_PLD_afa9119929c34433add5e6feaff13661"/>
                    <w:id w:val="384455394"/>
                    <w:lock w:val="sdtLocked"/>
                  </w:sdtPr>
                  <w:sdtContent>
                    <w:tc>
                      <w:tcPr>
                        <w:tcW w:w="2166" w:type="pct"/>
                        <w:tcBorders>
                          <w:top w:val="outset" w:sz="4" w:space="0" w:color="auto"/>
                          <w:left w:val="outset" w:sz="4" w:space="0" w:color="auto"/>
                          <w:bottom w:val="outset" w:sz="4" w:space="0" w:color="auto"/>
                          <w:right w:val="outset" w:sz="4" w:space="0" w:color="auto"/>
                        </w:tcBorders>
                      </w:tcPr>
                      <w:p w:rsidR="007A6CFD" w:rsidRDefault="007A6CFD" w:rsidP="007A6CFD">
                        <w:pPr>
                          <w:ind w:firstLineChars="100" w:firstLine="210"/>
                          <w:rPr>
                            <w:szCs w:val="21"/>
                          </w:rPr>
                        </w:pPr>
                        <w:r>
                          <w:rPr>
                            <w:rFonts w:hint="eastAsia"/>
                            <w:szCs w:val="21"/>
                          </w:rPr>
                          <w:t>支付的各项税费</w:t>
                        </w:r>
                      </w:p>
                    </w:tc>
                  </w:sdtContent>
                </w:sdt>
                <w:tc>
                  <w:tcPr>
                    <w:tcW w:w="563" w:type="pct"/>
                    <w:tcBorders>
                      <w:top w:val="outset" w:sz="4" w:space="0" w:color="auto"/>
                      <w:left w:val="outset" w:sz="4" w:space="0" w:color="auto"/>
                      <w:bottom w:val="outset" w:sz="4" w:space="0" w:color="auto"/>
                      <w:right w:val="outset" w:sz="4" w:space="0" w:color="auto"/>
                    </w:tcBorders>
                  </w:tcPr>
                  <w:p w:rsidR="007A6CFD" w:rsidRDefault="007A6CFD" w:rsidP="007A6CFD">
                    <w:pPr>
                      <w:rPr>
                        <w:szCs w:val="21"/>
                      </w:rPr>
                    </w:pPr>
                  </w:p>
                </w:tc>
                <w:tc>
                  <w:tcPr>
                    <w:tcW w:w="1124" w:type="pct"/>
                    <w:tcBorders>
                      <w:top w:val="outset" w:sz="4" w:space="0" w:color="auto"/>
                      <w:left w:val="outset" w:sz="4" w:space="0" w:color="auto"/>
                      <w:bottom w:val="outset" w:sz="4" w:space="0" w:color="auto"/>
                      <w:right w:val="outset" w:sz="4" w:space="0" w:color="auto"/>
                    </w:tcBorders>
                    <w:vAlign w:val="center"/>
                  </w:tcPr>
                  <w:p w:rsidR="007A6CFD" w:rsidRPr="000719B6" w:rsidRDefault="007A6CFD" w:rsidP="00B637B2">
                    <w:pPr>
                      <w:jc w:val="right"/>
                    </w:pPr>
                    <w:r w:rsidRPr="000719B6">
                      <w:t>584,657,478</w:t>
                    </w:r>
                  </w:p>
                </w:tc>
                <w:tc>
                  <w:tcPr>
                    <w:tcW w:w="1147" w:type="pct"/>
                    <w:tcBorders>
                      <w:top w:val="outset" w:sz="4" w:space="0" w:color="auto"/>
                      <w:left w:val="outset" w:sz="4" w:space="0" w:color="auto"/>
                      <w:bottom w:val="outset" w:sz="4" w:space="0" w:color="auto"/>
                      <w:right w:val="outset" w:sz="4" w:space="0" w:color="auto"/>
                    </w:tcBorders>
                    <w:vAlign w:val="center"/>
                  </w:tcPr>
                  <w:p w:rsidR="007A6CFD" w:rsidRPr="000719B6" w:rsidRDefault="007A6CFD" w:rsidP="00B637B2">
                    <w:pPr>
                      <w:jc w:val="right"/>
                    </w:pPr>
                    <w:r w:rsidRPr="000719B6">
                      <w:t>650,427,934</w:t>
                    </w:r>
                  </w:p>
                </w:tc>
              </w:tr>
              <w:tr w:rsidR="007A6CFD" w:rsidTr="00B637B2">
                <w:sdt>
                  <w:sdtPr>
                    <w:tag w:val="_PLD_32d29e7e43cb4df78fb5562eda7075c6"/>
                    <w:id w:val="84888341"/>
                    <w:lock w:val="sdtLocked"/>
                  </w:sdtPr>
                  <w:sdtContent>
                    <w:tc>
                      <w:tcPr>
                        <w:tcW w:w="2166" w:type="pct"/>
                        <w:tcBorders>
                          <w:top w:val="outset" w:sz="4" w:space="0" w:color="auto"/>
                          <w:left w:val="outset" w:sz="4" w:space="0" w:color="auto"/>
                          <w:bottom w:val="outset" w:sz="4" w:space="0" w:color="auto"/>
                          <w:right w:val="outset" w:sz="4" w:space="0" w:color="auto"/>
                        </w:tcBorders>
                      </w:tcPr>
                      <w:p w:rsidR="007A6CFD" w:rsidRDefault="007A6CFD" w:rsidP="007A6CFD">
                        <w:pPr>
                          <w:ind w:firstLineChars="100" w:firstLine="210"/>
                          <w:rPr>
                            <w:szCs w:val="21"/>
                          </w:rPr>
                        </w:pPr>
                        <w:r>
                          <w:rPr>
                            <w:rFonts w:hint="eastAsia"/>
                            <w:szCs w:val="21"/>
                          </w:rPr>
                          <w:t>支付其他与经营活动有关的现金</w:t>
                        </w:r>
                      </w:p>
                    </w:tc>
                  </w:sdtContent>
                </w:sdt>
                <w:tc>
                  <w:tcPr>
                    <w:tcW w:w="563" w:type="pct"/>
                    <w:tcBorders>
                      <w:top w:val="outset" w:sz="4" w:space="0" w:color="auto"/>
                      <w:left w:val="outset" w:sz="4" w:space="0" w:color="auto"/>
                      <w:bottom w:val="outset" w:sz="4" w:space="0" w:color="auto"/>
                      <w:right w:val="outset" w:sz="4" w:space="0" w:color="auto"/>
                    </w:tcBorders>
                  </w:tcPr>
                  <w:p w:rsidR="007A6CFD" w:rsidRDefault="008F04CF" w:rsidP="007A6CFD">
                    <w:pPr>
                      <w:rPr>
                        <w:szCs w:val="21"/>
                      </w:rPr>
                    </w:pPr>
                    <w:r>
                      <w:rPr>
                        <w:rFonts w:hint="eastAsia"/>
                        <w:szCs w:val="21"/>
                      </w:rPr>
                      <w:t>七、78</w:t>
                    </w:r>
                  </w:p>
                </w:tc>
                <w:tc>
                  <w:tcPr>
                    <w:tcW w:w="1124" w:type="pct"/>
                    <w:tcBorders>
                      <w:top w:val="outset" w:sz="4" w:space="0" w:color="auto"/>
                      <w:left w:val="outset" w:sz="4" w:space="0" w:color="auto"/>
                      <w:bottom w:val="outset" w:sz="4" w:space="0" w:color="auto"/>
                      <w:right w:val="outset" w:sz="4" w:space="0" w:color="auto"/>
                    </w:tcBorders>
                    <w:vAlign w:val="center"/>
                  </w:tcPr>
                  <w:p w:rsidR="007A6CFD" w:rsidRPr="000719B6" w:rsidRDefault="007A6CFD" w:rsidP="00B637B2">
                    <w:pPr>
                      <w:jc w:val="right"/>
                    </w:pPr>
                    <w:r w:rsidRPr="000719B6">
                      <w:t>671,317,597</w:t>
                    </w:r>
                  </w:p>
                </w:tc>
                <w:tc>
                  <w:tcPr>
                    <w:tcW w:w="1147" w:type="pct"/>
                    <w:tcBorders>
                      <w:top w:val="outset" w:sz="4" w:space="0" w:color="auto"/>
                      <w:left w:val="outset" w:sz="4" w:space="0" w:color="auto"/>
                      <w:bottom w:val="outset" w:sz="4" w:space="0" w:color="auto"/>
                      <w:right w:val="outset" w:sz="4" w:space="0" w:color="auto"/>
                    </w:tcBorders>
                    <w:vAlign w:val="center"/>
                  </w:tcPr>
                  <w:p w:rsidR="007A6CFD" w:rsidRDefault="007A6CFD" w:rsidP="00B637B2">
                    <w:pPr>
                      <w:jc w:val="right"/>
                    </w:pPr>
                    <w:r w:rsidRPr="000719B6">
                      <w:t>486,470,256</w:t>
                    </w:r>
                  </w:p>
                </w:tc>
              </w:tr>
              <w:tr w:rsidR="007A6CFD" w:rsidTr="00B637B2">
                <w:sdt>
                  <w:sdtPr>
                    <w:tag w:val="_PLD_1898b9e3495c4369a548071a900462f2"/>
                    <w:id w:val="-1508278526"/>
                    <w:lock w:val="sdtLocked"/>
                  </w:sdtPr>
                  <w:sdtContent>
                    <w:tc>
                      <w:tcPr>
                        <w:tcW w:w="2166" w:type="pct"/>
                        <w:tcBorders>
                          <w:top w:val="outset" w:sz="4" w:space="0" w:color="auto"/>
                          <w:left w:val="outset" w:sz="4" w:space="0" w:color="auto"/>
                          <w:bottom w:val="outset" w:sz="4" w:space="0" w:color="auto"/>
                          <w:right w:val="outset" w:sz="4" w:space="0" w:color="auto"/>
                        </w:tcBorders>
                      </w:tcPr>
                      <w:p w:rsidR="007A6CFD" w:rsidRDefault="007A6CFD" w:rsidP="007A6CFD">
                        <w:pPr>
                          <w:ind w:firstLineChars="200" w:firstLine="420"/>
                          <w:rPr>
                            <w:color w:val="000000"/>
                            <w:szCs w:val="21"/>
                          </w:rPr>
                        </w:pPr>
                        <w:r>
                          <w:rPr>
                            <w:rFonts w:hint="eastAsia"/>
                            <w:szCs w:val="21"/>
                          </w:rPr>
                          <w:t>经营活动现金流出小计</w:t>
                        </w:r>
                      </w:p>
                    </w:tc>
                  </w:sdtContent>
                </w:sdt>
                <w:tc>
                  <w:tcPr>
                    <w:tcW w:w="563" w:type="pct"/>
                    <w:tcBorders>
                      <w:top w:val="outset" w:sz="4" w:space="0" w:color="auto"/>
                      <w:left w:val="outset" w:sz="4" w:space="0" w:color="auto"/>
                      <w:bottom w:val="outset" w:sz="4" w:space="0" w:color="auto"/>
                      <w:right w:val="outset" w:sz="4" w:space="0" w:color="auto"/>
                    </w:tcBorders>
                  </w:tcPr>
                  <w:p w:rsidR="007A6CFD" w:rsidRDefault="007A6CFD" w:rsidP="007A6CFD">
                    <w:pPr>
                      <w:rPr>
                        <w:szCs w:val="21"/>
                      </w:rPr>
                    </w:pPr>
                  </w:p>
                </w:tc>
                <w:tc>
                  <w:tcPr>
                    <w:tcW w:w="1124" w:type="pct"/>
                    <w:tcBorders>
                      <w:top w:val="outset" w:sz="4" w:space="0" w:color="auto"/>
                      <w:left w:val="outset" w:sz="4" w:space="0" w:color="auto"/>
                      <w:bottom w:val="outset" w:sz="4" w:space="0" w:color="auto"/>
                      <w:right w:val="outset" w:sz="4" w:space="0" w:color="auto"/>
                    </w:tcBorders>
                    <w:vAlign w:val="center"/>
                  </w:tcPr>
                  <w:p w:rsidR="007A6CFD" w:rsidRPr="004B2AB8" w:rsidRDefault="007A6CFD" w:rsidP="00B637B2">
                    <w:pPr>
                      <w:jc w:val="right"/>
                    </w:pPr>
                    <w:r w:rsidRPr="004B2AB8">
                      <w:t>4,173,277,422</w:t>
                    </w:r>
                  </w:p>
                </w:tc>
                <w:tc>
                  <w:tcPr>
                    <w:tcW w:w="1147" w:type="pct"/>
                    <w:tcBorders>
                      <w:top w:val="outset" w:sz="4" w:space="0" w:color="auto"/>
                      <w:left w:val="outset" w:sz="4" w:space="0" w:color="auto"/>
                      <w:bottom w:val="outset" w:sz="4" w:space="0" w:color="auto"/>
                      <w:right w:val="outset" w:sz="4" w:space="0" w:color="auto"/>
                    </w:tcBorders>
                    <w:vAlign w:val="center"/>
                  </w:tcPr>
                  <w:p w:rsidR="007A6CFD" w:rsidRDefault="007A6CFD" w:rsidP="00B637B2">
                    <w:pPr>
                      <w:jc w:val="right"/>
                    </w:pPr>
                    <w:r w:rsidRPr="004B2AB8">
                      <w:t>3,412,304,546</w:t>
                    </w:r>
                  </w:p>
                </w:tc>
              </w:tr>
              <w:tr w:rsidR="007A6CFD" w:rsidTr="00B637B2">
                <w:sdt>
                  <w:sdtPr>
                    <w:tag w:val="_PLD_3668436c46fe4d03bca9e7585b314b78"/>
                    <w:id w:val="-664942731"/>
                    <w:lock w:val="sdtLocked"/>
                  </w:sdtPr>
                  <w:sdtContent>
                    <w:tc>
                      <w:tcPr>
                        <w:tcW w:w="2166" w:type="pct"/>
                        <w:tcBorders>
                          <w:top w:val="outset" w:sz="4" w:space="0" w:color="auto"/>
                          <w:left w:val="outset" w:sz="4" w:space="0" w:color="auto"/>
                          <w:bottom w:val="outset" w:sz="4" w:space="0" w:color="auto"/>
                          <w:right w:val="outset" w:sz="4" w:space="0" w:color="auto"/>
                        </w:tcBorders>
                      </w:tcPr>
                      <w:p w:rsidR="007A6CFD" w:rsidRDefault="007A6CFD" w:rsidP="007A6CFD">
                        <w:pPr>
                          <w:ind w:firstLineChars="300" w:firstLine="630"/>
                          <w:rPr>
                            <w:color w:val="000000"/>
                            <w:szCs w:val="21"/>
                          </w:rPr>
                        </w:pPr>
                        <w:r>
                          <w:rPr>
                            <w:rFonts w:hint="eastAsia"/>
                            <w:szCs w:val="21"/>
                          </w:rPr>
                          <w:t>经营活动产生的现金流量净额</w:t>
                        </w:r>
                      </w:p>
                    </w:tc>
                  </w:sdtContent>
                </w:sdt>
                <w:tc>
                  <w:tcPr>
                    <w:tcW w:w="563" w:type="pct"/>
                    <w:tcBorders>
                      <w:top w:val="outset" w:sz="4" w:space="0" w:color="auto"/>
                      <w:left w:val="outset" w:sz="4" w:space="0" w:color="auto"/>
                      <w:bottom w:val="outset" w:sz="4" w:space="0" w:color="auto"/>
                      <w:right w:val="outset" w:sz="4" w:space="0" w:color="auto"/>
                    </w:tcBorders>
                  </w:tcPr>
                  <w:p w:rsidR="007A6CFD" w:rsidRDefault="007A6CFD" w:rsidP="007A6CFD">
                    <w:pPr>
                      <w:rPr>
                        <w:szCs w:val="21"/>
                      </w:rPr>
                    </w:pPr>
                  </w:p>
                </w:tc>
                <w:tc>
                  <w:tcPr>
                    <w:tcW w:w="1124" w:type="pct"/>
                    <w:tcBorders>
                      <w:top w:val="outset" w:sz="4" w:space="0" w:color="auto"/>
                      <w:left w:val="outset" w:sz="4" w:space="0" w:color="auto"/>
                      <w:bottom w:val="outset" w:sz="4" w:space="0" w:color="auto"/>
                      <w:right w:val="outset" w:sz="4" w:space="0" w:color="auto"/>
                    </w:tcBorders>
                    <w:vAlign w:val="center"/>
                  </w:tcPr>
                  <w:p w:rsidR="007A6CFD" w:rsidRPr="00851AB0" w:rsidRDefault="007A6CFD" w:rsidP="00B637B2">
                    <w:pPr>
                      <w:jc w:val="right"/>
                    </w:pPr>
                    <w:r w:rsidRPr="00851AB0">
                      <w:t>-321,855,084</w:t>
                    </w:r>
                  </w:p>
                </w:tc>
                <w:tc>
                  <w:tcPr>
                    <w:tcW w:w="1147" w:type="pct"/>
                    <w:tcBorders>
                      <w:top w:val="outset" w:sz="4" w:space="0" w:color="auto"/>
                      <w:left w:val="outset" w:sz="4" w:space="0" w:color="auto"/>
                      <w:bottom w:val="outset" w:sz="4" w:space="0" w:color="auto"/>
                      <w:right w:val="outset" w:sz="4" w:space="0" w:color="auto"/>
                    </w:tcBorders>
                    <w:vAlign w:val="center"/>
                  </w:tcPr>
                  <w:p w:rsidR="007A6CFD" w:rsidRDefault="007A6CFD" w:rsidP="00B637B2">
                    <w:pPr>
                      <w:jc w:val="right"/>
                    </w:pPr>
                    <w:r w:rsidRPr="00851AB0">
                      <w:t>-36,282,414</w:t>
                    </w:r>
                  </w:p>
                </w:tc>
              </w:tr>
              <w:tr w:rsidR="00ED2DC7" w:rsidTr="00B637B2">
                <w:sdt>
                  <w:sdtPr>
                    <w:tag w:val="_PLD_95b1c638e8714129b03173a0758b863f"/>
                    <w:id w:val="903869212"/>
                    <w:lock w:val="sdtLocked"/>
                  </w:sdtPr>
                  <w:sdtContent>
                    <w:tc>
                      <w:tcPr>
                        <w:tcW w:w="2166" w:type="pct"/>
                        <w:tcBorders>
                          <w:top w:val="outset" w:sz="4" w:space="0" w:color="auto"/>
                          <w:left w:val="outset" w:sz="4" w:space="0" w:color="auto"/>
                          <w:bottom w:val="outset" w:sz="4" w:space="0" w:color="auto"/>
                          <w:right w:val="outset" w:sz="4" w:space="0" w:color="auto"/>
                        </w:tcBorders>
                      </w:tcPr>
                      <w:p w:rsidR="00ED2DC7" w:rsidRDefault="00ED2DC7">
                        <w:pPr>
                          <w:rPr>
                            <w:color w:val="000000"/>
                            <w:szCs w:val="21"/>
                          </w:rPr>
                        </w:pPr>
                        <w:r>
                          <w:rPr>
                            <w:rFonts w:hint="eastAsia"/>
                            <w:b/>
                            <w:bCs/>
                            <w:szCs w:val="21"/>
                          </w:rPr>
                          <w:t>二、投资活动产生的现金流量：</w:t>
                        </w:r>
                      </w:p>
                    </w:tc>
                  </w:sdtContent>
                </w:sdt>
                <w:tc>
                  <w:tcPr>
                    <w:tcW w:w="563" w:type="pct"/>
                    <w:tcBorders>
                      <w:top w:val="outset" w:sz="4" w:space="0" w:color="auto"/>
                      <w:left w:val="outset" w:sz="4" w:space="0" w:color="auto"/>
                      <w:bottom w:val="outset" w:sz="4" w:space="0" w:color="auto"/>
                      <w:right w:val="outset" w:sz="4" w:space="0" w:color="auto"/>
                    </w:tcBorders>
                  </w:tcPr>
                  <w:p w:rsidR="00ED2DC7" w:rsidRDefault="00ED2DC7">
                    <w:pPr>
                      <w:rPr>
                        <w:color w:val="008000"/>
                        <w:szCs w:val="21"/>
                      </w:rPr>
                    </w:pPr>
                  </w:p>
                </w:tc>
                <w:tc>
                  <w:tcPr>
                    <w:tcW w:w="1124" w:type="pct"/>
                    <w:tcBorders>
                      <w:top w:val="outset" w:sz="4" w:space="0" w:color="auto"/>
                      <w:left w:val="outset" w:sz="4" w:space="0" w:color="auto"/>
                      <w:bottom w:val="outset" w:sz="4" w:space="0" w:color="auto"/>
                      <w:right w:val="outset" w:sz="4" w:space="0" w:color="auto"/>
                    </w:tcBorders>
                    <w:vAlign w:val="center"/>
                  </w:tcPr>
                  <w:p w:rsidR="00ED2DC7" w:rsidRDefault="00ED2DC7" w:rsidP="00B637B2">
                    <w:pPr>
                      <w:jc w:val="right"/>
                      <w:rPr>
                        <w:color w:val="008000"/>
                        <w:szCs w:val="21"/>
                      </w:rPr>
                    </w:pPr>
                  </w:p>
                </w:tc>
                <w:tc>
                  <w:tcPr>
                    <w:tcW w:w="1147" w:type="pct"/>
                    <w:tcBorders>
                      <w:top w:val="outset" w:sz="4" w:space="0" w:color="auto"/>
                      <w:left w:val="outset" w:sz="4" w:space="0" w:color="auto"/>
                      <w:bottom w:val="outset" w:sz="4" w:space="0" w:color="auto"/>
                      <w:right w:val="outset" w:sz="4" w:space="0" w:color="auto"/>
                    </w:tcBorders>
                    <w:vAlign w:val="center"/>
                  </w:tcPr>
                  <w:p w:rsidR="00ED2DC7" w:rsidRDefault="00ED2DC7" w:rsidP="00B637B2">
                    <w:pPr>
                      <w:jc w:val="right"/>
                      <w:rPr>
                        <w:color w:val="008000"/>
                        <w:szCs w:val="21"/>
                      </w:rPr>
                    </w:pPr>
                  </w:p>
                </w:tc>
              </w:tr>
              <w:tr w:rsidR="007A6CFD" w:rsidTr="00B637B2">
                <w:sdt>
                  <w:sdtPr>
                    <w:tag w:val="_PLD_95fbf0328fd24ef59c8541003255b0f4"/>
                    <w:id w:val="-400601591"/>
                    <w:lock w:val="sdtLocked"/>
                  </w:sdtPr>
                  <w:sdtContent>
                    <w:tc>
                      <w:tcPr>
                        <w:tcW w:w="2166" w:type="pct"/>
                        <w:tcBorders>
                          <w:top w:val="outset" w:sz="4" w:space="0" w:color="auto"/>
                          <w:left w:val="outset" w:sz="4" w:space="0" w:color="auto"/>
                          <w:bottom w:val="outset" w:sz="4" w:space="0" w:color="auto"/>
                          <w:right w:val="outset" w:sz="4" w:space="0" w:color="auto"/>
                        </w:tcBorders>
                      </w:tcPr>
                      <w:p w:rsidR="007A6CFD" w:rsidRDefault="007A6CFD" w:rsidP="007A6CFD">
                        <w:pPr>
                          <w:ind w:firstLineChars="100" w:firstLine="210"/>
                          <w:rPr>
                            <w:szCs w:val="21"/>
                          </w:rPr>
                        </w:pPr>
                        <w:r>
                          <w:rPr>
                            <w:rFonts w:hint="eastAsia"/>
                            <w:szCs w:val="21"/>
                          </w:rPr>
                          <w:t>收回投资收到的现金</w:t>
                        </w:r>
                      </w:p>
                    </w:tc>
                  </w:sdtContent>
                </w:sdt>
                <w:tc>
                  <w:tcPr>
                    <w:tcW w:w="563" w:type="pct"/>
                    <w:tcBorders>
                      <w:top w:val="outset" w:sz="4" w:space="0" w:color="auto"/>
                      <w:left w:val="outset" w:sz="4" w:space="0" w:color="auto"/>
                      <w:bottom w:val="outset" w:sz="4" w:space="0" w:color="auto"/>
                      <w:right w:val="outset" w:sz="4" w:space="0" w:color="auto"/>
                    </w:tcBorders>
                  </w:tcPr>
                  <w:p w:rsidR="007A6CFD" w:rsidRDefault="007A6CFD" w:rsidP="007A6CFD">
                    <w:pPr>
                      <w:rPr>
                        <w:szCs w:val="21"/>
                      </w:rPr>
                    </w:pPr>
                  </w:p>
                </w:tc>
                <w:tc>
                  <w:tcPr>
                    <w:tcW w:w="1124" w:type="pct"/>
                    <w:tcBorders>
                      <w:top w:val="outset" w:sz="4" w:space="0" w:color="auto"/>
                      <w:left w:val="outset" w:sz="4" w:space="0" w:color="auto"/>
                      <w:bottom w:val="outset" w:sz="4" w:space="0" w:color="auto"/>
                      <w:right w:val="outset" w:sz="4" w:space="0" w:color="auto"/>
                    </w:tcBorders>
                    <w:vAlign w:val="center"/>
                  </w:tcPr>
                  <w:p w:rsidR="007A6CFD" w:rsidRPr="004E47F1" w:rsidRDefault="007A6CFD" w:rsidP="00B637B2">
                    <w:pPr>
                      <w:jc w:val="right"/>
                    </w:pPr>
                    <w:r w:rsidRPr="004E47F1">
                      <w:t>1,272,500,844</w:t>
                    </w:r>
                  </w:p>
                </w:tc>
                <w:tc>
                  <w:tcPr>
                    <w:tcW w:w="1147" w:type="pct"/>
                    <w:tcBorders>
                      <w:top w:val="outset" w:sz="4" w:space="0" w:color="auto"/>
                      <w:left w:val="outset" w:sz="4" w:space="0" w:color="auto"/>
                      <w:bottom w:val="outset" w:sz="4" w:space="0" w:color="auto"/>
                      <w:right w:val="outset" w:sz="4" w:space="0" w:color="auto"/>
                    </w:tcBorders>
                    <w:vAlign w:val="center"/>
                  </w:tcPr>
                  <w:p w:rsidR="007A6CFD" w:rsidRPr="004E47F1" w:rsidRDefault="007A6CFD" w:rsidP="00B637B2">
                    <w:pPr>
                      <w:jc w:val="right"/>
                    </w:pPr>
                    <w:r w:rsidRPr="004E47F1">
                      <w:t>1,492,405,420</w:t>
                    </w:r>
                  </w:p>
                </w:tc>
              </w:tr>
              <w:tr w:rsidR="007A6CFD" w:rsidTr="00B637B2">
                <w:sdt>
                  <w:sdtPr>
                    <w:tag w:val="_PLD_35e4982400d84c73b6fc0f506a5d5376"/>
                    <w:id w:val="-191537431"/>
                    <w:lock w:val="sdtLocked"/>
                  </w:sdtPr>
                  <w:sdtContent>
                    <w:tc>
                      <w:tcPr>
                        <w:tcW w:w="2166" w:type="pct"/>
                        <w:tcBorders>
                          <w:top w:val="outset" w:sz="4" w:space="0" w:color="auto"/>
                          <w:left w:val="outset" w:sz="4" w:space="0" w:color="auto"/>
                          <w:bottom w:val="outset" w:sz="4" w:space="0" w:color="auto"/>
                          <w:right w:val="outset" w:sz="4" w:space="0" w:color="auto"/>
                        </w:tcBorders>
                      </w:tcPr>
                      <w:p w:rsidR="007A6CFD" w:rsidRDefault="007A6CFD" w:rsidP="007A6CFD">
                        <w:pPr>
                          <w:ind w:firstLineChars="100" w:firstLine="210"/>
                          <w:rPr>
                            <w:szCs w:val="21"/>
                          </w:rPr>
                        </w:pPr>
                        <w:r>
                          <w:rPr>
                            <w:rFonts w:hint="eastAsia"/>
                            <w:szCs w:val="21"/>
                          </w:rPr>
                          <w:t>取得投资收益收到的现金</w:t>
                        </w:r>
                      </w:p>
                    </w:tc>
                  </w:sdtContent>
                </w:sdt>
                <w:tc>
                  <w:tcPr>
                    <w:tcW w:w="563" w:type="pct"/>
                    <w:tcBorders>
                      <w:top w:val="outset" w:sz="4" w:space="0" w:color="auto"/>
                      <w:left w:val="outset" w:sz="4" w:space="0" w:color="auto"/>
                      <w:bottom w:val="outset" w:sz="4" w:space="0" w:color="auto"/>
                      <w:right w:val="outset" w:sz="4" w:space="0" w:color="auto"/>
                    </w:tcBorders>
                  </w:tcPr>
                  <w:p w:rsidR="007A6CFD" w:rsidRDefault="007A6CFD" w:rsidP="007A6CFD">
                    <w:pPr>
                      <w:rPr>
                        <w:szCs w:val="21"/>
                      </w:rPr>
                    </w:pPr>
                  </w:p>
                </w:tc>
                <w:tc>
                  <w:tcPr>
                    <w:tcW w:w="1124" w:type="pct"/>
                    <w:tcBorders>
                      <w:top w:val="outset" w:sz="4" w:space="0" w:color="auto"/>
                      <w:left w:val="outset" w:sz="4" w:space="0" w:color="auto"/>
                      <w:bottom w:val="outset" w:sz="4" w:space="0" w:color="auto"/>
                      <w:right w:val="outset" w:sz="4" w:space="0" w:color="auto"/>
                    </w:tcBorders>
                    <w:vAlign w:val="center"/>
                  </w:tcPr>
                  <w:p w:rsidR="007A6CFD" w:rsidRPr="004E47F1" w:rsidRDefault="007A6CFD" w:rsidP="00B637B2">
                    <w:pPr>
                      <w:jc w:val="right"/>
                    </w:pPr>
                    <w:r w:rsidRPr="004E47F1">
                      <w:t>161,646,822</w:t>
                    </w:r>
                  </w:p>
                </w:tc>
                <w:tc>
                  <w:tcPr>
                    <w:tcW w:w="1147" w:type="pct"/>
                    <w:tcBorders>
                      <w:top w:val="outset" w:sz="4" w:space="0" w:color="auto"/>
                      <w:left w:val="outset" w:sz="4" w:space="0" w:color="auto"/>
                      <w:bottom w:val="outset" w:sz="4" w:space="0" w:color="auto"/>
                      <w:right w:val="outset" w:sz="4" w:space="0" w:color="auto"/>
                    </w:tcBorders>
                    <w:vAlign w:val="center"/>
                  </w:tcPr>
                  <w:p w:rsidR="007A6CFD" w:rsidRPr="004E47F1" w:rsidRDefault="007A6CFD" w:rsidP="00B637B2">
                    <w:pPr>
                      <w:jc w:val="right"/>
                    </w:pPr>
                    <w:r w:rsidRPr="004E47F1">
                      <w:t>3,235,294</w:t>
                    </w:r>
                  </w:p>
                </w:tc>
              </w:tr>
              <w:tr w:rsidR="007A6CFD" w:rsidTr="00B637B2">
                <w:sdt>
                  <w:sdtPr>
                    <w:tag w:val="_PLD_7070e73d5e4b4f3ab454e8266545ce2f"/>
                    <w:id w:val="1515032204"/>
                    <w:lock w:val="sdtLocked"/>
                  </w:sdtPr>
                  <w:sdtContent>
                    <w:tc>
                      <w:tcPr>
                        <w:tcW w:w="2166" w:type="pct"/>
                        <w:tcBorders>
                          <w:top w:val="outset" w:sz="4" w:space="0" w:color="auto"/>
                          <w:left w:val="outset" w:sz="4" w:space="0" w:color="auto"/>
                          <w:bottom w:val="outset" w:sz="4" w:space="0" w:color="auto"/>
                          <w:right w:val="outset" w:sz="4" w:space="0" w:color="auto"/>
                        </w:tcBorders>
                      </w:tcPr>
                      <w:p w:rsidR="007A6CFD" w:rsidRDefault="007A6CFD" w:rsidP="007A6CFD">
                        <w:pPr>
                          <w:ind w:firstLineChars="100" w:firstLine="210"/>
                          <w:rPr>
                            <w:szCs w:val="21"/>
                          </w:rPr>
                        </w:pPr>
                        <w:r>
                          <w:rPr>
                            <w:rFonts w:hint="eastAsia"/>
                            <w:szCs w:val="21"/>
                          </w:rPr>
                          <w:t>处置固定资产、无形资产和其他长期资产收回的现金净额</w:t>
                        </w:r>
                      </w:p>
                    </w:tc>
                  </w:sdtContent>
                </w:sdt>
                <w:tc>
                  <w:tcPr>
                    <w:tcW w:w="563" w:type="pct"/>
                    <w:tcBorders>
                      <w:top w:val="outset" w:sz="4" w:space="0" w:color="auto"/>
                      <w:left w:val="outset" w:sz="4" w:space="0" w:color="auto"/>
                      <w:bottom w:val="outset" w:sz="4" w:space="0" w:color="auto"/>
                      <w:right w:val="outset" w:sz="4" w:space="0" w:color="auto"/>
                    </w:tcBorders>
                  </w:tcPr>
                  <w:p w:rsidR="007A6CFD" w:rsidRDefault="007A6CFD" w:rsidP="007A6CFD">
                    <w:pPr>
                      <w:rPr>
                        <w:szCs w:val="21"/>
                      </w:rPr>
                    </w:pPr>
                  </w:p>
                </w:tc>
                <w:tc>
                  <w:tcPr>
                    <w:tcW w:w="1124" w:type="pct"/>
                    <w:tcBorders>
                      <w:top w:val="outset" w:sz="4" w:space="0" w:color="auto"/>
                      <w:left w:val="outset" w:sz="4" w:space="0" w:color="auto"/>
                      <w:bottom w:val="outset" w:sz="4" w:space="0" w:color="auto"/>
                      <w:right w:val="outset" w:sz="4" w:space="0" w:color="auto"/>
                    </w:tcBorders>
                    <w:vAlign w:val="center"/>
                  </w:tcPr>
                  <w:p w:rsidR="007A6CFD" w:rsidRPr="004E47F1" w:rsidRDefault="007A6CFD" w:rsidP="00B637B2">
                    <w:pPr>
                      <w:jc w:val="right"/>
                    </w:pPr>
                    <w:r w:rsidRPr="004E47F1">
                      <w:t>107,155</w:t>
                    </w:r>
                  </w:p>
                </w:tc>
                <w:tc>
                  <w:tcPr>
                    <w:tcW w:w="1147" w:type="pct"/>
                    <w:tcBorders>
                      <w:top w:val="outset" w:sz="4" w:space="0" w:color="auto"/>
                      <w:left w:val="outset" w:sz="4" w:space="0" w:color="auto"/>
                      <w:bottom w:val="outset" w:sz="4" w:space="0" w:color="auto"/>
                      <w:right w:val="outset" w:sz="4" w:space="0" w:color="auto"/>
                    </w:tcBorders>
                    <w:vAlign w:val="center"/>
                  </w:tcPr>
                  <w:p w:rsidR="007A6CFD" w:rsidRPr="004E47F1" w:rsidRDefault="007A6CFD" w:rsidP="00B637B2">
                    <w:pPr>
                      <w:jc w:val="right"/>
                    </w:pPr>
                    <w:r w:rsidRPr="004E47F1">
                      <w:t>668,337</w:t>
                    </w:r>
                  </w:p>
                </w:tc>
              </w:tr>
              <w:tr w:rsidR="007A6CFD" w:rsidTr="00B637B2">
                <w:sdt>
                  <w:sdtPr>
                    <w:tag w:val="_PLD_c759f863222a4b86a2bd00d28adee545"/>
                    <w:id w:val="-563027027"/>
                    <w:lock w:val="sdtLocked"/>
                  </w:sdtPr>
                  <w:sdtContent>
                    <w:tc>
                      <w:tcPr>
                        <w:tcW w:w="2166" w:type="pct"/>
                        <w:tcBorders>
                          <w:top w:val="outset" w:sz="4" w:space="0" w:color="auto"/>
                          <w:left w:val="outset" w:sz="4" w:space="0" w:color="auto"/>
                          <w:bottom w:val="outset" w:sz="4" w:space="0" w:color="auto"/>
                          <w:right w:val="outset" w:sz="4" w:space="0" w:color="auto"/>
                        </w:tcBorders>
                      </w:tcPr>
                      <w:p w:rsidR="007A6CFD" w:rsidRDefault="007A6CFD" w:rsidP="007A6CFD">
                        <w:pPr>
                          <w:ind w:firstLineChars="100" w:firstLine="210"/>
                          <w:rPr>
                            <w:szCs w:val="21"/>
                          </w:rPr>
                        </w:pPr>
                        <w:r>
                          <w:rPr>
                            <w:rFonts w:hint="eastAsia"/>
                            <w:szCs w:val="21"/>
                          </w:rPr>
                          <w:t>处置子公司及其他营业单位收到的现金净额</w:t>
                        </w:r>
                      </w:p>
                    </w:tc>
                  </w:sdtContent>
                </w:sdt>
                <w:tc>
                  <w:tcPr>
                    <w:tcW w:w="563" w:type="pct"/>
                    <w:tcBorders>
                      <w:top w:val="outset" w:sz="4" w:space="0" w:color="auto"/>
                      <w:left w:val="outset" w:sz="4" w:space="0" w:color="auto"/>
                      <w:bottom w:val="outset" w:sz="4" w:space="0" w:color="auto"/>
                      <w:right w:val="outset" w:sz="4" w:space="0" w:color="auto"/>
                    </w:tcBorders>
                  </w:tcPr>
                  <w:p w:rsidR="007A6CFD" w:rsidRDefault="007A6CFD" w:rsidP="007A6CFD">
                    <w:pPr>
                      <w:rPr>
                        <w:szCs w:val="21"/>
                      </w:rPr>
                    </w:pPr>
                  </w:p>
                </w:tc>
                <w:tc>
                  <w:tcPr>
                    <w:tcW w:w="1124" w:type="pct"/>
                    <w:tcBorders>
                      <w:top w:val="outset" w:sz="4" w:space="0" w:color="auto"/>
                      <w:left w:val="outset" w:sz="4" w:space="0" w:color="auto"/>
                      <w:bottom w:val="outset" w:sz="4" w:space="0" w:color="auto"/>
                      <w:right w:val="outset" w:sz="4" w:space="0" w:color="auto"/>
                    </w:tcBorders>
                    <w:vAlign w:val="center"/>
                  </w:tcPr>
                  <w:p w:rsidR="007A6CFD" w:rsidRPr="004E47F1" w:rsidRDefault="007A6CFD" w:rsidP="00B637B2">
                    <w:pPr>
                      <w:jc w:val="right"/>
                    </w:pPr>
                    <w:r w:rsidRPr="004E47F1">
                      <w:t>-</w:t>
                    </w:r>
                  </w:p>
                </w:tc>
                <w:tc>
                  <w:tcPr>
                    <w:tcW w:w="1147" w:type="pct"/>
                    <w:tcBorders>
                      <w:top w:val="outset" w:sz="4" w:space="0" w:color="auto"/>
                      <w:left w:val="outset" w:sz="4" w:space="0" w:color="auto"/>
                      <w:bottom w:val="outset" w:sz="4" w:space="0" w:color="auto"/>
                      <w:right w:val="outset" w:sz="4" w:space="0" w:color="auto"/>
                    </w:tcBorders>
                    <w:vAlign w:val="center"/>
                  </w:tcPr>
                  <w:p w:rsidR="007A6CFD" w:rsidRPr="004E47F1" w:rsidRDefault="007A6CFD" w:rsidP="00B637B2">
                    <w:pPr>
                      <w:jc w:val="right"/>
                    </w:pPr>
                    <w:r w:rsidRPr="004E47F1">
                      <w:t>-</w:t>
                    </w:r>
                  </w:p>
                </w:tc>
              </w:tr>
              <w:tr w:rsidR="007A6CFD" w:rsidTr="00B637B2">
                <w:sdt>
                  <w:sdtPr>
                    <w:tag w:val="_PLD_952d04204f8a403a94876043b8095de0"/>
                    <w:id w:val="-640964380"/>
                    <w:lock w:val="sdtLocked"/>
                  </w:sdtPr>
                  <w:sdtContent>
                    <w:tc>
                      <w:tcPr>
                        <w:tcW w:w="2166" w:type="pct"/>
                        <w:tcBorders>
                          <w:top w:val="outset" w:sz="4" w:space="0" w:color="auto"/>
                          <w:left w:val="outset" w:sz="4" w:space="0" w:color="auto"/>
                          <w:bottom w:val="outset" w:sz="4" w:space="0" w:color="auto"/>
                          <w:right w:val="outset" w:sz="4" w:space="0" w:color="auto"/>
                        </w:tcBorders>
                      </w:tcPr>
                      <w:p w:rsidR="007A6CFD" w:rsidRDefault="007A6CFD" w:rsidP="007A6CFD">
                        <w:pPr>
                          <w:ind w:firstLineChars="100" w:firstLine="210"/>
                          <w:rPr>
                            <w:szCs w:val="21"/>
                          </w:rPr>
                        </w:pPr>
                        <w:r>
                          <w:rPr>
                            <w:rFonts w:hint="eastAsia"/>
                            <w:szCs w:val="21"/>
                          </w:rPr>
                          <w:t>收到其他与投资活动有关的现金</w:t>
                        </w:r>
                      </w:p>
                    </w:tc>
                  </w:sdtContent>
                </w:sdt>
                <w:tc>
                  <w:tcPr>
                    <w:tcW w:w="563" w:type="pct"/>
                    <w:tcBorders>
                      <w:top w:val="outset" w:sz="4" w:space="0" w:color="auto"/>
                      <w:left w:val="outset" w:sz="4" w:space="0" w:color="auto"/>
                      <w:bottom w:val="outset" w:sz="4" w:space="0" w:color="auto"/>
                      <w:right w:val="outset" w:sz="4" w:space="0" w:color="auto"/>
                    </w:tcBorders>
                  </w:tcPr>
                  <w:p w:rsidR="007A6CFD" w:rsidRDefault="008F04CF" w:rsidP="007A6CFD">
                    <w:pPr>
                      <w:rPr>
                        <w:szCs w:val="21"/>
                      </w:rPr>
                    </w:pPr>
                    <w:r>
                      <w:rPr>
                        <w:rFonts w:hint="eastAsia"/>
                        <w:szCs w:val="21"/>
                      </w:rPr>
                      <w:t>七、78</w:t>
                    </w:r>
                  </w:p>
                </w:tc>
                <w:tc>
                  <w:tcPr>
                    <w:tcW w:w="1124" w:type="pct"/>
                    <w:tcBorders>
                      <w:top w:val="outset" w:sz="4" w:space="0" w:color="auto"/>
                      <w:left w:val="outset" w:sz="4" w:space="0" w:color="auto"/>
                      <w:bottom w:val="outset" w:sz="4" w:space="0" w:color="auto"/>
                      <w:right w:val="outset" w:sz="4" w:space="0" w:color="auto"/>
                    </w:tcBorders>
                    <w:vAlign w:val="center"/>
                  </w:tcPr>
                  <w:p w:rsidR="007A6CFD" w:rsidRPr="004E47F1" w:rsidRDefault="007A6CFD" w:rsidP="00B637B2">
                    <w:pPr>
                      <w:jc w:val="right"/>
                    </w:pPr>
                    <w:r w:rsidRPr="004E47F1">
                      <w:t>15,318,818</w:t>
                    </w:r>
                  </w:p>
                </w:tc>
                <w:tc>
                  <w:tcPr>
                    <w:tcW w:w="1147" w:type="pct"/>
                    <w:tcBorders>
                      <w:top w:val="outset" w:sz="4" w:space="0" w:color="auto"/>
                      <w:left w:val="outset" w:sz="4" w:space="0" w:color="auto"/>
                      <w:bottom w:val="outset" w:sz="4" w:space="0" w:color="auto"/>
                      <w:right w:val="outset" w:sz="4" w:space="0" w:color="auto"/>
                    </w:tcBorders>
                    <w:vAlign w:val="center"/>
                  </w:tcPr>
                  <w:p w:rsidR="007A6CFD" w:rsidRDefault="007A6CFD" w:rsidP="00B637B2">
                    <w:pPr>
                      <w:jc w:val="right"/>
                    </w:pPr>
                    <w:r w:rsidRPr="004E47F1">
                      <w:t>51,763,492</w:t>
                    </w:r>
                  </w:p>
                </w:tc>
              </w:tr>
              <w:tr w:rsidR="007A6CFD" w:rsidTr="00B637B2">
                <w:sdt>
                  <w:sdtPr>
                    <w:tag w:val="_PLD_64f8da16e041496994b857c4c1889283"/>
                    <w:id w:val="-1693217350"/>
                    <w:lock w:val="sdtLocked"/>
                  </w:sdtPr>
                  <w:sdtContent>
                    <w:tc>
                      <w:tcPr>
                        <w:tcW w:w="2166" w:type="pct"/>
                        <w:tcBorders>
                          <w:top w:val="outset" w:sz="4" w:space="0" w:color="auto"/>
                          <w:left w:val="outset" w:sz="4" w:space="0" w:color="auto"/>
                          <w:bottom w:val="outset" w:sz="4" w:space="0" w:color="auto"/>
                          <w:right w:val="outset" w:sz="4" w:space="0" w:color="auto"/>
                        </w:tcBorders>
                      </w:tcPr>
                      <w:p w:rsidR="007A6CFD" w:rsidRDefault="007A6CFD" w:rsidP="007A6CFD">
                        <w:pPr>
                          <w:ind w:firstLineChars="200" w:firstLine="420"/>
                          <w:rPr>
                            <w:color w:val="000000"/>
                            <w:szCs w:val="21"/>
                          </w:rPr>
                        </w:pPr>
                        <w:r>
                          <w:rPr>
                            <w:rFonts w:hint="eastAsia"/>
                            <w:szCs w:val="21"/>
                          </w:rPr>
                          <w:t>投资活动现金流入小计</w:t>
                        </w:r>
                      </w:p>
                    </w:tc>
                  </w:sdtContent>
                </w:sdt>
                <w:tc>
                  <w:tcPr>
                    <w:tcW w:w="563" w:type="pct"/>
                    <w:tcBorders>
                      <w:top w:val="outset" w:sz="4" w:space="0" w:color="auto"/>
                      <w:left w:val="outset" w:sz="4" w:space="0" w:color="auto"/>
                      <w:bottom w:val="outset" w:sz="4" w:space="0" w:color="auto"/>
                      <w:right w:val="outset" w:sz="4" w:space="0" w:color="auto"/>
                    </w:tcBorders>
                  </w:tcPr>
                  <w:p w:rsidR="007A6CFD" w:rsidRDefault="007A6CFD" w:rsidP="007A6CFD">
                    <w:pPr>
                      <w:rPr>
                        <w:szCs w:val="21"/>
                      </w:rPr>
                    </w:pPr>
                  </w:p>
                </w:tc>
                <w:tc>
                  <w:tcPr>
                    <w:tcW w:w="1124" w:type="pct"/>
                    <w:tcBorders>
                      <w:top w:val="outset" w:sz="4" w:space="0" w:color="auto"/>
                      <w:left w:val="outset" w:sz="4" w:space="0" w:color="auto"/>
                      <w:bottom w:val="outset" w:sz="4" w:space="0" w:color="auto"/>
                      <w:right w:val="outset" w:sz="4" w:space="0" w:color="auto"/>
                    </w:tcBorders>
                    <w:vAlign w:val="center"/>
                  </w:tcPr>
                  <w:p w:rsidR="007A6CFD" w:rsidRPr="00CA1A8B" w:rsidRDefault="007A6CFD" w:rsidP="00B637B2">
                    <w:pPr>
                      <w:jc w:val="right"/>
                    </w:pPr>
                    <w:r w:rsidRPr="00CA1A8B">
                      <w:t>1,449,573,639</w:t>
                    </w:r>
                  </w:p>
                </w:tc>
                <w:tc>
                  <w:tcPr>
                    <w:tcW w:w="1147" w:type="pct"/>
                    <w:tcBorders>
                      <w:top w:val="outset" w:sz="4" w:space="0" w:color="auto"/>
                      <w:left w:val="outset" w:sz="4" w:space="0" w:color="auto"/>
                      <w:bottom w:val="outset" w:sz="4" w:space="0" w:color="auto"/>
                      <w:right w:val="outset" w:sz="4" w:space="0" w:color="auto"/>
                    </w:tcBorders>
                    <w:vAlign w:val="center"/>
                  </w:tcPr>
                  <w:p w:rsidR="007A6CFD" w:rsidRDefault="007A6CFD" w:rsidP="00B637B2">
                    <w:pPr>
                      <w:jc w:val="right"/>
                    </w:pPr>
                    <w:r w:rsidRPr="00CA1A8B">
                      <w:t>1,548,072,543</w:t>
                    </w:r>
                  </w:p>
                </w:tc>
              </w:tr>
              <w:tr w:rsidR="007A6CFD" w:rsidTr="00B637B2">
                <w:sdt>
                  <w:sdtPr>
                    <w:tag w:val="_PLD_8ec533e5ae47447ca845ccd778baf9d2"/>
                    <w:id w:val="-2024770177"/>
                    <w:lock w:val="sdtLocked"/>
                  </w:sdtPr>
                  <w:sdtContent>
                    <w:tc>
                      <w:tcPr>
                        <w:tcW w:w="2166" w:type="pct"/>
                        <w:tcBorders>
                          <w:top w:val="outset" w:sz="4" w:space="0" w:color="auto"/>
                          <w:left w:val="outset" w:sz="4" w:space="0" w:color="auto"/>
                          <w:bottom w:val="outset" w:sz="4" w:space="0" w:color="auto"/>
                          <w:right w:val="outset" w:sz="4" w:space="0" w:color="auto"/>
                        </w:tcBorders>
                      </w:tcPr>
                      <w:p w:rsidR="007A6CFD" w:rsidRDefault="007A6CFD" w:rsidP="007A6CFD">
                        <w:pPr>
                          <w:ind w:firstLineChars="100" w:firstLine="210"/>
                          <w:rPr>
                            <w:color w:val="000000"/>
                            <w:szCs w:val="21"/>
                          </w:rPr>
                        </w:pPr>
                        <w:r>
                          <w:rPr>
                            <w:rFonts w:hint="eastAsia"/>
                            <w:szCs w:val="21"/>
                          </w:rPr>
                          <w:t>购建固定资产、无形资产和其他长期资产支付的现金</w:t>
                        </w:r>
                      </w:p>
                    </w:tc>
                  </w:sdtContent>
                </w:sdt>
                <w:tc>
                  <w:tcPr>
                    <w:tcW w:w="563" w:type="pct"/>
                    <w:tcBorders>
                      <w:top w:val="outset" w:sz="4" w:space="0" w:color="auto"/>
                      <w:left w:val="outset" w:sz="4" w:space="0" w:color="auto"/>
                      <w:bottom w:val="outset" w:sz="4" w:space="0" w:color="auto"/>
                      <w:right w:val="outset" w:sz="4" w:space="0" w:color="auto"/>
                    </w:tcBorders>
                  </w:tcPr>
                  <w:p w:rsidR="007A6CFD" w:rsidRDefault="007A6CFD" w:rsidP="007A6CFD">
                    <w:pPr>
                      <w:rPr>
                        <w:szCs w:val="21"/>
                      </w:rPr>
                    </w:pPr>
                  </w:p>
                </w:tc>
                <w:tc>
                  <w:tcPr>
                    <w:tcW w:w="1124" w:type="pct"/>
                    <w:tcBorders>
                      <w:top w:val="outset" w:sz="4" w:space="0" w:color="auto"/>
                      <w:left w:val="outset" w:sz="4" w:space="0" w:color="auto"/>
                      <w:bottom w:val="outset" w:sz="4" w:space="0" w:color="auto"/>
                      <w:right w:val="outset" w:sz="4" w:space="0" w:color="auto"/>
                    </w:tcBorders>
                    <w:vAlign w:val="center"/>
                  </w:tcPr>
                  <w:p w:rsidR="007A6CFD" w:rsidRPr="00F677D0" w:rsidRDefault="007A6CFD" w:rsidP="00B637B2">
                    <w:pPr>
                      <w:jc w:val="right"/>
                    </w:pPr>
                    <w:r w:rsidRPr="00F677D0">
                      <w:t>131,156,222</w:t>
                    </w:r>
                  </w:p>
                </w:tc>
                <w:tc>
                  <w:tcPr>
                    <w:tcW w:w="1147" w:type="pct"/>
                    <w:tcBorders>
                      <w:top w:val="outset" w:sz="4" w:space="0" w:color="auto"/>
                      <w:left w:val="outset" w:sz="4" w:space="0" w:color="auto"/>
                      <w:bottom w:val="outset" w:sz="4" w:space="0" w:color="auto"/>
                      <w:right w:val="outset" w:sz="4" w:space="0" w:color="auto"/>
                    </w:tcBorders>
                    <w:vAlign w:val="center"/>
                  </w:tcPr>
                  <w:p w:rsidR="007A6CFD" w:rsidRPr="00F677D0" w:rsidRDefault="007A6CFD" w:rsidP="00B637B2">
                    <w:pPr>
                      <w:jc w:val="right"/>
                    </w:pPr>
                    <w:r w:rsidRPr="00F677D0">
                      <w:t>215,641,430</w:t>
                    </w:r>
                  </w:p>
                </w:tc>
              </w:tr>
              <w:tr w:rsidR="007A6CFD" w:rsidTr="00B637B2">
                <w:sdt>
                  <w:sdtPr>
                    <w:tag w:val="_PLD_6cfa06cfb65e431588ea9f9c8c72d193"/>
                    <w:id w:val="-247204902"/>
                    <w:lock w:val="sdtLocked"/>
                  </w:sdtPr>
                  <w:sdtContent>
                    <w:tc>
                      <w:tcPr>
                        <w:tcW w:w="2166" w:type="pct"/>
                        <w:tcBorders>
                          <w:top w:val="outset" w:sz="4" w:space="0" w:color="auto"/>
                          <w:left w:val="outset" w:sz="4" w:space="0" w:color="auto"/>
                          <w:bottom w:val="outset" w:sz="4" w:space="0" w:color="auto"/>
                          <w:right w:val="outset" w:sz="4" w:space="0" w:color="auto"/>
                        </w:tcBorders>
                      </w:tcPr>
                      <w:p w:rsidR="007A6CFD" w:rsidRDefault="007A6CFD" w:rsidP="007A6CFD">
                        <w:pPr>
                          <w:ind w:firstLineChars="100" w:firstLine="210"/>
                          <w:rPr>
                            <w:szCs w:val="21"/>
                          </w:rPr>
                        </w:pPr>
                        <w:r>
                          <w:rPr>
                            <w:rFonts w:hint="eastAsia"/>
                            <w:szCs w:val="21"/>
                          </w:rPr>
                          <w:t>投资支付的现金</w:t>
                        </w:r>
                      </w:p>
                    </w:tc>
                  </w:sdtContent>
                </w:sdt>
                <w:tc>
                  <w:tcPr>
                    <w:tcW w:w="563" w:type="pct"/>
                    <w:tcBorders>
                      <w:top w:val="outset" w:sz="4" w:space="0" w:color="auto"/>
                      <w:left w:val="outset" w:sz="4" w:space="0" w:color="auto"/>
                      <w:bottom w:val="outset" w:sz="4" w:space="0" w:color="auto"/>
                      <w:right w:val="outset" w:sz="4" w:space="0" w:color="auto"/>
                    </w:tcBorders>
                  </w:tcPr>
                  <w:p w:rsidR="007A6CFD" w:rsidRDefault="007A6CFD" w:rsidP="007A6CFD">
                    <w:pPr>
                      <w:rPr>
                        <w:szCs w:val="21"/>
                      </w:rPr>
                    </w:pPr>
                  </w:p>
                </w:tc>
                <w:tc>
                  <w:tcPr>
                    <w:tcW w:w="1124" w:type="pct"/>
                    <w:tcBorders>
                      <w:top w:val="outset" w:sz="4" w:space="0" w:color="auto"/>
                      <w:left w:val="outset" w:sz="4" w:space="0" w:color="auto"/>
                      <w:bottom w:val="outset" w:sz="4" w:space="0" w:color="auto"/>
                      <w:right w:val="outset" w:sz="4" w:space="0" w:color="auto"/>
                    </w:tcBorders>
                    <w:vAlign w:val="center"/>
                  </w:tcPr>
                  <w:p w:rsidR="007A6CFD" w:rsidRPr="00F677D0" w:rsidRDefault="007A6CFD" w:rsidP="00B637B2">
                    <w:pPr>
                      <w:jc w:val="right"/>
                    </w:pPr>
                    <w:r w:rsidRPr="00F677D0">
                      <w:t>2,268,980,151</w:t>
                    </w:r>
                  </w:p>
                </w:tc>
                <w:tc>
                  <w:tcPr>
                    <w:tcW w:w="1147" w:type="pct"/>
                    <w:tcBorders>
                      <w:top w:val="outset" w:sz="4" w:space="0" w:color="auto"/>
                      <w:left w:val="outset" w:sz="4" w:space="0" w:color="auto"/>
                      <w:bottom w:val="outset" w:sz="4" w:space="0" w:color="auto"/>
                      <w:right w:val="outset" w:sz="4" w:space="0" w:color="auto"/>
                    </w:tcBorders>
                    <w:vAlign w:val="center"/>
                  </w:tcPr>
                  <w:p w:rsidR="007A6CFD" w:rsidRDefault="007A6CFD" w:rsidP="00B637B2">
                    <w:pPr>
                      <w:jc w:val="right"/>
                    </w:pPr>
                    <w:r w:rsidRPr="00F677D0">
                      <w:t>1,572,845,966</w:t>
                    </w:r>
                  </w:p>
                </w:tc>
              </w:tr>
              <w:tr w:rsidR="00ED2DC7" w:rsidTr="00B637B2">
                <w:sdt>
                  <w:sdtPr>
                    <w:tag w:val="_PLD_40c2de7357364683ba4aa78c10d20704"/>
                    <w:id w:val="1578019028"/>
                    <w:lock w:val="sdtLocked"/>
                  </w:sdtPr>
                  <w:sdtContent>
                    <w:tc>
                      <w:tcPr>
                        <w:tcW w:w="2166" w:type="pct"/>
                        <w:tcBorders>
                          <w:top w:val="outset" w:sz="4" w:space="0" w:color="auto"/>
                          <w:left w:val="outset" w:sz="4" w:space="0" w:color="auto"/>
                          <w:bottom w:val="outset" w:sz="4" w:space="0" w:color="auto"/>
                          <w:right w:val="outset" w:sz="4" w:space="0" w:color="auto"/>
                        </w:tcBorders>
                      </w:tcPr>
                      <w:p w:rsidR="00ED2DC7" w:rsidRDefault="00ED2DC7">
                        <w:pPr>
                          <w:ind w:firstLineChars="100" w:firstLine="210"/>
                          <w:rPr>
                            <w:szCs w:val="21"/>
                          </w:rPr>
                        </w:pPr>
                        <w:r>
                          <w:rPr>
                            <w:rFonts w:hint="eastAsia"/>
                            <w:szCs w:val="21"/>
                          </w:rPr>
                          <w:t>质押贷款净增加额</w:t>
                        </w:r>
                      </w:p>
                    </w:tc>
                  </w:sdtContent>
                </w:sdt>
                <w:tc>
                  <w:tcPr>
                    <w:tcW w:w="563" w:type="pct"/>
                    <w:tcBorders>
                      <w:top w:val="outset" w:sz="4" w:space="0" w:color="auto"/>
                      <w:left w:val="outset" w:sz="4" w:space="0" w:color="auto"/>
                      <w:bottom w:val="outset" w:sz="4" w:space="0" w:color="auto"/>
                      <w:right w:val="outset" w:sz="4" w:space="0" w:color="auto"/>
                    </w:tcBorders>
                  </w:tcPr>
                  <w:p w:rsidR="00ED2DC7" w:rsidRDefault="00ED2DC7">
                    <w:pPr>
                      <w:rPr>
                        <w:szCs w:val="21"/>
                      </w:rPr>
                    </w:pPr>
                  </w:p>
                </w:tc>
                <w:tc>
                  <w:tcPr>
                    <w:tcW w:w="1124" w:type="pct"/>
                    <w:tcBorders>
                      <w:top w:val="outset" w:sz="4" w:space="0" w:color="auto"/>
                      <w:left w:val="outset" w:sz="4" w:space="0" w:color="auto"/>
                      <w:bottom w:val="outset" w:sz="4" w:space="0" w:color="auto"/>
                      <w:right w:val="outset" w:sz="4" w:space="0" w:color="auto"/>
                    </w:tcBorders>
                    <w:vAlign w:val="center"/>
                  </w:tcPr>
                  <w:p w:rsidR="00ED2DC7" w:rsidRDefault="00ED2DC7" w:rsidP="00B637B2">
                    <w:pPr>
                      <w:jc w:val="right"/>
                      <w:rPr>
                        <w:szCs w:val="21"/>
                      </w:rPr>
                    </w:pPr>
                  </w:p>
                </w:tc>
                <w:tc>
                  <w:tcPr>
                    <w:tcW w:w="1147" w:type="pct"/>
                    <w:tcBorders>
                      <w:top w:val="outset" w:sz="4" w:space="0" w:color="auto"/>
                      <w:left w:val="outset" w:sz="4" w:space="0" w:color="auto"/>
                      <w:bottom w:val="outset" w:sz="4" w:space="0" w:color="auto"/>
                      <w:right w:val="outset" w:sz="4" w:space="0" w:color="auto"/>
                    </w:tcBorders>
                    <w:vAlign w:val="center"/>
                  </w:tcPr>
                  <w:p w:rsidR="00ED2DC7" w:rsidRDefault="00ED2DC7" w:rsidP="00B637B2">
                    <w:pPr>
                      <w:jc w:val="right"/>
                      <w:rPr>
                        <w:szCs w:val="21"/>
                      </w:rPr>
                    </w:pPr>
                  </w:p>
                </w:tc>
              </w:tr>
              <w:tr w:rsidR="005626C7" w:rsidTr="00B637B2">
                <w:sdt>
                  <w:sdtPr>
                    <w:tag w:val="_PLD_4d1b57b8ea74470da0c4e250ba5ee9ce"/>
                    <w:id w:val="538474738"/>
                    <w:lock w:val="sdtLocked"/>
                  </w:sdtPr>
                  <w:sdtContent>
                    <w:tc>
                      <w:tcPr>
                        <w:tcW w:w="2166" w:type="pct"/>
                        <w:tcBorders>
                          <w:top w:val="outset" w:sz="4" w:space="0" w:color="auto"/>
                          <w:left w:val="outset" w:sz="4" w:space="0" w:color="auto"/>
                          <w:bottom w:val="outset" w:sz="4" w:space="0" w:color="auto"/>
                          <w:right w:val="outset" w:sz="4" w:space="0" w:color="auto"/>
                        </w:tcBorders>
                      </w:tcPr>
                      <w:p w:rsidR="005626C7" w:rsidRDefault="005626C7" w:rsidP="005626C7">
                        <w:pPr>
                          <w:ind w:firstLineChars="100" w:firstLine="210"/>
                          <w:rPr>
                            <w:szCs w:val="21"/>
                          </w:rPr>
                        </w:pPr>
                        <w:r>
                          <w:rPr>
                            <w:rFonts w:hint="eastAsia"/>
                            <w:szCs w:val="21"/>
                          </w:rPr>
                          <w:t>取得子公司及其他营业单位支付的现金净额</w:t>
                        </w:r>
                      </w:p>
                    </w:tc>
                  </w:sdtContent>
                </w:sdt>
                <w:tc>
                  <w:tcPr>
                    <w:tcW w:w="563" w:type="pct"/>
                    <w:tcBorders>
                      <w:top w:val="outset" w:sz="4" w:space="0" w:color="auto"/>
                      <w:left w:val="outset" w:sz="4" w:space="0" w:color="auto"/>
                      <w:bottom w:val="outset" w:sz="4" w:space="0" w:color="auto"/>
                      <w:right w:val="outset" w:sz="4" w:space="0" w:color="auto"/>
                    </w:tcBorders>
                  </w:tcPr>
                  <w:p w:rsidR="005626C7" w:rsidRDefault="005626C7" w:rsidP="005626C7">
                    <w:pPr>
                      <w:rPr>
                        <w:szCs w:val="21"/>
                      </w:rPr>
                    </w:pPr>
                  </w:p>
                </w:tc>
                <w:tc>
                  <w:tcPr>
                    <w:tcW w:w="1124" w:type="pct"/>
                    <w:tcBorders>
                      <w:top w:val="outset" w:sz="4" w:space="0" w:color="auto"/>
                      <w:left w:val="outset" w:sz="4" w:space="0" w:color="auto"/>
                      <w:bottom w:val="outset" w:sz="4" w:space="0" w:color="auto"/>
                      <w:right w:val="outset" w:sz="4" w:space="0" w:color="auto"/>
                    </w:tcBorders>
                    <w:vAlign w:val="center"/>
                  </w:tcPr>
                  <w:p w:rsidR="005626C7" w:rsidRPr="001214CD" w:rsidRDefault="005626C7" w:rsidP="00B637B2">
                    <w:pPr>
                      <w:jc w:val="right"/>
                    </w:pPr>
                    <w:r w:rsidRPr="001214CD">
                      <w:t>-</w:t>
                    </w:r>
                  </w:p>
                </w:tc>
                <w:tc>
                  <w:tcPr>
                    <w:tcW w:w="1147" w:type="pct"/>
                    <w:tcBorders>
                      <w:top w:val="outset" w:sz="4" w:space="0" w:color="auto"/>
                      <w:left w:val="outset" w:sz="4" w:space="0" w:color="auto"/>
                      <w:bottom w:val="outset" w:sz="4" w:space="0" w:color="auto"/>
                      <w:right w:val="outset" w:sz="4" w:space="0" w:color="auto"/>
                    </w:tcBorders>
                    <w:vAlign w:val="center"/>
                  </w:tcPr>
                  <w:p w:rsidR="005626C7" w:rsidRPr="001214CD" w:rsidRDefault="005626C7" w:rsidP="00B637B2">
                    <w:pPr>
                      <w:jc w:val="right"/>
                    </w:pPr>
                    <w:r w:rsidRPr="001214CD">
                      <w:t>49,773,000</w:t>
                    </w:r>
                  </w:p>
                </w:tc>
              </w:tr>
              <w:tr w:rsidR="005626C7" w:rsidTr="00B637B2">
                <w:sdt>
                  <w:sdtPr>
                    <w:tag w:val="_PLD_f53ecab3f93149519a6b0b08b3adf953"/>
                    <w:id w:val="679943407"/>
                    <w:lock w:val="sdtLocked"/>
                  </w:sdtPr>
                  <w:sdtContent>
                    <w:tc>
                      <w:tcPr>
                        <w:tcW w:w="2166" w:type="pct"/>
                        <w:tcBorders>
                          <w:top w:val="outset" w:sz="4" w:space="0" w:color="auto"/>
                          <w:left w:val="outset" w:sz="4" w:space="0" w:color="auto"/>
                          <w:bottom w:val="outset" w:sz="4" w:space="0" w:color="auto"/>
                          <w:right w:val="outset" w:sz="4" w:space="0" w:color="auto"/>
                        </w:tcBorders>
                      </w:tcPr>
                      <w:p w:rsidR="005626C7" w:rsidRDefault="005626C7" w:rsidP="005626C7">
                        <w:pPr>
                          <w:ind w:firstLineChars="100" w:firstLine="210"/>
                          <w:rPr>
                            <w:szCs w:val="21"/>
                          </w:rPr>
                        </w:pPr>
                        <w:r>
                          <w:rPr>
                            <w:rFonts w:hint="eastAsia"/>
                            <w:szCs w:val="21"/>
                          </w:rPr>
                          <w:t>支付其他与投资活动有关的现金</w:t>
                        </w:r>
                      </w:p>
                    </w:tc>
                  </w:sdtContent>
                </w:sdt>
                <w:tc>
                  <w:tcPr>
                    <w:tcW w:w="563" w:type="pct"/>
                    <w:tcBorders>
                      <w:top w:val="outset" w:sz="4" w:space="0" w:color="auto"/>
                      <w:left w:val="outset" w:sz="4" w:space="0" w:color="auto"/>
                      <w:bottom w:val="outset" w:sz="4" w:space="0" w:color="auto"/>
                      <w:right w:val="outset" w:sz="4" w:space="0" w:color="auto"/>
                    </w:tcBorders>
                  </w:tcPr>
                  <w:p w:rsidR="005626C7" w:rsidRDefault="005626C7" w:rsidP="005626C7">
                    <w:pPr>
                      <w:rPr>
                        <w:szCs w:val="21"/>
                      </w:rPr>
                    </w:pPr>
                  </w:p>
                </w:tc>
                <w:tc>
                  <w:tcPr>
                    <w:tcW w:w="1124" w:type="pct"/>
                    <w:tcBorders>
                      <w:top w:val="outset" w:sz="4" w:space="0" w:color="auto"/>
                      <w:left w:val="outset" w:sz="4" w:space="0" w:color="auto"/>
                      <w:bottom w:val="outset" w:sz="4" w:space="0" w:color="auto"/>
                      <w:right w:val="outset" w:sz="4" w:space="0" w:color="auto"/>
                    </w:tcBorders>
                    <w:vAlign w:val="center"/>
                  </w:tcPr>
                  <w:p w:rsidR="005626C7" w:rsidRPr="001214CD" w:rsidRDefault="005626C7" w:rsidP="00B637B2">
                    <w:pPr>
                      <w:jc w:val="right"/>
                    </w:pPr>
                    <w:r w:rsidRPr="001214CD">
                      <w:t>-</w:t>
                    </w:r>
                  </w:p>
                </w:tc>
                <w:tc>
                  <w:tcPr>
                    <w:tcW w:w="1147" w:type="pct"/>
                    <w:tcBorders>
                      <w:top w:val="outset" w:sz="4" w:space="0" w:color="auto"/>
                      <w:left w:val="outset" w:sz="4" w:space="0" w:color="auto"/>
                      <w:bottom w:val="outset" w:sz="4" w:space="0" w:color="auto"/>
                      <w:right w:val="outset" w:sz="4" w:space="0" w:color="auto"/>
                    </w:tcBorders>
                    <w:vAlign w:val="center"/>
                  </w:tcPr>
                  <w:p w:rsidR="005626C7" w:rsidRDefault="005626C7" w:rsidP="00B637B2">
                    <w:pPr>
                      <w:jc w:val="right"/>
                    </w:pPr>
                    <w:r w:rsidRPr="001214CD">
                      <w:t>-</w:t>
                    </w:r>
                  </w:p>
                </w:tc>
              </w:tr>
              <w:tr w:rsidR="005626C7" w:rsidTr="00B637B2">
                <w:sdt>
                  <w:sdtPr>
                    <w:tag w:val="_PLD_00f03153fc624284b3402147ccc07698"/>
                    <w:id w:val="1146934523"/>
                    <w:lock w:val="sdtLocked"/>
                  </w:sdtPr>
                  <w:sdtContent>
                    <w:tc>
                      <w:tcPr>
                        <w:tcW w:w="2166" w:type="pct"/>
                        <w:tcBorders>
                          <w:top w:val="outset" w:sz="4" w:space="0" w:color="auto"/>
                          <w:left w:val="outset" w:sz="4" w:space="0" w:color="auto"/>
                          <w:bottom w:val="outset" w:sz="4" w:space="0" w:color="auto"/>
                          <w:right w:val="outset" w:sz="4" w:space="0" w:color="auto"/>
                        </w:tcBorders>
                      </w:tcPr>
                      <w:p w:rsidR="005626C7" w:rsidRDefault="005626C7" w:rsidP="005626C7">
                        <w:pPr>
                          <w:ind w:firstLineChars="200" w:firstLine="420"/>
                          <w:rPr>
                            <w:color w:val="000000"/>
                            <w:szCs w:val="21"/>
                          </w:rPr>
                        </w:pPr>
                        <w:r>
                          <w:rPr>
                            <w:rFonts w:hint="eastAsia"/>
                            <w:szCs w:val="21"/>
                          </w:rPr>
                          <w:t>投资活动现金流出小计</w:t>
                        </w:r>
                      </w:p>
                    </w:tc>
                  </w:sdtContent>
                </w:sdt>
                <w:tc>
                  <w:tcPr>
                    <w:tcW w:w="563" w:type="pct"/>
                    <w:tcBorders>
                      <w:top w:val="outset" w:sz="4" w:space="0" w:color="auto"/>
                      <w:left w:val="outset" w:sz="4" w:space="0" w:color="auto"/>
                      <w:bottom w:val="outset" w:sz="4" w:space="0" w:color="auto"/>
                      <w:right w:val="outset" w:sz="4" w:space="0" w:color="auto"/>
                    </w:tcBorders>
                  </w:tcPr>
                  <w:p w:rsidR="005626C7" w:rsidRDefault="005626C7" w:rsidP="005626C7">
                    <w:pPr>
                      <w:rPr>
                        <w:szCs w:val="21"/>
                      </w:rPr>
                    </w:pPr>
                  </w:p>
                </w:tc>
                <w:tc>
                  <w:tcPr>
                    <w:tcW w:w="1124" w:type="pct"/>
                    <w:tcBorders>
                      <w:top w:val="outset" w:sz="4" w:space="0" w:color="auto"/>
                      <w:left w:val="outset" w:sz="4" w:space="0" w:color="auto"/>
                      <w:bottom w:val="outset" w:sz="4" w:space="0" w:color="auto"/>
                      <w:right w:val="outset" w:sz="4" w:space="0" w:color="auto"/>
                    </w:tcBorders>
                    <w:vAlign w:val="center"/>
                  </w:tcPr>
                  <w:p w:rsidR="005626C7" w:rsidRPr="00A4727E" w:rsidRDefault="005626C7" w:rsidP="00B637B2">
                    <w:pPr>
                      <w:jc w:val="right"/>
                    </w:pPr>
                    <w:r w:rsidRPr="00A4727E">
                      <w:t>2,400,136,373</w:t>
                    </w:r>
                  </w:p>
                </w:tc>
                <w:tc>
                  <w:tcPr>
                    <w:tcW w:w="1147" w:type="pct"/>
                    <w:tcBorders>
                      <w:top w:val="outset" w:sz="4" w:space="0" w:color="auto"/>
                      <w:left w:val="outset" w:sz="4" w:space="0" w:color="auto"/>
                      <w:bottom w:val="outset" w:sz="4" w:space="0" w:color="auto"/>
                      <w:right w:val="outset" w:sz="4" w:space="0" w:color="auto"/>
                    </w:tcBorders>
                    <w:vAlign w:val="center"/>
                  </w:tcPr>
                  <w:p w:rsidR="005626C7" w:rsidRPr="00A4727E" w:rsidRDefault="005626C7" w:rsidP="00B637B2">
                    <w:pPr>
                      <w:jc w:val="right"/>
                    </w:pPr>
                    <w:r w:rsidRPr="00A4727E">
                      <w:t>1,838,260,396</w:t>
                    </w:r>
                  </w:p>
                </w:tc>
              </w:tr>
              <w:tr w:rsidR="005626C7" w:rsidTr="00B637B2">
                <w:sdt>
                  <w:sdtPr>
                    <w:tag w:val="_PLD_42db552946874e118fb4a5282ca23bcb"/>
                    <w:id w:val="-133951009"/>
                    <w:lock w:val="sdtLocked"/>
                  </w:sdtPr>
                  <w:sdtContent>
                    <w:tc>
                      <w:tcPr>
                        <w:tcW w:w="2166" w:type="pct"/>
                        <w:tcBorders>
                          <w:top w:val="outset" w:sz="4" w:space="0" w:color="auto"/>
                          <w:left w:val="outset" w:sz="4" w:space="0" w:color="auto"/>
                          <w:bottom w:val="outset" w:sz="4" w:space="0" w:color="auto"/>
                          <w:right w:val="outset" w:sz="4" w:space="0" w:color="auto"/>
                        </w:tcBorders>
                      </w:tcPr>
                      <w:p w:rsidR="005626C7" w:rsidRDefault="005626C7" w:rsidP="005626C7">
                        <w:pPr>
                          <w:ind w:firstLineChars="300" w:firstLine="630"/>
                          <w:rPr>
                            <w:color w:val="000000"/>
                            <w:szCs w:val="21"/>
                          </w:rPr>
                        </w:pPr>
                        <w:r>
                          <w:rPr>
                            <w:rFonts w:hint="eastAsia"/>
                            <w:szCs w:val="21"/>
                          </w:rPr>
                          <w:t>投资活动产生的现金流量净额</w:t>
                        </w:r>
                      </w:p>
                    </w:tc>
                  </w:sdtContent>
                </w:sdt>
                <w:tc>
                  <w:tcPr>
                    <w:tcW w:w="563" w:type="pct"/>
                    <w:tcBorders>
                      <w:top w:val="outset" w:sz="4" w:space="0" w:color="auto"/>
                      <w:left w:val="outset" w:sz="4" w:space="0" w:color="auto"/>
                      <w:bottom w:val="outset" w:sz="4" w:space="0" w:color="auto"/>
                      <w:right w:val="outset" w:sz="4" w:space="0" w:color="auto"/>
                    </w:tcBorders>
                  </w:tcPr>
                  <w:p w:rsidR="005626C7" w:rsidRDefault="005626C7" w:rsidP="005626C7">
                    <w:pPr>
                      <w:rPr>
                        <w:szCs w:val="21"/>
                      </w:rPr>
                    </w:pPr>
                  </w:p>
                </w:tc>
                <w:tc>
                  <w:tcPr>
                    <w:tcW w:w="1124" w:type="pct"/>
                    <w:tcBorders>
                      <w:top w:val="outset" w:sz="4" w:space="0" w:color="auto"/>
                      <w:left w:val="outset" w:sz="4" w:space="0" w:color="auto"/>
                      <w:bottom w:val="outset" w:sz="4" w:space="0" w:color="auto"/>
                      <w:right w:val="outset" w:sz="4" w:space="0" w:color="auto"/>
                    </w:tcBorders>
                    <w:vAlign w:val="center"/>
                  </w:tcPr>
                  <w:p w:rsidR="005626C7" w:rsidRPr="00A4727E" w:rsidRDefault="005626C7" w:rsidP="00B637B2">
                    <w:pPr>
                      <w:jc w:val="right"/>
                    </w:pPr>
                    <w:r w:rsidRPr="00A4727E">
                      <w:t>-950,562,734</w:t>
                    </w:r>
                  </w:p>
                </w:tc>
                <w:tc>
                  <w:tcPr>
                    <w:tcW w:w="1147" w:type="pct"/>
                    <w:tcBorders>
                      <w:top w:val="outset" w:sz="4" w:space="0" w:color="auto"/>
                      <w:left w:val="outset" w:sz="4" w:space="0" w:color="auto"/>
                      <w:bottom w:val="outset" w:sz="4" w:space="0" w:color="auto"/>
                      <w:right w:val="outset" w:sz="4" w:space="0" w:color="auto"/>
                    </w:tcBorders>
                    <w:vAlign w:val="center"/>
                  </w:tcPr>
                  <w:p w:rsidR="005626C7" w:rsidRDefault="005626C7" w:rsidP="00B637B2">
                    <w:pPr>
                      <w:jc w:val="right"/>
                    </w:pPr>
                    <w:r w:rsidRPr="00A4727E">
                      <w:t>-290,187,853</w:t>
                    </w:r>
                  </w:p>
                </w:tc>
              </w:tr>
              <w:tr w:rsidR="00ED2DC7" w:rsidTr="00B637B2">
                <w:sdt>
                  <w:sdtPr>
                    <w:tag w:val="_PLD_0ebd9a8b5d8e4227a6bc3b0738379ef1"/>
                    <w:id w:val="-221061115"/>
                    <w:lock w:val="sdtLocked"/>
                  </w:sdtPr>
                  <w:sdtContent>
                    <w:tc>
                      <w:tcPr>
                        <w:tcW w:w="2166" w:type="pct"/>
                        <w:tcBorders>
                          <w:top w:val="outset" w:sz="4" w:space="0" w:color="auto"/>
                          <w:left w:val="outset" w:sz="4" w:space="0" w:color="auto"/>
                          <w:bottom w:val="outset" w:sz="4" w:space="0" w:color="auto"/>
                          <w:right w:val="outset" w:sz="4" w:space="0" w:color="auto"/>
                        </w:tcBorders>
                      </w:tcPr>
                      <w:p w:rsidR="00ED2DC7" w:rsidRDefault="00ED2DC7">
                        <w:pPr>
                          <w:rPr>
                            <w:color w:val="000000"/>
                            <w:szCs w:val="21"/>
                          </w:rPr>
                        </w:pPr>
                        <w:r>
                          <w:rPr>
                            <w:rFonts w:hint="eastAsia"/>
                            <w:b/>
                            <w:bCs/>
                            <w:szCs w:val="21"/>
                          </w:rPr>
                          <w:t>三、筹资活动产生的现金流量：</w:t>
                        </w:r>
                      </w:p>
                    </w:tc>
                  </w:sdtContent>
                </w:sdt>
                <w:tc>
                  <w:tcPr>
                    <w:tcW w:w="563" w:type="pct"/>
                    <w:tcBorders>
                      <w:top w:val="outset" w:sz="4" w:space="0" w:color="auto"/>
                      <w:left w:val="outset" w:sz="4" w:space="0" w:color="auto"/>
                      <w:bottom w:val="outset" w:sz="4" w:space="0" w:color="auto"/>
                      <w:right w:val="outset" w:sz="4" w:space="0" w:color="auto"/>
                    </w:tcBorders>
                  </w:tcPr>
                  <w:p w:rsidR="00ED2DC7" w:rsidRDefault="00ED2DC7">
                    <w:pPr>
                      <w:rPr>
                        <w:color w:val="008000"/>
                        <w:szCs w:val="21"/>
                      </w:rPr>
                    </w:pPr>
                  </w:p>
                </w:tc>
                <w:tc>
                  <w:tcPr>
                    <w:tcW w:w="1124" w:type="pct"/>
                    <w:tcBorders>
                      <w:top w:val="outset" w:sz="4" w:space="0" w:color="auto"/>
                      <w:left w:val="outset" w:sz="4" w:space="0" w:color="auto"/>
                      <w:bottom w:val="outset" w:sz="4" w:space="0" w:color="auto"/>
                      <w:right w:val="outset" w:sz="4" w:space="0" w:color="auto"/>
                    </w:tcBorders>
                    <w:vAlign w:val="center"/>
                  </w:tcPr>
                  <w:p w:rsidR="00ED2DC7" w:rsidRDefault="00ED2DC7" w:rsidP="00B637B2">
                    <w:pPr>
                      <w:jc w:val="right"/>
                      <w:rPr>
                        <w:color w:val="008000"/>
                        <w:szCs w:val="21"/>
                      </w:rPr>
                    </w:pPr>
                  </w:p>
                </w:tc>
                <w:tc>
                  <w:tcPr>
                    <w:tcW w:w="1147" w:type="pct"/>
                    <w:tcBorders>
                      <w:top w:val="outset" w:sz="4" w:space="0" w:color="auto"/>
                      <w:left w:val="outset" w:sz="4" w:space="0" w:color="auto"/>
                      <w:bottom w:val="outset" w:sz="4" w:space="0" w:color="auto"/>
                      <w:right w:val="outset" w:sz="4" w:space="0" w:color="auto"/>
                    </w:tcBorders>
                    <w:vAlign w:val="center"/>
                  </w:tcPr>
                  <w:p w:rsidR="00ED2DC7" w:rsidRDefault="00ED2DC7" w:rsidP="00B637B2">
                    <w:pPr>
                      <w:jc w:val="right"/>
                      <w:rPr>
                        <w:color w:val="008000"/>
                        <w:szCs w:val="21"/>
                      </w:rPr>
                    </w:pPr>
                  </w:p>
                </w:tc>
              </w:tr>
              <w:tr w:rsidR="005626C7" w:rsidTr="00B637B2">
                <w:sdt>
                  <w:sdtPr>
                    <w:tag w:val="_PLD_d87e16dcff524c8fab8d4804bc3560eb"/>
                    <w:id w:val="-1678966874"/>
                    <w:lock w:val="sdtLocked"/>
                  </w:sdtPr>
                  <w:sdtContent>
                    <w:tc>
                      <w:tcPr>
                        <w:tcW w:w="2166" w:type="pct"/>
                        <w:tcBorders>
                          <w:top w:val="outset" w:sz="4" w:space="0" w:color="auto"/>
                          <w:left w:val="outset" w:sz="4" w:space="0" w:color="auto"/>
                          <w:bottom w:val="outset" w:sz="4" w:space="0" w:color="auto"/>
                          <w:right w:val="outset" w:sz="4" w:space="0" w:color="auto"/>
                        </w:tcBorders>
                      </w:tcPr>
                      <w:p w:rsidR="005626C7" w:rsidRDefault="005626C7" w:rsidP="005626C7">
                        <w:pPr>
                          <w:ind w:firstLineChars="100" w:firstLine="210"/>
                          <w:rPr>
                            <w:color w:val="000000"/>
                            <w:szCs w:val="21"/>
                          </w:rPr>
                        </w:pPr>
                        <w:r>
                          <w:rPr>
                            <w:rFonts w:hint="eastAsia"/>
                            <w:szCs w:val="21"/>
                          </w:rPr>
                          <w:t>吸收投资收到的现金</w:t>
                        </w:r>
                      </w:p>
                    </w:tc>
                  </w:sdtContent>
                </w:sdt>
                <w:tc>
                  <w:tcPr>
                    <w:tcW w:w="563" w:type="pct"/>
                    <w:tcBorders>
                      <w:top w:val="outset" w:sz="4" w:space="0" w:color="auto"/>
                      <w:left w:val="outset" w:sz="4" w:space="0" w:color="auto"/>
                      <w:bottom w:val="outset" w:sz="4" w:space="0" w:color="auto"/>
                      <w:right w:val="outset" w:sz="4" w:space="0" w:color="auto"/>
                    </w:tcBorders>
                  </w:tcPr>
                  <w:p w:rsidR="005626C7" w:rsidRDefault="005626C7" w:rsidP="005626C7">
                    <w:pPr>
                      <w:rPr>
                        <w:szCs w:val="21"/>
                      </w:rPr>
                    </w:pPr>
                  </w:p>
                </w:tc>
                <w:tc>
                  <w:tcPr>
                    <w:tcW w:w="1124" w:type="pct"/>
                    <w:tcBorders>
                      <w:top w:val="outset" w:sz="4" w:space="0" w:color="auto"/>
                      <w:left w:val="outset" w:sz="4" w:space="0" w:color="auto"/>
                      <w:bottom w:val="outset" w:sz="4" w:space="0" w:color="auto"/>
                      <w:right w:val="outset" w:sz="4" w:space="0" w:color="auto"/>
                    </w:tcBorders>
                    <w:vAlign w:val="center"/>
                  </w:tcPr>
                  <w:p w:rsidR="005626C7" w:rsidRPr="00B2799D" w:rsidRDefault="005626C7" w:rsidP="00B637B2">
                    <w:pPr>
                      <w:jc w:val="right"/>
                    </w:pPr>
                    <w:r w:rsidRPr="00B2799D">
                      <w:t>9,000,000</w:t>
                    </w:r>
                  </w:p>
                </w:tc>
                <w:tc>
                  <w:tcPr>
                    <w:tcW w:w="1147" w:type="pct"/>
                    <w:tcBorders>
                      <w:top w:val="outset" w:sz="4" w:space="0" w:color="auto"/>
                      <w:left w:val="outset" w:sz="4" w:space="0" w:color="auto"/>
                      <w:bottom w:val="outset" w:sz="4" w:space="0" w:color="auto"/>
                      <w:right w:val="outset" w:sz="4" w:space="0" w:color="auto"/>
                    </w:tcBorders>
                    <w:vAlign w:val="center"/>
                  </w:tcPr>
                  <w:p w:rsidR="005626C7" w:rsidRPr="00B2799D" w:rsidRDefault="005626C7" w:rsidP="00B637B2">
                    <w:pPr>
                      <w:jc w:val="right"/>
                    </w:pPr>
                    <w:r w:rsidRPr="00B2799D">
                      <w:t>699,800</w:t>
                    </w:r>
                  </w:p>
                </w:tc>
              </w:tr>
              <w:tr w:rsidR="005626C7" w:rsidTr="00B637B2">
                <w:sdt>
                  <w:sdtPr>
                    <w:tag w:val="_PLD_58fd8ee113014f9584611dc39886caf7"/>
                    <w:id w:val="-304151576"/>
                    <w:lock w:val="sdtLocked"/>
                  </w:sdtPr>
                  <w:sdtContent>
                    <w:tc>
                      <w:tcPr>
                        <w:tcW w:w="2166" w:type="pct"/>
                        <w:tcBorders>
                          <w:top w:val="outset" w:sz="4" w:space="0" w:color="auto"/>
                          <w:left w:val="outset" w:sz="4" w:space="0" w:color="auto"/>
                          <w:bottom w:val="outset" w:sz="4" w:space="0" w:color="auto"/>
                          <w:right w:val="outset" w:sz="4" w:space="0" w:color="auto"/>
                        </w:tcBorders>
                      </w:tcPr>
                      <w:p w:rsidR="005626C7" w:rsidRDefault="005626C7" w:rsidP="005626C7">
                        <w:pPr>
                          <w:ind w:firstLineChars="100" w:firstLine="210"/>
                          <w:rPr>
                            <w:color w:val="000000"/>
                            <w:szCs w:val="21"/>
                          </w:rPr>
                        </w:pPr>
                        <w:r>
                          <w:rPr>
                            <w:rFonts w:hint="eastAsia"/>
                            <w:szCs w:val="21"/>
                          </w:rPr>
                          <w:t>其中：子公司吸收少数股东投资收到的现金</w:t>
                        </w:r>
                      </w:p>
                    </w:tc>
                  </w:sdtContent>
                </w:sdt>
                <w:tc>
                  <w:tcPr>
                    <w:tcW w:w="563" w:type="pct"/>
                    <w:tcBorders>
                      <w:top w:val="outset" w:sz="4" w:space="0" w:color="auto"/>
                      <w:left w:val="outset" w:sz="4" w:space="0" w:color="auto"/>
                      <w:bottom w:val="outset" w:sz="4" w:space="0" w:color="auto"/>
                      <w:right w:val="outset" w:sz="4" w:space="0" w:color="auto"/>
                    </w:tcBorders>
                  </w:tcPr>
                  <w:p w:rsidR="005626C7" w:rsidRDefault="005626C7" w:rsidP="005626C7">
                    <w:pPr>
                      <w:rPr>
                        <w:szCs w:val="21"/>
                      </w:rPr>
                    </w:pPr>
                  </w:p>
                </w:tc>
                <w:tc>
                  <w:tcPr>
                    <w:tcW w:w="1124" w:type="pct"/>
                    <w:tcBorders>
                      <w:top w:val="outset" w:sz="4" w:space="0" w:color="auto"/>
                      <w:left w:val="outset" w:sz="4" w:space="0" w:color="auto"/>
                      <w:bottom w:val="outset" w:sz="4" w:space="0" w:color="auto"/>
                      <w:right w:val="outset" w:sz="4" w:space="0" w:color="auto"/>
                    </w:tcBorders>
                    <w:vAlign w:val="center"/>
                  </w:tcPr>
                  <w:p w:rsidR="005626C7" w:rsidRPr="00B2799D" w:rsidRDefault="005626C7" w:rsidP="00B637B2">
                    <w:pPr>
                      <w:jc w:val="right"/>
                    </w:pPr>
                    <w:r w:rsidRPr="00B2799D">
                      <w:t>9,000,000</w:t>
                    </w:r>
                  </w:p>
                </w:tc>
                <w:tc>
                  <w:tcPr>
                    <w:tcW w:w="1147" w:type="pct"/>
                    <w:tcBorders>
                      <w:top w:val="outset" w:sz="4" w:space="0" w:color="auto"/>
                      <w:left w:val="outset" w:sz="4" w:space="0" w:color="auto"/>
                      <w:bottom w:val="outset" w:sz="4" w:space="0" w:color="auto"/>
                      <w:right w:val="outset" w:sz="4" w:space="0" w:color="auto"/>
                    </w:tcBorders>
                    <w:vAlign w:val="center"/>
                  </w:tcPr>
                  <w:p w:rsidR="005626C7" w:rsidRDefault="005626C7" w:rsidP="00B637B2">
                    <w:pPr>
                      <w:jc w:val="right"/>
                    </w:pPr>
                    <w:r w:rsidRPr="00B2799D">
                      <w:t>-</w:t>
                    </w:r>
                  </w:p>
                </w:tc>
              </w:tr>
              <w:tr w:rsidR="005626C7" w:rsidTr="00B637B2">
                <w:sdt>
                  <w:sdtPr>
                    <w:tag w:val="_PLD_10190b07f720484f9e0102359e7978d3"/>
                    <w:id w:val="493611717"/>
                    <w:lock w:val="sdtLocked"/>
                  </w:sdtPr>
                  <w:sdtContent>
                    <w:tc>
                      <w:tcPr>
                        <w:tcW w:w="2166" w:type="pct"/>
                        <w:tcBorders>
                          <w:top w:val="outset" w:sz="4" w:space="0" w:color="auto"/>
                          <w:left w:val="outset" w:sz="4" w:space="0" w:color="auto"/>
                          <w:bottom w:val="outset" w:sz="4" w:space="0" w:color="auto"/>
                          <w:right w:val="outset" w:sz="4" w:space="0" w:color="auto"/>
                        </w:tcBorders>
                      </w:tcPr>
                      <w:p w:rsidR="005626C7" w:rsidRDefault="005626C7" w:rsidP="005626C7">
                        <w:pPr>
                          <w:ind w:firstLineChars="100" w:firstLine="210"/>
                          <w:rPr>
                            <w:color w:val="000000"/>
                            <w:szCs w:val="21"/>
                          </w:rPr>
                        </w:pPr>
                        <w:r>
                          <w:rPr>
                            <w:rFonts w:hint="eastAsia"/>
                            <w:szCs w:val="21"/>
                          </w:rPr>
                          <w:t>取得借款收到的现金</w:t>
                        </w:r>
                      </w:p>
                    </w:tc>
                  </w:sdtContent>
                </w:sdt>
                <w:tc>
                  <w:tcPr>
                    <w:tcW w:w="563" w:type="pct"/>
                    <w:tcBorders>
                      <w:top w:val="outset" w:sz="4" w:space="0" w:color="auto"/>
                      <w:left w:val="outset" w:sz="4" w:space="0" w:color="auto"/>
                      <w:bottom w:val="outset" w:sz="4" w:space="0" w:color="auto"/>
                      <w:right w:val="outset" w:sz="4" w:space="0" w:color="auto"/>
                    </w:tcBorders>
                  </w:tcPr>
                  <w:p w:rsidR="005626C7" w:rsidRDefault="005626C7" w:rsidP="005626C7">
                    <w:pPr>
                      <w:rPr>
                        <w:szCs w:val="21"/>
                      </w:rPr>
                    </w:pPr>
                  </w:p>
                </w:tc>
                <w:tc>
                  <w:tcPr>
                    <w:tcW w:w="1124" w:type="pct"/>
                    <w:tcBorders>
                      <w:top w:val="outset" w:sz="4" w:space="0" w:color="auto"/>
                      <w:left w:val="outset" w:sz="4" w:space="0" w:color="auto"/>
                      <w:bottom w:val="outset" w:sz="4" w:space="0" w:color="auto"/>
                      <w:right w:val="outset" w:sz="4" w:space="0" w:color="auto"/>
                    </w:tcBorders>
                    <w:vAlign w:val="center"/>
                  </w:tcPr>
                  <w:p w:rsidR="005626C7" w:rsidRPr="001D6FEF" w:rsidRDefault="005626C7" w:rsidP="00B637B2">
                    <w:pPr>
                      <w:jc w:val="right"/>
                    </w:pPr>
                    <w:r w:rsidRPr="001D6FEF">
                      <w:t>3,331,000,000</w:t>
                    </w:r>
                  </w:p>
                </w:tc>
                <w:tc>
                  <w:tcPr>
                    <w:tcW w:w="1147" w:type="pct"/>
                    <w:tcBorders>
                      <w:top w:val="outset" w:sz="4" w:space="0" w:color="auto"/>
                      <w:left w:val="outset" w:sz="4" w:space="0" w:color="auto"/>
                      <w:bottom w:val="outset" w:sz="4" w:space="0" w:color="auto"/>
                      <w:right w:val="outset" w:sz="4" w:space="0" w:color="auto"/>
                    </w:tcBorders>
                    <w:vAlign w:val="center"/>
                  </w:tcPr>
                  <w:p w:rsidR="005626C7" w:rsidRDefault="005626C7" w:rsidP="00B637B2">
                    <w:pPr>
                      <w:jc w:val="right"/>
                    </w:pPr>
                    <w:r w:rsidRPr="001D6FEF">
                      <w:t>3,117,060,000</w:t>
                    </w:r>
                  </w:p>
                </w:tc>
              </w:tr>
              <w:tr w:rsidR="005626C7" w:rsidTr="00B637B2">
                <w:sdt>
                  <w:sdtPr>
                    <w:tag w:val="_PLD_0131b50b13224ff9a17975cd3b567f1c"/>
                    <w:id w:val="89669942"/>
                    <w:lock w:val="sdtLocked"/>
                  </w:sdtPr>
                  <w:sdtContent>
                    <w:tc>
                      <w:tcPr>
                        <w:tcW w:w="2166" w:type="pct"/>
                        <w:tcBorders>
                          <w:top w:val="outset" w:sz="4" w:space="0" w:color="auto"/>
                          <w:left w:val="outset" w:sz="4" w:space="0" w:color="auto"/>
                          <w:bottom w:val="outset" w:sz="4" w:space="0" w:color="auto"/>
                          <w:right w:val="outset" w:sz="4" w:space="0" w:color="auto"/>
                        </w:tcBorders>
                      </w:tcPr>
                      <w:p w:rsidR="005626C7" w:rsidRDefault="005626C7" w:rsidP="005626C7">
                        <w:pPr>
                          <w:ind w:firstLineChars="100" w:firstLine="210"/>
                          <w:rPr>
                            <w:color w:val="000000"/>
                            <w:szCs w:val="21"/>
                          </w:rPr>
                        </w:pPr>
                        <w:r>
                          <w:rPr>
                            <w:rFonts w:hint="eastAsia"/>
                            <w:szCs w:val="21"/>
                          </w:rPr>
                          <w:t>发行债券收到的现金</w:t>
                        </w:r>
                      </w:p>
                    </w:tc>
                  </w:sdtContent>
                </w:sdt>
                <w:tc>
                  <w:tcPr>
                    <w:tcW w:w="563" w:type="pct"/>
                    <w:tcBorders>
                      <w:top w:val="outset" w:sz="4" w:space="0" w:color="auto"/>
                      <w:left w:val="outset" w:sz="4" w:space="0" w:color="auto"/>
                      <w:bottom w:val="outset" w:sz="4" w:space="0" w:color="auto"/>
                      <w:right w:val="outset" w:sz="4" w:space="0" w:color="auto"/>
                    </w:tcBorders>
                  </w:tcPr>
                  <w:p w:rsidR="005626C7" w:rsidRDefault="005626C7" w:rsidP="005626C7">
                    <w:pPr>
                      <w:rPr>
                        <w:szCs w:val="21"/>
                      </w:rPr>
                    </w:pPr>
                  </w:p>
                </w:tc>
                <w:tc>
                  <w:tcPr>
                    <w:tcW w:w="1124" w:type="pct"/>
                    <w:tcBorders>
                      <w:top w:val="outset" w:sz="4" w:space="0" w:color="auto"/>
                      <w:left w:val="outset" w:sz="4" w:space="0" w:color="auto"/>
                      <w:bottom w:val="outset" w:sz="4" w:space="0" w:color="auto"/>
                      <w:right w:val="outset" w:sz="4" w:space="0" w:color="auto"/>
                    </w:tcBorders>
                    <w:vAlign w:val="center"/>
                  </w:tcPr>
                  <w:p w:rsidR="005626C7" w:rsidRPr="006A1F6B" w:rsidRDefault="005626C7" w:rsidP="00B637B2">
                    <w:pPr>
                      <w:jc w:val="right"/>
                    </w:pPr>
                    <w:r w:rsidRPr="006A1F6B">
                      <w:t>-</w:t>
                    </w:r>
                  </w:p>
                </w:tc>
                <w:tc>
                  <w:tcPr>
                    <w:tcW w:w="1147" w:type="pct"/>
                    <w:tcBorders>
                      <w:top w:val="outset" w:sz="4" w:space="0" w:color="auto"/>
                      <w:left w:val="outset" w:sz="4" w:space="0" w:color="auto"/>
                      <w:bottom w:val="outset" w:sz="4" w:space="0" w:color="auto"/>
                      <w:right w:val="outset" w:sz="4" w:space="0" w:color="auto"/>
                    </w:tcBorders>
                    <w:vAlign w:val="center"/>
                  </w:tcPr>
                  <w:p w:rsidR="005626C7" w:rsidRPr="006A1F6B" w:rsidRDefault="005626C7" w:rsidP="00B637B2">
                    <w:pPr>
                      <w:jc w:val="right"/>
                    </w:pPr>
                    <w:r w:rsidRPr="006A1F6B">
                      <w:t>-</w:t>
                    </w:r>
                  </w:p>
                </w:tc>
              </w:tr>
              <w:tr w:rsidR="005626C7" w:rsidTr="00B637B2">
                <w:sdt>
                  <w:sdtPr>
                    <w:tag w:val="_PLD_a7831604962849fb93fa8d17ab106c5b"/>
                    <w:id w:val="435481530"/>
                    <w:lock w:val="sdtLocked"/>
                  </w:sdtPr>
                  <w:sdtContent>
                    <w:tc>
                      <w:tcPr>
                        <w:tcW w:w="2166" w:type="pct"/>
                        <w:tcBorders>
                          <w:top w:val="outset" w:sz="4" w:space="0" w:color="auto"/>
                          <w:left w:val="outset" w:sz="4" w:space="0" w:color="auto"/>
                          <w:bottom w:val="outset" w:sz="4" w:space="0" w:color="auto"/>
                          <w:right w:val="outset" w:sz="4" w:space="0" w:color="auto"/>
                        </w:tcBorders>
                      </w:tcPr>
                      <w:p w:rsidR="005626C7" w:rsidRDefault="005626C7" w:rsidP="005626C7">
                        <w:pPr>
                          <w:ind w:firstLineChars="100" w:firstLine="210"/>
                          <w:rPr>
                            <w:color w:val="000000"/>
                            <w:szCs w:val="21"/>
                          </w:rPr>
                        </w:pPr>
                        <w:r>
                          <w:rPr>
                            <w:rFonts w:hint="eastAsia"/>
                            <w:szCs w:val="21"/>
                          </w:rPr>
                          <w:t>收到其他与筹资活动有关的现金</w:t>
                        </w:r>
                      </w:p>
                    </w:tc>
                  </w:sdtContent>
                </w:sdt>
                <w:tc>
                  <w:tcPr>
                    <w:tcW w:w="563" w:type="pct"/>
                    <w:tcBorders>
                      <w:top w:val="outset" w:sz="4" w:space="0" w:color="auto"/>
                      <w:left w:val="outset" w:sz="4" w:space="0" w:color="auto"/>
                      <w:bottom w:val="outset" w:sz="4" w:space="0" w:color="auto"/>
                      <w:right w:val="outset" w:sz="4" w:space="0" w:color="auto"/>
                    </w:tcBorders>
                  </w:tcPr>
                  <w:p w:rsidR="005626C7" w:rsidRDefault="005626C7" w:rsidP="005626C7">
                    <w:pPr>
                      <w:rPr>
                        <w:szCs w:val="21"/>
                      </w:rPr>
                    </w:pPr>
                  </w:p>
                </w:tc>
                <w:tc>
                  <w:tcPr>
                    <w:tcW w:w="1124" w:type="pct"/>
                    <w:tcBorders>
                      <w:top w:val="outset" w:sz="4" w:space="0" w:color="auto"/>
                      <w:left w:val="outset" w:sz="4" w:space="0" w:color="auto"/>
                      <w:bottom w:val="outset" w:sz="4" w:space="0" w:color="auto"/>
                      <w:right w:val="outset" w:sz="4" w:space="0" w:color="auto"/>
                    </w:tcBorders>
                    <w:vAlign w:val="center"/>
                  </w:tcPr>
                  <w:p w:rsidR="005626C7" w:rsidRPr="006A1F6B" w:rsidRDefault="005626C7" w:rsidP="00B637B2">
                    <w:pPr>
                      <w:jc w:val="right"/>
                    </w:pPr>
                    <w:r w:rsidRPr="006A1F6B">
                      <w:t>-</w:t>
                    </w:r>
                  </w:p>
                </w:tc>
                <w:tc>
                  <w:tcPr>
                    <w:tcW w:w="1147" w:type="pct"/>
                    <w:tcBorders>
                      <w:top w:val="outset" w:sz="4" w:space="0" w:color="auto"/>
                      <w:left w:val="outset" w:sz="4" w:space="0" w:color="auto"/>
                      <w:bottom w:val="outset" w:sz="4" w:space="0" w:color="auto"/>
                      <w:right w:val="outset" w:sz="4" w:space="0" w:color="auto"/>
                    </w:tcBorders>
                    <w:vAlign w:val="center"/>
                  </w:tcPr>
                  <w:p w:rsidR="005626C7" w:rsidRDefault="005626C7" w:rsidP="00B637B2">
                    <w:pPr>
                      <w:jc w:val="right"/>
                    </w:pPr>
                    <w:r w:rsidRPr="006A1F6B">
                      <w:t>-</w:t>
                    </w:r>
                  </w:p>
                </w:tc>
              </w:tr>
              <w:tr w:rsidR="005626C7" w:rsidTr="00B637B2">
                <w:sdt>
                  <w:sdtPr>
                    <w:tag w:val="_PLD_c926a46349eb4b56bdbb2f2f944e8881"/>
                    <w:id w:val="-1564710974"/>
                    <w:lock w:val="sdtLocked"/>
                  </w:sdtPr>
                  <w:sdtContent>
                    <w:tc>
                      <w:tcPr>
                        <w:tcW w:w="2166" w:type="pct"/>
                        <w:tcBorders>
                          <w:top w:val="outset" w:sz="4" w:space="0" w:color="auto"/>
                          <w:left w:val="outset" w:sz="4" w:space="0" w:color="auto"/>
                          <w:bottom w:val="outset" w:sz="4" w:space="0" w:color="auto"/>
                          <w:right w:val="outset" w:sz="4" w:space="0" w:color="auto"/>
                        </w:tcBorders>
                      </w:tcPr>
                      <w:p w:rsidR="005626C7" w:rsidRDefault="005626C7" w:rsidP="005626C7">
                        <w:pPr>
                          <w:ind w:firstLineChars="200" w:firstLine="420"/>
                          <w:rPr>
                            <w:color w:val="000000"/>
                            <w:szCs w:val="21"/>
                          </w:rPr>
                        </w:pPr>
                        <w:r>
                          <w:rPr>
                            <w:rFonts w:hint="eastAsia"/>
                            <w:szCs w:val="21"/>
                          </w:rPr>
                          <w:t>筹资活动现金流入小计</w:t>
                        </w:r>
                      </w:p>
                    </w:tc>
                  </w:sdtContent>
                </w:sdt>
                <w:tc>
                  <w:tcPr>
                    <w:tcW w:w="563" w:type="pct"/>
                    <w:tcBorders>
                      <w:top w:val="outset" w:sz="4" w:space="0" w:color="auto"/>
                      <w:left w:val="outset" w:sz="4" w:space="0" w:color="auto"/>
                      <w:bottom w:val="outset" w:sz="4" w:space="0" w:color="auto"/>
                      <w:right w:val="outset" w:sz="4" w:space="0" w:color="auto"/>
                    </w:tcBorders>
                  </w:tcPr>
                  <w:p w:rsidR="005626C7" w:rsidRDefault="005626C7" w:rsidP="005626C7">
                    <w:pPr>
                      <w:rPr>
                        <w:szCs w:val="21"/>
                      </w:rPr>
                    </w:pPr>
                  </w:p>
                </w:tc>
                <w:tc>
                  <w:tcPr>
                    <w:tcW w:w="1124" w:type="pct"/>
                    <w:tcBorders>
                      <w:top w:val="outset" w:sz="4" w:space="0" w:color="auto"/>
                      <w:left w:val="outset" w:sz="4" w:space="0" w:color="auto"/>
                      <w:bottom w:val="outset" w:sz="4" w:space="0" w:color="auto"/>
                      <w:right w:val="outset" w:sz="4" w:space="0" w:color="auto"/>
                    </w:tcBorders>
                    <w:vAlign w:val="center"/>
                  </w:tcPr>
                  <w:p w:rsidR="005626C7" w:rsidRPr="00EE6EE8" w:rsidRDefault="005626C7" w:rsidP="00B637B2">
                    <w:pPr>
                      <w:jc w:val="right"/>
                    </w:pPr>
                    <w:r w:rsidRPr="00EE6EE8">
                      <w:t>3,340,000,000</w:t>
                    </w:r>
                  </w:p>
                </w:tc>
                <w:tc>
                  <w:tcPr>
                    <w:tcW w:w="1147" w:type="pct"/>
                    <w:tcBorders>
                      <w:top w:val="outset" w:sz="4" w:space="0" w:color="auto"/>
                      <w:left w:val="outset" w:sz="4" w:space="0" w:color="auto"/>
                      <w:bottom w:val="outset" w:sz="4" w:space="0" w:color="auto"/>
                      <w:right w:val="outset" w:sz="4" w:space="0" w:color="auto"/>
                    </w:tcBorders>
                    <w:vAlign w:val="center"/>
                  </w:tcPr>
                  <w:p w:rsidR="005626C7" w:rsidRDefault="005626C7" w:rsidP="00B637B2">
                    <w:pPr>
                      <w:jc w:val="right"/>
                    </w:pPr>
                    <w:r w:rsidRPr="00EE6EE8">
                      <w:t>3,117,759,800</w:t>
                    </w:r>
                  </w:p>
                </w:tc>
              </w:tr>
              <w:tr w:rsidR="00DA3A1D" w:rsidTr="00B637B2">
                <w:sdt>
                  <w:sdtPr>
                    <w:tag w:val="_PLD_7137864a3db342b2affb93d91fc42d1a"/>
                    <w:id w:val="-420643673"/>
                    <w:lock w:val="sdtLocked"/>
                  </w:sdtPr>
                  <w:sdtContent>
                    <w:tc>
                      <w:tcPr>
                        <w:tcW w:w="2166" w:type="pct"/>
                        <w:tcBorders>
                          <w:top w:val="outset" w:sz="4" w:space="0" w:color="auto"/>
                          <w:left w:val="outset" w:sz="4" w:space="0" w:color="auto"/>
                          <w:bottom w:val="outset" w:sz="4" w:space="0" w:color="auto"/>
                          <w:right w:val="outset" w:sz="4" w:space="0" w:color="auto"/>
                        </w:tcBorders>
                      </w:tcPr>
                      <w:p w:rsidR="00DA3A1D" w:rsidRDefault="00DA3A1D" w:rsidP="00DA3A1D">
                        <w:pPr>
                          <w:ind w:firstLineChars="100" w:firstLine="210"/>
                          <w:rPr>
                            <w:color w:val="000000"/>
                            <w:szCs w:val="21"/>
                          </w:rPr>
                        </w:pPr>
                        <w:r>
                          <w:rPr>
                            <w:rFonts w:hint="eastAsia"/>
                            <w:szCs w:val="21"/>
                          </w:rPr>
                          <w:t>偿还债务支付的现金</w:t>
                        </w:r>
                      </w:p>
                    </w:tc>
                  </w:sdtContent>
                </w:sdt>
                <w:tc>
                  <w:tcPr>
                    <w:tcW w:w="563" w:type="pct"/>
                    <w:tcBorders>
                      <w:top w:val="outset" w:sz="4" w:space="0" w:color="auto"/>
                      <w:left w:val="outset" w:sz="4" w:space="0" w:color="auto"/>
                      <w:bottom w:val="outset" w:sz="4" w:space="0" w:color="auto"/>
                      <w:right w:val="outset" w:sz="4" w:space="0" w:color="auto"/>
                    </w:tcBorders>
                  </w:tcPr>
                  <w:p w:rsidR="00DA3A1D" w:rsidRDefault="00DA3A1D" w:rsidP="00DA3A1D">
                    <w:pPr>
                      <w:rPr>
                        <w:szCs w:val="21"/>
                      </w:rPr>
                    </w:pPr>
                  </w:p>
                </w:tc>
                <w:tc>
                  <w:tcPr>
                    <w:tcW w:w="1124" w:type="pct"/>
                    <w:tcBorders>
                      <w:top w:val="outset" w:sz="4" w:space="0" w:color="auto"/>
                      <w:left w:val="outset" w:sz="4" w:space="0" w:color="auto"/>
                      <w:bottom w:val="outset" w:sz="4" w:space="0" w:color="auto"/>
                      <w:right w:val="outset" w:sz="4" w:space="0" w:color="auto"/>
                    </w:tcBorders>
                    <w:vAlign w:val="center"/>
                  </w:tcPr>
                  <w:p w:rsidR="00DA3A1D" w:rsidRPr="00972E84" w:rsidRDefault="00DA3A1D" w:rsidP="00B637B2">
                    <w:pPr>
                      <w:jc w:val="right"/>
                    </w:pPr>
                    <w:r w:rsidRPr="00972E84">
                      <w:t>2,267,197,891</w:t>
                    </w:r>
                  </w:p>
                </w:tc>
                <w:tc>
                  <w:tcPr>
                    <w:tcW w:w="1147" w:type="pct"/>
                    <w:tcBorders>
                      <w:top w:val="outset" w:sz="4" w:space="0" w:color="auto"/>
                      <w:left w:val="outset" w:sz="4" w:space="0" w:color="auto"/>
                      <w:bottom w:val="outset" w:sz="4" w:space="0" w:color="auto"/>
                      <w:right w:val="outset" w:sz="4" w:space="0" w:color="auto"/>
                    </w:tcBorders>
                    <w:vAlign w:val="center"/>
                  </w:tcPr>
                  <w:p w:rsidR="00DA3A1D" w:rsidRDefault="00DA3A1D" w:rsidP="00B637B2">
                    <w:pPr>
                      <w:jc w:val="right"/>
                    </w:pPr>
                    <w:r w:rsidRPr="00972E84">
                      <w:t>2,868,905,734</w:t>
                    </w:r>
                  </w:p>
                </w:tc>
              </w:tr>
              <w:tr w:rsidR="00DA3A1D" w:rsidTr="00B637B2">
                <w:sdt>
                  <w:sdtPr>
                    <w:tag w:val="_PLD_32a887dda27749eebf9088b00cfe1966"/>
                    <w:id w:val="1804808065"/>
                    <w:lock w:val="sdtLocked"/>
                  </w:sdtPr>
                  <w:sdtContent>
                    <w:tc>
                      <w:tcPr>
                        <w:tcW w:w="2166" w:type="pct"/>
                        <w:tcBorders>
                          <w:top w:val="outset" w:sz="4" w:space="0" w:color="auto"/>
                          <w:left w:val="outset" w:sz="4" w:space="0" w:color="auto"/>
                          <w:bottom w:val="outset" w:sz="4" w:space="0" w:color="auto"/>
                          <w:right w:val="outset" w:sz="4" w:space="0" w:color="auto"/>
                        </w:tcBorders>
                      </w:tcPr>
                      <w:p w:rsidR="00DA3A1D" w:rsidRDefault="00DA3A1D" w:rsidP="00DA3A1D">
                        <w:pPr>
                          <w:ind w:firstLineChars="100" w:firstLine="210"/>
                          <w:rPr>
                            <w:szCs w:val="21"/>
                          </w:rPr>
                        </w:pPr>
                        <w:r>
                          <w:rPr>
                            <w:rFonts w:hint="eastAsia"/>
                            <w:szCs w:val="21"/>
                          </w:rPr>
                          <w:t>分配股利、利润或偿付利息支付的现金</w:t>
                        </w:r>
                      </w:p>
                    </w:tc>
                  </w:sdtContent>
                </w:sdt>
                <w:tc>
                  <w:tcPr>
                    <w:tcW w:w="563" w:type="pct"/>
                    <w:tcBorders>
                      <w:top w:val="outset" w:sz="4" w:space="0" w:color="auto"/>
                      <w:left w:val="outset" w:sz="4" w:space="0" w:color="auto"/>
                      <w:bottom w:val="outset" w:sz="4" w:space="0" w:color="auto"/>
                      <w:right w:val="outset" w:sz="4" w:space="0" w:color="auto"/>
                    </w:tcBorders>
                  </w:tcPr>
                  <w:p w:rsidR="00DA3A1D" w:rsidRDefault="00DA3A1D" w:rsidP="00DA3A1D">
                    <w:pPr>
                      <w:rPr>
                        <w:szCs w:val="21"/>
                      </w:rPr>
                    </w:pPr>
                  </w:p>
                </w:tc>
                <w:tc>
                  <w:tcPr>
                    <w:tcW w:w="1124" w:type="pct"/>
                    <w:tcBorders>
                      <w:top w:val="outset" w:sz="4" w:space="0" w:color="auto"/>
                      <w:left w:val="outset" w:sz="4" w:space="0" w:color="auto"/>
                      <w:bottom w:val="outset" w:sz="4" w:space="0" w:color="auto"/>
                      <w:right w:val="outset" w:sz="4" w:space="0" w:color="auto"/>
                    </w:tcBorders>
                    <w:vAlign w:val="center"/>
                  </w:tcPr>
                  <w:p w:rsidR="00DA3A1D" w:rsidRPr="00857EFA" w:rsidRDefault="00DA3A1D" w:rsidP="00B637B2">
                    <w:pPr>
                      <w:jc w:val="right"/>
                    </w:pPr>
                    <w:r w:rsidRPr="00857EFA">
                      <w:t>650,675,921</w:t>
                    </w:r>
                  </w:p>
                </w:tc>
                <w:tc>
                  <w:tcPr>
                    <w:tcW w:w="1147" w:type="pct"/>
                    <w:tcBorders>
                      <w:top w:val="outset" w:sz="4" w:space="0" w:color="auto"/>
                      <w:left w:val="outset" w:sz="4" w:space="0" w:color="auto"/>
                      <w:bottom w:val="outset" w:sz="4" w:space="0" w:color="auto"/>
                      <w:right w:val="outset" w:sz="4" w:space="0" w:color="auto"/>
                    </w:tcBorders>
                    <w:vAlign w:val="center"/>
                  </w:tcPr>
                  <w:p w:rsidR="00DA3A1D" w:rsidRDefault="00DA3A1D" w:rsidP="00B637B2">
                    <w:pPr>
                      <w:jc w:val="right"/>
                    </w:pPr>
                    <w:r w:rsidRPr="00857EFA">
                      <w:t>399,910,071</w:t>
                    </w:r>
                  </w:p>
                </w:tc>
              </w:tr>
              <w:tr w:rsidR="00DA3A1D" w:rsidTr="00B637B2">
                <w:sdt>
                  <w:sdtPr>
                    <w:tag w:val="_PLD_0b8d07de199a4a5dbc96c42e4c1ed665"/>
                    <w:id w:val="-1482221163"/>
                    <w:lock w:val="sdtLocked"/>
                  </w:sdtPr>
                  <w:sdtContent>
                    <w:tc>
                      <w:tcPr>
                        <w:tcW w:w="2166" w:type="pct"/>
                        <w:tcBorders>
                          <w:top w:val="outset" w:sz="4" w:space="0" w:color="auto"/>
                          <w:left w:val="outset" w:sz="4" w:space="0" w:color="auto"/>
                          <w:bottom w:val="outset" w:sz="4" w:space="0" w:color="auto"/>
                          <w:right w:val="outset" w:sz="4" w:space="0" w:color="auto"/>
                        </w:tcBorders>
                      </w:tcPr>
                      <w:p w:rsidR="00DA3A1D" w:rsidRDefault="00DA3A1D" w:rsidP="00DA3A1D">
                        <w:pPr>
                          <w:ind w:firstLineChars="100" w:firstLine="210"/>
                          <w:rPr>
                            <w:szCs w:val="21"/>
                          </w:rPr>
                        </w:pPr>
                        <w:r>
                          <w:rPr>
                            <w:rFonts w:hint="eastAsia"/>
                            <w:szCs w:val="21"/>
                          </w:rPr>
                          <w:t>其中：子公司支付给少数股东的股利、利润</w:t>
                        </w:r>
                      </w:p>
                    </w:tc>
                  </w:sdtContent>
                </w:sdt>
                <w:tc>
                  <w:tcPr>
                    <w:tcW w:w="563" w:type="pct"/>
                    <w:tcBorders>
                      <w:top w:val="outset" w:sz="4" w:space="0" w:color="auto"/>
                      <w:left w:val="outset" w:sz="4" w:space="0" w:color="auto"/>
                      <w:bottom w:val="outset" w:sz="4" w:space="0" w:color="auto"/>
                      <w:right w:val="outset" w:sz="4" w:space="0" w:color="auto"/>
                    </w:tcBorders>
                  </w:tcPr>
                  <w:p w:rsidR="00DA3A1D" w:rsidRDefault="00DA3A1D" w:rsidP="00DA3A1D">
                    <w:pPr>
                      <w:rPr>
                        <w:szCs w:val="21"/>
                      </w:rPr>
                    </w:pPr>
                  </w:p>
                </w:tc>
                <w:tc>
                  <w:tcPr>
                    <w:tcW w:w="1124" w:type="pct"/>
                    <w:tcBorders>
                      <w:top w:val="outset" w:sz="4" w:space="0" w:color="auto"/>
                      <w:left w:val="outset" w:sz="4" w:space="0" w:color="auto"/>
                      <w:bottom w:val="outset" w:sz="4" w:space="0" w:color="auto"/>
                      <w:right w:val="outset" w:sz="4" w:space="0" w:color="auto"/>
                    </w:tcBorders>
                    <w:vAlign w:val="center"/>
                  </w:tcPr>
                  <w:p w:rsidR="00DA3A1D" w:rsidRPr="00216086" w:rsidRDefault="00DA3A1D" w:rsidP="00B637B2">
                    <w:pPr>
                      <w:jc w:val="right"/>
                    </w:pPr>
                    <w:r w:rsidRPr="00216086">
                      <w:t>91,279,928</w:t>
                    </w:r>
                  </w:p>
                </w:tc>
                <w:tc>
                  <w:tcPr>
                    <w:tcW w:w="1147" w:type="pct"/>
                    <w:tcBorders>
                      <w:top w:val="outset" w:sz="4" w:space="0" w:color="auto"/>
                      <w:left w:val="outset" w:sz="4" w:space="0" w:color="auto"/>
                      <w:bottom w:val="outset" w:sz="4" w:space="0" w:color="auto"/>
                      <w:right w:val="outset" w:sz="4" w:space="0" w:color="auto"/>
                    </w:tcBorders>
                    <w:vAlign w:val="center"/>
                  </w:tcPr>
                  <w:p w:rsidR="00DA3A1D" w:rsidRDefault="00B637B2" w:rsidP="00B637B2">
                    <w:pPr>
                      <w:jc w:val="right"/>
                    </w:pPr>
                    <w:r>
                      <w:rPr>
                        <w:rFonts w:hint="eastAsia"/>
                      </w:rPr>
                      <w:t>96,786,402</w:t>
                    </w:r>
                  </w:p>
                </w:tc>
              </w:tr>
              <w:tr w:rsidR="00DA3A1D" w:rsidTr="00B637B2">
                <w:sdt>
                  <w:sdtPr>
                    <w:tag w:val="_PLD_3fb96c1bc59a47a4b30f74aabd8d3bc1"/>
                    <w:id w:val="-1291351406"/>
                    <w:lock w:val="sdtLocked"/>
                  </w:sdtPr>
                  <w:sdtContent>
                    <w:tc>
                      <w:tcPr>
                        <w:tcW w:w="2166" w:type="pct"/>
                        <w:tcBorders>
                          <w:top w:val="outset" w:sz="4" w:space="0" w:color="auto"/>
                          <w:left w:val="outset" w:sz="4" w:space="0" w:color="auto"/>
                          <w:bottom w:val="outset" w:sz="4" w:space="0" w:color="auto"/>
                          <w:right w:val="outset" w:sz="4" w:space="0" w:color="auto"/>
                        </w:tcBorders>
                      </w:tcPr>
                      <w:p w:rsidR="00DA3A1D" w:rsidRDefault="00DA3A1D" w:rsidP="00DA3A1D">
                        <w:pPr>
                          <w:ind w:firstLineChars="100" w:firstLine="210"/>
                          <w:rPr>
                            <w:szCs w:val="21"/>
                          </w:rPr>
                        </w:pPr>
                        <w:r>
                          <w:rPr>
                            <w:rFonts w:hint="eastAsia"/>
                            <w:szCs w:val="21"/>
                          </w:rPr>
                          <w:t>支付其他与筹资活动有关的现金</w:t>
                        </w:r>
                      </w:p>
                    </w:tc>
                  </w:sdtContent>
                </w:sdt>
                <w:tc>
                  <w:tcPr>
                    <w:tcW w:w="563" w:type="pct"/>
                    <w:tcBorders>
                      <w:top w:val="outset" w:sz="4" w:space="0" w:color="auto"/>
                      <w:left w:val="outset" w:sz="4" w:space="0" w:color="auto"/>
                      <w:bottom w:val="outset" w:sz="4" w:space="0" w:color="auto"/>
                      <w:right w:val="outset" w:sz="4" w:space="0" w:color="auto"/>
                    </w:tcBorders>
                  </w:tcPr>
                  <w:p w:rsidR="00DA3A1D" w:rsidRDefault="008F04CF" w:rsidP="00DA3A1D">
                    <w:pPr>
                      <w:rPr>
                        <w:szCs w:val="21"/>
                      </w:rPr>
                    </w:pPr>
                    <w:r>
                      <w:rPr>
                        <w:rFonts w:hint="eastAsia"/>
                        <w:szCs w:val="21"/>
                      </w:rPr>
                      <w:t>七、78</w:t>
                    </w:r>
                  </w:p>
                </w:tc>
                <w:tc>
                  <w:tcPr>
                    <w:tcW w:w="1124" w:type="pct"/>
                    <w:tcBorders>
                      <w:top w:val="outset" w:sz="4" w:space="0" w:color="auto"/>
                      <w:left w:val="outset" w:sz="4" w:space="0" w:color="auto"/>
                      <w:bottom w:val="outset" w:sz="4" w:space="0" w:color="auto"/>
                      <w:right w:val="outset" w:sz="4" w:space="0" w:color="auto"/>
                    </w:tcBorders>
                    <w:vAlign w:val="center"/>
                  </w:tcPr>
                  <w:p w:rsidR="00DA3A1D" w:rsidRPr="00D86D24" w:rsidRDefault="00DA3A1D" w:rsidP="00B637B2">
                    <w:pPr>
                      <w:jc w:val="right"/>
                    </w:pPr>
                    <w:r w:rsidRPr="00D86D24">
                      <w:t>471,134,705</w:t>
                    </w:r>
                  </w:p>
                </w:tc>
                <w:tc>
                  <w:tcPr>
                    <w:tcW w:w="1147" w:type="pct"/>
                    <w:tcBorders>
                      <w:top w:val="outset" w:sz="4" w:space="0" w:color="auto"/>
                      <w:left w:val="outset" w:sz="4" w:space="0" w:color="auto"/>
                      <w:bottom w:val="outset" w:sz="4" w:space="0" w:color="auto"/>
                      <w:right w:val="outset" w:sz="4" w:space="0" w:color="auto"/>
                    </w:tcBorders>
                    <w:vAlign w:val="center"/>
                  </w:tcPr>
                  <w:p w:rsidR="00DA3A1D" w:rsidRDefault="00DA3A1D" w:rsidP="00B637B2">
                    <w:pPr>
                      <w:jc w:val="right"/>
                    </w:pPr>
                    <w:r w:rsidRPr="00D86D24">
                      <w:t>-</w:t>
                    </w:r>
                  </w:p>
                </w:tc>
              </w:tr>
              <w:tr w:rsidR="00DA3A1D" w:rsidTr="00B637B2">
                <w:sdt>
                  <w:sdtPr>
                    <w:tag w:val="_PLD_b2e28ae5b48f44edbae325bc7a025b65"/>
                    <w:id w:val="1898470399"/>
                    <w:lock w:val="sdtLocked"/>
                  </w:sdtPr>
                  <w:sdtContent>
                    <w:tc>
                      <w:tcPr>
                        <w:tcW w:w="2166" w:type="pct"/>
                        <w:tcBorders>
                          <w:top w:val="outset" w:sz="4" w:space="0" w:color="auto"/>
                          <w:left w:val="outset" w:sz="4" w:space="0" w:color="auto"/>
                          <w:bottom w:val="outset" w:sz="4" w:space="0" w:color="auto"/>
                          <w:right w:val="outset" w:sz="4" w:space="0" w:color="auto"/>
                        </w:tcBorders>
                      </w:tcPr>
                      <w:p w:rsidR="00DA3A1D" w:rsidRDefault="00DA3A1D" w:rsidP="00DA3A1D">
                        <w:pPr>
                          <w:ind w:firstLineChars="200" w:firstLine="420"/>
                          <w:rPr>
                            <w:color w:val="000000"/>
                            <w:szCs w:val="21"/>
                          </w:rPr>
                        </w:pPr>
                        <w:r>
                          <w:rPr>
                            <w:rFonts w:hint="eastAsia"/>
                            <w:szCs w:val="21"/>
                          </w:rPr>
                          <w:t>筹资活动现金流出小计</w:t>
                        </w:r>
                      </w:p>
                    </w:tc>
                  </w:sdtContent>
                </w:sdt>
                <w:tc>
                  <w:tcPr>
                    <w:tcW w:w="563" w:type="pct"/>
                    <w:tcBorders>
                      <w:top w:val="outset" w:sz="4" w:space="0" w:color="auto"/>
                      <w:left w:val="outset" w:sz="4" w:space="0" w:color="auto"/>
                      <w:bottom w:val="outset" w:sz="4" w:space="0" w:color="auto"/>
                      <w:right w:val="outset" w:sz="4" w:space="0" w:color="auto"/>
                    </w:tcBorders>
                  </w:tcPr>
                  <w:p w:rsidR="00DA3A1D" w:rsidRDefault="00DA3A1D" w:rsidP="00DA3A1D">
                    <w:pPr>
                      <w:rPr>
                        <w:szCs w:val="21"/>
                      </w:rPr>
                    </w:pPr>
                  </w:p>
                </w:tc>
                <w:tc>
                  <w:tcPr>
                    <w:tcW w:w="1124" w:type="pct"/>
                    <w:tcBorders>
                      <w:top w:val="outset" w:sz="4" w:space="0" w:color="auto"/>
                      <w:left w:val="outset" w:sz="4" w:space="0" w:color="auto"/>
                      <w:bottom w:val="outset" w:sz="4" w:space="0" w:color="auto"/>
                      <w:right w:val="outset" w:sz="4" w:space="0" w:color="auto"/>
                    </w:tcBorders>
                    <w:vAlign w:val="center"/>
                  </w:tcPr>
                  <w:p w:rsidR="00DA3A1D" w:rsidRPr="009A7589" w:rsidRDefault="00DA3A1D" w:rsidP="00B637B2">
                    <w:pPr>
                      <w:jc w:val="right"/>
                    </w:pPr>
                    <w:r w:rsidRPr="009A7589">
                      <w:t>3,389,008,517</w:t>
                    </w:r>
                  </w:p>
                </w:tc>
                <w:tc>
                  <w:tcPr>
                    <w:tcW w:w="1147" w:type="pct"/>
                    <w:tcBorders>
                      <w:top w:val="outset" w:sz="4" w:space="0" w:color="auto"/>
                      <w:left w:val="outset" w:sz="4" w:space="0" w:color="auto"/>
                      <w:bottom w:val="outset" w:sz="4" w:space="0" w:color="auto"/>
                      <w:right w:val="outset" w:sz="4" w:space="0" w:color="auto"/>
                    </w:tcBorders>
                    <w:vAlign w:val="center"/>
                  </w:tcPr>
                  <w:p w:rsidR="00DA3A1D" w:rsidRDefault="00DA3A1D" w:rsidP="00B637B2">
                    <w:pPr>
                      <w:jc w:val="right"/>
                    </w:pPr>
                    <w:r w:rsidRPr="009A7589">
                      <w:t>3,268,815,805</w:t>
                    </w:r>
                  </w:p>
                </w:tc>
              </w:tr>
              <w:tr w:rsidR="00DA3A1D" w:rsidTr="00B637B2">
                <w:sdt>
                  <w:sdtPr>
                    <w:tag w:val="_PLD_dacfeaab1df34490bc35dfb823671d84"/>
                    <w:id w:val="-1403822693"/>
                    <w:lock w:val="sdtLocked"/>
                  </w:sdtPr>
                  <w:sdtContent>
                    <w:tc>
                      <w:tcPr>
                        <w:tcW w:w="2166" w:type="pct"/>
                        <w:tcBorders>
                          <w:top w:val="outset" w:sz="4" w:space="0" w:color="auto"/>
                          <w:left w:val="outset" w:sz="4" w:space="0" w:color="auto"/>
                          <w:bottom w:val="outset" w:sz="4" w:space="0" w:color="auto"/>
                          <w:right w:val="outset" w:sz="4" w:space="0" w:color="auto"/>
                        </w:tcBorders>
                      </w:tcPr>
                      <w:p w:rsidR="00DA3A1D" w:rsidRDefault="00DA3A1D" w:rsidP="00DA3A1D">
                        <w:pPr>
                          <w:ind w:firstLineChars="300" w:firstLine="630"/>
                          <w:rPr>
                            <w:color w:val="000000"/>
                            <w:szCs w:val="21"/>
                          </w:rPr>
                        </w:pPr>
                        <w:r>
                          <w:rPr>
                            <w:rFonts w:hint="eastAsia"/>
                            <w:szCs w:val="21"/>
                          </w:rPr>
                          <w:t>筹资活动产生的现金流量净额</w:t>
                        </w:r>
                      </w:p>
                    </w:tc>
                  </w:sdtContent>
                </w:sdt>
                <w:tc>
                  <w:tcPr>
                    <w:tcW w:w="563" w:type="pct"/>
                    <w:tcBorders>
                      <w:top w:val="outset" w:sz="4" w:space="0" w:color="auto"/>
                      <w:left w:val="outset" w:sz="4" w:space="0" w:color="auto"/>
                      <w:bottom w:val="outset" w:sz="4" w:space="0" w:color="auto"/>
                      <w:right w:val="outset" w:sz="4" w:space="0" w:color="auto"/>
                    </w:tcBorders>
                  </w:tcPr>
                  <w:p w:rsidR="00DA3A1D" w:rsidRDefault="00DA3A1D" w:rsidP="00DA3A1D">
                    <w:pPr>
                      <w:rPr>
                        <w:szCs w:val="21"/>
                      </w:rPr>
                    </w:pPr>
                  </w:p>
                </w:tc>
                <w:tc>
                  <w:tcPr>
                    <w:tcW w:w="1124" w:type="pct"/>
                    <w:tcBorders>
                      <w:top w:val="outset" w:sz="4" w:space="0" w:color="auto"/>
                      <w:left w:val="outset" w:sz="4" w:space="0" w:color="auto"/>
                      <w:bottom w:val="outset" w:sz="4" w:space="0" w:color="auto"/>
                      <w:right w:val="outset" w:sz="4" w:space="0" w:color="auto"/>
                    </w:tcBorders>
                    <w:vAlign w:val="center"/>
                  </w:tcPr>
                  <w:p w:rsidR="00DA3A1D" w:rsidRPr="00577B11" w:rsidRDefault="00DA3A1D" w:rsidP="00B637B2">
                    <w:pPr>
                      <w:jc w:val="right"/>
                    </w:pPr>
                    <w:r w:rsidRPr="00577B11">
                      <w:t>-49,008,517</w:t>
                    </w:r>
                  </w:p>
                </w:tc>
                <w:tc>
                  <w:tcPr>
                    <w:tcW w:w="1147" w:type="pct"/>
                    <w:tcBorders>
                      <w:top w:val="outset" w:sz="4" w:space="0" w:color="auto"/>
                      <w:left w:val="outset" w:sz="4" w:space="0" w:color="auto"/>
                      <w:bottom w:val="outset" w:sz="4" w:space="0" w:color="auto"/>
                      <w:right w:val="outset" w:sz="4" w:space="0" w:color="auto"/>
                    </w:tcBorders>
                    <w:vAlign w:val="center"/>
                  </w:tcPr>
                  <w:p w:rsidR="00DA3A1D" w:rsidRDefault="00DA3A1D" w:rsidP="00B637B2">
                    <w:pPr>
                      <w:jc w:val="right"/>
                    </w:pPr>
                    <w:r w:rsidRPr="00577B11">
                      <w:t>-151,056,005</w:t>
                    </w:r>
                  </w:p>
                </w:tc>
              </w:tr>
              <w:tr w:rsidR="00DA3A1D" w:rsidTr="00B637B2">
                <w:sdt>
                  <w:sdtPr>
                    <w:tag w:val="_PLD_88d125642e41419d9843a71dc9472f51"/>
                    <w:id w:val="1687565552"/>
                    <w:lock w:val="sdtLocked"/>
                  </w:sdtPr>
                  <w:sdtContent>
                    <w:tc>
                      <w:tcPr>
                        <w:tcW w:w="2166" w:type="pct"/>
                        <w:tcBorders>
                          <w:top w:val="outset" w:sz="4" w:space="0" w:color="auto"/>
                          <w:left w:val="outset" w:sz="4" w:space="0" w:color="auto"/>
                          <w:bottom w:val="outset" w:sz="4" w:space="0" w:color="auto"/>
                          <w:right w:val="outset" w:sz="4" w:space="0" w:color="auto"/>
                        </w:tcBorders>
                      </w:tcPr>
                      <w:p w:rsidR="00DA3A1D" w:rsidRDefault="00DA3A1D" w:rsidP="00DA3A1D">
                        <w:pPr>
                          <w:rPr>
                            <w:color w:val="000000"/>
                            <w:szCs w:val="21"/>
                          </w:rPr>
                        </w:pPr>
                        <w:r>
                          <w:rPr>
                            <w:rFonts w:hint="eastAsia"/>
                            <w:b/>
                            <w:bCs/>
                            <w:szCs w:val="21"/>
                          </w:rPr>
                          <w:t>四、汇率变动对现金及现金等价物的影响</w:t>
                        </w:r>
                      </w:p>
                    </w:tc>
                  </w:sdtContent>
                </w:sdt>
                <w:tc>
                  <w:tcPr>
                    <w:tcW w:w="563" w:type="pct"/>
                    <w:tcBorders>
                      <w:top w:val="outset" w:sz="4" w:space="0" w:color="auto"/>
                      <w:left w:val="outset" w:sz="4" w:space="0" w:color="auto"/>
                      <w:bottom w:val="outset" w:sz="4" w:space="0" w:color="auto"/>
                      <w:right w:val="outset" w:sz="4" w:space="0" w:color="auto"/>
                    </w:tcBorders>
                  </w:tcPr>
                  <w:p w:rsidR="00DA3A1D" w:rsidRDefault="00DA3A1D" w:rsidP="00DA3A1D">
                    <w:pPr>
                      <w:rPr>
                        <w:szCs w:val="21"/>
                      </w:rPr>
                    </w:pPr>
                  </w:p>
                </w:tc>
                <w:tc>
                  <w:tcPr>
                    <w:tcW w:w="1124" w:type="pct"/>
                    <w:tcBorders>
                      <w:top w:val="outset" w:sz="4" w:space="0" w:color="auto"/>
                      <w:left w:val="outset" w:sz="4" w:space="0" w:color="auto"/>
                      <w:bottom w:val="outset" w:sz="4" w:space="0" w:color="auto"/>
                      <w:right w:val="outset" w:sz="4" w:space="0" w:color="auto"/>
                    </w:tcBorders>
                    <w:vAlign w:val="center"/>
                  </w:tcPr>
                  <w:p w:rsidR="00DA3A1D" w:rsidRPr="00750594" w:rsidRDefault="00DA3A1D" w:rsidP="00B637B2">
                    <w:pPr>
                      <w:jc w:val="right"/>
                    </w:pPr>
                    <w:r w:rsidRPr="00750594">
                      <w:t>50,442</w:t>
                    </w:r>
                  </w:p>
                </w:tc>
                <w:tc>
                  <w:tcPr>
                    <w:tcW w:w="1147" w:type="pct"/>
                    <w:tcBorders>
                      <w:top w:val="outset" w:sz="4" w:space="0" w:color="auto"/>
                      <w:left w:val="outset" w:sz="4" w:space="0" w:color="auto"/>
                      <w:bottom w:val="outset" w:sz="4" w:space="0" w:color="auto"/>
                      <w:right w:val="outset" w:sz="4" w:space="0" w:color="auto"/>
                    </w:tcBorders>
                    <w:vAlign w:val="center"/>
                  </w:tcPr>
                  <w:p w:rsidR="00DA3A1D" w:rsidRDefault="00DA3A1D" w:rsidP="00B637B2">
                    <w:pPr>
                      <w:jc w:val="right"/>
                    </w:pPr>
                    <w:r w:rsidRPr="00750594">
                      <w:t>195,858</w:t>
                    </w:r>
                  </w:p>
                </w:tc>
              </w:tr>
              <w:tr w:rsidR="00DA3A1D" w:rsidTr="00B637B2">
                <w:sdt>
                  <w:sdtPr>
                    <w:tag w:val="_PLD_fd66e1d9937544d090d0b7529065ff9b"/>
                    <w:id w:val="691959817"/>
                    <w:lock w:val="sdtLocked"/>
                  </w:sdtPr>
                  <w:sdtContent>
                    <w:tc>
                      <w:tcPr>
                        <w:tcW w:w="2166" w:type="pct"/>
                        <w:tcBorders>
                          <w:top w:val="outset" w:sz="4" w:space="0" w:color="auto"/>
                          <w:left w:val="outset" w:sz="4" w:space="0" w:color="auto"/>
                          <w:bottom w:val="outset" w:sz="4" w:space="0" w:color="auto"/>
                          <w:right w:val="outset" w:sz="4" w:space="0" w:color="auto"/>
                        </w:tcBorders>
                      </w:tcPr>
                      <w:p w:rsidR="00DA3A1D" w:rsidRDefault="00DA3A1D" w:rsidP="00DA3A1D">
                        <w:pPr>
                          <w:rPr>
                            <w:color w:val="000000"/>
                            <w:szCs w:val="21"/>
                          </w:rPr>
                        </w:pPr>
                        <w:r>
                          <w:rPr>
                            <w:rFonts w:hint="eastAsia"/>
                            <w:b/>
                            <w:bCs/>
                            <w:szCs w:val="21"/>
                          </w:rPr>
                          <w:t>五、现金及现金等价物净增加额</w:t>
                        </w:r>
                      </w:p>
                    </w:tc>
                  </w:sdtContent>
                </w:sdt>
                <w:tc>
                  <w:tcPr>
                    <w:tcW w:w="563" w:type="pct"/>
                    <w:tcBorders>
                      <w:top w:val="outset" w:sz="4" w:space="0" w:color="auto"/>
                      <w:left w:val="outset" w:sz="4" w:space="0" w:color="auto"/>
                      <w:bottom w:val="outset" w:sz="4" w:space="0" w:color="auto"/>
                      <w:right w:val="outset" w:sz="4" w:space="0" w:color="auto"/>
                    </w:tcBorders>
                  </w:tcPr>
                  <w:p w:rsidR="00DA3A1D" w:rsidRDefault="008F04CF" w:rsidP="00DA3A1D">
                    <w:pPr>
                      <w:rPr>
                        <w:szCs w:val="21"/>
                      </w:rPr>
                    </w:pPr>
                    <w:r>
                      <w:rPr>
                        <w:rFonts w:hint="eastAsia"/>
                        <w:szCs w:val="21"/>
                      </w:rPr>
                      <w:t>七、78</w:t>
                    </w:r>
                  </w:p>
                </w:tc>
                <w:tc>
                  <w:tcPr>
                    <w:tcW w:w="1124" w:type="pct"/>
                    <w:tcBorders>
                      <w:top w:val="outset" w:sz="4" w:space="0" w:color="auto"/>
                      <w:left w:val="outset" w:sz="4" w:space="0" w:color="auto"/>
                      <w:bottom w:val="outset" w:sz="4" w:space="0" w:color="auto"/>
                      <w:right w:val="outset" w:sz="4" w:space="0" w:color="auto"/>
                    </w:tcBorders>
                    <w:vAlign w:val="center"/>
                  </w:tcPr>
                  <w:p w:rsidR="00DA3A1D" w:rsidRPr="00000BF8" w:rsidRDefault="00DA3A1D" w:rsidP="00B637B2">
                    <w:pPr>
                      <w:jc w:val="right"/>
                    </w:pPr>
                    <w:r w:rsidRPr="00000BF8">
                      <w:t>-1,321,375,893</w:t>
                    </w:r>
                  </w:p>
                </w:tc>
                <w:tc>
                  <w:tcPr>
                    <w:tcW w:w="1147" w:type="pct"/>
                    <w:tcBorders>
                      <w:top w:val="outset" w:sz="4" w:space="0" w:color="auto"/>
                      <w:left w:val="outset" w:sz="4" w:space="0" w:color="auto"/>
                      <w:bottom w:val="outset" w:sz="4" w:space="0" w:color="auto"/>
                      <w:right w:val="outset" w:sz="4" w:space="0" w:color="auto"/>
                    </w:tcBorders>
                    <w:vAlign w:val="center"/>
                  </w:tcPr>
                  <w:p w:rsidR="00DA3A1D" w:rsidRDefault="00DA3A1D" w:rsidP="00B637B2">
                    <w:pPr>
                      <w:jc w:val="right"/>
                    </w:pPr>
                    <w:r w:rsidRPr="00000BF8">
                      <w:t>-477,330,414</w:t>
                    </w:r>
                  </w:p>
                </w:tc>
              </w:tr>
              <w:tr w:rsidR="00DA3A1D" w:rsidTr="00B637B2">
                <w:sdt>
                  <w:sdtPr>
                    <w:tag w:val="_PLD_c384e472db4a44618443173a520a565b"/>
                    <w:id w:val="1364704971"/>
                    <w:lock w:val="sdtLocked"/>
                  </w:sdtPr>
                  <w:sdtContent>
                    <w:tc>
                      <w:tcPr>
                        <w:tcW w:w="2166" w:type="pct"/>
                        <w:tcBorders>
                          <w:top w:val="outset" w:sz="4" w:space="0" w:color="auto"/>
                          <w:left w:val="outset" w:sz="4" w:space="0" w:color="auto"/>
                          <w:bottom w:val="outset" w:sz="4" w:space="0" w:color="auto"/>
                          <w:right w:val="outset" w:sz="4" w:space="0" w:color="auto"/>
                        </w:tcBorders>
                      </w:tcPr>
                      <w:p w:rsidR="00DA3A1D" w:rsidRDefault="00DA3A1D" w:rsidP="00DA3A1D">
                        <w:pPr>
                          <w:ind w:firstLineChars="100" w:firstLine="210"/>
                          <w:rPr>
                            <w:color w:val="000000"/>
                            <w:szCs w:val="21"/>
                          </w:rPr>
                        </w:pPr>
                        <w:r>
                          <w:rPr>
                            <w:rFonts w:hint="eastAsia"/>
                            <w:szCs w:val="21"/>
                          </w:rPr>
                          <w:t>加：期初现金及现金等价物余额</w:t>
                        </w:r>
                      </w:p>
                    </w:tc>
                  </w:sdtContent>
                </w:sdt>
                <w:tc>
                  <w:tcPr>
                    <w:tcW w:w="563" w:type="pct"/>
                    <w:tcBorders>
                      <w:top w:val="outset" w:sz="4" w:space="0" w:color="auto"/>
                      <w:left w:val="outset" w:sz="4" w:space="0" w:color="auto"/>
                      <w:bottom w:val="outset" w:sz="4" w:space="0" w:color="auto"/>
                      <w:right w:val="outset" w:sz="4" w:space="0" w:color="auto"/>
                    </w:tcBorders>
                  </w:tcPr>
                  <w:p w:rsidR="00DA3A1D" w:rsidRDefault="008F04CF" w:rsidP="00DA3A1D">
                    <w:pPr>
                      <w:rPr>
                        <w:szCs w:val="21"/>
                      </w:rPr>
                    </w:pPr>
                    <w:r>
                      <w:rPr>
                        <w:rFonts w:hint="eastAsia"/>
                        <w:szCs w:val="21"/>
                      </w:rPr>
                      <w:t>七、78</w:t>
                    </w:r>
                  </w:p>
                </w:tc>
                <w:tc>
                  <w:tcPr>
                    <w:tcW w:w="1124" w:type="pct"/>
                    <w:tcBorders>
                      <w:top w:val="outset" w:sz="4" w:space="0" w:color="auto"/>
                      <w:left w:val="outset" w:sz="4" w:space="0" w:color="auto"/>
                      <w:bottom w:val="outset" w:sz="4" w:space="0" w:color="auto"/>
                      <w:right w:val="outset" w:sz="4" w:space="0" w:color="auto"/>
                    </w:tcBorders>
                    <w:vAlign w:val="center"/>
                  </w:tcPr>
                  <w:p w:rsidR="00DA3A1D" w:rsidRPr="00DD78AE" w:rsidRDefault="00DA3A1D" w:rsidP="00B637B2">
                    <w:pPr>
                      <w:jc w:val="right"/>
                    </w:pPr>
                    <w:r w:rsidRPr="00DD78AE">
                      <w:t>4,849,879,509</w:t>
                    </w:r>
                  </w:p>
                </w:tc>
                <w:tc>
                  <w:tcPr>
                    <w:tcW w:w="1147" w:type="pct"/>
                    <w:tcBorders>
                      <w:top w:val="outset" w:sz="4" w:space="0" w:color="auto"/>
                      <w:left w:val="outset" w:sz="4" w:space="0" w:color="auto"/>
                      <w:bottom w:val="outset" w:sz="4" w:space="0" w:color="auto"/>
                      <w:right w:val="outset" w:sz="4" w:space="0" w:color="auto"/>
                    </w:tcBorders>
                    <w:vAlign w:val="center"/>
                  </w:tcPr>
                  <w:p w:rsidR="00DA3A1D" w:rsidRDefault="00DA3A1D" w:rsidP="00B637B2">
                    <w:pPr>
                      <w:jc w:val="right"/>
                    </w:pPr>
                    <w:r w:rsidRPr="00DD78AE">
                      <w:t>3,416,062,876</w:t>
                    </w:r>
                  </w:p>
                </w:tc>
              </w:tr>
              <w:tr w:rsidR="00DA3A1D" w:rsidTr="00B637B2">
                <w:sdt>
                  <w:sdtPr>
                    <w:tag w:val="_PLD_bb83b8f9db734a7cb83175f4e64ae363"/>
                    <w:id w:val="-630625557"/>
                    <w:lock w:val="sdtLocked"/>
                  </w:sdtPr>
                  <w:sdtContent>
                    <w:tc>
                      <w:tcPr>
                        <w:tcW w:w="2166" w:type="pct"/>
                        <w:tcBorders>
                          <w:top w:val="outset" w:sz="4" w:space="0" w:color="auto"/>
                          <w:left w:val="outset" w:sz="4" w:space="0" w:color="auto"/>
                          <w:bottom w:val="outset" w:sz="4" w:space="0" w:color="auto"/>
                          <w:right w:val="outset" w:sz="4" w:space="0" w:color="auto"/>
                        </w:tcBorders>
                      </w:tcPr>
                      <w:p w:rsidR="00DA3A1D" w:rsidRDefault="00DA3A1D" w:rsidP="00DA3A1D">
                        <w:pPr>
                          <w:rPr>
                            <w:color w:val="000000"/>
                            <w:szCs w:val="21"/>
                          </w:rPr>
                        </w:pPr>
                        <w:r>
                          <w:rPr>
                            <w:rFonts w:hint="eastAsia"/>
                            <w:b/>
                            <w:bCs/>
                            <w:szCs w:val="21"/>
                          </w:rPr>
                          <w:t>六、期末现金及现金等价物余额</w:t>
                        </w:r>
                      </w:p>
                    </w:tc>
                  </w:sdtContent>
                </w:sdt>
                <w:tc>
                  <w:tcPr>
                    <w:tcW w:w="563" w:type="pct"/>
                    <w:tcBorders>
                      <w:top w:val="outset" w:sz="4" w:space="0" w:color="auto"/>
                      <w:left w:val="outset" w:sz="4" w:space="0" w:color="auto"/>
                      <w:bottom w:val="outset" w:sz="4" w:space="0" w:color="auto"/>
                      <w:right w:val="outset" w:sz="4" w:space="0" w:color="auto"/>
                    </w:tcBorders>
                  </w:tcPr>
                  <w:p w:rsidR="00DA3A1D" w:rsidRDefault="008F04CF" w:rsidP="00DA3A1D">
                    <w:pPr>
                      <w:rPr>
                        <w:szCs w:val="21"/>
                      </w:rPr>
                    </w:pPr>
                    <w:r>
                      <w:rPr>
                        <w:rFonts w:hint="eastAsia"/>
                        <w:szCs w:val="21"/>
                      </w:rPr>
                      <w:t>七、78</w:t>
                    </w:r>
                  </w:p>
                </w:tc>
                <w:tc>
                  <w:tcPr>
                    <w:tcW w:w="1124" w:type="pct"/>
                    <w:tcBorders>
                      <w:top w:val="outset" w:sz="4" w:space="0" w:color="auto"/>
                      <w:left w:val="outset" w:sz="4" w:space="0" w:color="auto"/>
                      <w:bottom w:val="outset" w:sz="4" w:space="0" w:color="auto"/>
                      <w:right w:val="outset" w:sz="4" w:space="0" w:color="auto"/>
                    </w:tcBorders>
                    <w:vAlign w:val="center"/>
                  </w:tcPr>
                  <w:p w:rsidR="00DA3A1D" w:rsidRPr="00AA1348" w:rsidRDefault="00DA3A1D" w:rsidP="00B637B2">
                    <w:pPr>
                      <w:jc w:val="right"/>
                    </w:pPr>
                    <w:r w:rsidRPr="00AA1348">
                      <w:t>3,528,503,616</w:t>
                    </w:r>
                  </w:p>
                </w:tc>
                <w:tc>
                  <w:tcPr>
                    <w:tcW w:w="1147" w:type="pct"/>
                    <w:tcBorders>
                      <w:top w:val="outset" w:sz="4" w:space="0" w:color="auto"/>
                      <w:left w:val="outset" w:sz="4" w:space="0" w:color="auto"/>
                      <w:bottom w:val="outset" w:sz="4" w:space="0" w:color="auto"/>
                      <w:right w:val="outset" w:sz="4" w:space="0" w:color="auto"/>
                    </w:tcBorders>
                    <w:vAlign w:val="center"/>
                  </w:tcPr>
                  <w:p w:rsidR="00DA3A1D" w:rsidRDefault="00DA3A1D" w:rsidP="00B637B2">
                    <w:pPr>
                      <w:jc w:val="right"/>
                    </w:pPr>
                    <w:r w:rsidRPr="00AA1348">
                      <w:t>2,938,732,462</w:t>
                    </w:r>
                  </w:p>
                </w:tc>
              </w:tr>
            </w:tbl>
            <w:p w:rsidR="00ED2DC7" w:rsidRDefault="00ED2DC7">
              <w:pPr>
                <w:snapToGrid w:val="0"/>
                <w:spacing w:line="240" w:lineRule="atLeast"/>
                <w:ind w:rightChars="12" w:right="25"/>
                <w:rPr>
                  <w:b/>
                  <w:bCs/>
                  <w:color w:val="FF0000"/>
                  <w:szCs w:val="21"/>
                </w:rPr>
              </w:pPr>
              <w:r>
                <w:rPr>
                  <w:szCs w:val="21"/>
                </w:rPr>
                <w:t>法定代表人</w:t>
              </w:r>
              <w:r>
                <w:rPr>
                  <w:rFonts w:hint="eastAsia"/>
                  <w:szCs w:val="21"/>
                </w:rPr>
                <w:t>：</w:t>
              </w:r>
              <w:sdt>
                <w:sdtPr>
                  <w:rPr>
                    <w:rFonts w:hint="eastAsia"/>
                    <w:szCs w:val="21"/>
                  </w:rPr>
                  <w:alias w:val="公司法定代表人"/>
                  <w:tag w:val="_GBC_d1f7cb193ab444ff8482a06aad12f0db"/>
                  <w:id w:val="535324459"/>
                  <w:lock w:val="sdtLocked"/>
                  <w:placeholder>
                    <w:docPart w:val="GBC22222222222222222222222222222"/>
                  </w:placeholder>
                  <w:dataBinding w:prefixMappings="xmlns:clcid-cgi='clcid-cgi'" w:xpath="/*/clcid-cgi:GongSiFaDingDaiBiaoRen[not(@periodRef)]" w:storeItemID="{89EBAB94-44A0-46A2-B712-30D997D04A6D}"/>
                  <w:text/>
                </w:sdtPr>
                <w:sdtContent>
                  <w:r w:rsidR="008F04CF">
                    <w:rPr>
                      <w:rFonts w:hint="eastAsia"/>
                      <w:szCs w:val="21"/>
                    </w:rPr>
                    <w:t>王文京</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45110b4746914613a7aad68cef7b1bed"/>
                  <w:id w:val="783845456"/>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8F04CF">
                    <w:rPr>
                      <w:rFonts w:hint="eastAsia"/>
                      <w:szCs w:val="21"/>
                    </w:rPr>
                    <w:t>章培林</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e7d70223996e482d9871cfff87704452"/>
                  <w:id w:val="-986549940"/>
                  <w:lock w:val="sdtLocked"/>
                  <w:placeholder>
                    <w:docPart w:val="GBC22222222222222222222222222222"/>
                  </w:placeholder>
                  <w:dataBinding w:prefixMappings="xmlns:clcid-mr='clcid-mr'" w:xpath="/*/clcid-mr:KuaiJiJiGouFuZeRenXingMing[not(@periodRef)]" w:storeItemID="{89EBAB94-44A0-46A2-B712-30D997D04A6D}"/>
                  <w:text/>
                </w:sdtPr>
                <w:sdtContent>
                  <w:r w:rsidR="008F04CF">
                    <w:rPr>
                      <w:rFonts w:hint="eastAsia"/>
                      <w:szCs w:val="21"/>
                    </w:rPr>
                    <w:t>孙淑嫔</w:t>
                  </w:r>
                </w:sdtContent>
              </w:sdt>
            </w:p>
          </w:sdtContent>
        </w:sdt>
        <w:p w:rsidR="00ED2DC7" w:rsidRDefault="00ED2DC7">
          <w:pPr>
            <w:rPr>
              <w:szCs w:val="21"/>
            </w:rPr>
          </w:pPr>
        </w:p>
        <w:p w:rsidR="00ED2DC7" w:rsidRDefault="00ED2DC7" w:rsidP="00B637B2">
          <w:pPr>
            <w:pageBreakBefore/>
            <w:jc w:val="center"/>
            <w:rPr>
              <w:b/>
              <w:bCs/>
              <w:szCs w:val="21"/>
            </w:rPr>
          </w:pPr>
        </w:p>
        <w:sdt>
          <w:sdtPr>
            <w:rPr>
              <w:rFonts w:ascii="宋体" w:hAnsi="宋体" w:cs="宋体" w:hint="eastAsia"/>
              <w:b w:val="0"/>
              <w:bCs w:val="0"/>
              <w:kern w:val="0"/>
              <w:szCs w:val="24"/>
            </w:rPr>
            <w:tag w:val="_GBC_fa07832b39b14b348ba105d6cedbd7b8"/>
            <w:id w:val="61987799"/>
            <w:lock w:val="sdtLocked"/>
            <w:placeholder>
              <w:docPart w:val="GBC22222222222222222222222222222"/>
            </w:placeholder>
          </w:sdtPr>
          <w:sdtEndPr>
            <w:rPr>
              <w:szCs w:val="21"/>
            </w:rPr>
          </w:sdtEndPr>
          <w:sdtContent>
            <w:p w:rsidR="00ED2DC7" w:rsidRDefault="00ED2DC7">
              <w:pPr>
                <w:pStyle w:val="affffffffffffffffff1"/>
                <w:jc w:val="center"/>
              </w:pPr>
              <w:r>
                <w:rPr>
                  <w:rFonts w:hint="eastAsia"/>
                </w:rPr>
                <w:t>母公司</w:t>
              </w:r>
              <w:r>
                <w:t>现金流量表</w:t>
              </w:r>
            </w:p>
            <w:p w:rsidR="00ED2DC7" w:rsidRDefault="00ED2DC7">
              <w:pPr>
                <w:jc w:val="center"/>
                <w:rPr>
                  <w:b/>
                  <w:bCs/>
                  <w:szCs w:val="21"/>
                </w:rPr>
              </w:pPr>
              <w:r>
                <w:rPr>
                  <w:szCs w:val="21"/>
                </w:rPr>
                <w:t>2019年</w:t>
              </w:r>
              <w:r>
                <w:rPr>
                  <w:rFonts w:hint="eastAsia"/>
                  <w:szCs w:val="21"/>
                </w:rPr>
                <w:t>1—6</w:t>
              </w:r>
              <w:r>
                <w:rPr>
                  <w:szCs w:val="21"/>
                </w:rPr>
                <w:t>月</w:t>
              </w:r>
            </w:p>
            <w:p w:rsidR="00ED2DC7" w:rsidRDefault="00ED2DC7">
              <w:pPr>
                <w:jc w:val="right"/>
                <w:rPr>
                  <w:szCs w:val="21"/>
                </w:rPr>
              </w:pPr>
              <w:r>
                <w:rPr>
                  <w:szCs w:val="21"/>
                </w:rPr>
                <w:t>单位:</w:t>
              </w:r>
              <w:sdt>
                <w:sdtPr>
                  <w:rPr>
                    <w:szCs w:val="21"/>
                  </w:rPr>
                  <w:alias w:val="单位：母公司现金流量表"/>
                  <w:tag w:val="_GBC_993ead81b27a41dfaccaacfaec8b7c78"/>
                  <w:id w:val="-19650258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szCs w:val="21"/>
                    </w:rPr>
                    <w:t>元</w:t>
                  </w:r>
                </w:sdtContent>
              </w:sdt>
              <w:r>
                <w:rPr>
                  <w:szCs w:val="21"/>
                </w:rPr>
                <w:t xml:space="preserve">  币种:</w:t>
              </w:r>
              <w:sdt>
                <w:sdtPr>
                  <w:rPr>
                    <w:szCs w:val="21"/>
                  </w:rPr>
                  <w:alias w:val="币种：母公司现金流量表"/>
                  <w:tag w:val="_GBC_2dd4b706d0a244a4b4c21166025356cc"/>
                  <w:id w:val="-14789842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szCs w:val="21"/>
                    </w:rPr>
                    <w:t>人民币</w:t>
                  </w:r>
                </w:sdtContent>
              </w:sdt>
            </w:p>
            <w:tbl>
              <w:tblPr>
                <w:tblStyle w:val="g38"/>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822"/>
                <w:gridCol w:w="993"/>
                <w:gridCol w:w="1975"/>
                <w:gridCol w:w="2033"/>
              </w:tblGrid>
              <w:tr w:rsidR="00B637B2" w:rsidTr="00B637B2">
                <w:sdt>
                  <w:sdtPr>
                    <w:tag w:val="_PLD_20ae0904ed714106892a5beddfe5846a"/>
                    <w:id w:val="593906271"/>
                    <w:lock w:val="sdtLocked"/>
                  </w:sdtPr>
                  <w:sdtContent>
                    <w:tc>
                      <w:tcPr>
                        <w:tcW w:w="2166" w:type="pct"/>
                        <w:tcBorders>
                          <w:top w:val="outset" w:sz="4" w:space="0" w:color="auto"/>
                          <w:left w:val="outset" w:sz="4" w:space="0" w:color="auto"/>
                          <w:bottom w:val="outset" w:sz="4" w:space="0" w:color="auto"/>
                          <w:right w:val="outset" w:sz="4" w:space="0" w:color="auto"/>
                        </w:tcBorders>
                      </w:tcPr>
                      <w:p w:rsidR="00B637B2" w:rsidRDefault="008F04CF" w:rsidP="00B637B2">
                        <w:pPr>
                          <w:jc w:val="center"/>
                          <w:rPr>
                            <w:b/>
                            <w:bCs/>
                            <w:szCs w:val="21"/>
                          </w:rPr>
                        </w:pPr>
                        <w:r>
                          <w:rPr>
                            <w:b/>
                            <w:bCs/>
                            <w:szCs w:val="21"/>
                          </w:rPr>
                          <w:t>项目</w:t>
                        </w:r>
                      </w:p>
                    </w:tc>
                  </w:sdtContent>
                </w:sdt>
                <w:sdt>
                  <w:sdtPr>
                    <w:tag w:val="_PLD_9cb87427e0de42d2b7e58a286ff58290"/>
                    <w:id w:val="2123484249"/>
                    <w:lock w:val="sdtLocked"/>
                  </w:sdtPr>
                  <w:sdtContent>
                    <w:tc>
                      <w:tcPr>
                        <w:tcW w:w="563" w:type="pct"/>
                        <w:tcBorders>
                          <w:top w:val="outset" w:sz="4" w:space="0" w:color="auto"/>
                          <w:left w:val="outset" w:sz="4" w:space="0" w:color="auto"/>
                          <w:bottom w:val="outset" w:sz="4" w:space="0" w:color="auto"/>
                          <w:right w:val="outset" w:sz="4" w:space="0" w:color="auto"/>
                        </w:tcBorders>
                      </w:tcPr>
                      <w:p w:rsidR="00B637B2" w:rsidRDefault="008F04CF" w:rsidP="00B637B2">
                        <w:pPr>
                          <w:autoSpaceDE w:val="0"/>
                          <w:autoSpaceDN w:val="0"/>
                          <w:adjustRightInd w:val="0"/>
                          <w:jc w:val="center"/>
                          <w:rPr>
                            <w:b/>
                            <w:szCs w:val="21"/>
                          </w:rPr>
                        </w:pPr>
                        <w:r>
                          <w:rPr>
                            <w:b/>
                            <w:szCs w:val="21"/>
                          </w:rPr>
                          <w:t>附注</w:t>
                        </w:r>
                      </w:p>
                    </w:tc>
                  </w:sdtContent>
                </w:sdt>
                <w:sdt>
                  <w:sdtPr>
                    <w:tag w:val="_PLD_514bbce28b6040e393e59c5ec50c3820"/>
                    <w:id w:val="-461657159"/>
                    <w:lock w:val="sdtLocked"/>
                  </w:sdtPr>
                  <w:sdtContent>
                    <w:tc>
                      <w:tcPr>
                        <w:tcW w:w="1119" w:type="pct"/>
                        <w:tcBorders>
                          <w:top w:val="outset" w:sz="4" w:space="0" w:color="auto"/>
                          <w:left w:val="outset" w:sz="4" w:space="0" w:color="auto"/>
                          <w:bottom w:val="outset" w:sz="4" w:space="0" w:color="auto"/>
                          <w:right w:val="outset" w:sz="4" w:space="0" w:color="auto"/>
                        </w:tcBorders>
                      </w:tcPr>
                      <w:p w:rsidR="00B637B2" w:rsidRDefault="008F04CF" w:rsidP="00B637B2">
                        <w:pPr>
                          <w:autoSpaceDE w:val="0"/>
                          <w:autoSpaceDN w:val="0"/>
                          <w:adjustRightInd w:val="0"/>
                          <w:jc w:val="center"/>
                          <w:rPr>
                            <w:b/>
                            <w:szCs w:val="21"/>
                          </w:rPr>
                        </w:pPr>
                        <w:r>
                          <w:rPr>
                            <w:rFonts w:hint="eastAsia"/>
                            <w:b/>
                            <w:szCs w:val="21"/>
                          </w:rPr>
                          <w:t>2</w:t>
                        </w:r>
                        <w:r>
                          <w:rPr>
                            <w:b/>
                            <w:szCs w:val="21"/>
                          </w:rPr>
                          <w:t>019</w:t>
                        </w:r>
                        <w:r>
                          <w:rPr>
                            <w:rFonts w:hint="eastAsia"/>
                            <w:b/>
                            <w:szCs w:val="21"/>
                          </w:rPr>
                          <w:t>年半年度</w:t>
                        </w:r>
                      </w:p>
                    </w:tc>
                  </w:sdtContent>
                </w:sdt>
                <w:sdt>
                  <w:sdtPr>
                    <w:tag w:val="_PLD_de39c3f730c74ecca3c9a890bc08a2c1"/>
                    <w:id w:val="841128561"/>
                    <w:lock w:val="sdtLocked"/>
                  </w:sdtPr>
                  <w:sdtContent>
                    <w:tc>
                      <w:tcPr>
                        <w:tcW w:w="1152" w:type="pct"/>
                        <w:tcBorders>
                          <w:top w:val="outset" w:sz="4" w:space="0" w:color="auto"/>
                          <w:left w:val="outset" w:sz="4" w:space="0" w:color="auto"/>
                          <w:bottom w:val="outset" w:sz="4" w:space="0" w:color="auto"/>
                          <w:right w:val="outset" w:sz="4" w:space="0" w:color="auto"/>
                        </w:tcBorders>
                      </w:tcPr>
                      <w:p w:rsidR="00B637B2" w:rsidRDefault="008F04CF" w:rsidP="00B637B2">
                        <w:pPr>
                          <w:autoSpaceDE w:val="0"/>
                          <w:autoSpaceDN w:val="0"/>
                          <w:adjustRightInd w:val="0"/>
                          <w:jc w:val="center"/>
                          <w:rPr>
                            <w:b/>
                            <w:szCs w:val="21"/>
                          </w:rPr>
                        </w:pPr>
                        <w:r>
                          <w:rPr>
                            <w:rFonts w:hint="eastAsia"/>
                            <w:b/>
                            <w:szCs w:val="21"/>
                          </w:rPr>
                          <w:t>2018年半年度</w:t>
                        </w:r>
                      </w:p>
                    </w:tc>
                  </w:sdtContent>
                </w:sdt>
              </w:tr>
              <w:tr w:rsidR="00B637B2" w:rsidTr="00B637B2">
                <w:sdt>
                  <w:sdtPr>
                    <w:tag w:val="_PLD_575fd724a7cb4261a6c80660162ce2fb"/>
                    <w:id w:val="1413896134"/>
                    <w:lock w:val="sdtLocked"/>
                  </w:sdtPr>
                  <w:sdtContent>
                    <w:tc>
                      <w:tcPr>
                        <w:tcW w:w="2166" w:type="pct"/>
                        <w:tcBorders>
                          <w:top w:val="outset" w:sz="4" w:space="0" w:color="auto"/>
                          <w:left w:val="outset" w:sz="4" w:space="0" w:color="auto"/>
                          <w:bottom w:val="outset" w:sz="4" w:space="0" w:color="auto"/>
                          <w:right w:val="outset" w:sz="4" w:space="0" w:color="auto"/>
                        </w:tcBorders>
                      </w:tcPr>
                      <w:p w:rsidR="00B637B2" w:rsidRDefault="008F04CF" w:rsidP="00B637B2">
                        <w:pPr>
                          <w:rPr>
                            <w:color w:val="000000"/>
                            <w:szCs w:val="21"/>
                          </w:rPr>
                        </w:pPr>
                        <w:r>
                          <w:rPr>
                            <w:rFonts w:hint="eastAsia"/>
                            <w:b/>
                            <w:bCs/>
                            <w:szCs w:val="21"/>
                          </w:rPr>
                          <w:t>一、经营活动产生的现金流量：</w:t>
                        </w:r>
                      </w:p>
                    </w:tc>
                  </w:sdtContent>
                </w:sdt>
                <w:tc>
                  <w:tcPr>
                    <w:tcW w:w="563"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19" w:type="pct"/>
                    <w:tcBorders>
                      <w:top w:val="outset" w:sz="4" w:space="0" w:color="auto"/>
                      <w:left w:val="outset" w:sz="4" w:space="0" w:color="auto"/>
                      <w:bottom w:val="outset" w:sz="4" w:space="0" w:color="auto"/>
                      <w:right w:val="outset" w:sz="4" w:space="0" w:color="auto"/>
                    </w:tcBorders>
                    <w:vAlign w:val="center"/>
                  </w:tcPr>
                  <w:p w:rsidR="00B637B2" w:rsidRDefault="00B637B2" w:rsidP="00B637B2">
                    <w:pPr>
                      <w:jc w:val="right"/>
                      <w:rPr>
                        <w:szCs w:val="21"/>
                      </w:rPr>
                    </w:pPr>
                  </w:p>
                </w:tc>
                <w:tc>
                  <w:tcPr>
                    <w:tcW w:w="1152" w:type="pct"/>
                    <w:tcBorders>
                      <w:top w:val="outset" w:sz="4" w:space="0" w:color="auto"/>
                      <w:left w:val="outset" w:sz="4" w:space="0" w:color="auto"/>
                      <w:bottom w:val="outset" w:sz="4" w:space="0" w:color="auto"/>
                      <w:right w:val="outset" w:sz="4" w:space="0" w:color="auto"/>
                    </w:tcBorders>
                    <w:vAlign w:val="center"/>
                  </w:tcPr>
                  <w:p w:rsidR="00B637B2" w:rsidRDefault="00B637B2" w:rsidP="00B637B2">
                    <w:pPr>
                      <w:jc w:val="right"/>
                      <w:rPr>
                        <w:szCs w:val="21"/>
                      </w:rPr>
                    </w:pPr>
                  </w:p>
                </w:tc>
              </w:tr>
              <w:tr w:rsidR="00B637B2" w:rsidTr="00B637B2">
                <w:sdt>
                  <w:sdtPr>
                    <w:tag w:val="_PLD_82863635c2aa4636ad77b92e44fbd77d"/>
                    <w:id w:val="-1794200869"/>
                    <w:lock w:val="sdtLocked"/>
                  </w:sdtPr>
                  <w:sdtContent>
                    <w:tc>
                      <w:tcPr>
                        <w:tcW w:w="2166" w:type="pct"/>
                        <w:tcBorders>
                          <w:top w:val="outset" w:sz="4" w:space="0" w:color="auto"/>
                          <w:left w:val="outset" w:sz="4" w:space="0" w:color="auto"/>
                          <w:bottom w:val="outset" w:sz="4" w:space="0" w:color="auto"/>
                          <w:right w:val="outset" w:sz="4" w:space="0" w:color="auto"/>
                        </w:tcBorders>
                      </w:tcPr>
                      <w:p w:rsidR="00B637B2" w:rsidRDefault="008F04CF" w:rsidP="00B637B2">
                        <w:pPr>
                          <w:ind w:firstLineChars="100" w:firstLine="210"/>
                          <w:rPr>
                            <w:color w:val="000000"/>
                            <w:szCs w:val="21"/>
                          </w:rPr>
                        </w:pPr>
                        <w:r>
                          <w:rPr>
                            <w:rFonts w:hint="eastAsia"/>
                            <w:szCs w:val="21"/>
                          </w:rPr>
                          <w:t>销售商品、提供劳务收到的现金</w:t>
                        </w:r>
                      </w:p>
                    </w:tc>
                  </w:sdtContent>
                </w:sdt>
                <w:tc>
                  <w:tcPr>
                    <w:tcW w:w="563"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19" w:type="pct"/>
                    <w:tcBorders>
                      <w:top w:val="outset" w:sz="4" w:space="0" w:color="auto"/>
                      <w:left w:val="outset" w:sz="4" w:space="0" w:color="auto"/>
                      <w:bottom w:val="outset" w:sz="4" w:space="0" w:color="auto"/>
                      <w:right w:val="outset" w:sz="4" w:space="0" w:color="auto"/>
                    </w:tcBorders>
                    <w:vAlign w:val="center"/>
                  </w:tcPr>
                  <w:p w:rsidR="00B637B2" w:rsidRPr="00E73219" w:rsidRDefault="008F04CF" w:rsidP="00B637B2">
                    <w:pPr>
                      <w:jc w:val="right"/>
                    </w:pPr>
                    <w:r w:rsidRPr="00E73219">
                      <w:t>1,310,662,332</w:t>
                    </w:r>
                  </w:p>
                </w:tc>
                <w:tc>
                  <w:tcPr>
                    <w:tcW w:w="1152" w:type="pct"/>
                    <w:tcBorders>
                      <w:top w:val="outset" w:sz="4" w:space="0" w:color="auto"/>
                      <w:left w:val="outset" w:sz="4" w:space="0" w:color="auto"/>
                      <w:bottom w:val="outset" w:sz="4" w:space="0" w:color="auto"/>
                      <w:right w:val="outset" w:sz="4" w:space="0" w:color="auto"/>
                    </w:tcBorders>
                    <w:vAlign w:val="center"/>
                  </w:tcPr>
                  <w:p w:rsidR="00B637B2" w:rsidRPr="00E73219" w:rsidRDefault="008F04CF" w:rsidP="00B637B2">
                    <w:pPr>
                      <w:jc w:val="right"/>
                    </w:pPr>
                    <w:r w:rsidRPr="00E73219">
                      <w:t>1,085,736,058</w:t>
                    </w:r>
                  </w:p>
                </w:tc>
              </w:tr>
              <w:tr w:rsidR="00B637B2" w:rsidTr="00B637B2">
                <w:sdt>
                  <w:sdtPr>
                    <w:tag w:val="_PLD_6f6ba49a98924345bef562f06bfcb294"/>
                    <w:id w:val="-451557641"/>
                    <w:lock w:val="sdtLocked"/>
                  </w:sdtPr>
                  <w:sdtContent>
                    <w:tc>
                      <w:tcPr>
                        <w:tcW w:w="2166" w:type="pct"/>
                        <w:tcBorders>
                          <w:top w:val="outset" w:sz="4" w:space="0" w:color="auto"/>
                          <w:left w:val="outset" w:sz="4" w:space="0" w:color="auto"/>
                          <w:bottom w:val="outset" w:sz="4" w:space="0" w:color="auto"/>
                          <w:right w:val="outset" w:sz="4" w:space="0" w:color="auto"/>
                        </w:tcBorders>
                      </w:tcPr>
                      <w:p w:rsidR="00B637B2" w:rsidRDefault="008F04CF" w:rsidP="00B637B2">
                        <w:pPr>
                          <w:ind w:firstLineChars="100" w:firstLine="210"/>
                          <w:rPr>
                            <w:color w:val="000000"/>
                            <w:szCs w:val="21"/>
                          </w:rPr>
                        </w:pPr>
                        <w:r>
                          <w:rPr>
                            <w:rFonts w:hint="eastAsia"/>
                            <w:szCs w:val="21"/>
                          </w:rPr>
                          <w:t>收到的税费返还</w:t>
                        </w:r>
                      </w:p>
                    </w:tc>
                  </w:sdtContent>
                </w:sdt>
                <w:tc>
                  <w:tcPr>
                    <w:tcW w:w="563"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19" w:type="pct"/>
                    <w:tcBorders>
                      <w:top w:val="outset" w:sz="4" w:space="0" w:color="auto"/>
                      <w:left w:val="outset" w:sz="4" w:space="0" w:color="auto"/>
                      <w:bottom w:val="outset" w:sz="4" w:space="0" w:color="auto"/>
                      <w:right w:val="outset" w:sz="4" w:space="0" w:color="auto"/>
                    </w:tcBorders>
                    <w:vAlign w:val="center"/>
                  </w:tcPr>
                  <w:p w:rsidR="00B637B2" w:rsidRPr="00E73219" w:rsidRDefault="008F04CF" w:rsidP="00B637B2">
                    <w:pPr>
                      <w:jc w:val="right"/>
                    </w:pPr>
                    <w:r w:rsidRPr="00E73219">
                      <w:t>84,884,209</w:t>
                    </w:r>
                  </w:p>
                </w:tc>
                <w:tc>
                  <w:tcPr>
                    <w:tcW w:w="1152" w:type="pct"/>
                    <w:tcBorders>
                      <w:top w:val="outset" w:sz="4" w:space="0" w:color="auto"/>
                      <w:left w:val="outset" w:sz="4" w:space="0" w:color="auto"/>
                      <w:bottom w:val="outset" w:sz="4" w:space="0" w:color="auto"/>
                      <w:right w:val="outset" w:sz="4" w:space="0" w:color="auto"/>
                    </w:tcBorders>
                    <w:vAlign w:val="center"/>
                  </w:tcPr>
                  <w:p w:rsidR="00B637B2" w:rsidRPr="00E73219" w:rsidRDefault="008F04CF" w:rsidP="00B637B2">
                    <w:pPr>
                      <w:jc w:val="right"/>
                    </w:pPr>
                    <w:r w:rsidRPr="00E73219">
                      <w:t>59,328,692</w:t>
                    </w:r>
                  </w:p>
                </w:tc>
              </w:tr>
              <w:tr w:rsidR="00B637B2" w:rsidTr="00B637B2">
                <w:sdt>
                  <w:sdtPr>
                    <w:tag w:val="_PLD_06639b4a021d45c5a9c028b0a988399d"/>
                    <w:id w:val="1709842476"/>
                    <w:lock w:val="sdtLocked"/>
                  </w:sdtPr>
                  <w:sdtContent>
                    <w:tc>
                      <w:tcPr>
                        <w:tcW w:w="2166" w:type="pct"/>
                        <w:tcBorders>
                          <w:top w:val="outset" w:sz="4" w:space="0" w:color="auto"/>
                          <w:left w:val="outset" w:sz="4" w:space="0" w:color="auto"/>
                          <w:bottom w:val="outset" w:sz="4" w:space="0" w:color="auto"/>
                          <w:right w:val="outset" w:sz="4" w:space="0" w:color="auto"/>
                        </w:tcBorders>
                      </w:tcPr>
                      <w:p w:rsidR="00B637B2" w:rsidRDefault="008F04CF" w:rsidP="00B637B2">
                        <w:pPr>
                          <w:ind w:firstLineChars="100" w:firstLine="210"/>
                          <w:rPr>
                            <w:color w:val="000000"/>
                            <w:szCs w:val="21"/>
                          </w:rPr>
                        </w:pPr>
                        <w:r>
                          <w:rPr>
                            <w:rFonts w:hint="eastAsia"/>
                            <w:szCs w:val="21"/>
                          </w:rPr>
                          <w:t>收到其他与经营活动有关的现金</w:t>
                        </w:r>
                      </w:p>
                    </w:tc>
                  </w:sdtContent>
                </w:sdt>
                <w:tc>
                  <w:tcPr>
                    <w:tcW w:w="563"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19" w:type="pct"/>
                    <w:tcBorders>
                      <w:top w:val="outset" w:sz="4" w:space="0" w:color="auto"/>
                      <w:left w:val="outset" w:sz="4" w:space="0" w:color="auto"/>
                      <w:bottom w:val="outset" w:sz="4" w:space="0" w:color="auto"/>
                      <w:right w:val="outset" w:sz="4" w:space="0" w:color="auto"/>
                    </w:tcBorders>
                    <w:vAlign w:val="center"/>
                  </w:tcPr>
                  <w:p w:rsidR="00B637B2" w:rsidRPr="00E73219" w:rsidRDefault="008F04CF" w:rsidP="00B637B2">
                    <w:pPr>
                      <w:jc w:val="right"/>
                    </w:pPr>
                    <w:r w:rsidRPr="00E73219">
                      <w:t>171,116,483</w:t>
                    </w:r>
                  </w:p>
                </w:tc>
                <w:tc>
                  <w:tcPr>
                    <w:tcW w:w="1152" w:type="pct"/>
                    <w:tcBorders>
                      <w:top w:val="outset" w:sz="4" w:space="0" w:color="auto"/>
                      <w:left w:val="outset" w:sz="4" w:space="0" w:color="auto"/>
                      <w:bottom w:val="outset" w:sz="4" w:space="0" w:color="auto"/>
                      <w:right w:val="outset" w:sz="4" w:space="0" w:color="auto"/>
                    </w:tcBorders>
                    <w:vAlign w:val="center"/>
                  </w:tcPr>
                  <w:p w:rsidR="00B637B2" w:rsidRPr="00E73219" w:rsidRDefault="008F04CF" w:rsidP="00B637B2">
                    <w:pPr>
                      <w:jc w:val="right"/>
                    </w:pPr>
                    <w:r w:rsidRPr="00E73219">
                      <w:t>137,230,290</w:t>
                    </w:r>
                  </w:p>
                </w:tc>
              </w:tr>
              <w:tr w:rsidR="00B637B2" w:rsidTr="00B637B2">
                <w:sdt>
                  <w:sdtPr>
                    <w:tag w:val="_PLD_64de81055bc940a3b2e810f08ea30cd0"/>
                    <w:id w:val="1962542336"/>
                    <w:lock w:val="sdtLocked"/>
                  </w:sdtPr>
                  <w:sdtContent>
                    <w:tc>
                      <w:tcPr>
                        <w:tcW w:w="2166" w:type="pct"/>
                        <w:tcBorders>
                          <w:top w:val="outset" w:sz="4" w:space="0" w:color="auto"/>
                          <w:left w:val="outset" w:sz="4" w:space="0" w:color="auto"/>
                          <w:bottom w:val="outset" w:sz="4" w:space="0" w:color="auto"/>
                          <w:right w:val="outset" w:sz="4" w:space="0" w:color="auto"/>
                        </w:tcBorders>
                      </w:tcPr>
                      <w:p w:rsidR="00B637B2" w:rsidRDefault="008F04CF" w:rsidP="00B637B2">
                        <w:pPr>
                          <w:ind w:firstLineChars="200" w:firstLine="420"/>
                          <w:rPr>
                            <w:color w:val="000000"/>
                            <w:szCs w:val="21"/>
                          </w:rPr>
                        </w:pPr>
                        <w:r>
                          <w:rPr>
                            <w:rFonts w:hint="eastAsia"/>
                            <w:szCs w:val="21"/>
                          </w:rPr>
                          <w:t>经营活动现金流入小计</w:t>
                        </w:r>
                      </w:p>
                    </w:tc>
                  </w:sdtContent>
                </w:sdt>
                <w:tc>
                  <w:tcPr>
                    <w:tcW w:w="563"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19" w:type="pct"/>
                    <w:tcBorders>
                      <w:top w:val="outset" w:sz="4" w:space="0" w:color="auto"/>
                      <w:left w:val="outset" w:sz="4" w:space="0" w:color="auto"/>
                      <w:bottom w:val="outset" w:sz="4" w:space="0" w:color="auto"/>
                      <w:right w:val="outset" w:sz="4" w:space="0" w:color="auto"/>
                    </w:tcBorders>
                    <w:vAlign w:val="center"/>
                  </w:tcPr>
                  <w:p w:rsidR="00B637B2" w:rsidRPr="00E73219" w:rsidRDefault="008F04CF" w:rsidP="00B637B2">
                    <w:pPr>
                      <w:jc w:val="right"/>
                    </w:pPr>
                    <w:r w:rsidRPr="00E73219">
                      <w:t>1,566,663,024</w:t>
                    </w:r>
                  </w:p>
                </w:tc>
                <w:tc>
                  <w:tcPr>
                    <w:tcW w:w="1152"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jc w:val="right"/>
                    </w:pPr>
                    <w:r w:rsidRPr="00E73219">
                      <w:t>1,282,295,040</w:t>
                    </w:r>
                  </w:p>
                </w:tc>
              </w:tr>
              <w:tr w:rsidR="00B637B2" w:rsidTr="00B637B2">
                <w:sdt>
                  <w:sdtPr>
                    <w:tag w:val="_PLD_9225a8e3c0d04e74be5259e8c6d2c503"/>
                    <w:id w:val="586969211"/>
                    <w:lock w:val="sdtLocked"/>
                  </w:sdtPr>
                  <w:sdtContent>
                    <w:tc>
                      <w:tcPr>
                        <w:tcW w:w="2166" w:type="pct"/>
                        <w:tcBorders>
                          <w:top w:val="outset" w:sz="4" w:space="0" w:color="auto"/>
                          <w:left w:val="outset" w:sz="4" w:space="0" w:color="auto"/>
                          <w:bottom w:val="outset" w:sz="4" w:space="0" w:color="auto"/>
                          <w:right w:val="outset" w:sz="4" w:space="0" w:color="auto"/>
                        </w:tcBorders>
                      </w:tcPr>
                      <w:p w:rsidR="00B637B2" w:rsidRDefault="008F04CF" w:rsidP="00B637B2">
                        <w:pPr>
                          <w:ind w:firstLineChars="100" w:firstLine="210"/>
                          <w:rPr>
                            <w:szCs w:val="21"/>
                          </w:rPr>
                        </w:pPr>
                        <w:r>
                          <w:rPr>
                            <w:rFonts w:hint="eastAsia"/>
                            <w:szCs w:val="21"/>
                          </w:rPr>
                          <w:t>购买商品、接受劳务支付的现金</w:t>
                        </w:r>
                      </w:p>
                    </w:tc>
                  </w:sdtContent>
                </w:sdt>
                <w:tc>
                  <w:tcPr>
                    <w:tcW w:w="563"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19" w:type="pct"/>
                    <w:tcBorders>
                      <w:top w:val="outset" w:sz="4" w:space="0" w:color="auto"/>
                      <w:left w:val="outset" w:sz="4" w:space="0" w:color="auto"/>
                      <w:bottom w:val="outset" w:sz="4" w:space="0" w:color="auto"/>
                      <w:right w:val="outset" w:sz="4" w:space="0" w:color="auto"/>
                    </w:tcBorders>
                    <w:vAlign w:val="center"/>
                  </w:tcPr>
                  <w:p w:rsidR="00B637B2" w:rsidRPr="0091194F" w:rsidRDefault="008F04CF" w:rsidP="00B637B2">
                    <w:pPr>
                      <w:jc w:val="right"/>
                    </w:pPr>
                    <w:r w:rsidRPr="0091194F">
                      <w:t>108,831,128</w:t>
                    </w:r>
                  </w:p>
                </w:tc>
                <w:tc>
                  <w:tcPr>
                    <w:tcW w:w="1152" w:type="pct"/>
                    <w:tcBorders>
                      <w:top w:val="outset" w:sz="4" w:space="0" w:color="auto"/>
                      <w:left w:val="outset" w:sz="4" w:space="0" w:color="auto"/>
                      <w:bottom w:val="outset" w:sz="4" w:space="0" w:color="auto"/>
                      <w:right w:val="outset" w:sz="4" w:space="0" w:color="auto"/>
                    </w:tcBorders>
                    <w:vAlign w:val="center"/>
                  </w:tcPr>
                  <w:p w:rsidR="00B637B2" w:rsidRPr="0091194F" w:rsidRDefault="008F04CF" w:rsidP="00B637B2">
                    <w:pPr>
                      <w:jc w:val="right"/>
                    </w:pPr>
                    <w:r w:rsidRPr="0091194F">
                      <w:t>99,462,890</w:t>
                    </w:r>
                  </w:p>
                </w:tc>
              </w:tr>
              <w:tr w:rsidR="00B637B2" w:rsidTr="00B637B2">
                <w:sdt>
                  <w:sdtPr>
                    <w:tag w:val="_PLD_3bc74c61fa7a4ba98c9b2ee5eb59820e"/>
                    <w:id w:val="1920589507"/>
                    <w:lock w:val="sdtLocked"/>
                  </w:sdtPr>
                  <w:sdtContent>
                    <w:tc>
                      <w:tcPr>
                        <w:tcW w:w="2166" w:type="pct"/>
                        <w:tcBorders>
                          <w:top w:val="outset" w:sz="4" w:space="0" w:color="auto"/>
                          <w:left w:val="outset" w:sz="4" w:space="0" w:color="auto"/>
                          <w:bottom w:val="outset" w:sz="4" w:space="0" w:color="auto"/>
                          <w:right w:val="outset" w:sz="4" w:space="0" w:color="auto"/>
                        </w:tcBorders>
                      </w:tcPr>
                      <w:p w:rsidR="00B637B2" w:rsidRDefault="008F04CF" w:rsidP="00B637B2">
                        <w:pPr>
                          <w:ind w:firstLineChars="100" w:firstLine="210"/>
                          <w:rPr>
                            <w:szCs w:val="21"/>
                          </w:rPr>
                        </w:pPr>
                        <w:r>
                          <w:rPr>
                            <w:rFonts w:hint="eastAsia"/>
                            <w:szCs w:val="21"/>
                          </w:rPr>
                          <w:t>支付给职工以及为职工支付的现金</w:t>
                        </w:r>
                      </w:p>
                    </w:tc>
                  </w:sdtContent>
                </w:sdt>
                <w:tc>
                  <w:tcPr>
                    <w:tcW w:w="563"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19" w:type="pct"/>
                    <w:tcBorders>
                      <w:top w:val="outset" w:sz="4" w:space="0" w:color="auto"/>
                      <w:left w:val="outset" w:sz="4" w:space="0" w:color="auto"/>
                      <w:bottom w:val="outset" w:sz="4" w:space="0" w:color="auto"/>
                      <w:right w:val="outset" w:sz="4" w:space="0" w:color="auto"/>
                    </w:tcBorders>
                    <w:vAlign w:val="center"/>
                  </w:tcPr>
                  <w:p w:rsidR="00B637B2" w:rsidRPr="0091194F" w:rsidRDefault="008F04CF" w:rsidP="00B637B2">
                    <w:pPr>
                      <w:jc w:val="right"/>
                    </w:pPr>
                    <w:r w:rsidRPr="0091194F">
                      <w:t>1,101,586,614</w:t>
                    </w:r>
                  </w:p>
                </w:tc>
                <w:tc>
                  <w:tcPr>
                    <w:tcW w:w="1152" w:type="pct"/>
                    <w:tcBorders>
                      <w:top w:val="outset" w:sz="4" w:space="0" w:color="auto"/>
                      <w:left w:val="outset" w:sz="4" w:space="0" w:color="auto"/>
                      <w:bottom w:val="outset" w:sz="4" w:space="0" w:color="auto"/>
                      <w:right w:val="outset" w:sz="4" w:space="0" w:color="auto"/>
                    </w:tcBorders>
                    <w:vAlign w:val="center"/>
                  </w:tcPr>
                  <w:p w:rsidR="00B637B2" w:rsidRPr="0091194F" w:rsidRDefault="008F04CF" w:rsidP="00B637B2">
                    <w:pPr>
                      <w:jc w:val="right"/>
                    </w:pPr>
                    <w:r w:rsidRPr="0091194F">
                      <w:t>799,880,456</w:t>
                    </w:r>
                  </w:p>
                </w:tc>
              </w:tr>
              <w:tr w:rsidR="00B637B2" w:rsidTr="00B637B2">
                <w:sdt>
                  <w:sdtPr>
                    <w:tag w:val="_PLD_336b8ff4ff8840c58c0c9f99f358310c"/>
                    <w:id w:val="1072081591"/>
                    <w:lock w:val="sdtLocked"/>
                  </w:sdtPr>
                  <w:sdtContent>
                    <w:tc>
                      <w:tcPr>
                        <w:tcW w:w="2166" w:type="pct"/>
                        <w:tcBorders>
                          <w:top w:val="outset" w:sz="4" w:space="0" w:color="auto"/>
                          <w:left w:val="outset" w:sz="4" w:space="0" w:color="auto"/>
                          <w:bottom w:val="outset" w:sz="4" w:space="0" w:color="auto"/>
                          <w:right w:val="outset" w:sz="4" w:space="0" w:color="auto"/>
                        </w:tcBorders>
                      </w:tcPr>
                      <w:p w:rsidR="00B637B2" w:rsidRDefault="008F04CF" w:rsidP="00B637B2">
                        <w:pPr>
                          <w:ind w:firstLineChars="100" w:firstLine="210"/>
                          <w:rPr>
                            <w:szCs w:val="21"/>
                          </w:rPr>
                        </w:pPr>
                        <w:r>
                          <w:rPr>
                            <w:rFonts w:hint="eastAsia"/>
                            <w:szCs w:val="21"/>
                          </w:rPr>
                          <w:t>支付的各项税费</w:t>
                        </w:r>
                      </w:p>
                    </w:tc>
                  </w:sdtContent>
                </w:sdt>
                <w:tc>
                  <w:tcPr>
                    <w:tcW w:w="563"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19" w:type="pct"/>
                    <w:tcBorders>
                      <w:top w:val="outset" w:sz="4" w:space="0" w:color="auto"/>
                      <w:left w:val="outset" w:sz="4" w:space="0" w:color="auto"/>
                      <w:bottom w:val="outset" w:sz="4" w:space="0" w:color="auto"/>
                      <w:right w:val="outset" w:sz="4" w:space="0" w:color="auto"/>
                    </w:tcBorders>
                    <w:vAlign w:val="center"/>
                  </w:tcPr>
                  <w:p w:rsidR="00B637B2" w:rsidRPr="0091194F" w:rsidRDefault="008F04CF" w:rsidP="00B637B2">
                    <w:pPr>
                      <w:jc w:val="right"/>
                    </w:pPr>
                    <w:r w:rsidRPr="0091194F">
                      <w:t>222,327,129</w:t>
                    </w:r>
                  </w:p>
                </w:tc>
                <w:tc>
                  <w:tcPr>
                    <w:tcW w:w="1152" w:type="pct"/>
                    <w:tcBorders>
                      <w:top w:val="outset" w:sz="4" w:space="0" w:color="auto"/>
                      <w:left w:val="outset" w:sz="4" w:space="0" w:color="auto"/>
                      <w:bottom w:val="outset" w:sz="4" w:space="0" w:color="auto"/>
                      <w:right w:val="outset" w:sz="4" w:space="0" w:color="auto"/>
                    </w:tcBorders>
                    <w:vAlign w:val="center"/>
                  </w:tcPr>
                  <w:p w:rsidR="00B637B2" w:rsidRPr="0091194F" w:rsidRDefault="008F04CF" w:rsidP="00B637B2">
                    <w:pPr>
                      <w:jc w:val="right"/>
                    </w:pPr>
                    <w:r w:rsidRPr="0091194F">
                      <w:t>248,996,783</w:t>
                    </w:r>
                  </w:p>
                </w:tc>
              </w:tr>
              <w:tr w:rsidR="00B637B2" w:rsidTr="00B637B2">
                <w:sdt>
                  <w:sdtPr>
                    <w:tag w:val="_PLD_6ca36b1e8aed4dcf8f2b3a0daeff07e6"/>
                    <w:id w:val="-1620362721"/>
                    <w:lock w:val="sdtLocked"/>
                  </w:sdtPr>
                  <w:sdtContent>
                    <w:tc>
                      <w:tcPr>
                        <w:tcW w:w="2166" w:type="pct"/>
                        <w:tcBorders>
                          <w:top w:val="outset" w:sz="4" w:space="0" w:color="auto"/>
                          <w:left w:val="outset" w:sz="4" w:space="0" w:color="auto"/>
                          <w:bottom w:val="outset" w:sz="4" w:space="0" w:color="auto"/>
                          <w:right w:val="outset" w:sz="4" w:space="0" w:color="auto"/>
                        </w:tcBorders>
                      </w:tcPr>
                      <w:p w:rsidR="00B637B2" w:rsidRDefault="008F04CF" w:rsidP="00B637B2">
                        <w:pPr>
                          <w:ind w:firstLineChars="100" w:firstLine="210"/>
                          <w:rPr>
                            <w:szCs w:val="21"/>
                          </w:rPr>
                        </w:pPr>
                        <w:r>
                          <w:rPr>
                            <w:rFonts w:hint="eastAsia"/>
                            <w:szCs w:val="21"/>
                          </w:rPr>
                          <w:t>支付其他与经营活动有关的现金</w:t>
                        </w:r>
                      </w:p>
                    </w:tc>
                  </w:sdtContent>
                </w:sdt>
                <w:tc>
                  <w:tcPr>
                    <w:tcW w:w="563"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19" w:type="pct"/>
                    <w:tcBorders>
                      <w:top w:val="outset" w:sz="4" w:space="0" w:color="auto"/>
                      <w:left w:val="outset" w:sz="4" w:space="0" w:color="auto"/>
                      <w:bottom w:val="outset" w:sz="4" w:space="0" w:color="auto"/>
                      <w:right w:val="outset" w:sz="4" w:space="0" w:color="auto"/>
                    </w:tcBorders>
                    <w:vAlign w:val="center"/>
                  </w:tcPr>
                  <w:p w:rsidR="00B637B2" w:rsidRPr="0091194F" w:rsidRDefault="008F04CF" w:rsidP="00B637B2">
                    <w:pPr>
                      <w:jc w:val="right"/>
                    </w:pPr>
                    <w:r w:rsidRPr="0091194F">
                      <w:t>250,119,034</w:t>
                    </w:r>
                  </w:p>
                </w:tc>
                <w:tc>
                  <w:tcPr>
                    <w:tcW w:w="1152"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jc w:val="right"/>
                    </w:pPr>
                    <w:r w:rsidRPr="0091194F">
                      <w:t>140,232,042</w:t>
                    </w:r>
                  </w:p>
                </w:tc>
              </w:tr>
              <w:tr w:rsidR="00B637B2" w:rsidTr="00B637B2">
                <w:sdt>
                  <w:sdtPr>
                    <w:tag w:val="_PLD_340429c1d7014fa58e9b7238e10cefc6"/>
                    <w:id w:val="336118095"/>
                    <w:lock w:val="sdtLocked"/>
                  </w:sdtPr>
                  <w:sdtContent>
                    <w:tc>
                      <w:tcPr>
                        <w:tcW w:w="2166" w:type="pct"/>
                        <w:tcBorders>
                          <w:top w:val="outset" w:sz="4" w:space="0" w:color="auto"/>
                          <w:left w:val="outset" w:sz="4" w:space="0" w:color="auto"/>
                          <w:bottom w:val="outset" w:sz="4" w:space="0" w:color="auto"/>
                          <w:right w:val="outset" w:sz="4" w:space="0" w:color="auto"/>
                        </w:tcBorders>
                      </w:tcPr>
                      <w:p w:rsidR="00B637B2" w:rsidRDefault="008F04CF" w:rsidP="00B637B2">
                        <w:pPr>
                          <w:ind w:firstLineChars="200" w:firstLine="420"/>
                          <w:rPr>
                            <w:color w:val="000000"/>
                            <w:szCs w:val="21"/>
                          </w:rPr>
                        </w:pPr>
                        <w:r>
                          <w:rPr>
                            <w:rFonts w:hint="eastAsia"/>
                            <w:szCs w:val="21"/>
                          </w:rPr>
                          <w:t>经营活动现金流出小计</w:t>
                        </w:r>
                      </w:p>
                    </w:tc>
                  </w:sdtContent>
                </w:sdt>
                <w:tc>
                  <w:tcPr>
                    <w:tcW w:w="563"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19" w:type="pct"/>
                    <w:tcBorders>
                      <w:top w:val="outset" w:sz="4" w:space="0" w:color="auto"/>
                      <w:left w:val="outset" w:sz="4" w:space="0" w:color="auto"/>
                      <w:bottom w:val="outset" w:sz="4" w:space="0" w:color="auto"/>
                      <w:right w:val="outset" w:sz="4" w:space="0" w:color="auto"/>
                    </w:tcBorders>
                    <w:vAlign w:val="center"/>
                  </w:tcPr>
                  <w:p w:rsidR="00B637B2" w:rsidRPr="00914EC6" w:rsidRDefault="008F04CF" w:rsidP="00B637B2">
                    <w:pPr>
                      <w:jc w:val="right"/>
                    </w:pPr>
                    <w:r w:rsidRPr="00914EC6">
                      <w:t>1,682,863,905</w:t>
                    </w:r>
                  </w:p>
                </w:tc>
                <w:tc>
                  <w:tcPr>
                    <w:tcW w:w="1152"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jc w:val="right"/>
                    </w:pPr>
                    <w:r w:rsidRPr="00914EC6">
                      <w:t>1,288,572,171</w:t>
                    </w:r>
                  </w:p>
                </w:tc>
              </w:tr>
              <w:tr w:rsidR="00B637B2" w:rsidTr="00B637B2">
                <w:sdt>
                  <w:sdtPr>
                    <w:tag w:val="_PLD_61f55569c4e04d6a8c94438f8ecb1122"/>
                    <w:id w:val="1624579669"/>
                    <w:lock w:val="sdtLocked"/>
                  </w:sdtPr>
                  <w:sdtContent>
                    <w:tc>
                      <w:tcPr>
                        <w:tcW w:w="2166" w:type="pct"/>
                        <w:tcBorders>
                          <w:top w:val="outset" w:sz="4" w:space="0" w:color="auto"/>
                          <w:left w:val="outset" w:sz="4" w:space="0" w:color="auto"/>
                          <w:bottom w:val="outset" w:sz="4" w:space="0" w:color="auto"/>
                          <w:right w:val="outset" w:sz="4" w:space="0" w:color="auto"/>
                        </w:tcBorders>
                      </w:tcPr>
                      <w:p w:rsidR="00B637B2" w:rsidRDefault="008F04CF" w:rsidP="00B637B2">
                        <w:pPr>
                          <w:ind w:firstLineChars="100" w:firstLine="210"/>
                          <w:rPr>
                            <w:color w:val="000000"/>
                            <w:szCs w:val="21"/>
                          </w:rPr>
                        </w:pPr>
                        <w:r>
                          <w:rPr>
                            <w:rFonts w:hint="eastAsia"/>
                            <w:szCs w:val="21"/>
                          </w:rPr>
                          <w:t>经营活动产生的现金流量净额</w:t>
                        </w:r>
                      </w:p>
                    </w:tc>
                  </w:sdtContent>
                </w:sdt>
                <w:tc>
                  <w:tcPr>
                    <w:tcW w:w="563"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19" w:type="pct"/>
                    <w:tcBorders>
                      <w:top w:val="outset" w:sz="4" w:space="0" w:color="auto"/>
                      <w:left w:val="outset" w:sz="4" w:space="0" w:color="auto"/>
                      <w:bottom w:val="outset" w:sz="4" w:space="0" w:color="auto"/>
                      <w:right w:val="outset" w:sz="4" w:space="0" w:color="auto"/>
                    </w:tcBorders>
                    <w:vAlign w:val="center"/>
                  </w:tcPr>
                  <w:p w:rsidR="00B637B2" w:rsidRPr="008760E9" w:rsidRDefault="008F04CF" w:rsidP="00B637B2">
                    <w:pPr>
                      <w:jc w:val="right"/>
                    </w:pPr>
                    <w:r w:rsidRPr="008760E9">
                      <w:t>-116,200,881</w:t>
                    </w:r>
                  </w:p>
                </w:tc>
                <w:tc>
                  <w:tcPr>
                    <w:tcW w:w="1152"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jc w:val="right"/>
                    </w:pPr>
                    <w:r w:rsidRPr="008760E9">
                      <w:t>-6,277,131</w:t>
                    </w:r>
                  </w:p>
                </w:tc>
              </w:tr>
              <w:tr w:rsidR="00B637B2" w:rsidTr="00B637B2">
                <w:sdt>
                  <w:sdtPr>
                    <w:tag w:val="_PLD_8f9190ce4227402ab02ac6431a00b46e"/>
                    <w:id w:val="-425739574"/>
                    <w:lock w:val="sdtLocked"/>
                  </w:sdtPr>
                  <w:sdtContent>
                    <w:tc>
                      <w:tcPr>
                        <w:tcW w:w="2166" w:type="pct"/>
                        <w:tcBorders>
                          <w:top w:val="outset" w:sz="4" w:space="0" w:color="auto"/>
                          <w:left w:val="outset" w:sz="4" w:space="0" w:color="auto"/>
                          <w:bottom w:val="outset" w:sz="4" w:space="0" w:color="auto"/>
                          <w:right w:val="outset" w:sz="4" w:space="0" w:color="auto"/>
                        </w:tcBorders>
                      </w:tcPr>
                      <w:p w:rsidR="00B637B2" w:rsidRDefault="008F04CF" w:rsidP="00B637B2">
                        <w:pPr>
                          <w:rPr>
                            <w:color w:val="000000"/>
                            <w:szCs w:val="21"/>
                          </w:rPr>
                        </w:pPr>
                        <w:r>
                          <w:rPr>
                            <w:rFonts w:hint="eastAsia"/>
                            <w:b/>
                            <w:bCs/>
                            <w:szCs w:val="21"/>
                          </w:rPr>
                          <w:t>二、投资活动产生的现金流量：</w:t>
                        </w:r>
                      </w:p>
                    </w:tc>
                  </w:sdtContent>
                </w:sdt>
                <w:tc>
                  <w:tcPr>
                    <w:tcW w:w="563" w:type="pct"/>
                    <w:tcBorders>
                      <w:top w:val="outset" w:sz="4" w:space="0" w:color="auto"/>
                      <w:left w:val="outset" w:sz="4" w:space="0" w:color="auto"/>
                      <w:bottom w:val="outset" w:sz="4" w:space="0" w:color="auto"/>
                      <w:right w:val="outset" w:sz="4" w:space="0" w:color="auto"/>
                    </w:tcBorders>
                  </w:tcPr>
                  <w:p w:rsidR="00B637B2" w:rsidRDefault="00B637B2" w:rsidP="00B637B2">
                    <w:pPr>
                      <w:rPr>
                        <w:color w:val="008000"/>
                        <w:szCs w:val="21"/>
                      </w:rPr>
                    </w:pPr>
                  </w:p>
                </w:tc>
                <w:tc>
                  <w:tcPr>
                    <w:tcW w:w="1119" w:type="pct"/>
                    <w:tcBorders>
                      <w:top w:val="outset" w:sz="4" w:space="0" w:color="auto"/>
                      <w:left w:val="outset" w:sz="4" w:space="0" w:color="auto"/>
                      <w:bottom w:val="outset" w:sz="4" w:space="0" w:color="auto"/>
                      <w:right w:val="outset" w:sz="4" w:space="0" w:color="auto"/>
                    </w:tcBorders>
                    <w:vAlign w:val="center"/>
                  </w:tcPr>
                  <w:p w:rsidR="00B637B2" w:rsidRDefault="00B637B2" w:rsidP="00B637B2">
                    <w:pPr>
                      <w:jc w:val="right"/>
                      <w:rPr>
                        <w:color w:val="008000"/>
                        <w:szCs w:val="21"/>
                      </w:rPr>
                    </w:pPr>
                  </w:p>
                </w:tc>
                <w:tc>
                  <w:tcPr>
                    <w:tcW w:w="1152" w:type="pct"/>
                    <w:tcBorders>
                      <w:top w:val="outset" w:sz="4" w:space="0" w:color="auto"/>
                      <w:left w:val="outset" w:sz="4" w:space="0" w:color="auto"/>
                      <w:bottom w:val="outset" w:sz="4" w:space="0" w:color="auto"/>
                      <w:right w:val="outset" w:sz="4" w:space="0" w:color="auto"/>
                    </w:tcBorders>
                    <w:vAlign w:val="center"/>
                  </w:tcPr>
                  <w:p w:rsidR="00B637B2" w:rsidRDefault="00B637B2" w:rsidP="00B637B2">
                    <w:pPr>
                      <w:jc w:val="right"/>
                      <w:rPr>
                        <w:color w:val="008000"/>
                        <w:szCs w:val="21"/>
                      </w:rPr>
                    </w:pPr>
                  </w:p>
                </w:tc>
              </w:tr>
              <w:tr w:rsidR="00B637B2" w:rsidTr="00B637B2">
                <w:sdt>
                  <w:sdtPr>
                    <w:tag w:val="_PLD_beb5ade569574a3c87ebe15ef758047a"/>
                    <w:id w:val="1016966859"/>
                    <w:lock w:val="sdtLocked"/>
                  </w:sdtPr>
                  <w:sdtContent>
                    <w:tc>
                      <w:tcPr>
                        <w:tcW w:w="2166" w:type="pct"/>
                        <w:tcBorders>
                          <w:top w:val="outset" w:sz="4" w:space="0" w:color="auto"/>
                          <w:left w:val="outset" w:sz="4" w:space="0" w:color="auto"/>
                          <w:bottom w:val="outset" w:sz="4" w:space="0" w:color="auto"/>
                          <w:right w:val="outset" w:sz="4" w:space="0" w:color="auto"/>
                        </w:tcBorders>
                      </w:tcPr>
                      <w:p w:rsidR="00B637B2" w:rsidRDefault="008F04CF" w:rsidP="00B637B2">
                        <w:pPr>
                          <w:ind w:firstLineChars="100" w:firstLine="210"/>
                          <w:rPr>
                            <w:szCs w:val="21"/>
                          </w:rPr>
                        </w:pPr>
                        <w:r>
                          <w:rPr>
                            <w:rFonts w:hint="eastAsia"/>
                            <w:szCs w:val="21"/>
                          </w:rPr>
                          <w:t>收回投资收到的现金</w:t>
                        </w:r>
                      </w:p>
                    </w:tc>
                  </w:sdtContent>
                </w:sdt>
                <w:tc>
                  <w:tcPr>
                    <w:tcW w:w="563"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19" w:type="pct"/>
                    <w:tcBorders>
                      <w:top w:val="outset" w:sz="4" w:space="0" w:color="auto"/>
                      <w:left w:val="outset" w:sz="4" w:space="0" w:color="auto"/>
                      <w:bottom w:val="outset" w:sz="4" w:space="0" w:color="auto"/>
                      <w:right w:val="outset" w:sz="4" w:space="0" w:color="auto"/>
                    </w:tcBorders>
                    <w:vAlign w:val="center"/>
                  </w:tcPr>
                  <w:p w:rsidR="00B637B2" w:rsidRPr="008271D3" w:rsidRDefault="008F04CF" w:rsidP="00B637B2">
                    <w:pPr>
                      <w:jc w:val="right"/>
                    </w:pPr>
                    <w:r w:rsidRPr="008271D3">
                      <w:t>5,500,504</w:t>
                    </w:r>
                  </w:p>
                </w:tc>
                <w:tc>
                  <w:tcPr>
                    <w:tcW w:w="1152" w:type="pct"/>
                    <w:tcBorders>
                      <w:top w:val="outset" w:sz="4" w:space="0" w:color="auto"/>
                      <w:left w:val="outset" w:sz="4" w:space="0" w:color="auto"/>
                      <w:bottom w:val="outset" w:sz="4" w:space="0" w:color="auto"/>
                      <w:right w:val="outset" w:sz="4" w:space="0" w:color="auto"/>
                    </w:tcBorders>
                    <w:vAlign w:val="center"/>
                  </w:tcPr>
                  <w:p w:rsidR="00B637B2" w:rsidRPr="008271D3" w:rsidRDefault="008F04CF" w:rsidP="00B637B2">
                    <w:pPr>
                      <w:jc w:val="right"/>
                    </w:pPr>
                    <w:r w:rsidRPr="008271D3">
                      <w:t>160,639,575</w:t>
                    </w:r>
                  </w:p>
                </w:tc>
              </w:tr>
              <w:tr w:rsidR="00B637B2" w:rsidTr="00B637B2">
                <w:sdt>
                  <w:sdtPr>
                    <w:tag w:val="_PLD_3a0ffc6a5d6f4279bf5f479f6d37fa63"/>
                    <w:id w:val="226042629"/>
                    <w:lock w:val="sdtLocked"/>
                  </w:sdtPr>
                  <w:sdtContent>
                    <w:tc>
                      <w:tcPr>
                        <w:tcW w:w="2166" w:type="pct"/>
                        <w:tcBorders>
                          <w:top w:val="outset" w:sz="4" w:space="0" w:color="auto"/>
                          <w:left w:val="outset" w:sz="4" w:space="0" w:color="auto"/>
                          <w:bottom w:val="outset" w:sz="4" w:space="0" w:color="auto"/>
                          <w:right w:val="outset" w:sz="4" w:space="0" w:color="auto"/>
                        </w:tcBorders>
                      </w:tcPr>
                      <w:p w:rsidR="00B637B2" w:rsidRDefault="008F04CF" w:rsidP="00B637B2">
                        <w:pPr>
                          <w:ind w:firstLineChars="100" w:firstLine="210"/>
                          <w:rPr>
                            <w:szCs w:val="21"/>
                          </w:rPr>
                        </w:pPr>
                        <w:r>
                          <w:rPr>
                            <w:rFonts w:hint="eastAsia"/>
                            <w:szCs w:val="21"/>
                          </w:rPr>
                          <w:t>取得投资收益收到的现金</w:t>
                        </w:r>
                      </w:p>
                    </w:tc>
                  </w:sdtContent>
                </w:sdt>
                <w:tc>
                  <w:tcPr>
                    <w:tcW w:w="563"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19" w:type="pct"/>
                    <w:tcBorders>
                      <w:top w:val="outset" w:sz="4" w:space="0" w:color="auto"/>
                      <w:left w:val="outset" w:sz="4" w:space="0" w:color="auto"/>
                      <w:bottom w:val="outset" w:sz="4" w:space="0" w:color="auto"/>
                      <w:right w:val="outset" w:sz="4" w:space="0" w:color="auto"/>
                    </w:tcBorders>
                    <w:vAlign w:val="center"/>
                  </w:tcPr>
                  <w:p w:rsidR="00B637B2" w:rsidRPr="008271D3" w:rsidRDefault="008F04CF" w:rsidP="00B637B2">
                    <w:pPr>
                      <w:jc w:val="right"/>
                    </w:pPr>
                    <w:r w:rsidRPr="008271D3">
                      <w:t>139,152,938</w:t>
                    </w:r>
                  </w:p>
                </w:tc>
                <w:tc>
                  <w:tcPr>
                    <w:tcW w:w="1152"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jc w:val="right"/>
                    </w:pPr>
                    <w:r w:rsidRPr="008271D3">
                      <w:t>329,424,350</w:t>
                    </w:r>
                  </w:p>
                </w:tc>
              </w:tr>
              <w:tr w:rsidR="00B637B2" w:rsidTr="00B637B2">
                <w:sdt>
                  <w:sdtPr>
                    <w:tag w:val="_PLD_ab86d628c73648de84f4c45b64cce1a7"/>
                    <w:id w:val="-1101726848"/>
                    <w:lock w:val="sdtLocked"/>
                  </w:sdtPr>
                  <w:sdtContent>
                    <w:tc>
                      <w:tcPr>
                        <w:tcW w:w="2166" w:type="pct"/>
                        <w:tcBorders>
                          <w:top w:val="outset" w:sz="4" w:space="0" w:color="auto"/>
                          <w:left w:val="outset" w:sz="4" w:space="0" w:color="auto"/>
                          <w:bottom w:val="outset" w:sz="4" w:space="0" w:color="auto"/>
                          <w:right w:val="outset" w:sz="4" w:space="0" w:color="auto"/>
                        </w:tcBorders>
                      </w:tcPr>
                      <w:p w:rsidR="00B637B2" w:rsidRDefault="008F04CF" w:rsidP="00B637B2">
                        <w:pPr>
                          <w:ind w:firstLineChars="100" w:firstLine="210"/>
                          <w:rPr>
                            <w:szCs w:val="21"/>
                          </w:rPr>
                        </w:pPr>
                        <w:r>
                          <w:rPr>
                            <w:rFonts w:hint="eastAsia"/>
                            <w:szCs w:val="21"/>
                          </w:rPr>
                          <w:t>处置固定资产、无形资产和其他长期资产收回的现金净额</w:t>
                        </w:r>
                      </w:p>
                    </w:tc>
                  </w:sdtContent>
                </w:sdt>
                <w:tc>
                  <w:tcPr>
                    <w:tcW w:w="563"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19" w:type="pct"/>
                    <w:tcBorders>
                      <w:top w:val="outset" w:sz="4" w:space="0" w:color="auto"/>
                      <w:left w:val="outset" w:sz="4" w:space="0" w:color="auto"/>
                      <w:bottom w:val="outset" w:sz="4" w:space="0" w:color="auto"/>
                      <w:right w:val="outset" w:sz="4" w:space="0" w:color="auto"/>
                    </w:tcBorders>
                    <w:vAlign w:val="center"/>
                  </w:tcPr>
                  <w:p w:rsidR="00B637B2" w:rsidRPr="00791A24" w:rsidRDefault="008F04CF" w:rsidP="00B637B2">
                    <w:pPr>
                      <w:jc w:val="right"/>
                    </w:pPr>
                    <w:r w:rsidRPr="00791A24">
                      <w:t>-</w:t>
                    </w:r>
                  </w:p>
                </w:tc>
                <w:tc>
                  <w:tcPr>
                    <w:tcW w:w="1152" w:type="pct"/>
                    <w:tcBorders>
                      <w:top w:val="outset" w:sz="4" w:space="0" w:color="auto"/>
                      <w:left w:val="outset" w:sz="4" w:space="0" w:color="auto"/>
                      <w:bottom w:val="outset" w:sz="4" w:space="0" w:color="auto"/>
                      <w:right w:val="outset" w:sz="4" w:space="0" w:color="auto"/>
                    </w:tcBorders>
                    <w:vAlign w:val="center"/>
                  </w:tcPr>
                  <w:p w:rsidR="00B637B2" w:rsidRPr="00791A24" w:rsidRDefault="008F04CF" w:rsidP="00B637B2">
                    <w:pPr>
                      <w:jc w:val="right"/>
                    </w:pPr>
                    <w:r w:rsidRPr="00791A24">
                      <w:t>485,848</w:t>
                    </w:r>
                  </w:p>
                </w:tc>
              </w:tr>
              <w:tr w:rsidR="00B637B2" w:rsidTr="00B637B2">
                <w:sdt>
                  <w:sdtPr>
                    <w:tag w:val="_PLD_21334c9538694cfcadc2b7850ff168f3"/>
                    <w:id w:val="-772779994"/>
                    <w:lock w:val="sdtLocked"/>
                  </w:sdtPr>
                  <w:sdtContent>
                    <w:tc>
                      <w:tcPr>
                        <w:tcW w:w="2166" w:type="pct"/>
                        <w:tcBorders>
                          <w:top w:val="outset" w:sz="4" w:space="0" w:color="auto"/>
                          <w:left w:val="outset" w:sz="4" w:space="0" w:color="auto"/>
                          <w:bottom w:val="outset" w:sz="4" w:space="0" w:color="auto"/>
                          <w:right w:val="outset" w:sz="4" w:space="0" w:color="auto"/>
                        </w:tcBorders>
                      </w:tcPr>
                      <w:p w:rsidR="00B637B2" w:rsidRDefault="008F04CF" w:rsidP="00B637B2">
                        <w:pPr>
                          <w:ind w:firstLineChars="100" w:firstLine="210"/>
                          <w:rPr>
                            <w:szCs w:val="21"/>
                          </w:rPr>
                        </w:pPr>
                        <w:r>
                          <w:rPr>
                            <w:rFonts w:hint="eastAsia"/>
                            <w:szCs w:val="21"/>
                          </w:rPr>
                          <w:t>处置子公司及其他营业单位收到的现金净额</w:t>
                        </w:r>
                      </w:p>
                    </w:tc>
                  </w:sdtContent>
                </w:sdt>
                <w:tc>
                  <w:tcPr>
                    <w:tcW w:w="563"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19" w:type="pct"/>
                    <w:tcBorders>
                      <w:top w:val="outset" w:sz="4" w:space="0" w:color="auto"/>
                      <w:left w:val="outset" w:sz="4" w:space="0" w:color="auto"/>
                      <w:bottom w:val="outset" w:sz="4" w:space="0" w:color="auto"/>
                      <w:right w:val="outset" w:sz="4" w:space="0" w:color="auto"/>
                    </w:tcBorders>
                    <w:vAlign w:val="center"/>
                  </w:tcPr>
                  <w:p w:rsidR="00B637B2" w:rsidRPr="00791A24" w:rsidRDefault="008F04CF" w:rsidP="00B637B2">
                    <w:pPr>
                      <w:jc w:val="right"/>
                    </w:pPr>
                    <w:r w:rsidRPr="00791A24">
                      <w:t>-</w:t>
                    </w:r>
                  </w:p>
                </w:tc>
                <w:tc>
                  <w:tcPr>
                    <w:tcW w:w="1152" w:type="pct"/>
                    <w:tcBorders>
                      <w:top w:val="outset" w:sz="4" w:space="0" w:color="auto"/>
                      <w:left w:val="outset" w:sz="4" w:space="0" w:color="auto"/>
                      <w:bottom w:val="outset" w:sz="4" w:space="0" w:color="auto"/>
                      <w:right w:val="outset" w:sz="4" w:space="0" w:color="auto"/>
                    </w:tcBorders>
                    <w:vAlign w:val="center"/>
                  </w:tcPr>
                  <w:p w:rsidR="00B637B2" w:rsidRPr="00791A24" w:rsidRDefault="008F04CF" w:rsidP="00B637B2">
                    <w:pPr>
                      <w:jc w:val="right"/>
                    </w:pPr>
                    <w:r w:rsidRPr="00791A24">
                      <w:t>-</w:t>
                    </w:r>
                  </w:p>
                </w:tc>
              </w:tr>
              <w:tr w:rsidR="00B637B2" w:rsidTr="00B637B2">
                <w:sdt>
                  <w:sdtPr>
                    <w:tag w:val="_PLD_1bbc06129d1649f69097b53902bcb183"/>
                    <w:id w:val="424071230"/>
                    <w:lock w:val="sdtLocked"/>
                  </w:sdtPr>
                  <w:sdtContent>
                    <w:tc>
                      <w:tcPr>
                        <w:tcW w:w="2166" w:type="pct"/>
                        <w:tcBorders>
                          <w:top w:val="outset" w:sz="4" w:space="0" w:color="auto"/>
                          <w:left w:val="outset" w:sz="4" w:space="0" w:color="auto"/>
                          <w:bottom w:val="outset" w:sz="4" w:space="0" w:color="auto"/>
                          <w:right w:val="outset" w:sz="4" w:space="0" w:color="auto"/>
                        </w:tcBorders>
                      </w:tcPr>
                      <w:p w:rsidR="00B637B2" w:rsidRDefault="008F04CF" w:rsidP="00B637B2">
                        <w:pPr>
                          <w:ind w:firstLineChars="100" w:firstLine="210"/>
                          <w:rPr>
                            <w:szCs w:val="21"/>
                          </w:rPr>
                        </w:pPr>
                        <w:r>
                          <w:rPr>
                            <w:rFonts w:hint="eastAsia"/>
                            <w:szCs w:val="21"/>
                          </w:rPr>
                          <w:t>收到其他与投资活动有关的现金</w:t>
                        </w:r>
                      </w:p>
                    </w:tc>
                  </w:sdtContent>
                </w:sdt>
                <w:tc>
                  <w:tcPr>
                    <w:tcW w:w="563"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19" w:type="pct"/>
                    <w:tcBorders>
                      <w:top w:val="outset" w:sz="4" w:space="0" w:color="auto"/>
                      <w:left w:val="outset" w:sz="4" w:space="0" w:color="auto"/>
                      <w:bottom w:val="outset" w:sz="4" w:space="0" w:color="auto"/>
                      <w:right w:val="outset" w:sz="4" w:space="0" w:color="auto"/>
                    </w:tcBorders>
                    <w:vAlign w:val="center"/>
                  </w:tcPr>
                  <w:p w:rsidR="00B637B2" w:rsidRPr="00791A24" w:rsidRDefault="008F04CF" w:rsidP="00B637B2">
                    <w:pPr>
                      <w:jc w:val="right"/>
                    </w:pPr>
                    <w:r w:rsidRPr="00791A24">
                      <w:t>2,426,128</w:t>
                    </w:r>
                  </w:p>
                </w:tc>
                <w:tc>
                  <w:tcPr>
                    <w:tcW w:w="1152"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jc w:val="right"/>
                    </w:pPr>
                    <w:r w:rsidRPr="00791A24">
                      <w:t>7,115,262</w:t>
                    </w:r>
                  </w:p>
                </w:tc>
              </w:tr>
              <w:tr w:rsidR="00B637B2" w:rsidTr="00B637B2">
                <w:sdt>
                  <w:sdtPr>
                    <w:tag w:val="_PLD_7d740284844e4f809679ef6bb77b25bc"/>
                    <w:id w:val="1036239199"/>
                    <w:lock w:val="sdtLocked"/>
                  </w:sdtPr>
                  <w:sdtContent>
                    <w:tc>
                      <w:tcPr>
                        <w:tcW w:w="2166" w:type="pct"/>
                        <w:tcBorders>
                          <w:top w:val="outset" w:sz="4" w:space="0" w:color="auto"/>
                          <w:left w:val="outset" w:sz="4" w:space="0" w:color="auto"/>
                          <w:bottom w:val="outset" w:sz="4" w:space="0" w:color="auto"/>
                          <w:right w:val="outset" w:sz="4" w:space="0" w:color="auto"/>
                        </w:tcBorders>
                      </w:tcPr>
                      <w:p w:rsidR="00B637B2" w:rsidRDefault="008F04CF" w:rsidP="00B637B2">
                        <w:pPr>
                          <w:ind w:firstLineChars="200" w:firstLine="420"/>
                          <w:rPr>
                            <w:color w:val="000000"/>
                            <w:szCs w:val="21"/>
                          </w:rPr>
                        </w:pPr>
                        <w:r>
                          <w:rPr>
                            <w:rFonts w:hint="eastAsia"/>
                            <w:szCs w:val="21"/>
                          </w:rPr>
                          <w:t>投资活动现金流入小计</w:t>
                        </w:r>
                      </w:p>
                    </w:tc>
                  </w:sdtContent>
                </w:sdt>
                <w:tc>
                  <w:tcPr>
                    <w:tcW w:w="563"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19" w:type="pct"/>
                    <w:tcBorders>
                      <w:top w:val="outset" w:sz="4" w:space="0" w:color="auto"/>
                      <w:left w:val="outset" w:sz="4" w:space="0" w:color="auto"/>
                      <w:bottom w:val="outset" w:sz="4" w:space="0" w:color="auto"/>
                      <w:right w:val="outset" w:sz="4" w:space="0" w:color="auto"/>
                    </w:tcBorders>
                    <w:vAlign w:val="center"/>
                  </w:tcPr>
                  <w:p w:rsidR="00B637B2" w:rsidRPr="00C42245" w:rsidRDefault="008F04CF" w:rsidP="00B637B2">
                    <w:pPr>
                      <w:jc w:val="right"/>
                    </w:pPr>
                    <w:r w:rsidRPr="00C42245">
                      <w:t>147,079,570</w:t>
                    </w:r>
                  </w:p>
                </w:tc>
                <w:tc>
                  <w:tcPr>
                    <w:tcW w:w="1152"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jc w:val="right"/>
                    </w:pPr>
                    <w:r w:rsidRPr="00C42245">
                      <w:t>497,665,035</w:t>
                    </w:r>
                  </w:p>
                </w:tc>
              </w:tr>
              <w:tr w:rsidR="00B637B2" w:rsidTr="00B637B2">
                <w:sdt>
                  <w:sdtPr>
                    <w:tag w:val="_PLD_62fef635400a49fdab7a94e37c70f56f"/>
                    <w:id w:val="-768467491"/>
                    <w:lock w:val="sdtLocked"/>
                  </w:sdtPr>
                  <w:sdtContent>
                    <w:tc>
                      <w:tcPr>
                        <w:tcW w:w="2166" w:type="pct"/>
                        <w:tcBorders>
                          <w:top w:val="outset" w:sz="4" w:space="0" w:color="auto"/>
                          <w:left w:val="outset" w:sz="4" w:space="0" w:color="auto"/>
                          <w:bottom w:val="outset" w:sz="4" w:space="0" w:color="auto"/>
                          <w:right w:val="outset" w:sz="4" w:space="0" w:color="auto"/>
                        </w:tcBorders>
                      </w:tcPr>
                      <w:p w:rsidR="00B637B2" w:rsidRDefault="008F04CF" w:rsidP="00B637B2">
                        <w:pPr>
                          <w:ind w:firstLineChars="100" w:firstLine="210"/>
                          <w:rPr>
                            <w:szCs w:val="21"/>
                          </w:rPr>
                        </w:pPr>
                        <w:r>
                          <w:rPr>
                            <w:rFonts w:hint="eastAsia"/>
                            <w:szCs w:val="21"/>
                          </w:rPr>
                          <w:t>购建固定资产、无形资产和其他长期资产支付的现金</w:t>
                        </w:r>
                      </w:p>
                    </w:tc>
                  </w:sdtContent>
                </w:sdt>
                <w:tc>
                  <w:tcPr>
                    <w:tcW w:w="563"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19" w:type="pct"/>
                    <w:tcBorders>
                      <w:top w:val="outset" w:sz="4" w:space="0" w:color="auto"/>
                      <w:left w:val="outset" w:sz="4" w:space="0" w:color="auto"/>
                      <w:bottom w:val="outset" w:sz="4" w:space="0" w:color="auto"/>
                      <w:right w:val="outset" w:sz="4" w:space="0" w:color="auto"/>
                    </w:tcBorders>
                    <w:vAlign w:val="center"/>
                  </w:tcPr>
                  <w:p w:rsidR="00B637B2" w:rsidRPr="008D4DC4" w:rsidRDefault="008F04CF" w:rsidP="00B637B2">
                    <w:pPr>
                      <w:jc w:val="right"/>
                    </w:pPr>
                    <w:r w:rsidRPr="008D4DC4">
                      <w:t>72,133,335</w:t>
                    </w:r>
                  </w:p>
                </w:tc>
                <w:tc>
                  <w:tcPr>
                    <w:tcW w:w="1152" w:type="pct"/>
                    <w:tcBorders>
                      <w:top w:val="outset" w:sz="4" w:space="0" w:color="auto"/>
                      <w:left w:val="outset" w:sz="4" w:space="0" w:color="auto"/>
                      <w:bottom w:val="outset" w:sz="4" w:space="0" w:color="auto"/>
                      <w:right w:val="outset" w:sz="4" w:space="0" w:color="auto"/>
                    </w:tcBorders>
                    <w:vAlign w:val="center"/>
                  </w:tcPr>
                  <w:p w:rsidR="00B637B2" w:rsidRPr="008D4DC4" w:rsidRDefault="008F04CF" w:rsidP="00B637B2">
                    <w:pPr>
                      <w:jc w:val="right"/>
                    </w:pPr>
                    <w:r w:rsidRPr="008D4DC4">
                      <w:t>68,795,879</w:t>
                    </w:r>
                  </w:p>
                </w:tc>
              </w:tr>
              <w:tr w:rsidR="00B637B2" w:rsidTr="00B637B2">
                <w:sdt>
                  <w:sdtPr>
                    <w:tag w:val="_PLD_1ef5a0eb21854c7a9b13f6f3b7a8ebcc"/>
                    <w:id w:val="39640921"/>
                    <w:lock w:val="sdtLocked"/>
                  </w:sdtPr>
                  <w:sdtContent>
                    <w:tc>
                      <w:tcPr>
                        <w:tcW w:w="2166" w:type="pct"/>
                        <w:tcBorders>
                          <w:top w:val="outset" w:sz="4" w:space="0" w:color="auto"/>
                          <w:left w:val="outset" w:sz="4" w:space="0" w:color="auto"/>
                          <w:bottom w:val="outset" w:sz="4" w:space="0" w:color="auto"/>
                          <w:right w:val="outset" w:sz="4" w:space="0" w:color="auto"/>
                        </w:tcBorders>
                      </w:tcPr>
                      <w:p w:rsidR="00B637B2" w:rsidRDefault="008F04CF" w:rsidP="00B637B2">
                        <w:pPr>
                          <w:ind w:firstLineChars="100" w:firstLine="210"/>
                          <w:rPr>
                            <w:szCs w:val="21"/>
                          </w:rPr>
                        </w:pPr>
                        <w:r>
                          <w:rPr>
                            <w:rFonts w:hint="eastAsia"/>
                            <w:szCs w:val="21"/>
                          </w:rPr>
                          <w:t>投资支付的现金</w:t>
                        </w:r>
                      </w:p>
                    </w:tc>
                  </w:sdtContent>
                </w:sdt>
                <w:tc>
                  <w:tcPr>
                    <w:tcW w:w="563"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19" w:type="pct"/>
                    <w:tcBorders>
                      <w:top w:val="outset" w:sz="4" w:space="0" w:color="auto"/>
                      <w:left w:val="outset" w:sz="4" w:space="0" w:color="auto"/>
                      <w:bottom w:val="outset" w:sz="4" w:space="0" w:color="auto"/>
                      <w:right w:val="outset" w:sz="4" w:space="0" w:color="auto"/>
                    </w:tcBorders>
                    <w:vAlign w:val="center"/>
                  </w:tcPr>
                  <w:p w:rsidR="00B637B2" w:rsidRPr="008D4DC4" w:rsidRDefault="008F04CF" w:rsidP="00B637B2">
                    <w:pPr>
                      <w:jc w:val="right"/>
                    </w:pPr>
                    <w:r w:rsidRPr="008D4DC4">
                      <w:t>155,300,000</w:t>
                    </w:r>
                  </w:p>
                </w:tc>
                <w:tc>
                  <w:tcPr>
                    <w:tcW w:w="1152" w:type="pct"/>
                    <w:tcBorders>
                      <w:top w:val="outset" w:sz="4" w:space="0" w:color="auto"/>
                      <w:left w:val="outset" w:sz="4" w:space="0" w:color="auto"/>
                      <w:bottom w:val="outset" w:sz="4" w:space="0" w:color="auto"/>
                      <w:right w:val="outset" w:sz="4" w:space="0" w:color="auto"/>
                    </w:tcBorders>
                    <w:vAlign w:val="center"/>
                  </w:tcPr>
                  <w:p w:rsidR="00B637B2" w:rsidRPr="008D4DC4" w:rsidRDefault="008F04CF" w:rsidP="00B637B2">
                    <w:pPr>
                      <w:jc w:val="right"/>
                    </w:pPr>
                    <w:r w:rsidRPr="008D4DC4">
                      <w:t>394,200,009</w:t>
                    </w:r>
                  </w:p>
                </w:tc>
              </w:tr>
              <w:tr w:rsidR="00B637B2" w:rsidTr="00B637B2">
                <w:sdt>
                  <w:sdtPr>
                    <w:tag w:val="_PLD_7d0701b5e83d4159a4e201e3bfc27ba1"/>
                    <w:id w:val="-1098099355"/>
                    <w:lock w:val="sdtLocked"/>
                  </w:sdtPr>
                  <w:sdtContent>
                    <w:tc>
                      <w:tcPr>
                        <w:tcW w:w="2166" w:type="pct"/>
                        <w:tcBorders>
                          <w:top w:val="outset" w:sz="4" w:space="0" w:color="auto"/>
                          <w:left w:val="outset" w:sz="4" w:space="0" w:color="auto"/>
                          <w:bottom w:val="outset" w:sz="4" w:space="0" w:color="auto"/>
                          <w:right w:val="outset" w:sz="4" w:space="0" w:color="auto"/>
                        </w:tcBorders>
                      </w:tcPr>
                      <w:p w:rsidR="00B637B2" w:rsidRDefault="008F04CF" w:rsidP="00B637B2">
                        <w:pPr>
                          <w:ind w:firstLineChars="100" w:firstLine="210"/>
                          <w:rPr>
                            <w:szCs w:val="21"/>
                          </w:rPr>
                        </w:pPr>
                        <w:r>
                          <w:rPr>
                            <w:rFonts w:hint="eastAsia"/>
                            <w:szCs w:val="21"/>
                          </w:rPr>
                          <w:t>取得子公司及其他营业单位支付的现金净额</w:t>
                        </w:r>
                      </w:p>
                    </w:tc>
                  </w:sdtContent>
                </w:sdt>
                <w:tc>
                  <w:tcPr>
                    <w:tcW w:w="563"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19" w:type="pct"/>
                    <w:tcBorders>
                      <w:top w:val="outset" w:sz="4" w:space="0" w:color="auto"/>
                      <w:left w:val="outset" w:sz="4" w:space="0" w:color="auto"/>
                      <w:bottom w:val="outset" w:sz="4" w:space="0" w:color="auto"/>
                      <w:right w:val="outset" w:sz="4" w:space="0" w:color="auto"/>
                    </w:tcBorders>
                    <w:vAlign w:val="center"/>
                  </w:tcPr>
                  <w:p w:rsidR="00B637B2" w:rsidRPr="008D4DC4" w:rsidRDefault="008F04CF" w:rsidP="00B637B2">
                    <w:pPr>
                      <w:jc w:val="right"/>
                    </w:pPr>
                    <w:r w:rsidRPr="008D4DC4">
                      <w:t>-</w:t>
                    </w:r>
                  </w:p>
                </w:tc>
                <w:tc>
                  <w:tcPr>
                    <w:tcW w:w="1152" w:type="pct"/>
                    <w:tcBorders>
                      <w:top w:val="outset" w:sz="4" w:space="0" w:color="auto"/>
                      <w:left w:val="outset" w:sz="4" w:space="0" w:color="auto"/>
                      <w:bottom w:val="outset" w:sz="4" w:space="0" w:color="auto"/>
                      <w:right w:val="outset" w:sz="4" w:space="0" w:color="auto"/>
                    </w:tcBorders>
                    <w:vAlign w:val="center"/>
                  </w:tcPr>
                  <w:p w:rsidR="00B637B2" w:rsidRPr="008D4DC4" w:rsidRDefault="008F04CF" w:rsidP="00B637B2">
                    <w:pPr>
                      <w:jc w:val="right"/>
                    </w:pPr>
                    <w:r w:rsidRPr="008D4DC4">
                      <w:t>44,372,000</w:t>
                    </w:r>
                  </w:p>
                </w:tc>
              </w:tr>
              <w:tr w:rsidR="00B637B2" w:rsidTr="00B637B2">
                <w:sdt>
                  <w:sdtPr>
                    <w:tag w:val="_PLD_813ddb5a043d48ffa883eb8db9d86449"/>
                    <w:id w:val="1270273455"/>
                    <w:lock w:val="sdtLocked"/>
                  </w:sdtPr>
                  <w:sdtContent>
                    <w:tc>
                      <w:tcPr>
                        <w:tcW w:w="2166" w:type="pct"/>
                        <w:tcBorders>
                          <w:top w:val="outset" w:sz="4" w:space="0" w:color="auto"/>
                          <w:left w:val="outset" w:sz="4" w:space="0" w:color="auto"/>
                          <w:bottom w:val="outset" w:sz="4" w:space="0" w:color="auto"/>
                          <w:right w:val="outset" w:sz="4" w:space="0" w:color="auto"/>
                        </w:tcBorders>
                      </w:tcPr>
                      <w:p w:rsidR="00B637B2" w:rsidRDefault="008F04CF" w:rsidP="00B637B2">
                        <w:pPr>
                          <w:ind w:firstLineChars="100" w:firstLine="210"/>
                          <w:rPr>
                            <w:szCs w:val="21"/>
                          </w:rPr>
                        </w:pPr>
                        <w:r>
                          <w:rPr>
                            <w:rFonts w:hint="eastAsia"/>
                            <w:szCs w:val="21"/>
                          </w:rPr>
                          <w:t>支付其他与投资活动有关的现金</w:t>
                        </w:r>
                      </w:p>
                    </w:tc>
                  </w:sdtContent>
                </w:sdt>
                <w:tc>
                  <w:tcPr>
                    <w:tcW w:w="563"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19" w:type="pct"/>
                    <w:tcBorders>
                      <w:top w:val="outset" w:sz="4" w:space="0" w:color="auto"/>
                      <w:left w:val="outset" w:sz="4" w:space="0" w:color="auto"/>
                      <w:bottom w:val="outset" w:sz="4" w:space="0" w:color="auto"/>
                      <w:right w:val="outset" w:sz="4" w:space="0" w:color="auto"/>
                    </w:tcBorders>
                    <w:vAlign w:val="center"/>
                  </w:tcPr>
                  <w:p w:rsidR="00B637B2" w:rsidRPr="008D4DC4" w:rsidRDefault="008F04CF" w:rsidP="00B637B2">
                    <w:pPr>
                      <w:jc w:val="right"/>
                    </w:pPr>
                    <w:r w:rsidRPr="008D4DC4">
                      <w:t>51,246,662</w:t>
                    </w:r>
                  </w:p>
                </w:tc>
                <w:tc>
                  <w:tcPr>
                    <w:tcW w:w="1152" w:type="pct"/>
                    <w:tcBorders>
                      <w:top w:val="outset" w:sz="4" w:space="0" w:color="auto"/>
                      <w:left w:val="outset" w:sz="4" w:space="0" w:color="auto"/>
                      <w:bottom w:val="outset" w:sz="4" w:space="0" w:color="auto"/>
                      <w:right w:val="outset" w:sz="4" w:space="0" w:color="auto"/>
                    </w:tcBorders>
                    <w:vAlign w:val="center"/>
                  </w:tcPr>
                  <w:p w:rsidR="00B637B2" w:rsidRPr="008D4DC4" w:rsidRDefault="008F04CF" w:rsidP="00B637B2">
                    <w:pPr>
                      <w:jc w:val="right"/>
                    </w:pPr>
                    <w:r w:rsidRPr="008D4DC4">
                      <w:t>143,653,179</w:t>
                    </w:r>
                  </w:p>
                </w:tc>
              </w:tr>
              <w:tr w:rsidR="00B637B2" w:rsidTr="00B637B2">
                <w:sdt>
                  <w:sdtPr>
                    <w:tag w:val="_PLD_ebc63f66aafc42e49516dac116f4b4d5"/>
                    <w:id w:val="264352443"/>
                    <w:lock w:val="sdtLocked"/>
                  </w:sdtPr>
                  <w:sdtContent>
                    <w:tc>
                      <w:tcPr>
                        <w:tcW w:w="2166" w:type="pct"/>
                        <w:tcBorders>
                          <w:top w:val="outset" w:sz="4" w:space="0" w:color="auto"/>
                          <w:left w:val="outset" w:sz="4" w:space="0" w:color="auto"/>
                          <w:bottom w:val="outset" w:sz="4" w:space="0" w:color="auto"/>
                          <w:right w:val="outset" w:sz="4" w:space="0" w:color="auto"/>
                        </w:tcBorders>
                      </w:tcPr>
                      <w:p w:rsidR="00B637B2" w:rsidRDefault="008F04CF" w:rsidP="00B637B2">
                        <w:pPr>
                          <w:ind w:firstLineChars="200" w:firstLine="420"/>
                          <w:rPr>
                            <w:color w:val="000000"/>
                            <w:szCs w:val="21"/>
                          </w:rPr>
                        </w:pPr>
                        <w:r>
                          <w:rPr>
                            <w:rFonts w:hint="eastAsia"/>
                            <w:szCs w:val="21"/>
                          </w:rPr>
                          <w:t>投资活动现金流出小计</w:t>
                        </w:r>
                      </w:p>
                    </w:tc>
                  </w:sdtContent>
                </w:sdt>
                <w:tc>
                  <w:tcPr>
                    <w:tcW w:w="563"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19" w:type="pct"/>
                    <w:tcBorders>
                      <w:top w:val="outset" w:sz="4" w:space="0" w:color="auto"/>
                      <w:left w:val="outset" w:sz="4" w:space="0" w:color="auto"/>
                      <w:bottom w:val="outset" w:sz="4" w:space="0" w:color="auto"/>
                      <w:right w:val="outset" w:sz="4" w:space="0" w:color="auto"/>
                    </w:tcBorders>
                    <w:vAlign w:val="center"/>
                  </w:tcPr>
                  <w:p w:rsidR="00B637B2" w:rsidRPr="008D4DC4" w:rsidRDefault="008F04CF" w:rsidP="00B637B2">
                    <w:pPr>
                      <w:jc w:val="right"/>
                    </w:pPr>
                    <w:r w:rsidRPr="008D4DC4">
                      <w:t>278,679,997</w:t>
                    </w:r>
                  </w:p>
                </w:tc>
                <w:tc>
                  <w:tcPr>
                    <w:tcW w:w="1152"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jc w:val="right"/>
                    </w:pPr>
                    <w:r w:rsidRPr="008D4DC4">
                      <w:t>651,021,067</w:t>
                    </w:r>
                  </w:p>
                </w:tc>
              </w:tr>
              <w:tr w:rsidR="00B637B2" w:rsidTr="00B637B2">
                <w:sdt>
                  <w:sdtPr>
                    <w:tag w:val="_PLD_616b02a522724a558ecbae77fe729bdb"/>
                    <w:id w:val="64222697"/>
                    <w:lock w:val="sdtLocked"/>
                  </w:sdtPr>
                  <w:sdtContent>
                    <w:tc>
                      <w:tcPr>
                        <w:tcW w:w="2166" w:type="pct"/>
                        <w:tcBorders>
                          <w:top w:val="outset" w:sz="4" w:space="0" w:color="auto"/>
                          <w:left w:val="outset" w:sz="4" w:space="0" w:color="auto"/>
                          <w:bottom w:val="outset" w:sz="4" w:space="0" w:color="auto"/>
                          <w:right w:val="outset" w:sz="4" w:space="0" w:color="auto"/>
                        </w:tcBorders>
                      </w:tcPr>
                      <w:p w:rsidR="00B637B2" w:rsidRDefault="008F04CF" w:rsidP="00B637B2">
                        <w:pPr>
                          <w:ind w:firstLineChars="300" w:firstLine="630"/>
                          <w:rPr>
                            <w:color w:val="000000"/>
                            <w:szCs w:val="21"/>
                          </w:rPr>
                        </w:pPr>
                        <w:r>
                          <w:rPr>
                            <w:rFonts w:hint="eastAsia"/>
                            <w:szCs w:val="21"/>
                          </w:rPr>
                          <w:t>投资活动产生的现金流量净额</w:t>
                        </w:r>
                      </w:p>
                    </w:tc>
                  </w:sdtContent>
                </w:sdt>
                <w:tc>
                  <w:tcPr>
                    <w:tcW w:w="563"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19" w:type="pct"/>
                    <w:tcBorders>
                      <w:top w:val="outset" w:sz="4" w:space="0" w:color="auto"/>
                      <w:left w:val="outset" w:sz="4" w:space="0" w:color="auto"/>
                      <w:bottom w:val="outset" w:sz="4" w:space="0" w:color="auto"/>
                      <w:right w:val="outset" w:sz="4" w:space="0" w:color="auto"/>
                    </w:tcBorders>
                    <w:vAlign w:val="center"/>
                  </w:tcPr>
                  <w:p w:rsidR="00B637B2" w:rsidRPr="008532AB" w:rsidRDefault="008F04CF" w:rsidP="00B637B2">
                    <w:pPr>
                      <w:jc w:val="right"/>
                    </w:pPr>
                    <w:r w:rsidRPr="008532AB">
                      <w:t>-131,600,427</w:t>
                    </w:r>
                  </w:p>
                </w:tc>
                <w:tc>
                  <w:tcPr>
                    <w:tcW w:w="1152"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jc w:val="right"/>
                    </w:pPr>
                    <w:r w:rsidRPr="008532AB">
                      <w:t>-153,356,032</w:t>
                    </w:r>
                  </w:p>
                </w:tc>
              </w:tr>
              <w:tr w:rsidR="00B637B2" w:rsidTr="00B637B2">
                <w:sdt>
                  <w:sdtPr>
                    <w:tag w:val="_PLD_7d68e34216d04af0934267b3078d3c35"/>
                    <w:id w:val="1582016824"/>
                    <w:lock w:val="sdtLocked"/>
                  </w:sdtPr>
                  <w:sdtContent>
                    <w:tc>
                      <w:tcPr>
                        <w:tcW w:w="2166" w:type="pct"/>
                        <w:tcBorders>
                          <w:top w:val="outset" w:sz="4" w:space="0" w:color="auto"/>
                          <w:left w:val="outset" w:sz="4" w:space="0" w:color="auto"/>
                          <w:bottom w:val="outset" w:sz="4" w:space="0" w:color="auto"/>
                          <w:right w:val="outset" w:sz="4" w:space="0" w:color="auto"/>
                        </w:tcBorders>
                      </w:tcPr>
                      <w:p w:rsidR="00B637B2" w:rsidRDefault="008F04CF" w:rsidP="00B637B2">
                        <w:pPr>
                          <w:rPr>
                            <w:color w:val="000000"/>
                            <w:szCs w:val="21"/>
                          </w:rPr>
                        </w:pPr>
                        <w:r>
                          <w:rPr>
                            <w:rFonts w:hint="eastAsia"/>
                            <w:b/>
                            <w:bCs/>
                            <w:szCs w:val="21"/>
                          </w:rPr>
                          <w:t>三、筹资活动产生的现金流量：</w:t>
                        </w:r>
                      </w:p>
                    </w:tc>
                  </w:sdtContent>
                </w:sdt>
                <w:tc>
                  <w:tcPr>
                    <w:tcW w:w="563" w:type="pct"/>
                    <w:tcBorders>
                      <w:top w:val="outset" w:sz="4" w:space="0" w:color="auto"/>
                      <w:left w:val="outset" w:sz="4" w:space="0" w:color="auto"/>
                      <w:bottom w:val="outset" w:sz="4" w:space="0" w:color="auto"/>
                      <w:right w:val="outset" w:sz="4" w:space="0" w:color="auto"/>
                    </w:tcBorders>
                  </w:tcPr>
                  <w:p w:rsidR="00B637B2" w:rsidRDefault="00B637B2" w:rsidP="00B637B2">
                    <w:pPr>
                      <w:rPr>
                        <w:color w:val="008000"/>
                        <w:szCs w:val="21"/>
                      </w:rPr>
                    </w:pPr>
                  </w:p>
                </w:tc>
                <w:tc>
                  <w:tcPr>
                    <w:tcW w:w="1119" w:type="pct"/>
                    <w:tcBorders>
                      <w:top w:val="outset" w:sz="4" w:space="0" w:color="auto"/>
                      <w:left w:val="outset" w:sz="4" w:space="0" w:color="auto"/>
                      <w:bottom w:val="outset" w:sz="4" w:space="0" w:color="auto"/>
                      <w:right w:val="outset" w:sz="4" w:space="0" w:color="auto"/>
                    </w:tcBorders>
                    <w:vAlign w:val="center"/>
                  </w:tcPr>
                  <w:p w:rsidR="00B637B2" w:rsidRDefault="00B637B2" w:rsidP="00B637B2">
                    <w:pPr>
                      <w:jc w:val="right"/>
                      <w:rPr>
                        <w:color w:val="008000"/>
                        <w:szCs w:val="21"/>
                      </w:rPr>
                    </w:pPr>
                  </w:p>
                </w:tc>
                <w:tc>
                  <w:tcPr>
                    <w:tcW w:w="1152" w:type="pct"/>
                    <w:tcBorders>
                      <w:top w:val="outset" w:sz="4" w:space="0" w:color="auto"/>
                      <w:left w:val="outset" w:sz="4" w:space="0" w:color="auto"/>
                      <w:bottom w:val="outset" w:sz="4" w:space="0" w:color="auto"/>
                      <w:right w:val="outset" w:sz="4" w:space="0" w:color="auto"/>
                    </w:tcBorders>
                    <w:vAlign w:val="center"/>
                  </w:tcPr>
                  <w:p w:rsidR="00B637B2" w:rsidRDefault="00B637B2" w:rsidP="00B637B2">
                    <w:pPr>
                      <w:jc w:val="right"/>
                      <w:rPr>
                        <w:color w:val="008000"/>
                        <w:szCs w:val="21"/>
                      </w:rPr>
                    </w:pPr>
                  </w:p>
                </w:tc>
              </w:tr>
              <w:tr w:rsidR="00B637B2" w:rsidTr="00B637B2">
                <w:sdt>
                  <w:sdtPr>
                    <w:tag w:val="_PLD_12516ea91b664cd98125761df9d8009e"/>
                    <w:id w:val="965393277"/>
                    <w:lock w:val="sdtLocked"/>
                  </w:sdtPr>
                  <w:sdtContent>
                    <w:tc>
                      <w:tcPr>
                        <w:tcW w:w="2166" w:type="pct"/>
                        <w:tcBorders>
                          <w:top w:val="outset" w:sz="4" w:space="0" w:color="auto"/>
                          <w:left w:val="outset" w:sz="4" w:space="0" w:color="auto"/>
                          <w:bottom w:val="outset" w:sz="4" w:space="0" w:color="auto"/>
                          <w:right w:val="outset" w:sz="4" w:space="0" w:color="auto"/>
                        </w:tcBorders>
                      </w:tcPr>
                      <w:p w:rsidR="00B637B2" w:rsidRDefault="008F04CF" w:rsidP="00B637B2">
                        <w:pPr>
                          <w:ind w:firstLineChars="100" w:firstLine="210"/>
                          <w:rPr>
                            <w:color w:val="000000"/>
                            <w:szCs w:val="21"/>
                          </w:rPr>
                        </w:pPr>
                        <w:r>
                          <w:rPr>
                            <w:rFonts w:hint="eastAsia"/>
                            <w:szCs w:val="21"/>
                          </w:rPr>
                          <w:t>吸收投资收到的现金</w:t>
                        </w:r>
                      </w:p>
                    </w:tc>
                  </w:sdtContent>
                </w:sdt>
                <w:tc>
                  <w:tcPr>
                    <w:tcW w:w="563"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19" w:type="pct"/>
                    <w:tcBorders>
                      <w:top w:val="outset" w:sz="4" w:space="0" w:color="auto"/>
                      <w:left w:val="outset" w:sz="4" w:space="0" w:color="auto"/>
                      <w:bottom w:val="outset" w:sz="4" w:space="0" w:color="auto"/>
                      <w:right w:val="outset" w:sz="4" w:space="0" w:color="auto"/>
                    </w:tcBorders>
                    <w:vAlign w:val="center"/>
                  </w:tcPr>
                  <w:p w:rsidR="00B637B2" w:rsidRDefault="00B637B2" w:rsidP="00B637B2">
                    <w:pPr>
                      <w:jc w:val="right"/>
                      <w:rPr>
                        <w:szCs w:val="21"/>
                      </w:rPr>
                    </w:pPr>
                  </w:p>
                </w:tc>
                <w:tc>
                  <w:tcPr>
                    <w:tcW w:w="1152" w:type="pct"/>
                    <w:tcBorders>
                      <w:top w:val="outset" w:sz="4" w:space="0" w:color="auto"/>
                      <w:left w:val="outset" w:sz="4" w:space="0" w:color="auto"/>
                      <w:bottom w:val="outset" w:sz="4" w:space="0" w:color="auto"/>
                      <w:right w:val="outset" w:sz="4" w:space="0" w:color="auto"/>
                    </w:tcBorders>
                    <w:vAlign w:val="center"/>
                  </w:tcPr>
                  <w:p w:rsidR="00B637B2" w:rsidRDefault="00B637B2" w:rsidP="00B637B2">
                    <w:pPr>
                      <w:jc w:val="right"/>
                      <w:rPr>
                        <w:szCs w:val="21"/>
                      </w:rPr>
                    </w:pPr>
                  </w:p>
                </w:tc>
              </w:tr>
              <w:tr w:rsidR="00B637B2" w:rsidTr="00B637B2">
                <w:sdt>
                  <w:sdtPr>
                    <w:tag w:val="_PLD_29a78e59f2b441018bc188661adf1a5e"/>
                    <w:id w:val="71639631"/>
                    <w:lock w:val="sdtLocked"/>
                  </w:sdtPr>
                  <w:sdtContent>
                    <w:tc>
                      <w:tcPr>
                        <w:tcW w:w="2166" w:type="pct"/>
                        <w:tcBorders>
                          <w:top w:val="outset" w:sz="4" w:space="0" w:color="auto"/>
                          <w:left w:val="outset" w:sz="4" w:space="0" w:color="auto"/>
                          <w:bottom w:val="outset" w:sz="4" w:space="0" w:color="auto"/>
                          <w:right w:val="outset" w:sz="4" w:space="0" w:color="auto"/>
                        </w:tcBorders>
                      </w:tcPr>
                      <w:p w:rsidR="00B637B2" w:rsidRDefault="008F04CF" w:rsidP="00B637B2">
                        <w:pPr>
                          <w:ind w:firstLineChars="100" w:firstLine="210"/>
                          <w:rPr>
                            <w:color w:val="000000"/>
                            <w:szCs w:val="21"/>
                          </w:rPr>
                        </w:pPr>
                        <w:r>
                          <w:rPr>
                            <w:rFonts w:hint="eastAsia"/>
                            <w:szCs w:val="21"/>
                          </w:rPr>
                          <w:t>取得借款收到的现金</w:t>
                        </w:r>
                      </w:p>
                    </w:tc>
                  </w:sdtContent>
                </w:sdt>
                <w:tc>
                  <w:tcPr>
                    <w:tcW w:w="563"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19" w:type="pct"/>
                    <w:tcBorders>
                      <w:top w:val="outset" w:sz="4" w:space="0" w:color="auto"/>
                      <w:left w:val="outset" w:sz="4" w:space="0" w:color="auto"/>
                      <w:bottom w:val="outset" w:sz="4" w:space="0" w:color="auto"/>
                      <w:right w:val="outset" w:sz="4" w:space="0" w:color="auto"/>
                    </w:tcBorders>
                    <w:vAlign w:val="center"/>
                  </w:tcPr>
                  <w:p w:rsidR="00B637B2" w:rsidRPr="00E93585" w:rsidRDefault="008F04CF" w:rsidP="00B637B2">
                    <w:pPr>
                      <w:jc w:val="right"/>
                    </w:pPr>
                    <w:r w:rsidRPr="00E93585">
                      <w:t>3,441,229,199</w:t>
                    </w:r>
                  </w:p>
                </w:tc>
                <w:tc>
                  <w:tcPr>
                    <w:tcW w:w="1152"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jc w:val="right"/>
                    </w:pPr>
                    <w:r w:rsidRPr="00E93585">
                      <w:t>3,174,302,962</w:t>
                    </w:r>
                  </w:p>
                </w:tc>
              </w:tr>
              <w:tr w:rsidR="00B637B2" w:rsidTr="00B637B2">
                <w:sdt>
                  <w:sdtPr>
                    <w:tag w:val="_PLD_aceecac0108e46869e7bd5bd99aa99b9"/>
                    <w:id w:val="-2104569867"/>
                    <w:lock w:val="sdtLocked"/>
                  </w:sdtPr>
                  <w:sdtContent>
                    <w:tc>
                      <w:tcPr>
                        <w:tcW w:w="2166" w:type="pct"/>
                        <w:tcBorders>
                          <w:top w:val="outset" w:sz="4" w:space="0" w:color="auto"/>
                          <w:left w:val="outset" w:sz="4" w:space="0" w:color="auto"/>
                          <w:bottom w:val="outset" w:sz="4" w:space="0" w:color="auto"/>
                          <w:right w:val="outset" w:sz="4" w:space="0" w:color="auto"/>
                        </w:tcBorders>
                      </w:tcPr>
                      <w:p w:rsidR="00B637B2" w:rsidRDefault="008F04CF" w:rsidP="00B637B2">
                        <w:pPr>
                          <w:ind w:firstLineChars="100" w:firstLine="210"/>
                          <w:rPr>
                            <w:color w:val="000000"/>
                            <w:szCs w:val="21"/>
                          </w:rPr>
                        </w:pPr>
                        <w:r>
                          <w:rPr>
                            <w:rFonts w:hint="eastAsia"/>
                            <w:szCs w:val="21"/>
                          </w:rPr>
                          <w:t>发行债券收到的现金</w:t>
                        </w:r>
                      </w:p>
                    </w:tc>
                  </w:sdtContent>
                </w:sdt>
                <w:tc>
                  <w:tcPr>
                    <w:tcW w:w="563"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19" w:type="pct"/>
                    <w:tcBorders>
                      <w:top w:val="outset" w:sz="4" w:space="0" w:color="auto"/>
                      <w:left w:val="outset" w:sz="4" w:space="0" w:color="auto"/>
                      <w:bottom w:val="outset" w:sz="4" w:space="0" w:color="auto"/>
                      <w:right w:val="outset" w:sz="4" w:space="0" w:color="auto"/>
                    </w:tcBorders>
                    <w:vAlign w:val="center"/>
                  </w:tcPr>
                  <w:p w:rsidR="00B637B2" w:rsidRDefault="00B637B2" w:rsidP="00B637B2">
                    <w:pPr>
                      <w:jc w:val="right"/>
                      <w:rPr>
                        <w:szCs w:val="21"/>
                      </w:rPr>
                    </w:pPr>
                  </w:p>
                </w:tc>
                <w:tc>
                  <w:tcPr>
                    <w:tcW w:w="1152" w:type="pct"/>
                    <w:tcBorders>
                      <w:top w:val="outset" w:sz="4" w:space="0" w:color="auto"/>
                      <w:left w:val="outset" w:sz="4" w:space="0" w:color="auto"/>
                      <w:bottom w:val="outset" w:sz="4" w:space="0" w:color="auto"/>
                      <w:right w:val="outset" w:sz="4" w:space="0" w:color="auto"/>
                    </w:tcBorders>
                    <w:vAlign w:val="center"/>
                  </w:tcPr>
                  <w:p w:rsidR="00B637B2" w:rsidRDefault="00B637B2" w:rsidP="00B637B2">
                    <w:pPr>
                      <w:jc w:val="right"/>
                      <w:rPr>
                        <w:szCs w:val="21"/>
                      </w:rPr>
                    </w:pPr>
                  </w:p>
                </w:tc>
              </w:tr>
              <w:tr w:rsidR="00B637B2" w:rsidTr="00B637B2">
                <w:sdt>
                  <w:sdtPr>
                    <w:tag w:val="_PLD_26d354b07ee94d2e97e821e5194c14a8"/>
                    <w:id w:val="1418215981"/>
                    <w:lock w:val="sdtLocked"/>
                  </w:sdtPr>
                  <w:sdtContent>
                    <w:tc>
                      <w:tcPr>
                        <w:tcW w:w="2166" w:type="pct"/>
                        <w:tcBorders>
                          <w:top w:val="outset" w:sz="4" w:space="0" w:color="auto"/>
                          <w:left w:val="outset" w:sz="4" w:space="0" w:color="auto"/>
                          <w:bottom w:val="outset" w:sz="4" w:space="0" w:color="auto"/>
                          <w:right w:val="outset" w:sz="4" w:space="0" w:color="auto"/>
                        </w:tcBorders>
                      </w:tcPr>
                      <w:p w:rsidR="00B637B2" w:rsidRDefault="008F04CF" w:rsidP="00B637B2">
                        <w:pPr>
                          <w:ind w:firstLineChars="100" w:firstLine="210"/>
                          <w:rPr>
                            <w:color w:val="000000"/>
                            <w:szCs w:val="21"/>
                          </w:rPr>
                        </w:pPr>
                        <w:r>
                          <w:rPr>
                            <w:rFonts w:hint="eastAsia"/>
                            <w:szCs w:val="21"/>
                          </w:rPr>
                          <w:t>收到其他与筹资活动有关的现金</w:t>
                        </w:r>
                      </w:p>
                    </w:tc>
                  </w:sdtContent>
                </w:sdt>
                <w:tc>
                  <w:tcPr>
                    <w:tcW w:w="563"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19" w:type="pct"/>
                    <w:tcBorders>
                      <w:top w:val="outset" w:sz="4" w:space="0" w:color="auto"/>
                      <w:left w:val="outset" w:sz="4" w:space="0" w:color="auto"/>
                      <w:bottom w:val="outset" w:sz="4" w:space="0" w:color="auto"/>
                      <w:right w:val="outset" w:sz="4" w:space="0" w:color="auto"/>
                    </w:tcBorders>
                    <w:vAlign w:val="center"/>
                  </w:tcPr>
                  <w:p w:rsidR="00B637B2" w:rsidRDefault="00B637B2" w:rsidP="00B637B2">
                    <w:pPr>
                      <w:jc w:val="right"/>
                      <w:rPr>
                        <w:szCs w:val="21"/>
                      </w:rPr>
                    </w:pPr>
                  </w:p>
                </w:tc>
                <w:tc>
                  <w:tcPr>
                    <w:tcW w:w="1152" w:type="pct"/>
                    <w:tcBorders>
                      <w:top w:val="outset" w:sz="4" w:space="0" w:color="auto"/>
                      <w:left w:val="outset" w:sz="4" w:space="0" w:color="auto"/>
                      <w:bottom w:val="outset" w:sz="4" w:space="0" w:color="auto"/>
                      <w:right w:val="outset" w:sz="4" w:space="0" w:color="auto"/>
                    </w:tcBorders>
                    <w:vAlign w:val="center"/>
                  </w:tcPr>
                  <w:p w:rsidR="00B637B2" w:rsidRDefault="00B637B2" w:rsidP="00B637B2">
                    <w:pPr>
                      <w:jc w:val="right"/>
                      <w:rPr>
                        <w:szCs w:val="21"/>
                      </w:rPr>
                    </w:pPr>
                  </w:p>
                </w:tc>
              </w:tr>
              <w:tr w:rsidR="00B637B2" w:rsidTr="00B637B2">
                <w:sdt>
                  <w:sdtPr>
                    <w:tag w:val="_PLD_63d48c10d6aa4cf680f8a0d28834aa5a"/>
                    <w:id w:val="286626777"/>
                    <w:lock w:val="sdtLocked"/>
                  </w:sdtPr>
                  <w:sdtContent>
                    <w:tc>
                      <w:tcPr>
                        <w:tcW w:w="2166" w:type="pct"/>
                        <w:tcBorders>
                          <w:top w:val="outset" w:sz="4" w:space="0" w:color="auto"/>
                          <w:left w:val="outset" w:sz="4" w:space="0" w:color="auto"/>
                          <w:bottom w:val="outset" w:sz="4" w:space="0" w:color="auto"/>
                          <w:right w:val="outset" w:sz="4" w:space="0" w:color="auto"/>
                        </w:tcBorders>
                      </w:tcPr>
                      <w:p w:rsidR="00B637B2" w:rsidRDefault="008F04CF" w:rsidP="00B637B2">
                        <w:pPr>
                          <w:ind w:firstLineChars="200" w:firstLine="420"/>
                          <w:rPr>
                            <w:color w:val="000000"/>
                            <w:szCs w:val="21"/>
                          </w:rPr>
                        </w:pPr>
                        <w:r>
                          <w:rPr>
                            <w:rFonts w:hint="eastAsia"/>
                            <w:szCs w:val="21"/>
                          </w:rPr>
                          <w:t>筹资活动现金流入小计</w:t>
                        </w:r>
                      </w:p>
                    </w:tc>
                  </w:sdtContent>
                </w:sdt>
                <w:tc>
                  <w:tcPr>
                    <w:tcW w:w="563"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19" w:type="pct"/>
                    <w:tcBorders>
                      <w:top w:val="outset" w:sz="4" w:space="0" w:color="auto"/>
                      <w:left w:val="outset" w:sz="4" w:space="0" w:color="auto"/>
                      <w:bottom w:val="outset" w:sz="4" w:space="0" w:color="auto"/>
                      <w:right w:val="outset" w:sz="4" w:space="0" w:color="auto"/>
                    </w:tcBorders>
                    <w:vAlign w:val="center"/>
                  </w:tcPr>
                  <w:p w:rsidR="00B637B2" w:rsidRPr="00776B53" w:rsidRDefault="008F04CF" w:rsidP="00B637B2">
                    <w:pPr>
                      <w:jc w:val="right"/>
                    </w:pPr>
                    <w:r w:rsidRPr="00776B53">
                      <w:t>3,441,229,199</w:t>
                    </w:r>
                  </w:p>
                </w:tc>
                <w:tc>
                  <w:tcPr>
                    <w:tcW w:w="1152"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jc w:val="right"/>
                    </w:pPr>
                    <w:r w:rsidRPr="00776B53">
                      <w:t>3,174,302,962</w:t>
                    </w:r>
                  </w:p>
                </w:tc>
              </w:tr>
              <w:tr w:rsidR="00B637B2" w:rsidTr="00B637B2">
                <w:sdt>
                  <w:sdtPr>
                    <w:tag w:val="_PLD_8162d7f78ec54a5485f64b75ffbfce7d"/>
                    <w:id w:val="1567457157"/>
                    <w:lock w:val="sdtLocked"/>
                  </w:sdtPr>
                  <w:sdtContent>
                    <w:tc>
                      <w:tcPr>
                        <w:tcW w:w="2166" w:type="pct"/>
                        <w:tcBorders>
                          <w:top w:val="outset" w:sz="4" w:space="0" w:color="auto"/>
                          <w:left w:val="outset" w:sz="4" w:space="0" w:color="auto"/>
                          <w:bottom w:val="outset" w:sz="4" w:space="0" w:color="auto"/>
                          <w:right w:val="outset" w:sz="4" w:space="0" w:color="auto"/>
                        </w:tcBorders>
                      </w:tcPr>
                      <w:p w:rsidR="00B637B2" w:rsidRDefault="008F04CF" w:rsidP="00B637B2">
                        <w:pPr>
                          <w:ind w:firstLineChars="100" w:firstLine="210"/>
                          <w:rPr>
                            <w:szCs w:val="21"/>
                          </w:rPr>
                        </w:pPr>
                        <w:r>
                          <w:rPr>
                            <w:rFonts w:hint="eastAsia"/>
                            <w:szCs w:val="21"/>
                          </w:rPr>
                          <w:t>偿还债务支付的现金</w:t>
                        </w:r>
                      </w:p>
                    </w:tc>
                  </w:sdtContent>
                </w:sdt>
                <w:tc>
                  <w:tcPr>
                    <w:tcW w:w="563"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19" w:type="pct"/>
                    <w:tcBorders>
                      <w:top w:val="outset" w:sz="4" w:space="0" w:color="auto"/>
                      <w:left w:val="outset" w:sz="4" w:space="0" w:color="auto"/>
                      <w:bottom w:val="outset" w:sz="4" w:space="0" w:color="auto"/>
                      <w:right w:val="outset" w:sz="4" w:space="0" w:color="auto"/>
                    </w:tcBorders>
                    <w:vAlign w:val="center"/>
                  </w:tcPr>
                  <w:p w:rsidR="00B637B2" w:rsidRPr="00F93384" w:rsidRDefault="008F04CF" w:rsidP="00B637B2">
                    <w:pPr>
                      <w:jc w:val="right"/>
                    </w:pPr>
                    <w:r w:rsidRPr="00F93384">
                      <w:t>2,382,132,024</w:t>
                    </w:r>
                  </w:p>
                </w:tc>
                <w:tc>
                  <w:tcPr>
                    <w:tcW w:w="1152" w:type="pct"/>
                    <w:tcBorders>
                      <w:top w:val="outset" w:sz="4" w:space="0" w:color="auto"/>
                      <w:left w:val="outset" w:sz="4" w:space="0" w:color="auto"/>
                      <w:bottom w:val="outset" w:sz="4" w:space="0" w:color="auto"/>
                      <w:right w:val="outset" w:sz="4" w:space="0" w:color="auto"/>
                    </w:tcBorders>
                    <w:vAlign w:val="center"/>
                  </w:tcPr>
                  <w:p w:rsidR="00B637B2" w:rsidRPr="00F93384" w:rsidRDefault="008F04CF" w:rsidP="00B637B2">
                    <w:pPr>
                      <w:jc w:val="right"/>
                    </w:pPr>
                    <w:r w:rsidRPr="00F93384">
                      <w:t>3,196,587,854</w:t>
                    </w:r>
                  </w:p>
                </w:tc>
              </w:tr>
              <w:tr w:rsidR="00B637B2" w:rsidTr="00B637B2">
                <w:sdt>
                  <w:sdtPr>
                    <w:tag w:val="_PLD_0b61ad2acef9490ba6b84477b3518635"/>
                    <w:id w:val="2093042088"/>
                    <w:lock w:val="sdtLocked"/>
                  </w:sdtPr>
                  <w:sdtContent>
                    <w:tc>
                      <w:tcPr>
                        <w:tcW w:w="2166" w:type="pct"/>
                        <w:tcBorders>
                          <w:top w:val="outset" w:sz="4" w:space="0" w:color="auto"/>
                          <w:left w:val="outset" w:sz="4" w:space="0" w:color="auto"/>
                          <w:bottom w:val="outset" w:sz="4" w:space="0" w:color="auto"/>
                          <w:right w:val="outset" w:sz="4" w:space="0" w:color="auto"/>
                        </w:tcBorders>
                      </w:tcPr>
                      <w:p w:rsidR="00B637B2" w:rsidRDefault="008F04CF" w:rsidP="00B637B2">
                        <w:pPr>
                          <w:ind w:firstLineChars="100" w:firstLine="210"/>
                          <w:rPr>
                            <w:szCs w:val="21"/>
                          </w:rPr>
                        </w:pPr>
                        <w:r>
                          <w:rPr>
                            <w:rFonts w:hint="eastAsia"/>
                            <w:szCs w:val="21"/>
                          </w:rPr>
                          <w:t>分配股利、利润或偿付利息支付的现金</w:t>
                        </w:r>
                      </w:p>
                    </w:tc>
                  </w:sdtContent>
                </w:sdt>
                <w:tc>
                  <w:tcPr>
                    <w:tcW w:w="563"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19" w:type="pct"/>
                    <w:tcBorders>
                      <w:top w:val="outset" w:sz="4" w:space="0" w:color="auto"/>
                      <w:left w:val="outset" w:sz="4" w:space="0" w:color="auto"/>
                      <w:bottom w:val="outset" w:sz="4" w:space="0" w:color="auto"/>
                      <w:right w:val="outset" w:sz="4" w:space="0" w:color="auto"/>
                    </w:tcBorders>
                    <w:vAlign w:val="center"/>
                  </w:tcPr>
                  <w:p w:rsidR="00B637B2" w:rsidRPr="00F93384" w:rsidRDefault="008F04CF" w:rsidP="00B637B2">
                    <w:pPr>
                      <w:jc w:val="right"/>
                    </w:pPr>
                    <w:r w:rsidRPr="00F93384">
                      <w:t>565,245,358</w:t>
                    </w:r>
                  </w:p>
                </w:tc>
                <w:tc>
                  <w:tcPr>
                    <w:tcW w:w="1152"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jc w:val="right"/>
                    </w:pPr>
                    <w:r w:rsidRPr="00F93384">
                      <w:t>313,180,545</w:t>
                    </w:r>
                  </w:p>
                </w:tc>
              </w:tr>
              <w:tr w:rsidR="00B637B2" w:rsidTr="00B637B2">
                <w:sdt>
                  <w:sdtPr>
                    <w:tag w:val="_PLD_871424c9704b4bd5aa50d3ae77d051a8"/>
                    <w:id w:val="82959674"/>
                    <w:lock w:val="sdtLocked"/>
                  </w:sdtPr>
                  <w:sdtContent>
                    <w:tc>
                      <w:tcPr>
                        <w:tcW w:w="2166" w:type="pct"/>
                        <w:tcBorders>
                          <w:top w:val="outset" w:sz="4" w:space="0" w:color="auto"/>
                          <w:left w:val="outset" w:sz="4" w:space="0" w:color="auto"/>
                          <w:bottom w:val="outset" w:sz="4" w:space="0" w:color="auto"/>
                          <w:right w:val="outset" w:sz="4" w:space="0" w:color="auto"/>
                        </w:tcBorders>
                      </w:tcPr>
                      <w:p w:rsidR="00B637B2" w:rsidRDefault="008F04CF" w:rsidP="00B637B2">
                        <w:pPr>
                          <w:ind w:firstLineChars="100" w:firstLine="210"/>
                          <w:rPr>
                            <w:color w:val="000000"/>
                            <w:szCs w:val="21"/>
                          </w:rPr>
                        </w:pPr>
                        <w:r>
                          <w:rPr>
                            <w:rFonts w:hint="eastAsia"/>
                            <w:szCs w:val="21"/>
                          </w:rPr>
                          <w:t>支付其他与筹资活动有关的现金</w:t>
                        </w:r>
                      </w:p>
                    </w:tc>
                  </w:sdtContent>
                </w:sdt>
                <w:tc>
                  <w:tcPr>
                    <w:tcW w:w="563"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19" w:type="pct"/>
                    <w:tcBorders>
                      <w:top w:val="outset" w:sz="4" w:space="0" w:color="auto"/>
                      <w:left w:val="outset" w:sz="4" w:space="0" w:color="auto"/>
                      <w:bottom w:val="outset" w:sz="4" w:space="0" w:color="auto"/>
                      <w:right w:val="outset" w:sz="4" w:space="0" w:color="auto"/>
                    </w:tcBorders>
                    <w:vAlign w:val="center"/>
                  </w:tcPr>
                  <w:p w:rsidR="00B637B2" w:rsidRPr="004B6321" w:rsidRDefault="008F04CF" w:rsidP="00B637B2">
                    <w:pPr>
                      <w:jc w:val="right"/>
                    </w:pPr>
                    <w:r w:rsidRPr="004B6321">
                      <w:t>471,134,705</w:t>
                    </w:r>
                  </w:p>
                </w:tc>
                <w:tc>
                  <w:tcPr>
                    <w:tcW w:w="1152"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jc w:val="right"/>
                    </w:pPr>
                    <w:r w:rsidRPr="004B6321">
                      <w:t>-</w:t>
                    </w:r>
                  </w:p>
                </w:tc>
              </w:tr>
              <w:tr w:rsidR="00B637B2" w:rsidTr="00B637B2">
                <w:sdt>
                  <w:sdtPr>
                    <w:tag w:val="_PLD_9927c735ed5d4c919f65e1a111425aa6"/>
                    <w:id w:val="1477189936"/>
                    <w:lock w:val="sdtLocked"/>
                  </w:sdtPr>
                  <w:sdtContent>
                    <w:tc>
                      <w:tcPr>
                        <w:tcW w:w="2166" w:type="pct"/>
                        <w:tcBorders>
                          <w:top w:val="outset" w:sz="4" w:space="0" w:color="auto"/>
                          <w:left w:val="outset" w:sz="4" w:space="0" w:color="auto"/>
                          <w:bottom w:val="outset" w:sz="4" w:space="0" w:color="auto"/>
                          <w:right w:val="outset" w:sz="4" w:space="0" w:color="auto"/>
                        </w:tcBorders>
                      </w:tcPr>
                      <w:p w:rsidR="00B637B2" w:rsidRDefault="008F04CF" w:rsidP="00B637B2">
                        <w:pPr>
                          <w:ind w:firstLineChars="200" w:firstLine="420"/>
                          <w:rPr>
                            <w:color w:val="000000"/>
                            <w:szCs w:val="21"/>
                          </w:rPr>
                        </w:pPr>
                        <w:r>
                          <w:rPr>
                            <w:rFonts w:hint="eastAsia"/>
                            <w:szCs w:val="21"/>
                          </w:rPr>
                          <w:t>筹资活动现金流出小计</w:t>
                        </w:r>
                      </w:p>
                    </w:tc>
                  </w:sdtContent>
                </w:sdt>
                <w:tc>
                  <w:tcPr>
                    <w:tcW w:w="563"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19" w:type="pct"/>
                    <w:tcBorders>
                      <w:top w:val="outset" w:sz="4" w:space="0" w:color="auto"/>
                      <w:left w:val="outset" w:sz="4" w:space="0" w:color="auto"/>
                      <w:bottom w:val="outset" w:sz="4" w:space="0" w:color="auto"/>
                      <w:right w:val="outset" w:sz="4" w:space="0" w:color="auto"/>
                    </w:tcBorders>
                    <w:vAlign w:val="center"/>
                  </w:tcPr>
                  <w:p w:rsidR="00B637B2" w:rsidRPr="00823356" w:rsidRDefault="008F04CF" w:rsidP="00B637B2">
                    <w:pPr>
                      <w:jc w:val="right"/>
                    </w:pPr>
                    <w:r w:rsidRPr="00823356">
                      <w:t>3,418,512,087</w:t>
                    </w:r>
                  </w:p>
                </w:tc>
                <w:tc>
                  <w:tcPr>
                    <w:tcW w:w="1152" w:type="pct"/>
                    <w:tcBorders>
                      <w:top w:val="outset" w:sz="4" w:space="0" w:color="auto"/>
                      <w:left w:val="outset" w:sz="4" w:space="0" w:color="auto"/>
                      <w:bottom w:val="outset" w:sz="4" w:space="0" w:color="auto"/>
                      <w:right w:val="outset" w:sz="4" w:space="0" w:color="auto"/>
                    </w:tcBorders>
                    <w:vAlign w:val="center"/>
                  </w:tcPr>
                  <w:p w:rsidR="00B637B2" w:rsidRPr="00823356" w:rsidRDefault="008F04CF" w:rsidP="00B637B2">
                    <w:pPr>
                      <w:jc w:val="right"/>
                    </w:pPr>
                    <w:r w:rsidRPr="00823356">
                      <w:t>3,509,768,399</w:t>
                    </w:r>
                  </w:p>
                </w:tc>
              </w:tr>
              <w:tr w:rsidR="00B637B2" w:rsidTr="00B637B2">
                <w:sdt>
                  <w:sdtPr>
                    <w:tag w:val="_PLD_19be081a78e64a56ac141df3af5fc043"/>
                    <w:id w:val="1817374715"/>
                    <w:lock w:val="sdtLocked"/>
                  </w:sdtPr>
                  <w:sdtContent>
                    <w:tc>
                      <w:tcPr>
                        <w:tcW w:w="2166" w:type="pct"/>
                        <w:tcBorders>
                          <w:top w:val="outset" w:sz="4" w:space="0" w:color="auto"/>
                          <w:left w:val="outset" w:sz="4" w:space="0" w:color="auto"/>
                          <w:bottom w:val="outset" w:sz="4" w:space="0" w:color="auto"/>
                          <w:right w:val="outset" w:sz="4" w:space="0" w:color="auto"/>
                        </w:tcBorders>
                      </w:tcPr>
                      <w:p w:rsidR="00B637B2" w:rsidRDefault="008F04CF" w:rsidP="00B637B2">
                        <w:pPr>
                          <w:ind w:firstLineChars="300" w:firstLine="630"/>
                          <w:rPr>
                            <w:color w:val="000000"/>
                            <w:szCs w:val="21"/>
                          </w:rPr>
                        </w:pPr>
                        <w:r>
                          <w:rPr>
                            <w:rFonts w:hint="eastAsia"/>
                            <w:szCs w:val="21"/>
                          </w:rPr>
                          <w:t>筹资活动产生的现金流量净额</w:t>
                        </w:r>
                      </w:p>
                    </w:tc>
                  </w:sdtContent>
                </w:sdt>
                <w:tc>
                  <w:tcPr>
                    <w:tcW w:w="563"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19" w:type="pct"/>
                    <w:tcBorders>
                      <w:top w:val="outset" w:sz="4" w:space="0" w:color="auto"/>
                      <w:left w:val="outset" w:sz="4" w:space="0" w:color="auto"/>
                      <w:bottom w:val="outset" w:sz="4" w:space="0" w:color="auto"/>
                      <w:right w:val="outset" w:sz="4" w:space="0" w:color="auto"/>
                    </w:tcBorders>
                    <w:vAlign w:val="center"/>
                  </w:tcPr>
                  <w:p w:rsidR="00B637B2" w:rsidRPr="00823356" w:rsidRDefault="008F04CF" w:rsidP="00B637B2">
                    <w:pPr>
                      <w:jc w:val="right"/>
                    </w:pPr>
                    <w:r w:rsidRPr="00823356">
                      <w:t>22,717,112</w:t>
                    </w:r>
                  </w:p>
                </w:tc>
                <w:tc>
                  <w:tcPr>
                    <w:tcW w:w="1152"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jc w:val="right"/>
                    </w:pPr>
                    <w:r w:rsidRPr="00823356">
                      <w:t>-335,465,437</w:t>
                    </w:r>
                  </w:p>
                </w:tc>
              </w:tr>
              <w:tr w:rsidR="00B637B2" w:rsidTr="00B637B2">
                <w:sdt>
                  <w:sdtPr>
                    <w:tag w:val="_PLD_297da387d2e74132aff7cc22c8d8bb95"/>
                    <w:id w:val="-894126711"/>
                    <w:lock w:val="sdtLocked"/>
                  </w:sdtPr>
                  <w:sdtContent>
                    <w:tc>
                      <w:tcPr>
                        <w:tcW w:w="2166" w:type="pct"/>
                        <w:tcBorders>
                          <w:top w:val="outset" w:sz="4" w:space="0" w:color="auto"/>
                          <w:left w:val="outset" w:sz="4" w:space="0" w:color="auto"/>
                          <w:bottom w:val="outset" w:sz="4" w:space="0" w:color="auto"/>
                          <w:right w:val="outset" w:sz="4" w:space="0" w:color="auto"/>
                        </w:tcBorders>
                      </w:tcPr>
                      <w:p w:rsidR="00B637B2" w:rsidRDefault="008F04CF" w:rsidP="00B637B2">
                        <w:pPr>
                          <w:rPr>
                            <w:color w:val="000000"/>
                            <w:szCs w:val="21"/>
                          </w:rPr>
                        </w:pPr>
                        <w:r>
                          <w:rPr>
                            <w:rFonts w:hint="eastAsia"/>
                            <w:b/>
                            <w:bCs/>
                            <w:szCs w:val="21"/>
                          </w:rPr>
                          <w:t>四、汇率变动对现金及现金等价物的影响</w:t>
                        </w:r>
                      </w:p>
                    </w:tc>
                  </w:sdtContent>
                </w:sdt>
                <w:tc>
                  <w:tcPr>
                    <w:tcW w:w="563"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19" w:type="pct"/>
                    <w:tcBorders>
                      <w:top w:val="outset" w:sz="4" w:space="0" w:color="auto"/>
                      <w:left w:val="outset" w:sz="4" w:space="0" w:color="auto"/>
                      <w:bottom w:val="outset" w:sz="4" w:space="0" w:color="auto"/>
                      <w:right w:val="outset" w:sz="4" w:space="0" w:color="auto"/>
                    </w:tcBorders>
                    <w:vAlign w:val="center"/>
                  </w:tcPr>
                  <w:p w:rsidR="00B637B2" w:rsidRDefault="00B637B2" w:rsidP="00B637B2">
                    <w:pPr>
                      <w:jc w:val="right"/>
                      <w:rPr>
                        <w:szCs w:val="21"/>
                      </w:rPr>
                    </w:pPr>
                  </w:p>
                </w:tc>
                <w:tc>
                  <w:tcPr>
                    <w:tcW w:w="1152" w:type="pct"/>
                    <w:tcBorders>
                      <w:top w:val="outset" w:sz="4" w:space="0" w:color="auto"/>
                      <w:left w:val="outset" w:sz="4" w:space="0" w:color="auto"/>
                      <w:bottom w:val="outset" w:sz="4" w:space="0" w:color="auto"/>
                      <w:right w:val="outset" w:sz="4" w:space="0" w:color="auto"/>
                    </w:tcBorders>
                    <w:vAlign w:val="center"/>
                  </w:tcPr>
                  <w:p w:rsidR="00B637B2" w:rsidRDefault="00B637B2" w:rsidP="00B637B2">
                    <w:pPr>
                      <w:jc w:val="right"/>
                      <w:rPr>
                        <w:szCs w:val="21"/>
                      </w:rPr>
                    </w:pPr>
                  </w:p>
                </w:tc>
              </w:tr>
              <w:tr w:rsidR="00B637B2" w:rsidTr="00B637B2">
                <w:sdt>
                  <w:sdtPr>
                    <w:tag w:val="_PLD_088346aec88c4c41a0051140dc375359"/>
                    <w:id w:val="-1587378747"/>
                    <w:lock w:val="sdtLocked"/>
                  </w:sdtPr>
                  <w:sdtContent>
                    <w:tc>
                      <w:tcPr>
                        <w:tcW w:w="2166" w:type="pct"/>
                        <w:tcBorders>
                          <w:top w:val="outset" w:sz="4" w:space="0" w:color="auto"/>
                          <w:left w:val="outset" w:sz="4" w:space="0" w:color="auto"/>
                          <w:bottom w:val="outset" w:sz="4" w:space="0" w:color="auto"/>
                          <w:right w:val="outset" w:sz="4" w:space="0" w:color="auto"/>
                        </w:tcBorders>
                      </w:tcPr>
                      <w:p w:rsidR="00B637B2" w:rsidRDefault="008F04CF" w:rsidP="00B637B2">
                        <w:pPr>
                          <w:rPr>
                            <w:color w:val="000000"/>
                            <w:szCs w:val="21"/>
                          </w:rPr>
                        </w:pPr>
                        <w:r>
                          <w:rPr>
                            <w:rFonts w:hint="eastAsia"/>
                            <w:b/>
                            <w:bCs/>
                            <w:szCs w:val="21"/>
                          </w:rPr>
                          <w:t>五、现金及现金等价物净增加额</w:t>
                        </w:r>
                      </w:p>
                    </w:tc>
                  </w:sdtContent>
                </w:sdt>
                <w:tc>
                  <w:tcPr>
                    <w:tcW w:w="563"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19" w:type="pct"/>
                    <w:tcBorders>
                      <w:top w:val="outset" w:sz="4" w:space="0" w:color="auto"/>
                      <w:left w:val="outset" w:sz="4" w:space="0" w:color="auto"/>
                      <w:bottom w:val="outset" w:sz="4" w:space="0" w:color="auto"/>
                      <w:right w:val="outset" w:sz="4" w:space="0" w:color="auto"/>
                    </w:tcBorders>
                    <w:vAlign w:val="center"/>
                  </w:tcPr>
                  <w:p w:rsidR="00B637B2" w:rsidRPr="00CB48EF" w:rsidRDefault="008F04CF" w:rsidP="00B637B2">
                    <w:pPr>
                      <w:jc w:val="right"/>
                    </w:pPr>
                    <w:r w:rsidRPr="00CB48EF">
                      <w:t>-225,084,196</w:t>
                    </w:r>
                  </w:p>
                </w:tc>
                <w:tc>
                  <w:tcPr>
                    <w:tcW w:w="1152"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jc w:val="right"/>
                    </w:pPr>
                    <w:r w:rsidRPr="00CB48EF">
                      <w:t>-495,098,600</w:t>
                    </w:r>
                  </w:p>
                </w:tc>
              </w:tr>
              <w:tr w:rsidR="00B637B2" w:rsidTr="00B637B2">
                <w:sdt>
                  <w:sdtPr>
                    <w:tag w:val="_PLD_782deef70bc446e795d750d3d14aefbe"/>
                    <w:id w:val="682010199"/>
                    <w:lock w:val="sdtLocked"/>
                  </w:sdtPr>
                  <w:sdtContent>
                    <w:tc>
                      <w:tcPr>
                        <w:tcW w:w="2166" w:type="pct"/>
                        <w:tcBorders>
                          <w:top w:val="outset" w:sz="4" w:space="0" w:color="auto"/>
                          <w:left w:val="outset" w:sz="4" w:space="0" w:color="auto"/>
                          <w:bottom w:val="outset" w:sz="4" w:space="0" w:color="auto"/>
                          <w:right w:val="outset" w:sz="4" w:space="0" w:color="auto"/>
                        </w:tcBorders>
                      </w:tcPr>
                      <w:p w:rsidR="00B637B2" w:rsidRDefault="008F04CF" w:rsidP="00B637B2">
                        <w:pPr>
                          <w:ind w:firstLineChars="100" w:firstLine="210"/>
                          <w:rPr>
                            <w:color w:val="000000"/>
                            <w:szCs w:val="21"/>
                          </w:rPr>
                        </w:pPr>
                        <w:r>
                          <w:rPr>
                            <w:rFonts w:hint="eastAsia"/>
                            <w:szCs w:val="21"/>
                          </w:rPr>
                          <w:t>加：期初现金及现金等价物余额</w:t>
                        </w:r>
                      </w:p>
                    </w:tc>
                  </w:sdtContent>
                </w:sdt>
                <w:tc>
                  <w:tcPr>
                    <w:tcW w:w="563"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19" w:type="pct"/>
                    <w:tcBorders>
                      <w:top w:val="outset" w:sz="4" w:space="0" w:color="auto"/>
                      <w:left w:val="outset" w:sz="4" w:space="0" w:color="auto"/>
                      <w:bottom w:val="outset" w:sz="4" w:space="0" w:color="auto"/>
                      <w:right w:val="outset" w:sz="4" w:space="0" w:color="auto"/>
                    </w:tcBorders>
                    <w:vAlign w:val="center"/>
                  </w:tcPr>
                  <w:p w:rsidR="00B637B2" w:rsidRPr="00CB751B" w:rsidRDefault="008F04CF" w:rsidP="00B637B2">
                    <w:pPr>
                      <w:jc w:val="right"/>
                    </w:pPr>
                    <w:r w:rsidRPr="00CB751B">
                      <w:t>1,723,227,308</w:t>
                    </w:r>
                  </w:p>
                </w:tc>
                <w:tc>
                  <w:tcPr>
                    <w:tcW w:w="1152"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jc w:val="right"/>
                    </w:pPr>
                    <w:r w:rsidRPr="00CB751B">
                      <w:t>1,907,528,623</w:t>
                    </w:r>
                  </w:p>
                </w:tc>
              </w:tr>
              <w:tr w:rsidR="00B637B2" w:rsidTr="00B637B2">
                <w:sdt>
                  <w:sdtPr>
                    <w:tag w:val="_PLD_ec70667dbbb64ee5a6d36588cda942f9"/>
                    <w:id w:val="-1071731444"/>
                    <w:lock w:val="sdtLocked"/>
                  </w:sdtPr>
                  <w:sdtContent>
                    <w:tc>
                      <w:tcPr>
                        <w:tcW w:w="2166" w:type="pct"/>
                        <w:tcBorders>
                          <w:top w:val="outset" w:sz="4" w:space="0" w:color="auto"/>
                          <w:left w:val="outset" w:sz="4" w:space="0" w:color="auto"/>
                          <w:bottom w:val="outset" w:sz="4" w:space="0" w:color="auto"/>
                          <w:right w:val="outset" w:sz="4" w:space="0" w:color="auto"/>
                        </w:tcBorders>
                      </w:tcPr>
                      <w:p w:rsidR="00B637B2" w:rsidRDefault="008F04CF" w:rsidP="00B637B2">
                        <w:pPr>
                          <w:rPr>
                            <w:color w:val="000000"/>
                            <w:szCs w:val="21"/>
                          </w:rPr>
                        </w:pPr>
                        <w:r>
                          <w:rPr>
                            <w:rFonts w:hint="eastAsia"/>
                            <w:b/>
                            <w:bCs/>
                            <w:szCs w:val="21"/>
                          </w:rPr>
                          <w:t>六、期末现金及现金等价物余额</w:t>
                        </w:r>
                      </w:p>
                    </w:tc>
                  </w:sdtContent>
                </w:sdt>
                <w:tc>
                  <w:tcPr>
                    <w:tcW w:w="563" w:type="pct"/>
                    <w:tcBorders>
                      <w:top w:val="outset" w:sz="4" w:space="0" w:color="auto"/>
                      <w:left w:val="outset" w:sz="4" w:space="0" w:color="auto"/>
                      <w:bottom w:val="outset" w:sz="4" w:space="0" w:color="auto"/>
                      <w:right w:val="outset" w:sz="4" w:space="0" w:color="auto"/>
                    </w:tcBorders>
                  </w:tcPr>
                  <w:p w:rsidR="00B637B2" w:rsidRDefault="00B637B2" w:rsidP="00B637B2">
                    <w:pPr>
                      <w:rPr>
                        <w:szCs w:val="21"/>
                      </w:rPr>
                    </w:pPr>
                  </w:p>
                </w:tc>
                <w:tc>
                  <w:tcPr>
                    <w:tcW w:w="1119" w:type="pct"/>
                    <w:tcBorders>
                      <w:top w:val="outset" w:sz="4" w:space="0" w:color="auto"/>
                      <w:left w:val="outset" w:sz="4" w:space="0" w:color="auto"/>
                      <w:bottom w:val="outset" w:sz="4" w:space="0" w:color="auto"/>
                      <w:right w:val="outset" w:sz="4" w:space="0" w:color="auto"/>
                    </w:tcBorders>
                    <w:vAlign w:val="center"/>
                  </w:tcPr>
                  <w:p w:rsidR="00B637B2" w:rsidRPr="000B28FD" w:rsidRDefault="008F04CF" w:rsidP="00B637B2">
                    <w:pPr>
                      <w:jc w:val="right"/>
                    </w:pPr>
                    <w:r w:rsidRPr="000B28FD">
                      <w:t>1,498,143,112</w:t>
                    </w:r>
                  </w:p>
                </w:tc>
                <w:tc>
                  <w:tcPr>
                    <w:tcW w:w="1152"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jc w:val="right"/>
                    </w:pPr>
                    <w:r w:rsidRPr="000B28FD">
                      <w:t>1,412,430,023</w:t>
                    </w:r>
                  </w:p>
                </w:tc>
              </w:tr>
            </w:tbl>
            <w:p w:rsidR="00B637B2" w:rsidRDefault="00B637B2"/>
            <w:p w:rsidR="00ED2DC7" w:rsidRDefault="00ED2DC7">
              <w:pPr>
                <w:snapToGrid w:val="0"/>
                <w:spacing w:line="240" w:lineRule="atLeast"/>
                <w:ind w:rightChars="-73" w:right="-153"/>
                <w:rPr>
                  <w:b/>
                  <w:bCs/>
                  <w:color w:val="FF0000"/>
                  <w:szCs w:val="21"/>
                </w:rPr>
              </w:pPr>
              <w:r>
                <w:rPr>
                  <w:szCs w:val="21"/>
                </w:rPr>
                <w:t>法定代表人</w:t>
              </w:r>
              <w:r>
                <w:rPr>
                  <w:rFonts w:hint="eastAsia"/>
                  <w:szCs w:val="21"/>
                </w:rPr>
                <w:t>：</w:t>
              </w:r>
              <w:sdt>
                <w:sdtPr>
                  <w:rPr>
                    <w:rFonts w:hint="eastAsia"/>
                    <w:szCs w:val="21"/>
                  </w:rPr>
                  <w:alias w:val="公司法定代表人"/>
                  <w:tag w:val="_GBC_b872f4b10a12453987b2d73dfe2a5ff9"/>
                  <w:id w:val="20600133"/>
                  <w:lock w:val="sdtLocked"/>
                  <w:placeholder>
                    <w:docPart w:val="GBC22222222222222222222222222222"/>
                  </w:placeholder>
                  <w:dataBinding w:prefixMappings="xmlns:clcid-cgi='clcid-cgi'" w:xpath="/*/clcid-cgi:GongSiFaDingDaiBiaoRen[not(@periodRef)]" w:storeItemID="{89EBAB94-44A0-46A2-B712-30D997D04A6D}"/>
                  <w:text/>
                </w:sdtPr>
                <w:sdtContent>
                  <w:r w:rsidR="008F04CF">
                    <w:rPr>
                      <w:rFonts w:hint="eastAsia"/>
                      <w:szCs w:val="21"/>
                    </w:rPr>
                    <w:t>王文京</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29443dd8858043c68f8217b05d1e3346"/>
                  <w:id w:val="-1620524581"/>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8F04CF">
                    <w:rPr>
                      <w:rFonts w:hint="eastAsia"/>
                      <w:szCs w:val="21"/>
                    </w:rPr>
                    <w:t>章培林</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952065710c0f41709539d877935c1903"/>
                  <w:id w:val="1323781628"/>
                  <w:lock w:val="sdtLocked"/>
                  <w:placeholder>
                    <w:docPart w:val="GBC22222222222222222222222222222"/>
                  </w:placeholder>
                  <w:dataBinding w:prefixMappings="xmlns:clcid-mr='clcid-mr'" w:xpath="/*/clcid-mr:KuaiJiJiGouFuZeRenXingMing[not(@periodRef)]" w:storeItemID="{89EBAB94-44A0-46A2-B712-30D997D04A6D}"/>
                  <w:text/>
                </w:sdtPr>
                <w:sdtContent>
                  <w:r w:rsidR="008F04CF">
                    <w:rPr>
                      <w:rFonts w:hint="eastAsia"/>
                      <w:szCs w:val="21"/>
                    </w:rPr>
                    <w:t>孙淑嫔</w:t>
                  </w:r>
                </w:sdtContent>
              </w:sdt>
            </w:p>
          </w:sdtContent>
        </w:sdt>
        <w:p w:rsidR="00ED2DC7" w:rsidRDefault="000D0A99">
          <w:pPr>
            <w:rPr>
              <w:b/>
              <w:bCs/>
              <w:color w:val="FF0000"/>
              <w:szCs w:val="21"/>
            </w:rPr>
          </w:pPr>
        </w:p>
      </w:sdtContent>
    </w:sdt>
    <w:bookmarkEnd w:id="69" w:displacedByCustomXml="prev"/>
    <w:p w:rsidR="00ED2DC7" w:rsidRDefault="00ED2DC7">
      <w:pPr>
        <w:rPr>
          <w:szCs w:val="21"/>
        </w:rPr>
        <w:sectPr w:rsidR="00ED2DC7" w:rsidSect="004860B6">
          <w:pgSz w:w="11906" w:h="16838"/>
          <w:pgMar w:top="1525" w:right="1276" w:bottom="1440" w:left="1797" w:header="851" w:footer="992" w:gutter="0"/>
          <w:cols w:space="425"/>
          <w:docGrid w:linePitch="312"/>
        </w:sectPr>
      </w:pPr>
    </w:p>
    <w:bookmarkStart w:id="70" w:name="_Hlk10211858" w:displacedByCustomXml="next"/>
    <w:sdt>
      <w:sdtPr>
        <w:rPr>
          <w:rFonts w:ascii="宋体" w:hAnsi="宋体" w:cs="宋体"/>
          <w:b w:val="0"/>
          <w:bCs w:val="0"/>
          <w:kern w:val="0"/>
          <w:szCs w:val="24"/>
        </w:rPr>
        <w:alias w:val="选项模块:需要编制合并报表"/>
        <w:tag w:val="_GBC_3b1dcbfa33024cc0a5c2f3d693817342"/>
        <w:id w:val="-996038441"/>
        <w:lock w:val="sdtLocked"/>
        <w:placeholder>
          <w:docPart w:val="GBC22222222222222222222222222222"/>
        </w:placeholder>
      </w:sdtPr>
      <w:sdtEndPr>
        <w:rPr>
          <w:color w:val="FF0000"/>
        </w:rPr>
      </w:sdtEndPr>
      <w:sdtContent>
        <w:sdt>
          <w:sdtPr>
            <w:rPr>
              <w:rFonts w:ascii="宋体" w:hAnsi="宋体" w:cs="宋体"/>
              <w:b w:val="0"/>
              <w:bCs w:val="0"/>
              <w:kern w:val="0"/>
              <w:szCs w:val="24"/>
            </w:rPr>
            <w:tag w:val="_GBC_3eeab460b9b64d53b91f5e0ddcd3030f"/>
            <w:id w:val="-1661455730"/>
            <w:lock w:val="sdtLocked"/>
            <w:placeholder>
              <w:docPart w:val="GBC22222222222222222222222222222"/>
            </w:placeholder>
          </w:sdtPr>
          <w:sdtEndPr>
            <w:rPr>
              <w:rFonts w:hint="eastAsia"/>
              <w:szCs w:val="21"/>
            </w:rPr>
          </w:sdtEndPr>
          <w:sdtContent>
            <w:p w:rsidR="00ED2DC7" w:rsidRDefault="00ED2DC7">
              <w:pPr>
                <w:pStyle w:val="affffffffffffffffff1"/>
                <w:jc w:val="center"/>
              </w:pPr>
              <w:r>
                <w:t>合并</w:t>
              </w:r>
              <w:r>
                <w:rPr>
                  <w:rFonts w:hint="eastAsia"/>
                </w:rPr>
                <w:t>所有者权益变动表</w:t>
              </w:r>
            </w:p>
            <w:p w:rsidR="00ED2DC7" w:rsidRDefault="00ED2DC7">
              <w:pPr>
                <w:tabs>
                  <w:tab w:val="left" w:pos="10080"/>
                </w:tabs>
                <w:snapToGrid w:val="0"/>
                <w:spacing w:line="240" w:lineRule="atLeast"/>
                <w:ind w:rightChars="12" w:right="25"/>
                <w:jc w:val="center"/>
                <w:rPr>
                  <w:szCs w:val="21"/>
                </w:rPr>
              </w:pPr>
              <w:r>
                <w:rPr>
                  <w:szCs w:val="21"/>
                </w:rPr>
                <w:t>2019年</w:t>
              </w:r>
              <w:r>
                <w:rPr>
                  <w:rFonts w:hint="eastAsia"/>
                  <w:szCs w:val="21"/>
                </w:rPr>
                <w:t>1—6月</w:t>
              </w:r>
            </w:p>
            <w:p w:rsidR="00ED2DC7" w:rsidRDefault="00ED2DC7">
              <w:pPr>
                <w:tabs>
                  <w:tab w:val="left" w:pos="10080"/>
                </w:tabs>
                <w:snapToGrid w:val="0"/>
                <w:spacing w:line="240" w:lineRule="atLeast"/>
                <w:jc w:val="right"/>
                <w:rPr>
                  <w:szCs w:val="21"/>
                </w:rPr>
              </w:pPr>
              <w:r>
                <w:rPr>
                  <w:szCs w:val="21"/>
                </w:rPr>
                <w:t>单位:</w:t>
              </w:r>
              <w:sdt>
                <w:sdtPr>
                  <w:rPr>
                    <w:szCs w:val="21"/>
                  </w:rPr>
                  <w:alias w:val="单位：合并股东权益调节表"/>
                  <w:tag w:val="_GBC_57faea4e453e49ad93821b7dd6ce8bc4"/>
                  <w:id w:val="-212197753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szCs w:val="21"/>
                    </w:rPr>
                    <w:t>元</w:t>
                  </w:r>
                </w:sdtContent>
              </w:sdt>
              <w:r>
                <w:rPr>
                  <w:szCs w:val="21"/>
                </w:rPr>
                <w:t xml:space="preserve">  币种:</w:t>
              </w:r>
              <w:sdt>
                <w:sdtPr>
                  <w:rPr>
                    <w:szCs w:val="21"/>
                  </w:rPr>
                  <w:alias w:val="币种：合并股东权益调节表"/>
                  <w:tag w:val="_GBC_cef77704267643d794145c73763360e5"/>
                  <w:id w:val="-1493721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szCs w:val="21"/>
                    </w:rPr>
                    <w:t>人民币</w:t>
                  </w:r>
                </w:sdtContent>
              </w:sdt>
            </w:p>
            <w:tbl>
              <w:tblPr>
                <w:tblStyle w:val="g38"/>
                <w:tblW w:w="5675"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5"/>
                <w:gridCol w:w="1327"/>
                <w:gridCol w:w="376"/>
                <w:gridCol w:w="399"/>
                <w:gridCol w:w="419"/>
                <w:gridCol w:w="1265"/>
                <w:gridCol w:w="1123"/>
                <w:gridCol w:w="1123"/>
                <w:gridCol w:w="441"/>
                <w:gridCol w:w="1111"/>
                <w:gridCol w:w="585"/>
                <w:gridCol w:w="1256"/>
                <w:gridCol w:w="494"/>
                <w:gridCol w:w="1319"/>
                <w:gridCol w:w="1256"/>
                <w:gridCol w:w="1256"/>
              </w:tblGrid>
              <w:tr w:rsidR="00ED2DC7" w:rsidTr="00B637B2">
                <w:trPr>
                  <w:cantSplit/>
                </w:trPr>
                <w:tc>
                  <w:tcPr>
                    <w:tcW w:w="631" w:type="pct"/>
                    <w:vMerge w:val="restart"/>
                    <w:vAlign w:val="center"/>
                  </w:tcPr>
                  <w:bookmarkStart w:id="71" w:name="_Hlk16633855" w:displacedByCustomXml="next"/>
                  <w:sdt>
                    <w:sdtPr>
                      <w:rPr>
                        <w:rFonts w:hint="eastAsia"/>
                        <w:sz w:val="16"/>
                        <w:szCs w:val="16"/>
                      </w:rPr>
                      <w:tag w:val="_PLD_5bd68ed5796041328d1a003c1362ceaf"/>
                      <w:id w:val="-698929065"/>
                      <w:lock w:val="sdtLocked"/>
                    </w:sdtPr>
                    <w:sdtContent>
                      <w:p w:rsidR="00ED2DC7" w:rsidRPr="00AB06DF" w:rsidRDefault="00ED2DC7">
                        <w:pPr>
                          <w:snapToGrid w:val="0"/>
                          <w:spacing w:line="240" w:lineRule="atLeast"/>
                          <w:jc w:val="center"/>
                          <w:rPr>
                            <w:sz w:val="16"/>
                            <w:szCs w:val="16"/>
                          </w:rPr>
                        </w:pPr>
                        <w:r w:rsidRPr="00AB06DF">
                          <w:rPr>
                            <w:rFonts w:hint="eastAsia"/>
                            <w:sz w:val="16"/>
                            <w:szCs w:val="16"/>
                          </w:rPr>
                          <w:t>项目</w:t>
                        </w:r>
                      </w:p>
                    </w:sdtContent>
                  </w:sdt>
                </w:tc>
                <w:tc>
                  <w:tcPr>
                    <w:tcW w:w="4369" w:type="pct"/>
                    <w:gridSpan w:val="15"/>
                    <w:vAlign w:val="center"/>
                  </w:tcPr>
                  <w:p w:rsidR="00ED2DC7" w:rsidRPr="00AB06DF" w:rsidRDefault="000D0A99">
                    <w:pPr>
                      <w:snapToGrid w:val="0"/>
                      <w:spacing w:line="240" w:lineRule="atLeast"/>
                      <w:ind w:rightChars="-759" w:right="-1594"/>
                      <w:jc w:val="center"/>
                      <w:rPr>
                        <w:sz w:val="16"/>
                        <w:szCs w:val="16"/>
                      </w:rPr>
                    </w:pPr>
                    <w:sdt>
                      <w:sdtPr>
                        <w:rPr>
                          <w:sz w:val="16"/>
                          <w:szCs w:val="16"/>
                        </w:rPr>
                        <w:tag w:val="_PLD_70c71cd0427542b1b96a0fa943173d3d"/>
                        <w:id w:val="-912012007"/>
                        <w:lock w:val="sdtLocked"/>
                      </w:sdtPr>
                      <w:sdtContent>
                        <w:r w:rsidR="00ED2DC7" w:rsidRPr="00AB06DF">
                          <w:rPr>
                            <w:rFonts w:hint="eastAsia"/>
                            <w:sz w:val="16"/>
                            <w:szCs w:val="16"/>
                          </w:rPr>
                          <w:t>2019年半年度</w:t>
                        </w:r>
                      </w:sdtContent>
                    </w:sdt>
                  </w:p>
                </w:tc>
              </w:tr>
              <w:tr w:rsidR="00B637B2" w:rsidTr="00B637B2">
                <w:trPr>
                  <w:cantSplit/>
                  <w:trHeight w:val="540"/>
                </w:trPr>
                <w:tc>
                  <w:tcPr>
                    <w:tcW w:w="631" w:type="pct"/>
                    <w:vMerge/>
                  </w:tcPr>
                  <w:p w:rsidR="00ED2DC7" w:rsidRPr="00AB06DF" w:rsidRDefault="00ED2DC7">
                    <w:pPr>
                      <w:snapToGrid w:val="0"/>
                      <w:spacing w:line="240" w:lineRule="atLeast"/>
                      <w:ind w:rightChars="-759" w:right="-1594"/>
                      <w:rPr>
                        <w:sz w:val="16"/>
                        <w:szCs w:val="16"/>
                      </w:rPr>
                    </w:pPr>
                  </w:p>
                </w:tc>
                <w:sdt>
                  <w:sdtPr>
                    <w:rPr>
                      <w:sz w:val="16"/>
                      <w:szCs w:val="16"/>
                    </w:rPr>
                    <w:tag w:val="_PLD_e146ec74496c4c03a714dcef40faa972"/>
                    <w:id w:val="-1536427066"/>
                    <w:lock w:val="sdtLocked"/>
                  </w:sdtPr>
                  <w:sdtContent>
                    <w:tc>
                      <w:tcPr>
                        <w:tcW w:w="3571" w:type="pct"/>
                        <w:gridSpan w:val="13"/>
                        <w:vAlign w:val="center"/>
                      </w:tcPr>
                      <w:p w:rsidR="00ED2DC7" w:rsidRPr="00AB06DF" w:rsidRDefault="00ED2DC7">
                        <w:pPr>
                          <w:jc w:val="center"/>
                          <w:rPr>
                            <w:sz w:val="16"/>
                            <w:szCs w:val="16"/>
                          </w:rPr>
                        </w:pPr>
                        <w:r w:rsidRPr="00AB06DF">
                          <w:rPr>
                            <w:sz w:val="16"/>
                            <w:szCs w:val="16"/>
                          </w:rPr>
                          <w:t>归属于母公司所有者权益</w:t>
                        </w:r>
                      </w:p>
                    </w:tc>
                  </w:sdtContent>
                </w:sdt>
                <w:sdt>
                  <w:sdtPr>
                    <w:rPr>
                      <w:sz w:val="16"/>
                      <w:szCs w:val="16"/>
                    </w:rPr>
                    <w:tag w:val="_PLD_b1ca85c50c1341e59b4b412e92d87f2f"/>
                    <w:id w:val="1039396145"/>
                    <w:lock w:val="sdtLocked"/>
                  </w:sdtPr>
                  <w:sdtContent>
                    <w:tc>
                      <w:tcPr>
                        <w:tcW w:w="399" w:type="pct"/>
                        <w:vMerge w:val="restart"/>
                        <w:vAlign w:val="center"/>
                      </w:tcPr>
                      <w:p w:rsidR="00ED2DC7" w:rsidRPr="00AB06DF" w:rsidRDefault="00ED2DC7">
                        <w:pPr>
                          <w:jc w:val="center"/>
                          <w:rPr>
                            <w:sz w:val="16"/>
                            <w:szCs w:val="16"/>
                          </w:rPr>
                        </w:pPr>
                        <w:r w:rsidRPr="00AB06DF">
                          <w:rPr>
                            <w:sz w:val="16"/>
                            <w:szCs w:val="16"/>
                          </w:rPr>
                          <w:t>少数股东权益</w:t>
                        </w:r>
                      </w:p>
                    </w:tc>
                  </w:sdtContent>
                </w:sdt>
                <w:sdt>
                  <w:sdtPr>
                    <w:rPr>
                      <w:sz w:val="16"/>
                      <w:szCs w:val="16"/>
                    </w:rPr>
                    <w:tag w:val="_PLD_0e252e0d00f04386b93d4e3064ba423d"/>
                    <w:id w:val="-597108185"/>
                    <w:lock w:val="sdtLocked"/>
                  </w:sdtPr>
                  <w:sdtContent>
                    <w:tc>
                      <w:tcPr>
                        <w:tcW w:w="399" w:type="pct"/>
                        <w:vMerge w:val="restart"/>
                        <w:vAlign w:val="center"/>
                      </w:tcPr>
                      <w:p w:rsidR="00ED2DC7" w:rsidRPr="00AB06DF" w:rsidRDefault="00ED2DC7">
                        <w:pPr>
                          <w:jc w:val="center"/>
                          <w:rPr>
                            <w:sz w:val="16"/>
                            <w:szCs w:val="16"/>
                          </w:rPr>
                        </w:pPr>
                        <w:r w:rsidRPr="00AB06DF">
                          <w:rPr>
                            <w:sz w:val="16"/>
                            <w:szCs w:val="16"/>
                          </w:rPr>
                          <w:t>所有者权益合计</w:t>
                        </w:r>
                      </w:p>
                    </w:tc>
                  </w:sdtContent>
                </w:sdt>
              </w:tr>
              <w:tr w:rsidR="00B637B2" w:rsidTr="00B637B2">
                <w:trPr>
                  <w:cantSplit/>
                  <w:trHeight w:val="352"/>
                </w:trPr>
                <w:tc>
                  <w:tcPr>
                    <w:tcW w:w="631" w:type="pct"/>
                    <w:vMerge/>
                  </w:tcPr>
                  <w:p w:rsidR="00ED2DC7" w:rsidRPr="00AB06DF" w:rsidRDefault="00ED2DC7">
                    <w:pPr>
                      <w:snapToGrid w:val="0"/>
                      <w:spacing w:line="240" w:lineRule="atLeast"/>
                      <w:ind w:rightChars="-759" w:right="-1594"/>
                      <w:rPr>
                        <w:sz w:val="16"/>
                        <w:szCs w:val="16"/>
                      </w:rPr>
                    </w:pPr>
                  </w:p>
                </w:tc>
                <w:sdt>
                  <w:sdtPr>
                    <w:rPr>
                      <w:sz w:val="16"/>
                      <w:szCs w:val="16"/>
                    </w:rPr>
                    <w:tag w:val="_PLD_1605afb5a60946a9ba86cca783d492d3"/>
                    <w:id w:val="1707139559"/>
                    <w:lock w:val="sdtLocked"/>
                  </w:sdtPr>
                  <w:sdtContent>
                    <w:tc>
                      <w:tcPr>
                        <w:tcW w:w="422" w:type="pct"/>
                        <w:vMerge w:val="restart"/>
                        <w:vAlign w:val="center"/>
                      </w:tcPr>
                      <w:p w:rsidR="00ED2DC7" w:rsidRPr="00AB06DF" w:rsidRDefault="00ED2DC7">
                        <w:pPr>
                          <w:snapToGrid w:val="0"/>
                          <w:spacing w:line="240" w:lineRule="atLeast"/>
                          <w:jc w:val="center"/>
                          <w:rPr>
                            <w:sz w:val="16"/>
                            <w:szCs w:val="16"/>
                          </w:rPr>
                        </w:pPr>
                        <w:r w:rsidRPr="00AB06DF">
                          <w:rPr>
                            <w:rFonts w:hint="eastAsia"/>
                            <w:sz w:val="16"/>
                            <w:szCs w:val="16"/>
                          </w:rPr>
                          <w:t>实收资本</w:t>
                        </w:r>
                        <w:r w:rsidRPr="00AB06DF">
                          <w:rPr>
                            <w:sz w:val="16"/>
                            <w:szCs w:val="16"/>
                          </w:rPr>
                          <w:t xml:space="preserve"> (或股本)</w:t>
                        </w:r>
                      </w:p>
                    </w:tc>
                  </w:sdtContent>
                </w:sdt>
                <w:sdt>
                  <w:sdtPr>
                    <w:rPr>
                      <w:sz w:val="16"/>
                      <w:szCs w:val="16"/>
                    </w:rPr>
                    <w:tag w:val="_PLD_78f5e518a65d422c99d27d23e96afb9e"/>
                    <w:id w:val="-1273473653"/>
                    <w:lock w:val="sdtLocked"/>
                  </w:sdtPr>
                  <w:sdtContent>
                    <w:tc>
                      <w:tcPr>
                        <w:tcW w:w="379" w:type="pct"/>
                        <w:gridSpan w:val="3"/>
                        <w:vAlign w:val="center"/>
                      </w:tcPr>
                      <w:p w:rsidR="00ED2DC7" w:rsidRPr="00AB06DF" w:rsidRDefault="00ED2DC7">
                        <w:pPr>
                          <w:snapToGrid w:val="0"/>
                          <w:spacing w:line="240" w:lineRule="atLeast"/>
                          <w:jc w:val="center"/>
                          <w:rPr>
                            <w:sz w:val="16"/>
                            <w:szCs w:val="16"/>
                          </w:rPr>
                        </w:pPr>
                        <w:r w:rsidRPr="00AB06DF">
                          <w:rPr>
                            <w:rFonts w:hint="eastAsia"/>
                            <w:sz w:val="16"/>
                            <w:szCs w:val="16"/>
                          </w:rPr>
                          <w:t>其他权益工具</w:t>
                        </w:r>
                      </w:p>
                    </w:tc>
                  </w:sdtContent>
                </w:sdt>
                <w:sdt>
                  <w:sdtPr>
                    <w:rPr>
                      <w:sz w:val="16"/>
                      <w:szCs w:val="16"/>
                    </w:rPr>
                    <w:tag w:val="_PLD_f67d05ac9f6f4daaafdf90084911dcee"/>
                    <w:id w:val="431714014"/>
                    <w:lock w:val="sdtLocked"/>
                  </w:sdtPr>
                  <w:sdtContent>
                    <w:tc>
                      <w:tcPr>
                        <w:tcW w:w="402" w:type="pct"/>
                        <w:vMerge w:val="restart"/>
                        <w:vAlign w:val="center"/>
                      </w:tcPr>
                      <w:p w:rsidR="00ED2DC7" w:rsidRPr="00AB06DF" w:rsidRDefault="00ED2DC7">
                        <w:pPr>
                          <w:snapToGrid w:val="0"/>
                          <w:spacing w:line="240" w:lineRule="atLeast"/>
                          <w:jc w:val="center"/>
                          <w:rPr>
                            <w:sz w:val="16"/>
                            <w:szCs w:val="16"/>
                          </w:rPr>
                        </w:pPr>
                        <w:r w:rsidRPr="00AB06DF">
                          <w:rPr>
                            <w:rFonts w:hint="eastAsia"/>
                            <w:sz w:val="16"/>
                            <w:szCs w:val="16"/>
                          </w:rPr>
                          <w:t>资本公积</w:t>
                        </w:r>
                      </w:p>
                    </w:tc>
                  </w:sdtContent>
                </w:sdt>
                <w:sdt>
                  <w:sdtPr>
                    <w:rPr>
                      <w:sz w:val="16"/>
                      <w:szCs w:val="16"/>
                    </w:rPr>
                    <w:tag w:val="_PLD_21df11f52b3443acacf7dd8421b5cc67"/>
                    <w:id w:val="-1676877236"/>
                    <w:lock w:val="sdtLocked"/>
                  </w:sdtPr>
                  <w:sdtContent>
                    <w:tc>
                      <w:tcPr>
                        <w:tcW w:w="357" w:type="pct"/>
                        <w:vMerge w:val="restart"/>
                        <w:vAlign w:val="center"/>
                      </w:tcPr>
                      <w:p w:rsidR="00ED2DC7" w:rsidRPr="00AB06DF" w:rsidRDefault="00ED2DC7">
                        <w:pPr>
                          <w:snapToGrid w:val="0"/>
                          <w:spacing w:line="240" w:lineRule="atLeast"/>
                          <w:jc w:val="center"/>
                          <w:rPr>
                            <w:sz w:val="16"/>
                            <w:szCs w:val="16"/>
                          </w:rPr>
                        </w:pPr>
                        <w:r w:rsidRPr="00AB06DF">
                          <w:rPr>
                            <w:rFonts w:hint="eastAsia"/>
                            <w:sz w:val="16"/>
                            <w:szCs w:val="16"/>
                          </w:rPr>
                          <w:t>减：库存股</w:t>
                        </w:r>
                      </w:p>
                    </w:tc>
                  </w:sdtContent>
                </w:sdt>
                <w:sdt>
                  <w:sdtPr>
                    <w:rPr>
                      <w:sz w:val="16"/>
                      <w:szCs w:val="16"/>
                    </w:rPr>
                    <w:tag w:val="_PLD_bdc12fd277ea4fbe9c90f9480d9ecddb"/>
                    <w:id w:val="-178582380"/>
                    <w:lock w:val="sdtLocked"/>
                  </w:sdtPr>
                  <w:sdtContent>
                    <w:tc>
                      <w:tcPr>
                        <w:tcW w:w="357" w:type="pct"/>
                        <w:vMerge w:val="restart"/>
                        <w:vAlign w:val="center"/>
                      </w:tcPr>
                      <w:p w:rsidR="00ED2DC7" w:rsidRPr="00AB06DF" w:rsidRDefault="00ED2DC7">
                        <w:pPr>
                          <w:snapToGrid w:val="0"/>
                          <w:spacing w:line="240" w:lineRule="atLeast"/>
                          <w:jc w:val="center"/>
                          <w:rPr>
                            <w:sz w:val="16"/>
                            <w:szCs w:val="16"/>
                          </w:rPr>
                        </w:pPr>
                        <w:r w:rsidRPr="00AB06DF">
                          <w:rPr>
                            <w:rFonts w:hint="eastAsia"/>
                            <w:sz w:val="16"/>
                            <w:szCs w:val="16"/>
                          </w:rPr>
                          <w:t>其他综合收益</w:t>
                        </w:r>
                      </w:p>
                    </w:tc>
                  </w:sdtContent>
                </w:sdt>
                <w:sdt>
                  <w:sdtPr>
                    <w:rPr>
                      <w:sz w:val="16"/>
                      <w:szCs w:val="16"/>
                    </w:rPr>
                    <w:tag w:val="_PLD_b4aa95f4be904a02958b77b5542bb78d"/>
                    <w:id w:val="-524326828"/>
                    <w:lock w:val="sdtLocked"/>
                  </w:sdtPr>
                  <w:sdtContent>
                    <w:tc>
                      <w:tcPr>
                        <w:tcW w:w="140" w:type="pct"/>
                        <w:vMerge w:val="restart"/>
                        <w:vAlign w:val="center"/>
                      </w:tcPr>
                      <w:p w:rsidR="00ED2DC7" w:rsidRPr="00AB06DF" w:rsidRDefault="00ED2DC7">
                        <w:pPr>
                          <w:snapToGrid w:val="0"/>
                          <w:spacing w:line="240" w:lineRule="atLeast"/>
                          <w:jc w:val="center"/>
                          <w:rPr>
                            <w:sz w:val="16"/>
                            <w:szCs w:val="16"/>
                          </w:rPr>
                        </w:pPr>
                        <w:r w:rsidRPr="00AB06DF">
                          <w:rPr>
                            <w:rFonts w:hint="eastAsia"/>
                            <w:sz w:val="16"/>
                            <w:szCs w:val="16"/>
                          </w:rPr>
                          <w:t>专项储备</w:t>
                        </w:r>
                      </w:p>
                    </w:tc>
                  </w:sdtContent>
                </w:sdt>
                <w:sdt>
                  <w:sdtPr>
                    <w:rPr>
                      <w:sz w:val="16"/>
                      <w:szCs w:val="16"/>
                    </w:rPr>
                    <w:tag w:val="_PLD_1ee8f47ee38e4000af64e781a1a0e729"/>
                    <w:id w:val="-1006355026"/>
                    <w:lock w:val="sdtLocked"/>
                  </w:sdtPr>
                  <w:sdtContent>
                    <w:tc>
                      <w:tcPr>
                        <w:tcW w:w="353" w:type="pct"/>
                        <w:vMerge w:val="restart"/>
                        <w:vAlign w:val="center"/>
                      </w:tcPr>
                      <w:p w:rsidR="00ED2DC7" w:rsidRPr="00AB06DF" w:rsidRDefault="00ED2DC7">
                        <w:pPr>
                          <w:snapToGrid w:val="0"/>
                          <w:spacing w:line="240" w:lineRule="atLeast"/>
                          <w:jc w:val="center"/>
                          <w:rPr>
                            <w:sz w:val="16"/>
                            <w:szCs w:val="16"/>
                          </w:rPr>
                        </w:pPr>
                        <w:r w:rsidRPr="00AB06DF">
                          <w:rPr>
                            <w:rFonts w:hint="eastAsia"/>
                            <w:sz w:val="16"/>
                            <w:szCs w:val="16"/>
                          </w:rPr>
                          <w:t>盈余公积</w:t>
                        </w:r>
                      </w:p>
                    </w:tc>
                  </w:sdtContent>
                </w:sdt>
                <w:sdt>
                  <w:sdtPr>
                    <w:rPr>
                      <w:sz w:val="16"/>
                      <w:szCs w:val="16"/>
                    </w:rPr>
                    <w:tag w:val="_PLD_b09258af0aa4494b8e88e711ca2dd7b8"/>
                    <w:id w:val="-2130314902"/>
                    <w:lock w:val="sdtLocked"/>
                  </w:sdtPr>
                  <w:sdtContent>
                    <w:tc>
                      <w:tcPr>
                        <w:tcW w:w="186" w:type="pct"/>
                        <w:vMerge w:val="restart"/>
                        <w:vAlign w:val="center"/>
                      </w:tcPr>
                      <w:p w:rsidR="00ED2DC7" w:rsidRPr="00AB06DF" w:rsidRDefault="00ED2DC7">
                        <w:pPr>
                          <w:snapToGrid w:val="0"/>
                          <w:spacing w:line="240" w:lineRule="atLeast"/>
                          <w:jc w:val="center"/>
                          <w:rPr>
                            <w:sz w:val="16"/>
                            <w:szCs w:val="16"/>
                          </w:rPr>
                        </w:pPr>
                        <w:r w:rsidRPr="00AB06DF">
                          <w:rPr>
                            <w:rFonts w:hint="eastAsia"/>
                            <w:sz w:val="16"/>
                            <w:szCs w:val="16"/>
                          </w:rPr>
                          <w:t>一般风险准备</w:t>
                        </w:r>
                      </w:p>
                    </w:tc>
                  </w:sdtContent>
                </w:sdt>
                <w:sdt>
                  <w:sdtPr>
                    <w:rPr>
                      <w:sz w:val="16"/>
                      <w:szCs w:val="16"/>
                    </w:rPr>
                    <w:tag w:val="_PLD_f20054bead0a491aafe7bb5a5952f48f"/>
                    <w:id w:val="-875773820"/>
                    <w:lock w:val="sdtLocked"/>
                  </w:sdtPr>
                  <w:sdtContent>
                    <w:tc>
                      <w:tcPr>
                        <w:tcW w:w="399" w:type="pct"/>
                        <w:vMerge w:val="restart"/>
                        <w:vAlign w:val="center"/>
                      </w:tcPr>
                      <w:p w:rsidR="00ED2DC7" w:rsidRPr="00AB06DF" w:rsidRDefault="00ED2DC7">
                        <w:pPr>
                          <w:snapToGrid w:val="0"/>
                          <w:spacing w:line="240" w:lineRule="atLeast"/>
                          <w:jc w:val="center"/>
                          <w:rPr>
                            <w:sz w:val="16"/>
                            <w:szCs w:val="16"/>
                          </w:rPr>
                        </w:pPr>
                        <w:r w:rsidRPr="00AB06DF">
                          <w:rPr>
                            <w:rFonts w:hint="eastAsia"/>
                            <w:sz w:val="16"/>
                            <w:szCs w:val="16"/>
                          </w:rPr>
                          <w:t>未分配利润</w:t>
                        </w:r>
                      </w:p>
                    </w:tc>
                  </w:sdtContent>
                </w:sdt>
                <w:tc>
                  <w:tcPr>
                    <w:tcW w:w="157" w:type="pct"/>
                    <w:vMerge w:val="restart"/>
                    <w:vAlign w:val="center"/>
                  </w:tcPr>
                  <w:sdt>
                    <w:sdtPr>
                      <w:rPr>
                        <w:rFonts w:hint="eastAsia"/>
                        <w:sz w:val="16"/>
                        <w:szCs w:val="16"/>
                      </w:rPr>
                      <w:tag w:val="_PLD_ee763dfa69fd4fa3bec927cefa83eadc"/>
                      <w:id w:val="-589851819"/>
                      <w:lock w:val="sdtLocked"/>
                    </w:sdtPr>
                    <w:sdtContent>
                      <w:p w:rsidR="00ED2DC7" w:rsidRPr="00AB06DF" w:rsidRDefault="00ED2DC7">
                        <w:pPr>
                          <w:jc w:val="center"/>
                          <w:rPr>
                            <w:sz w:val="16"/>
                            <w:szCs w:val="16"/>
                          </w:rPr>
                        </w:pPr>
                        <w:r w:rsidRPr="002E0307">
                          <w:rPr>
                            <w:rFonts w:hint="eastAsia"/>
                            <w:sz w:val="16"/>
                            <w:szCs w:val="16"/>
                          </w:rPr>
                          <w:t>其他</w:t>
                        </w:r>
                      </w:p>
                    </w:sdtContent>
                  </w:sdt>
                </w:tc>
                <w:tc>
                  <w:tcPr>
                    <w:tcW w:w="419" w:type="pct"/>
                    <w:vMerge w:val="restart"/>
                    <w:vAlign w:val="center"/>
                  </w:tcPr>
                  <w:sdt>
                    <w:sdtPr>
                      <w:rPr>
                        <w:rFonts w:hint="eastAsia"/>
                        <w:sz w:val="16"/>
                        <w:szCs w:val="16"/>
                      </w:rPr>
                      <w:tag w:val="_PLD_97c92cf2be1e4f36880a16a2c16704b4"/>
                      <w:id w:val="-1925254708"/>
                      <w:lock w:val="sdtLocked"/>
                    </w:sdtPr>
                    <w:sdtContent>
                      <w:p w:rsidR="00ED2DC7" w:rsidRPr="00AB06DF" w:rsidRDefault="00ED2DC7">
                        <w:pPr>
                          <w:jc w:val="center"/>
                          <w:rPr>
                            <w:sz w:val="16"/>
                            <w:szCs w:val="16"/>
                          </w:rPr>
                        </w:pPr>
                        <w:r w:rsidRPr="002E0307">
                          <w:rPr>
                            <w:rFonts w:hint="eastAsia"/>
                            <w:sz w:val="16"/>
                            <w:szCs w:val="16"/>
                          </w:rPr>
                          <w:t>小计</w:t>
                        </w:r>
                      </w:p>
                    </w:sdtContent>
                  </w:sdt>
                </w:tc>
                <w:tc>
                  <w:tcPr>
                    <w:tcW w:w="399" w:type="pct"/>
                    <w:vMerge/>
                  </w:tcPr>
                  <w:p w:rsidR="00ED2DC7" w:rsidRPr="00AB06DF" w:rsidRDefault="00ED2DC7">
                    <w:pPr>
                      <w:jc w:val="center"/>
                      <w:rPr>
                        <w:sz w:val="16"/>
                        <w:szCs w:val="16"/>
                      </w:rPr>
                    </w:pPr>
                  </w:p>
                </w:tc>
                <w:tc>
                  <w:tcPr>
                    <w:tcW w:w="399" w:type="pct"/>
                    <w:vMerge/>
                  </w:tcPr>
                  <w:p w:rsidR="00ED2DC7" w:rsidRPr="00AB06DF" w:rsidRDefault="00ED2DC7">
                    <w:pPr>
                      <w:jc w:val="center"/>
                      <w:rPr>
                        <w:sz w:val="16"/>
                        <w:szCs w:val="16"/>
                      </w:rPr>
                    </w:pPr>
                  </w:p>
                </w:tc>
              </w:tr>
              <w:tr w:rsidR="00B637B2" w:rsidTr="00B637B2">
                <w:trPr>
                  <w:cantSplit/>
                  <w:trHeight w:val="345"/>
                </w:trPr>
                <w:tc>
                  <w:tcPr>
                    <w:tcW w:w="631" w:type="pct"/>
                    <w:vMerge/>
                  </w:tcPr>
                  <w:p w:rsidR="00ED2DC7" w:rsidRPr="00AB06DF" w:rsidRDefault="00ED2DC7">
                    <w:pPr>
                      <w:snapToGrid w:val="0"/>
                      <w:spacing w:line="240" w:lineRule="atLeast"/>
                      <w:ind w:rightChars="-759" w:right="-1594"/>
                      <w:rPr>
                        <w:sz w:val="16"/>
                        <w:szCs w:val="16"/>
                      </w:rPr>
                    </w:pPr>
                  </w:p>
                </w:tc>
                <w:tc>
                  <w:tcPr>
                    <w:tcW w:w="422" w:type="pct"/>
                    <w:vMerge/>
                  </w:tcPr>
                  <w:p w:rsidR="00ED2DC7" w:rsidRPr="00AB06DF" w:rsidRDefault="00ED2DC7">
                    <w:pPr>
                      <w:snapToGrid w:val="0"/>
                      <w:spacing w:line="240" w:lineRule="atLeast"/>
                      <w:jc w:val="center"/>
                      <w:rPr>
                        <w:sz w:val="16"/>
                        <w:szCs w:val="16"/>
                      </w:rPr>
                    </w:pPr>
                  </w:p>
                </w:tc>
                <w:sdt>
                  <w:sdtPr>
                    <w:rPr>
                      <w:sz w:val="16"/>
                      <w:szCs w:val="16"/>
                    </w:rPr>
                    <w:tag w:val="_PLD_7b6493af25ff4e3986120f711cb3be4e"/>
                    <w:id w:val="2048707984"/>
                    <w:lock w:val="sdtLocked"/>
                  </w:sdtPr>
                  <w:sdtContent>
                    <w:tc>
                      <w:tcPr>
                        <w:tcW w:w="119" w:type="pct"/>
                        <w:vAlign w:val="center"/>
                      </w:tcPr>
                      <w:p w:rsidR="00ED2DC7" w:rsidRPr="00AB06DF" w:rsidRDefault="00ED2DC7">
                        <w:pPr>
                          <w:snapToGrid w:val="0"/>
                          <w:spacing w:line="240" w:lineRule="atLeast"/>
                          <w:jc w:val="center"/>
                          <w:rPr>
                            <w:sz w:val="16"/>
                            <w:szCs w:val="16"/>
                          </w:rPr>
                        </w:pPr>
                        <w:r w:rsidRPr="00AB06DF">
                          <w:rPr>
                            <w:rFonts w:hint="eastAsia"/>
                            <w:sz w:val="16"/>
                            <w:szCs w:val="16"/>
                          </w:rPr>
                          <w:t>优先股</w:t>
                        </w:r>
                      </w:p>
                    </w:tc>
                  </w:sdtContent>
                </w:sdt>
                <w:sdt>
                  <w:sdtPr>
                    <w:rPr>
                      <w:sz w:val="16"/>
                      <w:szCs w:val="16"/>
                    </w:rPr>
                    <w:tag w:val="_PLD_446c35c8857c4ad0bb648db82e104141"/>
                    <w:id w:val="-2129998895"/>
                    <w:lock w:val="sdtLocked"/>
                  </w:sdtPr>
                  <w:sdtContent>
                    <w:tc>
                      <w:tcPr>
                        <w:tcW w:w="127" w:type="pct"/>
                        <w:vAlign w:val="center"/>
                      </w:tcPr>
                      <w:p w:rsidR="00ED2DC7" w:rsidRPr="00AB06DF" w:rsidRDefault="00ED2DC7">
                        <w:pPr>
                          <w:snapToGrid w:val="0"/>
                          <w:spacing w:line="240" w:lineRule="atLeast"/>
                          <w:jc w:val="center"/>
                          <w:rPr>
                            <w:sz w:val="16"/>
                            <w:szCs w:val="16"/>
                          </w:rPr>
                        </w:pPr>
                        <w:r w:rsidRPr="00AB06DF">
                          <w:rPr>
                            <w:rFonts w:hint="eastAsia"/>
                            <w:sz w:val="16"/>
                            <w:szCs w:val="16"/>
                          </w:rPr>
                          <w:t>永续债</w:t>
                        </w:r>
                      </w:p>
                    </w:tc>
                  </w:sdtContent>
                </w:sdt>
                <w:sdt>
                  <w:sdtPr>
                    <w:rPr>
                      <w:sz w:val="16"/>
                      <w:szCs w:val="16"/>
                    </w:rPr>
                    <w:tag w:val="_PLD_e8048d05ab294ec8a2a849ca1f70a7c9"/>
                    <w:id w:val="-2070181320"/>
                    <w:lock w:val="sdtLocked"/>
                  </w:sdtPr>
                  <w:sdtContent>
                    <w:tc>
                      <w:tcPr>
                        <w:tcW w:w="133" w:type="pct"/>
                        <w:vAlign w:val="center"/>
                      </w:tcPr>
                      <w:p w:rsidR="00ED2DC7" w:rsidRPr="00AB06DF" w:rsidRDefault="00ED2DC7">
                        <w:pPr>
                          <w:snapToGrid w:val="0"/>
                          <w:spacing w:line="240" w:lineRule="atLeast"/>
                          <w:jc w:val="center"/>
                          <w:rPr>
                            <w:sz w:val="16"/>
                            <w:szCs w:val="16"/>
                          </w:rPr>
                        </w:pPr>
                        <w:r w:rsidRPr="00AB06DF">
                          <w:rPr>
                            <w:rFonts w:hint="eastAsia"/>
                            <w:sz w:val="16"/>
                            <w:szCs w:val="16"/>
                          </w:rPr>
                          <w:t>其他</w:t>
                        </w:r>
                      </w:p>
                    </w:tc>
                  </w:sdtContent>
                </w:sdt>
                <w:tc>
                  <w:tcPr>
                    <w:tcW w:w="402" w:type="pct"/>
                    <w:vMerge/>
                  </w:tcPr>
                  <w:p w:rsidR="00ED2DC7" w:rsidRPr="00AB06DF" w:rsidRDefault="00ED2DC7">
                    <w:pPr>
                      <w:snapToGrid w:val="0"/>
                      <w:spacing w:line="240" w:lineRule="atLeast"/>
                      <w:jc w:val="center"/>
                      <w:rPr>
                        <w:sz w:val="16"/>
                        <w:szCs w:val="16"/>
                      </w:rPr>
                    </w:pPr>
                  </w:p>
                </w:tc>
                <w:tc>
                  <w:tcPr>
                    <w:tcW w:w="357" w:type="pct"/>
                    <w:vMerge/>
                  </w:tcPr>
                  <w:p w:rsidR="00ED2DC7" w:rsidRPr="00AB06DF" w:rsidRDefault="00ED2DC7">
                    <w:pPr>
                      <w:snapToGrid w:val="0"/>
                      <w:spacing w:line="240" w:lineRule="atLeast"/>
                      <w:jc w:val="center"/>
                      <w:rPr>
                        <w:sz w:val="16"/>
                        <w:szCs w:val="16"/>
                      </w:rPr>
                    </w:pPr>
                  </w:p>
                </w:tc>
                <w:tc>
                  <w:tcPr>
                    <w:tcW w:w="357" w:type="pct"/>
                    <w:vMerge/>
                  </w:tcPr>
                  <w:p w:rsidR="00ED2DC7" w:rsidRPr="00AB06DF" w:rsidRDefault="00ED2DC7">
                    <w:pPr>
                      <w:snapToGrid w:val="0"/>
                      <w:spacing w:line="240" w:lineRule="atLeast"/>
                      <w:jc w:val="center"/>
                      <w:rPr>
                        <w:sz w:val="16"/>
                        <w:szCs w:val="16"/>
                      </w:rPr>
                    </w:pPr>
                  </w:p>
                </w:tc>
                <w:tc>
                  <w:tcPr>
                    <w:tcW w:w="140" w:type="pct"/>
                    <w:vMerge/>
                  </w:tcPr>
                  <w:p w:rsidR="00ED2DC7" w:rsidRPr="00AB06DF" w:rsidRDefault="00ED2DC7">
                    <w:pPr>
                      <w:snapToGrid w:val="0"/>
                      <w:spacing w:line="240" w:lineRule="atLeast"/>
                      <w:jc w:val="center"/>
                      <w:rPr>
                        <w:sz w:val="16"/>
                        <w:szCs w:val="16"/>
                      </w:rPr>
                    </w:pPr>
                  </w:p>
                </w:tc>
                <w:tc>
                  <w:tcPr>
                    <w:tcW w:w="353" w:type="pct"/>
                    <w:vMerge/>
                  </w:tcPr>
                  <w:p w:rsidR="00ED2DC7" w:rsidRPr="00AB06DF" w:rsidRDefault="00ED2DC7">
                    <w:pPr>
                      <w:snapToGrid w:val="0"/>
                      <w:spacing w:line="240" w:lineRule="atLeast"/>
                      <w:jc w:val="center"/>
                      <w:rPr>
                        <w:sz w:val="16"/>
                        <w:szCs w:val="16"/>
                      </w:rPr>
                    </w:pPr>
                  </w:p>
                </w:tc>
                <w:tc>
                  <w:tcPr>
                    <w:tcW w:w="186" w:type="pct"/>
                    <w:vMerge/>
                  </w:tcPr>
                  <w:p w:rsidR="00ED2DC7" w:rsidRPr="00AB06DF" w:rsidRDefault="00ED2DC7">
                    <w:pPr>
                      <w:snapToGrid w:val="0"/>
                      <w:spacing w:line="240" w:lineRule="atLeast"/>
                      <w:jc w:val="center"/>
                      <w:rPr>
                        <w:sz w:val="16"/>
                        <w:szCs w:val="16"/>
                      </w:rPr>
                    </w:pPr>
                  </w:p>
                </w:tc>
                <w:tc>
                  <w:tcPr>
                    <w:tcW w:w="399" w:type="pct"/>
                    <w:vMerge/>
                  </w:tcPr>
                  <w:p w:rsidR="00ED2DC7" w:rsidRPr="00AB06DF" w:rsidRDefault="00ED2DC7">
                    <w:pPr>
                      <w:snapToGrid w:val="0"/>
                      <w:spacing w:line="240" w:lineRule="atLeast"/>
                      <w:jc w:val="center"/>
                      <w:rPr>
                        <w:sz w:val="16"/>
                        <w:szCs w:val="16"/>
                      </w:rPr>
                    </w:pPr>
                  </w:p>
                </w:tc>
                <w:tc>
                  <w:tcPr>
                    <w:tcW w:w="157" w:type="pct"/>
                    <w:vMerge/>
                  </w:tcPr>
                  <w:p w:rsidR="00ED2DC7" w:rsidRPr="00AB06DF" w:rsidRDefault="00ED2DC7">
                    <w:pPr>
                      <w:jc w:val="center"/>
                      <w:rPr>
                        <w:sz w:val="16"/>
                        <w:szCs w:val="16"/>
                      </w:rPr>
                    </w:pPr>
                  </w:p>
                </w:tc>
                <w:tc>
                  <w:tcPr>
                    <w:tcW w:w="419" w:type="pct"/>
                    <w:vMerge/>
                  </w:tcPr>
                  <w:p w:rsidR="00ED2DC7" w:rsidRPr="00AB06DF" w:rsidRDefault="00ED2DC7">
                    <w:pPr>
                      <w:jc w:val="center"/>
                      <w:rPr>
                        <w:sz w:val="16"/>
                        <w:szCs w:val="16"/>
                      </w:rPr>
                    </w:pPr>
                  </w:p>
                </w:tc>
                <w:tc>
                  <w:tcPr>
                    <w:tcW w:w="399" w:type="pct"/>
                    <w:vMerge/>
                  </w:tcPr>
                  <w:p w:rsidR="00ED2DC7" w:rsidRPr="00AB06DF" w:rsidRDefault="00ED2DC7">
                    <w:pPr>
                      <w:jc w:val="center"/>
                      <w:rPr>
                        <w:sz w:val="16"/>
                        <w:szCs w:val="16"/>
                      </w:rPr>
                    </w:pPr>
                  </w:p>
                </w:tc>
                <w:tc>
                  <w:tcPr>
                    <w:tcW w:w="399" w:type="pct"/>
                    <w:vMerge/>
                    <w:tcBorders>
                      <w:bottom w:val="nil"/>
                    </w:tcBorders>
                  </w:tcPr>
                  <w:p w:rsidR="00ED2DC7" w:rsidRPr="00AB06DF" w:rsidRDefault="00ED2DC7">
                    <w:pPr>
                      <w:jc w:val="center"/>
                      <w:rPr>
                        <w:sz w:val="16"/>
                        <w:szCs w:val="16"/>
                      </w:rPr>
                    </w:pPr>
                  </w:p>
                </w:tc>
              </w:tr>
              <w:tr w:rsidR="00B637B2" w:rsidTr="00B637B2">
                <w:sdt>
                  <w:sdtPr>
                    <w:rPr>
                      <w:sz w:val="16"/>
                      <w:szCs w:val="16"/>
                    </w:rPr>
                    <w:tag w:val="_PLD_1f22f69e67ea4292afb08dec65f863c7"/>
                    <w:id w:val="-692849998"/>
                    <w:lock w:val="sdtLocked"/>
                  </w:sdtPr>
                  <w:sdtContent>
                    <w:tc>
                      <w:tcPr>
                        <w:tcW w:w="631" w:type="pct"/>
                      </w:tcPr>
                      <w:p w:rsidR="00A4585B" w:rsidRPr="00AB06DF" w:rsidRDefault="00A4585B" w:rsidP="00A4585B">
                        <w:pPr>
                          <w:rPr>
                            <w:sz w:val="16"/>
                            <w:szCs w:val="16"/>
                          </w:rPr>
                        </w:pPr>
                        <w:r w:rsidRPr="00AB06DF">
                          <w:rPr>
                            <w:sz w:val="16"/>
                            <w:szCs w:val="16"/>
                          </w:rPr>
                          <w:t>一、上年</w:t>
                        </w:r>
                        <w:r w:rsidRPr="00AB06DF">
                          <w:rPr>
                            <w:rFonts w:hint="eastAsia"/>
                            <w:sz w:val="16"/>
                            <w:szCs w:val="16"/>
                          </w:rPr>
                          <w:t>期</w:t>
                        </w:r>
                        <w:r w:rsidRPr="00AB06DF">
                          <w:rPr>
                            <w:sz w:val="16"/>
                            <w:szCs w:val="16"/>
                          </w:rPr>
                          <w:t>末余额</w:t>
                        </w:r>
                      </w:p>
                    </w:tc>
                  </w:sdtContent>
                </w:sdt>
                <w:tc>
                  <w:tcPr>
                    <w:tcW w:w="422" w:type="pct"/>
                    <w:vAlign w:val="center"/>
                  </w:tcPr>
                  <w:p w:rsidR="00A4585B" w:rsidRPr="00AB06DF" w:rsidRDefault="00A4585B" w:rsidP="00B637B2">
                    <w:pPr>
                      <w:jc w:val="right"/>
                      <w:rPr>
                        <w:sz w:val="16"/>
                        <w:szCs w:val="16"/>
                      </w:rPr>
                    </w:pPr>
                    <w:r w:rsidRPr="00AB06DF">
                      <w:rPr>
                        <w:sz w:val="16"/>
                        <w:szCs w:val="16"/>
                      </w:rPr>
                      <w:t>1,917,832,792</w:t>
                    </w:r>
                  </w:p>
                </w:tc>
                <w:tc>
                  <w:tcPr>
                    <w:tcW w:w="119" w:type="pct"/>
                    <w:vAlign w:val="center"/>
                  </w:tcPr>
                  <w:p w:rsidR="00A4585B" w:rsidRPr="00AB06DF" w:rsidRDefault="00A4585B" w:rsidP="00B637B2">
                    <w:pPr>
                      <w:jc w:val="right"/>
                      <w:rPr>
                        <w:sz w:val="16"/>
                        <w:szCs w:val="16"/>
                      </w:rPr>
                    </w:pPr>
                    <w:r w:rsidRPr="00AB06DF">
                      <w:rPr>
                        <w:sz w:val="16"/>
                        <w:szCs w:val="16"/>
                      </w:rPr>
                      <w:t>-</w:t>
                    </w:r>
                  </w:p>
                </w:tc>
                <w:tc>
                  <w:tcPr>
                    <w:tcW w:w="127" w:type="pct"/>
                    <w:vAlign w:val="center"/>
                  </w:tcPr>
                  <w:p w:rsidR="00A4585B" w:rsidRPr="00AB06DF" w:rsidRDefault="00A4585B" w:rsidP="00B637B2">
                    <w:pPr>
                      <w:jc w:val="right"/>
                      <w:rPr>
                        <w:sz w:val="16"/>
                        <w:szCs w:val="16"/>
                      </w:rPr>
                    </w:pPr>
                    <w:r w:rsidRPr="00AB06DF">
                      <w:rPr>
                        <w:sz w:val="16"/>
                        <w:szCs w:val="16"/>
                      </w:rPr>
                      <w:t>-</w:t>
                    </w:r>
                  </w:p>
                </w:tc>
                <w:tc>
                  <w:tcPr>
                    <w:tcW w:w="133" w:type="pct"/>
                    <w:vAlign w:val="center"/>
                  </w:tcPr>
                  <w:p w:rsidR="00A4585B" w:rsidRPr="00AB06DF" w:rsidRDefault="00A4585B" w:rsidP="00B637B2">
                    <w:pPr>
                      <w:jc w:val="right"/>
                      <w:rPr>
                        <w:sz w:val="16"/>
                        <w:szCs w:val="16"/>
                      </w:rPr>
                    </w:pPr>
                    <w:r w:rsidRPr="00AB06DF">
                      <w:rPr>
                        <w:sz w:val="16"/>
                        <w:szCs w:val="16"/>
                      </w:rPr>
                      <w:t>-</w:t>
                    </w:r>
                  </w:p>
                </w:tc>
                <w:tc>
                  <w:tcPr>
                    <w:tcW w:w="402" w:type="pct"/>
                    <w:vAlign w:val="center"/>
                  </w:tcPr>
                  <w:p w:rsidR="00A4585B" w:rsidRPr="00AB06DF" w:rsidRDefault="00A4585B" w:rsidP="00B637B2">
                    <w:pPr>
                      <w:jc w:val="right"/>
                      <w:rPr>
                        <w:sz w:val="16"/>
                        <w:szCs w:val="16"/>
                      </w:rPr>
                    </w:pPr>
                    <w:r w:rsidRPr="00AB06DF">
                      <w:rPr>
                        <w:sz w:val="16"/>
                        <w:szCs w:val="16"/>
                      </w:rPr>
                      <w:t>2,120,758,790</w:t>
                    </w:r>
                  </w:p>
                </w:tc>
                <w:tc>
                  <w:tcPr>
                    <w:tcW w:w="357" w:type="pct"/>
                    <w:vAlign w:val="center"/>
                  </w:tcPr>
                  <w:p w:rsidR="00A4585B" w:rsidRPr="00AB06DF" w:rsidRDefault="00A4585B" w:rsidP="00B637B2">
                    <w:pPr>
                      <w:jc w:val="right"/>
                      <w:rPr>
                        <w:sz w:val="16"/>
                        <w:szCs w:val="16"/>
                      </w:rPr>
                    </w:pPr>
                    <w:r w:rsidRPr="00AB06DF">
                      <w:rPr>
                        <w:sz w:val="16"/>
                        <w:szCs w:val="16"/>
                      </w:rPr>
                      <w:t>55,787,910</w:t>
                    </w:r>
                  </w:p>
                </w:tc>
                <w:tc>
                  <w:tcPr>
                    <w:tcW w:w="357" w:type="pct"/>
                    <w:vAlign w:val="center"/>
                  </w:tcPr>
                  <w:p w:rsidR="00A4585B" w:rsidRPr="00AB06DF" w:rsidRDefault="00A4585B" w:rsidP="00B637B2">
                    <w:pPr>
                      <w:jc w:val="right"/>
                      <w:rPr>
                        <w:sz w:val="16"/>
                        <w:szCs w:val="16"/>
                      </w:rPr>
                    </w:pPr>
                    <w:r w:rsidRPr="00AB06DF">
                      <w:rPr>
                        <w:sz w:val="16"/>
                        <w:szCs w:val="16"/>
                      </w:rPr>
                      <w:t>-25,234,857</w:t>
                    </w:r>
                  </w:p>
                </w:tc>
                <w:tc>
                  <w:tcPr>
                    <w:tcW w:w="140" w:type="pct"/>
                    <w:vAlign w:val="center"/>
                  </w:tcPr>
                  <w:p w:rsidR="00A4585B" w:rsidRPr="00AB06DF" w:rsidRDefault="00A4585B" w:rsidP="00B637B2">
                    <w:pPr>
                      <w:jc w:val="right"/>
                      <w:rPr>
                        <w:sz w:val="16"/>
                        <w:szCs w:val="16"/>
                      </w:rPr>
                    </w:pPr>
                    <w:r w:rsidRPr="00AB06DF">
                      <w:rPr>
                        <w:sz w:val="16"/>
                        <w:szCs w:val="16"/>
                      </w:rPr>
                      <w:t>-</w:t>
                    </w:r>
                  </w:p>
                </w:tc>
                <w:tc>
                  <w:tcPr>
                    <w:tcW w:w="353" w:type="pct"/>
                    <w:vAlign w:val="center"/>
                  </w:tcPr>
                  <w:p w:rsidR="00A4585B" w:rsidRPr="00AB06DF" w:rsidRDefault="00A4585B" w:rsidP="00B637B2">
                    <w:pPr>
                      <w:jc w:val="right"/>
                      <w:rPr>
                        <w:sz w:val="16"/>
                        <w:szCs w:val="16"/>
                      </w:rPr>
                    </w:pPr>
                    <w:r w:rsidRPr="00AB06DF">
                      <w:rPr>
                        <w:sz w:val="16"/>
                        <w:szCs w:val="16"/>
                      </w:rPr>
                      <w:t>827,153,655</w:t>
                    </w:r>
                  </w:p>
                </w:tc>
                <w:tc>
                  <w:tcPr>
                    <w:tcW w:w="186" w:type="pct"/>
                    <w:vAlign w:val="center"/>
                  </w:tcPr>
                  <w:p w:rsidR="00A4585B" w:rsidRPr="00AB06DF" w:rsidRDefault="00A4585B" w:rsidP="00B637B2">
                    <w:pPr>
                      <w:jc w:val="right"/>
                      <w:rPr>
                        <w:sz w:val="16"/>
                        <w:szCs w:val="16"/>
                      </w:rPr>
                    </w:pPr>
                    <w:r w:rsidRPr="00AB06DF">
                      <w:rPr>
                        <w:sz w:val="16"/>
                        <w:szCs w:val="16"/>
                      </w:rPr>
                      <w:t>-</w:t>
                    </w:r>
                  </w:p>
                </w:tc>
                <w:tc>
                  <w:tcPr>
                    <w:tcW w:w="399" w:type="pct"/>
                    <w:vAlign w:val="center"/>
                  </w:tcPr>
                  <w:p w:rsidR="00A4585B" w:rsidRPr="00AB06DF" w:rsidRDefault="00A4585B" w:rsidP="00B637B2">
                    <w:pPr>
                      <w:jc w:val="right"/>
                      <w:rPr>
                        <w:sz w:val="16"/>
                        <w:szCs w:val="16"/>
                      </w:rPr>
                    </w:pPr>
                    <w:r w:rsidRPr="00AB06DF">
                      <w:rPr>
                        <w:sz w:val="16"/>
                        <w:szCs w:val="16"/>
                      </w:rPr>
                      <w:t>1,785,975,033</w:t>
                    </w:r>
                  </w:p>
                </w:tc>
                <w:tc>
                  <w:tcPr>
                    <w:tcW w:w="157" w:type="pct"/>
                    <w:vAlign w:val="center"/>
                  </w:tcPr>
                  <w:p w:rsidR="00A4585B" w:rsidRPr="00AB06DF" w:rsidRDefault="008F04CF" w:rsidP="00B637B2">
                    <w:pPr>
                      <w:jc w:val="right"/>
                      <w:rPr>
                        <w:sz w:val="16"/>
                        <w:szCs w:val="16"/>
                      </w:rPr>
                    </w:pPr>
                    <w:r>
                      <w:rPr>
                        <w:rFonts w:hint="eastAsia"/>
                        <w:sz w:val="16"/>
                        <w:szCs w:val="16"/>
                      </w:rPr>
                      <w:t>-</w:t>
                    </w:r>
                  </w:p>
                </w:tc>
                <w:tc>
                  <w:tcPr>
                    <w:tcW w:w="419" w:type="pct"/>
                    <w:vAlign w:val="center"/>
                  </w:tcPr>
                  <w:p w:rsidR="00A4585B" w:rsidRPr="00AB06DF" w:rsidRDefault="008F04CF" w:rsidP="00B637B2">
                    <w:pPr>
                      <w:jc w:val="right"/>
                      <w:rPr>
                        <w:sz w:val="16"/>
                        <w:szCs w:val="16"/>
                      </w:rPr>
                    </w:pPr>
                    <w:r w:rsidRPr="00DA38D2">
                      <w:rPr>
                        <w:sz w:val="16"/>
                        <w:szCs w:val="16"/>
                      </w:rPr>
                      <w:t>6,570,697,503</w:t>
                    </w:r>
                  </w:p>
                </w:tc>
                <w:tc>
                  <w:tcPr>
                    <w:tcW w:w="399" w:type="pct"/>
                    <w:vAlign w:val="center"/>
                  </w:tcPr>
                  <w:p w:rsidR="00A4585B" w:rsidRPr="00AB06DF" w:rsidRDefault="00A4585B" w:rsidP="00B637B2">
                    <w:pPr>
                      <w:jc w:val="right"/>
                      <w:rPr>
                        <w:sz w:val="16"/>
                        <w:szCs w:val="16"/>
                      </w:rPr>
                    </w:pPr>
                    <w:r w:rsidRPr="00AB06DF">
                      <w:rPr>
                        <w:sz w:val="16"/>
                        <w:szCs w:val="16"/>
                      </w:rPr>
                      <w:t>1,081,265,642</w:t>
                    </w:r>
                  </w:p>
                </w:tc>
                <w:tc>
                  <w:tcPr>
                    <w:tcW w:w="399" w:type="pct"/>
                    <w:vAlign w:val="center"/>
                  </w:tcPr>
                  <w:p w:rsidR="00A4585B" w:rsidRPr="00AB06DF" w:rsidRDefault="00A4585B" w:rsidP="00B637B2">
                    <w:pPr>
                      <w:jc w:val="right"/>
                      <w:rPr>
                        <w:sz w:val="16"/>
                        <w:szCs w:val="16"/>
                      </w:rPr>
                    </w:pPr>
                    <w:r w:rsidRPr="00AB06DF">
                      <w:rPr>
                        <w:sz w:val="16"/>
                        <w:szCs w:val="16"/>
                      </w:rPr>
                      <w:t>7,651,963,145</w:t>
                    </w:r>
                  </w:p>
                </w:tc>
              </w:tr>
              <w:tr w:rsidR="00B637B2" w:rsidTr="00B637B2">
                <w:sdt>
                  <w:sdtPr>
                    <w:rPr>
                      <w:sz w:val="16"/>
                      <w:szCs w:val="16"/>
                    </w:rPr>
                    <w:tag w:val="_PLD_8753148a28244d68bf92b2fbad32f9b8"/>
                    <w:id w:val="-151056435"/>
                    <w:lock w:val="sdtLocked"/>
                  </w:sdtPr>
                  <w:sdtContent>
                    <w:tc>
                      <w:tcPr>
                        <w:tcW w:w="631" w:type="pct"/>
                      </w:tcPr>
                      <w:p w:rsidR="00A4585B" w:rsidRPr="00AB06DF" w:rsidRDefault="00A4585B" w:rsidP="00A4585B">
                        <w:pPr>
                          <w:rPr>
                            <w:sz w:val="16"/>
                            <w:szCs w:val="16"/>
                          </w:rPr>
                        </w:pPr>
                        <w:r w:rsidRPr="00AB06DF">
                          <w:rPr>
                            <w:rFonts w:hint="eastAsia"/>
                            <w:sz w:val="16"/>
                            <w:szCs w:val="16"/>
                          </w:rPr>
                          <w:t>加：</w:t>
                        </w:r>
                        <w:r w:rsidRPr="00AB06DF">
                          <w:rPr>
                            <w:sz w:val="16"/>
                            <w:szCs w:val="16"/>
                          </w:rPr>
                          <w:t>会计政策变更</w:t>
                        </w:r>
                      </w:p>
                    </w:tc>
                  </w:sdtContent>
                </w:sdt>
                <w:tc>
                  <w:tcPr>
                    <w:tcW w:w="422" w:type="pct"/>
                    <w:vAlign w:val="center"/>
                  </w:tcPr>
                  <w:p w:rsidR="00A4585B" w:rsidRPr="00AB06DF" w:rsidRDefault="00A4585B" w:rsidP="00B637B2">
                    <w:pPr>
                      <w:jc w:val="right"/>
                      <w:rPr>
                        <w:sz w:val="16"/>
                        <w:szCs w:val="16"/>
                      </w:rPr>
                    </w:pPr>
                    <w:r w:rsidRPr="00AB06DF">
                      <w:rPr>
                        <w:sz w:val="16"/>
                        <w:szCs w:val="16"/>
                      </w:rPr>
                      <w:t>-</w:t>
                    </w:r>
                  </w:p>
                </w:tc>
                <w:tc>
                  <w:tcPr>
                    <w:tcW w:w="119" w:type="pct"/>
                    <w:vAlign w:val="center"/>
                  </w:tcPr>
                  <w:p w:rsidR="00A4585B" w:rsidRPr="00AB06DF" w:rsidRDefault="00A4585B" w:rsidP="00B637B2">
                    <w:pPr>
                      <w:jc w:val="right"/>
                      <w:rPr>
                        <w:sz w:val="16"/>
                        <w:szCs w:val="16"/>
                      </w:rPr>
                    </w:pPr>
                    <w:r w:rsidRPr="00AB06DF">
                      <w:rPr>
                        <w:sz w:val="16"/>
                        <w:szCs w:val="16"/>
                      </w:rPr>
                      <w:t>-</w:t>
                    </w:r>
                  </w:p>
                </w:tc>
                <w:tc>
                  <w:tcPr>
                    <w:tcW w:w="127" w:type="pct"/>
                    <w:vAlign w:val="center"/>
                  </w:tcPr>
                  <w:p w:rsidR="00A4585B" w:rsidRPr="00AB06DF" w:rsidRDefault="00A4585B" w:rsidP="00B637B2">
                    <w:pPr>
                      <w:jc w:val="right"/>
                      <w:rPr>
                        <w:sz w:val="16"/>
                        <w:szCs w:val="16"/>
                      </w:rPr>
                    </w:pPr>
                    <w:r w:rsidRPr="00AB06DF">
                      <w:rPr>
                        <w:sz w:val="16"/>
                        <w:szCs w:val="16"/>
                      </w:rPr>
                      <w:t>-</w:t>
                    </w:r>
                  </w:p>
                </w:tc>
                <w:tc>
                  <w:tcPr>
                    <w:tcW w:w="133" w:type="pct"/>
                    <w:vAlign w:val="center"/>
                  </w:tcPr>
                  <w:p w:rsidR="00A4585B" w:rsidRPr="00AB06DF" w:rsidRDefault="00A4585B" w:rsidP="00B637B2">
                    <w:pPr>
                      <w:jc w:val="right"/>
                      <w:rPr>
                        <w:sz w:val="16"/>
                        <w:szCs w:val="16"/>
                      </w:rPr>
                    </w:pPr>
                    <w:r w:rsidRPr="00AB06DF">
                      <w:rPr>
                        <w:sz w:val="16"/>
                        <w:szCs w:val="16"/>
                      </w:rPr>
                      <w:t>-</w:t>
                    </w:r>
                  </w:p>
                </w:tc>
                <w:tc>
                  <w:tcPr>
                    <w:tcW w:w="402" w:type="pct"/>
                    <w:vAlign w:val="center"/>
                  </w:tcPr>
                  <w:p w:rsidR="00A4585B" w:rsidRPr="00AB06DF" w:rsidRDefault="00A4585B" w:rsidP="00B637B2">
                    <w:pPr>
                      <w:jc w:val="right"/>
                      <w:rPr>
                        <w:sz w:val="16"/>
                        <w:szCs w:val="16"/>
                      </w:rPr>
                    </w:pPr>
                    <w:r w:rsidRPr="00AB06DF">
                      <w:rPr>
                        <w:sz w:val="16"/>
                        <w:szCs w:val="16"/>
                      </w:rPr>
                      <w:t>-</w:t>
                    </w:r>
                  </w:p>
                </w:tc>
                <w:tc>
                  <w:tcPr>
                    <w:tcW w:w="357" w:type="pct"/>
                    <w:vAlign w:val="center"/>
                  </w:tcPr>
                  <w:p w:rsidR="00A4585B" w:rsidRPr="00AB06DF" w:rsidRDefault="00A4585B" w:rsidP="00B637B2">
                    <w:pPr>
                      <w:jc w:val="right"/>
                      <w:rPr>
                        <w:sz w:val="16"/>
                        <w:szCs w:val="16"/>
                      </w:rPr>
                    </w:pPr>
                    <w:r w:rsidRPr="00AB06DF">
                      <w:rPr>
                        <w:sz w:val="16"/>
                        <w:szCs w:val="16"/>
                      </w:rPr>
                      <w:t>-</w:t>
                    </w:r>
                  </w:p>
                </w:tc>
                <w:tc>
                  <w:tcPr>
                    <w:tcW w:w="357" w:type="pct"/>
                    <w:vAlign w:val="center"/>
                  </w:tcPr>
                  <w:p w:rsidR="00A4585B" w:rsidRPr="00AB06DF" w:rsidRDefault="00A4585B" w:rsidP="00B637B2">
                    <w:pPr>
                      <w:jc w:val="right"/>
                      <w:rPr>
                        <w:sz w:val="16"/>
                        <w:szCs w:val="16"/>
                      </w:rPr>
                    </w:pPr>
                    <w:r w:rsidRPr="00AB06DF">
                      <w:rPr>
                        <w:sz w:val="16"/>
                        <w:szCs w:val="16"/>
                      </w:rPr>
                      <w:t>29,662,129</w:t>
                    </w:r>
                  </w:p>
                </w:tc>
                <w:tc>
                  <w:tcPr>
                    <w:tcW w:w="140" w:type="pct"/>
                    <w:vAlign w:val="center"/>
                  </w:tcPr>
                  <w:p w:rsidR="00A4585B" w:rsidRPr="00AB06DF" w:rsidRDefault="00A4585B" w:rsidP="00B637B2">
                    <w:pPr>
                      <w:jc w:val="right"/>
                      <w:rPr>
                        <w:sz w:val="16"/>
                        <w:szCs w:val="16"/>
                      </w:rPr>
                    </w:pPr>
                    <w:r w:rsidRPr="00AB06DF">
                      <w:rPr>
                        <w:sz w:val="16"/>
                        <w:szCs w:val="16"/>
                      </w:rPr>
                      <w:t>-</w:t>
                    </w:r>
                  </w:p>
                </w:tc>
                <w:tc>
                  <w:tcPr>
                    <w:tcW w:w="353" w:type="pct"/>
                    <w:vAlign w:val="center"/>
                  </w:tcPr>
                  <w:p w:rsidR="00A4585B" w:rsidRPr="00AB06DF" w:rsidRDefault="00A4585B" w:rsidP="00B637B2">
                    <w:pPr>
                      <w:jc w:val="right"/>
                      <w:rPr>
                        <w:sz w:val="16"/>
                        <w:szCs w:val="16"/>
                      </w:rPr>
                    </w:pPr>
                    <w:r w:rsidRPr="00AB06DF">
                      <w:rPr>
                        <w:sz w:val="16"/>
                        <w:szCs w:val="16"/>
                      </w:rPr>
                      <w:t>4,829,786</w:t>
                    </w:r>
                  </w:p>
                </w:tc>
                <w:tc>
                  <w:tcPr>
                    <w:tcW w:w="186" w:type="pct"/>
                    <w:vAlign w:val="center"/>
                  </w:tcPr>
                  <w:p w:rsidR="00A4585B" w:rsidRPr="00AB06DF" w:rsidRDefault="00A4585B" w:rsidP="00B637B2">
                    <w:pPr>
                      <w:jc w:val="right"/>
                      <w:rPr>
                        <w:sz w:val="16"/>
                        <w:szCs w:val="16"/>
                      </w:rPr>
                    </w:pPr>
                    <w:r w:rsidRPr="00AB06DF">
                      <w:rPr>
                        <w:sz w:val="16"/>
                        <w:szCs w:val="16"/>
                      </w:rPr>
                      <w:t>-</w:t>
                    </w:r>
                  </w:p>
                </w:tc>
                <w:tc>
                  <w:tcPr>
                    <w:tcW w:w="399" w:type="pct"/>
                    <w:vAlign w:val="center"/>
                  </w:tcPr>
                  <w:p w:rsidR="00A4585B" w:rsidRPr="00AB06DF" w:rsidRDefault="00A4585B" w:rsidP="00B637B2">
                    <w:pPr>
                      <w:jc w:val="right"/>
                      <w:rPr>
                        <w:sz w:val="16"/>
                        <w:szCs w:val="16"/>
                      </w:rPr>
                    </w:pPr>
                    <w:r w:rsidRPr="00AB06DF">
                      <w:rPr>
                        <w:sz w:val="16"/>
                        <w:szCs w:val="16"/>
                      </w:rPr>
                      <w:t>65,279,400</w:t>
                    </w:r>
                  </w:p>
                </w:tc>
                <w:tc>
                  <w:tcPr>
                    <w:tcW w:w="157" w:type="pct"/>
                    <w:vAlign w:val="center"/>
                  </w:tcPr>
                  <w:p w:rsidR="00A4585B" w:rsidRPr="00AB06DF" w:rsidRDefault="008F04CF" w:rsidP="00B637B2">
                    <w:pPr>
                      <w:jc w:val="right"/>
                      <w:rPr>
                        <w:sz w:val="16"/>
                        <w:szCs w:val="16"/>
                      </w:rPr>
                    </w:pPr>
                    <w:r>
                      <w:rPr>
                        <w:rFonts w:hint="eastAsia"/>
                        <w:sz w:val="16"/>
                        <w:szCs w:val="16"/>
                      </w:rPr>
                      <w:t>-</w:t>
                    </w:r>
                  </w:p>
                </w:tc>
                <w:tc>
                  <w:tcPr>
                    <w:tcW w:w="419" w:type="pct"/>
                    <w:vAlign w:val="center"/>
                  </w:tcPr>
                  <w:p w:rsidR="00A4585B" w:rsidRPr="00AB06DF" w:rsidRDefault="008F04CF" w:rsidP="00B637B2">
                    <w:pPr>
                      <w:jc w:val="right"/>
                      <w:rPr>
                        <w:sz w:val="16"/>
                        <w:szCs w:val="16"/>
                      </w:rPr>
                    </w:pPr>
                    <w:r w:rsidRPr="00DA38D2">
                      <w:rPr>
                        <w:sz w:val="16"/>
                        <w:szCs w:val="16"/>
                      </w:rPr>
                      <w:t>99,771,315</w:t>
                    </w:r>
                  </w:p>
                </w:tc>
                <w:tc>
                  <w:tcPr>
                    <w:tcW w:w="399" w:type="pct"/>
                    <w:vAlign w:val="center"/>
                  </w:tcPr>
                  <w:p w:rsidR="00A4585B" w:rsidRPr="00AB06DF" w:rsidRDefault="00A4585B" w:rsidP="00B637B2">
                    <w:pPr>
                      <w:jc w:val="right"/>
                      <w:rPr>
                        <w:sz w:val="16"/>
                        <w:szCs w:val="16"/>
                      </w:rPr>
                    </w:pPr>
                    <w:r w:rsidRPr="00AB06DF">
                      <w:rPr>
                        <w:sz w:val="16"/>
                        <w:szCs w:val="16"/>
                      </w:rPr>
                      <w:t>-4,063,410</w:t>
                    </w:r>
                  </w:p>
                </w:tc>
                <w:tc>
                  <w:tcPr>
                    <w:tcW w:w="399" w:type="pct"/>
                    <w:vAlign w:val="center"/>
                  </w:tcPr>
                  <w:p w:rsidR="00A4585B" w:rsidRPr="00AB06DF" w:rsidRDefault="00A4585B" w:rsidP="00B637B2">
                    <w:pPr>
                      <w:jc w:val="right"/>
                      <w:rPr>
                        <w:sz w:val="16"/>
                        <w:szCs w:val="16"/>
                      </w:rPr>
                    </w:pPr>
                    <w:r w:rsidRPr="00AB06DF">
                      <w:rPr>
                        <w:sz w:val="16"/>
                        <w:szCs w:val="16"/>
                      </w:rPr>
                      <w:t>95,707,905</w:t>
                    </w:r>
                  </w:p>
                </w:tc>
              </w:tr>
              <w:tr w:rsidR="00B637B2" w:rsidTr="00B637B2">
                <w:sdt>
                  <w:sdtPr>
                    <w:rPr>
                      <w:sz w:val="16"/>
                      <w:szCs w:val="16"/>
                    </w:rPr>
                    <w:tag w:val="_PLD_291ece6b974e4962be6cec3c398fd5be"/>
                    <w:id w:val="-2089220550"/>
                    <w:lock w:val="sdtLocked"/>
                  </w:sdtPr>
                  <w:sdtContent>
                    <w:tc>
                      <w:tcPr>
                        <w:tcW w:w="631" w:type="pct"/>
                      </w:tcPr>
                      <w:p w:rsidR="00A4585B" w:rsidRPr="00AB06DF" w:rsidRDefault="00A4585B" w:rsidP="00A4585B">
                        <w:pPr>
                          <w:ind w:firstLineChars="200" w:firstLine="320"/>
                          <w:rPr>
                            <w:sz w:val="16"/>
                            <w:szCs w:val="16"/>
                          </w:rPr>
                        </w:pPr>
                        <w:r w:rsidRPr="00AB06DF">
                          <w:rPr>
                            <w:sz w:val="16"/>
                            <w:szCs w:val="16"/>
                          </w:rPr>
                          <w:t>前期差错更正</w:t>
                        </w:r>
                      </w:p>
                    </w:tc>
                  </w:sdtContent>
                </w:sdt>
                <w:tc>
                  <w:tcPr>
                    <w:tcW w:w="422" w:type="pct"/>
                    <w:vAlign w:val="center"/>
                  </w:tcPr>
                  <w:p w:rsidR="00A4585B" w:rsidRPr="00AB06DF" w:rsidRDefault="00A4585B" w:rsidP="00B637B2">
                    <w:pPr>
                      <w:jc w:val="right"/>
                      <w:rPr>
                        <w:sz w:val="16"/>
                        <w:szCs w:val="16"/>
                      </w:rPr>
                    </w:pPr>
                    <w:r w:rsidRPr="00AB06DF">
                      <w:rPr>
                        <w:sz w:val="16"/>
                        <w:szCs w:val="16"/>
                      </w:rPr>
                      <w:t>-</w:t>
                    </w:r>
                  </w:p>
                </w:tc>
                <w:tc>
                  <w:tcPr>
                    <w:tcW w:w="119" w:type="pct"/>
                    <w:vAlign w:val="center"/>
                  </w:tcPr>
                  <w:p w:rsidR="00A4585B" w:rsidRPr="00AB06DF" w:rsidRDefault="00A4585B" w:rsidP="00B637B2">
                    <w:pPr>
                      <w:jc w:val="right"/>
                      <w:rPr>
                        <w:sz w:val="16"/>
                        <w:szCs w:val="16"/>
                      </w:rPr>
                    </w:pPr>
                    <w:r w:rsidRPr="00AB06DF">
                      <w:rPr>
                        <w:sz w:val="16"/>
                        <w:szCs w:val="16"/>
                      </w:rPr>
                      <w:t>-</w:t>
                    </w:r>
                  </w:p>
                </w:tc>
                <w:tc>
                  <w:tcPr>
                    <w:tcW w:w="127" w:type="pct"/>
                    <w:vAlign w:val="center"/>
                  </w:tcPr>
                  <w:p w:rsidR="00A4585B" w:rsidRPr="00AB06DF" w:rsidRDefault="00A4585B" w:rsidP="00B637B2">
                    <w:pPr>
                      <w:jc w:val="right"/>
                      <w:rPr>
                        <w:sz w:val="16"/>
                        <w:szCs w:val="16"/>
                      </w:rPr>
                    </w:pPr>
                    <w:r w:rsidRPr="00AB06DF">
                      <w:rPr>
                        <w:sz w:val="16"/>
                        <w:szCs w:val="16"/>
                      </w:rPr>
                      <w:t>-</w:t>
                    </w:r>
                  </w:p>
                </w:tc>
                <w:tc>
                  <w:tcPr>
                    <w:tcW w:w="133" w:type="pct"/>
                    <w:vAlign w:val="center"/>
                  </w:tcPr>
                  <w:p w:rsidR="00A4585B" w:rsidRPr="00AB06DF" w:rsidRDefault="00A4585B" w:rsidP="00B637B2">
                    <w:pPr>
                      <w:jc w:val="right"/>
                      <w:rPr>
                        <w:sz w:val="16"/>
                        <w:szCs w:val="16"/>
                      </w:rPr>
                    </w:pPr>
                    <w:r w:rsidRPr="00AB06DF">
                      <w:rPr>
                        <w:sz w:val="16"/>
                        <w:szCs w:val="16"/>
                      </w:rPr>
                      <w:t>-</w:t>
                    </w:r>
                  </w:p>
                </w:tc>
                <w:tc>
                  <w:tcPr>
                    <w:tcW w:w="402" w:type="pct"/>
                    <w:vAlign w:val="center"/>
                  </w:tcPr>
                  <w:p w:rsidR="00A4585B" w:rsidRPr="00AB06DF" w:rsidRDefault="00A4585B" w:rsidP="00B637B2">
                    <w:pPr>
                      <w:jc w:val="right"/>
                      <w:rPr>
                        <w:sz w:val="16"/>
                        <w:szCs w:val="16"/>
                      </w:rPr>
                    </w:pPr>
                    <w:r w:rsidRPr="00AB06DF">
                      <w:rPr>
                        <w:sz w:val="16"/>
                        <w:szCs w:val="16"/>
                      </w:rPr>
                      <w:t>-</w:t>
                    </w:r>
                  </w:p>
                </w:tc>
                <w:tc>
                  <w:tcPr>
                    <w:tcW w:w="357" w:type="pct"/>
                    <w:vAlign w:val="center"/>
                  </w:tcPr>
                  <w:p w:rsidR="00A4585B" w:rsidRPr="00AB06DF" w:rsidRDefault="00A4585B" w:rsidP="00B637B2">
                    <w:pPr>
                      <w:jc w:val="right"/>
                      <w:rPr>
                        <w:sz w:val="16"/>
                        <w:szCs w:val="16"/>
                      </w:rPr>
                    </w:pPr>
                    <w:r w:rsidRPr="00AB06DF">
                      <w:rPr>
                        <w:sz w:val="16"/>
                        <w:szCs w:val="16"/>
                      </w:rPr>
                      <w:t>-</w:t>
                    </w:r>
                  </w:p>
                </w:tc>
                <w:tc>
                  <w:tcPr>
                    <w:tcW w:w="357" w:type="pct"/>
                    <w:vAlign w:val="center"/>
                  </w:tcPr>
                  <w:p w:rsidR="00A4585B" w:rsidRPr="00AB06DF" w:rsidRDefault="00A4585B" w:rsidP="00B637B2">
                    <w:pPr>
                      <w:jc w:val="right"/>
                      <w:rPr>
                        <w:sz w:val="16"/>
                        <w:szCs w:val="16"/>
                      </w:rPr>
                    </w:pPr>
                    <w:r w:rsidRPr="00AB06DF">
                      <w:rPr>
                        <w:sz w:val="16"/>
                        <w:szCs w:val="16"/>
                      </w:rPr>
                      <w:t>-</w:t>
                    </w:r>
                  </w:p>
                </w:tc>
                <w:tc>
                  <w:tcPr>
                    <w:tcW w:w="140" w:type="pct"/>
                    <w:vAlign w:val="center"/>
                  </w:tcPr>
                  <w:p w:rsidR="00A4585B" w:rsidRPr="00AB06DF" w:rsidRDefault="00A4585B" w:rsidP="00B637B2">
                    <w:pPr>
                      <w:jc w:val="right"/>
                      <w:rPr>
                        <w:sz w:val="16"/>
                        <w:szCs w:val="16"/>
                      </w:rPr>
                    </w:pPr>
                    <w:r w:rsidRPr="00AB06DF">
                      <w:rPr>
                        <w:sz w:val="16"/>
                        <w:szCs w:val="16"/>
                      </w:rPr>
                      <w:t>-</w:t>
                    </w:r>
                  </w:p>
                </w:tc>
                <w:tc>
                  <w:tcPr>
                    <w:tcW w:w="353" w:type="pct"/>
                    <w:vAlign w:val="center"/>
                  </w:tcPr>
                  <w:p w:rsidR="00A4585B" w:rsidRPr="00AB06DF" w:rsidRDefault="00A4585B" w:rsidP="00B637B2">
                    <w:pPr>
                      <w:jc w:val="right"/>
                      <w:rPr>
                        <w:sz w:val="16"/>
                        <w:szCs w:val="16"/>
                      </w:rPr>
                    </w:pPr>
                    <w:r w:rsidRPr="00AB06DF">
                      <w:rPr>
                        <w:sz w:val="16"/>
                        <w:szCs w:val="16"/>
                      </w:rPr>
                      <w:t>-</w:t>
                    </w:r>
                  </w:p>
                </w:tc>
                <w:tc>
                  <w:tcPr>
                    <w:tcW w:w="186" w:type="pct"/>
                    <w:vAlign w:val="center"/>
                  </w:tcPr>
                  <w:p w:rsidR="00A4585B" w:rsidRPr="00AB06DF" w:rsidRDefault="00A4585B" w:rsidP="00B637B2">
                    <w:pPr>
                      <w:jc w:val="right"/>
                      <w:rPr>
                        <w:sz w:val="16"/>
                        <w:szCs w:val="16"/>
                      </w:rPr>
                    </w:pPr>
                    <w:r w:rsidRPr="00AB06DF">
                      <w:rPr>
                        <w:sz w:val="16"/>
                        <w:szCs w:val="16"/>
                      </w:rPr>
                      <w:t>-</w:t>
                    </w:r>
                  </w:p>
                </w:tc>
                <w:tc>
                  <w:tcPr>
                    <w:tcW w:w="399" w:type="pct"/>
                    <w:vAlign w:val="center"/>
                  </w:tcPr>
                  <w:p w:rsidR="00A4585B" w:rsidRPr="00AB06DF" w:rsidRDefault="00A4585B" w:rsidP="00B637B2">
                    <w:pPr>
                      <w:jc w:val="right"/>
                      <w:rPr>
                        <w:sz w:val="16"/>
                        <w:szCs w:val="16"/>
                      </w:rPr>
                    </w:pPr>
                    <w:r w:rsidRPr="00AB06DF">
                      <w:rPr>
                        <w:sz w:val="16"/>
                        <w:szCs w:val="16"/>
                      </w:rPr>
                      <w:t>-</w:t>
                    </w:r>
                  </w:p>
                </w:tc>
                <w:tc>
                  <w:tcPr>
                    <w:tcW w:w="157" w:type="pct"/>
                    <w:vAlign w:val="center"/>
                  </w:tcPr>
                  <w:p w:rsidR="00A4585B" w:rsidRPr="00AB06DF" w:rsidRDefault="008F04CF" w:rsidP="00B637B2">
                    <w:pPr>
                      <w:jc w:val="right"/>
                      <w:rPr>
                        <w:sz w:val="16"/>
                        <w:szCs w:val="16"/>
                      </w:rPr>
                    </w:pPr>
                    <w:r>
                      <w:rPr>
                        <w:rFonts w:hint="eastAsia"/>
                        <w:sz w:val="16"/>
                        <w:szCs w:val="16"/>
                      </w:rPr>
                      <w:t>-</w:t>
                    </w:r>
                  </w:p>
                </w:tc>
                <w:tc>
                  <w:tcPr>
                    <w:tcW w:w="419" w:type="pct"/>
                    <w:vAlign w:val="center"/>
                  </w:tcPr>
                  <w:p w:rsidR="00A4585B" w:rsidRPr="00AB06DF" w:rsidRDefault="008F04CF" w:rsidP="00B637B2">
                    <w:pPr>
                      <w:jc w:val="right"/>
                      <w:rPr>
                        <w:sz w:val="16"/>
                        <w:szCs w:val="16"/>
                      </w:rPr>
                    </w:pPr>
                    <w:r>
                      <w:rPr>
                        <w:rFonts w:hint="eastAsia"/>
                        <w:sz w:val="16"/>
                        <w:szCs w:val="16"/>
                      </w:rPr>
                      <w:t>-</w:t>
                    </w:r>
                  </w:p>
                </w:tc>
                <w:tc>
                  <w:tcPr>
                    <w:tcW w:w="399" w:type="pct"/>
                    <w:vAlign w:val="center"/>
                  </w:tcPr>
                  <w:p w:rsidR="00A4585B" w:rsidRPr="00AB06DF" w:rsidRDefault="00A4585B" w:rsidP="00B637B2">
                    <w:pPr>
                      <w:jc w:val="right"/>
                      <w:rPr>
                        <w:sz w:val="16"/>
                        <w:szCs w:val="16"/>
                      </w:rPr>
                    </w:pPr>
                    <w:r w:rsidRPr="00AB06DF">
                      <w:rPr>
                        <w:sz w:val="16"/>
                        <w:szCs w:val="16"/>
                      </w:rPr>
                      <w:t>-</w:t>
                    </w:r>
                  </w:p>
                </w:tc>
                <w:tc>
                  <w:tcPr>
                    <w:tcW w:w="399" w:type="pct"/>
                    <w:vAlign w:val="center"/>
                  </w:tcPr>
                  <w:p w:rsidR="00A4585B" w:rsidRPr="00AB06DF" w:rsidRDefault="00A4585B" w:rsidP="00B637B2">
                    <w:pPr>
                      <w:jc w:val="right"/>
                      <w:rPr>
                        <w:sz w:val="16"/>
                        <w:szCs w:val="16"/>
                      </w:rPr>
                    </w:pPr>
                    <w:r w:rsidRPr="00AB06DF">
                      <w:rPr>
                        <w:sz w:val="16"/>
                        <w:szCs w:val="16"/>
                      </w:rPr>
                      <w:t>-</w:t>
                    </w:r>
                  </w:p>
                </w:tc>
              </w:tr>
              <w:tr w:rsidR="00B637B2" w:rsidTr="00B637B2">
                <w:sdt>
                  <w:sdtPr>
                    <w:rPr>
                      <w:sz w:val="16"/>
                      <w:szCs w:val="16"/>
                    </w:rPr>
                    <w:tag w:val="_PLD_1a5424a99ed44019a3f8a704efe4903d"/>
                    <w:id w:val="674458596"/>
                    <w:lock w:val="sdtLocked"/>
                  </w:sdtPr>
                  <w:sdtContent>
                    <w:tc>
                      <w:tcPr>
                        <w:tcW w:w="631" w:type="pct"/>
                      </w:tcPr>
                      <w:p w:rsidR="00A4585B" w:rsidRPr="00AB06DF" w:rsidRDefault="00A4585B" w:rsidP="00A4585B">
                        <w:pPr>
                          <w:ind w:firstLineChars="200" w:firstLine="320"/>
                          <w:rPr>
                            <w:sz w:val="16"/>
                            <w:szCs w:val="16"/>
                          </w:rPr>
                        </w:pPr>
                        <w:r w:rsidRPr="00AB06DF">
                          <w:rPr>
                            <w:rFonts w:hint="eastAsia"/>
                            <w:sz w:val="16"/>
                            <w:szCs w:val="16"/>
                          </w:rPr>
                          <w:t>同一控制下企业合并</w:t>
                        </w:r>
                      </w:p>
                    </w:tc>
                  </w:sdtContent>
                </w:sdt>
                <w:tc>
                  <w:tcPr>
                    <w:tcW w:w="422" w:type="pct"/>
                    <w:vAlign w:val="center"/>
                  </w:tcPr>
                  <w:p w:rsidR="00A4585B" w:rsidRPr="00AB06DF" w:rsidRDefault="00A4585B" w:rsidP="00B637B2">
                    <w:pPr>
                      <w:jc w:val="right"/>
                      <w:rPr>
                        <w:sz w:val="16"/>
                        <w:szCs w:val="16"/>
                      </w:rPr>
                    </w:pPr>
                    <w:r w:rsidRPr="00AB06DF">
                      <w:rPr>
                        <w:sz w:val="16"/>
                        <w:szCs w:val="16"/>
                      </w:rPr>
                      <w:t>-</w:t>
                    </w:r>
                  </w:p>
                </w:tc>
                <w:tc>
                  <w:tcPr>
                    <w:tcW w:w="119" w:type="pct"/>
                    <w:vAlign w:val="center"/>
                  </w:tcPr>
                  <w:p w:rsidR="00A4585B" w:rsidRPr="00AB06DF" w:rsidRDefault="00A4585B" w:rsidP="00B637B2">
                    <w:pPr>
                      <w:jc w:val="right"/>
                      <w:rPr>
                        <w:sz w:val="16"/>
                        <w:szCs w:val="16"/>
                      </w:rPr>
                    </w:pPr>
                    <w:r w:rsidRPr="00AB06DF">
                      <w:rPr>
                        <w:sz w:val="16"/>
                        <w:szCs w:val="16"/>
                      </w:rPr>
                      <w:t>-</w:t>
                    </w:r>
                  </w:p>
                </w:tc>
                <w:tc>
                  <w:tcPr>
                    <w:tcW w:w="127" w:type="pct"/>
                    <w:vAlign w:val="center"/>
                  </w:tcPr>
                  <w:p w:rsidR="00A4585B" w:rsidRPr="00AB06DF" w:rsidRDefault="00A4585B" w:rsidP="00B637B2">
                    <w:pPr>
                      <w:jc w:val="right"/>
                      <w:rPr>
                        <w:sz w:val="16"/>
                        <w:szCs w:val="16"/>
                      </w:rPr>
                    </w:pPr>
                    <w:r w:rsidRPr="00AB06DF">
                      <w:rPr>
                        <w:sz w:val="16"/>
                        <w:szCs w:val="16"/>
                      </w:rPr>
                      <w:t>-</w:t>
                    </w:r>
                  </w:p>
                </w:tc>
                <w:tc>
                  <w:tcPr>
                    <w:tcW w:w="133" w:type="pct"/>
                    <w:vAlign w:val="center"/>
                  </w:tcPr>
                  <w:p w:rsidR="00A4585B" w:rsidRPr="00AB06DF" w:rsidRDefault="00A4585B" w:rsidP="00B637B2">
                    <w:pPr>
                      <w:jc w:val="right"/>
                      <w:rPr>
                        <w:sz w:val="16"/>
                        <w:szCs w:val="16"/>
                      </w:rPr>
                    </w:pPr>
                    <w:r w:rsidRPr="00AB06DF">
                      <w:rPr>
                        <w:sz w:val="16"/>
                        <w:szCs w:val="16"/>
                      </w:rPr>
                      <w:t>-</w:t>
                    </w:r>
                  </w:p>
                </w:tc>
                <w:tc>
                  <w:tcPr>
                    <w:tcW w:w="402" w:type="pct"/>
                    <w:vAlign w:val="center"/>
                  </w:tcPr>
                  <w:p w:rsidR="00A4585B" w:rsidRPr="00AB06DF" w:rsidRDefault="00A4585B" w:rsidP="00B637B2">
                    <w:pPr>
                      <w:jc w:val="right"/>
                      <w:rPr>
                        <w:sz w:val="16"/>
                        <w:szCs w:val="16"/>
                      </w:rPr>
                    </w:pPr>
                    <w:r w:rsidRPr="00AB06DF">
                      <w:rPr>
                        <w:sz w:val="16"/>
                        <w:szCs w:val="16"/>
                      </w:rPr>
                      <w:t>-</w:t>
                    </w:r>
                  </w:p>
                </w:tc>
                <w:tc>
                  <w:tcPr>
                    <w:tcW w:w="357" w:type="pct"/>
                    <w:vAlign w:val="center"/>
                  </w:tcPr>
                  <w:p w:rsidR="00A4585B" w:rsidRPr="00AB06DF" w:rsidRDefault="00A4585B" w:rsidP="00B637B2">
                    <w:pPr>
                      <w:jc w:val="right"/>
                      <w:rPr>
                        <w:sz w:val="16"/>
                        <w:szCs w:val="16"/>
                      </w:rPr>
                    </w:pPr>
                    <w:r w:rsidRPr="00AB06DF">
                      <w:rPr>
                        <w:sz w:val="16"/>
                        <w:szCs w:val="16"/>
                      </w:rPr>
                      <w:t>-</w:t>
                    </w:r>
                  </w:p>
                </w:tc>
                <w:tc>
                  <w:tcPr>
                    <w:tcW w:w="357" w:type="pct"/>
                    <w:vAlign w:val="center"/>
                  </w:tcPr>
                  <w:p w:rsidR="00A4585B" w:rsidRPr="00AB06DF" w:rsidRDefault="00A4585B" w:rsidP="00B637B2">
                    <w:pPr>
                      <w:jc w:val="right"/>
                      <w:rPr>
                        <w:sz w:val="16"/>
                        <w:szCs w:val="16"/>
                      </w:rPr>
                    </w:pPr>
                    <w:r w:rsidRPr="00AB06DF">
                      <w:rPr>
                        <w:sz w:val="16"/>
                        <w:szCs w:val="16"/>
                      </w:rPr>
                      <w:t>-</w:t>
                    </w:r>
                  </w:p>
                </w:tc>
                <w:tc>
                  <w:tcPr>
                    <w:tcW w:w="140" w:type="pct"/>
                    <w:vAlign w:val="center"/>
                  </w:tcPr>
                  <w:p w:rsidR="00A4585B" w:rsidRPr="00AB06DF" w:rsidRDefault="00A4585B" w:rsidP="00B637B2">
                    <w:pPr>
                      <w:jc w:val="right"/>
                      <w:rPr>
                        <w:sz w:val="16"/>
                        <w:szCs w:val="16"/>
                      </w:rPr>
                    </w:pPr>
                    <w:r w:rsidRPr="00AB06DF">
                      <w:rPr>
                        <w:sz w:val="16"/>
                        <w:szCs w:val="16"/>
                      </w:rPr>
                      <w:t>-</w:t>
                    </w:r>
                  </w:p>
                </w:tc>
                <w:tc>
                  <w:tcPr>
                    <w:tcW w:w="353" w:type="pct"/>
                    <w:vAlign w:val="center"/>
                  </w:tcPr>
                  <w:p w:rsidR="00A4585B" w:rsidRPr="00AB06DF" w:rsidRDefault="00A4585B" w:rsidP="00B637B2">
                    <w:pPr>
                      <w:jc w:val="right"/>
                      <w:rPr>
                        <w:sz w:val="16"/>
                        <w:szCs w:val="16"/>
                      </w:rPr>
                    </w:pPr>
                    <w:r w:rsidRPr="00AB06DF">
                      <w:rPr>
                        <w:sz w:val="16"/>
                        <w:szCs w:val="16"/>
                      </w:rPr>
                      <w:t>-</w:t>
                    </w:r>
                  </w:p>
                </w:tc>
                <w:tc>
                  <w:tcPr>
                    <w:tcW w:w="186" w:type="pct"/>
                    <w:vAlign w:val="center"/>
                  </w:tcPr>
                  <w:p w:rsidR="00A4585B" w:rsidRPr="00AB06DF" w:rsidRDefault="00A4585B" w:rsidP="00B637B2">
                    <w:pPr>
                      <w:jc w:val="right"/>
                      <w:rPr>
                        <w:sz w:val="16"/>
                        <w:szCs w:val="16"/>
                      </w:rPr>
                    </w:pPr>
                    <w:r w:rsidRPr="00AB06DF">
                      <w:rPr>
                        <w:sz w:val="16"/>
                        <w:szCs w:val="16"/>
                      </w:rPr>
                      <w:t>-</w:t>
                    </w:r>
                  </w:p>
                </w:tc>
                <w:tc>
                  <w:tcPr>
                    <w:tcW w:w="399" w:type="pct"/>
                    <w:vAlign w:val="center"/>
                  </w:tcPr>
                  <w:p w:rsidR="00A4585B" w:rsidRPr="00AB06DF" w:rsidRDefault="00A4585B" w:rsidP="00B637B2">
                    <w:pPr>
                      <w:jc w:val="right"/>
                      <w:rPr>
                        <w:sz w:val="16"/>
                        <w:szCs w:val="16"/>
                      </w:rPr>
                    </w:pPr>
                    <w:r w:rsidRPr="00AB06DF">
                      <w:rPr>
                        <w:sz w:val="16"/>
                        <w:szCs w:val="16"/>
                      </w:rPr>
                      <w:t>-</w:t>
                    </w:r>
                  </w:p>
                </w:tc>
                <w:tc>
                  <w:tcPr>
                    <w:tcW w:w="157" w:type="pct"/>
                    <w:vAlign w:val="center"/>
                  </w:tcPr>
                  <w:p w:rsidR="00A4585B" w:rsidRPr="00AB06DF" w:rsidRDefault="008F04CF" w:rsidP="00B637B2">
                    <w:pPr>
                      <w:jc w:val="right"/>
                      <w:rPr>
                        <w:sz w:val="16"/>
                        <w:szCs w:val="16"/>
                      </w:rPr>
                    </w:pPr>
                    <w:r>
                      <w:rPr>
                        <w:rFonts w:hint="eastAsia"/>
                        <w:sz w:val="16"/>
                        <w:szCs w:val="16"/>
                      </w:rPr>
                      <w:t>-</w:t>
                    </w:r>
                  </w:p>
                </w:tc>
                <w:tc>
                  <w:tcPr>
                    <w:tcW w:w="419" w:type="pct"/>
                    <w:vAlign w:val="center"/>
                  </w:tcPr>
                  <w:p w:rsidR="00A4585B" w:rsidRPr="00AB06DF" w:rsidRDefault="008F04CF" w:rsidP="00B637B2">
                    <w:pPr>
                      <w:jc w:val="right"/>
                      <w:rPr>
                        <w:sz w:val="16"/>
                        <w:szCs w:val="16"/>
                      </w:rPr>
                    </w:pPr>
                    <w:r>
                      <w:rPr>
                        <w:rFonts w:hint="eastAsia"/>
                        <w:sz w:val="16"/>
                        <w:szCs w:val="16"/>
                      </w:rPr>
                      <w:t>-</w:t>
                    </w:r>
                  </w:p>
                </w:tc>
                <w:tc>
                  <w:tcPr>
                    <w:tcW w:w="399" w:type="pct"/>
                    <w:vAlign w:val="center"/>
                  </w:tcPr>
                  <w:p w:rsidR="00A4585B" w:rsidRPr="00AB06DF" w:rsidRDefault="00A4585B" w:rsidP="00B637B2">
                    <w:pPr>
                      <w:jc w:val="right"/>
                      <w:rPr>
                        <w:sz w:val="16"/>
                        <w:szCs w:val="16"/>
                      </w:rPr>
                    </w:pPr>
                    <w:r w:rsidRPr="00AB06DF">
                      <w:rPr>
                        <w:sz w:val="16"/>
                        <w:szCs w:val="16"/>
                      </w:rPr>
                      <w:t>-</w:t>
                    </w:r>
                  </w:p>
                </w:tc>
                <w:tc>
                  <w:tcPr>
                    <w:tcW w:w="399" w:type="pct"/>
                    <w:vAlign w:val="center"/>
                  </w:tcPr>
                  <w:p w:rsidR="00A4585B" w:rsidRPr="00AB06DF" w:rsidRDefault="00A4585B" w:rsidP="00B637B2">
                    <w:pPr>
                      <w:jc w:val="right"/>
                      <w:rPr>
                        <w:sz w:val="16"/>
                        <w:szCs w:val="16"/>
                      </w:rPr>
                    </w:pPr>
                    <w:r w:rsidRPr="00AB06DF">
                      <w:rPr>
                        <w:sz w:val="16"/>
                        <w:szCs w:val="16"/>
                      </w:rPr>
                      <w:t>-</w:t>
                    </w:r>
                  </w:p>
                </w:tc>
              </w:tr>
              <w:tr w:rsidR="00B637B2" w:rsidTr="00B637B2">
                <w:sdt>
                  <w:sdtPr>
                    <w:rPr>
                      <w:sz w:val="16"/>
                      <w:szCs w:val="16"/>
                    </w:rPr>
                    <w:tag w:val="_PLD_7953fd87201b462ab8c42a4716d6cb65"/>
                    <w:id w:val="1385286980"/>
                    <w:lock w:val="sdtLocked"/>
                  </w:sdtPr>
                  <w:sdtContent>
                    <w:tc>
                      <w:tcPr>
                        <w:tcW w:w="631" w:type="pct"/>
                      </w:tcPr>
                      <w:p w:rsidR="00A4585B" w:rsidRPr="00AB06DF" w:rsidRDefault="00A4585B" w:rsidP="00A4585B">
                        <w:pPr>
                          <w:ind w:firstLineChars="200" w:firstLine="320"/>
                          <w:rPr>
                            <w:sz w:val="16"/>
                            <w:szCs w:val="16"/>
                          </w:rPr>
                        </w:pPr>
                        <w:r w:rsidRPr="00AB06DF">
                          <w:rPr>
                            <w:rFonts w:hint="eastAsia"/>
                            <w:sz w:val="16"/>
                            <w:szCs w:val="16"/>
                          </w:rPr>
                          <w:t>其他</w:t>
                        </w:r>
                      </w:p>
                    </w:tc>
                  </w:sdtContent>
                </w:sdt>
                <w:tc>
                  <w:tcPr>
                    <w:tcW w:w="422" w:type="pct"/>
                    <w:vAlign w:val="center"/>
                  </w:tcPr>
                  <w:p w:rsidR="00A4585B" w:rsidRPr="00AB06DF" w:rsidRDefault="00A4585B" w:rsidP="00B637B2">
                    <w:pPr>
                      <w:jc w:val="right"/>
                      <w:rPr>
                        <w:sz w:val="16"/>
                        <w:szCs w:val="16"/>
                      </w:rPr>
                    </w:pPr>
                    <w:r w:rsidRPr="00AB06DF">
                      <w:rPr>
                        <w:sz w:val="16"/>
                        <w:szCs w:val="16"/>
                      </w:rPr>
                      <w:t>-</w:t>
                    </w:r>
                  </w:p>
                </w:tc>
                <w:tc>
                  <w:tcPr>
                    <w:tcW w:w="119" w:type="pct"/>
                    <w:vAlign w:val="center"/>
                  </w:tcPr>
                  <w:p w:rsidR="00A4585B" w:rsidRPr="00AB06DF" w:rsidRDefault="00A4585B" w:rsidP="00B637B2">
                    <w:pPr>
                      <w:jc w:val="right"/>
                      <w:rPr>
                        <w:sz w:val="16"/>
                        <w:szCs w:val="16"/>
                      </w:rPr>
                    </w:pPr>
                    <w:r w:rsidRPr="00AB06DF">
                      <w:rPr>
                        <w:sz w:val="16"/>
                        <w:szCs w:val="16"/>
                      </w:rPr>
                      <w:t>-</w:t>
                    </w:r>
                  </w:p>
                </w:tc>
                <w:tc>
                  <w:tcPr>
                    <w:tcW w:w="127" w:type="pct"/>
                    <w:vAlign w:val="center"/>
                  </w:tcPr>
                  <w:p w:rsidR="00A4585B" w:rsidRPr="00AB06DF" w:rsidRDefault="00A4585B" w:rsidP="00B637B2">
                    <w:pPr>
                      <w:jc w:val="right"/>
                      <w:rPr>
                        <w:sz w:val="16"/>
                        <w:szCs w:val="16"/>
                      </w:rPr>
                    </w:pPr>
                    <w:r w:rsidRPr="00AB06DF">
                      <w:rPr>
                        <w:sz w:val="16"/>
                        <w:szCs w:val="16"/>
                      </w:rPr>
                      <w:t>-</w:t>
                    </w:r>
                  </w:p>
                </w:tc>
                <w:tc>
                  <w:tcPr>
                    <w:tcW w:w="133" w:type="pct"/>
                    <w:vAlign w:val="center"/>
                  </w:tcPr>
                  <w:p w:rsidR="00A4585B" w:rsidRPr="00AB06DF" w:rsidRDefault="00A4585B" w:rsidP="00B637B2">
                    <w:pPr>
                      <w:jc w:val="right"/>
                      <w:rPr>
                        <w:sz w:val="16"/>
                        <w:szCs w:val="16"/>
                      </w:rPr>
                    </w:pPr>
                    <w:r w:rsidRPr="00AB06DF">
                      <w:rPr>
                        <w:sz w:val="16"/>
                        <w:szCs w:val="16"/>
                      </w:rPr>
                      <w:t>-</w:t>
                    </w:r>
                  </w:p>
                </w:tc>
                <w:tc>
                  <w:tcPr>
                    <w:tcW w:w="402" w:type="pct"/>
                    <w:vAlign w:val="center"/>
                  </w:tcPr>
                  <w:p w:rsidR="00A4585B" w:rsidRPr="00AB06DF" w:rsidRDefault="00A4585B" w:rsidP="00B637B2">
                    <w:pPr>
                      <w:jc w:val="right"/>
                      <w:rPr>
                        <w:sz w:val="16"/>
                        <w:szCs w:val="16"/>
                      </w:rPr>
                    </w:pPr>
                    <w:r w:rsidRPr="00AB06DF">
                      <w:rPr>
                        <w:sz w:val="16"/>
                        <w:szCs w:val="16"/>
                      </w:rPr>
                      <w:t>-</w:t>
                    </w:r>
                  </w:p>
                </w:tc>
                <w:tc>
                  <w:tcPr>
                    <w:tcW w:w="357" w:type="pct"/>
                    <w:vAlign w:val="center"/>
                  </w:tcPr>
                  <w:p w:rsidR="00A4585B" w:rsidRPr="00AB06DF" w:rsidRDefault="00A4585B" w:rsidP="00B637B2">
                    <w:pPr>
                      <w:jc w:val="right"/>
                      <w:rPr>
                        <w:sz w:val="16"/>
                        <w:szCs w:val="16"/>
                      </w:rPr>
                    </w:pPr>
                    <w:r w:rsidRPr="00AB06DF">
                      <w:rPr>
                        <w:sz w:val="16"/>
                        <w:szCs w:val="16"/>
                      </w:rPr>
                      <w:t>-</w:t>
                    </w:r>
                  </w:p>
                </w:tc>
                <w:tc>
                  <w:tcPr>
                    <w:tcW w:w="357" w:type="pct"/>
                    <w:vAlign w:val="center"/>
                  </w:tcPr>
                  <w:p w:rsidR="00A4585B" w:rsidRPr="00AB06DF" w:rsidRDefault="00A4585B" w:rsidP="00B637B2">
                    <w:pPr>
                      <w:jc w:val="right"/>
                      <w:rPr>
                        <w:sz w:val="16"/>
                        <w:szCs w:val="16"/>
                      </w:rPr>
                    </w:pPr>
                    <w:r w:rsidRPr="00AB06DF">
                      <w:rPr>
                        <w:sz w:val="16"/>
                        <w:szCs w:val="16"/>
                      </w:rPr>
                      <w:t>-</w:t>
                    </w:r>
                  </w:p>
                </w:tc>
                <w:tc>
                  <w:tcPr>
                    <w:tcW w:w="140" w:type="pct"/>
                    <w:vAlign w:val="center"/>
                  </w:tcPr>
                  <w:p w:rsidR="00A4585B" w:rsidRPr="00AB06DF" w:rsidRDefault="00A4585B" w:rsidP="00B637B2">
                    <w:pPr>
                      <w:jc w:val="right"/>
                      <w:rPr>
                        <w:sz w:val="16"/>
                        <w:szCs w:val="16"/>
                      </w:rPr>
                    </w:pPr>
                    <w:r w:rsidRPr="00AB06DF">
                      <w:rPr>
                        <w:sz w:val="16"/>
                        <w:szCs w:val="16"/>
                      </w:rPr>
                      <w:t>-</w:t>
                    </w:r>
                  </w:p>
                </w:tc>
                <w:tc>
                  <w:tcPr>
                    <w:tcW w:w="353" w:type="pct"/>
                    <w:vAlign w:val="center"/>
                  </w:tcPr>
                  <w:p w:rsidR="00A4585B" w:rsidRPr="00AB06DF" w:rsidRDefault="00A4585B" w:rsidP="00B637B2">
                    <w:pPr>
                      <w:jc w:val="right"/>
                      <w:rPr>
                        <w:sz w:val="16"/>
                        <w:szCs w:val="16"/>
                      </w:rPr>
                    </w:pPr>
                    <w:r w:rsidRPr="00AB06DF">
                      <w:rPr>
                        <w:sz w:val="16"/>
                        <w:szCs w:val="16"/>
                      </w:rPr>
                      <w:t>-</w:t>
                    </w:r>
                  </w:p>
                </w:tc>
                <w:tc>
                  <w:tcPr>
                    <w:tcW w:w="186" w:type="pct"/>
                    <w:vAlign w:val="center"/>
                  </w:tcPr>
                  <w:p w:rsidR="00A4585B" w:rsidRPr="00AB06DF" w:rsidRDefault="00A4585B" w:rsidP="00B637B2">
                    <w:pPr>
                      <w:jc w:val="right"/>
                      <w:rPr>
                        <w:sz w:val="16"/>
                        <w:szCs w:val="16"/>
                      </w:rPr>
                    </w:pPr>
                    <w:r w:rsidRPr="00AB06DF">
                      <w:rPr>
                        <w:sz w:val="16"/>
                        <w:szCs w:val="16"/>
                      </w:rPr>
                      <w:t>-</w:t>
                    </w:r>
                  </w:p>
                </w:tc>
                <w:tc>
                  <w:tcPr>
                    <w:tcW w:w="399" w:type="pct"/>
                    <w:vAlign w:val="center"/>
                  </w:tcPr>
                  <w:p w:rsidR="00A4585B" w:rsidRPr="00AB06DF" w:rsidRDefault="00A4585B" w:rsidP="00B637B2">
                    <w:pPr>
                      <w:jc w:val="right"/>
                      <w:rPr>
                        <w:sz w:val="16"/>
                        <w:szCs w:val="16"/>
                      </w:rPr>
                    </w:pPr>
                    <w:r w:rsidRPr="00AB06DF">
                      <w:rPr>
                        <w:sz w:val="16"/>
                        <w:szCs w:val="16"/>
                      </w:rPr>
                      <w:t>-</w:t>
                    </w:r>
                  </w:p>
                </w:tc>
                <w:tc>
                  <w:tcPr>
                    <w:tcW w:w="157" w:type="pct"/>
                    <w:vAlign w:val="center"/>
                  </w:tcPr>
                  <w:p w:rsidR="00A4585B" w:rsidRPr="00AB06DF" w:rsidRDefault="008F04CF" w:rsidP="00B637B2">
                    <w:pPr>
                      <w:jc w:val="right"/>
                      <w:rPr>
                        <w:sz w:val="16"/>
                        <w:szCs w:val="16"/>
                      </w:rPr>
                    </w:pPr>
                    <w:r>
                      <w:rPr>
                        <w:rFonts w:hint="eastAsia"/>
                        <w:sz w:val="16"/>
                        <w:szCs w:val="16"/>
                      </w:rPr>
                      <w:t>-</w:t>
                    </w:r>
                  </w:p>
                </w:tc>
                <w:tc>
                  <w:tcPr>
                    <w:tcW w:w="419" w:type="pct"/>
                    <w:vAlign w:val="center"/>
                  </w:tcPr>
                  <w:p w:rsidR="00A4585B" w:rsidRPr="00AB06DF" w:rsidRDefault="008F04CF" w:rsidP="00B637B2">
                    <w:pPr>
                      <w:jc w:val="right"/>
                      <w:rPr>
                        <w:sz w:val="16"/>
                        <w:szCs w:val="16"/>
                      </w:rPr>
                    </w:pPr>
                    <w:r>
                      <w:rPr>
                        <w:rFonts w:hint="eastAsia"/>
                        <w:sz w:val="16"/>
                        <w:szCs w:val="16"/>
                      </w:rPr>
                      <w:t>-</w:t>
                    </w:r>
                  </w:p>
                </w:tc>
                <w:tc>
                  <w:tcPr>
                    <w:tcW w:w="399" w:type="pct"/>
                    <w:vAlign w:val="center"/>
                  </w:tcPr>
                  <w:p w:rsidR="00A4585B" w:rsidRPr="00AB06DF" w:rsidRDefault="00A4585B" w:rsidP="00B637B2">
                    <w:pPr>
                      <w:jc w:val="right"/>
                      <w:rPr>
                        <w:sz w:val="16"/>
                        <w:szCs w:val="16"/>
                      </w:rPr>
                    </w:pPr>
                    <w:r w:rsidRPr="00AB06DF">
                      <w:rPr>
                        <w:sz w:val="16"/>
                        <w:szCs w:val="16"/>
                      </w:rPr>
                      <w:t>-</w:t>
                    </w:r>
                  </w:p>
                </w:tc>
                <w:tc>
                  <w:tcPr>
                    <w:tcW w:w="399" w:type="pct"/>
                    <w:vAlign w:val="center"/>
                  </w:tcPr>
                  <w:p w:rsidR="00A4585B" w:rsidRPr="00AB06DF" w:rsidRDefault="00A4585B" w:rsidP="00B637B2">
                    <w:pPr>
                      <w:jc w:val="right"/>
                      <w:rPr>
                        <w:sz w:val="16"/>
                        <w:szCs w:val="16"/>
                      </w:rPr>
                    </w:pPr>
                    <w:r w:rsidRPr="00AB06DF">
                      <w:rPr>
                        <w:sz w:val="16"/>
                        <w:szCs w:val="16"/>
                      </w:rPr>
                      <w:t>-</w:t>
                    </w:r>
                  </w:p>
                </w:tc>
              </w:tr>
              <w:tr w:rsidR="00B637B2" w:rsidTr="00B637B2">
                <w:sdt>
                  <w:sdtPr>
                    <w:rPr>
                      <w:sz w:val="16"/>
                      <w:szCs w:val="16"/>
                    </w:rPr>
                    <w:tag w:val="_PLD_16d601e73dc14990b60ca53acf1371ba"/>
                    <w:id w:val="373823172"/>
                    <w:lock w:val="sdtLocked"/>
                  </w:sdtPr>
                  <w:sdtContent>
                    <w:tc>
                      <w:tcPr>
                        <w:tcW w:w="631" w:type="pct"/>
                      </w:tcPr>
                      <w:p w:rsidR="00A4585B" w:rsidRPr="00AB06DF" w:rsidRDefault="00A4585B" w:rsidP="00A4585B">
                        <w:pPr>
                          <w:rPr>
                            <w:sz w:val="16"/>
                            <w:szCs w:val="16"/>
                          </w:rPr>
                        </w:pPr>
                        <w:r w:rsidRPr="00AB06DF">
                          <w:rPr>
                            <w:sz w:val="16"/>
                            <w:szCs w:val="16"/>
                          </w:rPr>
                          <w:t>二、本年</w:t>
                        </w:r>
                        <w:r w:rsidRPr="00AB06DF">
                          <w:rPr>
                            <w:rFonts w:hint="eastAsia"/>
                            <w:sz w:val="16"/>
                            <w:szCs w:val="16"/>
                          </w:rPr>
                          <w:t>期</w:t>
                        </w:r>
                        <w:r w:rsidRPr="00AB06DF">
                          <w:rPr>
                            <w:sz w:val="16"/>
                            <w:szCs w:val="16"/>
                          </w:rPr>
                          <w:t>初余额</w:t>
                        </w:r>
                      </w:p>
                    </w:tc>
                  </w:sdtContent>
                </w:sdt>
                <w:tc>
                  <w:tcPr>
                    <w:tcW w:w="422" w:type="pct"/>
                    <w:vAlign w:val="center"/>
                  </w:tcPr>
                  <w:p w:rsidR="00A4585B" w:rsidRPr="00AB06DF" w:rsidRDefault="00A4585B" w:rsidP="00B637B2">
                    <w:pPr>
                      <w:jc w:val="right"/>
                      <w:rPr>
                        <w:sz w:val="16"/>
                        <w:szCs w:val="16"/>
                      </w:rPr>
                    </w:pPr>
                    <w:r w:rsidRPr="00AB06DF">
                      <w:rPr>
                        <w:sz w:val="16"/>
                        <w:szCs w:val="16"/>
                      </w:rPr>
                      <w:t>1,917,832,792</w:t>
                    </w:r>
                  </w:p>
                </w:tc>
                <w:tc>
                  <w:tcPr>
                    <w:tcW w:w="119" w:type="pct"/>
                    <w:vAlign w:val="center"/>
                  </w:tcPr>
                  <w:p w:rsidR="00A4585B" w:rsidRPr="00AB06DF" w:rsidRDefault="00A4585B" w:rsidP="00B637B2">
                    <w:pPr>
                      <w:jc w:val="right"/>
                      <w:rPr>
                        <w:sz w:val="16"/>
                        <w:szCs w:val="16"/>
                      </w:rPr>
                    </w:pPr>
                    <w:r w:rsidRPr="00AB06DF">
                      <w:rPr>
                        <w:sz w:val="16"/>
                        <w:szCs w:val="16"/>
                      </w:rPr>
                      <w:t>-</w:t>
                    </w:r>
                  </w:p>
                </w:tc>
                <w:tc>
                  <w:tcPr>
                    <w:tcW w:w="127" w:type="pct"/>
                    <w:vAlign w:val="center"/>
                  </w:tcPr>
                  <w:p w:rsidR="00A4585B" w:rsidRPr="00AB06DF" w:rsidRDefault="00A4585B" w:rsidP="00B637B2">
                    <w:pPr>
                      <w:jc w:val="right"/>
                      <w:rPr>
                        <w:sz w:val="16"/>
                        <w:szCs w:val="16"/>
                      </w:rPr>
                    </w:pPr>
                    <w:r w:rsidRPr="00AB06DF">
                      <w:rPr>
                        <w:sz w:val="16"/>
                        <w:szCs w:val="16"/>
                      </w:rPr>
                      <w:t>-</w:t>
                    </w:r>
                  </w:p>
                </w:tc>
                <w:tc>
                  <w:tcPr>
                    <w:tcW w:w="133" w:type="pct"/>
                    <w:vAlign w:val="center"/>
                  </w:tcPr>
                  <w:p w:rsidR="00A4585B" w:rsidRPr="00AB06DF" w:rsidRDefault="00A4585B" w:rsidP="00B637B2">
                    <w:pPr>
                      <w:jc w:val="right"/>
                      <w:rPr>
                        <w:sz w:val="16"/>
                        <w:szCs w:val="16"/>
                      </w:rPr>
                    </w:pPr>
                    <w:r w:rsidRPr="00AB06DF">
                      <w:rPr>
                        <w:sz w:val="16"/>
                        <w:szCs w:val="16"/>
                      </w:rPr>
                      <w:t>-</w:t>
                    </w:r>
                  </w:p>
                </w:tc>
                <w:tc>
                  <w:tcPr>
                    <w:tcW w:w="402" w:type="pct"/>
                    <w:vAlign w:val="center"/>
                  </w:tcPr>
                  <w:p w:rsidR="00A4585B" w:rsidRPr="00AB06DF" w:rsidRDefault="00A4585B" w:rsidP="00B637B2">
                    <w:pPr>
                      <w:jc w:val="right"/>
                      <w:rPr>
                        <w:sz w:val="16"/>
                        <w:szCs w:val="16"/>
                      </w:rPr>
                    </w:pPr>
                    <w:r w:rsidRPr="00AB06DF">
                      <w:rPr>
                        <w:sz w:val="16"/>
                        <w:szCs w:val="16"/>
                      </w:rPr>
                      <w:t>2,120,758,790</w:t>
                    </w:r>
                  </w:p>
                </w:tc>
                <w:tc>
                  <w:tcPr>
                    <w:tcW w:w="357" w:type="pct"/>
                    <w:vAlign w:val="center"/>
                  </w:tcPr>
                  <w:p w:rsidR="00A4585B" w:rsidRPr="00AB06DF" w:rsidRDefault="00A4585B" w:rsidP="00B637B2">
                    <w:pPr>
                      <w:jc w:val="right"/>
                      <w:rPr>
                        <w:sz w:val="16"/>
                        <w:szCs w:val="16"/>
                      </w:rPr>
                    </w:pPr>
                    <w:r w:rsidRPr="00AB06DF">
                      <w:rPr>
                        <w:sz w:val="16"/>
                        <w:szCs w:val="16"/>
                      </w:rPr>
                      <w:t>55,787,910</w:t>
                    </w:r>
                  </w:p>
                </w:tc>
                <w:tc>
                  <w:tcPr>
                    <w:tcW w:w="357" w:type="pct"/>
                    <w:vAlign w:val="center"/>
                  </w:tcPr>
                  <w:p w:rsidR="00A4585B" w:rsidRPr="00AB06DF" w:rsidRDefault="00A4585B" w:rsidP="00B637B2">
                    <w:pPr>
                      <w:jc w:val="right"/>
                      <w:rPr>
                        <w:sz w:val="16"/>
                        <w:szCs w:val="16"/>
                      </w:rPr>
                    </w:pPr>
                    <w:r w:rsidRPr="00AB06DF">
                      <w:rPr>
                        <w:sz w:val="16"/>
                        <w:szCs w:val="16"/>
                      </w:rPr>
                      <w:t>4,427,272</w:t>
                    </w:r>
                  </w:p>
                </w:tc>
                <w:tc>
                  <w:tcPr>
                    <w:tcW w:w="140" w:type="pct"/>
                    <w:vAlign w:val="center"/>
                  </w:tcPr>
                  <w:p w:rsidR="00A4585B" w:rsidRPr="00AB06DF" w:rsidRDefault="00A4585B" w:rsidP="00B637B2">
                    <w:pPr>
                      <w:jc w:val="right"/>
                      <w:rPr>
                        <w:sz w:val="16"/>
                        <w:szCs w:val="16"/>
                      </w:rPr>
                    </w:pPr>
                    <w:r w:rsidRPr="00AB06DF">
                      <w:rPr>
                        <w:sz w:val="16"/>
                        <w:szCs w:val="16"/>
                      </w:rPr>
                      <w:t>-</w:t>
                    </w:r>
                  </w:p>
                </w:tc>
                <w:tc>
                  <w:tcPr>
                    <w:tcW w:w="353" w:type="pct"/>
                    <w:vAlign w:val="center"/>
                  </w:tcPr>
                  <w:p w:rsidR="00A4585B" w:rsidRPr="00AB06DF" w:rsidRDefault="00A4585B" w:rsidP="00B637B2">
                    <w:pPr>
                      <w:jc w:val="right"/>
                      <w:rPr>
                        <w:sz w:val="16"/>
                        <w:szCs w:val="16"/>
                      </w:rPr>
                    </w:pPr>
                    <w:r w:rsidRPr="00AB06DF">
                      <w:rPr>
                        <w:sz w:val="16"/>
                        <w:szCs w:val="16"/>
                      </w:rPr>
                      <w:t>831,983,441</w:t>
                    </w:r>
                  </w:p>
                </w:tc>
                <w:tc>
                  <w:tcPr>
                    <w:tcW w:w="186" w:type="pct"/>
                    <w:vAlign w:val="center"/>
                  </w:tcPr>
                  <w:p w:rsidR="00A4585B" w:rsidRPr="00AB06DF" w:rsidRDefault="00A4585B" w:rsidP="00B637B2">
                    <w:pPr>
                      <w:jc w:val="right"/>
                      <w:rPr>
                        <w:sz w:val="16"/>
                        <w:szCs w:val="16"/>
                      </w:rPr>
                    </w:pPr>
                    <w:r w:rsidRPr="00AB06DF">
                      <w:rPr>
                        <w:sz w:val="16"/>
                        <w:szCs w:val="16"/>
                      </w:rPr>
                      <w:t>-</w:t>
                    </w:r>
                  </w:p>
                </w:tc>
                <w:tc>
                  <w:tcPr>
                    <w:tcW w:w="399" w:type="pct"/>
                    <w:vAlign w:val="center"/>
                  </w:tcPr>
                  <w:p w:rsidR="00A4585B" w:rsidRPr="00AB06DF" w:rsidRDefault="00A4585B" w:rsidP="00B637B2">
                    <w:pPr>
                      <w:jc w:val="right"/>
                      <w:rPr>
                        <w:sz w:val="16"/>
                        <w:szCs w:val="16"/>
                      </w:rPr>
                    </w:pPr>
                    <w:r w:rsidRPr="00AB06DF">
                      <w:rPr>
                        <w:sz w:val="16"/>
                        <w:szCs w:val="16"/>
                      </w:rPr>
                      <w:t>1,851,254,433</w:t>
                    </w:r>
                  </w:p>
                </w:tc>
                <w:tc>
                  <w:tcPr>
                    <w:tcW w:w="157" w:type="pct"/>
                    <w:vAlign w:val="center"/>
                  </w:tcPr>
                  <w:p w:rsidR="00A4585B" w:rsidRPr="00AB06DF" w:rsidRDefault="008F04CF" w:rsidP="00B637B2">
                    <w:pPr>
                      <w:jc w:val="right"/>
                      <w:rPr>
                        <w:sz w:val="16"/>
                        <w:szCs w:val="16"/>
                      </w:rPr>
                    </w:pPr>
                    <w:r>
                      <w:rPr>
                        <w:rFonts w:hint="eastAsia"/>
                        <w:sz w:val="16"/>
                        <w:szCs w:val="16"/>
                      </w:rPr>
                      <w:t>-</w:t>
                    </w:r>
                  </w:p>
                </w:tc>
                <w:tc>
                  <w:tcPr>
                    <w:tcW w:w="419" w:type="pct"/>
                    <w:vAlign w:val="center"/>
                  </w:tcPr>
                  <w:p w:rsidR="00A4585B" w:rsidRPr="00AB06DF" w:rsidRDefault="008F04CF" w:rsidP="00B637B2">
                    <w:pPr>
                      <w:jc w:val="right"/>
                      <w:rPr>
                        <w:sz w:val="16"/>
                        <w:szCs w:val="16"/>
                      </w:rPr>
                    </w:pPr>
                    <w:r w:rsidRPr="002E0307">
                      <w:rPr>
                        <w:sz w:val="16"/>
                        <w:szCs w:val="16"/>
                      </w:rPr>
                      <w:t>6,670,468,818</w:t>
                    </w:r>
                  </w:p>
                </w:tc>
                <w:tc>
                  <w:tcPr>
                    <w:tcW w:w="399" w:type="pct"/>
                    <w:vAlign w:val="center"/>
                  </w:tcPr>
                  <w:p w:rsidR="00A4585B" w:rsidRPr="00AB06DF" w:rsidRDefault="00A4585B" w:rsidP="00B637B2">
                    <w:pPr>
                      <w:jc w:val="right"/>
                      <w:rPr>
                        <w:sz w:val="16"/>
                        <w:szCs w:val="16"/>
                      </w:rPr>
                    </w:pPr>
                    <w:r w:rsidRPr="00AB06DF">
                      <w:rPr>
                        <w:sz w:val="16"/>
                        <w:szCs w:val="16"/>
                      </w:rPr>
                      <w:t>1,077,202,232</w:t>
                    </w:r>
                  </w:p>
                </w:tc>
                <w:tc>
                  <w:tcPr>
                    <w:tcW w:w="399" w:type="pct"/>
                    <w:vAlign w:val="center"/>
                  </w:tcPr>
                  <w:p w:rsidR="00A4585B" w:rsidRPr="00AB06DF" w:rsidRDefault="00A4585B" w:rsidP="00B637B2">
                    <w:pPr>
                      <w:jc w:val="right"/>
                      <w:rPr>
                        <w:sz w:val="16"/>
                        <w:szCs w:val="16"/>
                      </w:rPr>
                    </w:pPr>
                    <w:r w:rsidRPr="00AB06DF">
                      <w:rPr>
                        <w:sz w:val="16"/>
                        <w:szCs w:val="16"/>
                      </w:rPr>
                      <w:t>7,747,671,050</w:t>
                    </w:r>
                  </w:p>
                </w:tc>
              </w:tr>
              <w:tr w:rsidR="00B637B2" w:rsidTr="00B637B2">
                <w:sdt>
                  <w:sdtPr>
                    <w:rPr>
                      <w:sz w:val="16"/>
                      <w:szCs w:val="16"/>
                    </w:rPr>
                    <w:tag w:val="_PLD_60156dcb8ac241a7929015e75c8eef16"/>
                    <w:id w:val="-1410157382"/>
                    <w:lock w:val="sdtLocked"/>
                  </w:sdtPr>
                  <w:sdtContent>
                    <w:tc>
                      <w:tcPr>
                        <w:tcW w:w="631" w:type="pct"/>
                      </w:tcPr>
                      <w:p w:rsidR="00A4585B" w:rsidRPr="00AB06DF" w:rsidRDefault="00A4585B" w:rsidP="00A4585B">
                        <w:pPr>
                          <w:rPr>
                            <w:sz w:val="16"/>
                            <w:szCs w:val="16"/>
                          </w:rPr>
                        </w:pPr>
                        <w:r w:rsidRPr="00AB06DF">
                          <w:rPr>
                            <w:sz w:val="16"/>
                            <w:szCs w:val="16"/>
                          </w:rPr>
                          <w:t>三、本</w:t>
                        </w:r>
                        <w:r w:rsidRPr="00AB06DF">
                          <w:rPr>
                            <w:rFonts w:hint="eastAsia"/>
                            <w:sz w:val="16"/>
                            <w:szCs w:val="16"/>
                          </w:rPr>
                          <w:t>期</w:t>
                        </w:r>
                        <w:r w:rsidRPr="00AB06DF">
                          <w:rPr>
                            <w:sz w:val="16"/>
                            <w:szCs w:val="16"/>
                          </w:rPr>
                          <w:t>增减变动金额（减少以“－”号填列）</w:t>
                        </w:r>
                      </w:p>
                    </w:tc>
                  </w:sdtContent>
                </w:sdt>
                <w:tc>
                  <w:tcPr>
                    <w:tcW w:w="422" w:type="pct"/>
                    <w:vAlign w:val="center"/>
                  </w:tcPr>
                  <w:p w:rsidR="00A4585B" w:rsidRPr="00AB06DF" w:rsidRDefault="00A4585B" w:rsidP="00B637B2">
                    <w:pPr>
                      <w:jc w:val="right"/>
                      <w:rPr>
                        <w:sz w:val="16"/>
                        <w:szCs w:val="16"/>
                      </w:rPr>
                    </w:pPr>
                    <w:r w:rsidRPr="00AB06DF">
                      <w:rPr>
                        <w:sz w:val="16"/>
                        <w:szCs w:val="16"/>
                      </w:rPr>
                      <w:t>568,301,783</w:t>
                    </w:r>
                  </w:p>
                </w:tc>
                <w:tc>
                  <w:tcPr>
                    <w:tcW w:w="119" w:type="pct"/>
                    <w:vAlign w:val="center"/>
                  </w:tcPr>
                  <w:p w:rsidR="00A4585B" w:rsidRPr="00AB06DF" w:rsidRDefault="00A4585B" w:rsidP="00B637B2">
                    <w:pPr>
                      <w:jc w:val="right"/>
                      <w:rPr>
                        <w:sz w:val="16"/>
                        <w:szCs w:val="16"/>
                      </w:rPr>
                    </w:pPr>
                    <w:r w:rsidRPr="00AB06DF">
                      <w:rPr>
                        <w:sz w:val="16"/>
                        <w:szCs w:val="16"/>
                      </w:rPr>
                      <w:t>-</w:t>
                    </w:r>
                  </w:p>
                </w:tc>
                <w:tc>
                  <w:tcPr>
                    <w:tcW w:w="127" w:type="pct"/>
                    <w:vAlign w:val="center"/>
                  </w:tcPr>
                  <w:p w:rsidR="00A4585B" w:rsidRPr="00AB06DF" w:rsidRDefault="00A4585B" w:rsidP="00B637B2">
                    <w:pPr>
                      <w:jc w:val="right"/>
                      <w:rPr>
                        <w:sz w:val="16"/>
                        <w:szCs w:val="16"/>
                      </w:rPr>
                    </w:pPr>
                    <w:r w:rsidRPr="00AB06DF">
                      <w:rPr>
                        <w:sz w:val="16"/>
                        <w:szCs w:val="16"/>
                      </w:rPr>
                      <w:t>-</w:t>
                    </w:r>
                  </w:p>
                </w:tc>
                <w:tc>
                  <w:tcPr>
                    <w:tcW w:w="133" w:type="pct"/>
                    <w:vAlign w:val="center"/>
                  </w:tcPr>
                  <w:p w:rsidR="00A4585B" w:rsidRPr="00AB06DF" w:rsidRDefault="00A4585B" w:rsidP="00B637B2">
                    <w:pPr>
                      <w:jc w:val="right"/>
                      <w:rPr>
                        <w:sz w:val="16"/>
                        <w:szCs w:val="16"/>
                      </w:rPr>
                    </w:pPr>
                    <w:r w:rsidRPr="00AB06DF">
                      <w:rPr>
                        <w:sz w:val="16"/>
                        <w:szCs w:val="16"/>
                      </w:rPr>
                      <w:t>-</w:t>
                    </w:r>
                  </w:p>
                </w:tc>
                <w:tc>
                  <w:tcPr>
                    <w:tcW w:w="402" w:type="pct"/>
                    <w:vAlign w:val="center"/>
                  </w:tcPr>
                  <w:p w:rsidR="00A4585B" w:rsidRPr="00AB06DF" w:rsidRDefault="00A4585B" w:rsidP="00B637B2">
                    <w:pPr>
                      <w:jc w:val="right"/>
                      <w:rPr>
                        <w:sz w:val="16"/>
                        <w:szCs w:val="16"/>
                      </w:rPr>
                    </w:pPr>
                    <w:r w:rsidRPr="00AB06DF">
                      <w:rPr>
                        <w:sz w:val="16"/>
                        <w:szCs w:val="16"/>
                      </w:rPr>
                      <w:t>-523,465,652</w:t>
                    </w:r>
                  </w:p>
                </w:tc>
                <w:tc>
                  <w:tcPr>
                    <w:tcW w:w="357" w:type="pct"/>
                    <w:vAlign w:val="center"/>
                  </w:tcPr>
                  <w:p w:rsidR="00A4585B" w:rsidRPr="00AB06DF" w:rsidRDefault="00A4585B" w:rsidP="00B637B2">
                    <w:pPr>
                      <w:jc w:val="right"/>
                      <w:rPr>
                        <w:sz w:val="16"/>
                        <w:szCs w:val="16"/>
                      </w:rPr>
                    </w:pPr>
                    <w:r w:rsidRPr="00AB06DF">
                      <w:rPr>
                        <w:sz w:val="16"/>
                        <w:szCs w:val="16"/>
                      </w:rPr>
                      <w:t>458,416,969</w:t>
                    </w:r>
                  </w:p>
                </w:tc>
                <w:tc>
                  <w:tcPr>
                    <w:tcW w:w="357" w:type="pct"/>
                    <w:vAlign w:val="center"/>
                  </w:tcPr>
                  <w:p w:rsidR="00A4585B" w:rsidRPr="00AB06DF" w:rsidRDefault="00A4585B" w:rsidP="00B637B2">
                    <w:pPr>
                      <w:jc w:val="right"/>
                      <w:rPr>
                        <w:sz w:val="16"/>
                        <w:szCs w:val="16"/>
                      </w:rPr>
                    </w:pPr>
                    <w:r w:rsidRPr="00AB06DF">
                      <w:rPr>
                        <w:sz w:val="16"/>
                        <w:szCs w:val="16"/>
                      </w:rPr>
                      <w:t>-481,523</w:t>
                    </w:r>
                  </w:p>
                </w:tc>
                <w:tc>
                  <w:tcPr>
                    <w:tcW w:w="140" w:type="pct"/>
                    <w:vAlign w:val="center"/>
                  </w:tcPr>
                  <w:p w:rsidR="00A4585B" w:rsidRPr="00AB06DF" w:rsidRDefault="00A4585B" w:rsidP="00B637B2">
                    <w:pPr>
                      <w:jc w:val="right"/>
                      <w:rPr>
                        <w:sz w:val="16"/>
                        <w:szCs w:val="16"/>
                      </w:rPr>
                    </w:pPr>
                    <w:r w:rsidRPr="00AB06DF">
                      <w:rPr>
                        <w:sz w:val="16"/>
                        <w:szCs w:val="16"/>
                      </w:rPr>
                      <w:t>-</w:t>
                    </w:r>
                  </w:p>
                </w:tc>
                <w:tc>
                  <w:tcPr>
                    <w:tcW w:w="353" w:type="pct"/>
                    <w:vAlign w:val="center"/>
                  </w:tcPr>
                  <w:p w:rsidR="00A4585B" w:rsidRPr="00AB06DF" w:rsidRDefault="00A4585B" w:rsidP="00B637B2">
                    <w:pPr>
                      <w:jc w:val="right"/>
                      <w:rPr>
                        <w:sz w:val="16"/>
                        <w:szCs w:val="16"/>
                      </w:rPr>
                    </w:pPr>
                    <w:r w:rsidRPr="00AB06DF">
                      <w:rPr>
                        <w:sz w:val="16"/>
                        <w:szCs w:val="16"/>
                      </w:rPr>
                      <w:t>-</w:t>
                    </w:r>
                  </w:p>
                </w:tc>
                <w:tc>
                  <w:tcPr>
                    <w:tcW w:w="186" w:type="pct"/>
                    <w:vAlign w:val="center"/>
                  </w:tcPr>
                  <w:p w:rsidR="00A4585B" w:rsidRPr="00AB06DF" w:rsidRDefault="00A4585B" w:rsidP="00B637B2">
                    <w:pPr>
                      <w:jc w:val="right"/>
                      <w:rPr>
                        <w:sz w:val="16"/>
                        <w:szCs w:val="16"/>
                      </w:rPr>
                    </w:pPr>
                    <w:r w:rsidRPr="00AB06DF">
                      <w:rPr>
                        <w:sz w:val="16"/>
                        <w:szCs w:val="16"/>
                      </w:rPr>
                      <w:t>-</w:t>
                    </w:r>
                  </w:p>
                </w:tc>
                <w:tc>
                  <w:tcPr>
                    <w:tcW w:w="399" w:type="pct"/>
                    <w:vAlign w:val="center"/>
                  </w:tcPr>
                  <w:p w:rsidR="00A4585B" w:rsidRPr="00AB06DF" w:rsidRDefault="00A4585B" w:rsidP="00B637B2">
                    <w:pPr>
                      <w:jc w:val="right"/>
                      <w:rPr>
                        <w:sz w:val="16"/>
                        <w:szCs w:val="16"/>
                      </w:rPr>
                    </w:pPr>
                    <w:r w:rsidRPr="00AB06DF">
                      <w:rPr>
                        <w:sz w:val="16"/>
                        <w:szCs w:val="16"/>
                      </w:rPr>
                      <w:t>7,966,553</w:t>
                    </w:r>
                  </w:p>
                </w:tc>
                <w:tc>
                  <w:tcPr>
                    <w:tcW w:w="157" w:type="pct"/>
                    <w:vAlign w:val="center"/>
                  </w:tcPr>
                  <w:p w:rsidR="00A4585B" w:rsidRPr="00AB06DF" w:rsidRDefault="008F04CF" w:rsidP="00B637B2">
                    <w:pPr>
                      <w:jc w:val="right"/>
                      <w:rPr>
                        <w:sz w:val="16"/>
                        <w:szCs w:val="16"/>
                      </w:rPr>
                    </w:pPr>
                    <w:r>
                      <w:rPr>
                        <w:rFonts w:hint="eastAsia"/>
                        <w:sz w:val="16"/>
                        <w:szCs w:val="16"/>
                      </w:rPr>
                      <w:t>-</w:t>
                    </w:r>
                  </w:p>
                </w:tc>
                <w:tc>
                  <w:tcPr>
                    <w:tcW w:w="419" w:type="pct"/>
                    <w:vAlign w:val="center"/>
                  </w:tcPr>
                  <w:p w:rsidR="00A4585B" w:rsidRPr="00AB06DF" w:rsidRDefault="008F04CF" w:rsidP="00B637B2">
                    <w:pPr>
                      <w:jc w:val="right"/>
                      <w:rPr>
                        <w:sz w:val="16"/>
                        <w:szCs w:val="16"/>
                      </w:rPr>
                    </w:pPr>
                    <w:r w:rsidRPr="002E0307">
                      <w:rPr>
                        <w:sz w:val="16"/>
                        <w:szCs w:val="16"/>
                      </w:rPr>
                      <w:t>-406,095,808</w:t>
                    </w:r>
                  </w:p>
                </w:tc>
                <w:tc>
                  <w:tcPr>
                    <w:tcW w:w="399" w:type="pct"/>
                    <w:vAlign w:val="center"/>
                  </w:tcPr>
                  <w:p w:rsidR="00A4585B" w:rsidRPr="00AB06DF" w:rsidRDefault="00A4585B" w:rsidP="00B637B2">
                    <w:pPr>
                      <w:jc w:val="right"/>
                      <w:rPr>
                        <w:sz w:val="16"/>
                        <w:szCs w:val="16"/>
                      </w:rPr>
                    </w:pPr>
                    <w:r w:rsidRPr="00AB06DF">
                      <w:rPr>
                        <w:sz w:val="16"/>
                        <w:szCs w:val="16"/>
                      </w:rPr>
                      <w:t>-36,592,965</w:t>
                    </w:r>
                  </w:p>
                </w:tc>
                <w:tc>
                  <w:tcPr>
                    <w:tcW w:w="399" w:type="pct"/>
                    <w:vAlign w:val="center"/>
                  </w:tcPr>
                  <w:p w:rsidR="00A4585B" w:rsidRPr="00AB06DF" w:rsidRDefault="00A4585B" w:rsidP="00B637B2">
                    <w:pPr>
                      <w:jc w:val="right"/>
                      <w:rPr>
                        <w:sz w:val="16"/>
                        <w:szCs w:val="16"/>
                      </w:rPr>
                    </w:pPr>
                    <w:r w:rsidRPr="00AB06DF">
                      <w:rPr>
                        <w:sz w:val="16"/>
                        <w:szCs w:val="16"/>
                      </w:rPr>
                      <w:t>-442,688,773</w:t>
                    </w:r>
                  </w:p>
                </w:tc>
              </w:tr>
              <w:tr w:rsidR="00B637B2" w:rsidTr="00B637B2">
                <w:sdt>
                  <w:sdtPr>
                    <w:rPr>
                      <w:sz w:val="16"/>
                      <w:szCs w:val="16"/>
                    </w:rPr>
                    <w:tag w:val="_PLD_b05dacde51ff43abaf7ec73bf9668d99"/>
                    <w:id w:val="-1513289967"/>
                    <w:lock w:val="sdtLocked"/>
                  </w:sdtPr>
                  <w:sdtContent>
                    <w:tc>
                      <w:tcPr>
                        <w:tcW w:w="631" w:type="pct"/>
                      </w:tcPr>
                      <w:p w:rsidR="00A4585B" w:rsidRPr="00AB06DF" w:rsidRDefault="00A4585B" w:rsidP="00A4585B">
                        <w:pPr>
                          <w:rPr>
                            <w:sz w:val="16"/>
                            <w:szCs w:val="16"/>
                          </w:rPr>
                        </w:pPr>
                        <w:r w:rsidRPr="00AB06DF">
                          <w:rPr>
                            <w:rFonts w:hint="eastAsia"/>
                            <w:sz w:val="16"/>
                            <w:szCs w:val="16"/>
                          </w:rPr>
                          <w:t>（一）综合收益总额</w:t>
                        </w:r>
                      </w:p>
                    </w:tc>
                  </w:sdtContent>
                </w:sdt>
                <w:tc>
                  <w:tcPr>
                    <w:tcW w:w="422" w:type="pct"/>
                    <w:vAlign w:val="center"/>
                  </w:tcPr>
                  <w:p w:rsidR="00A4585B" w:rsidRPr="00AB06DF" w:rsidRDefault="008F04CF" w:rsidP="00B637B2">
                    <w:pPr>
                      <w:jc w:val="right"/>
                      <w:rPr>
                        <w:sz w:val="16"/>
                        <w:szCs w:val="16"/>
                      </w:rPr>
                    </w:pPr>
                    <w:r>
                      <w:rPr>
                        <w:rFonts w:hint="eastAsia"/>
                        <w:sz w:val="16"/>
                        <w:szCs w:val="16"/>
                      </w:rPr>
                      <w:t>-</w:t>
                    </w:r>
                  </w:p>
                </w:tc>
                <w:tc>
                  <w:tcPr>
                    <w:tcW w:w="119" w:type="pct"/>
                    <w:vAlign w:val="center"/>
                  </w:tcPr>
                  <w:p w:rsidR="00A4585B" w:rsidRPr="00AB06DF" w:rsidRDefault="008F04CF" w:rsidP="00B637B2">
                    <w:pPr>
                      <w:jc w:val="right"/>
                      <w:rPr>
                        <w:sz w:val="16"/>
                        <w:szCs w:val="16"/>
                      </w:rPr>
                    </w:pPr>
                    <w:r>
                      <w:rPr>
                        <w:rFonts w:hint="eastAsia"/>
                        <w:sz w:val="16"/>
                        <w:szCs w:val="16"/>
                      </w:rPr>
                      <w:t>-</w:t>
                    </w:r>
                  </w:p>
                </w:tc>
                <w:tc>
                  <w:tcPr>
                    <w:tcW w:w="127" w:type="pct"/>
                    <w:vAlign w:val="center"/>
                  </w:tcPr>
                  <w:p w:rsidR="00A4585B" w:rsidRPr="00AB06DF" w:rsidRDefault="008F04CF" w:rsidP="00B637B2">
                    <w:pPr>
                      <w:jc w:val="right"/>
                      <w:rPr>
                        <w:sz w:val="16"/>
                        <w:szCs w:val="16"/>
                      </w:rPr>
                    </w:pPr>
                    <w:r>
                      <w:rPr>
                        <w:rFonts w:hint="eastAsia"/>
                        <w:sz w:val="16"/>
                        <w:szCs w:val="16"/>
                      </w:rPr>
                      <w:t>-</w:t>
                    </w:r>
                  </w:p>
                </w:tc>
                <w:tc>
                  <w:tcPr>
                    <w:tcW w:w="133" w:type="pct"/>
                    <w:vAlign w:val="center"/>
                  </w:tcPr>
                  <w:p w:rsidR="00A4585B" w:rsidRPr="00AB06DF" w:rsidRDefault="008F04CF" w:rsidP="00B637B2">
                    <w:pPr>
                      <w:jc w:val="right"/>
                      <w:rPr>
                        <w:sz w:val="16"/>
                        <w:szCs w:val="16"/>
                      </w:rPr>
                    </w:pPr>
                    <w:r>
                      <w:rPr>
                        <w:rFonts w:hint="eastAsia"/>
                        <w:sz w:val="16"/>
                        <w:szCs w:val="16"/>
                      </w:rPr>
                      <w:t>-</w:t>
                    </w:r>
                  </w:p>
                </w:tc>
                <w:tc>
                  <w:tcPr>
                    <w:tcW w:w="402" w:type="pct"/>
                    <w:vAlign w:val="center"/>
                  </w:tcPr>
                  <w:p w:rsidR="00A4585B" w:rsidRPr="00AB06DF" w:rsidRDefault="008F04CF" w:rsidP="00B637B2">
                    <w:pPr>
                      <w:jc w:val="right"/>
                      <w:rPr>
                        <w:sz w:val="16"/>
                        <w:szCs w:val="16"/>
                      </w:rPr>
                    </w:pPr>
                    <w:r>
                      <w:rPr>
                        <w:rFonts w:hint="eastAsia"/>
                        <w:sz w:val="16"/>
                        <w:szCs w:val="16"/>
                      </w:rPr>
                      <w:t>-</w:t>
                    </w:r>
                  </w:p>
                </w:tc>
                <w:tc>
                  <w:tcPr>
                    <w:tcW w:w="357" w:type="pct"/>
                    <w:vAlign w:val="center"/>
                  </w:tcPr>
                  <w:p w:rsidR="00A4585B" w:rsidRPr="00AB06DF" w:rsidRDefault="008F04CF" w:rsidP="00B637B2">
                    <w:pPr>
                      <w:jc w:val="right"/>
                      <w:rPr>
                        <w:sz w:val="16"/>
                        <w:szCs w:val="16"/>
                      </w:rPr>
                    </w:pPr>
                    <w:r>
                      <w:rPr>
                        <w:rFonts w:hint="eastAsia"/>
                        <w:sz w:val="16"/>
                        <w:szCs w:val="16"/>
                      </w:rPr>
                      <w:t>-</w:t>
                    </w:r>
                  </w:p>
                </w:tc>
                <w:tc>
                  <w:tcPr>
                    <w:tcW w:w="357" w:type="pct"/>
                    <w:vAlign w:val="center"/>
                  </w:tcPr>
                  <w:p w:rsidR="00A4585B" w:rsidRPr="00AB06DF" w:rsidRDefault="00A4585B" w:rsidP="00B637B2">
                    <w:pPr>
                      <w:jc w:val="right"/>
                      <w:rPr>
                        <w:sz w:val="16"/>
                        <w:szCs w:val="16"/>
                      </w:rPr>
                    </w:pPr>
                    <w:r w:rsidRPr="00AB06DF">
                      <w:rPr>
                        <w:sz w:val="16"/>
                        <w:szCs w:val="16"/>
                      </w:rPr>
                      <w:t>-481,523</w:t>
                    </w:r>
                  </w:p>
                </w:tc>
                <w:tc>
                  <w:tcPr>
                    <w:tcW w:w="140" w:type="pct"/>
                    <w:vAlign w:val="center"/>
                  </w:tcPr>
                  <w:p w:rsidR="00A4585B" w:rsidRPr="00AB06DF" w:rsidRDefault="008F04CF" w:rsidP="00B637B2">
                    <w:pPr>
                      <w:jc w:val="right"/>
                      <w:rPr>
                        <w:sz w:val="16"/>
                        <w:szCs w:val="16"/>
                      </w:rPr>
                    </w:pPr>
                    <w:r>
                      <w:rPr>
                        <w:rFonts w:hint="eastAsia"/>
                        <w:sz w:val="16"/>
                        <w:szCs w:val="16"/>
                      </w:rPr>
                      <w:t>-</w:t>
                    </w:r>
                  </w:p>
                </w:tc>
                <w:tc>
                  <w:tcPr>
                    <w:tcW w:w="353" w:type="pct"/>
                    <w:vAlign w:val="center"/>
                  </w:tcPr>
                  <w:p w:rsidR="00A4585B" w:rsidRPr="00AB06DF" w:rsidRDefault="008F04CF" w:rsidP="00B637B2">
                    <w:pPr>
                      <w:jc w:val="right"/>
                      <w:rPr>
                        <w:sz w:val="16"/>
                        <w:szCs w:val="16"/>
                      </w:rPr>
                    </w:pPr>
                    <w:r>
                      <w:rPr>
                        <w:rFonts w:hint="eastAsia"/>
                        <w:sz w:val="16"/>
                        <w:szCs w:val="16"/>
                      </w:rPr>
                      <w:t>-</w:t>
                    </w:r>
                  </w:p>
                </w:tc>
                <w:tc>
                  <w:tcPr>
                    <w:tcW w:w="186" w:type="pct"/>
                    <w:vAlign w:val="center"/>
                  </w:tcPr>
                  <w:p w:rsidR="00A4585B" w:rsidRPr="00AB06DF" w:rsidRDefault="008F04CF" w:rsidP="00B637B2">
                    <w:pPr>
                      <w:jc w:val="right"/>
                      <w:rPr>
                        <w:sz w:val="16"/>
                        <w:szCs w:val="16"/>
                      </w:rPr>
                    </w:pPr>
                    <w:r>
                      <w:rPr>
                        <w:rFonts w:hint="eastAsia"/>
                        <w:sz w:val="16"/>
                        <w:szCs w:val="16"/>
                      </w:rPr>
                      <w:t>-</w:t>
                    </w:r>
                  </w:p>
                </w:tc>
                <w:tc>
                  <w:tcPr>
                    <w:tcW w:w="399" w:type="pct"/>
                    <w:vAlign w:val="center"/>
                  </w:tcPr>
                  <w:p w:rsidR="00A4585B" w:rsidRPr="00AB06DF" w:rsidRDefault="00A4585B" w:rsidP="00B637B2">
                    <w:pPr>
                      <w:jc w:val="right"/>
                      <w:rPr>
                        <w:sz w:val="16"/>
                        <w:szCs w:val="16"/>
                      </w:rPr>
                    </w:pPr>
                    <w:r w:rsidRPr="00AB06DF">
                      <w:rPr>
                        <w:sz w:val="16"/>
                        <w:szCs w:val="16"/>
                      </w:rPr>
                      <w:t>482,379,589</w:t>
                    </w:r>
                  </w:p>
                </w:tc>
                <w:tc>
                  <w:tcPr>
                    <w:tcW w:w="157" w:type="pct"/>
                    <w:vAlign w:val="center"/>
                  </w:tcPr>
                  <w:p w:rsidR="00A4585B" w:rsidRPr="00AB06DF" w:rsidRDefault="008F04CF" w:rsidP="00B637B2">
                    <w:pPr>
                      <w:jc w:val="right"/>
                      <w:rPr>
                        <w:sz w:val="16"/>
                        <w:szCs w:val="16"/>
                      </w:rPr>
                    </w:pPr>
                    <w:r>
                      <w:rPr>
                        <w:rFonts w:hint="eastAsia"/>
                        <w:sz w:val="16"/>
                        <w:szCs w:val="16"/>
                      </w:rPr>
                      <w:t>-</w:t>
                    </w:r>
                  </w:p>
                </w:tc>
                <w:tc>
                  <w:tcPr>
                    <w:tcW w:w="419" w:type="pct"/>
                    <w:vAlign w:val="center"/>
                  </w:tcPr>
                  <w:p w:rsidR="00A4585B" w:rsidRPr="00AB06DF" w:rsidRDefault="008F04CF" w:rsidP="00B637B2">
                    <w:pPr>
                      <w:jc w:val="right"/>
                      <w:rPr>
                        <w:sz w:val="16"/>
                        <w:szCs w:val="16"/>
                      </w:rPr>
                    </w:pPr>
                    <w:r w:rsidRPr="002E0307">
                      <w:rPr>
                        <w:sz w:val="16"/>
                        <w:szCs w:val="16"/>
                      </w:rPr>
                      <w:t>481,898,066</w:t>
                    </w:r>
                  </w:p>
                </w:tc>
                <w:tc>
                  <w:tcPr>
                    <w:tcW w:w="399" w:type="pct"/>
                    <w:vAlign w:val="center"/>
                  </w:tcPr>
                  <w:p w:rsidR="00A4585B" w:rsidRPr="00AB06DF" w:rsidRDefault="00122393" w:rsidP="00B637B2">
                    <w:pPr>
                      <w:jc w:val="right"/>
                      <w:rPr>
                        <w:sz w:val="16"/>
                        <w:szCs w:val="16"/>
                      </w:rPr>
                    </w:pPr>
                    <w:r w:rsidRPr="00AB06DF">
                      <w:rPr>
                        <w:sz w:val="16"/>
                        <w:szCs w:val="16"/>
                      </w:rPr>
                      <w:t>77,063,849</w:t>
                    </w:r>
                    <w:r w:rsidRPr="00AB06DF">
                      <w:rPr>
                        <w:sz w:val="16"/>
                        <w:szCs w:val="16"/>
                      </w:rPr>
                      <w:tab/>
                    </w:r>
                  </w:p>
                </w:tc>
                <w:tc>
                  <w:tcPr>
                    <w:tcW w:w="399" w:type="pct"/>
                    <w:vAlign w:val="center"/>
                  </w:tcPr>
                  <w:p w:rsidR="00A4585B" w:rsidRPr="00AB06DF" w:rsidRDefault="008F04CF" w:rsidP="00B637B2">
                    <w:pPr>
                      <w:jc w:val="right"/>
                      <w:rPr>
                        <w:sz w:val="16"/>
                        <w:szCs w:val="16"/>
                      </w:rPr>
                    </w:pPr>
                    <w:r w:rsidRPr="00F121FB">
                      <w:rPr>
                        <w:sz w:val="16"/>
                        <w:szCs w:val="16"/>
                      </w:rPr>
                      <w:t>558,961,915</w:t>
                    </w:r>
                  </w:p>
                </w:tc>
              </w:tr>
              <w:tr w:rsidR="00B637B2" w:rsidTr="00B637B2">
                <w:sdt>
                  <w:sdtPr>
                    <w:rPr>
                      <w:sz w:val="16"/>
                      <w:szCs w:val="16"/>
                    </w:rPr>
                    <w:tag w:val="_PLD_f17921fb207340239c73a056e615d773"/>
                    <w:id w:val="1380122241"/>
                    <w:lock w:val="sdtLocked"/>
                  </w:sdtPr>
                  <w:sdtContent>
                    <w:tc>
                      <w:tcPr>
                        <w:tcW w:w="631" w:type="pct"/>
                      </w:tcPr>
                      <w:p w:rsidR="00A4585B" w:rsidRPr="00AB06DF" w:rsidRDefault="00A4585B" w:rsidP="00A4585B">
                        <w:pPr>
                          <w:rPr>
                            <w:sz w:val="16"/>
                            <w:szCs w:val="16"/>
                          </w:rPr>
                        </w:pPr>
                        <w:r w:rsidRPr="00AB06DF">
                          <w:rPr>
                            <w:sz w:val="16"/>
                            <w:szCs w:val="16"/>
                          </w:rPr>
                          <w:t>（</w:t>
                        </w:r>
                        <w:r w:rsidRPr="00AB06DF">
                          <w:rPr>
                            <w:rFonts w:hint="eastAsia"/>
                            <w:sz w:val="16"/>
                            <w:szCs w:val="16"/>
                          </w:rPr>
                          <w:t>二</w:t>
                        </w:r>
                        <w:r w:rsidRPr="00AB06DF">
                          <w:rPr>
                            <w:sz w:val="16"/>
                            <w:szCs w:val="16"/>
                          </w:rPr>
                          <w:t>）所有者投入和减少资本</w:t>
                        </w:r>
                      </w:p>
                    </w:tc>
                  </w:sdtContent>
                </w:sdt>
                <w:tc>
                  <w:tcPr>
                    <w:tcW w:w="422" w:type="pct"/>
                    <w:vAlign w:val="center"/>
                  </w:tcPr>
                  <w:p w:rsidR="00A4585B" w:rsidRPr="00AB06DF" w:rsidRDefault="00A4585B" w:rsidP="00B637B2">
                    <w:pPr>
                      <w:jc w:val="right"/>
                      <w:rPr>
                        <w:sz w:val="16"/>
                        <w:szCs w:val="16"/>
                      </w:rPr>
                    </w:pPr>
                    <w:r w:rsidRPr="00AB06DF">
                      <w:rPr>
                        <w:sz w:val="16"/>
                        <w:szCs w:val="16"/>
                      </w:rPr>
                      <w:t>-993,859</w:t>
                    </w:r>
                  </w:p>
                </w:tc>
                <w:tc>
                  <w:tcPr>
                    <w:tcW w:w="119" w:type="pct"/>
                    <w:vAlign w:val="center"/>
                  </w:tcPr>
                  <w:p w:rsidR="00A4585B" w:rsidRPr="00AB06DF" w:rsidRDefault="00A4585B" w:rsidP="00B637B2">
                    <w:pPr>
                      <w:jc w:val="right"/>
                      <w:rPr>
                        <w:sz w:val="16"/>
                        <w:szCs w:val="16"/>
                      </w:rPr>
                    </w:pPr>
                    <w:r w:rsidRPr="00AB06DF">
                      <w:rPr>
                        <w:sz w:val="16"/>
                        <w:szCs w:val="16"/>
                      </w:rPr>
                      <w:t>-</w:t>
                    </w:r>
                  </w:p>
                </w:tc>
                <w:tc>
                  <w:tcPr>
                    <w:tcW w:w="127" w:type="pct"/>
                    <w:vAlign w:val="center"/>
                  </w:tcPr>
                  <w:p w:rsidR="00A4585B" w:rsidRPr="00AB06DF" w:rsidRDefault="00A4585B" w:rsidP="00B637B2">
                    <w:pPr>
                      <w:jc w:val="right"/>
                      <w:rPr>
                        <w:sz w:val="16"/>
                        <w:szCs w:val="16"/>
                      </w:rPr>
                    </w:pPr>
                    <w:r w:rsidRPr="00AB06DF">
                      <w:rPr>
                        <w:sz w:val="16"/>
                        <w:szCs w:val="16"/>
                      </w:rPr>
                      <w:t>-</w:t>
                    </w:r>
                  </w:p>
                </w:tc>
                <w:tc>
                  <w:tcPr>
                    <w:tcW w:w="133" w:type="pct"/>
                    <w:vAlign w:val="center"/>
                  </w:tcPr>
                  <w:p w:rsidR="00A4585B" w:rsidRPr="00AB06DF" w:rsidRDefault="00A4585B" w:rsidP="00B637B2">
                    <w:pPr>
                      <w:jc w:val="right"/>
                      <w:rPr>
                        <w:sz w:val="16"/>
                        <w:szCs w:val="16"/>
                      </w:rPr>
                    </w:pPr>
                    <w:r w:rsidRPr="00AB06DF">
                      <w:rPr>
                        <w:sz w:val="16"/>
                        <w:szCs w:val="16"/>
                      </w:rPr>
                      <w:t>-</w:t>
                    </w:r>
                  </w:p>
                </w:tc>
                <w:tc>
                  <w:tcPr>
                    <w:tcW w:w="402" w:type="pct"/>
                    <w:vAlign w:val="center"/>
                  </w:tcPr>
                  <w:p w:rsidR="00A4585B" w:rsidRPr="00AB06DF" w:rsidRDefault="00A4585B" w:rsidP="00B637B2">
                    <w:pPr>
                      <w:jc w:val="right"/>
                      <w:rPr>
                        <w:sz w:val="16"/>
                        <w:szCs w:val="16"/>
                      </w:rPr>
                    </w:pPr>
                    <w:r w:rsidRPr="00AB06DF">
                      <w:rPr>
                        <w:sz w:val="16"/>
                        <w:szCs w:val="16"/>
                      </w:rPr>
                      <w:t>45,829,990</w:t>
                    </w:r>
                  </w:p>
                </w:tc>
                <w:tc>
                  <w:tcPr>
                    <w:tcW w:w="357" w:type="pct"/>
                    <w:vAlign w:val="center"/>
                  </w:tcPr>
                  <w:p w:rsidR="00A4585B" w:rsidRPr="00AB06DF" w:rsidRDefault="00A4585B" w:rsidP="00B637B2">
                    <w:pPr>
                      <w:jc w:val="right"/>
                      <w:rPr>
                        <w:sz w:val="16"/>
                        <w:szCs w:val="16"/>
                      </w:rPr>
                    </w:pPr>
                    <w:r w:rsidRPr="00AB06DF">
                      <w:rPr>
                        <w:sz w:val="16"/>
                        <w:szCs w:val="16"/>
                      </w:rPr>
                      <w:t>458,416,969</w:t>
                    </w:r>
                  </w:p>
                </w:tc>
                <w:tc>
                  <w:tcPr>
                    <w:tcW w:w="357" w:type="pct"/>
                    <w:vAlign w:val="center"/>
                  </w:tcPr>
                  <w:p w:rsidR="00A4585B" w:rsidRPr="00AB06DF" w:rsidRDefault="00A4585B" w:rsidP="00B637B2">
                    <w:pPr>
                      <w:jc w:val="right"/>
                      <w:rPr>
                        <w:sz w:val="16"/>
                        <w:szCs w:val="16"/>
                      </w:rPr>
                    </w:pPr>
                    <w:r w:rsidRPr="00AB06DF">
                      <w:rPr>
                        <w:sz w:val="16"/>
                        <w:szCs w:val="16"/>
                      </w:rPr>
                      <w:t>-</w:t>
                    </w:r>
                  </w:p>
                </w:tc>
                <w:tc>
                  <w:tcPr>
                    <w:tcW w:w="140" w:type="pct"/>
                    <w:vAlign w:val="center"/>
                  </w:tcPr>
                  <w:p w:rsidR="00A4585B" w:rsidRPr="00AB06DF" w:rsidRDefault="00A4585B" w:rsidP="00B637B2">
                    <w:pPr>
                      <w:jc w:val="right"/>
                      <w:rPr>
                        <w:sz w:val="16"/>
                        <w:szCs w:val="16"/>
                      </w:rPr>
                    </w:pPr>
                    <w:r w:rsidRPr="00AB06DF">
                      <w:rPr>
                        <w:sz w:val="16"/>
                        <w:szCs w:val="16"/>
                      </w:rPr>
                      <w:t>-</w:t>
                    </w:r>
                  </w:p>
                </w:tc>
                <w:tc>
                  <w:tcPr>
                    <w:tcW w:w="353" w:type="pct"/>
                    <w:vAlign w:val="center"/>
                  </w:tcPr>
                  <w:p w:rsidR="00A4585B" w:rsidRPr="00AB06DF" w:rsidRDefault="00A4585B" w:rsidP="00B637B2">
                    <w:pPr>
                      <w:jc w:val="right"/>
                      <w:rPr>
                        <w:sz w:val="16"/>
                        <w:szCs w:val="16"/>
                      </w:rPr>
                    </w:pPr>
                    <w:r w:rsidRPr="00AB06DF">
                      <w:rPr>
                        <w:sz w:val="16"/>
                        <w:szCs w:val="16"/>
                      </w:rPr>
                      <w:t>-</w:t>
                    </w:r>
                  </w:p>
                </w:tc>
                <w:tc>
                  <w:tcPr>
                    <w:tcW w:w="186" w:type="pct"/>
                    <w:vAlign w:val="center"/>
                  </w:tcPr>
                  <w:p w:rsidR="00A4585B" w:rsidRPr="00AB06DF" w:rsidRDefault="00A4585B" w:rsidP="00B637B2">
                    <w:pPr>
                      <w:jc w:val="right"/>
                      <w:rPr>
                        <w:sz w:val="16"/>
                        <w:szCs w:val="16"/>
                      </w:rPr>
                    </w:pPr>
                    <w:r w:rsidRPr="00AB06DF">
                      <w:rPr>
                        <w:sz w:val="16"/>
                        <w:szCs w:val="16"/>
                      </w:rPr>
                      <w:t>-</w:t>
                    </w:r>
                  </w:p>
                </w:tc>
                <w:tc>
                  <w:tcPr>
                    <w:tcW w:w="399" w:type="pct"/>
                    <w:vAlign w:val="center"/>
                  </w:tcPr>
                  <w:p w:rsidR="00A4585B" w:rsidRPr="00AB06DF" w:rsidRDefault="00A4585B" w:rsidP="00B637B2">
                    <w:pPr>
                      <w:jc w:val="right"/>
                      <w:rPr>
                        <w:sz w:val="16"/>
                        <w:szCs w:val="16"/>
                      </w:rPr>
                    </w:pPr>
                    <w:r w:rsidRPr="00AB06DF">
                      <w:rPr>
                        <w:sz w:val="16"/>
                        <w:szCs w:val="16"/>
                      </w:rPr>
                      <w:t>-</w:t>
                    </w:r>
                  </w:p>
                </w:tc>
                <w:tc>
                  <w:tcPr>
                    <w:tcW w:w="157" w:type="pct"/>
                    <w:vAlign w:val="center"/>
                  </w:tcPr>
                  <w:p w:rsidR="00A4585B" w:rsidRPr="00AB06DF" w:rsidRDefault="008F04CF" w:rsidP="00B637B2">
                    <w:pPr>
                      <w:jc w:val="right"/>
                      <w:rPr>
                        <w:sz w:val="16"/>
                        <w:szCs w:val="16"/>
                      </w:rPr>
                    </w:pPr>
                    <w:r>
                      <w:rPr>
                        <w:rFonts w:hint="eastAsia"/>
                        <w:sz w:val="16"/>
                        <w:szCs w:val="16"/>
                      </w:rPr>
                      <w:t>-</w:t>
                    </w:r>
                  </w:p>
                </w:tc>
                <w:tc>
                  <w:tcPr>
                    <w:tcW w:w="419" w:type="pct"/>
                    <w:vAlign w:val="center"/>
                  </w:tcPr>
                  <w:p w:rsidR="00A4585B" w:rsidRPr="00AB06DF" w:rsidRDefault="008F04CF" w:rsidP="00B637B2">
                    <w:pPr>
                      <w:jc w:val="right"/>
                      <w:rPr>
                        <w:sz w:val="16"/>
                        <w:szCs w:val="16"/>
                      </w:rPr>
                    </w:pPr>
                    <w:r w:rsidRPr="002E0307">
                      <w:rPr>
                        <w:sz w:val="16"/>
                        <w:szCs w:val="16"/>
                      </w:rPr>
                      <w:t>-413,580,838</w:t>
                    </w:r>
                  </w:p>
                </w:tc>
                <w:tc>
                  <w:tcPr>
                    <w:tcW w:w="399" w:type="pct"/>
                    <w:vAlign w:val="center"/>
                  </w:tcPr>
                  <w:p w:rsidR="00A4585B" w:rsidRPr="00AB06DF" w:rsidRDefault="00122393" w:rsidP="00B637B2">
                    <w:pPr>
                      <w:jc w:val="right"/>
                      <w:rPr>
                        <w:sz w:val="16"/>
                        <w:szCs w:val="16"/>
                      </w:rPr>
                    </w:pPr>
                    <w:r w:rsidRPr="00AB06DF">
                      <w:rPr>
                        <w:sz w:val="16"/>
                        <w:szCs w:val="16"/>
                      </w:rPr>
                      <w:t>12,752,324</w:t>
                    </w:r>
                  </w:p>
                </w:tc>
                <w:tc>
                  <w:tcPr>
                    <w:tcW w:w="399" w:type="pct"/>
                    <w:vAlign w:val="center"/>
                  </w:tcPr>
                  <w:p w:rsidR="00A4585B" w:rsidRPr="00AB06DF" w:rsidRDefault="00A4585B" w:rsidP="00B637B2">
                    <w:pPr>
                      <w:jc w:val="right"/>
                      <w:rPr>
                        <w:sz w:val="16"/>
                        <w:szCs w:val="16"/>
                      </w:rPr>
                    </w:pPr>
                    <w:r w:rsidRPr="00AB06DF">
                      <w:rPr>
                        <w:sz w:val="16"/>
                        <w:szCs w:val="16"/>
                      </w:rPr>
                      <w:t>-</w:t>
                    </w:r>
                    <w:r w:rsidR="00122393" w:rsidRPr="00AB06DF">
                      <w:rPr>
                        <w:sz w:val="16"/>
                        <w:szCs w:val="16"/>
                      </w:rPr>
                      <w:t>400,828,514</w:t>
                    </w:r>
                  </w:p>
                </w:tc>
              </w:tr>
              <w:tr w:rsidR="00B637B2" w:rsidTr="00B637B2">
                <w:sdt>
                  <w:sdtPr>
                    <w:rPr>
                      <w:sz w:val="16"/>
                      <w:szCs w:val="16"/>
                    </w:rPr>
                    <w:tag w:val="_PLD_a4e5a1909d05445a88f8a664e237ae02"/>
                    <w:id w:val="-53774706"/>
                    <w:lock w:val="sdtLocked"/>
                  </w:sdtPr>
                  <w:sdtContent>
                    <w:tc>
                      <w:tcPr>
                        <w:tcW w:w="631" w:type="pct"/>
                      </w:tcPr>
                      <w:p w:rsidR="00A4585B" w:rsidRPr="00AB06DF" w:rsidRDefault="00A4585B" w:rsidP="00A4585B">
                        <w:pPr>
                          <w:rPr>
                            <w:sz w:val="16"/>
                            <w:szCs w:val="16"/>
                          </w:rPr>
                        </w:pPr>
                        <w:r w:rsidRPr="00AB06DF">
                          <w:rPr>
                            <w:rFonts w:hint="eastAsia"/>
                            <w:sz w:val="16"/>
                            <w:szCs w:val="16"/>
                          </w:rPr>
                          <w:t>1．所有者投入的普通股</w:t>
                        </w:r>
                      </w:p>
                    </w:tc>
                  </w:sdtContent>
                </w:sdt>
                <w:tc>
                  <w:tcPr>
                    <w:tcW w:w="422" w:type="pct"/>
                    <w:vAlign w:val="center"/>
                  </w:tcPr>
                  <w:p w:rsidR="00A4585B" w:rsidRPr="00AB06DF" w:rsidRDefault="00A4585B" w:rsidP="00B637B2">
                    <w:pPr>
                      <w:jc w:val="right"/>
                      <w:rPr>
                        <w:sz w:val="16"/>
                        <w:szCs w:val="16"/>
                      </w:rPr>
                    </w:pPr>
                    <w:r w:rsidRPr="00AB06DF">
                      <w:rPr>
                        <w:sz w:val="16"/>
                        <w:szCs w:val="16"/>
                      </w:rPr>
                      <w:t>-</w:t>
                    </w:r>
                  </w:p>
                </w:tc>
                <w:tc>
                  <w:tcPr>
                    <w:tcW w:w="119" w:type="pct"/>
                    <w:vAlign w:val="center"/>
                  </w:tcPr>
                  <w:p w:rsidR="00A4585B" w:rsidRPr="00AB06DF" w:rsidRDefault="008F04CF" w:rsidP="00B637B2">
                    <w:pPr>
                      <w:jc w:val="right"/>
                      <w:rPr>
                        <w:sz w:val="16"/>
                        <w:szCs w:val="16"/>
                      </w:rPr>
                    </w:pPr>
                    <w:r>
                      <w:rPr>
                        <w:rFonts w:hint="eastAsia"/>
                        <w:sz w:val="16"/>
                        <w:szCs w:val="16"/>
                      </w:rPr>
                      <w:t>-</w:t>
                    </w:r>
                  </w:p>
                </w:tc>
                <w:tc>
                  <w:tcPr>
                    <w:tcW w:w="127" w:type="pct"/>
                    <w:vAlign w:val="center"/>
                  </w:tcPr>
                  <w:p w:rsidR="00A4585B" w:rsidRPr="00AB06DF" w:rsidRDefault="008F04CF" w:rsidP="00B637B2">
                    <w:pPr>
                      <w:jc w:val="right"/>
                      <w:rPr>
                        <w:sz w:val="16"/>
                        <w:szCs w:val="16"/>
                      </w:rPr>
                    </w:pPr>
                    <w:r>
                      <w:rPr>
                        <w:rFonts w:hint="eastAsia"/>
                        <w:sz w:val="16"/>
                        <w:szCs w:val="16"/>
                      </w:rPr>
                      <w:t>-</w:t>
                    </w:r>
                  </w:p>
                </w:tc>
                <w:tc>
                  <w:tcPr>
                    <w:tcW w:w="133" w:type="pct"/>
                    <w:vAlign w:val="center"/>
                  </w:tcPr>
                  <w:p w:rsidR="00A4585B" w:rsidRPr="00AB06DF" w:rsidRDefault="008F04CF" w:rsidP="00B637B2">
                    <w:pPr>
                      <w:jc w:val="right"/>
                      <w:rPr>
                        <w:sz w:val="16"/>
                        <w:szCs w:val="16"/>
                      </w:rPr>
                    </w:pPr>
                    <w:r>
                      <w:rPr>
                        <w:rFonts w:hint="eastAsia"/>
                        <w:sz w:val="16"/>
                        <w:szCs w:val="16"/>
                      </w:rPr>
                      <w:t>-</w:t>
                    </w:r>
                  </w:p>
                </w:tc>
                <w:tc>
                  <w:tcPr>
                    <w:tcW w:w="402" w:type="pct"/>
                    <w:vAlign w:val="center"/>
                  </w:tcPr>
                  <w:p w:rsidR="00A4585B" w:rsidRPr="00AB06DF" w:rsidRDefault="00A4585B" w:rsidP="00B637B2">
                    <w:pPr>
                      <w:jc w:val="right"/>
                      <w:rPr>
                        <w:sz w:val="16"/>
                        <w:szCs w:val="16"/>
                      </w:rPr>
                    </w:pPr>
                    <w:r w:rsidRPr="00AB06DF">
                      <w:rPr>
                        <w:sz w:val="16"/>
                        <w:szCs w:val="16"/>
                      </w:rPr>
                      <w:t>-</w:t>
                    </w:r>
                  </w:p>
                </w:tc>
                <w:tc>
                  <w:tcPr>
                    <w:tcW w:w="357" w:type="pct"/>
                    <w:vAlign w:val="center"/>
                  </w:tcPr>
                  <w:p w:rsidR="00A4585B" w:rsidRPr="00AB06DF" w:rsidRDefault="008F04CF" w:rsidP="00B637B2">
                    <w:pPr>
                      <w:jc w:val="right"/>
                      <w:rPr>
                        <w:sz w:val="16"/>
                        <w:szCs w:val="16"/>
                      </w:rPr>
                    </w:pPr>
                    <w:r>
                      <w:rPr>
                        <w:rFonts w:hint="eastAsia"/>
                        <w:sz w:val="16"/>
                        <w:szCs w:val="16"/>
                      </w:rPr>
                      <w:t>-</w:t>
                    </w:r>
                  </w:p>
                </w:tc>
                <w:tc>
                  <w:tcPr>
                    <w:tcW w:w="357" w:type="pct"/>
                    <w:vAlign w:val="center"/>
                  </w:tcPr>
                  <w:p w:rsidR="00A4585B" w:rsidRPr="00AB06DF" w:rsidRDefault="008F04CF" w:rsidP="00B637B2">
                    <w:pPr>
                      <w:jc w:val="right"/>
                      <w:rPr>
                        <w:sz w:val="16"/>
                        <w:szCs w:val="16"/>
                      </w:rPr>
                    </w:pPr>
                    <w:r>
                      <w:rPr>
                        <w:rFonts w:hint="eastAsia"/>
                        <w:sz w:val="16"/>
                        <w:szCs w:val="16"/>
                      </w:rPr>
                      <w:t>-</w:t>
                    </w:r>
                  </w:p>
                </w:tc>
                <w:tc>
                  <w:tcPr>
                    <w:tcW w:w="140" w:type="pct"/>
                    <w:vAlign w:val="center"/>
                  </w:tcPr>
                  <w:p w:rsidR="00A4585B" w:rsidRPr="00AB06DF" w:rsidRDefault="008F04CF" w:rsidP="00B637B2">
                    <w:pPr>
                      <w:jc w:val="right"/>
                      <w:rPr>
                        <w:sz w:val="16"/>
                        <w:szCs w:val="16"/>
                      </w:rPr>
                    </w:pPr>
                    <w:r>
                      <w:rPr>
                        <w:rFonts w:hint="eastAsia"/>
                        <w:sz w:val="16"/>
                        <w:szCs w:val="16"/>
                      </w:rPr>
                      <w:t>-</w:t>
                    </w:r>
                  </w:p>
                </w:tc>
                <w:tc>
                  <w:tcPr>
                    <w:tcW w:w="353" w:type="pct"/>
                    <w:vAlign w:val="center"/>
                  </w:tcPr>
                  <w:p w:rsidR="00A4585B" w:rsidRPr="00AB06DF" w:rsidRDefault="008F04CF" w:rsidP="00B637B2">
                    <w:pPr>
                      <w:jc w:val="right"/>
                      <w:rPr>
                        <w:sz w:val="16"/>
                        <w:szCs w:val="16"/>
                      </w:rPr>
                    </w:pPr>
                    <w:r>
                      <w:rPr>
                        <w:rFonts w:hint="eastAsia"/>
                        <w:sz w:val="16"/>
                        <w:szCs w:val="16"/>
                      </w:rPr>
                      <w:t>-</w:t>
                    </w:r>
                  </w:p>
                </w:tc>
                <w:tc>
                  <w:tcPr>
                    <w:tcW w:w="186" w:type="pct"/>
                    <w:vAlign w:val="center"/>
                  </w:tcPr>
                  <w:p w:rsidR="00A4585B" w:rsidRPr="00AB06DF" w:rsidRDefault="008F04CF" w:rsidP="00B637B2">
                    <w:pPr>
                      <w:jc w:val="right"/>
                      <w:rPr>
                        <w:sz w:val="16"/>
                        <w:szCs w:val="16"/>
                      </w:rPr>
                    </w:pPr>
                    <w:r>
                      <w:rPr>
                        <w:rFonts w:hint="eastAsia"/>
                        <w:sz w:val="16"/>
                        <w:szCs w:val="16"/>
                      </w:rPr>
                      <w:t>-</w:t>
                    </w:r>
                  </w:p>
                </w:tc>
                <w:tc>
                  <w:tcPr>
                    <w:tcW w:w="399" w:type="pct"/>
                    <w:vAlign w:val="center"/>
                  </w:tcPr>
                  <w:p w:rsidR="00A4585B" w:rsidRPr="00AB06DF" w:rsidRDefault="008F04CF" w:rsidP="00B637B2">
                    <w:pPr>
                      <w:jc w:val="right"/>
                      <w:rPr>
                        <w:sz w:val="16"/>
                        <w:szCs w:val="16"/>
                      </w:rPr>
                    </w:pPr>
                    <w:r>
                      <w:rPr>
                        <w:rFonts w:hint="eastAsia"/>
                        <w:sz w:val="16"/>
                        <w:szCs w:val="16"/>
                      </w:rPr>
                      <w:t>-</w:t>
                    </w:r>
                  </w:p>
                </w:tc>
                <w:tc>
                  <w:tcPr>
                    <w:tcW w:w="157" w:type="pct"/>
                    <w:vAlign w:val="center"/>
                  </w:tcPr>
                  <w:p w:rsidR="00A4585B" w:rsidRPr="00AB06DF" w:rsidRDefault="008F04CF" w:rsidP="00B637B2">
                    <w:pPr>
                      <w:jc w:val="right"/>
                      <w:rPr>
                        <w:sz w:val="16"/>
                        <w:szCs w:val="16"/>
                      </w:rPr>
                    </w:pPr>
                    <w:r>
                      <w:rPr>
                        <w:rFonts w:hint="eastAsia"/>
                        <w:sz w:val="16"/>
                        <w:szCs w:val="16"/>
                      </w:rPr>
                      <w:t>-</w:t>
                    </w:r>
                  </w:p>
                </w:tc>
                <w:tc>
                  <w:tcPr>
                    <w:tcW w:w="419" w:type="pct"/>
                    <w:vAlign w:val="center"/>
                  </w:tcPr>
                  <w:p w:rsidR="00A4585B" w:rsidRPr="00AB06DF" w:rsidRDefault="008F04CF" w:rsidP="00B637B2">
                    <w:pPr>
                      <w:jc w:val="right"/>
                      <w:rPr>
                        <w:sz w:val="16"/>
                        <w:szCs w:val="16"/>
                      </w:rPr>
                    </w:pPr>
                    <w:r>
                      <w:rPr>
                        <w:rFonts w:hint="eastAsia"/>
                        <w:sz w:val="16"/>
                        <w:szCs w:val="16"/>
                      </w:rPr>
                      <w:t>-</w:t>
                    </w:r>
                  </w:p>
                </w:tc>
                <w:tc>
                  <w:tcPr>
                    <w:tcW w:w="399" w:type="pct"/>
                    <w:vAlign w:val="center"/>
                  </w:tcPr>
                  <w:p w:rsidR="00A4585B" w:rsidRPr="00AB06DF" w:rsidRDefault="008F04CF" w:rsidP="00B637B2">
                    <w:pPr>
                      <w:jc w:val="right"/>
                      <w:rPr>
                        <w:sz w:val="16"/>
                        <w:szCs w:val="16"/>
                      </w:rPr>
                    </w:pPr>
                    <w:r>
                      <w:rPr>
                        <w:rFonts w:hint="eastAsia"/>
                        <w:sz w:val="16"/>
                        <w:szCs w:val="16"/>
                      </w:rPr>
                      <w:t>-</w:t>
                    </w:r>
                  </w:p>
                </w:tc>
                <w:tc>
                  <w:tcPr>
                    <w:tcW w:w="399" w:type="pct"/>
                    <w:vAlign w:val="center"/>
                  </w:tcPr>
                  <w:p w:rsidR="00A4585B" w:rsidRPr="00AB06DF" w:rsidRDefault="00A4585B" w:rsidP="00B637B2">
                    <w:pPr>
                      <w:jc w:val="right"/>
                      <w:rPr>
                        <w:sz w:val="16"/>
                        <w:szCs w:val="16"/>
                      </w:rPr>
                    </w:pPr>
                    <w:r w:rsidRPr="00AB06DF">
                      <w:rPr>
                        <w:sz w:val="16"/>
                        <w:szCs w:val="16"/>
                      </w:rPr>
                      <w:t>-</w:t>
                    </w:r>
                  </w:p>
                </w:tc>
              </w:tr>
              <w:tr w:rsidR="00B637B2" w:rsidTr="00B637B2">
                <w:sdt>
                  <w:sdtPr>
                    <w:rPr>
                      <w:sz w:val="16"/>
                      <w:szCs w:val="16"/>
                    </w:rPr>
                    <w:tag w:val="_PLD_00983bc5e4cc404f92b2fab2c532ec5f"/>
                    <w:id w:val="1884673698"/>
                    <w:lock w:val="sdtLocked"/>
                  </w:sdtPr>
                  <w:sdtContent>
                    <w:tc>
                      <w:tcPr>
                        <w:tcW w:w="631" w:type="pct"/>
                      </w:tcPr>
                      <w:p w:rsidR="00A4585B" w:rsidRPr="00AB06DF" w:rsidRDefault="00A4585B" w:rsidP="00A4585B">
                        <w:pPr>
                          <w:rPr>
                            <w:sz w:val="16"/>
                            <w:szCs w:val="16"/>
                          </w:rPr>
                        </w:pPr>
                        <w:r w:rsidRPr="00AB06DF">
                          <w:rPr>
                            <w:rFonts w:hint="eastAsia"/>
                            <w:sz w:val="16"/>
                            <w:szCs w:val="16"/>
                          </w:rPr>
                          <w:t>2．其他权益工具持有者投入资本</w:t>
                        </w:r>
                      </w:p>
                    </w:tc>
                  </w:sdtContent>
                </w:sdt>
                <w:tc>
                  <w:tcPr>
                    <w:tcW w:w="422" w:type="pct"/>
                    <w:vAlign w:val="center"/>
                  </w:tcPr>
                  <w:p w:rsidR="00A4585B" w:rsidRPr="00AB06DF" w:rsidRDefault="008F04CF" w:rsidP="00B637B2">
                    <w:pPr>
                      <w:jc w:val="right"/>
                      <w:rPr>
                        <w:sz w:val="16"/>
                        <w:szCs w:val="16"/>
                      </w:rPr>
                    </w:pPr>
                    <w:r>
                      <w:rPr>
                        <w:rFonts w:hint="eastAsia"/>
                        <w:sz w:val="16"/>
                        <w:szCs w:val="16"/>
                      </w:rPr>
                      <w:t>-</w:t>
                    </w:r>
                  </w:p>
                </w:tc>
                <w:tc>
                  <w:tcPr>
                    <w:tcW w:w="119" w:type="pct"/>
                    <w:vAlign w:val="center"/>
                  </w:tcPr>
                  <w:p w:rsidR="00A4585B" w:rsidRPr="00AB06DF" w:rsidRDefault="008F04CF" w:rsidP="00B637B2">
                    <w:pPr>
                      <w:jc w:val="right"/>
                      <w:rPr>
                        <w:sz w:val="16"/>
                        <w:szCs w:val="16"/>
                      </w:rPr>
                    </w:pPr>
                    <w:r>
                      <w:rPr>
                        <w:rFonts w:hint="eastAsia"/>
                        <w:sz w:val="16"/>
                        <w:szCs w:val="16"/>
                      </w:rPr>
                      <w:t>-</w:t>
                    </w:r>
                  </w:p>
                </w:tc>
                <w:tc>
                  <w:tcPr>
                    <w:tcW w:w="127" w:type="pct"/>
                    <w:vAlign w:val="center"/>
                  </w:tcPr>
                  <w:p w:rsidR="00A4585B" w:rsidRPr="00AB06DF" w:rsidRDefault="008F04CF" w:rsidP="00B637B2">
                    <w:pPr>
                      <w:jc w:val="right"/>
                      <w:rPr>
                        <w:sz w:val="16"/>
                        <w:szCs w:val="16"/>
                      </w:rPr>
                    </w:pPr>
                    <w:r>
                      <w:rPr>
                        <w:rFonts w:hint="eastAsia"/>
                        <w:sz w:val="16"/>
                        <w:szCs w:val="16"/>
                      </w:rPr>
                      <w:t>-</w:t>
                    </w:r>
                  </w:p>
                </w:tc>
                <w:tc>
                  <w:tcPr>
                    <w:tcW w:w="133" w:type="pct"/>
                    <w:vAlign w:val="center"/>
                  </w:tcPr>
                  <w:p w:rsidR="00A4585B" w:rsidRPr="00AB06DF" w:rsidRDefault="008F04CF" w:rsidP="00B637B2">
                    <w:pPr>
                      <w:jc w:val="right"/>
                      <w:rPr>
                        <w:sz w:val="16"/>
                        <w:szCs w:val="16"/>
                      </w:rPr>
                    </w:pPr>
                    <w:r>
                      <w:rPr>
                        <w:rFonts w:hint="eastAsia"/>
                        <w:sz w:val="16"/>
                        <w:szCs w:val="16"/>
                      </w:rPr>
                      <w:t>-</w:t>
                    </w:r>
                  </w:p>
                </w:tc>
                <w:tc>
                  <w:tcPr>
                    <w:tcW w:w="402" w:type="pct"/>
                    <w:vAlign w:val="center"/>
                  </w:tcPr>
                  <w:p w:rsidR="00A4585B" w:rsidRPr="00AB06DF" w:rsidRDefault="008F04CF" w:rsidP="00B637B2">
                    <w:pPr>
                      <w:jc w:val="right"/>
                      <w:rPr>
                        <w:sz w:val="16"/>
                        <w:szCs w:val="16"/>
                      </w:rPr>
                    </w:pPr>
                    <w:r>
                      <w:rPr>
                        <w:rFonts w:hint="eastAsia"/>
                        <w:sz w:val="16"/>
                        <w:szCs w:val="16"/>
                      </w:rPr>
                      <w:t>-</w:t>
                    </w:r>
                  </w:p>
                </w:tc>
                <w:tc>
                  <w:tcPr>
                    <w:tcW w:w="357" w:type="pct"/>
                    <w:vAlign w:val="center"/>
                  </w:tcPr>
                  <w:p w:rsidR="00A4585B" w:rsidRPr="00AB06DF" w:rsidRDefault="008F04CF" w:rsidP="00B637B2">
                    <w:pPr>
                      <w:jc w:val="right"/>
                      <w:rPr>
                        <w:sz w:val="16"/>
                        <w:szCs w:val="16"/>
                      </w:rPr>
                    </w:pPr>
                    <w:r>
                      <w:rPr>
                        <w:rFonts w:hint="eastAsia"/>
                        <w:sz w:val="16"/>
                        <w:szCs w:val="16"/>
                      </w:rPr>
                      <w:t>-</w:t>
                    </w:r>
                  </w:p>
                </w:tc>
                <w:tc>
                  <w:tcPr>
                    <w:tcW w:w="357" w:type="pct"/>
                    <w:vAlign w:val="center"/>
                  </w:tcPr>
                  <w:p w:rsidR="00A4585B" w:rsidRPr="00AB06DF" w:rsidRDefault="008F04CF" w:rsidP="00B637B2">
                    <w:pPr>
                      <w:jc w:val="right"/>
                      <w:rPr>
                        <w:sz w:val="16"/>
                        <w:szCs w:val="16"/>
                      </w:rPr>
                    </w:pPr>
                    <w:r>
                      <w:rPr>
                        <w:rFonts w:hint="eastAsia"/>
                        <w:sz w:val="16"/>
                        <w:szCs w:val="16"/>
                      </w:rPr>
                      <w:t>-</w:t>
                    </w:r>
                  </w:p>
                </w:tc>
                <w:tc>
                  <w:tcPr>
                    <w:tcW w:w="140" w:type="pct"/>
                    <w:vAlign w:val="center"/>
                  </w:tcPr>
                  <w:p w:rsidR="00A4585B" w:rsidRPr="00AB06DF" w:rsidRDefault="008F04CF" w:rsidP="00B637B2">
                    <w:pPr>
                      <w:jc w:val="right"/>
                      <w:rPr>
                        <w:sz w:val="16"/>
                        <w:szCs w:val="16"/>
                      </w:rPr>
                    </w:pPr>
                    <w:r>
                      <w:rPr>
                        <w:rFonts w:hint="eastAsia"/>
                        <w:sz w:val="16"/>
                        <w:szCs w:val="16"/>
                      </w:rPr>
                      <w:t>-</w:t>
                    </w:r>
                  </w:p>
                </w:tc>
                <w:tc>
                  <w:tcPr>
                    <w:tcW w:w="353" w:type="pct"/>
                    <w:vAlign w:val="center"/>
                  </w:tcPr>
                  <w:p w:rsidR="00A4585B" w:rsidRPr="00AB06DF" w:rsidRDefault="008F04CF" w:rsidP="00B637B2">
                    <w:pPr>
                      <w:jc w:val="right"/>
                      <w:rPr>
                        <w:sz w:val="16"/>
                        <w:szCs w:val="16"/>
                      </w:rPr>
                    </w:pPr>
                    <w:r>
                      <w:rPr>
                        <w:rFonts w:hint="eastAsia"/>
                        <w:sz w:val="16"/>
                        <w:szCs w:val="16"/>
                      </w:rPr>
                      <w:t>-</w:t>
                    </w:r>
                  </w:p>
                </w:tc>
                <w:tc>
                  <w:tcPr>
                    <w:tcW w:w="186" w:type="pct"/>
                    <w:vAlign w:val="center"/>
                  </w:tcPr>
                  <w:p w:rsidR="00A4585B" w:rsidRPr="00AB06DF" w:rsidRDefault="008F04CF" w:rsidP="00B637B2">
                    <w:pPr>
                      <w:jc w:val="right"/>
                      <w:rPr>
                        <w:sz w:val="16"/>
                        <w:szCs w:val="16"/>
                      </w:rPr>
                    </w:pPr>
                    <w:r>
                      <w:rPr>
                        <w:rFonts w:hint="eastAsia"/>
                        <w:sz w:val="16"/>
                        <w:szCs w:val="16"/>
                      </w:rPr>
                      <w:t>-</w:t>
                    </w:r>
                  </w:p>
                </w:tc>
                <w:tc>
                  <w:tcPr>
                    <w:tcW w:w="399" w:type="pct"/>
                    <w:vAlign w:val="center"/>
                  </w:tcPr>
                  <w:p w:rsidR="00A4585B" w:rsidRPr="00AB06DF" w:rsidRDefault="008F04CF" w:rsidP="00B637B2">
                    <w:pPr>
                      <w:jc w:val="right"/>
                      <w:rPr>
                        <w:sz w:val="16"/>
                        <w:szCs w:val="16"/>
                      </w:rPr>
                    </w:pPr>
                    <w:r>
                      <w:rPr>
                        <w:rFonts w:hint="eastAsia"/>
                        <w:sz w:val="16"/>
                        <w:szCs w:val="16"/>
                      </w:rPr>
                      <w:t>-</w:t>
                    </w:r>
                  </w:p>
                </w:tc>
                <w:tc>
                  <w:tcPr>
                    <w:tcW w:w="157" w:type="pct"/>
                    <w:vAlign w:val="center"/>
                  </w:tcPr>
                  <w:p w:rsidR="00A4585B" w:rsidRPr="00AB06DF" w:rsidRDefault="008F04CF" w:rsidP="00B637B2">
                    <w:pPr>
                      <w:jc w:val="right"/>
                      <w:rPr>
                        <w:sz w:val="16"/>
                        <w:szCs w:val="16"/>
                      </w:rPr>
                    </w:pPr>
                    <w:r>
                      <w:rPr>
                        <w:rFonts w:hint="eastAsia"/>
                        <w:sz w:val="16"/>
                        <w:szCs w:val="16"/>
                      </w:rPr>
                      <w:t>-</w:t>
                    </w:r>
                  </w:p>
                </w:tc>
                <w:tc>
                  <w:tcPr>
                    <w:tcW w:w="419" w:type="pct"/>
                    <w:vAlign w:val="center"/>
                  </w:tcPr>
                  <w:p w:rsidR="00A4585B" w:rsidRPr="00AB06DF" w:rsidRDefault="008F04CF" w:rsidP="00B637B2">
                    <w:pPr>
                      <w:jc w:val="right"/>
                      <w:rPr>
                        <w:sz w:val="16"/>
                        <w:szCs w:val="16"/>
                      </w:rPr>
                    </w:pPr>
                    <w:r>
                      <w:rPr>
                        <w:rFonts w:hint="eastAsia"/>
                        <w:sz w:val="16"/>
                        <w:szCs w:val="16"/>
                      </w:rPr>
                      <w:t>-</w:t>
                    </w:r>
                  </w:p>
                </w:tc>
                <w:tc>
                  <w:tcPr>
                    <w:tcW w:w="399" w:type="pct"/>
                    <w:vAlign w:val="center"/>
                  </w:tcPr>
                  <w:p w:rsidR="00A4585B" w:rsidRPr="00AB06DF" w:rsidRDefault="008F04CF" w:rsidP="00B637B2">
                    <w:pPr>
                      <w:jc w:val="right"/>
                      <w:rPr>
                        <w:sz w:val="16"/>
                        <w:szCs w:val="16"/>
                      </w:rPr>
                    </w:pPr>
                    <w:r>
                      <w:rPr>
                        <w:rFonts w:hint="eastAsia"/>
                        <w:sz w:val="16"/>
                        <w:szCs w:val="16"/>
                      </w:rPr>
                      <w:t>-</w:t>
                    </w:r>
                  </w:p>
                </w:tc>
                <w:tc>
                  <w:tcPr>
                    <w:tcW w:w="399" w:type="pct"/>
                    <w:vAlign w:val="center"/>
                  </w:tcPr>
                  <w:p w:rsidR="00A4585B" w:rsidRPr="00AB06DF" w:rsidRDefault="00A4585B" w:rsidP="00B637B2">
                    <w:pPr>
                      <w:jc w:val="right"/>
                      <w:rPr>
                        <w:sz w:val="16"/>
                        <w:szCs w:val="16"/>
                      </w:rPr>
                    </w:pPr>
                    <w:r w:rsidRPr="00AB06DF">
                      <w:rPr>
                        <w:sz w:val="16"/>
                        <w:szCs w:val="16"/>
                      </w:rPr>
                      <w:t>-</w:t>
                    </w:r>
                  </w:p>
                </w:tc>
              </w:tr>
              <w:tr w:rsidR="00B637B2" w:rsidTr="00B637B2">
                <w:sdt>
                  <w:sdtPr>
                    <w:rPr>
                      <w:sz w:val="16"/>
                      <w:szCs w:val="16"/>
                    </w:rPr>
                    <w:tag w:val="_PLD_b945685508384f75ad9507566dd406a5"/>
                    <w:id w:val="1643305209"/>
                    <w:lock w:val="sdtLocked"/>
                  </w:sdtPr>
                  <w:sdtContent>
                    <w:tc>
                      <w:tcPr>
                        <w:tcW w:w="631" w:type="pct"/>
                      </w:tcPr>
                      <w:p w:rsidR="00A4585B" w:rsidRPr="00AB06DF" w:rsidRDefault="00A4585B" w:rsidP="00A4585B">
                        <w:pPr>
                          <w:rPr>
                            <w:sz w:val="16"/>
                            <w:szCs w:val="16"/>
                          </w:rPr>
                        </w:pPr>
                        <w:r w:rsidRPr="00AB06DF">
                          <w:rPr>
                            <w:rFonts w:hint="eastAsia"/>
                            <w:sz w:val="16"/>
                            <w:szCs w:val="16"/>
                          </w:rPr>
                          <w:t>3</w:t>
                        </w:r>
                        <w:r w:rsidRPr="00AB06DF">
                          <w:rPr>
                            <w:sz w:val="16"/>
                            <w:szCs w:val="16"/>
                          </w:rPr>
                          <w:t>．股份支付计入所有者权益的金额</w:t>
                        </w:r>
                      </w:p>
                    </w:tc>
                  </w:sdtContent>
                </w:sdt>
                <w:tc>
                  <w:tcPr>
                    <w:tcW w:w="422" w:type="pct"/>
                    <w:vAlign w:val="center"/>
                  </w:tcPr>
                  <w:p w:rsidR="00A4585B" w:rsidRPr="00AB06DF" w:rsidRDefault="008F04CF" w:rsidP="00B637B2">
                    <w:pPr>
                      <w:jc w:val="right"/>
                      <w:rPr>
                        <w:sz w:val="16"/>
                        <w:szCs w:val="16"/>
                      </w:rPr>
                    </w:pPr>
                    <w:r>
                      <w:rPr>
                        <w:rFonts w:hint="eastAsia"/>
                        <w:sz w:val="16"/>
                        <w:szCs w:val="16"/>
                      </w:rPr>
                      <w:t>-</w:t>
                    </w:r>
                  </w:p>
                </w:tc>
                <w:tc>
                  <w:tcPr>
                    <w:tcW w:w="119" w:type="pct"/>
                    <w:vAlign w:val="center"/>
                  </w:tcPr>
                  <w:p w:rsidR="00A4585B" w:rsidRPr="00AB06DF" w:rsidRDefault="008F04CF" w:rsidP="00B637B2">
                    <w:pPr>
                      <w:jc w:val="right"/>
                      <w:rPr>
                        <w:sz w:val="16"/>
                        <w:szCs w:val="16"/>
                      </w:rPr>
                    </w:pPr>
                    <w:r>
                      <w:rPr>
                        <w:rFonts w:hint="eastAsia"/>
                        <w:sz w:val="16"/>
                        <w:szCs w:val="16"/>
                      </w:rPr>
                      <w:t>-</w:t>
                    </w:r>
                  </w:p>
                </w:tc>
                <w:tc>
                  <w:tcPr>
                    <w:tcW w:w="127" w:type="pct"/>
                    <w:vAlign w:val="center"/>
                  </w:tcPr>
                  <w:p w:rsidR="00A4585B" w:rsidRPr="00AB06DF" w:rsidRDefault="008F04CF" w:rsidP="00B637B2">
                    <w:pPr>
                      <w:jc w:val="right"/>
                      <w:rPr>
                        <w:sz w:val="16"/>
                        <w:szCs w:val="16"/>
                      </w:rPr>
                    </w:pPr>
                    <w:r>
                      <w:rPr>
                        <w:rFonts w:hint="eastAsia"/>
                        <w:sz w:val="16"/>
                        <w:szCs w:val="16"/>
                      </w:rPr>
                      <w:t>-</w:t>
                    </w:r>
                  </w:p>
                </w:tc>
                <w:tc>
                  <w:tcPr>
                    <w:tcW w:w="133" w:type="pct"/>
                    <w:vAlign w:val="center"/>
                  </w:tcPr>
                  <w:p w:rsidR="00A4585B" w:rsidRPr="00AB06DF" w:rsidRDefault="008F04CF" w:rsidP="00B637B2">
                    <w:pPr>
                      <w:jc w:val="right"/>
                      <w:rPr>
                        <w:sz w:val="16"/>
                        <w:szCs w:val="16"/>
                      </w:rPr>
                    </w:pPr>
                    <w:r>
                      <w:rPr>
                        <w:rFonts w:hint="eastAsia"/>
                        <w:sz w:val="16"/>
                        <w:szCs w:val="16"/>
                      </w:rPr>
                      <w:t>-</w:t>
                    </w:r>
                  </w:p>
                </w:tc>
                <w:tc>
                  <w:tcPr>
                    <w:tcW w:w="402" w:type="pct"/>
                    <w:vAlign w:val="center"/>
                  </w:tcPr>
                  <w:p w:rsidR="00A4585B" w:rsidRPr="00AB06DF" w:rsidRDefault="00A4585B" w:rsidP="00B637B2">
                    <w:pPr>
                      <w:jc w:val="right"/>
                      <w:rPr>
                        <w:sz w:val="16"/>
                        <w:szCs w:val="16"/>
                      </w:rPr>
                    </w:pPr>
                    <w:r w:rsidRPr="00AB06DF">
                      <w:rPr>
                        <w:sz w:val="16"/>
                        <w:szCs w:val="16"/>
                      </w:rPr>
                      <w:t>56,277,999</w:t>
                    </w:r>
                  </w:p>
                </w:tc>
                <w:tc>
                  <w:tcPr>
                    <w:tcW w:w="357" w:type="pct"/>
                    <w:vAlign w:val="center"/>
                  </w:tcPr>
                  <w:p w:rsidR="00A4585B" w:rsidRPr="00AB06DF" w:rsidRDefault="00A4585B" w:rsidP="00B637B2">
                    <w:pPr>
                      <w:jc w:val="right"/>
                      <w:rPr>
                        <w:sz w:val="16"/>
                        <w:szCs w:val="16"/>
                      </w:rPr>
                    </w:pPr>
                    <w:r w:rsidRPr="00AB06DF">
                      <w:rPr>
                        <w:sz w:val="16"/>
                        <w:szCs w:val="16"/>
                      </w:rPr>
                      <w:t>-</w:t>
                    </w:r>
                  </w:p>
                </w:tc>
                <w:tc>
                  <w:tcPr>
                    <w:tcW w:w="357" w:type="pct"/>
                    <w:vAlign w:val="center"/>
                  </w:tcPr>
                  <w:p w:rsidR="00A4585B" w:rsidRPr="00AB06DF" w:rsidRDefault="008F04CF" w:rsidP="00B637B2">
                    <w:pPr>
                      <w:jc w:val="right"/>
                      <w:rPr>
                        <w:sz w:val="16"/>
                        <w:szCs w:val="16"/>
                      </w:rPr>
                    </w:pPr>
                    <w:r>
                      <w:rPr>
                        <w:rFonts w:hint="eastAsia"/>
                        <w:sz w:val="16"/>
                        <w:szCs w:val="16"/>
                      </w:rPr>
                      <w:t>-</w:t>
                    </w:r>
                  </w:p>
                </w:tc>
                <w:tc>
                  <w:tcPr>
                    <w:tcW w:w="140" w:type="pct"/>
                    <w:vAlign w:val="center"/>
                  </w:tcPr>
                  <w:p w:rsidR="00A4585B" w:rsidRPr="00AB06DF" w:rsidRDefault="008F04CF" w:rsidP="00B637B2">
                    <w:pPr>
                      <w:jc w:val="right"/>
                      <w:rPr>
                        <w:sz w:val="16"/>
                        <w:szCs w:val="16"/>
                      </w:rPr>
                    </w:pPr>
                    <w:r>
                      <w:rPr>
                        <w:rFonts w:hint="eastAsia"/>
                        <w:sz w:val="16"/>
                        <w:szCs w:val="16"/>
                      </w:rPr>
                      <w:t>-</w:t>
                    </w:r>
                  </w:p>
                </w:tc>
                <w:tc>
                  <w:tcPr>
                    <w:tcW w:w="353" w:type="pct"/>
                    <w:vAlign w:val="center"/>
                  </w:tcPr>
                  <w:p w:rsidR="00A4585B" w:rsidRPr="00AB06DF" w:rsidRDefault="008F04CF" w:rsidP="00B637B2">
                    <w:pPr>
                      <w:jc w:val="right"/>
                      <w:rPr>
                        <w:sz w:val="16"/>
                        <w:szCs w:val="16"/>
                      </w:rPr>
                    </w:pPr>
                    <w:r>
                      <w:rPr>
                        <w:rFonts w:hint="eastAsia"/>
                        <w:sz w:val="16"/>
                        <w:szCs w:val="16"/>
                      </w:rPr>
                      <w:t>-</w:t>
                    </w:r>
                  </w:p>
                </w:tc>
                <w:tc>
                  <w:tcPr>
                    <w:tcW w:w="186" w:type="pct"/>
                    <w:vAlign w:val="center"/>
                  </w:tcPr>
                  <w:p w:rsidR="00A4585B" w:rsidRPr="00AB06DF" w:rsidRDefault="008F04CF" w:rsidP="00B637B2">
                    <w:pPr>
                      <w:jc w:val="right"/>
                      <w:rPr>
                        <w:sz w:val="16"/>
                        <w:szCs w:val="16"/>
                      </w:rPr>
                    </w:pPr>
                    <w:r>
                      <w:rPr>
                        <w:rFonts w:hint="eastAsia"/>
                        <w:sz w:val="16"/>
                        <w:szCs w:val="16"/>
                      </w:rPr>
                      <w:t>-</w:t>
                    </w:r>
                  </w:p>
                </w:tc>
                <w:tc>
                  <w:tcPr>
                    <w:tcW w:w="399" w:type="pct"/>
                    <w:vAlign w:val="center"/>
                  </w:tcPr>
                  <w:p w:rsidR="00A4585B" w:rsidRPr="00AB06DF" w:rsidRDefault="008F04CF" w:rsidP="00B637B2">
                    <w:pPr>
                      <w:jc w:val="right"/>
                      <w:rPr>
                        <w:sz w:val="16"/>
                        <w:szCs w:val="16"/>
                      </w:rPr>
                    </w:pPr>
                    <w:r>
                      <w:rPr>
                        <w:rFonts w:hint="eastAsia"/>
                        <w:sz w:val="16"/>
                        <w:szCs w:val="16"/>
                      </w:rPr>
                      <w:t>-</w:t>
                    </w:r>
                  </w:p>
                </w:tc>
                <w:tc>
                  <w:tcPr>
                    <w:tcW w:w="157" w:type="pct"/>
                    <w:vAlign w:val="center"/>
                  </w:tcPr>
                  <w:p w:rsidR="00A4585B" w:rsidRPr="00AB06DF" w:rsidRDefault="008F04CF" w:rsidP="00B637B2">
                    <w:pPr>
                      <w:jc w:val="right"/>
                      <w:rPr>
                        <w:sz w:val="16"/>
                        <w:szCs w:val="16"/>
                      </w:rPr>
                    </w:pPr>
                    <w:r>
                      <w:rPr>
                        <w:rFonts w:hint="eastAsia"/>
                        <w:sz w:val="16"/>
                        <w:szCs w:val="16"/>
                      </w:rPr>
                      <w:t>-</w:t>
                    </w:r>
                  </w:p>
                </w:tc>
                <w:tc>
                  <w:tcPr>
                    <w:tcW w:w="419" w:type="pct"/>
                    <w:vAlign w:val="center"/>
                  </w:tcPr>
                  <w:p w:rsidR="00A4585B" w:rsidRPr="00AB06DF" w:rsidRDefault="008F04CF" w:rsidP="00B637B2">
                    <w:pPr>
                      <w:jc w:val="right"/>
                      <w:rPr>
                        <w:sz w:val="16"/>
                        <w:szCs w:val="16"/>
                      </w:rPr>
                    </w:pPr>
                    <w:r w:rsidRPr="002E0307">
                      <w:rPr>
                        <w:sz w:val="16"/>
                        <w:szCs w:val="16"/>
                      </w:rPr>
                      <w:t>56,277,999</w:t>
                    </w:r>
                  </w:p>
                </w:tc>
                <w:tc>
                  <w:tcPr>
                    <w:tcW w:w="399" w:type="pct"/>
                    <w:vAlign w:val="center"/>
                  </w:tcPr>
                  <w:p w:rsidR="00A4585B" w:rsidRPr="00AB06DF" w:rsidRDefault="00A4585B" w:rsidP="00B637B2">
                    <w:pPr>
                      <w:jc w:val="right"/>
                      <w:rPr>
                        <w:sz w:val="16"/>
                        <w:szCs w:val="16"/>
                      </w:rPr>
                    </w:pPr>
                    <w:r w:rsidRPr="00AB06DF">
                      <w:rPr>
                        <w:sz w:val="16"/>
                        <w:szCs w:val="16"/>
                      </w:rPr>
                      <w:t>1,069,045</w:t>
                    </w:r>
                  </w:p>
                </w:tc>
                <w:tc>
                  <w:tcPr>
                    <w:tcW w:w="399" w:type="pct"/>
                    <w:vAlign w:val="center"/>
                  </w:tcPr>
                  <w:p w:rsidR="00A4585B" w:rsidRPr="00AB06DF" w:rsidRDefault="00A4585B" w:rsidP="00B637B2">
                    <w:pPr>
                      <w:jc w:val="right"/>
                      <w:rPr>
                        <w:sz w:val="16"/>
                        <w:szCs w:val="16"/>
                      </w:rPr>
                    </w:pPr>
                    <w:r w:rsidRPr="00AB06DF">
                      <w:rPr>
                        <w:sz w:val="16"/>
                        <w:szCs w:val="16"/>
                      </w:rPr>
                      <w:t>57,347,044</w:t>
                    </w:r>
                  </w:p>
                </w:tc>
              </w:tr>
              <w:tr w:rsidR="00B637B2" w:rsidTr="00B637B2">
                <w:sdt>
                  <w:sdtPr>
                    <w:rPr>
                      <w:sz w:val="16"/>
                      <w:szCs w:val="16"/>
                    </w:rPr>
                    <w:tag w:val="_PLD_86538f5d06744ca9be65b0b439b17643"/>
                    <w:id w:val="821003668"/>
                    <w:lock w:val="sdtLocked"/>
                  </w:sdtPr>
                  <w:sdtContent>
                    <w:tc>
                      <w:tcPr>
                        <w:tcW w:w="631" w:type="pct"/>
                      </w:tcPr>
                      <w:p w:rsidR="00A4585B" w:rsidRPr="00AB06DF" w:rsidRDefault="00A4585B" w:rsidP="00A4585B">
                        <w:pPr>
                          <w:rPr>
                            <w:sz w:val="16"/>
                            <w:szCs w:val="16"/>
                          </w:rPr>
                        </w:pPr>
                        <w:r w:rsidRPr="00AB06DF">
                          <w:rPr>
                            <w:rFonts w:hint="eastAsia"/>
                            <w:sz w:val="16"/>
                            <w:szCs w:val="16"/>
                          </w:rPr>
                          <w:t>4</w:t>
                        </w:r>
                        <w:r w:rsidRPr="00AB06DF">
                          <w:rPr>
                            <w:sz w:val="16"/>
                            <w:szCs w:val="16"/>
                          </w:rPr>
                          <w:t>．其他</w:t>
                        </w:r>
                      </w:p>
                    </w:tc>
                  </w:sdtContent>
                </w:sdt>
                <w:tc>
                  <w:tcPr>
                    <w:tcW w:w="422" w:type="pct"/>
                    <w:vAlign w:val="center"/>
                  </w:tcPr>
                  <w:p w:rsidR="00A4585B" w:rsidRPr="00AB06DF" w:rsidRDefault="00A4585B" w:rsidP="00B637B2">
                    <w:pPr>
                      <w:jc w:val="right"/>
                      <w:rPr>
                        <w:sz w:val="16"/>
                        <w:szCs w:val="16"/>
                      </w:rPr>
                    </w:pPr>
                    <w:r w:rsidRPr="00AB06DF">
                      <w:rPr>
                        <w:sz w:val="16"/>
                        <w:szCs w:val="16"/>
                      </w:rPr>
                      <w:t>-993,859</w:t>
                    </w:r>
                  </w:p>
                </w:tc>
                <w:tc>
                  <w:tcPr>
                    <w:tcW w:w="119" w:type="pct"/>
                    <w:vAlign w:val="center"/>
                  </w:tcPr>
                  <w:p w:rsidR="00A4585B" w:rsidRPr="00AB06DF" w:rsidRDefault="008F04CF" w:rsidP="00B637B2">
                    <w:pPr>
                      <w:jc w:val="right"/>
                      <w:rPr>
                        <w:sz w:val="16"/>
                        <w:szCs w:val="16"/>
                      </w:rPr>
                    </w:pPr>
                    <w:r>
                      <w:rPr>
                        <w:rFonts w:hint="eastAsia"/>
                        <w:sz w:val="16"/>
                        <w:szCs w:val="16"/>
                      </w:rPr>
                      <w:t>-</w:t>
                    </w:r>
                  </w:p>
                </w:tc>
                <w:tc>
                  <w:tcPr>
                    <w:tcW w:w="127" w:type="pct"/>
                    <w:vAlign w:val="center"/>
                  </w:tcPr>
                  <w:p w:rsidR="00A4585B" w:rsidRPr="00AB06DF" w:rsidRDefault="008F04CF" w:rsidP="00B637B2">
                    <w:pPr>
                      <w:jc w:val="right"/>
                      <w:rPr>
                        <w:sz w:val="16"/>
                        <w:szCs w:val="16"/>
                      </w:rPr>
                    </w:pPr>
                    <w:r>
                      <w:rPr>
                        <w:rFonts w:hint="eastAsia"/>
                        <w:sz w:val="16"/>
                        <w:szCs w:val="16"/>
                      </w:rPr>
                      <w:t>-</w:t>
                    </w:r>
                  </w:p>
                </w:tc>
                <w:tc>
                  <w:tcPr>
                    <w:tcW w:w="133" w:type="pct"/>
                    <w:vAlign w:val="center"/>
                  </w:tcPr>
                  <w:p w:rsidR="00A4585B" w:rsidRPr="00AB06DF" w:rsidRDefault="008F04CF" w:rsidP="00B637B2">
                    <w:pPr>
                      <w:jc w:val="right"/>
                      <w:rPr>
                        <w:sz w:val="16"/>
                        <w:szCs w:val="16"/>
                      </w:rPr>
                    </w:pPr>
                    <w:r>
                      <w:rPr>
                        <w:rFonts w:hint="eastAsia"/>
                        <w:sz w:val="16"/>
                        <w:szCs w:val="16"/>
                      </w:rPr>
                      <w:t>-</w:t>
                    </w:r>
                  </w:p>
                </w:tc>
                <w:tc>
                  <w:tcPr>
                    <w:tcW w:w="402" w:type="pct"/>
                    <w:vAlign w:val="center"/>
                  </w:tcPr>
                  <w:p w:rsidR="00A4585B" w:rsidRPr="00AB06DF" w:rsidRDefault="00A4585B" w:rsidP="00B637B2">
                    <w:pPr>
                      <w:jc w:val="right"/>
                      <w:rPr>
                        <w:sz w:val="16"/>
                        <w:szCs w:val="16"/>
                      </w:rPr>
                    </w:pPr>
                    <w:r w:rsidRPr="00AB06DF">
                      <w:rPr>
                        <w:sz w:val="16"/>
                        <w:szCs w:val="16"/>
                      </w:rPr>
                      <w:t>-10,448,009</w:t>
                    </w:r>
                  </w:p>
                </w:tc>
                <w:tc>
                  <w:tcPr>
                    <w:tcW w:w="357" w:type="pct"/>
                    <w:vAlign w:val="center"/>
                  </w:tcPr>
                  <w:p w:rsidR="00A4585B" w:rsidRPr="00AB06DF" w:rsidRDefault="00A4585B" w:rsidP="00B637B2">
                    <w:pPr>
                      <w:jc w:val="right"/>
                      <w:rPr>
                        <w:sz w:val="16"/>
                        <w:szCs w:val="16"/>
                      </w:rPr>
                    </w:pPr>
                    <w:r w:rsidRPr="00AB06DF">
                      <w:rPr>
                        <w:sz w:val="16"/>
                        <w:szCs w:val="16"/>
                      </w:rPr>
                      <w:t>458,416,969</w:t>
                    </w:r>
                  </w:p>
                </w:tc>
                <w:tc>
                  <w:tcPr>
                    <w:tcW w:w="357" w:type="pct"/>
                    <w:vAlign w:val="center"/>
                  </w:tcPr>
                  <w:p w:rsidR="00A4585B" w:rsidRPr="00AB06DF" w:rsidRDefault="008F04CF" w:rsidP="00B637B2">
                    <w:pPr>
                      <w:jc w:val="right"/>
                      <w:rPr>
                        <w:sz w:val="16"/>
                        <w:szCs w:val="16"/>
                      </w:rPr>
                    </w:pPr>
                    <w:r>
                      <w:rPr>
                        <w:rFonts w:hint="eastAsia"/>
                        <w:sz w:val="16"/>
                        <w:szCs w:val="16"/>
                      </w:rPr>
                      <w:t>-</w:t>
                    </w:r>
                  </w:p>
                </w:tc>
                <w:tc>
                  <w:tcPr>
                    <w:tcW w:w="140" w:type="pct"/>
                    <w:vAlign w:val="center"/>
                  </w:tcPr>
                  <w:p w:rsidR="00A4585B" w:rsidRPr="00AB06DF" w:rsidRDefault="008F04CF" w:rsidP="00B637B2">
                    <w:pPr>
                      <w:jc w:val="right"/>
                      <w:rPr>
                        <w:sz w:val="16"/>
                        <w:szCs w:val="16"/>
                      </w:rPr>
                    </w:pPr>
                    <w:r>
                      <w:rPr>
                        <w:rFonts w:hint="eastAsia"/>
                        <w:sz w:val="16"/>
                        <w:szCs w:val="16"/>
                      </w:rPr>
                      <w:t>-</w:t>
                    </w:r>
                  </w:p>
                </w:tc>
                <w:tc>
                  <w:tcPr>
                    <w:tcW w:w="353" w:type="pct"/>
                    <w:vAlign w:val="center"/>
                  </w:tcPr>
                  <w:p w:rsidR="00A4585B" w:rsidRPr="00AB06DF" w:rsidRDefault="008F04CF" w:rsidP="00B637B2">
                    <w:pPr>
                      <w:jc w:val="right"/>
                      <w:rPr>
                        <w:sz w:val="16"/>
                        <w:szCs w:val="16"/>
                      </w:rPr>
                    </w:pPr>
                    <w:r>
                      <w:rPr>
                        <w:rFonts w:hint="eastAsia"/>
                        <w:sz w:val="16"/>
                        <w:szCs w:val="16"/>
                      </w:rPr>
                      <w:t>-</w:t>
                    </w:r>
                  </w:p>
                </w:tc>
                <w:tc>
                  <w:tcPr>
                    <w:tcW w:w="186" w:type="pct"/>
                    <w:vAlign w:val="center"/>
                  </w:tcPr>
                  <w:p w:rsidR="00A4585B" w:rsidRPr="00AB06DF" w:rsidRDefault="008F04CF" w:rsidP="00B637B2">
                    <w:pPr>
                      <w:jc w:val="right"/>
                      <w:rPr>
                        <w:sz w:val="16"/>
                        <w:szCs w:val="16"/>
                      </w:rPr>
                    </w:pPr>
                    <w:r>
                      <w:rPr>
                        <w:rFonts w:hint="eastAsia"/>
                        <w:sz w:val="16"/>
                        <w:szCs w:val="16"/>
                      </w:rPr>
                      <w:t>-</w:t>
                    </w:r>
                  </w:p>
                </w:tc>
                <w:tc>
                  <w:tcPr>
                    <w:tcW w:w="399" w:type="pct"/>
                    <w:vAlign w:val="center"/>
                  </w:tcPr>
                  <w:p w:rsidR="00A4585B" w:rsidRPr="00AB06DF" w:rsidRDefault="008F04CF" w:rsidP="00B637B2">
                    <w:pPr>
                      <w:jc w:val="right"/>
                      <w:rPr>
                        <w:sz w:val="16"/>
                        <w:szCs w:val="16"/>
                      </w:rPr>
                    </w:pPr>
                    <w:r>
                      <w:rPr>
                        <w:rFonts w:hint="eastAsia"/>
                        <w:sz w:val="16"/>
                        <w:szCs w:val="16"/>
                      </w:rPr>
                      <w:t>-</w:t>
                    </w:r>
                  </w:p>
                </w:tc>
                <w:tc>
                  <w:tcPr>
                    <w:tcW w:w="157" w:type="pct"/>
                    <w:vAlign w:val="center"/>
                  </w:tcPr>
                  <w:p w:rsidR="00A4585B" w:rsidRPr="00AB06DF" w:rsidRDefault="008F04CF" w:rsidP="00B637B2">
                    <w:pPr>
                      <w:jc w:val="right"/>
                      <w:rPr>
                        <w:sz w:val="16"/>
                        <w:szCs w:val="16"/>
                      </w:rPr>
                    </w:pPr>
                    <w:r>
                      <w:rPr>
                        <w:rFonts w:hint="eastAsia"/>
                        <w:sz w:val="16"/>
                        <w:szCs w:val="16"/>
                      </w:rPr>
                      <w:t>-</w:t>
                    </w:r>
                  </w:p>
                </w:tc>
                <w:tc>
                  <w:tcPr>
                    <w:tcW w:w="419" w:type="pct"/>
                    <w:vAlign w:val="center"/>
                  </w:tcPr>
                  <w:p w:rsidR="00A4585B" w:rsidRPr="00AB06DF" w:rsidRDefault="008F04CF" w:rsidP="00B637B2">
                    <w:pPr>
                      <w:jc w:val="right"/>
                      <w:rPr>
                        <w:sz w:val="16"/>
                        <w:szCs w:val="16"/>
                      </w:rPr>
                    </w:pPr>
                    <w:r w:rsidRPr="002E0307">
                      <w:rPr>
                        <w:sz w:val="16"/>
                        <w:szCs w:val="16"/>
                      </w:rPr>
                      <w:t>-469,858,837</w:t>
                    </w:r>
                  </w:p>
                </w:tc>
                <w:tc>
                  <w:tcPr>
                    <w:tcW w:w="399" w:type="pct"/>
                    <w:vAlign w:val="center"/>
                  </w:tcPr>
                  <w:p w:rsidR="00A4585B" w:rsidRPr="00AB06DF" w:rsidRDefault="00A4585B" w:rsidP="00B637B2">
                    <w:pPr>
                      <w:jc w:val="right"/>
                      <w:rPr>
                        <w:sz w:val="16"/>
                        <w:szCs w:val="16"/>
                      </w:rPr>
                    </w:pPr>
                    <w:r w:rsidRPr="00AB06DF">
                      <w:rPr>
                        <w:sz w:val="16"/>
                        <w:szCs w:val="16"/>
                      </w:rPr>
                      <w:t>11,</w:t>
                    </w:r>
                    <w:r w:rsidR="00122393" w:rsidRPr="00AB06DF">
                      <w:rPr>
                        <w:sz w:val="16"/>
                        <w:szCs w:val="16"/>
                      </w:rPr>
                      <w:t>683,279</w:t>
                    </w:r>
                  </w:p>
                </w:tc>
                <w:tc>
                  <w:tcPr>
                    <w:tcW w:w="399" w:type="pct"/>
                    <w:vAlign w:val="center"/>
                  </w:tcPr>
                  <w:p w:rsidR="00A4585B" w:rsidRPr="00AB06DF" w:rsidRDefault="00A4585B" w:rsidP="00B637B2">
                    <w:pPr>
                      <w:jc w:val="right"/>
                      <w:rPr>
                        <w:sz w:val="16"/>
                        <w:szCs w:val="16"/>
                      </w:rPr>
                    </w:pPr>
                    <w:r w:rsidRPr="00AB06DF">
                      <w:rPr>
                        <w:sz w:val="16"/>
                        <w:szCs w:val="16"/>
                      </w:rPr>
                      <w:t>-458,</w:t>
                    </w:r>
                    <w:r w:rsidR="00122393" w:rsidRPr="00AB06DF">
                      <w:rPr>
                        <w:sz w:val="16"/>
                        <w:szCs w:val="16"/>
                      </w:rPr>
                      <w:t>175,558</w:t>
                    </w:r>
                  </w:p>
                </w:tc>
              </w:tr>
              <w:tr w:rsidR="00B637B2" w:rsidTr="00B637B2">
                <w:sdt>
                  <w:sdtPr>
                    <w:rPr>
                      <w:sz w:val="16"/>
                      <w:szCs w:val="16"/>
                    </w:rPr>
                    <w:tag w:val="_PLD_8fb1d678e8ca4e3ba31e34bed05e6c58"/>
                    <w:id w:val="-693685197"/>
                    <w:lock w:val="sdtLocked"/>
                  </w:sdtPr>
                  <w:sdtContent>
                    <w:tc>
                      <w:tcPr>
                        <w:tcW w:w="631" w:type="pct"/>
                      </w:tcPr>
                      <w:p w:rsidR="00A4585B" w:rsidRPr="00AB06DF" w:rsidRDefault="00A4585B" w:rsidP="00A4585B">
                        <w:pPr>
                          <w:rPr>
                            <w:sz w:val="16"/>
                            <w:szCs w:val="16"/>
                          </w:rPr>
                        </w:pPr>
                        <w:r w:rsidRPr="00AB06DF">
                          <w:rPr>
                            <w:sz w:val="16"/>
                            <w:szCs w:val="16"/>
                          </w:rPr>
                          <w:t>（</w:t>
                        </w:r>
                        <w:r w:rsidRPr="00AB06DF">
                          <w:rPr>
                            <w:rFonts w:hint="eastAsia"/>
                            <w:sz w:val="16"/>
                            <w:szCs w:val="16"/>
                          </w:rPr>
                          <w:t>三</w:t>
                        </w:r>
                        <w:r w:rsidRPr="00AB06DF">
                          <w:rPr>
                            <w:sz w:val="16"/>
                            <w:szCs w:val="16"/>
                          </w:rPr>
                          <w:t>）利润分配</w:t>
                        </w:r>
                      </w:p>
                    </w:tc>
                  </w:sdtContent>
                </w:sdt>
                <w:tc>
                  <w:tcPr>
                    <w:tcW w:w="422" w:type="pct"/>
                    <w:vAlign w:val="center"/>
                  </w:tcPr>
                  <w:p w:rsidR="00A4585B" w:rsidRPr="00AB06DF" w:rsidRDefault="00A4585B" w:rsidP="00B637B2">
                    <w:pPr>
                      <w:jc w:val="right"/>
                      <w:rPr>
                        <w:sz w:val="16"/>
                        <w:szCs w:val="16"/>
                      </w:rPr>
                    </w:pPr>
                    <w:r w:rsidRPr="00AB06DF">
                      <w:rPr>
                        <w:sz w:val="16"/>
                        <w:szCs w:val="16"/>
                      </w:rPr>
                      <w:t>-</w:t>
                    </w:r>
                  </w:p>
                </w:tc>
                <w:tc>
                  <w:tcPr>
                    <w:tcW w:w="119" w:type="pct"/>
                    <w:vAlign w:val="center"/>
                  </w:tcPr>
                  <w:p w:rsidR="00A4585B" w:rsidRPr="00AB06DF" w:rsidRDefault="00A4585B" w:rsidP="00B637B2">
                    <w:pPr>
                      <w:jc w:val="right"/>
                      <w:rPr>
                        <w:sz w:val="16"/>
                        <w:szCs w:val="16"/>
                      </w:rPr>
                    </w:pPr>
                    <w:r w:rsidRPr="00AB06DF">
                      <w:rPr>
                        <w:sz w:val="16"/>
                        <w:szCs w:val="16"/>
                      </w:rPr>
                      <w:t>-</w:t>
                    </w:r>
                  </w:p>
                </w:tc>
                <w:tc>
                  <w:tcPr>
                    <w:tcW w:w="127" w:type="pct"/>
                    <w:vAlign w:val="center"/>
                  </w:tcPr>
                  <w:p w:rsidR="00A4585B" w:rsidRPr="00AB06DF" w:rsidRDefault="00A4585B" w:rsidP="00B637B2">
                    <w:pPr>
                      <w:jc w:val="right"/>
                      <w:rPr>
                        <w:sz w:val="16"/>
                        <w:szCs w:val="16"/>
                      </w:rPr>
                    </w:pPr>
                    <w:r w:rsidRPr="00AB06DF">
                      <w:rPr>
                        <w:sz w:val="16"/>
                        <w:szCs w:val="16"/>
                      </w:rPr>
                      <w:t>-</w:t>
                    </w:r>
                  </w:p>
                </w:tc>
                <w:tc>
                  <w:tcPr>
                    <w:tcW w:w="133" w:type="pct"/>
                    <w:vAlign w:val="center"/>
                  </w:tcPr>
                  <w:p w:rsidR="00A4585B" w:rsidRPr="00AB06DF" w:rsidRDefault="00A4585B" w:rsidP="00B637B2">
                    <w:pPr>
                      <w:jc w:val="right"/>
                      <w:rPr>
                        <w:sz w:val="16"/>
                        <w:szCs w:val="16"/>
                      </w:rPr>
                    </w:pPr>
                    <w:r w:rsidRPr="00AB06DF">
                      <w:rPr>
                        <w:sz w:val="16"/>
                        <w:szCs w:val="16"/>
                      </w:rPr>
                      <w:t>-</w:t>
                    </w:r>
                  </w:p>
                </w:tc>
                <w:tc>
                  <w:tcPr>
                    <w:tcW w:w="402" w:type="pct"/>
                    <w:vAlign w:val="center"/>
                  </w:tcPr>
                  <w:p w:rsidR="00A4585B" w:rsidRPr="00AB06DF" w:rsidRDefault="00A4585B" w:rsidP="00B637B2">
                    <w:pPr>
                      <w:jc w:val="right"/>
                      <w:rPr>
                        <w:sz w:val="16"/>
                        <w:szCs w:val="16"/>
                      </w:rPr>
                    </w:pPr>
                    <w:r w:rsidRPr="00AB06DF">
                      <w:rPr>
                        <w:sz w:val="16"/>
                        <w:szCs w:val="16"/>
                      </w:rPr>
                      <w:t>-</w:t>
                    </w:r>
                  </w:p>
                </w:tc>
                <w:tc>
                  <w:tcPr>
                    <w:tcW w:w="357" w:type="pct"/>
                    <w:vAlign w:val="center"/>
                  </w:tcPr>
                  <w:p w:rsidR="00A4585B" w:rsidRPr="00AB06DF" w:rsidRDefault="00A4585B" w:rsidP="00B637B2">
                    <w:pPr>
                      <w:jc w:val="right"/>
                      <w:rPr>
                        <w:sz w:val="16"/>
                        <w:szCs w:val="16"/>
                      </w:rPr>
                    </w:pPr>
                    <w:r w:rsidRPr="00AB06DF">
                      <w:rPr>
                        <w:sz w:val="16"/>
                        <w:szCs w:val="16"/>
                      </w:rPr>
                      <w:t>-</w:t>
                    </w:r>
                  </w:p>
                </w:tc>
                <w:tc>
                  <w:tcPr>
                    <w:tcW w:w="357" w:type="pct"/>
                    <w:vAlign w:val="center"/>
                  </w:tcPr>
                  <w:p w:rsidR="00A4585B" w:rsidRPr="00AB06DF" w:rsidRDefault="00A4585B" w:rsidP="00B637B2">
                    <w:pPr>
                      <w:jc w:val="right"/>
                      <w:rPr>
                        <w:sz w:val="16"/>
                        <w:szCs w:val="16"/>
                      </w:rPr>
                    </w:pPr>
                    <w:r w:rsidRPr="00AB06DF">
                      <w:rPr>
                        <w:sz w:val="16"/>
                        <w:szCs w:val="16"/>
                      </w:rPr>
                      <w:t>-</w:t>
                    </w:r>
                  </w:p>
                </w:tc>
                <w:tc>
                  <w:tcPr>
                    <w:tcW w:w="140" w:type="pct"/>
                    <w:vAlign w:val="center"/>
                  </w:tcPr>
                  <w:p w:rsidR="00A4585B" w:rsidRPr="00AB06DF" w:rsidRDefault="00A4585B" w:rsidP="00B637B2">
                    <w:pPr>
                      <w:jc w:val="right"/>
                      <w:rPr>
                        <w:sz w:val="16"/>
                        <w:szCs w:val="16"/>
                      </w:rPr>
                    </w:pPr>
                    <w:r w:rsidRPr="00AB06DF">
                      <w:rPr>
                        <w:sz w:val="16"/>
                        <w:szCs w:val="16"/>
                      </w:rPr>
                      <w:t>-</w:t>
                    </w:r>
                  </w:p>
                </w:tc>
                <w:tc>
                  <w:tcPr>
                    <w:tcW w:w="353" w:type="pct"/>
                    <w:vAlign w:val="center"/>
                  </w:tcPr>
                  <w:p w:rsidR="00A4585B" w:rsidRPr="00AB06DF" w:rsidRDefault="00A4585B" w:rsidP="00B637B2">
                    <w:pPr>
                      <w:jc w:val="right"/>
                      <w:rPr>
                        <w:sz w:val="16"/>
                        <w:szCs w:val="16"/>
                      </w:rPr>
                    </w:pPr>
                    <w:r w:rsidRPr="00AB06DF">
                      <w:rPr>
                        <w:sz w:val="16"/>
                        <w:szCs w:val="16"/>
                      </w:rPr>
                      <w:t>-</w:t>
                    </w:r>
                  </w:p>
                </w:tc>
                <w:tc>
                  <w:tcPr>
                    <w:tcW w:w="186" w:type="pct"/>
                    <w:vAlign w:val="center"/>
                  </w:tcPr>
                  <w:p w:rsidR="00A4585B" w:rsidRPr="00AB06DF" w:rsidRDefault="00A4585B" w:rsidP="00B637B2">
                    <w:pPr>
                      <w:jc w:val="right"/>
                      <w:rPr>
                        <w:sz w:val="16"/>
                        <w:szCs w:val="16"/>
                      </w:rPr>
                    </w:pPr>
                    <w:r w:rsidRPr="00AB06DF">
                      <w:rPr>
                        <w:sz w:val="16"/>
                        <w:szCs w:val="16"/>
                      </w:rPr>
                      <w:t>-</w:t>
                    </w:r>
                  </w:p>
                </w:tc>
                <w:tc>
                  <w:tcPr>
                    <w:tcW w:w="399" w:type="pct"/>
                    <w:vAlign w:val="center"/>
                  </w:tcPr>
                  <w:p w:rsidR="00A4585B" w:rsidRPr="00AB06DF" w:rsidRDefault="00A4585B" w:rsidP="00B637B2">
                    <w:pPr>
                      <w:jc w:val="right"/>
                      <w:rPr>
                        <w:sz w:val="16"/>
                        <w:szCs w:val="16"/>
                      </w:rPr>
                    </w:pPr>
                    <w:r w:rsidRPr="00AB06DF">
                      <w:rPr>
                        <w:sz w:val="16"/>
                        <w:szCs w:val="16"/>
                      </w:rPr>
                      <w:t>-474,413,036</w:t>
                    </w:r>
                  </w:p>
                </w:tc>
                <w:tc>
                  <w:tcPr>
                    <w:tcW w:w="157" w:type="pct"/>
                    <w:vAlign w:val="center"/>
                  </w:tcPr>
                  <w:p w:rsidR="00A4585B" w:rsidRPr="00AB06DF" w:rsidRDefault="008F04CF" w:rsidP="00B637B2">
                    <w:pPr>
                      <w:jc w:val="right"/>
                      <w:rPr>
                        <w:sz w:val="16"/>
                        <w:szCs w:val="16"/>
                      </w:rPr>
                    </w:pPr>
                    <w:r>
                      <w:rPr>
                        <w:rFonts w:hint="eastAsia"/>
                        <w:sz w:val="16"/>
                        <w:szCs w:val="16"/>
                      </w:rPr>
                      <w:t>-</w:t>
                    </w:r>
                  </w:p>
                </w:tc>
                <w:tc>
                  <w:tcPr>
                    <w:tcW w:w="419" w:type="pct"/>
                    <w:vAlign w:val="center"/>
                  </w:tcPr>
                  <w:p w:rsidR="00A4585B" w:rsidRPr="00AB06DF" w:rsidRDefault="008F04CF" w:rsidP="00B637B2">
                    <w:pPr>
                      <w:jc w:val="right"/>
                      <w:rPr>
                        <w:sz w:val="16"/>
                        <w:szCs w:val="16"/>
                      </w:rPr>
                    </w:pPr>
                    <w:r w:rsidRPr="002E0307">
                      <w:rPr>
                        <w:sz w:val="16"/>
                        <w:szCs w:val="16"/>
                      </w:rPr>
                      <w:t>-474,413,036</w:t>
                    </w:r>
                  </w:p>
                </w:tc>
                <w:tc>
                  <w:tcPr>
                    <w:tcW w:w="399" w:type="pct"/>
                    <w:vAlign w:val="center"/>
                  </w:tcPr>
                  <w:p w:rsidR="00A4585B" w:rsidRPr="00AB06DF" w:rsidRDefault="00A4585B" w:rsidP="00B637B2">
                    <w:pPr>
                      <w:jc w:val="right"/>
                      <w:rPr>
                        <w:sz w:val="16"/>
                        <w:szCs w:val="16"/>
                      </w:rPr>
                    </w:pPr>
                    <w:r w:rsidRPr="00AB06DF">
                      <w:rPr>
                        <w:sz w:val="16"/>
                        <w:szCs w:val="16"/>
                      </w:rPr>
                      <w:t>-126,409,138</w:t>
                    </w:r>
                  </w:p>
                </w:tc>
                <w:tc>
                  <w:tcPr>
                    <w:tcW w:w="399" w:type="pct"/>
                    <w:vAlign w:val="center"/>
                  </w:tcPr>
                  <w:p w:rsidR="00A4585B" w:rsidRPr="00AB06DF" w:rsidRDefault="00A4585B" w:rsidP="00B637B2">
                    <w:pPr>
                      <w:jc w:val="right"/>
                      <w:rPr>
                        <w:sz w:val="16"/>
                        <w:szCs w:val="16"/>
                      </w:rPr>
                    </w:pPr>
                    <w:r w:rsidRPr="00AB06DF">
                      <w:rPr>
                        <w:sz w:val="16"/>
                        <w:szCs w:val="16"/>
                      </w:rPr>
                      <w:t>-600,822,174</w:t>
                    </w:r>
                  </w:p>
                </w:tc>
              </w:tr>
              <w:tr w:rsidR="00B637B2" w:rsidTr="00B637B2">
                <w:sdt>
                  <w:sdtPr>
                    <w:rPr>
                      <w:sz w:val="16"/>
                      <w:szCs w:val="16"/>
                    </w:rPr>
                    <w:tag w:val="_PLD_5badbc22860d48e29f8d8d9a4a633d8c"/>
                    <w:id w:val="-608733197"/>
                    <w:lock w:val="sdtLocked"/>
                  </w:sdtPr>
                  <w:sdtContent>
                    <w:tc>
                      <w:tcPr>
                        <w:tcW w:w="631" w:type="pct"/>
                      </w:tcPr>
                      <w:p w:rsidR="00A4585B" w:rsidRPr="00AB06DF" w:rsidRDefault="00A4585B" w:rsidP="00A4585B">
                        <w:pPr>
                          <w:rPr>
                            <w:sz w:val="16"/>
                            <w:szCs w:val="16"/>
                          </w:rPr>
                        </w:pPr>
                        <w:r w:rsidRPr="00AB06DF">
                          <w:rPr>
                            <w:sz w:val="16"/>
                            <w:szCs w:val="16"/>
                          </w:rPr>
                          <w:t>1．提取盈余公积</w:t>
                        </w:r>
                      </w:p>
                    </w:tc>
                  </w:sdtContent>
                </w:sdt>
                <w:tc>
                  <w:tcPr>
                    <w:tcW w:w="422" w:type="pct"/>
                    <w:vAlign w:val="center"/>
                  </w:tcPr>
                  <w:p w:rsidR="00A4585B" w:rsidRPr="00AB06DF" w:rsidRDefault="008F04CF" w:rsidP="00B637B2">
                    <w:pPr>
                      <w:jc w:val="right"/>
                      <w:rPr>
                        <w:sz w:val="16"/>
                        <w:szCs w:val="16"/>
                      </w:rPr>
                    </w:pPr>
                    <w:r>
                      <w:rPr>
                        <w:rFonts w:hint="eastAsia"/>
                        <w:sz w:val="16"/>
                        <w:szCs w:val="16"/>
                      </w:rPr>
                      <w:t>-</w:t>
                    </w:r>
                  </w:p>
                </w:tc>
                <w:tc>
                  <w:tcPr>
                    <w:tcW w:w="119" w:type="pct"/>
                    <w:vAlign w:val="center"/>
                  </w:tcPr>
                  <w:p w:rsidR="00A4585B" w:rsidRPr="00AB06DF" w:rsidRDefault="008F04CF" w:rsidP="00B637B2">
                    <w:pPr>
                      <w:jc w:val="right"/>
                      <w:rPr>
                        <w:sz w:val="16"/>
                        <w:szCs w:val="16"/>
                      </w:rPr>
                    </w:pPr>
                    <w:r>
                      <w:rPr>
                        <w:rFonts w:hint="eastAsia"/>
                        <w:sz w:val="16"/>
                        <w:szCs w:val="16"/>
                      </w:rPr>
                      <w:t>-</w:t>
                    </w:r>
                  </w:p>
                </w:tc>
                <w:tc>
                  <w:tcPr>
                    <w:tcW w:w="127" w:type="pct"/>
                    <w:vAlign w:val="center"/>
                  </w:tcPr>
                  <w:p w:rsidR="00A4585B" w:rsidRPr="00AB06DF" w:rsidRDefault="008F04CF" w:rsidP="00B637B2">
                    <w:pPr>
                      <w:jc w:val="right"/>
                      <w:rPr>
                        <w:sz w:val="16"/>
                        <w:szCs w:val="16"/>
                      </w:rPr>
                    </w:pPr>
                    <w:r>
                      <w:rPr>
                        <w:rFonts w:hint="eastAsia"/>
                        <w:sz w:val="16"/>
                        <w:szCs w:val="16"/>
                      </w:rPr>
                      <w:t>-</w:t>
                    </w:r>
                  </w:p>
                </w:tc>
                <w:tc>
                  <w:tcPr>
                    <w:tcW w:w="133" w:type="pct"/>
                    <w:vAlign w:val="center"/>
                  </w:tcPr>
                  <w:p w:rsidR="00A4585B" w:rsidRPr="00AB06DF" w:rsidRDefault="008F04CF" w:rsidP="00B637B2">
                    <w:pPr>
                      <w:jc w:val="right"/>
                      <w:rPr>
                        <w:sz w:val="16"/>
                        <w:szCs w:val="16"/>
                      </w:rPr>
                    </w:pPr>
                    <w:r>
                      <w:rPr>
                        <w:rFonts w:hint="eastAsia"/>
                        <w:sz w:val="16"/>
                        <w:szCs w:val="16"/>
                      </w:rPr>
                      <w:t>-</w:t>
                    </w:r>
                  </w:p>
                </w:tc>
                <w:tc>
                  <w:tcPr>
                    <w:tcW w:w="402" w:type="pct"/>
                    <w:vAlign w:val="center"/>
                  </w:tcPr>
                  <w:p w:rsidR="00A4585B" w:rsidRPr="00AB06DF" w:rsidRDefault="008F04CF" w:rsidP="00B637B2">
                    <w:pPr>
                      <w:jc w:val="right"/>
                      <w:rPr>
                        <w:sz w:val="16"/>
                        <w:szCs w:val="16"/>
                      </w:rPr>
                    </w:pPr>
                    <w:r>
                      <w:rPr>
                        <w:rFonts w:hint="eastAsia"/>
                        <w:sz w:val="16"/>
                        <w:szCs w:val="16"/>
                      </w:rPr>
                      <w:t>-</w:t>
                    </w:r>
                  </w:p>
                </w:tc>
                <w:tc>
                  <w:tcPr>
                    <w:tcW w:w="357" w:type="pct"/>
                    <w:vAlign w:val="center"/>
                  </w:tcPr>
                  <w:p w:rsidR="00A4585B" w:rsidRPr="00AB06DF" w:rsidRDefault="008F04CF" w:rsidP="00B637B2">
                    <w:pPr>
                      <w:jc w:val="right"/>
                      <w:rPr>
                        <w:sz w:val="16"/>
                        <w:szCs w:val="16"/>
                      </w:rPr>
                    </w:pPr>
                    <w:r>
                      <w:rPr>
                        <w:rFonts w:hint="eastAsia"/>
                        <w:sz w:val="16"/>
                        <w:szCs w:val="16"/>
                      </w:rPr>
                      <w:t>-</w:t>
                    </w:r>
                  </w:p>
                </w:tc>
                <w:tc>
                  <w:tcPr>
                    <w:tcW w:w="357" w:type="pct"/>
                    <w:vAlign w:val="center"/>
                  </w:tcPr>
                  <w:p w:rsidR="00A4585B" w:rsidRPr="00AB06DF" w:rsidRDefault="008F04CF" w:rsidP="00B637B2">
                    <w:pPr>
                      <w:jc w:val="right"/>
                      <w:rPr>
                        <w:sz w:val="16"/>
                        <w:szCs w:val="16"/>
                      </w:rPr>
                    </w:pPr>
                    <w:r>
                      <w:rPr>
                        <w:rFonts w:hint="eastAsia"/>
                        <w:sz w:val="16"/>
                        <w:szCs w:val="16"/>
                      </w:rPr>
                      <w:t>-</w:t>
                    </w:r>
                  </w:p>
                </w:tc>
                <w:tc>
                  <w:tcPr>
                    <w:tcW w:w="140" w:type="pct"/>
                    <w:vAlign w:val="center"/>
                  </w:tcPr>
                  <w:p w:rsidR="00A4585B" w:rsidRPr="00AB06DF" w:rsidRDefault="008F04CF" w:rsidP="00B637B2">
                    <w:pPr>
                      <w:jc w:val="right"/>
                      <w:rPr>
                        <w:sz w:val="16"/>
                        <w:szCs w:val="16"/>
                      </w:rPr>
                    </w:pPr>
                    <w:r>
                      <w:rPr>
                        <w:rFonts w:hint="eastAsia"/>
                        <w:sz w:val="16"/>
                        <w:szCs w:val="16"/>
                      </w:rPr>
                      <w:t>-</w:t>
                    </w:r>
                  </w:p>
                </w:tc>
                <w:tc>
                  <w:tcPr>
                    <w:tcW w:w="353" w:type="pct"/>
                    <w:vAlign w:val="center"/>
                  </w:tcPr>
                  <w:p w:rsidR="00A4585B" w:rsidRPr="00AB06DF" w:rsidRDefault="008F04CF" w:rsidP="00B637B2">
                    <w:pPr>
                      <w:jc w:val="right"/>
                      <w:rPr>
                        <w:sz w:val="16"/>
                        <w:szCs w:val="16"/>
                      </w:rPr>
                    </w:pPr>
                    <w:r>
                      <w:rPr>
                        <w:rFonts w:hint="eastAsia"/>
                        <w:sz w:val="16"/>
                        <w:szCs w:val="16"/>
                      </w:rPr>
                      <w:t>-</w:t>
                    </w:r>
                  </w:p>
                </w:tc>
                <w:tc>
                  <w:tcPr>
                    <w:tcW w:w="186" w:type="pct"/>
                    <w:vAlign w:val="center"/>
                  </w:tcPr>
                  <w:p w:rsidR="00A4585B" w:rsidRPr="00AB06DF" w:rsidRDefault="008F04CF" w:rsidP="00B637B2">
                    <w:pPr>
                      <w:jc w:val="right"/>
                      <w:rPr>
                        <w:sz w:val="16"/>
                        <w:szCs w:val="16"/>
                      </w:rPr>
                    </w:pPr>
                    <w:r>
                      <w:rPr>
                        <w:rFonts w:hint="eastAsia"/>
                        <w:sz w:val="16"/>
                        <w:szCs w:val="16"/>
                      </w:rPr>
                      <w:t>-</w:t>
                    </w:r>
                  </w:p>
                </w:tc>
                <w:tc>
                  <w:tcPr>
                    <w:tcW w:w="399" w:type="pct"/>
                    <w:vAlign w:val="center"/>
                  </w:tcPr>
                  <w:p w:rsidR="00A4585B" w:rsidRPr="00AB06DF" w:rsidRDefault="008F04CF" w:rsidP="00B637B2">
                    <w:pPr>
                      <w:jc w:val="right"/>
                      <w:rPr>
                        <w:sz w:val="16"/>
                        <w:szCs w:val="16"/>
                      </w:rPr>
                    </w:pPr>
                    <w:r>
                      <w:rPr>
                        <w:rFonts w:hint="eastAsia"/>
                        <w:sz w:val="16"/>
                        <w:szCs w:val="16"/>
                      </w:rPr>
                      <w:t>-</w:t>
                    </w:r>
                  </w:p>
                </w:tc>
                <w:tc>
                  <w:tcPr>
                    <w:tcW w:w="157" w:type="pct"/>
                    <w:vAlign w:val="center"/>
                  </w:tcPr>
                  <w:p w:rsidR="00A4585B" w:rsidRPr="00AB06DF" w:rsidRDefault="008F04CF" w:rsidP="00B637B2">
                    <w:pPr>
                      <w:jc w:val="right"/>
                      <w:rPr>
                        <w:sz w:val="16"/>
                        <w:szCs w:val="16"/>
                      </w:rPr>
                    </w:pPr>
                    <w:r>
                      <w:rPr>
                        <w:rFonts w:hint="eastAsia"/>
                        <w:sz w:val="16"/>
                        <w:szCs w:val="16"/>
                      </w:rPr>
                      <w:t>-</w:t>
                    </w:r>
                  </w:p>
                </w:tc>
                <w:tc>
                  <w:tcPr>
                    <w:tcW w:w="419" w:type="pct"/>
                    <w:vAlign w:val="center"/>
                  </w:tcPr>
                  <w:p w:rsidR="00A4585B" w:rsidRPr="00AB06DF" w:rsidRDefault="008F04CF" w:rsidP="00B637B2">
                    <w:pPr>
                      <w:jc w:val="right"/>
                      <w:rPr>
                        <w:sz w:val="16"/>
                        <w:szCs w:val="16"/>
                      </w:rPr>
                    </w:pPr>
                    <w:r>
                      <w:rPr>
                        <w:rFonts w:hint="eastAsia"/>
                        <w:sz w:val="16"/>
                        <w:szCs w:val="16"/>
                      </w:rPr>
                      <w:t>-</w:t>
                    </w:r>
                  </w:p>
                </w:tc>
                <w:tc>
                  <w:tcPr>
                    <w:tcW w:w="399" w:type="pct"/>
                    <w:vAlign w:val="center"/>
                  </w:tcPr>
                  <w:p w:rsidR="00A4585B" w:rsidRPr="00AB06DF" w:rsidRDefault="008F04CF" w:rsidP="00B637B2">
                    <w:pPr>
                      <w:jc w:val="right"/>
                      <w:rPr>
                        <w:sz w:val="16"/>
                        <w:szCs w:val="16"/>
                      </w:rPr>
                    </w:pPr>
                    <w:r>
                      <w:rPr>
                        <w:rFonts w:hint="eastAsia"/>
                        <w:sz w:val="16"/>
                        <w:szCs w:val="16"/>
                      </w:rPr>
                      <w:t>-</w:t>
                    </w:r>
                  </w:p>
                </w:tc>
                <w:tc>
                  <w:tcPr>
                    <w:tcW w:w="399" w:type="pct"/>
                    <w:vAlign w:val="center"/>
                  </w:tcPr>
                  <w:p w:rsidR="00A4585B" w:rsidRPr="00AB06DF" w:rsidRDefault="00A4585B" w:rsidP="00B637B2">
                    <w:pPr>
                      <w:jc w:val="right"/>
                      <w:rPr>
                        <w:sz w:val="16"/>
                        <w:szCs w:val="16"/>
                      </w:rPr>
                    </w:pPr>
                    <w:r w:rsidRPr="00AB06DF">
                      <w:rPr>
                        <w:sz w:val="16"/>
                        <w:szCs w:val="16"/>
                      </w:rPr>
                      <w:t>-</w:t>
                    </w:r>
                  </w:p>
                </w:tc>
              </w:tr>
              <w:tr w:rsidR="00B637B2" w:rsidTr="00B637B2">
                <w:sdt>
                  <w:sdtPr>
                    <w:rPr>
                      <w:sz w:val="16"/>
                      <w:szCs w:val="16"/>
                    </w:rPr>
                    <w:tag w:val="_PLD_2c8b649d670044a9b5fda521dd40705d"/>
                    <w:id w:val="-100420247"/>
                    <w:lock w:val="sdtLocked"/>
                  </w:sdtPr>
                  <w:sdtContent>
                    <w:tc>
                      <w:tcPr>
                        <w:tcW w:w="631" w:type="pct"/>
                      </w:tcPr>
                      <w:p w:rsidR="00A4585B" w:rsidRPr="00AB06DF" w:rsidRDefault="00A4585B" w:rsidP="00A4585B">
                        <w:pPr>
                          <w:rPr>
                            <w:sz w:val="16"/>
                            <w:szCs w:val="16"/>
                          </w:rPr>
                        </w:pPr>
                        <w:r w:rsidRPr="00AB06DF">
                          <w:rPr>
                            <w:sz w:val="16"/>
                            <w:szCs w:val="16"/>
                          </w:rPr>
                          <w:t>2．提取一般风险准备</w:t>
                        </w:r>
                      </w:p>
                    </w:tc>
                  </w:sdtContent>
                </w:sdt>
                <w:tc>
                  <w:tcPr>
                    <w:tcW w:w="422" w:type="pct"/>
                    <w:vAlign w:val="center"/>
                  </w:tcPr>
                  <w:p w:rsidR="00A4585B" w:rsidRPr="00AB06DF" w:rsidRDefault="008F04CF" w:rsidP="00B637B2">
                    <w:pPr>
                      <w:jc w:val="right"/>
                      <w:rPr>
                        <w:sz w:val="16"/>
                        <w:szCs w:val="16"/>
                      </w:rPr>
                    </w:pPr>
                    <w:r>
                      <w:rPr>
                        <w:rFonts w:hint="eastAsia"/>
                        <w:sz w:val="16"/>
                        <w:szCs w:val="16"/>
                      </w:rPr>
                      <w:t>-</w:t>
                    </w:r>
                  </w:p>
                </w:tc>
                <w:tc>
                  <w:tcPr>
                    <w:tcW w:w="119" w:type="pct"/>
                    <w:vAlign w:val="center"/>
                  </w:tcPr>
                  <w:p w:rsidR="00A4585B" w:rsidRPr="00AB06DF" w:rsidRDefault="008F04CF" w:rsidP="00B637B2">
                    <w:pPr>
                      <w:jc w:val="right"/>
                      <w:rPr>
                        <w:sz w:val="16"/>
                        <w:szCs w:val="16"/>
                      </w:rPr>
                    </w:pPr>
                    <w:r>
                      <w:rPr>
                        <w:rFonts w:hint="eastAsia"/>
                        <w:sz w:val="16"/>
                        <w:szCs w:val="16"/>
                      </w:rPr>
                      <w:t>-</w:t>
                    </w:r>
                  </w:p>
                </w:tc>
                <w:tc>
                  <w:tcPr>
                    <w:tcW w:w="127" w:type="pct"/>
                    <w:vAlign w:val="center"/>
                  </w:tcPr>
                  <w:p w:rsidR="00A4585B" w:rsidRPr="00AB06DF" w:rsidRDefault="008F04CF" w:rsidP="00B637B2">
                    <w:pPr>
                      <w:jc w:val="right"/>
                      <w:rPr>
                        <w:sz w:val="16"/>
                        <w:szCs w:val="16"/>
                      </w:rPr>
                    </w:pPr>
                    <w:r>
                      <w:rPr>
                        <w:rFonts w:hint="eastAsia"/>
                        <w:sz w:val="16"/>
                        <w:szCs w:val="16"/>
                      </w:rPr>
                      <w:t>-</w:t>
                    </w:r>
                  </w:p>
                </w:tc>
                <w:tc>
                  <w:tcPr>
                    <w:tcW w:w="133" w:type="pct"/>
                    <w:vAlign w:val="center"/>
                  </w:tcPr>
                  <w:p w:rsidR="00A4585B" w:rsidRPr="00AB06DF" w:rsidRDefault="008F04CF" w:rsidP="00B637B2">
                    <w:pPr>
                      <w:jc w:val="right"/>
                      <w:rPr>
                        <w:sz w:val="16"/>
                        <w:szCs w:val="16"/>
                      </w:rPr>
                    </w:pPr>
                    <w:r>
                      <w:rPr>
                        <w:rFonts w:hint="eastAsia"/>
                        <w:sz w:val="16"/>
                        <w:szCs w:val="16"/>
                      </w:rPr>
                      <w:t>-</w:t>
                    </w:r>
                  </w:p>
                </w:tc>
                <w:tc>
                  <w:tcPr>
                    <w:tcW w:w="402" w:type="pct"/>
                    <w:vAlign w:val="center"/>
                  </w:tcPr>
                  <w:p w:rsidR="00A4585B" w:rsidRPr="00AB06DF" w:rsidRDefault="008F04CF" w:rsidP="00B637B2">
                    <w:pPr>
                      <w:jc w:val="right"/>
                      <w:rPr>
                        <w:sz w:val="16"/>
                        <w:szCs w:val="16"/>
                      </w:rPr>
                    </w:pPr>
                    <w:r>
                      <w:rPr>
                        <w:rFonts w:hint="eastAsia"/>
                        <w:sz w:val="16"/>
                        <w:szCs w:val="16"/>
                      </w:rPr>
                      <w:t>-</w:t>
                    </w:r>
                  </w:p>
                </w:tc>
                <w:tc>
                  <w:tcPr>
                    <w:tcW w:w="357" w:type="pct"/>
                    <w:vAlign w:val="center"/>
                  </w:tcPr>
                  <w:p w:rsidR="00A4585B" w:rsidRPr="00AB06DF" w:rsidRDefault="008F04CF" w:rsidP="00B637B2">
                    <w:pPr>
                      <w:jc w:val="right"/>
                      <w:rPr>
                        <w:sz w:val="16"/>
                        <w:szCs w:val="16"/>
                      </w:rPr>
                    </w:pPr>
                    <w:r>
                      <w:rPr>
                        <w:rFonts w:hint="eastAsia"/>
                        <w:sz w:val="16"/>
                        <w:szCs w:val="16"/>
                      </w:rPr>
                      <w:t>-</w:t>
                    </w:r>
                  </w:p>
                </w:tc>
                <w:tc>
                  <w:tcPr>
                    <w:tcW w:w="357" w:type="pct"/>
                    <w:vAlign w:val="center"/>
                  </w:tcPr>
                  <w:p w:rsidR="00A4585B" w:rsidRPr="00AB06DF" w:rsidRDefault="008F04CF" w:rsidP="00B637B2">
                    <w:pPr>
                      <w:jc w:val="right"/>
                      <w:rPr>
                        <w:sz w:val="16"/>
                        <w:szCs w:val="16"/>
                      </w:rPr>
                    </w:pPr>
                    <w:r>
                      <w:rPr>
                        <w:rFonts w:hint="eastAsia"/>
                        <w:sz w:val="16"/>
                        <w:szCs w:val="16"/>
                      </w:rPr>
                      <w:t>-</w:t>
                    </w:r>
                  </w:p>
                </w:tc>
                <w:tc>
                  <w:tcPr>
                    <w:tcW w:w="140" w:type="pct"/>
                    <w:vAlign w:val="center"/>
                  </w:tcPr>
                  <w:p w:rsidR="00A4585B" w:rsidRPr="00AB06DF" w:rsidRDefault="008F04CF" w:rsidP="00B637B2">
                    <w:pPr>
                      <w:jc w:val="right"/>
                      <w:rPr>
                        <w:sz w:val="16"/>
                        <w:szCs w:val="16"/>
                      </w:rPr>
                    </w:pPr>
                    <w:r>
                      <w:rPr>
                        <w:rFonts w:hint="eastAsia"/>
                        <w:sz w:val="16"/>
                        <w:szCs w:val="16"/>
                      </w:rPr>
                      <w:t>-</w:t>
                    </w:r>
                  </w:p>
                </w:tc>
                <w:tc>
                  <w:tcPr>
                    <w:tcW w:w="353" w:type="pct"/>
                    <w:vAlign w:val="center"/>
                  </w:tcPr>
                  <w:p w:rsidR="00A4585B" w:rsidRPr="00AB06DF" w:rsidRDefault="008F04CF" w:rsidP="00B637B2">
                    <w:pPr>
                      <w:jc w:val="right"/>
                      <w:rPr>
                        <w:sz w:val="16"/>
                        <w:szCs w:val="16"/>
                      </w:rPr>
                    </w:pPr>
                    <w:r>
                      <w:rPr>
                        <w:rFonts w:hint="eastAsia"/>
                        <w:sz w:val="16"/>
                        <w:szCs w:val="16"/>
                      </w:rPr>
                      <w:t>-</w:t>
                    </w:r>
                  </w:p>
                </w:tc>
                <w:tc>
                  <w:tcPr>
                    <w:tcW w:w="186" w:type="pct"/>
                    <w:vAlign w:val="center"/>
                  </w:tcPr>
                  <w:p w:rsidR="00A4585B" w:rsidRPr="00AB06DF" w:rsidRDefault="008F04CF" w:rsidP="00B637B2">
                    <w:pPr>
                      <w:jc w:val="right"/>
                      <w:rPr>
                        <w:sz w:val="16"/>
                        <w:szCs w:val="16"/>
                      </w:rPr>
                    </w:pPr>
                    <w:r>
                      <w:rPr>
                        <w:rFonts w:hint="eastAsia"/>
                        <w:sz w:val="16"/>
                        <w:szCs w:val="16"/>
                      </w:rPr>
                      <w:t>-</w:t>
                    </w:r>
                  </w:p>
                </w:tc>
                <w:tc>
                  <w:tcPr>
                    <w:tcW w:w="399" w:type="pct"/>
                    <w:vAlign w:val="center"/>
                  </w:tcPr>
                  <w:p w:rsidR="00A4585B" w:rsidRPr="00AB06DF" w:rsidRDefault="008F04CF" w:rsidP="00B637B2">
                    <w:pPr>
                      <w:jc w:val="right"/>
                      <w:rPr>
                        <w:sz w:val="16"/>
                        <w:szCs w:val="16"/>
                      </w:rPr>
                    </w:pPr>
                    <w:r>
                      <w:rPr>
                        <w:rFonts w:hint="eastAsia"/>
                        <w:sz w:val="16"/>
                        <w:szCs w:val="16"/>
                      </w:rPr>
                      <w:t>-</w:t>
                    </w:r>
                  </w:p>
                </w:tc>
                <w:tc>
                  <w:tcPr>
                    <w:tcW w:w="157" w:type="pct"/>
                    <w:vAlign w:val="center"/>
                  </w:tcPr>
                  <w:p w:rsidR="00A4585B" w:rsidRPr="00AB06DF" w:rsidRDefault="008F04CF" w:rsidP="00B637B2">
                    <w:pPr>
                      <w:jc w:val="right"/>
                      <w:rPr>
                        <w:sz w:val="16"/>
                        <w:szCs w:val="16"/>
                      </w:rPr>
                    </w:pPr>
                    <w:r>
                      <w:rPr>
                        <w:rFonts w:hint="eastAsia"/>
                        <w:sz w:val="16"/>
                        <w:szCs w:val="16"/>
                      </w:rPr>
                      <w:t>-</w:t>
                    </w:r>
                  </w:p>
                </w:tc>
                <w:tc>
                  <w:tcPr>
                    <w:tcW w:w="419" w:type="pct"/>
                    <w:vAlign w:val="center"/>
                  </w:tcPr>
                  <w:p w:rsidR="00A4585B" w:rsidRPr="00AB06DF" w:rsidRDefault="008F04CF" w:rsidP="00B637B2">
                    <w:pPr>
                      <w:jc w:val="right"/>
                      <w:rPr>
                        <w:sz w:val="16"/>
                        <w:szCs w:val="16"/>
                      </w:rPr>
                    </w:pPr>
                    <w:r>
                      <w:rPr>
                        <w:rFonts w:hint="eastAsia"/>
                        <w:sz w:val="16"/>
                        <w:szCs w:val="16"/>
                      </w:rPr>
                      <w:t>-</w:t>
                    </w:r>
                  </w:p>
                </w:tc>
                <w:tc>
                  <w:tcPr>
                    <w:tcW w:w="399" w:type="pct"/>
                    <w:vAlign w:val="center"/>
                  </w:tcPr>
                  <w:p w:rsidR="00A4585B" w:rsidRPr="00AB06DF" w:rsidRDefault="008F04CF" w:rsidP="00B637B2">
                    <w:pPr>
                      <w:jc w:val="right"/>
                      <w:rPr>
                        <w:sz w:val="16"/>
                        <w:szCs w:val="16"/>
                      </w:rPr>
                    </w:pPr>
                    <w:r>
                      <w:rPr>
                        <w:rFonts w:hint="eastAsia"/>
                        <w:sz w:val="16"/>
                        <w:szCs w:val="16"/>
                      </w:rPr>
                      <w:t>-</w:t>
                    </w:r>
                  </w:p>
                </w:tc>
                <w:tc>
                  <w:tcPr>
                    <w:tcW w:w="399" w:type="pct"/>
                    <w:vAlign w:val="center"/>
                  </w:tcPr>
                  <w:p w:rsidR="00A4585B" w:rsidRPr="00AB06DF" w:rsidRDefault="00A4585B" w:rsidP="00B637B2">
                    <w:pPr>
                      <w:jc w:val="right"/>
                      <w:rPr>
                        <w:sz w:val="16"/>
                        <w:szCs w:val="16"/>
                      </w:rPr>
                    </w:pPr>
                    <w:r w:rsidRPr="00AB06DF">
                      <w:rPr>
                        <w:sz w:val="16"/>
                        <w:szCs w:val="16"/>
                      </w:rPr>
                      <w:t>-</w:t>
                    </w:r>
                  </w:p>
                </w:tc>
              </w:tr>
              <w:tr w:rsidR="00B637B2" w:rsidTr="00B637B2">
                <w:sdt>
                  <w:sdtPr>
                    <w:rPr>
                      <w:sz w:val="16"/>
                      <w:szCs w:val="16"/>
                    </w:rPr>
                    <w:tag w:val="_PLD_254428ff3bee49c2acd11ef634901543"/>
                    <w:id w:val="-418187627"/>
                    <w:lock w:val="sdtLocked"/>
                  </w:sdtPr>
                  <w:sdtContent>
                    <w:tc>
                      <w:tcPr>
                        <w:tcW w:w="631" w:type="pct"/>
                      </w:tcPr>
                      <w:p w:rsidR="00A4585B" w:rsidRPr="00AB06DF" w:rsidRDefault="00A4585B" w:rsidP="00A4585B">
                        <w:pPr>
                          <w:rPr>
                            <w:sz w:val="16"/>
                            <w:szCs w:val="16"/>
                          </w:rPr>
                        </w:pPr>
                        <w:r w:rsidRPr="00AB06DF">
                          <w:rPr>
                            <w:sz w:val="16"/>
                            <w:szCs w:val="16"/>
                          </w:rPr>
                          <w:t>3．对所有者（或股东）的分配</w:t>
                        </w:r>
                      </w:p>
                    </w:tc>
                  </w:sdtContent>
                </w:sdt>
                <w:tc>
                  <w:tcPr>
                    <w:tcW w:w="422" w:type="pct"/>
                    <w:vAlign w:val="center"/>
                  </w:tcPr>
                  <w:p w:rsidR="00A4585B" w:rsidRPr="00AB06DF" w:rsidRDefault="008F04CF" w:rsidP="00B637B2">
                    <w:pPr>
                      <w:jc w:val="right"/>
                      <w:rPr>
                        <w:sz w:val="16"/>
                        <w:szCs w:val="16"/>
                      </w:rPr>
                    </w:pPr>
                    <w:r>
                      <w:rPr>
                        <w:rFonts w:hint="eastAsia"/>
                        <w:sz w:val="16"/>
                        <w:szCs w:val="16"/>
                      </w:rPr>
                      <w:t>-</w:t>
                    </w:r>
                  </w:p>
                </w:tc>
                <w:tc>
                  <w:tcPr>
                    <w:tcW w:w="119" w:type="pct"/>
                    <w:vAlign w:val="center"/>
                  </w:tcPr>
                  <w:p w:rsidR="00A4585B" w:rsidRPr="00AB06DF" w:rsidRDefault="008F04CF" w:rsidP="00B637B2">
                    <w:pPr>
                      <w:jc w:val="right"/>
                      <w:rPr>
                        <w:sz w:val="16"/>
                        <w:szCs w:val="16"/>
                      </w:rPr>
                    </w:pPr>
                    <w:r>
                      <w:rPr>
                        <w:rFonts w:hint="eastAsia"/>
                        <w:sz w:val="16"/>
                        <w:szCs w:val="16"/>
                      </w:rPr>
                      <w:t>-</w:t>
                    </w:r>
                  </w:p>
                </w:tc>
                <w:tc>
                  <w:tcPr>
                    <w:tcW w:w="127" w:type="pct"/>
                    <w:vAlign w:val="center"/>
                  </w:tcPr>
                  <w:p w:rsidR="00A4585B" w:rsidRPr="00AB06DF" w:rsidRDefault="008F04CF" w:rsidP="00B637B2">
                    <w:pPr>
                      <w:jc w:val="right"/>
                      <w:rPr>
                        <w:sz w:val="16"/>
                        <w:szCs w:val="16"/>
                      </w:rPr>
                    </w:pPr>
                    <w:r>
                      <w:rPr>
                        <w:rFonts w:hint="eastAsia"/>
                        <w:sz w:val="16"/>
                        <w:szCs w:val="16"/>
                      </w:rPr>
                      <w:t>-</w:t>
                    </w:r>
                  </w:p>
                </w:tc>
                <w:tc>
                  <w:tcPr>
                    <w:tcW w:w="133" w:type="pct"/>
                    <w:vAlign w:val="center"/>
                  </w:tcPr>
                  <w:p w:rsidR="00A4585B" w:rsidRPr="00AB06DF" w:rsidRDefault="008F04CF" w:rsidP="00B637B2">
                    <w:pPr>
                      <w:jc w:val="right"/>
                      <w:rPr>
                        <w:sz w:val="16"/>
                        <w:szCs w:val="16"/>
                      </w:rPr>
                    </w:pPr>
                    <w:r>
                      <w:rPr>
                        <w:rFonts w:hint="eastAsia"/>
                        <w:sz w:val="16"/>
                        <w:szCs w:val="16"/>
                      </w:rPr>
                      <w:t>-</w:t>
                    </w:r>
                  </w:p>
                </w:tc>
                <w:tc>
                  <w:tcPr>
                    <w:tcW w:w="402" w:type="pct"/>
                    <w:vAlign w:val="center"/>
                  </w:tcPr>
                  <w:p w:rsidR="00A4585B" w:rsidRPr="00AB06DF" w:rsidRDefault="008F04CF" w:rsidP="00B637B2">
                    <w:pPr>
                      <w:jc w:val="right"/>
                      <w:rPr>
                        <w:sz w:val="16"/>
                        <w:szCs w:val="16"/>
                      </w:rPr>
                    </w:pPr>
                    <w:r>
                      <w:rPr>
                        <w:rFonts w:hint="eastAsia"/>
                        <w:sz w:val="16"/>
                        <w:szCs w:val="16"/>
                      </w:rPr>
                      <w:t>-</w:t>
                    </w:r>
                  </w:p>
                </w:tc>
                <w:tc>
                  <w:tcPr>
                    <w:tcW w:w="357" w:type="pct"/>
                    <w:vAlign w:val="center"/>
                  </w:tcPr>
                  <w:p w:rsidR="00A4585B" w:rsidRPr="00AB06DF" w:rsidRDefault="008F04CF" w:rsidP="00B637B2">
                    <w:pPr>
                      <w:jc w:val="right"/>
                      <w:rPr>
                        <w:sz w:val="16"/>
                        <w:szCs w:val="16"/>
                      </w:rPr>
                    </w:pPr>
                    <w:r>
                      <w:rPr>
                        <w:rFonts w:hint="eastAsia"/>
                        <w:sz w:val="16"/>
                        <w:szCs w:val="16"/>
                      </w:rPr>
                      <w:t>-</w:t>
                    </w:r>
                  </w:p>
                </w:tc>
                <w:tc>
                  <w:tcPr>
                    <w:tcW w:w="357" w:type="pct"/>
                    <w:vAlign w:val="center"/>
                  </w:tcPr>
                  <w:p w:rsidR="00A4585B" w:rsidRPr="00AB06DF" w:rsidRDefault="008F04CF" w:rsidP="00B637B2">
                    <w:pPr>
                      <w:jc w:val="right"/>
                      <w:rPr>
                        <w:sz w:val="16"/>
                        <w:szCs w:val="16"/>
                      </w:rPr>
                    </w:pPr>
                    <w:r>
                      <w:rPr>
                        <w:rFonts w:hint="eastAsia"/>
                        <w:sz w:val="16"/>
                        <w:szCs w:val="16"/>
                      </w:rPr>
                      <w:t>-</w:t>
                    </w:r>
                  </w:p>
                </w:tc>
                <w:tc>
                  <w:tcPr>
                    <w:tcW w:w="140" w:type="pct"/>
                    <w:vAlign w:val="center"/>
                  </w:tcPr>
                  <w:p w:rsidR="00A4585B" w:rsidRPr="00AB06DF" w:rsidRDefault="008F04CF" w:rsidP="00B637B2">
                    <w:pPr>
                      <w:jc w:val="right"/>
                      <w:rPr>
                        <w:sz w:val="16"/>
                        <w:szCs w:val="16"/>
                      </w:rPr>
                    </w:pPr>
                    <w:r>
                      <w:rPr>
                        <w:rFonts w:hint="eastAsia"/>
                        <w:sz w:val="16"/>
                        <w:szCs w:val="16"/>
                      </w:rPr>
                      <w:t>-</w:t>
                    </w:r>
                  </w:p>
                </w:tc>
                <w:tc>
                  <w:tcPr>
                    <w:tcW w:w="353" w:type="pct"/>
                    <w:vAlign w:val="center"/>
                  </w:tcPr>
                  <w:p w:rsidR="00A4585B" w:rsidRPr="00AB06DF" w:rsidRDefault="008F04CF" w:rsidP="00B637B2">
                    <w:pPr>
                      <w:jc w:val="right"/>
                      <w:rPr>
                        <w:sz w:val="16"/>
                        <w:szCs w:val="16"/>
                      </w:rPr>
                    </w:pPr>
                    <w:r>
                      <w:rPr>
                        <w:rFonts w:hint="eastAsia"/>
                        <w:sz w:val="16"/>
                        <w:szCs w:val="16"/>
                      </w:rPr>
                      <w:t>-</w:t>
                    </w:r>
                  </w:p>
                </w:tc>
                <w:tc>
                  <w:tcPr>
                    <w:tcW w:w="186" w:type="pct"/>
                    <w:vAlign w:val="center"/>
                  </w:tcPr>
                  <w:p w:rsidR="00A4585B" w:rsidRPr="00AB06DF" w:rsidRDefault="008F04CF" w:rsidP="00B637B2">
                    <w:pPr>
                      <w:jc w:val="right"/>
                      <w:rPr>
                        <w:sz w:val="16"/>
                        <w:szCs w:val="16"/>
                      </w:rPr>
                    </w:pPr>
                    <w:r>
                      <w:rPr>
                        <w:rFonts w:hint="eastAsia"/>
                        <w:sz w:val="16"/>
                        <w:szCs w:val="16"/>
                      </w:rPr>
                      <w:t>-</w:t>
                    </w:r>
                  </w:p>
                </w:tc>
                <w:tc>
                  <w:tcPr>
                    <w:tcW w:w="399" w:type="pct"/>
                    <w:vAlign w:val="center"/>
                  </w:tcPr>
                  <w:p w:rsidR="00A4585B" w:rsidRPr="00AB06DF" w:rsidRDefault="00A4585B" w:rsidP="00B637B2">
                    <w:pPr>
                      <w:jc w:val="right"/>
                      <w:rPr>
                        <w:sz w:val="16"/>
                        <w:szCs w:val="16"/>
                      </w:rPr>
                    </w:pPr>
                    <w:r w:rsidRPr="00AB06DF">
                      <w:rPr>
                        <w:sz w:val="16"/>
                        <w:szCs w:val="16"/>
                      </w:rPr>
                      <w:t>-474,413,036</w:t>
                    </w:r>
                  </w:p>
                </w:tc>
                <w:tc>
                  <w:tcPr>
                    <w:tcW w:w="157" w:type="pct"/>
                    <w:vAlign w:val="center"/>
                  </w:tcPr>
                  <w:p w:rsidR="00A4585B" w:rsidRPr="00AB06DF" w:rsidRDefault="008F04CF" w:rsidP="00B637B2">
                    <w:pPr>
                      <w:jc w:val="right"/>
                      <w:rPr>
                        <w:sz w:val="16"/>
                        <w:szCs w:val="16"/>
                      </w:rPr>
                    </w:pPr>
                    <w:r>
                      <w:rPr>
                        <w:rFonts w:hint="eastAsia"/>
                        <w:sz w:val="16"/>
                        <w:szCs w:val="16"/>
                      </w:rPr>
                      <w:t>-</w:t>
                    </w:r>
                  </w:p>
                </w:tc>
                <w:tc>
                  <w:tcPr>
                    <w:tcW w:w="419" w:type="pct"/>
                    <w:vAlign w:val="center"/>
                  </w:tcPr>
                  <w:p w:rsidR="00A4585B" w:rsidRPr="00AB06DF" w:rsidRDefault="008F04CF" w:rsidP="00B637B2">
                    <w:pPr>
                      <w:jc w:val="right"/>
                      <w:rPr>
                        <w:sz w:val="16"/>
                        <w:szCs w:val="16"/>
                      </w:rPr>
                    </w:pPr>
                    <w:r w:rsidRPr="002E0307">
                      <w:rPr>
                        <w:sz w:val="16"/>
                        <w:szCs w:val="16"/>
                      </w:rPr>
                      <w:t>-474,413,036</w:t>
                    </w:r>
                  </w:p>
                </w:tc>
                <w:tc>
                  <w:tcPr>
                    <w:tcW w:w="399" w:type="pct"/>
                    <w:vAlign w:val="center"/>
                  </w:tcPr>
                  <w:p w:rsidR="00A4585B" w:rsidRPr="00AB06DF" w:rsidRDefault="00A4585B" w:rsidP="00B637B2">
                    <w:pPr>
                      <w:jc w:val="right"/>
                      <w:rPr>
                        <w:sz w:val="16"/>
                        <w:szCs w:val="16"/>
                      </w:rPr>
                    </w:pPr>
                    <w:r w:rsidRPr="00AB06DF">
                      <w:rPr>
                        <w:sz w:val="16"/>
                        <w:szCs w:val="16"/>
                      </w:rPr>
                      <w:t>-126,409,138</w:t>
                    </w:r>
                  </w:p>
                </w:tc>
                <w:tc>
                  <w:tcPr>
                    <w:tcW w:w="399" w:type="pct"/>
                    <w:vAlign w:val="center"/>
                  </w:tcPr>
                  <w:p w:rsidR="00A4585B" w:rsidRPr="00AB06DF" w:rsidRDefault="00A4585B" w:rsidP="00B637B2">
                    <w:pPr>
                      <w:jc w:val="right"/>
                      <w:rPr>
                        <w:sz w:val="16"/>
                        <w:szCs w:val="16"/>
                      </w:rPr>
                    </w:pPr>
                    <w:r w:rsidRPr="00AB06DF">
                      <w:rPr>
                        <w:sz w:val="16"/>
                        <w:szCs w:val="16"/>
                      </w:rPr>
                      <w:t>-600,822,174</w:t>
                    </w:r>
                  </w:p>
                </w:tc>
              </w:tr>
              <w:tr w:rsidR="00B637B2" w:rsidTr="00B637B2">
                <w:sdt>
                  <w:sdtPr>
                    <w:rPr>
                      <w:sz w:val="16"/>
                      <w:szCs w:val="16"/>
                    </w:rPr>
                    <w:tag w:val="_PLD_b3d350728a6c49ccaa6dbb4adf16c691"/>
                    <w:id w:val="807123496"/>
                    <w:lock w:val="sdtLocked"/>
                  </w:sdtPr>
                  <w:sdtContent>
                    <w:tc>
                      <w:tcPr>
                        <w:tcW w:w="631" w:type="pct"/>
                      </w:tcPr>
                      <w:p w:rsidR="00A4585B" w:rsidRPr="00AB06DF" w:rsidRDefault="00A4585B" w:rsidP="00A4585B">
                        <w:pPr>
                          <w:rPr>
                            <w:sz w:val="16"/>
                            <w:szCs w:val="16"/>
                          </w:rPr>
                        </w:pPr>
                        <w:r w:rsidRPr="00AB06DF">
                          <w:rPr>
                            <w:sz w:val="16"/>
                            <w:szCs w:val="16"/>
                          </w:rPr>
                          <w:t>4．其他</w:t>
                        </w:r>
                      </w:p>
                    </w:tc>
                  </w:sdtContent>
                </w:sdt>
                <w:tc>
                  <w:tcPr>
                    <w:tcW w:w="422" w:type="pct"/>
                    <w:vAlign w:val="center"/>
                  </w:tcPr>
                  <w:p w:rsidR="00A4585B" w:rsidRPr="00AB06DF" w:rsidRDefault="008F04CF" w:rsidP="00B637B2">
                    <w:pPr>
                      <w:jc w:val="right"/>
                      <w:rPr>
                        <w:sz w:val="16"/>
                        <w:szCs w:val="16"/>
                      </w:rPr>
                    </w:pPr>
                    <w:r>
                      <w:rPr>
                        <w:rFonts w:hint="eastAsia"/>
                        <w:sz w:val="16"/>
                        <w:szCs w:val="16"/>
                      </w:rPr>
                      <w:t>-</w:t>
                    </w:r>
                  </w:p>
                </w:tc>
                <w:tc>
                  <w:tcPr>
                    <w:tcW w:w="119" w:type="pct"/>
                    <w:vAlign w:val="center"/>
                  </w:tcPr>
                  <w:p w:rsidR="00A4585B" w:rsidRPr="00AB06DF" w:rsidRDefault="008F04CF" w:rsidP="00B637B2">
                    <w:pPr>
                      <w:jc w:val="right"/>
                      <w:rPr>
                        <w:sz w:val="16"/>
                        <w:szCs w:val="16"/>
                      </w:rPr>
                    </w:pPr>
                    <w:r>
                      <w:rPr>
                        <w:rFonts w:hint="eastAsia"/>
                        <w:sz w:val="16"/>
                        <w:szCs w:val="16"/>
                      </w:rPr>
                      <w:t>-</w:t>
                    </w:r>
                  </w:p>
                </w:tc>
                <w:tc>
                  <w:tcPr>
                    <w:tcW w:w="127" w:type="pct"/>
                    <w:vAlign w:val="center"/>
                  </w:tcPr>
                  <w:p w:rsidR="00A4585B" w:rsidRPr="00AB06DF" w:rsidRDefault="008F04CF" w:rsidP="00B637B2">
                    <w:pPr>
                      <w:jc w:val="right"/>
                      <w:rPr>
                        <w:sz w:val="16"/>
                        <w:szCs w:val="16"/>
                      </w:rPr>
                    </w:pPr>
                    <w:r>
                      <w:rPr>
                        <w:rFonts w:hint="eastAsia"/>
                        <w:sz w:val="16"/>
                        <w:szCs w:val="16"/>
                      </w:rPr>
                      <w:t>-</w:t>
                    </w:r>
                  </w:p>
                </w:tc>
                <w:tc>
                  <w:tcPr>
                    <w:tcW w:w="133" w:type="pct"/>
                    <w:vAlign w:val="center"/>
                  </w:tcPr>
                  <w:p w:rsidR="00A4585B" w:rsidRPr="00AB06DF" w:rsidRDefault="008F04CF" w:rsidP="00B637B2">
                    <w:pPr>
                      <w:jc w:val="right"/>
                      <w:rPr>
                        <w:sz w:val="16"/>
                        <w:szCs w:val="16"/>
                      </w:rPr>
                    </w:pPr>
                    <w:r>
                      <w:rPr>
                        <w:rFonts w:hint="eastAsia"/>
                        <w:sz w:val="16"/>
                        <w:szCs w:val="16"/>
                      </w:rPr>
                      <w:t>-</w:t>
                    </w:r>
                  </w:p>
                </w:tc>
                <w:tc>
                  <w:tcPr>
                    <w:tcW w:w="402" w:type="pct"/>
                    <w:vAlign w:val="center"/>
                  </w:tcPr>
                  <w:p w:rsidR="00A4585B" w:rsidRPr="00AB06DF" w:rsidRDefault="008F04CF" w:rsidP="00B637B2">
                    <w:pPr>
                      <w:jc w:val="right"/>
                      <w:rPr>
                        <w:sz w:val="16"/>
                        <w:szCs w:val="16"/>
                      </w:rPr>
                    </w:pPr>
                    <w:r>
                      <w:rPr>
                        <w:rFonts w:hint="eastAsia"/>
                        <w:sz w:val="16"/>
                        <w:szCs w:val="16"/>
                      </w:rPr>
                      <w:t>-</w:t>
                    </w:r>
                  </w:p>
                </w:tc>
                <w:tc>
                  <w:tcPr>
                    <w:tcW w:w="357" w:type="pct"/>
                    <w:vAlign w:val="center"/>
                  </w:tcPr>
                  <w:p w:rsidR="00A4585B" w:rsidRPr="00AB06DF" w:rsidRDefault="008F04CF" w:rsidP="00B637B2">
                    <w:pPr>
                      <w:jc w:val="right"/>
                      <w:rPr>
                        <w:sz w:val="16"/>
                        <w:szCs w:val="16"/>
                      </w:rPr>
                    </w:pPr>
                    <w:r>
                      <w:rPr>
                        <w:rFonts w:hint="eastAsia"/>
                        <w:sz w:val="16"/>
                        <w:szCs w:val="16"/>
                      </w:rPr>
                      <w:t>-</w:t>
                    </w:r>
                  </w:p>
                </w:tc>
                <w:tc>
                  <w:tcPr>
                    <w:tcW w:w="357" w:type="pct"/>
                    <w:vAlign w:val="center"/>
                  </w:tcPr>
                  <w:p w:rsidR="00A4585B" w:rsidRPr="00AB06DF" w:rsidRDefault="008F04CF" w:rsidP="00B637B2">
                    <w:pPr>
                      <w:jc w:val="right"/>
                      <w:rPr>
                        <w:sz w:val="16"/>
                        <w:szCs w:val="16"/>
                      </w:rPr>
                    </w:pPr>
                    <w:r>
                      <w:rPr>
                        <w:rFonts w:hint="eastAsia"/>
                        <w:sz w:val="16"/>
                        <w:szCs w:val="16"/>
                      </w:rPr>
                      <w:t>-</w:t>
                    </w:r>
                  </w:p>
                </w:tc>
                <w:tc>
                  <w:tcPr>
                    <w:tcW w:w="140" w:type="pct"/>
                    <w:vAlign w:val="center"/>
                  </w:tcPr>
                  <w:p w:rsidR="00A4585B" w:rsidRPr="00AB06DF" w:rsidRDefault="008F04CF" w:rsidP="00B637B2">
                    <w:pPr>
                      <w:jc w:val="right"/>
                      <w:rPr>
                        <w:sz w:val="16"/>
                        <w:szCs w:val="16"/>
                      </w:rPr>
                    </w:pPr>
                    <w:r>
                      <w:rPr>
                        <w:rFonts w:hint="eastAsia"/>
                        <w:sz w:val="16"/>
                        <w:szCs w:val="16"/>
                      </w:rPr>
                      <w:t>-</w:t>
                    </w:r>
                  </w:p>
                </w:tc>
                <w:tc>
                  <w:tcPr>
                    <w:tcW w:w="353" w:type="pct"/>
                    <w:vAlign w:val="center"/>
                  </w:tcPr>
                  <w:p w:rsidR="00A4585B" w:rsidRPr="00AB06DF" w:rsidRDefault="008F04CF" w:rsidP="00B637B2">
                    <w:pPr>
                      <w:jc w:val="right"/>
                      <w:rPr>
                        <w:sz w:val="16"/>
                        <w:szCs w:val="16"/>
                      </w:rPr>
                    </w:pPr>
                    <w:r>
                      <w:rPr>
                        <w:rFonts w:hint="eastAsia"/>
                        <w:sz w:val="16"/>
                        <w:szCs w:val="16"/>
                      </w:rPr>
                      <w:t>-</w:t>
                    </w:r>
                  </w:p>
                </w:tc>
                <w:tc>
                  <w:tcPr>
                    <w:tcW w:w="186" w:type="pct"/>
                    <w:vAlign w:val="center"/>
                  </w:tcPr>
                  <w:p w:rsidR="00A4585B" w:rsidRPr="00AB06DF" w:rsidRDefault="008F04CF" w:rsidP="00B637B2">
                    <w:pPr>
                      <w:jc w:val="right"/>
                      <w:rPr>
                        <w:sz w:val="16"/>
                        <w:szCs w:val="16"/>
                      </w:rPr>
                    </w:pPr>
                    <w:r>
                      <w:rPr>
                        <w:rFonts w:hint="eastAsia"/>
                        <w:sz w:val="16"/>
                        <w:szCs w:val="16"/>
                      </w:rPr>
                      <w:t>-</w:t>
                    </w:r>
                  </w:p>
                </w:tc>
                <w:tc>
                  <w:tcPr>
                    <w:tcW w:w="399" w:type="pct"/>
                    <w:vAlign w:val="center"/>
                  </w:tcPr>
                  <w:p w:rsidR="00A4585B" w:rsidRPr="00AB06DF" w:rsidRDefault="008F04CF" w:rsidP="00B637B2">
                    <w:pPr>
                      <w:jc w:val="right"/>
                      <w:rPr>
                        <w:sz w:val="16"/>
                        <w:szCs w:val="16"/>
                      </w:rPr>
                    </w:pPr>
                    <w:r>
                      <w:rPr>
                        <w:rFonts w:hint="eastAsia"/>
                        <w:sz w:val="16"/>
                        <w:szCs w:val="16"/>
                      </w:rPr>
                      <w:t>-</w:t>
                    </w:r>
                  </w:p>
                </w:tc>
                <w:tc>
                  <w:tcPr>
                    <w:tcW w:w="157" w:type="pct"/>
                    <w:vAlign w:val="center"/>
                  </w:tcPr>
                  <w:p w:rsidR="00A4585B" w:rsidRPr="00AB06DF" w:rsidRDefault="008F04CF" w:rsidP="00B637B2">
                    <w:pPr>
                      <w:jc w:val="right"/>
                      <w:rPr>
                        <w:sz w:val="16"/>
                        <w:szCs w:val="16"/>
                      </w:rPr>
                    </w:pPr>
                    <w:r>
                      <w:rPr>
                        <w:rFonts w:hint="eastAsia"/>
                        <w:sz w:val="16"/>
                        <w:szCs w:val="16"/>
                      </w:rPr>
                      <w:t>-</w:t>
                    </w:r>
                  </w:p>
                </w:tc>
                <w:tc>
                  <w:tcPr>
                    <w:tcW w:w="419" w:type="pct"/>
                    <w:vAlign w:val="center"/>
                  </w:tcPr>
                  <w:p w:rsidR="00A4585B" w:rsidRPr="00AB06DF" w:rsidRDefault="008F04CF" w:rsidP="00B637B2">
                    <w:pPr>
                      <w:jc w:val="right"/>
                      <w:rPr>
                        <w:sz w:val="16"/>
                        <w:szCs w:val="16"/>
                      </w:rPr>
                    </w:pPr>
                    <w:r>
                      <w:rPr>
                        <w:rFonts w:hint="eastAsia"/>
                        <w:sz w:val="16"/>
                        <w:szCs w:val="16"/>
                      </w:rPr>
                      <w:t>-</w:t>
                    </w:r>
                  </w:p>
                </w:tc>
                <w:tc>
                  <w:tcPr>
                    <w:tcW w:w="399" w:type="pct"/>
                    <w:vAlign w:val="center"/>
                  </w:tcPr>
                  <w:p w:rsidR="00A4585B" w:rsidRPr="00AB06DF" w:rsidRDefault="008F04CF" w:rsidP="00B637B2">
                    <w:pPr>
                      <w:jc w:val="right"/>
                      <w:rPr>
                        <w:sz w:val="16"/>
                        <w:szCs w:val="16"/>
                      </w:rPr>
                    </w:pPr>
                    <w:r>
                      <w:rPr>
                        <w:rFonts w:hint="eastAsia"/>
                        <w:sz w:val="16"/>
                        <w:szCs w:val="16"/>
                      </w:rPr>
                      <w:t>-</w:t>
                    </w:r>
                  </w:p>
                </w:tc>
                <w:tc>
                  <w:tcPr>
                    <w:tcW w:w="399" w:type="pct"/>
                    <w:vAlign w:val="center"/>
                  </w:tcPr>
                  <w:p w:rsidR="00A4585B" w:rsidRPr="00AB06DF" w:rsidRDefault="00A4585B" w:rsidP="00B637B2">
                    <w:pPr>
                      <w:jc w:val="right"/>
                      <w:rPr>
                        <w:sz w:val="16"/>
                        <w:szCs w:val="16"/>
                      </w:rPr>
                    </w:pPr>
                    <w:r w:rsidRPr="00AB06DF">
                      <w:rPr>
                        <w:sz w:val="16"/>
                        <w:szCs w:val="16"/>
                      </w:rPr>
                      <w:t>-</w:t>
                    </w:r>
                  </w:p>
                </w:tc>
              </w:tr>
              <w:tr w:rsidR="00B637B2" w:rsidTr="00B637B2">
                <w:sdt>
                  <w:sdtPr>
                    <w:rPr>
                      <w:sz w:val="16"/>
                      <w:szCs w:val="16"/>
                    </w:rPr>
                    <w:tag w:val="_PLD_03ab84b7536c4ddcaaad4c99a2dd5fd3"/>
                    <w:id w:val="29543304"/>
                    <w:lock w:val="sdtLocked"/>
                  </w:sdtPr>
                  <w:sdtContent>
                    <w:tc>
                      <w:tcPr>
                        <w:tcW w:w="631" w:type="pct"/>
                      </w:tcPr>
                      <w:p w:rsidR="00A4585B" w:rsidRPr="00AB06DF" w:rsidRDefault="00A4585B" w:rsidP="00A4585B">
                        <w:pPr>
                          <w:rPr>
                            <w:sz w:val="16"/>
                            <w:szCs w:val="16"/>
                          </w:rPr>
                        </w:pPr>
                        <w:r w:rsidRPr="00AB06DF">
                          <w:rPr>
                            <w:sz w:val="16"/>
                            <w:szCs w:val="16"/>
                          </w:rPr>
                          <w:t>（</w:t>
                        </w:r>
                        <w:r w:rsidRPr="00AB06DF">
                          <w:rPr>
                            <w:rFonts w:hint="eastAsia"/>
                            <w:sz w:val="16"/>
                            <w:szCs w:val="16"/>
                          </w:rPr>
                          <w:t>四</w:t>
                        </w:r>
                        <w:r w:rsidRPr="00AB06DF">
                          <w:rPr>
                            <w:sz w:val="16"/>
                            <w:szCs w:val="16"/>
                          </w:rPr>
                          <w:t>）所有者权益内部结转</w:t>
                        </w:r>
                      </w:p>
                    </w:tc>
                  </w:sdtContent>
                </w:sdt>
                <w:tc>
                  <w:tcPr>
                    <w:tcW w:w="422" w:type="pct"/>
                    <w:vAlign w:val="center"/>
                  </w:tcPr>
                  <w:p w:rsidR="00A4585B" w:rsidRPr="00AB06DF" w:rsidRDefault="00A4585B" w:rsidP="00B637B2">
                    <w:pPr>
                      <w:jc w:val="right"/>
                      <w:rPr>
                        <w:sz w:val="16"/>
                        <w:szCs w:val="16"/>
                      </w:rPr>
                    </w:pPr>
                    <w:r w:rsidRPr="00AB06DF">
                      <w:rPr>
                        <w:sz w:val="16"/>
                        <w:szCs w:val="16"/>
                      </w:rPr>
                      <w:t>569,295,642</w:t>
                    </w:r>
                  </w:p>
                </w:tc>
                <w:tc>
                  <w:tcPr>
                    <w:tcW w:w="119" w:type="pct"/>
                    <w:vAlign w:val="center"/>
                  </w:tcPr>
                  <w:p w:rsidR="00A4585B" w:rsidRPr="00AB06DF" w:rsidRDefault="00A4585B" w:rsidP="00B637B2">
                    <w:pPr>
                      <w:jc w:val="right"/>
                      <w:rPr>
                        <w:sz w:val="16"/>
                        <w:szCs w:val="16"/>
                      </w:rPr>
                    </w:pPr>
                    <w:r w:rsidRPr="00AB06DF">
                      <w:rPr>
                        <w:sz w:val="16"/>
                        <w:szCs w:val="16"/>
                      </w:rPr>
                      <w:t>-</w:t>
                    </w:r>
                  </w:p>
                </w:tc>
                <w:tc>
                  <w:tcPr>
                    <w:tcW w:w="127" w:type="pct"/>
                    <w:vAlign w:val="center"/>
                  </w:tcPr>
                  <w:p w:rsidR="00A4585B" w:rsidRPr="00AB06DF" w:rsidRDefault="00A4585B" w:rsidP="00B637B2">
                    <w:pPr>
                      <w:jc w:val="right"/>
                      <w:rPr>
                        <w:sz w:val="16"/>
                        <w:szCs w:val="16"/>
                      </w:rPr>
                    </w:pPr>
                    <w:r w:rsidRPr="00AB06DF">
                      <w:rPr>
                        <w:sz w:val="16"/>
                        <w:szCs w:val="16"/>
                      </w:rPr>
                      <w:t>-</w:t>
                    </w:r>
                  </w:p>
                </w:tc>
                <w:tc>
                  <w:tcPr>
                    <w:tcW w:w="133" w:type="pct"/>
                    <w:vAlign w:val="center"/>
                  </w:tcPr>
                  <w:p w:rsidR="00A4585B" w:rsidRPr="00AB06DF" w:rsidRDefault="00A4585B" w:rsidP="00B637B2">
                    <w:pPr>
                      <w:jc w:val="right"/>
                      <w:rPr>
                        <w:sz w:val="16"/>
                        <w:szCs w:val="16"/>
                      </w:rPr>
                    </w:pPr>
                    <w:r w:rsidRPr="00AB06DF">
                      <w:rPr>
                        <w:sz w:val="16"/>
                        <w:szCs w:val="16"/>
                      </w:rPr>
                      <w:t>-</w:t>
                    </w:r>
                  </w:p>
                </w:tc>
                <w:tc>
                  <w:tcPr>
                    <w:tcW w:w="402" w:type="pct"/>
                    <w:vAlign w:val="center"/>
                  </w:tcPr>
                  <w:p w:rsidR="00A4585B" w:rsidRPr="00AB06DF" w:rsidRDefault="00A4585B" w:rsidP="00B637B2">
                    <w:pPr>
                      <w:jc w:val="right"/>
                      <w:rPr>
                        <w:sz w:val="16"/>
                        <w:szCs w:val="16"/>
                      </w:rPr>
                    </w:pPr>
                    <w:r w:rsidRPr="00AB06DF">
                      <w:rPr>
                        <w:sz w:val="16"/>
                        <w:szCs w:val="16"/>
                      </w:rPr>
                      <w:t>-569,295,642</w:t>
                    </w:r>
                  </w:p>
                </w:tc>
                <w:tc>
                  <w:tcPr>
                    <w:tcW w:w="357" w:type="pct"/>
                    <w:vAlign w:val="center"/>
                  </w:tcPr>
                  <w:p w:rsidR="00A4585B" w:rsidRPr="00AB06DF" w:rsidRDefault="00A4585B" w:rsidP="00B637B2">
                    <w:pPr>
                      <w:jc w:val="right"/>
                      <w:rPr>
                        <w:sz w:val="16"/>
                        <w:szCs w:val="16"/>
                      </w:rPr>
                    </w:pPr>
                    <w:r w:rsidRPr="00AB06DF">
                      <w:rPr>
                        <w:sz w:val="16"/>
                        <w:szCs w:val="16"/>
                      </w:rPr>
                      <w:t>-</w:t>
                    </w:r>
                  </w:p>
                </w:tc>
                <w:tc>
                  <w:tcPr>
                    <w:tcW w:w="357" w:type="pct"/>
                    <w:vAlign w:val="center"/>
                  </w:tcPr>
                  <w:p w:rsidR="00A4585B" w:rsidRPr="00AB06DF" w:rsidRDefault="00A4585B" w:rsidP="00B637B2">
                    <w:pPr>
                      <w:jc w:val="right"/>
                      <w:rPr>
                        <w:sz w:val="16"/>
                        <w:szCs w:val="16"/>
                      </w:rPr>
                    </w:pPr>
                    <w:r w:rsidRPr="00AB06DF">
                      <w:rPr>
                        <w:sz w:val="16"/>
                        <w:szCs w:val="16"/>
                      </w:rPr>
                      <w:t>-</w:t>
                    </w:r>
                  </w:p>
                </w:tc>
                <w:tc>
                  <w:tcPr>
                    <w:tcW w:w="140" w:type="pct"/>
                    <w:vAlign w:val="center"/>
                  </w:tcPr>
                  <w:p w:rsidR="00A4585B" w:rsidRPr="00AB06DF" w:rsidRDefault="00A4585B" w:rsidP="00B637B2">
                    <w:pPr>
                      <w:jc w:val="right"/>
                      <w:rPr>
                        <w:sz w:val="16"/>
                        <w:szCs w:val="16"/>
                      </w:rPr>
                    </w:pPr>
                    <w:r w:rsidRPr="00AB06DF">
                      <w:rPr>
                        <w:sz w:val="16"/>
                        <w:szCs w:val="16"/>
                      </w:rPr>
                      <w:t>-</w:t>
                    </w:r>
                  </w:p>
                </w:tc>
                <w:tc>
                  <w:tcPr>
                    <w:tcW w:w="353" w:type="pct"/>
                    <w:vAlign w:val="center"/>
                  </w:tcPr>
                  <w:p w:rsidR="00A4585B" w:rsidRPr="00AB06DF" w:rsidRDefault="00A4585B" w:rsidP="00B637B2">
                    <w:pPr>
                      <w:jc w:val="right"/>
                      <w:rPr>
                        <w:sz w:val="16"/>
                        <w:szCs w:val="16"/>
                      </w:rPr>
                    </w:pPr>
                    <w:r w:rsidRPr="00AB06DF">
                      <w:rPr>
                        <w:sz w:val="16"/>
                        <w:szCs w:val="16"/>
                      </w:rPr>
                      <w:t>-</w:t>
                    </w:r>
                  </w:p>
                </w:tc>
                <w:tc>
                  <w:tcPr>
                    <w:tcW w:w="186" w:type="pct"/>
                    <w:vAlign w:val="center"/>
                  </w:tcPr>
                  <w:p w:rsidR="00A4585B" w:rsidRPr="00AB06DF" w:rsidRDefault="00A4585B" w:rsidP="00B637B2">
                    <w:pPr>
                      <w:jc w:val="right"/>
                      <w:rPr>
                        <w:sz w:val="16"/>
                        <w:szCs w:val="16"/>
                      </w:rPr>
                    </w:pPr>
                    <w:r w:rsidRPr="00AB06DF">
                      <w:rPr>
                        <w:sz w:val="16"/>
                        <w:szCs w:val="16"/>
                      </w:rPr>
                      <w:t>-</w:t>
                    </w:r>
                  </w:p>
                </w:tc>
                <w:tc>
                  <w:tcPr>
                    <w:tcW w:w="399" w:type="pct"/>
                    <w:vAlign w:val="center"/>
                  </w:tcPr>
                  <w:p w:rsidR="00A4585B" w:rsidRPr="00AB06DF" w:rsidRDefault="00A4585B" w:rsidP="00B637B2">
                    <w:pPr>
                      <w:jc w:val="right"/>
                      <w:rPr>
                        <w:sz w:val="16"/>
                        <w:szCs w:val="16"/>
                      </w:rPr>
                    </w:pPr>
                    <w:r w:rsidRPr="00AB06DF">
                      <w:rPr>
                        <w:sz w:val="16"/>
                        <w:szCs w:val="16"/>
                      </w:rPr>
                      <w:t>-</w:t>
                    </w:r>
                  </w:p>
                </w:tc>
                <w:tc>
                  <w:tcPr>
                    <w:tcW w:w="157" w:type="pct"/>
                    <w:vAlign w:val="center"/>
                  </w:tcPr>
                  <w:p w:rsidR="00A4585B" w:rsidRPr="00AB06DF" w:rsidRDefault="008F04CF" w:rsidP="00B637B2">
                    <w:pPr>
                      <w:jc w:val="right"/>
                      <w:rPr>
                        <w:sz w:val="16"/>
                        <w:szCs w:val="16"/>
                      </w:rPr>
                    </w:pPr>
                    <w:r>
                      <w:rPr>
                        <w:rFonts w:hint="eastAsia"/>
                        <w:sz w:val="16"/>
                        <w:szCs w:val="16"/>
                      </w:rPr>
                      <w:t>-</w:t>
                    </w:r>
                  </w:p>
                </w:tc>
                <w:tc>
                  <w:tcPr>
                    <w:tcW w:w="419" w:type="pct"/>
                    <w:vAlign w:val="center"/>
                  </w:tcPr>
                  <w:p w:rsidR="00A4585B" w:rsidRPr="00AB06DF" w:rsidRDefault="008F04CF" w:rsidP="00B637B2">
                    <w:pPr>
                      <w:jc w:val="right"/>
                      <w:rPr>
                        <w:sz w:val="16"/>
                        <w:szCs w:val="16"/>
                      </w:rPr>
                    </w:pPr>
                    <w:r>
                      <w:rPr>
                        <w:rFonts w:hint="eastAsia"/>
                        <w:sz w:val="16"/>
                        <w:szCs w:val="16"/>
                      </w:rPr>
                      <w:t>-</w:t>
                    </w:r>
                  </w:p>
                </w:tc>
                <w:tc>
                  <w:tcPr>
                    <w:tcW w:w="399" w:type="pct"/>
                    <w:vAlign w:val="center"/>
                  </w:tcPr>
                  <w:p w:rsidR="00A4585B" w:rsidRPr="00AB06DF" w:rsidRDefault="00A4585B" w:rsidP="00B637B2">
                    <w:pPr>
                      <w:jc w:val="right"/>
                      <w:rPr>
                        <w:sz w:val="16"/>
                        <w:szCs w:val="16"/>
                      </w:rPr>
                    </w:pPr>
                    <w:r w:rsidRPr="00AB06DF">
                      <w:rPr>
                        <w:sz w:val="16"/>
                        <w:szCs w:val="16"/>
                      </w:rPr>
                      <w:t>-</w:t>
                    </w:r>
                  </w:p>
                </w:tc>
                <w:tc>
                  <w:tcPr>
                    <w:tcW w:w="399" w:type="pct"/>
                    <w:vAlign w:val="center"/>
                  </w:tcPr>
                  <w:p w:rsidR="00A4585B" w:rsidRPr="00AB06DF" w:rsidRDefault="00A4585B" w:rsidP="00B637B2">
                    <w:pPr>
                      <w:jc w:val="right"/>
                      <w:rPr>
                        <w:sz w:val="16"/>
                        <w:szCs w:val="16"/>
                      </w:rPr>
                    </w:pPr>
                    <w:r w:rsidRPr="00AB06DF">
                      <w:rPr>
                        <w:sz w:val="16"/>
                        <w:szCs w:val="16"/>
                      </w:rPr>
                      <w:t>-</w:t>
                    </w:r>
                  </w:p>
                </w:tc>
              </w:tr>
              <w:tr w:rsidR="00B637B2" w:rsidTr="00B637B2">
                <w:sdt>
                  <w:sdtPr>
                    <w:rPr>
                      <w:sz w:val="16"/>
                      <w:szCs w:val="16"/>
                    </w:rPr>
                    <w:tag w:val="_PLD_88233f88b9ea4ceb82a1cc6cd7a5030d"/>
                    <w:id w:val="-2133774242"/>
                    <w:lock w:val="sdtLocked"/>
                  </w:sdtPr>
                  <w:sdtContent>
                    <w:tc>
                      <w:tcPr>
                        <w:tcW w:w="631" w:type="pct"/>
                      </w:tcPr>
                      <w:p w:rsidR="00A4585B" w:rsidRPr="00AB06DF" w:rsidRDefault="00A4585B" w:rsidP="00A4585B">
                        <w:pPr>
                          <w:rPr>
                            <w:sz w:val="16"/>
                            <w:szCs w:val="16"/>
                          </w:rPr>
                        </w:pPr>
                        <w:r w:rsidRPr="00AB06DF">
                          <w:rPr>
                            <w:sz w:val="16"/>
                            <w:szCs w:val="16"/>
                          </w:rPr>
                          <w:t>1．资本公积转增资本（或股本）</w:t>
                        </w:r>
                      </w:p>
                    </w:tc>
                  </w:sdtContent>
                </w:sdt>
                <w:tc>
                  <w:tcPr>
                    <w:tcW w:w="422" w:type="pct"/>
                    <w:vAlign w:val="center"/>
                  </w:tcPr>
                  <w:p w:rsidR="00A4585B" w:rsidRPr="00AB06DF" w:rsidRDefault="00A4585B" w:rsidP="00B637B2">
                    <w:pPr>
                      <w:jc w:val="right"/>
                      <w:rPr>
                        <w:sz w:val="16"/>
                        <w:szCs w:val="16"/>
                      </w:rPr>
                    </w:pPr>
                    <w:r w:rsidRPr="00AB06DF">
                      <w:rPr>
                        <w:sz w:val="16"/>
                        <w:szCs w:val="16"/>
                      </w:rPr>
                      <w:t>569,295,642</w:t>
                    </w:r>
                  </w:p>
                </w:tc>
                <w:tc>
                  <w:tcPr>
                    <w:tcW w:w="119" w:type="pct"/>
                    <w:vAlign w:val="center"/>
                  </w:tcPr>
                  <w:p w:rsidR="00A4585B" w:rsidRPr="00AB06DF" w:rsidRDefault="008F04CF" w:rsidP="00B637B2">
                    <w:pPr>
                      <w:jc w:val="right"/>
                      <w:rPr>
                        <w:sz w:val="16"/>
                        <w:szCs w:val="16"/>
                      </w:rPr>
                    </w:pPr>
                    <w:r>
                      <w:rPr>
                        <w:rFonts w:hint="eastAsia"/>
                        <w:sz w:val="16"/>
                        <w:szCs w:val="16"/>
                      </w:rPr>
                      <w:t>-</w:t>
                    </w:r>
                  </w:p>
                </w:tc>
                <w:tc>
                  <w:tcPr>
                    <w:tcW w:w="127" w:type="pct"/>
                    <w:vAlign w:val="center"/>
                  </w:tcPr>
                  <w:p w:rsidR="00A4585B" w:rsidRPr="00AB06DF" w:rsidRDefault="008F04CF" w:rsidP="00B637B2">
                    <w:pPr>
                      <w:jc w:val="right"/>
                      <w:rPr>
                        <w:sz w:val="16"/>
                        <w:szCs w:val="16"/>
                      </w:rPr>
                    </w:pPr>
                    <w:r>
                      <w:rPr>
                        <w:rFonts w:hint="eastAsia"/>
                        <w:sz w:val="16"/>
                        <w:szCs w:val="16"/>
                      </w:rPr>
                      <w:t>-</w:t>
                    </w:r>
                  </w:p>
                </w:tc>
                <w:tc>
                  <w:tcPr>
                    <w:tcW w:w="133" w:type="pct"/>
                    <w:vAlign w:val="center"/>
                  </w:tcPr>
                  <w:p w:rsidR="00A4585B" w:rsidRPr="00AB06DF" w:rsidRDefault="008F04CF" w:rsidP="00B637B2">
                    <w:pPr>
                      <w:jc w:val="right"/>
                      <w:rPr>
                        <w:sz w:val="16"/>
                        <w:szCs w:val="16"/>
                      </w:rPr>
                    </w:pPr>
                    <w:r>
                      <w:rPr>
                        <w:rFonts w:hint="eastAsia"/>
                        <w:sz w:val="16"/>
                        <w:szCs w:val="16"/>
                      </w:rPr>
                      <w:t>-</w:t>
                    </w:r>
                  </w:p>
                </w:tc>
                <w:tc>
                  <w:tcPr>
                    <w:tcW w:w="402" w:type="pct"/>
                    <w:vAlign w:val="center"/>
                  </w:tcPr>
                  <w:p w:rsidR="00A4585B" w:rsidRPr="00AB06DF" w:rsidRDefault="00A4585B" w:rsidP="00B637B2">
                    <w:pPr>
                      <w:jc w:val="right"/>
                      <w:rPr>
                        <w:sz w:val="16"/>
                        <w:szCs w:val="16"/>
                      </w:rPr>
                    </w:pPr>
                    <w:r w:rsidRPr="00AB06DF">
                      <w:rPr>
                        <w:sz w:val="16"/>
                        <w:szCs w:val="16"/>
                      </w:rPr>
                      <w:t>-569,295,642</w:t>
                    </w:r>
                  </w:p>
                </w:tc>
                <w:tc>
                  <w:tcPr>
                    <w:tcW w:w="357" w:type="pct"/>
                    <w:vAlign w:val="center"/>
                  </w:tcPr>
                  <w:p w:rsidR="00A4585B" w:rsidRPr="00AB06DF" w:rsidRDefault="008F04CF" w:rsidP="00B637B2">
                    <w:pPr>
                      <w:jc w:val="right"/>
                      <w:rPr>
                        <w:sz w:val="16"/>
                        <w:szCs w:val="16"/>
                      </w:rPr>
                    </w:pPr>
                    <w:r>
                      <w:rPr>
                        <w:rFonts w:hint="eastAsia"/>
                        <w:sz w:val="16"/>
                        <w:szCs w:val="16"/>
                      </w:rPr>
                      <w:t>-</w:t>
                    </w:r>
                  </w:p>
                </w:tc>
                <w:tc>
                  <w:tcPr>
                    <w:tcW w:w="357" w:type="pct"/>
                    <w:vAlign w:val="center"/>
                  </w:tcPr>
                  <w:p w:rsidR="00A4585B" w:rsidRPr="00AB06DF" w:rsidRDefault="008F04CF" w:rsidP="00B637B2">
                    <w:pPr>
                      <w:jc w:val="right"/>
                      <w:rPr>
                        <w:sz w:val="16"/>
                        <w:szCs w:val="16"/>
                      </w:rPr>
                    </w:pPr>
                    <w:r>
                      <w:rPr>
                        <w:rFonts w:hint="eastAsia"/>
                        <w:sz w:val="16"/>
                        <w:szCs w:val="16"/>
                      </w:rPr>
                      <w:t>-</w:t>
                    </w:r>
                  </w:p>
                </w:tc>
                <w:tc>
                  <w:tcPr>
                    <w:tcW w:w="140" w:type="pct"/>
                    <w:vAlign w:val="center"/>
                  </w:tcPr>
                  <w:p w:rsidR="00A4585B" w:rsidRPr="00AB06DF" w:rsidRDefault="008F04CF" w:rsidP="00B637B2">
                    <w:pPr>
                      <w:jc w:val="right"/>
                      <w:rPr>
                        <w:sz w:val="16"/>
                        <w:szCs w:val="16"/>
                      </w:rPr>
                    </w:pPr>
                    <w:r>
                      <w:rPr>
                        <w:rFonts w:hint="eastAsia"/>
                        <w:sz w:val="16"/>
                        <w:szCs w:val="16"/>
                      </w:rPr>
                      <w:t>-</w:t>
                    </w:r>
                  </w:p>
                </w:tc>
                <w:tc>
                  <w:tcPr>
                    <w:tcW w:w="353" w:type="pct"/>
                    <w:vAlign w:val="center"/>
                  </w:tcPr>
                  <w:p w:rsidR="00A4585B" w:rsidRPr="00AB06DF" w:rsidRDefault="008F04CF" w:rsidP="00B637B2">
                    <w:pPr>
                      <w:jc w:val="right"/>
                      <w:rPr>
                        <w:sz w:val="16"/>
                        <w:szCs w:val="16"/>
                      </w:rPr>
                    </w:pPr>
                    <w:r>
                      <w:rPr>
                        <w:rFonts w:hint="eastAsia"/>
                        <w:sz w:val="16"/>
                        <w:szCs w:val="16"/>
                      </w:rPr>
                      <w:t>-</w:t>
                    </w:r>
                  </w:p>
                </w:tc>
                <w:tc>
                  <w:tcPr>
                    <w:tcW w:w="186" w:type="pct"/>
                    <w:vAlign w:val="center"/>
                  </w:tcPr>
                  <w:p w:rsidR="00A4585B" w:rsidRPr="00AB06DF" w:rsidRDefault="008F04CF" w:rsidP="00B637B2">
                    <w:pPr>
                      <w:jc w:val="right"/>
                      <w:rPr>
                        <w:sz w:val="16"/>
                        <w:szCs w:val="16"/>
                      </w:rPr>
                    </w:pPr>
                    <w:r>
                      <w:rPr>
                        <w:rFonts w:hint="eastAsia"/>
                        <w:sz w:val="16"/>
                        <w:szCs w:val="16"/>
                      </w:rPr>
                      <w:t>-</w:t>
                    </w:r>
                  </w:p>
                </w:tc>
                <w:tc>
                  <w:tcPr>
                    <w:tcW w:w="399" w:type="pct"/>
                    <w:vAlign w:val="center"/>
                  </w:tcPr>
                  <w:p w:rsidR="00A4585B" w:rsidRPr="00AB06DF" w:rsidRDefault="008F04CF" w:rsidP="00B637B2">
                    <w:pPr>
                      <w:jc w:val="right"/>
                      <w:rPr>
                        <w:sz w:val="16"/>
                        <w:szCs w:val="16"/>
                      </w:rPr>
                    </w:pPr>
                    <w:r>
                      <w:rPr>
                        <w:rFonts w:hint="eastAsia"/>
                        <w:sz w:val="16"/>
                        <w:szCs w:val="16"/>
                      </w:rPr>
                      <w:t>-</w:t>
                    </w:r>
                  </w:p>
                </w:tc>
                <w:tc>
                  <w:tcPr>
                    <w:tcW w:w="157" w:type="pct"/>
                    <w:vAlign w:val="center"/>
                  </w:tcPr>
                  <w:p w:rsidR="00A4585B" w:rsidRPr="00AB06DF" w:rsidRDefault="008F04CF" w:rsidP="00B637B2">
                    <w:pPr>
                      <w:jc w:val="right"/>
                      <w:rPr>
                        <w:sz w:val="16"/>
                        <w:szCs w:val="16"/>
                      </w:rPr>
                    </w:pPr>
                    <w:r>
                      <w:rPr>
                        <w:rFonts w:hint="eastAsia"/>
                        <w:sz w:val="16"/>
                        <w:szCs w:val="16"/>
                      </w:rPr>
                      <w:t>-</w:t>
                    </w:r>
                  </w:p>
                </w:tc>
                <w:tc>
                  <w:tcPr>
                    <w:tcW w:w="419" w:type="pct"/>
                    <w:vAlign w:val="center"/>
                  </w:tcPr>
                  <w:p w:rsidR="00A4585B" w:rsidRPr="00AB06DF" w:rsidRDefault="008F04CF" w:rsidP="00B637B2">
                    <w:pPr>
                      <w:jc w:val="right"/>
                      <w:rPr>
                        <w:sz w:val="16"/>
                        <w:szCs w:val="16"/>
                      </w:rPr>
                    </w:pPr>
                    <w:r>
                      <w:rPr>
                        <w:rFonts w:hint="eastAsia"/>
                        <w:sz w:val="16"/>
                        <w:szCs w:val="16"/>
                      </w:rPr>
                      <w:t>-</w:t>
                    </w:r>
                  </w:p>
                </w:tc>
                <w:tc>
                  <w:tcPr>
                    <w:tcW w:w="399" w:type="pct"/>
                    <w:vAlign w:val="center"/>
                  </w:tcPr>
                  <w:p w:rsidR="00A4585B" w:rsidRPr="00AB06DF" w:rsidRDefault="008F04CF" w:rsidP="00B637B2">
                    <w:pPr>
                      <w:jc w:val="right"/>
                      <w:rPr>
                        <w:sz w:val="16"/>
                        <w:szCs w:val="16"/>
                      </w:rPr>
                    </w:pPr>
                    <w:r>
                      <w:rPr>
                        <w:rFonts w:hint="eastAsia"/>
                        <w:sz w:val="16"/>
                        <w:szCs w:val="16"/>
                      </w:rPr>
                      <w:t>-</w:t>
                    </w:r>
                  </w:p>
                </w:tc>
                <w:tc>
                  <w:tcPr>
                    <w:tcW w:w="399" w:type="pct"/>
                    <w:vAlign w:val="center"/>
                  </w:tcPr>
                  <w:p w:rsidR="00A4585B" w:rsidRPr="00AB06DF" w:rsidRDefault="00A4585B" w:rsidP="00B637B2">
                    <w:pPr>
                      <w:jc w:val="right"/>
                      <w:rPr>
                        <w:sz w:val="16"/>
                        <w:szCs w:val="16"/>
                      </w:rPr>
                    </w:pPr>
                    <w:r w:rsidRPr="00AB06DF">
                      <w:rPr>
                        <w:sz w:val="16"/>
                        <w:szCs w:val="16"/>
                      </w:rPr>
                      <w:t>-</w:t>
                    </w:r>
                  </w:p>
                </w:tc>
              </w:tr>
              <w:tr w:rsidR="00B637B2" w:rsidTr="00B637B2">
                <w:sdt>
                  <w:sdtPr>
                    <w:rPr>
                      <w:sz w:val="16"/>
                      <w:szCs w:val="16"/>
                    </w:rPr>
                    <w:tag w:val="_PLD_4a9492c5a232434296cfdef5eeded778"/>
                    <w:id w:val="-496272466"/>
                    <w:lock w:val="sdtLocked"/>
                  </w:sdtPr>
                  <w:sdtContent>
                    <w:tc>
                      <w:tcPr>
                        <w:tcW w:w="631" w:type="pct"/>
                      </w:tcPr>
                      <w:p w:rsidR="00A4585B" w:rsidRPr="00AB06DF" w:rsidRDefault="00A4585B" w:rsidP="00A4585B">
                        <w:pPr>
                          <w:rPr>
                            <w:sz w:val="16"/>
                            <w:szCs w:val="16"/>
                          </w:rPr>
                        </w:pPr>
                        <w:r w:rsidRPr="00AB06DF">
                          <w:rPr>
                            <w:sz w:val="16"/>
                            <w:szCs w:val="16"/>
                          </w:rPr>
                          <w:t>2．盈余公积转增资本（或股本）</w:t>
                        </w:r>
                      </w:p>
                    </w:tc>
                  </w:sdtContent>
                </w:sdt>
                <w:tc>
                  <w:tcPr>
                    <w:tcW w:w="422" w:type="pct"/>
                    <w:vAlign w:val="center"/>
                  </w:tcPr>
                  <w:p w:rsidR="00A4585B" w:rsidRPr="00AB06DF" w:rsidRDefault="008F04CF" w:rsidP="00B637B2">
                    <w:pPr>
                      <w:jc w:val="right"/>
                      <w:rPr>
                        <w:sz w:val="16"/>
                        <w:szCs w:val="16"/>
                      </w:rPr>
                    </w:pPr>
                    <w:r>
                      <w:rPr>
                        <w:rFonts w:hint="eastAsia"/>
                        <w:sz w:val="16"/>
                        <w:szCs w:val="16"/>
                      </w:rPr>
                      <w:t>-</w:t>
                    </w:r>
                  </w:p>
                </w:tc>
                <w:tc>
                  <w:tcPr>
                    <w:tcW w:w="119" w:type="pct"/>
                    <w:vAlign w:val="center"/>
                  </w:tcPr>
                  <w:p w:rsidR="00A4585B" w:rsidRPr="00AB06DF" w:rsidRDefault="008F04CF" w:rsidP="00B637B2">
                    <w:pPr>
                      <w:jc w:val="right"/>
                      <w:rPr>
                        <w:sz w:val="16"/>
                        <w:szCs w:val="16"/>
                      </w:rPr>
                    </w:pPr>
                    <w:r>
                      <w:rPr>
                        <w:rFonts w:hint="eastAsia"/>
                        <w:sz w:val="16"/>
                        <w:szCs w:val="16"/>
                      </w:rPr>
                      <w:t>-</w:t>
                    </w:r>
                  </w:p>
                </w:tc>
                <w:tc>
                  <w:tcPr>
                    <w:tcW w:w="127" w:type="pct"/>
                    <w:vAlign w:val="center"/>
                  </w:tcPr>
                  <w:p w:rsidR="00A4585B" w:rsidRPr="00AB06DF" w:rsidRDefault="008F04CF" w:rsidP="00B637B2">
                    <w:pPr>
                      <w:jc w:val="right"/>
                      <w:rPr>
                        <w:sz w:val="16"/>
                        <w:szCs w:val="16"/>
                      </w:rPr>
                    </w:pPr>
                    <w:r>
                      <w:rPr>
                        <w:rFonts w:hint="eastAsia"/>
                        <w:sz w:val="16"/>
                        <w:szCs w:val="16"/>
                      </w:rPr>
                      <w:t>-</w:t>
                    </w:r>
                  </w:p>
                </w:tc>
                <w:tc>
                  <w:tcPr>
                    <w:tcW w:w="133" w:type="pct"/>
                    <w:vAlign w:val="center"/>
                  </w:tcPr>
                  <w:p w:rsidR="00A4585B" w:rsidRPr="00AB06DF" w:rsidRDefault="008F04CF" w:rsidP="00B637B2">
                    <w:pPr>
                      <w:jc w:val="right"/>
                      <w:rPr>
                        <w:sz w:val="16"/>
                        <w:szCs w:val="16"/>
                      </w:rPr>
                    </w:pPr>
                    <w:r>
                      <w:rPr>
                        <w:rFonts w:hint="eastAsia"/>
                        <w:sz w:val="16"/>
                        <w:szCs w:val="16"/>
                      </w:rPr>
                      <w:t>-</w:t>
                    </w:r>
                  </w:p>
                </w:tc>
                <w:tc>
                  <w:tcPr>
                    <w:tcW w:w="402" w:type="pct"/>
                    <w:vAlign w:val="center"/>
                  </w:tcPr>
                  <w:p w:rsidR="00A4585B" w:rsidRPr="00AB06DF" w:rsidRDefault="008F04CF" w:rsidP="00B637B2">
                    <w:pPr>
                      <w:jc w:val="right"/>
                      <w:rPr>
                        <w:sz w:val="16"/>
                        <w:szCs w:val="16"/>
                      </w:rPr>
                    </w:pPr>
                    <w:r>
                      <w:rPr>
                        <w:rFonts w:hint="eastAsia"/>
                        <w:sz w:val="16"/>
                        <w:szCs w:val="16"/>
                      </w:rPr>
                      <w:t>-</w:t>
                    </w:r>
                  </w:p>
                </w:tc>
                <w:tc>
                  <w:tcPr>
                    <w:tcW w:w="357" w:type="pct"/>
                    <w:vAlign w:val="center"/>
                  </w:tcPr>
                  <w:p w:rsidR="00A4585B" w:rsidRPr="00AB06DF" w:rsidRDefault="008F04CF" w:rsidP="00B637B2">
                    <w:pPr>
                      <w:jc w:val="right"/>
                      <w:rPr>
                        <w:sz w:val="16"/>
                        <w:szCs w:val="16"/>
                      </w:rPr>
                    </w:pPr>
                    <w:r>
                      <w:rPr>
                        <w:rFonts w:hint="eastAsia"/>
                        <w:sz w:val="16"/>
                        <w:szCs w:val="16"/>
                      </w:rPr>
                      <w:t>-</w:t>
                    </w:r>
                  </w:p>
                </w:tc>
                <w:tc>
                  <w:tcPr>
                    <w:tcW w:w="357" w:type="pct"/>
                    <w:vAlign w:val="center"/>
                  </w:tcPr>
                  <w:p w:rsidR="00A4585B" w:rsidRPr="00AB06DF" w:rsidRDefault="008F04CF" w:rsidP="00B637B2">
                    <w:pPr>
                      <w:jc w:val="right"/>
                      <w:rPr>
                        <w:sz w:val="16"/>
                        <w:szCs w:val="16"/>
                      </w:rPr>
                    </w:pPr>
                    <w:r>
                      <w:rPr>
                        <w:rFonts w:hint="eastAsia"/>
                        <w:sz w:val="16"/>
                        <w:szCs w:val="16"/>
                      </w:rPr>
                      <w:t>-</w:t>
                    </w:r>
                  </w:p>
                </w:tc>
                <w:tc>
                  <w:tcPr>
                    <w:tcW w:w="140" w:type="pct"/>
                    <w:vAlign w:val="center"/>
                  </w:tcPr>
                  <w:p w:rsidR="00A4585B" w:rsidRPr="00AB06DF" w:rsidRDefault="008F04CF" w:rsidP="00B637B2">
                    <w:pPr>
                      <w:jc w:val="right"/>
                      <w:rPr>
                        <w:sz w:val="16"/>
                        <w:szCs w:val="16"/>
                      </w:rPr>
                    </w:pPr>
                    <w:r>
                      <w:rPr>
                        <w:rFonts w:hint="eastAsia"/>
                        <w:sz w:val="16"/>
                        <w:szCs w:val="16"/>
                      </w:rPr>
                      <w:t>-</w:t>
                    </w:r>
                  </w:p>
                </w:tc>
                <w:tc>
                  <w:tcPr>
                    <w:tcW w:w="353" w:type="pct"/>
                    <w:vAlign w:val="center"/>
                  </w:tcPr>
                  <w:p w:rsidR="00A4585B" w:rsidRPr="00AB06DF" w:rsidRDefault="008F04CF" w:rsidP="00B637B2">
                    <w:pPr>
                      <w:jc w:val="right"/>
                      <w:rPr>
                        <w:sz w:val="16"/>
                        <w:szCs w:val="16"/>
                      </w:rPr>
                    </w:pPr>
                    <w:r>
                      <w:rPr>
                        <w:rFonts w:hint="eastAsia"/>
                        <w:sz w:val="16"/>
                        <w:szCs w:val="16"/>
                      </w:rPr>
                      <w:t>-</w:t>
                    </w:r>
                  </w:p>
                </w:tc>
                <w:tc>
                  <w:tcPr>
                    <w:tcW w:w="186" w:type="pct"/>
                    <w:vAlign w:val="center"/>
                  </w:tcPr>
                  <w:p w:rsidR="00A4585B" w:rsidRPr="00AB06DF" w:rsidRDefault="008F04CF" w:rsidP="00B637B2">
                    <w:pPr>
                      <w:jc w:val="right"/>
                      <w:rPr>
                        <w:sz w:val="16"/>
                        <w:szCs w:val="16"/>
                      </w:rPr>
                    </w:pPr>
                    <w:r>
                      <w:rPr>
                        <w:rFonts w:hint="eastAsia"/>
                        <w:sz w:val="16"/>
                        <w:szCs w:val="16"/>
                      </w:rPr>
                      <w:t>-</w:t>
                    </w:r>
                  </w:p>
                </w:tc>
                <w:tc>
                  <w:tcPr>
                    <w:tcW w:w="399" w:type="pct"/>
                    <w:vAlign w:val="center"/>
                  </w:tcPr>
                  <w:p w:rsidR="00A4585B" w:rsidRPr="00AB06DF" w:rsidRDefault="008F04CF" w:rsidP="00B637B2">
                    <w:pPr>
                      <w:jc w:val="right"/>
                      <w:rPr>
                        <w:sz w:val="16"/>
                        <w:szCs w:val="16"/>
                      </w:rPr>
                    </w:pPr>
                    <w:r>
                      <w:rPr>
                        <w:rFonts w:hint="eastAsia"/>
                        <w:sz w:val="16"/>
                        <w:szCs w:val="16"/>
                      </w:rPr>
                      <w:t>-</w:t>
                    </w:r>
                  </w:p>
                </w:tc>
                <w:tc>
                  <w:tcPr>
                    <w:tcW w:w="157" w:type="pct"/>
                    <w:vAlign w:val="center"/>
                  </w:tcPr>
                  <w:p w:rsidR="00A4585B" w:rsidRPr="00AB06DF" w:rsidRDefault="008F04CF" w:rsidP="00B637B2">
                    <w:pPr>
                      <w:jc w:val="right"/>
                      <w:rPr>
                        <w:sz w:val="16"/>
                        <w:szCs w:val="16"/>
                      </w:rPr>
                    </w:pPr>
                    <w:r>
                      <w:rPr>
                        <w:rFonts w:hint="eastAsia"/>
                        <w:sz w:val="16"/>
                        <w:szCs w:val="16"/>
                      </w:rPr>
                      <w:t>-</w:t>
                    </w:r>
                  </w:p>
                </w:tc>
                <w:tc>
                  <w:tcPr>
                    <w:tcW w:w="419" w:type="pct"/>
                    <w:vAlign w:val="center"/>
                  </w:tcPr>
                  <w:p w:rsidR="00A4585B" w:rsidRPr="00AB06DF" w:rsidRDefault="008F04CF" w:rsidP="00B637B2">
                    <w:pPr>
                      <w:jc w:val="right"/>
                      <w:rPr>
                        <w:sz w:val="16"/>
                        <w:szCs w:val="16"/>
                      </w:rPr>
                    </w:pPr>
                    <w:r>
                      <w:rPr>
                        <w:rFonts w:hint="eastAsia"/>
                        <w:sz w:val="16"/>
                        <w:szCs w:val="16"/>
                      </w:rPr>
                      <w:t>-</w:t>
                    </w:r>
                  </w:p>
                </w:tc>
                <w:tc>
                  <w:tcPr>
                    <w:tcW w:w="399" w:type="pct"/>
                    <w:vAlign w:val="center"/>
                  </w:tcPr>
                  <w:p w:rsidR="00A4585B" w:rsidRPr="00AB06DF" w:rsidRDefault="008F04CF" w:rsidP="00B637B2">
                    <w:pPr>
                      <w:jc w:val="right"/>
                      <w:rPr>
                        <w:sz w:val="16"/>
                        <w:szCs w:val="16"/>
                      </w:rPr>
                    </w:pPr>
                    <w:r>
                      <w:rPr>
                        <w:rFonts w:hint="eastAsia"/>
                        <w:sz w:val="16"/>
                        <w:szCs w:val="16"/>
                      </w:rPr>
                      <w:t>-</w:t>
                    </w:r>
                  </w:p>
                </w:tc>
                <w:tc>
                  <w:tcPr>
                    <w:tcW w:w="399" w:type="pct"/>
                    <w:vAlign w:val="center"/>
                  </w:tcPr>
                  <w:p w:rsidR="00A4585B" w:rsidRPr="00AB06DF" w:rsidRDefault="00A4585B" w:rsidP="00B637B2">
                    <w:pPr>
                      <w:jc w:val="right"/>
                      <w:rPr>
                        <w:sz w:val="16"/>
                        <w:szCs w:val="16"/>
                      </w:rPr>
                    </w:pPr>
                    <w:r w:rsidRPr="00AB06DF">
                      <w:rPr>
                        <w:sz w:val="16"/>
                        <w:szCs w:val="16"/>
                      </w:rPr>
                      <w:t>-</w:t>
                    </w:r>
                  </w:p>
                </w:tc>
              </w:tr>
              <w:tr w:rsidR="00B637B2" w:rsidTr="00B637B2">
                <w:sdt>
                  <w:sdtPr>
                    <w:rPr>
                      <w:sz w:val="16"/>
                      <w:szCs w:val="16"/>
                    </w:rPr>
                    <w:tag w:val="_PLD_25911664beff496799fc3193be7c3182"/>
                    <w:id w:val="491447094"/>
                    <w:lock w:val="sdtLocked"/>
                  </w:sdtPr>
                  <w:sdtContent>
                    <w:tc>
                      <w:tcPr>
                        <w:tcW w:w="631" w:type="pct"/>
                      </w:tcPr>
                      <w:p w:rsidR="00A4585B" w:rsidRPr="00AB06DF" w:rsidRDefault="00A4585B" w:rsidP="00A4585B">
                        <w:pPr>
                          <w:rPr>
                            <w:sz w:val="16"/>
                            <w:szCs w:val="16"/>
                          </w:rPr>
                        </w:pPr>
                        <w:r w:rsidRPr="00AB06DF">
                          <w:rPr>
                            <w:sz w:val="16"/>
                            <w:szCs w:val="16"/>
                          </w:rPr>
                          <w:t>3．盈余公积弥补亏损</w:t>
                        </w:r>
                      </w:p>
                    </w:tc>
                  </w:sdtContent>
                </w:sdt>
                <w:tc>
                  <w:tcPr>
                    <w:tcW w:w="422" w:type="pct"/>
                    <w:vAlign w:val="center"/>
                  </w:tcPr>
                  <w:p w:rsidR="00A4585B" w:rsidRPr="00AB06DF" w:rsidRDefault="008F04CF" w:rsidP="00B637B2">
                    <w:pPr>
                      <w:jc w:val="right"/>
                      <w:rPr>
                        <w:sz w:val="16"/>
                        <w:szCs w:val="16"/>
                      </w:rPr>
                    </w:pPr>
                    <w:r>
                      <w:rPr>
                        <w:rFonts w:hint="eastAsia"/>
                        <w:sz w:val="16"/>
                        <w:szCs w:val="16"/>
                      </w:rPr>
                      <w:t>-</w:t>
                    </w:r>
                  </w:p>
                </w:tc>
                <w:tc>
                  <w:tcPr>
                    <w:tcW w:w="119" w:type="pct"/>
                    <w:vAlign w:val="center"/>
                  </w:tcPr>
                  <w:p w:rsidR="00A4585B" w:rsidRPr="00AB06DF" w:rsidRDefault="008F04CF" w:rsidP="00B637B2">
                    <w:pPr>
                      <w:jc w:val="right"/>
                      <w:rPr>
                        <w:sz w:val="16"/>
                        <w:szCs w:val="16"/>
                      </w:rPr>
                    </w:pPr>
                    <w:r>
                      <w:rPr>
                        <w:rFonts w:hint="eastAsia"/>
                        <w:sz w:val="16"/>
                        <w:szCs w:val="16"/>
                      </w:rPr>
                      <w:t>-</w:t>
                    </w:r>
                  </w:p>
                </w:tc>
                <w:tc>
                  <w:tcPr>
                    <w:tcW w:w="127" w:type="pct"/>
                    <w:vAlign w:val="center"/>
                  </w:tcPr>
                  <w:p w:rsidR="00A4585B" w:rsidRPr="00AB06DF" w:rsidRDefault="008F04CF" w:rsidP="00B637B2">
                    <w:pPr>
                      <w:jc w:val="right"/>
                      <w:rPr>
                        <w:sz w:val="16"/>
                        <w:szCs w:val="16"/>
                      </w:rPr>
                    </w:pPr>
                    <w:r>
                      <w:rPr>
                        <w:rFonts w:hint="eastAsia"/>
                        <w:sz w:val="16"/>
                        <w:szCs w:val="16"/>
                      </w:rPr>
                      <w:t>-</w:t>
                    </w:r>
                  </w:p>
                </w:tc>
                <w:tc>
                  <w:tcPr>
                    <w:tcW w:w="133" w:type="pct"/>
                    <w:vAlign w:val="center"/>
                  </w:tcPr>
                  <w:p w:rsidR="00A4585B" w:rsidRPr="00AB06DF" w:rsidRDefault="008F04CF" w:rsidP="00B637B2">
                    <w:pPr>
                      <w:jc w:val="right"/>
                      <w:rPr>
                        <w:sz w:val="16"/>
                        <w:szCs w:val="16"/>
                      </w:rPr>
                    </w:pPr>
                    <w:r>
                      <w:rPr>
                        <w:rFonts w:hint="eastAsia"/>
                        <w:sz w:val="16"/>
                        <w:szCs w:val="16"/>
                      </w:rPr>
                      <w:t>-</w:t>
                    </w:r>
                  </w:p>
                </w:tc>
                <w:tc>
                  <w:tcPr>
                    <w:tcW w:w="402" w:type="pct"/>
                    <w:vAlign w:val="center"/>
                  </w:tcPr>
                  <w:p w:rsidR="00A4585B" w:rsidRPr="00AB06DF" w:rsidRDefault="008F04CF" w:rsidP="00B637B2">
                    <w:pPr>
                      <w:jc w:val="right"/>
                      <w:rPr>
                        <w:sz w:val="16"/>
                        <w:szCs w:val="16"/>
                      </w:rPr>
                    </w:pPr>
                    <w:r>
                      <w:rPr>
                        <w:rFonts w:hint="eastAsia"/>
                        <w:sz w:val="16"/>
                        <w:szCs w:val="16"/>
                      </w:rPr>
                      <w:t>-</w:t>
                    </w:r>
                  </w:p>
                </w:tc>
                <w:tc>
                  <w:tcPr>
                    <w:tcW w:w="357" w:type="pct"/>
                    <w:vAlign w:val="center"/>
                  </w:tcPr>
                  <w:p w:rsidR="00A4585B" w:rsidRPr="00AB06DF" w:rsidRDefault="008F04CF" w:rsidP="00B637B2">
                    <w:pPr>
                      <w:jc w:val="right"/>
                      <w:rPr>
                        <w:sz w:val="16"/>
                        <w:szCs w:val="16"/>
                      </w:rPr>
                    </w:pPr>
                    <w:r>
                      <w:rPr>
                        <w:rFonts w:hint="eastAsia"/>
                        <w:sz w:val="16"/>
                        <w:szCs w:val="16"/>
                      </w:rPr>
                      <w:t>-</w:t>
                    </w:r>
                  </w:p>
                </w:tc>
                <w:tc>
                  <w:tcPr>
                    <w:tcW w:w="357" w:type="pct"/>
                    <w:vAlign w:val="center"/>
                  </w:tcPr>
                  <w:p w:rsidR="00A4585B" w:rsidRPr="00AB06DF" w:rsidRDefault="008F04CF" w:rsidP="00B637B2">
                    <w:pPr>
                      <w:jc w:val="right"/>
                      <w:rPr>
                        <w:sz w:val="16"/>
                        <w:szCs w:val="16"/>
                      </w:rPr>
                    </w:pPr>
                    <w:r>
                      <w:rPr>
                        <w:rFonts w:hint="eastAsia"/>
                        <w:sz w:val="16"/>
                        <w:szCs w:val="16"/>
                      </w:rPr>
                      <w:t>-</w:t>
                    </w:r>
                  </w:p>
                </w:tc>
                <w:tc>
                  <w:tcPr>
                    <w:tcW w:w="140" w:type="pct"/>
                    <w:vAlign w:val="center"/>
                  </w:tcPr>
                  <w:p w:rsidR="00A4585B" w:rsidRPr="00AB06DF" w:rsidRDefault="008F04CF" w:rsidP="00B637B2">
                    <w:pPr>
                      <w:jc w:val="right"/>
                      <w:rPr>
                        <w:sz w:val="16"/>
                        <w:szCs w:val="16"/>
                      </w:rPr>
                    </w:pPr>
                    <w:r>
                      <w:rPr>
                        <w:rFonts w:hint="eastAsia"/>
                        <w:sz w:val="16"/>
                        <w:szCs w:val="16"/>
                      </w:rPr>
                      <w:t>-</w:t>
                    </w:r>
                  </w:p>
                </w:tc>
                <w:tc>
                  <w:tcPr>
                    <w:tcW w:w="353" w:type="pct"/>
                    <w:vAlign w:val="center"/>
                  </w:tcPr>
                  <w:p w:rsidR="00A4585B" w:rsidRPr="00AB06DF" w:rsidRDefault="008F04CF" w:rsidP="00B637B2">
                    <w:pPr>
                      <w:jc w:val="right"/>
                      <w:rPr>
                        <w:sz w:val="16"/>
                        <w:szCs w:val="16"/>
                      </w:rPr>
                    </w:pPr>
                    <w:r>
                      <w:rPr>
                        <w:rFonts w:hint="eastAsia"/>
                        <w:sz w:val="16"/>
                        <w:szCs w:val="16"/>
                      </w:rPr>
                      <w:t>-</w:t>
                    </w:r>
                  </w:p>
                </w:tc>
                <w:tc>
                  <w:tcPr>
                    <w:tcW w:w="186" w:type="pct"/>
                    <w:vAlign w:val="center"/>
                  </w:tcPr>
                  <w:p w:rsidR="00A4585B" w:rsidRPr="00AB06DF" w:rsidRDefault="008F04CF" w:rsidP="00B637B2">
                    <w:pPr>
                      <w:jc w:val="right"/>
                      <w:rPr>
                        <w:sz w:val="16"/>
                        <w:szCs w:val="16"/>
                      </w:rPr>
                    </w:pPr>
                    <w:r>
                      <w:rPr>
                        <w:rFonts w:hint="eastAsia"/>
                        <w:sz w:val="16"/>
                        <w:szCs w:val="16"/>
                      </w:rPr>
                      <w:t>-</w:t>
                    </w:r>
                  </w:p>
                </w:tc>
                <w:tc>
                  <w:tcPr>
                    <w:tcW w:w="399" w:type="pct"/>
                    <w:vAlign w:val="center"/>
                  </w:tcPr>
                  <w:p w:rsidR="00A4585B" w:rsidRPr="00AB06DF" w:rsidRDefault="008F04CF" w:rsidP="00B637B2">
                    <w:pPr>
                      <w:jc w:val="right"/>
                      <w:rPr>
                        <w:sz w:val="16"/>
                        <w:szCs w:val="16"/>
                      </w:rPr>
                    </w:pPr>
                    <w:r>
                      <w:rPr>
                        <w:rFonts w:hint="eastAsia"/>
                        <w:sz w:val="16"/>
                        <w:szCs w:val="16"/>
                      </w:rPr>
                      <w:t>-</w:t>
                    </w:r>
                  </w:p>
                </w:tc>
                <w:tc>
                  <w:tcPr>
                    <w:tcW w:w="157" w:type="pct"/>
                    <w:vAlign w:val="center"/>
                  </w:tcPr>
                  <w:p w:rsidR="00A4585B" w:rsidRPr="00AB06DF" w:rsidRDefault="008F04CF" w:rsidP="00B637B2">
                    <w:pPr>
                      <w:jc w:val="right"/>
                      <w:rPr>
                        <w:sz w:val="16"/>
                        <w:szCs w:val="16"/>
                      </w:rPr>
                    </w:pPr>
                    <w:r>
                      <w:rPr>
                        <w:rFonts w:hint="eastAsia"/>
                        <w:sz w:val="16"/>
                        <w:szCs w:val="16"/>
                      </w:rPr>
                      <w:t>-</w:t>
                    </w:r>
                  </w:p>
                </w:tc>
                <w:tc>
                  <w:tcPr>
                    <w:tcW w:w="419" w:type="pct"/>
                    <w:vAlign w:val="center"/>
                  </w:tcPr>
                  <w:p w:rsidR="00A4585B" w:rsidRPr="00AB06DF" w:rsidRDefault="008F04CF" w:rsidP="00B637B2">
                    <w:pPr>
                      <w:jc w:val="right"/>
                      <w:rPr>
                        <w:sz w:val="16"/>
                        <w:szCs w:val="16"/>
                      </w:rPr>
                    </w:pPr>
                    <w:r>
                      <w:rPr>
                        <w:rFonts w:hint="eastAsia"/>
                        <w:sz w:val="16"/>
                        <w:szCs w:val="16"/>
                      </w:rPr>
                      <w:t>-</w:t>
                    </w:r>
                  </w:p>
                </w:tc>
                <w:tc>
                  <w:tcPr>
                    <w:tcW w:w="399" w:type="pct"/>
                    <w:vAlign w:val="center"/>
                  </w:tcPr>
                  <w:p w:rsidR="00A4585B" w:rsidRPr="00AB06DF" w:rsidRDefault="008F04CF" w:rsidP="00B637B2">
                    <w:pPr>
                      <w:jc w:val="right"/>
                      <w:rPr>
                        <w:sz w:val="16"/>
                        <w:szCs w:val="16"/>
                      </w:rPr>
                    </w:pPr>
                    <w:r>
                      <w:rPr>
                        <w:rFonts w:hint="eastAsia"/>
                        <w:sz w:val="16"/>
                        <w:szCs w:val="16"/>
                      </w:rPr>
                      <w:t>-</w:t>
                    </w:r>
                  </w:p>
                </w:tc>
                <w:tc>
                  <w:tcPr>
                    <w:tcW w:w="399" w:type="pct"/>
                    <w:vAlign w:val="center"/>
                  </w:tcPr>
                  <w:p w:rsidR="00A4585B" w:rsidRPr="00AB06DF" w:rsidRDefault="00A4585B" w:rsidP="00B637B2">
                    <w:pPr>
                      <w:jc w:val="right"/>
                      <w:rPr>
                        <w:sz w:val="16"/>
                        <w:szCs w:val="16"/>
                      </w:rPr>
                    </w:pPr>
                    <w:r w:rsidRPr="00AB06DF">
                      <w:rPr>
                        <w:sz w:val="16"/>
                        <w:szCs w:val="16"/>
                      </w:rPr>
                      <w:t>-</w:t>
                    </w:r>
                  </w:p>
                </w:tc>
              </w:tr>
              <w:tr w:rsidR="00B637B2" w:rsidTr="00B637B2">
                <w:tc>
                  <w:tcPr>
                    <w:tcW w:w="631" w:type="pct"/>
                  </w:tcPr>
                  <w:sdt>
                    <w:sdtPr>
                      <w:rPr>
                        <w:sz w:val="16"/>
                        <w:szCs w:val="16"/>
                      </w:rPr>
                      <w:tag w:val="_PLD_c2918ada9b53437193e4f9cfffa064e3"/>
                      <w:id w:val="-120074371"/>
                      <w:lock w:val="sdtLocked"/>
                    </w:sdtPr>
                    <w:sdtContent>
                      <w:p w:rsidR="00A4585B" w:rsidRPr="00AB06DF" w:rsidRDefault="00A4585B" w:rsidP="00A4585B">
                        <w:pPr>
                          <w:rPr>
                            <w:sz w:val="16"/>
                            <w:szCs w:val="16"/>
                          </w:rPr>
                        </w:pPr>
                        <w:r w:rsidRPr="00AB06DF">
                          <w:rPr>
                            <w:sz w:val="16"/>
                            <w:szCs w:val="16"/>
                          </w:rPr>
                          <w:t>4．设定受益计划变动额结转留存收益</w:t>
                        </w:r>
                      </w:p>
                    </w:sdtContent>
                  </w:sdt>
                </w:tc>
                <w:tc>
                  <w:tcPr>
                    <w:tcW w:w="422" w:type="pct"/>
                    <w:vAlign w:val="center"/>
                  </w:tcPr>
                  <w:p w:rsidR="00A4585B" w:rsidRPr="00AB06DF" w:rsidRDefault="008F04CF" w:rsidP="00B637B2">
                    <w:pPr>
                      <w:jc w:val="right"/>
                      <w:rPr>
                        <w:sz w:val="16"/>
                        <w:szCs w:val="16"/>
                      </w:rPr>
                    </w:pPr>
                    <w:r>
                      <w:rPr>
                        <w:rFonts w:hint="eastAsia"/>
                        <w:sz w:val="16"/>
                        <w:szCs w:val="16"/>
                      </w:rPr>
                      <w:t>-</w:t>
                    </w:r>
                  </w:p>
                </w:tc>
                <w:tc>
                  <w:tcPr>
                    <w:tcW w:w="119" w:type="pct"/>
                    <w:vAlign w:val="center"/>
                  </w:tcPr>
                  <w:p w:rsidR="00A4585B" w:rsidRPr="00AB06DF" w:rsidRDefault="008F04CF" w:rsidP="00B637B2">
                    <w:pPr>
                      <w:jc w:val="right"/>
                      <w:rPr>
                        <w:sz w:val="16"/>
                        <w:szCs w:val="16"/>
                      </w:rPr>
                    </w:pPr>
                    <w:r>
                      <w:rPr>
                        <w:rFonts w:hint="eastAsia"/>
                        <w:sz w:val="16"/>
                        <w:szCs w:val="16"/>
                      </w:rPr>
                      <w:t>-</w:t>
                    </w:r>
                  </w:p>
                </w:tc>
                <w:tc>
                  <w:tcPr>
                    <w:tcW w:w="127" w:type="pct"/>
                    <w:vAlign w:val="center"/>
                  </w:tcPr>
                  <w:p w:rsidR="00A4585B" w:rsidRPr="00AB06DF" w:rsidRDefault="008F04CF" w:rsidP="00B637B2">
                    <w:pPr>
                      <w:jc w:val="right"/>
                      <w:rPr>
                        <w:sz w:val="16"/>
                        <w:szCs w:val="16"/>
                      </w:rPr>
                    </w:pPr>
                    <w:r>
                      <w:rPr>
                        <w:rFonts w:hint="eastAsia"/>
                        <w:sz w:val="16"/>
                        <w:szCs w:val="16"/>
                      </w:rPr>
                      <w:t>-</w:t>
                    </w:r>
                  </w:p>
                </w:tc>
                <w:tc>
                  <w:tcPr>
                    <w:tcW w:w="133" w:type="pct"/>
                    <w:vAlign w:val="center"/>
                  </w:tcPr>
                  <w:p w:rsidR="00A4585B" w:rsidRPr="00AB06DF" w:rsidRDefault="008F04CF" w:rsidP="00B637B2">
                    <w:pPr>
                      <w:jc w:val="right"/>
                      <w:rPr>
                        <w:sz w:val="16"/>
                        <w:szCs w:val="16"/>
                      </w:rPr>
                    </w:pPr>
                    <w:r>
                      <w:rPr>
                        <w:rFonts w:hint="eastAsia"/>
                        <w:sz w:val="16"/>
                        <w:szCs w:val="16"/>
                      </w:rPr>
                      <w:t>-</w:t>
                    </w:r>
                  </w:p>
                </w:tc>
                <w:tc>
                  <w:tcPr>
                    <w:tcW w:w="402" w:type="pct"/>
                    <w:vAlign w:val="center"/>
                  </w:tcPr>
                  <w:p w:rsidR="00A4585B" w:rsidRPr="00AB06DF" w:rsidRDefault="008F04CF" w:rsidP="00B637B2">
                    <w:pPr>
                      <w:jc w:val="right"/>
                      <w:rPr>
                        <w:sz w:val="16"/>
                        <w:szCs w:val="16"/>
                      </w:rPr>
                    </w:pPr>
                    <w:r>
                      <w:rPr>
                        <w:rFonts w:hint="eastAsia"/>
                        <w:sz w:val="16"/>
                        <w:szCs w:val="16"/>
                      </w:rPr>
                      <w:t>-</w:t>
                    </w:r>
                  </w:p>
                </w:tc>
                <w:tc>
                  <w:tcPr>
                    <w:tcW w:w="357" w:type="pct"/>
                    <w:vAlign w:val="center"/>
                  </w:tcPr>
                  <w:p w:rsidR="00A4585B" w:rsidRPr="00AB06DF" w:rsidRDefault="008F04CF" w:rsidP="00B637B2">
                    <w:pPr>
                      <w:jc w:val="right"/>
                      <w:rPr>
                        <w:sz w:val="16"/>
                        <w:szCs w:val="16"/>
                      </w:rPr>
                    </w:pPr>
                    <w:r>
                      <w:rPr>
                        <w:rFonts w:hint="eastAsia"/>
                        <w:sz w:val="16"/>
                        <w:szCs w:val="16"/>
                      </w:rPr>
                      <w:t>-</w:t>
                    </w:r>
                  </w:p>
                </w:tc>
                <w:tc>
                  <w:tcPr>
                    <w:tcW w:w="357" w:type="pct"/>
                    <w:vAlign w:val="center"/>
                  </w:tcPr>
                  <w:p w:rsidR="00A4585B" w:rsidRPr="00AB06DF" w:rsidRDefault="008F04CF" w:rsidP="00B637B2">
                    <w:pPr>
                      <w:jc w:val="right"/>
                      <w:rPr>
                        <w:sz w:val="16"/>
                        <w:szCs w:val="16"/>
                      </w:rPr>
                    </w:pPr>
                    <w:r>
                      <w:rPr>
                        <w:rFonts w:hint="eastAsia"/>
                        <w:sz w:val="16"/>
                        <w:szCs w:val="16"/>
                      </w:rPr>
                      <w:t>-</w:t>
                    </w:r>
                  </w:p>
                </w:tc>
                <w:tc>
                  <w:tcPr>
                    <w:tcW w:w="140" w:type="pct"/>
                    <w:vAlign w:val="center"/>
                  </w:tcPr>
                  <w:p w:rsidR="00A4585B" w:rsidRPr="00AB06DF" w:rsidRDefault="008F04CF" w:rsidP="00B637B2">
                    <w:pPr>
                      <w:jc w:val="right"/>
                      <w:rPr>
                        <w:sz w:val="16"/>
                        <w:szCs w:val="16"/>
                      </w:rPr>
                    </w:pPr>
                    <w:r>
                      <w:rPr>
                        <w:rFonts w:hint="eastAsia"/>
                        <w:sz w:val="16"/>
                        <w:szCs w:val="16"/>
                      </w:rPr>
                      <w:t>-</w:t>
                    </w:r>
                  </w:p>
                </w:tc>
                <w:tc>
                  <w:tcPr>
                    <w:tcW w:w="353" w:type="pct"/>
                    <w:vAlign w:val="center"/>
                  </w:tcPr>
                  <w:p w:rsidR="00A4585B" w:rsidRPr="00AB06DF" w:rsidRDefault="008F04CF" w:rsidP="00B637B2">
                    <w:pPr>
                      <w:jc w:val="right"/>
                      <w:rPr>
                        <w:sz w:val="16"/>
                        <w:szCs w:val="16"/>
                      </w:rPr>
                    </w:pPr>
                    <w:r>
                      <w:rPr>
                        <w:rFonts w:hint="eastAsia"/>
                        <w:sz w:val="16"/>
                        <w:szCs w:val="16"/>
                      </w:rPr>
                      <w:t>-</w:t>
                    </w:r>
                  </w:p>
                </w:tc>
                <w:tc>
                  <w:tcPr>
                    <w:tcW w:w="186" w:type="pct"/>
                    <w:vAlign w:val="center"/>
                  </w:tcPr>
                  <w:p w:rsidR="00A4585B" w:rsidRPr="00AB06DF" w:rsidRDefault="008F04CF" w:rsidP="00B637B2">
                    <w:pPr>
                      <w:jc w:val="right"/>
                      <w:rPr>
                        <w:sz w:val="16"/>
                        <w:szCs w:val="16"/>
                      </w:rPr>
                    </w:pPr>
                    <w:r>
                      <w:rPr>
                        <w:rFonts w:hint="eastAsia"/>
                        <w:sz w:val="16"/>
                        <w:szCs w:val="16"/>
                      </w:rPr>
                      <w:t>-</w:t>
                    </w:r>
                  </w:p>
                </w:tc>
                <w:tc>
                  <w:tcPr>
                    <w:tcW w:w="399" w:type="pct"/>
                    <w:vAlign w:val="center"/>
                  </w:tcPr>
                  <w:p w:rsidR="00A4585B" w:rsidRPr="00AB06DF" w:rsidRDefault="008F04CF" w:rsidP="00B637B2">
                    <w:pPr>
                      <w:jc w:val="right"/>
                      <w:rPr>
                        <w:sz w:val="16"/>
                        <w:szCs w:val="16"/>
                      </w:rPr>
                    </w:pPr>
                    <w:r>
                      <w:rPr>
                        <w:rFonts w:hint="eastAsia"/>
                        <w:sz w:val="16"/>
                        <w:szCs w:val="16"/>
                      </w:rPr>
                      <w:t>-</w:t>
                    </w:r>
                  </w:p>
                </w:tc>
                <w:tc>
                  <w:tcPr>
                    <w:tcW w:w="157" w:type="pct"/>
                    <w:vAlign w:val="center"/>
                  </w:tcPr>
                  <w:p w:rsidR="00A4585B" w:rsidRPr="00AB06DF" w:rsidRDefault="008F04CF" w:rsidP="00B637B2">
                    <w:pPr>
                      <w:jc w:val="right"/>
                      <w:rPr>
                        <w:sz w:val="16"/>
                        <w:szCs w:val="16"/>
                      </w:rPr>
                    </w:pPr>
                    <w:r>
                      <w:rPr>
                        <w:rFonts w:hint="eastAsia"/>
                        <w:sz w:val="16"/>
                        <w:szCs w:val="16"/>
                      </w:rPr>
                      <w:t>-</w:t>
                    </w:r>
                  </w:p>
                </w:tc>
                <w:tc>
                  <w:tcPr>
                    <w:tcW w:w="419" w:type="pct"/>
                    <w:vAlign w:val="center"/>
                  </w:tcPr>
                  <w:p w:rsidR="00A4585B" w:rsidRPr="00AB06DF" w:rsidRDefault="008F04CF" w:rsidP="00B637B2">
                    <w:pPr>
                      <w:jc w:val="right"/>
                      <w:rPr>
                        <w:sz w:val="16"/>
                        <w:szCs w:val="16"/>
                      </w:rPr>
                    </w:pPr>
                    <w:r>
                      <w:rPr>
                        <w:rFonts w:hint="eastAsia"/>
                        <w:sz w:val="16"/>
                        <w:szCs w:val="16"/>
                      </w:rPr>
                      <w:t>-</w:t>
                    </w:r>
                  </w:p>
                </w:tc>
                <w:tc>
                  <w:tcPr>
                    <w:tcW w:w="399" w:type="pct"/>
                    <w:vAlign w:val="center"/>
                  </w:tcPr>
                  <w:p w:rsidR="00A4585B" w:rsidRPr="00AB06DF" w:rsidRDefault="008F04CF" w:rsidP="00B637B2">
                    <w:pPr>
                      <w:jc w:val="right"/>
                      <w:rPr>
                        <w:sz w:val="16"/>
                        <w:szCs w:val="16"/>
                      </w:rPr>
                    </w:pPr>
                    <w:r>
                      <w:rPr>
                        <w:rFonts w:hint="eastAsia"/>
                        <w:sz w:val="16"/>
                        <w:szCs w:val="16"/>
                      </w:rPr>
                      <w:t>-</w:t>
                    </w:r>
                  </w:p>
                </w:tc>
                <w:tc>
                  <w:tcPr>
                    <w:tcW w:w="399" w:type="pct"/>
                    <w:vAlign w:val="center"/>
                  </w:tcPr>
                  <w:p w:rsidR="00A4585B" w:rsidRPr="00AB06DF" w:rsidRDefault="00A4585B" w:rsidP="00B637B2">
                    <w:pPr>
                      <w:jc w:val="right"/>
                      <w:rPr>
                        <w:sz w:val="16"/>
                        <w:szCs w:val="16"/>
                      </w:rPr>
                    </w:pPr>
                    <w:r w:rsidRPr="00AB06DF">
                      <w:rPr>
                        <w:sz w:val="16"/>
                        <w:szCs w:val="16"/>
                      </w:rPr>
                      <w:t>-</w:t>
                    </w:r>
                  </w:p>
                </w:tc>
              </w:tr>
              <w:tr w:rsidR="00B637B2" w:rsidTr="00B637B2">
                <w:tc>
                  <w:tcPr>
                    <w:tcW w:w="631" w:type="pct"/>
                  </w:tcPr>
                  <w:sdt>
                    <w:sdtPr>
                      <w:rPr>
                        <w:sz w:val="16"/>
                        <w:szCs w:val="16"/>
                      </w:rPr>
                      <w:tag w:val="_PLD_ea153cdd99f74bf1b50bc1743d25f429"/>
                      <w:id w:val="1561049264"/>
                      <w:lock w:val="sdtLocked"/>
                    </w:sdtPr>
                    <w:sdtContent>
                      <w:p w:rsidR="00A4585B" w:rsidRPr="00AB06DF" w:rsidRDefault="00A4585B" w:rsidP="00A4585B">
                        <w:pPr>
                          <w:rPr>
                            <w:sz w:val="16"/>
                            <w:szCs w:val="16"/>
                          </w:rPr>
                        </w:pPr>
                        <w:r w:rsidRPr="00AB06DF">
                          <w:rPr>
                            <w:sz w:val="16"/>
                            <w:szCs w:val="16"/>
                          </w:rPr>
                          <w:t>5．其他综合收益结转留存收益</w:t>
                        </w:r>
                      </w:p>
                    </w:sdtContent>
                  </w:sdt>
                </w:tc>
                <w:tc>
                  <w:tcPr>
                    <w:tcW w:w="422" w:type="pct"/>
                    <w:vAlign w:val="center"/>
                  </w:tcPr>
                  <w:p w:rsidR="00A4585B" w:rsidRPr="00AB06DF" w:rsidRDefault="00A4585B" w:rsidP="00B637B2">
                    <w:pPr>
                      <w:jc w:val="right"/>
                      <w:rPr>
                        <w:sz w:val="16"/>
                        <w:szCs w:val="16"/>
                      </w:rPr>
                    </w:pPr>
                    <w:r w:rsidRPr="00AB06DF">
                      <w:rPr>
                        <w:sz w:val="16"/>
                        <w:szCs w:val="16"/>
                      </w:rPr>
                      <w:t>-</w:t>
                    </w:r>
                  </w:p>
                </w:tc>
                <w:tc>
                  <w:tcPr>
                    <w:tcW w:w="119" w:type="pct"/>
                    <w:vAlign w:val="center"/>
                  </w:tcPr>
                  <w:p w:rsidR="00A4585B" w:rsidRPr="00AB06DF" w:rsidRDefault="00A4585B" w:rsidP="00B637B2">
                    <w:pPr>
                      <w:jc w:val="right"/>
                      <w:rPr>
                        <w:sz w:val="16"/>
                        <w:szCs w:val="16"/>
                      </w:rPr>
                    </w:pPr>
                    <w:r w:rsidRPr="00AB06DF">
                      <w:rPr>
                        <w:sz w:val="16"/>
                        <w:szCs w:val="16"/>
                      </w:rPr>
                      <w:t>-</w:t>
                    </w:r>
                  </w:p>
                </w:tc>
                <w:tc>
                  <w:tcPr>
                    <w:tcW w:w="127" w:type="pct"/>
                    <w:vAlign w:val="center"/>
                  </w:tcPr>
                  <w:p w:rsidR="00A4585B" w:rsidRPr="00AB06DF" w:rsidRDefault="00A4585B" w:rsidP="00B637B2">
                    <w:pPr>
                      <w:jc w:val="right"/>
                      <w:rPr>
                        <w:sz w:val="16"/>
                        <w:szCs w:val="16"/>
                      </w:rPr>
                    </w:pPr>
                    <w:r w:rsidRPr="00AB06DF">
                      <w:rPr>
                        <w:sz w:val="16"/>
                        <w:szCs w:val="16"/>
                      </w:rPr>
                      <w:t>-</w:t>
                    </w:r>
                  </w:p>
                </w:tc>
                <w:tc>
                  <w:tcPr>
                    <w:tcW w:w="133" w:type="pct"/>
                    <w:vAlign w:val="center"/>
                  </w:tcPr>
                  <w:p w:rsidR="00A4585B" w:rsidRPr="00AB06DF" w:rsidRDefault="00A4585B" w:rsidP="00B637B2">
                    <w:pPr>
                      <w:jc w:val="right"/>
                      <w:rPr>
                        <w:sz w:val="16"/>
                        <w:szCs w:val="16"/>
                      </w:rPr>
                    </w:pPr>
                    <w:r w:rsidRPr="00AB06DF">
                      <w:rPr>
                        <w:sz w:val="16"/>
                        <w:szCs w:val="16"/>
                      </w:rPr>
                      <w:t>-</w:t>
                    </w:r>
                  </w:p>
                </w:tc>
                <w:tc>
                  <w:tcPr>
                    <w:tcW w:w="402" w:type="pct"/>
                    <w:vAlign w:val="center"/>
                  </w:tcPr>
                  <w:p w:rsidR="00A4585B" w:rsidRPr="00AB06DF" w:rsidRDefault="00A4585B" w:rsidP="00B637B2">
                    <w:pPr>
                      <w:jc w:val="right"/>
                      <w:rPr>
                        <w:sz w:val="16"/>
                        <w:szCs w:val="16"/>
                      </w:rPr>
                    </w:pPr>
                    <w:r w:rsidRPr="00AB06DF">
                      <w:rPr>
                        <w:sz w:val="16"/>
                        <w:szCs w:val="16"/>
                      </w:rPr>
                      <w:t>-</w:t>
                    </w:r>
                  </w:p>
                </w:tc>
                <w:tc>
                  <w:tcPr>
                    <w:tcW w:w="357" w:type="pct"/>
                    <w:vAlign w:val="center"/>
                  </w:tcPr>
                  <w:p w:rsidR="00A4585B" w:rsidRPr="00AB06DF" w:rsidRDefault="00A4585B" w:rsidP="00B637B2">
                    <w:pPr>
                      <w:jc w:val="right"/>
                      <w:rPr>
                        <w:sz w:val="16"/>
                        <w:szCs w:val="16"/>
                      </w:rPr>
                    </w:pPr>
                    <w:r w:rsidRPr="00AB06DF">
                      <w:rPr>
                        <w:sz w:val="16"/>
                        <w:szCs w:val="16"/>
                      </w:rPr>
                      <w:t>-</w:t>
                    </w:r>
                  </w:p>
                </w:tc>
                <w:tc>
                  <w:tcPr>
                    <w:tcW w:w="357" w:type="pct"/>
                    <w:vAlign w:val="center"/>
                  </w:tcPr>
                  <w:p w:rsidR="00A4585B" w:rsidRPr="00AB06DF" w:rsidRDefault="00A4585B" w:rsidP="00B637B2">
                    <w:pPr>
                      <w:jc w:val="right"/>
                      <w:rPr>
                        <w:sz w:val="16"/>
                        <w:szCs w:val="16"/>
                      </w:rPr>
                    </w:pPr>
                    <w:r w:rsidRPr="00AB06DF">
                      <w:rPr>
                        <w:sz w:val="16"/>
                        <w:szCs w:val="16"/>
                      </w:rPr>
                      <w:t>-</w:t>
                    </w:r>
                  </w:p>
                </w:tc>
                <w:tc>
                  <w:tcPr>
                    <w:tcW w:w="140" w:type="pct"/>
                    <w:vAlign w:val="center"/>
                  </w:tcPr>
                  <w:p w:rsidR="00A4585B" w:rsidRPr="00AB06DF" w:rsidRDefault="00A4585B" w:rsidP="00B637B2">
                    <w:pPr>
                      <w:jc w:val="right"/>
                      <w:rPr>
                        <w:sz w:val="16"/>
                        <w:szCs w:val="16"/>
                      </w:rPr>
                    </w:pPr>
                    <w:r w:rsidRPr="00AB06DF">
                      <w:rPr>
                        <w:sz w:val="16"/>
                        <w:szCs w:val="16"/>
                      </w:rPr>
                      <w:t>-</w:t>
                    </w:r>
                  </w:p>
                </w:tc>
                <w:tc>
                  <w:tcPr>
                    <w:tcW w:w="353" w:type="pct"/>
                    <w:vAlign w:val="center"/>
                  </w:tcPr>
                  <w:p w:rsidR="00A4585B" w:rsidRPr="00AB06DF" w:rsidRDefault="00A4585B" w:rsidP="00B637B2">
                    <w:pPr>
                      <w:jc w:val="right"/>
                      <w:rPr>
                        <w:sz w:val="16"/>
                        <w:szCs w:val="16"/>
                      </w:rPr>
                    </w:pPr>
                    <w:r w:rsidRPr="00AB06DF">
                      <w:rPr>
                        <w:sz w:val="16"/>
                        <w:szCs w:val="16"/>
                      </w:rPr>
                      <w:t>-</w:t>
                    </w:r>
                  </w:p>
                </w:tc>
                <w:tc>
                  <w:tcPr>
                    <w:tcW w:w="186" w:type="pct"/>
                    <w:vAlign w:val="center"/>
                  </w:tcPr>
                  <w:p w:rsidR="00A4585B" w:rsidRPr="00AB06DF" w:rsidRDefault="00A4585B" w:rsidP="00B637B2">
                    <w:pPr>
                      <w:jc w:val="right"/>
                      <w:rPr>
                        <w:sz w:val="16"/>
                        <w:szCs w:val="16"/>
                      </w:rPr>
                    </w:pPr>
                    <w:r w:rsidRPr="00AB06DF">
                      <w:rPr>
                        <w:sz w:val="16"/>
                        <w:szCs w:val="16"/>
                      </w:rPr>
                      <w:t>-</w:t>
                    </w:r>
                  </w:p>
                </w:tc>
                <w:tc>
                  <w:tcPr>
                    <w:tcW w:w="399" w:type="pct"/>
                    <w:vAlign w:val="center"/>
                  </w:tcPr>
                  <w:p w:rsidR="00A4585B" w:rsidRPr="00AB06DF" w:rsidRDefault="00A4585B" w:rsidP="00B637B2">
                    <w:pPr>
                      <w:jc w:val="right"/>
                      <w:rPr>
                        <w:sz w:val="16"/>
                        <w:szCs w:val="16"/>
                      </w:rPr>
                    </w:pPr>
                    <w:r w:rsidRPr="00AB06DF">
                      <w:rPr>
                        <w:sz w:val="16"/>
                        <w:szCs w:val="16"/>
                      </w:rPr>
                      <w:t>-</w:t>
                    </w:r>
                  </w:p>
                </w:tc>
                <w:tc>
                  <w:tcPr>
                    <w:tcW w:w="157" w:type="pct"/>
                    <w:vAlign w:val="center"/>
                  </w:tcPr>
                  <w:p w:rsidR="00A4585B" w:rsidRPr="00AB06DF" w:rsidRDefault="008F04CF" w:rsidP="00B637B2">
                    <w:pPr>
                      <w:jc w:val="right"/>
                      <w:rPr>
                        <w:sz w:val="16"/>
                        <w:szCs w:val="16"/>
                      </w:rPr>
                    </w:pPr>
                    <w:r>
                      <w:rPr>
                        <w:rFonts w:hint="eastAsia"/>
                        <w:sz w:val="16"/>
                        <w:szCs w:val="16"/>
                      </w:rPr>
                      <w:t>-</w:t>
                    </w:r>
                  </w:p>
                </w:tc>
                <w:tc>
                  <w:tcPr>
                    <w:tcW w:w="419" w:type="pct"/>
                    <w:vAlign w:val="center"/>
                  </w:tcPr>
                  <w:p w:rsidR="00A4585B" w:rsidRPr="00AB06DF" w:rsidRDefault="008F04CF" w:rsidP="00B637B2">
                    <w:pPr>
                      <w:jc w:val="right"/>
                      <w:rPr>
                        <w:sz w:val="16"/>
                        <w:szCs w:val="16"/>
                      </w:rPr>
                    </w:pPr>
                    <w:r>
                      <w:rPr>
                        <w:rFonts w:hint="eastAsia"/>
                        <w:sz w:val="16"/>
                        <w:szCs w:val="16"/>
                      </w:rPr>
                      <w:t>-</w:t>
                    </w:r>
                  </w:p>
                </w:tc>
                <w:tc>
                  <w:tcPr>
                    <w:tcW w:w="399" w:type="pct"/>
                    <w:vAlign w:val="center"/>
                  </w:tcPr>
                  <w:p w:rsidR="00A4585B" w:rsidRPr="00AB06DF" w:rsidRDefault="00A4585B" w:rsidP="00B637B2">
                    <w:pPr>
                      <w:jc w:val="right"/>
                      <w:rPr>
                        <w:sz w:val="16"/>
                        <w:szCs w:val="16"/>
                      </w:rPr>
                    </w:pPr>
                    <w:r w:rsidRPr="00AB06DF">
                      <w:rPr>
                        <w:sz w:val="16"/>
                        <w:szCs w:val="16"/>
                      </w:rPr>
                      <w:t>-</w:t>
                    </w:r>
                  </w:p>
                </w:tc>
                <w:tc>
                  <w:tcPr>
                    <w:tcW w:w="399" w:type="pct"/>
                    <w:vAlign w:val="center"/>
                  </w:tcPr>
                  <w:p w:rsidR="00A4585B" w:rsidRPr="00AB06DF" w:rsidRDefault="00A4585B" w:rsidP="00B637B2">
                    <w:pPr>
                      <w:jc w:val="right"/>
                      <w:rPr>
                        <w:sz w:val="16"/>
                        <w:szCs w:val="16"/>
                      </w:rPr>
                    </w:pPr>
                    <w:r w:rsidRPr="00AB06DF">
                      <w:rPr>
                        <w:sz w:val="16"/>
                        <w:szCs w:val="16"/>
                      </w:rPr>
                      <w:t>-</w:t>
                    </w:r>
                  </w:p>
                </w:tc>
              </w:tr>
              <w:tr w:rsidR="00B637B2" w:rsidTr="00B637B2">
                <w:tc>
                  <w:tcPr>
                    <w:tcW w:w="631" w:type="pct"/>
                  </w:tcPr>
                  <w:sdt>
                    <w:sdtPr>
                      <w:rPr>
                        <w:sz w:val="16"/>
                        <w:szCs w:val="16"/>
                      </w:rPr>
                      <w:tag w:val="_PLD_de42fced9d0547ecb946b8443ac4ea20"/>
                      <w:id w:val="-1650745707"/>
                      <w:lock w:val="sdtLocked"/>
                    </w:sdtPr>
                    <w:sdtContent>
                      <w:p w:rsidR="00A4585B" w:rsidRPr="00AB06DF" w:rsidRDefault="00A4585B" w:rsidP="00A4585B">
                        <w:pPr>
                          <w:rPr>
                            <w:sz w:val="16"/>
                            <w:szCs w:val="16"/>
                          </w:rPr>
                        </w:pPr>
                        <w:r w:rsidRPr="00AB06DF">
                          <w:rPr>
                            <w:sz w:val="16"/>
                            <w:szCs w:val="16"/>
                          </w:rPr>
                          <w:t>6．其他</w:t>
                        </w:r>
                      </w:p>
                    </w:sdtContent>
                  </w:sdt>
                </w:tc>
                <w:tc>
                  <w:tcPr>
                    <w:tcW w:w="422" w:type="pct"/>
                    <w:vAlign w:val="center"/>
                  </w:tcPr>
                  <w:p w:rsidR="00A4585B" w:rsidRPr="00AB06DF" w:rsidRDefault="008F04CF" w:rsidP="00B637B2">
                    <w:pPr>
                      <w:jc w:val="right"/>
                      <w:rPr>
                        <w:sz w:val="16"/>
                        <w:szCs w:val="16"/>
                      </w:rPr>
                    </w:pPr>
                    <w:r>
                      <w:rPr>
                        <w:rFonts w:hint="eastAsia"/>
                        <w:sz w:val="16"/>
                        <w:szCs w:val="16"/>
                      </w:rPr>
                      <w:t>-</w:t>
                    </w:r>
                  </w:p>
                </w:tc>
                <w:tc>
                  <w:tcPr>
                    <w:tcW w:w="119" w:type="pct"/>
                    <w:vAlign w:val="center"/>
                  </w:tcPr>
                  <w:p w:rsidR="00A4585B" w:rsidRPr="00AB06DF" w:rsidRDefault="008F04CF" w:rsidP="00B637B2">
                    <w:pPr>
                      <w:jc w:val="right"/>
                      <w:rPr>
                        <w:sz w:val="16"/>
                        <w:szCs w:val="16"/>
                      </w:rPr>
                    </w:pPr>
                    <w:r>
                      <w:rPr>
                        <w:rFonts w:hint="eastAsia"/>
                        <w:sz w:val="16"/>
                        <w:szCs w:val="16"/>
                      </w:rPr>
                      <w:t>-</w:t>
                    </w:r>
                  </w:p>
                </w:tc>
                <w:tc>
                  <w:tcPr>
                    <w:tcW w:w="127" w:type="pct"/>
                    <w:vAlign w:val="center"/>
                  </w:tcPr>
                  <w:p w:rsidR="00A4585B" w:rsidRPr="00AB06DF" w:rsidRDefault="008F04CF" w:rsidP="00B637B2">
                    <w:pPr>
                      <w:jc w:val="right"/>
                      <w:rPr>
                        <w:sz w:val="16"/>
                        <w:szCs w:val="16"/>
                      </w:rPr>
                    </w:pPr>
                    <w:r>
                      <w:rPr>
                        <w:rFonts w:hint="eastAsia"/>
                        <w:sz w:val="16"/>
                        <w:szCs w:val="16"/>
                      </w:rPr>
                      <w:t>-</w:t>
                    </w:r>
                  </w:p>
                </w:tc>
                <w:tc>
                  <w:tcPr>
                    <w:tcW w:w="133" w:type="pct"/>
                    <w:vAlign w:val="center"/>
                  </w:tcPr>
                  <w:p w:rsidR="00A4585B" w:rsidRPr="00AB06DF" w:rsidRDefault="008F04CF" w:rsidP="00B637B2">
                    <w:pPr>
                      <w:jc w:val="right"/>
                      <w:rPr>
                        <w:sz w:val="16"/>
                        <w:szCs w:val="16"/>
                      </w:rPr>
                    </w:pPr>
                    <w:r>
                      <w:rPr>
                        <w:rFonts w:hint="eastAsia"/>
                        <w:sz w:val="16"/>
                        <w:szCs w:val="16"/>
                      </w:rPr>
                      <w:t>-</w:t>
                    </w:r>
                  </w:p>
                </w:tc>
                <w:tc>
                  <w:tcPr>
                    <w:tcW w:w="402" w:type="pct"/>
                    <w:vAlign w:val="center"/>
                  </w:tcPr>
                  <w:p w:rsidR="00A4585B" w:rsidRPr="00AB06DF" w:rsidRDefault="008F04CF" w:rsidP="00B637B2">
                    <w:pPr>
                      <w:jc w:val="right"/>
                      <w:rPr>
                        <w:sz w:val="16"/>
                        <w:szCs w:val="16"/>
                      </w:rPr>
                    </w:pPr>
                    <w:r>
                      <w:rPr>
                        <w:rFonts w:hint="eastAsia"/>
                        <w:sz w:val="16"/>
                        <w:szCs w:val="16"/>
                      </w:rPr>
                      <w:t>-</w:t>
                    </w:r>
                  </w:p>
                </w:tc>
                <w:tc>
                  <w:tcPr>
                    <w:tcW w:w="357" w:type="pct"/>
                    <w:vAlign w:val="center"/>
                  </w:tcPr>
                  <w:p w:rsidR="00A4585B" w:rsidRPr="00AB06DF" w:rsidRDefault="008F04CF" w:rsidP="00B637B2">
                    <w:pPr>
                      <w:jc w:val="right"/>
                      <w:rPr>
                        <w:sz w:val="16"/>
                        <w:szCs w:val="16"/>
                      </w:rPr>
                    </w:pPr>
                    <w:r>
                      <w:rPr>
                        <w:rFonts w:hint="eastAsia"/>
                        <w:sz w:val="16"/>
                        <w:szCs w:val="16"/>
                      </w:rPr>
                      <w:t>-</w:t>
                    </w:r>
                  </w:p>
                </w:tc>
                <w:tc>
                  <w:tcPr>
                    <w:tcW w:w="357" w:type="pct"/>
                    <w:vAlign w:val="center"/>
                  </w:tcPr>
                  <w:p w:rsidR="00A4585B" w:rsidRPr="00AB06DF" w:rsidRDefault="008F04CF" w:rsidP="00B637B2">
                    <w:pPr>
                      <w:jc w:val="right"/>
                      <w:rPr>
                        <w:sz w:val="16"/>
                        <w:szCs w:val="16"/>
                      </w:rPr>
                    </w:pPr>
                    <w:r>
                      <w:rPr>
                        <w:rFonts w:hint="eastAsia"/>
                        <w:sz w:val="16"/>
                        <w:szCs w:val="16"/>
                      </w:rPr>
                      <w:t>-</w:t>
                    </w:r>
                  </w:p>
                </w:tc>
                <w:tc>
                  <w:tcPr>
                    <w:tcW w:w="140" w:type="pct"/>
                    <w:vAlign w:val="center"/>
                  </w:tcPr>
                  <w:p w:rsidR="00A4585B" w:rsidRPr="00AB06DF" w:rsidRDefault="008F04CF" w:rsidP="00B637B2">
                    <w:pPr>
                      <w:jc w:val="right"/>
                      <w:rPr>
                        <w:sz w:val="16"/>
                        <w:szCs w:val="16"/>
                      </w:rPr>
                    </w:pPr>
                    <w:r>
                      <w:rPr>
                        <w:rFonts w:hint="eastAsia"/>
                        <w:sz w:val="16"/>
                        <w:szCs w:val="16"/>
                      </w:rPr>
                      <w:t>-</w:t>
                    </w:r>
                  </w:p>
                </w:tc>
                <w:tc>
                  <w:tcPr>
                    <w:tcW w:w="353" w:type="pct"/>
                    <w:vAlign w:val="center"/>
                  </w:tcPr>
                  <w:p w:rsidR="00A4585B" w:rsidRPr="00AB06DF" w:rsidRDefault="008F04CF" w:rsidP="00B637B2">
                    <w:pPr>
                      <w:jc w:val="right"/>
                      <w:rPr>
                        <w:sz w:val="16"/>
                        <w:szCs w:val="16"/>
                      </w:rPr>
                    </w:pPr>
                    <w:r>
                      <w:rPr>
                        <w:rFonts w:hint="eastAsia"/>
                        <w:sz w:val="16"/>
                        <w:szCs w:val="16"/>
                      </w:rPr>
                      <w:t>-</w:t>
                    </w:r>
                  </w:p>
                </w:tc>
                <w:tc>
                  <w:tcPr>
                    <w:tcW w:w="186" w:type="pct"/>
                    <w:vAlign w:val="center"/>
                  </w:tcPr>
                  <w:p w:rsidR="00A4585B" w:rsidRPr="00AB06DF" w:rsidRDefault="008F04CF" w:rsidP="00B637B2">
                    <w:pPr>
                      <w:jc w:val="right"/>
                      <w:rPr>
                        <w:sz w:val="16"/>
                        <w:szCs w:val="16"/>
                      </w:rPr>
                    </w:pPr>
                    <w:r>
                      <w:rPr>
                        <w:rFonts w:hint="eastAsia"/>
                        <w:sz w:val="16"/>
                        <w:szCs w:val="16"/>
                      </w:rPr>
                      <w:t>-</w:t>
                    </w:r>
                  </w:p>
                </w:tc>
                <w:tc>
                  <w:tcPr>
                    <w:tcW w:w="399" w:type="pct"/>
                    <w:vAlign w:val="center"/>
                  </w:tcPr>
                  <w:p w:rsidR="00A4585B" w:rsidRPr="00AB06DF" w:rsidRDefault="008F04CF" w:rsidP="00B637B2">
                    <w:pPr>
                      <w:jc w:val="right"/>
                      <w:rPr>
                        <w:sz w:val="16"/>
                        <w:szCs w:val="16"/>
                      </w:rPr>
                    </w:pPr>
                    <w:r>
                      <w:rPr>
                        <w:rFonts w:hint="eastAsia"/>
                        <w:sz w:val="16"/>
                        <w:szCs w:val="16"/>
                      </w:rPr>
                      <w:t>-</w:t>
                    </w:r>
                  </w:p>
                </w:tc>
                <w:tc>
                  <w:tcPr>
                    <w:tcW w:w="157" w:type="pct"/>
                    <w:vAlign w:val="center"/>
                  </w:tcPr>
                  <w:p w:rsidR="00A4585B" w:rsidRPr="00AB06DF" w:rsidRDefault="008F04CF" w:rsidP="00B637B2">
                    <w:pPr>
                      <w:jc w:val="right"/>
                      <w:rPr>
                        <w:sz w:val="16"/>
                        <w:szCs w:val="16"/>
                      </w:rPr>
                    </w:pPr>
                    <w:r>
                      <w:rPr>
                        <w:rFonts w:hint="eastAsia"/>
                        <w:sz w:val="16"/>
                        <w:szCs w:val="16"/>
                      </w:rPr>
                      <w:t>-</w:t>
                    </w:r>
                  </w:p>
                </w:tc>
                <w:tc>
                  <w:tcPr>
                    <w:tcW w:w="419" w:type="pct"/>
                    <w:vAlign w:val="center"/>
                  </w:tcPr>
                  <w:p w:rsidR="00A4585B" w:rsidRPr="00AB06DF" w:rsidRDefault="008F04CF" w:rsidP="00B637B2">
                    <w:pPr>
                      <w:jc w:val="right"/>
                      <w:rPr>
                        <w:sz w:val="16"/>
                        <w:szCs w:val="16"/>
                      </w:rPr>
                    </w:pPr>
                    <w:r>
                      <w:rPr>
                        <w:rFonts w:hint="eastAsia"/>
                        <w:sz w:val="16"/>
                        <w:szCs w:val="16"/>
                      </w:rPr>
                      <w:t>-</w:t>
                    </w:r>
                  </w:p>
                </w:tc>
                <w:tc>
                  <w:tcPr>
                    <w:tcW w:w="399" w:type="pct"/>
                    <w:vAlign w:val="center"/>
                  </w:tcPr>
                  <w:p w:rsidR="00A4585B" w:rsidRPr="00AB06DF" w:rsidRDefault="008F04CF" w:rsidP="00B637B2">
                    <w:pPr>
                      <w:jc w:val="right"/>
                      <w:rPr>
                        <w:sz w:val="16"/>
                        <w:szCs w:val="16"/>
                      </w:rPr>
                    </w:pPr>
                    <w:r>
                      <w:rPr>
                        <w:rFonts w:hint="eastAsia"/>
                        <w:sz w:val="16"/>
                        <w:szCs w:val="16"/>
                      </w:rPr>
                      <w:t>-</w:t>
                    </w:r>
                  </w:p>
                </w:tc>
                <w:tc>
                  <w:tcPr>
                    <w:tcW w:w="399" w:type="pct"/>
                    <w:vAlign w:val="center"/>
                  </w:tcPr>
                  <w:p w:rsidR="00A4585B" w:rsidRPr="00AB06DF" w:rsidRDefault="00A4585B" w:rsidP="00B637B2">
                    <w:pPr>
                      <w:jc w:val="right"/>
                      <w:rPr>
                        <w:sz w:val="16"/>
                        <w:szCs w:val="16"/>
                      </w:rPr>
                    </w:pPr>
                    <w:r w:rsidRPr="00AB06DF">
                      <w:rPr>
                        <w:sz w:val="16"/>
                        <w:szCs w:val="16"/>
                      </w:rPr>
                      <w:t>-</w:t>
                    </w:r>
                  </w:p>
                </w:tc>
              </w:tr>
              <w:tr w:rsidR="00B637B2" w:rsidTr="00B637B2">
                <w:sdt>
                  <w:sdtPr>
                    <w:rPr>
                      <w:sz w:val="16"/>
                      <w:szCs w:val="16"/>
                    </w:rPr>
                    <w:tag w:val="_PLD_14d25c6e75074c52a0f884581cc84dba"/>
                    <w:id w:val="448677673"/>
                    <w:lock w:val="sdtLocked"/>
                  </w:sdtPr>
                  <w:sdtContent>
                    <w:tc>
                      <w:tcPr>
                        <w:tcW w:w="631" w:type="pct"/>
                      </w:tcPr>
                      <w:p w:rsidR="00A4585B" w:rsidRPr="00AB06DF" w:rsidRDefault="00A4585B" w:rsidP="00A4585B">
                        <w:pPr>
                          <w:rPr>
                            <w:sz w:val="16"/>
                            <w:szCs w:val="16"/>
                          </w:rPr>
                        </w:pPr>
                        <w:r w:rsidRPr="00AB06DF">
                          <w:rPr>
                            <w:rFonts w:hint="eastAsia"/>
                            <w:sz w:val="16"/>
                            <w:szCs w:val="16"/>
                          </w:rPr>
                          <w:t>（五）专项储备</w:t>
                        </w:r>
                      </w:p>
                    </w:tc>
                  </w:sdtContent>
                </w:sdt>
                <w:tc>
                  <w:tcPr>
                    <w:tcW w:w="422" w:type="pct"/>
                    <w:vAlign w:val="center"/>
                  </w:tcPr>
                  <w:p w:rsidR="00A4585B" w:rsidRPr="00AB06DF" w:rsidRDefault="008F04CF" w:rsidP="00B637B2">
                    <w:pPr>
                      <w:jc w:val="right"/>
                      <w:rPr>
                        <w:sz w:val="16"/>
                        <w:szCs w:val="16"/>
                      </w:rPr>
                    </w:pPr>
                    <w:r>
                      <w:rPr>
                        <w:rFonts w:hint="eastAsia"/>
                        <w:sz w:val="16"/>
                        <w:szCs w:val="16"/>
                      </w:rPr>
                      <w:t>-</w:t>
                    </w:r>
                  </w:p>
                </w:tc>
                <w:tc>
                  <w:tcPr>
                    <w:tcW w:w="119" w:type="pct"/>
                    <w:vAlign w:val="center"/>
                  </w:tcPr>
                  <w:p w:rsidR="00A4585B" w:rsidRPr="00AB06DF" w:rsidRDefault="008F04CF" w:rsidP="00B637B2">
                    <w:pPr>
                      <w:jc w:val="right"/>
                      <w:rPr>
                        <w:sz w:val="16"/>
                        <w:szCs w:val="16"/>
                      </w:rPr>
                    </w:pPr>
                    <w:r>
                      <w:rPr>
                        <w:rFonts w:hint="eastAsia"/>
                        <w:sz w:val="16"/>
                        <w:szCs w:val="16"/>
                      </w:rPr>
                      <w:t>-</w:t>
                    </w:r>
                  </w:p>
                </w:tc>
                <w:tc>
                  <w:tcPr>
                    <w:tcW w:w="127" w:type="pct"/>
                    <w:vAlign w:val="center"/>
                  </w:tcPr>
                  <w:p w:rsidR="00A4585B" w:rsidRPr="00AB06DF" w:rsidRDefault="008F04CF" w:rsidP="00B637B2">
                    <w:pPr>
                      <w:jc w:val="right"/>
                      <w:rPr>
                        <w:sz w:val="16"/>
                        <w:szCs w:val="16"/>
                      </w:rPr>
                    </w:pPr>
                    <w:r>
                      <w:rPr>
                        <w:rFonts w:hint="eastAsia"/>
                        <w:sz w:val="16"/>
                        <w:szCs w:val="16"/>
                      </w:rPr>
                      <w:t>-</w:t>
                    </w:r>
                  </w:p>
                </w:tc>
                <w:tc>
                  <w:tcPr>
                    <w:tcW w:w="133" w:type="pct"/>
                    <w:vAlign w:val="center"/>
                  </w:tcPr>
                  <w:p w:rsidR="00A4585B" w:rsidRPr="00AB06DF" w:rsidRDefault="008F04CF" w:rsidP="00B637B2">
                    <w:pPr>
                      <w:jc w:val="right"/>
                      <w:rPr>
                        <w:sz w:val="16"/>
                        <w:szCs w:val="16"/>
                      </w:rPr>
                    </w:pPr>
                    <w:r>
                      <w:rPr>
                        <w:rFonts w:hint="eastAsia"/>
                        <w:sz w:val="16"/>
                        <w:szCs w:val="16"/>
                      </w:rPr>
                      <w:t>-</w:t>
                    </w:r>
                  </w:p>
                </w:tc>
                <w:tc>
                  <w:tcPr>
                    <w:tcW w:w="402" w:type="pct"/>
                    <w:vAlign w:val="center"/>
                  </w:tcPr>
                  <w:p w:rsidR="00A4585B" w:rsidRPr="00AB06DF" w:rsidRDefault="008F04CF" w:rsidP="00B637B2">
                    <w:pPr>
                      <w:jc w:val="right"/>
                      <w:rPr>
                        <w:sz w:val="16"/>
                        <w:szCs w:val="16"/>
                      </w:rPr>
                    </w:pPr>
                    <w:r>
                      <w:rPr>
                        <w:rFonts w:hint="eastAsia"/>
                        <w:sz w:val="16"/>
                        <w:szCs w:val="16"/>
                      </w:rPr>
                      <w:t>-</w:t>
                    </w:r>
                  </w:p>
                </w:tc>
                <w:tc>
                  <w:tcPr>
                    <w:tcW w:w="357" w:type="pct"/>
                    <w:vAlign w:val="center"/>
                  </w:tcPr>
                  <w:p w:rsidR="00A4585B" w:rsidRPr="00AB06DF" w:rsidRDefault="008F04CF" w:rsidP="00B637B2">
                    <w:pPr>
                      <w:jc w:val="right"/>
                      <w:rPr>
                        <w:sz w:val="16"/>
                        <w:szCs w:val="16"/>
                      </w:rPr>
                    </w:pPr>
                    <w:r>
                      <w:rPr>
                        <w:rFonts w:hint="eastAsia"/>
                        <w:sz w:val="16"/>
                        <w:szCs w:val="16"/>
                      </w:rPr>
                      <w:t>-</w:t>
                    </w:r>
                  </w:p>
                </w:tc>
                <w:tc>
                  <w:tcPr>
                    <w:tcW w:w="357" w:type="pct"/>
                    <w:vAlign w:val="center"/>
                  </w:tcPr>
                  <w:p w:rsidR="00A4585B" w:rsidRPr="00AB06DF" w:rsidRDefault="008F04CF" w:rsidP="00B637B2">
                    <w:pPr>
                      <w:jc w:val="right"/>
                      <w:rPr>
                        <w:sz w:val="16"/>
                        <w:szCs w:val="16"/>
                      </w:rPr>
                    </w:pPr>
                    <w:r>
                      <w:rPr>
                        <w:rFonts w:hint="eastAsia"/>
                        <w:sz w:val="16"/>
                        <w:szCs w:val="16"/>
                      </w:rPr>
                      <w:t>-</w:t>
                    </w:r>
                  </w:p>
                </w:tc>
                <w:tc>
                  <w:tcPr>
                    <w:tcW w:w="140" w:type="pct"/>
                    <w:vAlign w:val="center"/>
                  </w:tcPr>
                  <w:p w:rsidR="00A4585B" w:rsidRPr="00AB06DF" w:rsidRDefault="008F04CF" w:rsidP="00B637B2">
                    <w:pPr>
                      <w:jc w:val="right"/>
                      <w:rPr>
                        <w:sz w:val="16"/>
                        <w:szCs w:val="16"/>
                      </w:rPr>
                    </w:pPr>
                    <w:r>
                      <w:rPr>
                        <w:rFonts w:hint="eastAsia"/>
                        <w:sz w:val="16"/>
                        <w:szCs w:val="16"/>
                      </w:rPr>
                      <w:t>-</w:t>
                    </w:r>
                  </w:p>
                </w:tc>
                <w:tc>
                  <w:tcPr>
                    <w:tcW w:w="353" w:type="pct"/>
                    <w:vAlign w:val="center"/>
                  </w:tcPr>
                  <w:p w:rsidR="00A4585B" w:rsidRPr="00AB06DF" w:rsidRDefault="008F04CF" w:rsidP="00B637B2">
                    <w:pPr>
                      <w:jc w:val="right"/>
                      <w:rPr>
                        <w:sz w:val="16"/>
                        <w:szCs w:val="16"/>
                      </w:rPr>
                    </w:pPr>
                    <w:r>
                      <w:rPr>
                        <w:rFonts w:hint="eastAsia"/>
                        <w:sz w:val="16"/>
                        <w:szCs w:val="16"/>
                      </w:rPr>
                      <w:t>-</w:t>
                    </w:r>
                  </w:p>
                </w:tc>
                <w:tc>
                  <w:tcPr>
                    <w:tcW w:w="186" w:type="pct"/>
                    <w:vAlign w:val="center"/>
                  </w:tcPr>
                  <w:p w:rsidR="00A4585B" w:rsidRPr="00AB06DF" w:rsidRDefault="008F04CF" w:rsidP="00B637B2">
                    <w:pPr>
                      <w:jc w:val="right"/>
                      <w:rPr>
                        <w:sz w:val="16"/>
                        <w:szCs w:val="16"/>
                      </w:rPr>
                    </w:pPr>
                    <w:r>
                      <w:rPr>
                        <w:rFonts w:hint="eastAsia"/>
                        <w:sz w:val="16"/>
                        <w:szCs w:val="16"/>
                      </w:rPr>
                      <w:t>-</w:t>
                    </w:r>
                  </w:p>
                </w:tc>
                <w:tc>
                  <w:tcPr>
                    <w:tcW w:w="399" w:type="pct"/>
                    <w:vAlign w:val="center"/>
                  </w:tcPr>
                  <w:p w:rsidR="00A4585B" w:rsidRPr="00AB06DF" w:rsidRDefault="008F04CF" w:rsidP="00B637B2">
                    <w:pPr>
                      <w:jc w:val="right"/>
                      <w:rPr>
                        <w:sz w:val="16"/>
                        <w:szCs w:val="16"/>
                      </w:rPr>
                    </w:pPr>
                    <w:r>
                      <w:rPr>
                        <w:rFonts w:hint="eastAsia"/>
                        <w:sz w:val="16"/>
                        <w:szCs w:val="16"/>
                      </w:rPr>
                      <w:t>-</w:t>
                    </w:r>
                  </w:p>
                </w:tc>
                <w:tc>
                  <w:tcPr>
                    <w:tcW w:w="157" w:type="pct"/>
                    <w:vAlign w:val="center"/>
                  </w:tcPr>
                  <w:p w:rsidR="00A4585B" w:rsidRPr="00AB06DF" w:rsidRDefault="008F04CF" w:rsidP="00B637B2">
                    <w:pPr>
                      <w:jc w:val="right"/>
                      <w:rPr>
                        <w:sz w:val="16"/>
                        <w:szCs w:val="16"/>
                      </w:rPr>
                    </w:pPr>
                    <w:r>
                      <w:rPr>
                        <w:rFonts w:hint="eastAsia"/>
                        <w:sz w:val="16"/>
                        <w:szCs w:val="16"/>
                      </w:rPr>
                      <w:t>-</w:t>
                    </w:r>
                  </w:p>
                </w:tc>
                <w:tc>
                  <w:tcPr>
                    <w:tcW w:w="419" w:type="pct"/>
                    <w:vAlign w:val="center"/>
                  </w:tcPr>
                  <w:p w:rsidR="00A4585B" w:rsidRPr="00AB06DF" w:rsidRDefault="008F04CF" w:rsidP="00B637B2">
                    <w:pPr>
                      <w:jc w:val="right"/>
                      <w:rPr>
                        <w:sz w:val="16"/>
                        <w:szCs w:val="16"/>
                      </w:rPr>
                    </w:pPr>
                    <w:r>
                      <w:rPr>
                        <w:rFonts w:hint="eastAsia"/>
                        <w:sz w:val="16"/>
                        <w:szCs w:val="16"/>
                      </w:rPr>
                      <w:t>-</w:t>
                    </w:r>
                  </w:p>
                </w:tc>
                <w:tc>
                  <w:tcPr>
                    <w:tcW w:w="399" w:type="pct"/>
                    <w:vAlign w:val="center"/>
                  </w:tcPr>
                  <w:p w:rsidR="00A4585B" w:rsidRPr="00AB06DF" w:rsidRDefault="008F04CF" w:rsidP="00B637B2">
                    <w:pPr>
                      <w:jc w:val="right"/>
                      <w:rPr>
                        <w:sz w:val="16"/>
                        <w:szCs w:val="16"/>
                      </w:rPr>
                    </w:pPr>
                    <w:r>
                      <w:rPr>
                        <w:rFonts w:hint="eastAsia"/>
                        <w:sz w:val="16"/>
                        <w:szCs w:val="16"/>
                      </w:rPr>
                      <w:t>-</w:t>
                    </w:r>
                  </w:p>
                </w:tc>
                <w:tc>
                  <w:tcPr>
                    <w:tcW w:w="399" w:type="pct"/>
                    <w:vAlign w:val="center"/>
                  </w:tcPr>
                  <w:p w:rsidR="00A4585B" w:rsidRPr="00AB06DF" w:rsidRDefault="00A4585B" w:rsidP="00B637B2">
                    <w:pPr>
                      <w:jc w:val="right"/>
                      <w:rPr>
                        <w:sz w:val="16"/>
                        <w:szCs w:val="16"/>
                      </w:rPr>
                    </w:pPr>
                    <w:r w:rsidRPr="00AB06DF">
                      <w:rPr>
                        <w:sz w:val="16"/>
                        <w:szCs w:val="16"/>
                      </w:rPr>
                      <w:t>-</w:t>
                    </w:r>
                  </w:p>
                </w:tc>
              </w:tr>
              <w:tr w:rsidR="00B637B2" w:rsidTr="00B637B2">
                <w:sdt>
                  <w:sdtPr>
                    <w:rPr>
                      <w:sz w:val="16"/>
                      <w:szCs w:val="16"/>
                    </w:rPr>
                    <w:tag w:val="_PLD_672c666008dd4adfa2ab5933e9cd1671"/>
                    <w:id w:val="1285778981"/>
                    <w:lock w:val="sdtLocked"/>
                  </w:sdtPr>
                  <w:sdtContent>
                    <w:tc>
                      <w:tcPr>
                        <w:tcW w:w="631" w:type="pct"/>
                      </w:tcPr>
                      <w:p w:rsidR="00A4585B" w:rsidRPr="00AB06DF" w:rsidRDefault="00A4585B" w:rsidP="00A4585B">
                        <w:pPr>
                          <w:rPr>
                            <w:sz w:val="16"/>
                            <w:szCs w:val="16"/>
                          </w:rPr>
                        </w:pPr>
                        <w:r w:rsidRPr="00AB06DF">
                          <w:rPr>
                            <w:rFonts w:hint="eastAsia"/>
                            <w:sz w:val="16"/>
                            <w:szCs w:val="16"/>
                          </w:rPr>
                          <w:t>1．本期提取</w:t>
                        </w:r>
                      </w:p>
                    </w:tc>
                  </w:sdtContent>
                </w:sdt>
                <w:tc>
                  <w:tcPr>
                    <w:tcW w:w="422" w:type="pct"/>
                    <w:vAlign w:val="center"/>
                  </w:tcPr>
                  <w:p w:rsidR="00A4585B" w:rsidRPr="00AB06DF" w:rsidRDefault="008F04CF" w:rsidP="00B637B2">
                    <w:pPr>
                      <w:jc w:val="right"/>
                      <w:rPr>
                        <w:sz w:val="16"/>
                        <w:szCs w:val="16"/>
                      </w:rPr>
                    </w:pPr>
                    <w:r>
                      <w:rPr>
                        <w:rFonts w:hint="eastAsia"/>
                        <w:sz w:val="16"/>
                        <w:szCs w:val="16"/>
                      </w:rPr>
                      <w:t>-</w:t>
                    </w:r>
                  </w:p>
                </w:tc>
                <w:tc>
                  <w:tcPr>
                    <w:tcW w:w="119" w:type="pct"/>
                    <w:vAlign w:val="center"/>
                  </w:tcPr>
                  <w:p w:rsidR="00A4585B" w:rsidRPr="00AB06DF" w:rsidRDefault="008F04CF" w:rsidP="00B637B2">
                    <w:pPr>
                      <w:jc w:val="right"/>
                      <w:rPr>
                        <w:sz w:val="16"/>
                        <w:szCs w:val="16"/>
                      </w:rPr>
                    </w:pPr>
                    <w:r>
                      <w:rPr>
                        <w:rFonts w:hint="eastAsia"/>
                        <w:sz w:val="16"/>
                        <w:szCs w:val="16"/>
                      </w:rPr>
                      <w:t>-</w:t>
                    </w:r>
                  </w:p>
                </w:tc>
                <w:tc>
                  <w:tcPr>
                    <w:tcW w:w="127" w:type="pct"/>
                    <w:vAlign w:val="center"/>
                  </w:tcPr>
                  <w:p w:rsidR="00A4585B" w:rsidRPr="00AB06DF" w:rsidRDefault="008F04CF" w:rsidP="00B637B2">
                    <w:pPr>
                      <w:jc w:val="right"/>
                      <w:rPr>
                        <w:sz w:val="16"/>
                        <w:szCs w:val="16"/>
                      </w:rPr>
                    </w:pPr>
                    <w:r>
                      <w:rPr>
                        <w:rFonts w:hint="eastAsia"/>
                        <w:sz w:val="16"/>
                        <w:szCs w:val="16"/>
                      </w:rPr>
                      <w:t>-</w:t>
                    </w:r>
                  </w:p>
                </w:tc>
                <w:tc>
                  <w:tcPr>
                    <w:tcW w:w="133" w:type="pct"/>
                    <w:vAlign w:val="center"/>
                  </w:tcPr>
                  <w:p w:rsidR="00A4585B" w:rsidRPr="00AB06DF" w:rsidRDefault="008F04CF" w:rsidP="00B637B2">
                    <w:pPr>
                      <w:jc w:val="right"/>
                      <w:rPr>
                        <w:sz w:val="16"/>
                        <w:szCs w:val="16"/>
                      </w:rPr>
                    </w:pPr>
                    <w:r>
                      <w:rPr>
                        <w:rFonts w:hint="eastAsia"/>
                        <w:sz w:val="16"/>
                        <w:szCs w:val="16"/>
                      </w:rPr>
                      <w:t>-</w:t>
                    </w:r>
                  </w:p>
                </w:tc>
                <w:tc>
                  <w:tcPr>
                    <w:tcW w:w="402" w:type="pct"/>
                    <w:vAlign w:val="center"/>
                  </w:tcPr>
                  <w:p w:rsidR="00A4585B" w:rsidRPr="00AB06DF" w:rsidRDefault="008F04CF" w:rsidP="00B637B2">
                    <w:pPr>
                      <w:jc w:val="right"/>
                      <w:rPr>
                        <w:sz w:val="16"/>
                        <w:szCs w:val="16"/>
                      </w:rPr>
                    </w:pPr>
                    <w:r>
                      <w:rPr>
                        <w:rFonts w:hint="eastAsia"/>
                        <w:sz w:val="16"/>
                        <w:szCs w:val="16"/>
                      </w:rPr>
                      <w:t>-</w:t>
                    </w:r>
                  </w:p>
                </w:tc>
                <w:tc>
                  <w:tcPr>
                    <w:tcW w:w="357" w:type="pct"/>
                    <w:vAlign w:val="center"/>
                  </w:tcPr>
                  <w:p w:rsidR="00A4585B" w:rsidRPr="00AB06DF" w:rsidRDefault="008F04CF" w:rsidP="00B637B2">
                    <w:pPr>
                      <w:jc w:val="right"/>
                      <w:rPr>
                        <w:sz w:val="16"/>
                        <w:szCs w:val="16"/>
                      </w:rPr>
                    </w:pPr>
                    <w:r>
                      <w:rPr>
                        <w:rFonts w:hint="eastAsia"/>
                        <w:sz w:val="16"/>
                        <w:szCs w:val="16"/>
                      </w:rPr>
                      <w:t>-</w:t>
                    </w:r>
                  </w:p>
                </w:tc>
                <w:tc>
                  <w:tcPr>
                    <w:tcW w:w="357" w:type="pct"/>
                    <w:vAlign w:val="center"/>
                  </w:tcPr>
                  <w:p w:rsidR="00A4585B" w:rsidRPr="00AB06DF" w:rsidRDefault="008F04CF" w:rsidP="00B637B2">
                    <w:pPr>
                      <w:jc w:val="right"/>
                      <w:rPr>
                        <w:sz w:val="16"/>
                        <w:szCs w:val="16"/>
                      </w:rPr>
                    </w:pPr>
                    <w:r>
                      <w:rPr>
                        <w:rFonts w:hint="eastAsia"/>
                        <w:sz w:val="16"/>
                        <w:szCs w:val="16"/>
                      </w:rPr>
                      <w:t>-</w:t>
                    </w:r>
                  </w:p>
                </w:tc>
                <w:tc>
                  <w:tcPr>
                    <w:tcW w:w="140" w:type="pct"/>
                    <w:vAlign w:val="center"/>
                  </w:tcPr>
                  <w:p w:rsidR="00A4585B" w:rsidRPr="00AB06DF" w:rsidRDefault="008F04CF" w:rsidP="00B637B2">
                    <w:pPr>
                      <w:jc w:val="right"/>
                      <w:rPr>
                        <w:sz w:val="16"/>
                        <w:szCs w:val="16"/>
                      </w:rPr>
                    </w:pPr>
                    <w:r>
                      <w:rPr>
                        <w:rFonts w:hint="eastAsia"/>
                        <w:sz w:val="16"/>
                        <w:szCs w:val="16"/>
                      </w:rPr>
                      <w:t>-</w:t>
                    </w:r>
                  </w:p>
                </w:tc>
                <w:tc>
                  <w:tcPr>
                    <w:tcW w:w="353" w:type="pct"/>
                    <w:vAlign w:val="center"/>
                  </w:tcPr>
                  <w:p w:rsidR="00A4585B" w:rsidRPr="00AB06DF" w:rsidRDefault="008F04CF" w:rsidP="00B637B2">
                    <w:pPr>
                      <w:jc w:val="right"/>
                      <w:rPr>
                        <w:sz w:val="16"/>
                        <w:szCs w:val="16"/>
                      </w:rPr>
                    </w:pPr>
                    <w:r>
                      <w:rPr>
                        <w:rFonts w:hint="eastAsia"/>
                        <w:sz w:val="16"/>
                        <w:szCs w:val="16"/>
                      </w:rPr>
                      <w:t>-</w:t>
                    </w:r>
                  </w:p>
                </w:tc>
                <w:tc>
                  <w:tcPr>
                    <w:tcW w:w="186" w:type="pct"/>
                    <w:vAlign w:val="center"/>
                  </w:tcPr>
                  <w:p w:rsidR="00A4585B" w:rsidRPr="00AB06DF" w:rsidRDefault="008F04CF" w:rsidP="00B637B2">
                    <w:pPr>
                      <w:jc w:val="right"/>
                      <w:rPr>
                        <w:sz w:val="16"/>
                        <w:szCs w:val="16"/>
                      </w:rPr>
                    </w:pPr>
                    <w:r>
                      <w:rPr>
                        <w:rFonts w:hint="eastAsia"/>
                        <w:sz w:val="16"/>
                        <w:szCs w:val="16"/>
                      </w:rPr>
                      <w:t>-</w:t>
                    </w:r>
                  </w:p>
                </w:tc>
                <w:tc>
                  <w:tcPr>
                    <w:tcW w:w="399" w:type="pct"/>
                    <w:vAlign w:val="center"/>
                  </w:tcPr>
                  <w:p w:rsidR="00A4585B" w:rsidRPr="00AB06DF" w:rsidRDefault="008F04CF" w:rsidP="00B637B2">
                    <w:pPr>
                      <w:jc w:val="right"/>
                      <w:rPr>
                        <w:sz w:val="16"/>
                        <w:szCs w:val="16"/>
                      </w:rPr>
                    </w:pPr>
                    <w:r>
                      <w:rPr>
                        <w:rFonts w:hint="eastAsia"/>
                        <w:sz w:val="16"/>
                        <w:szCs w:val="16"/>
                      </w:rPr>
                      <w:t>-</w:t>
                    </w:r>
                  </w:p>
                </w:tc>
                <w:tc>
                  <w:tcPr>
                    <w:tcW w:w="157" w:type="pct"/>
                    <w:vAlign w:val="center"/>
                  </w:tcPr>
                  <w:p w:rsidR="00A4585B" w:rsidRPr="00AB06DF" w:rsidRDefault="008F04CF" w:rsidP="00B637B2">
                    <w:pPr>
                      <w:jc w:val="right"/>
                      <w:rPr>
                        <w:sz w:val="16"/>
                        <w:szCs w:val="16"/>
                      </w:rPr>
                    </w:pPr>
                    <w:r>
                      <w:rPr>
                        <w:rFonts w:hint="eastAsia"/>
                        <w:sz w:val="16"/>
                        <w:szCs w:val="16"/>
                      </w:rPr>
                      <w:t>-</w:t>
                    </w:r>
                  </w:p>
                </w:tc>
                <w:tc>
                  <w:tcPr>
                    <w:tcW w:w="419" w:type="pct"/>
                    <w:vAlign w:val="center"/>
                  </w:tcPr>
                  <w:p w:rsidR="00A4585B" w:rsidRPr="00AB06DF" w:rsidRDefault="008F04CF" w:rsidP="00B637B2">
                    <w:pPr>
                      <w:jc w:val="right"/>
                      <w:rPr>
                        <w:sz w:val="16"/>
                        <w:szCs w:val="16"/>
                      </w:rPr>
                    </w:pPr>
                    <w:r>
                      <w:rPr>
                        <w:rFonts w:hint="eastAsia"/>
                        <w:sz w:val="16"/>
                        <w:szCs w:val="16"/>
                      </w:rPr>
                      <w:t>-</w:t>
                    </w:r>
                  </w:p>
                </w:tc>
                <w:tc>
                  <w:tcPr>
                    <w:tcW w:w="399" w:type="pct"/>
                    <w:vAlign w:val="center"/>
                  </w:tcPr>
                  <w:p w:rsidR="00A4585B" w:rsidRPr="00AB06DF" w:rsidRDefault="008F04CF" w:rsidP="00B637B2">
                    <w:pPr>
                      <w:jc w:val="right"/>
                      <w:rPr>
                        <w:sz w:val="16"/>
                        <w:szCs w:val="16"/>
                      </w:rPr>
                    </w:pPr>
                    <w:r>
                      <w:rPr>
                        <w:rFonts w:hint="eastAsia"/>
                        <w:sz w:val="16"/>
                        <w:szCs w:val="16"/>
                      </w:rPr>
                      <w:t>-</w:t>
                    </w:r>
                  </w:p>
                </w:tc>
                <w:tc>
                  <w:tcPr>
                    <w:tcW w:w="399" w:type="pct"/>
                    <w:vAlign w:val="center"/>
                  </w:tcPr>
                  <w:p w:rsidR="00A4585B" w:rsidRPr="00AB06DF" w:rsidRDefault="00A4585B" w:rsidP="00B637B2">
                    <w:pPr>
                      <w:jc w:val="right"/>
                      <w:rPr>
                        <w:sz w:val="16"/>
                        <w:szCs w:val="16"/>
                      </w:rPr>
                    </w:pPr>
                    <w:r w:rsidRPr="00AB06DF">
                      <w:rPr>
                        <w:sz w:val="16"/>
                        <w:szCs w:val="16"/>
                      </w:rPr>
                      <w:t>-</w:t>
                    </w:r>
                  </w:p>
                </w:tc>
              </w:tr>
              <w:tr w:rsidR="00B637B2" w:rsidTr="00B637B2">
                <w:sdt>
                  <w:sdtPr>
                    <w:rPr>
                      <w:sz w:val="16"/>
                      <w:szCs w:val="16"/>
                    </w:rPr>
                    <w:tag w:val="_PLD_810ec2533aac40f59079e8e8d20e52c3"/>
                    <w:id w:val="-846783930"/>
                    <w:lock w:val="sdtLocked"/>
                  </w:sdtPr>
                  <w:sdtContent>
                    <w:tc>
                      <w:tcPr>
                        <w:tcW w:w="631" w:type="pct"/>
                      </w:tcPr>
                      <w:p w:rsidR="00A4585B" w:rsidRPr="00AB06DF" w:rsidRDefault="00A4585B" w:rsidP="00A4585B">
                        <w:pPr>
                          <w:rPr>
                            <w:sz w:val="16"/>
                            <w:szCs w:val="16"/>
                          </w:rPr>
                        </w:pPr>
                        <w:r w:rsidRPr="00AB06DF">
                          <w:rPr>
                            <w:rFonts w:hint="eastAsia"/>
                            <w:sz w:val="16"/>
                            <w:szCs w:val="16"/>
                          </w:rPr>
                          <w:t>2．本期使用</w:t>
                        </w:r>
                      </w:p>
                    </w:tc>
                  </w:sdtContent>
                </w:sdt>
                <w:tc>
                  <w:tcPr>
                    <w:tcW w:w="422" w:type="pct"/>
                    <w:vAlign w:val="center"/>
                  </w:tcPr>
                  <w:p w:rsidR="00A4585B" w:rsidRPr="00AB06DF" w:rsidRDefault="008F04CF" w:rsidP="00B637B2">
                    <w:pPr>
                      <w:jc w:val="right"/>
                      <w:rPr>
                        <w:sz w:val="16"/>
                        <w:szCs w:val="16"/>
                      </w:rPr>
                    </w:pPr>
                    <w:r>
                      <w:rPr>
                        <w:rFonts w:hint="eastAsia"/>
                        <w:sz w:val="16"/>
                        <w:szCs w:val="16"/>
                      </w:rPr>
                      <w:t>-</w:t>
                    </w:r>
                  </w:p>
                </w:tc>
                <w:tc>
                  <w:tcPr>
                    <w:tcW w:w="119" w:type="pct"/>
                    <w:vAlign w:val="center"/>
                  </w:tcPr>
                  <w:p w:rsidR="00A4585B" w:rsidRPr="00AB06DF" w:rsidRDefault="00A4585B" w:rsidP="00B637B2">
                    <w:pPr>
                      <w:jc w:val="right"/>
                      <w:rPr>
                        <w:sz w:val="16"/>
                        <w:szCs w:val="16"/>
                      </w:rPr>
                    </w:pPr>
                    <w:r w:rsidRPr="00AB06DF">
                      <w:rPr>
                        <w:sz w:val="16"/>
                        <w:szCs w:val="16"/>
                      </w:rPr>
                      <w:t>-</w:t>
                    </w:r>
                  </w:p>
                </w:tc>
                <w:tc>
                  <w:tcPr>
                    <w:tcW w:w="127" w:type="pct"/>
                    <w:vAlign w:val="center"/>
                  </w:tcPr>
                  <w:p w:rsidR="00A4585B" w:rsidRPr="00AB06DF" w:rsidRDefault="00A4585B" w:rsidP="00B637B2">
                    <w:pPr>
                      <w:jc w:val="right"/>
                      <w:rPr>
                        <w:sz w:val="16"/>
                        <w:szCs w:val="16"/>
                      </w:rPr>
                    </w:pPr>
                    <w:r w:rsidRPr="00AB06DF">
                      <w:rPr>
                        <w:sz w:val="16"/>
                        <w:szCs w:val="16"/>
                      </w:rPr>
                      <w:t>-</w:t>
                    </w:r>
                  </w:p>
                </w:tc>
                <w:tc>
                  <w:tcPr>
                    <w:tcW w:w="133" w:type="pct"/>
                    <w:vAlign w:val="center"/>
                  </w:tcPr>
                  <w:p w:rsidR="00A4585B" w:rsidRPr="00AB06DF" w:rsidRDefault="00A4585B" w:rsidP="00B637B2">
                    <w:pPr>
                      <w:jc w:val="right"/>
                      <w:rPr>
                        <w:sz w:val="16"/>
                        <w:szCs w:val="16"/>
                      </w:rPr>
                    </w:pPr>
                    <w:r w:rsidRPr="00AB06DF">
                      <w:rPr>
                        <w:sz w:val="16"/>
                        <w:szCs w:val="16"/>
                      </w:rPr>
                      <w:t>-</w:t>
                    </w:r>
                  </w:p>
                </w:tc>
                <w:tc>
                  <w:tcPr>
                    <w:tcW w:w="402" w:type="pct"/>
                    <w:vAlign w:val="center"/>
                  </w:tcPr>
                  <w:p w:rsidR="00A4585B" w:rsidRPr="00AB06DF" w:rsidRDefault="008F04CF" w:rsidP="00B637B2">
                    <w:pPr>
                      <w:jc w:val="right"/>
                      <w:rPr>
                        <w:sz w:val="16"/>
                        <w:szCs w:val="16"/>
                      </w:rPr>
                    </w:pPr>
                    <w:r>
                      <w:rPr>
                        <w:rFonts w:hint="eastAsia"/>
                        <w:sz w:val="16"/>
                        <w:szCs w:val="16"/>
                      </w:rPr>
                      <w:t>-</w:t>
                    </w:r>
                  </w:p>
                </w:tc>
                <w:tc>
                  <w:tcPr>
                    <w:tcW w:w="357" w:type="pct"/>
                    <w:vAlign w:val="center"/>
                  </w:tcPr>
                  <w:p w:rsidR="00A4585B" w:rsidRPr="00AB06DF" w:rsidRDefault="008F04CF" w:rsidP="00B637B2">
                    <w:pPr>
                      <w:jc w:val="right"/>
                      <w:rPr>
                        <w:sz w:val="16"/>
                        <w:szCs w:val="16"/>
                      </w:rPr>
                    </w:pPr>
                    <w:r>
                      <w:rPr>
                        <w:rFonts w:hint="eastAsia"/>
                        <w:sz w:val="16"/>
                        <w:szCs w:val="16"/>
                      </w:rPr>
                      <w:t>-</w:t>
                    </w:r>
                  </w:p>
                </w:tc>
                <w:tc>
                  <w:tcPr>
                    <w:tcW w:w="357" w:type="pct"/>
                    <w:vAlign w:val="center"/>
                  </w:tcPr>
                  <w:p w:rsidR="00A4585B" w:rsidRPr="00AB06DF" w:rsidRDefault="008F04CF" w:rsidP="00B637B2">
                    <w:pPr>
                      <w:jc w:val="right"/>
                      <w:rPr>
                        <w:sz w:val="16"/>
                        <w:szCs w:val="16"/>
                      </w:rPr>
                    </w:pPr>
                    <w:r>
                      <w:rPr>
                        <w:rFonts w:hint="eastAsia"/>
                        <w:sz w:val="16"/>
                        <w:szCs w:val="16"/>
                      </w:rPr>
                      <w:t>-</w:t>
                    </w:r>
                  </w:p>
                </w:tc>
                <w:tc>
                  <w:tcPr>
                    <w:tcW w:w="140" w:type="pct"/>
                    <w:vAlign w:val="center"/>
                  </w:tcPr>
                  <w:p w:rsidR="00A4585B" w:rsidRPr="00AB06DF" w:rsidRDefault="00A4585B" w:rsidP="00B637B2">
                    <w:pPr>
                      <w:jc w:val="right"/>
                      <w:rPr>
                        <w:sz w:val="16"/>
                        <w:szCs w:val="16"/>
                      </w:rPr>
                    </w:pPr>
                    <w:r w:rsidRPr="00AB06DF">
                      <w:rPr>
                        <w:sz w:val="16"/>
                        <w:szCs w:val="16"/>
                      </w:rPr>
                      <w:t>-</w:t>
                    </w:r>
                  </w:p>
                </w:tc>
                <w:tc>
                  <w:tcPr>
                    <w:tcW w:w="353" w:type="pct"/>
                    <w:vAlign w:val="center"/>
                  </w:tcPr>
                  <w:p w:rsidR="00A4585B" w:rsidRPr="00AB06DF" w:rsidRDefault="008F04CF" w:rsidP="00B637B2">
                    <w:pPr>
                      <w:jc w:val="right"/>
                      <w:rPr>
                        <w:sz w:val="16"/>
                        <w:szCs w:val="16"/>
                      </w:rPr>
                    </w:pPr>
                    <w:r>
                      <w:rPr>
                        <w:rFonts w:hint="eastAsia"/>
                        <w:sz w:val="16"/>
                        <w:szCs w:val="16"/>
                      </w:rPr>
                      <w:t>-</w:t>
                    </w:r>
                  </w:p>
                </w:tc>
                <w:tc>
                  <w:tcPr>
                    <w:tcW w:w="186" w:type="pct"/>
                    <w:vAlign w:val="center"/>
                  </w:tcPr>
                  <w:p w:rsidR="00A4585B" w:rsidRPr="00AB06DF" w:rsidRDefault="00A4585B" w:rsidP="00B637B2">
                    <w:pPr>
                      <w:jc w:val="right"/>
                      <w:rPr>
                        <w:sz w:val="16"/>
                        <w:szCs w:val="16"/>
                      </w:rPr>
                    </w:pPr>
                    <w:r w:rsidRPr="00AB06DF">
                      <w:rPr>
                        <w:sz w:val="16"/>
                        <w:szCs w:val="16"/>
                      </w:rPr>
                      <w:t>-</w:t>
                    </w:r>
                  </w:p>
                </w:tc>
                <w:tc>
                  <w:tcPr>
                    <w:tcW w:w="399" w:type="pct"/>
                    <w:vAlign w:val="center"/>
                  </w:tcPr>
                  <w:p w:rsidR="00A4585B" w:rsidRPr="00AB06DF" w:rsidRDefault="008F04CF" w:rsidP="00B637B2">
                    <w:pPr>
                      <w:jc w:val="right"/>
                      <w:rPr>
                        <w:sz w:val="16"/>
                        <w:szCs w:val="16"/>
                      </w:rPr>
                    </w:pPr>
                    <w:r>
                      <w:rPr>
                        <w:rFonts w:hint="eastAsia"/>
                        <w:sz w:val="16"/>
                        <w:szCs w:val="16"/>
                      </w:rPr>
                      <w:t>-</w:t>
                    </w:r>
                  </w:p>
                </w:tc>
                <w:tc>
                  <w:tcPr>
                    <w:tcW w:w="157" w:type="pct"/>
                    <w:vAlign w:val="center"/>
                  </w:tcPr>
                  <w:p w:rsidR="00A4585B" w:rsidRPr="00AB06DF" w:rsidRDefault="008F04CF" w:rsidP="00B637B2">
                    <w:pPr>
                      <w:jc w:val="right"/>
                      <w:rPr>
                        <w:sz w:val="16"/>
                        <w:szCs w:val="16"/>
                      </w:rPr>
                    </w:pPr>
                    <w:r>
                      <w:rPr>
                        <w:rFonts w:hint="eastAsia"/>
                        <w:sz w:val="16"/>
                        <w:szCs w:val="16"/>
                      </w:rPr>
                      <w:t>-</w:t>
                    </w:r>
                  </w:p>
                </w:tc>
                <w:tc>
                  <w:tcPr>
                    <w:tcW w:w="419" w:type="pct"/>
                    <w:vAlign w:val="center"/>
                  </w:tcPr>
                  <w:p w:rsidR="00A4585B" w:rsidRPr="00AB06DF" w:rsidRDefault="008F04CF" w:rsidP="00B637B2">
                    <w:pPr>
                      <w:jc w:val="right"/>
                      <w:rPr>
                        <w:sz w:val="16"/>
                        <w:szCs w:val="16"/>
                      </w:rPr>
                    </w:pPr>
                    <w:r>
                      <w:rPr>
                        <w:rFonts w:hint="eastAsia"/>
                        <w:sz w:val="16"/>
                        <w:szCs w:val="16"/>
                      </w:rPr>
                      <w:t>-</w:t>
                    </w:r>
                  </w:p>
                </w:tc>
                <w:tc>
                  <w:tcPr>
                    <w:tcW w:w="399" w:type="pct"/>
                    <w:vAlign w:val="center"/>
                  </w:tcPr>
                  <w:p w:rsidR="00A4585B" w:rsidRPr="00AB06DF" w:rsidRDefault="008F04CF" w:rsidP="00B637B2">
                    <w:pPr>
                      <w:jc w:val="right"/>
                      <w:rPr>
                        <w:sz w:val="16"/>
                        <w:szCs w:val="16"/>
                      </w:rPr>
                    </w:pPr>
                    <w:r>
                      <w:rPr>
                        <w:rFonts w:hint="eastAsia"/>
                        <w:sz w:val="16"/>
                        <w:szCs w:val="16"/>
                      </w:rPr>
                      <w:t>-</w:t>
                    </w:r>
                  </w:p>
                </w:tc>
                <w:tc>
                  <w:tcPr>
                    <w:tcW w:w="399" w:type="pct"/>
                    <w:vAlign w:val="center"/>
                  </w:tcPr>
                  <w:p w:rsidR="00A4585B" w:rsidRPr="00AB06DF" w:rsidRDefault="008F04CF" w:rsidP="00B637B2">
                    <w:pPr>
                      <w:jc w:val="right"/>
                      <w:rPr>
                        <w:sz w:val="16"/>
                        <w:szCs w:val="16"/>
                      </w:rPr>
                    </w:pPr>
                    <w:r>
                      <w:rPr>
                        <w:rFonts w:hint="eastAsia"/>
                        <w:sz w:val="16"/>
                        <w:szCs w:val="16"/>
                      </w:rPr>
                      <w:t>-</w:t>
                    </w:r>
                  </w:p>
                </w:tc>
              </w:tr>
              <w:tr w:rsidR="00B637B2" w:rsidTr="00B637B2">
                <w:sdt>
                  <w:sdtPr>
                    <w:rPr>
                      <w:sz w:val="16"/>
                      <w:szCs w:val="16"/>
                    </w:rPr>
                    <w:tag w:val="_PLD_f4bc69f9c7d34151a4b7a0d89088f0ee"/>
                    <w:id w:val="1053585111"/>
                    <w:lock w:val="sdtLocked"/>
                  </w:sdtPr>
                  <w:sdtContent>
                    <w:tc>
                      <w:tcPr>
                        <w:tcW w:w="631" w:type="pct"/>
                      </w:tcPr>
                      <w:p w:rsidR="00A4585B" w:rsidRPr="00AB06DF" w:rsidRDefault="00A4585B" w:rsidP="00A4585B">
                        <w:pPr>
                          <w:rPr>
                            <w:sz w:val="16"/>
                            <w:szCs w:val="16"/>
                          </w:rPr>
                        </w:pPr>
                        <w:r w:rsidRPr="00AB06DF">
                          <w:rPr>
                            <w:rFonts w:hint="eastAsia"/>
                            <w:sz w:val="16"/>
                            <w:szCs w:val="16"/>
                          </w:rPr>
                          <w:t>（六）其他</w:t>
                        </w:r>
                      </w:p>
                    </w:tc>
                  </w:sdtContent>
                </w:sdt>
                <w:tc>
                  <w:tcPr>
                    <w:tcW w:w="422" w:type="pct"/>
                    <w:vAlign w:val="center"/>
                  </w:tcPr>
                  <w:p w:rsidR="00A4585B" w:rsidRPr="00AB06DF" w:rsidRDefault="008F04CF" w:rsidP="00B637B2">
                    <w:pPr>
                      <w:jc w:val="right"/>
                      <w:rPr>
                        <w:sz w:val="16"/>
                        <w:szCs w:val="16"/>
                      </w:rPr>
                    </w:pPr>
                    <w:r>
                      <w:rPr>
                        <w:rFonts w:hint="eastAsia"/>
                        <w:sz w:val="16"/>
                        <w:szCs w:val="16"/>
                      </w:rPr>
                      <w:t>-</w:t>
                    </w:r>
                  </w:p>
                </w:tc>
                <w:tc>
                  <w:tcPr>
                    <w:tcW w:w="119" w:type="pct"/>
                    <w:vAlign w:val="center"/>
                  </w:tcPr>
                  <w:p w:rsidR="00A4585B" w:rsidRPr="00AB06DF" w:rsidRDefault="00A4585B" w:rsidP="00B637B2">
                    <w:pPr>
                      <w:jc w:val="right"/>
                      <w:rPr>
                        <w:sz w:val="16"/>
                        <w:szCs w:val="16"/>
                      </w:rPr>
                    </w:pPr>
                    <w:r w:rsidRPr="00AB06DF">
                      <w:rPr>
                        <w:sz w:val="16"/>
                        <w:szCs w:val="16"/>
                      </w:rPr>
                      <w:t>-</w:t>
                    </w:r>
                  </w:p>
                </w:tc>
                <w:tc>
                  <w:tcPr>
                    <w:tcW w:w="127" w:type="pct"/>
                    <w:vAlign w:val="center"/>
                  </w:tcPr>
                  <w:p w:rsidR="00A4585B" w:rsidRPr="00AB06DF" w:rsidRDefault="00A4585B" w:rsidP="00B637B2">
                    <w:pPr>
                      <w:jc w:val="right"/>
                      <w:rPr>
                        <w:sz w:val="16"/>
                        <w:szCs w:val="16"/>
                      </w:rPr>
                    </w:pPr>
                    <w:r w:rsidRPr="00AB06DF">
                      <w:rPr>
                        <w:sz w:val="16"/>
                        <w:szCs w:val="16"/>
                      </w:rPr>
                      <w:t>-</w:t>
                    </w:r>
                  </w:p>
                </w:tc>
                <w:tc>
                  <w:tcPr>
                    <w:tcW w:w="133" w:type="pct"/>
                    <w:vAlign w:val="center"/>
                  </w:tcPr>
                  <w:p w:rsidR="00A4585B" w:rsidRPr="00AB06DF" w:rsidRDefault="00A4585B" w:rsidP="00B637B2">
                    <w:pPr>
                      <w:jc w:val="right"/>
                      <w:rPr>
                        <w:sz w:val="16"/>
                        <w:szCs w:val="16"/>
                      </w:rPr>
                    </w:pPr>
                    <w:r w:rsidRPr="00AB06DF">
                      <w:rPr>
                        <w:sz w:val="16"/>
                        <w:szCs w:val="16"/>
                      </w:rPr>
                      <w:t>-</w:t>
                    </w:r>
                  </w:p>
                </w:tc>
                <w:tc>
                  <w:tcPr>
                    <w:tcW w:w="402" w:type="pct"/>
                    <w:vAlign w:val="center"/>
                  </w:tcPr>
                  <w:p w:rsidR="00A4585B" w:rsidRPr="00AB06DF" w:rsidRDefault="008F04CF" w:rsidP="00B637B2">
                    <w:pPr>
                      <w:jc w:val="right"/>
                      <w:rPr>
                        <w:sz w:val="16"/>
                        <w:szCs w:val="16"/>
                      </w:rPr>
                    </w:pPr>
                    <w:r>
                      <w:rPr>
                        <w:rFonts w:hint="eastAsia"/>
                        <w:sz w:val="16"/>
                        <w:szCs w:val="16"/>
                      </w:rPr>
                      <w:t>-</w:t>
                    </w:r>
                  </w:p>
                </w:tc>
                <w:tc>
                  <w:tcPr>
                    <w:tcW w:w="357" w:type="pct"/>
                    <w:vAlign w:val="center"/>
                  </w:tcPr>
                  <w:p w:rsidR="00A4585B" w:rsidRPr="00AB06DF" w:rsidRDefault="008F04CF" w:rsidP="00B637B2">
                    <w:pPr>
                      <w:jc w:val="right"/>
                      <w:rPr>
                        <w:sz w:val="16"/>
                        <w:szCs w:val="16"/>
                      </w:rPr>
                    </w:pPr>
                    <w:r>
                      <w:rPr>
                        <w:rFonts w:hint="eastAsia"/>
                        <w:sz w:val="16"/>
                        <w:szCs w:val="16"/>
                      </w:rPr>
                      <w:t>-</w:t>
                    </w:r>
                  </w:p>
                </w:tc>
                <w:tc>
                  <w:tcPr>
                    <w:tcW w:w="357" w:type="pct"/>
                    <w:vAlign w:val="center"/>
                  </w:tcPr>
                  <w:p w:rsidR="00A4585B" w:rsidRPr="00AB06DF" w:rsidRDefault="008F04CF" w:rsidP="00B637B2">
                    <w:pPr>
                      <w:jc w:val="right"/>
                      <w:rPr>
                        <w:sz w:val="16"/>
                        <w:szCs w:val="16"/>
                      </w:rPr>
                    </w:pPr>
                    <w:r>
                      <w:rPr>
                        <w:rFonts w:hint="eastAsia"/>
                        <w:sz w:val="16"/>
                        <w:szCs w:val="16"/>
                      </w:rPr>
                      <w:t>-</w:t>
                    </w:r>
                  </w:p>
                </w:tc>
                <w:tc>
                  <w:tcPr>
                    <w:tcW w:w="140" w:type="pct"/>
                    <w:vAlign w:val="center"/>
                  </w:tcPr>
                  <w:p w:rsidR="00A4585B" w:rsidRPr="00AB06DF" w:rsidRDefault="00A4585B" w:rsidP="00B637B2">
                    <w:pPr>
                      <w:jc w:val="right"/>
                      <w:rPr>
                        <w:sz w:val="16"/>
                        <w:szCs w:val="16"/>
                      </w:rPr>
                    </w:pPr>
                    <w:r w:rsidRPr="00AB06DF">
                      <w:rPr>
                        <w:sz w:val="16"/>
                        <w:szCs w:val="16"/>
                      </w:rPr>
                      <w:t>-</w:t>
                    </w:r>
                  </w:p>
                </w:tc>
                <w:tc>
                  <w:tcPr>
                    <w:tcW w:w="353" w:type="pct"/>
                    <w:vAlign w:val="center"/>
                  </w:tcPr>
                  <w:p w:rsidR="00A4585B" w:rsidRPr="00AB06DF" w:rsidRDefault="008F04CF" w:rsidP="00B637B2">
                    <w:pPr>
                      <w:jc w:val="right"/>
                      <w:rPr>
                        <w:sz w:val="16"/>
                        <w:szCs w:val="16"/>
                      </w:rPr>
                    </w:pPr>
                    <w:r>
                      <w:rPr>
                        <w:rFonts w:hint="eastAsia"/>
                        <w:sz w:val="16"/>
                        <w:szCs w:val="16"/>
                      </w:rPr>
                      <w:t>-</w:t>
                    </w:r>
                  </w:p>
                </w:tc>
                <w:tc>
                  <w:tcPr>
                    <w:tcW w:w="186" w:type="pct"/>
                    <w:vAlign w:val="center"/>
                  </w:tcPr>
                  <w:p w:rsidR="00A4585B" w:rsidRPr="00AB06DF" w:rsidRDefault="00A4585B" w:rsidP="00B637B2">
                    <w:pPr>
                      <w:jc w:val="right"/>
                      <w:rPr>
                        <w:sz w:val="16"/>
                        <w:szCs w:val="16"/>
                      </w:rPr>
                    </w:pPr>
                    <w:r w:rsidRPr="00AB06DF">
                      <w:rPr>
                        <w:sz w:val="16"/>
                        <w:szCs w:val="16"/>
                      </w:rPr>
                      <w:t>-</w:t>
                    </w:r>
                  </w:p>
                </w:tc>
                <w:tc>
                  <w:tcPr>
                    <w:tcW w:w="399" w:type="pct"/>
                    <w:vAlign w:val="center"/>
                  </w:tcPr>
                  <w:p w:rsidR="00A4585B" w:rsidRPr="00AB06DF" w:rsidRDefault="008F04CF" w:rsidP="00B637B2">
                    <w:pPr>
                      <w:jc w:val="right"/>
                      <w:rPr>
                        <w:sz w:val="16"/>
                        <w:szCs w:val="16"/>
                      </w:rPr>
                    </w:pPr>
                    <w:r>
                      <w:rPr>
                        <w:rFonts w:hint="eastAsia"/>
                        <w:sz w:val="16"/>
                        <w:szCs w:val="16"/>
                      </w:rPr>
                      <w:t>-</w:t>
                    </w:r>
                  </w:p>
                </w:tc>
                <w:tc>
                  <w:tcPr>
                    <w:tcW w:w="157" w:type="pct"/>
                    <w:vAlign w:val="center"/>
                  </w:tcPr>
                  <w:p w:rsidR="00A4585B" w:rsidRPr="00AB06DF" w:rsidRDefault="008F04CF" w:rsidP="00B637B2">
                    <w:pPr>
                      <w:jc w:val="right"/>
                      <w:rPr>
                        <w:sz w:val="16"/>
                        <w:szCs w:val="16"/>
                      </w:rPr>
                    </w:pPr>
                    <w:r>
                      <w:rPr>
                        <w:rFonts w:hint="eastAsia"/>
                        <w:sz w:val="16"/>
                        <w:szCs w:val="16"/>
                      </w:rPr>
                      <w:t>-</w:t>
                    </w:r>
                  </w:p>
                </w:tc>
                <w:tc>
                  <w:tcPr>
                    <w:tcW w:w="419" w:type="pct"/>
                    <w:vAlign w:val="center"/>
                  </w:tcPr>
                  <w:p w:rsidR="00A4585B" w:rsidRPr="00AB06DF" w:rsidRDefault="008F04CF" w:rsidP="00B637B2">
                    <w:pPr>
                      <w:jc w:val="right"/>
                      <w:rPr>
                        <w:sz w:val="16"/>
                        <w:szCs w:val="16"/>
                      </w:rPr>
                    </w:pPr>
                    <w:r>
                      <w:rPr>
                        <w:rFonts w:hint="eastAsia"/>
                        <w:sz w:val="16"/>
                        <w:szCs w:val="16"/>
                      </w:rPr>
                      <w:t>-</w:t>
                    </w:r>
                  </w:p>
                </w:tc>
                <w:tc>
                  <w:tcPr>
                    <w:tcW w:w="399" w:type="pct"/>
                    <w:vAlign w:val="center"/>
                  </w:tcPr>
                  <w:p w:rsidR="00A4585B" w:rsidRPr="00AB06DF" w:rsidRDefault="008F04CF" w:rsidP="00B637B2">
                    <w:pPr>
                      <w:jc w:val="right"/>
                      <w:rPr>
                        <w:sz w:val="16"/>
                        <w:szCs w:val="16"/>
                      </w:rPr>
                    </w:pPr>
                    <w:r>
                      <w:rPr>
                        <w:rFonts w:hint="eastAsia"/>
                        <w:sz w:val="16"/>
                        <w:szCs w:val="16"/>
                      </w:rPr>
                      <w:t>-</w:t>
                    </w:r>
                  </w:p>
                </w:tc>
                <w:tc>
                  <w:tcPr>
                    <w:tcW w:w="399" w:type="pct"/>
                    <w:vAlign w:val="center"/>
                  </w:tcPr>
                  <w:p w:rsidR="00A4585B" w:rsidRPr="00AB06DF" w:rsidRDefault="008F04CF" w:rsidP="00B637B2">
                    <w:pPr>
                      <w:jc w:val="right"/>
                      <w:rPr>
                        <w:sz w:val="16"/>
                        <w:szCs w:val="16"/>
                      </w:rPr>
                    </w:pPr>
                    <w:r>
                      <w:rPr>
                        <w:rFonts w:hint="eastAsia"/>
                        <w:sz w:val="16"/>
                        <w:szCs w:val="16"/>
                      </w:rPr>
                      <w:t>-</w:t>
                    </w:r>
                  </w:p>
                </w:tc>
              </w:tr>
              <w:tr w:rsidR="00B637B2" w:rsidTr="00B637B2">
                <w:sdt>
                  <w:sdtPr>
                    <w:rPr>
                      <w:sz w:val="16"/>
                      <w:szCs w:val="16"/>
                    </w:rPr>
                    <w:tag w:val="_PLD_033ca7ec3c1d4c1b905d0af57ca8a614"/>
                    <w:id w:val="-1957395390"/>
                    <w:lock w:val="sdtLocked"/>
                  </w:sdtPr>
                  <w:sdtContent>
                    <w:tc>
                      <w:tcPr>
                        <w:tcW w:w="631" w:type="pct"/>
                      </w:tcPr>
                      <w:p w:rsidR="00A4585B" w:rsidRPr="00AB06DF" w:rsidRDefault="00A4585B" w:rsidP="00A4585B">
                        <w:pPr>
                          <w:rPr>
                            <w:sz w:val="16"/>
                            <w:szCs w:val="16"/>
                          </w:rPr>
                        </w:pPr>
                        <w:r w:rsidRPr="00AB06DF">
                          <w:rPr>
                            <w:sz w:val="16"/>
                            <w:szCs w:val="16"/>
                          </w:rPr>
                          <w:t>四、本期期末余额</w:t>
                        </w:r>
                      </w:p>
                    </w:tc>
                  </w:sdtContent>
                </w:sdt>
                <w:tc>
                  <w:tcPr>
                    <w:tcW w:w="422" w:type="pct"/>
                    <w:vAlign w:val="center"/>
                  </w:tcPr>
                  <w:p w:rsidR="00A4585B" w:rsidRPr="00AB06DF" w:rsidRDefault="008F04CF" w:rsidP="00B637B2">
                    <w:pPr>
                      <w:jc w:val="right"/>
                      <w:rPr>
                        <w:sz w:val="16"/>
                        <w:szCs w:val="16"/>
                      </w:rPr>
                    </w:pPr>
                    <w:r w:rsidRPr="002E0307">
                      <w:rPr>
                        <w:sz w:val="16"/>
                        <w:szCs w:val="16"/>
                      </w:rPr>
                      <w:t>2,486,134,575</w:t>
                    </w:r>
                  </w:p>
                </w:tc>
                <w:tc>
                  <w:tcPr>
                    <w:tcW w:w="119" w:type="pct"/>
                    <w:vAlign w:val="center"/>
                  </w:tcPr>
                  <w:p w:rsidR="00A4585B" w:rsidRPr="00AB06DF" w:rsidRDefault="00A4585B" w:rsidP="00B637B2">
                    <w:pPr>
                      <w:jc w:val="right"/>
                      <w:rPr>
                        <w:sz w:val="16"/>
                        <w:szCs w:val="16"/>
                      </w:rPr>
                    </w:pPr>
                    <w:r w:rsidRPr="00AB06DF">
                      <w:rPr>
                        <w:sz w:val="16"/>
                        <w:szCs w:val="16"/>
                      </w:rPr>
                      <w:t>-</w:t>
                    </w:r>
                  </w:p>
                </w:tc>
                <w:tc>
                  <w:tcPr>
                    <w:tcW w:w="127" w:type="pct"/>
                    <w:vAlign w:val="center"/>
                  </w:tcPr>
                  <w:p w:rsidR="00A4585B" w:rsidRPr="00AB06DF" w:rsidRDefault="00A4585B" w:rsidP="00B637B2">
                    <w:pPr>
                      <w:jc w:val="right"/>
                      <w:rPr>
                        <w:sz w:val="16"/>
                        <w:szCs w:val="16"/>
                      </w:rPr>
                    </w:pPr>
                    <w:r w:rsidRPr="00AB06DF">
                      <w:rPr>
                        <w:sz w:val="16"/>
                        <w:szCs w:val="16"/>
                      </w:rPr>
                      <w:t>-</w:t>
                    </w:r>
                  </w:p>
                </w:tc>
                <w:tc>
                  <w:tcPr>
                    <w:tcW w:w="133" w:type="pct"/>
                    <w:vAlign w:val="center"/>
                  </w:tcPr>
                  <w:p w:rsidR="00A4585B" w:rsidRPr="00AB06DF" w:rsidRDefault="00A4585B" w:rsidP="00B637B2">
                    <w:pPr>
                      <w:jc w:val="right"/>
                      <w:rPr>
                        <w:sz w:val="16"/>
                        <w:szCs w:val="16"/>
                      </w:rPr>
                    </w:pPr>
                    <w:r w:rsidRPr="00AB06DF">
                      <w:rPr>
                        <w:sz w:val="16"/>
                        <w:szCs w:val="16"/>
                      </w:rPr>
                      <w:t>-</w:t>
                    </w:r>
                  </w:p>
                </w:tc>
                <w:tc>
                  <w:tcPr>
                    <w:tcW w:w="402" w:type="pct"/>
                    <w:vAlign w:val="center"/>
                  </w:tcPr>
                  <w:p w:rsidR="00A4585B" w:rsidRPr="00AB06DF" w:rsidRDefault="008F04CF" w:rsidP="00B637B2">
                    <w:pPr>
                      <w:jc w:val="right"/>
                      <w:rPr>
                        <w:sz w:val="16"/>
                        <w:szCs w:val="16"/>
                      </w:rPr>
                    </w:pPr>
                    <w:r w:rsidRPr="00AB06DF">
                      <w:rPr>
                        <w:sz w:val="16"/>
                        <w:szCs w:val="16"/>
                      </w:rPr>
                      <w:t>1,597,293,138</w:t>
                    </w:r>
                  </w:p>
                </w:tc>
                <w:tc>
                  <w:tcPr>
                    <w:tcW w:w="357" w:type="pct"/>
                    <w:vAlign w:val="center"/>
                  </w:tcPr>
                  <w:p w:rsidR="00A4585B" w:rsidRPr="00AB06DF" w:rsidRDefault="008F04CF" w:rsidP="00B637B2">
                    <w:pPr>
                      <w:jc w:val="right"/>
                      <w:rPr>
                        <w:sz w:val="16"/>
                        <w:szCs w:val="16"/>
                      </w:rPr>
                    </w:pPr>
                    <w:r w:rsidRPr="00AB06DF">
                      <w:rPr>
                        <w:sz w:val="16"/>
                        <w:szCs w:val="16"/>
                      </w:rPr>
                      <w:t>514,204,879</w:t>
                    </w:r>
                  </w:p>
                </w:tc>
                <w:tc>
                  <w:tcPr>
                    <w:tcW w:w="357" w:type="pct"/>
                    <w:vAlign w:val="center"/>
                  </w:tcPr>
                  <w:p w:rsidR="00A4585B" w:rsidRPr="00AB06DF" w:rsidRDefault="008F04CF" w:rsidP="00B637B2">
                    <w:pPr>
                      <w:jc w:val="right"/>
                      <w:rPr>
                        <w:sz w:val="16"/>
                        <w:szCs w:val="16"/>
                      </w:rPr>
                    </w:pPr>
                    <w:r w:rsidRPr="00AB06DF">
                      <w:rPr>
                        <w:sz w:val="16"/>
                        <w:szCs w:val="16"/>
                      </w:rPr>
                      <w:t>3,945,749</w:t>
                    </w:r>
                  </w:p>
                </w:tc>
                <w:tc>
                  <w:tcPr>
                    <w:tcW w:w="140" w:type="pct"/>
                    <w:vAlign w:val="center"/>
                  </w:tcPr>
                  <w:p w:rsidR="00A4585B" w:rsidRPr="00AB06DF" w:rsidRDefault="00A4585B" w:rsidP="00B637B2">
                    <w:pPr>
                      <w:jc w:val="right"/>
                      <w:rPr>
                        <w:sz w:val="16"/>
                        <w:szCs w:val="16"/>
                      </w:rPr>
                    </w:pPr>
                    <w:r w:rsidRPr="00AB06DF">
                      <w:rPr>
                        <w:sz w:val="16"/>
                        <w:szCs w:val="16"/>
                      </w:rPr>
                      <w:t>-</w:t>
                    </w:r>
                  </w:p>
                </w:tc>
                <w:tc>
                  <w:tcPr>
                    <w:tcW w:w="353" w:type="pct"/>
                    <w:vAlign w:val="center"/>
                  </w:tcPr>
                  <w:p w:rsidR="00A4585B" w:rsidRPr="00AB06DF" w:rsidRDefault="008F04CF" w:rsidP="00B637B2">
                    <w:pPr>
                      <w:jc w:val="right"/>
                      <w:rPr>
                        <w:sz w:val="16"/>
                        <w:szCs w:val="16"/>
                      </w:rPr>
                    </w:pPr>
                    <w:r w:rsidRPr="00AB06DF">
                      <w:rPr>
                        <w:sz w:val="16"/>
                        <w:szCs w:val="16"/>
                      </w:rPr>
                      <w:t>831,983,441</w:t>
                    </w:r>
                  </w:p>
                </w:tc>
                <w:tc>
                  <w:tcPr>
                    <w:tcW w:w="186" w:type="pct"/>
                    <w:vAlign w:val="center"/>
                  </w:tcPr>
                  <w:p w:rsidR="00A4585B" w:rsidRPr="00AB06DF" w:rsidRDefault="00A4585B" w:rsidP="00B637B2">
                    <w:pPr>
                      <w:jc w:val="right"/>
                      <w:rPr>
                        <w:sz w:val="16"/>
                        <w:szCs w:val="16"/>
                      </w:rPr>
                    </w:pPr>
                    <w:r w:rsidRPr="00AB06DF">
                      <w:rPr>
                        <w:sz w:val="16"/>
                        <w:szCs w:val="16"/>
                      </w:rPr>
                      <w:t>-</w:t>
                    </w:r>
                  </w:p>
                </w:tc>
                <w:tc>
                  <w:tcPr>
                    <w:tcW w:w="399" w:type="pct"/>
                    <w:vAlign w:val="center"/>
                  </w:tcPr>
                  <w:p w:rsidR="00A4585B" w:rsidRPr="00AB06DF" w:rsidRDefault="008F04CF" w:rsidP="00B637B2">
                    <w:pPr>
                      <w:jc w:val="right"/>
                      <w:rPr>
                        <w:sz w:val="16"/>
                        <w:szCs w:val="16"/>
                      </w:rPr>
                    </w:pPr>
                    <w:r w:rsidRPr="00AB06DF">
                      <w:rPr>
                        <w:sz w:val="16"/>
                        <w:szCs w:val="16"/>
                      </w:rPr>
                      <w:t>1,859,220,986</w:t>
                    </w:r>
                  </w:p>
                </w:tc>
                <w:tc>
                  <w:tcPr>
                    <w:tcW w:w="157" w:type="pct"/>
                    <w:vAlign w:val="center"/>
                  </w:tcPr>
                  <w:p w:rsidR="00A4585B" w:rsidRPr="00AB06DF" w:rsidRDefault="008F04CF" w:rsidP="00B637B2">
                    <w:pPr>
                      <w:jc w:val="right"/>
                      <w:rPr>
                        <w:sz w:val="16"/>
                        <w:szCs w:val="16"/>
                      </w:rPr>
                    </w:pPr>
                    <w:r>
                      <w:rPr>
                        <w:rFonts w:hint="eastAsia"/>
                        <w:sz w:val="16"/>
                        <w:szCs w:val="16"/>
                      </w:rPr>
                      <w:t>-</w:t>
                    </w:r>
                  </w:p>
                </w:tc>
                <w:tc>
                  <w:tcPr>
                    <w:tcW w:w="419" w:type="pct"/>
                    <w:vAlign w:val="center"/>
                  </w:tcPr>
                  <w:p w:rsidR="00A4585B" w:rsidRPr="00AB06DF" w:rsidRDefault="008F04CF" w:rsidP="00B637B2">
                    <w:pPr>
                      <w:jc w:val="right"/>
                      <w:rPr>
                        <w:sz w:val="16"/>
                        <w:szCs w:val="16"/>
                      </w:rPr>
                    </w:pPr>
                    <w:r w:rsidRPr="002E0307">
                      <w:rPr>
                        <w:sz w:val="16"/>
                        <w:szCs w:val="16"/>
                      </w:rPr>
                      <w:t>6,264,373,010</w:t>
                    </w:r>
                  </w:p>
                </w:tc>
                <w:tc>
                  <w:tcPr>
                    <w:tcW w:w="399" w:type="pct"/>
                    <w:vAlign w:val="center"/>
                  </w:tcPr>
                  <w:p w:rsidR="00A4585B" w:rsidRPr="00AB06DF" w:rsidRDefault="008F04CF" w:rsidP="00B637B2">
                    <w:pPr>
                      <w:jc w:val="right"/>
                      <w:rPr>
                        <w:sz w:val="16"/>
                        <w:szCs w:val="16"/>
                      </w:rPr>
                    </w:pPr>
                    <w:r w:rsidRPr="00AB06DF">
                      <w:rPr>
                        <w:sz w:val="16"/>
                        <w:szCs w:val="16"/>
                      </w:rPr>
                      <w:t>1,040,609,267</w:t>
                    </w:r>
                  </w:p>
                </w:tc>
                <w:tc>
                  <w:tcPr>
                    <w:tcW w:w="399" w:type="pct"/>
                    <w:vAlign w:val="center"/>
                  </w:tcPr>
                  <w:p w:rsidR="00A4585B" w:rsidRPr="00AB06DF" w:rsidRDefault="008F04CF" w:rsidP="00B637B2">
                    <w:pPr>
                      <w:jc w:val="right"/>
                      <w:rPr>
                        <w:sz w:val="16"/>
                        <w:szCs w:val="16"/>
                      </w:rPr>
                    </w:pPr>
                    <w:r w:rsidRPr="00AB06DF">
                      <w:rPr>
                        <w:sz w:val="16"/>
                        <w:szCs w:val="16"/>
                      </w:rPr>
                      <w:t>7,304,982,277</w:t>
                    </w:r>
                  </w:p>
                </w:tc>
              </w:tr>
              <w:bookmarkEnd w:id="71"/>
            </w:tbl>
            <w:p w:rsidR="00ED2DC7" w:rsidRDefault="00ED2DC7">
              <w:pPr>
                <w:snapToGrid w:val="0"/>
                <w:spacing w:line="240" w:lineRule="atLeast"/>
                <w:ind w:rightChars="-759" w:right="-1594"/>
                <w:rPr>
                  <w:szCs w:val="21"/>
                </w:rPr>
              </w:pPr>
            </w:p>
            <w:tbl>
              <w:tblPr>
                <w:tblStyle w:val="g38"/>
                <w:tblW w:w="5675"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275"/>
                <w:gridCol w:w="425"/>
                <w:gridCol w:w="425"/>
                <w:gridCol w:w="425"/>
                <w:gridCol w:w="1275"/>
                <w:gridCol w:w="1136"/>
                <w:gridCol w:w="1136"/>
                <w:gridCol w:w="422"/>
                <w:gridCol w:w="1136"/>
                <w:gridCol w:w="563"/>
                <w:gridCol w:w="1278"/>
                <w:gridCol w:w="437"/>
                <w:gridCol w:w="1347"/>
                <w:gridCol w:w="1199"/>
                <w:gridCol w:w="1271"/>
              </w:tblGrid>
              <w:tr w:rsidR="00ED2DC7" w:rsidTr="00B637B2">
                <w:trPr>
                  <w:cantSplit/>
                </w:trPr>
                <w:tc>
                  <w:tcPr>
                    <w:tcW w:w="631" w:type="pct"/>
                    <w:vMerge w:val="restart"/>
                    <w:vAlign w:val="center"/>
                  </w:tcPr>
                  <w:sdt>
                    <w:sdtPr>
                      <w:rPr>
                        <w:rFonts w:hint="eastAsia"/>
                        <w:sz w:val="16"/>
                        <w:szCs w:val="16"/>
                      </w:rPr>
                      <w:tag w:val="_PLD_20eb9c9dd1e14fb0a0790f87b63a489d"/>
                      <w:id w:val="1094898560"/>
                      <w:lock w:val="sdtLocked"/>
                    </w:sdtPr>
                    <w:sdtContent>
                      <w:p w:rsidR="00ED2DC7" w:rsidRPr="00F121FB" w:rsidRDefault="00ED2DC7">
                        <w:pPr>
                          <w:snapToGrid w:val="0"/>
                          <w:spacing w:line="240" w:lineRule="atLeast"/>
                          <w:jc w:val="center"/>
                          <w:rPr>
                            <w:sz w:val="16"/>
                            <w:szCs w:val="16"/>
                          </w:rPr>
                        </w:pPr>
                        <w:r w:rsidRPr="00F121FB">
                          <w:rPr>
                            <w:rFonts w:hint="eastAsia"/>
                            <w:sz w:val="16"/>
                            <w:szCs w:val="16"/>
                          </w:rPr>
                          <w:t>项目</w:t>
                        </w:r>
                      </w:p>
                    </w:sdtContent>
                  </w:sdt>
                </w:tc>
                <w:tc>
                  <w:tcPr>
                    <w:tcW w:w="4369" w:type="pct"/>
                    <w:gridSpan w:val="15"/>
                  </w:tcPr>
                  <w:p w:rsidR="00ED2DC7" w:rsidRPr="00F121FB" w:rsidRDefault="00ED2DC7">
                    <w:pPr>
                      <w:snapToGrid w:val="0"/>
                      <w:spacing w:line="240" w:lineRule="atLeast"/>
                      <w:jc w:val="center"/>
                      <w:rPr>
                        <w:sz w:val="16"/>
                        <w:szCs w:val="16"/>
                      </w:rPr>
                    </w:pPr>
                    <w:r w:rsidRPr="00F121FB">
                      <w:rPr>
                        <w:rFonts w:hint="eastAsia"/>
                        <w:sz w:val="16"/>
                        <w:szCs w:val="16"/>
                      </w:rPr>
                      <w:t xml:space="preserve"> </w:t>
                    </w:r>
                    <w:sdt>
                      <w:sdtPr>
                        <w:rPr>
                          <w:rFonts w:hint="eastAsia"/>
                          <w:sz w:val="16"/>
                          <w:szCs w:val="16"/>
                        </w:rPr>
                        <w:tag w:val="_PLD_95c0e6e5f75a49daa1b601f67b7dd704"/>
                        <w:id w:val="810133801"/>
                        <w:lock w:val="sdtLocked"/>
                      </w:sdtPr>
                      <w:sdtContent>
                        <w:r w:rsidRPr="00F121FB">
                          <w:rPr>
                            <w:rFonts w:hint="eastAsia"/>
                            <w:sz w:val="16"/>
                            <w:szCs w:val="16"/>
                          </w:rPr>
                          <w:t>201</w:t>
                        </w:r>
                        <w:r w:rsidRPr="00F121FB">
                          <w:rPr>
                            <w:sz w:val="16"/>
                            <w:szCs w:val="16"/>
                          </w:rPr>
                          <w:t>8</w:t>
                        </w:r>
                        <w:r w:rsidRPr="00F121FB">
                          <w:rPr>
                            <w:rFonts w:hint="eastAsia"/>
                            <w:sz w:val="16"/>
                            <w:szCs w:val="16"/>
                          </w:rPr>
                          <w:t>年半年度</w:t>
                        </w:r>
                      </w:sdtContent>
                    </w:sdt>
                  </w:p>
                </w:tc>
              </w:tr>
              <w:tr w:rsidR="00B637B2" w:rsidTr="00B637B2">
                <w:trPr>
                  <w:cantSplit/>
                  <w:trHeight w:val="471"/>
                </w:trPr>
                <w:tc>
                  <w:tcPr>
                    <w:tcW w:w="631" w:type="pct"/>
                    <w:vMerge/>
                  </w:tcPr>
                  <w:p w:rsidR="00ED2DC7" w:rsidRPr="00F121FB" w:rsidRDefault="00ED2DC7">
                    <w:pPr>
                      <w:snapToGrid w:val="0"/>
                      <w:spacing w:line="240" w:lineRule="atLeast"/>
                      <w:ind w:rightChars="-759" w:right="-1594"/>
                      <w:rPr>
                        <w:sz w:val="16"/>
                        <w:szCs w:val="16"/>
                      </w:rPr>
                    </w:pPr>
                  </w:p>
                </w:tc>
                <w:sdt>
                  <w:sdtPr>
                    <w:rPr>
                      <w:sz w:val="16"/>
                      <w:szCs w:val="16"/>
                    </w:rPr>
                    <w:tag w:val="_PLD_3c5d65171933469ea16eac46afc03a54"/>
                    <w:id w:val="-385493348"/>
                    <w:lock w:val="sdtLocked"/>
                  </w:sdtPr>
                  <w:sdtContent>
                    <w:tc>
                      <w:tcPr>
                        <w:tcW w:w="3584" w:type="pct"/>
                        <w:gridSpan w:val="13"/>
                        <w:vAlign w:val="center"/>
                      </w:tcPr>
                      <w:p w:rsidR="00ED2DC7" w:rsidRPr="00F121FB" w:rsidRDefault="00ED2DC7">
                        <w:pPr>
                          <w:jc w:val="center"/>
                          <w:rPr>
                            <w:sz w:val="16"/>
                            <w:szCs w:val="16"/>
                          </w:rPr>
                        </w:pPr>
                        <w:r w:rsidRPr="00F121FB">
                          <w:rPr>
                            <w:sz w:val="16"/>
                            <w:szCs w:val="16"/>
                          </w:rPr>
                          <w:t>归属于母公司所有者权益</w:t>
                        </w:r>
                      </w:p>
                    </w:tc>
                  </w:sdtContent>
                </w:sdt>
                <w:sdt>
                  <w:sdtPr>
                    <w:rPr>
                      <w:sz w:val="16"/>
                      <w:szCs w:val="16"/>
                    </w:rPr>
                    <w:tag w:val="_PLD_ba7b1c99b1634f48939c500d6c46ce09"/>
                    <w:id w:val="-2140793499"/>
                    <w:lock w:val="sdtLocked"/>
                  </w:sdtPr>
                  <w:sdtContent>
                    <w:tc>
                      <w:tcPr>
                        <w:tcW w:w="381" w:type="pct"/>
                        <w:vMerge w:val="restart"/>
                        <w:vAlign w:val="center"/>
                      </w:tcPr>
                      <w:p w:rsidR="00ED2DC7" w:rsidRPr="00F121FB" w:rsidRDefault="00ED2DC7">
                        <w:pPr>
                          <w:jc w:val="center"/>
                          <w:rPr>
                            <w:sz w:val="16"/>
                            <w:szCs w:val="16"/>
                          </w:rPr>
                        </w:pPr>
                        <w:r w:rsidRPr="00F121FB">
                          <w:rPr>
                            <w:sz w:val="16"/>
                            <w:szCs w:val="16"/>
                          </w:rPr>
                          <w:t>少数股东权益</w:t>
                        </w:r>
                      </w:p>
                    </w:tc>
                  </w:sdtContent>
                </w:sdt>
                <w:sdt>
                  <w:sdtPr>
                    <w:rPr>
                      <w:sz w:val="16"/>
                      <w:szCs w:val="16"/>
                    </w:rPr>
                    <w:tag w:val="_PLD_fb367567c5f141a5863649df07435b71"/>
                    <w:id w:val="95452678"/>
                    <w:lock w:val="sdtLocked"/>
                  </w:sdtPr>
                  <w:sdtContent>
                    <w:tc>
                      <w:tcPr>
                        <w:tcW w:w="404" w:type="pct"/>
                        <w:vMerge w:val="restart"/>
                        <w:vAlign w:val="center"/>
                      </w:tcPr>
                      <w:p w:rsidR="00ED2DC7" w:rsidRPr="00F121FB" w:rsidRDefault="00ED2DC7">
                        <w:pPr>
                          <w:jc w:val="center"/>
                          <w:rPr>
                            <w:sz w:val="16"/>
                            <w:szCs w:val="16"/>
                          </w:rPr>
                        </w:pPr>
                        <w:r w:rsidRPr="00F121FB">
                          <w:rPr>
                            <w:sz w:val="16"/>
                            <w:szCs w:val="16"/>
                          </w:rPr>
                          <w:t>所有者权益合计</w:t>
                        </w:r>
                      </w:p>
                    </w:tc>
                  </w:sdtContent>
                </w:sdt>
              </w:tr>
              <w:tr w:rsidR="00B637B2" w:rsidTr="00B637B2">
                <w:trPr>
                  <w:cantSplit/>
                  <w:trHeight w:val="383"/>
                </w:trPr>
                <w:tc>
                  <w:tcPr>
                    <w:tcW w:w="631" w:type="pct"/>
                    <w:vMerge/>
                  </w:tcPr>
                  <w:p w:rsidR="00ED2DC7" w:rsidRPr="00F121FB" w:rsidRDefault="00ED2DC7">
                    <w:pPr>
                      <w:snapToGrid w:val="0"/>
                      <w:spacing w:line="240" w:lineRule="atLeast"/>
                      <w:ind w:rightChars="-759" w:right="-1594"/>
                      <w:rPr>
                        <w:sz w:val="16"/>
                        <w:szCs w:val="16"/>
                      </w:rPr>
                    </w:pPr>
                  </w:p>
                </w:tc>
                <w:sdt>
                  <w:sdtPr>
                    <w:rPr>
                      <w:sz w:val="16"/>
                      <w:szCs w:val="16"/>
                    </w:rPr>
                    <w:tag w:val="_PLD_36b3a5c009c04b53b0bd25afc2596e7e"/>
                    <w:id w:val="7185206"/>
                    <w:lock w:val="sdtLocked"/>
                  </w:sdtPr>
                  <w:sdtContent>
                    <w:tc>
                      <w:tcPr>
                        <w:tcW w:w="405" w:type="pct"/>
                        <w:vMerge w:val="restart"/>
                        <w:vAlign w:val="center"/>
                      </w:tcPr>
                      <w:p w:rsidR="00ED2DC7" w:rsidRPr="00F121FB" w:rsidRDefault="00ED2DC7">
                        <w:pPr>
                          <w:snapToGrid w:val="0"/>
                          <w:spacing w:line="240" w:lineRule="atLeast"/>
                          <w:jc w:val="center"/>
                          <w:rPr>
                            <w:sz w:val="16"/>
                            <w:szCs w:val="16"/>
                          </w:rPr>
                        </w:pPr>
                        <w:r w:rsidRPr="00F121FB">
                          <w:rPr>
                            <w:rFonts w:hint="eastAsia"/>
                            <w:sz w:val="16"/>
                            <w:szCs w:val="16"/>
                          </w:rPr>
                          <w:t>实收资本</w:t>
                        </w:r>
                        <w:r w:rsidRPr="00F121FB">
                          <w:rPr>
                            <w:sz w:val="16"/>
                            <w:szCs w:val="16"/>
                          </w:rPr>
                          <w:t>(或股本)</w:t>
                        </w:r>
                      </w:p>
                    </w:tc>
                  </w:sdtContent>
                </w:sdt>
                <w:sdt>
                  <w:sdtPr>
                    <w:rPr>
                      <w:sz w:val="16"/>
                      <w:szCs w:val="16"/>
                    </w:rPr>
                    <w:tag w:val="_PLD_c0579a9940424a129a85d26955bb30bc"/>
                    <w:id w:val="-1043979272"/>
                    <w:lock w:val="sdtLocked"/>
                  </w:sdtPr>
                  <w:sdtContent>
                    <w:tc>
                      <w:tcPr>
                        <w:tcW w:w="405" w:type="pct"/>
                        <w:gridSpan w:val="3"/>
                        <w:vAlign w:val="center"/>
                      </w:tcPr>
                      <w:p w:rsidR="00ED2DC7" w:rsidRPr="00F121FB" w:rsidRDefault="00ED2DC7">
                        <w:pPr>
                          <w:snapToGrid w:val="0"/>
                          <w:spacing w:line="240" w:lineRule="atLeast"/>
                          <w:jc w:val="center"/>
                          <w:rPr>
                            <w:sz w:val="16"/>
                            <w:szCs w:val="16"/>
                          </w:rPr>
                        </w:pPr>
                        <w:r w:rsidRPr="00F121FB">
                          <w:rPr>
                            <w:rFonts w:hint="eastAsia"/>
                            <w:sz w:val="16"/>
                            <w:szCs w:val="16"/>
                          </w:rPr>
                          <w:t>其他权益工具</w:t>
                        </w:r>
                      </w:p>
                    </w:tc>
                  </w:sdtContent>
                </w:sdt>
                <w:sdt>
                  <w:sdtPr>
                    <w:rPr>
                      <w:sz w:val="16"/>
                      <w:szCs w:val="16"/>
                    </w:rPr>
                    <w:tag w:val="_PLD_f728bf12d1d64c4fa04dfc828a7a0411"/>
                    <w:id w:val="948738749"/>
                    <w:lock w:val="sdtLocked"/>
                  </w:sdtPr>
                  <w:sdtContent>
                    <w:tc>
                      <w:tcPr>
                        <w:tcW w:w="405" w:type="pct"/>
                        <w:vMerge w:val="restart"/>
                        <w:vAlign w:val="center"/>
                      </w:tcPr>
                      <w:p w:rsidR="00ED2DC7" w:rsidRPr="00F121FB" w:rsidRDefault="00ED2DC7">
                        <w:pPr>
                          <w:snapToGrid w:val="0"/>
                          <w:spacing w:line="240" w:lineRule="atLeast"/>
                          <w:jc w:val="center"/>
                          <w:rPr>
                            <w:sz w:val="16"/>
                            <w:szCs w:val="16"/>
                          </w:rPr>
                        </w:pPr>
                        <w:r w:rsidRPr="00F121FB">
                          <w:rPr>
                            <w:rFonts w:hint="eastAsia"/>
                            <w:sz w:val="16"/>
                            <w:szCs w:val="16"/>
                          </w:rPr>
                          <w:t>资本公积</w:t>
                        </w:r>
                      </w:p>
                    </w:tc>
                  </w:sdtContent>
                </w:sdt>
                <w:sdt>
                  <w:sdtPr>
                    <w:rPr>
                      <w:sz w:val="16"/>
                      <w:szCs w:val="16"/>
                    </w:rPr>
                    <w:tag w:val="_PLD_8c191e0685ac4367b113504c484a11e9"/>
                    <w:id w:val="-1670403815"/>
                    <w:lock w:val="sdtLocked"/>
                  </w:sdtPr>
                  <w:sdtContent>
                    <w:tc>
                      <w:tcPr>
                        <w:tcW w:w="361" w:type="pct"/>
                        <w:vMerge w:val="restart"/>
                        <w:vAlign w:val="center"/>
                      </w:tcPr>
                      <w:p w:rsidR="00ED2DC7" w:rsidRPr="00F121FB" w:rsidRDefault="00ED2DC7">
                        <w:pPr>
                          <w:snapToGrid w:val="0"/>
                          <w:spacing w:line="240" w:lineRule="atLeast"/>
                          <w:jc w:val="center"/>
                          <w:rPr>
                            <w:sz w:val="16"/>
                            <w:szCs w:val="16"/>
                          </w:rPr>
                        </w:pPr>
                        <w:r w:rsidRPr="00F121FB">
                          <w:rPr>
                            <w:rFonts w:hint="eastAsia"/>
                            <w:sz w:val="16"/>
                            <w:szCs w:val="16"/>
                          </w:rPr>
                          <w:t>减：库存股</w:t>
                        </w:r>
                      </w:p>
                    </w:tc>
                  </w:sdtContent>
                </w:sdt>
                <w:sdt>
                  <w:sdtPr>
                    <w:rPr>
                      <w:sz w:val="16"/>
                      <w:szCs w:val="16"/>
                    </w:rPr>
                    <w:tag w:val="_PLD_68ae3206209542ea8491f40d49bafeb7"/>
                    <w:id w:val="-2140802999"/>
                    <w:lock w:val="sdtLocked"/>
                  </w:sdtPr>
                  <w:sdtContent>
                    <w:tc>
                      <w:tcPr>
                        <w:tcW w:w="361" w:type="pct"/>
                        <w:vMerge w:val="restart"/>
                        <w:vAlign w:val="center"/>
                      </w:tcPr>
                      <w:p w:rsidR="00ED2DC7" w:rsidRPr="00F121FB" w:rsidRDefault="00ED2DC7">
                        <w:pPr>
                          <w:snapToGrid w:val="0"/>
                          <w:spacing w:line="240" w:lineRule="atLeast"/>
                          <w:jc w:val="center"/>
                          <w:rPr>
                            <w:sz w:val="16"/>
                            <w:szCs w:val="16"/>
                          </w:rPr>
                        </w:pPr>
                        <w:r w:rsidRPr="00F121FB">
                          <w:rPr>
                            <w:rFonts w:hint="eastAsia"/>
                            <w:sz w:val="16"/>
                            <w:szCs w:val="16"/>
                          </w:rPr>
                          <w:t>其他综合收益</w:t>
                        </w:r>
                      </w:p>
                    </w:tc>
                  </w:sdtContent>
                </w:sdt>
                <w:sdt>
                  <w:sdtPr>
                    <w:rPr>
                      <w:sz w:val="16"/>
                      <w:szCs w:val="16"/>
                    </w:rPr>
                    <w:tag w:val="_PLD_6402f064d7a041d58973d8b8205096d0"/>
                    <w:id w:val="-1887632772"/>
                    <w:lock w:val="sdtLocked"/>
                  </w:sdtPr>
                  <w:sdtContent>
                    <w:tc>
                      <w:tcPr>
                        <w:tcW w:w="134" w:type="pct"/>
                        <w:vMerge w:val="restart"/>
                        <w:vAlign w:val="center"/>
                      </w:tcPr>
                      <w:p w:rsidR="00ED2DC7" w:rsidRPr="00F121FB" w:rsidRDefault="00ED2DC7">
                        <w:pPr>
                          <w:snapToGrid w:val="0"/>
                          <w:spacing w:line="240" w:lineRule="atLeast"/>
                          <w:jc w:val="center"/>
                          <w:rPr>
                            <w:sz w:val="16"/>
                            <w:szCs w:val="16"/>
                          </w:rPr>
                        </w:pPr>
                        <w:r w:rsidRPr="00F121FB">
                          <w:rPr>
                            <w:rFonts w:hint="eastAsia"/>
                            <w:sz w:val="16"/>
                            <w:szCs w:val="16"/>
                          </w:rPr>
                          <w:t>专项储备</w:t>
                        </w:r>
                      </w:p>
                    </w:tc>
                  </w:sdtContent>
                </w:sdt>
                <w:sdt>
                  <w:sdtPr>
                    <w:rPr>
                      <w:sz w:val="16"/>
                      <w:szCs w:val="16"/>
                    </w:rPr>
                    <w:tag w:val="_PLD_b1d22d8686164205bfa14ef647cebfcd"/>
                    <w:id w:val="-1843548443"/>
                    <w:lock w:val="sdtLocked"/>
                  </w:sdtPr>
                  <w:sdtContent>
                    <w:tc>
                      <w:tcPr>
                        <w:tcW w:w="361" w:type="pct"/>
                        <w:vMerge w:val="restart"/>
                        <w:vAlign w:val="center"/>
                      </w:tcPr>
                      <w:p w:rsidR="00ED2DC7" w:rsidRPr="00F121FB" w:rsidRDefault="00ED2DC7">
                        <w:pPr>
                          <w:snapToGrid w:val="0"/>
                          <w:spacing w:line="240" w:lineRule="atLeast"/>
                          <w:jc w:val="center"/>
                          <w:rPr>
                            <w:sz w:val="16"/>
                            <w:szCs w:val="16"/>
                          </w:rPr>
                        </w:pPr>
                        <w:r w:rsidRPr="00F121FB">
                          <w:rPr>
                            <w:rFonts w:hint="eastAsia"/>
                            <w:sz w:val="16"/>
                            <w:szCs w:val="16"/>
                          </w:rPr>
                          <w:t>盈余公积</w:t>
                        </w:r>
                      </w:p>
                    </w:tc>
                  </w:sdtContent>
                </w:sdt>
                <w:sdt>
                  <w:sdtPr>
                    <w:rPr>
                      <w:sz w:val="16"/>
                      <w:szCs w:val="16"/>
                    </w:rPr>
                    <w:tag w:val="_PLD_c5c57d0195b14864b413898a9c76e89d"/>
                    <w:id w:val="-220907279"/>
                    <w:lock w:val="sdtLocked"/>
                  </w:sdtPr>
                  <w:sdtContent>
                    <w:tc>
                      <w:tcPr>
                        <w:tcW w:w="179" w:type="pct"/>
                        <w:vMerge w:val="restart"/>
                        <w:vAlign w:val="center"/>
                      </w:tcPr>
                      <w:p w:rsidR="00ED2DC7" w:rsidRPr="00F121FB" w:rsidRDefault="00ED2DC7">
                        <w:pPr>
                          <w:snapToGrid w:val="0"/>
                          <w:spacing w:line="240" w:lineRule="atLeast"/>
                          <w:jc w:val="center"/>
                          <w:rPr>
                            <w:sz w:val="16"/>
                            <w:szCs w:val="16"/>
                          </w:rPr>
                        </w:pPr>
                        <w:r w:rsidRPr="00F121FB">
                          <w:rPr>
                            <w:rFonts w:hint="eastAsia"/>
                            <w:sz w:val="16"/>
                            <w:szCs w:val="16"/>
                          </w:rPr>
                          <w:t>一般风险准备</w:t>
                        </w:r>
                      </w:p>
                    </w:tc>
                  </w:sdtContent>
                </w:sdt>
                <w:sdt>
                  <w:sdtPr>
                    <w:rPr>
                      <w:sz w:val="16"/>
                      <w:szCs w:val="16"/>
                    </w:rPr>
                    <w:tag w:val="_PLD_c9bffd2027d24ca1955db036ad79f5ea"/>
                    <w:id w:val="-971983303"/>
                    <w:lock w:val="sdtLocked"/>
                  </w:sdtPr>
                  <w:sdtContent>
                    <w:tc>
                      <w:tcPr>
                        <w:tcW w:w="406" w:type="pct"/>
                        <w:vMerge w:val="restart"/>
                        <w:vAlign w:val="center"/>
                      </w:tcPr>
                      <w:p w:rsidR="00ED2DC7" w:rsidRPr="00F121FB" w:rsidRDefault="00ED2DC7">
                        <w:pPr>
                          <w:snapToGrid w:val="0"/>
                          <w:spacing w:line="240" w:lineRule="atLeast"/>
                          <w:jc w:val="center"/>
                          <w:rPr>
                            <w:sz w:val="16"/>
                            <w:szCs w:val="16"/>
                          </w:rPr>
                        </w:pPr>
                        <w:r w:rsidRPr="00F121FB">
                          <w:rPr>
                            <w:rFonts w:hint="eastAsia"/>
                            <w:sz w:val="16"/>
                            <w:szCs w:val="16"/>
                          </w:rPr>
                          <w:t>未分配利润</w:t>
                        </w:r>
                      </w:p>
                    </w:tc>
                  </w:sdtContent>
                </w:sdt>
                <w:tc>
                  <w:tcPr>
                    <w:tcW w:w="139" w:type="pct"/>
                    <w:vMerge w:val="restart"/>
                    <w:vAlign w:val="center"/>
                  </w:tcPr>
                  <w:sdt>
                    <w:sdtPr>
                      <w:rPr>
                        <w:rFonts w:hint="eastAsia"/>
                        <w:sz w:val="16"/>
                        <w:szCs w:val="16"/>
                      </w:rPr>
                      <w:tag w:val="_PLD_de6da1e2128f48e49564e44af75ff7ab"/>
                      <w:id w:val="1908419858"/>
                      <w:lock w:val="sdtLocked"/>
                    </w:sdtPr>
                    <w:sdtContent>
                      <w:sdt>
                        <w:sdtPr>
                          <w:rPr>
                            <w:rFonts w:hint="eastAsia"/>
                            <w:sz w:val="16"/>
                            <w:szCs w:val="16"/>
                          </w:rPr>
                          <w:tag w:val="_PLD_ff5e808cf3794086a9aee4c489a9f6eb"/>
                          <w:id w:val="-56252196"/>
                          <w:lock w:val="sdtLocked"/>
                          <w:placeholder>
                            <w:docPart w:val="GBC11111111111111111111111111111"/>
                          </w:placeholder>
                        </w:sdtPr>
                        <w:sdtContent>
                          <w:p w:rsidR="00ED2DC7" w:rsidRPr="00F121FB" w:rsidRDefault="00ED2DC7">
                            <w:pPr>
                              <w:jc w:val="center"/>
                              <w:rPr>
                                <w:sz w:val="16"/>
                                <w:szCs w:val="16"/>
                              </w:rPr>
                            </w:pPr>
                            <w:r w:rsidRPr="00F121FB">
                              <w:rPr>
                                <w:rFonts w:hint="eastAsia"/>
                                <w:sz w:val="16"/>
                                <w:szCs w:val="16"/>
                              </w:rPr>
                              <w:t>其他</w:t>
                            </w:r>
                          </w:p>
                        </w:sdtContent>
                      </w:sdt>
                    </w:sdtContent>
                  </w:sdt>
                </w:tc>
                <w:tc>
                  <w:tcPr>
                    <w:tcW w:w="428" w:type="pct"/>
                    <w:vMerge w:val="restart"/>
                    <w:vAlign w:val="center"/>
                  </w:tcPr>
                  <w:sdt>
                    <w:sdtPr>
                      <w:rPr>
                        <w:rFonts w:hint="eastAsia"/>
                        <w:sz w:val="16"/>
                        <w:szCs w:val="16"/>
                      </w:rPr>
                      <w:tag w:val="_PLD_e6df9793a438430a8df9730b2cdd8a99"/>
                      <w:id w:val="1827017699"/>
                      <w:lock w:val="sdtLocked"/>
                    </w:sdtPr>
                    <w:sdtContent>
                      <w:p w:rsidR="00ED2DC7" w:rsidRPr="00F121FB" w:rsidRDefault="00ED2DC7">
                        <w:pPr>
                          <w:jc w:val="center"/>
                          <w:rPr>
                            <w:sz w:val="16"/>
                            <w:szCs w:val="16"/>
                          </w:rPr>
                        </w:pPr>
                        <w:r w:rsidRPr="00F121FB">
                          <w:rPr>
                            <w:rFonts w:hint="eastAsia"/>
                            <w:sz w:val="16"/>
                            <w:szCs w:val="16"/>
                          </w:rPr>
                          <w:t>小计</w:t>
                        </w:r>
                      </w:p>
                    </w:sdtContent>
                  </w:sdt>
                </w:tc>
                <w:tc>
                  <w:tcPr>
                    <w:tcW w:w="381" w:type="pct"/>
                    <w:vMerge/>
                  </w:tcPr>
                  <w:p w:rsidR="00ED2DC7" w:rsidRPr="00F121FB" w:rsidRDefault="00ED2DC7">
                    <w:pPr>
                      <w:jc w:val="center"/>
                      <w:rPr>
                        <w:sz w:val="16"/>
                        <w:szCs w:val="16"/>
                      </w:rPr>
                    </w:pPr>
                  </w:p>
                </w:tc>
                <w:tc>
                  <w:tcPr>
                    <w:tcW w:w="404" w:type="pct"/>
                    <w:vMerge/>
                  </w:tcPr>
                  <w:p w:rsidR="00ED2DC7" w:rsidRPr="00F121FB" w:rsidRDefault="00ED2DC7">
                    <w:pPr>
                      <w:jc w:val="center"/>
                      <w:rPr>
                        <w:sz w:val="16"/>
                        <w:szCs w:val="16"/>
                      </w:rPr>
                    </w:pPr>
                  </w:p>
                </w:tc>
              </w:tr>
              <w:tr w:rsidR="00B637B2" w:rsidTr="00B637B2">
                <w:trPr>
                  <w:cantSplit/>
                  <w:trHeight w:val="303"/>
                </w:trPr>
                <w:tc>
                  <w:tcPr>
                    <w:tcW w:w="631" w:type="pct"/>
                    <w:vMerge/>
                  </w:tcPr>
                  <w:p w:rsidR="00ED2DC7" w:rsidRPr="00F121FB" w:rsidRDefault="00ED2DC7">
                    <w:pPr>
                      <w:snapToGrid w:val="0"/>
                      <w:spacing w:line="240" w:lineRule="atLeast"/>
                      <w:ind w:rightChars="-759" w:right="-1594"/>
                      <w:rPr>
                        <w:sz w:val="16"/>
                        <w:szCs w:val="16"/>
                      </w:rPr>
                    </w:pPr>
                  </w:p>
                </w:tc>
                <w:tc>
                  <w:tcPr>
                    <w:tcW w:w="405" w:type="pct"/>
                    <w:vMerge/>
                  </w:tcPr>
                  <w:p w:rsidR="00ED2DC7" w:rsidRPr="00F121FB" w:rsidRDefault="00ED2DC7">
                    <w:pPr>
                      <w:snapToGrid w:val="0"/>
                      <w:spacing w:line="240" w:lineRule="atLeast"/>
                      <w:jc w:val="center"/>
                      <w:rPr>
                        <w:sz w:val="16"/>
                        <w:szCs w:val="16"/>
                      </w:rPr>
                    </w:pPr>
                  </w:p>
                </w:tc>
                <w:sdt>
                  <w:sdtPr>
                    <w:rPr>
                      <w:sz w:val="16"/>
                      <w:szCs w:val="16"/>
                    </w:rPr>
                    <w:tag w:val="_PLD_052ae87eff474159aaedec0c5ce4bb50"/>
                    <w:id w:val="661982980"/>
                    <w:lock w:val="sdtLocked"/>
                  </w:sdtPr>
                  <w:sdtContent>
                    <w:tc>
                      <w:tcPr>
                        <w:tcW w:w="135" w:type="pct"/>
                        <w:vAlign w:val="center"/>
                      </w:tcPr>
                      <w:p w:rsidR="00ED2DC7" w:rsidRPr="00F121FB" w:rsidRDefault="00ED2DC7">
                        <w:pPr>
                          <w:jc w:val="center"/>
                          <w:rPr>
                            <w:sz w:val="16"/>
                            <w:szCs w:val="16"/>
                          </w:rPr>
                        </w:pPr>
                        <w:r w:rsidRPr="00F121FB">
                          <w:rPr>
                            <w:rFonts w:hint="eastAsia"/>
                            <w:sz w:val="16"/>
                            <w:szCs w:val="16"/>
                          </w:rPr>
                          <w:t>优先股</w:t>
                        </w:r>
                      </w:p>
                    </w:tc>
                  </w:sdtContent>
                </w:sdt>
                <w:sdt>
                  <w:sdtPr>
                    <w:rPr>
                      <w:sz w:val="16"/>
                      <w:szCs w:val="16"/>
                    </w:rPr>
                    <w:tag w:val="_PLD_f40d311f528a48d8a47457e11ad5ccd5"/>
                    <w:id w:val="1593896051"/>
                    <w:lock w:val="sdtLocked"/>
                  </w:sdtPr>
                  <w:sdtContent>
                    <w:tc>
                      <w:tcPr>
                        <w:tcW w:w="135" w:type="pct"/>
                        <w:vAlign w:val="center"/>
                      </w:tcPr>
                      <w:p w:rsidR="00ED2DC7" w:rsidRPr="00F121FB" w:rsidRDefault="00ED2DC7">
                        <w:pPr>
                          <w:jc w:val="center"/>
                          <w:rPr>
                            <w:sz w:val="16"/>
                            <w:szCs w:val="16"/>
                          </w:rPr>
                        </w:pPr>
                        <w:r w:rsidRPr="00F121FB">
                          <w:rPr>
                            <w:rFonts w:hint="eastAsia"/>
                            <w:sz w:val="16"/>
                            <w:szCs w:val="16"/>
                          </w:rPr>
                          <w:t>永续债</w:t>
                        </w:r>
                      </w:p>
                    </w:tc>
                  </w:sdtContent>
                </w:sdt>
                <w:sdt>
                  <w:sdtPr>
                    <w:rPr>
                      <w:sz w:val="16"/>
                      <w:szCs w:val="16"/>
                    </w:rPr>
                    <w:tag w:val="_PLD_90f98adf8eaf44078005d57f570c4291"/>
                    <w:id w:val="1875108031"/>
                    <w:lock w:val="sdtLocked"/>
                  </w:sdtPr>
                  <w:sdtContent>
                    <w:tc>
                      <w:tcPr>
                        <w:tcW w:w="135" w:type="pct"/>
                        <w:vAlign w:val="center"/>
                      </w:tcPr>
                      <w:p w:rsidR="00ED2DC7" w:rsidRPr="00F121FB" w:rsidRDefault="00ED2DC7">
                        <w:pPr>
                          <w:jc w:val="center"/>
                          <w:rPr>
                            <w:sz w:val="16"/>
                            <w:szCs w:val="16"/>
                          </w:rPr>
                        </w:pPr>
                        <w:r w:rsidRPr="00F121FB">
                          <w:rPr>
                            <w:rFonts w:hint="eastAsia"/>
                            <w:sz w:val="16"/>
                            <w:szCs w:val="16"/>
                          </w:rPr>
                          <w:t>其他</w:t>
                        </w:r>
                      </w:p>
                    </w:tc>
                  </w:sdtContent>
                </w:sdt>
                <w:tc>
                  <w:tcPr>
                    <w:tcW w:w="405" w:type="pct"/>
                    <w:vMerge/>
                  </w:tcPr>
                  <w:p w:rsidR="00ED2DC7" w:rsidRPr="00F121FB" w:rsidRDefault="00ED2DC7">
                    <w:pPr>
                      <w:snapToGrid w:val="0"/>
                      <w:spacing w:line="240" w:lineRule="atLeast"/>
                      <w:jc w:val="center"/>
                      <w:rPr>
                        <w:sz w:val="16"/>
                        <w:szCs w:val="16"/>
                      </w:rPr>
                    </w:pPr>
                  </w:p>
                </w:tc>
                <w:tc>
                  <w:tcPr>
                    <w:tcW w:w="361" w:type="pct"/>
                    <w:vMerge/>
                  </w:tcPr>
                  <w:p w:rsidR="00ED2DC7" w:rsidRPr="00F121FB" w:rsidRDefault="00ED2DC7">
                    <w:pPr>
                      <w:snapToGrid w:val="0"/>
                      <w:spacing w:line="240" w:lineRule="atLeast"/>
                      <w:jc w:val="center"/>
                      <w:rPr>
                        <w:sz w:val="16"/>
                        <w:szCs w:val="16"/>
                      </w:rPr>
                    </w:pPr>
                  </w:p>
                </w:tc>
                <w:tc>
                  <w:tcPr>
                    <w:tcW w:w="361" w:type="pct"/>
                    <w:vMerge/>
                  </w:tcPr>
                  <w:p w:rsidR="00ED2DC7" w:rsidRPr="00F121FB" w:rsidRDefault="00ED2DC7">
                    <w:pPr>
                      <w:snapToGrid w:val="0"/>
                      <w:spacing w:line="240" w:lineRule="atLeast"/>
                      <w:jc w:val="center"/>
                      <w:rPr>
                        <w:sz w:val="16"/>
                        <w:szCs w:val="16"/>
                      </w:rPr>
                    </w:pPr>
                  </w:p>
                </w:tc>
                <w:tc>
                  <w:tcPr>
                    <w:tcW w:w="134" w:type="pct"/>
                    <w:vMerge/>
                  </w:tcPr>
                  <w:p w:rsidR="00ED2DC7" w:rsidRPr="00F121FB" w:rsidRDefault="00ED2DC7">
                    <w:pPr>
                      <w:snapToGrid w:val="0"/>
                      <w:spacing w:line="240" w:lineRule="atLeast"/>
                      <w:jc w:val="center"/>
                      <w:rPr>
                        <w:sz w:val="16"/>
                        <w:szCs w:val="16"/>
                      </w:rPr>
                    </w:pPr>
                  </w:p>
                </w:tc>
                <w:tc>
                  <w:tcPr>
                    <w:tcW w:w="361" w:type="pct"/>
                    <w:vMerge/>
                  </w:tcPr>
                  <w:p w:rsidR="00ED2DC7" w:rsidRPr="00F121FB" w:rsidRDefault="00ED2DC7">
                    <w:pPr>
                      <w:snapToGrid w:val="0"/>
                      <w:spacing w:line="240" w:lineRule="atLeast"/>
                      <w:jc w:val="center"/>
                      <w:rPr>
                        <w:sz w:val="16"/>
                        <w:szCs w:val="16"/>
                      </w:rPr>
                    </w:pPr>
                  </w:p>
                </w:tc>
                <w:tc>
                  <w:tcPr>
                    <w:tcW w:w="179" w:type="pct"/>
                    <w:vMerge/>
                  </w:tcPr>
                  <w:p w:rsidR="00ED2DC7" w:rsidRPr="00F121FB" w:rsidRDefault="00ED2DC7">
                    <w:pPr>
                      <w:snapToGrid w:val="0"/>
                      <w:spacing w:line="240" w:lineRule="atLeast"/>
                      <w:jc w:val="center"/>
                      <w:rPr>
                        <w:sz w:val="16"/>
                        <w:szCs w:val="16"/>
                      </w:rPr>
                    </w:pPr>
                  </w:p>
                </w:tc>
                <w:tc>
                  <w:tcPr>
                    <w:tcW w:w="406" w:type="pct"/>
                    <w:vMerge/>
                  </w:tcPr>
                  <w:p w:rsidR="00ED2DC7" w:rsidRPr="00F121FB" w:rsidRDefault="00ED2DC7">
                    <w:pPr>
                      <w:snapToGrid w:val="0"/>
                      <w:spacing w:line="240" w:lineRule="atLeast"/>
                      <w:jc w:val="center"/>
                      <w:rPr>
                        <w:sz w:val="16"/>
                        <w:szCs w:val="16"/>
                      </w:rPr>
                    </w:pPr>
                  </w:p>
                </w:tc>
                <w:tc>
                  <w:tcPr>
                    <w:tcW w:w="139" w:type="pct"/>
                    <w:vMerge/>
                  </w:tcPr>
                  <w:p w:rsidR="00ED2DC7" w:rsidRPr="00F121FB" w:rsidRDefault="00ED2DC7">
                    <w:pPr>
                      <w:jc w:val="center"/>
                      <w:rPr>
                        <w:sz w:val="16"/>
                        <w:szCs w:val="16"/>
                      </w:rPr>
                    </w:pPr>
                  </w:p>
                </w:tc>
                <w:tc>
                  <w:tcPr>
                    <w:tcW w:w="428" w:type="pct"/>
                    <w:vMerge/>
                  </w:tcPr>
                  <w:p w:rsidR="00ED2DC7" w:rsidRPr="00F121FB" w:rsidRDefault="00ED2DC7">
                    <w:pPr>
                      <w:jc w:val="center"/>
                      <w:rPr>
                        <w:sz w:val="16"/>
                        <w:szCs w:val="16"/>
                      </w:rPr>
                    </w:pPr>
                  </w:p>
                </w:tc>
                <w:tc>
                  <w:tcPr>
                    <w:tcW w:w="381" w:type="pct"/>
                    <w:vMerge/>
                  </w:tcPr>
                  <w:p w:rsidR="00ED2DC7" w:rsidRPr="00F121FB" w:rsidRDefault="00ED2DC7">
                    <w:pPr>
                      <w:jc w:val="center"/>
                      <w:rPr>
                        <w:sz w:val="16"/>
                        <w:szCs w:val="16"/>
                      </w:rPr>
                    </w:pPr>
                  </w:p>
                </w:tc>
                <w:tc>
                  <w:tcPr>
                    <w:tcW w:w="404" w:type="pct"/>
                    <w:vMerge/>
                    <w:tcBorders>
                      <w:bottom w:val="nil"/>
                    </w:tcBorders>
                  </w:tcPr>
                  <w:p w:rsidR="00ED2DC7" w:rsidRPr="00F121FB" w:rsidRDefault="00ED2DC7">
                    <w:pPr>
                      <w:jc w:val="center"/>
                      <w:rPr>
                        <w:sz w:val="16"/>
                        <w:szCs w:val="16"/>
                      </w:rPr>
                    </w:pPr>
                  </w:p>
                </w:tc>
              </w:tr>
              <w:tr w:rsidR="00B637B2" w:rsidTr="00B637B2">
                <w:sdt>
                  <w:sdtPr>
                    <w:rPr>
                      <w:sz w:val="16"/>
                      <w:szCs w:val="16"/>
                    </w:rPr>
                    <w:tag w:val="_PLD_7e9607e7cfb34d74bf0fce08e0866d34"/>
                    <w:id w:val="1671760764"/>
                    <w:lock w:val="sdtLocked"/>
                  </w:sdtPr>
                  <w:sdtContent>
                    <w:tc>
                      <w:tcPr>
                        <w:tcW w:w="631" w:type="pct"/>
                      </w:tcPr>
                      <w:p w:rsidR="0024594E" w:rsidRPr="00F121FB" w:rsidRDefault="0024594E" w:rsidP="0024594E">
                        <w:pPr>
                          <w:rPr>
                            <w:sz w:val="16"/>
                            <w:szCs w:val="16"/>
                          </w:rPr>
                        </w:pPr>
                        <w:r w:rsidRPr="00F121FB">
                          <w:rPr>
                            <w:sz w:val="16"/>
                            <w:szCs w:val="16"/>
                          </w:rPr>
                          <w:t>一、上年</w:t>
                        </w:r>
                        <w:r w:rsidRPr="00F121FB">
                          <w:rPr>
                            <w:rFonts w:hint="eastAsia"/>
                            <w:sz w:val="16"/>
                            <w:szCs w:val="16"/>
                          </w:rPr>
                          <w:t>期</w:t>
                        </w:r>
                        <w:r w:rsidRPr="00F121FB">
                          <w:rPr>
                            <w:sz w:val="16"/>
                            <w:szCs w:val="16"/>
                          </w:rPr>
                          <w:t>末余额</w:t>
                        </w:r>
                      </w:p>
                    </w:tc>
                  </w:sdtContent>
                </w:sdt>
                <w:tc>
                  <w:tcPr>
                    <w:tcW w:w="405" w:type="pct"/>
                    <w:vAlign w:val="center"/>
                  </w:tcPr>
                  <w:p w:rsidR="0024594E" w:rsidRPr="00F121FB" w:rsidRDefault="0024594E" w:rsidP="00B637B2">
                    <w:pPr>
                      <w:jc w:val="right"/>
                      <w:rPr>
                        <w:sz w:val="16"/>
                        <w:szCs w:val="16"/>
                      </w:rPr>
                    </w:pPr>
                    <w:r w:rsidRPr="00F121FB">
                      <w:rPr>
                        <w:sz w:val="16"/>
                        <w:szCs w:val="16"/>
                      </w:rPr>
                      <w:t>1,464,217,811</w:t>
                    </w:r>
                  </w:p>
                </w:tc>
                <w:tc>
                  <w:tcPr>
                    <w:tcW w:w="135" w:type="pct"/>
                    <w:vAlign w:val="center"/>
                  </w:tcPr>
                  <w:p w:rsidR="0024594E" w:rsidRPr="00F121FB" w:rsidRDefault="008F04CF" w:rsidP="00B637B2">
                    <w:pPr>
                      <w:jc w:val="right"/>
                      <w:rPr>
                        <w:sz w:val="16"/>
                        <w:szCs w:val="16"/>
                      </w:rPr>
                    </w:pPr>
                    <w:r>
                      <w:rPr>
                        <w:rFonts w:hint="eastAsia"/>
                        <w:sz w:val="16"/>
                        <w:szCs w:val="16"/>
                      </w:rPr>
                      <w:t>-</w:t>
                    </w:r>
                  </w:p>
                </w:tc>
                <w:tc>
                  <w:tcPr>
                    <w:tcW w:w="135" w:type="pct"/>
                    <w:vAlign w:val="center"/>
                  </w:tcPr>
                  <w:p w:rsidR="0024594E" w:rsidRPr="00F121FB" w:rsidRDefault="008F04CF" w:rsidP="00B637B2">
                    <w:pPr>
                      <w:jc w:val="right"/>
                      <w:rPr>
                        <w:sz w:val="16"/>
                        <w:szCs w:val="16"/>
                      </w:rPr>
                    </w:pPr>
                    <w:r>
                      <w:rPr>
                        <w:rFonts w:hint="eastAsia"/>
                        <w:sz w:val="16"/>
                        <w:szCs w:val="16"/>
                      </w:rPr>
                      <w:t>-</w:t>
                    </w:r>
                  </w:p>
                </w:tc>
                <w:tc>
                  <w:tcPr>
                    <w:tcW w:w="135" w:type="pct"/>
                    <w:vAlign w:val="center"/>
                  </w:tcPr>
                  <w:p w:rsidR="0024594E" w:rsidRPr="00F121FB" w:rsidRDefault="008F04CF" w:rsidP="00B637B2">
                    <w:pPr>
                      <w:jc w:val="right"/>
                      <w:rPr>
                        <w:sz w:val="16"/>
                        <w:szCs w:val="16"/>
                      </w:rPr>
                    </w:pPr>
                    <w:r>
                      <w:rPr>
                        <w:rFonts w:hint="eastAsia"/>
                        <w:sz w:val="16"/>
                        <w:szCs w:val="16"/>
                      </w:rPr>
                      <w:t>-</w:t>
                    </w:r>
                  </w:p>
                </w:tc>
                <w:tc>
                  <w:tcPr>
                    <w:tcW w:w="405" w:type="pct"/>
                    <w:vAlign w:val="center"/>
                  </w:tcPr>
                  <w:p w:rsidR="0024594E" w:rsidRPr="00F121FB" w:rsidRDefault="008F04CF" w:rsidP="00B637B2">
                    <w:pPr>
                      <w:jc w:val="right"/>
                      <w:rPr>
                        <w:sz w:val="16"/>
                        <w:szCs w:val="16"/>
                      </w:rPr>
                    </w:pPr>
                    <w:r w:rsidRPr="00626C10">
                      <w:rPr>
                        <w:sz w:val="16"/>
                        <w:szCs w:val="16"/>
                      </w:rPr>
                      <w:t>2,219,017,521</w:t>
                    </w:r>
                  </w:p>
                </w:tc>
                <w:tc>
                  <w:tcPr>
                    <w:tcW w:w="361" w:type="pct"/>
                    <w:vAlign w:val="center"/>
                  </w:tcPr>
                  <w:p w:rsidR="0024594E" w:rsidRPr="00F121FB" w:rsidRDefault="008F04CF" w:rsidP="00B637B2">
                    <w:pPr>
                      <w:jc w:val="right"/>
                      <w:rPr>
                        <w:sz w:val="16"/>
                        <w:szCs w:val="16"/>
                      </w:rPr>
                    </w:pPr>
                    <w:r w:rsidRPr="00626C10">
                      <w:rPr>
                        <w:sz w:val="16"/>
                        <w:szCs w:val="16"/>
                      </w:rPr>
                      <w:t>102,196,291</w:t>
                    </w:r>
                  </w:p>
                </w:tc>
                <w:tc>
                  <w:tcPr>
                    <w:tcW w:w="361" w:type="pct"/>
                    <w:vAlign w:val="center"/>
                  </w:tcPr>
                  <w:p w:rsidR="0024594E" w:rsidRPr="00F121FB" w:rsidRDefault="0024594E" w:rsidP="00B637B2">
                    <w:pPr>
                      <w:jc w:val="right"/>
                      <w:rPr>
                        <w:sz w:val="16"/>
                        <w:szCs w:val="16"/>
                      </w:rPr>
                    </w:pPr>
                    <w:r w:rsidRPr="00F121FB">
                      <w:rPr>
                        <w:sz w:val="16"/>
                        <w:szCs w:val="16"/>
                      </w:rPr>
                      <w:t>47,946,567</w:t>
                    </w:r>
                  </w:p>
                </w:tc>
                <w:tc>
                  <w:tcPr>
                    <w:tcW w:w="134" w:type="pct"/>
                    <w:vAlign w:val="center"/>
                  </w:tcPr>
                  <w:p w:rsidR="0024594E" w:rsidRPr="00F121FB" w:rsidRDefault="008F04CF" w:rsidP="00B637B2">
                    <w:pPr>
                      <w:jc w:val="right"/>
                      <w:rPr>
                        <w:sz w:val="16"/>
                        <w:szCs w:val="16"/>
                      </w:rPr>
                    </w:pPr>
                    <w:r>
                      <w:rPr>
                        <w:rFonts w:hint="eastAsia"/>
                        <w:sz w:val="16"/>
                        <w:szCs w:val="16"/>
                      </w:rPr>
                      <w:t>-</w:t>
                    </w:r>
                  </w:p>
                </w:tc>
                <w:tc>
                  <w:tcPr>
                    <w:tcW w:w="361" w:type="pct"/>
                    <w:vAlign w:val="center"/>
                  </w:tcPr>
                  <w:p w:rsidR="0024594E" w:rsidRPr="00F121FB" w:rsidRDefault="0024594E" w:rsidP="00B637B2">
                    <w:pPr>
                      <w:jc w:val="right"/>
                      <w:rPr>
                        <w:sz w:val="16"/>
                        <w:szCs w:val="16"/>
                      </w:rPr>
                    </w:pPr>
                    <w:r w:rsidRPr="00F121FB">
                      <w:rPr>
                        <w:sz w:val="16"/>
                        <w:szCs w:val="16"/>
                      </w:rPr>
                      <w:t>725,148,306</w:t>
                    </w:r>
                  </w:p>
                </w:tc>
                <w:tc>
                  <w:tcPr>
                    <w:tcW w:w="179" w:type="pct"/>
                    <w:vAlign w:val="center"/>
                  </w:tcPr>
                  <w:p w:rsidR="0024594E" w:rsidRPr="00F121FB" w:rsidRDefault="008F04CF" w:rsidP="00B637B2">
                    <w:pPr>
                      <w:jc w:val="right"/>
                      <w:rPr>
                        <w:sz w:val="16"/>
                        <w:szCs w:val="16"/>
                      </w:rPr>
                    </w:pPr>
                    <w:r>
                      <w:rPr>
                        <w:rFonts w:hint="eastAsia"/>
                        <w:sz w:val="16"/>
                        <w:szCs w:val="16"/>
                      </w:rPr>
                      <w:t>-</w:t>
                    </w:r>
                  </w:p>
                </w:tc>
                <w:tc>
                  <w:tcPr>
                    <w:tcW w:w="406" w:type="pct"/>
                    <w:vAlign w:val="center"/>
                  </w:tcPr>
                  <w:p w:rsidR="0024594E" w:rsidRPr="00F121FB" w:rsidRDefault="0024594E" w:rsidP="00B637B2">
                    <w:pPr>
                      <w:jc w:val="right"/>
                      <w:rPr>
                        <w:sz w:val="16"/>
                        <w:szCs w:val="16"/>
                      </w:rPr>
                    </w:pPr>
                    <w:r w:rsidRPr="00F121FB">
                      <w:rPr>
                        <w:sz w:val="16"/>
                        <w:szCs w:val="16"/>
                      </w:rPr>
                      <w:t>1,495,033,934</w:t>
                    </w:r>
                  </w:p>
                </w:tc>
                <w:tc>
                  <w:tcPr>
                    <w:tcW w:w="139" w:type="pct"/>
                    <w:vAlign w:val="center"/>
                  </w:tcPr>
                  <w:p w:rsidR="0024594E" w:rsidRPr="00F121FB" w:rsidRDefault="008F04CF" w:rsidP="00B637B2">
                    <w:pPr>
                      <w:jc w:val="right"/>
                      <w:rPr>
                        <w:sz w:val="16"/>
                        <w:szCs w:val="16"/>
                      </w:rPr>
                    </w:pPr>
                    <w:r>
                      <w:rPr>
                        <w:rFonts w:hint="eastAsia"/>
                        <w:sz w:val="16"/>
                        <w:szCs w:val="16"/>
                      </w:rPr>
                      <w:t>-</w:t>
                    </w:r>
                  </w:p>
                </w:tc>
                <w:tc>
                  <w:tcPr>
                    <w:tcW w:w="428" w:type="pct"/>
                    <w:vAlign w:val="center"/>
                  </w:tcPr>
                  <w:p w:rsidR="0024594E" w:rsidRPr="00F121FB" w:rsidRDefault="0024594E" w:rsidP="00B637B2">
                    <w:pPr>
                      <w:jc w:val="right"/>
                      <w:rPr>
                        <w:sz w:val="16"/>
                        <w:szCs w:val="16"/>
                      </w:rPr>
                    </w:pPr>
                    <w:r w:rsidRPr="00F121FB">
                      <w:rPr>
                        <w:sz w:val="16"/>
                        <w:szCs w:val="16"/>
                      </w:rPr>
                      <w:t>5,849,167,848</w:t>
                    </w:r>
                  </w:p>
                </w:tc>
                <w:tc>
                  <w:tcPr>
                    <w:tcW w:w="381" w:type="pct"/>
                    <w:vAlign w:val="center"/>
                  </w:tcPr>
                  <w:p w:rsidR="0024594E" w:rsidRPr="00F121FB" w:rsidRDefault="0024594E" w:rsidP="00B637B2">
                    <w:pPr>
                      <w:jc w:val="right"/>
                      <w:rPr>
                        <w:sz w:val="16"/>
                        <w:szCs w:val="16"/>
                      </w:rPr>
                    </w:pPr>
                    <w:r w:rsidRPr="00F121FB">
                      <w:rPr>
                        <w:sz w:val="16"/>
                        <w:szCs w:val="16"/>
                      </w:rPr>
                      <w:t>891,861,128</w:t>
                    </w:r>
                  </w:p>
                </w:tc>
                <w:tc>
                  <w:tcPr>
                    <w:tcW w:w="404" w:type="pct"/>
                    <w:vAlign w:val="center"/>
                  </w:tcPr>
                  <w:p w:rsidR="0024594E" w:rsidRPr="00F121FB" w:rsidRDefault="008F04CF" w:rsidP="00B637B2">
                    <w:pPr>
                      <w:jc w:val="right"/>
                      <w:rPr>
                        <w:sz w:val="16"/>
                        <w:szCs w:val="16"/>
                      </w:rPr>
                    </w:pPr>
                    <w:r w:rsidRPr="00626C10">
                      <w:rPr>
                        <w:sz w:val="16"/>
                        <w:szCs w:val="16"/>
                      </w:rPr>
                      <w:t>6,741,028,976</w:t>
                    </w:r>
                  </w:p>
                </w:tc>
              </w:tr>
              <w:tr w:rsidR="00B637B2" w:rsidTr="00B637B2">
                <w:sdt>
                  <w:sdtPr>
                    <w:rPr>
                      <w:sz w:val="16"/>
                      <w:szCs w:val="16"/>
                    </w:rPr>
                    <w:tag w:val="_PLD_fd33bb0caf614a75b319dc40c7515dcc"/>
                    <w:id w:val="-596714711"/>
                    <w:lock w:val="sdtLocked"/>
                  </w:sdtPr>
                  <w:sdtContent>
                    <w:tc>
                      <w:tcPr>
                        <w:tcW w:w="631" w:type="pct"/>
                      </w:tcPr>
                      <w:p w:rsidR="0024594E" w:rsidRPr="00F121FB" w:rsidRDefault="0024594E" w:rsidP="0024594E">
                        <w:pPr>
                          <w:rPr>
                            <w:sz w:val="16"/>
                            <w:szCs w:val="16"/>
                          </w:rPr>
                        </w:pPr>
                        <w:r w:rsidRPr="00F121FB">
                          <w:rPr>
                            <w:rFonts w:hint="eastAsia"/>
                            <w:sz w:val="16"/>
                            <w:szCs w:val="16"/>
                          </w:rPr>
                          <w:t>加：</w:t>
                        </w:r>
                        <w:r w:rsidRPr="00F121FB">
                          <w:rPr>
                            <w:sz w:val="16"/>
                            <w:szCs w:val="16"/>
                          </w:rPr>
                          <w:t>会计政策变更</w:t>
                        </w:r>
                      </w:p>
                    </w:tc>
                  </w:sdtContent>
                </w:sdt>
                <w:tc>
                  <w:tcPr>
                    <w:tcW w:w="405" w:type="pct"/>
                    <w:vAlign w:val="center"/>
                  </w:tcPr>
                  <w:p w:rsidR="0024594E" w:rsidRPr="00F121FB" w:rsidRDefault="0024594E" w:rsidP="00B637B2">
                    <w:pPr>
                      <w:jc w:val="right"/>
                      <w:rPr>
                        <w:sz w:val="16"/>
                        <w:szCs w:val="16"/>
                      </w:rPr>
                    </w:pPr>
                    <w:r w:rsidRPr="00F121FB">
                      <w:rPr>
                        <w:sz w:val="16"/>
                        <w:szCs w:val="16"/>
                      </w:rPr>
                      <w:t>-</w:t>
                    </w:r>
                  </w:p>
                </w:tc>
                <w:tc>
                  <w:tcPr>
                    <w:tcW w:w="135" w:type="pct"/>
                    <w:vAlign w:val="center"/>
                  </w:tcPr>
                  <w:p w:rsidR="0024594E" w:rsidRPr="00F121FB" w:rsidRDefault="008F04CF" w:rsidP="00B637B2">
                    <w:pPr>
                      <w:jc w:val="right"/>
                      <w:rPr>
                        <w:sz w:val="16"/>
                        <w:szCs w:val="16"/>
                      </w:rPr>
                    </w:pPr>
                    <w:r>
                      <w:rPr>
                        <w:rFonts w:hint="eastAsia"/>
                        <w:sz w:val="16"/>
                        <w:szCs w:val="16"/>
                      </w:rPr>
                      <w:t>-</w:t>
                    </w:r>
                  </w:p>
                </w:tc>
                <w:tc>
                  <w:tcPr>
                    <w:tcW w:w="135" w:type="pct"/>
                    <w:vAlign w:val="center"/>
                  </w:tcPr>
                  <w:p w:rsidR="0024594E" w:rsidRPr="00F121FB" w:rsidRDefault="0024594E" w:rsidP="00B637B2">
                    <w:pPr>
                      <w:jc w:val="right"/>
                      <w:rPr>
                        <w:sz w:val="16"/>
                        <w:szCs w:val="16"/>
                      </w:rPr>
                    </w:pPr>
                    <w:r w:rsidRPr="00F121FB">
                      <w:rPr>
                        <w:sz w:val="16"/>
                        <w:szCs w:val="16"/>
                      </w:rPr>
                      <w:t>-</w:t>
                    </w:r>
                  </w:p>
                </w:tc>
                <w:tc>
                  <w:tcPr>
                    <w:tcW w:w="135" w:type="pct"/>
                    <w:vAlign w:val="center"/>
                  </w:tcPr>
                  <w:p w:rsidR="0024594E" w:rsidRPr="00F121FB" w:rsidRDefault="008F04CF" w:rsidP="00B637B2">
                    <w:pPr>
                      <w:jc w:val="right"/>
                      <w:rPr>
                        <w:sz w:val="16"/>
                        <w:szCs w:val="16"/>
                      </w:rPr>
                    </w:pPr>
                    <w:r>
                      <w:rPr>
                        <w:rFonts w:hint="eastAsia"/>
                        <w:sz w:val="16"/>
                        <w:szCs w:val="16"/>
                      </w:rPr>
                      <w:t>-</w:t>
                    </w:r>
                  </w:p>
                </w:tc>
                <w:tc>
                  <w:tcPr>
                    <w:tcW w:w="405" w:type="pct"/>
                    <w:vAlign w:val="center"/>
                  </w:tcPr>
                  <w:p w:rsidR="0024594E" w:rsidRPr="00F121FB" w:rsidRDefault="0024594E" w:rsidP="00B637B2">
                    <w:pPr>
                      <w:jc w:val="right"/>
                      <w:rPr>
                        <w:sz w:val="16"/>
                        <w:szCs w:val="16"/>
                      </w:rPr>
                    </w:pPr>
                    <w:r w:rsidRPr="00F121FB">
                      <w:rPr>
                        <w:sz w:val="16"/>
                        <w:szCs w:val="16"/>
                      </w:rPr>
                      <w:t>-</w:t>
                    </w:r>
                  </w:p>
                </w:tc>
                <w:tc>
                  <w:tcPr>
                    <w:tcW w:w="361" w:type="pct"/>
                    <w:vAlign w:val="center"/>
                  </w:tcPr>
                  <w:p w:rsidR="0024594E" w:rsidRPr="00F121FB" w:rsidRDefault="008F04CF" w:rsidP="00B637B2">
                    <w:pPr>
                      <w:jc w:val="right"/>
                      <w:rPr>
                        <w:sz w:val="16"/>
                        <w:szCs w:val="16"/>
                      </w:rPr>
                    </w:pPr>
                    <w:r>
                      <w:rPr>
                        <w:rFonts w:hint="eastAsia"/>
                        <w:sz w:val="16"/>
                        <w:szCs w:val="16"/>
                      </w:rPr>
                      <w:t>-</w:t>
                    </w:r>
                  </w:p>
                </w:tc>
                <w:tc>
                  <w:tcPr>
                    <w:tcW w:w="361" w:type="pct"/>
                    <w:vAlign w:val="center"/>
                  </w:tcPr>
                  <w:p w:rsidR="0024594E" w:rsidRPr="00F121FB" w:rsidRDefault="0024594E" w:rsidP="00B637B2">
                    <w:pPr>
                      <w:jc w:val="right"/>
                      <w:rPr>
                        <w:sz w:val="16"/>
                        <w:szCs w:val="16"/>
                      </w:rPr>
                    </w:pPr>
                    <w:r w:rsidRPr="00F121FB">
                      <w:rPr>
                        <w:sz w:val="16"/>
                        <w:szCs w:val="16"/>
                      </w:rPr>
                      <w:t>-</w:t>
                    </w:r>
                  </w:p>
                </w:tc>
                <w:tc>
                  <w:tcPr>
                    <w:tcW w:w="134" w:type="pct"/>
                    <w:vAlign w:val="center"/>
                  </w:tcPr>
                  <w:p w:rsidR="0024594E" w:rsidRPr="00F121FB" w:rsidRDefault="008F04CF" w:rsidP="00B637B2">
                    <w:pPr>
                      <w:jc w:val="right"/>
                      <w:rPr>
                        <w:sz w:val="16"/>
                        <w:szCs w:val="16"/>
                      </w:rPr>
                    </w:pPr>
                    <w:r>
                      <w:rPr>
                        <w:rFonts w:hint="eastAsia"/>
                        <w:sz w:val="16"/>
                        <w:szCs w:val="16"/>
                      </w:rPr>
                      <w:t>-</w:t>
                    </w:r>
                  </w:p>
                </w:tc>
                <w:tc>
                  <w:tcPr>
                    <w:tcW w:w="361" w:type="pct"/>
                    <w:vAlign w:val="center"/>
                  </w:tcPr>
                  <w:p w:rsidR="0024594E" w:rsidRPr="00F121FB" w:rsidRDefault="0024594E" w:rsidP="00B637B2">
                    <w:pPr>
                      <w:jc w:val="right"/>
                      <w:rPr>
                        <w:sz w:val="16"/>
                        <w:szCs w:val="16"/>
                      </w:rPr>
                    </w:pPr>
                    <w:r w:rsidRPr="00F121FB">
                      <w:rPr>
                        <w:sz w:val="16"/>
                        <w:szCs w:val="16"/>
                      </w:rPr>
                      <w:t>-</w:t>
                    </w:r>
                  </w:p>
                </w:tc>
                <w:tc>
                  <w:tcPr>
                    <w:tcW w:w="179" w:type="pct"/>
                    <w:vAlign w:val="center"/>
                  </w:tcPr>
                  <w:p w:rsidR="0024594E" w:rsidRPr="00F121FB" w:rsidRDefault="008F04CF" w:rsidP="00B637B2">
                    <w:pPr>
                      <w:jc w:val="right"/>
                      <w:rPr>
                        <w:sz w:val="16"/>
                        <w:szCs w:val="16"/>
                      </w:rPr>
                    </w:pPr>
                    <w:r>
                      <w:rPr>
                        <w:rFonts w:hint="eastAsia"/>
                        <w:sz w:val="16"/>
                        <w:szCs w:val="16"/>
                      </w:rPr>
                      <w:t>-</w:t>
                    </w:r>
                  </w:p>
                </w:tc>
                <w:tc>
                  <w:tcPr>
                    <w:tcW w:w="406" w:type="pct"/>
                    <w:vAlign w:val="center"/>
                  </w:tcPr>
                  <w:p w:rsidR="0024594E" w:rsidRPr="00F121FB" w:rsidRDefault="0024594E" w:rsidP="00B637B2">
                    <w:pPr>
                      <w:jc w:val="right"/>
                      <w:rPr>
                        <w:sz w:val="16"/>
                        <w:szCs w:val="16"/>
                      </w:rPr>
                    </w:pPr>
                    <w:r w:rsidRPr="00F121FB">
                      <w:rPr>
                        <w:sz w:val="16"/>
                        <w:szCs w:val="16"/>
                      </w:rPr>
                      <w:t>-</w:t>
                    </w:r>
                  </w:p>
                </w:tc>
                <w:tc>
                  <w:tcPr>
                    <w:tcW w:w="139" w:type="pct"/>
                    <w:vAlign w:val="center"/>
                  </w:tcPr>
                  <w:p w:rsidR="0024594E" w:rsidRPr="00F121FB" w:rsidRDefault="008F04CF" w:rsidP="00B637B2">
                    <w:pPr>
                      <w:jc w:val="right"/>
                      <w:rPr>
                        <w:sz w:val="16"/>
                        <w:szCs w:val="16"/>
                      </w:rPr>
                    </w:pPr>
                    <w:r>
                      <w:rPr>
                        <w:rFonts w:hint="eastAsia"/>
                        <w:sz w:val="16"/>
                        <w:szCs w:val="16"/>
                      </w:rPr>
                      <w:t>-</w:t>
                    </w:r>
                  </w:p>
                </w:tc>
                <w:tc>
                  <w:tcPr>
                    <w:tcW w:w="428" w:type="pct"/>
                    <w:vAlign w:val="center"/>
                  </w:tcPr>
                  <w:p w:rsidR="0024594E" w:rsidRPr="00F121FB" w:rsidRDefault="0024594E" w:rsidP="00B637B2">
                    <w:pPr>
                      <w:jc w:val="right"/>
                      <w:rPr>
                        <w:sz w:val="16"/>
                        <w:szCs w:val="16"/>
                      </w:rPr>
                    </w:pPr>
                    <w:r w:rsidRPr="00F121FB">
                      <w:rPr>
                        <w:sz w:val="16"/>
                        <w:szCs w:val="16"/>
                      </w:rPr>
                      <w:t>-</w:t>
                    </w:r>
                  </w:p>
                </w:tc>
                <w:tc>
                  <w:tcPr>
                    <w:tcW w:w="381" w:type="pct"/>
                    <w:vAlign w:val="center"/>
                  </w:tcPr>
                  <w:p w:rsidR="0024594E" w:rsidRPr="00F121FB" w:rsidRDefault="0024594E" w:rsidP="00B637B2">
                    <w:pPr>
                      <w:jc w:val="right"/>
                      <w:rPr>
                        <w:sz w:val="16"/>
                        <w:szCs w:val="16"/>
                      </w:rPr>
                    </w:pPr>
                    <w:r w:rsidRPr="00F121FB">
                      <w:rPr>
                        <w:sz w:val="16"/>
                        <w:szCs w:val="16"/>
                      </w:rPr>
                      <w:t>-</w:t>
                    </w:r>
                  </w:p>
                </w:tc>
                <w:tc>
                  <w:tcPr>
                    <w:tcW w:w="404" w:type="pct"/>
                    <w:vAlign w:val="center"/>
                  </w:tcPr>
                  <w:p w:rsidR="0024594E" w:rsidRPr="00F121FB" w:rsidRDefault="008F04CF" w:rsidP="00B637B2">
                    <w:pPr>
                      <w:jc w:val="right"/>
                      <w:rPr>
                        <w:sz w:val="16"/>
                        <w:szCs w:val="16"/>
                      </w:rPr>
                    </w:pPr>
                    <w:r>
                      <w:rPr>
                        <w:rFonts w:hint="eastAsia"/>
                        <w:sz w:val="16"/>
                        <w:szCs w:val="16"/>
                      </w:rPr>
                      <w:t>-</w:t>
                    </w:r>
                  </w:p>
                </w:tc>
              </w:tr>
              <w:tr w:rsidR="00B637B2" w:rsidTr="00B637B2">
                <w:sdt>
                  <w:sdtPr>
                    <w:rPr>
                      <w:sz w:val="16"/>
                      <w:szCs w:val="16"/>
                    </w:rPr>
                    <w:tag w:val="_PLD_15b4364437fa4ad39040010f7c204056"/>
                    <w:id w:val="318695160"/>
                    <w:lock w:val="sdtLocked"/>
                  </w:sdtPr>
                  <w:sdtContent>
                    <w:tc>
                      <w:tcPr>
                        <w:tcW w:w="631" w:type="pct"/>
                      </w:tcPr>
                      <w:p w:rsidR="0024594E" w:rsidRPr="00F121FB" w:rsidRDefault="0024594E" w:rsidP="0024594E">
                        <w:pPr>
                          <w:ind w:firstLineChars="200" w:firstLine="320"/>
                          <w:rPr>
                            <w:sz w:val="16"/>
                            <w:szCs w:val="16"/>
                          </w:rPr>
                        </w:pPr>
                        <w:r w:rsidRPr="00F121FB">
                          <w:rPr>
                            <w:sz w:val="16"/>
                            <w:szCs w:val="16"/>
                          </w:rPr>
                          <w:t>前期差错更正</w:t>
                        </w:r>
                      </w:p>
                    </w:tc>
                  </w:sdtContent>
                </w:sdt>
                <w:tc>
                  <w:tcPr>
                    <w:tcW w:w="405" w:type="pct"/>
                    <w:vAlign w:val="center"/>
                  </w:tcPr>
                  <w:p w:rsidR="0024594E" w:rsidRPr="00F121FB" w:rsidRDefault="008F04CF" w:rsidP="00B637B2">
                    <w:pPr>
                      <w:jc w:val="right"/>
                      <w:rPr>
                        <w:sz w:val="16"/>
                        <w:szCs w:val="16"/>
                      </w:rPr>
                    </w:pPr>
                    <w:r>
                      <w:rPr>
                        <w:rFonts w:hint="eastAsia"/>
                        <w:sz w:val="16"/>
                        <w:szCs w:val="16"/>
                      </w:rPr>
                      <w:t>-</w:t>
                    </w:r>
                  </w:p>
                </w:tc>
                <w:tc>
                  <w:tcPr>
                    <w:tcW w:w="135" w:type="pct"/>
                    <w:vAlign w:val="center"/>
                  </w:tcPr>
                  <w:p w:rsidR="0024594E" w:rsidRPr="00F121FB" w:rsidRDefault="008F04CF" w:rsidP="00B637B2">
                    <w:pPr>
                      <w:jc w:val="right"/>
                      <w:rPr>
                        <w:sz w:val="16"/>
                        <w:szCs w:val="16"/>
                      </w:rPr>
                    </w:pPr>
                    <w:r>
                      <w:rPr>
                        <w:rFonts w:hint="eastAsia"/>
                        <w:sz w:val="16"/>
                        <w:szCs w:val="16"/>
                      </w:rPr>
                      <w:t>-</w:t>
                    </w:r>
                  </w:p>
                </w:tc>
                <w:tc>
                  <w:tcPr>
                    <w:tcW w:w="135" w:type="pct"/>
                    <w:vAlign w:val="center"/>
                  </w:tcPr>
                  <w:p w:rsidR="0024594E" w:rsidRPr="00F121FB" w:rsidRDefault="008F04CF" w:rsidP="00B637B2">
                    <w:pPr>
                      <w:jc w:val="right"/>
                      <w:rPr>
                        <w:sz w:val="16"/>
                        <w:szCs w:val="16"/>
                      </w:rPr>
                    </w:pPr>
                    <w:r>
                      <w:rPr>
                        <w:rFonts w:hint="eastAsia"/>
                        <w:sz w:val="16"/>
                        <w:szCs w:val="16"/>
                      </w:rPr>
                      <w:t>-</w:t>
                    </w:r>
                  </w:p>
                </w:tc>
                <w:tc>
                  <w:tcPr>
                    <w:tcW w:w="135" w:type="pct"/>
                    <w:vAlign w:val="center"/>
                  </w:tcPr>
                  <w:p w:rsidR="0024594E" w:rsidRPr="00F121FB" w:rsidRDefault="008F04CF" w:rsidP="00B637B2">
                    <w:pPr>
                      <w:jc w:val="right"/>
                      <w:rPr>
                        <w:sz w:val="16"/>
                        <w:szCs w:val="16"/>
                      </w:rPr>
                    </w:pPr>
                    <w:r>
                      <w:rPr>
                        <w:rFonts w:hint="eastAsia"/>
                        <w:sz w:val="16"/>
                        <w:szCs w:val="16"/>
                      </w:rPr>
                      <w:t>-</w:t>
                    </w:r>
                  </w:p>
                </w:tc>
                <w:tc>
                  <w:tcPr>
                    <w:tcW w:w="405" w:type="pct"/>
                    <w:vAlign w:val="center"/>
                  </w:tcPr>
                  <w:p w:rsidR="0024594E" w:rsidRPr="00F121FB" w:rsidRDefault="008F04CF" w:rsidP="00B637B2">
                    <w:pPr>
                      <w:jc w:val="right"/>
                      <w:rPr>
                        <w:sz w:val="16"/>
                        <w:szCs w:val="16"/>
                      </w:rPr>
                    </w:pPr>
                    <w:r>
                      <w:rPr>
                        <w:rFonts w:hint="eastAsia"/>
                        <w:sz w:val="16"/>
                        <w:szCs w:val="16"/>
                      </w:rPr>
                      <w:t>-</w:t>
                    </w:r>
                  </w:p>
                </w:tc>
                <w:tc>
                  <w:tcPr>
                    <w:tcW w:w="361" w:type="pct"/>
                    <w:vAlign w:val="center"/>
                  </w:tcPr>
                  <w:p w:rsidR="0024594E" w:rsidRPr="00F121FB" w:rsidRDefault="008F04CF" w:rsidP="00B637B2">
                    <w:pPr>
                      <w:jc w:val="right"/>
                      <w:rPr>
                        <w:sz w:val="16"/>
                        <w:szCs w:val="16"/>
                      </w:rPr>
                    </w:pPr>
                    <w:r>
                      <w:rPr>
                        <w:rFonts w:hint="eastAsia"/>
                        <w:sz w:val="16"/>
                        <w:szCs w:val="16"/>
                      </w:rPr>
                      <w:t>-</w:t>
                    </w:r>
                  </w:p>
                </w:tc>
                <w:tc>
                  <w:tcPr>
                    <w:tcW w:w="361" w:type="pct"/>
                    <w:vAlign w:val="center"/>
                  </w:tcPr>
                  <w:p w:rsidR="0024594E" w:rsidRPr="00F121FB" w:rsidRDefault="008F04CF" w:rsidP="00B637B2">
                    <w:pPr>
                      <w:jc w:val="right"/>
                      <w:rPr>
                        <w:sz w:val="16"/>
                        <w:szCs w:val="16"/>
                      </w:rPr>
                    </w:pPr>
                    <w:r>
                      <w:rPr>
                        <w:rFonts w:hint="eastAsia"/>
                        <w:sz w:val="16"/>
                        <w:szCs w:val="16"/>
                      </w:rPr>
                      <w:t>-</w:t>
                    </w:r>
                  </w:p>
                </w:tc>
                <w:tc>
                  <w:tcPr>
                    <w:tcW w:w="134" w:type="pct"/>
                    <w:vAlign w:val="center"/>
                  </w:tcPr>
                  <w:p w:rsidR="0024594E" w:rsidRPr="00F121FB" w:rsidRDefault="008F04CF" w:rsidP="00B637B2">
                    <w:pPr>
                      <w:jc w:val="right"/>
                      <w:rPr>
                        <w:sz w:val="16"/>
                        <w:szCs w:val="16"/>
                      </w:rPr>
                    </w:pPr>
                    <w:r>
                      <w:rPr>
                        <w:rFonts w:hint="eastAsia"/>
                        <w:sz w:val="16"/>
                        <w:szCs w:val="16"/>
                      </w:rPr>
                      <w:t>-</w:t>
                    </w:r>
                  </w:p>
                </w:tc>
                <w:tc>
                  <w:tcPr>
                    <w:tcW w:w="361" w:type="pct"/>
                    <w:vAlign w:val="center"/>
                  </w:tcPr>
                  <w:p w:rsidR="0024594E" w:rsidRPr="00F121FB" w:rsidRDefault="008F04CF" w:rsidP="00B637B2">
                    <w:pPr>
                      <w:jc w:val="right"/>
                      <w:rPr>
                        <w:sz w:val="16"/>
                        <w:szCs w:val="16"/>
                      </w:rPr>
                    </w:pPr>
                    <w:r>
                      <w:rPr>
                        <w:rFonts w:hint="eastAsia"/>
                        <w:sz w:val="16"/>
                        <w:szCs w:val="16"/>
                      </w:rPr>
                      <w:t>-</w:t>
                    </w:r>
                  </w:p>
                </w:tc>
                <w:tc>
                  <w:tcPr>
                    <w:tcW w:w="179" w:type="pct"/>
                    <w:vAlign w:val="center"/>
                  </w:tcPr>
                  <w:p w:rsidR="0024594E" w:rsidRPr="00F121FB" w:rsidRDefault="008F04CF" w:rsidP="00B637B2">
                    <w:pPr>
                      <w:jc w:val="right"/>
                      <w:rPr>
                        <w:sz w:val="16"/>
                        <w:szCs w:val="16"/>
                      </w:rPr>
                    </w:pPr>
                    <w:r>
                      <w:rPr>
                        <w:rFonts w:hint="eastAsia"/>
                        <w:sz w:val="16"/>
                        <w:szCs w:val="16"/>
                      </w:rPr>
                      <w:t>-</w:t>
                    </w:r>
                  </w:p>
                </w:tc>
                <w:tc>
                  <w:tcPr>
                    <w:tcW w:w="406" w:type="pct"/>
                    <w:vAlign w:val="center"/>
                  </w:tcPr>
                  <w:p w:rsidR="0024594E" w:rsidRPr="00F121FB" w:rsidRDefault="008F04CF" w:rsidP="00B637B2">
                    <w:pPr>
                      <w:jc w:val="right"/>
                      <w:rPr>
                        <w:sz w:val="16"/>
                        <w:szCs w:val="16"/>
                      </w:rPr>
                    </w:pPr>
                    <w:r>
                      <w:rPr>
                        <w:rFonts w:hint="eastAsia"/>
                        <w:sz w:val="16"/>
                        <w:szCs w:val="16"/>
                      </w:rPr>
                      <w:t>-</w:t>
                    </w:r>
                  </w:p>
                </w:tc>
                <w:tc>
                  <w:tcPr>
                    <w:tcW w:w="139" w:type="pct"/>
                    <w:vAlign w:val="center"/>
                  </w:tcPr>
                  <w:p w:rsidR="0024594E" w:rsidRPr="00F121FB" w:rsidRDefault="008F04CF" w:rsidP="00B637B2">
                    <w:pPr>
                      <w:jc w:val="right"/>
                      <w:rPr>
                        <w:sz w:val="16"/>
                        <w:szCs w:val="16"/>
                      </w:rPr>
                    </w:pPr>
                    <w:r>
                      <w:rPr>
                        <w:rFonts w:hint="eastAsia"/>
                        <w:sz w:val="16"/>
                        <w:szCs w:val="16"/>
                      </w:rPr>
                      <w:t>-</w:t>
                    </w:r>
                  </w:p>
                </w:tc>
                <w:tc>
                  <w:tcPr>
                    <w:tcW w:w="428" w:type="pct"/>
                    <w:vAlign w:val="center"/>
                  </w:tcPr>
                  <w:p w:rsidR="0024594E" w:rsidRPr="00F121FB" w:rsidRDefault="008F04CF" w:rsidP="00B637B2">
                    <w:pPr>
                      <w:jc w:val="right"/>
                      <w:rPr>
                        <w:sz w:val="16"/>
                        <w:szCs w:val="16"/>
                      </w:rPr>
                    </w:pPr>
                    <w:r>
                      <w:rPr>
                        <w:rFonts w:hint="eastAsia"/>
                        <w:sz w:val="16"/>
                        <w:szCs w:val="16"/>
                      </w:rPr>
                      <w:t>-</w:t>
                    </w:r>
                  </w:p>
                </w:tc>
                <w:tc>
                  <w:tcPr>
                    <w:tcW w:w="381" w:type="pct"/>
                    <w:vAlign w:val="center"/>
                  </w:tcPr>
                  <w:p w:rsidR="0024594E" w:rsidRPr="00F121FB" w:rsidRDefault="008F04CF" w:rsidP="00B637B2">
                    <w:pPr>
                      <w:jc w:val="right"/>
                      <w:rPr>
                        <w:sz w:val="16"/>
                        <w:szCs w:val="16"/>
                      </w:rPr>
                    </w:pPr>
                    <w:r>
                      <w:rPr>
                        <w:rFonts w:hint="eastAsia"/>
                        <w:sz w:val="16"/>
                        <w:szCs w:val="16"/>
                      </w:rPr>
                      <w:t>-</w:t>
                    </w:r>
                  </w:p>
                </w:tc>
                <w:tc>
                  <w:tcPr>
                    <w:tcW w:w="404" w:type="pct"/>
                    <w:vAlign w:val="center"/>
                  </w:tcPr>
                  <w:p w:rsidR="0024594E" w:rsidRPr="00F121FB" w:rsidRDefault="008F04CF" w:rsidP="00B637B2">
                    <w:pPr>
                      <w:jc w:val="right"/>
                      <w:rPr>
                        <w:sz w:val="16"/>
                        <w:szCs w:val="16"/>
                      </w:rPr>
                    </w:pPr>
                    <w:r>
                      <w:rPr>
                        <w:rFonts w:hint="eastAsia"/>
                        <w:sz w:val="16"/>
                        <w:szCs w:val="16"/>
                      </w:rPr>
                      <w:t>-</w:t>
                    </w:r>
                  </w:p>
                </w:tc>
              </w:tr>
              <w:tr w:rsidR="00B637B2" w:rsidTr="00B637B2">
                <w:sdt>
                  <w:sdtPr>
                    <w:rPr>
                      <w:sz w:val="16"/>
                      <w:szCs w:val="16"/>
                    </w:rPr>
                    <w:tag w:val="_PLD_800fb53c11a943e3b9b9bd49c8085679"/>
                    <w:id w:val="595137958"/>
                    <w:lock w:val="sdtLocked"/>
                  </w:sdtPr>
                  <w:sdtContent>
                    <w:tc>
                      <w:tcPr>
                        <w:tcW w:w="631" w:type="pct"/>
                      </w:tcPr>
                      <w:p w:rsidR="0024594E" w:rsidRPr="00F121FB" w:rsidRDefault="0024594E" w:rsidP="0024594E">
                        <w:pPr>
                          <w:ind w:firstLineChars="200" w:firstLine="320"/>
                          <w:rPr>
                            <w:sz w:val="16"/>
                            <w:szCs w:val="16"/>
                          </w:rPr>
                        </w:pPr>
                        <w:r w:rsidRPr="00F121FB">
                          <w:rPr>
                            <w:rFonts w:hint="eastAsia"/>
                            <w:sz w:val="16"/>
                            <w:szCs w:val="16"/>
                          </w:rPr>
                          <w:t>同一控制下企业合并</w:t>
                        </w:r>
                      </w:p>
                    </w:tc>
                  </w:sdtContent>
                </w:sdt>
                <w:tc>
                  <w:tcPr>
                    <w:tcW w:w="405" w:type="pct"/>
                    <w:vAlign w:val="center"/>
                  </w:tcPr>
                  <w:p w:rsidR="0024594E" w:rsidRPr="00F121FB" w:rsidRDefault="008F04CF" w:rsidP="00B637B2">
                    <w:pPr>
                      <w:jc w:val="right"/>
                      <w:rPr>
                        <w:sz w:val="16"/>
                        <w:szCs w:val="16"/>
                      </w:rPr>
                    </w:pPr>
                    <w:r>
                      <w:rPr>
                        <w:rFonts w:hint="eastAsia"/>
                        <w:sz w:val="16"/>
                        <w:szCs w:val="16"/>
                      </w:rPr>
                      <w:t>-</w:t>
                    </w:r>
                  </w:p>
                </w:tc>
                <w:tc>
                  <w:tcPr>
                    <w:tcW w:w="135" w:type="pct"/>
                    <w:vAlign w:val="center"/>
                  </w:tcPr>
                  <w:p w:rsidR="0024594E" w:rsidRPr="00F121FB" w:rsidRDefault="008F04CF" w:rsidP="00B637B2">
                    <w:pPr>
                      <w:jc w:val="right"/>
                      <w:rPr>
                        <w:sz w:val="16"/>
                        <w:szCs w:val="16"/>
                      </w:rPr>
                    </w:pPr>
                    <w:r>
                      <w:rPr>
                        <w:rFonts w:hint="eastAsia"/>
                        <w:sz w:val="16"/>
                        <w:szCs w:val="16"/>
                      </w:rPr>
                      <w:t>-</w:t>
                    </w:r>
                  </w:p>
                </w:tc>
                <w:tc>
                  <w:tcPr>
                    <w:tcW w:w="135" w:type="pct"/>
                    <w:vAlign w:val="center"/>
                  </w:tcPr>
                  <w:p w:rsidR="0024594E" w:rsidRPr="00F121FB" w:rsidRDefault="008F04CF" w:rsidP="00B637B2">
                    <w:pPr>
                      <w:jc w:val="right"/>
                      <w:rPr>
                        <w:sz w:val="16"/>
                        <w:szCs w:val="16"/>
                      </w:rPr>
                    </w:pPr>
                    <w:r>
                      <w:rPr>
                        <w:rFonts w:hint="eastAsia"/>
                        <w:sz w:val="16"/>
                        <w:szCs w:val="16"/>
                      </w:rPr>
                      <w:t>-</w:t>
                    </w:r>
                  </w:p>
                </w:tc>
                <w:tc>
                  <w:tcPr>
                    <w:tcW w:w="135" w:type="pct"/>
                    <w:vAlign w:val="center"/>
                  </w:tcPr>
                  <w:p w:rsidR="0024594E" w:rsidRPr="00F121FB" w:rsidRDefault="008F04CF" w:rsidP="00B637B2">
                    <w:pPr>
                      <w:jc w:val="right"/>
                      <w:rPr>
                        <w:sz w:val="16"/>
                        <w:szCs w:val="16"/>
                      </w:rPr>
                    </w:pPr>
                    <w:r>
                      <w:rPr>
                        <w:rFonts w:hint="eastAsia"/>
                        <w:sz w:val="16"/>
                        <w:szCs w:val="16"/>
                      </w:rPr>
                      <w:t>-</w:t>
                    </w:r>
                  </w:p>
                </w:tc>
                <w:tc>
                  <w:tcPr>
                    <w:tcW w:w="405" w:type="pct"/>
                    <w:vAlign w:val="center"/>
                  </w:tcPr>
                  <w:p w:rsidR="0024594E" w:rsidRPr="00F121FB" w:rsidRDefault="008F04CF" w:rsidP="00B637B2">
                    <w:pPr>
                      <w:jc w:val="right"/>
                      <w:rPr>
                        <w:sz w:val="16"/>
                        <w:szCs w:val="16"/>
                      </w:rPr>
                    </w:pPr>
                    <w:r>
                      <w:rPr>
                        <w:rFonts w:hint="eastAsia"/>
                        <w:sz w:val="16"/>
                        <w:szCs w:val="16"/>
                      </w:rPr>
                      <w:t>-</w:t>
                    </w:r>
                  </w:p>
                </w:tc>
                <w:tc>
                  <w:tcPr>
                    <w:tcW w:w="361" w:type="pct"/>
                    <w:vAlign w:val="center"/>
                  </w:tcPr>
                  <w:p w:rsidR="0024594E" w:rsidRPr="00F121FB" w:rsidRDefault="008F04CF" w:rsidP="00B637B2">
                    <w:pPr>
                      <w:jc w:val="right"/>
                      <w:rPr>
                        <w:sz w:val="16"/>
                        <w:szCs w:val="16"/>
                      </w:rPr>
                    </w:pPr>
                    <w:r>
                      <w:rPr>
                        <w:rFonts w:hint="eastAsia"/>
                        <w:sz w:val="16"/>
                        <w:szCs w:val="16"/>
                      </w:rPr>
                      <w:t>-</w:t>
                    </w:r>
                  </w:p>
                </w:tc>
                <w:tc>
                  <w:tcPr>
                    <w:tcW w:w="361" w:type="pct"/>
                    <w:vAlign w:val="center"/>
                  </w:tcPr>
                  <w:p w:rsidR="0024594E" w:rsidRPr="00F121FB" w:rsidRDefault="008F04CF" w:rsidP="00B637B2">
                    <w:pPr>
                      <w:jc w:val="right"/>
                      <w:rPr>
                        <w:sz w:val="16"/>
                        <w:szCs w:val="16"/>
                      </w:rPr>
                    </w:pPr>
                    <w:r>
                      <w:rPr>
                        <w:rFonts w:hint="eastAsia"/>
                        <w:sz w:val="16"/>
                        <w:szCs w:val="16"/>
                      </w:rPr>
                      <w:t>-</w:t>
                    </w:r>
                  </w:p>
                </w:tc>
                <w:tc>
                  <w:tcPr>
                    <w:tcW w:w="134" w:type="pct"/>
                    <w:vAlign w:val="center"/>
                  </w:tcPr>
                  <w:p w:rsidR="0024594E" w:rsidRPr="00F121FB" w:rsidRDefault="008F04CF" w:rsidP="00B637B2">
                    <w:pPr>
                      <w:jc w:val="right"/>
                      <w:rPr>
                        <w:sz w:val="16"/>
                        <w:szCs w:val="16"/>
                      </w:rPr>
                    </w:pPr>
                    <w:r>
                      <w:rPr>
                        <w:rFonts w:hint="eastAsia"/>
                        <w:sz w:val="16"/>
                        <w:szCs w:val="16"/>
                      </w:rPr>
                      <w:t>-</w:t>
                    </w:r>
                  </w:p>
                </w:tc>
                <w:tc>
                  <w:tcPr>
                    <w:tcW w:w="361" w:type="pct"/>
                    <w:vAlign w:val="center"/>
                  </w:tcPr>
                  <w:p w:rsidR="0024594E" w:rsidRPr="00F121FB" w:rsidRDefault="0024594E" w:rsidP="00B637B2">
                    <w:pPr>
                      <w:jc w:val="right"/>
                      <w:rPr>
                        <w:sz w:val="16"/>
                        <w:szCs w:val="16"/>
                      </w:rPr>
                    </w:pPr>
                    <w:r w:rsidRPr="00F121FB">
                      <w:rPr>
                        <w:sz w:val="16"/>
                        <w:szCs w:val="16"/>
                      </w:rPr>
                      <w:t>-</w:t>
                    </w:r>
                  </w:p>
                </w:tc>
                <w:tc>
                  <w:tcPr>
                    <w:tcW w:w="179" w:type="pct"/>
                    <w:vAlign w:val="center"/>
                  </w:tcPr>
                  <w:p w:rsidR="0024594E" w:rsidRPr="00F121FB" w:rsidRDefault="008F04CF" w:rsidP="00B637B2">
                    <w:pPr>
                      <w:jc w:val="right"/>
                      <w:rPr>
                        <w:sz w:val="16"/>
                        <w:szCs w:val="16"/>
                      </w:rPr>
                    </w:pPr>
                    <w:r>
                      <w:rPr>
                        <w:rFonts w:hint="eastAsia"/>
                        <w:sz w:val="16"/>
                        <w:szCs w:val="16"/>
                      </w:rPr>
                      <w:t>-</w:t>
                    </w:r>
                  </w:p>
                </w:tc>
                <w:tc>
                  <w:tcPr>
                    <w:tcW w:w="406" w:type="pct"/>
                    <w:vAlign w:val="center"/>
                  </w:tcPr>
                  <w:p w:rsidR="0024594E" w:rsidRPr="00F121FB" w:rsidRDefault="008F04CF" w:rsidP="00B637B2">
                    <w:pPr>
                      <w:jc w:val="right"/>
                      <w:rPr>
                        <w:sz w:val="16"/>
                        <w:szCs w:val="16"/>
                      </w:rPr>
                    </w:pPr>
                    <w:r>
                      <w:rPr>
                        <w:rFonts w:hint="eastAsia"/>
                        <w:sz w:val="16"/>
                        <w:szCs w:val="16"/>
                      </w:rPr>
                      <w:t>-</w:t>
                    </w:r>
                  </w:p>
                </w:tc>
                <w:tc>
                  <w:tcPr>
                    <w:tcW w:w="139" w:type="pct"/>
                    <w:vAlign w:val="center"/>
                  </w:tcPr>
                  <w:p w:rsidR="0024594E" w:rsidRPr="00F121FB" w:rsidRDefault="008F04CF" w:rsidP="00B637B2">
                    <w:pPr>
                      <w:jc w:val="right"/>
                      <w:rPr>
                        <w:sz w:val="16"/>
                        <w:szCs w:val="16"/>
                      </w:rPr>
                    </w:pPr>
                    <w:r>
                      <w:rPr>
                        <w:rFonts w:hint="eastAsia"/>
                        <w:sz w:val="16"/>
                        <w:szCs w:val="16"/>
                      </w:rPr>
                      <w:t>-</w:t>
                    </w:r>
                  </w:p>
                </w:tc>
                <w:tc>
                  <w:tcPr>
                    <w:tcW w:w="428" w:type="pct"/>
                    <w:vAlign w:val="center"/>
                  </w:tcPr>
                  <w:p w:rsidR="0024594E" w:rsidRPr="00F121FB" w:rsidRDefault="008F04CF" w:rsidP="00B637B2">
                    <w:pPr>
                      <w:jc w:val="right"/>
                      <w:rPr>
                        <w:sz w:val="16"/>
                        <w:szCs w:val="16"/>
                      </w:rPr>
                    </w:pPr>
                    <w:r>
                      <w:rPr>
                        <w:rFonts w:hint="eastAsia"/>
                        <w:sz w:val="16"/>
                        <w:szCs w:val="16"/>
                      </w:rPr>
                      <w:t>-</w:t>
                    </w:r>
                  </w:p>
                </w:tc>
                <w:tc>
                  <w:tcPr>
                    <w:tcW w:w="381" w:type="pct"/>
                    <w:vAlign w:val="center"/>
                  </w:tcPr>
                  <w:p w:rsidR="0024594E" w:rsidRPr="00F121FB" w:rsidRDefault="008F04CF" w:rsidP="00B637B2">
                    <w:pPr>
                      <w:jc w:val="right"/>
                      <w:rPr>
                        <w:sz w:val="16"/>
                        <w:szCs w:val="16"/>
                      </w:rPr>
                    </w:pPr>
                    <w:r>
                      <w:rPr>
                        <w:rFonts w:hint="eastAsia"/>
                        <w:sz w:val="16"/>
                        <w:szCs w:val="16"/>
                      </w:rPr>
                      <w:t>-</w:t>
                    </w:r>
                  </w:p>
                </w:tc>
                <w:tc>
                  <w:tcPr>
                    <w:tcW w:w="404" w:type="pct"/>
                    <w:vAlign w:val="center"/>
                  </w:tcPr>
                  <w:p w:rsidR="0024594E" w:rsidRPr="00F121FB" w:rsidRDefault="008F04CF" w:rsidP="00B637B2">
                    <w:pPr>
                      <w:jc w:val="right"/>
                      <w:rPr>
                        <w:sz w:val="16"/>
                        <w:szCs w:val="16"/>
                      </w:rPr>
                    </w:pPr>
                    <w:r>
                      <w:rPr>
                        <w:rFonts w:hint="eastAsia"/>
                        <w:sz w:val="16"/>
                        <w:szCs w:val="16"/>
                      </w:rPr>
                      <w:t>-</w:t>
                    </w:r>
                  </w:p>
                </w:tc>
              </w:tr>
              <w:tr w:rsidR="00B637B2" w:rsidTr="00B637B2">
                <w:sdt>
                  <w:sdtPr>
                    <w:rPr>
                      <w:sz w:val="16"/>
                      <w:szCs w:val="16"/>
                    </w:rPr>
                    <w:tag w:val="_PLD_87118e97730e486dbbcc5e072b67665f"/>
                    <w:id w:val="-684365241"/>
                    <w:lock w:val="sdtLocked"/>
                  </w:sdtPr>
                  <w:sdtContent>
                    <w:tc>
                      <w:tcPr>
                        <w:tcW w:w="631" w:type="pct"/>
                      </w:tcPr>
                      <w:p w:rsidR="0024594E" w:rsidRPr="00F121FB" w:rsidRDefault="0024594E" w:rsidP="0024594E">
                        <w:pPr>
                          <w:ind w:firstLineChars="200" w:firstLine="320"/>
                          <w:rPr>
                            <w:sz w:val="16"/>
                            <w:szCs w:val="16"/>
                          </w:rPr>
                        </w:pPr>
                        <w:r w:rsidRPr="00F121FB">
                          <w:rPr>
                            <w:rFonts w:hint="eastAsia"/>
                            <w:sz w:val="16"/>
                            <w:szCs w:val="16"/>
                          </w:rPr>
                          <w:t>其他</w:t>
                        </w:r>
                      </w:p>
                    </w:tc>
                  </w:sdtContent>
                </w:sdt>
                <w:tc>
                  <w:tcPr>
                    <w:tcW w:w="405" w:type="pct"/>
                    <w:vAlign w:val="center"/>
                  </w:tcPr>
                  <w:p w:rsidR="0024594E" w:rsidRPr="00F121FB" w:rsidRDefault="0024594E" w:rsidP="00B637B2">
                    <w:pPr>
                      <w:jc w:val="right"/>
                      <w:rPr>
                        <w:sz w:val="16"/>
                        <w:szCs w:val="16"/>
                      </w:rPr>
                    </w:pPr>
                    <w:r w:rsidRPr="00F121FB">
                      <w:rPr>
                        <w:sz w:val="16"/>
                        <w:szCs w:val="16"/>
                      </w:rPr>
                      <w:t>-</w:t>
                    </w:r>
                  </w:p>
                </w:tc>
                <w:tc>
                  <w:tcPr>
                    <w:tcW w:w="135" w:type="pct"/>
                    <w:vAlign w:val="center"/>
                  </w:tcPr>
                  <w:p w:rsidR="0024594E" w:rsidRPr="00F121FB" w:rsidRDefault="008F04CF" w:rsidP="00B637B2">
                    <w:pPr>
                      <w:jc w:val="right"/>
                      <w:rPr>
                        <w:sz w:val="16"/>
                        <w:szCs w:val="16"/>
                      </w:rPr>
                    </w:pPr>
                    <w:r>
                      <w:rPr>
                        <w:rFonts w:hint="eastAsia"/>
                        <w:sz w:val="16"/>
                        <w:szCs w:val="16"/>
                      </w:rPr>
                      <w:t>-</w:t>
                    </w:r>
                  </w:p>
                </w:tc>
                <w:tc>
                  <w:tcPr>
                    <w:tcW w:w="135" w:type="pct"/>
                    <w:vAlign w:val="center"/>
                  </w:tcPr>
                  <w:p w:rsidR="0024594E" w:rsidRPr="00F121FB" w:rsidRDefault="0024594E" w:rsidP="00B637B2">
                    <w:pPr>
                      <w:jc w:val="right"/>
                      <w:rPr>
                        <w:sz w:val="16"/>
                        <w:szCs w:val="16"/>
                      </w:rPr>
                    </w:pPr>
                    <w:r w:rsidRPr="00F121FB">
                      <w:rPr>
                        <w:sz w:val="16"/>
                        <w:szCs w:val="16"/>
                      </w:rPr>
                      <w:t>-</w:t>
                    </w:r>
                  </w:p>
                </w:tc>
                <w:tc>
                  <w:tcPr>
                    <w:tcW w:w="135" w:type="pct"/>
                    <w:vAlign w:val="center"/>
                  </w:tcPr>
                  <w:p w:rsidR="0024594E" w:rsidRPr="00F121FB" w:rsidRDefault="008F04CF" w:rsidP="00B637B2">
                    <w:pPr>
                      <w:jc w:val="right"/>
                      <w:rPr>
                        <w:sz w:val="16"/>
                        <w:szCs w:val="16"/>
                      </w:rPr>
                    </w:pPr>
                    <w:r>
                      <w:rPr>
                        <w:rFonts w:hint="eastAsia"/>
                        <w:sz w:val="16"/>
                        <w:szCs w:val="16"/>
                      </w:rPr>
                      <w:t>-</w:t>
                    </w:r>
                  </w:p>
                </w:tc>
                <w:tc>
                  <w:tcPr>
                    <w:tcW w:w="405" w:type="pct"/>
                    <w:vAlign w:val="center"/>
                  </w:tcPr>
                  <w:p w:rsidR="0024594E" w:rsidRPr="00F121FB" w:rsidRDefault="0024594E" w:rsidP="00B637B2">
                    <w:pPr>
                      <w:jc w:val="right"/>
                      <w:rPr>
                        <w:sz w:val="16"/>
                        <w:szCs w:val="16"/>
                      </w:rPr>
                    </w:pPr>
                    <w:r w:rsidRPr="00F121FB">
                      <w:rPr>
                        <w:sz w:val="16"/>
                        <w:szCs w:val="16"/>
                      </w:rPr>
                      <w:t>-</w:t>
                    </w:r>
                  </w:p>
                </w:tc>
                <w:tc>
                  <w:tcPr>
                    <w:tcW w:w="361" w:type="pct"/>
                    <w:vAlign w:val="center"/>
                  </w:tcPr>
                  <w:p w:rsidR="0024594E" w:rsidRPr="00F121FB" w:rsidRDefault="008F04CF" w:rsidP="00B637B2">
                    <w:pPr>
                      <w:jc w:val="right"/>
                      <w:rPr>
                        <w:sz w:val="16"/>
                        <w:szCs w:val="16"/>
                      </w:rPr>
                    </w:pPr>
                    <w:r>
                      <w:rPr>
                        <w:rFonts w:hint="eastAsia"/>
                        <w:sz w:val="16"/>
                        <w:szCs w:val="16"/>
                      </w:rPr>
                      <w:t>-</w:t>
                    </w:r>
                  </w:p>
                </w:tc>
                <w:tc>
                  <w:tcPr>
                    <w:tcW w:w="361" w:type="pct"/>
                    <w:vAlign w:val="center"/>
                  </w:tcPr>
                  <w:p w:rsidR="0024594E" w:rsidRPr="00F121FB" w:rsidRDefault="008F04CF" w:rsidP="00B637B2">
                    <w:pPr>
                      <w:jc w:val="right"/>
                      <w:rPr>
                        <w:sz w:val="16"/>
                        <w:szCs w:val="16"/>
                      </w:rPr>
                    </w:pPr>
                    <w:r>
                      <w:rPr>
                        <w:rFonts w:hint="eastAsia"/>
                        <w:sz w:val="16"/>
                        <w:szCs w:val="16"/>
                      </w:rPr>
                      <w:t>-</w:t>
                    </w:r>
                  </w:p>
                </w:tc>
                <w:tc>
                  <w:tcPr>
                    <w:tcW w:w="134" w:type="pct"/>
                    <w:vAlign w:val="center"/>
                  </w:tcPr>
                  <w:p w:rsidR="0024594E" w:rsidRPr="00F121FB" w:rsidRDefault="008F04CF" w:rsidP="00B637B2">
                    <w:pPr>
                      <w:jc w:val="right"/>
                      <w:rPr>
                        <w:sz w:val="16"/>
                        <w:szCs w:val="16"/>
                      </w:rPr>
                    </w:pPr>
                    <w:r>
                      <w:rPr>
                        <w:rFonts w:hint="eastAsia"/>
                        <w:sz w:val="16"/>
                        <w:szCs w:val="16"/>
                      </w:rPr>
                      <w:t>-</w:t>
                    </w:r>
                  </w:p>
                </w:tc>
                <w:tc>
                  <w:tcPr>
                    <w:tcW w:w="361" w:type="pct"/>
                    <w:vAlign w:val="center"/>
                  </w:tcPr>
                  <w:p w:rsidR="0024594E" w:rsidRPr="00F121FB" w:rsidRDefault="0024594E" w:rsidP="00B637B2">
                    <w:pPr>
                      <w:jc w:val="right"/>
                      <w:rPr>
                        <w:sz w:val="16"/>
                        <w:szCs w:val="16"/>
                      </w:rPr>
                    </w:pPr>
                    <w:r w:rsidRPr="00F121FB">
                      <w:rPr>
                        <w:sz w:val="16"/>
                        <w:szCs w:val="16"/>
                      </w:rPr>
                      <w:t>-</w:t>
                    </w:r>
                  </w:p>
                </w:tc>
                <w:tc>
                  <w:tcPr>
                    <w:tcW w:w="179" w:type="pct"/>
                    <w:vAlign w:val="center"/>
                  </w:tcPr>
                  <w:p w:rsidR="0024594E" w:rsidRPr="00F121FB" w:rsidRDefault="008F04CF" w:rsidP="00B637B2">
                    <w:pPr>
                      <w:jc w:val="right"/>
                      <w:rPr>
                        <w:sz w:val="16"/>
                        <w:szCs w:val="16"/>
                      </w:rPr>
                    </w:pPr>
                    <w:r>
                      <w:rPr>
                        <w:rFonts w:hint="eastAsia"/>
                        <w:sz w:val="16"/>
                        <w:szCs w:val="16"/>
                      </w:rPr>
                      <w:t>-</w:t>
                    </w:r>
                  </w:p>
                </w:tc>
                <w:tc>
                  <w:tcPr>
                    <w:tcW w:w="406" w:type="pct"/>
                    <w:vAlign w:val="center"/>
                  </w:tcPr>
                  <w:p w:rsidR="0024594E" w:rsidRPr="00F121FB" w:rsidRDefault="008F04CF" w:rsidP="00B637B2">
                    <w:pPr>
                      <w:jc w:val="right"/>
                      <w:rPr>
                        <w:sz w:val="16"/>
                        <w:szCs w:val="16"/>
                      </w:rPr>
                    </w:pPr>
                    <w:r>
                      <w:rPr>
                        <w:rFonts w:hint="eastAsia"/>
                        <w:sz w:val="16"/>
                        <w:szCs w:val="16"/>
                      </w:rPr>
                      <w:t>-</w:t>
                    </w:r>
                  </w:p>
                </w:tc>
                <w:tc>
                  <w:tcPr>
                    <w:tcW w:w="139" w:type="pct"/>
                    <w:vAlign w:val="center"/>
                  </w:tcPr>
                  <w:p w:rsidR="0024594E" w:rsidRPr="00F121FB" w:rsidRDefault="008F04CF" w:rsidP="00B637B2">
                    <w:pPr>
                      <w:jc w:val="right"/>
                      <w:rPr>
                        <w:sz w:val="16"/>
                        <w:szCs w:val="16"/>
                      </w:rPr>
                    </w:pPr>
                    <w:r>
                      <w:rPr>
                        <w:rFonts w:hint="eastAsia"/>
                        <w:sz w:val="16"/>
                        <w:szCs w:val="16"/>
                      </w:rPr>
                      <w:t>-</w:t>
                    </w:r>
                  </w:p>
                </w:tc>
                <w:tc>
                  <w:tcPr>
                    <w:tcW w:w="428" w:type="pct"/>
                    <w:vAlign w:val="center"/>
                  </w:tcPr>
                  <w:p w:rsidR="0024594E" w:rsidRPr="00F121FB" w:rsidRDefault="008F04CF" w:rsidP="00B637B2">
                    <w:pPr>
                      <w:jc w:val="right"/>
                      <w:rPr>
                        <w:sz w:val="16"/>
                        <w:szCs w:val="16"/>
                      </w:rPr>
                    </w:pPr>
                    <w:r>
                      <w:rPr>
                        <w:rFonts w:hint="eastAsia"/>
                        <w:sz w:val="16"/>
                        <w:szCs w:val="16"/>
                      </w:rPr>
                      <w:t>-</w:t>
                    </w:r>
                  </w:p>
                </w:tc>
                <w:tc>
                  <w:tcPr>
                    <w:tcW w:w="381" w:type="pct"/>
                    <w:vAlign w:val="center"/>
                  </w:tcPr>
                  <w:p w:rsidR="0024594E" w:rsidRPr="00F121FB" w:rsidRDefault="008F04CF" w:rsidP="00B637B2">
                    <w:pPr>
                      <w:jc w:val="right"/>
                      <w:rPr>
                        <w:sz w:val="16"/>
                        <w:szCs w:val="16"/>
                      </w:rPr>
                    </w:pPr>
                    <w:r>
                      <w:rPr>
                        <w:rFonts w:hint="eastAsia"/>
                        <w:sz w:val="16"/>
                        <w:szCs w:val="16"/>
                      </w:rPr>
                      <w:t>-</w:t>
                    </w:r>
                  </w:p>
                </w:tc>
                <w:tc>
                  <w:tcPr>
                    <w:tcW w:w="404" w:type="pct"/>
                    <w:vAlign w:val="center"/>
                  </w:tcPr>
                  <w:p w:rsidR="0024594E" w:rsidRPr="00F121FB" w:rsidRDefault="008F04CF" w:rsidP="00B637B2">
                    <w:pPr>
                      <w:jc w:val="right"/>
                      <w:rPr>
                        <w:sz w:val="16"/>
                        <w:szCs w:val="16"/>
                      </w:rPr>
                    </w:pPr>
                    <w:r>
                      <w:rPr>
                        <w:rFonts w:hint="eastAsia"/>
                        <w:sz w:val="16"/>
                        <w:szCs w:val="16"/>
                      </w:rPr>
                      <w:t>-</w:t>
                    </w:r>
                  </w:p>
                </w:tc>
              </w:tr>
              <w:tr w:rsidR="00B637B2" w:rsidTr="00B637B2">
                <w:sdt>
                  <w:sdtPr>
                    <w:rPr>
                      <w:sz w:val="16"/>
                      <w:szCs w:val="16"/>
                    </w:rPr>
                    <w:tag w:val="_PLD_b579c38070f04b86951daea3037af89c"/>
                    <w:id w:val="-1883324980"/>
                    <w:lock w:val="sdtLocked"/>
                  </w:sdtPr>
                  <w:sdtContent>
                    <w:tc>
                      <w:tcPr>
                        <w:tcW w:w="631" w:type="pct"/>
                      </w:tcPr>
                      <w:p w:rsidR="00B637B2" w:rsidRPr="00F121FB" w:rsidRDefault="008F04CF" w:rsidP="00B637B2">
                        <w:pPr>
                          <w:rPr>
                            <w:sz w:val="16"/>
                            <w:szCs w:val="16"/>
                          </w:rPr>
                        </w:pPr>
                        <w:r w:rsidRPr="00F121FB">
                          <w:rPr>
                            <w:sz w:val="16"/>
                            <w:szCs w:val="16"/>
                          </w:rPr>
                          <w:t>二、本年</w:t>
                        </w:r>
                        <w:r w:rsidRPr="00F121FB">
                          <w:rPr>
                            <w:rFonts w:hint="eastAsia"/>
                            <w:sz w:val="16"/>
                            <w:szCs w:val="16"/>
                          </w:rPr>
                          <w:t>期</w:t>
                        </w:r>
                        <w:r w:rsidRPr="00F121FB">
                          <w:rPr>
                            <w:sz w:val="16"/>
                            <w:szCs w:val="16"/>
                          </w:rPr>
                          <w:t>初余额</w:t>
                        </w:r>
                      </w:p>
                    </w:tc>
                  </w:sdtContent>
                </w:sdt>
                <w:tc>
                  <w:tcPr>
                    <w:tcW w:w="405" w:type="pct"/>
                    <w:vAlign w:val="center"/>
                  </w:tcPr>
                  <w:p w:rsidR="00B637B2" w:rsidRPr="00F121FB" w:rsidRDefault="008F04CF" w:rsidP="00B637B2">
                    <w:pPr>
                      <w:jc w:val="right"/>
                      <w:rPr>
                        <w:sz w:val="16"/>
                        <w:szCs w:val="16"/>
                      </w:rPr>
                    </w:pPr>
                    <w:r w:rsidRPr="00F121FB">
                      <w:rPr>
                        <w:sz w:val="16"/>
                        <w:szCs w:val="16"/>
                      </w:rPr>
                      <w:t>1,464,217,811</w:t>
                    </w:r>
                  </w:p>
                </w:tc>
                <w:tc>
                  <w:tcPr>
                    <w:tcW w:w="135" w:type="pct"/>
                    <w:vAlign w:val="center"/>
                  </w:tcPr>
                  <w:p w:rsidR="00B637B2" w:rsidRPr="00F121FB" w:rsidRDefault="008F04CF" w:rsidP="00B637B2">
                    <w:pPr>
                      <w:jc w:val="right"/>
                      <w:rPr>
                        <w:sz w:val="16"/>
                        <w:szCs w:val="16"/>
                      </w:rPr>
                    </w:pPr>
                    <w:r>
                      <w:rPr>
                        <w:rFonts w:hint="eastAsia"/>
                        <w:sz w:val="16"/>
                        <w:szCs w:val="16"/>
                      </w:rPr>
                      <w:t>-</w:t>
                    </w:r>
                  </w:p>
                </w:tc>
                <w:tc>
                  <w:tcPr>
                    <w:tcW w:w="135" w:type="pct"/>
                    <w:vAlign w:val="center"/>
                  </w:tcPr>
                  <w:p w:rsidR="00B637B2" w:rsidRPr="00F121FB" w:rsidRDefault="008F04CF" w:rsidP="00B637B2">
                    <w:pPr>
                      <w:jc w:val="right"/>
                      <w:rPr>
                        <w:sz w:val="16"/>
                        <w:szCs w:val="16"/>
                      </w:rPr>
                    </w:pPr>
                    <w:r>
                      <w:rPr>
                        <w:rFonts w:hint="eastAsia"/>
                        <w:sz w:val="16"/>
                        <w:szCs w:val="16"/>
                      </w:rPr>
                      <w:t>-</w:t>
                    </w:r>
                  </w:p>
                </w:tc>
                <w:tc>
                  <w:tcPr>
                    <w:tcW w:w="135" w:type="pct"/>
                    <w:vAlign w:val="center"/>
                  </w:tcPr>
                  <w:p w:rsidR="00B637B2" w:rsidRPr="00F121FB" w:rsidRDefault="008F04CF" w:rsidP="00B637B2">
                    <w:pPr>
                      <w:jc w:val="right"/>
                      <w:rPr>
                        <w:sz w:val="16"/>
                        <w:szCs w:val="16"/>
                      </w:rPr>
                    </w:pPr>
                    <w:r>
                      <w:rPr>
                        <w:rFonts w:hint="eastAsia"/>
                        <w:sz w:val="16"/>
                        <w:szCs w:val="16"/>
                      </w:rPr>
                      <w:t>-</w:t>
                    </w:r>
                  </w:p>
                </w:tc>
                <w:tc>
                  <w:tcPr>
                    <w:tcW w:w="405" w:type="pct"/>
                    <w:vAlign w:val="center"/>
                  </w:tcPr>
                  <w:p w:rsidR="00B637B2" w:rsidRPr="00F121FB" w:rsidRDefault="008F04CF" w:rsidP="00B637B2">
                    <w:pPr>
                      <w:jc w:val="right"/>
                      <w:rPr>
                        <w:sz w:val="16"/>
                        <w:szCs w:val="16"/>
                      </w:rPr>
                    </w:pPr>
                    <w:r w:rsidRPr="00626C10">
                      <w:rPr>
                        <w:sz w:val="16"/>
                        <w:szCs w:val="16"/>
                      </w:rPr>
                      <w:t>2,219,017,521</w:t>
                    </w:r>
                  </w:p>
                </w:tc>
                <w:tc>
                  <w:tcPr>
                    <w:tcW w:w="361" w:type="pct"/>
                    <w:vAlign w:val="center"/>
                  </w:tcPr>
                  <w:p w:rsidR="00B637B2" w:rsidRPr="00F121FB" w:rsidRDefault="008F04CF" w:rsidP="00B637B2">
                    <w:pPr>
                      <w:jc w:val="right"/>
                      <w:rPr>
                        <w:sz w:val="16"/>
                        <w:szCs w:val="16"/>
                      </w:rPr>
                    </w:pPr>
                    <w:r w:rsidRPr="00626C10">
                      <w:rPr>
                        <w:sz w:val="16"/>
                        <w:szCs w:val="16"/>
                      </w:rPr>
                      <w:t>102,196,291</w:t>
                    </w:r>
                  </w:p>
                </w:tc>
                <w:tc>
                  <w:tcPr>
                    <w:tcW w:w="361" w:type="pct"/>
                    <w:vAlign w:val="center"/>
                  </w:tcPr>
                  <w:p w:rsidR="00B637B2" w:rsidRPr="00F121FB" w:rsidRDefault="008F04CF" w:rsidP="00B637B2">
                    <w:pPr>
                      <w:jc w:val="right"/>
                      <w:rPr>
                        <w:sz w:val="16"/>
                        <w:szCs w:val="16"/>
                      </w:rPr>
                    </w:pPr>
                    <w:r w:rsidRPr="00F121FB">
                      <w:rPr>
                        <w:sz w:val="16"/>
                        <w:szCs w:val="16"/>
                      </w:rPr>
                      <w:t>47,946,567</w:t>
                    </w:r>
                  </w:p>
                </w:tc>
                <w:tc>
                  <w:tcPr>
                    <w:tcW w:w="134" w:type="pct"/>
                    <w:vAlign w:val="center"/>
                  </w:tcPr>
                  <w:p w:rsidR="00B637B2" w:rsidRPr="00F121FB" w:rsidRDefault="008F04CF" w:rsidP="00B637B2">
                    <w:pPr>
                      <w:jc w:val="right"/>
                      <w:rPr>
                        <w:sz w:val="16"/>
                        <w:szCs w:val="16"/>
                      </w:rPr>
                    </w:pPr>
                    <w:r>
                      <w:rPr>
                        <w:rFonts w:hint="eastAsia"/>
                        <w:sz w:val="16"/>
                        <w:szCs w:val="16"/>
                      </w:rPr>
                      <w:t>-</w:t>
                    </w:r>
                  </w:p>
                </w:tc>
                <w:tc>
                  <w:tcPr>
                    <w:tcW w:w="361" w:type="pct"/>
                    <w:vAlign w:val="center"/>
                  </w:tcPr>
                  <w:p w:rsidR="00B637B2" w:rsidRPr="00F121FB" w:rsidRDefault="008F04CF" w:rsidP="00B637B2">
                    <w:pPr>
                      <w:jc w:val="right"/>
                      <w:rPr>
                        <w:sz w:val="16"/>
                        <w:szCs w:val="16"/>
                      </w:rPr>
                    </w:pPr>
                    <w:r w:rsidRPr="00F121FB">
                      <w:rPr>
                        <w:sz w:val="16"/>
                        <w:szCs w:val="16"/>
                      </w:rPr>
                      <w:t>725,148,306</w:t>
                    </w:r>
                  </w:p>
                </w:tc>
                <w:tc>
                  <w:tcPr>
                    <w:tcW w:w="179" w:type="pct"/>
                    <w:vAlign w:val="center"/>
                  </w:tcPr>
                  <w:p w:rsidR="00B637B2" w:rsidRPr="00F121FB" w:rsidRDefault="008F04CF" w:rsidP="00B637B2">
                    <w:pPr>
                      <w:jc w:val="right"/>
                      <w:rPr>
                        <w:sz w:val="16"/>
                        <w:szCs w:val="16"/>
                      </w:rPr>
                    </w:pPr>
                    <w:r>
                      <w:rPr>
                        <w:rFonts w:hint="eastAsia"/>
                        <w:sz w:val="16"/>
                        <w:szCs w:val="16"/>
                      </w:rPr>
                      <w:t>-</w:t>
                    </w:r>
                  </w:p>
                </w:tc>
                <w:tc>
                  <w:tcPr>
                    <w:tcW w:w="406" w:type="pct"/>
                    <w:vAlign w:val="center"/>
                  </w:tcPr>
                  <w:p w:rsidR="00B637B2" w:rsidRPr="00F121FB" w:rsidRDefault="008F04CF" w:rsidP="00B637B2">
                    <w:pPr>
                      <w:jc w:val="right"/>
                      <w:rPr>
                        <w:sz w:val="16"/>
                        <w:szCs w:val="16"/>
                      </w:rPr>
                    </w:pPr>
                    <w:r w:rsidRPr="00F121FB">
                      <w:rPr>
                        <w:sz w:val="16"/>
                        <w:szCs w:val="16"/>
                      </w:rPr>
                      <w:t>1,495,033,934</w:t>
                    </w:r>
                  </w:p>
                </w:tc>
                <w:tc>
                  <w:tcPr>
                    <w:tcW w:w="139" w:type="pct"/>
                    <w:vAlign w:val="center"/>
                  </w:tcPr>
                  <w:p w:rsidR="00B637B2" w:rsidRPr="00F121FB" w:rsidRDefault="008F04CF" w:rsidP="00B637B2">
                    <w:pPr>
                      <w:jc w:val="right"/>
                      <w:rPr>
                        <w:sz w:val="16"/>
                        <w:szCs w:val="16"/>
                      </w:rPr>
                    </w:pPr>
                    <w:r>
                      <w:rPr>
                        <w:rFonts w:hint="eastAsia"/>
                        <w:sz w:val="16"/>
                        <w:szCs w:val="16"/>
                      </w:rPr>
                      <w:t>-</w:t>
                    </w:r>
                  </w:p>
                </w:tc>
                <w:tc>
                  <w:tcPr>
                    <w:tcW w:w="428" w:type="pct"/>
                    <w:vAlign w:val="center"/>
                  </w:tcPr>
                  <w:p w:rsidR="00B637B2" w:rsidRPr="00F121FB" w:rsidRDefault="008F04CF" w:rsidP="00B637B2">
                    <w:pPr>
                      <w:jc w:val="right"/>
                      <w:rPr>
                        <w:sz w:val="16"/>
                        <w:szCs w:val="16"/>
                      </w:rPr>
                    </w:pPr>
                    <w:r w:rsidRPr="00F121FB">
                      <w:rPr>
                        <w:sz w:val="16"/>
                        <w:szCs w:val="16"/>
                      </w:rPr>
                      <w:t>5,849,167,848</w:t>
                    </w:r>
                  </w:p>
                </w:tc>
                <w:tc>
                  <w:tcPr>
                    <w:tcW w:w="381" w:type="pct"/>
                    <w:vAlign w:val="center"/>
                  </w:tcPr>
                  <w:p w:rsidR="00B637B2" w:rsidRPr="00F121FB" w:rsidRDefault="008F04CF" w:rsidP="00B637B2">
                    <w:pPr>
                      <w:jc w:val="right"/>
                      <w:rPr>
                        <w:sz w:val="16"/>
                        <w:szCs w:val="16"/>
                      </w:rPr>
                    </w:pPr>
                    <w:r w:rsidRPr="00F121FB">
                      <w:rPr>
                        <w:sz w:val="16"/>
                        <w:szCs w:val="16"/>
                      </w:rPr>
                      <w:t>891,861,128</w:t>
                    </w:r>
                  </w:p>
                </w:tc>
                <w:tc>
                  <w:tcPr>
                    <w:tcW w:w="404" w:type="pct"/>
                    <w:vAlign w:val="center"/>
                  </w:tcPr>
                  <w:p w:rsidR="00B637B2" w:rsidRPr="00F121FB" w:rsidRDefault="008F04CF" w:rsidP="00B637B2">
                    <w:pPr>
                      <w:jc w:val="right"/>
                      <w:rPr>
                        <w:sz w:val="16"/>
                        <w:szCs w:val="16"/>
                      </w:rPr>
                    </w:pPr>
                    <w:r w:rsidRPr="00626C10">
                      <w:rPr>
                        <w:sz w:val="16"/>
                        <w:szCs w:val="16"/>
                      </w:rPr>
                      <w:t>6,741,028,976</w:t>
                    </w:r>
                  </w:p>
                </w:tc>
              </w:tr>
              <w:tr w:rsidR="00B637B2" w:rsidTr="00B637B2">
                <w:sdt>
                  <w:sdtPr>
                    <w:rPr>
                      <w:sz w:val="16"/>
                      <w:szCs w:val="16"/>
                    </w:rPr>
                    <w:tag w:val="_PLD_186aec2424a047ee9af21797aa0ee0d8"/>
                    <w:id w:val="-1530104009"/>
                    <w:lock w:val="sdtLocked"/>
                  </w:sdtPr>
                  <w:sdtContent>
                    <w:tc>
                      <w:tcPr>
                        <w:tcW w:w="631" w:type="pct"/>
                      </w:tcPr>
                      <w:p w:rsidR="0024594E" w:rsidRPr="00F121FB" w:rsidRDefault="0024594E" w:rsidP="0024594E">
                        <w:pPr>
                          <w:rPr>
                            <w:sz w:val="16"/>
                            <w:szCs w:val="16"/>
                          </w:rPr>
                        </w:pPr>
                        <w:r w:rsidRPr="00F121FB">
                          <w:rPr>
                            <w:sz w:val="16"/>
                            <w:szCs w:val="16"/>
                          </w:rPr>
                          <w:t>三、本</w:t>
                        </w:r>
                        <w:r w:rsidRPr="00F121FB">
                          <w:rPr>
                            <w:rFonts w:hint="eastAsia"/>
                            <w:sz w:val="16"/>
                            <w:szCs w:val="16"/>
                          </w:rPr>
                          <w:t>期</w:t>
                        </w:r>
                        <w:r w:rsidRPr="00F121FB">
                          <w:rPr>
                            <w:sz w:val="16"/>
                            <w:szCs w:val="16"/>
                          </w:rPr>
                          <w:t>增减变动金额（减少以“－”号填列）</w:t>
                        </w:r>
                      </w:p>
                    </w:tc>
                  </w:sdtContent>
                </w:sdt>
                <w:tc>
                  <w:tcPr>
                    <w:tcW w:w="405" w:type="pct"/>
                    <w:vAlign w:val="center"/>
                  </w:tcPr>
                  <w:p w:rsidR="0024594E" w:rsidRPr="00F121FB" w:rsidRDefault="008F04CF" w:rsidP="00B637B2">
                    <w:pPr>
                      <w:jc w:val="right"/>
                      <w:rPr>
                        <w:sz w:val="16"/>
                        <w:szCs w:val="16"/>
                      </w:rPr>
                    </w:pPr>
                    <w:r w:rsidRPr="00F121FB">
                      <w:rPr>
                        <w:sz w:val="16"/>
                        <w:szCs w:val="16"/>
                      </w:rPr>
                      <w:t>435,376,285</w:t>
                    </w:r>
                  </w:p>
                </w:tc>
                <w:tc>
                  <w:tcPr>
                    <w:tcW w:w="135" w:type="pct"/>
                    <w:vAlign w:val="center"/>
                  </w:tcPr>
                  <w:p w:rsidR="0024594E" w:rsidRPr="00F121FB" w:rsidRDefault="008F04CF" w:rsidP="00B637B2">
                    <w:pPr>
                      <w:jc w:val="right"/>
                      <w:rPr>
                        <w:sz w:val="16"/>
                        <w:szCs w:val="16"/>
                      </w:rPr>
                    </w:pPr>
                    <w:r>
                      <w:rPr>
                        <w:rFonts w:hint="eastAsia"/>
                        <w:sz w:val="16"/>
                        <w:szCs w:val="16"/>
                      </w:rPr>
                      <w:t>-</w:t>
                    </w:r>
                  </w:p>
                </w:tc>
                <w:tc>
                  <w:tcPr>
                    <w:tcW w:w="135" w:type="pct"/>
                    <w:vAlign w:val="center"/>
                  </w:tcPr>
                  <w:p w:rsidR="0024594E" w:rsidRPr="00F121FB" w:rsidRDefault="0024594E" w:rsidP="00B637B2">
                    <w:pPr>
                      <w:jc w:val="right"/>
                      <w:rPr>
                        <w:sz w:val="16"/>
                        <w:szCs w:val="16"/>
                      </w:rPr>
                    </w:pPr>
                    <w:r w:rsidRPr="00F121FB">
                      <w:rPr>
                        <w:sz w:val="16"/>
                        <w:szCs w:val="16"/>
                      </w:rPr>
                      <w:t>-</w:t>
                    </w:r>
                  </w:p>
                </w:tc>
                <w:tc>
                  <w:tcPr>
                    <w:tcW w:w="135" w:type="pct"/>
                    <w:vAlign w:val="center"/>
                  </w:tcPr>
                  <w:p w:rsidR="0024594E" w:rsidRPr="00F121FB" w:rsidRDefault="008F04CF" w:rsidP="00B637B2">
                    <w:pPr>
                      <w:jc w:val="right"/>
                      <w:rPr>
                        <w:sz w:val="16"/>
                        <w:szCs w:val="16"/>
                      </w:rPr>
                    </w:pPr>
                    <w:r>
                      <w:rPr>
                        <w:rFonts w:hint="eastAsia"/>
                        <w:sz w:val="16"/>
                        <w:szCs w:val="16"/>
                      </w:rPr>
                      <w:t>-</w:t>
                    </w:r>
                  </w:p>
                </w:tc>
                <w:tc>
                  <w:tcPr>
                    <w:tcW w:w="405" w:type="pct"/>
                    <w:vAlign w:val="center"/>
                  </w:tcPr>
                  <w:p w:rsidR="0024594E" w:rsidRPr="00F121FB" w:rsidRDefault="008F04CF" w:rsidP="00B637B2">
                    <w:pPr>
                      <w:jc w:val="right"/>
                      <w:rPr>
                        <w:sz w:val="16"/>
                        <w:szCs w:val="16"/>
                      </w:rPr>
                    </w:pPr>
                    <w:r w:rsidRPr="00626C10">
                      <w:rPr>
                        <w:sz w:val="16"/>
                        <w:szCs w:val="16"/>
                      </w:rPr>
                      <w:t>-345,680,859</w:t>
                    </w:r>
                  </w:p>
                </w:tc>
                <w:tc>
                  <w:tcPr>
                    <w:tcW w:w="361" w:type="pct"/>
                    <w:vAlign w:val="center"/>
                  </w:tcPr>
                  <w:p w:rsidR="0024594E" w:rsidRPr="00F121FB" w:rsidRDefault="008F04CF" w:rsidP="00B637B2">
                    <w:pPr>
                      <w:jc w:val="right"/>
                      <w:rPr>
                        <w:sz w:val="16"/>
                        <w:szCs w:val="16"/>
                      </w:rPr>
                    </w:pPr>
                    <w:r w:rsidRPr="00626C10">
                      <w:rPr>
                        <w:sz w:val="16"/>
                        <w:szCs w:val="16"/>
                      </w:rPr>
                      <w:t>-15,462,372</w:t>
                    </w:r>
                  </w:p>
                </w:tc>
                <w:tc>
                  <w:tcPr>
                    <w:tcW w:w="361" w:type="pct"/>
                    <w:vAlign w:val="center"/>
                  </w:tcPr>
                  <w:p w:rsidR="0024594E" w:rsidRPr="00F121FB" w:rsidRDefault="008F04CF" w:rsidP="00B637B2">
                    <w:pPr>
                      <w:jc w:val="right"/>
                      <w:rPr>
                        <w:sz w:val="16"/>
                        <w:szCs w:val="16"/>
                      </w:rPr>
                    </w:pPr>
                    <w:r>
                      <w:rPr>
                        <w:rFonts w:hint="eastAsia"/>
                        <w:sz w:val="16"/>
                        <w:szCs w:val="16"/>
                      </w:rPr>
                      <w:t>-</w:t>
                    </w:r>
                    <w:r w:rsidRPr="00626C10">
                      <w:rPr>
                        <w:sz w:val="16"/>
                        <w:szCs w:val="16"/>
                      </w:rPr>
                      <w:t>50,818,916</w:t>
                    </w:r>
                  </w:p>
                </w:tc>
                <w:tc>
                  <w:tcPr>
                    <w:tcW w:w="134" w:type="pct"/>
                    <w:vAlign w:val="center"/>
                  </w:tcPr>
                  <w:p w:rsidR="0024594E" w:rsidRPr="00F121FB" w:rsidRDefault="008F04CF" w:rsidP="00B637B2">
                    <w:pPr>
                      <w:jc w:val="right"/>
                      <w:rPr>
                        <w:sz w:val="16"/>
                        <w:szCs w:val="16"/>
                      </w:rPr>
                    </w:pPr>
                    <w:r>
                      <w:rPr>
                        <w:rFonts w:hint="eastAsia"/>
                        <w:sz w:val="16"/>
                        <w:szCs w:val="16"/>
                      </w:rPr>
                      <w:t>-</w:t>
                    </w:r>
                  </w:p>
                </w:tc>
                <w:tc>
                  <w:tcPr>
                    <w:tcW w:w="361" w:type="pct"/>
                    <w:vAlign w:val="center"/>
                  </w:tcPr>
                  <w:p w:rsidR="0024594E" w:rsidRPr="00F121FB" w:rsidRDefault="0024594E" w:rsidP="00B637B2">
                    <w:pPr>
                      <w:jc w:val="right"/>
                      <w:rPr>
                        <w:sz w:val="16"/>
                        <w:szCs w:val="16"/>
                      </w:rPr>
                    </w:pPr>
                    <w:r w:rsidRPr="00F121FB">
                      <w:rPr>
                        <w:sz w:val="16"/>
                        <w:szCs w:val="16"/>
                      </w:rPr>
                      <w:t>-</w:t>
                    </w:r>
                  </w:p>
                </w:tc>
                <w:tc>
                  <w:tcPr>
                    <w:tcW w:w="179" w:type="pct"/>
                    <w:vAlign w:val="center"/>
                  </w:tcPr>
                  <w:p w:rsidR="0024594E" w:rsidRPr="00F121FB" w:rsidRDefault="008F04CF" w:rsidP="00B637B2">
                    <w:pPr>
                      <w:jc w:val="right"/>
                      <w:rPr>
                        <w:sz w:val="16"/>
                        <w:szCs w:val="16"/>
                      </w:rPr>
                    </w:pPr>
                    <w:r>
                      <w:rPr>
                        <w:rFonts w:hint="eastAsia"/>
                        <w:sz w:val="16"/>
                        <w:szCs w:val="16"/>
                      </w:rPr>
                      <w:t>-</w:t>
                    </w:r>
                  </w:p>
                </w:tc>
                <w:tc>
                  <w:tcPr>
                    <w:tcW w:w="406" w:type="pct"/>
                    <w:vAlign w:val="center"/>
                  </w:tcPr>
                  <w:p w:rsidR="0024594E" w:rsidRPr="00F121FB" w:rsidRDefault="008F04CF" w:rsidP="00B637B2">
                    <w:pPr>
                      <w:jc w:val="right"/>
                      <w:rPr>
                        <w:sz w:val="16"/>
                        <w:szCs w:val="16"/>
                      </w:rPr>
                    </w:pPr>
                    <w:r w:rsidRPr="00626C10">
                      <w:rPr>
                        <w:sz w:val="16"/>
                        <w:szCs w:val="16"/>
                      </w:rPr>
                      <w:t>-95,527,430</w:t>
                    </w:r>
                  </w:p>
                </w:tc>
                <w:tc>
                  <w:tcPr>
                    <w:tcW w:w="139" w:type="pct"/>
                    <w:vAlign w:val="center"/>
                  </w:tcPr>
                  <w:p w:rsidR="0024594E" w:rsidRPr="00F121FB" w:rsidRDefault="008F04CF" w:rsidP="00B637B2">
                    <w:pPr>
                      <w:jc w:val="right"/>
                      <w:rPr>
                        <w:sz w:val="16"/>
                        <w:szCs w:val="16"/>
                      </w:rPr>
                    </w:pPr>
                    <w:r>
                      <w:rPr>
                        <w:rFonts w:hint="eastAsia"/>
                        <w:sz w:val="16"/>
                        <w:szCs w:val="16"/>
                      </w:rPr>
                      <w:t>-</w:t>
                    </w:r>
                  </w:p>
                </w:tc>
                <w:tc>
                  <w:tcPr>
                    <w:tcW w:w="428" w:type="pct"/>
                    <w:vAlign w:val="center"/>
                  </w:tcPr>
                  <w:p w:rsidR="0024594E" w:rsidRPr="00F121FB" w:rsidRDefault="008F04CF" w:rsidP="00B637B2">
                    <w:pPr>
                      <w:jc w:val="right"/>
                      <w:rPr>
                        <w:sz w:val="16"/>
                        <w:szCs w:val="16"/>
                      </w:rPr>
                    </w:pPr>
                    <w:r w:rsidRPr="00A800C5">
                      <w:rPr>
                        <w:sz w:val="16"/>
                        <w:szCs w:val="16"/>
                      </w:rPr>
                      <w:t>-41,188,548</w:t>
                    </w:r>
                  </w:p>
                </w:tc>
                <w:tc>
                  <w:tcPr>
                    <w:tcW w:w="381" w:type="pct"/>
                    <w:vAlign w:val="center"/>
                  </w:tcPr>
                  <w:p w:rsidR="0024594E" w:rsidRPr="00F121FB" w:rsidRDefault="008F04CF" w:rsidP="00B637B2">
                    <w:pPr>
                      <w:jc w:val="right"/>
                      <w:rPr>
                        <w:sz w:val="16"/>
                        <w:szCs w:val="16"/>
                      </w:rPr>
                    </w:pPr>
                    <w:r w:rsidRPr="00A800C5">
                      <w:rPr>
                        <w:sz w:val="16"/>
                        <w:szCs w:val="16"/>
                      </w:rPr>
                      <w:t>11,194,102</w:t>
                    </w:r>
                  </w:p>
                </w:tc>
                <w:tc>
                  <w:tcPr>
                    <w:tcW w:w="404" w:type="pct"/>
                    <w:vAlign w:val="center"/>
                  </w:tcPr>
                  <w:p w:rsidR="0024594E" w:rsidRPr="00F121FB" w:rsidRDefault="008F04CF" w:rsidP="00B637B2">
                    <w:pPr>
                      <w:jc w:val="right"/>
                      <w:rPr>
                        <w:sz w:val="16"/>
                        <w:szCs w:val="16"/>
                      </w:rPr>
                    </w:pPr>
                    <w:r w:rsidRPr="008A0D68">
                      <w:rPr>
                        <w:sz w:val="16"/>
                        <w:szCs w:val="16"/>
                      </w:rPr>
                      <w:t>-29,994,446</w:t>
                    </w:r>
                  </w:p>
                </w:tc>
              </w:tr>
              <w:tr w:rsidR="00B637B2" w:rsidTr="00B637B2">
                <w:sdt>
                  <w:sdtPr>
                    <w:rPr>
                      <w:sz w:val="16"/>
                      <w:szCs w:val="16"/>
                    </w:rPr>
                    <w:tag w:val="_PLD_17bf1a1d144b41e18dbd63758cccc7b5"/>
                    <w:id w:val="-1025096315"/>
                    <w:lock w:val="sdtLocked"/>
                  </w:sdtPr>
                  <w:sdtContent>
                    <w:tc>
                      <w:tcPr>
                        <w:tcW w:w="631" w:type="pct"/>
                      </w:tcPr>
                      <w:p w:rsidR="0024594E" w:rsidRPr="00F121FB" w:rsidRDefault="0024594E" w:rsidP="0024594E">
                        <w:pPr>
                          <w:rPr>
                            <w:sz w:val="16"/>
                            <w:szCs w:val="16"/>
                          </w:rPr>
                        </w:pPr>
                        <w:r w:rsidRPr="00F121FB">
                          <w:rPr>
                            <w:rFonts w:hint="eastAsia"/>
                            <w:sz w:val="16"/>
                            <w:szCs w:val="16"/>
                          </w:rPr>
                          <w:t>（一）综合收益总额</w:t>
                        </w:r>
                      </w:p>
                    </w:tc>
                  </w:sdtContent>
                </w:sdt>
                <w:tc>
                  <w:tcPr>
                    <w:tcW w:w="405" w:type="pct"/>
                    <w:vAlign w:val="center"/>
                  </w:tcPr>
                  <w:p w:rsidR="0024594E" w:rsidRPr="00F121FB" w:rsidRDefault="0024594E" w:rsidP="00B637B2">
                    <w:pPr>
                      <w:jc w:val="right"/>
                      <w:rPr>
                        <w:sz w:val="16"/>
                        <w:szCs w:val="16"/>
                      </w:rPr>
                    </w:pPr>
                    <w:r w:rsidRPr="00F121FB">
                      <w:rPr>
                        <w:sz w:val="16"/>
                        <w:szCs w:val="16"/>
                      </w:rPr>
                      <w:t>-</w:t>
                    </w:r>
                  </w:p>
                </w:tc>
                <w:tc>
                  <w:tcPr>
                    <w:tcW w:w="135" w:type="pct"/>
                    <w:vAlign w:val="center"/>
                  </w:tcPr>
                  <w:p w:rsidR="0024594E" w:rsidRPr="00F121FB" w:rsidRDefault="008F04CF" w:rsidP="00B637B2">
                    <w:pPr>
                      <w:jc w:val="right"/>
                      <w:rPr>
                        <w:sz w:val="16"/>
                        <w:szCs w:val="16"/>
                      </w:rPr>
                    </w:pPr>
                    <w:r>
                      <w:rPr>
                        <w:rFonts w:hint="eastAsia"/>
                        <w:sz w:val="16"/>
                        <w:szCs w:val="16"/>
                      </w:rPr>
                      <w:t>-</w:t>
                    </w:r>
                  </w:p>
                </w:tc>
                <w:tc>
                  <w:tcPr>
                    <w:tcW w:w="135" w:type="pct"/>
                    <w:vAlign w:val="center"/>
                  </w:tcPr>
                  <w:p w:rsidR="0024594E" w:rsidRPr="00F121FB" w:rsidRDefault="008F04CF" w:rsidP="00B637B2">
                    <w:pPr>
                      <w:jc w:val="right"/>
                      <w:rPr>
                        <w:sz w:val="16"/>
                        <w:szCs w:val="16"/>
                      </w:rPr>
                    </w:pPr>
                    <w:r>
                      <w:rPr>
                        <w:rFonts w:hint="eastAsia"/>
                        <w:sz w:val="16"/>
                        <w:szCs w:val="16"/>
                      </w:rPr>
                      <w:t>-</w:t>
                    </w:r>
                  </w:p>
                </w:tc>
                <w:tc>
                  <w:tcPr>
                    <w:tcW w:w="135" w:type="pct"/>
                    <w:vAlign w:val="center"/>
                  </w:tcPr>
                  <w:p w:rsidR="0024594E" w:rsidRPr="00F121FB" w:rsidRDefault="008F04CF" w:rsidP="00B637B2">
                    <w:pPr>
                      <w:jc w:val="right"/>
                      <w:rPr>
                        <w:sz w:val="16"/>
                        <w:szCs w:val="16"/>
                      </w:rPr>
                    </w:pPr>
                    <w:r>
                      <w:rPr>
                        <w:rFonts w:hint="eastAsia"/>
                        <w:sz w:val="16"/>
                        <w:szCs w:val="16"/>
                      </w:rPr>
                      <w:t>-</w:t>
                    </w:r>
                  </w:p>
                </w:tc>
                <w:tc>
                  <w:tcPr>
                    <w:tcW w:w="405" w:type="pct"/>
                    <w:vAlign w:val="center"/>
                  </w:tcPr>
                  <w:p w:rsidR="0024594E" w:rsidRPr="00F121FB" w:rsidRDefault="0024594E" w:rsidP="00B637B2">
                    <w:pPr>
                      <w:jc w:val="right"/>
                      <w:rPr>
                        <w:sz w:val="16"/>
                        <w:szCs w:val="16"/>
                      </w:rPr>
                    </w:pPr>
                    <w:r w:rsidRPr="00F121FB">
                      <w:rPr>
                        <w:sz w:val="16"/>
                        <w:szCs w:val="16"/>
                      </w:rPr>
                      <w:t>-</w:t>
                    </w:r>
                  </w:p>
                </w:tc>
                <w:tc>
                  <w:tcPr>
                    <w:tcW w:w="361" w:type="pct"/>
                    <w:vAlign w:val="center"/>
                  </w:tcPr>
                  <w:p w:rsidR="0024594E" w:rsidRPr="00F121FB" w:rsidRDefault="008F04CF" w:rsidP="00B637B2">
                    <w:pPr>
                      <w:jc w:val="right"/>
                      <w:rPr>
                        <w:sz w:val="16"/>
                        <w:szCs w:val="16"/>
                      </w:rPr>
                    </w:pPr>
                    <w:r>
                      <w:rPr>
                        <w:rFonts w:hint="eastAsia"/>
                        <w:sz w:val="16"/>
                        <w:szCs w:val="16"/>
                      </w:rPr>
                      <w:t>-</w:t>
                    </w:r>
                  </w:p>
                </w:tc>
                <w:tc>
                  <w:tcPr>
                    <w:tcW w:w="361" w:type="pct"/>
                    <w:vAlign w:val="center"/>
                  </w:tcPr>
                  <w:p w:rsidR="0024594E" w:rsidRPr="00F121FB" w:rsidRDefault="008F04CF" w:rsidP="00B637B2">
                    <w:pPr>
                      <w:jc w:val="right"/>
                      <w:rPr>
                        <w:sz w:val="16"/>
                        <w:szCs w:val="16"/>
                      </w:rPr>
                    </w:pPr>
                    <w:r>
                      <w:rPr>
                        <w:rFonts w:hint="eastAsia"/>
                        <w:sz w:val="16"/>
                        <w:szCs w:val="16"/>
                      </w:rPr>
                      <w:t>-</w:t>
                    </w:r>
                    <w:r w:rsidRPr="00626C10">
                      <w:rPr>
                        <w:sz w:val="16"/>
                        <w:szCs w:val="16"/>
                      </w:rPr>
                      <w:t>50,818,916</w:t>
                    </w:r>
                  </w:p>
                </w:tc>
                <w:tc>
                  <w:tcPr>
                    <w:tcW w:w="134" w:type="pct"/>
                    <w:vAlign w:val="center"/>
                  </w:tcPr>
                  <w:p w:rsidR="0024594E" w:rsidRPr="00F121FB" w:rsidRDefault="008F04CF" w:rsidP="00B637B2">
                    <w:pPr>
                      <w:jc w:val="right"/>
                      <w:rPr>
                        <w:sz w:val="16"/>
                        <w:szCs w:val="16"/>
                      </w:rPr>
                    </w:pPr>
                    <w:r>
                      <w:rPr>
                        <w:rFonts w:hint="eastAsia"/>
                        <w:sz w:val="16"/>
                        <w:szCs w:val="16"/>
                      </w:rPr>
                      <w:t>-</w:t>
                    </w:r>
                  </w:p>
                </w:tc>
                <w:tc>
                  <w:tcPr>
                    <w:tcW w:w="361" w:type="pct"/>
                    <w:vAlign w:val="center"/>
                  </w:tcPr>
                  <w:p w:rsidR="0024594E" w:rsidRPr="00F121FB" w:rsidRDefault="0024594E" w:rsidP="00B637B2">
                    <w:pPr>
                      <w:jc w:val="right"/>
                      <w:rPr>
                        <w:sz w:val="16"/>
                        <w:szCs w:val="16"/>
                      </w:rPr>
                    </w:pPr>
                    <w:r w:rsidRPr="00F121FB">
                      <w:rPr>
                        <w:sz w:val="16"/>
                        <w:szCs w:val="16"/>
                      </w:rPr>
                      <w:t>-</w:t>
                    </w:r>
                  </w:p>
                </w:tc>
                <w:tc>
                  <w:tcPr>
                    <w:tcW w:w="179" w:type="pct"/>
                    <w:vAlign w:val="center"/>
                  </w:tcPr>
                  <w:p w:rsidR="0024594E" w:rsidRPr="00F121FB" w:rsidRDefault="008F04CF" w:rsidP="00B637B2">
                    <w:pPr>
                      <w:jc w:val="right"/>
                      <w:rPr>
                        <w:sz w:val="16"/>
                        <w:szCs w:val="16"/>
                      </w:rPr>
                    </w:pPr>
                    <w:r>
                      <w:rPr>
                        <w:rFonts w:hint="eastAsia"/>
                        <w:sz w:val="16"/>
                        <w:szCs w:val="16"/>
                      </w:rPr>
                      <w:t>-</w:t>
                    </w:r>
                  </w:p>
                </w:tc>
                <w:tc>
                  <w:tcPr>
                    <w:tcW w:w="406" w:type="pct"/>
                    <w:vAlign w:val="center"/>
                  </w:tcPr>
                  <w:p w:rsidR="0024594E" w:rsidRPr="00F121FB" w:rsidRDefault="008F04CF" w:rsidP="00B637B2">
                    <w:pPr>
                      <w:jc w:val="right"/>
                      <w:rPr>
                        <w:sz w:val="16"/>
                        <w:szCs w:val="16"/>
                      </w:rPr>
                    </w:pPr>
                    <w:r w:rsidRPr="00626C10">
                      <w:rPr>
                        <w:sz w:val="16"/>
                        <w:szCs w:val="16"/>
                      </w:rPr>
                      <w:t>123,656,504</w:t>
                    </w:r>
                  </w:p>
                </w:tc>
                <w:tc>
                  <w:tcPr>
                    <w:tcW w:w="139" w:type="pct"/>
                    <w:vAlign w:val="center"/>
                  </w:tcPr>
                  <w:p w:rsidR="0024594E" w:rsidRPr="00F121FB" w:rsidRDefault="008F04CF" w:rsidP="00B637B2">
                    <w:pPr>
                      <w:jc w:val="right"/>
                      <w:rPr>
                        <w:sz w:val="16"/>
                        <w:szCs w:val="16"/>
                      </w:rPr>
                    </w:pPr>
                    <w:r>
                      <w:rPr>
                        <w:rFonts w:hint="eastAsia"/>
                        <w:sz w:val="16"/>
                        <w:szCs w:val="16"/>
                      </w:rPr>
                      <w:t>-</w:t>
                    </w:r>
                  </w:p>
                </w:tc>
                <w:tc>
                  <w:tcPr>
                    <w:tcW w:w="428" w:type="pct"/>
                    <w:vAlign w:val="center"/>
                  </w:tcPr>
                  <w:p w:rsidR="0024594E" w:rsidRPr="00F121FB" w:rsidRDefault="008F04CF" w:rsidP="00B637B2">
                    <w:pPr>
                      <w:jc w:val="right"/>
                      <w:rPr>
                        <w:sz w:val="16"/>
                        <w:szCs w:val="16"/>
                      </w:rPr>
                    </w:pPr>
                    <w:r w:rsidRPr="00A800C5">
                      <w:rPr>
                        <w:sz w:val="16"/>
                        <w:szCs w:val="16"/>
                      </w:rPr>
                      <w:t>72,837,588</w:t>
                    </w:r>
                  </w:p>
                </w:tc>
                <w:tc>
                  <w:tcPr>
                    <w:tcW w:w="381" w:type="pct"/>
                    <w:vAlign w:val="center"/>
                  </w:tcPr>
                  <w:p w:rsidR="0024594E" w:rsidRPr="00F121FB" w:rsidRDefault="008F04CF" w:rsidP="00B637B2">
                    <w:pPr>
                      <w:jc w:val="right"/>
                      <w:rPr>
                        <w:sz w:val="16"/>
                        <w:szCs w:val="16"/>
                      </w:rPr>
                    </w:pPr>
                    <w:r w:rsidRPr="00A800C5">
                      <w:rPr>
                        <w:sz w:val="16"/>
                        <w:szCs w:val="16"/>
                      </w:rPr>
                      <w:t>100,177,597</w:t>
                    </w:r>
                  </w:p>
                </w:tc>
                <w:tc>
                  <w:tcPr>
                    <w:tcW w:w="404" w:type="pct"/>
                    <w:vAlign w:val="center"/>
                  </w:tcPr>
                  <w:p w:rsidR="0024594E" w:rsidRPr="00F121FB" w:rsidRDefault="008F04CF" w:rsidP="00B637B2">
                    <w:pPr>
                      <w:jc w:val="right"/>
                      <w:rPr>
                        <w:sz w:val="16"/>
                        <w:szCs w:val="16"/>
                      </w:rPr>
                    </w:pPr>
                    <w:r w:rsidRPr="008A0D68">
                      <w:rPr>
                        <w:sz w:val="16"/>
                        <w:szCs w:val="16"/>
                      </w:rPr>
                      <w:t>173,015,185</w:t>
                    </w:r>
                  </w:p>
                </w:tc>
              </w:tr>
              <w:tr w:rsidR="00B637B2" w:rsidTr="00B637B2">
                <w:sdt>
                  <w:sdtPr>
                    <w:rPr>
                      <w:sz w:val="16"/>
                      <w:szCs w:val="16"/>
                    </w:rPr>
                    <w:tag w:val="_PLD_d55056423dbf4ac187d64bd43c03aca3"/>
                    <w:id w:val="1158730934"/>
                    <w:lock w:val="sdtLocked"/>
                  </w:sdtPr>
                  <w:sdtContent>
                    <w:tc>
                      <w:tcPr>
                        <w:tcW w:w="631" w:type="pct"/>
                      </w:tcPr>
                      <w:p w:rsidR="0024594E" w:rsidRPr="00F121FB" w:rsidRDefault="0024594E" w:rsidP="0024594E">
                        <w:pPr>
                          <w:rPr>
                            <w:sz w:val="16"/>
                            <w:szCs w:val="16"/>
                          </w:rPr>
                        </w:pPr>
                        <w:r w:rsidRPr="00F121FB">
                          <w:rPr>
                            <w:sz w:val="16"/>
                            <w:szCs w:val="16"/>
                          </w:rPr>
                          <w:t>（</w:t>
                        </w:r>
                        <w:r w:rsidRPr="00F121FB">
                          <w:rPr>
                            <w:rFonts w:hint="eastAsia"/>
                            <w:sz w:val="16"/>
                            <w:szCs w:val="16"/>
                          </w:rPr>
                          <w:t>二</w:t>
                        </w:r>
                        <w:r w:rsidRPr="00F121FB">
                          <w:rPr>
                            <w:sz w:val="16"/>
                            <w:szCs w:val="16"/>
                          </w:rPr>
                          <w:t>）所有者投入和减少资本</w:t>
                        </w:r>
                      </w:p>
                    </w:tc>
                  </w:sdtContent>
                </w:sdt>
                <w:tc>
                  <w:tcPr>
                    <w:tcW w:w="405" w:type="pct"/>
                    <w:vAlign w:val="center"/>
                  </w:tcPr>
                  <w:p w:rsidR="0024594E" w:rsidRPr="00F121FB" w:rsidRDefault="0024594E" w:rsidP="00B637B2">
                    <w:pPr>
                      <w:jc w:val="right"/>
                      <w:rPr>
                        <w:sz w:val="16"/>
                        <w:szCs w:val="16"/>
                      </w:rPr>
                    </w:pPr>
                    <w:r w:rsidRPr="00F121FB">
                      <w:rPr>
                        <w:sz w:val="16"/>
                        <w:szCs w:val="16"/>
                      </w:rPr>
                      <w:t>-2,991,583</w:t>
                    </w:r>
                  </w:p>
                </w:tc>
                <w:tc>
                  <w:tcPr>
                    <w:tcW w:w="135" w:type="pct"/>
                    <w:vAlign w:val="center"/>
                  </w:tcPr>
                  <w:p w:rsidR="0024594E" w:rsidRPr="00F121FB" w:rsidRDefault="008F04CF" w:rsidP="00B637B2">
                    <w:pPr>
                      <w:jc w:val="right"/>
                      <w:rPr>
                        <w:sz w:val="16"/>
                        <w:szCs w:val="16"/>
                      </w:rPr>
                    </w:pPr>
                    <w:r>
                      <w:rPr>
                        <w:rFonts w:hint="eastAsia"/>
                        <w:sz w:val="16"/>
                        <w:szCs w:val="16"/>
                      </w:rPr>
                      <w:t>-</w:t>
                    </w:r>
                  </w:p>
                </w:tc>
                <w:tc>
                  <w:tcPr>
                    <w:tcW w:w="135" w:type="pct"/>
                    <w:vAlign w:val="center"/>
                  </w:tcPr>
                  <w:p w:rsidR="0024594E" w:rsidRPr="00F121FB" w:rsidRDefault="0024594E" w:rsidP="00B637B2">
                    <w:pPr>
                      <w:jc w:val="right"/>
                      <w:rPr>
                        <w:sz w:val="16"/>
                        <w:szCs w:val="16"/>
                      </w:rPr>
                    </w:pPr>
                    <w:r w:rsidRPr="00F121FB">
                      <w:rPr>
                        <w:sz w:val="16"/>
                        <w:szCs w:val="16"/>
                      </w:rPr>
                      <w:t>-</w:t>
                    </w:r>
                  </w:p>
                </w:tc>
                <w:tc>
                  <w:tcPr>
                    <w:tcW w:w="135" w:type="pct"/>
                    <w:vAlign w:val="center"/>
                  </w:tcPr>
                  <w:p w:rsidR="0024594E" w:rsidRPr="00F121FB" w:rsidRDefault="008F04CF" w:rsidP="00B637B2">
                    <w:pPr>
                      <w:jc w:val="right"/>
                      <w:rPr>
                        <w:sz w:val="16"/>
                        <w:szCs w:val="16"/>
                      </w:rPr>
                    </w:pPr>
                    <w:r>
                      <w:rPr>
                        <w:rFonts w:hint="eastAsia"/>
                        <w:sz w:val="16"/>
                        <w:szCs w:val="16"/>
                      </w:rPr>
                      <w:t>-</w:t>
                    </w:r>
                  </w:p>
                </w:tc>
                <w:tc>
                  <w:tcPr>
                    <w:tcW w:w="405" w:type="pct"/>
                    <w:vAlign w:val="center"/>
                  </w:tcPr>
                  <w:p w:rsidR="0024594E" w:rsidRPr="00F121FB" w:rsidRDefault="008F04CF" w:rsidP="00B637B2">
                    <w:pPr>
                      <w:jc w:val="right"/>
                      <w:rPr>
                        <w:sz w:val="16"/>
                        <w:szCs w:val="16"/>
                      </w:rPr>
                    </w:pPr>
                    <w:r w:rsidRPr="00626C10">
                      <w:rPr>
                        <w:sz w:val="16"/>
                        <w:szCs w:val="16"/>
                      </w:rPr>
                      <w:t>92,687,009</w:t>
                    </w:r>
                  </w:p>
                </w:tc>
                <w:tc>
                  <w:tcPr>
                    <w:tcW w:w="361" w:type="pct"/>
                    <w:vAlign w:val="center"/>
                  </w:tcPr>
                  <w:p w:rsidR="0024594E" w:rsidRPr="00F121FB" w:rsidRDefault="008F04CF" w:rsidP="00B637B2">
                    <w:pPr>
                      <w:jc w:val="right"/>
                      <w:rPr>
                        <w:sz w:val="16"/>
                        <w:szCs w:val="16"/>
                      </w:rPr>
                    </w:pPr>
                    <w:r w:rsidRPr="00626C10">
                      <w:rPr>
                        <w:sz w:val="16"/>
                        <w:szCs w:val="16"/>
                      </w:rPr>
                      <w:t>-15,462,372</w:t>
                    </w:r>
                  </w:p>
                </w:tc>
                <w:tc>
                  <w:tcPr>
                    <w:tcW w:w="361" w:type="pct"/>
                    <w:vAlign w:val="center"/>
                  </w:tcPr>
                  <w:p w:rsidR="0024594E" w:rsidRPr="00F121FB" w:rsidRDefault="0024594E" w:rsidP="00B637B2">
                    <w:pPr>
                      <w:jc w:val="right"/>
                      <w:rPr>
                        <w:sz w:val="16"/>
                        <w:szCs w:val="16"/>
                      </w:rPr>
                    </w:pPr>
                    <w:r w:rsidRPr="00F121FB">
                      <w:rPr>
                        <w:sz w:val="16"/>
                        <w:szCs w:val="16"/>
                      </w:rPr>
                      <w:t>-</w:t>
                    </w:r>
                  </w:p>
                </w:tc>
                <w:tc>
                  <w:tcPr>
                    <w:tcW w:w="134" w:type="pct"/>
                    <w:vAlign w:val="center"/>
                  </w:tcPr>
                  <w:p w:rsidR="0024594E" w:rsidRPr="00F121FB" w:rsidRDefault="008F04CF" w:rsidP="00B637B2">
                    <w:pPr>
                      <w:jc w:val="right"/>
                      <w:rPr>
                        <w:sz w:val="16"/>
                        <w:szCs w:val="16"/>
                      </w:rPr>
                    </w:pPr>
                    <w:r>
                      <w:rPr>
                        <w:rFonts w:hint="eastAsia"/>
                        <w:sz w:val="16"/>
                        <w:szCs w:val="16"/>
                      </w:rPr>
                      <w:t>-</w:t>
                    </w:r>
                  </w:p>
                </w:tc>
                <w:tc>
                  <w:tcPr>
                    <w:tcW w:w="361" w:type="pct"/>
                    <w:vAlign w:val="center"/>
                  </w:tcPr>
                  <w:p w:rsidR="0024594E" w:rsidRPr="00F121FB" w:rsidRDefault="0024594E" w:rsidP="00B637B2">
                    <w:pPr>
                      <w:jc w:val="right"/>
                      <w:rPr>
                        <w:sz w:val="16"/>
                        <w:szCs w:val="16"/>
                      </w:rPr>
                    </w:pPr>
                    <w:r w:rsidRPr="00F121FB">
                      <w:rPr>
                        <w:sz w:val="16"/>
                        <w:szCs w:val="16"/>
                      </w:rPr>
                      <w:t>-</w:t>
                    </w:r>
                  </w:p>
                </w:tc>
                <w:tc>
                  <w:tcPr>
                    <w:tcW w:w="179" w:type="pct"/>
                    <w:vAlign w:val="center"/>
                  </w:tcPr>
                  <w:p w:rsidR="0024594E" w:rsidRPr="00F121FB" w:rsidRDefault="008F04CF" w:rsidP="00B637B2">
                    <w:pPr>
                      <w:jc w:val="right"/>
                      <w:rPr>
                        <w:sz w:val="16"/>
                        <w:szCs w:val="16"/>
                      </w:rPr>
                    </w:pPr>
                    <w:r>
                      <w:rPr>
                        <w:rFonts w:hint="eastAsia"/>
                        <w:sz w:val="16"/>
                        <w:szCs w:val="16"/>
                      </w:rPr>
                      <w:t>-</w:t>
                    </w:r>
                  </w:p>
                </w:tc>
                <w:tc>
                  <w:tcPr>
                    <w:tcW w:w="406" w:type="pct"/>
                    <w:vAlign w:val="center"/>
                  </w:tcPr>
                  <w:p w:rsidR="0024594E" w:rsidRPr="00F121FB" w:rsidRDefault="0024594E" w:rsidP="00B637B2">
                    <w:pPr>
                      <w:jc w:val="right"/>
                      <w:rPr>
                        <w:sz w:val="16"/>
                        <w:szCs w:val="16"/>
                      </w:rPr>
                    </w:pPr>
                    <w:r w:rsidRPr="00F121FB">
                      <w:rPr>
                        <w:sz w:val="16"/>
                        <w:szCs w:val="16"/>
                      </w:rPr>
                      <w:t>-</w:t>
                    </w:r>
                  </w:p>
                </w:tc>
                <w:tc>
                  <w:tcPr>
                    <w:tcW w:w="139" w:type="pct"/>
                    <w:vAlign w:val="center"/>
                  </w:tcPr>
                  <w:p w:rsidR="0024594E" w:rsidRPr="00F121FB" w:rsidRDefault="008F04CF" w:rsidP="00B637B2">
                    <w:pPr>
                      <w:jc w:val="right"/>
                      <w:rPr>
                        <w:sz w:val="16"/>
                        <w:szCs w:val="16"/>
                      </w:rPr>
                    </w:pPr>
                    <w:r>
                      <w:rPr>
                        <w:rFonts w:hint="eastAsia"/>
                        <w:sz w:val="16"/>
                        <w:szCs w:val="16"/>
                      </w:rPr>
                      <w:t>-</w:t>
                    </w:r>
                  </w:p>
                </w:tc>
                <w:tc>
                  <w:tcPr>
                    <w:tcW w:w="428" w:type="pct"/>
                    <w:vAlign w:val="center"/>
                  </w:tcPr>
                  <w:p w:rsidR="0024594E" w:rsidRPr="00F121FB" w:rsidRDefault="008F04CF" w:rsidP="00B637B2">
                    <w:pPr>
                      <w:jc w:val="right"/>
                      <w:rPr>
                        <w:sz w:val="16"/>
                        <w:szCs w:val="16"/>
                      </w:rPr>
                    </w:pPr>
                    <w:r w:rsidRPr="00A800C5">
                      <w:rPr>
                        <w:sz w:val="16"/>
                        <w:szCs w:val="16"/>
                      </w:rPr>
                      <w:t>105,157,798</w:t>
                    </w:r>
                  </w:p>
                </w:tc>
                <w:tc>
                  <w:tcPr>
                    <w:tcW w:w="381" w:type="pct"/>
                    <w:vAlign w:val="center"/>
                  </w:tcPr>
                  <w:p w:rsidR="0024594E" w:rsidRPr="00F121FB" w:rsidRDefault="008F04CF" w:rsidP="00B637B2">
                    <w:pPr>
                      <w:jc w:val="right"/>
                      <w:rPr>
                        <w:sz w:val="16"/>
                        <w:szCs w:val="16"/>
                      </w:rPr>
                    </w:pPr>
                    <w:r w:rsidRPr="00A800C5">
                      <w:rPr>
                        <w:sz w:val="16"/>
                        <w:szCs w:val="16"/>
                      </w:rPr>
                      <w:t>7,802,907</w:t>
                    </w:r>
                  </w:p>
                </w:tc>
                <w:tc>
                  <w:tcPr>
                    <w:tcW w:w="404" w:type="pct"/>
                    <w:vAlign w:val="center"/>
                  </w:tcPr>
                  <w:p w:rsidR="0024594E" w:rsidRPr="00F121FB" w:rsidRDefault="008F04CF" w:rsidP="00B637B2">
                    <w:pPr>
                      <w:jc w:val="right"/>
                      <w:rPr>
                        <w:sz w:val="16"/>
                        <w:szCs w:val="16"/>
                      </w:rPr>
                    </w:pPr>
                    <w:r w:rsidRPr="00965429">
                      <w:rPr>
                        <w:sz w:val="16"/>
                        <w:szCs w:val="16"/>
                      </w:rPr>
                      <w:t>112,960,705</w:t>
                    </w:r>
                  </w:p>
                </w:tc>
              </w:tr>
              <w:tr w:rsidR="00B637B2" w:rsidTr="00B637B2">
                <w:sdt>
                  <w:sdtPr>
                    <w:rPr>
                      <w:sz w:val="16"/>
                      <w:szCs w:val="16"/>
                    </w:rPr>
                    <w:tag w:val="_PLD_284541025868477ca26973c13dd9ff9e"/>
                    <w:id w:val="-970052898"/>
                    <w:lock w:val="sdtLocked"/>
                  </w:sdtPr>
                  <w:sdtContent>
                    <w:tc>
                      <w:tcPr>
                        <w:tcW w:w="631" w:type="pct"/>
                      </w:tcPr>
                      <w:p w:rsidR="0024594E" w:rsidRPr="00F121FB" w:rsidRDefault="0024594E" w:rsidP="0024594E">
                        <w:pPr>
                          <w:rPr>
                            <w:sz w:val="16"/>
                            <w:szCs w:val="16"/>
                          </w:rPr>
                        </w:pPr>
                        <w:r w:rsidRPr="00F121FB">
                          <w:rPr>
                            <w:rFonts w:hint="eastAsia"/>
                            <w:sz w:val="16"/>
                            <w:szCs w:val="16"/>
                          </w:rPr>
                          <w:t>1．所有者投入的普通股</w:t>
                        </w:r>
                      </w:p>
                    </w:tc>
                  </w:sdtContent>
                </w:sdt>
                <w:tc>
                  <w:tcPr>
                    <w:tcW w:w="405" w:type="pct"/>
                    <w:vAlign w:val="center"/>
                  </w:tcPr>
                  <w:p w:rsidR="0024594E" w:rsidRPr="00F121FB" w:rsidRDefault="0024594E" w:rsidP="00B637B2">
                    <w:pPr>
                      <w:jc w:val="right"/>
                      <w:rPr>
                        <w:sz w:val="16"/>
                        <w:szCs w:val="16"/>
                      </w:rPr>
                    </w:pPr>
                    <w:r w:rsidRPr="00F121FB">
                      <w:rPr>
                        <w:sz w:val="16"/>
                        <w:szCs w:val="16"/>
                      </w:rPr>
                      <w:t>-</w:t>
                    </w:r>
                  </w:p>
                </w:tc>
                <w:tc>
                  <w:tcPr>
                    <w:tcW w:w="135" w:type="pct"/>
                    <w:vAlign w:val="center"/>
                  </w:tcPr>
                  <w:p w:rsidR="0024594E" w:rsidRPr="00F121FB" w:rsidRDefault="008F04CF" w:rsidP="00B637B2">
                    <w:pPr>
                      <w:jc w:val="right"/>
                      <w:rPr>
                        <w:sz w:val="16"/>
                        <w:szCs w:val="16"/>
                      </w:rPr>
                    </w:pPr>
                    <w:r>
                      <w:rPr>
                        <w:rFonts w:hint="eastAsia"/>
                        <w:sz w:val="16"/>
                        <w:szCs w:val="16"/>
                      </w:rPr>
                      <w:t>-</w:t>
                    </w:r>
                  </w:p>
                </w:tc>
                <w:tc>
                  <w:tcPr>
                    <w:tcW w:w="135" w:type="pct"/>
                    <w:vAlign w:val="center"/>
                  </w:tcPr>
                  <w:p w:rsidR="0024594E" w:rsidRPr="00F121FB" w:rsidRDefault="0024594E" w:rsidP="00B637B2">
                    <w:pPr>
                      <w:jc w:val="right"/>
                      <w:rPr>
                        <w:sz w:val="16"/>
                        <w:szCs w:val="16"/>
                      </w:rPr>
                    </w:pPr>
                    <w:r w:rsidRPr="00F121FB">
                      <w:rPr>
                        <w:sz w:val="16"/>
                        <w:szCs w:val="16"/>
                      </w:rPr>
                      <w:t>-</w:t>
                    </w:r>
                  </w:p>
                </w:tc>
                <w:tc>
                  <w:tcPr>
                    <w:tcW w:w="135" w:type="pct"/>
                    <w:vAlign w:val="center"/>
                  </w:tcPr>
                  <w:p w:rsidR="0024594E" w:rsidRPr="00F121FB" w:rsidRDefault="008F04CF" w:rsidP="00B637B2">
                    <w:pPr>
                      <w:jc w:val="right"/>
                      <w:rPr>
                        <w:sz w:val="16"/>
                        <w:szCs w:val="16"/>
                      </w:rPr>
                    </w:pPr>
                    <w:r>
                      <w:rPr>
                        <w:rFonts w:hint="eastAsia"/>
                        <w:sz w:val="16"/>
                        <w:szCs w:val="16"/>
                      </w:rPr>
                      <w:t>-</w:t>
                    </w:r>
                  </w:p>
                </w:tc>
                <w:tc>
                  <w:tcPr>
                    <w:tcW w:w="405" w:type="pct"/>
                    <w:vAlign w:val="center"/>
                  </w:tcPr>
                  <w:p w:rsidR="0024594E" w:rsidRPr="00F121FB" w:rsidRDefault="0024594E" w:rsidP="00B637B2">
                    <w:pPr>
                      <w:jc w:val="right"/>
                      <w:rPr>
                        <w:sz w:val="16"/>
                        <w:szCs w:val="16"/>
                      </w:rPr>
                    </w:pPr>
                    <w:r w:rsidRPr="00F121FB">
                      <w:rPr>
                        <w:sz w:val="16"/>
                        <w:szCs w:val="16"/>
                      </w:rPr>
                      <w:t>-</w:t>
                    </w:r>
                  </w:p>
                </w:tc>
                <w:tc>
                  <w:tcPr>
                    <w:tcW w:w="361" w:type="pct"/>
                    <w:vAlign w:val="center"/>
                  </w:tcPr>
                  <w:p w:rsidR="0024594E" w:rsidRPr="00F121FB" w:rsidRDefault="008F04CF" w:rsidP="00B637B2">
                    <w:pPr>
                      <w:jc w:val="right"/>
                      <w:rPr>
                        <w:sz w:val="16"/>
                        <w:szCs w:val="16"/>
                      </w:rPr>
                    </w:pPr>
                    <w:r>
                      <w:rPr>
                        <w:rFonts w:hint="eastAsia"/>
                        <w:sz w:val="16"/>
                        <w:szCs w:val="16"/>
                      </w:rPr>
                      <w:t>-</w:t>
                    </w:r>
                  </w:p>
                </w:tc>
                <w:tc>
                  <w:tcPr>
                    <w:tcW w:w="361" w:type="pct"/>
                    <w:vAlign w:val="center"/>
                  </w:tcPr>
                  <w:p w:rsidR="0024594E" w:rsidRPr="00F121FB" w:rsidRDefault="0024594E" w:rsidP="00B637B2">
                    <w:pPr>
                      <w:jc w:val="right"/>
                      <w:rPr>
                        <w:sz w:val="16"/>
                        <w:szCs w:val="16"/>
                      </w:rPr>
                    </w:pPr>
                    <w:r w:rsidRPr="00F121FB">
                      <w:rPr>
                        <w:sz w:val="16"/>
                        <w:szCs w:val="16"/>
                      </w:rPr>
                      <w:t>-</w:t>
                    </w:r>
                  </w:p>
                </w:tc>
                <w:tc>
                  <w:tcPr>
                    <w:tcW w:w="134" w:type="pct"/>
                    <w:vAlign w:val="center"/>
                  </w:tcPr>
                  <w:p w:rsidR="0024594E" w:rsidRPr="00F121FB" w:rsidRDefault="008F04CF" w:rsidP="00B637B2">
                    <w:pPr>
                      <w:jc w:val="right"/>
                      <w:rPr>
                        <w:sz w:val="16"/>
                        <w:szCs w:val="16"/>
                      </w:rPr>
                    </w:pPr>
                    <w:r>
                      <w:rPr>
                        <w:rFonts w:hint="eastAsia"/>
                        <w:sz w:val="16"/>
                        <w:szCs w:val="16"/>
                      </w:rPr>
                      <w:t>-</w:t>
                    </w:r>
                  </w:p>
                </w:tc>
                <w:tc>
                  <w:tcPr>
                    <w:tcW w:w="361" w:type="pct"/>
                    <w:vAlign w:val="center"/>
                  </w:tcPr>
                  <w:p w:rsidR="0024594E" w:rsidRPr="00F121FB" w:rsidRDefault="0024594E" w:rsidP="00B637B2">
                    <w:pPr>
                      <w:jc w:val="right"/>
                      <w:rPr>
                        <w:sz w:val="16"/>
                        <w:szCs w:val="16"/>
                      </w:rPr>
                    </w:pPr>
                    <w:r w:rsidRPr="00F121FB">
                      <w:rPr>
                        <w:sz w:val="16"/>
                        <w:szCs w:val="16"/>
                      </w:rPr>
                      <w:t>-</w:t>
                    </w:r>
                  </w:p>
                </w:tc>
                <w:tc>
                  <w:tcPr>
                    <w:tcW w:w="179" w:type="pct"/>
                    <w:vAlign w:val="center"/>
                  </w:tcPr>
                  <w:p w:rsidR="0024594E" w:rsidRPr="00F121FB" w:rsidRDefault="008F04CF" w:rsidP="00B637B2">
                    <w:pPr>
                      <w:jc w:val="right"/>
                      <w:rPr>
                        <w:sz w:val="16"/>
                        <w:szCs w:val="16"/>
                      </w:rPr>
                    </w:pPr>
                    <w:r>
                      <w:rPr>
                        <w:rFonts w:hint="eastAsia"/>
                        <w:sz w:val="16"/>
                        <w:szCs w:val="16"/>
                      </w:rPr>
                      <w:t>-</w:t>
                    </w:r>
                  </w:p>
                </w:tc>
                <w:tc>
                  <w:tcPr>
                    <w:tcW w:w="406" w:type="pct"/>
                    <w:vAlign w:val="center"/>
                  </w:tcPr>
                  <w:p w:rsidR="0024594E" w:rsidRPr="00F121FB" w:rsidRDefault="008F04CF" w:rsidP="00B637B2">
                    <w:pPr>
                      <w:jc w:val="right"/>
                      <w:rPr>
                        <w:sz w:val="16"/>
                        <w:szCs w:val="16"/>
                      </w:rPr>
                    </w:pPr>
                    <w:r>
                      <w:rPr>
                        <w:rFonts w:hint="eastAsia"/>
                        <w:sz w:val="16"/>
                        <w:szCs w:val="16"/>
                      </w:rPr>
                      <w:t>-</w:t>
                    </w:r>
                  </w:p>
                </w:tc>
                <w:tc>
                  <w:tcPr>
                    <w:tcW w:w="139" w:type="pct"/>
                    <w:vAlign w:val="center"/>
                  </w:tcPr>
                  <w:p w:rsidR="0024594E" w:rsidRPr="00F121FB" w:rsidRDefault="008F04CF" w:rsidP="00B637B2">
                    <w:pPr>
                      <w:jc w:val="right"/>
                      <w:rPr>
                        <w:sz w:val="16"/>
                        <w:szCs w:val="16"/>
                      </w:rPr>
                    </w:pPr>
                    <w:r>
                      <w:rPr>
                        <w:rFonts w:hint="eastAsia"/>
                        <w:sz w:val="16"/>
                        <w:szCs w:val="16"/>
                      </w:rPr>
                      <w:t>-</w:t>
                    </w:r>
                  </w:p>
                </w:tc>
                <w:tc>
                  <w:tcPr>
                    <w:tcW w:w="428" w:type="pct"/>
                    <w:vAlign w:val="center"/>
                  </w:tcPr>
                  <w:p w:rsidR="0024594E" w:rsidRPr="00F121FB" w:rsidRDefault="008F04CF" w:rsidP="00B637B2">
                    <w:pPr>
                      <w:jc w:val="right"/>
                      <w:rPr>
                        <w:sz w:val="16"/>
                        <w:szCs w:val="16"/>
                      </w:rPr>
                    </w:pPr>
                    <w:r>
                      <w:rPr>
                        <w:rFonts w:hint="eastAsia"/>
                        <w:sz w:val="16"/>
                        <w:szCs w:val="16"/>
                      </w:rPr>
                      <w:t>-</w:t>
                    </w:r>
                  </w:p>
                </w:tc>
                <w:tc>
                  <w:tcPr>
                    <w:tcW w:w="381" w:type="pct"/>
                    <w:vAlign w:val="center"/>
                  </w:tcPr>
                  <w:p w:rsidR="0024594E" w:rsidRPr="00F121FB" w:rsidRDefault="008F04CF" w:rsidP="00B637B2">
                    <w:pPr>
                      <w:jc w:val="right"/>
                      <w:rPr>
                        <w:sz w:val="16"/>
                        <w:szCs w:val="16"/>
                      </w:rPr>
                    </w:pPr>
                    <w:r>
                      <w:rPr>
                        <w:rFonts w:hint="eastAsia"/>
                        <w:sz w:val="16"/>
                        <w:szCs w:val="16"/>
                      </w:rPr>
                      <w:t>-</w:t>
                    </w:r>
                  </w:p>
                </w:tc>
                <w:tc>
                  <w:tcPr>
                    <w:tcW w:w="404" w:type="pct"/>
                    <w:vAlign w:val="center"/>
                  </w:tcPr>
                  <w:p w:rsidR="0024594E" w:rsidRPr="00F121FB" w:rsidRDefault="008F04CF" w:rsidP="00B637B2">
                    <w:pPr>
                      <w:jc w:val="right"/>
                      <w:rPr>
                        <w:sz w:val="16"/>
                        <w:szCs w:val="16"/>
                      </w:rPr>
                    </w:pPr>
                    <w:r>
                      <w:rPr>
                        <w:rFonts w:hint="eastAsia"/>
                        <w:sz w:val="16"/>
                        <w:szCs w:val="16"/>
                      </w:rPr>
                      <w:t>-</w:t>
                    </w:r>
                  </w:p>
                </w:tc>
              </w:tr>
              <w:tr w:rsidR="00B637B2" w:rsidTr="00B637B2">
                <w:sdt>
                  <w:sdtPr>
                    <w:rPr>
                      <w:sz w:val="16"/>
                      <w:szCs w:val="16"/>
                    </w:rPr>
                    <w:tag w:val="_PLD_13b4ec8d0fe34f9797d68eab8f95768d"/>
                    <w:id w:val="-730925409"/>
                    <w:lock w:val="sdtLocked"/>
                  </w:sdtPr>
                  <w:sdtContent>
                    <w:tc>
                      <w:tcPr>
                        <w:tcW w:w="631" w:type="pct"/>
                      </w:tcPr>
                      <w:p w:rsidR="0024594E" w:rsidRPr="00F121FB" w:rsidRDefault="0024594E" w:rsidP="0024594E">
                        <w:pPr>
                          <w:rPr>
                            <w:sz w:val="16"/>
                            <w:szCs w:val="16"/>
                          </w:rPr>
                        </w:pPr>
                        <w:r w:rsidRPr="00F121FB">
                          <w:rPr>
                            <w:rFonts w:hint="eastAsia"/>
                            <w:sz w:val="16"/>
                            <w:szCs w:val="16"/>
                          </w:rPr>
                          <w:t>2．其他权益工具持有者投入资本</w:t>
                        </w:r>
                      </w:p>
                    </w:tc>
                  </w:sdtContent>
                </w:sdt>
                <w:tc>
                  <w:tcPr>
                    <w:tcW w:w="405" w:type="pct"/>
                    <w:vAlign w:val="center"/>
                  </w:tcPr>
                  <w:p w:rsidR="0024594E" w:rsidRPr="00F121FB" w:rsidRDefault="0024594E" w:rsidP="00B637B2">
                    <w:pPr>
                      <w:jc w:val="right"/>
                      <w:rPr>
                        <w:sz w:val="16"/>
                        <w:szCs w:val="16"/>
                      </w:rPr>
                    </w:pPr>
                    <w:r w:rsidRPr="00F121FB">
                      <w:rPr>
                        <w:sz w:val="16"/>
                        <w:szCs w:val="16"/>
                      </w:rPr>
                      <w:t>-</w:t>
                    </w:r>
                  </w:p>
                </w:tc>
                <w:tc>
                  <w:tcPr>
                    <w:tcW w:w="135" w:type="pct"/>
                    <w:vAlign w:val="center"/>
                  </w:tcPr>
                  <w:p w:rsidR="0024594E" w:rsidRPr="00F121FB" w:rsidRDefault="008F04CF" w:rsidP="00B637B2">
                    <w:pPr>
                      <w:jc w:val="right"/>
                      <w:rPr>
                        <w:sz w:val="16"/>
                        <w:szCs w:val="16"/>
                      </w:rPr>
                    </w:pPr>
                    <w:r>
                      <w:rPr>
                        <w:rFonts w:hint="eastAsia"/>
                        <w:sz w:val="16"/>
                        <w:szCs w:val="16"/>
                      </w:rPr>
                      <w:t>-</w:t>
                    </w:r>
                  </w:p>
                </w:tc>
                <w:tc>
                  <w:tcPr>
                    <w:tcW w:w="135" w:type="pct"/>
                    <w:vAlign w:val="center"/>
                  </w:tcPr>
                  <w:p w:rsidR="0024594E" w:rsidRPr="00F121FB" w:rsidRDefault="0024594E" w:rsidP="00B637B2">
                    <w:pPr>
                      <w:jc w:val="right"/>
                      <w:rPr>
                        <w:sz w:val="16"/>
                        <w:szCs w:val="16"/>
                      </w:rPr>
                    </w:pPr>
                    <w:r w:rsidRPr="00F121FB">
                      <w:rPr>
                        <w:sz w:val="16"/>
                        <w:szCs w:val="16"/>
                      </w:rPr>
                      <w:t>-</w:t>
                    </w:r>
                  </w:p>
                </w:tc>
                <w:tc>
                  <w:tcPr>
                    <w:tcW w:w="135" w:type="pct"/>
                    <w:vAlign w:val="center"/>
                  </w:tcPr>
                  <w:p w:rsidR="0024594E" w:rsidRPr="00F121FB" w:rsidRDefault="008F04CF" w:rsidP="00B637B2">
                    <w:pPr>
                      <w:jc w:val="right"/>
                      <w:rPr>
                        <w:sz w:val="16"/>
                        <w:szCs w:val="16"/>
                      </w:rPr>
                    </w:pPr>
                    <w:r>
                      <w:rPr>
                        <w:rFonts w:hint="eastAsia"/>
                        <w:sz w:val="16"/>
                        <w:szCs w:val="16"/>
                      </w:rPr>
                      <w:t>-</w:t>
                    </w:r>
                  </w:p>
                </w:tc>
                <w:tc>
                  <w:tcPr>
                    <w:tcW w:w="405" w:type="pct"/>
                    <w:vAlign w:val="center"/>
                  </w:tcPr>
                  <w:p w:rsidR="0024594E" w:rsidRPr="00F121FB" w:rsidRDefault="0024594E" w:rsidP="00B637B2">
                    <w:pPr>
                      <w:jc w:val="right"/>
                      <w:rPr>
                        <w:sz w:val="16"/>
                        <w:szCs w:val="16"/>
                      </w:rPr>
                    </w:pPr>
                    <w:r w:rsidRPr="00F121FB">
                      <w:rPr>
                        <w:sz w:val="16"/>
                        <w:szCs w:val="16"/>
                      </w:rPr>
                      <w:t>-</w:t>
                    </w:r>
                  </w:p>
                </w:tc>
                <w:tc>
                  <w:tcPr>
                    <w:tcW w:w="361" w:type="pct"/>
                    <w:vAlign w:val="center"/>
                  </w:tcPr>
                  <w:p w:rsidR="0024594E" w:rsidRPr="00F121FB" w:rsidRDefault="008F04CF" w:rsidP="00B637B2">
                    <w:pPr>
                      <w:jc w:val="right"/>
                      <w:rPr>
                        <w:sz w:val="16"/>
                        <w:szCs w:val="16"/>
                      </w:rPr>
                    </w:pPr>
                    <w:r>
                      <w:rPr>
                        <w:rFonts w:hint="eastAsia"/>
                        <w:sz w:val="16"/>
                        <w:szCs w:val="16"/>
                      </w:rPr>
                      <w:t>-</w:t>
                    </w:r>
                  </w:p>
                </w:tc>
                <w:tc>
                  <w:tcPr>
                    <w:tcW w:w="361" w:type="pct"/>
                    <w:vAlign w:val="center"/>
                  </w:tcPr>
                  <w:p w:rsidR="0024594E" w:rsidRPr="00F121FB" w:rsidRDefault="0024594E" w:rsidP="00B637B2">
                    <w:pPr>
                      <w:jc w:val="right"/>
                      <w:rPr>
                        <w:sz w:val="16"/>
                        <w:szCs w:val="16"/>
                      </w:rPr>
                    </w:pPr>
                    <w:r w:rsidRPr="00F121FB">
                      <w:rPr>
                        <w:sz w:val="16"/>
                        <w:szCs w:val="16"/>
                      </w:rPr>
                      <w:t>-</w:t>
                    </w:r>
                  </w:p>
                </w:tc>
                <w:tc>
                  <w:tcPr>
                    <w:tcW w:w="134" w:type="pct"/>
                    <w:vAlign w:val="center"/>
                  </w:tcPr>
                  <w:p w:rsidR="0024594E" w:rsidRPr="00F121FB" w:rsidRDefault="008F04CF" w:rsidP="00B637B2">
                    <w:pPr>
                      <w:jc w:val="right"/>
                      <w:rPr>
                        <w:sz w:val="16"/>
                        <w:szCs w:val="16"/>
                      </w:rPr>
                    </w:pPr>
                    <w:r>
                      <w:rPr>
                        <w:rFonts w:hint="eastAsia"/>
                        <w:sz w:val="16"/>
                        <w:szCs w:val="16"/>
                      </w:rPr>
                      <w:t>-</w:t>
                    </w:r>
                  </w:p>
                </w:tc>
                <w:tc>
                  <w:tcPr>
                    <w:tcW w:w="361" w:type="pct"/>
                    <w:vAlign w:val="center"/>
                  </w:tcPr>
                  <w:p w:rsidR="0024594E" w:rsidRPr="00F121FB" w:rsidRDefault="0024594E" w:rsidP="00B637B2">
                    <w:pPr>
                      <w:jc w:val="right"/>
                      <w:rPr>
                        <w:sz w:val="16"/>
                        <w:szCs w:val="16"/>
                      </w:rPr>
                    </w:pPr>
                    <w:r w:rsidRPr="00F121FB">
                      <w:rPr>
                        <w:sz w:val="16"/>
                        <w:szCs w:val="16"/>
                      </w:rPr>
                      <w:t>-</w:t>
                    </w:r>
                  </w:p>
                </w:tc>
                <w:tc>
                  <w:tcPr>
                    <w:tcW w:w="179" w:type="pct"/>
                    <w:vAlign w:val="center"/>
                  </w:tcPr>
                  <w:p w:rsidR="0024594E" w:rsidRPr="00F121FB" w:rsidRDefault="008F04CF" w:rsidP="00B637B2">
                    <w:pPr>
                      <w:jc w:val="right"/>
                      <w:rPr>
                        <w:sz w:val="16"/>
                        <w:szCs w:val="16"/>
                      </w:rPr>
                    </w:pPr>
                    <w:r>
                      <w:rPr>
                        <w:rFonts w:hint="eastAsia"/>
                        <w:sz w:val="16"/>
                        <w:szCs w:val="16"/>
                      </w:rPr>
                      <w:t>-</w:t>
                    </w:r>
                  </w:p>
                </w:tc>
                <w:tc>
                  <w:tcPr>
                    <w:tcW w:w="406" w:type="pct"/>
                    <w:vAlign w:val="center"/>
                  </w:tcPr>
                  <w:p w:rsidR="0024594E" w:rsidRPr="00F121FB" w:rsidRDefault="008F04CF" w:rsidP="00B637B2">
                    <w:pPr>
                      <w:jc w:val="right"/>
                      <w:rPr>
                        <w:sz w:val="16"/>
                        <w:szCs w:val="16"/>
                      </w:rPr>
                    </w:pPr>
                    <w:r>
                      <w:rPr>
                        <w:rFonts w:hint="eastAsia"/>
                        <w:sz w:val="16"/>
                        <w:szCs w:val="16"/>
                      </w:rPr>
                      <w:t>-</w:t>
                    </w:r>
                  </w:p>
                </w:tc>
                <w:tc>
                  <w:tcPr>
                    <w:tcW w:w="139" w:type="pct"/>
                    <w:vAlign w:val="center"/>
                  </w:tcPr>
                  <w:p w:rsidR="0024594E" w:rsidRPr="00F121FB" w:rsidRDefault="008F04CF" w:rsidP="00B637B2">
                    <w:pPr>
                      <w:jc w:val="right"/>
                      <w:rPr>
                        <w:sz w:val="16"/>
                        <w:szCs w:val="16"/>
                      </w:rPr>
                    </w:pPr>
                    <w:r>
                      <w:rPr>
                        <w:rFonts w:hint="eastAsia"/>
                        <w:sz w:val="16"/>
                        <w:szCs w:val="16"/>
                      </w:rPr>
                      <w:t>-</w:t>
                    </w:r>
                  </w:p>
                </w:tc>
                <w:tc>
                  <w:tcPr>
                    <w:tcW w:w="428" w:type="pct"/>
                    <w:vAlign w:val="center"/>
                  </w:tcPr>
                  <w:p w:rsidR="0024594E" w:rsidRPr="00F121FB" w:rsidRDefault="008F04CF" w:rsidP="00B637B2">
                    <w:pPr>
                      <w:jc w:val="right"/>
                      <w:rPr>
                        <w:sz w:val="16"/>
                        <w:szCs w:val="16"/>
                      </w:rPr>
                    </w:pPr>
                    <w:r>
                      <w:rPr>
                        <w:rFonts w:hint="eastAsia"/>
                        <w:sz w:val="16"/>
                        <w:szCs w:val="16"/>
                      </w:rPr>
                      <w:t>-</w:t>
                    </w:r>
                  </w:p>
                </w:tc>
                <w:tc>
                  <w:tcPr>
                    <w:tcW w:w="381" w:type="pct"/>
                    <w:vAlign w:val="center"/>
                  </w:tcPr>
                  <w:p w:rsidR="0024594E" w:rsidRPr="00F121FB" w:rsidRDefault="008F04CF" w:rsidP="00B637B2">
                    <w:pPr>
                      <w:jc w:val="right"/>
                      <w:rPr>
                        <w:sz w:val="16"/>
                        <w:szCs w:val="16"/>
                      </w:rPr>
                    </w:pPr>
                    <w:r>
                      <w:rPr>
                        <w:rFonts w:hint="eastAsia"/>
                        <w:sz w:val="16"/>
                        <w:szCs w:val="16"/>
                      </w:rPr>
                      <w:t>-</w:t>
                    </w:r>
                  </w:p>
                </w:tc>
                <w:tc>
                  <w:tcPr>
                    <w:tcW w:w="404" w:type="pct"/>
                    <w:vAlign w:val="center"/>
                  </w:tcPr>
                  <w:p w:rsidR="0024594E" w:rsidRPr="00F121FB" w:rsidRDefault="008F04CF" w:rsidP="00B637B2">
                    <w:pPr>
                      <w:jc w:val="right"/>
                      <w:rPr>
                        <w:sz w:val="16"/>
                        <w:szCs w:val="16"/>
                      </w:rPr>
                    </w:pPr>
                    <w:r>
                      <w:rPr>
                        <w:rFonts w:hint="eastAsia"/>
                        <w:sz w:val="16"/>
                        <w:szCs w:val="16"/>
                      </w:rPr>
                      <w:t>-</w:t>
                    </w:r>
                  </w:p>
                </w:tc>
              </w:tr>
              <w:tr w:rsidR="00B637B2" w:rsidTr="00B637B2">
                <w:sdt>
                  <w:sdtPr>
                    <w:rPr>
                      <w:sz w:val="16"/>
                      <w:szCs w:val="16"/>
                    </w:rPr>
                    <w:tag w:val="_PLD_f1f3be9263a748c28f276e78f447b133"/>
                    <w:id w:val="-1691676830"/>
                    <w:lock w:val="sdtLocked"/>
                  </w:sdtPr>
                  <w:sdtContent>
                    <w:tc>
                      <w:tcPr>
                        <w:tcW w:w="631" w:type="pct"/>
                      </w:tcPr>
                      <w:p w:rsidR="0024594E" w:rsidRPr="00F121FB" w:rsidRDefault="0024594E" w:rsidP="0024594E">
                        <w:pPr>
                          <w:rPr>
                            <w:sz w:val="16"/>
                            <w:szCs w:val="16"/>
                          </w:rPr>
                        </w:pPr>
                        <w:r w:rsidRPr="00F121FB">
                          <w:rPr>
                            <w:rFonts w:hint="eastAsia"/>
                            <w:sz w:val="16"/>
                            <w:szCs w:val="16"/>
                          </w:rPr>
                          <w:t>3</w:t>
                        </w:r>
                        <w:r w:rsidRPr="00F121FB">
                          <w:rPr>
                            <w:sz w:val="16"/>
                            <w:szCs w:val="16"/>
                          </w:rPr>
                          <w:t>．股份支付计入所有者权益的金额</w:t>
                        </w:r>
                      </w:p>
                    </w:tc>
                  </w:sdtContent>
                </w:sdt>
                <w:tc>
                  <w:tcPr>
                    <w:tcW w:w="405" w:type="pct"/>
                    <w:vAlign w:val="center"/>
                  </w:tcPr>
                  <w:p w:rsidR="0024594E" w:rsidRPr="00F121FB" w:rsidRDefault="0024594E" w:rsidP="00B637B2">
                    <w:pPr>
                      <w:jc w:val="right"/>
                      <w:rPr>
                        <w:sz w:val="16"/>
                        <w:szCs w:val="16"/>
                      </w:rPr>
                    </w:pPr>
                    <w:r w:rsidRPr="00F121FB">
                      <w:rPr>
                        <w:sz w:val="16"/>
                        <w:szCs w:val="16"/>
                      </w:rPr>
                      <w:t>-</w:t>
                    </w:r>
                  </w:p>
                </w:tc>
                <w:tc>
                  <w:tcPr>
                    <w:tcW w:w="135" w:type="pct"/>
                    <w:vAlign w:val="center"/>
                  </w:tcPr>
                  <w:p w:rsidR="0024594E" w:rsidRPr="00F121FB" w:rsidRDefault="008F04CF" w:rsidP="00B637B2">
                    <w:pPr>
                      <w:jc w:val="right"/>
                      <w:rPr>
                        <w:sz w:val="16"/>
                        <w:szCs w:val="16"/>
                      </w:rPr>
                    </w:pPr>
                    <w:r>
                      <w:rPr>
                        <w:rFonts w:hint="eastAsia"/>
                        <w:sz w:val="16"/>
                        <w:szCs w:val="16"/>
                      </w:rPr>
                      <w:t>-</w:t>
                    </w:r>
                  </w:p>
                </w:tc>
                <w:tc>
                  <w:tcPr>
                    <w:tcW w:w="135" w:type="pct"/>
                    <w:vAlign w:val="center"/>
                  </w:tcPr>
                  <w:p w:rsidR="0024594E" w:rsidRPr="00F121FB" w:rsidRDefault="0024594E" w:rsidP="00B637B2">
                    <w:pPr>
                      <w:jc w:val="right"/>
                      <w:rPr>
                        <w:sz w:val="16"/>
                        <w:szCs w:val="16"/>
                      </w:rPr>
                    </w:pPr>
                    <w:r w:rsidRPr="00F121FB">
                      <w:rPr>
                        <w:sz w:val="16"/>
                        <w:szCs w:val="16"/>
                      </w:rPr>
                      <w:t>-</w:t>
                    </w:r>
                  </w:p>
                </w:tc>
                <w:tc>
                  <w:tcPr>
                    <w:tcW w:w="135" w:type="pct"/>
                    <w:vAlign w:val="center"/>
                  </w:tcPr>
                  <w:p w:rsidR="0024594E" w:rsidRPr="00F121FB" w:rsidRDefault="008F04CF" w:rsidP="00B637B2">
                    <w:pPr>
                      <w:jc w:val="right"/>
                      <w:rPr>
                        <w:sz w:val="16"/>
                        <w:szCs w:val="16"/>
                      </w:rPr>
                    </w:pPr>
                    <w:r>
                      <w:rPr>
                        <w:rFonts w:hint="eastAsia"/>
                        <w:sz w:val="16"/>
                        <w:szCs w:val="16"/>
                      </w:rPr>
                      <w:t>-</w:t>
                    </w:r>
                  </w:p>
                </w:tc>
                <w:tc>
                  <w:tcPr>
                    <w:tcW w:w="405" w:type="pct"/>
                    <w:vAlign w:val="center"/>
                  </w:tcPr>
                  <w:p w:rsidR="0024594E" w:rsidRPr="00F121FB" w:rsidRDefault="008F04CF" w:rsidP="00B637B2">
                    <w:pPr>
                      <w:jc w:val="right"/>
                      <w:rPr>
                        <w:sz w:val="16"/>
                        <w:szCs w:val="16"/>
                      </w:rPr>
                    </w:pPr>
                    <w:r w:rsidRPr="00626C10">
                      <w:rPr>
                        <w:sz w:val="16"/>
                        <w:szCs w:val="16"/>
                      </w:rPr>
                      <w:t>118,815,067</w:t>
                    </w:r>
                  </w:p>
                </w:tc>
                <w:tc>
                  <w:tcPr>
                    <w:tcW w:w="361" w:type="pct"/>
                    <w:vAlign w:val="center"/>
                  </w:tcPr>
                  <w:p w:rsidR="0024594E" w:rsidRPr="00F121FB" w:rsidRDefault="008F04CF" w:rsidP="00B637B2">
                    <w:pPr>
                      <w:jc w:val="right"/>
                      <w:rPr>
                        <w:sz w:val="16"/>
                        <w:szCs w:val="16"/>
                      </w:rPr>
                    </w:pPr>
                    <w:r>
                      <w:rPr>
                        <w:rFonts w:hint="eastAsia"/>
                        <w:sz w:val="16"/>
                        <w:szCs w:val="16"/>
                      </w:rPr>
                      <w:t>-</w:t>
                    </w:r>
                  </w:p>
                </w:tc>
                <w:tc>
                  <w:tcPr>
                    <w:tcW w:w="361" w:type="pct"/>
                    <w:vAlign w:val="center"/>
                  </w:tcPr>
                  <w:p w:rsidR="0024594E" w:rsidRPr="00F121FB" w:rsidRDefault="0024594E" w:rsidP="00B637B2">
                    <w:pPr>
                      <w:jc w:val="right"/>
                      <w:rPr>
                        <w:sz w:val="16"/>
                        <w:szCs w:val="16"/>
                      </w:rPr>
                    </w:pPr>
                    <w:r w:rsidRPr="00F121FB">
                      <w:rPr>
                        <w:sz w:val="16"/>
                        <w:szCs w:val="16"/>
                      </w:rPr>
                      <w:t>-</w:t>
                    </w:r>
                  </w:p>
                </w:tc>
                <w:tc>
                  <w:tcPr>
                    <w:tcW w:w="134" w:type="pct"/>
                    <w:vAlign w:val="center"/>
                  </w:tcPr>
                  <w:p w:rsidR="0024594E" w:rsidRPr="00F121FB" w:rsidRDefault="008F04CF" w:rsidP="00B637B2">
                    <w:pPr>
                      <w:jc w:val="right"/>
                      <w:rPr>
                        <w:sz w:val="16"/>
                        <w:szCs w:val="16"/>
                      </w:rPr>
                    </w:pPr>
                    <w:r>
                      <w:rPr>
                        <w:rFonts w:hint="eastAsia"/>
                        <w:sz w:val="16"/>
                        <w:szCs w:val="16"/>
                      </w:rPr>
                      <w:t>-</w:t>
                    </w:r>
                  </w:p>
                </w:tc>
                <w:tc>
                  <w:tcPr>
                    <w:tcW w:w="361" w:type="pct"/>
                    <w:vAlign w:val="center"/>
                  </w:tcPr>
                  <w:p w:rsidR="0024594E" w:rsidRPr="00F121FB" w:rsidRDefault="0024594E" w:rsidP="00B637B2">
                    <w:pPr>
                      <w:jc w:val="right"/>
                      <w:rPr>
                        <w:sz w:val="16"/>
                        <w:szCs w:val="16"/>
                      </w:rPr>
                    </w:pPr>
                    <w:r w:rsidRPr="00F121FB">
                      <w:rPr>
                        <w:sz w:val="16"/>
                        <w:szCs w:val="16"/>
                      </w:rPr>
                      <w:t>-</w:t>
                    </w:r>
                  </w:p>
                </w:tc>
                <w:tc>
                  <w:tcPr>
                    <w:tcW w:w="179" w:type="pct"/>
                    <w:vAlign w:val="center"/>
                  </w:tcPr>
                  <w:p w:rsidR="0024594E" w:rsidRPr="00F121FB" w:rsidRDefault="008F04CF" w:rsidP="00B637B2">
                    <w:pPr>
                      <w:jc w:val="right"/>
                      <w:rPr>
                        <w:sz w:val="16"/>
                        <w:szCs w:val="16"/>
                      </w:rPr>
                    </w:pPr>
                    <w:r>
                      <w:rPr>
                        <w:rFonts w:hint="eastAsia"/>
                        <w:sz w:val="16"/>
                        <w:szCs w:val="16"/>
                      </w:rPr>
                      <w:t>-</w:t>
                    </w:r>
                  </w:p>
                </w:tc>
                <w:tc>
                  <w:tcPr>
                    <w:tcW w:w="406" w:type="pct"/>
                    <w:vAlign w:val="center"/>
                  </w:tcPr>
                  <w:p w:rsidR="0024594E" w:rsidRPr="00F121FB" w:rsidRDefault="008F04CF" w:rsidP="00B637B2">
                    <w:pPr>
                      <w:jc w:val="right"/>
                      <w:rPr>
                        <w:sz w:val="16"/>
                        <w:szCs w:val="16"/>
                      </w:rPr>
                    </w:pPr>
                    <w:r>
                      <w:rPr>
                        <w:rFonts w:hint="eastAsia"/>
                        <w:sz w:val="16"/>
                        <w:szCs w:val="16"/>
                      </w:rPr>
                      <w:t>-</w:t>
                    </w:r>
                  </w:p>
                </w:tc>
                <w:tc>
                  <w:tcPr>
                    <w:tcW w:w="139" w:type="pct"/>
                    <w:vAlign w:val="center"/>
                  </w:tcPr>
                  <w:p w:rsidR="0024594E" w:rsidRPr="00F121FB" w:rsidRDefault="008F04CF" w:rsidP="00B637B2">
                    <w:pPr>
                      <w:jc w:val="right"/>
                      <w:rPr>
                        <w:sz w:val="16"/>
                        <w:szCs w:val="16"/>
                      </w:rPr>
                    </w:pPr>
                    <w:r>
                      <w:rPr>
                        <w:rFonts w:hint="eastAsia"/>
                        <w:sz w:val="16"/>
                        <w:szCs w:val="16"/>
                      </w:rPr>
                      <w:t>-</w:t>
                    </w:r>
                  </w:p>
                </w:tc>
                <w:tc>
                  <w:tcPr>
                    <w:tcW w:w="428" w:type="pct"/>
                    <w:vAlign w:val="center"/>
                  </w:tcPr>
                  <w:p w:rsidR="0024594E" w:rsidRPr="00F121FB" w:rsidRDefault="008F04CF" w:rsidP="00B637B2">
                    <w:pPr>
                      <w:jc w:val="right"/>
                      <w:rPr>
                        <w:sz w:val="16"/>
                        <w:szCs w:val="16"/>
                      </w:rPr>
                    </w:pPr>
                    <w:r w:rsidRPr="00A800C5">
                      <w:rPr>
                        <w:sz w:val="16"/>
                        <w:szCs w:val="16"/>
                      </w:rPr>
                      <w:t>118,815,067</w:t>
                    </w:r>
                  </w:p>
                </w:tc>
                <w:tc>
                  <w:tcPr>
                    <w:tcW w:w="381" w:type="pct"/>
                    <w:vAlign w:val="center"/>
                  </w:tcPr>
                  <w:p w:rsidR="0024594E" w:rsidRPr="00F121FB" w:rsidRDefault="008F04CF" w:rsidP="00B637B2">
                    <w:pPr>
                      <w:jc w:val="right"/>
                      <w:rPr>
                        <w:sz w:val="16"/>
                        <w:szCs w:val="16"/>
                      </w:rPr>
                    </w:pPr>
                    <w:r w:rsidRPr="00A83300">
                      <w:rPr>
                        <w:sz w:val="16"/>
                        <w:szCs w:val="16"/>
                      </w:rPr>
                      <w:t>9,127,681</w:t>
                    </w:r>
                  </w:p>
                </w:tc>
                <w:tc>
                  <w:tcPr>
                    <w:tcW w:w="404" w:type="pct"/>
                    <w:vAlign w:val="center"/>
                  </w:tcPr>
                  <w:p w:rsidR="0024594E" w:rsidRPr="00F121FB" w:rsidRDefault="008F04CF" w:rsidP="00B637B2">
                    <w:pPr>
                      <w:jc w:val="right"/>
                      <w:rPr>
                        <w:sz w:val="16"/>
                        <w:szCs w:val="16"/>
                      </w:rPr>
                    </w:pPr>
                    <w:r w:rsidRPr="00965429">
                      <w:rPr>
                        <w:sz w:val="16"/>
                        <w:szCs w:val="16"/>
                      </w:rPr>
                      <w:t>127,942,748</w:t>
                    </w:r>
                  </w:p>
                </w:tc>
              </w:tr>
              <w:tr w:rsidR="00B637B2" w:rsidTr="00B637B2">
                <w:sdt>
                  <w:sdtPr>
                    <w:rPr>
                      <w:sz w:val="16"/>
                      <w:szCs w:val="16"/>
                    </w:rPr>
                    <w:tag w:val="_PLD_b361f3a237774bcd8ac416b2b21655eb"/>
                    <w:id w:val="1741981238"/>
                    <w:lock w:val="sdtLocked"/>
                  </w:sdtPr>
                  <w:sdtContent>
                    <w:tc>
                      <w:tcPr>
                        <w:tcW w:w="631" w:type="pct"/>
                      </w:tcPr>
                      <w:p w:rsidR="0024594E" w:rsidRPr="00F121FB" w:rsidRDefault="0024594E" w:rsidP="0024594E">
                        <w:pPr>
                          <w:rPr>
                            <w:sz w:val="16"/>
                            <w:szCs w:val="16"/>
                          </w:rPr>
                        </w:pPr>
                        <w:r w:rsidRPr="00F121FB">
                          <w:rPr>
                            <w:rFonts w:hint="eastAsia"/>
                            <w:sz w:val="16"/>
                            <w:szCs w:val="16"/>
                          </w:rPr>
                          <w:t>4</w:t>
                        </w:r>
                        <w:r w:rsidRPr="00F121FB">
                          <w:rPr>
                            <w:sz w:val="16"/>
                            <w:szCs w:val="16"/>
                          </w:rPr>
                          <w:t>．其他</w:t>
                        </w:r>
                      </w:p>
                    </w:tc>
                  </w:sdtContent>
                </w:sdt>
                <w:tc>
                  <w:tcPr>
                    <w:tcW w:w="405" w:type="pct"/>
                    <w:vAlign w:val="center"/>
                  </w:tcPr>
                  <w:p w:rsidR="0024594E" w:rsidRPr="00F121FB" w:rsidRDefault="008F04CF" w:rsidP="00B637B2">
                    <w:pPr>
                      <w:jc w:val="right"/>
                      <w:rPr>
                        <w:sz w:val="16"/>
                        <w:szCs w:val="16"/>
                      </w:rPr>
                    </w:pPr>
                    <w:r w:rsidRPr="00F121FB">
                      <w:rPr>
                        <w:sz w:val="16"/>
                        <w:szCs w:val="16"/>
                      </w:rPr>
                      <w:t>-2,991,583</w:t>
                    </w:r>
                  </w:p>
                </w:tc>
                <w:tc>
                  <w:tcPr>
                    <w:tcW w:w="135" w:type="pct"/>
                    <w:vAlign w:val="center"/>
                  </w:tcPr>
                  <w:p w:rsidR="0024594E" w:rsidRPr="00F121FB" w:rsidRDefault="008F04CF" w:rsidP="00B637B2">
                    <w:pPr>
                      <w:jc w:val="right"/>
                      <w:rPr>
                        <w:sz w:val="16"/>
                        <w:szCs w:val="16"/>
                      </w:rPr>
                    </w:pPr>
                    <w:r>
                      <w:rPr>
                        <w:rFonts w:hint="eastAsia"/>
                        <w:sz w:val="16"/>
                        <w:szCs w:val="16"/>
                      </w:rPr>
                      <w:t>-</w:t>
                    </w:r>
                  </w:p>
                </w:tc>
                <w:tc>
                  <w:tcPr>
                    <w:tcW w:w="135" w:type="pct"/>
                    <w:vAlign w:val="center"/>
                  </w:tcPr>
                  <w:p w:rsidR="0024594E" w:rsidRPr="00F121FB" w:rsidRDefault="0024594E" w:rsidP="00B637B2">
                    <w:pPr>
                      <w:jc w:val="right"/>
                      <w:rPr>
                        <w:sz w:val="16"/>
                        <w:szCs w:val="16"/>
                      </w:rPr>
                    </w:pPr>
                    <w:r w:rsidRPr="00F121FB">
                      <w:rPr>
                        <w:sz w:val="16"/>
                        <w:szCs w:val="16"/>
                      </w:rPr>
                      <w:t>-</w:t>
                    </w:r>
                  </w:p>
                </w:tc>
                <w:tc>
                  <w:tcPr>
                    <w:tcW w:w="135" w:type="pct"/>
                    <w:vAlign w:val="center"/>
                  </w:tcPr>
                  <w:p w:rsidR="0024594E" w:rsidRPr="00F121FB" w:rsidRDefault="008F04CF" w:rsidP="00B637B2">
                    <w:pPr>
                      <w:jc w:val="right"/>
                      <w:rPr>
                        <w:sz w:val="16"/>
                        <w:szCs w:val="16"/>
                      </w:rPr>
                    </w:pPr>
                    <w:r>
                      <w:rPr>
                        <w:rFonts w:hint="eastAsia"/>
                        <w:sz w:val="16"/>
                        <w:szCs w:val="16"/>
                      </w:rPr>
                      <w:t>-</w:t>
                    </w:r>
                  </w:p>
                </w:tc>
                <w:tc>
                  <w:tcPr>
                    <w:tcW w:w="405" w:type="pct"/>
                    <w:vAlign w:val="center"/>
                  </w:tcPr>
                  <w:p w:rsidR="0024594E" w:rsidRPr="00F121FB" w:rsidRDefault="008F04CF" w:rsidP="00B637B2">
                    <w:pPr>
                      <w:jc w:val="right"/>
                      <w:rPr>
                        <w:sz w:val="16"/>
                        <w:szCs w:val="16"/>
                      </w:rPr>
                    </w:pPr>
                    <w:r w:rsidRPr="00626C10">
                      <w:rPr>
                        <w:sz w:val="16"/>
                        <w:szCs w:val="16"/>
                      </w:rPr>
                      <w:t>-26,128,058</w:t>
                    </w:r>
                  </w:p>
                </w:tc>
                <w:tc>
                  <w:tcPr>
                    <w:tcW w:w="361" w:type="pct"/>
                    <w:vAlign w:val="center"/>
                  </w:tcPr>
                  <w:p w:rsidR="0024594E" w:rsidRPr="00F121FB" w:rsidRDefault="008F04CF" w:rsidP="00B637B2">
                    <w:pPr>
                      <w:jc w:val="right"/>
                      <w:rPr>
                        <w:sz w:val="16"/>
                        <w:szCs w:val="16"/>
                      </w:rPr>
                    </w:pPr>
                    <w:r w:rsidRPr="00626C10">
                      <w:rPr>
                        <w:sz w:val="16"/>
                        <w:szCs w:val="16"/>
                      </w:rPr>
                      <w:t>-15,462,372</w:t>
                    </w:r>
                  </w:p>
                </w:tc>
                <w:tc>
                  <w:tcPr>
                    <w:tcW w:w="361" w:type="pct"/>
                    <w:vAlign w:val="center"/>
                  </w:tcPr>
                  <w:p w:rsidR="0024594E" w:rsidRPr="00F121FB" w:rsidRDefault="0024594E" w:rsidP="00B637B2">
                    <w:pPr>
                      <w:jc w:val="right"/>
                      <w:rPr>
                        <w:sz w:val="16"/>
                        <w:szCs w:val="16"/>
                      </w:rPr>
                    </w:pPr>
                    <w:r w:rsidRPr="00F121FB">
                      <w:rPr>
                        <w:sz w:val="16"/>
                        <w:szCs w:val="16"/>
                      </w:rPr>
                      <w:t>-</w:t>
                    </w:r>
                  </w:p>
                </w:tc>
                <w:tc>
                  <w:tcPr>
                    <w:tcW w:w="134" w:type="pct"/>
                    <w:vAlign w:val="center"/>
                  </w:tcPr>
                  <w:p w:rsidR="0024594E" w:rsidRPr="00F121FB" w:rsidRDefault="008F04CF" w:rsidP="00B637B2">
                    <w:pPr>
                      <w:jc w:val="right"/>
                      <w:rPr>
                        <w:sz w:val="16"/>
                        <w:szCs w:val="16"/>
                      </w:rPr>
                    </w:pPr>
                    <w:r>
                      <w:rPr>
                        <w:rFonts w:hint="eastAsia"/>
                        <w:sz w:val="16"/>
                        <w:szCs w:val="16"/>
                      </w:rPr>
                      <w:t>-</w:t>
                    </w:r>
                  </w:p>
                </w:tc>
                <w:tc>
                  <w:tcPr>
                    <w:tcW w:w="361" w:type="pct"/>
                    <w:vAlign w:val="center"/>
                  </w:tcPr>
                  <w:p w:rsidR="0024594E" w:rsidRPr="00F121FB" w:rsidRDefault="0024594E" w:rsidP="00B637B2">
                    <w:pPr>
                      <w:jc w:val="right"/>
                      <w:rPr>
                        <w:sz w:val="16"/>
                        <w:szCs w:val="16"/>
                      </w:rPr>
                    </w:pPr>
                    <w:r w:rsidRPr="00F121FB">
                      <w:rPr>
                        <w:sz w:val="16"/>
                        <w:szCs w:val="16"/>
                      </w:rPr>
                      <w:t>-</w:t>
                    </w:r>
                  </w:p>
                </w:tc>
                <w:tc>
                  <w:tcPr>
                    <w:tcW w:w="179" w:type="pct"/>
                    <w:vAlign w:val="center"/>
                  </w:tcPr>
                  <w:p w:rsidR="0024594E" w:rsidRPr="00F121FB" w:rsidRDefault="008F04CF" w:rsidP="00B637B2">
                    <w:pPr>
                      <w:jc w:val="right"/>
                      <w:rPr>
                        <w:sz w:val="16"/>
                        <w:szCs w:val="16"/>
                      </w:rPr>
                    </w:pPr>
                    <w:r>
                      <w:rPr>
                        <w:rFonts w:hint="eastAsia"/>
                        <w:sz w:val="16"/>
                        <w:szCs w:val="16"/>
                      </w:rPr>
                      <w:t>-</w:t>
                    </w:r>
                  </w:p>
                </w:tc>
                <w:tc>
                  <w:tcPr>
                    <w:tcW w:w="406" w:type="pct"/>
                    <w:vAlign w:val="center"/>
                  </w:tcPr>
                  <w:p w:rsidR="0024594E" w:rsidRPr="00F121FB" w:rsidRDefault="0024594E" w:rsidP="00B637B2">
                    <w:pPr>
                      <w:jc w:val="right"/>
                      <w:rPr>
                        <w:sz w:val="16"/>
                        <w:szCs w:val="16"/>
                      </w:rPr>
                    </w:pPr>
                    <w:r w:rsidRPr="00F121FB">
                      <w:rPr>
                        <w:sz w:val="16"/>
                        <w:szCs w:val="16"/>
                      </w:rPr>
                      <w:t>-</w:t>
                    </w:r>
                  </w:p>
                </w:tc>
                <w:tc>
                  <w:tcPr>
                    <w:tcW w:w="139" w:type="pct"/>
                    <w:vAlign w:val="center"/>
                  </w:tcPr>
                  <w:p w:rsidR="0024594E" w:rsidRPr="00F121FB" w:rsidRDefault="008F04CF" w:rsidP="00B637B2">
                    <w:pPr>
                      <w:jc w:val="right"/>
                      <w:rPr>
                        <w:sz w:val="16"/>
                        <w:szCs w:val="16"/>
                      </w:rPr>
                    </w:pPr>
                    <w:r>
                      <w:rPr>
                        <w:rFonts w:hint="eastAsia"/>
                        <w:sz w:val="16"/>
                        <w:szCs w:val="16"/>
                      </w:rPr>
                      <w:t>-</w:t>
                    </w:r>
                  </w:p>
                </w:tc>
                <w:tc>
                  <w:tcPr>
                    <w:tcW w:w="428" w:type="pct"/>
                    <w:vAlign w:val="center"/>
                  </w:tcPr>
                  <w:p w:rsidR="0024594E" w:rsidRPr="00F121FB" w:rsidRDefault="008F04CF" w:rsidP="00B637B2">
                    <w:pPr>
                      <w:jc w:val="right"/>
                      <w:rPr>
                        <w:sz w:val="16"/>
                        <w:szCs w:val="16"/>
                      </w:rPr>
                    </w:pPr>
                    <w:r w:rsidRPr="00A800C5">
                      <w:rPr>
                        <w:sz w:val="16"/>
                        <w:szCs w:val="16"/>
                      </w:rPr>
                      <w:t>-13,657,269</w:t>
                    </w:r>
                  </w:p>
                </w:tc>
                <w:tc>
                  <w:tcPr>
                    <w:tcW w:w="381" w:type="pct"/>
                    <w:vAlign w:val="center"/>
                  </w:tcPr>
                  <w:p w:rsidR="0024594E" w:rsidRPr="00F121FB" w:rsidRDefault="008F04CF" w:rsidP="00B637B2">
                    <w:pPr>
                      <w:jc w:val="right"/>
                      <w:rPr>
                        <w:sz w:val="16"/>
                        <w:szCs w:val="16"/>
                      </w:rPr>
                    </w:pPr>
                    <w:r w:rsidRPr="00A83300">
                      <w:rPr>
                        <w:sz w:val="16"/>
                        <w:szCs w:val="16"/>
                      </w:rPr>
                      <w:t>-1,324,774</w:t>
                    </w:r>
                  </w:p>
                </w:tc>
                <w:tc>
                  <w:tcPr>
                    <w:tcW w:w="404" w:type="pct"/>
                    <w:vAlign w:val="center"/>
                  </w:tcPr>
                  <w:p w:rsidR="0024594E" w:rsidRPr="00F121FB" w:rsidRDefault="008F04CF" w:rsidP="00B637B2">
                    <w:pPr>
                      <w:jc w:val="right"/>
                      <w:rPr>
                        <w:sz w:val="16"/>
                        <w:szCs w:val="16"/>
                      </w:rPr>
                    </w:pPr>
                    <w:r w:rsidRPr="00965429">
                      <w:rPr>
                        <w:sz w:val="16"/>
                        <w:szCs w:val="16"/>
                      </w:rPr>
                      <w:t>-14,982,043</w:t>
                    </w:r>
                  </w:p>
                </w:tc>
              </w:tr>
              <w:tr w:rsidR="00B637B2" w:rsidTr="00B637B2">
                <w:sdt>
                  <w:sdtPr>
                    <w:rPr>
                      <w:sz w:val="16"/>
                      <w:szCs w:val="16"/>
                    </w:rPr>
                    <w:tag w:val="_PLD_a7e75a2d1ed049d9bbdb0ef093ac9478"/>
                    <w:id w:val="879284817"/>
                    <w:lock w:val="sdtLocked"/>
                  </w:sdtPr>
                  <w:sdtContent>
                    <w:tc>
                      <w:tcPr>
                        <w:tcW w:w="631" w:type="pct"/>
                      </w:tcPr>
                      <w:p w:rsidR="0024594E" w:rsidRPr="00F121FB" w:rsidRDefault="0024594E" w:rsidP="0024594E">
                        <w:pPr>
                          <w:rPr>
                            <w:sz w:val="16"/>
                            <w:szCs w:val="16"/>
                          </w:rPr>
                        </w:pPr>
                        <w:r w:rsidRPr="00F121FB">
                          <w:rPr>
                            <w:sz w:val="16"/>
                            <w:szCs w:val="16"/>
                          </w:rPr>
                          <w:t>（</w:t>
                        </w:r>
                        <w:r w:rsidRPr="00F121FB">
                          <w:rPr>
                            <w:rFonts w:hint="eastAsia"/>
                            <w:sz w:val="16"/>
                            <w:szCs w:val="16"/>
                          </w:rPr>
                          <w:t>三</w:t>
                        </w:r>
                        <w:r w:rsidRPr="00F121FB">
                          <w:rPr>
                            <w:sz w:val="16"/>
                            <w:szCs w:val="16"/>
                          </w:rPr>
                          <w:t>）利润分配</w:t>
                        </w:r>
                      </w:p>
                    </w:tc>
                  </w:sdtContent>
                </w:sdt>
                <w:tc>
                  <w:tcPr>
                    <w:tcW w:w="405" w:type="pct"/>
                    <w:vAlign w:val="center"/>
                  </w:tcPr>
                  <w:p w:rsidR="0024594E" w:rsidRPr="00F121FB" w:rsidRDefault="008F04CF" w:rsidP="00B637B2">
                    <w:pPr>
                      <w:jc w:val="right"/>
                      <w:rPr>
                        <w:sz w:val="16"/>
                        <w:szCs w:val="16"/>
                      </w:rPr>
                    </w:pPr>
                    <w:r>
                      <w:rPr>
                        <w:rFonts w:hint="eastAsia"/>
                        <w:sz w:val="16"/>
                        <w:szCs w:val="16"/>
                      </w:rPr>
                      <w:t>-</w:t>
                    </w:r>
                  </w:p>
                </w:tc>
                <w:tc>
                  <w:tcPr>
                    <w:tcW w:w="135" w:type="pct"/>
                    <w:vAlign w:val="center"/>
                  </w:tcPr>
                  <w:p w:rsidR="0024594E" w:rsidRPr="00F121FB" w:rsidRDefault="008F04CF" w:rsidP="00B637B2">
                    <w:pPr>
                      <w:jc w:val="right"/>
                      <w:rPr>
                        <w:sz w:val="16"/>
                        <w:szCs w:val="16"/>
                      </w:rPr>
                    </w:pPr>
                    <w:r>
                      <w:rPr>
                        <w:rFonts w:hint="eastAsia"/>
                        <w:sz w:val="16"/>
                        <w:szCs w:val="16"/>
                      </w:rPr>
                      <w:t>-</w:t>
                    </w:r>
                  </w:p>
                </w:tc>
                <w:tc>
                  <w:tcPr>
                    <w:tcW w:w="135" w:type="pct"/>
                    <w:vAlign w:val="center"/>
                  </w:tcPr>
                  <w:p w:rsidR="0024594E" w:rsidRPr="00F121FB" w:rsidRDefault="008F04CF" w:rsidP="00B637B2">
                    <w:pPr>
                      <w:jc w:val="right"/>
                      <w:rPr>
                        <w:sz w:val="16"/>
                        <w:szCs w:val="16"/>
                      </w:rPr>
                    </w:pPr>
                    <w:r>
                      <w:rPr>
                        <w:rFonts w:hint="eastAsia"/>
                        <w:sz w:val="16"/>
                        <w:szCs w:val="16"/>
                      </w:rPr>
                      <w:t>-</w:t>
                    </w:r>
                  </w:p>
                </w:tc>
                <w:tc>
                  <w:tcPr>
                    <w:tcW w:w="135" w:type="pct"/>
                    <w:vAlign w:val="center"/>
                  </w:tcPr>
                  <w:p w:rsidR="0024594E" w:rsidRPr="00F121FB" w:rsidRDefault="008F04CF" w:rsidP="00B637B2">
                    <w:pPr>
                      <w:jc w:val="right"/>
                      <w:rPr>
                        <w:sz w:val="16"/>
                        <w:szCs w:val="16"/>
                      </w:rPr>
                    </w:pPr>
                    <w:r>
                      <w:rPr>
                        <w:rFonts w:hint="eastAsia"/>
                        <w:sz w:val="16"/>
                        <w:szCs w:val="16"/>
                      </w:rPr>
                      <w:t>-</w:t>
                    </w:r>
                  </w:p>
                </w:tc>
                <w:tc>
                  <w:tcPr>
                    <w:tcW w:w="405" w:type="pct"/>
                    <w:vAlign w:val="center"/>
                  </w:tcPr>
                  <w:p w:rsidR="0024594E" w:rsidRPr="00F121FB" w:rsidRDefault="0024594E" w:rsidP="00B637B2">
                    <w:pPr>
                      <w:jc w:val="right"/>
                      <w:rPr>
                        <w:sz w:val="16"/>
                        <w:szCs w:val="16"/>
                      </w:rPr>
                    </w:pPr>
                    <w:r w:rsidRPr="00F121FB">
                      <w:rPr>
                        <w:sz w:val="16"/>
                        <w:szCs w:val="16"/>
                      </w:rPr>
                      <w:t>-</w:t>
                    </w:r>
                  </w:p>
                </w:tc>
                <w:tc>
                  <w:tcPr>
                    <w:tcW w:w="361" w:type="pct"/>
                    <w:vAlign w:val="center"/>
                  </w:tcPr>
                  <w:p w:rsidR="0024594E" w:rsidRPr="00F121FB" w:rsidRDefault="008F04CF" w:rsidP="00B637B2">
                    <w:pPr>
                      <w:jc w:val="right"/>
                      <w:rPr>
                        <w:sz w:val="16"/>
                        <w:szCs w:val="16"/>
                      </w:rPr>
                    </w:pPr>
                    <w:r>
                      <w:rPr>
                        <w:rFonts w:hint="eastAsia"/>
                        <w:sz w:val="16"/>
                        <w:szCs w:val="16"/>
                      </w:rPr>
                      <w:t>-</w:t>
                    </w:r>
                  </w:p>
                </w:tc>
                <w:tc>
                  <w:tcPr>
                    <w:tcW w:w="361" w:type="pct"/>
                    <w:vAlign w:val="center"/>
                  </w:tcPr>
                  <w:p w:rsidR="0024594E" w:rsidRPr="00F121FB" w:rsidRDefault="0024594E" w:rsidP="00B637B2">
                    <w:pPr>
                      <w:jc w:val="right"/>
                      <w:rPr>
                        <w:sz w:val="16"/>
                        <w:szCs w:val="16"/>
                      </w:rPr>
                    </w:pPr>
                    <w:r w:rsidRPr="00F121FB">
                      <w:rPr>
                        <w:sz w:val="16"/>
                        <w:szCs w:val="16"/>
                      </w:rPr>
                      <w:t>-</w:t>
                    </w:r>
                  </w:p>
                </w:tc>
                <w:tc>
                  <w:tcPr>
                    <w:tcW w:w="134" w:type="pct"/>
                    <w:vAlign w:val="center"/>
                  </w:tcPr>
                  <w:p w:rsidR="0024594E" w:rsidRPr="00F121FB" w:rsidRDefault="008F04CF" w:rsidP="00B637B2">
                    <w:pPr>
                      <w:jc w:val="right"/>
                      <w:rPr>
                        <w:sz w:val="16"/>
                        <w:szCs w:val="16"/>
                      </w:rPr>
                    </w:pPr>
                    <w:r>
                      <w:rPr>
                        <w:rFonts w:hint="eastAsia"/>
                        <w:sz w:val="16"/>
                        <w:szCs w:val="16"/>
                      </w:rPr>
                      <w:t>-</w:t>
                    </w:r>
                  </w:p>
                </w:tc>
                <w:tc>
                  <w:tcPr>
                    <w:tcW w:w="361" w:type="pct"/>
                    <w:vAlign w:val="center"/>
                  </w:tcPr>
                  <w:p w:rsidR="0024594E" w:rsidRPr="00F121FB" w:rsidRDefault="0024594E" w:rsidP="00B637B2">
                    <w:pPr>
                      <w:jc w:val="right"/>
                      <w:rPr>
                        <w:sz w:val="16"/>
                        <w:szCs w:val="16"/>
                      </w:rPr>
                    </w:pPr>
                    <w:r w:rsidRPr="00F121FB">
                      <w:rPr>
                        <w:sz w:val="16"/>
                        <w:szCs w:val="16"/>
                      </w:rPr>
                      <w:t>-</w:t>
                    </w:r>
                  </w:p>
                </w:tc>
                <w:tc>
                  <w:tcPr>
                    <w:tcW w:w="179" w:type="pct"/>
                    <w:vAlign w:val="center"/>
                  </w:tcPr>
                  <w:p w:rsidR="0024594E" w:rsidRPr="00F121FB" w:rsidRDefault="008F04CF" w:rsidP="00B637B2">
                    <w:pPr>
                      <w:jc w:val="right"/>
                      <w:rPr>
                        <w:sz w:val="16"/>
                        <w:szCs w:val="16"/>
                      </w:rPr>
                    </w:pPr>
                    <w:r>
                      <w:rPr>
                        <w:rFonts w:hint="eastAsia"/>
                        <w:sz w:val="16"/>
                        <w:szCs w:val="16"/>
                      </w:rPr>
                      <w:t>-</w:t>
                    </w:r>
                  </w:p>
                </w:tc>
                <w:tc>
                  <w:tcPr>
                    <w:tcW w:w="406" w:type="pct"/>
                    <w:vAlign w:val="center"/>
                  </w:tcPr>
                  <w:p w:rsidR="0024594E" w:rsidRPr="00F121FB" w:rsidRDefault="008F04CF" w:rsidP="00B637B2">
                    <w:pPr>
                      <w:jc w:val="right"/>
                      <w:rPr>
                        <w:sz w:val="16"/>
                        <w:szCs w:val="16"/>
                      </w:rPr>
                    </w:pPr>
                    <w:r w:rsidRPr="00F121FB">
                      <w:rPr>
                        <w:sz w:val="16"/>
                        <w:szCs w:val="16"/>
                      </w:rPr>
                      <w:t>-219,183,934</w:t>
                    </w:r>
                  </w:p>
                </w:tc>
                <w:tc>
                  <w:tcPr>
                    <w:tcW w:w="139" w:type="pct"/>
                    <w:vAlign w:val="center"/>
                  </w:tcPr>
                  <w:p w:rsidR="0024594E" w:rsidRPr="00F121FB" w:rsidRDefault="008F04CF" w:rsidP="00B637B2">
                    <w:pPr>
                      <w:jc w:val="right"/>
                      <w:rPr>
                        <w:sz w:val="16"/>
                        <w:szCs w:val="16"/>
                      </w:rPr>
                    </w:pPr>
                    <w:r>
                      <w:rPr>
                        <w:rFonts w:hint="eastAsia"/>
                        <w:sz w:val="16"/>
                        <w:szCs w:val="16"/>
                      </w:rPr>
                      <w:t>-</w:t>
                    </w:r>
                  </w:p>
                </w:tc>
                <w:tc>
                  <w:tcPr>
                    <w:tcW w:w="428" w:type="pct"/>
                    <w:vAlign w:val="center"/>
                  </w:tcPr>
                  <w:p w:rsidR="0024594E" w:rsidRPr="00F121FB" w:rsidRDefault="008F04CF" w:rsidP="00B637B2">
                    <w:pPr>
                      <w:jc w:val="right"/>
                      <w:rPr>
                        <w:sz w:val="16"/>
                        <w:szCs w:val="16"/>
                      </w:rPr>
                    </w:pPr>
                    <w:r w:rsidRPr="00F121FB">
                      <w:rPr>
                        <w:sz w:val="16"/>
                        <w:szCs w:val="16"/>
                      </w:rPr>
                      <w:t>-219,183,934</w:t>
                    </w:r>
                  </w:p>
                </w:tc>
                <w:tc>
                  <w:tcPr>
                    <w:tcW w:w="381" w:type="pct"/>
                    <w:vAlign w:val="center"/>
                  </w:tcPr>
                  <w:p w:rsidR="0024594E" w:rsidRPr="00F121FB" w:rsidRDefault="008F04CF" w:rsidP="00B637B2">
                    <w:pPr>
                      <w:jc w:val="right"/>
                      <w:rPr>
                        <w:sz w:val="16"/>
                        <w:szCs w:val="16"/>
                      </w:rPr>
                    </w:pPr>
                    <w:r w:rsidRPr="00A83300">
                      <w:rPr>
                        <w:sz w:val="16"/>
                        <w:szCs w:val="16"/>
                      </w:rPr>
                      <w:t>-96,786,402</w:t>
                    </w:r>
                  </w:p>
                </w:tc>
                <w:tc>
                  <w:tcPr>
                    <w:tcW w:w="404" w:type="pct"/>
                    <w:vAlign w:val="center"/>
                  </w:tcPr>
                  <w:p w:rsidR="0024594E" w:rsidRPr="00F121FB" w:rsidRDefault="008F04CF" w:rsidP="00B637B2">
                    <w:pPr>
                      <w:jc w:val="right"/>
                      <w:rPr>
                        <w:sz w:val="16"/>
                        <w:szCs w:val="16"/>
                      </w:rPr>
                    </w:pPr>
                    <w:r w:rsidRPr="00965429">
                      <w:rPr>
                        <w:sz w:val="16"/>
                        <w:szCs w:val="16"/>
                      </w:rPr>
                      <w:t>-315,970,336</w:t>
                    </w:r>
                  </w:p>
                </w:tc>
              </w:tr>
              <w:tr w:rsidR="00B637B2" w:rsidTr="00B637B2">
                <w:sdt>
                  <w:sdtPr>
                    <w:rPr>
                      <w:sz w:val="16"/>
                      <w:szCs w:val="16"/>
                    </w:rPr>
                    <w:tag w:val="_PLD_728c39864cdd4a7c93d6a2bae73ac47f"/>
                    <w:id w:val="-726077932"/>
                    <w:lock w:val="sdtLocked"/>
                  </w:sdtPr>
                  <w:sdtContent>
                    <w:tc>
                      <w:tcPr>
                        <w:tcW w:w="631" w:type="pct"/>
                      </w:tcPr>
                      <w:p w:rsidR="0024594E" w:rsidRPr="00F121FB" w:rsidRDefault="0024594E" w:rsidP="0024594E">
                        <w:pPr>
                          <w:rPr>
                            <w:sz w:val="16"/>
                            <w:szCs w:val="16"/>
                          </w:rPr>
                        </w:pPr>
                        <w:r w:rsidRPr="00F121FB">
                          <w:rPr>
                            <w:sz w:val="16"/>
                            <w:szCs w:val="16"/>
                          </w:rPr>
                          <w:t>1．提取盈余公积</w:t>
                        </w:r>
                      </w:p>
                    </w:tc>
                  </w:sdtContent>
                </w:sdt>
                <w:tc>
                  <w:tcPr>
                    <w:tcW w:w="405" w:type="pct"/>
                    <w:vAlign w:val="center"/>
                  </w:tcPr>
                  <w:p w:rsidR="0024594E" w:rsidRPr="00F121FB" w:rsidRDefault="008F04CF" w:rsidP="00B637B2">
                    <w:pPr>
                      <w:jc w:val="right"/>
                      <w:rPr>
                        <w:sz w:val="16"/>
                        <w:szCs w:val="16"/>
                      </w:rPr>
                    </w:pPr>
                    <w:r>
                      <w:rPr>
                        <w:rFonts w:hint="eastAsia"/>
                        <w:sz w:val="16"/>
                        <w:szCs w:val="16"/>
                      </w:rPr>
                      <w:t>-</w:t>
                    </w:r>
                  </w:p>
                </w:tc>
                <w:tc>
                  <w:tcPr>
                    <w:tcW w:w="135" w:type="pct"/>
                    <w:vAlign w:val="center"/>
                  </w:tcPr>
                  <w:p w:rsidR="0024594E" w:rsidRPr="00F121FB" w:rsidRDefault="008F04CF" w:rsidP="00B637B2">
                    <w:pPr>
                      <w:jc w:val="right"/>
                      <w:rPr>
                        <w:sz w:val="16"/>
                        <w:szCs w:val="16"/>
                      </w:rPr>
                    </w:pPr>
                    <w:r>
                      <w:rPr>
                        <w:rFonts w:hint="eastAsia"/>
                        <w:sz w:val="16"/>
                        <w:szCs w:val="16"/>
                      </w:rPr>
                      <w:t>-</w:t>
                    </w:r>
                  </w:p>
                </w:tc>
                <w:tc>
                  <w:tcPr>
                    <w:tcW w:w="135" w:type="pct"/>
                    <w:vAlign w:val="center"/>
                  </w:tcPr>
                  <w:p w:rsidR="0024594E" w:rsidRPr="00F121FB" w:rsidRDefault="008F04CF" w:rsidP="00B637B2">
                    <w:pPr>
                      <w:jc w:val="right"/>
                      <w:rPr>
                        <w:sz w:val="16"/>
                        <w:szCs w:val="16"/>
                      </w:rPr>
                    </w:pPr>
                    <w:r>
                      <w:rPr>
                        <w:rFonts w:hint="eastAsia"/>
                        <w:sz w:val="16"/>
                        <w:szCs w:val="16"/>
                      </w:rPr>
                      <w:t>-</w:t>
                    </w:r>
                  </w:p>
                </w:tc>
                <w:tc>
                  <w:tcPr>
                    <w:tcW w:w="135" w:type="pct"/>
                    <w:vAlign w:val="center"/>
                  </w:tcPr>
                  <w:p w:rsidR="0024594E" w:rsidRPr="00F121FB" w:rsidRDefault="008F04CF" w:rsidP="00B637B2">
                    <w:pPr>
                      <w:jc w:val="right"/>
                      <w:rPr>
                        <w:sz w:val="16"/>
                        <w:szCs w:val="16"/>
                      </w:rPr>
                    </w:pPr>
                    <w:r>
                      <w:rPr>
                        <w:rFonts w:hint="eastAsia"/>
                        <w:sz w:val="16"/>
                        <w:szCs w:val="16"/>
                      </w:rPr>
                      <w:t>-</w:t>
                    </w:r>
                  </w:p>
                </w:tc>
                <w:tc>
                  <w:tcPr>
                    <w:tcW w:w="405" w:type="pct"/>
                    <w:vAlign w:val="center"/>
                  </w:tcPr>
                  <w:p w:rsidR="0024594E" w:rsidRPr="00F121FB" w:rsidRDefault="0024594E" w:rsidP="00B637B2">
                    <w:pPr>
                      <w:jc w:val="right"/>
                      <w:rPr>
                        <w:sz w:val="16"/>
                        <w:szCs w:val="16"/>
                      </w:rPr>
                    </w:pPr>
                    <w:r w:rsidRPr="00F121FB">
                      <w:rPr>
                        <w:sz w:val="16"/>
                        <w:szCs w:val="16"/>
                      </w:rPr>
                      <w:t>-</w:t>
                    </w:r>
                  </w:p>
                </w:tc>
                <w:tc>
                  <w:tcPr>
                    <w:tcW w:w="361" w:type="pct"/>
                    <w:vAlign w:val="center"/>
                  </w:tcPr>
                  <w:p w:rsidR="0024594E" w:rsidRPr="00F121FB" w:rsidRDefault="008F04CF" w:rsidP="00B637B2">
                    <w:pPr>
                      <w:jc w:val="right"/>
                      <w:rPr>
                        <w:sz w:val="16"/>
                        <w:szCs w:val="16"/>
                      </w:rPr>
                    </w:pPr>
                    <w:r>
                      <w:rPr>
                        <w:rFonts w:hint="eastAsia"/>
                        <w:sz w:val="16"/>
                        <w:szCs w:val="16"/>
                      </w:rPr>
                      <w:t>-</w:t>
                    </w:r>
                  </w:p>
                </w:tc>
                <w:tc>
                  <w:tcPr>
                    <w:tcW w:w="361" w:type="pct"/>
                    <w:vAlign w:val="center"/>
                  </w:tcPr>
                  <w:p w:rsidR="0024594E" w:rsidRPr="00F121FB" w:rsidRDefault="0024594E" w:rsidP="00B637B2">
                    <w:pPr>
                      <w:jc w:val="right"/>
                      <w:rPr>
                        <w:sz w:val="16"/>
                        <w:szCs w:val="16"/>
                      </w:rPr>
                    </w:pPr>
                    <w:r w:rsidRPr="00F121FB">
                      <w:rPr>
                        <w:sz w:val="16"/>
                        <w:szCs w:val="16"/>
                      </w:rPr>
                      <w:t>-</w:t>
                    </w:r>
                  </w:p>
                </w:tc>
                <w:tc>
                  <w:tcPr>
                    <w:tcW w:w="134" w:type="pct"/>
                    <w:vAlign w:val="center"/>
                  </w:tcPr>
                  <w:p w:rsidR="0024594E" w:rsidRPr="00F121FB" w:rsidRDefault="008F04CF" w:rsidP="00B637B2">
                    <w:pPr>
                      <w:jc w:val="right"/>
                      <w:rPr>
                        <w:sz w:val="16"/>
                        <w:szCs w:val="16"/>
                      </w:rPr>
                    </w:pPr>
                    <w:r>
                      <w:rPr>
                        <w:rFonts w:hint="eastAsia"/>
                        <w:sz w:val="16"/>
                        <w:szCs w:val="16"/>
                      </w:rPr>
                      <w:t>-</w:t>
                    </w:r>
                  </w:p>
                </w:tc>
                <w:tc>
                  <w:tcPr>
                    <w:tcW w:w="361" w:type="pct"/>
                    <w:vAlign w:val="center"/>
                  </w:tcPr>
                  <w:p w:rsidR="0024594E" w:rsidRPr="00F121FB" w:rsidRDefault="0024594E" w:rsidP="00B637B2">
                    <w:pPr>
                      <w:jc w:val="right"/>
                      <w:rPr>
                        <w:sz w:val="16"/>
                        <w:szCs w:val="16"/>
                      </w:rPr>
                    </w:pPr>
                    <w:r w:rsidRPr="00F121FB">
                      <w:rPr>
                        <w:sz w:val="16"/>
                        <w:szCs w:val="16"/>
                      </w:rPr>
                      <w:t>-</w:t>
                    </w:r>
                  </w:p>
                </w:tc>
                <w:tc>
                  <w:tcPr>
                    <w:tcW w:w="179" w:type="pct"/>
                    <w:vAlign w:val="center"/>
                  </w:tcPr>
                  <w:p w:rsidR="0024594E" w:rsidRPr="00F121FB" w:rsidRDefault="008F04CF" w:rsidP="00B637B2">
                    <w:pPr>
                      <w:jc w:val="right"/>
                      <w:rPr>
                        <w:sz w:val="16"/>
                        <w:szCs w:val="16"/>
                      </w:rPr>
                    </w:pPr>
                    <w:r>
                      <w:rPr>
                        <w:rFonts w:hint="eastAsia"/>
                        <w:sz w:val="16"/>
                        <w:szCs w:val="16"/>
                      </w:rPr>
                      <w:t>-</w:t>
                    </w:r>
                  </w:p>
                </w:tc>
                <w:tc>
                  <w:tcPr>
                    <w:tcW w:w="406" w:type="pct"/>
                    <w:vAlign w:val="center"/>
                  </w:tcPr>
                  <w:p w:rsidR="0024594E" w:rsidRPr="00F121FB" w:rsidRDefault="0024594E" w:rsidP="00B637B2">
                    <w:pPr>
                      <w:jc w:val="right"/>
                      <w:rPr>
                        <w:sz w:val="16"/>
                        <w:szCs w:val="16"/>
                      </w:rPr>
                    </w:pPr>
                    <w:r w:rsidRPr="00F121FB">
                      <w:rPr>
                        <w:sz w:val="16"/>
                        <w:szCs w:val="16"/>
                      </w:rPr>
                      <w:t>-</w:t>
                    </w:r>
                  </w:p>
                </w:tc>
                <w:tc>
                  <w:tcPr>
                    <w:tcW w:w="139" w:type="pct"/>
                    <w:vAlign w:val="center"/>
                  </w:tcPr>
                  <w:p w:rsidR="0024594E" w:rsidRPr="00F121FB" w:rsidRDefault="008F04CF" w:rsidP="00B637B2">
                    <w:pPr>
                      <w:jc w:val="right"/>
                      <w:rPr>
                        <w:sz w:val="16"/>
                        <w:szCs w:val="16"/>
                      </w:rPr>
                    </w:pPr>
                    <w:r>
                      <w:rPr>
                        <w:rFonts w:hint="eastAsia"/>
                        <w:sz w:val="16"/>
                        <w:szCs w:val="16"/>
                      </w:rPr>
                      <w:t>-</w:t>
                    </w:r>
                  </w:p>
                </w:tc>
                <w:tc>
                  <w:tcPr>
                    <w:tcW w:w="428" w:type="pct"/>
                    <w:vAlign w:val="center"/>
                  </w:tcPr>
                  <w:p w:rsidR="0024594E" w:rsidRPr="00F121FB" w:rsidRDefault="008F04CF" w:rsidP="00B637B2">
                    <w:pPr>
                      <w:jc w:val="right"/>
                      <w:rPr>
                        <w:sz w:val="16"/>
                        <w:szCs w:val="16"/>
                      </w:rPr>
                    </w:pPr>
                    <w:r>
                      <w:rPr>
                        <w:rFonts w:hint="eastAsia"/>
                        <w:sz w:val="16"/>
                        <w:szCs w:val="16"/>
                      </w:rPr>
                      <w:t>-</w:t>
                    </w:r>
                  </w:p>
                </w:tc>
                <w:tc>
                  <w:tcPr>
                    <w:tcW w:w="381" w:type="pct"/>
                    <w:vAlign w:val="center"/>
                  </w:tcPr>
                  <w:p w:rsidR="0024594E" w:rsidRPr="00F121FB" w:rsidRDefault="0024594E" w:rsidP="00B637B2">
                    <w:pPr>
                      <w:jc w:val="right"/>
                      <w:rPr>
                        <w:sz w:val="16"/>
                        <w:szCs w:val="16"/>
                      </w:rPr>
                    </w:pPr>
                    <w:r w:rsidRPr="00F121FB">
                      <w:rPr>
                        <w:sz w:val="16"/>
                        <w:szCs w:val="16"/>
                      </w:rPr>
                      <w:t>-</w:t>
                    </w:r>
                  </w:p>
                </w:tc>
                <w:tc>
                  <w:tcPr>
                    <w:tcW w:w="404" w:type="pct"/>
                    <w:vAlign w:val="center"/>
                  </w:tcPr>
                  <w:p w:rsidR="0024594E" w:rsidRPr="00F121FB" w:rsidRDefault="008F04CF" w:rsidP="00B637B2">
                    <w:pPr>
                      <w:jc w:val="right"/>
                      <w:rPr>
                        <w:sz w:val="16"/>
                        <w:szCs w:val="16"/>
                      </w:rPr>
                    </w:pPr>
                    <w:r>
                      <w:rPr>
                        <w:rFonts w:hint="eastAsia"/>
                        <w:sz w:val="16"/>
                        <w:szCs w:val="16"/>
                      </w:rPr>
                      <w:t>-</w:t>
                    </w:r>
                  </w:p>
                </w:tc>
              </w:tr>
              <w:tr w:rsidR="00B637B2" w:rsidTr="00B637B2">
                <w:sdt>
                  <w:sdtPr>
                    <w:rPr>
                      <w:sz w:val="16"/>
                      <w:szCs w:val="16"/>
                    </w:rPr>
                    <w:tag w:val="_PLD_6d8c8a0de80b4f6a97fdb16b82b3a6ac"/>
                    <w:id w:val="-759673115"/>
                    <w:lock w:val="sdtLocked"/>
                  </w:sdtPr>
                  <w:sdtContent>
                    <w:tc>
                      <w:tcPr>
                        <w:tcW w:w="631" w:type="pct"/>
                      </w:tcPr>
                      <w:p w:rsidR="0024594E" w:rsidRPr="00F121FB" w:rsidRDefault="0024594E" w:rsidP="0024594E">
                        <w:pPr>
                          <w:rPr>
                            <w:sz w:val="16"/>
                            <w:szCs w:val="16"/>
                          </w:rPr>
                        </w:pPr>
                        <w:r w:rsidRPr="00F121FB">
                          <w:rPr>
                            <w:sz w:val="16"/>
                            <w:szCs w:val="16"/>
                          </w:rPr>
                          <w:t>2．提取一般风险准备</w:t>
                        </w:r>
                      </w:p>
                    </w:tc>
                  </w:sdtContent>
                </w:sdt>
                <w:tc>
                  <w:tcPr>
                    <w:tcW w:w="405" w:type="pct"/>
                    <w:vAlign w:val="center"/>
                  </w:tcPr>
                  <w:p w:rsidR="0024594E" w:rsidRPr="00F121FB" w:rsidRDefault="008F04CF" w:rsidP="00B637B2">
                    <w:pPr>
                      <w:jc w:val="right"/>
                      <w:rPr>
                        <w:sz w:val="16"/>
                        <w:szCs w:val="16"/>
                      </w:rPr>
                    </w:pPr>
                    <w:r>
                      <w:rPr>
                        <w:rFonts w:hint="eastAsia"/>
                        <w:sz w:val="16"/>
                        <w:szCs w:val="16"/>
                      </w:rPr>
                      <w:t>-</w:t>
                    </w:r>
                  </w:p>
                </w:tc>
                <w:tc>
                  <w:tcPr>
                    <w:tcW w:w="135" w:type="pct"/>
                    <w:vAlign w:val="center"/>
                  </w:tcPr>
                  <w:p w:rsidR="0024594E" w:rsidRPr="00F121FB" w:rsidRDefault="008F04CF" w:rsidP="00B637B2">
                    <w:pPr>
                      <w:jc w:val="right"/>
                      <w:rPr>
                        <w:sz w:val="16"/>
                        <w:szCs w:val="16"/>
                      </w:rPr>
                    </w:pPr>
                    <w:r>
                      <w:rPr>
                        <w:rFonts w:hint="eastAsia"/>
                        <w:sz w:val="16"/>
                        <w:szCs w:val="16"/>
                      </w:rPr>
                      <w:t>-</w:t>
                    </w:r>
                  </w:p>
                </w:tc>
                <w:tc>
                  <w:tcPr>
                    <w:tcW w:w="135" w:type="pct"/>
                    <w:vAlign w:val="center"/>
                  </w:tcPr>
                  <w:p w:rsidR="0024594E" w:rsidRPr="00F121FB" w:rsidRDefault="0024594E" w:rsidP="00B637B2">
                    <w:pPr>
                      <w:jc w:val="right"/>
                      <w:rPr>
                        <w:sz w:val="16"/>
                        <w:szCs w:val="16"/>
                      </w:rPr>
                    </w:pPr>
                  </w:p>
                </w:tc>
                <w:tc>
                  <w:tcPr>
                    <w:tcW w:w="135" w:type="pct"/>
                    <w:vAlign w:val="center"/>
                  </w:tcPr>
                  <w:p w:rsidR="0024594E" w:rsidRPr="00F121FB" w:rsidRDefault="008F04CF" w:rsidP="00B637B2">
                    <w:pPr>
                      <w:jc w:val="right"/>
                      <w:rPr>
                        <w:sz w:val="16"/>
                        <w:szCs w:val="16"/>
                      </w:rPr>
                    </w:pPr>
                    <w:r>
                      <w:rPr>
                        <w:rFonts w:hint="eastAsia"/>
                        <w:sz w:val="16"/>
                        <w:szCs w:val="16"/>
                      </w:rPr>
                      <w:t>-</w:t>
                    </w:r>
                  </w:p>
                </w:tc>
                <w:tc>
                  <w:tcPr>
                    <w:tcW w:w="405" w:type="pct"/>
                    <w:vAlign w:val="center"/>
                  </w:tcPr>
                  <w:p w:rsidR="0024594E" w:rsidRPr="00F121FB" w:rsidRDefault="0024594E" w:rsidP="00B637B2">
                    <w:pPr>
                      <w:jc w:val="right"/>
                      <w:rPr>
                        <w:sz w:val="16"/>
                        <w:szCs w:val="16"/>
                      </w:rPr>
                    </w:pPr>
                  </w:p>
                </w:tc>
                <w:tc>
                  <w:tcPr>
                    <w:tcW w:w="361" w:type="pct"/>
                    <w:vAlign w:val="center"/>
                  </w:tcPr>
                  <w:p w:rsidR="0024594E" w:rsidRPr="00F121FB" w:rsidRDefault="008F04CF" w:rsidP="00B637B2">
                    <w:pPr>
                      <w:jc w:val="right"/>
                      <w:rPr>
                        <w:sz w:val="16"/>
                        <w:szCs w:val="16"/>
                      </w:rPr>
                    </w:pPr>
                    <w:r>
                      <w:rPr>
                        <w:rFonts w:hint="eastAsia"/>
                        <w:sz w:val="16"/>
                        <w:szCs w:val="16"/>
                      </w:rPr>
                      <w:t>-</w:t>
                    </w:r>
                  </w:p>
                </w:tc>
                <w:tc>
                  <w:tcPr>
                    <w:tcW w:w="361" w:type="pct"/>
                    <w:vAlign w:val="center"/>
                  </w:tcPr>
                  <w:p w:rsidR="0024594E" w:rsidRPr="00F121FB" w:rsidRDefault="008F04CF" w:rsidP="00B637B2">
                    <w:pPr>
                      <w:jc w:val="right"/>
                      <w:rPr>
                        <w:sz w:val="16"/>
                        <w:szCs w:val="16"/>
                      </w:rPr>
                    </w:pPr>
                    <w:r>
                      <w:rPr>
                        <w:rFonts w:hint="eastAsia"/>
                        <w:sz w:val="16"/>
                        <w:szCs w:val="16"/>
                      </w:rPr>
                      <w:t>-</w:t>
                    </w:r>
                  </w:p>
                </w:tc>
                <w:tc>
                  <w:tcPr>
                    <w:tcW w:w="134" w:type="pct"/>
                    <w:vAlign w:val="center"/>
                  </w:tcPr>
                  <w:p w:rsidR="0024594E" w:rsidRPr="00F121FB" w:rsidRDefault="008F04CF" w:rsidP="00B637B2">
                    <w:pPr>
                      <w:jc w:val="right"/>
                      <w:rPr>
                        <w:sz w:val="16"/>
                        <w:szCs w:val="16"/>
                      </w:rPr>
                    </w:pPr>
                    <w:r>
                      <w:rPr>
                        <w:rFonts w:hint="eastAsia"/>
                        <w:sz w:val="16"/>
                        <w:szCs w:val="16"/>
                      </w:rPr>
                      <w:t>-</w:t>
                    </w:r>
                  </w:p>
                </w:tc>
                <w:tc>
                  <w:tcPr>
                    <w:tcW w:w="361" w:type="pct"/>
                    <w:vAlign w:val="center"/>
                  </w:tcPr>
                  <w:p w:rsidR="0024594E" w:rsidRPr="00F121FB" w:rsidRDefault="008F04CF" w:rsidP="00B637B2">
                    <w:pPr>
                      <w:jc w:val="right"/>
                      <w:rPr>
                        <w:sz w:val="16"/>
                        <w:szCs w:val="16"/>
                      </w:rPr>
                    </w:pPr>
                    <w:r>
                      <w:rPr>
                        <w:rFonts w:hint="eastAsia"/>
                        <w:sz w:val="16"/>
                        <w:szCs w:val="16"/>
                      </w:rPr>
                      <w:t>-</w:t>
                    </w:r>
                  </w:p>
                </w:tc>
                <w:tc>
                  <w:tcPr>
                    <w:tcW w:w="179" w:type="pct"/>
                    <w:vAlign w:val="center"/>
                  </w:tcPr>
                  <w:p w:rsidR="0024594E" w:rsidRPr="00F121FB" w:rsidRDefault="008F04CF" w:rsidP="00B637B2">
                    <w:pPr>
                      <w:jc w:val="right"/>
                      <w:rPr>
                        <w:sz w:val="16"/>
                        <w:szCs w:val="16"/>
                      </w:rPr>
                    </w:pPr>
                    <w:r>
                      <w:rPr>
                        <w:rFonts w:hint="eastAsia"/>
                        <w:sz w:val="16"/>
                        <w:szCs w:val="16"/>
                      </w:rPr>
                      <w:t>-</w:t>
                    </w:r>
                  </w:p>
                </w:tc>
                <w:tc>
                  <w:tcPr>
                    <w:tcW w:w="406" w:type="pct"/>
                    <w:vAlign w:val="center"/>
                  </w:tcPr>
                  <w:p w:rsidR="0024594E" w:rsidRPr="00F121FB" w:rsidRDefault="008F04CF" w:rsidP="00B637B2">
                    <w:pPr>
                      <w:jc w:val="right"/>
                      <w:rPr>
                        <w:sz w:val="16"/>
                        <w:szCs w:val="16"/>
                      </w:rPr>
                    </w:pPr>
                    <w:r>
                      <w:rPr>
                        <w:rFonts w:hint="eastAsia"/>
                        <w:sz w:val="16"/>
                        <w:szCs w:val="16"/>
                      </w:rPr>
                      <w:t>-</w:t>
                    </w:r>
                  </w:p>
                </w:tc>
                <w:tc>
                  <w:tcPr>
                    <w:tcW w:w="139" w:type="pct"/>
                    <w:vAlign w:val="center"/>
                  </w:tcPr>
                  <w:p w:rsidR="0024594E" w:rsidRPr="00F121FB" w:rsidRDefault="008F04CF" w:rsidP="00B637B2">
                    <w:pPr>
                      <w:jc w:val="right"/>
                      <w:rPr>
                        <w:sz w:val="16"/>
                        <w:szCs w:val="16"/>
                      </w:rPr>
                    </w:pPr>
                    <w:r>
                      <w:rPr>
                        <w:rFonts w:hint="eastAsia"/>
                        <w:sz w:val="16"/>
                        <w:szCs w:val="16"/>
                      </w:rPr>
                      <w:t>-</w:t>
                    </w:r>
                  </w:p>
                </w:tc>
                <w:tc>
                  <w:tcPr>
                    <w:tcW w:w="428" w:type="pct"/>
                    <w:vAlign w:val="center"/>
                  </w:tcPr>
                  <w:p w:rsidR="0024594E" w:rsidRPr="00F121FB" w:rsidRDefault="008F04CF" w:rsidP="00B637B2">
                    <w:pPr>
                      <w:jc w:val="right"/>
                      <w:rPr>
                        <w:sz w:val="16"/>
                        <w:szCs w:val="16"/>
                      </w:rPr>
                    </w:pPr>
                    <w:r>
                      <w:rPr>
                        <w:rFonts w:hint="eastAsia"/>
                        <w:sz w:val="16"/>
                        <w:szCs w:val="16"/>
                      </w:rPr>
                      <w:t>-</w:t>
                    </w:r>
                  </w:p>
                </w:tc>
                <w:tc>
                  <w:tcPr>
                    <w:tcW w:w="381" w:type="pct"/>
                    <w:vAlign w:val="center"/>
                  </w:tcPr>
                  <w:p w:rsidR="0024594E" w:rsidRPr="00F121FB" w:rsidRDefault="0024594E" w:rsidP="00B637B2">
                    <w:pPr>
                      <w:jc w:val="right"/>
                      <w:rPr>
                        <w:sz w:val="16"/>
                        <w:szCs w:val="16"/>
                      </w:rPr>
                    </w:pPr>
                    <w:r w:rsidRPr="00F121FB">
                      <w:rPr>
                        <w:sz w:val="16"/>
                        <w:szCs w:val="16"/>
                      </w:rPr>
                      <w:t>-</w:t>
                    </w:r>
                  </w:p>
                </w:tc>
                <w:tc>
                  <w:tcPr>
                    <w:tcW w:w="404" w:type="pct"/>
                    <w:vAlign w:val="center"/>
                  </w:tcPr>
                  <w:p w:rsidR="0024594E" w:rsidRPr="00F121FB" w:rsidRDefault="008F04CF" w:rsidP="00B637B2">
                    <w:pPr>
                      <w:jc w:val="right"/>
                      <w:rPr>
                        <w:sz w:val="16"/>
                        <w:szCs w:val="16"/>
                      </w:rPr>
                    </w:pPr>
                    <w:r>
                      <w:rPr>
                        <w:rFonts w:hint="eastAsia"/>
                        <w:sz w:val="16"/>
                        <w:szCs w:val="16"/>
                      </w:rPr>
                      <w:t>-</w:t>
                    </w:r>
                  </w:p>
                </w:tc>
              </w:tr>
              <w:tr w:rsidR="00B637B2" w:rsidTr="00B637B2">
                <w:sdt>
                  <w:sdtPr>
                    <w:rPr>
                      <w:sz w:val="16"/>
                      <w:szCs w:val="16"/>
                    </w:rPr>
                    <w:tag w:val="_PLD_a5531db3e1d84f3897cb962fdc73ab3d"/>
                    <w:id w:val="127516876"/>
                    <w:lock w:val="sdtLocked"/>
                  </w:sdtPr>
                  <w:sdtContent>
                    <w:tc>
                      <w:tcPr>
                        <w:tcW w:w="631" w:type="pct"/>
                      </w:tcPr>
                      <w:p w:rsidR="0024594E" w:rsidRPr="00F121FB" w:rsidRDefault="0024594E" w:rsidP="0024594E">
                        <w:pPr>
                          <w:rPr>
                            <w:sz w:val="16"/>
                            <w:szCs w:val="16"/>
                          </w:rPr>
                        </w:pPr>
                        <w:r w:rsidRPr="00F121FB">
                          <w:rPr>
                            <w:sz w:val="16"/>
                            <w:szCs w:val="16"/>
                          </w:rPr>
                          <w:t>3．对所有者（或股东）的分配</w:t>
                        </w:r>
                      </w:p>
                    </w:tc>
                  </w:sdtContent>
                </w:sdt>
                <w:tc>
                  <w:tcPr>
                    <w:tcW w:w="405" w:type="pct"/>
                    <w:vAlign w:val="center"/>
                  </w:tcPr>
                  <w:p w:rsidR="0024594E" w:rsidRPr="00F121FB" w:rsidRDefault="008F04CF" w:rsidP="00B637B2">
                    <w:pPr>
                      <w:jc w:val="right"/>
                      <w:rPr>
                        <w:sz w:val="16"/>
                        <w:szCs w:val="16"/>
                      </w:rPr>
                    </w:pPr>
                    <w:r>
                      <w:rPr>
                        <w:rFonts w:hint="eastAsia"/>
                        <w:sz w:val="16"/>
                        <w:szCs w:val="16"/>
                      </w:rPr>
                      <w:t>-</w:t>
                    </w:r>
                  </w:p>
                </w:tc>
                <w:tc>
                  <w:tcPr>
                    <w:tcW w:w="135" w:type="pct"/>
                    <w:vAlign w:val="center"/>
                  </w:tcPr>
                  <w:p w:rsidR="0024594E" w:rsidRPr="00F121FB" w:rsidRDefault="008F04CF" w:rsidP="00B637B2">
                    <w:pPr>
                      <w:jc w:val="right"/>
                      <w:rPr>
                        <w:sz w:val="16"/>
                        <w:szCs w:val="16"/>
                      </w:rPr>
                    </w:pPr>
                    <w:r>
                      <w:rPr>
                        <w:rFonts w:hint="eastAsia"/>
                        <w:sz w:val="16"/>
                        <w:szCs w:val="16"/>
                      </w:rPr>
                      <w:t>-</w:t>
                    </w:r>
                  </w:p>
                </w:tc>
                <w:tc>
                  <w:tcPr>
                    <w:tcW w:w="135" w:type="pct"/>
                    <w:vAlign w:val="center"/>
                  </w:tcPr>
                  <w:p w:rsidR="0024594E" w:rsidRPr="00F121FB" w:rsidRDefault="008F04CF" w:rsidP="00B637B2">
                    <w:pPr>
                      <w:jc w:val="right"/>
                      <w:rPr>
                        <w:sz w:val="16"/>
                        <w:szCs w:val="16"/>
                      </w:rPr>
                    </w:pPr>
                    <w:r>
                      <w:rPr>
                        <w:rFonts w:hint="eastAsia"/>
                        <w:sz w:val="16"/>
                        <w:szCs w:val="16"/>
                      </w:rPr>
                      <w:t>-</w:t>
                    </w:r>
                  </w:p>
                </w:tc>
                <w:tc>
                  <w:tcPr>
                    <w:tcW w:w="135" w:type="pct"/>
                    <w:vAlign w:val="center"/>
                  </w:tcPr>
                  <w:p w:rsidR="0024594E" w:rsidRPr="00F121FB" w:rsidRDefault="008F04CF" w:rsidP="00B637B2">
                    <w:pPr>
                      <w:jc w:val="right"/>
                      <w:rPr>
                        <w:sz w:val="16"/>
                        <w:szCs w:val="16"/>
                      </w:rPr>
                    </w:pPr>
                    <w:r>
                      <w:rPr>
                        <w:rFonts w:hint="eastAsia"/>
                        <w:sz w:val="16"/>
                        <w:szCs w:val="16"/>
                      </w:rPr>
                      <w:t>-</w:t>
                    </w:r>
                  </w:p>
                </w:tc>
                <w:tc>
                  <w:tcPr>
                    <w:tcW w:w="405" w:type="pct"/>
                    <w:vAlign w:val="center"/>
                  </w:tcPr>
                  <w:p w:rsidR="0024594E" w:rsidRPr="00F121FB" w:rsidRDefault="008F04CF" w:rsidP="00B637B2">
                    <w:pPr>
                      <w:jc w:val="right"/>
                      <w:rPr>
                        <w:sz w:val="16"/>
                        <w:szCs w:val="16"/>
                      </w:rPr>
                    </w:pPr>
                    <w:r>
                      <w:rPr>
                        <w:rFonts w:hint="eastAsia"/>
                        <w:sz w:val="16"/>
                        <w:szCs w:val="16"/>
                      </w:rPr>
                      <w:t>-</w:t>
                    </w:r>
                  </w:p>
                </w:tc>
                <w:tc>
                  <w:tcPr>
                    <w:tcW w:w="361" w:type="pct"/>
                    <w:vAlign w:val="center"/>
                  </w:tcPr>
                  <w:p w:rsidR="0024594E" w:rsidRPr="00F121FB" w:rsidRDefault="008F04CF" w:rsidP="00B637B2">
                    <w:pPr>
                      <w:jc w:val="right"/>
                      <w:rPr>
                        <w:sz w:val="16"/>
                        <w:szCs w:val="16"/>
                      </w:rPr>
                    </w:pPr>
                    <w:r>
                      <w:rPr>
                        <w:rFonts w:hint="eastAsia"/>
                        <w:sz w:val="16"/>
                        <w:szCs w:val="16"/>
                      </w:rPr>
                      <w:t>-</w:t>
                    </w:r>
                  </w:p>
                </w:tc>
                <w:tc>
                  <w:tcPr>
                    <w:tcW w:w="361" w:type="pct"/>
                    <w:vAlign w:val="center"/>
                  </w:tcPr>
                  <w:p w:rsidR="0024594E" w:rsidRPr="00F121FB" w:rsidRDefault="008F04CF" w:rsidP="00B637B2">
                    <w:pPr>
                      <w:jc w:val="right"/>
                      <w:rPr>
                        <w:sz w:val="16"/>
                        <w:szCs w:val="16"/>
                      </w:rPr>
                    </w:pPr>
                    <w:r>
                      <w:rPr>
                        <w:rFonts w:hint="eastAsia"/>
                        <w:sz w:val="16"/>
                        <w:szCs w:val="16"/>
                      </w:rPr>
                      <w:t>-</w:t>
                    </w:r>
                  </w:p>
                </w:tc>
                <w:tc>
                  <w:tcPr>
                    <w:tcW w:w="134" w:type="pct"/>
                    <w:vAlign w:val="center"/>
                  </w:tcPr>
                  <w:p w:rsidR="0024594E" w:rsidRPr="00F121FB" w:rsidRDefault="008F04CF" w:rsidP="00B637B2">
                    <w:pPr>
                      <w:jc w:val="right"/>
                      <w:rPr>
                        <w:sz w:val="16"/>
                        <w:szCs w:val="16"/>
                      </w:rPr>
                    </w:pPr>
                    <w:r>
                      <w:rPr>
                        <w:rFonts w:hint="eastAsia"/>
                        <w:sz w:val="16"/>
                        <w:szCs w:val="16"/>
                      </w:rPr>
                      <w:t>-</w:t>
                    </w:r>
                  </w:p>
                </w:tc>
                <w:tc>
                  <w:tcPr>
                    <w:tcW w:w="361" w:type="pct"/>
                    <w:vAlign w:val="center"/>
                  </w:tcPr>
                  <w:p w:rsidR="0024594E" w:rsidRPr="00F121FB" w:rsidRDefault="008F04CF" w:rsidP="00B637B2">
                    <w:pPr>
                      <w:jc w:val="right"/>
                      <w:rPr>
                        <w:sz w:val="16"/>
                        <w:szCs w:val="16"/>
                      </w:rPr>
                    </w:pPr>
                    <w:r>
                      <w:rPr>
                        <w:rFonts w:hint="eastAsia"/>
                        <w:sz w:val="16"/>
                        <w:szCs w:val="16"/>
                      </w:rPr>
                      <w:t>-</w:t>
                    </w:r>
                  </w:p>
                </w:tc>
                <w:tc>
                  <w:tcPr>
                    <w:tcW w:w="179" w:type="pct"/>
                    <w:vAlign w:val="center"/>
                  </w:tcPr>
                  <w:p w:rsidR="0024594E" w:rsidRPr="00F121FB" w:rsidRDefault="008F04CF" w:rsidP="00B637B2">
                    <w:pPr>
                      <w:jc w:val="right"/>
                      <w:rPr>
                        <w:sz w:val="16"/>
                        <w:szCs w:val="16"/>
                      </w:rPr>
                    </w:pPr>
                    <w:r>
                      <w:rPr>
                        <w:rFonts w:hint="eastAsia"/>
                        <w:sz w:val="16"/>
                        <w:szCs w:val="16"/>
                      </w:rPr>
                      <w:t>-</w:t>
                    </w:r>
                  </w:p>
                </w:tc>
                <w:tc>
                  <w:tcPr>
                    <w:tcW w:w="406" w:type="pct"/>
                    <w:vAlign w:val="center"/>
                  </w:tcPr>
                  <w:p w:rsidR="0024594E" w:rsidRPr="00F121FB" w:rsidRDefault="008F04CF" w:rsidP="00B637B2">
                    <w:pPr>
                      <w:jc w:val="right"/>
                      <w:rPr>
                        <w:sz w:val="16"/>
                        <w:szCs w:val="16"/>
                      </w:rPr>
                    </w:pPr>
                    <w:r w:rsidRPr="00F121FB">
                      <w:rPr>
                        <w:sz w:val="16"/>
                        <w:szCs w:val="16"/>
                      </w:rPr>
                      <w:t>-219,183,934</w:t>
                    </w:r>
                  </w:p>
                </w:tc>
                <w:tc>
                  <w:tcPr>
                    <w:tcW w:w="139" w:type="pct"/>
                    <w:vAlign w:val="center"/>
                  </w:tcPr>
                  <w:p w:rsidR="0024594E" w:rsidRPr="00F121FB" w:rsidRDefault="008F04CF" w:rsidP="00B637B2">
                    <w:pPr>
                      <w:jc w:val="right"/>
                      <w:rPr>
                        <w:sz w:val="16"/>
                        <w:szCs w:val="16"/>
                      </w:rPr>
                    </w:pPr>
                    <w:r>
                      <w:rPr>
                        <w:rFonts w:hint="eastAsia"/>
                        <w:sz w:val="16"/>
                        <w:szCs w:val="16"/>
                      </w:rPr>
                      <w:t>-</w:t>
                    </w:r>
                  </w:p>
                </w:tc>
                <w:tc>
                  <w:tcPr>
                    <w:tcW w:w="428" w:type="pct"/>
                    <w:vAlign w:val="center"/>
                  </w:tcPr>
                  <w:p w:rsidR="0024594E" w:rsidRPr="00F121FB" w:rsidRDefault="008F04CF" w:rsidP="00B637B2">
                    <w:pPr>
                      <w:jc w:val="right"/>
                      <w:rPr>
                        <w:sz w:val="16"/>
                        <w:szCs w:val="16"/>
                      </w:rPr>
                    </w:pPr>
                    <w:r w:rsidRPr="00F121FB">
                      <w:rPr>
                        <w:sz w:val="16"/>
                        <w:szCs w:val="16"/>
                      </w:rPr>
                      <w:t>-219,183,934</w:t>
                    </w:r>
                  </w:p>
                </w:tc>
                <w:tc>
                  <w:tcPr>
                    <w:tcW w:w="381" w:type="pct"/>
                    <w:vAlign w:val="center"/>
                  </w:tcPr>
                  <w:p w:rsidR="0024594E" w:rsidRPr="00F121FB" w:rsidRDefault="008F04CF" w:rsidP="00B637B2">
                    <w:pPr>
                      <w:jc w:val="right"/>
                      <w:rPr>
                        <w:sz w:val="16"/>
                        <w:szCs w:val="16"/>
                      </w:rPr>
                    </w:pPr>
                    <w:r w:rsidRPr="00A83300">
                      <w:rPr>
                        <w:sz w:val="16"/>
                        <w:szCs w:val="16"/>
                      </w:rPr>
                      <w:t>-96,786,402</w:t>
                    </w:r>
                  </w:p>
                </w:tc>
                <w:tc>
                  <w:tcPr>
                    <w:tcW w:w="404" w:type="pct"/>
                    <w:vAlign w:val="center"/>
                  </w:tcPr>
                  <w:p w:rsidR="0024594E" w:rsidRPr="00F121FB" w:rsidRDefault="008F04CF" w:rsidP="00B637B2">
                    <w:pPr>
                      <w:jc w:val="right"/>
                      <w:rPr>
                        <w:sz w:val="16"/>
                        <w:szCs w:val="16"/>
                      </w:rPr>
                    </w:pPr>
                    <w:r w:rsidRPr="00965429">
                      <w:rPr>
                        <w:sz w:val="16"/>
                        <w:szCs w:val="16"/>
                      </w:rPr>
                      <w:t>-315,970,336</w:t>
                    </w:r>
                  </w:p>
                </w:tc>
              </w:tr>
              <w:tr w:rsidR="00B637B2" w:rsidTr="00B637B2">
                <w:sdt>
                  <w:sdtPr>
                    <w:rPr>
                      <w:sz w:val="16"/>
                      <w:szCs w:val="16"/>
                    </w:rPr>
                    <w:tag w:val="_PLD_f3206f8cddd54371b8a1b220dc836af8"/>
                    <w:id w:val="-1281568538"/>
                    <w:lock w:val="sdtLocked"/>
                  </w:sdtPr>
                  <w:sdtContent>
                    <w:tc>
                      <w:tcPr>
                        <w:tcW w:w="631" w:type="pct"/>
                      </w:tcPr>
                      <w:p w:rsidR="0024594E" w:rsidRPr="00F121FB" w:rsidRDefault="0024594E" w:rsidP="0024594E">
                        <w:pPr>
                          <w:rPr>
                            <w:sz w:val="16"/>
                            <w:szCs w:val="16"/>
                          </w:rPr>
                        </w:pPr>
                        <w:r w:rsidRPr="00F121FB">
                          <w:rPr>
                            <w:sz w:val="16"/>
                            <w:szCs w:val="16"/>
                          </w:rPr>
                          <w:t>4．其他</w:t>
                        </w:r>
                      </w:p>
                    </w:tc>
                  </w:sdtContent>
                </w:sdt>
                <w:tc>
                  <w:tcPr>
                    <w:tcW w:w="405" w:type="pct"/>
                    <w:vAlign w:val="center"/>
                  </w:tcPr>
                  <w:p w:rsidR="0024594E" w:rsidRPr="00F121FB" w:rsidRDefault="008F04CF" w:rsidP="00B637B2">
                    <w:pPr>
                      <w:jc w:val="right"/>
                      <w:rPr>
                        <w:sz w:val="16"/>
                        <w:szCs w:val="16"/>
                      </w:rPr>
                    </w:pPr>
                    <w:r>
                      <w:rPr>
                        <w:rFonts w:hint="eastAsia"/>
                        <w:sz w:val="16"/>
                        <w:szCs w:val="16"/>
                      </w:rPr>
                      <w:t>-</w:t>
                    </w:r>
                  </w:p>
                </w:tc>
                <w:tc>
                  <w:tcPr>
                    <w:tcW w:w="135" w:type="pct"/>
                    <w:vAlign w:val="center"/>
                  </w:tcPr>
                  <w:p w:rsidR="0024594E" w:rsidRPr="00F121FB" w:rsidRDefault="008F04CF" w:rsidP="00B637B2">
                    <w:pPr>
                      <w:jc w:val="right"/>
                      <w:rPr>
                        <w:sz w:val="16"/>
                        <w:szCs w:val="16"/>
                      </w:rPr>
                    </w:pPr>
                    <w:r>
                      <w:rPr>
                        <w:rFonts w:hint="eastAsia"/>
                        <w:sz w:val="16"/>
                        <w:szCs w:val="16"/>
                      </w:rPr>
                      <w:t>-</w:t>
                    </w:r>
                  </w:p>
                </w:tc>
                <w:tc>
                  <w:tcPr>
                    <w:tcW w:w="135" w:type="pct"/>
                    <w:vAlign w:val="center"/>
                  </w:tcPr>
                  <w:p w:rsidR="0024594E" w:rsidRPr="00F121FB" w:rsidRDefault="008F04CF" w:rsidP="00B637B2">
                    <w:pPr>
                      <w:jc w:val="right"/>
                      <w:rPr>
                        <w:sz w:val="16"/>
                        <w:szCs w:val="16"/>
                      </w:rPr>
                    </w:pPr>
                    <w:r>
                      <w:rPr>
                        <w:rFonts w:hint="eastAsia"/>
                        <w:sz w:val="16"/>
                        <w:szCs w:val="16"/>
                      </w:rPr>
                      <w:t>-</w:t>
                    </w:r>
                  </w:p>
                </w:tc>
                <w:tc>
                  <w:tcPr>
                    <w:tcW w:w="135" w:type="pct"/>
                    <w:vAlign w:val="center"/>
                  </w:tcPr>
                  <w:p w:rsidR="0024594E" w:rsidRPr="00F121FB" w:rsidRDefault="008F04CF" w:rsidP="00B637B2">
                    <w:pPr>
                      <w:jc w:val="right"/>
                      <w:rPr>
                        <w:sz w:val="16"/>
                        <w:szCs w:val="16"/>
                      </w:rPr>
                    </w:pPr>
                    <w:r>
                      <w:rPr>
                        <w:rFonts w:hint="eastAsia"/>
                        <w:sz w:val="16"/>
                        <w:szCs w:val="16"/>
                      </w:rPr>
                      <w:t>-</w:t>
                    </w:r>
                  </w:p>
                </w:tc>
                <w:tc>
                  <w:tcPr>
                    <w:tcW w:w="405" w:type="pct"/>
                    <w:vAlign w:val="center"/>
                  </w:tcPr>
                  <w:p w:rsidR="0024594E" w:rsidRPr="00F121FB" w:rsidRDefault="008F04CF" w:rsidP="00B637B2">
                    <w:pPr>
                      <w:jc w:val="right"/>
                      <w:rPr>
                        <w:sz w:val="16"/>
                        <w:szCs w:val="16"/>
                      </w:rPr>
                    </w:pPr>
                    <w:r>
                      <w:rPr>
                        <w:rFonts w:hint="eastAsia"/>
                        <w:sz w:val="16"/>
                        <w:szCs w:val="16"/>
                      </w:rPr>
                      <w:t>-</w:t>
                    </w:r>
                  </w:p>
                </w:tc>
                <w:tc>
                  <w:tcPr>
                    <w:tcW w:w="361" w:type="pct"/>
                    <w:vAlign w:val="center"/>
                  </w:tcPr>
                  <w:p w:rsidR="0024594E" w:rsidRPr="00F121FB" w:rsidRDefault="008F04CF" w:rsidP="00B637B2">
                    <w:pPr>
                      <w:jc w:val="right"/>
                      <w:rPr>
                        <w:sz w:val="16"/>
                        <w:szCs w:val="16"/>
                      </w:rPr>
                    </w:pPr>
                    <w:r>
                      <w:rPr>
                        <w:rFonts w:hint="eastAsia"/>
                        <w:sz w:val="16"/>
                        <w:szCs w:val="16"/>
                      </w:rPr>
                      <w:t>-</w:t>
                    </w:r>
                  </w:p>
                </w:tc>
                <w:tc>
                  <w:tcPr>
                    <w:tcW w:w="361" w:type="pct"/>
                    <w:vAlign w:val="center"/>
                  </w:tcPr>
                  <w:p w:rsidR="0024594E" w:rsidRPr="00F121FB" w:rsidRDefault="008F04CF" w:rsidP="00B637B2">
                    <w:pPr>
                      <w:jc w:val="right"/>
                      <w:rPr>
                        <w:sz w:val="16"/>
                        <w:szCs w:val="16"/>
                      </w:rPr>
                    </w:pPr>
                    <w:r>
                      <w:rPr>
                        <w:rFonts w:hint="eastAsia"/>
                        <w:sz w:val="16"/>
                        <w:szCs w:val="16"/>
                      </w:rPr>
                      <w:t>-</w:t>
                    </w:r>
                  </w:p>
                </w:tc>
                <w:tc>
                  <w:tcPr>
                    <w:tcW w:w="134" w:type="pct"/>
                    <w:vAlign w:val="center"/>
                  </w:tcPr>
                  <w:p w:rsidR="0024594E" w:rsidRPr="00F121FB" w:rsidRDefault="008F04CF" w:rsidP="00B637B2">
                    <w:pPr>
                      <w:jc w:val="right"/>
                      <w:rPr>
                        <w:sz w:val="16"/>
                        <w:szCs w:val="16"/>
                      </w:rPr>
                    </w:pPr>
                    <w:r>
                      <w:rPr>
                        <w:rFonts w:hint="eastAsia"/>
                        <w:sz w:val="16"/>
                        <w:szCs w:val="16"/>
                      </w:rPr>
                      <w:t>-</w:t>
                    </w:r>
                  </w:p>
                </w:tc>
                <w:tc>
                  <w:tcPr>
                    <w:tcW w:w="361" w:type="pct"/>
                    <w:vAlign w:val="center"/>
                  </w:tcPr>
                  <w:p w:rsidR="0024594E" w:rsidRPr="00F121FB" w:rsidRDefault="008F04CF" w:rsidP="00B637B2">
                    <w:pPr>
                      <w:jc w:val="right"/>
                      <w:rPr>
                        <w:sz w:val="16"/>
                        <w:szCs w:val="16"/>
                      </w:rPr>
                    </w:pPr>
                    <w:r>
                      <w:rPr>
                        <w:rFonts w:hint="eastAsia"/>
                        <w:sz w:val="16"/>
                        <w:szCs w:val="16"/>
                      </w:rPr>
                      <w:t>-</w:t>
                    </w:r>
                  </w:p>
                </w:tc>
                <w:tc>
                  <w:tcPr>
                    <w:tcW w:w="179" w:type="pct"/>
                    <w:vAlign w:val="center"/>
                  </w:tcPr>
                  <w:p w:rsidR="0024594E" w:rsidRPr="00F121FB" w:rsidRDefault="008F04CF" w:rsidP="00B637B2">
                    <w:pPr>
                      <w:jc w:val="right"/>
                      <w:rPr>
                        <w:sz w:val="16"/>
                        <w:szCs w:val="16"/>
                      </w:rPr>
                    </w:pPr>
                    <w:r>
                      <w:rPr>
                        <w:rFonts w:hint="eastAsia"/>
                        <w:sz w:val="16"/>
                        <w:szCs w:val="16"/>
                      </w:rPr>
                      <w:t>-</w:t>
                    </w:r>
                  </w:p>
                </w:tc>
                <w:tc>
                  <w:tcPr>
                    <w:tcW w:w="406" w:type="pct"/>
                    <w:vAlign w:val="center"/>
                  </w:tcPr>
                  <w:p w:rsidR="0024594E" w:rsidRPr="00F121FB" w:rsidRDefault="008F04CF" w:rsidP="00B637B2">
                    <w:pPr>
                      <w:jc w:val="right"/>
                      <w:rPr>
                        <w:sz w:val="16"/>
                        <w:szCs w:val="16"/>
                      </w:rPr>
                    </w:pPr>
                    <w:r>
                      <w:rPr>
                        <w:rFonts w:hint="eastAsia"/>
                        <w:sz w:val="16"/>
                        <w:szCs w:val="16"/>
                      </w:rPr>
                      <w:t>-</w:t>
                    </w:r>
                  </w:p>
                </w:tc>
                <w:tc>
                  <w:tcPr>
                    <w:tcW w:w="139" w:type="pct"/>
                    <w:vAlign w:val="center"/>
                  </w:tcPr>
                  <w:p w:rsidR="0024594E" w:rsidRPr="00F121FB" w:rsidRDefault="008F04CF" w:rsidP="00B637B2">
                    <w:pPr>
                      <w:jc w:val="right"/>
                      <w:rPr>
                        <w:sz w:val="16"/>
                        <w:szCs w:val="16"/>
                      </w:rPr>
                    </w:pPr>
                    <w:r>
                      <w:rPr>
                        <w:rFonts w:hint="eastAsia"/>
                        <w:sz w:val="16"/>
                        <w:szCs w:val="16"/>
                      </w:rPr>
                      <w:t>-</w:t>
                    </w:r>
                  </w:p>
                </w:tc>
                <w:tc>
                  <w:tcPr>
                    <w:tcW w:w="428" w:type="pct"/>
                    <w:vAlign w:val="center"/>
                  </w:tcPr>
                  <w:p w:rsidR="0024594E" w:rsidRPr="00F121FB" w:rsidRDefault="008F04CF" w:rsidP="00B637B2">
                    <w:pPr>
                      <w:jc w:val="right"/>
                      <w:rPr>
                        <w:sz w:val="16"/>
                        <w:szCs w:val="16"/>
                      </w:rPr>
                    </w:pPr>
                    <w:r>
                      <w:rPr>
                        <w:rFonts w:hint="eastAsia"/>
                        <w:sz w:val="16"/>
                        <w:szCs w:val="16"/>
                      </w:rPr>
                      <w:t>-</w:t>
                    </w:r>
                  </w:p>
                </w:tc>
                <w:tc>
                  <w:tcPr>
                    <w:tcW w:w="381" w:type="pct"/>
                    <w:vAlign w:val="center"/>
                  </w:tcPr>
                  <w:p w:rsidR="0024594E" w:rsidRPr="00F121FB" w:rsidRDefault="008F04CF" w:rsidP="00B637B2">
                    <w:pPr>
                      <w:jc w:val="right"/>
                      <w:rPr>
                        <w:sz w:val="16"/>
                        <w:szCs w:val="16"/>
                      </w:rPr>
                    </w:pPr>
                    <w:r>
                      <w:rPr>
                        <w:rFonts w:hint="eastAsia"/>
                        <w:sz w:val="16"/>
                        <w:szCs w:val="16"/>
                      </w:rPr>
                      <w:t>-</w:t>
                    </w:r>
                  </w:p>
                </w:tc>
                <w:tc>
                  <w:tcPr>
                    <w:tcW w:w="404" w:type="pct"/>
                    <w:vAlign w:val="center"/>
                  </w:tcPr>
                  <w:p w:rsidR="0024594E" w:rsidRPr="00F121FB" w:rsidRDefault="008F04CF" w:rsidP="00B637B2">
                    <w:pPr>
                      <w:jc w:val="right"/>
                      <w:rPr>
                        <w:sz w:val="16"/>
                        <w:szCs w:val="16"/>
                      </w:rPr>
                    </w:pPr>
                    <w:r>
                      <w:rPr>
                        <w:rFonts w:hint="eastAsia"/>
                        <w:sz w:val="16"/>
                        <w:szCs w:val="16"/>
                      </w:rPr>
                      <w:t>-</w:t>
                    </w:r>
                  </w:p>
                </w:tc>
              </w:tr>
              <w:tr w:rsidR="00B637B2" w:rsidTr="00B637B2">
                <w:sdt>
                  <w:sdtPr>
                    <w:rPr>
                      <w:sz w:val="16"/>
                      <w:szCs w:val="16"/>
                    </w:rPr>
                    <w:tag w:val="_PLD_c0c9652bd3724ad8b729d3650a0840d4"/>
                    <w:id w:val="1592741764"/>
                    <w:lock w:val="sdtLocked"/>
                  </w:sdtPr>
                  <w:sdtContent>
                    <w:tc>
                      <w:tcPr>
                        <w:tcW w:w="631" w:type="pct"/>
                      </w:tcPr>
                      <w:p w:rsidR="0024594E" w:rsidRPr="00F121FB" w:rsidRDefault="0024594E" w:rsidP="0024594E">
                        <w:pPr>
                          <w:rPr>
                            <w:sz w:val="16"/>
                            <w:szCs w:val="16"/>
                          </w:rPr>
                        </w:pPr>
                        <w:r w:rsidRPr="00F121FB">
                          <w:rPr>
                            <w:sz w:val="16"/>
                            <w:szCs w:val="16"/>
                          </w:rPr>
                          <w:t>（</w:t>
                        </w:r>
                        <w:r w:rsidRPr="00F121FB">
                          <w:rPr>
                            <w:rFonts w:hint="eastAsia"/>
                            <w:sz w:val="16"/>
                            <w:szCs w:val="16"/>
                          </w:rPr>
                          <w:t>四</w:t>
                        </w:r>
                        <w:r w:rsidRPr="00F121FB">
                          <w:rPr>
                            <w:sz w:val="16"/>
                            <w:szCs w:val="16"/>
                          </w:rPr>
                          <w:t>）所有者权益内部结转</w:t>
                        </w:r>
                      </w:p>
                    </w:tc>
                  </w:sdtContent>
                </w:sdt>
                <w:tc>
                  <w:tcPr>
                    <w:tcW w:w="405" w:type="pct"/>
                    <w:vAlign w:val="center"/>
                  </w:tcPr>
                  <w:p w:rsidR="0024594E" w:rsidRPr="00F121FB" w:rsidRDefault="008F04CF" w:rsidP="00B637B2">
                    <w:pPr>
                      <w:jc w:val="right"/>
                      <w:rPr>
                        <w:sz w:val="16"/>
                        <w:szCs w:val="16"/>
                      </w:rPr>
                    </w:pPr>
                    <w:r w:rsidRPr="00626C10">
                      <w:rPr>
                        <w:sz w:val="16"/>
                        <w:szCs w:val="16"/>
                      </w:rPr>
                      <w:t>438,367,868</w:t>
                    </w:r>
                  </w:p>
                </w:tc>
                <w:tc>
                  <w:tcPr>
                    <w:tcW w:w="135" w:type="pct"/>
                    <w:vAlign w:val="center"/>
                  </w:tcPr>
                  <w:p w:rsidR="0024594E" w:rsidRPr="00F121FB" w:rsidRDefault="008F04CF" w:rsidP="00B637B2">
                    <w:pPr>
                      <w:jc w:val="right"/>
                      <w:rPr>
                        <w:sz w:val="16"/>
                        <w:szCs w:val="16"/>
                      </w:rPr>
                    </w:pPr>
                    <w:r>
                      <w:rPr>
                        <w:rFonts w:hint="eastAsia"/>
                        <w:sz w:val="16"/>
                        <w:szCs w:val="16"/>
                      </w:rPr>
                      <w:t>-</w:t>
                    </w:r>
                  </w:p>
                </w:tc>
                <w:tc>
                  <w:tcPr>
                    <w:tcW w:w="135" w:type="pct"/>
                    <w:vAlign w:val="center"/>
                  </w:tcPr>
                  <w:p w:rsidR="0024594E" w:rsidRPr="00F121FB" w:rsidRDefault="0024594E" w:rsidP="00B637B2">
                    <w:pPr>
                      <w:jc w:val="right"/>
                      <w:rPr>
                        <w:sz w:val="16"/>
                        <w:szCs w:val="16"/>
                      </w:rPr>
                    </w:pPr>
                    <w:r w:rsidRPr="00F121FB">
                      <w:rPr>
                        <w:sz w:val="16"/>
                        <w:szCs w:val="16"/>
                      </w:rPr>
                      <w:t>-</w:t>
                    </w:r>
                  </w:p>
                </w:tc>
                <w:tc>
                  <w:tcPr>
                    <w:tcW w:w="135" w:type="pct"/>
                    <w:vAlign w:val="center"/>
                  </w:tcPr>
                  <w:p w:rsidR="0024594E" w:rsidRPr="00F121FB" w:rsidRDefault="008F04CF" w:rsidP="00B637B2">
                    <w:pPr>
                      <w:jc w:val="right"/>
                      <w:rPr>
                        <w:sz w:val="16"/>
                        <w:szCs w:val="16"/>
                      </w:rPr>
                    </w:pPr>
                    <w:r>
                      <w:rPr>
                        <w:rFonts w:hint="eastAsia"/>
                        <w:sz w:val="16"/>
                        <w:szCs w:val="16"/>
                      </w:rPr>
                      <w:t>-</w:t>
                    </w:r>
                  </w:p>
                </w:tc>
                <w:tc>
                  <w:tcPr>
                    <w:tcW w:w="405" w:type="pct"/>
                    <w:vAlign w:val="center"/>
                  </w:tcPr>
                  <w:p w:rsidR="0024594E" w:rsidRPr="00F121FB" w:rsidRDefault="008F04CF" w:rsidP="00B637B2">
                    <w:pPr>
                      <w:jc w:val="right"/>
                      <w:rPr>
                        <w:sz w:val="16"/>
                        <w:szCs w:val="16"/>
                      </w:rPr>
                    </w:pPr>
                    <w:r>
                      <w:rPr>
                        <w:rFonts w:hint="eastAsia"/>
                        <w:sz w:val="16"/>
                        <w:szCs w:val="16"/>
                      </w:rPr>
                      <w:t>-</w:t>
                    </w:r>
                    <w:r w:rsidRPr="00626C10">
                      <w:rPr>
                        <w:sz w:val="16"/>
                        <w:szCs w:val="16"/>
                      </w:rPr>
                      <w:t>438,367,868</w:t>
                    </w:r>
                  </w:p>
                </w:tc>
                <w:tc>
                  <w:tcPr>
                    <w:tcW w:w="361" w:type="pct"/>
                    <w:vAlign w:val="center"/>
                  </w:tcPr>
                  <w:p w:rsidR="0024594E" w:rsidRPr="00F121FB" w:rsidRDefault="008F04CF" w:rsidP="00B637B2">
                    <w:pPr>
                      <w:jc w:val="right"/>
                      <w:rPr>
                        <w:sz w:val="16"/>
                        <w:szCs w:val="16"/>
                      </w:rPr>
                    </w:pPr>
                    <w:r>
                      <w:rPr>
                        <w:rFonts w:hint="eastAsia"/>
                        <w:sz w:val="16"/>
                        <w:szCs w:val="16"/>
                      </w:rPr>
                      <w:t>-</w:t>
                    </w:r>
                  </w:p>
                </w:tc>
                <w:tc>
                  <w:tcPr>
                    <w:tcW w:w="361" w:type="pct"/>
                    <w:vAlign w:val="center"/>
                  </w:tcPr>
                  <w:p w:rsidR="0024594E" w:rsidRPr="00F121FB" w:rsidRDefault="0024594E" w:rsidP="00B637B2">
                    <w:pPr>
                      <w:jc w:val="right"/>
                      <w:rPr>
                        <w:sz w:val="16"/>
                        <w:szCs w:val="16"/>
                      </w:rPr>
                    </w:pPr>
                    <w:r w:rsidRPr="00F121FB">
                      <w:rPr>
                        <w:sz w:val="16"/>
                        <w:szCs w:val="16"/>
                      </w:rPr>
                      <w:t>-</w:t>
                    </w:r>
                  </w:p>
                </w:tc>
                <w:tc>
                  <w:tcPr>
                    <w:tcW w:w="134" w:type="pct"/>
                    <w:vAlign w:val="center"/>
                  </w:tcPr>
                  <w:p w:rsidR="0024594E" w:rsidRPr="00F121FB" w:rsidRDefault="008F04CF" w:rsidP="00B637B2">
                    <w:pPr>
                      <w:jc w:val="right"/>
                      <w:rPr>
                        <w:sz w:val="16"/>
                        <w:szCs w:val="16"/>
                      </w:rPr>
                    </w:pPr>
                    <w:r>
                      <w:rPr>
                        <w:rFonts w:hint="eastAsia"/>
                        <w:sz w:val="16"/>
                        <w:szCs w:val="16"/>
                      </w:rPr>
                      <w:t>-</w:t>
                    </w:r>
                  </w:p>
                </w:tc>
                <w:tc>
                  <w:tcPr>
                    <w:tcW w:w="361" w:type="pct"/>
                    <w:vAlign w:val="center"/>
                  </w:tcPr>
                  <w:p w:rsidR="0024594E" w:rsidRPr="00F121FB" w:rsidRDefault="0024594E" w:rsidP="00B637B2">
                    <w:pPr>
                      <w:jc w:val="right"/>
                      <w:rPr>
                        <w:sz w:val="16"/>
                        <w:szCs w:val="16"/>
                      </w:rPr>
                    </w:pPr>
                    <w:r w:rsidRPr="00F121FB">
                      <w:rPr>
                        <w:sz w:val="16"/>
                        <w:szCs w:val="16"/>
                      </w:rPr>
                      <w:t>-</w:t>
                    </w:r>
                  </w:p>
                </w:tc>
                <w:tc>
                  <w:tcPr>
                    <w:tcW w:w="179" w:type="pct"/>
                    <w:vAlign w:val="center"/>
                  </w:tcPr>
                  <w:p w:rsidR="0024594E" w:rsidRPr="00F121FB" w:rsidRDefault="008F04CF" w:rsidP="00B637B2">
                    <w:pPr>
                      <w:jc w:val="right"/>
                      <w:rPr>
                        <w:sz w:val="16"/>
                        <w:szCs w:val="16"/>
                      </w:rPr>
                    </w:pPr>
                    <w:r>
                      <w:rPr>
                        <w:rFonts w:hint="eastAsia"/>
                        <w:sz w:val="16"/>
                        <w:szCs w:val="16"/>
                      </w:rPr>
                      <w:t>-</w:t>
                    </w:r>
                  </w:p>
                </w:tc>
                <w:tc>
                  <w:tcPr>
                    <w:tcW w:w="406" w:type="pct"/>
                    <w:vAlign w:val="center"/>
                  </w:tcPr>
                  <w:p w:rsidR="0024594E" w:rsidRPr="00F121FB" w:rsidRDefault="0024594E" w:rsidP="00B637B2">
                    <w:pPr>
                      <w:jc w:val="right"/>
                      <w:rPr>
                        <w:sz w:val="16"/>
                        <w:szCs w:val="16"/>
                      </w:rPr>
                    </w:pPr>
                    <w:r w:rsidRPr="00F121FB">
                      <w:rPr>
                        <w:sz w:val="16"/>
                        <w:szCs w:val="16"/>
                      </w:rPr>
                      <w:t>-</w:t>
                    </w:r>
                  </w:p>
                </w:tc>
                <w:tc>
                  <w:tcPr>
                    <w:tcW w:w="139" w:type="pct"/>
                    <w:vAlign w:val="center"/>
                  </w:tcPr>
                  <w:p w:rsidR="0024594E" w:rsidRPr="00F121FB" w:rsidRDefault="008F04CF" w:rsidP="00B637B2">
                    <w:pPr>
                      <w:jc w:val="right"/>
                      <w:rPr>
                        <w:sz w:val="16"/>
                        <w:szCs w:val="16"/>
                      </w:rPr>
                    </w:pPr>
                    <w:r>
                      <w:rPr>
                        <w:rFonts w:hint="eastAsia"/>
                        <w:sz w:val="16"/>
                        <w:szCs w:val="16"/>
                      </w:rPr>
                      <w:t>-</w:t>
                    </w:r>
                  </w:p>
                </w:tc>
                <w:tc>
                  <w:tcPr>
                    <w:tcW w:w="428" w:type="pct"/>
                    <w:vAlign w:val="center"/>
                  </w:tcPr>
                  <w:p w:rsidR="0024594E" w:rsidRPr="00F121FB" w:rsidRDefault="008F04CF" w:rsidP="00B637B2">
                    <w:pPr>
                      <w:jc w:val="right"/>
                      <w:rPr>
                        <w:sz w:val="16"/>
                        <w:szCs w:val="16"/>
                      </w:rPr>
                    </w:pPr>
                    <w:r>
                      <w:rPr>
                        <w:rFonts w:hint="eastAsia"/>
                        <w:sz w:val="16"/>
                        <w:szCs w:val="16"/>
                      </w:rPr>
                      <w:t>-</w:t>
                    </w:r>
                  </w:p>
                </w:tc>
                <w:tc>
                  <w:tcPr>
                    <w:tcW w:w="381" w:type="pct"/>
                    <w:vAlign w:val="center"/>
                  </w:tcPr>
                  <w:p w:rsidR="0024594E" w:rsidRPr="00F121FB" w:rsidRDefault="008F04CF" w:rsidP="00B637B2">
                    <w:pPr>
                      <w:jc w:val="right"/>
                      <w:rPr>
                        <w:sz w:val="16"/>
                        <w:szCs w:val="16"/>
                      </w:rPr>
                    </w:pPr>
                    <w:r>
                      <w:rPr>
                        <w:rFonts w:hint="eastAsia"/>
                        <w:sz w:val="16"/>
                        <w:szCs w:val="16"/>
                      </w:rPr>
                      <w:t>-</w:t>
                    </w:r>
                  </w:p>
                </w:tc>
                <w:tc>
                  <w:tcPr>
                    <w:tcW w:w="404" w:type="pct"/>
                    <w:vAlign w:val="center"/>
                  </w:tcPr>
                  <w:p w:rsidR="0024594E" w:rsidRPr="00F121FB" w:rsidRDefault="008F04CF" w:rsidP="00B637B2">
                    <w:pPr>
                      <w:jc w:val="right"/>
                      <w:rPr>
                        <w:sz w:val="16"/>
                        <w:szCs w:val="16"/>
                      </w:rPr>
                    </w:pPr>
                    <w:r>
                      <w:rPr>
                        <w:rFonts w:hint="eastAsia"/>
                        <w:sz w:val="16"/>
                        <w:szCs w:val="16"/>
                      </w:rPr>
                      <w:t>-</w:t>
                    </w:r>
                  </w:p>
                </w:tc>
              </w:tr>
              <w:tr w:rsidR="00B637B2" w:rsidTr="00B637B2">
                <w:sdt>
                  <w:sdtPr>
                    <w:rPr>
                      <w:sz w:val="16"/>
                      <w:szCs w:val="16"/>
                    </w:rPr>
                    <w:tag w:val="_PLD_469a000ac571436189f1cb682bbe4ce7"/>
                    <w:id w:val="-574516589"/>
                    <w:lock w:val="sdtLocked"/>
                  </w:sdtPr>
                  <w:sdtContent>
                    <w:tc>
                      <w:tcPr>
                        <w:tcW w:w="631" w:type="pct"/>
                      </w:tcPr>
                      <w:p w:rsidR="0024594E" w:rsidRPr="00F121FB" w:rsidRDefault="0024594E" w:rsidP="0024594E">
                        <w:pPr>
                          <w:rPr>
                            <w:sz w:val="16"/>
                            <w:szCs w:val="16"/>
                          </w:rPr>
                        </w:pPr>
                        <w:r w:rsidRPr="00F121FB">
                          <w:rPr>
                            <w:sz w:val="16"/>
                            <w:szCs w:val="16"/>
                          </w:rPr>
                          <w:t>1．资本公积转增资本（或股本）</w:t>
                        </w:r>
                      </w:p>
                    </w:tc>
                  </w:sdtContent>
                </w:sdt>
                <w:tc>
                  <w:tcPr>
                    <w:tcW w:w="405" w:type="pct"/>
                    <w:vAlign w:val="center"/>
                  </w:tcPr>
                  <w:p w:rsidR="0024594E" w:rsidRPr="00F121FB" w:rsidRDefault="008F04CF" w:rsidP="00B637B2">
                    <w:pPr>
                      <w:jc w:val="right"/>
                      <w:rPr>
                        <w:sz w:val="16"/>
                        <w:szCs w:val="16"/>
                      </w:rPr>
                    </w:pPr>
                    <w:r w:rsidRPr="00626C10">
                      <w:rPr>
                        <w:sz w:val="16"/>
                        <w:szCs w:val="16"/>
                      </w:rPr>
                      <w:t>438,367,868</w:t>
                    </w:r>
                  </w:p>
                </w:tc>
                <w:tc>
                  <w:tcPr>
                    <w:tcW w:w="135" w:type="pct"/>
                    <w:vAlign w:val="center"/>
                  </w:tcPr>
                  <w:p w:rsidR="0024594E" w:rsidRPr="00F121FB" w:rsidRDefault="008F04CF" w:rsidP="00B637B2">
                    <w:pPr>
                      <w:jc w:val="right"/>
                      <w:rPr>
                        <w:sz w:val="16"/>
                        <w:szCs w:val="16"/>
                      </w:rPr>
                    </w:pPr>
                    <w:r>
                      <w:rPr>
                        <w:rFonts w:hint="eastAsia"/>
                        <w:sz w:val="16"/>
                        <w:szCs w:val="16"/>
                      </w:rPr>
                      <w:t>-</w:t>
                    </w:r>
                  </w:p>
                </w:tc>
                <w:tc>
                  <w:tcPr>
                    <w:tcW w:w="135" w:type="pct"/>
                    <w:vAlign w:val="center"/>
                  </w:tcPr>
                  <w:p w:rsidR="0024594E" w:rsidRPr="00F121FB" w:rsidRDefault="008F04CF" w:rsidP="00B637B2">
                    <w:pPr>
                      <w:jc w:val="right"/>
                      <w:rPr>
                        <w:sz w:val="16"/>
                        <w:szCs w:val="16"/>
                      </w:rPr>
                    </w:pPr>
                    <w:r>
                      <w:rPr>
                        <w:rFonts w:hint="eastAsia"/>
                        <w:sz w:val="16"/>
                        <w:szCs w:val="16"/>
                      </w:rPr>
                      <w:t>-</w:t>
                    </w:r>
                  </w:p>
                </w:tc>
                <w:tc>
                  <w:tcPr>
                    <w:tcW w:w="135" w:type="pct"/>
                    <w:vAlign w:val="center"/>
                  </w:tcPr>
                  <w:p w:rsidR="0024594E" w:rsidRPr="00F121FB" w:rsidRDefault="008F04CF" w:rsidP="00B637B2">
                    <w:pPr>
                      <w:jc w:val="right"/>
                      <w:rPr>
                        <w:sz w:val="16"/>
                        <w:szCs w:val="16"/>
                      </w:rPr>
                    </w:pPr>
                    <w:r>
                      <w:rPr>
                        <w:rFonts w:hint="eastAsia"/>
                        <w:sz w:val="16"/>
                        <w:szCs w:val="16"/>
                      </w:rPr>
                      <w:t>-</w:t>
                    </w:r>
                  </w:p>
                </w:tc>
                <w:tc>
                  <w:tcPr>
                    <w:tcW w:w="405" w:type="pct"/>
                    <w:vAlign w:val="center"/>
                  </w:tcPr>
                  <w:p w:rsidR="0024594E" w:rsidRPr="00F121FB" w:rsidRDefault="008F04CF" w:rsidP="00B637B2">
                    <w:pPr>
                      <w:jc w:val="right"/>
                      <w:rPr>
                        <w:sz w:val="16"/>
                        <w:szCs w:val="16"/>
                      </w:rPr>
                    </w:pPr>
                    <w:r>
                      <w:rPr>
                        <w:rFonts w:hint="eastAsia"/>
                        <w:sz w:val="16"/>
                        <w:szCs w:val="16"/>
                      </w:rPr>
                      <w:t>-</w:t>
                    </w:r>
                    <w:r w:rsidRPr="00626C10">
                      <w:rPr>
                        <w:sz w:val="16"/>
                        <w:szCs w:val="16"/>
                      </w:rPr>
                      <w:t>438,367,868</w:t>
                    </w:r>
                  </w:p>
                </w:tc>
                <w:tc>
                  <w:tcPr>
                    <w:tcW w:w="361" w:type="pct"/>
                    <w:vAlign w:val="center"/>
                  </w:tcPr>
                  <w:p w:rsidR="0024594E" w:rsidRPr="00F121FB" w:rsidRDefault="008F04CF" w:rsidP="00B637B2">
                    <w:pPr>
                      <w:jc w:val="right"/>
                      <w:rPr>
                        <w:sz w:val="16"/>
                        <w:szCs w:val="16"/>
                      </w:rPr>
                    </w:pPr>
                    <w:r>
                      <w:rPr>
                        <w:rFonts w:hint="eastAsia"/>
                        <w:sz w:val="16"/>
                        <w:szCs w:val="16"/>
                      </w:rPr>
                      <w:t>-</w:t>
                    </w:r>
                  </w:p>
                </w:tc>
                <w:tc>
                  <w:tcPr>
                    <w:tcW w:w="361" w:type="pct"/>
                    <w:vAlign w:val="center"/>
                  </w:tcPr>
                  <w:p w:rsidR="0024594E" w:rsidRPr="00F121FB" w:rsidRDefault="008F04CF" w:rsidP="00B637B2">
                    <w:pPr>
                      <w:jc w:val="right"/>
                      <w:rPr>
                        <w:sz w:val="16"/>
                        <w:szCs w:val="16"/>
                      </w:rPr>
                    </w:pPr>
                    <w:r>
                      <w:rPr>
                        <w:rFonts w:hint="eastAsia"/>
                        <w:sz w:val="16"/>
                        <w:szCs w:val="16"/>
                      </w:rPr>
                      <w:t>-</w:t>
                    </w:r>
                  </w:p>
                </w:tc>
                <w:tc>
                  <w:tcPr>
                    <w:tcW w:w="134" w:type="pct"/>
                    <w:vAlign w:val="center"/>
                  </w:tcPr>
                  <w:p w:rsidR="0024594E" w:rsidRPr="00F121FB" w:rsidRDefault="008F04CF" w:rsidP="00B637B2">
                    <w:pPr>
                      <w:jc w:val="right"/>
                      <w:rPr>
                        <w:sz w:val="16"/>
                        <w:szCs w:val="16"/>
                      </w:rPr>
                    </w:pPr>
                    <w:r>
                      <w:rPr>
                        <w:rFonts w:hint="eastAsia"/>
                        <w:sz w:val="16"/>
                        <w:szCs w:val="16"/>
                      </w:rPr>
                      <w:t>-</w:t>
                    </w:r>
                  </w:p>
                </w:tc>
                <w:tc>
                  <w:tcPr>
                    <w:tcW w:w="361" w:type="pct"/>
                    <w:vAlign w:val="center"/>
                  </w:tcPr>
                  <w:p w:rsidR="0024594E" w:rsidRPr="00F121FB" w:rsidRDefault="008F04CF" w:rsidP="00B637B2">
                    <w:pPr>
                      <w:jc w:val="right"/>
                      <w:rPr>
                        <w:sz w:val="16"/>
                        <w:szCs w:val="16"/>
                      </w:rPr>
                    </w:pPr>
                    <w:r>
                      <w:rPr>
                        <w:rFonts w:hint="eastAsia"/>
                        <w:sz w:val="16"/>
                        <w:szCs w:val="16"/>
                      </w:rPr>
                      <w:t>-</w:t>
                    </w:r>
                  </w:p>
                </w:tc>
                <w:tc>
                  <w:tcPr>
                    <w:tcW w:w="179" w:type="pct"/>
                    <w:vAlign w:val="center"/>
                  </w:tcPr>
                  <w:p w:rsidR="0024594E" w:rsidRPr="00F121FB" w:rsidRDefault="008F04CF" w:rsidP="00B637B2">
                    <w:pPr>
                      <w:jc w:val="right"/>
                      <w:rPr>
                        <w:sz w:val="16"/>
                        <w:szCs w:val="16"/>
                      </w:rPr>
                    </w:pPr>
                    <w:r>
                      <w:rPr>
                        <w:rFonts w:hint="eastAsia"/>
                        <w:sz w:val="16"/>
                        <w:szCs w:val="16"/>
                      </w:rPr>
                      <w:t>-</w:t>
                    </w:r>
                  </w:p>
                </w:tc>
                <w:tc>
                  <w:tcPr>
                    <w:tcW w:w="406" w:type="pct"/>
                    <w:vAlign w:val="center"/>
                  </w:tcPr>
                  <w:p w:rsidR="0024594E" w:rsidRPr="00F121FB" w:rsidRDefault="008F04CF" w:rsidP="00B637B2">
                    <w:pPr>
                      <w:jc w:val="right"/>
                      <w:rPr>
                        <w:sz w:val="16"/>
                        <w:szCs w:val="16"/>
                      </w:rPr>
                    </w:pPr>
                    <w:r>
                      <w:rPr>
                        <w:rFonts w:hint="eastAsia"/>
                        <w:sz w:val="16"/>
                        <w:szCs w:val="16"/>
                      </w:rPr>
                      <w:t>-</w:t>
                    </w:r>
                  </w:p>
                </w:tc>
                <w:tc>
                  <w:tcPr>
                    <w:tcW w:w="139" w:type="pct"/>
                    <w:vAlign w:val="center"/>
                  </w:tcPr>
                  <w:p w:rsidR="0024594E" w:rsidRPr="00F121FB" w:rsidRDefault="008F04CF" w:rsidP="00B637B2">
                    <w:pPr>
                      <w:jc w:val="right"/>
                      <w:rPr>
                        <w:sz w:val="16"/>
                        <w:szCs w:val="16"/>
                      </w:rPr>
                    </w:pPr>
                    <w:r>
                      <w:rPr>
                        <w:rFonts w:hint="eastAsia"/>
                        <w:sz w:val="16"/>
                        <w:szCs w:val="16"/>
                      </w:rPr>
                      <w:t>-</w:t>
                    </w:r>
                  </w:p>
                </w:tc>
                <w:tc>
                  <w:tcPr>
                    <w:tcW w:w="428" w:type="pct"/>
                    <w:vAlign w:val="center"/>
                  </w:tcPr>
                  <w:p w:rsidR="0024594E" w:rsidRPr="00F121FB" w:rsidRDefault="008F04CF" w:rsidP="00B637B2">
                    <w:pPr>
                      <w:jc w:val="right"/>
                      <w:rPr>
                        <w:sz w:val="16"/>
                        <w:szCs w:val="16"/>
                      </w:rPr>
                    </w:pPr>
                    <w:r>
                      <w:rPr>
                        <w:rFonts w:hint="eastAsia"/>
                        <w:sz w:val="16"/>
                        <w:szCs w:val="16"/>
                      </w:rPr>
                      <w:t>-</w:t>
                    </w:r>
                  </w:p>
                </w:tc>
                <w:tc>
                  <w:tcPr>
                    <w:tcW w:w="381" w:type="pct"/>
                    <w:vAlign w:val="center"/>
                  </w:tcPr>
                  <w:p w:rsidR="0024594E" w:rsidRPr="00F121FB" w:rsidRDefault="0024594E" w:rsidP="00B637B2">
                    <w:pPr>
                      <w:jc w:val="right"/>
                      <w:rPr>
                        <w:sz w:val="16"/>
                        <w:szCs w:val="16"/>
                      </w:rPr>
                    </w:pPr>
                    <w:r w:rsidRPr="00F121FB">
                      <w:rPr>
                        <w:sz w:val="16"/>
                        <w:szCs w:val="16"/>
                      </w:rPr>
                      <w:t>-</w:t>
                    </w:r>
                  </w:p>
                </w:tc>
                <w:tc>
                  <w:tcPr>
                    <w:tcW w:w="404" w:type="pct"/>
                    <w:vAlign w:val="center"/>
                  </w:tcPr>
                  <w:p w:rsidR="0024594E" w:rsidRPr="00F121FB" w:rsidRDefault="008F04CF" w:rsidP="00B637B2">
                    <w:pPr>
                      <w:jc w:val="right"/>
                      <w:rPr>
                        <w:sz w:val="16"/>
                        <w:szCs w:val="16"/>
                      </w:rPr>
                    </w:pPr>
                    <w:r>
                      <w:rPr>
                        <w:rFonts w:hint="eastAsia"/>
                        <w:sz w:val="16"/>
                        <w:szCs w:val="16"/>
                      </w:rPr>
                      <w:t>-</w:t>
                    </w:r>
                  </w:p>
                </w:tc>
              </w:tr>
              <w:tr w:rsidR="00B637B2" w:rsidTr="00B637B2">
                <w:sdt>
                  <w:sdtPr>
                    <w:rPr>
                      <w:sz w:val="16"/>
                      <w:szCs w:val="16"/>
                    </w:rPr>
                    <w:tag w:val="_PLD_8874e17dc09c419baab53299f7967f44"/>
                    <w:id w:val="1611853490"/>
                    <w:lock w:val="sdtLocked"/>
                  </w:sdtPr>
                  <w:sdtContent>
                    <w:tc>
                      <w:tcPr>
                        <w:tcW w:w="631" w:type="pct"/>
                      </w:tcPr>
                      <w:p w:rsidR="0024594E" w:rsidRPr="00F121FB" w:rsidRDefault="0024594E" w:rsidP="0024594E">
                        <w:pPr>
                          <w:rPr>
                            <w:sz w:val="16"/>
                            <w:szCs w:val="16"/>
                          </w:rPr>
                        </w:pPr>
                        <w:r w:rsidRPr="00F121FB">
                          <w:rPr>
                            <w:sz w:val="16"/>
                            <w:szCs w:val="16"/>
                          </w:rPr>
                          <w:t>2．盈余公积转增资本（或股本）</w:t>
                        </w:r>
                      </w:p>
                    </w:tc>
                  </w:sdtContent>
                </w:sdt>
                <w:tc>
                  <w:tcPr>
                    <w:tcW w:w="405" w:type="pct"/>
                    <w:vAlign w:val="center"/>
                  </w:tcPr>
                  <w:p w:rsidR="0024594E" w:rsidRPr="00F121FB" w:rsidRDefault="008F04CF" w:rsidP="00B637B2">
                    <w:pPr>
                      <w:jc w:val="right"/>
                      <w:rPr>
                        <w:sz w:val="16"/>
                        <w:szCs w:val="16"/>
                      </w:rPr>
                    </w:pPr>
                    <w:r>
                      <w:rPr>
                        <w:rFonts w:hint="eastAsia"/>
                        <w:sz w:val="16"/>
                        <w:szCs w:val="16"/>
                      </w:rPr>
                      <w:t>-</w:t>
                    </w:r>
                  </w:p>
                </w:tc>
                <w:tc>
                  <w:tcPr>
                    <w:tcW w:w="135" w:type="pct"/>
                    <w:vAlign w:val="center"/>
                  </w:tcPr>
                  <w:p w:rsidR="0024594E" w:rsidRPr="00F121FB" w:rsidRDefault="008F04CF" w:rsidP="00B637B2">
                    <w:pPr>
                      <w:jc w:val="right"/>
                      <w:rPr>
                        <w:sz w:val="16"/>
                        <w:szCs w:val="16"/>
                      </w:rPr>
                    </w:pPr>
                    <w:r>
                      <w:rPr>
                        <w:rFonts w:hint="eastAsia"/>
                        <w:sz w:val="16"/>
                        <w:szCs w:val="16"/>
                      </w:rPr>
                      <w:t>-</w:t>
                    </w:r>
                  </w:p>
                </w:tc>
                <w:tc>
                  <w:tcPr>
                    <w:tcW w:w="135" w:type="pct"/>
                    <w:vAlign w:val="center"/>
                  </w:tcPr>
                  <w:p w:rsidR="0024594E" w:rsidRPr="00F121FB" w:rsidRDefault="008F04CF" w:rsidP="00B637B2">
                    <w:pPr>
                      <w:jc w:val="right"/>
                      <w:rPr>
                        <w:sz w:val="16"/>
                        <w:szCs w:val="16"/>
                      </w:rPr>
                    </w:pPr>
                    <w:r>
                      <w:rPr>
                        <w:rFonts w:hint="eastAsia"/>
                        <w:sz w:val="16"/>
                        <w:szCs w:val="16"/>
                      </w:rPr>
                      <w:t>-</w:t>
                    </w:r>
                  </w:p>
                </w:tc>
                <w:tc>
                  <w:tcPr>
                    <w:tcW w:w="135" w:type="pct"/>
                    <w:vAlign w:val="center"/>
                  </w:tcPr>
                  <w:p w:rsidR="0024594E" w:rsidRPr="00F121FB" w:rsidRDefault="008F04CF" w:rsidP="00B637B2">
                    <w:pPr>
                      <w:jc w:val="right"/>
                      <w:rPr>
                        <w:sz w:val="16"/>
                        <w:szCs w:val="16"/>
                      </w:rPr>
                    </w:pPr>
                    <w:r>
                      <w:rPr>
                        <w:rFonts w:hint="eastAsia"/>
                        <w:sz w:val="16"/>
                        <w:szCs w:val="16"/>
                      </w:rPr>
                      <w:t>-</w:t>
                    </w:r>
                  </w:p>
                </w:tc>
                <w:tc>
                  <w:tcPr>
                    <w:tcW w:w="405" w:type="pct"/>
                    <w:vAlign w:val="center"/>
                  </w:tcPr>
                  <w:p w:rsidR="0024594E" w:rsidRPr="00F121FB" w:rsidRDefault="008F04CF" w:rsidP="00B637B2">
                    <w:pPr>
                      <w:jc w:val="right"/>
                      <w:rPr>
                        <w:sz w:val="16"/>
                        <w:szCs w:val="16"/>
                      </w:rPr>
                    </w:pPr>
                    <w:r>
                      <w:rPr>
                        <w:rFonts w:hint="eastAsia"/>
                        <w:sz w:val="16"/>
                        <w:szCs w:val="16"/>
                      </w:rPr>
                      <w:t>-</w:t>
                    </w:r>
                  </w:p>
                </w:tc>
                <w:tc>
                  <w:tcPr>
                    <w:tcW w:w="361" w:type="pct"/>
                    <w:vAlign w:val="center"/>
                  </w:tcPr>
                  <w:p w:rsidR="0024594E" w:rsidRPr="00F121FB" w:rsidRDefault="008F04CF" w:rsidP="00B637B2">
                    <w:pPr>
                      <w:jc w:val="right"/>
                      <w:rPr>
                        <w:sz w:val="16"/>
                        <w:szCs w:val="16"/>
                      </w:rPr>
                    </w:pPr>
                    <w:r>
                      <w:rPr>
                        <w:rFonts w:hint="eastAsia"/>
                        <w:sz w:val="16"/>
                        <w:szCs w:val="16"/>
                      </w:rPr>
                      <w:t>-</w:t>
                    </w:r>
                  </w:p>
                </w:tc>
                <w:tc>
                  <w:tcPr>
                    <w:tcW w:w="361" w:type="pct"/>
                    <w:vAlign w:val="center"/>
                  </w:tcPr>
                  <w:p w:rsidR="0024594E" w:rsidRPr="00F121FB" w:rsidRDefault="008F04CF" w:rsidP="00B637B2">
                    <w:pPr>
                      <w:jc w:val="right"/>
                      <w:rPr>
                        <w:sz w:val="16"/>
                        <w:szCs w:val="16"/>
                      </w:rPr>
                    </w:pPr>
                    <w:r>
                      <w:rPr>
                        <w:rFonts w:hint="eastAsia"/>
                        <w:sz w:val="16"/>
                        <w:szCs w:val="16"/>
                      </w:rPr>
                      <w:t>-</w:t>
                    </w:r>
                  </w:p>
                </w:tc>
                <w:tc>
                  <w:tcPr>
                    <w:tcW w:w="134" w:type="pct"/>
                    <w:vAlign w:val="center"/>
                  </w:tcPr>
                  <w:p w:rsidR="0024594E" w:rsidRPr="00F121FB" w:rsidRDefault="008F04CF" w:rsidP="00B637B2">
                    <w:pPr>
                      <w:jc w:val="right"/>
                      <w:rPr>
                        <w:sz w:val="16"/>
                        <w:szCs w:val="16"/>
                      </w:rPr>
                    </w:pPr>
                    <w:r>
                      <w:rPr>
                        <w:rFonts w:hint="eastAsia"/>
                        <w:sz w:val="16"/>
                        <w:szCs w:val="16"/>
                      </w:rPr>
                      <w:t>-</w:t>
                    </w:r>
                  </w:p>
                </w:tc>
                <w:tc>
                  <w:tcPr>
                    <w:tcW w:w="361" w:type="pct"/>
                    <w:vAlign w:val="center"/>
                  </w:tcPr>
                  <w:p w:rsidR="0024594E" w:rsidRPr="00F121FB" w:rsidRDefault="0024594E" w:rsidP="00B637B2">
                    <w:pPr>
                      <w:jc w:val="right"/>
                      <w:rPr>
                        <w:sz w:val="16"/>
                        <w:szCs w:val="16"/>
                      </w:rPr>
                    </w:pPr>
                    <w:r w:rsidRPr="00F121FB">
                      <w:rPr>
                        <w:sz w:val="16"/>
                        <w:szCs w:val="16"/>
                      </w:rPr>
                      <w:t>-</w:t>
                    </w:r>
                  </w:p>
                </w:tc>
                <w:tc>
                  <w:tcPr>
                    <w:tcW w:w="179" w:type="pct"/>
                    <w:vAlign w:val="center"/>
                  </w:tcPr>
                  <w:p w:rsidR="0024594E" w:rsidRPr="00F121FB" w:rsidRDefault="008F04CF" w:rsidP="00B637B2">
                    <w:pPr>
                      <w:jc w:val="right"/>
                      <w:rPr>
                        <w:sz w:val="16"/>
                        <w:szCs w:val="16"/>
                      </w:rPr>
                    </w:pPr>
                    <w:r>
                      <w:rPr>
                        <w:rFonts w:hint="eastAsia"/>
                        <w:sz w:val="16"/>
                        <w:szCs w:val="16"/>
                      </w:rPr>
                      <w:t>-</w:t>
                    </w:r>
                  </w:p>
                </w:tc>
                <w:tc>
                  <w:tcPr>
                    <w:tcW w:w="406" w:type="pct"/>
                    <w:vAlign w:val="center"/>
                  </w:tcPr>
                  <w:p w:rsidR="0024594E" w:rsidRPr="00F121FB" w:rsidRDefault="008F04CF" w:rsidP="00B637B2">
                    <w:pPr>
                      <w:jc w:val="right"/>
                      <w:rPr>
                        <w:sz w:val="16"/>
                        <w:szCs w:val="16"/>
                      </w:rPr>
                    </w:pPr>
                    <w:r>
                      <w:rPr>
                        <w:rFonts w:hint="eastAsia"/>
                        <w:sz w:val="16"/>
                        <w:szCs w:val="16"/>
                      </w:rPr>
                      <w:t>-</w:t>
                    </w:r>
                  </w:p>
                </w:tc>
                <w:tc>
                  <w:tcPr>
                    <w:tcW w:w="139" w:type="pct"/>
                    <w:vAlign w:val="center"/>
                  </w:tcPr>
                  <w:p w:rsidR="0024594E" w:rsidRPr="00F121FB" w:rsidRDefault="008F04CF" w:rsidP="00B637B2">
                    <w:pPr>
                      <w:jc w:val="right"/>
                      <w:rPr>
                        <w:sz w:val="16"/>
                        <w:szCs w:val="16"/>
                      </w:rPr>
                    </w:pPr>
                    <w:r>
                      <w:rPr>
                        <w:rFonts w:hint="eastAsia"/>
                        <w:sz w:val="16"/>
                        <w:szCs w:val="16"/>
                      </w:rPr>
                      <w:t>-</w:t>
                    </w:r>
                  </w:p>
                </w:tc>
                <w:tc>
                  <w:tcPr>
                    <w:tcW w:w="428" w:type="pct"/>
                    <w:vAlign w:val="center"/>
                  </w:tcPr>
                  <w:p w:rsidR="0024594E" w:rsidRPr="00F121FB" w:rsidRDefault="008F04CF" w:rsidP="00B637B2">
                    <w:pPr>
                      <w:jc w:val="right"/>
                      <w:rPr>
                        <w:sz w:val="16"/>
                        <w:szCs w:val="16"/>
                      </w:rPr>
                    </w:pPr>
                    <w:r>
                      <w:rPr>
                        <w:rFonts w:hint="eastAsia"/>
                        <w:sz w:val="16"/>
                        <w:szCs w:val="16"/>
                      </w:rPr>
                      <w:t>-</w:t>
                    </w:r>
                  </w:p>
                </w:tc>
                <w:tc>
                  <w:tcPr>
                    <w:tcW w:w="381" w:type="pct"/>
                    <w:vAlign w:val="center"/>
                  </w:tcPr>
                  <w:p w:rsidR="0024594E" w:rsidRPr="00F121FB" w:rsidRDefault="008F04CF" w:rsidP="00B637B2">
                    <w:pPr>
                      <w:jc w:val="right"/>
                      <w:rPr>
                        <w:sz w:val="16"/>
                        <w:szCs w:val="16"/>
                      </w:rPr>
                    </w:pPr>
                    <w:r>
                      <w:rPr>
                        <w:rFonts w:hint="eastAsia"/>
                        <w:sz w:val="16"/>
                        <w:szCs w:val="16"/>
                      </w:rPr>
                      <w:t>-</w:t>
                    </w:r>
                  </w:p>
                </w:tc>
                <w:tc>
                  <w:tcPr>
                    <w:tcW w:w="404" w:type="pct"/>
                    <w:vAlign w:val="center"/>
                  </w:tcPr>
                  <w:p w:rsidR="0024594E" w:rsidRPr="00F121FB" w:rsidRDefault="008F04CF" w:rsidP="00B637B2">
                    <w:pPr>
                      <w:jc w:val="right"/>
                      <w:rPr>
                        <w:sz w:val="16"/>
                        <w:szCs w:val="16"/>
                      </w:rPr>
                    </w:pPr>
                    <w:r>
                      <w:rPr>
                        <w:rFonts w:hint="eastAsia"/>
                        <w:sz w:val="16"/>
                        <w:szCs w:val="16"/>
                      </w:rPr>
                      <w:t>-</w:t>
                    </w:r>
                  </w:p>
                </w:tc>
              </w:tr>
              <w:tr w:rsidR="00B637B2" w:rsidTr="00B637B2">
                <w:sdt>
                  <w:sdtPr>
                    <w:rPr>
                      <w:sz w:val="16"/>
                      <w:szCs w:val="16"/>
                    </w:rPr>
                    <w:tag w:val="_PLD_e3c6e2e078f649258bfa4dadb9266249"/>
                    <w:id w:val="-1692995194"/>
                    <w:lock w:val="sdtLocked"/>
                  </w:sdtPr>
                  <w:sdtContent>
                    <w:tc>
                      <w:tcPr>
                        <w:tcW w:w="631" w:type="pct"/>
                      </w:tcPr>
                      <w:p w:rsidR="0024594E" w:rsidRPr="00F121FB" w:rsidRDefault="0024594E" w:rsidP="0024594E">
                        <w:pPr>
                          <w:rPr>
                            <w:sz w:val="16"/>
                            <w:szCs w:val="16"/>
                          </w:rPr>
                        </w:pPr>
                        <w:r w:rsidRPr="00F121FB">
                          <w:rPr>
                            <w:sz w:val="16"/>
                            <w:szCs w:val="16"/>
                          </w:rPr>
                          <w:t>3．盈余公积弥补亏损</w:t>
                        </w:r>
                      </w:p>
                    </w:tc>
                  </w:sdtContent>
                </w:sdt>
                <w:tc>
                  <w:tcPr>
                    <w:tcW w:w="405" w:type="pct"/>
                    <w:vAlign w:val="center"/>
                  </w:tcPr>
                  <w:p w:rsidR="0024594E" w:rsidRPr="00F121FB" w:rsidRDefault="0024594E" w:rsidP="00B637B2">
                    <w:pPr>
                      <w:jc w:val="right"/>
                      <w:rPr>
                        <w:sz w:val="16"/>
                        <w:szCs w:val="16"/>
                      </w:rPr>
                    </w:pPr>
                    <w:r w:rsidRPr="00F121FB">
                      <w:rPr>
                        <w:sz w:val="16"/>
                        <w:szCs w:val="16"/>
                      </w:rPr>
                      <w:t>-</w:t>
                    </w:r>
                  </w:p>
                </w:tc>
                <w:tc>
                  <w:tcPr>
                    <w:tcW w:w="135" w:type="pct"/>
                    <w:vAlign w:val="center"/>
                  </w:tcPr>
                  <w:p w:rsidR="0024594E" w:rsidRPr="00F121FB" w:rsidRDefault="008F04CF" w:rsidP="00B637B2">
                    <w:pPr>
                      <w:jc w:val="right"/>
                      <w:rPr>
                        <w:sz w:val="16"/>
                        <w:szCs w:val="16"/>
                      </w:rPr>
                    </w:pPr>
                    <w:r>
                      <w:rPr>
                        <w:rFonts w:hint="eastAsia"/>
                        <w:sz w:val="16"/>
                        <w:szCs w:val="16"/>
                      </w:rPr>
                      <w:t>-</w:t>
                    </w:r>
                  </w:p>
                </w:tc>
                <w:tc>
                  <w:tcPr>
                    <w:tcW w:w="135" w:type="pct"/>
                    <w:vAlign w:val="center"/>
                  </w:tcPr>
                  <w:p w:rsidR="0024594E" w:rsidRPr="00F121FB" w:rsidRDefault="0024594E" w:rsidP="00B637B2">
                    <w:pPr>
                      <w:jc w:val="right"/>
                      <w:rPr>
                        <w:sz w:val="16"/>
                        <w:szCs w:val="16"/>
                      </w:rPr>
                    </w:pPr>
                    <w:r w:rsidRPr="00F121FB">
                      <w:rPr>
                        <w:sz w:val="16"/>
                        <w:szCs w:val="16"/>
                      </w:rPr>
                      <w:t>-</w:t>
                    </w:r>
                  </w:p>
                </w:tc>
                <w:tc>
                  <w:tcPr>
                    <w:tcW w:w="135" w:type="pct"/>
                    <w:vAlign w:val="center"/>
                  </w:tcPr>
                  <w:p w:rsidR="0024594E" w:rsidRPr="00F121FB" w:rsidRDefault="008F04CF" w:rsidP="00B637B2">
                    <w:pPr>
                      <w:jc w:val="right"/>
                      <w:rPr>
                        <w:sz w:val="16"/>
                        <w:szCs w:val="16"/>
                      </w:rPr>
                    </w:pPr>
                    <w:r>
                      <w:rPr>
                        <w:rFonts w:hint="eastAsia"/>
                        <w:sz w:val="16"/>
                        <w:szCs w:val="16"/>
                      </w:rPr>
                      <w:t>-</w:t>
                    </w:r>
                  </w:p>
                </w:tc>
                <w:tc>
                  <w:tcPr>
                    <w:tcW w:w="405" w:type="pct"/>
                    <w:vAlign w:val="center"/>
                  </w:tcPr>
                  <w:p w:rsidR="0024594E" w:rsidRPr="00F121FB" w:rsidRDefault="0024594E" w:rsidP="00B637B2">
                    <w:pPr>
                      <w:jc w:val="right"/>
                      <w:rPr>
                        <w:sz w:val="16"/>
                        <w:szCs w:val="16"/>
                      </w:rPr>
                    </w:pPr>
                    <w:r w:rsidRPr="00F121FB">
                      <w:rPr>
                        <w:sz w:val="16"/>
                        <w:szCs w:val="16"/>
                      </w:rPr>
                      <w:t>-</w:t>
                    </w:r>
                  </w:p>
                </w:tc>
                <w:tc>
                  <w:tcPr>
                    <w:tcW w:w="361" w:type="pct"/>
                    <w:vAlign w:val="center"/>
                  </w:tcPr>
                  <w:p w:rsidR="0024594E" w:rsidRPr="00F121FB" w:rsidRDefault="008F04CF" w:rsidP="00B637B2">
                    <w:pPr>
                      <w:jc w:val="right"/>
                      <w:rPr>
                        <w:sz w:val="16"/>
                        <w:szCs w:val="16"/>
                      </w:rPr>
                    </w:pPr>
                    <w:r>
                      <w:rPr>
                        <w:rFonts w:hint="eastAsia"/>
                        <w:sz w:val="16"/>
                        <w:szCs w:val="16"/>
                      </w:rPr>
                      <w:t>-</w:t>
                    </w:r>
                  </w:p>
                </w:tc>
                <w:tc>
                  <w:tcPr>
                    <w:tcW w:w="361" w:type="pct"/>
                    <w:vAlign w:val="center"/>
                  </w:tcPr>
                  <w:p w:rsidR="0024594E" w:rsidRPr="00F121FB" w:rsidRDefault="008F04CF" w:rsidP="00B637B2">
                    <w:pPr>
                      <w:jc w:val="right"/>
                      <w:rPr>
                        <w:sz w:val="16"/>
                        <w:szCs w:val="16"/>
                      </w:rPr>
                    </w:pPr>
                    <w:r>
                      <w:rPr>
                        <w:rFonts w:hint="eastAsia"/>
                        <w:sz w:val="16"/>
                        <w:szCs w:val="16"/>
                      </w:rPr>
                      <w:t>-</w:t>
                    </w:r>
                  </w:p>
                </w:tc>
                <w:tc>
                  <w:tcPr>
                    <w:tcW w:w="134" w:type="pct"/>
                    <w:vAlign w:val="center"/>
                  </w:tcPr>
                  <w:p w:rsidR="0024594E" w:rsidRPr="00F121FB" w:rsidRDefault="008F04CF" w:rsidP="00B637B2">
                    <w:pPr>
                      <w:jc w:val="right"/>
                      <w:rPr>
                        <w:sz w:val="16"/>
                        <w:szCs w:val="16"/>
                      </w:rPr>
                    </w:pPr>
                    <w:r>
                      <w:rPr>
                        <w:rFonts w:hint="eastAsia"/>
                        <w:sz w:val="16"/>
                        <w:szCs w:val="16"/>
                      </w:rPr>
                      <w:t>-</w:t>
                    </w:r>
                  </w:p>
                </w:tc>
                <w:tc>
                  <w:tcPr>
                    <w:tcW w:w="361" w:type="pct"/>
                    <w:vAlign w:val="center"/>
                  </w:tcPr>
                  <w:p w:rsidR="0024594E" w:rsidRPr="00F121FB" w:rsidRDefault="0024594E" w:rsidP="00B637B2">
                    <w:pPr>
                      <w:jc w:val="right"/>
                      <w:rPr>
                        <w:sz w:val="16"/>
                        <w:szCs w:val="16"/>
                      </w:rPr>
                    </w:pPr>
                    <w:r w:rsidRPr="00F121FB">
                      <w:rPr>
                        <w:sz w:val="16"/>
                        <w:szCs w:val="16"/>
                      </w:rPr>
                      <w:t>-</w:t>
                    </w:r>
                  </w:p>
                </w:tc>
                <w:tc>
                  <w:tcPr>
                    <w:tcW w:w="179" w:type="pct"/>
                    <w:vAlign w:val="center"/>
                  </w:tcPr>
                  <w:p w:rsidR="0024594E" w:rsidRPr="00F121FB" w:rsidRDefault="008F04CF" w:rsidP="00B637B2">
                    <w:pPr>
                      <w:jc w:val="right"/>
                      <w:rPr>
                        <w:sz w:val="16"/>
                        <w:szCs w:val="16"/>
                      </w:rPr>
                    </w:pPr>
                    <w:r>
                      <w:rPr>
                        <w:rFonts w:hint="eastAsia"/>
                        <w:sz w:val="16"/>
                        <w:szCs w:val="16"/>
                      </w:rPr>
                      <w:t>-</w:t>
                    </w:r>
                  </w:p>
                </w:tc>
                <w:tc>
                  <w:tcPr>
                    <w:tcW w:w="406" w:type="pct"/>
                    <w:vAlign w:val="center"/>
                  </w:tcPr>
                  <w:p w:rsidR="0024594E" w:rsidRPr="00F121FB" w:rsidRDefault="008F04CF" w:rsidP="00B637B2">
                    <w:pPr>
                      <w:jc w:val="right"/>
                      <w:rPr>
                        <w:sz w:val="16"/>
                        <w:szCs w:val="16"/>
                      </w:rPr>
                    </w:pPr>
                    <w:r>
                      <w:rPr>
                        <w:rFonts w:hint="eastAsia"/>
                        <w:sz w:val="16"/>
                        <w:szCs w:val="16"/>
                      </w:rPr>
                      <w:t>-</w:t>
                    </w:r>
                  </w:p>
                </w:tc>
                <w:tc>
                  <w:tcPr>
                    <w:tcW w:w="139" w:type="pct"/>
                    <w:vAlign w:val="center"/>
                  </w:tcPr>
                  <w:p w:rsidR="0024594E" w:rsidRPr="00F121FB" w:rsidRDefault="008F04CF" w:rsidP="00B637B2">
                    <w:pPr>
                      <w:jc w:val="right"/>
                      <w:rPr>
                        <w:sz w:val="16"/>
                        <w:szCs w:val="16"/>
                      </w:rPr>
                    </w:pPr>
                    <w:r>
                      <w:rPr>
                        <w:rFonts w:hint="eastAsia"/>
                        <w:sz w:val="16"/>
                        <w:szCs w:val="16"/>
                      </w:rPr>
                      <w:t>-</w:t>
                    </w:r>
                  </w:p>
                </w:tc>
                <w:tc>
                  <w:tcPr>
                    <w:tcW w:w="428" w:type="pct"/>
                    <w:vAlign w:val="center"/>
                  </w:tcPr>
                  <w:p w:rsidR="0024594E" w:rsidRPr="00F121FB" w:rsidRDefault="008F04CF" w:rsidP="00B637B2">
                    <w:pPr>
                      <w:jc w:val="right"/>
                      <w:rPr>
                        <w:sz w:val="16"/>
                        <w:szCs w:val="16"/>
                      </w:rPr>
                    </w:pPr>
                    <w:r>
                      <w:rPr>
                        <w:rFonts w:hint="eastAsia"/>
                        <w:sz w:val="16"/>
                        <w:szCs w:val="16"/>
                      </w:rPr>
                      <w:t>-</w:t>
                    </w:r>
                  </w:p>
                </w:tc>
                <w:tc>
                  <w:tcPr>
                    <w:tcW w:w="381" w:type="pct"/>
                    <w:vAlign w:val="center"/>
                  </w:tcPr>
                  <w:p w:rsidR="0024594E" w:rsidRPr="00F121FB" w:rsidRDefault="008F04CF" w:rsidP="00B637B2">
                    <w:pPr>
                      <w:jc w:val="right"/>
                      <w:rPr>
                        <w:sz w:val="16"/>
                        <w:szCs w:val="16"/>
                      </w:rPr>
                    </w:pPr>
                    <w:r>
                      <w:rPr>
                        <w:rFonts w:hint="eastAsia"/>
                        <w:sz w:val="16"/>
                        <w:szCs w:val="16"/>
                      </w:rPr>
                      <w:t>-</w:t>
                    </w:r>
                  </w:p>
                </w:tc>
                <w:tc>
                  <w:tcPr>
                    <w:tcW w:w="404" w:type="pct"/>
                    <w:vAlign w:val="center"/>
                  </w:tcPr>
                  <w:p w:rsidR="0024594E" w:rsidRPr="00F121FB" w:rsidRDefault="008F04CF" w:rsidP="00B637B2">
                    <w:pPr>
                      <w:jc w:val="right"/>
                      <w:rPr>
                        <w:sz w:val="16"/>
                        <w:szCs w:val="16"/>
                      </w:rPr>
                    </w:pPr>
                    <w:r>
                      <w:rPr>
                        <w:rFonts w:hint="eastAsia"/>
                        <w:sz w:val="16"/>
                        <w:szCs w:val="16"/>
                      </w:rPr>
                      <w:t>-</w:t>
                    </w:r>
                  </w:p>
                </w:tc>
              </w:tr>
              <w:tr w:rsidR="00B637B2" w:rsidTr="00B637B2">
                <w:tc>
                  <w:tcPr>
                    <w:tcW w:w="631" w:type="pct"/>
                  </w:tcPr>
                  <w:sdt>
                    <w:sdtPr>
                      <w:rPr>
                        <w:sz w:val="16"/>
                        <w:szCs w:val="16"/>
                      </w:rPr>
                      <w:tag w:val="_PLD_7a03b853b8c74c2fb2e89f59e327b578"/>
                      <w:id w:val="173995859"/>
                      <w:lock w:val="sdtLocked"/>
                    </w:sdtPr>
                    <w:sdtContent>
                      <w:p w:rsidR="0024594E" w:rsidRPr="00F121FB" w:rsidRDefault="0024594E" w:rsidP="0024594E">
                        <w:pPr>
                          <w:rPr>
                            <w:sz w:val="16"/>
                            <w:szCs w:val="16"/>
                          </w:rPr>
                        </w:pPr>
                        <w:r w:rsidRPr="00F121FB">
                          <w:rPr>
                            <w:sz w:val="16"/>
                            <w:szCs w:val="16"/>
                          </w:rPr>
                          <w:t>4．设定受益计划变动额结转留存收益</w:t>
                        </w:r>
                      </w:p>
                    </w:sdtContent>
                  </w:sdt>
                </w:tc>
                <w:tc>
                  <w:tcPr>
                    <w:tcW w:w="405" w:type="pct"/>
                    <w:vAlign w:val="center"/>
                  </w:tcPr>
                  <w:p w:rsidR="0024594E" w:rsidRPr="00F121FB" w:rsidRDefault="008F04CF" w:rsidP="00B637B2">
                    <w:pPr>
                      <w:jc w:val="right"/>
                      <w:rPr>
                        <w:sz w:val="16"/>
                        <w:szCs w:val="16"/>
                      </w:rPr>
                    </w:pPr>
                    <w:r>
                      <w:rPr>
                        <w:rFonts w:hint="eastAsia"/>
                        <w:sz w:val="16"/>
                        <w:szCs w:val="16"/>
                      </w:rPr>
                      <w:t>-</w:t>
                    </w:r>
                  </w:p>
                </w:tc>
                <w:tc>
                  <w:tcPr>
                    <w:tcW w:w="135" w:type="pct"/>
                    <w:vAlign w:val="center"/>
                  </w:tcPr>
                  <w:p w:rsidR="0024594E" w:rsidRPr="00F121FB" w:rsidRDefault="008F04CF" w:rsidP="00B637B2">
                    <w:pPr>
                      <w:jc w:val="right"/>
                      <w:rPr>
                        <w:sz w:val="16"/>
                        <w:szCs w:val="16"/>
                      </w:rPr>
                    </w:pPr>
                    <w:r>
                      <w:rPr>
                        <w:rFonts w:hint="eastAsia"/>
                        <w:sz w:val="16"/>
                        <w:szCs w:val="16"/>
                      </w:rPr>
                      <w:t>-</w:t>
                    </w:r>
                  </w:p>
                </w:tc>
                <w:tc>
                  <w:tcPr>
                    <w:tcW w:w="135" w:type="pct"/>
                    <w:vAlign w:val="center"/>
                  </w:tcPr>
                  <w:p w:rsidR="0024594E" w:rsidRPr="00F121FB" w:rsidRDefault="008F04CF" w:rsidP="00B637B2">
                    <w:pPr>
                      <w:jc w:val="right"/>
                      <w:rPr>
                        <w:sz w:val="16"/>
                        <w:szCs w:val="16"/>
                      </w:rPr>
                    </w:pPr>
                    <w:r>
                      <w:rPr>
                        <w:rFonts w:hint="eastAsia"/>
                        <w:sz w:val="16"/>
                        <w:szCs w:val="16"/>
                      </w:rPr>
                      <w:t>-</w:t>
                    </w:r>
                  </w:p>
                </w:tc>
                <w:tc>
                  <w:tcPr>
                    <w:tcW w:w="135" w:type="pct"/>
                    <w:vAlign w:val="center"/>
                  </w:tcPr>
                  <w:p w:rsidR="0024594E" w:rsidRPr="00F121FB" w:rsidRDefault="008F04CF" w:rsidP="00B637B2">
                    <w:pPr>
                      <w:jc w:val="right"/>
                      <w:rPr>
                        <w:sz w:val="16"/>
                        <w:szCs w:val="16"/>
                      </w:rPr>
                    </w:pPr>
                    <w:r>
                      <w:rPr>
                        <w:rFonts w:hint="eastAsia"/>
                        <w:sz w:val="16"/>
                        <w:szCs w:val="16"/>
                      </w:rPr>
                      <w:t>-</w:t>
                    </w:r>
                  </w:p>
                </w:tc>
                <w:tc>
                  <w:tcPr>
                    <w:tcW w:w="405" w:type="pct"/>
                    <w:vAlign w:val="center"/>
                  </w:tcPr>
                  <w:p w:rsidR="0024594E" w:rsidRPr="00F121FB" w:rsidRDefault="008F04CF" w:rsidP="00B637B2">
                    <w:pPr>
                      <w:jc w:val="right"/>
                      <w:rPr>
                        <w:sz w:val="16"/>
                        <w:szCs w:val="16"/>
                      </w:rPr>
                    </w:pPr>
                    <w:r>
                      <w:rPr>
                        <w:rFonts w:hint="eastAsia"/>
                        <w:sz w:val="16"/>
                        <w:szCs w:val="16"/>
                      </w:rPr>
                      <w:t>-</w:t>
                    </w:r>
                  </w:p>
                </w:tc>
                <w:tc>
                  <w:tcPr>
                    <w:tcW w:w="361" w:type="pct"/>
                    <w:vAlign w:val="center"/>
                  </w:tcPr>
                  <w:p w:rsidR="0024594E" w:rsidRPr="00F121FB" w:rsidRDefault="008F04CF" w:rsidP="00B637B2">
                    <w:pPr>
                      <w:jc w:val="right"/>
                      <w:rPr>
                        <w:sz w:val="16"/>
                        <w:szCs w:val="16"/>
                      </w:rPr>
                    </w:pPr>
                    <w:r>
                      <w:rPr>
                        <w:rFonts w:hint="eastAsia"/>
                        <w:sz w:val="16"/>
                        <w:szCs w:val="16"/>
                      </w:rPr>
                      <w:t>-</w:t>
                    </w:r>
                  </w:p>
                </w:tc>
                <w:tc>
                  <w:tcPr>
                    <w:tcW w:w="361" w:type="pct"/>
                    <w:vAlign w:val="center"/>
                  </w:tcPr>
                  <w:p w:rsidR="0024594E" w:rsidRPr="00F121FB" w:rsidRDefault="0024594E" w:rsidP="00B637B2">
                    <w:pPr>
                      <w:jc w:val="right"/>
                      <w:rPr>
                        <w:sz w:val="16"/>
                        <w:szCs w:val="16"/>
                      </w:rPr>
                    </w:pPr>
                    <w:r w:rsidRPr="00F121FB">
                      <w:rPr>
                        <w:sz w:val="16"/>
                        <w:szCs w:val="16"/>
                      </w:rPr>
                      <w:t>-</w:t>
                    </w:r>
                  </w:p>
                </w:tc>
                <w:tc>
                  <w:tcPr>
                    <w:tcW w:w="134" w:type="pct"/>
                    <w:vAlign w:val="center"/>
                  </w:tcPr>
                  <w:p w:rsidR="0024594E" w:rsidRPr="00F121FB" w:rsidRDefault="008F04CF" w:rsidP="00B637B2">
                    <w:pPr>
                      <w:jc w:val="right"/>
                      <w:rPr>
                        <w:sz w:val="16"/>
                        <w:szCs w:val="16"/>
                      </w:rPr>
                    </w:pPr>
                    <w:r>
                      <w:rPr>
                        <w:rFonts w:hint="eastAsia"/>
                        <w:sz w:val="16"/>
                        <w:szCs w:val="16"/>
                      </w:rPr>
                      <w:t>-</w:t>
                    </w:r>
                  </w:p>
                </w:tc>
                <w:tc>
                  <w:tcPr>
                    <w:tcW w:w="361" w:type="pct"/>
                    <w:vAlign w:val="center"/>
                  </w:tcPr>
                  <w:p w:rsidR="0024594E" w:rsidRPr="00F121FB" w:rsidRDefault="0024594E" w:rsidP="00B637B2">
                    <w:pPr>
                      <w:jc w:val="right"/>
                      <w:rPr>
                        <w:sz w:val="16"/>
                        <w:szCs w:val="16"/>
                      </w:rPr>
                    </w:pPr>
                    <w:r w:rsidRPr="00F121FB">
                      <w:rPr>
                        <w:sz w:val="16"/>
                        <w:szCs w:val="16"/>
                      </w:rPr>
                      <w:t>-</w:t>
                    </w:r>
                  </w:p>
                </w:tc>
                <w:tc>
                  <w:tcPr>
                    <w:tcW w:w="179" w:type="pct"/>
                    <w:vAlign w:val="center"/>
                  </w:tcPr>
                  <w:p w:rsidR="0024594E" w:rsidRPr="00F121FB" w:rsidRDefault="008F04CF" w:rsidP="00B637B2">
                    <w:pPr>
                      <w:jc w:val="right"/>
                      <w:rPr>
                        <w:sz w:val="16"/>
                        <w:szCs w:val="16"/>
                      </w:rPr>
                    </w:pPr>
                    <w:r>
                      <w:rPr>
                        <w:rFonts w:hint="eastAsia"/>
                        <w:sz w:val="16"/>
                        <w:szCs w:val="16"/>
                      </w:rPr>
                      <w:t>-</w:t>
                    </w:r>
                  </w:p>
                </w:tc>
                <w:tc>
                  <w:tcPr>
                    <w:tcW w:w="406" w:type="pct"/>
                    <w:vAlign w:val="center"/>
                  </w:tcPr>
                  <w:p w:rsidR="0024594E" w:rsidRPr="00F121FB" w:rsidRDefault="0024594E" w:rsidP="00B637B2">
                    <w:pPr>
                      <w:jc w:val="right"/>
                      <w:rPr>
                        <w:sz w:val="16"/>
                        <w:szCs w:val="16"/>
                      </w:rPr>
                    </w:pPr>
                    <w:r w:rsidRPr="00F121FB">
                      <w:rPr>
                        <w:sz w:val="16"/>
                        <w:szCs w:val="16"/>
                      </w:rPr>
                      <w:t>-</w:t>
                    </w:r>
                  </w:p>
                </w:tc>
                <w:tc>
                  <w:tcPr>
                    <w:tcW w:w="139" w:type="pct"/>
                    <w:vAlign w:val="center"/>
                  </w:tcPr>
                  <w:p w:rsidR="0024594E" w:rsidRPr="00F121FB" w:rsidRDefault="008F04CF" w:rsidP="00B637B2">
                    <w:pPr>
                      <w:jc w:val="right"/>
                      <w:rPr>
                        <w:sz w:val="16"/>
                        <w:szCs w:val="16"/>
                      </w:rPr>
                    </w:pPr>
                    <w:r>
                      <w:rPr>
                        <w:rFonts w:hint="eastAsia"/>
                        <w:sz w:val="16"/>
                        <w:szCs w:val="16"/>
                      </w:rPr>
                      <w:t>-</w:t>
                    </w:r>
                  </w:p>
                </w:tc>
                <w:tc>
                  <w:tcPr>
                    <w:tcW w:w="428" w:type="pct"/>
                    <w:vAlign w:val="center"/>
                  </w:tcPr>
                  <w:p w:rsidR="0024594E" w:rsidRPr="00F121FB" w:rsidRDefault="008F04CF" w:rsidP="00B637B2">
                    <w:pPr>
                      <w:jc w:val="right"/>
                      <w:rPr>
                        <w:sz w:val="16"/>
                        <w:szCs w:val="16"/>
                      </w:rPr>
                    </w:pPr>
                    <w:r>
                      <w:rPr>
                        <w:rFonts w:hint="eastAsia"/>
                        <w:sz w:val="16"/>
                        <w:szCs w:val="16"/>
                      </w:rPr>
                      <w:t>-</w:t>
                    </w:r>
                  </w:p>
                </w:tc>
                <w:tc>
                  <w:tcPr>
                    <w:tcW w:w="381" w:type="pct"/>
                    <w:vAlign w:val="center"/>
                  </w:tcPr>
                  <w:p w:rsidR="0024594E" w:rsidRPr="00F121FB" w:rsidRDefault="008F04CF" w:rsidP="00B637B2">
                    <w:pPr>
                      <w:jc w:val="right"/>
                      <w:rPr>
                        <w:sz w:val="16"/>
                        <w:szCs w:val="16"/>
                      </w:rPr>
                    </w:pPr>
                    <w:r>
                      <w:rPr>
                        <w:rFonts w:hint="eastAsia"/>
                        <w:sz w:val="16"/>
                        <w:szCs w:val="16"/>
                      </w:rPr>
                      <w:t>-</w:t>
                    </w:r>
                  </w:p>
                </w:tc>
                <w:tc>
                  <w:tcPr>
                    <w:tcW w:w="404" w:type="pct"/>
                    <w:vAlign w:val="center"/>
                  </w:tcPr>
                  <w:p w:rsidR="0024594E" w:rsidRPr="00F121FB" w:rsidRDefault="008F04CF" w:rsidP="00B637B2">
                    <w:pPr>
                      <w:jc w:val="right"/>
                      <w:rPr>
                        <w:sz w:val="16"/>
                        <w:szCs w:val="16"/>
                      </w:rPr>
                    </w:pPr>
                    <w:r>
                      <w:rPr>
                        <w:rFonts w:hint="eastAsia"/>
                        <w:sz w:val="16"/>
                        <w:szCs w:val="16"/>
                      </w:rPr>
                      <w:t>-</w:t>
                    </w:r>
                  </w:p>
                </w:tc>
              </w:tr>
              <w:tr w:rsidR="00B637B2" w:rsidTr="00B637B2">
                <w:tc>
                  <w:tcPr>
                    <w:tcW w:w="631" w:type="pct"/>
                  </w:tcPr>
                  <w:sdt>
                    <w:sdtPr>
                      <w:rPr>
                        <w:sz w:val="16"/>
                        <w:szCs w:val="16"/>
                      </w:rPr>
                      <w:tag w:val="_PLD_1db95d2c039e4fb6b41eae5a5c0aeb0a"/>
                      <w:id w:val="-1422558082"/>
                      <w:lock w:val="sdtLocked"/>
                    </w:sdtPr>
                    <w:sdtContent>
                      <w:p w:rsidR="0024594E" w:rsidRPr="00F121FB" w:rsidRDefault="0024594E" w:rsidP="0024594E">
                        <w:pPr>
                          <w:rPr>
                            <w:sz w:val="16"/>
                            <w:szCs w:val="16"/>
                          </w:rPr>
                        </w:pPr>
                        <w:r w:rsidRPr="00F121FB">
                          <w:rPr>
                            <w:sz w:val="16"/>
                            <w:szCs w:val="16"/>
                          </w:rPr>
                          <w:t>5．其他综合收益结转留存收益</w:t>
                        </w:r>
                      </w:p>
                    </w:sdtContent>
                  </w:sdt>
                </w:tc>
                <w:tc>
                  <w:tcPr>
                    <w:tcW w:w="405" w:type="pct"/>
                    <w:vAlign w:val="center"/>
                  </w:tcPr>
                  <w:p w:rsidR="0024594E" w:rsidRPr="00F121FB" w:rsidRDefault="0024594E" w:rsidP="00B637B2">
                    <w:pPr>
                      <w:jc w:val="right"/>
                      <w:rPr>
                        <w:sz w:val="16"/>
                        <w:szCs w:val="16"/>
                      </w:rPr>
                    </w:pPr>
                    <w:r w:rsidRPr="00F121FB">
                      <w:rPr>
                        <w:sz w:val="16"/>
                        <w:szCs w:val="16"/>
                      </w:rPr>
                      <w:t>-</w:t>
                    </w:r>
                  </w:p>
                </w:tc>
                <w:tc>
                  <w:tcPr>
                    <w:tcW w:w="135" w:type="pct"/>
                    <w:vAlign w:val="center"/>
                  </w:tcPr>
                  <w:p w:rsidR="0024594E" w:rsidRPr="00F121FB" w:rsidRDefault="008F04CF" w:rsidP="00B637B2">
                    <w:pPr>
                      <w:jc w:val="right"/>
                      <w:rPr>
                        <w:sz w:val="16"/>
                        <w:szCs w:val="16"/>
                      </w:rPr>
                    </w:pPr>
                    <w:r>
                      <w:rPr>
                        <w:rFonts w:hint="eastAsia"/>
                        <w:sz w:val="16"/>
                        <w:szCs w:val="16"/>
                      </w:rPr>
                      <w:t>-</w:t>
                    </w:r>
                  </w:p>
                </w:tc>
                <w:tc>
                  <w:tcPr>
                    <w:tcW w:w="135" w:type="pct"/>
                    <w:vAlign w:val="center"/>
                  </w:tcPr>
                  <w:p w:rsidR="0024594E" w:rsidRPr="00F121FB" w:rsidRDefault="0024594E" w:rsidP="00B637B2">
                    <w:pPr>
                      <w:jc w:val="right"/>
                      <w:rPr>
                        <w:sz w:val="16"/>
                        <w:szCs w:val="16"/>
                      </w:rPr>
                    </w:pPr>
                    <w:r w:rsidRPr="00F121FB">
                      <w:rPr>
                        <w:sz w:val="16"/>
                        <w:szCs w:val="16"/>
                      </w:rPr>
                      <w:t>-</w:t>
                    </w:r>
                  </w:p>
                </w:tc>
                <w:tc>
                  <w:tcPr>
                    <w:tcW w:w="135" w:type="pct"/>
                    <w:vAlign w:val="center"/>
                  </w:tcPr>
                  <w:p w:rsidR="0024594E" w:rsidRPr="00F121FB" w:rsidRDefault="008F04CF" w:rsidP="00B637B2">
                    <w:pPr>
                      <w:jc w:val="right"/>
                      <w:rPr>
                        <w:sz w:val="16"/>
                        <w:szCs w:val="16"/>
                      </w:rPr>
                    </w:pPr>
                    <w:r>
                      <w:rPr>
                        <w:rFonts w:hint="eastAsia"/>
                        <w:sz w:val="16"/>
                        <w:szCs w:val="16"/>
                      </w:rPr>
                      <w:t>-</w:t>
                    </w:r>
                  </w:p>
                </w:tc>
                <w:tc>
                  <w:tcPr>
                    <w:tcW w:w="405" w:type="pct"/>
                    <w:vAlign w:val="center"/>
                  </w:tcPr>
                  <w:p w:rsidR="0024594E" w:rsidRPr="00F121FB" w:rsidRDefault="0024594E" w:rsidP="00B637B2">
                    <w:pPr>
                      <w:jc w:val="right"/>
                      <w:rPr>
                        <w:sz w:val="16"/>
                        <w:szCs w:val="16"/>
                      </w:rPr>
                    </w:pPr>
                    <w:r w:rsidRPr="00F121FB">
                      <w:rPr>
                        <w:sz w:val="16"/>
                        <w:szCs w:val="16"/>
                      </w:rPr>
                      <w:t>-</w:t>
                    </w:r>
                  </w:p>
                </w:tc>
                <w:tc>
                  <w:tcPr>
                    <w:tcW w:w="361" w:type="pct"/>
                    <w:vAlign w:val="center"/>
                  </w:tcPr>
                  <w:p w:rsidR="0024594E" w:rsidRPr="00F121FB" w:rsidRDefault="008F04CF" w:rsidP="00B637B2">
                    <w:pPr>
                      <w:jc w:val="right"/>
                      <w:rPr>
                        <w:sz w:val="16"/>
                        <w:szCs w:val="16"/>
                      </w:rPr>
                    </w:pPr>
                    <w:r>
                      <w:rPr>
                        <w:rFonts w:hint="eastAsia"/>
                        <w:sz w:val="16"/>
                        <w:szCs w:val="16"/>
                      </w:rPr>
                      <w:t>-</w:t>
                    </w:r>
                  </w:p>
                </w:tc>
                <w:tc>
                  <w:tcPr>
                    <w:tcW w:w="361" w:type="pct"/>
                    <w:vAlign w:val="center"/>
                  </w:tcPr>
                  <w:p w:rsidR="0024594E" w:rsidRPr="00F121FB" w:rsidRDefault="0024594E" w:rsidP="00B637B2">
                    <w:pPr>
                      <w:jc w:val="right"/>
                      <w:rPr>
                        <w:sz w:val="16"/>
                        <w:szCs w:val="16"/>
                      </w:rPr>
                    </w:pPr>
                    <w:r w:rsidRPr="00F121FB">
                      <w:rPr>
                        <w:sz w:val="16"/>
                        <w:szCs w:val="16"/>
                      </w:rPr>
                      <w:t>-</w:t>
                    </w:r>
                  </w:p>
                </w:tc>
                <w:tc>
                  <w:tcPr>
                    <w:tcW w:w="134" w:type="pct"/>
                    <w:vAlign w:val="center"/>
                  </w:tcPr>
                  <w:p w:rsidR="0024594E" w:rsidRPr="00F121FB" w:rsidRDefault="008F04CF" w:rsidP="00B637B2">
                    <w:pPr>
                      <w:jc w:val="right"/>
                      <w:rPr>
                        <w:sz w:val="16"/>
                        <w:szCs w:val="16"/>
                      </w:rPr>
                    </w:pPr>
                    <w:r>
                      <w:rPr>
                        <w:rFonts w:hint="eastAsia"/>
                        <w:sz w:val="16"/>
                        <w:szCs w:val="16"/>
                      </w:rPr>
                      <w:t>-</w:t>
                    </w:r>
                  </w:p>
                </w:tc>
                <w:tc>
                  <w:tcPr>
                    <w:tcW w:w="361" w:type="pct"/>
                    <w:vAlign w:val="center"/>
                  </w:tcPr>
                  <w:p w:rsidR="0024594E" w:rsidRPr="00F121FB" w:rsidRDefault="0024594E" w:rsidP="00B637B2">
                    <w:pPr>
                      <w:jc w:val="right"/>
                      <w:rPr>
                        <w:sz w:val="16"/>
                        <w:szCs w:val="16"/>
                      </w:rPr>
                    </w:pPr>
                    <w:r w:rsidRPr="00F121FB">
                      <w:rPr>
                        <w:sz w:val="16"/>
                        <w:szCs w:val="16"/>
                      </w:rPr>
                      <w:t>-</w:t>
                    </w:r>
                  </w:p>
                </w:tc>
                <w:tc>
                  <w:tcPr>
                    <w:tcW w:w="179" w:type="pct"/>
                    <w:vAlign w:val="center"/>
                  </w:tcPr>
                  <w:p w:rsidR="0024594E" w:rsidRPr="00F121FB" w:rsidRDefault="008F04CF" w:rsidP="00B637B2">
                    <w:pPr>
                      <w:jc w:val="right"/>
                      <w:rPr>
                        <w:sz w:val="16"/>
                        <w:szCs w:val="16"/>
                      </w:rPr>
                    </w:pPr>
                    <w:r>
                      <w:rPr>
                        <w:rFonts w:hint="eastAsia"/>
                        <w:sz w:val="16"/>
                        <w:szCs w:val="16"/>
                      </w:rPr>
                      <w:t>-</w:t>
                    </w:r>
                  </w:p>
                </w:tc>
                <w:tc>
                  <w:tcPr>
                    <w:tcW w:w="406" w:type="pct"/>
                    <w:vAlign w:val="center"/>
                  </w:tcPr>
                  <w:p w:rsidR="0024594E" w:rsidRPr="00F121FB" w:rsidRDefault="0024594E" w:rsidP="00B637B2">
                    <w:pPr>
                      <w:jc w:val="right"/>
                      <w:rPr>
                        <w:sz w:val="16"/>
                        <w:szCs w:val="16"/>
                      </w:rPr>
                    </w:pPr>
                    <w:r w:rsidRPr="00F121FB">
                      <w:rPr>
                        <w:sz w:val="16"/>
                        <w:szCs w:val="16"/>
                      </w:rPr>
                      <w:t>-</w:t>
                    </w:r>
                  </w:p>
                </w:tc>
                <w:tc>
                  <w:tcPr>
                    <w:tcW w:w="139" w:type="pct"/>
                    <w:vAlign w:val="center"/>
                  </w:tcPr>
                  <w:p w:rsidR="0024594E" w:rsidRPr="00F121FB" w:rsidRDefault="008F04CF" w:rsidP="00B637B2">
                    <w:pPr>
                      <w:jc w:val="right"/>
                      <w:rPr>
                        <w:sz w:val="16"/>
                        <w:szCs w:val="16"/>
                      </w:rPr>
                    </w:pPr>
                    <w:r>
                      <w:rPr>
                        <w:rFonts w:hint="eastAsia"/>
                        <w:sz w:val="16"/>
                        <w:szCs w:val="16"/>
                      </w:rPr>
                      <w:t>-</w:t>
                    </w:r>
                  </w:p>
                </w:tc>
                <w:tc>
                  <w:tcPr>
                    <w:tcW w:w="428" w:type="pct"/>
                    <w:vAlign w:val="center"/>
                  </w:tcPr>
                  <w:p w:rsidR="0024594E" w:rsidRPr="00F121FB" w:rsidRDefault="008F04CF" w:rsidP="00B637B2">
                    <w:pPr>
                      <w:jc w:val="right"/>
                      <w:rPr>
                        <w:sz w:val="16"/>
                        <w:szCs w:val="16"/>
                      </w:rPr>
                    </w:pPr>
                    <w:r>
                      <w:rPr>
                        <w:rFonts w:hint="eastAsia"/>
                        <w:sz w:val="16"/>
                        <w:szCs w:val="16"/>
                      </w:rPr>
                      <w:t>-</w:t>
                    </w:r>
                  </w:p>
                </w:tc>
                <w:tc>
                  <w:tcPr>
                    <w:tcW w:w="381" w:type="pct"/>
                    <w:vAlign w:val="center"/>
                  </w:tcPr>
                  <w:p w:rsidR="0024594E" w:rsidRPr="00F121FB" w:rsidRDefault="008F04CF" w:rsidP="00B637B2">
                    <w:pPr>
                      <w:jc w:val="right"/>
                      <w:rPr>
                        <w:sz w:val="16"/>
                        <w:szCs w:val="16"/>
                      </w:rPr>
                    </w:pPr>
                    <w:r>
                      <w:rPr>
                        <w:rFonts w:hint="eastAsia"/>
                        <w:sz w:val="16"/>
                        <w:szCs w:val="16"/>
                      </w:rPr>
                      <w:t>-</w:t>
                    </w:r>
                  </w:p>
                </w:tc>
                <w:tc>
                  <w:tcPr>
                    <w:tcW w:w="404" w:type="pct"/>
                    <w:vAlign w:val="center"/>
                  </w:tcPr>
                  <w:p w:rsidR="0024594E" w:rsidRPr="00F121FB" w:rsidRDefault="008F04CF" w:rsidP="00B637B2">
                    <w:pPr>
                      <w:jc w:val="right"/>
                      <w:rPr>
                        <w:sz w:val="16"/>
                        <w:szCs w:val="16"/>
                      </w:rPr>
                    </w:pPr>
                    <w:r>
                      <w:rPr>
                        <w:rFonts w:hint="eastAsia"/>
                        <w:sz w:val="16"/>
                        <w:szCs w:val="16"/>
                      </w:rPr>
                      <w:t>-</w:t>
                    </w:r>
                  </w:p>
                </w:tc>
              </w:tr>
              <w:tr w:rsidR="00B637B2" w:rsidTr="00B637B2">
                <w:tc>
                  <w:tcPr>
                    <w:tcW w:w="631" w:type="pct"/>
                  </w:tcPr>
                  <w:sdt>
                    <w:sdtPr>
                      <w:rPr>
                        <w:sz w:val="16"/>
                        <w:szCs w:val="16"/>
                      </w:rPr>
                      <w:tag w:val="_PLD_44b366cf670e4514b5f91bc8cef97e27"/>
                      <w:id w:val="922305317"/>
                      <w:lock w:val="sdtLocked"/>
                    </w:sdtPr>
                    <w:sdtContent>
                      <w:p w:rsidR="0024594E" w:rsidRPr="00F121FB" w:rsidRDefault="0024594E" w:rsidP="0024594E">
                        <w:pPr>
                          <w:rPr>
                            <w:sz w:val="16"/>
                            <w:szCs w:val="16"/>
                          </w:rPr>
                        </w:pPr>
                        <w:r w:rsidRPr="00F121FB">
                          <w:rPr>
                            <w:sz w:val="16"/>
                            <w:szCs w:val="16"/>
                          </w:rPr>
                          <w:t>6．其他</w:t>
                        </w:r>
                      </w:p>
                    </w:sdtContent>
                  </w:sdt>
                </w:tc>
                <w:tc>
                  <w:tcPr>
                    <w:tcW w:w="405" w:type="pct"/>
                    <w:vAlign w:val="center"/>
                  </w:tcPr>
                  <w:p w:rsidR="0024594E" w:rsidRPr="00F121FB" w:rsidRDefault="0024594E" w:rsidP="00B637B2">
                    <w:pPr>
                      <w:jc w:val="right"/>
                      <w:rPr>
                        <w:sz w:val="16"/>
                        <w:szCs w:val="16"/>
                      </w:rPr>
                    </w:pPr>
                    <w:r w:rsidRPr="00F121FB">
                      <w:rPr>
                        <w:sz w:val="16"/>
                        <w:szCs w:val="16"/>
                      </w:rPr>
                      <w:t>-</w:t>
                    </w:r>
                  </w:p>
                </w:tc>
                <w:tc>
                  <w:tcPr>
                    <w:tcW w:w="135" w:type="pct"/>
                    <w:vAlign w:val="center"/>
                  </w:tcPr>
                  <w:p w:rsidR="0024594E" w:rsidRPr="00F121FB" w:rsidRDefault="008F04CF" w:rsidP="00B637B2">
                    <w:pPr>
                      <w:jc w:val="right"/>
                      <w:rPr>
                        <w:sz w:val="16"/>
                        <w:szCs w:val="16"/>
                      </w:rPr>
                    </w:pPr>
                    <w:r>
                      <w:rPr>
                        <w:rFonts w:hint="eastAsia"/>
                        <w:sz w:val="16"/>
                        <w:szCs w:val="16"/>
                      </w:rPr>
                      <w:t>-</w:t>
                    </w:r>
                  </w:p>
                </w:tc>
                <w:tc>
                  <w:tcPr>
                    <w:tcW w:w="135" w:type="pct"/>
                    <w:vAlign w:val="center"/>
                  </w:tcPr>
                  <w:p w:rsidR="0024594E" w:rsidRPr="00F121FB" w:rsidRDefault="008F04CF" w:rsidP="00B637B2">
                    <w:pPr>
                      <w:jc w:val="right"/>
                      <w:rPr>
                        <w:sz w:val="16"/>
                        <w:szCs w:val="16"/>
                      </w:rPr>
                    </w:pPr>
                    <w:r>
                      <w:rPr>
                        <w:rFonts w:hint="eastAsia"/>
                        <w:sz w:val="16"/>
                        <w:szCs w:val="16"/>
                      </w:rPr>
                      <w:t>-</w:t>
                    </w:r>
                  </w:p>
                </w:tc>
                <w:tc>
                  <w:tcPr>
                    <w:tcW w:w="135" w:type="pct"/>
                    <w:vAlign w:val="center"/>
                  </w:tcPr>
                  <w:p w:rsidR="0024594E" w:rsidRPr="00F121FB" w:rsidRDefault="008F04CF" w:rsidP="00B637B2">
                    <w:pPr>
                      <w:jc w:val="right"/>
                      <w:rPr>
                        <w:sz w:val="16"/>
                        <w:szCs w:val="16"/>
                      </w:rPr>
                    </w:pPr>
                    <w:r>
                      <w:rPr>
                        <w:rFonts w:hint="eastAsia"/>
                        <w:sz w:val="16"/>
                        <w:szCs w:val="16"/>
                      </w:rPr>
                      <w:t>-</w:t>
                    </w:r>
                  </w:p>
                </w:tc>
                <w:tc>
                  <w:tcPr>
                    <w:tcW w:w="405" w:type="pct"/>
                    <w:vAlign w:val="center"/>
                  </w:tcPr>
                  <w:p w:rsidR="0024594E" w:rsidRPr="00F121FB" w:rsidRDefault="0024594E" w:rsidP="00B637B2">
                    <w:pPr>
                      <w:jc w:val="right"/>
                      <w:rPr>
                        <w:sz w:val="16"/>
                        <w:szCs w:val="16"/>
                      </w:rPr>
                    </w:pPr>
                    <w:r w:rsidRPr="00F121FB">
                      <w:rPr>
                        <w:sz w:val="16"/>
                        <w:szCs w:val="16"/>
                      </w:rPr>
                      <w:t>-</w:t>
                    </w:r>
                  </w:p>
                </w:tc>
                <w:tc>
                  <w:tcPr>
                    <w:tcW w:w="361" w:type="pct"/>
                    <w:vAlign w:val="center"/>
                  </w:tcPr>
                  <w:p w:rsidR="0024594E" w:rsidRPr="00F121FB" w:rsidRDefault="008F04CF" w:rsidP="00B637B2">
                    <w:pPr>
                      <w:jc w:val="right"/>
                      <w:rPr>
                        <w:sz w:val="16"/>
                        <w:szCs w:val="16"/>
                      </w:rPr>
                    </w:pPr>
                    <w:r>
                      <w:rPr>
                        <w:rFonts w:hint="eastAsia"/>
                        <w:sz w:val="16"/>
                        <w:szCs w:val="16"/>
                      </w:rPr>
                      <w:t>-</w:t>
                    </w:r>
                  </w:p>
                </w:tc>
                <w:tc>
                  <w:tcPr>
                    <w:tcW w:w="361" w:type="pct"/>
                    <w:vAlign w:val="center"/>
                  </w:tcPr>
                  <w:p w:rsidR="0024594E" w:rsidRPr="00F121FB" w:rsidRDefault="0024594E" w:rsidP="00B637B2">
                    <w:pPr>
                      <w:jc w:val="right"/>
                      <w:rPr>
                        <w:sz w:val="16"/>
                        <w:szCs w:val="16"/>
                      </w:rPr>
                    </w:pPr>
                    <w:r w:rsidRPr="00F121FB">
                      <w:rPr>
                        <w:sz w:val="16"/>
                        <w:szCs w:val="16"/>
                      </w:rPr>
                      <w:t>-</w:t>
                    </w:r>
                  </w:p>
                </w:tc>
                <w:tc>
                  <w:tcPr>
                    <w:tcW w:w="134" w:type="pct"/>
                    <w:vAlign w:val="center"/>
                  </w:tcPr>
                  <w:p w:rsidR="0024594E" w:rsidRPr="00F121FB" w:rsidRDefault="008F04CF" w:rsidP="00B637B2">
                    <w:pPr>
                      <w:jc w:val="right"/>
                      <w:rPr>
                        <w:sz w:val="16"/>
                        <w:szCs w:val="16"/>
                      </w:rPr>
                    </w:pPr>
                    <w:r>
                      <w:rPr>
                        <w:rFonts w:hint="eastAsia"/>
                        <w:sz w:val="16"/>
                        <w:szCs w:val="16"/>
                      </w:rPr>
                      <w:t>-</w:t>
                    </w:r>
                  </w:p>
                </w:tc>
                <w:tc>
                  <w:tcPr>
                    <w:tcW w:w="361" w:type="pct"/>
                    <w:vAlign w:val="center"/>
                  </w:tcPr>
                  <w:p w:rsidR="0024594E" w:rsidRPr="00F121FB" w:rsidRDefault="0024594E" w:rsidP="00B637B2">
                    <w:pPr>
                      <w:jc w:val="right"/>
                      <w:rPr>
                        <w:sz w:val="16"/>
                        <w:szCs w:val="16"/>
                      </w:rPr>
                    </w:pPr>
                    <w:r w:rsidRPr="00F121FB">
                      <w:rPr>
                        <w:sz w:val="16"/>
                        <w:szCs w:val="16"/>
                      </w:rPr>
                      <w:t>-</w:t>
                    </w:r>
                  </w:p>
                </w:tc>
                <w:tc>
                  <w:tcPr>
                    <w:tcW w:w="179" w:type="pct"/>
                    <w:vAlign w:val="center"/>
                  </w:tcPr>
                  <w:p w:rsidR="0024594E" w:rsidRPr="00F121FB" w:rsidRDefault="008F04CF" w:rsidP="00B637B2">
                    <w:pPr>
                      <w:jc w:val="right"/>
                      <w:rPr>
                        <w:sz w:val="16"/>
                        <w:szCs w:val="16"/>
                      </w:rPr>
                    </w:pPr>
                    <w:r>
                      <w:rPr>
                        <w:rFonts w:hint="eastAsia"/>
                        <w:sz w:val="16"/>
                        <w:szCs w:val="16"/>
                      </w:rPr>
                      <w:t>-</w:t>
                    </w:r>
                  </w:p>
                </w:tc>
                <w:tc>
                  <w:tcPr>
                    <w:tcW w:w="406" w:type="pct"/>
                    <w:vAlign w:val="center"/>
                  </w:tcPr>
                  <w:p w:rsidR="0024594E" w:rsidRPr="00F121FB" w:rsidRDefault="0024594E" w:rsidP="00B637B2">
                    <w:pPr>
                      <w:jc w:val="right"/>
                      <w:rPr>
                        <w:sz w:val="16"/>
                        <w:szCs w:val="16"/>
                      </w:rPr>
                    </w:pPr>
                    <w:r w:rsidRPr="00F121FB">
                      <w:rPr>
                        <w:sz w:val="16"/>
                        <w:szCs w:val="16"/>
                      </w:rPr>
                      <w:t>-</w:t>
                    </w:r>
                  </w:p>
                </w:tc>
                <w:tc>
                  <w:tcPr>
                    <w:tcW w:w="139" w:type="pct"/>
                    <w:vAlign w:val="center"/>
                  </w:tcPr>
                  <w:p w:rsidR="0024594E" w:rsidRPr="00F121FB" w:rsidRDefault="008F04CF" w:rsidP="00B637B2">
                    <w:pPr>
                      <w:jc w:val="right"/>
                      <w:rPr>
                        <w:sz w:val="16"/>
                        <w:szCs w:val="16"/>
                      </w:rPr>
                    </w:pPr>
                    <w:r>
                      <w:rPr>
                        <w:rFonts w:hint="eastAsia"/>
                        <w:sz w:val="16"/>
                        <w:szCs w:val="16"/>
                      </w:rPr>
                      <w:t>-</w:t>
                    </w:r>
                  </w:p>
                </w:tc>
                <w:tc>
                  <w:tcPr>
                    <w:tcW w:w="428" w:type="pct"/>
                    <w:vAlign w:val="center"/>
                  </w:tcPr>
                  <w:p w:rsidR="0024594E" w:rsidRPr="00F121FB" w:rsidRDefault="008F04CF" w:rsidP="00B637B2">
                    <w:pPr>
                      <w:jc w:val="right"/>
                      <w:rPr>
                        <w:sz w:val="16"/>
                        <w:szCs w:val="16"/>
                      </w:rPr>
                    </w:pPr>
                    <w:r>
                      <w:rPr>
                        <w:rFonts w:hint="eastAsia"/>
                        <w:sz w:val="16"/>
                        <w:szCs w:val="16"/>
                      </w:rPr>
                      <w:t>-</w:t>
                    </w:r>
                  </w:p>
                </w:tc>
                <w:tc>
                  <w:tcPr>
                    <w:tcW w:w="381" w:type="pct"/>
                    <w:vAlign w:val="center"/>
                  </w:tcPr>
                  <w:p w:rsidR="0024594E" w:rsidRPr="00F121FB" w:rsidRDefault="008F04CF" w:rsidP="00B637B2">
                    <w:pPr>
                      <w:jc w:val="right"/>
                      <w:rPr>
                        <w:sz w:val="16"/>
                        <w:szCs w:val="16"/>
                      </w:rPr>
                    </w:pPr>
                    <w:r>
                      <w:rPr>
                        <w:rFonts w:hint="eastAsia"/>
                        <w:sz w:val="16"/>
                        <w:szCs w:val="16"/>
                      </w:rPr>
                      <w:t>-</w:t>
                    </w:r>
                  </w:p>
                </w:tc>
                <w:tc>
                  <w:tcPr>
                    <w:tcW w:w="404" w:type="pct"/>
                    <w:vAlign w:val="center"/>
                  </w:tcPr>
                  <w:p w:rsidR="0024594E" w:rsidRPr="00F121FB" w:rsidRDefault="008F04CF" w:rsidP="00B637B2">
                    <w:pPr>
                      <w:jc w:val="right"/>
                      <w:rPr>
                        <w:sz w:val="16"/>
                        <w:szCs w:val="16"/>
                      </w:rPr>
                    </w:pPr>
                    <w:r>
                      <w:rPr>
                        <w:rFonts w:hint="eastAsia"/>
                        <w:sz w:val="16"/>
                        <w:szCs w:val="16"/>
                      </w:rPr>
                      <w:t>-</w:t>
                    </w:r>
                  </w:p>
                </w:tc>
              </w:tr>
              <w:tr w:rsidR="00B637B2" w:rsidTr="00B637B2">
                <w:sdt>
                  <w:sdtPr>
                    <w:rPr>
                      <w:sz w:val="16"/>
                      <w:szCs w:val="16"/>
                    </w:rPr>
                    <w:tag w:val="_PLD_4c2ffccd1b8247f8b48874b508665dc1"/>
                    <w:id w:val="867726530"/>
                    <w:lock w:val="sdtLocked"/>
                  </w:sdtPr>
                  <w:sdtContent>
                    <w:tc>
                      <w:tcPr>
                        <w:tcW w:w="631" w:type="pct"/>
                      </w:tcPr>
                      <w:p w:rsidR="0024594E" w:rsidRPr="00F121FB" w:rsidRDefault="0024594E" w:rsidP="0024594E">
                        <w:pPr>
                          <w:rPr>
                            <w:sz w:val="16"/>
                            <w:szCs w:val="16"/>
                          </w:rPr>
                        </w:pPr>
                        <w:r w:rsidRPr="00F121FB">
                          <w:rPr>
                            <w:rFonts w:hint="eastAsia"/>
                            <w:sz w:val="16"/>
                            <w:szCs w:val="16"/>
                          </w:rPr>
                          <w:t>（五）专项储备</w:t>
                        </w:r>
                      </w:p>
                    </w:tc>
                  </w:sdtContent>
                </w:sdt>
                <w:tc>
                  <w:tcPr>
                    <w:tcW w:w="405" w:type="pct"/>
                    <w:vAlign w:val="center"/>
                  </w:tcPr>
                  <w:p w:rsidR="0024594E" w:rsidRPr="00F121FB" w:rsidRDefault="008F04CF" w:rsidP="00B637B2">
                    <w:pPr>
                      <w:jc w:val="right"/>
                      <w:rPr>
                        <w:sz w:val="16"/>
                        <w:szCs w:val="16"/>
                      </w:rPr>
                    </w:pPr>
                    <w:r>
                      <w:rPr>
                        <w:rFonts w:hint="eastAsia"/>
                        <w:sz w:val="16"/>
                        <w:szCs w:val="16"/>
                      </w:rPr>
                      <w:t>-</w:t>
                    </w:r>
                  </w:p>
                </w:tc>
                <w:tc>
                  <w:tcPr>
                    <w:tcW w:w="135" w:type="pct"/>
                    <w:vAlign w:val="center"/>
                  </w:tcPr>
                  <w:p w:rsidR="0024594E" w:rsidRPr="00F121FB" w:rsidRDefault="008F04CF" w:rsidP="00B637B2">
                    <w:pPr>
                      <w:jc w:val="right"/>
                      <w:rPr>
                        <w:sz w:val="16"/>
                        <w:szCs w:val="16"/>
                      </w:rPr>
                    </w:pPr>
                    <w:r>
                      <w:rPr>
                        <w:rFonts w:hint="eastAsia"/>
                        <w:sz w:val="16"/>
                        <w:szCs w:val="16"/>
                      </w:rPr>
                      <w:t>-</w:t>
                    </w:r>
                  </w:p>
                </w:tc>
                <w:tc>
                  <w:tcPr>
                    <w:tcW w:w="135" w:type="pct"/>
                    <w:vAlign w:val="center"/>
                  </w:tcPr>
                  <w:p w:rsidR="0024594E" w:rsidRPr="00F121FB" w:rsidRDefault="008F04CF" w:rsidP="00B637B2">
                    <w:pPr>
                      <w:jc w:val="right"/>
                      <w:rPr>
                        <w:sz w:val="16"/>
                        <w:szCs w:val="16"/>
                      </w:rPr>
                    </w:pPr>
                    <w:r>
                      <w:rPr>
                        <w:rFonts w:hint="eastAsia"/>
                        <w:sz w:val="16"/>
                        <w:szCs w:val="16"/>
                      </w:rPr>
                      <w:t>-</w:t>
                    </w:r>
                  </w:p>
                </w:tc>
                <w:tc>
                  <w:tcPr>
                    <w:tcW w:w="135" w:type="pct"/>
                    <w:vAlign w:val="center"/>
                  </w:tcPr>
                  <w:p w:rsidR="0024594E" w:rsidRPr="00F121FB" w:rsidRDefault="008F04CF" w:rsidP="00B637B2">
                    <w:pPr>
                      <w:jc w:val="right"/>
                      <w:rPr>
                        <w:sz w:val="16"/>
                        <w:szCs w:val="16"/>
                      </w:rPr>
                    </w:pPr>
                    <w:r>
                      <w:rPr>
                        <w:rFonts w:hint="eastAsia"/>
                        <w:sz w:val="16"/>
                        <w:szCs w:val="16"/>
                      </w:rPr>
                      <w:t>-</w:t>
                    </w:r>
                  </w:p>
                </w:tc>
                <w:tc>
                  <w:tcPr>
                    <w:tcW w:w="405" w:type="pct"/>
                    <w:vAlign w:val="center"/>
                  </w:tcPr>
                  <w:p w:rsidR="0024594E" w:rsidRPr="00F121FB" w:rsidRDefault="008F04CF" w:rsidP="00B637B2">
                    <w:pPr>
                      <w:jc w:val="right"/>
                      <w:rPr>
                        <w:sz w:val="16"/>
                        <w:szCs w:val="16"/>
                      </w:rPr>
                    </w:pPr>
                    <w:r>
                      <w:rPr>
                        <w:rFonts w:hint="eastAsia"/>
                        <w:sz w:val="16"/>
                        <w:szCs w:val="16"/>
                      </w:rPr>
                      <w:t>-</w:t>
                    </w:r>
                  </w:p>
                </w:tc>
                <w:tc>
                  <w:tcPr>
                    <w:tcW w:w="361" w:type="pct"/>
                    <w:vAlign w:val="center"/>
                  </w:tcPr>
                  <w:p w:rsidR="0024594E" w:rsidRPr="00F121FB" w:rsidRDefault="008F04CF" w:rsidP="00B637B2">
                    <w:pPr>
                      <w:jc w:val="right"/>
                      <w:rPr>
                        <w:sz w:val="16"/>
                        <w:szCs w:val="16"/>
                      </w:rPr>
                    </w:pPr>
                    <w:r>
                      <w:rPr>
                        <w:rFonts w:hint="eastAsia"/>
                        <w:sz w:val="16"/>
                        <w:szCs w:val="16"/>
                      </w:rPr>
                      <w:t>-</w:t>
                    </w:r>
                  </w:p>
                </w:tc>
                <w:tc>
                  <w:tcPr>
                    <w:tcW w:w="361" w:type="pct"/>
                    <w:vAlign w:val="center"/>
                  </w:tcPr>
                  <w:p w:rsidR="0024594E" w:rsidRPr="00F121FB" w:rsidRDefault="0024594E" w:rsidP="00B637B2">
                    <w:pPr>
                      <w:jc w:val="right"/>
                      <w:rPr>
                        <w:sz w:val="16"/>
                        <w:szCs w:val="16"/>
                      </w:rPr>
                    </w:pPr>
                    <w:r w:rsidRPr="00F121FB">
                      <w:rPr>
                        <w:sz w:val="16"/>
                        <w:szCs w:val="16"/>
                      </w:rPr>
                      <w:t>-</w:t>
                    </w:r>
                  </w:p>
                </w:tc>
                <w:tc>
                  <w:tcPr>
                    <w:tcW w:w="134" w:type="pct"/>
                    <w:vAlign w:val="center"/>
                  </w:tcPr>
                  <w:p w:rsidR="0024594E" w:rsidRPr="00F121FB" w:rsidRDefault="008F04CF" w:rsidP="00B637B2">
                    <w:pPr>
                      <w:jc w:val="right"/>
                      <w:rPr>
                        <w:sz w:val="16"/>
                        <w:szCs w:val="16"/>
                      </w:rPr>
                    </w:pPr>
                    <w:r>
                      <w:rPr>
                        <w:rFonts w:hint="eastAsia"/>
                        <w:sz w:val="16"/>
                        <w:szCs w:val="16"/>
                      </w:rPr>
                      <w:t>-</w:t>
                    </w:r>
                  </w:p>
                </w:tc>
                <w:tc>
                  <w:tcPr>
                    <w:tcW w:w="361" w:type="pct"/>
                    <w:vAlign w:val="center"/>
                  </w:tcPr>
                  <w:p w:rsidR="0024594E" w:rsidRPr="00F121FB" w:rsidRDefault="0024594E" w:rsidP="00B637B2">
                    <w:pPr>
                      <w:jc w:val="right"/>
                      <w:rPr>
                        <w:sz w:val="16"/>
                        <w:szCs w:val="16"/>
                      </w:rPr>
                    </w:pPr>
                    <w:r w:rsidRPr="00F121FB">
                      <w:rPr>
                        <w:sz w:val="16"/>
                        <w:szCs w:val="16"/>
                      </w:rPr>
                      <w:t>-</w:t>
                    </w:r>
                  </w:p>
                </w:tc>
                <w:tc>
                  <w:tcPr>
                    <w:tcW w:w="179" w:type="pct"/>
                    <w:vAlign w:val="center"/>
                  </w:tcPr>
                  <w:p w:rsidR="0024594E" w:rsidRPr="00F121FB" w:rsidRDefault="008F04CF" w:rsidP="00B637B2">
                    <w:pPr>
                      <w:jc w:val="right"/>
                      <w:rPr>
                        <w:sz w:val="16"/>
                        <w:szCs w:val="16"/>
                      </w:rPr>
                    </w:pPr>
                    <w:r>
                      <w:rPr>
                        <w:rFonts w:hint="eastAsia"/>
                        <w:sz w:val="16"/>
                        <w:szCs w:val="16"/>
                      </w:rPr>
                      <w:t>-</w:t>
                    </w:r>
                  </w:p>
                </w:tc>
                <w:tc>
                  <w:tcPr>
                    <w:tcW w:w="406" w:type="pct"/>
                    <w:vAlign w:val="center"/>
                  </w:tcPr>
                  <w:p w:rsidR="0024594E" w:rsidRPr="00F121FB" w:rsidRDefault="0024594E" w:rsidP="00B637B2">
                    <w:pPr>
                      <w:jc w:val="right"/>
                      <w:rPr>
                        <w:sz w:val="16"/>
                        <w:szCs w:val="16"/>
                      </w:rPr>
                    </w:pPr>
                    <w:r w:rsidRPr="00F121FB">
                      <w:rPr>
                        <w:sz w:val="16"/>
                        <w:szCs w:val="16"/>
                      </w:rPr>
                      <w:t>-</w:t>
                    </w:r>
                  </w:p>
                </w:tc>
                <w:tc>
                  <w:tcPr>
                    <w:tcW w:w="139" w:type="pct"/>
                    <w:vAlign w:val="center"/>
                  </w:tcPr>
                  <w:p w:rsidR="0024594E" w:rsidRPr="00F121FB" w:rsidRDefault="008F04CF" w:rsidP="00B637B2">
                    <w:pPr>
                      <w:jc w:val="right"/>
                      <w:rPr>
                        <w:sz w:val="16"/>
                        <w:szCs w:val="16"/>
                      </w:rPr>
                    </w:pPr>
                    <w:r>
                      <w:rPr>
                        <w:rFonts w:hint="eastAsia"/>
                        <w:sz w:val="16"/>
                        <w:szCs w:val="16"/>
                      </w:rPr>
                      <w:t>-</w:t>
                    </w:r>
                  </w:p>
                </w:tc>
                <w:tc>
                  <w:tcPr>
                    <w:tcW w:w="428" w:type="pct"/>
                    <w:vAlign w:val="center"/>
                  </w:tcPr>
                  <w:p w:rsidR="0024594E" w:rsidRPr="00F121FB" w:rsidRDefault="008F04CF" w:rsidP="00B637B2">
                    <w:pPr>
                      <w:jc w:val="right"/>
                      <w:rPr>
                        <w:sz w:val="16"/>
                        <w:szCs w:val="16"/>
                      </w:rPr>
                    </w:pPr>
                    <w:r>
                      <w:rPr>
                        <w:rFonts w:hint="eastAsia"/>
                        <w:sz w:val="16"/>
                        <w:szCs w:val="16"/>
                      </w:rPr>
                      <w:t>-</w:t>
                    </w:r>
                  </w:p>
                </w:tc>
                <w:tc>
                  <w:tcPr>
                    <w:tcW w:w="381" w:type="pct"/>
                    <w:vAlign w:val="center"/>
                  </w:tcPr>
                  <w:p w:rsidR="0024594E" w:rsidRPr="00F121FB" w:rsidRDefault="008F04CF" w:rsidP="00B637B2">
                    <w:pPr>
                      <w:jc w:val="right"/>
                      <w:rPr>
                        <w:sz w:val="16"/>
                        <w:szCs w:val="16"/>
                      </w:rPr>
                    </w:pPr>
                    <w:r>
                      <w:rPr>
                        <w:rFonts w:hint="eastAsia"/>
                        <w:sz w:val="16"/>
                        <w:szCs w:val="16"/>
                      </w:rPr>
                      <w:t>-</w:t>
                    </w:r>
                  </w:p>
                </w:tc>
                <w:tc>
                  <w:tcPr>
                    <w:tcW w:w="404" w:type="pct"/>
                    <w:vAlign w:val="center"/>
                  </w:tcPr>
                  <w:p w:rsidR="0024594E" w:rsidRPr="00F121FB" w:rsidRDefault="008F04CF" w:rsidP="00B637B2">
                    <w:pPr>
                      <w:jc w:val="right"/>
                      <w:rPr>
                        <w:sz w:val="16"/>
                        <w:szCs w:val="16"/>
                      </w:rPr>
                    </w:pPr>
                    <w:r>
                      <w:rPr>
                        <w:rFonts w:hint="eastAsia"/>
                        <w:sz w:val="16"/>
                        <w:szCs w:val="16"/>
                      </w:rPr>
                      <w:t>-</w:t>
                    </w:r>
                  </w:p>
                </w:tc>
              </w:tr>
              <w:tr w:rsidR="00B637B2" w:rsidTr="00B637B2">
                <w:sdt>
                  <w:sdtPr>
                    <w:rPr>
                      <w:sz w:val="16"/>
                      <w:szCs w:val="16"/>
                    </w:rPr>
                    <w:tag w:val="_PLD_d7da1c1428f3471c9d74c89a582725d7"/>
                    <w:id w:val="-2106484932"/>
                    <w:lock w:val="sdtLocked"/>
                  </w:sdtPr>
                  <w:sdtContent>
                    <w:tc>
                      <w:tcPr>
                        <w:tcW w:w="631" w:type="pct"/>
                      </w:tcPr>
                      <w:p w:rsidR="0024594E" w:rsidRPr="00F121FB" w:rsidRDefault="0024594E" w:rsidP="0024594E">
                        <w:pPr>
                          <w:rPr>
                            <w:sz w:val="16"/>
                            <w:szCs w:val="16"/>
                          </w:rPr>
                        </w:pPr>
                        <w:r w:rsidRPr="00F121FB">
                          <w:rPr>
                            <w:rFonts w:hint="eastAsia"/>
                            <w:sz w:val="16"/>
                            <w:szCs w:val="16"/>
                          </w:rPr>
                          <w:t>1．本期提取</w:t>
                        </w:r>
                      </w:p>
                    </w:tc>
                  </w:sdtContent>
                </w:sdt>
                <w:tc>
                  <w:tcPr>
                    <w:tcW w:w="405" w:type="pct"/>
                    <w:vAlign w:val="center"/>
                  </w:tcPr>
                  <w:p w:rsidR="0024594E" w:rsidRPr="00F121FB" w:rsidRDefault="0024594E" w:rsidP="00B637B2">
                    <w:pPr>
                      <w:jc w:val="right"/>
                      <w:rPr>
                        <w:sz w:val="16"/>
                        <w:szCs w:val="16"/>
                      </w:rPr>
                    </w:pPr>
                    <w:r w:rsidRPr="00F121FB">
                      <w:rPr>
                        <w:sz w:val="16"/>
                        <w:szCs w:val="16"/>
                      </w:rPr>
                      <w:t>-</w:t>
                    </w:r>
                  </w:p>
                </w:tc>
                <w:tc>
                  <w:tcPr>
                    <w:tcW w:w="135" w:type="pct"/>
                    <w:vAlign w:val="center"/>
                  </w:tcPr>
                  <w:p w:rsidR="0024594E" w:rsidRPr="00F121FB" w:rsidRDefault="008F04CF" w:rsidP="00B637B2">
                    <w:pPr>
                      <w:jc w:val="right"/>
                      <w:rPr>
                        <w:sz w:val="16"/>
                        <w:szCs w:val="16"/>
                      </w:rPr>
                    </w:pPr>
                    <w:r>
                      <w:rPr>
                        <w:rFonts w:hint="eastAsia"/>
                        <w:sz w:val="16"/>
                        <w:szCs w:val="16"/>
                      </w:rPr>
                      <w:t>-</w:t>
                    </w:r>
                  </w:p>
                </w:tc>
                <w:tc>
                  <w:tcPr>
                    <w:tcW w:w="135" w:type="pct"/>
                    <w:vAlign w:val="center"/>
                  </w:tcPr>
                  <w:p w:rsidR="0024594E" w:rsidRPr="00F121FB" w:rsidRDefault="0024594E" w:rsidP="00B637B2">
                    <w:pPr>
                      <w:jc w:val="right"/>
                      <w:rPr>
                        <w:sz w:val="16"/>
                        <w:szCs w:val="16"/>
                      </w:rPr>
                    </w:pPr>
                    <w:r w:rsidRPr="00F121FB">
                      <w:rPr>
                        <w:sz w:val="16"/>
                        <w:szCs w:val="16"/>
                      </w:rPr>
                      <w:t>-</w:t>
                    </w:r>
                  </w:p>
                </w:tc>
                <w:tc>
                  <w:tcPr>
                    <w:tcW w:w="135" w:type="pct"/>
                    <w:vAlign w:val="center"/>
                  </w:tcPr>
                  <w:p w:rsidR="0024594E" w:rsidRPr="00F121FB" w:rsidRDefault="008F04CF" w:rsidP="00B637B2">
                    <w:pPr>
                      <w:jc w:val="right"/>
                      <w:rPr>
                        <w:sz w:val="16"/>
                        <w:szCs w:val="16"/>
                      </w:rPr>
                    </w:pPr>
                    <w:r>
                      <w:rPr>
                        <w:rFonts w:hint="eastAsia"/>
                        <w:sz w:val="16"/>
                        <w:szCs w:val="16"/>
                      </w:rPr>
                      <w:t>-</w:t>
                    </w:r>
                  </w:p>
                </w:tc>
                <w:tc>
                  <w:tcPr>
                    <w:tcW w:w="405" w:type="pct"/>
                    <w:vAlign w:val="center"/>
                  </w:tcPr>
                  <w:p w:rsidR="0024594E" w:rsidRPr="00F121FB" w:rsidRDefault="0024594E" w:rsidP="00B637B2">
                    <w:pPr>
                      <w:jc w:val="right"/>
                      <w:rPr>
                        <w:sz w:val="16"/>
                        <w:szCs w:val="16"/>
                      </w:rPr>
                    </w:pPr>
                    <w:r w:rsidRPr="00F121FB">
                      <w:rPr>
                        <w:sz w:val="16"/>
                        <w:szCs w:val="16"/>
                      </w:rPr>
                      <w:t>-</w:t>
                    </w:r>
                  </w:p>
                </w:tc>
                <w:tc>
                  <w:tcPr>
                    <w:tcW w:w="361" w:type="pct"/>
                    <w:vAlign w:val="center"/>
                  </w:tcPr>
                  <w:p w:rsidR="0024594E" w:rsidRPr="00F121FB" w:rsidRDefault="008F04CF" w:rsidP="00B637B2">
                    <w:pPr>
                      <w:jc w:val="right"/>
                      <w:rPr>
                        <w:sz w:val="16"/>
                        <w:szCs w:val="16"/>
                      </w:rPr>
                    </w:pPr>
                    <w:r>
                      <w:rPr>
                        <w:rFonts w:hint="eastAsia"/>
                        <w:sz w:val="16"/>
                        <w:szCs w:val="16"/>
                      </w:rPr>
                      <w:t>-</w:t>
                    </w:r>
                  </w:p>
                </w:tc>
                <w:tc>
                  <w:tcPr>
                    <w:tcW w:w="361" w:type="pct"/>
                    <w:vAlign w:val="center"/>
                  </w:tcPr>
                  <w:p w:rsidR="0024594E" w:rsidRPr="00F121FB" w:rsidRDefault="0024594E" w:rsidP="00B637B2">
                    <w:pPr>
                      <w:jc w:val="right"/>
                      <w:rPr>
                        <w:sz w:val="16"/>
                        <w:szCs w:val="16"/>
                      </w:rPr>
                    </w:pPr>
                    <w:r w:rsidRPr="00F121FB">
                      <w:rPr>
                        <w:sz w:val="16"/>
                        <w:szCs w:val="16"/>
                      </w:rPr>
                      <w:t>-</w:t>
                    </w:r>
                  </w:p>
                </w:tc>
                <w:tc>
                  <w:tcPr>
                    <w:tcW w:w="134" w:type="pct"/>
                    <w:vAlign w:val="center"/>
                  </w:tcPr>
                  <w:p w:rsidR="0024594E" w:rsidRPr="00F121FB" w:rsidRDefault="008F04CF" w:rsidP="00B637B2">
                    <w:pPr>
                      <w:jc w:val="right"/>
                      <w:rPr>
                        <w:sz w:val="16"/>
                        <w:szCs w:val="16"/>
                      </w:rPr>
                    </w:pPr>
                    <w:r>
                      <w:rPr>
                        <w:rFonts w:hint="eastAsia"/>
                        <w:sz w:val="16"/>
                        <w:szCs w:val="16"/>
                      </w:rPr>
                      <w:t>-</w:t>
                    </w:r>
                  </w:p>
                </w:tc>
                <w:tc>
                  <w:tcPr>
                    <w:tcW w:w="361" w:type="pct"/>
                    <w:vAlign w:val="center"/>
                  </w:tcPr>
                  <w:p w:rsidR="0024594E" w:rsidRPr="00F121FB" w:rsidRDefault="0024594E" w:rsidP="00B637B2">
                    <w:pPr>
                      <w:jc w:val="right"/>
                      <w:rPr>
                        <w:sz w:val="16"/>
                        <w:szCs w:val="16"/>
                      </w:rPr>
                    </w:pPr>
                    <w:r w:rsidRPr="00F121FB">
                      <w:rPr>
                        <w:sz w:val="16"/>
                        <w:szCs w:val="16"/>
                      </w:rPr>
                      <w:t>-</w:t>
                    </w:r>
                  </w:p>
                </w:tc>
                <w:tc>
                  <w:tcPr>
                    <w:tcW w:w="179" w:type="pct"/>
                    <w:vAlign w:val="center"/>
                  </w:tcPr>
                  <w:p w:rsidR="0024594E" w:rsidRPr="00F121FB" w:rsidRDefault="008F04CF" w:rsidP="00B637B2">
                    <w:pPr>
                      <w:jc w:val="right"/>
                      <w:rPr>
                        <w:sz w:val="16"/>
                        <w:szCs w:val="16"/>
                      </w:rPr>
                    </w:pPr>
                    <w:r>
                      <w:rPr>
                        <w:rFonts w:hint="eastAsia"/>
                        <w:sz w:val="16"/>
                        <w:szCs w:val="16"/>
                      </w:rPr>
                      <w:t>-</w:t>
                    </w:r>
                  </w:p>
                </w:tc>
                <w:tc>
                  <w:tcPr>
                    <w:tcW w:w="406" w:type="pct"/>
                    <w:vAlign w:val="center"/>
                  </w:tcPr>
                  <w:p w:rsidR="0024594E" w:rsidRPr="00F121FB" w:rsidRDefault="008F04CF" w:rsidP="00B637B2">
                    <w:pPr>
                      <w:jc w:val="right"/>
                      <w:rPr>
                        <w:sz w:val="16"/>
                        <w:szCs w:val="16"/>
                      </w:rPr>
                    </w:pPr>
                    <w:r>
                      <w:rPr>
                        <w:rFonts w:hint="eastAsia"/>
                        <w:sz w:val="16"/>
                        <w:szCs w:val="16"/>
                      </w:rPr>
                      <w:t>-</w:t>
                    </w:r>
                  </w:p>
                </w:tc>
                <w:tc>
                  <w:tcPr>
                    <w:tcW w:w="139" w:type="pct"/>
                    <w:vAlign w:val="center"/>
                  </w:tcPr>
                  <w:p w:rsidR="0024594E" w:rsidRPr="00F121FB" w:rsidRDefault="008F04CF" w:rsidP="00B637B2">
                    <w:pPr>
                      <w:jc w:val="right"/>
                      <w:rPr>
                        <w:sz w:val="16"/>
                        <w:szCs w:val="16"/>
                      </w:rPr>
                    </w:pPr>
                    <w:r>
                      <w:rPr>
                        <w:rFonts w:hint="eastAsia"/>
                        <w:sz w:val="16"/>
                        <w:szCs w:val="16"/>
                      </w:rPr>
                      <w:t>-</w:t>
                    </w:r>
                  </w:p>
                </w:tc>
                <w:tc>
                  <w:tcPr>
                    <w:tcW w:w="428" w:type="pct"/>
                    <w:vAlign w:val="center"/>
                  </w:tcPr>
                  <w:p w:rsidR="0024594E" w:rsidRPr="00F121FB" w:rsidRDefault="008F04CF" w:rsidP="00B637B2">
                    <w:pPr>
                      <w:jc w:val="right"/>
                      <w:rPr>
                        <w:sz w:val="16"/>
                        <w:szCs w:val="16"/>
                      </w:rPr>
                    </w:pPr>
                    <w:r>
                      <w:rPr>
                        <w:rFonts w:hint="eastAsia"/>
                        <w:sz w:val="16"/>
                        <w:szCs w:val="16"/>
                      </w:rPr>
                      <w:t>-</w:t>
                    </w:r>
                  </w:p>
                </w:tc>
                <w:tc>
                  <w:tcPr>
                    <w:tcW w:w="381" w:type="pct"/>
                    <w:vAlign w:val="center"/>
                  </w:tcPr>
                  <w:p w:rsidR="0024594E" w:rsidRPr="00F121FB" w:rsidRDefault="008F04CF" w:rsidP="00B637B2">
                    <w:pPr>
                      <w:jc w:val="right"/>
                      <w:rPr>
                        <w:sz w:val="16"/>
                        <w:szCs w:val="16"/>
                      </w:rPr>
                    </w:pPr>
                    <w:r>
                      <w:rPr>
                        <w:rFonts w:hint="eastAsia"/>
                        <w:sz w:val="16"/>
                        <w:szCs w:val="16"/>
                      </w:rPr>
                      <w:t>-</w:t>
                    </w:r>
                  </w:p>
                </w:tc>
                <w:tc>
                  <w:tcPr>
                    <w:tcW w:w="404" w:type="pct"/>
                    <w:vAlign w:val="center"/>
                  </w:tcPr>
                  <w:p w:rsidR="0024594E" w:rsidRPr="00F121FB" w:rsidRDefault="008F04CF" w:rsidP="00B637B2">
                    <w:pPr>
                      <w:jc w:val="right"/>
                      <w:rPr>
                        <w:sz w:val="16"/>
                        <w:szCs w:val="16"/>
                      </w:rPr>
                    </w:pPr>
                    <w:r>
                      <w:rPr>
                        <w:rFonts w:hint="eastAsia"/>
                        <w:sz w:val="16"/>
                        <w:szCs w:val="16"/>
                      </w:rPr>
                      <w:t>-</w:t>
                    </w:r>
                  </w:p>
                </w:tc>
              </w:tr>
              <w:tr w:rsidR="00B637B2" w:rsidTr="00B637B2">
                <w:sdt>
                  <w:sdtPr>
                    <w:rPr>
                      <w:sz w:val="16"/>
                      <w:szCs w:val="16"/>
                    </w:rPr>
                    <w:tag w:val="_PLD_f11a5c1cf32e432cb3dba158baca32fc"/>
                    <w:id w:val="1251777596"/>
                    <w:lock w:val="sdtLocked"/>
                  </w:sdtPr>
                  <w:sdtContent>
                    <w:tc>
                      <w:tcPr>
                        <w:tcW w:w="631" w:type="pct"/>
                      </w:tcPr>
                      <w:p w:rsidR="0024594E" w:rsidRPr="00F121FB" w:rsidRDefault="0024594E" w:rsidP="0024594E">
                        <w:pPr>
                          <w:rPr>
                            <w:sz w:val="16"/>
                            <w:szCs w:val="16"/>
                          </w:rPr>
                        </w:pPr>
                        <w:r w:rsidRPr="00F121FB">
                          <w:rPr>
                            <w:rFonts w:hint="eastAsia"/>
                            <w:sz w:val="16"/>
                            <w:szCs w:val="16"/>
                          </w:rPr>
                          <w:t>2．本期使用</w:t>
                        </w:r>
                      </w:p>
                    </w:tc>
                  </w:sdtContent>
                </w:sdt>
                <w:tc>
                  <w:tcPr>
                    <w:tcW w:w="405" w:type="pct"/>
                    <w:vAlign w:val="center"/>
                  </w:tcPr>
                  <w:p w:rsidR="0024594E" w:rsidRPr="00F121FB" w:rsidRDefault="0024594E" w:rsidP="00B637B2">
                    <w:pPr>
                      <w:jc w:val="right"/>
                      <w:rPr>
                        <w:sz w:val="16"/>
                        <w:szCs w:val="16"/>
                      </w:rPr>
                    </w:pPr>
                    <w:r w:rsidRPr="00F121FB">
                      <w:rPr>
                        <w:sz w:val="16"/>
                        <w:szCs w:val="16"/>
                      </w:rPr>
                      <w:t>-</w:t>
                    </w:r>
                  </w:p>
                </w:tc>
                <w:tc>
                  <w:tcPr>
                    <w:tcW w:w="135" w:type="pct"/>
                    <w:vAlign w:val="center"/>
                  </w:tcPr>
                  <w:p w:rsidR="0024594E" w:rsidRPr="00F121FB" w:rsidRDefault="008F04CF" w:rsidP="00B637B2">
                    <w:pPr>
                      <w:jc w:val="right"/>
                      <w:rPr>
                        <w:sz w:val="16"/>
                        <w:szCs w:val="16"/>
                      </w:rPr>
                    </w:pPr>
                    <w:r>
                      <w:rPr>
                        <w:rFonts w:hint="eastAsia"/>
                        <w:sz w:val="16"/>
                        <w:szCs w:val="16"/>
                      </w:rPr>
                      <w:t>-</w:t>
                    </w:r>
                  </w:p>
                </w:tc>
                <w:tc>
                  <w:tcPr>
                    <w:tcW w:w="135" w:type="pct"/>
                    <w:vAlign w:val="center"/>
                  </w:tcPr>
                  <w:p w:rsidR="0024594E" w:rsidRPr="00F121FB" w:rsidRDefault="0024594E" w:rsidP="00B637B2">
                    <w:pPr>
                      <w:jc w:val="right"/>
                      <w:rPr>
                        <w:sz w:val="16"/>
                        <w:szCs w:val="16"/>
                      </w:rPr>
                    </w:pPr>
                    <w:r w:rsidRPr="00F121FB">
                      <w:rPr>
                        <w:sz w:val="16"/>
                        <w:szCs w:val="16"/>
                      </w:rPr>
                      <w:t>-</w:t>
                    </w:r>
                  </w:p>
                </w:tc>
                <w:tc>
                  <w:tcPr>
                    <w:tcW w:w="135" w:type="pct"/>
                    <w:vAlign w:val="center"/>
                  </w:tcPr>
                  <w:p w:rsidR="0024594E" w:rsidRPr="00F121FB" w:rsidRDefault="008F04CF" w:rsidP="00B637B2">
                    <w:pPr>
                      <w:jc w:val="right"/>
                      <w:rPr>
                        <w:sz w:val="16"/>
                        <w:szCs w:val="16"/>
                      </w:rPr>
                    </w:pPr>
                    <w:r>
                      <w:rPr>
                        <w:rFonts w:hint="eastAsia"/>
                        <w:sz w:val="16"/>
                        <w:szCs w:val="16"/>
                      </w:rPr>
                      <w:t>-</w:t>
                    </w:r>
                  </w:p>
                </w:tc>
                <w:tc>
                  <w:tcPr>
                    <w:tcW w:w="405" w:type="pct"/>
                    <w:vAlign w:val="center"/>
                  </w:tcPr>
                  <w:p w:rsidR="0024594E" w:rsidRPr="00F121FB" w:rsidRDefault="0024594E" w:rsidP="00B637B2">
                    <w:pPr>
                      <w:jc w:val="right"/>
                      <w:rPr>
                        <w:sz w:val="16"/>
                        <w:szCs w:val="16"/>
                      </w:rPr>
                    </w:pPr>
                    <w:r w:rsidRPr="00F121FB">
                      <w:rPr>
                        <w:sz w:val="16"/>
                        <w:szCs w:val="16"/>
                      </w:rPr>
                      <w:t>-</w:t>
                    </w:r>
                  </w:p>
                </w:tc>
                <w:tc>
                  <w:tcPr>
                    <w:tcW w:w="361" w:type="pct"/>
                    <w:vAlign w:val="center"/>
                  </w:tcPr>
                  <w:p w:rsidR="0024594E" w:rsidRPr="00F121FB" w:rsidRDefault="008F04CF" w:rsidP="00B637B2">
                    <w:pPr>
                      <w:jc w:val="right"/>
                      <w:rPr>
                        <w:sz w:val="16"/>
                        <w:szCs w:val="16"/>
                      </w:rPr>
                    </w:pPr>
                    <w:r>
                      <w:rPr>
                        <w:rFonts w:hint="eastAsia"/>
                        <w:sz w:val="16"/>
                        <w:szCs w:val="16"/>
                      </w:rPr>
                      <w:t>-</w:t>
                    </w:r>
                  </w:p>
                </w:tc>
                <w:tc>
                  <w:tcPr>
                    <w:tcW w:w="361" w:type="pct"/>
                    <w:vAlign w:val="center"/>
                  </w:tcPr>
                  <w:p w:rsidR="0024594E" w:rsidRPr="00F121FB" w:rsidRDefault="0024594E" w:rsidP="00B637B2">
                    <w:pPr>
                      <w:jc w:val="right"/>
                      <w:rPr>
                        <w:sz w:val="16"/>
                        <w:szCs w:val="16"/>
                      </w:rPr>
                    </w:pPr>
                    <w:r w:rsidRPr="00F121FB">
                      <w:rPr>
                        <w:sz w:val="16"/>
                        <w:szCs w:val="16"/>
                      </w:rPr>
                      <w:t>-</w:t>
                    </w:r>
                  </w:p>
                </w:tc>
                <w:tc>
                  <w:tcPr>
                    <w:tcW w:w="134" w:type="pct"/>
                    <w:vAlign w:val="center"/>
                  </w:tcPr>
                  <w:p w:rsidR="0024594E" w:rsidRPr="00F121FB" w:rsidRDefault="008F04CF" w:rsidP="00B637B2">
                    <w:pPr>
                      <w:jc w:val="right"/>
                      <w:rPr>
                        <w:sz w:val="16"/>
                        <w:szCs w:val="16"/>
                      </w:rPr>
                    </w:pPr>
                    <w:r>
                      <w:rPr>
                        <w:rFonts w:hint="eastAsia"/>
                        <w:sz w:val="16"/>
                        <w:szCs w:val="16"/>
                      </w:rPr>
                      <w:t>-</w:t>
                    </w:r>
                  </w:p>
                </w:tc>
                <w:tc>
                  <w:tcPr>
                    <w:tcW w:w="361" w:type="pct"/>
                    <w:vAlign w:val="center"/>
                  </w:tcPr>
                  <w:p w:rsidR="0024594E" w:rsidRPr="00F121FB" w:rsidRDefault="0024594E" w:rsidP="00B637B2">
                    <w:pPr>
                      <w:jc w:val="right"/>
                      <w:rPr>
                        <w:sz w:val="16"/>
                        <w:szCs w:val="16"/>
                      </w:rPr>
                    </w:pPr>
                    <w:r w:rsidRPr="00F121FB">
                      <w:rPr>
                        <w:sz w:val="16"/>
                        <w:szCs w:val="16"/>
                      </w:rPr>
                      <w:t>-</w:t>
                    </w:r>
                  </w:p>
                </w:tc>
                <w:tc>
                  <w:tcPr>
                    <w:tcW w:w="179" w:type="pct"/>
                    <w:vAlign w:val="center"/>
                  </w:tcPr>
                  <w:p w:rsidR="0024594E" w:rsidRPr="00F121FB" w:rsidRDefault="008F04CF" w:rsidP="00B637B2">
                    <w:pPr>
                      <w:jc w:val="right"/>
                      <w:rPr>
                        <w:sz w:val="16"/>
                        <w:szCs w:val="16"/>
                      </w:rPr>
                    </w:pPr>
                    <w:r>
                      <w:rPr>
                        <w:rFonts w:hint="eastAsia"/>
                        <w:sz w:val="16"/>
                        <w:szCs w:val="16"/>
                      </w:rPr>
                      <w:t>-</w:t>
                    </w:r>
                  </w:p>
                </w:tc>
                <w:tc>
                  <w:tcPr>
                    <w:tcW w:w="406" w:type="pct"/>
                    <w:vAlign w:val="center"/>
                  </w:tcPr>
                  <w:p w:rsidR="0024594E" w:rsidRPr="00F121FB" w:rsidRDefault="008F04CF" w:rsidP="00B637B2">
                    <w:pPr>
                      <w:jc w:val="right"/>
                      <w:rPr>
                        <w:sz w:val="16"/>
                        <w:szCs w:val="16"/>
                      </w:rPr>
                    </w:pPr>
                    <w:r>
                      <w:rPr>
                        <w:rFonts w:hint="eastAsia"/>
                        <w:sz w:val="16"/>
                        <w:szCs w:val="16"/>
                      </w:rPr>
                      <w:t>-</w:t>
                    </w:r>
                  </w:p>
                </w:tc>
                <w:tc>
                  <w:tcPr>
                    <w:tcW w:w="139" w:type="pct"/>
                    <w:vAlign w:val="center"/>
                  </w:tcPr>
                  <w:p w:rsidR="0024594E" w:rsidRPr="00F121FB" w:rsidRDefault="008F04CF" w:rsidP="00B637B2">
                    <w:pPr>
                      <w:jc w:val="right"/>
                      <w:rPr>
                        <w:sz w:val="16"/>
                        <w:szCs w:val="16"/>
                      </w:rPr>
                    </w:pPr>
                    <w:r>
                      <w:rPr>
                        <w:rFonts w:hint="eastAsia"/>
                        <w:sz w:val="16"/>
                        <w:szCs w:val="16"/>
                      </w:rPr>
                      <w:t>-</w:t>
                    </w:r>
                  </w:p>
                </w:tc>
                <w:tc>
                  <w:tcPr>
                    <w:tcW w:w="428" w:type="pct"/>
                    <w:vAlign w:val="center"/>
                  </w:tcPr>
                  <w:p w:rsidR="0024594E" w:rsidRPr="00F121FB" w:rsidRDefault="008F04CF" w:rsidP="00B637B2">
                    <w:pPr>
                      <w:jc w:val="right"/>
                      <w:rPr>
                        <w:sz w:val="16"/>
                        <w:szCs w:val="16"/>
                      </w:rPr>
                    </w:pPr>
                    <w:r>
                      <w:rPr>
                        <w:rFonts w:hint="eastAsia"/>
                        <w:sz w:val="16"/>
                        <w:szCs w:val="16"/>
                      </w:rPr>
                      <w:t>-</w:t>
                    </w:r>
                  </w:p>
                </w:tc>
                <w:tc>
                  <w:tcPr>
                    <w:tcW w:w="381" w:type="pct"/>
                    <w:vAlign w:val="center"/>
                  </w:tcPr>
                  <w:p w:rsidR="0024594E" w:rsidRPr="00F121FB" w:rsidRDefault="008F04CF" w:rsidP="00B637B2">
                    <w:pPr>
                      <w:jc w:val="right"/>
                      <w:rPr>
                        <w:sz w:val="16"/>
                        <w:szCs w:val="16"/>
                      </w:rPr>
                    </w:pPr>
                    <w:r>
                      <w:rPr>
                        <w:rFonts w:hint="eastAsia"/>
                        <w:sz w:val="16"/>
                        <w:szCs w:val="16"/>
                      </w:rPr>
                      <w:t>-</w:t>
                    </w:r>
                  </w:p>
                </w:tc>
                <w:tc>
                  <w:tcPr>
                    <w:tcW w:w="404" w:type="pct"/>
                    <w:vAlign w:val="center"/>
                  </w:tcPr>
                  <w:p w:rsidR="0024594E" w:rsidRPr="00F121FB" w:rsidRDefault="008F04CF" w:rsidP="00B637B2">
                    <w:pPr>
                      <w:jc w:val="right"/>
                      <w:rPr>
                        <w:sz w:val="16"/>
                        <w:szCs w:val="16"/>
                      </w:rPr>
                    </w:pPr>
                    <w:r>
                      <w:rPr>
                        <w:rFonts w:hint="eastAsia"/>
                        <w:sz w:val="16"/>
                        <w:szCs w:val="16"/>
                      </w:rPr>
                      <w:t>-</w:t>
                    </w:r>
                  </w:p>
                </w:tc>
              </w:tr>
              <w:tr w:rsidR="00B637B2" w:rsidTr="00B637B2">
                <w:sdt>
                  <w:sdtPr>
                    <w:rPr>
                      <w:sz w:val="16"/>
                      <w:szCs w:val="16"/>
                    </w:rPr>
                    <w:tag w:val="_PLD_749e92980f334c9cae023bb1dba136fc"/>
                    <w:id w:val="-13541332"/>
                    <w:lock w:val="sdtLocked"/>
                  </w:sdtPr>
                  <w:sdtContent>
                    <w:tc>
                      <w:tcPr>
                        <w:tcW w:w="631" w:type="pct"/>
                      </w:tcPr>
                      <w:p w:rsidR="0024594E" w:rsidRPr="00F121FB" w:rsidRDefault="0024594E" w:rsidP="0024594E">
                        <w:pPr>
                          <w:rPr>
                            <w:sz w:val="16"/>
                            <w:szCs w:val="16"/>
                          </w:rPr>
                        </w:pPr>
                        <w:r w:rsidRPr="00F121FB">
                          <w:rPr>
                            <w:rFonts w:hint="eastAsia"/>
                            <w:sz w:val="16"/>
                            <w:szCs w:val="16"/>
                          </w:rPr>
                          <w:t>（六）其他</w:t>
                        </w:r>
                      </w:p>
                    </w:tc>
                  </w:sdtContent>
                </w:sdt>
                <w:tc>
                  <w:tcPr>
                    <w:tcW w:w="405" w:type="pct"/>
                    <w:vAlign w:val="center"/>
                  </w:tcPr>
                  <w:p w:rsidR="0024594E" w:rsidRPr="00F121FB" w:rsidRDefault="0024594E" w:rsidP="00B637B2">
                    <w:pPr>
                      <w:jc w:val="right"/>
                      <w:rPr>
                        <w:sz w:val="16"/>
                        <w:szCs w:val="16"/>
                      </w:rPr>
                    </w:pPr>
                    <w:r w:rsidRPr="00F121FB">
                      <w:rPr>
                        <w:sz w:val="16"/>
                        <w:szCs w:val="16"/>
                      </w:rPr>
                      <w:t>-</w:t>
                    </w:r>
                  </w:p>
                </w:tc>
                <w:tc>
                  <w:tcPr>
                    <w:tcW w:w="135" w:type="pct"/>
                    <w:vAlign w:val="center"/>
                  </w:tcPr>
                  <w:p w:rsidR="0024594E" w:rsidRPr="00F121FB" w:rsidRDefault="008F04CF" w:rsidP="00B637B2">
                    <w:pPr>
                      <w:jc w:val="right"/>
                      <w:rPr>
                        <w:sz w:val="16"/>
                        <w:szCs w:val="16"/>
                      </w:rPr>
                    </w:pPr>
                    <w:r>
                      <w:rPr>
                        <w:rFonts w:hint="eastAsia"/>
                        <w:sz w:val="16"/>
                        <w:szCs w:val="16"/>
                      </w:rPr>
                      <w:t>-</w:t>
                    </w:r>
                  </w:p>
                </w:tc>
                <w:tc>
                  <w:tcPr>
                    <w:tcW w:w="135" w:type="pct"/>
                    <w:vAlign w:val="center"/>
                  </w:tcPr>
                  <w:p w:rsidR="0024594E" w:rsidRPr="00F121FB" w:rsidRDefault="0024594E" w:rsidP="00B637B2">
                    <w:pPr>
                      <w:jc w:val="right"/>
                      <w:rPr>
                        <w:sz w:val="16"/>
                        <w:szCs w:val="16"/>
                      </w:rPr>
                    </w:pPr>
                    <w:r w:rsidRPr="00F121FB">
                      <w:rPr>
                        <w:sz w:val="16"/>
                        <w:szCs w:val="16"/>
                      </w:rPr>
                      <w:t>-</w:t>
                    </w:r>
                  </w:p>
                </w:tc>
                <w:tc>
                  <w:tcPr>
                    <w:tcW w:w="135" w:type="pct"/>
                    <w:vAlign w:val="center"/>
                  </w:tcPr>
                  <w:p w:rsidR="0024594E" w:rsidRPr="00F121FB" w:rsidRDefault="008F04CF" w:rsidP="00B637B2">
                    <w:pPr>
                      <w:jc w:val="right"/>
                      <w:rPr>
                        <w:sz w:val="16"/>
                        <w:szCs w:val="16"/>
                      </w:rPr>
                    </w:pPr>
                    <w:r>
                      <w:rPr>
                        <w:rFonts w:hint="eastAsia"/>
                        <w:sz w:val="16"/>
                        <w:szCs w:val="16"/>
                      </w:rPr>
                      <w:t>-</w:t>
                    </w:r>
                  </w:p>
                </w:tc>
                <w:tc>
                  <w:tcPr>
                    <w:tcW w:w="405" w:type="pct"/>
                    <w:vAlign w:val="center"/>
                  </w:tcPr>
                  <w:p w:rsidR="0024594E" w:rsidRPr="00F121FB" w:rsidRDefault="0024594E" w:rsidP="00B637B2">
                    <w:pPr>
                      <w:jc w:val="right"/>
                      <w:rPr>
                        <w:sz w:val="16"/>
                        <w:szCs w:val="16"/>
                      </w:rPr>
                    </w:pPr>
                    <w:r w:rsidRPr="00F121FB">
                      <w:rPr>
                        <w:sz w:val="16"/>
                        <w:szCs w:val="16"/>
                      </w:rPr>
                      <w:t>-</w:t>
                    </w:r>
                  </w:p>
                </w:tc>
                <w:tc>
                  <w:tcPr>
                    <w:tcW w:w="361" w:type="pct"/>
                    <w:vAlign w:val="center"/>
                  </w:tcPr>
                  <w:p w:rsidR="0024594E" w:rsidRPr="00F121FB" w:rsidRDefault="008F04CF" w:rsidP="00B637B2">
                    <w:pPr>
                      <w:jc w:val="right"/>
                      <w:rPr>
                        <w:sz w:val="16"/>
                        <w:szCs w:val="16"/>
                      </w:rPr>
                    </w:pPr>
                    <w:r>
                      <w:rPr>
                        <w:rFonts w:hint="eastAsia"/>
                        <w:sz w:val="16"/>
                        <w:szCs w:val="16"/>
                      </w:rPr>
                      <w:t>-</w:t>
                    </w:r>
                  </w:p>
                </w:tc>
                <w:tc>
                  <w:tcPr>
                    <w:tcW w:w="361" w:type="pct"/>
                    <w:vAlign w:val="center"/>
                  </w:tcPr>
                  <w:p w:rsidR="0024594E" w:rsidRPr="00F121FB" w:rsidRDefault="0024594E" w:rsidP="00B637B2">
                    <w:pPr>
                      <w:jc w:val="right"/>
                      <w:rPr>
                        <w:sz w:val="16"/>
                        <w:szCs w:val="16"/>
                      </w:rPr>
                    </w:pPr>
                    <w:r w:rsidRPr="00F121FB">
                      <w:rPr>
                        <w:sz w:val="16"/>
                        <w:szCs w:val="16"/>
                      </w:rPr>
                      <w:t>-</w:t>
                    </w:r>
                  </w:p>
                </w:tc>
                <w:tc>
                  <w:tcPr>
                    <w:tcW w:w="134" w:type="pct"/>
                    <w:vAlign w:val="center"/>
                  </w:tcPr>
                  <w:p w:rsidR="0024594E" w:rsidRPr="00F121FB" w:rsidRDefault="008F04CF" w:rsidP="00B637B2">
                    <w:pPr>
                      <w:jc w:val="right"/>
                      <w:rPr>
                        <w:sz w:val="16"/>
                        <w:szCs w:val="16"/>
                      </w:rPr>
                    </w:pPr>
                    <w:r>
                      <w:rPr>
                        <w:rFonts w:hint="eastAsia"/>
                        <w:sz w:val="16"/>
                        <w:szCs w:val="16"/>
                      </w:rPr>
                      <w:t>-</w:t>
                    </w:r>
                  </w:p>
                </w:tc>
                <w:tc>
                  <w:tcPr>
                    <w:tcW w:w="361" w:type="pct"/>
                    <w:vAlign w:val="center"/>
                  </w:tcPr>
                  <w:p w:rsidR="0024594E" w:rsidRPr="00F121FB" w:rsidRDefault="0024594E" w:rsidP="00B637B2">
                    <w:pPr>
                      <w:jc w:val="right"/>
                      <w:rPr>
                        <w:sz w:val="16"/>
                        <w:szCs w:val="16"/>
                      </w:rPr>
                    </w:pPr>
                    <w:r w:rsidRPr="00F121FB">
                      <w:rPr>
                        <w:sz w:val="16"/>
                        <w:szCs w:val="16"/>
                      </w:rPr>
                      <w:t>-</w:t>
                    </w:r>
                  </w:p>
                </w:tc>
                <w:tc>
                  <w:tcPr>
                    <w:tcW w:w="179" w:type="pct"/>
                    <w:vAlign w:val="center"/>
                  </w:tcPr>
                  <w:p w:rsidR="0024594E" w:rsidRPr="00F121FB" w:rsidRDefault="008F04CF" w:rsidP="00B637B2">
                    <w:pPr>
                      <w:jc w:val="right"/>
                      <w:rPr>
                        <w:sz w:val="16"/>
                        <w:szCs w:val="16"/>
                      </w:rPr>
                    </w:pPr>
                    <w:r>
                      <w:rPr>
                        <w:rFonts w:hint="eastAsia"/>
                        <w:sz w:val="16"/>
                        <w:szCs w:val="16"/>
                      </w:rPr>
                      <w:t>-</w:t>
                    </w:r>
                  </w:p>
                </w:tc>
                <w:tc>
                  <w:tcPr>
                    <w:tcW w:w="406" w:type="pct"/>
                    <w:vAlign w:val="center"/>
                  </w:tcPr>
                  <w:p w:rsidR="0024594E" w:rsidRPr="00F121FB" w:rsidRDefault="008F04CF" w:rsidP="00B637B2">
                    <w:pPr>
                      <w:jc w:val="right"/>
                      <w:rPr>
                        <w:sz w:val="16"/>
                        <w:szCs w:val="16"/>
                      </w:rPr>
                    </w:pPr>
                    <w:r>
                      <w:rPr>
                        <w:rFonts w:hint="eastAsia"/>
                        <w:sz w:val="16"/>
                        <w:szCs w:val="16"/>
                      </w:rPr>
                      <w:t>-</w:t>
                    </w:r>
                  </w:p>
                </w:tc>
                <w:tc>
                  <w:tcPr>
                    <w:tcW w:w="139" w:type="pct"/>
                    <w:vAlign w:val="center"/>
                  </w:tcPr>
                  <w:p w:rsidR="0024594E" w:rsidRPr="00F121FB" w:rsidRDefault="008F04CF" w:rsidP="00B637B2">
                    <w:pPr>
                      <w:jc w:val="right"/>
                      <w:rPr>
                        <w:sz w:val="16"/>
                        <w:szCs w:val="16"/>
                      </w:rPr>
                    </w:pPr>
                    <w:r>
                      <w:rPr>
                        <w:rFonts w:hint="eastAsia"/>
                        <w:sz w:val="16"/>
                        <w:szCs w:val="16"/>
                      </w:rPr>
                      <w:t>-</w:t>
                    </w:r>
                  </w:p>
                </w:tc>
                <w:tc>
                  <w:tcPr>
                    <w:tcW w:w="428" w:type="pct"/>
                    <w:vAlign w:val="center"/>
                  </w:tcPr>
                  <w:p w:rsidR="0024594E" w:rsidRPr="00F121FB" w:rsidRDefault="008F04CF" w:rsidP="00B637B2">
                    <w:pPr>
                      <w:jc w:val="right"/>
                      <w:rPr>
                        <w:sz w:val="16"/>
                        <w:szCs w:val="16"/>
                      </w:rPr>
                    </w:pPr>
                    <w:r>
                      <w:rPr>
                        <w:rFonts w:hint="eastAsia"/>
                        <w:sz w:val="16"/>
                        <w:szCs w:val="16"/>
                      </w:rPr>
                      <w:t>-</w:t>
                    </w:r>
                  </w:p>
                </w:tc>
                <w:tc>
                  <w:tcPr>
                    <w:tcW w:w="381" w:type="pct"/>
                    <w:vAlign w:val="center"/>
                  </w:tcPr>
                  <w:p w:rsidR="0024594E" w:rsidRPr="00F121FB" w:rsidRDefault="008F04CF" w:rsidP="00B637B2">
                    <w:pPr>
                      <w:jc w:val="right"/>
                      <w:rPr>
                        <w:sz w:val="16"/>
                        <w:szCs w:val="16"/>
                      </w:rPr>
                    </w:pPr>
                    <w:r>
                      <w:rPr>
                        <w:rFonts w:hint="eastAsia"/>
                        <w:sz w:val="16"/>
                        <w:szCs w:val="16"/>
                      </w:rPr>
                      <w:t>-</w:t>
                    </w:r>
                  </w:p>
                </w:tc>
                <w:tc>
                  <w:tcPr>
                    <w:tcW w:w="404" w:type="pct"/>
                    <w:vAlign w:val="center"/>
                  </w:tcPr>
                  <w:p w:rsidR="0024594E" w:rsidRPr="00F121FB" w:rsidRDefault="008F04CF" w:rsidP="00B637B2">
                    <w:pPr>
                      <w:jc w:val="right"/>
                      <w:rPr>
                        <w:sz w:val="16"/>
                        <w:szCs w:val="16"/>
                      </w:rPr>
                    </w:pPr>
                    <w:r>
                      <w:rPr>
                        <w:rFonts w:hint="eastAsia"/>
                        <w:sz w:val="16"/>
                        <w:szCs w:val="16"/>
                      </w:rPr>
                      <w:t>-</w:t>
                    </w:r>
                  </w:p>
                </w:tc>
              </w:tr>
              <w:tr w:rsidR="00B637B2" w:rsidTr="00B637B2">
                <w:sdt>
                  <w:sdtPr>
                    <w:rPr>
                      <w:sz w:val="16"/>
                      <w:szCs w:val="16"/>
                    </w:rPr>
                    <w:tag w:val="_PLD_e9c8435b637745858c6ad855ad7bbea0"/>
                    <w:id w:val="2121023449"/>
                    <w:lock w:val="sdtLocked"/>
                  </w:sdtPr>
                  <w:sdtContent>
                    <w:tc>
                      <w:tcPr>
                        <w:tcW w:w="631" w:type="pct"/>
                      </w:tcPr>
                      <w:p w:rsidR="0024594E" w:rsidRPr="00F121FB" w:rsidRDefault="0024594E" w:rsidP="0024594E">
                        <w:pPr>
                          <w:rPr>
                            <w:sz w:val="16"/>
                            <w:szCs w:val="16"/>
                          </w:rPr>
                        </w:pPr>
                        <w:r w:rsidRPr="00F121FB">
                          <w:rPr>
                            <w:sz w:val="16"/>
                            <w:szCs w:val="16"/>
                          </w:rPr>
                          <w:t>四、本期期末余额</w:t>
                        </w:r>
                      </w:p>
                    </w:tc>
                  </w:sdtContent>
                </w:sdt>
                <w:tc>
                  <w:tcPr>
                    <w:tcW w:w="405" w:type="pct"/>
                    <w:vAlign w:val="center"/>
                  </w:tcPr>
                  <w:p w:rsidR="0024594E" w:rsidRPr="00F121FB" w:rsidRDefault="008F04CF" w:rsidP="00B637B2">
                    <w:pPr>
                      <w:jc w:val="right"/>
                      <w:rPr>
                        <w:sz w:val="16"/>
                        <w:szCs w:val="16"/>
                      </w:rPr>
                    </w:pPr>
                    <w:r w:rsidRPr="00626C10">
                      <w:rPr>
                        <w:sz w:val="16"/>
                        <w:szCs w:val="16"/>
                      </w:rPr>
                      <w:t>1,899,594,096</w:t>
                    </w:r>
                  </w:p>
                </w:tc>
                <w:tc>
                  <w:tcPr>
                    <w:tcW w:w="135" w:type="pct"/>
                    <w:vAlign w:val="center"/>
                  </w:tcPr>
                  <w:p w:rsidR="0024594E" w:rsidRPr="00F121FB" w:rsidRDefault="008F04CF" w:rsidP="00B637B2">
                    <w:pPr>
                      <w:jc w:val="right"/>
                      <w:rPr>
                        <w:sz w:val="16"/>
                        <w:szCs w:val="16"/>
                      </w:rPr>
                    </w:pPr>
                    <w:r>
                      <w:rPr>
                        <w:rFonts w:hint="eastAsia"/>
                        <w:sz w:val="16"/>
                        <w:szCs w:val="16"/>
                      </w:rPr>
                      <w:t>-</w:t>
                    </w:r>
                  </w:p>
                </w:tc>
                <w:tc>
                  <w:tcPr>
                    <w:tcW w:w="135" w:type="pct"/>
                    <w:vAlign w:val="center"/>
                  </w:tcPr>
                  <w:p w:rsidR="0024594E" w:rsidRPr="00F121FB" w:rsidRDefault="0024594E" w:rsidP="00B637B2">
                    <w:pPr>
                      <w:jc w:val="right"/>
                      <w:rPr>
                        <w:sz w:val="16"/>
                        <w:szCs w:val="16"/>
                      </w:rPr>
                    </w:pPr>
                    <w:r w:rsidRPr="00F121FB">
                      <w:rPr>
                        <w:sz w:val="16"/>
                        <w:szCs w:val="16"/>
                      </w:rPr>
                      <w:t>-</w:t>
                    </w:r>
                  </w:p>
                </w:tc>
                <w:tc>
                  <w:tcPr>
                    <w:tcW w:w="135" w:type="pct"/>
                    <w:vAlign w:val="center"/>
                  </w:tcPr>
                  <w:p w:rsidR="0024594E" w:rsidRPr="00F121FB" w:rsidRDefault="008F04CF" w:rsidP="00B637B2">
                    <w:pPr>
                      <w:jc w:val="right"/>
                      <w:rPr>
                        <w:sz w:val="16"/>
                        <w:szCs w:val="16"/>
                      </w:rPr>
                    </w:pPr>
                    <w:r>
                      <w:rPr>
                        <w:rFonts w:hint="eastAsia"/>
                        <w:sz w:val="16"/>
                        <w:szCs w:val="16"/>
                      </w:rPr>
                      <w:t>-</w:t>
                    </w:r>
                  </w:p>
                </w:tc>
                <w:tc>
                  <w:tcPr>
                    <w:tcW w:w="405" w:type="pct"/>
                    <w:vAlign w:val="center"/>
                  </w:tcPr>
                  <w:p w:rsidR="0024594E" w:rsidRPr="00F121FB" w:rsidRDefault="008F04CF" w:rsidP="00B637B2">
                    <w:pPr>
                      <w:jc w:val="right"/>
                      <w:rPr>
                        <w:sz w:val="16"/>
                        <w:szCs w:val="16"/>
                      </w:rPr>
                    </w:pPr>
                    <w:r w:rsidRPr="00626C10">
                      <w:rPr>
                        <w:sz w:val="16"/>
                        <w:szCs w:val="16"/>
                      </w:rPr>
                      <w:t>1,873,336,662</w:t>
                    </w:r>
                  </w:p>
                </w:tc>
                <w:tc>
                  <w:tcPr>
                    <w:tcW w:w="361" w:type="pct"/>
                    <w:vAlign w:val="center"/>
                  </w:tcPr>
                  <w:p w:rsidR="0024594E" w:rsidRPr="00F121FB" w:rsidRDefault="008F04CF" w:rsidP="00B637B2">
                    <w:pPr>
                      <w:jc w:val="right"/>
                      <w:rPr>
                        <w:sz w:val="16"/>
                        <w:szCs w:val="16"/>
                      </w:rPr>
                    </w:pPr>
                    <w:r w:rsidRPr="00626C10">
                      <w:rPr>
                        <w:sz w:val="16"/>
                        <w:szCs w:val="16"/>
                      </w:rPr>
                      <w:t>86,733,919</w:t>
                    </w:r>
                  </w:p>
                </w:tc>
                <w:tc>
                  <w:tcPr>
                    <w:tcW w:w="361" w:type="pct"/>
                    <w:vAlign w:val="center"/>
                  </w:tcPr>
                  <w:p w:rsidR="0024594E" w:rsidRPr="00F121FB" w:rsidRDefault="008F04CF" w:rsidP="00B637B2">
                    <w:pPr>
                      <w:jc w:val="right"/>
                      <w:rPr>
                        <w:sz w:val="16"/>
                        <w:szCs w:val="16"/>
                      </w:rPr>
                    </w:pPr>
                    <w:r w:rsidRPr="00626C10">
                      <w:rPr>
                        <w:sz w:val="16"/>
                        <w:szCs w:val="16"/>
                      </w:rPr>
                      <w:t>-2,872,349</w:t>
                    </w:r>
                  </w:p>
                </w:tc>
                <w:tc>
                  <w:tcPr>
                    <w:tcW w:w="134" w:type="pct"/>
                    <w:vAlign w:val="center"/>
                  </w:tcPr>
                  <w:p w:rsidR="0024594E" w:rsidRPr="00F121FB" w:rsidRDefault="008F04CF" w:rsidP="00B637B2">
                    <w:pPr>
                      <w:jc w:val="right"/>
                      <w:rPr>
                        <w:sz w:val="16"/>
                        <w:szCs w:val="16"/>
                      </w:rPr>
                    </w:pPr>
                    <w:r>
                      <w:rPr>
                        <w:rFonts w:hint="eastAsia"/>
                        <w:sz w:val="16"/>
                        <w:szCs w:val="16"/>
                      </w:rPr>
                      <w:t>-</w:t>
                    </w:r>
                  </w:p>
                </w:tc>
                <w:tc>
                  <w:tcPr>
                    <w:tcW w:w="361" w:type="pct"/>
                    <w:vAlign w:val="center"/>
                  </w:tcPr>
                  <w:p w:rsidR="0024594E" w:rsidRPr="00F121FB" w:rsidRDefault="008F04CF" w:rsidP="00B637B2">
                    <w:pPr>
                      <w:jc w:val="right"/>
                      <w:rPr>
                        <w:sz w:val="16"/>
                        <w:szCs w:val="16"/>
                      </w:rPr>
                    </w:pPr>
                    <w:r w:rsidRPr="00F121FB">
                      <w:rPr>
                        <w:sz w:val="16"/>
                        <w:szCs w:val="16"/>
                      </w:rPr>
                      <w:t>725,148,306</w:t>
                    </w:r>
                  </w:p>
                </w:tc>
                <w:tc>
                  <w:tcPr>
                    <w:tcW w:w="179" w:type="pct"/>
                    <w:vAlign w:val="center"/>
                  </w:tcPr>
                  <w:p w:rsidR="0024594E" w:rsidRPr="00F121FB" w:rsidRDefault="008F04CF" w:rsidP="00B637B2">
                    <w:pPr>
                      <w:jc w:val="right"/>
                      <w:rPr>
                        <w:sz w:val="16"/>
                        <w:szCs w:val="16"/>
                      </w:rPr>
                    </w:pPr>
                    <w:r>
                      <w:rPr>
                        <w:rFonts w:hint="eastAsia"/>
                        <w:sz w:val="16"/>
                        <w:szCs w:val="16"/>
                      </w:rPr>
                      <w:t>-</w:t>
                    </w:r>
                  </w:p>
                </w:tc>
                <w:tc>
                  <w:tcPr>
                    <w:tcW w:w="406" w:type="pct"/>
                    <w:vAlign w:val="center"/>
                  </w:tcPr>
                  <w:p w:rsidR="0024594E" w:rsidRPr="00F121FB" w:rsidRDefault="008F04CF" w:rsidP="00B637B2">
                    <w:pPr>
                      <w:jc w:val="right"/>
                      <w:rPr>
                        <w:sz w:val="16"/>
                        <w:szCs w:val="16"/>
                      </w:rPr>
                    </w:pPr>
                    <w:r w:rsidRPr="00A800C5">
                      <w:rPr>
                        <w:sz w:val="16"/>
                        <w:szCs w:val="16"/>
                      </w:rPr>
                      <w:t>1,399,506,504</w:t>
                    </w:r>
                  </w:p>
                </w:tc>
                <w:tc>
                  <w:tcPr>
                    <w:tcW w:w="139" w:type="pct"/>
                    <w:vAlign w:val="center"/>
                  </w:tcPr>
                  <w:p w:rsidR="0024594E" w:rsidRPr="00F121FB" w:rsidRDefault="008F04CF" w:rsidP="00B637B2">
                    <w:pPr>
                      <w:jc w:val="right"/>
                      <w:rPr>
                        <w:sz w:val="16"/>
                        <w:szCs w:val="16"/>
                      </w:rPr>
                    </w:pPr>
                    <w:r>
                      <w:rPr>
                        <w:rFonts w:hint="eastAsia"/>
                        <w:sz w:val="16"/>
                        <w:szCs w:val="16"/>
                      </w:rPr>
                      <w:t>-</w:t>
                    </w:r>
                  </w:p>
                </w:tc>
                <w:tc>
                  <w:tcPr>
                    <w:tcW w:w="428" w:type="pct"/>
                    <w:vAlign w:val="center"/>
                  </w:tcPr>
                  <w:p w:rsidR="0024594E" w:rsidRPr="00F121FB" w:rsidRDefault="008F04CF" w:rsidP="00B637B2">
                    <w:pPr>
                      <w:jc w:val="right"/>
                      <w:rPr>
                        <w:sz w:val="16"/>
                        <w:szCs w:val="16"/>
                      </w:rPr>
                    </w:pPr>
                    <w:r w:rsidRPr="00A800C5">
                      <w:rPr>
                        <w:sz w:val="16"/>
                        <w:szCs w:val="16"/>
                      </w:rPr>
                      <w:t>5,807,979,300</w:t>
                    </w:r>
                  </w:p>
                </w:tc>
                <w:tc>
                  <w:tcPr>
                    <w:tcW w:w="381" w:type="pct"/>
                    <w:vAlign w:val="center"/>
                  </w:tcPr>
                  <w:p w:rsidR="0024594E" w:rsidRPr="00F121FB" w:rsidRDefault="008F04CF" w:rsidP="00B637B2">
                    <w:pPr>
                      <w:jc w:val="right"/>
                      <w:rPr>
                        <w:sz w:val="16"/>
                        <w:szCs w:val="16"/>
                      </w:rPr>
                    </w:pPr>
                    <w:r w:rsidRPr="008A0D68">
                      <w:rPr>
                        <w:sz w:val="16"/>
                        <w:szCs w:val="16"/>
                      </w:rPr>
                      <w:t>903,055,230</w:t>
                    </w:r>
                  </w:p>
                </w:tc>
                <w:tc>
                  <w:tcPr>
                    <w:tcW w:w="404" w:type="pct"/>
                    <w:vAlign w:val="center"/>
                  </w:tcPr>
                  <w:p w:rsidR="0024594E" w:rsidRPr="00F121FB" w:rsidRDefault="008F04CF" w:rsidP="00B637B2">
                    <w:pPr>
                      <w:jc w:val="right"/>
                      <w:rPr>
                        <w:sz w:val="16"/>
                        <w:szCs w:val="16"/>
                      </w:rPr>
                    </w:pPr>
                    <w:r w:rsidRPr="00965429">
                      <w:rPr>
                        <w:sz w:val="16"/>
                        <w:szCs w:val="16"/>
                      </w:rPr>
                      <w:t>6,711,034,530</w:t>
                    </w:r>
                  </w:p>
                </w:tc>
              </w:tr>
            </w:tbl>
            <w:p w:rsidR="00ED2DC7" w:rsidRDefault="00ED2DC7"/>
            <w:p w:rsidR="00ED2DC7" w:rsidRDefault="00ED2DC7">
              <w:pPr>
                <w:snapToGrid w:val="0"/>
                <w:spacing w:line="240" w:lineRule="atLeast"/>
                <w:rPr>
                  <w:b/>
                  <w:bCs/>
                  <w:color w:val="FF0000"/>
                  <w:szCs w:val="21"/>
                </w:rPr>
              </w:pPr>
              <w:r>
                <w:rPr>
                  <w:szCs w:val="21"/>
                </w:rPr>
                <w:t>法定代表人</w:t>
              </w:r>
              <w:r>
                <w:rPr>
                  <w:rFonts w:hint="eastAsia"/>
                  <w:szCs w:val="21"/>
                </w:rPr>
                <w:t>：</w:t>
              </w:r>
              <w:sdt>
                <w:sdtPr>
                  <w:rPr>
                    <w:rFonts w:hint="eastAsia"/>
                    <w:szCs w:val="21"/>
                  </w:rPr>
                  <w:alias w:val="公司法定代表人"/>
                  <w:tag w:val="_GBC_076a4a0998a840bab20f0ed83e5bab3d"/>
                  <w:id w:val="-1411222947"/>
                  <w:lock w:val="sdtLocked"/>
                  <w:placeholder>
                    <w:docPart w:val="GBC22222222222222222222222222222"/>
                  </w:placeholder>
                  <w:dataBinding w:prefixMappings="xmlns:clcid-cgi='clcid-cgi'" w:xpath="/*/clcid-cgi:GongSiFaDingDaiBiaoRen[not(@periodRef)]" w:storeItemID="{89EBAB94-44A0-46A2-B712-30D997D04A6D}"/>
                  <w:text/>
                </w:sdtPr>
                <w:sdtContent>
                  <w:r w:rsidR="008F04CF">
                    <w:rPr>
                      <w:rFonts w:hint="eastAsia"/>
                      <w:szCs w:val="21"/>
                    </w:rPr>
                    <w:t>王文京</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5b21002df9e248fa81a6770579ce76cd"/>
                  <w:id w:val="-1009066138"/>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8F04CF">
                    <w:rPr>
                      <w:rFonts w:hint="eastAsia"/>
                      <w:szCs w:val="21"/>
                    </w:rPr>
                    <w:t>章培林</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6a446d6543174dc48c72d440eefb0b71"/>
                  <w:id w:val="-1113355989"/>
                  <w:lock w:val="sdtLocked"/>
                  <w:placeholder>
                    <w:docPart w:val="GBC22222222222222222222222222222"/>
                  </w:placeholder>
                  <w:dataBinding w:prefixMappings="xmlns:clcid-mr='clcid-mr'" w:xpath="/*/clcid-mr:KuaiJiJiGouFuZeRenXingMing[not(@periodRef)]" w:storeItemID="{89EBAB94-44A0-46A2-B712-30D997D04A6D}"/>
                  <w:text/>
                </w:sdtPr>
                <w:sdtContent>
                  <w:r w:rsidR="008F04CF">
                    <w:rPr>
                      <w:rFonts w:hint="eastAsia"/>
                      <w:szCs w:val="21"/>
                    </w:rPr>
                    <w:t>孙淑嫔</w:t>
                  </w:r>
                </w:sdtContent>
              </w:sdt>
            </w:p>
          </w:sdtContent>
        </w:sdt>
        <w:p w:rsidR="00ED2DC7" w:rsidRDefault="00ED2DC7">
          <w:pPr>
            <w:rPr>
              <w:szCs w:val="21"/>
            </w:rPr>
          </w:pPr>
        </w:p>
        <w:p w:rsidR="00ED2DC7" w:rsidRDefault="00ED2DC7">
          <w:pPr>
            <w:rPr>
              <w:szCs w:val="21"/>
            </w:rPr>
          </w:pPr>
        </w:p>
        <w:sdt>
          <w:sdtPr>
            <w:rPr>
              <w:rFonts w:ascii="宋体" w:hAnsi="宋体" w:cs="宋体"/>
              <w:b w:val="0"/>
              <w:bCs w:val="0"/>
              <w:kern w:val="0"/>
              <w:szCs w:val="24"/>
            </w:rPr>
            <w:tag w:val="_GBC_24560eea01804b8b9d3678736eb60ca8"/>
            <w:id w:val="-1694451328"/>
            <w:lock w:val="sdtLocked"/>
            <w:placeholder>
              <w:docPart w:val="GBC22222222222222222222222222222"/>
            </w:placeholder>
          </w:sdtPr>
          <w:sdtEndPr>
            <w:rPr>
              <w:rFonts w:hint="eastAsia"/>
              <w:szCs w:val="21"/>
            </w:rPr>
          </w:sdtEndPr>
          <w:sdtContent>
            <w:p w:rsidR="00ED2DC7" w:rsidRDefault="00ED2DC7">
              <w:pPr>
                <w:pStyle w:val="affffffffffffffffff1"/>
                <w:jc w:val="center"/>
              </w:pPr>
              <w:r>
                <w:t>母公司</w:t>
              </w:r>
              <w:r>
                <w:rPr>
                  <w:rFonts w:hint="eastAsia"/>
                </w:rPr>
                <w:t>所有者权益变动表</w:t>
              </w:r>
            </w:p>
            <w:p w:rsidR="00ED2DC7" w:rsidRDefault="00ED2DC7">
              <w:pPr>
                <w:tabs>
                  <w:tab w:val="left" w:pos="10080"/>
                </w:tabs>
                <w:snapToGrid w:val="0"/>
                <w:spacing w:line="240" w:lineRule="atLeast"/>
                <w:ind w:rightChars="12" w:right="25"/>
                <w:jc w:val="center"/>
                <w:rPr>
                  <w:b/>
                  <w:bCs/>
                  <w:szCs w:val="21"/>
                </w:rPr>
              </w:pPr>
              <w:r>
                <w:rPr>
                  <w:szCs w:val="21"/>
                </w:rPr>
                <w:t>2019年</w:t>
              </w:r>
              <w:r>
                <w:rPr>
                  <w:rFonts w:hint="eastAsia"/>
                  <w:szCs w:val="21"/>
                </w:rPr>
                <w:t>1—6</w:t>
              </w:r>
              <w:r>
                <w:rPr>
                  <w:szCs w:val="21"/>
                </w:rPr>
                <w:t>月</w:t>
              </w:r>
            </w:p>
            <w:p w:rsidR="00ED2DC7" w:rsidRDefault="00ED2DC7">
              <w:pPr>
                <w:snapToGrid w:val="0"/>
                <w:spacing w:line="240" w:lineRule="atLeast"/>
                <w:jc w:val="right"/>
                <w:rPr>
                  <w:szCs w:val="21"/>
                </w:rPr>
              </w:pPr>
              <w:r>
                <w:rPr>
                  <w:szCs w:val="21"/>
                </w:rPr>
                <w:t>单位:</w:t>
              </w:r>
              <w:sdt>
                <w:sdtPr>
                  <w:rPr>
                    <w:szCs w:val="21"/>
                  </w:rPr>
                  <w:alias w:val="单位：母公司股东权益调节表"/>
                  <w:tag w:val="_GBC_048773409e614c6bb753000b028316a5"/>
                  <w:id w:val="-11716366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szCs w:val="21"/>
                    </w:rPr>
                    <w:t>元</w:t>
                  </w:r>
                </w:sdtContent>
              </w:sdt>
              <w:r>
                <w:rPr>
                  <w:szCs w:val="21"/>
                </w:rPr>
                <w:t xml:space="preserve">  币种:</w:t>
              </w:r>
              <w:sdt>
                <w:sdtPr>
                  <w:rPr>
                    <w:szCs w:val="21"/>
                  </w:rPr>
                  <w:alias w:val="币种：母公司股东权益调节表"/>
                  <w:tag w:val="_GBC_5214b7a188334da286fc3038d017d072"/>
                  <w:id w:val="-124563718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szCs w:val="21"/>
                    </w:rPr>
                    <w:t>人民币</w:t>
                  </w:r>
                </w:sdtContent>
              </w:sdt>
            </w:p>
            <w:tbl>
              <w:tblPr>
                <w:tblStyle w:val="g38"/>
                <w:tblW w:w="15735"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5"/>
                <w:gridCol w:w="1560"/>
                <w:gridCol w:w="425"/>
                <w:gridCol w:w="425"/>
                <w:gridCol w:w="425"/>
                <w:gridCol w:w="1560"/>
                <w:gridCol w:w="1559"/>
                <w:gridCol w:w="1559"/>
                <w:gridCol w:w="1559"/>
                <w:gridCol w:w="1560"/>
                <w:gridCol w:w="1559"/>
                <w:gridCol w:w="1559"/>
              </w:tblGrid>
              <w:tr w:rsidR="00ED2DC7" w:rsidTr="00B637B2">
                <w:trPr>
                  <w:trHeight w:val="20"/>
                </w:trPr>
                <w:sdt>
                  <w:sdtPr>
                    <w:rPr>
                      <w:sz w:val="16"/>
                      <w:szCs w:val="16"/>
                    </w:rPr>
                    <w:tag w:val="_PLD_e16babcb874e4410be91226aac3d24db"/>
                    <w:id w:val="-156848637"/>
                    <w:lock w:val="sdtLocked"/>
                  </w:sdtPr>
                  <w:sdtContent>
                    <w:tc>
                      <w:tcPr>
                        <w:tcW w:w="1985" w:type="dxa"/>
                        <w:vMerge w:val="restart"/>
                        <w:vAlign w:val="center"/>
                      </w:tcPr>
                      <w:p w:rsidR="00ED2DC7" w:rsidRPr="00965429" w:rsidRDefault="00ED2DC7">
                        <w:pPr>
                          <w:adjustRightInd w:val="0"/>
                          <w:snapToGrid w:val="0"/>
                          <w:jc w:val="center"/>
                          <w:rPr>
                            <w:sz w:val="16"/>
                            <w:szCs w:val="16"/>
                          </w:rPr>
                        </w:pPr>
                        <w:r w:rsidRPr="00965429">
                          <w:rPr>
                            <w:rFonts w:hint="eastAsia"/>
                            <w:sz w:val="16"/>
                            <w:szCs w:val="16"/>
                          </w:rPr>
                          <w:t>项目</w:t>
                        </w:r>
                      </w:p>
                    </w:tc>
                  </w:sdtContent>
                </w:sdt>
                <w:tc>
                  <w:tcPr>
                    <w:tcW w:w="13750" w:type="dxa"/>
                    <w:gridSpan w:val="11"/>
                    <w:vAlign w:val="center"/>
                  </w:tcPr>
                  <w:p w:rsidR="00ED2DC7" w:rsidRPr="00965429" w:rsidRDefault="00ED2DC7">
                    <w:pPr>
                      <w:adjustRightInd w:val="0"/>
                      <w:snapToGrid w:val="0"/>
                      <w:jc w:val="center"/>
                      <w:rPr>
                        <w:sz w:val="16"/>
                        <w:szCs w:val="16"/>
                      </w:rPr>
                    </w:pPr>
                    <w:r w:rsidRPr="00965429">
                      <w:rPr>
                        <w:rFonts w:hint="eastAsia"/>
                        <w:sz w:val="16"/>
                        <w:szCs w:val="16"/>
                      </w:rPr>
                      <w:t xml:space="preserve"> </w:t>
                    </w:r>
                    <w:sdt>
                      <w:sdtPr>
                        <w:rPr>
                          <w:rFonts w:hint="eastAsia"/>
                          <w:sz w:val="16"/>
                          <w:szCs w:val="16"/>
                        </w:rPr>
                        <w:tag w:val="_PLD_f6e21c3ce66d4e148eea3bf743a653b8"/>
                        <w:id w:val="435882000"/>
                        <w:lock w:val="sdtLocked"/>
                      </w:sdtPr>
                      <w:sdtContent>
                        <w:r w:rsidRPr="00965429">
                          <w:rPr>
                            <w:rFonts w:hint="eastAsia"/>
                            <w:sz w:val="16"/>
                            <w:szCs w:val="16"/>
                          </w:rPr>
                          <w:t>201</w:t>
                        </w:r>
                        <w:r w:rsidRPr="00965429">
                          <w:rPr>
                            <w:sz w:val="16"/>
                            <w:szCs w:val="16"/>
                          </w:rPr>
                          <w:t>9</w:t>
                        </w:r>
                        <w:r w:rsidRPr="00965429">
                          <w:rPr>
                            <w:rFonts w:hint="eastAsia"/>
                            <w:sz w:val="16"/>
                            <w:szCs w:val="16"/>
                          </w:rPr>
                          <w:t>年半年度</w:t>
                        </w:r>
                      </w:sdtContent>
                    </w:sdt>
                  </w:p>
                </w:tc>
              </w:tr>
              <w:tr w:rsidR="00B637B2" w:rsidTr="00B637B2">
                <w:trPr>
                  <w:trHeight w:val="315"/>
                </w:trPr>
                <w:tc>
                  <w:tcPr>
                    <w:tcW w:w="1985" w:type="dxa"/>
                    <w:vMerge/>
                  </w:tcPr>
                  <w:p w:rsidR="00ED2DC7" w:rsidRPr="00965429" w:rsidRDefault="00ED2DC7">
                    <w:pPr>
                      <w:adjustRightInd w:val="0"/>
                      <w:snapToGrid w:val="0"/>
                      <w:rPr>
                        <w:sz w:val="16"/>
                        <w:szCs w:val="16"/>
                      </w:rPr>
                    </w:pPr>
                  </w:p>
                </w:tc>
                <w:sdt>
                  <w:sdtPr>
                    <w:rPr>
                      <w:sz w:val="16"/>
                      <w:szCs w:val="16"/>
                    </w:rPr>
                    <w:tag w:val="_PLD_0b6e9703ed65458cb162afd47e6cc9f5"/>
                    <w:id w:val="-2038965394"/>
                    <w:lock w:val="sdtLocked"/>
                  </w:sdtPr>
                  <w:sdtContent>
                    <w:tc>
                      <w:tcPr>
                        <w:tcW w:w="1560" w:type="dxa"/>
                        <w:vMerge w:val="restart"/>
                        <w:tcBorders>
                          <w:right w:val="single" w:sz="4" w:space="0" w:color="auto"/>
                        </w:tcBorders>
                        <w:vAlign w:val="center"/>
                      </w:tcPr>
                      <w:p w:rsidR="00ED2DC7" w:rsidRPr="00965429" w:rsidRDefault="00ED2DC7">
                        <w:pPr>
                          <w:adjustRightInd w:val="0"/>
                          <w:snapToGrid w:val="0"/>
                          <w:jc w:val="center"/>
                          <w:rPr>
                            <w:sz w:val="16"/>
                            <w:szCs w:val="16"/>
                          </w:rPr>
                        </w:pPr>
                        <w:r w:rsidRPr="00965429">
                          <w:rPr>
                            <w:rFonts w:hint="eastAsia"/>
                            <w:sz w:val="16"/>
                            <w:szCs w:val="16"/>
                          </w:rPr>
                          <w:t>实收资本</w:t>
                        </w:r>
                        <w:r w:rsidRPr="00965429">
                          <w:rPr>
                            <w:sz w:val="16"/>
                            <w:szCs w:val="16"/>
                          </w:rPr>
                          <w:t xml:space="preserve"> (或股本)</w:t>
                        </w:r>
                      </w:p>
                    </w:tc>
                  </w:sdtContent>
                </w:sdt>
                <w:sdt>
                  <w:sdtPr>
                    <w:rPr>
                      <w:sz w:val="16"/>
                      <w:szCs w:val="16"/>
                    </w:rPr>
                    <w:tag w:val="_PLD_385a3413585444238bb59d181b958311"/>
                    <w:id w:val="2131903522"/>
                    <w:lock w:val="sdtLocked"/>
                  </w:sdtPr>
                  <w:sdtContent>
                    <w:tc>
                      <w:tcPr>
                        <w:tcW w:w="1275" w:type="dxa"/>
                        <w:gridSpan w:val="3"/>
                        <w:tcBorders>
                          <w:left w:val="single" w:sz="4" w:space="0" w:color="auto"/>
                          <w:bottom w:val="single" w:sz="4" w:space="0" w:color="auto"/>
                        </w:tcBorders>
                        <w:vAlign w:val="center"/>
                      </w:tcPr>
                      <w:p w:rsidR="00ED2DC7" w:rsidRPr="00965429" w:rsidRDefault="00ED2DC7">
                        <w:pPr>
                          <w:adjustRightInd w:val="0"/>
                          <w:snapToGrid w:val="0"/>
                          <w:jc w:val="center"/>
                          <w:rPr>
                            <w:sz w:val="16"/>
                            <w:szCs w:val="16"/>
                          </w:rPr>
                        </w:pPr>
                        <w:r w:rsidRPr="00965429">
                          <w:rPr>
                            <w:rFonts w:hint="eastAsia"/>
                            <w:sz w:val="16"/>
                            <w:szCs w:val="16"/>
                          </w:rPr>
                          <w:t>其他权益工具</w:t>
                        </w:r>
                      </w:p>
                    </w:tc>
                  </w:sdtContent>
                </w:sdt>
                <w:sdt>
                  <w:sdtPr>
                    <w:rPr>
                      <w:sz w:val="16"/>
                      <w:szCs w:val="16"/>
                    </w:rPr>
                    <w:tag w:val="_PLD_670488de432c4150880353e82f6ebb21"/>
                    <w:id w:val="514130109"/>
                    <w:lock w:val="sdtLocked"/>
                  </w:sdtPr>
                  <w:sdtContent>
                    <w:tc>
                      <w:tcPr>
                        <w:tcW w:w="1560" w:type="dxa"/>
                        <w:vMerge w:val="restart"/>
                        <w:vAlign w:val="center"/>
                      </w:tcPr>
                      <w:p w:rsidR="00ED2DC7" w:rsidRPr="00965429" w:rsidRDefault="00ED2DC7">
                        <w:pPr>
                          <w:adjustRightInd w:val="0"/>
                          <w:snapToGrid w:val="0"/>
                          <w:jc w:val="center"/>
                          <w:rPr>
                            <w:sz w:val="16"/>
                            <w:szCs w:val="16"/>
                          </w:rPr>
                        </w:pPr>
                        <w:r w:rsidRPr="00965429">
                          <w:rPr>
                            <w:sz w:val="16"/>
                            <w:szCs w:val="16"/>
                          </w:rPr>
                          <w:t>资本公积</w:t>
                        </w:r>
                      </w:p>
                    </w:tc>
                  </w:sdtContent>
                </w:sdt>
                <w:sdt>
                  <w:sdtPr>
                    <w:rPr>
                      <w:sz w:val="16"/>
                      <w:szCs w:val="16"/>
                    </w:rPr>
                    <w:tag w:val="_PLD_c1c25c4e521b4e8aba5ccfef16a558c5"/>
                    <w:id w:val="-1648735508"/>
                    <w:lock w:val="sdtLocked"/>
                  </w:sdtPr>
                  <w:sdtContent>
                    <w:tc>
                      <w:tcPr>
                        <w:tcW w:w="1559" w:type="dxa"/>
                        <w:vMerge w:val="restart"/>
                        <w:vAlign w:val="center"/>
                      </w:tcPr>
                      <w:p w:rsidR="00ED2DC7" w:rsidRPr="00965429" w:rsidRDefault="00ED2DC7">
                        <w:pPr>
                          <w:adjustRightInd w:val="0"/>
                          <w:snapToGrid w:val="0"/>
                          <w:jc w:val="center"/>
                          <w:rPr>
                            <w:sz w:val="16"/>
                            <w:szCs w:val="16"/>
                          </w:rPr>
                        </w:pPr>
                        <w:r w:rsidRPr="00965429">
                          <w:rPr>
                            <w:sz w:val="16"/>
                            <w:szCs w:val="16"/>
                          </w:rPr>
                          <w:t>减：库存股</w:t>
                        </w:r>
                      </w:p>
                    </w:tc>
                  </w:sdtContent>
                </w:sdt>
                <w:sdt>
                  <w:sdtPr>
                    <w:rPr>
                      <w:sz w:val="16"/>
                      <w:szCs w:val="16"/>
                    </w:rPr>
                    <w:tag w:val="_PLD_4ef83c170ca54a08ac6fcebc6a487dcd"/>
                    <w:id w:val="-1630701602"/>
                    <w:lock w:val="sdtLocked"/>
                  </w:sdtPr>
                  <w:sdtContent>
                    <w:tc>
                      <w:tcPr>
                        <w:tcW w:w="1559" w:type="dxa"/>
                        <w:vMerge w:val="restart"/>
                        <w:vAlign w:val="center"/>
                      </w:tcPr>
                      <w:p w:rsidR="00ED2DC7" w:rsidRPr="00965429" w:rsidRDefault="00ED2DC7">
                        <w:pPr>
                          <w:jc w:val="center"/>
                          <w:rPr>
                            <w:sz w:val="16"/>
                            <w:szCs w:val="16"/>
                          </w:rPr>
                        </w:pPr>
                        <w:r w:rsidRPr="00965429">
                          <w:rPr>
                            <w:rFonts w:hint="eastAsia"/>
                            <w:sz w:val="16"/>
                            <w:szCs w:val="16"/>
                          </w:rPr>
                          <w:t>其他综合收益</w:t>
                        </w:r>
                      </w:p>
                    </w:tc>
                  </w:sdtContent>
                </w:sdt>
                <w:sdt>
                  <w:sdtPr>
                    <w:rPr>
                      <w:sz w:val="16"/>
                      <w:szCs w:val="16"/>
                    </w:rPr>
                    <w:tag w:val="_PLD_5a42f2a835d44138928915520fc5e902"/>
                    <w:id w:val="-682665085"/>
                    <w:lock w:val="sdtLocked"/>
                  </w:sdtPr>
                  <w:sdtContent>
                    <w:tc>
                      <w:tcPr>
                        <w:tcW w:w="1559" w:type="dxa"/>
                        <w:vMerge w:val="restart"/>
                        <w:vAlign w:val="center"/>
                      </w:tcPr>
                      <w:p w:rsidR="00ED2DC7" w:rsidRPr="00965429" w:rsidRDefault="00ED2DC7">
                        <w:pPr>
                          <w:adjustRightInd w:val="0"/>
                          <w:snapToGrid w:val="0"/>
                          <w:jc w:val="center"/>
                          <w:rPr>
                            <w:sz w:val="16"/>
                            <w:szCs w:val="16"/>
                          </w:rPr>
                        </w:pPr>
                        <w:r w:rsidRPr="00965429">
                          <w:rPr>
                            <w:rFonts w:hint="eastAsia"/>
                            <w:sz w:val="16"/>
                            <w:szCs w:val="16"/>
                          </w:rPr>
                          <w:t>专项储备</w:t>
                        </w:r>
                      </w:p>
                    </w:tc>
                  </w:sdtContent>
                </w:sdt>
                <w:sdt>
                  <w:sdtPr>
                    <w:rPr>
                      <w:sz w:val="16"/>
                      <w:szCs w:val="16"/>
                    </w:rPr>
                    <w:tag w:val="_PLD_dbef0e1514f54b8ab8b43e975d3451b6"/>
                    <w:id w:val="298353786"/>
                    <w:lock w:val="sdtLocked"/>
                  </w:sdtPr>
                  <w:sdtContent>
                    <w:tc>
                      <w:tcPr>
                        <w:tcW w:w="1560" w:type="dxa"/>
                        <w:vMerge w:val="restart"/>
                        <w:vAlign w:val="center"/>
                      </w:tcPr>
                      <w:p w:rsidR="00ED2DC7" w:rsidRPr="00965429" w:rsidRDefault="00ED2DC7">
                        <w:pPr>
                          <w:adjustRightInd w:val="0"/>
                          <w:snapToGrid w:val="0"/>
                          <w:jc w:val="center"/>
                          <w:rPr>
                            <w:sz w:val="16"/>
                            <w:szCs w:val="16"/>
                          </w:rPr>
                        </w:pPr>
                        <w:r w:rsidRPr="00965429">
                          <w:rPr>
                            <w:sz w:val="16"/>
                            <w:szCs w:val="16"/>
                          </w:rPr>
                          <w:t>盈余公积</w:t>
                        </w:r>
                      </w:p>
                    </w:tc>
                  </w:sdtContent>
                </w:sdt>
                <w:sdt>
                  <w:sdtPr>
                    <w:rPr>
                      <w:sz w:val="16"/>
                      <w:szCs w:val="16"/>
                    </w:rPr>
                    <w:tag w:val="_PLD_63b6c2969ec64e7abb1802f027c1069a"/>
                    <w:id w:val="-1448936081"/>
                    <w:lock w:val="sdtLocked"/>
                  </w:sdtPr>
                  <w:sdtContent>
                    <w:tc>
                      <w:tcPr>
                        <w:tcW w:w="1559" w:type="dxa"/>
                        <w:vMerge w:val="restart"/>
                        <w:vAlign w:val="center"/>
                      </w:tcPr>
                      <w:p w:rsidR="00ED2DC7" w:rsidRPr="00965429" w:rsidRDefault="00ED2DC7">
                        <w:pPr>
                          <w:adjustRightInd w:val="0"/>
                          <w:snapToGrid w:val="0"/>
                          <w:jc w:val="center"/>
                          <w:rPr>
                            <w:sz w:val="16"/>
                            <w:szCs w:val="16"/>
                          </w:rPr>
                        </w:pPr>
                        <w:r w:rsidRPr="00965429">
                          <w:rPr>
                            <w:sz w:val="16"/>
                            <w:szCs w:val="16"/>
                          </w:rPr>
                          <w:t>未分配利润</w:t>
                        </w:r>
                      </w:p>
                    </w:tc>
                  </w:sdtContent>
                </w:sdt>
                <w:sdt>
                  <w:sdtPr>
                    <w:rPr>
                      <w:sz w:val="16"/>
                      <w:szCs w:val="16"/>
                    </w:rPr>
                    <w:tag w:val="_PLD_cdd38492b3a84e28b52c6700432babfd"/>
                    <w:id w:val="90280429"/>
                    <w:lock w:val="sdtLocked"/>
                  </w:sdtPr>
                  <w:sdtContent>
                    <w:tc>
                      <w:tcPr>
                        <w:tcW w:w="1559" w:type="dxa"/>
                        <w:vMerge w:val="restart"/>
                        <w:vAlign w:val="center"/>
                      </w:tcPr>
                      <w:p w:rsidR="00ED2DC7" w:rsidRPr="00965429" w:rsidRDefault="00ED2DC7">
                        <w:pPr>
                          <w:adjustRightInd w:val="0"/>
                          <w:snapToGrid w:val="0"/>
                          <w:jc w:val="center"/>
                          <w:rPr>
                            <w:sz w:val="16"/>
                            <w:szCs w:val="16"/>
                          </w:rPr>
                        </w:pPr>
                        <w:r w:rsidRPr="00965429">
                          <w:rPr>
                            <w:sz w:val="16"/>
                            <w:szCs w:val="16"/>
                          </w:rPr>
                          <w:t>所有者权益合计</w:t>
                        </w:r>
                      </w:p>
                    </w:tc>
                  </w:sdtContent>
                </w:sdt>
              </w:tr>
              <w:tr w:rsidR="00B637B2" w:rsidTr="00B637B2">
                <w:trPr>
                  <w:trHeight w:val="294"/>
                </w:trPr>
                <w:tc>
                  <w:tcPr>
                    <w:tcW w:w="1985" w:type="dxa"/>
                    <w:vMerge/>
                  </w:tcPr>
                  <w:p w:rsidR="00ED2DC7" w:rsidRPr="00965429" w:rsidRDefault="00ED2DC7">
                    <w:pPr>
                      <w:adjustRightInd w:val="0"/>
                      <w:snapToGrid w:val="0"/>
                      <w:rPr>
                        <w:sz w:val="16"/>
                        <w:szCs w:val="16"/>
                      </w:rPr>
                    </w:pPr>
                  </w:p>
                </w:tc>
                <w:tc>
                  <w:tcPr>
                    <w:tcW w:w="1560" w:type="dxa"/>
                    <w:vMerge/>
                    <w:tcBorders>
                      <w:right w:val="single" w:sz="4" w:space="0" w:color="auto"/>
                    </w:tcBorders>
                    <w:vAlign w:val="center"/>
                  </w:tcPr>
                  <w:p w:rsidR="00ED2DC7" w:rsidRPr="00965429" w:rsidRDefault="00ED2DC7">
                    <w:pPr>
                      <w:adjustRightInd w:val="0"/>
                      <w:snapToGrid w:val="0"/>
                      <w:jc w:val="center"/>
                      <w:rPr>
                        <w:sz w:val="16"/>
                        <w:szCs w:val="16"/>
                      </w:rPr>
                    </w:pPr>
                  </w:p>
                </w:tc>
                <w:sdt>
                  <w:sdtPr>
                    <w:rPr>
                      <w:sz w:val="16"/>
                      <w:szCs w:val="16"/>
                    </w:rPr>
                    <w:tag w:val="_PLD_90c1cf3c29414463ba491093caed23a7"/>
                    <w:id w:val="-1765300667"/>
                    <w:lock w:val="sdtLocked"/>
                  </w:sdtPr>
                  <w:sdtContent>
                    <w:tc>
                      <w:tcPr>
                        <w:tcW w:w="425" w:type="dxa"/>
                        <w:tcBorders>
                          <w:top w:val="single" w:sz="4" w:space="0" w:color="auto"/>
                          <w:left w:val="single" w:sz="4" w:space="0" w:color="auto"/>
                          <w:right w:val="single" w:sz="4" w:space="0" w:color="auto"/>
                        </w:tcBorders>
                        <w:vAlign w:val="center"/>
                      </w:tcPr>
                      <w:p w:rsidR="00ED2DC7" w:rsidRPr="00965429" w:rsidRDefault="00ED2DC7">
                        <w:pPr>
                          <w:adjustRightInd w:val="0"/>
                          <w:snapToGrid w:val="0"/>
                          <w:jc w:val="center"/>
                          <w:rPr>
                            <w:sz w:val="16"/>
                            <w:szCs w:val="16"/>
                          </w:rPr>
                        </w:pPr>
                        <w:r w:rsidRPr="00965429">
                          <w:rPr>
                            <w:rFonts w:hint="eastAsia"/>
                            <w:sz w:val="16"/>
                            <w:szCs w:val="16"/>
                          </w:rPr>
                          <w:t>优先股</w:t>
                        </w:r>
                      </w:p>
                    </w:tc>
                  </w:sdtContent>
                </w:sdt>
                <w:sdt>
                  <w:sdtPr>
                    <w:rPr>
                      <w:sz w:val="16"/>
                      <w:szCs w:val="16"/>
                    </w:rPr>
                    <w:tag w:val="_PLD_7dac20c025664b94b7a2176be4c24d00"/>
                    <w:id w:val="88973991"/>
                    <w:lock w:val="sdtLocked"/>
                  </w:sdtPr>
                  <w:sdtContent>
                    <w:tc>
                      <w:tcPr>
                        <w:tcW w:w="425" w:type="dxa"/>
                        <w:tcBorders>
                          <w:top w:val="single" w:sz="4" w:space="0" w:color="auto"/>
                          <w:left w:val="single" w:sz="4" w:space="0" w:color="auto"/>
                          <w:right w:val="single" w:sz="4" w:space="0" w:color="auto"/>
                        </w:tcBorders>
                        <w:vAlign w:val="center"/>
                      </w:tcPr>
                      <w:p w:rsidR="00ED2DC7" w:rsidRPr="00965429" w:rsidRDefault="00ED2DC7">
                        <w:pPr>
                          <w:adjustRightInd w:val="0"/>
                          <w:snapToGrid w:val="0"/>
                          <w:jc w:val="center"/>
                          <w:rPr>
                            <w:sz w:val="16"/>
                            <w:szCs w:val="16"/>
                          </w:rPr>
                        </w:pPr>
                        <w:r w:rsidRPr="00965429">
                          <w:rPr>
                            <w:rFonts w:hint="eastAsia"/>
                            <w:sz w:val="16"/>
                            <w:szCs w:val="16"/>
                          </w:rPr>
                          <w:t>永续债</w:t>
                        </w:r>
                      </w:p>
                    </w:tc>
                  </w:sdtContent>
                </w:sdt>
                <w:sdt>
                  <w:sdtPr>
                    <w:rPr>
                      <w:sz w:val="16"/>
                      <w:szCs w:val="16"/>
                    </w:rPr>
                    <w:tag w:val="_PLD_23829f284d5149ee92e64b94083b1ade"/>
                    <w:id w:val="1250389190"/>
                    <w:lock w:val="sdtLocked"/>
                  </w:sdtPr>
                  <w:sdtContent>
                    <w:tc>
                      <w:tcPr>
                        <w:tcW w:w="425" w:type="dxa"/>
                        <w:tcBorders>
                          <w:top w:val="single" w:sz="4" w:space="0" w:color="auto"/>
                          <w:left w:val="single" w:sz="4" w:space="0" w:color="auto"/>
                        </w:tcBorders>
                        <w:vAlign w:val="center"/>
                      </w:tcPr>
                      <w:p w:rsidR="00ED2DC7" w:rsidRPr="00965429" w:rsidRDefault="00ED2DC7">
                        <w:pPr>
                          <w:adjustRightInd w:val="0"/>
                          <w:snapToGrid w:val="0"/>
                          <w:jc w:val="center"/>
                          <w:rPr>
                            <w:sz w:val="16"/>
                            <w:szCs w:val="16"/>
                          </w:rPr>
                        </w:pPr>
                        <w:r w:rsidRPr="00965429">
                          <w:rPr>
                            <w:rFonts w:hint="eastAsia"/>
                            <w:sz w:val="16"/>
                            <w:szCs w:val="16"/>
                          </w:rPr>
                          <w:t>其他</w:t>
                        </w:r>
                      </w:p>
                    </w:tc>
                  </w:sdtContent>
                </w:sdt>
                <w:tc>
                  <w:tcPr>
                    <w:tcW w:w="1560" w:type="dxa"/>
                    <w:vMerge/>
                  </w:tcPr>
                  <w:p w:rsidR="00ED2DC7" w:rsidRPr="00965429" w:rsidRDefault="00ED2DC7">
                    <w:pPr>
                      <w:adjustRightInd w:val="0"/>
                      <w:snapToGrid w:val="0"/>
                      <w:jc w:val="center"/>
                      <w:rPr>
                        <w:sz w:val="16"/>
                        <w:szCs w:val="16"/>
                      </w:rPr>
                    </w:pPr>
                  </w:p>
                </w:tc>
                <w:tc>
                  <w:tcPr>
                    <w:tcW w:w="1559" w:type="dxa"/>
                    <w:vMerge/>
                  </w:tcPr>
                  <w:p w:rsidR="00ED2DC7" w:rsidRPr="00965429" w:rsidRDefault="00ED2DC7">
                    <w:pPr>
                      <w:adjustRightInd w:val="0"/>
                      <w:snapToGrid w:val="0"/>
                      <w:jc w:val="center"/>
                      <w:rPr>
                        <w:sz w:val="16"/>
                        <w:szCs w:val="16"/>
                      </w:rPr>
                    </w:pPr>
                  </w:p>
                </w:tc>
                <w:tc>
                  <w:tcPr>
                    <w:tcW w:w="1559" w:type="dxa"/>
                    <w:vMerge/>
                  </w:tcPr>
                  <w:p w:rsidR="00ED2DC7" w:rsidRPr="00965429" w:rsidRDefault="00ED2DC7">
                    <w:pPr>
                      <w:jc w:val="center"/>
                      <w:rPr>
                        <w:sz w:val="16"/>
                        <w:szCs w:val="16"/>
                      </w:rPr>
                    </w:pPr>
                  </w:p>
                </w:tc>
                <w:tc>
                  <w:tcPr>
                    <w:tcW w:w="1559" w:type="dxa"/>
                    <w:vMerge/>
                  </w:tcPr>
                  <w:p w:rsidR="00ED2DC7" w:rsidRPr="00965429" w:rsidRDefault="00ED2DC7">
                    <w:pPr>
                      <w:adjustRightInd w:val="0"/>
                      <w:snapToGrid w:val="0"/>
                      <w:jc w:val="center"/>
                      <w:rPr>
                        <w:sz w:val="16"/>
                        <w:szCs w:val="16"/>
                      </w:rPr>
                    </w:pPr>
                  </w:p>
                </w:tc>
                <w:tc>
                  <w:tcPr>
                    <w:tcW w:w="1560" w:type="dxa"/>
                    <w:vMerge/>
                  </w:tcPr>
                  <w:p w:rsidR="00ED2DC7" w:rsidRPr="00965429" w:rsidRDefault="00ED2DC7">
                    <w:pPr>
                      <w:adjustRightInd w:val="0"/>
                      <w:snapToGrid w:val="0"/>
                      <w:jc w:val="center"/>
                      <w:rPr>
                        <w:sz w:val="16"/>
                        <w:szCs w:val="16"/>
                      </w:rPr>
                    </w:pPr>
                  </w:p>
                </w:tc>
                <w:tc>
                  <w:tcPr>
                    <w:tcW w:w="1559" w:type="dxa"/>
                    <w:vMerge/>
                  </w:tcPr>
                  <w:p w:rsidR="00ED2DC7" w:rsidRPr="00965429" w:rsidRDefault="00ED2DC7">
                    <w:pPr>
                      <w:adjustRightInd w:val="0"/>
                      <w:snapToGrid w:val="0"/>
                      <w:jc w:val="center"/>
                      <w:rPr>
                        <w:sz w:val="16"/>
                        <w:szCs w:val="16"/>
                      </w:rPr>
                    </w:pPr>
                  </w:p>
                </w:tc>
                <w:tc>
                  <w:tcPr>
                    <w:tcW w:w="1559" w:type="dxa"/>
                    <w:vMerge/>
                  </w:tcPr>
                  <w:p w:rsidR="00ED2DC7" w:rsidRPr="00965429" w:rsidRDefault="00ED2DC7">
                    <w:pPr>
                      <w:adjustRightInd w:val="0"/>
                      <w:snapToGrid w:val="0"/>
                      <w:jc w:val="center"/>
                      <w:rPr>
                        <w:sz w:val="16"/>
                        <w:szCs w:val="16"/>
                      </w:rPr>
                    </w:pPr>
                  </w:p>
                </w:tc>
              </w:tr>
              <w:tr w:rsidR="00B637B2" w:rsidTr="00B637B2">
                <w:trPr>
                  <w:trHeight w:val="20"/>
                </w:trPr>
                <w:sdt>
                  <w:sdtPr>
                    <w:rPr>
                      <w:sz w:val="16"/>
                      <w:szCs w:val="16"/>
                    </w:rPr>
                    <w:tag w:val="_PLD_b5131b53bda244fcbd76916797d6b666"/>
                    <w:id w:val="1027989252"/>
                    <w:lock w:val="sdtLocked"/>
                  </w:sdtPr>
                  <w:sdtContent>
                    <w:tc>
                      <w:tcPr>
                        <w:tcW w:w="1985" w:type="dxa"/>
                      </w:tcPr>
                      <w:p w:rsidR="009B7C9A" w:rsidRPr="00965429" w:rsidRDefault="009B7C9A" w:rsidP="009B7C9A">
                        <w:pPr>
                          <w:rPr>
                            <w:sz w:val="16"/>
                            <w:szCs w:val="16"/>
                          </w:rPr>
                        </w:pPr>
                        <w:r w:rsidRPr="00965429">
                          <w:rPr>
                            <w:sz w:val="16"/>
                            <w:szCs w:val="16"/>
                          </w:rPr>
                          <w:t>一、上年</w:t>
                        </w:r>
                        <w:r w:rsidRPr="00965429">
                          <w:rPr>
                            <w:rFonts w:hint="eastAsia"/>
                            <w:sz w:val="16"/>
                            <w:szCs w:val="16"/>
                          </w:rPr>
                          <w:t>期</w:t>
                        </w:r>
                        <w:r w:rsidRPr="00965429">
                          <w:rPr>
                            <w:sz w:val="16"/>
                            <w:szCs w:val="16"/>
                          </w:rPr>
                          <w:t>末余额</w:t>
                        </w:r>
                      </w:p>
                    </w:tc>
                  </w:sdtContent>
                </w:sdt>
                <w:tc>
                  <w:tcPr>
                    <w:tcW w:w="1560" w:type="dxa"/>
                    <w:tcBorders>
                      <w:right w:val="single" w:sz="4" w:space="0" w:color="auto"/>
                    </w:tcBorders>
                    <w:vAlign w:val="center"/>
                  </w:tcPr>
                  <w:p w:rsidR="009B7C9A" w:rsidRPr="00965429" w:rsidRDefault="009B7C9A" w:rsidP="00B637B2">
                    <w:pPr>
                      <w:jc w:val="right"/>
                      <w:rPr>
                        <w:sz w:val="16"/>
                        <w:szCs w:val="16"/>
                      </w:rPr>
                    </w:pPr>
                    <w:r w:rsidRPr="00965429">
                      <w:rPr>
                        <w:sz w:val="16"/>
                        <w:szCs w:val="16"/>
                      </w:rPr>
                      <w:t>1,917,832,792</w:t>
                    </w:r>
                  </w:p>
                </w:tc>
                <w:tc>
                  <w:tcPr>
                    <w:tcW w:w="425" w:type="dxa"/>
                    <w:tcBorders>
                      <w:left w:val="single" w:sz="4" w:space="0" w:color="auto"/>
                      <w:right w:val="single" w:sz="4" w:space="0" w:color="auto"/>
                    </w:tcBorders>
                    <w:vAlign w:val="center"/>
                  </w:tcPr>
                  <w:p w:rsidR="009B7C9A" w:rsidRPr="00965429" w:rsidRDefault="008F04CF" w:rsidP="00B637B2">
                    <w:pPr>
                      <w:jc w:val="right"/>
                      <w:rPr>
                        <w:sz w:val="16"/>
                        <w:szCs w:val="16"/>
                      </w:rPr>
                    </w:pPr>
                    <w:r>
                      <w:rPr>
                        <w:rFonts w:hint="eastAsia"/>
                        <w:sz w:val="16"/>
                        <w:szCs w:val="16"/>
                      </w:rPr>
                      <w:t>-</w:t>
                    </w:r>
                  </w:p>
                </w:tc>
                <w:tc>
                  <w:tcPr>
                    <w:tcW w:w="425" w:type="dxa"/>
                    <w:tcBorders>
                      <w:left w:val="single" w:sz="4" w:space="0" w:color="auto"/>
                      <w:right w:val="single" w:sz="4" w:space="0" w:color="auto"/>
                    </w:tcBorders>
                    <w:vAlign w:val="center"/>
                  </w:tcPr>
                  <w:p w:rsidR="009B7C9A" w:rsidRPr="00965429" w:rsidRDefault="008F04CF" w:rsidP="00B637B2">
                    <w:pPr>
                      <w:jc w:val="right"/>
                      <w:rPr>
                        <w:sz w:val="16"/>
                        <w:szCs w:val="16"/>
                      </w:rPr>
                    </w:pPr>
                    <w:r>
                      <w:rPr>
                        <w:rFonts w:hint="eastAsia"/>
                        <w:sz w:val="16"/>
                        <w:szCs w:val="16"/>
                      </w:rPr>
                      <w:t>-</w:t>
                    </w:r>
                  </w:p>
                </w:tc>
                <w:tc>
                  <w:tcPr>
                    <w:tcW w:w="425" w:type="dxa"/>
                    <w:tcBorders>
                      <w:left w:val="single" w:sz="4" w:space="0" w:color="auto"/>
                      <w:right w:val="single" w:sz="4" w:space="0" w:color="auto"/>
                    </w:tcBorders>
                    <w:vAlign w:val="center"/>
                  </w:tcPr>
                  <w:p w:rsidR="009B7C9A" w:rsidRPr="00965429" w:rsidRDefault="008F04CF" w:rsidP="00B637B2">
                    <w:pPr>
                      <w:jc w:val="right"/>
                      <w:rPr>
                        <w:sz w:val="16"/>
                        <w:szCs w:val="16"/>
                      </w:rPr>
                    </w:pPr>
                    <w:r>
                      <w:rPr>
                        <w:rFonts w:hint="eastAsia"/>
                        <w:sz w:val="16"/>
                        <w:szCs w:val="16"/>
                      </w:rPr>
                      <w:t>-</w:t>
                    </w:r>
                  </w:p>
                </w:tc>
                <w:tc>
                  <w:tcPr>
                    <w:tcW w:w="1560" w:type="dxa"/>
                    <w:tcBorders>
                      <w:left w:val="single" w:sz="4" w:space="0" w:color="auto"/>
                    </w:tcBorders>
                    <w:vAlign w:val="center"/>
                  </w:tcPr>
                  <w:p w:rsidR="009B7C9A" w:rsidRPr="00965429" w:rsidRDefault="009B7C9A" w:rsidP="00B637B2">
                    <w:pPr>
                      <w:jc w:val="right"/>
                      <w:rPr>
                        <w:sz w:val="16"/>
                        <w:szCs w:val="16"/>
                      </w:rPr>
                    </w:pPr>
                    <w:r w:rsidRPr="00965429">
                      <w:rPr>
                        <w:sz w:val="16"/>
                        <w:szCs w:val="16"/>
                      </w:rPr>
                      <w:t>1,619,007,491</w:t>
                    </w:r>
                  </w:p>
                </w:tc>
                <w:tc>
                  <w:tcPr>
                    <w:tcW w:w="1559" w:type="dxa"/>
                    <w:vAlign w:val="center"/>
                  </w:tcPr>
                  <w:p w:rsidR="009B7C9A" w:rsidRPr="00965429" w:rsidRDefault="009B7C9A" w:rsidP="00B637B2">
                    <w:pPr>
                      <w:jc w:val="right"/>
                      <w:rPr>
                        <w:sz w:val="16"/>
                        <w:szCs w:val="16"/>
                      </w:rPr>
                    </w:pPr>
                    <w:r w:rsidRPr="00965429">
                      <w:rPr>
                        <w:sz w:val="16"/>
                        <w:szCs w:val="16"/>
                      </w:rPr>
                      <w:t>55,787,910</w:t>
                    </w:r>
                  </w:p>
                </w:tc>
                <w:tc>
                  <w:tcPr>
                    <w:tcW w:w="1559" w:type="dxa"/>
                    <w:vAlign w:val="center"/>
                  </w:tcPr>
                  <w:p w:rsidR="009B7C9A" w:rsidRPr="00965429" w:rsidRDefault="009B7C9A" w:rsidP="00B637B2">
                    <w:pPr>
                      <w:jc w:val="right"/>
                      <w:rPr>
                        <w:sz w:val="16"/>
                        <w:szCs w:val="16"/>
                      </w:rPr>
                    </w:pPr>
                    <w:r w:rsidRPr="00965429">
                      <w:rPr>
                        <w:sz w:val="16"/>
                        <w:szCs w:val="16"/>
                      </w:rPr>
                      <w:t>-49,462,234</w:t>
                    </w:r>
                  </w:p>
                </w:tc>
                <w:tc>
                  <w:tcPr>
                    <w:tcW w:w="1559" w:type="dxa"/>
                    <w:vAlign w:val="center"/>
                  </w:tcPr>
                  <w:p w:rsidR="009B7C9A" w:rsidRPr="00965429" w:rsidRDefault="009B7C9A" w:rsidP="00B637B2">
                    <w:pPr>
                      <w:jc w:val="right"/>
                      <w:rPr>
                        <w:sz w:val="16"/>
                        <w:szCs w:val="16"/>
                      </w:rPr>
                    </w:pPr>
                    <w:r w:rsidRPr="00965429">
                      <w:rPr>
                        <w:sz w:val="16"/>
                        <w:szCs w:val="16"/>
                      </w:rPr>
                      <w:t>-</w:t>
                    </w:r>
                  </w:p>
                </w:tc>
                <w:tc>
                  <w:tcPr>
                    <w:tcW w:w="1560" w:type="dxa"/>
                    <w:vAlign w:val="center"/>
                  </w:tcPr>
                  <w:p w:rsidR="009B7C9A" w:rsidRPr="00965429" w:rsidRDefault="009B7C9A" w:rsidP="00B637B2">
                    <w:pPr>
                      <w:jc w:val="right"/>
                      <w:rPr>
                        <w:sz w:val="16"/>
                        <w:szCs w:val="16"/>
                      </w:rPr>
                    </w:pPr>
                    <w:r w:rsidRPr="00965429">
                      <w:rPr>
                        <w:sz w:val="16"/>
                        <w:szCs w:val="16"/>
                      </w:rPr>
                      <w:t>827,153,655</w:t>
                    </w:r>
                  </w:p>
                </w:tc>
                <w:tc>
                  <w:tcPr>
                    <w:tcW w:w="1559" w:type="dxa"/>
                    <w:vAlign w:val="center"/>
                  </w:tcPr>
                  <w:p w:rsidR="009B7C9A" w:rsidRPr="00965429" w:rsidRDefault="009B7C9A" w:rsidP="00B637B2">
                    <w:pPr>
                      <w:jc w:val="right"/>
                      <w:rPr>
                        <w:sz w:val="16"/>
                        <w:szCs w:val="16"/>
                      </w:rPr>
                    </w:pPr>
                    <w:r w:rsidRPr="00965429">
                      <w:rPr>
                        <w:sz w:val="16"/>
                        <w:szCs w:val="16"/>
                      </w:rPr>
                      <w:t>1,614,399,420</w:t>
                    </w:r>
                  </w:p>
                </w:tc>
                <w:tc>
                  <w:tcPr>
                    <w:tcW w:w="1559" w:type="dxa"/>
                    <w:vAlign w:val="center"/>
                  </w:tcPr>
                  <w:p w:rsidR="009B7C9A" w:rsidRPr="00965429" w:rsidRDefault="009B7C9A" w:rsidP="00B637B2">
                    <w:pPr>
                      <w:jc w:val="right"/>
                      <w:rPr>
                        <w:sz w:val="16"/>
                        <w:szCs w:val="16"/>
                      </w:rPr>
                    </w:pPr>
                    <w:r w:rsidRPr="00965429">
                      <w:rPr>
                        <w:sz w:val="16"/>
                        <w:szCs w:val="16"/>
                      </w:rPr>
                      <w:t>5,873,143,214</w:t>
                    </w:r>
                  </w:p>
                </w:tc>
              </w:tr>
              <w:tr w:rsidR="00B637B2" w:rsidTr="00B637B2">
                <w:trPr>
                  <w:trHeight w:val="20"/>
                </w:trPr>
                <w:sdt>
                  <w:sdtPr>
                    <w:rPr>
                      <w:sz w:val="16"/>
                      <w:szCs w:val="16"/>
                    </w:rPr>
                    <w:tag w:val="_PLD_66de901175bd4e50a35a24f0fca7513d"/>
                    <w:id w:val="108553656"/>
                    <w:lock w:val="sdtLocked"/>
                  </w:sdtPr>
                  <w:sdtContent>
                    <w:tc>
                      <w:tcPr>
                        <w:tcW w:w="1985" w:type="dxa"/>
                      </w:tcPr>
                      <w:p w:rsidR="009B7C9A" w:rsidRPr="00965429" w:rsidRDefault="009B7C9A" w:rsidP="009B7C9A">
                        <w:pPr>
                          <w:rPr>
                            <w:sz w:val="16"/>
                            <w:szCs w:val="16"/>
                          </w:rPr>
                        </w:pPr>
                        <w:r w:rsidRPr="00965429">
                          <w:rPr>
                            <w:sz w:val="16"/>
                            <w:szCs w:val="16"/>
                          </w:rPr>
                          <w:t>加：会计政策变更</w:t>
                        </w:r>
                      </w:p>
                    </w:tc>
                  </w:sdtContent>
                </w:sdt>
                <w:tc>
                  <w:tcPr>
                    <w:tcW w:w="1560" w:type="dxa"/>
                    <w:tcBorders>
                      <w:right w:val="single" w:sz="4" w:space="0" w:color="auto"/>
                    </w:tcBorders>
                    <w:vAlign w:val="center"/>
                  </w:tcPr>
                  <w:p w:rsidR="009B7C9A" w:rsidRPr="00965429" w:rsidRDefault="008F04CF" w:rsidP="00B637B2">
                    <w:pPr>
                      <w:jc w:val="right"/>
                      <w:rPr>
                        <w:sz w:val="16"/>
                        <w:szCs w:val="16"/>
                      </w:rPr>
                    </w:pPr>
                    <w:r>
                      <w:rPr>
                        <w:rFonts w:hint="eastAsia"/>
                        <w:sz w:val="16"/>
                        <w:szCs w:val="16"/>
                      </w:rPr>
                      <w:t>-</w:t>
                    </w:r>
                  </w:p>
                </w:tc>
                <w:tc>
                  <w:tcPr>
                    <w:tcW w:w="425" w:type="dxa"/>
                    <w:tcBorders>
                      <w:left w:val="single" w:sz="4" w:space="0" w:color="auto"/>
                      <w:right w:val="single" w:sz="4" w:space="0" w:color="auto"/>
                    </w:tcBorders>
                    <w:vAlign w:val="center"/>
                  </w:tcPr>
                  <w:p w:rsidR="009B7C9A" w:rsidRPr="00965429" w:rsidRDefault="008F04CF" w:rsidP="00B637B2">
                    <w:pPr>
                      <w:jc w:val="right"/>
                      <w:rPr>
                        <w:sz w:val="16"/>
                        <w:szCs w:val="16"/>
                      </w:rPr>
                    </w:pPr>
                    <w:r>
                      <w:rPr>
                        <w:rFonts w:hint="eastAsia"/>
                        <w:sz w:val="16"/>
                        <w:szCs w:val="16"/>
                      </w:rPr>
                      <w:t>-</w:t>
                    </w:r>
                  </w:p>
                </w:tc>
                <w:tc>
                  <w:tcPr>
                    <w:tcW w:w="425" w:type="dxa"/>
                    <w:tcBorders>
                      <w:left w:val="single" w:sz="4" w:space="0" w:color="auto"/>
                      <w:right w:val="single" w:sz="4" w:space="0" w:color="auto"/>
                    </w:tcBorders>
                    <w:vAlign w:val="center"/>
                  </w:tcPr>
                  <w:p w:rsidR="009B7C9A" w:rsidRPr="00965429" w:rsidRDefault="008F04CF" w:rsidP="00B637B2">
                    <w:pPr>
                      <w:jc w:val="right"/>
                      <w:rPr>
                        <w:sz w:val="16"/>
                        <w:szCs w:val="16"/>
                      </w:rPr>
                    </w:pPr>
                    <w:r>
                      <w:rPr>
                        <w:rFonts w:hint="eastAsia"/>
                        <w:sz w:val="16"/>
                        <w:szCs w:val="16"/>
                      </w:rPr>
                      <w:t>-</w:t>
                    </w:r>
                  </w:p>
                </w:tc>
                <w:tc>
                  <w:tcPr>
                    <w:tcW w:w="425" w:type="dxa"/>
                    <w:tcBorders>
                      <w:left w:val="single" w:sz="4" w:space="0" w:color="auto"/>
                      <w:right w:val="single" w:sz="4" w:space="0" w:color="auto"/>
                    </w:tcBorders>
                    <w:vAlign w:val="center"/>
                  </w:tcPr>
                  <w:p w:rsidR="009B7C9A" w:rsidRPr="00965429" w:rsidRDefault="008F04CF" w:rsidP="00B637B2">
                    <w:pPr>
                      <w:jc w:val="right"/>
                      <w:rPr>
                        <w:sz w:val="16"/>
                        <w:szCs w:val="16"/>
                      </w:rPr>
                    </w:pPr>
                    <w:r>
                      <w:rPr>
                        <w:rFonts w:hint="eastAsia"/>
                        <w:sz w:val="16"/>
                        <w:szCs w:val="16"/>
                      </w:rPr>
                      <w:t>-</w:t>
                    </w:r>
                  </w:p>
                </w:tc>
                <w:tc>
                  <w:tcPr>
                    <w:tcW w:w="1560" w:type="dxa"/>
                    <w:tcBorders>
                      <w:left w:val="single" w:sz="4" w:space="0" w:color="auto"/>
                    </w:tcBorders>
                    <w:vAlign w:val="center"/>
                  </w:tcPr>
                  <w:p w:rsidR="009B7C9A" w:rsidRPr="00965429" w:rsidRDefault="008F04CF" w:rsidP="00B637B2">
                    <w:pPr>
                      <w:jc w:val="right"/>
                      <w:rPr>
                        <w:sz w:val="16"/>
                        <w:szCs w:val="16"/>
                      </w:rPr>
                    </w:pPr>
                    <w:r>
                      <w:rPr>
                        <w:rFonts w:hint="eastAsia"/>
                        <w:sz w:val="16"/>
                        <w:szCs w:val="16"/>
                      </w:rPr>
                      <w:t>-</w:t>
                    </w:r>
                  </w:p>
                </w:tc>
                <w:tc>
                  <w:tcPr>
                    <w:tcW w:w="1559" w:type="dxa"/>
                    <w:vAlign w:val="center"/>
                  </w:tcPr>
                  <w:p w:rsidR="009B7C9A" w:rsidRPr="00965429" w:rsidRDefault="008F04CF" w:rsidP="00B637B2">
                    <w:pPr>
                      <w:jc w:val="right"/>
                      <w:rPr>
                        <w:sz w:val="16"/>
                        <w:szCs w:val="16"/>
                      </w:rPr>
                    </w:pPr>
                    <w:r>
                      <w:rPr>
                        <w:rFonts w:hint="eastAsia"/>
                        <w:sz w:val="16"/>
                        <w:szCs w:val="16"/>
                      </w:rPr>
                      <w:t>-</w:t>
                    </w:r>
                  </w:p>
                </w:tc>
                <w:tc>
                  <w:tcPr>
                    <w:tcW w:w="1559" w:type="dxa"/>
                    <w:vAlign w:val="center"/>
                  </w:tcPr>
                  <w:p w:rsidR="009B7C9A" w:rsidRPr="00965429" w:rsidRDefault="009B7C9A" w:rsidP="00B637B2">
                    <w:pPr>
                      <w:jc w:val="right"/>
                      <w:rPr>
                        <w:sz w:val="16"/>
                        <w:szCs w:val="16"/>
                      </w:rPr>
                    </w:pPr>
                    <w:r w:rsidRPr="00965429">
                      <w:rPr>
                        <w:sz w:val="16"/>
                        <w:szCs w:val="16"/>
                      </w:rPr>
                      <w:t>49,462,234</w:t>
                    </w:r>
                  </w:p>
                </w:tc>
                <w:tc>
                  <w:tcPr>
                    <w:tcW w:w="1559" w:type="dxa"/>
                    <w:vAlign w:val="center"/>
                  </w:tcPr>
                  <w:p w:rsidR="009B7C9A" w:rsidRPr="00965429" w:rsidRDefault="009B7C9A" w:rsidP="00B637B2">
                    <w:pPr>
                      <w:jc w:val="right"/>
                      <w:rPr>
                        <w:sz w:val="16"/>
                        <w:szCs w:val="16"/>
                      </w:rPr>
                    </w:pPr>
                    <w:r w:rsidRPr="00965429">
                      <w:rPr>
                        <w:sz w:val="16"/>
                        <w:szCs w:val="16"/>
                      </w:rPr>
                      <w:t>-</w:t>
                    </w:r>
                  </w:p>
                </w:tc>
                <w:tc>
                  <w:tcPr>
                    <w:tcW w:w="1560" w:type="dxa"/>
                    <w:vAlign w:val="center"/>
                  </w:tcPr>
                  <w:p w:rsidR="009B7C9A" w:rsidRPr="00965429" w:rsidRDefault="009B7C9A" w:rsidP="00B637B2">
                    <w:pPr>
                      <w:jc w:val="right"/>
                      <w:rPr>
                        <w:sz w:val="16"/>
                        <w:szCs w:val="16"/>
                      </w:rPr>
                    </w:pPr>
                    <w:r w:rsidRPr="00965429">
                      <w:rPr>
                        <w:sz w:val="16"/>
                        <w:szCs w:val="16"/>
                      </w:rPr>
                      <w:t>4,829,786</w:t>
                    </w:r>
                  </w:p>
                </w:tc>
                <w:tc>
                  <w:tcPr>
                    <w:tcW w:w="1559" w:type="dxa"/>
                    <w:vAlign w:val="center"/>
                  </w:tcPr>
                  <w:p w:rsidR="009B7C9A" w:rsidRPr="00965429" w:rsidRDefault="009B7C9A" w:rsidP="00B637B2">
                    <w:pPr>
                      <w:jc w:val="right"/>
                      <w:rPr>
                        <w:sz w:val="16"/>
                        <w:szCs w:val="16"/>
                      </w:rPr>
                    </w:pPr>
                    <w:r w:rsidRPr="00965429">
                      <w:rPr>
                        <w:sz w:val="16"/>
                        <w:szCs w:val="16"/>
                      </w:rPr>
                      <w:t>29,747,398</w:t>
                    </w:r>
                  </w:p>
                </w:tc>
                <w:tc>
                  <w:tcPr>
                    <w:tcW w:w="1559" w:type="dxa"/>
                    <w:vAlign w:val="center"/>
                  </w:tcPr>
                  <w:p w:rsidR="009B7C9A" w:rsidRPr="00965429" w:rsidRDefault="009B7C9A" w:rsidP="00B637B2">
                    <w:pPr>
                      <w:jc w:val="right"/>
                      <w:rPr>
                        <w:sz w:val="16"/>
                        <w:szCs w:val="16"/>
                      </w:rPr>
                    </w:pPr>
                    <w:r w:rsidRPr="00965429">
                      <w:rPr>
                        <w:sz w:val="16"/>
                        <w:szCs w:val="16"/>
                      </w:rPr>
                      <w:t>84,039,418</w:t>
                    </w:r>
                  </w:p>
                </w:tc>
              </w:tr>
              <w:tr w:rsidR="00B637B2" w:rsidTr="00B637B2">
                <w:trPr>
                  <w:trHeight w:val="20"/>
                </w:trPr>
                <w:sdt>
                  <w:sdtPr>
                    <w:rPr>
                      <w:sz w:val="16"/>
                      <w:szCs w:val="16"/>
                    </w:rPr>
                    <w:tag w:val="_PLD_3bfc3b7951f4488f95a7180f02c989cf"/>
                    <w:id w:val="-1780483315"/>
                    <w:lock w:val="sdtLocked"/>
                  </w:sdtPr>
                  <w:sdtContent>
                    <w:tc>
                      <w:tcPr>
                        <w:tcW w:w="1985" w:type="dxa"/>
                      </w:tcPr>
                      <w:p w:rsidR="00ED2DC7" w:rsidRPr="00965429" w:rsidRDefault="00ED2DC7">
                        <w:pPr>
                          <w:ind w:firstLineChars="200" w:firstLine="320"/>
                          <w:rPr>
                            <w:sz w:val="16"/>
                            <w:szCs w:val="16"/>
                          </w:rPr>
                        </w:pPr>
                        <w:r w:rsidRPr="00965429">
                          <w:rPr>
                            <w:sz w:val="16"/>
                            <w:szCs w:val="16"/>
                          </w:rPr>
                          <w:t>前期差错更正</w:t>
                        </w:r>
                      </w:p>
                    </w:tc>
                  </w:sdtContent>
                </w:sdt>
                <w:tc>
                  <w:tcPr>
                    <w:tcW w:w="1560" w:type="dxa"/>
                    <w:tcBorders>
                      <w:right w:val="single" w:sz="4" w:space="0" w:color="auto"/>
                    </w:tcBorders>
                    <w:vAlign w:val="center"/>
                  </w:tcPr>
                  <w:p w:rsidR="00ED2DC7" w:rsidRPr="00965429" w:rsidRDefault="008F04CF" w:rsidP="00B637B2">
                    <w:pPr>
                      <w:jc w:val="right"/>
                      <w:rPr>
                        <w:sz w:val="16"/>
                        <w:szCs w:val="16"/>
                      </w:rPr>
                    </w:pPr>
                    <w:r>
                      <w:rPr>
                        <w:rFonts w:hint="eastAsia"/>
                        <w:sz w:val="16"/>
                        <w:szCs w:val="16"/>
                      </w:rPr>
                      <w:t>-</w:t>
                    </w:r>
                  </w:p>
                </w:tc>
                <w:tc>
                  <w:tcPr>
                    <w:tcW w:w="425" w:type="dxa"/>
                    <w:tcBorders>
                      <w:left w:val="single" w:sz="4" w:space="0" w:color="auto"/>
                      <w:right w:val="single" w:sz="4" w:space="0" w:color="auto"/>
                    </w:tcBorders>
                    <w:vAlign w:val="center"/>
                  </w:tcPr>
                  <w:p w:rsidR="00ED2DC7" w:rsidRPr="00965429" w:rsidRDefault="008F04CF" w:rsidP="00B637B2">
                    <w:pPr>
                      <w:jc w:val="right"/>
                      <w:rPr>
                        <w:sz w:val="16"/>
                        <w:szCs w:val="16"/>
                      </w:rPr>
                    </w:pPr>
                    <w:r>
                      <w:rPr>
                        <w:rFonts w:hint="eastAsia"/>
                        <w:sz w:val="16"/>
                        <w:szCs w:val="16"/>
                      </w:rPr>
                      <w:t>-</w:t>
                    </w:r>
                  </w:p>
                </w:tc>
                <w:tc>
                  <w:tcPr>
                    <w:tcW w:w="425" w:type="dxa"/>
                    <w:tcBorders>
                      <w:left w:val="single" w:sz="4" w:space="0" w:color="auto"/>
                      <w:right w:val="single" w:sz="4" w:space="0" w:color="auto"/>
                    </w:tcBorders>
                    <w:vAlign w:val="center"/>
                  </w:tcPr>
                  <w:p w:rsidR="00ED2DC7" w:rsidRPr="00965429" w:rsidRDefault="008F04CF" w:rsidP="00B637B2">
                    <w:pPr>
                      <w:jc w:val="right"/>
                      <w:rPr>
                        <w:sz w:val="16"/>
                        <w:szCs w:val="16"/>
                      </w:rPr>
                    </w:pPr>
                    <w:r>
                      <w:rPr>
                        <w:rFonts w:hint="eastAsia"/>
                        <w:sz w:val="16"/>
                        <w:szCs w:val="16"/>
                      </w:rPr>
                      <w:t>-</w:t>
                    </w:r>
                  </w:p>
                </w:tc>
                <w:tc>
                  <w:tcPr>
                    <w:tcW w:w="425" w:type="dxa"/>
                    <w:tcBorders>
                      <w:left w:val="single" w:sz="4" w:space="0" w:color="auto"/>
                      <w:right w:val="single" w:sz="4" w:space="0" w:color="auto"/>
                    </w:tcBorders>
                    <w:vAlign w:val="center"/>
                  </w:tcPr>
                  <w:p w:rsidR="00ED2DC7" w:rsidRPr="00965429" w:rsidRDefault="008F04CF" w:rsidP="00B637B2">
                    <w:pPr>
                      <w:jc w:val="right"/>
                      <w:rPr>
                        <w:sz w:val="16"/>
                        <w:szCs w:val="16"/>
                      </w:rPr>
                    </w:pPr>
                    <w:r>
                      <w:rPr>
                        <w:rFonts w:hint="eastAsia"/>
                        <w:sz w:val="16"/>
                        <w:szCs w:val="16"/>
                      </w:rPr>
                      <w:t>-</w:t>
                    </w:r>
                  </w:p>
                </w:tc>
                <w:tc>
                  <w:tcPr>
                    <w:tcW w:w="1560" w:type="dxa"/>
                    <w:tcBorders>
                      <w:left w:val="single" w:sz="4" w:space="0" w:color="auto"/>
                    </w:tcBorders>
                    <w:vAlign w:val="center"/>
                  </w:tcPr>
                  <w:p w:rsidR="00ED2DC7" w:rsidRPr="00965429" w:rsidRDefault="008F04CF" w:rsidP="00B637B2">
                    <w:pPr>
                      <w:jc w:val="right"/>
                      <w:rPr>
                        <w:sz w:val="16"/>
                        <w:szCs w:val="16"/>
                      </w:rPr>
                    </w:pPr>
                    <w:r>
                      <w:rPr>
                        <w:rFonts w:hint="eastAsia"/>
                        <w:sz w:val="16"/>
                        <w:szCs w:val="16"/>
                      </w:rPr>
                      <w:t>-</w:t>
                    </w:r>
                  </w:p>
                </w:tc>
                <w:tc>
                  <w:tcPr>
                    <w:tcW w:w="1559" w:type="dxa"/>
                    <w:vAlign w:val="center"/>
                  </w:tcPr>
                  <w:p w:rsidR="00ED2DC7" w:rsidRPr="00965429" w:rsidRDefault="008F04CF" w:rsidP="00B637B2">
                    <w:pPr>
                      <w:jc w:val="right"/>
                      <w:rPr>
                        <w:sz w:val="16"/>
                        <w:szCs w:val="16"/>
                      </w:rPr>
                    </w:pPr>
                    <w:r>
                      <w:rPr>
                        <w:rFonts w:hint="eastAsia"/>
                        <w:sz w:val="16"/>
                        <w:szCs w:val="16"/>
                      </w:rPr>
                      <w:t>-</w:t>
                    </w:r>
                  </w:p>
                </w:tc>
                <w:tc>
                  <w:tcPr>
                    <w:tcW w:w="1559" w:type="dxa"/>
                    <w:vAlign w:val="center"/>
                  </w:tcPr>
                  <w:p w:rsidR="00ED2DC7" w:rsidRPr="00965429" w:rsidRDefault="008F04CF" w:rsidP="00B637B2">
                    <w:pPr>
                      <w:jc w:val="right"/>
                      <w:rPr>
                        <w:sz w:val="16"/>
                        <w:szCs w:val="16"/>
                      </w:rPr>
                    </w:pPr>
                    <w:r>
                      <w:rPr>
                        <w:rFonts w:hint="eastAsia"/>
                        <w:sz w:val="16"/>
                        <w:szCs w:val="16"/>
                      </w:rPr>
                      <w:t>-</w:t>
                    </w:r>
                  </w:p>
                </w:tc>
                <w:tc>
                  <w:tcPr>
                    <w:tcW w:w="1559" w:type="dxa"/>
                    <w:vAlign w:val="center"/>
                  </w:tcPr>
                  <w:p w:rsidR="00ED2DC7" w:rsidRPr="00965429" w:rsidRDefault="008F04CF" w:rsidP="00B637B2">
                    <w:pPr>
                      <w:jc w:val="right"/>
                      <w:rPr>
                        <w:sz w:val="16"/>
                        <w:szCs w:val="16"/>
                      </w:rPr>
                    </w:pPr>
                    <w:r>
                      <w:rPr>
                        <w:rFonts w:hint="eastAsia"/>
                        <w:sz w:val="16"/>
                        <w:szCs w:val="16"/>
                      </w:rPr>
                      <w:t>-</w:t>
                    </w:r>
                  </w:p>
                </w:tc>
                <w:tc>
                  <w:tcPr>
                    <w:tcW w:w="1560" w:type="dxa"/>
                    <w:vAlign w:val="center"/>
                  </w:tcPr>
                  <w:p w:rsidR="00ED2DC7" w:rsidRPr="00965429" w:rsidRDefault="008F04CF" w:rsidP="00B637B2">
                    <w:pPr>
                      <w:jc w:val="right"/>
                      <w:rPr>
                        <w:sz w:val="16"/>
                        <w:szCs w:val="16"/>
                      </w:rPr>
                    </w:pPr>
                    <w:r>
                      <w:rPr>
                        <w:rFonts w:hint="eastAsia"/>
                        <w:sz w:val="16"/>
                        <w:szCs w:val="16"/>
                      </w:rPr>
                      <w:t>-</w:t>
                    </w:r>
                  </w:p>
                </w:tc>
                <w:tc>
                  <w:tcPr>
                    <w:tcW w:w="1559" w:type="dxa"/>
                    <w:vAlign w:val="center"/>
                  </w:tcPr>
                  <w:p w:rsidR="00ED2DC7" w:rsidRPr="00965429" w:rsidRDefault="008F04CF" w:rsidP="00B637B2">
                    <w:pPr>
                      <w:jc w:val="right"/>
                      <w:rPr>
                        <w:sz w:val="16"/>
                        <w:szCs w:val="16"/>
                      </w:rPr>
                    </w:pPr>
                    <w:r>
                      <w:rPr>
                        <w:rFonts w:hint="eastAsia"/>
                        <w:sz w:val="16"/>
                        <w:szCs w:val="16"/>
                      </w:rPr>
                      <w:t>-</w:t>
                    </w:r>
                  </w:p>
                </w:tc>
                <w:tc>
                  <w:tcPr>
                    <w:tcW w:w="1559" w:type="dxa"/>
                    <w:vAlign w:val="center"/>
                  </w:tcPr>
                  <w:p w:rsidR="00ED2DC7" w:rsidRPr="00965429" w:rsidRDefault="008F04CF" w:rsidP="00B637B2">
                    <w:pPr>
                      <w:jc w:val="right"/>
                      <w:rPr>
                        <w:sz w:val="16"/>
                        <w:szCs w:val="16"/>
                      </w:rPr>
                    </w:pPr>
                    <w:r>
                      <w:rPr>
                        <w:rFonts w:hint="eastAsia"/>
                        <w:sz w:val="16"/>
                        <w:szCs w:val="16"/>
                      </w:rPr>
                      <w:t>-</w:t>
                    </w:r>
                  </w:p>
                </w:tc>
              </w:tr>
              <w:tr w:rsidR="00B637B2" w:rsidTr="00B637B2">
                <w:trPr>
                  <w:trHeight w:val="20"/>
                </w:trPr>
                <w:sdt>
                  <w:sdtPr>
                    <w:rPr>
                      <w:sz w:val="16"/>
                      <w:szCs w:val="16"/>
                    </w:rPr>
                    <w:tag w:val="_PLD_dc9b9aaf7e384b1eae7dcabb517c2b1e"/>
                    <w:id w:val="-1564556657"/>
                    <w:lock w:val="sdtLocked"/>
                  </w:sdtPr>
                  <w:sdtContent>
                    <w:tc>
                      <w:tcPr>
                        <w:tcW w:w="1985" w:type="dxa"/>
                      </w:tcPr>
                      <w:p w:rsidR="00ED2DC7" w:rsidRPr="00965429" w:rsidRDefault="00ED2DC7">
                        <w:pPr>
                          <w:ind w:firstLineChars="200" w:firstLine="320"/>
                          <w:rPr>
                            <w:sz w:val="16"/>
                            <w:szCs w:val="16"/>
                          </w:rPr>
                        </w:pPr>
                        <w:r w:rsidRPr="00965429">
                          <w:rPr>
                            <w:rFonts w:hint="eastAsia"/>
                            <w:sz w:val="16"/>
                            <w:szCs w:val="16"/>
                          </w:rPr>
                          <w:t>其他</w:t>
                        </w:r>
                      </w:p>
                    </w:tc>
                  </w:sdtContent>
                </w:sdt>
                <w:tc>
                  <w:tcPr>
                    <w:tcW w:w="1560" w:type="dxa"/>
                    <w:tcBorders>
                      <w:right w:val="single" w:sz="4" w:space="0" w:color="auto"/>
                    </w:tcBorders>
                    <w:vAlign w:val="center"/>
                  </w:tcPr>
                  <w:p w:rsidR="00ED2DC7" w:rsidRPr="00965429" w:rsidRDefault="008F04CF" w:rsidP="00B637B2">
                    <w:pPr>
                      <w:jc w:val="right"/>
                      <w:rPr>
                        <w:sz w:val="16"/>
                        <w:szCs w:val="16"/>
                      </w:rPr>
                    </w:pPr>
                    <w:r>
                      <w:rPr>
                        <w:rFonts w:hint="eastAsia"/>
                        <w:sz w:val="16"/>
                        <w:szCs w:val="16"/>
                      </w:rPr>
                      <w:t>-</w:t>
                    </w:r>
                  </w:p>
                </w:tc>
                <w:tc>
                  <w:tcPr>
                    <w:tcW w:w="425" w:type="dxa"/>
                    <w:tcBorders>
                      <w:left w:val="single" w:sz="4" w:space="0" w:color="auto"/>
                      <w:right w:val="single" w:sz="4" w:space="0" w:color="auto"/>
                    </w:tcBorders>
                    <w:vAlign w:val="center"/>
                  </w:tcPr>
                  <w:p w:rsidR="00ED2DC7" w:rsidRPr="00965429" w:rsidRDefault="008F04CF" w:rsidP="00B637B2">
                    <w:pPr>
                      <w:jc w:val="right"/>
                      <w:rPr>
                        <w:sz w:val="16"/>
                        <w:szCs w:val="16"/>
                      </w:rPr>
                    </w:pPr>
                    <w:r>
                      <w:rPr>
                        <w:rFonts w:hint="eastAsia"/>
                        <w:sz w:val="16"/>
                        <w:szCs w:val="16"/>
                      </w:rPr>
                      <w:t>-</w:t>
                    </w:r>
                  </w:p>
                </w:tc>
                <w:tc>
                  <w:tcPr>
                    <w:tcW w:w="425" w:type="dxa"/>
                    <w:tcBorders>
                      <w:left w:val="single" w:sz="4" w:space="0" w:color="auto"/>
                      <w:right w:val="single" w:sz="4" w:space="0" w:color="auto"/>
                    </w:tcBorders>
                    <w:vAlign w:val="center"/>
                  </w:tcPr>
                  <w:p w:rsidR="00ED2DC7" w:rsidRPr="00965429" w:rsidRDefault="008F04CF" w:rsidP="00B637B2">
                    <w:pPr>
                      <w:jc w:val="right"/>
                      <w:rPr>
                        <w:sz w:val="16"/>
                        <w:szCs w:val="16"/>
                      </w:rPr>
                    </w:pPr>
                    <w:r>
                      <w:rPr>
                        <w:rFonts w:hint="eastAsia"/>
                        <w:sz w:val="16"/>
                        <w:szCs w:val="16"/>
                      </w:rPr>
                      <w:t>-</w:t>
                    </w:r>
                  </w:p>
                </w:tc>
                <w:tc>
                  <w:tcPr>
                    <w:tcW w:w="425" w:type="dxa"/>
                    <w:tcBorders>
                      <w:left w:val="single" w:sz="4" w:space="0" w:color="auto"/>
                      <w:right w:val="single" w:sz="4" w:space="0" w:color="auto"/>
                    </w:tcBorders>
                    <w:vAlign w:val="center"/>
                  </w:tcPr>
                  <w:p w:rsidR="00ED2DC7" w:rsidRPr="00965429" w:rsidRDefault="008F04CF" w:rsidP="00B637B2">
                    <w:pPr>
                      <w:jc w:val="right"/>
                      <w:rPr>
                        <w:sz w:val="16"/>
                        <w:szCs w:val="16"/>
                      </w:rPr>
                    </w:pPr>
                    <w:r>
                      <w:rPr>
                        <w:rFonts w:hint="eastAsia"/>
                        <w:sz w:val="16"/>
                        <w:szCs w:val="16"/>
                      </w:rPr>
                      <w:t>-</w:t>
                    </w:r>
                  </w:p>
                </w:tc>
                <w:tc>
                  <w:tcPr>
                    <w:tcW w:w="1560" w:type="dxa"/>
                    <w:tcBorders>
                      <w:left w:val="single" w:sz="4" w:space="0" w:color="auto"/>
                    </w:tcBorders>
                    <w:vAlign w:val="center"/>
                  </w:tcPr>
                  <w:p w:rsidR="00ED2DC7" w:rsidRPr="00965429" w:rsidRDefault="008F04CF" w:rsidP="00B637B2">
                    <w:pPr>
                      <w:jc w:val="right"/>
                      <w:rPr>
                        <w:sz w:val="16"/>
                        <w:szCs w:val="16"/>
                      </w:rPr>
                    </w:pPr>
                    <w:r>
                      <w:rPr>
                        <w:rFonts w:hint="eastAsia"/>
                        <w:sz w:val="16"/>
                        <w:szCs w:val="16"/>
                      </w:rPr>
                      <w:t>-</w:t>
                    </w:r>
                  </w:p>
                </w:tc>
                <w:tc>
                  <w:tcPr>
                    <w:tcW w:w="1559" w:type="dxa"/>
                    <w:vAlign w:val="center"/>
                  </w:tcPr>
                  <w:p w:rsidR="00ED2DC7" w:rsidRPr="00965429" w:rsidRDefault="008F04CF" w:rsidP="00B637B2">
                    <w:pPr>
                      <w:jc w:val="right"/>
                      <w:rPr>
                        <w:sz w:val="16"/>
                        <w:szCs w:val="16"/>
                      </w:rPr>
                    </w:pPr>
                    <w:r>
                      <w:rPr>
                        <w:rFonts w:hint="eastAsia"/>
                        <w:sz w:val="16"/>
                        <w:szCs w:val="16"/>
                      </w:rPr>
                      <w:t>-</w:t>
                    </w:r>
                  </w:p>
                </w:tc>
                <w:tc>
                  <w:tcPr>
                    <w:tcW w:w="1559" w:type="dxa"/>
                    <w:vAlign w:val="center"/>
                  </w:tcPr>
                  <w:p w:rsidR="00ED2DC7" w:rsidRPr="00965429" w:rsidRDefault="008F04CF" w:rsidP="00B637B2">
                    <w:pPr>
                      <w:jc w:val="right"/>
                      <w:rPr>
                        <w:sz w:val="16"/>
                        <w:szCs w:val="16"/>
                      </w:rPr>
                    </w:pPr>
                    <w:r>
                      <w:rPr>
                        <w:rFonts w:hint="eastAsia"/>
                        <w:sz w:val="16"/>
                        <w:szCs w:val="16"/>
                      </w:rPr>
                      <w:t>-</w:t>
                    </w:r>
                  </w:p>
                </w:tc>
                <w:tc>
                  <w:tcPr>
                    <w:tcW w:w="1559" w:type="dxa"/>
                    <w:vAlign w:val="center"/>
                  </w:tcPr>
                  <w:p w:rsidR="00ED2DC7" w:rsidRPr="00965429" w:rsidRDefault="008F04CF" w:rsidP="00B637B2">
                    <w:pPr>
                      <w:jc w:val="right"/>
                      <w:rPr>
                        <w:sz w:val="16"/>
                        <w:szCs w:val="16"/>
                      </w:rPr>
                    </w:pPr>
                    <w:r>
                      <w:rPr>
                        <w:rFonts w:hint="eastAsia"/>
                        <w:sz w:val="16"/>
                        <w:szCs w:val="16"/>
                      </w:rPr>
                      <w:t>-</w:t>
                    </w:r>
                  </w:p>
                </w:tc>
                <w:tc>
                  <w:tcPr>
                    <w:tcW w:w="1560" w:type="dxa"/>
                    <w:vAlign w:val="center"/>
                  </w:tcPr>
                  <w:p w:rsidR="00ED2DC7" w:rsidRPr="00965429" w:rsidRDefault="008F04CF" w:rsidP="00B637B2">
                    <w:pPr>
                      <w:jc w:val="right"/>
                      <w:rPr>
                        <w:sz w:val="16"/>
                        <w:szCs w:val="16"/>
                      </w:rPr>
                    </w:pPr>
                    <w:r>
                      <w:rPr>
                        <w:rFonts w:hint="eastAsia"/>
                        <w:sz w:val="16"/>
                        <w:szCs w:val="16"/>
                      </w:rPr>
                      <w:t>-</w:t>
                    </w:r>
                  </w:p>
                </w:tc>
                <w:tc>
                  <w:tcPr>
                    <w:tcW w:w="1559" w:type="dxa"/>
                    <w:vAlign w:val="center"/>
                  </w:tcPr>
                  <w:p w:rsidR="00ED2DC7" w:rsidRPr="00965429" w:rsidRDefault="008F04CF" w:rsidP="00B637B2">
                    <w:pPr>
                      <w:jc w:val="right"/>
                      <w:rPr>
                        <w:sz w:val="16"/>
                        <w:szCs w:val="16"/>
                      </w:rPr>
                    </w:pPr>
                    <w:r>
                      <w:rPr>
                        <w:rFonts w:hint="eastAsia"/>
                        <w:sz w:val="16"/>
                        <w:szCs w:val="16"/>
                      </w:rPr>
                      <w:t>-</w:t>
                    </w:r>
                  </w:p>
                </w:tc>
                <w:tc>
                  <w:tcPr>
                    <w:tcW w:w="1559" w:type="dxa"/>
                    <w:vAlign w:val="center"/>
                  </w:tcPr>
                  <w:p w:rsidR="00ED2DC7" w:rsidRPr="00965429" w:rsidRDefault="008F04CF" w:rsidP="00B637B2">
                    <w:pPr>
                      <w:jc w:val="right"/>
                      <w:rPr>
                        <w:sz w:val="16"/>
                        <w:szCs w:val="16"/>
                      </w:rPr>
                    </w:pPr>
                    <w:r>
                      <w:rPr>
                        <w:rFonts w:hint="eastAsia"/>
                        <w:sz w:val="16"/>
                        <w:szCs w:val="16"/>
                      </w:rPr>
                      <w:t>-</w:t>
                    </w:r>
                  </w:p>
                </w:tc>
              </w:tr>
              <w:tr w:rsidR="00B637B2" w:rsidTr="00B637B2">
                <w:trPr>
                  <w:trHeight w:val="20"/>
                </w:trPr>
                <w:sdt>
                  <w:sdtPr>
                    <w:rPr>
                      <w:sz w:val="16"/>
                      <w:szCs w:val="16"/>
                    </w:rPr>
                    <w:tag w:val="_PLD_345919472b384d0eb13471ef5f2f5e92"/>
                    <w:id w:val="1004941993"/>
                    <w:lock w:val="sdtLocked"/>
                  </w:sdtPr>
                  <w:sdtContent>
                    <w:tc>
                      <w:tcPr>
                        <w:tcW w:w="1985" w:type="dxa"/>
                      </w:tcPr>
                      <w:p w:rsidR="009B7C9A" w:rsidRPr="00965429" w:rsidRDefault="009B7C9A" w:rsidP="009B7C9A">
                        <w:pPr>
                          <w:rPr>
                            <w:sz w:val="16"/>
                            <w:szCs w:val="16"/>
                          </w:rPr>
                        </w:pPr>
                        <w:r w:rsidRPr="00965429">
                          <w:rPr>
                            <w:sz w:val="16"/>
                            <w:szCs w:val="16"/>
                          </w:rPr>
                          <w:t>二、本年</w:t>
                        </w:r>
                        <w:r w:rsidRPr="00965429">
                          <w:rPr>
                            <w:rFonts w:hint="eastAsia"/>
                            <w:sz w:val="16"/>
                            <w:szCs w:val="16"/>
                          </w:rPr>
                          <w:t>期</w:t>
                        </w:r>
                        <w:r w:rsidRPr="00965429">
                          <w:rPr>
                            <w:sz w:val="16"/>
                            <w:szCs w:val="16"/>
                          </w:rPr>
                          <w:t>初余额</w:t>
                        </w:r>
                      </w:p>
                    </w:tc>
                  </w:sdtContent>
                </w:sdt>
                <w:tc>
                  <w:tcPr>
                    <w:tcW w:w="1560" w:type="dxa"/>
                    <w:tcBorders>
                      <w:right w:val="single" w:sz="4" w:space="0" w:color="auto"/>
                    </w:tcBorders>
                    <w:vAlign w:val="center"/>
                  </w:tcPr>
                  <w:p w:rsidR="009B7C9A" w:rsidRPr="00965429" w:rsidRDefault="009B7C9A" w:rsidP="00B637B2">
                    <w:pPr>
                      <w:jc w:val="right"/>
                      <w:rPr>
                        <w:sz w:val="16"/>
                        <w:szCs w:val="16"/>
                      </w:rPr>
                    </w:pPr>
                    <w:r w:rsidRPr="00965429">
                      <w:rPr>
                        <w:sz w:val="16"/>
                        <w:szCs w:val="16"/>
                      </w:rPr>
                      <w:t>1,917,832,792</w:t>
                    </w:r>
                  </w:p>
                </w:tc>
                <w:tc>
                  <w:tcPr>
                    <w:tcW w:w="425" w:type="dxa"/>
                    <w:tcBorders>
                      <w:left w:val="single" w:sz="4" w:space="0" w:color="auto"/>
                      <w:right w:val="single" w:sz="4" w:space="0" w:color="auto"/>
                    </w:tcBorders>
                    <w:vAlign w:val="center"/>
                  </w:tcPr>
                  <w:p w:rsidR="009B7C9A" w:rsidRPr="00965429" w:rsidRDefault="009B7C9A" w:rsidP="00B637B2">
                    <w:pPr>
                      <w:jc w:val="right"/>
                      <w:rPr>
                        <w:sz w:val="16"/>
                        <w:szCs w:val="16"/>
                      </w:rPr>
                    </w:pPr>
                    <w:r w:rsidRPr="00965429">
                      <w:rPr>
                        <w:sz w:val="16"/>
                        <w:szCs w:val="16"/>
                      </w:rPr>
                      <w:t>-</w:t>
                    </w:r>
                  </w:p>
                </w:tc>
                <w:tc>
                  <w:tcPr>
                    <w:tcW w:w="425" w:type="dxa"/>
                    <w:tcBorders>
                      <w:left w:val="single" w:sz="4" w:space="0" w:color="auto"/>
                      <w:right w:val="single" w:sz="4" w:space="0" w:color="auto"/>
                    </w:tcBorders>
                    <w:vAlign w:val="center"/>
                  </w:tcPr>
                  <w:p w:rsidR="009B7C9A" w:rsidRPr="00965429" w:rsidRDefault="009B7C9A" w:rsidP="00B637B2">
                    <w:pPr>
                      <w:jc w:val="right"/>
                      <w:rPr>
                        <w:sz w:val="16"/>
                        <w:szCs w:val="16"/>
                      </w:rPr>
                    </w:pPr>
                    <w:r w:rsidRPr="00965429">
                      <w:rPr>
                        <w:sz w:val="16"/>
                        <w:szCs w:val="16"/>
                      </w:rPr>
                      <w:t>-</w:t>
                    </w:r>
                  </w:p>
                </w:tc>
                <w:tc>
                  <w:tcPr>
                    <w:tcW w:w="425" w:type="dxa"/>
                    <w:tcBorders>
                      <w:left w:val="single" w:sz="4" w:space="0" w:color="auto"/>
                      <w:right w:val="single" w:sz="4" w:space="0" w:color="auto"/>
                    </w:tcBorders>
                    <w:vAlign w:val="center"/>
                  </w:tcPr>
                  <w:p w:rsidR="009B7C9A" w:rsidRPr="00965429" w:rsidRDefault="009B7C9A" w:rsidP="00B637B2">
                    <w:pPr>
                      <w:jc w:val="right"/>
                      <w:rPr>
                        <w:sz w:val="16"/>
                        <w:szCs w:val="16"/>
                      </w:rPr>
                    </w:pPr>
                    <w:r w:rsidRPr="00965429">
                      <w:rPr>
                        <w:sz w:val="16"/>
                        <w:szCs w:val="16"/>
                      </w:rPr>
                      <w:t>-</w:t>
                    </w:r>
                  </w:p>
                </w:tc>
                <w:tc>
                  <w:tcPr>
                    <w:tcW w:w="1560" w:type="dxa"/>
                    <w:tcBorders>
                      <w:left w:val="single" w:sz="4" w:space="0" w:color="auto"/>
                    </w:tcBorders>
                    <w:vAlign w:val="center"/>
                  </w:tcPr>
                  <w:p w:rsidR="009B7C9A" w:rsidRPr="00965429" w:rsidRDefault="009B7C9A" w:rsidP="00B637B2">
                    <w:pPr>
                      <w:jc w:val="right"/>
                      <w:rPr>
                        <w:sz w:val="16"/>
                        <w:szCs w:val="16"/>
                      </w:rPr>
                    </w:pPr>
                    <w:r w:rsidRPr="00965429">
                      <w:rPr>
                        <w:sz w:val="16"/>
                        <w:szCs w:val="16"/>
                      </w:rPr>
                      <w:t>1,619,007,491</w:t>
                    </w:r>
                  </w:p>
                </w:tc>
                <w:tc>
                  <w:tcPr>
                    <w:tcW w:w="1559" w:type="dxa"/>
                    <w:vAlign w:val="center"/>
                  </w:tcPr>
                  <w:p w:rsidR="009B7C9A" w:rsidRPr="00965429" w:rsidRDefault="009B7C9A" w:rsidP="00B637B2">
                    <w:pPr>
                      <w:jc w:val="right"/>
                      <w:rPr>
                        <w:sz w:val="16"/>
                        <w:szCs w:val="16"/>
                      </w:rPr>
                    </w:pPr>
                    <w:r w:rsidRPr="00965429">
                      <w:rPr>
                        <w:sz w:val="16"/>
                        <w:szCs w:val="16"/>
                      </w:rPr>
                      <w:t>55,787,910</w:t>
                    </w:r>
                  </w:p>
                </w:tc>
                <w:tc>
                  <w:tcPr>
                    <w:tcW w:w="1559" w:type="dxa"/>
                    <w:vAlign w:val="center"/>
                  </w:tcPr>
                  <w:p w:rsidR="009B7C9A" w:rsidRPr="00965429" w:rsidRDefault="009B7C9A" w:rsidP="00B637B2">
                    <w:pPr>
                      <w:jc w:val="right"/>
                      <w:rPr>
                        <w:sz w:val="16"/>
                        <w:szCs w:val="16"/>
                      </w:rPr>
                    </w:pPr>
                    <w:r w:rsidRPr="00965429">
                      <w:rPr>
                        <w:sz w:val="16"/>
                        <w:szCs w:val="16"/>
                      </w:rPr>
                      <w:t>-</w:t>
                    </w:r>
                  </w:p>
                </w:tc>
                <w:tc>
                  <w:tcPr>
                    <w:tcW w:w="1559" w:type="dxa"/>
                    <w:vAlign w:val="center"/>
                  </w:tcPr>
                  <w:p w:rsidR="009B7C9A" w:rsidRPr="00965429" w:rsidRDefault="009B7C9A" w:rsidP="00B637B2">
                    <w:pPr>
                      <w:jc w:val="right"/>
                      <w:rPr>
                        <w:sz w:val="16"/>
                        <w:szCs w:val="16"/>
                      </w:rPr>
                    </w:pPr>
                    <w:r w:rsidRPr="00965429">
                      <w:rPr>
                        <w:sz w:val="16"/>
                        <w:szCs w:val="16"/>
                      </w:rPr>
                      <w:t>-</w:t>
                    </w:r>
                  </w:p>
                </w:tc>
                <w:tc>
                  <w:tcPr>
                    <w:tcW w:w="1560" w:type="dxa"/>
                    <w:vAlign w:val="center"/>
                  </w:tcPr>
                  <w:p w:rsidR="009B7C9A" w:rsidRPr="00965429" w:rsidRDefault="009B7C9A" w:rsidP="00B637B2">
                    <w:pPr>
                      <w:jc w:val="right"/>
                      <w:rPr>
                        <w:sz w:val="16"/>
                        <w:szCs w:val="16"/>
                      </w:rPr>
                    </w:pPr>
                    <w:r w:rsidRPr="00965429">
                      <w:rPr>
                        <w:sz w:val="16"/>
                        <w:szCs w:val="16"/>
                      </w:rPr>
                      <w:t>831,983,441</w:t>
                    </w:r>
                  </w:p>
                </w:tc>
                <w:tc>
                  <w:tcPr>
                    <w:tcW w:w="1559" w:type="dxa"/>
                    <w:vAlign w:val="center"/>
                  </w:tcPr>
                  <w:p w:rsidR="009B7C9A" w:rsidRPr="00965429" w:rsidRDefault="009B7C9A" w:rsidP="00B637B2">
                    <w:pPr>
                      <w:jc w:val="right"/>
                      <w:rPr>
                        <w:sz w:val="16"/>
                        <w:szCs w:val="16"/>
                      </w:rPr>
                    </w:pPr>
                    <w:r w:rsidRPr="00965429">
                      <w:rPr>
                        <w:sz w:val="16"/>
                        <w:szCs w:val="16"/>
                      </w:rPr>
                      <w:t>1,644,146,818</w:t>
                    </w:r>
                  </w:p>
                </w:tc>
                <w:tc>
                  <w:tcPr>
                    <w:tcW w:w="1559" w:type="dxa"/>
                    <w:vAlign w:val="center"/>
                  </w:tcPr>
                  <w:p w:rsidR="009B7C9A" w:rsidRPr="00965429" w:rsidRDefault="008F04CF" w:rsidP="00B637B2">
                    <w:pPr>
                      <w:jc w:val="right"/>
                      <w:rPr>
                        <w:sz w:val="16"/>
                        <w:szCs w:val="16"/>
                      </w:rPr>
                    </w:pPr>
                    <w:r w:rsidRPr="00965429">
                      <w:rPr>
                        <w:sz w:val="16"/>
                        <w:szCs w:val="16"/>
                      </w:rPr>
                      <w:t>5,957,182,632</w:t>
                    </w:r>
                  </w:p>
                </w:tc>
              </w:tr>
              <w:tr w:rsidR="00B637B2" w:rsidTr="00B637B2">
                <w:trPr>
                  <w:trHeight w:val="20"/>
                </w:trPr>
                <w:sdt>
                  <w:sdtPr>
                    <w:rPr>
                      <w:sz w:val="16"/>
                      <w:szCs w:val="16"/>
                    </w:rPr>
                    <w:tag w:val="_PLD_4eea4cc259884a6ab5f2fe018aec3d4e"/>
                    <w:id w:val="-539903729"/>
                    <w:lock w:val="sdtLocked"/>
                  </w:sdtPr>
                  <w:sdtContent>
                    <w:tc>
                      <w:tcPr>
                        <w:tcW w:w="1985" w:type="dxa"/>
                      </w:tcPr>
                      <w:p w:rsidR="009B7C9A" w:rsidRPr="00965429" w:rsidRDefault="009B7C9A" w:rsidP="009B7C9A">
                        <w:pPr>
                          <w:rPr>
                            <w:sz w:val="16"/>
                            <w:szCs w:val="16"/>
                          </w:rPr>
                        </w:pPr>
                        <w:r w:rsidRPr="00965429">
                          <w:rPr>
                            <w:sz w:val="16"/>
                            <w:szCs w:val="16"/>
                          </w:rPr>
                          <w:t>三、本</w:t>
                        </w:r>
                        <w:r w:rsidRPr="00965429">
                          <w:rPr>
                            <w:rFonts w:hint="eastAsia"/>
                            <w:sz w:val="16"/>
                            <w:szCs w:val="16"/>
                          </w:rPr>
                          <w:t>期</w:t>
                        </w:r>
                        <w:r w:rsidRPr="00965429">
                          <w:rPr>
                            <w:sz w:val="16"/>
                            <w:szCs w:val="16"/>
                          </w:rPr>
                          <w:t>增减变动金额（减少以“－”号填列）</w:t>
                        </w:r>
                      </w:p>
                    </w:tc>
                  </w:sdtContent>
                </w:sdt>
                <w:tc>
                  <w:tcPr>
                    <w:tcW w:w="1560" w:type="dxa"/>
                    <w:tcBorders>
                      <w:right w:val="single" w:sz="4" w:space="0" w:color="auto"/>
                    </w:tcBorders>
                    <w:vAlign w:val="center"/>
                  </w:tcPr>
                  <w:p w:rsidR="009B7C9A" w:rsidRPr="00965429" w:rsidRDefault="009B7C9A" w:rsidP="00B637B2">
                    <w:pPr>
                      <w:jc w:val="right"/>
                      <w:rPr>
                        <w:sz w:val="16"/>
                        <w:szCs w:val="16"/>
                      </w:rPr>
                    </w:pPr>
                    <w:r w:rsidRPr="00965429">
                      <w:rPr>
                        <w:sz w:val="16"/>
                        <w:szCs w:val="16"/>
                      </w:rPr>
                      <w:t>568,301,783</w:t>
                    </w:r>
                  </w:p>
                </w:tc>
                <w:tc>
                  <w:tcPr>
                    <w:tcW w:w="425" w:type="dxa"/>
                    <w:tcBorders>
                      <w:left w:val="single" w:sz="4" w:space="0" w:color="auto"/>
                      <w:right w:val="single" w:sz="4" w:space="0" w:color="auto"/>
                    </w:tcBorders>
                    <w:vAlign w:val="center"/>
                  </w:tcPr>
                  <w:p w:rsidR="009B7C9A" w:rsidRPr="00965429" w:rsidRDefault="009B7C9A" w:rsidP="00B637B2">
                    <w:pPr>
                      <w:jc w:val="right"/>
                      <w:rPr>
                        <w:sz w:val="16"/>
                        <w:szCs w:val="16"/>
                      </w:rPr>
                    </w:pPr>
                    <w:r w:rsidRPr="00965429">
                      <w:rPr>
                        <w:sz w:val="16"/>
                        <w:szCs w:val="16"/>
                      </w:rPr>
                      <w:t>-</w:t>
                    </w:r>
                  </w:p>
                </w:tc>
                <w:tc>
                  <w:tcPr>
                    <w:tcW w:w="425" w:type="dxa"/>
                    <w:tcBorders>
                      <w:left w:val="single" w:sz="4" w:space="0" w:color="auto"/>
                      <w:right w:val="single" w:sz="4" w:space="0" w:color="auto"/>
                    </w:tcBorders>
                    <w:vAlign w:val="center"/>
                  </w:tcPr>
                  <w:p w:rsidR="009B7C9A" w:rsidRPr="00965429" w:rsidRDefault="009B7C9A" w:rsidP="00B637B2">
                    <w:pPr>
                      <w:jc w:val="right"/>
                      <w:rPr>
                        <w:sz w:val="16"/>
                        <w:szCs w:val="16"/>
                      </w:rPr>
                    </w:pPr>
                    <w:r w:rsidRPr="00965429">
                      <w:rPr>
                        <w:sz w:val="16"/>
                        <w:szCs w:val="16"/>
                      </w:rPr>
                      <w:t>-</w:t>
                    </w:r>
                  </w:p>
                </w:tc>
                <w:tc>
                  <w:tcPr>
                    <w:tcW w:w="425" w:type="dxa"/>
                    <w:tcBorders>
                      <w:left w:val="single" w:sz="4" w:space="0" w:color="auto"/>
                    </w:tcBorders>
                    <w:vAlign w:val="center"/>
                  </w:tcPr>
                  <w:p w:rsidR="009B7C9A" w:rsidRPr="00965429" w:rsidRDefault="009B7C9A" w:rsidP="00B637B2">
                    <w:pPr>
                      <w:jc w:val="right"/>
                      <w:rPr>
                        <w:sz w:val="16"/>
                        <w:szCs w:val="16"/>
                      </w:rPr>
                    </w:pPr>
                    <w:r w:rsidRPr="00965429">
                      <w:rPr>
                        <w:sz w:val="16"/>
                        <w:szCs w:val="16"/>
                      </w:rPr>
                      <w:t>-</w:t>
                    </w:r>
                  </w:p>
                </w:tc>
                <w:tc>
                  <w:tcPr>
                    <w:tcW w:w="1560" w:type="dxa"/>
                    <w:vAlign w:val="center"/>
                  </w:tcPr>
                  <w:p w:rsidR="009B7C9A" w:rsidRPr="00965429" w:rsidRDefault="009B7C9A" w:rsidP="00B637B2">
                    <w:pPr>
                      <w:jc w:val="right"/>
                      <w:rPr>
                        <w:sz w:val="16"/>
                        <w:szCs w:val="16"/>
                      </w:rPr>
                    </w:pPr>
                    <w:r w:rsidRPr="00965429">
                      <w:rPr>
                        <w:sz w:val="16"/>
                        <w:szCs w:val="16"/>
                      </w:rPr>
                      <w:t>-524,666,195</w:t>
                    </w:r>
                  </w:p>
                </w:tc>
                <w:tc>
                  <w:tcPr>
                    <w:tcW w:w="1559" w:type="dxa"/>
                    <w:vAlign w:val="center"/>
                  </w:tcPr>
                  <w:p w:rsidR="009B7C9A" w:rsidRPr="00965429" w:rsidRDefault="009B7C9A" w:rsidP="00B637B2">
                    <w:pPr>
                      <w:jc w:val="right"/>
                      <w:rPr>
                        <w:sz w:val="16"/>
                        <w:szCs w:val="16"/>
                      </w:rPr>
                    </w:pPr>
                    <w:r w:rsidRPr="00965429">
                      <w:rPr>
                        <w:sz w:val="16"/>
                        <w:szCs w:val="16"/>
                      </w:rPr>
                      <w:t>458,416,969</w:t>
                    </w:r>
                  </w:p>
                </w:tc>
                <w:tc>
                  <w:tcPr>
                    <w:tcW w:w="1559" w:type="dxa"/>
                    <w:vAlign w:val="center"/>
                  </w:tcPr>
                  <w:p w:rsidR="009B7C9A" w:rsidRPr="00965429" w:rsidRDefault="009B7C9A" w:rsidP="00B637B2">
                    <w:pPr>
                      <w:jc w:val="right"/>
                      <w:rPr>
                        <w:sz w:val="16"/>
                        <w:szCs w:val="16"/>
                      </w:rPr>
                    </w:pPr>
                    <w:r w:rsidRPr="00965429">
                      <w:rPr>
                        <w:sz w:val="16"/>
                        <w:szCs w:val="16"/>
                      </w:rPr>
                      <w:t>188,747</w:t>
                    </w:r>
                  </w:p>
                </w:tc>
                <w:tc>
                  <w:tcPr>
                    <w:tcW w:w="1559" w:type="dxa"/>
                    <w:vAlign w:val="center"/>
                  </w:tcPr>
                  <w:p w:rsidR="009B7C9A" w:rsidRPr="00965429" w:rsidRDefault="009B7C9A" w:rsidP="00B637B2">
                    <w:pPr>
                      <w:jc w:val="right"/>
                      <w:rPr>
                        <w:sz w:val="16"/>
                        <w:szCs w:val="16"/>
                      </w:rPr>
                    </w:pPr>
                    <w:r w:rsidRPr="00965429">
                      <w:rPr>
                        <w:sz w:val="16"/>
                        <w:szCs w:val="16"/>
                      </w:rPr>
                      <w:t>-</w:t>
                    </w:r>
                  </w:p>
                </w:tc>
                <w:tc>
                  <w:tcPr>
                    <w:tcW w:w="1560" w:type="dxa"/>
                    <w:vAlign w:val="center"/>
                  </w:tcPr>
                  <w:p w:rsidR="009B7C9A" w:rsidRPr="00965429" w:rsidRDefault="009B7C9A" w:rsidP="00B637B2">
                    <w:pPr>
                      <w:jc w:val="right"/>
                      <w:rPr>
                        <w:sz w:val="16"/>
                        <w:szCs w:val="16"/>
                      </w:rPr>
                    </w:pPr>
                    <w:r w:rsidRPr="00965429">
                      <w:rPr>
                        <w:sz w:val="16"/>
                        <w:szCs w:val="16"/>
                      </w:rPr>
                      <w:t>-</w:t>
                    </w:r>
                  </w:p>
                </w:tc>
                <w:tc>
                  <w:tcPr>
                    <w:tcW w:w="1559" w:type="dxa"/>
                    <w:vAlign w:val="center"/>
                  </w:tcPr>
                  <w:p w:rsidR="009B7C9A" w:rsidRPr="00965429" w:rsidRDefault="009B7C9A" w:rsidP="00B637B2">
                    <w:pPr>
                      <w:jc w:val="right"/>
                      <w:rPr>
                        <w:sz w:val="16"/>
                        <w:szCs w:val="16"/>
                      </w:rPr>
                    </w:pPr>
                    <w:r w:rsidRPr="00965429">
                      <w:rPr>
                        <w:sz w:val="16"/>
                        <w:szCs w:val="16"/>
                      </w:rPr>
                      <w:t>3,492,972</w:t>
                    </w:r>
                  </w:p>
                </w:tc>
                <w:tc>
                  <w:tcPr>
                    <w:tcW w:w="1559" w:type="dxa"/>
                    <w:vAlign w:val="center"/>
                  </w:tcPr>
                  <w:p w:rsidR="009B7C9A" w:rsidRPr="00965429" w:rsidRDefault="008F04CF" w:rsidP="00B637B2">
                    <w:pPr>
                      <w:jc w:val="right"/>
                      <w:rPr>
                        <w:sz w:val="16"/>
                        <w:szCs w:val="16"/>
                      </w:rPr>
                    </w:pPr>
                    <w:r w:rsidRPr="00965429">
                      <w:rPr>
                        <w:sz w:val="16"/>
                        <w:szCs w:val="16"/>
                      </w:rPr>
                      <w:t>-411,099,662</w:t>
                    </w:r>
                  </w:p>
                </w:tc>
              </w:tr>
              <w:tr w:rsidR="00B637B2" w:rsidTr="00B637B2">
                <w:trPr>
                  <w:trHeight w:val="20"/>
                </w:trPr>
                <w:sdt>
                  <w:sdtPr>
                    <w:rPr>
                      <w:sz w:val="16"/>
                      <w:szCs w:val="16"/>
                    </w:rPr>
                    <w:tag w:val="_PLD_c2eb317db9474ea9b9513a40ba81d9f7"/>
                    <w:id w:val="-943305970"/>
                    <w:lock w:val="sdtLocked"/>
                  </w:sdtPr>
                  <w:sdtContent>
                    <w:tc>
                      <w:tcPr>
                        <w:tcW w:w="1985" w:type="dxa"/>
                      </w:tcPr>
                      <w:p w:rsidR="009B7C9A" w:rsidRPr="00965429" w:rsidRDefault="009B7C9A" w:rsidP="009B7C9A">
                        <w:pPr>
                          <w:rPr>
                            <w:sz w:val="16"/>
                            <w:szCs w:val="16"/>
                          </w:rPr>
                        </w:pPr>
                        <w:r w:rsidRPr="00965429">
                          <w:rPr>
                            <w:rFonts w:hint="eastAsia"/>
                            <w:sz w:val="16"/>
                            <w:szCs w:val="16"/>
                          </w:rPr>
                          <w:t>（一）综合收益总额</w:t>
                        </w:r>
                      </w:p>
                    </w:tc>
                  </w:sdtContent>
                </w:sdt>
                <w:tc>
                  <w:tcPr>
                    <w:tcW w:w="1560" w:type="dxa"/>
                    <w:tcBorders>
                      <w:right w:val="single" w:sz="4" w:space="0" w:color="auto"/>
                    </w:tcBorders>
                    <w:vAlign w:val="center"/>
                  </w:tcPr>
                  <w:p w:rsidR="009B7C9A" w:rsidRPr="00965429" w:rsidRDefault="009B7C9A" w:rsidP="00B637B2">
                    <w:pPr>
                      <w:jc w:val="right"/>
                      <w:rPr>
                        <w:sz w:val="16"/>
                        <w:szCs w:val="16"/>
                      </w:rPr>
                    </w:pPr>
                    <w:r w:rsidRPr="00965429">
                      <w:rPr>
                        <w:sz w:val="16"/>
                        <w:szCs w:val="16"/>
                      </w:rPr>
                      <w:t>-</w:t>
                    </w:r>
                  </w:p>
                </w:tc>
                <w:tc>
                  <w:tcPr>
                    <w:tcW w:w="425" w:type="dxa"/>
                    <w:tcBorders>
                      <w:left w:val="single" w:sz="4" w:space="0" w:color="auto"/>
                      <w:right w:val="single" w:sz="4" w:space="0" w:color="auto"/>
                    </w:tcBorders>
                    <w:vAlign w:val="center"/>
                  </w:tcPr>
                  <w:p w:rsidR="009B7C9A" w:rsidRPr="00965429" w:rsidRDefault="009B7C9A" w:rsidP="00B637B2">
                    <w:pPr>
                      <w:jc w:val="right"/>
                      <w:rPr>
                        <w:sz w:val="16"/>
                        <w:szCs w:val="16"/>
                      </w:rPr>
                    </w:pPr>
                    <w:r w:rsidRPr="00965429">
                      <w:rPr>
                        <w:sz w:val="16"/>
                        <w:szCs w:val="16"/>
                      </w:rPr>
                      <w:t>-</w:t>
                    </w:r>
                  </w:p>
                </w:tc>
                <w:tc>
                  <w:tcPr>
                    <w:tcW w:w="425" w:type="dxa"/>
                    <w:tcBorders>
                      <w:left w:val="single" w:sz="4" w:space="0" w:color="auto"/>
                      <w:right w:val="single" w:sz="4" w:space="0" w:color="auto"/>
                    </w:tcBorders>
                    <w:vAlign w:val="center"/>
                  </w:tcPr>
                  <w:p w:rsidR="009B7C9A" w:rsidRPr="00965429" w:rsidRDefault="009B7C9A" w:rsidP="00B637B2">
                    <w:pPr>
                      <w:jc w:val="right"/>
                      <w:rPr>
                        <w:sz w:val="16"/>
                        <w:szCs w:val="16"/>
                      </w:rPr>
                    </w:pPr>
                    <w:r w:rsidRPr="00965429">
                      <w:rPr>
                        <w:sz w:val="16"/>
                        <w:szCs w:val="16"/>
                      </w:rPr>
                      <w:t>-</w:t>
                    </w:r>
                  </w:p>
                </w:tc>
                <w:tc>
                  <w:tcPr>
                    <w:tcW w:w="425" w:type="dxa"/>
                    <w:tcBorders>
                      <w:left w:val="single" w:sz="4" w:space="0" w:color="auto"/>
                    </w:tcBorders>
                    <w:vAlign w:val="center"/>
                  </w:tcPr>
                  <w:p w:rsidR="009B7C9A" w:rsidRPr="00965429" w:rsidRDefault="009B7C9A" w:rsidP="00B637B2">
                    <w:pPr>
                      <w:jc w:val="right"/>
                      <w:rPr>
                        <w:sz w:val="16"/>
                        <w:szCs w:val="16"/>
                      </w:rPr>
                    </w:pPr>
                    <w:r w:rsidRPr="00965429">
                      <w:rPr>
                        <w:sz w:val="16"/>
                        <w:szCs w:val="16"/>
                      </w:rPr>
                      <w:t>-</w:t>
                    </w:r>
                  </w:p>
                </w:tc>
                <w:tc>
                  <w:tcPr>
                    <w:tcW w:w="1560" w:type="dxa"/>
                    <w:vAlign w:val="center"/>
                  </w:tcPr>
                  <w:p w:rsidR="009B7C9A" w:rsidRPr="00965429" w:rsidRDefault="009B7C9A" w:rsidP="00B637B2">
                    <w:pPr>
                      <w:jc w:val="right"/>
                      <w:rPr>
                        <w:sz w:val="16"/>
                        <w:szCs w:val="16"/>
                      </w:rPr>
                    </w:pPr>
                    <w:r w:rsidRPr="00965429">
                      <w:rPr>
                        <w:sz w:val="16"/>
                        <w:szCs w:val="16"/>
                      </w:rPr>
                      <w:t>-</w:t>
                    </w:r>
                  </w:p>
                </w:tc>
                <w:tc>
                  <w:tcPr>
                    <w:tcW w:w="1559" w:type="dxa"/>
                    <w:vAlign w:val="center"/>
                  </w:tcPr>
                  <w:p w:rsidR="009B7C9A" w:rsidRPr="00965429" w:rsidRDefault="009B7C9A" w:rsidP="00B637B2">
                    <w:pPr>
                      <w:jc w:val="right"/>
                      <w:rPr>
                        <w:sz w:val="16"/>
                        <w:szCs w:val="16"/>
                      </w:rPr>
                    </w:pPr>
                    <w:r w:rsidRPr="00965429">
                      <w:rPr>
                        <w:sz w:val="16"/>
                        <w:szCs w:val="16"/>
                      </w:rPr>
                      <w:t>-</w:t>
                    </w:r>
                  </w:p>
                </w:tc>
                <w:tc>
                  <w:tcPr>
                    <w:tcW w:w="1559" w:type="dxa"/>
                    <w:vAlign w:val="center"/>
                  </w:tcPr>
                  <w:p w:rsidR="009B7C9A" w:rsidRPr="00965429" w:rsidRDefault="009B7C9A" w:rsidP="00B637B2">
                    <w:pPr>
                      <w:jc w:val="right"/>
                      <w:rPr>
                        <w:sz w:val="16"/>
                        <w:szCs w:val="16"/>
                      </w:rPr>
                    </w:pPr>
                    <w:r w:rsidRPr="00965429">
                      <w:rPr>
                        <w:sz w:val="16"/>
                        <w:szCs w:val="16"/>
                      </w:rPr>
                      <w:t>188,747</w:t>
                    </w:r>
                  </w:p>
                </w:tc>
                <w:tc>
                  <w:tcPr>
                    <w:tcW w:w="1559" w:type="dxa"/>
                    <w:vAlign w:val="center"/>
                  </w:tcPr>
                  <w:p w:rsidR="009B7C9A" w:rsidRPr="00965429" w:rsidRDefault="009B7C9A" w:rsidP="00B637B2">
                    <w:pPr>
                      <w:jc w:val="right"/>
                      <w:rPr>
                        <w:sz w:val="16"/>
                        <w:szCs w:val="16"/>
                      </w:rPr>
                    </w:pPr>
                    <w:r w:rsidRPr="00965429">
                      <w:rPr>
                        <w:sz w:val="16"/>
                        <w:szCs w:val="16"/>
                      </w:rPr>
                      <w:t>-</w:t>
                    </w:r>
                  </w:p>
                </w:tc>
                <w:tc>
                  <w:tcPr>
                    <w:tcW w:w="1560" w:type="dxa"/>
                    <w:vAlign w:val="center"/>
                  </w:tcPr>
                  <w:p w:rsidR="009B7C9A" w:rsidRPr="00965429" w:rsidRDefault="009B7C9A" w:rsidP="00B637B2">
                    <w:pPr>
                      <w:jc w:val="right"/>
                      <w:rPr>
                        <w:sz w:val="16"/>
                        <w:szCs w:val="16"/>
                      </w:rPr>
                    </w:pPr>
                    <w:r w:rsidRPr="00965429">
                      <w:rPr>
                        <w:sz w:val="16"/>
                        <w:szCs w:val="16"/>
                      </w:rPr>
                      <w:t>-</w:t>
                    </w:r>
                  </w:p>
                </w:tc>
                <w:tc>
                  <w:tcPr>
                    <w:tcW w:w="1559" w:type="dxa"/>
                    <w:vAlign w:val="center"/>
                  </w:tcPr>
                  <w:p w:rsidR="009B7C9A" w:rsidRPr="00965429" w:rsidRDefault="009B7C9A" w:rsidP="00B637B2">
                    <w:pPr>
                      <w:jc w:val="right"/>
                      <w:rPr>
                        <w:sz w:val="16"/>
                        <w:szCs w:val="16"/>
                      </w:rPr>
                    </w:pPr>
                    <w:r w:rsidRPr="00965429">
                      <w:rPr>
                        <w:sz w:val="16"/>
                        <w:szCs w:val="16"/>
                      </w:rPr>
                      <w:t>477,906,008</w:t>
                    </w:r>
                  </w:p>
                </w:tc>
                <w:tc>
                  <w:tcPr>
                    <w:tcW w:w="1559" w:type="dxa"/>
                    <w:vAlign w:val="center"/>
                  </w:tcPr>
                  <w:p w:rsidR="009B7C9A" w:rsidRPr="00965429" w:rsidRDefault="008F04CF" w:rsidP="00B637B2">
                    <w:pPr>
                      <w:jc w:val="right"/>
                      <w:rPr>
                        <w:sz w:val="16"/>
                        <w:szCs w:val="16"/>
                      </w:rPr>
                    </w:pPr>
                    <w:r w:rsidRPr="00965429">
                      <w:rPr>
                        <w:sz w:val="16"/>
                        <w:szCs w:val="16"/>
                      </w:rPr>
                      <w:t>478,094,755</w:t>
                    </w:r>
                  </w:p>
                </w:tc>
              </w:tr>
              <w:tr w:rsidR="00B637B2" w:rsidTr="00B637B2">
                <w:trPr>
                  <w:trHeight w:val="20"/>
                </w:trPr>
                <w:sdt>
                  <w:sdtPr>
                    <w:rPr>
                      <w:sz w:val="16"/>
                      <w:szCs w:val="16"/>
                    </w:rPr>
                    <w:tag w:val="_PLD_2c2c42255e12419d81111ac5d28c5859"/>
                    <w:id w:val="-1456407321"/>
                    <w:lock w:val="sdtLocked"/>
                  </w:sdtPr>
                  <w:sdtContent>
                    <w:tc>
                      <w:tcPr>
                        <w:tcW w:w="1985" w:type="dxa"/>
                      </w:tcPr>
                      <w:p w:rsidR="009B7C9A" w:rsidRPr="00965429" w:rsidRDefault="009B7C9A" w:rsidP="009B7C9A">
                        <w:pPr>
                          <w:rPr>
                            <w:sz w:val="16"/>
                            <w:szCs w:val="16"/>
                          </w:rPr>
                        </w:pPr>
                        <w:r w:rsidRPr="00965429">
                          <w:rPr>
                            <w:sz w:val="16"/>
                            <w:szCs w:val="16"/>
                          </w:rPr>
                          <w:t>（</w:t>
                        </w:r>
                        <w:r w:rsidRPr="00965429">
                          <w:rPr>
                            <w:rFonts w:hint="eastAsia"/>
                            <w:sz w:val="16"/>
                            <w:szCs w:val="16"/>
                          </w:rPr>
                          <w:t>二</w:t>
                        </w:r>
                        <w:r w:rsidRPr="00965429">
                          <w:rPr>
                            <w:sz w:val="16"/>
                            <w:szCs w:val="16"/>
                          </w:rPr>
                          <w:t>）所有者投入和减少资本</w:t>
                        </w:r>
                      </w:p>
                    </w:tc>
                  </w:sdtContent>
                </w:sdt>
                <w:tc>
                  <w:tcPr>
                    <w:tcW w:w="1560" w:type="dxa"/>
                    <w:tcBorders>
                      <w:right w:val="single" w:sz="4" w:space="0" w:color="auto"/>
                    </w:tcBorders>
                    <w:vAlign w:val="center"/>
                  </w:tcPr>
                  <w:p w:rsidR="009B7C9A" w:rsidRPr="00965429" w:rsidRDefault="009B7C9A" w:rsidP="00B637B2">
                    <w:pPr>
                      <w:jc w:val="right"/>
                      <w:rPr>
                        <w:sz w:val="16"/>
                        <w:szCs w:val="16"/>
                      </w:rPr>
                    </w:pPr>
                    <w:r w:rsidRPr="00965429">
                      <w:rPr>
                        <w:sz w:val="16"/>
                        <w:szCs w:val="16"/>
                      </w:rPr>
                      <w:t>-993,859</w:t>
                    </w:r>
                  </w:p>
                </w:tc>
                <w:tc>
                  <w:tcPr>
                    <w:tcW w:w="425" w:type="dxa"/>
                    <w:tcBorders>
                      <w:left w:val="single" w:sz="4" w:space="0" w:color="auto"/>
                      <w:right w:val="single" w:sz="4" w:space="0" w:color="auto"/>
                    </w:tcBorders>
                    <w:vAlign w:val="center"/>
                  </w:tcPr>
                  <w:p w:rsidR="009B7C9A" w:rsidRPr="00965429" w:rsidRDefault="009B7C9A" w:rsidP="00B637B2">
                    <w:pPr>
                      <w:jc w:val="right"/>
                      <w:rPr>
                        <w:sz w:val="16"/>
                        <w:szCs w:val="16"/>
                      </w:rPr>
                    </w:pPr>
                    <w:r w:rsidRPr="00965429">
                      <w:rPr>
                        <w:sz w:val="16"/>
                        <w:szCs w:val="16"/>
                      </w:rPr>
                      <w:t>-</w:t>
                    </w:r>
                  </w:p>
                </w:tc>
                <w:tc>
                  <w:tcPr>
                    <w:tcW w:w="425" w:type="dxa"/>
                    <w:tcBorders>
                      <w:left w:val="single" w:sz="4" w:space="0" w:color="auto"/>
                      <w:right w:val="single" w:sz="4" w:space="0" w:color="auto"/>
                    </w:tcBorders>
                    <w:vAlign w:val="center"/>
                  </w:tcPr>
                  <w:p w:rsidR="009B7C9A" w:rsidRPr="00965429" w:rsidRDefault="009B7C9A" w:rsidP="00B637B2">
                    <w:pPr>
                      <w:jc w:val="right"/>
                      <w:rPr>
                        <w:sz w:val="16"/>
                        <w:szCs w:val="16"/>
                      </w:rPr>
                    </w:pPr>
                    <w:r w:rsidRPr="00965429">
                      <w:rPr>
                        <w:sz w:val="16"/>
                        <w:szCs w:val="16"/>
                      </w:rPr>
                      <w:t>-</w:t>
                    </w:r>
                  </w:p>
                </w:tc>
                <w:tc>
                  <w:tcPr>
                    <w:tcW w:w="425" w:type="dxa"/>
                    <w:tcBorders>
                      <w:left w:val="single" w:sz="4" w:space="0" w:color="auto"/>
                    </w:tcBorders>
                    <w:vAlign w:val="center"/>
                  </w:tcPr>
                  <w:p w:rsidR="009B7C9A" w:rsidRPr="00965429" w:rsidRDefault="009B7C9A" w:rsidP="00B637B2">
                    <w:pPr>
                      <w:jc w:val="right"/>
                      <w:rPr>
                        <w:sz w:val="16"/>
                        <w:szCs w:val="16"/>
                      </w:rPr>
                    </w:pPr>
                    <w:r w:rsidRPr="00965429">
                      <w:rPr>
                        <w:sz w:val="16"/>
                        <w:szCs w:val="16"/>
                      </w:rPr>
                      <w:t>-</w:t>
                    </w:r>
                  </w:p>
                </w:tc>
                <w:tc>
                  <w:tcPr>
                    <w:tcW w:w="1560" w:type="dxa"/>
                    <w:vAlign w:val="center"/>
                  </w:tcPr>
                  <w:p w:rsidR="009B7C9A" w:rsidRPr="00965429" w:rsidRDefault="009B7C9A" w:rsidP="00B637B2">
                    <w:pPr>
                      <w:jc w:val="right"/>
                      <w:rPr>
                        <w:sz w:val="16"/>
                        <w:szCs w:val="16"/>
                      </w:rPr>
                    </w:pPr>
                    <w:r w:rsidRPr="00965429">
                      <w:rPr>
                        <w:sz w:val="16"/>
                        <w:szCs w:val="16"/>
                      </w:rPr>
                      <w:t>44,629,447</w:t>
                    </w:r>
                  </w:p>
                </w:tc>
                <w:tc>
                  <w:tcPr>
                    <w:tcW w:w="1559" w:type="dxa"/>
                    <w:vAlign w:val="center"/>
                  </w:tcPr>
                  <w:p w:rsidR="009B7C9A" w:rsidRPr="00965429" w:rsidRDefault="009B7C9A" w:rsidP="00B637B2">
                    <w:pPr>
                      <w:jc w:val="right"/>
                      <w:rPr>
                        <w:sz w:val="16"/>
                        <w:szCs w:val="16"/>
                      </w:rPr>
                    </w:pPr>
                    <w:r w:rsidRPr="00965429">
                      <w:rPr>
                        <w:sz w:val="16"/>
                        <w:szCs w:val="16"/>
                      </w:rPr>
                      <w:t>458,416,969</w:t>
                    </w:r>
                  </w:p>
                </w:tc>
                <w:tc>
                  <w:tcPr>
                    <w:tcW w:w="1559" w:type="dxa"/>
                    <w:vAlign w:val="center"/>
                  </w:tcPr>
                  <w:p w:rsidR="009B7C9A" w:rsidRPr="00965429" w:rsidRDefault="009B7C9A" w:rsidP="00B637B2">
                    <w:pPr>
                      <w:jc w:val="right"/>
                      <w:rPr>
                        <w:sz w:val="16"/>
                        <w:szCs w:val="16"/>
                      </w:rPr>
                    </w:pPr>
                    <w:r w:rsidRPr="00965429">
                      <w:rPr>
                        <w:sz w:val="16"/>
                        <w:szCs w:val="16"/>
                      </w:rPr>
                      <w:t>-</w:t>
                    </w:r>
                  </w:p>
                </w:tc>
                <w:tc>
                  <w:tcPr>
                    <w:tcW w:w="1559" w:type="dxa"/>
                    <w:vAlign w:val="center"/>
                  </w:tcPr>
                  <w:p w:rsidR="009B7C9A" w:rsidRPr="00965429" w:rsidRDefault="009B7C9A" w:rsidP="00B637B2">
                    <w:pPr>
                      <w:jc w:val="right"/>
                      <w:rPr>
                        <w:sz w:val="16"/>
                        <w:szCs w:val="16"/>
                      </w:rPr>
                    </w:pPr>
                    <w:r w:rsidRPr="00965429">
                      <w:rPr>
                        <w:sz w:val="16"/>
                        <w:szCs w:val="16"/>
                      </w:rPr>
                      <w:t>-</w:t>
                    </w:r>
                  </w:p>
                </w:tc>
                <w:tc>
                  <w:tcPr>
                    <w:tcW w:w="1560" w:type="dxa"/>
                    <w:vAlign w:val="center"/>
                  </w:tcPr>
                  <w:p w:rsidR="009B7C9A" w:rsidRPr="00965429" w:rsidRDefault="009B7C9A" w:rsidP="00B637B2">
                    <w:pPr>
                      <w:jc w:val="right"/>
                      <w:rPr>
                        <w:sz w:val="16"/>
                        <w:szCs w:val="16"/>
                      </w:rPr>
                    </w:pPr>
                    <w:r w:rsidRPr="00965429">
                      <w:rPr>
                        <w:sz w:val="16"/>
                        <w:szCs w:val="16"/>
                      </w:rPr>
                      <w:t>-</w:t>
                    </w:r>
                  </w:p>
                </w:tc>
                <w:tc>
                  <w:tcPr>
                    <w:tcW w:w="1559" w:type="dxa"/>
                    <w:vAlign w:val="center"/>
                  </w:tcPr>
                  <w:p w:rsidR="009B7C9A" w:rsidRPr="00965429" w:rsidRDefault="009B7C9A" w:rsidP="00B637B2">
                    <w:pPr>
                      <w:jc w:val="right"/>
                      <w:rPr>
                        <w:sz w:val="16"/>
                        <w:szCs w:val="16"/>
                      </w:rPr>
                    </w:pPr>
                    <w:r w:rsidRPr="00965429">
                      <w:rPr>
                        <w:sz w:val="16"/>
                        <w:szCs w:val="16"/>
                      </w:rPr>
                      <w:t>-</w:t>
                    </w:r>
                  </w:p>
                </w:tc>
                <w:tc>
                  <w:tcPr>
                    <w:tcW w:w="1559" w:type="dxa"/>
                    <w:vAlign w:val="center"/>
                  </w:tcPr>
                  <w:p w:rsidR="009B7C9A" w:rsidRPr="00965429" w:rsidRDefault="008F04CF" w:rsidP="00B637B2">
                    <w:pPr>
                      <w:jc w:val="right"/>
                      <w:rPr>
                        <w:sz w:val="16"/>
                        <w:szCs w:val="16"/>
                      </w:rPr>
                    </w:pPr>
                    <w:r w:rsidRPr="00965429">
                      <w:rPr>
                        <w:sz w:val="16"/>
                        <w:szCs w:val="16"/>
                      </w:rPr>
                      <w:t>-414,781,381</w:t>
                    </w:r>
                  </w:p>
                </w:tc>
              </w:tr>
              <w:tr w:rsidR="00B637B2" w:rsidTr="00B637B2">
                <w:trPr>
                  <w:trHeight w:val="20"/>
                </w:trPr>
                <w:sdt>
                  <w:sdtPr>
                    <w:rPr>
                      <w:sz w:val="16"/>
                      <w:szCs w:val="16"/>
                    </w:rPr>
                    <w:tag w:val="_PLD_ced9c335ab0c4ec8b683bd42730e309b"/>
                    <w:id w:val="-1737929624"/>
                    <w:lock w:val="sdtLocked"/>
                  </w:sdtPr>
                  <w:sdtContent>
                    <w:tc>
                      <w:tcPr>
                        <w:tcW w:w="1985" w:type="dxa"/>
                      </w:tcPr>
                      <w:p w:rsidR="009B7C9A" w:rsidRPr="00965429" w:rsidRDefault="009B7C9A" w:rsidP="009B7C9A">
                        <w:pPr>
                          <w:rPr>
                            <w:sz w:val="16"/>
                            <w:szCs w:val="16"/>
                          </w:rPr>
                        </w:pPr>
                        <w:r w:rsidRPr="00965429">
                          <w:rPr>
                            <w:rFonts w:hint="eastAsia"/>
                            <w:sz w:val="16"/>
                            <w:szCs w:val="16"/>
                          </w:rPr>
                          <w:t>1．所有者投入的普通股</w:t>
                        </w:r>
                      </w:p>
                    </w:tc>
                  </w:sdtContent>
                </w:sdt>
                <w:tc>
                  <w:tcPr>
                    <w:tcW w:w="1560" w:type="dxa"/>
                    <w:tcBorders>
                      <w:right w:val="single" w:sz="4" w:space="0" w:color="auto"/>
                    </w:tcBorders>
                    <w:vAlign w:val="center"/>
                  </w:tcPr>
                  <w:p w:rsidR="009B7C9A" w:rsidRPr="00965429" w:rsidRDefault="009B7C9A" w:rsidP="00B637B2">
                    <w:pPr>
                      <w:jc w:val="right"/>
                      <w:rPr>
                        <w:sz w:val="16"/>
                        <w:szCs w:val="16"/>
                      </w:rPr>
                    </w:pPr>
                    <w:r w:rsidRPr="00965429">
                      <w:rPr>
                        <w:sz w:val="16"/>
                        <w:szCs w:val="16"/>
                      </w:rPr>
                      <w:t>-</w:t>
                    </w:r>
                  </w:p>
                </w:tc>
                <w:tc>
                  <w:tcPr>
                    <w:tcW w:w="425" w:type="dxa"/>
                    <w:tcBorders>
                      <w:left w:val="single" w:sz="4" w:space="0" w:color="auto"/>
                      <w:right w:val="single" w:sz="4" w:space="0" w:color="auto"/>
                    </w:tcBorders>
                    <w:vAlign w:val="center"/>
                  </w:tcPr>
                  <w:p w:rsidR="009B7C9A" w:rsidRPr="00965429" w:rsidRDefault="009B7C9A" w:rsidP="00B637B2">
                    <w:pPr>
                      <w:jc w:val="right"/>
                      <w:rPr>
                        <w:sz w:val="16"/>
                        <w:szCs w:val="16"/>
                      </w:rPr>
                    </w:pPr>
                    <w:r w:rsidRPr="00965429">
                      <w:rPr>
                        <w:sz w:val="16"/>
                        <w:szCs w:val="16"/>
                      </w:rPr>
                      <w:t>-</w:t>
                    </w:r>
                  </w:p>
                </w:tc>
                <w:tc>
                  <w:tcPr>
                    <w:tcW w:w="425" w:type="dxa"/>
                    <w:tcBorders>
                      <w:left w:val="single" w:sz="4" w:space="0" w:color="auto"/>
                      <w:right w:val="single" w:sz="4" w:space="0" w:color="auto"/>
                    </w:tcBorders>
                    <w:vAlign w:val="center"/>
                  </w:tcPr>
                  <w:p w:rsidR="009B7C9A" w:rsidRPr="00965429" w:rsidRDefault="009B7C9A" w:rsidP="00B637B2">
                    <w:pPr>
                      <w:jc w:val="right"/>
                      <w:rPr>
                        <w:sz w:val="16"/>
                        <w:szCs w:val="16"/>
                      </w:rPr>
                    </w:pPr>
                    <w:r w:rsidRPr="00965429">
                      <w:rPr>
                        <w:sz w:val="16"/>
                        <w:szCs w:val="16"/>
                      </w:rPr>
                      <w:t>-</w:t>
                    </w:r>
                  </w:p>
                </w:tc>
                <w:tc>
                  <w:tcPr>
                    <w:tcW w:w="425" w:type="dxa"/>
                    <w:tcBorders>
                      <w:left w:val="single" w:sz="4" w:space="0" w:color="auto"/>
                    </w:tcBorders>
                    <w:vAlign w:val="center"/>
                  </w:tcPr>
                  <w:p w:rsidR="009B7C9A" w:rsidRPr="00965429" w:rsidRDefault="009B7C9A" w:rsidP="00B637B2">
                    <w:pPr>
                      <w:jc w:val="right"/>
                      <w:rPr>
                        <w:sz w:val="16"/>
                        <w:szCs w:val="16"/>
                      </w:rPr>
                    </w:pPr>
                    <w:r w:rsidRPr="00965429">
                      <w:rPr>
                        <w:sz w:val="16"/>
                        <w:szCs w:val="16"/>
                      </w:rPr>
                      <w:t>-</w:t>
                    </w:r>
                  </w:p>
                </w:tc>
                <w:tc>
                  <w:tcPr>
                    <w:tcW w:w="1560" w:type="dxa"/>
                    <w:vAlign w:val="center"/>
                  </w:tcPr>
                  <w:p w:rsidR="009B7C9A" w:rsidRPr="00965429" w:rsidRDefault="009B7C9A" w:rsidP="00B637B2">
                    <w:pPr>
                      <w:jc w:val="right"/>
                      <w:rPr>
                        <w:sz w:val="16"/>
                        <w:szCs w:val="16"/>
                      </w:rPr>
                    </w:pPr>
                    <w:r w:rsidRPr="00965429">
                      <w:rPr>
                        <w:sz w:val="16"/>
                        <w:szCs w:val="16"/>
                      </w:rPr>
                      <w:t>-</w:t>
                    </w:r>
                  </w:p>
                </w:tc>
                <w:tc>
                  <w:tcPr>
                    <w:tcW w:w="1559" w:type="dxa"/>
                    <w:vAlign w:val="center"/>
                  </w:tcPr>
                  <w:p w:rsidR="009B7C9A" w:rsidRPr="00965429" w:rsidRDefault="009B7C9A" w:rsidP="00B637B2">
                    <w:pPr>
                      <w:jc w:val="right"/>
                      <w:rPr>
                        <w:sz w:val="16"/>
                        <w:szCs w:val="16"/>
                      </w:rPr>
                    </w:pPr>
                    <w:r w:rsidRPr="00965429">
                      <w:rPr>
                        <w:sz w:val="16"/>
                        <w:szCs w:val="16"/>
                      </w:rPr>
                      <w:t>-</w:t>
                    </w:r>
                  </w:p>
                </w:tc>
                <w:tc>
                  <w:tcPr>
                    <w:tcW w:w="1559" w:type="dxa"/>
                    <w:vAlign w:val="center"/>
                  </w:tcPr>
                  <w:p w:rsidR="009B7C9A" w:rsidRPr="00965429" w:rsidRDefault="009B7C9A" w:rsidP="00B637B2">
                    <w:pPr>
                      <w:jc w:val="right"/>
                      <w:rPr>
                        <w:sz w:val="16"/>
                        <w:szCs w:val="16"/>
                      </w:rPr>
                    </w:pPr>
                    <w:r w:rsidRPr="00965429">
                      <w:rPr>
                        <w:sz w:val="16"/>
                        <w:szCs w:val="16"/>
                      </w:rPr>
                      <w:t>-</w:t>
                    </w:r>
                  </w:p>
                </w:tc>
                <w:tc>
                  <w:tcPr>
                    <w:tcW w:w="1559" w:type="dxa"/>
                    <w:vAlign w:val="center"/>
                  </w:tcPr>
                  <w:p w:rsidR="009B7C9A" w:rsidRPr="00965429" w:rsidRDefault="009B7C9A" w:rsidP="00B637B2">
                    <w:pPr>
                      <w:jc w:val="right"/>
                      <w:rPr>
                        <w:sz w:val="16"/>
                        <w:szCs w:val="16"/>
                      </w:rPr>
                    </w:pPr>
                    <w:r w:rsidRPr="00965429">
                      <w:rPr>
                        <w:sz w:val="16"/>
                        <w:szCs w:val="16"/>
                      </w:rPr>
                      <w:t>-</w:t>
                    </w:r>
                  </w:p>
                </w:tc>
                <w:tc>
                  <w:tcPr>
                    <w:tcW w:w="1560" w:type="dxa"/>
                    <w:vAlign w:val="center"/>
                  </w:tcPr>
                  <w:p w:rsidR="009B7C9A" w:rsidRPr="00965429" w:rsidRDefault="009B7C9A" w:rsidP="00B637B2">
                    <w:pPr>
                      <w:jc w:val="right"/>
                      <w:rPr>
                        <w:sz w:val="16"/>
                        <w:szCs w:val="16"/>
                      </w:rPr>
                    </w:pPr>
                    <w:r w:rsidRPr="00965429">
                      <w:rPr>
                        <w:sz w:val="16"/>
                        <w:szCs w:val="16"/>
                      </w:rPr>
                      <w:t>-</w:t>
                    </w:r>
                  </w:p>
                </w:tc>
                <w:tc>
                  <w:tcPr>
                    <w:tcW w:w="1559" w:type="dxa"/>
                    <w:vAlign w:val="center"/>
                  </w:tcPr>
                  <w:p w:rsidR="009B7C9A" w:rsidRPr="00965429" w:rsidRDefault="009B7C9A" w:rsidP="00B637B2">
                    <w:pPr>
                      <w:jc w:val="right"/>
                      <w:rPr>
                        <w:sz w:val="16"/>
                        <w:szCs w:val="16"/>
                      </w:rPr>
                    </w:pPr>
                    <w:r w:rsidRPr="00965429">
                      <w:rPr>
                        <w:sz w:val="16"/>
                        <w:szCs w:val="16"/>
                      </w:rPr>
                      <w:t>-</w:t>
                    </w:r>
                  </w:p>
                </w:tc>
                <w:tc>
                  <w:tcPr>
                    <w:tcW w:w="1559" w:type="dxa"/>
                    <w:vAlign w:val="center"/>
                  </w:tcPr>
                  <w:p w:rsidR="009B7C9A" w:rsidRPr="00965429" w:rsidRDefault="009B7C9A" w:rsidP="00B637B2">
                    <w:pPr>
                      <w:jc w:val="right"/>
                      <w:rPr>
                        <w:sz w:val="16"/>
                        <w:szCs w:val="16"/>
                      </w:rPr>
                    </w:pPr>
                    <w:r w:rsidRPr="00965429">
                      <w:rPr>
                        <w:sz w:val="16"/>
                        <w:szCs w:val="16"/>
                      </w:rPr>
                      <w:t>-</w:t>
                    </w:r>
                  </w:p>
                </w:tc>
              </w:tr>
              <w:tr w:rsidR="00B637B2" w:rsidTr="00B637B2">
                <w:trPr>
                  <w:trHeight w:val="20"/>
                </w:trPr>
                <w:sdt>
                  <w:sdtPr>
                    <w:rPr>
                      <w:sz w:val="16"/>
                      <w:szCs w:val="16"/>
                    </w:rPr>
                    <w:tag w:val="_PLD_5db7714c048b45cb8fc2f783898126a2"/>
                    <w:id w:val="-1766370804"/>
                    <w:lock w:val="sdtLocked"/>
                  </w:sdtPr>
                  <w:sdtContent>
                    <w:tc>
                      <w:tcPr>
                        <w:tcW w:w="1985" w:type="dxa"/>
                      </w:tcPr>
                      <w:p w:rsidR="009B7C9A" w:rsidRPr="00965429" w:rsidRDefault="009B7C9A" w:rsidP="009B7C9A">
                        <w:pPr>
                          <w:rPr>
                            <w:sz w:val="16"/>
                            <w:szCs w:val="16"/>
                          </w:rPr>
                        </w:pPr>
                        <w:r w:rsidRPr="00965429">
                          <w:rPr>
                            <w:rFonts w:hint="eastAsia"/>
                            <w:sz w:val="16"/>
                            <w:szCs w:val="16"/>
                          </w:rPr>
                          <w:t>2．其他权益工具持有者投入资本</w:t>
                        </w:r>
                      </w:p>
                    </w:tc>
                  </w:sdtContent>
                </w:sdt>
                <w:tc>
                  <w:tcPr>
                    <w:tcW w:w="1560" w:type="dxa"/>
                    <w:tcBorders>
                      <w:right w:val="single" w:sz="4" w:space="0" w:color="auto"/>
                    </w:tcBorders>
                    <w:vAlign w:val="center"/>
                  </w:tcPr>
                  <w:p w:rsidR="009B7C9A" w:rsidRPr="00965429" w:rsidRDefault="009B7C9A" w:rsidP="00B637B2">
                    <w:pPr>
                      <w:jc w:val="right"/>
                      <w:rPr>
                        <w:sz w:val="16"/>
                        <w:szCs w:val="16"/>
                      </w:rPr>
                    </w:pPr>
                    <w:r w:rsidRPr="00965429">
                      <w:rPr>
                        <w:sz w:val="16"/>
                        <w:szCs w:val="16"/>
                      </w:rPr>
                      <w:t>-</w:t>
                    </w:r>
                  </w:p>
                </w:tc>
                <w:tc>
                  <w:tcPr>
                    <w:tcW w:w="425" w:type="dxa"/>
                    <w:tcBorders>
                      <w:left w:val="single" w:sz="4" w:space="0" w:color="auto"/>
                      <w:right w:val="single" w:sz="4" w:space="0" w:color="auto"/>
                    </w:tcBorders>
                    <w:vAlign w:val="center"/>
                  </w:tcPr>
                  <w:p w:rsidR="009B7C9A" w:rsidRPr="00965429" w:rsidRDefault="009B7C9A" w:rsidP="00B637B2">
                    <w:pPr>
                      <w:jc w:val="right"/>
                      <w:rPr>
                        <w:sz w:val="16"/>
                        <w:szCs w:val="16"/>
                      </w:rPr>
                    </w:pPr>
                    <w:r w:rsidRPr="00965429">
                      <w:rPr>
                        <w:sz w:val="16"/>
                        <w:szCs w:val="16"/>
                      </w:rPr>
                      <w:t>-</w:t>
                    </w:r>
                  </w:p>
                </w:tc>
                <w:tc>
                  <w:tcPr>
                    <w:tcW w:w="425" w:type="dxa"/>
                    <w:tcBorders>
                      <w:left w:val="single" w:sz="4" w:space="0" w:color="auto"/>
                      <w:right w:val="single" w:sz="4" w:space="0" w:color="auto"/>
                    </w:tcBorders>
                    <w:vAlign w:val="center"/>
                  </w:tcPr>
                  <w:p w:rsidR="009B7C9A" w:rsidRPr="00965429" w:rsidRDefault="009B7C9A" w:rsidP="00B637B2">
                    <w:pPr>
                      <w:jc w:val="right"/>
                      <w:rPr>
                        <w:sz w:val="16"/>
                        <w:szCs w:val="16"/>
                      </w:rPr>
                    </w:pPr>
                    <w:r w:rsidRPr="00965429">
                      <w:rPr>
                        <w:sz w:val="16"/>
                        <w:szCs w:val="16"/>
                      </w:rPr>
                      <w:t>-</w:t>
                    </w:r>
                  </w:p>
                </w:tc>
                <w:tc>
                  <w:tcPr>
                    <w:tcW w:w="425" w:type="dxa"/>
                    <w:tcBorders>
                      <w:left w:val="single" w:sz="4" w:space="0" w:color="auto"/>
                    </w:tcBorders>
                    <w:vAlign w:val="center"/>
                  </w:tcPr>
                  <w:p w:rsidR="009B7C9A" w:rsidRPr="00965429" w:rsidRDefault="009B7C9A" w:rsidP="00B637B2">
                    <w:pPr>
                      <w:jc w:val="right"/>
                      <w:rPr>
                        <w:sz w:val="16"/>
                        <w:szCs w:val="16"/>
                      </w:rPr>
                    </w:pPr>
                    <w:r w:rsidRPr="00965429">
                      <w:rPr>
                        <w:sz w:val="16"/>
                        <w:szCs w:val="16"/>
                      </w:rPr>
                      <w:t>-</w:t>
                    </w:r>
                  </w:p>
                </w:tc>
                <w:tc>
                  <w:tcPr>
                    <w:tcW w:w="1560" w:type="dxa"/>
                    <w:vAlign w:val="center"/>
                  </w:tcPr>
                  <w:p w:rsidR="009B7C9A" w:rsidRPr="00965429" w:rsidRDefault="009B7C9A" w:rsidP="00B637B2">
                    <w:pPr>
                      <w:jc w:val="right"/>
                      <w:rPr>
                        <w:sz w:val="16"/>
                        <w:szCs w:val="16"/>
                      </w:rPr>
                    </w:pPr>
                    <w:r w:rsidRPr="00965429">
                      <w:rPr>
                        <w:sz w:val="16"/>
                        <w:szCs w:val="16"/>
                      </w:rPr>
                      <w:t>-</w:t>
                    </w:r>
                  </w:p>
                </w:tc>
                <w:tc>
                  <w:tcPr>
                    <w:tcW w:w="1559" w:type="dxa"/>
                    <w:vAlign w:val="center"/>
                  </w:tcPr>
                  <w:p w:rsidR="009B7C9A" w:rsidRPr="00965429" w:rsidRDefault="009B7C9A" w:rsidP="00B637B2">
                    <w:pPr>
                      <w:jc w:val="right"/>
                      <w:rPr>
                        <w:sz w:val="16"/>
                        <w:szCs w:val="16"/>
                      </w:rPr>
                    </w:pPr>
                    <w:r w:rsidRPr="00965429">
                      <w:rPr>
                        <w:sz w:val="16"/>
                        <w:szCs w:val="16"/>
                      </w:rPr>
                      <w:t>-</w:t>
                    </w:r>
                  </w:p>
                </w:tc>
                <w:tc>
                  <w:tcPr>
                    <w:tcW w:w="1559" w:type="dxa"/>
                    <w:vAlign w:val="center"/>
                  </w:tcPr>
                  <w:p w:rsidR="009B7C9A" w:rsidRPr="00965429" w:rsidRDefault="009B7C9A" w:rsidP="00B637B2">
                    <w:pPr>
                      <w:jc w:val="right"/>
                      <w:rPr>
                        <w:sz w:val="16"/>
                        <w:szCs w:val="16"/>
                      </w:rPr>
                    </w:pPr>
                    <w:r w:rsidRPr="00965429">
                      <w:rPr>
                        <w:sz w:val="16"/>
                        <w:szCs w:val="16"/>
                      </w:rPr>
                      <w:t>-</w:t>
                    </w:r>
                  </w:p>
                </w:tc>
                <w:tc>
                  <w:tcPr>
                    <w:tcW w:w="1559" w:type="dxa"/>
                    <w:vAlign w:val="center"/>
                  </w:tcPr>
                  <w:p w:rsidR="009B7C9A" w:rsidRPr="00965429" w:rsidRDefault="009B7C9A" w:rsidP="00B637B2">
                    <w:pPr>
                      <w:jc w:val="right"/>
                      <w:rPr>
                        <w:sz w:val="16"/>
                        <w:szCs w:val="16"/>
                      </w:rPr>
                    </w:pPr>
                    <w:r w:rsidRPr="00965429">
                      <w:rPr>
                        <w:sz w:val="16"/>
                        <w:szCs w:val="16"/>
                      </w:rPr>
                      <w:t>-</w:t>
                    </w:r>
                  </w:p>
                </w:tc>
                <w:tc>
                  <w:tcPr>
                    <w:tcW w:w="1560" w:type="dxa"/>
                    <w:vAlign w:val="center"/>
                  </w:tcPr>
                  <w:p w:rsidR="009B7C9A" w:rsidRPr="00965429" w:rsidRDefault="009B7C9A" w:rsidP="00B637B2">
                    <w:pPr>
                      <w:jc w:val="right"/>
                      <w:rPr>
                        <w:sz w:val="16"/>
                        <w:szCs w:val="16"/>
                      </w:rPr>
                    </w:pPr>
                    <w:r w:rsidRPr="00965429">
                      <w:rPr>
                        <w:sz w:val="16"/>
                        <w:szCs w:val="16"/>
                      </w:rPr>
                      <w:t>-</w:t>
                    </w:r>
                  </w:p>
                </w:tc>
                <w:tc>
                  <w:tcPr>
                    <w:tcW w:w="1559" w:type="dxa"/>
                    <w:vAlign w:val="center"/>
                  </w:tcPr>
                  <w:p w:rsidR="009B7C9A" w:rsidRPr="00965429" w:rsidRDefault="009B7C9A" w:rsidP="00B637B2">
                    <w:pPr>
                      <w:jc w:val="right"/>
                      <w:rPr>
                        <w:sz w:val="16"/>
                        <w:szCs w:val="16"/>
                      </w:rPr>
                    </w:pPr>
                    <w:r w:rsidRPr="00965429">
                      <w:rPr>
                        <w:sz w:val="16"/>
                        <w:szCs w:val="16"/>
                      </w:rPr>
                      <w:t>-</w:t>
                    </w:r>
                  </w:p>
                </w:tc>
                <w:tc>
                  <w:tcPr>
                    <w:tcW w:w="1559" w:type="dxa"/>
                    <w:vAlign w:val="center"/>
                  </w:tcPr>
                  <w:p w:rsidR="009B7C9A" w:rsidRPr="00965429" w:rsidRDefault="009B7C9A" w:rsidP="00B637B2">
                    <w:pPr>
                      <w:jc w:val="right"/>
                      <w:rPr>
                        <w:sz w:val="16"/>
                        <w:szCs w:val="16"/>
                      </w:rPr>
                    </w:pPr>
                    <w:r w:rsidRPr="00965429">
                      <w:rPr>
                        <w:sz w:val="16"/>
                        <w:szCs w:val="16"/>
                      </w:rPr>
                      <w:t>-</w:t>
                    </w:r>
                  </w:p>
                </w:tc>
              </w:tr>
              <w:tr w:rsidR="00B637B2" w:rsidTr="00B637B2">
                <w:trPr>
                  <w:trHeight w:val="20"/>
                </w:trPr>
                <w:sdt>
                  <w:sdtPr>
                    <w:rPr>
                      <w:sz w:val="16"/>
                      <w:szCs w:val="16"/>
                    </w:rPr>
                    <w:tag w:val="_PLD_0c8627dcaed14beabce3c3a65384cf01"/>
                    <w:id w:val="-32973394"/>
                    <w:lock w:val="sdtLocked"/>
                  </w:sdtPr>
                  <w:sdtContent>
                    <w:tc>
                      <w:tcPr>
                        <w:tcW w:w="1985" w:type="dxa"/>
                      </w:tcPr>
                      <w:p w:rsidR="009B7C9A" w:rsidRPr="00965429" w:rsidRDefault="009B7C9A" w:rsidP="009B7C9A">
                        <w:pPr>
                          <w:rPr>
                            <w:sz w:val="16"/>
                            <w:szCs w:val="16"/>
                          </w:rPr>
                        </w:pPr>
                        <w:r w:rsidRPr="00965429">
                          <w:rPr>
                            <w:rFonts w:hint="eastAsia"/>
                            <w:sz w:val="16"/>
                            <w:szCs w:val="16"/>
                          </w:rPr>
                          <w:t>3</w:t>
                        </w:r>
                        <w:r w:rsidRPr="00965429">
                          <w:rPr>
                            <w:sz w:val="16"/>
                            <w:szCs w:val="16"/>
                          </w:rPr>
                          <w:t>．股份支付计入所有者权益的金额</w:t>
                        </w:r>
                      </w:p>
                    </w:tc>
                  </w:sdtContent>
                </w:sdt>
                <w:tc>
                  <w:tcPr>
                    <w:tcW w:w="1560" w:type="dxa"/>
                    <w:tcBorders>
                      <w:right w:val="single" w:sz="4" w:space="0" w:color="auto"/>
                    </w:tcBorders>
                    <w:vAlign w:val="center"/>
                  </w:tcPr>
                  <w:p w:rsidR="009B7C9A" w:rsidRPr="00965429" w:rsidRDefault="009B7C9A" w:rsidP="00B637B2">
                    <w:pPr>
                      <w:jc w:val="right"/>
                      <w:rPr>
                        <w:sz w:val="16"/>
                        <w:szCs w:val="16"/>
                      </w:rPr>
                    </w:pPr>
                    <w:r w:rsidRPr="00965429">
                      <w:rPr>
                        <w:sz w:val="16"/>
                        <w:szCs w:val="16"/>
                      </w:rPr>
                      <w:t>-</w:t>
                    </w:r>
                  </w:p>
                </w:tc>
                <w:tc>
                  <w:tcPr>
                    <w:tcW w:w="425" w:type="dxa"/>
                    <w:tcBorders>
                      <w:left w:val="single" w:sz="4" w:space="0" w:color="auto"/>
                      <w:right w:val="single" w:sz="4" w:space="0" w:color="auto"/>
                    </w:tcBorders>
                    <w:vAlign w:val="center"/>
                  </w:tcPr>
                  <w:p w:rsidR="009B7C9A" w:rsidRPr="00965429" w:rsidRDefault="009B7C9A" w:rsidP="00B637B2">
                    <w:pPr>
                      <w:jc w:val="right"/>
                      <w:rPr>
                        <w:sz w:val="16"/>
                        <w:szCs w:val="16"/>
                      </w:rPr>
                    </w:pPr>
                    <w:r w:rsidRPr="00965429">
                      <w:rPr>
                        <w:sz w:val="16"/>
                        <w:szCs w:val="16"/>
                      </w:rPr>
                      <w:t>-</w:t>
                    </w:r>
                  </w:p>
                </w:tc>
                <w:tc>
                  <w:tcPr>
                    <w:tcW w:w="425" w:type="dxa"/>
                    <w:tcBorders>
                      <w:left w:val="single" w:sz="4" w:space="0" w:color="auto"/>
                      <w:right w:val="single" w:sz="4" w:space="0" w:color="auto"/>
                    </w:tcBorders>
                    <w:vAlign w:val="center"/>
                  </w:tcPr>
                  <w:p w:rsidR="009B7C9A" w:rsidRPr="00965429" w:rsidRDefault="009B7C9A" w:rsidP="00B637B2">
                    <w:pPr>
                      <w:jc w:val="right"/>
                      <w:rPr>
                        <w:sz w:val="16"/>
                        <w:szCs w:val="16"/>
                      </w:rPr>
                    </w:pPr>
                    <w:r w:rsidRPr="00965429">
                      <w:rPr>
                        <w:sz w:val="16"/>
                        <w:szCs w:val="16"/>
                      </w:rPr>
                      <w:t>-</w:t>
                    </w:r>
                  </w:p>
                </w:tc>
                <w:tc>
                  <w:tcPr>
                    <w:tcW w:w="425" w:type="dxa"/>
                    <w:tcBorders>
                      <w:left w:val="single" w:sz="4" w:space="0" w:color="auto"/>
                    </w:tcBorders>
                    <w:vAlign w:val="center"/>
                  </w:tcPr>
                  <w:p w:rsidR="009B7C9A" w:rsidRPr="00965429" w:rsidRDefault="009B7C9A" w:rsidP="00B637B2">
                    <w:pPr>
                      <w:jc w:val="right"/>
                      <w:rPr>
                        <w:sz w:val="16"/>
                        <w:szCs w:val="16"/>
                      </w:rPr>
                    </w:pPr>
                    <w:r w:rsidRPr="00965429">
                      <w:rPr>
                        <w:sz w:val="16"/>
                        <w:szCs w:val="16"/>
                      </w:rPr>
                      <w:t>-</w:t>
                    </w:r>
                  </w:p>
                </w:tc>
                <w:tc>
                  <w:tcPr>
                    <w:tcW w:w="1560" w:type="dxa"/>
                    <w:vAlign w:val="center"/>
                  </w:tcPr>
                  <w:p w:rsidR="009B7C9A" w:rsidRPr="00965429" w:rsidRDefault="009B7C9A" w:rsidP="00B637B2">
                    <w:pPr>
                      <w:jc w:val="right"/>
                      <w:rPr>
                        <w:sz w:val="16"/>
                        <w:szCs w:val="16"/>
                      </w:rPr>
                    </w:pPr>
                    <w:r w:rsidRPr="00965429">
                      <w:rPr>
                        <w:sz w:val="16"/>
                        <w:szCs w:val="16"/>
                      </w:rPr>
                      <w:t>54,295,636</w:t>
                    </w:r>
                  </w:p>
                </w:tc>
                <w:tc>
                  <w:tcPr>
                    <w:tcW w:w="1559" w:type="dxa"/>
                    <w:vAlign w:val="center"/>
                  </w:tcPr>
                  <w:p w:rsidR="009B7C9A" w:rsidRPr="00965429" w:rsidRDefault="009B7C9A" w:rsidP="00B637B2">
                    <w:pPr>
                      <w:jc w:val="right"/>
                      <w:rPr>
                        <w:sz w:val="16"/>
                        <w:szCs w:val="16"/>
                      </w:rPr>
                    </w:pPr>
                    <w:r w:rsidRPr="00965429">
                      <w:rPr>
                        <w:sz w:val="16"/>
                        <w:szCs w:val="16"/>
                      </w:rPr>
                      <w:t>-</w:t>
                    </w:r>
                  </w:p>
                </w:tc>
                <w:tc>
                  <w:tcPr>
                    <w:tcW w:w="1559" w:type="dxa"/>
                    <w:vAlign w:val="center"/>
                  </w:tcPr>
                  <w:p w:rsidR="009B7C9A" w:rsidRPr="00965429" w:rsidRDefault="009B7C9A" w:rsidP="00B637B2">
                    <w:pPr>
                      <w:jc w:val="right"/>
                      <w:rPr>
                        <w:sz w:val="16"/>
                        <w:szCs w:val="16"/>
                      </w:rPr>
                    </w:pPr>
                    <w:r w:rsidRPr="00965429">
                      <w:rPr>
                        <w:sz w:val="16"/>
                        <w:szCs w:val="16"/>
                      </w:rPr>
                      <w:t>-</w:t>
                    </w:r>
                  </w:p>
                </w:tc>
                <w:tc>
                  <w:tcPr>
                    <w:tcW w:w="1559" w:type="dxa"/>
                    <w:vAlign w:val="center"/>
                  </w:tcPr>
                  <w:p w:rsidR="009B7C9A" w:rsidRPr="00965429" w:rsidRDefault="009B7C9A" w:rsidP="00B637B2">
                    <w:pPr>
                      <w:jc w:val="right"/>
                      <w:rPr>
                        <w:sz w:val="16"/>
                        <w:szCs w:val="16"/>
                      </w:rPr>
                    </w:pPr>
                    <w:r w:rsidRPr="00965429">
                      <w:rPr>
                        <w:sz w:val="16"/>
                        <w:szCs w:val="16"/>
                      </w:rPr>
                      <w:t>-</w:t>
                    </w:r>
                  </w:p>
                </w:tc>
                <w:tc>
                  <w:tcPr>
                    <w:tcW w:w="1560" w:type="dxa"/>
                    <w:vAlign w:val="center"/>
                  </w:tcPr>
                  <w:p w:rsidR="009B7C9A" w:rsidRPr="00965429" w:rsidRDefault="009B7C9A" w:rsidP="00B637B2">
                    <w:pPr>
                      <w:jc w:val="right"/>
                      <w:rPr>
                        <w:sz w:val="16"/>
                        <w:szCs w:val="16"/>
                      </w:rPr>
                    </w:pPr>
                    <w:r w:rsidRPr="00965429">
                      <w:rPr>
                        <w:sz w:val="16"/>
                        <w:szCs w:val="16"/>
                      </w:rPr>
                      <w:t>-</w:t>
                    </w:r>
                  </w:p>
                </w:tc>
                <w:tc>
                  <w:tcPr>
                    <w:tcW w:w="1559" w:type="dxa"/>
                    <w:vAlign w:val="center"/>
                  </w:tcPr>
                  <w:p w:rsidR="009B7C9A" w:rsidRPr="00965429" w:rsidRDefault="009B7C9A" w:rsidP="00B637B2">
                    <w:pPr>
                      <w:jc w:val="right"/>
                      <w:rPr>
                        <w:sz w:val="16"/>
                        <w:szCs w:val="16"/>
                      </w:rPr>
                    </w:pPr>
                    <w:r w:rsidRPr="00965429">
                      <w:rPr>
                        <w:sz w:val="16"/>
                        <w:szCs w:val="16"/>
                      </w:rPr>
                      <w:t>-</w:t>
                    </w:r>
                  </w:p>
                </w:tc>
                <w:tc>
                  <w:tcPr>
                    <w:tcW w:w="1559" w:type="dxa"/>
                    <w:vAlign w:val="center"/>
                  </w:tcPr>
                  <w:p w:rsidR="009B7C9A" w:rsidRPr="00965429" w:rsidRDefault="008F04CF" w:rsidP="00B637B2">
                    <w:pPr>
                      <w:jc w:val="right"/>
                      <w:rPr>
                        <w:sz w:val="16"/>
                        <w:szCs w:val="16"/>
                      </w:rPr>
                    </w:pPr>
                    <w:r w:rsidRPr="00965429">
                      <w:rPr>
                        <w:sz w:val="16"/>
                        <w:szCs w:val="16"/>
                      </w:rPr>
                      <w:t>54,295,636</w:t>
                    </w:r>
                  </w:p>
                </w:tc>
              </w:tr>
              <w:tr w:rsidR="00B637B2" w:rsidTr="00B637B2">
                <w:trPr>
                  <w:trHeight w:val="20"/>
                </w:trPr>
                <w:sdt>
                  <w:sdtPr>
                    <w:rPr>
                      <w:sz w:val="16"/>
                      <w:szCs w:val="16"/>
                    </w:rPr>
                    <w:tag w:val="_PLD_4815225e85794febad32622528b72229"/>
                    <w:id w:val="-1199703037"/>
                    <w:lock w:val="sdtLocked"/>
                  </w:sdtPr>
                  <w:sdtContent>
                    <w:tc>
                      <w:tcPr>
                        <w:tcW w:w="1985" w:type="dxa"/>
                      </w:tcPr>
                      <w:p w:rsidR="009B7C9A" w:rsidRPr="00965429" w:rsidRDefault="009B7C9A" w:rsidP="009B7C9A">
                        <w:pPr>
                          <w:rPr>
                            <w:sz w:val="16"/>
                            <w:szCs w:val="16"/>
                          </w:rPr>
                        </w:pPr>
                        <w:r w:rsidRPr="00965429">
                          <w:rPr>
                            <w:rFonts w:hint="eastAsia"/>
                            <w:sz w:val="16"/>
                            <w:szCs w:val="16"/>
                          </w:rPr>
                          <w:t>4</w:t>
                        </w:r>
                        <w:r w:rsidRPr="00965429">
                          <w:rPr>
                            <w:sz w:val="16"/>
                            <w:szCs w:val="16"/>
                          </w:rPr>
                          <w:t>．其他</w:t>
                        </w:r>
                      </w:p>
                    </w:tc>
                  </w:sdtContent>
                </w:sdt>
                <w:tc>
                  <w:tcPr>
                    <w:tcW w:w="1560" w:type="dxa"/>
                    <w:tcBorders>
                      <w:right w:val="single" w:sz="4" w:space="0" w:color="auto"/>
                    </w:tcBorders>
                    <w:vAlign w:val="center"/>
                  </w:tcPr>
                  <w:p w:rsidR="009B7C9A" w:rsidRPr="00965429" w:rsidRDefault="009B7C9A" w:rsidP="00B637B2">
                    <w:pPr>
                      <w:jc w:val="right"/>
                      <w:rPr>
                        <w:sz w:val="16"/>
                        <w:szCs w:val="16"/>
                      </w:rPr>
                    </w:pPr>
                    <w:r w:rsidRPr="00965429">
                      <w:rPr>
                        <w:sz w:val="16"/>
                        <w:szCs w:val="16"/>
                      </w:rPr>
                      <w:t>-993,859</w:t>
                    </w:r>
                  </w:p>
                </w:tc>
                <w:tc>
                  <w:tcPr>
                    <w:tcW w:w="425" w:type="dxa"/>
                    <w:tcBorders>
                      <w:left w:val="single" w:sz="4" w:space="0" w:color="auto"/>
                      <w:right w:val="single" w:sz="4" w:space="0" w:color="auto"/>
                    </w:tcBorders>
                    <w:vAlign w:val="center"/>
                  </w:tcPr>
                  <w:p w:rsidR="009B7C9A" w:rsidRPr="00965429" w:rsidRDefault="009B7C9A" w:rsidP="00B637B2">
                    <w:pPr>
                      <w:jc w:val="right"/>
                      <w:rPr>
                        <w:sz w:val="16"/>
                        <w:szCs w:val="16"/>
                      </w:rPr>
                    </w:pPr>
                    <w:r w:rsidRPr="00965429">
                      <w:rPr>
                        <w:sz w:val="16"/>
                        <w:szCs w:val="16"/>
                      </w:rPr>
                      <w:t>-</w:t>
                    </w:r>
                  </w:p>
                </w:tc>
                <w:tc>
                  <w:tcPr>
                    <w:tcW w:w="425" w:type="dxa"/>
                    <w:tcBorders>
                      <w:left w:val="single" w:sz="4" w:space="0" w:color="auto"/>
                      <w:right w:val="single" w:sz="4" w:space="0" w:color="auto"/>
                    </w:tcBorders>
                    <w:vAlign w:val="center"/>
                  </w:tcPr>
                  <w:p w:rsidR="009B7C9A" w:rsidRPr="00965429" w:rsidRDefault="009B7C9A" w:rsidP="00B637B2">
                    <w:pPr>
                      <w:jc w:val="right"/>
                      <w:rPr>
                        <w:sz w:val="16"/>
                        <w:szCs w:val="16"/>
                      </w:rPr>
                    </w:pPr>
                    <w:r w:rsidRPr="00965429">
                      <w:rPr>
                        <w:sz w:val="16"/>
                        <w:szCs w:val="16"/>
                      </w:rPr>
                      <w:t>-</w:t>
                    </w:r>
                  </w:p>
                </w:tc>
                <w:tc>
                  <w:tcPr>
                    <w:tcW w:w="425" w:type="dxa"/>
                    <w:tcBorders>
                      <w:left w:val="single" w:sz="4" w:space="0" w:color="auto"/>
                    </w:tcBorders>
                    <w:vAlign w:val="center"/>
                  </w:tcPr>
                  <w:p w:rsidR="009B7C9A" w:rsidRPr="00965429" w:rsidRDefault="009B7C9A" w:rsidP="00B637B2">
                    <w:pPr>
                      <w:jc w:val="right"/>
                      <w:rPr>
                        <w:sz w:val="16"/>
                        <w:szCs w:val="16"/>
                      </w:rPr>
                    </w:pPr>
                    <w:r w:rsidRPr="00965429">
                      <w:rPr>
                        <w:sz w:val="16"/>
                        <w:szCs w:val="16"/>
                      </w:rPr>
                      <w:t>-</w:t>
                    </w:r>
                  </w:p>
                </w:tc>
                <w:tc>
                  <w:tcPr>
                    <w:tcW w:w="1560" w:type="dxa"/>
                    <w:vAlign w:val="center"/>
                  </w:tcPr>
                  <w:p w:rsidR="009B7C9A" w:rsidRPr="00965429" w:rsidRDefault="009B7C9A" w:rsidP="00B637B2">
                    <w:pPr>
                      <w:jc w:val="right"/>
                      <w:rPr>
                        <w:sz w:val="16"/>
                        <w:szCs w:val="16"/>
                      </w:rPr>
                    </w:pPr>
                    <w:r w:rsidRPr="00965429">
                      <w:rPr>
                        <w:sz w:val="16"/>
                        <w:szCs w:val="16"/>
                      </w:rPr>
                      <w:t>-9,666,189</w:t>
                    </w:r>
                  </w:p>
                </w:tc>
                <w:tc>
                  <w:tcPr>
                    <w:tcW w:w="1559" w:type="dxa"/>
                    <w:vAlign w:val="center"/>
                  </w:tcPr>
                  <w:p w:rsidR="009B7C9A" w:rsidRPr="00965429" w:rsidRDefault="009B7C9A" w:rsidP="00B637B2">
                    <w:pPr>
                      <w:jc w:val="right"/>
                      <w:rPr>
                        <w:sz w:val="16"/>
                        <w:szCs w:val="16"/>
                      </w:rPr>
                    </w:pPr>
                    <w:r w:rsidRPr="00965429">
                      <w:rPr>
                        <w:sz w:val="16"/>
                        <w:szCs w:val="16"/>
                      </w:rPr>
                      <w:t>458,416,969</w:t>
                    </w:r>
                  </w:p>
                </w:tc>
                <w:tc>
                  <w:tcPr>
                    <w:tcW w:w="1559" w:type="dxa"/>
                    <w:vAlign w:val="center"/>
                  </w:tcPr>
                  <w:p w:rsidR="009B7C9A" w:rsidRPr="00965429" w:rsidRDefault="009B7C9A" w:rsidP="00B637B2">
                    <w:pPr>
                      <w:jc w:val="right"/>
                      <w:rPr>
                        <w:sz w:val="16"/>
                        <w:szCs w:val="16"/>
                      </w:rPr>
                    </w:pPr>
                    <w:r w:rsidRPr="00965429">
                      <w:rPr>
                        <w:sz w:val="16"/>
                        <w:szCs w:val="16"/>
                      </w:rPr>
                      <w:t>-</w:t>
                    </w:r>
                  </w:p>
                </w:tc>
                <w:tc>
                  <w:tcPr>
                    <w:tcW w:w="1559" w:type="dxa"/>
                    <w:vAlign w:val="center"/>
                  </w:tcPr>
                  <w:p w:rsidR="009B7C9A" w:rsidRPr="00965429" w:rsidRDefault="009B7C9A" w:rsidP="00B637B2">
                    <w:pPr>
                      <w:jc w:val="right"/>
                      <w:rPr>
                        <w:sz w:val="16"/>
                        <w:szCs w:val="16"/>
                      </w:rPr>
                    </w:pPr>
                    <w:r w:rsidRPr="00965429">
                      <w:rPr>
                        <w:sz w:val="16"/>
                        <w:szCs w:val="16"/>
                      </w:rPr>
                      <w:t>-</w:t>
                    </w:r>
                  </w:p>
                </w:tc>
                <w:tc>
                  <w:tcPr>
                    <w:tcW w:w="1560" w:type="dxa"/>
                    <w:vAlign w:val="center"/>
                  </w:tcPr>
                  <w:p w:rsidR="009B7C9A" w:rsidRPr="00965429" w:rsidRDefault="009B7C9A" w:rsidP="00B637B2">
                    <w:pPr>
                      <w:jc w:val="right"/>
                      <w:rPr>
                        <w:sz w:val="16"/>
                        <w:szCs w:val="16"/>
                      </w:rPr>
                    </w:pPr>
                    <w:r w:rsidRPr="00965429">
                      <w:rPr>
                        <w:sz w:val="16"/>
                        <w:szCs w:val="16"/>
                      </w:rPr>
                      <w:t>-</w:t>
                    </w:r>
                  </w:p>
                </w:tc>
                <w:tc>
                  <w:tcPr>
                    <w:tcW w:w="1559" w:type="dxa"/>
                    <w:vAlign w:val="center"/>
                  </w:tcPr>
                  <w:p w:rsidR="009B7C9A" w:rsidRPr="00965429" w:rsidRDefault="009B7C9A" w:rsidP="00B637B2">
                    <w:pPr>
                      <w:jc w:val="right"/>
                      <w:rPr>
                        <w:sz w:val="16"/>
                        <w:szCs w:val="16"/>
                      </w:rPr>
                    </w:pPr>
                    <w:r w:rsidRPr="00965429">
                      <w:rPr>
                        <w:sz w:val="16"/>
                        <w:szCs w:val="16"/>
                      </w:rPr>
                      <w:t>-</w:t>
                    </w:r>
                  </w:p>
                </w:tc>
                <w:tc>
                  <w:tcPr>
                    <w:tcW w:w="1559" w:type="dxa"/>
                    <w:vAlign w:val="center"/>
                  </w:tcPr>
                  <w:p w:rsidR="009B7C9A" w:rsidRPr="00965429" w:rsidRDefault="008F04CF" w:rsidP="00B637B2">
                    <w:pPr>
                      <w:jc w:val="right"/>
                      <w:rPr>
                        <w:sz w:val="16"/>
                        <w:szCs w:val="16"/>
                      </w:rPr>
                    </w:pPr>
                    <w:r w:rsidRPr="00965429">
                      <w:rPr>
                        <w:sz w:val="16"/>
                        <w:szCs w:val="16"/>
                      </w:rPr>
                      <w:t>-469,077,017</w:t>
                    </w:r>
                  </w:p>
                </w:tc>
              </w:tr>
              <w:tr w:rsidR="00B637B2" w:rsidTr="00B637B2">
                <w:trPr>
                  <w:trHeight w:val="20"/>
                </w:trPr>
                <w:sdt>
                  <w:sdtPr>
                    <w:rPr>
                      <w:sz w:val="16"/>
                      <w:szCs w:val="16"/>
                    </w:rPr>
                    <w:tag w:val="_PLD_1277678c10f343d5a55853e3552c21df"/>
                    <w:id w:val="2052036189"/>
                    <w:lock w:val="sdtLocked"/>
                  </w:sdtPr>
                  <w:sdtContent>
                    <w:tc>
                      <w:tcPr>
                        <w:tcW w:w="1985" w:type="dxa"/>
                      </w:tcPr>
                      <w:p w:rsidR="009B7C9A" w:rsidRPr="00965429" w:rsidRDefault="009B7C9A" w:rsidP="009B7C9A">
                        <w:pPr>
                          <w:rPr>
                            <w:sz w:val="16"/>
                            <w:szCs w:val="16"/>
                          </w:rPr>
                        </w:pPr>
                        <w:r w:rsidRPr="00965429">
                          <w:rPr>
                            <w:sz w:val="16"/>
                            <w:szCs w:val="16"/>
                          </w:rPr>
                          <w:t>（</w:t>
                        </w:r>
                        <w:r w:rsidRPr="00965429">
                          <w:rPr>
                            <w:rFonts w:hint="eastAsia"/>
                            <w:sz w:val="16"/>
                            <w:szCs w:val="16"/>
                          </w:rPr>
                          <w:t>三</w:t>
                        </w:r>
                        <w:r w:rsidRPr="00965429">
                          <w:rPr>
                            <w:sz w:val="16"/>
                            <w:szCs w:val="16"/>
                          </w:rPr>
                          <w:t>）利润分配</w:t>
                        </w:r>
                      </w:p>
                    </w:tc>
                  </w:sdtContent>
                </w:sdt>
                <w:tc>
                  <w:tcPr>
                    <w:tcW w:w="1560" w:type="dxa"/>
                    <w:tcBorders>
                      <w:right w:val="single" w:sz="4" w:space="0" w:color="auto"/>
                    </w:tcBorders>
                    <w:vAlign w:val="center"/>
                  </w:tcPr>
                  <w:p w:rsidR="009B7C9A" w:rsidRPr="00965429" w:rsidRDefault="009B7C9A" w:rsidP="00B637B2">
                    <w:pPr>
                      <w:jc w:val="right"/>
                      <w:rPr>
                        <w:sz w:val="16"/>
                        <w:szCs w:val="16"/>
                      </w:rPr>
                    </w:pPr>
                    <w:r w:rsidRPr="00965429">
                      <w:rPr>
                        <w:sz w:val="16"/>
                        <w:szCs w:val="16"/>
                      </w:rPr>
                      <w:t>-</w:t>
                    </w:r>
                  </w:p>
                </w:tc>
                <w:tc>
                  <w:tcPr>
                    <w:tcW w:w="425" w:type="dxa"/>
                    <w:tcBorders>
                      <w:left w:val="single" w:sz="4" w:space="0" w:color="auto"/>
                      <w:right w:val="single" w:sz="4" w:space="0" w:color="auto"/>
                    </w:tcBorders>
                    <w:vAlign w:val="center"/>
                  </w:tcPr>
                  <w:p w:rsidR="009B7C9A" w:rsidRPr="00965429" w:rsidRDefault="009B7C9A" w:rsidP="00B637B2">
                    <w:pPr>
                      <w:jc w:val="right"/>
                      <w:rPr>
                        <w:sz w:val="16"/>
                        <w:szCs w:val="16"/>
                      </w:rPr>
                    </w:pPr>
                    <w:r w:rsidRPr="00965429">
                      <w:rPr>
                        <w:sz w:val="16"/>
                        <w:szCs w:val="16"/>
                      </w:rPr>
                      <w:t>-</w:t>
                    </w:r>
                  </w:p>
                </w:tc>
                <w:tc>
                  <w:tcPr>
                    <w:tcW w:w="425" w:type="dxa"/>
                    <w:tcBorders>
                      <w:left w:val="single" w:sz="4" w:space="0" w:color="auto"/>
                      <w:right w:val="single" w:sz="4" w:space="0" w:color="auto"/>
                    </w:tcBorders>
                    <w:vAlign w:val="center"/>
                  </w:tcPr>
                  <w:p w:rsidR="009B7C9A" w:rsidRPr="00965429" w:rsidRDefault="009B7C9A" w:rsidP="00B637B2">
                    <w:pPr>
                      <w:jc w:val="right"/>
                      <w:rPr>
                        <w:sz w:val="16"/>
                        <w:szCs w:val="16"/>
                      </w:rPr>
                    </w:pPr>
                    <w:r w:rsidRPr="00965429">
                      <w:rPr>
                        <w:sz w:val="16"/>
                        <w:szCs w:val="16"/>
                      </w:rPr>
                      <w:t>-</w:t>
                    </w:r>
                  </w:p>
                </w:tc>
                <w:tc>
                  <w:tcPr>
                    <w:tcW w:w="425" w:type="dxa"/>
                    <w:tcBorders>
                      <w:left w:val="single" w:sz="4" w:space="0" w:color="auto"/>
                    </w:tcBorders>
                    <w:vAlign w:val="center"/>
                  </w:tcPr>
                  <w:p w:rsidR="009B7C9A" w:rsidRPr="00965429" w:rsidRDefault="009B7C9A" w:rsidP="00B637B2">
                    <w:pPr>
                      <w:jc w:val="right"/>
                      <w:rPr>
                        <w:sz w:val="16"/>
                        <w:szCs w:val="16"/>
                      </w:rPr>
                    </w:pPr>
                    <w:r w:rsidRPr="00965429">
                      <w:rPr>
                        <w:sz w:val="16"/>
                        <w:szCs w:val="16"/>
                      </w:rPr>
                      <w:t>-</w:t>
                    </w:r>
                  </w:p>
                </w:tc>
                <w:tc>
                  <w:tcPr>
                    <w:tcW w:w="1560" w:type="dxa"/>
                    <w:vAlign w:val="center"/>
                  </w:tcPr>
                  <w:p w:rsidR="009B7C9A" w:rsidRPr="00965429" w:rsidRDefault="009B7C9A" w:rsidP="00B637B2">
                    <w:pPr>
                      <w:jc w:val="right"/>
                      <w:rPr>
                        <w:sz w:val="16"/>
                        <w:szCs w:val="16"/>
                      </w:rPr>
                    </w:pPr>
                    <w:r w:rsidRPr="00965429">
                      <w:rPr>
                        <w:sz w:val="16"/>
                        <w:szCs w:val="16"/>
                      </w:rPr>
                      <w:t>-</w:t>
                    </w:r>
                  </w:p>
                </w:tc>
                <w:tc>
                  <w:tcPr>
                    <w:tcW w:w="1559" w:type="dxa"/>
                    <w:vAlign w:val="center"/>
                  </w:tcPr>
                  <w:p w:rsidR="009B7C9A" w:rsidRPr="00965429" w:rsidRDefault="009B7C9A" w:rsidP="00B637B2">
                    <w:pPr>
                      <w:jc w:val="right"/>
                      <w:rPr>
                        <w:sz w:val="16"/>
                        <w:szCs w:val="16"/>
                      </w:rPr>
                    </w:pPr>
                    <w:r w:rsidRPr="00965429">
                      <w:rPr>
                        <w:sz w:val="16"/>
                        <w:szCs w:val="16"/>
                      </w:rPr>
                      <w:t>-</w:t>
                    </w:r>
                  </w:p>
                </w:tc>
                <w:tc>
                  <w:tcPr>
                    <w:tcW w:w="1559" w:type="dxa"/>
                    <w:vAlign w:val="center"/>
                  </w:tcPr>
                  <w:p w:rsidR="009B7C9A" w:rsidRPr="00965429" w:rsidRDefault="009B7C9A" w:rsidP="00B637B2">
                    <w:pPr>
                      <w:jc w:val="right"/>
                      <w:rPr>
                        <w:sz w:val="16"/>
                        <w:szCs w:val="16"/>
                      </w:rPr>
                    </w:pPr>
                    <w:r w:rsidRPr="00965429">
                      <w:rPr>
                        <w:sz w:val="16"/>
                        <w:szCs w:val="16"/>
                      </w:rPr>
                      <w:t>-</w:t>
                    </w:r>
                  </w:p>
                </w:tc>
                <w:tc>
                  <w:tcPr>
                    <w:tcW w:w="1559" w:type="dxa"/>
                    <w:vAlign w:val="center"/>
                  </w:tcPr>
                  <w:p w:rsidR="009B7C9A" w:rsidRPr="00965429" w:rsidRDefault="009B7C9A" w:rsidP="00B637B2">
                    <w:pPr>
                      <w:jc w:val="right"/>
                      <w:rPr>
                        <w:sz w:val="16"/>
                        <w:szCs w:val="16"/>
                      </w:rPr>
                    </w:pPr>
                    <w:r w:rsidRPr="00965429">
                      <w:rPr>
                        <w:sz w:val="16"/>
                        <w:szCs w:val="16"/>
                      </w:rPr>
                      <w:t>-</w:t>
                    </w:r>
                  </w:p>
                </w:tc>
                <w:tc>
                  <w:tcPr>
                    <w:tcW w:w="1560" w:type="dxa"/>
                    <w:vAlign w:val="center"/>
                  </w:tcPr>
                  <w:p w:rsidR="009B7C9A" w:rsidRPr="00965429" w:rsidRDefault="009B7C9A" w:rsidP="00B637B2">
                    <w:pPr>
                      <w:jc w:val="right"/>
                      <w:rPr>
                        <w:sz w:val="16"/>
                        <w:szCs w:val="16"/>
                      </w:rPr>
                    </w:pPr>
                    <w:r w:rsidRPr="00965429">
                      <w:rPr>
                        <w:sz w:val="16"/>
                        <w:szCs w:val="16"/>
                      </w:rPr>
                      <w:t>-</w:t>
                    </w:r>
                  </w:p>
                </w:tc>
                <w:tc>
                  <w:tcPr>
                    <w:tcW w:w="1559" w:type="dxa"/>
                    <w:vAlign w:val="center"/>
                  </w:tcPr>
                  <w:p w:rsidR="009B7C9A" w:rsidRPr="00965429" w:rsidRDefault="009B7C9A" w:rsidP="00B637B2">
                    <w:pPr>
                      <w:jc w:val="right"/>
                      <w:rPr>
                        <w:sz w:val="16"/>
                        <w:szCs w:val="16"/>
                      </w:rPr>
                    </w:pPr>
                    <w:r w:rsidRPr="00965429">
                      <w:rPr>
                        <w:sz w:val="16"/>
                        <w:szCs w:val="16"/>
                      </w:rPr>
                      <w:t>-474,413,036</w:t>
                    </w:r>
                  </w:p>
                </w:tc>
                <w:tc>
                  <w:tcPr>
                    <w:tcW w:w="1559" w:type="dxa"/>
                    <w:vAlign w:val="center"/>
                  </w:tcPr>
                  <w:p w:rsidR="009B7C9A" w:rsidRPr="00965429" w:rsidRDefault="008F04CF" w:rsidP="00B637B2">
                    <w:pPr>
                      <w:jc w:val="right"/>
                      <w:rPr>
                        <w:sz w:val="16"/>
                        <w:szCs w:val="16"/>
                      </w:rPr>
                    </w:pPr>
                    <w:r w:rsidRPr="00A52E6C">
                      <w:rPr>
                        <w:sz w:val="16"/>
                        <w:szCs w:val="16"/>
                      </w:rPr>
                      <w:t>-474,413,036</w:t>
                    </w:r>
                  </w:p>
                </w:tc>
              </w:tr>
              <w:tr w:rsidR="00B637B2" w:rsidTr="00B637B2">
                <w:trPr>
                  <w:trHeight w:val="20"/>
                </w:trPr>
                <w:sdt>
                  <w:sdtPr>
                    <w:rPr>
                      <w:sz w:val="16"/>
                      <w:szCs w:val="16"/>
                    </w:rPr>
                    <w:tag w:val="_PLD_6be0f6b7609247d98f239c435a57bdf2"/>
                    <w:id w:val="-762916607"/>
                    <w:lock w:val="sdtLocked"/>
                  </w:sdtPr>
                  <w:sdtContent>
                    <w:tc>
                      <w:tcPr>
                        <w:tcW w:w="1985" w:type="dxa"/>
                      </w:tcPr>
                      <w:p w:rsidR="009B7C9A" w:rsidRPr="00965429" w:rsidRDefault="009B7C9A" w:rsidP="009B7C9A">
                        <w:pPr>
                          <w:rPr>
                            <w:sz w:val="16"/>
                            <w:szCs w:val="16"/>
                          </w:rPr>
                        </w:pPr>
                        <w:r w:rsidRPr="00965429">
                          <w:rPr>
                            <w:sz w:val="16"/>
                            <w:szCs w:val="16"/>
                          </w:rPr>
                          <w:t>1．提取盈余公积</w:t>
                        </w:r>
                      </w:p>
                    </w:tc>
                  </w:sdtContent>
                </w:sdt>
                <w:tc>
                  <w:tcPr>
                    <w:tcW w:w="1560" w:type="dxa"/>
                    <w:tcBorders>
                      <w:right w:val="single" w:sz="4" w:space="0" w:color="auto"/>
                    </w:tcBorders>
                    <w:vAlign w:val="center"/>
                  </w:tcPr>
                  <w:p w:rsidR="009B7C9A" w:rsidRPr="00965429" w:rsidRDefault="009B7C9A" w:rsidP="00B637B2">
                    <w:pPr>
                      <w:jc w:val="right"/>
                      <w:rPr>
                        <w:sz w:val="16"/>
                        <w:szCs w:val="16"/>
                      </w:rPr>
                    </w:pPr>
                    <w:r w:rsidRPr="00965429">
                      <w:rPr>
                        <w:sz w:val="16"/>
                        <w:szCs w:val="16"/>
                      </w:rPr>
                      <w:t>-</w:t>
                    </w:r>
                  </w:p>
                </w:tc>
                <w:tc>
                  <w:tcPr>
                    <w:tcW w:w="425" w:type="dxa"/>
                    <w:tcBorders>
                      <w:left w:val="single" w:sz="4" w:space="0" w:color="auto"/>
                      <w:right w:val="single" w:sz="4" w:space="0" w:color="auto"/>
                    </w:tcBorders>
                    <w:vAlign w:val="center"/>
                  </w:tcPr>
                  <w:p w:rsidR="009B7C9A" w:rsidRPr="00965429" w:rsidRDefault="009B7C9A" w:rsidP="00B637B2">
                    <w:pPr>
                      <w:jc w:val="right"/>
                      <w:rPr>
                        <w:sz w:val="16"/>
                        <w:szCs w:val="16"/>
                      </w:rPr>
                    </w:pPr>
                    <w:r w:rsidRPr="00965429">
                      <w:rPr>
                        <w:sz w:val="16"/>
                        <w:szCs w:val="16"/>
                      </w:rPr>
                      <w:t>-</w:t>
                    </w:r>
                  </w:p>
                </w:tc>
                <w:tc>
                  <w:tcPr>
                    <w:tcW w:w="425" w:type="dxa"/>
                    <w:tcBorders>
                      <w:left w:val="single" w:sz="4" w:space="0" w:color="auto"/>
                      <w:right w:val="single" w:sz="4" w:space="0" w:color="auto"/>
                    </w:tcBorders>
                    <w:vAlign w:val="center"/>
                  </w:tcPr>
                  <w:p w:rsidR="009B7C9A" w:rsidRPr="00965429" w:rsidRDefault="009B7C9A" w:rsidP="00B637B2">
                    <w:pPr>
                      <w:jc w:val="right"/>
                      <w:rPr>
                        <w:sz w:val="16"/>
                        <w:szCs w:val="16"/>
                      </w:rPr>
                    </w:pPr>
                    <w:r w:rsidRPr="00965429">
                      <w:rPr>
                        <w:sz w:val="16"/>
                        <w:szCs w:val="16"/>
                      </w:rPr>
                      <w:t>-</w:t>
                    </w:r>
                  </w:p>
                </w:tc>
                <w:tc>
                  <w:tcPr>
                    <w:tcW w:w="425" w:type="dxa"/>
                    <w:tcBorders>
                      <w:left w:val="single" w:sz="4" w:space="0" w:color="auto"/>
                    </w:tcBorders>
                    <w:vAlign w:val="center"/>
                  </w:tcPr>
                  <w:p w:rsidR="009B7C9A" w:rsidRPr="00965429" w:rsidRDefault="009B7C9A" w:rsidP="00B637B2">
                    <w:pPr>
                      <w:jc w:val="right"/>
                      <w:rPr>
                        <w:sz w:val="16"/>
                        <w:szCs w:val="16"/>
                      </w:rPr>
                    </w:pPr>
                    <w:r w:rsidRPr="00965429">
                      <w:rPr>
                        <w:sz w:val="16"/>
                        <w:szCs w:val="16"/>
                      </w:rPr>
                      <w:t>-</w:t>
                    </w:r>
                  </w:p>
                </w:tc>
                <w:tc>
                  <w:tcPr>
                    <w:tcW w:w="1560" w:type="dxa"/>
                    <w:vAlign w:val="center"/>
                  </w:tcPr>
                  <w:p w:rsidR="009B7C9A" w:rsidRPr="00965429" w:rsidRDefault="009B7C9A" w:rsidP="00B637B2">
                    <w:pPr>
                      <w:jc w:val="right"/>
                      <w:rPr>
                        <w:sz w:val="16"/>
                        <w:szCs w:val="16"/>
                      </w:rPr>
                    </w:pPr>
                    <w:r w:rsidRPr="00965429">
                      <w:rPr>
                        <w:sz w:val="16"/>
                        <w:szCs w:val="16"/>
                      </w:rPr>
                      <w:t>-</w:t>
                    </w:r>
                  </w:p>
                </w:tc>
                <w:tc>
                  <w:tcPr>
                    <w:tcW w:w="1559" w:type="dxa"/>
                    <w:vAlign w:val="center"/>
                  </w:tcPr>
                  <w:p w:rsidR="009B7C9A" w:rsidRPr="00965429" w:rsidRDefault="009B7C9A" w:rsidP="00B637B2">
                    <w:pPr>
                      <w:jc w:val="right"/>
                      <w:rPr>
                        <w:sz w:val="16"/>
                        <w:szCs w:val="16"/>
                      </w:rPr>
                    </w:pPr>
                    <w:r w:rsidRPr="00965429">
                      <w:rPr>
                        <w:sz w:val="16"/>
                        <w:szCs w:val="16"/>
                      </w:rPr>
                      <w:t>-</w:t>
                    </w:r>
                  </w:p>
                </w:tc>
                <w:tc>
                  <w:tcPr>
                    <w:tcW w:w="1559" w:type="dxa"/>
                    <w:vAlign w:val="center"/>
                  </w:tcPr>
                  <w:p w:rsidR="009B7C9A" w:rsidRPr="00965429" w:rsidRDefault="009B7C9A" w:rsidP="00B637B2">
                    <w:pPr>
                      <w:jc w:val="right"/>
                      <w:rPr>
                        <w:sz w:val="16"/>
                        <w:szCs w:val="16"/>
                      </w:rPr>
                    </w:pPr>
                    <w:r w:rsidRPr="00965429">
                      <w:rPr>
                        <w:sz w:val="16"/>
                        <w:szCs w:val="16"/>
                      </w:rPr>
                      <w:t>-</w:t>
                    </w:r>
                  </w:p>
                </w:tc>
                <w:tc>
                  <w:tcPr>
                    <w:tcW w:w="1559" w:type="dxa"/>
                    <w:vAlign w:val="center"/>
                  </w:tcPr>
                  <w:p w:rsidR="009B7C9A" w:rsidRPr="00965429" w:rsidRDefault="009B7C9A" w:rsidP="00B637B2">
                    <w:pPr>
                      <w:jc w:val="right"/>
                      <w:rPr>
                        <w:sz w:val="16"/>
                        <w:szCs w:val="16"/>
                      </w:rPr>
                    </w:pPr>
                    <w:r w:rsidRPr="00965429">
                      <w:rPr>
                        <w:sz w:val="16"/>
                        <w:szCs w:val="16"/>
                      </w:rPr>
                      <w:t>-</w:t>
                    </w:r>
                  </w:p>
                </w:tc>
                <w:tc>
                  <w:tcPr>
                    <w:tcW w:w="1560" w:type="dxa"/>
                    <w:vAlign w:val="center"/>
                  </w:tcPr>
                  <w:p w:rsidR="009B7C9A" w:rsidRPr="00965429" w:rsidRDefault="009B7C9A" w:rsidP="00B637B2">
                    <w:pPr>
                      <w:jc w:val="right"/>
                      <w:rPr>
                        <w:sz w:val="16"/>
                        <w:szCs w:val="16"/>
                      </w:rPr>
                    </w:pPr>
                    <w:r w:rsidRPr="00965429">
                      <w:rPr>
                        <w:sz w:val="16"/>
                        <w:szCs w:val="16"/>
                      </w:rPr>
                      <w:t>-</w:t>
                    </w:r>
                  </w:p>
                </w:tc>
                <w:tc>
                  <w:tcPr>
                    <w:tcW w:w="1559" w:type="dxa"/>
                    <w:vAlign w:val="center"/>
                  </w:tcPr>
                  <w:p w:rsidR="009B7C9A" w:rsidRPr="00965429" w:rsidRDefault="009B7C9A" w:rsidP="00B637B2">
                    <w:pPr>
                      <w:jc w:val="right"/>
                      <w:rPr>
                        <w:sz w:val="16"/>
                        <w:szCs w:val="16"/>
                      </w:rPr>
                    </w:pPr>
                    <w:r w:rsidRPr="00965429">
                      <w:rPr>
                        <w:sz w:val="16"/>
                        <w:szCs w:val="16"/>
                      </w:rPr>
                      <w:t>-</w:t>
                    </w:r>
                  </w:p>
                </w:tc>
                <w:tc>
                  <w:tcPr>
                    <w:tcW w:w="1559" w:type="dxa"/>
                    <w:vAlign w:val="center"/>
                  </w:tcPr>
                  <w:p w:rsidR="009B7C9A" w:rsidRPr="00965429" w:rsidRDefault="009B7C9A" w:rsidP="00B637B2">
                    <w:pPr>
                      <w:jc w:val="right"/>
                      <w:rPr>
                        <w:sz w:val="16"/>
                        <w:szCs w:val="16"/>
                      </w:rPr>
                    </w:pPr>
                    <w:r w:rsidRPr="00965429">
                      <w:rPr>
                        <w:sz w:val="16"/>
                        <w:szCs w:val="16"/>
                      </w:rPr>
                      <w:t>-</w:t>
                    </w:r>
                  </w:p>
                </w:tc>
              </w:tr>
              <w:tr w:rsidR="00B637B2" w:rsidTr="00B637B2">
                <w:trPr>
                  <w:trHeight w:val="20"/>
                </w:trPr>
                <w:sdt>
                  <w:sdtPr>
                    <w:rPr>
                      <w:sz w:val="16"/>
                      <w:szCs w:val="16"/>
                    </w:rPr>
                    <w:tag w:val="_PLD_b4a66855afc2407cbaf93baeafe0ad7f"/>
                    <w:id w:val="1945654032"/>
                    <w:lock w:val="sdtLocked"/>
                  </w:sdtPr>
                  <w:sdtContent>
                    <w:tc>
                      <w:tcPr>
                        <w:tcW w:w="1985" w:type="dxa"/>
                      </w:tcPr>
                      <w:p w:rsidR="009B7C9A" w:rsidRPr="00965429" w:rsidRDefault="009B7C9A" w:rsidP="009B7C9A">
                        <w:pPr>
                          <w:rPr>
                            <w:sz w:val="16"/>
                            <w:szCs w:val="16"/>
                          </w:rPr>
                        </w:pPr>
                        <w:r w:rsidRPr="00965429">
                          <w:rPr>
                            <w:rFonts w:hint="eastAsia"/>
                            <w:sz w:val="16"/>
                            <w:szCs w:val="16"/>
                          </w:rPr>
                          <w:t>2</w:t>
                        </w:r>
                        <w:r w:rsidRPr="00965429">
                          <w:rPr>
                            <w:sz w:val="16"/>
                            <w:szCs w:val="16"/>
                          </w:rPr>
                          <w:t>．对所有者（或股东）的分配</w:t>
                        </w:r>
                      </w:p>
                    </w:tc>
                  </w:sdtContent>
                </w:sdt>
                <w:tc>
                  <w:tcPr>
                    <w:tcW w:w="1560" w:type="dxa"/>
                    <w:tcBorders>
                      <w:right w:val="single" w:sz="4" w:space="0" w:color="auto"/>
                    </w:tcBorders>
                    <w:vAlign w:val="center"/>
                  </w:tcPr>
                  <w:p w:rsidR="009B7C9A" w:rsidRPr="00965429" w:rsidRDefault="009B7C9A" w:rsidP="00B637B2">
                    <w:pPr>
                      <w:jc w:val="right"/>
                      <w:rPr>
                        <w:sz w:val="16"/>
                        <w:szCs w:val="16"/>
                      </w:rPr>
                    </w:pPr>
                    <w:r w:rsidRPr="00965429">
                      <w:rPr>
                        <w:sz w:val="16"/>
                        <w:szCs w:val="16"/>
                      </w:rPr>
                      <w:t>-</w:t>
                    </w:r>
                  </w:p>
                </w:tc>
                <w:tc>
                  <w:tcPr>
                    <w:tcW w:w="425" w:type="dxa"/>
                    <w:tcBorders>
                      <w:left w:val="single" w:sz="4" w:space="0" w:color="auto"/>
                      <w:right w:val="single" w:sz="4" w:space="0" w:color="auto"/>
                    </w:tcBorders>
                    <w:vAlign w:val="center"/>
                  </w:tcPr>
                  <w:p w:rsidR="009B7C9A" w:rsidRPr="00965429" w:rsidRDefault="009B7C9A" w:rsidP="00B637B2">
                    <w:pPr>
                      <w:jc w:val="right"/>
                      <w:rPr>
                        <w:sz w:val="16"/>
                        <w:szCs w:val="16"/>
                      </w:rPr>
                    </w:pPr>
                    <w:r w:rsidRPr="00965429">
                      <w:rPr>
                        <w:sz w:val="16"/>
                        <w:szCs w:val="16"/>
                      </w:rPr>
                      <w:t>-</w:t>
                    </w:r>
                  </w:p>
                </w:tc>
                <w:tc>
                  <w:tcPr>
                    <w:tcW w:w="425" w:type="dxa"/>
                    <w:tcBorders>
                      <w:left w:val="single" w:sz="4" w:space="0" w:color="auto"/>
                      <w:right w:val="single" w:sz="4" w:space="0" w:color="auto"/>
                    </w:tcBorders>
                    <w:vAlign w:val="center"/>
                  </w:tcPr>
                  <w:p w:rsidR="009B7C9A" w:rsidRPr="00965429" w:rsidRDefault="009B7C9A" w:rsidP="00B637B2">
                    <w:pPr>
                      <w:jc w:val="right"/>
                      <w:rPr>
                        <w:sz w:val="16"/>
                        <w:szCs w:val="16"/>
                      </w:rPr>
                    </w:pPr>
                    <w:r w:rsidRPr="00965429">
                      <w:rPr>
                        <w:sz w:val="16"/>
                        <w:szCs w:val="16"/>
                      </w:rPr>
                      <w:t>-</w:t>
                    </w:r>
                  </w:p>
                </w:tc>
                <w:tc>
                  <w:tcPr>
                    <w:tcW w:w="425" w:type="dxa"/>
                    <w:tcBorders>
                      <w:left w:val="single" w:sz="4" w:space="0" w:color="auto"/>
                    </w:tcBorders>
                    <w:vAlign w:val="center"/>
                  </w:tcPr>
                  <w:p w:rsidR="009B7C9A" w:rsidRPr="00965429" w:rsidRDefault="009B7C9A" w:rsidP="00B637B2">
                    <w:pPr>
                      <w:jc w:val="right"/>
                      <w:rPr>
                        <w:sz w:val="16"/>
                        <w:szCs w:val="16"/>
                      </w:rPr>
                    </w:pPr>
                    <w:r w:rsidRPr="00965429">
                      <w:rPr>
                        <w:sz w:val="16"/>
                        <w:szCs w:val="16"/>
                      </w:rPr>
                      <w:t>-</w:t>
                    </w:r>
                  </w:p>
                </w:tc>
                <w:tc>
                  <w:tcPr>
                    <w:tcW w:w="1560" w:type="dxa"/>
                    <w:vAlign w:val="center"/>
                  </w:tcPr>
                  <w:p w:rsidR="009B7C9A" w:rsidRPr="00965429" w:rsidRDefault="009B7C9A" w:rsidP="00B637B2">
                    <w:pPr>
                      <w:jc w:val="right"/>
                      <w:rPr>
                        <w:sz w:val="16"/>
                        <w:szCs w:val="16"/>
                      </w:rPr>
                    </w:pPr>
                    <w:r w:rsidRPr="00965429">
                      <w:rPr>
                        <w:sz w:val="16"/>
                        <w:szCs w:val="16"/>
                      </w:rPr>
                      <w:t>-</w:t>
                    </w:r>
                  </w:p>
                </w:tc>
                <w:tc>
                  <w:tcPr>
                    <w:tcW w:w="1559" w:type="dxa"/>
                    <w:vAlign w:val="center"/>
                  </w:tcPr>
                  <w:p w:rsidR="009B7C9A" w:rsidRPr="00965429" w:rsidRDefault="009B7C9A" w:rsidP="00B637B2">
                    <w:pPr>
                      <w:jc w:val="right"/>
                      <w:rPr>
                        <w:sz w:val="16"/>
                        <w:szCs w:val="16"/>
                      </w:rPr>
                    </w:pPr>
                    <w:r w:rsidRPr="00965429">
                      <w:rPr>
                        <w:sz w:val="16"/>
                        <w:szCs w:val="16"/>
                      </w:rPr>
                      <w:t>-</w:t>
                    </w:r>
                  </w:p>
                </w:tc>
                <w:tc>
                  <w:tcPr>
                    <w:tcW w:w="1559" w:type="dxa"/>
                    <w:vAlign w:val="center"/>
                  </w:tcPr>
                  <w:p w:rsidR="009B7C9A" w:rsidRPr="00965429" w:rsidRDefault="009B7C9A" w:rsidP="00B637B2">
                    <w:pPr>
                      <w:jc w:val="right"/>
                      <w:rPr>
                        <w:sz w:val="16"/>
                        <w:szCs w:val="16"/>
                      </w:rPr>
                    </w:pPr>
                    <w:r w:rsidRPr="00965429">
                      <w:rPr>
                        <w:sz w:val="16"/>
                        <w:szCs w:val="16"/>
                      </w:rPr>
                      <w:t>-</w:t>
                    </w:r>
                  </w:p>
                </w:tc>
                <w:tc>
                  <w:tcPr>
                    <w:tcW w:w="1559" w:type="dxa"/>
                    <w:vAlign w:val="center"/>
                  </w:tcPr>
                  <w:p w:rsidR="009B7C9A" w:rsidRPr="00965429" w:rsidRDefault="009B7C9A" w:rsidP="00B637B2">
                    <w:pPr>
                      <w:jc w:val="right"/>
                      <w:rPr>
                        <w:sz w:val="16"/>
                        <w:szCs w:val="16"/>
                      </w:rPr>
                    </w:pPr>
                    <w:r w:rsidRPr="00965429">
                      <w:rPr>
                        <w:sz w:val="16"/>
                        <w:szCs w:val="16"/>
                      </w:rPr>
                      <w:t>-</w:t>
                    </w:r>
                  </w:p>
                </w:tc>
                <w:tc>
                  <w:tcPr>
                    <w:tcW w:w="1560" w:type="dxa"/>
                    <w:vAlign w:val="center"/>
                  </w:tcPr>
                  <w:p w:rsidR="009B7C9A" w:rsidRPr="00965429" w:rsidRDefault="009B7C9A" w:rsidP="00B637B2">
                    <w:pPr>
                      <w:jc w:val="right"/>
                      <w:rPr>
                        <w:sz w:val="16"/>
                        <w:szCs w:val="16"/>
                      </w:rPr>
                    </w:pPr>
                    <w:r w:rsidRPr="00965429">
                      <w:rPr>
                        <w:sz w:val="16"/>
                        <w:szCs w:val="16"/>
                      </w:rPr>
                      <w:t>-</w:t>
                    </w:r>
                  </w:p>
                </w:tc>
                <w:tc>
                  <w:tcPr>
                    <w:tcW w:w="1559" w:type="dxa"/>
                    <w:vAlign w:val="center"/>
                  </w:tcPr>
                  <w:p w:rsidR="009B7C9A" w:rsidRPr="00965429" w:rsidRDefault="009B7C9A" w:rsidP="00B637B2">
                    <w:pPr>
                      <w:jc w:val="right"/>
                      <w:rPr>
                        <w:sz w:val="16"/>
                        <w:szCs w:val="16"/>
                      </w:rPr>
                    </w:pPr>
                    <w:r w:rsidRPr="00965429">
                      <w:rPr>
                        <w:sz w:val="16"/>
                        <w:szCs w:val="16"/>
                      </w:rPr>
                      <w:t>-474,413,036</w:t>
                    </w:r>
                  </w:p>
                </w:tc>
                <w:tc>
                  <w:tcPr>
                    <w:tcW w:w="1559" w:type="dxa"/>
                    <w:vAlign w:val="center"/>
                  </w:tcPr>
                  <w:p w:rsidR="009B7C9A" w:rsidRPr="00965429" w:rsidRDefault="008F04CF" w:rsidP="00B637B2">
                    <w:pPr>
                      <w:jc w:val="right"/>
                      <w:rPr>
                        <w:sz w:val="16"/>
                        <w:szCs w:val="16"/>
                      </w:rPr>
                    </w:pPr>
                    <w:r w:rsidRPr="00965429">
                      <w:rPr>
                        <w:sz w:val="16"/>
                        <w:szCs w:val="16"/>
                      </w:rPr>
                      <w:t>-474,413,036</w:t>
                    </w:r>
                  </w:p>
                </w:tc>
              </w:tr>
              <w:tr w:rsidR="00B637B2" w:rsidTr="00B637B2">
                <w:trPr>
                  <w:trHeight w:val="20"/>
                </w:trPr>
                <w:sdt>
                  <w:sdtPr>
                    <w:rPr>
                      <w:sz w:val="16"/>
                      <w:szCs w:val="16"/>
                    </w:rPr>
                    <w:tag w:val="_PLD_f35184bd1aa14b32a781b0ed9b526ffe"/>
                    <w:id w:val="-737168354"/>
                    <w:lock w:val="sdtLocked"/>
                  </w:sdtPr>
                  <w:sdtContent>
                    <w:tc>
                      <w:tcPr>
                        <w:tcW w:w="1985" w:type="dxa"/>
                      </w:tcPr>
                      <w:p w:rsidR="009B7C9A" w:rsidRPr="00965429" w:rsidRDefault="009B7C9A" w:rsidP="009B7C9A">
                        <w:pPr>
                          <w:rPr>
                            <w:sz w:val="16"/>
                            <w:szCs w:val="16"/>
                          </w:rPr>
                        </w:pPr>
                        <w:r w:rsidRPr="00965429">
                          <w:rPr>
                            <w:rFonts w:hint="eastAsia"/>
                            <w:sz w:val="16"/>
                            <w:szCs w:val="16"/>
                          </w:rPr>
                          <w:t>3</w:t>
                        </w:r>
                        <w:r w:rsidRPr="00965429">
                          <w:rPr>
                            <w:sz w:val="16"/>
                            <w:szCs w:val="16"/>
                          </w:rPr>
                          <w:t>．其他</w:t>
                        </w:r>
                      </w:p>
                    </w:tc>
                  </w:sdtContent>
                </w:sdt>
                <w:tc>
                  <w:tcPr>
                    <w:tcW w:w="1560" w:type="dxa"/>
                    <w:tcBorders>
                      <w:right w:val="single" w:sz="4" w:space="0" w:color="auto"/>
                    </w:tcBorders>
                    <w:vAlign w:val="center"/>
                  </w:tcPr>
                  <w:p w:rsidR="009B7C9A" w:rsidRPr="00965429" w:rsidRDefault="009B7C9A" w:rsidP="00B637B2">
                    <w:pPr>
                      <w:jc w:val="right"/>
                      <w:rPr>
                        <w:sz w:val="16"/>
                        <w:szCs w:val="16"/>
                      </w:rPr>
                    </w:pPr>
                    <w:r w:rsidRPr="00965429">
                      <w:rPr>
                        <w:sz w:val="16"/>
                        <w:szCs w:val="16"/>
                      </w:rPr>
                      <w:t>-</w:t>
                    </w:r>
                  </w:p>
                </w:tc>
                <w:tc>
                  <w:tcPr>
                    <w:tcW w:w="425" w:type="dxa"/>
                    <w:tcBorders>
                      <w:left w:val="single" w:sz="4" w:space="0" w:color="auto"/>
                      <w:right w:val="single" w:sz="4" w:space="0" w:color="auto"/>
                    </w:tcBorders>
                    <w:vAlign w:val="center"/>
                  </w:tcPr>
                  <w:p w:rsidR="009B7C9A" w:rsidRPr="00965429" w:rsidRDefault="009B7C9A" w:rsidP="00B637B2">
                    <w:pPr>
                      <w:jc w:val="right"/>
                      <w:rPr>
                        <w:sz w:val="16"/>
                        <w:szCs w:val="16"/>
                      </w:rPr>
                    </w:pPr>
                    <w:r w:rsidRPr="00965429">
                      <w:rPr>
                        <w:sz w:val="16"/>
                        <w:szCs w:val="16"/>
                      </w:rPr>
                      <w:t>-</w:t>
                    </w:r>
                  </w:p>
                </w:tc>
                <w:tc>
                  <w:tcPr>
                    <w:tcW w:w="425" w:type="dxa"/>
                    <w:tcBorders>
                      <w:left w:val="single" w:sz="4" w:space="0" w:color="auto"/>
                      <w:right w:val="single" w:sz="4" w:space="0" w:color="auto"/>
                    </w:tcBorders>
                    <w:vAlign w:val="center"/>
                  </w:tcPr>
                  <w:p w:rsidR="009B7C9A" w:rsidRPr="00965429" w:rsidRDefault="009B7C9A" w:rsidP="00B637B2">
                    <w:pPr>
                      <w:jc w:val="right"/>
                      <w:rPr>
                        <w:sz w:val="16"/>
                        <w:szCs w:val="16"/>
                      </w:rPr>
                    </w:pPr>
                    <w:r w:rsidRPr="00965429">
                      <w:rPr>
                        <w:sz w:val="16"/>
                        <w:szCs w:val="16"/>
                      </w:rPr>
                      <w:t>-</w:t>
                    </w:r>
                  </w:p>
                </w:tc>
                <w:tc>
                  <w:tcPr>
                    <w:tcW w:w="425" w:type="dxa"/>
                    <w:tcBorders>
                      <w:left w:val="single" w:sz="4" w:space="0" w:color="auto"/>
                    </w:tcBorders>
                    <w:vAlign w:val="center"/>
                  </w:tcPr>
                  <w:p w:rsidR="009B7C9A" w:rsidRPr="00965429" w:rsidRDefault="009B7C9A" w:rsidP="00B637B2">
                    <w:pPr>
                      <w:jc w:val="right"/>
                      <w:rPr>
                        <w:sz w:val="16"/>
                        <w:szCs w:val="16"/>
                      </w:rPr>
                    </w:pPr>
                    <w:r w:rsidRPr="00965429">
                      <w:rPr>
                        <w:sz w:val="16"/>
                        <w:szCs w:val="16"/>
                      </w:rPr>
                      <w:t>-</w:t>
                    </w:r>
                  </w:p>
                </w:tc>
                <w:tc>
                  <w:tcPr>
                    <w:tcW w:w="1560" w:type="dxa"/>
                    <w:vAlign w:val="center"/>
                  </w:tcPr>
                  <w:p w:rsidR="009B7C9A" w:rsidRPr="00965429" w:rsidRDefault="009B7C9A" w:rsidP="00B637B2">
                    <w:pPr>
                      <w:jc w:val="right"/>
                      <w:rPr>
                        <w:sz w:val="16"/>
                        <w:szCs w:val="16"/>
                      </w:rPr>
                    </w:pPr>
                    <w:r w:rsidRPr="00965429">
                      <w:rPr>
                        <w:sz w:val="16"/>
                        <w:szCs w:val="16"/>
                      </w:rPr>
                      <w:t>-</w:t>
                    </w:r>
                  </w:p>
                </w:tc>
                <w:tc>
                  <w:tcPr>
                    <w:tcW w:w="1559" w:type="dxa"/>
                    <w:vAlign w:val="center"/>
                  </w:tcPr>
                  <w:p w:rsidR="009B7C9A" w:rsidRPr="00965429" w:rsidRDefault="009B7C9A" w:rsidP="00B637B2">
                    <w:pPr>
                      <w:jc w:val="right"/>
                      <w:rPr>
                        <w:sz w:val="16"/>
                        <w:szCs w:val="16"/>
                      </w:rPr>
                    </w:pPr>
                    <w:r w:rsidRPr="00965429">
                      <w:rPr>
                        <w:sz w:val="16"/>
                        <w:szCs w:val="16"/>
                      </w:rPr>
                      <w:t>-</w:t>
                    </w:r>
                  </w:p>
                </w:tc>
                <w:tc>
                  <w:tcPr>
                    <w:tcW w:w="1559" w:type="dxa"/>
                    <w:vAlign w:val="center"/>
                  </w:tcPr>
                  <w:p w:rsidR="009B7C9A" w:rsidRPr="00965429" w:rsidRDefault="009B7C9A" w:rsidP="00B637B2">
                    <w:pPr>
                      <w:jc w:val="right"/>
                      <w:rPr>
                        <w:sz w:val="16"/>
                        <w:szCs w:val="16"/>
                      </w:rPr>
                    </w:pPr>
                    <w:r w:rsidRPr="00965429">
                      <w:rPr>
                        <w:sz w:val="16"/>
                        <w:szCs w:val="16"/>
                      </w:rPr>
                      <w:t>-</w:t>
                    </w:r>
                  </w:p>
                </w:tc>
                <w:tc>
                  <w:tcPr>
                    <w:tcW w:w="1559" w:type="dxa"/>
                    <w:vAlign w:val="center"/>
                  </w:tcPr>
                  <w:p w:rsidR="009B7C9A" w:rsidRPr="00965429" w:rsidRDefault="009B7C9A" w:rsidP="00B637B2">
                    <w:pPr>
                      <w:jc w:val="right"/>
                      <w:rPr>
                        <w:sz w:val="16"/>
                        <w:szCs w:val="16"/>
                      </w:rPr>
                    </w:pPr>
                    <w:r w:rsidRPr="00965429">
                      <w:rPr>
                        <w:sz w:val="16"/>
                        <w:szCs w:val="16"/>
                      </w:rPr>
                      <w:t>-</w:t>
                    </w:r>
                  </w:p>
                </w:tc>
                <w:tc>
                  <w:tcPr>
                    <w:tcW w:w="1560" w:type="dxa"/>
                    <w:vAlign w:val="center"/>
                  </w:tcPr>
                  <w:p w:rsidR="009B7C9A" w:rsidRPr="00965429" w:rsidRDefault="009B7C9A" w:rsidP="00B637B2">
                    <w:pPr>
                      <w:jc w:val="right"/>
                      <w:rPr>
                        <w:sz w:val="16"/>
                        <w:szCs w:val="16"/>
                      </w:rPr>
                    </w:pPr>
                    <w:r w:rsidRPr="00965429">
                      <w:rPr>
                        <w:sz w:val="16"/>
                        <w:szCs w:val="16"/>
                      </w:rPr>
                      <w:t>-</w:t>
                    </w:r>
                  </w:p>
                </w:tc>
                <w:tc>
                  <w:tcPr>
                    <w:tcW w:w="1559" w:type="dxa"/>
                    <w:vAlign w:val="center"/>
                  </w:tcPr>
                  <w:p w:rsidR="009B7C9A" w:rsidRPr="00965429" w:rsidRDefault="009B7C9A" w:rsidP="00B637B2">
                    <w:pPr>
                      <w:jc w:val="right"/>
                      <w:rPr>
                        <w:sz w:val="16"/>
                        <w:szCs w:val="16"/>
                      </w:rPr>
                    </w:pPr>
                    <w:r w:rsidRPr="00965429">
                      <w:rPr>
                        <w:sz w:val="16"/>
                        <w:szCs w:val="16"/>
                      </w:rPr>
                      <w:t>-</w:t>
                    </w:r>
                  </w:p>
                </w:tc>
                <w:tc>
                  <w:tcPr>
                    <w:tcW w:w="1559" w:type="dxa"/>
                    <w:vAlign w:val="center"/>
                  </w:tcPr>
                  <w:p w:rsidR="009B7C9A" w:rsidRPr="00965429" w:rsidRDefault="009B7C9A" w:rsidP="00B637B2">
                    <w:pPr>
                      <w:jc w:val="right"/>
                      <w:rPr>
                        <w:sz w:val="16"/>
                        <w:szCs w:val="16"/>
                      </w:rPr>
                    </w:pPr>
                    <w:r w:rsidRPr="00965429">
                      <w:rPr>
                        <w:sz w:val="16"/>
                        <w:szCs w:val="16"/>
                      </w:rPr>
                      <w:t>-</w:t>
                    </w:r>
                  </w:p>
                </w:tc>
              </w:tr>
              <w:tr w:rsidR="00B637B2" w:rsidTr="00B637B2">
                <w:trPr>
                  <w:trHeight w:val="20"/>
                </w:trPr>
                <w:sdt>
                  <w:sdtPr>
                    <w:rPr>
                      <w:sz w:val="16"/>
                      <w:szCs w:val="16"/>
                    </w:rPr>
                    <w:tag w:val="_PLD_377c539e51b74e8689b49d91a30d6a9f"/>
                    <w:id w:val="1350835364"/>
                    <w:lock w:val="sdtLocked"/>
                  </w:sdtPr>
                  <w:sdtContent>
                    <w:tc>
                      <w:tcPr>
                        <w:tcW w:w="1985" w:type="dxa"/>
                      </w:tcPr>
                      <w:p w:rsidR="009B7C9A" w:rsidRPr="00965429" w:rsidRDefault="009B7C9A" w:rsidP="009B7C9A">
                        <w:pPr>
                          <w:rPr>
                            <w:sz w:val="16"/>
                            <w:szCs w:val="16"/>
                          </w:rPr>
                        </w:pPr>
                        <w:r w:rsidRPr="00965429">
                          <w:rPr>
                            <w:sz w:val="16"/>
                            <w:szCs w:val="16"/>
                          </w:rPr>
                          <w:t>（</w:t>
                        </w:r>
                        <w:r w:rsidRPr="00965429">
                          <w:rPr>
                            <w:rFonts w:hint="eastAsia"/>
                            <w:sz w:val="16"/>
                            <w:szCs w:val="16"/>
                          </w:rPr>
                          <w:t>四</w:t>
                        </w:r>
                        <w:r w:rsidRPr="00965429">
                          <w:rPr>
                            <w:sz w:val="16"/>
                            <w:szCs w:val="16"/>
                          </w:rPr>
                          <w:t>）所有者权益内部结转</w:t>
                        </w:r>
                      </w:p>
                    </w:tc>
                  </w:sdtContent>
                </w:sdt>
                <w:tc>
                  <w:tcPr>
                    <w:tcW w:w="1560" w:type="dxa"/>
                    <w:tcBorders>
                      <w:right w:val="single" w:sz="4" w:space="0" w:color="auto"/>
                    </w:tcBorders>
                    <w:vAlign w:val="center"/>
                  </w:tcPr>
                  <w:p w:rsidR="009B7C9A" w:rsidRPr="00965429" w:rsidRDefault="009B7C9A" w:rsidP="00B637B2">
                    <w:pPr>
                      <w:jc w:val="right"/>
                      <w:rPr>
                        <w:sz w:val="16"/>
                        <w:szCs w:val="16"/>
                      </w:rPr>
                    </w:pPr>
                    <w:r w:rsidRPr="00965429">
                      <w:rPr>
                        <w:sz w:val="16"/>
                        <w:szCs w:val="16"/>
                      </w:rPr>
                      <w:t>569,295,642</w:t>
                    </w:r>
                  </w:p>
                </w:tc>
                <w:tc>
                  <w:tcPr>
                    <w:tcW w:w="425" w:type="dxa"/>
                    <w:tcBorders>
                      <w:left w:val="single" w:sz="4" w:space="0" w:color="auto"/>
                      <w:right w:val="single" w:sz="4" w:space="0" w:color="auto"/>
                    </w:tcBorders>
                    <w:vAlign w:val="center"/>
                  </w:tcPr>
                  <w:p w:rsidR="009B7C9A" w:rsidRPr="00965429" w:rsidRDefault="009B7C9A" w:rsidP="00B637B2">
                    <w:pPr>
                      <w:jc w:val="right"/>
                      <w:rPr>
                        <w:sz w:val="16"/>
                        <w:szCs w:val="16"/>
                      </w:rPr>
                    </w:pPr>
                    <w:r w:rsidRPr="00965429">
                      <w:rPr>
                        <w:sz w:val="16"/>
                        <w:szCs w:val="16"/>
                      </w:rPr>
                      <w:t>-</w:t>
                    </w:r>
                  </w:p>
                </w:tc>
                <w:tc>
                  <w:tcPr>
                    <w:tcW w:w="425" w:type="dxa"/>
                    <w:tcBorders>
                      <w:left w:val="single" w:sz="4" w:space="0" w:color="auto"/>
                      <w:right w:val="single" w:sz="4" w:space="0" w:color="auto"/>
                    </w:tcBorders>
                    <w:vAlign w:val="center"/>
                  </w:tcPr>
                  <w:p w:rsidR="009B7C9A" w:rsidRPr="00965429" w:rsidRDefault="009B7C9A" w:rsidP="00B637B2">
                    <w:pPr>
                      <w:jc w:val="right"/>
                      <w:rPr>
                        <w:sz w:val="16"/>
                        <w:szCs w:val="16"/>
                      </w:rPr>
                    </w:pPr>
                    <w:r w:rsidRPr="00965429">
                      <w:rPr>
                        <w:sz w:val="16"/>
                        <w:szCs w:val="16"/>
                      </w:rPr>
                      <w:t>-</w:t>
                    </w:r>
                  </w:p>
                </w:tc>
                <w:tc>
                  <w:tcPr>
                    <w:tcW w:w="425" w:type="dxa"/>
                    <w:tcBorders>
                      <w:left w:val="single" w:sz="4" w:space="0" w:color="auto"/>
                    </w:tcBorders>
                    <w:vAlign w:val="center"/>
                  </w:tcPr>
                  <w:p w:rsidR="009B7C9A" w:rsidRPr="00965429" w:rsidRDefault="009B7C9A" w:rsidP="00B637B2">
                    <w:pPr>
                      <w:jc w:val="right"/>
                      <w:rPr>
                        <w:sz w:val="16"/>
                        <w:szCs w:val="16"/>
                      </w:rPr>
                    </w:pPr>
                    <w:r w:rsidRPr="00965429">
                      <w:rPr>
                        <w:sz w:val="16"/>
                        <w:szCs w:val="16"/>
                      </w:rPr>
                      <w:t>-</w:t>
                    </w:r>
                  </w:p>
                </w:tc>
                <w:tc>
                  <w:tcPr>
                    <w:tcW w:w="1560" w:type="dxa"/>
                    <w:vAlign w:val="center"/>
                  </w:tcPr>
                  <w:p w:rsidR="009B7C9A" w:rsidRPr="00965429" w:rsidRDefault="009B7C9A" w:rsidP="00B637B2">
                    <w:pPr>
                      <w:jc w:val="right"/>
                      <w:rPr>
                        <w:sz w:val="16"/>
                        <w:szCs w:val="16"/>
                      </w:rPr>
                    </w:pPr>
                    <w:r w:rsidRPr="00965429">
                      <w:rPr>
                        <w:sz w:val="16"/>
                        <w:szCs w:val="16"/>
                      </w:rPr>
                      <w:t>-569,295,642</w:t>
                    </w:r>
                  </w:p>
                </w:tc>
                <w:tc>
                  <w:tcPr>
                    <w:tcW w:w="1559" w:type="dxa"/>
                    <w:vAlign w:val="center"/>
                  </w:tcPr>
                  <w:p w:rsidR="009B7C9A" w:rsidRPr="00965429" w:rsidRDefault="009B7C9A" w:rsidP="00B637B2">
                    <w:pPr>
                      <w:jc w:val="right"/>
                      <w:rPr>
                        <w:sz w:val="16"/>
                        <w:szCs w:val="16"/>
                      </w:rPr>
                    </w:pPr>
                    <w:r w:rsidRPr="00965429">
                      <w:rPr>
                        <w:sz w:val="16"/>
                        <w:szCs w:val="16"/>
                      </w:rPr>
                      <w:t>-</w:t>
                    </w:r>
                  </w:p>
                </w:tc>
                <w:tc>
                  <w:tcPr>
                    <w:tcW w:w="1559" w:type="dxa"/>
                    <w:vAlign w:val="center"/>
                  </w:tcPr>
                  <w:p w:rsidR="009B7C9A" w:rsidRPr="00965429" w:rsidRDefault="009B7C9A" w:rsidP="00B637B2">
                    <w:pPr>
                      <w:jc w:val="right"/>
                      <w:rPr>
                        <w:sz w:val="16"/>
                        <w:szCs w:val="16"/>
                      </w:rPr>
                    </w:pPr>
                    <w:r w:rsidRPr="00965429">
                      <w:rPr>
                        <w:sz w:val="16"/>
                        <w:szCs w:val="16"/>
                      </w:rPr>
                      <w:t>-</w:t>
                    </w:r>
                  </w:p>
                </w:tc>
                <w:tc>
                  <w:tcPr>
                    <w:tcW w:w="1559" w:type="dxa"/>
                    <w:vAlign w:val="center"/>
                  </w:tcPr>
                  <w:p w:rsidR="009B7C9A" w:rsidRPr="00965429" w:rsidRDefault="009B7C9A" w:rsidP="00B637B2">
                    <w:pPr>
                      <w:jc w:val="right"/>
                      <w:rPr>
                        <w:sz w:val="16"/>
                        <w:szCs w:val="16"/>
                      </w:rPr>
                    </w:pPr>
                    <w:r w:rsidRPr="00965429">
                      <w:rPr>
                        <w:sz w:val="16"/>
                        <w:szCs w:val="16"/>
                      </w:rPr>
                      <w:t>-</w:t>
                    </w:r>
                  </w:p>
                </w:tc>
                <w:tc>
                  <w:tcPr>
                    <w:tcW w:w="1560" w:type="dxa"/>
                    <w:vAlign w:val="center"/>
                  </w:tcPr>
                  <w:p w:rsidR="009B7C9A" w:rsidRPr="00965429" w:rsidRDefault="009B7C9A" w:rsidP="00B637B2">
                    <w:pPr>
                      <w:jc w:val="right"/>
                      <w:rPr>
                        <w:sz w:val="16"/>
                        <w:szCs w:val="16"/>
                      </w:rPr>
                    </w:pPr>
                    <w:r w:rsidRPr="00965429">
                      <w:rPr>
                        <w:sz w:val="16"/>
                        <w:szCs w:val="16"/>
                      </w:rPr>
                      <w:t>-</w:t>
                    </w:r>
                  </w:p>
                </w:tc>
                <w:tc>
                  <w:tcPr>
                    <w:tcW w:w="1559" w:type="dxa"/>
                    <w:vAlign w:val="center"/>
                  </w:tcPr>
                  <w:p w:rsidR="009B7C9A" w:rsidRPr="00965429" w:rsidRDefault="009B7C9A" w:rsidP="00B637B2">
                    <w:pPr>
                      <w:jc w:val="right"/>
                      <w:rPr>
                        <w:sz w:val="16"/>
                        <w:szCs w:val="16"/>
                      </w:rPr>
                    </w:pPr>
                    <w:r w:rsidRPr="00965429">
                      <w:rPr>
                        <w:sz w:val="16"/>
                        <w:szCs w:val="16"/>
                      </w:rPr>
                      <w:t>-</w:t>
                    </w:r>
                  </w:p>
                </w:tc>
                <w:tc>
                  <w:tcPr>
                    <w:tcW w:w="1559" w:type="dxa"/>
                    <w:vAlign w:val="center"/>
                  </w:tcPr>
                  <w:p w:rsidR="009B7C9A" w:rsidRPr="00965429" w:rsidRDefault="005E617C" w:rsidP="00B637B2">
                    <w:pPr>
                      <w:jc w:val="right"/>
                      <w:rPr>
                        <w:sz w:val="16"/>
                        <w:szCs w:val="16"/>
                      </w:rPr>
                    </w:pPr>
                    <w:r>
                      <w:rPr>
                        <w:rFonts w:hint="eastAsia"/>
                        <w:sz w:val="16"/>
                        <w:szCs w:val="16"/>
                      </w:rPr>
                      <w:t>-</w:t>
                    </w:r>
                  </w:p>
                </w:tc>
              </w:tr>
              <w:tr w:rsidR="00B637B2" w:rsidTr="00B637B2">
                <w:trPr>
                  <w:trHeight w:val="20"/>
                </w:trPr>
                <w:sdt>
                  <w:sdtPr>
                    <w:rPr>
                      <w:sz w:val="16"/>
                      <w:szCs w:val="16"/>
                    </w:rPr>
                    <w:tag w:val="_PLD_9d82304ad85542d89ad56bdebdedd7c5"/>
                    <w:id w:val="131986468"/>
                    <w:lock w:val="sdtLocked"/>
                  </w:sdtPr>
                  <w:sdtContent>
                    <w:tc>
                      <w:tcPr>
                        <w:tcW w:w="1985" w:type="dxa"/>
                      </w:tcPr>
                      <w:p w:rsidR="009B7C9A" w:rsidRPr="00965429" w:rsidRDefault="009B7C9A" w:rsidP="009B7C9A">
                        <w:pPr>
                          <w:rPr>
                            <w:sz w:val="16"/>
                            <w:szCs w:val="16"/>
                          </w:rPr>
                        </w:pPr>
                        <w:r w:rsidRPr="00965429">
                          <w:rPr>
                            <w:sz w:val="16"/>
                            <w:szCs w:val="16"/>
                          </w:rPr>
                          <w:t>1．资本公积转增资本（或股本）</w:t>
                        </w:r>
                      </w:p>
                    </w:tc>
                  </w:sdtContent>
                </w:sdt>
                <w:tc>
                  <w:tcPr>
                    <w:tcW w:w="1560" w:type="dxa"/>
                    <w:tcBorders>
                      <w:right w:val="single" w:sz="4" w:space="0" w:color="auto"/>
                    </w:tcBorders>
                    <w:vAlign w:val="center"/>
                  </w:tcPr>
                  <w:p w:rsidR="009B7C9A" w:rsidRPr="00965429" w:rsidRDefault="009B7C9A" w:rsidP="00B637B2">
                    <w:pPr>
                      <w:jc w:val="right"/>
                      <w:rPr>
                        <w:sz w:val="16"/>
                        <w:szCs w:val="16"/>
                      </w:rPr>
                    </w:pPr>
                    <w:r w:rsidRPr="00965429">
                      <w:rPr>
                        <w:sz w:val="16"/>
                        <w:szCs w:val="16"/>
                      </w:rPr>
                      <w:t>569,295,642</w:t>
                    </w:r>
                  </w:p>
                </w:tc>
                <w:tc>
                  <w:tcPr>
                    <w:tcW w:w="425" w:type="dxa"/>
                    <w:tcBorders>
                      <w:left w:val="single" w:sz="4" w:space="0" w:color="auto"/>
                      <w:right w:val="single" w:sz="4" w:space="0" w:color="auto"/>
                    </w:tcBorders>
                    <w:vAlign w:val="center"/>
                  </w:tcPr>
                  <w:p w:rsidR="009B7C9A" w:rsidRPr="00965429" w:rsidRDefault="009B7C9A" w:rsidP="00B637B2">
                    <w:pPr>
                      <w:jc w:val="right"/>
                      <w:rPr>
                        <w:sz w:val="16"/>
                        <w:szCs w:val="16"/>
                      </w:rPr>
                    </w:pPr>
                    <w:r w:rsidRPr="00965429">
                      <w:rPr>
                        <w:sz w:val="16"/>
                        <w:szCs w:val="16"/>
                      </w:rPr>
                      <w:t>-</w:t>
                    </w:r>
                  </w:p>
                </w:tc>
                <w:tc>
                  <w:tcPr>
                    <w:tcW w:w="425" w:type="dxa"/>
                    <w:tcBorders>
                      <w:left w:val="single" w:sz="4" w:space="0" w:color="auto"/>
                      <w:right w:val="single" w:sz="4" w:space="0" w:color="auto"/>
                    </w:tcBorders>
                    <w:vAlign w:val="center"/>
                  </w:tcPr>
                  <w:p w:rsidR="009B7C9A" w:rsidRPr="00965429" w:rsidRDefault="009B7C9A" w:rsidP="00B637B2">
                    <w:pPr>
                      <w:jc w:val="right"/>
                      <w:rPr>
                        <w:sz w:val="16"/>
                        <w:szCs w:val="16"/>
                      </w:rPr>
                    </w:pPr>
                    <w:r w:rsidRPr="00965429">
                      <w:rPr>
                        <w:sz w:val="16"/>
                        <w:szCs w:val="16"/>
                      </w:rPr>
                      <w:t>-</w:t>
                    </w:r>
                  </w:p>
                </w:tc>
                <w:tc>
                  <w:tcPr>
                    <w:tcW w:w="425" w:type="dxa"/>
                    <w:tcBorders>
                      <w:left w:val="single" w:sz="4" w:space="0" w:color="auto"/>
                    </w:tcBorders>
                    <w:vAlign w:val="center"/>
                  </w:tcPr>
                  <w:p w:rsidR="009B7C9A" w:rsidRPr="00965429" w:rsidRDefault="009B7C9A" w:rsidP="00B637B2">
                    <w:pPr>
                      <w:jc w:val="right"/>
                      <w:rPr>
                        <w:sz w:val="16"/>
                        <w:szCs w:val="16"/>
                      </w:rPr>
                    </w:pPr>
                    <w:r w:rsidRPr="00965429">
                      <w:rPr>
                        <w:sz w:val="16"/>
                        <w:szCs w:val="16"/>
                      </w:rPr>
                      <w:t>-</w:t>
                    </w:r>
                  </w:p>
                </w:tc>
                <w:tc>
                  <w:tcPr>
                    <w:tcW w:w="1560" w:type="dxa"/>
                    <w:vAlign w:val="center"/>
                  </w:tcPr>
                  <w:p w:rsidR="009B7C9A" w:rsidRPr="00965429" w:rsidRDefault="009B7C9A" w:rsidP="00B637B2">
                    <w:pPr>
                      <w:jc w:val="right"/>
                      <w:rPr>
                        <w:sz w:val="16"/>
                        <w:szCs w:val="16"/>
                      </w:rPr>
                    </w:pPr>
                    <w:r w:rsidRPr="00965429">
                      <w:rPr>
                        <w:sz w:val="16"/>
                        <w:szCs w:val="16"/>
                      </w:rPr>
                      <w:t>-569,295,642</w:t>
                    </w:r>
                  </w:p>
                </w:tc>
                <w:tc>
                  <w:tcPr>
                    <w:tcW w:w="1559" w:type="dxa"/>
                    <w:vAlign w:val="center"/>
                  </w:tcPr>
                  <w:p w:rsidR="009B7C9A" w:rsidRPr="00965429" w:rsidRDefault="009B7C9A" w:rsidP="00B637B2">
                    <w:pPr>
                      <w:jc w:val="right"/>
                      <w:rPr>
                        <w:sz w:val="16"/>
                        <w:szCs w:val="16"/>
                      </w:rPr>
                    </w:pPr>
                    <w:r w:rsidRPr="00965429">
                      <w:rPr>
                        <w:sz w:val="16"/>
                        <w:szCs w:val="16"/>
                      </w:rPr>
                      <w:t>-</w:t>
                    </w:r>
                  </w:p>
                </w:tc>
                <w:tc>
                  <w:tcPr>
                    <w:tcW w:w="1559" w:type="dxa"/>
                    <w:vAlign w:val="center"/>
                  </w:tcPr>
                  <w:p w:rsidR="009B7C9A" w:rsidRPr="00965429" w:rsidRDefault="009B7C9A" w:rsidP="00B637B2">
                    <w:pPr>
                      <w:jc w:val="right"/>
                      <w:rPr>
                        <w:sz w:val="16"/>
                        <w:szCs w:val="16"/>
                      </w:rPr>
                    </w:pPr>
                    <w:r w:rsidRPr="00965429">
                      <w:rPr>
                        <w:sz w:val="16"/>
                        <w:szCs w:val="16"/>
                      </w:rPr>
                      <w:t>-</w:t>
                    </w:r>
                  </w:p>
                </w:tc>
                <w:tc>
                  <w:tcPr>
                    <w:tcW w:w="1559" w:type="dxa"/>
                    <w:vAlign w:val="center"/>
                  </w:tcPr>
                  <w:p w:rsidR="009B7C9A" w:rsidRPr="00965429" w:rsidRDefault="009B7C9A" w:rsidP="00B637B2">
                    <w:pPr>
                      <w:jc w:val="right"/>
                      <w:rPr>
                        <w:sz w:val="16"/>
                        <w:szCs w:val="16"/>
                      </w:rPr>
                    </w:pPr>
                    <w:r w:rsidRPr="00965429">
                      <w:rPr>
                        <w:sz w:val="16"/>
                        <w:szCs w:val="16"/>
                      </w:rPr>
                      <w:t>-</w:t>
                    </w:r>
                  </w:p>
                </w:tc>
                <w:tc>
                  <w:tcPr>
                    <w:tcW w:w="1560" w:type="dxa"/>
                    <w:vAlign w:val="center"/>
                  </w:tcPr>
                  <w:p w:rsidR="009B7C9A" w:rsidRPr="00965429" w:rsidRDefault="009B7C9A" w:rsidP="00B637B2">
                    <w:pPr>
                      <w:jc w:val="right"/>
                      <w:rPr>
                        <w:sz w:val="16"/>
                        <w:szCs w:val="16"/>
                      </w:rPr>
                    </w:pPr>
                    <w:r w:rsidRPr="00965429">
                      <w:rPr>
                        <w:sz w:val="16"/>
                        <w:szCs w:val="16"/>
                      </w:rPr>
                      <w:t>-</w:t>
                    </w:r>
                  </w:p>
                </w:tc>
                <w:tc>
                  <w:tcPr>
                    <w:tcW w:w="1559" w:type="dxa"/>
                    <w:vAlign w:val="center"/>
                  </w:tcPr>
                  <w:p w:rsidR="009B7C9A" w:rsidRPr="00965429" w:rsidRDefault="009B7C9A" w:rsidP="00B637B2">
                    <w:pPr>
                      <w:jc w:val="right"/>
                      <w:rPr>
                        <w:sz w:val="16"/>
                        <w:szCs w:val="16"/>
                      </w:rPr>
                    </w:pPr>
                    <w:r w:rsidRPr="00965429">
                      <w:rPr>
                        <w:sz w:val="16"/>
                        <w:szCs w:val="16"/>
                      </w:rPr>
                      <w:t>-</w:t>
                    </w:r>
                  </w:p>
                </w:tc>
                <w:tc>
                  <w:tcPr>
                    <w:tcW w:w="1559" w:type="dxa"/>
                    <w:vAlign w:val="center"/>
                  </w:tcPr>
                  <w:p w:rsidR="009B7C9A" w:rsidRPr="00965429" w:rsidRDefault="005E617C" w:rsidP="00B637B2">
                    <w:pPr>
                      <w:jc w:val="right"/>
                      <w:rPr>
                        <w:sz w:val="16"/>
                        <w:szCs w:val="16"/>
                      </w:rPr>
                    </w:pPr>
                    <w:r>
                      <w:rPr>
                        <w:rFonts w:hint="eastAsia"/>
                        <w:sz w:val="16"/>
                        <w:szCs w:val="16"/>
                      </w:rPr>
                      <w:t>-</w:t>
                    </w:r>
                  </w:p>
                </w:tc>
              </w:tr>
              <w:tr w:rsidR="00B637B2" w:rsidTr="00B637B2">
                <w:trPr>
                  <w:trHeight w:val="20"/>
                </w:trPr>
                <w:sdt>
                  <w:sdtPr>
                    <w:rPr>
                      <w:sz w:val="16"/>
                      <w:szCs w:val="16"/>
                    </w:rPr>
                    <w:tag w:val="_PLD_ba5c81951f1c4ff0a188b55532ed96a5"/>
                    <w:id w:val="1725254509"/>
                    <w:lock w:val="sdtLocked"/>
                  </w:sdtPr>
                  <w:sdtContent>
                    <w:tc>
                      <w:tcPr>
                        <w:tcW w:w="1985" w:type="dxa"/>
                      </w:tcPr>
                      <w:p w:rsidR="009B7C9A" w:rsidRPr="00965429" w:rsidRDefault="009B7C9A" w:rsidP="009B7C9A">
                        <w:pPr>
                          <w:rPr>
                            <w:sz w:val="16"/>
                            <w:szCs w:val="16"/>
                          </w:rPr>
                        </w:pPr>
                        <w:r w:rsidRPr="00965429">
                          <w:rPr>
                            <w:sz w:val="16"/>
                            <w:szCs w:val="16"/>
                          </w:rPr>
                          <w:t>2．盈余公积转增资本（或股本）</w:t>
                        </w:r>
                      </w:p>
                    </w:tc>
                  </w:sdtContent>
                </w:sdt>
                <w:tc>
                  <w:tcPr>
                    <w:tcW w:w="1560" w:type="dxa"/>
                    <w:tcBorders>
                      <w:right w:val="single" w:sz="4" w:space="0" w:color="auto"/>
                    </w:tcBorders>
                    <w:vAlign w:val="center"/>
                  </w:tcPr>
                  <w:p w:rsidR="009B7C9A" w:rsidRPr="00965429" w:rsidRDefault="009B7C9A" w:rsidP="00B637B2">
                    <w:pPr>
                      <w:jc w:val="right"/>
                      <w:rPr>
                        <w:sz w:val="16"/>
                        <w:szCs w:val="16"/>
                      </w:rPr>
                    </w:pPr>
                    <w:r w:rsidRPr="00965429">
                      <w:rPr>
                        <w:sz w:val="16"/>
                        <w:szCs w:val="16"/>
                      </w:rPr>
                      <w:t>-</w:t>
                    </w:r>
                  </w:p>
                </w:tc>
                <w:tc>
                  <w:tcPr>
                    <w:tcW w:w="425" w:type="dxa"/>
                    <w:tcBorders>
                      <w:left w:val="single" w:sz="4" w:space="0" w:color="auto"/>
                      <w:right w:val="single" w:sz="4" w:space="0" w:color="auto"/>
                    </w:tcBorders>
                    <w:vAlign w:val="center"/>
                  </w:tcPr>
                  <w:p w:rsidR="009B7C9A" w:rsidRPr="00965429" w:rsidRDefault="009B7C9A" w:rsidP="00B637B2">
                    <w:pPr>
                      <w:jc w:val="right"/>
                      <w:rPr>
                        <w:sz w:val="16"/>
                        <w:szCs w:val="16"/>
                      </w:rPr>
                    </w:pPr>
                    <w:r w:rsidRPr="00965429">
                      <w:rPr>
                        <w:sz w:val="16"/>
                        <w:szCs w:val="16"/>
                      </w:rPr>
                      <w:t>-</w:t>
                    </w:r>
                  </w:p>
                </w:tc>
                <w:tc>
                  <w:tcPr>
                    <w:tcW w:w="425" w:type="dxa"/>
                    <w:tcBorders>
                      <w:left w:val="single" w:sz="4" w:space="0" w:color="auto"/>
                      <w:right w:val="single" w:sz="4" w:space="0" w:color="auto"/>
                    </w:tcBorders>
                    <w:vAlign w:val="center"/>
                  </w:tcPr>
                  <w:p w:rsidR="009B7C9A" w:rsidRPr="00965429" w:rsidRDefault="009B7C9A" w:rsidP="00B637B2">
                    <w:pPr>
                      <w:jc w:val="right"/>
                      <w:rPr>
                        <w:sz w:val="16"/>
                        <w:szCs w:val="16"/>
                      </w:rPr>
                    </w:pPr>
                    <w:r w:rsidRPr="00965429">
                      <w:rPr>
                        <w:sz w:val="16"/>
                        <w:szCs w:val="16"/>
                      </w:rPr>
                      <w:t>-</w:t>
                    </w:r>
                  </w:p>
                </w:tc>
                <w:tc>
                  <w:tcPr>
                    <w:tcW w:w="425" w:type="dxa"/>
                    <w:tcBorders>
                      <w:left w:val="single" w:sz="4" w:space="0" w:color="auto"/>
                    </w:tcBorders>
                    <w:vAlign w:val="center"/>
                  </w:tcPr>
                  <w:p w:rsidR="009B7C9A" w:rsidRPr="00965429" w:rsidRDefault="009B7C9A" w:rsidP="00B637B2">
                    <w:pPr>
                      <w:jc w:val="right"/>
                      <w:rPr>
                        <w:sz w:val="16"/>
                        <w:szCs w:val="16"/>
                      </w:rPr>
                    </w:pPr>
                    <w:r w:rsidRPr="00965429">
                      <w:rPr>
                        <w:sz w:val="16"/>
                        <w:szCs w:val="16"/>
                      </w:rPr>
                      <w:t>-</w:t>
                    </w:r>
                  </w:p>
                </w:tc>
                <w:tc>
                  <w:tcPr>
                    <w:tcW w:w="1560" w:type="dxa"/>
                    <w:vAlign w:val="center"/>
                  </w:tcPr>
                  <w:p w:rsidR="009B7C9A" w:rsidRPr="00965429" w:rsidRDefault="009B7C9A" w:rsidP="00B637B2">
                    <w:pPr>
                      <w:jc w:val="right"/>
                      <w:rPr>
                        <w:sz w:val="16"/>
                        <w:szCs w:val="16"/>
                      </w:rPr>
                    </w:pPr>
                    <w:r w:rsidRPr="00965429">
                      <w:rPr>
                        <w:sz w:val="16"/>
                        <w:szCs w:val="16"/>
                      </w:rPr>
                      <w:t>-</w:t>
                    </w:r>
                  </w:p>
                </w:tc>
                <w:tc>
                  <w:tcPr>
                    <w:tcW w:w="1559" w:type="dxa"/>
                    <w:vAlign w:val="center"/>
                  </w:tcPr>
                  <w:p w:rsidR="009B7C9A" w:rsidRPr="00965429" w:rsidRDefault="009B7C9A" w:rsidP="00B637B2">
                    <w:pPr>
                      <w:jc w:val="right"/>
                      <w:rPr>
                        <w:sz w:val="16"/>
                        <w:szCs w:val="16"/>
                      </w:rPr>
                    </w:pPr>
                    <w:r w:rsidRPr="00965429">
                      <w:rPr>
                        <w:sz w:val="16"/>
                        <w:szCs w:val="16"/>
                      </w:rPr>
                      <w:t>-</w:t>
                    </w:r>
                  </w:p>
                </w:tc>
                <w:tc>
                  <w:tcPr>
                    <w:tcW w:w="1559" w:type="dxa"/>
                    <w:vAlign w:val="center"/>
                  </w:tcPr>
                  <w:p w:rsidR="009B7C9A" w:rsidRPr="00965429" w:rsidRDefault="009B7C9A" w:rsidP="00B637B2">
                    <w:pPr>
                      <w:jc w:val="right"/>
                      <w:rPr>
                        <w:sz w:val="16"/>
                        <w:szCs w:val="16"/>
                      </w:rPr>
                    </w:pPr>
                    <w:r w:rsidRPr="00965429">
                      <w:rPr>
                        <w:sz w:val="16"/>
                        <w:szCs w:val="16"/>
                      </w:rPr>
                      <w:t>-</w:t>
                    </w:r>
                  </w:p>
                </w:tc>
                <w:tc>
                  <w:tcPr>
                    <w:tcW w:w="1559" w:type="dxa"/>
                    <w:vAlign w:val="center"/>
                  </w:tcPr>
                  <w:p w:rsidR="009B7C9A" w:rsidRPr="00965429" w:rsidRDefault="009B7C9A" w:rsidP="00B637B2">
                    <w:pPr>
                      <w:jc w:val="right"/>
                      <w:rPr>
                        <w:sz w:val="16"/>
                        <w:szCs w:val="16"/>
                      </w:rPr>
                    </w:pPr>
                    <w:r w:rsidRPr="00965429">
                      <w:rPr>
                        <w:sz w:val="16"/>
                        <w:szCs w:val="16"/>
                      </w:rPr>
                      <w:t>-</w:t>
                    </w:r>
                  </w:p>
                </w:tc>
                <w:tc>
                  <w:tcPr>
                    <w:tcW w:w="1560" w:type="dxa"/>
                    <w:vAlign w:val="center"/>
                  </w:tcPr>
                  <w:p w:rsidR="009B7C9A" w:rsidRPr="00965429" w:rsidRDefault="009B7C9A" w:rsidP="00B637B2">
                    <w:pPr>
                      <w:jc w:val="right"/>
                      <w:rPr>
                        <w:sz w:val="16"/>
                        <w:szCs w:val="16"/>
                      </w:rPr>
                    </w:pPr>
                    <w:r w:rsidRPr="00965429">
                      <w:rPr>
                        <w:sz w:val="16"/>
                        <w:szCs w:val="16"/>
                      </w:rPr>
                      <w:t>-</w:t>
                    </w:r>
                  </w:p>
                </w:tc>
                <w:tc>
                  <w:tcPr>
                    <w:tcW w:w="1559" w:type="dxa"/>
                    <w:vAlign w:val="center"/>
                  </w:tcPr>
                  <w:p w:rsidR="009B7C9A" w:rsidRPr="00965429" w:rsidRDefault="009B7C9A" w:rsidP="00B637B2">
                    <w:pPr>
                      <w:jc w:val="right"/>
                      <w:rPr>
                        <w:sz w:val="16"/>
                        <w:szCs w:val="16"/>
                      </w:rPr>
                    </w:pPr>
                    <w:r w:rsidRPr="00965429">
                      <w:rPr>
                        <w:sz w:val="16"/>
                        <w:szCs w:val="16"/>
                      </w:rPr>
                      <w:t>-</w:t>
                    </w:r>
                  </w:p>
                </w:tc>
                <w:tc>
                  <w:tcPr>
                    <w:tcW w:w="1559" w:type="dxa"/>
                    <w:vAlign w:val="center"/>
                  </w:tcPr>
                  <w:p w:rsidR="009B7C9A" w:rsidRPr="00965429" w:rsidRDefault="009B7C9A" w:rsidP="00B637B2">
                    <w:pPr>
                      <w:jc w:val="right"/>
                      <w:rPr>
                        <w:sz w:val="16"/>
                        <w:szCs w:val="16"/>
                      </w:rPr>
                    </w:pPr>
                    <w:r w:rsidRPr="00965429">
                      <w:rPr>
                        <w:sz w:val="16"/>
                        <w:szCs w:val="16"/>
                      </w:rPr>
                      <w:t>-</w:t>
                    </w:r>
                  </w:p>
                </w:tc>
              </w:tr>
              <w:tr w:rsidR="00B637B2" w:rsidTr="00B637B2">
                <w:trPr>
                  <w:trHeight w:val="20"/>
                </w:trPr>
                <w:sdt>
                  <w:sdtPr>
                    <w:rPr>
                      <w:sz w:val="16"/>
                      <w:szCs w:val="16"/>
                    </w:rPr>
                    <w:tag w:val="_PLD_81b068c4cdf2482a9438450e52e9b3b4"/>
                    <w:id w:val="-160629655"/>
                    <w:lock w:val="sdtLocked"/>
                  </w:sdtPr>
                  <w:sdtContent>
                    <w:tc>
                      <w:tcPr>
                        <w:tcW w:w="1985" w:type="dxa"/>
                      </w:tcPr>
                      <w:p w:rsidR="009B7C9A" w:rsidRPr="00965429" w:rsidRDefault="009B7C9A" w:rsidP="009B7C9A">
                        <w:pPr>
                          <w:rPr>
                            <w:sz w:val="16"/>
                            <w:szCs w:val="16"/>
                          </w:rPr>
                        </w:pPr>
                        <w:r w:rsidRPr="00965429">
                          <w:rPr>
                            <w:sz w:val="16"/>
                            <w:szCs w:val="16"/>
                          </w:rPr>
                          <w:t>3．盈余公积弥补亏损</w:t>
                        </w:r>
                      </w:p>
                    </w:tc>
                  </w:sdtContent>
                </w:sdt>
                <w:tc>
                  <w:tcPr>
                    <w:tcW w:w="1560" w:type="dxa"/>
                    <w:tcBorders>
                      <w:right w:val="single" w:sz="4" w:space="0" w:color="auto"/>
                    </w:tcBorders>
                    <w:vAlign w:val="center"/>
                  </w:tcPr>
                  <w:p w:rsidR="009B7C9A" w:rsidRPr="00965429" w:rsidRDefault="009B7C9A" w:rsidP="00B637B2">
                    <w:pPr>
                      <w:jc w:val="right"/>
                      <w:rPr>
                        <w:sz w:val="16"/>
                        <w:szCs w:val="16"/>
                      </w:rPr>
                    </w:pPr>
                    <w:r w:rsidRPr="00965429">
                      <w:rPr>
                        <w:sz w:val="16"/>
                        <w:szCs w:val="16"/>
                      </w:rPr>
                      <w:t>-</w:t>
                    </w:r>
                  </w:p>
                </w:tc>
                <w:tc>
                  <w:tcPr>
                    <w:tcW w:w="425" w:type="dxa"/>
                    <w:tcBorders>
                      <w:left w:val="single" w:sz="4" w:space="0" w:color="auto"/>
                      <w:right w:val="single" w:sz="4" w:space="0" w:color="auto"/>
                    </w:tcBorders>
                    <w:vAlign w:val="center"/>
                  </w:tcPr>
                  <w:p w:rsidR="009B7C9A" w:rsidRPr="00965429" w:rsidRDefault="009B7C9A" w:rsidP="00B637B2">
                    <w:pPr>
                      <w:jc w:val="right"/>
                      <w:rPr>
                        <w:sz w:val="16"/>
                        <w:szCs w:val="16"/>
                      </w:rPr>
                    </w:pPr>
                    <w:r w:rsidRPr="00965429">
                      <w:rPr>
                        <w:sz w:val="16"/>
                        <w:szCs w:val="16"/>
                      </w:rPr>
                      <w:t>-</w:t>
                    </w:r>
                  </w:p>
                </w:tc>
                <w:tc>
                  <w:tcPr>
                    <w:tcW w:w="425" w:type="dxa"/>
                    <w:tcBorders>
                      <w:left w:val="single" w:sz="4" w:space="0" w:color="auto"/>
                      <w:right w:val="single" w:sz="4" w:space="0" w:color="auto"/>
                    </w:tcBorders>
                    <w:vAlign w:val="center"/>
                  </w:tcPr>
                  <w:p w:rsidR="009B7C9A" w:rsidRPr="00965429" w:rsidRDefault="009B7C9A" w:rsidP="00B637B2">
                    <w:pPr>
                      <w:jc w:val="right"/>
                      <w:rPr>
                        <w:sz w:val="16"/>
                        <w:szCs w:val="16"/>
                      </w:rPr>
                    </w:pPr>
                    <w:r w:rsidRPr="00965429">
                      <w:rPr>
                        <w:sz w:val="16"/>
                        <w:szCs w:val="16"/>
                      </w:rPr>
                      <w:t>-</w:t>
                    </w:r>
                  </w:p>
                </w:tc>
                <w:tc>
                  <w:tcPr>
                    <w:tcW w:w="425" w:type="dxa"/>
                    <w:tcBorders>
                      <w:left w:val="single" w:sz="4" w:space="0" w:color="auto"/>
                    </w:tcBorders>
                    <w:vAlign w:val="center"/>
                  </w:tcPr>
                  <w:p w:rsidR="009B7C9A" w:rsidRPr="00965429" w:rsidRDefault="009B7C9A" w:rsidP="00B637B2">
                    <w:pPr>
                      <w:jc w:val="right"/>
                      <w:rPr>
                        <w:sz w:val="16"/>
                        <w:szCs w:val="16"/>
                      </w:rPr>
                    </w:pPr>
                    <w:r w:rsidRPr="00965429">
                      <w:rPr>
                        <w:sz w:val="16"/>
                        <w:szCs w:val="16"/>
                      </w:rPr>
                      <w:t>-</w:t>
                    </w:r>
                  </w:p>
                </w:tc>
                <w:tc>
                  <w:tcPr>
                    <w:tcW w:w="1560" w:type="dxa"/>
                    <w:vAlign w:val="center"/>
                  </w:tcPr>
                  <w:p w:rsidR="009B7C9A" w:rsidRPr="00965429" w:rsidRDefault="009B7C9A" w:rsidP="00B637B2">
                    <w:pPr>
                      <w:jc w:val="right"/>
                      <w:rPr>
                        <w:sz w:val="16"/>
                        <w:szCs w:val="16"/>
                      </w:rPr>
                    </w:pPr>
                    <w:r w:rsidRPr="00965429">
                      <w:rPr>
                        <w:sz w:val="16"/>
                        <w:szCs w:val="16"/>
                      </w:rPr>
                      <w:t>-</w:t>
                    </w:r>
                  </w:p>
                </w:tc>
                <w:tc>
                  <w:tcPr>
                    <w:tcW w:w="1559" w:type="dxa"/>
                    <w:vAlign w:val="center"/>
                  </w:tcPr>
                  <w:p w:rsidR="009B7C9A" w:rsidRPr="00965429" w:rsidRDefault="009B7C9A" w:rsidP="00B637B2">
                    <w:pPr>
                      <w:jc w:val="right"/>
                      <w:rPr>
                        <w:sz w:val="16"/>
                        <w:szCs w:val="16"/>
                      </w:rPr>
                    </w:pPr>
                    <w:r w:rsidRPr="00965429">
                      <w:rPr>
                        <w:sz w:val="16"/>
                        <w:szCs w:val="16"/>
                      </w:rPr>
                      <w:t>-</w:t>
                    </w:r>
                  </w:p>
                </w:tc>
                <w:tc>
                  <w:tcPr>
                    <w:tcW w:w="1559" w:type="dxa"/>
                    <w:vAlign w:val="center"/>
                  </w:tcPr>
                  <w:p w:rsidR="009B7C9A" w:rsidRPr="00965429" w:rsidRDefault="009B7C9A" w:rsidP="00B637B2">
                    <w:pPr>
                      <w:jc w:val="right"/>
                      <w:rPr>
                        <w:sz w:val="16"/>
                        <w:szCs w:val="16"/>
                      </w:rPr>
                    </w:pPr>
                    <w:r w:rsidRPr="00965429">
                      <w:rPr>
                        <w:sz w:val="16"/>
                        <w:szCs w:val="16"/>
                      </w:rPr>
                      <w:t>-</w:t>
                    </w:r>
                  </w:p>
                </w:tc>
                <w:tc>
                  <w:tcPr>
                    <w:tcW w:w="1559" w:type="dxa"/>
                    <w:vAlign w:val="center"/>
                  </w:tcPr>
                  <w:p w:rsidR="009B7C9A" w:rsidRPr="00965429" w:rsidRDefault="009B7C9A" w:rsidP="00B637B2">
                    <w:pPr>
                      <w:jc w:val="right"/>
                      <w:rPr>
                        <w:sz w:val="16"/>
                        <w:szCs w:val="16"/>
                      </w:rPr>
                    </w:pPr>
                    <w:r w:rsidRPr="00965429">
                      <w:rPr>
                        <w:sz w:val="16"/>
                        <w:szCs w:val="16"/>
                      </w:rPr>
                      <w:t>-</w:t>
                    </w:r>
                  </w:p>
                </w:tc>
                <w:tc>
                  <w:tcPr>
                    <w:tcW w:w="1560" w:type="dxa"/>
                    <w:vAlign w:val="center"/>
                  </w:tcPr>
                  <w:p w:rsidR="009B7C9A" w:rsidRPr="00965429" w:rsidRDefault="009B7C9A" w:rsidP="00B637B2">
                    <w:pPr>
                      <w:jc w:val="right"/>
                      <w:rPr>
                        <w:sz w:val="16"/>
                        <w:szCs w:val="16"/>
                      </w:rPr>
                    </w:pPr>
                    <w:r w:rsidRPr="00965429">
                      <w:rPr>
                        <w:sz w:val="16"/>
                        <w:szCs w:val="16"/>
                      </w:rPr>
                      <w:t>-</w:t>
                    </w:r>
                  </w:p>
                </w:tc>
                <w:tc>
                  <w:tcPr>
                    <w:tcW w:w="1559" w:type="dxa"/>
                    <w:vAlign w:val="center"/>
                  </w:tcPr>
                  <w:p w:rsidR="009B7C9A" w:rsidRPr="00965429" w:rsidRDefault="009B7C9A" w:rsidP="00B637B2">
                    <w:pPr>
                      <w:jc w:val="right"/>
                      <w:rPr>
                        <w:sz w:val="16"/>
                        <w:szCs w:val="16"/>
                      </w:rPr>
                    </w:pPr>
                    <w:r w:rsidRPr="00965429">
                      <w:rPr>
                        <w:sz w:val="16"/>
                        <w:szCs w:val="16"/>
                      </w:rPr>
                      <w:t>-</w:t>
                    </w:r>
                  </w:p>
                </w:tc>
                <w:tc>
                  <w:tcPr>
                    <w:tcW w:w="1559" w:type="dxa"/>
                    <w:vAlign w:val="center"/>
                  </w:tcPr>
                  <w:p w:rsidR="009B7C9A" w:rsidRPr="00965429" w:rsidRDefault="009B7C9A" w:rsidP="00B637B2">
                    <w:pPr>
                      <w:jc w:val="right"/>
                      <w:rPr>
                        <w:sz w:val="16"/>
                        <w:szCs w:val="16"/>
                      </w:rPr>
                    </w:pPr>
                    <w:r w:rsidRPr="00965429">
                      <w:rPr>
                        <w:sz w:val="16"/>
                        <w:szCs w:val="16"/>
                      </w:rPr>
                      <w:t>-</w:t>
                    </w:r>
                  </w:p>
                </w:tc>
              </w:tr>
              <w:tr w:rsidR="00B637B2" w:rsidTr="00B637B2">
                <w:trPr>
                  <w:trHeight w:val="20"/>
                </w:trPr>
                <w:tc>
                  <w:tcPr>
                    <w:tcW w:w="1985" w:type="dxa"/>
                  </w:tcPr>
                  <w:sdt>
                    <w:sdtPr>
                      <w:rPr>
                        <w:sz w:val="16"/>
                        <w:szCs w:val="16"/>
                      </w:rPr>
                      <w:tag w:val="_PLD_0e7647effaeb42219d706b118465bdec"/>
                      <w:id w:val="-991331268"/>
                      <w:lock w:val="sdtLocked"/>
                    </w:sdtPr>
                    <w:sdtContent>
                      <w:p w:rsidR="009B7C9A" w:rsidRPr="00965429" w:rsidRDefault="009B7C9A" w:rsidP="009B7C9A">
                        <w:pPr>
                          <w:rPr>
                            <w:sz w:val="16"/>
                            <w:szCs w:val="16"/>
                          </w:rPr>
                        </w:pPr>
                        <w:r w:rsidRPr="00965429">
                          <w:rPr>
                            <w:sz w:val="16"/>
                            <w:szCs w:val="16"/>
                          </w:rPr>
                          <w:t>4．设定受益计划变动额结转留存收益</w:t>
                        </w:r>
                      </w:p>
                    </w:sdtContent>
                  </w:sdt>
                </w:tc>
                <w:tc>
                  <w:tcPr>
                    <w:tcW w:w="1560" w:type="dxa"/>
                    <w:tcBorders>
                      <w:right w:val="single" w:sz="4" w:space="0" w:color="auto"/>
                    </w:tcBorders>
                    <w:vAlign w:val="center"/>
                  </w:tcPr>
                  <w:p w:rsidR="009B7C9A" w:rsidRPr="00965429" w:rsidRDefault="009B7C9A" w:rsidP="00B637B2">
                    <w:pPr>
                      <w:jc w:val="right"/>
                      <w:rPr>
                        <w:sz w:val="16"/>
                        <w:szCs w:val="16"/>
                      </w:rPr>
                    </w:pPr>
                    <w:r w:rsidRPr="00965429">
                      <w:rPr>
                        <w:sz w:val="16"/>
                        <w:szCs w:val="16"/>
                      </w:rPr>
                      <w:t>-</w:t>
                    </w:r>
                  </w:p>
                </w:tc>
                <w:tc>
                  <w:tcPr>
                    <w:tcW w:w="425" w:type="dxa"/>
                    <w:tcBorders>
                      <w:left w:val="single" w:sz="4" w:space="0" w:color="auto"/>
                      <w:right w:val="single" w:sz="4" w:space="0" w:color="auto"/>
                    </w:tcBorders>
                    <w:vAlign w:val="center"/>
                  </w:tcPr>
                  <w:p w:rsidR="009B7C9A" w:rsidRPr="00965429" w:rsidRDefault="009B7C9A" w:rsidP="00B637B2">
                    <w:pPr>
                      <w:jc w:val="right"/>
                      <w:rPr>
                        <w:sz w:val="16"/>
                        <w:szCs w:val="16"/>
                      </w:rPr>
                    </w:pPr>
                    <w:r w:rsidRPr="00965429">
                      <w:rPr>
                        <w:sz w:val="16"/>
                        <w:szCs w:val="16"/>
                      </w:rPr>
                      <w:t>-</w:t>
                    </w:r>
                  </w:p>
                </w:tc>
                <w:tc>
                  <w:tcPr>
                    <w:tcW w:w="425" w:type="dxa"/>
                    <w:tcBorders>
                      <w:left w:val="single" w:sz="4" w:space="0" w:color="auto"/>
                      <w:right w:val="single" w:sz="4" w:space="0" w:color="auto"/>
                    </w:tcBorders>
                    <w:vAlign w:val="center"/>
                  </w:tcPr>
                  <w:p w:rsidR="009B7C9A" w:rsidRPr="00965429" w:rsidRDefault="009B7C9A" w:rsidP="00B637B2">
                    <w:pPr>
                      <w:jc w:val="right"/>
                      <w:rPr>
                        <w:sz w:val="16"/>
                        <w:szCs w:val="16"/>
                      </w:rPr>
                    </w:pPr>
                    <w:r w:rsidRPr="00965429">
                      <w:rPr>
                        <w:sz w:val="16"/>
                        <w:szCs w:val="16"/>
                      </w:rPr>
                      <w:t>-</w:t>
                    </w:r>
                  </w:p>
                </w:tc>
                <w:tc>
                  <w:tcPr>
                    <w:tcW w:w="425" w:type="dxa"/>
                    <w:tcBorders>
                      <w:left w:val="single" w:sz="4" w:space="0" w:color="auto"/>
                    </w:tcBorders>
                    <w:vAlign w:val="center"/>
                  </w:tcPr>
                  <w:p w:rsidR="009B7C9A" w:rsidRPr="00965429" w:rsidRDefault="009B7C9A" w:rsidP="00B637B2">
                    <w:pPr>
                      <w:jc w:val="right"/>
                      <w:rPr>
                        <w:sz w:val="16"/>
                        <w:szCs w:val="16"/>
                      </w:rPr>
                    </w:pPr>
                    <w:r w:rsidRPr="00965429">
                      <w:rPr>
                        <w:sz w:val="16"/>
                        <w:szCs w:val="16"/>
                      </w:rPr>
                      <w:t>-</w:t>
                    </w:r>
                  </w:p>
                </w:tc>
                <w:tc>
                  <w:tcPr>
                    <w:tcW w:w="1560" w:type="dxa"/>
                    <w:vAlign w:val="center"/>
                  </w:tcPr>
                  <w:p w:rsidR="009B7C9A" w:rsidRPr="00965429" w:rsidRDefault="009B7C9A" w:rsidP="00B637B2">
                    <w:pPr>
                      <w:jc w:val="right"/>
                      <w:rPr>
                        <w:sz w:val="16"/>
                        <w:szCs w:val="16"/>
                      </w:rPr>
                    </w:pPr>
                    <w:r w:rsidRPr="00965429">
                      <w:rPr>
                        <w:sz w:val="16"/>
                        <w:szCs w:val="16"/>
                      </w:rPr>
                      <w:t>-</w:t>
                    </w:r>
                  </w:p>
                </w:tc>
                <w:tc>
                  <w:tcPr>
                    <w:tcW w:w="1559" w:type="dxa"/>
                    <w:vAlign w:val="center"/>
                  </w:tcPr>
                  <w:p w:rsidR="009B7C9A" w:rsidRPr="00965429" w:rsidRDefault="009B7C9A" w:rsidP="00B637B2">
                    <w:pPr>
                      <w:jc w:val="right"/>
                      <w:rPr>
                        <w:sz w:val="16"/>
                        <w:szCs w:val="16"/>
                      </w:rPr>
                    </w:pPr>
                    <w:r w:rsidRPr="00965429">
                      <w:rPr>
                        <w:sz w:val="16"/>
                        <w:szCs w:val="16"/>
                      </w:rPr>
                      <w:t>-</w:t>
                    </w:r>
                  </w:p>
                </w:tc>
                <w:tc>
                  <w:tcPr>
                    <w:tcW w:w="1559" w:type="dxa"/>
                    <w:vAlign w:val="center"/>
                  </w:tcPr>
                  <w:p w:rsidR="009B7C9A" w:rsidRPr="00965429" w:rsidRDefault="009B7C9A" w:rsidP="00B637B2">
                    <w:pPr>
                      <w:jc w:val="right"/>
                      <w:rPr>
                        <w:sz w:val="16"/>
                        <w:szCs w:val="16"/>
                      </w:rPr>
                    </w:pPr>
                    <w:r w:rsidRPr="00965429">
                      <w:rPr>
                        <w:sz w:val="16"/>
                        <w:szCs w:val="16"/>
                      </w:rPr>
                      <w:t>-</w:t>
                    </w:r>
                  </w:p>
                </w:tc>
                <w:tc>
                  <w:tcPr>
                    <w:tcW w:w="1559" w:type="dxa"/>
                    <w:vAlign w:val="center"/>
                  </w:tcPr>
                  <w:p w:rsidR="009B7C9A" w:rsidRPr="00965429" w:rsidRDefault="009B7C9A" w:rsidP="00B637B2">
                    <w:pPr>
                      <w:jc w:val="right"/>
                      <w:rPr>
                        <w:sz w:val="16"/>
                        <w:szCs w:val="16"/>
                      </w:rPr>
                    </w:pPr>
                    <w:r w:rsidRPr="00965429">
                      <w:rPr>
                        <w:sz w:val="16"/>
                        <w:szCs w:val="16"/>
                      </w:rPr>
                      <w:t>-</w:t>
                    </w:r>
                  </w:p>
                </w:tc>
                <w:tc>
                  <w:tcPr>
                    <w:tcW w:w="1560" w:type="dxa"/>
                    <w:vAlign w:val="center"/>
                  </w:tcPr>
                  <w:p w:rsidR="009B7C9A" w:rsidRPr="00965429" w:rsidRDefault="009B7C9A" w:rsidP="00B637B2">
                    <w:pPr>
                      <w:jc w:val="right"/>
                      <w:rPr>
                        <w:sz w:val="16"/>
                        <w:szCs w:val="16"/>
                      </w:rPr>
                    </w:pPr>
                    <w:r w:rsidRPr="00965429">
                      <w:rPr>
                        <w:sz w:val="16"/>
                        <w:szCs w:val="16"/>
                      </w:rPr>
                      <w:t>-</w:t>
                    </w:r>
                  </w:p>
                </w:tc>
                <w:tc>
                  <w:tcPr>
                    <w:tcW w:w="1559" w:type="dxa"/>
                    <w:vAlign w:val="center"/>
                  </w:tcPr>
                  <w:p w:rsidR="009B7C9A" w:rsidRPr="00965429" w:rsidRDefault="009B7C9A" w:rsidP="00B637B2">
                    <w:pPr>
                      <w:jc w:val="right"/>
                      <w:rPr>
                        <w:sz w:val="16"/>
                        <w:szCs w:val="16"/>
                      </w:rPr>
                    </w:pPr>
                    <w:r w:rsidRPr="00965429">
                      <w:rPr>
                        <w:sz w:val="16"/>
                        <w:szCs w:val="16"/>
                      </w:rPr>
                      <w:t>-</w:t>
                    </w:r>
                  </w:p>
                </w:tc>
                <w:tc>
                  <w:tcPr>
                    <w:tcW w:w="1559" w:type="dxa"/>
                    <w:vAlign w:val="center"/>
                  </w:tcPr>
                  <w:p w:rsidR="009B7C9A" w:rsidRPr="00965429" w:rsidRDefault="009B7C9A" w:rsidP="00B637B2">
                    <w:pPr>
                      <w:jc w:val="right"/>
                      <w:rPr>
                        <w:sz w:val="16"/>
                        <w:szCs w:val="16"/>
                      </w:rPr>
                    </w:pPr>
                    <w:r w:rsidRPr="00965429">
                      <w:rPr>
                        <w:sz w:val="16"/>
                        <w:szCs w:val="16"/>
                      </w:rPr>
                      <w:t>-</w:t>
                    </w:r>
                  </w:p>
                </w:tc>
              </w:tr>
              <w:tr w:rsidR="00B637B2" w:rsidTr="00B637B2">
                <w:trPr>
                  <w:trHeight w:val="20"/>
                </w:trPr>
                <w:tc>
                  <w:tcPr>
                    <w:tcW w:w="1985" w:type="dxa"/>
                  </w:tcPr>
                  <w:sdt>
                    <w:sdtPr>
                      <w:rPr>
                        <w:sz w:val="16"/>
                        <w:szCs w:val="16"/>
                      </w:rPr>
                      <w:tag w:val="_PLD_1c8ba4a0bb224c1d891e628390545199"/>
                      <w:id w:val="1518960838"/>
                      <w:lock w:val="sdtLocked"/>
                    </w:sdtPr>
                    <w:sdtContent>
                      <w:p w:rsidR="009B7C9A" w:rsidRPr="00965429" w:rsidRDefault="009B7C9A" w:rsidP="009B7C9A">
                        <w:pPr>
                          <w:rPr>
                            <w:sz w:val="16"/>
                            <w:szCs w:val="16"/>
                          </w:rPr>
                        </w:pPr>
                        <w:r w:rsidRPr="00965429">
                          <w:rPr>
                            <w:sz w:val="16"/>
                            <w:szCs w:val="16"/>
                          </w:rPr>
                          <w:t>5．其他综合收益结转留存收益</w:t>
                        </w:r>
                      </w:p>
                    </w:sdtContent>
                  </w:sdt>
                </w:tc>
                <w:tc>
                  <w:tcPr>
                    <w:tcW w:w="1560" w:type="dxa"/>
                    <w:tcBorders>
                      <w:right w:val="single" w:sz="4" w:space="0" w:color="auto"/>
                    </w:tcBorders>
                    <w:vAlign w:val="center"/>
                  </w:tcPr>
                  <w:p w:rsidR="009B7C9A" w:rsidRPr="00965429" w:rsidRDefault="009B7C9A" w:rsidP="00B637B2">
                    <w:pPr>
                      <w:jc w:val="right"/>
                      <w:rPr>
                        <w:sz w:val="16"/>
                        <w:szCs w:val="16"/>
                      </w:rPr>
                    </w:pPr>
                    <w:r w:rsidRPr="00965429">
                      <w:rPr>
                        <w:sz w:val="16"/>
                        <w:szCs w:val="16"/>
                      </w:rPr>
                      <w:t>-</w:t>
                    </w:r>
                  </w:p>
                </w:tc>
                <w:tc>
                  <w:tcPr>
                    <w:tcW w:w="425" w:type="dxa"/>
                    <w:tcBorders>
                      <w:left w:val="single" w:sz="4" w:space="0" w:color="auto"/>
                      <w:right w:val="single" w:sz="4" w:space="0" w:color="auto"/>
                    </w:tcBorders>
                    <w:vAlign w:val="center"/>
                  </w:tcPr>
                  <w:p w:rsidR="009B7C9A" w:rsidRPr="00965429" w:rsidRDefault="009B7C9A" w:rsidP="00B637B2">
                    <w:pPr>
                      <w:jc w:val="right"/>
                      <w:rPr>
                        <w:sz w:val="16"/>
                        <w:szCs w:val="16"/>
                      </w:rPr>
                    </w:pPr>
                    <w:r w:rsidRPr="00965429">
                      <w:rPr>
                        <w:sz w:val="16"/>
                        <w:szCs w:val="16"/>
                      </w:rPr>
                      <w:t>-</w:t>
                    </w:r>
                  </w:p>
                </w:tc>
                <w:tc>
                  <w:tcPr>
                    <w:tcW w:w="425" w:type="dxa"/>
                    <w:tcBorders>
                      <w:left w:val="single" w:sz="4" w:space="0" w:color="auto"/>
                      <w:right w:val="single" w:sz="4" w:space="0" w:color="auto"/>
                    </w:tcBorders>
                    <w:vAlign w:val="center"/>
                  </w:tcPr>
                  <w:p w:rsidR="009B7C9A" w:rsidRPr="00965429" w:rsidRDefault="009B7C9A" w:rsidP="00B637B2">
                    <w:pPr>
                      <w:jc w:val="right"/>
                      <w:rPr>
                        <w:sz w:val="16"/>
                        <w:szCs w:val="16"/>
                      </w:rPr>
                    </w:pPr>
                    <w:r w:rsidRPr="00965429">
                      <w:rPr>
                        <w:sz w:val="16"/>
                        <w:szCs w:val="16"/>
                      </w:rPr>
                      <w:t>-</w:t>
                    </w:r>
                  </w:p>
                </w:tc>
                <w:tc>
                  <w:tcPr>
                    <w:tcW w:w="425" w:type="dxa"/>
                    <w:tcBorders>
                      <w:left w:val="single" w:sz="4" w:space="0" w:color="auto"/>
                    </w:tcBorders>
                    <w:vAlign w:val="center"/>
                  </w:tcPr>
                  <w:p w:rsidR="009B7C9A" w:rsidRPr="00965429" w:rsidRDefault="009B7C9A" w:rsidP="00B637B2">
                    <w:pPr>
                      <w:jc w:val="right"/>
                      <w:rPr>
                        <w:sz w:val="16"/>
                        <w:szCs w:val="16"/>
                      </w:rPr>
                    </w:pPr>
                    <w:r w:rsidRPr="00965429">
                      <w:rPr>
                        <w:sz w:val="16"/>
                        <w:szCs w:val="16"/>
                      </w:rPr>
                      <w:t>-</w:t>
                    </w:r>
                  </w:p>
                </w:tc>
                <w:tc>
                  <w:tcPr>
                    <w:tcW w:w="1560" w:type="dxa"/>
                    <w:vAlign w:val="center"/>
                  </w:tcPr>
                  <w:p w:rsidR="009B7C9A" w:rsidRPr="00965429" w:rsidRDefault="009B7C9A" w:rsidP="00B637B2">
                    <w:pPr>
                      <w:jc w:val="right"/>
                      <w:rPr>
                        <w:sz w:val="16"/>
                        <w:szCs w:val="16"/>
                      </w:rPr>
                    </w:pPr>
                    <w:r w:rsidRPr="00965429">
                      <w:rPr>
                        <w:sz w:val="16"/>
                        <w:szCs w:val="16"/>
                      </w:rPr>
                      <w:t>-</w:t>
                    </w:r>
                  </w:p>
                </w:tc>
                <w:tc>
                  <w:tcPr>
                    <w:tcW w:w="1559" w:type="dxa"/>
                    <w:vAlign w:val="center"/>
                  </w:tcPr>
                  <w:p w:rsidR="009B7C9A" w:rsidRPr="00965429" w:rsidRDefault="009B7C9A" w:rsidP="00B637B2">
                    <w:pPr>
                      <w:jc w:val="right"/>
                      <w:rPr>
                        <w:sz w:val="16"/>
                        <w:szCs w:val="16"/>
                      </w:rPr>
                    </w:pPr>
                    <w:r w:rsidRPr="00965429">
                      <w:rPr>
                        <w:sz w:val="16"/>
                        <w:szCs w:val="16"/>
                      </w:rPr>
                      <w:t>-</w:t>
                    </w:r>
                  </w:p>
                </w:tc>
                <w:tc>
                  <w:tcPr>
                    <w:tcW w:w="1559" w:type="dxa"/>
                    <w:vAlign w:val="center"/>
                  </w:tcPr>
                  <w:p w:rsidR="009B7C9A" w:rsidRPr="00965429" w:rsidRDefault="009B7C9A" w:rsidP="00B637B2">
                    <w:pPr>
                      <w:jc w:val="right"/>
                      <w:rPr>
                        <w:sz w:val="16"/>
                        <w:szCs w:val="16"/>
                      </w:rPr>
                    </w:pPr>
                    <w:r w:rsidRPr="00965429">
                      <w:rPr>
                        <w:sz w:val="16"/>
                        <w:szCs w:val="16"/>
                      </w:rPr>
                      <w:t>-</w:t>
                    </w:r>
                  </w:p>
                </w:tc>
                <w:tc>
                  <w:tcPr>
                    <w:tcW w:w="1559" w:type="dxa"/>
                    <w:vAlign w:val="center"/>
                  </w:tcPr>
                  <w:p w:rsidR="009B7C9A" w:rsidRPr="00965429" w:rsidRDefault="009B7C9A" w:rsidP="00B637B2">
                    <w:pPr>
                      <w:jc w:val="right"/>
                      <w:rPr>
                        <w:sz w:val="16"/>
                        <w:szCs w:val="16"/>
                      </w:rPr>
                    </w:pPr>
                    <w:r w:rsidRPr="00965429">
                      <w:rPr>
                        <w:sz w:val="16"/>
                        <w:szCs w:val="16"/>
                      </w:rPr>
                      <w:t>-</w:t>
                    </w:r>
                  </w:p>
                </w:tc>
                <w:tc>
                  <w:tcPr>
                    <w:tcW w:w="1560" w:type="dxa"/>
                    <w:vAlign w:val="center"/>
                  </w:tcPr>
                  <w:p w:rsidR="009B7C9A" w:rsidRPr="00965429" w:rsidRDefault="009B7C9A" w:rsidP="00B637B2">
                    <w:pPr>
                      <w:jc w:val="right"/>
                      <w:rPr>
                        <w:sz w:val="16"/>
                        <w:szCs w:val="16"/>
                      </w:rPr>
                    </w:pPr>
                    <w:r w:rsidRPr="00965429">
                      <w:rPr>
                        <w:sz w:val="16"/>
                        <w:szCs w:val="16"/>
                      </w:rPr>
                      <w:t>-</w:t>
                    </w:r>
                  </w:p>
                </w:tc>
                <w:tc>
                  <w:tcPr>
                    <w:tcW w:w="1559" w:type="dxa"/>
                    <w:vAlign w:val="center"/>
                  </w:tcPr>
                  <w:p w:rsidR="009B7C9A" w:rsidRPr="00965429" w:rsidRDefault="009B7C9A" w:rsidP="00B637B2">
                    <w:pPr>
                      <w:jc w:val="right"/>
                      <w:rPr>
                        <w:sz w:val="16"/>
                        <w:szCs w:val="16"/>
                      </w:rPr>
                    </w:pPr>
                    <w:r w:rsidRPr="00965429">
                      <w:rPr>
                        <w:sz w:val="16"/>
                        <w:szCs w:val="16"/>
                      </w:rPr>
                      <w:t>-</w:t>
                    </w:r>
                  </w:p>
                </w:tc>
                <w:tc>
                  <w:tcPr>
                    <w:tcW w:w="1559" w:type="dxa"/>
                    <w:vAlign w:val="center"/>
                  </w:tcPr>
                  <w:p w:rsidR="009B7C9A" w:rsidRPr="00965429" w:rsidRDefault="009B7C9A" w:rsidP="00B637B2">
                    <w:pPr>
                      <w:jc w:val="right"/>
                      <w:rPr>
                        <w:sz w:val="16"/>
                        <w:szCs w:val="16"/>
                      </w:rPr>
                    </w:pPr>
                    <w:r w:rsidRPr="00965429">
                      <w:rPr>
                        <w:sz w:val="16"/>
                        <w:szCs w:val="16"/>
                      </w:rPr>
                      <w:t>-</w:t>
                    </w:r>
                  </w:p>
                </w:tc>
              </w:tr>
              <w:tr w:rsidR="00B637B2" w:rsidTr="00B637B2">
                <w:trPr>
                  <w:trHeight w:val="20"/>
                </w:trPr>
                <w:tc>
                  <w:tcPr>
                    <w:tcW w:w="1985" w:type="dxa"/>
                  </w:tcPr>
                  <w:sdt>
                    <w:sdtPr>
                      <w:rPr>
                        <w:sz w:val="16"/>
                        <w:szCs w:val="16"/>
                      </w:rPr>
                      <w:tag w:val="_PLD_69d4adb536bf498a8a9d97dda9d31e75"/>
                      <w:id w:val="2065058966"/>
                      <w:lock w:val="sdtLocked"/>
                    </w:sdtPr>
                    <w:sdtContent>
                      <w:p w:rsidR="009B7C9A" w:rsidRPr="00965429" w:rsidRDefault="009B7C9A" w:rsidP="009B7C9A">
                        <w:pPr>
                          <w:rPr>
                            <w:sz w:val="16"/>
                            <w:szCs w:val="16"/>
                          </w:rPr>
                        </w:pPr>
                        <w:r w:rsidRPr="00965429">
                          <w:rPr>
                            <w:sz w:val="16"/>
                            <w:szCs w:val="16"/>
                          </w:rPr>
                          <w:t>6．其他</w:t>
                        </w:r>
                      </w:p>
                    </w:sdtContent>
                  </w:sdt>
                </w:tc>
                <w:tc>
                  <w:tcPr>
                    <w:tcW w:w="1560" w:type="dxa"/>
                    <w:tcBorders>
                      <w:right w:val="single" w:sz="4" w:space="0" w:color="auto"/>
                    </w:tcBorders>
                    <w:vAlign w:val="center"/>
                  </w:tcPr>
                  <w:p w:rsidR="009B7C9A" w:rsidRPr="00965429" w:rsidRDefault="009B7C9A" w:rsidP="00B637B2">
                    <w:pPr>
                      <w:jc w:val="right"/>
                      <w:rPr>
                        <w:sz w:val="16"/>
                        <w:szCs w:val="16"/>
                      </w:rPr>
                    </w:pPr>
                    <w:r w:rsidRPr="00965429">
                      <w:rPr>
                        <w:sz w:val="16"/>
                        <w:szCs w:val="16"/>
                      </w:rPr>
                      <w:t>-</w:t>
                    </w:r>
                  </w:p>
                </w:tc>
                <w:tc>
                  <w:tcPr>
                    <w:tcW w:w="425" w:type="dxa"/>
                    <w:tcBorders>
                      <w:left w:val="single" w:sz="4" w:space="0" w:color="auto"/>
                      <w:right w:val="single" w:sz="4" w:space="0" w:color="auto"/>
                    </w:tcBorders>
                    <w:vAlign w:val="center"/>
                  </w:tcPr>
                  <w:p w:rsidR="009B7C9A" w:rsidRPr="00965429" w:rsidRDefault="009B7C9A" w:rsidP="00B637B2">
                    <w:pPr>
                      <w:jc w:val="right"/>
                      <w:rPr>
                        <w:sz w:val="16"/>
                        <w:szCs w:val="16"/>
                      </w:rPr>
                    </w:pPr>
                    <w:r w:rsidRPr="00965429">
                      <w:rPr>
                        <w:sz w:val="16"/>
                        <w:szCs w:val="16"/>
                      </w:rPr>
                      <w:t>-</w:t>
                    </w:r>
                  </w:p>
                </w:tc>
                <w:tc>
                  <w:tcPr>
                    <w:tcW w:w="425" w:type="dxa"/>
                    <w:tcBorders>
                      <w:left w:val="single" w:sz="4" w:space="0" w:color="auto"/>
                      <w:right w:val="single" w:sz="4" w:space="0" w:color="auto"/>
                    </w:tcBorders>
                    <w:vAlign w:val="center"/>
                  </w:tcPr>
                  <w:p w:rsidR="009B7C9A" w:rsidRPr="00965429" w:rsidRDefault="009B7C9A" w:rsidP="00B637B2">
                    <w:pPr>
                      <w:jc w:val="right"/>
                      <w:rPr>
                        <w:sz w:val="16"/>
                        <w:szCs w:val="16"/>
                      </w:rPr>
                    </w:pPr>
                    <w:r w:rsidRPr="00965429">
                      <w:rPr>
                        <w:sz w:val="16"/>
                        <w:szCs w:val="16"/>
                      </w:rPr>
                      <w:t>-</w:t>
                    </w:r>
                  </w:p>
                </w:tc>
                <w:tc>
                  <w:tcPr>
                    <w:tcW w:w="425" w:type="dxa"/>
                    <w:tcBorders>
                      <w:left w:val="single" w:sz="4" w:space="0" w:color="auto"/>
                    </w:tcBorders>
                    <w:vAlign w:val="center"/>
                  </w:tcPr>
                  <w:p w:rsidR="009B7C9A" w:rsidRPr="00965429" w:rsidRDefault="009B7C9A" w:rsidP="00B637B2">
                    <w:pPr>
                      <w:jc w:val="right"/>
                      <w:rPr>
                        <w:sz w:val="16"/>
                        <w:szCs w:val="16"/>
                      </w:rPr>
                    </w:pPr>
                    <w:r w:rsidRPr="00965429">
                      <w:rPr>
                        <w:sz w:val="16"/>
                        <w:szCs w:val="16"/>
                      </w:rPr>
                      <w:t>-</w:t>
                    </w:r>
                  </w:p>
                </w:tc>
                <w:tc>
                  <w:tcPr>
                    <w:tcW w:w="1560" w:type="dxa"/>
                    <w:vAlign w:val="center"/>
                  </w:tcPr>
                  <w:p w:rsidR="009B7C9A" w:rsidRPr="00965429" w:rsidRDefault="009B7C9A" w:rsidP="00B637B2">
                    <w:pPr>
                      <w:jc w:val="right"/>
                      <w:rPr>
                        <w:sz w:val="16"/>
                        <w:szCs w:val="16"/>
                      </w:rPr>
                    </w:pPr>
                    <w:r w:rsidRPr="00965429">
                      <w:rPr>
                        <w:sz w:val="16"/>
                        <w:szCs w:val="16"/>
                      </w:rPr>
                      <w:t>-</w:t>
                    </w:r>
                  </w:p>
                </w:tc>
                <w:tc>
                  <w:tcPr>
                    <w:tcW w:w="1559" w:type="dxa"/>
                    <w:vAlign w:val="center"/>
                  </w:tcPr>
                  <w:p w:rsidR="009B7C9A" w:rsidRPr="00965429" w:rsidRDefault="009B7C9A" w:rsidP="00B637B2">
                    <w:pPr>
                      <w:jc w:val="right"/>
                      <w:rPr>
                        <w:sz w:val="16"/>
                        <w:szCs w:val="16"/>
                      </w:rPr>
                    </w:pPr>
                    <w:r w:rsidRPr="00965429">
                      <w:rPr>
                        <w:sz w:val="16"/>
                        <w:szCs w:val="16"/>
                      </w:rPr>
                      <w:t>-</w:t>
                    </w:r>
                  </w:p>
                </w:tc>
                <w:tc>
                  <w:tcPr>
                    <w:tcW w:w="1559" w:type="dxa"/>
                    <w:vAlign w:val="center"/>
                  </w:tcPr>
                  <w:p w:rsidR="009B7C9A" w:rsidRPr="00965429" w:rsidRDefault="009B7C9A" w:rsidP="00B637B2">
                    <w:pPr>
                      <w:jc w:val="right"/>
                      <w:rPr>
                        <w:sz w:val="16"/>
                        <w:szCs w:val="16"/>
                      </w:rPr>
                    </w:pPr>
                    <w:r w:rsidRPr="00965429">
                      <w:rPr>
                        <w:sz w:val="16"/>
                        <w:szCs w:val="16"/>
                      </w:rPr>
                      <w:t>-</w:t>
                    </w:r>
                  </w:p>
                </w:tc>
                <w:tc>
                  <w:tcPr>
                    <w:tcW w:w="1559" w:type="dxa"/>
                    <w:vAlign w:val="center"/>
                  </w:tcPr>
                  <w:p w:rsidR="009B7C9A" w:rsidRPr="00965429" w:rsidRDefault="009B7C9A" w:rsidP="00B637B2">
                    <w:pPr>
                      <w:jc w:val="right"/>
                      <w:rPr>
                        <w:sz w:val="16"/>
                        <w:szCs w:val="16"/>
                      </w:rPr>
                    </w:pPr>
                    <w:r w:rsidRPr="00965429">
                      <w:rPr>
                        <w:sz w:val="16"/>
                        <w:szCs w:val="16"/>
                      </w:rPr>
                      <w:t>-</w:t>
                    </w:r>
                  </w:p>
                </w:tc>
                <w:tc>
                  <w:tcPr>
                    <w:tcW w:w="1560" w:type="dxa"/>
                    <w:vAlign w:val="center"/>
                  </w:tcPr>
                  <w:p w:rsidR="009B7C9A" w:rsidRPr="00965429" w:rsidRDefault="009B7C9A" w:rsidP="00B637B2">
                    <w:pPr>
                      <w:jc w:val="right"/>
                      <w:rPr>
                        <w:sz w:val="16"/>
                        <w:szCs w:val="16"/>
                      </w:rPr>
                    </w:pPr>
                    <w:r w:rsidRPr="00965429">
                      <w:rPr>
                        <w:sz w:val="16"/>
                        <w:szCs w:val="16"/>
                      </w:rPr>
                      <w:t>-</w:t>
                    </w:r>
                  </w:p>
                </w:tc>
                <w:tc>
                  <w:tcPr>
                    <w:tcW w:w="1559" w:type="dxa"/>
                    <w:vAlign w:val="center"/>
                  </w:tcPr>
                  <w:p w:rsidR="009B7C9A" w:rsidRPr="00965429" w:rsidRDefault="009B7C9A" w:rsidP="00B637B2">
                    <w:pPr>
                      <w:jc w:val="right"/>
                      <w:rPr>
                        <w:sz w:val="16"/>
                        <w:szCs w:val="16"/>
                      </w:rPr>
                    </w:pPr>
                    <w:r w:rsidRPr="00965429">
                      <w:rPr>
                        <w:sz w:val="16"/>
                        <w:szCs w:val="16"/>
                      </w:rPr>
                      <w:t>-</w:t>
                    </w:r>
                  </w:p>
                </w:tc>
                <w:tc>
                  <w:tcPr>
                    <w:tcW w:w="1559" w:type="dxa"/>
                    <w:vAlign w:val="center"/>
                  </w:tcPr>
                  <w:p w:rsidR="009B7C9A" w:rsidRPr="00965429" w:rsidRDefault="009B7C9A" w:rsidP="00B637B2">
                    <w:pPr>
                      <w:jc w:val="right"/>
                      <w:rPr>
                        <w:sz w:val="16"/>
                        <w:szCs w:val="16"/>
                      </w:rPr>
                    </w:pPr>
                    <w:r w:rsidRPr="00965429">
                      <w:rPr>
                        <w:sz w:val="16"/>
                        <w:szCs w:val="16"/>
                      </w:rPr>
                      <w:t>-</w:t>
                    </w:r>
                  </w:p>
                </w:tc>
              </w:tr>
              <w:tr w:rsidR="00B637B2" w:rsidTr="00B637B2">
                <w:trPr>
                  <w:trHeight w:val="20"/>
                </w:trPr>
                <w:sdt>
                  <w:sdtPr>
                    <w:rPr>
                      <w:sz w:val="16"/>
                      <w:szCs w:val="16"/>
                    </w:rPr>
                    <w:tag w:val="_PLD_2ae06251c01740e284196240776af550"/>
                    <w:id w:val="1738663473"/>
                    <w:lock w:val="sdtLocked"/>
                  </w:sdtPr>
                  <w:sdtContent>
                    <w:tc>
                      <w:tcPr>
                        <w:tcW w:w="1985" w:type="dxa"/>
                        <w:vAlign w:val="center"/>
                      </w:tcPr>
                      <w:p w:rsidR="009B7C9A" w:rsidRPr="00965429" w:rsidRDefault="009B7C9A" w:rsidP="009B7C9A">
                        <w:pPr>
                          <w:rPr>
                            <w:sz w:val="16"/>
                            <w:szCs w:val="16"/>
                          </w:rPr>
                        </w:pPr>
                        <w:r w:rsidRPr="00965429">
                          <w:rPr>
                            <w:rFonts w:hint="eastAsia"/>
                            <w:sz w:val="16"/>
                            <w:szCs w:val="16"/>
                          </w:rPr>
                          <w:t>（五）专项储备</w:t>
                        </w:r>
                      </w:p>
                    </w:tc>
                  </w:sdtContent>
                </w:sdt>
                <w:tc>
                  <w:tcPr>
                    <w:tcW w:w="1560" w:type="dxa"/>
                    <w:tcBorders>
                      <w:right w:val="single" w:sz="4" w:space="0" w:color="auto"/>
                    </w:tcBorders>
                    <w:vAlign w:val="center"/>
                  </w:tcPr>
                  <w:p w:rsidR="009B7C9A" w:rsidRPr="00965429" w:rsidRDefault="009B7C9A" w:rsidP="00B637B2">
                    <w:pPr>
                      <w:jc w:val="right"/>
                      <w:rPr>
                        <w:sz w:val="16"/>
                        <w:szCs w:val="16"/>
                      </w:rPr>
                    </w:pPr>
                    <w:r w:rsidRPr="00965429">
                      <w:rPr>
                        <w:sz w:val="16"/>
                        <w:szCs w:val="16"/>
                      </w:rPr>
                      <w:t>-</w:t>
                    </w:r>
                  </w:p>
                </w:tc>
                <w:tc>
                  <w:tcPr>
                    <w:tcW w:w="425" w:type="dxa"/>
                    <w:tcBorders>
                      <w:left w:val="single" w:sz="4" w:space="0" w:color="auto"/>
                      <w:right w:val="single" w:sz="4" w:space="0" w:color="auto"/>
                    </w:tcBorders>
                    <w:vAlign w:val="center"/>
                  </w:tcPr>
                  <w:p w:rsidR="009B7C9A" w:rsidRPr="00965429" w:rsidRDefault="009B7C9A" w:rsidP="00B637B2">
                    <w:pPr>
                      <w:jc w:val="right"/>
                      <w:rPr>
                        <w:sz w:val="16"/>
                        <w:szCs w:val="16"/>
                      </w:rPr>
                    </w:pPr>
                    <w:r w:rsidRPr="00965429">
                      <w:rPr>
                        <w:sz w:val="16"/>
                        <w:szCs w:val="16"/>
                      </w:rPr>
                      <w:t>-</w:t>
                    </w:r>
                  </w:p>
                </w:tc>
                <w:tc>
                  <w:tcPr>
                    <w:tcW w:w="425" w:type="dxa"/>
                    <w:tcBorders>
                      <w:left w:val="single" w:sz="4" w:space="0" w:color="auto"/>
                      <w:right w:val="single" w:sz="4" w:space="0" w:color="auto"/>
                    </w:tcBorders>
                    <w:vAlign w:val="center"/>
                  </w:tcPr>
                  <w:p w:rsidR="009B7C9A" w:rsidRPr="00965429" w:rsidRDefault="009B7C9A" w:rsidP="00B637B2">
                    <w:pPr>
                      <w:jc w:val="right"/>
                      <w:rPr>
                        <w:sz w:val="16"/>
                        <w:szCs w:val="16"/>
                      </w:rPr>
                    </w:pPr>
                    <w:r w:rsidRPr="00965429">
                      <w:rPr>
                        <w:sz w:val="16"/>
                        <w:szCs w:val="16"/>
                      </w:rPr>
                      <w:t>-</w:t>
                    </w:r>
                  </w:p>
                </w:tc>
                <w:tc>
                  <w:tcPr>
                    <w:tcW w:w="425" w:type="dxa"/>
                    <w:tcBorders>
                      <w:left w:val="single" w:sz="4" w:space="0" w:color="auto"/>
                    </w:tcBorders>
                    <w:vAlign w:val="center"/>
                  </w:tcPr>
                  <w:p w:rsidR="009B7C9A" w:rsidRPr="00965429" w:rsidRDefault="009B7C9A" w:rsidP="00B637B2">
                    <w:pPr>
                      <w:jc w:val="right"/>
                      <w:rPr>
                        <w:sz w:val="16"/>
                        <w:szCs w:val="16"/>
                      </w:rPr>
                    </w:pPr>
                    <w:r w:rsidRPr="00965429">
                      <w:rPr>
                        <w:sz w:val="16"/>
                        <w:szCs w:val="16"/>
                      </w:rPr>
                      <w:t>-</w:t>
                    </w:r>
                  </w:p>
                </w:tc>
                <w:tc>
                  <w:tcPr>
                    <w:tcW w:w="1560" w:type="dxa"/>
                    <w:vAlign w:val="center"/>
                  </w:tcPr>
                  <w:p w:rsidR="009B7C9A" w:rsidRPr="00965429" w:rsidRDefault="009B7C9A" w:rsidP="00B637B2">
                    <w:pPr>
                      <w:jc w:val="right"/>
                      <w:rPr>
                        <w:sz w:val="16"/>
                        <w:szCs w:val="16"/>
                      </w:rPr>
                    </w:pPr>
                    <w:r w:rsidRPr="00965429">
                      <w:rPr>
                        <w:sz w:val="16"/>
                        <w:szCs w:val="16"/>
                      </w:rPr>
                      <w:t>-</w:t>
                    </w:r>
                  </w:p>
                </w:tc>
                <w:tc>
                  <w:tcPr>
                    <w:tcW w:w="1559" w:type="dxa"/>
                    <w:vAlign w:val="center"/>
                  </w:tcPr>
                  <w:p w:rsidR="009B7C9A" w:rsidRPr="00965429" w:rsidRDefault="009B7C9A" w:rsidP="00B637B2">
                    <w:pPr>
                      <w:jc w:val="right"/>
                      <w:rPr>
                        <w:sz w:val="16"/>
                        <w:szCs w:val="16"/>
                      </w:rPr>
                    </w:pPr>
                    <w:r w:rsidRPr="00965429">
                      <w:rPr>
                        <w:sz w:val="16"/>
                        <w:szCs w:val="16"/>
                      </w:rPr>
                      <w:t>-</w:t>
                    </w:r>
                  </w:p>
                </w:tc>
                <w:tc>
                  <w:tcPr>
                    <w:tcW w:w="1559" w:type="dxa"/>
                    <w:vAlign w:val="center"/>
                  </w:tcPr>
                  <w:p w:rsidR="009B7C9A" w:rsidRPr="00965429" w:rsidRDefault="009B7C9A" w:rsidP="00B637B2">
                    <w:pPr>
                      <w:jc w:val="right"/>
                      <w:rPr>
                        <w:sz w:val="16"/>
                        <w:szCs w:val="16"/>
                      </w:rPr>
                    </w:pPr>
                    <w:r w:rsidRPr="00965429">
                      <w:rPr>
                        <w:sz w:val="16"/>
                        <w:szCs w:val="16"/>
                      </w:rPr>
                      <w:t>-</w:t>
                    </w:r>
                  </w:p>
                </w:tc>
                <w:tc>
                  <w:tcPr>
                    <w:tcW w:w="1559" w:type="dxa"/>
                    <w:vAlign w:val="center"/>
                  </w:tcPr>
                  <w:p w:rsidR="009B7C9A" w:rsidRPr="00965429" w:rsidRDefault="009B7C9A" w:rsidP="00B637B2">
                    <w:pPr>
                      <w:jc w:val="right"/>
                      <w:rPr>
                        <w:sz w:val="16"/>
                        <w:szCs w:val="16"/>
                      </w:rPr>
                    </w:pPr>
                    <w:r w:rsidRPr="00965429">
                      <w:rPr>
                        <w:sz w:val="16"/>
                        <w:szCs w:val="16"/>
                      </w:rPr>
                      <w:t>-</w:t>
                    </w:r>
                  </w:p>
                </w:tc>
                <w:tc>
                  <w:tcPr>
                    <w:tcW w:w="1560" w:type="dxa"/>
                    <w:vAlign w:val="center"/>
                  </w:tcPr>
                  <w:p w:rsidR="009B7C9A" w:rsidRPr="00965429" w:rsidRDefault="009B7C9A" w:rsidP="00B637B2">
                    <w:pPr>
                      <w:jc w:val="right"/>
                      <w:rPr>
                        <w:sz w:val="16"/>
                        <w:szCs w:val="16"/>
                      </w:rPr>
                    </w:pPr>
                    <w:r w:rsidRPr="00965429">
                      <w:rPr>
                        <w:sz w:val="16"/>
                        <w:szCs w:val="16"/>
                      </w:rPr>
                      <w:t>-</w:t>
                    </w:r>
                  </w:p>
                </w:tc>
                <w:tc>
                  <w:tcPr>
                    <w:tcW w:w="1559" w:type="dxa"/>
                    <w:vAlign w:val="center"/>
                  </w:tcPr>
                  <w:p w:rsidR="009B7C9A" w:rsidRPr="00965429" w:rsidRDefault="009B7C9A" w:rsidP="00B637B2">
                    <w:pPr>
                      <w:jc w:val="right"/>
                      <w:rPr>
                        <w:sz w:val="16"/>
                        <w:szCs w:val="16"/>
                      </w:rPr>
                    </w:pPr>
                    <w:r w:rsidRPr="00965429">
                      <w:rPr>
                        <w:sz w:val="16"/>
                        <w:szCs w:val="16"/>
                      </w:rPr>
                      <w:t>-</w:t>
                    </w:r>
                  </w:p>
                </w:tc>
                <w:tc>
                  <w:tcPr>
                    <w:tcW w:w="1559" w:type="dxa"/>
                    <w:vAlign w:val="center"/>
                  </w:tcPr>
                  <w:p w:rsidR="009B7C9A" w:rsidRPr="00965429" w:rsidRDefault="009B7C9A" w:rsidP="00B637B2">
                    <w:pPr>
                      <w:jc w:val="right"/>
                      <w:rPr>
                        <w:sz w:val="16"/>
                        <w:szCs w:val="16"/>
                      </w:rPr>
                    </w:pPr>
                    <w:r w:rsidRPr="00965429">
                      <w:rPr>
                        <w:sz w:val="16"/>
                        <w:szCs w:val="16"/>
                      </w:rPr>
                      <w:t>-</w:t>
                    </w:r>
                  </w:p>
                </w:tc>
              </w:tr>
              <w:tr w:rsidR="00B637B2" w:rsidTr="00B637B2">
                <w:trPr>
                  <w:trHeight w:val="20"/>
                </w:trPr>
                <w:sdt>
                  <w:sdtPr>
                    <w:rPr>
                      <w:sz w:val="16"/>
                      <w:szCs w:val="16"/>
                    </w:rPr>
                    <w:tag w:val="_PLD_6c9c274129814a4ea45296335d45791b"/>
                    <w:id w:val="1572072593"/>
                    <w:lock w:val="sdtLocked"/>
                  </w:sdtPr>
                  <w:sdtContent>
                    <w:tc>
                      <w:tcPr>
                        <w:tcW w:w="1985" w:type="dxa"/>
                        <w:vAlign w:val="center"/>
                      </w:tcPr>
                      <w:p w:rsidR="009B7C9A" w:rsidRPr="00965429" w:rsidRDefault="009B7C9A" w:rsidP="009B7C9A">
                        <w:pPr>
                          <w:rPr>
                            <w:sz w:val="16"/>
                            <w:szCs w:val="16"/>
                          </w:rPr>
                        </w:pPr>
                        <w:r w:rsidRPr="00965429">
                          <w:rPr>
                            <w:rFonts w:hint="eastAsia"/>
                            <w:sz w:val="16"/>
                            <w:szCs w:val="16"/>
                          </w:rPr>
                          <w:t>1．本期提取</w:t>
                        </w:r>
                      </w:p>
                    </w:tc>
                  </w:sdtContent>
                </w:sdt>
                <w:tc>
                  <w:tcPr>
                    <w:tcW w:w="1560" w:type="dxa"/>
                    <w:tcBorders>
                      <w:right w:val="single" w:sz="4" w:space="0" w:color="auto"/>
                    </w:tcBorders>
                    <w:vAlign w:val="center"/>
                  </w:tcPr>
                  <w:p w:rsidR="009B7C9A" w:rsidRPr="00965429" w:rsidRDefault="009B7C9A" w:rsidP="00B637B2">
                    <w:pPr>
                      <w:jc w:val="right"/>
                      <w:rPr>
                        <w:sz w:val="16"/>
                        <w:szCs w:val="16"/>
                      </w:rPr>
                    </w:pPr>
                    <w:r w:rsidRPr="00965429">
                      <w:rPr>
                        <w:sz w:val="16"/>
                        <w:szCs w:val="16"/>
                      </w:rPr>
                      <w:t>-</w:t>
                    </w:r>
                  </w:p>
                </w:tc>
                <w:tc>
                  <w:tcPr>
                    <w:tcW w:w="425" w:type="dxa"/>
                    <w:tcBorders>
                      <w:left w:val="single" w:sz="4" w:space="0" w:color="auto"/>
                      <w:right w:val="single" w:sz="4" w:space="0" w:color="auto"/>
                    </w:tcBorders>
                    <w:vAlign w:val="center"/>
                  </w:tcPr>
                  <w:p w:rsidR="009B7C9A" w:rsidRPr="00965429" w:rsidRDefault="009B7C9A" w:rsidP="00B637B2">
                    <w:pPr>
                      <w:jc w:val="right"/>
                      <w:rPr>
                        <w:sz w:val="16"/>
                        <w:szCs w:val="16"/>
                      </w:rPr>
                    </w:pPr>
                    <w:r w:rsidRPr="00965429">
                      <w:rPr>
                        <w:sz w:val="16"/>
                        <w:szCs w:val="16"/>
                      </w:rPr>
                      <w:t>-</w:t>
                    </w:r>
                  </w:p>
                </w:tc>
                <w:tc>
                  <w:tcPr>
                    <w:tcW w:w="425" w:type="dxa"/>
                    <w:tcBorders>
                      <w:left w:val="single" w:sz="4" w:space="0" w:color="auto"/>
                      <w:right w:val="single" w:sz="4" w:space="0" w:color="auto"/>
                    </w:tcBorders>
                    <w:vAlign w:val="center"/>
                  </w:tcPr>
                  <w:p w:rsidR="009B7C9A" w:rsidRPr="00965429" w:rsidRDefault="009B7C9A" w:rsidP="00B637B2">
                    <w:pPr>
                      <w:jc w:val="right"/>
                      <w:rPr>
                        <w:sz w:val="16"/>
                        <w:szCs w:val="16"/>
                      </w:rPr>
                    </w:pPr>
                    <w:r w:rsidRPr="00965429">
                      <w:rPr>
                        <w:sz w:val="16"/>
                        <w:szCs w:val="16"/>
                      </w:rPr>
                      <w:t>-</w:t>
                    </w:r>
                  </w:p>
                </w:tc>
                <w:tc>
                  <w:tcPr>
                    <w:tcW w:w="425" w:type="dxa"/>
                    <w:tcBorders>
                      <w:left w:val="single" w:sz="4" w:space="0" w:color="auto"/>
                    </w:tcBorders>
                    <w:vAlign w:val="center"/>
                  </w:tcPr>
                  <w:p w:rsidR="009B7C9A" w:rsidRPr="00965429" w:rsidRDefault="009B7C9A" w:rsidP="00B637B2">
                    <w:pPr>
                      <w:jc w:val="right"/>
                      <w:rPr>
                        <w:sz w:val="16"/>
                        <w:szCs w:val="16"/>
                      </w:rPr>
                    </w:pPr>
                    <w:r w:rsidRPr="00965429">
                      <w:rPr>
                        <w:sz w:val="16"/>
                        <w:szCs w:val="16"/>
                      </w:rPr>
                      <w:t>-</w:t>
                    </w:r>
                  </w:p>
                </w:tc>
                <w:tc>
                  <w:tcPr>
                    <w:tcW w:w="1560" w:type="dxa"/>
                    <w:vAlign w:val="center"/>
                  </w:tcPr>
                  <w:p w:rsidR="009B7C9A" w:rsidRPr="00965429" w:rsidRDefault="009B7C9A" w:rsidP="00B637B2">
                    <w:pPr>
                      <w:jc w:val="right"/>
                      <w:rPr>
                        <w:sz w:val="16"/>
                        <w:szCs w:val="16"/>
                      </w:rPr>
                    </w:pPr>
                    <w:r w:rsidRPr="00965429">
                      <w:rPr>
                        <w:sz w:val="16"/>
                        <w:szCs w:val="16"/>
                      </w:rPr>
                      <w:t>-</w:t>
                    </w:r>
                  </w:p>
                </w:tc>
                <w:tc>
                  <w:tcPr>
                    <w:tcW w:w="1559" w:type="dxa"/>
                    <w:vAlign w:val="center"/>
                  </w:tcPr>
                  <w:p w:rsidR="009B7C9A" w:rsidRPr="00965429" w:rsidRDefault="009B7C9A" w:rsidP="00B637B2">
                    <w:pPr>
                      <w:jc w:val="right"/>
                      <w:rPr>
                        <w:sz w:val="16"/>
                        <w:szCs w:val="16"/>
                      </w:rPr>
                    </w:pPr>
                    <w:r w:rsidRPr="00965429">
                      <w:rPr>
                        <w:sz w:val="16"/>
                        <w:szCs w:val="16"/>
                      </w:rPr>
                      <w:t>-</w:t>
                    </w:r>
                  </w:p>
                </w:tc>
                <w:tc>
                  <w:tcPr>
                    <w:tcW w:w="1559" w:type="dxa"/>
                    <w:vAlign w:val="center"/>
                  </w:tcPr>
                  <w:p w:rsidR="009B7C9A" w:rsidRPr="00965429" w:rsidRDefault="009B7C9A" w:rsidP="00B637B2">
                    <w:pPr>
                      <w:jc w:val="right"/>
                      <w:rPr>
                        <w:sz w:val="16"/>
                        <w:szCs w:val="16"/>
                      </w:rPr>
                    </w:pPr>
                    <w:r w:rsidRPr="00965429">
                      <w:rPr>
                        <w:sz w:val="16"/>
                        <w:szCs w:val="16"/>
                      </w:rPr>
                      <w:t>-</w:t>
                    </w:r>
                  </w:p>
                </w:tc>
                <w:tc>
                  <w:tcPr>
                    <w:tcW w:w="1559" w:type="dxa"/>
                    <w:vAlign w:val="center"/>
                  </w:tcPr>
                  <w:p w:rsidR="009B7C9A" w:rsidRPr="00965429" w:rsidRDefault="009B7C9A" w:rsidP="00B637B2">
                    <w:pPr>
                      <w:jc w:val="right"/>
                      <w:rPr>
                        <w:sz w:val="16"/>
                        <w:szCs w:val="16"/>
                      </w:rPr>
                    </w:pPr>
                    <w:r w:rsidRPr="00965429">
                      <w:rPr>
                        <w:sz w:val="16"/>
                        <w:szCs w:val="16"/>
                      </w:rPr>
                      <w:t>-</w:t>
                    </w:r>
                  </w:p>
                </w:tc>
                <w:tc>
                  <w:tcPr>
                    <w:tcW w:w="1560" w:type="dxa"/>
                    <w:vAlign w:val="center"/>
                  </w:tcPr>
                  <w:p w:rsidR="009B7C9A" w:rsidRPr="00965429" w:rsidRDefault="009B7C9A" w:rsidP="00B637B2">
                    <w:pPr>
                      <w:jc w:val="right"/>
                      <w:rPr>
                        <w:sz w:val="16"/>
                        <w:szCs w:val="16"/>
                      </w:rPr>
                    </w:pPr>
                    <w:r w:rsidRPr="00965429">
                      <w:rPr>
                        <w:sz w:val="16"/>
                        <w:szCs w:val="16"/>
                      </w:rPr>
                      <w:t>-</w:t>
                    </w:r>
                  </w:p>
                </w:tc>
                <w:tc>
                  <w:tcPr>
                    <w:tcW w:w="1559" w:type="dxa"/>
                    <w:vAlign w:val="center"/>
                  </w:tcPr>
                  <w:p w:rsidR="009B7C9A" w:rsidRPr="00965429" w:rsidRDefault="009B7C9A" w:rsidP="00B637B2">
                    <w:pPr>
                      <w:jc w:val="right"/>
                      <w:rPr>
                        <w:sz w:val="16"/>
                        <w:szCs w:val="16"/>
                      </w:rPr>
                    </w:pPr>
                    <w:r w:rsidRPr="00965429">
                      <w:rPr>
                        <w:sz w:val="16"/>
                        <w:szCs w:val="16"/>
                      </w:rPr>
                      <w:t>-</w:t>
                    </w:r>
                  </w:p>
                </w:tc>
                <w:tc>
                  <w:tcPr>
                    <w:tcW w:w="1559" w:type="dxa"/>
                    <w:vAlign w:val="center"/>
                  </w:tcPr>
                  <w:p w:rsidR="009B7C9A" w:rsidRPr="00965429" w:rsidRDefault="009B7C9A" w:rsidP="00B637B2">
                    <w:pPr>
                      <w:jc w:val="right"/>
                      <w:rPr>
                        <w:sz w:val="16"/>
                        <w:szCs w:val="16"/>
                      </w:rPr>
                    </w:pPr>
                    <w:r w:rsidRPr="00965429">
                      <w:rPr>
                        <w:sz w:val="16"/>
                        <w:szCs w:val="16"/>
                      </w:rPr>
                      <w:t>-</w:t>
                    </w:r>
                  </w:p>
                </w:tc>
              </w:tr>
              <w:tr w:rsidR="00B637B2" w:rsidTr="00B637B2">
                <w:trPr>
                  <w:trHeight w:val="20"/>
                </w:trPr>
                <w:sdt>
                  <w:sdtPr>
                    <w:rPr>
                      <w:sz w:val="16"/>
                      <w:szCs w:val="16"/>
                    </w:rPr>
                    <w:tag w:val="_PLD_14398e4dd6ed4c74869a974323e2137e"/>
                    <w:id w:val="-352264809"/>
                    <w:lock w:val="sdtLocked"/>
                  </w:sdtPr>
                  <w:sdtContent>
                    <w:tc>
                      <w:tcPr>
                        <w:tcW w:w="1985" w:type="dxa"/>
                        <w:vAlign w:val="center"/>
                      </w:tcPr>
                      <w:p w:rsidR="009B7C9A" w:rsidRPr="00965429" w:rsidRDefault="009B7C9A" w:rsidP="009B7C9A">
                        <w:pPr>
                          <w:rPr>
                            <w:sz w:val="16"/>
                            <w:szCs w:val="16"/>
                          </w:rPr>
                        </w:pPr>
                        <w:r w:rsidRPr="00965429">
                          <w:rPr>
                            <w:rFonts w:hint="eastAsia"/>
                            <w:sz w:val="16"/>
                            <w:szCs w:val="16"/>
                          </w:rPr>
                          <w:t>2．本期使用</w:t>
                        </w:r>
                      </w:p>
                    </w:tc>
                  </w:sdtContent>
                </w:sdt>
                <w:tc>
                  <w:tcPr>
                    <w:tcW w:w="1560" w:type="dxa"/>
                    <w:tcBorders>
                      <w:right w:val="single" w:sz="4" w:space="0" w:color="auto"/>
                    </w:tcBorders>
                    <w:vAlign w:val="center"/>
                  </w:tcPr>
                  <w:p w:rsidR="009B7C9A" w:rsidRPr="00965429" w:rsidRDefault="008F04CF" w:rsidP="00B637B2">
                    <w:pPr>
                      <w:jc w:val="right"/>
                      <w:rPr>
                        <w:sz w:val="16"/>
                        <w:szCs w:val="16"/>
                      </w:rPr>
                    </w:pPr>
                    <w:r>
                      <w:rPr>
                        <w:rFonts w:hint="eastAsia"/>
                        <w:sz w:val="16"/>
                        <w:szCs w:val="16"/>
                      </w:rPr>
                      <w:t>-</w:t>
                    </w:r>
                  </w:p>
                </w:tc>
                <w:tc>
                  <w:tcPr>
                    <w:tcW w:w="425" w:type="dxa"/>
                    <w:tcBorders>
                      <w:left w:val="single" w:sz="4" w:space="0" w:color="auto"/>
                      <w:right w:val="single" w:sz="4" w:space="0" w:color="auto"/>
                    </w:tcBorders>
                    <w:vAlign w:val="center"/>
                  </w:tcPr>
                  <w:p w:rsidR="009B7C9A" w:rsidRPr="00965429" w:rsidRDefault="009B7C9A" w:rsidP="00B637B2">
                    <w:pPr>
                      <w:jc w:val="right"/>
                      <w:rPr>
                        <w:sz w:val="16"/>
                        <w:szCs w:val="16"/>
                      </w:rPr>
                    </w:pPr>
                    <w:r w:rsidRPr="00965429">
                      <w:rPr>
                        <w:sz w:val="16"/>
                        <w:szCs w:val="16"/>
                      </w:rPr>
                      <w:t>-</w:t>
                    </w:r>
                  </w:p>
                </w:tc>
                <w:tc>
                  <w:tcPr>
                    <w:tcW w:w="425" w:type="dxa"/>
                    <w:tcBorders>
                      <w:left w:val="single" w:sz="4" w:space="0" w:color="auto"/>
                      <w:right w:val="single" w:sz="4" w:space="0" w:color="auto"/>
                    </w:tcBorders>
                    <w:vAlign w:val="center"/>
                  </w:tcPr>
                  <w:p w:rsidR="009B7C9A" w:rsidRPr="00965429" w:rsidRDefault="009B7C9A" w:rsidP="00B637B2">
                    <w:pPr>
                      <w:jc w:val="right"/>
                      <w:rPr>
                        <w:sz w:val="16"/>
                        <w:szCs w:val="16"/>
                      </w:rPr>
                    </w:pPr>
                    <w:r w:rsidRPr="00965429">
                      <w:rPr>
                        <w:sz w:val="16"/>
                        <w:szCs w:val="16"/>
                      </w:rPr>
                      <w:t>-</w:t>
                    </w:r>
                  </w:p>
                </w:tc>
                <w:tc>
                  <w:tcPr>
                    <w:tcW w:w="425" w:type="dxa"/>
                    <w:tcBorders>
                      <w:left w:val="single" w:sz="4" w:space="0" w:color="auto"/>
                    </w:tcBorders>
                    <w:vAlign w:val="center"/>
                  </w:tcPr>
                  <w:p w:rsidR="009B7C9A" w:rsidRPr="00965429" w:rsidRDefault="009B7C9A" w:rsidP="00B637B2">
                    <w:pPr>
                      <w:jc w:val="right"/>
                      <w:rPr>
                        <w:sz w:val="16"/>
                        <w:szCs w:val="16"/>
                      </w:rPr>
                    </w:pPr>
                    <w:r w:rsidRPr="00965429">
                      <w:rPr>
                        <w:sz w:val="16"/>
                        <w:szCs w:val="16"/>
                      </w:rPr>
                      <w:t>-</w:t>
                    </w:r>
                  </w:p>
                </w:tc>
                <w:tc>
                  <w:tcPr>
                    <w:tcW w:w="1560" w:type="dxa"/>
                    <w:vAlign w:val="center"/>
                  </w:tcPr>
                  <w:p w:rsidR="009B7C9A" w:rsidRPr="00965429" w:rsidRDefault="008F04CF" w:rsidP="00B637B2">
                    <w:pPr>
                      <w:jc w:val="right"/>
                      <w:rPr>
                        <w:sz w:val="16"/>
                        <w:szCs w:val="16"/>
                      </w:rPr>
                    </w:pPr>
                    <w:r>
                      <w:rPr>
                        <w:rFonts w:hint="eastAsia"/>
                        <w:sz w:val="16"/>
                        <w:szCs w:val="16"/>
                      </w:rPr>
                      <w:t>-</w:t>
                    </w:r>
                  </w:p>
                </w:tc>
                <w:tc>
                  <w:tcPr>
                    <w:tcW w:w="1559" w:type="dxa"/>
                    <w:vAlign w:val="center"/>
                  </w:tcPr>
                  <w:p w:rsidR="009B7C9A" w:rsidRPr="00965429" w:rsidRDefault="008F04CF" w:rsidP="00B637B2">
                    <w:pPr>
                      <w:jc w:val="right"/>
                      <w:rPr>
                        <w:sz w:val="16"/>
                        <w:szCs w:val="16"/>
                      </w:rPr>
                    </w:pPr>
                    <w:r>
                      <w:rPr>
                        <w:rFonts w:hint="eastAsia"/>
                        <w:sz w:val="16"/>
                        <w:szCs w:val="16"/>
                      </w:rPr>
                      <w:t>-</w:t>
                    </w:r>
                  </w:p>
                </w:tc>
                <w:tc>
                  <w:tcPr>
                    <w:tcW w:w="1559" w:type="dxa"/>
                    <w:vAlign w:val="center"/>
                  </w:tcPr>
                  <w:p w:rsidR="009B7C9A" w:rsidRPr="00965429" w:rsidRDefault="008F04CF" w:rsidP="00B637B2">
                    <w:pPr>
                      <w:jc w:val="right"/>
                      <w:rPr>
                        <w:sz w:val="16"/>
                        <w:szCs w:val="16"/>
                      </w:rPr>
                    </w:pPr>
                    <w:r>
                      <w:rPr>
                        <w:rFonts w:hint="eastAsia"/>
                        <w:sz w:val="16"/>
                        <w:szCs w:val="16"/>
                      </w:rPr>
                      <w:t>-</w:t>
                    </w:r>
                  </w:p>
                </w:tc>
                <w:tc>
                  <w:tcPr>
                    <w:tcW w:w="1559" w:type="dxa"/>
                    <w:vAlign w:val="center"/>
                  </w:tcPr>
                  <w:p w:rsidR="009B7C9A" w:rsidRPr="00965429" w:rsidRDefault="009B7C9A" w:rsidP="00B637B2">
                    <w:pPr>
                      <w:jc w:val="right"/>
                      <w:rPr>
                        <w:sz w:val="16"/>
                        <w:szCs w:val="16"/>
                      </w:rPr>
                    </w:pPr>
                    <w:r w:rsidRPr="00965429">
                      <w:rPr>
                        <w:sz w:val="16"/>
                        <w:szCs w:val="16"/>
                      </w:rPr>
                      <w:t>-</w:t>
                    </w:r>
                  </w:p>
                </w:tc>
                <w:tc>
                  <w:tcPr>
                    <w:tcW w:w="1560" w:type="dxa"/>
                    <w:vAlign w:val="center"/>
                  </w:tcPr>
                  <w:p w:rsidR="009B7C9A" w:rsidRPr="00965429" w:rsidRDefault="008F04CF" w:rsidP="00B637B2">
                    <w:pPr>
                      <w:jc w:val="right"/>
                      <w:rPr>
                        <w:sz w:val="16"/>
                        <w:szCs w:val="16"/>
                      </w:rPr>
                    </w:pPr>
                    <w:r>
                      <w:rPr>
                        <w:rFonts w:hint="eastAsia"/>
                        <w:sz w:val="16"/>
                        <w:szCs w:val="16"/>
                      </w:rPr>
                      <w:t>-</w:t>
                    </w:r>
                  </w:p>
                </w:tc>
                <w:tc>
                  <w:tcPr>
                    <w:tcW w:w="1559" w:type="dxa"/>
                    <w:vAlign w:val="center"/>
                  </w:tcPr>
                  <w:p w:rsidR="009B7C9A" w:rsidRPr="00965429" w:rsidRDefault="008F04CF" w:rsidP="00B637B2">
                    <w:pPr>
                      <w:jc w:val="right"/>
                      <w:rPr>
                        <w:sz w:val="16"/>
                        <w:szCs w:val="16"/>
                      </w:rPr>
                    </w:pPr>
                    <w:r>
                      <w:rPr>
                        <w:rFonts w:hint="eastAsia"/>
                        <w:sz w:val="16"/>
                        <w:szCs w:val="16"/>
                      </w:rPr>
                      <w:t>-</w:t>
                    </w:r>
                  </w:p>
                </w:tc>
                <w:tc>
                  <w:tcPr>
                    <w:tcW w:w="1559" w:type="dxa"/>
                    <w:vAlign w:val="center"/>
                  </w:tcPr>
                  <w:p w:rsidR="009B7C9A" w:rsidRPr="00965429" w:rsidRDefault="008F04CF" w:rsidP="00B637B2">
                    <w:pPr>
                      <w:jc w:val="right"/>
                      <w:rPr>
                        <w:sz w:val="16"/>
                        <w:szCs w:val="16"/>
                      </w:rPr>
                    </w:pPr>
                    <w:r>
                      <w:rPr>
                        <w:rFonts w:hint="eastAsia"/>
                        <w:sz w:val="16"/>
                        <w:szCs w:val="16"/>
                      </w:rPr>
                      <w:t>-</w:t>
                    </w:r>
                  </w:p>
                </w:tc>
              </w:tr>
              <w:tr w:rsidR="00B637B2" w:rsidTr="00B637B2">
                <w:trPr>
                  <w:trHeight w:val="20"/>
                </w:trPr>
                <w:sdt>
                  <w:sdtPr>
                    <w:rPr>
                      <w:sz w:val="16"/>
                      <w:szCs w:val="16"/>
                    </w:rPr>
                    <w:tag w:val="_PLD_224fa1ebe84a4d40b88b89a97997e311"/>
                    <w:id w:val="1717778256"/>
                    <w:lock w:val="sdtLocked"/>
                  </w:sdtPr>
                  <w:sdtContent>
                    <w:tc>
                      <w:tcPr>
                        <w:tcW w:w="1985" w:type="dxa"/>
                      </w:tcPr>
                      <w:p w:rsidR="009B7C9A" w:rsidRPr="00965429" w:rsidRDefault="009B7C9A" w:rsidP="009B7C9A">
                        <w:pPr>
                          <w:rPr>
                            <w:sz w:val="16"/>
                            <w:szCs w:val="16"/>
                          </w:rPr>
                        </w:pPr>
                        <w:r w:rsidRPr="00965429">
                          <w:rPr>
                            <w:rFonts w:hint="eastAsia"/>
                            <w:sz w:val="16"/>
                            <w:szCs w:val="16"/>
                          </w:rPr>
                          <w:t>（六）其他</w:t>
                        </w:r>
                      </w:p>
                    </w:tc>
                  </w:sdtContent>
                </w:sdt>
                <w:tc>
                  <w:tcPr>
                    <w:tcW w:w="1560" w:type="dxa"/>
                    <w:tcBorders>
                      <w:right w:val="single" w:sz="4" w:space="0" w:color="auto"/>
                    </w:tcBorders>
                    <w:vAlign w:val="center"/>
                  </w:tcPr>
                  <w:p w:rsidR="009B7C9A" w:rsidRPr="00965429" w:rsidRDefault="008F04CF" w:rsidP="00B637B2">
                    <w:pPr>
                      <w:jc w:val="right"/>
                      <w:rPr>
                        <w:sz w:val="16"/>
                        <w:szCs w:val="16"/>
                      </w:rPr>
                    </w:pPr>
                    <w:r>
                      <w:rPr>
                        <w:rFonts w:hint="eastAsia"/>
                        <w:sz w:val="16"/>
                        <w:szCs w:val="16"/>
                      </w:rPr>
                      <w:t>-</w:t>
                    </w:r>
                  </w:p>
                </w:tc>
                <w:tc>
                  <w:tcPr>
                    <w:tcW w:w="425" w:type="dxa"/>
                    <w:tcBorders>
                      <w:left w:val="single" w:sz="4" w:space="0" w:color="auto"/>
                      <w:right w:val="single" w:sz="4" w:space="0" w:color="auto"/>
                    </w:tcBorders>
                    <w:vAlign w:val="center"/>
                  </w:tcPr>
                  <w:p w:rsidR="009B7C9A" w:rsidRPr="00965429" w:rsidRDefault="009B7C9A" w:rsidP="00B637B2">
                    <w:pPr>
                      <w:jc w:val="right"/>
                      <w:rPr>
                        <w:sz w:val="16"/>
                        <w:szCs w:val="16"/>
                      </w:rPr>
                    </w:pPr>
                    <w:r w:rsidRPr="00965429">
                      <w:rPr>
                        <w:sz w:val="16"/>
                        <w:szCs w:val="16"/>
                      </w:rPr>
                      <w:t>-</w:t>
                    </w:r>
                  </w:p>
                </w:tc>
                <w:tc>
                  <w:tcPr>
                    <w:tcW w:w="425" w:type="dxa"/>
                    <w:tcBorders>
                      <w:left w:val="single" w:sz="4" w:space="0" w:color="auto"/>
                      <w:right w:val="single" w:sz="4" w:space="0" w:color="auto"/>
                    </w:tcBorders>
                    <w:vAlign w:val="center"/>
                  </w:tcPr>
                  <w:p w:rsidR="009B7C9A" w:rsidRPr="00965429" w:rsidRDefault="009B7C9A" w:rsidP="00B637B2">
                    <w:pPr>
                      <w:jc w:val="right"/>
                      <w:rPr>
                        <w:sz w:val="16"/>
                        <w:szCs w:val="16"/>
                      </w:rPr>
                    </w:pPr>
                    <w:r w:rsidRPr="00965429">
                      <w:rPr>
                        <w:sz w:val="16"/>
                        <w:szCs w:val="16"/>
                      </w:rPr>
                      <w:t>-</w:t>
                    </w:r>
                  </w:p>
                </w:tc>
                <w:tc>
                  <w:tcPr>
                    <w:tcW w:w="425" w:type="dxa"/>
                    <w:tcBorders>
                      <w:left w:val="single" w:sz="4" w:space="0" w:color="auto"/>
                    </w:tcBorders>
                    <w:vAlign w:val="center"/>
                  </w:tcPr>
                  <w:p w:rsidR="009B7C9A" w:rsidRPr="00965429" w:rsidRDefault="009B7C9A" w:rsidP="00B637B2">
                    <w:pPr>
                      <w:jc w:val="right"/>
                      <w:rPr>
                        <w:sz w:val="16"/>
                        <w:szCs w:val="16"/>
                      </w:rPr>
                    </w:pPr>
                    <w:r w:rsidRPr="00965429">
                      <w:rPr>
                        <w:sz w:val="16"/>
                        <w:szCs w:val="16"/>
                      </w:rPr>
                      <w:t>-</w:t>
                    </w:r>
                  </w:p>
                </w:tc>
                <w:tc>
                  <w:tcPr>
                    <w:tcW w:w="1560" w:type="dxa"/>
                    <w:vAlign w:val="center"/>
                  </w:tcPr>
                  <w:p w:rsidR="009B7C9A" w:rsidRPr="00965429" w:rsidRDefault="008F04CF" w:rsidP="00B637B2">
                    <w:pPr>
                      <w:jc w:val="right"/>
                      <w:rPr>
                        <w:sz w:val="16"/>
                        <w:szCs w:val="16"/>
                      </w:rPr>
                    </w:pPr>
                    <w:r>
                      <w:rPr>
                        <w:rFonts w:hint="eastAsia"/>
                        <w:sz w:val="16"/>
                        <w:szCs w:val="16"/>
                      </w:rPr>
                      <w:t>-</w:t>
                    </w:r>
                  </w:p>
                </w:tc>
                <w:tc>
                  <w:tcPr>
                    <w:tcW w:w="1559" w:type="dxa"/>
                    <w:vAlign w:val="center"/>
                  </w:tcPr>
                  <w:p w:rsidR="009B7C9A" w:rsidRPr="00965429" w:rsidRDefault="008F04CF" w:rsidP="00B637B2">
                    <w:pPr>
                      <w:jc w:val="right"/>
                      <w:rPr>
                        <w:sz w:val="16"/>
                        <w:szCs w:val="16"/>
                      </w:rPr>
                    </w:pPr>
                    <w:r>
                      <w:rPr>
                        <w:rFonts w:hint="eastAsia"/>
                        <w:sz w:val="16"/>
                        <w:szCs w:val="16"/>
                      </w:rPr>
                      <w:t>-</w:t>
                    </w:r>
                  </w:p>
                </w:tc>
                <w:tc>
                  <w:tcPr>
                    <w:tcW w:w="1559" w:type="dxa"/>
                    <w:vAlign w:val="center"/>
                  </w:tcPr>
                  <w:p w:rsidR="009B7C9A" w:rsidRPr="00965429" w:rsidRDefault="009B7C9A" w:rsidP="00B637B2">
                    <w:pPr>
                      <w:jc w:val="right"/>
                      <w:rPr>
                        <w:sz w:val="16"/>
                        <w:szCs w:val="16"/>
                      </w:rPr>
                    </w:pPr>
                    <w:r w:rsidRPr="00965429">
                      <w:rPr>
                        <w:sz w:val="16"/>
                        <w:szCs w:val="16"/>
                      </w:rPr>
                      <w:t>-</w:t>
                    </w:r>
                  </w:p>
                </w:tc>
                <w:tc>
                  <w:tcPr>
                    <w:tcW w:w="1559" w:type="dxa"/>
                    <w:vAlign w:val="center"/>
                  </w:tcPr>
                  <w:p w:rsidR="009B7C9A" w:rsidRPr="00965429" w:rsidRDefault="009B7C9A" w:rsidP="00B637B2">
                    <w:pPr>
                      <w:jc w:val="right"/>
                      <w:rPr>
                        <w:sz w:val="16"/>
                        <w:szCs w:val="16"/>
                      </w:rPr>
                    </w:pPr>
                    <w:r w:rsidRPr="00965429">
                      <w:rPr>
                        <w:sz w:val="16"/>
                        <w:szCs w:val="16"/>
                      </w:rPr>
                      <w:t>-</w:t>
                    </w:r>
                  </w:p>
                </w:tc>
                <w:tc>
                  <w:tcPr>
                    <w:tcW w:w="1560" w:type="dxa"/>
                    <w:vAlign w:val="center"/>
                  </w:tcPr>
                  <w:p w:rsidR="009B7C9A" w:rsidRPr="00965429" w:rsidRDefault="008F04CF" w:rsidP="00B637B2">
                    <w:pPr>
                      <w:jc w:val="right"/>
                      <w:rPr>
                        <w:sz w:val="16"/>
                        <w:szCs w:val="16"/>
                      </w:rPr>
                    </w:pPr>
                    <w:r>
                      <w:rPr>
                        <w:rFonts w:hint="eastAsia"/>
                        <w:sz w:val="16"/>
                        <w:szCs w:val="16"/>
                      </w:rPr>
                      <w:t>-</w:t>
                    </w:r>
                  </w:p>
                </w:tc>
                <w:tc>
                  <w:tcPr>
                    <w:tcW w:w="1559" w:type="dxa"/>
                    <w:vAlign w:val="center"/>
                  </w:tcPr>
                  <w:p w:rsidR="009B7C9A" w:rsidRPr="00965429" w:rsidRDefault="008F04CF" w:rsidP="00B637B2">
                    <w:pPr>
                      <w:jc w:val="right"/>
                      <w:rPr>
                        <w:sz w:val="16"/>
                        <w:szCs w:val="16"/>
                      </w:rPr>
                    </w:pPr>
                    <w:r>
                      <w:rPr>
                        <w:rFonts w:hint="eastAsia"/>
                        <w:sz w:val="16"/>
                        <w:szCs w:val="16"/>
                      </w:rPr>
                      <w:t>-</w:t>
                    </w:r>
                  </w:p>
                </w:tc>
                <w:tc>
                  <w:tcPr>
                    <w:tcW w:w="1559" w:type="dxa"/>
                    <w:vAlign w:val="center"/>
                  </w:tcPr>
                  <w:p w:rsidR="009B7C9A" w:rsidRPr="00965429" w:rsidRDefault="008F04CF" w:rsidP="00B637B2">
                    <w:pPr>
                      <w:jc w:val="right"/>
                      <w:rPr>
                        <w:sz w:val="16"/>
                        <w:szCs w:val="16"/>
                      </w:rPr>
                    </w:pPr>
                    <w:r>
                      <w:rPr>
                        <w:rFonts w:hint="eastAsia"/>
                        <w:sz w:val="16"/>
                        <w:szCs w:val="16"/>
                      </w:rPr>
                      <w:t>-</w:t>
                    </w:r>
                  </w:p>
                </w:tc>
              </w:tr>
              <w:tr w:rsidR="00B637B2" w:rsidTr="00B637B2">
                <w:trPr>
                  <w:trHeight w:val="20"/>
                </w:trPr>
                <w:sdt>
                  <w:sdtPr>
                    <w:rPr>
                      <w:sz w:val="16"/>
                      <w:szCs w:val="16"/>
                    </w:rPr>
                    <w:tag w:val="_PLD_fe962ef732004aec94edafee7e0bef94"/>
                    <w:id w:val="1556355175"/>
                    <w:lock w:val="sdtLocked"/>
                  </w:sdtPr>
                  <w:sdtContent>
                    <w:tc>
                      <w:tcPr>
                        <w:tcW w:w="1985" w:type="dxa"/>
                      </w:tcPr>
                      <w:p w:rsidR="009B7C9A" w:rsidRPr="00965429" w:rsidRDefault="009B7C9A" w:rsidP="009B7C9A">
                        <w:pPr>
                          <w:rPr>
                            <w:sz w:val="16"/>
                            <w:szCs w:val="16"/>
                          </w:rPr>
                        </w:pPr>
                        <w:r w:rsidRPr="00965429">
                          <w:rPr>
                            <w:sz w:val="16"/>
                            <w:szCs w:val="16"/>
                          </w:rPr>
                          <w:t>四、本期期末余额</w:t>
                        </w:r>
                      </w:p>
                    </w:tc>
                  </w:sdtContent>
                </w:sdt>
                <w:tc>
                  <w:tcPr>
                    <w:tcW w:w="1560" w:type="dxa"/>
                    <w:tcBorders>
                      <w:right w:val="single" w:sz="4" w:space="0" w:color="auto"/>
                    </w:tcBorders>
                    <w:vAlign w:val="center"/>
                  </w:tcPr>
                  <w:p w:rsidR="009B7C9A" w:rsidRPr="00965429" w:rsidRDefault="008F04CF" w:rsidP="00B637B2">
                    <w:pPr>
                      <w:jc w:val="right"/>
                      <w:rPr>
                        <w:sz w:val="16"/>
                        <w:szCs w:val="16"/>
                      </w:rPr>
                    </w:pPr>
                    <w:r w:rsidRPr="00965429">
                      <w:rPr>
                        <w:sz w:val="16"/>
                        <w:szCs w:val="16"/>
                      </w:rPr>
                      <w:t>2,486,134,575</w:t>
                    </w:r>
                  </w:p>
                </w:tc>
                <w:tc>
                  <w:tcPr>
                    <w:tcW w:w="425" w:type="dxa"/>
                    <w:tcBorders>
                      <w:left w:val="single" w:sz="4" w:space="0" w:color="auto"/>
                      <w:right w:val="single" w:sz="4" w:space="0" w:color="auto"/>
                    </w:tcBorders>
                    <w:vAlign w:val="center"/>
                  </w:tcPr>
                  <w:p w:rsidR="009B7C9A" w:rsidRPr="00965429" w:rsidRDefault="009B7C9A" w:rsidP="00B637B2">
                    <w:pPr>
                      <w:jc w:val="right"/>
                      <w:rPr>
                        <w:sz w:val="16"/>
                        <w:szCs w:val="16"/>
                      </w:rPr>
                    </w:pPr>
                    <w:r w:rsidRPr="00965429">
                      <w:rPr>
                        <w:sz w:val="16"/>
                        <w:szCs w:val="16"/>
                      </w:rPr>
                      <w:t>-</w:t>
                    </w:r>
                  </w:p>
                </w:tc>
                <w:tc>
                  <w:tcPr>
                    <w:tcW w:w="425" w:type="dxa"/>
                    <w:tcBorders>
                      <w:left w:val="single" w:sz="4" w:space="0" w:color="auto"/>
                      <w:right w:val="single" w:sz="4" w:space="0" w:color="auto"/>
                    </w:tcBorders>
                    <w:vAlign w:val="center"/>
                  </w:tcPr>
                  <w:p w:rsidR="009B7C9A" w:rsidRPr="00965429" w:rsidRDefault="009B7C9A" w:rsidP="00B637B2">
                    <w:pPr>
                      <w:jc w:val="right"/>
                      <w:rPr>
                        <w:sz w:val="16"/>
                        <w:szCs w:val="16"/>
                      </w:rPr>
                    </w:pPr>
                    <w:r w:rsidRPr="00965429">
                      <w:rPr>
                        <w:sz w:val="16"/>
                        <w:szCs w:val="16"/>
                      </w:rPr>
                      <w:t>-</w:t>
                    </w:r>
                  </w:p>
                </w:tc>
                <w:tc>
                  <w:tcPr>
                    <w:tcW w:w="425" w:type="dxa"/>
                    <w:tcBorders>
                      <w:left w:val="single" w:sz="4" w:space="0" w:color="auto"/>
                    </w:tcBorders>
                    <w:vAlign w:val="center"/>
                  </w:tcPr>
                  <w:p w:rsidR="009B7C9A" w:rsidRPr="00965429" w:rsidRDefault="009B7C9A" w:rsidP="00B637B2">
                    <w:pPr>
                      <w:jc w:val="right"/>
                      <w:rPr>
                        <w:sz w:val="16"/>
                        <w:szCs w:val="16"/>
                      </w:rPr>
                    </w:pPr>
                    <w:r w:rsidRPr="00965429">
                      <w:rPr>
                        <w:sz w:val="16"/>
                        <w:szCs w:val="16"/>
                      </w:rPr>
                      <w:t>-</w:t>
                    </w:r>
                  </w:p>
                </w:tc>
                <w:tc>
                  <w:tcPr>
                    <w:tcW w:w="1560" w:type="dxa"/>
                    <w:vAlign w:val="center"/>
                  </w:tcPr>
                  <w:p w:rsidR="009B7C9A" w:rsidRPr="00965429" w:rsidRDefault="008F04CF" w:rsidP="00B637B2">
                    <w:pPr>
                      <w:jc w:val="right"/>
                      <w:rPr>
                        <w:sz w:val="16"/>
                        <w:szCs w:val="16"/>
                      </w:rPr>
                    </w:pPr>
                    <w:r w:rsidRPr="00965429">
                      <w:rPr>
                        <w:sz w:val="16"/>
                        <w:szCs w:val="16"/>
                      </w:rPr>
                      <w:t>1,094,341,296</w:t>
                    </w:r>
                  </w:p>
                </w:tc>
                <w:tc>
                  <w:tcPr>
                    <w:tcW w:w="1559" w:type="dxa"/>
                    <w:vAlign w:val="center"/>
                  </w:tcPr>
                  <w:p w:rsidR="009B7C9A" w:rsidRPr="00965429" w:rsidRDefault="008F04CF" w:rsidP="00B637B2">
                    <w:pPr>
                      <w:jc w:val="right"/>
                      <w:rPr>
                        <w:sz w:val="16"/>
                        <w:szCs w:val="16"/>
                      </w:rPr>
                    </w:pPr>
                    <w:r w:rsidRPr="00965429">
                      <w:rPr>
                        <w:sz w:val="16"/>
                        <w:szCs w:val="16"/>
                      </w:rPr>
                      <w:t>514,204,879</w:t>
                    </w:r>
                  </w:p>
                </w:tc>
                <w:tc>
                  <w:tcPr>
                    <w:tcW w:w="1559" w:type="dxa"/>
                    <w:vAlign w:val="center"/>
                  </w:tcPr>
                  <w:p w:rsidR="009B7C9A" w:rsidRPr="00965429" w:rsidRDefault="009B7C9A" w:rsidP="00B637B2">
                    <w:pPr>
                      <w:jc w:val="right"/>
                      <w:rPr>
                        <w:sz w:val="16"/>
                        <w:szCs w:val="16"/>
                      </w:rPr>
                    </w:pPr>
                    <w:r w:rsidRPr="00965429">
                      <w:rPr>
                        <w:sz w:val="16"/>
                        <w:szCs w:val="16"/>
                      </w:rPr>
                      <w:t>188,747</w:t>
                    </w:r>
                  </w:p>
                </w:tc>
                <w:tc>
                  <w:tcPr>
                    <w:tcW w:w="1559" w:type="dxa"/>
                    <w:vAlign w:val="center"/>
                  </w:tcPr>
                  <w:p w:rsidR="009B7C9A" w:rsidRPr="00965429" w:rsidRDefault="009B7C9A" w:rsidP="00B637B2">
                    <w:pPr>
                      <w:jc w:val="right"/>
                      <w:rPr>
                        <w:sz w:val="16"/>
                        <w:szCs w:val="16"/>
                      </w:rPr>
                    </w:pPr>
                    <w:r w:rsidRPr="00965429">
                      <w:rPr>
                        <w:sz w:val="16"/>
                        <w:szCs w:val="16"/>
                      </w:rPr>
                      <w:t>-</w:t>
                    </w:r>
                  </w:p>
                </w:tc>
                <w:tc>
                  <w:tcPr>
                    <w:tcW w:w="1560" w:type="dxa"/>
                    <w:vAlign w:val="center"/>
                  </w:tcPr>
                  <w:p w:rsidR="009B7C9A" w:rsidRPr="00965429" w:rsidRDefault="008F04CF" w:rsidP="00B637B2">
                    <w:pPr>
                      <w:jc w:val="right"/>
                      <w:rPr>
                        <w:sz w:val="16"/>
                        <w:szCs w:val="16"/>
                      </w:rPr>
                    </w:pPr>
                    <w:r w:rsidRPr="00965429">
                      <w:rPr>
                        <w:sz w:val="16"/>
                        <w:szCs w:val="16"/>
                      </w:rPr>
                      <w:t>831,983,441</w:t>
                    </w:r>
                  </w:p>
                </w:tc>
                <w:tc>
                  <w:tcPr>
                    <w:tcW w:w="1559" w:type="dxa"/>
                    <w:vAlign w:val="center"/>
                  </w:tcPr>
                  <w:p w:rsidR="009B7C9A" w:rsidRPr="00965429" w:rsidRDefault="008F04CF" w:rsidP="00B637B2">
                    <w:pPr>
                      <w:jc w:val="right"/>
                      <w:rPr>
                        <w:sz w:val="16"/>
                        <w:szCs w:val="16"/>
                      </w:rPr>
                    </w:pPr>
                    <w:r w:rsidRPr="00965429">
                      <w:rPr>
                        <w:sz w:val="16"/>
                        <w:szCs w:val="16"/>
                      </w:rPr>
                      <w:t>1,647,639,790</w:t>
                    </w:r>
                  </w:p>
                </w:tc>
                <w:tc>
                  <w:tcPr>
                    <w:tcW w:w="1559" w:type="dxa"/>
                    <w:vAlign w:val="center"/>
                  </w:tcPr>
                  <w:p w:rsidR="009B7C9A" w:rsidRPr="00965429" w:rsidRDefault="008F04CF" w:rsidP="00B637B2">
                    <w:pPr>
                      <w:jc w:val="right"/>
                      <w:rPr>
                        <w:sz w:val="16"/>
                        <w:szCs w:val="16"/>
                      </w:rPr>
                    </w:pPr>
                    <w:r w:rsidRPr="00A52E6C">
                      <w:rPr>
                        <w:sz w:val="16"/>
                        <w:szCs w:val="16"/>
                      </w:rPr>
                      <w:t>5,546,082,970</w:t>
                    </w:r>
                  </w:p>
                </w:tc>
              </w:tr>
            </w:tbl>
            <w:p w:rsidR="00ED2DC7" w:rsidRDefault="00ED2DC7"/>
            <w:p w:rsidR="00ED2DC7" w:rsidRDefault="00ED2DC7">
              <w:pPr>
                <w:rPr>
                  <w:szCs w:val="21"/>
                </w:rPr>
              </w:pPr>
            </w:p>
            <w:tbl>
              <w:tblPr>
                <w:tblStyle w:val="g38"/>
                <w:tblW w:w="15735" w:type="dxa"/>
                <w:tblInd w:w="-8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985"/>
                <w:gridCol w:w="1560"/>
                <w:gridCol w:w="425"/>
                <w:gridCol w:w="425"/>
                <w:gridCol w:w="425"/>
                <w:gridCol w:w="1560"/>
                <w:gridCol w:w="1559"/>
                <w:gridCol w:w="1559"/>
                <w:gridCol w:w="1559"/>
                <w:gridCol w:w="1560"/>
                <w:gridCol w:w="1559"/>
                <w:gridCol w:w="1559"/>
              </w:tblGrid>
              <w:tr w:rsidR="00B637B2" w:rsidTr="00B637B2">
                <w:trPr>
                  <w:trHeight w:val="20"/>
                </w:trPr>
                <w:tc>
                  <w:tcPr>
                    <w:tcW w:w="1985" w:type="dxa"/>
                    <w:vMerge w:val="restart"/>
                    <w:vAlign w:val="center"/>
                  </w:tcPr>
                  <w:sdt>
                    <w:sdtPr>
                      <w:rPr>
                        <w:rFonts w:hint="eastAsia"/>
                        <w:sz w:val="16"/>
                        <w:szCs w:val="16"/>
                      </w:rPr>
                      <w:tag w:val="_PLD_312727f4b56147c2b646c0fb68a4b58b"/>
                      <w:id w:val="1770045029"/>
                      <w:lock w:val="sdtLocked"/>
                    </w:sdtPr>
                    <w:sdtContent>
                      <w:p w:rsidR="00B637B2" w:rsidRPr="00A52E6C" w:rsidRDefault="008F04CF" w:rsidP="00B637B2">
                        <w:pPr>
                          <w:adjustRightInd w:val="0"/>
                          <w:snapToGrid w:val="0"/>
                          <w:jc w:val="center"/>
                          <w:rPr>
                            <w:sz w:val="16"/>
                            <w:szCs w:val="16"/>
                          </w:rPr>
                        </w:pPr>
                        <w:r w:rsidRPr="00A52E6C">
                          <w:rPr>
                            <w:rFonts w:hint="eastAsia"/>
                            <w:sz w:val="16"/>
                            <w:szCs w:val="16"/>
                          </w:rPr>
                          <w:t>项目</w:t>
                        </w:r>
                      </w:p>
                    </w:sdtContent>
                  </w:sdt>
                </w:tc>
                <w:tc>
                  <w:tcPr>
                    <w:tcW w:w="13750" w:type="dxa"/>
                    <w:gridSpan w:val="11"/>
                  </w:tcPr>
                  <w:p w:rsidR="00B637B2" w:rsidRPr="00A52E6C" w:rsidRDefault="008F04CF" w:rsidP="00B637B2">
                    <w:pPr>
                      <w:adjustRightInd w:val="0"/>
                      <w:snapToGrid w:val="0"/>
                      <w:jc w:val="center"/>
                      <w:rPr>
                        <w:sz w:val="16"/>
                        <w:szCs w:val="16"/>
                      </w:rPr>
                    </w:pPr>
                    <w:r w:rsidRPr="00A52E6C">
                      <w:rPr>
                        <w:rFonts w:hint="eastAsia"/>
                        <w:sz w:val="16"/>
                        <w:szCs w:val="16"/>
                      </w:rPr>
                      <w:t xml:space="preserve"> </w:t>
                    </w:r>
                    <w:sdt>
                      <w:sdtPr>
                        <w:rPr>
                          <w:rFonts w:hint="eastAsia"/>
                          <w:sz w:val="16"/>
                          <w:szCs w:val="16"/>
                        </w:rPr>
                        <w:tag w:val="_PLD_35246b22171846ac8ef46c5dfa1d1663"/>
                        <w:id w:val="-2078509083"/>
                        <w:lock w:val="sdtLocked"/>
                      </w:sdtPr>
                      <w:sdtContent>
                        <w:r w:rsidRPr="00A52E6C">
                          <w:rPr>
                            <w:rFonts w:hint="eastAsia"/>
                            <w:sz w:val="16"/>
                            <w:szCs w:val="16"/>
                          </w:rPr>
                          <w:t>2018年半年度</w:t>
                        </w:r>
                      </w:sdtContent>
                    </w:sdt>
                  </w:p>
                </w:tc>
              </w:tr>
              <w:tr w:rsidR="00B637B2" w:rsidTr="00B637B2">
                <w:trPr>
                  <w:trHeight w:val="315"/>
                </w:trPr>
                <w:tc>
                  <w:tcPr>
                    <w:tcW w:w="1985" w:type="dxa"/>
                    <w:vMerge/>
                  </w:tcPr>
                  <w:p w:rsidR="00B637B2" w:rsidRPr="00A52E6C" w:rsidRDefault="00B637B2" w:rsidP="00B637B2">
                    <w:pPr>
                      <w:adjustRightInd w:val="0"/>
                      <w:snapToGrid w:val="0"/>
                      <w:rPr>
                        <w:sz w:val="16"/>
                        <w:szCs w:val="16"/>
                      </w:rPr>
                    </w:pPr>
                  </w:p>
                </w:tc>
                <w:sdt>
                  <w:sdtPr>
                    <w:rPr>
                      <w:sz w:val="16"/>
                      <w:szCs w:val="16"/>
                    </w:rPr>
                    <w:tag w:val="_PLD_5da9900c5a9e46a085487ea972f44796"/>
                    <w:id w:val="-520626142"/>
                    <w:lock w:val="sdtLocked"/>
                  </w:sdtPr>
                  <w:sdtContent>
                    <w:tc>
                      <w:tcPr>
                        <w:tcW w:w="1560" w:type="dxa"/>
                        <w:vMerge w:val="restart"/>
                        <w:tcBorders>
                          <w:right w:val="single" w:sz="4" w:space="0" w:color="auto"/>
                        </w:tcBorders>
                        <w:vAlign w:val="center"/>
                      </w:tcPr>
                      <w:p w:rsidR="00B637B2" w:rsidRPr="00A52E6C" w:rsidRDefault="008F04CF" w:rsidP="00B637B2">
                        <w:pPr>
                          <w:adjustRightInd w:val="0"/>
                          <w:snapToGrid w:val="0"/>
                          <w:jc w:val="center"/>
                          <w:rPr>
                            <w:sz w:val="16"/>
                            <w:szCs w:val="16"/>
                          </w:rPr>
                        </w:pPr>
                        <w:r w:rsidRPr="00A52E6C">
                          <w:rPr>
                            <w:rFonts w:hint="eastAsia"/>
                            <w:sz w:val="16"/>
                            <w:szCs w:val="16"/>
                          </w:rPr>
                          <w:t>实收资本</w:t>
                        </w:r>
                        <w:r w:rsidRPr="00A52E6C">
                          <w:rPr>
                            <w:sz w:val="16"/>
                            <w:szCs w:val="16"/>
                          </w:rPr>
                          <w:t xml:space="preserve"> (或股本)</w:t>
                        </w:r>
                      </w:p>
                    </w:tc>
                  </w:sdtContent>
                </w:sdt>
                <w:sdt>
                  <w:sdtPr>
                    <w:rPr>
                      <w:sz w:val="16"/>
                      <w:szCs w:val="16"/>
                    </w:rPr>
                    <w:tag w:val="_PLD_fc0bce3be00144ff950606755a048a76"/>
                    <w:id w:val="-533114693"/>
                    <w:lock w:val="sdtLocked"/>
                  </w:sdtPr>
                  <w:sdtContent>
                    <w:tc>
                      <w:tcPr>
                        <w:tcW w:w="1275" w:type="dxa"/>
                        <w:gridSpan w:val="3"/>
                        <w:tcBorders>
                          <w:left w:val="single" w:sz="4" w:space="0" w:color="auto"/>
                          <w:bottom w:val="single" w:sz="4" w:space="0" w:color="auto"/>
                        </w:tcBorders>
                        <w:vAlign w:val="center"/>
                      </w:tcPr>
                      <w:p w:rsidR="00B637B2" w:rsidRPr="00A52E6C" w:rsidRDefault="008F04CF" w:rsidP="00B637B2">
                        <w:pPr>
                          <w:adjustRightInd w:val="0"/>
                          <w:snapToGrid w:val="0"/>
                          <w:jc w:val="center"/>
                          <w:rPr>
                            <w:sz w:val="16"/>
                            <w:szCs w:val="16"/>
                          </w:rPr>
                        </w:pPr>
                        <w:r w:rsidRPr="00A52E6C">
                          <w:rPr>
                            <w:rFonts w:hint="eastAsia"/>
                            <w:sz w:val="16"/>
                            <w:szCs w:val="16"/>
                          </w:rPr>
                          <w:t>其他权益工具</w:t>
                        </w:r>
                      </w:p>
                    </w:tc>
                  </w:sdtContent>
                </w:sdt>
                <w:sdt>
                  <w:sdtPr>
                    <w:rPr>
                      <w:sz w:val="16"/>
                      <w:szCs w:val="16"/>
                    </w:rPr>
                    <w:tag w:val="_PLD_b31d07f97db344b1b180738b22a76467"/>
                    <w:id w:val="2024733807"/>
                    <w:lock w:val="sdtLocked"/>
                  </w:sdtPr>
                  <w:sdtContent>
                    <w:tc>
                      <w:tcPr>
                        <w:tcW w:w="1560" w:type="dxa"/>
                        <w:vMerge w:val="restart"/>
                        <w:vAlign w:val="center"/>
                      </w:tcPr>
                      <w:p w:rsidR="00B637B2" w:rsidRPr="00A52E6C" w:rsidRDefault="008F04CF" w:rsidP="00B637B2">
                        <w:pPr>
                          <w:adjustRightInd w:val="0"/>
                          <w:snapToGrid w:val="0"/>
                          <w:jc w:val="center"/>
                          <w:rPr>
                            <w:sz w:val="16"/>
                            <w:szCs w:val="16"/>
                          </w:rPr>
                        </w:pPr>
                        <w:r w:rsidRPr="00A52E6C">
                          <w:rPr>
                            <w:sz w:val="16"/>
                            <w:szCs w:val="16"/>
                          </w:rPr>
                          <w:t>资本公积</w:t>
                        </w:r>
                      </w:p>
                    </w:tc>
                  </w:sdtContent>
                </w:sdt>
                <w:sdt>
                  <w:sdtPr>
                    <w:rPr>
                      <w:sz w:val="16"/>
                      <w:szCs w:val="16"/>
                    </w:rPr>
                    <w:tag w:val="_PLD_244676dcaf4245bd9119f474a4e885f9"/>
                    <w:id w:val="-1577203715"/>
                    <w:lock w:val="sdtLocked"/>
                  </w:sdtPr>
                  <w:sdtContent>
                    <w:tc>
                      <w:tcPr>
                        <w:tcW w:w="1559" w:type="dxa"/>
                        <w:vMerge w:val="restart"/>
                        <w:vAlign w:val="center"/>
                      </w:tcPr>
                      <w:p w:rsidR="00B637B2" w:rsidRPr="00A52E6C" w:rsidRDefault="008F04CF" w:rsidP="00B637B2">
                        <w:pPr>
                          <w:adjustRightInd w:val="0"/>
                          <w:snapToGrid w:val="0"/>
                          <w:jc w:val="center"/>
                          <w:rPr>
                            <w:sz w:val="16"/>
                            <w:szCs w:val="16"/>
                          </w:rPr>
                        </w:pPr>
                        <w:r w:rsidRPr="00A52E6C">
                          <w:rPr>
                            <w:sz w:val="16"/>
                            <w:szCs w:val="16"/>
                          </w:rPr>
                          <w:t>减：库存股</w:t>
                        </w:r>
                      </w:p>
                    </w:tc>
                  </w:sdtContent>
                </w:sdt>
                <w:sdt>
                  <w:sdtPr>
                    <w:rPr>
                      <w:sz w:val="16"/>
                      <w:szCs w:val="16"/>
                    </w:rPr>
                    <w:tag w:val="_PLD_01eab1b775574165b2820a19e72d2ad0"/>
                    <w:id w:val="-1787498613"/>
                    <w:lock w:val="sdtLocked"/>
                  </w:sdtPr>
                  <w:sdtContent>
                    <w:tc>
                      <w:tcPr>
                        <w:tcW w:w="1559" w:type="dxa"/>
                        <w:vMerge w:val="restart"/>
                        <w:vAlign w:val="center"/>
                      </w:tcPr>
                      <w:p w:rsidR="00B637B2" w:rsidRPr="00A52E6C" w:rsidRDefault="008F04CF" w:rsidP="00B637B2">
                        <w:pPr>
                          <w:jc w:val="center"/>
                          <w:rPr>
                            <w:sz w:val="16"/>
                            <w:szCs w:val="16"/>
                          </w:rPr>
                        </w:pPr>
                        <w:r w:rsidRPr="00A52E6C">
                          <w:rPr>
                            <w:rFonts w:hint="eastAsia"/>
                            <w:sz w:val="16"/>
                            <w:szCs w:val="16"/>
                          </w:rPr>
                          <w:t>其他综合收益</w:t>
                        </w:r>
                      </w:p>
                    </w:tc>
                  </w:sdtContent>
                </w:sdt>
                <w:sdt>
                  <w:sdtPr>
                    <w:rPr>
                      <w:sz w:val="16"/>
                      <w:szCs w:val="16"/>
                    </w:rPr>
                    <w:tag w:val="_PLD_13f17e2c8a7a404da876af1bac2ae6d1"/>
                    <w:id w:val="448360759"/>
                    <w:lock w:val="sdtLocked"/>
                  </w:sdtPr>
                  <w:sdtContent>
                    <w:tc>
                      <w:tcPr>
                        <w:tcW w:w="1559" w:type="dxa"/>
                        <w:vMerge w:val="restart"/>
                        <w:vAlign w:val="center"/>
                      </w:tcPr>
                      <w:p w:rsidR="00B637B2" w:rsidRPr="00A52E6C" w:rsidRDefault="008F04CF" w:rsidP="00B637B2">
                        <w:pPr>
                          <w:adjustRightInd w:val="0"/>
                          <w:snapToGrid w:val="0"/>
                          <w:jc w:val="center"/>
                          <w:rPr>
                            <w:sz w:val="16"/>
                            <w:szCs w:val="16"/>
                          </w:rPr>
                        </w:pPr>
                        <w:r w:rsidRPr="00A52E6C">
                          <w:rPr>
                            <w:rFonts w:hint="eastAsia"/>
                            <w:sz w:val="16"/>
                            <w:szCs w:val="16"/>
                          </w:rPr>
                          <w:t>专项储备</w:t>
                        </w:r>
                      </w:p>
                    </w:tc>
                  </w:sdtContent>
                </w:sdt>
                <w:sdt>
                  <w:sdtPr>
                    <w:rPr>
                      <w:sz w:val="16"/>
                      <w:szCs w:val="16"/>
                    </w:rPr>
                    <w:tag w:val="_PLD_9578f3812cf04a34965a5bdc9ee82115"/>
                    <w:id w:val="-1237083379"/>
                    <w:lock w:val="sdtLocked"/>
                  </w:sdtPr>
                  <w:sdtContent>
                    <w:tc>
                      <w:tcPr>
                        <w:tcW w:w="1560" w:type="dxa"/>
                        <w:vMerge w:val="restart"/>
                        <w:vAlign w:val="center"/>
                      </w:tcPr>
                      <w:p w:rsidR="00B637B2" w:rsidRPr="00A52E6C" w:rsidRDefault="008F04CF" w:rsidP="00B637B2">
                        <w:pPr>
                          <w:adjustRightInd w:val="0"/>
                          <w:snapToGrid w:val="0"/>
                          <w:jc w:val="center"/>
                          <w:rPr>
                            <w:sz w:val="16"/>
                            <w:szCs w:val="16"/>
                          </w:rPr>
                        </w:pPr>
                        <w:r w:rsidRPr="00A52E6C">
                          <w:rPr>
                            <w:sz w:val="16"/>
                            <w:szCs w:val="16"/>
                          </w:rPr>
                          <w:t>盈余公积</w:t>
                        </w:r>
                      </w:p>
                    </w:tc>
                  </w:sdtContent>
                </w:sdt>
                <w:sdt>
                  <w:sdtPr>
                    <w:rPr>
                      <w:sz w:val="16"/>
                      <w:szCs w:val="16"/>
                    </w:rPr>
                    <w:tag w:val="_PLD_5d835cd98ccc4304aec553a0b6a56628"/>
                    <w:id w:val="-1609879358"/>
                    <w:lock w:val="sdtLocked"/>
                  </w:sdtPr>
                  <w:sdtContent>
                    <w:tc>
                      <w:tcPr>
                        <w:tcW w:w="1559" w:type="dxa"/>
                        <w:vMerge w:val="restart"/>
                        <w:vAlign w:val="center"/>
                      </w:tcPr>
                      <w:p w:rsidR="00B637B2" w:rsidRPr="00A52E6C" w:rsidRDefault="008F04CF" w:rsidP="00B637B2">
                        <w:pPr>
                          <w:adjustRightInd w:val="0"/>
                          <w:snapToGrid w:val="0"/>
                          <w:jc w:val="center"/>
                          <w:rPr>
                            <w:sz w:val="16"/>
                            <w:szCs w:val="16"/>
                          </w:rPr>
                        </w:pPr>
                        <w:r w:rsidRPr="00A52E6C">
                          <w:rPr>
                            <w:sz w:val="16"/>
                            <w:szCs w:val="16"/>
                          </w:rPr>
                          <w:t>未分配利润</w:t>
                        </w:r>
                      </w:p>
                    </w:tc>
                  </w:sdtContent>
                </w:sdt>
                <w:sdt>
                  <w:sdtPr>
                    <w:rPr>
                      <w:sz w:val="16"/>
                      <w:szCs w:val="16"/>
                    </w:rPr>
                    <w:tag w:val="_PLD_1cbb8af374a54430ad1f29ed83c69cd0"/>
                    <w:id w:val="-710031365"/>
                    <w:lock w:val="sdtLocked"/>
                  </w:sdtPr>
                  <w:sdtContent>
                    <w:tc>
                      <w:tcPr>
                        <w:tcW w:w="1559" w:type="dxa"/>
                        <w:vMerge w:val="restart"/>
                        <w:vAlign w:val="center"/>
                      </w:tcPr>
                      <w:p w:rsidR="00B637B2" w:rsidRPr="00A52E6C" w:rsidRDefault="008F04CF" w:rsidP="00B637B2">
                        <w:pPr>
                          <w:adjustRightInd w:val="0"/>
                          <w:snapToGrid w:val="0"/>
                          <w:jc w:val="center"/>
                          <w:rPr>
                            <w:sz w:val="16"/>
                            <w:szCs w:val="16"/>
                          </w:rPr>
                        </w:pPr>
                        <w:r w:rsidRPr="00A52E6C">
                          <w:rPr>
                            <w:sz w:val="16"/>
                            <w:szCs w:val="16"/>
                          </w:rPr>
                          <w:t>所有者权益合计</w:t>
                        </w:r>
                      </w:p>
                    </w:tc>
                  </w:sdtContent>
                </w:sdt>
              </w:tr>
              <w:tr w:rsidR="00B637B2" w:rsidTr="00B637B2">
                <w:trPr>
                  <w:trHeight w:val="294"/>
                </w:trPr>
                <w:tc>
                  <w:tcPr>
                    <w:tcW w:w="1985" w:type="dxa"/>
                    <w:vMerge/>
                  </w:tcPr>
                  <w:p w:rsidR="00B637B2" w:rsidRPr="00A52E6C" w:rsidRDefault="00B637B2" w:rsidP="00B637B2">
                    <w:pPr>
                      <w:adjustRightInd w:val="0"/>
                      <w:snapToGrid w:val="0"/>
                      <w:rPr>
                        <w:sz w:val="16"/>
                        <w:szCs w:val="16"/>
                      </w:rPr>
                    </w:pPr>
                  </w:p>
                </w:tc>
                <w:tc>
                  <w:tcPr>
                    <w:tcW w:w="1560" w:type="dxa"/>
                    <w:vMerge/>
                    <w:tcBorders>
                      <w:right w:val="single" w:sz="4" w:space="0" w:color="auto"/>
                    </w:tcBorders>
                  </w:tcPr>
                  <w:p w:rsidR="00B637B2" w:rsidRPr="00A52E6C" w:rsidRDefault="00B637B2" w:rsidP="00B637B2">
                    <w:pPr>
                      <w:adjustRightInd w:val="0"/>
                      <w:snapToGrid w:val="0"/>
                      <w:jc w:val="center"/>
                      <w:rPr>
                        <w:sz w:val="16"/>
                        <w:szCs w:val="16"/>
                      </w:rPr>
                    </w:pPr>
                  </w:p>
                </w:tc>
                <w:sdt>
                  <w:sdtPr>
                    <w:rPr>
                      <w:sz w:val="16"/>
                      <w:szCs w:val="16"/>
                    </w:rPr>
                    <w:tag w:val="_PLD_dcc9ba0f815c4a99a7c4c9fe219d232e"/>
                    <w:id w:val="1457835696"/>
                    <w:lock w:val="sdtLocked"/>
                  </w:sdtPr>
                  <w:sdtContent>
                    <w:tc>
                      <w:tcPr>
                        <w:tcW w:w="425" w:type="dxa"/>
                        <w:tcBorders>
                          <w:top w:val="single" w:sz="4" w:space="0" w:color="auto"/>
                          <w:left w:val="single" w:sz="4" w:space="0" w:color="auto"/>
                          <w:right w:val="single" w:sz="4" w:space="0" w:color="auto"/>
                        </w:tcBorders>
                        <w:vAlign w:val="center"/>
                      </w:tcPr>
                      <w:p w:rsidR="00B637B2" w:rsidRPr="00A52E6C" w:rsidRDefault="008F04CF" w:rsidP="00B637B2">
                        <w:pPr>
                          <w:adjustRightInd w:val="0"/>
                          <w:snapToGrid w:val="0"/>
                          <w:jc w:val="center"/>
                          <w:rPr>
                            <w:sz w:val="16"/>
                            <w:szCs w:val="16"/>
                          </w:rPr>
                        </w:pPr>
                        <w:r w:rsidRPr="00A52E6C">
                          <w:rPr>
                            <w:rFonts w:hint="eastAsia"/>
                            <w:sz w:val="16"/>
                            <w:szCs w:val="16"/>
                          </w:rPr>
                          <w:t>优先股</w:t>
                        </w:r>
                      </w:p>
                    </w:tc>
                  </w:sdtContent>
                </w:sdt>
                <w:sdt>
                  <w:sdtPr>
                    <w:rPr>
                      <w:sz w:val="16"/>
                      <w:szCs w:val="16"/>
                    </w:rPr>
                    <w:tag w:val="_PLD_42f56a6e995041a8b03e0979c7b2350c"/>
                    <w:id w:val="-1723673994"/>
                    <w:lock w:val="sdtLocked"/>
                  </w:sdtPr>
                  <w:sdtContent>
                    <w:tc>
                      <w:tcPr>
                        <w:tcW w:w="425" w:type="dxa"/>
                        <w:tcBorders>
                          <w:top w:val="single" w:sz="4" w:space="0" w:color="auto"/>
                          <w:left w:val="single" w:sz="4" w:space="0" w:color="auto"/>
                          <w:right w:val="single" w:sz="4" w:space="0" w:color="auto"/>
                        </w:tcBorders>
                        <w:vAlign w:val="center"/>
                      </w:tcPr>
                      <w:p w:rsidR="00B637B2" w:rsidRPr="00A52E6C" w:rsidRDefault="008F04CF" w:rsidP="00B637B2">
                        <w:pPr>
                          <w:adjustRightInd w:val="0"/>
                          <w:snapToGrid w:val="0"/>
                          <w:jc w:val="center"/>
                          <w:rPr>
                            <w:sz w:val="16"/>
                            <w:szCs w:val="16"/>
                          </w:rPr>
                        </w:pPr>
                        <w:r w:rsidRPr="00A52E6C">
                          <w:rPr>
                            <w:rFonts w:hint="eastAsia"/>
                            <w:sz w:val="16"/>
                            <w:szCs w:val="16"/>
                          </w:rPr>
                          <w:t>永续债</w:t>
                        </w:r>
                      </w:p>
                    </w:tc>
                  </w:sdtContent>
                </w:sdt>
                <w:sdt>
                  <w:sdtPr>
                    <w:rPr>
                      <w:sz w:val="16"/>
                      <w:szCs w:val="16"/>
                    </w:rPr>
                    <w:tag w:val="_PLD_30aa853463c54004a69a2235554ee8fd"/>
                    <w:id w:val="1761026189"/>
                    <w:lock w:val="sdtLocked"/>
                  </w:sdtPr>
                  <w:sdtContent>
                    <w:tc>
                      <w:tcPr>
                        <w:tcW w:w="425" w:type="dxa"/>
                        <w:tcBorders>
                          <w:top w:val="single" w:sz="4" w:space="0" w:color="auto"/>
                          <w:left w:val="single" w:sz="4" w:space="0" w:color="auto"/>
                        </w:tcBorders>
                        <w:vAlign w:val="center"/>
                      </w:tcPr>
                      <w:p w:rsidR="00B637B2" w:rsidRPr="00A52E6C" w:rsidRDefault="008F04CF" w:rsidP="00B637B2">
                        <w:pPr>
                          <w:adjustRightInd w:val="0"/>
                          <w:snapToGrid w:val="0"/>
                          <w:jc w:val="center"/>
                          <w:rPr>
                            <w:sz w:val="16"/>
                            <w:szCs w:val="16"/>
                          </w:rPr>
                        </w:pPr>
                        <w:r w:rsidRPr="00A52E6C">
                          <w:rPr>
                            <w:rFonts w:hint="eastAsia"/>
                            <w:sz w:val="16"/>
                            <w:szCs w:val="16"/>
                          </w:rPr>
                          <w:t>其他</w:t>
                        </w:r>
                      </w:p>
                    </w:tc>
                  </w:sdtContent>
                </w:sdt>
                <w:tc>
                  <w:tcPr>
                    <w:tcW w:w="1560" w:type="dxa"/>
                    <w:vMerge/>
                  </w:tcPr>
                  <w:p w:rsidR="00B637B2" w:rsidRPr="00A52E6C" w:rsidRDefault="00B637B2" w:rsidP="00B637B2">
                    <w:pPr>
                      <w:adjustRightInd w:val="0"/>
                      <w:snapToGrid w:val="0"/>
                      <w:jc w:val="center"/>
                      <w:rPr>
                        <w:sz w:val="16"/>
                        <w:szCs w:val="16"/>
                      </w:rPr>
                    </w:pPr>
                  </w:p>
                </w:tc>
                <w:tc>
                  <w:tcPr>
                    <w:tcW w:w="1559" w:type="dxa"/>
                    <w:vMerge/>
                  </w:tcPr>
                  <w:p w:rsidR="00B637B2" w:rsidRPr="00A52E6C" w:rsidRDefault="00B637B2" w:rsidP="00B637B2">
                    <w:pPr>
                      <w:adjustRightInd w:val="0"/>
                      <w:snapToGrid w:val="0"/>
                      <w:jc w:val="center"/>
                      <w:rPr>
                        <w:sz w:val="16"/>
                        <w:szCs w:val="16"/>
                      </w:rPr>
                    </w:pPr>
                  </w:p>
                </w:tc>
                <w:tc>
                  <w:tcPr>
                    <w:tcW w:w="1559" w:type="dxa"/>
                    <w:vMerge/>
                  </w:tcPr>
                  <w:p w:rsidR="00B637B2" w:rsidRPr="00A52E6C" w:rsidRDefault="00B637B2" w:rsidP="00B637B2">
                    <w:pPr>
                      <w:jc w:val="center"/>
                      <w:rPr>
                        <w:sz w:val="16"/>
                        <w:szCs w:val="16"/>
                      </w:rPr>
                    </w:pPr>
                  </w:p>
                </w:tc>
                <w:tc>
                  <w:tcPr>
                    <w:tcW w:w="1559" w:type="dxa"/>
                    <w:vMerge/>
                  </w:tcPr>
                  <w:p w:rsidR="00B637B2" w:rsidRPr="00A52E6C" w:rsidRDefault="00B637B2" w:rsidP="00B637B2">
                    <w:pPr>
                      <w:adjustRightInd w:val="0"/>
                      <w:snapToGrid w:val="0"/>
                      <w:jc w:val="center"/>
                      <w:rPr>
                        <w:sz w:val="16"/>
                        <w:szCs w:val="16"/>
                      </w:rPr>
                    </w:pPr>
                  </w:p>
                </w:tc>
                <w:tc>
                  <w:tcPr>
                    <w:tcW w:w="1560" w:type="dxa"/>
                    <w:vMerge/>
                  </w:tcPr>
                  <w:p w:rsidR="00B637B2" w:rsidRPr="00A52E6C" w:rsidRDefault="00B637B2" w:rsidP="00B637B2">
                    <w:pPr>
                      <w:adjustRightInd w:val="0"/>
                      <w:snapToGrid w:val="0"/>
                      <w:jc w:val="center"/>
                      <w:rPr>
                        <w:sz w:val="16"/>
                        <w:szCs w:val="16"/>
                      </w:rPr>
                    </w:pPr>
                  </w:p>
                </w:tc>
                <w:tc>
                  <w:tcPr>
                    <w:tcW w:w="1559" w:type="dxa"/>
                    <w:vMerge/>
                  </w:tcPr>
                  <w:p w:rsidR="00B637B2" w:rsidRPr="00A52E6C" w:rsidRDefault="00B637B2" w:rsidP="00B637B2">
                    <w:pPr>
                      <w:adjustRightInd w:val="0"/>
                      <w:snapToGrid w:val="0"/>
                      <w:jc w:val="center"/>
                      <w:rPr>
                        <w:sz w:val="16"/>
                        <w:szCs w:val="16"/>
                      </w:rPr>
                    </w:pPr>
                  </w:p>
                </w:tc>
                <w:tc>
                  <w:tcPr>
                    <w:tcW w:w="1559" w:type="dxa"/>
                    <w:vMerge/>
                  </w:tcPr>
                  <w:p w:rsidR="00B637B2" w:rsidRPr="00A52E6C" w:rsidRDefault="00B637B2" w:rsidP="00B637B2">
                    <w:pPr>
                      <w:adjustRightInd w:val="0"/>
                      <w:snapToGrid w:val="0"/>
                      <w:jc w:val="center"/>
                      <w:rPr>
                        <w:sz w:val="16"/>
                        <w:szCs w:val="16"/>
                      </w:rPr>
                    </w:pPr>
                  </w:p>
                </w:tc>
              </w:tr>
              <w:tr w:rsidR="00B637B2" w:rsidTr="00B637B2">
                <w:trPr>
                  <w:trHeight w:val="20"/>
                </w:trPr>
                <w:sdt>
                  <w:sdtPr>
                    <w:rPr>
                      <w:sz w:val="16"/>
                      <w:szCs w:val="16"/>
                    </w:rPr>
                    <w:tag w:val="_PLD_b00b327c7ecc4ad1bfafd8f9c1a6ce86"/>
                    <w:id w:val="170542570"/>
                    <w:lock w:val="sdtLocked"/>
                  </w:sdtPr>
                  <w:sdtContent>
                    <w:tc>
                      <w:tcPr>
                        <w:tcW w:w="1985" w:type="dxa"/>
                      </w:tcPr>
                      <w:p w:rsidR="00B637B2" w:rsidRPr="00A52E6C" w:rsidRDefault="008F04CF" w:rsidP="00B637B2">
                        <w:pPr>
                          <w:rPr>
                            <w:sz w:val="16"/>
                            <w:szCs w:val="16"/>
                          </w:rPr>
                        </w:pPr>
                        <w:r w:rsidRPr="00A52E6C">
                          <w:rPr>
                            <w:sz w:val="16"/>
                            <w:szCs w:val="16"/>
                          </w:rPr>
                          <w:t>一、上年</w:t>
                        </w:r>
                        <w:r w:rsidRPr="00A52E6C">
                          <w:rPr>
                            <w:rFonts w:hint="eastAsia"/>
                            <w:sz w:val="16"/>
                            <w:szCs w:val="16"/>
                          </w:rPr>
                          <w:t>期</w:t>
                        </w:r>
                        <w:r w:rsidRPr="00A52E6C">
                          <w:rPr>
                            <w:sz w:val="16"/>
                            <w:szCs w:val="16"/>
                          </w:rPr>
                          <w:t>末余额</w:t>
                        </w:r>
                      </w:p>
                    </w:tc>
                  </w:sdtContent>
                </w:sdt>
                <w:tc>
                  <w:tcPr>
                    <w:tcW w:w="1560" w:type="dxa"/>
                    <w:tcBorders>
                      <w:right w:val="single" w:sz="4" w:space="0" w:color="auto"/>
                    </w:tcBorders>
                    <w:vAlign w:val="center"/>
                  </w:tcPr>
                  <w:p w:rsidR="00B637B2" w:rsidRPr="00A52E6C" w:rsidRDefault="008F04CF" w:rsidP="00B637B2">
                    <w:pPr>
                      <w:jc w:val="right"/>
                      <w:rPr>
                        <w:sz w:val="16"/>
                        <w:szCs w:val="16"/>
                      </w:rPr>
                    </w:pPr>
                    <w:r w:rsidRPr="00A52E6C">
                      <w:rPr>
                        <w:sz w:val="16"/>
                        <w:szCs w:val="16"/>
                      </w:rPr>
                      <w:t>1,464,217,811</w:t>
                    </w:r>
                  </w:p>
                </w:tc>
                <w:tc>
                  <w:tcPr>
                    <w:tcW w:w="425" w:type="dxa"/>
                    <w:tcBorders>
                      <w:left w:val="single" w:sz="4" w:space="0" w:color="auto"/>
                      <w:righ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425" w:type="dxa"/>
                    <w:tcBorders>
                      <w:left w:val="single" w:sz="4" w:space="0" w:color="auto"/>
                      <w:righ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425" w:type="dxa"/>
                    <w:tcBorders>
                      <w:left w:val="single" w:sz="4" w:space="0" w:color="auto"/>
                      <w:righ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1560" w:type="dxa"/>
                    <w:tcBorders>
                      <w:left w:val="single" w:sz="4" w:space="0" w:color="auto"/>
                    </w:tcBorders>
                    <w:vAlign w:val="center"/>
                  </w:tcPr>
                  <w:p w:rsidR="00B637B2" w:rsidRPr="00A52E6C" w:rsidRDefault="008F04CF" w:rsidP="00B637B2">
                    <w:pPr>
                      <w:jc w:val="right"/>
                      <w:rPr>
                        <w:sz w:val="16"/>
                        <w:szCs w:val="16"/>
                      </w:rPr>
                    </w:pPr>
                    <w:r w:rsidRPr="00A52E6C">
                      <w:rPr>
                        <w:sz w:val="16"/>
                        <w:szCs w:val="16"/>
                      </w:rPr>
                      <w:t>1,688,282,407</w:t>
                    </w:r>
                  </w:p>
                </w:tc>
                <w:tc>
                  <w:tcPr>
                    <w:tcW w:w="1559" w:type="dxa"/>
                    <w:vAlign w:val="center"/>
                  </w:tcPr>
                  <w:p w:rsidR="00B637B2" w:rsidRPr="00A52E6C" w:rsidRDefault="008F04CF" w:rsidP="00B637B2">
                    <w:pPr>
                      <w:jc w:val="right"/>
                      <w:rPr>
                        <w:sz w:val="16"/>
                        <w:szCs w:val="16"/>
                      </w:rPr>
                    </w:pPr>
                    <w:r w:rsidRPr="00A52E6C">
                      <w:rPr>
                        <w:sz w:val="16"/>
                        <w:szCs w:val="16"/>
                      </w:rPr>
                      <w:t>102,196,291</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60" w:type="dxa"/>
                    <w:vAlign w:val="center"/>
                  </w:tcPr>
                  <w:p w:rsidR="00B637B2" w:rsidRPr="00A52E6C" w:rsidRDefault="008F04CF" w:rsidP="00B637B2">
                    <w:pPr>
                      <w:jc w:val="right"/>
                      <w:rPr>
                        <w:sz w:val="16"/>
                        <w:szCs w:val="16"/>
                      </w:rPr>
                    </w:pPr>
                    <w:r w:rsidRPr="00A52E6C">
                      <w:rPr>
                        <w:sz w:val="16"/>
                        <w:szCs w:val="16"/>
                      </w:rPr>
                      <w:t>725,148,306</w:t>
                    </w:r>
                  </w:p>
                </w:tc>
                <w:tc>
                  <w:tcPr>
                    <w:tcW w:w="1559" w:type="dxa"/>
                    <w:vAlign w:val="center"/>
                  </w:tcPr>
                  <w:p w:rsidR="00B637B2" w:rsidRPr="00A52E6C" w:rsidRDefault="008F04CF" w:rsidP="00B637B2">
                    <w:pPr>
                      <w:jc w:val="right"/>
                      <w:rPr>
                        <w:sz w:val="16"/>
                        <w:szCs w:val="16"/>
                      </w:rPr>
                    </w:pPr>
                    <w:r w:rsidRPr="00A52E6C">
                      <w:rPr>
                        <w:sz w:val="16"/>
                        <w:szCs w:val="16"/>
                      </w:rPr>
                      <w:t>1,255,553,046</w:t>
                    </w:r>
                  </w:p>
                </w:tc>
                <w:tc>
                  <w:tcPr>
                    <w:tcW w:w="1559" w:type="dxa"/>
                    <w:vAlign w:val="center"/>
                  </w:tcPr>
                  <w:p w:rsidR="00B637B2" w:rsidRPr="00A52E6C" w:rsidRDefault="008F04CF" w:rsidP="00B637B2">
                    <w:pPr>
                      <w:jc w:val="right"/>
                      <w:rPr>
                        <w:sz w:val="16"/>
                        <w:szCs w:val="16"/>
                      </w:rPr>
                    </w:pPr>
                    <w:r w:rsidRPr="00A52E6C">
                      <w:rPr>
                        <w:sz w:val="16"/>
                        <w:szCs w:val="16"/>
                      </w:rPr>
                      <w:t>5,031,005,279</w:t>
                    </w:r>
                  </w:p>
                </w:tc>
              </w:tr>
              <w:tr w:rsidR="00B637B2" w:rsidTr="00B637B2">
                <w:trPr>
                  <w:trHeight w:val="20"/>
                </w:trPr>
                <w:sdt>
                  <w:sdtPr>
                    <w:rPr>
                      <w:sz w:val="16"/>
                      <w:szCs w:val="16"/>
                    </w:rPr>
                    <w:tag w:val="_PLD_87ad1d45ba9b40488fdf5165b8168def"/>
                    <w:id w:val="-2047286927"/>
                    <w:lock w:val="sdtLocked"/>
                  </w:sdtPr>
                  <w:sdtContent>
                    <w:tc>
                      <w:tcPr>
                        <w:tcW w:w="1985" w:type="dxa"/>
                      </w:tcPr>
                      <w:p w:rsidR="00B637B2" w:rsidRPr="00A52E6C" w:rsidRDefault="008F04CF" w:rsidP="00B637B2">
                        <w:pPr>
                          <w:rPr>
                            <w:sz w:val="16"/>
                            <w:szCs w:val="16"/>
                          </w:rPr>
                        </w:pPr>
                        <w:r w:rsidRPr="00A52E6C">
                          <w:rPr>
                            <w:sz w:val="16"/>
                            <w:szCs w:val="16"/>
                          </w:rPr>
                          <w:t>加：会计政策变更</w:t>
                        </w:r>
                      </w:p>
                    </w:tc>
                  </w:sdtContent>
                </w:sdt>
                <w:tc>
                  <w:tcPr>
                    <w:tcW w:w="1560" w:type="dxa"/>
                    <w:tcBorders>
                      <w:righ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425" w:type="dxa"/>
                    <w:tcBorders>
                      <w:left w:val="single" w:sz="4" w:space="0" w:color="auto"/>
                      <w:righ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425" w:type="dxa"/>
                    <w:tcBorders>
                      <w:left w:val="single" w:sz="4" w:space="0" w:color="auto"/>
                      <w:righ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425" w:type="dxa"/>
                    <w:tcBorders>
                      <w:left w:val="single" w:sz="4" w:space="0" w:color="auto"/>
                      <w:righ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1560" w:type="dxa"/>
                    <w:tcBorders>
                      <w:lef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60"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r>
              <w:tr w:rsidR="00B637B2" w:rsidTr="00B637B2">
                <w:trPr>
                  <w:trHeight w:val="20"/>
                </w:trPr>
                <w:sdt>
                  <w:sdtPr>
                    <w:rPr>
                      <w:sz w:val="16"/>
                      <w:szCs w:val="16"/>
                    </w:rPr>
                    <w:tag w:val="_PLD_494f8b7216f946d9a09f6954da6ee226"/>
                    <w:id w:val="380915158"/>
                    <w:lock w:val="sdtLocked"/>
                  </w:sdtPr>
                  <w:sdtContent>
                    <w:tc>
                      <w:tcPr>
                        <w:tcW w:w="1985" w:type="dxa"/>
                      </w:tcPr>
                      <w:p w:rsidR="00B637B2" w:rsidRPr="00A52E6C" w:rsidRDefault="008F04CF" w:rsidP="00B637B2">
                        <w:pPr>
                          <w:ind w:firstLineChars="200" w:firstLine="320"/>
                          <w:rPr>
                            <w:sz w:val="16"/>
                            <w:szCs w:val="16"/>
                          </w:rPr>
                        </w:pPr>
                        <w:r w:rsidRPr="00A52E6C">
                          <w:rPr>
                            <w:sz w:val="16"/>
                            <w:szCs w:val="16"/>
                          </w:rPr>
                          <w:t>前期差错更正</w:t>
                        </w:r>
                      </w:p>
                    </w:tc>
                  </w:sdtContent>
                </w:sdt>
                <w:tc>
                  <w:tcPr>
                    <w:tcW w:w="1560" w:type="dxa"/>
                    <w:tcBorders>
                      <w:righ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425" w:type="dxa"/>
                    <w:tcBorders>
                      <w:left w:val="single" w:sz="4" w:space="0" w:color="auto"/>
                      <w:righ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425" w:type="dxa"/>
                    <w:tcBorders>
                      <w:left w:val="single" w:sz="4" w:space="0" w:color="auto"/>
                      <w:righ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425" w:type="dxa"/>
                    <w:tcBorders>
                      <w:left w:val="single" w:sz="4" w:space="0" w:color="auto"/>
                      <w:righ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1560" w:type="dxa"/>
                    <w:tcBorders>
                      <w:lef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60"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r>
              <w:tr w:rsidR="00B637B2" w:rsidTr="00B637B2">
                <w:trPr>
                  <w:trHeight w:val="20"/>
                </w:trPr>
                <w:sdt>
                  <w:sdtPr>
                    <w:rPr>
                      <w:sz w:val="16"/>
                      <w:szCs w:val="16"/>
                    </w:rPr>
                    <w:tag w:val="_PLD_cdd9f72b38894c3eb70b005a61432c29"/>
                    <w:id w:val="1703207486"/>
                    <w:lock w:val="sdtLocked"/>
                  </w:sdtPr>
                  <w:sdtContent>
                    <w:tc>
                      <w:tcPr>
                        <w:tcW w:w="1985" w:type="dxa"/>
                      </w:tcPr>
                      <w:p w:rsidR="00B637B2" w:rsidRPr="00A52E6C" w:rsidRDefault="008F04CF" w:rsidP="00B637B2">
                        <w:pPr>
                          <w:ind w:firstLineChars="200" w:firstLine="320"/>
                          <w:rPr>
                            <w:sz w:val="16"/>
                            <w:szCs w:val="16"/>
                          </w:rPr>
                        </w:pPr>
                        <w:r w:rsidRPr="00A52E6C">
                          <w:rPr>
                            <w:rFonts w:hint="eastAsia"/>
                            <w:sz w:val="16"/>
                            <w:szCs w:val="16"/>
                          </w:rPr>
                          <w:t>其他</w:t>
                        </w:r>
                      </w:p>
                    </w:tc>
                  </w:sdtContent>
                </w:sdt>
                <w:tc>
                  <w:tcPr>
                    <w:tcW w:w="1560" w:type="dxa"/>
                    <w:tcBorders>
                      <w:righ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425" w:type="dxa"/>
                    <w:tcBorders>
                      <w:left w:val="single" w:sz="4" w:space="0" w:color="auto"/>
                      <w:righ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425" w:type="dxa"/>
                    <w:tcBorders>
                      <w:left w:val="single" w:sz="4" w:space="0" w:color="auto"/>
                      <w:righ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425" w:type="dxa"/>
                    <w:tcBorders>
                      <w:left w:val="single" w:sz="4" w:space="0" w:color="auto"/>
                      <w:righ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1560" w:type="dxa"/>
                    <w:tcBorders>
                      <w:lef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60"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r>
              <w:tr w:rsidR="00B637B2" w:rsidTr="00B637B2">
                <w:trPr>
                  <w:trHeight w:val="20"/>
                </w:trPr>
                <w:sdt>
                  <w:sdtPr>
                    <w:rPr>
                      <w:sz w:val="16"/>
                      <w:szCs w:val="16"/>
                    </w:rPr>
                    <w:tag w:val="_PLD_8593e1735c664981bacefcb1a0cab245"/>
                    <w:id w:val="-717047250"/>
                    <w:lock w:val="sdtLocked"/>
                  </w:sdtPr>
                  <w:sdtContent>
                    <w:tc>
                      <w:tcPr>
                        <w:tcW w:w="1985" w:type="dxa"/>
                      </w:tcPr>
                      <w:p w:rsidR="00B637B2" w:rsidRPr="00A52E6C" w:rsidRDefault="008F04CF" w:rsidP="00B637B2">
                        <w:pPr>
                          <w:rPr>
                            <w:sz w:val="16"/>
                            <w:szCs w:val="16"/>
                          </w:rPr>
                        </w:pPr>
                        <w:r w:rsidRPr="00A52E6C">
                          <w:rPr>
                            <w:sz w:val="16"/>
                            <w:szCs w:val="16"/>
                          </w:rPr>
                          <w:t>二、本年</w:t>
                        </w:r>
                        <w:r w:rsidRPr="00A52E6C">
                          <w:rPr>
                            <w:rFonts w:hint="eastAsia"/>
                            <w:sz w:val="16"/>
                            <w:szCs w:val="16"/>
                          </w:rPr>
                          <w:t>期</w:t>
                        </w:r>
                        <w:r w:rsidRPr="00A52E6C">
                          <w:rPr>
                            <w:sz w:val="16"/>
                            <w:szCs w:val="16"/>
                          </w:rPr>
                          <w:t>初余额</w:t>
                        </w:r>
                      </w:p>
                    </w:tc>
                  </w:sdtContent>
                </w:sdt>
                <w:tc>
                  <w:tcPr>
                    <w:tcW w:w="1560" w:type="dxa"/>
                    <w:tcBorders>
                      <w:right w:val="single" w:sz="4" w:space="0" w:color="auto"/>
                    </w:tcBorders>
                    <w:vAlign w:val="center"/>
                  </w:tcPr>
                  <w:p w:rsidR="00B637B2" w:rsidRPr="00A52E6C" w:rsidRDefault="008F04CF" w:rsidP="00B637B2">
                    <w:pPr>
                      <w:jc w:val="right"/>
                      <w:rPr>
                        <w:sz w:val="16"/>
                        <w:szCs w:val="16"/>
                      </w:rPr>
                    </w:pPr>
                    <w:r w:rsidRPr="00A52E6C">
                      <w:rPr>
                        <w:sz w:val="16"/>
                        <w:szCs w:val="16"/>
                      </w:rPr>
                      <w:t>1,464,217,811</w:t>
                    </w:r>
                  </w:p>
                </w:tc>
                <w:tc>
                  <w:tcPr>
                    <w:tcW w:w="425" w:type="dxa"/>
                    <w:tcBorders>
                      <w:left w:val="single" w:sz="4" w:space="0" w:color="auto"/>
                      <w:righ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425" w:type="dxa"/>
                    <w:tcBorders>
                      <w:left w:val="single" w:sz="4" w:space="0" w:color="auto"/>
                      <w:righ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425" w:type="dxa"/>
                    <w:tcBorders>
                      <w:left w:val="single" w:sz="4" w:space="0" w:color="auto"/>
                      <w:righ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1560" w:type="dxa"/>
                    <w:tcBorders>
                      <w:left w:val="single" w:sz="4" w:space="0" w:color="auto"/>
                    </w:tcBorders>
                    <w:vAlign w:val="center"/>
                  </w:tcPr>
                  <w:p w:rsidR="00B637B2" w:rsidRPr="00A52E6C" w:rsidRDefault="008F04CF" w:rsidP="00B637B2">
                    <w:pPr>
                      <w:jc w:val="right"/>
                      <w:rPr>
                        <w:sz w:val="16"/>
                        <w:szCs w:val="16"/>
                      </w:rPr>
                    </w:pPr>
                    <w:r w:rsidRPr="00A52E6C">
                      <w:rPr>
                        <w:sz w:val="16"/>
                        <w:szCs w:val="16"/>
                      </w:rPr>
                      <w:t>1,688,282,407</w:t>
                    </w:r>
                  </w:p>
                </w:tc>
                <w:tc>
                  <w:tcPr>
                    <w:tcW w:w="1559" w:type="dxa"/>
                    <w:vAlign w:val="center"/>
                  </w:tcPr>
                  <w:p w:rsidR="00B637B2" w:rsidRPr="00A52E6C" w:rsidRDefault="008F04CF" w:rsidP="00B637B2">
                    <w:pPr>
                      <w:jc w:val="right"/>
                      <w:rPr>
                        <w:sz w:val="16"/>
                        <w:szCs w:val="16"/>
                      </w:rPr>
                    </w:pPr>
                    <w:r w:rsidRPr="00A52E6C">
                      <w:rPr>
                        <w:sz w:val="16"/>
                        <w:szCs w:val="16"/>
                      </w:rPr>
                      <w:t>102,196,291</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60" w:type="dxa"/>
                    <w:vAlign w:val="center"/>
                  </w:tcPr>
                  <w:p w:rsidR="00B637B2" w:rsidRPr="00A52E6C" w:rsidRDefault="008F04CF" w:rsidP="00B637B2">
                    <w:pPr>
                      <w:jc w:val="right"/>
                      <w:rPr>
                        <w:sz w:val="16"/>
                        <w:szCs w:val="16"/>
                      </w:rPr>
                    </w:pPr>
                    <w:r w:rsidRPr="00A52E6C">
                      <w:rPr>
                        <w:sz w:val="16"/>
                        <w:szCs w:val="16"/>
                      </w:rPr>
                      <w:t>725,148,306</w:t>
                    </w:r>
                  </w:p>
                </w:tc>
                <w:tc>
                  <w:tcPr>
                    <w:tcW w:w="1559" w:type="dxa"/>
                    <w:vAlign w:val="center"/>
                  </w:tcPr>
                  <w:p w:rsidR="00B637B2" w:rsidRPr="00A52E6C" w:rsidRDefault="008F04CF" w:rsidP="00B637B2">
                    <w:pPr>
                      <w:jc w:val="right"/>
                      <w:rPr>
                        <w:sz w:val="16"/>
                        <w:szCs w:val="16"/>
                      </w:rPr>
                    </w:pPr>
                    <w:r w:rsidRPr="00A52E6C">
                      <w:rPr>
                        <w:sz w:val="16"/>
                        <w:szCs w:val="16"/>
                      </w:rPr>
                      <w:t>1,255,553,046</w:t>
                    </w:r>
                  </w:p>
                </w:tc>
                <w:tc>
                  <w:tcPr>
                    <w:tcW w:w="1559" w:type="dxa"/>
                    <w:vAlign w:val="center"/>
                  </w:tcPr>
                  <w:p w:rsidR="00B637B2" w:rsidRPr="00A52E6C" w:rsidRDefault="008F04CF" w:rsidP="00B637B2">
                    <w:pPr>
                      <w:jc w:val="right"/>
                      <w:rPr>
                        <w:sz w:val="16"/>
                        <w:szCs w:val="16"/>
                      </w:rPr>
                    </w:pPr>
                    <w:r w:rsidRPr="00A52E6C">
                      <w:rPr>
                        <w:sz w:val="16"/>
                        <w:szCs w:val="16"/>
                      </w:rPr>
                      <w:t>5,031,005,279</w:t>
                    </w:r>
                  </w:p>
                </w:tc>
              </w:tr>
              <w:tr w:rsidR="00B637B2" w:rsidTr="00B637B2">
                <w:trPr>
                  <w:trHeight w:val="20"/>
                </w:trPr>
                <w:sdt>
                  <w:sdtPr>
                    <w:rPr>
                      <w:sz w:val="16"/>
                      <w:szCs w:val="16"/>
                    </w:rPr>
                    <w:tag w:val="_PLD_9ce2d31f4fd34371930cec7fd79a4318"/>
                    <w:id w:val="-786201876"/>
                    <w:lock w:val="sdtLocked"/>
                  </w:sdtPr>
                  <w:sdtContent>
                    <w:tc>
                      <w:tcPr>
                        <w:tcW w:w="1985" w:type="dxa"/>
                      </w:tcPr>
                      <w:p w:rsidR="00B637B2" w:rsidRPr="00A52E6C" w:rsidRDefault="008F04CF" w:rsidP="00B637B2">
                        <w:pPr>
                          <w:rPr>
                            <w:sz w:val="16"/>
                            <w:szCs w:val="16"/>
                          </w:rPr>
                        </w:pPr>
                        <w:r w:rsidRPr="00A52E6C">
                          <w:rPr>
                            <w:sz w:val="16"/>
                            <w:szCs w:val="16"/>
                          </w:rPr>
                          <w:t>三、本</w:t>
                        </w:r>
                        <w:r w:rsidRPr="00A52E6C">
                          <w:rPr>
                            <w:rFonts w:hint="eastAsia"/>
                            <w:sz w:val="16"/>
                            <w:szCs w:val="16"/>
                          </w:rPr>
                          <w:t>期</w:t>
                        </w:r>
                        <w:r w:rsidRPr="00A52E6C">
                          <w:rPr>
                            <w:sz w:val="16"/>
                            <w:szCs w:val="16"/>
                          </w:rPr>
                          <w:t>增减变动金额（减少以“－”号填列）</w:t>
                        </w:r>
                      </w:p>
                    </w:tc>
                  </w:sdtContent>
                </w:sdt>
                <w:tc>
                  <w:tcPr>
                    <w:tcW w:w="1560" w:type="dxa"/>
                    <w:tcBorders>
                      <w:right w:val="single" w:sz="4" w:space="0" w:color="auto"/>
                    </w:tcBorders>
                    <w:vAlign w:val="center"/>
                  </w:tcPr>
                  <w:p w:rsidR="00B637B2" w:rsidRPr="00A52E6C" w:rsidRDefault="008F04CF" w:rsidP="00B637B2">
                    <w:pPr>
                      <w:jc w:val="right"/>
                      <w:rPr>
                        <w:sz w:val="16"/>
                        <w:szCs w:val="16"/>
                      </w:rPr>
                    </w:pPr>
                    <w:r w:rsidRPr="00A52E6C">
                      <w:rPr>
                        <w:sz w:val="16"/>
                        <w:szCs w:val="16"/>
                      </w:rPr>
                      <w:t>435,376,285</w:t>
                    </w:r>
                  </w:p>
                </w:tc>
                <w:tc>
                  <w:tcPr>
                    <w:tcW w:w="425" w:type="dxa"/>
                    <w:tcBorders>
                      <w:left w:val="single" w:sz="4" w:space="0" w:color="auto"/>
                      <w:righ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425" w:type="dxa"/>
                    <w:tcBorders>
                      <w:left w:val="single" w:sz="4" w:space="0" w:color="auto"/>
                      <w:righ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425" w:type="dxa"/>
                    <w:tcBorders>
                      <w:lef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1560" w:type="dxa"/>
                    <w:vAlign w:val="center"/>
                  </w:tcPr>
                  <w:p w:rsidR="00B637B2" w:rsidRPr="00A52E6C" w:rsidRDefault="008F04CF" w:rsidP="00B637B2">
                    <w:pPr>
                      <w:jc w:val="right"/>
                      <w:rPr>
                        <w:sz w:val="16"/>
                        <w:szCs w:val="16"/>
                      </w:rPr>
                    </w:pPr>
                    <w:r w:rsidRPr="00A52E6C">
                      <w:rPr>
                        <w:sz w:val="16"/>
                        <w:szCs w:val="16"/>
                      </w:rPr>
                      <w:t>-359,311,703</w:t>
                    </w:r>
                  </w:p>
                </w:tc>
                <w:tc>
                  <w:tcPr>
                    <w:tcW w:w="1559" w:type="dxa"/>
                    <w:vAlign w:val="center"/>
                  </w:tcPr>
                  <w:p w:rsidR="00B637B2" w:rsidRPr="00A52E6C" w:rsidRDefault="008F04CF" w:rsidP="00B637B2">
                    <w:pPr>
                      <w:jc w:val="right"/>
                      <w:rPr>
                        <w:sz w:val="16"/>
                        <w:szCs w:val="16"/>
                      </w:rPr>
                    </w:pPr>
                    <w:r w:rsidRPr="00A52E6C">
                      <w:rPr>
                        <w:sz w:val="16"/>
                        <w:szCs w:val="16"/>
                      </w:rPr>
                      <w:t>-15,462,372</w:t>
                    </w:r>
                  </w:p>
                </w:tc>
                <w:tc>
                  <w:tcPr>
                    <w:tcW w:w="1559" w:type="dxa"/>
                    <w:vAlign w:val="center"/>
                  </w:tcPr>
                  <w:p w:rsidR="00B637B2" w:rsidRPr="00A52E6C" w:rsidRDefault="008F04CF" w:rsidP="00B637B2">
                    <w:pPr>
                      <w:jc w:val="right"/>
                      <w:rPr>
                        <w:sz w:val="16"/>
                        <w:szCs w:val="16"/>
                      </w:rPr>
                    </w:pPr>
                    <w:r w:rsidRPr="00A52E6C">
                      <w:rPr>
                        <w:sz w:val="16"/>
                        <w:szCs w:val="16"/>
                      </w:rPr>
                      <w:t>-52,706,434</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60"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sidRPr="00A52E6C">
                      <w:rPr>
                        <w:sz w:val="16"/>
                        <w:szCs w:val="16"/>
                      </w:rPr>
                      <w:t>175,956,638</w:t>
                    </w:r>
                  </w:p>
                </w:tc>
                <w:tc>
                  <w:tcPr>
                    <w:tcW w:w="1559" w:type="dxa"/>
                    <w:vAlign w:val="center"/>
                  </w:tcPr>
                  <w:p w:rsidR="00B637B2" w:rsidRPr="00A52E6C" w:rsidRDefault="008F04CF" w:rsidP="00B637B2">
                    <w:pPr>
                      <w:jc w:val="right"/>
                      <w:rPr>
                        <w:sz w:val="16"/>
                        <w:szCs w:val="16"/>
                      </w:rPr>
                    </w:pPr>
                    <w:r w:rsidRPr="00A52E6C">
                      <w:rPr>
                        <w:sz w:val="16"/>
                        <w:szCs w:val="16"/>
                      </w:rPr>
                      <w:t>214,777,158</w:t>
                    </w:r>
                  </w:p>
                </w:tc>
              </w:tr>
              <w:tr w:rsidR="00B637B2" w:rsidTr="00B637B2">
                <w:trPr>
                  <w:trHeight w:val="20"/>
                </w:trPr>
                <w:sdt>
                  <w:sdtPr>
                    <w:rPr>
                      <w:sz w:val="16"/>
                      <w:szCs w:val="16"/>
                    </w:rPr>
                    <w:tag w:val="_PLD_8e61c9577cd8495fb0815773685b00bb"/>
                    <w:id w:val="-226535220"/>
                    <w:lock w:val="sdtLocked"/>
                  </w:sdtPr>
                  <w:sdtContent>
                    <w:tc>
                      <w:tcPr>
                        <w:tcW w:w="1985" w:type="dxa"/>
                      </w:tcPr>
                      <w:p w:rsidR="00B637B2" w:rsidRPr="00A52E6C" w:rsidRDefault="008F04CF" w:rsidP="00B637B2">
                        <w:pPr>
                          <w:rPr>
                            <w:sz w:val="16"/>
                            <w:szCs w:val="16"/>
                          </w:rPr>
                        </w:pPr>
                        <w:r w:rsidRPr="00A52E6C">
                          <w:rPr>
                            <w:rFonts w:hint="eastAsia"/>
                            <w:sz w:val="16"/>
                            <w:szCs w:val="16"/>
                          </w:rPr>
                          <w:t>（一）综合收益总额</w:t>
                        </w:r>
                      </w:p>
                    </w:tc>
                  </w:sdtContent>
                </w:sdt>
                <w:tc>
                  <w:tcPr>
                    <w:tcW w:w="1560" w:type="dxa"/>
                    <w:tcBorders>
                      <w:righ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425" w:type="dxa"/>
                    <w:tcBorders>
                      <w:left w:val="single" w:sz="4" w:space="0" w:color="auto"/>
                      <w:righ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425" w:type="dxa"/>
                    <w:tcBorders>
                      <w:left w:val="single" w:sz="4" w:space="0" w:color="auto"/>
                      <w:righ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425" w:type="dxa"/>
                    <w:tcBorders>
                      <w:lef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1560"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sidRPr="00A52E6C">
                      <w:rPr>
                        <w:sz w:val="16"/>
                        <w:szCs w:val="16"/>
                      </w:rPr>
                      <w:t>-52,706,434</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60"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sidRPr="00A52E6C">
                      <w:rPr>
                        <w:sz w:val="16"/>
                        <w:szCs w:val="16"/>
                      </w:rPr>
                      <w:t>395,140,572</w:t>
                    </w:r>
                  </w:p>
                </w:tc>
                <w:tc>
                  <w:tcPr>
                    <w:tcW w:w="1559" w:type="dxa"/>
                    <w:vAlign w:val="center"/>
                  </w:tcPr>
                  <w:p w:rsidR="00B637B2" w:rsidRPr="00A52E6C" w:rsidRDefault="008F04CF" w:rsidP="00B637B2">
                    <w:pPr>
                      <w:jc w:val="right"/>
                      <w:rPr>
                        <w:sz w:val="16"/>
                        <w:szCs w:val="16"/>
                      </w:rPr>
                    </w:pPr>
                    <w:r w:rsidRPr="00A52E6C">
                      <w:rPr>
                        <w:sz w:val="16"/>
                        <w:szCs w:val="16"/>
                      </w:rPr>
                      <w:t>342,434,138</w:t>
                    </w:r>
                  </w:p>
                </w:tc>
              </w:tr>
              <w:tr w:rsidR="00B637B2" w:rsidTr="00B637B2">
                <w:trPr>
                  <w:trHeight w:val="20"/>
                </w:trPr>
                <w:sdt>
                  <w:sdtPr>
                    <w:rPr>
                      <w:sz w:val="16"/>
                      <w:szCs w:val="16"/>
                    </w:rPr>
                    <w:tag w:val="_PLD_e11fbdac72bf4f84a5635701204e5724"/>
                    <w:id w:val="-217523739"/>
                    <w:lock w:val="sdtLocked"/>
                  </w:sdtPr>
                  <w:sdtContent>
                    <w:tc>
                      <w:tcPr>
                        <w:tcW w:w="1985" w:type="dxa"/>
                      </w:tcPr>
                      <w:p w:rsidR="00B637B2" w:rsidRPr="00A52E6C" w:rsidRDefault="008F04CF" w:rsidP="00B637B2">
                        <w:pPr>
                          <w:rPr>
                            <w:sz w:val="16"/>
                            <w:szCs w:val="16"/>
                          </w:rPr>
                        </w:pPr>
                        <w:r w:rsidRPr="00A52E6C">
                          <w:rPr>
                            <w:sz w:val="16"/>
                            <w:szCs w:val="16"/>
                          </w:rPr>
                          <w:t>（</w:t>
                        </w:r>
                        <w:r w:rsidRPr="00A52E6C">
                          <w:rPr>
                            <w:rFonts w:hint="eastAsia"/>
                            <w:sz w:val="16"/>
                            <w:szCs w:val="16"/>
                          </w:rPr>
                          <w:t>二</w:t>
                        </w:r>
                        <w:r w:rsidRPr="00A52E6C">
                          <w:rPr>
                            <w:sz w:val="16"/>
                            <w:szCs w:val="16"/>
                          </w:rPr>
                          <w:t>）所有者投入和减少资本</w:t>
                        </w:r>
                      </w:p>
                    </w:tc>
                  </w:sdtContent>
                </w:sdt>
                <w:tc>
                  <w:tcPr>
                    <w:tcW w:w="1560" w:type="dxa"/>
                    <w:tcBorders>
                      <w:right w:val="single" w:sz="4" w:space="0" w:color="auto"/>
                    </w:tcBorders>
                    <w:vAlign w:val="center"/>
                  </w:tcPr>
                  <w:p w:rsidR="00B637B2" w:rsidRPr="00A52E6C" w:rsidRDefault="008F04CF" w:rsidP="00B637B2">
                    <w:pPr>
                      <w:jc w:val="right"/>
                      <w:rPr>
                        <w:sz w:val="16"/>
                        <w:szCs w:val="16"/>
                      </w:rPr>
                    </w:pPr>
                    <w:r w:rsidRPr="00A52E6C">
                      <w:rPr>
                        <w:sz w:val="16"/>
                        <w:szCs w:val="16"/>
                      </w:rPr>
                      <w:t>-2,991,583</w:t>
                    </w:r>
                  </w:p>
                </w:tc>
                <w:tc>
                  <w:tcPr>
                    <w:tcW w:w="425" w:type="dxa"/>
                    <w:tcBorders>
                      <w:left w:val="single" w:sz="4" w:space="0" w:color="auto"/>
                      <w:righ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425" w:type="dxa"/>
                    <w:tcBorders>
                      <w:left w:val="single" w:sz="4" w:space="0" w:color="auto"/>
                      <w:righ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425" w:type="dxa"/>
                    <w:tcBorders>
                      <w:lef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1560" w:type="dxa"/>
                    <w:vAlign w:val="center"/>
                  </w:tcPr>
                  <w:p w:rsidR="00B637B2" w:rsidRPr="00A52E6C" w:rsidRDefault="008F04CF" w:rsidP="00B637B2">
                    <w:pPr>
                      <w:jc w:val="right"/>
                      <w:rPr>
                        <w:sz w:val="16"/>
                        <w:szCs w:val="16"/>
                      </w:rPr>
                    </w:pPr>
                    <w:r w:rsidRPr="00A52E6C">
                      <w:rPr>
                        <w:sz w:val="16"/>
                        <w:szCs w:val="16"/>
                      </w:rPr>
                      <w:t>79,056,165</w:t>
                    </w:r>
                  </w:p>
                </w:tc>
                <w:tc>
                  <w:tcPr>
                    <w:tcW w:w="1559" w:type="dxa"/>
                    <w:vAlign w:val="center"/>
                  </w:tcPr>
                  <w:p w:rsidR="00B637B2" w:rsidRPr="00A52E6C" w:rsidRDefault="008F04CF" w:rsidP="00B637B2">
                    <w:pPr>
                      <w:jc w:val="right"/>
                      <w:rPr>
                        <w:sz w:val="16"/>
                        <w:szCs w:val="16"/>
                      </w:rPr>
                    </w:pPr>
                    <w:r w:rsidRPr="00A52E6C">
                      <w:rPr>
                        <w:sz w:val="16"/>
                        <w:szCs w:val="16"/>
                      </w:rPr>
                      <w:t>-15,462,372</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60"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sidRPr="00347626">
                      <w:rPr>
                        <w:sz w:val="16"/>
                        <w:szCs w:val="16"/>
                      </w:rPr>
                      <w:t>91,526,954</w:t>
                    </w:r>
                  </w:p>
                </w:tc>
              </w:tr>
              <w:tr w:rsidR="00B637B2" w:rsidTr="00B637B2">
                <w:trPr>
                  <w:trHeight w:val="20"/>
                </w:trPr>
                <w:sdt>
                  <w:sdtPr>
                    <w:rPr>
                      <w:sz w:val="16"/>
                      <w:szCs w:val="16"/>
                    </w:rPr>
                    <w:tag w:val="_PLD_7b195f652f0542a9b8fb6e62990feb42"/>
                    <w:id w:val="-2011521846"/>
                    <w:lock w:val="sdtLocked"/>
                  </w:sdtPr>
                  <w:sdtContent>
                    <w:tc>
                      <w:tcPr>
                        <w:tcW w:w="1985" w:type="dxa"/>
                      </w:tcPr>
                      <w:p w:rsidR="00B637B2" w:rsidRPr="00A52E6C" w:rsidRDefault="008F04CF" w:rsidP="00B637B2">
                        <w:pPr>
                          <w:rPr>
                            <w:sz w:val="16"/>
                            <w:szCs w:val="16"/>
                          </w:rPr>
                        </w:pPr>
                        <w:r w:rsidRPr="00A52E6C">
                          <w:rPr>
                            <w:rFonts w:hint="eastAsia"/>
                            <w:sz w:val="16"/>
                            <w:szCs w:val="16"/>
                          </w:rPr>
                          <w:t>1．所有者投入的普通股</w:t>
                        </w:r>
                      </w:p>
                    </w:tc>
                  </w:sdtContent>
                </w:sdt>
                <w:tc>
                  <w:tcPr>
                    <w:tcW w:w="1560" w:type="dxa"/>
                    <w:tcBorders>
                      <w:righ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425" w:type="dxa"/>
                    <w:tcBorders>
                      <w:left w:val="single" w:sz="4" w:space="0" w:color="auto"/>
                      <w:righ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425" w:type="dxa"/>
                    <w:tcBorders>
                      <w:left w:val="single" w:sz="4" w:space="0" w:color="auto"/>
                      <w:righ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425" w:type="dxa"/>
                    <w:tcBorders>
                      <w:lef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1560"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60"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r>
              <w:tr w:rsidR="00B637B2" w:rsidTr="00B637B2">
                <w:trPr>
                  <w:trHeight w:val="20"/>
                </w:trPr>
                <w:sdt>
                  <w:sdtPr>
                    <w:rPr>
                      <w:sz w:val="16"/>
                      <w:szCs w:val="16"/>
                    </w:rPr>
                    <w:tag w:val="_PLD_4873337789fc42b5ae8485de96f3dad3"/>
                    <w:id w:val="1340196919"/>
                    <w:lock w:val="sdtLocked"/>
                  </w:sdtPr>
                  <w:sdtContent>
                    <w:tc>
                      <w:tcPr>
                        <w:tcW w:w="1985" w:type="dxa"/>
                      </w:tcPr>
                      <w:p w:rsidR="00B637B2" w:rsidRPr="00A52E6C" w:rsidRDefault="008F04CF" w:rsidP="00B637B2">
                        <w:pPr>
                          <w:rPr>
                            <w:sz w:val="16"/>
                            <w:szCs w:val="16"/>
                          </w:rPr>
                        </w:pPr>
                        <w:r w:rsidRPr="00A52E6C">
                          <w:rPr>
                            <w:rFonts w:hint="eastAsia"/>
                            <w:sz w:val="16"/>
                            <w:szCs w:val="16"/>
                          </w:rPr>
                          <w:t>2．其他权益工具持有者投入资本</w:t>
                        </w:r>
                      </w:p>
                    </w:tc>
                  </w:sdtContent>
                </w:sdt>
                <w:tc>
                  <w:tcPr>
                    <w:tcW w:w="1560" w:type="dxa"/>
                    <w:tcBorders>
                      <w:righ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425" w:type="dxa"/>
                    <w:tcBorders>
                      <w:left w:val="single" w:sz="4" w:space="0" w:color="auto"/>
                      <w:righ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425" w:type="dxa"/>
                    <w:tcBorders>
                      <w:left w:val="single" w:sz="4" w:space="0" w:color="auto"/>
                      <w:righ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425" w:type="dxa"/>
                    <w:tcBorders>
                      <w:lef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1560"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60"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r>
              <w:tr w:rsidR="00B637B2" w:rsidTr="00B637B2">
                <w:trPr>
                  <w:trHeight w:val="20"/>
                </w:trPr>
                <w:sdt>
                  <w:sdtPr>
                    <w:rPr>
                      <w:sz w:val="16"/>
                      <w:szCs w:val="16"/>
                    </w:rPr>
                    <w:tag w:val="_PLD_83c73c5580c0412189f697f05780f9af"/>
                    <w:id w:val="1234813293"/>
                    <w:lock w:val="sdtLocked"/>
                  </w:sdtPr>
                  <w:sdtContent>
                    <w:tc>
                      <w:tcPr>
                        <w:tcW w:w="1985" w:type="dxa"/>
                      </w:tcPr>
                      <w:p w:rsidR="00B637B2" w:rsidRPr="00A52E6C" w:rsidRDefault="008F04CF" w:rsidP="00B637B2">
                        <w:pPr>
                          <w:rPr>
                            <w:sz w:val="16"/>
                            <w:szCs w:val="16"/>
                          </w:rPr>
                        </w:pPr>
                        <w:r w:rsidRPr="00A52E6C">
                          <w:rPr>
                            <w:rFonts w:hint="eastAsia"/>
                            <w:sz w:val="16"/>
                            <w:szCs w:val="16"/>
                          </w:rPr>
                          <w:t>3</w:t>
                        </w:r>
                        <w:r w:rsidRPr="00A52E6C">
                          <w:rPr>
                            <w:sz w:val="16"/>
                            <w:szCs w:val="16"/>
                          </w:rPr>
                          <w:t>．股份支付计入所有者权益的金额</w:t>
                        </w:r>
                      </w:p>
                    </w:tc>
                  </w:sdtContent>
                </w:sdt>
                <w:tc>
                  <w:tcPr>
                    <w:tcW w:w="1560" w:type="dxa"/>
                    <w:tcBorders>
                      <w:righ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425" w:type="dxa"/>
                    <w:tcBorders>
                      <w:left w:val="single" w:sz="4" w:space="0" w:color="auto"/>
                      <w:righ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425" w:type="dxa"/>
                    <w:tcBorders>
                      <w:left w:val="single" w:sz="4" w:space="0" w:color="auto"/>
                      <w:righ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425" w:type="dxa"/>
                    <w:tcBorders>
                      <w:lef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1560" w:type="dxa"/>
                    <w:vAlign w:val="center"/>
                  </w:tcPr>
                  <w:p w:rsidR="00B637B2" w:rsidRPr="00A52E6C" w:rsidRDefault="008F04CF" w:rsidP="00B637B2">
                    <w:pPr>
                      <w:jc w:val="right"/>
                      <w:rPr>
                        <w:sz w:val="16"/>
                        <w:szCs w:val="16"/>
                      </w:rPr>
                    </w:pPr>
                    <w:r w:rsidRPr="00A52E6C">
                      <w:rPr>
                        <w:sz w:val="16"/>
                        <w:szCs w:val="16"/>
                      </w:rPr>
                      <w:t>91,526,954</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60"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sidRPr="00A52E6C">
                      <w:rPr>
                        <w:sz w:val="16"/>
                        <w:szCs w:val="16"/>
                      </w:rPr>
                      <w:t>91,526,954</w:t>
                    </w:r>
                  </w:p>
                </w:tc>
              </w:tr>
              <w:tr w:rsidR="00B637B2" w:rsidTr="00B637B2">
                <w:trPr>
                  <w:trHeight w:val="20"/>
                </w:trPr>
                <w:sdt>
                  <w:sdtPr>
                    <w:rPr>
                      <w:sz w:val="16"/>
                      <w:szCs w:val="16"/>
                    </w:rPr>
                    <w:tag w:val="_PLD_b328cbc349734354ae3aacf675414174"/>
                    <w:id w:val="-457492199"/>
                    <w:lock w:val="sdtLocked"/>
                  </w:sdtPr>
                  <w:sdtContent>
                    <w:tc>
                      <w:tcPr>
                        <w:tcW w:w="1985" w:type="dxa"/>
                      </w:tcPr>
                      <w:p w:rsidR="00B637B2" w:rsidRPr="00A52E6C" w:rsidRDefault="008F04CF" w:rsidP="00B637B2">
                        <w:pPr>
                          <w:rPr>
                            <w:sz w:val="16"/>
                            <w:szCs w:val="16"/>
                          </w:rPr>
                        </w:pPr>
                        <w:r w:rsidRPr="00A52E6C">
                          <w:rPr>
                            <w:rFonts w:hint="eastAsia"/>
                            <w:sz w:val="16"/>
                            <w:szCs w:val="16"/>
                          </w:rPr>
                          <w:t>4</w:t>
                        </w:r>
                        <w:r w:rsidRPr="00A52E6C">
                          <w:rPr>
                            <w:sz w:val="16"/>
                            <w:szCs w:val="16"/>
                          </w:rPr>
                          <w:t>．其他</w:t>
                        </w:r>
                      </w:p>
                    </w:tc>
                  </w:sdtContent>
                </w:sdt>
                <w:tc>
                  <w:tcPr>
                    <w:tcW w:w="1560" w:type="dxa"/>
                    <w:tcBorders>
                      <w:right w:val="single" w:sz="4" w:space="0" w:color="auto"/>
                    </w:tcBorders>
                    <w:vAlign w:val="center"/>
                  </w:tcPr>
                  <w:p w:rsidR="00B637B2" w:rsidRPr="00A52E6C" w:rsidRDefault="008F04CF" w:rsidP="00B637B2">
                    <w:pPr>
                      <w:jc w:val="right"/>
                      <w:rPr>
                        <w:sz w:val="16"/>
                        <w:szCs w:val="16"/>
                      </w:rPr>
                    </w:pPr>
                    <w:r w:rsidRPr="00A52E6C">
                      <w:rPr>
                        <w:sz w:val="16"/>
                        <w:szCs w:val="16"/>
                      </w:rPr>
                      <w:t>-2,991,583</w:t>
                    </w:r>
                  </w:p>
                </w:tc>
                <w:tc>
                  <w:tcPr>
                    <w:tcW w:w="425" w:type="dxa"/>
                    <w:tcBorders>
                      <w:left w:val="single" w:sz="4" w:space="0" w:color="auto"/>
                      <w:righ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425" w:type="dxa"/>
                    <w:tcBorders>
                      <w:left w:val="single" w:sz="4" w:space="0" w:color="auto"/>
                      <w:righ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425" w:type="dxa"/>
                    <w:tcBorders>
                      <w:lef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1560" w:type="dxa"/>
                    <w:vAlign w:val="center"/>
                  </w:tcPr>
                  <w:p w:rsidR="00B637B2" w:rsidRPr="00A52E6C" w:rsidRDefault="008F04CF" w:rsidP="00B637B2">
                    <w:pPr>
                      <w:jc w:val="right"/>
                      <w:rPr>
                        <w:sz w:val="16"/>
                        <w:szCs w:val="16"/>
                      </w:rPr>
                    </w:pPr>
                    <w:r w:rsidRPr="00A52E6C">
                      <w:rPr>
                        <w:sz w:val="16"/>
                        <w:szCs w:val="16"/>
                      </w:rPr>
                      <w:t>-12,470,789</w:t>
                    </w:r>
                  </w:p>
                </w:tc>
                <w:tc>
                  <w:tcPr>
                    <w:tcW w:w="1559" w:type="dxa"/>
                    <w:vAlign w:val="center"/>
                  </w:tcPr>
                  <w:p w:rsidR="00B637B2" w:rsidRPr="00A52E6C" w:rsidRDefault="008F04CF" w:rsidP="00B637B2">
                    <w:pPr>
                      <w:jc w:val="right"/>
                      <w:rPr>
                        <w:sz w:val="16"/>
                        <w:szCs w:val="16"/>
                      </w:rPr>
                    </w:pPr>
                    <w:r w:rsidRPr="00A52E6C">
                      <w:rPr>
                        <w:sz w:val="16"/>
                        <w:szCs w:val="16"/>
                      </w:rPr>
                      <w:t>-15,462,372</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60"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r>
              <w:tr w:rsidR="00B637B2" w:rsidTr="00B637B2">
                <w:trPr>
                  <w:trHeight w:val="20"/>
                </w:trPr>
                <w:sdt>
                  <w:sdtPr>
                    <w:rPr>
                      <w:sz w:val="16"/>
                      <w:szCs w:val="16"/>
                    </w:rPr>
                    <w:tag w:val="_PLD_9773183e97be44a1a360188937e7fe10"/>
                    <w:id w:val="-1097247333"/>
                    <w:lock w:val="sdtLocked"/>
                  </w:sdtPr>
                  <w:sdtContent>
                    <w:tc>
                      <w:tcPr>
                        <w:tcW w:w="1985" w:type="dxa"/>
                      </w:tcPr>
                      <w:p w:rsidR="00B637B2" w:rsidRPr="00A52E6C" w:rsidRDefault="008F04CF" w:rsidP="00B637B2">
                        <w:pPr>
                          <w:rPr>
                            <w:sz w:val="16"/>
                            <w:szCs w:val="16"/>
                          </w:rPr>
                        </w:pPr>
                        <w:r w:rsidRPr="00A52E6C">
                          <w:rPr>
                            <w:sz w:val="16"/>
                            <w:szCs w:val="16"/>
                          </w:rPr>
                          <w:t>（</w:t>
                        </w:r>
                        <w:r w:rsidRPr="00A52E6C">
                          <w:rPr>
                            <w:rFonts w:hint="eastAsia"/>
                            <w:sz w:val="16"/>
                            <w:szCs w:val="16"/>
                          </w:rPr>
                          <w:t>三</w:t>
                        </w:r>
                        <w:r w:rsidRPr="00A52E6C">
                          <w:rPr>
                            <w:sz w:val="16"/>
                            <w:szCs w:val="16"/>
                          </w:rPr>
                          <w:t>）利润分配</w:t>
                        </w:r>
                      </w:p>
                    </w:tc>
                  </w:sdtContent>
                </w:sdt>
                <w:tc>
                  <w:tcPr>
                    <w:tcW w:w="1560" w:type="dxa"/>
                    <w:tcBorders>
                      <w:righ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425" w:type="dxa"/>
                    <w:tcBorders>
                      <w:left w:val="single" w:sz="4" w:space="0" w:color="auto"/>
                      <w:righ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425" w:type="dxa"/>
                    <w:tcBorders>
                      <w:left w:val="single" w:sz="4" w:space="0" w:color="auto"/>
                      <w:righ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425" w:type="dxa"/>
                    <w:tcBorders>
                      <w:lef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1560"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60"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sidRPr="00A52E6C">
                      <w:rPr>
                        <w:sz w:val="16"/>
                        <w:szCs w:val="16"/>
                      </w:rPr>
                      <w:t>-219,183,934</w:t>
                    </w:r>
                  </w:p>
                </w:tc>
                <w:tc>
                  <w:tcPr>
                    <w:tcW w:w="1559" w:type="dxa"/>
                    <w:vAlign w:val="center"/>
                  </w:tcPr>
                  <w:p w:rsidR="00B637B2" w:rsidRPr="00A52E6C" w:rsidRDefault="008F04CF" w:rsidP="00B637B2">
                    <w:pPr>
                      <w:jc w:val="right"/>
                      <w:rPr>
                        <w:sz w:val="16"/>
                        <w:szCs w:val="16"/>
                      </w:rPr>
                    </w:pPr>
                    <w:r w:rsidRPr="00A52E6C">
                      <w:rPr>
                        <w:sz w:val="16"/>
                        <w:szCs w:val="16"/>
                      </w:rPr>
                      <w:t>-219,183,934</w:t>
                    </w:r>
                  </w:p>
                </w:tc>
              </w:tr>
              <w:tr w:rsidR="00B637B2" w:rsidTr="00B637B2">
                <w:trPr>
                  <w:trHeight w:val="20"/>
                </w:trPr>
                <w:sdt>
                  <w:sdtPr>
                    <w:rPr>
                      <w:sz w:val="16"/>
                      <w:szCs w:val="16"/>
                    </w:rPr>
                    <w:tag w:val="_PLD_49d633deae854098a44173514bb3a7b3"/>
                    <w:id w:val="1815133595"/>
                    <w:lock w:val="sdtLocked"/>
                  </w:sdtPr>
                  <w:sdtContent>
                    <w:tc>
                      <w:tcPr>
                        <w:tcW w:w="1985" w:type="dxa"/>
                      </w:tcPr>
                      <w:p w:rsidR="00B637B2" w:rsidRPr="00A52E6C" w:rsidRDefault="008F04CF" w:rsidP="00B637B2">
                        <w:pPr>
                          <w:rPr>
                            <w:sz w:val="16"/>
                            <w:szCs w:val="16"/>
                          </w:rPr>
                        </w:pPr>
                        <w:r w:rsidRPr="00A52E6C">
                          <w:rPr>
                            <w:sz w:val="16"/>
                            <w:szCs w:val="16"/>
                          </w:rPr>
                          <w:t>1．提取盈余公积</w:t>
                        </w:r>
                      </w:p>
                    </w:tc>
                  </w:sdtContent>
                </w:sdt>
                <w:tc>
                  <w:tcPr>
                    <w:tcW w:w="1560" w:type="dxa"/>
                    <w:tcBorders>
                      <w:righ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425" w:type="dxa"/>
                    <w:tcBorders>
                      <w:left w:val="single" w:sz="4" w:space="0" w:color="auto"/>
                      <w:righ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425" w:type="dxa"/>
                    <w:tcBorders>
                      <w:left w:val="single" w:sz="4" w:space="0" w:color="auto"/>
                      <w:righ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425" w:type="dxa"/>
                    <w:tcBorders>
                      <w:lef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1560"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60"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r>
              <w:tr w:rsidR="00B637B2" w:rsidTr="00B637B2">
                <w:trPr>
                  <w:trHeight w:val="20"/>
                </w:trPr>
                <w:sdt>
                  <w:sdtPr>
                    <w:rPr>
                      <w:sz w:val="16"/>
                      <w:szCs w:val="16"/>
                    </w:rPr>
                    <w:tag w:val="_PLD_97bd41fffab4497fb1be0b345aef17bd"/>
                    <w:id w:val="1298340595"/>
                    <w:lock w:val="sdtLocked"/>
                  </w:sdtPr>
                  <w:sdtContent>
                    <w:tc>
                      <w:tcPr>
                        <w:tcW w:w="1985" w:type="dxa"/>
                      </w:tcPr>
                      <w:p w:rsidR="00B637B2" w:rsidRPr="00A52E6C" w:rsidRDefault="008F04CF" w:rsidP="00B637B2">
                        <w:pPr>
                          <w:rPr>
                            <w:sz w:val="16"/>
                            <w:szCs w:val="16"/>
                          </w:rPr>
                        </w:pPr>
                        <w:r w:rsidRPr="00A52E6C">
                          <w:rPr>
                            <w:rFonts w:hint="eastAsia"/>
                            <w:sz w:val="16"/>
                            <w:szCs w:val="16"/>
                          </w:rPr>
                          <w:t>2</w:t>
                        </w:r>
                        <w:r w:rsidRPr="00A52E6C">
                          <w:rPr>
                            <w:sz w:val="16"/>
                            <w:szCs w:val="16"/>
                          </w:rPr>
                          <w:t>．对所有者（或股东）的分配</w:t>
                        </w:r>
                      </w:p>
                    </w:tc>
                  </w:sdtContent>
                </w:sdt>
                <w:tc>
                  <w:tcPr>
                    <w:tcW w:w="1560" w:type="dxa"/>
                    <w:tcBorders>
                      <w:righ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425" w:type="dxa"/>
                    <w:tcBorders>
                      <w:left w:val="single" w:sz="4" w:space="0" w:color="auto"/>
                      <w:righ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425" w:type="dxa"/>
                    <w:tcBorders>
                      <w:left w:val="single" w:sz="4" w:space="0" w:color="auto"/>
                      <w:righ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425" w:type="dxa"/>
                    <w:tcBorders>
                      <w:lef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1560"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60"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sidRPr="00A52E6C">
                      <w:rPr>
                        <w:sz w:val="16"/>
                        <w:szCs w:val="16"/>
                      </w:rPr>
                      <w:t>-219,183,934</w:t>
                    </w:r>
                  </w:p>
                </w:tc>
                <w:tc>
                  <w:tcPr>
                    <w:tcW w:w="1559" w:type="dxa"/>
                    <w:vAlign w:val="center"/>
                  </w:tcPr>
                  <w:p w:rsidR="00B637B2" w:rsidRPr="00A52E6C" w:rsidRDefault="008F04CF" w:rsidP="00B637B2">
                    <w:pPr>
                      <w:jc w:val="right"/>
                      <w:rPr>
                        <w:sz w:val="16"/>
                        <w:szCs w:val="16"/>
                      </w:rPr>
                    </w:pPr>
                    <w:r w:rsidRPr="00A52E6C">
                      <w:rPr>
                        <w:sz w:val="16"/>
                        <w:szCs w:val="16"/>
                      </w:rPr>
                      <w:t>-219,183,934</w:t>
                    </w:r>
                  </w:p>
                </w:tc>
              </w:tr>
              <w:tr w:rsidR="00B637B2" w:rsidTr="00B637B2">
                <w:trPr>
                  <w:trHeight w:val="20"/>
                </w:trPr>
                <w:sdt>
                  <w:sdtPr>
                    <w:rPr>
                      <w:sz w:val="16"/>
                      <w:szCs w:val="16"/>
                    </w:rPr>
                    <w:tag w:val="_PLD_a5c6789730e84b389ee95f39091419a8"/>
                    <w:id w:val="725037828"/>
                    <w:lock w:val="sdtLocked"/>
                  </w:sdtPr>
                  <w:sdtContent>
                    <w:tc>
                      <w:tcPr>
                        <w:tcW w:w="1985" w:type="dxa"/>
                      </w:tcPr>
                      <w:p w:rsidR="00B637B2" w:rsidRPr="00A52E6C" w:rsidRDefault="008F04CF" w:rsidP="00B637B2">
                        <w:pPr>
                          <w:rPr>
                            <w:sz w:val="16"/>
                            <w:szCs w:val="16"/>
                          </w:rPr>
                        </w:pPr>
                        <w:r w:rsidRPr="00A52E6C">
                          <w:rPr>
                            <w:rFonts w:hint="eastAsia"/>
                            <w:sz w:val="16"/>
                            <w:szCs w:val="16"/>
                          </w:rPr>
                          <w:t>3</w:t>
                        </w:r>
                        <w:r w:rsidRPr="00A52E6C">
                          <w:rPr>
                            <w:sz w:val="16"/>
                            <w:szCs w:val="16"/>
                          </w:rPr>
                          <w:t>．其他</w:t>
                        </w:r>
                      </w:p>
                    </w:tc>
                  </w:sdtContent>
                </w:sdt>
                <w:tc>
                  <w:tcPr>
                    <w:tcW w:w="1560" w:type="dxa"/>
                    <w:tcBorders>
                      <w:righ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425" w:type="dxa"/>
                    <w:tcBorders>
                      <w:left w:val="single" w:sz="4" w:space="0" w:color="auto"/>
                      <w:righ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425" w:type="dxa"/>
                    <w:tcBorders>
                      <w:left w:val="single" w:sz="4" w:space="0" w:color="auto"/>
                      <w:righ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425" w:type="dxa"/>
                    <w:tcBorders>
                      <w:lef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1560"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60"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r>
              <w:tr w:rsidR="00B637B2" w:rsidTr="00B637B2">
                <w:trPr>
                  <w:trHeight w:val="20"/>
                </w:trPr>
                <w:sdt>
                  <w:sdtPr>
                    <w:rPr>
                      <w:sz w:val="16"/>
                      <w:szCs w:val="16"/>
                    </w:rPr>
                    <w:tag w:val="_PLD_9c529a92f12642ed93c3ac5d7c5ef52b"/>
                    <w:id w:val="2038237373"/>
                    <w:lock w:val="sdtLocked"/>
                  </w:sdtPr>
                  <w:sdtContent>
                    <w:tc>
                      <w:tcPr>
                        <w:tcW w:w="1985" w:type="dxa"/>
                      </w:tcPr>
                      <w:p w:rsidR="00B637B2" w:rsidRPr="00A52E6C" w:rsidRDefault="008F04CF" w:rsidP="00B637B2">
                        <w:pPr>
                          <w:rPr>
                            <w:sz w:val="16"/>
                            <w:szCs w:val="16"/>
                          </w:rPr>
                        </w:pPr>
                        <w:r w:rsidRPr="00A52E6C">
                          <w:rPr>
                            <w:sz w:val="16"/>
                            <w:szCs w:val="16"/>
                          </w:rPr>
                          <w:t>（</w:t>
                        </w:r>
                        <w:r w:rsidRPr="00A52E6C">
                          <w:rPr>
                            <w:rFonts w:hint="eastAsia"/>
                            <w:sz w:val="16"/>
                            <w:szCs w:val="16"/>
                          </w:rPr>
                          <w:t>四</w:t>
                        </w:r>
                        <w:r w:rsidRPr="00A52E6C">
                          <w:rPr>
                            <w:sz w:val="16"/>
                            <w:szCs w:val="16"/>
                          </w:rPr>
                          <w:t>）所有者权益内部结转</w:t>
                        </w:r>
                      </w:p>
                    </w:tc>
                  </w:sdtContent>
                </w:sdt>
                <w:tc>
                  <w:tcPr>
                    <w:tcW w:w="1560" w:type="dxa"/>
                    <w:tcBorders>
                      <w:right w:val="single" w:sz="4" w:space="0" w:color="auto"/>
                    </w:tcBorders>
                    <w:vAlign w:val="center"/>
                  </w:tcPr>
                  <w:p w:rsidR="00B637B2" w:rsidRPr="00A52E6C" w:rsidRDefault="008F04CF" w:rsidP="00B637B2">
                    <w:pPr>
                      <w:jc w:val="right"/>
                      <w:rPr>
                        <w:sz w:val="16"/>
                        <w:szCs w:val="16"/>
                      </w:rPr>
                    </w:pPr>
                    <w:r w:rsidRPr="00A52E6C">
                      <w:rPr>
                        <w:sz w:val="16"/>
                        <w:szCs w:val="16"/>
                      </w:rPr>
                      <w:t>438,367,868</w:t>
                    </w:r>
                  </w:p>
                </w:tc>
                <w:tc>
                  <w:tcPr>
                    <w:tcW w:w="425" w:type="dxa"/>
                    <w:tcBorders>
                      <w:left w:val="single" w:sz="4" w:space="0" w:color="auto"/>
                      <w:righ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425" w:type="dxa"/>
                    <w:tcBorders>
                      <w:left w:val="single" w:sz="4" w:space="0" w:color="auto"/>
                      <w:righ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425" w:type="dxa"/>
                    <w:tcBorders>
                      <w:lef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1560" w:type="dxa"/>
                    <w:vAlign w:val="center"/>
                  </w:tcPr>
                  <w:p w:rsidR="00B637B2" w:rsidRPr="00A52E6C" w:rsidRDefault="008F04CF" w:rsidP="00B637B2">
                    <w:pPr>
                      <w:jc w:val="right"/>
                      <w:rPr>
                        <w:sz w:val="16"/>
                        <w:szCs w:val="16"/>
                      </w:rPr>
                    </w:pPr>
                    <w:r>
                      <w:rPr>
                        <w:rFonts w:hint="eastAsia"/>
                        <w:sz w:val="16"/>
                        <w:szCs w:val="16"/>
                      </w:rPr>
                      <w:t>-</w:t>
                    </w:r>
                    <w:r w:rsidRPr="00A52E6C">
                      <w:rPr>
                        <w:sz w:val="16"/>
                        <w:szCs w:val="16"/>
                      </w:rPr>
                      <w:t>438,367,868</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60"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r>
              <w:tr w:rsidR="00B637B2" w:rsidTr="00B637B2">
                <w:trPr>
                  <w:trHeight w:val="20"/>
                </w:trPr>
                <w:sdt>
                  <w:sdtPr>
                    <w:rPr>
                      <w:sz w:val="16"/>
                      <w:szCs w:val="16"/>
                    </w:rPr>
                    <w:tag w:val="_PLD_084a56709ef243f89e8f0aead886c10d"/>
                    <w:id w:val="-2010747707"/>
                    <w:lock w:val="sdtLocked"/>
                  </w:sdtPr>
                  <w:sdtContent>
                    <w:tc>
                      <w:tcPr>
                        <w:tcW w:w="1985" w:type="dxa"/>
                      </w:tcPr>
                      <w:p w:rsidR="00B637B2" w:rsidRPr="00A52E6C" w:rsidRDefault="008F04CF" w:rsidP="00B637B2">
                        <w:pPr>
                          <w:rPr>
                            <w:sz w:val="16"/>
                            <w:szCs w:val="16"/>
                          </w:rPr>
                        </w:pPr>
                        <w:r w:rsidRPr="00A52E6C">
                          <w:rPr>
                            <w:sz w:val="16"/>
                            <w:szCs w:val="16"/>
                          </w:rPr>
                          <w:t>1．资本公积转增资本（或股本）</w:t>
                        </w:r>
                      </w:p>
                    </w:tc>
                  </w:sdtContent>
                </w:sdt>
                <w:tc>
                  <w:tcPr>
                    <w:tcW w:w="1560" w:type="dxa"/>
                    <w:tcBorders>
                      <w:right w:val="single" w:sz="4" w:space="0" w:color="auto"/>
                    </w:tcBorders>
                    <w:vAlign w:val="center"/>
                  </w:tcPr>
                  <w:p w:rsidR="00B637B2" w:rsidRPr="00A52E6C" w:rsidRDefault="008F04CF" w:rsidP="00B637B2">
                    <w:pPr>
                      <w:jc w:val="right"/>
                      <w:rPr>
                        <w:sz w:val="16"/>
                        <w:szCs w:val="16"/>
                      </w:rPr>
                    </w:pPr>
                    <w:r w:rsidRPr="00A52E6C">
                      <w:rPr>
                        <w:sz w:val="16"/>
                        <w:szCs w:val="16"/>
                      </w:rPr>
                      <w:t>438,367,868</w:t>
                    </w:r>
                  </w:p>
                </w:tc>
                <w:tc>
                  <w:tcPr>
                    <w:tcW w:w="425" w:type="dxa"/>
                    <w:tcBorders>
                      <w:left w:val="single" w:sz="4" w:space="0" w:color="auto"/>
                      <w:righ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425" w:type="dxa"/>
                    <w:tcBorders>
                      <w:left w:val="single" w:sz="4" w:space="0" w:color="auto"/>
                      <w:righ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425" w:type="dxa"/>
                    <w:tcBorders>
                      <w:lef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1560" w:type="dxa"/>
                    <w:vAlign w:val="center"/>
                  </w:tcPr>
                  <w:p w:rsidR="00B637B2" w:rsidRPr="00A52E6C" w:rsidRDefault="008F04CF" w:rsidP="00B637B2">
                    <w:pPr>
                      <w:jc w:val="right"/>
                      <w:rPr>
                        <w:sz w:val="16"/>
                        <w:szCs w:val="16"/>
                      </w:rPr>
                    </w:pPr>
                    <w:r>
                      <w:rPr>
                        <w:rFonts w:hint="eastAsia"/>
                        <w:sz w:val="16"/>
                        <w:szCs w:val="16"/>
                      </w:rPr>
                      <w:t>-</w:t>
                    </w:r>
                    <w:r w:rsidRPr="00A52E6C">
                      <w:rPr>
                        <w:sz w:val="16"/>
                        <w:szCs w:val="16"/>
                      </w:rPr>
                      <w:t>438,367,868</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60"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r>
              <w:tr w:rsidR="00B637B2" w:rsidTr="00B637B2">
                <w:trPr>
                  <w:trHeight w:val="20"/>
                </w:trPr>
                <w:sdt>
                  <w:sdtPr>
                    <w:rPr>
                      <w:sz w:val="16"/>
                      <w:szCs w:val="16"/>
                    </w:rPr>
                    <w:tag w:val="_PLD_22df50d156334ad9a740cc6d62e17f0b"/>
                    <w:id w:val="756790645"/>
                    <w:lock w:val="sdtLocked"/>
                  </w:sdtPr>
                  <w:sdtContent>
                    <w:tc>
                      <w:tcPr>
                        <w:tcW w:w="1985" w:type="dxa"/>
                      </w:tcPr>
                      <w:p w:rsidR="00B637B2" w:rsidRPr="00A52E6C" w:rsidRDefault="008F04CF" w:rsidP="00B637B2">
                        <w:pPr>
                          <w:rPr>
                            <w:sz w:val="16"/>
                            <w:szCs w:val="16"/>
                          </w:rPr>
                        </w:pPr>
                        <w:r w:rsidRPr="00A52E6C">
                          <w:rPr>
                            <w:sz w:val="16"/>
                            <w:szCs w:val="16"/>
                          </w:rPr>
                          <w:t>2．盈余公积转增资本（或股本）</w:t>
                        </w:r>
                      </w:p>
                    </w:tc>
                  </w:sdtContent>
                </w:sdt>
                <w:tc>
                  <w:tcPr>
                    <w:tcW w:w="1560" w:type="dxa"/>
                    <w:tcBorders>
                      <w:righ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425" w:type="dxa"/>
                    <w:tcBorders>
                      <w:left w:val="single" w:sz="4" w:space="0" w:color="auto"/>
                      <w:righ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425" w:type="dxa"/>
                    <w:tcBorders>
                      <w:left w:val="single" w:sz="4" w:space="0" w:color="auto"/>
                      <w:righ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425" w:type="dxa"/>
                    <w:tcBorders>
                      <w:lef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1560"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60"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r>
              <w:tr w:rsidR="00B637B2" w:rsidTr="00B637B2">
                <w:trPr>
                  <w:trHeight w:val="20"/>
                </w:trPr>
                <w:sdt>
                  <w:sdtPr>
                    <w:rPr>
                      <w:sz w:val="16"/>
                      <w:szCs w:val="16"/>
                    </w:rPr>
                    <w:tag w:val="_PLD_4846580862224d1a9e17a9af1fe14d07"/>
                    <w:id w:val="-1565018281"/>
                    <w:lock w:val="sdtLocked"/>
                  </w:sdtPr>
                  <w:sdtContent>
                    <w:tc>
                      <w:tcPr>
                        <w:tcW w:w="1985" w:type="dxa"/>
                      </w:tcPr>
                      <w:p w:rsidR="00B637B2" w:rsidRPr="00A52E6C" w:rsidRDefault="008F04CF" w:rsidP="00B637B2">
                        <w:pPr>
                          <w:rPr>
                            <w:sz w:val="16"/>
                            <w:szCs w:val="16"/>
                          </w:rPr>
                        </w:pPr>
                        <w:r w:rsidRPr="00A52E6C">
                          <w:rPr>
                            <w:sz w:val="16"/>
                            <w:szCs w:val="16"/>
                          </w:rPr>
                          <w:t>3．盈余公积弥补亏损</w:t>
                        </w:r>
                      </w:p>
                    </w:tc>
                  </w:sdtContent>
                </w:sdt>
                <w:tc>
                  <w:tcPr>
                    <w:tcW w:w="1560" w:type="dxa"/>
                    <w:tcBorders>
                      <w:righ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425" w:type="dxa"/>
                    <w:tcBorders>
                      <w:left w:val="single" w:sz="4" w:space="0" w:color="auto"/>
                      <w:righ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425" w:type="dxa"/>
                    <w:tcBorders>
                      <w:left w:val="single" w:sz="4" w:space="0" w:color="auto"/>
                      <w:righ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425" w:type="dxa"/>
                    <w:tcBorders>
                      <w:lef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1560"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60"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r>
              <w:tr w:rsidR="00B637B2" w:rsidTr="00B637B2">
                <w:trPr>
                  <w:trHeight w:val="20"/>
                </w:trPr>
                <w:tc>
                  <w:tcPr>
                    <w:tcW w:w="1985" w:type="dxa"/>
                  </w:tcPr>
                  <w:sdt>
                    <w:sdtPr>
                      <w:rPr>
                        <w:sz w:val="16"/>
                        <w:szCs w:val="16"/>
                      </w:rPr>
                      <w:tag w:val="_PLD_a2566358e2dc4d0b9e534ee13a2b1a26"/>
                      <w:id w:val="-302692053"/>
                      <w:lock w:val="sdtLocked"/>
                    </w:sdtPr>
                    <w:sdtContent>
                      <w:p w:rsidR="00B637B2" w:rsidRPr="00A52E6C" w:rsidRDefault="008F04CF" w:rsidP="00B637B2">
                        <w:pPr>
                          <w:rPr>
                            <w:sz w:val="16"/>
                            <w:szCs w:val="16"/>
                          </w:rPr>
                        </w:pPr>
                        <w:r w:rsidRPr="00A52E6C">
                          <w:rPr>
                            <w:sz w:val="16"/>
                            <w:szCs w:val="16"/>
                          </w:rPr>
                          <w:t>4．设定受益计划变动额结转留存收益</w:t>
                        </w:r>
                      </w:p>
                    </w:sdtContent>
                  </w:sdt>
                </w:tc>
                <w:tc>
                  <w:tcPr>
                    <w:tcW w:w="1560" w:type="dxa"/>
                    <w:tcBorders>
                      <w:righ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425" w:type="dxa"/>
                    <w:tcBorders>
                      <w:left w:val="single" w:sz="4" w:space="0" w:color="auto"/>
                      <w:righ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425" w:type="dxa"/>
                    <w:tcBorders>
                      <w:left w:val="single" w:sz="4" w:space="0" w:color="auto"/>
                      <w:righ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425" w:type="dxa"/>
                    <w:tcBorders>
                      <w:lef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1560"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60"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r>
              <w:tr w:rsidR="00B637B2" w:rsidTr="00B637B2">
                <w:trPr>
                  <w:trHeight w:val="20"/>
                </w:trPr>
                <w:tc>
                  <w:tcPr>
                    <w:tcW w:w="1985" w:type="dxa"/>
                  </w:tcPr>
                  <w:sdt>
                    <w:sdtPr>
                      <w:rPr>
                        <w:sz w:val="16"/>
                        <w:szCs w:val="16"/>
                      </w:rPr>
                      <w:tag w:val="_PLD_659907ea90ce4ac18323403c6e02efd1"/>
                      <w:id w:val="1168601815"/>
                      <w:lock w:val="sdtLocked"/>
                    </w:sdtPr>
                    <w:sdtContent>
                      <w:p w:rsidR="00B637B2" w:rsidRPr="00A52E6C" w:rsidRDefault="008F04CF" w:rsidP="00B637B2">
                        <w:pPr>
                          <w:rPr>
                            <w:sz w:val="16"/>
                            <w:szCs w:val="16"/>
                          </w:rPr>
                        </w:pPr>
                        <w:r w:rsidRPr="00A52E6C">
                          <w:rPr>
                            <w:sz w:val="16"/>
                            <w:szCs w:val="16"/>
                          </w:rPr>
                          <w:t>5．其他综合收益结转留存收益</w:t>
                        </w:r>
                      </w:p>
                    </w:sdtContent>
                  </w:sdt>
                </w:tc>
                <w:tc>
                  <w:tcPr>
                    <w:tcW w:w="1560" w:type="dxa"/>
                    <w:tcBorders>
                      <w:righ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425" w:type="dxa"/>
                    <w:tcBorders>
                      <w:left w:val="single" w:sz="4" w:space="0" w:color="auto"/>
                      <w:righ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425" w:type="dxa"/>
                    <w:tcBorders>
                      <w:left w:val="single" w:sz="4" w:space="0" w:color="auto"/>
                      <w:righ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425" w:type="dxa"/>
                    <w:tcBorders>
                      <w:lef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1560"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60"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r>
              <w:tr w:rsidR="00B637B2" w:rsidTr="00B637B2">
                <w:trPr>
                  <w:trHeight w:val="20"/>
                </w:trPr>
                <w:tc>
                  <w:tcPr>
                    <w:tcW w:w="1985" w:type="dxa"/>
                  </w:tcPr>
                  <w:sdt>
                    <w:sdtPr>
                      <w:rPr>
                        <w:sz w:val="16"/>
                        <w:szCs w:val="16"/>
                      </w:rPr>
                      <w:tag w:val="_PLD_811577c623d04471a27af10d35119258"/>
                      <w:id w:val="140548221"/>
                      <w:lock w:val="sdtLocked"/>
                    </w:sdtPr>
                    <w:sdtContent>
                      <w:p w:rsidR="00B637B2" w:rsidRPr="00A52E6C" w:rsidRDefault="008F04CF" w:rsidP="00B637B2">
                        <w:pPr>
                          <w:rPr>
                            <w:sz w:val="16"/>
                            <w:szCs w:val="16"/>
                          </w:rPr>
                        </w:pPr>
                        <w:r w:rsidRPr="00A52E6C">
                          <w:rPr>
                            <w:sz w:val="16"/>
                            <w:szCs w:val="16"/>
                          </w:rPr>
                          <w:t>6．其他</w:t>
                        </w:r>
                      </w:p>
                    </w:sdtContent>
                  </w:sdt>
                </w:tc>
                <w:tc>
                  <w:tcPr>
                    <w:tcW w:w="1560" w:type="dxa"/>
                    <w:tcBorders>
                      <w:righ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425" w:type="dxa"/>
                    <w:tcBorders>
                      <w:left w:val="single" w:sz="4" w:space="0" w:color="auto"/>
                      <w:righ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425" w:type="dxa"/>
                    <w:tcBorders>
                      <w:left w:val="single" w:sz="4" w:space="0" w:color="auto"/>
                      <w:righ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425" w:type="dxa"/>
                    <w:tcBorders>
                      <w:lef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1560"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60"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r>
              <w:tr w:rsidR="00B637B2" w:rsidTr="00B637B2">
                <w:trPr>
                  <w:trHeight w:val="20"/>
                </w:trPr>
                <w:sdt>
                  <w:sdtPr>
                    <w:rPr>
                      <w:sz w:val="16"/>
                      <w:szCs w:val="16"/>
                    </w:rPr>
                    <w:tag w:val="_PLD_2a0b15de13474fe285b68b48e29b688f"/>
                    <w:id w:val="1610078715"/>
                    <w:lock w:val="sdtLocked"/>
                  </w:sdtPr>
                  <w:sdtContent>
                    <w:tc>
                      <w:tcPr>
                        <w:tcW w:w="1985" w:type="dxa"/>
                        <w:vAlign w:val="center"/>
                      </w:tcPr>
                      <w:p w:rsidR="00B637B2" w:rsidRPr="00A52E6C" w:rsidRDefault="008F04CF" w:rsidP="00B637B2">
                        <w:pPr>
                          <w:rPr>
                            <w:sz w:val="16"/>
                            <w:szCs w:val="16"/>
                          </w:rPr>
                        </w:pPr>
                        <w:r w:rsidRPr="00A52E6C">
                          <w:rPr>
                            <w:rFonts w:hint="eastAsia"/>
                            <w:sz w:val="16"/>
                            <w:szCs w:val="16"/>
                          </w:rPr>
                          <w:t>（五）专项储备</w:t>
                        </w:r>
                      </w:p>
                    </w:tc>
                  </w:sdtContent>
                </w:sdt>
                <w:tc>
                  <w:tcPr>
                    <w:tcW w:w="1560" w:type="dxa"/>
                    <w:tcBorders>
                      <w:righ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425" w:type="dxa"/>
                    <w:tcBorders>
                      <w:left w:val="single" w:sz="4" w:space="0" w:color="auto"/>
                      <w:righ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425" w:type="dxa"/>
                    <w:tcBorders>
                      <w:left w:val="single" w:sz="4" w:space="0" w:color="auto"/>
                      <w:righ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425" w:type="dxa"/>
                    <w:tcBorders>
                      <w:lef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1560"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60"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r>
              <w:tr w:rsidR="00B637B2" w:rsidTr="00B637B2">
                <w:trPr>
                  <w:trHeight w:val="20"/>
                </w:trPr>
                <w:sdt>
                  <w:sdtPr>
                    <w:rPr>
                      <w:sz w:val="16"/>
                      <w:szCs w:val="16"/>
                    </w:rPr>
                    <w:tag w:val="_PLD_8be2fdb078fc42cdaebf61e81ed6d67b"/>
                    <w:id w:val="-480852058"/>
                    <w:lock w:val="sdtLocked"/>
                  </w:sdtPr>
                  <w:sdtContent>
                    <w:tc>
                      <w:tcPr>
                        <w:tcW w:w="1985" w:type="dxa"/>
                        <w:vAlign w:val="center"/>
                      </w:tcPr>
                      <w:p w:rsidR="00B637B2" w:rsidRPr="00A52E6C" w:rsidRDefault="008F04CF" w:rsidP="00B637B2">
                        <w:pPr>
                          <w:rPr>
                            <w:sz w:val="16"/>
                            <w:szCs w:val="16"/>
                          </w:rPr>
                        </w:pPr>
                        <w:r w:rsidRPr="00A52E6C">
                          <w:rPr>
                            <w:rFonts w:hint="eastAsia"/>
                            <w:sz w:val="16"/>
                            <w:szCs w:val="16"/>
                          </w:rPr>
                          <w:t>1．本期提取</w:t>
                        </w:r>
                      </w:p>
                    </w:tc>
                  </w:sdtContent>
                </w:sdt>
                <w:tc>
                  <w:tcPr>
                    <w:tcW w:w="1560" w:type="dxa"/>
                    <w:tcBorders>
                      <w:righ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425" w:type="dxa"/>
                    <w:tcBorders>
                      <w:left w:val="single" w:sz="4" w:space="0" w:color="auto"/>
                      <w:righ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425" w:type="dxa"/>
                    <w:tcBorders>
                      <w:left w:val="single" w:sz="4" w:space="0" w:color="auto"/>
                      <w:righ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425" w:type="dxa"/>
                    <w:tcBorders>
                      <w:lef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1560"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60"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r>
              <w:tr w:rsidR="00B637B2" w:rsidTr="00B637B2">
                <w:trPr>
                  <w:trHeight w:val="20"/>
                </w:trPr>
                <w:sdt>
                  <w:sdtPr>
                    <w:rPr>
                      <w:sz w:val="16"/>
                      <w:szCs w:val="16"/>
                    </w:rPr>
                    <w:tag w:val="_PLD_12344832238e442d9f64388fa2af60f1"/>
                    <w:id w:val="-1781103442"/>
                    <w:lock w:val="sdtLocked"/>
                  </w:sdtPr>
                  <w:sdtContent>
                    <w:tc>
                      <w:tcPr>
                        <w:tcW w:w="1985" w:type="dxa"/>
                        <w:vAlign w:val="center"/>
                      </w:tcPr>
                      <w:p w:rsidR="00B637B2" w:rsidRPr="00A52E6C" w:rsidRDefault="008F04CF" w:rsidP="00B637B2">
                        <w:pPr>
                          <w:rPr>
                            <w:sz w:val="16"/>
                            <w:szCs w:val="16"/>
                          </w:rPr>
                        </w:pPr>
                        <w:r w:rsidRPr="00A52E6C">
                          <w:rPr>
                            <w:rFonts w:hint="eastAsia"/>
                            <w:sz w:val="16"/>
                            <w:szCs w:val="16"/>
                          </w:rPr>
                          <w:t>2．本期使用</w:t>
                        </w:r>
                      </w:p>
                    </w:tc>
                  </w:sdtContent>
                </w:sdt>
                <w:tc>
                  <w:tcPr>
                    <w:tcW w:w="1560" w:type="dxa"/>
                    <w:tcBorders>
                      <w:righ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425" w:type="dxa"/>
                    <w:tcBorders>
                      <w:left w:val="single" w:sz="4" w:space="0" w:color="auto"/>
                      <w:righ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425" w:type="dxa"/>
                    <w:tcBorders>
                      <w:left w:val="single" w:sz="4" w:space="0" w:color="auto"/>
                      <w:righ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425" w:type="dxa"/>
                    <w:tcBorders>
                      <w:lef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1560"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60"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r>
              <w:tr w:rsidR="00B637B2" w:rsidTr="00B637B2">
                <w:trPr>
                  <w:trHeight w:val="20"/>
                </w:trPr>
                <w:sdt>
                  <w:sdtPr>
                    <w:rPr>
                      <w:sz w:val="16"/>
                      <w:szCs w:val="16"/>
                    </w:rPr>
                    <w:tag w:val="_PLD_adc6cb0ad3a14129b7edac5f396c8fd5"/>
                    <w:id w:val="1777899851"/>
                    <w:lock w:val="sdtLocked"/>
                  </w:sdtPr>
                  <w:sdtContent>
                    <w:tc>
                      <w:tcPr>
                        <w:tcW w:w="1985" w:type="dxa"/>
                      </w:tcPr>
                      <w:p w:rsidR="00B637B2" w:rsidRPr="00A52E6C" w:rsidRDefault="008F04CF" w:rsidP="00B637B2">
                        <w:pPr>
                          <w:rPr>
                            <w:sz w:val="16"/>
                            <w:szCs w:val="16"/>
                          </w:rPr>
                        </w:pPr>
                        <w:r w:rsidRPr="00A52E6C">
                          <w:rPr>
                            <w:rFonts w:hint="eastAsia"/>
                            <w:sz w:val="16"/>
                            <w:szCs w:val="16"/>
                          </w:rPr>
                          <w:t>（六）其他</w:t>
                        </w:r>
                      </w:p>
                    </w:tc>
                  </w:sdtContent>
                </w:sdt>
                <w:tc>
                  <w:tcPr>
                    <w:tcW w:w="1560" w:type="dxa"/>
                    <w:tcBorders>
                      <w:righ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425" w:type="dxa"/>
                    <w:tcBorders>
                      <w:left w:val="single" w:sz="4" w:space="0" w:color="auto"/>
                      <w:righ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425" w:type="dxa"/>
                    <w:tcBorders>
                      <w:left w:val="single" w:sz="4" w:space="0" w:color="auto"/>
                      <w:righ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425" w:type="dxa"/>
                    <w:tcBorders>
                      <w:lef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1560"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60"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59" w:type="dxa"/>
                    <w:vAlign w:val="center"/>
                  </w:tcPr>
                  <w:p w:rsidR="00B637B2" w:rsidRPr="00A52E6C" w:rsidRDefault="008F04CF" w:rsidP="00B637B2">
                    <w:pPr>
                      <w:jc w:val="right"/>
                      <w:rPr>
                        <w:sz w:val="16"/>
                        <w:szCs w:val="16"/>
                      </w:rPr>
                    </w:pPr>
                    <w:r>
                      <w:rPr>
                        <w:rFonts w:hint="eastAsia"/>
                        <w:sz w:val="16"/>
                        <w:szCs w:val="16"/>
                      </w:rPr>
                      <w:t>-</w:t>
                    </w:r>
                  </w:p>
                </w:tc>
              </w:tr>
              <w:tr w:rsidR="00B637B2" w:rsidTr="00B637B2">
                <w:trPr>
                  <w:trHeight w:val="20"/>
                </w:trPr>
                <w:sdt>
                  <w:sdtPr>
                    <w:rPr>
                      <w:sz w:val="16"/>
                      <w:szCs w:val="16"/>
                    </w:rPr>
                    <w:tag w:val="_PLD_0009c8b4e5ca4d7083f8b2619f6a4584"/>
                    <w:id w:val="618263367"/>
                    <w:lock w:val="sdtLocked"/>
                  </w:sdtPr>
                  <w:sdtContent>
                    <w:tc>
                      <w:tcPr>
                        <w:tcW w:w="1985" w:type="dxa"/>
                      </w:tcPr>
                      <w:p w:rsidR="00B637B2" w:rsidRPr="00A52E6C" w:rsidRDefault="008F04CF" w:rsidP="00B637B2">
                        <w:pPr>
                          <w:rPr>
                            <w:sz w:val="16"/>
                            <w:szCs w:val="16"/>
                          </w:rPr>
                        </w:pPr>
                        <w:r w:rsidRPr="00A52E6C">
                          <w:rPr>
                            <w:sz w:val="16"/>
                            <w:szCs w:val="16"/>
                          </w:rPr>
                          <w:t>四、本期期末余额</w:t>
                        </w:r>
                      </w:p>
                    </w:tc>
                  </w:sdtContent>
                </w:sdt>
                <w:tc>
                  <w:tcPr>
                    <w:tcW w:w="1560" w:type="dxa"/>
                    <w:tcBorders>
                      <w:right w:val="single" w:sz="4" w:space="0" w:color="auto"/>
                    </w:tcBorders>
                    <w:vAlign w:val="center"/>
                  </w:tcPr>
                  <w:p w:rsidR="00B637B2" w:rsidRPr="00A52E6C" w:rsidRDefault="008F04CF" w:rsidP="00B637B2">
                    <w:pPr>
                      <w:jc w:val="right"/>
                      <w:rPr>
                        <w:sz w:val="16"/>
                        <w:szCs w:val="16"/>
                      </w:rPr>
                    </w:pPr>
                    <w:r w:rsidRPr="00A52E6C">
                      <w:rPr>
                        <w:sz w:val="16"/>
                        <w:szCs w:val="16"/>
                      </w:rPr>
                      <w:t>1,899,594,096</w:t>
                    </w:r>
                  </w:p>
                </w:tc>
                <w:tc>
                  <w:tcPr>
                    <w:tcW w:w="425" w:type="dxa"/>
                    <w:tcBorders>
                      <w:left w:val="single" w:sz="4" w:space="0" w:color="auto"/>
                      <w:righ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425" w:type="dxa"/>
                    <w:tcBorders>
                      <w:left w:val="single" w:sz="4" w:space="0" w:color="auto"/>
                      <w:righ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425" w:type="dxa"/>
                    <w:tcBorders>
                      <w:left w:val="single" w:sz="4" w:space="0" w:color="auto"/>
                    </w:tcBorders>
                    <w:vAlign w:val="center"/>
                  </w:tcPr>
                  <w:p w:rsidR="00B637B2" w:rsidRPr="00A52E6C" w:rsidRDefault="008F04CF" w:rsidP="00B637B2">
                    <w:pPr>
                      <w:jc w:val="right"/>
                      <w:rPr>
                        <w:sz w:val="16"/>
                        <w:szCs w:val="16"/>
                      </w:rPr>
                    </w:pPr>
                    <w:r>
                      <w:rPr>
                        <w:rFonts w:hint="eastAsia"/>
                        <w:sz w:val="16"/>
                        <w:szCs w:val="16"/>
                      </w:rPr>
                      <w:t>-</w:t>
                    </w:r>
                  </w:p>
                </w:tc>
                <w:tc>
                  <w:tcPr>
                    <w:tcW w:w="1560" w:type="dxa"/>
                    <w:vAlign w:val="center"/>
                  </w:tcPr>
                  <w:p w:rsidR="00B637B2" w:rsidRPr="00A52E6C" w:rsidRDefault="008F04CF" w:rsidP="00B637B2">
                    <w:pPr>
                      <w:jc w:val="right"/>
                      <w:rPr>
                        <w:sz w:val="16"/>
                        <w:szCs w:val="16"/>
                      </w:rPr>
                    </w:pPr>
                    <w:r w:rsidRPr="00A52E6C">
                      <w:rPr>
                        <w:sz w:val="16"/>
                        <w:szCs w:val="16"/>
                      </w:rPr>
                      <w:t>1,328,970,704</w:t>
                    </w:r>
                  </w:p>
                </w:tc>
                <w:tc>
                  <w:tcPr>
                    <w:tcW w:w="1559" w:type="dxa"/>
                    <w:vAlign w:val="center"/>
                  </w:tcPr>
                  <w:p w:rsidR="00B637B2" w:rsidRPr="00A52E6C" w:rsidRDefault="008F04CF" w:rsidP="00B637B2">
                    <w:pPr>
                      <w:jc w:val="right"/>
                      <w:rPr>
                        <w:sz w:val="16"/>
                        <w:szCs w:val="16"/>
                      </w:rPr>
                    </w:pPr>
                    <w:r w:rsidRPr="00347626">
                      <w:rPr>
                        <w:sz w:val="16"/>
                        <w:szCs w:val="16"/>
                      </w:rPr>
                      <w:t>86,733,919</w:t>
                    </w:r>
                  </w:p>
                </w:tc>
                <w:tc>
                  <w:tcPr>
                    <w:tcW w:w="1559" w:type="dxa"/>
                    <w:vAlign w:val="center"/>
                  </w:tcPr>
                  <w:p w:rsidR="00B637B2" w:rsidRPr="00A52E6C" w:rsidRDefault="008F04CF" w:rsidP="00B637B2">
                    <w:pPr>
                      <w:jc w:val="right"/>
                      <w:rPr>
                        <w:sz w:val="16"/>
                        <w:szCs w:val="16"/>
                      </w:rPr>
                    </w:pPr>
                    <w:r w:rsidRPr="00A52E6C">
                      <w:rPr>
                        <w:sz w:val="16"/>
                        <w:szCs w:val="16"/>
                      </w:rPr>
                      <w:t>-52,706,434</w:t>
                    </w:r>
                  </w:p>
                </w:tc>
                <w:tc>
                  <w:tcPr>
                    <w:tcW w:w="1559" w:type="dxa"/>
                    <w:vAlign w:val="center"/>
                  </w:tcPr>
                  <w:p w:rsidR="00B637B2" w:rsidRPr="00A52E6C" w:rsidRDefault="008F04CF" w:rsidP="00B637B2">
                    <w:pPr>
                      <w:jc w:val="right"/>
                      <w:rPr>
                        <w:sz w:val="16"/>
                        <w:szCs w:val="16"/>
                      </w:rPr>
                    </w:pPr>
                    <w:r>
                      <w:rPr>
                        <w:rFonts w:hint="eastAsia"/>
                        <w:sz w:val="16"/>
                        <w:szCs w:val="16"/>
                      </w:rPr>
                      <w:t>-</w:t>
                    </w:r>
                  </w:p>
                </w:tc>
                <w:tc>
                  <w:tcPr>
                    <w:tcW w:w="1560" w:type="dxa"/>
                    <w:vAlign w:val="center"/>
                  </w:tcPr>
                  <w:p w:rsidR="00B637B2" w:rsidRPr="00A52E6C" w:rsidRDefault="008F04CF" w:rsidP="00B637B2">
                    <w:pPr>
                      <w:jc w:val="right"/>
                      <w:rPr>
                        <w:sz w:val="16"/>
                        <w:szCs w:val="16"/>
                      </w:rPr>
                    </w:pPr>
                    <w:r w:rsidRPr="00A52E6C">
                      <w:rPr>
                        <w:sz w:val="16"/>
                        <w:szCs w:val="16"/>
                      </w:rPr>
                      <w:t>725,148,306</w:t>
                    </w:r>
                  </w:p>
                </w:tc>
                <w:tc>
                  <w:tcPr>
                    <w:tcW w:w="1559" w:type="dxa"/>
                    <w:vAlign w:val="center"/>
                  </w:tcPr>
                  <w:p w:rsidR="00B637B2" w:rsidRPr="00A52E6C" w:rsidRDefault="008F04CF" w:rsidP="00B637B2">
                    <w:pPr>
                      <w:jc w:val="right"/>
                      <w:rPr>
                        <w:sz w:val="16"/>
                        <w:szCs w:val="16"/>
                      </w:rPr>
                    </w:pPr>
                    <w:r w:rsidRPr="00A52E6C">
                      <w:rPr>
                        <w:sz w:val="16"/>
                        <w:szCs w:val="16"/>
                      </w:rPr>
                      <w:t>1,431,509,684</w:t>
                    </w:r>
                  </w:p>
                </w:tc>
                <w:tc>
                  <w:tcPr>
                    <w:tcW w:w="1559" w:type="dxa"/>
                    <w:vAlign w:val="center"/>
                  </w:tcPr>
                  <w:p w:rsidR="00B637B2" w:rsidRPr="00A52E6C" w:rsidRDefault="008F04CF" w:rsidP="00B637B2">
                    <w:pPr>
                      <w:jc w:val="right"/>
                      <w:rPr>
                        <w:sz w:val="16"/>
                        <w:szCs w:val="16"/>
                      </w:rPr>
                    </w:pPr>
                    <w:r w:rsidRPr="00347626">
                      <w:rPr>
                        <w:sz w:val="16"/>
                        <w:szCs w:val="16"/>
                      </w:rPr>
                      <w:t>5,245,782,437</w:t>
                    </w:r>
                  </w:p>
                </w:tc>
              </w:tr>
            </w:tbl>
            <w:p w:rsidR="00B637B2" w:rsidRDefault="00B637B2"/>
            <w:p w:rsidR="00ED2DC7" w:rsidRDefault="00ED2DC7"/>
            <w:p w:rsidR="00ED2DC7" w:rsidRDefault="00ED2DC7">
              <w:pPr>
                <w:snapToGrid w:val="0"/>
                <w:spacing w:line="240" w:lineRule="atLeast"/>
                <w:rPr>
                  <w:b/>
                  <w:bCs/>
                  <w:color w:val="FF0000"/>
                  <w:szCs w:val="21"/>
                </w:rPr>
              </w:pPr>
              <w:r>
                <w:rPr>
                  <w:szCs w:val="21"/>
                </w:rPr>
                <w:t>法定代表人</w:t>
              </w:r>
              <w:r>
                <w:rPr>
                  <w:rFonts w:hint="eastAsia"/>
                  <w:szCs w:val="21"/>
                </w:rPr>
                <w:t>：</w:t>
              </w:r>
              <w:sdt>
                <w:sdtPr>
                  <w:rPr>
                    <w:rFonts w:hint="eastAsia"/>
                    <w:szCs w:val="21"/>
                  </w:rPr>
                  <w:alias w:val="公司法定代表人"/>
                  <w:tag w:val="_GBC_6042a2c12168484781348969a4da3e4c"/>
                  <w:id w:val="1342593565"/>
                  <w:lock w:val="sdtLocked"/>
                  <w:placeholder>
                    <w:docPart w:val="GBC22222222222222222222222222222"/>
                  </w:placeholder>
                  <w:dataBinding w:prefixMappings="xmlns:clcid-cgi='clcid-cgi'" w:xpath="/*/clcid-cgi:GongSiFaDingDaiBiaoRen[not(@periodRef)]" w:storeItemID="{89EBAB94-44A0-46A2-B712-30D997D04A6D}"/>
                  <w:text/>
                </w:sdtPr>
                <w:sdtContent>
                  <w:r w:rsidR="008F04CF">
                    <w:rPr>
                      <w:rFonts w:hint="eastAsia"/>
                      <w:szCs w:val="21"/>
                    </w:rPr>
                    <w:t>王文京</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3008dab61aca43f0a6d82ef192943e79"/>
                  <w:id w:val="1747765666"/>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8F04CF">
                    <w:rPr>
                      <w:rFonts w:hint="eastAsia"/>
                      <w:szCs w:val="21"/>
                    </w:rPr>
                    <w:t>章培林</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e6c21b270080402ca8dbdc0cab514bde"/>
                  <w:id w:val="-1240793147"/>
                  <w:lock w:val="sdtLocked"/>
                  <w:placeholder>
                    <w:docPart w:val="GBC22222222222222222222222222222"/>
                  </w:placeholder>
                  <w:dataBinding w:prefixMappings="xmlns:clcid-mr='clcid-mr'" w:xpath="/*/clcid-mr:KuaiJiJiGouFuZeRenXingMing[not(@periodRef)]" w:storeItemID="{89EBAB94-44A0-46A2-B712-30D997D04A6D}"/>
                  <w:text/>
                </w:sdtPr>
                <w:sdtContent>
                  <w:r w:rsidR="008F04CF">
                    <w:rPr>
                      <w:rFonts w:hint="eastAsia"/>
                      <w:szCs w:val="21"/>
                    </w:rPr>
                    <w:t>孙淑嫔</w:t>
                  </w:r>
                </w:sdtContent>
              </w:sdt>
            </w:p>
          </w:sdtContent>
        </w:sdt>
        <w:p w:rsidR="00ED2DC7" w:rsidRDefault="000D0A99">
          <w:pPr>
            <w:rPr>
              <w:color w:val="FF0000"/>
            </w:rPr>
          </w:pPr>
        </w:p>
      </w:sdtContent>
    </w:sdt>
    <w:bookmarkEnd w:id="70" w:displacedByCustomXml="prev"/>
    <w:p w:rsidR="00ED2DC7" w:rsidRDefault="00ED2DC7">
      <w:pPr>
        <w:snapToGrid w:val="0"/>
        <w:spacing w:line="240" w:lineRule="atLeast"/>
        <w:rPr>
          <w:szCs w:val="21"/>
        </w:rPr>
        <w:sectPr w:rsidR="00ED2DC7" w:rsidSect="005F7039">
          <w:pgSz w:w="16838" w:h="11906" w:orient="landscape"/>
          <w:pgMar w:top="1797" w:right="1525" w:bottom="1276" w:left="1440" w:header="851" w:footer="992" w:gutter="0"/>
          <w:cols w:space="425"/>
          <w:docGrid w:linePitch="312"/>
        </w:sectPr>
      </w:pPr>
    </w:p>
    <w:sdt>
      <w:sdtPr>
        <w:rPr>
          <w:rFonts w:ascii="宋体" w:hAnsi="宋体" w:cs="宋体"/>
          <w:b w:val="0"/>
          <w:bCs w:val="0"/>
          <w:kern w:val="0"/>
          <w:szCs w:val="24"/>
        </w:rPr>
        <w:alias w:val="模块:公司基本情况"/>
        <w:tag w:val="_GBC_c49d72d4b04e4ead97addb731e9b6458"/>
        <w:id w:val="-135109088"/>
        <w:lock w:val="sdtLocked"/>
        <w:placeholder>
          <w:docPart w:val="GBC22222222222222222222222222222"/>
        </w:placeholder>
      </w:sdtPr>
      <w:sdtEndPr>
        <w:rPr>
          <w:rFonts w:cs="Times New Roman" w:hint="eastAsia"/>
          <w:kern w:val="2"/>
        </w:rPr>
      </w:sdtEndPr>
      <w:sdtContent>
        <w:p w:rsidR="00ED2DC7" w:rsidRDefault="00ED2DC7" w:rsidP="00036BDC">
          <w:pPr>
            <w:pStyle w:val="affffffffffffffffff0"/>
            <w:numPr>
              <w:ilvl w:val="0"/>
              <w:numId w:val="35"/>
            </w:numPr>
            <w:rPr>
              <w:rFonts w:ascii="宋体" w:hAnsi="宋体"/>
            </w:rPr>
          </w:pPr>
          <w:r>
            <w:rPr>
              <w:rFonts w:ascii="宋体" w:hAnsi="宋体"/>
            </w:rPr>
            <w:t>公司基本情况</w:t>
          </w:r>
        </w:p>
        <w:p w:rsidR="00ED2DC7" w:rsidRDefault="00ED2DC7" w:rsidP="00036BDC">
          <w:pPr>
            <w:pStyle w:val="affffffffffffffffff1"/>
            <w:numPr>
              <w:ilvl w:val="0"/>
              <w:numId w:val="36"/>
            </w:numPr>
          </w:pPr>
          <w:r>
            <w:rPr>
              <w:rFonts w:hint="eastAsia"/>
            </w:rPr>
            <w:t>公司概况</w:t>
          </w:r>
        </w:p>
        <w:sdt>
          <w:sdtPr>
            <w:alias w:val="是否适用：公司概况[双击切换]"/>
            <w:tag w:val="_GBC_2e5fe5b3ed964f468989da49e4242039"/>
            <w:id w:val="-1490469813"/>
            <w:lock w:val="sdtContentLocked"/>
            <w:placeholder>
              <w:docPart w:val="GBC22222222222222222222222222222"/>
            </w:placeholder>
          </w:sdtPr>
          <w:sdtContent>
            <w:p w:rsidR="00ED2DC7" w:rsidRDefault="00ED2DC7">
              <w:r>
                <w:fldChar w:fldCharType="begin"/>
              </w:r>
              <w:r w:rsidR="00812AD4">
                <w:instrText xml:space="preserve"> MACROBUTTON  SnrToggleCheckbox √适用 </w:instrText>
              </w:r>
              <w:r>
                <w:fldChar w:fldCharType="end"/>
              </w:r>
              <w:r>
                <w:fldChar w:fldCharType="begin"/>
              </w:r>
              <w:r w:rsidR="00812AD4">
                <w:instrText xml:space="preserve"> MACROBUTTON  SnrToggleCheckbox □不适用 </w:instrText>
              </w:r>
              <w:r>
                <w:fldChar w:fldCharType="end"/>
              </w:r>
            </w:p>
          </w:sdtContent>
        </w:sdt>
        <w:sdt>
          <w:sdtPr>
            <w:rPr>
              <w:szCs w:val="21"/>
            </w:rPr>
            <w:alias w:val="公司概况"/>
            <w:tag w:val="_GBC_dfec127af3a7441dade8cb0f67119e66"/>
            <w:id w:val="1294179979"/>
            <w:lock w:val="sdtLocked"/>
            <w:placeholder>
              <w:docPart w:val="GBC22222222222222222222222222222"/>
            </w:placeholder>
          </w:sdtPr>
          <w:sdtContent>
            <w:p w:rsidR="00957311" w:rsidRPr="00957311" w:rsidRDefault="00957311" w:rsidP="00957311">
              <w:pPr>
                <w:rPr>
                  <w:szCs w:val="21"/>
                </w:rPr>
              </w:pPr>
              <w:r w:rsidRPr="00957311">
                <w:rPr>
                  <w:rFonts w:hint="eastAsia"/>
                  <w:szCs w:val="21"/>
                </w:rPr>
                <w:t>用友网络科技股份有限公司</w:t>
              </w:r>
              <w:r w:rsidRPr="00957311">
                <w:rPr>
                  <w:szCs w:val="21"/>
                </w:rPr>
                <w:t>(以下简称“本公司”)是根据《中华人民共和国公司法》(以下简称“公司法”)于1999年12月6日在中华人民共和国(以下简称“中国”)注册成立的股份有限公司。根据2015年1月9日召开的2015年第一次临时股东大会通过的决议，公司名称由“用友软件股份有限公司”变更为“用友网络科技股份有限公司”。2015年1月26日，相关工商变更手续已办理完毕。本公司所发行的人民币普通股A股股票已在上海证券交易所上市。本公司统一社会信用代码为91110000600001760P。</w:t>
              </w:r>
            </w:p>
            <w:p w:rsidR="00957311" w:rsidRPr="00957311" w:rsidRDefault="00957311" w:rsidP="00957311">
              <w:pPr>
                <w:rPr>
                  <w:szCs w:val="21"/>
                </w:rPr>
              </w:pPr>
            </w:p>
            <w:p w:rsidR="00957311" w:rsidRPr="00957311" w:rsidRDefault="00957311" w:rsidP="00957311">
              <w:pPr>
                <w:rPr>
                  <w:szCs w:val="21"/>
                </w:rPr>
              </w:pPr>
              <w:r w:rsidRPr="00957311">
                <w:rPr>
                  <w:rFonts w:hint="eastAsia"/>
                  <w:szCs w:val="21"/>
                </w:rPr>
                <w:t>本公司及子公司</w:t>
              </w:r>
              <w:r w:rsidRPr="00957311">
                <w:rPr>
                  <w:szCs w:val="21"/>
                </w:rPr>
                <w:t>(统称“本集团”)主要经营活动为：零售图书；第一类增值电信业务中的因特网数据中心业务；第二类增值电信业务中的呼叫中心业务、因特网接入服务业务、信息服务业务(不含固定网电话信息服务和互联网信息服务)(增值电信业务经营许可证有效期至2020年7月7日)；互联网信息服务(不含新闻、出版、教育、医疗保健、药品和医疗器械，含电子公告服务)(电信与信息服务业务许可证有效期至2020年4月16日)；电子计算机软件、硬件及外部设备的技术开发、技术咨询、技术转让、技术服务、技术培训；销售打印纸和计算机耗材；物业</w:t>
              </w:r>
              <w:r w:rsidRPr="00957311">
                <w:rPr>
                  <w:rFonts w:hint="eastAsia"/>
                  <w:szCs w:val="21"/>
                </w:rPr>
                <w:t>管理；企业管理咨询；数据库服务；销售电子计算机软硬件及外部设备；设计、制作、代理、发布广告；自营和代理各类商品和技术的进出口，但国家限定公司经营或禁止进出口的商品和技术除外；出租办公用房。</w:t>
              </w:r>
            </w:p>
            <w:p w:rsidR="00957311" w:rsidRPr="00957311" w:rsidRDefault="00957311" w:rsidP="00957311">
              <w:pPr>
                <w:rPr>
                  <w:szCs w:val="21"/>
                </w:rPr>
              </w:pPr>
            </w:p>
            <w:p w:rsidR="00957311" w:rsidRPr="00957311" w:rsidRDefault="00957311" w:rsidP="00957311">
              <w:pPr>
                <w:rPr>
                  <w:szCs w:val="21"/>
                </w:rPr>
              </w:pPr>
              <w:r w:rsidRPr="00957311">
                <w:rPr>
                  <w:rFonts w:hint="eastAsia"/>
                  <w:szCs w:val="21"/>
                </w:rPr>
                <w:t>本集团的母公司和最终母公司为于中国成立的北京用友科技有限公司</w:t>
              </w:r>
              <w:r w:rsidRPr="00957311">
                <w:rPr>
                  <w:szCs w:val="21"/>
                </w:rPr>
                <w:t>(以下简称“用友科技”)。</w:t>
              </w:r>
            </w:p>
            <w:p w:rsidR="00957311" w:rsidRPr="00957311" w:rsidRDefault="00957311" w:rsidP="00957311">
              <w:pPr>
                <w:rPr>
                  <w:szCs w:val="21"/>
                </w:rPr>
              </w:pPr>
            </w:p>
            <w:p w:rsidR="00957311" w:rsidRPr="00957311" w:rsidRDefault="00957311" w:rsidP="00957311">
              <w:pPr>
                <w:rPr>
                  <w:szCs w:val="21"/>
                </w:rPr>
              </w:pPr>
              <w:r w:rsidRPr="00957311">
                <w:rPr>
                  <w:rFonts w:hint="eastAsia"/>
                  <w:szCs w:val="21"/>
                </w:rPr>
                <w:t>本财务报表业经公司董事会于</w:t>
              </w:r>
              <w:r w:rsidRPr="00957311">
                <w:rPr>
                  <w:szCs w:val="21"/>
                </w:rPr>
                <w:t>2019年8月16日决议批准。根据本公司章程，本财务报表将提交股东大会审议。</w:t>
              </w:r>
            </w:p>
            <w:p w:rsidR="00957311" w:rsidRPr="00957311" w:rsidRDefault="00957311" w:rsidP="00957311">
              <w:pPr>
                <w:rPr>
                  <w:szCs w:val="21"/>
                </w:rPr>
              </w:pPr>
            </w:p>
            <w:p w:rsidR="00ED2DC7" w:rsidRDefault="00957311" w:rsidP="00957311">
              <w:pPr>
                <w:rPr>
                  <w:szCs w:val="21"/>
                </w:rPr>
              </w:pPr>
              <w:r w:rsidRPr="00957311">
                <w:rPr>
                  <w:rFonts w:hint="eastAsia"/>
                  <w:szCs w:val="21"/>
                </w:rPr>
                <w:t>合并财务报表的合并范围以控制为基础确定，本年度变化情况参见附注六。</w:t>
              </w:r>
            </w:p>
          </w:sdtContent>
        </w:sdt>
        <w:p w:rsidR="00ED2DC7" w:rsidRDefault="00ED2DC7">
          <w:pPr>
            <w:rPr>
              <w:szCs w:val="21"/>
            </w:rPr>
          </w:pPr>
        </w:p>
        <w:p w:rsidR="00ED2DC7" w:rsidRPr="00177887" w:rsidRDefault="00ED2DC7" w:rsidP="00036BDC">
          <w:pPr>
            <w:pStyle w:val="affffffffffffffffff1"/>
            <w:numPr>
              <w:ilvl w:val="0"/>
              <w:numId w:val="36"/>
            </w:numPr>
            <w:rPr>
              <w:szCs w:val="21"/>
            </w:rPr>
          </w:pPr>
          <w:r w:rsidRPr="00177887">
            <w:rPr>
              <w:rFonts w:hint="eastAsia"/>
              <w:szCs w:val="21"/>
            </w:rPr>
            <w:t>合并财务</w:t>
          </w:r>
          <w:r w:rsidRPr="00177887">
            <w:rPr>
              <w:rFonts w:hint="eastAsia"/>
            </w:rPr>
            <w:t>报表</w:t>
          </w:r>
          <w:r w:rsidRPr="00177887">
            <w:rPr>
              <w:rFonts w:hint="eastAsia"/>
              <w:szCs w:val="21"/>
            </w:rPr>
            <w:t>范围</w:t>
          </w:r>
        </w:p>
        <w:sdt>
          <w:sdtPr>
            <w:alias w:val="是否适用：合并财务报表范围[双击切换]"/>
            <w:tag w:val="_GBC_ea2f3ec3b347465c8c563d4599124150"/>
            <w:id w:val="-1427728528"/>
            <w:lock w:val="sdtContentLocked"/>
            <w:placeholder>
              <w:docPart w:val="GBC22222222222222222222222222222"/>
            </w:placeholder>
          </w:sdtPr>
          <w:sdtContent>
            <w:p w:rsidR="00ED2DC7" w:rsidRDefault="00ED2DC7">
              <w:r>
                <w:fldChar w:fldCharType="begin"/>
              </w:r>
              <w:r w:rsidR="00812AD4">
                <w:instrText xml:space="preserve"> MACROBUTTON  SnrToggleCheckbox √适用 </w:instrText>
              </w:r>
              <w:r>
                <w:fldChar w:fldCharType="end"/>
              </w:r>
              <w:r>
                <w:fldChar w:fldCharType="begin"/>
              </w:r>
              <w:r w:rsidR="00812AD4">
                <w:instrText xml:space="preserve"> MACROBUTTON  SnrToggleCheckbox □不适用 </w:instrText>
              </w:r>
              <w:r>
                <w:fldChar w:fldCharType="end"/>
              </w:r>
            </w:p>
          </w:sdtContent>
        </w:sdt>
        <w:sdt>
          <w:sdtPr>
            <w:rPr>
              <w:szCs w:val="21"/>
            </w:rPr>
            <w:alias w:val="本年度合并财务报表范围"/>
            <w:tag w:val="_GBC_696c121eead146fba6371fa5b371b2fc"/>
            <w:id w:val="-186905993"/>
            <w:lock w:val="sdtLocked"/>
            <w:placeholder>
              <w:docPart w:val="GBC22222222222222222222222222222"/>
            </w:placeholder>
          </w:sdtPr>
          <w:sdtContent>
            <w:p w:rsidR="00ED2DC7" w:rsidRDefault="008F04CF">
              <w:pPr>
                <w:rPr>
                  <w:szCs w:val="21"/>
                </w:rPr>
              </w:pPr>
              <w:r w:rsidRPr="00177887">
                <w:rPr>
                  <w:rFonts w:hint="eastAsia"/>
                  <w:szCs w:val="21"/>
                </w:rPr>
                <w:t>合并财务报表的合并范围以控制为基础确定。</w:t>
              </w:r>
            </w:p>
          </w:sdtContent>
        </w:sdt>
      </w:sdtContent>
    </w:sdt>
    <w:p w:rsidR="00ED2DC7" w:rsidRDefault="00ED2DC7">
      <w:pPr>
        <w:rPr>
          <w:szCs w:val="21"/>
        </w:rPr>
      </w:pPr>
    </w:p>
    <w:p w:rsidR="00ED2DC7" w:rsidRDefault="00ED2DC7" w:rsidP="00036BDC">
      <w:pPr>
        <w:pStyle w:val="affffffffffffffffff0"/>
        <w:numPr>
          <w:ilvl w:val="0"/>
          <w:numId w:val="35"/>
        </w:numPr>
        <w:rPr>
          <w:rFonts w:ascii="宋体" w:hAnsi="宋体"/>
        </w:rPr>
      </w:pPr>
      <w:r>
        <w:rPr>
          <w:rFonts w:ascii="宋体" w:hAnsi="宋体" w:hint="eastAsia"/>
        </w:rPr>
        <w:t>财务报表的编制基础</w:t>
      </w:r>
    </w:p>
    <w:sdt>
      <w:sdtPr>
        <w:rPr>
          <w:rFonts w:asciiTheme="minorHAnsi" w:hAnsiTheme="minorHAnsi" w:cs="宋体"/>
          <w:b w:val="0"/>
          <w:bCs w:val="0"/>
          <w:kern w:val="0"/>
          <w:szCs w:val="22"/>
        </w:rPr>
        <w:alias w:val="模块:财务报表的编制基础"/>
        <w:tag w:val="_GBC_6d12949d3695402592266a78137dcfb5"/>
        <w:id w:val="1000388185"/>
        <w:lock w:val="sdtLocked"/>
        <w:placeholder>
          <w:docPart w:val="GBC22222222222222222222222222222"/>
        </w:placeholder>
      </w:sdtPr>
      <w:sdtEndPr>
        <w:rPr>
          <w:rFonts w:ascii="宋体" w:hAnsi="宋体" w:cs="Times New Roman" w:hint="eastAsia"/>
          <w:kern w:val="2"/>
          <w:szCs w:val="21"/>
        </w:rPr>
      </w:sdtEndPr>
      <w:sdtContent>
        <w:p w:rsidR="00ED2DC7" w:rsidRDefault="00ED2DC7" w:rsidP="00036BDC">
          <w:pPr>
            <w:pStyle w:val="affffffffffffffffff1"/>
            <w:numPr>
              <w:ilvl w:val="0"/>
              <w:numId w:val="37"/>
            </w:numPr>
          </w:pPr>
          <w:r>
            <w:t>编制基础</w:t>
          </w:r>
        </w:p>
        <w:sdt>
          <w:sdtPr>
            <w:rPr>
              <w:rFonts w:hint="eastAsia"/>
              <w:szCs w:val="21"/>
            </w:rPr>
            <w:alias w:val="财务报表的编制基础"/>
            <w:tag w:val="_GBC_1dc2375ed7ab49628f5badf2d5006405"/>
            <w:id w:val="1039870375"/>
            <w:lock w:val="sdtLocked"/>
            <w:placeholder>
              <w:docPart w:val="GBC22222222222222222222222222222"/>
            </w:placeholder>
          </w:sdtPr>
          <w:sdtContent>
            <w:p w:rsidR="00ED2DC7" w:rsidRDefault="00ED2DC7">
              <w:pPr>
                <w:rPr>
                  <w:szCs w:val="21"/>
                </w:rPr>
              </w:pPr>
              <w:r>
                <w:rPr>
                  <w:szCs w:val="21"/>
                </w:rPr>
                <w:t>本公司财务报表以持续经营为编制基础。</w:t>
              </w:r>
            </w:p>
          </w:sdtContent>
        </w:sdt>
      </w:sdtContent>
    </w:sdt>
    <w:p w:rsidR="00ED2DC7" w:rsidRDefault="00ED2DC7">
      <w:pPr>
        <w:rPr>
          <w:szCs w:val="21"/>
        </w:rPr>
      </w:pPr>
    </w:p>
    <w:sdt>
      <w:sdtPr>
        <w:rPr>
          <w:rFonts w:asciiTheme="minorHAnsi" w:hAnsiTheme="minorHAnsi" w:cs="宋体" w:hint="eastAsia"/>
          <w:b w:val="0"/>
          <w:bCs w:val="0"/>
          <w:kern w:val="0"/>
          <w:szCs w:val="22"/>
        </w:rPr>
        <w:alias w:val="模块:持续经营"/>
        <w:tag w:val="_GBC_69ae6baeacb44e8fa17b0b984abbf6ab"/>
        <w:id w:val="1821763760"/>
        <w:lock w:val="sdtLocked"/>
        <w:placeholder>
          <w:docPart w:val="GBC22222222222222222222222222222"/>
        </w:placeholder>
      </w:sdtPr>
      <w:sdtEndPr>
        <w:rPr>
          <w:rFonts w:ascii="宋体" w:hAnsi="宋体" w:cs="Times New Roman"/>
          <w:kern w:val="2"/>
          <w:szCs w:val="21"/>
        </w:rPr>
      </w:sdtEndPr>
      <w:sdtContent>
        <w:p w:rsidR="00ED2DC7" w:rsidRPr="00177887" w:rsidRDefault="00ED2DC7" w:rsidP="00036BDC">
          <w:pPr>
            <w:pStyle w:val="affffffffffffffffff1"/>
            <w:numPr>
              <w:ilvl w:val="0"/>
              <w:numId w:val="37"/>
            </w:numPr>
          </w:pPr>
          <w:r w:rsidRPr="00177887">
            <w:rPr>
              <w:rFonts w:hint="eastAsia"/>
            </w:rPr>
            <w:t>持续经营</w:t>
          </w:r>
        </w:p>
        <w:sdt>
          <w:sdtPr>
            <w:alias w:val="是否适用：持续经营[双击切换]"/>
            <w:tag w:val="_GBC_7a7bd82392314f508ef1adfe80947192"/>
            <w:id w:val="-584533961"/>
            <w:lock w:val="sdtContentLocked"/>
            <w:placeholder>
              <w:docPart w:val="GBC22222222222222222222222222222"/>
            </w:placeholder>
          </w:sdtPr>
          <w:sdtContent>
            <w:p w:rsidR="00ED2DC7" w:rsidRDefault="00ED2DC7">
              <w:r>
                <w:fldChar w:fldCharType="begin"/>
              </w:r>
              <w:r w:rsidR="008F04CF">
                <w:instrText xml:space="preserve"> MACROBUTTON  SnrToggleCheckbox √适用 </w:instrText>
              </w:r>
              <w:r>
                <w:fldChar w:fldCharType="end"/>
              </w:r>
              <w:r>
                <w:fldChar w:fldCharType="begin"/>
              </w:r>
              <w:r w:rsidR="008F04CF">
                <w:instrText xml:space="preserve"> MACROBUTTON  SnrToggleCheckbox □不适用 </w:instrText>
              </w:r>
              <w:r>
                <w:fldChar w:fldCharType="end"/>
              </w:r>
            </w:p>
          </w:sdtContent>
        </w:sdt>
        <w:sdt>
          <w:sdtPr>
            <w:rPr>
              <w:szCs w:val="21"/>
            </w:rPr>
            <w:alias w:val="持续经营"/>
            <w:tag w:val="_GBC_dc876c24006b428987a041949eb554f3"/>
            <w:id w:val="-2026932975"/>
            <w:lock w:val="sdtLocked"/>
            <w:placeholder>
              <w:docPart w:val="GBC22222222222222222222222222222"/>
            </w:placeholder>
          </w:sdtPr>
          <w:sdtContent>
            <w:p w:rsidR="00ED2DC7" w:rsidRDefault="008F04CF">
              <w:pPr>
                <w:rPr>
                  <w:szCs w:val="21"/>
                </w:rPr>
              </w:pPr>
              <w:r>
                <w:rPr>
                  <w:rFonts w:hint="eastAsia"/>
                  <w:szCs w:val="21"/>
                </w:rPr>
                <w:t>本公司不存在导致对报告期末起</w:t>
              </w:r>
              <w:r>
                <w:rPr>
                  <w:szCs w:val="21"/>
                </w:rPr>
                <w:t>12</w:t>
              </w:r>
              <w:r>
                <w:rPr>
                  <w:rFonts w:hint="eastAsia"/>
                  <w:szCs w:val="21"/>
                </w:rPr>
                <w:t>个月内的持续经营假设重大疑虑的事项或情况。</w:t>
              </w:r>
            </w:p>
          </w:sdtContent>
        </w:sdt>
      </w:sdtContent>
    </w:sdt>
    <w:p w:rsidR="00ED2DC7" w:rsidRDefault="00ED2DC7">
      <w:pPr>
        <w:rPr>
          <w:szCs w:val="21"/>
        </w:rPr>
      </w:pPr>
    </w:p>
    <w:p w:rsidR="00ED2DC7" w:rsidRDefault="00ED2DC7" w:rsidP="00036BDC">
      <w:pPr>
        <w:pStyle w:val="affffffffffffffffff0"/>
        <w:numPr>
          <w:ilvl w:val="0"/>
          <w:numId w:val="35"/>
        </w:numPr>
        <w:rPr>
          <w:rFonts w:ascii="宋体" w:hAnsi="宋体"/>
        </w:rPr>
      </w:pPr>
      <w:r>
        <w:rPr>
          <w:rFonts w:ascii="宋体" w:hAnsi="宋体" w:hint="eastAsia"/>
        </w:rPr>
        <w:t>重</w:t>
      </w:r>
      <w:r>
        <w:rPr>
          <w:rFonts w:ascii="宋体" w:hAnsi="宋体"/>
        </w:rPr>
        <w:t>要会计政策</w:t>
      </w:r>
      <w:r>
        <w:rPr>
          <w:rFonts w:ascii="宋体" w:hAnsi="宋体" w:hint="eastAsia"/>
        </w:rPr>
        <w:t>及</w:t>
      </w:r>
      <w:r>
        <w:rPr>
          <w:rFonts w:ascii="宋体" w:hAnsi="宋体"/>
        </w:rPr>
        <w:t>会计估计</w:t>
      </w:r>
    </w:p>
    <w:sdt>
      <w:sdtPr>
        <w:alias w:val="模块:具体会计政策和会计估计提示"/>
        <w:tag w:val="_GBC_03d97fea34d045cb980749ccc6860a5a"/>
        <w:id w:val="-1318103095"/>
        <w:lock w:val="sdtLocked"/>
        <w:placeholder>
          <w:docPart w:val="GBC22222222222222222222222222222"/>
        </w:placeholder>
      </w:sdtPr>
      <w:sdtContent>
        <w:p w:rsidR="00ED2DC7" w:rsidRDefault="00ED2DC7">
          <w:r>
            <w:rPr>
              <w:rFonts w:hint="eastAsia"/>
            </w:rPr>
            <w:t>具体会计政策和会计估计提示：</w:t>
          </w:r>
        </w:p>
        <w:sdt>
          <w:sdtPr>
            <w:alias w:val="是否适用：具体会计政策和会计估计提示[双击切换]"/>
            <w:tag w:val="_GBC_77c62823e3884e1fbfb236cea1f9f425"/>
            <w:id w:val="396175037"/>
            <w:lock w:val="sdtContentLocked"/>
            <w:placeholder>
              <w:docPart w:val="GBC22222222222222222222222222222"/>
            </w:placeholder>
          </w:sdtPr>
          <w:sdtContent>
            <w:p w:rsidR="00ED2DC7" w:rsidRDefault="00ED2DC7">
              <w:r>
                <w:fldChar w:fldCharType="begin"/>
              </w:r>
              <w:r w:rsidR="00812AD4">
                <w:instrText xml:space="preserve"> MACROBUTTON  SnrToggleCheckbox √适用 </w:instrText>
              </w:r>
              <w:r>
                <w:fldChar w:fldCharType="end"/>
              </w:r>
              <w:r>
                <w:fldChar w:fldCharType="begin"/>
              </w:r>
              <w:r w:rsidR="00812AD4">
                <w:instrText xml:space="preserve"> MACROBUTTON  SnrToggleCheckbox □不适用 </w:instrText>
              </w:r>
              <w:r>
                <w:fldChar w:fldCharType="end"/>
              </w:r>
            </w:p>
          </w:sdtContent>
        </w:sdt>
        <w:sdt>
          <w:sdtPr>
            <w:alias w:val="具体会计政策和会计估计提示"/>
            <w:tag w:val="_GBC_caddaeaf0d1a454ab0bede37f0db7782"/>
            <w:id w:val="-2115743315"/>
            <w:lock w:val="sdtLocked"/>
            <w:placeholder>
              <w:docPart w:val="GBC22222222222222222222222222222"/>
            </w:placeholder>
          </w:sdtPr>
          <w:sdtContent>
            <w:p w:rsidR="00ED2DC7" w:rsidRDefault="00957311">
              <w:r w:rsidRPr="00957311">
                <w:rPr>
                  <w:rFonts w:hint="eastAsia"/>
                </w:rPr>
                <w:t>本集团根据实际生产经营特点制定了具体会计政策和会计估计，主要体现在应收款项坏账准备的计提、研发费用资本化条件、收入确认和计量及除金融资产之外的非流动资产的减值、递延所得税资产的确认、固定资产的折旧政策、无形资产的可使用寿命和无形资产摊销等方面。</w:t>
              </w:r>
            </w:p>
          </w:sdtContent>
        </w:sdt>
      </w:sdtContent>
    </w:sdt>
    <w:p w:rsidR="00ED2DC7" w:rsidRDefault="00ED2DC7"/>
    <w:sdt>
      <w:sdtPr>
        <w:rPr>
          <w:rFonts w:asciiTheme="minorHAnsi" w:hAnsiTheme="minorHAnsi" w:cs="宋体"/>
          <w:b w:val="0"/>
          <w:bCs w:val="0"/>
          <w:kern w:val="0"/>
          <w:szCs w:val="22"/>
        </w:rPr>
        <w:alias w:val="模块:遵循企业会计准则的声明"/>
        <w:tag w:val="_GBC_a0afbb5b3a444bce84ee78a2a282cb28"/>
        <w:id w:val="-1870753567"/>
        <w:lock w:val="sdtLocked"/>
        <w:placeholder>
          <w:docPart w:val="GBC22222222222222222222222222222"/>
        </w:placeholder>
      </w:sdtPr>
      <w:sdtEndPr>
        <w:rPr>
          <w:rFonts w:ascii="宋体" w:hAnsi="宋体" w:cs="Times New Roman" w:hint="eastAsia"/>
          <w:kern w:val="2"/>
          <w:szCs w:val="21"/>
        </w:rPr>
      </w:sdtEndPr>
      <w:sdtContent>
        <w:p w:rsidR="00ED2DC7" w:rsidRDefault="00ED2DC7" w:rsidP="00036BDC">
          <w:pPr>
            <w:pStyle w:val="affffffffffffffffff1"/>
            <w:numPr>
              <w:ilvl w:val="0"/>
              <w:numId w:val="38"/>
            </w:numPr>
          </w:pPr>
          <w:r>
            <w:t>遵循企业会计准则的声明</w:t>
          </w:r>
        </w:p>
        <w:sdt>
          <w:sdtPr>
            <w:rPr>
              <w:rFonts w:hint="eastAsia"/>
              <w:szCs w:val="21"/>
            </w:rPr>
            <w:alias w:val="会计准则和会计制度"/>
            <w:tag w:val="_GBC_a350b889163a4ef3bb500c021e6a6b47"/>
            <w:id w:val="41336908"/>
            <w:lock w:val="sdtLocked"/>
            <w:placeholder>
              <w:docPart w:val="GBC22222222222222222222222222222"/>
            </w:placeholder>
          </w:sdtPr>
          <w:sdtContent>
            <w:p w:rsidR="00ED2DC7" w:rsidRDefault="00ED2DC7">
              <w:pPr>
                <w:rPr>
                  <w:szCs w:val="21"/>
                </w:rPr>
              </w:pPr>
              <w:r>
                <w:rPr>
                  <w:szCs w:val="21"/>
                </w:rPr>
                <w:t>本公司所编制的财务报表符合企业会计准则的要求，真实、完整地反映了公司的财务状况、经营成果、股东权益变动和现金流量等有关信息。</w:t>
              </w:r>
            </w:p>
          </w:sdtContent>
        </w:sdt>
      </w:sdtContent>
    </w:sdt>
    <w:p w:rsidR="00ED2DC7" w:rsidRDefault="00ED2DC7">
      <w:pPr>
        <w:rPr>
          <w:szCs w:val="21"/>
        </w:rPr>
      </w:pPr>
    </w:p>
    <w:sdt>
      <w:sdtPr>
        <w:rPr>
          <w:rFonts w:ascii="宋体" w:hAnsi="宋体" w:cs="宋体"/>
          <w:b w:val="0"/>
          <w:bCs w:val="0"/>
          <w:kern w:val="0"/>
          <w:szCs w:val="24"/>
        </w:rPr>
        <w:alias w:val="模块:会计期间"/>
        <w:tag w:val="_GBC_2d7f332501c8461ea731797db5588ee5"/>
        <w:id w:val="-2088292461"/>
        <w:lock w:val="sdtLocked"/>
        <w:placeholder>
          <w:docPart w:val="GBC22222222222222222222222222222"/>
        </w:placeholder>
      </w:sdtPr>
      <w:sdtEndPr>
        <w:rPr>
          <w:rFonts w:hint="eastAsia"/>
          <w:szCs w:val="21"/>
        </w:rPr>
      </w:sdtEndPr>
      <w:sdtContent>
        <w:p w:rsidR="00ED2DC7" w:rsidRDefault="00ED2DC7" w:rsidP="00036BDC">
          <w:pPr>
            <w:pStyle w:val="affffffffffffffffff1"/>
            <w:numPr>
              <w:ilvl w:val="0"/>
              <w:numId w:val="38"/>
            </w:numPr>
          </w:pPr>
          <w:r>
            <w:t>会计期间</w:t>
          </w:r>
        </w:p>
        <w:sdt>
          <w:sdtPr>
            <w:rPr>
              <w:rFonts w:hint="eastAsia"/>
              <w:szCs w:val="21"/>
            </w:rPr>
            <w:alias w:val="会计年度"/>
            <w:tag w:val="_GBC_fc896fba50b143f8a06984831f5d5600"/>
            <w:id w:val="1592353324"/>
            <w:lock w:val="sdtLocked"/>
            <w:placeholder>
              <w:docPart w:val="GBC22222222222222222222222222222"/>
            </w:placeholder>
          </w:sdtPr>
          <w:sdtContent>
            <w:p w:rsidR="00ED2DC7" w:rsidRDefault="00ED2DC7">
              <w:pPr>
                <w:rPr>
                  <w:szCs w:val="21"/>
                </w:rPr>
              </w:pPr>
              <w:r>
                <w:rPr>
                  <w:szCs w:val="21"/>
                </w:rPr>
                <w:t>本公司会计年度自公历1月1日起至12月31日止。</w:t>
              </w:r>
            </w:p>
          </w:sdtContent>
        </w:sdt>
      </w:sdtContent>
    </w:sdt>
    <w:p w:rsidR="00ED2DC7" w:rsidRDefault="00ED2DC7">
      <w:pPr>
        <w:rPr>
          <w:szCs w:val="21"/>
        </w:rPr>
      </w:pPr>
    </w:p>
    <w:sdt>
      <w:sdtPr>
        <w:rPr>
          <w:rFonts w:asciiTheme="minorHAnsi" w:hAnsiTheme="minorHAnsi" w:cs="宋体" w:hint="eastAsia"/>
          <w:b w:val="0"/>
          <w:bCs w:val="0"/>
          <w:kern w:val="0"/>
          <w:szCs w:val="22"/>
        </w:rPr>
        <w:alias w:val="模块:营业周期"/>
        <w:tag w:val="_GBC_b045784ca7904d52a060134ffec0d88c"/>
        <w:id w:val="479506032"/>
        <w:lock w:val="sdtLocked"/>
        <w:placeholder>
          <w:docPart w:val="GBC22222222222222222222222222222"/>
        </w:placeholder>
      </w:sdtPr>
      <w:sdtEndPr>
        <w:rPr>
          <w:rFonts w:ascii="宋体" w:hAnsi="宋体" w:cs="Times New Roman"/>
          <w:kern w:val="2"/>
          <w:szCs w:val="21"/>
        </w:rPr>
      </w:sdtEndPr>
      <w:sdtContent>
        <w:p w:rsidR="00ED2DC7" w:rsidRPr="00177887" w:rsidRDefault="00ED2DC7" w:rsidP="00036BDC">
          <w:pPr>
            <w:pStyle w:val="affffffffffffffffff1"/>
            <w:numPr>
              <w:ilvl w:val="0"/>
              <w:numId w:val="38"/>
            </w:numPr>
          </w:pPr>
          <w:r w:rsidRPr="00177887">
            <w:rPr>
              <w:rFonts w:hint="eastAsia"/>
            </w:rPr>
            <w:t>营业周期</w:t>
          </w:r>
        </w:p>
        <w:sdt>
          <w:sdtPr>
            <w:alias w:val="是否适用：营业周期[双击切换]"/>
            <w:tag w:val="_GBC_1668f7f497234cf886206b57711c4c87"/>
            <w:id w:val="1887756647"/>
            <w:lock w:val="sdtContentLocked"/>
            <w:placeholder>
              <w:docPart w:val="GBC22222222222222222222222222222"/>
            </w:placeholder>
          </w:sdtPr>
          <w:sdtContent>
            <w:p w:rsidR="00ED2DC7" w:rsidRDefault="00ED2DC7">
              <w:r>
                <w:fldChar w:fldCharType="begin"/>
              </w:r>
              <w:r w:rsidR="00812AD4">
                <w:instrText xml:space="preserve"> MACROBUTTON  SnrToggleCheckbox √适用 </w:instrText>
              </w:r>
              <w:r>
                <w:fldChar w:fldCharType="end"/>
              </w:r>
              <w:r>
                <w:fldChar w:fldCharType="begin"/>
              </w:r>
              <w:r w:rsidR="00812AD4">
                <w:instrText xml:space="preserve"> MACROBUTTON  SnrToggleCheckbox □不适用 </w:instrText>
              </w:r>
              <w:r>
                <w:fldChar w:fldCharType="end"/>
              </w:r>
            </w:p>
          </w:sdtContent>
        </w:sdt>
        <w:sdt>
          <w:sdtPr>
            <w:rPr>
              <w:szCs w:val="21"/>
            </w:rPr>
            <w:alias w:val="营业周期"/>
            <w:tag w:val="_GBC_e145e43187d9463889884f48e9e0b234"/>
            <w:id w:val="-1751497020"/>
            <w:lock w:val="sdtLocked"/>
            <w:placeholder>
              <w:docPart w:val="GBC22222222222222222222222222222"/>
            </w:placeholder>
          </w:sdtPr>
          <w:sdtContent>
            <w:p w:rsidR="00ED2DC7" w:rsidRDefault="008F04CF">
              <w:pPr>
                <w:rPr>
                  <w:szCs w:val="21"/>
                </w:rPr>
              </w:pPr>
              <w:r>
                <w:rPr>
                  <w:rFonts w:hint="eastAsia"/>
                  <w:szCs w:val="21"/>
                </w:rPr>
                <w:t>本公司以一年（</w:t>
              </w:r>
              <w:r>
                <w:rPr>
                  <w:szCs w:val="21"/>
                </w:rPr>
                <w:t>12</w:t>
              </w:r>
              <w:r>
                <w:rPr>
                  <w:rFonts w:hint="eastAsia"/>
                  <w:szCs w:val="21"/>
                </w:rPr>
                <w:t>个月）作为正常营业周期，并以营业周期作为资产和负债的流动性划分标准。</w:t>
              </w:r>
            </w:p>
          </w:sdtContent>
        </w:sdt>
      </w:sdtContent>
    </w:sdt>
    <w:p w:rsidR="00ED2DC7" w:rsidRDefault="00ED2DC7">
      <w:pPr>
        <w:rPr>
          <w:szCs w:val="21"/>
        </w:rPr>
      </w:pPr>
    </w:p>
    <w:sdt>
      <w:sdtPr>
        <w:rPr>
          <w:rFonts w:asciiTheme="minorHAnsi" w:hAnsiTheme="minorHAnsi" w:cs="宋体"/>
          <w:b w:val="0"/>
          <w:bCs w:val="0"/>
          <w:kern w:val="0"/>
          <w:szCs w:val="22"/>
        </w:rPr>
        <w:alias w:val="模块:记账本位币"/>
        <w:tag w:val="_GBC_13b1061968754e20bebf2099281ed54f"/>
        <w:id w:val="671300660"/>
        <w:lock w:val="sdtLocked"/>
        <w:placeholder>
          <w:docPart w:val="GBC22222222222222222222222222222"/>
        </w:placeholder>
      </w:sdtPr>
      <w:sdtEndPr>
        <w:rPr>
          <w:rFonts w:ascii="宋体" w:hAnsi="宋体" w:cs="Times New Roman" w:hint="eastAsia"/>
          <w:kern w:val="2"/>
          <w:szCs w:val="21"/>
        </w:rPr>
      </w:sdtEndPr>
      <w:sdtContent>
        <w:p w:rsidR="00ED2DC7" w:rsidRDefault="00ED2DC7" w:rsidP="00036BDC">
          <w:pPr>
            <w:pStyle w:val="affffffffffffffffff1"/>
            <w:numPr>
              <w:ilvl w:val="0"/>
              <w:numId w:val="38"/>
            </w:numPr>
          </w:pPr>
          <w:r>
            <w:t>记账本位币</w:t>
          </w:r>
        </w:p>
        <w:sdt>
          <w:sdtPr>
            <w:rPr>
              <w:rFonts w:hint="eastAsia"/>
              <w:szCs w:val="21"/>
            </w:rPr>
            <w:alias w:val="记账本位币"/>
            <w:tag w:val="_GBC_3749a2357eba44e8b968cb41cda75ff1"/>
            <w:id w:val="1793406332"/>
            <w:lock w:val="sdtLocked"/>
            <w:placeholder>
              <w:docPart w:val="GBC22222222222222222222222222222"/>
            </w:placeholder>
          </w:sdtPr>
          <w:sdtContent>
            <w:p w:rsidR="00ED2DC7" w:rsidRDefault="00ED2DC7">
              <w:pPr>
                <w:rPr>
                  <w:szCs w:val="21"/>
                </w:rPr>
              </w:pPr>
              <w:r>
                <w:rPr>
                  <w:szCs w:val="21"/>
                </w:rPr>
                <w:t>本公司的记账本位币为人民币。</w:t>
              </w:r>
            </w:p>
          </w:sdtContent>
        </w:sdt>
        <w:p w:rsidR="00ED2DC7" w:rsidRDefault="000D0A99">
          <w:pPr>
            <w:rPr>
              <w:szCs w:val="21"/>
            </w:rPr>
          </w:pPr>
        </w:p>
      </w:sdtContent>
    </w:sdt>
    <w:sdt>
      <w:sdtPr>
        <w:rPr>
          <w:rFonts w:asciiTheme="minorHAnsi" w:hAnsiTheme="minorHAnsi" w:cs="宋体"/>
          <w:b w:val="0"/>
          <w:bCs w:val="0"/>
          <w:kern w:val="0"/>
          <w:szCs w:val="22"/>
        </w:rPr>
        <w:alias w:val="模块:同一控制下和非同一控制下企业合并的会计处理方法"/>
        <w:tag w:val="_GBC_f44e1e76b2a3457ea36bc088adcbb4c3"/>
        <w:id w:val="-1862349024"/>
        <w:lock w:val="sdtLocked"/>
        <w:placeholder>
          <w:docPart w:val="GBC22222222222222222222222222222"/>
        </w:placeholder>
      </w:sdtPr>
      <w:sdtEndPr>
        <w:rPr>
          <w:rFonts w:ascii="宋体" w:hAnsi="宋体" w:cs="Times New Roman" w:hint="eastAsia"/>
          <w:kern w:val="2"/>
          <w:szCs w:val="21"/>
        </w:rPr>
      </w:sdtEndPr>
      <w:sdtContent>
        <w:p w:rsidR="00ED2DC7" w:rsidRDefault="00ED2DC7" w:rsidP="00036BDC">
          <w:pPr>
            <w:pStyle w:val="affffffffffffffffff1"/>
            <w:numPr>
              <w:ilvl w:val="0"/>
              <w:numId w:val="38"/>
            </w:numPr>
          </w:pPr>
          <w:r>
            <w:t>同一控制下和非同一控制下企业合并的会计处理方法</w:t>
          </w:r>
        </w:p>
        <w:sdt>
          <w:sdtPr>
            <w:rPr>
              <w:rFonts w:hint="eastAsia"/>
              <w:szCs w:val="21"/>
            </w:rPr>
            <w:alias w:val="是否适用：同一控制下和非同一控制下企业合并的会计处理方法[双击切换]"/>
            <w:tag w:val="_GBC_15953b39483a4ce1a5c96869e4a0ae9c"/>
            <w:id w:val="-240727655"/>
            <w:lock w:val="sdtContentLocked"/>
            <w:placeholder>
              <w:docPart w:val="GBC22222222222222222222222222222"/>
            </w:placeholder>
          </w:sdtPr>
          <w:sdtContent>
            <w:p w:rsidR="00ED2DC7" w:rsidRDefault="00ED2DC7">
              <w:pPr>
                <w:rPr>
                  <w:szCs w:val="21"/>
                </w:rPr>
              </w:pPr>
              <w:r>
                <w:rPr>
                  <w:szCs w:val="21"/>
                </w:rPr>
                <w:fldChar w:fldCharType="begin"/>
              </w:r>
              <w:r w:rsidR="00812AD4">
                <w:rPr>
                  <w:szCs w:val="21"/>
                </w:rPr>
                <w:instrText xml:space="preserve"> MACROBUTTON  SnrToggleCheckbox √适用 </w:instrText>
              </w:r>
              <w:r>
                <w:rPr>
                  <w:szCs w:val="21"/>
                </w:rPr>
                <w:fldChar w:fldCharType="end"/>
              </w:r>
              <w:r>
                <w:rPr>
                  <w:szCs w:val="21"/>
                </w:rPr>
                <w:fldChar w:fldCharType="begin"/>
              </w:r>
              <w:r w:rsidR="00812AD4">
                <w:rPr>
                  <w:szCs w:val="21"/>
                </w:rPr>
                <w:instrText xml:space="preserve"> MACROBUTTON  SnrToggleCheckbox □不适用 </w:instrText>
              </w:r>
              <w:r>
                <w:rPr>
                  <w:szCs w:val="21"/>
                </w:rPr>
                <w:fldChar w:fldCharType="end"/>
              </w:r>
            </w:p>
          </w:sdtContent>
        </w:sdt>
        <w:sdt>
          <w:sdtPr>
            <w:rPr>
              <w:rFonts w:hint="eastAsia"/>
              <w:szCs w:val="21"/>
            </w:rPr>
            <w:alias w:val="同一控制下和非同一控制下企业合并的会计处理方法"/>
            <w:tag w:val="_GBC_ef4b9a8d4ac34f45a0f61a23267bcbb8"/>
            <w:id w:val="1337273326"/>
            <w:lock w:val="sdtLocked"/>
            <w:placeholder>
              <w:docPart w:val="GBC22222222222222222222222222222"/>
            </w:placeholder>
          </w:sdtPr>
          <w:sdtContent>
            <w:p w:rsidR="00957311" w:rsidRPr="00957311" w:rsidRDefault="00957311" w:rsidP="00957311">
              <w:pPr>
                <w:rPr>
                  <w:szCs w:val="21"/>
                </w:rPr>
              </w:pPr>
              <w:r w:rsidRPr="00957311">
                <w:rPr>
                  <w:rFonts w:hint="eastAsia"/>
                  <w:szCs w:val="21"/>
                </w:rPr>
                <w:t>非同一控制下的企业合并</w:t>
              </w:r>
            </w:p>
            <w:p w:rsidR="00957311" w:rsidRPr="00957311" w:rsidRDefault="00957311" w:rsidP="00957311">
              <w:pPr>
                <w:rPr>
                  <w:szCs w:val="21"/>
                </w:rPr>
              </w:pPr>
            </w:p>
            <w:p w:rsidR="00957311" w:rsidRPr="00957311" w:rsidRDefault="00957311" w:rsidP="00957311">
              <w:pPr>
                <w:rPr>
                  <w:szCs w:val="21"/>
                </w:rPr>
              </w:pPr>
              <w:r w:rsidRPr="00957311">
                <w:rPr>
                  <w:rFonts w:hint="eastAsia"/>
                  <w:szCs w:val="21"/>
                </w:rPr>
                <w:t>参与合并的企业在合并前后不受同一方或相同多方最终控制的，为非同一控制下的企业合并。非同一控制下的企业合并，在购买日取得对其他参与合并企业控制权的一方为购买方，参与合并的其他企业为被购买方。购买日是指为购买方实际取得对被购买方控制权的日期。</w:t>
              </w:r>
            </w:p>
            <w:p w:rsidR="00957311" w:rsidRPr="00957311" w:rsidRDefault="00957311" w:rsidP="00957311">
              <w:pPr>
                <w:rPr>
                  <w:szCs w:val="21"/>
                </w:rPr>
              </w:pPr>
            </w:p>
            <w:p w:rsidR="00957311" w:rsidRPr="00957311" w:rsidRDefault="00957311" w:rsidP="00957311">
              <w:pPr>
                <w:rPr>
                  <w:szCs w:val="21"/>
                </w:rPr>
              </w:pPr>
              <w:r w:rsidRPr="00957311">
                <w:rPr>
                  <w:rFonts w:hint="eastAsia"/>
                  <w:szCs w:val="21"/>
                </w:rPr>
                <w:t>非同一控制下企业合并中所取得的被购买方可辨认资产、负债及或有负债在收购日以公允价值计量。</w:t>
              </w:r>
            </w:p>
            <w:p w:rsidR="00957311" w:rsidRPr="00957311" w:rsidRDefault="00957311" w:rsidP="00957311">
              <w:pPr>
                <w:rPr>
                  <w:szCs w:val="21"/>
                </w:rPr>
              </w:pPr>
            </w:p>
            <w:p w:rsidR="00957311" w:rsidRPr="00957311" w:rsidRDefault="00957311" w:rsidP="00957311">
              <w:pPr>
                <w:rPr>
                  <w:szCs w:val="21"/>
                </w:rPr>
              </w:pPr>
              <w:r w:rsidRPr="00957311">
                <w:rPr>
                  <w:rFonts w:hint="eastAsia"/>
                  <w:szCs w:val="21"/>
                </w:rPr>
                <w:t>支付的合并对价的公允价值与购买日之前持有的被购买方的股权的公允价值之和大于合并中取得的被购买方可辨认净资产公允价值份额的差额，确认为商誉，并以成本减去累计减值损失进行后续计量。合并成本支付的合并对价的公允价值与购买日之前持有的被购买方的股权的公允价值之和小于合并中取得的被购买方可辨认净资产公允价值份额的，对取得的被购买方各项可辨认资产、负债及或有负债的公允价值以及支付的合并对价的公允价值及购买日之前持有的被购买方的股权的公允价值的计量进行复核。</w:t>
              </w:r>
            </w:p>
            <w:p w:rsidR="00957311" w:rsidRPr="00957311" w:rsidRDefault="00957311" w:rsidP="00957311">
              <w:pPr>
                <w:rPr>
                  <w:szCs w:val="21"/>
                </w:rPr>
              </w:pPr>
            </w:p>
            <w:p w:rsidR="00957311" w:rsidRPr="00957311" w:rsidRDefault="00957311" w:rsidP="00957311">
              <w:pPr>
                <w:rPr>
                  <w:szCs w:val="21"/>
                </w:rPr>
              </w:pPr>
              <w:r w:rsidRPr="00957311">
                <w:rPr>
                  <w:rFonts w:hint="eastAsia"/>
                  <w:szCs w:val="21"/>
                </w:rPr>
                <w:t>复核后合并成本支付的合并对价的公允价值与购买日之前持有的被购买方的股权的公允价值之和仍小于合并中取得的被购买方可辨认净资产公允价值份额的，其差额计入当期损益。</w:t>
              </w:r>
            </w:p>
            <w:p w:rsidR="00ED2DC7" w:rsidRDefault="000D0A99" w:rsidP="00957311">
              <w:pPr>
                <w:rPr>
                  <w:szCs w:val="21"/>
                </w:rPr>
              </w:pPr>
            </w:p>
          </w:sdtContent>
        </w:sdt>
      </w:sdtContent>
    </w:sdt>
    <w:p w:rsidR="00ED2DC7" w:rsidRDefault="00ED2DC7">
      <w:pPr>
        <w:rPr>
          <w:szCs w:val="21"/>
        </w:rPr>
      </w:pPr>
    </w:p>
    <w:sdt>
      <w:sdtPr>
        <w:rPr>
          <w:rFonts w:ascii="宋体" w:hAnsi="宋体" w:cs="宋体"/>
          <w:b w:val="0"/>
          <w:bCs w:val="0"/>
          <w:kern w:val="0"/>
          <w:szCs w:val="24"/>
        </w:rPr>
        <w:alias w:val="模块:合并财务报表的编制方法"/>
        <w:tag w:val="_GBC_c23be25e527044f689b710dabd312b04"/>
        <w:id w:val="1954747189"/>
        <w:lock w:val="sdtLocked"/>
        <w:placeholder>
          <w:docPart w:val="GBC22222222222222222222222222222"/>
        </w:placeholder>
      </w:sdtPr>
      <w:sdtEndPr>
        <w:rPr>
          <w:rFonts w:hint="eastAsia"/>
          <w:szCs w:val="21"/>
        </w:rPr>
      </w:sdtEndPr>
      <w:sdtContent>
        <w:p w:rsidR="00ED2DC7" w:rsidRDefault="00ED2DC7" w:rsidP="00036BDC">
          <w:pPr>
            <w:pStyle w:val="affffffffffffffffff1"/>
            <w:numPr>
              <w:ilvl w:val="0"/>
              <w:numId w:val="38"/>
            </w:numPr>
          </w:pPr>
          <w:r>
            <w:t>合并财务报表的编制方法</w:t>
          </w:r>
        </w:p>
        <w:sdt>
          <w:sdtPr>
            <w:rPr>
              <w:rFonts w:hint="eastAsia"/>
              <w:szCs w:val="21"/>
            </w:rPr>
            <w:alias w:val="是否适用：合并财务报表的编制方法[双击切换]"/>
            <w:tag w:val="_GBC_dad2e053cc8c4461a681b3e4926c48a6"/>
            <w:id w:val="1709219585"/>
            <w:lock w:val="sdtContentLocked"/>
            <w:placeholder>
              <w:docPart w:val="GBC22222222222222222222222222222"/>
            </w:placeholder>
          </w:sdtPr>
          <w:sdtContent>
            <w:p w:rsidR="00ED2DC7" w:rsidRDefault="00ED2DC7">
              <w:pPr>
                <w:rPr>
                  <w:szCs w:val="21"/>
                </w:rPr>
              </w:pPr>
              <w:r>
                <w:rPr>
                  <w:szCs w:val="21"/>
                </w:rPr>
                <w:fldChar w:fldCharType="begin"/>
              </w:r>
              <w:r w:rsidR="00812AD4">
                <w:rPr>
                  <w:szCs w:val="21"/>
                </w:rPr>
                <w:instrText xml:space="preserve"> MACROBUTTON  SnrToggleCheckbox √适用 </w:instrText>
              </w:r>
              <w:r>
                <w:rPr>
                  <w:szCs w:val="21"/>
                </w:rPr>
                <w:fldChar w:fldCharType="end"/>
              </w:r>
              <w:r>
                <w:rPr>
                  <w:szCs w:val="21"/>
                </w:rPr>
                <w:fldChar w:fldCharType="begin"/>
              </w:r>
              <w:r w:rsidR="00812AD4">
                <w:rPr>
                  <w:szCs w:val="21"/>
                </w:rPr>
                <w:instrText xml:space="preserve"> MACROBUTTON  SnrToggleCheckbox □不适用 </w:instrText>
              </w:r>
              <w:r>
                <w:rPr>
                  <w:szCs w:val="21"/>
                </w:rPr>
                <w:fldChar w:fldCharType="end"/>
              </w:r>
            </w:p>
          </w:sdtContent>
        </w:sdt>
        <w:sdt>
          <w:sdtPr>
            <w:rPr>
              <w:rFonts w:hint="eastAsia"/>
              <w:szCs w:val="21"/>
            </w:rPr>
            <w:alias w:val="企业合并及合并财务报表的说明"/>
            <w:tag w:val="_GBC_5201beca0c0944939b4a0d8d100d6fcf"/>
            <w:id w:val="1505623764"/>
            <w:lock w:val="sdtLocked"/>
            <w:placeholder>
              <w:docPart w:val="GBC22222222222222222222222222222"/>
            </w:placeholder>
          </w:sdtPr>
          <w:sdtContent>
            <w:p w:rsidR="00957311" w:rsidRPr="00957311" w:rsidRDefault="00957311" w:rsidP="00957311">
              <w:pPr>
                <w:rPr>
                  <w:szCs w:val="21"/>
                </w:rPr>
              </w:pPr>
              <w:r w:rsidRPr="00957311">
                <w:rPr>
                  <w:rFonts w:hint="eastAsia"/>
                  <w:szCs w:val="21"/>
                </w:rPr>
                <w:t>合并财务报表的合并范围以控制为基础确定，包括本公司及全部子公司截至</w:t>
              </w:r>
              <w:r w:rsidRPr="00957311">
                <w:rPr>
                  <w:szCs w:val="21"/>
                </w:rPr>
                <w:t>2019年6月30日止年度的财务报表。子公司，是指被本公司控制的主体。</w:t>
              </w:r>
            </w:p>
            <w:p w:rsidR="00957311" w:rsidRPr="00957311" w:rsidRDefault="00957311" w:rsidP="00957311">
              <w:pPr>
                <w:rPr>
                  <w:szCs w:val="21"/>
                </w:rPr>
              </w:pPr>
            </w:p>
            <w:p w:rsidR="00957311" w:rsidRPr="00957311" w:rsidRDefault="00957311" w:rsidP="00957311">
              <w:pPr>
                <w:rPr>
                  <w:szCs w:val="21"/>
                </w:rPr>
              </w:pPr>
              <w:r w:rsidRPr="00957311">
                <w:rPr>
                  <w:rFonts w:hint="eastAsia"/>
                  <w:szCs w:val="21"/>
                </w:rPr>
                <w:t>根据中华人民共和国财政部</w:t>
              </w:r>
              <w:r w:rsidRPr="00957311">
                <w:rPr>
                  <w:szCs w:val="21"/>
                </w:rPr>
                <w:t>(以下简称“财政部”)关于修订印发《企业会计准则第14号——收入》(财会〔2017〕22号)的通知，本集团之子公司畅捷通信息技术股份有限公司(以下简称“畅捷通”)，作为在境外上市并采用国际财务报告准则编制财务报表的企业，自2018年1月1日起适用修订后收入准则(以下简称“新收入准则”)。</w:t>
              </w:r>
            </w:p>
            <w:p w:rsidR="00957311" w:rsidRPr="00957311" w:rsidRDefault="00957311" w:rsidP="00957311">
              <w:pPr>
                <w:rPr>
                  <w:szCs w:val="21"/>
                </w:rPr>
              </w:pPr>
            </w:p>
            <w:p w:rsidR="00957311" w:rsidRPr="00957311" w:rsidRDefault="00957311" w:rsidP="00957311">
              <w:pPr>
                <w:rPr>
                  <w:szCs w:val="21"/>
                </w:rPr>
              </w:pPr>
              <w:r w:rsidRPr="00957311">
                <w:rPr>
                  <w:rFonts w:hint="eastAsia"/>
                  <w:szCs w:val="21"/>
                </w:rPr>
                <w:lastRenderedPageBreak/>
                <w:t>除以上事项外，编制合并财务报表时，子公司采用与本公司一致的会计年度和会计政策。本集团内部各公司之间的所有交易产生的资产、负债、权益、收入、费用和现金流量于合并时全额抵消。</w:t>
              </w:r>
            </w:p>
            <w:p w:rsidR="00957311" w:rsidRPr="00957311" w:rsidRDefault="00957311" w:rsidP="00957311">
              <w:pPr>
                <w:rPr>
                  <w:szCs w:val="21"/>
                </w:rPr>
              </w:pPr>
            </w:p>
            <w:p w:rsidR="00957311" w:rsidRPr="00957311" w:rsidRDefault="00957311" w:rsidP="00957311">
              <w:pPr>
                <w:rPr>
                  <w:szCs w:val="21"/>
                </w:rPr>
              </w:pPr>
              <w:r w:rsidRPr="00957311">
                <w:rPr>
                  <w:rFonts w:hint="eastAsia"/>
                  <w:szCs w:val="21"/>
                </w:rPr>
                <w:t>子公司少数股东分担的当期亏损超过了少数股东在该子公司期初股东权益中所享有的份额的，其余额仍冲减少数股东权益。</w:t>
              </w:r>
            </w:p>
            <w:p w:rsidR="00957311" w:rsidRPr="00957311" w:rsidRDefault="00957311" w:rsidP="00957311">
              <w:pPr>
                <w:rPr>
                  <w:szCs w:val="21"/>
                </w:rPr>
              </w:pPr>
            </w:p>
            <w:p w:rsidR="00957311" w:rsidRPr="00957311" w:rsidRDefault="00957311" w:rsidP="00957311">
              <w:pPr>
                <w:rPr>
                  <w:szCs w:val="21"/>
                </w:rPr>
              </w:pPr>
              <w:r w:rsidRPr="00957311">
                <w:rPr>
                  <w:rFonts w:hint="eastAsia"/>
                  <w:szCs w:val="21"/>
                </w:rPr>
                <w:t>对于通过非同一控制下的企业合并取得的子公司，被购买方的经营成果和现金流量自本集团取得控制权之日起纳入合并财务报表，直至本集团对其控制权终止。在编制合并财务报表时，以购买日确定的各项可辨认资产、负债及或有负债的公允价值为基础对子公司的财务报表进行调整。</w:t>
              </w:r>
            </w:p>
            <w:p w:rsidR="00957311" w:rsidRPr="00957311" w:rsidRDefault="00957311" w:rsidP="00957311">
              <w:pPr>
                <w:rPr>
                  <w:szCs w:val="21"/>
                </w:rPr>
              </w:pPr>
            </w:p>
            <w:p w:rsidR="00957311" w:rsidRPr="00957311" w:rsidRDefault="00957311" w:rsidP="00957311">
              <w:pPr>
                <w:rPr>
                  <w:szCs w:val="21"/>
                </w:rPr>
              </w:pPr>
              <w:r w:rsidRPr="00957311">
                <w:rPr>
                  <w:rFonts w:hint="eastAsia"/>
                  <w:szCs w:val="21"/>
                </w:rPr>
                <w:t>对于通过同一控制下的企业合并取得的子公司，被合并方的经营成果和现金流量自合并当期期初纳入合并财务报表。编制比较合并财务报表时，对前期财务报表的相关项目进行调整，视同合并后形成的报告主体自最终控制方开始实施控制时一直存在。</w:t>
              </w:r>
            </w:p>
            <w:p w:rsidR="00957311" w:rsidRPr="00957311" w:rsidRDefault="00957311" w:rsidP="00957311">
              <w:pPr>
                <w:rPr>
                  <w:szCs w:val="21"/>
                </w:rPr>
              </w:pPr>
            </w:p>
            <w:p w:rsidR="00ED2DC7" w:rsidRDefault="00957311" w:rsidP="00957311">
              <w:pPr>
                <w:rPr>
                  <w:szCs w:val="21"/>
                </w:rPr>
              </w:pPr>
              <w:r w:rsidRPr="00957311">
                <w:rPr>
                  <w:rFonts w:hint="eastAsia"/>
                  <w:szCs w:val="21"/>
                </w:rPr>
                <w:t>如果相关事实和情况的变化导致对控制要素中的一项或多项发生变化的，本集团重新评估是否控制被投资方。</w:t>
              </w:r>
            </w:p>
          </w:sdtContent>
        </w:sdt>
      </w:sdtContent>
    </w:sdt>
    <w:p w:rsidR="00ED2DC7" w:rsidRDefault="00ED2DC7">
      <w:pPr>
        <w:rPr>
          <w:szCs w:val="21"/>
        </w:rPr>
      </w:pPr>
    </w:p>
    <w:sdt>
      <w:sdtPr>
        <w:rPr>
          <w:rFonts w:ascii="宋体" w:hAnsi="宋体" w:cs="宋体" w:hint="eastAsia"/>
          <w:b w:val="0"/>
          <w:bCs w:val="0"/>
          <w:kern w:val="0"/>
          <w:szCs w:val="21"/>
        </w:rPr>
        <w:alias w:val="模块:合营安排分类及共同经营会计处理方法"/>
        <w:tag w:val="_GBC_a6643877dd0341e39dee12c064dc6fdc"/>
        <w:id w:val="-1251891971"/>
        <w:lock w:val="sdtLocked"/>
        <w:placeholder>
          <w:docPart w:val="GBC22222222222222222222222222222"/>
        </w:placeholder>
      </w:sdtPr>
      <w:sdtEndPr>
        <w:rPr>
          <w:b/>
          <w:bCs/>
        </w:rPr>
      </w:sdtEndPr>
      <w:sdtContent>
        <w:p w:rsidR="00ED2DC7" w:rsidRDefault="00ED2DC7" w:rsidP="00036BDC">
          <w:pPr>
            <w:pStyle w:val="affffffffffffffffff1"/>
            <w:numPr>
              <w:ilvl w:val="0"/>
              <w:numId w:val="38"/>
            </w:numPr>
            <w:rPr>
              <w:szCs w:val="21"/>
            </w:rPr>
          </w:pPr>
          <w:r>
            <w:rPr>
              <w:rFonts w:hint="eastAsia"/>
              <w:szCs w:val="21"/>
            </w:rPr>
            <w:t>合营安排</w:t>
          </w:r>
          <w:r>
            <w:rPr>
              <w:rFonts w:hint="eastAsia"/>
            </w:rPr>
            <w:t>分类</w:t>
          </w:r>
          <w:r>
            <w:rPr>
              <w:rFonts w:hint="eastAsia"/>
              <w:szCs w:val="21"/>
            </w:rPr>
            <w:t>及共同经营会计处理方法</w:t>
          </w:r>
        </w:p>
        <w:sdt>
          <w:sdtPr>
            <w:rPr>
              <w:rFonts w:hint="eastAsia"/>
            </w:rPr>
            <w:alias w:val="是否适用：合营安排分类及共同经营会计处理方法[双击切换]"/>
            <w:tag w:val="_GBC_f94c8519453541fe9de852d3064d61d5"/>
            <w:id w:val="722181959"/>
            <w:lock w:val="sdtContentLocked"/>
            <w:placeholder>
              <w:docPart w:val="GBC22222222222222222222222222222"/>
            </w:placeholder>
          </w:sdtPr>
          <w:sdtContent>
            <w:p w:rsidR="00ED2DC7" w:rsidRDefault="00ED2DC7" w:rsidP="00812AD4">
              <w:pPr>
                <w:rPr>
                  <w:b/>
                  <w:bCs/>
                  <w:szCs w:val="21"/>
                </w:rPr>
              </w:pPr>
              <w:r>
                <w:fldChar w:fldCharType="begin"/>
              </w:r>
              <w:r w:rsidR="00812AD4">
                <w:instrText xml:space="preserve"> MACROBUTTON  SnrToggleCheckbox □适用 </w:instrText>
              </w:r>
              <w:r>
                <w:fldChar w:fldCharType="end"/>
              </w:r>
              <w:r>
                <w:fldChar w:fldCharType="begin"/>
              </w:r>
              <w:r w:rsidR="00812AD4">
                <w:instrText xml:space="preserve"> MACROBUTTON  SnrToggleCheckbox √不适用 </w:instrText>
              </w:r>
              <w:r>
                <w:fldChar w:fldCharType="end"/>
              </w:r>
            </w:p>
          </w:sdtContent>
        </w:sdt>
      </w:sdtContent>
    </w:sdt>
    <w:p w:rsidR="00ED2DC7" w:rsidRDefault="00ED2DC7">
      <w:pPr>
        <w:rPr>
          <w:szCs w:val="21"/>
        </w:rPr>
      </w:pPr>
    </w:p>
    <w:sdt>
      <w:sdtPr>
        <w:rPr>
          <w:rFonts w:ascii="宋体" w:hAnsi="宋体" w:cs="宋体"/>
          <w:b w:val="0"/>
          <w:bCs w:val="0"/>
          <w:kern w:val="0"/>
          <w:szCs w:val="24"/>
        </w:rPr>
        <w:alias w:val="模块:现金及现金等价物的确定标准"/>
        <w:tag w:val="_GBC_9f2dfe6521c4434b9ad3e7bb1a8a52b7"/>
        <w:id w:val="193585588"/>
        <w:lock w:val="sdtLocked"/>
        <w:placeholder>
          <w:docPart w:val="GBC22222222222222222222222222222"/>
        </w:placeholder>
      </w:sdtPr>
      <w:sdtEndPr>
        <w:rPr>
          <w:rFonts w:hint="eastAsia"/>
          <w:szCs w:val="21"/>
        </w:rPr>
      </w:sdtEndPr>
      <w:sdtContent>
        <w:p w:rsidR="00ED2DC7" w:rsidRDefault="00ED2DC7" w:rsidP="00036BDC">
          <w:pPr>
            <w:pStyle w:val="affffffffffffffffff1"/>
            <w:numPr>
              <w:ilvl w:val="0"/>
              <w:numId w:val="38"/>
            </w:numPr>
          </w:pPr>
          <w:r>
            <w:t>现金及现金等价物的确定标准</w:t>
          </w:r>
        </w:p>
        <w:sdt>
          <w:sdtPr>
            <w:rPr>
              <w:rFonts w:hint="eastAsia"/>
              <w:szCs w:val="21"/>
            </w:rPr>
            <w:alias w:val="现金及现金等价物的确定标准"/>
            <w:tag w:val="_GBC_54f6bc3e44e840bc85cb3872600823b5"/>
            <w:id w:val="-445856532"/>
            <w:lock w:val="sdtLocked"/>
            <w:placeholder>
              <w:docPart w:val="GBC22222222222222222222222222222"/>
            </w:placeholder>
          </w:sdtPr>
          <w:sdtContent>
            <w:p w:rsidR="00ED2DC7" w:rsidRDefault="008F04CF">
              <w:pPr>
                <w:rPr>
                  <w:szCs w:val="21"/>
                </w:rPr>
              </w:pPr>
              <w:r w:rsidRPr="00177887">
                <w:rPr>
                  <w:rFonts w:hint="eastAsia"/>
                  <w:szCs w:val="21"/>
                </w:rPr>
                <w:t>现金，是指本集团的库存现金以及可以随时用于支付的存款；现金等价物，是指本集团持有的期限短、流动性强、易于转换为已知金额的现金、价值变动风险很小的投资。</w:t>
              </w:r>
            </w:p>
          </w:sdtContent>
        </w:sdt>
      </w:sdtContent>
    </w:sdt>
    <w:p w:rsidR="00ED2DC7" w:rsidRDefault="00ED2DC7">
      <w:pPr>
        <w:rPr>
          <w:szCs w:val="21"/>
        </w:rPr>
      </w:pPr>
    </w:p>
    <w:sdt>
      <w:sdtPr>
        <w:rPr>
          <w:rFonts w:asciiTheme="minorHAnsi" w:hAnsiTheme="minorHAnsi" w:cs="宋体"/>
          <w:b w:val="0"/>
          <w:bCs w:val="0"/>
          <w:kern w:val="0"/>
          <w:szCs w:val="22"/>
        </w:rPr>
        <w:alias w:val="模块:外币业务和外币报表折算"/>
        <w:tag w:val="_GBC_cff1e1487c3242a8a1be0ce9c2b7a554"/>
        <w:id w:val="-1595238016"/>
        <w:lock w:val="sdtLocked"/>
        <w:placeholder>
          <w:docPart w:val="GBC22222222222222222222222222222"/>
        </w:placeholder>
      </w:sdtPr>
      <w:sdtEndPr>
        <w:rPr>
          <w:rFonts w:ascii="宋体" w:hAnsi="宋体" w:cs="Times New Roman" w:hint="eastAsia"/>
          <w:kern w:val="2"/>
          <w:szCs w:val="21"/>
        </w:rPr>
      </w:sdtEndPr>
      <w:sdtContent>
        <w:p w:rsidR="00ED2DC7" w:rsidRDefault="00ED2DC7" w:rsidP="00036BDC">
          <w:pPr>
            <w:pStyle w:val="affffffffffffffffff1"/>
            <w:numPr>
              <w:ilvl w:val="0"/>
              <w:numId w:val="38"/>
            </w:numPr>
          </w:pPr>
          <w:r>
            <w:t>外币业务和外币报表折算</w:t>
          </w:r>
        </w:p>
        <w:sdt>
          <w:sdtPr>
            <w:rPr>
              <w:rFonts w:hint="eastAsia"/>
              <w:szCs w:val="21"/>
            </w:rPr>
            <w:alias w:val="是否适用：外币业务和外币报表折算[双击切换]"/>
            <w:tag w:val="_GBC_cd1fc5c05f5e49ed9ea2fffe41d0d113"/>
            <w:id w:val="537480197"/>
            <w:lock w:val="sdtContentLocked"/>
            <w:placeholder>
              <w:docPart w:val="GBC22222222222222222222222222222"/>
            </w:placeholder>
          </w:sdtPr>
          <w:sdtContent>
            <w:p w:rsidR="00ED2DC7" w:rsidRDefault="00ED2DC7">
              <w:pPr>
                <w:rPr>
                  <w:szCs w:val="21"/>
                </w:rPr>
              </w:pPr>
              <w:r>
                <w:rPr>
                  <w:szCs w:val="21"/>
                </w:rPr>
                <w:fldChar w:fldCharType="begin"/>
              </w:r>
              <w:r w:rsidR="00812AD4">
                <w:rPr>
                  <w:szCs w:val="21"/>
                </w:rPr>
                <w:instrText xml:space="preserve"> MACROBUTTON  SnrToggleCheckbox √适用 </w:instrText>
              </w:r>
              <w:r>
                <w:rPr>
                  <w:szCs w:val="21"/>
                </w:rPr>
                <w:fldChar w:fldCharType="end"/>
              </w:r>
              <w:r>
                <w:rPr>
                  <w:szCs w:val="21"/>
                </w:rPr>
                <w:fldChar w:fldCharType="begin"/>
              </w:r>
              <w:r w:rsidR="00812AD4">
                <w:rPr>
                  <w:szCs w:val="21"/>
                </w:rPr>
                <w:instrText xml:space="preserve"> MACROBUTTON  SnrToggleCheckbox □不适用 </w:instrText>
              </w:r>
              <w:r>
                <w:rPr>
                  <w:szCs w:val="21"/>
                </w:rPr>
                <w:fldChar w:fldCharType="end"/>
              </w:r>
            </w:p>
          </w:sdtContent>
        </w:sdt>
        <w:sdt>
          <w:sdtPr>
            <w:rPr>
              <w:rFonts w:hint="eastAsia"/>
              <w:szCs w:val="21"/>
            </w:rPr>
            <w:alias w:val="外币业务核算方法"/>
            <w:tag w:val="_GBC_1703fe5fc56b42a8972c0906a4ac6d6b"/>
            <w:id w:val="-1248952615"/>
            <w:lock w:val="sdtLocked"/>
            <w:placeholder>
              <w:docPart w:val="GBC22222222222222222222222222222"/>
            </w:placeholder>
          </w:sdtPr>
          <w:sdtContent>
            <w:p w:rsidR="00957311" w:rsidRPr="00957311" w:rsidRDefault="00957311" w:rsidP="00957311">
              <w:pPr>
                <w:rPr>
                  <w:szCs w:val="21"/>
                </w:rPr>
              </w:pPr>
              <w:r w:rsidRPr="00957311">
                <w:rPr>
                  <w:rFonts w:hint="eastAsia"/>
                  <w:szCs w:val="21"/>
                </w:rPr>
                <w:t>本集团对于发生的外币交易，将外币金额折算为记账本位币金额。</w:t>
              </w:r>
            </w:p>
            <w:p w:rsidR="00957311" w:rsidRPr="00957311" w:rsidRDefault="00957311" w:rsidP="00957311">
              <w:pPr>
                <w:rPr>
                  <w:szCs w:val="21"/>
                </w:rPr>
              </w:pPr>
            </w:p>
            <w:p w:rsidR="00957311" w:rsidRPr="00957311" w:rsidRDefault="00957311" w:rsidP="00957311">
              <w:pPr>
                <w:rPr>
                  <w:szCs w:val="21"/>
                </w:rPr>
              </w:pPr>
              <w:r w:rsidRPr="00957311">
                <w:rPr>
                  <w:rFonts w:hint="eastAsia"/>
                  <w:szCs w:val="21"/>
                </w:rPr>
                <w:t>外币交易在初始确认时，采用交易发生当期平均汇率将外币金额折算为记账本位币金额。于资产负债表日，对于外币货币性项目采用资产负债表日即期汇率折算。由此产生的结算和货币性项目折算差额，除属于与购建符合资本化条件的资产相关的外币专门借款产生的汇兑差额按照借款费用资本化的原则处理之外，均计入当期损益。以历史成本计量的外币非货币性项目，仍采用交易发生日的即期汇率折算，不改变其记账本位币金额。以公允价值计量的外币非货币性项目，采用公允价值确定日的即期汇率折算，由此产生的差额根据非货币性项目的性质计入当期损益或其他综合收益。</w:t>
              </w:r>
            </w:p>
            <w:p w:rsidR="00957311" w:rsidRPr="00957311" w:rsidRDefault="00957311" w:rsidP="00957311">
              <w:pPr>
                <w:rPr>
                  <w:szCs w:val="21"/>
                </w:rPr>
              </w:pPr>
            </w:p>
            <w:p w:rsidR="00957311" w:rsidRPr="00957311" w:rsidRDefault="00957311" w:rsidP="00957311">
              <w:pPr>
                <w:rPr>
                  <w:szCs w:val="21"/>
                </w:rPr>
              </w:pPr>
              <w:r w:rsidRPr="00957311">
                <w:rPr>
                  <w:rFonts w:hint="eastAsia"/>
                  <w:szCs w:val="21"/>
                </w:rPr>
                <w:t>对于境外经营，本集团在编制财务报表时将其记账本位币折算为人民币：对资产负债表中的资产和负债项目，采用资产负债表日的即期汇率折算，股东权益项目除“未分配利润”项目外，其他项目采用发生时的即期汇率折算；利润表中的收入和费用项目，采用交易发生当期平均汇率折算。按照上述折算产生的外币财务报表折算差额，确认为其他综合收益。处置境外经营时，将与该境外经营相关的其他综合收益转入处置当期损益，部分处置的按处置比例计算。</w:t>
              </w:r>
            </w:p>
            <w:p w:rsidR="00957311" w:rsidRPr="00957311" w:rsidRDefault="00957311" w:rsidP="00957311">
              <w:pPr>
                <w:rPr>
                  <w:szCs w:val="21"/>
                </w:rPr>
              </w:pPr>
            </w:p>
            <w:p w:rsidR="00ED2DC7" w:rsidRDefault="00957311" w:rsidP="00957311">
              <w:pPr>
                <w:rPr>
                  <w:szCs w:val="21"/>
                </w:rPr>
              </w:pPr>
              <w:r w:rsidRPr="00957311">
                <w:rPr>
                  <w:rFonts w:hint="eastAsia"/>
                  <w:szCs w:val="21"/>
                </w:rPr>
                <w:t>外币现金流量以及境外子公司的现金流量，采用现金流量发生当期平均汇率折算。汇率变动对现金的影响额作为调节项目，在现金流量表中单独列报。</w:t>
              </w:r>
            </w:p>
          </w:sdtContent>
        </w:sdt>
        <w:p w:rsidR="00ED2DC7" w:rsidRDefault="000D0A99">
          <w:pPr>
            <w:rPr>
              <w:szCs w:val="21"/>
            </w:rPr>
          </w:pPr>
        </w:p>
      </w:sdtContent>
    </w:sdt>
    <w:sdt>
      <w:sdtPr>
        <w:rPr>
          <w:rFonts w:ascii="宋体" w:hAnsi="宋体" w:cs="宋体"/>
          <w:b w:val="0"/>
          <w:bCs w:val="0"/>
          <w:kern w:val="0"/>
          <w:szCs w:val="24"/>
        </w:rPr>
        <w:alias w:val="模块:金融工具"/>
        <w:tag w:val="_GBC_4b3a058b038b41689d379e6a2726a904"/>
        <w:id w:val="1386913659"/>
        <w:lock w:val="sdtLocked"/>
        <w:placeholder>
          <w:docPart w:val="GBC22222222222222222222222222222"/>
        </w:placeholder>
      </w:sdtPr>
      <w:sdtEndPr>
        <w:rPr>
          <w:rFonts w:hint="eastAsia"/>
          <w:szCs w:val="21"/>
        </w:rPr>
      </w:sdtEndPr>
      <w:sdtContent>
        <w:p w:rsidR="00ED2DC7" w:rsidRDefault="00ED2DC7" w:rsidP="00036BDC">
          <w:pPr>
            <w:pStyle w:val="affffffffffffffffff1"/>
            <w:numPr>
              <w:ilvl w:val="0"/>
              <w:numId w:val="38"/>
            </w:numPr>
          </w:pPr>
          <w:r>
            <w:t>金融工具</w:t>
          </w:r>
        </w:p>
        <w:sdt>
          <w:sdtPr>
            <w:rPr>
              <w:rFonts w:hint="eastAsia"/>
              <w:szCs w:val="21"/>
            </w:rPr>
            <w:alias w:val="是否适用：金融工具_重要会计政策和估计[双击切换]"/>
            <w:tag w:val="_GBC_285bdf73a629411f9c5d05731712b876"/>
            <w:id w:val="848293283"/>
            <w:lock w:val="sdtContentLocked"/>
            <w:placeholder>
              <w:docPart w:val="GBC22222222222222222222222222222"/>
            </w:placeholder>
          </w:sdtPr>
          <w:sdtContent>
            <w:p w:rsidR="00ED2DC7" w:rsidRDefault="00ED2DC7">
              <w:pPr>
                <w:rPr>
                  <w:szCs w:val="21"/>
                </w:rPr>
              </w:pPr>
              <w:r>
                <w:rPr>
                  <w:szCs w:val="21"/>
                </w:rPr>
                <w:fldChar w:fldCharType="begin"/>
              </w:r>
              <w:r w:rsidR="00812AD4">
                <w:rPr>
                  <w:szCs w:val="21"/>
                </w:rPr>
                <w:instrText xml:space="preserve"> MACROBUTTON  SnrToggleCheckbox √适用 </w:instrText>
              </w:r>
              <w:r>
                <w:rPr>
                  <w:szCs w:val="21"/>
                </w:rPr>
                <w:fldChar w:fldCharType="end"/>
              </w:r>
              <w:r>
                <w:rPr>
                  <w:szCs w:val="21"/>
                </w:rPr>
                <w:fldChar w:fldCharType="begin"/>
              </w:r>
              <w:r w:rsidR="00812AD4">
                <w:rPr>
                  <w:szCs w:val="21"/>
                </w:rPr>
                <w:instrText xml:space="preserve"> MACROBUTTON  SnrToggleCheckbox □不适用 </w:instrText>
              </w:r>
              <w:r>
                <w:rPr>
                  <w:szCs w:val="21"/>
                </w:rPr>
                <w:fldChar w:fldCharType="end"/>
              </w:r>
            </w:p>
          </w:sdtContent>
        </w:sdt>
        <w:sdt>
          <w:sdtPr>
            <w:rPr>
              <w:rFonts w:hint="eastAsia"/>
              <w:szCs w:val="21"/>
            </w:rPr>
            <w:alias w:val="金融资产和金融负债的核算方法"/>
            <w:tag w:val="_GBC_b358067bbe2a49bf880c383a5db50d8a"/>
            <w:id w:val="33707872"/>
            <w:lock w:val="sdtLocked"/>
            <w:placeholder>
              <w:docPart w:val="GBC22222222222222222222222222222"/>
            </w:placeholder>
          </w:sdtPr>
          <w:sdtContent>
            <w:p w:rsidR="00957311" w:rsidRPr="00957311" w:rsidRDefault="00957311" w:rsidP="00957311">
              <w:pPr>
                <w:rPr>
                  <w:szCs w:val="21"/>
                </w:rPr>
              </w:pPr>
              <w:r w:rsidRPr="00957311">
                <w:rPr>
                  <w:rFonts w:hint="eastAsia"/>
                  <w:szCs w:val="21"/>
                </w:rPr>
                <w:t>本公司自</w:t>
              </w:r>
              <w:r w:rsidRPr="00957311">
                <w:rPr>
                  <w:szCs w:val="21"/>
                </w:rPr>
                <w:t xml:space="preserve"> 2019 年 1 月 1 日起执行的金融工具政策如下：</w:t>
              </w:r>
            </w:p>
            <w:p w:rsidR="00957311" w:rsidRPr="00957311" w:rsidRDefault="00957311" w:rsidP="00957311">
              <w:pPr>
                <w:rPr>
                  <w:szCs w:val="21"/>
                </w:rPr>
              </w:pPr>
            </w:p>
            <w:p w:rsidR="00957311" w:rsidRPr="00957311" w:rsidRDefault="00957311" w:rsidP="00957311">
              <w:pPr>
                <w:rPr>
                  <w:szCs w:val="21"/>
                </w:rPr>
              </w:pPr>
              <w:r w:rsidRPr="00957311">
                <w:rPr>
                  <w:rFonts w:hint="eastAsia"/>
                  <w:szCs w:val="21"/>
                </w:rPr>
                <w:t>金融工具，是指形成一个企业的金融资产，并形成其他单位的金融负债或权益工具的合同。</w:t>
              </w:r>
            </w:p>
            <w:p w:rsidR="00957311" w:rsidRPr="00957311" w:rsidRDefault="00957311" w:rsidP="00957311">
              <w:pPr>
                <w:rPr>
                  <w:szCs w:val="21"/>
                </w:rPr>
              </w:pPr>
            </w:p>
            <w:p w:rsidR="00957311" w:rsidRPr="00957311" w:rsidRDefault="00957311" w:rsidP="00957311">
              <w:pPr>
                <w:rPr>
                  <w:szCs w:val="21"/>
                </w:rPr>
              </w:pPr>
              <w:r w:rsidRPr="00957311">
                <w:rPr>
                  <w:rFonts w:hint="eastAsia"/>
                  <w:szCs w:val="21"/>
                </w:rPr>
                <w:t>金融工具的确认和终止确认</w:t>
              </w:r>
            </w:p>
            <w:p w:rsidR="00957311" w:rsidRPr="00957311" w:rsidRDefault="00957311" w:rsidP="00957311">
              <w:pPr>
                <w:rPr>
                  <w:szCs w:val="21"/>
                </w:rPr>
              </w:pPr>
            </w:p>
            <w:p w:rsidR="00957311" w:rsidRPr="00957311" w:rsidRDefault="00957311" w:rsidP="00957311">
              <w:pPr>
                <w:rPr>
                  <w:szCs w:val="21"/>
                </w:rPr>
              </w:pPr>
              <w:r w:rsidRPr="00957311">
                <w:rPr>
                  <w:rFonts w:hint="eastAsia"/>
                  <w:szCs w:val="21"/>
                </w:rPr>
                <w:t>本集团于成为金融工具合同的一方时确认一项金融资产或金融负债。</w:t>
              </w:r>
            </w:p>
            <w:p w:rsidR="00957311" w:rsidRPr="00957311" w:rsidRDefault="00957311" w:rsidP="00957311">
              <w:pPr>
                <w:rPr>
                  <w:szCs w:val="21"/>
                </w:rPr>
              </w:pPr>
            </w:p>
            <w:p w:rsidR="00957311" w:rsidRPr="00957311" w:rsidRDefault="00957311" w:rsidP="00957311">
              <w:pPr>
                <w:rPr>
                  <w:szCs w:val="21"/>
                </w:rPr>
              </w:pPr>
              <w:r w:rsidRPr="00957311">
                <w:rPr>
                  <w:rFonts w:hint="eastAsia"/>
                  <w:szCs w:val="21"/>
                </w:rPr>
                <w:t>满足下列条件的，终止确认金融资产</w:t>
              </w:r>
              <w:r w:rsidRPr="00957311">
                <w:rPr>
                  <w:szCs w:val="21"/>
                </w:rPr>
                <w:t>(或金融资产的一部分，或一组类似金融资产的一部分)，即从其账户和资产负债表内予以转销：</w:t>
              </w:r>
            </w:p>
            <w:p w:rsidR="00957311" w:rsidRPr="00957311" w:rsidRDefault="00957311" w:rsidP="00957311">
              <w:pPr>
                <w:rPr>
                  <w:szCs w:val="21"/>
                </w:rPr>
              </w:pPr>
            </w:p>
            <w:p w:rsidR="00957311" w:rsidRPr="00957311" w:rsidRDefault="00957311" w:rsidP="00957311">
              <w:pPr>
                <w:rPr>
                  <w:szCs w:val="21"/>
                </w:rPr>
              </w:pPr>
              <w:r w:rsidRPr="00957311">
                <w:rPr>
                  <w:rFonts w:hint="eastAsia"/>
                  <w:szCs w:val="21"/>
                </w:rPr>
                <w:t>（</w:t>
              </w:r>
              <w:r w:rsidRPr="00957311">
                <w:rPr>
                  <w:szCs w:val="21"/>
                </w:rPr>
                <w:t>1）</w:t>
              </w:r>
              <w:r w:rsidRPr="00957311">
                <w:rPr>
                  <w:szCs w:val="21"/>
                </w:rPr>
                <w:tab/>
                <w:t>收取金融资产现金流量的权利届满；</w:t>
              </w:r>
            </w:p>
            <w:p w:rsidR="00957311" w:rsidRPr="00957311" w:rsidRDefault="00957311" w:rsidP="00957311">
              <w:pPr>
                <w:rPr>
                  <w:szCs w:val="21"/>
                </w:rPr>
              </w:pPr>
              <w:r w:rsidRPr="00957311">
                <w:rPr>
                  <w:rFonts w:hint="eastAsia"/>
                  <w:szCs w:val="21"/>
                </w:rPr>
                <w:t>（</w:t>
              </w:r>
              <w:r w:rsidRPr="00957311">
                <w:rPr>
                  <w:szCs w:val="21"/>
                </w:rPr>
                <w:t>2）</w:t>
              </w:r>
              <w:r w:rsidRPr="00957311">
                <w:rPr>
                  <w:szCs w:val="21"/>
                </w:rPr>
                <w:tab/>
                <w:t>转移了收取金融资产现金流量的权利，或在“过手协议”下承担了及时将收取的现金流量全额支付给第三方的义务；并且(a)实质上转让了金融资产所有权上几乎所有的风险和报酬，或(b)虽然实质上既没有转移也没有保留金融资产所有权上几乎所有的风险和报酬，但放弃了对该金融资产的控制。</w:t>
              </w:r>
            </w:p>
            <w:p w:rsidR="00957311" w:rsidRPr="00957311" w:rsidRDefault="00957311" w:rsidP="00957311">
              <w:pPr>
                <w:rPr>
                  <w:szCs w:val="21"/>
                </w:rPr>
              </w:pPr>
            </w:p>
            <w:p w:rsidR="00957311" w:rsidRPr="00957311" w:rsidRDefault="00957311" w:rsidP="00957311">
              <w:pPr>
                <w:rPr>
                  <w:szCs w:val="21"/>
                </w:rPr>
              </w:pPr>
              <w:r w:rsidRPr="00957311">
                <w:rPr>
                  <w:rFonts w:hint="eastAsia"/>
                  <w:szCs w:val="21"/>
                </w:rPr>
                <w:t>如果金融负债的责任已履行、撤销或届满，则对金融负债进行终止确认。如果现有金融负债被同一债权人以实质上几乎完全不同条款的另一金融负债所取代，或现有负债的条款几乎全部被实质性修改，则此类替换或修改作为终止确认原负债和确认新负债处理，差额计入当期损益。</w:t>
              </w:r>
            </w:p>
            <w:p w:rsidR="00957311" w:rsidRPr="00957311" w:rsidRDefault="00957311" w:rsidP="00957311">
              <w:pPr>
                <w:rPr>
                  <w:szCs w:val="21"/>
                </w:rPr>
              </w:pPr>
            </w:p>
            <w:p w:rsidR="00957311" w:rsidRPr="00957311" w:rsidRDefault="00957311" w:rsidP="00957311">
              <w:pPr>
                <w:rPr>
                  <w:szCs w:val="21"/>
                </w:rPr>
              </w:pPr>
              <w:r w:rsidRPr="00957311">
                <w:rPr>
                  <w:rFonts w:hint="eastAsia"/>
                  <w:szCs w:val="21"/>
                </w:rPr>
                <w:t>以常规方式买卖金融资产，按交易日会计进行确认和终止确认。常规方式买卖金融资产，是指按照合同条款的约定，在法规或通行惯例规定的期限内收取或交付金融资产。交易日，是指本集团承诺买入或卖出金融资产的日期。</w:t>
              </w:r>
            </w:p>
            <w:p w:rsidR="00957311" w:rsidRPr="00957311" w:rsidRDefault="00957311" w:rsidP="00957311">
              <w:pPr>
                <w:rPr>
                  <w:szCs w:val="21"/>
                </w:rPr>
              </w:pPr>
              <w:r w:rsidRPr="00957311">
                <w:rPr>
                  <w:szCs w:val="21"/>
                </w:rPr>
                <w:tab/>
              </w:r>
            </w:p>
            <w:p w:rsidR="00957311" w:rsidRPr="00957311" w:rsidRDefault="00957311" w:rsidP="00957311">
              <w:pPr>
                <w:rPr>
                  <w:szCs w:val="21"/>
                </w:rPr>
              </w:pPr>
              <w:r w:rsidRPr="00957311">
                <w:rPr>
                  <w:rFonts w:hint="eastAsia"/>
                  <w:szCs w:val="21"/>
                </w:rPr>
                <w:t>金融资产分类和计量</w:t>
              </w:r>
            </w:p>
            <w:p w:rsidR="00957311" w:rsidRPr="00957311" w:rsidRDefault="00957311" w:rsidP="00957311">
              <w:pPr>
                <w:rPr>
                  <w:szCs w:val="21"/>
                </w:rPr>
              </w:pPr>
              <w:r w:rsidRPr="00957311">
                <w:rPr>
                  <w:szCs w:val="21"/>
                </w:rPr>
                <w:tab/>
              </w:r>
            </w:p>
            <w:p w:rsidR="00957311" w:rsidRPr="00957311" w:rsidRDefault="00957311" w:rsidP="00957311">
              <w:pPr>
                <w:rPr>
                  <w:szCs w:val="21"/>
                </w:rPr>
              </w:pPr>
              <w:r w:rsidRPr="00957311">
                <w:rPr>
                  <w:rFonts w:hint="eastAsia"/>
                  <w:szCs w:val="21"/>
                </w:rPr>
                <w:t>本集团的金融资产于初始确认时根据本集团企业管理金融资产的业务模式和金融资产的合同现金流量特征分类为：以公允价值计量且其变动计入当期损益的金融资产、以摊余成本计量的金融资产、以公允价值计量且其变动计入其他综合收益的金融资产。金融资产在初始确认时以公允价值计量，但是因销售商品或提供服务等产生的应收账款或应收票据未包含重大融资成分或不考虑不超过一年的融资成分的，按照交易价格进行初始计量。</w:t>
              </w:r>
            </w:p>
            <w:p w:rsidR="00957311" w:rsidRPr="00957311" w:rsidRDefault="00957311" w:rsidP="00957311">
              <w:pPr>
                <w:rPr>
                  <w:szCs w:val="21"/>
                </w:rPr>
              </w:pPr>
            </w:p>
            <w:p w:rsidR="00957311" w:rsidRPr="00957311" w:rsidRDefault="00957311" w:rsidP="00957311">
              <w:pPr>
                <w:rPr>
                  <w:szCs w:val="21"/>
                </w:rPr>
              </w:pPr>
              <w:r w:rsidRPr="00957311">
                <w:rPr>
                  <w:rFonts w:hint="eastAsia"/>
                  <w:szCs w:val="21"/>
                </w:rPr>
                <w:t>对于以公允价值计量且其变动计入当期损益的金融资产，相关交易费用直接计入当期损益，其他类别的金融资产相关交易费用计入其初始确认金额。</w:t>
              </w:r>
            </w:p>
            <w:p w:rsidR="00957311" w:rsidRPr="00957311" w:rsidRDefault="00957311" w:rsidP="00957311">
              <w:pPr>
                <w:rPr>
                  <w:szCs w:val="21"/>
                </w:rPr>
              </w:pPr>
            </w:p>
            <w:p w:rsidR="00957311" w:rsidRPr="00957311" w:rsidRDefault="00957311" w:rsidP="00957311">
              <w:pPr>
                <w:rPr>
                  <w:szCs w:val="21"/>
                </w:rPr>
              </w:pPr>
              <w:r w:rsidRPr="00957311">
                <w:rPr>
                  <w:rFonts w:hint="eastAsia"/>
                  <w:szCs w:val="21"/>
                </w:rPr>
                <w:t>金融资产的后续计量取决于其分类：</w:t>
              </w:r>
            </w:p>
            <w:p w:rsidR="00957311" w:rsidRPr="00957311" w:rsidRDefault="00957311" w:rsidP="00957311">
              <w:pPr>
                <w:rPr>
                  <w:szCs w:val="21"/>
                </w:rPr>
              </w:pPr>
            </w:p>
            <w:p w:rsidR="00957311" w:rsidRPr="00957311" w:rsidRDefault="00957311" w:rsidP="00957311">
              <w:pPr>
                <w:rPr>
                  <w:szCs w:val="21"/>
                </w:rPr>
              </w:pPr>
              <w:r w:rsidRPr="00957311">
                <w:rPr>
                  <w:rFonts w:hint="eastAsia"/>
                  <w:szCs w:val="21"/>
                </w:rPr>
                <w:t>以摊余成本计量的债务工具投资</w:t>
              </w:r>
            </w:p>
            <w:p w:rsidR="00957311" w:rsidRPr="00957311" w:rsidRDefault="00957311" w:rsidP="00957311">
              <w:pPr>
                <w:rPr>
                  <w:szCs w:val="21"/>
                </w:rPr>
              </w:pPr>
              <w:r w:rsidRPr="00957311">
                <w:rPr>
                  <w:rFonts w:hint="eastAsia"/>
                  <w:szCs w:val="21"/>
                </w:rPr>
                <w:t>金融资产同时符合下列条件的，分类为以摊余成本计量的金融资产：管理该金融资产的业务模式是以收取合同现金流量为目标；该金融资产的合同条款规定，在特定日期产生的现金流量仅为对本金和以未偿付本金金额为基础的利息的支付。此类金融资产采用实际利率法确认利息收入，其终止确认、修改或减值产生的利得或损失，均计入当期损益。此类金融资产主要包含货币资金、应收账款、其他应收款、债权投资和长期应收款等。本集团将自资产负债表日起一年内到期的债权投资和长期应收款列报为一年内到期的非流动资产，原到期日在一年以内的债权投资列报为其他流动资产。</w:t>
              </w:r>
            </w:p>
            <w:p w:rsidR="00957311" w:rsidRPr="00957311" w:rsidRDefault="00957311" w:rsidP="00957311">
              <w:pPr>
                <w:rPr>
                  <w:szCs w:val="21"/>
                </w:rPr>
              </w:pPr>
            </w:p>
            <w:p w:rsidR="00957311" w:rsidRPr="00957311" w:rsidRDefault="00957311" w:rsidP="00957311">
              <w:pPr>
                <w:rPr>
                  <w:szCs w:val="21"/>
                </w:rPr>
              </w:pPr>
              <w:r w:rsidRPr="00957311">
                <w:rPr>
                  <w:rFonts w:hint="eastAsia"/>
                  <w:szCs w:val="21"/>
                </w:rPr>
                <w:t>以公允价值计量且其变动计入其他综合收益的债务工具投资</w:t>
              </w:r>
            </w:p>
            <w:p w:rsidR="00957311" w:rsidRPr="00957311" w:rsidRDefault="00957311" w:rsidP="00957311">
              <w:pPr>
                <w:rPr>
                  <w:szCs w:val="21"/>
                </w:rPr>
              </w:pPr>
              <w:r w:rsidRPr="00957311">
                <w:rPr>
                  <w:rFonts w:hint="eastAsia"/>
                  <w:szCs w:val="21"/>
                </w:rPr>
                <w:t>金融资产同时符合下列条件的，分类为以公允价值计量且其变动计入其他综合收益的金融资产：本集团管理该金融资产的业务模式是既以收取合同现金流量为目标又以出售金融资产为目标；该金融资产的合同条款规定，在特定日期产生的现金流量仅为对本金和以未偿付本金金额为基础的</w:t>
              </w:r>
              <w:r w:rsidRPr="00957311">
                <w:rPr>
                  <w:rFonts w:hint="eastAsia"/>
                  <w:szCs w:val="21"/>
                </w:rPr>
                <w:lastRenderedPageBreak/>
                <w:t>利息的支付。此类金融资产采用实际利率法确认利息收入。除利息收入、减值损失及汇兑差额确认为当期损益外，其余公允价值变动计入其他综合收益。当金融资产终止确认时，之前计入其他综合收益的累计利得或损失从其他综合收益转出，计入当期损益。此类金融资产列报为其他债权投资，自资产负债表日起一年内到期的其他债权投资列报为一年内到期的非流动资产，原到期日在一年以内的其他债权投资列报为其他流动资产。</w:t>
              </w:r>
            </w:p>
            <w:p w:rsidR="00957311" w:rsidRPr="00957311" w:rsidRDefault="00957311" w:rsidP="00957311">
              <w:pPr>
                <w:rPr>
                  <w:szCs w:val="21"/>
                </w:rPr>
              </w:pPr>
            </w:p>
            <w:p w:rsidR="00957311" w:rsidRPr="00957311" w:rsidRDefault="00957311" w:rsidP="00957311">
              <w:pPr>
                <w:rPr>
                  <w:szCs w:val="21"/>
                </w:rPr>
              </w:pPr>
              <w:r w:rsidRPr="00957311">
                <w:rPr>
                  <w:rFonts w:hint="eastAsia"/>
                  <w:szCs w:val="21"/>
                </w:rPr>
                <w:t>以公允价值计量且其变动计入其他综合收益的权益工具投资</w:t>
              </w:r>
            </w:p>
            <w:p w:rsidR="00957311" w:rsidRPr="00957311" w:rsidRDefault="00957311" w:rsidP="00957311">
              <w:pPr>
                <w:rPr>
                  <w:szCs w:val="21"/>
                </w:rPr>
              </w:pPr>
              <w:r w:rsidRPr="00957311">
                <w:rPr>
                  <w:rFonts w:hint="eastAsia"/>
                  <w:szCs w:val="21"/>
                </w:rPr>
                <w:t>本集团不可撤销地选择将部分非交易性权益工具投资指定为以公允价值计量且其变动计入其他综合收益的金融资产，仅将相关股利收入</w:t>
              </w:r>
              <w:r w:rsidRPr="00957311">
                <w:rPr>
                  <w:szCs w:val="21"/>
                </w:rPr>
                <w:t>(明确作为投资成本部分收回的股利收入除外)计入当期损益，公允价值的后续变动计入其他综合收益，不需计提减值准备。当金融资产终止确认时，之前计入其他综合收益的累计利得或损失从其他综合收益转出，计入留存收益。此类金融资产列报为其他权益工具投资。</w:t>
              </w:r>
            </w:p>
            <w:p w:rsidR="00957311" w:rsidRPr="00957311" w:rsidRDefault="00957311" w:rsidP="00957311">
              <w:pPr>
                <w:rPr>
                  <w:szCs w:val="21"/>
                </w:rPr>
              </w:pPr>
            </w:p>
            <w:p w:rsidR="00957311" w:rsidRPr="00957311" w:rsidRDefault="00957311" w:rsidP="00957311">
              <w:pPr>
                <w:rPr>
                  <w:szCs w:val="21"/>
                </w:rPr>
              </w:pPr>
              <w:r w:rsidRPr="00957311">
                <w:rPr>
                  <w:rFonts w:hint="eastAsia"/>
                  <w:szCs w:val="21"/>
                </w:rPr>
                <w:t>满足下列条件之一的，属于交易性金融资产：取得相关金融资产的目的主要是为了在近期内出售或回购；属于集中管理的可辨认金融工具组合的一部分，且有客观证据表明企业近期采用短期获利方式模式；属于衍生工具，但是，被指定且为有效套期工具的衍生工具、符合财务担保合同的衍生工具除外。</w:t>
              </w:r>
            </w:p>
            <w:p w:rsidR="00957311" w:rsidRPr="00957311" w:rsidRDefault="00957311" w:rsidP="00957311">
              <w:pPr>
                <w:rPr>
                  <w:szCs w:val="21"/>
                </w:rPr>
              </w:pPr>
            </w:p>
            <w:p w:rsidR="00957311" w:rsidRPr="00957311" w:rsidRDefault="00957311" w:rsidP="00957311">
              <w:pPr>
                <w:rPr>
                  <w:szCs w:val="21"/>
                </w:rPr>
              </w:pPr>
              <w:r w:rsidRPr="00957311">
                <w:rPr>
                  <w:rFonts w:hint="eastAsia"/>
                  <w:szCs w:val="21"/>
                </w:rPr>
                <w:t>以公允价值计量且其变动计入当期损益的金融资产</w:t>
              </w:r>
            </w:p>
            <w:p w:rsidR="00957311" w:rsidRPr="00957311" w:rsidRDefault="00957311" w:rsidP="00957311">
              <w:pPr>
                <w:rPr>
                  <w:szCs w:val="21"/>
                </w:rPr>
              </w:pPr>
              <w:r w:rsidRPr="00957311">
                <w:rPr>
                  <w:rFonts w:hint="eastAsia"/>
                  <w:szCs w:val="21"/>
                </w:rPr>
                <w:t>上述以摊余成本计量的金融资产和以公允价值计量且其变动计入其他综合收益的金融资产之外的金融资产，分类为以公允价值计量且其变动计入当期损益的金融资产。对于此类金融资产，采用公允价值进行后续计量，所有公允价值变动计入当期损益。此类金融资产列报为交易性金融资产，自资产负债表日起超过一年到期且预期持有超过一年的列报为其他非流动金融资产。</w:t>
              </w:r>
            </w:p>
            <w:p w:rsidR="00957311" w:rsidRPr="00957311" w:rsidRDefault="00957311" w:rsidP="00957311">
              <w:pPr>
                <w:rPr>
                  <w:szCs w:val="21"/>
                </w:rPr>
              </w:pPr>
            </w:p>
            <w:p w:rsidR="00957311" w:rsidRPr="00957311" w:rsidRDefault="00957311" w:rsidP="00957311">
              <w:pPr>
                <w:rPr>
                  <w:szCs w:val="21"/>
                </w:rPr>
              </w:pPr>
              <w:r w:rsidRPr="00957311">
                <w:rPr>
                  <w:rFonts w:hint="eastAsia"/>
                  <w:szCs w:val="21"/>
                </w:rPr>
                <w:t>金融负债分类和计量</w:t>
              </w:r>
            </w:p>
            <w:p w:rsidR="00957311" w:rsidRPr="00957311" w:rsidRDefault="00957311" w:rsidP="00957311">
              <w:pPr>
                <w:rPr>
                  <w:szCs w:val="21"/>
                </w:rPr>
              </w:pPr>
            </w:p>
            <w:p w:rsidR="00957311" w:rsidRPr="00957311" w:rsidRDefault="00957311" w:rsidP="00957311">
              <w:pPr>
                <w:rPr>
                  <w:szCs w:val="21"/>
                </w:rPr>
              </w:pPr>
              <w:r w:rsidRPr="00957311">
                <w:rPr>
                  <w:rFonts w:hint="eastAsia"/>
                  <w:szCs w:val="21"/>
                </w:rPr>
                <w:t>本集团的金融负债于初始确认时分类为：以公允价值计量且其变动计入当期损益的金融负债及其他金融负债。对于以公允价值计量且其变动计入当期损益的金融负债，相关交易费用直接计入当期损益，其他金融负债的相关交易费用计入其初始确认金额。</w:t>
              </w:r>
            </w:p>
            <w:p w:rsidR="00957311" w:rsidRPr="00957311" w:rsidRDefault="00957311" w:rsidP="00957311">
              <w:pPr>
                <w:rPr>
                  <w:szCs w:val="21"/>
                </w:rPr>
              </w:pPr>
            </w:p>
            <w:p w:rsidR="00957311" w:rsidRPr="00957311" w:rsidRDefault="00957311" w:rsidP="00957311">
              <w:pPr>
                <w:rPr>
                  <w:szCs w:val="21"/>
                </w:rPr>
              </w:pPr>
              <w:r w:rsidRPr="00957311">
                <w:rPr>
                  <w:rFonts w:hint="eastAsia"/>
                  <w:szCs w:val="21"/>
                </w:rPr>
                <w:t>金融负债的后续计量取决于其分类：</w:t>
              </w:r>
            </w:p>
            <w:p w:rsidR="00957311" w:rsidRPr="00957311" w:rsidRDefault="00957311" w:rsidP="00957311">
              <w:pPr>
                <w:rPr>
                  <w:szCs w:val="21"/>
                </w:rPr>
              </w:pPr>
            </w:p>
            <w:p w:rsidR="00957311" w:rsidRPr="00957311" w:rsidRDefault="00957311" w:rsidP="00957311">
              <w:pPr>
                <w:rPr>
                  <w:szCs w:val="21"/>
                </w:rPr>
              </w:pPr>
              <w:r w:rsidRPr="00957311">
                <w:rPr>
                  <w:rFonts w:hint="eastAsia"/>
                  <w:szCs w:val="21"/>
                </w:rPr>
                <w:t>以公允价值计量且其变动计入当期损益的金融负债</w:t>
              </w:r>
            </w:p>
            <w:p w:rsidR="00957311" w:rsidRPr="00957311" w:rsidRDefault="00957311" w:rsidP="00957311">
              <w:pPr>
                <w:rPr>
                  <w:szCs w:val="21"/>
                </w:rPr>
              </w:pPr>
              <w:r w:rsidRPr="00957311">
                <w:rPr>
                  <w:rFonts w:hint="eastAsia"/>
                  <w:szCs w:val="21"/>
                </w:rPr>
                <w:t>以公允价值计量且其变动计入当期损益的金融负债，包括交易性金融负债</w:t>
              </w:r>
              <w:r w:rsidRPr="00957311">
                <w:rPr>
                  <w:szCs w:val="21"/>
                </w:rPr>
                <w:t>(含属于金融负债的衍生工具)和初始确认时指定为以公允价值计量且其变动计入当期损益的金融负债。</w:t>
              </w:r>
            </w:p>
            <w:p w:rsidR="00957311" w:rsidRPr="00957311" w:rsidRDefault="00957311" w:rsidP="00957311">
              <w:pPr>
                <w:rPr>
                  <w:szCs w:val="21"/>
                </w:rPr>
              </w:pPr>
            </w:p>
            <w:p w:rsidR="00957311" w:rsidRPr="00957311" w:rsidRDefault="00957311" w:rsidP="00957311">
              <w:pPr>
                <w:rPr>
                  <w:szCs w:val="21"/>
                </w:rPr>
              </w:pPr>
              <w:r w:rsidRPr="00957311">
                <w:rPr>
                  <w:rFonts w:hint="eastAsia"/>
                  <w:szCs w:val="21"/>
                </w:rPr>
                <w:t>满足下列条件之一的，属于交易性金融负债：承担该金融负债的目的是为了在近期内回购；属于集中管理的可辨认金融工具组合的一部分，且有客观证据表明企业近期采用短期获利方式对该组合进行管理。</w:t>
              </w:r>
            </w:p>
            <w:p w:rsidR="00957311" w:rsidRPr="00957311" w:rsidRDefault="00957311" w:rsidP="00957311">
              <w:pPr>
                <w:rPr>
                  <w:szCs w:val="21"/>
                </w:rPr>
              </w:pPr>
            </w:p>
            <w:p w:rsidR="00957311" w:rsidRPr="00957311" w:rsidRDefault="00957311" w:rsidP="00957311">
              <w:pPr>
                <w:rPr>
                  <w:szCs w:val="21"/>
                </w:rPr>
              </w:pPr>
              <w:r w:rsidRPr="00957311">
                <w:rPr>
                  <w:rFonts w:hint="eastAsia"/>
                  <w:szCs w:val="21"/>
                </w:rPr>
                <w:t>其他金融负债</w:t>
              </w:r>
            </w:p>
            <w:p w:rsidR="00957311" w:rsidRPr="00957311" w:rsidRDefault="00957311" w:rsidP="00957311">
              <w:pPr>
                <w:rPr>
                  <w:szCs w:val="21"/>
                </w:rPr>
              </w:pPr>
              <w:r w:rsidRPr="00957311">
                <w:rPr>
                  <w:rFonts w:hint="eastAsia"/>
                  <w:szCs w:val="21"/>
                </w:rPr>
                <w:t>对于此类金融负债，采用实际利率法，按照摊余成本进行后续计量。</w:t>
              </w:r>
            </w:p>
            <w:p w:rsidR="00957311" w:rsidRDefault="00957311">
              <w:pPr>
                <w:rPr>
                  <w:szCs w:val="21"/>
                </w:rPr>
              </w:pPr>
            </w:p>
            <w:p w:rsidR="00957311" w:rsidRPr="00957311" w:rsidRDefault="00957311" w:rsidP="00957311">
              <w:pPr>
                <w:rPr>
                  <w:szCs w:val="21"/>
                </w:rPr>
              </w:pPr>
              <w:r w:rsidRPr="00957311">
                <w:rPr>
                  <w:rFonts w:hint="eastAsia"/>
                  <w:szCs w:val="21"/>
                </w:rPr>
                <w:t>金融工具减值</w:t>
              </w:r>
            </w:p>
            <w:p w:rsidR="00957311" w:rsidRPr="00957311" w:rsidRDefault="00957311" w:rsidP="00957311">
              <w:pPr>
                <w:rPr>
                  <w:szCs w:val="21"/>
                </w:rPr>
              </w:pPr>
            </w:p>
            <w:p w:rsidR="00957311" w:rsidRPr="00957311" w:rsidRDefault="00957311" w:rsidP="00957311">
              <w:pPr>
                <w:rPr>
                  <w:szCs w:val="21"/>
                </w:rPr>
              </w:pPr>
              <w:r w:rsidRPr="00957311">
                <w:rPr>
                  <w:rFonts w:hint="eastAsia"/>
                  <w:szCs w:val="21"/>
                </w:rPr>
                <w:t>本集团以预期信用损失为基础，对以摊余成本计量的金融资产及以公允价值计量且其变动计入其他综合收益的债务工具投资进行减值处理并确认损失准备。</w:t>
              </w:r>
            </w:p>
            <w:p w:rsidR="00957311" w:rsidRPr="00957311" w:rsidRDefault="00957311" w:rsidP="00957311">
              <w:pPr>
                <w:rPr>
                  <w:szCs w:val="21"/>
                </w:rPr>
              </w:pPr>
            </w:p>
            <w:p w:rsidR="00957311" w:rsidRPr="00957311" w:rsidRDefault="00957311" w:rsidP="00957311">
              <w:pPr>
                <w:rPr>
                  <w:szCs w:val="21"/>
                </w:rPr>
              </w:pPr>
              <w:r w:rsidRPr="00957311">
                <w:rPr>
                  <w:rFonts w:hint="eastAsia"/>
                  <w:szCs w:val="21"/>
                </w:rPr>
                <w:lastRenderedPageBreak/>
                <w:t>信用损失，是指本集团按照原实际利率折现的、根据合同应收的所有合同现金流量与预期收取的所有现金流量之间的差额，即全部现金短缺的现值。其中，对于本集团购买或源生的已发生信用减值的金融资产，应按照该金融资产经信用调整的实际利率折现。</w:t>
              </w:r>
            </w:p>
            <w:p w:rsidR="00957311" w:rsidRPr="00957311" w:rsidRDefault="00957311" w:rsidP="00957311">
              <w:pPr>
                <w:rPr>
                  <w:szCs w:val="21"/>
                </w:rPr>
              </w:pPr>
            </w:p>
            <w:p w:rsidR="00957311" w:rsidRPr="00957311" w:rsidRDefault="00957311" w:rsidP="00957311">
              <w:pPr>
                <w:rPr>
                  <w:szCs w:val="21"/>
                </w:rPr>
              </w:pPr>
              <w:r w:rsidRPr="00957311">
                <w:rPr>
                  <w:rFonts w:hint="eastAsia"/>
                  <w:szCs w:val="21"/>
                </w:rPr>
                <w:t>对于不含重大融资成分的应收账款以及合同资产，本集团运用简化计量方法，按照相当于整个存续期内的预期信用损失金额计量损失准备。</w:t>
              </w:r>
            </w:p>
            <w:p w:rsidR="00957311" w:rsidRPr="00957311" w:rsidRDefault="00957311" w:rsidP="00957311">
              <w:pPr>
                <w:rPr>
                  <w:szCs w:val="21"/>
                </w:rPr>
              </w:pPr>
            </w:p>
            <w:p w:rsidR="00957311" w:rsidRPr="00957311" w:rsidRDefault="00957311" w:rsidP="00957311">
              <w:pPr>
                <w:rPr>
                  <w:szCs w:val="21"/>
                </w:rPr>
              </w:pPr>
              <w:r w:rsidRPr="00957311">
                <w:rPr>
                  <w:rFonts w:hint="eastAsia"/>
                  <w:szCs w:val="21"/>
                </w:rPr>
                <w:t>除上述采用简化计量方法以外的金融资产，本集团在每个资产负债表日评估其信用风险自初始确认后是否已经显著增加，如果信用风险自初始确认后未显著增加，处于第一阶段，本集团按照相当于未来</w:t>
              </w:r>
              <w:r w:rsidRPr="00957311">
                <w:rPr>
                  <w:szCs w:val="21"/>
                </w:rPr>
                <w:t>12个月内预期信用损失的金额计量损失准备，并按照账面余额和实际利率计算利息收入；如果信用风险自初始确认后已显著增加但尚未发生信用减值的，处于第二阶段，本集团按照相当于整个存续期内预期信用损失的金额计量损失准备，并按照账面余额和实际利率计算利息收入；如果初始确认后发生信用减值的，处于第三阶段，本集团按照相当于整个存续期内预期信用损失的金</w:t>
              </w:r>
              <w:r w:rsidRPr="00957311">
                <w:rPr>
                  <w:rFonts w:hint="eastAsia"/>
                  <w:szCs w:val="21"/>
                </w:rPr>
                <w:t>额计量损失准备，并按照摊余成本和实际利率计算利息收入。对于资产负债表日只具有较低信用风险的金融工具，本集团假设其信用风险自初始确认后未显著增加。</w:t>
              </w:r>
            </w:p>
            <w:p w:rsidR="00957311" w:rsidRPr="00957311" w:rsidRDefault="00957311" w:rsidP="00957311">
              <w:pPr>
                <w:rPr>
                  <w:szCs w:val="21"/>
                </w:rPr>
              </w:pPr>
            </w:p>
            <w:p w:rsidR="00957311" w:rsidRPr="00957311" w:rsidRDefault="00957311" w:rsidP="00957311">
              <w:pPr>
                <w:rPr>
                  <w:szCs w:val="21"/>
                </w:rPr>
              </w:pPr>
              <w:r w:rsidRPr="00957311">
                <w:rPr>
                  <w:rFonts w:hint="eastAsia"/>
                  <w:szCs w:val="21"/>
                </w:rPr>
                <w:t>本集团基于单项和组合评估金融工具的预期信用损失。本集团考虑了不同客户的信用风险特征，以账龄组合为基础评估应收款项的预期信用损失。</w:t>
              </w:r>
            </w:p>
            <w:p w:rsidR="00957311" w:rsidRPr="00957311" w:rsidRDefault="00957311" w:rsidP="00957311">
              <w:pPr>
                <w:rPr>
                  <w:szCs w:val="21"/>
                </w:rPr>
              </w:pPr>
            </w:p>
            <w:p w:rsidR="00957311" w:rsidRPr="00957311" w:rsidRDefault="00957311" w:rsidP="00957311">
              <w:pPr>
                <w:rPr>
                  <w:szCs w:val="21"/>
                </w:rPr>
              </w:pPr>
              <w:r w:rsidRPr="00957311">
                <w:rPr>
                  <w:rFonts w:hint="eastAsia"/>
                  <w:szCs w:val="21"/>
                </w:rPr>
                <w:t>本集团在评估预期信用损失时，考虑有关过去事项、当前状况以及未来经济状况预测的合理且有依据的信息。</w:t>
              </w:r>
            </w:p>
            <w:p w:rsidR="00957311" w:rsidRPr="00957311" w:rsidRDefault="00957311" w:rsidP="00957311">
              <w:pPr>
                <w:rPr>
                  <w:szCs w:val="21"/>
                </w:rPr>
              </w:pPr>
            </w:p>
            <w:p w:rsidR="00957311" w:rsidRPr="00957311" w:rsidRDefault="00957311" w:rsidP="00957311">
              <w:pPr>
                <w:rPr>
                  <w:szCs w:val="21"/>
                </w:rPr>
              </w:pPr>
              <w:r w:rsidRPr="00957311">
                <w:rPr>
                  <w:rFonts w:hint="eastAsia"/>
                  <w:szCs w:val="21"/>
                </w:rPr>
                <w:t>关于本集团对信用风险显著增加判断标准、已发生信用减值资产的定义、预期信用损失计量的假设等披露参见附注八、</w:t>
              </w:r>
              <w:r w:rsidRPr="00957311">
                <w:rPr>
                  <w:szCs w:val="21"/>
                </w:rPr>
                <w:t>2。</w:t>
              </w:r>
            </w:p>
            <w:p w:rsidR="00957311" w:rsidRPr="00957311" w:rsidRDefault="00957311" w:rsidP="00957311">
              <w:pPr>
                <w:rPr>
                  <w:szCs w:val="21"/>
                </w:rPr>
              </w:pPr>
            </w:p>
            <w:p w:rsidR="00957311" w:rsidRPr="00957311" w:rsidRDefault="00957311" w:rsidP="00957311">
              <w:pPr>
                <w:rPr>
                  <w:szCs w:val="21"/>
                </w:rPr>
              </w:pPr>
              <w:r w:rsidRPr="00957311">
                <w:rPr>
                  <w:rFonts w:hint="eastAsia"/>
                  <w:szCs w:val="21"/>
                </w:rPr>
                <w:t>当本集团不再合理预期能够全部或部分收回金融资产合同现金流量时，本集团直接减记该金融资产的账面余额。</w:t>
              </w:r>
            </w:p>
            <w:p w:rsidR="00957311" w:rsidRDefault="00957311">
              <w:pPr>
                <w:rPr>
                  <w:szCs w:val="21"/>
                </w:rPr>
              </w:pPr>
            </w:p>
            <w:p w:rsidR="00957311" w:rsidRPr="00957311" w:rsidRDefault="00957311" w:rsidP="00957311">
              <w:pPr>
                <w:rPr>
                  <w:szCs w:val="21"/>
                </w:rPr>
              </w:pPr>
              <w:r w:rsidRPr="00957311">
                <w:rPr>
                  <w:rFonts w:hint="eastAsia"/>
                  <w:szCs w:val="21"/>
                </w:rPr>
                <w:t>金融资产转移</w:t>
              </w:r>
            </w:p>
            <w:p w:rsidR="00957311" w:rsidRPr="00957311" w:rsidRDefault="00957311" w:rsidP="00957311">
              <w:pPr>
                <w:rPr>
                  <w:szCs w:val="21"/>
                </w:rPr>
              </w:pPr>
            </w:p>
            <w:p w:rsidR="00957311" w:rsidRPr="00957311" w:rsidRDefault="00957311" w:rsidP="00957311">
              <w:pPr>
                <w:rPr>
                  <w:szCs w:val="21"/>
                </w:rPr>
              </w:pPr>
              <w:r w:rsidRPr="00957311">
                <w:rPr>
                  <w:rFonts w:hint="eastAsia"/>
                  <w:szCs w:val="21"/>
                </w:rPr>
                <w:t>本集团已将金融资产所有权上几乎所有的风险和报酬转移给转入方的，终止确认该金融资产；保留了金融资产所有权上几乎所有的风险和报酬的，不终止确认该金融资产。</w:t>
              </w:r>
            </w:p>
            <w:p w:rsidR="00957311" w:rsidRPr="00957311" w:rsidRDefault="00957311" w:rsidP="00957311">
              <w:pPr>
                <w:rPr>
                  <w:szCs w:val="21"/>
                </w:rPr>
              </w:pPr>
            </w:p>
            <w:p w:rsidR="00957311" w:rsidRPr="00957311" w:rsidRDefault="00957311" w:rsidP="00957311">
              <w:pPr>
                <w:rPr>
                  <w:szCs w:val="21"/>
                </w:rPr>
              </w:pPr>
              <w:r w:rsidRPr="00957311">
                <w:rPr>
                  <w:rFonts w:hint="eastAsia"/>
                  <w:szCs w:val="21"/>
                </w:rPr>
                <w:t>本集团既没有转移也没有保留金融资产所有权上几乎所有的风险和报酬的，分别下列情况处理：放弃了对该金融资产控制的，终止确认该金融资产并确认产生的资产和负债；未放弃对该金融资产控制的，按照其继续涉入所转移金融资产的程度确认有关金融资产，并相应确认有关负债。</w:t>
              </w:r>
            </w:p>
            <w:p w:rsidR="00957311" w:rsidRPr="00957311" w:rsidRDefault="00957311" w:rsidP="00957311">
              <w:pPr>
                <w:rPr>
                  <w:szCs w:val="21"/>
                </w:rPr>
              </w:pPr>
            </w:p>
            <w:p w:rsidR="00957311" w:rsidRDefault="00957311" w:rsidP="00957311">
              <w:pPr>
                <w:rPr>
                  <w:szCs w:val="21"/>
                </w:rPr>
              </w:pPr>
              <w:r w:rsidRPr="00957311">
                <w:rPr>
                  <w:rFonts w:hint="eastAsia"/>
                  <w:szCs w:val="21"/>
                </w:rPr>
                <w:t>通过对所转移金融资产提供财务担保方式继续涉入的，按照金融资产的账面价值和财务担保金额两者之中的较低者，确认继续涉入形成的资产。财务担保金额，是指所收到的对价中，将被要求偿还的最高金额。</w:t>
              </w:r>
            </w:p>
            <w:p w:rsidR="00B637B2" w:rsidRDefault="00B637B2" w:rsidP="00957311">
              <w:pPr>
                <w:rPr>
                  <w:szCs w:val="21"/>
                </w:rPr>
              </w:pPr>
            </w:p>
            <w:p w:rsidR="00B637B2" w:rsidRPr="00D675FC" w:rsidRDefault="008F04CF" w:rsidP="00B637B2">
              <w:pPr>
                <w:rPr>
                  <w:szCs w:val="21"/>
                </w:rPr>
              </w:pPr>
              <w:r w:rsidRPr="00D675FC">
                <w:rPr>
                  <w:rFonts w:hint="eastAsia"/>
                  <w:szCs w:val="21"/>
                </w:rPr>
                <w:t>本公司</w:t>
              </w:r>
              <w:r w:rsidRPr="00D675FC">
                <w:rPr>
                  <w:szCs w:val="21"/>
                </w:rPr>
                <w:t xml:space="preserve"> 2019 年 1 月 1 日前执行的金融工具政策如下：</w:t>
              </w:r>
            </w:p>
            <w:p w:rsidR="00B637B2" w:rsidRPr="00D675FC" w:rsidRDefault="00B637B2" w:rsidP="00B637B2">
              <w:pPr>
                <w:rPr>
                  <w:szCs w:val="21"/>
                </w:rPr>
              </w:pPr>
            </w:p>
            <w:p w:rsidR="00B637B2" w:rsidRPr="00D675FC" w:rsidRDefault="008F04CF" w:rsidP="00B637B2">
              <w:pPr>
                <w:rPr>
                  <w:szCs w:val="21"/>
                </w:rPr>
              </w:pPr>
              <w:r w:rsidRPr="00D675FC">
                <w:rPr>
                  <w:rFonts w:hint="eastAsia"/>
                  <w:szCs w:val="21"/>
                </w:rPr>
                <w:t>金融工具，是指形成一个企业的金融资产，并形成其他单位的金融负债或权益工具的合同。</w:t>
              </w:r>
            </w:p>
            <w:p w:rsidR="00B637B2" w:rsidRPr="00D675FC" w:rsidRDefault="00B637B2" w:rsidP="00B637B2">
              <w:pPr>
                <w:rPr>
                  <w:szCs w:val="21"/>
                </w:rPr>
              </w:pPr>
            </w:p>
            <w:p w:rsidR="00B637B2" w:rsidRPr="00D675FC" w:rsidRDefault="008F04CF" w:rsidP="00B637B2">
              <w:pPr>
                <w:rPr>
                  <w:szCs w:val="21"/>
                </w:rPr>
              </w:pPr>
              <w:r w:rsidRPr="00D675FC">
                <w:rPr>
                  <w:rFonts w:hint="eastAsia"/>
                  <w:szCs w:val="21"/>
                </w:rPr>
                <w:t>金融工具的确认和终止确认</w:t>
              </w:r>
            </w:p>
            <w:p w:rsidR="00B637B2" w:rsidRPr="00D675FC" w:rsidRDefault="00B637B2" w:rsidP="00B637B2">
              <w:pPr>
                <w:rPr>
                  <w:szCs w:val="21"/>
                </w:rPr>
              </w:pPr>
            </w:p>
            <w:p w:rsidR="00B637B2" w:rsidRPr="00D675FC" w:rsidRDefault="008F04CF" w:rsidP="00B637B2">
              <w:pPr>
                <w:rPr>
                  <w:szCs w:val="21"/>
                </w:rPr>
              </w:pPr>
              <w:r w:rsidRPr="00D675FC">
                <w:rPr>
                  <w:rFonts w:hint="eastAsia"/>
                  <w:szCs w:val="21"/>
                </w:rPr>
                <w:t>本集团于成为金融工具合同的一方时确认一项金融资产或金融负债。</w:t>
              </w:r>
            </w:p>
            <w:p w:rsidR="00B637B2" w:rsidRPr="00D675FC" w:rsidRDefault="00B637B2" w:rsidP="00B637B2">
              <w:pPr>
                <w:rPr>
                  <w:szCs w:val="21"/>
                </w:rPr>
              </w:pPr>
            </w:p>
            <w:p w:rsidR="00B637B2" w:rsidRPr="00D675FC" w:rsidRDefault="008F04CF" w:rsidP="00B637B2">
              <w:pPr>
                <w:rPr>
                  <w:szCs w:val="21"/>
                </w:rPr>
              </w:pPr>
              <w:r w:rsidRPr="00D675FC">
                <w:rPr>
                  <w:rFonts w:hint="eastAsia"/>
                  <w:szCs w:val="21"/>
                </w:rPr>
                <w:lastRenderedPageBreak/>
                <w:t>满足下列条件的，终止确认金融资产</w:t>
              </w:r>
              <w:r w:rsidRPr="00D675FC">
                <w:rPr>
                  <w:szCs w:val="21"/>
                </w:rPr>
                <w:t>(或金融资产的一部分，或一组类似金融资产的一部分)，即从其账户和资产负债表内予以转销：</w:t>
              </w:r>
            </w:p>
            <w:p w:rsidR="00B637B2" w:rsidRPr="00D675FC" w:rsidRDefault="00B637B2" w:rsidP="00B637B2">
              <w:pPr>
                <w:rPr>
                  <w:szCs w:val="21"/>
                </w:rPr>
              </w:pPr>
            </w:p>
            <w:p w:rsidR="00B637B2" w:rsidRPr="00D675FC" w:rsidRDefault="008F04CF" w:rsidP="00B637B2">
              <w:pPr>
                <w:rPr>
                  <w:szCs w:val="21"/>
                </w:rPr>
              </w:pPr>
              <w:r w:rsidRPr="00D675FC">
                <w:rPr>
                  <w:szCs w:val="21"/>
                </w:rPr>
                <w:t>(1)</w:t>
              </w:r>
              <w:r w:rsidRPr="00D675FC">
                <w:rPr>
                  <w:szCs w:val="21"/>
                </w:rPr>
                <w:tab/>
                <w:t>收取金融资产现金流量的权利届满；</w:t>
              </w:r>
            </w:p>
            <w:p w:rsidR="00B637B2" w:rsidRPr="00D675FC" w:rsidRDefault="008F04CF" w:rsidP="00B637B2">
              <w:pPr>
                <w:rPr>
                  <w:szCs w:val="21"/>
                </w:rPr>
              </w:pPr>
              <w:r w:rsidRPr="00D675FC">
                <w:rPr>
                  <w:szCs w:val="21"/>
                </w:rPr>
                <w:t>(2)</w:t>
              </w:r>
              <w:r w:rsidRPr="00D675FC">
                <w:rPr>
                  <w:szCs w:val="21"/>
                </w:rPr>
                <w:tab/>
                <w:t>转移了收取金融资产现金流量的权利，或在“过手协议”下承担了及时将收取的现金流量全额支付给第三方的义务；并且(a)实质上转让了金融资产所有权上几乎所有的风险和报酬，或(b)虽然实质上既没有转移也没有保留金融资产所有权上几乎所有的风险和报酬，但放弃了对该金融资产的控制。</w:t>
              </w:r>
            </w:p>
            <w:p w:rsidR="00B637B2" w:rsidRPr="00D675FC" w:rsidRDefault="00B637B2" w:rsidP="00B637B2">
              <w:pPr>
                <w:rPr>
                  <w:szCs w:val="21"/>
                </w:rPr>
              </w:pPr>
            </w:p>
            <w:p w:rsidR="00B637B2" w:rsidRPr="00D675FC" w:rsidRDefault="008F04CF" w:rsidP="00B637B2">
              <w:pPr>
                <w:rPr>
                  <w:szCs w:val="21"/>
                </w:rPr>
              </w:pPr>
              <w:r w:rsidRPr="00D675FC">
                <w:rPr>
                  <w:rFonts w:hint="eastAsia"/>
                  <w:szCs w:val="21"/>
                </w:rPr>
                <w:t>如果金融负债的责任已履行、撤销或届满，则对金融负债进行终止确认。如果现有金融负债被同一债权人以实质上几乎完全不同条款的另一金融负债所取代，或现有负债的条款几乎全部被实质性修改，则此类替换或修改作为终止确认原负债和确认新负债处理，差额计入当期损益。</w:t>
              </w:r>
            </w:p>
            <w:p w:rsidR="00B637B2" w:rsidRPr="00D675FC" w:rsidRDefault="00B637B2" w:rsidP="00B637B2">
              <w:pPr>
                <w:rPr>
                  <w:szCs w:val="21"/>
                </w:rPr>
              </w:pPr>
            </w:p>
            <w:p w:rsidR="00B637B2" w:rsidRPr="00D675FC" w:rsidRDefault="008F04CF" w:rsidP="00B637B2">
              <w:pPr>
                <w:rPr>
                  <w:szCs w:val="21"/>
                </w:rPr>
              </w:pPr>
              <w:r w:rsidRPr="00D675FC">
                <w:rPr>
                  <w:rFonts w:hint="eastAsia"/>
                  <w:szCs w:val="21"/>
                </w:rPr>
                <w:t>以常规方式买卖金融资产，按交易日会计进行确认和终止确认。常规方式买卖金融资产，是指按照合同条款的约定，在法规或通行惯例规定的期限内收取或交付金融资产。交易日，是指本集团承诺买入或卖出金融资产的日期。</w:t>
              </w:r>
            </w:p>
            <w:p w:rsidR="00B637B2" w:rsidRPr="00D675FC" w:rsidRDefault="00B637B2" w:rsidP="00B637B2">
              <w:pPr>
                <w:rPr>
                  <w:szCs w:val="21"/>
                </w:rPr>
              </w:pPr>
            </w:p>
            <w:p w:rsidR="00B637B2" w:rsidRPr="00D675FC" w:rsidRDefault="008F04CF" w:rsidP="00B637B2">
              <w:pPr>
                <w:rPr>
                  <w:szCs w:val="21"/>
                </w:rPr>
              </w:pPr>
              <w:r w:rsidRPr="00D675FC">
                <w:rPr>
                  <w:rFonts w:hint="eastAsia"/>
                  <w:szCs w:val="21"/>
                </w:rPr>
                <w:t>金融资产分类和计量</w:t>
              </w:r>
            </w:p>
            <w:p w:rsidR="00B637B2" w:rsidRPr="00D675FC" w:rsidRDefault="00B637B2" w:rsidP="00B637B2">
              <w:pPr>
                <w:rPr>
                  <w:szCs w:val="21"/>
                </w:rPr>
              </w:pPr>
            </w:p>
            <w:p w:rsidR="00B637B2" w:rsidRPr="00D675FC" w:rsidRDefault="008F04CF" w:rsidP="00B637B2">
              <w:pPr>
                <w:rPr>
                  <w:szCs w:val="21"/>
                </w:rPr>
              </w:pPr>
              <w:r w:rsidRPr="00D675FC">
                <w:rPr>
                  <w:rFonts w:hint="eastAsia"/>
                  <w:szCs w:val="21"/>
                </w:rPr>
                <w:t>本集团的金融资产于初始确认时分类为：贷款和应收款项及可供出售金融资产。金融资产在初始确认时以公允价值计量。对于以公允价值计量且其变动计入当期损益的金融资产，相关交易费用直接计入当期损益，其他类别的金融资产相关交易费用计入其初始确认金额。</w:t>
              </w:r>
            </w:p>
            <w:p w:rsidR="00B637B2" w:rsidRPr="00D675FC" w:rsidRDefault="00B637B2" w:rsidP="00B637B2">
              <w:pPr>
                <w:rPr>
                  <w:szCs w:val="21"/>
                </w:rPr>
              </w:pPr>
            </w:p>
            <w:p w:rsidR="00B637B2" w:rsidRPr="00D675FC" w:rsidRDefault="008F04CF" w:rsidP="00B637B2">
              <w:pPr>
                <w:rPr>
                  <w:szCs w:val="21"/>
                </w:rPr>
              </w:pPr>
              <w:r w:rsidRPr="00D675FC">
                <w:rPr>
                  <w:rFonts w:hint="eastAsia"/>
                  <w:szCs w:val="21"/>
                </w:rPr>
                <w:t>金融资产的后续计量取决于其分类：</w:t>
              </w:r>
            </w:p>
            <w:p w:rsidR="00B637B2" w:rsidRPr="00D675FC" w:rsidRDefault="00B637B2" w:rsidP="00B637B2">
              <w:pPr>
                <w:rPr>
                  <w:szCs w:val="21"/>
                </w:rPr>
              </w:pPr>
            </w:p>
            <w:p w:rsidR="00B637B2" w:rsidRPr="00D675FC" w:rsidRDefault="008F04CF" w:rsidP="00B637B2">
              <w:pPr>
                <w:rPr>
                  <w:szCs w:val="21"/>
                </w:rPr>
              </w:pPr>
              <w:r w:rsidRPr="00D675FC">
                <w:rPr>
                  <w:rFonts w:hint="eastAsia"/>
                  <w:szCs w:val="21"/>
                </w:rPr>
                <w:t>贷款和应收款项</w:t>
              </w:r>
            </w:p>
            <w:p w:rsidR="00B637B2" w:rsidRPr="00D675FC" w:rsidRDefault="008F04CF" w:rsidP="00B637B2">
              <w:pPr>
                <w:rPr>
                  <w:szCs w:val="21"/>
                </w:rPr>
              </w:pPr>
              <w:r w:rsidRPr="00D675FC">
                <w:rPr>
                  <w:rFonts w:hint="eastAsia"/>
                  <w:szCs w:val="21"/>
                </w:rPr>
                <w:t>贷款和应收款项，是指在活跃市场中没有报价、回收金额固定或可确定的非衍生金融资产。对于此类金融资产，采用实际利率法，按照摊余成本进行后续计量，其摊销或减值产生的利得或损失，均计入当期损益。</w:t>
              </w:r>
            </w:p>
            <w:p w:rsidR="00B637B2" w:rsidRPr="00D675FC" w:rsidRDefault="00B637B2" w:rsidP="00B637B2">
              <w:pPr>
                <w:rPr>
                  <w:szCs w:val="21"/>
                </w:rPr>
              </w:pPr>
            </w:p>
            <w:p w:rsidR="00B637B2" w:rsidRPr="00D675FC" w:rsidRDefault="008F04CF" w:rsidP="00B637B2">
              <w:pPr>
                <w:rPr>
                  <w:szCs w:val="21"/>
                </w:rPr>
              </w:pPr>
              <w:r w:rsidRPr="00D675FC">
                <w:rPr>
                  <w:rFonts w:hint="eastAsia"/>
                  <w:szCs w:val="21"/>
                </w:rPr>
                <w:t>可供出售金融资产</w:t>
              </w:r>
            </w:p>
            <w:p w:rsidR="00B637B2" w:rsidRPr="00D675FC" w:rsidRDefault="008F04CF" w:rsidP="00B637B2">
              <w:pPr>
                <w:rPr>
                  <w:szCs w:val="21"/>
                </w:rPr>
              </w:pPr>
              <w:r w:rsidRPr="00D675FC">
                <w:rPr>
                  <w:rFonts w:hint="eastAsia"/>
                  <w:szCs w:val="21"/>
                </w:rPr>
                <w:t>可供出售金融资产，是指初始确认时即指定为可供出售的非衍生金融资产，以及除上述金融资产类别以外的金融资产。对于此类金融资产，采用公允价值进行后续计量。其折价或溢价采用实际利率法进行摊销并确认为利息收入或费用。除减值损失及外币货币性金融资产的汇兑差额确认为当期损益外，可供出售金融资产的公允价值变动作为其他综合收益确认，直到该金融资产终止确认或发生减值时，其累计利得或损失转入当期损益。与可供出售金融资产相关的股利或利息收入，计入当期损益。</w:t>
              </w:r>
            </w:p>
            <w:p w:rsidR="00B637B2" w:rsidRPr="00D675FC" w:rsidRDefault="00B637B2" w:rsidP="00B637B2">
              <w:pPr>
                <w:rPr>
                  <w:szCs w:val="21"/>
                </w:rPr>
              </w:pPr>
            </w:p>
            <w:p w:rsidR="00B637B2" w:rsidRDefault="008F04CF" w:rsidP="00B637B2">
              <w:pPr>
                <w:rPr>
                  <w:szCs w:val="21"/>
                </w:rPr>
              </w:pPr>
              <w:r w:rsidRPr="00D675FC">
                <w:rPr>
                  <w:rFonts w:hint="eastAsia"/>
                  <w:szCs w:val="21"/>
                </w:rPr>
                <w:t>对于在活跃市场中没有报价且其公允价值不能可靠计量的权益工具投资，按成本计量。</w:t>
              </w:r>
            </w:p>
            <w:p w:rsidR="00B637B2" w:rsidRDefault="00B637B2" w:rsidP="00B637B2">
              <w:pPr>
                <w:rPr>
                  <w:szCs w:val="21"/>
                </w:rPr>
              </w:pPr>
            </w:p>
            <w:p w:rsidR="00B637B2" w:rsidRPr="00D675FC" w:rsidRDefault="008F04CF" w:rsidP="00B637B2">
              <w:pPr>
                <w:rPr>
                  <w:szCs w:val="21"/>
                </w:rPr>
              </w:pPr>
              <w:r w:rsidRPr="00D675FC">
                <w:rPr>
                  <w:rFonts w:hint="eastAsia"/>
                  <w:szCs w:val="21"/>
                </w:rPr>
                <w:t>本集团的金融负债于初始确认时分类为其他金融负债。其他金融负债的相关交易费用计入其初始确认金额。</w:t>
              </w:r>
            </w:p>
            <w:p w:rsidR="00B637B2" w:rsidRPr="00D675FC" w:rsidRDefault="00B637B2" w:rsidP="00B637B2">
              <w:pPr>
                <w:rPr>
                  <w:szCs w:val="21"/>
                </w:rPr>
              </w:pPr>
            </w:p>
            <w:p w:rsidR="00B637B2" w:rsidRPr="00D675FC" w:rsidRDefault="008F04CF" w:rsidP="00B637B2">
              <w:pPr>
                <w:rPr>
                  <w:szCs w:val="21"/>
                </w:rPr>
              </w:pPr>
              <w:r w:rsidRPr="00D675FC">
                <w:rPr>
                  <w:rFonts w:hint="eastAsia"/>
                  <w:szCs w:val="21"/>
                </w:rPr>
                <w:t>金融负债的后续计量取决于其分类：</w:t>
              </w:r>
            </w:p>
            <w:p w:rsidR="00B637B2" w:rsidRPr="00D675FC" w:rsidRDefault="00B637B2" w:rsidP="00B637B2">
              <w:pPr>
                <w:rPr>
                  <w:szCs w:val="21"/>
                </w:rPr>
              </w:pPr>
            </w:p>
            <w:p w:rsidR="00B637B2" w:rsidRPr="00D675FC" w:rsidRDefault="008F04CF" w:rsidP="00B637B2">
              <w:pPr>
                <w:rPr>
                  <w:szCs w:val="21"/>
                </w:rPr>
              </w:pPr>
              <w:r w:rsidRPr="00D675FC">
                <w:rPr>
                  <w:rFonts w:hint="eastAsia"/>
                  <w:szCs w:val="21"/>
                </w:rPr>
                <w:t>其他金融负债</w:t>
              </w:r>
            </w:p>
            <w:p w:rsidR="00B637B2" w:rsidRPr="00D675FC" w:rsidRDefault="008F04CF" w:rsidP="00B637B2">
              <w:pPr>
                <w:rPr>
                  <w:szCs w:val="21"/>
                </w:rPr>
              </w:pPr>
              <w:r w:rsidRPr="00D675FC">
                <w:rPr>
                  <w:rFonts w:hint="eastAsia"/>
                  <w:szCs w:val="21"/>
                </w:rPr>
                <w:t>对于此类金融负债，采用实际利率法，按照摊余成本进行后续计量。</w:t>
              </w:r>
            </w:p>
            <w:p w:rsidR="00B637B2" w:rsidRPr="00D675FC" w:rsidRDefault="00B637B2" w:rsidP="00B637B2">
              <w:pPr>
                <w:rPr>
                  <w:szCs w:val="21"/>
                </w:rPr>
              </w:pPr>
            </w:p>
            <w:p w:rsidR="00B637B2" w:rsidRPr="00D675FC" w:rsidRDefault="008F04CF" w:rsidP="00B637B2">
              <w:pPr>
                <w:rPr>
                  <w:szCs w:val="21"/>
                </w:rPr>
              </w:pPr>
              <w:r w:rsidRPr="00D675FC">
                <w:rPr>
                  <w:rFonts w:hint="eastAsia"/>
                  <w:szCs w:val="21"/>
                </w:rPr>
                <w:t>金融资产减值</w:t>
              </w:r>
            </w:p>
            <w:p w:rsidR="00B637B2" w:rsidRPr="00D675FC" w:rsidRDefault="00B637B2" w:rsidP="00B637B2">
              <w:pPr>
                <w:rPr>
                  <w:szCs w:val="21"/>
                </w:rPr>
              </w:pPr>
            </w:p>
            <w:p w:rsidR="00B637B2" w:rsidRPr="00D675FC" w:rsidRDefault="008F04CF" w:rsidP="00B637B2">
              <w:pPr>
                <w:rPr>
                  <w:szCs w:val="21"/>
                </w:rPr>
              </w:pPr>
              <w:r w:rsidRPr="00D675FC">
                <w:rPr>
                  <w:rFonts w:hint="eastAsia"/>
                  <w:szCs w:val="21"/>
                </w:rPr>
                <w:lastRenderedPageBreak/>
                <w:t>本集团于资产负债表日对金融资产的账面价值进行检查，有客观证据表明该金融资产发生减值的，计提减值准备。表明金融资产发生减值的客观证据，是指金融资产初始确认后实际发生的、对该金融资产的预计未来现金流量有影响，且企业能够对该影响进行可靠计量的事项。金融资产发生减值的客观证据，包括发行人或债务人发生严重财务困难、债务人违反合同条款</w:t>
              </w:r>
              <w:r w:rsidRPr="00D675FC">
                <w:rPr>
                  <w:szCs w:val="21"/>
                </w:rPr>
                <w:t>(如偿付利息或本金发生违约或逾期等)、债务人很可能倒闭或进行其他财务重组，以及公开的数据显示预计未来现金流量确已减少且可计量。</w:t>
              </w:r>
            </w:p>
            <w:p w:rsidR="00B637B2" w:rsidRPr="00D675FC" w:rsidRDefault="00B637B2" w:rsidP="00B637B2">
              <w:pPr>
                <w:rPr>
                  <w:szCs w:val="21"/>
                </w:rPr>
              </w:pPr>
            </w:p>
            <w:p w:rsidR="00B637B2" w:rsidRPr="00D675FC" w:rsidRDefault="008F04CF" w:rsidP="00B637B2">
              <w:pPr>
                <w:rPr>
                  <w:szCs w:val="21"/>
                </w:rPr>
              </w:pPr>
              <w:r w:rsidRPr="00D675FC">
                <w:rPr>
                  <w:rFonts w:hint="eastAsia"/>
                  <w:szCs w:val="21"/>
                </w:rPr>
                <w:t>以摊余成本计量的金融资产</w:t>
              </w:r>
            </w:p>
            <w:p w:rsidR="00B637B2" w:rsidRPr="00D675FC" w:rsidRDefault="008F04CF" w:rsidP="00B637B2">
              <w:pPr>
                <w:rPr>
                  <w:szCs w:val="21"/>
                </w:rPr>
              </w:pPr>
              <w:r w:rsidRPr="00D675FC">
                <w:rPr>
                  <w:rFonts w:hint="eastAsia"/>
                  <w:szCs w:val="21"/>
                </w:rPr>
                <w:t>发生减值时，将该金融资产的账面通过备抵项目价值减记至预计未来现金流量</w:t>
              </w:r>
              <w:r w:rsidRPr="00D675FC">
                <w:rPr>
                  <w:szCs w:val="21"/>
                </w:rPr>
                <w:t>(不包括尚未发生的未来信用损失)现值，减记金额计入当期损益。预计未来现金流量现值，按照该金融资产原实际利率(即初始确认时计算确定的实际利率)折现确定，并考虑相关担保物的价值。减值后利息收入按照确定减值损失时对未来现金流量进行折现采用的折现率作为利率计算确认。对于贷款和应收款项，如果没有未来收回的现实预期且所有抵押品均已变现或已转入本集团，则转销贷款和应收款项以及与之相关的减值准备。</w:t>
              </w:r>
            </w:p>
            <w:p w:rsidR="00B637B2" w:rsidRPr="00D675FC" w:rsidRDefault="00B637B2" w:rsidP="00B637B2">
              <w:pPr>
                <w:rPr>
                  <w:szCs w:val="21"/>
                </w:rPr>
              </w:pPr>
            </w:p>
            <w:p w:rsidR="00B637B2" w:rsidRPr="00D675FC" w:rsidRDefault="008F04CF" w:rsidP="00B637B2">
              <w:pPr>
                <w:rPr>
                  <w:szCs w:val="21"/>
                </w:rPr>
              </w:pPr>
              <w:r w:rsidRPr="00D675FC">
                <w:rPr>
                  <w:rFonts w:hint="eastAsia"/>
                  <w:szCs w:val="21"/>
                </w:rPr>
                <w:t>对单项金额重大的金融资产单独进行减值测试，如有客观证据表明其已发生减值，确认减值损失，计入当期损益。对单项金额不重大的金融资产，包括在具有类似信用风险特征的金融资产组合中进行减值测试。单独测试未发生减值的金融资产</w:t>
              </w:r>
              <w:r w:rsidRPr="00D675FC">
                <w:rPr>
                  <w:szCs w:val="21"/>
                </w:rPr>
                <w:t>(包括单项金额重大和不重大的金融资产)，包括在具有类似信用风险特征的金融资产组合中再进行减值测试。已单项确认减值损失的金融资产，不包括在具有类似信用风险特征的金融资产组合中进行减值测试。</w:t>
              </w:r>
            </w:p>
            <w:p w:rsidR="00B637B2" w:rsidRPr="00D675FC" w:rsidRDefault="00B637B2" w:rsidP="00B637B2">
              <w:pPr>
                <w:rPr>
                  <w:szCs w:val="21"/>
                </w:rPr>
              </w:pPr>
            </w:p>
            <w:p w:rsidR="00B637B2" w:rsidRDefault="008F04CF" w:rsidP="00B637B2">
              <w:pPr>
                <w:rPr>
                  <w:szCs w:val="21"/>
                </w:rPr>
              </w:pPr>
              <w:r w:rsidRPr="00D675FC">
                <w:rPr>
                  <w:rFonts w:hint="eastAsia"/>
                  <w:szCs w:val="21"/>
                </w:rPr>
                <w:t>本集团对以摊余成本计量的金融资产确认减值损失后，如有客观证据表明该金融资产价值已恢复，且客观上与确认该损失后发生的事项有关，原确认的减值损失予以转回，计入当期损益。但是，该转回后的账面价值不超过假定不计提减值准备情况下该金融资产在转回日的摊余成本。</w:t>
              </w:r>
            </w:p>
            <w:p w:rsidR="00B637B2" w:rsidRDefault="00B637B2" w:rsidP="00B637B2">
              <w:pPr>
                <w:rPr>
                  <w:szCs w:val="21"/>
                </w:rPr>
              </w:pPr>
            </w:p>
            <w:p w:rsidR="00B637B2" w:rsidRPr="00D675FC" w:rsidRDefault="008F04CF" w:rsidP="00B637B2">
              <w:pPr>
                <w:rPr>
                  <w:szCs w:val="21"/>
                </w:rPr>
              </w:pPr>
              <w:r w:rsidRPr="00D675FC">
                <w:rPr>
                  <w:rFonts w:hint="eastAsia"/>
                  <w:szCs w:val="21"/>
                </w:rPr>
                <w:t>可供出售金融资产</w:t>
              </w:r>
            </w:p>
            <w:p w:rsidR="00B637B2" w:rsidRPr="00D675FC" w:rsidRDefault="008F04CF" w:rsidP="00B637B2">
              <w:pPr>
                <w:rPr>
                  <w:szCs w:val="21"/>
                </w:rPr>
              </w:pPr>
              <w:r w:rsidRPr="00D675FC">
                <w:rPr>
                  <w:rFonts w:hint="eastAsia"/>
                  <w:szCs w:val="21"/>
                </w:rPr>
                <w:t>如果有客观证据表明该金融资产发生减值，原计入其他综合收益的因公允价值下降形成的累计损失，予以转出，计入当期损益。该转出的累计损失，为可供出售金融资产的初始取得成本扣除已收回本金和已摊销金额、当前公允价值和原已计入损益的减值损失后的余额。</w:t>
              </w:r>
            </w:p>
            <w:p w:rsidR="00B637B2" w:rsidRPr="00D675FC" w:rsidRDefault="00B637B2" w:rsidP="00B637B2">
              <w:pPr>
                <w:rPr>
                  <w:szCs w:val="21"/>
                </w:rPr>
              </w:pPr>
            </w:p>
            <w:p w:rsidR="00B637B2" w:rsidRPr="00D675FC" w:rsidRDefault="008F04CF" w:rsidP="00B637B2">
              <w:pPr>
                <w:rPr>
                  <w:szCs w:val="21"/>
                </w:rPr>
              </w:pPr>
              <w:r w:rsidRPr="00D675FC">
                <w:rPr>
                  <w:rFonts w:hint="eastAsia"/>
                  <w:szCs w:val="21"/>
                </w:rPr>
                <w:t>可供出售权益工具投资发生减值的客观证据，包括公允价值发生严重或非暂时性下跌。“严重”根据公允价值低于成本的程度进行判断，“非暂时性”根据公允价值低于成本的期间长短进行判断。存在发生减值的客观证据的，转出的累计损失，为取得成本扣除当前公允价值和原已计入损益的减值损失后的余额。可供出售权益工具投资发生的减值损失，不通过损益转回，减值之后发生的公允价值增加直接在其他综合收益中确认。</w:t>
              </w:r>
            </w:p>
            <w:p w:rsidR="00B637B2" w:rsidRPr="00D675FC" w:rsidRDefault="00B637B2" w:rsidP="00B637B2">
              <w:pPr>
                <w:rPr>
                  <w:szCs w:val="21"/>
                </w:rPr>
              </w:pPr>
            </w:p>
            <w:p w:rsidR="00B637B2" w:rsidRPr="00D675FC" w:rsidRDefault="008F04CF" w:rsidP="00B637B2">
              <w:pPr>
                <w:rPr>
                  <w:szCs w:val="21"/>
                </w:rPr>
              </w:pPr>
              <w:r w:rsidRPr="00D675FC">
                <w:rPr>
                  <w:rFonts w:hint="eastAsia"/>
                  <w:szCs w:val="21"/>
                </w:rPr>
                <w:t>在确定何谓“严重”或“非暂时性”时，需要进行判断。本集团根据公允价值低于成本的程度或期间长短，结合其他因素进行判断。</w:t>
              </w:r>
            </w:p>
            <w:p w:rsidR="00B637B2" w:rsidRPr="00D675FC" w:rsidRDefault="00B637B2" w:rsidP="00B637B2">
              <w:pPr>
                <w:rPr>
                  <w:szCs w:val="21"/>
                </w:rPr>
              </w:pPr>
            </w:p>
            <w:p w:rsidR="00B637B2" w:rsidRPr="00D675FC" w:rsidRDefault="008F04CF" w:rsidP="00B637B2">
              <w:pPr>
                <w:rPr>
                  <w:szCs w:val="21"/>
                </w:rPr>
              </w:pPr>
              <w:r w:rsidRPr="00D675FC">
                <w:rPr>
                  <w:rFonts w:hint="eastAsia"/>
                  <w:szCs w:val="21"/>
                </w:rPr>
                <w:t>对于可供出售债务工具投资，其减值按照与以摊余成本计量的金融资产相同的方法评估。不过，转出的累计损失，为摊余成本扣除当前公允价值和原已计入损益的减值损失后的余额。减值后利息收入按照确定减值损失时对未来现金流量进行折现采用的折现率作为利率计算确认。</w:t>
              </w:r>
            </w:p>
            <w:p w:rsidR="00B637B2" w:rsidRPr="00D675FC" w:rsidRDefault="00B637B2" w:rsidP="00B637B2">
              <w:pPr>
                <w:rPr>
                  <w:szCs w:val="21"/>
                </w:rPr>
              </w:pPr>
            </w:p>
            <w:p w:rsidR="00B637B2" w:rsidRPr="00D675FC" w:rsidRDefault="008F04CF" w:rsidP="00B637B2">
              <w:pPr>
                <w:rPr>
                  <w:szCs w:val="21"/>
                </w:rPr>
              </w:pPr>
              <w:r w:rsidRPr="00D675FC">
                <w:rPr>
                  <w:rFonts w:hint="eastAsia"/>
                  <w:szCs w:val="21"/>
                </w:rPr>
                <w:t>对于已确认减值损失的可供出售债务工具，在随后的会计期间公允价值已上升且客观上与确认原减值损失确认后发生的事项有关的，原确认的减值损失予以转回，计入当期损益。</w:t>
              </w:r>
            </w:p>
            <w:p w:rsidR="00B637B2" w:rsidRPr="00D675FC" w:rsidRDefault="00B637B2" w:rsidP="00B637B2">
              <w:pPr>
                <w:rPr>
                  <w:szCs w:val="21"/>
                </w:rPr>
              </w:pPr>
            </w:p>
            <w:p w:rsidR="00B637B2" w:rsidRPr="00D675FC" w:rsidRDefault="008F04CF" w:rsidP="00B637B2">
              <w:pPr>
                <w:rPr>
                  <w:szCs w:val="21"/>
                </w:rPr>
              </w:pPr>
              <w:r w:rsidRPr="00D675FC">
                <w:rPr>
                  <w:rFonts w:hint="eastAsia"/>
                  <w:szCs w:val="21"/>
                </w:rPr>
                <w:t>以成本计量的金融资产</w:t>
              </w:r>
            </w:p>
            <w:p w:rsidR="00B637B2" w:rsidRDefault="008F04CF" w:rsidP="00B637B2">
              <w:pPr>
                <w:rPr>
                  <w:szCs w:val="21"/>
                </w:rPr>
              </w:pPr>
              <w:r w:rsidRPr="00D675FC">
                <w:rPr>
                  <w:rFonts w:hint="eastAsia"/>
                  <w:szCs w:val="21"/>
                </w:rPr>
                <w:t>如果有客观证据表明该金融资产发生减值，将该金融资产的账面价值，与按照类似金融资产当时市场收益率对未来现金流量折现确定的现值之间的差额，确认为减值损失，计入当期损益。发生的减值损失一经确认，不再转回。</w:t>
              </w:r>
            </w:p>
            <w:p w:rsidR="00ED2DC7" w:rsidRDefault="000D0A99">
              <w:pPr>
                <w:rPr>
                  <w:szCs w:val="21"/>
                </w:rPr>
              </w:pPr>
            </w:p>
          </w:sdtContent>
        </w:sdt>
      </w:sdtContent>
    </w:sdt>
    <w:p w:rsidR="00ED2DC7" w:rsidRDefault="00ED2DC7">
      <w:pPr>
        <w:rPr>
          <w:szCs w:val="21"/>
        </w:rPr>
      </w:pPr>
    </w:p>
    <w:sdt>
      <w:sdtPr>
        <w:rPr>
          <w:rFonts w:ascii="宋体" w:hAnsi="宋体" w:cs="宋体" w:hint="eastAsia"/>
          <w:b w:val="0"/>
          <w:bCs w:val="0"/>
          <w:kern w:val="0"/>
          <w:szCs w:val="21"/>
        </w:rPr>
        <w:alias w:val="模块:应收票据应收票据的预期信用损失的确定方法及会计处理方法"/>
        <w:tag w:val="_SEC_fe6dfe1a730f4d3183b25ca057cb8f6a"/>
        <w:id w:val="-950777481"/>
        <w:lock w:val="sdtLocked"/>
        <w:placeholder>
          <w:docPart w:val="GBC22222222222222222222222222222"/>
        </w:placeholder>
      </w:sdtPr>
      <w:sdtEndPr>
        <w:rPr>
          <w:rFonts w:hint="default"/>
        </w:rPr>
      </w:sdtEndPr>
      <w:sdtContent>
        <w:p w:rsidR="00ED2DC7" w:rsidRDefault="00ED2DC7" w:rsidP="00036BDC">
          <w:pPr>
            <w:pStyle w:val="affffffffffffffffff1"/>
            <w:numPr>
              <w:ilvl w:val="0"/>
              <w:numId w:val="38"/>
            </w:numPr>
            <w:rPr>
              <w:szCs w:val="21"/>
            </w:rPr>
          </w:pPr>
          <w:r>
            <w:rPr>
              <w:rFonts w:hint="eastAsia"/>
              <w:szCs w:val="21"/>
            </w:rPr>
            <w:t>应收票据</w:t>
          </w:r>
        </w:p>
        <w:p w:rsidR="00ED2DC7" w:rsidRDefault="00ED2DC7">
          <w:pPr>
            <w:pStyle w:val="affffffffffffffffff2"/>
          </w:pPr>
          <w:r>
            <w:rPr>
              <w:rFonts w:hint="eastAsia"/>
            </w:rPr>
            <w:t>应收票据的预期信用损失的确定方法及会计处理方法</w:t>
          </w:r>
        </w:p>
        <w:sdt>
          <w:sdtPr>
            <w:rPr>
              <w:szCs w:val="21"/>
            </w:rPr>
            <w:alias w:val="是否适用：应收票据的预期信用损失的确定方法及会计处理方法[双击切换]"/>
            <w:tag w:val="_GBC_ba8bc88e72f44e2da5528a3b21ae6dd5"/>
            <w:id w:val="-1618210324"/>
            <w:lock w:val="sdtContentLocked"/>
            <w:placeholder>
              <w:docPart w:val="GBC22222222222222222222222222222"/>
            </w:placeholder>
          </w:sdtPr>
          <w:sdtContent>
            <w:p w:rsidR="00B637B2" w:rsidRDefault="00ED2DC7" w:rsidP="00B637B2">
              <w:pPr>
                <w:rPr>
                  <w:szCs w:val="21"/>
                </w:rPr>
              </w:pPr>
              <w:r>
                <w:rPr>
                  <w:szCs w:val="21"/>
                </w:rPr>
                <w:fldChar w:fldCharType="begin"/>
              </w:r>
              <w:r w:rsidR="008F04CF">
                <w:rPr>
                  <w:szCs w:val="21"/>
                </w:rPr>
                <w:instrText xml:space="preserve"> MACROBUTTON  SnrToggleCheckbox □适用 </w:instrText>
              </w:r>
              <w:r>
                <w:rPr>
                  <w:szCs w:val="21"/>
                </w:rPr>
                <w:fldChar w:fldCharType="end"/>
              </w:r>
              <w:r>
                <w:rPr>
                  <w:szCs w:val="21"/>
                </w:rPr>
                <w:fldChar w:fldCharType="begin"/>
              </w:r>
              <w:r w:rsidR="008F04CF">
                <w:rPr>
                  <w:szCs w:val="21"/>
                </w:rPr>
                <w:instrText xml:space="preserve"> MACROBUTTON  SnrToggleCheckbox √不适用 </w:instrText>
              </w:r>
              <w:r>
                <w:rPr>
                  <w:szCs w:val="21"/>
                </w:rPr>
                <w:fldChar w:fldCharType="end"/>
              </w:r>
            </w:p>
          </w:sdtContent>
        </w:sdt>
        <w:p w:rsidR="00ED2DC7" w:rsidRDefault="000D0A99" w:rsidP="00086F8E">
          <w:pPr>
            <w:rPr>
              <w:szCs w:val="21"/>
            </w:rPr>
          </w:pPr>
        </w:p>
      </w:sdtContent>
    </w:sdt>
    <w:p w:rsidR="00ED2DC7" w:rsidRDefault="00ED2DC7">
      <w:pPr>
        <w:rPr>
          <w:szCs w:val="21"/>
        </w:rPr>
      </w:pPr>
    </w:p>
    <w:sdt>
      <w:sdtPr>
        <w:rPr>
          <w:rFonts w:ascii="宋体" w:hAnsi="宋体" w:cs="宋体" w:hint="eastAsia"/>
          <w:b w:val="0"/>
          <w:bCs w:val="0"/>
          <w:kern w:val="0"/>
          <w:szCs w:val="21"/>
        </w:rPr>
        <w:alias w:val="模块:应收账款应收账款的预期信用损失的确定方法及会计处理方法"/>
        <w:tag w:val="_SEC_6a9a70c8b5914d5d85ea9b8f86eb6ec8"/>
        <w:id w:val="-741177292"/>
        <w:lock w:val="sdtLocked"/>
        <w:placeholder>
          <w:docPart w:val="GBC22222222222222222222222222222"/>
        </w:placeholder>
      </w:sdtPr>
      <w:sdtEndPr>
        <w:rPr>
          <w:rFonts w:hint="default"/>
        </w:rPr>
      </w:sdtEndPr>
      <w:sdtContent>
        <w:p w:rsidR="00ED2DC7" w:rsidRDefault="00ED2DC7" w:rsidP="00036BDC">
          <w:pPr>
            <w:pStyle w:val="affffffffffffffffff1"/>
            <w:numPr>
              <w:ilvl w:val="0"/>
              <w:numId w:val="38"/>
            </w:numPr>
            <w:rPr>
              <w:szCs w:val="21"/>
            </w:rPr>
          </w:pPr>
          <w:r>
            <w:rPr>
              <w:rFonts w:hint="eastAsia"/>
              <w:szCs w:val="21"/>
            </w:rPr>
            <w:t>应收账款</w:t>
          </w:r>
        </w:p>
        <w:p w:rsidR="00ED2DC7" w:rsidRDefault="00ED2DC7">
          <w:pPr>
            <w:pStyle w:val="affffffffffffffffff2"/>
            <w:rPr>
              <w:szCs w:val="21"/>
            </w:rPr>
          </w:pPr>
          <w:r>
            <w:rPr>
              <w:rFonts w:hint="eastAsia"/>
              <w:szCs w:val="21"/>
            </w:rPr>
            <w:t>应收账款的预期信用损失的确定方法及会计处理方法</w:t>
          </w:r>
        </w:p>
        <w:sdt>
          <w:sdtPr>
            <w:rPr>
              <w:szCs w:val="21"/>
            </w:rPr>
            <w:alias w:val="是否适用：应收账款的预期信用损失的确定方法及会计处理方法[双击切换]"/>
            <w:tag w:val="_GBC_85321f727b7446de9dc351948c740baa"/>
            <w:id w:val="-1629697648"/>
            <w:lock w:val="sdtContentLocked"/>
            <w:placeholder>
              <w:docPart w:val="GBC22222222222222222222222222222"/>
            </w:placeholder>
          </w:sdtPr>
          <w:sdtContent>
            <w:p w:rsidR="00ED2DC7" w:rsidRDefault="00ED2DC7">
              <w:pPr>
                <w:rPr>
                  <w:szCs w:val="21"/>
                </w:rPr>
              </w:pPr>
              <w:r>
                <w:rPr>
                  <w:szCs w:val="21"/>
                </w:rPr>
                <w:fldChar w:fldCharType="begin"/>
              </w:r>
              <w:r w:rsidR="00086F8E">
                <w:rPr>
                  <w:szCs w:val="21"/>
                </w:rPr>
                <w:instrText xml:space="preserve"> MACROBUTTON  SnrToggleCheckbox √适用 </w:instrText>
              </w:r>
              <w:r>
                <w:rPr>
                  <w:szCs w:val="21"/>
                </w:rPr>
                <w:fldChar w:fldCharType="end"/>
              </w:r>
              <w:r>
                <w:rPr>
                  <w:szCs w:val="21"/>
                </w:rPr>
                <w:fldChar w:fldCharType="begin"/>
              </w:r>
              <w:r w:rsidR="00086F8E">
                <w:rPr>
                  <w:szCs w:val="21"/>
                </w:rPr>
                <w:instrText xml:space="preserve"> MACROBUTTON  SnrToggleCheckbox □不适用 </w:instrText>
              </w:r>
              <w:r>
                <w:rPr>
                  <w:szCs w:val="21"/>
                </w:rPr>
                <w:fldChar w:fldCharType="end"/>
              </w:r>
            </w:p>
          </w:sdtContent>
        </w:sdt>
        <w:sdt>
          <w:sdtPr>
            <w:rPr>
              <w:szCs w:val="21"/>
            </w:rPr>
            <w:alias w:val="应收账款的预期信用损失的确定方法及会计处理方法"/>
            <w:tag w:val="_GBC_36dd56898f2645fc967bf4d53ee8ecdb"/>
            <w:id w:val="47496106"/>
            <w:lock w:val="sdtLocked"/>
            <w:placeholder>
              <w:docPart w:val="GBC22222222222222222222222222222"/>
            </w:placeholder>
          </w:sdtPr>
          <w:sdtContent>
            <w:p w:rsidR="00086F8E" w:rsidRPr="00086F8E" w:rsidRDefault="00086F8E" w:rsidP="00086F8E">
              <w:pPr>
                <w:overflowPunct w:val="0"/>
                <w:autoSpaceDE w:val="0"/>
                <w:autoSpaceDN w:val="0"/>
                <w:adjustRightInd w:val="0"/>
                <w:snapToGrid w:val="0"/>
                <w:ind w:left="720" w:hanging="720"/>
                <w:jc w:val="both"/>
                <w:textAlignment w:val="bottom"/>
                <w:rPr>
                  <w:rFonts w:cs="Arial"/>
                  <w:sz w:val="20"/>
                  <w:szCs w:val="20"/>
                </w:rPr>
              </w:pPr>
              <w:r w:rsidRPr="00086F8E">
                <w:rPr>
                  <w:rFonts w:cs="Arial" w:hint="eastAsia"/>
                  <w:sz w:val="20"/>
                  <w:szCs w:val="20"/>
                </w:rPr>
                <w:t>本集团2019 年 1 月 1 日前应收款项坏账准备的确认标准和计提方法如下：</w:t>
              </w:r>
            </w:p>
            <w:p w:rsidR="00086F8E" w:rsidRPr="00086F8E" w:rsidRDefault="00086F8E" w:rsidP="00086F8E">
              <w:pPr>
                <w:overflowPunct w:val="0"/>
                <w:autoSpaceDE w:val="0"/>
                <w:autoSpaceDN w:val="0"/>
                <w:adjustRightInd w:val="0"/>
                <w:snapToGrid w:val="0"/>
                <w:ind w:left="720" w:hanging="720"/>
                <w:jc w:val="both"/>
                <w:textAlignment w:val="bottom"/>
                <w:rPr>
                  <w:rFonts w:cs="Arial"/>
                  <w:sz w:val="20"/>
                  <w:szCs w:val="20"/>
                </w:rPr>
              </w:pPr>
            </w:p>
            <w:p w:rsidR="00086F8E" w:rsidRPr="00086F8E" w:rsidRDefault="00086F8E" w:rsidP="00086F8E">
              <w:pPr>
                <w:overflowPunct w:val="0"/>
                <w:autoSpaceDE w:val="0"/>
                <w:autoSpaceDN w:val="0"/>
                <w:adjustRightInd w:val="0"/>
                <w:snapToGrid w:val="0"/>
                <w:ind w:left="720" w:hanging="720"/>
                <w:jc w:val="both"/>
                <w:textAlignment w:val="bottom"/>
                <w:rPr>
                  <w:rFonts w:cs="Arial"/>
                  <w:sz w:val="20"/>
                  <w:szCs w:val="20"/>
                  <w:u w:val="single"/>
                </w:rPr>
              </w:pPr>
              <w:r w:rsidRPr="00086F8E">
                <w:rPr>
                  <w:rFonts w:cs="Arial" w:hint="eastAsia"/>
                  <w:sz w:val="20"/>
                  <w:szCs w:val="20"/>
                  <w:u w:val="single"/>
                </w:rPr>
                <w:t>单项金额重大并单独计提坏账准备的应收款项</w:t>
              </w:r>
            </w:p>
            <w:p w:rsidR="00086F8E" w:rsidRPr="00086F8E" w:rsidRDefault="00086F8E" w:rsidP="00086F8E">
              <w:pPr>
                <w:overflowPunct w:val="0"/>
                <w:autoSpaceDE w:val="0"/>
                <w:autoSpaceDN w:val="0"/>
                <w:adjustRightInd w:val="0"/>
                <w:snapToGrid w:val="0"/>
                <w:ind w:left="720" w:hanging="720"/>
                <w:jc w:val="both"/>
                <w:textAlignment w:val="bottom"/>
                <w:rPr>
                  <w:rFonts w:cs="Arial"/>
                  <w:sz w:val="20"/>
                  <w:szCs w:val="20"/>
                </w:rPr>
              </w:pPr>
            </w:p>
            <w:p w:rsidR="00086F8E" w:rsidRPr="00086F8E" w:rsidRDefault="00086F8E" w:rsidP="00086F8E">
              <w:pPr>
                <w:overflowPunct w:val="0"/>
                <w:autoSpaceDE w:val="0"/>
                <w:autoSpaceDN w:val="0"/>
                <w:adjustRightInd w:val="0"/>
                <w:snapToGrid w:val="0"/>
                <w:jc w:val="both"/>
                <w:textAlignment w:val="bottom"/>
                <w:rPr>
                  <w:rFonts w:cs="Arial"/>
                  <w:sz w:val="20"/>
                  <w:szCs w:val="20"/>
                </w:rPr>
              </w:pPr>
              <w:r w:rsidRPr="00086F8E">
                <w:rPr>
                  <w:rFonts w:cs="Arial" w:hint="eastAsia"/>
                  <w:sz w:val="20"/>
                  <w:szCs w:val="20"/>
                </w:rPr>
                <w:t>对单项金额重大(人民币2,000,000元以上)的应收款项在资产负债表日，本集团对单项金额重大的应收款项单独进行减值测试，如有客观证据表明其已发生减值，根据其未来现金流量现值低于其账面价值的差额确认减值损失，计入当期损益。单独测试未发生减值的单项重大的应收款项，应包括在具有类似信用风险特征的金融资产组合中再进行减值测试。</w:t>
              </w:r>
            </w:p>
            <w:p w:rsidR="00086F8E" w:rsidRPr="00086F8E" w:rsidRDefault="00086F8E" w:rsidP="00086F8E">
              <w:pPr>
                <w:overflowPunct w:val="0"/>
                <w:autoSpaceDE w:val="0"/>
                <w:autoSpaceDN w:val="0"/>
                <w:adjustRightInd w:val="0"/>
                <w:snapToGrid w:val="0"/>
                <w:ind w:left="720" w:hanging="720"/>
                <w:jc w:val="both"/>
                <w:textAlignment w:val="bottom"/>
                <w:rPr>
                  <w:rFonts w:cs="Arial"/>
                  <w:sz w:val="20"/>
                  <w:szCs w:val="20"/>
                </w:rPr>
              </w:pPr>
            </w:p>
            <w:p w:rsidR="00086F8E" w:rsidRPr="00086F8E" w:rsidRDefault="00086F8E" w:rsidP="00086F8E">
              <w:pPr>
                <w:pStyle w:val="affffffffffffffff9"/>
                <w:rPr>
                  <w:rFonts w:ascii="宋体" w:hAnsi="宋体"/>
                  <w:sz w:val="20"/>
                  <w:szCs w:val="20"/>
                </w:rPr>
              </w:pPr>
              <w:r w:rsidRPr="00086F8E">
                <w:rPr>
                  <w:rFonts w:ascii="宋体" w:hAnsi="宋体"/>
                  <w:sz w:val="20"/>
                  <w:szCs w:val="20"/>
                </w:rPr>
                <w:t>单项金额重大并单独计提坏账准备的应收款项</w:t>
              </w:r>
            </w:p>
            <w:p w:rsidR="00086F8E" w:rsidRPr="00086F8E" w:rsidRDefault="00086F8E" w:rsidP="00086F8E">
              <w:pPr>
                <w:overflowPunct w:val="0"/>
                <w:autoSpaceDE w:val="0"/>
                <w:autoSpaceDN w:val="0"/>
                <w:adjustRightInd w:val="0"/>
                <w:snapToGrid w:val="0"/>
                <w:ind w:left="720" w:hanging="720"/>
                <w:jc w:val="both"/>
                <w:textAlignment w:val="bottom"/>
                <w:rPr>
                  <w:rFonts w:cs="Arial"/>
                  <w:sz w:val="20"/>
                  <w:szCs w:val="20"/>
                </w:rPr>
              </w:pPr>
            </w:p>
            <w:p w:rsidR="00086F8E" w:rsidRPr="00086F8E" w:rsidRDefault="00086F8E" w:rsidP="00086F8E">
              <w:pPr>
                <w:overflowPunct w:val="0"/>
                <w:autoSpaceDE w:val="0"/>
                <w:autoSpaceDN w:val="0"/>
                <w:adjustRightInd w:val="0"/>
                <w:snapToGrid w:val="0"/>
                <w:jc w:val="both"/>
                <w:textAlignment w:val="bottom"/>
                <w:rPr>
                  <w:rFonts w:cs="Arial"/>
                  <w:sz w:val="20"/>
                  <w:szCs w:val="20"/>
                </w:rPr>
              </w:pPr>
              <w:r w:rsidRPr="00086F8E">
                <w:rPr>
                  <w:rFonts w:cs="Arial"/>
                  <w:sz w:val="20"/>
                  <w:szCs w:val="20"/>
                </w:rPr>
                <w:t>对单项金额重大(人民币2,000,000元以上)的应收款项单独进行减值测试，如有客观证据表明其已发生减值，根据其未来现金流量现值低于其账面价值的差额确认减值损失，计入当期损益。单独测试未发生减值的单项重大的应收款项，应包括在具有类似信用风险特征的金融资产组合中再进行减值测试。</w:t>
              </w:r>
            </w:p>
            <w:p w:rsidR="00086F8E" w:rsidRPr="00086F8E" w:rsidRDefault="00086F8E" w:rsidP="00086F8E">
              <w:pPr>
                <w:overflowPunct w:val="0"/>
                <w:autoSpaceDE w:val="0"/>
                <w:autoSpaceDN w:val="0"/>
                <w:adjustRightInd w:val="0"/>
                <w:snapToGrid w:val="0"/>
                <w:jc w:val="both"/>
                <w:textAlignment w:val="bottom"/>
                <w:rPr>
                  <w:rFonts w:cs="Arial"/>
                  <w:sz w:val="20"/>
                  <w:szCs w:val="20"/>
                </w:rPr>
              </w:pPr>
            </w:p>
            <w:p w:rsidR="00086F8E" w:rsidRPr="00086F8E" w:rsidRDefault="00086F8E" w:rsidP="00086F8E">
              <w:pPr>
                <w:pStyle w:val="affffffffffffffff9"/>
                <w:rPr>
                  <w:rFonts w:ascii="宋体" w:hAnsi="宋体"/>
                  <w:sz w:val="20"/>
                  <w:szCs w:val="20"/>
                </w:rPr>
              </w:pPr>
              <w:r w:rsidRPr="00086F8E">
                <w:rPr>
                  <w:rFonts w:ascii="宋体" w:hAnsi="宋体" w:hint="eastAsia"/>
                  <w:sz w:val="20"/>
                  <w:szCs w:val="20"/>
                </w:rPr>
                <w:t>按信用风险特征组合计提坏账准备的应收款项</w:t>
              </w:r>
            </w:p>
            <w:p w:rsidR="00086F8E" w:rsidRPr="00086F8E" w:rsidRDefault="00086F8E" w:rsidP="00086F8E">
              <w:pPr>
                <w:autoSpaceDE w:val="0"/>
                <w:autoSpaceDN w:val="0"/>
                <w:snapToGrid w:val="0"/>
                <w:spacing w:line="0" w:lineRule="atLeast"/>
                <w:ind w:left="434"/>
                <w:rPr>
                  <w:rFonts w:cs="Arial"/>
                  <w:sz w:val="20"/>
                  <w:szCs w:val="20"/>
                  <w:u w:val="single"/>
                </w:rPr>
              </w:pPr>
            </w:p>
            <w:p w:rsidR="00086F8E" w:rsidRPr="00086F8E" w:rsidRDefault="00086F8E" w:rsidP="00086F8E">
              <w:pPr>
                <w:overflowPunct w:val="0"/>
                <w:autoSpaceDE w:val="0"/>
                <w:autoSpaceDN w:val="0"/>
                <w:adjustRightInd w:val="0"/>
                <w:snapToGrid w:val="0"/>
                <w:jc w:val="both"/>
                <w:textAlignment w:val="bottom"/>
                <w:rPr>
                  <w:rFonts w:cs="Arial"/>
                  <w:sz w:val="20"/>
                  <w:szCs w:val="20"/>
                </w:rPr>
              </w:pPr>
              <w:r w:rsidRPr="00086F8E">
                <w:rPr>
                  <w:rFonts w:cs="Arial" w:hint="eastAsia"/>
                  <w:sz w:val="20"/>
                  <w:szCs w:val="20"/>
                </w:rPr>
                <w:t>本集团以账龄作为信用风险特征确定应收款项组合，并采用账龄分析法对应收账款和其他应收款计提坏账准备比例如下：</w:t>
              </w:r>
            </w:p>
            <w:p w:rsidR="00086F8E" w:rsidRPr="00086F8E" w:rsidRDefault="00086F8E" w:rsidP="00086F8E">
              <w:pPr>
                <w:autoSpaceDE w:val="0"/>
                <w:autoSpaceDN w:val="0"/>
                <w:snapToGrid w:val="0"/>
                <w:spacing w:line="0" w:lineRule="atLeast"/>
                <w:ind w:left="434"/>
                <w:rPr>
                  <w:rFonts w:cs="Arial"/>
                  <w:sz w:val="20"/>
                  <w:szCs w:val="20"/>
                </w:rPr>
              </w:pPr>
            </w:p>
            <w:tbl>
              <w:tblPr>
                <w:tblStyle w:val="g35"/>
                <w:tblW w:w="5000" w:type="pct"/>
                <w:tblLook w:val="04A0" w:firstRow="1" w:lastRow="0" w:firstColumn="1" w:lastColumn="0" w:noHBand="0" w:noVBand="1"/>
              </w:tblPr>
              <w:tblGrid>
                <w:gridCol w:w="4298"/>
                <w:gridCol w:w="2028"/>
                <w:gridCol w:w="2507"/>
              </w:tblGrid>
              <w:tr w:rsidR="00086F8E" w:rsidRPr="00086F8E" w:rsidTr="00685147">
                <w:trPr>
                  <w:trHeight w:val="290"/>
                </w:trPr>
                <w:tc>
                  <w:tcPr>
                    <w:tcW w:w="2433" w:type="pct"/>
                    <w:noWrap/>
                    <w:hideMark/>
                  </w:tcPr>
                  <w:p w:rsidR="00086F8E" w:rsidRPr="00086F8E" w:rsidRDefault="00086F8E" w:rsidP="00685147">
                    <w:pPr>
                      <w:rPr>
                        <w:rFonts w:cs="Arial"/>
                        <w:snapToGrid w:val="0"/>
                        <w:sz w:val="20"/>
                        <w:szCs w:val="20"/>
                      </w:rPr>
                    </w:pPr>
                    <w:bookmarkStart w:id="72" w:name="_Hlk16456415"/>
                  </w:p>
                </w:tc>
                <w:tc>
                  <w:tcPr>
                    <w:tcW w:w="1148" w:type="pct"/>
                    <w:noWrap/>
                    <w:hideMark/>
                  </w:tcPr>
                  <w:p w:rsidR="00086F8E" w:rsidRPr="00086F8E" w:rsidRDefault="00086F8E" w:rsidP="00685147">
                    <w:pPr>
                      <w:jc w:val="right"/>
                      <w:rPr>
                        <w:rFonts w:cs="Arial"/>
                        <w:color w:val="000000"/>
                        <w:sz w:val="20"/>
                        <w:szCs w:val="20"/>
                      </w:rPr>
                    </w:pPr>
                    <w:r w:rsidRPr="00086F8E">
                      <w:rPr>
                        <w:rFonts w:cs="Arial" w:hint="eastAsia"/>
                        <w:color w:val="000000"/>
                        <w:sz w:val="20"/>
                        <w:szCs w:val="20"/>
                      </w:rPr>
                      <w:t>应收账款</w:t>
                    </w:r>
                  </w:p>
                </w:tc>
                <w:tc>
                  <w:tcPr>
                    <w:tcW w:w="1419" w:type="pct"/>
                    <w:noWrap/>
                    <w:hideMark/>
                  </w:tcPr>
                  <w:p w:rsidR="00086F8E" w:rsidRPr="00086F8E" w:rsidRDefault="00086F8E" w:rsidP="00685147">
                    <w:pPr>
                      <w:jc w:val="right"/>
                      <w:rPr>
                        <w:rFonts w:cs="Arial"/>
                        <w:color w:val="000000"/>
                        <w:sz w:val="20"/>
                        <w:szCs w:val="20"/>
                      </w:rPr>
                    </w:pPr>
                    <w:r w:rsidRPr="00086F8E">
                      <w:rPr>
                        <w:rFonts w:cs="Arial" w:hint="eastAsia"/>
                        <w:color w:val="000000"/>
                        <w:sz w:val="20"/>
                        <w:szCs w:val="20"/>
                      </w:rPr>
                      <w:t>其他应收款</w:t>
                    </w:r>
                  </w:p>
                </w:tc>
              </w:tr>
              <w:tr w:rsidR="00086F8E" w:rsidRPr="00086F8E" w:rsidTr="00685147">
                <w:trPr>
                  <w:trHeight w:val="290"/>
                </w:trPr>
                <w:tc>
                  <w:tcPr>
                    <w:tcW w:w="2433" w:type="pct"/>
                    <w:noWrap/>
                    <w:hideMark/>
                  </w:tcPr>
                  <w:p w:rsidR="00086F8E" w:rsidRPr="00086F8E" w:rsidRDefault="00086F8E" w:rsidP="00685147">
                    <w:pPr>
                      <w:rPr>
                        <w:rFonts w:cs="Arial"/>
                        <w:color w:val="000000"/>
                        <w:sz w:val="20"/>
                        <w:szCs w:val="20"/>
                      </w:rPr>
                    </w:pPr>
                  </w:p>
                </w:tc>
                <w:tc>
                  <w:tcPr>
                    <w:tcW w:w="1148" w:type="pct"/>
                    <w:noWrap/>
                    <w:hideMark/>
                  </w:tcPr>
                  <w:p w:rsidR="00086F8E" w:rsidRPr="00086F8E" w:rsidRDefault="00086F8E" w:rsidP="00685147">
                    <w:pPr>
                      <w:jc w:val="right"/>
                      <w:rPr>
                        <w:rFonts w:cs="Arial"/>
                        <w:color w:val="000000"/>
                        <w:sz w:val="20"/>
                        <w:szCs w:val="20"/>
                      </w:rPr>
                    </w:pPr>
                    <w:r w:rsidRPr="00086F8E">
                      <w:rPr>
                        <w:rFonts w:cs="Arial" w:hint="eastAsia"/>
                        <w:color w:val="000000"/>
                        <w:sz w:val="20"/>
                        <w:szCs w:val="20"/>
                      </w:rPr>
                      <w:t>计提比例</w:t>
                    </w:r>
                    <w:r w:rsidRPr="00086F8E">
                      <w:rPr>
                        <w:rFonts w:cs="Arial"/>
                        <w:color w:val="000000"/>
                        <w:sz w:val="20"/>
                        <w:szCs w:val="20"/>
                      </w:rPr>
                      <w:t>(</w:t>
                    </w:r>
                    <w:r w:rsidRPr="00086F8E">
                      <w:rPr>
                        <w:rFonts w:cs="Arial"/>
                        <w:snapToGrid w:val="0"/>
                        <w:sz w:val="20"/>
                        <w:szCs w:val="20"/>
                      </w:rPr>
                      <w:t>%</w:t>
                    </w:r>
                    <w:r w:rsidRPr="00086F8E">
                      <w:rPr>
                        <w:rFonts w:cs="Arial"/>
                        <w:color w:val="000000"/>
                        <w:sz w:val="20"/>
                        <w:szCs w:val="20"/>
                      </w:rPr>
                      <w:t>)</w:t>
                    </w:r>
                  </w:p>
                </w:tc>
                <w:tc>
                  <w:tcPr>
                    <w:tcW w:w="1419" w:type="pct"/>
                    <w:noWrap/>
                    <w:hideMark/>
                  </w:tcPr>
                  <w:p w:rsidR="00086F8E" w:rsidRPr="00086F8E" w:rsidRDefault="00086F8E" w:rsidP="00685147">
                    <w:pPr>
                      <w:jc w:val="right"/>
                      <w:rPr>
                        <w:rFonts w:cs="Arial"/>
                        <w:color w:val="000000"/>
                        <w:sz w:val="20"/>
                        <w:szCs w:val="20"/>
                      </w:rPr>
                    </w:pPr>
                    <w:r w:rsidRPr="00086F8E">
                      <w:rPr>
                        <w:rFonts w:cs="Arial" w:hint="eastAsia"/>
                        <w:color w:val="000000"/>
                        <w:sz w:val="20"/>
                        <w:szCs w:val="20"/>
                      </w:rPr>
                      <w:t>计提比例</w:t>
                    </w:r>
                    <w:r w:rsidRPr="00086F8E">
                      <w:rPr>
                        <w:rFonts w:cs="Arial"/>
                        <w:color w:val="000000"/>
                        <w:sz w:val="20"/>
                        <w:szCs w:val="20"/>
                      </w:rPr>
                      <w:t>(</w:t>
                    </w:r>
                    <w:r w:rsidRPr="00086F8E">
                      <w:rPr>
                        <w:rFonts w:cs="Arial"/>
                        <w:snapToGrid w:val="0"/>
                        <w:sz w:val="20"/>
                        <w:szCs w:val="20"/>
                      </w:rPr>
                      <w:t>%</w:t>
                    </w:r>
                    <w:r w:rsidRPr="00086F8E">
                      <w:rPr>
                        <w:rFonts w:cs="Arial"/>
                        <w:color w:val="000000"/>
                        <w:sz w:val="20"/>
                        <w:szCs w:val="20"/>
                      </w:rPr>
                      <w:t>)</w:t>
                    </w:r>
                  </w:p>
                </w:tc>
              </w:tr>
              <w:tr w:rsidR="00086F8E" w:rsidRPr="00086F8E" w:rsidTr="00685147">
                <w:trPr>
                  <w:trHeight w:val="290"/>
                </w:trPr>
                <w:tc>
                  <w:tcPr>
                    <w:tcW w:w="2433" w:type="pct"/>
                    <w:noWrap/>
                    <w:hideMark/>
                  </w:tcPr>
                  <w:p w:rsidR="00086F8E" w:rsidRPr="00086F8E" w:rsidRDefault="00086F8E" w:rsidP="00685147">
                    <w:pPr>
                      <w:rPr>
                        <w:rFonts w:cs="Arial"/>
                        <w:color w:val="000000"/>
                        <w:sz w:val="20"/>
                        <w:szCs w:val="20"/>
                      </w:rPr>
                    </w:pPr>
                  </w:p>
                </w:tc>
                <w:tc>
                  <w:tcPr>
                    <w:tcW w:w="1148" w:type="pct"/>
                    <w:noWrap/>
                    <w:hideMark/>
                  </w:tcPr>
                  <w:p w:rsidR="00086F8E" w:rsidRPr="00086F8E" w:rsidRDefault="00086F8E" w:rsidP="00685147">
                    <w:pPr>
                      <w:rPr>
                        <w:rFonts w:cs="Arial"/>
                        <w:sz w:val="20"/>
                        <w:szCs w:val="20"/>
                      </w:rPr>
                    </w:pPr>
                  </w:p>
                </w:tc>
                <w:tc>
                  <w:tcPr>
                    <w:tcW w:w="1419" w:type="pct"/>
                    <w:noWrap/>
                    <w:hideMark/>
                  </w:tcPr>
                  <w:p w:rsidR="00086F8E" w:rsidRPr="00086F8E" w:rsidRDefault="00086F8E" w:rsidP="00685147">
                    <w:pPr>
                      <w:rPr>
                        <w:rFonts w:cs="Arial"/>
                        <w:sz w:val="20"/>
                        <w:szCs w:val="20"/>
                      </w:rPr>
                    </w:pPr>
                  </w:p>
                </w:tc>
              </w:tr>
              <w:tr w:rsidR="00086F8E" w:rsidRPr="00086F8E" w:rsidTr="00685147">
                <w:trPr>
                  <w:trHeight w:val="290"/>
                </w:trPr>
                <w:tc>
                  <w:tcPr>
                    <w:tcW w:w="2433" w:type="pct"/>
                    <w:noWrap/>
                    <w:hideMark/>
                  </w:tcPr>
                  <w:p w:rsidR="00086F8E" w:rsidRPr="00086F8E" w:rsidRDefault="00086F8E" w:rsidP="00685147">
                    <w:pPr>
                      <w:rPr>
                        <w:rFonts w:cs="Arial"/>
                        <w:color w:val="000000"/>
                        <w:sz w:val="20"/>
                        <w:szCs w:val="20"/>
                      </w:rPr>
                    </w:pPr>
                    <w:r w:rsidRPr="00086F8E">
                      <w:rPr>
                        <w:rFonts w:cs="Arial"/>
                        <w:snapToGrid w:val="0"/>
                        <w:color w:val="000000"/>
                        <w:sz w:val="20"/>
                        <w:szCs w:val="20"/>
                      </w:rPr>
                      <w:t>1</w:t>
                    </w:r>
                    <w:r w:rsidRPr="00086F8E">
                      <w:rPr>
                        <w:rFonts w:cs="Arial" w:hint="eastAsia"/>
                        <w:snapToGrid w:val="0"/>
                        <w:color w:val="000000"/>
                        <w:sz w:val="20"/>
                        <w:szCs w:val="20"/>
                      </w:rPr>
                      <w:t>年以内</w:t>
                    </w:r>
                  </w:p>
                </w:tc>
                <w:tc>
                  <w:tcPr>
                    <w:tcW w:w="1148" w:type="pct"/>
                    <w:noWrap/>
                    <w:hideMark/>
                  </w:tcPr>
                  <w:p w:rsidR="00086F8E" w:rsidRPr="00086F8E" w:rsidRDefault="00086F8E" w:rsidP="00685147">
                    <w:pPr>
                      <w:jc w:val="right"/>
                      <w:rPr>
                        <w:rFonts w:cs="Arial"/>
                        <w:color w:val="000000"/>
                        <w:sz w:val="20"/>
                        <w:szCs w:val="20"/>
                      </w:rPr>
                    </w:pPr>
                    <w:r w:rsidRPr="00086F8E">
                      <w:rPr>
                        <w:rFonts w:cs="Arial"/>
                        <w:color w:val="000000"/>
                        <w:sz w:val="20"/>
                        <w:szCs w:val="20"/>
                      </w:rPr>
                      <w:t>-</w:t>
                    </w:r>
                  </w:p>
                </w:tc>
                <w:tc>
                  <w:tcPr>
                    <w:tcW w:w="1419" w:type="pct"/>
                    <w:noWrap/>
                    <w:hideMark/>
                  </w:tcPr>
                  <w:p w:rsidR="00086F8E" w:rsidRPr="00086F8E" w:rsidRDefault="00086F8E" w:rsidP="00685147">
                    <w:pPr>
                      <w:jc w:val="right"/>
                      <w:rPr>
                        <w:rFonts w:cs="Arial"/>
                        <w:color w:val="000000"/>
                        <w:sz w:val="20"/>
                        <w:szCs w:val="20"/>
                      </w:rPr>
                    </w:pPr>
                    <w:r w:rsidRPr="00086F8E">
                      <w:rPr>
                        <w:rFonts w:cs="Arial"/>
                        <w:color w:val="000000"/>
                        <w:sz w:val="20"/>
                        <w:szCs w:val="20"/>
                      </w:rPr>
                      <w:t>-</w:t>
                    </w:r>
                  </w:p>
                </w:tc>
              </w:tr>
              <w:tr w:rsidR="00086F8E" w:rsidRPr="00086F8E" w:rsidTr="00685147">
                <w:trPr>
                  <w:trHeight w:val="290"/>
                </w:trPr>
                <w:tc>
                  <w:tcPr>
                    <w:tcW w:w="2433" w:type="pct"/>
                    <w:noWrap/>
                    <w:hideMark/>
                  </w:tcPr>
                  <w:p w:rsidR="00086F8E" w:rsidRPr="00086F8E" w:rsidRDefault="00086F8E" w:rsidP="00685147">
                    <w:pPr>
                      <w:rPr>
                        <w:rFonts w:cs="Arial"/>
                        <w:color w:val="000000"/>
                        <w:sz w:val="20"/>
                        <w:szCs w:val="20"/>
                      </w:rPr>
                    </w:pPr>
                    <w:r w:rsidRPr="00086F8E">
                      <w:rPr>
                        <w:rFonts w:cs="Arial"/>
                        <w:snapToGrid w:val="0"/>
                        <w:color w:val="000000"/>
                        <w:sz w:val="20"/>
                        <w:szCs w:val="20"/>
                      </w:rPr>
                      <w:t>1</w:t>
                    </w:r>
                    <w:r w:rsidRPr="00086F8E">
                      <w:rPr>
                        <w:rFonts w:cs="Arial" w:hint="eastAsia"/>
                        <w:snapToGrid w:val="0"/>
                        <w:color w:val="000000"/>
                        <w:sz w:val="20"/>
                        <w:szCs w:val="20"/>
                      </w:rPr>
                      <w:t>至</w:t>
                    </w:r>
                    <w:r w:rsidRPr="00086F8E">
                      <w:rPr>
                        <w:rFonts w:cs="Arial"/>
                        <w:snapToGrid w:val="0"/>
                        <w:color w:val="000000"/>
                        <w:sz w:val="20"/>
                        <w:szCs w:val="20"/>
                      </w:rPr>
                      <w:t>2</w:t>
                    </w:r>
                    <w:r w:rsidRPr="00086F8E">
                      <w:rPr>
                        <w:rFonts w:cs="Arial" w:hint="eastAsia"/>
                        <w:snapToGrid w:val="0"/>
                        <w:color w:val="000000"/>
                        <w:sz w:val="20"/>
                        <w:szCs w:val="20"/>
                      </w:rPr>
                      <w:t>年</w:t>
                    </w:r>
                  </w:p>
                </w:tc>
                <w:tc>
                  <w:tcPr>
                    <w:tcW w:w="1148" w:type="pct"/>
                    <w:noWrap/>
                    <w:hideMark/>
                  </w:tcPr>
                  <w:p w:rsidR="00086F8E" w:rsidRPr="00086F8E" w:rsidRDefault="00086F8E" w:rsidP="00685147">
                    <w:pPr>
                      <w:jc w:val="right"/>
                      <w:rPr>
                        <w:rFonts w:cs="Arial"/>
                        <w:color w:val="000000"/>
                        <w:sz w:val="20"/>
                        <w:szCs w:val="20"/>
                      </w:rPr>
                    </w:pPr>
                    <w:r w:rsidRPr="00086F8E">
                      <w:rPr>
                        <w:rFonts w:cs="Arial"/>
                        <w:color w:val="000000"/>
                        <w:sz w:val="20"/>
                        <w:szCs w:val="20"/>
                      </w:rPr>
                      <w:t>10</w:t>
                    </w:r>
                  </w:p>
                </w:tc>
                <w:tc>
                  <w:tcPr>
                    <w:tcW w:w="1419" w:type="pct"/>
                    <w:noWrap/>
                    <w:hideMark/>
                  </w:tcPr>
                  <w:p w:rsidR="00086F8E" w:rsidRPr="00086F8E" w:rsidRDefault="00086F8E" w:rsidP="00685147">
                    <w:pPr>
                      <w:jc w:val="right"/>
                      <w:rPr>
                        <w:rFonts w:cs="Arial"/>
                        <w:color w:val="000000"/>
                        <w:sz w:val="20"/>
                        <w:szCs w:val="20"/>
                      </w:rPr>
                    </w:pPr>
                    <w:r w:rsidRPr="00086F8E">
                      <w:rPr>
                        <w:rFonts w:cs="Arial"/>
                        <w:color w:val="000000"/>
                        <w:sz w:val="20"/>
                        <w:szCs w:val="20"/>
                      </w:rPr>
                      <w:t>10</w:t>
                    </w:r>
                  </w:p>
                </w:tc>
              </w:tr>
              <w:tr w:rsidR="00086F8E" w:rsidRPr="00086F8E" w:rsidTr="00685147">
                <w:trPr>
                  <w:trHeight w:val="290"/>
                </w:trPr>
                <w:tc>
                  <w:tcPr>
                    <w:tcW w:w="2433" w:type="pct"/>
                    <w:noWrap/>
                    <w:hideMark/>
                  </w:tcPr>
                  <w:p w:rsidR="00086F8E" w:rsidRPr="00086F8E" w:rsidRDefault="00086F8E" w:rsidP="00685147">
                    <w:pPr>
                      <w:rPr>
                        <w:rFonts w:cs="Arial"/>
                        <w:color w:val="000000"/>
                        <w:sz w:val="20"/>
                        <w:szCs w:val="20"/>
                      </w:rPr>
                    </w:pPr>
                    <w:r w:rsidRPr="00086F8E">
                      <w:rPr>
                        <w:rFonts w:cs="Arial"/>
                        <w:snapToGrid w:val="0"/>
                        <w:color w:val="000000"/>
                        <w:sz w:val="20"/>
                        <w:szCs w:val="20"/>
                      </w:rPr>
                      <w:t>2</w:t>
                    </w:r>
                    <w:r w:rsidRPr="00086F8E">
                      <w:rPr>
                        <w:rFonts w:cs="Arial" w:hint="eastAsia"/>
                        <w:snapToGrid w:val="0"/>
                        <w:color w:val="000000"/>
                        <w:sz w:val="20"/>
                        <w:szCs w:val="20"/>
                      </w:rPr>
                      <w:t>至</w:t>
                    </w:r>
                    <w:r w:rsidRPr="00086F8E">
                      <w:rPr>
                        <w:rFonts w:cs="Arial"/>
                        <w:snapToGrid w:val="0"/>
                        <w:color w:val="000000"/>
                        <w:sz w:val="20"/>
                        <w:szCs w:val="20"/>
                      </w:rPr>
                      <w:t>3</w:t>
                    </w:r>
                    <w:r w:rsidRPr="00086F8E">
                      <w:rPr>
                        <w:rFonts w:cs="Arial" w:hint="eastAsia"/>
                        <w:snapToGrid w:val="0"/>
                        <w:color w:val="000000"/>
                        <w:sz w:val="20"/>
                        <w:szCs w:val="20"/>
                      </w:rPr>
                      <w:t>年</w:t>
                    </w:r>
                  </w:p>
                </w:tc>
                <w:tc>
                  <w:tcPr>
                    <w:tcW w:w="1148" w:type="pct"/>
                    <w:noWrap/>
                    <w:hideMark/>
                  </w:tcPr>
                  <w:p w:rsidR="00086F8E" w:rsidRPr="00086F8E" w:rsidRDefault="00086F8E" w:rsidP="00685147">
                    <w:pPr>
                      <w:jc w:val="right"/>
                      <w:rPr>
                        <w:rFonts w:cs="Arial"/>
                        <w:color w:val="000000"/>
                        <w:sz w:val="20"/>
                        <w:szCs w:val="20"/>
                      </w:rPr>
                    </w:pPr>
                    <w:r w:rsidRPr="00086F8E">
                      <w:rPr>
                        <w:rFonts w:cs="Arial"/>
                        <w:color w:val="000000"/>
                        <w:sz w:val="20"/>
                        <w:szCs w:val="20"/>
                      </w:rPr>
                      <w:t>20</w:t>
                    </w:r>
                  </w:p>
                </w:tc>
                <w:tc>
                  <w:tcPr>
                    <w:tcW w:w="1419" w:type="pct"/>
                    <w:noWrap/>
                    <w:hideMark/>
                  </w:tcPr>
                  <w:p w:rsidR="00086F8E" w:rsidRPr="00086F8E" w:rsidRDefault="00086F8E" w:rsidP="00685147">
                    <w:pPr>
                      <w:jc w:val="right"/>
                      <w:rPr>
                        <w:rFonts w:cs="Arial"/>
                        <w:color w:val="000000"/>
                        <w:sz w:val="20"/>
                        <w:szCs w:val="20"/>
                      </w:rPr>
                    </w:pPr>
                    <w:r w:rsidRPr="00086F8E">
                      <w:rPr>
                        <w:rFonts w:cs="Arial"/>
                        <w:color w:val="000000"/>
                        <w:sz w:val="20"/>
                        <w:szCs w:val="20"/>
                      </w:rPr>
                      <w:t>20</w:t>
                    </w:r>
                  </w:p>
                </w:tc>
              </w:tr>
              <w:tr w:rsidR="00086F8E" w:rsidRPr="00086F8E" w:rsidTr="00685147">
                <w:trPr>
                  <w:trHeight w:val="290"/>
                </w:trPr>
                <w:tc>
                  <w:tcPr>
                    <w:tcW w:w="2433" w:type="pct"/>
                    <w:noWrap/>
                    <w:hideMark/>
                  </w:tcPr>
                  <w:p w:rsidR="00086F8E" w:rsidRPr="00086F8E" w:rsidRDefault="00086F8E" w:rsidP="00685147">
                    <w:pPr>
                      <w:rPr>
                        <w:rFonts w:cs="Arial"/>
                        <w:color w:val="000000"/>
                        <w:sz w:val="20"/>
                        <w:szCs w:val="20"/>
                      </w:rPr>
                    </w:pPr>
                    <w:r w:rsidRPr="00086F8E">
                      <w:rPr>
                        <w:rFonts w:cs="Arial"/>
                        <w:snapToGrid w:val="0"/>
                        <w:color w:val="000000"/>
                        <w:sz w:val="20"/>
                        <w:szCs w:val="20"/>
                      </w:rPr>
                      <w:t>3</w:t>
                    </w:r>
                    <w:r w:rsidRPr="00086F8E">
                      <w:rPr>
                        <w:rFonts w:cs="Arial" w:hint="eastAsia"/>
                        <w:snapToGrid w:val="0"/>
                        <w:color w:val="000000"/>
                        <w:sz w:val="20"/>
                        <w:szCs w:val="20"/>
                      </w:rPr>
                      <w:t>至</w:t>
                    </w:r>
                    <w:r w:rsidRPr="00086F8E">
                      <w:rPr>
                        <w:rFonts w:cs="Arial"/>
                        <w:snapToGrid w:val="0"/>
                        <w:color w:val="000000"/>
                        <w:sz w:val="20"/>
                        <w:szCs w:val="20"/>
                      </w:rPr>
                      <w:t>4</w:t>
                    </w:r>
                    <w:r w:rsidRPr="00086F8E">
                      <w:rPr>
                        <w:rFonts w:cs="Arial" w:hint="eastAsia"/>
                        <w:snapToGrid w:val="0"/>
                        <w:color w:val="000000"/>
                        <w:sz w:val="20"/>
                        <w:szCs w:val="20"/>
                      </w:rPr>
                      <w:t>年</w:t>
                    </w:r>
                  </w:p>
                </w:tc>
                <w:tc>
                  <w:tcPr>
                    <w:tcW w:w="1148" w:type="pct"/>
                    <w:noWrap/>
                    <w:hideMark/>
                  </w:tcPr>
                  <w:p w:rsidR="00086F8E" w:rsidRPr="00086F8E" w:rsidRDefault="00086F8E" w:rsidP="00685147">
                    <w:pPr>
                      <w:jc w:val="right"/>
                      <w:rPr>
                        <w:rFonts w:cs="Arial"/>
                        <w:color w:val="000000"/>
                        <w:sz w:val="20"/>
                        <w:szCs w:val="20"/>
                      </w:rPr>
                    </w:pPr>
                    <w:r w:rsidRPr="00086F8E">
                      <w:rPr>
                        <w:rFonts w:cs="Arial"/>
                        <w:color w:val="000000"/>
                        <w:sz w:val="20"/>
                        <w:szCs w:val="20"/>
                      </w:rPr>
                      <w:t>40</w:t>
                    </w:r>
                  </w:p>
                </w:tc>
                <w:tc>
                  <w:tcPr>
                    <w:tcW w:w="1419" w:type="pct"/>
                    <w:noWrap/>
                    <w:hideMark/>
                  </w:tcPr>
                  <w:p w:rsidR="00086F8E" w:rsidRPr="00086F8E" w:rsidRDefault="00086F8E" w:rsidP="00685147">
                    <w:pPr>
                      <w:jc w:val="right"/>
                      <w:rPr>
                        <w:rFonts w:cs="Arial"/>
                        <w:color w:val="000000"/>
                        <w:sz w:val="20"/>
                        <w:szCs w:val="20"/>
                      </w:rPr>
                    </w:pPr>
                    <w:r w:rsidRPr="00086F8E">
                      <w:rPr>
                        <w:rFonts w:cs="Arial"/>
                        <w:color w:val="000000"/>
                        <w:sz w:val="20"/>
                        <w:szCs w:val="20"/>
                      </w:rPr>
                      <w:t>40</w:t>
                    </w:r>
                  </w:p>
                </w:tc>
              </w:tr>
              <w:tr w:rsidR="00086F8E" w:rsidRPr="00086F8E" w:rsidTr="00685147">
                <w:trPr>
                  <w:trHeight w:val="290"/>
                </w:trPr>
                <w:tc>
                  <w:tcPr>
                    <w:tcW w:w="2433" w:type="pct"/>
                    <w:noWrap/>
                    <w:hideMark/>
                  </w:tcPr>
                  <w:p w:rsidR="00086F8E" w:rsidRPr="00086F8E" w:rsidRDefault="00086F8E" w:rsidP="00685147">
                    <w:pPr>
                      <w:rPr>
                        <w:rFonts w:cs="Arial"/>
                        <w:color w:val="000000"/>
                        <w:sz w:val="20"/>
                        <w:szCs w:val="20"/>
                      </w:rPr>
                    </w:pPr>
                    <w:r w:rsidRPr="00086F8E">
                      <w:rPr>
                        <w:rFonts w:cs="Arial"/>
                        <w:snapToGrid w:val="0"/>
                        <w:color w:val="000000"/>
                        <w:sz w:val="20"/>
                        <w:szCs w:val="20"/>
                      </w:rPr>
                      <w:t>4</w:t>
                    </w:r>
                    <w:r w:rsidRPr="00086F8E">
                      <w:rPr>
                        <w:rFonts w:cs="Arial" w:hint="eastAsia"/>
                        <w:snapToGrid w:val="0"/>
                        <w:color w:val="000000"/>
                        <w:sz w:val="20"/>
                        <w:szCs w:val="20"/>
                      </w:rPr>
                      <w:t>至</w:t>
                    </w:r>
                    <w:r w:rsidRPr="00086F8E">
                      <w:rPr>
                        <w:rFonts w:cs="Arial"/>
                        <w:snapToGrid w:val="0"/>
                        <w:color w:val="000000"/>
                        <w:sz w:val="20"/>
                        <w:szCs w:val="20"/>
                      </w:rPr>
                      <w:t>5</w:t>
                    </w:r>
                    <w:r w:rsidRPr="00086F8E">
                      <w:rPr>
                        <w:rFonts w:cs="Arial" w:hint="eastAsia"/>
                        <w:snapToGrid w:val="0"/>
                        <w:color w:val="000000"/>
                        <w:sz w:val="20"/>
                        <w:szCs w:val="20"/>
                      </w:rPr>
                      <w:t>年</w:t>
                    </w:r>
                  </w:p>
                </w:tc>
                <w:tc>
                  <w:tcPr>
                    <w:tcW w:w="1148" w:type="pct"/>
                    <w:noWrap/>
                    <w:hideMark/>
                  </w:tcPr>
                  <w:p w:rsidR="00086F8E" w:rsidRPr="00086F8E" w:rsidRDefault="00086F8E" w:rsidP="00685147">
                    <w:pPr>
                      <w:jc w:val="right"/>
                      <w:rPr>
                        <w:rFonts w:cs="Arial"/>
                        <w:color w:val="000000"/>
                        <w:sz w:val="20"/>
                        <w:szCs w:val="20"/>
                      </w:rPr>
                    </w:pPr>
                    <w:r w:rsidRPr="00086F8E">
                      <w:rPr>
                        <w:rFonts w:cs="Arial"/>
                        <w:color w:val="000000"/>
                        <w:sz w:val="20"/>
                        <w:szCs w:val="20"/>
                      </w:rPr>
                      <w:t>50</w:t>
                    </w:r>
                  </w:p>
                </w:tc>
                <w:tc>
                  <w:tcPr>
                    <w:tcW w:w="1419" w:type="pct"/>
                    <w:noWrap/>
                    <w:hideMark/>
                  </w:tcPr>
                  <w:p w:rsidR="00086F8E" w:rsidRPr="00086F8E" w:rsidRDefault="00086F8E" w:rsidP="00685147">
                    <w:pPr>
                      <w:jc w:val="right"/>
                      <w:rPr>
                        <w:rFonts w:cs="Arial"/>
                        <w:color w:val="000000"/>
                        <w:sz w:val="20"/>
                        <w:szCs w:val="20"/>
                      </w:rPr>
                    </w:pPr>
                    <w:r w:rsidRPr="00086F8E">
                      <w:rPr>
                        <w:rFonts w:cs="Arial"/>
                        <w:color w:val="000000"/>
                        <w:sz w:val="20"/>
                        <w:szCs w:val="20"/>
                      </w:rPr>
                      <w:t>50</w:t>
                    </w:r>
                  </w:p>
                </w:tc>
              </w:tr>
              <w:tr w:rsidR="00086F8E" w:rsidRPr="00086F8E" w:rsidTr="00685147">
                <w:trPr>
                  <w:trHeight w:val="290"/>
                </w:trPr>
                <w:tc>
                  <w:tcPr>
                    <w:tcW w:w="2433" w:type="pct"/>
                    <w:noWrap/>
                    <w:hideMark/>
                  </w:tcPr>
                  <w:p w:rsidR="00086F8E" w:rsidRPr="00086F8E" w:rsidRDefault="00086F8E" w:rsidP="00685147">
                    <w:pPr>
                      <w:rPr>
                        <w:rFonts w:cs="Arial"/>
                        <w:color w:val="000000"/>
                        <w:sz w:val="20"/>
                        <w:szCs w:val="20"/>
                      </w:rPr>
                    </w:pPr>
                    <w:r w:rsidRPr="00086F8E">
                      <w:rPr>
                        <w:rFonts w:cs="Arial"/>
                        <w:color w:val="000000"/>
                        <w:sz w:val="20"/>
                        <w:szCs w:val="20"/>
                      </w:rPr>
                      <w:t>5</w:t>
                    </w:r>
                    <w:r w:rsidRPr="00086F8E">
                      <w:rPr>
                        <w:rFonts w:cs="Arial" w:hint="eastAsia"/>
                        <w:color w:val="000000"/>
                        <w:sz w:val="20"/>
                        <w:szCs w:val="20"/>
                      </w:rPr>
                      <w:t>年以上</w:t>
                    </w:r>
                  </w:p>
                </w:tc>
                <w:tc>
                  <w:tcPr>
                    <w:tcW w:w="1148" w:type="pct"/>
                    <w:noWrap/>
                    <w:hideMark/>
                  </w:tcPr>
                  <w:p w:rsidR="00086F8E" w:rsidRPr="00086F8E" w:rsidRDefault="00086F8E" w:rsidP="00685147">
                    <w:pPr>
                      <w:jc w:val="right"/>
                      <w:rPr>
                        <w:rFonts w:cs="Arial"/>
                        <w:color w:val="000000"/>
                        <w:sz w:val="20"/>
                        <w:szCs w:val="20"/>
                      </w:rPr>
                    </w:pPr>
                    <w:r w:rsidRPr="00086F8E">
                      <w:rPr>
                        <w:rFonts w:cs="Arial"/>
                        <w:color w:val="000000"/>
                        <w:sz w:val="20"/>
                        <w:szCs w:val="20"/>
                      </w:rPr>
                      <w:t>100</w:t>
                    </w:r>
                  </w:p>
                </w:tc>
                <w:tc>
                  <w:tcPr>
                    <w:tcW w:w="1419" w:type="pct"/>
                    <w:noWrap/>
                    <w:hideMark/>
                  </w:tcPr>
                  <w:p w:rsidR="00086F8E" w:rsidRPr="00086F8E" w:rsidRDefault="00086F8E" w:rsidP="00685147">
                    <w:pPr>
                      <w:jc w:val="right"/>
                      <w:rPr>
                        <w:rFonts w:cs="Arial"/>
                        <w:color w:val="000000"/>
                        <w:sz w:val="20"/>
                        <w:szCs w:val="20"/>
                      </w:rPr>
                    </w:pPr>
                    <w:r w:rsidRPr="00086F8E">
                      <w:rPr>
                        <w:rFonts w:cs="Arial"/>
                        <w:color w:val="000000"/>
                        <w:sz w:val="20"/>
                        <w:szCs w:val="20"/>
                      </w:rPr>
                      <w:t>100</w:t>
                    </w:r>
                  </w:p>
                </w:tc>
              </w:tr>
            </w:tbl>
            <w:p w:rsidR="00ED2DC7" w:rsidRDefault="000D0A99">
              <w:pPr>
                <w:rPr>
                  <w:szCs w:val="21"/>
                </w:rPr>
              </w:pPr>
            </w:p>
            <w:bookmarkEnd w:id="72" w:displacedByCustomXml="next"/>
          </w:sdtContent>
        </w:sdt>
      </w:sdtContent>
    </w:sdt>
    <w:p w:rsidR="00ED2DC7" w:rsidRDefault="00ED2DC7">
      <w:pPr>
        <w:rPr>
          <w:szCs w:val="21"/>
        </w:rPr>
      </w:pPr>
    </w:p>
    <w:sdt>
      <w:sdtPr>
        <w:rPr>
          <w:rFonts w:ascii="宋体" w:hAnsi="宋体" w:cs="宋体" w:hint="eastAsia"/>
          <w:b w:val="0"/>
          <w:bCs w:val="0"/>
          <w:kern w:val="0"/>
          <w:szCs w:val="24"/>
        </w:rPr>
        <w:alias w:val="模块:应收款项融资"/>
        <w:tag w:val="_SEC_6779da9334294ce2a6d1ffc1b4a6e588"/>
        <w:id w:val="-1250119485"/>
        <w:lock w:val="sdtLocked"/>
        <w:placeholder>
          <w:docPart w:val="GBC22222222222222222222222222222"/>
        </w:placeholder>
      </w:sdtPr>
      <w:sdtEndPr>
        <w:rPr>
          <w:rFonts w:hint="default"/>
        </w:rPr>
      </w:sdtEndPr>
      <w:sdtContent>
        <w:p w:rsidR="00ED2DC7" w:rsidRDefault="00ED2DC7" w:rsidP="00036BDC">
          <w:pPr>
            <w:pStyle w:val="affffffffffffffffff1"/>
            <w:numPr>
              <w:ilvl w:val="0"/>
              <w:numId w:val="38"/>
            </w:numPr>
          </w:pPr>
          <w:r>
            <w:rPr>
              <w:rFonts w:hint="eastAsia"/>
            </w:rPr>
            <w:t>应收款项融资</w:t>
          </w:r>
        </w:p>
        <w:bookmarkStart w:id="73" w:name="_Hlk11675626" w:displacedByCustomXml="next"/>
        <w:sdt>
          <w:sdtPr>
            <w:alias w:val="是否适用：应收款项融资_重要会计政策和估计[双击切换]"/>
            <w:tag w:val="_GBC_02210df6587d4e47b6149386c3665a46"/>
            <w:id w:val="-1578049376"/>
            <w:lock w:val="sdtContentLocked"/>
            <w:placeholder>
              <w:docPart w:val="GBC22222222222222222222222222222"/>
            </w:placeholder>
          </w:sdtPr>
          <w:sdtContent>
            <w:p w:rsidR="00ED2DC7" w:rsidRDefault="00ED2DC7" w:rsidP="00086F8E">
              <w:r>
                <w:fldChar w:fldCharType="begin"/>
              </w:r>
              <w:r w:rsidR="00086F8E">
                <w:instrText xml:space="preserve"> MACROBUTTON  SnrToggleCheckbox □适用 </w:instrText>
              </w:r>
              <w:r>
                <w:fldChar w:fldCharType="end"/>
              </w:r>
              <w:r>
                <w:fldChar w:fldCharType="begin"/>
              </w:r>
              <w:r w:rsidR="00086F8E">
                <w:instrText xml:space="preserve"> MACROBUTTON  SnrToggleCheckbox √不适用 </w:instrText>
              </w:r>
              <w:r>
                <w:fldChar w:fldCharType="end"/>
              </w:r>
            </w:p>
          </w:sdtContent>
        </w:sdt>
      </w:sdtContent>
    </w:sdt>
    <w:bookmarkEnd w:id="73"/>
    <w:p w:rsidR="00ED2DC7" w:rsidRDefault="00ED2DC7"/>
    <w:bookmarkStart w:id="74" w:name="_Hlk10465124" w:displacedByCustomXml="next"/>
    <w:sdt>
      <w:sdtPr>
        <w:rPr>
          <w:rFonts w:ascii="宋体" w:hAnsi="宋体" w:cs="宋体" w:hint="eastAsia"/>
          <w:b w:val="0"/>
          <w:bCs w:val="0"/>
          <w:kern w:val="0"/>
          <w:szCs w:val="24"/>
        </w:rPr>
        <w:alias w:val="模块:其他应收款"/>
        <w:tag w:val="_SEC_225822c587b74cc6b807038a0533c4e3"/>
        <w:id w:val="409047974"/>
        <w:lock w:val="sdtLocked"/>
        <w:placeholder>
          <w:docPart w:val="GBC22222222222222222222222222222"/>
        </w:placeholder>
      </w:sdtPr>
      <w:sdtContent>
        <w:p w:rsidR="00ED2DC7" w:rsidRDefault="00ED2DC7" w:rsidP="00036BDC">
          <w:pPr>
            <w:pStyle w:val="affffffffffffffffff1"/>
            <w:numPr>
              <w:ilvl w:val="0"/>
              <w:numId w:val="38"/>
            </w:numPr>
          </w:pPr>
          <w:r>
            <w:rPr>
              <w:rFonts w:hint="eastAsia"/>
            </w:rPr>
            <w:t>其他应收款</w:t>
          </w:r>
        </w:p>
        <w:p w:rsidR="00ED2DC7" w:rsidRDefault="00ED2DC7">
          <w:pPr>
            <w:pStyle w:val="affffffffffffffffff2"/>
          </w:pPr>
          <w:r>
            <w:rPr>
              <w:rFonts w:hint="eastAsia"/>
            </w:rPr>
            <w:t>其他应收款</w:t>
          </w:r>
          <w:r>
            <w:t>预期信用损失的确定方法</w:t>
          </w:r>
          <w:r>
            <w:rPr>
              <w:rFonts w:ascii="宋体" w:hAnsi="宋体" w:cs="Calibri"/>
              <w:szCs w:val="21"/>
            </w:rPr>
            <w:t>及会计处理方法</w:t>
          </w:r>
        </w:p>
        <w:sdt>
          <w:sdtPr>
            <w:rPr>
              <w:szCs w:val="21"/>
            </w:rPr>
            <w:alias w:val="是否适用：其他应收款预期信用损失的确定方法及会计处理方法[双击切换]"/>
            <w:tag w:val="_GBC_1ba082baa43e450992b52fcf687a8134"/>
            <w:id w:val="-1874372118"/>
            <w:lock w:val="sdtContentLocked"/>
            <w:placeholder>
              <w:docPart w:val="GBC22222222222222222222222222222"/>
            </w:placeholder>
          </w:sdtPr>
          <w:sdtContent>
            <w:p w:rsidR="00ED2DC7" w:rsidRDefault="00ED2DC7" w:rsidP="00086F8E">
              <w:pPr>
                <w:rPr>
                  <w:szCs w:val="21"/>
                </w:rPr>
              </w:pPr>
              <w:r>
                <w:rPr>
                  <w:szCs w:val="21"/>
                </w:rPr>
                <w:fldChar w:fldCharType="begin"/>
              </w:r>
              <w:r w:rsidR="00036BDC">
                <w:rPr>
                  <w:szCs w:val="21"/>
                </w:rPr>
                <w:instrText xml:space="preserve"> MACROBUTTON  SnrToggleCheckbox √适用 </w:instrText>
              </w:r>
              <w:r>
                <w:rPr>
                  <w:szCs w:val="21"/>
                </w:rPr>
                <w:fldChar w:fldCharType="end"/>
              </w:r>
              <w:r>
                <w:rPr>
                  <w:szCs w:val="21"/>
                </w:rPr>
                <w:fldChar w:fldCharType="begin"/>
              </w:r>
              <w:r w:rsidR="00036BDC">
                <w:rPr>
                  <w:szCs w:val="21"/>
                </w:rPr>
                <w:instrText xml:space="preserve"> MACROBUTTON  SnrToggleCheckbox □不适用 </w:instrText>
              </w:r>
              <w:r>
                <w:rPr>
                  <w:szCs w:val="21"/>
                </w:rPr>
                <w:fldChar w:fldCharType="end"/>
              </w:r>
            </w:p>
          </w:sdtContent>
        </w:sdt>
        <w:p w:rsidR="00B637B2" w:rsidRDefault="000D0A99">
          <w:pPr>
            <w:rPr>
              <w:szCs w:val="21"/>
            </w:rPr>
          </w:pPr>
          <w:sdt>
            <w:sdtPr>
              <w:rPr>
                <w:szCs w:val="21"/>
              </w:rPr>
              <w:alias w:val="其他应收款预期信用损失的确定方法及会计处理方法"/>
              <w:tag w:val="_GBC_7e531bd2a2f947b3a00ec81ad0969c5e"/>
              <w:id w:val="-1035961573"/>
              <w:lock w:val="sdtLocked"/>
            </w:sdtPr>
            <w:sdtContent>
              <w:r w:rsidR="00036BDC">
                <w:rPr>
                  <w:rFonts w:hint="eastAsia"/>
                  <w:szCs w:val="21"/>
                </w:rPr>
                <w:t>见五、10.金融工具</w:t>
              </w:r>
            </w:sdtContent>
          </w:sdt>
        </w:p>
        <w:p w:rsidR="00ED2DC7" w:rsidRDefault="000D0A99"/>
      </w:sdtContent>
    </w:sdt>
    <w:bookmarkEnd w:id="74" w:displacedByCustomXml="prev"/>
    <w:sdt>
      <w:sdtPr>
        <w:rPr>
          <w:rFonts w:asciiTheme="minorHAnsi" w:hAnsiTheme="minorHAnsi" w:cstheme="minorBidi"/>
          <w:b w:val="0"/>
          <w:bCs w:val="0"/>
          <w:kern w:val="0"/>
          <w:szCs w:val="22"/>
        </w:rPr>
        <w:alias w:val="模块:存货"/>
        <w:tag w:val="_GBC_b0f90fdf6c7749dbb9bd3cde55d5c0c3"/>
        <w:id w:val="-1481771972"/>
        <w:lock w:val="sdtLocked"/>
        <w:placeholder>
          <w:docPart w:val="GBC22222222222222222222222222222"/>
        </w:placeholder>
      </w:sdtPr>
      <w:sdtEndPr>
        <w:rPr>
          <w:rFonts w:ascii="宋体" w:hAnsi="宋体" w:cs="Times New Roman"/>
          <w:szCs w:val="21"/>
        </w:rPr>
      </w:sdtEndPr>
      <w:sdtContent>
        <w:p w:rsidR="00ED2DC7" w:rsidRDefault="00ED2DC7" w:rsidP="00036BDC">
          <w:pPr>
            <w:pStyle w:val="affffffffffffffffff1"/>
            <w:numPr>
              <w:ilvl w:val="0"/>
              <w:numId w:val="38"/>
            </w:numPr>
          </w:pPr>
          <w:r>
            <w:t>存货</w:t>
          </w:r>
        </w:p>
        <w:sdt>
          <w:sdtPr>
            <w:alias w:val="是否适用：存货_重要会计政策和估计[双击切换]"/>
            <w:tag w:val="_GBC_5c493df9664440ecbc3f3fa5d917221a"/>
            <w:id w:val="-1711329817"/>
            <w:lock w:val="sdtContentLocked"/>
            <w:placeholder>
              <w:docPart w:val="GBC22222222222222222222222222222"/>
            </w:placeholder>
          </w:sdtPr>
          <w:sdtContent>
            <w:p w:rsidR="00ED2DC7" w:rsidRDefault="00ED2DC7">
              <w:r>
                <w:fldChar w:fldCharType="begin"/>
              </w:r>
              <w:r w:rsidR="004A22CB">
                <w:instrText xml:space="preserve"> MACROBUTTON  SnrToggleCheckbox √适用 </w:instrText>
              </w:r>
              <w:r>
                <w:fldChar w:fldCharType="end"/>
              </w:r>
              <w:r>
                <w:fldChar w:fldCharType="begin"/>
              </w:r>
              <w:r w:rsidR="004A22CB">
                <w:instrText xml:space="preserve"> MACROBUTTON  SnrToggleCheckbox □不适用 </w:instrText>
              </w:r>
              <w:r>
                <w:fldChar w:fldCharType="end"/>
              </w:r>
            </w:p>
          </w:sdtContent>
        </w:sdt>
        <w:sdt>
          <w:sdtPr>
            <w:rPr>
              <w:szCs w:val="21"/>
            </w:rPr>
            <w:alias w:val="存货的核算方法"/>
            <w:tag w:val="_GBC_553fb8cba06d4979b05ae3dabe788fa6"/>
            <w:id w:val="1031452181"/>
            <w:lock w:val="sdtLocked"/>
            <w:placeholder>
              <w:docPart w:val="GBC22222222222222222222222222222"/>
            </w:placeholder>
          </w:sdtPr>
          <w:sdtContent>
            <w:p w:rsidR="00086F8E" w:rsidRPr="00086F8E" w:rsidRDefault="00086F8E" w:rsidP="00086F8E">
              <w:pPr>
                <w:rPr>
                  <w:szCs w:val="21"/>
                </w:rPr>
              </w:pPr>
              <w:r w:rsidRPr="00086F8E">
                <w:rPr>
                  <w:rFonts w:hint="eastAsia"/>
                  <w:szCs w:val="21"/>
                </w:rPr>
                <w:t>存货包括原材料和库存商品。</w:t>
              </w:r>
            </w:p>
            <w:p w:rsidR="00086F8E" w:rsidRPr="00086F8E" w:rsidRDefault="00086F8E" w:rsidP="00086F8E">
              <w:pPr>
                <w:rPr>
                  <w:szCs w:val="21"/>
                </w:rPr>
              </w:pPr>
            </w:p>
            <w:p w:rsidR="00086F8E" w:rsidRPr="00086F8E" w:rsidRDefault="00086F8E" w:rsidP="00086F8E">
              <w:pPr>
                <w:rPr>
                  <w:szCs w:val="21"/>
                </w:rPr>
              </w:pPr>
              <w:r w:rsidRPr="00086F8E">
                <w:rPr>
                  <w:rFonts w:hint="eastAsia"/>
                  <w:szCs w:val="21"/>
                </w:rPr>
                <w:t>存货按照成本进行初始计量。存货成本包括采购成本和其他成本。发出存货，采用加权平均法确定其实际成本。周转材料包括低值易耗品和包装物等，低值易耗品和包装物釆用一次转销法进行摊销。</w:t>
              </w:r>
            </w:p>
            <w:p w:rsidR="00086F8E" w:rsidRPr="00086F8E" w:rsidRDefault="00086F8E" w:rsidP="00086F8E">
              <w:pPr>
                <w:rPr>
                  <w:szCs w:val="21"/>
                </w:rPr>
              </w:pPr>
            </w:p>
            <w:p w:rsidR="00086F8E" w:rsidRPr="00086F8E" w:rsidRDefault="00086F8E" w:rsidP="00086F8E">
              <w:pPr>
                <w:rPr>
                  <w:szCs w:val="21"/>
                </w:rPr>
              </w:pPr>
              <w:r w:rsidRPr="00086F8E">
                <w:rPr>
                  <w:rFonts w:hint="eastAsia"/>
                  <w:szCs w:val="21"/>
                </w:rPr>
                <w:t>存货的盘存制度采用永续盘存制。</w:t>
              </w:r>
            </w:p>
            <w:p w:rsidR="00086F8E" w:rsidRPr="00086F8E" w:rsidRDefault="00086F8E" w:rsidP="00086F8E">
              <w:pPr>
                <w:rPr>
                  <w:szCs w:val="21"/>
                </w:rPr>
              </w:pPr>
            </w:p>
            <w:p w:rsidR="00086F8E" w:rsidRPr="00086F8E" w:rsidRDefault="00086F8E" w:rsidP="00086F8E">
              <w:pPr>
                <w:rPr>
                  <w:szCs w:val="21"/>
                </w:rPr>
              </w:pPr>
              <w:r w:rsidRPr="00086F8E">
                <w:rPr>
                  <w:rFonts w:hint="eastAsia"/>
                  <w:szCs w:val="21"/>
                </w:rPr>
                <w:t>于资产负债表日，存货按照成本与可变现净值孰低计量，对成本高于可变现净值的，计提存货跌价准备，计入当期损益。如果以前计提存货跌价准备的影响因素已经消失，使得存货的可变现净值高于其账面价值，则在原已计提的存货跌价准备金额内，将以前减记的金额予以恢复，转回的金额计入当期损益。</w:t>
              </w:r>
            </w:p>
            <w:p w:rsidR="00086F8E" w:rsidRPr="00086F8E" w:rsidRDefault="00086F8E" w:rsidP="00086F8E">
              <w:pPr>
                <w:rPr>
                  <w:szCs w:val="21"/>
                </w:rPr>
              </w:pPr>
            </w:p>
            <w:p w:rsidR="00ED2DC7" w:rsidRDefault="00086F8E" w:rsidP="00086F8E">
              <w:pPr>
                <w:rPr>
                  <w:rFonts w:cs="Times New Roman"/>
                  <w:szCs w:val="21"/>
                </w:rPr>
              </w:pPr>
              <w:r w:rsidRPr="00086F8E">
                <w:rPr>
                  <w:rFonts w:hint="eastAsia"/>
                  <w:szCs w:val="21"/>
                </w:rPr>
                <w:t>可变现净值，是指在日常活动中，存货的估计售价减去至完工时估计将要发生的成本、估计的销售费用以及相关税费后的金额。计提存货跌价准备时，原材料按类别计提，库存商品按单个存货项目计提。</w:t>
              </w:r>
            </w:p>
          </w:sdtContent>
        </w:sdt>
      </w:sdtContent>
    </w:sdt>
    <w:p w:rsidR="00ED2DC7" w:rsidRDefault="00ED2DC7">
      <w:pPr>
        <w:rPr>
          <w:rFonts w:cs="Times New Roman"/>
          <w:szCs w:val="21"/>
        </w:rPr>
      </w:pPr>
    </w:p>
    <w:bookmarkStart w:id="75" w:name="_Hlk10465202" w:displacedByCustomXml="next"/>
    <w:sdt>
      <w:sdtPr>
        <w:rPr>
          <w:rFonts w:ascii="宋体" w:hAnsi="宋体" w:cs="宋体" w:hint="eastAsia"/>
          <w:b w:val="0"/>
          <w:bCs w:val="0"/>
          <w:kern w:val="0"/>
          <w:szCs w:val="21"/>
        </w:rPr>
        <w:alias w:val="模块:合同资产"/>
        <w:tag w:val="_SEC_c8278ca8e95a4a1fb97258ed9c2842ff"/>
        <w:id w:val="20134392"/>
        <w:lock w:val="sdtLocked"/>
        <w:placeholder>
          <w:docPart w:val="GBC22222222222222222222222222222"/>
        </w:placeholder>
      </w:sdtPr>
      <w:sdtEndPr>
        <w:rPr>
          <w:rFonts w:hint="default"/>
        </w:rPr>
      </w:sdtEndPr>
      <w:sdtContent>
        <w:p w:rsidR="00ED2DC7" w:rsidRDefault="00ED2DC7" w:rsidP="00036BDC">
          <w:pPr>
            <w:pStyle w:val="affffffffffffffffff1"/>
            <w:numPr>
              <w:ilvl w:val="0"/>
              <w:numId w:val="38"/>
            </w:numPr>
            <w:rPr>
              <w:szCs w:val="21"/>
            </w:rPr>
          </w:pPr>
          <w:r>
            <w:rPr>
              <w:rFonts w:hint="eastAsia"/>
              <w:szCs w:val="21"/>
            </w:rPr>
            <w:t>合同资产</w:t>
          </w:r>
        </w:p>
        <w:p w:rsidR="00ED2DC7" w:rsidRDefault="00ED2DC7" w:rsidP="00036BDC">
          <w:pPr>
            <w:pStyle w:val="affffffffffffffffff2"/>
            <w:numPr>
              <w:ilvl w:val="0"/>
              <w:numId w:val="39"/>
            </w:numPr>
            <w:rPr>
              <w:szCs w:val="21"/>
            </w:rPr>
          </w:pPr>
          <w:r>
            <w:rPr>
              <w:rFonts w:hint="eastAsia"/>
              <w:szCs w:val="21"/>
            </w:rPr>
            <w:t>合同资产的确认方法及标准</w:t>
          </w:r>
        </w:p>
        <w:sdt>
          <w:sdtPr>
            <w:rPr>
              <w:szCs w:val="21"/>
            </w:rPr>
            <w:alias w:val="是否适用：合同资产的确定方法、摊销方法和减值测试方法[双击切换]"/>
            <w:tag w:val="_GBC_9daae386f9a94543beb70aace93dc36d"/>
            <w:id w:val="32710176"/>
            <w:lock w:val="sdtContentLocked"/>
            <w:placeholder>
              <w:docPart w:val="GBC22222222222222222222222222222"/>
            </w:placeholder>
          </w:sdtPr>
          <w:sdtContent>
            <w:p w:rsidR="00ED2DC7" w:rsidRDefault="00ED2DC7" w:rsidP="008B75B8">
              <w:pPr>
                <w:rPr>
                  <w:szCs w:val="21"/>
                </w:rPr>
              </w:pPr>
              <w:r>
                <w:rPr>
                  <w:szCs w:val="21"/>
                </w:rPr>
                <w:fldChar w:fldCharType="begin"/>
              </w:r>
              <w:r w:rsidR="008B75B8">
                <w:rPr>
                  <w:szCs w:val="21"/>
                </w:rPr>
                <w:instrText xml:space="preserve"> MACROBUTTON  SnrToggleCheckbox □适用 </w:instrText>
              </w:r>
              <w:r>
                <w:rPr>
                  <w:szCs w:val="21"/>
                </w:rPr>
                <w:fldChar w:fldCharType="end"/>
              </w:r>
              <w:r>
                <w:rPr>
                  <w:szCs w:val="21"/>
                </w:rPr>
                <w:fldChar w:fldCharType="begin"/>
              </w:r>
              <w:r w:rsidR="008B75B8">
                <w:rPr>
                  <w:szCs w:val="21"/>
                </w:rPr>
                <w:instrText xml:space="preserve"> MACROBUTTON  SnrToggleCheckbox √不适用 </w:instrText>
              </w:r>
              <w:r>
                <w:rPr>
                  <w:szCs w:val="21"/>
                </w:rPr>
                <w:fldChar w:fldCharType="end"/>
              </w:r>
            </w:p>
          </w:sdtContent>
        </w:sdt>
        <w:p w:rsidR="00ED2DC7" w:rsidRDefault="000D0A99">
          <w:pPr>
            <w:rPr>
              <w:rFonts w:cs="Times New Roman"/>
              <w:szCs w:val="21"/>
            </w:rPr>
          </w:pPr>
        </w:p>
      </w:sdtContent>
    </w:sdt>
    <w:bookmarkEnd w:id="75" w:displacedByCustomXml="prev"/>
    <w:bookmarkStart w:id="76" w:name="_Hlk10465245" w:displacedByCustomXml="next"/>
    <w:bookmarkStart w:id="77" w:name="_Hlk10465255" w:displacedByCustomXml="next"/>
    <w:sdt>
      <w:sdtPr>
        <w:rPr>
          <w:rFonts w:ascii="宋体" w:hAnsi="宋体" w:cs="宋体" w:hint="eastAsia"/>
          <w:b w:val="0"/>
          <w:bCs w:val="0"/>
          <w:kern w:val="0"/>
          <w:szCs w:val="21"/>
        </w:rPr>
        <w:alias w:val="模块:合同资产预期信用损失的确定方法及会计处理方法"/>
        <w:tag w:val="_SEC_c2bb2c97fdb4423db069686155694c4c"/>
        <w:id w:val="16895310"/>
        <w:lock w:val="sdtLocked"/>
        <w:placeholder>
          <w:docPart w:val="GBC22222222222222222222222222222"/>
        </w:placeholder>
      </w:sdtPr>
      <w:sdtEndPr>
        <w:rPr>
          <w:rFonts w:hint="default"/>
        </w:rPr>
      </w:sdtEndPr>
      <w:sdtContent>
        <w:p w:rsidR="00ED2DC7" w:rsidRDefault="00ED2DC7" w:rsidP="00036BDC">
          <w:pPr>
            <w:pStyle w:val="affffffffffffffffff2"/>
            <w:numPr>
              <w:ilvl w:val="0"/>
              <w:numId w:val="39"/>
            </w:numPr>
            <w:rPr>
              <w:szCs w:val="21"/>
            </w:rPr>
          </w:pPr>
          <w:r>
            <w:rPr>
              <w:rFonts w:hint="eastAsia"/>
              <w:szCs w:val="21"/>
            </w:rPr>
            <w:t>合同资产预期信用损失的确定方法及会计处理方法</w:t>
          </w:r>
          <w:bookmarkEnd w:id="76"/>
        </w:p>
        <w:sdt>
          <w:sdtPr>
            <w:rPr>
              <w:szCs w:val="21"/>
            </w:rPr>
            <w:alias w:val="是否适用：合同资产预期信用损失的确定方法及会计处理方法[双击切换]"/>
            <w:tag w:val="_GBC_c1227cf6e2f0432a85c32b611a40fa7f"/>
            <w:id w:val="513195811"/>
            <w:lock w:val="sdtContentLocked"/>
            <w:placeholder>
              <w:docPart w:val="GBC22222222222222222222222222222"/>
            </w:placeholder>
          </w:sdtPr>
          <w:sdtContent>
            <w:p w:rsidR="00ED2DC7" w:rsidRDefault="00ED2DC7" w:rsidP="008B75B8">
              <w:pPr>
                <w:rPr>
                  <w:szCs w:val="21"/>
                </w:rPr>
              </w:pPr>
              <w:r>
                <w:rPr>
                  <w:szCs w:val="21"/>
                </w:rPr>
                <w:fldChar w:fldCharType="begin"/>
              </w:r>
              <w:r w:rsidR="008B75B8">
                <w:rPr>
                  <w:szCs w:val="21"/>
                </w:rPr>
                <w:instrText xml:space="preserve"> MACROBUTTON  SnrToggleCheckbox □适用 </w:instrText>
              </w:r>
              <w:r>
                <w:rPr>
                  <w:szCs w:val="21"/>
                </w:rPr>
                <w:fldChar w:fldCharType="end"/>
              </w:r>
              <w:r>
                <w:rPr>
                  <w:szCs w:val="21"/>
                </w:rPr>
                <w:fldChar w:fldCharType="begin"/>
              </w:r>
              <w:r w:rsidR="008B75B8">
                <w:rPr>
                  <w:szCs w:val="21"/>
                </w:rPr>
                <w:instrText xml:space="preserve"> MACROBUTTON  SnrToggleCheckbox √不适用 </w:instrText>
              </w:r>
              <w:r>
                <w:rPr>
                  <w:szCs w:val="21"/>
                </w:rPr>
                <w:fldChar w:fldCharType="end"/>
              </w:r>
            </w:p>
          </w:sdtContent>
        </w:sdt>
        <w:p w:rsidR="00ED2DC7" w:rsidRDefault="000D0A99">
          <w:pPr>
            <w:rPr>
              <w:rFonts w:cs="Times New Roman"/>
              <w:szCs w:val="21"/>
            </w:rPr>
          </w:pPr>
        </w:p>
      </w:sdtContent>
    </w:sdt>
    <w:bookmarkEnd w:id="77" w:displacedByCustomXml="prev"/>
    <w:bookmarkStart w:id="78" w:name="_Hlk10465310" w:displacedByCustomXml="next"/>
    <w:sdt>
      <w:sdtPr>
        <w:rPr>
          <w:rFonts w:ascii="宋体" w:hAnsi="宋体" w:cs="宋体" w:hint="eastAsia"/>
          <w:b w:val="0"/>
          <w:bCs w:val="0"/>
          <w:kern w:val="0"/>
          <w:szCs w:val="21"/>
        </w:rPr>
        <w:alias w:val="模块:划分为持有待售资产"/>
        <w:tag w:val="_GBC_a1a86a762feb43c3bed478ce8a19ae7c"/>
        <w:id w:val="-1076205244"/>
        <w:lock w:val="sdtLocked"/>
        <w:placeholder>
          <w:docPart w:val="GBC22222222222222222222222222222"/>
        </w:placeholder>
      </w:sdtPr>
      <w:sdtContent>
        <w:p w:rsidR="00ED2DC7" w:rsidRDefault="00ED2DC7" w:rsidP="00036BDC">
          <w:pPr>
            <w:pStyle w:val="affffffffffffffffff1"/>
            <w:numPr>
              <w:ilvl w:val="0"/>
              <w:numId w:val="38"/>
            </w:numPr>
            <w:rPr>
              <w:szCs w:val="21"/>
            </w:rPr>
          </w:pPr>
          <w:r>
            <w:rPr>
              <w:rFonts w:hint="eastAsia"/>
            </w:rPr>
            <w:t>持有</w:t>
          </w:r>
          <w:r>
            <w:rPr>
              <w:rFonts w:hint="eastAsia"/>
              <w:szCs w:val="21"/>
            </w:rPr>
            <w:t>待售资产</w:t>
          </w:r>
        </w:p>
        <w:sdt>
          <w:sdtPr>
            <w:rPr>
              <w:rFonts w:hint="eastAsia"/>
              <w:szCs w:val="21"/>
            </w:rPr>
            <w:alias w:val="是否适用：划分为持有待售资产_重要会计政策和估计[双击切换]"/>
            <w:tag w:val="_GBC_7d21fae1fb15414bac10a5567ebb7aca"/>
            <w:id w:val="-2089838905"/>
            <w:lock w:val="sdtContentLocked"/>
            <w:placeholder>
              <w:docPart w:val="GBC22222222222222222222222222222"/>
            </w:placeholder>
          </w:sdtPr>
          <w:sdtContent>
            <w:p w:rsidR="00ED2DC7" w:rsidRDefault="00ED2DC7" w:rsidP="008B75B8">
              <w:pPr>
                <w:rPr>
                  <w:szCs w:val="21"/>
                </w:rPr>
              </w:pPr>
              <w:r>
                <w:rPr>
                  <w:szCs w:val="21"/>
                </w:rPr>
                <w:fldChar w:fldCharType="begin"/>
              </w:r>
              <w:r w:rsidR="008B75B8">
                <w:rPr>
                  <w:szCs w:val="21"/>
                </w:rPr>
                <w:instrText xml:space="preserve"> MACROBUTTON  SnrToggleCheckbox □适用 </w:instrText>
              </w:r>
              <w:r>
                <w:rPr>
                  <w:szCs w:val="21"/>
                </w:rPr>
                <w:fldChar w:fldCharType="end"/>
              </w:r>
              <w:r>
                <w:rPr>
                  <w:szCs w:val="21"/>
                </w:rPr>
                <w:fldChar w:fldCharType="begin"/>
              </w:r>
              <w:r w:rsidR="008B75B8">
                <w:rPr>
                  <w:szCs w:val="21"/>
                </w:rPr>
                <w:instrText xml:space="preserve"> MACROBUTTON  SnrToggleCheckbox √不适用 </w:instrText>
              </w:r>
              <w:r>
                <w:rPr>
                  <w:szCs w:val="21"/>
                </w:rPr>
                <w:fldChar w:fldCharType="end"/>
              </w:r>
            </w:p>
          </w:sdtContent>
        </w:sdt>
      </w:sdtContent>
    </w:sdt>
    <w:p w:rsidR="00ED2DC7" w:rsidRDefault="00ED2DC7">
      <w:pPr>
        <w:rPr>
          <w:szCs w:val="21"/>
        </w:rPr>
      </w:pPr>
    </w:p>
    <w:sdt>
      <w:sdtPr>
        <w:rPr>
          <w:rFonts w:ascii="宋体" w:hAnsi="宋体" w:cs="宋体" w:hint="eastAsia"/>
          <w:b w:val="0"/>
          <w:bCs w:val="0"/>
          <w:kern w:val="0"/>
          <w:szCs w:val="21"/>
        </w:rPr>
        <w:alias w:val="模块:债权投资"/>
        <w:tag w:val="_SEC_64972cc74e5349aa855fec98c6609582"/>
        <w:id w:val="1939396302"/>
        <w:lock w:val="sdtLocked"/>
        <w:placeholder>
          <w:docPart w:val="GBC22222222222222222222222222222"/>
        </w:placeholder>
      </w:sdtPr>
      <w:sdtEndPr>
        <w:rPr>
          <w:rFonts w:hint="default"/>
        </w:rPr>
      </w:sdtEndPr>
      <w:sdtContent>
        <w:p w:rsidR="00ED2DC7" w:rsidRDefault="00ED2DC7" w:rsidP="00036BDC">
          <w:pPr>
            <w:pStyle w:val="affffffffffffffffff1"/>
            <w:numPr>
              <w:ilvl w:val="0"/>
              <w:numId w:val="38"/>
            </w:numPr>
            <w:rPr>
              <w:szCs w:val="21"/>
            </w:rPr>
          </w:pPr>
          <w:r>
            <w:rPr>
              <w:rFonts w:hint="eastAsia"/>
              <w:szCs w:val="21"/>
            </w:rPr>
            <w:t>债权投资</w:t>
          </w:r>
        </w:p>
        <w:p w:rsidR="00ED2DC7" w:rsidRDefault="00ED2DC7">
          <w:pPr>
            <w:pStyle w:val="affffffffffffffffff2"/>
          </w:pPr>
          <w:r>
            <w:rPr>
              <w:rFonts w:hint="eastAsia"/>
            </w:rPr>
            <w:t>债权投资预期信用损失的确定方法及会计处理方法</w:t>
          </w:r>
        </w:p>
        <w:sdt>
          <w:sdtPr>
            <w:rPr>
              <w:szCs w:val="21"/>
            </w:rPr>
            <w:alias w:val="是否适用：债权投资预期信用损失的确定方法及会计处理方法[双击切换]"/>
            <w:tag w:val="_GBC_acf0a46e8a8248e9a7f548194ba5ca2d"/>
            <w:id w:val="-1211105232"/>
            <w:lock w:val="sdtContentLocked"/>
            <w:placeholder>
              <w:docPart w:val="GBC22222222222222222222222222222"/>
            </w:placeholder>
          </w:sdtPr>
          <w:sdtContent>
            <w:p w:rsidR="00ED2DC7" w:rsidRDefault="00ED2DC7" w:rsidP="008B75B8">
              <w:pPr>
                <w:rPr>
                  <w:szCs w:val="21"/>
                </w:rPr>
              </w:pPr>
              <w:r>
                <w:rPr>
                  <w:szCs w:val="21"/>
                </w:rPr>
                <w:fldChar w:fldCharType="begin"/>
              </w:r>
              <w:r w:rsidR="008B75B8">
                <w:rPr>
                  <w:szCs w:val="21"/>
                </w:rPr>
                <w:instrText xml:space="preserve"> MACROBUTTON  SnrToggleCheckbox □适用 </w:instrText>
              </w:r>
              <w:r>
                <w:rPr>
                  <w:szCs w:val="21"/>
                </w:rPr>
                <w:fldChar w:fldCharType="end"/>
              </w:r>
              <w:r>
                <w:rPr>
                  <w:szCs w:val="21"/>
                </w:rPr>
                <w:fldChar w:fldCharType="begin"/>
              </w:r>
              <w:r w:rsidR="008B75B8">
                <w:rPr>
                  <w:szCs w:val="21"/>
                </w:rPr>
                <w:instrText xml:space="preserve"> MACROBUTTON  SnrToggleCheckbox √不适用 </w:instrText>
              </w:r>
              <w:r>
                <w:rPr>
                  <w:szCs w:val="21"/>
                </w:rPr>
                <w:fldChar w:fldCharType="end"/>
              </w:r>
            </w:p>
          </w:sdtContent>
        </w:sdt>
        <w:p w:rsidR="00ED2DC7" w:rsidRDefault="000D0A99">
          <w:pPr>
            <w:rPr>
              <w:rFonts w:cs="Times New Roman"/>
              <w:szCs w:val="21"/>
            </w:rPr>
          </w:pPr>
        </w:p>
      </w:sdtContent>
    </w:sdt>
    <w:bookmarkEnd w:id="78" w:displacedByCustomXml="prev"/>
    <w:bookmarkStart w:id="79" w:name="_Hlk10465347" w:displacedByCustomXml="next"/>
    <w:sdt>
      <w:sdtPr>
        <w:rPr>
          <w:rFonts w:ascii="宋体" w:hAnsi="宋体" w:cs="宋体" w:hint="eastAsia"/>
          <w:b w:val="0"/>
          <w:bCs w:val="0"/>
          <w:kern w:val="0"/>
          <w:szCs w:val="21"/>
        </w:rPr>
        <w:alias w:val="模块:其他债权投资"/>
        <w:tag w:val="_SEC_41586dd479b54f07aeed675230b384c8"/>
        <w:id w:val="-2013142306"/>
        <w:lock w:val="sdtLocked"/>
        <w:placeholder>
          <w:docPart w:val="GBC22222222222222222222222222222"/>
        </w:placeholder>
      </w:sdtPr>
      <w:sdtEndPr>
        <w:rPr>
          <w:rFonts w:hint="default"/>
        </w:rPr>
      </w:sdtEndPr>
      <w:sdtContent>
        <w:p w:rsidR="00ED2DC7" w:rsidRDefault="00ED2DC7" w:rsidP="00036BDC">
          <w:pPr>
            <w:pStyle w:val="affffffffffffffffff1"/>
            <w:numPr>
              <w:ilvl w:val="0"/>
              <w:numId w:val="38"/>
            </w:numPr>
            <w:rPr>
              <w:szCs w:val="21"/>
            </w:rPr>
          </w:pPr>
          <w:r>
            <w:rPr>
              <w:rFonts w:hint="eastAsia"/>
              <w:szCs w:val="21"/>
            </w:rPr>
            <w:t>其他债权投资</w:t>
          </w:r>
        </w:p>
        <w:p w:rsidR="00ED2DC7" w:rsidRDefault="00ED2DC7">
          <w:pPr>
            <w:pStyle w:val="affffffffffffffffff2"/>
          </w:pPr>
          <w:r>
            <w:rPr>
              <w:rFonts w:hint="eastAsia"/>
            </w:rPr>
            <w:t>其他债权投资</w:t>
          </w:r>
          <w:r>
            <w:t>预期信用损失的确定方法</w:t>
          </w:r>
          <w:r>
            <w:rPr>
              <w:rFonts w:ascii="宋体" w:hAnsi="宋体" w:cs="Calibri"/>
              <w:szCs w:val="21"/>
            </w:rPr>
            <w:t>及会计处理方法</w:t>
          </w:r>
        </w:p>
        <w:sdt>
          <w:sdtPr>
            <w:alias w:val="是否适用：其他债权投资预期信用损失的确定方法及会计处理方法[双击切换]"/>
            <w:tag w:val="_GBC_c8b7f631f3734e4e873d374c0e3e2936"/>
            <w:id w:val="30771832"/>
            <w:lock w:val="sdtContentLocked"/>
            <w:placeholder>
              <w:docPart w:val="GBC22222222222222222222222222222"/>
            </w:placeholder>
          </w:sdtPr>
          <w:sdtContent>
            <w:p w:rsidR="00ED2DC7" w:rsidRDefault="00ED2DC7" w:rsidP="008B75B8">
              <w:pPr>
                <w:rPr>
                  <w:rFonts w:cs="Times New Roman"/>
                  <w:szCs w:val="21"/>
                </w:rPr>
              </w:pPr>
              <w:r>
                <w:fldChar w:fldCharType="begin"/>
              </w:r>
              <w:r w:rsidR="008B75B8">
                <w:instrText xml:space="preserve"> MACROBUTTON  SnrToggleCheckbox □适用 </w:instrText>
              </w:r>
              <w:r>
                <w:fldChar w:fldCharType="end"/>
              </w:r>
              <w:r>
                <w:fldChar w:fldCharType="begin"/>
              </w:r>
              <w:r w:rsidR="008B75B8">
                <w:instrText xml:space="preserve"> MACROBUTTON  SnrToggleCheckbox √不适用 </w:instrText>
              </w:r>
              <w:r>
                <w:fldChar w:fldCharType="end"/>
              </w:r>
            </w:p>
          </w:sdtContent>
        </w:sdt>
        <w:p w:rsidR="00ED2DC7" w:rsidRDefault="000D0A99">
          <w:pPr>
            <w:rPr>
              <w:rFonts w:cs="Times New Roman"/>
              <w:szCs w:val="21"/>
            </w:rPr>
          </w:pPr>
        </w:p>
      </w:sdtContent>
    </w:sdt>
    <w:bookmarkEnd w:id="79" w:displacedByCustomXml="prev"/>
    <w:bookmarkStart w:id="80" w:name="_Hlk10465393" w:displacedByCustomXml="next"/>
    <w:sdt>
      <w:sdtPr>
        <w:rPr>
          <w:rFonts w:ascii="宋体" w:hAnsi="宋体" w:cs="宋体" w:hint="eastAsia"/>
          <w:b w:val="0"/>
          <w:bCs w:val="0"/>
          <w:kern w:val="0"/>
          <w:szCs w:val="21"/>
        </w:rPr>
        <w:alias w:val="模块:长期应收款"/>
        <w:tag w:val="_SEC_ef0b5e87e2254c638e2a6672bcd1eac8"/>
        <w:id w:val="1165052270"/>
        <w:lock w:val="sdtLocked"/>
        <w:placeholder>
          <w:docPart w:val="GBC22222222222222222222222222222"/>
        </w:placeholder>
      </w:sdtPr>
      <w:sdtContent>
        <w:p w:rsidR="00ED2DC7" w:rsidRDefault="00ED2DC7" w:rsidP="00036BDC">
          <w:pPr>
            <w:pStyle w:val="affffffffffffffffff1"/>
            <w:numPr>
              <w:ilvl w:val="0"/>
              <w:numId w:val="38"/>
            </w:numPr>
            <w:rPr>
              <w:szCs w:val="21"/>
            </w:rPr>
          </w:pPr>
          <w:r>
            <w:rPr>
              <w:rFonts w:hint="eastAsia"/>
              <w:szCs w:val="21"/>
            </w:rPr>
            <w:t>长期应收款</w:t>
          </w:r>
        </w:p>
        <w:p w:rsidR="00ED2DC7" w:rsidRDefault="00ED2DC7">
          <w:pPr>
            <w:pStyle w:val="affffffffffffffffff2"/>
          </w:pPr>
          <w:r>
            <w:rPr>
              <w:rFonts w:hint="eastAsia"/>
            </w:rPr>
            <w:t>长期应收款</w:t>
          </w:r>
          <w:r>
            <w:t>预期信用损失的确定方法</w:t>
          </w:r>
          <w:r>
            <w:rPr>
              <w:rFonts w:ascii="宋体" w:hAnsi="宋体" w:cs="Calibri"/>
              <w:szCs w:val="21"/>
            </w:rPr>
            <w:t>及会计处理方法</w:t>
          </w:r>
        </w:p>
        <w:sdt>
          <w:sdtPr>
            <w:alias w:val="是否适用：长期应收款预期信用损失的确定方法及会计处理方法[双击切换]"/>
            <w:tag w:val="_GBC_9cf76ec2aae6484cbb983cf468a375bc"/>
            <w:id w:val="-902209015"/>
            <w:lock w:val="sdtContentLocked"/>
            <w:placeholder>
              <w:docPart w:val="GBC22222222222222222222222222222"/>
            </w:placeholder>
          </w:sdtPr>
          <w:sdtContent>
            <w:p w:rsidR="00ED2DC7" w:rsidRDefault="00ED2DC7" w:rsidP="008B75B8">
              <w:r>
                <w:fldChar w:fldCharType="begin"/>
              </w:r>
              <w:r w:rsidR="008B75B8">
                <w:instrText xml:space="preserve"> MACROBUTTON  SnrToggleCheckbox □适用 </w:instrText>
              </w:r>
              <w:r>
                <w:fldChar w:fldCharType="end"/>
              </w:r>
              <w:r>
                <w:fldChar w:fldCharType="begin"/>
              </w:r>
              <w:r w:rsidR="008B75B8">
                <w:instrText xml:space="preserve"> MACROBUTTON  SnrToggleCheckbox √不适用 </w:instrText>
              </w:r>
              <w:r>
                <w:fldChar w:fldCharType="end"/>
              </w:r>
            </w:p>
          </w:sdtContent>
        </w:sdt>
        <w:p w:rsidR="00ED2DC7" w:rsidRDefault="000D0A99">
          <w:pPr>
            <w:rPr>
              <w:rFonts w:cs="Times New Roman"/>
              <w:szCs w:val="21"/>
            </w:rPr>
          </w:pPr>
        </w:p>
      </w:sdtContent>
    </w:sdt>
    <w:bookmarkEnd w:id="80" w:displacedByCustomXml="prev"/>
    <w:sdt>
      <w:sdtPr>
        <w:rPr>
          <w:rFonts w:asciiTheme="minorHAnsi" w:hAnsiTheme="minorHAnsi" w:cstheme="minorBidi"/>
          <w:b w:val="0"/>
          <w:bCs w:val="0"/>
          <w:kern w:val="0"/>
          <w:szCs w:val="22"/>
        </w:rPr>
        <w:alias w:val="模块:长期股权投资"/>
        <w:tag w:val="_GBC_d82c12cf13554acd90dfb7880244798c"/>
        <w:id w:val="1484499514"/>
        <w:lock w:val="sdtLocked"/>
        <w:placeholder>
          <w:docPart w:val="GBC22222222222222222222222222222"/>
        </w:placeholder>
      </w:sdtPr>
      <w:sdtEndPr>
        <w:rPr>
          <w:rFonts w:ascii="宋体" w:hAnsi="宋体" w:cs="Times New Roman"/>
          <w:szCs w:val="21"/>
        </w:rPr>
      </w:sdtEndPr>
      <w:sdtContent>
        <w:p w:rsidR="00ED2DC7" w:rsidRDefault="00ED2DC7" w:rsidP="00036BDC">
          <w:pPr>
            <w:pStyle w:val="affffffffffffffffff1"/>
            <w:numPr>
              <w:ilvl w:val="0"/>
              <w:numId w:val="38"/>
            </w:numPr>
          </w:pPr>
          <w:r>
            <w:t>长期股权投资</w:t>
          </w:r>
        </w:p>
        <w:sdt>
          <w:sdtPr>
            <w:alias w:val="是否适用：长期股权投资_重要会计政策和估计[双击切换]"/>
            <w:tag w:val="_GBC_a2b657853ac547afaaad118dec96d0e1"/>
            <w:id w:val="1635599064"/>
            <w:lock w:val="sdtContentLocked"/>
            <w:placeholder>
              <w:docPart w:val="GBC22222222222222222222222222222"/>
            </w:placeholder>
          </w:sdtPr>
          <w:sdtContent>
            <w:p w:rsidR="00ED2DC7" w:rsidRDefault="00ED2DC7">
              <w:r>
                <w:fldChar w:fldCharType="begin"/>
              </w:r>
              <w:r w:rsidR="004A22CB">
                <w:instrText xml:space="preserve"> MACROBUTTON  SnrToggleCheckbox √适用 </w:instrText>
              </w:r>
              <w:r>
                <w:fldChar w:fldCharType="end"/>
              </w:r>
              <w:r>
                <w:fldChar w:fldCharType="begin"/>
              </w:r>
              <w:r w:rsidR="004A22CB">
                <w:instrText xml:space="preserve"> MACROBUTTON  SnrToggleCheckbox □不适用 </w:instrText>
              </w:r>
              <w:r>
                <w:fldChar w:fldCharType="end"/>
              </w:r>
            </w:p>
          </w:sdtContent>
        </w:sdt>
        <w:sdt>
          <w:sdtPr>
            <w:rPr>
              <w:szCs w:val="21"/>
            </w:rPr>
            <w:alias w:val="长期股权投资的核算方法"/>
            <w:tag w:val="_GBC_3e77074cd50946b1bccdff9bc1c9556f"/>
            <w:id w:val="-1564636773"/>
            <w:lock w:val="sdtLocked"/>
            <w:placeholder>
              <w:docPart w:val="GBC22222222222222222222222222222"/>
            </w:placeholder>
          </w:sdtPr>
          <w:sdtContent>
            <w:p w:rsidR="008B75B8" w:rsidRPr="008B75B8" w:rsidRDefault="008B75B8" w:rsidP="008B75B8">
              <w:pPr>
                <w:rPr>
                  <w:szCs w:val="21"/>
                </w:rPr>
              </w:pPr>
              <w:r w:rsidRPr="008B75B8">
                <w:rPr>
                  <w:rFonts w:hint="eastAsia"/>
                  <w:szCs w:val="21"/>
                </w:rPr>
                <w:t>长期股权投资包括对子公司和联营企业的权益性投资。</w:t>
              </w:r>
            </w:p>
            <w:p w:rsidR="008B75B8" w:rsidRPr="008B75B8" w:rsidRDefault="008B75B8" w:rsidP="008B75B8">
              <w:pPr>
                <w:rPr>
                  <w:szCs w:val="21"/>
                </w:rPr>
              </w:pPr>
            </w:p>
            <w:p w:rsidR="008B75B8" w:rsidRPr="008B75B8" w:rsidRDefault="008B75B8" w:rsidP="008B75B8">
              <w:pPr>
                <w:rPr>
                  <w:szCs w:val="21"/>
                </w:rPr>
              </w:pPr>
              <w:r w:rsidRPr="008B75B8">
                <w:rPr>
                  <w:rFonts w:hint="eastAsia"/>
                  <w:szCs w:val="21"/>
                </w:rPr>
                <w:lastRenderedPageBreak/>
                <w:t>长期股权投资在取得时以初始投资成本进行初始计量。通过同一控制下的企业合并取得的长期股权投资，以合并日取得被合并方所有者权益在最终控制方合并财务报表中的账面价值的份额作为初始投资成本；初始投资成本与合并对价账面价值之间差额，调整资本公积</w:t>
              </w:r>
              <w:r w:rsidRPr="008B75B8">
                <w:rPr>
                  <w:szCs w:val="21"/>
                </w:rPr>
                <w:t>(不足冲减的，冲减留存收益)；合并日之前的其他综合收益，在处置该项投资时采用与被投资单位直接处置相关资产或负债相同的基础进行会计处理，因被投资方除净损益、其他综合收益和利润分配以外的其他股东权益变动而确认的股东权益，在处置该项投资时转入当期损益；其中，处置后仍为长期股权投资的按</w:t>
              </w:r>
              <w:r w:rsidRPr="008B75B8">
                <w:rPr>
                  <w:rFonts w:hint="eastAsia"/>
                  <w:szCs w:val="21"/>
                </w:rPr>
                <w:t>比例结转，处置后转换为金融工具的则全额结转。</w:t>
              </w:r>
            </w:p>
            <w:p w:rsidR="008B75B8" w:rsidRPr="008B75B8" w:rsidRDefault="008B75B8" w:rsidP="008B75B8">
              <w:pPr>
                <w:rPr>
                  <w:szCs w:val="21"/>
                </w:rPr>
              </w:pPr>
            </w:p>
            <w:p w:rsidR="008B75B8" w:rsidRPr="008B75B8" w:rsidRDefault="008B75B8" w:rsidP="008B75B8">
              <w:pPr>
                <w:rPr>
                  <w:szCs w:val="21"/>
                </w:rPr>
              </w:pPr>
              <w:r w:rsidRPr="008B75B8">
                <w:rPr>
                  <w:rFonts w:hint="eastAsia"/>
                  <w:szCs w:val="21"/>
                </w:rPr>
                <w:t>通过非同一控制下的企业合并取得的长期股权投资，以合并成本作为初始投资成本</w:t>
              </w:r>
              <w:r w:rsidRPr="008B75B8">
                <w:rPr>
                  <w:szCs w:val="21"/>
                </w:rPr>
                <w:t>(通过多次交易分步实现非同一控制下的企业合并的，以购买日之前所持被购买方的股权投资的账面价值与购买日新增投资成本之和作为初始投资成本)，合并成本包括购买方付出的资产、发生或承担的负债、发行的权益性证券的公允价值之和；购买日之前持有的因采用权益法核算而确认的其他综合收益，在处置该项投资时采用与被投资单位直接处置相关资产或负债相同的基础进行会计处理，因被投资方除净损益、其他综合收益和利润分配以外的其他股东权益变动而确认的股东权益，在处置该项</w:t>
              </w:r>
              <w:r w:rsidRPr="008B75B8">
                <w:rPr>
                  <w:rFonts w:hint="eastAsia"/>
                  <w:szCs w:val="21"/>
                </w:rPr>
                <w:t>投资时转入当期损益；其中，处置后仍为长期股权投资的按比例结转，处置后转换为金融工具的则全额结转；购买日之前持有的股权投资作为金融工具计入其他综合收益的累计公允价值变动在改按成本法核算时全部转入当期损益。</w:t>
              </w:r>
            </w:p>
            <w:p w:rsidR="008B75B8" w:rsidRPr="008B75B8" w:rsidRDefault="008B75B8" w:rsidP="008B75B8">
              <w:pPr>
                <w:rPr>
                  <w:szCs w:val="21"/>
                </w:rPr>
              </w:pPr>
            </w:p>
            <w:p w:rsidR="008B75B8" w:rsidRPr="008B75B8" w:rsidRDefault="008B75B8" w:rsidP="008B75B8">
              <w:pPr>
                <w:rPr>
                  <w:szCs w:val="21"/>
                </w:rPr>
              </w:pPr>
              <w:r w:rsidRPr="008B75B8">
                <w:rPr>
                  <w:rFonts w:hint="eastAsia"/>
                  <w:szCs w:val="21"/>
                </w:rPr>
                <w:t>除企业合并形成的长期股权投资以外方式取得的长期股权投资，按照下列方法确定初始投资成本：支付现金取得的，以实际支付的购买价款及与取得长期股权投资直接相关的费用、税金及其他必要支出作为初始投资成本；发行权益性证券取得的，以发行权益性证券的公允价值作为初始投资成本；通过非货币性资产交换取得的，按照《企业会计准则第</w:t>
              </w:r>
              <w:r w:rsidRPr="008B75B8">
                <w:rPr>
                  <w:szCs w:val="21"/>
                </w:rPr>
                <w:t>7号——非货币性资产交换》确定初始投资成本；通过债务重组取得的，按照《企业会计准则第12号——债务重组》确定初始投资成本。</w:t>
              </w:r>
            </w:p>
            <w:p w:rsidR="008B75B8" w:rsidRPr="008B75B8" w:rsidRDefault="008B75B8" w:rsidP="008B75B8">
              <w:pPr>
                <w:rPr>
                  <w:szCs w:val="21"/>
                </w:rPr>
              </w:pPr>
            </w:p>
            <w:p w:rsidR="008B75B8" w:rsidRDefault="008B75B8" w:rsidP="008B75B8">
              <w:pPr>
                <w:rPr>
                  <w:szCs w:val="21"/>
                </w:rPr>
              </w:pPr>
              <w:r w:rsidRPr="008B75B8">
                <w:rPr>
                  <w:rFonts w:hint="eastAsia"/>
                  <w:szCs w:val="21"/>
                </w:rPr>
                <w:t>本公司能够对被投资单位实施控制的长期股权投资，在本公司个别财务报表中采用成本法核算。控制，是指拥有对被投资方的权力，通过参与被投资方的相关活动而享有可变回报，并且有能力运用对被投资方的权力影响回报金额。</w:t>
              </w:r>
            </w:p>
            <w:p w:rsidR="008B75B8" w:rsidRDefault="008B75B8" w:rsidP="008B75B8">
              <w:pPr>
                <w:rPr>
                  <w:szCs w:val="21"/>
                </w:rPr>
              </w:pPr>
            </w:p>
            <w:p w:rsidR="008B75B8" w:rsidRPr="008B75B8" w:rsidRDefault="008B75B8" w:rsidP="008B75B8">
              <w:pPr>
                <w:rPr>
                  <w:szCs w:val="21"/>
                </w:rPr>
              </w:pPr>
              <w:r w:rsidRPr="008B75B8">
                <w:rPr>
                  <w:rFonts w:hint="eastAsia"/>
                  <w:szCs w:val="21"/>
                </w:rPr>
                <w:t>采用成本法时，长期股权投资按初始投资成本计价。追加或收回投资的，调整长期股权投资的成本。被投资单位宣告分派的现金股利或利润，确认为当期投资收益。</w:t>
              </w:r>
            </w:p>
            <w:p w:rsidR="008B75B8" w:rsidRPr="008B75B8" w:rsidRDefault="008B75B8" w:rsidP="008B75B8">
              <w:pPr>
                <w:rPr>
                  <w:szCs w:val="21"/>
                </w:rPr>
              </w:pPr>
            </w:p>
            <w:p w:rsidR="008B75B8" w:rsidRPr="008B75B8" w:rsidRDefault="008B75B8" w:rsidP="008B75B8">
              <w:pPr>
                <w:rPr>
                  <w:szCs w:val="21"/>
                </w:rPr>
              </w:pPr>
              <w:r w:rsidRPr="008B75B8">
                <w:rPr>
                  <w:rFonts w:hint="eastAsia"/>
                  <w:szCs w:val="21"/>
                </w:rPr>
                <w:t>本集团对被投资单位具有共同控制或重大影响的，长期股权投资采用权益法核算。共同控制，是指按照相关约定对某项安排所共有的控制，并且该安排的相关活动必须经过分享控制权的参与方一致同意后才能决策。重大影响，是指对被投资单位的财务和经营政策有参与决策的权力，但并不能够控制或者与其他方一起共同控制这些政策的制定。</w:t>
              </w:r>
            </w:p>
            <w:p w:rsidR="008B75B8" w:rsidRPr="008B75B8" w:rsidRDefault="008B75B8" w:rsidP="008B75B8">
              <w:pPr>
                <w:rPr>
                  <w:szCs w:val="21"/>
                </w:rPr>
              </w:pPr>
            </w:p>
            <w:p w:rsidR="008B75B8" w:rsidRPr="008B75B8" w:rsidRDefault="008B75B8" w:rsidP="008B75B8">
              <w:pPr>
                <w:rPr>
                  <w:szCs w:val="21"/>
                </w:rPr>
              </w:pPr>
              <w:r w:rsidRPr="008B75B8">
                <w:rPr>
                  <w:rFonts w:hint="eastAsia"/>
                  <w:szCs w:val="21"/>
                </w:rPr>
                <w:t>采用权益法时，长期股权投资的初始投资成本大于投资时应享有被投资单位可辨认净资产公允价值份额的，归入长期股权投资的初始投资成本；长期股权投资的初始投资成本小于投资时应享有被投资单位可辨认净资产公允价值份额的，其差额计入当期损益，同时调整长期股权投资的成本。</w:t>
              </w:r>
            </w:p>
            <w:p w:rsidR="008B75B8" w:rsidRPr="008B75B8" w:rsidRDefault="008B75B8" w:rsidP="008B75B8">
              <w:pPr>
                <w:rPr>
                  <w:szCs w:val="21"/>
                </w:rPr>
              </w:pPr>
            </w:p>
            <w:p w:rsidR="008B75B8" w:rsidRPr="008B75B8" w:rsidRDefault="008B75B8" w:rsidP="008B75B8">
              <w:pPr>
                <w:rPr>
                  <w:szCs w:val="21"/>
                </w:rPr>
              </w:pPr>
              <w:r w:rsidRPr="008B75B8">
                <w:rPr>
                  <w:rFonts w:hint="eastAsia"/>
                  <w:szCs w:val="21"/>
                </w:rPr>
                <w:t>采用权益法时，取得长期股权投资后，按照应享有或应分担的被投资单位实现的净损益和其他综合收益的份额，分别确认投资损益和其他综合收益并调整长期股权投资的账面价值。在确认应享有被投资单位净损益的份额时，以取得投资时被投资单位可辨认资产等的公允价值为基础，按照本集团的会计政策及会计期间，并抵销与联营企业及合营企业之间发生的内部交易损益按照应享有的比例计算归属于投资方的部分</w:t>
              </w:r>
              <w:r w:rsidRPr="008B75B8">
                <w:rPr>
                  <w:szCs w:val="21"/>
                </w:rPr>
                <w:t>(但内部交易损失属于资产减值损失的，应全额确认)，对被投资单位的净利润进行调整后确认，但投出或出售的资产构成业务的除外。按照被投资单位宣告分派的利</w:t>
              </w:r>
              <w:r w:rsidRPr="008B75B8">
                <w:rPr>
                  <w:rFonts w:hint="eastAsia"/>
                  <w:szCs w:val="21"/>
                </w:rPr>
                <w:t>润或现金股利计算应享有的部分，相应减少长期股权投资的账面价值。本集团确认被投资单位发生的净亏损，以长期股权投资的账面价值以及其他实质上构成对被投资单位净投资的长期</w:t>
              </w:r>
              <w:r w:rsidRPr="008B75B8">
                <w:rPr>
                  <w:rFonts w:hint="eastAsia"/>
                  <w:szCs w:val="21"/>
                </w:rPr>
                <w:lastRenderedPageBreak/>
                <w:t>权益减记至零为限，本集团负有承担额外损失义务的除外。对于被投资单位除净损益、其他综合收益和利润分配以外股东权益的其他变动，调整长期股权投资的账面价值并计入股东权益。</w:t>
              </w:r>
            </w:p>
            <w:p w:rsidR="008B75B8" w:rsidRPr="008B75B8" w:rsidRDefault="008B75B8" w:rsidP="008B75B8">
              <w:pPr>
                <w:rPr>
                  <w:szCs w:val="21"/>
                </w:rPr>
              </w:pPr>
            </w:p>
            <w:p w:rsidR="00ED2DC7" w:rsidRDefault="008B75B8" w:rsidP="008B75B8">
              <w:pPr>
                <w:rPr>
                  <w:szCs w:val="21"/>
                </w:rPr>
              </w:pPr>
              <w:r w:rsidRPr="008B75B8">
                <w:rPr>
                  <w:rFonts w:hint="eastAsia"/>
                  <w:szCs w:val="21"/>
                </w:rPr>
                <w:t>处置长期股权投资，其账面价值与实际取得价款的差额，计入当期损益。采用权益法核算的长期股权投资，因处置终止采用权益法的，原权益法核算的相关其他综合收益采用与被投资单位直接处置相关资产或负债相同的基础进行会计处理，因被投资方除净损益、其他综合收益和利润分配以外的其他股东权益变动而确认的股东权益，全部转入当期损益；仍采用权益法的，原权益法核算的相关其他综合收益采用与被投资单位直接处置相关资产或负债相同的基础进行会计处理并按比例转入当期损益，因被投资方除净损益、其他综合收益和利润分配以外的其他股东权益变动而确认的股东权益，按相应的比例转入当期损益。</w:t>
              </w:r>
            </w:p>
          </w:sdtContent>
        </w:sdt>
      </w:sdtContent>
    </w:sdt>
    <w:p w:rsidR="00ED2DC7" w:rsidRDefault="00ED2DC7">
      <w:pPr>
        <w:rPr>
          <w:szCs w:val="21"/>
        </w:rPr>
      </w:pPr>
    </w:p>
    <w:p w:rsidR="00ED2DC7" w:rsidRDefault="00ED2DC7" w:rsidP="00036BDC">
      <w:pPr>
        <w:pStyle w:val="affffffffffffffffff1"/>
        <w:numPr>
          <w:ilvl w:val="0"/>
          <w:numId w:val="38"/>
        </w:numPr>
      </w:pPr>
      <w:r>
        <w:t>投资性房地产</w:t>
      </w:r>
    </w:p>
    <w:sdt>
      <w:sdtPr>
        <w:rPr>
          <w:rFonts w:hint="eastAsia"/>
          <w:b/>
          <w:bCs/>
        </w:rPr>
        <w:alias w:val="选项模块:成本计量模式"/>
        <w:tag w:val="_GBC_20b1c487c1e348188269523d7d980194"/>
        <w:id w:val="-887186376"/>
        <w:lock w:val="sdtLocked"/>
        <w:placeholder>
          <w:docPart w:val="GBC22222222222222222222222222222"/>
        </w:placeholder>
      </w:sdtPr>
      <w:sdtEndPr>
        <w:rPr>
          <w:b w:val="0"/>
          <w:bCs w:val="0"/>
          <w:szCs w:val="21"/>
        </w:rPr>
      </w:sdtEndPr>
      <w:sdtContent>
        <w:p w:rsidR="00ED2DC7" w:rsidRPr="00AB43E2" w:rsidRDefault="00036BDC" w:rsidP="00B637B2">
          <w:pPr>
            <w:rPr>
              <w:szCs w:val="21"/>
            </w:rPr>
          </w:pPr>
          <w:r w:rsidRPr="00AB43E2">
            <w:rPr>
              <w:rFonts w:hint="eastAsia"/>
              <w:bCs/>
            </w:rPr>
            <w:t>不适用。</w:t>
          </w:r>
        </w:p>
      </w:sdtContent>
    </w:sdt>
    <w:p w:rsidR="00ED2DC7" w:rsidRDefault="00ED2DC7">
      <w:pPr>
        <w:rPr>
          <w:szCs w:val="21"/>
        </w:rPr>
      </w:pPr>
    </w:p>
    <w:p w:rsidR="00ED2DC7" w:rsidRDefault="00ED2DC7">
      <w:pPr>
        <w:rPr>
          <w:szCs w:val="21"/>
        </w:rPr>
      </w:pPr>
    </w:p>
    <w:p w:rsidR="00ED2DC7" w:rsidRDefault="00ED2DC7" w:rsidP="00036BDC">
      <w:pPr>
        <w:pStyle w:val="affffffffffffffffff1"/>
        <w:numPr>
          <w:ilvl w:val="0"/>
          <w:numId w:val="38"/>
        </w:numPr>
      </w:pPr>
      <w:r>
        <w:t>固定资产</w:t>
      </w:r>
    </w:p>
    <w:sdt>
      <w:sdtPr>
        <w:rPr>
          <w:rFonts w:ascii="宋体" w:hAnsi="宋体" w:cs="宋体"/>
          <w:b w:val="0"/>
          <w:bCs w:val="0"/>
          <w:kern w:val="0"/>
          <w:szCs w:val="24"/>
        </w:rPr>
        <w:alias w:val="模块:固定资产确认条件"/>
        <w:tag w:val="_GBC_662771796da549e1b2a02fb7d497f077"/>
        <w:id w:val="-273096254"/>
        <w:lock w:val="sdtLocked"/>
        <w:placeholder>
          <w:docPart w:val="GBC22222222222222222222222222222"/>
        </w:placeholder>
      </w:sdtPr>
      <w:sdtEndPr>
        <w:rPr>
          <w:rFonts w:ascii="Times New Roman" w:hAnsi="Times New Roman"/>
        </w:rPr>
      </w:sdtEndPr>
      <w:sdtContent>
        <w:p w:rsidR="00ED2DC7" w:rsidRDefault="00ED2DC7" w:rsidP="00036BDC">
          <w:pPr>
            <w:pStyle w:val="affffffffffffffffff2"/>
            <w:numPr>
              <w:ilvl w:val="0"/>
              <w:numId w:val="40"/>
            </w:numPr>
          </w:pPr>
          <w:r>
            <w:rPr>
              <w:rFonts w:hint="eastAsia"/>
            </w:rPr>
            <w:t>确认条件</w:t>
          </w:r>
        </w:p>
        <w:sdt>
          <w:sdtPr>
            <w:alias w:val="是否适用：固定资产确认条件[双击切换]"/>
            <w:tag w:val="_GBC_45cce032cd1f43bfad18a80dd94e9cc4"/>
            <w:id w:val="1997151857"/>
            <w:lock w:val="sdtContentLocked"/>
            <w:placeholder>
              <w:docPart w:val="GBC22222222222222222222222222222"/>
            </w:placeholder>
          </w:sdtPr>
          <w:sdtContent>
            <w:p w:rsidR="00ED2DC7" w:rsidRDefault="00ED2DC7">
              <w:r>
                <w:fldChar w:fldCharType="begin"/>
              </w:r>
              <w:r w:rsidR="004A22CB">
                <w:instrText xml:space="preserve"> MACROBUTTON  SnrToggleCheckbox √适用 </w:instrText>
              </w:r>
              <w:r>
                <w:fldChar w:fldCharType="end"/>
              </w:r>
              <w:r>
                <w:fldChar w:fldCharType="begin"/>
              </w:r>
              <w:r w:rsidR="004A22CB">
                <w:instrText xml:space="preserve"> MACROBUTTON  SnrToggleCheckbox □不适用 </w:instrText>
              </w:r>
              <w:r>
                <w:fldChar w:fldCharType="end"/>
              </w:r>
            </w:p>
          </w:sdtContent>
        </w:sdt>
        <w:sdt>
          <w:sdtPr>
            <w:rPr>
              <w:bCs/>
              <w:szCs w:val="21"/>
            </w:rPr>
            <w:alias w:val="固定资产确认条件"/>
            <w:tag w:val="_GBC_3044d53470b143fa9477fa34b85d4ec5"/>
            <w:id w:val="854848304"/>
            <w:lock w:val="sdtLocked"/>
            <w:placeholder>
              <w:docPart w:val="GBC22222222222222222222222222222"/>
            </w:placeholder>
          </w:sdtPr>
          <w:sdtEndPr>
            <w:rPr>
              <w:b/>
            </w:rPr>
          </w:sdtEndPr>
          <w:sdtContent>
            <w:p w:rsidR="008B75B8" w:rsidRPr="008B75B8" w:rsidRDefault="008B75B8" w:rsidP="008B75B8">
              <w:pPr>
                <w:overflowPunct w:val="0"/>
                <w:autoSpaceDE w:val="0"/>
                <w:autoSpaceDN w:val="0"/>
                <w:adjustRightInd w:val="0"/>
                <w:snapToGrid w:val="0"/>
                <w:jc w:val="both"/>
                <w:textAlignment w:val="bottom"/>
                <w:rPr>
                  <w:rFonts w:cs="Arial"/>
                  <w:sz w:val="20"/>
                  <w:szCs w:val="20"/>
                </w:rPr>
              </w:pPr>
              <w:r w:rsidRPr="008B75B8">
                <w:rPr>
                  <w:rFonts w:cs="Arial"/>
                  <w:sz w:val="20"/>
                  <w:szCs w:val="20"/>
                </w:rPr>
                <w:t>固定资产仅在与其有关的经济利益很可能流入本集团，且其成本能够可靠地计量时才予以确认。与固定资产有关的后续支出，符合该确认条件的，计入固定资产成本，并终止确认被替换部分的账面价值；否则，在发生时计入当期损益。</w:t>
              </w:r>
            </w:p>
            <w:p w:rsidR="008B75B8" w:rsidRPr="008B75B8" w:rsidRDefault="008B75B8" w:rsidP="008B75B8">
              <w:pPr>
                <w:overflowPunct w:val="0"/>
                <w:autoSpaceDE w:val="0"/>
                <w:autoSpaceDN w:val="0"/>
                <w:adjustRightInd w:val="0"/>
                <w:snapToGrid w:val="0"/>
                <w:jc w:val="both"/>
                <w:textAlignment w:val="bottom"/>
                <w:rPr>
                  <w:rFonts w:cs="Arial"/>
                  <w:bCs/>
                  <w:snapToGrid w:val="0"/>
                  <w:sz w:val="20"/>
                  <w:szCs w:val="20"/>
                </w:rPr>
              </w:pPr>
            </w:p>
            <w:p w:rsidR="008B75B8" w:rsidRPr="008B75B8" w:rsidRDefault="008B75B8" w:rsidP="008B75B8">
              <w:pPr>
                <w:overflowPunct w:val="0"/>
                <w:autoSpaceDE w:val="0"/>
                <w:autoSpaceDN w:val="0"/>
                <w:adjustRightInd w:val="0"/>
                <w:snapToGrid w:val="0"/>
                <w:jc w:val="both"/>
                <w:textAlignment w:val="bottom"/>
                <w:rPr>
                  <w:rFonts w:cs="Arial"/>
                  <w:sz w:val="20"/>
                  <w:szCs w:val="20"/>
                </w:rPr>
              </w:pPr>
              <w:r w:rsidRPr="008B75B8">
                <w:rPr>
                  <w:rFonts w:cs="Arial"/>
                  <w:sz w:val="20"/>
                  <w:szCs w:val="20"/>
                </w:rPr>
                <w:t>固定资产按照成本进行初始计量。购置固定资产的成本包括购买价款、相关税费、使固定资产达到预定可使用状态前所发生的可直接归属于该项资产的其他支出。</w:t>
              </w:r>
            </w:p>
            <w:p w:rsidR="00ED2DC7" w:rsidRDefault="000D0A99" w:rsidP="008B75B8">
              <w:pPr>
                <w:rPr>
                  <w:b/>
                  <w:bCs/>
                  <w:szCs w:val="21"/>
                </w:rPr>
              </w:pPr>
            </w:p>
          </w:sdtContent>
        </w:sdt>
      </w:sdtContent>
    </w:sdt>
    <w:p w:rsidR="00ED2DC7" w:rsidRDefault="00ED2DC7">
      <w:pPr>
        <w:rPr>
          <w:szCs w:val="21"/>
        </w:rPr>
      </w:pPr>
    </w:p>
    <w:sdt>
      <w:sdtPr>
        <w:rPr>
          <w:rFonts w:asciiTheme="minorHAnsi" w:hAnsiTheme="minorHAnsi" w:cstheme="minorBidi"/>
          <w:b w:val="0"/>
          <w:bCs w:val="0"/>
          <w:kern w:val="0"/>
          <w:szCs w:val="22"/>
        </w:rPr>
        <w:alias w:val="模块:固定资产折旧方法"/>
        <w:tag w:val="_GBC_7c749a57d4094b3386978c34c3487e2a"/>
        <w:id w:val="1790232764"/>
        <w:lock w:val="sdtLocked"/>
        <w:placeholder>
          <w:docPart w:val="GBC22222222222222222222222222222"/>
        </w:placeholder>
      </w:sdtPr>
      <w:sdtEndPr>
        <w:rPr>
          <w:rFonts w:ascii="宋体" w:hAnsi="宋体" w:cs="宋体"/>
          <w:szCs w:val="24"/>
        </w:rPr>
      </w:sdtEndPr>
      <w:sdtContent>
        <w:p w:rsidR="00ED2DC7" w:rsidRDefault="00ED2DC7" w:rsidP="00036BDC">
          <w:pPr>
            <w:pStyle w:val="affffffffffffffffff2"/>
            <w:numPr>
              <w:ilvl w:val="0"/>
              <w:numId w:val="40"/>
            </w:numPr>
          </w:pPr>
          <w:r>
            <w:t>折旧方法</w:t>
          </w:r>
        </w:p>
        <w:sdt>
          <w:sdtPr>
            <w:alias w:val="是否适用：固定资产折旧方法[双击切换]"/>
            <w:tag w:val="_GBC_c221ef38ff6a4242aab725946697311c"/>
            <w:id w:val="980431301"/>
            <w:lock w:val="sdtContentLocked"/>
            <w:placeholder>
              <w:docPart w:val="GBC22222222222222222222222222222"/>
            </w:placeholder>
          </w:sdtPr>
          <w:sdtContent>
            <w:p w:rsidR="00763056" w:rsidRDefault="00ED2DC7">
              <w:r>
                <w:fldChar w:fldCharType="begin"/>
              </w:r>
              <w:r w:rsidR="004A22CB">
                <w:instrText xml:space="preserve"> MACROBUTTON  SnrToggleCheckbox √适用 </w:instrText>
              </w:r>
              <w:r>
                <w:fldChar w:fldCharType="end"/>
              </w:r>
              <w:r>
                <w:fldChar w:fldCharType="begin"/>
              </w:r>
              <w:r w:rsidR="004A22CB">
                <w:instrText xml:space="preserve"> MACROBUTTON  SnrToggleCheckbox □不适用 </w:instrText>
              </w:r>
              <w:r>
                <w:fldChar w:fldCharType="end"/>
              </w:r>
            </w:p>
          </w:sdtContent>
        </w:sdt>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1785"/>
            <w:gridCol w:w="1788"/>
            <w:gridCol w:w="1788"/>
            <w:gridCol w:w="1788"/>
          </w:tblGrid>
          <w:tr w:rsidR="00763056" w:rsidTr="00134F9D">
            <w:sdt>
              <w:sdtPr>
                <w:tag w:val="_PLD_d39db65ac15c4d7583d7fe75cb893517"/>
                <w:id w:val="-1632712574"/>
                <w:lock w:val="sdtLocked"/>
              </w:sdtPr>
              <w:sdtContent>
                <w:tc>
                  <w:tcPr>
                    <w:tcW w:w="949" w:type="pct"/>
                    <w:vAlign w:val="center"/>
                  </w:tcPr>
                  <w:p w:rsidR="00763056" w:rsidRDefault="00763056" w:rsidP="00134F9D">
                    <w:pPr>
                      <w:jc w:val="center"/>
                      <w:rPr>
                        <w:szCs w:val="21"/>
                      </w:rPr>
                    </w:pPr>
                    <w:r>
                      <w:rPr>
                        <w:szCs w:val="21"/>
                      </w:rPr>
                      <w:t>类别</w:t>
                    </w:r>
                  </w:p>
                </w:tc>
              </w:sdtContent>
            </w:sdt>
            <w:sdt>
              <w:sdtPr>
                <w:tag w:val="_PLD_1b5147121b9948e5a115c7a4d6c95995"/>
                <w:id w:val="-1922018540"/>
                <w:lock w:val="sdtLocked"/>
              </w:sdtPr>
              <w:sdtContent>
                <w:tc>
                  <w:tcPr>
                    <w:tcW w:w="1012" w:type="pct"/>
                    <w:vAlign w:val="center"/>
                  </w:tcPr>
                  <w:p w:rsidR="00763056" w:rsidRDefault="00763056" w:rsidP="00134F9D">
                    <w:pPr>
                      <w:jc w:val="center"/>
                      <w:rPr>
                        <w:szCs w:val="21"/>
                      </w:rPr>
                    </w:pPr>
                    <w:r w:rsidRPr="00C63537">
                      <w:rPr>
                        <w:rFonts w:hint="eastAsia"/>
                        <w:szCs w:val="21"/>
                      </w:rPr>
                      <w:t>折旧方法</w:t>
                    </w:r>
                  </w:p>
                </w:tc>
              </w:sdtContent>
            </w:sdt>
            <w:sdt>
              <w:sdtPr>
                <w:tag w:val="_PLD_65441224aa3f4fd3be4ca0650b16b1aa"/>
                <w:id w:val="-2120757085"/>
                <w:lock w:val="sdtLocked"/>
              </w:sdtPr>
              <w:sdtContent>
                <w:tc>
                  <w:tcPr>
                    <w:tcW w:w="1013" w:type="pct"/>
                    <w:vAlign w:val="center"/>
                  </w:tcPr>
                  <w:p w:rsidR="00763056" w:rsidRDefault="00763056" w:rsidP="00134F9D">
                    <w:pPr>
                      <w:jc w:val="center"/>
                      <w:rPr>
                        <w:szCs w:val="21"/>
                      </w:rPr>
                    </w:pPr>
                    <w:r>
                      <w:rPr>
                        <w:szCs w:val="21"/>
                      </w:rPr>
                      <w:t>折旧年限（年）</w:t>
                    </w:r>
                  </w:p>
                </w:tc>
              </w:sdtContent>
            </w:sdt>
            <w:sdt>
              <w:sdtPr>
                <w:tag w:val="_PLD_1c82a37539a842289bf80f2937f33bee"/>
                <w:id w:val="1617788037"/>
                <w:lock w:val="sdtLocked"/>
              </w:sdtPr>
              <w:sdtContent>
                <w:tc>
                  <w:tcPr>
                    <w:tcW w:w="1013" w:type="pct"/>
                    <w:vAlign w:val="center"/>
                  </w:tcPr>
                  <w:p w:rsidR="00763056" w:rsidRDefault="00763056" w:rsidP="00134F9D">
                    <w:pPr>
                      <w:jc w:val="center"/>
                      <w:rPr>
                        <w:szCs w:val="21"/>
                      </w:rPr>
                    </w:pPr>
                    <w:r>
                      <w:rPr>
                        <w:szCs w:val="21"/>
                      </w:rPr>
                      <w:t>残值率</w:t>
                    </w:r>
                  </w:p>
                </w:tc>
              </w:sdtContent>
            </w:sdt>
            <w:sdt>
              <w:sdtPr>
                <w:tag w:val="_PLD_a67e8338c181496fa22b9944b63ec82c"/>
                <w:id w:val="1729411214"/>
                <w:lock w:val="sdtLocked"/>
              </w:sdtPr>
              <w:sdtContent>
                <w:tc>
                  <w:tcPr>
                    <w:tcW w:w="1013" w:type="pct"/>
                    <w:vAlign w:val="center"/>
                  </w:tcPr>
                  <w:p w:rsidR="00763056" w:rsidRDefault="00763056" w:rsidP="00134F9D">
                    <w:pPr>
                      <w:jc w:val="center"/>
                      <w:rPr>
                        <w:szCs w:val="21"/>
                      </w:rPr>
                    </w:pPr>
                    <w:r>
                      <w:rPr>
                        <w:szCs w:val="21"/>
                      </w:rPr>
                      <w:t>年折旧率</w:t>
                    </w:r>
                  </w:p>
                </w:tc>
              </w:sdtContent>
            </w:sdt>
          </w:tr>
          <w:sdt>
            <w:sdtPr>
              <w:rPr>
                <w:rFonts w:asciiTheme="minorHAnsi" w:eastAsiaTheme="minorEastAsia" w:hAnsiTheme="minorHAnsi" w:cstheme="minorBidi"/>
                <w:kern w:val="2"/>
                <w:szCs w:val="21"/>
              </w:rPr>
              <w:alias w:val="其他固定资产计价、折旧、减值方法"/>
              <w:tag w:val="_GBC_f1ad6125c5d74d2a98f593d2ba574474"/>
              <w:id w:val="-1869521881"/>
              <w:lock w:val="sdtLocked"/>
            </w:sdtPr>
            <w:sdtContent>
              <w:tr w:rsidR="00763056" w:rsidTr="00134F9D">
                <w:tc>
                  <w:tcPr>
                    <w:tcW w:w="949" w:type="pct"/>
                  </w:tcPr>
                  <w:p w:rsidR="00763056" w:rsidRDefault="00763056" w:rsidP="00134F9D">
                    <w:pPr>
                      <w:rPr>
                        <w:szCs w:val="21"/>
                      </w:rPr>
                    </w:pPr>
                    <w:r>
                      <w:t>房屋及建筑物</w:t>
                    </w:r>
                  </w:p>
                </w:tc>
                <w:tc>
                  <w:tcPr>
                    <w:tcW w:w="1012" w:type="pct"/>
                  </w:tcPr>
                  <w:p w:rsidR="00763056" w:rsidRDefault="008F04CF" w:rsidP="00134F9D">
                    <w:pPr>
                      <w:rPr>
                        <w:szCs w:val="21"/>
                      </w:rPr>
                    </w:pPr>
                    <w:r w:rsidRPr="00D675FC">
                      <w:rPr>
                        <w:rFonts w:hint="eastAsia"/>
                        <w:szCs w:val="21"/>
                      </w:rPr>
                      <w:t>年限平均法</w:t>
                    </w:r>
                  </w:p>
                </w:tc>
                <w:tc>
                  <w:tcPr>
                    <w:tcW w:w="1013" w:type="pct"/>
                  </w:tcPr>
                  <w:p w:rsidR="00763056" w:rsidRDefault="00763056" w:rsidP="00134F9D">
                    <w:pPr>
                      <w:rPr>
                        <w:szCs w:val="21"/>
                      </w:rPr>
                    </w:pPr>
                    <w:r>
                      <w:t>40</w:t>
                    </w:r>
                  </w:p>
                </w:tc>
                <w:tc>
                  <w:tcPr>
                    <w:tcW w:w="1013" w:type="pct"/>
                  </w:tcPr>
                  <w:p w:rsidR="00763056" w:rsidRDefault="00763056" w:rsidP="00134F9D">
                    <w:pPr>
                      <w:rPr>
                        <w:szCs w:val="21"/>
                      </w:rPr>
                    </w:pPr>
                    <w:r>
                      <w:t>3%</w:t>
                    </w:r>
                  </w:p>
                </w:tc>
                <w:tc>
                  <w:tcPr>
                    <w:tcW w:w="1013" w:type="pct"/>
                  </w:tcPr>
                  <w:p w:rsidR="00763056" w:rsidRDefault="00763056" w:rsidP="00134F9D">
                    <w:pPr>
                      <w:rPr>
                        <w:szCs w:val="21"/>
                      </w:rPr>
                    </w:pPr>
                    <w:r>
                      <w:t>2.4%</w:t>
                    </w:r>
                  </w:p>
                </w:tc>
              </w:tr>
            </w:sdtContent>
          </w:sdt>
          <w:sdt>
            <w:sdtPr>
              <w:rPr>
                <w:rFonts w:asciiTheme="minorHAnsi" w:eastAsiaTheme="minorEastAsia" w:hAnsiTheme="minorHAnsi" w:cstheme="minorBidi"/>
                <w:kern w:val="2"/>
                <w:szCs w:val="21"/>
              </w:rPr>
              <w:alias w:val="其他固定资产计价、折旧、减值方法"/>
              <w:tag w:val="_GBC_f1ad6125c5d74d2a98f593d2ba574474"/>
              <w:id w:val="-1718044094"/>
              <w:lock w:val="sdtLocked"/>
            </w:sdtPr>
            <w:sdtContent>
              <w:tr w:rsidR="00763056" w:rsidTr="00134F9D">
                <w:tc>
                  <w:tcPr>
                    <w:tcW w:w="949" w:type="pct"/>
                  </w:tcPr>
                  <w:p w:rsidR="00763056" w:rsidRDefault="00763056" w:rsidP="00134F9D">
                    <w:pPr>
                      <w:rPr>
                        <w:szCs w:val="21"/>
                      </w:rPr>
                    </w:pPr>
                    <w:r>
                      <w:t>运输工具</w:t>
                    </w:r>
                  </w:p>
                </w:tc>
                <w:tc>
                  <w:tcPr>
                    <w:tcW w:w="1012" w:type="pct"/>
                  </w:tcPr>
                  <w:p w:rsidR="00763056" w:rsidRDefault="008F04CF" w:rsidP="00134F9D">
                    <w:pPr>
                      <w:rPr>
                        <w:szCs w:val="21"/>
                      </w:rPr>
                    </w:pPr>
                    <w:r w:rsidRPr="00D675FC">
                      <w:rPr>
                        <w:rFonts w:hint="eastAsia"/>
                        <w:szCs w:val="21"/>
                      </w:rPr>
                      <w:t>年限平均法</w:t>
                    </w:r>
                  </w:p>
                </w:tc>
                <w:tc>
                  <w:tcPr>
                    <w:tcW w:w="1013" w:type="pct"/>
                  </w:tcPr>
                  <w:p w:rsidR="00763056" w:rsidRDefault="008F04CF" w:rsidP="00B637B2">
                    <w:pPr>
                      <w:rPr>
                        <w:szCs w:val="21"/>
                      </w:rPr>
                    </w:pPr>
                    <w:r>
                      <w:t>6</w:t>
                    </w:r>
                  </w:p>
                </w:tc>
                <w:tc>
                  <w:tcPr>
                    <w:tcW w:w="1013" w:type="pct"/>
                  </w:tcPr>
                  <w:p w:rsidR="00763056" w:rsidRDefault="00763056" w:rsidP="00134F9D">
                    <w:pPr>
                      <w:rPr>
                        <w:szCs w:val="21"/>
                      </w:rPr>
                    </w:pPr>
                    <w:r>
                      <w:t>3%</w:t>
                    </w:r>
                  </w:p>
                </w:tc>
                <w:tc>
                  <w:tcPr>
                    <w:tcW w:w="1013" w:type="pct"/>
                  </w:tcPr>
                  <w:p w:rsidR="00763056" w:rsidRDefault="00763056" w:rsidP="00134F9D">
                    <w:pPr>
                      <w:rPr>
                        <w:szCs w:val="21"/>
                      </w:rPr>
                    </w:pPr>
                    <w:r>
                      <w:t>16.2%</w:t>
                    </w:r>
                  </w:p>
                </w:tc>
              </w:tr>
            </w:sdtContent>
          </w:sdt>
          <w:sdt>
            <w:sdtPr>
              <w:rPr>
                <w:rFonts w:asciiTheme="minorHAnsi" w:eastAsiaTheme="minorEastAsia" w:hAnsiTheme="minorHAnsi" w:cstheme="minorBidi"/>
                <w:kern w:val="2"/>
                <w:szCs w:val="21"/>
              </w:rPr>
              <w:alias w:val="其他固定资产计价、折旧、减值方法"/>
              <w:tag w:val="_GBC_f1ad6125c5d74d2a98f593d2ba574474"/>
              <w:id w:val="-814404260"/>
              <w:lock w:val="sdtLocked"/>
            </w:sdtPr>
            <w:sdtContent>
              <w:tr w:rsidR="00763056" w:rsidTr="00134F9D">
                <w:tc>
                  <w:tcPr>
                    <w:tcW w:w="949" w:type="pct"/>
                  </w:tcPr>
                  <w:p w:rsidR="00763056" w:rsidRDefault="00763056" w:rsidP="00134F9D">
                    <w:pPr>
                      <w:rPr>
                        <w:szCs w:val="21"/>
                      </w:rPr>
                    </w:pPr>
                    <w:r>
                      <w:t>办公及电子设备</w:t>
                    </w:r>
                  </w:p>
                </w:tc>
                <w:tc>
                  <w:tcPr>
                    <w:tcW w:w="1012" w:type="pct"/>
                  </w:tcPr>
                  <w:p w:rsidR="00763056" w:rsidRDefault="008F04CF" w:rsidP="00134F9D">
                    <w:pPr>
                      <w:rPr>
                        <w:szCs w:val="21"/>
                      </w:rPr>
                    </w:pPr>
                    <w:r w:rsidRPr="00D675FC">
                      <w:rPr>
                        <w:rFonts w:hint="eastAsia"/>
                        <w:szCs w:val="21"/>
                      </w:rPr>
                      <w:t>年限平均法</w:t>
                    </w:r>
                  </w:p>
                </w:tc>
                <w:tc>
                  <w:tcPr>
                    <w:tcW w:w="1013" w:type="pct"/>
                  </w:tcPr>
                  <w:p w:rsidR="00763056" w:rsidRDefault="00763056" w:rsidP="00134F9D">
                    <w:pPr>
                      <w:rPr>
                        <w:szCs w:val="21"/>
                      </w:rPr>
                    </w:pPr>
                    <w:r>
                      <w:t>3-5</w:t>
                    </w:r>
                  </w:p>
                </w:tc>
                <w:tc>
                  <w:tcPr>
                    <w:tcW w:w="1013" w:type="pct"/>
                  </w:tcPr>
                  <w:p w:rsidR="00763056" w:rsidRDefault="00763056" w:rsidP="00134F9D">
                    <w:pPr>
                      <w:rPr>
                        <w:szCs w:val="21"/>
                      </w:rPr>
                    </w:pPr>
                    <w:r>
                      <w:t>-</w:t>
                    </w:r>
                  </w:p>
                </w:tc>
                <w:tc>
                  <w:tcPr>
                    <w:tcW w:w="1013" w:type="pct"/>
                  </w:tcPr>
                  <w:p w:rsidR="00763056" w:rsidRDefault="00763056" w:rsidP="00134F9D">
                    <w:pPr>
                      <w:rPr>
                        <w:szCs w:val="21"/>
                      </w:rPr>
                    </w:pPr>
                    <w:r>
                      <w:t>20.0-33.3%</w:t>
                    </w:r>
                  </w:p>
                </w:tc>
              </w:tr>
            </w:sdtContent>
          </w:sdt>
          <w:sdt>
            <w:sdtPr>
              <w:rPr>
                <w:rFonts w:asciiTheme="minorHAnsi" w:eastAsiaTheme="minorEastAsia" w:hAnsiTheme="minorHAnsi" w:cstheme="minorBidi"/>
                <w:kern w:val="2"/>
                <w:szCs w:val="21"/>
              </w:rPr>
              <w:alias w:val="其他固定资产计价、折旧、减值方法"/>
              <w:tag w:val="_GBC_f1ad6125c5d74d2a98f593d2ba574474"/>
              <w:id w:val="2095119196"/>
              <w:lock w:val="sdtLocked"/>
            </w:sdtPr>
            <w:sdtEndPr>
              <w:rPr>
                <w:rFonts w:cs="宋体"/>
                <w:kern w:val="0"/>
              </w:rPr>
            </w:sdtEndPr>
            <w:sdtContent>
              <w:tr w:rsidR="00763056" w:rsidRPr="00763056" w:rsidTr="00134F9D">
                <w:tc>
                  <w:tcPr>
                    <w:tcW w:w="949" w:type="pct"/>
                  </w:tcPr>
                  <w:p w:rsidR="00763056" w:rsidRDefault="00763056" w:rsidP="00134F9D">
                    <w:pPr>
                      <w:rPr>
                        <w:szCs w:val="21"/>
                      </w:rPr>
                    </w:pPr>
                    <w:r>
                      <w:t>机器设备</w:t>
                    </w:r>
                  </w:p>
                </w:tc>
                <w:tc>
                  <w:tcPr>
                    <w:tcW w:w="1012" w:type="pct"/>
                  </w:tcPr>
                  <w:p w:rsidR="00763056" w:rsidRDefault="008F04CF" w:rsidP="00134F9D">
                    <w:pPr>
                      <w:rPr>
                        <w:szCs w:val="21"/>
                      </w:rPr>
                    </w:pPr>
                    <w:r w:rsidRPr="00D675FC">
                      <w:rPr>
                        <w:rFonts w:hint="eastAsia"/>
                        <w:szCs w:val="21"/>
                      </w:rPr>
                      <w:t>年限平均法</w:t>
                    </w:r>
                  </w:p>
                </w:tc>
                <w:tc>
                  <w:tcPr>
                    <w:tcW w:w="1013" w:type="pct"/>
                  </w:tcPr>
                  <w:p w:rsidR="00763056" w:rsidRDefault="00763056" w:rsidP="00134F9D">
                    <w:pPr>
                      <w:rPr>
                        <w:szCs w:val="21"/>
                      </w:rPr>
                    </w:pPr>
                    <w:r>
                      <w:t>8-20</w:t>
                    </w:r>
                  </w:p>
                </w:tc>
                <w:tc>
                  <w:tcPr>
                    <w:tcW w:w="1013" w:type="pct"/>
                  </w:tcPr>
                  <w:p w:rsidR="00763056" w:rsidRDefault="00763056" w:rsidP="00134F9D">
                    <w:pPr>
                      <w:rPr>
                        <w:szCs w:val="21"/>
                      </w:rPr>
                    </w:pPr>
                    <w:r>
                      <w:t>3%</w:t>
                    </w:r>
                  </w:p>
                </w:tc>
                <w:tc>
                  <w:tcPr>
                    <w:tcW w:w="1013" w:type="pct"/>
                  </w:tcPr>
                  <w:p w:rsidR="00763056" w:rsidRDefault="00763056" w:rsidP="00134F9D">
                    <w:pPr>
                      <w:rPr>
                        <w:szCs w:val="21"/>
                      </w:rPr>
                    </w:pPr>
                    <w:r>
                      <w:t>4.9-12.1%</w:t>
                    </w:r>
                  </w:p>
                </w:tc>
              </w:tr>
            </w:sdtContent>
          </w:sdt>
        </w:tbl>
        <w:p w:rsidR="00763056" w:rsidRDefault="00763056"/>
        <w:p w:rsidR="00B637B2" w:rsidRPr="008B75B8" w:rsidRDefault="008F04CF" w:rsidP="00B637B2">
          <w:pPr>
            <w:overflowPunct w:val="0"/>
            <w:autoSpaceDE w:val="0"/>
            <w:autoSpaceDN w:val="0"/>
            <w:adjustRightInd w:val="0"/>
            <w:snapToGrid w:val="0"/>
            <w:jc w:val="both"/>
            <w:textAlignment w:val="bottom"/>
            <w:rPr>
              <w:rFonts w:cs="Arial"/>
              <w:sz w:val="20"/>
              <w:szCs w:val="20"/>
            </w:rPr>
          </w:pPr>
          <w:r w:rsidRPr="008B75B8">
            <w:rPr>
              <w:rFonts w:cs="Arial"/>
              <w:sz w:val="20"/>
              <w:szCs w:val="20"/>
            </w:rPr>
            <w:t>固定资产的各组成部分具有不同使用寿命或以不同方式为企业提供经济利益的，适用不同折旧率。</w:t>
          </w:r>
        </w:p>
        <w:p w:rsidR="00B637B2" w:rsidRPr="008B75B8" w:rsidRDefault="00B637B2" w:rsidP="00B637B2">
          <w:pPr>
            <w:overflowPunct w:val="0"/>
            <w:autoSpaceDE w:val="0"/>
            <w:autoSpaceDN w:val="0"/>
            <w:adjustRightInd w:val="0"/>
            <w:snapToGrid w:val="0"/>
            <w:jc w:val="both"/>
            <w:textAlignment w:val="bottom"/>
            <w:rPr>
              <w:rFonts w:cs="Arial"/>
              <w:sz w:val="20"/>
              <w:szCs w:val="20"/>
            </w:rPr>
          </w:pPr>
        </w:p>
        <w:p w:rsidR="00ED2DC7" w:rsidRPr="00763056" w:rsidRDefault="008F04CF" w:rsidP="00B637B2">
          <w:r w:rsidRPr="008B75B8">
            <w:rPr>
              <w:rFonts w:cs="Arial"/>
              <w:sz w:val="20"/>
              <w:szCs w:val="20"/>
            </w:rPr>
            <w:t>本集团至少于每年年度终了，对固定资产的使用寿命、预计净残值和折旧方法进行复核，必要时进行调整。</w:t>
          </w:r>
        </w:p>
      </w:sdtContent>
    </w:sdt>
    <w:p w:rsidR="00ED2DC7" w:rsidRDefault="00ED2DC7">
      <w:pPr>
        <w:rPr>
          <w:szCs w:val="21"/>
        </w:rPr>
      </w:pPr>
    </w:p>
    <w:sdt>
      <w:sdtPr>
        <w:rPr>
          <w:rFonts w:asciiTheme="minorHAnsi" w:hAnsiTheme="minorHAnsi" w:cs="宋体"/>
          <w:b w:val="0"/>
          <w:bCs w:val="0"/>
          <w:kern w:val="0"/>
          <w:szCs w:val="22"/>
        </w:rPr>
        <w:alias w:val="模块:固定资产计价和折旧方法及减值准备的计提方法"/>
        <w:tag w:val="_GBC_a1560089c32f441f92e145c3cdc25289"/>
        <w:id w:val="735595391"/>
        <w:lock w:val="sdtLocked"/>
        <w:placeholder>
          <w:docPart w:val="GBC22222222222222222222222222222"/>
        </w:placeholder>
      </w:sdtPr>
      <w:sdtEndPr>
        <w:rPr>
          <w:rFonts w:ascii="Times New Roman" w:hAnsi="Times New Roman" w:cs="Times New Roman" w:hint="eastAsia"/>
          <w:kern w:val="2"/>
          <w:szCs w:val="24"/>
        </w:rPr>
      </w:sdtEndPr>
      <w:sdtContent>
        <w:p w:rsidR="00ED2DC7" w:rsidRDefault="00ED2DC7" w:rsidP="00036BDC">
          <w:pPr>
            <w:pStyle w:val="affffffffffffffffff2"/>
            <w:numPr>
              <w:ilvl w:val="0"/>
              <w:numId w:val="40"/>
            </w:numPr>
            <w:rPr>
              <w:rFonts w:ascii="宋体" w:hAnsi="宋体"/>
              <w:szCs w:val="21"/>
            </w:rPr>
          </w:pPr>
          <w:r>
            <w:rPr>
              <w:rFonts w:ascii="宋体" w:hAnsi="宋体" w:hint="eastAsia"/>
              <w:szCs w:val="21"/>
            </w:rPr>
            <w:t>融资租入固定资产的认定依据、计价和折旧方法</w:t>
          </w:r>
        </w:p>
        <w:sdt>
          <w:sdtPr>
            <w:alias w:val="是否适用：融资租入固定资产的认定依据、计价和折旧方法[双击切换]"/>
            <w:tag w:val="_GBC_16fcfe6546324a2bb6bf5a46c9363b25"/>
            <w:id w:val="976485397"/>
            <w:lock w:val="sdtContentLocked"/>
            <w:placeholder>
              <w:docPart w:val="GBC22222222222222222222222222222"/>
            </w:placeholder>
          </w:sdtPr>
          <w:sdtContent>
            <w:p w:rsidR="00ED2DC7" w:rsidRDefault="00ED2DC7" w:rsidP="004A22CB">
              <w:pPr>
                <w:rPr>
                  <w:szCs w:val="21"/>
                </w:rPr>
              </w:pPr>
              <w:r>
                <w:fldChar w:fldCharType="begin"/>
              </w:r>
              <w:r w:rsidR="004A22CB">
                <w:instrText xml:space="preserve"> MACROBUTTON  SnrToggleCheckbox □适用 </w:instrText>
              </w:r>
              <w:r>
                <w:fldChar w:fldCharType="end"/>
              </w:r>
              <w:r>
                <w:fldChar w:fldCharType="begin"/>
              </w:r>
              <w:r w:rsidR="004A22CB">
                <w:instrText xml:space="preserve"> MACROBUTTON  SnrToggleCheckbox √不适用 </w:instrText>
              </w:r>
              <w:r>
                <w:fldChar w:fldCharType="end"/>
              </w:r>
            </w:p>
          </w:sdtContent>
        </w:sdt>
      </w:sdtContent>
    </w:sdt>
    <w:p w:rsidR="00ED2DC7" w:rsidRDefault="00ED2DC7">
      <w:pPr>
        <w:rPr>
          <w:szCs w:val="21"/>
        </w:rPr>
      </w:pPr>
    </w:p>
    <w:sdt>
      <w:sdtPr>
        <w:rPr>
          <w:rFonts w:ascii="宋体" w:hAnsi="宋体" w:cs="宋体"/>
          <w:b w:val="0"/>
          <w:bCs w:val="0"/>
          <w:kern w:val="0"/>
          <w:szCs w:val="24"/>
        </w:rPr>
        <w:alias w:val="模块:在建工程会计处理方法"/>
        <w:tag w:val="_GBC_3eb5f960df3e47f0a4bf3af0bc67ca96"/>
        <w:id w:val="471258245"/>
        <w:lock w:val="sdtLocked"/>
        <w:placeholder>
          <w:docPart w:val="GBC22222222222222222222222222222"/>
        </w:placeholder>
      </w:sdtPr>
      <w:sdtEndPr>
        <w:rPr>
          <w:rFonts w:hint="eastAsia"/>
          <w:szCs w:val="21"/>
        </w:rPr>
      </w:sdtEndPr>
      <w:sdtContent>
        <w:p w:rsidR="00ED2DC7" w:rsidRDefault="00ED2DC7" w:rsidP="00036BDC">
          <w:pPr>
            <w:pStyle w:val="affffffffffffffffff1"/>
            <w:numPr>
              <w:ilvl w:val="0"/>
              <w:numId w:val="38"/>
            </w:numPr>
          </w:pPr>
          <w:r>
            <w:t>在建工程</w:t>
          </w:r>
        </w:p>
        <w:p w:rsidR="00ED2DC7" w:rsidRDefault="000D0A99">
          <w:pPr>
            <w:rPr>
              <w:szCs w:val="21"/>
            </w:rPr>
          </w:pPr>
          <w:sdt>
            <w:sdtPr>
              <w:rPr>
                <w:rFonts w:hint="eastAsia"/>
                <w:szCs w:val="21"/>
              </w:rPr>
              <w:alias w:val="是否适用：在建工程_重要会计政策和估计[双击切换]"/>
              <w:tag w:val="_GBC_d9803b41f65e4a7fbebb412a259d9bf9"/>
              <w:id w:val="-1731147229"/>
              <w:lock w:val="sdtContentLocked"/>
              <w:placeholder>
                <w:docPart w:val="GBC22222222222222222222222222222"/>
              </w:placeholder>
            </w:sdtPr>
            <w:sdtContent>
              <w:r w:rsidR="00ED2DC7">
                <w:rPr>
                  <w:szCs w:val="21"/>
                </w:rPr>
                <w:fldChar w:fldCharType="begin"/>
              </w:r>
              <w:r w:rsidR="004A22CB">
                <w:rPr>
                  <w:szCs w:val="21"/>
                </w:rPr>
                <w:instrText xml:space="preserve"> MACROBUTTON  SnrToggleCheckbox √适用 </w:instrText>
              </w:r>
              <w:r w:rsidR="00ED2DC7">
                <w:rPr>
                  <w:szCs w:val="21"/>
                </w:rPr>
                <w:fldChar w:fldCharType="end"/>
              </w:r>
              <w:r w:rsidR="00ED2DC7">
                <w:rPr>
                  <w:szCs w:val="21"/>
                </w:rPr>
                <w:fldChar w:fldCharType="begin"/>
              </w:r>
              <w:r w:rsidR="004A22CB">
                <w:rPr>
                  <w:szCs w:val="21"/>
                </w:rPr>
                <w:instrText xml:space="preserve"> MACROBUTTON  SnrToggleCheckbox □不适用 </w:instrText>
              </w:r>
              <w:r w:rsidR="00ED2DC7">
                <w:rPr>
                  <w:szCs w:val="21"/>
                </w:rPr>
                <w:fldChar w:fldCharType="end"/>
              </w:r>
            </w:sdtContent>
          </w:sdt>
        </w:p>
        <w:sdt>
          <w:sdtPr>
            <w:rPr>
              <w:rFonts w:hint="eastAsia"/>
              <w:szCs w:val="21"/>
            </w:rPr>
            <w:alias w:val="在建工程核算方法"/>
            <w:tag w:val="_GBC_ed79f983df814c58add61776fe84c76e"/>
            <w:id w:val="270513608"/>
            <w:lock w:val="sdtLocked"/>
            <w:placeholder>
              <w:docPart w:val="GBC22222222222222222222222222222"/>
            </w:placeholder>
          </w:sdtPr>
          <w:sdtContent>
            <w:p w:rsidR="002735C9" w:rsidRPr="002735C9" w:rsidRDefault="002735C9" w:rsidP="002735C9">
              <w:pPr>
                <w:rPr>
                  <w:szCs w:val="21"/>
                </w:rPr>
              </w:pPr>
              <w:r w:rsidRPr="002735C9">
                <w:rPr>
                  <w:rFonts w:hint="eastAsia"/>
                  <w:szCs w:val="21"/>
                </w:rPr>
                <w:t>在建工程成本按实际工程支出确定，包括在建期间发生的各项必要工程支出、工程达到预定可使用状态前的应予资本化的借款费用以及其他相关费用等。</w:t>
              </w:r>
            </w:p>
            <w:p w:rsidR="002735C9" w:rsidRPr="002735C9" w:rsidRDefault="002735C9" w:rsidP="002735C9">
              <w:pPr>
                <w:rPr>
                  <w:szCs w:val="21"/>
                </w:rPr>
              </w:pPr>
            </w:p>
            <w:p w:rsidR="00ED2DC7" w:rsidRDefault="002735C9" w:rsidP="002735C9">
              <w:pPr>
                <w:rPr>
                  <w:szCs w:val="21"/>
                </w:rPr>
              </w:pPr>
              <w:r w:rsidRPr="002735C9">
                <w:rPr>
                  <w:rFonts w:hint="eastAsia"/>
                  <w:szCs w:val="21"/>
                </w:rPr>
                <w:lastRenderedPageBreak/>
                <w:t>在建工程在达到预定可使用状态时转入固定资产。</w:t>
              </w:r>
            </w:p>
          </w:sdtContent>
        </w:sdt>
        <w:p w:rsidR="00ED2DC7" w:rsidRDefault="000D0A99">
          <w:pPr>
            <w:rPr>
              <w:szCs w:val="21"/>
            </w:rPr>
          </w:pPr>
        </w:p>
      </w:sdtContent>
    </w:sdt>
    <w:sdt>
      <w:sdtPr>
        <w:rPr>
          <w:rFonts w:asciiTheme="minorHAnsi" w:hAnsiTheme="minorHAnsi" w:cs="宋体"/>
          <w:b w:val="0"/>
          <w:bCs w:val="0"/>
          <w:kern w:val="0"/>
          <w:szCs w:val="22"/>
        </w:rPr>
        <w:alias w:val="模块:借款费用会计处理方法"/>
        <w:tag w:val="_GBC_e3e4d07ea08d4589a9293563ea655b42"/>
        <w:id w:val="-1800448243"/>
        <w:lock w:val="sdtLocked"/>
        <w:placeholder>
          <w:docPart w:val="GBC22222222222222222222222222222"/>
        </w:placeholder>
      </w:sdtPr>
      <w:sdtEndPr>
        <w:rPr>
          <w:rFonts w:ascii="宋体" w:hAnsi="宋体" w:cs="Times New Roman" w:hint="eastAsia"/>
          <w:kern w:val="2"/>
          <w:szCs w:val="21"/>
        </w:rPr>
      </w:sdtEndPr>
      <w:sdtContent>
        <w:p w:rsidR="00ED2DC7" w:rsidRDefault="00ED2DC7" w:rsidP="00036BDC">
          <w:pPr>
            <w:pStyle w:val="affffffffffffffffff1"/>
            <w:numPr>
              <w:ilvl w:val="0"/>
              <w:numId w:val="38"/>
            </w:numPr>
          </w:pPr>
          <w:r>
            <w:t>借款费用</w:t>
          </w:r>
        </w:p>
        <w:sdt>
          <w:sdtPr>
            <w:rPr>
              <w:rFonts w:hint="eastAsia"/>
              <w:szCs w:val="21"/>
            </w:rPr>
            <w:alias w:val="是否适用：借款费用_重要会计政策和估计[双击切换]"/>
            <w:tag w:val="_GBC_3f3db73e5cb247009b3840143b5e6627"/>
            <w:id w:val="1419452272"/>
            <w:lock w:val="sdtContentLocked"/>
            <w:placeholder>
              <w:docPart w:val="GBC22222222222222222222222222222"/>
            </w:placeholder>
          </w:sdtPr>
          <w:sdtContent>
            <w:p w:rsidR="00ED2DC7" w:rsidRDefault="00ED2DC7">
              <w:pPr>
                <w:rPr>
                  <w:szCs w:val="21"/>
                </w:rPr>
              </w:pPr>
              <w:r>
                <w:rPr>
                  <w:szCs w:val="21"/>
                </w:rPr>
                <w:fldChar w:fldCharType="begin"/>
              </w:r>
              <w:r w:rsidR="004A22CB">
                <w:rPr>
                  <w:szCs w:val="21"/>
                </w:rPr>
                <w:instrText xml:space="preserve"> MACROBUTTON  SnrToggleCheckbox √适用 </w:instrText>
              </w:r>
              <w:r>
                <w:rPr>
                  <w:szCs w:val="21"/>
                </w:rPr>
                <w:fldChar w:fldCharType="end"/>
              </w:r>
              <w:r>
                <w:rPr>
                  <w:szCs w:val="21"/>
                </w:rPr>
                <w:fldChar w:fldCharType="begin"/>
              </w:r>
              <w:r w:rsidR="004A22CB">
                <w:rPr>
                  <w:szCs w:val="21"/>
                </w:rPr>
                <w:instrText xml:space="preserve"> MACROBUTTON  SnrToggleCheckbox □不适用 </w:instrText>
              </w:r>
              <w:r>
                <w:rPr>
                  <w:szCs w:val="21"/>
                </w:rPr>
                <w:fldChar w:fldCharType="end"/>
              </w:r>
            </w:p>
          </w:sdtContent>
        </w:sdt>
        <w:sdt>
          <w:sdtPr>
            <w:rPr>
              <w:rFonts w:hint="eastAsia"/>
              <w:szCs w:val="21"/>
            </w:rPr>
            <w:alias w:val="借款费用的会计处理方法"/>
            <w:tag w:val="_GBC_2101c32d32c64f39a8b8fcd2b72dbb0a"/>
            <w:id w:val="1477635942"/>
            <w:lock w:val="sdtLocked"/>
            <w:placeholder>
              <w:docPart w:val="GBC22222222222222222222222222222"/>
            </w:placeholder>
          </w:sdtPr>
          <w:sdtContent>
            <w:p w:rsidR="002735C9" w:rsidRPr="002735C9" w:rsidRDefault="002735C9" w:rsidP="002735C9">
              <w:pPr>
                <w:rPr>
                  <w:szCs w:val="21"/>
                </w:rPr>
              </w:pPr>
              <w:r w:rsidRPr="002735C9">
                <w:rPr>
                  <w:rFonts w:hint="eastAsia"/>
                  <w:szCs w:val="21"/>
                </w:rPr>
                <w:t>借款费用，是指本集团因借款而发生的利息及其他相关成本，包括借款利息、折价或者溢价的摊销、辅助费用以及因外币借款而发生的汇兑差额等。</w:t>
              </w:r>
            </w:p>
            <w:p w:rsidR="002735C9" w:rsidRPr="002735C9" w:rsidRDefault="002735C9" w:rsidP="002735C9">
              <w:pPr>
                <w:rPr>
                  <w:szCs w:val="21"/>
                </w:rPr>
              </w:pPr>
            </w:p>
            <w:p w:rsidR="002735C9" w:rsidRPr="002735C9" w:rsidRDefault="002735C9" w:rsidP="002735C9">
              <w:pPr>
                <w:rPr>
                  <w:szCs w:val="21"/>
                </w:rPr>
              </w:pPr>
              <w:r w:rsidRPr="002735C9">
                <w:rPr>
                  <w:rFonts w:hint="eastAsia"/>
                  <w:szCs w:val="21"/>
                </w:rPr>
                <w:t>可直接归属于符合资本化条件的资产的购建或者生产的借款费用，予以资本化，其他借款费用计入当期损益。符合资本化条件的资产，是指需要经过相当长时间的购建或者生产活动才能达到预定可使用或者可销售状态的固定资产、投资性房地产和存货等资产。</w:t>
              </w:r>
            </w:p>
            <w:p w:rsidR="002735C9" w:rsidRPr="002735C9" w:rsidRDefault="002735C9" w:rsidP="002735C9">
              <w:pPr>
                <w:rPr>
                  <w:szCs w:val="21"/>
                </w:rPr>
              </w:pPr>
            </w:p>
            <w:p w:rsidR="002735C9" w:rsidRPr="002735C9" w:rsidRDefault="002735C9" w:rsidP="002735C9">
              <w:pPr>
                <w:rPr>
                  <w:szCs w:val="21"/>
                </w:rPr>
              </w:pPr>
              <w:r w:rsidRPr="002735C9">
                <w:rPr>
                  <w:rFonts w:hint="eastAsia"/>
                  <w:szCs w:val="21"/>
                </w:rPr>
                <w:t>借款费用同时满足下列条件的，才能开始资本化：</w:t>
              </w:r>
            </w:p>
            <w:p w:rsidR="002735C9" w:rsidRPr="002735C9" w:rsidRDefault="002735C9" w:rsidP="002735C9">
              <w:pPr>
                <w:rPr>
                  <w:szCs w:val="21"/>
                </w:rPr>
              </w:pPr>
            </w:p>
            <w:p w:rsidR="002735C9" w:rsidRPr="002735C9" w:rsidRDefault="002735C9" w:rsidP="002735C9">
              <w:pPr>
                <w:rPr>
                  <w:szCs w:val="21"/>
                </w:rPr>
              </w:pPr>
              <w:r w:rsidRPr="002735C9">
                <w:rPr>
                  <w:rFonts w:hint="eastAsia"/>
                  <w:szCs w:val="21"/>
                </w:rPr>
                <w:t>（</w:t>
              </w:r>
              <w:r w:rsidRPr="002735C9">
                <w:rPr>
                  <w:szCs w:val="21"/>
                </w:rPr>
                <w:t>1）</w:t>
              </w:r>
              <w:r w:rsidRPr="002735C9">
                <w:rPr>
                  <w:szCs w:val="21"/>
                </w:rPr>
                <w:tab/>
                <w:t>资产支出已经发生；</w:t>
              </w:r>
            </w:p>
            <w:p w:rsidR="002735C9" w:rsidRPr="002735C9" w:rsidRDefault="002735C9" w:rsidP="002735C9">
              <w:pPr>
                <w:rPr>
                  <w:szCs w:val="21"/>
                </w:rPr>
              </w:pPr>
              <w:r w:rsidRPr="002735C9">
                <w:rPr>
                  <w:rFonts w:hint="eastAsia"/>
                  <w:szCs w:val="21"/>
                </w:rPr>
                <w:t>（</w:t>
              </w:r>
              <w:r w:rsidRPr="002735C9">
                <w:rPr>
                  <w:szCs w:val="21"/>
                </w:rPr>
                <w:t>2）</w:t>
              </w:r>
              <w:r w:rsidRPr="002735C9">
                <w:rPr>
                  <w:szCs w:val="21"/>
                </w:rPr>
                <w:tab/>
                <w:t>借款费用已经发生；</w:t>
              </w:r>
            </w:p>
            <w:p w:rsidR="002735C9" w:rsidRPr="002735C9" w:rsidRDefault="002735C9" w:rsidP="002735C9">
              <w:pPr>
                <w:rPr>
                  <w:szCs w:val="21"/>
                </w:rPr>
              </w:pPr>
              <w:r w:rsidRPr="002735C9">
                <w:rPr>
                  <w:rFonts w:hint="eastAsia"/>
                  <w:szCs w:val="21"/>
                </w:rPr>
                <w:t>（</w:t>
              </w:r>
              <w:r w:rsidRPr="002735C9">
                <w:rPr>
                  <w:szCs w:val="21"/>
                </w:rPr>
                <w:t>3）</w:t>
              </w:r>
              <w:r w:rsidRPr="002735C9">
                <w:rPr>
                  <w:szCs w:val="21"/>
                </w:rPr>
                <w:tab/>
                <w:t>为使资产达到预定可使用或者可销售状态所必要的购建或者生产活动已经开始。</w:t>
              </w:r>
            </w:p>
            <w:p w:rsidR="002735C9" w:rsidRPr="002735C9" w:rsidRDefault="002735C9" w:rsidP="002735C9">
              <w:pPr>
                <w:rPr>
                  <w:szCs w:val="21"/>
                </w:rPr>
              </w:pPr>
            </w:p>
            <w:p w:rsidR="002735C9" w:rsidRPr="002735C9" w:rsidRDefault="002735C9" w:rsidP="002735C9">
              <w:pPr>
                <w:rPr>
                  <w:szCs w:val="21"/>
                </w:rPr>
              </w:pPr>
              <w:r w:rsidRPr="002735C9">
                <w:rPr>
                  <w:rFonts w:hint="eastAsia"/>
                  <w:szCs w:val="21"/>
                </w:rPr>
                <w:t>购建或者生产符合资本化条件的资产达到预定可使用或者可销售状态时，借款费用停止资本化。之后发生的借款费用计入当期损益。</w:t>
              </w:r>
            </w:p>
            <w:p w:rsidR="002735C9" w:rsidRPr="002735C9" w:rsidRDefault="002735C9" w:rsidP="002735C9">
              <w:pPr>
                <w:rPr>
                  <w:szCs w:val="21"/>
                </w:rPr>
              </w:pPr>
            </w:p>
            <w:p w:rsidR="002735C9" w:rsidRPr="002735C9" w:rsidRDefault="002735C9" w:rsidP="002735C9">
              <w:pPr>
                <w:rPr>
                  <w:szCs w:val="21"/>
                </w:rPr>
              </w:pPr>
              <w:r w:rsidRPr="002735C9">
                <w:rPr>
                  <w:rFonts w:hint="eastAsia"/>
                  <w:szCs w:val="21"/>
                </w:rPr>
                <w:t>在资本化期间内，每一会计期间的利息资本化金额，按照下列方法确定：</w:t>
              </w:r>
            </w:p>
            <w:p w:rsidR="002735C9" w:rsidRPr="002735C9" w:rsidRDefault="002735C9" w:rsidP="002735C9">
              <w:pPr>
                <w:rPr>
                  <w:szCs w:val="21"/>
                </w:rPr>
              </w:pPr>
            </w:p>
            <w:p w:rsidR="002735C9" w:rsidRPr="002735C9" w:rsidRDefault="002735C9" w:rsidP="002735C9">
              <w:pPr>
                <w:rPr>
                  <w:szCs w:val="21"/>
                </w:rPr>
              </w:pPr>
              <w:r w:rsidRPr="002735C9">
                <w:rPr>
                  <w:rFonts w:hint="eastAsia"/>
                  <w:szCs w:val="21"/>
                </w:rPr>
                <w:t>（</w:t>
              </w:r>
              <w:r w:rsidRPr="002735C9">
                <w:rPr>
                  <w:szCs w:val="21"/>
                </w:rPr>
                <w:t>1）</w:t>
              </w:r>
              <w:r w:rsidRPr="002735C9">
                <w:rPr>
                  <w:szCs w:val="21"/>
                </w:rPr>
                <w:tab/>
                <w:t>专门借款以当期实际发生的利息费用，减去暂时性的存款利息收入或投资收益后的金额确定。</w:t>
              </w:r>
            </w:p>
            <w:p w:rsidR="002735C9" w:rsidRPr="002735C9" w:rsidRDefault="002735C9" w:rsidP="002735C9">
              <w:pPr>
                <w:rPr>
                  <w:szCs w:val="21"/>
                </w:rPr>
              </w:pPr>
              <w:r w:rsidRPr="002735C9">
                <w:rPr>
                  <w:rFonts w:hint="eastAsia"/>
                  <w:szCs w:val="21"/>
                </w:rPr>
                <w:t>（</w:t>
              </w:r>
              <w:r w:rsidRPr="002735C9">
                <w:rPr>
                  <w:szCs w:val="21"/>
                </w:rPr>
                <w:t>2）</w:t>
              </w:r>
              <w:r w:rsidRPr="002735C9">
                <w:rPr>
                  <w:szCs w:val="21"/>
                </w:rPr>
                <w:tab/>
                <w:t>占用的一般借款，根据累计资产支出超过专门借款部分的资产支出加权平均数乘以所占用一般借款的加权平均利率计算确定。</w:t>
              </w:r>
            </w:p>
            <w:p w:rsidR="002735C9" w:rsidRPr="002735C9" w:rsidRDefault="002735C9" w:rsidP="002735C9">
              <w:pPr>
                <w:rPr>
                  <w:szCs w:val="21"/>
                </w:rPr>
              </w:pPr>
            </w:p>
            <w:p w:rsidR="00ED2DC7" w:rsidRDefault="002735C9" w:rsidP="002735C9">
              <w:pPr>
                <w:rPr>
                  <w:szCs w:val="21"/>
                </w:rPr>
              </w:pPr>
              <w:r w:rsidRPr="002735C9">
                <w:rPr>
                  <w:rFonts w:hint="eastAsia"/>
                  <w:szCs w:val="21"/>
                </w:rPr>
                <w:t>符合资本化条件的资产在购建或者生产过程中，发生除达到预定可使用或者可销售状态必要的程序之外的非正常中断、且中断时间连续超过</w:t>
              </w:r>
              <w:r w:rsidRPr="002735C9">
                <w:rPr>
                  <w:szCs w:val="21"/>
                </w:rPr>
                <w:t>3个月的，暂停借款费用的资本化。在中断期间发生的借款费用确认为费用，计入当期损益，直至资产的购建或者生产活动重新开始。</w:t>
              </w:r>
            </w:p>
          </w:sdtContent>
        </w:sdt>
        <w:p w:rsidR="00ED2DC7" w:rsidRDefault="000D0A99">
          <w:pPr>
            <w:rPr>
              <w:szCs w:val="21"/>
            </w:rPr>
          </w:pPr>
        </w:p>
      </w:sdtContent>
    </w:sdt>
    <w:sdt>
      <w:sdtPr>
        <w:rPr>
          <w:rFonts w:asciiTheme="minorHAnsi" w:hAnsiTheme="minorHAnsi" w:cs="宋体"/>
          <w:b w:val="0"/>
          <w:bCs w:val="0"/>
          <w:kern w:val="0"/>
          <w:szCs w:val="22"/>
        </w:rPr>
        <w:alias w:val="模块:生物资产会计处理方法"/>
        <w:tag w:val="_GBC_0b83f813710f436286429917c8c39567"/>
        <w:id w:val="-1108269204"/>
        <w:lock w:val="sdtLocked"/>
        <w:placeholder>
          <w:docPart w:val="GBC22222222222222222222222222222"/>
        </w:placeholder>
      </w:sdtPr>
      <w:sdtEndPr>
        <w:rPr>
          <w:rFonts w:ascii="宋体" w:hAnsi="宋体" w:cs="Times New Roman" w:hint="eastAsia"/>
          <w:kern w:val="2"/>
          <w:szCs w:val="21"/>
        </w:rPr>
      </w:sdtEndPr>
      <w:sdtContent>
        <w:p w:rsidR="00ED2DC7" w:rsidRDefault="00ED2DC7" w:rsidP="00036BDC">
          <w:pPr>
            <w:pStyle w:val="affffffffffffffffff1"/>
            <w:numPr>
              <w:ilvl w:val="0"/>
              <w:numId w:val="38"/>
            </w:numPr>
          </w:pPr>
          <w:r>
            <w:t>生物资产</w:t>
          </w:r>
        </w:p>
        <w:sdt>
          <w:sdtPr>
            <w:rPr>
              <w:rFonts w:hint="eastAsia"/>
              <w:szCs w:val="21"/>
            </w:rPr>
            <w:alias w:val="是否适用：生物资产_重要会计政策和估计[双击切换]"/>
            <w:tag w:val="_GBC_3c525bb9dd0340978b83e74317a40315"/>
            <w:id w:val="-393126512"/>
            <w:lock w:val="sdtContentLocked"/>
            <w:placeholder>
              <w:docPart w:val="GBC22222222222222222222222222222"/>
            </w:placeholder>
          </w:sdtPr>
          <w:sdtContent>
            <w:p w:rsidR="00ED2DC7" w:rsidRDefault="00ED2DC7" w:rsidP="004A22CB">
              <w:pPr>
                <w:rPr>
                  <w:szCs w:val="21"/>
                </w:rPr>
              </w:pPr>
              <w:r>
                <w:rPr>
                  <w:szCs w:val="21"/>
                </w:rPr>
                <w:fldChar w:fldCharType="begin"/>
              </w:r>
              <w:r w:rsidR="004A22CB">
                <w:rPr>
                  <w:szCs w:val="21"/>
                </w:rPr>
                <w:instrText xml:space="preserve"> MACROBUTTON  SnrToggleCheckbox □适用 </w:instrText>
              </w:r>
              <w:r>
                <w:rPr>
                  <w:szCs w:val="21"/>
                </w:rPr>
                <w:fldChar w:fldCharType="end"/>
              </w:r>
              <w:r>
                <w:rPr>
                  <w:szCs w:val="21"/>
                </w:rPr>
                <w:fldChar w:fldCharType="begin"/>
              </w:r>
              <w:r w:rsidR="004A22CB">
                <w:rPr>
                  <w:szCs w:val="21"/>
                </w:rPr>
                <w:instrText xml:space="preserve"> MACROBUTTON  SnrToggleCheckbox √不适用 </w:instrText>
              </w:r>
              <w:r>
                <w:rPr>
                  <w:szCs w:val="21"/>
                </w:rPr>
                <w:fldChar w:fldCharType="end"/>
              </w:r>
            </w:p>
          </w:sdtContent>
        </w:sdt>
        <w:p w:rsidR="00ED2DC7" w:rsidRDefault="000D0A99">
          <w:pPr>
            <w:rPr>
              <w:szCs w:val="21"/>
            </w:rPr>
          </w:pPr>
        </w:p>
      </w:sdtContent>
    </w:sdt>
    <w:sdt>
      <w:sdtPr>
        <w:rPr>
          <w:rFonts w:asciiTheme="minorHAnsi" w:hAnsiTheme="minorHAnsi" w:cs="宋体"/>
          <w:b w:val="0"/>
          <w:bCs w:val="0"/>
          <w:kern w:val="0"/>
          <w:szCs w:val="22"/>
        </w:rPr>
        <w:alias w:val="模块:油气资产会计处理方法"/>
        <w:tag w:val="_GBC_ed738d1d51d04aad8efd3fb3e88bf021"/>
        <w:id w:val="-1288508326"/>
        <w:lock w:val="sdtLocked"/>
        <w:placeholder>
          <w:docPart w:val="GBC22222222222222222222222222222"/>
        </w:placeholder>
      </w:sdtPr>
      <w:sdtEndPr>
        <w:rPr>
          <w:rFonts w:ascii="宋体" w:hAnsi="宋体" w:cs="Times New Roman" w:hint="eastAsia"/>
          <w:kern w:val="2"/>
          <w:szCs w:val="21"/>
        </w:rPr>
      </w:sdtEndPr>
      <w:sdtContent>
        <w:p w:rsidR="00ED2DC7" w:rsidRDefault="00ED2DC7" w:rsidP="00036BDC">
          <w:pPr>
            <w:pStyle w:val="affffffffffffffffff1"/>
            <w:numPr>
              <w:ilvl w:val="0"/>
              <w:numId w:val="38"/>
            </w:numPr>
          </w:pPr>
          <w:r>
            <w:t>油气资产</w:t>
          </w:r>
        </w:p>
        <w:sdt>
          <w:sdtPr>
            <w:rPr>
              <w:rFonts w:hint="eastAsia"/>
              <w:szCs w:val="21"/>
            </w:rPr>
            <w:alias w:val="是否适用：油气资产_重要会计政策和估计[双击切换]"/>
            <w:tag w:val="_GBC_60d99a70431c4b868b6e953077cbfe88"/>
            <w:id w:val="-1300376147"/>
            <w:lock w:val="sdtContentLocked"/>
            <w:placeholder>
              <w:docPart w:val="GBC22222222222222222222222222222"/>
            </w:placeholder>
          </w:sdtPr>
          <w:sdtContent>
            <w:p w:rsidR="00ED2DC7" w:rsidRDefault="00ED2DC7" w:rsidP="004A22CB">
              <w:pPr>
                <w:rPr>
                  <w:szCs w:val="21"/>
                </w:rPr>
              </w:pPr>
              <w:r>
                <w:rPr>
                  <w:szCs w:val="21"/>
                </w:rPr>
                <w:fldChar w:fldCharType="begin"/>
              </w:r>
              <w:r w:rsidR="004A22CB">
                <w:rPr>
                  <w:szCs w:val="21"/>
                </w:rPr>
                <w:instrText xml:space="preserve"> MACROBUTTON  SnrToggleCheckbox □适用 </w:instrText>
              </w:r>
              <w:r>
                <w:rPr>
                  <w:szCs w:val="21"/>
                </w:rPr>
                <w:fldChar w:fldCharType="end"/>
              </w:r>
              <w:r>
                <w:rPr>
                  <w:szCs w:val="21"/>
                </w:rPr>
                <w:fldChar w:fldCharType="begin"/>
              </w:r>
              <w:r w:rsidR="004A22CB">
                <w:rPr>
                  <w:szCs w:val="21"/>
                </w:rPr>
                <w:instrText xml:space="preserve"> MACROBUTTON  SnrToggleCheckbox √不适用 </w:instrText>
              </w:r>
              <w:r>
                <w:rPr>
                  <w:szCs w:val="21"/>
                </w:rPr>
                <w:fldChar w:fldCharType="end"/>
              </w:r>
            </w:p>
          </w:sdtContent>
        </w:sdt>
        <w:p w:rsidR="00ED2DC7" w:rsidRDefault="000D0A99">
          <w:pPr>
            <w:rPr>
              <w:rFonts w:cs="Times New Roman"/>
              <w:kern w:val="2"/>
              <w:szCs w:val="21"/>
            </w:rPr>
          </w:pPr>
        </w:p>
      </w:sdtContent>
    </w:sdt>
    <w:sdt>
      <w:sdtPr>
        <w:rPr>
          <w:rFonts w:ascii="宋体" w:hAnsi="宋体" w:cs="宋体" w:hint="eastAsia"/>
          <w:b w:val="0"/>
          <w:bCs w:val="0"/>
          <w:kern w:val="0"/>
          <w:szCs w:val="21"/>
        </w:rPr>
        <w:alias w:val="模块:使用权资产"/>
        <w:tag w:val="_SEC_90a021f24056469493c41c33bb5760c5"/>
        <w:id w:val="-1832747196"/>
        <w:lock w:val="sdtLocked"/>
        <w:placeholder>
          <w:docPart w:val="GBC22222222222222222222222222222"/>
        </w:placeholder>
      </w:sdtPr>
      <w:sdtEndPr>
        <w:rPr>
          <w:rFonts w:hint="default"/>
        </w:rPr>
      </w:sdtEndPr>
      <w:sdtContent>
        <w:p w:rsidR="00ED2DC7" w:rsidRDefault="00ED2DC7" w:rsidP="00036BDC">
          <w:pPr>
            <w:pStyle w:val="affffffffffffffffff1"/>
            <w:numPr>
              <w:ilvl w:val="0"/>
              <w:numId w:val="38"/>
            </w:numPr>
            <w:rPr>
              <w:szCs w:val="21"/>
            </w:rPr>
          </w:pPr>
          <w:r>
            <w:rPr>
              <w:rFonts w:hint="eastAsia"/>
              <w:szCs w:val="21"/>
            </w:rPr>
            <w:t>使用权资产</w:t>
          </w:r>
        </w:p>
        <w:bookmarkStart w:id="81" w:name="_Hlk11675892" w:displacedByCustomXml="next"/>
        <w:sdt>
          <w:sdtPr>
            <w:rPr>
              <w:szCs w:val="21"/>
            </w:rPr>
            <w:alias w:val="是否适用：使用权资产_重要会计政策和估计[双击切换]"/>
            <w:tag w:val="_GBC_bbd2545b6bca43cea34e43a28caeae1a"/>
            <w:id w:val="-1403525661"/>
            <w:lock w:val="sdtContentLocked"/>
            <w:placeholder>
              <w:docPart w:val="GBC22222222222222222222222222222"/>
            </w:placeholder>
          </w:sdtPr>
          <w:sdtContent>
            <w:p w:rsidR="00ED2DC7" w:rsidRDefault="00ED2DC7" w:rsidP="002735C9">
              <w:pPr>
                <w:rPr>
                  <w:szCs w:val="21"/>
                </w:rPr>
              </w:pPr>
              <w:r>
                <w:rPr>
                  <w:szCs w:val="21"/>
                </w:rPr>
                <w:fldChar w:fldCharType="begin"/>
              </w:r>
              <w:r w:rsidR="002735C9">
                <w:rPr>
                  <w:szCs w:val="21"/>
                </w:rPr>
                <w:instrText xml:space="preserve"> MACROBUTTON  SnrToggleCheckbox □适用 </w:instrText>
              </w:r>
              <w:r>
                <w:rPr>
                  <w:szCs w:val="21"/>
                </w:rPr>
                <w:fldChar w:fldCharType="end"/>
              </w:r>
              <w:r>
                <w:rPr>
                  <w:szCs w:val="21"/>
                </w:rPr>
                <w:fldChar w:fldCharType="begin"/>
              </w:r>
              <w:r w:rsidR="002735C9">
                <w:rPr>
                  <w:szCs w:val="21"/>
                </w:rPr>
                <w:instrText xml:space="preserve"> MACROBUTTON  SnrToggleCheckbox √不适用 </w:instrText>
              </w:r>
              <w:r>
                <w:rPr>
                  <w:szCs w:val="21"/>
                </w:rPr>
                <w:fldChar w:fldCharType="end"/>
              </w:r>
            </w:p>
          </w:sdtContent>
        </w:sdt>
      </w:sdtContent>
    </w:sdt>
    <w:bookmarkEnd w:id="81"/>
    <w:p w:rsidR="00ED2DC7" w:rsidRDefault="00ED2DC7">
      <w:pPr>
        <w:rPr>
          <w:szCs w:val="21"/>
        </w:rPr>
      </w:pPr>
    </w:p>
    <w:sdt>
      <w:sdtPr>
        <w:rPr>
          <w:rFonts w:asciiTheme="minorHAnsi" w:hAnsiTheme="minorHAnsi" w:cs="宋体"/>
          <w:b w:val="0"/>
          <w:bCs w:val="0"/>
          <w:kern w:val="0"/>
          <w:szCs w:val="22"/>
        </w:rPr>
        <w:alias w:val="模块:无形资产会计处理方法"/>
        <w:tag w:val="_GBC_0a8b293ff9e94173b2e385f4ef2a8c89"/>
        <w:id w:val="1033702190"/>
        <w:lock w:val="sdtLocked"/>
        <w:placeholder>
          <w:docPart w:val="GBC22222222222222222222222222222"/>
        </w:placeholder>
      </w:sdtPr>
      <w:sdtEndPr>
        <w:rPr>
          <w:rFonts w:ascii="宋体" w:hAnsi="宋体" w:cs="Times New Roman" w:hint="eastAsia"/>
          <w:kern w:val="2"/>
          <w:szCs w:val="21"/>
        </w:rPr>
      </w:sdtEndPr>
      <w:sdtContent>
        <w:p w:rsidR="00ED2DC7" w:rsidRDefault="00ED2DC7" w:rsidP="00036BDC">
          <w:pPr>
            <w:pStyle w:val="affffffffffffffffff1"/>
            <w:numPr>
              <w:ilvl w:val="0"/>
              <w:numId w:val="38"/>
            </w:numPr>
          </w:pPr>
          <w:r>
            <w:t>无形资产</w:t>
          </w:r>
        </w:p>
        <w:p w:rsidR="00ED2DC7" w:rsidRDefault="00ED2DC7" w:rsidP="00036BDC">
          <w:pPr>
            <w:pStyle w:val="affffffffffffffffff2"/>
            <w:numPr>
              <w:ilvl w:val="3"/>
              <w:numId w:val="41"/>
            </w:numPr>
            <w:tabs>
              <w:tab w:val="left" w:pos="448"/>
            </w:tabs>
          </w:pPr>
          <w:r>
            <w:rPr>
              <w:rFonts w:hint="eastAsia"/>
            </w:rPr>
            <w:t>计价方法、使用寿命、减值测试</w:t>
          </w:r>
        </w:p>
        <w:sdt>
          <w:sdtPr>
            <w:rPr>
              <w:rFonts w:hint="eastAsia"/>
              <w:szCs w:val="21"/>
            </w:rPr>
            <w:alias w:val="是否适用：无形资产计价方法、使用寿命、减值测试[双击切换]"/>
            <w:tag w:val="_GBC_a82698fb1ffd4e75b46a9c35938b4cf4"/>
            <w:id w:val="-1625610573"/>
            <w:lock w:val="sdtContentLocked"/>
            <w:placeholder>
              <w:docPart w:val="GBC22222222222222222222222222222"/>
            </w:placeholder>
          </w:sdtPr>
          <w:sdtContent>
            <w:p w:rsidR="00ED2DC7" w:rsidRDefault="00ED2DC7">
              <w:pPr>
                <w:rPr>
                  <w:szCs w:val="21"/>
                </w:rPr>
              </w:pPr>
              <w:r>
                <w:rPr>
                  <w:szCs w:val="21"/>
                </w:rPr>
                <w:fldChar w:fldCharType="begin"/>
              </w:r>
              <w:r w:rsidR="004A22CB">
                <w:rPr>
                  <w:szCs w:val="21"/>
                </w:rPr>
                <w:instrText xml:space="preserve"> MACROBUTTON  SnrToggleCheckbox √适用 </w:instrText>
              </w:r>
              <w:r>
                <w:rPr>
                  <w:szCs w:val="21"/>
                </w:rPr>
                <w:fldChar w:fldCharType="end"/>
              </w:r>
              <w:r>
                <w:rPr>
                  <w:szCs w:val="21"/>
                </w:rPr>
                <w:fldChar w:fldCharType="begin"/>
              </w:r>
              <w:r w:rsidR="004A22CB">
                <w:rPr>
                  <w:szCs w:val="21"/>
                </w:rPr>
                <w:instrText xml:space="preserve"> MACROBUTTON  SnrToggleCheckbox □不适用 </w:instrText>
              </w:r>
              <w:r>
                <w:rPr>
                  <w:szCs w:val="21"/>
                </w:rPr>
                <w:fldChar w:fldCharType="end"/>
              </w:r>
            </w:p>
          </w:sdtContent>
        </w:sdt>
        <w:sdt>
          <w:sdtPr>
            <w:rPr>
              <w:szCs w:val="21"/>
            </w:rPr>
            <w:alias w:val="无形资产计价方法、使用寿命、减值测试"/>
            <w:tag w:val="_GBC_a9e64b18f452482eb6674ec605618dcc"/>
            <w:id w:val="24150199"/>
            <w:lock w:val="sdtLocked"/>
            <w:placeholder>
              <w:docPart w:val="GBC22222222222222222222222222222"/>
            </w:placeholder>
          </w:sdtPr>
          <w:sdtContent>
            <w:p w:rsidR="002735C9" w:rsidRPr="002735C9" w:rsidRDefault="002735C9" w:rsidP="002735C9">
              <w:pPr>
                <w:rPr>
                  <w:szCs w:val="21"/>
                </w:rPr>
              </w:pPr>
              <w:r w:rsidRPr="002735C9">
                <w:rPr>
                  <w:rFonts w:hint="eastAsia"/>
                  <w:szCs w:val="21"/>
                </w:rPr>
                <w:t>无形资产仅在与其有关的经济利益很可能流入本集团，且其成本能够可靠地计量时才予以确认，并以成本进行初始计量。但非同一控制下企业合并中取得的无形资产，其公允价值能够可靠地计量的，即单独确认为无形资产并按照公允价值计量。</w:t>
              </w:r>
            </w:p>
            <w:p w:rsidR="002735C9" w:rsidRPr="002735C9" w:rsidRDefault="002735C9" w:rsidP="002735C9">
              <w:pPr>
                <w:rPr>
                  <w:szCs w:val="21"/>
                </w:rPr>
              </w:pPr>
            </w:p>
            <w:p w:rsidR="002735C9" w:rsidRPr="002735C9" w:rsidRDefault="002735C9" w:rsidP="002735C9">
              <w:pPr>
                <w:rPr>
                  <w:szCs w:val="21"/>
                </w:rPr>
              </w:pPr>
              <w:r w:rsidRPr="002735C9">
                <w:rPr>
                  <w:rFonts w:hint="eastAsia"/>
                  <w:szCs w:val="21"/>
                </w:rPr>
                <w:lastRenderedPageBreak/>
                <w:t>无形资产按照其能为本集团带来经济利益的期限确定使用寿命，无法预见其为本集团带来经济利益期限的作为使用寿命不确定的无形资产。</w:t>
              </w:r>
            </w:p>
            <w:p w:rsidR="002735C9" w:rsidRPr="002735C9" w:rsidRDefault="002735C9" w:rsidP="002735C9">
              <w:pPr>
                <w:rPr>
                  <w:szCs w:val="21"/>
                </w:rPr>
              </w:pPr>
            </w:p>
            <w:p w:rsidR="002735C9" w:rsidRPr="002735C9" w:rsidRDefault="002735C9" w:rsidP="002735C9">
              <w:pPr>
                <w:overflowPunct w:val="0"/>
                <w:autoSpaceDE w:val="0"/>
                <w:autoSpaceDN w:val="0"/>
                <w:adjustRightInd w:val="0"/>
                <w:snapToGrid w:val="0"/>
                <w:jc w:val="both"/>
                <w:textAlignment w:val="bottom"/>
                <w:rPr>
                  <w:rFonts w:cs="Arial"/>
                  <w:sz w:val="20"/>
                  <w:szCs w:val="20"/>
                </w:rPr>
              </w:pPr>
              <w:r w:rsidRPr="002735C9">
                <w:rPr>
                  <w:rFonts w:cs="Arial"/>
                  <w:sz w:val="20"/>
                  <w:szCs w:val="20"/>
                </w:rPr>
                <w:t>各项无形资产的使用寿命如下：</w:t>
              </w:r>
            </w:p>
            <w:p w:rsidR="002735C9" w:rsidRPr="002735C9" w:rsidRDefault="002735C9" w:rsidP="002735C9">
              <w:pPr>
                <w:overflowPunct w:val="0"/>
                <w:autoSpaceDE w:val="0"/>
                <w:autoSpaceDN w:val="0"/>
                <w:adjustRightInd w:val="0"/>
                <w:snapToGrid w:val="0"/>
                <w:ind w:left="720" w:hanging="720"/>
                <w:jc w:val="both"/>
                <w:textAlignment w:val="bottom"/>
                <w:rPr>
                  <w:rFonts w:cs="Arial"/>
                  <w:sz w:val="20"/>
                  <w:szCs w:val="20"/>
                </w:rPr>
              </w:pPr>
            </w:p>
            <w:tbl>
              <w:tblPr>
                <w:tblStyle w:val="g35"/>
                <w:tblW w:w="8445" w:type="dxa"/>
                <w:tblLayout w:type="fixed"/>
                <w:tblCellMar>
                  <w:left w:w="0" w:type="dxa"/>
                  <w:right w:w="0" w:type="dxa"/>
                </w:tblCellMar>
                <w:tblLook w:val="04A0" w:firstRow="1" w:lastRow="0" w:firstColumn="1" w:lastColumn="0" w:noHBand="0" w:noVBand="1"/>
                <w:tblCaption w:val="政策-无形资产寿命"/>
              </w:tblPr>
              <w:tblGrid>
                <w:gridCol w:w="3685"/>
                <w:gridCol w:w="1700"/>
                <w:gridCol w:w="284"/>
                <w:gridCol w:w="132"/>
                <w:gridCol w:w="2531"/>
                <w:gridCol w:w="113"/>
              </w:tblGrid>
              <w:tr w:rsidR="002735C9" w:rsidRPr="002735C9" w:rsidTr="00685147">
                <w:tc>
                  <w:tcPr>
                    <w:tcW w:w="3685" w:type="dxa"/>
                    <w:tcBorders>
                      <w:top w:val="nil"/>
                      <w:left w:val="nil"/>
                      <w:bottom w:val="nil"/>
                      <w:right w:val="nil"/>
                    </w:tcBorders>
                    <w:shd w:val="clear" w:color="auto" w:fill="auto"/>
                    <w:noWrap/>
                    <w:vAlign w:val="center"/>
                    <w:hideMark/>
                  </w:tcPr>
                  <w:p w:rsidR="002735C9" w:rsidRPr="002735C9" w:rsidRDefault="002735C9" w:rsidP="00685147">
                    <w:pPr>
                      <w:kinsoku w:val="0"/>
                      <w:overflowPunct w:val="0"/>
                      <w:autoSpaceDE w:val="0"/>
                      <w:autoSpaceDN w:val="0"/>
                      <w:adjustRightInd w:val="0"/>
                      <w:snapToGrid w:val="0"/>
                      <w:rPr>
                        <w:rFonts w:cs="Arial"/>
                        <w:sz w:val="20"/>
                        <w:szCs w:val="20"/>
                      </w:rPr>
                    </w:pPr>
                    <w:bookmarkStart w:id="82" w:name="_Hlk16456595"/>
                    <w:r w:rsidRPr="002735C9">
                      <w:rPr>
                        <w:rFonts w:cs="Arial"/>
                        <w:color w:val="000000"/>
                        <w:sz w:val="20"/>
                        <w:szCs w:val="20"/>
                      </w:rPr>
                      <w:t xml:space="preserve"> </w:t>
                    </w:r>
                  </w:p>
                </w:tc>
                <w:tc>
                  <w:tcPr>
                    <w:tcW w:w="1700" w:type="dxa"/>
                    <w:tcBorders>
                      <w:top w:val="nil"/>
                      <w:left w:val="nil"/>
                      <w:bottom w:val="nil"/>
                      <w:right w:val="nil"/>
                    </w:tcBorders>
                    <w:shd w:val="clear" w:color="auto" w:fill="auto"/>
                    <w:noWrap/>
                    <w:vAlign w:val="center"/>
                    <w:hideMark/>
                  </w:tcPr>
                  <w:p w:rsidR="002735C9" w:rsidRPr="002735C9" w:rsidRDefault="002735C9" w:rsidP="00685147">
                    <w:pPr>
                      <w:kinsoku w:val="0"/>
                      <w:overflowPunct w:val="0"/>
                      <w:autoSpaceDE w:val="0"/>
                      <w:autoSpaceDN w:val="0"/>
                      <w:adjustRightInd w:val="0"/>
                      <w:snapToGrid w:val="0"/>
                      <w:jc w:val="both"/>
                      <w:rPr>
                        <w:rFonts w:cs="Arial"/>
                        <w:sz w:val="20"/>
                        <w:szCs w:val="20"/>
                      </w:rPr>
                    </w:pPr>
                    <w:r w:rsidRPr="002735C9">
                      <w:rPr>
                        <w:rFonts w:cs="Arial"/>
                        <w:color w:val="000000"/>
                        <w:sz w:val="20"/>
                        <w:szCs w:val="20"/>
                      </w:rPr>
                      <w:t xml:space="preserve"> </w:t>
                    </w:r>
                  </w:p>
                </w:tc>
                <w:tc>
                  <w:tcPr>
                    <w:tcW w:w="284" w:type="dxa"/>
                    <w:tcBorders>
                      <w:top w:val="nil"/>
                      <w:left w:val="nil"/>
                      <w:bottom w:val="nil"/>
                      <w:right w:val="nil"/>
                    </w:tcBorders>
                    <w:shd w:val="clear" w:color="auto" w:fill="auto"/>
                    <w:noWrap/>
                    <w:hideMark/>
                  </w:tcPr>
                  <w:p w:rsidR="002735C9" w:rsidRPr="002735C9" w:rsidRDefault="002735C9" w:rsidP="00685147">
                    <w:pPr>
                      <w:kinsoku w:val="0"/>
                      <w:overflowPunct w:val="0"/>
                      <w:autoSpaceDE w:val="0"/>
                      <w:autoSpaceDN w:val="0"/>
                      <w:adjustRightInd w:val="0"/>
                      <w:snapToGrid w:val="0"/>
                      <w:jc w:val="right"/>
                      <w:rPr>
                        <w:rFonts w:cs="Arial"/>
                        <w:sz w:val="20"/>
                        <w:szCs w:val="20"/>
                      </w:rPr>
                    </w:pPr>
                    <w:r w:rsidRPr="002735C9">
                      <w:rPr>
                        <w:rFonts w:cs="Arial"/>
                        <w:color w:val="000000"/>
                        <w:sz w:val="20"/>
                        <w:szCs w:val="20"/>
                      </w:rPr>
                      <w:t xml:space="preserve"> </w:t>
                    </w:r>
                  </w:p>
                </w:tc>
                <w:tc>
                  <w:tcPr>
                    <w:tcW w:w="132" w:type="dxa"/>
                    <w:tcBorders>
                      <w:top w:val="nil"/>
                      <w:left w:val="nil"/>
                      <w:bottom w:val="nil"/>
                      <w:right w:val="nil"/>
                    </w:tcBorders>
                    <w:shd w:val="clear" w:color="auto" w:fill="auto"/>
                    <w:noWrap/>
                    <w:hideMark/>
                  </w:tcPr>
                  <w:p w:rsidR="002735C9" w:rsidRPr="002735C9" w:rsidRDefault="002735C9" w:rsidP="00685147">
                    <w:pPr>
                      <w:kinsoku w:val="0"/>
                      <w:overflowPunct w:val="0"/>
                      <w:autoSpaceDE w:val="0"/>
                      <w:autoSpaceDN w:val="0"/>
                      <w:adjustRightInd w:val="0"/>
                      <w:snapToGrid w:val="0"/>
                      <w:jc w:val="right"/>
                      <w:rPr>
                        <w:rFonts w:cs="Arial"/>
                        <w:sz w:val="20"/>
                        <w:szCs w:val="20"/>
                      </w:rPr>
                    </w:pPr>
                    <w:r w:rsidRPr="002735C9">
                      <w:rPr>
                        <w:rFonts w:cs="Arial"/>
                        <w:color w:val="000000"/>
                        <w:sz w:val="20"/>
                        <w:szCs w:val="20"/>
                      </w:rPr>
                      <w:t xml:space="preserve"> </w:t>
                    </w:r>
                  </w:p>
                </w:tc>
                <w:tc>
                  <w:tcPr>
                    <w:tcW w:w="2531" w:type="dxa"/>
                    <w:tcBorders>
                      <w:top w:val="nil"/>
                      <w:left w:val="nil"/>
                      <w:bottom w:val="nil"/>
                      <w:right w:val="nil"/>
                    </w:tcBorders>
                    <w:shd w:val="clear" w:color="auto" w:fill="auto"/>
                    <w:noWrap/>
                    <w:hideMark/>
                  </w:tcPr>
                  <w:p w:rsidR="002735C9" w:rsidRPr="002735C9" w:rsidRDefault="002735C9" w:rsidP="00685147">
                    <w:pPr>
                      <w:kinsoku w:val="0"/>
                      <w:overflowPunct w:val="0"/>
                      <w:autoSpaceDE w:val="0"/>
                      <w:autoSpaceDN w:val="0"/>
                      <w:adjustRightInd w:val="0"/>
                      <w:snapToGrid w:val="0"/>
                      <w:jc w:val="right"/>
                      <w:rPr>
                        <w:rFonts w:cs="Arial"/>
                        <w:sz w:val="20"/>
                        <w:szCs w:val="20"/>
                      </w:rPr>
                    </w:pPr>
                    <w:r w:rsidRPr="002735C9">
                      <w:rPr>
                        <w:rFonts w:cs="Arial"/>
                        <w:sz w:val="20"/>
                        <w:szCs w:val="20"/>
                      </w:rPr>
                      <w:t>使用寿命</w:t>
                    </w:r>
                  </w:p>
                </w:tc>
                <w:tc>
                  <w:tcPr>
                    <w:tcW w:w="113" w:type="dxa"/>
                    <w:tcBorders>
                      <w:top w:val="nil"/>
                      <w:left w:val="nil"/>
                      <w:bottom w:val="nil"/>
                      <w:right w:val="nil"/>
                    </w:tcBorders>
                    <w:shd w:val="clear" w:color="auto" w:fill="auto"/>
                    <w:noWrap/>
                    <w:vAlign w:val="center"/>
                    <w:hideMark/>
                  </w:tcPr>
                  <w:p w:rsidR="002735C9" w:rsidRPr="002735C9" w:rsidRDefault="002735C9" w:rsidP="00685147">
                    <w:pPr>
                      <w:kinsoku w:val="0"/>
                      <w:overflowPunct w:val="0"/>
                      <w:autoSpaceDE w:val="0"/>
                      <w:autoSpaceDN w:val="0"/>
                      <w:adjustRightInd w:val="0"/>
                      <w:snapToGrid w:val="0"/>
                      <w:jc w:val="right"/>
                      <w:rPr>
                        <w:rFonts w:cs="Arial"/>
                        <w:sz w:val="20"/>
                        <w:szCs w:val="20"/>
                      </w:rPr>
                    </w:pPr>
                    <w:r w:rsidRPr="002735C9">
                      <w:rPr>
                        <w:rFonts w:cs="Arial"/>
                        <w:color w:val="000000"/>
                        <w:sz w:val="20"/>
                        <w:szCs w:val="20"/>
                      </w:rPr>
                      <w:t xml:space="preserve"> </w:t>
                    </w:r>
                  </w:p>
                </w:tc>
              </w:tr>
              <w:tr w:rsidR="002735C9" w:rsidRPr="002735C9" w:rsidTr="00685147">
                <w:tc>
                  <w:tcPr>
                    <w:tcW w:w="3685" w:type="dxa"/>
                    <w:tcBorders>
                      <w:top w:val="nil"/>
                      <w:left w:val="nil"/>
                      <w:bottom w:val="nil"/>
                      <w:right w:val="nil"/>
                    </w:tcBorders>
                    <w:shd w:val="clear" w:color="auto" w:fill="auto"/>
                    <w:noWrap/>
                    <w:vAlign w:val="bottom"/>
                    <w:hideMark/>
                  </w:tcPr>
                  <w:p w:rsidR="002735C9" w:rsidRPr="002735C9" w:rsidRDefault="002735C9" w:rsidP="00685147">
                    <w:pPr>
                      <w:kinsoku w:val="0"/>
                      <w:overflowPunct w:val="0"/>
                      <w:autoSpaceDE w:val="0"/>
                      <w:autoSpaceDN w:val="0"/>
                      <w:adjustRightInd w:val="0"/>
                      <w:snapToGrid w:val="0"/>
                      <w:rPr>
                        <w:rFonts w:cs="Arial"/>
                        <w:sz w:val="20"/>
                        <w:szCs w:val="20"/>
                      </w:rPr>
                    </w:pPr>
                    <w:r w:rsidRPr="002735C9">
                      <w:rPr>
                        <w:rFonts w:cs="Arial"/>
                        <w:color w:val="000000"/>
                        <w:sz w:val="20"/>
                        <w:szCs w:val="20"/>
                      </w:rPr>
                      <w:t xml:space="preserve"> </w:t>
                    </w:r>
                  </w:p>
                </w:tc>
                <w:tc>
                  <w:tcPr>
                    <w:tcW w:w="1700" w:type="dxa"/>
                    <w:tcBorders>
                      <w:top w:val="nil"/>
                      <w:left w:val="nil"/>
                      <w:bottom w:val="nil"/>
                      <w:right w:val="nil"/>
                    </w:tcBorders>
                    <w:shd w:val="clear" w:color="auto" w:fill="auto"/>
                    <w:noWrap/>
                    <w:vAlign w:val="center"/>
                    <w:hideMark/>
                  </w:tcPr>
                  <w:p w:rsidR="002735C9" w:rsidRPr="002735C9" w:rsidRDefault="002735C9" w:rsidP="00685147">
                    <w:pPr>
                      <w:kinsoku w:val="0"/>
                      <w:overflowPunct w:val="0"/>
                      <w:autoSpaceDE w:val="0"/>
                      <w:autoSpaceDN w:val="0"/>
                      <w:adjustRightInd w:val="0"/>
                      <w:snapToGrid w:val="0"/>
                      <w:rPr>
                        <w:rFonts w:cs="Arial"/>
                        <w:sz w:val="20"/>
                        <w:szCs w:val="20"/>
                      </w:rPr>
                    </w:pPr>
                    <w:r w:rsidRPr="002735C9">
                      <w:rPr>
                        <w:rFonts w:cs="Arial"/>
                        <w:color w:val="000000"/>
                        <w:sz w:val="20"/>
                        <w:szCs w:val="20"/>
                      </w:rPr>
                      <w:t xml:space="preserve"> </w:t>
                    </w:r>
                  </w:p>
                </w:tc>
                <w:tc>
                  <w:tcPr>
                    <w:tcW w:w="284" w:type="dxa"/>
                    <w:tcBorders>
                      <w:top w:val="nil"/>
                      <w:left w:val="nil"/>
                      <w:bottom w:val="nil"/>
                      <w:right w:val="nil"/>
                    </w:tcBorders>
                    <w:shd w:val="clear" w:color="auto" w:fill="auto"/>
                    <w:noWrap/>
                    <w:vAlign w:val="bottom"/>
                    <w:hideMark/>
                  </w:tcPr>
                  <w:p w:rsidR="002735C9" w:rsidRPr="002735C9" w:rsidRDefault="002735C9" w:rsidP="00685147">
                    <w:pPr>
                      <w:kinsoku w:val="0"/>
                      <w:overflowPunct w:val="0"/>
                      <w:autoSpaceDE w:val="0"/>
                      <w:autoSpaceDN w:val="0"/>
                      <w:adjustRightInd w:val="0"/>
                      <w:snapToGrid w:val="0"/>
                      <w:jc w:val="right"/>
                      <w:rPr>
                        <w:rFonts w:cs="Arial"/>
                        <w:sz w:val="20"/>
                        <w:szCs w:val="20"/>
                      </w:rPr>
                    </w:pPr>
                    <w:r w:rsidRPr="002735C9">
                      <w:rPr>
                        <w:rFonts w:cs="Arial"/>
                        <w:color w:val="000000"/>
                        <w:sz w:val="20"/>
                        <w:szCs w:val="20"/>
                      </w:rPr>
                      <w:t xml:space="preserve"> </w:t>
                    </w:r>
                  </w:p>
                </w:tc>
                <w:tc>
                  <w:tcPr>
                    <w:tcW w:w="132" w:type="dxa"/>
                    <w:tcBorders>
                      <w:top w:val="nil"/>
                      <w:left w:val="nil"/>
                      <w:bottom w:val="nil"/>
                      <w:right w:val="nil"/>
                    </w:tcBorders>
                    <w:shd w:val="clear" w:color="auto" w:fill="auto"/>
                    <w:noWrap/>
                    <w:vAlign w:val="bottom"/>
                    <w:hideMark/>
                  </w:tcPr>
                  <w:p w:rsidR="002735C9" w:rsidRPr="002735C9" w:rsidRDefault="002735C9" w:rsidP="00685147">
                    <w:pPr>
                      <w:kinsoku w:val="0"/>
                      <w:overflowPunct w:val="0"/>
                      <w:autoSpaceDE w:val="0"/>
                      <w:autoSpaceDN w:val="0"/>
                      <w:adjustRightInd w:val="0"/>
                      <w:snapToGrid w:val="0"/>
                      <w:jc w:val="right"/>
                      <w:rPr>
                        <w:rFonts w:cs="Arial"/>
                        <w:sz w:val="20"/>
                        <w:szCs w:val="20"/>
                      </w:rPr>
                    </w:pPr>
                    <w:r w:rsidRPr="002735C9">
                      <w:rPr>
                        <w:rFonts w:cs="Arial"/>
                        <w:color w:val="000000"/>
                        <w:sz w:val="20"/>
                        <w:szCs w:val="20"/>
                      </w:rPr>
                      <w:t xml:space="preserve"> </w:t>
                    </w:r>
                  </w:p>
                </w:tc>
                <w:tc>
                  <w:tcPr>
                    <w:tcW w:w="2531" w:type="dxa"/>
                    <w:tcBorders>
                      <w:top w:val="nil"/>
                      <w:left w:val="nil"/>
                      <w:bottom w:val="nil"/>
                      <w:right w:val="nil"/>
                    </w:tcBorders>
                    <w:shd w:val="clear" w:color="auto" w:fill="auto"/>
                    <w:noWrap/>
                    <w:vAlign w:val="bottom"/>
                    <w:hideMark/>
                  </w:tcPr>
                  <w:p w:rsidR="002735C9" w:rsidRPr="002735C9" w:rsidRDefault="002735C9" w:rsidP="00685147">
                    <w:pPr>
                      <w:kinsoku w:val="0"/>
                      <w:overflowPunct w:val="0"/>
                      <w:autoSpaceDE w:val="0"/>
                      <w:autoSpaceDN w:val="0"/>
                      <w:adjustRightInd w:val="0"/>
                      <w:snapToGrid w:val="0"/>
                      <w:jc w:val="right"/>
                      <w:rPr>
                        <w:rFonts w:cs="Arial"/>
                        <w:sz w:val="20"/>
                        <w:szCs w:val="20"/>
                      </w:rPr>
                    </w:pPr>
                    <w:r w:rsidRPr="002735C9">
                      <w:rPr>
                        <w:rFonts w:cs="Arial"/>
                        <w:color w:val="000000"/>
                        <w:sz w:val="20"/>
                        <w:szCs w:val="20"/>
                      </w:rPr>
                      <w:t xml:space="preserve"> </w:t>
                    </w:r>
                  </w:p>
                </w:tc>
                <w:tc>
                  <w:tcPr>
                    <w:tcW w:w="113" w:type="dxa"/>
                    <w:tcBorders>
                      <w:top w:val="nil"/>
                      <w:left w:val="nil"/>
                      <w:bottom w:val="nil"/>
                      <w:right w:val="nil"/>
                    </w:tcBorders>
                    <w:shd w:val="clear" w:color="auto" w:fill="auto"/>
                    <w:noWrap/>
                    <w:vAlign w:val="center"/>
                    <w:hideMark/>
                  </w:tcPr>
                  <w:p w:rsidR="002735C9" w:rsidRPr="002735C9" w:rsidRDefault="002735C9" w:rsidP="00685147">
                    <w:pPr>
                      <w:kinsoku w:val="0"/>
                      <w:overflowPunct w:val="0"/>
                      <w:autoSpaceDE w:val="0"/>
                      <w:autoSpaceDN w:val="0"/>
                      <w:adjustRightInd w:val="0"/>
                      <w:snapToGrid w:val="0"/>
                      <w:jc w:val="right"/>
                      <w:rPr>
                        <w:rFonts w:cs="Arial"/>
                        <w:sz w:val="20"/>
                        <w:szCs w:val="20"/>
                      </w:rPr>
                    </w:pPr>
                    <w:r w:rsidRPr="002735C9">
                      <w:rPr>
                        <w:rFonts w:cs="Arial"/>
                        <w:color w:val="000000"/>
                        <w:sz w:val="20"/>
                        <w:szCs w:val="20"/>
                      </w:rPr>
                      <w:t xml:space="preserve"> </w:t>
                    </w:r>
                  </w:p>
                </w:tc>
              </w:tr>
              <w:tr w:rsidR="002735C9" w:rsidRPr="002735C9" w:rsidTr="00685147">
                <w:tc>
                  <w:tcPr>
                    <w:tcW w:w="3685" w:type="dxa"/>
                    <w:tcBorders>
                      <w:top w:val="nil"/>
                      <w:left w:val="nil"/>
                      <w:bottom w:val="nil"/>
                      <w:right w:val="nil"/>
                    </w:tcBorders>
                    <w:shd w:val="clear" w:color="000000" w:fill="auto"/>
                    <w:noWrap/>
                    <w:hideMark/>
                  </w:tcPr>
                  <w:p w:rsidR="002735C9" w:rsidRPr="002735C9" w:rsidRDefault="002735C9" w:rsidP="00685147">
                    <w:pPr>
                      <w:kinsoku w:val="0"/>
                      <w:overflowPunct w:val="0"/>
                      <w:autoSpaceDE w:val="0"/>
                      <w:autoSpaceDN w:val="0"/>
                      <w:adjustRightInd w:val="0"/>
                      <w:snapToGrid w:val="0"/>
                      <w:rPr>
                        <w:rFonts w:cs="Arial"/>
                        <w:color w:val="000000"/>
                        <w:sz w:val="20"/>
                        <w:szCs w:val="20"/>
                      </w:rPr>
                    </w:pPr>
                    <w:r w:rsidRPr="002735C9">
                      <w:rPr>
                        <w:rFonts w:cs="Arial"/>
                        <w:snapToGrid w:val="0"/>
                        <w:sz w:val="20"/>
                        <w:szCs w:val="20"/>
                      </w:rPr>
                      <w:t>土地使用权</w:t>
                    </w:r>
                  </w:p>
                </w:tc>
                <w:tc>
                  <w:tcPr>
                    <w:tcW w:w="1700" w:type="dxa"/>
                    <w:tcBorders>
                      <w:top w:val="nil"/>
                      <w:left w:val="nil"/>
                      <w:bottom w:val="nil"/>
                      <w:right w:val="nil"/>
                    </w:tcBorders>
                    <w:shd w:val="clear" w:color="auto" w:fill="auto"/>
                    <w:noWrap/>
                    <w:vAlign w:val="center"/>
                    <w:hideMark/>
                  </w:tcPr>
                  <w:p w:rsidR="002735C9" w:rsidRPr="002735C9" w:rsidRDefault="002735C9" w:rsidP="00685147">
                    <w:pPr>
                      <w:kinsoku w:val="0"/>
                      <w:overflowPunct w:val="0"/>
                      <w:autoSpaceDE w:val="0"/>
                      <w:autoSpaceDN w:val="0"/>
                      <w:adjustRightInd w:val="0"/>
                      <w:snapToGrid w:val="0"/>
                      <w:rPr>
                        <w:rFonts w:cs="Arial"/>
                        <w:color w:val="000000"/>
                        <w:sz w:val="20"/>
                        <w:szCs w:val="20"/>
                      </w:rPr>
                    </w:pPr>
                    <w:r w:rsidRPr="002735C9">
                      <w:rPr>
                        <w:rFonts w:cs="Arial"/>
                        <w:color w:val="000000"/>
                        <w:sz w:val="20"/>
                        <w:szCs w:val="20"/>
                      </w:rPr>
                      <w:t xml:space="preserve"> </w:t>
                    </w:r>
                  </w:p>
                </w:tc>
                <w:tc>
                  <w:tcPr>
                    <w:tcW w:w="284" w:type="dxa"/>
                    <w:tcBorders>
                      <w:top w:val="nil"/>
                      <w:left w:val="nil"/>
                      <w:bottom w:val="nil"/>
                      <w:right w:val="nil"/>
                    </w:tcBorders>
                    <w:shd w:val="clear" w:color="auto" w:fill="auto"/>
                    <w:noWrap/>
                    <w:vAlign w:val="bottom"/>
                    <w:hideMark/>
                  </w:tcPr>
                  <w:p w:rsidR="002735C9" w:rsidRPr="002735C9" w:rsidRDefault="002735C9" w:rsidP="00685147">
                    <w:pPr>
                      <w:kinsoku w:val="0"/>
                      <w:overflowPunct w:val="0"/>
                      <w:autoSpaceDE w:val="0"/>
                      <w:autoSpaceDN w:val="0"/>
                      <w:adjustRightInd w:val="0"/>
                      <w:snapToGrid w:val="0"/>
                      <w:jc w:val="right"/>
                      <w:rPr>
                        <w:rFonts w:cs="Arial"/>
                        <w:sz w:val="20"/>
                        <w:szCs w:val="20"/>
                      </w:rPr>
                    </w:pPr>
                    <w:r w:rsidRPr="002735C9">
                      <w:rPr>
                        <w:rFonts w:cs="Arial"/>
                        <w:color w:val="000000"/>
                        <w:sz w:val="20"/>
                        <w:szCs w:val="20"/>
                      </w:rPr>
                      <w:t xml:space="preserve"> </w:t>
                    </w:r>
                  </w:p>
                </w:tc>
                <w:tc>
                  <w:tcPr>
                    <w:tcW w:w="132" w:type="dxa"/>
                    <w:tcBorders>
                      <w:top w:val="nil"/>
                      <w:left w:val="nil"/>
                      <w:bottom w:val="nil"/>
                      <w:right w:val="nil"/>
                    </w:tcBorders>
                    <w:shd w:val="clear" w:color="auto" w:fill="auto"/>
                    <w:noWrap/>
                    <w:vAlign w:val="bottom"/>
                    <w:hideMark/>
                  </w:tcPr>
                  <w:p w:rsidR="002735C9" w:rsidRPr="002735C9" w:rsidRDefault="002735C9" w:rsidP="00685147">
                    <w:pPr>
                      <w:kinsoku w:val="0"/>
                      <w:overflowPunct w:val="0"/>
                      <w:autoSpaceDE w:val="0"/>
                      <w:autoSpaceDN w:val="0"/>
                      <w:adjustRightInd w:val="0"/>
                      <w:snapToGrid w:val="0"/>
                      <w:jc w:val="right"/>
                      <w:rPr>
                        <w:rFonts w:cs="Arial"/>
                        <w:sz w:val="20"/>
                        <w:szCs w:val="20"/>
                      </w:rPr>
                    </w:pPr>
                    <w:r w:rsidRPr="002735C9">
                      <w:rPr>
                        <w:rFonts w:cs="Arial"/>
                        <w:color w:val="000000"/>
                        <w:sz w:val="20"/>
                        <w:szCs w:val="20"/>
                      </w:rPr>
                      <w:t xml:space="preserve"> </w:t>
                    </w:r>
                  </w:p>
                </w:tc>
                <w:tc>
                  <w:tcPr>
                    <w:tcW w:w="2531" w:type="dxa"/>
                    <w:tcBorders>
                      <w:top w:val="nil"/>
                      <w:left w:val="nil"/>
                      <w:bottom w:val="nil"/>
                      <w:right w:val="nil"/>
                    </w:tcBorders>
                    <w:shd w:val="clear" w:color="000000" w:fill="auto"/>
                    <w:noWrap/>
                    <w:vAlign w:val="bottom"/>
                    <w:hideMark/>
                  </w:tcPr>
                  <w:p w:rsidR="002735C9" w:rsidRPr="002735C9" w:rsidRDefault="002735C9" w:rsidP="00685147">
                    <w:pPr>
                      <w:kinsoku w:val="0"/>
                      <w:overflowPunct w:val="0"/>
                      <w:autoSpaceDE w:val="0"/>
                      <w:autoSpaceDN w:val="0"/>
                      <w:adjustRightInd w:val="0"/>
                      <w:snapToGrid w:val="0"/>
                      <w:jc w:val="right"/>
                      <w:rPr>
                        <w:rFonts w:cs="Arial"/>
                        <w:color w:val="000000"/>
                        <w:sz w:val="20"/>
                        <w:szCs w:val="20"/>
                      </w:rPr>
                    </w:pPr>
                    <w:r w:rsidRPr="002735C9">
                      <w:rPr>
                        <w:rFonts w:cs="Arial"/>
                        <w:color w:val="000000"/>
                        <w:sz w:val="20"/>
                        <w:szCs w:val="20"/>
                      </w:rPr>
                      <w:t xml:space="preserve"> 50年 </w:t>
                    </w:r>
                  </w:p>
                </w:tc>
                <w:tc>
                  <w:tcPr>
                    <w:tcW w:w="113" w:type="dxa"/>
                    <w:tcBorders>
                      <w:top w:val="nil"/>
                      <w:left w:val="nil"/>
                      <w:bottom w:val="nil"/>
                      <w:right w:val="nil"/>
                    </w:tcBorders>
                    <w:shd w:val="clear" w:color="auto" w:fill="auto"/>
                    <w:noWrap/>
                    <w:vAlign w:val="center"/>
                    <w:hideMark/>
                  </w:tcPr>
                  <w:p w:rsidR="002735C9" w:rsidRPr="002735C9" w:rsidRDefault="002735C9" w:rsidP="00685147">
                    <w:pPr>
                      <w:kinsoku w:val="0"/>
                      <w:overflowPunct w:val="0"/>
                      <w:autoSpaceDE w:val="0"/>
                      <w:autoSpaceDN w:val="0"/>
                      <w:adjustRightInd w:val="0"/>
                      <w:snapToGrid w:val="0"/>
                      <w:jc w:val="right"/>
                      <w:rPr>
                        <w:rFonts w:cs="Arial"/>
                        <w:color w:val="000000"/>
                        <w:sz w:val="20"/>
                        <w:szCs w:val="20"/>
                      </w:rPr>
                    </w:pPr>
                    <w:r w:rsidRPr="002735C9">
                      <w:rPr>
                        <w:rFonts w:cs="Arial"/>
                        <w:color w:val="000000"/>
                        <w:sz w:val="20"/>
                        <w:szCs w:val="20"/>
                      </w:rPr>
                      <w:t xml:space="preserve"> </w:t>
                    </w:r>
                  </w:p>
                </w:tc>
              </w:tr>
              <w:tr w:rsidR="002735C9" w:rsidRPr="002735C9" w:rsidTr="00685147">
                <w:tc>
                  <w:tcPr>
                    <w:tcW w:w="3685" w:type="dxa"/>
                    <w:tcBorders>
                      <w:top w:val="nil"/>
                      <w:left w:val="nil"/>
                      <w:bottom w:val="nil"/>
                      <w:right w:val="nil"/>
                    </w:tcBorders>
                    <w:shd w:val="clear" w:color="000000" w:fill="auto"/>
                    <w:noWrap/>
                    <w:hideMark/>
                  </w:tcPr>
                  <w:p w:rsidR="002735C9" w:rsidRPr="002735C9" w:rsidRDefault="002735C9" w:rsidP="00685147">
                    <w:pPr>
                      <w:kinsoku w:val="0"/>
                      <w:overflowPunct w:val="0"/>
                      <w:autoSpaceDE w:val="0"/>
                      <w:autoSpaceDN w:val="0"/>
                      <w:adjustRightInd w:val="0"/>
                      <w:snapToGrid w:val="0"/>
                      <w:rPr>
                        <w:rFonts w:cs="Arial"/>
                        <w:color w:val="000000"/>
                        <w:sz w:val="20"/>
                        <w:szCs w:val="20"/>
                      </w:rPr>
                    </w:pPr>
                    <w:r w:rsidRPr="002735C9">
                      <w:rPr>
                        <w:rFonts w:cs="Arial"/>
                        <w:snapToGrid w:val="0"/>
                        <w:sz w:val="20"/>
                        <w:szCs w:val="20"/>
                      </w:rPr>
                      <w:t>软件著作权</w:t>
                    </w:r>
                  </w:p>
                </w:tc>
                <w:tc>
                  <w:tcPr>
                    <w:tcW w:w="1700" w:type="dxa"/>
                    <w:tcBorders>
                      <w:top w:val="nil"/>
                      <w:left w:val="nil"/>
                      <w:bottom w:val="nil"/>
                      <w:right w:val="nil"/>
                    </w:tcBorders>
                    <w:shd w:val="clear" w:color="auto" w:fill="auto"/>
                    <w:noWrap/>
                    <w:vAlign w:val="center"/>
                    <w:hideMark/>
                  </w:tcPr>
                  <w:p w:rsidR="002735C9" w:rsidRPr="002735C9" w:rsidRDefault="002735C9" w:rsidP="00685147">
                    <w:pPr>
                      <w:kinsoku w:val="0"/>
                      <w:overflowPunct w:val="0"/>
                      <w:autoSpaceDE w:val="0"/>
                      <w:autoSpaceDN w:val="0"/>
                      <w:adjustRightInd w:val="0"/>
                      <w:snapToGrid w:val="0"/>
                      <w:rPr>
                        <w:rFonts w:cs="Arial"/>
                        <w:color w:val="000000"/>
                        <w:sz w:val="20"/>
                        <w:szCs w:val="20"/>
                      </w:rPr>
                    </w:pPr>
                    <w:r w:rsidRPr="002735C9">
                      <w:rPr>
                        <w:rFonts w:cs="Arial"/>
                        <w:color w:val="000000"/>
                        <w:sz w:val="20"/>
                        <w:szCs w:val="20"/>
                      </w:rPr>
                      <w:t xml:space="preserve"> </w:t>
                    </w:r>
                  </w:p>
                </w:tc>
                <w:tc>
                  <w:tcPr>
                    <w:tcW w:w="284" w:type="dxa"/>
                    <w:tcBorders>
                      <w:top w:val="nil"/>
                      <w:left w:val="nil"/>
                      <w:bottom w:val="nil"/>
                      <w:right w:val="nil"/>
                    </w:tcBorders>
                    <w:shd w:val="clear" w:color="auto" w:fill="auto"/>
                    <w:noWrap/>
                    <w:vAlign w:val="bottom"/>
                    <w:hideMark/>
                  </w:tcPr>
                  <w:p w:rsidR="002735C9" w:rsidRPr="002735C9" w:rsidRDefault="002735C9" w:rsidP="00685147">
                    <w:pPr>
                      <w:kinsoku w:val="0"/>
                      <w:overflowPunct w:val="0"/>
                      <w:autoSpaceDE w:val="0"/>
                      <w:autoSpaceDN w:val="0"/>
                      <w:adjustRightInd w:val="0"/>
                      <w:snapToGrid w:val="0"/>
                      <w:jc w:val="right"/>
                      <w:rPr>
                        <w:rFonts w:cs="Arial"/>
                        <w:sz w:val="20"/>
                        <w:szCs w:val="20"/>
                      </w:rPr>
                    </w:pPr>
                    <w:r w:rsidRPr="002735C9">
                      <w:rPr>
                        <w:rFonts w:cs="Arial"/>
                        <w:color w:val="000000"/>
                        <w:sz w:val="20"/>
                        <w:szCs w:val="20"/>
                      </w:rPr>
                      <w:t xml:space="preserve"> </w:t>
                    </w:r>
                  </w:p>
                </w:tc>
                <w:tc>
                  <w:tcPr>
                    <w:tcW w:w="132" w:type="dxa"/>
                    <w:tcBorders>
                      <w:top w:val="nil"/>
                      <w:left w:val="nil"/>
                      <w:bottom w:val="nil"/>
                      <w:right w:val="nil"/>
                    </w:tcBorders>
                    <w:shd w:val="clear" w:color="auto" w:fill="auto"/>
                    <w:noWrap/>
                    <w:vAlign w:val="bottom"/>
                    <w:hideMark/>
                  </w:tcPr>
                  <w:p w:rsidR="002735C9" w:rsidRPr="002735C9" w:rsidRDefault="002735C9" w:rsidP="00685147">
                    <w:pPr>
                      <w:kinsoku w:val="0"/>
                      <w:overflowPunct w:val="0"/>
                      <w:autoSpaceDE w:val="0"/>
                      <w:autoSpaceDN w:val="0"/>
                      <w:adjustRightInd w:val="0"/>
                      <w:snapToGrid w:val="0"/>
                      <w:jc w:val="right"/>
                      <w:rPr>
                        <w:rFonts w:cs="Arial"/>
                        <w:sz w:val="20"/>
                        <w:szCs w:val="20"/>
                      </w:rPr>
                    </w:pPr>
                    <w:r w:rsidRPr="002735C9">
                      <w:rPr>
                        <w:rFonts w:cs="Arial"/>
                        <w:color w:val="000000"/>
                        <w:sz w:val="20"/>
                        <w:szCs w:val="20"/>
                      </w:rPr>
                      <w:t xml:space="preserve"> </w:t>
                    </w:r>
                  </w:p>
                </w:tc>
                <w:tc>
                  <w:tcPr>
                    <w:tcW w:w="2531" w:type="dxa"/>
                    <w:tcBorders>
                      <w:top w:val="nil"/>
                      <w:left w:val="nil"/>
                      <w:bottom w:val="nil"/>
                      <w:right w:val="nil"/>
                    </w:tcBorders>
                    <w:shd w:val="clear" w:color="000000" w:fill="auto"/>
                    <w:noWrap/>
                    <w:vAlign w:val="bottom"/>
                    <w:hideMark/>
                  </w:tcPr>
                  <w:p w:rsidR="002735C9" w:rsidRPr="002735C9" w:rsidRDefault="002735C9" w:rsidP="00685147">
                    <w:pPr>
                      <w:kinsoku w:val="0"/>
                      <w:overflowPunct w:val="0"/>
                      <w:autoSpaceDE w:val="0"/>
                      <w:autoSpaceDN w:val="0"/>
                      <w:adjustRightInd w:val="0"/>
                      <w:snapToGrid w:val="0"/>
                      <w:jc w:val="right"/>
                      <w:rPr>
                        <w:rFonts w:cs="Arial"/>
                        <w:color w:val="000000"/>
                        <w:sz w:val="20"/>
                        <w:szCs w:val="20"/>
                      </w:rPr>
                    </w:pPr>
                    <w:r w:rsidRPr="002735C9">
                      <w:rPr>
                        <w:rFonts w:cs="Arial"/>
                        <w:color w:val="000000"/>
                        <w:sz w:val="20"/>
                        <w:szCs w:val="20"/>
                      </w:rPr>
                      <w:t xml:space="preserve"> 5-10年 </w:t>
                    </w:r>
                  </w:p>
                </w:tc>
                <w:tc>
                  <w:tcPr>
                    <w:tcW w:w="113" w:type="dxa"/>
                    <w:tcBorders>
                      <w:top w:val="nil"/>
                      <w:left w:val="nil"/>
                      <w:bottom w:val="nil"/>
                      <w:right w:val="nil"/>
                    </w:tcBorders>
                    <w:shd w:val="clear" w:color="auto" w:fill="auto"/>
                    <w:noWrap/>
                    <w:vAlign w:val="center"/>
                    <w:hideMark/>
                  </w:tcPr>
                  <w:p w:rsidR="002735C9" w:rsidRPr="002735C9" w:rsidRDefault="002735C9" w:rsidP="00685147">
                    <w:pPr>
                      <w:kinsoku w:val="0"/>
                      <w:overflowPunct w:val="0"/>
                      <w:autoSpaceDE w:val="0"/>
                      <w:autoSpaceDN w:val="0"/>
                      <w:adjustRightInd w:val="0"/>
                      <w:snapToGrid w:val="0"/>
                      <w:jc w:val="right"/>
                      <w:rPr>
                        <w:rFonts w:cs="Arial"/>
                        <w:color w:val="000000"/>
                        <w:sz w:val="20"/>
                        <w:szCs w:val="20"/>
                      </w:rPr>
                    </w:pPr>
                    <w:r w:rsidRPr="002735C9">
                      <w:rPr>
                        <w:rFonts w:cs="Arial"/>
                        <w:color w:val="000000"/>
                        <w:sz w:val="20"/>
                        <w:szCs w:val="20"/>
                      </w:rPr>
                      <w:t xml:space="preserve"> </w:t>
                    </w:r>
                  </w:p>
                </w:tc>
              </w:tr>
              <w:tr w:rsidR="002735C9" w:rsidRPr="002735C9" w:rsidTr="00685147">
                <w:tc>
                  <w:tcPr>
                    <w:tcW w:w="3685" w:type="dxa"/>
                    <w:tcBorders>
                      <w:top w:val="nil"/>
                      <w:left w:val="nil"/>
                      <w:bottom w:val="nil"/>
                      <w:right w:val="nil"/>
                    </w:tcBorders>
                    <w:shd w:val="clear" w:color="000000" w:fill="auto"/>
                    <w:noWrap/>
                    <w:hideMark/>
                  </w:tcPr>
                  <w:p w:rsidR="002735C9" w:rsidRPr="002735C9" w:rsidRDefault="002735C9" w:rsidP="00685147">
                    <w:pPr>
                      <w:kinsoku w:val="0"/>
                      <w:overflowPunct w:val="0"/>
                      <w:autoSpaceDE w:val="0"/>
                      <w:autoSpaceDN w:val="0"/>
                      <w:adjustRightInd w:val="0"/>
                      <w:snapToGrid w:val="0"/>
                      <w:rPr>
                        <w:rFonts w:cs="Arial"/>
                        <w:color w:val="000000"/>
                        <w:sz w:val="20"/>
                        <w:szCs w:val="20"/>
                      </w:rPr>
                    </w:pPr>
                    <w:r w:rsidRPr="002735C9">
                      <w:rPr>
                        <w:rFonts w:cs="Arial"/>
                        <w:snapToGrid w:val="0"/>
                        <w:sz w:val="20"/>
                        <w:szCs w:val="20"/>
                      </w:rPr>
                      <w:t>软件使用权</w:t>
                    </w:r>
                  </w:p>
                </w:tc>
                <w:tc>
                  <w:tcPr>
                    <w:tcW w:w="1700" w:type="dxa"/>
                    <w:tcBorders>
                      <w:top w:val="nil"/>
                      <w:left w:val="nil"/>
                      <w:bottom w:val="nil"/>
                      <w:right w:val="nil"/>
                    </w:tcBorders>
                    <w:shd w:val="clear" w:color="auto" w:fill="auto"/>
                    <w:noWrap/>
                    <w:vAlign w:val="center"/>
                    <w:hideMark/>
                  </w:tcPr>
                  <w:p w:rsidR="002735C9" w:rsidRPr="002735C9" w:rsidRDefault="002735C9" w:rsidP="00685147">
                    <w:pPr>
                      <w:kinsoku w:val="0"/>
                      <w:overflowPunct w:val="0"/>
                      <w:autoSpaceDE w:val="0"/>
                      <w:autoSpaceDN w:val="0"/>
                      <w:adjustRightInd w:val="0"/>
                      <w:snapToGrid w:val="0"/>
                      <w:rPr>
                        <w:rFonts w:cs="Arial"/>
                        <w:color w:val="000000"/>
                        <w:sz w:val="20"/>
                        <w:szCs w:val="20"/>
                      </w:rPr>
                    </w:pPr>
                    <w:r w:rsidRPr="002735C9">
                      <w:rPr>
                        <w:rFonts w:cs="Arial"/>
                        <w:color w:val="000000"/>
                        <w:sz w:val="20"/>
                        <w:szCs w:val="20"/>
                      </w:rPr>
                      <w:t xml:space="preserve"> </w:t>
                    </w:r>
                  </w:p>
                </w:tc>
                <w:tc>
                  <w:tcPr>
                    <w:tcW w:w="284" w:type="dxa"/>
                    <w:tcBorders>
                      <w:top w:val="nil"/>
                      <w:left w:val="nil"/>
                      <w:bottom w:val="nil"/>
                      <w:right w:val="nil"/>
                    </w:tcBorders>
                    <w:shd w:val="clear" w:color="auto" w:fill="auto"/>
                    <w:noWrap/>
                    <w:vAlign w:val="bottom"/>
                    <w:hideMark/>
                  </w:tcPr>
                  <w:p w:rsidR="002735C9" w:rsidRPr="002735C9" w:rsidRDefault="002735C9" w:rsidP="00685147">
                    <w:pPr>
                      <w:kinsoku w:val="0"/>
                      <w:overflowPunct w:val="0"/>
                      <w:autoSpaceDE w:val="0"/>
                      <w:autoSpaceDN w:val="0"/>
                      <w:adjustRightInd w:val="0"/>
                      <w:snapToGrid w:val="0"/>
                      <w:jc w:val="right"/>
                      <w:rPr>
                        <w:rFonts w:cs="Arial"/>
                        <w:sz w:val="20"/>
                        <w:szCs w:val="20"/>
                      </w:rPr>
                    </w:pPr>
                    <w:r w:rsidRPr="002735C9">
                      <w:rPr>
                        <w:rFonts w:cs="Arial"/>
                        <w:color w:val="000000"/>
                        <w:sz w:val="20"/>
                        <w:szCs w:val="20"/>
                      </w:rPr>
                      <w:t xml:space="preserve"> </w:t>
                    </w:r>
                  </w:p>
                </w:tc>
                <w:tc>
                  <w:tcPr>
                    <w:tcW w:w="132" w:type="dxa"/>
                    <w:tcBorders>
                      <w:top w:val="nil"/>
                      <w:left w:val="nil"/>
                      <w:bottom w:val="nil"/>
                      <w:right w:val="nil"/>
                    </w:tcBorders>
                    <w:shd w:val="clear" w:color="auto" w:fill="auto"/>
                    <w:noWrap/>
                    <w:vAlign w:val="bottom"/>
                    <w:hideMark/>
                  </w:tcPr>
                  <w:p w:rsidR="002735C9" w:rsidRPr="002735C9" w:rsidRDefault="002735C9" w:rsidP="00685147">
                    <w:pPr>
                      <w:kinsoku w:val="0"/>
                      <w:overflowPunct w:val="0"/>
                      <w:autoSpaceDE w:val="0"/>
                      <w:autoSpaceDN w:val="0"/>
                      <w:adjustRightInd w:val="0"/>
                      <w:snapToGrid w:val="0"/>
                      <w:jc w:val="right"/>
                      <w:rPr>
                        <w:rFonts w:cs="Arial"/>
                        <w:sz w:val="20"/>
                        <w:szCs w:val="20"/>
                      </w:rPr>
                    </w:pPr>
                    <w:r w:rsidRPr="002735C9">
                      <w:rPr>
                        <w:rFonts w:cs="Arial"/>
                        <w:color w:val="000000"/>
                        <w:sz w:val="20"/>
                        <w:szCs w:val="20"/>
                      </w:rPr>
                      <w:t xml:space="preserve"> </w:t>
                    </w:r>
                  </w:p>
                </w:tc>
                <w:tc>
                  <w:tcPr>
                    <w:tcW w:w="2531" w:type="dxa"/>
                    <w:tcBorders>
                      <w:top w:val="nil"/>
                      <w:left w:val="nil"/>
                      <w:bottom w:val="nil"/>
                      <w:right w:val="nil"/>
                    </w:tcBorders>
                    <w:shd w:val="clear" w:color="000000" w:fill="auto"/>
                    <w:noWrap/>
                    <w:vAlign w:val="bottom"/>
                    <w:hideMark/>
                  </w:tcPr>
                  <w:p w:rsidR="002735C9" w:rsidRPr="002735C9" w:rsidRDefault="002735C9" w:rsidP="00685147">
                    <w:pPr>
                      <w:kinsoku w:val="0"/>
                      <w:overflowPunct w:val="0"/>
                      <w:autoSpaceDE w:val="0"/>
                      <w:autoSpaceDN w:val="0"/>
                      <w:adjustRightInd w:val="0"/>
                      <w:snapToGrid w:val="0"/>
                      <w:jc w:val="right"/>
                      <w:rPr>
                        <w:rFonts w:cs="Arial"/>
                        <w:color w:val="000000"/>
                        <w:sz w:val="20"/>
                        <w:szCs w:val="20"/>
                      </w:rPr>
                    </w:pPr>
                    <w:r w:rsidRPr="002735C9">
                      <w:rPr>
                        <w:rFonts w:cs="Arial"/>
                        <w:color w:val="000000"/>
                        <w:sz w:val="20"/>
                        <w:szCs w:val="20"/>
                      </w:rPr>
                      <w:t>10年/按合同规定的年限</w:t>
                    </w:r>
                  </w:p>
                </w:tc>
                <w:tc>
                  <w:tcPr>
                    <w:tcW w:w="113" w:type="dxa"/>
                    <w:tcBorders>
                      <w:top w:val="nil"/>
                      <w:left w:val="nil"/>
                      <w:bottom w:val="nil"/>
                      <w:right w:val="nil"/>
                    </w:tcBorders>
                    <w:shd w:val="clear" w:color="auto" w:fill="auto"/>
                    <w:noWrap/>
                    <w:vAlign w:val="center"/>
                    <w:hideMark/>
                  </w:tcPr>
                  <w:p w:rsidR="002735C9" w:rsidRPr="002735C9" w:rsidRDefault="002735C9" w:rsidP="00685147">
                    <w:pPr>
                      <w:kinsoku w:val="0"/>
                      <w:overflowPunct w:val="0"/>
                      <w:autoSpaceDE w:val="0"/>
                      <w:autoSpaceDN w:val="0"/>
                      <w:adjustRightInd w:val="0"/>
                      <w:snapToGrid w:val="0"/>
                      <w:jc w:val="right"/>
                      <w:rPr>
                        <w:rFonts w:cs="Arial"/>
                        <w:color w:val="000000"/>
                        <w:sz w:val="20"/>
                        <w:szCs w:val="20"/>
                      </w:rPr>
                    </w:pPr>
                    <w:r w:rsidRPr="002735C9">
                      <w:rPr>
                        <w:rFonts w:cs="Arial"/>
                        <w:color w:val="000000"/>
                        <w:sz w:val="20"/>
                        <w:szCs w:val="20"/>
                      </w:rPr>
                      <w:t xml:space="preserve"> </w:t>
                    </w:r>
                  </w:p>
                </w:tc>
              </w:tr>
              <w:tr w:rsidR="002735C9" w:rsidRPr="002735C9" w:rsidTr="00685147">
                <w:tc>
                  <w:tcPr>
                    <w:tcW w:w="3685" w:type="dxa"/>
                    <w:tcBorders>
                      <w:top w:val="nil"/>
                      <w:left w:val="nil"/>
                      <w:bottom w:val="nil"/>
                      <w:right w:val="nil"/>
                    </w:tcBorders>
                    <w:shd w:val="clear" w:color="000000" w:fill="auto"/>
                    <w:noWrap/>
                    <w:hideMark/>
                  </w:tcPr>
                  <w:p w:rsidR="002735C9" w:rsidRPr="002735C9" w:rsidRDefault="002735C9" w:rsidP="00685147">
                    <w:pPr>
                      <w:kinsoku w:val="0"/>
                      <w:overflowPunct w:val="0"/>
                      <w:autoSpaceDE w:val="0"/>
                      <w:autoSpaceDN w:val="0"/>
                      <w:adjustRightInd w:val="0"/>
                      <w:snapToGrid w:val="0"/>
                      <w:rPr>
                        <w:rFonts w:cs="Arial"/>
                        <w:color w:val="000000"/>
                        <w:sz w:val="20"/>
                        <w:szCs w:val="20"/>
                      </w:rPr>
                    </w:pPr>
                    <w:r w:rsidRPr="002735C9">
                      <w:rPr>
                        <w:rFonts w:cs="Arial"/>
                        <w:snapToGrid w:val="0"/>
                        <w:sz w:val="20"/>
                        <w:szCs w:val="20"/>
                      </w:rPr>
                      <w:t>云应用系统平台</w:t>
                    </w:r>
                  </w:p>
                </w:tc>
                <w:tc>
                  <w:tcPr>
                    <w:tcW w:w="1700" w:type="dxa"/>
                    <w:tcBorders>
                      <w:top w:val="nil"/>
                      <w:left w:val="nil"/>
                      <w:bottom w:val="nil"/>
                      <w:right w:val="nil"/>
                    </w:tcBorders>
                    <w:shd w:val="clear" w:color="auto" w:fill="auto"/>
                    <w:noWrap/>
                    <w:vAlign w:val="center"/>
                    <w:hideMark/>
                  </w:tcPr>
                  <w:p w:rsidR="002735C9" w:rsidRPr="002735C9" w:rsidRDefault="002735C9" w:rsidP="00685147">
                    <w:pPr>
                      <w:kinsoku w:val="0"/>
                      <w:overflowPunct w:val="0"/>
                      <w:autoSpaceDE w:val="0"/>
                      <w:autoSpaceDN w:val="0"/>
                      <w:adjustRightInd w:val="0"/>
                      <w:snapToGrid w:val="0"/>
                      <w:rPr>
                        <w:rFonts w:cs="Arial"/>
                        <w:color w:val="000000"/>
                        <w:sz w:val="20"/>
                        <w:szCs w:val="20"/>
                      </w:rPr>
                    </w:pPr>
                    <w:r w:rsidRPr="002735C9">
                      <w:rPr>
                        <w:rFonts w:cs="Arial"/>
                        <w:color w:val="000000"/>
                        <w:sz w:val="20"/>
                        <w:szCs w:val="20"/>
                      </w:rPr>
                      <w:t xml:space="preserve"> </w:t>
                    </w:r>
                  </w:p>
                </w:tc>
                <w:tc>
                  <w:tcPr>
                    <w:tcW w:w="284" w:type="dxa"/>
                    <w:tcBorders>
                      <w:top w:val="nil"/>
                      <w:left w:val="nil"/>
                      <w:bottom w:val="nil"/>
                      <w:right w:val="nil"/>
                    </w:tcBorders>
                    <w:shd w:val="clear" w:color="auto" w:fill="auto"/>
                    <w:noWrap/>
                    <w:vAlign w:val="bottom"/>
                    <w:hideMark/>
                  </w:tcPr>
                  <w:p w:rsidR="002735C9" w:rsidRPr="002735C9" w:rsidRDefault="002735C9" w:rsidP="00685147">
                    <w:pPr>
                      <w:kinsoku w:val="0"/>
                      <w:overflowPunct w:val="0"/>
                      <w:autoSpaceDE w:val="0"/>
                      <w:autoSpaceDN w:val="0"/>
                      <w:adjustRightInd w:val="0"/>
                      <w:snapToGrid w:val="0"/>
                      <w:jc w:val="right"/>
                      <w:rPr>
                        <w:rFonts w:cs="Arial"/>
                        <w:sz w:val="20"/>
                        <w:szCs w:val="20"/>
                      </w:rPr>
                    </w:pPr>
                    <w:r w:rsidRPr="002735C9">
                      <w:rPr>
                        <w:rFonts w:cs="Arial"/>
                        <w:color w:val="000000"/>
                        <w:sz w:val="20"/>
                        <w:szCs w:val="20"/>
                      </w:rPr>
                      <w:t xml:space="preserve"> </w:t>
                    </w:r>
                  </w:p>
                </w:tc>
                <w:tc>
                  <w:tcPr>
                    <w:tcW w:w="132" w:type="dxa"/>
                    <w:tcBorders>
                      <w:top w:val="nil"/>
                      <w:left w:val="nil"/>
                      <w:bottom w:val="nil"/>
                      <w:right w:val="nil"/>
                    </w:tcBorders>
                    <w:shd w:val="clear" w:color="auto" w:fill="auto"/>
                    <w:noWrap/>
                    <w:vAlign w:val="bottom"/>
                    <w:hideMark/>
                  </w:tcPr>
                  <w:p w:rsidR="002735C9" w:rsidRPr="002735C9" w:rsidRDefault="002735C9" w:rsidP="00685147">
                    <w:pPr>
                      <w:kinsoku w:val="0"/>
                      <w:overflowPunct w:val="0"/>
                      <w:autoSpaceDE w:val="0"/>
                      <w:autoSpaceDN w:val="0"/>
                      <w:adjustRightInd w:val="0"/>
                      <w:snapToGrid w:val="0"/>
                      <w:jc w:val="right"/>
                      <w:rPr>
                        <w:rFonts w:cs="Arial"/>
                        <w:sz w:val="20"/>
                        <w:szCs w:val="20"/>
                      </w:rPr>
                    </w:pPr>
                    <w:r w:rsidRPr="002735C9">
                      <w:rPr>
                        <w:rFonts w:cs="Arial"/>
                        <w:color w:val="000000"/>
                        <w:sz w:val="20"/>
                        <w:szCs w:val="20"/>
                      </w:rPr>
                      <w:t xml:space="preserve"> </w:t>
                    </w:r>
                  </w:p>
                </w:tc>
                <w:tc>
                  <w:tcPr>
                    <w:tcW w:w="2531" w:type="dxa"/>
                    <w:tcBorders>
                      <w:top w:val="nil"/>
                      <w:left w:val="nil"/>
                      <w:bottom w:val="nil"/>
                      <w:right w:val="nil"/>
                    </w:tcBorders>
                    <w:shd w:val="clear" w:color="000000" w:fill="auto"/>
                    <w:noWrap/>
                    <w:vAlign w:val="bottom"/>
                    <w:hideMark/>
                  </w:tcPr>
                  <w:p w:rsidR="002735C9" w:rsidRPr="002735C9" w:rsidRDefault="002735C9" w:rsidP="00685147">
                    <w:pPr>
                      <w:kinsoku w:val="0"/>
                      <w:overflowPunct w:val="0"/>
                      <w:autoSpaceDE w:val="0"/>
                      <w:autoSpaceDN w:val="0"/>
                      <w:adjustRightInd w:val="0"/>
                      <w:snapToGrid w:val="0"/>
                      <w:jc w:val="right"/>
                      <w:rPr>
                        <w:rFonts w:cs="Arial"/>
                        <w:color w:val="000000"/>
                        <w:sz w:val="20"/>
                        <w:szCs w:val="20"/>
                      </w:rPr>
                    </w:pPr>
                    <w:r w:rsidRPr="002735C9">
                      <w:rPr>
                        <w:rFonts w:cs="Arial"/>
                        <w:color w:val="000000"/>
                        <w:sz w:val="20"/>
                        <w:szCs w:val="20"/>
                      </w:rPr>
                      <w:t xml:space="preserve"> 5年 </w:t>
                    </w:r>
                  </w:p>
                </w:tc>
                <w:tc>
                  <w:tcPr>
                    <w:tcW w:w="113" w:type="dxa"/>
                    <w:tcBorders>
                      <w:top w:val="nil"/>
                      <w:left w:val="nil"/>
                      <w:bottom w:val="nil"/>
                      <w:right w:val="nil"/>
                    </w:tcBorders>
                    <w:shd w:val="clear" w:color="auto" w:fill="auto"/>
                    <w:noWrap/>
                    <w:vAlign w:val="center"/>
                    <w:hideMark/>
                  </w:tcPr>
                  <w:p w:rsidR="002735C9" w:rsidRPr="002735C9" w:rsidRDefault="002735C9" w:rsidP="00685147">
                    <w:pPr>
                      <w:kinsoku w:val="0"/>
                      <w:overflowPunct w:val="0"/>
                      <w:autoSpaceDE w:val="0"/>
                      <w:autoSpaceDN w:val="0"/>
                      <w:adjustRightInd w:val="0"/>
                      <w:snapToGrid w:val="0"/>
                      <w:jc w:val="right"/>
                      <w:rPr>
                        <w:rFonts w:cs="Arial"/>
                        <w:color w:val="000000"/>
                        <w:sz w:val="20"/>
                        <w:szCs w:val="20"/>
                      </w:rPr>
                    </w:pPr>
                    <w:r w:rsidRPr="002735C9">
                      <w:rPr>
                        <w:rFonts w:cs="Arial"/>
                        <w:color w:val="000000"/>
                        <w:sz w:val="20"/>
                        <w:szCs w:val="20"/>
                      </w:rPr>
                      <w:t xml:space="preserve"> </w:t>
                    </w:r>
                  </w:p>
                </w:tc>
              </w:tr>
              <w:tr w:rsidR="002735C9" w:rsidRPr="002735C9" w:rsidTr="00685147">
                <w:tc>
                  <w:tcPr>
                    <w:tcW w:w="3685" w:type="dxa"/>
                    <w:tcBorders>
                      <w:top w:val="nil"/>
                      <w:left w:val="nil"/>
                      <w:bottom w:val="nil"/>
                      <w:right w:val="nil"/>
                    </w:tcBorders>
                    <w:shd w:val="clear" w:color="auto" w:fill="auto"/>
                    <w:noWrap/>
                    <w:hideMark/>
                  </w:tcPr>
                  <w:p w:rsidR="002735C9" w:rsidRPr="002735C9" w:rsidRDefault="002735C9" w:rsidP="00685147">
                    <w:pPr>
                      <w:kinsoku w:val="0"/>
                      <w:overflowPunct w:val="0"/>
                      <w:autoSpaceDE w:val="0"/>
                      <w:autoSpaceDN w:val="0"/>
                      <w:adjustRightInd w:val="0"/>
                      <w:snapToGrid w:val="0"/>
                      <w:rPr>
                        <w:rFonts w:cs="Arial"/>
                        <w:sz w:val="20"/>
                        <w:szCs w:val="20"/>
                      </w:rPr>
                    </w:pPr>
                    <w:r w:rsidRPr="002735C9">
                      <w:rPr>
                        <w:rFonts w:cs="Arial"/>
                        <w:snapToGrid w:val="0"/>
                        <w:sz w:val="20"/>
                        <w:szCs w:val="20"/>
                      </w:rPr>
                      <w:t>其他</w:t>
                    </w:r>
                  </w:p>
                </w:tc>
                <w:tc>
                  <w:tcPr>
                    <w:tcW w:w="1700" w:type="dxa"/>
                    <w:tcBorders>
                      <w:top w:val="nil"/>
                      <w:left w:val="nil"/>
                      <w:bottom w:val="nil"/>
                      <w:right w:val="nil"/>
                    </w:tcBorders>
                    <w:shd w:val="clear" w:color="auto" w:fill="auto"/>
                    <w:noWrap/>
                    <w:vAlign w:val="center"/>
                    <w:hideMark/>
                  </w:tcPr>
                  <w:p w:rsidR="002735C9" w:rsidRPr="002735C9" w:rsidRDefault="002735C9" w:rsidP="00685147">
                    <w:pPr>
                      <w:kinsoku w:val="0"/>
                      <w:overflowPunct w:val="0"/>
                      <w:autoSpaceDE w:val="0"/>
                      <w:autoSpaceDN w:val="0"/>
                      <w:adjustRightInd w:val="0"/>
                      <w:snapToGrid w:val="0"/>
                      <w:rPr>
                        <w:rFonts w:cs="Arial"/>
                        <w:sz w:val="20"/>
                        <w:szCs w:val="20"/>
                      </w:rPr>
                    </w:pPr>
                    <w:r w:rsidRPr="002735C9">
                      <w:rPr>
                        <w:rFonts w:cs="Arial"/>
                        <w:color w:val="000000"/>
                        <w:sz w:val="20"/>
                        <w:szCs w:val="20"/>
                      </w:rPr>
                      <w:t xml:space="preserve"> </w:t>
                    </w:r>
                  </w:p>
                </w:tc>
                <w:tc>
                  <w:tcPr>
                    <w:tcW w:w="284" w:type="dxa"/>
                    <w:tcBorders>
                      <w:top w:val="nil"/>
                      <w:left w:val="nil"/>
                      <w:bottom w:val="nil"/>
                      <w:right w:val="nil"/>
                    </w:tcBorders>
                    <w:shd w:val="clear" w:color="auto" w:fill="auto"/>
                    <w:noWrap/>
                    <w:vAlign w:val="bottom"/>
                    <w:hideMark/>
                  </w:tcPr>
                  <w:p w:rsidR="002735C9" w:rsidRPr="002735C9" w:rsidRDefault="002735C9" w:rsidP="00685147">
                    <w:pPr>
                      <w:kinsoku w:val="0"/>
                      <w:overflowPunct w:val="0"/>
                      <w:autoSpaceDE w:val="0"/>
                      <w:autoSpaceDN w:val="0"/>
                      <w:adjustRightInd w:val="0"/>
                      <w:snapToGrid w:val="0"/>
                      <w:jc w:val="right"/>
                      <w:rPr>
                        <w:rFonts w:cs="Arial"/>
                        <w:sz w:val="20"/>
                        <w:szCs w:val="20"/>
                      </w:rPr>
                    </w:pPr>
                    <w:r w:rsidRPr="002735C9">
                      <w:rPr>
                        <w:rFonts w:cs="Arial"/>
                        <w:color w:val="000000"/>
                        <w:sz w:val="20"/>
                        <w:szCs w:val="20"/>
                      </w:rPr>
                      <w:t xml:space="preserve"> </w:t>
                    </w:r>
                  </w:p>
                </w:tc>
                <w:tc>
                  <w:tcPr>
                    <w:tcW w:w="132" w:type="dxa"/>
                    <w:tcBorders>
                      <w:top w:val="nil"/>
                      <w:left w:val="nil"/>
                      <w:bottom w:val="nil"/>
                      <w:right w:val="nil"/>
                    </w:tcBorders>
                    <w:shd w:val="clear" w:color="auto" w:fill="auto"/>
                    <w:noWrap/>
                    <w:vAlign w:val="bottom"/>
                    <w:hideMark/>
                  </w:tcPr>
                  <w:p w:rsidR="002735C9" w:rsidRPr="002735C9" w:rsidRDefault="002735C9" w:rsidP="00685147">
                    <w:pPr>
                      <w:kinsoku w:val="0"/>
                      <w:overflowPunct w:val="0"/>
                      <w:autoSpaceDE w:val="0"/>
                      <w:autoSpaceDN w:val="0"/>
                      <w:adjustRightInd w:val="0"/>
                      <w:snapToGrid w:val="0"/>
                      <w:jc w:val="right"/>
                      <w:rPr>
                        <w:rFonts w:cs="Arial"/>
                        <w:sz w:val="20"/>
                        <w:szCs w:val="20"/>
                      </w:rPr>
                    </w:pPr>
                    <w:r w:rsidRPr="002735C9">
                      <w:rPr>
                        <w:rFonts w:cs="Arial"/>
                        <w:color w:val="000000"/>
                        <w:sz w:val="20"/>
                        <w:szCs w:val="20"/>
                      </w:rPr>
                      <w:t xml:space="preserve"> </w:t>
                    </w:r>
                  </w:p>
                </w:tc>
                <w:tc>
                  <w:tcPr>
                    <w:tcW w:w="2531" w:type="dxa"/>
                    <w:tcBorders>
                      <w:top w:val="nil"/>
                      <w:left w:val="nil"/>
                      <w:bottom w:val="nil"/>
                      <w:right w:val="nil"/>
                    </w:tcBorders>
                    <w:shd w:val="clear" w:color="auto" w:fill="auto"/>
                    <w:noWrap/>
                    <w:vAlign w:val="bottom"/>
                    <w:hideMark/>
                  </w:tcPr>
                  <w:p w:rsidR="002735C9" w:rsidRPr="002735C9" w:rsidRDefault="002735C9" w:rsidP="00685147">
                    <w:pPr>
                      <w:kinsoku w:val="0"/>
                      <w:overflowPunct w:val="0"/>
                      <w:autoSpaceDE w:val="0"/>
                      <w:autoSpaceDN w:val="0"/>
                      <w:adjustRightInd w:val="0"/>
                      <w:snapToGrid w:val="0"/>
                      <w:jc w:val="right"/>
                      <w:rPr>
                        <w:rFonts w:cs="Arial"/>
                        <w:sz w:val="20"/>
                        <w:szCs w:val="20"/>
                      </w:rPr>
                    </w:pPr>
                    <w:r w:rsidRPr="002735C9">
                      <w:rPr>
                        <w:rFonts w:cs="Arial"/>
                        <w:color w:val="000000"/>
                        <w:sz w:val="20"/>
                        <w:szCs w:val="20"/>
                      </w:rPr>
                      <w:t>权属企业受益年限</w:t>
                    </w:r>
                  </w:p>
                </w:tc>
                <w:tc>
                  <w:tcPr>
                    <w:tcW w:w="113" w:type="dxa"/>
                    <w:tcBorders>
                      <w:top w:val="nil"/>
                      <w:left w:val="nil"/>
                      <w:bottom w:val="nil"/>
                      <w:right w:val="nil"/>
                    </w:tcBorders>
                    <w:shd w:val="clear" w:color="auto" w:fill="auto"/>
                    <w:noWrap/>
                    <w:vAlign w:val="center"/>
                    <w:hideMark/>
                  </w:tcPr>
                  <w:p w:rsidR="002735C9" w:rsidRPr="002735C9" w:rsidRDefault="002735C9" w:rsidP="00685147">
                    <w:pPr>
                      <w:kinsoku w:val="0"/>
                      <w:overflowPunct w:val="0"/>
                      <w:autoSpaceDE w:val="0"/>
                      <w:autoSpaceDN w:val="0"/>
                      <w:adjustRightInd w:val="0"/>
                      <w:snapToGrid w:val="0"/>
                      <w:jc w:val="right"/>
                      <w:rPr>
                        <w:rFonts w:cs="Arial"/>
                        <w:sz w:val="20"/>
                        <w:szCs w:val="20"/>
                      </w:rPr>
                    </w:pPr>
                    <w:r w:rsidRPr="002735C9">
                      <w:rPr>
                        <w:rFonts w:cs="Arial"/>
                        <w:color w:val="000000"/>
                        <w:sz w:val="20"/>
                        <w:szCs w:val="20"/>
                      </w:rPr>
                      <w:t xml:space="preserve"> </w:t>
                    </w:r>
                  </w:p>
                </w:tc>
              </w:tr>
            </w:tbl>
            <w:bookmarkEnd w:id="82"/>
            <w:p w:rsidR="002735C9" w:rsidRPr="002735C9" w:rsidRDefault="002735C9" w:rsidP="002735C9">
              <w:pPr>
                <w:rPr>
                  <w:szCs w:val="21"/>
                </w:rPr>
              </w:pPr>
              <w:r w:rsidRPr="002735C9">
                <w:rPr>
                  <w:szCs w:val="21"/>
                </w:rPr>
                <w:t xml:space="preserve"> </w:t>
              </w:r>
              <w:r w:rsidRPr="002735C9">
                <w:rPr>
                  <w:szCs w:val="21"/>
                </w:rPr>
                <w:tab/>
                <w:t xml:space="preserve"> </w:t>
              </w:r>
              <w:r w:rsidRPr="002735C9">
                <w:rPr>
                  <w:szCs w:val="21"/>
                </w:rPr>
                <w:tab/>
                <w:t xml:space="preserve"> </w:t>
              </w:r>
              <w:r w:rsidRPr="002735C9">
                <w:rPr>
                  <w:szCs w:val="21"/>
                </w:rPr>
                <w:tab/>
                <w:t xml:space="preserve"> </w:t>
              </w:r>
              <w:r w:rsidRPr="002735C9">
                <w:rPr>
                  <w:szCs w:val="21"/>
                </w:rPr>
                <w:tab/>
                <w:t xml:space="preserve"> </w:t>
              </w:r>
              <w:r w:rsidRPr="002735C9">
                <w:rPr>
                  <w:szCs w:val="21"/>
                </w:rPr>
                <w:tab/>
                <w:t xml:space="preserve"> </w:t>
              </w:r>
            </w:p>
            <w:p w:rsidR="002735C9" w:rsidRPr="002735C9" w:rsidRDefault="002735C9" w:rsidP="002735C9">
              <w:pPr>
                <w:rPr>
                  <w:szCs w:val="21"/>
                </w:rPr>
              </w:pPr>
            </w:p>
            <w:p w:rsidR="002735C9" w:rsidRPr="002735C9" w:rsidRDefault="002735C9" w:rsidP="002735C9">
              <w:pPr>
                <w:rPr>
                  <w:szCs w:val="21"/>
                </w:rPr>
              </w:pPr>
              <w:r w:rsidRPr="002735C9">
                <w:rPr>
                  <w:rFonts w:hint="eastAsia"/>
                  <w:szCs w:val="21"/>
                </w:rPr>
                <w:t>本集团取得的土地使用权，通常作为无形资产核算。自行开发建造厂房等建筑物，相关的土地使用权和建筑物分别作为无形资产和固定资产核算。外购土地及建筑物支付的价款在土地使用权和建筑物之间进行分配，难以合理分配的，全部作为固定资产处理。</w:t>
              </w:r>
            </w:p>
            <w:p w:rsidR="002735C9" w:rsidRPr="002735C9" w:rsidRDefault="002735C9" w:rsidP="002735C9">
              <w:pPr>
                <w:rPr>
                  <w:szCs w:val="21"/>
                </w:rPr>
              </w:pPr>
            </w:p>
            <w:p w:rsidR="002735C9" w:rsidRPr="002735C9" w:rsidRDefault="002735C9" w:rsidP="002735C9">
              <w:pPr>
                <w:rPr>
                  <w:szCs w:val="21"/>
                </w:rPr>
              </w:pPr>
              <w:r w:rsidRPr="002735C9">
                <w:rPr>
                  <w:rFonts w:hint="eastAsia"/>
                  <w:szCs w:val="21"/>
                </w:rPr>
                <w:t>使用寿命有限的无形资产，在其使用寿命内采用直线法摊销。本集团至少于每年年度终了，对使用寿命有限的无形资产的使用寿命及摊销方法进行复核，必要时进行调整。其中，其他无形资产包括客户关系、营销网络、非竞争性协议和已签合同等。</w:t>
              </w:r>
            </w:p>
            <w:p w:rsidR="002735C9" w:rsidRPr="002735C9" w:rsidRDefault="002735C9" w:rsidP="002735C9">
              <w:pPr>
                <w:rPr>
                  <w:szCs w:val="21"/>
                </w:rPr>
              </w:pPr>
            </w:p>
            <w:p w:rsidR="002735C9" w:rsidRPr="002735C9" w:rsidRDefault="002735C9" w:rsidP="002735C9">
              <w:pPr>
                <w:rPr>
                  <w:szCs w:val="21"/>
                </w:rPr>
              </w:pPr>
              <w:r w:rsidRPr="002735C9">
                <w:rPr>
                  <w:rFonts w:hint="eastAsia"/>
                  <w:szCs w:val="21"/>
                </w:rPr>
                <w:t>对使用寿命不确定的无形资产，无论是否存在减值迹象，每年均进行减值测试。此类无形资产不予摊销，在每个会计期间对其使用寿命进行复核。如果有证据表明使用寿命是有限的，则按上述使用寿命有限的无形资产的政策进行会计处理。</w:t>
              </w:r>
            </w:p>
            <w:p w:rsidR="00ED2DC7" w:rsidRDefault="000D0A99">
              <w:pPr>
                <w:rPr>
                  <w:szCs w:val="21"/>
                </w:rPr>
              </w:pPr>
            </w:p>
          </w:sdtContent>
        </w:sdt>
        <w:p w:rsidR="00ED2DC7" w:rsidRDefault="00ED2DC7">
          <w:pPr>
            <w:rPr>
              <w:szCs w:val="21"/>
            </w:rPr>
          </w:pPr>
        </w:p>
        <w:p w:rsidR="00ED2DC7" w:rsidRDefault="00ED2DC7" w:rsidP="00036BDC">
          <w:pPr>
            <w:pStyle w:val="affffffffffffffffff2"/>
            <w:numPr>
              <w:ilvl w:val="3"/>
              <w:numId w:val="41"/>
            </w:numPr>
            <w:tabs>
              <w:tab w:val="left" w:pos="448"/>
            </w:tabs>
          </w:pPr>
          <w:r>
            <w:rPr>
              <w:rFonts w:hint="eastAsia"/>
            </w:rPr>
            <w:t>内部研究开发支出会计政策</w:t>
          </w:r>
        </w:p>
        <w:sdt>
          <w:sdtPr>
            <w:rPr>
              <w:rFonts w:hint="eastAsia"/>
              <w:szCs w:val="21"/>
            </w:rPr>
            <w:alias w:val="是否适用：无形资产内部研究开发支出会计政策[双击切换]"/>
            <w:tag w:val="_GBC_c3cef4c9f19749b8a53b7f49d3b7bac3"/>
            <w:id w:val="1261796351"/>
            <w:lock w:val="sdtContentLocked"/>
            <w:placeholder>
              <w:docPart w:val="GBC22222222222222222222222222222"/>
            </w:placeholder>
          </w:sdtPr>
          <w:sdtContent>
            <w:p w:rsidR="00B637B2" w:rsidRDefault="00ED2DC7" w:rsidP="002735C9">
              <w:pPr>
                <w:rPr>
                  <w:szCs w:val="21"/>
                </w:rPr>
              </w:pPr>
              <w:r>
                <w:rPr>
                  <w:szCs w:val="21"/>
                </w:rPr>
                <w:fldChar w:fldCharType="begin"/>
              </w:r>
              <w:r w:rsidR="008F04CF">
                <w:rPr>
                  <w:szCs w:val="21"/>
                </w:rPr>
                <w:instrText xml:space="preserve"> MACROBUTTON  SnrToggleCheckbox √适用 </w:instrText>
              </w:r>
              <w:r>
                <w:rPr>
                  <w:szCs w:val="21"/>
                </w:rPr>
                <w:fldChar w:fldCharType="end"/>
              </w:r>
              <w:r>
                <w:rPr>
                  <w:szCs w:val="21"/>
                </w:rPr>
                <w:fldChar w:fldCharType="begin"/>
              </w:r>
              <w:r w:rsidR="008F04CF">
                <w:rPr>
                  <w:szCs w:val="21"/>
                </w:rPr>
                <w:instrText xml:space="preserve"> MACROBUTTON  SnrToggleCheckbox □不适用 </w:instrText>
              </w:r>
              <w:r>
                <w:rPr>
                  <w:szCs w:val="21"/>
                </w:rPr>
                <w:fldChar w:fldCharType="end"/>
              </w:r>
            </w:p>
          </w:sdtContent>
        </w:sdt>
        <w:sdt>
          <w:sdtPr>
            <w:rPr>
              <w:szCs w:val="21"/>
            </w:rPr>
            <w:alias w:val="无形资产内部研究、开发支出会计政策"/>
            <w:tag w:val="_GBC_af7b1338d88344dfb8cd34ed66bfe672"/>
            <w:id w:val="1263641815"/>
            <w:lock w:val="sdtLocked"/>
          </w:sdtPr>
          <w:sdtContent>
            <w:p w:rsidR="00B637B2" w:rsidRPr="002735C9" w:rsidRDefault="008F04CF" w:rsidP="00B637B2">
              <w:pPr>
                <w:rPr>
                  <w:szCs w:val="21"/>
                </w:rPr>
              </w:pPr>
              <w:r w:rsidRPr="002735C9">
                <w:rPr>
                  <w:rFonts w:hint="eastAsia"/>
                  <w:szCs w:val="21"/>
                </w:rPr>
                <w:t>本集团将内部研究开发项目的支出，区分为研究阶段支出和开发阶段支出。研究阶段的支出，于发生时计入当期损益。开发阶段的支出，只有在同时满足下列条件时，才能予以资本化，即：完成该无形资产以使其能够使用或出售在技术上具有可行性；具有完成该无形资产并使用或出售的意图；无形资产产生经济利益的方式，包括能够证明运用该无形资产生产的产品存在市场或无形资产自身存在市场，无形资产将在内部使用的，能够证明其有用性；有足够的技术、财务资源和其他资源支持，以完成该无形资产的开发，并有能力使用或出售该无形资产；归属于该无形资产开发阶段的支出能够可靠地计量。不满足上述条件的开发支出，于发生时计入当期损益。</w:t>
              </w:r>
            </w:p>
            <w:p w:rsidR="00B637B2" w:rsidRDefault="000D0A99">
              <w:pPr>
                <w:rPr>
                  <w:szCs w:val="21"/>
                </w:rPr>
              </w:pPr>
            </w:p>
          </w:sdtContent>
        </w:sdt>
        <w:p w:rsidR="00ED2DC7" w:rsidRDefault="000D0A99" w:rsidP="002735C9">
          <w:pPr>
            <w:rPr>
              <w:szCs w:val="21"/>
            </w:rPr>
          </w:pPr>
        </w:p>
      </w:sdtContent>
    </w:sdt>
    <w:p w:rsidR="00ED2DC7" w:rsidRDefault="00ED2DC7">
      <w:pPr>
        <w:rPr>
          <w:szCs w:val="21"/>
        </w:rPr>
      </w:pPr>
    </w:p>
    <w:sdt>
      <w:sdtPr>
        <w:rPr>
          <w:rFonts w:ascii="宋体" w:hAnsi="宋体" w:cs="宋体" w:hint="eastAsia"/>
          <w:b w:val="0"/>
          <w:bCs w:val="0"/>
          <w:kern w:val="0"/>
          <w:szCs w:val="21"/>
        </w:rPr>
        <w:alias w:val="模块:非金融长期资产减值"/>
        <w:tag w:val="_GBC_da2f3f0531094e5e9dcd987c45223bec"/>
        <w:id w:val="1216161501"/>
        <w:lock w:val="sdtLocked"/>
        <w:placeholder>
          <w:docPart w:val="GBC22222222222222222222222222222"/>
        </w:placeholder>
      </w:sdtPr>
      <w:sdtContent>
        <w:p w:rsidR="00ED2DC7" w:rsidRDefault="00ED2DC7" w:rsidP="00036BDC">
          <w:pPr>
            <w:pStyle w:val="affffffffffffffffff1"/>
            <w:numPr>
              <w:ilvl w:val="0"/>
              <w:numId w:val="38"/>
            </w:numPr>
            <w:rPr>
              <w:szCs w:val="21"/>
            </w:rPr>
          </w:pPr>
          <w:r>
            <w:rPr>
              <w:rFonts w:hint="eastAsia"/>
              <w:szCs w:val="21"/>
            </w:rPr>
            <w:t>长期资产减值</w:t>
          </w:r>
        </w:p>
        <w:sdt>
          <w:sdtPr>
            <w:rPr>
              <w:rFonts w:hint="eastAsia"/>
              <w:szCs w:val="21"/>
            </w:rPr>
            <w:alias w:val="是否适用：长期资产减值_重要会计政策和估计[双击切换]"/>
            <w:tag w:val="_GBC_3356cd8d171f4198ba007022c32dbcf8"/>
            <w:id w:val="833575656"/>
            <w:lock w:val="sdtContentLocked"/>
            <w:placeholder>
              <w:docPart w:val="GBC22222222222222222222222222222"/>
            </w:placeholder>
          </w:sdtPr>
          <w:sdtContent>
            <w:p w:rsidR="00ED2DC7" w:rsidRDefault="00ED2DC7">
              <w:pPr>
                <w:rPr>
                  <w:szCs w:val="21"/>
                </w:rPr>
              </w:pPr>
              <w:r>
                <w:rPr>
                  <w:szCs w:val="21"/>
                </w:rPr>
                <w:fldChar w:fldCharType="begin"/>
              </w:r>
              <w:r w:rsidR="004A22CB">
                <w:rPr>
                  <w:szCs w:val="21"/>
                </w:rPr>
                <w:instrText xml:space="preserve"> MACROBUTTON  SnrToggleCheckbox √适用 </w:instrText>
              </w:r>
              <w:r>
                <w:rPr>
                  <w:szCs w:val="21"/>
                </w:rPr>
                <w:fldChar w:fldCharType="end"/>
              </w:r>
              <w:r>
                <w:rPr>
                  <w:szCs w:val="21"/>
                </w:rPr>
                <w:fldChar w:fldCharType="begin"/>
              </w:r>
              <w:r w:rsidR="004A22CB">
                <w:rPr>
                  <w:szCs w:val="21"/>
                </w:rPr>
                <w:instrText xml:space="preserve"> MACROBUTTON  SnrToggleCheckbox □不适用 </w:instrText>
              </w:r>
              <w:r>
                <w:rPr>
                  <w:szCs w:val="21"/>
                </w:rPr>
                <w:fldChar w:fldCharType="end"/>
              </w:r>
            </w:p>
          </w:sdtContent>
        </w:sdt>
        <w:sdt>
          <w:sdtPr>
            <w:rPr>
              <w:rFonts w:hint="eastAsia"/>
              <w:szCs w:val="21"/>
            </w:rPr>
            <w:alias w:val="非金融长期资产减值测试方法及会计处理方法"/>
            <w:tag w:val="_GBC_0a065c1269a846f6923598a2c1fc4269"/>
            <w:id w:val="-882716923"/>
            <w:lock w:val="sdtLocked"/>
            <w:placeholder>
              <w:docPart w:val="GBC22222222222222222222222222222"/>
            </w:placeholder>
          </w:sdtPr>
          <w:sdtContent>
            <w:p w:rsidR="002735C9" w:rsidRPr="002735C9" w:rsidRDefault="002735C9" w:rsidP="002735C9">
              <w:pPr>
                <w:rPr>
                  <w:szCs w:val="21"/>
                </w:rPr>
              </w:pPr>
              <w:r w:rsidRPr="002735C9">
                <w:rPr>
                  <w:rFonts w:hint="eastAsia"/>
                  <w:szCs w:val="21"/>
                </w:rPr>
                <w:t>本集团对除存货、递延所得税、金融资产外的资产减值，按以下方法确定：</w:t>
              </w:r>
            </w:p>
            <w:p w:rsidR="002735C9" w:rsidRPr="002735C9" w:rsidRDefault="002735C9" w:rsidP="002735C9">
              <w:pPr>
                <w:rPr>
                  <w:szCs w:val="21"/>
                </w:rPr>
              </w:pPr>
              <w:r w:rsidRPr="002735C9">
                <w:rPr>
                  <w:szCs w:val="21"/>
                </w:rPr>
                <w:tab/>
              </w:r>
            </w:p>
            <w:p w:rsidR="002735C9" w:rsidRPr="002735C9" w:rsidRDefault="002735C9" w:rsidP="002735C9">
              <w:pPr>
                <w:rPr>
                  <w:szCs w:val="21"/>
                </w:rPr>
              </w:pPr>
              <w:r w:rsidRPr="002735C9">
                <w:rPr>
                  <w:rFonts w:hint="eastAsia"/>
                  <w:szCs w:val="21"/>
                </w:rPr>
                <w:t>本集团于资产负债表日判断资产是否存在可能发生减值的迹象，存在减值迹象的，本集团将估计其可收回金额，进行减值测试。对因企业合并所形成的商誉和使用寿命不确定的无形资产，无论是否存在减值迹象，至少于每年末进行减值测试。对于尚未达到可使用状态的无形资产，也每年进行减值测试。</w:t>
              </w:r>
            </w:p>
            <w:p w:rsidR="002735C9" w:rsidRPr="002735C9" w:rsidRDefault="002735C9" w:rsidP="002735C9">
              <w:pPr>
                <w:rPr>
                  <w:szCs w:val="21"/>
                </w:rPr>
              </w:pPr>
            </w:p>
            <w:p w:rsidR="002735C9" w:rsidRPr="002735C9" w:rsidRDefault="002735C9" w:rsidP="002735C9">
              <w:pPr>
                <w:rPr>
                  <w:szCs w:val="21"/>
                </w:rPr>
              </w:pPr>
              <w:r w:rsidRPr="002735C9">
                <w:rPr>
                  <w:rFonts w:hint="eastAsia"/>
                  <w:szCs w:val="21"/>
                </w:rPr>
                <w:t>可收回金额根据资产的公允价值减去处置费用后的净额与资产预计未来现金流量的现值两者之间较高者确定。本集团以单项资产为基础估计其可收回金额；难以对单项资产的可收回金额进行估</w:t>
              </w:r>
              <w:r w:rsidRPr="002735C9">
                <w:rPr>
                  <w:rFonts w:hint="eastAsia"/>
                  <w:szCs w:val="21"/>
                </w:rPr>
                <w:lastRenderedPageBreak/>
                <w:t>计的，以该资产所属的资产组为基础确定资产组的可收回金额。资产组的认定，以资产组产生的主要现金流入是否独立于其他资产或者资产组的现金流入为依据。</w:t>
              </w:r>
            </w:p>
            <w:p w:rsidR="002735C9" w:rsidRPr="002735C9" w:rsidRDefault="002735C9" w:rsidP="002735C9">
              <w:pPr>
                <w:rPr>
                  <w:szCs w:val="21"/>
                </w:rPr>
              </w:pPr>
            </w:p>
            <w:p w:rsidR="002735C9" w:rsidRPr="002735C9" w:rsidRDefault="002735C9" w:rsidP="002735C9">
              <w:pPr>
                <w:rPr>
                  <w:szCs w:val="21"/>
                </w:rPr>
              </w:pPr>
              <w:r w:rsidRPr="002735C9">
                <w:rPr>
                  <w:rFonts w:hint="eastAsia"/>
                  <w:szCs w:val="21"/>
                </w:rPr>
                <w:t>当资产或者资产组的可收回金额低于其账面价值时，本集团将其账面价值减记至可收回金额，减记的金额计入当期损益，同时计提相应的资产减值准备。</w:t>
              </w:r>
            </w:p>
            <w:p w:rsidR="002735C9" w:rsidRPr="002735C9" w:rsidRDefault="002735C9" w:rsidP="002735C9">
              <w:pPr>
                <w:rPr>
                  <w:szCs w:val="21"/>
                </w:rPr>
              </w:pPr>
            </w:p>
            <w:p w:rsidR="002735C9" w:rsidRPr="002735C9" w:rsidRDefault="002735C9" w:rsidP="002735C9">
              <w:pPr>
                <w:rPr>
                  <w:szCs w:val="21"/>
                </w:rPr>
              </w:pPr>
              <w:r w:rsidRPr="002735C9">
                <w:rPr>
                  <w:rFonts w:hint="eastAsia"/>
                  <w:szCs w:val="21"/>
                </w:rPr>
                <w:t>就商誉的减值测试而言，对于因企业合并形成的商誉的账面价值，自购买日起按照合理的方法分摊至相关的资产组；难以分摊至相关的资产组的，将其分摊至相关的资产组组合。相关的资产组或者资产组组合，是能够从企业合并的协同效应中受益的资产组或者资产组组合，且不大于本集团确定的报告分部。</w:t>
              </w:r>
            </w:p>
            <w:p w:rsidR="002735C9" w:rsidRPr="002735C9" w:rsidRDefault="002735C9" w:rsidP="002735C9">
              <w:pPr>
                <w:rPr>
                  <w:szCs w:val="21"/>
                </w:rPr>
              </w:pPr>
            </w:p>
            <w:p w:rsidR="002735C9" w:rsidRPr="002735C9" w:rsidRDefault="002735C9" w:rsidP="002735C9">
              <w:pPr>
                <w:rPr>
                  <w:szCs w:val="21"/>
                </w:rPr>
              </w:pPr>
              <w:r w:rsidRPr="002735C9">
                <w:rPr>
                  <w:rFonts w:hint="eastAsia"/>
                  <w:szCs w:val="21"/>
                </w:rPr>
                <w:t>对包含商誉的相关资产组或者资产组组合进行减值测试时，如与商誉相关的资产组或者资产组组合存在减值迹象的，首先对不包含商誉的资产组或者资产组组合进行减值测试，计算可收回金额，确认相应的减值损失。然后对包含商誉的资产组或者资产组组合进行减值测试，比较其账面价值与可收回金额，如可收回金额低于账面价值的，减值损失金额首先抵减分摊至资产组或者资产组组合中商誉的账面价值，再根据资产组或者资产组组合中除商誉之外的其他各项资产的账面价值所占比重，按比例抵减其他各项资产的账面价值。</w:t>
              </w:r>
            </w:p>
            <w:p w:rsidR="002735C9" w:rsidRPr="002735C9" w:rsidRDefault="002735C9" w:rsidP="002735C9">
              <w:pPr>
                <w:rPr>
                  <w:szCs w:val="21"/>
                </w:rPr>
              </w:pPr>
            </w:p>
            <w:p w:rsidR="00ED2DC7" w:rsidRDefault="002735C9" w:rsidP="002735C9">
              <w:pPr>
                <w:rPr>
                  <w:szCs w:val="21"/>
                </w:rPr>
              </w:pPr>
              <w:r w:rsidRPr="002735C9">
                <w:rPr>
                  <w:rFonts w:hint="eastAsia"/>
                  <w:szCs w:val="21"/>
                </w:rPr>
                <w:t>上述资产减值损失一经确认，在以后会计期间不再转回。</w:t>
              </w:r>
            </w:p>
          </w:sdtContent>
        </w:sdt>
      </w:sdtContent>
    </w:sdt>
    <w:p w:rsidR="00ED2DC7" w:rsidRDefault="00ED2DC7">
      <w:pPr>
        <w:rPr>
          <w:szCs w:val="21"/>
        </w:rPr>
      </w:pPr>
    </w:p>
    <w:sdt>
      <w:sdtPr>
        <w:rPr>
          <w:rFonts w:asciiTheme="minorHAnsi" w:hAnsiTheme="minorHAnsi" w:cs="宋体"/>
          <w:b w:val="0"/>
          <w:bCs w:val="0"/>
          <w:kern w:val="0"/>
          <w:szCs w:val="22"/>
        </w:rPr>
        <w:alias w:val="模块:长期待摊费用会计处理方法"/>
        <w:tag w:val="_GBC_fffe6f948ebb468ba812d16acce5c0b9"/>
        <w:id w:val="-74435314"/>
        <w:lock w:val="sdtLocked"/>
        <w:placeholder>
          <w:docPart w:val="GBC22222222222222222222222222222"/>
        </w:placeholder>
      </w:sdtPr>
      <w:sdtEndPr>
        <w:rPr>
          <w:rFonts w:ascii="宋体" w:hAnsi="宋体" w:cs="Times New Roman" w:hint="eastAsia"/>
          <w:kern w:val="2"/>
          <w:szCs w:val="21"/>
        </w:rPr>
      </w:sdtEndPr>
      <w:sdtContent>
        <w:p w:rsidR="00ED2DC7" w:rsidRDefault="00ED2DC7" w:rsidP="00036BDC">
          <w:pPr>
            <w:pStyle w:val="affffffffffffffffff1"/>
            <w:numPr>
              <w:ilvl w:val="0"/>
              <w:numId w:val="38"/>
            </w:numPr>
          </w:pPr>
          <w:r>
            <w:t>长期待摊费用</w:t>
          </w:r>
        </w:p>
        <w:sdt>
          <w:sdtPr>
            <w:rPr>
              <w:rFonts w:hint="eastAsia"/>
              <w:szCs w:val="21"/>
            </w:rPr>
            <w:alias w:val="是否适用：长期待摊费用_重要会计政策和估计[双击切换]"/>
            <w:tag w:val="_GBC_285460052d954f1e8417bf2295b41abe"/>
            <w:id w:val="982963015"/>
            <w:lock w:val="sdtContentLocked"/>
            <w:placeholder>
              <w:docPart w:val="GBC22222222222222222222222222222"/>
            </w:placeholder>
          </w:sdtPr>
          <w:sdtContent>
            <w:p w:rsidR="00ED2DC7" w:rsidRDefault="00ED2DC7">
              <w:pPr>
                <w:rPr>
                  <w:szCs w:val="21"/>
                </w:rPr>
              </w:pPr>
              <w:r>
                <w:rPr>
                  <w:szCs w:val="21"/>
                </w:rPr>
                <w:fldChar w:fldCharType="begin"/>
              </w:r>
              <w:r w:rsidR="004A22CB">
                <w:rPr>
                  <w:szCs w:val="21"/>
                </w:rPr>
                <w:instrText xml:space="preserve"> MACROBUTTON  SnrToggleCheckbox √适用 </w:instrText>
              </w:r>
              <w:r>
                <w:rPr>
                  <w:szCs w:val="21"/>
                </w:rPr>
                <w:fldChar w:fldCharType="end"/>
              </w:r>
              <w:r>
                <w:rPr>
                  <w:szCs w:val="21"/>
                </w:rPr>
                <w:fldChar w:fldCharType="begin"/>
              </w:r>
              <w:r w:rsidR="004A22CB">
                <w:rPr>
                  <w:szCs w:val="21"/>
                </w:rPr>
                <w:instrText xml:space="preserve"> MACROBUTTON  SnrToggleCheckbox □不适用 </w:instrText>
              </w:r>
              <w:r>
                <w:rPr>
                  <w:szCs w:val="21"/>
                </w:rPr>
                <w:fldChar w:fldCharType="end"/>
              </w:r>
            </w:p>
          </w:sdtContent>
        </w:sdt>
        <w:sdt>
          <w:sdtPr>
            <w:rPr>
              <w:rFonts w:hint="eastAsia"/>
              <w:szCs w:val="21"/>
            </w:rPr>
            <w:alias w:val="开办费、长期待摊费用摊销方法"/>
            <w:tag w:val="_GBC_a0e2b7a5a9454eaea97ca201421d7dde"/>
            <w:id w:val="1101299673"/>
            <w:lock w:val="sdtLocked"/>
            <w:placeholder>
              <w:docPart w:val="GBC22222222222222222222222222222"/>
            </w:placeholder>
          </w:sdtPr>
          <w:sdtContent>
            <w:p w:rsidR="00ED2DC7" w:rsidRDefault="002735C9">
              <w:pPr>
                <w:rPr>
                  <w:szCs w:val="21"/>
                </w:rPr>
              </w:pPr>
              <w:r w:rsidRPr="002735C9">
                <w:rPr>
                  <w:rFonts w:hint="eastAsia"/>
                  <w:szCs w:val="21"/>
                </w:rPr>
                <w:t>本集团的长期待摊费用是指企业已经支出，但摊销年限在</w:t>
              </w:r>
              <w:r w:rsidRPr="002735C9">
                <w:rPr>
                  <w:szCs w:val="21"/>
                </w:rPr>
                <w:t>1年以上的各项费用或因收购一些资产及业务而付出的收购对价超出收购资产的账面金额的部分。长期待摊费用在受益期限内采用直线法摊销。</w:t>
              </w:r>
            </w:p>
          </w:sdtContent>
        </w:sdt>
      </w:sdtContent>
    </w:sdt>
    <w:p w:rsidR="00ED2DC7" w:rsidRDefault="00ED2DC7">
      <w:pPr>
        <w:rPr>
          <w:szCs w:val="21"/>
        </w:rPr>
      </w:pPr>
    </w:p>
    <w:bookmarkStart w:id="83" w:name="_Hlk10465482" w:displacedByCustomXml="next"/>
    <w:sdt>
      <w:sdtPr>
        <w:rPr>
          <w:rFonts w:ascii="宋体" w:hAnsi="宋体" w:cs="宋体" w:hint="eastAsia"/>
          <w:b w:val="0"/>
          <w:bCs w:val="0"/>
          <w:kern w:val="0"/>
          <w:szCs w:val="21"/>
        </w:rPr>
        <w:alias w:val="模块:合同负债"/>
        <w:tag w:val="_SEC_2988762bdf3a48178e0180a615cb7705"/>
        <w:id w:val="1229571549"/>
        <w:lock w:val="sdtLocked"/>
        <w:placeholder>
          <w:docPart w:val="GBC22222222222222222222222222222"/>
        </w:placeholder>
      </w:sdtPr>
      <w:sdtEndPr>
        <w:rPr>
          <w:szCs w:val="24"/>
        </w:rPr>
      </w:sdtEndPr>
      <w:sdtContent>
        <w:p w:rsidR="00ED2DC7" w:rsidRDefault="00ED2DC7" w:rsidP="00036BDC">
          <w:pPr>
            <w:pStyle w:val="affffffffffffffffff1"/>
            <w:numPr>
              <w:ilvl w:val="0"/>
              <w:numId w:val="38"/>
            </w:numPr>
            <w:rPr>
              <w:szCs w:val="21"/>
            </w:rPr>
          </w:pPr>
          <w:r>
            <w:rPr>
              <w:rFonts w:hint="eastAsia"/>
              <w:szCs w:val="21"/>
            </w:rPr>
            <w:t>合同负债</w:t>
          </w:r>
        </w:p>
        <w:p w:rsidR="00ED2DC7" w:rsidRDefault="00ED2DC7">
          <w:pPr>
            <w:pStyle w:val="affffffffffffffffff2"/>
          </w:pPr>
          <w:r>
            <w:rPr>
              <w:rFonts w:hint="eastAsia"/>
            </w:rPr>
            <w:t>合同负债的确认方法</w:t>
          </w:r>
        </w:p>
        <w:sdt>
          <w:sdtPr>
            <w:rPr>
              <w:szCs w:val="21"/>
            </w:rPr>
            <w:alias w:val="是否适用：合同负债的确定方法、摊销方法和减值测试方法[双击切换]"/>
            <w:tag w:val="_GBC_f210968f2ea04a338a3253827b172c25"/>
            <w:id w:val="-1639102859"/>
            <w:lock w:val="sdtContentLocked"/>
            <w:placeholder>
              <w:docPart w:val="GBC22222222222222222222222222222"/>
            </w:placeholder>
          </w:sdtPr>
          <w:sdtContent>
            <w:p w:rsidR="00ED2DC7" w:rsidRDefault="00ED2DC7" w:rsidP="00685147">
              <w:pPr>
                <w:rPr>
                  <w:szCs w:val="21"/>
                </w:rPr>
              </w:pPr>
              <w:r>
                <w:rPr>
                  <w:szCs w:val="21"/>
                </w:rPr>
                <w:fldChar w:fldCharType="begin"/>
              </w:r>
              <w:r w:rsidR="00685147">
                <w:rPr>
                  <w:szCs w:val="21"/>
                </w:rPr>
                <w:instrText xml:space="preserve"> MACROBUTTON  SnrToggleCheckbox □适用 </w:instrText>
              </w:r>
              <w:r>
                <w:rPr>
                  <w:szCs w:val="21"/>
                </w:rPr>
                <w:fldChar w:fldCharType="end"/>
              </w:r>
              <w:r>
                <w:rPr>
                  <w:szCs w:val="21"/>
                </w:rPr>
                <w:fldChar w:fldCharType="begin"/>
              </w:r>
              <w:r w:rsidR="00685147">
                <w:rPr>
                  <w:szCs w:val="21"/>
                </w:rPr>
                <w:instrText xml:space="preserve"> MACROBUTTON  SnrToggleCheckbox √不适用 </w:instrText>
              </w:r>
              <w:r>
                <w:rPr>
                  <w:szCs w:val="21"/>
                </w:rPr>
                <w:fldChar w:fldCharType="end"/>
              </w:r>
            </w:p>
          </w:sdtContent>
        </w:sdt>
        <w:p w:rsidR="00ED2DC7" w:rsidRDefault="000D0A99"/>
      </w:sdtContent>
    </w:sdt>
    <w:bookmarkEnd w:id="83" w:displacedByCustomXml="prev"/>
    <w:sdt>
      <w:sdtPr>
        <w:rPr>
          <w:rFonts w:asciiTheme="minorHAnsi" w:hAnsiTheme="minorHAnsi" w:cstheme="minorBidi" w:hint="eastAsia"/>
          <w:b w:val="0"/>
          <w:bCs w:val="0"/>
          <w:kern w:val="0"/>
          <w:szCs w:val="22"/>
        </w:rPr>
        <w:alias w:val="模块:职工薪酬"/>
        <w:tag w:val="_GBC_8ec8855eb4d5447ab785e4bd4b0b73aa"/>
        <w:id w:val="-1701008637"/>
        <w:lock w:val="sdtLocked"/>
        <w:placeholder>
          <w:docPart w:val="GBC22222222222222222222222222222"/>
        </w:placeholder>
      </w:sdtPr>
      <w:sdtEndPr>
        <w:rPr>
          <w:rFonts w:ascii="宋体" w:hAnsi="宋体" w:cs="Times New Roman"/>
          <w:szCs w:val="21"/>
        </w:rPr>
      </w:sdtEndPr>
      <w:sdtContent>
        <w:p w:rsidR="00ED2DC7" w:rsidRDefault="00ED2DC7" w:rsidP="00036BDC">
          <w:pPr>
            <w:pStyle w:val="affffffffffffffffff1"/>
            <w:numPr>
              <w:ilvl w:val="0"/>
              <w:numId w:val="38"/>
            </w:numPr>
          </w:pPr>
          <w:r>
            <w:rPr>
              <w:rFonts w:hint="eastAsia"/>
            </w:rPr>
            <w:t>职工薪酬</w:t>
          </w:r>
        </w:p>
        <w:p w:rsidR="00ED2DC7" w:rsidRDefault="00ED2DC7" w:rsidP="00036BDC">
          <w:pPr>
            <w:pStyle w:val="affffffffffffffffff2"/>
            <w:numPr>
              <w:ilvl w:val="0"/>
              <w:numId w:val="42"/>
            </w:numPr>
          </w:pPr>
          <w:r>
            <w:rPr>
              <w:rFonts w:hint="eastAsia"/>
            </w:rPr>
            <w:t>短期薪酬的会计处理方法</w:t>
          </w:r>
        </w:p>
        <w:sdt>
          <w:sdtPr>
            <w:alias w:val="是否适用：短期薪酬的会计处理方法[双击切换]"/>
            <w:tag w:val="_GBC_eefed2a465e349b6a35598930bd9541d"/>
            <w:id w:val="382061955"/>
            <w:lock w:val="sdtContentLocked"/>
            <w:placeholder>
              <w:docPart w:val="GBC22222222222222222222222222222"/>
            </w:placeholder>
          </w:sdtPr>
          <w:sdtContent>
            <w:p w:rsidR="00ED2DC7" w:rsidRDefault="00ED2DC7">
              <w:r>
                <w:fldChar w:fldCharType="begin"/>
              </w:r>
              <w:r w:rsidR="004A22CB">
                <w:instrText xml:space="preserve"> MACROBUTTON  SnrToggleCheckbox √适用 </w:instrText>
              </w:r>
              <w:r>
                <w:fldChar w:fldCharType="end"/>
              </w:r>
              <w:r>
                <w:fldChar w:fldCharType="begin"/>
              </w:r>
              <w:r w:rsidR="004A22CB">
                <w:instrText xml:space="preserve"> MACROBUTTON  SnrToggleCheckbox □不适用 </w:instrText>
              </w:r>
              <w:r>
                <w:fldChar w:fldCharType="end"/>
              </w:r>
            </w:p>
          </w:sdtContent>
        </w:sdt>
        <w:sdt>
          <w:sdtPr>
            <w:rPr>
              <w:szCs w:val="21"/>
            </w:rPr>
            <w:alias w:val="短期薪酬的会计处理方法"/>
            <w:tag w:val="_GBC_8fdf44b194ac45fb945d36b9896df796"/>
            <w:id w:val="-2104554712"/>
            <w:lock w:val="sdtLocked"/>
            <w:placeholder>
              <w:docPart w:val="GBC22222222222222222222222222222"/>
            </w:placeholder>
          </w:sdtPr>
          <w:sdtContent>
            <w:p w:rsidR="003767FB" w:rsidRPr="003767FB" w:rsidRDefault="003767FB" w:rsidP="003767FB">
              <w:pPr>
                <w:rPr>
                  <w:szCs w:val="21"/>
                </w:rPr>
              </w:pPr>
              <w:r w:rsidRPr="003767FB">
                <w:rPr>
                  <w:rFonts w:hint="eastAsia"/>
                  <w:szCs w:val="21"/>
                </w:rPr>
                <w:t>短期薪酬</w:t>
              </w:r>
            </w:p>
            <w:p w:rsidR="003767FB" w:rsidRPr="003767FB" w:rsidRDefault="003767FB" w:rsidP="003767FB">
              <w:pPr>
                <w:rPr>
                  <w:szCs w:val="21"/>
                </w:rPr>
              </w:pPr>
            </w:p>
            <w:p w:rsidR="00ED2DC7" w:rsidRDefault="003767FB" w:rsidP="003767FB">
              <w:pPr>
                <w:rPr>
                  <w:szCs w:val="21"/>
                </w:rPr>
              </w:pPr>
              <w:r w:rsidRPr="003767FB">
                <w:rPr>
                  <w:rFonts w:hint="eastAsia"/>
                  <w:szCs w:val="21"/>
                </w:rPr>
                <w:t>在职工提供服务的会计期间，将实际发生的短期薪酬确认为负债，并计入当期损益或相关资产成本。</w:t>
              </w:r>
            </w:p>
          </w:sdtContent>
        </w:sdt>
        <w:p w:rsidR="00ED2DC7" w:rsidRDefault="00ED2DC7">
          <w:pPr>
            <w:rPr>
              <w:szCs w:val="21"/>
            </w:rPr>
          </w:pPr>
        </w:p>
        <w:p w:rsidR="00ED2DC7" w:rsidRDefault="00ED2DC7" w:rsidP="00036BDC">
          <w:pPr>
            <w:pStyle w:val="affffffffffffffffff2"/>
            <w:numPr>
              <w:ilvl w:val="0"/>
              <w:numId w:val="42"/>
            </w:numPr>
          </w:pPr>
          <w:r>
            <w:rPr>
              <w:rFonts w:hint="eastAsia"/>
            </w:rPr>
            <w:t>离职后福利的会计处理方法</w:t>
          </w:r>
        </w:p>
        <w:sdt>
          <w:sdtPr>
            <w:rPr>
              <w:rFonts w:hint="eastAsia"/>
              <w:szCs w:val="21"/>
            </w:rPr>
            <w:alias w:val="是否适用：离职后福利的会计处理方法[双击切换]"/>
            <w:tag w:val="_GBC_35bbae299fda438d9e595058bbecbcdc"/>
            <w:id w:val="1278222936"/>
            <w:lock w:val="sdtContentLocked"/>
            <w:placeholder>
              <w:docPart w:val="GBC22222222222222222222222222222"/>
            </w:placeholder>
          </w:sdtPr>
          <w:sdtContent>
            <w:p w:rsidR="00ED2DC7" w:rsidRDefault="00ED2DC7">
              <w:pPr>
                <w:rPr>
                  <w:szCs w:val="21"/>
                </w:rPr>
              </w:pPr>
              <w:r>
                <w:rPr>
                  <w:szCs w:val="21"/>
                </w:rPr>
                <w:fldChar w:fldCharType="begin"/>
              </w:r>
              <w:r w:rsidR="004A22CB">
                <w:rPr>
                  <w:szCs w:val="21"/>
                </w:rPr>
                <w:instrText xml:space="preserve"> MACROBUTTON  SnrToggleCheckbox √适用 </w:instrText>
              </w:r>
              <w:r>
                <w:rPr>
                  <w:szCs w:val="21"/>
                </w:rPr>
                <w:fldChar w:fldCharType="end"/>
              </w:r>
              <w:r>
                <w:rPr>
                  <w:szCs w:val="21"/>
                </w:rPr>
                <w:fldChar w:fldCharType="begin"/>
              </w:r>
              <w:r w:rsidR="004A22CB">
                <w:rPr>
                  <w:szCs w:val="21"/>
                </w:rPr>
                <w:instrText xml:space="preserve"> MACROBUTTON  SnrToggleCheckbox □不适用 </w:instrText>
              </w:r>
              <w:r>
                <w:rPr>
                  <w:szCs w:val="21"/>
                </w:rPr>
                <w:fldChar w:fldCharType="end"/>
              </w:r>
            </w:p>
          </w:sdtContent>
        </w:sdt>
        <w:sdt>
          <w:sdtPr>
            <w:rPr>
              <w:szCs w:val="21"/>
            </w:rPr>
            <w:alias w:val="离职后福利的会计处理方法"/>
            <w:tag w:val="_GBC_3b0bafa6ef784ba99c829e2f60cf828e"/>
            <w:id w:val="-922421739"/>
            <w:lock w:val="sdtLocked"/>
            <w:placeholder>
              <w:docPart w:val="GBC22222222222222222222222222222"/>
            </w:placeholder>
          </w:sdtPr>
          <w:sdtContent>
            <w:p w:rsidR="003767FB" w:rsidRPr="003767FB" w:rsidRDefault="003767FB" w:rsidP="003767FB">
              <w:pPr>
                <w:rPr>
                  <w:szCs w:val="21"/>
                </w:rPr>
              </w:pPr>
              <w:r w:rsidRPr="003767FB">
                <w:rPr>
                  <w:rFonts w:hint="eastAsia"/>
                  <w:szCs w:val="21"/>
                </w:rPr>
                <w:t>离职后福利（设定提存计划）</w:t>
              </w:r>
            </w:p>
            <w:p w:rsidR="003767FB" w:rsidRPr="003767FB" w:rsidRDefault="003767FB" w:rsidP="003767FB">
              <w:pPr>
                <w:rPr>
                  <w:szCs w:val="21"/>
                </w:rPr>
              </w:pPr>
            </w:p>
            <w:p w:rsidR="00ED2DC7" w:rsidRDefault="003767FB">
              <w:pPr>
                <w:rPr>
                  <w:szCs w:val="21"/>
                </w:rPr>
              </w:pPr>
              <w:r w:rsidRPr="003767FB">
                <w:rPr>
                  <w:rFonts w:hint="eastAsia"/>
                  <w:szCs w:val="21"/>
                </w:rPr>
                <w:t>本集团的职工参加由当地政府管理的养老保险和失业保险，相应支出在发生时计入相关资产成本或当期损益。</w:t>
              </w:r>
            </w:p>
          </w:sdtContent>
        </w:sdt>
        <w:p w:rsidR="00ED2DC7" w:rsidRDefault="00ED2DC7">
          <w:pPr>
            <w:rPr>
              <w:szCs w:val="21"/>
            </w:rPr>
          </w:pPr>
        </w:p>
        <w:p w:rsidR="00ED2DC7" w:rsidRDefault="00ED2DC7" w:rsidP="00036BDC">
          <w:pPr>
            <w:pStyle w:val="affffffffffffffffff2"/>
            <w:numPr>
              <w:ilvl w:val="0"/>
              <w:numId w:val="42"/>
            </w:numPr>
          </w:pPr>
          <w:r>
            <w:rPr>
              <w:rFonts w:hint="eastAsia"/>
            </w:rPr>
            <w:t>辞退福利的会计处理方法</w:t>
          </w:r>
        </w:p>
        <w:sdt>
          <w:sdtPr>
            <w:rPr>
              <w:rFonts w:hint="eastAsia"/>
              <w:szCs w:val="21"/>
            </w:rPr>
            <w:alias w:val="是否适用：辞退福利的会计处理方法[双击切换]"/>
            <w:tag w:val="_GBC_b6be1c30b6144d54b0e20b3cb9d3a691"/>
            <w:id w:val="-92704556"/>
            <w:lock w:val="sdtContentLocked"/>
            <w:placeholder>
              <w:docPart w:val="GBC22222222222222222222222222222"/>
            </w:placeholder>
          </w:sdtPr>
          <w:sdtContent>
            <w:p w:rsidR="00ED2DC7" w:rsidRDefault="00ED2DC7">
              <w:pPr>
                <w:rPr>
                  <w:szCs w:val="21"/>
                </w:rPr>
              </w:pPr>
              <w:r>
                <w:rPr>
                  <w:szCs w:val="21"/>
                </w:rPr>
                <w:fldChar w:fldCharType="begin"/>
              </w:r>
              <w:r w:rsidR="004A22CB">
                <w:rPr>
                  <w:szCs w:val="21"/>
                </w:rPr>
                <w:instrText xml:space="preserve"> MACROBUTTON  SnrToggleCheckbox √适用 </w:instrText>
              </w:r>
              <w:r>
                <w:rPr>
                  <w:szCs w:val="21"/>
                </w:rPr>
                <w:fldChar w:fldCharType="end"/>
              </w:r>
              <w:r>
                <w:rPr>
                  <w:szCs w:val="21"/>
                </w:rPr>
                <w:fldChar w:fldCharType="begin"/>
              </w:r>
              <w:r w:rsidR="004A22CB">
                <w:rPr>
                  <w:szCs w:val="21"/>
                </w:rPr>
                <w:instrText xml:space="preserve"> MACROBUTTON  SnrToggleCheckbox □不适用 </w:instrText>
              </w:r>
              <w:r>
                <w:rPr>
                  <w:szCs w:val="21"/>
                </w:rPr>
                <w:fldChar w:fldCharType="end"/>
              </w:r>
            </w:p>
          </w:sdtContent>
        </w:sdt>
        <w:sdt>
          <w:sdtPr>
            <w:rPr>
              <w:szCs w:val="21"/>
            </w:rPr>
            <w:alias w:val="辞退福利的会计处理方法"/>
            <w:tag w:val="_GBC_a93705fb60b24bceb25c88a68ed87432"/>
            <w:id w:val="-525791660"/>
            <w:lock w:val="sdtLocked"/>
            <w:placeholder>
              <w:docPart w:val="GBC22222222222222222222222222222"/>
            </w:placeholder>
          </w:sdtPr>
          <w:sdtContent>
            <w:p w:rsidR="003767FB" w:rsidRPr="003767FB" w:rsidRDefault="003767FB" w:rsidP="003767FB">
              <w:pPr>
                <w:rPr>
                  <w:szCs w:val="21"/>
                </w:rPr>
              </w:pPr>
              <w:r w:rsidRPr="003767FB">
                <w:rPr>
                  <w:rFonts w:hint="eastAsia"/>
                  <w:szCs w:val="21"/>
                </w:rPr>
                <w:t>辞退福利</w:t>
              </w:r>
            </w:p>
            <w:p w:rsidR="003767FB" w:rsidRPr="003767FB" w:rsidRDefault="003767FB" w:rsidP="003767FB">
              <w:pPr>
                <w:rPr>
                  <w:szCs w:val="21"/>
                </w:rPr>
              </w:pPr>
            </w:p>
            <w:p w:rsidR="00ED2DC7" w:rsidRDefault="003767FB" w:rsidP="003767FB">
              <w:pPr>
                <w:rPr>
                  <w:szCs w:val="21"/>
                </w:rPr>
              </w:pPr>
              <w:r w:rsidRPr="003767FB">
                <w:rPr>
                  <w:rFonts w:hint="eastAsia"/>
                  <w:szCs w:val="21"/>
                </w:rPr>
                <w:t>本集团向职工提供辞退福利的，在下列两者孰早日确认辞退福利产生的职工薪酬负债，并计入当期损益：企业不能单方面撤回因解除劳动关系计划或裁减建议所提供的辞退福利时；企业确认与涉及支付辞退福利的重组相关的成本或费用时</w:t>
              </w:r>
            </w:p>
          </w:sdtContent>
        </w:sdt>
        <w:p w:rsidR="00ED2DC7" w:rsidRDefault="00ED2DC7">
          <w:pPr>
            <w:rPr>
              <w:szCs w:val="21"/>
            </w:rPr>
          </w:pPr>
        </w:p>
        <w:p w:rsidR="00ED2DC7" w:rsidRDefault="00ED2DC7" w:rsidP="00036BDC">
          <w:pPr>
            <w:pStyle w:val="affffffffffffffffff2"/>
            <w:numPr>
              <w:ilvl w:val="0"/>
              <w:numId w:val="42"/>
            </w:numPr>
          </w:pPr>
          <w:r>
            <w:rPr>
              <w:rFonts w:hint="eastAsia"/>
            </w:rPr>
            <w:t>其他长期职工福利的会计处理方法</w:t>
          </w:r>
        </w:p>
        <w:sdt>
          <w:sdtPr>
            <w:rPr>
              <w:rFonts w:hint="eastAsia"/>
              <w:szCs w:val="21"/>
            </w:rPr>
            <w:alias w:val="是否适用：其他长期职工福利的会计处理方法[双击切换]"/>
            <w:tag w:val="_GBC_6650f3bc6a474b318e05b9d60314cb7f"/>
            <w:id w:val="-267235146"/>
            <w:lock w:val="sdtContentLocked"/>
            <w:placeholder>
              <w:docPart w:val="GBC22222222222222222222222222222"/>
            </w:placeholder>
          </w:sdtPr>
          <w:sdtContent>
            <w:p w:rsidR="00ED2DC7" w:rsidRDefault="00ED2DC7" w:rsidP="004A22CB">
              <w:pPr>
                <w:rPr>
                  <w:rFonts w:cs="Times New Roman"/>
                  <w:szCs w:val="21"/>
                </w:rPr>
              </w:pPr>
              <w:r>
                <w:rPr>
                  <w:szCs w:val="21"/>
                </w:rPr>
                <w:fldChar w:fldCharType="begin"/>
              </w:r>
              <w:r w:rsidR="004A22CB">
                <w:rPr>
                  <w:szCs w:val="21"/>
                </w:rPr>
                <w:instrText xml:space="preserve"> MACROBUTTON  SnrToggleCheckbox □适用 </w:instrText>
              </w:r>
              <w:r>
                <w:rPr>
                  <w:szCs w:val="21"/>
                </w:rPr>
                <w:fldChar w:fldCharType="end"/>
              </w:r>
              <w:r>
                <w:rPr>
                  <w:szCs w:val="21"/>
                </w:rPr>
                <w:fldChar w:fldCharType="begin"/>
              </w:r>
              <w:r w:rsidR="004A22CB">
                <w:rPr>
                  <w:szCs w:val="21"/>
                </w:rPr>
                <w:instrText xml:space="preserve"> MACROBUTTON  SnrToggleCheckbox √不适用 </w:instrText>
              </w:r>
              <w:r>
                <w:rPr>
                  <w:szCs w:val="21"/>
                </w:rPr>
                <w:fldChar w:fldCharType="end"/>
              </w:r>
            </w:p>
          </w:sdtContent>
        </w:sdt>
      </w:sdtContent>
    </w:sdt>
    <w:p w:rsidR="00ED2DC7" w:rsidRDefault="00ED2DC7">
      <w:pPr>
        <w:rPr>
          <w:szCs w:val="21"/>
        </w:rPr>
      </w:pPr>
    </w:p>
    <w:sdt>
      <w:sdtPr>
        <w:rPr>
          <w:rFonts w:ascii="宋体" w:hAnsi="宋体" w:cs="宋体"/>
          <w:b w:val="0"/>
          <w:bCs w:val="0"/>
          <w:kern w:val="0"/>
          <w:szCs w:val="24"/>
        </w:rPr>
        <w:alias w:val="模块:预计负债会计处理方法"/>
        <w:tag w:val="_GBC_b5b71a4d3cc1425c80f55e751e7e18c2"/>
        <w:id w:val="1668589464"/>
        <w:lock w:val="sdtLocked"/>
        <w:placeholder>
          <w:docPart w:val="GBC22222222222222222222222222222"/>
        </w:placeholder>
      </w:sdtPr>
      <w:sdtEndPr>
        <w:rPr>
          <w:rFonts w:hint="eastAsia"/>
          <w:szCs w:val="21"/>
        </w:rPr>
      </w:sdtEndPr>
      <w:sdtContent>
        <w:p w:rsidR="00ED2DC7" w:rsidRDefault="00ED2DC7" w:rsidP="00036BDC">
          <w:pPr>
            <w:pStyle w:val="affffffffffffffffff1"/>
            <w:numPr>
              <w:ilvl w:val="0"/>
              <w:numId w:val="38"/>
            </w:numPr>
          </w:pPr>
          <w:r>
            <w:t>预计负债</w:t>
          </w:r>
        </w:p>
        <w:sdt>
          <w:sdtPr>
            <w:rPr>
              <w:rFonts w:hint="eastAsia"/>
              <w:szCs w:val="21"/>
            </w:rPr>
            <w:alias w:val="是否适用：预计负债_重要会计政策和估计[双击切换]"/>
            <w:tag w:val="_GBC_60f7f598e5d5458986c0f06775dc38fd"/>
            <w:id w:val="-216513609"/>
            <w:lock w:val="sdtContentLocked"/>
            <w:placeholder>
              <w:docPart w:val="GBC22222222222222222222222222222"/>
            </w:placeholder>
          </w:sdtPr>
          <w:sdtContent>
            <w:p w:rsidR="00ED2DC7" w:rsidRDefault="00ED2DC7">
              <w:pPr>
                <w:rPr>
                  <w:szCs w:val="21"/>
                </w:rPr>
              </w:pPr>
              <w:r>
                <w:rPr>
                  <w:szCs w:val="21"/>
                </w:rPr>
                <w:fldChar w:fldCharType="begin"/>
              </w:r>
              <w:r w:rsidR="004A22CB">
                <w:rPr>
                  <w:szCs w:val="21"/>
                </w:rPr>
                <w:instrText xml:space="preserve"> MACROBUTTON  SnrToggleCheckbox √适用 </w:instrText>
              </w:r>
              <w:r>
                <w:rPr>
                  <w:szCs w:val="21"/>
                </w:rPr>
                <w:fldChar w:fldCharType="end"/>
              </w:r>
              <w:r>
                <w:rPr>
                  <w:szCs w:val="21"/>
                </w:rPr>
                <w:fldChar w:fldCharType="begin"/>
              </w:r>
              <w:r w:rsidR="004A22CB">
                <w:rPr>
                  <w:szCs w:val="21"/>
                </w:rPr>
                <w:instrText xml:space="preserve"> MACROBUTTON  SnrToggleCheckbox □不适用 </w:instrText>
              </w:r>
              <w:r>
                <w:rPr>
                  <w:szCs w:val="21"/>
                </w:rPr>
                <w:fldChar w:fldCharType="end"/>
              </w:r>
            </w:p>
          </w:sdtContent>
        </w:sdt>
        <w:sdt>
          <w:sdtPr>
            <w:rPr>
              <w:rFonts w:hint="eastAsia"/>
              <w:szCs w:val="21"/>
            </w:rPr>
            <w:alias w:val="预计负债的核算方法"/>
            <w:tag w:val="_GBC_d6934772e41e485d9e00e349486f9d7e"/>
            <w:id w:val="570853133"/>
            <w:lock w:val="sdtLocked"/>
            <w:placeholder>
              <w:docPart w:val="GBC22222222222222222222222222222"/>
            </w:placeholder>
          </w:sdtPr>
          <w:sdtContent>
            <w:p w:rsidR="003767FB" w:rsidRPr="003767FB" w:rsidRDefault="003767FB" w:rsidP="003767FB">
              <w:pPr>
                <w:rPr>
                  <w:szCs w:val="21"/>
                </w:rPr>
              </w:pPr>
              <w:r w:rsidRPr="003767FB">
                <w:rPr>
                  <w:rFonts w:hint="eastAsia"/>
                  <w:szCs w:val="21"/>
                </w:rPr>
                <w:t>除了非同一控制下企业合并中的或有对价及承担的或有负债之外，当与或有事项相关的义务同时符合以下条件，本集团将其确认为预计负债：</w:t>
              </w:r>
            </w:p>
            <w:p w:rsidR="003767FB" w:rsidRPr="003767FB" w:rsidRDefault="003767FB" w:rsidP="003767FB">
              <w:pPr>
                <w:rPr>
                  <w:szCs w:val="21"/>
                </w:rPr>
              </w:pPr>
            </w:p>
            <w:p w:rsidR="003767FB" w:rsidRPr="003767FB" w:rsidRDefault="003767FB" w:rsidP="003767FB">
              <w:pPr>
                <w:rPr>
                  <w:szCs w:val="21"/>
                </w:rPr>
              </w:pPr>
              <w:r w:rsidRPr="003767FB">
                <w:rPr>
                  <w:rFonts w:hint="eastAsia"/>
                  <w:szCs w:val="21"/>
                </w:rPr>
                <w:t>（</w:t>
              </w:r>
              <w:r w:rsidRPr="003767FB">
                <w:rPr>
                  <w:szCs w:val="21"/>
                </w:rPr>
                <w:t>1）</w:t>
              </w:r>
              <w:r w:rsidRPr="003767FB">
                <w:rPr>
                  <w:szCs w:val="21"/>
                </w:rPr>
                <w:tab/>
                <w:t>该义务是本集团承担的现时义务；</w:t>
              </w:r>
            </w:p>
            <w:p w:rsidR="003767FB" w:rsidRPr="003767FB" w:rsidRDefault="003767FB" w:rsidP="003767FB">
              <w:pPr>
                <w:rPr>
                  <w:szCs w:val="21"/>
                </w:rPr>
              </w:pPr>
              <w:r w:rsidRPr="003767FB">
                <w:rPr>
                  <w:rFonts w:hint="eastAsia"/>
                  <w:szCs w:val="21"/>
                </w:rPr>
                <w:t>（</w:t>
              </w:r>
              <w:r w:rsidRPr="003767FB">
                <w:rPr>
                  <w:szCs w:val="21"/>
                </w:rPr>
                <w:t>2）</w:t>
              </w:r>
              <w:r w:rsidRPr="003767FB">
                <w:rPr>
                  <w:szCs w:val="21"/>
                </w:rPr>
                <w:tab/>
                <w:t>该义务的履行很可能导致经济利益流出本集团；</w:t>
              </w:r>
            </w:p>
            <w:p w:rsidR="003767FB" w:rsidRPr="003767FB" w:rsidRDefault="003767FB" w:rsidP="003767FB">
              <w:pPr>
                <w:rPr>
                  <w:szCs w:val="21"/>
                </w:rPr>
              </w:pPr>
              <w:r w:rsidRPr="003767FB">
                <w:rPr>
                  <w:rFonts w:hint="eastAsia"/>
                  <w:szCs w:val="21"/>
                </w:rPr>
                <w:t>（</w:t>
              </w:r>
              <w:r w:rsidRPr="003767FB">
                <w:rPr>
                  <w:szCs w:val="21"/>
                </w:rPr>
                <w:t>3）</w:t>
              </w:r>
              <w:r w:rsidRPr="003767FB">
                <w:rPr>
                  <w:szCs w:val="21"/>
                </w:rPr>
                <w:tab/>
                <w:t>该义务的金额能够可靠地计量。</w:t>
              </w:r>
            </w:p>
            <w:p w:rsidR="003767FB" w:rsidRPr="003767FB" w:rsidRDefault="003767FB" w:rsidP="003767FB">
              <w:pPr>
                <w:rPr>
                  <w:szCs w:val="21"/>
                </w:rPr>
              </w:pPr>
            </w:p>
            <w:p w:rsidR="003767FB" w:rsidRPr="003767FB" w:rsidRDefault="003767FB" w:rsidP="003767FB">
              <w:pPr>
                <w:rPr>
                  <w:szCs w:val="21"/>
                </w:rPr>
              </w:pPr>
              <w:r w:rsidRPr="003767FB">
                <w:rPr>
                  <w:rFonts w:hint="eastAsia"/>
                  <w:szCs w:val="21"/>
                </w:rPr>
                <w:t>预计负债按照履行相关现时义务所需支出的最佳估计数进行初始计量，并综合考虑与或有事项有关的风险、不确定性和货币时间价值等因素。每个资产负债表日对预计负债的账面价值进行复核。有确凿证据表明该账面价值不能反映当前最佳估计数的，按照当前最佳估计数对该账面价值进行调整。</w:t>
              </w:r>
            </w:p>
            <w:p w:rsidR="003767FB" w:rsidRPr="003767FB" w:rsidRDefault="003767FB" w:rsidP="003767FB">
              <w:pPr>
                <w:rPr>
                  <w:szCs w:val="21"/>
                </w:rPr>
              </w:pPr>
            </w:p>
            <w:p w:rsidR="00ED2DC7" w:rsidRDefault="003767FB" w:rsidP="003767FB">
              <w:pPr>
                <w:rPr>
                  <w:szCs w:val="21"/>
                </w:rPr>
              </w:pPr>
              <w:r w:rsidRPr="003767FB">
                <w:rPr>
                  <w:rFonts w:hint="eastAsia"/>
                  <w:szCs w:val="21"/>
                </w:rPr>
                <w:t>非同一控制下企业合并中取得的被购买方或有负债在初始确认时按照公允价值计量，在初始确认后，按照预计负债确认的金额，和初始确认金额扣除收入确认原则确定的累计摊销额后的余额，以两者之中的较高者进行后续计量。</w:t>
              </w:r>
            </w:p>
          </w:sdtContent>
        </w:sdt>
      </w:sdtContent>
    </w:sdt>
    <w:p w:rsidR="00ED2DC7" w:rsidRDefault="00ED2DC7">
      <w:pPr>
        <w:rPr>
          <w:szCs w:val="21"/>
        </w:rPr>
      </w:pPr>
    </w:p>
    <w:sdt>
      <w:sdtPr>
        <w:rPr>
          <w:rFonts w:ascii="宋体" w:hAnsi="宋体" w:cs="宋体" w:hint="eastAsia"/>
          <w:b w:val="0"/>
          <w:bCs w:val="0"/>
          <w:kern w:val="0"/>
          <w:szCs w:val="21"/>
        </w:rPr>
        <w:alias w:val="模块:租赁负债"/>
        <w:tag w:val="_SEC_d8e7208bcd04489eb6a8b588ac7c08d7"/>
        <w:id w:val="2032224738"/>
        <w:lock w:val="sdtLocked"/>
        <w:placeholder>
          <w:docPart w:val="GBC22222222222222222222222222222"/>
        </w:placeholder>
      </w:sdtPr>
      <w:sdtEndPr>
        <w:rPr>
          <w:szCs w:val="24"/>
        </w:rPr>
      </w:sdtEndPr>
      <w:sdtContent>
        <w:p w:rsidR="00ED2DC7" w:rsidRDefault="00ED2DC7" w:rsidP="00036BDC">
          <w:pPr>
            <w:pStyle w:val="affffffffffffffffff1"/>
            <w:numPr>
              <w:ilvl w:val="0"/>
              <w:numId w:val="38"/>
            </w:numPr>
            <w:rPr>
              <w:szCs w:val="21"/>
            </w:rPr>
          </w:pPr>
          <w:r>
            <w:rPr>
              <w:rFonts w:hint="eastAsia"/>
              <w:szCs w:val="21"/>
            </w:rPr>
            <w:t>租赁负债</w:t>
          </w:r>
        </w:p>
        <w:bookmarkStart w:id="84" w:name="_Hlk11676065" w:displacedByCustomXml="next"/>
        <w:sdt>
          <w:sdtPr>
            <w:alias w:val="是否适用：租赁负债_重要会计政策和估计[双击切换]"/>
            <w:tag w:val="_GBC_34c8994db6c04aa0821b8100fc152679"/>
            <w:id w:val="-461194362"/>
            <w:lock w:val="sdtContentLocked"/>
            <w:placeholder>
              <w:docPart w:val="GBC22222222222222222222222222222"/>
            </w:placeholder>
          </w:sdtPr>
          <w:sdtContent>
            <w:p w:rsidR="00ED2DC7" w:rsidRDefault="00ED2DC7" w:rsidP="003767FB">
              <w:r>
                <w:fldChar w:fldCharType="begin"/>
              </w:r>
              <w:r w:rsidR="003767FB">
                <w:instrText xml:space="preserve"> MACROBUTTON  SnrToggleCheckbox □适用 </w:instrText>
              </w:r>
              <w:r>
                <w:fldChar w:fldCharType="end"/>
              </w:r>
              <w:r>
                <w:fldChar w:fldCharType="begin"/>
              </w:r>
              <w:r w:rsidR="003767FB">
                <w:instrText xml:space="preserve"> MACROBUTTON  SnrToggleCheckbox √不适用 </w:instrText>
              </w:r>
              <w:r>
                <w:fldChar w:fldCharType="end"/>
              </w:r>
            </w:p>
          </w:sdtContent>
        </w:sdt>
      </w:sdtContent>
    </w:sdt>
    <w:bookmarkEnd w:id="84"/>
    <w:p w:rsidR="00ED2DC7" w:rsidRDefault="00ED2DC7">
      <w:pPr>
        <w:rPr>
          <w:szCs w:val="21"/>
        </w:rPr>
      </w:pPr>
    </w:p>
    <w:sdt>
      <w:sdtPr>
        <w:rPr>
          <w:rFonts w:asciiTheme="minorHAnsi" w:hAnsiTheme="minorHAnsi" w:cstheme="minorBidi" w:hint="eastAsia"/>
          <w:b w:val="0"/>
          <w:bCs w:val="0"/>
          <w:kern w:val="0"/>
          <w:szCs w:val="22"/>
        </w:rPr>
        <w:alias w:val="模块:股份支付"/>
        <w:tag w:val="_GBC_5300d3ce4b5f4c1690fe13bde0a610e3"/>
        <w:id w:val="1573308032"/>
        <w:lock w:val="sdtLocked"/>
        <w:placeholder>
          <w:docPart w:val="GBC22222222222222222222222222222"/>
        </w:placeholder>
      </w:sdtPr>
      <w:sdtEndPr>
        <w:rPr>
          <w:rFonts w:ascii="宋体" w:hAnsi="宋体" w:cs="Times New Roman"/>
          <w:szCs w:val="21"/>
        </w:rPr>
      </w:sdtEndPr>
      <w:sdtContent>
        <w:p w:rsidR="00ED2DC7" w:rsidRDefault="00ED2DC7" w:rsidP="00036BDC">
          <w:pPr>
            <w:pStyle w:val="affffffffffffffffff1"/>
            <w:numPr>
              <w:ilvl w:val="0"/>
              <w:numId w:val="38"/>
            </w:numPr>
          </w:pPr>
          <w:r>
            <w:rPr>
              <w:rFonts w:hint="eastAsia"/>
            </w:rPr>
            <w:t>股份支付</w:t>
          </w:r>
        </w:p>
        <w:sdt>
          <w:sdtPr>
            <w:rPr>
              <w:rFonts w:hint="eastAsia"/>
              <w:szCs w:val="21"/>
            </w:rPr>
            <w:alias w:val="是否适用：股份支付_重要会计政策和估计[双击切换]"/>
            <w:tag w:val="_GBC_cfe00a6b35f24950855f2412f34bcf7a"/>
            <w:id w:val="-1245638309"/>
            <w:lock w:val="sdtContentLocked"/>
            <w:placeholder>
              <w:docPart w:val="GBC22222222222222222222222222222"/>
            </w:placeholder>
          </w:sdtPr>
          <w:sdtContent>
            <w:p w:rsidR="00ED2DC7" w:rsidRDefault="00ED2DC7">
              <w:pPr>
                <w:rPr>
                  <w:szCs w:val="21"/>
                </w:rPr>
              </w:pPr>
              <w:r>
                <w:rPr>
                  <w:szCs w:val="21"/>
                </w:rPr>
                <w:fldChar w:fldCharType="begin"/>
              </w:r>
              <w:r w:rsidR="004A22CB">
                <w:rPr>
                  <w:szCs w:val="21"/>
                </w:rPr>
                <w:instrText xml:space="preserve"> MACROBUTTON  SnrToggleCheckbox √适用 </w:instrText>
              </w:r>
              <w:r>
                <w:rPr>
                  <w:szCs w:val="21"/>
                </w:rPr>
                <w:fldChar w:fldCharType="end"/>
              </w:r>
              <w:r>
                <w:rPr>
                  <w:szCs w:val="21"/>
                </w:rPr>
                <w:fldChar w:fldCharType="begin"/>
              </w:r>
              <w:r w:rsidR="004A22CB">
                <w:rPr>
                  <w:szCs w:val="21"/>
                </w:rPr>
                <w:instrText xml:space="preserve"> MACROBUTTON  SnrToggleCheckbox □不适用 </w:instrText>
              </w:r>
              <w:r>
                <w:rPr>
                  <w:szCs w:val="21"/>
                </w:rPr>
                <w:fldChar w:fldCharType="end"/>
              </w:r>
            </w:p>
          </w:sdtContent>
        </w:sdt>
        <w:sdt>
          <w:sdtPr>
            <w:rPr>
              <w:szCs w:val="21"/>
            </w:rPr>
            <w:alias w:val="股份支付的核算方法"/>
            <w:tag w:val="_GBC_99e197c555ed4cf8aa00bbd5da2fe98b"/>
            <w:id w:val="328645296"/>
            <w:lock w:val="sdtLocked"/>
            <w:placeholder>
              <w:docPart w:val="GBC22222222222222222222222222222"/>
            </w:placeholder>
          </w:sdtPr>
          <w:sdtContent>
            <w:p w:rsidR="00B637B2" w:rsidRPr="009F6182" w:rsidRDefault="008F04CF" w:rsidP="00B637B2">
              <w:pPr>
                <w:rPr>
                  <w:szCs w:val="21"/>
                </w:rPr>
              </w:pPr>
              <w:r w:rsidRPr="009F6182">
                <w:rPr>
                  <w:rFonts w:hint="eastAsia"/>
                  <w:szCs w:val="21"/>
                </w:rPr>
                <w:t>股份支付，分为以权益结算的股份支付和以现金结算的股份支付。以权益结算的股份支付，是指本集团为获取服务以股份或其他权益工具作为对价进行结算的交易。</w:t>
              </w:r>
            </w:p>
            <w:p w:rsidR="00B637B2" w:rsidRPr="009F6182" w:rsidRDefault="00B637B2" w:rsidP="00B637B2">
              <w:pPr>
                <w:rPr>
                  <w:szCs w:val="21"/>
                </w:rPr>
              </w:pPr>
            </w:p>
            <w:p w:rsidR="00B637B2" w:rsidRPr="009F6182" w:rsidRDefault="008F04CF" w:rsidP="00B637B2">
              <w:pPr>
                <w:rPr>
                  <w:szCs w:val="21"/>
                </w:rPr>
              </w:pPr>
              <w:r w:rsidRPr="009F6182">
                <w:rPr>
                  <w:rFonts w:hint="eastAsia"/>
                  <w:szCs w:val="21"/>
                </w:rPr>
                <w:t>以权益结算的股份支付换取职工提供服务的，以授予职工权益工具的公允价值计量。授予后立即可行权的，在授予日按照公允价值计入相关成本或费用，相应增加资本公积；完成等待期内的服务或达到规定业绩条件才可行权的，在等待期内每个资产负债表日，本集团根据最新取得的可行权职工人数变动等后续信息对可行权权益工具数量作出最佳估计，以此为基础，按照授予日的公允价值，将当期取得的服务计入相关成本或费用，相应增加资本公积。权益工具的公允价值采用布莱克</w:t>
              </w:r>
              <w:r w:rsidRPr="009F6182">
                <w:rPr>
                  <w:szCs w:val="21"/>
                </w:rPr>
                <w:t>-斯科尔斯模型确定，参见附注十一、股份支付。</w:t>
              </w:r>
            </w:p>
            <w:p w:rsidR="00B637B2" w:rsidRPr="009F6182" w:rsidRDefault="00B637B2" w:rsidP="00B637B2">
              <w:pPr>
                <w:rPr>
                  <w:szCs w:val="21"/>
                </w:rPr>
              </w:pPr>
            </w:p>
            <w:p w:rsidR="00B637B2" w:rsidRPr="009F6182" w:rsidRDefault="008F04CF" w:rsidP="00B637B2">
              <w:pPr>
                <w:rPr>
                  <w:szCs w:val="21"/>
                </w:rPr>
              </w:pPr>
              <w:r w:rsidRPr="009F6182">
                <w:rPr>
                  <w:rFonts w:hint="eastAsia"/>
                  <w:szCs w:val="21"/>
                </w:rPr>
                <w:t>在满足业绩条件和服务期限条件的期间，应确认以权益结算的股份支付的成本或费用，并相应增加资本公积。可行权日之前，于每个资产负债表日为以权益结算的股份支付确认的累计金额反映了等待期已届满的部分以及本集团对最终可行权的权益工具数量的最佳估计。</w:t>
              </w:r>
            </w:p>
            <w:p w:rsidR="00B637B2" w:rsidRPr="009F6182" w:rsidRDefault="00B637B2" w:rsidP="00B637B2">
              <w:pPr>
                <w:rPr>
                  <w:szCs w:val="21"/>
                </w:rPr>
              </w:pPr>
            </w:p>
            <w:p w:rsidR="00B637B2" w:rsidRPr="009F6182" w:rsidRDefault="008F04CF" w:rsidP="00B637B2">
              <w:pPr>
                <w:rPr>
                  <w:szCs w:val="21"/>
                </w:rPr>
              </w:pPr>
              <w:r w:rsidRPr="009F6182">
                <w:rPr>
                  <w:rFonts w:hint="eastAsia"/>
                  <w:szCs w:val="21"/>
                </w:rPr>
                <w:t>对由于未满足非市场条件和</w:t>
              </w:r>
              <w:r w:rsidRPr="009F6182">
                <w:rPr>
                  <w:szCs w:val="21"/>
                </w:rPr>
                <w:t>/或服务期限条件而最终未能行权的股份支付，不确认成本或费用。股份支付协议中规定了市场条件或非可行权条件的，无论是否满足市场条件或非可行权条件，只要满足所有其他业绩条件和/或服务期限条件，即视为可行权。</w:t>
              </w:r>
            </w:p>
            <w:p w:rsidR="00B637B2" w:rsidRPr="009F6182" w:rsidRDefault="00B637B2" w:rsidP="00B637B2">
              <w:pPr>
                <w:rPr>
                  <w:szCs w:val="21"/>
                </w:rPr>
              </w:pPr>
            </w:p>
            <w:p w:rsidR="00B637B2" w:rsidRPr="009F6182" w:rsidRDefault="008F04CF" w:rsidP="00B637B2">
              <w:pPr>
                <w:rPr>
                  <w:szCs w:val="21"/>
                </w:rPr>
              </w:pPr>
              <w:r w:rsidRPr="009F6182">
                <w:rPr>
                  <w:rFonts w:hint="eastAsia"/>
                  <w:szCs w:val="21"/>
                </w:rPr>
                <w:lastRenderedPageBreak/>
                <w:t>如果修改了以权益结算的股份支付的条款，至少按照未修改条款的情况确认取得的服务。此外，增加所授予权益工具公允价值的修改，或在修改日对职工有利的变更，均确认取得服务的增加。</w:t>
              </w:r>
            </w:p>
            <w:p w:rsidR="00B637B2" w:rsidRPr="009F6182" w:rsidRDefault="00B637B2" w:rsidP="00B637B2">
              <w:pPr>
                <w:rPr>
                  <w:szCs w:val="21"/>
                </w:rPr>
              </w:pPr>
            </w:p>
            <w:p w:rsidR="003767FB" w:rsidRDefault="008F04CF" w:rsidP="00B637B2">
              <w:pPr>
                <w:rPr>
                  <w:szCs w:val="21"/>
                </w:rPr>
              </w:pPr>
              <w:r w:rsidRPr="009F6182">
                <w:rPr>
                  <w:rFonts w:hint="eastAsia"/>
                  <w:szCs w:val="21"/>
                </w:rPr>
                <w:t>如果取消了以权益结算的股份支付，则于取消日作为加速行权处理，立即确认尚未确认的金额。职工或其他方能够选择满足非可行权条件但在等待期内未满足的，作为取消以权益结算的股份支付处理。但是，如果授予新的权益工具，并在新权益工具授予日认定所授予的新权益工具是用于替代被取消的权益工具的，则以与处理原权益工具条款和条件修改相同的方式，对所授予的替代权益工具进行处理。</w:t>
              </w:r>
            </w:p>
            <w:p w:rsidR="00ED2DC7" w:rsidRDefault="000D0A99" w:rsidP="003767FB">
              <w:pPr>
                <w:rPr>
                  <w:szCs w:val="21"/>
                </w:rPr>
              </w:pPr>
            </w:p>
          </w:sdtContent>
        </w:sdt>
      </w:sdtContent>
    </w:sdt>
    <w:p w:rsidR="00ED2DC7" w:rsidRDefault="00ED2DC7">
      <w:pPr>
        <w:rPr>
          <w:szCs w:val="21"/>
        </w:rPr>
      </w:pPr>
    </w:p>
    <w:sdt>
      <w:sdtPr>
        <w:rPr>
          <w:rFonts w:asciiTheme="minorHAnsi" w:hAnsiTheme="minorHAnsi" w:cstheme="minorBidi" w:hint="eastAsia"/>
          <w:b w:val="0"/>
          <w:bCs w:val="0"/>
          <w:kern w:val="0"/>
          <w:szCs w:val="22"/>
        </w:rPr>
        <w:alias w:val="模块:优先股、永续债"/>
        <w:tag w:val="_GBC_d3c9524999e647d78f354bb216cfb1aa"/>
        <w:id w:val="-568647157"/>
        <w:lock w:val="sdtLocked"/>
        <w:placeholder>
          <w:docPart w:val="GBC22222222222222222222222222222"/>
        </w:placeholder>
      </w:sdtPr>
      <w:sdtEndPr>
        <w:rPr>
          <w:rFonts w:ascii="宋体" w:hAnsi="宋体" w:cs="Times New Roman"/>
          <w:szCs w:val="21"/>
        </w:rPr>
      </w:sdtEndPr>
      <w:sdtContent>
        <w:p w:rsidR="00ED2DC7" w:rsidRDefault="00ED2DC7" w:rsidP="00036BDC">
          <w:pPr>
            <w:pStyle w:val="affffffffffffffffff1"/>
            <w:numPr>
              <w:ilvl w:val="0"/>
              <w:numId w:val="38"/>
            </w:numPr>
          </w:pPr>
          <w:r>
            <w:rPr>
              <w:rFonts w:hint="eastAsia"/>
            </w:rPr>
            <w:t>优先股、永续债等其他金融工具</w:t>
          </w:r>
        </w:p>
        <w:sdt>
          <w:sdtPr>
            <w:rPr>
              <w:rFonts w:hint="eastAsia"/>
              <w:szCs w:val="21"/>
            </w:rPr>
            <w:alias w:val="是否适用：优先股、永续债等其他金融工具[双击切换]"/>
            <w:tag w:val="_GBC_34eb80e2168144958293aa1351780303"/>
            <w:id w:val="-1816250734"/>
            <w:lock w:val="sdtContentLocked"/>
            <w:placeholder>
              <w:docPart w:val="GBC22222222222222222222222222222"/>
            </w:placeholder>
          </w:sdtPr>
          <w:sdtContent>
            <w:p w:rsidR="00ED2DC7" w:rsidRDefault="00ED2DC7" w:rsidP="00DF73AB">
              <w:pPr>
                <w:rPr>
                  <w:szCs w:val="21"/>
                </w:rPr>
              </w:pPr>
              <w:r>
                <w:rPr>
                  <w:szCs w:val="21"/>
                </w:rPr>
                <w:fldChar w:fldCharType="begin"/>
              </w:r>
              <w:r w:rsidR="00DF73AB">
                <w:rPr>
                  <w:szCs w:val="21"/>
                </w:rPr>
                <w:instrText xml:space="preserve"> MACROBUTTON  SnrToggleCheckbox □适用 </w:instrText>
              </w:r>
              <w:r>
                <w:rPr>
                  <w:szCs w:val="21"/>
                </w:rPr>
                <w:fldChar w:fldCharType="end"/>
              </w:r>
              <w:r>
                <w:rPr>
                  <w:szCs w:val="21"/>
                </w:rPr>
                <w:fldChar w:fldCharType="begin"/>
              </w:r>
              <w:r w:rsidR="00DF73AB">
                <w:rPr>
                  <w:szCs w:val="21"/>
                </w:rPr>
                <w:instrText xml:space="preserve"> MACROBUTTON  SnrToggleCheckbox √不适用 </w:instrText>
              </w:r>
              <w:r>
                <w:rPr>
                  <w:szCs w:val="21"/>
                </w:rPr>
                <w:fldChar w:fldCharType="end"/>
              </w:r>
            </w:p>
          </w:sdtContent>
        </w:sdt>
      </w:sdtContent>
    </w:sdt>
    <w:p w:rsidR="00ED2DC7" w:rsidRDefault="00ED2DC7">
      <w:pPr>
        <w:rPr>
          <w:szCs w:val="21"/>
        </w:rPr>
      </w:pPr>
    </w:p>
    <w:bookmarkStart w:id="85" w:name="_Hlk10465559" w:displacedByCustomXml="next"/>
    <w:sdt>
      <w:sdtPr>
        <w:rPr>
          <w:rFonts w:asciiTheme="minorHAnsi" w:hAnsiTheme="minorHAnsi" w:cs="宋体"/>
          <w:b w:val="0"/>
          <w:bCs w:val="0"/>
          <w:kern w:val="0"/>
          <w:szCs w:val="22"/>
        </w:rPr>
        <w:alias w:val="模块:收入会计处理方法"/>
        <w:tag w:val="_GBC_19704df9fd714cad895419bf4903f70e"/>
        <w:id w:val="1184013513"/>
        <w:lock w:val="sdtLocked"/>
        <w:placeholder>
          <w:docPart w:val="GBC22222222222222222222222222222"/>
        </w:placeholder>
      </w:sdtPr>
      <w:sdtEndPr>
        <w:rPr>
          <w:rFonts w:ascii="宋体" w:hAnsi="宋体"/>
          <w:b/>
          <w:bCs/>
          <w:szCs w:val="21"/>
        </w:rPr>
      </w:sdtEndPr>
      <w:sdtContent>
        <w:p w:rsidR="00ED2DC7" w:rsidRDefault="00ED2DC7" w:rsidP="00036BDC">
          <w:pPr>
            <w:pStyle w:val="affffffffffffffffff1"/>
            <w:numPr>
              <w:ilvl w:val="0"/>
              <w:numId w:val="38"/>
            </w:numPr>
          </w:pPr>
          <w:r>
            <w:t>收入</w:t>
          </w:r>
        </w:p>
        <w:p w:rsidR="00ED2DC7" w:rsidRDefault="00ED2DC7" w:rsidP="00036BDC">
          <w:pPr>
            <w:pStyle w:val="affffffffffffffffff2"/>
            <w:numPr>
              <w:ilvl w:val="3"/>
              <w:numId w:val="43"/>
            </w:numPr>
            <w:ind w:left="426" w:hanging="426"/>
            <w:rPr>
              <w:szCs w:val="21"/>
            </w:rPr>
          </w:pPr>
          <w:r>
            <w:rPr>
              <w:rFonts w:hint="eastAsia"/>
              <w:szCs w:val="21"/>
            </w:rPr>
            <w:t>收入确认和计量所采用的会计政策</w:t>
          </w:r>
        </w:p>
        <w:sdt>
          <w:sdtPr>
            <w:rPr>
              <w:szCs w:val="21"/>
            </w:rPr>
            <w:alias w:val="是否适用：收入确认和计量所采用的会计政策[双击切换]"/>
            <w:tag w:val="_GBC_b6eb71cc057645f3b05fb68d8273c681"/>
            <w:id w:val="1292090462"/>
            <w:lock w:val="sdtContentLocked"/>
            <w:placeholder>
              <w:docPart w:val="GBC22222222222222222222222222222"/>
            </w:placeholder>
          </w:sdtPr>
          <w:sdtContent>
            <w:p w:rsidR="00ED2DC7" w:rsidRDefault="00ED2DC7">
              <w:pPr>
                <w:rPr>
                  <w:szCs w:val="21"/>
                </w:rPr>
              </w:pPr>
              <w:r>
                <w:rPr>
                  <w:szCs w:val="21"/>
                </w:rPr>
                <w:fldChar w:fldCharType="begin"/>
              </w:r>
              <w:r w:rsidR="00DF73AB">
                <w:rPr>
                  <w:szCs w:val="21"/>
                </w:rPr>
                <w:instrText xml:space="preserve"> MACROBUTTON  SnrToggleCheckbox √适用 </w:instrText>
              </w:r>
              <w:r>
                <w:rPr>
                  <w:szCs w:val="21"/>
                </w:rPr>
                <w:fldChar w:fldCharType="end"/>
              </w:r>
              <w:r>
                <w:rPr>
                  <w:szCs w:val="21"/>
                </w:rPr>
                <w:fldChar w:fldCharType="begin"/>
              </w:r>
              <w:r w:rsidR="00DF73AB">
                <w:rPr>
                  <w:szCs w:val="21"/>
                </w:rPr>
                <w:instrText xml:space="preserve"> MACROBUTTON  SnrToggleCheckbox □不适用 </w:instrText>
              </w:r>
              <w:r>
                <w:rPr>
                  <w:szCs w:val="21"/>
                </w:rPr>
                <w:fldChar w:fldCharType="end"/>
              </w:r>
            </w:p>
          </w:sdtContent>
        </w:sdt>
        <w:sdt>
          <w:sdtPr>
            <w:rPr>
              <w:szCs w:val="21"/>
            </w:rPr>
            <w:alias w:val="收入确认和计量所采用的会计政策"/>
            <w:tag w:val="_GBC_c9c2b3029c08405387c460d2d7eacc7d"/>
            <w:id w:val="-865754070"/>
            <w:lock w:val="sdtLocked"/>
            <w:placeholder>
              <w:docPart w:val="GBC22222222222222222222222222222"/>
            </w:placeholder>
          </w:sdtPr>
          <w:sdtContent>
            <w:p w:rsidR="003A3F3F" w:rsidRPr="003A3F3F" w:rsidRDefault="003A3F3F" w:rsidP="003A3F3F">
              <w:pPr>
                <w:rPr>
                  <w:szCs w:val="21"/>
                </w:rPr>
              </w:pPr>
              <w:r w:rsidRPr="003A3F3F">
                <w:rPr>
                  <w:rFonts w:hint="eastAsia"/>
                  <w:szCs w:val="21"/>
                </w:rPr>
                <w:t>根据财政部关于修订印发《企业会计准则第</w:t>
              </w:r>
              <w:r w:rsidRPr="003A3F3F">
                <w:rPr>
                  <w:szCs w:val="21"/>
                </w:rPr>
                <w:t>14号——收入》(财会〔2017〕22号)的通知，本集团之子公司畅捷通，作为在境外上市并采用国际财务报告准则编制财务报表的企业，自2018年1月1日起适用修订后收入准则(以下简称“新收入准则”)。</w:t>
              </w:r>
            </w:p>
            <w:p w:rsidR="003A3F3F" w:rsidRPr="003A3F3F" w:rsidRDefault="003A3F3F" w:rsidP="003A3F3F">
              <w:pPr>
                <w:rPr>
                  <w:szCs w:val="21"/>
                </w:rPr>
              </w:pPr>
            </w:p>
            <w:p w:rsidR="003A3F3F" w:rsidRPr="003A3F3F" w:rsidRDefault="003A3F3F" w:rsidP="003A3F3F">
              <w:pPr>
                <w:rPr>
                  <w:szCs w:val="21"/>
                </w:rPr>
              </w:pPr>
              <w:r w:rsidRPr="003A3F3F">
                <w:rPr>
                  <w:rFonts w:hint="eastAsia"/>
                  <w:szCs w:val="21"/>
                </w:rPr>
                <w:t>除本集团之子公司畅捷通外，本集团适用旧收入准则，即收入在经济利益很可能流入本集团、且金额能够可靠计量，并同时满足下列条件时予以确认。</w:t>
              </w:r>
            </w:p>
            <w:p w:rsidR="003A3F3F" w:rsidRPr="003A3F3F" w:rsidRDefault="003A3F3F" w:rsidP="003A3F3F">
              <w:pPr>
                <w:rPr>
                  <w:szCs w:val="21"/>
                </w:rPr>
              </w:pPr>
            </w:p>
            <w:p w:rsidR="003A3F3F" w:rsidRPr="003A3F3F" w:rsidRDefault="003A3F3F" w:rsidP="003A3F3F">
              <w:pPr>
                <w:rPr>
                  <w:szCs w:val="21"/>
                </w:rPr>
              </w:pPr>
              <w:r w:rsidRPr="003A3F3F">
                <w:rPr>
                  <w:rFonts w:hint="eastAsia"/>
                  <w:szCs w:val="21"/>
                </w:rPr>
                <w:t>销售商品收入</w:t>
              </w:r>
            </w:p>
            <w:p w:rsidR="003A3F3F" w:rsidRPr="003A3F3F" w:rsidRDefault="003A3F3F" w:rsidP="003A3F3F">
              <w:pPr>
                <w:rPr>
                  <w:szCs w:val="21"/>
                </w:rPr>
              </w:pPr>
            </w:p>
            <w:p w:rsidR="003A3F3F" w:rsidRPr="003A3F3F" w:rsidRDefault="003A3F3F" w:rsidP="003A3F3F">
              <w:pPr>
                <w:rPr>
                  <w:szCs w:val="21"/>
                </w:rPr>
              </w:pPr>
              <w:r w:rsidRPr="003A3F3F">
                <w:rPr>
                  <w:rFonts w:hint="eastAsia"/>
                  <w:szCs w:val="21"/>
                </w:rPr>
                <w:t>本集团已将商品所有权上的主要风险和报酬转移给购货方，并不再对该商品保留通常与所有权相联系的继续管理权和实施有效控制，且相关的已发生或将发生的成本能够可靠地计量，确认为收入的实现。销售商品收入金额，按照从购货方已收或应收的合同或协议价款确定，但已收或应收的合同或协议价款不公允的除外；合同或协议价款的收取采用递延方式，实质上具有融资性质的，按照应收的合同或协议价款的公允价值确定。</w:t>
              </w:r>
            </w:p>
            <w:p w:rsidR="003A3F3F" w:rsidRPr="003A3F3F" w:rsidRDefault="003A3F3F" w:rsidP="003A3F3F">
              <w:pPr>
                <w:rPr>
                  <w:szCs w:val="21"/>
                </w:rPr>
              </w:pPr>
            </w:p>
            <w:p w:rsidR="003A3F3F" w:rsidRPr="003A3F3F" w:rsidRDefault="003A3F3F" w:rsidP="003A3F3F">
              <w:pPr>
                <w:rPr>
                  <w:szCs w:val="21"/>
                </w:rPr>
              </w:pPr>
              <w:r w:rsidRPr="003A3F3F">
                <w:rPr>
                  <w:rFonts w:hint="eastAsia"/>
                  <w:szCs w:val="21"/>
                </w:rPr>
                <w:t>软件产品销售以收到客户收货确认单、且预计相关的经济利益很可能流入企业的原则确认收入。</w:t>
              </w:r>
            </w:p>
            <w:p w:rsidR="003A3F3F" w:rsidRPr="003A3F3F" w:rsidRDefault="003A3F3F" w:rsidP="003A3F3F">
              <w:pPr>
                <w:rPr>
                  <w:szCs w:val="21"/>
                </w:rPr>
              </w:pPr>
            </w:p>
            <w:p w:rsidR="003A3F3F" w:rsidRPr="003A3F3F" w:rsidRDefault="003A3F3F" w:rsidP="003A3F3F">
              <w:pPr>
                <w:rPr>
                  <w:szCs w:val="21"/>
                </w:rPr>
              </w:pPr>
              <w:r w:rsidRPr="003A3F3F">
                <w:rPr>
                  <w:rFonts w:hint="eastAsia"/>
                  <w:szCs w:val="21"/>
                </w:rPr>
                <w:t>提供劳务收入</w:t>
              </w:r>
            </w:p>
            <w:p w:rsidR="003A3F3F" w:rsidRPr="003A3F3F" w:rsidRDefault="003A3F3F" w:rsidP="003A3F3F">
              <w:pPr>
                <w:rPr>
                  <w:szCs w:val="21"/>
                </w:rPr>
              </w:pPr>
            </w:p>
            <w:p w:rsidR="003A3F3F" w:rsidRPr="003A3F3F" w:rsidRDefault="003A3F3F" w:rsidP="003A3F3F">
              <w:pPr>
                <w:rPr>
                  <w:szCs w:val="21"/>
                </w:rPr>
              </w:pPr>
              <w:r w:rsidRPr="003A3F3F">
                <w:rPr>
                  <w:rFonts w:hint="eastAsia"/>
                  <w:szCs w:val="21"/>
                </w:rPr>
                <w:t>于资产负债表日，在提供劳务交易的结果能够可靠估计的情况下，按完工百分比法确认提供劳务收入；否则按已经发生并预计能够得到补偿的劳务成本金额确认收入。提供劳务交易的结果能够可靠估计，是指同时满足下列条件：收入的金额能够可靠地计量，相关的经济利益很可能流入本集团，交易的完工进度能够可靠地确定，交易中已发生和将发生的成本能够可靠地计量。本集团以已经提供的劳务占应提供劳务总量的比例确定提供劳务交易的完工进度。提供劳务收入总额，按照从接受劳务方已收或应收的合同或协议价款确定，但已收或应收的合同或协议价款不公允的除外。</w:t>
              </w:r>
            </w:p>
            <w:p w:rsidR="003A3F3F" w:rsidRPr="003A3F3F" w:rsidRDefault="003A3F3F" w:rsidP="003A3F3F">
              <w:pPr>
                <w:rPr>
                  <w:szCs w:val="21"/>
                </w:rPr>
              </w:pPr>
            </w:p>
            <w:p w:rsidR="003A3F3F" w:rsidRPr="003A3F3F" w:rsidRDefault="003A3F3F" w:rsidP="003A3F3F">
              <w:pPr>
                <w:rPr>
                  <w:szCs w:val="21"/>
                </w:rPr>
              </w:pPr>
              <w:r w:rsidRPr="003A3F3F">
                <w:rPr>
                  <w:rFonts w:hint="eastAsia"/>
                  <w:szCs w:val="21"/>
                </w:rPr>
                <w:t>技术服务及培训收入中，已经提供的劳务占应提供劳务总量以收到客户确认单为准。</w:t>
              </w:r>
            </w:p>
            <w:p w:rsidR="003A3F3F" w:rsidRPr="003A3F3F" w:rsidRDefault="003A3F3F" w:rsidP="003A3F3F">
              <w:pPr>
                <w:rPr>
                  <w:szCs w:val="21"/>
                </w:rPr>
              </w:pPr>
            </w:p>
            <w:p w:rsidR="003A3F3F" w:rsidRPr="003A3F3F" w:rsidRDefault="003A3F3F" w:rsidP="003A3F3F">
              <w:pPr>
                <w:rPr>
                  <w:szCs w:val="21"/>
                </w:rPr>
              </w:pPr>
              <w:r w:rsidRPr="003A3F3F">
                <w:rPr>
                  <w:rFonts w:hint="eastAsia"/>
                  <w:szCs w:val="21"/>
                </w:rPr>
                <w:t>利息收入</w:t>
              </w:r>
            </w:p>
            <w:p w:rsidR="003A3F3F" w:rsidRPr="003A3F3F" w:rsidRDefault="003A3F3F" w:rsidP="003A3F3F">
              <w:pPr>
                <w:rPr>
                  <w:szCs w:val="21"/>
                </w:rPr>
              </w:pPr>
            </w:p>
            <w:p w:rsidR="003A3F3F" w:rsidRPr="003A3F3F" w:rsidRDefault="003A3F3F" w:rsidP="003A3F3F">
              <w:pPr>
                <w:rPr>
                  <w:szCs w:val="21"/>
                </w:rPr>
              </w:pPr>
              <w:r w:rsidRPr="003A3F3F">
                <w:rPr>
                  <w:rFonts w:hint="eastAsia"/>
                  <w:szCs w:val="21"/>
                </w:rPr>
                <w:t>按照他人使用本集团货币资金的时间和实际利率计算确定。</w:t>
              </w:r>
            </w:p>
            <w:p w:rsidR="003A3F3F" w:rsidRPr="003A3F3F" w:rsidRDefault="003A3F3F" w:rsidP="003A3F3F">
              <w:pPr>
                <w:rPr>
                  <w:szCs w:val="21"/>
                </w:rPr>
              </w:pPr>
            </w:p>
            <w:p w:rsidR="003A3F3F" w:rsidRPr="003A3F3F" w:rsidRDefault="003A3F3F" w:rsidP="003A3F3F">
              <w:pPr>
                <w:rPr>
                  <w:szCs w:val="21"/>
                </w:rPr>
              </w:pPr>
              <w:r w:rsidRPr="003A3F3F">
                <w:rPr>
                  <w:rFonts w:hint="eastAsia"/>
                  <w:szCs w:val="21"/>
                </w:rPr>
                <w:lastRenderedPageBreak/>
                <w:t>使用费收入</w:t>
              </w:r>
            </w:p>
            <w:p w:rsidR="003A3F3F" w:rsidRPr="003A3F3F" w:rsidRDefault="003A3F3F" w:rsidP="003A3F3F">
              <w:pPr>
                <w:rPr>
                  <w:szCs w:val="21"/>
                </w:rPr>
              </w:pPr>
            </w:p>
            <w:p w:rsidR="003A3F3F" w:rsidRPr="003A3F3F" w:rsidRDefault="003A3F3F" w:rsidP="003A3F3F">
              <w:pPr>
                <w:rPr>
                  <w:szCs w:val="21"/>
                </w:rPr>
              </w:pPr>
              <w:r w:rsidRPr="003A3F3F">
                <w:rPr>
                  <w:rFonts w:hint="eastAsia"/>
                  <w:szCs w:val="21"/>
                </w:rPr>
                <w:t>按照有关合同或协议约定的收费时间和方法计算确定。</w:t>
              </w:r>
            </w:p>
            <w:p w:rsidR="003A3F3F" w:rsidRPr="003A3F3F" w:rsidRDefault="003A3F3F" w:rsidP="003A3F3F">
              <w:pPr>
                <w:rPr>
                  <w:szCs w:val="21"/>
                </w:rPr>
              </w:pPr>
            </w:p>
            <w:p w:rsidR="003A3F3F" w:rsidRPr="003A3F3F" w:rsidRDefault="003A3F3F" w:rsidP="003A3F3F">
              <w:pPr>
                <w:rPr>
                  <w:szCs w:val="21"/>
                </w:rPr>
              </w:pPr>
              <w:r w:rsidRPr="003A3F3F">
                <w:rPr>
                  <w:rFonts w:hint="eastAsia"/>
                  <w:szCs w:val="21"/>
                </w:rPr>
                <w:t>租赁收入</w:t>
              </w:r>
            </w:p>
            <w:p w:rsidR="003A3F3F" w:rsidRPr="003A3F3F" w:rsidRDefault="003A3F3F" w:rsidP="003A3F3F">
              <w:pPr>
                <w:rPr>
                  <w:szCs w:val="21"/>
                </w:rPr>
              </w:pPr>
            </w:p>
            <w:p w:rsidR="003A3F3F" w:rsidRPr="003A3F3F" w:rsidRDefault="003A3F3F" w:rsidP="003A3F3F">
              <w:pPr>
                <w:rPr>
                  <w:szCs w:val="21"/>
                </w:rPr>
              </w:pPr>
              <w:r w:rsidRPr="003A3F3F">
                <w:rPr>
                  <w:rFonts w:hint="eastAsia"/>
                  <w:szCs w:val="21"/>
                </w:rPr>
                <w:t>经营租赁的租金收入在租赁期内各个期间按照直线法确认。</w:t>
              </w:r>
            </w:p>
            <w:p w:rsidR="003A3F3F" w:rsidRPr="003A3F3F" w:rsidRDefault="003A3F3F" w:rsidP="003A3F3F">
              <w:pPr>
                <w:rPr>
                  <w:szCs w:val="21"/>
                </w:rPr>
              </w:pPr>
            </w:p>
            <w:p w:rsidR="003A3F3F" w:rsidRPr="003A3F3F" w:rsidRDefault="003A3F3F" w:rsidP="003A3F3F">
              <w:pPr>
                <w:rPr>
                  <w:szCs w:val="21"/>
                </w:rPr>
              </w:pPr>
              <w:r w:rsidRPr="003A3F3F">
                <w:rPr>
                  <w:rFonts w:hint="eastAsia"/>
                  <w:szCs w:val="21"/>
                </w:rPr>
                <w:t>本集团之子公司畅捷通适用新收入准则，即以下政策：</w:t>
              </w:r>
            </w:p>
            <w:p w:rsidR="003A3F3F" w:rsidRPr="003A3F3F" w:rsidRDefault="003A3F3F" w:rsidP="003A3F3F">
              <w:pPr>
                <w:rPr>
                  <w:szCs w:val="21"/>
                </w:rPr>
              </w:pPr>
            </w:p>
            <w:p w:rsidR="003A3F3F" w:rsidRPr="003A3F3F" w:rsidRDefault="003A3F3F" w:rsidP="003A3F3F">
              <w:pPr>
                <w:rPr>
                  <w:szCs w:val="21"/>
                </w:rPr>
              </w:pPr>
              <w:r w:rsidRPr="003A3F3F">
                <w:rPr>
                  <w:rFonts w:hint="eastAsia"/>
                  <w:szCs w:val="21"/>
                </w:rPr>
                <w:t>畅捷通在履行了合同中的履约义务，即在客户取得相关商品或服务控制权时确认收入。取得相关商品或服务的控制权，是指能够主导该商品的使用或该服务的提供并从中获得几乎全部的经济利益。</w:t>
              </w:r>
            </w:p>
            <w:p w:rsidR="003A3F3F" w:rsidRPr="003A3F3F" w:rsidRDefault="003A3F3F" w:rsidP="003A3F3F">
              <w:pPr>
                <w:rPr>
                  <w:szCs w:val="21"/>
                </w:rPr>
              </w:pPr>
            </w:p>
            <w:p w:rsidR="003A3F3F" w:rsidRPr="003A3F3F" w:rsidRDefault="003A3F3F" w:rsidP="003A3F3F">
              <w:pPr>
                <w:rPr>
                  <w:szCs w:val="21"/>
                </w:rPr>
              </w:pPr>
              <w:r w:rsidRPr="003A3F3F">
                <w:rPr>
                  <w:rFonts w:hint="eastAsia"/>
                  <w:szCs w:val="21"/>
                </w:rPr>
                <w:t>销售商品合同</w:t>
              </w:r>
            </w:p>
            <w:p w:rsidR="003A3F3F" w:rsidRPr="003A3F3F" w:rsidRDefault="003A3F3F" w:rsidP="003A3F3F">
              <w:pPr>
                <w:rPr>
                  <w:szCs w:val="21"/>
                </w:rPr>
              </w:pPr>
            </w:p>
            <w:p w:rsidR="003A3F3F" w:rsidRPr="003A3F3F" w:rsidRDefault="003A3F3F" w:rsidP="003A3F3F">
              <w:pPr>
                <w:rPr>
                  <w:szCs w:val="21"/>
                </w:rPr>
              </w:pPr>
              <w:r w:rsidRPr="003A3F3F">
                <w:rPr>
                  <w:rFonts w:hint="eastAsia"/>
                  <w:szCs w:val="21"/>
                </w:rPr>
                <w:t>畅捷通与客户之间的销售商品合同通常包含销售软件产品及提供售后支持服务的履约义务。畅捷通通常在综合考虑了下列因素的基础上，以客户收到软件商品</w:t>
              </w:r>
              <w:r w:rsidRPr="003A3F3F">
                <w:rPr>
                  <w:szCs w:val="21"/>
                </w:rPr>
                <w:t>]时点确认销售软件产品收入：取得商品的现时收款权利、商品所有权上的主要风险和报酬的转移、商品的法定所有权的转移、商品实物资产的转移、客户接受该商品。对于提供售后支持服务的履约义务，畅捷通按照下述提供服务合同相关政策确认收入。</w:t>
              </w:r>
            </w:p>
            <w:p w:rsidR="003A3F3F" w:rsidRPr="003A3F3F" w:rsidRDefault="003A3F3F" w:rsidP="003A3F3F">
              <w:pPr>
                <w:rPr>
                  <w:szCs w:val="21"/>
                </w:rPr>
              </w:pPr>
            </w:p>
            <w:p w:rsidR="003A3F3F" w:rsidRPr="003A3F3F" w:rsidRDefault="003A3F3F" w:rsidP="003A3F3F">
              <w:pPr>
                <w:rPr>
                  <w:szCs w:val="21"/>
                </w:rPr>
              </w:pPr>
              <w:r w:rsidRPr="003A3F3F">
                <w:rPr>
                  <w:rFonts w:hint="eastAsia"/>
                  <w:szCs w:val="21"/>
                </w:rPr>
                <w:t>提供服务合同</w:t>
              </w:r>
            </w:p>
            <w:p w:rsidR="003A3F3F" w:rsidRPr="003A3F3F" w:rsidRDefault="003A3F3F" w:rsidP="003A3F3F">
              <w:pPr>
                <w:rPr>
                  <w:szCs w:val="21"/>
                </w:rPr>
              </w:pPr>
            </w:p>
            <w:p w:rsidR="003A3F3F" w:rsidRPr="003A3F3F" w:rsidRDefault="003A3F3F" w:rsidP="003A3F3F">
              <w:pPr>
                <w:rPr>
                  <w:szCs w:val="21"/>
                </w:rPr>
              </w:pPr>
              <w:r w:rsidRPr="003A3F3F">
                <w:rPr>
                  <w:rFonts w:hint="eastAsia"/>
                  <w:szCs w:val="21"/>
                </w:rPr>
                <w:t>畅捷通与客户之间的提供服务合同通常包含云服务业务中提供云服务的履约义务，由于畅捷通履约的同时客户即取得并消耗成接通履约所带来的经济利益</w:t>
              </w:r>
              <w:r w:rsidRPr="003A3F3F">
                <w:rPr>
                  <w:szCs w:val="21"/>
                </w:rPr>
                <w:t>/客户能够控制畅捷通履约过程中的在建商品/畅捷通履约过程中所提供的服务具有不可替代用途，且畅捷通在整个合同期间内有权就累计至今已完成的履约部分收入款项，畅捷通将其作为在某一时段内履行的履约义务，按照履约进度确认收入，履约进度不能合理确定的除外。畅捷通按照投入法确定提供服务的履约进度。对于履约进度不能合理确定时，畅捷通已经发生的成本预计能够得到补偿的，按照已经发生的成本金额确认</w:t>
              </w:r>
              <w:r w:rsidRPr="003A3F3F">
                <w:rPr>
                  <w:rFonts w:hint="eastAsia"/>
                  <w:szCs w:val="21"/>
                </w:rPr>
                <w:t>收入，直到履约进度能够合理确定为止。</w:t>
              </w:r>
            </w:p>
            <w:p w:rsidR="003A3F3F" w:rsidRPr="003A3F3F" w:rsidRDefault="003A3F3F" w:rsidP="003A3F3F">
              <w:pPr>
                <w:rPr>
                  <w:szCs w:val="21"/>
                </w:rPr>
              </w:pPr>
            </w:p>
            <w:p w:rsidR="003A3F3F" w:rsidRPr="003A3F3F" w:rsidRDefault="003A3F3F" w:rsidP="003A3F3F">
              <w:pPr>
                <w:rPr>
                  <w:szCs w:val="21"/>
                </w:rPr>
              </w:pPr>
              <w:r w:rsidRPr="003A3F3F">
                <w:rPr>
                  <w:rFonts w:hint="eastAsia"/>
                  <w:szCs w:val="21"/>
                </w:rPr>
                <w:t>应付客户对价</w:t>
              </w:r>
            </w:p>
            <w:p w:rsidR="003A3F3F" w:rsidRPr="003A3F3F" w:rsidRDefault="003A3F3F" w:rsidP="003A3F3F">
              <w:pPr>
                <w:rPr>
                  <w:szCs w:val="21"/>
                </w:rPr>
              </w:pPr>
            </w:p>
            <w:p w:rsidR="00ED2DC7" w:rsidRDefault="003A3F3F" w:rsidP="003A3F3F">
              <w:pPr>
                <w:rPr>
                  <w:szCs w:val="21"/>
                </w:rPr>
              </w:pPr>
              <w:r w:rsidRPr="003A3F3F">
                <w:rPr>
                  <w:rFonts w:hint="eastAsia"/>
                  <w:szCs w:val="21"/>
                </w:rPr>
                <w:t>对于应付客户对价，畅捷通将该应付客户对价冲减交易价格，并在确认相关收入与支付</w:t>
              </w:r>
              <w:r w:rsidRPr="003A3F3F">
                <w:rPr>
                  <w:szCs w:val="21"/>
                </w:rPr>
                <w:t>(或承诺支付)客户对价二者孰晚的时点冲减当期收入，除非该应付对价是为了向客户取得其他可明确区分商品。</w:t>
              </w:r>
            </w:p>
          </w:sdtContent>
        </w:sdt>
        <w:p w:rsidR="00ED2DC7" w:rsidRDefault="000D0A99"/>
      </w:sdtContent>
    </w:sdt>
    <w:bookmarkEnd w:id="85" w:displacedByCustomXml="prev"/>
    <w:bookmarkStart w:id="86" w:name="_Hlk10465594" w:displacedByCustomXml="next"/>
    <w:sdt>
      <w:sdtPr>
        <w:rPr>
          <w:rFonts w:ascii="宋体" w:hAnsi="宋体" w:cs="宋体" w:hint="eastAsia"/>
          <w:b w:val="0"/>
          <w:bCs w:val="0"/>
          <w:kern w:val="0"/>
          <w:szCs w:val="21"/>
        </w:rPr>
        <w:alias w:val="模块:同类业务采用不同经营模式导致收入确认会计政策存在差异的情况"/>
        <w:tag w:val="_SEC_d90e7184f27046ff9caab68c045539c7"/>
        <w:id w:val="395254860"/>
        <w:lock w:val="sdtLocked"/>
        <w:placeholder>
          <w:docPart w:val="GBC22222222222222222222222222222"/>
        </w:placeholder>
      </w:sdtPr>
      <w:sdtEndPr>
        <w:rPr>
          <w:rFonts w:hint="default"/>
        </w:rPr>
      </w:sdtEndPr>
      <w:sdtContent>
        <w:p w:rsidR="00ED2DC7" w:rsidRPr="009F6182" w:rsidRDefault="00ED2DC7" w:rsidP="00036BDC">
          <w:pPr>
            <w:pStyle w:val="affffffffffffffffff2"/>
            <w:numPr>
              <w:ilvl w:val="3"/>
              <w:numId w:val="43"/>
            </w:numPr>
            <w:ind w:left="426" w:hanging="426"/>
            <w:rPr>
              <w:szCs w:val="21"/>
            </w:rPr>
          </w:pPr>
          <w:r w:rsidRPr="009F6182">
            <w:rPr>
              <w:rFonts w:hint="eastAsia"/>
              <w:szCs w:val="21"/>
            </w:rPr>
            <w:t>同类业务采用不同经营模式导致收入确认会计政策存在差异的情况</w:t>
          </w:r>
        </w:p>
        <w:sdt>
          <w:sdtPr>
            <w:rPr>
              <w:szCs w:val="21"/>
            </w:rPr>
            <w:alias w:val="是否适用：同类业务采用不同经营模式导致收入确认会计政策存在差异的情况[双击切换]"/>
            <w:tag w:val="_GBC_f4f4337356c44180a833322bec4248a8"/>
            <w:id w:val="709304982"/>
            <w:lock w:val="sdtContentLocked"/>
            <w:placeholder>
              <w:docPart w:val="GBC22222222222222222222222222222"/>
            </w:placeholder>
          </w:sdtPr>
          <w:sdtContent>
            <w:p w:rsidR="00ED2DC7" w:rsidRDefault="00ED2DC7" w:rsidP="007565F3">
              <w:pPr>
                <w:rPr>
                  <w:szCs w:val="21"/>
                </w:rPr>
              </w:pPr>
              <w:r>
                <w:rPr>
                  <w:szCs w:val="21"/>
                </w:rPr>
                <w:fldChar w:fldCharType="begin"/>
              </w:r>
              <w:r w:rsidR="007565F3">
                <w:rPr>
                  <w:szCs w:val="21"/>
                </w:rPr>
                <w:instrText xml:space="preserve"> MACROBUTTON  SnrToggleCheckbox □适用 </w:instrText>
              </w:r>
              <w:r>
                <w:rPr>
                  <w:szCs w:val="21"/>
                </w:rPr>
                <w:fldChar w:fldCharType="end"/>
              </w:r>
              <w:r>
                <w:rPr>
                  <w:szCs w:val="21"/>
                </w:rPr>
                <w:fldChar w:fldCharType="begin"/>
              </w:r>
              <w:r w:rsidR="007565F3">
                <w:rPr>
                  <w:szCs w:val="21"/>
                </w:rPr>
                <w:instrText xml:space="preserve"> MACROBUTTON  SnrToggleCheckbox √不适用 </w:instrText>
              </w:r>
              <w:r>
                <w:rPr>
                  <w:szCs w:val="21"/>
                </w:rPr>
                <w:fldChar w:fldCharType="end"/>
              </w:r>
            </w:p>
          </w:sdtContent>
        </w:sdt>
        <w:p w:rsidR="00ED2DC7" w:rsidRDefault="000D0A99">
          <w:pPr>
            <w:rPr>
              <w:szCs w:val="21"/>
            </w:rPr>
          </w:pPr>
        </w:p>
      </w:sdtContent>
    </w:sdt>
    <w:bookmarkEnd w:id="86" w:displacedByCustomXml="prev"/>
    <w:p w:rsidR="00ED2DC7" w:rsidRDefault="00ED2DC7">
      <w:pPr>
        <w:rPr>
          <w:szCs w:val="21"/>
        </w:rPr>
      </w:pPr>
    </w:p>
    <w:bookmarkStart w:id="87" w:name="_Hlk10465679" w:displacedByCustomXml="next"/>
    <w:sdt>
      <w:sdtPr>
        <w:rPr>
          <w:rFonts w:ascii="宋体" w:hAnsi="宋体" w:cs="宋体" w:hint="eastAsia"/>
          <w:b w:val="0"/>
          <w:bCs w:val="0"/>
          <w:kern w:val="0"/>
          <w:szCs w:val="21"/>
        </w:rPr>
        <w:alias w:val="模块:合同成本"/>
        <w:tag w:val="_SEC_1a8f2a657b9d471d80373f3b25cb1dfe"/>
        <w:id w:val="-524095498"/>
        <w:lock w:val="sdtLocked"/>
        <w:placeholder>
          <w:docPart w:val="GBC22222222222222222222222222222"/>
        </w:placeholder>
      </w:sdtPr>
      <w:sdtEndPr>
        <w:rPr>
          <w:rFonts w:hint="default"/>
        </w:rPr>
      </w:sdtEndPr>
      <w:sdtContent>
        <w:p w:rsidR="00ED2DC7" w:rsidRDefault="00ED2DC7" w:rsidP="00036BDC">
          <w:pPr>
            <w:pStyle w:val="affffffffffffffffff1"/>
            <w:numPr>
              <w:ilvl w:val="0"/>
              <w:numId w:val="38"/>
            </w:numPr>
            <w:rPr>
              <w:szCs w:val="21"/>
            </w:rPr>
          </w:pPr>
          <w:r>
            <w:rPr>
              <w:rFonts w:hint="eastAsia"/>
              <w:szCs w:val="21"/>
            </w:rPr>
            <w:t>合同成本</w:t>
          </w:r>
        </w:p>
        <w:sdt>
          <w:sdtPr>
            <w:alias w:val="是否适用：合同成本_重要会计政策和估计[双击切换]"/>
            <w:tag w:val="_GBC_d7752b20e4914f04bf87bad019929fe8"/>
            <w:id w:val="-764615642"/>
            <w:lock w:val="sdtContentLocked"/>
            <w:placeholder>
              <w:docPart w:val="GBC22222222222222222222222222222"/>
            </w:placeholder>
          </w:sdtPr>
          <w:sdtContent>
            <w:p w:rsidR="00ED2DC7" w:rsidRDefault="00ED2DC7" w:rsidP="007565F3">
              <w:r>
                <w:fldChar w:fldCharType="begin"/>
              </w:r>
              <w:r w:rsidR="007565F3">
                <w:instrText xml:space="preserve"> MACROBUTTON  SnrToggleCheckbox □适用 </w:instrText>
              </w:r>
              <w:r>
                <w:fldChar w:fldCharType="end"/>
              </w:r>
              <w:r>
                <w:fldChar w:fldCharType="begin"/>
              </w:r>
              <w:r w:rsidR="007565F3">
                <w:instrText xml:space="preserve"> MACROBUTTON  SnrToggleCheckbox √不适用 </w:instrText>
              </w:r>
              <w:r>
                <w:fldChar w:fldCharType="end"/>
              </w:r>
            </w:p>
          </w:sdtContent>
        </w:sdt>
        <w:p w:rsidR="00ED2DC7" w:rsidRDefault="000D0A99">
          <w:pPr>
            <w:rPr>
              <w:szCs w:val="21"/>
            </w:rPr>
          </w:pPr>
        </w:p>
      </w:sdtContent>
    </w:sdt>
    <w:bookmarkEnd w:id="87" w:displacedByCustomXml="prev"/>
    <w:bookmarkStart w:id="88" w:name="_Hlk10465775" w:displacedByCustomXml="next"/>
    <w:sdt>
      <w:sdtPr>
        <w:rPr>
          <w:rFonts w:ascii="宋体" w:hAnsi="宋体" w:cs="宋体"/>
          <w:b w:val="0"/>
          <w:bCs w:val="0"/>
          <w:kern w:val="0"/>
          <w:szCs w:val="24"/>
        </w:rPr>
        <w:alias w:val="模块:政府补助会计处理方法"/>
        <w:tag w:val="_GBC_b03bd816e50b42ae97b660897ca33234"/>
        <w:id w:val="917823729"/>
        <w:lock w:val="sdtLocked"/>
        <w:placeholder>
          <w:docPart w:val="GBC22222222222222222222222222222"/>
        </w:placeholder>
      </w:sdtPr>
      <w:sdtEndPr>
        <w:rPr>
          <w:b/>
          <w:bCs/>
          <w:szCs w:val="21"/>
        </w:rPr>
      </w:sdtEndPr>
      <w:sdtContent>
        <w:p w:rsidR="00ED2DC7" w:rsidRDefault="00ED2DC7" w:rsidP="00036BDC">
          <w:pPr>
            <w:pStyle w:val="affffffffffffffffff1"/>
            <w:numPr>
              <w:ilvl w:val="0"/>
              <w:numId w:val="38"/>
            </w:numPr>
          </w:pPr>
          <w:r>
            <w:t>政府补助</w:t>
          </w:r>
        </w:p>
        <w:sdt>
          <w:sdtPr>
            <w:alias w:val="是否适用：政府补助_重要会计政策和估计[双击切换]"/>
            <w:tag w:val="_GBC_09d5ec3540ea4d9a8e10c93326c490a0"/>
            <w:id w:val="199061106"/>
            <w:lock w:val="sdtContentLocked"/>
            <w:placeholder>
              <w:docPart w:val="GBC22222222222222222222222222222"/>
            </w:placeholder>
          </w:sdtPr>
          <w:sdtContent>
            <w:p w:rsidR="00ED2DC7" w:rsidRDefault="00ED2DC7">
              <w:r>
                <w:fldChar w:fldCharType="begin"/>
              </w:r>
              <w:r w:rsidR="00DF73AB">
                <w:instrText xml:space="preserve"> MACROBUTTON  SnrToggleCheckbox √适用 </w:instrText>
              </w:r>
              <w:r>
                <w:fldChar w:fldCharType="end"/>
              </w:r>
              <w:r>
                <w:fldChar w:fldCharType="begin"/>
              </w:r>
              <w:r w:rsidR="00DF73AB">
                <w:instrText xml:space="preserve"> MACROBUTTON  SnrToggleCheckbox □不适用 </w:instrText>
              </w:r>
              <w:r>
                <w:fldChar w:fldCharType="end"/>
              </w:r>
            </w:p>
          </w:sdtContent>
        </w:sdt>
        <w:sdt>
          <w:sdtPr>
            <w:alias w:val="政府补助_重要会计政策和估计"/>
            <w:tag w:val="_GBC_f313a7b8b81b4ed0845a3af1ac57e5e8"/>
            <w:id w:val="1778596825"/>
            <w:lock w:val="sdtLocked"/>
            <w:placeholder>
              <w:docPart w:val="GBC22222222222222222222222222222"/>
            </w:placeholder>
          </w:sdtPr>
          <w:sdtContent>
            <w:p w:rsidR="007565F3" w:rsidRDefault="007565F3" w:rsidP="007565F3">
              <w:r>
                <w:rPr>
                  <w:rFonts w:hint="eastAsia"/>
                </w:rPr>
                <w:t>政府补助在能够满足其所附的条件并且能够收到时，予以确认。政府补助为货币性资产的，按照收到或应收的金额计量。政府补助为非货币性资产的，按照公允价值计量；公允价值不能可靠取得的，按照名义金额计量。</w:t>
              </w:r>
            </w:p>
            <w:p w:rsidR="007565F3" w:rsidRDefault="007565F3" w:rsidP="007565F3"/>
            <w:p w:rsidR="007565F3" w:rsidRDefault="007565F3" w:rsidP="007565F3">
              <w:r>
                <w:rPr>
                  <w:rFonts w:hint="eastAsia"/>
                </w:rPr>
                <w:t>政府文件规定用于购建或以其他方式形成长期资产的，作为与资产相关的政府补助；政府文件不明确的，以取得该补助必须具备的基本条件为基础进行判断，以购建或其他方式形成长期资产为基本条件的作为与资产相关的政府补助，除此之外的作为与收益相关的政府补助。</w:t>
              </w:r>
            </w:p>
            <w:p w:rsidR="007565F3" w:rsidRDefault="007565F3" w:rsidP="007565F3"/>
            <w:p w:rsidR="007565F3" w:rsidRDefault="007565F3" w:rsidP="007565F3">
              <w:r>
                <w:rPr>
                  <w:rFonts w:hint="eastAsia"/>
                </w:rPr>
                <w:t>与收益相关的政府补助，用于补偿以后期间的相关成本费用或损失的，确认为递延收益，并在确认相关成本费用或损失的期间计入当期损益或冲减相关成本；用于补偿已发生的相关成本费用或损失的，直接计入当期损益或冲减相关成本。</w:t>
              </w:r>
            </w:p>
            <w:p w:rsidR="007565F3" w:rsidRDefault="007565F3" w:rsidP="007565F3"/>
            <w:p w:rsidR="00ED2DC7" w:rsidRDefault="007565F3" w:rsidP="007565F3">
              <w:r w:rsidRPr="007565F3">
                <w:rPr>
                  <w:rFonts w:hint="eastAsia"/>
                </w:rPr>
                <w:t>与资产相关的政府补助，冲减相关资产的账面价值；或确认为递延收益，在相关资产使用寿命内按照合理、系统的方法分期，计入损益</w:t>
              </w:r>
              <w:r w:rsidRPr="007565F3">
                <w:t>(但按照名义金额计量的政府补助，直接计入当期损益)，相关资产在使用寿命结束前被出售、转让、报废或发生毁损的，</w:t>
              </w:r>
              <w:r w:rsidR="00122393" w:rsidRPr="00122393">
                <w:rPr>
                  <w:rFonts w:hint="eastAsia"/>
                </w:rPr>
                <w:t>尚未分配的相关递延收益余额转入资产处置当期的损益。</w:t>
              </w:r>
            </w:p>
          </w:sdtContent>
        </w:sdt>
      </w:sdtContent>
    </w:sdt>
    <w:bookmarkEnd w:id="88" w:displacedByCustomXml="prev"/>
    <w:p w:rsidR="00ED2DC7" w:rsidRDefault="00ED2DC7">
      <w:pPr>
        <w:rPr>
          <w:szCs w:val="21"/>
        </w:rPr>
      </w:pPr>
    </w:p>
    <w:sdt>
      <w:sdtPr>
        <w:rPr>
          <w:rFonts w:asciiTheme="minorHAnsi" w:hAnsiTheme="minorHAnsi" w:cs="宋体"/>
          <w:b w:val="0"/>
          <w:bCs w:val="0"/>
          <w:kern w:val="0"/>
          <w:szCs w:val="22"/>
        </w:rPr>
        <w:alias w:val="模块:递延所得税资产/递延所得税负债会计处理方法"/>
        <w:tag w:val="_GBC_01f1973e44f24cd99b90200f8205be13"/>
        <w:id w:val="-445859225"/>
        <w:lock w:val="sdtLocked"/>
        <w:placeholder>
          <w:docPart w:val="GBC22222222222222222222222222222"/>
        </w:placeholder>
      </w:sdtPr>
      <w:sdtEndPr>
        <w:rPr>
          <w:rFonts w:ascii="宋体" w:hAnsi="宋体" w:cs="Times New Roman" w:hint="eastAsia"/>
          <w:kern w:val="2"/>
          <w:szCs w:val="21"/>
        </w:rPr>
      </w:sdtEndPr>
      <w:sdtContent>
        <w:p w:rsidR="00ED2DC7" w:rsidRDefault="00ED2DC7" w:rsidP="00036BDC">
          <w:pPr>
            <w:pStyle w:val="affffffffffffffffff1"/>
            <w:numPr>
              <w:ilvl w:val="0"/>
              <w:numId w:val="38"/>
            </w:numPr>
          </w:pPr>
          <w:r>
            <w:t>递延所得税资产</w:t>
          </w:r>
          <w:r>
            <w:t>/</w:t>
          </w:r>
          <w:r>
            <w:t>递延所得税负债</w:t>
          </w:r>
        </w:p>
        <w:sdt>
          <w:sdtPr>
            <w:rPr>
              <w:rFonts w:hint="eastAsia"/>
              <w:szCs w:val="21"/>
            </w:rPr>
            <w:alias w:val="是否适用：所得税的会计处理方法[双击切换]"/>
            <w:tag w:val="_GBC_3e4bb828d17944599248216201e65683"/>
            <w:id w:val="-108435792"/>
            <w:lock w:val="sdtContentLocked"/>
            <w:placeholder>
              <w:docPart w:val="GBC22222222222222222222222222222"/>
            </w:placeholder>
          </w:sdtPr>
          <w:sdtContent>
            <w:p w:rsidR="00ED2DC7" w:rsidRDefault="00ED2DC7">
              <w:pPr>
                <w:rPr>
                  <w:szCs w:val="21"/>
                </w:rPr>
              </w:pPr>
              <w:r>
                <w:rPr>
                  <w:szCs w:val="21"/>
                </w:rPr>
                <w:fldChar w:fldCharType="begin"/>
              </w:r>
              <w:r w:rsidR="00DF73AB">
                <w:rPr>
                  <w:szCs w:val="21"/>
                </w:rPr>
                <w:instrText xml:space="preserve"> MACROBUTTON  SnrToggleCheckbox √适用 </w:instrText>
              </w:r>
              <w:r>
                <w:rPr>
                  <w:szCs w:val="21"/>
                </w:rPr>
                <w:fldChar w:fldCharType="end"/>
              </w:r>
              <w:r>
                <w:rPr>
                  <w:szCs w:val="21"/>
                </w:rPr>
                <w:fldChar w:fldCharType="begin"/>
              </w:r>
              <w:r w:rsidR="00DF73AB">
                <w:rPr>
                  <w:szCs w:val="21"/>
                </w:rPr>
                <w:instrText xml:space="preserve"> MACROBUTTON  SnrToggleCheckbox □不适用 </w:instrText>
              </w:r>
              <w:r>
                <w:rPr>
                  <w:szCs w:val="21"/>
                </w:rPr>
                <w:fldChar w:fldCharType="end"/>
              </w:r>
            </w:p>
          </w:sdtContent>
        </w:sdt>
        <w:sdt>
          <w:sdtPr>
            <w:rPr>
              <w:rFonts w:hint="eastAsia"/>
              <w:szCs w:val="21"/>
            </w:rPr>
            <w:alias w:val="所得税的会计处理方法"/>
            <w:tag w:val="_GBC_545dd84ed2b9458fa5e2b87aa1e1cc1c"/>
            <w:id w:val="-841780014"/>
            <w:lock w:val="sdtLocked"/>
            <w:placeholder>
              <w:docPart w:val="GBC22222222222222222222222222222"/>
            </w:placeholder>
          </w:sdtPr>
          <w:sdtContent>
            <w:p w:rsidR="007565F3" w:rsidRPr="007565F3" w:rsidRDefault="007565F3" w:rsidP="007565F3">
              <w:pPr>
                <w:rPr>
                  <w:szCs w:val="21"/>
                </w:rPr>
              </w:pPr>
              <w:r w:rsidRPr="007565F3">
                <w:rPr>
                  <w:rFonts w:hint="eastAsia"/>
                  <w:szCs w:val="21"/>
                </w:rPr>
                <w:t>所得税包括当期所得税和递延所得税。除由于企业合并产生的调整商誉，或与直接计入股东权益的交易或者事项相关的计入股东权益外，均作为所得税费用或收益计入当期损益。</w:t>
              </w:r>
            </w:p>
            <w:p w:rsidR="007565F3" w:rsidRPr="007565F3" w:rsidRDefault="007565F3" w:rsidP="007565F3">
              <w:pPr>
                <w:rPr>
                  <w:szCs w:val="21"/>
                </w:rPr>
              </w:pPr>
            </w:p>
            <w:p w:rsidR="007565F3" w:rsidRPr="007565F3" w:rsidRDefault="007565F3" w:rsidP="007565F3">
              <w:pPr>
                <w:rPr>
                  <w:szCs w:val="21"/>
                </w:rPr>
              </w:pPr>
              <w:r w:rsidRPr="007565F3">
                <w:rPr>
                  <w:rFonts w:hint="eastAsia"/>
                  <w:szCs w:val="21"/>
                </w:rPr>
                <w:t>本集团对于当期和以前期间形成的当期所得税负债或资产，按照税法规定计算的预期应交纳或返还的所得税金额计量。</w:t>
              </w:r>
            </w:p>
            <w:p w:rsidR="007565F3" w:rsidRPr="007565F3" w:rsidRDefault="007565F3" w:rsidP="007565F3">
              <w:pPr>
                <w:rPr>
                  <w:szCs w:val="21"/>
                </w:rPr>
              </w:pPr>
            </w:p>
            <w:p w:rsidR="007565F3" w:rsidRPr="007565F3" w:rsidRDefault="007565F3" w:rsidP="007565F3">
              <w:pPr>
                <w:rPr>
                  <w:szCs w:val="21"/>
                </w:rPr>
              </w:pPr>
              <w:r w:rsidRPr="007565F3">
                <w:rPr>
                  <w:rFonts w:hint="eastAsia"/>
                  <w:szCs w:val="21"/>
                </w:rPr>
                <w:t>本集团根据资产与负债于资产负债表日的账面价值与计税基础之间的暂时性差异，以及未作为资产和负债确认但按照税法规定可以确定其计税基础的项目的账面价值与计税基础之间的差额产生的暂时性差异，采用资产负债表债务法计提递延所得税。</w:t>
              </w:r>
            </w:p>
            <w:p w:rsidR="007565F3" w:rsidRPr="007565F3" w:rsidRDefault="007565F3" w:rsidP="007565F3">
              <w:pPr>
                <w:rPr>
                  <w:szCs w:val="21"/>
                </w:rPr>
              </w:pPr>
            </w:p>
            <w:p w:rsidR="007565F3" w:rsidRPr="007565F3" w:rsidRDefault="007565F3" w:rsidP="007565F3">
              <w:pPr>
                <w:rPr>
                  <w:szCs w:val="21"/>
                </w:rPr>
              </w:pPr>
              <w:r w:rsidRPr="007565F3">
                <w:rPr>
                  <w:rFonts w:hint="eastAsia"/>
                  <w:szCs w:val="21"/>
                </w:rPr>
                <w:t>各种应纳税暂时性差异均据应确认递延所得税负债，除非：</w:t>
              </w:r>
            </w:p>
            <w:p w:rsidR="007565F3" w:rsidRPr="007565F3" w:rsidRDefault="007565F3" w:rsidP="007565F3">
              <w:pPr>
                <w:rPr>
                  <w:szCs w:val="21"/>
                </w:rPr>
              </w:pPr>
            </w:p>
            <w:p w:rsidR="007565F3" w:rsidRPr="007565F3" w:rsidRDefault="007565F3" w:rsidP="007565F3">
              <w:pPr>
                <w:rPr>
                  <w:szCs w:val="21"/>
                </w:rPr>
              </w:pPr>
              <w:r w:rsidRPr="007565F3">
                <w:rPr>
                  <w:rFonts w:hint="eastAsia"/>
                  <w:szCs w:val="21"/>
                </w:rPr>
                <w:t>（</w:t>
              </w:r>
              <w:r w:rsidRPr="007565F3">
                <w:rPr>
                  <w:szCs w:val="21"/>
                </w:rPr>
                <w:t>1）</w:t>
              </w:r>
              <w:r w:rsidRPr="007565F3">
                <w:rPr>
                  <w:szCs w:val="21"/>
                </w:rPr>
                <w:tab/>
                <w:t>应纳税暂时性差异是在以下交易中产生的：商誉的初始确认，或者具有以下特征的交易中产生的资产或负债的初始确认：该交易不是企业合并，并且交易发生时既不影响会计利润也不影响应纳税所得额或可抵扣亏损。</w:t>
              </w:r>
            </w:p>
            <w:p w:rsidR="007565F3" w:rsidRPr="007565F3" w:rsidRDefault="007565F3" w:rsidP="007565F3">
              <w:pPr>
                <w:rPr>
                  <w:szCs w:val="21"/>
                </w:rPr>
              </w:pPr>
              <w:r w:rsidRPr="007565F3">
                <w:rPr>
                  <w:rFonts w:hint="eastAsia"/>
                  <w:szCs w:val="21"/>
                </w:rPr>
                <w:t>（</w:t>
              </w:r>
              <w:r w:rsidRPr="007565F3">
                <w:rPr>
                  <w:szCs w:val="21"/>
                </w:rPr>
                <w:t>2）</w:t>
              </w:r>
              <w:r w:rsidRPr="007565F3">
                <w:rPr>
                  <w:szCs w:val="21"/>
                </w:rPr>
                <w:tab/>
                <w:t>对于与子公司及联营企业投资相关的应纳税暂时性差异，该暂时性差异转回的时间能够控制并且该暂时性差异在可预见的未来很可能不会转回。</w:t>
              </w:r>
            </w:p>
            <w:p w:rsidR="007565F3" w:rsidRPr="007565F3" w:rsidRDefault="007565F3" w:rsidP="007565F3">
              <w:pPr>
                <w:rPr>
                  <w:szCs w:val="21"/>
                </w:rPr>
              </w:pPr>
            </w:p>
            <w:p w:rsidR="007565F3" w:rsidRPr="007565F3" w:rsidRDefault="007565F3" w:rsidP="007565F3">
              <w:pPr>
                <w:rPr>
                  <w:szCs w:val="21"/>
                </w:rPr>
              </w:pPr>
              <w:r w:rsidRPr="007565F3">
                <w:rPr>
                  <w:rFonts w:hint="eastAsia"/>
                  <w:szCs w:val="21"/>
                </w:rPr>
                <w:t>对于可抵扣暂时性差异、能够结转以后年度的可抵扣亏损和税款抵减，本集团以很可能取得用来抵扣可抵扣暂时性差异、可抵扣亏损和税款抵减的未来应纳税所得额为限，确认由此产生的递延所得税资产，除非：</w:t>
              </w:r>
            </w:p>
            <w:p w:rsidR="007565F3" w:rsidRPr="007565F3" w:rsidRDefault="007565F3" w:rsidP="007565F3">
              <w:pPr>
                <w:rPr>
                  <w:szCs w:val="21"/>
                </w:rPr>
              </w:pPr>
            </w:p>
            <w:p w:rsidR="007565F3" w:rsidRPr="007565F3" w:rsidRDefault="007565F3" w:rsidP="007565F3">
              <w:pPr>
                <w:rPr>
                  <w:szCs w:val="21"/>
                </w:rPr>
              </w:pPr>
              <w:r w:rsidRPr="007565F3">
                <w:rPr>
                  <w:rFonts w:hint="eastAsia"/>
                  <w:szCs w:val="21"/>
                </w:rPr>
                <w:t>（</w:t>
              </w:r>
              <w:r w:rsidRPr="007565F3">
                <w:rPr>
                  <w:szCs w:val="21"/>
                </w:rPr>
                <w:t>1）</w:t>
              </w:r>
              <w:r w:rsidRPr="007565F3">
                <w:rPr>
                  <w:szCs w:val="21"/>
                </w:rPr>
                <w:tab/>
                <w:t>可抵扣暂时性差异是在以下交易中产生的：该交易不是企业合并，并且交易发生时既不影响会计利润也不影响应纳税所得额或可抵扣亏损。</w:t>
              </w:r>
            </w:p>
            <w:p w:rsidR="007565F3" w:rsidRPr="007565F3" w:rsidRDefault="007565F3" w:rsidP="007565F3">
              <w:pPr>
                <w:rPr>
                  <w:szCs w:val="21"/>
                </w:rPr>
              </w:pPr>
              <w:r w:rsidRPr="007565F3">
                <w:rPr>
                  <w:rFonts w:hint="eastAsia"/>
                  <w:szCs w:val="21"/>
                </w:rPr>
                <w:t>（</w:t>
              </w:r>
              <w:r w:rsidRPr="007565F3">
                <w:rPr>
                  <w:szCs w:val="21"/>
                </w:rPr>
                <w:t>2）</w:t>
              </w:r>
              <w:r w:rsidRPr="007565F3">
                <w:rPr>
                  <w:szCs w:val="21"/>
                </w:rPr>
                <w:tab/>
                <w:t>对于与子公司及联营企业投资相关的可抵扣暂时性差异，同时满足下列条件的，确认相应的递延所得税资产：暂时性差异在可预见的未来很可能转回，且未来很可能获得用来抵扣可抵扣暂时性差异的应纳税所得额。</w:t>
              </w:r>
            </w:p>
            <w:p w:rsidR="007565F3" w:rsidRPr="007565F3" w:rsidRDefault="007565F3" w:rsidP="007565F3">
              <w:pPr>
                <w:rPr>
                  <w:szCs w:val="21"/>
                </w:rPr>
              </w:pPr>
            </w:p>
            <w:p w:rsidR="007565F3" w:rsidRPr="007565F3" w:rsidRDefault="007565F3" w:rsidP="007565F3">
              <w:pPr>
                <w:rPr>
                  <w:szCs w:val="21"/>
                </w:rPr>
              </w:pPr>
              <w:r w:rsidRPr="007565F3">
                <w:rPr>
                  <w:rFonts w:hint="eastAsia"/>
                  <w:szCs w:val="21"/>
                </w:rPr>
                <w:t>本集团于资产负债表日，对于递延所得税资产和递延所得税负债，依据税法规定，按照预期收回该资产或清偿该负债期间的适用税率计量，并反映资产负债表日预期收回资产或清偿负债方式的所得税影响。</w:t>
              </w:r>
            </w:p>
            <w:p w:rsidR="007565F3" w:rsidRPr="007565F3" w:rsidRDefault="007565F3" w:rsidP="007565F3">
              <w:pPr>
                <w:rPr>
                  <w:szCs w:val="21"/>
                </w:rPr>
              </w:pPr>
            </w:p>
            <w:p w:rsidR="007565F3" w:rsidRPr="007565F3" w:rsidRDefault="007565F3" w:rsidP="007565F3">
              <w:pPr>
                <w:rPr>
                  <w:szCs w:val="21"/>
                </w:rPr>
              </w:pPr>
              <w:r w:rsidRPr="007565F3">
                <w:rPr>
                  <w:rFonts w:hint="eastAsia"/>
                  <w:szCs w:val="21"/>
                </w:rPr>
                <w:t>于资产负债表日，本集团对递延所得税资产的账面价值进行复核，如果未来期间很可能无法获得足够的应纳税所得额用以抵扣递延所得税资产的利益，减记递延所得税资产的账面价值。于资产负债表日，本集团重新评估未确认的递延所得税资产，在很可能获得足够的应纳税所得额可供所有或部分递延所得税资产转回的限度内，确认递延所得税资产。</w:t>
              </w:r>
            </w:p>
            <w:p w:rsidR="007565F3" w:rsidRPr="007565F3" w:rsidRDefault="007565F3" w:rsidP="007565F3">
              <w:pPr>
                <w:rPr>
                  <w:szCs w:val="21"/>
                </w:rPr>
              </w:pPr>
            </w:p>
            <w:p w:rsidR="00ED2DC7" w:rsidRDefault="007565F3" w:rsidP="007565F3">
              <w:pPr>
                <w:rPr>
                  <w:szCs w:val="21"/>
                </w:rPr>
              </w:pPr>
              <w:r w:rsidRPr="007565F3">
                <w:rPr>
                  <w:rFonts w:hint="eastAsia"/>
                  <w:szCs w:val="21"/>
                </w:rPr>
                <w:t>同时满足下列条件时，递延所得税资产和递延所得税负债以抵销后的净额列示：拥有以净额结算当期所得税资产及当期所得税负债的法定权利；递延所得税资产和递延所得税负债是与同一税收征管部门对同一应纳税主体征收的所得税相关或者对不同的纳税主体相关，但在未来每一具有重要性的递延所得税资产和递延所得税负债转回的期间内，涉及的纳税主体体意图以净额结算当期所得税资产及当期所得税负债或是同时取得资产、清偿债务</w:t>
              </w:r>
              <w:r>
                <w:rPr>
                  <w:rFonts w:hint="eastAsia"/>
                  <w:szCs w:val="21"/>
                </w:rPr>
                <w:t>。</w:t>
              </w:r>
            </w:p>
          </w:sdtContent>
        </w:sdt>
      </w:sdtContent>
    </w:sdt>
    <w:p w:rsidR="00ED2DC7" w:rsidRDefault="00ED2DC7">
      <w:pPr>
        <w:rPr>
          <w:szCs w:val="21"/>
        </w:rPr>
      </w:pPr>
    </w:p>
    <w:sdt>
      <w:sdtPr>
        <w:rPr>
          <w:rFonts w:ascii="宋体" w:hAnsi="宋体" w:cs="宋体"/>
          <w:b w:val="0"/>
          <w:bCs w:val="0"/>
          <w:kern w:val="0"/>
          <w:szCs w:val="24"/>
        </w:rPr>
        <w:alias w:val="模块:经营租赁、融资租赁会计处理方法"/>
        <w:tag w:val="_GBC_f9ff4c1b9d1748b8854889b1fd9b076c"/>
        <w:id w:val="-275411082"/>
        <w:lock w:val="sdtLocked"/>
        <w:placeholder>
          <w:docPart w:val="GBC22222222222222222222222222222"/>
        </w:placeholder>
      </w:sdtPr>
      <w:sdtEndPr>
        <w:rPr>
          <w:rFonts w:hint="eastAsia"/>
          <w:szCs w:val="21"/>
        </w:rPr>
      </w:sdtEndPr>
      <w:sdtContent>
        <w:p w:rsidR="00ED2DC7" w:rsidRDefault="00ED2DC7" w:rsidP="00036BDC">
          <w:pPr>
            <w:pStyle w:val="affffffffffffffffff1"/>
            <w:numPr>
              <w:ilvl w:val="0"/>
              <w:numId w:val="38"/>
            </w:numPr>
          </w:pPr>
          <w:r>
            <w:t>租赁</w:t>
          </w:r>
        </w:p>
        <w:p w:rsidR="00ED2DC7" w:rsidRDefault="00ED2DC7" w:rsidP="00036BDC">
          <w:pPr>
            <w:pStyle w:val="affffffffffffffffff2"/>
            <w:numPr>
              <w:ilvl w:val="3"/>
              <w:numId w:val="44"/>
            </w:numPr>
            <w:ind w:left="426" w:hanging="426"/>
          </w:pPr>
          <w:r>
            <w:rPr>
              <w:rFonts w:hint="eastAsia"/>
            </w:rPr>
            <w:t>经营租赁的会计处理方法</w:t>
          </w:r>
        </w:p>
        <w:sdt>
          <w:sdtPr>
            <w:alias w:val="是否适用：经营租赁的会计处理方法[双击切换]"/>
            <w:tag w:val="_GBC_e2074b0f384d4bba80c32083627e5bdd"/>
            <w:id w:val="1609694881"/>
            <w:lock w:val="sdtContentLocked"/>
            <w:placeholder>
              <w:docPart w:val="GBC22222222222222222222222222222"/>
            </w:placeholder>
          </w:sdtPr>
          <w:sdtContent>
            <w:p w:rsidR="00ED2DC7" w:rsidRDefault="00ED2DC7">
              <w:r>
                <w:fldChar w:fldCharType="begin"/>
              </w:r>
              <w:r w:rsidR="00DF73AB">
                <w:instrText xml:space="preserve"> MACROBUTTON  SnrToggleCheckbox √适用 </w:instrText>
              </w:r>
              <w:r>
                <w:fldChar w:fldCharType="end"/>
              </w:r>
              <w:r>
                <w:fldChar w:fldCharType="begin"/>
              </w:r>
              <w:r w:rsidR="00DF73AB">
                <w:instrText xml:space="preserve"> MACROBUTTON  SnrToggleCheckbox □不适用 </w:instrText>
              </w:r>
              <w:r>
                <w:fldChar w:fldCharType="end"/>
              </w:r>
            </w:p>
          </w:sdtContent>
        </w:sdt>
        <w:sdt>
          <w:sdtPr>
            <w:rPr>
              <w:szCs w:val="21"/>
            </w:rPr>
            <w:alias w:val="经营租赁的会计处理方法"/>
            <w:tag w:val="_GBC_95879bb481f644fd959d3a5843c3b06a"/>
            <w:id w:val="-491722488"/>
            <w:lock w:val="sdtLocked"/>
            <w:placeholder>
              <w:docPart w:val="GBC22222222222222222222222222222"/>
            </w:placeholder>
          </w:sdtPr>
          <w:sdtContent>
            <w:p w:rsidR="007565F3" w:rsidRPr="007565F3" w:rsidRDefault="007565F3" w:rsidP="007565F3">
              <w:pPr>
                <w:rPr>
                  <w:szCs w:val="21"/>
                </w:rPr>
              </w:pPr>
              <w:r w:rsidRPr="007565F3">
                <w:rPr>
                  <w:rFonts w:hint="eastAsia"/>
                  <w:szCs w:val="21"/>
                </w:rPr>
                <w:t>实质上转移了与资产所有权有关的全部风险和报酬的租赁为融资租赁，除此之外的均为经营租赁。</w:t>
              </w:r>
            </w:p>
            <w:p w:rsidR="007565F3" w:rsidRPr="007565F3" w:rsidRDefault="007565F3" w:rsidP="007565F3">
              <w:pPr>
                <w:rPr>
                  <w:szCs w:val="21"/>
                </w:rPr>
              </w:pPr>
            </w:p>
            <w:p w:rsidR="007565F3" w:rsidRPr="007565F3" w:rsidRDefault="007565F3" w:rsidP="007565F3">
              <w:pPr>
                <w:rPr>
                  <w:szCs w:val="21"/>
                </w:rPr>
              </w:pPr>
              <w:r w:rsidRPr="007565F3">
                <w:rPr>
                  <w:rFonts w:hint="eastAsia"/>
                  <w:szCs w:val="21"/>
                </w:rPr>
                <w:t>作为经营租赁承租人</w:t>
              </w:r>
            </w:p>
            <w:p w:rsidR="007565F3" w:rsidRPr="007565F3" w:rsidRDefault="007565F3" w:rsidP="007565F3">
              <w:pPr>
                <w:rPr>
                  <w:szCs w:val="21"/>
                </w:rPr>
              </w:pPr>
            </w:p>
            <w:p w:rsidR="007565F3" w:rsidRPr="007565F3" w:rsidRDefault="007565F3" w:rsidP="007565F3">
              <w:pPr>
                <w:rPr>
                  <w:szCs w:val="21"/>
                </w:rPr>
              </w:pPr>
              <w:r w:rsidRPr="007565F3">
                <w:rPr>
                  <w:rFonts w:hint="eastAsia"/>
                  <w:szCs w:val="21"/>
                </w:rPr>
                <w:t>经营租赁的租金支出，在租赁期内各个期间按照直线法计入相关的资产成本或当期损益。</w:t>
              </w:r>
            </w:p>
            <w:p w:rsidR="007565F3" w:rsidRPr="007565F3" w:rsidRDefault="007565F3" w:rsidP="007565F3">
              <w:pPr>
                <w:rPr>
                  <w:szCs w:val="21"/>
                </w:rPr>
              </w:pPr>
            </w:p>
            <w:p w:rsidR="007565F3" w:rsidRPr="007565F3" w:rsidRDefault="007565F3" w:rsidP="007565F3">
              <w:pPr>
                <w:rPr>
                  <w:szCs w:val="21"/>
                </w:rPr>
              </w:pPr>
              <w:r w:rsidRPr="007565F3">
                <w:rPr>
                  <w:rFonts w:hint="eastAsia"/>
                  <w:szCs w:val="21"/>
                </w:rPr>
                <w:t>作为经营租赁出租人</w:t>
              </w:r>
            </w:p>
            <w:p w:rsidR="007565F3" w:rsidRPr="007565F3" w:rsidRDefault="007565F3" w:rsidP="007565F3">
              <w:pPr>
                <w:rPr>
                  <w:szCs w:val="21"/>
                </w:rPr>
              </w:pPr>
            </w:p>
            <w:p w:rsidR="00ED2DC7" w:rsidRDefault="007565F3" w:rsidP="007565F3">
              <w:pPr>
                <w:rPr>
                  <w:szCs w:val="21"/>
                </w:rPr>
              </w:pPr>
              <w:r w:rsidRPr="007565F3">
                <w:rPr>
                  <w:rFonts w:hint="eastAsia"/>
                  <w:szCs w:val="21"/>
                </w:rPr>
                <w:t>经营租赁的租金收入在租赁期内各个期间按直线法确认为当期损益。</w:t>
              </w:r>
            </w:p>
          </w:sdtContent>
        </w:sdt>
        <w:p w:rsidR="00ED2DC7" w:rsidRDefault="00ED2DC7">
          <w:pPr>
            <w:rPr>
              <w:szCs w:val="21"/>
            </w:rPr>
          </w:pPr>
        </w:p>
        <w:p w:rsidR="00ED2DC7" w:rsidRDefault="00ED2DC7" w:rsidP="00036BDC">
          <w:pPr>
            <w:pStyle w:val="affffffffffffffffff2"/>
            <w:numPr>
              <w:ilvl w:val="3"/>
              <w:numId w:val="44"/>
            </w:numPr>
            <w:ind w:left="426" w:hanging="426"/>
          </w:pPr>
          <w:r>
            <w:rPr>
              <w:rFonts w:hint="eastAsia"/>
            </w:rPr>
            <w:t>融资租赁的会计处理方法</w:t>
          </w:r>
        </w:p>
        <w:sdt>
          <w:sdtPr>
            <w:rPr>
              <w:rFonts w:hint="eastAsia"/>
              <w:szCs w:val="21"/>
            </w:rPr>
            <w:alias w:val="是否适用：融资租赁的会计处理方法[双击切换]"/>
            <w:tag w:val="_GBC_e6743f781bfc4763acf7f9821c740304"/>
            <w:id w:val="991985925"/>
            <w:lock w:val="sdtContentLocked"/>
            <w:placeholder>
              <w:docPart w:val="GBC22222222222222222222222222222"/>
            </w:placeholder>
          </w:sdtPr>
          <w:sdtContent>
            <w:p w:rsidR="00ED2DC7" w:rsidRDefault="00ED2DC7" w:rsidP="00DF73AB">
              <w:pPr>
                <w:rPr>
                  <w:szCs w:val="21"/>
                </w:rPr>
              </w:pPr>
              <w:r>
                <w:rPr>
                  <w:szCs w:val="21"/>
                </w:rPr>
                <w:fldChar w:fldCharType="begin"/>
              </w:r>
              <w:r w:rsidR="00DF73AB">
                <w:rPr>
                  <w:szCs w:val="21"/>
                </w:rPr>
                <w:instrText xml:space="preserve"> MACROBUTTON  SnrToggleCheckbox □适用 </w:instrText>
              </w:r>
              <w:r>
                <w:rPr>
                  <w:szCs w:val="21"/>
                </w:rPr>
                <w:fldChar w:fldCharType="end"/>
              </w:r>
              <w:r>
                <w:rPr>
                  <w:szCs w:val="21"/>
                </w:rPr>
                <w:fldChar w:fldCharType="begin"/>
              </w:r>
              <w:r w:rsidR="00DF73AB">
                <w:rPr>
                  <w:szCs w:val="21"/>
                </w:rPr>
                <w:instrText xml:space="preserve"> MACROBUTTON  SnrToggleCheckbox √不适用 </w:instrText>
              </w:r>
              <w:r>
                <w:rPr>
                  <w:szCs w:val="21"/>
                </w:rPr>
                <w:fldChar w:fldCharType="end"/>
              </w:r>
            </w:p>
          </w:sdtContent>
        </w:sdt>
      </w:sdtContent>
    </w:sdt>
    <w:p w:rsidR="00ED2DC7" w:rsidRDefault="00ED2DC7">
      <w:pPr>
        <w:rPr>
          <w:szCs w:val="21"/>
        </w:rPr>
      </w:pPr>
    </w:p>
    <w:sdt>
      <w:sdtPr>
        <w:rPr>
          <w:rFonts w:asciiTheme="minorHAnsi" w:hAnsiTheme="minorHAnsi" w:cstheme="minorBidi" w:hint="eastAsia"/>
          <w:b w:val="0"/>
          <w:bCs w:val="0"/>
          <w:kern w:val="0"/>
          <w:szCs w:val="22"/>
        </w:rPr>
        <w:alias w:val="模块:其他重要的会计政策和会计估计"/>
        <w:tag w:val="_GBC_208440ea3a0f4676970b3672c3cdf96f"/>
        <w:id w:val="581655329"/>
        <w:lock w:val="sdtLocked"/>
        <w:placeholder>
          <w:docPart w:val="GBC22222222222222222222222222222"/>
        </w:placeholder>
      </w:sdtPr>
      <w:sdtEndPr>
        <w:rPr>
          <w:rFonts w:ascii="宋体" w:hAnsi="宋体" w:cs="Times New Roman"/>
          <w:szCs w:val="21"/>
        </w:rPr>
      </w:sdtEndPr>
      <w:sdtContent>
        <w:p w:rsidR="00ED2DC7" w:rsidRPr="00205C89" w:rsidRDefault="00ED2DC7" w:rsidP="00036BDC">
          <w:pPr>
            <w:pStyle w:val="affffffffffffffffff1"/>
            <w:numPr>
              <w:ilvl w:val="0"/>
              <w:numId w:val="38"/>
            </w:numPr>
          </w:pPr>
          <w:r w:rsidRPr="00205C89">
            <w:rPr>
              <w:rFonts w:hint="eastAsia"/>
            </w:rPr>
            <w:t>其他重要的会计政策和会计估计</w:t>
          </w:r>
        </w:p>
        <w:sdt>
          <w:sdtPr>
            <w:alias w:val="是否适用：其他重要的会计政策和会计估计[双击切换]"/>
            <w:tag w:val="_GBC_b4281f4538de4623a036697d3903e1f8"/>
            <w:id w:val="204997125"/>
            <w:lock w:val="sdtContentLocked"/>
            <w:placeholder>
              <w:docPart w:val="GBC22222222222222222222222222222"/>
            </w:placeholder>
          </w:sdtPr>
          <w:sdtContent>
            <w:p w:rsidR="00ED2DC7" w:rsidRDefault="00ED2DC7">
              <w:r>
                <w:fldChar w:fldCharType="begin"/>
              </w:r>
              <w:r w:rsidR="00DF73AB">
                <w:instrText xml:space="preserve"> MACROBUTTON  SnrToggleCheckbox √适用 </w:instrText>
              </w:r>
              <w:r>
                <w:fldChar w:fldCharType="end"/>
              </w:r>
              <w:r>
                <w:fldChar w:fldCharType="begin"/>
              </w:r>
              <w:r w:rsidR="00DF73AB">
                <w:instrText xml:space="preserve"> MACROBUTTON  SnrToggleCheckbox □不适用 </w:instrText>
              </w:r>
              <w:r>
                <w:fldChar w:fldCharType="end"/>
              </w:r>
            </w:p>
          </w:sdtContent>
        </w:sdt>
        <w:sdt>
          <w:sdtPr>
            <w:rPr>
              <w:rFonts w:hint="eastAsia"/>
              <w:szCs w:val="21"/>
            </w:rPr>
            <w:alias w:val="其他主要会计政策会计估计和会计报表的编制方法"/>
            <w:tag w:val="_GBC_5cf318d9d3d148c4af010cce77bc955d"/>
            <w:id w:val="-834077682"/>
            <w:lock w:val="sdtLocked"/>
            <w:placeholder>
              <w:docPart w:val="GBC22222222222222222222222222222"/>
            </w:placeholder>
          </w:sdtPr>
          <w:sdtContent>
            <w:p w:rsidR="00B637B2" w:rsidRDefault="008F04CF" w:rsidP="007565F3">
              <w:pPr>
                <w:overflowPunct w:val="0"/>
                <w:autoSpaceDE w:val="0"/>
                <w:autoSpaceDN w:val="0"/>
                <w:adjustRightInd w:val="0"/>
                <w:snapToGrid w:val="0"/>
                <w:jc w:val="both"/>
                <w:textAlignment w:val="bottom"/>
                <w:rPr>
                  <w:szCs w:val="21"/>
                </w:rPr>
              </w:pPr>
              <w:r>
                <w:rPr>
                  <w:rFonts w:hint="eastAsia"/>
                  <w:szCs w:val="21"/>
                </w:rPr>
                <w:t>套期会计</w:t>
              </w:r>
            </w:p>
            <w:p w:rsidR="00B637B2" w:rsidRDefault="00B637B2" w:rsidP="007565F3">
              <w:pPr>
                <w:overflowPunct w:val="0"/>
                <w:autoSpaceDE w:val="0"/>
                <w:autoSpaceDN w:val="0"/>
                <w:adjustRightInd w:val="0"/>
                <w:snapToGrid w:val="0"/>
                <w:jc w:val="both"/>
                <w:textAlignment w:val="bottom"/>
                <w:rPr>
                  <w:szCs w:val="21"/>
                </w:rPr>
              </w:pPr>
            </w:p>
            <w:p w:rsidR="00B637B2" w:rsidRPr="009F6182" w:rsidRDefault="008F04CF" w:rsidP="00B637B2">
              <w:pPr>
                <w:overflowPunct w:val="0"/>
                <w:autoSpaceDE w:val="0"/>
                <w:autoSpaceDN w:val="0"/>
                <w:adjustRightInd w:val="0"/>
                <w:snapToGrid w:val="0"/>
                <w:jc w:val="both"/>
                <w:textAlignment w:val="bottom"/>
                <w:rPr>
                  <w:szCs w:val="21"/>
                </w:rPr>
              </w:pPr>
              <w:r w:rsidRPr="009F6182">
                <w:rPr>
                  <w:rFonts w:hint="eastAsia"/>
                  <w:szCs w:val="21"/>
                </w:rPr>
                <w:t>就套期会计方法而言，本集团的套期保值为现金流量套期，是指对现金流量变动风险进行的套期，此现金流量变动源于与已确认资产或负债、很可能发生的预期交易有关的某类特定风险，或一项未确认的确定承诺包含的汇率风险。</w:t>
              </w:r>
            </w:p>
            <w:p w:rsidR="00B637B2" w:rsidRPr="009F6182" w:rsidRDefault="00B637B2" w:rsidP="00B637B2">
              <w:pPr>
                <w:overflowPunct w:val="0"/>
                <w:autoSpaceDE w:val="0"/>
                <w:autoSpaceDN w:val="0"/>
                <w:adjustRightInd w:val="0"/>
                <w:snapToGrid w:val="0"/>
                <w:jc w:val="both"/>
                <w:textAlignment w:val="bottom"/>
                <w:rPr>
                  <w:szCs w:val="21"/>
                </w:rPr>
              </w:pPr>
            </w:p>
            <w:p w:rsidR="00B637B2" w:rsidRPr="009F6182" w:rsidRDefault="008F04CF" w:rsidP="00B637B2">
              <w:pPr>
                <w:overflowPunct w:val="0"/>
                <w:autoSpaceDE w:val="0"/>
                <w:autoSpaceDN w:val="0"/>
                <w:adjustRightInd w:val="0"/>
                <w:snapToGrid w:val="0"/>
                <w:jc w:val="both"/>
                <w:textAlignment w:val="bottom"/>
                <w:rPr>
                  <w:szCs w:val="21"/>
                </w:rPr>
              </w:pPr>
              <w:r w:rsidRPr="009F6182">
                <w:rPr>
                  <w:rFonts w:hint="eastAsia"/>
                  <w:szCs w:val="21"/>
                </w:rPr>
                <w:t>在套期关系开始时，本集团对套期关系有正式指定，并准备了关于套期关系、风险管理目标和套期策略的正式书面文件。该文件载明了套期工具、被套期项目或交易，被套期风险的性质，以及本集团对套期工具有效性评价方法。套期有效性，是指套期工具的公允价值或现金流量变动能够抵销被套期风险引起的被套期项目公允价值或现金流量的程度。此类套期预期高度有效，并被持续评价以确保此类套期在套期关系被指定的会计期间内高度有效。</w:t>
              </w:r>
            </w:p>
            <w:p w:rsidR="00B637B2" w:rsidRPr="009F6182" w:rsidRDefault="00B637B2" w:rsidP="00B637B2">
              <w:pPr>
                <w:overflowPunct w:val="0"/>
                <w:autoSpaceDE w:val="0"/>
                <w:autoSpaceDN w:val="0"/>
                <w:adjustRightInd w:val="0"/>
                <w:snapToGrid w:val="0"/>
                <w:jc w:val="both"/>
                <w:textAlignment w:val="bottom"/>
                <w:rPr>
                  <w:szCs w:val="21"/>
                </w:rPr>
              </w:pPr>
            </w:p>
            <w:p w:rsidR="00B637B2" w:rsidRPr="009F6182" w:rsidRDefault="008F04CF" w:rsidP="00B637B2">
              <w:pPr>
                <w:overflowPunct w:val="0"/>
                <w:autoSpaceDE w:val="0"/>
                <w:autoSpaceDN w:val="0"/>
                <w:adjustRightInd w:val="0"/>
                <w:snapToGrid w:val="0"/>
                <w:jc w:val="both"/>
                <w:textAlignment w:val="bottom"/>
                <w:rPr>
                  <w:szCs w:val="21"/>
                </w:rPr>
              </w:pPr>
              <w:r w:rsidRPr="009F6182">
                <w:rPr>
                  <w:rFonts w:hint="eastAsia"/>
                  <w:szCs w:val="21"/>
                </w:rPr>
                <w:t>满足套期会计方法的严格条件的，按如下方法进行处理：</w:t>
              </w:r>
            </w:p>
            <w:p w:rsidR="00B637B2" w:rsidRPr="009F6182" w:rsidRDefault="00B637B2" w:rsidP="00B637B2">
              <w:pPr>
                <w:overflowPunct w:val="0"/>
                <w:autoSpaceDE w:val="0"/>
                <w:autoSpaceDN w:val="0"/>
                <w:adjustRightInd w:val="0"/>
                <w:snapToGrid w:val="0"/>
                <w:jc w:val="both"/>
                <w:textAlignment w:val="bottom"/>
                <w:rPr>
                  <w:szCs w:val="21"/>
                </w:rPr>
              </w:pPr>
            </w:p>
            <w:p w:rsidR="00B637B2" w:rsidRPr="009F6182" w:rsidRDefault="008F04CF" w:rsidP="00B637B2">
              <w:pPr>
                <w:overflowPunct w:val="0"/>
                <w:autoSpaceDE w:val="0"/>
                <w:autoSpaceDN w:val="0"/>
                <w:adjustRightInd w:val="0"/>
                <w:snapToGrid w:val="0"/>
                <w:jc w:val="both"/>
                <w:textAlignment w:val="bottom"/>
                <w:rPr>
                  <w:szCs w:val="21"/>
                </w:rPr>
              </w:pPr>
              <w:r w:rsidRPr="009F6182">
                <w:rPr>
                  <w:rFonts w:hint="eastAsia"/>
                  <w:szCs w:val="21"/>
                </w:rPr>
                <w:t>现金流量套期</w:t>
              </w:r>
            </w:p>
            <w:p w:rsidR="00B637B2" w:rsidRPr="009F6182" w:rsidRDefault="00B637B2" w:rsidP="00B637B2">
              <w:pPr>
                <w:overflowPunct w:val="0"/>
                <w:autoSpaceDE w:val="0"/>
                <w:autoSpaceDN w:val="0"/>
                <w:adjustRightInd w:val="0"/>
                <w:snapToGrid w:val="0"/>
                <w:jc w:val="both"/>
                <w:textAlignment w:val="bottom"/>
                <w:rPr>
                  <w:szCs w:val="21"/>
                </w:rPr>
              </w:pPr>
            </w:p>
            <w:p w:rsidR="00B637B2" w:rsidRPr="009F6182" w:rsidRDefault="008F04CF" w:rsidP="00B637B2">
              <w:pPr>
                <w:overflowPunct w:val="0"/>
                <w:autoSpaceDE w:val="0"/>
                <w:autoSpaceDN w:val="0"/>
                <w:adjustRightInd w:val="0"/>
                <w:snapToGrid w:val="0"/>
                <w:jc w:val="both"/>
                <w:textAlignment w:val="bottom"/>
                <w:rPr>
                  <w:szCs w:val="21"/>
                </w:rPr>
              </w:pPr>
              <w:r w:rsidRPr="009F6182">
                <w:rPr>
                  <w:rFonts w:hint="eastAsia"/>
                  <w:szCs w:val="21"/>
                </w:rPr>
                <w:t>套期工具利得或损失中属于有效套期的部分，直接确认为其他综合收益，属于无效套期的部分，计入当期损益。</w:t>
              </w:r>
            </w:p>
            <w:p w:rsidR="00B637B2" w:rsidRPr="009F6182" w:rsidRDefault="00B637B2" w:rsidP="00B637B2">
              <w:pPr>
                <w:overflowPunct w:val="0"/>
                <w:autoSpaceDE w:val="0"/>
                <w:autoSpaceDN w:val="0"/>
                <w:adjustRightInd w:val="0"/>
                <w:snapToGrid w:val="0"/>
                <w:jc w:val="both"/>
                <w:textAlignment w:val="bottom"/>
                <w:rPr>
                  <w:szCs w:val="21"/>
                </w:rPr>
              </w:pPr>
            </w:p>
            <w:p w:rsidR="00B637B2" w:rsidRPr="009F6182" w:rsidRDefault="008F04CF" w:rsidP="00B637B2">
              <w:pPr>
                <w:overflowPunct w:val="0"/>
                <w:autoSpaceDE w:val="0"/>
                <w:autoSpaceDN w:val="0"/>
                <w:adjustRightInd w:val="0"/>
                <w:snapToGrid w:val="0"/>
                <w:jc w:val="both"/>
                <w:textAlignment w:val="bottom"/>
                <w:rPr>
                  <w:szCs w:val="21"/>
                </w:rPr>
              </w:pPr>
              <w:r w:rsidRPr="009F6182">
                <w:rPr>
                  <w:rFonts w:hint="eastAsia"/>
                  <w:szCs w:val="21"/>
                </w:rPr>
                <w:t>如果被套期交易影响当期损益的，如当被套期财务收入或财务费用被确认时，则在其他综合收益中确认的金额转入当期损益。</w:t>
              </w:r>
            </w:p>
            <w:p w:rsidR="00B637B2" w:rsidRPr="009F6182" w:rsidRDefault="00B637B2" w:rsidP="00B637B2">
              <w:pPr>
                <w:overflowPunct w:val="0"/>
                <w:autoSpaceDE w:val="0"/>
                <w:autoSpaceDN w:val="0"/>
                <w:adjustRightInd w:val="0"/>
                <w:snapToGrid w:val="0"/>
                <w:jc w:val="both"/>
                <w:textAlignment w:val="bottom"/>
                <w:rPr>
                  <w:szCs w:val="21"/>
                </w:rPr>
              </w:pPr>
            </w:p>
            <w:p w:rsidR="00B637B2" w:rsidRDefault="008F04CF" w:rsidP="00B637B2">
              <w:pPr>
                <w:overflowPunct w:val="0"/>
                <w:autoSpaceDE w:val="0"/>
                <w:autoSpaceDN w:val="0"/>
                <w:adjustRightInd w:val="0"/>
                <w:snapToGrid w:val="0"/>
                <w:jc w:val="both"/>
                <w:textAlignment w:val="bottom"/>
                <w:rPr>
                  <w:szCs w:val="21"/>
                </w:rPr>
              </w:pPr>
              <w:r w:rsidRPr="009F6182">
                <w:rPr>
                  <w:rFonts w:hint="eastAsia"/>
                  <w:szCs w:val="21"/>
                </w:rPr>
                <w:t>如果套期工具已到期、被出售、合同终止或已行使（但作为套期策略组成部分的展期或替换不作为已到期或合同终止处理），或者撤销了对套期关系的指定，或者该套期不再满足套期会计方法的条件，则以前计入其他综合收益的金额不转出，直至预期交易实际发生或确定承诺履行。</w:t>
              </w:r>
            </w:p>
            <w:p w:rsidR="00B637B2" w:rsidRDefault="00B637B2" w:rsidP="00B637B2">
              <w:pPr>
                <w:overflowPunct w:val="0"/>
                <w:autoSpaceDE w:val="0"/>
                <w:autoSpaceDN w:val="0"/>
                <w:adjustRightInd w:val="0"/>
                <w:snapToGrid w:val="0"/>
                <w:jc w:val="both"/>
                <w:textAlignment w:val="bottom"/>
                <w:rPr>
                  <w:szCs w:val="21"/>
                </w:rPr>
              </w:pPr>
            </w:p>
            <w:p w:rsidR="00B637B2" w:rsidRDefault="008F04CF" w:rsidP="00B637B2">
              <w:pPr>
                <w:overflowPunct w:val="0"/>
                <w:autoSpaceDE w:val="0"/>
                <w:autoSpaceDN w:val="0"/>
                <w:adjustRightInd w:val="0"/>
                <w:snapToGrid w:val="0"/>
                <w:jc w:val="both"/>
                <w:textAlignment w:val="bottom"/>
                <w:rPr>
                  <w:szCs w:val="21"/>
                </w:rPr>
              </w:pPr>
              <w:r>
                <w:rPr>
                  <w:rFonts w:hint="eastAsia"/>
                  <w:szCs w:val="21"/>
                </w:rPr>
                <w:t>回购股份</w:t>
              </w:r>
            </w:p>
            <w:p w:rsidR="00B637B2" w:rsidRDefault="00B637B2" w:rsidP="00B637B2">
              <w:pPr>
                <w:overflowPunct w:val="0"/>
                <w:autoSpaceDE w:val="0"/>
                <w:autoSpaceDN w:val="0"/>
                <w:adjustRightInd w:val="0"/>
                <w:snapToGrid w:val="0"/>
                <w:jc w:val="both"/>
                <w:textAlignment w:val="bottom"/>
                <w:rPr>
                  <w:szCs w:val="21"/>
                </w:rPr>
              </w:pPr>
            </w:p>
            <w:p w:rsidR="00B637B2" w:rsidRPr="009F6182" w:rsidRDefault="008F04CF" w:rsidP="00B637B2">
              <w:pPr>
                <w:overflowPunct w:val="0"/>
                <w:autoSpaceDE w:val="0"/>
                <w:autoSpaceDN w:val="0"/>
                <w:adjustRightInd w:val="0"/>
                <w:snapToGrid w:val="0"/>
                <w:jc w:val="both"/>
                <w:textAlignment w:val="bottom"/>
                <w:rPr>
                  <w:szCs w:val="21"/>
                </w:rPr>
              </w:pPr>
              <w:r w:rsidRPr="009F6182">
                <w:rPr>
                  <w:rFonts w:hint="eastAsia"/>
                  <w:szCs w:val="21"/>
                </w:rPr>
                <w:t>回购自身权益工具支付的对价和交易费用，减少股东权益。除股份支付之外，发行</w:t>
              </w:r>
              <w:r w:rsidRPr="009F6182">
                <w:rPr>
                  <w:szCs w:val="21"/>
                </w:rPr>
                <w:t>(含再融资)、回购、出售或注销自身权益工具，作为权益的变动处理。</w:t>
              </w:r>
            </w:p>
            <w:p w:rsidR="00B637B2" w:rsidRDefault="00B637B2" w:rsidP="007565F3">
              <w:pPr>
                <w:overflowPunct w:val="0"/>
                <w:autoSpaceDE w:val="0"/>
                <w:autoSpaceDN w:val="0"/>
                <w:adjustRightInd w:val="0"/>
                <w:snapToGrid w:val="0"/>
                <w:jc w:val="both"/>
                <w:textAlignment w:val="bottom"/>
                <w:rPr>
                  <w:szCs w:val="21"/>
                </w:rPr>
              </w:pPr>
            </w:p>
            <w:p w:rsidR="00B637B2" w:rsidRDefault="008F04CF" w:rsidP="007565F3">
              <w:pPr>
                <w:overflowPunct w:val="0"/>
                <w:autoSpaceDE w:val="0"/>
                <w:autoSpaceDN w:val="0"/>
                <w:adjustRightInd w:val="0"/>
                <w:snapToGrid w:val="0"/>
                <w:jc w:val="both"/>
                <w:textAlignment w:val="bottom"/>
                <w:rPr>
                  <w:szCs w:val="21"/>
                </w:rPr>
              </w:pPr>
              <w:r>
                <w:rPr>
                  <w:rFonts w:hint="eastAsia"/>
                  <w:szCs w:val="21"/>
                </w:rPr>
                <w:t>利润分配</w:t>
              </w:r>
            </w:p>
            <w:p w:rsidR="00B637B2" w:rsidRDefault="00B637B2" w:rsidP="007565F3">
              <w:pPr>
                <w:overflowPunct w:val="0"/>
                <w:autoSpaceDE w:val="0"/>
                <w:autoSpaceDN w:val="0"/>
                <w:adjustRightInd w:val="0"/>
                <w:snapToGrid w:val="0"/>
                <w:jc w:val="both"/>
                <w:textAlignment w:val="bottom"/>
                <w:rPr>
                  <w:szCs w:val="21"/>
                </w:rPr>
              </w:pPr>
            </w:p>
            <w:p w:rsidR="00B637B2" w:rsidRDefault="008F04CF" w:rsidP="007565F3">
              <w:pPr>
                <w:overflowPunct w:val="0"/>
                <w:autoSpaceDE w:val="0"/>
                <w:autoSpaceDN w:val="0"/>
                <w:adjustRightInd w:val="0"/>
                <w:snapToGrid w:val="0"/>
                <w:jc w:val="both"/>
                <w:textAlignment w:val="bottom"/>
                <w:rPr>
                  <w:szCs w:val="21"/>
                </w:rPr>
              </w:pPr>
              <w:r w:rsidRPr="009F6182">
                <w:rPr>
                  <w:rFonts w:hint="eastAsia"/>
                  <w:szCs w:val="21"/>
                </w:rPr>
                <w:t>本公司的现金股利，于股东大会批准后确认为负债。</w:t>
              </w:r>
            </w:p>
            <w:p w:rsidR="00B637B2" w:rsidRDefault="00B637B2" w:rsidP="007565F3">
              <w:pPr>
                <w:overflowPunct w:val="0"/>
                <w:autoSpaceDE w:val="0"/>
                <w:autoSpaceDN w:val="0"/>
                <w:adjustRightInd w:val="0"/>
                <w:snapToGrid w:val="0"/>
                <w:jc w:val="both"/>
                <w:textAlignment w:val="bottom"/>
                <w:rPr>
                  <w:szCs w:val="21"/>
                </w:rPr>
              </w:pPr>
            </w:p>
            <w:p w:rsidR="00B637B2" w:rsidRDefault="008F04CF" w:rsidP="007565F3">
              <w:pPr>
                <w:overflowPunct w:val="0"/>
                <w:autoSpaceDE w:val="0"/>
                <w:autoSpaceDN w:val="0"/>
                <w:adjustRightInd w:val="0"/>
                <w:snapToGrid w:val="0"/>
                <w:jc w:val="both"/>
                <w:textAlignment w:val="bottom"/>
                <w:rPr>
                  <w:szCs w:val="21"/>
                </w:rPr>
              </w:pPr>
              <w:r>
                <w:rPr>
                  <w:rFonts w:hint="eastAsia"/>
                  <w:szCs w:val="21"/>
                </w:rPr>
                <w:t>公允价值计量</w:t>
              </w:r>
            </w:p>
            <w:p w:rsidR="00B637B2" w:rsidRDefault="00B637B2" w:rsidP="007565F3">
              <w:pPr>
                <w:overflowPunct w:val="0"/>
                <w:autoSpaceDE w:val="0"/>
                <w:autoSpaceDN w:val="0"/>
                <w:adjustRightInd w:val="0"/>
                <w:snapToGrid w:val="0"/>
                <w:jc w:val="both"/>
                <w:textAlignment w:val="bottom"/>
                <w:rPr>
                  <w:szCs w:val="21"/>
                </w:rPr>
              </w:pPr>
            </w:p>
            <w:p w:rsidR="00B637B2" w:rsidRPr="009F6182" w:rsidRDefault="008F04CF" w:rsidP="00B637B2">
              <w:pPr>
                <w:overflowPunct w:val="0"/>
                <w:autoSpaceDE w:val="0"/>
                <w:autoSpaceDN w:val="0"/>
                <w:adjustRightInd w:val="0"/>
                <w:snapToGrid w:val="0"/>
                <w:jc w:val="both"/>
                <w:textAlignment w:val="bottom"/>
                <w:rPr>
                  <w:szCs w:val="21"/>
                </w:rPr>
              </w:pPr>
              <w:r w:rsidRPr="009F6182">
                <w:rPr>
                  <w:rFonts w:hint="eastAsia"/>
                  <w:szCs w:val="21"/>
                </w:rPr>
                <w:t>本集团于每个资产负债表日以公允价值计量交易性金融资产及其他非流动金融资产。公允价值，是指市场参与者在计量日发生的有序交易中，出售一项资产所能收到或者转移一项负债所需支付的价格。本集团以公允价值计量相关资产或负债，假定出售资产或者转移负债的有序交易在相关资产或负债的主要市场进行；不存在主要市场的，本集团假定该交易在相关资产或负债的最有利市场进行。主要市场是本集团在计量日能够进入的交易市场。本集团采用市场参与者在对该资产或负债定价时为实现其经济利益最大化所使用的假设。</w:t>
              </w:r>
            </w:p>
            <w:p w:rsidR="00B637B2" w:rsidRPr="009F6182" w:rsidRDefault="00B637B2" w:rsidP="00B637B2">
              <w:pPr>
                <w:overflowPunct w:val="0"/>
                <w:autoSpaceDE w:val="0"/>
                <w:autoSpaceDN w:val="0"/>
                <w:adjustRightInd w:val="0"/>
                <w:snapToGrid w:val="0"/>
                <w:jc w:val="both"/>
                <w:textAlignment w:val="bottom"/>
                <w:rPr>
                  <w:szCs w:val="21"/>
                </w:rPr>
              </w:pPr>
            </w:p>
            <w:p w:rsidR="00B637B2" w:rsidRPr="009F6182" w:rsidRDefault="008F04CF" w:rsidP="00B637B2">
              <w:pPr>
                <w:overflowPunct w:val="0"/>
                <w:autoSpaceDE w:val="0"/>
                <w:autoSpaceDN w:val="0"/>
                <w:adjustRightInd w:val="0"/>
                <w:snapToGrid w:val="0"/>
                <w:jc w:val="both"/>
                <w:textAlignment w:val="bottom"/>
                <w:rPr>
                  <w:szCs w:val="21"/>
                </w:rPr>
              </w:pPr>
              <w:r w:rsidRPr="009F6182">
                <w:rPr>
                  <w:rFonts w:hint="eastAsia"/>
                  <w:szCs w:val="21"/>
                </w:rPr>
                <w:t>以公允价值计量非金融资产的，考虑市场参与者将该资产用于最佳用途产生经济利益的能力，或者将该资产出售给能够用于最佳用途的其他市场参与者产生经济利益的能力。</w:t>
              </w:r>
            </w:p>
            <w:p w:rsidR="00B637B2" w:rsidRPr="009F6182" w:rsidRDefault="00B637B2" w:rsidP="00B637B2">
              <w:pPr>
                <w:overflowPunct w:val="0"/>
                <w:autoSpaceDE w:val="0"/>
                <w:autoSpaceDN w:val="0"/>
                <w:adjustRightInd w:val="0"/>
                <w:snapToGrid w:val="0"/>
                <w:jc w:val="both"/>
                <w:textAlignment w:val="bottom"/>
                <w:rPr>
                  <w:szCs w:val="21"/>
                </w:rPr>
              </w:pPr>
            </w:p>
            <w:p w:rsidR="00B637B2" w:rsidRPr="009F6182" w:rsidRDefault="008F04CF" w:rsidP="00B637B2">
              <w:pPr>
                <w:overflowPunct w:val="0"/>
                <w:autoSpaceDE w:val="0"/>
                <w:autoSpaceDN w:val="0"/>
                <w:adjustRightInd w:val="0"/>
                <w:snapToGrid w:val="0"/>
                <w:jc w:val="both"/>
                <w:textAlignment w:val="bottom"/>
                <w:rPr>
                  <w:szCs w:val="21"/>
                </w:rPr>
              </w:pPr>
              <w:r w:rsidRPr="009F6182">
                <w:rPr>
                  <w:rFonts w:hint="eastAsia"/>
                  <w:szCs w:val="21"/>
                </w:rPr>
                <w:t>本集团采用在当前情况下适用并且有足够可利用数据和其他信息支持的估值技术，优先使用相关可观察输入值，只有在可观察输入值无法取得或取得不切实可行的情况下，才使用不可观察输入值。</w:t>
              </w:r>
            </w:p>
            <w:p w:rsidR="00B637B2" w:rsidRPr="009F6182" w:rsidRDefault="00B637B2" w:rsidP="00B637B2">
              <w:pPr>
                <w:overflowPunct w:val="0"/>
                <w:autoSpaceDE w:val="0"/>
                <w:autoSpaceDN w:val="0"/>
                <w:adjustRightInd w:val="0"/>
                <w:snapToGrid w:val="0"/>
                <w:jc w:val="both"/>
                <w:textAlignment w:val="bottom"/>
                <w:rPr>
                  <w:szCs w:val="21"/>
                </w:rPr>
              </w:pPr>
            </w:p>
            <w:p w:rsidR="00B637B2" w:rsidRPr="009F6182" w:rsidRDefault="008F04CF" w:rsidP="00B637B2">
              <w:pPr>
                <w:overflowPunct w:val="0"/>
                <w:autoSpaceDE w:val="0"/>
                <w:autoSpaceDN w:val="0"/>
                <w:adjustRightInd w:val="0"/>
                <w:snapToGrid w:val="0"/>
                <w:jc w:val="both"/>
                <w:textAlignment w:val="bottom"/>
                <w:rPr>
                  <w:szCs w:val="21"/>
                </w:rPr>
              </w:pPr>
              <w:r w:rsidRPr="009F6182">
                <w:rPr>
                  <w:rFonts w:hint="eastAsia"/>
                  <w:szCs w:val="21"/>
                </w:rPr>
                <w:t>在财务报表中以公允价值计量或披露的资产和负债，根据对公允价值计量整体而言具有重要意义的最低层次输入值，确定所属的公允价值层次：第一层次输入值，在计量日能够取得的相同资产或负债在活跃市场上未经调整的报价；第二层次输入值，除第一层次输入值外相关资产或负债直接或间接可观察的输入值；第三层次输入值，相关资产或负债的不可观察输入值。</w:t>
              </w:r>
            </w:p>
            <w:p w:rsidR="00B637B2" w:rsidRPr="009F6182" w:rsidRDefault="00B637B2" w:rsidP="00B637B2">
              <w:pPr>
                <w:overflowPunct w:val="0"/>
                <w:autoSpaceDE w:val="0"/>
                <w:autoSpaceDN w:val="0"/>
                <w:adjustRightInd w:val="0"/>
                <w:snapToGrid w:val="0"/>
                <w:jc w:val="both"/>
                <w:textAlignment w:val="bottom"/>
                <w:rPr>
                  <w:szCs w:val="21"/>
                </w:rPr>
              </w:pPr>
            </w:p>
            <w:p w:rsidR="00B637B2" w:rsidRDefault="008F04CF" w:rsidP="00B637B2">
              <w:pPr>
                <w:overflowPunct w:val="0"/>
                <w:autoSpaceDE w:val="0"/>
                <w:autoSpaceDN w:val="0"/>
                <w:adjustRightInd w:val="0"/>
                <w:snapToGrid w:val="0"/>
                <w:jc w:val="both"/>
                <w:textAlignment w:val="bottom"/>
                <w:rPr>
                  <w:szCs w:val="21"/>
                </w:rPr>
              </w:pPr>
              <w:r w:rsidRPr="009F6182">
                <w:rPr>
                  <w:rFonts w:hint="eastAsia"/>
                  <w:szCs w:val="21"/>
                </w:rPr>
                <w:t>每个资产负债表日，本集团对在财务报表中确认的持续以公允价值计量的资产和负债进行重新评估，以确定是否在公允价值计量层次之间发生转换。</w:t>
              </w:r>
            </w:p>
            <w:p w:rsidR="00B637B2" w:rsidRDefault="00B637B2" w:rsidP="00B637B2">
              <w:pPr>
                <w:overflowPunct w:val="0"/>
                <w:autoSpaceDE w:val="0"/>
                <w:autoSpaceDN w:val="0"/>
                <w:adjustRightInd w:val="0"/>
                <w:snapToGrid w:val="0"/>
                <w:jc w:val="both"/>
                <w:textAlignment w:val="bottom"/>
                <w:rPr>
                  <w:szCs w:val="21"/>
                </w:rPr>
              </w:pPr>
            </w:p>
            <w:p w:rsidR="00B637B2" w:rsidRDefault="008F04CF" w:rsidP="00B637B2">
              <w:pPr>
                <w:overflowPunct w:val="0"/>
                <w:autoSpaceDE w:val="0"/>
                <w:autoSpaceDN w:val="0"/>
                <w:adjustRightInd w:val="0"/>
                <w:snapToGrid w:val="0"/>
                <w:jc w:val="both"/>
                <w:textAlignment w:val="bottom"/>
                <w:rPr>
                  <w:szCs w:val="21"/>
                </w:rPr>
              </w:pPr>
              <w:r>
                <w:rPr>
                  <w:rFonts w:hint="eastAsia"/>
                  <w:szCs w:val="21"/>
                </w:rPr>
                <w:t>重大会计判断和估计</w:t>
              </w:r>
            </w:p>
            <w:p w:rsidR="00B637B2" w:rsidRDefault="00B637B2" w:rsidP="007565F3">
              <w:pPr>
                <w:overflowPunct w:val="0"/>
                <w:autoSpaceDE w:val="0"/>
                <w:autoSpaceDN w:val="0"/>
                <w:adjustRightInd w:val="0"/>
                <w:snapToGrid w:val="0"/>
                <w:jc w:val="both"/>
                <w:textAlignment w:val="bottom"/>
                <w:rPr>
                  <w:szCs w:val="21"/>
                </w:rPr>
              </w:pPr>
            </w:p>
            <w:p w:rsidR="007565F3" w:rsidRPr="007565F3" w:rsidRDefault="007565F3" w:rsidP="007565F3">
              <w:pPr>
                <w:overflowPunct w:val="0"/>
                <w:autoSpaceDE w:val="0"/>
                <w:autoSpaceDN w:val="0"/>
                <w:adjustRightInd w:val="0"/>
                <w:snapToGrid w:val="0"/>
                <w:jc w:val="both"/>
                <w:textAlignment w:val="bottom"/>
                <w:rPr>
                  <w:rFonts w:cs="Arial"/>
                  <w:snapToGrid w:val="0"/>
                  <w:sz w:val="20"/>
                  <w:szCs w:val="20"/>
                </w:rPr>
              </w:pPr>
              <w:r w:rsidRPr="007565F3">
                <w:rPr>
                  <w:rFonts w:cs="Arial"/>
                  <w:snapToGrid w:val="0"/>
                  <w:sz w:val="20"/>
                  <w:szCs w:val="20"/>
                </w:rPr>
                <w:t>编制财务报表要求管理层作出判断、估计和假设，这些判断、估计和假设会影响收入、费用、资产和负债的列报金额及其披露，以及资产负债表日或有负债的披露。这些假设和估计的不确定性所导致的结果可能造成对未来受影响的资产或负债账面金额进行重大调整。</w:t>
              </w:r>
            </w:p>
            <w:p w:rsidR="007565F3" w:rsidRPr="007565F3" w:rsidRDefault="007565F3" w:rsidP="007565F3">
              <w:pPr>
                <w:overflowPunct w:val="0"/>
                <w:autoSpaceDE w:val="0"/>
                <w:autoSpaceDN w:val="0"/>
                <w:adjustRightInd w:val="0"/>
                <w:snapToGrid w:val="0"/>
                <w:jc w:val="both"/>
                <w:textAlignment w:val="bottom"/>
                <w:rPr>
                  <w:rFonts w:cs="Arial"/>
                  <w:snapToGrid w:val="0"/>
                  <w:sz w:val="20"/>
                  <w:szCs w:val="20"/>
                </w:rPr>
              </w:pPr>
            </w:p>
            <w:p w:rsidR="007565F3" w:rsidRPr="007565F3" w:rsidRDefault="007565F3" w:rsidP="007565F3">
              <w:pPr>
                <w:pStyle w:val="affffffffffffffff9"/>
                <w:rPr>
                  <w:rFonts w:ascii="宋体" w:hAnsi="宋体"/>
                  <w:snapToGrid w:val="0"/>
                  <w:sz w:val="20"/>
                  <w:szCs w:val="20"/>
                </w:rPr>
              </w:pPr>
              <w:bookmarkStart w:id="89" w:name="OLE_LINK163"/>
              <w:r w:rsidRPr="007565F3">
                <w:rPr>
                  <w:rFonts w:ascii="宋体" w:hAnsi="宋体"/>
                  <w:snapToGrid w:val="0"/>
                  <w:sz w:val="20"/>
                  <w:szCs w:val="20"/>
                </w:rPr>
                <w:t>估计的不确定性</w:t>
              </w:r>
            </w:p>
            <w:bookmarkEnd w:id="89"/>
            <w:p w:rsidR="007565F3" w:rsidRPr="007565F3" w:rsidRDefault="007565F3" w:rsidP="007565F3">
              <w:pPr>
                <w:overflowPunct w:val="0"/>
                <w:autoSpaceDE w:val="0"/>
                <w:autoSpaceDN w:val="0"/>
                <w:adjustRightInd w:val="0"/>
                <w:snapToGrid w:val="0"/>
                <w:ind w:left="720" w:hanging="720"/>
                <w:jc w:val="both"/>
                <w:textAlignment w:val="bottom"/>
                <w:rPr>
                  <w:rFonts w:cs="Arial"/>
                  <w:snapToGrid w:val="0"/>
                  <w:sz w:val="20"/>
                  <w:szCs w:val="20"/>
                </w:rPr>
              </w:pPr>
            </w:p>
            <w:p w:rsidR="007565F3" w:rsidRPr="007565F3" w:rsidRDefault="007565F3" w:rsidP="007565F3">
              <w:pPr>
                <w:overflowPunct w:val="0"/>
                <w:autoSpaceDE w:val="0"/>
                <w:autoSpaceDN w:val="0"/>
                <w:adjustRightInd w:val="0"/>
                <w:snapToGrid w:val="0"/>
                <w:jc w:val="both"/>
                <w:textAlignment w:val="bottom"/>
                <w:rPr>
                  <w:rFonts w:cs="Arial"/>
                  <w:snapToGrid w:val="0"/>
                  <w:sz w:val="20"/>
                  <w:szCs w:val="20"/>
                </w:rPr>
              </w:pPr>
              <w:r w:rsidRPr="007565F3">
                <w:rPr>
                  <w:rFonts w:cs="Arial"/>
                  <w:snapToGrid w:val="0"/>
                  <w:sz w:val="20"/>
                  <w:szCs w:val="20"/>
                </w:rPr>
                <w:t>以下为于资产负债表日有关未来的关键假设以及估计不确定性的其他关键来源，可能会导致未来会计期间资产和负债账面金额重大调整。</w:t>
              </w:r>
            </w:p>
            <w:p w:rsidR="007565F3" w:rsidRPr="007565F3" w:rsidRDefault="007565F3" w:rsidP="007565F3">
              <w:pPr>
                <w:overflowPunct w:val="0"/>
                <w:autoSpaceDE w:val="0"/>
                <w:autoSpaceDN w:val="0"/>
                <w:adjustRightInd w:val="0"/>
                <w:snapToGrid w:val="0"/>
                <w:jc w:val="both"/>
                <w:textAlignment w:val="bottom"/>
                <w:rPr>
                  <w:rFonts w:cs="Arial"/>
                  <w:snapToGrid w:val="0"/>
                  <w:sz w:val="20"/>
                  <w:szCs w:val="20"/>
                </w:rPr>
              </w:pPr>
            </w:p>
            <w:p w:rsidR="007565F3" w:rsidRPr="007565F3" w:rsidRDefault="007565F3" w:rsidP="00036BDC">
              <w:pPr>
                <w:pStyle w:val="afffffffffffffff"/>
                <w:widowControl/>
                <w:numPr>
                  <w:ilvl w:val="0"/>
                  <w:numId w:val="45"/>
                </w:numPr>
                <w:overflowPunct w:val="0"/>
                <w:autoSpaceDE w:val="0"/>
                <w:autoSpaceDN w:val="0"/>
                <w:adjustRightInd w:val="0"/>
                <w:snapToGrid w:val="0"/>
                <w:ind w:left="709" w:firstLineChars="0" w:hanging="709"/>
                <w:contextualSpacing/>
                <w:textAlignment w:val="bottom"/>
                <w:rPr>
                  <w:rFonts w:ascii="宋体" w:hAnsi="宋体" w:cs="Arial"/>
                  <w:i/>
                  <w:iCs/>
                  <w:snapToGrid w:val="0"/>
                  <w:color w:val="000000" w:themeColor="text1"/>
                  <w:sz w:val="20"/>
                  <w:szCs w:val="20"/>
                </w:rPr>
              </w:pPr>
              <w:r w:rsidRPr="007565F3">
                <w:rPr>
                  <w:rFonts w:ascii="宋体" w:hAnsi="宋体" w:cs="Arial"/>
                  <w:i/>
                  <w:iCs/>
                  <w:snapToGrid w:val="0"/>
                  <w:color w:val="000000" w:themeColor="text1"/>
                  <w:sz w:val="20"/>
                  <w:szCs w:val="20"/>
                </w:rPr>
                <w:t>可供出售金融资产减值</w:t>
              </w:r>
              <w:r w:rsidRPr="007565F3">
                <w:rPr>
                  <w:rFonts w:ascii="宋体" w:hAnsi="宋体" w:cs="Arial"/>
                  <w:i/>
                  <w:snapToGrid w:val="0"/>
                  <w:sz w:val="20"/>
                </w:rPr>
                <w:t>(</w:t>
              </w:r>
              <w:r w:rsidRPr="007565F3">
                <w:rPr>
                  <w:rFonts w:ascii="宋体" w:hAnsi="宋体" w:cs="Arial" w:hint="eastAsia"/>
                  <w:i/>
                  <w:snapToGrid w:val="0"/>
                  <w:sz w:val="20"/>
                </w:rPr>
                <w:t>适用于</w:t>
              </w:r>
              <w:r w:rsidRPr="007565F3">
                <w:rPr>
                  <w:rFonts w:ascii="宋体" w:hAnsi="宋体" w:cs="Arial"/>
                  <w:i/>
                  <w:snapToGrid w:val="0"/>
                  <w:sz w:val="20"/>
                </w:rPr>
                <w:t>2018</w:t>
              </w:r>
              <w:r w:rsidRPr="007565F3">
                <w:rPr>
                  <w:rFonts w:ascii="宋体" w:hAnsi="宋体" w:cs="Arial" w:hint="eastAsia"/>
                  <w:i/>
                  <w:snapToGrid w:val="0"/>
                  <w:sz w:val="20"/>
                </w:rPr>
                <w:t>年度及</w:t>
              </w:r>
              <w:r w:rsidRPr="007565F3">
                <w:rPr>
                  <w:rFonts w:ascii="宋体" w:hAnsi="宋体" w:cs="Arial"/>
                  <w:i/>
                  <w:snapToGrid w:val="0"/>
                  <w:sz w:val="20"/>
                </w:rPr>
                <w:t>2017</w:t>
              </w:r>
              <w:r w:rsidRPr="007565F3">
                <w:rPr>
                  <w:rFonts w:ascii="宋体" w:hAnsi="宋体" w:cs="Arial" w:hint="eastAsia"/>
                  <w:i/>
                  <w:snapToGrid w:val="0"/>
                  <w:sz w:val="20"/>
                </w:rPr>
                <w:t>年度</w:t>
              </w:r>
              <w:r w:rsidRPr="007565F3">
                <w:rPr>
                  <w:rFonts w:ascii="宋体" w:hAnsi="宋体" w:cs="Arial"/>
                  <w:i/>
                  <w:snapToGrid w:val="0"/>
                  <w:sz w:val="20"/>
                </w:rPr>
                <w:t>)</w:t>
              </w:r>
            </w:p>
            <w:p w:rsidR="007565F3" w:rsidRPr="007565F3" w:rsidRDefault="007565F3" w:rsidP="007565F3">
              <w:pPr>
                <w:overflowPunct w:val="0"/>
                <w:autoSpaceDE w:val="0"/>
                <w:autoSpaceDN w:val="0"/>
                <w:adjustRightInd w:val="0"/>
                <w:snapToGrid w:val="0"/>
                <w:jc w:val="both"/>
                <w:textAlignment w:val="bottom"/>
                <w:rPr>
                  <w:rFonts w:cs="Arial"/>
                  <w:snapToGrid w:val="0"/>
                  <w:sz w:val="20"/>
                  <w:szCs w:val="20"/>
                </w:rPr>
              </w:pPr>
              <w:r w:rsidRPr="007565F3">
                <w:rPr>
                  <w:rFonts w:cs="Arial"/>
                  <w:iCs/>
                  <w:snapToGrid w:val="0"/>
                  <w:color w:val="000000" w:themeColor="text1"/>
                  <w:sz w:val="20"/>
                  <w:szCs w:val="20"/>
                </w:rPr>
                <w:t>本集团将某些资产归类为可供出售金融资产，并将其公允价值的变动直接计入其他综合收益。当公允价值下降时，管理层就价值下降作出假设以确定是否存在需在损益中确认其减值损失。</w:t>
              </w:r>
            </w:p>
            <w:p w:rsidR="007565F3" w:rsidRPr="007565F3" w:rsidRDefault="007565F3" w:rsidP="007565F3">
              <w:pPr>
                <w:overflowPunct w:val="0"/>
                <w:autoSpaceDE w:val="0"/>
                <w:autoSpaceDN w:val="0"/>
                <w:adjustRightInd w:val="0"/>
                <w:snapToGrid w:val="0"/>
                <w:jc w:val="both"/>
                <w:textAlignment w:val="bottom"/>
                <w:rPr>
                  <w:rFonts w:cs="Arial"/>
                  <w:snapToGrid w:val="0"/>
                  <w:sz w:val="20"/>
                  <w:szCs w:val="20"/>
                </w:rPr>
              </w:pPr>
            </w:p>
            <w:p w:rsidR="007565F3" w:rsidRPr="007565F3" w:rsidRDefault="007565F3" w:rsidP="00036BDC">
              <w:pPr>
                <w:pStyle w:val="afffffffffffffff"/>
                <w:widowControl/>
                <w:numPr>
                  <w:ilvl w:val="0"/>
                  <w:numId w:val="45"/>
                </w:numPr>
                <w:overflowPunct w:val="0"/>
                <w:autoSpaceDE w:val="0"/>
                <w:autoSpaceDN w:val="0"/>
                <w:adjustRightInd w:val="0"/>
                <w:snapToGrid w:val="0"/>
                <w:ind w:left="709" w:firstLineChars="0" w:hanging="709"/>
                <w:contextualSpacing/>
                <w:textAlignment w:val="bottom"/>
                <w:rPr>
                  <w:rFonts w:ascii="宋体" w:hAnsi="宋体" w:cs="Arial"/>
                  <w:i/>
                  <w:snapToGrid w:val="0"/>
                  <w:sz w:val="20"/>
                </w:rPr>
              </w:pPr>
              <w:r w:rsidRPr="007565F3">
                <w:rPr>
                  <w:rFonts w:ascii="宋体" w:hAnsi="宋体" w:cs="Arial" w:hint="eastAsia"/>
                  <w:i/>
                  <w:iCs/>
                  <w:snapToGrid w:val="0"/>
                  <w:color w:val="000000" w:themeColor="text1"/>
                  <w:sz w:val="20"/>
                  <w:szCs w:val="20"/>
                </w:rPr>
                <w:t>金融工具减值</w:t>
              </w:r>
            </w:p>
            <w:p w:rsidR="007565F3" w:rsidRPr="007565F3" w:rsidRDefault="007565F3" w:rsidP="007565F3">
              <w:pPr>
                <w:overflowPunct w:val="0"/>
                <w:autoSpaceDE w:val="0"/>
                <w:autoSpaceDN w:val="0"/>
                <w:adjustRightInd w:val="0"/>
                <w:snapToGrid w:val="0"/>
                <w:jc w:val="both"/>
                <w:textAlignment w:val="bottom"/>
                <w:rPr>
                  <w:rFonts w:cs="Arial"/>
                  <w:snapToGrid w:val="0"/>
                  <w:sz w:val="20"/>
                  <w:szCs w:val="20"/>
                </w:rPr>
              </w:pPr>
              <w:r w:rsidRPr="007565F3">
                <w:rPr>
                  <w:rFonts w:cs="Arial" w:hint="eastAsia"/>
                  <w:snapToGrid w:val="0"/>
                  <w:sz w:val="20"/>
                </w:rPr>
                <w:t>本集团采用预期信用损失模型对金融工具的减值进行评估，应用预期信用损失模型需要做出重大判断和估计，需考虑所有合理且有依据的信息，包括前瞻性信息。在做出该等判断和估计时，本集团根据历史还款数据结合经济政策、宏观经济指标、行业风险等因素推断债务人信用风险的预期变动。</w:t>
              </w:r>
            </w:p>
            <w:p w:rsidR="007565F3" w:rsidRPr="007565F3" w:rsidRDefault="007565F3" w:rsidP="007565F3">
              <w:pPr>
                <w:overflowPunct w:val="0"/>
                <w:autoSpaceDE w:val="0"/>
                <w:autoSpaceDN w:val="0"/>
                <w:adjustRightInd w:val="0"/>
                <w:snapToGrid w:val="0"/>
                <w:jc w:val="both"/>
                <w:textAlignment w:val="bottom"/>
                <w:rPr>
                  <w:rFonts w:cs="Arial"/>
                  <w:snapToGrid w:val="0"/>
                  <w:sz w:val="20"/>
                  <w:szCs w:val="20"/>
                </w:rPr>
              </w:pPr>
            </w:p>
            <w:p w:rsidR="007565F3" w:rsidRPr="007565F3" w:rsidRDefault="007565F3" w:rsidP="00036BDC">
              <w:pPr>
                <w:pStyle w:val="afffffffffffffff"/>
                <w:widowControl/>
                <w:numPr>
                  <w:ilvl w:val="0"/>
                  <w:numId w:val="45"/>
                </w:numPr>
                <w:overflowPunct w:val="0"/>
                <w:autoSpaceDE w:val="0"/>
                <w:autoSpaceDN w:val="0"/>
                <w:adjustRightInd w:val="0"/>
                <w:snapToGrid w:val="0"/>
                <w:ind w:left="709" w:firstLineChars="0" w:hanging="709"/>
                <w:contextualSpacing/>
                <w:textAlignment w:val="bottom"/>
                <w:rPr>
                  <w:rFonts w:ascii="宋体" w:hAnsi="宋体" w:cs="Arial"/>
                  <w:i/>
                  <w:iCs/>
                  <w:snapToGrid w:val="0"/>
                  <w:color w:val="000000" w:themeColor="text1"/>
                  <w:sz w:val="20"/>
                  <w:szCs w:val="20"/>
                </w:rPr>
              </w:pPr>
              <w:r w:rsidRPr="007565F3">
                <w:rPr>
                  <w:rFonts w:ascii="宋体" w:hAnsi="宋体" w:cs="Arial"/>
                  <w:i/>
                  <w:iCs/>
                  <w:snapToGrid w:val="0"/>
                  <w:color w:val="000000" w:themeColor="text1"/>
                  <w:sz w:val="20"/>
                  <w:szCs w:val="20"/>
                </w:rPr>
                <w:t>除金融资产之外的非流动资产减值</w:t>
              </w:r>
              <w:r w:rsidRPr="007565F3">
                <w:rPr>
                  <w:rFonts w:ascii="宋体" w:hAnsi="宋体" w:cs="Arial" w:hint="eastAsia"/>
                  <w:i/>
                  <w:iCs/>
                  <w:snapToGrid w:val="0"/>
                  <w:color w:val="000000" w:themeColor="text1"/>
                  <w:sz w:val="20"/>
                  <w:szCs w:val="20"/>
                </w:rPr>
                <w:t>（除商誉外）</w:t>
              </w:r>
            </w:p>
            <w:p w:rsidR="007565F3" w:rsidRPr="007565F3" w:rsidRDefault="007565F3" w:rsidP="007565F3">
              <w:pPr>
                <w:overflowPunct w:val="0"/>
                <w:autoSpaceDE w:val="0"/>
                <w:autoSpaceDN w:val="0"/>
                <w:adjustRightInd w:val="0"/>
                <w:snapToGrid w:val="0"/>
                <w:jc w:val="both"/>
                <w:textAlignment w:val="bottom"/>
                <w:rPr>
                  <w:rFonts w:cs="Arial"/>
                  <w:snapToGrid w:val="0"/>
                  <w:sz w:val="20"/>
                  <w:szCs w:val="20"/>
                </w:rPr>
              </w:pPr>
              <w:r w:rsidRPr="007565F3">
                <w:rPr>
                  <w:rFonts w:cs="Arial" w:hint="eastAsia"/>
                  <w:snapToGrid w:val="0"/>
                  <w:sz w:val="20"/>
                </w:rPr>
                <w:t>本集团于资产负债表日对除金融资产之外的非流动资产判断是否存在可能发生减值的迹象。其他除金融资产之外的非流动资产，当存在迹象表明其账面金额不可收回时，进行减值测试。当资产或资产组的账面价值高于可收回金额，即公允价值减去处置费用后的净额和预计未来现金流量的现值中的较高者，表明发生了减值。公允价值减去处置费用后的净额，参考公平交易中类似资产的销售协议价格或可观察到的市场价格，减去可直接归属于该资产处置的增量成本确定。</w:t>
              </w:r>
            </w:p>
            <w:p w:rsidR="007565F3" w:rsidRPr="007565F3" w:rsidRDefault="007565F3" w:rsidP="007565F3">
              <w:pPr>
                <w:overflowPunct w:val="0"/>
                <w:autoSpaceDE w:val="0"/>
                <w:autoSpaceDN w:val="0"/>
                <w:adjustRightInd w:val="0"/>
                <w:snapToGrid w:val="0"/>
                <w:ind w:left="720" w:hanging="720"/>
                <w:jc w:val="both"/>
                <w:textAlignment w:val="bottom"/>
                <w:rPr>
                  <w:rFonts w:cs="Arial"/>
                  <w:snapToGrid w:val="0"/>
                  <w:sz w:val="20"/>
                  <w:szCs w:val="20"/>
                </w:rPr>
              </w:pPr>
            </w:p>
            <w:p w:rsidR="007565F3" w:rsidRPr="007565F3" w:rsidRDefault="007565F3" w:rsidP="00036BDC">
              <w:pPr>
                <w:pStyle w:val="afffffffffffffff"/>
                <w:widowControl/>
                <w:numPr>
                  <w:ilvl w:val="0"/>
                  <w:numId w:val="45"/>
                </w:numPr>
                <w:overflowPunct w:val="0"/>
                <w:autoSpaceDE w:val="0"/>
                <w:autoSpaceDN w:val="0"/>
                <w:adjustRightInd w:val="0"/>
                <w:snapToGrid w:val="0"/>
                <w:ind w:left="709" w:firstLineChars="0" w:hanging="709"/>
                <w:contextualSpacing/>
                <w:textAlignment w:val="bottom"/>
                <w:rPr>
                  <w:rFonts w:ascii="宋体" w:hAnsi="宋体" w:cs="Arial"/>
                  <w:i/>
                  <w:iCs/>
                  <w:snapToGrid w:val="0"/>
                  <w:color w:val="000000" w:themeColor="text1"/>
                  <w:sz w:val="20"/>
                  <w:szCs w:val="20"/>
                </w:rPr>
              </w:pPr>
              <w:r w:rsidRPr="007565F3">
                <w:rPr>
                  <w:rFonts w:ascii="宋体" w:hAnsi="宋体" w:cs="Arial"/>
                  <w:i/>
                  <w:iCs/>
                  <w:snapToGrid w:val="0"/>
                  <w:color w:val="000000" w:themeColor="text1"/>
                  <w:sz w:val="20"/>
                  <w:szCs w:val="20"/>
                </w:rPr>
                <w:t>商誉减值</w:t>
              </w:r>
            </w:p>
            <w:p w:rsidR="007565F3" w:rsidRPr="007565F3" w:rsidRDefault="007565F3" w:rsidP="007565F3">
              <w:pPr>
                <w:overflowPunct w:val="0"/>
                <w:autoSpaceDE w:val="0"/>
                <w:autoSpaceDN w:val="0"/>
                <w:adjustRightInd w:val="0"/>
                <w:snapToGrid w:val="0"/>
                <w:jc w:val="both"/>
                <w:textAlignment w:val="bottom"/>
                <w:rPr>
                  <w:rFonts w:cs="Arial"/>
                  <w:iCs/>
                  <w:snapToGrid w:val="0"/>
                  <w:color w:val="000000" w:themeColor="text1"/>
                  <w:sz w:val="20"/>
                  <w:szCs w:val="20"/>
                </w:rPr>
              </w:pPr>
              <w:r w:rsidRPr="007565F3">
                <w:rPr>
                  <w:rFonts w:cs="Arial"/>
                  <w:iCs/>
                  <w:snapToGrid w:val="0"/>
                  <w:color w:val="000000" w:themeColor="text1"/>
                  <w:sz w:val="20"/>
                  <w:szCs w:val="20"/>
                </w:rPr>
                <w:t>本集团至少每年测试商誉是否发生减值。这要求对分配了商誉的资产组或者资产组组合的未来现金流量的现值进行预计。对未来现金流量的现值进行预计时，本集团需要预计未来资产组或者资产组组合产生的现金流量，同时选择恰当的折现率确定未来现金流量的现值。</w:t>
              </w:r>
            </w:p>
            <w:p w:rsidR="007565F3" w:rsidRPr="007565F3" w:rsidRDefault="007565F3" w:rsidP="007565F3">
              <w:pPr>
                <w:overflowPunct w:val="0"/>
                <w:autoSpaceDE w:val="0"/>
                <w:autoSpaceDN w:val="0"/>
                <w:adjustRightInd w:val="0"/>
                <w:snapToGrid w:val="0"/>
                <w:jc w:val="both"/>
                <w:textAlignment w:val="bottom"/>
                <w:rPr>
                  <w:rFonts w:cs="Arial"/>
                  <w:snapToGrid w:val="0"/>
                  <w:sz w:val="20"/>
                  <w:szCs w:val="20"/>
                </w:rPr>
              </w:pPr>
            </w:p>
            <w:p w:rsidR="007565F3" w:rsidRPr="007565F3" w:rsidRDefault="007565F3" w:rsidP="00036BDC">
              <w:pPr>
                <w:pStyle w:val="afffffffffffffff"/>
                <w:widowControl/>
                <w:numPr>
                  <w:ilvl w:val="0"/>
                  <w:numId w:val="45"/>
                </w:numPr>
                <w:overflowPunct w:val="0"/>
                <w:autoSpaceDE w:val="0"/>
                <w:autoSpaceDN w:val="0"/>
                <w:adjustRightInd w:val="0"/>
                <w:snapToGrid w:val="0"/>
                <w:ind w:left="709" w:firstLineChars="0" w:hanging="709"/>
                <w:contextualSpacing/>
                <w:textAlignment w:val="bottom"/>
                <w:rPr>
                  <w:rFonts w:ascii="宋体" w:hAnsi="宋体" w:cs="Arial"/>
                  <w:i/>
                  <w:iCs/>
                  <w:snapToGrid w:val="0"/>
                  <w:color w:val="000000" w:themeColor="text1"/>
                  <w:sz w:val="20"/>
                  <w:szCs w:val="20"/>
                </w:rPr>
              </w:pPr>
              <w:r w:rsidRPr="007565F3">
                <w:rPr>
                  <w:rFonts w:ascii="宋体" w:hAnsi="宋体" w:cs="Arial"/>
                  <w:i/>
                  <w:iCs/>
                  <w:snapToGrid w:val="0"/>
                  <w:color w:val="000000" w:themeColor="text1"/>
                  <w:sz w:val="20"/>
                  <w:szCs w:val="20"/>
                </w:rPr>
                <w:t>开发支出</w:t>
              </w:r>
            </w:p>
            <w:p w:rsidR="007565F3" w:rsidRPr="007565F3" w:rsidRDefault="007565F3" w:rsidP="007565F3">
              <w:pPr>
                <w:overflowPunct w:val="0"/>
                <w:autoSpaceDE w:val="0"/>
                <w:autoSpaceDN w:val="0"/>
                <w:adjustRightInd w:val="0"/>
                <w:snapToGrid w:val="0"/>
                <w:jc w:val="both"/>
                <w:textAlignment w:val="bottom"/>
                <w:rPr>
                  <w:rFonts w:cs="Arial"/>
                  <w:iCs/>
                  <w:snapToGrid w:val="0"/>
                  <w:color w:val="000000" w:themeColor="text1"/>
                  <w:sz w:val="20"/>
                  <w:szCs w:val="20"/>
                </w:rPr>
              </w:pPr>
              <w:r w:rsidRPr="007565F3">
                <w:rPr>
                  <w:rFonts w:cs="Arial"/>
                  <w:iCs/>
                  <w:snapToGrid w:val="0"/>
                  <w:color w:val="000000" w:themeColor="text1"/>
                  <w:sz w:val="20"/>
                  <w:szCs w:val="20"/>
                </w:rPr>
                <w:t>确定资本化的金额时，管理层必须作出有关资产的预计未来现金流量</w:t>
              </w:r>
              <w:r w:rsidRPr="007565F3">
                <w:rPr>
                  <w:rFonts w:cs="Arial" w:hint="eastAsia"/>
                  <w:iCs/>
                  <w:snapToGrid w:val="0"/>
                  <w:color w:val="000000" w:themeColor="text1"/>
                  <w:sz w:val="20"/>
                  <w:szCs w:val="20"/>
                </w:rPr>
                <w:t>、</w:t>
              </w:r>
              <w:r w:rsidRPr="007565F3">
                <w:rPr>
                  <w:rFonts w:cs="Arial"/>
                  <w:iCs/>
                  <w:snapToGrid w:val="0"/>
                  <w:color w:val="000000" w:themeColor="text1"/>
                  <w:sz w:val="20"/>
                  <w:szCs w:val="20"/>
                </w:rPr>
                <w:t>适用的折现率以及预计受益期间的假设。</w:t>
              </w:r>
            </w:p>
            <w:p w:rsidR="007565F3" w:rsidRPr="007565F3" w:rsidRDefault="007565F3" w:rsidP="007565F3">
              <w:pPr>
                <w:overflowPunct w:val="0"/>
                <w:autoSpaceDE w:val="0"/>
                <w:autoSpaceDN w:val="0"/>
                <w:adjustRightInd w:val="0"/>
                <w:snapToGrid w:val="0"/>
                <w:jc w:val="both"/>
                <w:textAlignment w:val="bottom"/>
                <w:rPr>
                  <w:rFonts w:cs="Arial"/>
                  <w:iCs/>
                  <w:snapToGrid w:val="0"/>
                  <w:color w:val="000000" w:themeColor="text1"/>
                  <w:sz w:val="20"/>
                  <w:szCs w:val="20"/>
                </w:rPr>
              </w:pPr>
            </w:p>
            <w:p w:rsidR="007565F3" w:rsidRPr="007565F3" w:rsidRDefault="007565F3" w:rsidP="00036BDC">
              <w:pPr>
                <w:pStyle w:val="afffffffffffffff"/>
                <w:widowControl/>
                <w:numPr>
                  <w:ilvl w:val="0"/>
                  <w:numId w:val="45"/>
                </w:numPr>
                <w:overflowPunct w:val="0"/>
                <w:autoSpaceDE w:val="0"/>
                <w:autoSpaceDN w:val="0"/>
                <w:adjustRightInd w:val="0"/>
                <w:snapToGrid w:val="0"/>
                <w:ind w:left="709" w:firstLineChars="0" w:hanging="709"/>
                <w:contextualSpacing/>
                <w:textAlignment w:val="bottom"/>
                <w:rPr>
                  <w:rFonts w:ascii="宋体" w:hAnsi="宋体" w:cs="Arial"/>
                  <w:i/>
                  <w:snapToGrid w:val="0"/>
                  <w:sz w:val="20"/>
                  <w:szCs w:val="20"/>
                </w:rPr>
              </w:pPr>
              <w:r w:rsidRPr="007565F3">
                <w:rPr>
                  <w:rFonts w:ascii="宋体" w:hAnsi="宋体" w:cs="Arial"/>
                  <w:i/>
                  <w:snapToGrid w:val="0"/>
                  <w:sz w:val="20"/>
                  <w:szCs w:val="20"/>
                </w:rPr>
                <w:t>股份支付</w:t>
              </w:r>
            </w:p>
            <w:p w:rsidR="007565F3" w:rsidRPr="007565F3" w:rsidRDefault="007565F3" w:rsidP="007565F3">
              <w:pPr>
                <w:overflowPunct w:val="0"/>
                <w:autoSpaceDE w:val="0"/>
                <w:autoSpaceDN w:val="0"/>
                <w:adjustRightInd w:val="0"/>
                <w:snapToGrid w:val="0"/>
                <w:jc w:val="both"/>
                <w:textAlignment w:val="bottom"/>
                <w:rPr>
                  <w:rFonts w:cs="Arial"/>
                  <w:snapToGrid w:val="0"/>
                  <w:sz w:val="20"/>
                  <w:szCs w:val="20"/>
                </w:rPr>
              </w:pPr>
              <w:r w:rsidRPr="007565F3">
                <w:rPr>
                  <w:rFonts w:cs="Arial"/>
                  <w:snapToGrid w:val="0"/>
                  <w:sz w:val="20"/>
                  <w:szCs w:val="20"/>
                </w:rPr>
                <w:t>在计算股权激励方案的相关负债及费用时，公司管理层需要对离职率、可行权条件等事项进行判断和估计，不同的判断和估计将对财务报表产生重大影响。</w:t>
              </w:r>
            </w:p>
            <w:p w:rsidR="007565F3" w:rsidRPr="007565F3" w:rsidRDefault="007565F3" w:rsidP="007565F3">
              <w:pPr>
                <w:overflowPunct w:val="0"/>
                <w:autoSpaceDE w:val="0"/>
                <w:autoSpaceDN w:val="0"/>
                <w:adjustRightInd w:val="0"/>
                <w:snapToGrid w:val="0"/>
                <w:jc w:val="both"/>
                <w:textAlignment w:val="bottom"/>
                <w:rPr>
                  <w:rFonts w:cs="Arial"/>
                  <w:snapToGrid w:val="0"/>
                  <w:sz w:val="20"/>
                  <w:szCs w:val="20"/>
                </w:rPr>
              </w:pPr>
            </w:p>
            <w:p w:rsidR="007565F3" w:rsidRPr="007565F3" w:rsidRDefault="007565F3" w:rsidP="00036BDC">
              <w:pPr>
                <w:pStyle w:val="afffffffffffffff"/>
                <w:widowControl/>
                <w:numPr>
                  <w:ilvl w:val="0"/>
                  <w:numId w:val="45"/>
                </w:numPr>
                <w:overflowPunct w:val="0"/>
                <w:autoSpaceDE w:val="0"/>
                <w:autoSpaceDN w:val="0"/>
                <w:adjustRightInd w:val="0"/>
                <w:snapToGrid w:val="0"/>
                <w:ind w:left="709" w:firstLineChars="0" w:hanging="709"/>
                <w:contextualSpacing/>
                <w:textAlignment w:val="bottom"/>
                <w:rPr>
                  <w:rFonts w:ascii="宋体" w:hAnsi="宋体" w:cs="Arial"/>
                  <w:i/>
                  <w:snapToGrid w:val="0"/>
                  <w:sz w:val="20"/>
                  <w:szCs w:val="20"/>
                </w:rPr>
              </w:pPr>
              <w:r w:rsidRPr="007565F3">
                <w:rPr>
                  <w:rFonts w:ascii="宋体" w:hAnsi="宋体" w:cs="Arial"/>
                  <w:i/>
                  <w:snapToGrid w:val="0"/>
                  <w:sz w:val="20"/>
                  <w:szCs w:val="20"/>
                </w:rPr>
                <w:t>开发实施服务收入的确认</w:t>
              </w:r>
            </w:p>
            <w:p w:rsidR="007565F3" w:rsidRPr="007565F3" w:rsidRDefault="007565F3" w:rsidP="007565F3">
              <w:pPr>
                <w:overflowPunct w:val="0"/>
                <w:autoSpaceDE w:val="0"/>
                <w:autoSpaceDN w:val="0"/>
                <w:adjustRightInd w:val="0"/>
                <w:snapToGrid w:val="0"/>
                <w:jc w:val="both"/>
                <w:textAlignment w:val="bottom"/>
                <w:rPr>
                  <w:rFonts w:cs="Arial"/>
                  <w:snapToGrid w:val="0"/>
                  <w:sz w:val="20"/>
                  <w:szCs w:val="20"/>
                </w:rPr>
              </w:pPr>
              <w:r w:rsidRPr="007565F3">
                <w:rPr>
                  <w:rFonts w:cs="Arial"/>
                  <w:snapToGrid w:val="0"/>
                  <w:sz w:val="20"/>
                  <w:szCs w:val="20"/>
                </w:rPr>
                <w:t>开发和实施合同根据完工进度确认收入，该完工进度依据已经提供的劳务占应提供劳务总量的比例确定，确定合同完工进度过程中会涉及到重大的管理层判断与估计。</w:t>
              </w:r>
            </w:p>
            <w:p w:rsidR="007565F3" w:rsidRPr="007565F3" w:rsidRDefault="007565F3" w:rsidP="007565F3">
              <w:pPr>
                <w:overflowPunct w:val="0"/>
                <w:autoSpaceDE w:val="0"/>
                <w:autoSpaceDN w:val="0"/>
                <w:adjustRightInd w:val="0"/>
                <w:snapToGrid w:val="0"/>
                <w:jc w:val="both"/>
                <w:textAlignment w:val="bottom"/>
                <w:rPr>
                  <w:rFonts w:cs="Arial"/>
                  <w:snapToGrid w:val="0"/>
                  <w:sz w:val="20"/>
                  <w:szCs w:val="20"/>
                </w:rPr>
              </w:pPr>
            </w:p>
            <w:p w:rsidR="007565F3" w:rsidRPr="007565F3" w:rsidRDefault="007565F3" w:rsidP="00036BDC">
              <w:pPr>
                <w:pStyle w:val="afffffffffffffff"/>
                <w:widowControl/>
                <w:numPr>
                  <w:ilvl w:val="0"/>
                  <w:numId w:val="45"/>
                </w:numPr>
                <w:overflowPunct w:val="0"/>
                <w:autoSpaceDE w:val="0"/>
                <w:autoSpaceDN w:val="0"/>
                <w:adjustRightInd w:val="0"/>
                <w:snapToGrid w:val="0"/>
                <w:ind w:left="709" w:firstLineChars="0" w:hanging="709"/>
                <w:contextualSpacing/>
                <w:textAlignment w:val="bottom"/>
                <w:rPr>
                  <w:rFonts w:ascii="宋体" w:hAnsi="宋体" w:cs="Arial"/>
                  <w:i/>
                  <w:iCs/>
                  <w:snapToGrid w:val="0"/>
                  <w:color w:val="000000" w:themeColor="text1"/>
                  <w:sz w:val="20"/>
                  <w:szCs w:val="20"/>
                </w:rPr>
              </w:pPr>
              <w:r w:rsidRPr="007565F3">
                <w:rPr>
                  <w:rFonts w:ascii="宋体" w:hAnsi="宋体" w:cs="Arial"/>
                  <w:i/>
                  <w:iCs/>
                  <w:snapToGrid w:val="0"/>
                  <w:color w:val="000000" w:themeColor="text1"/>
                  <w:sz w:val="20"/>
                  <w:szCs w:val="20"/>
                </w:rPr>
                <w:t>递延所得税资产</w:t>
              </w:r>
            </w:p>
            <w:p w:rsidR="007565F3" w:rsidRPr="007565F3" w:rsidRDefault="007565F3" w:rsidP="007565F3">
              <w:pPr>
                <w:overflowPunct w:val="0"/>
                <w:autoSpaceDE w:val="0"/>
                <w:autoSpaceDN w:val="0"/>
                <w:adjustRightInd w:val="0"/>
                <w:snapToGrid w:val="0"/>
                <w:jc w:val="both"/>
                <w:textAlignment w:val="bottom"/>
                <w:rPr>
                  <w:rFonts w:cs="Arial"/>
                  <w:snapToGrid w:val="0"/>
                  <w:sz w:val="20"/>
                  <w:szCs w:val="20"/>
                </w:rPr>
              </w:pPr>
              <w:r w:rsidRPr="007565F3">
                <w:rPr>
                  <w:rFonts w:cs="Arial"/>
                  <w:iCs/>
                  <w:snapToGrid w:val="0"/>
                  <w:color w:val="000000" w:themeColor="text1"/>
                  <w:sz w:val="20"/>
                  <w:szCs w:val="20"/>
                </w:rPr>
                <w:t>在很可能有足够的应纳税所得额用以抵扣可抵扣亏损的限度内，应就所有尚未利用的可抵扣亏损确认递延所得税资产。这需要管理层运用大量的判断来估计未来取得应纳税所得额的时间和金额，结合纳税筹划策略，以决定应确认的递延所得税资产的金额。</w:t>
              </w:r>
            </w:p>
            <w:p w:rsidR="007565F3" w:rsidRPr="007565F3" w:rsidRDefault="007565F3" w:rsidP="007565F3">
              <w:pPr>
                <w:overflowPunct w:val="0"/>
                <w:autoSpaceDE w:val="0"/>
                <w:autoSpaceDN w:val="0"/>
                <w:adjustRightInd w:val="0"/>
                <w:snapToGrid w:val="0"/>
                <w:jc w:val="both"/>
                <w:textAlignment w:val="bottom"/>
                <w:rPr>
                  <w:rFonts w:cs="Arial"/>
                  <w:snapToGrid w:val="0"/>
                  <w:sz w:val="20"/>
                  <w:szCs w:val="20"/>
                </w:rPr>
              </w:pPr>
            </w:p>
            <w:p w:rsidR="007565F3" w:rsidRPr="007565F3" w:rsidRDefault="007565F3" w:rsidP="00036BDC">
              <w:pPr>
                <w:pStyle w:val="afffffffffffffff"/>
                <w:widowControl/>
                <w:numPr>
                  <w:ilvl w:val="0"/>
                  <w:numId w:val="45"/>
                </w:numPr>
                <w:overflowPunct w:val="0"/>
                <w:autoSpaceDE w:val="0"/>
                <w:autoSpaceDN w:val="0"/>
                <w:adjustRightInd w:val="0"/>
                <w:snapToGrid w:val="0"/>
                <w:ind w:left="709" w:firstLineChars="0" w:hanging="709"/>
                <w:contextualSpacing/>
                <w:textAlignment w:val="bottom"/>
                <w:rPr>
                  <w:rFonts w:ascii="宋体" w:hAnsi="宋体" w:cs="Arial"/>
                  <w:i/>
                  <w:snapToGrid w:val="0"/>
                  <w:sz w:val="20"/>
                  <w:szCs w:val="20"/>
                </w:rPr>
              </w:pPr>
              <w:r w:rsidRPr="007565F3">
                <w:rPr>
                  <w:rFonts w:ascii="宋体" w:hAnsi="宋体" w:cs="Arial"/>
                  <w:i/>
                  <w:snapToGrid w:val="0"/>
                  <w:sz w:val="20"/>
                  <w:szCs w:val="20"/>
                </w:rPr>
                <w:t>折旧</w:t>
              </w:r>
            </w:p>
            <w:p w:rsidR="007565F3" w:rsidRPr="007565F3" w:rsidRDefault="007565F3" w:rsidP="007565F3">
              <w:pPr>
                <w:overflowPunct w:val="0"/>
                <w:autoSpaceDE w:val="0"/>
                <w:autoSpaceDN w:val="0"/>
                <w:adjustRightInd w:val="0"/>
                <w:snapToGrid w:val="0"/>
                <w:jc w:val="both"/>
                <w:textAlignment w:val="bottom"/>
                <w:rPr>
                  <w:rFonts w:cs="Arial"/>
                  <w:snapToGrid w:val="0"/>
                  <w:sz w:val="20"/>
                  <w:szCs w:val="20"/>
                </w:rPr>
              </w:pPr>
              <w:r w:rsidRPr="007565F3">
                <w:rPr>
                  <w:rFonts w:cs="Arial"/>
                  <w:snapToGrid w:val="0"/>
                  <w:sz w:val="20"/>
                  <w:szCs w:val="20"/>
                </w:rPr>
                <w:t>本集团对固定资产在考虑其残值后，在预计可使用年限内按直线法计提折旧。本集团定期审阅预计可使用年限，以决定将计入每个报告期的折旧费用数额。预计可使用年限是本集团根据对同类资产的已往经验并结合预期的技术改变而确定。如果以前的估计发生重大变化，则会在未来期间对折旧费用进行调整。</w:t>
              </w:r>
            </w:p>
            <w:p w:rsidR="007565F3" w:rsidRPr="007565F3" w:rsidRDefault="007565F3" w:rsidP="007565F3">
              <w:pPr>
                <w:overflowPunct w:val="0"/>
                <w:autoSpaceDE w:val="0"/>
                <w:autoSpaceDN w:val="0"/>
                <w:adjustRightInd w:val="0"/>
                <w:snapToGrid w:val="0"/>
                <w:jc w:val="both"/>
                <w:textAlignment w:val="bottom"/>
                <w:rPr>
                  <w:rFonts w:cs="Arial"/>
                  <w:snapToGrid w:val="0"/>
                  <w:sz w:val="20"/>
                  <w:szCs w:val="20"/>
                </w:rPr>
              </w:pPr>
            </w:p>
            <w:p w:rsidR="007565F3" w:rsidRPr="007565F3" w:rsidRDefault="007565F3" w:rsidP="00036BDC">
              <w:pPr>
                <w:pStyle w:val="afffffffffffffff"/>
                <w:widowControl/>
                <w:numPr>
                  <w:ilvl w:val="0"/>
                  <w:numId w:val="45"/>
                </w:numPr>
                <w:overflowPunct w:val="0"/>
                <w:autoSpaceDE w:val="0"/>
                <w:autoSpaceDN w:val="0"/>
                <w:adjustRightInd w:val="0"/>
                <w:snapToGrid w:val="0"/>
                <w:ind w:left="709" w:firstLineChars="0" w:hanging="709"/>
                <w:contextualSpacing/>
                <w:textAlignment w:val="bottom"/>
                <w:rPr>
                  <w:rFonts w:ascii="宋体" w:hAnsi="宋体" w:cs="Arial"/>
                  <w:i/>
                  <w:snapToGrid w:val="0"/>
                  <w:sz w:val="20"/>
                  <w:szCs w:val="20"/>
                </w:rPr>
              </w:pPr>
              <w:r w:rsidRPr="007565F3">
                <w:rPr>
                  <w:rFonts w:ascii="宋体" w:hAnsi="宋体" w:cs="Arial"/>
                  <w:i/>
                  <w:snapToGrid w:val="0"/>
                  <w:sz w:val="20"/>
                  <w:szCs w:val="20"/>
                </w:rPr>
                <w:t>无形资产的可使用寿命</w:t>
              </w:r>
            </w:p>
            <w:p w:rsidR="007565F3" w:rsidRPr="007565F3" w:rsidRDefault="007565F3" w:rsidP="007565F3">
              <w:pPr>
                <w:overflowPunct w:val="0"/>
                <w:autoSpaceDE w:val="0"/>
                <w:autoSpaceDN w:val="0"/>
                <w:adjustRightInd w:val="0"/>
                <w:snapToGrid w:val="0"/>
                <w:jc w:val="both"/>
                <w:textAlignment w:val="bottom"/>
                <w:rPr>
                  <w:rFonts w:cs="Arial"/>
                  <w:snapToGrid w:val="0"/>
                  <w:sz w:val="20"/>
                  <w:szCs w:val="20"/>
                </w:rPr>
              </w:pPr>
              <w:r w:rsidRPr="007565F3">
                <w:rPr>
                  <w:rFonts w:cs="Arial"/>
                  <w:snapToGrid w:val="0"/>
                  <w:sz w:val="20"/>
                  <w:szCs w:val="20"/>
                </w:rPr>
                <w:t>无形资产的预计可使用寿命，以过去性质及功能相似的无形资产的实际使用寿命为基础，按照历史经验施行估计，并考虑该些无形资产适用的合同性权利或其他法定权利的期限。</w:t>
              </w:r>
            </w:p>
            <w:p w:rsidR="007565F3" w:rsidRPr="007565F3" w:rsidRDefault="007565F3" w:rsidP="007565F3">
              <w:pPr>
                <w:overflowPunct w:val="0"/>
                <w:autoSpaceDE w:val="0"/>
                <w:autoSpaceDN w:val="0"/>
                <w:adjustRightInd w:val="0"/>
                <w:snapToGrid w:val="0"/>
                <w:jc w:val="both"/>
                <w:textAlignment w:val="bottom"/>
                <w:rPr>
                  <w:rFonts w:cs="Arial"/>
                  <w:snapToGrid w:val="0"/>
                  <w:sz w:val="20"/>
                  <w:szCs w:val="20"/>
                </w:rPr>
              </w:pPr>
            </w:p>
            <w:p w:rsidR="007565F3" w:rsidRPr="007565F3" w:rsidRDefault="007565F3" w:rsidP="007565F3">
              <w:pPr>
                <w:overflowPunct w:val="0"/>
                <w:autoSpaceDE w:val="0"/>
                <w:autoSpaceDN w:val="0"/>
                <w:adjustRightInd w:val="0"/>
                <w:snapToGrid w:val="0"/>
                <w:jc w:val="both"/>
                <w:textAlignment w:val="bottom"/>
                <w:rPr>
                  <w:rFonts w:cs="Arial"/>
                  <w:snapToGrid w:val="0"/>
                  <w:sz w:val="20"/>
                  <w:szCs w:val="20"/>
                </w:rPr>
              </w:pPr>
              <w:r w:rsidRPr="007565F3">
                <w:rPr>
                  <w:rFonts w:cs="Arial"/>
                  <w:snapToGrid w:val="0"/>
                  <w:sz w:val="20"/>
                  <w:szCs w:val="20"/>
                </w:rPr>
                <w:t>如果该些无形资产的可使用寿命缩短或延长，则对于可使用寿命有限的无形资产，应改变其摊销年限；对于可使用寿命不确定的无形资产，如果有证据表明其使用寿命是有限的，应当估计其使用寿命并按照使用寿命有限的无形资产的处理原则进行处理。</w:t>
              </w:r>
            </w:p>
            <w:p w:rsidR="007565F3" w:rsidRPr="007565F3" w:rsidRDefault="007565F3" w:rsidP="00B637B2">
              <w:pPr>
                <w:overflowPunct w:val="0"/>
                <w:autoSpaceDE w:val="0"/>
                <w:autoSpaceDN w:val="0"/>
                <w:adjustRightInd w:val="0"/>
                <w:snapToGrid w:val="0"/>
                <w:jc w:val="both"/>
                <w:textAlignment w:val="bottom"/>
                <w:rPr>
                  <w:rFonts w:cs="Arial"/>
                  <w:snapToGrid w:val="0"/>
                  <w:sz w:val="20"/>
                  <w:szCs w:val="20"/>
                </w:rPr>
              </w:pPr>
            </w:p>
            <w:p w:rsidR="007565F3" w:rsidRPr="007565F3" w:rsidRDefault="007565F3" w:rsidP="00036BDC">
              <w:pPr>
                <w:pStyle w:val="afffffffffffffff"/>
                <w:widowControl/>
                <w:numPr>
                  <w:ilvl w:val="0"/>
                  <w:numId w:val="45"/>
                </w:numPr>
                <w:overflowPunct w:val="0"/>
                <w:autoSpaceDE w:val="0"/>
                <w:autoSpaceDN w:val="0"/>
                <w:adjustRightInd w:val="0"/>
                <w:snapToGrid w:val="0"/>
                <w:ind w:left="709" w:firstLineChars="0" w:hanging="709"/>
                <w:contextualSpacing/>
                <w:textAlignment w:val="bottom"/>
                <w:rPr>
                  <w:rFonts w:ascii="宋体" w:hAnsi="宋体" w:cs="Arial"/>
                  <w:i/>
                  <w:snapToGrid w:val="0"/>
                  <w:sz w:val="20"/>
                  <w:szCs w:val="20"/>
                </w:rPr>
              </w:pPr>
              <w:r w:rsidRPr="007565F3">
                <w:rPr>
                  <w:rFonts w:ascii="宋体" w:hAnsi="宋体" w:cs="Arial"/>
                  <w:i/>
                  <w:snapToGrid w:val="0"/>
                  <w:sz w:val="20"/>
                  <w:szCs w:val="20"/>
                </w:rPr>
                <w:lastRenderedPageBreak/>
                <w:t>所得税</w:t>
              </w:r>
            </w:p>
            <w:p w:rsidR="007565F3" w:rsidRPr="007565F3" w:rsidRDefault="007565F3" w:rsidP="007565F3">
              <w:pPr>
                <w:overflowPunct w:val="0"/>
                <w:autoSpaceDE w:val="0"/>
                <w:autoSpaceDN w:val="0"/>
                <w:adjustRightInd w:val="0"/>
                <w:snapToGrid w:val="0"/>
                <w:jc w:val="both"/>
                <w:textAlignment w:val="bottom"/>
                <w:rPr>
                  <w:rFonts w:cs="Arial"/>
                  <w:snapToGrid w:val="0"/>
                  <w:sz w:val="20"/>
                  <w:szCs w:val="20"/>
                </w:rPr>
              </w:pPr>
              <w:r w:rsidRPr="007565F3">
                <w:rPr>
                  <w:rFonts w:cs="Arial"/>
                  <w:snapToGrid w:val="0"/>
                  <w:sz w:val="20"/>
                  <w:szCs w:val="20"/>
                </w:rPr>
                <w:t>本公司及其子公司因分布在国内若干省份而需分别在其所在地缴纳企业所得税。在计提企业所得税时，由于有关企业所得税的若干事项尚未获得主管税务机关确认，因此需以现行的税收法规及其他相关政策为依据，作出可靠的估计和判断。若有关事项的最终税务结果有别于已确认金额时，该些差额将对当期的所得税造成影响。</w:t>
              </w:r>
            </w:p>
            <w:p w:rsidR="007565F3" w:rsidRPr="007565F3" w:rsidRDefault="007565F3" w:rsidP="007565F3">
              <w:pPr>
                <w:overflowPunct w:val="0"/>
                <w:autoSpaceDE w:val="0"/>
                <w:autoSpaceDN w:val="0"/>
                <w:adjustRightInd w:val="0"/>
                <w:snapToGrid w:val="0"/>
                <w:jc w:val="both"/>
                <w:textAlignment w:val="bottom"/>
                <w:rPr>
                  <w:rFonts w:cs="Arial"/>
                  <w:snapToGrid w:val="0"/>
                  <w:sz w:val="20"/>
                  <w:szCs w:val="20"/>
                </w:rPr>
              </w:pPr>
            </w:p>
            <w:p w:rsidR="00ED2DC7" w:rsidRPr="007565F3" w:rsidRDefault="000D0A99">
              <w:pPr>
                <w:rPr>
                  <w:szCs w:val="21"/>
                </w:rPr>
              </w:pPr>
            </w:p>
          </w:sdtContent>
        </w:sdt>
      </w:sdtContent>
    </w:sdt>
    <w:p w:rsidR="00ED2DC7" w:rsidRDefault="00ED2DC7">
      <w:pPr>
        <w:rPr>
          <w:szCs w:val="21"/>
        </w:rPr>
      </w:pPr>
    </w:p>
    <w:p w:rsidR="00ED2DC7" w:rsidRPr="009F6182" w:rsidRDefault="00ED2DC7" w:rsidP="00036BDC">
      <w:pPr>
        <w:pStyle w:val="affffffffffffffffff1"/>
        <w:numPr>
          <w:ilvl w:val="0"/>
          <w:numId w:val="38"/>
        </w:numPr>
      </w:pPr>
      <w:r w:rsidRPr="009F6182">
        <w:rPr>
          <w:rFonts w:hint="eastAsia"/>
        </w:rPr>
        <w:t>重要</w:t>
      </w:r>
      <w:r w:rsidRPr="009F6182">
        <w:t>会计政策</w:t>
      </w:r>
      <w:r w:rsidRPr="009F6182">
        <w:rPr>
          <w:rFonts w:hint="eastAsia"/>
        </w:rPr>
        <w:t>和</w:t>
      </w:r>
      <w:r w:rsidRPr="009F6182">
        <w:t>会计估计的变更</w:t>
      </w:r>
    </w:p>
    <w:p w:rsidR="00ED2DC7" w:rsidRDefault="00ED2DC7" w:rsidP="00036BDC">
      <w:pPr>
        <w:pStyle w:val="affffffffffffffffff2"/>
        <w:numPr>
          <w:ilvl w:val="3"/>
          <w:numId w:val="46"/>
        </w:numPr>
        <w:ind w:left="426" w:hanging="426"/>
      </w:pPr>
      <w:r>
        <w:rPr>
          <w:rFonts w:hint="eastAsia"/>
        </w:rPr>
        <w:t>重要</w:t>
      </w:r>
      <w:r>
        <w:t>会计政策变更</w:t>
      </w:r>
    </w:p>
    <w:sdt>
      <w:sdtPr>
        <w:rPr>
          <w:szCs w:val="21"/>
        </w:rPr>
        <w:alias w:val="是否适用：重要会计政策变更[双击切换]"/>
        <w:tag w:val="_GBC_f1ebc580f60c4d30a80747190ffbec4f"/>
        <w:id w:val="1604462838"/>
        <w:lock w:val="sdtContentLocked"/>
        <w:placeholder>
          <w:docPart w:val="GBC22222222222222222222222222222"/>
        </w:placeholder>
      </w:sdtPr>
      <w:sdtContent>
        <w:p w:rsidR="00ED2DC7" w:rsidRDefault="00ED2DC7">
          <w:pPr>
            <w:rPr>
              <w:szCs w:val="21"/>
            </w:rPr>
          </w:pPr>
          <w:r>
            <w:rPr>
              <w:szCs w:val="21"/>
            </w:rPr>
            <w:fldChar w:fldCharType="begin"/>
          </w:r>
          <w:r w:rsidR="00DF73AB">
            <w:rPr>
              <w:szCs w:val="21"/>
            </w:rPr>
            <w:instrText xml:space="preserve"> MACROBUTTON  SnrToggleCheckbox √适用 </w:instrText>
          </w:r>
          <w:r>
            <w:rPr>
              <w:szCs w:val="21"/>
            </w:rPr>
            <w:fldChar w:fldCharType="end"/>
          </w:r>
          <w:r>
            <w:rPr>
              <w:szCs w:val="21"/>
            </w:rPr>
            <w:fldChar w:fldCharType="begin"/>
          </w:r>
          <w:r w:rsidR="00DF73AB">
            <w:rPr>
              <w:szCs w:val="21"/>
            </w:rPr>
            <w:instrText xml:space="preserve"> MACROBUTTON  SnrToggleCheckbox □不适用 </w:instrText>
          </w:r>
          <w:r>
            <w:rPr>
              <w:szCs w:val="21"/>
            </w:rPr>
            <w:fldChar w:fldCharType="end"/>
          </w:r>
        </w:p>
      </w:sdtContent>
    </w:sdt>
    <w:sdt>
      <w:sdtPr>
        <w:rPr>
          <w:rFonts w:hint="eastAsia"/>
          <w:szCs w:val="21"/>
        </w:rPr>
        <w:alias w:val="模块:会计政策变更"/>
        <w:tag w:val="_GBC_0e06dc657bb8435eb065c6bd60685496"/>
        <w:id w:val="1298730906"/>
        <w:lock w:val="sdtLocked"/>
        <w:placeholder>
          <w:docPart w:val="GBC22222222222222222222222222222"/>
        </w:placeholder>
      </w:sdtPr>
      <w:sdtEndPr>
        <w:rPr>
          <w:rFonts w:ascii="Times New Roman" w:hAnsi="Times New Roman" w:cs="Times New Roman"/>
          <w:kern w:val="2"/>
        </w:rPr>
      </w:sdtEndPr>
      <w:sdtContent>
        <w:p w:rsidR="00ED2DC7" w:rsidRDefault="00ED2DC7">
          <w:pPr>
            <w:rPr>
              <w:szCs w:val="21"/>
            </w:rPr>
          </w:pPr>
          <w:r>
            <w:rPr>
              <w:rFonts w:hint="eastAsia"/>
              <w:szCs w:val="21"/>
            </w:rPr>
            <w:t>其他说明：</w:t>
          </w:r>
        </w:p>
        <w:sdt>
          <w:sdtPr>
            <w:rPr>
              <w:szCs w:val="21"/>
            </w:rPr>
            <w:alias w:val="会计政策的变更的其他说明"/>
            <w:tag w:val="_GBC_93e2fc5a38cb45958eae783eee8d98c3"/>
            <w:id w:val="-1348556507"/>
            <w:lock w:val="sdtLocked"/>
            <w:placeholder>
              <w:docPart w:val="GBC22222222222222222222222222222"/>
            </w:placeholder>
          </w:sdtPr>
          <w:sdtContent>
            <w:p w:rsidR="00B637B2" w:rsidRPr="00356C46" w:rsidRDefault="008F04CF" w:rsidP="00B637B2">
              <w:pPr>
                <w:rPr>
                  <w:szCs w:val="21"/>
                </w:rPr>
              </w:pPr>
              <w:r w:rsidRPr="00356C46">
                <w:rPr>
                  <w:rFonts w:hint="eastAsia"/>
                  <w:szCs w:val="21"/>
                </w:rPr>
                <w:t>财务报表列报方式变更</w:t>
              </w:r>
            </w:p>
            <w:p w:rsidR="00B637B2" w:rsidRPr="00356C46" w:rsidRDefault="00B637B2" w:rsidP="00B637B2">
              <w:pPr>
                <w:rPr>
                  <w:szCs w:val="21"/>
                </w:rPr>
              </w:pPr>
            </w:p>
            <w:p w:rsidR="00B637B2" w:rsidRPr="00356C46" w:rsidRDefault="008F04CF" w:rsidP="00B637B2">
              <w:pPr>
                <w:rPr>
                  <w:szCs w:val="21"/>
                </w:rPr>
              </w:pPr>
              <w:r w:rsidRPr="00356C46">
                <w:rPr>
                  <w:rFonts w:hint="eastAsia"/>
                  <w:szCs w:val="21"/>
                </w:rPr>
                <w:t>根据《关于修订印发</w:t>
              </w:r>
              <w:r w:rsidRPr="00356C46">
                <w:rPr>
                  <w:szCs w:val="21"/>
                </w:rPr>
                <w:t>2019年度一般企业财务报表格式的通知》（财会[2019]6号）要求，资产负债表中，“应收票据及应收账款”项目分拆为“应收票据”及“应收账款”，“应付票据及应付账款”项目分拆为“应付票据”及“应付账款”；利润表中，“研发费用”项目除反映进行研究与开发过程中发生的费用化支出外，还包括了原在“管理费用”项目中列示的自行开发无形资产的摊销；“递延收益”项目中摊销期限只剩一年或不足一年的，或预计在一年内（含一年）进行摊销的部分，仍在该项目中填列，不转入“一年内到期的非流动负债”项目。本集团相应追溯</w:t>
              </w:r>
              <w:r w:rsidRPr="00356C46">
                <w:rPr>
                  <w:rFonts w:hint="eastAsia"/>
                  <w:szCs w:val="21"/>
                </w:rPr>
                <w:t>调整了比较数据。该会计政策变更对合并及公司净利润和股东权益无影响。</w:t>
              </w:r>
            </w:p>
            <w:p w:rsidR="00B637B2" w:rsidRPr="00356C46" w:rsidRDefault="00B637B2" w:rsidP="00B637B2">
              <w:pPr>
                <w:rPr>
                  <w:szCs w:val="21"/>
                </w:rPr>
              </w:pPr>
            </w:p>
            <w:p w:rsidR="00B637B2" w:rsidRPr="00356C46" w:rsidRDefault="008F04CF" w:rsidP="00B637B2">
              <w:pPr>
                <w:rPr>
                  <w:szCs w:val="21"/>
                </w:rPr>
              </w:pPr>
              <w:r w:rsidRPr="00356C46">
                <w:rPr>
                  <w:szCs w:val="21"/>
                </w:rPr>
                <w:t>2017年，财政部颁布了修订的《企业会计准则第22号——金融工具确认和计量》、《企业会计准则第23号——金融资产转移》、《企业会计准则第24号——套期保值》以及《企业会计准则第37号——金融工具列报》(统称“新金融工具准则”)。本集团自2019年1月1日开始按照新修订的上述准则进行会计处理，根据衔接规定，对可比期间信息不予调整，首日执行新准则与现行准则的差异追溯调整本报告期期初留存收益。</w:t>
              </w:r>
            </w:p>
            <w:p w:rsidR="00B637B2" w:rsidRPr="00356C46" w:rsidRDefault="00B637B2" w:rsidP="00B637B2">
              <w:pPr>
                <w:rPr>
                  <w:szCs w:val="21"/>
                </w:rPr>
              </w:pPr>
            </w:p>
            <w:p w:rsidR="00B637B2" w:rsidRPr="00356C46" w:rsidRDefault="008F04CF" w:rsidP="00B637B2">
              <w:pPr>
                <w:rPr>
                  <w:szCs w:val="21"/>
                </w:rPr>
              </w:pPr>
              <w:r w:rsidRPr="00356C46">
                <w:rPr>
                  <w:rFonts w:hint="eastAsia"/>
                  <w:szCs w:val="21"/>
                </w:rPr>
                <w:t>新金融工具准则</w:t>
              </w:r>
            </w:p>
            <w:p w:rsidR="00B637B2" w:rsidRPr="00356C46" w:rsidRDefault="00B637B2" w:rsidP="00B637B2">
              <w:pPr>
                <w:rPr>
                  <w:szCs w:val="21"/>
                </w:rPr>
              </w:pPr>
            </w:p>
            <w:p w:rsidR="00B637B2" w:rsidRPr="00356C46" w:rsidRDefault="008F04CF" w:rsidP="00B637B2">
              <w:pPr>
                <w:rPr>
                  <w:szCs w:val="21"/>
                </w:rPr>
              </w:pPr>
              <w:r w:rsidRPr="00356C46">
                <w:rPr>
                  <w:rFonts w:hint="eastAsia"/>
                  <w:szCs w:val="21"/>
                </w:rPr>
                <w:t>新金融工具准则改变了金融资产的分类和计量方式，确定了三个主要的计量类别：摊余成本；以公允价值计量且其变动计入其他综合收益；以公允价值计量且其变动计入当期损益。企业需考虑自身业务模式，以及金融资产的合同现金流特征进行上述分类。权益工具投资需按公允价值计量且其变动计入当期损益，但在初始确认时可选择将非交易性权益工具投资不可撤销地指定为以公允价值计量且其变动计入其他综合收益的金融资产。</w:t>
              </w:r>
            </w:p>
            <w:p w:rsidR="00B637B2" w:rsidRPr="00356C46" w:rsidRDefault="00B637B2" w:rsidP="00B637B2">
              <w:pPr>
                <w:rPr>
                  <w:szCs w:val="21"/>
                </w:rPr>
              </w:pPr>
            </w:p>
            <w:p w:rsidR="00ED2DC7" w:rsidRDefault="008F04CF" w:rsidP="00B637B2">
              <w:pPr>
                <w:rPr>
                  <w:szCs w:val="21"/>
                </w:rPr>
              </w:pPr>
              <w:r w:rsidRPr="00356C46">
                <w:rPr>
                  <w:rFonts w:hint="eastAsia"/>
                  <w:szCs w:val="21"/>
                </w:rPr>
                <w:t>新金融工具准则要求金融资产减值计量由“已发生损失模型”改为“预期信用损失模型”，适用于以摊余成本计量的金融资产、以公允价值计量且其变动计入其他综合收益的金融资产，以及贷款承诺和财务担保合同。</w:t>
              </w:r>
            </w:p>
          </w:sdtContent>
        </w:sdt>
      </w:sdtContent>
    </w:sdt>
    <w:p w:rsidR="00ED2DC7" w:rsidRDefault="00ED2DC7">
      <w:pPr>
        <w:rPr>
          <w:szCs w:val="21"/>
        </w:rPr>
      </w:pPr>
    </w:p>
    <w:p w:rsidR="00ED2DC7" w:rsidRDefault="00ED2DC7" w:rsidP="00036BDC">
      <w:pPr>
        <w:pStyle w:val="affffffffffffffffff2"/>
        <w:numPr>
          <w:ilvl w:val="3"/>
          <w:numId w:val="46"/>
        </w:numPr>
        <w:ind w:left="426" w:hanging="426"/>
      </w:pPr>
      <w:r>
        <w:rPr>
          <w:rFonts w:hint="eastAsia"/>
        </w:rPr>
        <w:t>重要</w:t>
      </w:r>
      <w:r>
        <w:t>会计估计变更</w:t>
      </w:r>
    </w:p>
    <w:sdt>
      <w:sdtPr>
        <w:alias w:val="是否适用：重要会计估计变更[双击切换]"/>
        <w:tag w:val="_GBC_902f08bd36774074945386d2d1f9b67d"/>
        <w:id w:val="-1003196152"/>
        <w:lock w:val="sdtContentLocked"/>
        <w:placeholder>
          <w:docPart w:val="GBC22222222222222222222222222222"/>
        </w:placeholder>
      </w:sdtPr>
      <w:sdtContent>
        <w:p w:rsidR="00DF73AB" w:rsidRDefault="00ED2DC7" w:rsidP="00DF73AB">
          <w:pPr>
            <w:rPr>
              <w:szCs w:val="21"/>
            </w:rPr>
          </w:pPr>
          <w:r>
            <w:fldChar w:fldCharType="begin"/>
          </w:r>
          <w:r w:rsidR="00DF73AB">
            <w:instrText xml:space="preserve"> MACROBUTTON  SnrToggleCheckbox □适用 </w:instrText>
          </w:r>
          <w:r>
            <w:fldChar w:fldCharType="end"/>
          </w:r>
          <w:r>
            <w:fldChar w:fldCharType="begin"/>
          </w:r>
          <w:r w:rsidR="00DF73AB">
            <w:instrText xml:space="preserve"> MACROBUTTON  SnrToggleCheckbox √不适用 </w:instrText>
          </w:r>
          <w:r>
            <w:fldChar w:fldCharType="end"/>
          </w:r>
        </w:p>
      </w:sdtContent>
    </w:sdt>
    <w:p w:rsidR="00ED2DC7" w:rsidRDefault="00ED2DC7">
      <w:pPr>
        <w:rPr>
          <w:szCs w:val="21"/>
        </w:rPr>
      </w:pPr>
    </w:p>
    <w:bookmarkStart w:id="90" w:name="_Hlk10465969" w:displacedByCustomXml="next"/>
    <w:sdt>
      <w:sdtPr>
        <w:rPr>
          <w:rFonts w:ascii="宋体" w:hAnsi="宋体" w:cs="宋体" w:hint="eastAsia"/>
          <w:b w:val="0"/>
          <w:bCs w:val="0"/>
          <w:kern w:val="0"/>
          <w:szCs w:val="21"/>
        </w:rPr>
        <w:alias w:val="选项模块:首次执行新金融工具准则、新收入准则、新租赁准则调整首次执行当..."/>
        <w:tag w:val="_SEC_e1c98e5fd61d48c4bc25ea1a7cf45164"/>
        <w:id w:val="-1863739933"/>
        <w:lock w:val="sdtLocked"/>
        <w:placeholder>
          <w:docPart w:val="GBC22222222222222222222222222222"/>
        </w:placeholder>
      </w:sdtPr>
      <w:sdtEndPr>
        <w:rPr>
          <w:rFonts w:hint="default"/>
        </w:rPr>
      </w:sdtEndPr>
      <w:sdtContent>
        <w:p w:rsidR="00ED2DC7" w:rsidRDefault="00ED2DC7" w:rsidP="00036BDC">
          <w:pPr>
            <w:pStyle w:val="affffffffffffffffff2"/>
            <w:numPr>
              <w:ilvl w:val="3"/>
              <w:numId w:val="46"/>
            </w:numPr>
            <w:ind w:left="426" w:hanging="426"/>
            <w:rPr>
              <w:szCs w:val="21"/>
            </w:rPr>
          </w:pPr>
          <w:r>
            <w:rPr>
              <w:rFonts w:hint="eastAsia"/>
              <w:szCs w:val="21"/>
            </w:rPr>
            <w:t>首次执行新金融工具准则、新收入准则、新租赁准则调整首次执行当年年初财务报表相关项目情况</w:t>
          </w:r>
        </w:p>
        <w:sdt>
          <w:sdtPr>
            <w:rPr>
              <w:rFonts w:hint="eastAsia"/>
            </w:rPr>
            <w:alias w:val="是否适用：首次执行新金融工具准则或新收入准则调整首次执行当年年初财务报表相关项目情况[双击切换]"/>
            <w:tag w:val="_GBC_5ea888705f7c4c0f98e8769d2197c0de"/>
            <w:id w:val="-1510051422"/>
            <w:lock w:val="sdtContentLocked"/>
            <w:placeholder>
              <w:docPart w:val="GBC22222222222222222222222222222"/>
            </w:placeholder>
          </w:sdtPr>
          <w:sdtContent>
            <w:p w:rsidR="00ED2DC7" w:rsidRDefault="00ED2DC7">
              <w:r>
                <w:fldChar w:fldCharType="begin"/>
              </w:r>
              <w:r w:rsidR="00E953B9">
                <w:instrText xml:space="preserve"> MACROBUTTON  SnrToggleCheckbox √适用 </w:instrText>
              </w:r>
              <w:r>
                <w:fldChar w:fldCharType="end"/>
              </w:r>
              <w:r>
                <w:fldChar w:fldCharType="begin"/>
              </w:r>
              <w:r w:rsidR="00E953B9">
                <w:instrText xml:space="preserve"> MACROBUTTON  SnrToggleCheckbox □不适用 </w:instrText>
              </w:r>
              <w:r>
                <w:fldChar w:fldCharType="end"/>
              </w:r>
            </w:p>
          </w:sdtContent>
        </w:sdt>
        <w:sdt>
          <w:sdtPr>
            <w:rPr>
              <w:rFonts w:hint="eastAsia"/>
            </w:rPr>
            <w:tag w:val="_SEC_41a4f1020a3c418c935a7cb510dee401"/>
            <w:id w:val="-552928538"/>
            <w:lock w:val="sdtLocked"/>
            <w:placeholder>
              <w:docPart w:val="GBC22222222222222222222222222222"/>
            </w:placeholder>
          </w:sdtPr>
          <w:sdtEndPr>
            <w:rPr>
              <w:rFonts w:hint="default"/>
              <w:b/>
              <w:bCs/>
              <w:color w:val="008000"/>
              <w:szCs w:val="21"/>
              <w:u w:val="single"/>
            </w:rPr>
          </w:sdtEndPr>
          <w:sdtContent>
            <w:p w:rsidR="00ED2DC7" w:rsidRDefault="00ED2DC7">
              <w:pPr>
                <w:jc w:val="center"/>
              </w:pPr>
              <w:r>
                <w:rPr>
                  <w:rFonts w:hint="eastAsia"/>
                </w:rPr>
                <w:t>合并资产负债表</w:t>
              </w:r>
            </w:p>
            <w:p w:rsidR="00ED2DC7" w:rsidRDefault="00ED2DC7">
              <w:pPr>
                <w:jc w:val="right"/>
                <w:rPr>
                  <w:szCs w:val="21"/>
                </w:rPr>
              </w:pPr>
              <w:r>
                <w:rPr>
                  <w:szCs w:val="21"/>
                </w:rPr>
                <w:t>单位:</w:t>
              </w:r>
              <w:sdt>
                <w:sdtPr>
                  <w:rPr>
                    <w:szCs w:val="21"/>
                  </w:rPr>
                  <w:alias w:val="单位：合并资产负债表"/>
                  <w:tag w:val="_GBC_d28e3b675fc048afb747681dc6d939c2"/>
                  <w:id w:val="-15119046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szCs w:val="21"/>
                    </w:rPr>
                    <w:t>元</w:t>
                  </w:r>
                </w:sdtContent>
              </w:sdt>
              <w:r>
                <w:rPr>
                  <w:szCs w:val="21"/>
                </w:rPr>
                <w:t xml:space="preserve">  币种:</w:t>
              </w:r>
              <w:sdt>
                <w:sdtPr>
                  <w:rPr>
                    <w:szCs w:val="21"/>
                  </w:rPr>
                  <w:alias w:val="币种：合并资产负债表"/>
                  <w:tag w:val="_GBC_e3316f7d89b24ba1bb4a783fd180bf77"/>
                  <w:id w:val="-16707918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szCs w:val="21"/>
                    </w:rPr>
                    <w:t>人民币</w:t>
                  </w:r>
                </w:sdtContent>
              </w:sdt>
            </w:p>
            <w:tbl>
              <w:tblPr>
                <w:tblStyle w:val="g38"/>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09"/>
                <w:gridCol w:w="1990"/>
                <w:gridCol w:w="1984"/>
                <w:gridCol w:w="1729"/>
              </w:tblGrid>
              <w:tr w:rsidR="00B637B2" w:rsidTr="00B637B2">
                <w:sdt>
                  <w:sdtPr>
                    <w:rPr>
                      <w:b/>
                    </w:rPr>
                    <w:tag w:val="_PLD_f722f6dfc20745adb2d46c44c80bfac1"/>
                    <w:id w:val="-175349972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jc w:val="center"/>
                          <w:rPr>
                            <w:b/>
                            <w:szCs w:val="21"/>
                          </w:rPr>
                        </w:pPr>
                        <w:r>
                          <w:rPr>
                            <w:b/>
                            <w:szCs w:val="21"/>
                          </w:rPr>
                          <w:t>项目</w:t>
                        </w:r>
                      </w:p>
                    </w:tc>
                  </w:sdtContent>
                </w:sdt>
                <w:sdt>
                  <w:sdtPr>
                    <w:rPr>
                      <w:b/>
                    </w:rPr>
                    <w:tag w:val="_PLD_f4bb71216cbe4aa2b7c307a16214d769"/>
                    <w:id w:val="805359826"/>
                    <w:lock w:val="sdtLocked"/>
                  </w:sdtPr>
                  <w:sdtContent>
                    <w:tc>
                      <w:tcPr>
                        <w:tcW w:w="1129"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jc w:val="center"/>
                          <w:rPr>
                            <w:b/>
                            <w:szCs w:val="21"/>
                          </w:rPr>
                        </w:pPr>
                        <w:r>
                          <w:rPr>
                            <w:rFonts w:hint="eastAsia"/>
                            <w:b/>
                          </w:rPr>
                          <w:t>2018年12月31日</w:t>
                        </w:r>
                      </w:p>
                    </w:tc>
                  </w:sdtContent>
                </w:sdt>
                <w:sdt>
                  <w:sdtPr>
                    <w:rPr>
                      <w:b/>
                    </w:rPr>
                    <w:tag w:val="_PLD_117c3036ee174d36950551d0e65ed7fe"/>
                    <w:id w:val="1892919816"/>
                    <w:lock w:val="sdtLocked"/>
                  </w:sdtPr>
                  <w:sdtContent>
                    <w:tc>
                      <w:tcPr>
                        <w:tcW w:w="1126"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jc w:val="center"/>
                          <w:rPr>
                            <w:b/>
                            <w:szCs w:val="21"/>
                          </w:rPr>
                        </w:pPr>
                        <w:r>
                          <w:rPr>
                            <w:rFonts w:hint="eastAsia"/>
                            <w:b/>
                          </w:rPr>
                          <w:t>2019年1月1日</w:t>
                        </w:r>
                      </w:p>
                    </w:tc>
                  </w:sdtContent>
                </w:sdt>
                <w:sdt>
                  <w:sdtPr>
                    <w:tag w:val="_PLD_81596488beb14108bcc1a644f7064c86"/>
                    <w:id w:val="1347752267"/>
                    <w:lock w:val="sdtLocked"/>
                  </w:sdtPr>
                  <w:sdtContent>
                    <w:tc>
                      <w:tcPr>
                        <w:tcW w:w="981"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jc w:val="center"/>
                          <w:rPr>
                            <w:b/>
                          </w:rPr>
                        </w:pPr>
                        <w:r>
                          <w:rPr>
                            <w:rFonts w:hint="eastAsia"/>
                            <w:b/>
                          </w:rPr>
                          <w:t>调整数</w:t>
                        </w:r>
                      </w:p>
                    </w:tc>
                  </w:sdtContent>
                </w:sdt>
              </w:tr>
              <w:tr w:rsidR="00B637B2" w:rsidTr="00B637B2">
                <w:sdt>
                  <w:sdtPr>
                    <w:tag w:val="_PLD_56fc53346a344cb18c42cf14da6a0ab8"/>
                    <w:id w:val="-99564931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rPr>
                            <w:b/>
                          </w:rPr>
                        </w:pPr>
                        <w:r>
                          <w:rPr>
                            <w:rFonts w:hint="eastAsia"/>
                            <w:b/>
                          </w:rPr>
                          <w:t>流动</w:t>
                        </w:r>
                        <w:r>
                          <w:rPr>
                            <w:b/>
                          </w:rPr>
                          <w:t>资产：</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B637B2" w:rsidRDefault="00B637B2" w:rsidP="00B637B2">
                    <w:pPr>
                      <w:jc w:val="right"/>
                      <w:rPr>
                        <w:b/>
                      </w:rPr>
                    </w:pPr>
                  </w:p>
                </w:tc>
                <w:tc>
                  <w:tcPr>
                    <w:tcW w:w="1126" w:type="pct"/>
                    <w:tcBorders>
                      <w:top w:val="outset" w:sz="4" w:space="0" w:color="auto"/>
                      <w:left w:val="outset" w:sz="4" w:space="0" w:color="auto"/>
                      <w:bottom w:val="outset" w:sz="4" w:space="0" w:color="auto"/>
                      <w:right w:val="outset" w:sz="4" w:space="0" w:color="auto"/>
                    </w:tcBorders>
                    <w:vAlign w:val="center"/>
                  </w:tcPr>
                  <w:p w:rsidR="00B637B2" w:rsidRDefault="00B637B2" w:rsidP="00B637B2">
                    <w:pPr>
                      <w:jc w:val="right"/>
                      <w:rPr>
                        <w:b/>
                      </w:rPr>
                    </w:pPr>
                  </w:p>
                </w:tc>
                <w:tc>
                  <w:tcPr>
                    <w:tcW w:w="981" w:type="pct"/>
                    <w:tcBorders>
                      <w:top w:val="outset" w:sz="4" w:space="0" w:color="auto"/>
                      <w:left w:val="outset" w:sz="4" w:space="0" w:color="auto"/>
                      <w:bottom w:val="outset" w:sz="4" w:space="0" w:color="auto"/>
                      <w:right w:val="outset" w:sz="4" w:space="0" w:color="auto"/>
                    </w:tcBorders>
                    <w:vAlign w:val="center"/>
                  </w:tcPr>
                  <w:p w:rsidR="00B637B2" w:rsidRDefault="00B637B2" w:rsidP="00B637B2">
                    <w:pPr>
                      <w:jc w:val="right"/>
                      <w:rPr>
                        <w:b/>
                      </w:rPr>
                    </w:pPr>
                  </w:p>
                </w:tc>
              </w:tr>
              <w:tr w:rsidR="00B637B2" w:rsidTr="00B637B2">
                <w:sdt>
                  <w:sdtPr>
                    <w:tag w:val="_PLD_4275c997fab34b31bdc237110f7ac4b5"/>
                    <w:id w:val="-15629829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货币资金</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B637B2" w:rsidRPr="00264D22" w:rsidRDefault="008F04CF" w:rsidP="00B637B2">
                    <w:pPr>
                      <w:jc w:val="right"/>
                    </w:pPr>
                    <w:r w:rsidRPr="00264D22">
                      <w:t>5,530,811,375</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264D22" w:rsidRDefault="008F04CF" w:rsidP="00B637B2">
                    <w:pPr>
                      <w:jc w:val="right"/>
                    </w:pPr>
                    <w:r w:rsidRPr="00264D22">
                      <w:t>5,530,811,375</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Pr="00264D22" w:rsidRDefault="00B637B2" w:rsidP="00B637B2">
                    <w:pPr>
                      <w:jc w:val="right"/>
                    </w:pPr>
                  </w:p>
                </w:tc>
              </w:tr>
              <w:tr w:rsidR="00B637B2" w:rsidTr="00B637B2">
                <w:sdt>
                  <w:sdtPr>
                    <w:tag w:val="_PLD_cfb3ce8aaf844f20bade494f8de16d9c"/>
                    <w:id w:val="-121989615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结算备付金</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B637B2" w:rsidRPr="00264D22" w:rsidRDefault="008F04CF" w:rsidP="00B637B2">
                    <w:pPr>
                      <w:jc w:val="right"/>
                    </w:pPr>
                    <w:r w:rsidRPr="00264D22">
                      <w:t>-</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264D22" w:rsidRDefault="008F04CF" w:rsidP="00B637B2">
                    <w:pPr>
                      <w:jc w:val="right"/>
                    </w:pPr>
                    <w:r w:rsidRPr="00264D22">
                      <w:t>-</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Pr="00264D22" w:rsidRDefault="00B637B2" w:rsidP="00B637B2">
                    <w:pPr>
                      <w:jc w:val="right"/>
                    </w:pPr>
                  </w:p>
                </w:tc>
              </w:tr>
              <w:tr w:rsidR="00B637B2" w:rsidTr="00B637B2">
                <w:sdt>
                  <w:sdtPr>
                    <w:tag w:val="_PLD_73f305bc0dad42a48574344b88169c52"/>
                    <w:id w:val="-43151101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拆出资金</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B637B2" w:rsidRPr="00264D22" w:rsidRDefault="008F04CF" w:rsidP="00B637B2">
                    <w:pPr>
                      <w:jc w:val="right"/>
                    </w:pPr>
                    <w:r w:rsidRPr="00264D22">
                      <w:t>-</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264D22" w:rsidRDefault="008F04CF" w:rsidP="00B637B2">
                    <w:pPr>
                      <w:jc w:val="right"/>
                    </w:pPr>
                    <w:r w:rsidRPr="00264D22">
                      <w:t>-</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Pr="00264D22" w:rsidRDefault="00B637B2" w:rsidP="00B637B2">
                    <w:pPr>
                      <w:jc w:val="right"/>
                    </w:pPr>
                  </w:p>
                </w:tc>
              </w:tr>
              <w:tr w:rsidR="00B637B2" w:rsidTr="00B637B2">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9406744239a488ea72665c240337f9e"/>
                      <w:id w:val="-488020846"/>
                      <w:lock w:val="sdtLocked"/>
                    </w:sdtPr>
                    <w:sdtContent>
                      <w:p w:rsidR="00B637B2" w:rsidRDefault="008F04CF" w:rsidP="00B637B2">
                        <w:pPr>
                          <w:ind w:firstLineChars="100" w:firstLine="210"/>
                        </w:pPr>
                        <w:r>
                          <w:rPr>
                            <w:rFonts w:hint="eastAsia"/>
                          </w:rPr>
                          <w:t>交易性金融资产</w:t>
                        </w:r>
                      </w:p>
                    </w:sdtContent>
                  </w:sdt>
                </w:tc>
                <w:tc>
                  <w:tcPr>
                    <w:tcW w:w="1129" w:type="pct"/>
                    <w:tcBorders>
                      <w:top w:val="outset" w:sz="4" w:space="0" w:color="auto"/>
                      <w:left w:val="outset" w:sz="4" w:space="0" w:color="auto"/>
                      <w:bottom w:val="outset" w:sz="4" w:space="0" w:color="auto"/>
                      <w:right w:val="outset" w:sz="4" w:space="0" w:color="auto"/>
                    </w:tcBorders>
                    <w:vAlign w:val="center"/>
                  </w:tcPr>
                  <w:p w:rsidR="00B637B2" w:rsidRPr="00264D22" w:rsidRDefault="008F04CF" w:rsidP="00B637B2">
                    <w:pPr>
                      <w:jc w:val="right"/>
                    </w:pPr>
                    <w:r w:rsidRPr="00264D22">
                      <w:t>-</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264D22" w:rsidRDefault="008F04CF" w:rsidP="00B637B2">
                    <w:pPr>
                      <w:jc w:val="right"/>
                    </w:pPr>
                    <w:r w:rsidRPr="00264D22">
                      <w:t>421,886,644</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Pr="00264D22" w:rsidRDefault="008F04CF" w:rsidP="00B637B2">
                    <w:pPr>
                      <w:jc w:val="right"/>
                    </w:pPr>
                    <w:r w:rsidRPr="00264D22">
                      <w:t>421,886,644</w:t>
                    </w:r>
                  </w:p>
                </w:tc>
              </w:tr>
              <w:tr w:rsidR="00B637B2" w:rsidTr="00B637B2">
                <w:sdt>
                  <w:sdtPr>
                    <w:tag w:val="_PLD_6c286936b0274678b5b14948d8154d5f"/>
                    <w:id w:val="-214194632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以公允价值计量且其变动计入当期损益的金融资产</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B637B2" w:rsidRPr="00264D22" w:rsidRDefault="008F04CF" w:rsidP="00B637B2">
                    <w:pPr>
                      <w:jc w:val="right"/>
                    </w:pPr>
                    <w:r w:rsidRPr="00264D22">
                      <w:t>-</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264D22" w:rsidRDefault="008F04CF" w:rsidP="00B637B2">
                    <w:pPr>
                      <w:jc w:val="right"/>
                    </w:pPr>
                    <w:r w:rsidRPr="00264D22">
                      <w:t>-</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Pr="00264D22" w:rsidRDefault="00B637B2" w:rsidP="00B637B2">
                    <w:pPr>
                      <w:jc w:val="right"/>
                    </w:pPr>
                  </w:p>
                </w:tc>
              </w:tr>
              <w:tr w:rsidR="00B637B2" w:rsidTr="00B637B2">
                <w:sdt>
                  <w:sdtPr>
                    <w:tag w:val="_PLD_f2ca4ecabe52459c89f3b3b833b28992"/>
                    <w:id w:val="196815659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衍生金融资产</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B637B2" w:rsidRPr="00264D22" w:rsidRDefault="008F04CF" w:rsidP="00B637B2">
                    <w:pPr>
                      <w:jc w:val="right"/>
                    </w:pPr>
                    <w:r w:rsidRPr="00264D22">
                      <w:t>-</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264D22" w:rsidRDefault="008F04CF" w:rsidP="00B637B2">
                    <w:pPr>
                      <w:jc w:val="right"/>
                    </w:pPr>
                    <w:r w:rsidRPr="00264D22">
                      <w:t>9,549,542</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Pr="00264D22" w:rsidRDefault="008F04CF" w:rsidP="00B637B2">
                    <w:pPr>
                      <w:jc w:val="right"/>
                    </w:pPr>
                    <w:r w:rsidRPr="00264D22">
                      <w:t>9,549,542</w:t>
                    </w:r>
                  </w:p>
                </w:tc>
              </w:tr>
              <w:tr w:rsidR="00B637B2" w:rsidTr="00B637B2">
                <w:sdt>
                  <w:sdtPr>
                    <w:tag w:val="_PLD_404cf6ab6df04bccadc6e50b430c5ad1"/>
                    <w:id w:val="-82759518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应收票据</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B637B2" w:rsidRPr="00264D22" w:rsidRDefault="008F04CF" w:rsidP="00B637B2">
                    <w:pPr>
                      <w:jc w:val="right"/>
                    </w:pPr>
                    <w:r w:rsidRPr="00264D22">
                      <w:t>115,302,348</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264D22" w:rsidRDefault="008F04CF" w:rsidP="00B637B2">
                    <w:pPr>
                      <w:jc w:val="right"/>
                    </w:pPr>
                    <w:r w:rsidRPr="00264D22">
                      <w:t>115,009,862</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Pr="00264D22" w:rsidRDefault="008F04CF" w:rsidP="00B637B2">
                    <w:pPr>
                      <w:jc w:val="right"/>
                    </w:pPr>
                    <w:r w:rsidRPr="00264D22">
                      <w:t>-292,486</w:t>
                    </w:r>
                  </w:p>
                </w:tc>
              </w:tr>
              <w:tr w:rsidR="00B637B2" w:rsidTr="00B637B2">
                <w:sdt>
                  <w:sdtPr>
                    <w:tag w:val="_PLD_60c7fd7f05404a5aa4d1bd82df1525bf"/>
                    <w:id w:val="3007377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应收账款</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B637B2" w:rsidRPr="00264D22" w:rsidRDefault="008F04CF" w:rsidP="00B637B2">
                    <w:pPr>
                      <w:jc w:val="right"/>
                    </w:pPr>
                    <w:r w:rsidRPr="00264D22">
                      <w:t>1,389,930,749</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264D22" w:rsidRDefault="008F04CF" w:rsidP="00B637B2">
                    <w:pPr>
                      <w:jc w:val="right"/>
                    </w:pPr>
                    <w:r w:rsidRPr="00264D22">
                      <w:t>1,323,414,467</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Pr="00264D22" w:rsidRDefault="008F04CF" w:rsidP="00B637B2">
                    <w:pPr>
                      <w:jc w:val="right"/>
                    </w:pPr>
                    <w:r w:rsidRPr="00264D22">
                      <w:t>-66,516,282</w:t>
                    </w:r>
                  </w:p>
                </w:tc>
              </w:tr>
              <w:tr w:rsidR="00B637B2" w:rsidTr="00B637B2">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fda8af118d94152a3fe4a70f28db8ca"/>
                      <w:id w:val="-839381189"/>
                      <w:lock w:val="sdtLocked"/>
                    </w:sdtPr>
                    <w:sdtContent>
                      <w:p w:rsidR="00B637B2" w:rsidRDefault="008F04CF" w:rsidP="00B637B2">
                        <w:pPr>
                          <w:ind w:firstLineChars="100" w:firstLine="210"/>
                        </w:pPr>
                        <w:r>
                          <w:rPr>
                            <w:rFonts w:hint="eastAsia"/>
                          </w:rPr>
                          <w:t>应收款项融资</w:t>
                        </w:r>
                      </w:p>
                    </w:sdtContent>
                  </w:sdt>
                </w:tc>
                <w:tc>
                  <w:tcPr>
                    <w:tcW w:w="1129" w:type="pct"/>
                    <w:tcBorders>
                      <w:top w:val="outset" w:sz="4" w:space="0" w:color="auto"/>
                      <w:left w:val="outset" w:sz="4" w:space="0" w:color="auto"/>
                      <w:bottom w:val="outset" w:sz="4" w:space="0" w:color="auto"/>
                      <w:right w:val="outset" w:sz="4" w:space="0" w:color="auto"/>
                    </w:tcBorders>
                    <w:vAlign w:val="center"/>
                  </w:tcPr>
                  <w:p w:rsidR="00B637B2" w:rsidRPr="00264D22" w:rsidRDefault="008F04CF" w:rsidP="00B637B2">
                    <w:pPr>
                      <w:jc w:val="right"/>
                    </w:pPr>
                    <w:r>
                      <w:t>-</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264D22" w:rsidRDefault="008F04CF" w:rsidP="00B637B2">
                    <w:pPr>
                      <w:jc w:val="right"/>
                    </w:pPr>
                    <w:r>
                      <w:t>-</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Pr="00264D22" w:rsidRDefault="00B637B2" w:rsidP="00B637B2">
                    <w:pPr>
                      <w:jc w:val="right"/>
                    </w:pPr>
                  </w:p>
                </w:tc>
              </w:tr>
              <w:tr w:rsidR="00B637B2" w:rsidTr="00B637B2">
                <w:sdt>
                  <w:sdtPr>
                    <w:tag w:val="_PLD_932119a1f2724f0296ba583a176a5b7f"/>
                    <w:id w:val="-178125073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预付款项</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B637B2" w:rsidRPr="00264D22" w:rsidRDefault="008F04CF" w:rsidP="00B637B2">
                    <w:pPr>
                      <w:jc w:val="right"/>
                    </w:pPr>
                    <w:r w:rsidRPr="00264D22">
                      <w:t>65,643,720</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264D22" w:rsidRDefault="008F04CF" w:rsidP="00B637B2">
                    <w:pPr>
                      <w:jc w:val="right"/>
                    </w:pPr>
                    <w:r w:rsidRPr="00264D22">
                      <w:t>65,643,720</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Pr="00264D22" w:rsidRDefault="00B637B2" w:rsidP="00B637B2">
                    <w:pPr>
                      <w:jc w:val="right"/>
                    </w:pPr>
                  </w:p>
                </w:tc>
              </w:tr>
              <w:tr w:rsidR="00B637B2" w:rsidTr="00B637B2">
                <w:sdt>
                  <w:sdtPr>
                    <w:tag w:val="_PLD_9890145bbb06470fbff7552efd27f5cb"/>
                    <w:id w:val="53076953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应收保费</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B637B2" w:rsidRPr="00264D22" w:rsidRDefault="008F04CF" w:rsidP="00B637B2">
                    <w:pPr>
                      <w:jc w:val="right"/>
                    </w:pPr>
                    <w:r w:rsidRPr="00264D22">
                      <w:t>-</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264D22" w:rsidRDefault="008F04CF" w:rsidP="00B637B2">
                    <w:pPr>
                      <w:jc w:val="right"/>
                    </w:pPr>
                    <w:r w:rsidRPr="00264D22">
                      <w:t>-</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Pr="00264D22" w:rsidRDefault="00B637B2" w:rsidP="00B637B2">
                    <w:pPr>
                      <w:jc w:val="right"/>
                    </w:pPr>
                  </w:p>
                </w:tc>
              </w:tr>
              <w:tr w:rsidR="00B637B2" w:rsidTr="00B637B2">
                <w:sdt>
                  <w:sdtPr>
                    <w:tag w:val="_PLD_adbed6db890948269b00aa5269ca43ef"/>
                    <w:id w:val="68942071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应收分保账款</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B637B2" w:rsidRPr="00264D22" w:rsidRDefault="008F04CF" w:rsidP="00B637B2">
                    <w:pPr>
                      <w:jc w:val="right"/>
                    </w:pPr>
                    <w:r w:rsidRPr="00264D22">
                      <w:t>-</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264D22" w:rsidRDefault="008F04CF" w:rsidP="00B637B2">
                    <w:pPr>
                      <w:jc w:val="right"/>
                    </w:pPr>
                    <w:r w:rsidRPr="00264D22">
                      <w:t>-</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Pr="00264D22" w:rsidRDefault="00B637B2" w:rsidP="00B637B2">
                    <w:pPr>
                      <w:jc w:val="right"/>
                    </w:pPr>
                  </w:p>
                </w:tc>
              </w:tr>
              <w:tr w:rsidR="00B637B2" w:rsidTr="00B637B2">
                <w:sdt>
                  <w:sdtPr>
                    <w:tag w:val="_PLD_8d39fe01970f447399435e529e8f3c76"/>
                    <w:id w:val="-40507159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应收分保合同准备金</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B637B2" w:rsidRPr="00264D22" w:rsidRDefault="008F04CF" w:rsidP="00B637B2">
                    <w:pPr>
                      <w:jc w:val="right"/>
                    </w:pPr>
                    <w:r w:rsidRPr="00264D22">
                      <w:t>-</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264D22" w:rsidRDefault="008F04CF" w:rsidP="00B637B2">
                    <w:pPr>
                      <w:jc w:val="right"/>
                    </w:pPr>
                    <w:r w:rsidRPr="00264D22">
                      <w:t>-</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Pr="00264D22" w:rsidRDefault="00B637B2" w:rsidP="00B637B2">
                    <w:pPr>
                      <w:jc w:val="right"/>
                    </w:pPr>
                  </w:p>
                </w:tc>
              </w:tr>
              <w:tr w:rsidR="00B637B2" w:rsidTr="00B637B2">
                <w:sdt>
                  <w:sdtPr>
                    <w:tag w:val="_PLD_1c11d90f36904ee99e2d2614e1985d9f"/>
                    <w:id w:val="-53194930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其他应收款</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B637B2" w:rsidRPr="00264D22" w:rsidRDefault="008F04CF" w:rsidP="00B637B2">
                    <w:pPr>
                      <w:jc w:val="right"/>
                    </w:pPr>
                    <w:r w:rsidRPr="00264D22">
                      <w:t>393,441,377</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264D22" w:rsidRDefault="008F04CF" w:rsidP="00B637B2">
                    <w:pPr>
                      <w:jc w:val="right"/>
                    </w:pPr>
                    <w:r w:rsidRPr="00264D22">
                      <w:t>394,975,853</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Pr="00264D22" w:rsidRDefault="008F04CF" w:rsidP="00B637B2">
                    <w:pPr>
                      <w:jc w:val="right"/>
                    </w:pPr>
                    <w:r w:rsidRPr="00264D22">
                      <w:t>1,534,476</w:t>
                    </w:r>
                  </w:p>
                </w:tc>
              </w:tr>
              <w:tr w:rsidR="00B637B2" w:rsidTr="00B637B2">
                <w:sdt>
                  <w:sdtPr>
                    <w:tag w:val="_PLD_b725da7877314ffbb440022473aa4771"/>
                    <w:id w:val="49893756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rPr>
                          <w:t>其中：</w:t>
                        </w:r>
                        <w:r>
                          <w:rPr>
                            <w:rFonts w:hint="eastAsia"/>
                            <w:szCs w:val="21"/>
                          </w:rPr>
                          <w:t>应收利息</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B637B2" w:rsidRPr="00264D22" w:rsidRDefault="008F04CF" w:rsidP="00B637B2">
                    <w:pPr>
                      <w:jc w:val="right"/>
                    </w:pPr>
                    <w:r w:rsidRPr="00264D22">
                      <w:t>2,958,695</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264D22" w:rsidRDefault="008F04CF" w:rsidP="00B637B2">
                    <w:pPr>
                      <w:jc w:val="right"/>
                    </w:pPr>
                    <w:r w:rsidRPr="00264D22">
                      <w:t>2,958,695</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Pr="00264D22" w:rsidRDefault="00B637B2" w:rsidP="00B637B2">
                    <w:pPr>
                      <w:jc w:val="right"/>
                    </w:pPr>
                  </w:p>
                </w:tc>
              </w:tr>
              <w:tr w:rsidR="00B637B2" w:rsidTr="00B637B2">
                <w:sdt>
                  <w:sdtPr>
                    <w:tag w:val="_PLD_c5bd1b6582fc46a4af5fd9ca75d2de9e"/>
                    <w:id w:val="161701976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400" w:firstLine="840"/>
                          <w:rPr>
                            <w:szCs w:val="21"/>
                          </w:rPr>
                        </w:pPr>
                        <w:r>
                          <w:rPr>
                            <w:rFonts w:hint="eastAsia"/>
                            <w:szCs w:val="21"/>
                          </w:rPr>
                          <w:t>应收股利</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B637B2" w:rsidRPr="00264D22" w:rsidRDefault="008F04CF" w:rsidP="00B637B2">
                    <w:pPr>
                      <w:jc w:val="right"/>
                    </w:pPr>
                    <w:r w:rsidRPr="00264D22">
                      <w:t>-</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264D22" w:rsidRDefault="008F04CF" w:rsidP="00B637B2">
                    <w:pPr>
                      <w:jc w:val="right"/>
                    </w:pPr>
                    <w:r w:rsidRPr="00264D22">
                      <w:t>-</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Pr="00264D22" w:rsidRDefault="00B637B2" w:rsidP="00B637B2">
                    <w:pPr>
                      <w:jc w:val="right"/>
                    </w:pPr>
                  </w:p>
                </w:tc>
              </w:tr>
              <w:tr w:rsidR="00B637B2" w:rsidTr="00B637B2">
                <w:sdt>
                  <w:sdtPr>
                    <w:tag w:val="_PLD_bd9b6785a63f4b75a55acaea5b3931e8"/>
                    <w:id w:val="-47229630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买入返售金融资产</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B637B2" w:rsidRPr="00264D22" w:rsidRDefault="008F04CF" w:rsidP="00B637B2">
                    <w:pPr>
                      <w:jc w:val="right"/>
                    </w:pPr>
                    <w:r w:rsidRPr="00264D22">
                      <w:t>-</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264D22" w:rsidRDefault="008F04CF" w:rsidP="00B637B2">
                    <w:pPr>
                      <w:jc w:val="right"/>
                    </w:pPr>
                    <w:r w:rsidRPr="00264D22">
                      <w:t>-</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Pr="00264D22" w:rsidRDefault="00B637B2" w:rsidP="00B637B2">
                    <w:pPr>
                      <w:jc w:val="right"/>
                    </w:pPr>
                  </w:p>
                </w:tc>
              </w:tr>
              <w:tr w:rsidR="00B637B2" w:rsidTr="00B637B2">
                <w:sdt>
                  <w:sdtPr>
                    <w:tag w:val="_PLD_1b93e8fafaee4160b39625362d84eff2"/>
                    <w:id w:val="194726295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存货</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B637B2" w:rsidRPr="00264D22" w:rsidRDefault="008F04CF" w:rsidP="00B637B2">
                    <w:pPr>
                      <w:jc w:val="right"/>
                    </w:pPr>
                    <w:r w:rsidRPr="00264D22">
                      <w:t>21,767,989</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264D22" w:rsidRDefault="008F04CF" w:rsidP="00B637B2">
                    <w:pPr>
                      <w:jc w:val="right"/>
                    </w:pPr>
                    <w:r w:rsidRPr="00264D22">
                      <w:t>21,767,989</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Pr="00264D22" w:rsidRDefault="00B637B2" w:rsidP="00B637B2">
                    <w:pPr>
                      <w:jc w:val="right"/>
                    </w:pPr>
                  </w:p>
                </w:tc>
              </w:tr>
              <w:tr w:rsidR="00B637B2" w:rsidTr="00B637B2">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2d2ee0df5ae54e54a7746259b5f3c9e7"/>
                      <w:id w:val="-707249160"/>
                      <w:lock w:val="sdtLocked"/>
                    </w:sdtPr>
                    <w:sdtContent>
                      <w:p w:rsidR="00B637B2" w:rsidRDefault="008F04CF" w:rsidP="00B637B2">
                        <w:pPr>
                          <w:ind w:firstLineChars="100" w:firstLine="210"/>
                        </w:pPr>
                        <w:r>
                          <w:rPr>
                            <w:rFonts w:hint="eastAsia"/>
                          </w:rPr>
                          <w:t>合同资产</w:t>
                        </w:r>
                      </w:p>
                    </w:sdtContent>
                  </w:sdt>
                </w:tc>
                <w:tc>
                  <w:tcPr>
                    <w:tcW w:w="1129" w:type="pct"/>
                    <w:tcBorders>
                      <w:top w:val="outset" w:sz="4" w:space="0" w:color="auto"/>
                      <w:left w:val="outset" w:sz="4" w:space="0" w:color="auto"/>
                      <w:bottom w:val="outset" w:sz="4" w:space="0" w:color="auto"/>
                      <w:right w:val="outset" w:sz="4" w:space="0" w:color="auto"/>
                    </w:tcBorders>
                    <w:vAlign w:val="center"/>
                  </w:tcPr>
                  <w:p w:rsidR="00B637B2" w:rsidRPr="00264D22" w:rsidRDefault="008F04CF" w:rsidP="00B637B2">
                    <w:pPr>
                      <w:jc w:val="right"/>
                    </w:pPr>
                    <w:r w:rsidRPr="00264D22">
                      <w:t>-</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264D22" w:rsidRDefault="008F04CF" w:rsidP="00B637B2">
                    <w:pPr>
                      <w:jc w:val="right"/>
                    </w:pPr>
                    <w:r w:rsidRPr="00264D22">
                      <w:t>-</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Pr="00264D22" w:rsidRDefault="00B637B2" w:rsidP="00B637B2">
                    <w:pPr>
                      <w:jc w:val="right"/>
                    </w:pPr>
                  </w:p>
                </w:tc>
              </w:tr>
              <w:tr w:rsidR="00B637B2" w:rsidTr="00B637B2">
                <w:sdt>
                  <w:sdtPr>
                    <w:tag w:val="_PLD_8a57b7a7a7634e5a9125443734f3650f"/>
                    <w:id w:val="-65499269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持有待售资产</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B637B2" w:rsidRPr="00264D22" w:rsidRDefault="008F04CF" w:rsidP="00B637B2">
                    <w:pPr>
                      <w:jc w:val="right"/>
                    </w:pPr>
                    <w:r w:rsidRPr="00264D22">
                      <w:t>-</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264D22" w:rsidRDefault="008F04CF" w:rsidP="00B637B2">
                    <w:pPr>
                      <w:jc w:val="right"/>
                    </w:pPr>
                    <w:r w:rsidRPr="00264D22">
                      <w:t>-</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Pr="00264D22" w:rsidRDefault="00B637B2" w:rsidP="00B637B2">
                    <w:pPr>
                      <w:jc w:val="right"/>
                    </w:pPr>
                  </w:p>
                </w:tc>
              </w:tr>
              <w:tr w:rsidR="00B637B2" w:rsidTr="00B637B2">
                <w:sdt>
                  <w:sdtPr>
                    <w:tag w:val="_PLD_d43a546c640541ada3d4b1513dd8e53e"/>
                    <w:id w:val="186786474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一年内到期的非流动资产</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B637B2" w:rsidRPr="00264D22" w:rsidRDefault="008F04CF" w:rsidP="00B637B2">
                    <w:pPr>
                      <w:jc w:val="right"/>
                    </w:pPr>
                    <w:r w:rsidRPr="00264D22">
                      <w:t>-</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264D22" w:rsidRDefault="008F04CF" w:rsidP="00B637B2">
                    <w:pPr>
                      <w:jc w:val="right"/>
                    </w:pPr>
                    <w:r w:rsidRPr="00264D22">
                      <w:t>-</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Pr="00264D22" w:rsidRDefault="00B637B2" w:rsidP="00B637B2">
                    <w:pPr>
                      <w:jc w:val="right"/>
                    </w:pPr>
                  </w:p>
                </w:tc>
              </w:tr>
              <w:tr w:rsidR="00B637B2" w:rsidTr="00B637B2">
                <w:sdt>
                  <w:sdtPr>
                    <w:tag w:val="_PLD_c639adcbe40b4a05b0dabb81fab2af29"/>
                    <w:id w:val="29002759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其他流动资产</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B637B2" w:rsidRPr="00264D22" w:rsidRDefault="008F04CF" w:rsidP="00B637B2">
                    <w:pPr>
                      <w:jc w:val="right"/>
                    </w:pPr>
                    <w:r w:rsidRPr="00264D22">
                      <w:t>823,208,213</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264D22" w:rsidRDefault="008F04CF" w:rsidP="00B637B2">
                    <w:pPr>
                      <w:jc w:val="right"/>
                    </w:pPr>
                    <w:r w:rsidRPr="00264D22">
                      <w:t>402,515,671</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Pr="00264D22" w:rsidRDefault="008F04CF" w:rsidP="00B637B2">
                    <w:pPr>
                      <w:jc w:val="right"/>
                    </w:pPr>
                    <w:r w:rsidRPr="00264D22">
                      <w:t>-420,692,542</w:t>
                    </w:r>
                  </w:p>
                </w:tc>
              </w:tr>
              <w:tr w:rsidR="00B637B2" w:rsidTr="00B637B2">
                <w:sdt>
                  <w:sdtPr>
                    <w:tag w:val="_PLD_e3f264539b5943aeb4e53e3500a11c95"/>
                    <w:id w:val="202790412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200" w:firstLine="420"/>
                          <w:rPr>
                            <w:szCs w:val="21"/>
                          </w:rPr>
                        </w:pPr>
                        <w:r>
                          <w:rPr>
                            <w:rFonts w:hint="eastAsia"/>
                            <w:szCs w:val="21"/>
                          </w:rPr>
                          <w:t>流动资产合计</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B637B2" w:rsidRPr="00264D22" w:rsidRDefault="008F04CF" w:rsidP="00B637B2">
                    <w:pPr>
                      <w:jc w:val="right"/>
                    </w:pPr>
                    <w:r w:rsidRPr="00264D22">
                      <w:t>8,340,105,771</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264D22" w:rsidRDefault="008F04CF" w:rsidP="00B637B2">
                    <w:pPr>
                      <w:jc w:val="right"/>
                    </w:pPr>
                    <w:r w:rsidRPr="00264D22">
                      <w:t>8,285,575,123</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jc w:val="right"/>
                    </w:pPr>
                    <w:r w:rsidRPr="00264D22">
                      <w:t>-54,530,648</w:t>
                    </w:r>
                  </w:p>
                </w:tc>
              </w:tr>
              <w:tr w:rsidR="00B637B2" w:rsidTr="00B637B2">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caf9cfa49da24a91b1a36ce2bbed2585"/>
                      <w:id w:val="-1001035200"/>
                      <w:lock w:val="sdtLocked"/>
                    </w:sdtPr>
                    <w:sdtContent>
                      <w:p w:rsidR="00B637B2" w:rsidRDefault="008F04CF" w:rsidP="00B637B2">
                        <w:pPr>
                          <w:rPr>
                            <w:szCs w:val="21"/>
                          </w:rPr>
                        </w:pPr>
                        <w:r>
                          <w:rPr>
                            <w:rFonts w:hint="eastAsia"/>
                            <w:b/>
                          </w:rPr>
                          <w:t>非流动资产：</w:t>
                        </w:r>
                      </w:p>
                    </w:sdtContent>
                  </w:sdt>
                </w:tc>
              </w:tr>
              <w:tr w:rsidR="00B637B2" w:rsidTr="00B637B2">
                <w:sdt>
                  <w:sdtPr>
                    <w:tag w:val="_PLD_385c89a19e074f6b802c0fb55810b9de"/>
                    <w:id w:val="189731456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发放贷款和垫款</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B637B2" w:rsidRPr="004068F1" w:rsidRDefault="008F04CF" w:rsidP="00B637B2">
                    <w:pPr>
                      <w:jc w:val="right"/>
                    </w:pPr>
                    <w:r w:rsidRPr="004068F1">
                      <w:t>-</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4068F1" w:rsidRDefault="008F04CF" w:rsidP="00B637B2">
                    <w:pPr>
                      <w:jc w:val="right"/>
                    </w:pPr>
                    <w:r w:rsidRPr="004068F1">
                      <w:t>-</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Pr="004068F1" w:rsidRDefault="00B637B2" w:rsidP="00B637B2">
                    <w:pPr>
                      <w:jc w:val="right"/>
                    </w:pPr>
                  </w:p>
                </w:tc>
              </w:tr>
              <w:tr w:rsidR="00B637B2" w:rsidTr="00B637B2">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4902c7da17da47d69102fd6a56432b9c"/>
                      <w:id w:val="-1439672827"/>
                      <w:lock w:val="sdtLocked"/>
                    </w:sdtPr>
                    <w:sdtContent>
                      <w:p w:rsidR="00B637B2" w:rsidRDefault="008F04CF" w:rsidP="00B637B2">
                        <w:pPr>
                          <w:ind w:firstLineChars="100" w:firstLine="210"/>
                        </w:pPr>
                        <w:r>
                          <w:rPr>
                            <w:rFonts w:hint="eastAsia"/>
                          </w:rPr>
                          <w:t>债权投资</w:t>
                        </w:r>
                      </w:p>
                    </w:sdtContent>
                  </w:sdt>
                </w:tc>
                <w:tc>
                  <w:tcPr>
                    <w:tcW w:w="1129" w:type="pct"/>
                    <w:tcBorders>
                      <w:top w:val="outset" w:sz="4" w:space="0" w:color="auto"/>
                      <w:left w:val="outset" w:sz="4" w:space="0" w:color="auto"/>
                      <w:bottom w:val="outset" w:sz="4" w:space="0" w:color="auto"/>
                      <w:right w:val="outset" w:sz="4" w:space="0" w:color="auto"/>
                    </w:tcBorders>
                    <w:vAlign w:val="center"/>
                  </w:tcPr>
                  <w:p w:rsidR="00B637B2" w:rsidRPr="004068F1" w:rsidRDefault="008F04CF" w:rsidP="00B637B2">
                    <w:pPr>
                      <w:jc w:val="right"/>
                    </w:pPr>
                    <w:r w:rsidRPr="004068F1">
                      <w:t>-</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4068F1" w:rsidRDefault="008F04CF" w:rsidP="00B637B2">
                    <w:pPr>
                      <w:jc w:val="right"/>
                    </w:pPr>
                    <w:r w:rsidRPr="004068F1">
                      <w:t>-</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Pr="004068F1" w:rsidRDefault="00B637B2" w:rsidP="00B637B2">
                    <w:pPr>
                      <w:jc w:val="right"/>
                    </w:pPr>
                  </w:p>
                </w:tc>
              </w:tr>
              <w:tr w:rsidR="00B637B2" w:rsidTr="00B637B2">
                <w:sdt>
                  <w:sdtPr>
                    <w:tag w:val="_PLD_d37ce7fee26240f98663f9e61d957ba0"/>
                    <w:id w:val="145035192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可供出售金融资产</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B637B2" w:rsidRPr="004068F1" w:rsidRDefault="008F04CF" w:rsidP="00B637B2">
                    <w:pPr>
                      <w:jc w:val="right"/>
                    </w:pPr>
                    <w:r w:rsidRPr="004068F1">
                      <w:t>677,081,266</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4068F1" w:rsidRDefault="008F04CF" w:rsidP="00B637B2">
                    <w:pPr>
                      <w:jc w:val="right"/>
                    </w:pPr>
                    <w:r w:rsidRPr="004068F1">
                      <w:t>-</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Pr="004068F1" w:rsidRDefault="008F04CF" w:rsidP="00B637B2">
                    <w:pPr>
                      <w:jc w:val="right"/>
                    </w:pPr>
                    <w:r w:rsidRPr="004068F1">
                      <w:t>-677,081,266</w:t>
                    </w:r>
                  </w:p>
                </w:tc>
              </w:tr>
              <w:tr w:rsidR="00B637B2" w:rsidTr="00B637B2">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b45365dadf84c00bea18ec23cf0f117"/>
                      <w:id w:val="-1381171304"/>
                      <w:lock w:val="sdtLocked"/>
                    </w:sdtPr>
                    <w:sdtContent>
                      <w:p w:rsidR="00B637B2" w:rsidRDefault="008F04CF" w:rsidP="00B637B2">
                        <w:pPr>
                          <w:ind w:firstLineChars="100" w:firstLine="210"/>
                        </w:pPr>
                        <w:r>
                          <w:rPr>
                            <w:rFonts w:hint="eastAsia"/>
                          </w:rPr>
                          <w:t>其他债权投资</w:t>
                        </w:r>
                      </w:p>
                    </w:sdtContent>
                  </w:sdt>
                </w:tc>
                <w:tc>
                  <w:tcPr>
                    <w:tcW w:w="1129" w:type="pct"/>
                    <w:tcBorders>
                      <w:top w:val="outset" w:sz="4" w:space="0" w:color="auto"/>
                      <w:left w:val="outset" w:sz="4" w:space="0" w:color="auto"/>
                      <w:bottom w:val="outset" w:sz="4" w:space="0" w:color="auto"/>
                      <w:right w:val="outset" w:sz="4" w:space="0" w:color="auto"/>
                    </w:tcBorders>
                    <w:vAlign w:val="center"/>
                  </w:tcPr>
                  <w:p w:rsidR="00B637B2" w:rsidRPr="004068F1" w:rsidRDefault="008F04CF" w:rsidP="00B637B2">
                    <w:pPr>
                      <w:jc w:val="right"/>
                    </w:pPr>
                    <w:r w:rsidRPr="004068F1">
                      <w:t>-</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4068F1" w:rsidRDefault="008F04CF" w:rsidP="00B637B2">
                    <w:pPr>
                      <w:jc w:val="right"/>
                    </w:pPr>
                    <w:r w:rsidRPr="004068F1">
                      <w:t>-</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Pr="004068F1" w:rsidRDefault="00B637B2" w:rsidP="00B637B2">
                    <w:pPr>
                      <w:jc w:val="right"/>
                    </w:pPr>
                  </w:p>
                </w:tc>
              </w:tr>
              <w:tr w:rsidR="00B637B2" w:rsidTr="00B637B2">
                <w:sdt>
                  <w:sdtPr>
                    <w:tag w:val="_PLD_8a3f3d6546c644a9be1745bb88fb79ca"/>
                    <w:id w:val="-84593210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持有至到期投资</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B637B2" w:rsidRPr="004068F1" w:rsidRDefault="008F04CF" w:rsidP="00B637B2">
                    <w:pPr>
                      <w:jc w:val="right"/>
                    </w:pPr>
                    <w:r w:rsidRPr="004068F1">
                      <w:t>-</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4068F1" w:rsidRDefault="008F04CF" w:rsidP="00B637B2">
                    <w:pPr>
                      <w:jc w:val="right"/>
                    </w:pPr>
                    <w:r w:rsidRPr="004068F1">
                      <w:t>-</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Pr="004068F1" w:rsidRDefault="00B637B2" w:rsidP="00B637B2">
                    <w:pPr>
                      <w:jc w:val="right"/>
                    </w:pPr>
                  </w:p>
                </w:tc>
              </w:tr>
              <w:tr w:rsidR="00B637B2" w:rsidTr="00B637B2">
                <w:sdt>
                  <w:sdtPr>
                    <w:tag w:val="_PLD_27a33778347f497ca160519a6e6b8c7c"/>
                    <w:id w:val="57479138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长期应收款</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B637B2" w:rsidRPr="004068F1" w:rsidRDefault="008F04CF" w:rsidP="00B637B2">
                    <w:pPr>
                      <w:jc w:val="right"/>
                    </w:pPr>
                    <w:r w:rsidRPr="004068F1">
                      <w:t>-</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4068F1" w:rsidRDefault="008F04CF" w:rsidP="00B637B2">
                    <w:pPr>
                      <w:jc w:val="right"/>
                    </w:pPr>
                    <w:r w:rsidRPr="004068F1">
                      <w:t>-</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Pr="004068F1" w:rsidRDefault="00B637B2" w:rsidP="00B637B2">
                    <w:pPr>
                      <w:jc w:val="right"/>
                    </w:pPr>
                  </w:p>
                </w:tc>
              </w:tr>
              <w:tr w:rsidR="00B637B2" w:rsidTr="00B637B2">
                <w:sdt>
                  <w:sdtPr>
                    <w:tag w:val="_PLD_2c2f80b155914d9cbb35f3ee70f3962e"/>
                    <w:id w:val="2136138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长期股权投资</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B637B2" w:rsidRPr="004068F1" w:rsidRDefault="008F04CF" w:rsidP="00B637B2">
                    <w:pPr>
                      <w:jc w:val="right"/>
                    </w:pPr>
                    <w:r w:rsidRPr="004068F1">
                      <w:t>1,702,892,459</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4068F1" w:rsidRDefault="008F04CF" w:rsidP="00B637B2">
                    <w:pPr>
                      <w:jc w:val="right"/>
                    </w:pPr>
                    <w:r w:rsidRPr="004068F1">
                      <w:t>1,702,892,459</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Pr="004068F1" w:rsidRDefault="00B637B2" w:rsidP="00B637B2">
                    <w:pPr>
                      <w:jc w:val="right"/>
                    </w:pPr>
                  </w:p>
                </w:tc>
              </w:tr>
              <w:tr w:rsidR="00B637B2" w:rsidTr="00B637B2">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236fe62569441f3928324583015cc4a"/>
                      <w:id w:val="-1428193196"/>
                      <w:lock w:val="sdtLocked"/>
                    </w:sdtPr>
                    <w:sdtContent>
                      <w:p w:rsidR="00B637B2" w:rsidRDefault="008F04CF" w:rsidP="00B637B2">
                        <w:pPr>
                          <w:ind w:firstLineChars="100" w:firstLine="210"/>
                        </w:pPr>
                        <w:r>
                          <w:rPr>
                            <w:rFonts w:hint="eastAsia"/>
                          </w:rPr>
                          <w:t>其他权益工具投资</w:t>
                        </w:r>
                      </w:p>
                    </w:sdtContent>
                  </w:sdt>
                </w:tc>
                <w:tc>
                  <w:tcPr>
                    <w:tcW w:w="1129" w:type="pct"/>
                    <w:tcBorders>
                      <w:top w:val="outset" w:sz="4" w:space="0" w:color="auto"/>
                      <w:left w:val="outset" w:sz="4" w:space="0" w:color="auto"/>
                      <w:bottom w:val="outset" w:sz="4" w:space="0" w:color="auto"/>
                      <w:right w:val="outset" w:sz="4" w:space="0" w:color="auto"/>
                    </w:tcBorders>
                    <w:vAlign w:val="center"/>
                  </w:tcPr>
                  <w:p w:rsidR="00B637B2" w:rsidRPr="004068F1" w:rsidRDefault="008F04CF" w:rsidP="00B637B2">
                    <w:pPr>
                      <w:jc w:val="right"/>
                    </w:pPr>
                    <w:r w:rsidRPr="004068F1">
                      <w:t>-</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4068F1" w:rsidRDefault="008F04CF" w:rsidP="00B637B2">
                    <w:pPr>
                      <w:jc w:val="right"/>
                    </w:pPr>
                    <w:r w:rsidRPr="004068F1">
                      <w:t>-</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Pr="004068F1" w:rsidRDefault="00B637B2" w:rsidP="00B637B2">
                    <w:pPr>
                      <w:jc w:val="right"/>
                    </w:pPr>
                  </w:p>
                </w:tc>
              </w:tr>
              <w:tr w:rsidR="00B637B2" w:rsidTr="00B637B2">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c34d68c92104ce0a76208c820a73f6e"/>
                      <w:id w:val="1980797578"/>
                      <w:lock w:val="sdtLocked"/>
                    </w:sdtPr>
                    <w:sdtContent>
                      <w:p w:rsidR="00B637B2" w:rsidRDefault="008F04CF" w:rsidP="00B637B2">
                        <w:pPr>
                          <w:ind w:firstLineChars="100" w:firstLine="210"/>
                        </w:pPr>
                        <w:r>
                          <w:rPr>
                            <w:rFonts w:hint="eastAsia"/>
                          </w:rPr>
                          <w:t>其他非流动金融资产</w:t>
                        </w:r>
                      </w:p>
                    </w:sdtContent>
                  </w:sdt>
                </w:tc>
                <w:tc>
                  <w:tcPr>
                    <w:tcW w:w="1129" w:type="pct"/>
                    <w:tcBorders>
                      <w:top w:val="outset" w:sz="4" w:space="0" w:color="auto"/>
                      <w:left w:val="outset" w:sz="4" w:space="0" w:color="auto"/>
                      <w:bottom w:val="outset" w:sz="4" w:space="0" w:color="auto"/>
                      <w:right w:val="outset" w:sz="4" w:space="0" w:color="auto"/>
                    </w:tcBorders>
                    <w:vAlign w:val="center"/>
                  </w:tcPr>
                  <w:p w:rsidR="00B637B2" w:rsidRPr="004068F1" w:rsidRDefault="008F04CF" w:rsidP="00B637B2">
                    <w:pPr>
                      <w:jc w:val="right"/>
                    </w:pPr>
                    <w:r w:rsidRPr="004068F1">
                      <w:t>-</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4068F1" w:rsidRDefault="008F04CF" w:rsidP="00B637B2">
                    <w:pPr>
                      <w:jc w:val="right"/>
                    </w:pPr>
                    <w:r w:rsidRPr="004068F1">
                      <w:t>844,750,757</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Pr="004068F1" w:rsidRDefault="008F04CF" w:rsidP="00B637B2">
                    <w:pPr>
                      <w:jc w:val="right"/>
                    </w:pPr>
                    <w:r w:rsidRPr="004068F1">
                      <w:t>844,750,757</w:t>
                    </w:r>
                  </w:p>
                </w:tc>
              </w:tr>
              <w:tr w:rsidR="00B637B2" w:rsidTr="00B637B2">
                <w:sdt>
                  <w:sdtPr>
                    <w:tag w:val="_PLD_20779687e71044edbf48bf6d72fd659d"/>
                    <w:id w:val="70429078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投资性房地产</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B637B2" w:rsidRPr="004068F1" w:rsidRDefault="008F04CF" w:rsidP="00B637B2">
                    <w:pPr>
                      <w:jc w:val="right"/>
                    </w:pPr>
                    <w:r w:rsidRPr="004068F1">
                      <w:t>-</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4068F1" w:rsidRDefault="008F04CF" w:rsidP="00B637B2">
                    <w:pPr>
                      <w:jc w:val="right"/>
                    </w:pPr>
                    <w:r w:rsidRPr="004068F1">
                      <w:t>-</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Pr="004068F1" w:rsidRDefault="00B637B2" w:rsidP="00B637B2">
                    <w:pPr>
                      <w:jc w:val="right"/>
                    </w:pPr>
                  </w:p>
                </w:tc>
              </w:tr>
              <w:tr w:rsidR="00B637B2" w:rsidTr="00B637B2">
                <w:sdt>
                  <w:sdtPr>
                    <w:tag w:val="_PLD_b4d3d3f9c80a46518df6b927f85638a8"/>
                    <w:id w:val="37705250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固定资产</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B637B2" w:rsidRPr="004068F1" w:rsidRDefault="008F04CF" w:rsidP="00B637B2">
                    <w:pPr>
                      <w:jc w:val="right"/>
                    </w:pPr>
                    <w:r w:rsidRPr="004068F1">
                      <w:t>2,073,150,867</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4068F1" w:rsidRDefault="008F04CF" w:rsidP="00B637B2">
                    <w:pPr>
                      <w:jc w:val="right"/>
                    </w:pPr>
                    <w:r w:rsidRPr="004068F1">
                      <w:t>2,073,150,867</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Pr="004068F1" w:rsidRDefault="00B637B2" w:rsidP="00B637B2">
                    <w:pPr>
                      <w:jc w:val="right"/>
                    </w:pPr>
                  </w:p>
                </w:tc>
              </w:tr>
              <w:tr w:rsidR="00B637B2" w:rsidTr="00B637B2">
                <w:sdt>
                  <w:sdtPr>
                    <w:tag w:val="_PLD_0b3a7e34c3ee4ba5a49df4a07c4c3528"/>
                    <w:id w:val="-112099034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在建工程</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B637B2" w:rsidRPr="004068F1" w:rsidRDefault="008F04CF" w:rsidP="00B637B2">
                    <w:pPr>
                      <w:jc w:val="right"/>
                    </w:pPr>
                    <w:r w:rsidRPr="004068F1">
                      <w:t>446,130,020</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4068F1" w:rsidRDefault="008F04CF" w:rsidP="00B637B2">
                    <w:pPr>
                      <w:jc w:val="right"/>
                    </w:pPr>
                    <w:r w:rsidRPr="004068F1">
                      <w:t>446,130,020</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Pr="004068F1" w:rsidRDefault="00B637B2" w:rsidP="00B637B2">
                    <w:pPr>
                      <w:jc w:val="right"/>
                    </w:pPr>
                  </w:p>
                </w:tc>
              </w:tr>
              <w:tr w:rsidR="00B637B2" w:rsidTr="00B637B2">
                <w:sdt>
                  <w:sdtPr>
                    <w:tag w:val="_PLD_10586227ba0045bda765cf5dffd72833"/>
                    <w:id w:val="-98671303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生产性生物资产</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B637B2" w:rsidRPr="004068F1" w:rsidRDefault="008F04CF" w:rsidP="00B637B2">
                    <w:pPr>
                      <w:jc w:val="right"/>
                    </w:pPr>
                    <w:r w:rsidRPr="004068F1">
                      <w:t>-</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4068F1" w:rsidRDefault="008F04CF" w:rsidP="00B637B2">
                    <w:pPr>
                      <w:jc w:val="right"/>
                    </w:pPr>
                    <w:r w:rsidRPr="004068F1">
                      <w:t>-</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Pr="004068F1" w:rsidRDefault="00B637B2" w:rsidP="00B637B2">
                    <w:pPr>
                      <w:jc w:val="right"/>
                    </w:pPr>
                  </w:p>
                </w:tc>
              </w:tr>
              <w:tr w:rsidR="00B637B2" w:rsidTr="00B637B2">
                <w:sdt>
                  <w:sdtPr>
                    <w:tag w:val="_PLD_30a8780f1a6a40ed8bd7c72fd4e95a58"/>
                    <w:id w:val="-172967753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油气资产</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B637B2" w:rsidRPr="004068F1" w:rsidRDefault="008F04CF" w:rsidP="00B637B2">
                    <w:pPr>
                      <w:jc w:val="right"/>
                    </w:pPr>
                    <w:r w:rsidRPr="004068F1">
                      <w:t>-</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4068F1" w:rsidRDefault="008F04CF" w:rsidP="00B637B2">
                    <w:pPr>
                      <w:jc w:val="right"/>
                    </w:pPr>
                    <w:r w:rsidRPr="004068F1">
                      <w:t>-</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Pr="004068F1" w:rsidRDefault="00B637B2" w:rsidP="00B637B2">
                    <w:pPr>
                      <w:jc w:val="right"/>
                    </w:pPr>
                  </w:p>
                </w:tc>
              </w:tr>
              <w:tr w:rsidR="00B637B2" w:rsidTr="00B637B2">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8155493935647008a2703b03dfc7652"/>
                      <w:id w:val="149497726"/>
                      <w:lock w:val="sdtLocked"/>
                    </w:sdtPr>
                    <w:sdtContent>
                      <w:p w:rsidR="00B637B2" w:rsidRDefault="008F04CF" w:rsidP="00B637B2">
                        <w:pPr>
                          <w:ind w:firstLineChars="100" w:firstLine="210"/>
                        </w:pPr>
                        <w:r>
                          <w:rPr>
                            <w:rFonts w:hint="eastAsia"/>
                          </w:rPr>
                          <w:t>使用权资产</w:t>
                        </w:r>
                      </w:p>
                    </w:sdtContent>
                  </w:sdt>
                </w:tc>
                <w:tc>
                  <w:tcPr>
                    <w:tcW w:w="1129" w:type="pct"/>
                    <w:tcBorders>
                      <w:top w:val="outset" w:sz="4" w:space="0" w:color="auto"/>
                      <w:left w:val="outset" w:sz="4" w:space="0" w:color="auto"/>
                      <w:bottom w:val="outset" w:sz="4" w:space="0" w:color="auto"/>
                      <w:right w:val="outset" w:sz="4" w:space="0" w:color="auto"/>
                    </w:tcBorders>
                    <w:vAlign w:val="center"/>
                  </w:tcPr>
                  <w:p w:rsidR="00B637B2" w:rsidRPr="004068F1" w:rsidRDefault="008F04CF" w:rsidP="00B637B2">
                    <w:pPr>
                      <w:jc w:val="right"/>
                    </w:pPr>
                    <w:r w:rsidRPr="004068F1">
                      <w:t>-</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4068F1" w:rsidRDefault="008F04CF" w:rsidP="00B637B2">
                    <w:pPr>
                      <w:jc w:val="right"/>
                    </w:pPr>
                    <w:r w:rsidRPr="004068F1">
                      <w:t>-</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Pr="004068F1" w:rsidRDefault="00B637B2" w:rsidP="00B637B2">
                    <w:pPr>
                      <w:jc w:val="right"/>
                    </w:pPr>
                  </w:p>
                </w:tc>
              </w:tr>
              <w:tr w:rsidR="00B637B2" w:rsidTr="00B637B2">
                <w:sdt>
                  <w:sdtPr>
                    <w:tag w:val="_PLD_e197206e3cda421f90e7c968c373824e"/>
                    <w:id w:val="169087102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无形资产</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B637B2" w:rsidRPr="004068F1" w:rsidRDefault="008F04CF" w:rsidP="00B637B2">
                    <w:pPr>
                      <w:jc w:val="right"/>
                    </w:pPr>
                    <w:r w:rsidRPr="004068F1">
                      <w:t>875,919,137</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4068F1" w:rsidRDefault="008F04CF" w:rsidP="00B637B2">
                    <w:pPr>
                      <w:jc w:val="right"/>
                    </w:pPr>
                    <w:r w:rsidRPr="004068F1">
                      <w:t>875,919,137</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Pr="004068F1" w:rsidRDefault="00B637B2" w:rsidP="00B637B2">
                    <w:pPr>
                      <w:jc w:val="right"/>
                    </w:pPr>
                  </w:p>
                </w:tc>
              </w:tr>
              <w:tr w:rsidR="00B637B2" w:rsidTr="00B637B2">
                <w:sdt>
                  <w:sdtPr>
                    <w:tag w:val="_PLD_9507736e67ff483cad3c4777f5e536b4"/>
                    <w:id w:val="-53820474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开发支出</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B637B2" w:rsidRPr="004068F1" w:rsidRDefault="008F04CF" w:rsidP="00B637B2">
                    <w:pPr>
                      <w:jc w:val="right"/>
                    </w:pPr>
                    <w:r w:rsidRPr="004068F1">
                      <w:t>41,091,121</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4068F1" w:rsidRDefault="008F04CF" w:rsidP="00B637B2">
                    <w:pPr>
                      <w:jc w:val="right"/>
                    </w:pPr>
                    <w:r w:rsidRPr="004068F1">
                      <w:t>41,091,121</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Pr="004068F1" w:rsidRDefault="00B637B2" w:rsidP="00B637B2">
                    <w:pPr>
                      <w:jc w:val="right"/>
                    </w:pPr>
                  </w:p>
                </w:tc>
              </w:tr>
              <w:tr w:rsidR="00B637B2" w:rsidTr="00B637B2">
                <w:sdt>
                  <w:sdtPr>
                    <w:tag w:val="_PLD_6db764bcb49749d8ae12e0b82de90e57"/>
                    <w:id w:val="-189819902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商誉</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B637B2" w:rsidRPr="004068F1" w:rsidRDefault="008F04CF" w:rsidP="00B637B2">
                    <w:pPr>
                      <w:jc w:val="right"/>
                    </w:pPr>
                    <w:r w:rsidRPr="004068F1">
                      <w:t>925,021,513</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4068F1" w:rsidRDefault="008F04CF" w:rsidP="00B637B2">
                    <w:pPr>
                      <w:jc w:val="right"/>
                    </w:pPr>
                    <w:r w:rsidRPr="004068F1">
                      <w:t>925,021,513</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Pr="004068F1" w:rsidRDefault="00B637B2" w:rsidP="00B637B2">
                    <w:pPr>
                      <w:jc w:val="right"/>
                    </w:pPr>
                  </w:p>
                </w:tc>
              </w:tr>
              <w:tr w:rsidR="00B637B2" w:rsidTr="00B637B2">
                <w:sdt>
                  <w:sdtPr>
                    <w:tag w:val="_PLD_ee338cdcd96a4fe9aa3a900a05d86d62"/>
                    <w:id w:val="-50590025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长期待摊费用</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B637B2" w:rsidRPr="004068F1" w:rsidRDefault="008F04CF" w:rsidP="00B637B2">
                    <w:pPr>
                      <w:jc w:val="right"/>
                    </w:pPr>
                    <w:r w:rsidRPr="004068F1">
                      <w:t>25,628,708</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4068F1" w:rsidRDefault="008F04CF" w:rsidP="00B637B2">
                    <w:pPr>
                      <w:jc w:val="right"/>
                    </w:pPr>
                    <w:r w:rsidRPr="004068F1">
                      <w:t>25,628,708</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Pr="004068F1" w:rsidRDefault="00B637B2" w:rsidP="00B637B2">
                    <w:pPr>
                      <w:jc w:val="right"/>
                    </w:pPr>
                  </w:p>
                </w:tc>
              </w:tr>
              <w:tr w:rsidR="00B637B2" w:rsidTr="00B637B2">
                <w:sdt>
                  <w:sdtPr>
                    <w:tag w:val="_PLD_ff748a0e2f2a4598b0245a7b2a5f8cb9"/>
                    <w:id w:val="54387556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递延所得税资产</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B637B2" w:rsidRPr="004068F1" w:rsidRDefault="008F04CF" w:rsidP="00B637B2">
                    <w:pPr>
                      <w:jc w:val="right"/>
                    </w:pPr>
                    <w:r w:rsidRPr="004068F1">
                      <w:t>113,875,732</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4068F1" w:rsidRDefault="008F04CF" w:rsidP="00B637B2">
                    <w:pPr>
                      <w:jc w:val="right"/>
                    </w:pPr>
                    <w:r w:rsidRPr="004068F1">
                      <w:t>116,985,487</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Pr="004068F1" w:rsidRDefault="008F04CF" w:rsidP="00B637B2">
                    <w:pPr>
                      <w:jc w:val="right"/>
                    </w:pPr>
                    <w:r w:rsidRPr="004068F1">
                      <w:t>3,109,755</w:t>
                    </w:r>
                  </w:p>
                </w:tc>
              </w:tr>
              <w:tr w:rsidR="00B637B2" w:rsidTr="00B637B2">
                <w:sdt>
                  <w:sdtPr>
                    <w:tag w:val="_PLD_58edba0eddc644959242154db461c42a"/>
                    <w:id w:val="70776753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其他非流动资产</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B637B2" w:rsidRPr="004068F1" w:rsidRDefault="008F04CF" w:rsidP="00B637B2">
                    <w:pPr>
                      <w:jc w:val="right"/>
                    </w:pPr>
                    <w:r w:rsidRPr="004068F1">
                      <w:t>-</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4068F1" w:rsidRDefault="008F04CF" w:rsidP="00B637B2">
                    <w:pPr>
                      <w:jc w:val="right"/>
                    </w:pPr>
                    <w:r w:rsidRPr="004068F1">
                      <w:t>-</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Pr="004068F1" w:rsidRDefault="00B637B2" w:rsidP="00B637B2">
                    <w:pPr>
                      <w:jc w:val="right"/>
                    </w:pPr>
                  </w:p>
                </w:tc>
              </w:tr>
              <w:tr w:rsidR="00B637B2" w:rsidTr="00B637B2">
                <w:sdt>
                  <w:sdtPr>
                    <w:tag w:val="_PLD_a381a26adc92401cacf197178c3d49bb"/>
                    <w:id w:val="-991587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200" w:firstLine="420"/>
                          <w:rPr>
                            <w:szCs w:val="21"/>
                          </w:rPr>
                        </w:pPr>
                        <w:r>
                          <w:rPr>
                            <w:rFonts w:hint="eastAsia"/>
                            <w:szCs w:val="21"/>
                          </w:rPr>
                          <w:t>非流动资产合计</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B637B2" w:rsidRPr="004068F1" w:rsidRDefault="008F04CF" w:rsidP="00B637B2">
                    <w:pPr>
                      <w:jc w:val="right"/>
                    </w:pPr>
                    <w:r w:rsidRPr="004068F1">
                      <w:t>6,880,790,823</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4068F1" w:rsidRDefault="008F04CF" w:rsidP="00B637B2">
                    <w:pPr>
                      <w:jc w:val="right"/>
                    </w:pPr>
                    <w:r w:rsidRPr="004068F1">
                      <w:t>7,051,570,069</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Pr="004068F1" w:rsidRDefault="008F04CF" w:rsidP="00B637B2">
                    <w:pPr>
                      <w:jc w:val="right"/>
                    </w:pPr>
                    <w:r w:rsidRPr="004068F1">
                      <w:t>170,779,246</w:t>
                    </w:r>
                  </w:p>
                </w:tc>
              </w:tr>
              <w:tr w:rsidR="00B637B2" w:rsidTr="00B637B2">
                <w:sdt>
                  <w:sdtPr>
                    <w:tag w:val="_PLD_fe9d973bac6b4be6b5d2293c60039e19"/>
                    <w:id w:val="212680695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300" w:firstLine="630"/>
                          <w:rPr>
                            <w:szCs w:val="21"/>
                          </w:rPr>
                        </w:pPr>
                        <w:r>
                          <w:rPr>
                            <w:rFonts w:hint="eastAsia"/>
                            <w:szCs w:val="21"/>
                          </w:rPr>
                          <w:t>资产总计</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B637B2" w:rsidRPr="004068F1" w:rsidRDefault="008F04CF" w:rsidP="00B637B2">
                    <w:pPr>
                      <w:jc w:val="right"/>
                    </w:pPr>
                    <w:r w:rsidRPr="004068F1">
                      <w:t>15,220,896,594</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4068F1" w:rsidRDefault="008F04CF" w:rsidP="00B637B2">
                    <w:pPr>
                      <w:jc w:val="right"/>
                    </w:pPr>
                    <w:r w:rsidRPr="004068F1">
                      <w:t>15,337,145,192</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jc w:val="right"/>
                    </w:pPr>
                    <w:r w:rsidRPr="004068F1">
                      <w:t>116,248,598</w:t>
                    </w:r>
                  </w:p>
                </w:tc>
              </w:tr>
              <w:tr w:rsidR="00B637B2" w:rsidTr="00B637B2">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882c67f0356e4caa843229106fd31aac"/>
                      <w:id w:val="98535872"/>
                      <w:lock w:val="sdtLocked"/>
                    </w:sdtPr>
                    <w:sdtContent>
                      <w:p w:rsidR="00B637B2" w:rsidRDefault="008F04CF" w:rsidP="00B637B2">
                        <w:pPr>
                          <w:rPr>
                            <w:szCs w:val="21"/>
                          </w:rPr>
                        </w:pPr>
                        <w:r>
                          <w:rPr>
                            <w:rFonts w:hint="eastAsia"/>
                            <w:b/>
                          </w:rPr>
                          <w:t>流动负债：</w:t>
                        </w:r>
                      </w:p>
                    </w:sdtContent>
                  </w:sdt>
                </w:tc>
              </w:tr>
              <w:tr w:rsidR="00B637B2" w:rsidTr="00B637B2">
                <w:sdt>
                  <w:sdtPr>
                    <w:tag w:val="_PLD_0efba9adef604cadac8599fe5a7c8c43"/>
                    <w:id w:val="-48709345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短期借款</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B637B2" w:rsidRPr="00992C36" w:rsidRDefault="008F04CF" w:rsidP="00B637B2">
                    <w:pPr>
                      <w:jc w:val="right"/>
                    </w:pPr>
                    <w:r w:rsidRPr="00992C36">
                      <w:t>3,156,404,000</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992C36" w:rsidRDefault="008F04CF" w:rsidP="00B637B2">
                    <w:pPr>
                      <w:jc w:val="right"/>
                    </w:pPr>
                    <w:r w:rsidRPr="00992C36">
                      <w:t>3,156,404,000</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Pr="00992C36" w:rsidRDefault="00B637B2" w:rsidP="00B637B2">
                    <w:pPr>
                      <w:jc w:val="right"/>
                    </w:pPr>
                  </w:p>
                </w:tc>
              </w:tr>
              <w:tr w:rsidR="00B637B2" w:rsidTr="00B637B2">
                <w:sdt>
                  <w:sdtPr>
                    <w:tag w:val="_PLD_372c190edf714f90bd9700557e8da87c"/>
                    <w:id w:val="72981516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向中央银行借款</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B637B2" w:rsidRPr="00992C36" w:rsidRDefault="008F04CF" w:rsidP="00B637B2">
                    <w:pPr>
                      <w:jc w:val="right"/>
                    </w:pPr>
                    <w:r w:rsidRPr="00992C36">
                      <w:t>-</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992C36" w:rsidRDefault="008F04CF" w:rsidP="00B637B2">
                    <w:pPr>
                      <w:jc w:val="right"/>
                    </w:pPr>
                    <w:r w:rsidRPr="00992C36">
                      <w:t>-</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Pr="00992C36" w:rsidRDefault="00B637B2" w:rsidP="00B637B2">
                    <w:pPr>
                      <w:jc w:val="right"/>
                    </w:pPr>
                  </w:p>
                </w:tc>
              </w:tr>
              <w:tr w:rsidR="00B637B2" w:rsidTr="00B637B2">
                <w:sdt>
                  <w:sdtPr>
                    <w:tag w:val="_PLD_61ae2c221b6e47ecbeeeeba07bff4d7f"/>
                    <w:id w:val="31153258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拆入资金</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B637B2" w:rsidRPr="00992C36" w:rsidRDefault="008F04CF" w:rsidP="00B637B2">
                    <w:pPr>
                      <w:jc w:val="right"/>
                    </w:pPr>
                    <w:r w:rsidRPr="00992C36">
                      <w:t>-</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992C36" w:rsidRDefault="008F04CF" w:rsidP="00B637B2">
                    <w:pPr>
                      <w:jc w:val="right"/>
                    </w:pPr>
                    <w:r w:rsidRPr="00992C36">
                      <w:t>-</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Pr="00992C36" w:rsidRDefault="00B637B2" w:rsidP="00B637B2">
                    <w:pPr>
                      <w:jc w:val="right"/>
                    </w:pPr>
                  </w:p>
                </w:tc>
              </w:tr>
              <w:tr w:rsidR="00B637B2" w:rsidTr="00B637B2">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7398b5d39b54be687530653a38c8f3f"/>
                      <w:id w:val="-2048138744"/>
                      <w:lock w:val="sdtLocked"/>
                    </w:sdtPr>
                    <w:sdtContent>
                      <w:p w:rsidR="00B637B2" w:rsidRDefault="008F04CF" w:rsidP="00B637B2">
                        <w:pPr>
                          <w:ind w:firstLineChars="100" w:firstLine="210"/>
                        </w:pPr>
                        <w:r>
                          <w:rPr>
                            <w:rFonts w:hint="eastAsia"/>
                          </w:rPr>
                          <w:t>交易性金融负债</w:t>
                        </w:r>
                      </w:p>
                    </w:sdtContent>
                  </w:sdt>
                </w:tc>
                <w:tc>
                  <w:tcPr>
                    <w:tcW w:w="1129" w:type="pct"/>
                    <w:tcBorders>
                      <w:top w:val="outset" w:sz="4" w:space="0" w:color="auto"/>
                      <w:left w:val="outset" w:sz="4" w:space="0" w:color="auto"/>
                      <w:bottom w:val="outset" w:sz="4" w:space="0" w:color="auto"/>
                      <w:right w:val="outset" w:sz="4" w:space="0" w:color="auto"/>
                    </w:tcBorders>
                    <w:vAlign w:val="center"/>
                  </w:tcPr>
                  <w:p w:rsidR="00B637B2" w:rsidRPr="00992C36" w:rsidRDefault="008F04CF" w:rsidP="00B637B2">
                    <w:pPr>
                      <w:jc w:val="right"/>
                    </w:pPr>
                    <w:r w:rsidRPr="00992C36">
                      <w:t>-</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992C36" w:rsidRDefault="008F04CF" w:rsidP="00B637B2">
                    <w:pPr>
                      <w:jc w:val="right"/>
                    </w:pPr>
                    <w:r w:rsidRPr="00992C36">
                      <w:t>-</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Pr="00992C36" w:rsidRDefault="00B637B2" w:rsidP="00B637B2">
                    <w:pPr>
                      <w:jc w:val="right"/>
                    </w:pPr>
                  </w:p>
                </w:tc>
              </w:tr>
              <w:tr w:rsidR="00B637B2" w:rsidTr="00B637B2">
                <w:sdt>
                  <w:sdtPr>
                    <w:tag w:val="_PLD_1766fc67bf8c49118712a37a49f49e18"/>
                    <w:id w:val="-150806127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以公允价值计量且其变动计入当期损益的金融负债</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B637B2" w:rsidRPr="00992C36" w:rsidRDefault="008F04CF" w:rsidP="00B637B2">
                    <w:pPr>
                      <w:jc w:val="right"/>
                    </w:pPr>
                    <w:r w:rsidRPr="00992C36">
                      <w:t>-</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992C36" w:rsidRDefault="008F04CF" w:rsidP="00B637B2">
                    <w:pPr>
                      <w:jc w:val="right"/>
                    </w:pPr>
                    <w:r w:rsidRPr="00992C36">
                      <w:t>-</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Pr="00992C36" w:rsidRDefault="00B637B2" w:rsidP="00B637B2">
                    <w:pPr>
                      <w:jc w:val="right"/>
                    </w:pPr>
                  </w:p>
                </w:tc>
              </w:tr>
              <w:tr w:rsidR="00B637B2" w:rsidTr="00B637B2">
                <w:sdt>
                  <w:sdtPr>
                    <w:tag w:val="_PLD_6ce332098ad34f168a7fed2abb15b157"/>
                    <w:id w:val="-115544397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衍生金融负债</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B637B2" w:rsidRPr="00992C36" w:rsidRDefault="008F04CF" w:rsidP="00B637B2">
                    <w:pPr>
                      <w:jc w:val="right"/>
                    </w:pPr>
                    <w:r w:rsidRPr="00992C36">
                      <w:t>-</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992C36" w:rsidRDefault="008F04CF" w:rsidP="00B637B2">
                    <w:pPr>
                      <w:jc w:val="right"/>
                    </w:pPr>
                    <w:r w:rsidRPr="00992C36">
                      <w:t>-</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Pr="00992C36" w:rsidRDefault="00B637B2" w:rsidP="00B637B2">
                    <w:pPr>
                      <w:jc w:val="right"/>
                    </w:pPr>
                  </w:p>
                </w:tc>
              </w:tr>
              <w:tr w:rsidR="00B637B2" w:rsidTr="00B637B2">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cd44978a5d84ceaa422cb600962bad4"/>
                      <w:id w:val="-1843692399"/>
                      <w:lock w:val="sdtLocked"/>
                    </w:sdtPr>
                    <w:sdtContent>
                      <w:p w:rsidR="00B637B2" w:rsidRDefault="008F04CF" w:rsidP="00B637B2">
                        <w:pPr>
                          <w:ind w:firstLineChars="100" w:firstLine="210"/>
                        </w:pPr>
                        <w:r>
                          <w:rPr>
                            <w:rFonts w:hint="eastAsia"/>
                          </w:rPr>
                          <w:t>应付票据</w:t>
                        </w:r>
                      </w:p>
                    </w:sdtContent>
                  </w:sdt>
                </w:tc>
                <w:tc>
                  <w:tcPr>
                    <w:tcW w:w="1129" w:type="pct"/>
                    <w:tcBorders>
                      <w:top w:val="outset" w:sz="4" w:space="0" w:color="auto"/>
                      <w:left w:val="outset" w:sz="4" w:space="0" w:color="auto"/>
                      <w:bottom w:val="outset" w:sz="4" w:space="0" w:color="auto"/>
                      <w:right w:val="outset" w:sz="4" w:space="0" w:color="auto"/>
                    </w:tcBorders>
                    <w:vAlign w:val="center"/>
                  </w:tcPr>
                  <w:p w:rsidR="00B637B2" w:rsidRPr="00992C36" w:rsidRDefault="008F04CF" w:rsidP="00B637B2">
                    <w:pPr>
                      <w:jc w:val="right"/>
                    </w:pPr>
                    <w:r>
                      <w:rPr>
                        <w:rFonts w:hint="eastAsia"/>
                      </w:rPr>
                      <w:t>-</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992C36" w:rsidRDefault="008F04CF" w:rsidP="00B637B2">
                    <w:pPr>
                      <w:jc w:val="right"/>
                    </w:pPr>
                    <w:r>
                      <w:rPr>
                        <w:rFonts w:hint="eastAsia"/>
                      </w:rPr>
                      <w:t>-</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Pr="00992C36" w:rsidRDefault="00B637B2" w:rsidP="00B637B2">
                    <w:pPr>
                      <w:jc w:val="right"/>
                    </w:pPr>
                  </w:p>
                </w:tc>
              </w:tr>
              <w:tr w:rsidR="00B637B2" w:rsidTr="00B637B2">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fa39fd4bb1d4ff29a7f4c24bbfc9eec"/>
                      <w:id w:val="322623112"/>
                      <w:lock w:val="sdtLocked"/>
                    </w:sdtPr>
                    <w:sdtContent>
                      <w:p w:rsidR="00B637B2" w:rsidRDefault="008F04CF" w:rsidP="00B637B2">
                        <w:pPr>
                          <w:ind w:firstLineChars="100" w:firstLine="210"/>
                        </w:pPr>
                        <w:r>
                          <w:rPr>
                            <w:rFonts w:hint="eastAsia"/>
                          </w:rPr>
                          <w:t>应付账款</w:t>
                        </w:r>
                      </w:p>
                    </w:sdtContent>
                  </w:sdt>
                </w:tc>
                <w:tc>
                  <w:tcPr>
                    <w:tcW w:w="1129" w:type="pct"/>
                    <w:tcBorders>
                      <w:top w:val="outset" w:sz="4" w:space="0" w:color="auto"/>
                      <w:left w:val="outset" w:sz="4" w:space="0" w:color="auto"/>
                      <w:bottom w:val="outset" w:sz="4" w:space="0" w:color="auto"/>
                      <w:right w:val="outset" w:sz="4" w:space="0" w:color="auto"/>
                    </w:tcBorders>
                    <w:vAlign w:val="center"/>
                  </w:tcPr>
                  <w:p w:rsidR="00B637B2" w:rsidRPr="00992C36" w:rsidRDefault="008F04CF" w:rsidP="00B637B2">
                    <w:pPr>
                      <w:jc w:val="right"/>
                    </w:pPr>
                    <w:r w:rsidRPr="00992C36">
                      <w:t>455,622,484</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992C36" w:rsidRDefault="008F04CF" w:rsidP="00B637B2">
                    <w:pPr>
                      <w:jc w:val="right"/>
                    </w:pPr>
                    <w:r w:rsidRPr="00992C36">
                      <w:t>455,622,484</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Pr="00992C36" w:rsidRDefault="00B637B2" w:rsidP="00B637B2">
                    <w:pPr>
                      <w:jc w:val="right"/>
                    </w:pPr>
                  </w:p>
                </w:tc>
              </w:tr>
              <w:tr w:rsidR="00B637B2" w:rsidTr="00B637B2">
                <w:sdt>
                  <w:sdtPr>
                    <w:tag w:val="_PLD_f40c73421eb94e3bb75da0dba5756c7b"/>
                    <w:id w:val="-169915008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预收款项</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B637B2" w:rsidRPr="00992C36" w:rsidRDefault="008F04CF" w:rsidP="00B637B2">
                    <w:pPr>
                      <w:jc w:val="right"/>
                    </w:pPr>
                    <w:r w:rsidRPr="00992C36">
                      <w:t>1,079,683,098</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992C36" w:rsidRDefault="008F04CF" w:rsidP="00B637B2">
                    <w:pPr>
                      <w:jc w:val="right"/>
                    </w:pPr>
                    <w:r w:rsidRPr="00992C36">
                      <w:t>1,079,683,098</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Pr="00992C36" w:rsidRDefault="00B637B2" w:rsidP="00B637B2">
                    <w:pPr>
                      <w:jc w:val="right"/>
                    </w:pPr>
                  </w:p>
                </w:tc>
              </w:tr>
              <w:tr w:rsidR="00B637B2" w:rsidTr="00B637B2">
                <w:sdt>
                  <w:sdtPr>
                    <w:tag w:val="_PLD_e022b367ef5841dba277837ed003eacd"/>
                    <w:id w:val="198048976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卖出回购金融资产款</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B637B2" w:rsidRPr="00992C36" w:rsidRDefault="008F04CF" w:rsidP="00B637B2">
                    <w:pPr>
                      <w:jc w:val="right"/>
                    </w:pPr>
                    <w:r w:rsidRPr="00992C36">
                      <w:t>-</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992C36" w:rsidRDefault="008F04CF" w:rsidP="00B637B2">
                    <w:pPr>
                      <w:jc w:val="right"/>
                    </w:pPr>
                    <w:r w:rsidRPr="00992C36">
                      <w:t>-</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Pr="00992C36" w:rsidRDefault="00B637B2" w:rsidP="00B637B2">
                    <w:pPr>
                      <w:jc w:val="right"/>
                    </w:pPr>
                  </w:p>
                </w:tc>
              </w:tr>
              <w:tr w:rsidR="00B637B2" w:rsidTr="00B637B2">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74d4dc9a763540cf9519a67b2a7b02ae"/>
                      <w:id w:val="-1629697501"/>
                      <w:lock w:val="sdtLocked"/>
                    </w:sdtPr>
                    <w:sdtContent>
                      <w:p w:rsidR="00B637B2" w:rsidRDefault="008F04CF" w:rsidP="00B637B2">
                        <w:pPr>
                          <w:ind w:firstLineChars="100" w:firstLine="210"/>
                        </w:pPr>
                        <w:r>
                          <w:rPr>
                            <w:rFonts w:hint="eastAsia"/>
                            <w:szCs w:val="21"/>
                          </w:rPr>
                          <w:t>吸收存款及同业存放</w:t>
                        </w:r>
                      </w:p>
                    </w:sdtContent>
                  </w:sdt>
                </w:tc>
                <w:tc>
                  <w:tcPr>
                    <w:tcW w:w="1129" w:type="pct"/>
                    <w:tcBorders>
                      <w:top w:val="outset" w:sz="4" w:space="0" w:color="auto"/>
                      <w:left w:val="outset" w:sz="4" w:space="0" w:color="auto"/>
                      <w:bottom w:val="outset" w:sz="4" w:space="0" w:color="auto"/>
                      <w:right w:val="outset" w:sz="4" w:space="0" w:color="auto"/>
                    </w:tcBorders>
                    <w:vAlign w:val="center"/>
                  </w:tcPr>
                  <w:p w:rsidR="00B637B2" w:rsidRPr="00992C36" w:rsidRDefault="008F04CF" w:rsidP="00B637B2">
                    <w:pPr>
                      <w:jc w:val="right"/>
                    </w:pPr>
                    <w:r w:rsidRPr="00992C36">
                      <w:t>-</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992C36" w:rsidRDefault="008F04CF" w:rsidP="00B637B2">
                    <w:pPr>
                      <w:jc w:val="right"/>
                    </w:pPr>
                    <w:r w:rsidRPr="00992C36">
                      <w:t>-</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Pr="00992C36" w:rsidRDefault="00B637B2" w:rsidP="00B637B2">
                    <w:pPr>
                      <w:jc w:val="right"/>
                    </w:pPr>
                  </w:p>
                </w:tc>
              </w:tr>
              <w:tr w:rsidR="00B637B2" w:rsidTr="00B637B2">
                <w:sdt>
                  <w:sdtPr>
                    <w:tag w:val="_PLD_3c7f7227298a479f925e3109384a9004"/>
                    <w:id w:val="41229464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代理买卖证券款</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B637B2" w:rsidRPr="00992C36" w:rsidRDefault="008F04CF" w:rsidP="00B637B2">
                    <w:pPr>
                      <w:jc w:val="right"/>
                    </w:pPr>
                    <w:r w:rsidRPr="00992C36">
                      <w:t>-</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992C36" w:rsidRDefault="008F04CF" w:rsidP="00B637B2">
                    <w:pPr>
                      <w:jc w:val="right"/>
                    </w:pPr>
                    <w:r w:rsidRPr="00992C36">
                      <w:t>-</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Pr="00992C36" w:rsidRDefault="00B637B2" w:rsidP="00B637B2">
                    <w:pPr>
                      <w:jc w:val="right"/>
                    </w:pPr>
                  </w:p>
                </w:tc>
              </w:tr>
              <w:tr w:rsidR="00B637B2" w:rsidTr="00B637B2">
                <w:sdt>
                  <w:sdtPr>
                    <w:tag w:val="_PLD_c753a74c55b14657b44ff96fd1a588c5"/>
                    <w:id w:val="-107488930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代理承销证券款</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B637B2" w:rsidRPr="00992C36" w:rsidRDefault="008F04CF" w:rsidP="00B637B2">
                    <w:pPr>
                      <w:jc w:val="right"/>
                    </w:pPr>
                    <w:r>
                      <w:rPr>
                        <w:rFonts w:hint="eastAsia"/>
                      </w:rPr>
                      <w:t>-</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992C36" w:rsidRDefault="008F04CF" w:rsidP="00B637B2">
                    <w:pPr>
                      <w:jc w:val="right"/>
                    </w:pPr>
                    <w:r>
                      <w:rPr>
                        <w:rFonts w:hint="eastAsia"/>
                      </w:rPr>
                      <w:t>-</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Pr="00992C36" w:rsidRDefault="00B637B2" w:rsidP="00B637B2">
                    <w:pPr>
                      <w:jc w:val="right"/>
                    </w:pPr>
                  </w:p>
                </w:tc>
              </w:tr>
              <w:tr w:rsidR="00B637B2" w:rsidTr="00B637B2">
                <w:sdt>
                  <w:sdtPr>
                    <w:tag w:val="_PLD_645872124b78478895ac8ca50bf1fb8a"/>
                    <w:id w:val="-112399766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应付职工薪酬</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B637B2" w:rsidRPr="00992C36" w:rsidRDefault="008F04CF" w:rsidP="00B637B2">
                    <w:pPr>
                      <w:jc w:val="right"/>
                    </w:pPr>
                    <w:r w:rsidRPr="00992C36">
                      <w:t>1,160,402,569</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992C36" w:rsidRDefault="008F04CF" w:rsidP="00B637B2">
                    <w:pPr>
                      <w:jc w:val="right"/>
                    </w:pPr>
                    <w:r w:rsidRPr="00992C36">
                      <w:t>1,160,402,569</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Pr="00992C36" w:rsidRDefault="00B637B2" w:rsidP="00B637B2">
                    <w:pPr>
                      <w:jc w:val="right"/>
                    </w:pPr>
                  </w:p>
                </w:tc>
              </w:tr>
              <w:tr w:rsidR="00B637B2" w:rsidTr="00B637B2">
                <w:sdt>
                  <w:sdtPr>
                    <w:tag w:val="_PLD_d3c044defc17425daa2954955510acc7"/>
                    <w:id w:val="103778351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应交税费</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B637B2" w:rsidRPr="00992C36" w:rsidRDefault="008F04CF" w:rsidP="00B637B2">
                    <w:pPr>
                      <w:jc w:val="right"/>
                    </w:pPr>
                    <w:r w:rsidRPr="00992C36">
                      <w:t>315,521,063</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992C36" w:rsidRDefault="008F04CF" w:rsidP="00B637B2">
                    <w:pPr>
                      <w:jc w:val="right"/>
                    </w:pPr>
                    <w:r w:rsidRPr="00992C36">
                      <w:t>315,521,063</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Pr="00992C36" w:rsidRDefault="00B637B2" w:rsidP="00B637B2">
                    <w:pPr>
                      <w:jc w:val="right"/>
                    </w:pPr>
                  </w:p>
                </w:tc>
              </w:tr>
              <w:tr w:rsidR="00B637B2" w:rsidTr="00B637B2">
                <w:sdt>
                  <w:sdtPr>
                    <w:tag w:val="_PLD_2463a98e91ab4940a86070ef84c09928"/>
                    <w:id w:val="45159784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其他应付款</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B637B2" w:rsidRPr="00992C36" w:rsidRDefault="008F04CF" w:rsidP="00B637B2">
                    <w:pPr>
                      <w:jc w:val="right"/>
                    </w:pPr>
                    <w:r w:rsidRPr="00992C36">
                      <w:t>840,741,172</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992C36" w:rsidRDefault="008F04CF" w:rsidP="00B637B2">
                    <w:pPr>
                      <w:jc w:val="right"/>
                    </w:pPr>
                    <w:r w:rsidRPr="00992C36">
                      <w:t>840,741,172</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Pr="00992C36" w:rsidRDefault="00B637B2" w:rsidP="00B637B2">
                    <w:pPr>
                      <w:jc w:val="right"/>
                    </w:pPr>
                  </w:p>
                </w:tc>
              </w:tr>
              <w:tr w:rsidR="00B637B2" w:rsidTr="00B637B2">
                <w:sdt>
                  <w:sdtPr>
                    <w:tag w:val="_PLD_1e3b5010b1644b86a63caa38200d9fc7"/>
                    <w:id w:val="37681637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rPr>
                          <w:t>其中：</w:t>
                        </w:r>
                        <w:r>
                          <w:rPr>
                            <w:rFonts w:hint="eastAsia"/>
                            <w:szCs w:val="21"/>
                          </w:rPr>
                          <w:t>应付利息</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B637B2" w:rsidRPr="00992C36" w:rsidRDefault="008F04CF" w:rsidP="00B637B2">
                    <w:pPr>
                      <w:jc w:val="right"/>
                    </w:pPr>
                    <w:r w:rsidRPr="00992C36">
                      <w:t>-</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992C36" w:rsidRDefault="008F04CF" w:rsidP="00B637B2">
                    <w:pPr>
                      <w:jc w:val="right"/>
                    </w:pPr>
                    <w:r w:rsidRPr="00992C36">
                      <w:t>-</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Pr="00992C36" w:rsidRDefault="00B637B2" w:rsidP="00B637B2">
                    <w:pPr>
                      <w:jc w:val="right"/>
                    </w:pPr>
                  </w:p>
                </w:tc>
              </w:tr>
              <w:tr w:rsidR="00B637B2" w:rsidTr="00B637B2">
                <w:sdt>
                  <w:sdtPr>
                    <w:tag w:val="_PLD_bb0dd0f249ab4ec4b35a1769f3ab804c"/>
                    <w:id w:val="-123045930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400" w:firstLine="840"/>
                          <w:rPr>
                            <w:szCs w:val="21"/>
                          </w:rPr>
                        </w:pPr>
                        <w:r>
                          <w:rPr>
                            <w:rFonts w:hint="eastAsia"/>
                            <w:szCs w:val="21"/>
                          </w:rPr>
                          <w:t>应付股利</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B637B2" w:rsidRPr="00992C36" w:rsidRDefault="008F04CF" w:rsidP="00B637B2">
                    <w:pPr>
                      <w:jc w:val="right"/>
                    </w:pPr>
                    <w:r w:rsidRPr="00992C36">
                      <w:t>-</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992C36" w:rsidRDefault="008F04CF" w:rsidP="00B637B2">
                    <w:pPr>
                      <w:jc w:val="right"/>
                    </w:pPr>
                    <w:r w:rsidRPr="00992C36">
                      <w:t>-</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Pr="00992C36" w:rsidRDefault="00B637B2" w:rsidP="00B637B2">
                    <w:pPr>
                      <w:jc w:val="right"/>
                    </w:pPr>
                  </w:p>
                </w:tc>
              </w:tr>
              <w:tr w:rsidR="00B637B2" w:rsidTr="00B637B2">
                <w:sdt>
                  <w:sdtPr>
                    <w:tag w:val="_PLD_69732c7544d04b9b9f9cd67ef9c67522"/>
                    <w:id w:val="39640733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应付手续费及佣金</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B637B2" w:rsidRPr="00992C36" w:rsidRDefault="008F04CF" w:rsidP="00B637B2">
                    <w:pPr>
                      <w:jc w:val="right"/>
                    </w:pPr>
                    <w:r w:rsidRPr="00992C36">
                      <w:t>-</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992C36" w:rsidRDefault="008F04CF" w:rsidP="00B637B2">
                    <w:pPr>
                      <w:jc w:val="right"/>
                    </w:pPr>
                    <w:r w:rsidRPr="00992C36">
                      <w:t>-</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Pr="00992C36" w:rsidRDefault="00B637B2" w:rsidP="00B637B2">
                    <w:pPr>
                      <w:jc w:val="right"/>
                    </w:pPr>
                  </w:p>
                </w:tc>
              </w:tr>
              <w:tr w:rsidR="00B637B2" w:rsidTr="00B637B2">
                <w:sdt>
                  <w:sdtPr>
                    <w:tag w:val="_PLD_722fcf0c82c847e58fe7dabb21c96fbe"/>
                    <w:id w:val="-131819144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应付分保账款</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B637B2" w:rsidRPr="00992C36" w:rsidRDefault="008F04CF" w:rsidP="00B637B2">
                    <w:pPr>
                      <w:jc w:val="right"/>
                    </w:pPr>
                    <w:r w:rsidRPr="00992C36">
                      <w:t>-</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992C36" w:rsidRDefault="008F04CF" w:rsidP="00B637B2">
                    <w:pPr>
                      <w:jc w:val="right"/>
                    </w:pPr>
                    <w:r w:rsidRPr="00992C36">
                      <w:t>-</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Pr="00992C36" w:rsidRDefault="00B637B2" w:rsidP="00B637B2">
                    <w:pPr>
                      <w:jc w:val="right"/>
                    </w:pPr>
                  </w:p>
                </w:tc>
              </w:tr>
              <w:tr w:rsidR="00B637B2" w:rsidTr="00B637B2">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962ca996b5d4bcca79fbcae92731704"/>
                      <w:id w:val="-789670940"/>
                      <w:lock w:val="sdtLocked"/>
                    </w:sdtPr>
                    <w:sdtContent>
                      <w:p w:rsidR="00B637B2" w:rsidRDefault="008F04CF" w:rsidP="00B637B2">
                        <w:pPr>
                          <w:ind w:firstLineChars="100" w:firstLine="210"/>
                        </w:pPr>
                        <w:r>
                          <w:rPr>
                            <w:rFonts w:hint="eastAsia"/>
                          </w:rPr>
                          <w:t>合同负债</w:t>
                        </w:r>
                      </w:p>
                    </w:sdtContent>
                  </w:sdt>
                </w:tc>
                <w:tc>
                  <w:tcPr>
                    <w:tcW w:w="1129" w:type="pct"/>
                    <w:tcBorders>
                      <w:top w:val="outset" w:sz="4" w:space="0" w:color="auto"/>
                      <w:left w:val="outset" w:sz="4" w:space="0" w:color="auto"/>
                      <w:bottom w:val="outset" w:sz="4" w:space="0" w:color="auto"/>
                      <w:right w:val="outset" w:sz="4" w:space="0" w:color="auto"/>
                    </w:tcBorders>
                    <w:vAlign w:val="center"/>
                  </w:tcPr>
                  <w:p w:rsidR="00B637B2" w:rsidRPr="00992C36" w:rsidRDefault="008F04CF" w:rsidP="00B637B2">
                    <w:pPr>
                      <w:jc w:val="right"/>
                    </w:pPr>
                    <w:r w:rsidRPr="00992C36">
                      <w:t>-</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992C36" w:rsidRDefault="008F04CF" w:rsidP="00B637B2">
                    <w:pPr>
                      <w:jc w:val="right"/>
                    </w:pPr>
                    <w:r w:rsidRPr="00992C36">
                      <w:t>-</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Pr="00992C36" w:rsidRDefault="00B637B2" w:rsidP="00B637B2">
                    <w:pPr>
                      <w:jc w:val="right"/>
                    </w:pPr>
                  </w:p>
                </w:tc>
              </w:tr>
              <w:tr w:rsidR="00B637B2" w:rsidTr="00B637B2">
                <w:sdt>
                  <w:sdtPr>
                    <w:tag w:val="_PLD_3425e5f47d8444608e19b97651415166"/>
                    <w:id w:val="-22191430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持有待售负债</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B637B2" w:rsidRPr="00992C36" w:rsidRDefault="008F04CF" w:rsidP="00B637B2">
                    <w:pPr>
                      <w:jc w:val="right"/>
                    </w:pPr>
                    <w:r>
                      <w:rPr>
                        <w:rFonts w:hint="eastAsia"/>
                      </w:rPr>
                      <w:t>-</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416034" w:rsidRDefault="008F04CF" w:rsidP="00B637B2">
                    <w:pPr>
                      <w:jc w:val="right"/>
                    </w:pPr>
                    <w:r>
                      <w:rPr>
                        <w:rFonts w:hint="eastAsia"/>
                      </w:rPr>
                      <w:t>-</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Default="00B637B2" w:rsidP="00B637B2">
                    <w:pPr>
                      <w:jc w:val="right"/>
                    </w:pPr>
                  </w:p>
                </w:tc>
              </w:tr>
              <w:tr w:rsidR="00B637B2" w:rsidTr="00B637B2">
                <w:sdt>
                  <w:sdtPr>
                    <w:tag w:val="_PLD_184262582d204a07b7c7b039008d30a1"/>
                    <w:id w:val="31029447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一年内到期的非流动负债</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B637B2" w:rsidRPr="00992C36" w:rsidRDefault="008F04CF" w:rsidP="00B637B2">
                    <w:pPr>
                      <w:jc w:val="right"/>
                    </w:pPr>
                    <w:r w:rsidRPr="00992C36">
                      <w:t>157,441,377</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992C36" w:rsidRDefault="008F04CF" w:rsidP="00B637B2">
                    <w:pPr>
                      <w:jc w:val="right"/>
                    </w:pPr>
                    <w:r w:rsidRPr="00992C36">
                      <w:t>133,471,227</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Pr="00992C36" w:rsidRDefault="008F04CF" w:rsidP="00B637B2">
                    <w:pPr>
                      <w:jc w:val="right"/>
                    </w:pPr>
                    <w:r>
                      <w:t>-23,970,150</w:t>
                    </w:r>
                  </w:p>
                </w:tc>
              </w:tr>
              <w:tr w:rsidR="00B637B2" w:rsidTr="00B637B2">
                <w:sdt>
                  <w:sdtPr>
                    <w:tag w:val="_PLD_af93e4b207a64595bfc64c7f72b1187a"/>
                    <w:id w:val="168069866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其他流动负债</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B637B2" w:rsidRPr="00992C36" w:rsidRDefault="008F04CF" w:rsidP="00B637B2">
                    <w:pPr>
                      <w:jc w:val="right"/>
                    </w:pPr>
                    <w:r w:rsidRPr="00992C36">
                      <w:t>182,312,101</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077E4D" w:rsidRDefault="008F04CF" w:rsidP="00B637B2">
                    <w:pPr>
                      <w:jc w:val="right"/>
                    </w:pPr>
                    <w:r w:rsidRPr="00077E4D">
                      <w:t>182,312,101</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Default="00B637B2" w:rsidP="00B637B2">
                    <w:pPr>
                      <w:jc w:val="right"/>
                    </w:pPr>
                  </w:p>
                </w:tc>
              </w:tr>
              <w:tr w:rsidR="00B637B2" w:rsidTr="00B637B2">
                <w:sdt>
                  <w:sdtPr>
                    <w:tag w:val="_PLD_9a3d3ca1f3174615bf9ff36a589d6783"/>
                    <w:id w:val="-107041903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200" w:firstLine="420"/>
                          <w:rPr>
                            <w:szCs w:val="21"/>
                          </w:rPr>
                        </w:pPr>
                        <w:r>
                          <w:rPr>
                            <w:rFonts w:hint="eastAsia"/>
                            <w:szCs w:val="21"/>
                          </w:rPr>
                          <w:t>流动负债合计</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B637B2" w:rsidRPr="00992C36" w:rsidRDefault="008F04CF" w:rsidP="00B637B2">
                    <w:pPr>
                      <w:jc w:val="right"/>
                    </w:pPr>
                    <w:r w:rsidRPr="00992C36">
                      <w:t>7,348,127,864</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992C36" w:rsidRDefault="008F04CF" w:rsidP="00B637B2">
                    <w:pPr>
                      <w:jc w:val="right"/>
                    </w:pPr>
                    <w:r w:rsidRPr="00992C36">
                      <w:t>7,324,157,714</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Pr="00992C36" w:rsidRDefault="008F04CF" w:rsidP="00B637B2">
                    <w:pPr>
                      <w:jc w:val="right"/>
                    </w:pPr>
                    <w:r>
                      <w:t>-23,970,150</w:t>
                    </w:r>
                  </w:p>
                </w:tc>
              </w:tr>
              <w:tr w:rsidR="00B637B2" w:rsidTr="00B637B2">
                <w:sdt>
                  <w:sdtPr>
                    <w:tag w:val="_PLD_a08e21293f134b168255e7186cb648ba"/>
                    <w:id w:val="-119306479"/>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B637B2" w:rsidRDefault="008F04CF" w:rsidP="00B637B2">
                        <w:pPr>
                          <w:rPr>
                            <w:color w:val="008000"/>
                            <w:szCs w:val="21"/>
                          </w:rPr>
                        </w:pPr>
                        <w:r>
                          <w:rPr>
                            <w:rFonts w:hint="eastAsia"/>
                            <w:b/>
                            <w:bCs/>
                            <w:szCs w:val="21"/>
                          </w:rPr>
                          <w:t>非流动负债：</w:t>
                        </w:r>
                      </w:p>
                    </w:tc>
                  </w:sdtContent>
                </w:sdt>
              </w:tr>
              <w:tr w:rsidR="00B637B2" w:rsidTr="00B637B2">
                <w:sdt>
                  <w:sdtPr>
                    <w:tag w:val="_PLD_4b1c734d983f434b821c521fc2870fe8"/>
                    <w:id w:val="-24357258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保险合同准备金</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B637B2" w:rsidRPr="000321EA" w:rsidRDefault="008F04CF" w:rsidP="00B637B2">
                    <w:pPr>
                      <w:jc w:val="right"/>
                    </w:pPr>
                    <w:r w:rsidRPr="000321EA">
                      <w:t>-</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0321EA" w:rsidRDefault="008F04CF" w:rsidP="00B637B2">
                    <w:pPr>
                      <w:jc w:val="right"/>
                    </w:pPr>
                    <w:r w:rsidRPr="000321EA">
                      <w:t>-</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Pr="000321EA" w:rsidRDefault="00B637B2" w:rsidP="00B637B2">
                    <w:pPr>
                      <w:jc w:val="right"/>
                    </w:pPr>
                  </w:p>
                </w:tc>
              </w:tr>
              <w:tr w:rsidR="00B637B2" w:rsidTr="00B637B2">
                <w:sdt>
                  <w:sdtPr>
                    <w:tag w:val="_PLD_1d1cee5b720049af960e79c80ab30479"/>
                    <w:id w:val="44473753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长期借款</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B637B2" w:rsidRPr="000321EA" w:rsidRDefault="008F04CF" w:rsidP="00B637B2">
                    <w:pPr>
                      <w:jc w:val="right"/>
                    </w:pPr>
                    <w:r w:rsidRPr="000321EA">
                      <w:t>171,666,664</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0321EA" w:rsidRDefault="008F04CF" w:rsidP="00B637B2">
                    <w:pPr>
                      <w:jc w:val="right"/>
                    </w:pPr>
                    <w:r w:rsidRPr="000321EA">
                      <w:t>171,666,664</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Pr="000321EA" w:rsidRDefault="00B637B2" w:rsidP="00B637B2">
                    <w:pPr>
                      <w:jc w:val="right"/>
                    </w:pPr>
                  </w:p>
                </w:tc>
              </w:tr>
              <w:tr w:rsidR="00B637B2" w:rsidTr="00B637B2">
                <w:sdt>
                  <w:sdtPr>
                    <w:tag w:val="_PLD_023f317ab6034563a761b5d2ed98eeae"/>
                    <w:id w:val="148450824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应付债券</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B637B2" w:rsidRPr="000321EA" w:rsidRDefault="008F04CF" w:rsidP="00B637B2">
                    <w:pPr>
                      <w:jc w:val="right"/>
                    </w:pPr>
                    <w:r w:rsidRPr="000321EA">
                      <w:t>-</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0321EA" w:rsidRDefault="008F04CF" w:rsidP="00B637B2">
                    <w:pPr>
                      <w:jc w:val="right"/>
                    </w:pPr>
                    <w:r w:rsidRPr="000321EA">
                      <w:t>-</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Pr="000321EA" w:rsidRDefault="00B637B2" w:rsidP="00B637B2">
                    <w:pPr>
                      <w:jc w:val="right"/>
                    </w:pPr>
                  </w:p>
                </w:tc>
              </w:tr>
              <w:tr w:rsidR="00B637B2" w:rsidTr="00B637B2">
                <w:sdt>
                  <w:sdtPr>
                    <w:tag w:val="_PLD_3b3edb5f36134af39020a332792fb060"/>
                    <w:id w:val="123319036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其中：优先股</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B637B2" w:rsidRPr="000321EA" w:rsidRDefault="008F04CF" w:rsidP="00B637B2">
                    <w:pPr>
                      <w:jc w:val="right"/>
                    </w:pPr>
                    <w:r w:rsidRPr="000321EA">
                      <w:t>-</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0321EA" w:rsidRDefault="008F04CF" w:rsidP="00B637B2">
                    <w:pPr>
                      <w:jc w:val="right"/>
                    </w:pPr>
                    <w:r w:rsidRPr="000321EA">
                      <w:t>-</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Pr="000321EA" w:rsidRDefault="00B637B2" w:rsidP="00B637B2">
                    <w:pPr>
                      <w:jc w:val="right"/>
                    </w:pPr>
                  </w:p>
                </w:tc>
              </w:tr>
              <w:tr w:rsidR="00B637B2" w:rsidTr="00B637B2">
                <w:sdt>
                  <w:sdtPr>
                    <w:tag w:val="_PLD_d9d94d502e044d5c83dc48388d17f72c"/>
                    <w:id w:val="-78595867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leftChars="300" w:left="630" w:firstLineChars="100" w:firstLine="210"/>
                          <w:rPr>
                            <w:szCs w:val="21"/>
                          </w:rPr>
                        </w:pPr>
                        <w:r>
                          <w:rPr>
                            <w:rFonts w:hint="eastAsia"/>
                            <w:szCs w:val="21"/>
                          </w:rPr>
                          <w:t>永续债</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B637B2" w:rsidRPr="000321EA" w:rsidRDefault="008F04CF" w:rsidP="00B637B2">
                    <w:pPr>
                      <w:jc w:val="right"/>
                    </w:pPr>
                    <w:r w:rsidRPr="000321EA">
                      <w:t>-</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0321EA" w:rsidRDefault="008F04CF" w:rsidP="00B637B2">
                    <w:pPr>
                      <w:jc w:val="right"/>
                    </w:pPr>
                    <w:r w:rsidRPr="000321EA">
                      <w:t>-</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Pr="000321EA" w:rsidRDefault="00B637B2" w:rsidP="00B637B2">
                    <w:pPr>
                      <w:jc w:val="right"/>
                    </w:pPr>
                  </w:p>
                </w:tc>
              </w:tr>
              <w:tr w:rsidR="00B637B2" w:rsidTr="00B637B2">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3d73c87b7e3475991fcc1cef4eb2477"/>
                      <w:id w:val="1483350560"/>
                      <w:lock w:val="sdtLocked"/>
                    </w:sdtPr>
                    <w:sdtContent>
                      <w:p w:rsidR="00B637B2" w:rsidRDefault="008F04CF" w:rsidP="00B637B2">
                        <w:pPr>
                          <w:ind w:firstLineChars="100" w:firstLine="210"/>
                        </w:pPr>
                        <w:r>
                          <w:rPr>
                            <w:rFonts w:hint="eastAsia"/>
                          </w:rPr>
                          <w:t>租赁负债</w:t>
                        </w:r>
                      </w:p>
                    </w:sdtContent>
                  </w:sdt>
                </w:tc>
                <w:tc>
                  <w:tcPr>
                    <w:tcW w:w="1129" w:type="pct"/>
                    <w:tcBorders>
                      <w:top w:val="outset" w:sz="4" w:space="0" w:color="auto"/>
                      <w:left w:val="outset" w:sz="4" w:space="0" w:color="auto"/>
                      <w:bottom w:val="outset" w:sz="4" w:space="0" w:color="auto"/>
                      <w:right w:val="outset" w:sz="4" w:space="0" w:color="auto"/>
                    </w:tcBorders>
                    <w:vAlign w:val="center"/>
                  </w:tcPr>
                  <w:p w:rsidR="00B637B2" w:rsidRPr="000321EA" w:rsidRDefault="008F04CF" w:rsidP="00B637B2">
                    <w:pPr>
                      <w:jc w:val="right"/>
                    </w:pPr>
                    <w:r w:rsidRPr="000321EA">
                      <w:t>-</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0321EA" w:rsidRDefault="008F04CF" w:rsidP="00B637B2">
                    <w:pPr>
                      <w:jc w:val="right"/>
                    </w:pPr>
                    <w:r w:rsidRPr="000321EA">
                      <w:t>-</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Pr="000321EA" w:rsidRDefault="00B637B2" w:rsidP="00B637B2">
                    <w:pPr>
                      <w:jc w:val="right"/>
                    </w:pPr>
                  </w:p>
                </w:tc>
              </w:tr>
              <w:tr w:rsidR="00B637B2" w:rsidTr="00B637B2">
                <w:sdt>
                  <w:sdtPr>
                    <w:tag w:val="_PLD_543dfbcc13f7467bbe938ed47fd08f27"/>
                    <w:id w:val="181036772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长期应付款</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B637B2" w:rsidRPr="000321EA" w:rsidRDefault="008F04CF" w:rsidP="00B637B2">
                    <w:pPr>
                      <w:jc w:val="right"/>
                    </w:pPr>
                    <w:r w:rsidRPr="000321EA">
                      <w:t>-</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0321EA" w:rsidRDefault="008F04CF" w:rsidP="00B637B2">
                    <w:pPr>
                      <w:jc w:val="right"/>
                    </w:pPr>
                    <w:r w:rsidRPr="000321EA">
                      <w:t>-</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Pr="000321EA" w:rsidRDefault="00B637B2" w:rsidP="00B637B2">
                    <w:pPr>
                      <w:jc w:val="right"/>
                    </w:pPr>
                  </w:p>
                </w:tc>
              </w:tr>
              <w:tr w:rsidR="00B637B2" w:rsidTr="00B637B2">
                <w:sdt>
                  <w:sdtPr>
                    <w:tag w:val="_PLD_247910bb42db46d9bbfa7a6ba34ed159"/>
                    <w:id w:val="-151321301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长期应付职工薪酬</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B637B2" w:rsidRPr="000321EA" w:rsidRDefault="008F04CF" w:rsidP="00B637B2">
                    <w:pPr>
                      <w:jc w:val="right"/>
                    </w:pPr>
                    <w:r w:rsidRPr="000321EA">
                      <w:t>-</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0321EA" w:rsidRDefault="008F04CF" w:rsidP="00B637B2">
                    <w:pPr>
                      <w:jc w:val="right"/>
                    </w:pPr>
                    <w:r w:rsidRPr="000321EA">
                      <w:t>-</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Pr="000321EA" w:rsidRDefault="00B637B2" w:rsidP="00B637B2">
                    <w:pPr>
                      <w:jc w:val="right"/>
                    </w:pPr>
                  </w:p>
                </w:tc>
              </w:tr>
              <w:tr w:rsidR="00B637B2" w:rsidTr="00B637B2">
                <w:sdt>
                  <w:sdtPr>
                    <w:tag w:val="_PLD_4b983db901be4c5b82741ed5d0c63202"/>
                    <w:id w:val="-112423388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预计负债</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B637B2" w:rsidRPr="000321EA" w:rsidRDefault="008F04CF" w:rsidP="00B637B2">
                    <w:pPr>
                      <w:jc w:val="right"/>
                    </w:pPr>
                    <w:r>
                      <w:rPr>
                        <w:rFonts w:hint="eastAsia"/>
                      </w:rPr>
                      <w:t>-</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EE49EE" w:rsidRDefault="008F04CF" w:rsidP="00B637B2">
                    <w:pPr>
                      <w:jc w:val="right"/>
                    </w:pPr>
                    <w:r>
                      <w:rPr>
                        <w:rFonts w:hint="eastAsia"/>
                      </w:rPr>
                      <w:t>-</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Default="00B637B2" w:rsidP="00B637B2">
                    <w:pPr>
                      <w:jc w:val="right"/>
                    </w:pPr>
                  </w:p>
                </w:tc>
              </w:tr>
              <w:tr w:rsidR="00B637B2" w:rsidTr="00B637B2">
                <w:sdt>
                  <w:sdtPr>
                    <w:tag w:val="_PLD_3166959a76864d06b969fe5246da4a21"/>
                    <w:id w:val="-95008525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递延收益</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B637B2" w:rsidRPr="000321EA" w:rsidRDefault="008F04CF" w:rsidP="00B637B2">
                    <w:pPr>
                      <w:jc w:val="right"/>
                    </w:pPr>
                    <w:r w:rsidRPr="000321EA">
                      <w:t>31,456,778</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0321EA" w:rsidRDefault="008F04CF" w:rsidP="00B637B2">
                    <w:pPr>
                      <w:jc w:val="right"/>
                    </w:pPr>
                    <w:r w:rsidRPr="000321EA">
                      <w:t>55,426,928</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Pr="000321EA" w:rsidRDefault="008F04CF" w:rsidP="00B637B2">
                    <w:pPr>
                      <w:jc w:val="right"/>
                    </w:pPr>
                    <w:r w:rsidRPr="000321EA">
                      <w:t>23,970,150</w:t>
                    </w:r>
                  </w:p>
                </w:tc>
              </w:tr>
              <w:tr w:rsidR="00B637B2" w:rsidTr="00B637B2">
                <w:sdt>
                  <w:sdtPr>
                    <w:tag w:val="_PLD_60af60b77da940acae56c08bb05a1240"/>
                    <w:id w:val="35407607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递延所得税负债</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B637B2" w:rsidRPr="000321EA" w:rsidRDefault="008F04CF" w:rsidP="00B637B2">
                    <w:pPr>
                      <w:jc w:val="right"/>
                    </w:pPr>
                    <w:r w:rsidRPr="000321EA">
                      <w:t>17,682,143</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0321EA" w:rsidRDefault="008F04CF" w:rsidP="00B637B2">
                    <w:pPr>
                      <w:jc w:val="right"/>
                    </w:pPr>
                    <w:r w:rsidRPr="000321EA">
                      <w:t>38,222,836</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Pr="000321EA" w:rsidRDefault="008F04CF" w:rsidP="00B637B2">
                    <w:pPr>
                      <w:jc w:val="right"/>
                    </w:pPr>
                    <w:r>
                      <w:t>20,540,693</w:t>
                    </w:r>
                  </w:p>
                </w:tc>
              </w:tr>
              <w:tr w:rsidR="00B637B2" w:rsidTr="00B637B2">
                <w:sdt>
                  <w:sdtPr>
                    <w:tag w:val="_PLD_ab4f0b1cb85d41959d54d3d841246bca"/>
                    <w:id w:val="-83190467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其他非流动负债</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B637B2" w:rsidRPr="000321EA" w:rsidRDefault="008F04CF" w:rsidP="00B637B2">
                    <w:pPr>
                      <w:jc w:val="right"/>
                    </w:pPr>
                    <w:r>
                      <w:rPr>
                        <w:rFonts w:hint="eastAsia"/>
                      </w:rPr>
                      <w:t>-</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042D06" w:rsidRDefault="008F04CF" w:rsidP="00B637B2">
                    <w:pPr>
                      <w:jc w:val="right"/>
                    </w:pPr>
                    <w:r>
                      <w:rPr>
                        <w:rFonts w:hint="eastAsia"/>
                      </w:rPr>
                      <w:t>-</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Default="00B637B2" w:rsidP="00B637B2">
                    <w:pPr>
                      <w:jc w:val="right"/>
                    </w:pPr>
                  </w:p>
                </w:tc>
              </w:tr>
              <w:tr w:rsidR="00B637B2" w:rsidTr="00B637B2">
                <w:sdt>
                  <w:sdtPr>
                    <w:tag w:val="_PLD_70c7b2aa7d7a4f77a7e65d8722de302c"/>
                    <w:id w:val="-154250829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200" w:firstLine="420"/>
                          <w:rPr>
                            <w:szCs w:val="21"/>
                          </w:rPr>
                        </w:pPr>
                        <w:r>
                          <w:rPr>
                            <w:rFonts w:hint="eastAsia"/>
                            <w:szCs w:val="21"/>
                          </w:rPr>
                          <w:t>非流动负债合计</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B637B2" w:rsidRPr="000321EA" w:rsidRDefault="008F04CF" w:rsidP="00B637B2">
                    <w:pPr>
                      <w:jc w:val="right"/>
                    </w:pPr>
                    <w:r w:rsidRPr="000321EA">
                      <w:t>220,805,585</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0321EA" w:rsidRDefault="008F04CF" w:rsidP="00B637B2">
                    <w:pPr>
                      <w:jc w:val="right"/>
                    </w:pPr>
                    <w:r w:rsidRPr="000321EA">
                      <w:t>265,316,428</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jc w:val="right"/>
                    </w:pPr>
                    <w:r w:rsidRPr="000321EA">
                      <w:t>44,510,843</w:t>
                    </w:r>
                  </w:p>
                </w:tc>
              </w:tr>
              <w:tr w:rsidR="00B637B2" w:rsidTr="00B637B2">
                <w:sdt>
                  <w:sdtPr>
                    <w:tag w:val="_PLD_b5b63f46391c494fa54363a343e3a61a"/>
                    <w:id w:val="-199278541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300" w:firstLine="630"/>
                          <w:rPr>
                            <w:szCs w:val="21"/>
                          </w:rPr>
                        </w:pPr>
                        <w:r>
                          <w:rPr>
                            <w:rFonts w:hint="eastAsia"/>
                            <w:szCs w:val="21"/>
                          </w:rPr>
                          <w:t>负债合计</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B637B2" w:rsidRPr="000321EA" w:rsidRDefault="008F04CF" w:rsidP="00B637B2">
                    <w:pPr>
                      <w:jc w:val="right"/>
                    </w:pPr>
                    <w:r w:rsidRPr="000321EA">
                      <w:t>7,568,933,449</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0321EA" w:rsidRDefault="008F04CF" w:rsidP="00B637B2">
                    <w:pPr>
                      <w:jc w:val="right"/>
                    </w:pPr>
                    <w:r w:rsidRPr="000321EA">
                      <w:t>7,589,474,142</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Pr="000321EA" w:rsidRDefault="008F04CF" w:rsidP="00B637B2">
                    <w:pPr>
                      <w:jc w:val="right"/>
                    </w:pPr>
                    <w:r>
                      <w:t>20,540,693</w:t>
                    </w:r>
                  </w:p>
                </w:tc>
              </w:tr>
              <w:tr w:rsidR="00B637B2" w:rsidTr="00B637B2">
                <w:sdt>
                  <w:sdtPr>
                    <w:tag w:val="_PLD_e8b17808d1b64bcb8659e50a22f17c53"/>
                    <w:id w:val="-1493866984"/>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B637B2" w:rsidRDefault="008F04CF" w:rsidP="00B637B2">
                        <w:pPr>
                          <w:rPr>
                            <w:szCs w:val="21"/>
                          </w:rPr>
                        </w:pPr>
                        <w:r>
                          <w:rPr>
                            <w:rFonts w:hint="eastAsia"/>
                            <w:b/>
                            <w:bCs/>
                            <w:szCs w:val="21"/>
                          </w:rPr>
                          <w:t>所有者权益（或股东权益）：</w:t>
                        </w:r>
                      </w:p>
                    </w:tc>
                  </w:sdtContent>
                </w:sdt>
              </w:tr>
              <w:tr w:rsidR="00B637B2" w:rsidTr="00B637B2">
                <w:sdt>
                  <w:sdtPr>
                    <w:tag w:val="_PLD_9010fa9626ed4c1786f7a701883f8faf"/>
                    <w:id w:val="19389766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实收资本（或股本）</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B637B2" w:rsidRPr="009A12AD" w:rsidRDefault="008F04CF" w:rsidP="00B637B2">
                    <w:pPr>
                      <w:jc w:val="right"/>
                    </w:pPr>
                    <w:r w:rsidRPr="009A12AD">
                      <w:t>1,917,832,792</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9A12AD" w:rsidRDefault="008F04CF" w:rsidP="00B637B2">
                    <w:pPr>
                      <w:jc w:val="right"/>
                    </w:pPr>
                    <w:r w:rsidRPr="009A12AD">
                      <w:t>1,917,832,792</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Pr="009A12AD" w:rsidRDefault="00B637B2" w:rsidP="00B637B2">
                    <w:pPr>
                      <w:jc w:val="right"/>
                    </w:pPr>
                  </w:p>
                </w:tc>
              </w:tr>
              <w:tr w:rsidR="00B637B2" w:rsidTr="00B637B2">
                <w:sdt>
                  <w:sdtPr>
                    <w:tag w:val="_PLD_01098027632846aa9c0c57ce79714549"/>
                    <w:id w:val="-35943558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其他权益工具</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B637B2" w:rsidRPr="009A12AD" w:rsidRDefault="008F04CF" w:rsidP="00B637B2">
                    <w:pPr>
                      <w:jc w:val="right"/>
                    </w:pPr>
                    <w:r w:rsidRPr="009A12AD">
                      <w:t>-</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9A12AD" w:rsidRDefault="008F04CF" w:rsidP="00B637B2">
                    <w:pPr>
                      <w:jc w:val="right"/>
                    </w:pPr>
                    <w:r w:rsidRPr="009A12AD">
                      <w:t>-</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Pr="009A12AD" w:rsidRDefault="00B637B2" w:rsidP="00B637B2">
                    <w:pPr>
                      <w:jc w:val="right"/>
                    </w:pPr>
                  </w:p>
                </w:tc>
              </w:tr>
              <w:tr w:rsidR="00B637B2" w:rsidTr="00B637B2">
                <w:sdt>
                  <w:sdtPr>
                    <w:tag w:val="_PLD_576e62fa6e5a4609989bccbe014f951c"/>
                    <w:id w:val="-198839293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其中：优先股</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B637B2" w:rsidRPr="009A12AD" w:rsidRDefault="008F04CF" w:rsidP="00B637B2">
                    <w:pPr>
                      <w:jc w:val="right"/>
                    </w:pPr>
                    <w:r w:rsidRPr="009A12AD">
                      <w:t>-</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9A12AD" w:rsidRDefault="008F04CF" w:rsidP="00B637B2">
                    <w:pPr>
                      <w:jc w:val="right"/>
                    </w:pPr>
                    <w:r w:rsidRPr="009A12AD">
                      <w:t>-</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Pr="009A12AD" w:rsidRDefault="00B637B2" w:rsidP="00B637B2">
                    <w:pPr>
                      <w:jc w:val="right"/>
                    </w:pPr>
                  </w:p>
                </w:tc>
              </w:tr>
              <w:tr w:rsidR="00B637B2" w:rsidTr="00B637B2">
                <w:sdt>
                  <w:sdtPr>
                    <w:tag w:val="_PLD_d231468da9dc4ca99a885c73ca1d80e6"/>
                    <w:id w:val="84551989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leftChars="300" w:left="630" w:firstLineChars="100" w:firstLine="210"/>
                          <w:rPr>
                            <w:szCs w:val="21"/>
                          </w:rPr>
                        </w:pPr>
                        <w:r>
                          <w:rPr>
                            <w:rFonts w:hint="eastAsia"/>
                            <w:szCs w:val="21"/>
                          </w:rPr>
                          <w:t>永续债</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B637B2" w:rsidRPr="009A12AD" w:rsidRDefault="008F04CF" w:rsidP="00B637B2">
                    <w:pPr>
                      <w:jc w:val="right"/>
                    </w:pPr>
                    <w:r w:rsidRPr="009A12AD">
                      <w:t>-</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9A12AD" w:rsidRDefault="008F04CF" w:rsidP="00B637B2">
                    <w:pPr>
                      <w:jc w:val="right"/>
                    </w:pPr>
                    <w:r w:rsidRPr="009A12AD">
                      <w:t>-</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Pr="009A12AD" w:rsidRDefault="00B637B2" w:rsidP="00B637B2">
                    <w:pPr>
                      <w:jc w:val="right"/>
                    </w:pPr>
                  </w:p>
                </w:tc>
              </w:tr>
              <w:tr w:rsidR="00B637B2" w:rsidTr="00B637B2">
                <w:sdt>
                  <w:sdtPr>
                    <w:tag w:val="_PLD_67b70496c75d40f19a3cf648170a89dc"/>
                    <w:id w:val="193901999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资本公积</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B637B2" w:rsidRPr="009A12AD" w:rsidRDefault="008F04CF" w:rsidP="00B637B2">
                    <w:pPr>
                      <w:jc w:val="right"/>
                    </w:pPr>
                    <w:r w:rsidRPr="009A12AD">
                      <w:t>2,120,758,790</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9A12AD" w:rsidRDefault="008F04CF" w:rsidP="00B637B2">
                    <w:pPr>
                      <w:jc w:val="right"/>
                    </w:pPr>
                    <w:r w:rsidRPr="009A12AD">
                      <w:t>2,120,758,790</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Pr="009A12AD" w:rsidRDefault="00B637B2" w:rsidP="00B637B2">
                    <w:pPr>
                      <w:jc w:val="right"/>
                    </w:pPr>
                  </w:p>
                </w:tc>
              </w:tr>
              <w:tr w:rsidR="00B637B2" w:rsidTr="00B637B2">
                <w:sdt>
                  <w:sdtPr>
                    <w:tag w:val="_PLD_0ecc8c5ac5f64e66aae115c103be5d27"/>
                    <w:id w:val="33997160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减：库存股</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B637B2" w:rsidRPr="009A12AD" w:rsidRDefault="008F04CF" w:rsidP="00B637B2">
                    <w:pPr>
                      <w:jc w:val="right"/>
                    </w:pPr>
                    <w:r w:rsidRPr="009A12AD">
                      <w:t>55,787,910</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9A12AD" w:rsidRDefault="008F04CF" w:rsidP="00B637B2">
                    <w:pPr>
                      <w:jc w:val="right"/>
                    </w:pPr>
                    <w:r w:rsidRPr="009A12AD">
                      <w:t>55,787,910</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Pr="009A12AD" w:rsidRDefault="00B637B2" w:rsidP="00B637B2">
                    <w:pPr>
                      <w:jc w:val="right"/>
                    </w:pPr>
                  </w:p>
                </w:tc>
              </w:tr>
              <w:tr w:rsidR="00B637B2" w:rsidTr="00B637B2">
                <w:sdt>
                  <w:sdtPr>
                    <w:tag w:val="_PLD_f8576e43e2ba482da272b161656c0523"/>
                    <w:id w:val="105690788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其他综合收益</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B637B2" w:rsidRPr="009A12AD" w:rsidRDefault="008F04CF" w:rsidP="00B637B2">
                    <w:pPr>
                      <w:jc w:val="right"/>
                    </w:pPr>
                    <w:r w:rsidRPr="009A12AD">
                      <w:t>-25,234,857</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9A12AD" w:rsidRDefault="008F04CF" w:rsidP="00B637B2">
                    <w:pPr>
                      <w:jc w:val="right"/>
                    </w:pPr>
                    <w:r w:rsidRPr="009A12AD">
                      <w:t>4,427,272</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Pr="009A12AD" w:rsidRDefault="008F04CF" w:rsidP="00B637B2">
                    <w:pPr>
                      <w:jc w:val="right"/>
                    </w:pPr>
                    <w:r w:rsidRPr="009A12AD">
                      <w:t>29,662,129</w:t>
                    </w:r>
                  </w:p>
                </w:tc>
              </w:tr>
              <w:tr w:rsidR="00B637B2" w:rsidTr="00B637B2">
                <w:sdt>
                  <w:sdtPr>
                    <w:tag w:val="_PLD_4012b20126624690826c37f7fe5375f3"/>
                    <w:id w:val="-147544734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专项储备</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B637B2" w:rsidRPr="009A12AD" w:rsidRDefault="008F04CF" w:rsidP="00B637B2">
                    <w:pPr>
                      <w:jc w:val="right"/>
                    </w:pPr>
                    <w:r>
                      <w:rPr>
                        <w:rFonts w:hint="eastAsia"/>
                      </w:rPr>
                      <w:t>-</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9A12AD" w:rsidRDefault="008F04CF" w:rsidP="00B637B2">
                    <w:pPr>
                      <w:jc w:val="right"/>
                    </w:pPr>
                    <w:r>
                      <w:rPr>
                        <w:rFonts w:hint="eastAsia"/>
                      </w:rPr>
                      <w:t>-</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Pr="009A12AD" w:rsidRDefault="008F04CF" w:rsidP="00B637B2">
                    <w:pPr>
                      <w:jc w:val="right"/>
                    </w:pPr>
                    <w:r>
                      <w:rPr>
                        <w:rFonts w:hint="eastAsia"/>
                      </w:rPr>
                      <w:t>-</w:t>
                    </w:r>
                  </w:p>
                </w:tc>
              </w:tr>
              <w:tr w:rsidR="00B637B2" w:rsidTr="00B637B2">
                <w:sdt>
                  <w:sdtPr>
                    <w:tag w:val="_PLD_f00af6e50b2746e6a098293b64c1d537"/>
                    <w:id w:val="-63379170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盈余公积</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B637B2" w:rsidRPr="009A12AD" w:rsidRDefault="008F04CF" w:rsidP="00B637B2">
                    <w:pPr>
                      <w:jc w:val="right"/>
                    </w:pPr>
                    <w:r w:rsidRPr="009A12AD">
                      <w:t>827,153,655</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9A12AD" w:rsidRDefault="008F04CF" w:rsidP="00B637B2">
                    <w:pPr>
                      <w:jc w:val="right"/>
                    </w:pPr>
                    <w:r>
                      <w:t>831,983,441</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Pr="009A12AD" w:rsidRDefault="008F04CF" w:rsidP="00B637B2">
                    <w:pPr>
                      <w:jc w:val="right"/>
                    </w:pPr>
                    <w:r>
                      <w:t>4,829,786</w:t>
                    </w:r>
                  </w:p>
                </w:tc>
              </w:tr>
              <w:tr w:rsidR="00B637B2" w:rsidTr="00B637B2">
                <w:sdt>
                  <w:sdtPr>
                    <w:tag w:val="_PLD_2675126dfcc04ee595fa740c9e46f1b6"/>
                    <w:id w:val="-179744338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一般风险准备</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B637B2" w:rsidRPr="009A12AD" w:rsidRDefault="008F04CF" w:rsidP="00B637B2">
                    <w:pPr>
                      <w:jc w:val="right"/>
                    </w:pPr>
                    <w:r>
                      <w:rPr>
                        <w:rFonts w:hint="eastAsia"/>
                      </w:rPr>
                      <w:t>-</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9A12AD" w:rsidRDefault="008F04CF" w:rsidP="00B637B2">
                    <w:pPr>
                      <w:jc w:val="right"/>
                    </w:pPr>
                    <w:r>
                      <w:rPr>
                        <w:rFonts w:hint="eastAsia"/>
                      </w:rPr>
                      <w:t>-</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Pr="009A12AD" w:rsidRDefault="00B637B2" w:rsidP="00B637B2">
                    <w:pPr>
                      <w:jc w:val="right"/>
                    </w:pPr>
                  </w:p>
                </w:tc>
              </w:tr>
              <w:tr w:rsidR="00B637B2" w:rsidTr="00B637B2">
                <w:sdt>
                  <w:sdtPr>
                    <w:tag w:val="_PLD_69e49e8e03b24f49a4f7055dd6cfe7af"/>
                    <w:id w:val="-76376774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未分配利润</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B637B2" w:rsidRPr="009A12AD" w:rsidRDefault="008F04CF" w:rsidP="00B637B2">
                    <w:pPr>
                      <w:jc w:val="right"/>
                    </w:pPr>
                    <w:r w:rsidRPr="009A12AD">
                      <w:t>1,785,975,033</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9A12AD" w:rsidRDefault="008F04CF" w:rsidP="00B637B2">
                    <w:pPr>
                      <w:jc w:val="right"/>
                    </w:pPr>
                    <w:r w:rsidRPr="009A12AD">
                      <w:t>1,851,254,433</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Pr="009A12AD" w:rsidRDefault="008F04CF" w:rsidP="00B637B2">
                    <w:pPr>
                      <w:jc w:val="right"/>
                    </w:pPr>
                    <w:r w:rsidRPr="009A12AD">
                      <w:t>65,279,400</w:t>
                    </w:r>
                  </w:p>
                </w:tc>
              </w:tr>
              <w:tr w:rsidR="00B637B2" w:rsidTr="00B637B2">
                <w:sdt>
                  <w:sdtPr>
                    <w:tag w:val="_PLD_51025073495f439fbd66352253d45d1a"/>
                    <w:id w:val="-205962071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归属于母公司所有者权益（或股东权益）合计</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B637B2" w:rsidRPr="009A12AD" w:rsidRDefault="008F04CF" w:rsidP="00B637B2">
                    <w:pPr>
                      <w:jc w:val="right"/>
                    </w:pPr>
                    <w:r w:rsidRPr="009A12AD">
                      <w:t>6,570,697,503</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9A12AD" w:rsidRDefault="008F04CF" w:rsidP="00B637B2">
                    <w:pPr>
                      <w:jc w:val="right"/>
                    </w:pPr>
                    <w:r w:rsidRPr="009A12AD">
                      <w:t>6,670,468,818</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Pr="009A12AD" w:rsidRDefault="008F04CF" w:rsidP="00B637B2">
                    <w:pPr>
                      <w:jc w:val="right"/>
                    </w:pPr>
                    <w:r w:rsidRPr="009A12AD">
                      <w:t>99,771,315</w:t>
                    </w:r>
                  </w:p>
                </w:tc>
              </w:tr>
              <w:tr w:rsidR="00B637B2" w:rsidTr="00B637B2">
                <w:sdt>
                  <w:sdtPr>
                    <w:tag w:val="_PLD_9e2a49afb3b740edb7325551ffea197e"/>
                    <w:id w:val="199929598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少数股东权益</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B637B2" w:rsidRPr="009A12AD" w:rsidRDefault="008F04CF" w:rsidP="00B637B2">
                    <w:pPr>
                      <w:jc w:val="right"/>
                    </w:pPr>
                    <w:r w:rsidRPr="009A12AD">
                      <w:t>1,081,265,642</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9A12AD" w:rsidRDefault="008F04CF" w:rsidP="00B637B2">
                    <w:pPr>
                      <w:jc w:val="right"/>
                    </w:pPr>
                    <w:r w:rsidRPr="009A12AD">
                      <w:t>1,077,202,232</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Pr="009A12AD" w:rsidRDefault="008F04CF" w:rsidP="00B637B2">
                    <w:pPr>
                      <w:jc w:val="right"/>
                    </w:pPr>
                    <w:r w:rsidRPr="009A12AD">
                      <w:t>-4,063,410</w:t>
                    </w:r>
                  </w:p>
                </w:tc>
              </w:tr>
              <w:tr w:rsidR="00B637B2" w:rsidTr="00B637B2">
                <w:sdt>
                  <w:sdtPr>
                    <w:tag w:val="_PLD_c8a5be1c81bf40a0b01cb817c0b0e1b9"/>
                    <w:id w:val="-41648804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200" w:firstLine="420"/>
                          <w:rPr>
                            <w:szCs w:val="21"/>
                          </w:rPr>
                        </w:pPr>
                        <w:r>
                          <w:rPr>
                            <w:rFonts w:hint="eastAsia"/>
                            <w:szCs w:val="21"/>
                          </w:rPr>
                          <w:t>所有者权益（或股东权益）合计</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B637B2" w:rsidRPr="009A12AD" w:rsidRDefault="008F04CF" w:rsidP="00B637B2">
                    <w:pPr>
                      <w:jc w:val="right"/>
                    </w:pPr>
                    <w:r w:rsidRPr="009A12AD">
                      <w:t>7,651,963,145</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9A12AD" w:rsidRDefault="008F04CF" w:rsidP="00B637B2">
                    <w:pPr>
                      <w:jc w:val="right"/>
                    </w:pPr>
                    <w:r w:rsidRPr="009A12AD">
                      <w:t>7,747,671,050</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jc w:val="right"/>
                    </w:pPr>
                    <w:r w:rsidRPr="009A12AD">
                      <w:t>95,707,905</w:t>
                    </w:r>
                  </w:p>
                </w:tc>
              </w:tr>
              <w:tr w:rsidR="00B637B2" w:rsidTr="00B637B2">
                <w:sdt>
                  <w:sdtPr>
                    <w:tag w:val="_PLD_bd6eda07bb8b42c19118fdb7c86bb62b"/>
                    <w:id w:val="-12339075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300" w:firstLine="630"/>
                          <w:rPr>
                            <w:szCs w:val="21"/>
                          </w:rPr>
                        </w:pPr>
                        <w:r>
                          <w:rPr>
                            <w:rFonts w:hint="eastAsia"/>
                            <w:szCs w:val="21"/>
                          </w:rPr>
                          <w:t>负债和所有者权益（或股东权益）总计</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B637B2" w:rsidRPr="009A12AD" w:rsidRDefault="008F04CF" w:rsidP="00B637B2">
                    <w:pPr>
                      <w:jc w:val="right"/>
                    </w:pPr>
                    <w:r w:rsidRPr="009A12AD">
                      <w:t>15,220,896,594</w:t>
                    </w:r>
                  </w:p>
                </w:tc>
                <w:tc>
                  <w:tcPr>
                    <w:tcW w:w="1126" w:type="pct"/>
                    <w:tcBorders>
                      <w:top w:val="outset" w:sz="4" w:space="0" w:color="auto"/>
                      <w:left w:val="outset" w:sz="4" w:space="0" w:color="auto"/>
                      <w:bottom w:val="outset" w:sz="4" w:space="0" w:color="auto"/>
                      <w:right w:val="outset" w:sz="4" w:space="0" w:color="auto"/>
                    </w:tcBorders>
                    <w:vAlign w:val="center"/>
                  </w:tcPr>
                  <w:p w:rsidR="00B637B2" w:rsidRPr="009A12AD" w:rsidRDefault="008F04CF" w:rsidP="00B637B2">
                    <w:pPr>
                      <w:jc w:val="right"/>
                    </w:pPr>
                    <w:r w:rsidRPr="009A12AD">
                      <w:t>15,337,145,192</w:t>
                    </w:r>
                  </w:p>
                </w:tc>
                <w:tc>
                  <w:tcPr>
                    <w:tcW w:w="981" w:type="pct"/>
                    <w:tcBorders>
                      <w:top w:val="outset" w:sz="4" w:space="0" w:color="auto"/>
                      <w:left w:val="outset" w:sz="4" w:space="0" w:color="auto"/>
                      <w:bottom w:val="outset" w:sz="4" w:space="0" w:color="auto"/>
                      <w:right w:val="outset" w:sz="4" w:space="0" w:color="auto"/>
                    </w:tcBorders>
                    <w:vAlign w:val="center"/>
                  </w:tcPr>
                  <w:p w:rsidR="00B637B2" w:rsidRPr="009A12AD" w:rsidRDefault="008F04CF" w:rsidP="00B637B2">
                    <w:pPr>
                      <w:jc w:val="right"/>
                    </w:pPr>
                    <w:r>
                      <w:t>116,248,598</w:t>
                    </w:r>
                  </w:p>
                </w:tc>
              </w:tr>
            </w:tbl>
            <w:p w:rsidR="00B637B2" w:rsidRDefault="00B637B2"/>
            <w:p w:rsidR="00ED2DC7" w:rsidRDefault="00ED2DC7">
              <w:pPr>
                <w:rPr>
                  <w:szCs w:val="21"/>
                </w:rPr>
              </w:pPr>
              <w:r>
                <w:rPr>
                  <w:rFonts w:hint="eastAsia"/>
                  <w:szCs w:val="21"/>
                </w:rPr>
                <w:t>各项目调整情况的说明：</w:t>
              </w:r>
            </w:p>
            <w:sdt>
              <w:sdtPr>
                <w:alias w:val="是否适用：资产负债表各项目调整情况的说明[双击切换]"/>
                <w:tag w:val="_GBC_78cdedcde0e54953bd93f6d9bfb220a2"/>
                <w:id w:val="-379325782"/>
                <w:lock w:val="sdtContentLocked"/>
                <w:placeholder>
                  <w:docPart w:val="GBC22222222222222222222222222222"/>
                </w:placeholder>
              </w:sdtPr>
              <w:sdtContent>
                <w:p w:rsidR="00ED2DC7" w:rsidRDefault="00ED2DC7" w:rsidP="00555457">
                  <w:r>
                    <w:fldChar w:fldCharType="begin"/>
                  </w:r>
                  <w:r w:rsidR="00555457">
                    <w:instrText xml:space="preserve"> MACROBUTTON  SnrToggleCheckbox □适用 </w:instrText>
                  </w:r>
                  <w:r>
                    <w:fldChar w:fldCharType="end"/>
                  </w:r>
                  <w:r>
                    <w:fldChar w:fldCharType="begin"/>
                  </w:r>
                  <w:r w:rsidR="00555457">
                    <w:instrText xml:space="preserve"> MACROBUTTON  SnrToggleCheckbox √不适用 </w:instrText>
                  </w:r>
                  <w:r>
                    <w:fldChar w:fldCharType="end"/>
                  </w:r>
                </w:p>
              </w:sdtContent>
            </w:sdt>
          </w:sdtContent>
        </w:sdt>
        <w:p w:rsidR="00ED2DC7" w:rsidRDefault="00ED2DC7"/>
        <w:sdt>
          <w:sdtPr>
            <w:rPr>
              <w:rFonts w:hint="eastAsia"/>
            </w:rPr>
            <w:tag w:val="_SEC_42ac31f2b4fa4fd6a9f6f2a4dec4d231"/>
            <w:id w:val="560983737"/>
            <w:lock w:val="sdtLocked"/>
            <w:placeholder>
              <w:docPart w:val="GBC22222222222222222222222222222"/>
            </w:placeholder>
          </w:sdtPr>
          <w:sdtEndPr>
            <w:rPr>
              <w:szCs w:val="21"/>
            </w:rPr>
          </w:sdtEndPr>
          <w:sdtContent>
            <w:p w:rsidR="00ED2DC7" w:rsidRDefault="00ED2DC7">
              <w:pPr>
                <w:jc w:val="center"/>
              </w:pPr>
              <w:r>
                <w:rPr>
                  <w:rFonts w:hint="eastAsia"/>
                </w:rPr>
                <w:t>母公司</w:t>
              </w:r>
              <w:r>
                <w:t>资产负债表</w:t>
              </w:r>
            </w:p>
            <w:p w:rsidR="00ED2DC7" w:rsidRDefault="00ED2DC7">
              <w:pPr>
                <w:jc w:val="right"/>
                <w:rPr>
                  <w:szCs w:val="21"/>
                </w:rPr>
              </w:pPr>
              <w:r>
                <w:rPr>
                  <w:rFonts w:hint="eastAsia"/>
                  <w:szCs w:val="21"/>
                </w:rPr>
                <w:t xml:space="preserve"> </w:t>
              </w:r>
              <w:r>
                <w:rPr>
                  <w:szCs w:val="21"/>
                </w:rPr>
                <w:t xml:space="preserve">      单位:</w:t>
              </w:r>
              <w:sdt>
                <w:sdtPr>
                  <w:rPr>
                    <w:szCs w:val="21"/>
                  </w:rPr>
                  <w:alias w:val="单位：母公司资产负债表"/>
                  <w:tag w:val="_GBC_12bdcba29eb54af2b8443a5d65e13487"/>
                  <w:id w:val="-9482436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szCs w:val="21"/>
                    </w:rPr>
                    <w:t>元</w:t>
                  </w:r>
                </w:sdtContent>
              </w:sdt>
              <w:r>
                <w:rPr>
                  <w:szCs w:val="21"/>
                </w:rPr>
                <w:t xml:space="preserve">  币种:</w:t>
              </w:r>
              <w:sdt>
                <w:sdtPr>
                  <w:rPr>
                    <w:szCs w:val="21"/>
                  </w:rPr>
                  <w:alias w:val="币种：母公司资产负债表"/>
                  <w:tag w:val="_GBC_5ae5b2f3e4c64e05b223351f52f762b8"/>
                  <w:id w:val="4957811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szCs w:val="21"/>
                    </w:rPr>
                    <w:t>人民币</w:t>
                  </w:r>
                </w:sdtContent>
              </w:sdt>
            </w:p>
            <w:tbl>
              <w:tblPr>
                <w:tblStyle w:val="g38"/>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15"/>
                <w:gridCol w:w="1983"/>
                <w:gridCol w:w="1985"/>
                <w:gridCol w:w="1740"/>
              </w:tblGrid>
              <w:tr w:rsidR="00B637B2" w:rsidTr="00B637B2">
                <w:trPr>
                  <w:cantSplit/>
                </w:trPr>
                <w:sdt>
                  <w:sdtPr>
                    <w:tag w:val="_PLD_1862792538844cfebbd7412e518cc3a1"/>
                    <w:id w:val="-1787730107"/>
                    <w:lock w:val="sdtLocked"/>
                  </w:sdtPr>
                  <w:sdtContent>
                    <w:tc>
                      <w:tcPr>
                        <w:tcW w:w="1765"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jc w:val="center"/>
                          <w:rPr>
                            <w:b/>
                            <w:szCs w:val="21"/>
                          </w:rPr>
                        </w:pPr>
                        <w:r>
                          <w:rPr>
                            <w:b/>
                            <w:szCs w:val="21"/>
                          </w:rPr>
                          <w:t>项目</w:t>
                        </w:r>
                      </w:p>
                    </w:tc>
                  </w:sdtContent>
                </w:sdt>
                <w:sdt>
                  <w:sdtPr>
                    <w:tag w:val="_PLD_490733515ea04b4585d8f94ac2bde396"/>
                    <w:id w:val="703445305"/>
                    <w:lock w:val="sdtLocked"/>
                  </w:sdtPr>
                  <w:sdtContent>
                    <w:tc>
                      <w:tcPr>
                        <w:tcW w:w="112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jc w:val="center"/>
                          <w:rPr>
                            <w:b/>
                            <w:szCs w:val="21"/>
                          </w:rPr>
                        </w:pPr>
                        <w:r>
                          <w:rPr>
                            <w:rFonts w:hint="eastAsia"/>
                            <w:b/>
                            <w:szCs w:val="21"/>
                          </w:rPr>
                          <w:t>2018年12月31日</w:t>
                        </w:r>
                      </w:p>
                    </w:tc>
                  </w:sdtContent>
                </w:sdt>
                <w:sdt>
                  <w:sdtPr>
                    <w:tag w:val="_PLD_e87e7f82c0ce4a00b4c3c32f679e366a"/>
                    <w:id w:val="682711970"/>
                    <w:lock w:val="sdtLocked"/>
                  </w:sdtPr>
                  <w:sdtContent>
                    <w:tc>
                      <w:tcPr>
                        <w:tcW w:w="1125"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jc w:val="center"/>
                          <w:rPr>
                            <w:b/>
                            <w:szCs w:val="21"/>
                          </w:rPr>
                        </w:pPr>
                        <w:r>
                          <w:rPr>
                            <w:rFonts w:hint="eastAsia"/>
                            <w:b/>
                            <w:szCs w:val="21"/>
                          </w:rPr>
                          <w:t>2019年1月1日</w:t>
                        </w:r>
                      </w:p>
                    </w:tc>
                  </w:sdtContent>
                </w:sdt>
                <w:sdt>
                  <w:sdtPr>
                    <w:tag w:val="_PLD_183442aef00f452987866abd92d323be"/>
                    <w:id w:val="-1389949654"/>
                    <w:lock w:val="sdtLocked"/>
                  </w:sdtPr>
                  <w:sdtContent>
                    <w:tc>
                      <w:tcPr>
                        <w:tcW w:w="986"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jc w:val="center"/>
                          <w:rPr>
                            <w:b/>
                          </w:rPr>
                        </w:pPr>
                        <w:r>
                          <w:rPr>
                            <w:rFonts w:hint="eastAsia"/>
                            <w:b/>
                          </w:rPr>
                          <w:t>调整数</w:t>
                        </w:r>
                      </w:p>
                    </w:tc>
                  </w:sdtContent>
                </w:sdt>
              </w:tr>
              <w:tr w:rsidR="00B637B2" w:rsidTr="00B637B2">
                <w:sdt>
                  <w:sdtPr>
                    <w:tag w:val="_PLD_d3873035b3234fe09b962abf0385995a"/>
                    <w:id w:val="1163587074"/>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B637B2" w:rsidRDefault="008F04CF" w:rsidP="00B637B2">
                        <w:pPr>
                          <w:rPr>
                            <w:szCs w:val="21"/>
                          </w:rPr>
                        </w:pPr>
                        <w:r>
                          <w:rPr>
                            <w:rFonts w:hint="eastAsia"/>
                            <w:b/>
                            <w:bCs/>
                            <w:szCs w:val="21"/>
                          </w:rPr>
                          <w:t>流动资产：</w:t>
                        </w:r>
                      </w:p>
                    </w:tc>
                  </w:sdtContent>
                </w:sdt>
              </w:tr>
              <w:tr w:rsidR="00B637B2" w:rsidTr="00B637B2">
                <w:sdt>
                  <w:sdtPr>
                    <w:tag w:val="_PLD_74d515e6d6184499b93a2f64ac76312a"/>
                    <w:id w:val="1086808239"/>
                    <w:lock w:val="sdtLocked"/>
                  </w:sdtPr>
                  <w:sdtContent>
                    <w:tc>
                      <w:tcPr>
                        <w:tcW w:w="1765"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货币资金</w:t>
                        </w:r>
                      </w:p>
                    </w:tc>
                  </w:sdtContent>
                </w:sdt>
                <w:tc>
                  <w:tcPr>
                    <w:tcW w:w="1124" w:type="pct"/>
                    <w:tcBorders>
                      <w:top w:val="outset" w:sz="4" w:space="0" w:color="auto"/>
                      <w:left w:val="outset" w:sz="4" w:space="0" w:color="auto"/>
                      <w:bottom w:val="outset" w:sz="4" w:space="0" w:color="auto"/>
                      <w:right w:val="outset" w:sz="4" w:space="0" w:color="auto"/>
                    </w:tcBorders>
                    <w:vAlign w:val="center"/>
                  </w:tcPr>
                  <w:p w:rsidR="00B637B2" w:rsidRPr="00812D12" w:rsidRDefault="008F04CF" w:rsidP="00B637B2">
                    <w:pPr>
                      <w:jc w:val="right"/>
                    </w:pPr>
                    <w:r w:rsidRPr="00812D12">
                      <w:t>1,762,980,607</w:t>
                    </w:r>
                  </w:p>
                </w:tc>
                <w:tc>
                  <w:tcPr>
                    <w:tcW w:w="1125" w:type="pct"/>
                    <w:tcBorders>
                      <w:top w:val="outset" w:sz="4" w:space="0" w:color="auto"/>
                      <w:left w:val="outset" w:sz="4" w:space="0" w:color="auto"/>
                      <w:bottom w:val="outset" w:sz="4" w:space="0" w:color="auto"/>
                      <w:right w:val="outset" w:sz="4" w:space="0" w:color="auto"/>
                    </w:tcBorders>
                    <w:vAlign w:val="center"/>
                  </w:tcPr>
                  <w:p w:rsidR="00B637B2" w:rsidRPr="00812D12" w:rsidRDefault="008F04CF" w:rsidP="00B637B2">
                    <w:pPr>
                      <w:jc w:val="right"/>
                    </w:pPr>
                    <w:r w:rsidRPr="00812D12">
                      <w:t>1,762,980,607</w:t>
                    </w:r>
                  </w:p>
                </w:tc>
                <w:tc>
                  <w:tcPr>
                    <w:tcW w:w="986" w:type="pct"/>
                    <w:tcBorders>
                      <w:top w:val="outset" w:sz="4" w:space="0" w:color="auto"/>
                      <w:left w:val="outset" w:sz="4" w:space="0" w:color="auto"/>
                      <w:bottom w:val="outset" w:sz="4" w:space="0" w:color="auto"/>
                      <w:right w:val="outset" w:sz="4" w:space="0" w:color="auto"/>
                    </w:tcBorders>
                    <w:vAlign w:val="center"/>
                  </w:tcPr>
                  <w:p w:rsidR="00B637B2" w:rsidRPr="00812D12" w:rsidRDefault="00B637B2" w:rsidP="00B637B2">
                    <w:pPr>
                      <w:jc w:val="right"/>
                    </w:pPr>
                  </w:p>
                </w:tc>
              </w:tr>
              <w:tr w:rsidR="00B637B2" w:rsidTr="00B637B2">
                <w:tc>
                  <w:tcPr>
                    <w:tcW w:w="176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bce670f2a4240eeaa8e481be0a277f1"/>
                      <w:id w:val="1996840854"/>
                      <w:lock w:val="sdtLocked"/>
                    </w:sdtPr>
                    <w:sdtContent>
                      <w:p w:rsidR="00B637B2" w:rsidRDefault="008F04CF" w:rsidP="00B637B2">
                        <w:pPr>
                          <w:ind w:firstLineChars="100" w:firstLine="210"/>
                        </w:pPr>
                        <w:r>
                          <w:rPr>
                            <w:rFonts w:hint="eastAsia"/>
                          </w:rPr>
                          <w:t>交易性金融资产</w:t>
                        </w:r>
                      </w:p>
                    </w:sdtContent>
                  </w:sdt>
                </w:tc>
                <w:tc>
                  <w:tcPr>
                    <w:tcW w:w="1124" w:type="pct"/>
                    <w:tcBorders>
                      <w:top w:val="outset" w:sz="4" w:space="0" w:color="auto"/>
                      <w:left w:val="outset" w:sz="4" w:space="0" w:color="auto"/>
                      <w:bottom w:val="outset" w:sz="4" w:space="0" w:color="auto"/>
                      <w:right w:val="outset" w:sz="4" w:space="0" w:color="auto"/>
                    </w:tcBorders>
                    <w:vAlign w:val="center"/>
                  </w:tcPr>
                  <w:p w:rsidR="00B637B2" w:rsidRPr="00812D12" w:rsidRDefault="008F04CF" w:rsidP="00B637B2">
                    <w:pPr>
                      <w:jc w:val="right"/>
                    </w:pPr>
                    <w:r w:rsidRPr="00812D12">
                      <w:t>-</w:t>
                    </w:r>
                  </w:p>
                </w:tc>
                <w:tc>
                  <w:tcPr>
                    <w:tcW w:w="1125" w:type="pct"/>
                    <w:tcBorders>
                      <w:top w:val="outset" w:sz="4" w:space="0" w:color="auto"/>
                      <w:left w:val="outset" w:sz="4" w:space="0" w:color="auto"/>
                      <w:bottom w:val="outset" w:sz="4" w:space="0" w:color="auto"/>
                      <w:right w:val="outset" w:sz="4" w:space="0" w:color="auto"/>
                    </w:tcBorders>
                    <w:vAlign w:val="center"/>
                  </w:tcPr>
                  <w:p w:rsidR="00B637B2" w:rsidRPr="00812D12" w:rsidRDefault="008F04CF" w:rsidP="00B637B2">
                    <w:pPr>
                      <w:jc w:val="right"/>
                    </w:pPr>
                    <w:r w:rsidRPr="00812D12">
                      <w:t>7,961,642</w:t>
                    </w:r>
                  </w:p>
                </w:tc>
                <w:tc>
                  <w:tcPr>
                    <w:tcW w:w="986" w:type="pct"/>
                    <w:tcBorders>
                      <w:top w:val="outset" w:sz="4" w:space="0" w:color="auto"/>
                      <w:left w:val="outset" w:sz="4" w:space="0" w:color="auto"/>
                      <w:bottom w:val="outset" w:sz="4" w:space="0" w:color="auto"/>
                      <w:right w:val="outset" w:sz="4" w:space="0" w:color="auto"/>
                    </w:tcBorders>
                    <w:vAlign w:val="center"/>
                  </w:tcPr>
                  <w:p w:rsidR="00B637B2" w:rsidRPr="00812D12" w:rsidRDefault="008F04CF" w:rsidP="00B637B2">
                    <w:pPr>
                      <w:jc w:val="right"/>
                    </w:pPr>
                    <w:r w:rsidRPr="00812D12">
                      <w:t>7,961,642</w:t>
                    </w:r>
                  </w:p>
                </w:tc>
              </w:tr>
              <w:tr w:rsidR="00B637B2" w:rsidTr="00B637B2">
                <w:sdt>
                  <w:sdtPr>
                    <w:tag w:val="_PLD_d50e2572bcb44b2d946e9d57654a2030"/>
                    <w:id w:val="1606463406"/>
                    <w:lock w:val="sdtLocked"/>
                  </w:sdtPr>
                  <w:sdtContent>
                    <w:tc>
                      <w:tcPr>
                        <w:tcW w:w="1765"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以公允价值计量且其变动计入当期损益的金融资产</w:t>
                        </w:r>
                      </w:p>
                    </w:tc>
                  </w:sdtContent>
                </w:sdt>
                <w:tc>
                  <w:tcPr>
                    <w:tcW w:w="1124" w:type="pct"/>
                    <w:tcBorders>
                      <w:top w:val="outset" w:sz="4" w:space="0" w:color="auto"/>
                      <w:left w:val="outset" w:sz="4" w:space="0" w:color="auto"/>
                      <w:bottom w:val="outset" w:sz="4" w:space="0" w:color="auto"/>
                      <w:right w:val="outset" w:sz="4" w:space="0" w:color="auto"/>
                    </w:tcBorders>
                    <w:vAlign w:val="center"/>
                  </w:tcPr>
                  <w:p w:rsidR="00B637B2" w:rsidRPr="00812D12" w:rsidRDefault="008F04CF" w:rsidP="00B637B2">
                    <w:pPr>
                      <w:jc w:val="right"/>
                    </w:pPr>
                    <w:r w:rsidRPr="00812D12">
                      <w:t>-</w:t>
                    </w:r>
                  </w:p>
                </w:tc>
                <w:tc>
                  <w:tcPr>
                    <w:tcW w:w="1125" w:type="pct"/>
                    <w:tcBorders>
                      <w:top w:val="outset" w:sz="4" w:space="0" w:color="auto"/>
                      <w:left w:val="outset" w:sz="4" w:space="0" w:color="auto"/>
                      <w:bottom w:val="outset" w:sz="4" w:space="0" w:color="auto"/>
                      <w:right w:val="outset" w:sz="4" w:space="0" w:color="auto"/>
                    </w:tcBorders>
                    <w:vAlign w:val="center"/>
                  </w:tcPr>
                  <w:p w:rsidR="00B637B2" w:rsidRPr="00812D12" w:rsidRDefault="008F04CF" w:rsidP="00B637B2">
                    <w:pPr>
                      <w:jc w:val="right"/>
                    </w:pPr>
                    <w:r w:rsidRPr="00812D12">
                      <w:t>-</w:t>
                    </w:r>
                  </w:p>
                </w:tc>
                <w:tc>
                  <w:tcPr>
                    <w:tcW w:w="986" w:type="pct"/>
                    <w:tcBorders>
                      <w:top w:val="outset" w:sz="4" w:space="0" w:color="auto"/>
                      <w:left w:val="outset" w:sz="4" w:space="0" w:color="auto"/>
                      <w:bottom w:val="outset" w:sz="4" w:space="0" w:color="auto"/>
                      <w:right w:val="outset" w:sz="4" w:space="0" w:color="auto"/>
                    </w:tcBorders>
                    <w:vAlign w:val="center"/>
                  </w:tcPr>
                  <w:p w:rsidR="00B637B2" w:rsidRPr="00812D12" w:rsidRDefault="00B637B2" w:rsidP="00B637B2">
                    <w:pPr>
                      <w:jc w:val="right"/>
                    </w:pPr>
                  </w:p>
                </w:tc>
              </w:tr>
              <w:tr w:rsidR="00B637B2" w:rsidTr="00B637B2">
                <w:sdt>
                  <w:sdtPr>
                    <w:tag w:val="_PLD_ae75f8d2f5c14936a6818948d6cc2951"/>
                    <w:id w:val="127128950"/>
                    <w:lock w:val="sdtLocked"/>
                  </w:sdtPr>
                  <w:sdtContent>
                    <w:tc>
                      <w:tcPr>
                        <w:tcW w:w="1765"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衍生金融资产</w:t>
                        </w:r>
                      </w:p>
                    </w:tc>
                  </w:sdtContent>
                </w:sdt>
                <w:tc>
                  <w:tcPr>
                    <w:tcW w:w="1124" w:type="pct"/>
                    <w:tcBorders>
                      <w:top w:val="outset" w:sz="4" w:space="0" w:color="auto"/>
                      <w:left w:val="outset" w:sz="4" w:space="0" w:color="auto"/>
                      <w:bottom w:val="outset" w:sz="4" w:space="0" w:color="auto"/>
                      <w:right w:val="outset" w:sz="4" w:space="0" w:color="auto"/>
                    </w:tcBorders>
                    <w:vAlign w:val="center"/>
                  </w:tcPr>
                  <w:p w:rsidR="00B637B2" w:rsidRPr="00812D12" w:rsidRDefault="008F04CF" w:rsidP="00B637B2">
                    <w:pPr>
                      <w:jc w:val="right"/>
                    </w:pPr>
                    <w:r w:rsidRPr="00812D12">
                      <w:t>-</w:t>
                    </w:r>
                  </w:p>
                </w:tc>
                <w:tc>
                  <w:tcPr>
                    <w:tcW w:w="1125" w:type="pct"/>
                    <w:tcBorders>
                      <w:top w:val="outset" w:sz="4" w:space="0" w:color="auto"/>
                      <w:left w:val="outset" w:sz="4" w:space="0" w:color="auto"/>
                      <w:bottom w:val="outset" w:sz="4" w:space="0" w:color="auto"/>
                      <w:right w:val="outset" w:sz="4" w:space="0" w:color="auto"/>
                    </w:tcBorders>
                    <w:vAlign w:val="center"/>
                  </w:tcPr>
                  <w:p w:rsidR="00B637B2" w:rsidRPr="00812D12" w:rsidRDefault="008F04CF" w:rsidP="00B637B2">
                    <w:pPr>
                      <w:jc w:val="right"/>
                    </w:pPr>
                    <w:r w:rsidRPr="00812D12">
                      <w:t>-</w:t>
                    </w:r>
                  </w:p>
                </w:tc>
                <w:tc>
                  <w:tcPr>
                    <w:tcW w:w="986" w:type="pct"/>
                    <w:tcBorders>
                      <w:top w:val="outset" w:sz="4" w:space="0" w:color="auto"/>
                      <w:left w:val="outset" w:sz="4" w:space="0" w:color="auto"/>
                      <w:bottom w:val="outset" w:sz="4" w:space="0" w:color="auto"/>
                      <w:right w:val="outset" w:sz="4" w:space="0" w:color="auto"/>
                    </w:tcBorders>
                    <w:vAlign w:val="center"/>
                  </w:tcPr>
                  <w:p w:rsidR="00B637B2" w:rsidRPr="00812D12" w:rsidRDefault="00B637B2" w:rsidP="00B637B2">
                    <w:pPr>
                      <w:jc w:val="right"/>
                    </w:pPr>
                  </w:p>
                </w:tc>
              </w:tr>
              <w:tr w:rsidR="00B637B2" w:rsidTr="00B637B2">
                <w:sdt>
                  <w:sdtPr>
                    <w:tag w:val="_PLD_d38796d2735e412fbb2b548202f4f87a"/>
                    <w:id w:val="2135745493"/>
                    <w:lock w:val="sdtLocked"/>
                  </w:sdtPr>
                  <w:sdtContent>
                    <w:tc>
                      <w:tcPr>
                        <w:tcW w:w="1765"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应收票据</w:t>
                        </w:r>
                      </w:p>
                    </w:tc>
                  </w:sdtContent>
                </w:sdt>
                <w:tc>
                  <w:tcPr>
                    <w:tcW w:w="1124" w:type="pct"/>
                    <w:tcBorders>
                      <w:top w:val="outset" w:sz="4" w:space="0" w:color="auto"/>
                      <w:left w:val="outset" w:sz="4" w:space="0" w:color="auto"/>
                      <w:bottom w:val="outset" w:sz="4" w:space="0" w:color="auto"/>
                      <w:right w:val="outset" w:sz="4" w:space="0" w:color="auto"/>
                    </w:tcBorders>
                    <w:vAlign w:val="center"/>
                  </w:tcPr>
                  <w:p w:rsidR="00B637B2" w:rsidRPr="00812D12" w:rsidRDefault="008F04CF" w:rsidP="00B637B2">
                    <w:pPr>
                      <w:jc w:val="right"/>
                    </w:pPr>
                    <w:r w:rsidRPr="00812D12">
                      <w:t>89,998,500</w:t>
                    </w:r>
                  </w:p>
                </w:tc>
                <w:tc>
                  <w:tcPr>
                    <w:tcW w:w="1125" w:type="pct"/>
                    <w:tcBorders>
                      <w:top w:val="outset" w:sz="4" w:space="0" w:color="auto"/>
                      <w:left w:val="outset" w:sz="4" w:space="0" w:color="auto"/>
                      <w:bottom w:val="outset" w:sz="4" w:space="0" w:color="auto"/>
                      <w:right w:val="outset" w:sz="4" w:space="0" w:color="auto"/>
                    </w:tcBorders>
                    <w:vAlign w:val="center"/>
                  </w:tcPr>
                  <w:p w:rsidR="00B637B2" w:rsidRPr="00812D12" w:rsidRDefault="008F04CF" w:rsidP="00B637B2">
                    <w:pPr>
                      <w:jc w:val="right"/>
                    </w:pPr>
                    <w:r w:rsidRPr="00812D12">
                      <w:t>89,998,500</w:t>
                    </w:r>
                  </w:p>
                </w:tc>
                <w:tc>
                  <w:tcPr>
                    <w:tcW w:w="986" w:type="pct"/>
                    <w:tcBorders>
                      <w:top w:val="outset" w:sz="4" w:space="0" w:color="auto"/>
                      <w:left w:val="outset" w:sz="4" w:space="0" w:color="auto"/>
                      <w:bottom w:val="outset" w:sz="4" w:space="0" w:color="auto"/>
                      <w:right w:val="outset" w:sz="4" w:space="0" w:color="auto"/>
                    </w:tcBorders>
                    <w:vAlign w:val="center"/>
                  </w:tcPr>
                  <w:p w:rsidR="00B637B2" w:rsidRPr="00812D12" w:rsidRDefault="00B637B2" w:rsidP="00B637B2">
                    <w:pPr>
                      <w:jc w:val="right"/>
                    </w:pPr>
                  </w:p>
                </w:tc>
              </w:tr>
              <w:tr w:rsidR="00B637B2" w:rsidTr="00B637B2">
                <w:sdt>
                  <w:sdtPr>
                    <w:tag w:val="_PLD_330335623c744c63b1ff8fbca1c82725"/>
                    <w:id w:val="-766148289"/>
                    <w:lock w:val="sdtLocked"/>
                  </w:sdtPr>
                  <w:sdtContent>
                    <w:tc>
                      <w:tcPr>
                        <w:tcW w:w="1765"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应收账款</w:t>
                        </w:r>
                      </w:p>
                    </w:tc>
                  </w:sdtContent>
                </w:sdt>
                <w:tc>
                  <w:tcPr>
                    <w:tcW w:w="1124" w:type="pct"/>
                    <w:tcBorders>
                      <w:top w:val="outset" w:sz="4" w:space="0" w:color="auto"/>
                      <w:left w:val="outset" w:sz="4" w:space="0" w:color="auto"/>
                      <w:bottom w:val="outset" w:sz="4" w:space="0" w:color="auto"/>
                      <w:right w:val="outset" w:sz="4" w:space="0" w:color="auto"/>
                    </w:tcBorders>
                    <w:vAlign w:val="center"/>
                  </w:tcPr>
                  <w:p w:rsidR="00B637B2" w:rsidRPr="00812D12" w:rsidRDefault="008F04CF" w:rsidP="00B637B2">
                    <w:pPr>
                      <w:jc w:val="right"/>
                    </w:pPr>
                    <w:r w:rsidRPr="00812D12">
                      <w:t>606,199,417</w:t>
                    </w:r>
                  </w:p>
                </w:tc>
                <w:tc>
                  <w:tcPr>
                    <w:tcW w:w="1125" w:type="pct"/>
                    <w:tcBorders>
                      <w:top w:val="outset" w:sz="4" w:space="0" w:color="auto"/>
                      <w:left w:val="outset" w:sz="4" w:space="0" w:color="auto"/>
                      <w:bottom w:val="outset" w:sz="4" w:space="0" w:color="auto"/>
                      <w:right w:val="outset" w:sz="4" w:space="0" w:color="auto"/>
                    </w:tcBorders>
                    <w:vAlign w:val="center"/>
                  </w:tcPr>
                  <w:p w:rsidR="00B637B2" w:rsidRPr="00812D12" w:rsidRDefault="008F04CF" w:rsidP="00B637B2">
                    <w:pPr>
                      <w:jc w:val="right"/>
                    </w:pPr>
                    <w:r w:rsidRPr="00812D12">
                      <w:t>557,028,682</w:t>
                    </w:r>
                  </w:p>
                </w:tc>
                <w:tc>
                  <w:tcPr>
                    <w:tcW w:w="986" w:type="pct"/>
                    <w:tcBorders>
                      <w:top w:val="outset" w:sz="4" w:space="0" w:color="auto"/>
                      <w:left w:val="outset" w:sz="4" w:space="0" w:color="auto"/>
                      <w:bottom w:val="outset" w:sz="4" w:space="0" w:color="auto"/>
                      <w:right w:val="outset" w:sz="4" w:space="0" w:color="auto"/>
                    </w:tcBorders>
                    <w:vAlign w:val="center"/>
                  </w:tcPr>
                  <w:p w:rsidR="00B637B2" w:rsidRPr="00812D12" w:rsidRDefault="008F04CF" w:rsidP="00B637B2">
                    <w:pPr>
                      <w:jc w:val="right"/>
                    </w:pPr>
                    <w:r w:rsidRPr="00812D12">
                      <w:t>-49,170,735</w:t>
                    </w:r>
                  </w:p>
                </w:tc>
              </w:tr>
              <w:tr w:rsidR="00B637B2" w:rsidTr="00B637B2">
                <w:tc>
                  <w:tcPr>
                    <w:tcW w:w="176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9488865268f46f29f059c2d0282e38e"/>
                      <w:id w:val="-1170023026"/>
                      <w:lock w:val="sdtLocked"/>
                    </w:sdtPr>
                    <w:sdtContent>
                      <w:p w:rsidR="00B637B2" w:rsidRDefault="008F04CF" w:rsidP="00B637B2">
                        <w:pPr>
                          <w:ind w:firstLineChars="100" w:firstLine="210"/>
                        </w:pPr>
                        <w:r>
                          <w:rPr>
                            <w:rFonts w:hint="eastAsia"/>
                          </w:rPr>
                          <w:t>应收款项融资</w:t>
                        </w:r>
                      </w:p>
                    </w:sdtContent>
                  </w:sdt>
                </w:tc>
                <w:tc>
                  <w:tcPr>
                    <w:tcW w:w="1124" w:type="pct"/>
                    <w:tcBorders>
                      <w:top w:val="outset" w:sz="4" w:space="0" w:color="auto"/>
                      <w:left w:val="outset" w:sz="4" w:space="0" w:color="auto"/>
                      <w:bottom w:val="outset" w:sz="4" w:space="0" w:color="auto"/>
                      <w:right w:val="outset" w:sz="4" w:space="0" w:color="auto"/>
                    </w:tcBorders>
                    <w:vAlign w:val="center"/>
                  </w:tcPr>
                  <w:p w:rsidR="00B637B2" w:rsidRPr="00812D12" w:rsidRDefault="008F04CF" w:rsidP="00B637B2">
                    <w:pPr>
                      <w:jc w:val="right"/>
                    </w:pPr>
                    <w:r>
                      <w:rPr>
                        <w:rFonts w:hint="eastAsia"/>
                      </w:rPr>
                      <w:t>-</w:t>
                    </w:r>
                  </w:p>
                </w:tc>
                <w:tc>
                  <w:tcPr>
                    <w:tcW w:w="1125" w:type="pct"/>
                    <w:tcBorders>
                      <w:top w:val="outset" w:sz="4" w:space="0" w:color="auto"/>
                      <w:left w:val="outset" w:sz="4" w:space="0" w:color="auto"/>
                      <w:bottom w:val="outset" w:sz="4" w:space="0" w:color="auto"/>
                      <w:right w:val="outset" w:sz="4" w:space="0" w:color="auto"/>
                    </w:tcBorders>
                    <w:vAlign w:val="center"/>
                  </w:tcPr>
                  <w:p w:rsidR="00B637B2" w:rsidRPr="00812D12" w:rsidRDefault="008F04CF" w:rsidP="00B637B2">
                    <w:pPr>
                      <w:jc w:val="right"/>
                    </w:pPr>
                    <w:r>
                      <w:rPr>
                        <w:rFonts w:hint="eastAsia"/>
                      </w:rPr>
                      <w:t>-</w:t>
                    </w:r>
                  </w:p>
                </w:tc>
                <w:tc>
                  <w:tcPr>
                    <w:tcW w:w="986" w:type="pct"/>
                    <w:tcBorders>
                      <w:top w:val="outset" w:sz="4" w:space="0" w:color="auto"/>
                      <w:left w:val="outset" w:sz="4" w:space="0" w:color="auto"/>
                      <w:bottom w:val="outset" w:sz="4" w:space="0" w:color="auto"/>
                      <w:right w:val="outset" w:sz="4" w:space="0" w:color="auto"/>
                    </w:tcBorders>
                    <w:vAlign w:val="center"/>
                  </w:tcPr>
                  <w:p w:rsidR="00B637B2" w:rsidRPr="00812D12" w:rsidRDefault="00B637B2" w:rsidP="00B637B2">
                    <w:pPr>
                      <w:jc w:val="right"/>
                    </w:pPr>
                  </w:p>
                </w:tc>
              </w:tr>
              <w:tr w:rsidR="00B637B2" w:rsidTr="00B637B2">
                <w:sdt>
                  <w:sdtPr>
                    <w:tag w:val="_PLD_075402e44a9d4fec8c80849345f9a7ff"/>
                    <w:id w:val="-320117533"/>
                    <w:lock w:val="sdtLocked"/>
                  </w:sdtPr>
                  <w:sdtContent>
                    <w:tc>
                      <w:tcPr>
                        <w:tcW w:w="1765"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预付款项</w:t>
                        </w:r>
                      </w:p>
                    </w:tc>
                  </w:sdtContent>
                </w:sdt>
                <w:tc>
                  <w:tcPr>
                    <w:tcW w:w="1124" w:type="pct"/>
                    <w:tcBorders>
                      <w:top w:val="outset" w:sz="4" w:space="0" w:color="auto"/>
                      <w:left w:val="outset" w:sz="4" w:space="0" w:color="auto"/>
                      <w:bottom w:val="outset" w:sz="4" w:space="0" w:color="auto"/>
                      <w:right w:val="outset" w:sz="4" w:space="0" w:color="auto"/>
                    </w:tcBorders>
                    <w:vAlign w:val="center"/>
                  </w:tcPr>
                  <w:p w:rsidR="00B637B2" w:rsidRPr="00812D12" w:rsidRDefault="008F04CF" w:rsidP="00B637B2">
                    <w:pPr>
                      <w:jc w:val="right"/>
                    </w:pPr>
                    <w:r w:rsidRPr="00812D12">
                      <w:t>16,724,897</w:t>
                    </w:r>
                  </w:p>
                </w:tc>
                <w:tc>
                  <w:tcPr>
                    <w:tcW w:w="1125" w:type="pct"/>
                    <w:tcBorders>
                      <w:top w:val="outset" w:sz="4" w:space="0" w:color="auto"/>
                      <w:left w:val="outset" w:sz="4" w:space="0" w:color="auto"/>
                      <w:bottom w:val="outset" w:sz="4" w:space="0" w:color="auto"/>
                      <w:right w:val="outset" w:sz="4" w:space="0" w:color="auto"/>
                    </w:tcBorders>
                    <w:vAlign w:val="center"/>
                  </w:tcPr>
                  <w:p w:rsidR="00B637B2" w:rsidRPr="00812D12" w:rsidRDefault="008F04CF" w:rsidP="00B637B2">
                    <w:pPr>
                      <w:jc w:val="right"/>
                    </w:pPr>
                    <w:r w:rsidRPr="00812D12">
                      <w:t>16,724,897</w:t>
                    </w:r>
                  </w:p>
                </w:tc>
                <w:tc>
                  <w:tcPr>
                    <w:tcW w:w="986" w:type="pct"/>
                    <w:tcBorders>
                      <w:top w:val="outset" w:sz="4" w:space="0" w:color="auto"/>
                      <w:left w:val="outset" w:sz="4" w:space="0" w:color="auto"/>
                      <w:bottom w:val="outset" w:sz="4" w:space="0" w:color="auto"/>
                      <w:right w:val="outset" w:sz="4" w:space="0" w:color="auto"/>
                    </w:tcBorders>
                    <w:vAlign w:val="center"/>
                  </w:tcPr>
                  <w:p w:rsidR="00B637B2" w:rsidRPr="00812D12" w:rsidRDefault="00B637B2" w:rsidP="00B637B2">
                    <w:pPr>
                      <w:jc w:val="right"/>
                    </w:pPr>
                  </w:p>
                </w:tc>
              </w:tr>
              <w:tr w:rsidR="00B637B2" w:rsidTr="00B637B2">
                <w:sdt>
                  <w:sdtPr>
                    <w:tag w:val="_PLD_c2d0a7a6a8e64d7e876eef520833ed71"/>
                    <w:id w:val="-1268304623"/>
                    <w:lock w:val="sdtLocked"/>
                  </w:sdtPr>
                  <w:sdtContent>
                    <w:tc>
                      <w:tcPr>
                        <w:tcW w:w="1765"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其他应收款</w:t>
                        </w:r>
                      </w:p>
                    </w:tc>
                  </w:sdtContent>
                </w:sdt>
                <w:tc>
                  <w:tcPr>
                    <w:tcW w:w="1124" w:type="pct"/>
                    <w:tcBorders>
                      <w:top w:val="outset" w:sz="4" w:space="0" w:color="auto"/>
                      <w:left w:val="outset" w:sz="4" w:space="0" w:color="auto"/>
                      <w:bottom w:val="outset" w:sz="4" w:space="0" w:color="auto"/>
                      <w:right w:val="outset" w:sz="4" w:space="0" w:color="auto"/>
                    </w:tcBorders>
                    <w:vAlign w:val="center"/>
                  </w:tcPr>
                  <w:p w:rsidR="00B637B2" w:rsidRPr="00812D12" w:rsidRDefault="008F04CF" w:rsidP="00B637B2">
                    <w:pPr>
                      <w:jc w:val="right"/>
                    </w:pPr>
                    <w:r w:rsidRPr="00812D12">
                      <w:t>922,376,813</w:t>
                    </w:r>
                  </w:p>
                </w:tc>
                <w:tc>
                  <w:tcPr>
                    <w:tcW w:w="1125" w:type="pct"/>
                    <w:tcBorders>
                      <w:top w:val="outset" w:sz="4" w:space="0" w:color="auto"/>
                      <w:left w:val="outset" w:sz="4" w:space="0" w:color="auto"/>
                      <w:bottom w:val="outset" w:sz="4" w:space="0" w:color="auto"/>
                      <w:right w:val="outset" w:sz="4" w:space="0" w:color="auto"/>
                    </w:tcBorders>
                    <w:vAlign w:val="center"/>
                  </w:tcPr>
                  <w:p w:rsidR="00B637B2" w:rsidRPr="00812D12" w:rsidRDefault="008F04CF" w:rsidP="00B637B2">
                    <w:pPr>
                      <w:jc w:val="right"/>
                    </w:pPr>
                    <w:r w:rsidRPr="00812D12">
                      <w:t>920,038,562</w:t>
                    </w:r>
                  </w:p>
                </w:tc>
                <w:tc>
                  <w:tcPr>
                    <w:tcW w:w="986" w:type="pct"/>
                    <w:tcBorders>
                      <w:top w:val="outset" w:sz="4" w:space="0" w:color="auto"/>
                      <w:left w:val="outset" w:sz="4" w:space="0" w:color="auto"/>
                      <w:bottom w:val="outset" w:sz="4" w:space="0" w:color="auto"/>
                      <w:right w:val="outset" w:sz="4" w:space="0" w:color="auto"/>
                    </w:tcBorders>
                    <w:vAlign w:val="center"/>
                  </w:tcPr>
                  <w:p w:rsidR="00B637B2" w:rsidRPr="00812D12" w:rsidRDefault="008F04CF" w:rsidP="00B637B2">
                    <w:pPr>
                      <w:jc w:val="right"/>
                    </w:pPr>
                    <w:r w:rsidRPr="00812D12">
                      <w:t>-2,338,251</w:t>
                    </w:r>
                  </w:p>
                </w:tc>
              </w:tr>
              <w:tr w:rsidR="00B637B2" w:rsidTr="00B637B2">
                <w:sdt>
                  <w:sdtPr>
                    <w:tag w:val="_PLD_f4aedbe1c37746bd94298a5fa1ce694d"/>
                    <w:id w:val="232586798"/>
                    <w:lock w:val="sdtLocked"/>
                  </w:sdtPr>
                  <w:sdtContent>
                    <w:tc>
                      <w:tcPr>
                        <w:tcW w:w="1765"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rPr>
                          <w:t>其中：</w:t>
                        </w:r>
                        <w:r>
                          <w:rPr>
                            <w:rFonts w:hint="eastAsia"/>
                            <w:szCs w:val="21"/>
                          </w:rPr>
                          <w:t>应收利息</w:t>
                        </w:r>
                      </w:p>
                    </w:tc>
                  </w:sdtContent>
                </w:sdt>
                <w:tc>
                  <w:tcPr>
                    <w:tcW w:w="1124" w:type="pct"/>
                    <w:tcBorders>
                      <w:top w:val="outset" w:sz="4" w:space="0" w:color="auto"/>
                      <w:left w:val="outset" w:sz="4" w:space="0" w:color="auto"/>
                      <w:bottom w:val="outset" w:sz="4" w:space="0" w:color="auto"/>
                      <w:right w:val="outset" w:sz="4" w:space="0" w:color="auto"/>
                    </w:tcBorders>
                    <w:vAlign w:val="center"/>
                  </w:tcPr>
                  <w:p w:rsidR="00B637B2" w:rsidRPr="00812D12" w:rsidRDefault="008F04CF" w:rsidP="00B637B2">
                    <w:pPr>
                      <w:jc w:val="right"/>
                    </w:pPr>
                    <w:r w:rsidRPr="00812D12">
                      <w:t>-</w:t>
                    </w:r>
                  </w:p>
                </w:tc>
                <w:tc>
                  <w:tcPr>
                    <w:tcW w:w="1125" w:type="pct"/>
                    <w:tcBorders>
                      <w:top w:val="outset" w:sz="4" w:space="0" w:color="auto"/>
                      <w:left w:val="outset" w:sz="4" w:space="0" w:color="auto"/>
                      <w:bottom w:val="outset" w:sz="4" w:space="0" w:color="auto"/>
                      <w:right w:val="outset" w:sz="4" w:space="0" w:color="auto"/>
                    </w:tcBorders>
                    <w:vAlign w:val="center"/>
                  </w:tcPr>
                  <w:p w:rsidR="00B637B2" w:rsidRPr="00812D12" w:rsidRDefault="008F04CF" w:rsidP="00B637B2">
                    <w:pPr>
                      <w:jc w:val="right"/>
                    </w:pPr>
                    <w:r w:rsidRPr="00812D12">
                      <w:t>-</w:t>
                    </w:r>
                  </w:p>
                </w:tc>
                <w:tc>
                  <w:tcPr>
                    <w:tcW w:w="986" w:type="pct"/>
                    <w:tcBorders>
                      <w:top w:val="outset" w:sz="4" w:space="0" w:color="auto"/>
                      <w:left w:val="outset" w:sz="4" w:space="0" w:color="auto"/>
                      <w:bottom w:val="outset" w:sz="4" w:space="0" w:color="auto"/>
                      <w:right w:val="outset" w:sz="4" w:space="0" w:color="auto"/>
                    </w:tcBorders>
                    <w:vAlign w:val="center"/>
                  </w:tcPr>
                  <w:p w:rsidR="00B637B2" w:rsidRPr="00812D12" w:rsidRDefault="00B637B2" w:rsidP="00B637B2">
                    <w:pPr>
                      <w:jc w:val="right"/>
                    </w:pPr>
                  </w:p>
                </w:tc>
              </w:tr>
              <w:tr w:rsidR="00B637B2" w:rsidTr="00B637B2">
                <w:sdt>
                  <w:sdtPr>
                    <w:tag w:val="_PLD_52de14b1293c4f25af2be3d116cf9e85"/>
                    <w:id w:val="-1407760757"/>
                    <w:lock w:val="sdtLocked"/>
                  </w:sdtPr>
                  <w:sdtContent>
                    <w:tc>
                      <w:tcPr>
                        <w:tcW w:w="1765"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400" w:firstLine="840"/>
                          <w:rPr>
                            <w:szCs w:val="21"/>
                          </w:rPr>
                        </w:pPr>
                        <w:r>
                          <w:rPr>
                            <w:rFonts w:hint="eastAsia"/>
                            <w:szCs w:val="21"/>
                          </w:rPr>
                          <w:t>应收股利</w:t>
                        </w:r>
                      </w:p>
                    </w:tc>
                  </w:sdtContent>
                </w:sdt>
                <w:tc>
                  <w:tcPr>
                    <w:tcW w:w="1124" w:type="pct"/>
                    <w:tcBorders>
                      <w:top w:val="outset" w:sz="4" w:space="0" w:color="auto"/>
                      <w:left w:val="outset" w:sz="4" w:space="0" w:color="auto"/>
                      <w:bottom w:val="outset" w:sz="4" w:space="0" w:color="auto"/>
                      <w:right w:val="outset" w:sz="4" w:space="0" w:color="auto"/>
                    </w:tcBorders>
                    <w:vAlign w:val="center"/>
                  </w:tcPr>
                  <w:p w:rsidR="00B637B2" w:rsidRPr="00812D12" w:rsidRDefault="008F04CF" w:rsidP="00B637B2">
                    <w:pPr>
                      <w:jc w:val="right"/>
                    </w:pPr>
                    <w:r w:rsidRPr="00812D12">
                      <w:t>-</w:t>
                    </w:r>
                  </w:p>
                </w:tc>
                <w:tc>
                  <w:tcPr>
                    <w:tcW w:w="1125" w:type="pct"/>
                    <w:tcBorders>
                      <w:top w:val="outset" w:sz="4" w:space="0" w:color="auto"/>
                      <w:left w:val="outset" w:sz="4" w:space="0" w:color="auto"/>
                      <w:bottom w:val="outset" w:sz="4" w:space="0" w:color="auto"/>
                      <w:right w:val="outset" w:sz="4" w:space="0" w:color="auto"/>
                    </w:tcBorders>
                    <w:vAlign w:val="center"/>
                  </w:tcPr>
                  <w:p w:rsidR="00B637B2" w:rsidRPr="00812D12" w:rsidRDefault="008F04CF" w:rsidP="00B637B2">
                    <w:pPr>
                      <w:jc w:val="right"/>
                    </w:pPr>
                    <w:r w:rsidRPr="00812D12">
                      <w:t>-</w:t>
                    </w:r>
                  </w:p>
                </w:tc>
                <w:tc>
                  <w:tcPr>
                    <w:tcW w:w="986" w:type="pct"/>
                    <w:tcBorders>
                      <w:top w:val="outset" w:sz="4" w:space="0" w:color="auto"/>
                      <w:left w:val="outset" w:sz="4" w:space="0" w:color="auto"/>
                      <w:bottom w:val="outset" w:sz="4" w:space="0" w:color="auto"/>
                      <w:right w:val="outset" w:sz="4" w:space="0" w:color="auto"/>
                    </w:tcBorders>
                    <w:vAlign w:val="center"/>
                  </w:tcPr>
                  <w:p w:rsidR="00B637B2" w:rsidRPr="00812D12" w:rsidRDefault="00B637B2" w:rsidP="00B637B2">
                    <w:pPr>
                      <w:jc w:val="right"/>
                    </w:pPr>
                  </w:p>
                </w:tc>
              </w:tr>
              <w:tr w:rsidR="00B637B2" w:rsidTr="00B637B2">
                <w:sdt>
                  <w:sdtPr>
                    <w:tag w:val="_PLD_c7b0b124530948fbb30e06a409fd5565"/>
                    <w:id w:val="-1604335525"/>
                    <w:lock w:val="sdtLocked"/>
                  </w:sdtPr>
                  <w:sdtContent>
                    <w:tc>
                      <w:tcPr>
                        <w:tcW w:w="1765"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存货</w:t>
                        </w:r>
                      </w:p>
                    </w:tc>
                  </w:sdtContent>
                </w:sdt>
                <w:tc>
                  <w:tcPr>
                    <w:tcW w:w="1124" w:type="pct"/>
                    <w:tcBorders>
                      <w:top w:val="outset" w:sz="4" w:space="0" w:color="auto"/>
                      <w:left w:val="outset" w:sz="4" w:space="0" w:color="auto"/>
                      <w:bottom w:val="outset" w:sz="4" w:space="0" w:color="auto"/>
                      <w:right w:val="outset" w:sz="4" w:space="0" w:color="auto"/>
                    </w:tcBorders>
                    <w:vAlign w:val="center"/>
                  </w:tcPr>
                  <w:p w:rsidR="00B637B2" w:rsidRPr="00812D12" w:rsidRDefault="008F04CF" w:rsidP="00B637B2">
                    <w:pPr>
                      <w:jc w:val="right"/>
                    </w:pPr>
                    <w:r w:rsidRPr="00812D12">
                      <w:t>7,782,625</w:t>
                    </w:r>
                  </w:p>
                </w:tc>
                <w:tc>
                  <w:tcPr>
                    <w:tcW w:w="1125" w:type="pct"/>
                    <w:tcBorders>
                      <w:top w:val="outset" w:sz="4" w:space="0" w:color="auto"/>
                      <w:left w:val="outset" w:sz="4" w:space="0" w:color="auto"/>
                      <w:bottom w:val="outset" w:sz="4" w:space="0" w:color="auto"/>
                      <w:right w:val="outset" w:sz="4" w:space="0" w:color="auto"/>
                    </w:tcBorders>
                    <w:vAlign w:val="center"/>
                  </w:tcPr>
                  <w:p w:rsidR="00B637B2" w:rsidRPr="00812D12" w:rsidRDefault="008F04CF" w:rsidP="00B637B2">
                    <w:pPr>
                      <w:jc w:val="right"/>
                    </w:pPr>
                    <w:r w:rsidRPr="00812D12">
                      <w:t>7,782,625</w:t>
                    </w:r>
                  </w:p>
                </w:tc>
                <w:tc>
                  <w:tcPr>
                    <w:tcW w:w="986" w:type="pct"/>
                    <w:tcBorders>
                      <w:top w:val="outset" w:sz="4" w:space="0" w:color="auto"/>
                      <w:left w:val="outset" w:sz="4" w:space="0" w:color="auto"/>
                      <w:bottom w:val="outset" w:sz="4" w:space="0" w:color="auto"/>
                      <w:right w:val="outset" w:sz="4" w:space="0" w:color="auto"/>
                    </w:tcBorders>
                    <w:vAlign w:val="center"/>
                  </w:tcPr>
                  <w:p w:rsidR="00B637B2" w:rsidRPr="00812D12" w:rsidRDefault="00B637B2" w:rsidP="00B637B2">
                    <w:pPr>
                      <w:jc w:val="right"/>
                    </w:pPr>
                  </w:p>
                </w:tc>
              </w:tr>
              <w:tr w:rsidR="00B637B2" w:rsidTr="00B637B2">
                <w:tc>
                  <w:tcPr>
                    <w:tcW w:w="176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9161e7eb66949c8ae57a598e14e7c20"/>
                      <w:id w:val="-1501507234"/>
                      <w:lock w:val="sdtLocked"/>
                    </w:sdtPr>
                    <w:sdtContent>
                      <w:p w:rsidR="00B637B2" w:rsidRDefault="008F04CF" w:rsidP="00B637B2">
                        <w:pPr>
                          <w:ind w:firstLineChars="100" w:firstLine="210"/>
                        </w:pPr>
                        <w:r>
                          <w:rPr>
                            <w:rFonts w:hint="eastAsia"/>
                          </w:rPr>
                          <w:t>合同资产</w:t>
                        </w:r>
                      </w:p>
                    </w:sdtContent>
                  </w:sdt>
                </w:tc>
                <w:tc>
                  <w:tcPr>
                    <w:tcW w:w="1124" w:type="pct"/>
                    <w:tcBorders>
                      <w:top w:val="outset" w:sz="4" w:space="0" w:color="auto"/>
                      <w:left w:val="outset" w:sz="4" w:space="0" w:color="auto"/>
                      <w:bottom w:val="outset" w:sz="4" w:space="0" w:color="auto"/>
                      <w:right w:val="outset" w:sz="4" w:space="0" w:color="auto"/>
                    </w:tcBorders>
                    <w:vAlign w:val="center"/>
                  </w:tcPr>
                  <w:p w:rsidR="00B637B2" w:rsidRPr="00812D12" w:rsidRDefault="008F04CF" w:rsidP="00B637B2">
                    <w:pPr>
                      <w:jc w:val="right"/>
                    </w:pPr>
                    <w:r w:rsidRPr="00812D12">
                      <w:t>-</w:t>
                    </w:r>
                  </w:p>
                </w:tc>
                <w:tc>
                  <w:tcPr>
                    <w:tcW w:w="1125" w:type="pct"/>
                    <w:tcBorders>
                      <w:top w:val="outset" w:sz="4" w:space="0" w:color="auto"/>
                      <w:left w:val="outset" w:sz="4" w:space="0" w:color="auto"/>
                      <w:bottom w:val="outset" w:sz="4" w:space="0" w:color="auto"/>
                      <w:right w:val="outset" w:sz="4" w:space="0" w:color="auto"/>
                    </w:tcBorders>
                    <w:vAlign w:val="center"/>
                  </w:tcPr>
                  <w:p w:rsidR="00B637B2" w:rsidRPr="00812D12" w:rsidRDefault="008F04CF" w:rsidP="00B637B2">
                    <w:pPr>
                      <w:jc w:val="right"/>
                    </w:pPr>
                    <w:r w:rsidRPr="00812D12">
                      <w:t>-</w:t>
                    </w:r>
                  </w:p>
                </w:tc>
                <w:tc>
                  <w:tcPr>
                    <w:tcW w:w="986" w:type="pct"/>
                    <w:tcBorders>
                      <w:top w:val="outset" w:sz="4" w:space="0" w:color="auto"/>
                      <w:left w:val="outset" w:sz="4" w:space="0" w:color="auto"/>
                      <w:bottom w:val="outset" w:sz="4" w:space="0" w:color="auto"/>
                      <w:right w:val="outset" w:sz="4" w:space="0" w:color="auto"/>
                    </w:tcBorders>
                    <w:vAlign w:val="center"/>
                  </w:tcPr>
                  <w:p w:rsidR="00B637B2" w:rsidRPr="00812D12" w:rsidRDefault="00B637B2" w:rsidP="00B637B2">
                    <w:pPr>
                      <w:jc w:val="right"/>
                    </w:pPr>
                  </w:p>
                </w:tc>
              </w:tr>
              <w:tr w:rsidR="00B637B2" w:rsidTr="00B637B2">
                <w:sdt>
                  <w:sdtPr>
                    <w:tag w:val="_PLD_425e5328b0a240e59b878c6d6e9636a3"/>
                    <w:id w:val="2120331894"/>
                    <w:lock w:val="sdtLocked"/>
                  </w:sdtPr>
                  <w:sdtContent>
                    <w:tc>
                      <w:tcPr>
                        <w:tcW w:w="1765"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持有待售资产</w:t>
                        </w:r>
                      </w:p>
                    </w:tc>
                  </w:sdtContent>
                </w:sdt>
                <w:tc>
                  <w:tcPr>
                    <w:tcW w:w="1124" w:type="pct"/>
                    <w:tcBorders>
                      <w:top w:val="outset" w:sz="4" w:space="0" w:color="auto"/>
                      <w:left w:val="outset" w:sz="4" w:space="0" w:color="auto"/>
                      <w:bottom w:val="outset" w:sz="4" w:space="0" w:color="auto"/>
                      <w:right w:val="outset" w:sz="4" w:space="0" w:color="auto"/>
                    </w:tcBorders>
                    <w:vAlign w:val="center"/>
                  </w:tcPr>
                  <w:p w:rsidR="00B637B2" w:rsidRPr="00812D12" w:rsidRDefault="008F04CF" w:rsidP="00B637B2">
                    <w:pPr>
                      <w:jc w:val="right"/>
                    </w:pPr>
                    <w:r w:rsidRPr="00812D12">
                      <w:t>-</w:t>
                    </w:r>
                  </w:p>
                </w:tc>
                <w:tc>
                  <w:tcPr>
                    <w:tcW w:w="1125" w:type="pct"/>
                    <w:tcBorders>
                      <w:top w:val="outset" w:sz="4" w:space="0" w:color="auto"/>
                      <w:left w:val="outset" w:sz="4" w:space="0" w:color="auto"/>
                      <w:bottom w:val="outset" w:sz="4" w:space="0" w:color="auto"/>
                      <w:right w:val="outset" w:sz="4" w:space="0" w:color="auto"/>
                    </w:tcBorders>
                    <w:vAlign w:val="center"/>
                  </w:tcPr>
                  <w:p w:rsidR="00B637B2" w:rsidRPr="00812D12" w:rsidRDefault="008F04CF" w:rsidP="00B637B2">
                    <w:pPr>
                      <w:jc w:val="right"/>
                    </w:pPr>
                    <w:r w:rsidRPr="00812D12">
                      <w:t>-</w:t>
                    </w:r>
                  </w:p>
                </w:tc>
                <w:tc>
                  <w:tcPr>
                    <w:tcW w:w="986" w:type="pct"/>
                    <w:tcBorders>
                      <w:top w:val="outset" w:sz="4" w:space="0" w:color="auto"/>
                      <w:left w:val="outset" w:sz="4" w:space="0" w:color="auto"/>
                      <w:bottom w:val="outset" w:sz="4" w:space="0" w:color="auto"/>
                      <w:right w:val="outset" w:sz="4" w:space="0" w:color="auto"/>
                    </w:tcBorders>
                    <w:vAlign w:val="center"/>
                  </w:tcPr>
                  <w:p w:rsidR="00B637B2" w:rsidRPr="00812D12" w:rsidRDefault="00B637B2" w:rsidP="00B637B2">
                    <w:pPr>
                      <w:jc w:val="right"/>
                    </w:pPr>
                  </w:p>
                </w:tc>
              </w:tr>
              <w:tr w:rsidR="00B637B2" w:rsidTr="00B637B2">
                <w:sdt>
                  <w:sdtPr>
                    <w:tag w:val="_PLD_632efccee98548b68b34b43db7e78ee1"/>
                    <w:id w:val="-926812550"/>
                    <w:lock w:val="sdtLocked"/>
                  </w:sdtPr>
                  <w:sdtContent>
                    <w:tc>
                      <w:tcPr>
                        <w:tcW w:w="1765"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一年内到期的非流动资产</w:t>
                        </w:r>
                      </w:p>
                    </w:tc>
                  </w:sdtContent>
                </w:sdt>
                <w:tc>
                  <w:tcPr>
                    <w:tcW w:w="1124" w:type="pct"/>
                    <w:tcBorders>
                      <w:top w:val="outset" w:sz="4" w:space="0" w:color="auto"/>
                      <w:left w:val="outset" w:sz="4" w:space="0" w:color="auto"/>
                      <w:bottom w:val="outset" w:sz="4" w:space="0" w:color="auto"/>
                      <w:right w:val="outset" w:sz="4" w:space="0" w:color="auto"/>
                    </w:tcBorders>
                    <w:vAlign w:val="center"/>
                  </w:tcPr>
                  <w:p w:rsidR="00B637B2" w:rsidRPr="00812D12" w:rsidRDefault="008F04CF" w:rsidP="00B637B2">
                    <w:pPr>
                      <w:jc w:val="right"/>
                    </w:pPr>
                    <w:r w:rsidRPr="00812D12">
                      <w:t>-</w:t>
                    </w:r>
                  </w:p>
                </w:tc>
                <w:tc>
                  <w:tcPr>
                    <w:tcW w:w="1125" w:type="pct"/>
                    <w:tcBorders>
                      <w:top w:val="outset" w:sz="4" w:space="0" w:color="auto"/>
                      <w:left w:val="outset" w:sz="4" w:space="0" w:color="auto"/>
                      <w:bottom w:val="outset" w:sz="4" w:space="0" w:color="auto"/>
                      <w:right w:val="outset" w:sz="4" w:space="0" w:color="auto"/>
                    </w:tcBorders>
                    <w:vAlign w:val="center"/>
                  </w:tcPr>
                  <w:p w:rsidR="00B637B2" w:rsidRPr="00812D12" w:rsidRDefault="008F04CF" w:rsidP="00B637B2">
                    <w:pPr>
                      <w:jc w:val="right"/>
                    </w:pPr>
                    <w:r w:rsidRPr="00812D12">
                      <w:t>-</w:t>
                    </w:r>
                  </w:p>
                </w:tc>
                <w:tc>
                  <w:tcPr>
                    <w:tcW w:w="986" w:type="pct"/>
                    <w:tcBorders>
                      <w:top w:val="outset" w:sz="4" w:space="0" w:color="auto"/>
                      <w:left w:val="outset" w:sz="4" w:space="0" w:color="auto"/>
                      <w:bottom w:val="outset" w:sz="4" w:space="0" w:color="auto"/>
                      <w:right w:val="outset" w:sz="4" w:space="0" w:color="auto"/>
                    </w:tcBorders>
                    <w:vAlign w:val="center"/>
                  </w:tcPr>
                  <w:p w:rsidR="00B637B2" w:rsidRPr="00812D12" w:rsidRDefault="00B637B2" w:rsidP="00B637B2">
                    <w:pPr>
                      <w:jc w:val="right"/>
                    </w:pPr>
                  </w:p>
                </w:tc>
              </w:tr>
              <w:tr w:rsidR="00B637B2" w:rsidTr="00B637B2">
                <w:sdt>
                  <w:sdtPr>
                    <w:tag w:val="_PLD_1f0292fdc6a84de4bb5b1513e1206a77"/>
                    <w:id w:val="262654307"/>
                    <w:lock w:val="sdtLocked"/>
                  </w:sdtPr>
                  <w:sdtContent>
                    <w:tc>
                      <w:tcPr>
                        <w:tcW w:w="1765"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其他流动资产</w:t>
                        </w:r>
                      </w:p>
                    </w:tc>
                  </w:sdtContent>
                </w:sdt>
                <w:tc>
                  <w:tcPr>
                    <w:tcW w:w="1124" w:type="pct"/>
                    <w:tcBorders>
                      <w:top w:val="outset" w:sz="4" w:space="0" w:color="auto"/>
                      <w:left w:val="outset" w:sz="4" w:space="0" w:color="auto"/>
                      <w:bottom w:val="outset" w:sz="4" w:space="0" w:color="auto"/>
                      <w:right w:val="outset" w:sz="4" w:space="0" w:color="auto"/>
                    </w:tcBorders>
                    <w:vAlign w:val="center"/>
                  </w:tcPr>
                  <w:p w:rsidR="00B637B2" w:rsidRPr="00812D12" w:rsidRDefault="008F04CF" w:rsidP="00B637B2">
                    <w:pPr>
                      <w:jc w:val="right"/>
                    </w:pPr>
                    <w:r w:rsidRPr="00812D12">
                      <w:t>250,536,934</w:t>
                    </w:r>
                  </w:p>
                </w:tc>
                <w:tc>
                  <w:tcPr>
                    <w:tcW w:w="1125" w:type="pct"/>
                    <w:tcBorders>
                      <w:top w:val="outset" w:sz="4" w:space="0" w:color="auto"/>
                      <w:left w:val="outset" w:sz="4" w:space="0" w:color="auto"/>
                      <w:bottom w:val="outset" w:sz="4" w:space="0" w:color="auto"/>
                      <w:right w:val="outset" w:sz="4" w:space="0" w:color="auto"/>
                    </w:tcBorders>
                    <w:vAlign w:val="center"/>
                  </w:tcPr>
                  <w:p w:rsidR="00B637B2" w:rsidRPr="00812D12" w:rsidRDefault="008F04CF" w:rsidP="00B637B2">
                    <w:pPr>
                      <w:jc w:val="right"/>
                    </w:pPr>
                    <w:r w:rsidRPr="00812D12">
                      <w:t>242,586,934</w:t>
                    </w:r>
                  </w:p>
                </w:tc>
                <w:tc>
                  <w:tcPr>
                    <w:tcW w:w="986" w:type="pct"/>
                    <w:tcBorders>
                      <w:top w:val="outset" w:sz="4" w:space="0" w:color="auto"/>
                      <w:left w:val="outset" w:sz="4" w:space="0" w:color="auto"/>
                      <w:bottom w:val="outset" w:sz="4" w:space="0" w:color="auto"/>
                      <w:right w:val="outset" w:sz="4" w:space="0" w:color="auto"/>
                    </w:tcBorders>
                    <w:vAlign w:val="center"/>
                  </w:tcPr>
                  <w:p w:rsidR="00B637B2" w:rsidRPr="00812D12" w:rsidRDefault="008F04CF" w:rsidP="00B637B2">
                    <w:pPr>
                      <w:jc w:val="right"/>
                    </w:pPr>
                    <w:r w:rsidRPr="00812D12">
                      <w:t>-7,950,000</w:t>
                    </w:r>
                  </w:p>
                </w:tc>
              </w:tr>
              <w:tr w:rsidR="00B637B2" w:rsidTr="00B637B2">
                <w:sdt>
                  <w:sdtPr>
                    <w:tag w:val="_PLD_18bb3148590e45af9975783b03139934"/>
                    <w:id w:val="862792144"/>
                    <w:lock w:val="sdtLocked"/>
                  </w:sdtPr>
                  <w:sdtContent>
                    <w:tc>
                      <w:tcPr>
                        <w:tcW w:w="1765"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200" w:firstLine="420"/>
                          <w:rPr>
                            <w:szCs w:val="21"/>
                          </w:rPr>
                        </w:pPr>
                        <w:r>
                          <w:rPr>
                            <w:rFonts w:hint="eastAsia"/>
                            <w:szCs w:val="21"/>
                          </w:rPr>
                          <w:t>流动资产合计</w:t>
                        </w:r>
                      </w:p>
                    </w:tc>
                  </w:sdtContent>
                </w:sdt>
                <w:tc>
                  <w:tcPr>
                    <w:tcW w:w="1124" w:type="pct"/>
                    <w:tcBorders>
                      <w:top w:val="outset" w:sz="4" w:space="0" w:color="auto"/>
                      <w:left w:val="outset" w:sz="4" w:space="0" w:color="auto"/>
                      <w:bottom w:val="outset" w:sz="4" w:space="0" w:color="auto"/>
                      <w:right w:val="outset" w:sz="4" w:space="0" w:color="auto"/>
                    </w:tcBorders>
                    <w:vAlign w:val="center"/>
                  </w:tcPr>
                  <w:p w:rsidR="00B637B2" w:rsidRPr="00812D12" w:rsidRDefault="008F04CF" w:rsidP="00B637B2">
                    <w:pPr>
                      <w:jc w:val="right"/>
                    </w:pPr>
                    <w:r w:rsidRPr="00812D12">
                      <w:t>3,656,599,793</w:t>
                    </w:r>
                  </w:p>
                </w:tc>
                <w:tc>
                  <w:tcPr>
                    <w:tcW w:w="1125" w:type="pct"/>
                    <w:tcBorders>
                      <w:top w:val="outset" w:sz="4" w:space="0" w:color="auto"/>
                      <w:left w:val="outset" w:sz="4" w:space="0" w:color="auto"/>
                      <w:bottom w:val="outset" w:sz="4" w:space="0" w:color="auto"/>
                      <w:right w:val="outset" w:sz="4" w:space="0" w:color="auto"/>
                    </w:tcBorders>
                    <w:vAlign w:val="center"/>
                  </w:tcPr>
                  <w:p w:rsidR="00B637B2" w:rsidRPr="00812D12" w:rsidRDefault="008F04CF" w:rsidP="00B637B2">
                    <w:pPr>
                      <w:jc w:val="right"/>
                    </w:pPr>
                    <w:r w:rsidRPr="00812D12">
                      <w:t>3,605,102,449</w:t>
                    </w:r>
                  </w:p>
                </w:tc>
                <w:tc>
                  <w:tcPr>
                    <w:tcW w:w="986" w:type="pct"/>
                    <w:tcBorders>
                      <w:top w:val="outset" w:sz="4" w:space="0" w:color="auto"/>
                      <w:left w:val="outset" w:sz="4" w:space="0" w:color="auto"/>
                      <w:bottom w:val="outset" w:sz="4" w:space="0" w:color="auto"/>
                      <w:right w:val="outset" w:sz="4" w:space="0" w:color="auto"/>
                    </w:tcBorders>
                    <w:vAlign w:val="center"/>
                  </w:tcPr>
                  <w:p w:rsidR="00B637B2" w:rsidRPr="00812D12" w:rsidRDefault="008F04CF" w:rsidP="00B637B2">
                    <w:pPr>
                      <w:jc w:val="right"/>
                    </w:pPr>
                    <w:r w:rsidRPr="00812D12">
                      <w:t>-51,497,344</w:t>
                    </w:r>
                  </w:p>
                </w:tc>
              </w:tr>
              <w:tr w:rsidR="00B637B2" w:rsidTr="00B637B2">
                <w:sdt>
                  <w:sdtPr>
                    <w:tag w:val="_PLD_32045b1e965f45488a253d2d0cb1dd0d"/>
                    <w:id w:val="1559442195"/>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B637B2" w:rsidRDefault="008F04CF" w:rsidP="00B637B2">
                        <w:pPr>
                          <w:rPr>
                            <w:color w:val="008000"/>
                            <w:szCs w:val="21"/>
                          </w:rPr>
                        </w:pPr>
                        <w:r>
                          <w:rPr>
                            <w:rFonts w:hint="eastAsia"/>
                            <w:b/>
                            <w:bCs/>
                            <w:szCs w:val="21"/>
                          </w:rPr>
                          <w:t>非流动资产：</w:t>
                        </w:r>
                      </w:p>
                    </w:tc>
                  </w:sdtContent>
                </w:sdt>
              </w:tr>
              <w:tr w:rsidR="00B637B2" w:rsidTr="00B637B2">
                <w:tc>
                  <w:tcPr>
                    <w:tcW w:w="176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bbd781a1b9664fec8afde1775d5cd963"/>
                      <w:id w:val="-1500583609"/>
                      <w:lock w:val="sdtLocked"/>
                    </w:sdtPr>
                    <w:sdtContent>
                      <w:p w:rsidR="00B637B2" w:rsidRDefault="008F04CF" w:rsidP="00B637B2">
                        <w:pPr>
                          <w:ind w:firstLineChars="100" w:firstLine="210"/>
                        </w:pPr>
                        <w:r>
                          <w:rPr>
                            <w:rFonts w:hint="eastAsia"/>
                          </w:rPr>
                          <w:t>债权投资</w:t>
                        </w:r>
                      </w:p>
                    </w:sdtContent>
                  </w:sdt>
                </w:tc>
                <w:tc>
                  <w:tcPr>
                    <w:tcW w:w="1124" w:type="pct"/>
                    <w:tcBorders>
                      <w:top w:val="outset" w:sz="4" w:space="0" w:color="auto"/>
                      <w:left w:val="outset" w:sz="4" w:space="0" w:color="auto"/>
                      <w:bottom w:val="outset" w:sz="4" w:space="0" w:color="auto"/>
                      <w:right w:val="outset" w:sz="4" w:space="0" w:color="auto"/>
                    </w:tcBorders>
                    <w:vAlign w:val="center"/>
                  </w:tcPr>
                  <w:p w:rsidR="00B637B2" w:rsidRPr="007E1E54" w:rsidRDefault="008F04CF" w:rsidP="00B637B2">
                    <w:pPr>
                      <w:jc w:val="right"/>
                    </w:pPr>
                    <w:r w:rsidRPr="007E1E54">
                      <w:t>-</w:t>
                    </w:r>
                  </w:p>
                </w:tc>
                <w:tc>
                  <w:tcPr>
                    <w:tcW w:w="1125" w:type="pct"/>
                    <w:tcBorders>
                      <w:top w:val="outset" w:sz="4" w:space="0" w:color="auto"/>
                      <w:left w:val="outset" w:sz="4" w:space="0" w:color="auto"/>
                      <w:bottom w:val="outset" w:sz="4" w:space="0" w:color="auto"/>
                      <w:right w:val="outset" w:sz="4" w:space="0" w:color="auto"/>
                    </w:tcBorders>
                    <w:vAlign w:val="center"/>
                  </w:tcPr>
                  <w:p w:rsidR="00B637B2" w:rsidRPr="007E1E54" w:rsidRDefault="008F04CF" w:rsidP="00B637B2">
                    <w:pPr>
                      <w:jc w:val="right"/>
                    </w:pPr>
                    <w:r>
                      <w:rPr>
                        <w:rFonts w:hint="eastAsia"/>
                      </w:rPr>
                      <w:t>-</w:t>
                    </w:r>
                  </w:p>
                </w:tc>
                <w:tc>
                  <w:tcPr>
                    <w:tcW w:w="986" w:type="pct"/>
                    <w:tcBorders>
                      <w:top w:val="outset" w:sz="4" w:space="0" w:color="auto"/>
                      <w:left w:val="outset" w:sz="4" w:space="0" w:color="auto"/>
                      <w:bottom w:val="outset" w:sz="4" w:space="0" w:color="auto"/>
                      <w:right w:val="outset" w:sz="4" w:space="0" w:color="auto"/>
                    </w:tcBorders>
                    <w:vAlign w:val="center"/>
                  </w:tcPr>
                  <w:p w:rsidR="00B637B2" w:rsidRPr="007E1E54" w:rsidRDefault="00B637B2" w:rsidP="00B637B2">
                    <w:pPr>
                      <w:jc w:val="right"/>
                    </w:pPr>
                  </w:p>
                </w:tc>
              </w:tr>
              <w:tr w:rsidR="00B637B2" w:rsidTr="00B637B2">
                <w:sdt>
                  <w:sdtPr>
                    <w:tag w:val="_PLD_a605f54c25a44b5899465f29b1b8bedd"/>
                    <w:id w:val="-1456707294"/>
                    <w:lock w:val="sdtLocked"/>
                  </w:sdtPr>
                  <w:sdtContent>
                    <w:tc>
                      <w:tcPr>
                        <w:tcW w:w="1765"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可供出售金融资产</w:t>
                        </w:r>
                      </w:p>
                    </w:tc>
                  </w:sdtContent>
                </w:sdt>
                <w:tc>
                  <w:tcPr>
                    <w:tcW w:w="1124" w:type="pct"/>
                    <w:tcBorders>
                      <w:top w:val="outset" w:sz="4" w:space="0" w:color="auto"/>
                      <w:left w:val="outset" w:sz="4" w:space="0" w:color="auto"/>
                      <w:bottom w:val="outset" w:sz="4" w:space="0" w:color="auto"/>
                      <w:right w:val="outset" w:sz="4" w:space="0" w:color="auto"/>
                    </w:tcBorders>
                    <w:vAlign w:val="center"/>
                  </w:tcPr>
                  <w:p w:rsidR="00B637B2" w:rsidRPr="007E1E54" w:rsidRDefault="008F04CF" w:rsidP="00B637B2">
                    <w:pPr>
                      <w:jc w:val="right"/>
                    </w:pPr>
                    <w:r w:rsidRPr="000D6AF6">
                      <w:t>585,401,962</w:t>
                    </w:r>
                  </w:p>
                </w:tc>
                <w:tc>
                  <w:tcPr>
                    <w:tcW w:w="1125" w:type="pct"/>
                    <w:tcBorders>
                      <w:top w:val="outset" w:sz="4" w:space="0" w:color="auto"/>
                      <w:left w:val="outset" w:sz="4" w:space="0" w:color="auto"/>
                      <w:bottom w:val="outset" w:sz="4" w:space="0" w:color="auto"/>
                      <w:right w:val="outset" w:sz="4" w:space="0" w:color="auto"/>
                    </w:tcBorders>
                    <w:vAlign w:val="center"/>
                  </w:tcPr>
                  <w:p w:rsidR="00B637B2" w:rsidRPr="007E1E54" w:rsidRDefault="008F04CF" w:rsidP="00B637B2">
                    <w:pPr>
                      <w:jc w:val="right"/>
                    </w:pPr>
                    <w:r w:rsidRPr="007E1E54">
                      <w:t>-</w:t>
                    </w:r>
                  </w:p>
                </w:tc>
                <w:tc>
                  <w:tcPr>
                    <w:tcW w:w="986" w:type="pct"/>
                    <w:tcBorders>
                      <w:top w:val="outset" w:sz="4" w:space="0" w:color="auto"/>
                      <w:left w:val="outset" w:sz="4" w:space="0" w:color="auto"/>
                      <w:bottom w:val="outset" w:sz="4" w:space="0" w:color="auto"/>
                      <w:right w:val="outset" w:sz="4" w:space="0" w:color="auto"/>
                    </w:tcBorders>
                    <w:vAlign w:val="center"/>
                  </w:tcPr>
                  <w:p w:rsidR="00B637B2" w:rsidRPr="007E1E54" w:rsidRDefault="008F04CF" w:rsidP="00B637B2">
                    <w:pPr>
                      <w:jc w:val="right"/>
                    </w:pPr>
                    <w:r w:rsidRPr="000D6AF6">
                      <w:t>-585,401,962</w:t>
                    </w:r>
                  </w:p>
                </w:tc>
              </w:tr>
              <w:tr w:rsidR="00B637B2" w:rsidTr="00B637B2">
                <w:tc>
                  <w:tcPr>
                    <w:tcW w:w="176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2f6e093da4342b6984f0c97e8feb021"/>
                      <w:id w:val="-1652202114"/>
                      <w:lock w:val="sdtLocked"/>
                    </w:sdtPr>
                    <w:sdtContent>
                      <w:p w:rsidR="00B637B2" w:rsidRDefault="008F04CF" w:rsidP="00B637B2">
                        <w:pPr>
                          <w:ind w:firstLineChars="100" w:firstLine="210"/>
                        </w:pPr>
                        <w:r>
                          <w:rPr>
                            <w:rFonts w:hint="eastAsia"/>
                          </w:rPr>
                          <w:t>其他债权投资</w:t>
                        </w:r>
                      </w:p>
                    </w:sdtContent>
                  </w:sdt>
                </w:tc>
                <w:tc>
                  <w:tcPr>
                    <w:tcW w:w="1124" w:type="pct"/>
                    <w:tcBorders>
                      <w:top w:val="outset" w:sz="4" w:space="0" w:color="auto"/>
                      <w:left w:val="outset" w:sz="4" w:space="0" w:color="auto"/>
                      <w:bottom w:val="outset" w:sz="4" w:space="0" w:color="auto"/>
                      <w:right w:val="outset" w:sz="4" w:space="0" w:color="auto"/>
                    </w:tcBorders>
                    <w:vAlign w:val="center"/>
                  </w:tcPr>
                  <w:p w:rsidR="00B637B2" w:rsidRPr="007E1E54" w:rsidRDefault="008F04CF" w:rsidP="00B637B2">
                    <w:pPr>
                      <w:jc w:val="right"/>
                    </w:pPr>
                    <w:r>
                      <w:rPr>
                        <w:rFonts w:hint="eastAsia"/>
                      </w:rPr>
                      <w:t>-</w:t>
                    </w:r>
                  </w:p>
                </w:tc>
                <w:tc>
                  <w:tcPr>
                    <w:tcW w:w="1125" w:type="pct"/>
                    <w:tcBorders>
                      <w:top w:val="outset" w:sz="4" w:space="0" w:color="auto"/>
                      <w:left w:val="outset" w:sz="4" w:space="0" w:color="auto"/>
                      <w:bottom w:val="outset" w:sz="4" w:space="0" w:color="auto"/>
                      <w:right w:val="outset" w:sz="4" w:space="0" w:color="auto"/>
                    </w:tcBorders>
                    <w:vAlign w:val="center"/>
                  </w:tcPr>
                  <w:p w:rsidR="00B637B2" w:rsidRPr="007E1E54" w:rsidRDefault="008F04CF" w:rsidP="00B637B2">
                    <w:pPr>
                      <w:jc w:val="right"/>
                    </w:pPr>
                    <w:r>
                      <w:rPr>
                        <w:rFonts w:hint="eastAsia"/>
                      </w:rPr>
                      <w:t>-</w:t>
                    </w:r>
                  </w:p>
                </w:tc>
                <w:tc>
                  <w:tcPr>
                    <w:tcW w:w="986" w:type="pct"/>
                    <w:tcBorders>
                      <w:top w:val="outset" w:sz="4" w:space="0" w:color="auto"/>
                      <w:left w:val="outset" w:sz="4" w:space="0" w:color="auto"/>
                      <w:bottom w:val="outset" w:sz="4" w:space="0" w:color="auto"/>
                      <w:right w:val="outset" w:sz="4" w:space="0" w:color="auto"/>
                    </w:tcBorders>
                    <w:vAlign w:val="center"/>
                  </w:tcPr>
                  <w:p w:rsidR="00B637B2" w:rsidRPr="007E1E54" w:rsidRDefault="00B637B2" w:rsidP="00B637B2">
                    <w:pPr>
                      <w:jc w:val="right"/>
                    </w:pPr>
                  </w:p>
                </w:tc>
              </w:tr>
              <w:tr w:rsidR="00B637B2" w:rsidTr="00B637B2">
                <w:sdt>
                  <w:sdtPr>
                    <w:tag w:val="_PLD_e177567cb7dd4cb493ddacd578914e61"/>
                    <w:id w:val="-468430872"/>
                    <w:lock w:val="sdtLocked"/>
                  </w:sdtPr>
                  <w:sdtContent>
                    <w:tc>
                      <w:tcPr>
                        <w:tcW w:w="1765"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持有至到期投资</w:t>
                        </w:r>
                      </w:p>
                    </w:tc>
                  </w:sdtContent>
                </w:sdt>
                <w:tc>
                  <w:tcPr>
                    <w:tcW w:w="1124" w:type="pct"/>
                    <w:tcBorders>
                      <w:top w:val="outset" w:sz="4" w:space="0" w:color="auto"/>
                      <w:left w:val="outset" w:sz="4" w:space="0" w:color="auto"/>
                      <w:bottom w:val="outset" w:sz="4" w:space="0" w:color="auto"/>
                      <w:right w:val="outset" w:sz="4" w:space="0" w:color="auto"/>
                    </w:tcBorders>
                    <w:vAlign w:val="center"/>
                  </w:tcPr>
                  <w:p w:rsidR="00B637B2" w:rsidRPr="007E1E54" w:rsidRDefault="008F04CF" w:rsidP="00B637B2">
                    <w:pPr>
                      <w:jc w:val="right"/>
                    </w:pPr>
                    <w:r w:rsidRPr="007E1E54">
                      <w:t>-</w:t>
                    </w:r>
                  </w:p>
                </w:tc>
                <w:tc>
                  <w:tcPr>
                    <w:tcW w:w="1125" w:type="pct"/>
                    <w:tcBorders>
                      <w:top w:val="outset" w:sz="4" w:space="0" w:color="auto"/>
                      <w:left w:val="outset" w:sz="4" w:space="0" w:color="auto"/>
                      <w:bottom w:val="outset" w:sz="4" w:space="0" w:color="auto"/>
                      <w:right w:val="outset" w:sz="4" w:space="0" w:color="auto"/>
                    </w:tcBorders>
                    <w:vAlign w:val="center"/>
                  </w:tcPr>
                  <w:p w:rsidR="00B637B2" w:rsidRPr="007E1E54" w:rsidRDefault="008F04CF" w:rsidP="00B637B2">
                    <w:pPr>
                      <w:jc w:val="right"/>
                    </w:pPr>
                    <w:r w:rsidRPr="007E1E54">
                      <w:t>-</w:t>
                    </w:r>
                  </w:p>
                </w:tc>
                <w:tc>
                  <w:tcPr>
                    <w:tcW w:w="986" w:type="pct"/>
                    <w:tcBorders>
                      <w:top w:val="outset" w:sz="4" w:space="0" w:color="auto"/>
                      <w:left w:val="outset" w:sz="4" w:space="0" w:color="auto"/>
                      <w:bottom w:val="outset" w:sz="4" w:space="0" w:color="auto"/>
                      <w:right w:val="outset" w:sz="4" w:space="0" w:color="auto"/>
                    </w:tcBorders>
                    <w:vAlign w:val="center"/>
                  </w:tcPr>
                  <w:p w:rsidR="00B637B2" w:rsidRPr="007E1E54" w:rsidRDefault="00B637B2" w:rsidP="00B637B2">
                    <w:pPr>
                      <w:jc w:val="right"/>
                    </w:pPr>
                  </w:p>
                </w:tc>
              </w:tr>
              <w:tr w:rsidR="00B637B2" w:rsidTr="00B637B2">
                <w:sdt>
                  <w:sdtPr>
                    <w:tag w:val="_PLD_b5e78a65ad3e4a80bf6991e93db7bf56"/>
                    <w:id w:val="-761445955"/>
                    <w:lock w:val="sdtLocked"/>
                  </w:sdtPr>
                  <w:sdtContent>
                    <w:tc>
                      <w:tcPr>
                        <w:tcW w:w="1765"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长期应收款</w:t>
                        </w:r>
                      </w:p>
                    </w:tc>
                  </w:sdtContent>
                </w:sdt>
                <w:tc>
                  <w:tcPr>
                    <w:tcW w:w="1124" w:type="pct"/>
                    <w:tcBorders>
                      <w:top w:val="outset" w:sz="4" w:space="0" w:color="auto"/>
                      <w:left w:val="outset" w:sz="4" w:space="0" w:color="auto"/>
                      <w:bottom w:val="outset" w:sz="4" w:space="0" w:color="auto"/>
                      <w:right w:val="outset" w:sz="4" w:space="0" w:color="auto"/>
                    </w:tcBorders>
                    <w:vAlign w:val="center"/>
                  </w:tcPr>
                  <w:p w:rsidR="00B637B2" w:rsidRPr="007E1E54" w:rsidRDefault="008F04CF" w:rsidP="00B637B2">
                    <w:pPr>
                      <w:jc w:val="right"/>
                    </w:pPr>
                    <w:r w:rsidRPr="007E1E54">
                      <w:t>-</w:t>
                    </w:r>
                  </w:p>
                </w:tc>
                <w:tc>
                  <w:tcPr>
                    <w:tcW w:w="1125" w:type="pct"/>
                    <w:tcBorders>
                      <w:top w:val="outset" w:sz="4" w:space="0" w:color="auto"/>
                      <w:left w:val="outset" w:sz="4" w:space="0" w:color="auto"/>
                      <w:bottom w:val="outset" w:sz="4" w:space="0" w:color="auto"/>
                      <w:right w:val="outset" w:sz="4" w:space="0" w:color="auto"/>
                    </w:tcBorders>
                    <w:vAlign w:val="center"/>
                  </w:tcPr>
                  <w:p w:rsidR="00B637B2" w:rsidRPr="007E1E54" w:rsidRDefault="008F04CF" w:rsidP="00B637B2">
                    <w:pPr>
                      <w:jc w:val="right"/>
                    </w:pPr>
                    <w:r w:rsidRPr="007E1E54">
                      <w:t>-</w:t>
                    </w:r>
                  </w:p>
                </w:tc>
                <w:tc>
                  <w:tcPr>
                    <w:tcW w:w="986" w:type="pct"/>
                    <w:tcBorders>
                      <w:top w:val="outset" w:sz="4" w:space="0" w:color="auto"/>
                      <w:left w:val="outset" w:sz="4" w:space="0" w:color="auto"/>
                      <w:bottom w:val="outset" w:sz="4" w:space="0" w:color="auto"/>
                      <w:right w:val="outset" w:sz="4" w:space="0" w:color="auto"/>
                    </w:tcBorders>
                    <w:vAlign w:val="center"/>
                  </w:tcPr>
                  <w:p w:rsidR="00B637B2" w:rsidRPr="007E1E54" w:rsidRDefault="00B637B2" w:rsidP="00B637B2">
                    <w:pPr>
                      <w:jc w:val="right"/>
                    </w:pPr>
                  </w:p>
                </w:tc>
              </w:tr>
              <w:tr w:rsidR="00B637B2" w:rsidTr="00B637B2">
                <w:sdt>
                  <w:sdtPr>
                    <w:tag w:val="_PLD_977fb30cb6c9428e94fad6ae22cf3201"/>
                    <w:id w:val="1359318769"/>
                    <w:lock w:val="sdtLocked"/>
                  </w:sdtPr>
                  <w:sdtContent>
                    <w:tc>
                      <w:tcPr>
                        <w:tcW w:w="1765"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长期股权投资</w:t>
                        </w:r>
                      </w:p>
                    </w:tc>
                  </w:sdtContent>
                </w:sdt>
                <w:tc>
                  <w:tcPr>
                    <w:tcW w:w="1124" w:type="pct"/>
                    <w:tcBorders>
                      <w:top w:val="outset" w:sz="4" w:space="0" w:color="auto"/>
                      <w:left w:val="outset" w:sz="4" w:space="0" w:color="auto"/>
                      <w:bottom w:val="outset" w:sz="4" w:space="0" w:color="auto"/>
                      <w:right w:val="outset" w:sz="4" w:space="0" w:color="auto"/>
                    </w:tcBorders>
                    <w:vAlign w:val="center"/>
                  </w:tcPr>
                  <w:p w:rsidR="00B637B2" w:rsidRPr="007E1E54" w:rsidRDefault="008F04CF" w:rsidP="00B637B2">
                    <w:pPr>
                      <w:jc w:val="right"/>
                    </w:pPr>
                    <w:r w:rsidRPr="007E1E54">
                      <w:t>4,610,304,544</w:t>
                    </w:r>
                  </w:p>
                </w:tc>
                <w:tc>
                  <w:tcPr>
                    <w:tcW w:w="1125" w:type="pct"/>
                    <w:tcBorders>
                      <w:top w:val="outset" w:sz="4" w:space="0" w:color="auto"/>
                      <w:left w:val="outset" w:sz="4" w:space="0" w:color="auto"/>
                      <w:bottom w:val="outset" w:sz="4" w:space="0" w:color="auto"/>
                      <w:right w:val="outset" w:sz="4" w:space="0" w:color="auto"/>
                    </w:tcBorders>
                    <w:vAlign w:val="center"/>
                  </w:tcPr>
                  <w:p w:rsidR="00B637B2" w:rsidRPr="007E1E54" w:rsidRDefault="008F04CF" w:rsidP="00B637B2">
                    <w:pPr>
                      <w:jc w:val="right"/>
                    </w:pPr>
                    <w:r w:rsidRPr="007E1E54">
                      <w:t>4,610,304,544</w:t>
                    </w:r>
                  </w:p>
                </w:tc>
                <w:tc>
                  <w:tcPr>
                    <w:tcW w:w="986" w:type="pct"/>
                    <w:tcBorders>
                      <w:top w:val="outset" w:sz="4" w:space="0" w:color="auto"/>
                      <w:left w:val="outset" w:sz="4" w:space="0" w:color="auto"/>
                      <w:bottom w:val="outset" w:sz="4" w:space="0" w:color="auto"/>
                      <w:right w:val="outset" w:sz="4" w:space="0" w:color="auto"/>
                    </w:tcBorders>
                    <w:vAlign w:val="center"/>
                  </w:tcPr>
                  <w:p w:rsidR="00B637B2" w:rsidRPr="007E1E54" w:rsidRDefault="00B637B2" w:rsidP="00B637B2">
                    <w:pPr>
                      <w:jc w:val="right"/>
                    </w:pPr>
                  </w:p>
                </w:tc>
              </w:tr>
              <w:tr w:rsidR="00B637B2" w:rsidTr="00B637B2">
                <w:tc>
                  <w:tcPr>
                    <w:tcW w:w="176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8fa4799edfb2488aa60a2aa44ca44c75"/>
                      <w:id w:val="315607889"/>
                      <w:lock w:val="sdtLocked"/>
                    </w:sdtPr>
                    <w:sdtContent>
                      <w:p w:rsidR="00B637B2" w:rsidRDefault="008F04CF" w:rsidP="00B637B2">
                        <w:pPr>
                          <w:ind w:firstLineChars="100" w:firstLine="210"/>
                        </w:pPr>
                        <w:r>
                          <w:rPr>
                            <w:rFonts w:hint="eastAsia"/>
                          </w:rPr>
                          <w:t>其他权益工具投资</w:t>
                        </w:r>
                      </w:p>
                    </w:sdtContent>
                  </w:sdt>
                </w:tc>
                <w:tc>
                  <w:tcPr>
                    <w:tcW w:w="1124" w:type="pct"/>
                    <w:tcBorders>
                      <w:top w:val="outset" w:sz="4" w:space="0" w:color="auto"/>
                      <w:left w:val="outset" w:sz="4" w:space="0" w:color="auto"/>
                      <w:bottom w:val="outset" w:sz="4" w:space="0" w:color="auto"/>
                      <w:right w:val="outset" w:sz="4" w:space="0" w:color="auto"/>
                    </w:tcBorders>
                    <w:vAlign w:val="center"/>
                  </w:tcPr>
                  <w:p w:rsidR="00B637B2" w:rsidRPr="007E1E54" w:rsidRDefault="008F04CF" w:rsidP="00B637B2">
                    <w:pPr>
                      <w:jc w:val="right"/>
                    </w:pPr>
                    <w:r w:rsidRPr="007E1E54">
                      <w:t>-</w:t>
                    </w:r>
                  </w:p>
                </w:tc>
                <w:tc>
                  <w:tcPr>
                    <w:tcW w:w="1125" w:type="pct"/>
                    <w:tcBorders>
                      <w:top w:val="outset" w:sz="4" w:space="0" w:color="auto"/>
                      <w:left w:val="outset" w:sz="4" w:space="0" w:color="auto"/>
                      <w:bottom w:val="outset" w:sz="4" w:space="0" w:color="auto"/>
                      <w:right w:val="outset" w:sz="4" w:space="0" w:color="auto"/>
                    </w:tcBorders>
                    <w:vAlign w:val="center"/>
                  </w:tcPr>
                  <w:p w:rsidR="00B637B2" w:rsidRPr="007E1E54" w:rsidRDefault="008F04CF" w:rsidP="00B637B2">
                    <w:pPr>
                      <w:jc w:val="right"/>
                    </w:pPr>
                    <w:r w:rsidRPr="007E1E54">
                      <w:t>-</w:t>
                    </w:r>
                  </w:p>
                </w:tc>
                <w:tc>
                  <w:tcPr>
                    <w:tcW w:w="986" w:type="pct"/>
                    <w:tcBorders>
                      <w:top w:val="outset" w:sz="4" w:space="0" w:color="auto"/>
                      <w:left w:val="outset" w:sz="4" w:space="0" w:color="auto"/>
                      <w:bottom w:val="outset" w:sz="4" w:space="0" w:color="auto"/>
                      <w:right w:val="outset" w:sz="4" w:space="0" w:color="auto"/>
                    </w:tcBorders>
                    <w:vAlign w:val="center"/>
                  </w:tcPr>
                  <w:p w:rsidR="00B637B2" w:rsidRPr="007E1E54" w:rsidRDefault="00B637B2" w:rsidP="00B637B2">
                    <w:pPr>
                      <w:jc w:val="right"/>
                    </w:pPr>
                  </w:p>
                </w:tc>
              </w:tr>
              <w:tr w:rsidR="00B637B2" w:rsidTr="00B637B2">
                <w:tc>
                  <w:tcPr>
                    <w:tcW w:w="176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61844f1a7304fd6b2a6710353978835"/>
                      <w:id w:val="970334481"/>
                      <w:lock w:val="sdtLocked"/>
                    </w:sdtPr>
                    <w:sdtContent>
                      <w:p w:rsidR="00B637B2" w:rsidRDefault="008F04CF" w:rsidP="00B637B2">
                        <w:pPr>
                          <w:ind w:firstLineChars="100" w:firstLine="210"/>
                        </w:pPr>
                        <w:r>
                          <w:rPr>
                            <w:rFonts w:hint="eastAsia"/>
                          </w:rPr>
                          <w:t>其他非流动金融资产</w:t>
                        </w:r>
                      </w:p>
                    </w:sdtContent>
                  </w:sdt>
                </w:tc>
                <w:tc>
                  <w:tcPr>
                    <w:tcW w:w="1124" w:type="pct"/>
                    <w:tcBorders>
                      <w:top w:val="outset" w:sz="4" w:space="0" w:color="auto"/>
                      <w:left w:val="outset" w:sz="4" w:space="0" w:color="auto"/>
                      <w:bottom w:val="outset" w:sz="4" w:space="0" w:color="auto"/>
                      <w:right w:val="outset" w:sz="4" w:space="0" w:color="auto"/>
                    </w:tcBorders>
                    <w:vAlign w:val="center"/>
                  </w:tcPr>
                  <w:p w:rsidR="00B637B2" w:rsidRPr="007E1E54" w:rsidRDefault="008F04CF" w:rsidP="00B637B2">
                    <w:pPr>
                      <w:jc w:val="right"/>
                    </w:pPr>
                    <w:r>
                      <w:rPr>
                        <w:rFonts w:hint="eastAsia"/>
                      </w:rPr>
                      <w:t>-</w:t>
                    </w:r>
                  </w:p>
                </w:tc>
                <w:tc>
                  <w:tcPr>
                    <w:tcW w:w="1125" w:type="pct"/>
                    <w:tcBorders>
                      <w:top w:val="outset" w:sz="4" w:space="0" w:color="auto"/>
                      <w:left w:val="outset" w:sz="4" w:space="0" w:color="auto"/>
                      <w:bottom w:val="outset" w:sz="4" w:space="0" w:color="auto"/>
                      <w:right w:val="outset" w:sz="4" w:space="0" w:color="auto"/>
                    </w:tcBorders>
                    <w:vAlign w:val="center"/>
                  </w:tcPr>
                  <w:p w:rsidR="00B637B2" w:rsidRPr="007E1E54" w:rsidRDefault="008F04CF" w:rsidP="00B637B2">
                    <w:pPr>
                      <w:jc w:val="right"/>
                    </w:pPr>
                    <w:r w:rsidRPr="000D6AF6">
                      <w:t>735,999,657</w:t>
                    </w:r>
                  </w:p>
                </w:tc>
                <w:tc>
                  <w:tcPr>
                    <w:tcW w:w="986" w:type="pct"/>
                    <w:tcBorders>
                      <w:top w:val="outset" w:sz="4" w:space="0" w:color="auto"/>
                      <w:left w:val="outset" w:sz="4" w:space="0" w:color="auto"/>
                      <w:bottom w:val="outset" w:sz="4" w:space="0" w:color="auto"/>
                      <w:right w:val="outset" w:sz="4" w:space="0" w:color="auto"/>
                    </w:tcBorders>
                    <w:vAlign w:val="center"/>
                  </w:tcPr>
                  <w:p w:rsidR="00B637B2" w:rsidRPr="007E1E54" w:rsidRDefault="008F04CF" w:rsidP="00B637B2">
                    <w:pPr>
                      <w:jc w:val="right"/>
                    </w:pPr>
                    <w:r w:rsidRPr="000D6AF6">
                      <w:t>735,999,657</w:t>
                    </w:r>
                  </w:p>
                </w:tc>
              </w:tr>
              <w:tr w:rsidR="00B637B2" w:rsidTr="00B637B2">
                <w:sdt>
                  <w:sdtPr>
                    <w:tag w:val="_PLD_923eb7718b5b46499e26c674a192c4ff"/>
                    <w:id w:val="-742256105"/>
                    <w:lock w:val="sdtLocked"/>
                  </w:sdtPr>
                  <w:sdtContent>
                    <w:tc>
                      <w:tcPr>
                        <w:tcW w:w="1765"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投资性房地产</w:t>
                        </w:r>
                      </w:p>
                    </w:tc>
                  </w:sdtContent>
                </w:sdt>
                <w:tc>
                  <w:tcPr>
                    <w:tcW w:w="1124" w:type="pct"/>
                    <w:tcBorders>
                      <w:top w:val="outset" w:sz="4" w:space="0" w:color="auto"/>
                      <w:left w:val="outset" w:sz="4" w:space="0" w:color="auto"/>
                      <w:bottom w:val="outset" w:sz="4" w:space="0" w:color="auto"/>
                      <w:right w:val="outset" w:sz="4" w:space="0" w:color="auto"/>
                    </w:tcBorders>
                    <w:vAlign w:val="center"/>
                  </w:tcPr>
                  <w:p w:rsidR="00B637B2" w:rsidRPr="007E1E54" w:rsidRDefault="008F04CF" w:rsidP="00B637B2">
                    <w:pPr>
                      <w:jc w:val="right"/>
                    </w:pPr>
                    <w:r w:rsidRPr="007E1E54">
                      <w:t>-</w:t>
                    </w:r>
                  </w:p>
                </w:tc>
                <w:tc>
                  <w:tcPr>
                    <w:tcW w:w="1125" w:type="pct"/>
                    <w:tcBorders>
                      <w:top w:val="outset" w:sz="4" w:space="0" w:color="auto"/>
                      <w:left w:val="outset" w:sz="4" w:space="0" w:color="auto"/>
                      <w:bottom w:val="outset" w:sz="4" w:space="0" w:color="auto"/>
                      <w:right w:val="outset" w:sz="4" w:space="0" w:color="auto"/>
                    </w:tcBorders>
                    <w:vAlign w:val="center"/>
                  </w:tcPr>
                  <w:p w:rsidR="00B637B2" w:rsidRPr="007E1E54" w:rsidRDefault="008F04CF" w:rsidP="00B637B2">
                    <w:pPr>
                      <w:jc w:val="right"/>
                    </w:pPr>
                    <w:r w:rsidRPr="007E1E54">
                      <w:t>-</w:t>
                    </w:r>
                  </w:p>
                </w:tc>
                <w:tc>
                  <w:tcPr>
                    <w:tcW w:w="986" w:type="pct"/>
                    <w:tcBorders>
                      <w:top w:val="outset" w:sz="4" w:space="0" w:color="auto"/>
                      <w:left w:val="outset" w:sz="4" w:space="0" w:color="auto"/>
                      <w:bottom w:val="outset" w:sz="4" w:space="0" w:color="auto"/>
                      <w:right w:val="outset" w:sz="4" w:space="0" w:color="auto"/>
                    </w:tcBorders>
                    <w:vAlign w:val="center"/>
                  </w:tcPr>
                  <w:p w:rsidR="00B637B2" w:rsidRPr="007E1E54" w:rsidRDefault="00B637B2" w:rsidP="00B637B2">
                    <w:pPr>
                      <w:jc w:val="right"/>
                    </w:pPr>
                  </w:p>
                </w:tc>
              </w:tr>
              <w:tr w:rsidR="00B637B2" w:rsidTr="00B637B2">
                <w:sdt>
                  <w:sdtPr>
                    <w:tag w:val="_PLD_f782e0f6f8eb4d55b6200e2b80225924"/>
                    <w:id w:val="1026450290"/>
                    <w:lock w:val="sdtLocked"/>
                  </w:sdtPr>
                  <w:sdtContent>
                    <w:tc>
                      <w:tcPr>
                        <w:tcW w:w="1765"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固定资产</w:t>
                        </w:r>
                      </w:p>
                    </w:tc>
                  </w:sdtContent>
                </w:sdt>
                <w:tc>
                  <w:tcPr>
                    <w:tcW w:w="1124" w:type="pct"/>
                    <w:tcBorders>
                      <w:top w:val="outset" w:sz="4" w:space="0" w:color="auto"/>
                      <w:left w:val="outset" w:sz="4" w:space="0" w:color="auto"/>
                      <w:bottom w:val="outset" w:sz="4" w:space="0" w:color="auto"/>
                      <w:right w:val="outset" w:sz="4" w:space="0" w:color="auto"/>
                    </w:tcBorders>
                    <w:vAlign w:val="center"/>
                  </w:tcPr>
                  <w:p w:rsidR="00B637B2" w:rsidRPr="007E1E54" w:rsidRDefault="008F04CF" w:rsidP="00B637B2">
                    <w:pPr>
                      <w:jc w:val="right"/>
                    </w:pPr>
                    <w:r w:rsidRPr="007E1E54">
                      <w:t>1,648,380,701</w:t>
                    </w:r>
                  </w:p>
                </w:tc>
                <w:tc>
                  <w:tcPr>
                    <w:tcW w:w="1125" w:type="pct"/>
                    <w:tcBorders>
                      <w:top w:val="outset" w:sz="4" w:space="0" w:color="auto"/>
                      <w:left w:val="outset" w:sz="4" w:space="0" w:color="auto"/>
                      <w:bottom w:val="outset" w:sz="4" w:space="0" w:color="auto"/>
                      <w:right w:val="outset" w:sz="4" w:space="0" w:color="auto"/>
                    </w:tcBorders>
                    <w:vAlign w:val="center"/>
                  </w:tcPr>
                  <w:p w:rsidR="00B637B2" w:rsidRPr="007E1E54" w:rsidRDefault="008F04CF" w:rsidP="00B637B2">
                    <w:pPr>
                      <w:jc w:val="right"/>
                    </w:pPr>
                    <w:r w:rsidRPr="007E1E54">
                      <w:t>1,648,380,701</w:t>
                    </w:r>
                  </w:p>
                </w:tc>
                <w:tc>
                  <w:tcPr>
                    <w:tcW w:w="986" w:type="pct"/>
                    <w:tcBorders>
                      <w:top w:val="outset" w:sz="4" w:space="0" w:color="auto"/>
                      <w:left w:val="outset" w:sz="4" w:space="0" w:color="auto"/>
                      <w:bottom w:val="outset" w:sz="4" w:space="0" w:color="auto"/>
                      <w:right w:val="outset" w:sz="4" w:space="0" w:color="auto"/>
                    </w:tcBorders>
                    <w:vAlign w:val="center"/>
                  </w:tcPr>
                  <w:p w:rsidR="00B637B2" w:rsidRPr="007E1E54" w:rsidRDefault="00B637B2" w:rsidP="00B637B2">
                    <w:pPr>
                      <w:jc w:val="right"/>
                    </w:pPr>
                  </w:p>
                </w:tc>
              </w:tr>
              <w:tr w:rsidR="00B637B2" w:rsidTr="00B637B2">
                <w:sdt>
                  <w:sdtPr>
                    <w:tag w:val="_PLD_9888fe85522948d98e1ac835c1f1dd6c"/>
                    <w:id w:val="1402565828"/>
                    <w:lock w:val="sdtLocked"/>
                  </w:sdtPr>
                  <w:sdtContent>
                    <w:tc>
                      <w:tcPr>
                        <w:tcW w:w="1765"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在建工程</w:t>
                        </w:r>
                      </w:p>
                    </w:tc>
                  </w:sdtContent>
                </w:sdt>
                <w:tc>
                  <w:tcPr>
                    <w:tcW w:w="1124" w:type="pct"/>
                    <w:tcBorders>
                      <w:top w:val="outset" w:sz="4" w:space="0" w:color="auto"/>
                      <w:left w:val="outset" w:sz="4" w:space="0" w:color="auto"/>
                      <w:bottom w:val="outset" w:sz="4" w:space="0" w:color="auto"/>
                      <w:right w:val="outset" w:sz="4" w:space="0" w:color="auto"/>
                    </w:tcBorders>
                    <w:vAlign w:val="center"/>
                  </w:tcPr>
                  <w:p w:rsidR="00B637B2" w:rsidRPr="007E1E54" w:rsidRDefault="008F04CF" w:rsidP="00B637B2">
                    <w:pPr>
                      <w:jc w:val="right"/>
                    </w:pPr>
                    <w:r>
                      <w:rPr>
                        <w:rFonts w:hint="eastAsia"/>
                      </w:rPr>
                      <w:t>-</w:t>
                    </w:r>
                  </w:p>
                </w:tc>
                <w:tc>
                  <w:tcPr>
                    <w:tcW w:w="1125" w:type="pct"/>
                    <w:tcBorders>
                      <w:top w:val="outset" w:sz="4" w:space="0" w:color="auto"/>
                      <w:left w:val="outset" w:sz="4" w:space="0" w:color="auto"/>
                      <w:bottom w:val="outset" w:sz="4" w:space="0" w:color="auto"/>
                      <w:right w:val="outset" w:sz="4" w:space="0" w:color="auto"/>
                    </w:tcBorders>
                    <w:vAlign w:val="center"/>
                  </w:tcPr>
                  <w:p w:rsidR="00B637B2" w:rsidRPr="007E1E54" w:rsidRDefault="008F04CF" w:rsidP="00B637B2">
                    <w:pPr>
                      <w:jc w:val="right"/>
                    </w:pPr>
                    <w:r>
                      <w:rPr>
                        <w:rFonts w:hint="eastAsia"/>
                      </w:rPr>
                      <w:t>-</w:t>
                    </w:r>
                  </w:p>
                </w:tc>
                <w:tc>
                  <w:tcPr>
                    <w:tcW w:w="986" w:type="pct"/>
                    <w:tcBorders>
                      <w:top w:val="outset" w:sz="4" w:space="0" w:color="auto"/>
                      <w:left w:val="outset" w:sz="4" w:space="0" w:color="auto"/>
                      <w:bottom w:val="outset" w:sz="4" w:space="0" w:color="auto"/>
                      <w:right w:val="outset" w:sz="4" w:space="0" w:color="auto"/>
                    </w:tcBorders>
                    <w:vAlign w:val="center"/>
                  </w:tcPr>
                  <w:p w:rsidR="00B637B2" w:rsidRPr="007E1E54" w:rsidRDefault="00B637B2" w:rsidP="00B637B2">
                    <w:pPr>
                      <w:jc w:val="right"/>
                    </w:pPr>
                  </w:p>
                </w:tc>
              </w:tr>
              <w:tr w:rsidR="00B637B2" w:rsidTr="00B637B2">
                <w:sdt>
                  <w:sdtPr>
                    <w:tag w:val="_PLD_94a792f6bcab460c9b29439620066ee2"/>
                    <w:id w:val="-828982485"/>
                    <w:lock w:val="sdtLocked"/>
                  </w:sdtPr>
                  <w:sdtContent>
                    <w:tc>
                      <w:tcPr>
                        <w:tcW w:w="1765"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生产性生物资产</w:t>
                        </w:r>
                      </w:p>
                    </w:tc>
                  </w:sdtContent>
                </w:sdt>
                <w:tc>
                  <w:tcPr>
                    <w:tcW w:w="1124" w:type="pct"/>
                    <w:tcBorders>
                      <w:top w:val="outset" w:sz="4" w:space="0" w:color="auto"/>
                      <w:left w:val="outset" w:sz="4" w:space="0" w:color="auto"/>
                      <w:bottom w:val="outset" w:sz="4" w:space="0" w:color="auto"/>
                      <w:right w:val="outset" w:sz="4" w:space="0" w:color="auto"/>
                    </w:tcBorders>
                    <w:vAlign w:val="center"/>
                  </w:tcPr>
                  <w:p w:rsidR="00B637B2" w:rsidRPr="007E1E54" w:rsidRDefault="008F04CF" w:rsidP="00B637B2">
                    <w:pPr>
                      <w:jc w:val="right"/>
                    </w:pPr>
                    <w:r>
                      <w:rPr>
                        <w:rFonts w:hint="eastAsia"/>
                      </w:rPr>
                      <w:t>-</w:t>
                    </w:r>
                  </w:p>
                </w:tc>
                <w:tc>
                  <w:tcPr>
                    <w:tcW w:w="1125" w:type="pct"/>
                    <w:tcBorders>
                      <w:top w:val="outset" w:sz="4" w:space="0" w:color="auto"/>
                      <w:left w:val="outset" w:sz="4" w:space="0" w:color="auto"/>
                      <w:bottom w:val="outset" w:sz="4" w:space="0" w:color="auto"/>
                      <w:right w:val="outset" w:sz="4" w:space="0" w:color="auto"/>
                    </w:tcBorders>
                    <w:vAlign w:val="center"/>
                  </w:tcPr>
                  <w:p w:rsidR="00B637B2" w:rsidRPr="007E1E54" w:rsidRDefault="008F04CF" w:rsidP="00B637B2">
                    <w:pPr>
                      <w:jc w:val="right"/>
                    </w:pPr>
                    <w:r>
                      <w:rPr>
                        <w:rFonts w:hint="eastAsia"/>
                      </w:rPr>
                      <w:t>-</w:t>
                    </w:r>
                  </w:p>
                </w:tc>
                <w:tc>
                  <w:tcPr>
                    <w:tcW w:w="986" w:type="pct"/>
                    <w:tcBorders>
                      <w:top w:val="outset" w:sz="4" w:space="0" w:color="auto"/>
                      <w:left w:val="outset" w:sz="4" w:space="0" w:color="auto"/>
                      <w:bottom w:val="outset" w:sz="4" w:space="0" w:color="auto"/>
                      <w:right w:val="outset" w:sz="4" w:space="0" w:color="auto"/>
                    </w:tcBorders>
                    <w:vAlign w:val="center"/>
                  </w:tcPr>
                  <w:p w:rsidR="00B637B2" w:rsidRPr="007E1E54" w:rsidRDefault="00B637B2" w:rsidP="00B637B2">
                    <w:pPr>
                      <w:jc w:val="right"/>
                    </w:pPr>
                  </w:p>
                </w:tc>
              </w:tr>
              <w:tr w:rsidR="00B637B2" w:rsidTr="00B637B2">
                <w:sdt>
                  <w:sdtPr>
                    <w:tag w:val="_PLD_ac72a00d096e4d379112e9698d90becc"/>
                    <w:id w:val="-1033967997"/>
                    <w:lock w:val="sdtLocked"/>
                  </w:sdtPr>
                  <w:sdtContent>
                    <w:tc>
                      <w:tcPr>
                        <w:tcW w:w="1765"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油气资产</w:t>
                        </w:r>
                      </w:p>
                    </w:tc>
                  </w:sdtContent>
                </w:sdt>
                <w:tc>
                  <w:tcPr>
                    <w:tcW w:w="1124" w:type="pct"/>
                    <w:tcBorders>
                      <w:top w:val="outset" w:sz="4" w:space="0" w:color="auto"/>
                      <w:left w:val="outset" w:sz="4" w:space="0" w:color="auto"/>
                      <w:bottom w:val="outset" w:sz="4" w:space="0" w:color="auto"/>
                      <w:right w:val="outset" w:sz="4" w:space="0" w:color="auto"/>
                    </w:tcBorders>
                    <w:vAlign w:val="center"/>
                  </w:tcPr>
                  <w:p w:rsidR="00B637B2" w:rsidRPr="007E1E54" w:rsidRDefault="008F04CF" w:rsidP="00B637B2">
                    <w:pPr>
                      <w:jc w:val="right"/>
                    </w:pPr>
                    <w:r w:rsidRPr="007E1E54">
                      <w:t>-</w:t>
                    </w:r>
                  </w:p>
                </w:tc>
                <w:tc>
                  <w:tcPr>
                    <w:tcW w:w="1125" w:type="pct"/>
                    <w:tcBorders>
                      <w:top w:val="outset" w:sz="4" w:space="0" w:color="auto"/>
                      <w:left w:val="outset" w:sz="4" w:space="0" w:color="auto"/>
                      <w:bottom w:val="outset" w:sz="4" w:space="0" w:color="auto"/>
                      <w:right w:val="outset" w:sz="4" w:space="0" w:color="auto"/>
                    </w:tcBorders>
                    <w:vAlign w:val="center"/>
                  </w:tcPr>
                  <w:p w:rsidR="00B637B2" w:rsidRPr="007E1E54" w:rsidRDefault="008F04CF" w:rsidP="00B637B2">
                    <w:pPr>
                      <w:jc w:val="right"/>
                    </w:pPr>
                    <w:r w:rsidRPr="007E1E54">
                      <w:t>-</w:t>
                    </w:r>
                  </w:p>
                </w:tc>
                <w:tc>
                  <w:tcPr>
                    <w:tcW w:w="986" w:type="pct"/>
                    <w:tcBorders>
                      <w:top w:val="outset" w:sz="4" w:space="0" w:color="auto"/>
                      <w:left w:val="outset" w:sz="4" w:space="0" w:color="auto"/>
                      <w:bottom w:val="outset" w:sz="4" w:space="0" w:color="auto"/>
                      <w:right w:val="outset" w:sz="4" w:space="0" w:color="auto"/>
                    </w:tcBorders>
                    <w:vAlign w:val="center"/>
                  </w:tcPr>
                  <w:p w:rsidR="00B637B2" w:rsidRPr="007E1E54" w:rsidRDefault="00B637B2" w:rsidP="00B637B2">
                    <w:pPr>
                      <w:jc w:val="right"/>
                    </w:pPr>
                  </w:p>
                </w:tc>
              </w:tr>
              <w:tr w:rsidR="00B637B2" w:rsidTr="00B637B2">
                <w:tc>
                  <w:tcPr>
                    <w:tcW w:w="176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52b828b5bb84ee7a90fc8e5ec358171"/>
                      <w:id w:val="-1798284840"/>
                      <w:lock w:val="sdtLocked"/>
                    </w:sdtPr>
                    <w:sdtContent>
                      <w:p w:rsidR="00B637B2" w:rsidRDefault="008F04CF" w:rsidP="00B637B2">
                        <w:pPr>
                          <w:ind w:firstLineChars="100" w:firstLine="210"/>
                        </w:pPr>
                        <w:r>
                          <w:rPr>
                            <w:rFonts w:hint="eastAsia"/>
                          </w:rPr>
                          <w:t>使用权资产</w:t>
                        </w:r>
                      </w:p>
                    </w:sdtContent>
                  </w:sdt>
                </w:tc>
                <w:tc>
                  <w:tcPr>
                    <w:tcW w:w="1124" w:type="pct"/>
                    <w:tcBorders>
                      <w:top w:val="outset" w:sz="4" w:space="0" w:color="auto"/>
                      <w:left w:val="outset" w:sz="4" w:space="0" w:color="auto"/>
                      <w:bottom w:val="outset" w:sz="4" w:space="0" w:color="auto"/>
                      <w:right w:val="outset" w:sz="4" w:space="0" w:color="auto"/>
                    </w:tcBorders>
                    <w:vAlign w:val="center"/>
                  </w:tcPr>
                  <w:p w:rsidR="00B637B2" w:rsidRPr="007E1E54" w:rsidRDefault="008F04CF" w:rsidP="00B637B2">
                    <w:pPr>
                      <w:jc w:val="right"/>
                    </w:pPr>
                    <w:r>
                      <w:rPr>
                        <w:rFonts w:hint="eastAsia"/>
                      </w:rPr>
                      <w:t>-</w:t>
                    </w:r>
                  </w:p>
                </w:tc>
                <w:tc>
                  <w:tcPr>
                    <w:tcW w:w="1125" w:type="pct"/>
                    <w:tcBorders>
                      <w:top w:val="outset" w:sz="4" w:space="0" w:color="auto"/>
                      <w:left w:val="outset" w:sz="4" w:space="0" w:color="auto"/>
                      <w:bottom w:val="outset" w:sz="4" w:space="0" w:color="auto"/>
                      <w:right w:val="outset" w:sz="4" w:space="0" w:color="auto"/>
                    </w:tcBorders>
                    <w:vAlign w:val="center"/>
                  </w:tcPr>
                  <w:p w:rsidR="00B637B2" w:rsidRPr="007E1E54" w:rsidRDefault="008F04CF" w:rsidP="00B637B2">
                    <w:pPr>
                      <w:jc w:val="right"/>
                    </w:pPr>
                    <w:r>
                      <w:rPr>
                        <w:rFonts w:hint="eastAsia"/>
                      </w:rPr>
                      <w:t>-</w:t>
                    </w:r>
                  </w:p>
                </w:tc>
                <w:tc>
                  <w:tcPr>
                    <w:tcW w:w="986" w:type="pct"/>
                    <w:tcBorders>
                      <w:top w:val="outset" w:sz="4" w:space="0" w:color="auto"/>
                      <w:left w:val="outset" w:sz="4" w:space="0" w:color="auto"/>
                      <w:bottom w:val="outset" w:sz="4" w:space="0" w:color="auto"/>
                      <w:right w:val="outset" w:sz="4" w:space="0" w:color="auto"/>
                    </w:tcBorders>
                    <w:vAlign w:val="center"/>
                  </w:tcPr>
                  <w:p w:rsidR="00B637B2" w:rsidRPr="007E1E54" w:rsidRDefault="00B637B2" w:rsidP="00B637B2">
                    <w:pPr>
                      <w:jc w:val="right"/>
                    </w:pPr>
                  </w:p>
                </w:tc>
              </w:tr>
              <w:tr w:rsidR="00B637B2" w:rsidTr="00B637B2">
                <w:sdt>
                  <w:sdtPr>
                    <w:tag w:val="_PLD_d3dfcf3e9c1e4ba1a222b98847f77185"/>
                    <w:id w:val="72401186"/>
                    <w:lock w:val="sdtLocked"/>
                  </w:sdtPr>
                  <w:sdtContent>
                    <w:tc>
                      <w:tcPr>
                        <w:tcW w:w="1765"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无形资产</w:t>
                        </w:r>
                      </w:p>
                    </w:tc>
                  </w:sdtContent>
                </w:sdt>
                <w:tc>
                  <w:tcPr>
                    <w:tcW w:w="1124" w:type="pct"/>
                    <w:tcBorders>
                      <w:top w:val="outset" w:sz="4" w:space="0" w:color="auto"/>
                      <w:left w:val="outset" w:sz="4" w:space="0" w:color="auto"/>
                      <w:bottom w:val="outset" w:sz="4" w:space="0" w:color="auto"/>
                      <w:right w:val="outset" w:sz="4" w:space="0" w:color="auto"/>
                    </w:tcBorders>
                    <w:vAlign w:val="center"/>
                  </w:tcPr>
                  <w:p w:rsidR="00B637B2" w:rsidRPr="007E1E54" w:rsidRDefault="008F04CF" w:rsidP="00B637B2">
                    <w:pPr>
                      <w:jc w:val="right"/>
                    </w:pPr>
                    <w:r w:rsidRPr="007E1E54">
                      <w:t>506,269,673</w:t>
                    </w:r>
                  </w:p>
                </w:tc>
                <w:tc>
                  <w:tcPr>
                    <w:tcW w:w="1125" w:type="pct"/>
                    <w:tcBorders>
                      <w:top w:val="outset" w:sz="4" w:space="0" w:color="auto"/>
                      <w:left w:val="outset" w:sz="4" w:space="0" w:color="auto"/>
                      <w:bottom w:val="outset" w:sz="4" w:space="0" w:color="auto"/>
                      <w:right w:val="outset" w:sz="4" w:space="0" w:color="auto"/>
                    </w:tcBorders>
                    <w:vAlign w:val="center"/>
                  </w:tcPr>
                  <w:p w:rsidR="00B637B2" w:rsidRPr="007E1E54" w:rsidRDefault="008F04CF" w:rsidP="00B637B2">
                    <w:pPr>
                      <w:jc w:val="right"/>
                    </w:pPr>
                    <w:r w:rsidRPr="007E1E54">
                      <w:t>506,269,673</w:t>
                    </w:r>
                  </w:p>
                </w:tc>
                <w:tc>
                  <w:tcPr>
                    <w:tcW w:w="986" w:type="pct"/>
                    <w:tcBorders>
                      <w:top w:val="outset" w:sz="4" w:space="0" w:color="auto"/>
                      <w:left w:val="outset" w:sz="4" w:space="0" w:color="auto"/>
                      <w:bottom w:val="outset" w:sz="4" w:space="0" w:color="auto"/>
                      <w:right w:val="outset" w:sz="4" w:space="0" w:color="auto"/>
                    </w:tcBorders>
                    <w:vAlign w:val="center"/>
                  </w:tcPr>
                  <w:p w:rsidR="00B637B2" w:rsidRPr="007E1E54" w:rsidRDefault="00B637B2" w:rsidP="00B637B2">
                    <w:pPr>
                      <w:jc w:val="right"/>
                    </w:pPr>
                  </w:p>
                </w:tc>
              </w:tr>
              <w:tr w:rsidR="00B637B2" w:rsidTr="00B637B2">
                <w:sdt>
                  <w:sdtPr>
                    <w:tag w:val="_PLD_d8aaf9fbcb124c8883d1d27dcea819e2"/>
                    <w:id w:val="-1529325786"/>
                    <w:lock w:val="sdtLocked"/>
                  </w:sdtPr>
                  <w:sdtContent>
                    <w:tc>
                      <w:tcPr>
                        <w:tcW w:w="1765"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开发支出</w:t>
                        </w:r>
                      </w:p>
                    </w:tc>
                  </w:sdtContent>
                </w:sdt>
                <w:tc>
                  <w:tcPr>
                    <w:tcW w:w="1124" w:type="pct"/>
                    <w:tcBorders>
                      <w:top w:val="outset" w:sz="4" w:space="0" w:color="auto"/>
                      <w:left w:val="outset" w:sz="4" w:space="0" w:color="auto"/>
                      <w:bottom w:val="outset" w:sz="4" w:space="0" w:color="auto"/>
                      <w:right w:val="outset" w:sz="4" w:space="0" w:color="auto"/>
                    </w:tcBorders>
                    <w:vAlign w:val="center"/>
                  </w:tcPr>
                  <w:p w:rsidR="00B637B2" w:rsidRPr="007E1E54" w:rsidRDefault="00B637B2" w:rsidP="00B637B2">
                    <w:pPr>
                      <w:jc w:val="right"/>
                    </w:pPr>
                  </w:p>
                </w:tc>
                <w:tc>
                  <w:tcPr>
                    <w:tcW w:w="1125" w:type="pct"/>
                    <w:tcBorders>
                      <w:top w:val="outset" w:sz="4" w:space="0" w:color="auto"/>
                      <w:left w:val="outset" w:sz="4" w:space="0" w:color="auto"/>
                      <w:bottom w:val="outset" w:sz="4" w:space="0" w:color="auto"/>
                      <w:right w:val="outset" w:sz="4" w:space="0" w:color="auto"/>
                    </w:tcBorders>
                    <w:vAlign w:val="center"/>
                  </w:tcPr>
                  <w:p w:rsidR="00B637B2" w:rsidRPr="007E1E54" w:rsidRDefault="00B637B2" w:rsidP="00B637B2">
                    <w:pPr>
                      <w:jc w:val="right"/>
                    </w:pPr>
                  </w:p>
                </w:tc>
                <w:tc>
                  <w:tcPr>
                    <w:tcW w:w="986" w:type="pct"/>
                    <w:tcBorders>
                      <w:top w:val="outset" w:sz="4" w:space="0" w:color="auto"/>
                      <w:left w:val="outset" w:sz="4" w:space="0" w:color="auto"/>
                      <w:bottom w:val="outset" w:sz="4" w:space="0" w:color="auto"/>
                      <w:right w:val="outset" w:sz="4" w:space="0" w:color="auto"/>
                    </w:tcBorders>
                    <w:vAlign w:val="center"/>
                  </w:tcPr>
                  <w:p w:rsidR="00B637B2" w:rsidRPr="007E1E54" w:rsidRDefault="00B637B2" w:rsidP="00B637B2">
                    <w:pPr>
                      <w:jc w:val="right"/>
                    </w:pPr>
                  </w:p>
                </w:tc>
              </w:tr>
              <w:tr w:rsidR="00B637B2" w:rsidTr="00B637B2">
                <w:sdt>
                  <w:sdtPr>
                    <w:tag w:val="_PLD_72f3e515cd2543c59ab69795181cf131"/>
                    <w:id w:val="-1791513244"/>
                    <w:lock w:val="sdtLocked"/>
                  </w:sdtPr>
                  <w:sdtContent>
                    <w:tc>
                      <w:tcPr>
                        <w:tcW w:w="1765"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商誉</w:t>
                        </w:r>
                      </w:p>
                    </w:tc>
                  </w:sdtContent>
                </w:sdt>
                <w:tc>
                  <w:tcPr>
                    <w:tcW w:w="1124" w:type="pct"/>
                    <w:tcBorders>
                      <w:top w:val="outset" w:sz="4" w:space="0" w:color="auto"/>
                      <w:left w:val="outset" w:sz="4" w:space="0" w:color="auto"/>
                      <w:bottom w:val="outset" w:sz="4" w:space="0" w:color="auto"/>
                      <w:right w:val="outset" w:sz="4" w:space="0" w:color="auto"/>
                    </w:tcBorders>
                    <w:vAlign w:val="center"/>
                  </w:tcPr>
                  <w:p w:rsidR="00B637B2" w:rsidRPr="007E1E54" w:rsidRDefault="008F04CF" w:rsidP="00B637B2">
                    <w:pPr>
                      <w:jc w:val="right"/>
                    </w:pPr>
                    <w:r w:rsidRPr="007E1E54">
                      <w:t>96,914,448</w:t>
                    </w:r>
                  </w:p>
                </w:tc>
                <w:tc>
                  <w:tcPr>
                    <w:tcW w:w="1125" w:type="pct"/>
                    <w:tcBorders>
                      <w:top w:val="outset" w:sz="4" w:space="0" w:color="auto"/>
                      <w:left w:val="outset" w:sz="4" w:space="0" w:color="auto"/>
                      <w:bottom w:val="outset" w:sz="4" w:space="0" w:color="auto"/>
                      <w:right w:val="outset" w:sz="4" w:space="0" w:color="auto"/>
                    </w:tcBorders>
                    <w:vAlign w:val="center"/>
                  </w:tcPr>
                  <w:p w:rsidR="00B637B2" w:rsidRPr="007E1E54" w:rsidRDefault="008F04CF" w:rsidP="00B637B2">
                    <w:pPr>
                      <w:jc w:val="right"/>
                    </w:pPr>
                    <w:r w:rsidRPr="007E1E54">
                      <w:t>96,914,448</w:t>
                    </w:r>
                  </w:p>
                </w:tc>
                <w:tc>
                  <w:tcPr>
                    <w:tcW w:w="986" w:type="pct"/>
                    <w:tcBorders>
                      <w:top w:val="outset" w:sz="4" w:space="0" w:color="auto"/>
                      <w:left w:val="outset" w:sz="4" w:space="0" w:color="auto"/>
                      <w:bottom w:val="outset" w:sz="4" w:space="0" w:color="auto"/>
                      <w:right w:val="outset" w:sz="4" w:space="0" w:color="auto"/>
                    </w:tcBorders>
                    <w:vAlign w:val="center"/>
                  </w:tcPr>
                  <w:p w:rsidR="00B637B2" w:rsidRPr="007E1E54" w:rsidRDefault="00B637B2" w:rsidP="00B637B2">
                    <w:pPr>
                      <w:jc w:val="right"/>
                    </w:pPr>
                  </w:p>
                </w:tc>
              </w:tr>
              <w:tr w:rsidR="00B637B2" w:rsidTr="00B637B2">
                <w:sdt>
                  <w:sdtPr>
                    <w:tag w:val="_PLD_8c2976ac40f54cd396b19fa300ed8008"/>
                    <w:id w:val="1248459647"/>
                    <w:lock w:val="sdtLocked"/>
                  </w:sdtPr>
                  <w:sdtContent>
                    <w:tc>
                      <w:tcPr>
                        <w:tcW w:w="1765"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长期待摊费用</w:t>
                        </w:r>
                      </w:p>
                    </w:tc>
                  </w:sdtContent>
                </w:sdt>
                <w:tc>
                  <w:tcPr>
                    <w:tcW w:w="1124" w:type="pct"/>
                    <w:tcBorders>
                      <w:top w:val="outset" w:sz="4" w:space="0" w:color="auto"/>
                      <w:left w:val="outset" w:sz="4" w:space="0" w:color="auto"/>
                      <w:bottom w:val="outset" w:sz="4" w:space="0" w:color="auto"/>
                      <w:right w:val="outset" w:sz="4" w:space="0" w:color="auto"/>
                    </w:tcBorders>
                    <w:vAlign w:val="center"/>
                  </w:tcPr>
                  <w:p w:rsidR="00B637B2" w:rsidRPr="007E1E54" w:rsidRDefault="008F04CF" w:rsidP="00B637B2">
                    <w:pPr>
                      <w:jc w:val="right"/>
                    </w:pPr>
                    <w:r>
                      <w:t>6,112,786</w:t>
                    </w:r>
                  </w:p>
                </w:tc>
                <w:tc>
                  <w:tcPr>
                    <w:tcW w:w="1125" w:type="pct"/>
                    <w:tcBorders>
                      <w:top w:val="outset" w:sz="4" w:space="0" w:color="auto"/>
                      <w:left w:val="outset" w:sz="4" w:space="0" w:color="auto"/>
                      <w:bottom w:val="outset" w:sz="4" w:space="0" w:color="auto"/>
                      <w:right w:val="outset" w:sz="4" w:space="0" w:color="auto"/>
                    </w:tcBorders>
                    <w:vAlign w:val="center"/>
                  </w:tcPr>
                  <w:p w:rsidR="00B637B2" w:rsidRPr="007E1E54" w:rsidRDefault="008F04CF" w:rsidP="00B637B2">
                    <w:pPr>
                      <w:jc w:val="right"/>
                    </w:pPr>
                    <w:r w:rsidRPr="007E1E54">
                      <w:t>6,112,786</w:t>
                    </w:r>
                  </w:p>
                </w:tc>
                <w:tc>
                  <w:tcPr>
                    <w:tcW w:w="986" w:type="pct"/>
                    <w:tcBorders>
                      <w:top w:val="outset" w:sz="4" w:space="0" w:color="auto"/>
                      <w:left w:val="outset" w:sz="4" w:space="0" w:color="auto"/>
                      <w:bottom w:val="outset" w:sz="4" w:space="0" w:color="auto"/>
                      <w:right w:val="outset" w:sz="4" w:space="0" w:color="auto"/>
                    </w:tcBorders>
                    <w:vAlign w:val="center"/>
                  </w:tcPr>
                  <w:p w:rsidR="00B637B2" w:rsidRPr="007E1E54" w:rsidRDefault="00B637B2" w:rsidP="00B637B2">
                    <w:pPr>
                      <w:jc w:val="right"/>
                    </w:pPr>
                  </w:p>
                </w:tc>
              </w:tr>
              <w:tr w:rsidR="00B637B2" w:rsidTr="00B637B2">
                <w:sdt>
                  <w:sdtPr>
                    <w:tag w:val="_PLD_53d257ee3505443db4987c29f2554910"/>
                    <w:id w:val="-1826821396"/>
                    <w:lock w:val="sdtLocked"/>
                  </w:sdtPr>
                  <w:sdtContent>
                    <w:tc>
                      <w:tcPr>
                        <w:tcW w:w="1765"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递延所得税资产</w:t>
                        </w:r>
                      </w:p>
                    </w:tc>
                  </w:sdtContent>
                </w:sdt>
                <w:tc>
                  <w:tcPr>
                    <w:tcW w:w="1124" w:type="pct"/>
                    <w:tcBorders>
                      <w:top w:val="outset" w:sz="4" w:space="0" w:color="auto"/>
                      <w:left w:val="outset" w:sz="4" w:space="0" w:color="auto"/>
                      <w:bottom w:val="outset" w:sz="4" w:space="0" w:color="auto"/>
                      <w:right w:val="outset" w:sz="4" w:space="0" w:color="auto"/>
                    </w:tcBorders>
                    <w:vAlign w:val="center"/>
                  </w:tcPr>
                  <w:p w:rsidR="00B637B2" w:rsidRPr="007E1E54" w:rsidRDefault="008F04CF" w:rsidP="00B637B2">
                    <w:pPr>
                      <w:jc w:val="right"/>
                    </w:pPr>
                    <w:r w:rsidRPr="007E1E54">
                      <w:t>48,397,636</w:t>
                    </w:r>
                  </w:p>
                </w:tc>
                <w:tc>
                  <w:tcPr>
                    <w:tcW w:w="1125" w:type="pct"/>
                    <w:tcBorders>
                      <w:top w:val="outset" w:sz="4" w:space="0" w:color="auto"/>
                      <w:left w:val="outset" w:sz="4" w:space="0" w:color="auto"/>
                      <w:bottom w:val="outset" w:sz="4" w:space="0" w:color="auto"/>
                      <w:right w:val="outset" w:sz="4" w:space="0" w:color="auto"/>
                    </w:tcBorders>
                    <w:vAlign w:val="center"/>
                  </w:tcPr>
                  <w:p w:rsidR="00B637B2" w:rsidRPr="007E1E54" w:rsidRDefault="008F04CF" w:rsidP="00B637B2">
                    <w:pPr>
                      <w:jc w:val="right"/>
                    </w:pPr>
                    <w:r w:rsidRPr="007E1E54">
                      <w:t>50,777,413</w:t>
                    </w:r>
                  </w:p>
                </w:tc>
                <w:tc>
                  <w:tcPr>
                    <w:tcW w:w="986" w:type="pct"/>
                    <w:tcBorders>
                      <w:top w:val="outset" w:sz="4" w:space="0" w:color="auto"/>
                      <w:left w:val="outset" w:sz="4" w:space="0" w:color="auto"/>
                      <w:bottom w:val="outset" w:sz="4" w:space="0" w:color="auto"/>
                      <w:right w:val="outset" w:sz="4" w:space="0" w:color="auto"/>
                    </w:tcBorders>
                    <w:vAlign w:val="center"/>
                  </w:tcPr>
                  <w:p w:rsidR="00B637B2" w:rsidRPr="007E1E54" w:rsidRDefault="008F04CF" w:rsidP="00B637B2">
                    <w:pPr>
                      <w:jc w:val="right"/>
                    </w:pPr>
                    <w:r>
                      <w:t>2,379,777</w:t>
                    </w:r>
                  </w:p>
                </w:tc>
              </w:tr>
              <w:tr w:rsidR="00B637B2" w:rsidTr="00B637B2">
                <w:sdt>
                  <w:sdtPr>
                    <w:tag w:val="_PLD_919069c92934428fbcfd69549ecd9bfe"/>
                    <w:id w:val="-681813229"/>
                    <w:lock w:val="sdtLocked"/>
                  </w:sdtPr>
                  <w:sdtContent>
                    <w:tc>
                      <w:tcPr>
                        <w:tcW w:w="1765"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其他非流动资产</w:t>
                        </w:r>
                      </w:p>
                    </w:tc>
                  </w:sdtContent>
                </w:sdt>
                <w:tc>
                  <w:tcPr>
                    <w:tcW w:w="1124" w:type="pct"/>
                    <w:tcBorders>
                      <w:top w:val="outset" w:sz="4" w:space="0" w:color="auto"/>
                      <w:left w:val="outset" w:sz="4" w:space="0" w:color="auto"/>
                      <w:bottom w:val="outset" w:sz="4" w:space="0" w:color="auto"/>
                      <w:right w:val="outset" w:sz="4" w:space="0" w:color="auto"/>
                    </w:tcBorders>
                    <w:vAlign w:val="center"/>
                  </w:tcPr>
                  <w:p w:rsidR="00B637B2" w:rsidRPr="007E1E54" w:rsidRDefault="008F04CF" w:rsidP="00B637B2">
                    <w:pPr>
                      <w:jc w:val="right"/>
                    </w:pPr>
                    <w:r w:rsidRPr="007E1E54">
                      <w:t>-</w:t>
                    </w:r>
                  </w:p>
                </w:tc>
                <w:tc>
                  <w:tcPr>
                    <w:tcW w:w="1125" w:type="pct"/>
                    <w:tcBorders>
                      <w:top w:val="outset" w:sz="4" w:space="0" w:color="auto"/>
                      <w:left w:val="outset" w:sz="4" w:space="0" w:color="auto"/>
                      <w:bottom w:val="outset" w:sz="4" w:space="0" w:color="auto"/>
                      <w:right w:val="outset" w:sz="4" w:space="0" w:color="auto"/>
                    </w:tcBorders>
                    <w:vAlign w:val="center"/>
                  </w:tcPr>
                  <w:p w:rsidR="00B637B2" w:rsidRPr="007E1E54" w:rsidRDefault="008F04CF" w:rsidP="00B637B2">
                    <w:pPr>
                      <w:jc w:val="right"/>
                    </w:pPr>
                    <w:r w:rsidRPr="007E1E54">
                      <w:t>-</w:t>
                    </w:r>
                  </w:p>
                </w:tc>
                <w:tc>
                  <w:tcPr>
                    <w:tcW w:w="986" w:type="pct"/>
                    <w:tcBorders>
                      <w:top w:val="outset" w:sz="4" w:space="0" w:color="auto"/>
                      <w:left w:val="outset" w:sz="4" w:space="0" w:color="auto"/>
                      <w:bottom w:val="outset" w:sz="4" w:space="0" w:color="auto"/>
                      <w:right w:val="outset" w:sz="4" w:space="0" w:color="auto"/>
                    </w:tcBorders>
                    <w:vAlign w:val="center"/>
                  </w:tcPr>
                  <w:p w:rsidR="00B637B2" w:rsidRPr="007E1E54" w:rsidRDefault="00B637B2" w:rsidP="00B637B2">
                    <w:pPr>
                      <w:jc w:val="right"/>
                    </w:pPr>
                  </w:p>
                </w:tc>
              </w:tr>
              <w:tr w:rsidR="00B637B2" w:rsidTr="00B637B2">
                <w:sdt>
                  <w:sdtPr>
                    <w:tag w:val="_PLD_f24ecc71dadc469a9a36c98fcc2789eb"/>
                    <w:id w:val="971408672"/>
                    <w:lock w:val="sdtLocked"/>
                  </w:sdtPr>
                  <w:sdtContent>
                    <w:tc>
                      <w:tcPr>
                        <w:tcW w:w="1765"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200" w:firstLine="420"/>
                          <w:rPr>
                            <w:szCs w:val="21"/>
                          </w:rPr>
                        </w:pPr>
                        <w:r>
                          <w:rPr>
                            <w:rFonts w:hint="eastAsia"/>
                            <w:szCs w:val="21"/>
                          </w:rPr>
                          <w:t>非流动资产合计</w:t>
                        </w:r>
                      </w:p>
                    </w:tc>
                  </w:sdtContent>
                </w:sdt>
                <w:tc>
                  <w:tcPr>
                    <w:tcW w:w="1124" w:type="pct"/>
                    <w:tcBorders>
                      <w:top w:val="outset" w:sz="4" w:space="0" w:color="auto"/>
                      <w:left w:val="outset" w:sz="4" w:space="0" w:color="auto"/>
                      <w:bottom w:val="outset" w:sz="4" w:space="0" w:color="auto"/>
                      <w:right w:val="outset" w:sz="4" w:space="0" w:color="auto"/>
                    </w:tcBorders>
                    <w:vAlign w:val="center"/>
                  </w:tcPr>
                  <w:p w:rsidR="00B637B2" w:rsidRPr="007E1E54" w:rsidRDefault="008F04CF" w:rsidP="00B637B2">
                    <w:pPr>
                      <w:jc w:val="right"/>
                    </w:pPr>
                    <w:r w:rsidRPr="007E1E54">
                      <w:t>7,501,781,750</w:t>
                    </w:r>
                  </w:p>
                </w:tc>
                <w:tc>
                  <w:tcPr>
                    <w:tcW w:w="1125" w:type="pct"/>
                    <w:tcBorders>
                      <w:top w:val="outset" w:sz="4" w:space="0" w:color="auto"/>
                      <w:left w:val="outset" w:sz="4" w:space="0" w:color="auto"/>
                      <w:bottom w:val="outset" w:sz="4" w:space="0" w:color="auto"/>
                      <w:right w:val="outset" w:sz="4" w:space="0" w:color="auto"/>
                    </w:tcBorders>
                    <w:vAlign w:val="center"/>
                  </w:tcPr>
                  <w:p w:rsidR="00B637B2" w:rsidRPr="007E1E54" w:rsidRDefault="008F04CF" w:rsidP="00B637B2">
                    <w:pPr>
                      <w:jc w:val="right"/>
                    </w:pPr>
                    <w:r w:rsidRPr="007E1E54">
                      <w:t>7,654,759,222</w:t>
                    </w:r>
                  </w:p>
                </w:tc>
                <w:tc>
                  <w:tcPr>
                    <w:tcW w:w="986" w:type="pct"/>
                    <w:tcBorders>
                      <w:top w:val="outset" w:sz="4" w:space="0" w:color="auto"/>
                      <w:left w:val="outset" w:sz="4" w:space="0" w:color="auto"/>
                      <w:bottom w:val="outset" w:sz="4" w:space="0" w:color="auto"/>
                      <w:right w:val="outset" w:sz="4" w:space="0" w:color="auto"/>
                    </w:tcBorders>
                    <w:vAlign w:val="center"/>
                  </w:tcPr>
                  <w:p w:rsidR="00B637B2" w:rsidRPr="007E1E54" w:rsidRDefault="008F04CF" w:rsidP="00B637B2">
                    <w:pPr>
                      <w:jc w:val="right"/>
                    </w:pPr>
                    <w:r>
                      <w:t>152,977,472</w:t>
                    </w:r>
                  </w:p>
                </w:tc>
              </w:tr>
              <w:tr w:rsidR="00B637B2" w:rsidTr="00B637B2">
                <w:sdt>
                  <w:sdtPr>
                    <w:tag w:val="_PLD_51977f8ffa3f40279adeb2efeb9bc455"/>
                    <w:id w:val="-2043197558"/>
                    <w:lock w:val="sdtLocked"/>
                  </w:sdtPr>
                  <w:sdtContent>
                    <w:tc>
                      <w:tcPr>
                        <w:tcW w:w="1765"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300" w:firstLine="630"/>
                          <w:rPr>
                            <w:szCs w:val="21"/>
                          </w:rPr>
                        </w:pPr>
                        <w:r>
                          <w:rPr>
                            <w:rFonts w:hint="eastAsia"/>
                            <w:szCs w:val="21"/>
                          </w:rPr>
                          <w:t>资产总计</w:t>
                        </w:r>
                      </w:p>
                    </w:tc>
                  </w:sdtContent>
                </w:sdt>
                <w:tc>
                  <w:tcPr>
                    <w:tcW w:w="1124" w:type="pct"/>
                    <w:tcBorders>
                      <w:top w:val="outset" w:sz="4" w:space="0" w:color="auto"/>
                      <w:left w:val="outset" w:sz="4" w:space="0" w:color="auto"/>
                      <w:bottom w:val="outset" w:sz="4" w:space="0" w:color="auto"/>
                      <w:right w:val="outset" w:sz="4" w:space="0" w:color="auto"/>
                    </w:tcBorders>
                    <w:vAlign w:val="center"/>
                  </w:tcPr>
                  <w:p w:rsidR="00B637B2" w:rsidRPr="007E1E54" w:rsidRDefault="008F04CF" w:rsidP="00B637B2">
                    <w:pPr>
                      <w:jc w:val="right"/>
                    </w:pPr>
                    <w:r w:rsidRPr="007E1E54">
                      <w:t>11,158,381,543</w:t>
                    </w:r>
                  </w:p>
                </w:tc>
                <w:tc>
                  <w:tcPr>
                    <w:tcW w:w="1125" w:type="pct"/>
                    <w:tcBorders>
                      <w:top w:val="outset" w:sz="4" w:space="0" w:color="auto"/>
                      <w:left w:val="outset" w:sz="4" w:space="0" w:color="auto"/>
                      <w:bottom w:val="outset" w:sz="4" w:space="0" w:color="auto"/>
                      <w:right w:val="outset" w:sz="4" w:space="0" w:color="auto"/>
                    </w:tcBorders>
                    <w:vAlign w:val="center"/>
                  </w:tcPr>
                  <w:p w:rsidR="00B637B2" w:rsidRPr="007E1E54" w:rsidRDefault="008F04CF" w:rsidP="00B637B2">
                    <w:pPr>
                      <w:jc w:val="right"/>
                    </w:pPr>
                    <w:r w:rsidRPr="007E1E54">
                      <w:t>11,259,861,671</w:t>
                    </w:r>
                  </w:p>
                </w:tc>
                <w:tc>
                  <w:tcPr>
                    <w:tcW w:w="986" w:type="pct"/>
                    <w:tcBorders>
                      <w:top w:val="outset" w:sz="4" w:space="0" w:color="auto"/>
                      <w:left w:val="outset" w:sz="4" w:space="0" w:color="auto"/>
                      <w:bottom w:val="outset" w:sz="4" w:space="0" w:color="auto"/>
                      <w:right w:val="outset" w:sz="4" w:space="0" w:color="auto"/>
                    </w:tcBorders>
                    <w:vAlign w:val="center"/>
                  </w:tcPr>
                  <w:p w:rsidR="00B637B2" w:rsidRPr="007E1E54" w:rsidRDefault="008F04CF" w:rsidP="00B637B2">
                    <w:pPr>
                      <w:jc w:val="right"/>
                    </w:pPr>
                    <w:r>
                      <w:t>101,480,128</w:t>
                    </w:r>
                  </w:p>
                </w:tc>
              </w:tr>
              <w:tr w:rsidR="00B637B2" w:rsidTr="00B637B2">
                <w:sdt>
                  <w:sdtPr>
                    <w:tag w:val="_PLD_db8d96c989354c3296a1eda26de6ec79"/>
                    <w:id w:val="-906993532"/>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B637B2" w:rsidRDefault="008F04CF" w:rsidP="00B637B2">
                        <w:pPr>
                          <w:rPr>
                            <w:color w:val="008000"/>
                            <w:szCs w:val="21"/>
                          </w:rPr>
                        </w:pPr>
                        <w:r>
                          <w:rPr>
                            <w:rFonts w:hint="eastAsia"/>
                            <w:b/>
                            <w:bCs/>
                            <w:szCs w:val="21"/>
                          </w:rPr>
                          <w:t>流动负债：</w:t>
                        </w:r>
                      </w:p>
                    </w:tc>
                  </w:sdtContent>
                </w:sdt>
              </w:tr>
              <w:tr w:rsidR="00B637B2" w:rsidTr="00B637B2">
                <w:sdt>
                  <w:sdtPr>
                    <w:tag w:val="_PLD_3e2e2cae5fe54175954842f21e380792"/>
                    <w:id w:val="229742611"/>
                    <w:lock w:val="sdtLocked"/>
                  </w:sdtPr>
                  <w:sdtContent>
                    <w:tc>
                      <w:tcPr>
                        <w:tcW w:w="1765"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短期借款</w:t>
                        </w:r>
                      </w:p>
                    </w:tc>
                  </w:sdtContent>
                </w:sdt>
                <w:tc>
                  <w:tcPr>
                    <w:tcW w:w="1124" w:type="pct"/>
                    <w:tcBorders>
                      <w:top w:val="outset" w:sz="4" w:space="0" w:color="auto"/>
                      <w:left w:val="outset" w:sz="4" w:space="0" w:color="auto"/>
                      <w:bottom w:val="outset" w:sz="4" w:space="0" w:color="auto"/>
                      <w:right w:val="outset" w:sz="4" w:space="0" w:color="auto"/>
                    </w:tcBorders>
                    <w:vAlign w:val="center"/>
                  </w:tcPr>
                  <w:p w:rsidR="00B637B2" w:rsidRPr="00C54ADF" w:rsidRDefault="008F04CF" w:rsidP="00B637B2">
                    <w:pPr>
                      <w:jc w:val="right"/>
                    </w:pPr>
                    <w:r w:rsidRPr="00C54ADF">
                      <w:t>3,399,927,278</w:t>
                    </w:r>
                  </w:p>
                </w:tc>
                <w:tc>
                  <w:tcPr>
                    <w:tcW w:w="1125" w:type="pct"/>
                    <w:tcBorders>
                      <w:top w:val="outset" w:sz="4" w:space="0" w:color="auto"/>
                      <w:left w:val="outset" w:sz="4" w:space="0" w:color="auto"/>
                      <w:bottom w:val="outset" w:sz="4" w:space="0" w:color="auto"/>
                      <w:right w:val="outset" w:sz="4" w:space="0" w:color="auto"/>
                    </w:tcBorders>
                    <w:vAlign w:val="center"/>
                  </w:tcPr>
                  <w:p w:rsidR="00B637B2" w:rsidRPr="00C54ADF" w:rsidRDefault="008F04CF" w:rsidP="00B637B2">
                    <w:pPr>
                      <w:jc w:val="right"/>
                    </w:pPr>
                    <w:r w:rsidRPr="00C54ADF">
                      <w:t>3,399,927,278</w:t>
                    </w:r>
                  </w:p>
                </w:tc>
                <w:tc>
                  <w:tcPr>
                    <w:tcW w:w="986" w:type="pct"/>
                    <w:tcBorders>
                      <w:top w:val="outset" w:sz="4" w:space="0" w:color="auto"/>
                      <w:left w:val="outset" w:sz="4" w:space="0" w:color="auto"/>
                      <w:bottom w:val="outset" w:sz="4" w:space="0" w:color="auto"/>
                      <w:right w:val="outset" w:sz="4" w:space="0" w:color="auto"/>
                    </w:tcBorders>
                    <w:vAlign w:val="center"/>
                  </w:tcPr>
                  <w:p w:rsidR="00B637B2" w:rsidRPr="00C54ADF" w:rsidRDefault="00B637B2" w:rsidP="00B637B2">
                    <w:pPr>
                      <w:jc w:val="right"/>
                    </w:pPr>
                  </w:p>
                </w:tc>
              </w:tr>
              <w:tr w:rsidR="00B637B2" w:rsidTr="00B637B2">
                <w:tc>
                  <w:tcPr>
                    <w:tcW w:w="176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c94fe40b83d49bf83fb122751e1d1bb"/>
                      <w:id w:val="1611400587"/>
                      <w:lock w:val="sdtLocked"/>
                    </w:sdtPr>
                    <w:sdtContent>
                      <w:p w:rsidR="00B637B2" w:rsidRDefault="008F04CF" w:rsidP="00B637B2">
                        <w:pPr>
                          <w:ind w:firstLineChars="100" w:firstLine="210"/>
                        </w:pPr>
                        <w:r>
                          <w:rPr>
                            <w:rFonts w:hint="eastAsia"/>
                          </w:rPr>
                          <w:t>交易性金融负债</w:t>
                        </w:r>
                      </w:p>
                    </w:sdtContent>
                  </w:sdt>
                </w:tc>
                <w:tc>
                  <w:tcPr>
                    <w:tcW w:w="1124" w:type="pct"/>
                    <w:tcBorders>
                      <w:top w:val="outset" w:sz="4" w:space="0" w:color="auto"/>
                      <w:left w:val="outset" w:sz="4" w:space="0" w:color="auto"/>
                      <w:bottom w:val="outset" w:sz="4" w:space="0" w:color="auto"/>
                      <w:right w:val="outset" w:sz="4" w:space="0" w:color="auto"/>
                    </w:tcBorders>
                    <w:vAlign w:val="center"/>
                  </w:tcPr>
                  <w:p w:rsidR="00B637B2" w:rsidRPr="00C54ADF" w:rsidRDefault="008F04CF" w:rsidP="00B637B2">
                    <w:pPr>
                      <w:jc w:val="right"/>
                    </w:pPr>
                    <w:r>
                      <w:rPr>
                        <w:rFonts w:hint="eastAsia"/>
                      </w:rPr>
                      <w:t>-</w:t>
                    </w:r>
                  </w:p>
                </w:tc>
                <w:tc>
                  <w:tcPr>
                    <w:tcW w:w="1125" w:type="pct"/>
                    <w:tcBorders>
                      <w:top w:val="outset" w:sz="4" w:space="0" w:color="auto"/>
                      <w:left w:val="outset" w:sz="4" w:space="0" w:color="auto"/>
                      <w:bottom w:val="outset" w:sz="4" w:space="0" w:color="auto"/>
                      <w:right w:val="outset" w:sz="4" w:space="0" w:color="auto"/>
                    </w:tcBorders>
                    <w:vAlign w:val="center"/>
                  </w:tcPr>
                  <w:p w:rsidR="00B637B2" w:rsidRPr="00C54ADF" w:rsidRDefault="008F04CF" w:rsidP="00B637B2">
                    <w:pPr>
                      <w:jc w:val="right"/>
                    </w:pPr>
                    <w:r>
                      <w:rPr>
                        <w:rFonts w:hint="eastAsia"/>
                      </w:rPr>
                      <w:t>-</w:t>
                    </w:r>
                  </w:p>
                </w:tc>
                <w:tc>
                  <w:tcPr>
                    <w:tcW w:w="986" w:type="pct"/>
                    <w:tcBorders>
                      <w:top w:val="outset" w:sz="4" w:space="0" w:color="auto"/>
                      <w:left w:val="outset" w:sz="4" w:space="0" w:color="auto"/>
                      <w:bottom w:val="outset" w:sz="4" w:space="0" w:color="auto"/>
                      <w:right w:val="outset" w:sz="4" w:space="0" w:color="auto"/>
                    </w:tcBorders>
                    <w:vAlign w:val="center"/>
                  </w:tcPr>
                  <w:p w:rsidR="00B637B2" w:rsidRPr="00C54ADF" w:rsidRDefault="00B637B2" w:rsidP="00B637B2">
                    <w:pPr>
                      <w:jc w:val="right"/>
                    </w:pPr>
                  </w:p>
                </w:tc>
              </w:tr>
              <w:tr w:rsidR="00B637B2" w:rsidTr="00B637B2">
                <w:sdt>
                  <w:sdtPr>
                    <w:tag w:val="_PLD_53d6a1e3c8054516b1f76754196e119c"/>
                    <w:id w:val="-423260401"/>
                    <w:lock w:val="sdtLocked"/>
                  </w:sdtPr>
                  <w:sdtContent>
                    <w:tc>
                      <w:tcPr>
                        <w:tcW w:w="1765"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以公允价值计量且其变动计入当期损益的金融负债</w:t>
                        </w:r>
                      </w:p>
                    </w:tc>
                  </w:sdtContent>
                </w:sdt>
                <w:tc>
                  <w:tcPr>
                    <w:tcW w:w="1124" w:type="pct"/>
                    <w:tcBorders>
                      <w:top w:val="outset" w:sz="4" w:space="0" w:color="auto"/>
                      <w:left w:val="outset" w:sz="4" w:space="0" w:color="auto"/>
                      <w:bottom w:val="outset" w:sz="4" w:space="0" w:color="auto"/>
                      <w:right w:val="outset" w:sz="4" w:space="0" w:color="auto"/>
                    </w:tcBorders>
                    <w:vAlign w:val="center"/>
                  </w:tcPr>
                  <w:p w:rsidR="00B637B2" w:rsidRPr="00C54ADF" w:rsidRDefault="008F04CF" w:rsidP="00B637B2">
                    <w:pPr>
                      <w:jc w:val="right"/>
                    </w:pPr>
                    <w:r>
                      <w:rPr>
                        <w:rFonts w:hint="eastAsia"/>
                      </w:rPr>
                      <w:t>-</w:t>
                    </w:r>
                  </w:p>
                </w:tc>
                <w:tc>
                  <w:tcPr>
                    <w:tcW w:w="1125" w:type="pct"/>
                    <w:tcBorders>
                      <w:top w:val="outset" w:sz="4" w:space="0" w:color="auto"/>
                      <w:left w:val="outset" w:sz="4" w:space="0" w:color="auto"/>
                      <w:bottom w:val="outset" w:sz="4" w:space="0" w:color="auto"/>
                      <w:right w:val="outset" w:sz="4" w:space="0" w:color="auto"/>
                    </w:tcBorders>
                    <w:vAlign w:val="center"/>
                  </w:tcPr>
                  <w:p w:rsidR="00B637B2" w:rsidRPr="00C54ADF" w:rsidRDefault="008F04CF" w:rsidP="00B637B2">
                    <w:pPr>
                      <w:jc w:val="right"/>
                    </w:pPr>
                    <w:r>
                      <w:rPr>
                        <w:rFonts w:hint="eastAsia"/>
                      </w:rPr>
                      <w:t>-</w:t>
                    </w:r>
                  </w:p>
                </w:tc>
                <w:tc>
                  <w:tcPr>
                    <w:tcW w:w="986" w:type="pct"/>
                    <w:tcBorders>
                      <w:top w:val="outset" w:sz="4" w:space="0" w:color="auto"/>
                      <w:left w:val="outset" w:sz="4" w:space="0" w:color="auto"/>
                      <w:bottom w:val="outset" w:sz="4" w:space="0" w:color="auto"/>
                      <w:right w:val="outset" w:sz="4" w:space="0" w:color="auto"/>
                    </w:tcBorders>
                    <w:vAlign w:val="center"/>
                  </w:tcPr>
                  <w:p w:rsidR="00B637B2" w:rsidRPr="00C54ADF" w:rsidRDefault="00B637B2" w:rsidP="00B637B2">
                    <w:pPr>
                      <w:jc w:val="right"/>
                    </w:pPr>
                  </w:p>
                </w:tc>
              </w:tr>
              <w:tr w:rsidR="00B637B2" w:rsidTr="00B637B2">
                <w:sdt>
                  <w:sdtPr>
                    <w:tag w:val="_PLD_c66d4d28400f430283766247212b1db5"/>
                    <w:id w:val="-1731909225"/>
                    <w:lock w:val="sdtLocked"/>
                  </w:sdtPr>
                  <w:sdtContent>
                    <w:tc>
                      <w:tcPr>
                        <w:tcW w:w="1765"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衍生金融负债</w:t>
                        </w:r>
                      </w:p>
                    </w:tc>
                  </w:sdtContent>
                </w:sdt>
                <w:tc>
                  <w:tcPr>
                    <w:tcW w:w="1124" w:type="pct"/>
                    <w:tcBorders>
                      <w:top w:val="outset" w:sz="4" w:space="0" w:color="auto"/>
                      <w:left w:val="outset" w:sz="4" w:space="0" w:color="auto"/>
                      <w:bottom w:val="outset" w:sz="4" w:space="0" w:color="auto"/>
                      <w:right w:val="outset" w:sz="4" w:space="0" w:color="auto"/>
                    </w:tcBorders>
                    <w:vAlign w:val="center"/>
                  </w:tcPr>
                  <w:p w:rsidR="00B637B2" w:rsidRPr="00C54ADF" w:rsidRDefault="008F04CF" w:rsidP="00B637B2">
                    <w:pPr>
                      <w:jc w:val="right"/>
                    </w:pPr>
                    <w:r w:rsidRPr="00C54ADF">
                      <w:t>-</w:t>
                    </w:r>
                  </w:p>
                </w:tc>
                <w:tc>
                  <w:tcPr>
                    <w:tcW w:w="1125" w:type="pct"/>
                    <w:tcBorders>
                      <w:top w:val="outset" w:sz="4" w:space="0" w:color="auto"/>
                      <w:left w:val="outset" w:sz="4" w:space="0" w:color="auto"/>
                      <w:bottom w:val="outset" w:sz="4" w:space="0" w:color="auto"/>
                      <w:right w:val="outset" w:sz="4" w:space="0" w:color="auto"/>
                    </w:tcBorders>
                    <w:vAlign w:val="center"/>
                  </w:tcPr>
                  <w:p w:rsidR="00B637B2" w:rsidRPr="00C54ADF" w:rsidRDefault="008F04CF" w:rsidP="00B637B2">
                    <w:pPr>
                      <w:jc w:val="right"/>
                    </w:pPr>
                    <w:r w:rsidRPr="00C54ADF">
                      <w:t>-</w:t>
                    </w:r>
                  </w:p>
                </w:tc>
                <w:tc>
                  <w:tcPr>
                    <w:tcW w:w="986" w:type="pct"/>
                    <w:tcBorders>
                      <w:top w:val="outset" w:sz="4" w:space="0" w:color="auto"/>
                      <w:left w:val="outset" w:sz="4" w:space="0" w:color="auto"/>
                      <w:bottom w:val="outset" w:sz="4" w:space="0" w:color="auto"/>
                      <w:right w:val="outset" w:sz="4" w:space="0" w:color="auto"/>
                    </w:tcBorders>
                    <w:vAlign w:val="center"/>
                  </w:tcPr>
                  <w:p w:rsidR="00B637B2" w:rsidRPr="00C54ADF" w:rsidRDefault="00B637B2" w:rsidP="00B637B2">
                    <w:pPr>
                      <w:jc w:val="right"/>
                    </w:pPr>
                  </w:p>
                </w:tc>
              </w:tr>
              <w:tr w:rsidR="00B637B2" w:rsidTr="00B637B2">
                <w:sdt>
                  <w:sdtPr>
                    <w:tag w:val="_PLD_6f67648c9cf84e82a7a20c798fe25ca4"/>
                    <w:id w:val="-424966321"/>
                    <w:lock w:val="sdtLocked"/>
                  </w:sdtPr>
                  <w:sdtContent>
                    <w:tc>
                      <w:tcPr>
                        <w:tcW w:w="1765"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pPr>
                        <w:r>
                          <w:rPr>
                            <w:rFonts w:hint="eastAsia"/>
                          </w:rPr>
                          <w:t>应付票据</w:t>
                        </w:r>
                      </w:p>
                    </w:tc>
                  </w:sdtContent>
                </w:sdt>
                <w:tc>
                  <w:tcPr>
                    <w:tcW w:w="1124" w:type="pct"/>
                    <w:tcBorders>
                      <w:top w:val="outset" w:sz="4" w:space="0" w:color="auto"/>
                      <w:left w:val="outset" w:sz="4" w:space="0" w:color="auto"/>
                      <w:bottom w:val="outset" w:sz="4" w:space="0" w:color="auto"/>
                      <w:right w:val="outset" w:sz="4" w:space="0" w:color="auto"/>
                    </w:tcBorders>
                    <w:vAlign w:val="center"/>
                  </w:tcPr>
                  <w:p w:rsidR="00B637B2" w:rsidRPr="00C54ADF" w:rsidRDefault="008F04CF" w:rsidP="00B637B2">
                    <w:pPr>
                      <w:jc w:val="right"/>
                    </w:pPr>
                    <w:r w:rsidRPr="00C54ADF">
                      <w:t>-</w:t>
                    </w:r>
                  </w:p>
                </w:tc>
                <w:tc>
                  <w:tcPr>
                    <w:tcW w:w="1125" w:type="pct"/>
                    <w:tcBorders>
                      <w:top w:val="outset" w:sz="4" w:space="0" w:color="auto"/>
                      <w:left w:val="outset" w:sz="4" w:space="0" w:color="auto"/>
                      <w:bottom w:val="outset" w:sz="4" w:space="0" w:color="auto"/>
                      <w:right w:val="outset" w:sz="4" w:space="0" w:color="auto"/>
                    </w:tcBorders>
                    <w:vAlign w:val="center"/>
                  </w:tcPr>
                  <w:p w:rsidR="00B637B2" w:rsidRPr="00C54ADF" w:rsidRDefault="008F04CF" w:rsidP="00B637B2">
                    <w:pPr>
                      <w:jc w:val="right"/>
                    </w:pPr>
                    <w:r w:rsidRPr="00C54ADF">
                      <w:t>-</w:t>
                    </w:r>
                  </w:p>
                </w:tc>
                <w:tc>
                  <w:tcPr>
                    <w:tcW w:w="986" w:type="pct"/>
                    <w:tcBorders>
                      <w:top w:val="outset" w:sz="4" w:space="0" w:color="auto"/>
                      <w:left w:val="outset" w:sz="4" w:space="0" w:color="auto"/>
                      <w:bottom w:val="outset" w:sz="4" w:space="0" w:color="auto"/>
                      <w:right w:val="outset" w:sz="4" w:space="0" w:color="auto"/>
                    </w:tcBorders>
                    <w:vAlign w:val="center"/>
                  </w:tcPr>
                  <w:p w:rsidR="00B637B2" w:rsidRPr="00C54ADF" w:rsidRDefault="00B637B2" w:rsidP="00B637B2">
                    <w:pPr>
                      <w:jc w:val="right"/>
                    </w:pPr>
                  </w:p>
                </w:tc>
              </w:tr>
              <w:tr w:rsidR="00B637B2" w:rsidTr="00B637B2">
                <w:sdt>
                  <w:sdtPr>
                    <w:tag w:val="_PLD_120db261af8f49df8aaf60cf2fb46c78"/>
                    <w:id w:val="1116418355"/>
                    <w:lock w:val="sdtLocked"/>
                  </w:sdtPr>
                  <w:sdtContent>
                    <w:tc>
                      <w:tcPr>
                        <w:tcW w:w="1765"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pPr>
                        <w:r>
                          <w:rPr>
                            <w:rFonts w:hint="eastAsia"/>
                          </w:rPr>
                          <w:t>应付账款</w:t>
                        </w:r>
                      </w:p>
                    </w:tc>
                  </w:sdtContent>
                </w:sdt>
                <w:tc>
                  <w:tcPr>
                    <w:tcW w:w="1124" w:type="pct"/>
                    <w:tcBorders>
                      <w:top w:val="outset" w:sz="4" w:space="0" w:color="auto"/>
                      <w:left w:val="outset" w:sz="4" w:space="0" w:color="auto"/>
                      <w:bottom w:val="outset" w:sz="4" w:space="0" w:color="auto"/>
                      <w:right w:val="outset" w:sz="4" w:space="0" w:color="auto"/>
                    </w:tcBorders>
                    <w:vAlign w:val="center"/>
                  </w:tcPr>
                  <w:p w:rsidR="00B637B2" w:rsidRPr="00C54ADF" w:rsidRDefault="008F04CF" w:rsidP="00B637B2">
                    <w:pPr>
                      <w:jc w:val="right"/>
                    </w:pPr>
                    <w:r w:rsidRPr="00C54ADF">
                      <w:t>171,967,237</w:t>
                    </w:r>
                  </w:p>
                </w:tc>
                <w:tc>
                  <w:tcPr>
                    <w:tcW w:w="1125" w:type="pct"/>
                    <w:tcBorders>
                      <w:top w:val="outset" w:sz="4" w:space="0" w:color="auto"/>
                      <w:left w:val="outset" w:sz="4" w:space="0" w:color="auto"/>
                      <w:bottom w:val="outset" w:sz="4" w:space="0" w:color="auto"/>
                      <w:right w:val="outset" w:sz="4" w:space="0" w:color="auto"/>
                    </w:tcBorders>
                    <w:vAlign w:val="center"/>
                  </w:tcPr>
                  <w:p w:rsidR="00B637B2" w:rsidRPr="00C54ADF" w:rsidRDefault="008F04CF" w:rsidP="00B637B2">
                    <w:pPr>
                      <w:jc w:val="right"/>
                    </w:pPr>
                    <w:r w:rsidRPr="00C54ADF">
                      <w:t>171,967,237</w:t>
                    </w:r>
                  </w:p>
                </w:tc>
                <w:tc>
                  <w:tcPr>
                    <w:tcW w:w="986" w:type="pct"/>
                    <w:tcBorders>
                      <w:top w:val="outset" w:sz="4" w:space="0" w:color="auto"/>
                      <w:left w:val="outset" w:sz="4" w:space="0" w:color="auto"/>
                      <w:bottom w:val="outset" w:sz="4" w:space="0" w:color="auto"/>
                      <w:right w:val="outset" w:sz="4" w:space="0" w:color="auto"/>
                    </w:tcBorders>
                    <w:vAlign w:val="center"/>
                  </w:tcPr>
                  <w:p w:rsidR="00B637B2" w:rsidRPr="00C54ADF" w:rsidRDefault="00B637B2" w:rsidP="00B637B2">
                    <w:pPr>
                      <w:jc w:val="right"/>
                    </w:pPr>
                  </w:p>
                </w:tc>
              </w:tr>
              <w:tr w:rsidR="00B637B2" w:rsidTr="00B637B2">
                <w:sdt>
                  <w:sdtPr>
                    <w:tag w:val="_PLD_d034864597704b55a5f3f7f998469d5b"/>
                    <w:id w:val="-1239168809"/>
                    <w:lock w:val="sdtLocked"/>
                  </w:sdtPr>
                  <w:sdtContent>
                    <w:tc>
                      <w:tcPr>
                        <w:tcW w:w="1765"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预收款项</w:t>
                        </w:r>
                      </w:p>
                    </w:tc>
                  </w:sdtContent>
                </w:sdt>
                <w:tc>
                  <w:tcPr>
                    <w:tcW w:w="1124" w:type="pct"/>
                    <w:tcBorders>
                      <w:top w:val="outset" w:sz="4" w:space="0" w:color="auto"/>
                      <w:left w:val="outset" w:sz="4" w:space="0" w:color="auto"/>
                      <w:bottom w:val="outset" w:sz="4" w:space="0" w:color="auto"/>
                      <w:right w:val="outset" w:sz="4" w:space="0" w:color="auto"/>
                    </w:tcBorders>
                    <w:vAlign w:val="center"/>
                  </w:tcPr>
                  <w:p w:rsidR="00B637B2" w:rsidRPr="00C54ADF" w:rsidRDefault="008F04CF" w:rsidP="00B637B2">
                    <w:pPr>
                      <w:jc w:val="right"/>
                    </w:pPr>
                    <w:r w:rsidRPr="00C54ADF">
                      <w:t>429,741,602</w:t>
                    </w:r>
                  </w:p>
                </w:tc>
                <w:tc>
                  <w:tcPr>
                    <w:tcW w:w="1125" w:type="pct"/>
                    <w:tcBorders>
                      <w:top w:val="outset" w:sz="4" w:space="0" w:color="auto"/>
                      <w:left w:val="outset" w:sz="4" w:space="0" w:color="auto"/>
                      <w:bottom w:val="outset" w:sz="4" w:space="0" w:color="auto"/>
                      <w:right w:val="outset" w:sz="4" w:space="0" w:color="auto"/>
                    </w:tcBorders>
                    <w:vAlign w:val="center"/>
                  </w:tcPr>
                  <w:p w:rsidR="00B637B2" w:rsidRPr="00C54ADF" w:rsidRDefault="008F04CF" w:rsidP="00B637B2">
                    <w:pPr>
                      <w:jc w:val="right"/>
                    </w:pPr>
                    <w:r w:rsidRPr="00C54ADF">
                      <w:t>429,741,602</w:t>
                    </w:r>
                  </w:p>
                </w:tc>
                <w:tc>
                  <w:tcPr>
                    <w:tcW w:w="986" w:type="pct"/>
                    <w:tcBorders>
                      <w:top w:val="outset" w:sz="4" w:space="0" w:color="auto"/>
                      <w:left w:val="outset" w:sz="4" w:space="0" w:color="auto"/>
                      <w:bottom w:val="outset" w:sz="4" w:space="0" w:color="auto"/>
                      <w:right w:val="outset" w:sz="4" w:space="0" w:color="auto"/>
                    </w:tcBorders>
                    <w:vAlign w:val="center"/>
                  </w:tcPr>
                  <w:p w:rsidR="00B637B2" w:rsidRPr="00C54ADF" w:rsidRDefault="00B637B2" w:rsidP="00B637B2">
                    <w:pPr>
                      <w:jc w:val="right"/>
                    </w:pPr>
                  </w:p>
                </w:tc>
              </w:tr>
              <w:tr w:rsidR="00B637B2" w:rsidTr="00B637B2">
                <w:tc>
                  <w:tcPr>
                    <w:tcW w:w="176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8561f0d0a0a34a85828d80c58f692fff"/>
                      <w:id w:val="982976652"/>
                      <w:lock w:val="sdtLocked"/>
                    </w:sdtPr>
                    <w:sdtContent>
                      <w:p w:rsidR="00B637B2" w:rsidRDefault="008F04CF" w:rsidP="00B637B2">
                        <w:pPr>
                          <w:ind w:firstLineChars="100" w:firstLine="210"/>
                        </w:pPr>
                        <w:r>
                          <w:rPr>
                            <w:rFonts w:hint="eastAsia"/>
                          </w:rPr>
                          <w:t>合同负债</w:t>
                        </w:r>
                      </w:p>
                    </w:sdtContent>
                  </w:sdt>
                </w:tc>
                <w:tc>
                  <w:tcPr>
                    <w:tcW w:w="1124" w:type="pct"/>
                    <w:tcBorders>
                      <w:top w:val="outset" w:sz="4" w:space="0" w:color="auto"/>
                      <w:left w:val="outset" w:sz="4" w:space="0" w:color="auto"/>
                      <w:bottom w:val="outset" w:sz="4" w:space="0" w:color="auto"/>
                      <w:right w:val="outset" w:sz="4" w:space="0" w:color="auto"/>
                    </w:tcBorders>
                    <w:vAlign w:val="center"/>
                  </w:tcPr>
                  <w:p w:rsidR="00B637B2" w:rsidRPr="00C54ADF" w:rsidRDefault="008F04CF" w:rsidP="00B637B2">
                    <w:pPr>
                      <w:jc w:val="right"/>
                    </w:pPr>
                    <w:r>
                      <w:rPr>
                        <w:rFonts w:hint="eastAsia"/>
                      </w:rPr>
                      <w:t>-</w:t>
                    </w:r>
                  </w:p>
                </w:tc>
                <w:tc>
                  <w:tcPr>
                    <w:tcW w:w="1125" w:type="pct"/>
                    <w:tcBorders>
                      <w:top w:val="outset" w:sz="4" w:space="0" w:color="auto"/>
                      <w:left w:val="outset" w:sz="4" w:space="0" w:color="auto"/>
                      <w:bottom w:val="outset" w:sz="4" w:space="0" w:color="auto"/>
                      <w:right w:val="outset" w:sz="4" w:space="0" w:color="auto"/>
                    </w:tcBorders>
                    <w:vAlign w:val="center"/>
                  </w:tcPr>
                  <w:p w:rsidR="00B637B2" w:rsidRPr="00C54ADF" w:rsidRDefault="008F04CF" w:rsidP="00B637B2">
                    <w:pPr>
                      <w:jc w:val="right"/>
                    </w:pPr>
                    <w:r>
                      <w:rPr>
                        <w:rFonts w:hint="eastAsia"/>
                      </w:rPr>
                      <w:t>-</w:t>
                    </w:r>
                  </w:p>
                </w:tc>
                <w:tc>
                  <w:tcPr>
                    <w:tcW w:w="986" w:type="pct"/>
                    <w:tcBorders>
                      <w:top w:val="outset" w:sz="4" w:space="0" w:color="auto"/>
                      <w:left w:val="outset" w:sz="4" w:space="0" w:color="auto"/>
                      <w:bottom w:val="outset" w:sz="4" w:space="0" w:color="auto"/>
                      <w:right w:val="outset" w:sz="4" w:space="0" w:color="auto"/>
                    </w:tcBorders>
                    <w:vAlign w:val="center"/>
                  </w:tcPr>
                  <w:p w:rsidR="00B637B2" w:rsidRPr="00C54ADF" w:rsidRDefault="00B637B2" w:rsidP="00B637B2">
                    <w:pPr>
                      <w:jc w:val="right"/>
                    </w:pPr>
                  </w:p>
                </w:tc>
              </w:tr>
              <w:tr w:rsidR="00B637B2" w:rsidTr="00B637B2">
                <w:sdt>
                  <w:sdtPr>
                    <w:tag w:val="_PLD_fe577d9706c54cc5a0e6f7a4f5604308"/>
                    <w:id w:val="987747019"/>
                    <w:lock w:val="sdtLocked"/>
                  </w:sdtPr>
                  <w:sdtContent>
                    <w:tc>
                      <w:tcPr>
                        <w:tcW w:w="1765"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应付职工薪酬</w:t>
                        </w:r>
                      </w:p>
                    </w:tc>
                  </w:sdtContent>
                </w:sdt>
                <w:tc>
                  <w:tcPr>
                    <w:tcW w:w="1124" w:type="pct"/>
                    <w:tcBorders>
                      <w:top w:val="outset" w:sz="4" w:space="0" w:color="auto"/>
                      <w:left w:val="outset" w:sz="4" w:space="0" w:color="auto"/>
                      <w:bottom w:val="outset" w:sz="4" w:space="0" w:color="auto"/>
                      <w:right w:val="outset" w:sz="4" w:space="0" w:color="auto"/>
                    </w:tcBorders>
                    <w:vAlign w:val="center"/>
                  </w:tcPr>
                  <w:p w:rsidR="00B637B2" w:rsidRPr="00C54ADF" w:rsidRDefault="008F04CF" w:rsidP="00B637B2">
                    <w:pPr>
                      <w:jc w:val="right"/>
                    </w:pPr>
                    <w:r w:rsidRPr="00C54ADF">
                      <w:t>485,835,578</w:t>
                    </w:r>
                  </w:p>
                </w:tc>
                <w:tc>
                  <w:tcPr>
                    <w:tcW w:w="1125" w:type="pct"/>
                    <w:tcBorders>
                      <w:top w:val="outset" w:sz="4" w:space="0" w:color="auto"/>
                      <w:left w:val="outset" w:sz="4" w:space="0" w:color="auto"/>
                      <w:bottom w:val="outset" w:sz="4" w:space="0" w:color="auto"/>
                      <w:right w:val="outset" w:sz="4" w:space="0" w:color="auto"/>
                    </w:tcBorders>
                    <w:vAlign w:val="center"/>
                  </w:tcPr>
                  <w:p w:rsidR="00B637B2" w:rsidRPr="00C54ADF" w:rsidRDefault="008F04CF" w:rsidP="00B637B2">
                    <w:pPr>
                      <w:jc w:val="right"/>
                    </w:pPr>
                    <w:r w:rsidRPr="00C54ADF">
                      <w:t>485,835,578</w:t>
                    </w:r>
                  </w:p>
                </w:tc>
                <w:tc>
                  <w:tcPr>
                    <w:tcW w:w="986" w:type="pct"/>
                    <w:tcBorders>
                      <w:top w:val="outset" w:sz="4" w:space="0" w:color="auto"/>
                      <w:left w:val="outset" w:sz="4" w:space="0" w:color="auto"/>
                      <w:bottom w:val="outset" w:sz="4" w:space="0" w:color="auto"/>
                      <w:right w:val="outset" w:sz="4" w:space="0" w:color="auto"/>
                    </w:tcBorders>
                    <w:vAlign w:val="center"/>
                  </w:tcPr>
                  <w:p w:rsidR="00B637B2" w:rsidRPr="00C54ADF" w:rsidRDefault="00B637B2" w:rsidP="00B637B2">
                    <w:pPr>
                      <w:jc w:val="right"/>
                    </w:pPr>
                  </w:p>
                </w:tc>
              </w:tr>
              <w:tr w:rsidR="00B637B2" w:rsidTr="00B637B2">
                <w:sdt>
                  <w:sdtPr>
                    <w:tag w:val="_PLD_51b9a6704bb24333afd79a9e810f3762"/>
                    <w:id w:val="263662156"/>
                    <w:lock w:val="sdtLocked"/>
                  </w:sdtPr>
                  <w:sdtContent>
                    <w:tc>
                      <w:tcPr>
                        <w:tcW w:w="1765"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应交税费</w:t>
                        </w:r>
                      </w:p>
                    </w:tc>
                  </w:sdtContent>
                </w:sdt>
                <w:tc>
                  <w:tcPr>
                    <w:tcW w:w="1124" w:type="pct"/>
                    <w:tcBorders>
                      <w:top w:val="outset" w:sz="4" w:space="0" w:color="auto"/>
                      <w:left w:val="outset" w:sz="4" w:space="0" w:color="auto"/>
                      <w:bottom w:val="outset" w:sz="4" w:space="0" w:color="auto"/>
                      <w:right w:val="outset" w:sz="4" w:space="0" w:color="auto"/>
                    </w:tcBorders>
                    <w:vAlign w:val="center"/>
                  </w:tcPr>
                  <w:p w:rsidR="00B637B2" w:rsidRPr="00C54ADF" w:rsidRDefault="008F04CF" w:rsidP="00B637B2">
                    <w:pPr>
                      <w:jc w:val="right"/>
                    </w:pPr>
                    <w:r>
                      <w:t>117,402,749</w:t>
                    </w:r>
                  </w:p>
                </w:tc>
                <w:tc>
                  <w:tcPr>
                    <w:tcW w:w="1125" w:type="pct"/>
                    <w:tcBorders>
                      <w:top w:val="outset" w:sz="4" w:space="0" w:color="auto"/>
                      <w:left w:val="outset" w:sz="4" w:space="0" w:color="auto"/>
                      <w:bottom w:val="outset" w:sz="4" w:space="0" w:color="auto"/>
                      <w:right w:val="outset" w:sz="4" w:space="0" w:color="auto"/>
                    </w:tcBorders>
                    <w:vAlign w:val="center"/>
                  </w:tcPr>
                  <w:p w:rsidR="00B637B2" w:rsidRPr="00C54ADF" w:rsidRDefault="008F04CF" w:rsidP="00B637B2">
                    <w:pPr>
                      <w:jc w:val="right"/>
                    </w:pPr>
                    <w:r>
                      <w:t>117,402,749</w:t>
                    </w:r>
                  </w:p>
                </w:tc>
                <w:tc>
                  <w:tcPr>
                    <w:tcW w:w="986" w:type="pct"/>
                    <w:tcBorders>
                      <w:top w:val="outset" w:sz="4" w:space="0" w:color="auto"/>
                      <w:left w:val="outset" w:sz="4" w:space="0" w:color="auto"/>
                      <w:bottom w:val="outset" w:sz="4" w:space="0" w:color="auto"/>
                      <w:right w:val="outset" w:sz="4" w:space="0" w:color="auto"/>
                    </w:tcBorders>
                    <w:vAlign w:val="center"/>
                  </w:tcPr>
                  <w:p w:rsidR="00B637B2" w:rsidRPr="00C54ADF" w:rsidRDefault="00B637B2" w:rsidP="00B637B2">
                    <w:pPr>
                      <w:jc w:val="right"/>
                    </w:pPr>
                  </w:p>
                </w:tc>
              </w:tr>
              <w:tr w:rsidR="00B637B2" w:rsidTr="00B637B2">
                <w:sdt>
                  <w:sdtPr>
                    <w:tag w:val="_PLD_6c899088837047b59f06e1ea234d6e77"/>
                    <w:id w:val="-477073852"/>
                    <w:lock w:val="sdtLocked"/>
                  </w:sdtPr>
                  <w:sdtContent>
                    <w:tc>
                      <w:tcPr>
                        <w:tcW w:w="1765"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其他应付款</w:t>
                        </w:r>
                      </w:p>
                    </w:tc>
                  </w:sdtContent>
                </w:sdt>
                <w:tc>
                  <w:tcPr>
                    <w:tcW w:w="1124" w:type="pct"/>
                    <w:tcBorders>
                      <w:top w:val="outset" w:sz="4" w:space="0" w:color="auto"/>
                      <w:left w:val="outset" w:sz="4" w:space="0" w:color="auto"/>
                      <w:bottom w:val="outset" w:sz="4" w:space="0" w:color="auto"/>
                      <w:right w:val="outset" w:sz="4" w:space="0" w:color="auto"/>
                    </w:tcBorders>
                    <w:vAlign w:val="center"/>
                  </w:tcPr>
                  <w:p w:rsidR="00B637B2" w:rsidRPr="00C54ADF" w:rsidRDefault="008F04CF" w:rsidP="00B637B2">
                    <w:pPr>
                      <w:jc w:val="right"/>
                    </w:pPr>
                    <w:r w:rsidRPr="00C54ADF">
                      <w:t>441,749,100</w:t>
                    </w:r>
                  </w:p>
                </w:tc>
                <w:tc>
                  <w:tcPr>
                    <w:tcW w:w="1125" w:type="pct"/>
                    <w:tcBorders>
                      <w:top w:val="outset" w:sz="4" w:space="0" w:color="auto"/>
                      <w:left w:val="outset" w:sz="4" w:space="0" w:color="auto"/>
                      <w:bottom w:val="outset" w:sz="4" w:space="0" w:color="auto"/>
                      <w:right w:val="outset" w:sz="4" w:space="0" w:color="auto"/>
                    </w:tcBorders>
                    <w:vAlign w:val="center"/>
                  </w:tcPr>
                  <w:p w:rsidR="00B637B2" w:rsidRPr="00C54ADF" w:rsidRDefault="008F04CF" w:rsidP="00B637B2">
                    <w:pPr>
                      <w:jc w:val="right"/>
                    </w:pPr>
                    <w:r w:rsidRPr="00C54ADF">
                      <w:t>441,749,100</w:t>
                    </w:r>
                  </w:p>
                </w:tc>
                <w:tc>
                  <w:tcPr>
                    <w:tcW w:w="986" w:type="pct"/>
                    <w:tcBorders>
                      <w:top w:val="outset" w:sz="4" w:space="0" w:color="auto"/>
                      <w:left w:val="outset" w:sz="4" w:space="0" w:color="auto"/>
                      <w:bottom w:val="outset" w:sz="4" w:space="0" w:color="auto"/>
                      <w:right w:val="outset" w:sz="4" w:space="0" w:color="auto"/>
                    </w:tcBorders>
                    <w:vAlign w:val="center"/>
                  </w:tcPr>
                  <w:p w:rsidR="00B637B2" w:rsidRPr="00C54ADF" w:rsidRDefault="00B637B2" w:rsidP="00B637B2">
                    <w:pPr>
                      <w:jc w:val="right"/>
                    </w:pPr>
                  </w:p>
                </w:tc>
              </w:tr>
              <w:tr w:rsidR="00B637B2" w:rsidTr="00B637B2">
                <w:sdt>
                  <w:sdtPr>
                    <w:tag w:val="_PLD_32cf39725ac848019b8f693468e6c1df"/>
                    <w:id w:val="1851221990"/>
                    <w:lock w:val="sdtLocked"/>
                  </w:sdtPr>
                  <w:sdtContent>
                    <w:tc>
                      <w:tcPr>
                        <w:tcW w:w="1765"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rPr>
                          <w:t>其中：</w:t>
                        </w:r>
                        <w:r>
                          <w:rPr>
                            <w:rFonts w:hint="eastAsia"/>
                            <w:szCs w:val="21"/>
                          </w:rPr>
                          <w:t>应付利息</w:t>
                        </w:r>
                      </w:p>
                    </w:tc>
                  </w:sdtContent>
                </w:sdt>
                <w:tc>
                  <w:tcPr>
                    <w:tcW w:w="1124" w:type="pct"/>
                    <w:tcBorders>
                      <w:top w:val="outset" w:sz="4" w:space="0" w:color="auto"/>
                      <w:left w:val="outset" w:sz="4" w:space="0" w:color="auto"/>
                      <w:bottom w:val="outset" w:sz="4" w:space="0" w:color="auto"/>
                      <w:right w:val="outset" w:sz="4" w:space="0" w:color="auto"/>
                    </w:tcBorders>
                    <w:vAlign w:val="center"/>
                  </w:tcPr>
                  <w:p w:rsidR="00B637B2" w:rsidRPr="00C54ADF" w:rsidRDefault="008F04CF" w:rsidP="00B637B2">
                    <w:pPr>
                      <w:jc w:val="right"/>
                    </w:pPr>
                    <w:r w:rsidRPr="00C54ADF">
                      <w:t>-</w:t>
                    </w:r>
                  </w:p>
                </w:tc>
                <w:tc>
                  <w:tcPr>
                    <w:tcW w:w="1125" w:type="pct"/>
                    <w:tcBorders>
                      <w:top w:val="outset" w:sz="4" w:space="0" w:color="auto"/>
                      <w:left w:val="outset" w:sz="4" w:space="0" w:color="auto"/>
                      <w:bottom w:val="outset" w:sz="4" w:space="0" w:color="auto"/>
                      <w:right w:val="outset" w:sz="4" w:space="0" w:color="auto"/>
                    </w:tcBorders>
                    <w:vAlign w:val="center"/>
                  </w:tcPr>
                  <w:p w:rsidR="00B637B2" w:rsidRPr="00C54ADF" w:rsidRDefault="008F04CF" w:rsidP="00B637B2">
                    <w:pPr>
                      <w:jc w:val="right"/>
                    </w:pPr>
                    <w:r w:rsidRPr="00C54ADF">
                      <w:t>-</w:t>
                    </w:r>
                  </w:p>
                </w:tc>
                <w:tc>
                  <w:tcPr>
                    <w:tcW w:w="986" w:type="pct"/>
                    <w:tcBorders>
                      <w:top w:val="outset" w:sz="4" w:space="0" w:color="auto"/>
                      <w:left w:val="outset" w:sz="4" w:space="0" w:color="auto"/>
                      <w:bottom w:val="outset" w:sz="4" w:space="0" w:color="auto"/>
                      <w:right w:val="outset" w:sz="4" w:space="0" w:color="auto"/>
                    </w:tcBorders>
                    <w:vAlign w:val="center"/>
                  </w:tcPr>
                  <w:p w:rsidR="00B637B2" w:rsidRPr="00C54ADF" w:rsidRDefault="00B637B2" w:rsidP="00B637B2">
                    <w:pPr>
                      <w:jc w:val="right"/>
                    </w:pPr>
                  </w:p>
                </w:tc>
              </w:tr>
              <w:tr w:rsidR="00B637B2" w:rsidTr="00B637B2">
                <w:sdt>
                  <w:sdtPr>
                    <w:tag w:val="_PLD_d6b3a45e82e14416b52097ea23c99d71"/>
                    <w:id w:val="1040862757"/>
                    <w:lock w:val="sdtLocked"/>
                  </w:sdtPr>
                  <w:sdtContent>
                    <w:tc>
                      <w:tcPr>
                        <w:tcW w:w="1765"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400" w:firstLine="840"/>
                          <w:rPr>
                            <w:szCs w:val="21"/>
                          </w:rPr>
                        </w:pPr>
                        <w:r>
                          <w:rPr>
                            <w:rFonts w:hint="eastAsia"/>
                            <w:szCs w:val="21"/>
                          </w:rPr>
                          <w:t>应付股利</w:t>
                        </w:r>
                      </w:p>
                    </w:tc>
                  </w:sdtContent>
                </w:sdt>
                <w:tc>
                  <w:tcPr>
                    <w:tcW w:w="1124" w:type="pct"/>
                    <w:tcBorders>
                      <w:top w:val="outset" w:sz="4" w:space="0" w:color="auto"/>
                      <w:left w:val="outset" w:sz="4" w:space="0" w:color="auto"/>
                      <w:bottom w:val="outset" w:sz="4" w:space="0" w:color="auto"/>
                      <w:right w:val="outset" w:sz="4" w:space="0" w:color="auto"/>
                    </w:tcBorders>
                    <w:vAlign w:val="center"/>
                  </w:tcPr>
                  <w:p w:rsidR="00B637B2" w:rsidRPr="00C54ADF" w:rsidRDefault="008F04CF" w:rsidP="00B637B2">
                    <w:pPr>
                      <w:jc w:val="right"/>
                    </w:pPr>
                    <w:r w:rsidRPr="00C54ADF">
                      <w:t>-</w:t>
                    </w:r>
                  </w:p>
                </w:tc>
                <w:tc>
                  <w:tcPr>
                    <w:tcW w:w="1125" w:type="pct"/>
                    <w:tcBorders>
                      <w:top w:val="outset" w:sz="4" w:space="0" w:color="auto"/>
                      <w:left w:val="outset" w:sz="4" w:space="0" w:color="auto"/>
                      <w:bottom w:val="outset" w:sz="4" w:space="0" w:color="auto"/>
                      <w:right w:val="outset" w:sz="4" w:space="0" w:color="auto"/>
                    </w:tcBorders>
                    <w:vAlign w:val="center"/>
                  </w:tcPr>
                  <w:p w:rsidR="00B637B2" w:rsidRPr="00C54ADF" w:rsidRDefault="008F04CF" w:rsidP="00B637B2">
                    <w:pPr>
                      <w:jc w:val="right"/>
                    </w:pPr>
                    <w:r w:rsidRPr="00C54ADF">
                      <w:t>-</w:t>
                    </w:r>
                  </w:p>
                </w:tc>
                <w:tc>
                  <w:tcPr>
                    <w:tcW w:w="986" w:type="pct"/>
                    <w:tcBorders>
                      <w:top w:val="outset" w:sz="4" w:space="0" w:color="auto"/>
                      <w:left w:val="outset" w:sz="4" w:space="0" w:color="auto"/>
                      <w:bottom w:val="outset" w:sz="4" w:space="0" w:color="auto"/>
                      <w:right w:val="outset" w:sz="4" w:space="0" w:color="auto"/>
                    </w:tcBorders>
                    <w:vAlign w:val="center"/>
                  </w:tcPr>
                  <w:p w:rsidR="00B637B2" w:rsidRPr="00C54ADF" w:rsidRDefault="00B637B2" w:rsidP="00B637B2">
                    <w:pPr>
                      <w:jc w:val="right"/>
                    </w:pPr>
                  </w:p>
                </w:tc>
              </w:tr>
              <w:tr w:rsidR="00B637B2" w:rsidTr="00B637B2">
                <w:sdt>
                  <w:sdtPr>
                    <w:tag w:val="_PLD_096b25761952479bbcd407760f4ca6e6"/>
                    <w:id w:val="1117249839"/>
                    <w:lock w:val="sdtLocked"/>
                  </w:sdtPr>
                  <w:sdtContent>
                    <w:tc>
                      <w:tcPr>
                        <w:tcW w:w="1765"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持有待售负债</w:t>
                        </w:r>
                      </w:p>
                    </w:tc>
                  </w:sdtContent>
                </w:sdt>
                <w:tc>
                  <w:tcPr>
                    <w:tcW w:w="1124" w:type="pct"/>
                    <w:tcBorders>
                      <w:top w:val="outset" w:sz="4" w:space="0" w:color="auto"/>
                      <w:left w:val="outset" w:sz="4" w:space="0" w:color="auto"/>
                      <w:bottom w:val="outset" w:sz="4" w:space="0" w:color="auto"/>
                      <w:right w:val="outset" w:sz="4" w:space="0" w:color="auto"/>
                    </w:tcBorders>
                    <w:vAlign w:val="center"/>
                  </w:tcPr>
                  <w:p w:rsidR="00B637B2" w:rsidRPr="00CE2DC1" w:rsidRDefault="008F04CF" w:rsidP="00B637B2">
                    <w:pPr>
                      <w:jc w:val="right"/>
                    </w:pPr>
                    <w:r>
                      <w:rPr>
                        <w:rFonts w:hint="eastAsia"/>
                      </w:rPr>
                      <w:t>-</w:t>
                    </w:r>
                  </w:p>
                </w:tc>
                <w:tc>
                  <w:tcPr>
                    <w:tcW w:w="1125" w:type="pct"/>
                    <w:tcBorders>
                      <w:top w:val="outset" w:sz="4" w:space="0" w:color="auto"/>
                      <w:left w:val="outset" w:sz="4" w:space="0" w:color="auto"/>
                      <w:bottom w:val="outset" w:sz="4" w:space="0" w:color="auto"/>
                      <w:right w:val="outset" w:sz="4" w:space="0" w:color="auto"/>
                    </w:tcBorders>
                    <w:vAlign w:val="center"/>
                  </w:tcPr>
                  <w:p w:rsidR="00B637B2" w:rsidRPr="00CE2DC1" w:rsidRDefault="008F04CF" w:rsidP="00B637B2">
                    <w:pPr>
                      <w:jc w:val="right"/>
                    </w:pPr>
                    <w:r>
                      <w:rPr>
                        <w:rFonts w:hint="eastAsia"/>
                      </w:rPr>
                      <w:t>-</w:t>
                    </w:r>
                  </w:p>
                </w:tc>
                <w:tc>
                  <w:tcPr>
                    <w:tcW w:w="986" w:type="pct"/>
                    <w:tcBorders>
                      <w:top w:val="outset" w:sz="4" w:space="0" w:color="auto"/>
                      <w:left w:val="outset" w:sz="4" w:space="0" w:color="auto"/>
                      <w:bottom w:val="outset" w:sz="4" w:space="0" w:color="auto"/>
                      <w:right w:val="outset" w:sz="4" w:space="0" w:color="auto"/>
                    </w:tcBorders>
                    <w:vAlign w:val="center"/>
                  </w:tcPr>
                  <w:p w:rsidR="00B637B2" w:rsidRDefault="00B637B2" w:rsidP="00B637B2">
                    <w:pPr>
                      <w:jc w:val="right"/>
                    </w:pPr>
                  </w:p>
                </w:tc>
              </w:tr>
              <w:tr w:rsidR="00B637B2" w:rsidTr="00B637B2">
                <w:sdt>
                  <w:sdtPr>
                    <w:tag w:val="_PLD_57f107b54d7347ddb70cc3541d45fd9a"/>
                    <w:id w:val="630519832"/>
                    <w:lock w:val="sdtLocked"/>
                  </w:sdtPr>
                  <w:sdtContent>
                    <w:tc>
                      <w:tcPr>
                        <w:tcW w:w="1765"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一年内到期的非流动负债</w:t>
                        </w:r>
                      </w:p>
                    </w:tc>
                  </w:sdtContent>
                </w:sdt>
                <w:tc>
                  <w:tcPr>
                    <w:tcW w:w="1124" w:type="pct"/>
                    <w:tcBorders>
                      <w:top w:val="outset" w:sz="4" w:space="0" w:color="auto"/>
                      <w:left w:val="outset" w:sz="4" w:space="0" w:color="auto"/>
                      <w:bottom w:val="outset" w:sz="4" w:space="0" w:color="auto"/>
                      <w:right w:val="outset" w:sz="4" w:space="0" w:color="auto"/>
                    </w:tcBorders>
                    <w:vAlign w:val="center"/>
                  </w:tcPr>
                  <w:p w:rsidR="00B637B2" w:rsidRPr="00D157B8" w:rsidRDefault="008F04CF" w:rsidP="00B637B2">
                    <w:pPr>
                      <w:jc w:val="right"/>
                    </w:pPr>
                    <w:r w:rsidRPr="00D157B8">
                      <w:t>81,621,227</w:t>
                    </w:r>
                  </w:p>
                </w:tc>
                <w:tc>
                  <w:tcPr>
                    <w:tcW w:w="1125" w:type="pct"/>
                    <w:tcBorders>
                      <w:top w:val="outset" w:sz="4" w:space="0" w:color="auto"/>
                      <w:left w:val="outset" w:sz="4" w:space="0" w:color="auto"/>
                      <w:bottom w:val="outset" w:sz="4" w:space="0" w:color="auto"/>
                      <w:right w:val="outset" w:sz="4" w:space="0" w:color="auto"/>
                    </w:tcBorders>
                    <w:vAlign w:val="center"/>
                  </w:tcPr>
                  <w:p w:rsidR="00B637B2" w:rsidRPr="00D157B8" w:rsidRDefault="00036BDC" w:rsidP="00B637B2">
                    <w:pPr>
                      <w:jc w:val="right"/>
                    </w:pPr>
                    <w:r w:rsidRPr="00C34347">
                      <w:t>58,471,227</w:t>
                    </w:r>
                  </w:p>
                </w:tc>
                <w:tc>
                  <w:tcPr>
                    <w:tcW w:w="986" w:type="pct"/>
                    <w:tcBorders>
                      <w:top w:val="outset" w:sz="4" w:space="0" w:color="auto"/>
                      <w:left w:val="outset" w:sz="4" w:space="0" w:color="auto"/>
                      <w:bottom w:val="outset" w:sz="4" w:space="0" w:color="auto"/>
                      <w:right w:val="outset" w:sz="4" w:space="0" w:color="auto"/>
                    </w:tcBorders>
                    <w:vAlign w:val="center"/>
                  </w:tcPr>
                  <w:p w:rsidR="00B637B2" w:rsidRPr="00D157B8" w:rsidRDefault="00036BDC" w:rsidP="00B637B2">
                    <w:pPr>
                      <w:jc w:val="right"/>
                    </w:pPr>
                    <w:r w:rsidRPr="00C34347">
                      <w:t>-23,150,000</w:t>
                    </w:r>
                  </w:p>
                </w:tc>
              </w:tr>
              <w:tr w:rsidR="00B637B2" w:rsidTr="00B637B2">
                <w:sdt>
                  <w:sdtPr>
                    <w:tag w:val="_PLD_cfb10e5f20a24287a1f812e4f551eb22"/>
                    <w:id w:val="238228540"/>
                    <w:lock w:val="sdtLocked"/>
                  </w:sdtPr>
                  <w:sdtContent>
                    <w:tc>
                      <w:tcPr>
                        <w:tcW w:w="1765"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其他流动负债</w:t>
                        </w:r>
                      </w:p>
                    </w:tc>
                  </w:sdtContent>
                </w:sdt>
                <w:tc>
                  <w:tcPr>
                    <w:tcW w:w="1124" w:type="pct"/>
                    <w:tcBorders>
                      <w:top w:val="outset" w:sz="4" w:space="0" w:color="auto"/>
                      <w:left w:val="outset" w:sz="4" w:space="0" w:color="auto"/>
                      <w:bottom w:val="outset" w:sz="4" w:space="0" w:color="auto"/>
                      <w:right w:val="outset" w:sz="4" w:space="0" w:color="auto"/>
                    </w:tcBorders>
                    <w:vAlign w:val="center"/>
                  </w:tcPr>
                  <w:p w:rsidR="00B637B2" w:rsidRPr="00D157B8" w:rsidRDefault="008F04CF" w:rsidP="00B637B2">
                    <w:pPr>
                      <w:jc w:val="right"/>
                    </w:pPr>
                    <w:r>
                      <w:t>91,170,839</w:t>
                    </w:r>
                  </w:p>
                </w:tc>
                <w:tc>
                  <w:tcPr>
                    <w:tcW w:w="1125" w:type="pct"/>
                    <w:tcBorders>
                      <w:top w:val="outset" w:sz="4" w:space="0" w:color="auto"/>
                      <w:left w:val="outset" w:sz="4" w:space="0" w:color="auto"/>
                      <w:bottom w:val="outset" w:sz="4" w:space="0" w:color="auto"/>
                      <w:right w:val="outset" w:sz="4" w:space="0" w:color="auto"/>
                    </w:tcBorders>
                    <w:vAlign w:val="center"/>
                  </w:tcPr>
                  <w:p w:rsidR="00B637B2" w:rsidRPr="00D157B8" w:rsidRDefault="008F04CF" w:rsidP="00B637B2">
                    <w:pPr>
                      <w:jc w:val="right"/>
                    </w:pPr>
                    <w:r>
                      <w:t>91,170,839</w:t>
                    </w:r>
                  </w:p>
                </w:tc>
                <w:tc>
                  <w:tcPr>
                    <w:tcW w:w="986" w:type="pct"/>
                    <w:tcBorders>
                      <w:top w:val="outset" w:sz="4" w:space="0" w:color="auto"/>
                      <w:left w:val="outset" w:sz="4" w:space="0" w:color="auto"/>
                      <w:bottom w:val="outset" w:sz="4" w:space="0" w:color="auto"/>
                      <w:right w:val="outset" w:sz="4" w:space="0" w:color="auto"/>
                    </w:tcBorders>
                    <w:vAlign w:val="center"/>
                  </w:tcPr>
                  <w:p w:rsidR="00B637B2" w:rsidRPr="00D157B8" w:rsidRDefault="00B637B2" w:rsidP="00B637B2">
                    <w:pPr>
                      <w:jc w:val="right"/>
                    </w:pPr>
                  </w:p>
                </w:tc>
              </w:tr>
              <w:tr w:rsidR="00B637B2" w:rsidTr="00B637B2">
                <w:sdt>
                  <w:sdtPr>
                    <w:tag w:val="_PLD_bf4cf672283f4e4d98b659444f70f237"/>
                    <w:id w:val="-1887633404"/>
                    <w:lock w:val="sdtLocked"/>
                  </w:sdtPr>
                  <w:sdtContent>
                    <w:tc>
                      <w:tcPr>
                        <w:tcW w:w="1765"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200" w:firstLine="420"/>
                          <w:rPr>
                            <w:szCs w:val="21"/>
                          </w:rPr>
                        </w:pPr>
                        <w:r>
                          <w:rPr>
                            <w:rFonts w:hint="eastAsia"/>
                            <w:szCs w:val="21"/>
                          </w:rPr>
                          <w:t>流动负债合计</w:t>
                        </w:r>
                      </w:p>
                    </w:tc>
                  </w:sdtContent>
                </w:sdt>
                <w:tc>
                  <w:tcPr>
                    <w:tcW w:w="1124" w:type="pct"/>
                    <w:tcBorders>
                      <w:top w:val="outset" w:sz="4" w:space="0" w:color="auto"/>
                      <w:left w:val="outset" w:sz="4" w:space="0" w:color="auto"/>
                      <w:bottom w:val="outset" w:sz="4" w:space="0" w:color="auto"/>
                      <w:right w:val="outset" w:sz="4" w:space="0" w:color="auto"/>
                    </w:tcBorders>
                    <w:vAlign w:val="center"/>
                  </w:tcPr>
                  <w:p w:rsidR="00B637B2" w:rsidRPr="00D157B8" w:rsidRDefault="008F04CF" w:rsidP="00B637B2">
                    <w:pPr>
                      <w:jc w:val="right"/>
                    </w:pPr>
                    <w:r w:rsidRPr="00D157B8">
                      <w:t>5,219,415,610</w:t>
                    </w:r>
                  </w:p>
                </w:tc>
                <w:tc>
                  <w:tcPr>
                    <w:tcW w:w="1125" w:type="pct"/>
                    <w:tcBorders>
                      <w:top w:val="outset" w:sz="4" w:space="0" w:color="auto"/>
                      <w:left w:val="outset" w:sz="4" w:space="0" w:color="auto"/>
                      <w:bottom w:val="outset" w:sz="4" w:space="0" w:color="auto"/>
                      <w:right w:val="outset" w:sz="4" w:space="0" w:color="auto"/>
                    </w:tcBorders>
                    <w:vAlign w:val="center"/>
                  </w:tcPr>
                  <w:p w:rsidR="00B637B2" w:rsidRPr="00D157B8" w:rsidRDefault="00036BDC" w:rsidP="00B637B2">
                    <w:pPr>
                      <w:jc w:val="right"/>
                    </w:pPr>
                    <w:r w:rsidRPr="00C34347">
                      <w:t>5,196,265,610</w:t>
                    </w:r>
                  </w:p>
                </w:tc>
                <w:tc>
                  <w:tcPr>
                    <w:tcW w:w="986" w:type="pct"/>
                    <w:tcBorders>
                      <w:top w:val="outset" w:sz="4" w:space="0" w:color="auto"/>
                      <w:left w:val="outset" w:sz="4" w:space="0" w:color="auto"/>
                      <w:bottom w:val="outset" w:sz="4" w:space="0" w:color="auto"/>
                      <w:right w:val="outset" w:sz="4" w:space="0" w:color="auto"/>
                    </w:tcBorders>
                    <w:vAlign w:val="center"/>
                  </w:tcPr>
                  <w:p w:rsidR="00B637B2" w:rsidRDefault="00036BDC" w:rsidP="00B637B2">
                    <w:pPr>
                      <w:jc w:val="right"/>
                    </w:pPr>
                    <w:r w:rsidRPr="00C34347">
                      <w:t>-23,150,000</w:t>
                    </w:r>
                  </w:p>
                </w:tc>
              </w:tr>
              <w:tr w:rsidR="00B637B2" w:rsidTr="00B637B2">
                <w:sdt>
                  <w:sdtPr>
                    <w:tag w:val="_PLD_52a22ef7fccb4e379a79ea67a62aaba0"/>
                    <w:id w:val="-199786446"/>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B637B2" w:rsidRDefault="008F04CF" w:rsidP="00B637B2">
                        <w:pPr>
                          <w:rPr>
                            <w:color w:val="008000"/>
                            <w:szCs w:val="21"/>
                          </w:rPr>
                        </w:pPr>
                        <w:r>
                          <w:rPr>
                            <w:rFonts w:hint="eastAsia"/>
                            <w:b/>
                            <w:bCs/>
                            <w:szCs w:val="21"/>
                          </w:rPr>
                          <w:t>非流动负债：</w:t>
                        </w:r>
                      </w:p>
                    </w:tc>
                  </w:sdtContent>
                </w:sdt>
              </w:tr>
              <w:tr w:rsidR="00B637B2" w:rsidTr="00B637B2">
                <w:sdt>
                  <w:sdtPr>
                    <w:tag w:val="_PLD_1b50d6aca4f848b0a201012e1a56c5df"/>
                    <w:id w:val="1786692491"/>
                    <w:lock w:val="sdtLocked"/>
                  </w:sdtPr>
                  <w:sdtContent>
                    <w:tc>
                      <w:tcPr>
                        <w:tcW w:w="1765"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长期借款</w:t>
                        </w:r>
                      </w:p>
                    </w:tc>
                  </w:sdtContent>
                </w:sdt>
                <w:tc>
                  <w:tcPr>
                    <w:tcW w:w="1124" w:type="pct"/>
                    <w:tcBorders>
                      <w:top w:val="outset" w:sz="4" w:space="0" w:color="auto"/>
                      <w:left w:val="outset" w:sz="4" w:space="0" w:color="auto"/>
                      <w:bottom w:val="outset" w:sz="4" w:space="0" w:color="auto"/>
                      <w:right w:val="outset" w:sz="4" w:space="0" w:color="auto"/>
                    </w:tcBorders>
                    <w:vAlign w:val="center"/>
                  </w:tcPr>
                  <w:p w:rsidR="00B637B2" w:rsidRPr="00306ACF" w:rsidRDefault="008F04CF" w:rsidP="00B637B2">
                    <w:pPr>
                      <w:jc w:val="right"/>
                    </w:pPr>
                    <w:r w:rsidRPr="00306ACF">
                      <w:t>36,666,664</w:t>
                    </w:r>
                  </w:p>
                </w:tc>
                <w:tc>
                  <w:tcPr>
                    <w:tcW w:w="1125" w:type="pct"/>
                    <w:tcBorders>
                      <w:top w:val="outset" w:sz="4" w:space="0" w:color="auto"/>
                      <w:left w:val="outset" w:sz="4" w:space="0" w:color="auto"/>
                      <w:bottom w:val="outset" w:sz="4" w:space="0" w:color="auto"/>
                      <w:right w:val="outset" w:sz="4" w:space="0" w:color="auto"/>
                    </w:tcBorders>
                    <w:vAlign w:val="center"/>
                  </w:tcPr>
                  <w:p w:rsidR="00B637B2" w:rsidRPr="00306ACF" w:rsidRDefault="008F04CF" w:rsidP="00B637B2">
                    <w:pPr>
                      <w:jc w:val="right"/>
                    </w:pPr>
                    <w:r w:rsidRPr="00306ACF">
                      <w:t>36,666,664</w:t>
                    </w:r>
                  </w:p>
                </w:tc>
                <w:tc>
                  <w:tcPr>
                    <w:tcW w:w="986" w:type="pct"/>
                    <w:tcBorders>
                      <w:top w:val="outset" w:sz="4" w:space="0" w:color="auto"/>
                      <w:left w:val="outset" w:sz="4" w:space="0" w:color="auto"/>
                      <w:bottom w:val="outset" w:sz="4" w:space="0" w:color="auto"/>
                      <w:right w:val="outset" w:sz="4" w:space="0" w:color="auto"/>
                    </w:tcBorders>
                    <w:vAlign w:val="center"/>
                  </w:tcPr>
                  <w:p w:rsidR="00B637B2" w:rsidRPr="00306ACF" w:rsidRDefault="00B637B2" w:rsidP="00B637B2">
                    <w:pPr>
                      <w:jc w:val="right"/>
                    </w:pPr>
                  </w:p>
                </w:tc>
              </w:tr>
              <w:tr w:rsidR="00B637B2" w:rsidTr="00B637B2">
                <w:sdt>
                  <w:sdtPr>
                    <w:tag w:val="_PLD_f743fead7c3f4b6298b2ba6c4fa6f032"/>
                    <w:id w:val="187574694"/>
                    <w:lock w:val="sdtLocked"/>
                  </w:sdtPr>
                  <w:sdtContent>
                    <w:tc>
                      <w:tcPr>
                        <w:tcW w:w="1765"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应付债券</w:t>
                        </w:r>
                      </w:p>
                    </w:tc>
                  </w:sdtContent>
                </w:sdt>
                <w:tc>
                  <w:tcPr>
                    <w:tcW w:w="1124" w:type="pct"/>
                    <w:tcBorders>
                      <w:top w:val="outset" w:sz="4" w:space="0" w:color="auto"/>
                      <w:left w:val="outset" w:sz="4" w:space="0" w:color="auto"/>
                      <w:bottom w:val="outset" w:sz="4" w:space="0" w:color="auto"/>
                      <w:right w:val="outset" w:sz="4" w:space="0" w:color="auto"/>
                    </w:tcBorders>
                    <w:vAlign w:val="center"/>
                  </w:tcPr>
                  <w:p w:rsidR="00B637B2" w:rsidRPr="00306ACF" w:rsidRDefault="008F04CF" w:rsidP="00B637B2">
                    <w:pPr>
                      <w:jc w:val="right"/>
                    </w:pPr>
                    <w:r w:rsidRPr="00306ACF">
                      <w:t>-</w:t>
                    </w:r>
                  </w:p>
                </w:tc>
                <w:tc>
                  <w:tcPr>
                    <w:tcW w:w="1125" w:type="pct"/>
                    <w:tcBorders>
                      <w:top w:val="outset" w:sz="4" w:space="0" w:color="auto"/>
                      <w:left w:val="outset" w:sz="4" w:space="0" w:color="auto"/>
                      <w:bottom w:val="outset" w:sz="4" w:space="0" w:color="auto"/>
                      <w:right w:val="outset" w:sz="4" w:space="0" w:color="auto"/>
                    </w:tcBorders>
                    <w:vAlign w:val="center"/>
                  </w:tcPr>
                  <w:p w:rsidR="00B637B2" w:rsidRPr="00306ACF" w:rsidRDefault="008F04CF" w:rsidP="00B637B2">
                    <w:pPr>
                      <w:jc w:val="right"/>
                    </w:pPr>
                    <w:r w:rsidRPr="00306ACF">
                      <w:t>-</w:t>
                    </w:r>
                  </w:p>
                </w:tc>
                <w:tc>
                  <w:tcPr>
                    <w:tcW w:w="986" w:type="pct"/>
                    <w:tcBorders>
                      <w:top w:val="outset" w:sz="4" w:space="0" w:color="auto"/>
                      <w:left w:val="outset" w:sz="4" w:space="0" w:color="auto"/>
                      <w:bottom w:val="outset" w:sz="4" w:space="0" w:color="auto"/>
                      <w:right w:val="outset" w:sz="4" w:space="0" w:color="auto"/>
                    </w:tcBorders>
                    <w:vAlign w:val="center"/>
                  </w:tcPr>
                  <w:p w:rsidR="00B637B2" w:rsidRPr="00306ACF" w:rsidRDefault="00B637B2" w:rsidP="00B637B2">
                    <w:pPr>
                      <w:jc w:val="right"/>
                    </w:pPr>
                  </w:p>
                </w:tc>
              </w:tr>
              <w:tr w:rsidR="00B637B2" w:rsidTr="00B637B2">
                <w:sdt>
                  <w:sdtPr>
                    <w:tag w:val="_PLD_b26c3fd416f248bd8f93f66fe4e65e3a"/>
                    <w:id w:val="433332302"/>
                    <w:lock w:val="sdtLocked"/>
                  </w:sdtPr>
                  <w:sdtContent>
                    <w:tc>
                      <w:tcPr>
                        <w:tcW w:w="1765"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其中：优先股</w:t>
                        </w:r>
                      </w:p>
                    </w:tc>
                  </w:sdtContent>
                </w:sdt>
                <w:tc>
                  <w:tcPr>
                    <w:tcW w:w="1124" w:type="pct"/>
                    <w:tcBorders>
                      <w:top w:val="outset" w:sz="4" w:space="0" w:color="auto"/>
                      <w:left w:val="outset" w:sz="4" w:space="0" w:color="auto"/>
                      <w:bottom w:val="outset" w:sz="4" w:space="0" w:color="auto"/>
                      <w:right w:val="outset" w:sz="4" w:space="0" w:color="auto"/>
                    </w:tcBorders>
                    <w:vAlign w:val="center"/>
                  </w:tcPr>
                  <w:p w:rsidR="00B637B2" w:rsidRPr="00306ACF" w:rsidRDefault="008F04CF" w:rsidP="00B637B2">
                    <w:pPr>
                      <w:jc w:val="right"/>
                    </w:pPr>
                    <w:r>
                      <w:rPr>
                        <w:rFonts w:hint="eastAsia"/>
                      </w:rPr>
                      <w:t>-</w:t>
                    </w:r>
                  </w:p>
                </w:tc>
                <w:tc>
                  <w:tcPr>
                    <w:tcW w:w="1125" w:type="pct"/>
                    <w:tcBorders>
                      <w:top w:val="outset" w:sz="4" w:space="0" w:color="auto"/>
                      <w:left w:val="outset" w:sz="4" w:space="0" w:color="auto"/>
                      <w:bottom w:val="outset" w:sz="4" w:space="0" w:color="auto"/>
                      <w:right w:val="outset" w:sz="4" w:space="0" w:color="auto"/>
                    </w:tcBorders>
                    <w:vAlign w:val="center"/>
                  </w:tcPr>
                  <w:p w:rsidR="00B637B2" w:rsidRPr="00306ACF" w:rsidRDefault="008F04CF" w:rsidP="00B637B2">
                    <w:pPr>
                      <w:jc w:val="right"/>
                    </w:pPr>
                    <w:r>
                      <w:rPr>
                        <w:rFonts w:hint="eastAsia"/>
                      </w:rPr>
                      <w:t>-</w:t>
                    </w:r>
                  </w:p>
                </w:tc>
                <w:tc>
                  <w:tcPr>
                    <w:tcW w:w="986" w:type="pct"/>
                    <w:tcBorders>
                      <w:top w:val="outset" w:sz="4" w:space="0" w:color="auto"/>
                      <w:left w:val="outset" w:sz="4" w:space="0" w:color="auto"/>
                      <w:bottom w:val="outset" w:sz="4" w:space="0" w:color="auto"/>
                      <w:right w:val="outset" w:sz="4" w:space="0" w:color="auto"/>
                    </w:tcBorders>
                    <w:vAlign w:val="center"/>
                  </w:tcPr>
                  <w:p w:rsidR="00B637B2" w:rsidRPr="00306ACF" w:rsidRDefault="00B637B2" w:rsidP="00B637B2">
                    <w:pPr>
                      <w:jc w:val="right"/>
                    </w:pPr>
                  </w:p>
                </w:tc>
              </w:tr>
              <w:tr w:rsidR="00B637B2" w:rsidTr="00B637B2">
                <w:sdt>
                  <w:sdtPr>
                    <w:tag w:val="_PLD_cfafb0006816456baad4e5eaa44f8e74"/>
                    <w:id w:val="-1752503153"/>
                    <w:lock w:val="sdtLocked"/>
                  </w:sdtPr>
                  <w:sdtContent>
                    <w:tc>
                      <w:tcPr>
                        <w:tcW w:w="1765"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leftChars="300" w:left="630" w:firstLineChars="100" w:firstLine="210"/>
                          <w:rPr>
                            <w:szCs w:val="21"/>
                          </w:rPr>
                        </w:pPr>
                        <w:r>
                          <w:rPr>
                            <w:rFonts w:hint="eastAsia"/>
                            <w:szCs w:val="21"/>
                          </w:rPr>
                          <w:t>永续债</w:t>
                        </w:r>
                      </w:p>
                    </w:tc>
                  </w:sdtContent>
                </w:sdt>
                <w:tc>
                  <w:tcPr>
                    <w:tcW w:w="1124" w:type="pct"/>
                    <w:tcBorders>
                      <w:top w:val="outset" w:sz="4" w:space="0" w:color="auto"/>
                      <w:left w:val="outset" w:sz="4" w:space="0" w:color="auto"/>
                      <w:bottom w:val="outset" w:sz="4" w:space="0" w:color="auto"/>
                      <w:right w:val="outset" w:sz="4" w:space="0" w:color="auto"/>
                    </w:tcBorders>
                    <w:vAlign w:val="center"/>
                  </w:tcPr>
                  <w:p w:rsidR="00B637B2" w:rsidRPr="00306ACF" w:rsidRDefault="008F04CF" w:rsidP="00B637B2">
                    <w:pPr>
                      <w:jc w:val="right"/>
                    </w:pPr>
                    <w:r>
                      <w:rPr>
                        <w:rFonts w:hint="eastAsia"/>
                      </w:rPr>
                      <w:t>-</w:t>
                    </w:r>
                  </w:p>
                </w:tc>
                <w:tc>
                  <w:tcPr>
                    <w:tcW w:w="1125" w:type="pct"/>
                    <w:tcBorders>
                      <w:top w:val="outset" w:sz="4" w:space="0" w:color="auto"/>
                      <w:left w:val="outset" w:sz="4" w:space="0" w:color="auto"/>
                      <w:bottom w:val="outset" w:sz="4" w:space="0" w:color="auto"/>
                      <w:right w:val="outset" w:sz="4" w:space="0" w:color="auto"/>
                    </w:tcBorders>
                    <w:vAlign w:val="center"/>
                  </w:tcPr>
                  <w:p w:rsidR="00B637B2" w:rsidRPr="00306ACF" w:rsidRDefault="008F04CF" w:rsidP="00B637B2">
                    <w:pPr>
                      <w:jc w:val="right"/>
                    </w:pPr>
                    <w:r>
                      <w:rPr>
                        <w:rFonts w:hint="eastAsia"/>
                      </w:rPr>
                      <w:t>-</w:t>
                    </w:r>
                  </w:p>
                </w:tc>
                <w:tc>
                  <w:tcPr>
                    <w:tcW w:w="986" w:type="pct"/>
                    <w:tcBorders>
                      <w:top w:val="outset" w:sz="4" w:space="0" w:color="auto"/>
                      <w:left w:val="outset" w:sz="4" w:space="0" w:color="auto"/>
                      <w:bottom w:val="outset" w:sz="4" w:space="0" w:color="auto"/>
                      <w:right w:val="outset" w:sz="4" w:space="0" w:color="auto"/>
                    </w:tcBorders>
                    <w:vAlign w:val="center"/>
                  </w:tcPr>
                  <w:p w:rsidR="00B637B2" w:rsidRPr="00306ACF" w:rsidRDefault="00B637B2" w:rsidP="00B637B2">
                    <w:pPr>
                      <w:jc w:val="right"/>
                    </w:pPr>
                  </w:p>
                </w:tc>
              </w:tr>
              <w:tr w:rsidR="00B637B2" w:rsidTr="00B637B2">
                <w:tc>
                  <w:tcPr>
                    <w:tcW w:w="176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7fbe27f38d04e5296f624963d65b0bd"/>
                      <w:id w:val="-1860420262"/>
                      <w:lock w:val="sdtLocked"/>
                    </w:sdtPr>
                    <w:sdtContent>
                      <w:p w:rsidR="00B637B2" w:rsidRDefault="008F04CF" w:rsidP="00B637B2">
                        <w:pPr>
                          <w:ind w:firstLineChars="100" w:firstLine="210"/>
                        </w:pPr>
                        <w:r>
                          <w:rPr>
                            <w:rFonts w:hint="eastAsia"/>
                          </w:rPr>
                          <w:t>租赁负债</w:t>
                        </w:r>
                      </w:p>
                    </w:sdtContent>
                  </w:sdt>
                </w:tc>
                <w:tc>
                  <w:tcPr>
                    <w:tcW w:w="1124" w:type="pct"/>
                    <w:tcBorders>
                      <w:top w:val="outset" w:sz="4" w:space="0" w:color="auto"/>
                      <w:left w:val="outset" w:sz="4" w:space="0" w:color="auto"/>
                      <w:bottom w:val="outset" w:sz="4" w:space="0" w:color="auto"/>
                      <w:right w:val="outset" w:sz="4" w:space="0" w:color="auto"/>
                    </w:tcBorders>
                    <w:vAlign w:val="center"/>
                  </w:tcPr>
                  <w:p w:rsidR="00B637B2" w:rsidRPr="00306ACF" w:rsidRDefault="008F04CF" w:rsidP="00B637B2">
                    <w:pPr>
                      <w:jc w:val="right"/>
                    </w:pPr>
                    <w:r>
                      <w:rPr>
                        <w:rFonts w:hint="eastAsia"/>
                      </w:rPr>
                      <w:t>-</w:t>
                    </w:r>
                  </w:p>
                </w:tc>
                <w:tc>
                  <w:tcPr>
                    <w:tcW w:w="1125" w:type="pct"/>
                    <w:tcBorders>
                      <w:top w:val="outset" w:sz="4" w:space="0" w:color="auto"/>
                      <w:left w:val="outset" w:sz="4" w:space="0" w:color="auto"/>
                      <w:bottom w:val="outset" w:sz="4" w:space="0" w:color="auto"/>
                      <w:right w:val="outset" w:sz="4" w:space="0" w:color="auto"/>
                    </w:tcBorders>
                    <w:vAlign w:val="center"/>
                  </w:tcPr>
                  <w:p w:rsidR="00B637B2" w:rsidRPr="00306ACF" w:rsidRDefault="008F04CF" w:rsidP="00B637B2">
                    <w:pPr>
                      <w:jc w:val="right"/>
                    </w:pPr>
                    <w:r w:rsidRPr="00306ACF">
                      <w:t>-</w:t>
                    </w:r>
                  </w:p>
                </w:tc>
                <w:tc>
                  <w:tcPr>
                    <w:tcW w:w="986" w:type="pct"/>
                    <w:tcBorders>
                      <w:top w:val="outset" w:sz="4" w:space="0" w:color="auto"/>
                      <w:left w:val="outset" w:sz="4" w:space="0" w:color="auto"/>
                      <w:bottom w:val="outset" w:sz="4" w:space="0" w:color="auto"/>
                      <w:right w:val="outset" w:sz="4" w:space="0" w:color="auto"/>
                    </w:tcBorders>
                    <w:vAlign w:val="center"/>
                  </w:tcPr>
                  <w:p w:rsidR="00B637B2" w:rsidRPr="00306ACF" w:rsidRDefault="00B637B2" w:rsidP="00B637B2">
                    <w:pPr>
                      <w:jc w:val="right"/>
                    </w:pPr>
                  </w:p>
                </w:tc>
              </w:tr>
              <w:tr w:rsidR="00B637B2" w:rsidTr="00B637B2">
                <w:sdt>
                  <w:sdtPr>
                    <w:tag w:val="_PLD_763b001745074e8f80d333aa33c77b1c"/>
                    <w:id w:val="-190386192"/>
                    <w:lock w:val="sdtLocked"/>
                  </w:sdtPr>
                  <w:sdtContent>
                    <w:tc>
                      <w:tcPr>
                        <w:tcW w:w="1765"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长期应付款</w:t>
                        </w:r>
                      </w:p>
                    </w:tc>
                  </w:sdtContent>
                </w:sdt>
                <w:tc>
                  <w:tcPr>
                    <w:tcW w:w="1124" w:type="pct"/>
                    <w:tcBorders>
                      <w:top w:val="outset" w:sz="4" w:space="0" w:color="auto"/>
                      <w:left w:val="outset" w:sz="4" w:space="0" w:color="auto"/>
                      <w:bottom w:val="outset" w:sz="4" w:space="0" w:color="auto"/>
                      <w:right w:val="outset" w:sz="4" w:space="0" w:color="auto"/>
                    </w:tcBorders>
                    <w:vAlign w:val="center"/>
                  </w:tcPr>
                  <w:p w:rsidR="00B637B2" w:rsidRPr="00306ACF" w:rsidRDefault="008F04CF" w:rsidP="00B637B2">
                    <w:pPr>
                      <w:jc w:val="right"/>
                    </w:pPr>
                    <w:r>
                      <w:rPr>
                        <w:rFonts w:hint="eastAsia"/>
                      </w:rPr>
                      <w:t>-</w:t>
                    </w:r>
                  </w:p>
                </w:tc>
                <w:tc>
                  <w:tcPr>
                    <w:tcW w:w="1125" w:type="pct"/>
                    <w:tcBorders>
                      <w:top w:val="outset" w:sz="4" w:space="0" w:color="auto"/>
                      <w:left w:val="outset" w:sz="4" w:space="0" w:color="auto"/>
                      <w:bottom w:val="outset" w:sz="4" w:space="0" w:color="auto"/>
                      <w:right w:val="outset" w:sz="4" w:space="0" w:color="auto"/>
                    </w:tcBorders>
                    <w:vAlign w:val="center"/>
                  </w:tcPr>
                  <w:p w:rsidR="00B637B2" w:rsidRPr="00306ACF" w:rsidRDefault="008F04CF" w:rsidP="00B637B2">
                    <w:pPr>
                      <w:jc w:val="right"/>
                    </w:pPr>
                    <w:r>
                      <w:rPr>
                        <w:rFonts w:hint="eastAsia"/>
                      </w:rPr>
                      <w:t>-</w:t>
                    </w:r>
                  </w:p>
                </w:tc>
                <w:tc>
                  <w:tcPr>
                    <w:tcW w:w="986" w:type="pct"/>
                    <w:tcBorders>
                      <w:top w:val="outset" w:sz="4" w:space="0" w:color="auto"/>
                      <w:left w:val="outset" w:sz="4" w:space="0" w:color="auto"/>
                      <w:bottom w:val="outset" w:sz="4" w:space="0" w:color="auto"/>
                      <w:right w:val="outset" w:sz="4" w:space="0" w:color="auto"/>
                    </w:tcBorders>
                    <w:vAlign w:val="center"/>
                  </w:tcPr>
                  <w:p w:rsidR="00B637B2" w:rsidRPr="00306ACF" w:rsidRDefault="00B637B2" w:rsidP="00B637B2">
                    <w:pPr>
                      <w:jc w:val="right"/>
                    </w:pPr>
                  </w:p>
                </w:tc>
              </w:tr>
              <w:tr w:rsidR="00B637B2" w:rsidTr="00B637B2">
                <w:sdt>
                  <w:sdtPr>
                    <w:tag w:val="_PLD_54a1b08397c44641a82c6703cc59448a"/>
                    <w:id w:val="831875382"/>
                    <w:lock w:val="sdtLocked"/>
                  </w:sdtPr>
                  <w:sdtContent>
                    <w:tc>
                      <w:tcPr>
                        <w:tcW w:w="1765"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长期应付职工薪酬</w:t>
                        </w:r>
                      </w:p>
                    </w:tc>
                  </w:sdtContent>
                </w:sdt>
                <w:tc>
                  <w:tcPr>
                    <w:tcW w:w="1124" w:type="pct"/>
                    <w:tcBorders>
                      <w:top w:val="outset" w:sz="4" w:space="0" w:color="auto"/>
                      <w:left w:val="outset" w:sz="4" w:space="0" w:color="auto"/>
                      <w:bottom w:val="outset" w:sz="4" w:space="0" w:color="auto"/>
                      <w:right w:val="outset" w:sz="4" w:space="0" w:color="auto"/>
                    </w:tcBorders>
                    <w:vAlign w:val="center"/>
                  </w:tcPr>
                  <w:p w:rsidR="00B637B2" w:rsidRPr="00306ACF" w:rsidRDefault="008F04CF" w:rsidP="00B637B2">
                    <w:pPr>
                      <w:jc w:val="right"/>
                    </w:pPr>
                    <w:r>
                      <w:rPr>
                        <w:rFonts w:hint="eastAsia"/>
                      </w:rPr>
                      <w:t>-</w:t>
                    </w:r>
                  </w:p>
                </w:tc>
                <w:tc>
                  <w:tcPr>
                    <w:tcW w:w="1125" w:type="pct"/>
                    <w:tcBorders>
                      <w:top w:val="outset" w:sz="4" w:space="0" w:color="auto"/>
                      <w:left w:val="outset" w:sz="4" w:space="0" w:color="auto"/>
                      <w:bottom w:val="outset" w:sz="4" w:space="0" w:color="auto"/>
                      <w:right w:val="outset" w:sz="4" w:space="0" w:color="auto"/>
                    </w:tcBorders>
                    <w:vAlign w:val="center"/>
                  </w:tcPr>
                  <w:p w:rsidR="00B637B2" w:rsidRPr="00306ACF" w:rsidRDefault="008F04CF" w:rsidP="00B637B2">
                    <w:pPr>
                      <w:jc w:val="right"/>
                    </w:pPr>
                    <w:r>
                      <w:rPr>
                        <w:rFonts w:hint="eastAsia"/>
                      </w:rPr>
                      <w:t>-</w:t>
                    </w:r>
                  </w:p>
                </w:tc>
                <w:tc>
                  <w:tcPr>
                    <w:tcW w:w="986" w:type="pct"/>
                    <w:tcBorders>
                      <w:top w:val="outset" w:sz="4" w:space="0" w:color="auto"/>
                      <w:left w:val="outset" w:sz="4" w:space="0" w:color="auto"/>
                      <w:bottom w:val="outset" w:sz="4" w:space="0" w:color="auto"/>
                      <w:right w:val="outset" w:sz="4" w:space="0" w:color="auto"/>
                    </w:tcBorders>
                    <w:vAlign w:val="center"/>
                  </w:tcPr>
                  <w:p w:rsidR="00B637B2" w:rsidRPr="00306ACF" w:rsidRDefault="00B637B2" w:rsidP="00B637B2">
                    <w:pPr>
                      <w:jc w:val="right"/>
                    </w:pPr>
                  </w:p>
                </w:tc>
              </w:tr>
              <w:tr w:rsidR="00B637B2" w:rsidTr="00B637B2">
                <w:sdt>
                  <w:sdtPr>
                    <w:tag w:val="_PLD_ef8f7fa162d14efa8d47e7f05d101e03"/>
                    <w:id w:val="-1995481208"/>
                    <w:lock w:val="sdtLocked"/>
                  </w:sdtPr>
                  <w:sdtContent>
                    <w:tc>
                      <w:tcPr>
                        <w:tcW w:w="1765"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预计负债</w:t>
                        </w:r>
                      </w:p>
                    </w:tc>
                  </w:sdtContent>
                </w:sdt>
                <w:tc>
                  <w:tcPr>
                    <w:tcW w:w="1124" w:type="pct"/>
                    <w:tcBorders>
                      <w:top w:val="outset" w:sz="4" w:space="0" w:color="auto"/>
                      <w:left w:val="outset" w:sz="4" w:space="0" w:color="auto"/>
                      <w:bottom w:val="outset" w:sz="4" w:space="0" w:color="auto"/>
                      <w:right w:val="outset" w:sz="4" w:space="0" w:color="auto"/>
                    </w:tcBorders>
                    <w:vAlign w:val="center"/>
                  </w:tcPr>
                  <w:p w:rsidR="00B637B2" w:rsidRPr="00306ACF" w:rsidRDefault="008F04CF" w:rsidP="00B637B2">
                    <w:pPr>
                      <w:jc w:val="right"/>
                    </w:pPr>
                    <w:r>
                      <w:rPr>
                        <w:rFonts w:hint="eastAsia"/>
                      </w:rPr>
                      <w:t>-</w:t>
                    </w:r>
                  </w:p>
                </w:tc>
                <w:tc>
                  <w:tcPr>
                    <w:tcW w:w="1125" w:type="pct"/>
                    <w:tcBorders>
                      <w:top w:val="outset" w:sz="4" w:space="0" w:color="auto"/>
                      <w:left w:val="outset" w:sz="4" w:space="0" w:color="auto"/>
                      <w:bottom w:val="outset" w:sz="4" w:space="0" w:color="auto"/>
                      <w:right w:val="outset" w:sz="4" w:space="0" w:color="auto"/>
                    </w:tcBorders>
                    <w:vAlign w:val="center"/>
                  </w:tcPr>
                  <w:p w:rsidR="00B637B2" w:rsidRPr="00306ACF" w:rsidRDefault="008F04CF" w:rsidP="00B637B2">
                    <w:pPr>
                      <w:jc w:val="right"/>
                    </w:pPr>
                    <w:r>
                      <w:rPr>
                        <w:rFonts w:hint="eastAsia"/>
                      </w:rPr>
                      <w:t>-</w:t>
                    </w:r>
                  </w:p>
                </w:tc>
                <w:tc>
                  <w:tcPr>
                    <w:tcW w:w="986" w:type="pct"/>
                    <w:tcBorders>
                      <w:top w:val="outset" w:sz="4" w:space="0" w:color="auto"/>
                      <w:left w:val="outset" w:sz="4" w:space="0" w:color="auto"/>
                      <w:bottom w:val="outset" w:sz="4" w:space="0" w:color="auto"/>
                      <w:right w:val="outset" w:sz="4" w:space="0" w:color="auto"/>
                    </w:tcBorders>
                    <w:vAlign w:val="center"/>
                  </w:tcPr>
                  <w:p w:rsidR="00B637B2" w:rsidRPr="00306ACF" w:rsidRDefault="00B637B2" w:rsidP="00B637B2">
                    <w:pPr>
                      <w:jc w:val="right"/>
                    </w:pPr>
                  </w:p>
                </w:tc>
              </w:tr>
              <w:tr w:rsidR="00B637B2" w:rsidTr="00B637B2">
                <w:sdt>
                  <w:sdtPr>
                    <w:tag w:val="_PLD_120d7a5cbf854260b2b6e8f758bd1a73"/>
                    <w:id w:val="1310128870"/>
                    <w:lock w:val="sdtLocked"/>
                  </w:sdtPr>
                  <w:sdtContent>
                    <w:tc>
                      <w:tcPr>
                        <w:tcW w:w="1765"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递延收益</w:t>
                        </w:r>
                      </w:p>
                    </w:tc>
                  </w:sdtContent>
                </w:sdt>
                <w:tc>
                  <w:tcPr>
                    <w:tcW w:w="1124" w:type="pct"/>
                    <w:tcBorders>
                      <w:top w:val="outset" w:sz="4" w:space="0" w:color="auto"/>
                      <w:left w:val="outset" w:sz="4" w:space="0" w:color="auto"/>
                      <w:bottom w:val="outset" w:sz="4" w:space="0" w:color="auto"/>
                      <w:right w:val="outset" w:sz="4" w:space="0" w:color="auto"/>
                    </w:tcBorders>
                    <w:vAlign w:val="center"/>
                  </w:tcPr>
                  <w:p w:rsidR="00B637B2" w:rsidRPr="00306ACF" w:rsidRDefault="008F04CF" w:rsidP="00B637B2">
                    <w:pPr>
                      <w:jc w:val="right"/>
                    </w:pPr>
                    <w:r w:rsidRPr="00306ACF">
                      <w:t>25,000,000</w:t>
                    </w:r>
                  </w:p>
                </w:tc>
                <w:tc>
                  <w:tcPr>
                    <w:tcW w:w="1125" w:type="pct"/>
                    <w:tcBorders>
                      <w:top w:val="outset" w:sz="4" w:space="0" w:color="auto"/>
                      <w:left w:val="outset" w:sz="4" w:space="0" w:color="auto"/>
                      <w:bottom w:val="outset" w:sz="4" w:space="0" w:color="auto"/>
                      <w:right w:val="outset" w:sz="4" w:space="0" w:color="auto"/>
                    </w:tcBorders>
                    <w:vAlign w:val="center"/>
                  </w:tcPr>
                  <w:p w:rsidR="00B637B2" w:rsidRPr="00306ACF" w:rsidRDefault="00036BDC" w:rsidP="00B637B2">
                    <w:pPr>
                      <w:jc w:val="right"/>
                    </w:pPr>
                    <w:r w:rsidRPr="00C34347">
                      <w:t>48,150,000</w:t>
                    </w:r>
                  </w:p>
                </w:tc>
                <w:tc>
                  <w:tcPr>
                    <w:tcW w:w="986" w:type="pct"/>
                    <w:tcBorders>
                      <w:top w:val="outset" w:sz="4" w:space="0" w:color="auto"/>
                      <w:left w:val="outset" w:sz="4" w:space="0" w:color="auto"/>
                      <w:bottom w:val="outset" w:sz="4" w:space="0" w:color="auto"/>
                      <w:right w:val="outset" w:sz="4" w:space="0" w:color="auto"/>
                    </w:tcBorders>
                    <w:vAlign w:val="center"/>
                  </w:tcPr>
                  <w:p w:rsidR="00B637B2" w:rsidRPr="00306ACF" w:rsidRDefault="00036BDC" w:rsidP="00B637B2">
                    <w:pPr>
                      <w:jc w:val="right"/>
                    </w:pPr>
                    <w:r w:rsidRPr="00C34347">
                      <w:t>23,150,000</w:t>
                    </w:r>
                  </w:p>
                </w:tc>
              </w:tr>
              <w:tr w:rsidR="00B637B2" w:rsidTr="00B637B2">
                <w:sdt>
                  <w:sdtPr>
                    <w:tag w:val="_PLD_d6cf4310ed7c45cbb6be75b34ac02fd6"/>
                    <w:id w:val="-951328699"/>
                    <w:lock w:val="sdtLocked"/>
                  </w:sdtPr>
                  <w:sdtContent>
                    <w:tc>
                      <w:tcPr>
                        <w:tcW w:w="1765"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递延所得税负债</w:t>
                        </w:r>
                      </w:p>
                    </w:tc>
                  </w:sdtContent>
                </w:sdt>
                <w:tc>
                  <w:tcPr>
                    <w:tcW w:w="1124" w:type="pct"/>
                    <w:tcBorders>
                      <w:top w:val="outset" w:sz="4" w:space="0" w:color="auto"/>
                      <w:left w:val="outset" w:sz="4" w:space="0" w:color="auto"/>
                      <w:bottom w:val="outset" w:sz="4" w:space="0" w:color="auto"/>
                      <w:right w:val="outset" w:sz="4" w:space="0" w:color="auto"/>
                    </w:tcBorders>
                    <w:vAlign w:val="center"/>
                  </w:tcPr>
                  <w:p w:rsidR="00B637B2" w:rsidRPr="00306ACF" w:rsidRDefault="008F04CF" w:rsidP="00B637B2">
                    <w:pPr>
                      <w:jc w:val="right"/>
                    </w:pPr>
                    <w:r>
                      <w:t>4,156,055</w:t>
                    </w:r>
                  </w:p>
                </w:tc>
                <w:tc>
                  <w:tcPr>
                    <w:tcW w:w="1125" w:type="pct"/>
                    <w:tcBorders>
                      <w:top w:val="outset" w:sz="4" w:space="0" w:color="auto"/>
                      <w:left w:val="outset" w:sz="4" w:space="0" w:color="auto"/>
                      <w:bottom w:val="outset" w:sz="4" w:space="0" w:color="auto"/>
                      <w:right w:val="outset" w:sz="4" w:space="0" w:color="auto"/>
                    </w:tcBorders>
                    <w:vAlign w:val="center"/>
                  </w:tcPr>
                  <w:p w:rsidR="00B637B2" w:rsidRPr="00306ACF" w:rsidRDefault="008F04CF" w:rsidP="00B637B2">
                    <w:pPr>
                      <w:jc w:val="right"/>
                    </w:pPr>
                    <w:r>
                      <w:t>21,596,765</w:t>
                    </w:r>
                  </w:p>
                </w:tc>
                <w:tc>
                  <w:tcPr>
                    <w:tcW w:w="986" w:type="pct"/>
                    <w:tcBorders>
                      <w:top w:val="outset" w:sz="4" w:space="0" w:color="auto"/>
                      <w:left w:val="outset" w:sz="4" w:space="0" w:color="auto"/>
                      <w:bottom w:val="outset" w:sz="4" w:space="0" w:color="auto"/>
                      <w:right w:val="outset" w:sz="4" w:space="0" w:color="auto"/>
                    </w:tcBorders>
                    <w:vAlign w:val="center"/>
                  </w:tcPr>
                  <w:p w:rsidR="00B637B2" w:rsidRPr="00306ACF" w:rsidRDefault="008F04CF" w:rsidP="00B637B2">
                    <w:pPr>
                      <w:jc w:val="right"/>
                    </w:pPr>
                    <w:r>
                      <w:t>17,440,710</w:t>
                    </w:r>
                  </w:p>
                </w:tc>
              </w:tr>
              <w:tr w:rsidR="00B637B2" w:rsidTr="00B637B2">
                <w:sdt>
                  <w:sdtPr>
                    <w:tag w:val="_PLD_004e165cb9b945988d1ce02dce8c7a6e"/>
                    <w:id w:val="598834227"/>
                    <w:lock w:val="sdtLocked"/>
                  </w:sdtPr>
                  <w:sdtContent>
                    <w:tc>
                      <w:tcPr>
                        <w:tcW w:w="1765"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100" w:firstLine="210"/>
                          <w:rPr>
                            <w:szCs w:val="21"/>
                          </w:rPr>
                        </w:pPr>
                        <w:r>
                          <w:rPr>
                            <w:rFonts w:hint="eastAsia"/>
                            <w:szCs w:val="21"/>
                          </w:rPr>
                          <w:t>其他非流动负债</w:t>
                        </w:r>
                      </w:p>
                    </w:tc>
                  </w:sdtContent>
                </w:sdt>
                <w:tc>
                  <w:tcPr>
                    <w:tcW w:w="1124" w:type="pct"/>
                    <w:tcBorders>
                      <w:top w:val="outset" w:sz="4" w:space="0" w:color="auto"/>
                      <w:left w:val="outset" w:sz="4" w:space="0" w:color="auto"/>
                      <w:bottom w:val="outset" w:sz="4" w:space="0" w:color="auto"/>
                      <w:right w:val="outset" w:sz="4" w:space="0" w:color="auto"/>
                    </w:tcBorders>
                    <w:vAlign w:val="center"/>
                  </w:tcPr>
                  <w:p w:rsidR="00B637B2" w:rsidRPr="00306ACF" w:rsidRDefault="008F04CF" w:rsidP="00B637B2">
                    <w:pPr>
                      <w:jc w:val="right"/>
                    </w:pPr>
                    <w:r>
                      <w:rPr>
                        <w:rFonts w:hint="eastAsia"/>
                      </w:rPr>
                      <w:t>-</w:t>
                    </w:r>
                  </w:p>
                </w:tc>
                <w:tc>
                  <w:tcPr>
                    <w:tcW w:w="1125" w:type="pct"/>
                    <w:tcBorders>
                      <w:top w:val="outset" w:sz="4" w:space="0" w:color="auto"/>
                      <w:left w:val="outset" w:sz="4" w:space="0" w:color="auto"/>
                      <w:bottom w:val="outset" w:sz="4" w:space="0" w:color="auto"/>
                      <w:right w:val="outset" w:sz="4" w:space="0" w:color="auto"/>
                    </w:tcBorders>
                    <w:vAlign w:val="center"/>
                  </w:tcPr>
                  <w:p w:rsidR="00B637B2" w:rsidRPr="00306ACF" w:rsidRDefault="008F04CF" w:rsidP="00B637B2">
                    <w:pPr>
                      <w:jc w:val="right"/>
                    </w:pPr>
                    <w:r>
                      <w:rPr>
                        <w:rFonts w:hint="eastAsia"/>
                      </w:rPr>
                      <w:t>-</w:t>
                    </w:r>
                  </w:p>
                </w:tc>
                <w:tc>
                  <w:tcPr>
                    <w:tcW w:w="986" w:type="pct"/>
                    <w:tcBorders>
                      <w:top w:val="outset" w:sz="4" w:space="0" w:color="auto"/>
                      <w:left w:val="outset" w:sz="4" w:space="0" w:color="auto"/>
                      <w:bottom w:val="outset" w:sz="4" w:space="0" w:color="auto"/>
                      <w:right w:val="outset" w:sz="4" w:space="0" w:color="auto"/>
                    </w:tcBorders>
                    <w:vAlign w:val="center"/>
                  </w:tcPr>
                  <w:p w:rsidR="00B637B2" w:rsidRPr="00306ACF" w:rsidRDefault="00B637B2" w:rsidP="00B637B2">
                    <w:pPr>
                      <w:jc w:val="right"/>
                    </w:pPr>
                  </w:p>
                </w:tc>
              </w:tr>
              <w:tr w:rsidR="00B637B2" w:rsidTr="00B637B2">
                <w:sdt>
                  <w:sdtPr>
                    <w:tag w:val="_PLD_6b9286d59f434dc3883cb7d8d6f992fb"/>
                    <w:id w:val="-14776997"/>
                    <w:lock w:val="sdtLocked"/>
                  </w:sdtPr>
                  <w:sdtContent>
                    <w:tc>
                      <w:tcPr>
                        <w:tcW w:w="1765"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200" w:firstLine="420"/>
                          <w:rPr>
                            <w:szCs w:val="21"/>
                          </w:rPr>
                        </w:pPr>
                        <w:r>
                          <w:rPr>
                            <w:rFonts w:hint="eastAsia"/>
                            <w:szCs w:val="21"/>
                          </w:rPr>
                          <w:t>非流动负债合计</w:t>
                        </w:r>
                      </w:p>
                    </w:tc>
                  </w:sdtContent>
                </w:sdt>
                <w:tc>
                  <w:tcPr>
                    <w:tcW w:w="1124" w:type="pct"/>
                    <w:tcBorders>
                      <w:top w:val="outset" w:sz="4" w:space="0" w:color="auto"/>
                      <w:left w:val="outset" w:sz="4" w:space="0" w:color="auto"/>
                      <w:bottom w:val="outset" w:sz="4" w:space="0" w:color="auto"/>
                      <w:right w:val="outset" w:sz="4" w:space="0" w:color="auto"/>
                    </w:tcBorders>
                    <w:vAlign w:val="center"/>
                  </w:tcPr>
                  <w:p w:rsidR="00B637B2" w:rsidRPr="00306ACF" w:rsidRDefault="008F04CF" w:rsidP="00B637B2">
                    <w:pPr>
                      <w:jc w:val="right"/>
                    </w:pPr>
                    <w:r w:rsidRPr="00306ACF">
                      <w:t>65,822,719</w:t>
                    </w:r>
                  </w:p>
                </w:tc>
                <w:tc>
                  <w:tcPr>
                    <w:tcW w:w="1125" w:type="pct"/>
                    <w:tcBorders>
                      <w:top w:val="outset" w:sz="4" w:space="0" w:color="auto"/>
                      <w:left w:val="outset" w:sz="4" w:space="0" w:color="auto"/>
                      <w:bottom w:val="outset" w:sz="4" w:space="0" w:color="auto"/>
                      <w:right w:val="outset" w:sz="4" w:space="0" w:color="auto"/>
                    </w:tcBorders>
                    <w:vAlign w:val="center"/>
                  </w:tcPr>
                  <w:p w:rsidR="00B637B2" w:rsidRPr="00306ACF" w:rsidRDefault="00036BDC" w:rsidP="00B637B2">
                    <w:pPr>
                      <w:jc w:val="right"/>
                    </w:pPr>
                    <w:r w:rsidRPr="00C34347">
                      <w:t>106,413,429</w:t>
                    </w:r>
                  </w:p>
                </w:tc>
                <w:tc>
                  <w:tcPr>
                    <w:tcW w:w="986" w:type="pct"/>
                    <w:tcBorders>
                      <w:top w:val="outset" w:sz="4" w:space="0" w:color="auto"/>
                      <w:left w:val="outset" w:sz="4" w:space="0" w:color="auto"/>
                      <w:bottom w:val="outset" w:sz="4" w:space="0" w:color="auto"/>
                      <w:right w:val="outset" w:sz="4" w:space="0" w:color="auto"/>
                    </w:tcBorders>
                    <w:vAlign w:val="center"/>
                  </w:tcPr>
                  <w:p w:rsidR="00B637B2" w:rsidRDefault="00036BDC" w:rsidP="00B637B2">
                    <w:pPr>
                      <w:jc w:val="right"/>
                    </w:pPr>
                    <w:r w:rsidRPr="00C34347">
                      <w:t>40,590,710</w:t>
                    </w:r>
                  </w:p>
                </w:tc>
              </w:tr>
              <w:tr w:rsidR="00B637B2" w:rsidTr="00B637B2">
                <w:sdt>
                  <w:sdtPr>
                    <w:tag w:val="_PLD_9966b1afdeb54842a8fceb3cacd3ccf5"/>
                    <w:id w:val="1460541248"/>
                    <w:lock w:val="sdtLocked"/>
                  </w:sdtPr>
                  <w:sdtContent>
                    <w:tc>
                      <w:tcPr>
                        <w:tcW w:w="1765"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ind w:firstLineChars="300" w:firstLine="630"/>
                          <w:rPr>
                            <w:szCs w:val="21"/>
                          </w:rPr>
                        </w:pPr>
                        <w:r>
                          <w:rPr>
                            <w:rFonts w:hint="eastAsia"/>
                            <w:szCs w:val="21"/>
                          </w:rPr>
                          <w:t>负债合计</w:t>
                        </w:r>
                      </w:p>
                    </w:tc>
                  </w:sdtContent>
                </w:sdt>
                <w:tc>
                  <w:tcPr>
                    <w:tcW w:w="1124" w:type="pct"/>
                    <w:tcBorders>
                      <w:top w:val="outset" w:sz="4" w:space="0" w:color="auto"/>
                      <w:left w:val="outset" w:sz="4" w:space="0" w:color="auto"/>
                      <w:bottom w:val="outset" w:sz="4" w:space="0" w:color="auto"/>
                      <w:right w:val="outset" w:sz="4" w:space="0" w:color="auto"/>
                    </w:tcBorders>
                    <w:vAlign w:val="center"/>
                  </w:tcPr>
                  <w:p w:rsidR="00B637B2" w:rsidRPr="00306ACF" w:rsidRDefault="008F04CF" w:rsidP="00B637B2">
                    <w:pPr>
                      <w:jc w:val="right"/>
                    </w:pPr>
                    <w:r w:rsidRPr="00306ACF">
                      <w:t>5,285,238,329</w:t>
                    </w:r>
                  </w:p>
                </w:tc>
                <w:tc>
                  <w:tcPr>
                    <w:tcW w:w="1125" w:type="pct"/>
                    <w:tcBorders>
                      <w:top w:val="outset" w:sz="4" w:space="0" w:color="auto"/>
                      <w:left w:val="outset" w:sz="4" w:space="0" w:color="auto"/>
                      <w:bottom w:val="outset" w:sz="4" w:space="0" w:color="auto"/>
                      <w:right w:val="outset" w:sz="4" w:space="0" w:color="auto"/>
                    </w:tcBorders>
                    <w:vAlign w:val="center"/>
                  </w:tcPr>
                  <w:p w:rsidR="00B637B2" w:rsidRPr="00306ACF" w:rsidRDefault="008F04CF" w:rsidP="00B637B2">
                    <w:pPr>
                      <w:jc w:val="right"/>
                    </w:pPr>
                    <w:r w:rsidRPr="00306ACF">
                      <w:t>5,302,679,039</w:t>
                    </w:r>
                  </w:p>
                </w:tc>
                <w:tc>
                  <w:tcPr>
                    <w:tcW w:w="986" w:type="pct"/>
                    <w:tcBorders>
                      <w:top w:val="outset" w:sz="4" w:space="0" w:color="auto"/>
                      <w:left w:val="outset" w:sz="4" w:space="0" w:color="auto"/>
                      <w:bottom w:val="outset" w:sz="4" w:space="0" w:color="auto"/>
                      <w:right w:val="outset" w:sz="4" w:space="0" w:color="auto"/>
                    </w:tcBorders>
                    <w:vAlign w:val="center"/>
                  </w:tcPr>
                  <w:p w:rsidR="00B637B2" w:rsidRPr="00306ACF" w:rsidRDefault="008F04CF" w:rsidP="00B637B2">
                    <w:pPr>
                      <w:jc w:val="right"/>
                    </w:pPr>
                    <w:r>
                      <w:t>17,440,710</w:t>
                    </w:r>
                  </w:p>
                </w:tc>
              </w:tr>
              <w:tr w:rsidR="00B637B2" w:rsidTr="00B637B2">
                <w:sdt>
                  <w:sdtPr>
                    <w:tag w:val="_PLD_27af5114b1374bfaa5ee117b52b2dea6"/>
                    <w:id w:val="1213842907"/>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B637B2" w:rsidRDefault="008F04CF" w:rsidP="00B637B2">
                        <w:pPr>
                          <w:rPr>
                            <w:color w:val="008000"/>
                            <w:szCs w:val="21"/>
                          </w:rPr>
                        </w:pPr>
                        <w:r>
                          <w:rPr>
                            <w:rFonts w:hint="eastAsia"/>
                            <w:b/>
                            <w:bCs/>
                            <w:szCs w:val="21"/>
                          </w:rPr>
                          <w:t>所有者权益（或股东权益）：</w:t>
                        </w:r>
                      </w:p>
                    </w:tc>
                  </w:sdtContent>
                </w:sdt>
              </w:tr>
              <w:tr w:rsidR="00B637B2" w:rsidTr="00B637B2">
                <w:sdt>
                  <w:sdtPr>
                    <w:rPr>
                      <w:highlight w:val="yellow"/>
                    </w:rPr>
                    <w:tag w:val="_PLD_8d70171a419341f09876bd7007078e61"/>
                    <w:id w:val="-1209792683"/>
                    <w:lock w:val="sdtLocked"/>
                  </w:sdtPr>
                  <w:sdtContent>
                    <w:tc>
                      <w:tcPr>
                        <w:tcW w:w="1765" w:type="pct"/>
                        <w:tcBorders>
                          <w:top w:val="outset" w:sz="4" w:space="0" w:color="auto"/>
                          <w:left w:val="outset" w:sz="4" w:space="0" w:color="auto"/>
                          <w:bottom w:val="outset" w:sz="4" w:space="0" w:color="auto"/>
                          <w:right w:val="outset" w:sz="4" w:space="0" w:color="auto"/>
                        </w:tcBorders>
                        <w:vAlign w:val="center"/>
                      </w:tcPr>
                      <w:p w:rsidR="00B637B2" w:rsidRPr="00CB755A" w:rsidRDefault="008F04CF" w:rsidP="00B637B2">
                        <w:pPr>
                          <w:ind w:firstLineChars="100" w:firstLine="210"/>
                          <w:rPr>
                            <w:szCs w:val="21"/>
                            <w:highlight w:val="yellow"/>
                          </w:rPr>
                        </w:pPr>
                        <w:r w:rsidRPr="00356C46">
                          <w:rPr>
                            <w:rFonts w:hint="eastAsia"/>
                            <w:szCs w:val="21"/>
                          </w:rPr>
                          <w:t>实收资本（或股本）</w:t>
                        </w:r>
                      </w:p>
                    </w:tc>
                  </w:sdtContent>
                </w:sdt>
                <w:tc>
                  <w:tcPr>
                    <w:tcW w:w="112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jc w:val="right"/>
                      <w:rPr>
                        <w:szCs w:val="21"/>
                      </w:rPr>
                    </w:pPr>
                    <w:r>
                      <w:t>1,917,832,792</w:t>
                    </w:r>
                  </w:p>
                </w:tc>
                <w:tc>
                  <w:tcPr>
                    <w:tcW w:w="1125"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jc w:val="right"/>
                      <w:rPr>
                        <w:szCs w:val="21"/>
                      </w:rPr>
                    </w:pPr>
                    <w:r>
                      <w:t>1,917,832,792</w:t>
                    </w:r>
                  </w:p>
                </w:tc>
                <w:tc>
                  <w:tcPr>
                    <w:tcW w:w="986" w:type="pct"/>
                    <w:tcBorders>
                      <w:top w:val="outset" w:sz="4" w:space="0" w:color="auto"/>
                      <w:left w:val="outset" w:sz="4" w:space="0" w:color="auto"/>
                      <w:bottom w:val="outset" w:sz="4" w:space="0" w:color="auto"/>
                      <w:right w:val="outset" w:sz="4" w:space="0" w:color="auto"/>
                    </w:tcBorders>
                    <w:vAlign w:val="center"/>
                  </w:tcPr>
                  <w:p w:rsidR="00B637B2" w:rsidRDefault="00B637B2" w:rsidP="00B637B2">
                    <w:pPr>
                      <w:jc w:val="right"/>
                      <w:rPr>
                        <w:szCs w:val="21"/>
                      </w:rPr>
                    </w:pPr>
                  </w:p>
                </w:tc>
              </w:tr>
              <w:tr w:rsidR="00B637B2" w:rsidTr="00B637B2">
                <w:sdt>
                  <w:sdtPr>
                    <w:rPr>
                      <w:highlight w:val="yellow"/>
                    </w:rPr>
                    <w:tag w:val="_PLD_6a2c5af5b63843e288dac2f4dfa16684"/>
                    <w:id w:val="-1897891937"/>
                    <w:lock w:val="sdtLocked"/>
                  </w:sdtPr>
                  <w:sdtContent>
                    <w:tc>
                      <w:tcPr>
                        <w:tcW w:w="1765" w:type="pct"/>
                        <w:tcBorders>
                          <w:top w:val="outset" w:sz="4" w:space="0" w:color="auto"/>
                          <w:left w:val="outset" w:sz="4" w:space="0" w:color="auto"/>
                          <w:bottom w:val="outset" w:sz="4" w:space="0" w:color="auto"/>
                          <w:right w:val="outset" w:sz="4" w:space="0" w:color="auto"/>
                        </w:tcBorders>
                        <w:vAlign w:val="center"/>
                      </w:tcPr>
                      <w:p w:rsidR="00B637B2" w:rsidRPr="00CB755A" w:rsidRDefault="008F04CF" w:rsidP="00B637B2">
                        <w:pPr>
                          <w:ind w:firstLineChars="100" w:firstLine="210"/>
                          <w:rPr>
                            <w:szCs w:val="21"/>
                            <w:highlight w:val="yellow"/>
                          </w:rPr>
                        </w:pPr>
                        <w:r w:rsidRPr="00356C46">
                          <w:rPr>
                            <w:rFonts w:hint="eastAsia"/>
                            <w:szCs w:val="21"/>
                          </w:rPr>
                          <w:t>其他权益工具</w:t>
                        </w:r>
                      </w:p>
                    </w:tc>
                  </w:sdtContent>
                </w:sdt>
                <w:tc>
                  <w:tcPr>
                    <w:tcW w:w="112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jc w:val="right"/>
                      <w:rPr>
                        <w:szCs w:val="21"/>
                      </w:rPr>
                    </w:pPr>
                    <w:r>
                      <w:rPr>
                        <w:rFonts w:hint="eastAsia"/>
                        <w:szCs w:val="21"/>
                      </w:rPr>
                      <w:t>-</w:t>
                    </w:r>
                  </w:p>
                </w:tc>
                <w:tc>
                  <w:tcPr>
                    <w:tcW w:w="1125"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jc w:val="right"/>
                      <w:rPr>
                        <w:szCs w:val="21"/>
                      </w:rPr>
                    </w:pPr>
                    <w:r>
                      <w:rPr>
                        <w:rFonts w:hint="eastAsia"/>
                        <w:szCs w:val="21"/>
                      </w:rPr>
                      <w:t>-</w:t>
                    </w:r>
                  </w:p>
                </w:tc>
                <w:tc>
                  <w:tcPr>
                    <w:tcW w:w="986" w:type="pct"/>
                    <w:tcBorders>
                      <w:top w:val="outset" w:sz="4" w:space="0" w:color="auto"/>
                      <w:left w:val="outset" w:sz="4" w:space="0" w:color="auto"/>
                      <w:bottom w:val="outset" w:sz="4" w:space="0" w:color="auto"/>
                      <w:right w:val="outset" w:sz="4" w:space="0" w:color="auto"/>
                    </w:tcBorders>
                    <w:vAlign w:val="center"/>
                  </w:tcPr>
                  <w:p w:rsidR="00B637B2" w:rsidRDefault="00B637B2" w:rsidP="00B637B2">
                    <w:pPr>
                      <w:jc w:val="right"/>
                      <w:rPr>
                        <w:szCs w:val="21"/>
                      </w:rPr>
                    </w:pPr>
                  </w:p>
                </w:tc>
              </w:tr>
              <w:tr w:rsidR="00B637B2" w:rsidTr="00B637B2">
                <w:sdt>
                  <w:sdtPr>
                    <w:rPr>
                      <w:highlight w:val="yellow"/>
                    </w:rPr>
                    <w:tag w:val="_PLD_00ac4295a6c1486798f20bf742b8834b"/>
                    <w:id w:val="1875953198"/>
                    <w:lock w:val="sdtLocked"/>
                  </w:sdtPr>
                  <w:sdtContent>
                    <w:tc>
                      <w:tcPr>
                        <w:tcW w:w="1765" w:type="pct"/>
                        <w:tcBorders>
                          <w:top w:val="outset" w:sz="4" w:space="0" w:color="auto"/>
                          <w:left w:val="outset" w:sz="4" w:space="0" w:color="auto"/>
                          <w:bottom w:val="outset" w:sz="4" w:space="0" w:color="auto"/>
                          <w:right w:val="outset" w:sz="4" w:space="0" w:color="auto"/>
                        </w:tcBorders>
                        <w:vAlign w:val="center"/>
                      </w:tcPr>
                      <w:p w:rsidR="00B637B2" w:rsidRPr="00CB755A" w:rsidRDefault="008F04CF" w:rsidP="00B637B2">
                        <w:pPr>
                          <w:ind w:firstLineChars="100" w:firstLine="210"/>
                          <w:rPr>
                            <w:szCs w:val="21"/>
                            <w:highlight w:val="yellow"/>
                          </w:rPr>
                        </w:pPr>
                        <w:r w:rsidRPr="00356C46">
                          <w:rPr>
                            <w:rFonts w:hint="eastAsia"/>
                            <w:szCs w:val="21"/>
                          </w:rPr>
                          <w:t>其中：优先股</w:t>
                        </w:r>
                      </w:p>
                    </w:tc>
                  </w:sdtContent>
                </w:sdt>
                <w:tc>
                  <w:tcPr>
                    <w:tcW w:w="112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jc w:val="right"/>
                      <w:rPr>
                        <w:szCs w:val="21"/>
                      </w:rPr>
                    </w:pPr>
                    <w:r>
                      <w:rPr>
                        <w:rFonts w:hint="eastAsia"/>
                        <w:szCs w:val="21"/>
                      </w:rPr>
                      <w:t>-</w:t>
                    </w:r>
                  </w:p>
                </w:tc>
                <w:tc>
                  <w:tcPr>
                    <w:tcW w:w="1125"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jc w:val="right"/>
                      <w:rPr>
                        <w:szCs w:val="21"/>
                      </w:rPr>
                    </w:pPr>
                    <w:r>
                      <w:rPr>
                        <w:rFonts w:hint="eastAsia"/>
                        <w:szCs w:val="21"/>
                      </w:rPr>
                      <w:t>-</w:t>
                    </w:r>
                  </w:p>
                </w:tc>
                <w:tc>
                  <w:tcPr>
                    <w:tcW w:w="986" w:type="pct"/>
                    <w:tcBorders>
                      <w:top w:val="outset" w:sz="4" w:space="0" w:color="auto"/>
                      <w:left w:val="outset" w:sz="4" w:space="0" w:color="auto"/>
                      <w:bottom w:val="outset" w:sz="4" w:space="0" w:color="auto"/>
                      <w:right w:val="outset" w:sz="4" w:space="0" w:color="auto"/>
                    </w:tcBorders>
                    <w:vAlign w:val="center"/>
                  </w:tcPr>
                  <w:p w:rsidR="00B637B2" w:rsidRDefault="00B637B2" w:rsidP="00B637B2">
                    <w:pPr>
                      <w:jc w:val="right"/>
                      <w:rPr>
                        <w:szCs w:val="21"/>
                      </w:rPr>
                    </w:pPr>
                  </w:p>
                </w:tc>
              </w:tr>
              <w:tr w:rsidR="00B637B2" w:rsidTr="00B637B2">
                <w:sdt>
                  <w:sdtPr>
                    <w:rPr>
                      <w:highlight w:val="yellow"/>
                    </w:rPr>
                    <w:tag w:val="_PLD_c2fa35d8e1ac487a949a2fe2d62ba1c1"/>
                    <w:id w:val="1189870302"/>
                    <w:lock w:val="sdtLocked"/>
                  </w:sdtPr>
                  <w:sdtContent>
                    <w:tc>
                      <w:tcPr>
                        <w:tcW w:w="1765" w:type="pct"/>
                        <w:tcBorders>
                          <w:top w:val="outset" w:sz="4" w:space="0" w:color="auto"/>
                          <w:left w:val="outset" w:sz="4" w:space="0" w:color="auto"/>
                          <w:bottom w:val="outset" w:sz="4" w:space="0" w:color="auto"/>
                          <w:right w:val="outset" w:sz="4" w:space="0" w:color="auto"/>
                        </w:tcBorders>
                        <w:vAlign w:val="center"/>
                      </w:tcPr>
                      <w:p w:rsidR="00B637B2" w:rsidRPr="00CB755A" w:rsidRDefault="008F04CF" w:rsidP="00B637B2">
                        <w:pPr>
                          <w:ind w:leftChars="300" w:left="630" w:firstLineChars="100" w:firstLine="210"/>
                          <w:rPr>
                            <w:szCs w:val="21"/>
                            <w:highlight w:val="yellow"/>
                          </w:rPr>
                        </w:pPr>
                        <w:r w:rsidRPr="00356C46">
                          <w:rPr>
                            <w:rFonts w:hint="eastAsia"/>
                            <w:szCs w:val="21"/>
                          </w:rPr>
                          <w:t>永续债</w:t>
                        </w:r>
                      </w:p>
                    </w:tc>
                  </w:sdtContent>
                </w:sdt>
                <w:tc>
                  <w:tcPr>
                    <w:tcW w:w="112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jc w:val="right"/>
                      <w:rPr>
                        <w:szCs w:val="21"/>
                      </w:rPr>
                    </w:pPr>
                    <w:r>
                      <w:rPr>
                        <w:rFonts w:hint="eastAsia"/>
                        <w:szCs w:val="21"/>
                      </w:rPr>
                      <w:t>-</w:t>
                    </w:r>
                  </w:p>
                </w:tc>
                <w:tc>
                  <w:tcPr>
                    <w:tcW w:w="1125"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jc w:val="right"/>
                      <w:rPr>
                        <w:szCs w:val="21"/>
                      </w:rPr>
                    </w:pPr>
                    <w:r>
                      <w:rPr>
                        <w:rFonts w:hint="eastAsia"/>
                        <w:szCs w:val="21"/>
                      </w:rPr>
                      <w:t>-</w:t>
                    </w:r>
                  </w:p>
                </w:tc>
                <w:tc>
                  <w:tcPr>
                    <w:tcW w:w="986" w:type="pct"/>
                    <w:tcBorders>
                      <w:top w:val="outset" w:sz="4" w:space="0" w:color="auto"/>
                      <w:left w:val="outset" w:sz="4" w:space="0" w:color="auto"/>
                      <w:bottom w:val="outset" w:sz="4" w:space="0" w:color="auto"/>
                      <w:right w:val="outset" w:sz="4" w:space="0" w:color="auto"/>
                    </w:tcBorders>
                    <w:vAlign w:val="center"/>
                  </w:tcPr>
                  <w:p w:rsidR="00B637B2" w:rsidRDefault="00B637B2" w:rsidP="00B637B2">
                    <w:pPr>
                      <w:jc w:val="right"/>
                      <w:rPr>
                        <w:szCs w:val="21"/>
                      </w:rPr>
                    </w:pPr>
                  </w:p>
                </w:tc>
              </w:tr>
              <w:tr w:rsidR="00B637B2" w:rsidTr="00B637B2">
                <w:sdt>
                  <w:sdtPr>
                    <w:rPr>
                      <w:highlight w:val="yellow"/>
                    </w:rPr>
                    <w:tag w:val="_PLD_834b3ab77c824936875be7024902ea58"/>
                    <w:id w:val="2068753099"/>
                    <w:lock w:val="sdtLocked"/>
                  </w:sdtPr>
                  <w:sdtContent>
                    <w:tc>
                      <w:tcPr>
                        <w:tcW w:w="1765" w:type="pct"/>
                        <w:tcBorders>
                          <w:top w:val="outset" w:sz="4" w:space="0" w:color="auto"/>
                          <w:left w:val="outset" w:sz="4" w:space="0" w:color="auto"/>
                          <w:bottom w:val="outset" w:sz="4" w:space="0" w:color="auto"/>
                          <w:right w:val="outset" w:sz="4" w:space="0" w:color="auto"/>
                        </w:tcBorders>
                        <w:vAlign w:val="center"/>
                      </w:tcPr>
                      <w:p w:rsidR="00B637B2" w:rsidRPr="00CB755A" w:rsidRDefault="008F04CF" w:rsidP="00B637B2">
                        <w:pPr>
                          <w:ind w:firstLineChars="100" w:firstLine="210"/>
                          <w:rPr>
                            <w:szCs w:val="21"/>
                            <w:highlight w:val="yellow"/>
                          </w:rPr>
                        </w:pPr>
                        <w:r w:rsidRPr="00356C46">
                          <w:rPr>
                            <w:rFonts w:hint="eastAsia"/>
                            <w:szCs w:val="21"/>
                          </w:rPr>
                          <w:t>资本公积</w:t>
                        </w:r>
                      </w:p>
                    </w:tc>
                  </w:sdtContent>
                </w:sdt>
                <w:tc>
                  <w:tcPr>
                    <w:tcW w:w="112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jc w:val="right"/>
                      <w:rPr>
                        <w:szCs w:val="21"/>
                      </w:rPr>
                    </w:pPr>
                    <w:r>
                      <w:t>1,619,007,491</w:t>
                    </w:r>
                  </w:p>
                </w:tc>
                <w:tc>
                  <w:tcPr>
                    <w:tcW w:w="1125"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jc w:val="right"/>
                      <w:rPr>
                        <w:szCs w:val="21"/>
                      </w:rPr>
                    </w:pPr>
                    <w:r>
                      <w:t>1,619,007,491</w:t>
                    </w:r>
                  </w:p>
                </w:tc>
                <w:tc>
                  <w:tcPr>
                    <w:tcW w:w="986" w:type="pct"/>
                    <w:tcBorders>
                      <w:top w:val="outset" w:sz="4" w:space="0" w:color="auto"/>
                      <w:left w:val="outset" w:sz="4" w:space="0" w:color="auto"/>
                      <w:bottom w:val="outset" w:sz="4" w:space="0" w:color="auto"/>
                      <w:right w:val="outset" w:sz="4" w:space="0" w:color="auto"/>
                    </w:tcBorders>
                    <w:vAlign w:val="center"/>
                  </w:tcPr>
                  <w:p w:rsidR="00B637B2" w:rsidRDefault="00B637B2" w:rsidP="00B637B2">
                    <w:pPr>
                      <w:jc w:val="right"/>
                      <w:rPr>
                        <w:szCs w:val="21"/>
                      </w:rPr>
                    </w:pPr>
                  </w:p>
                </w:tc>
              </w:tr>
              <w:tr w:rsidR="00B637B2" w:rsidTr="00B637B2">
                <w:sdt>
                  <w:sdtPr>
                    <w:rPr>
                      <w:highlight w:val="yellow"/>
                    </w:rPr>
                    <w:tag w:val="_PLD_a70d9354e9a94ab690010aa4bf4fe9dc"/>
                    <w:id w:val="-1748946453"/>
                    <w:lock w:val="sdtLocked"/>
                  </w:sdtPr>
                  <w:sdtContent>
                    <w:tc>
                      <w:tcPr>
                        <w:tcW w:w="1765" w:type="pct"/>
                        <w:tcBorders>
                          <w:top w:val="outset" w:sz="4" w:space="0" w:color="auto"/>
                          <w:left w:val="outset" w:sz="4" w:space="0" w:color="auto"/>
                          <w:bottom w:val="outset" w:sz="4" w:space="0" w:color="auto"/>
                          <w:right w:val="outset" w:sz="4" w:space="0" w:color="auto"/>
                        </w:tcBorders>
                        <w:vAlign w:val="center"/>
                      </w:tcPr>
                      <w:p w:rsidR="00B637B2" w:rsidRPr="00CB755A" w:rsidRDefault="008F04CF" w:rsidP="00B637B2">
                        <w:pPr>
                          <w:ind w:firstLineChars="100" w:firstLine="210"/>
                          <w:rPr>
                            <w:szCs w:val="21"/>
                            <w:highlight w:val="yellow"/>
                          </w:rPr>
                        </w:pPr>
                        <w:r w:rsidRPr="00356C46">
                          <w:rPr>
                            <w:rFonts w:hint="eastAsia"/>
                            <w:szCs w:val="21"/>
                          </w:rPr>
                          <w:t>减：库存股</w:t>
                        </w:r>
                      </w:p>
                    </w:tc>
                  </w:sdtContent>
                </w:sdt>
                <w:tc>
                  <w:tcPr>
                    <w:tcW w:w="112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jc w:val="right"/>
                      <w:rPr>
                        <w:szCs w:val="21"/>
                      </w:rPr>
                    </w:pPr>
                    <w:r>
                      <w:t>55,787,910</w:t>
                    </w:r>
                  </w:p>
                </w:tc>
                <w:tc>
                  <w:tcPr>
                    <w:tcW w:w="1125"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jc w:val="right"/>
                      <w:rPr>
                        <w:szCs w:val="21"/>
                      </w:rPr>
                    </w:pPr>
                    <w:r>
                      <w:t>55,787,910</w:t>
                    </w:r>
                  </w:p>
                </w:tc>
                <w:tc>
                  <w:tcPr>
                    <w:tcW w:w="986" w:type="pct"/>
                    <w:tcBorders>
                      <w:top w:val="outset" w:sz="4" w:space="0" w:color="auto"/>
                      <w:left w:val="outset" w:sz="4" w:space="0" w:color="auto"/>
                      <w:bottom w:val="outset" w:sz="4" w:space="0" w:color="auto"/>
                      <w:right w:val="outset" w:sz="4" w:space="0" w:color="auto"/>
                    </w:tcBorders>
                    <w:vAlign w:val="center"/>
                  </w:tcPr>
                  <w:p w:rsidR="00B637B2" w:rsidRDefault="00B637B2" w:rsidP="00B637B2">
                    <w:pPr>
                      <w:jc w:val="right"/>
                      <w:rPr>
                        <w:szCs w:val="21"/>
                      </w:rPr>
                    </w:pPr>
                  </w:p>
                </w:tc>
              </w:tr>
              <w:tr w:rsidR="00B637B2" w:rsidTr="00B637B2">
                <w:sdt>
                  <w:sdtPr>
                    <w:rPr>
                      <w:highlight w:val="yellow"/>
                    </w:rPr>
                    <w:tag w:val="_PLD_4e4dbb75dc1047fead1e2e3d2f27761e"/>
                    <w:id w:val="1353463477"/>
                    <w:lock w:val="sdtLocked"/>
                  </w:sdtPr>
                  <w:sdtContent>
                    <w:tc>
                      <w:tcPr>
                        <w:tcW w:w="1765" w:type="pct"/>
                        <w:tcBorders>
                          <w:top w:val="outset" w:sz="4" w:space="0" w:color="auto"/>
                          <w:left w:val="outset" w:sz="4" w:space="0" w:color="auto"/>
                          <w:bottom w:val="outset" w:sz="4" w:space="0" w:color="auto"/>
                          <w:right w:val="outset" w:sz="4" w:space="0" w:color="auto"/>
                        </w:tcBorders>
                        <w:vAlign w:val="center"/>
                      </w:tcPr>
                      <w:p w:rsidR="00B637B2" w:rsidRPr="00CB755A" w:rsidRDefault="008F04CF" w:rsidP="00B637B2">
                        <w:pPr>
                          <w:ind w:firstLineChars="100" w:firstLine="210"/>
                          <w:rPr>
                            <w:szCs w:val="21"/>
                            <w:highlight w:val="yellow"/>
                          </w:rPr>
                        </w:pPr>
                        <w:r w:rsidRPr="00356C46">
                          <w:rPr>
                            <w:rFonts w:hint="eastAsia"/>
                            <w:szCs w:val="21"/>
                          </w:rPr>
                          <w:t>其他综合收益</w:t>
                        </w:r>
                      </w:p>
                    </w:tc>
                  </w:sdtContent>
                </w:sdt>
                <w:tc>
                  <w:tcPr>
                    <w:tcW w:w="112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jc w:val="right"/>
                      <w:rPr>
                        <w:szCs w:val="21"/>
                      </w:rPr>
                    </w:pPr>
                    <w:r w:rsidRPr="00857549">
                      <w:rPr>
                        <w:szCs w:val="21"/>
                      </w:rPr>
                      <w:t>-49,462,234</w:t>
                    </w:r>
                  </w:p>
                </w:tc>
                <w:tc>
                  <w:tcPr>
                    <w:tcW w:w="1125"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jc w:val="right"/>
                      <w:rPr>
                        <w:szCs w:val="21"/>
                      </w:rPr>
                    </w:pPr>
                    <w:r>
                      <w:rPr>
                        <w:rFonts w:hint="eastAsia"/>
                        <w:szCs w:val="21"/>
                      </w:rPr>
                      <w:t>-</w:t>
                    </w:r>
                  </w:p>
                </w:tc>
                <w:tc>
                  <w:tcPr>
                    <w:tcW w:w="986"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jc w:val="right"/>
                      <w:rPr>
                        <w:szCs w:val="21"/>
                      </w:rPr>
                    </w:pPr>
                    <w:r w:rsidRPr="00857549">
                      <w:rPr>
                        <w:szCs w:val="21"/>
                      </w:rPr>
                      <w:t>49,462,234</w:t>
                    </w:r>
                  </w:p>
                </w:tc>
              </w:tr>
              <w:tr w:rsidR="00B637B2" w:rsidTr="00B637B2">
                <w:sdt>
                  <w:sdtPr>
                    <w:rPr>
                      <w:highlight w:val="yellow"/>
                    </w:rPr>
                    <w:tag w:val="_PLD_6c13a47d776445fc9274525173a52d60"/>
                    <w:id w:val="278459557"/>
                    <w:lock w:val="sdtLocked"/>
                  </w:sdtPr>
                  <w:sdtContent>
                    <w:tc>
                      <w:tcPr>
                        <w:tcW w:w="1765" w:type="pct"/>
                        <w:tcBorders>
                          <w:top w:val="outset" w:sz="4" w:space="0" w:color="auto"/>
                          <w:left w:val="outset" w:sz="4" w:space="0" w:color="auto"/>
                          <w:bottom w:val="outset" w:sz="4" w:space="0" w:color="auto"/>
                          <w:right w:val="outset" w:sz="4" w:space="0" w:color="auto"/>
                        </w:tcBorders>
                        <w:vAlign w:val="center"/>
                      </w:tcPr>
                      <w:p w:rsidR="00B637B2" w:rsidRPr="00CB755A" w:rsidRDefault="008F04CF" w:rsidP="00B637B2">
                        <w:pPr>
                          <w:ind w:firstLineChars="100" w:firstLine="210"/>
                          <w:rPr>
                            <w:szCs w:val="21"/>
                            <w:highlight w:val="yellow"/>
                          </w:rPr>
                        </w:pPr>
                        <w:r w:rsidRPr="00356C46">
                          <w:rPr>
                            <w:rFonts w:hint="eastAsia"/>
                            <w:szCs w:val="21"/>
                          </w:rPr>
                          <w:t>专项储备</w:t>
                        </w:r>
                      </w:p>
                    </w:tc>
                  </w:sdtContent>
                </w:sdt>
                <w:tc>
                  <w:tcPr>
                    <w:tcW w:w="112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jc w:val="right"/>
                      <w:rPr>
                        <w:szCs w:val="21"/>
                      </w:rPr>
                    </w:pPr>
                    <w:r>
                      <w:rPr>
                        <w:rFonts w:hint="eastAsia"/>
                        <w:szCs w:val="21"/>
                      </w:rPr>
                      <w:t>-</w:t>
                    </w:r>
                  </w:p>
                </w:tc>
                <w:tc>
                  <w:tcPr>
                    <w:tcW w:w="1125"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jc w:val="right"/>
                      <w:rPr>
                        <w:szCs w:val="21"/>
                      </w:rPr>
                    </w:pPr>
                    <w:r>
                      <w:rPr>
                        <w:rFonts w:hint="eastAsia"/>
                        <w:szCs w:val="21"/>
                      </w:rPr>
                      <w:t>-</w:t>
                    </w:r>
                  </w:p>
                </w:tc>
                <w:tc>
                  <w:tcPr>
                    <w:tcW w:w="986" w:type="pct"/>
                    <w:tcBorders>
                      <w:top w:val="outset" w:sz="4" w:space="0" w:color="auto"/>
                      <w:left w:val="outset" w:sz="4" w:space="0" w:color="auto"/>
                      <w:bottom w:val="outset" w:sz="4" w:space="0" w:color="auto"/>
                      <w:right w:val="outset" w:sz="4" w:space="0" w:color="auto"/>
                    </w:tcBorders>
                    <w:vAlign w:val="center"/>
                  </w:tcPr>
                  <w:p w:rsidR="00B637B2" w:rsidRDefault="00B637B2" w:rsidP="00B637B2">
                    <w:pPr>
                      <w:jc w:val="right"/>
                      <w:rPr>
                        <w:szCs w:val="21"/>
                      </w:rPr>
                    </w:pPr>
                  </w:p>
                </w:tc>
              </w:tr>
              <w:tr w:rsidR="00B637B2" w:rsidTr="00B637B2">
                <w:sdt>
                  <w:sdtPr>
                    <w:rPr>
                      <w:highlight w:val="yellow"/>
                    </w:rPr>
                    <w:tag w:val="_PLD_dd11efa46b0146de89d9167f31cbb19b"/>
                    <w:id w:val="-1129712560"/>
                    <w:lock w:val="sdtLocked"/>
                  </w:sdtPr>
                  <w:sdtContent>
                    <w:tc>
                      <w:tcPr>
                        <w:tcW w:w="1765" w:type="pct"/>
                        <w:tcBorders>
                          <w:top w:val="outset" w:sz="4" w:space="0" w:color="auto"/>
                          <w:left w:val="outset" w:sz="4" w:space="0" w:color="auto"/>
                          <w:bottom w:val="outset" w:sz="4" w:space="0" w:color="auto"/>
                          <w:right w:val="outset" w:sz="4" w:space="0" w:color="auto"/>
                        </w:tcBorders>
                        <w:vAlign w:val="center"/>
                      </w:tcPr>
                      <w:p w:rsidR="00B637B2" w:rsidRPr="00CB755A" w:rsidRDefault="008F04CF" w:rsidP="00B637B2">
                        <w:pPr>
                          <w:ind w:firstLineChars="100" w:firstLine="210"/>
                          <w:rPr>
                            <w:szCs w:val="21"/>
                            <w:highlight w:val="yellow"/>
                          </w:rPr>
                        </w:pPr>
                        <w:r w:rsidRPr="00356C46">
                          <w:rPr>
                            <w:rFonts w:hint="eastAsia"/>
                            <w:szCs w:val="21"/>
                          </w:rPr>
                          <w:t>盈余公积</w:t>
                        </w:r>
                      </w:p>
                    </w:tc>
                  </w:sdtContent>
                </w:sdt>
                <w:tc>
                  <w:tcPr>
                    <w:tcW w:w="112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jc w:val="right"/>
                      <w:rPr>
                        <w:szCs w:val="21"/>
                      </w:rPr>
                    </w:pPr>
                    <w:r>
                      <w:t>827,153,655</w:t>
                    </w:r>
                  </w:p>
                </w:tc>
                <w:tc>
                  <w:tcPr>
                    <w:tcW w:w="1125"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jc w:val="right"/>
                      <w:rPr>
                        <w:szCs w:val="21"/>
                      </w:rPr>
                    </w:pPr>
                    <w:r>
                      <w:t>831,983,441</w:t>
                    </w:r>
                  </w:p>
                </w:tc>
                <w:tc>
                  <w:tcPr>
                    <w:tcW w:w="986"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jc w:val="right"/>
                      <w:rPr>
                        <w:szCs w:val="21"/>
                      </w:rPr>
                    </w:pPr>
                    <w:r>
                      <w:t>4,829,786</w:t>
                    </w:r>
                  </w:p>
                </w:tc>
              </w:tr>
              <w:tr w:rsidR="00B637B2" w:rsidTr="00B637B2">
                <w:sdt>
                  <w:sdtPr>
                    <w:rPr>
                      <w:highlight w:val="yellow"/>
                    </w:rPr>
                    <w:tag w:val="_PLD_d86bc5971158404eb1d42b4de33e2728"/>
                    <w:id w:val="81425336"/>
                    <w:lock w:val="sdtLocked"/>
                  </w:sdtPr>
                  <w:sdtContent>
                    <w:tc>
                      <w:tcPr>
                        <w:tcW w:w="1765" w:type="pct"/>
                        <w:tcBorders>
                          <w:top w:val="outset" w:sz="4" w:space="0" w:color="auto"/>
                          <w:left w:val="outset" w:sz="4" w:space="0" w:color="auto"/>
                          <w:bottom w:val="outset" w:sz="4" w:space="0" w:color="auto"/>
                          <w:right w:val="outset" w:sz="4" w:space="0" w:color="auto"/>
                        </w:tcBorders>
                        <w:vAlign w:val="center"/>
                      </w:tcPr>
                      <w:p w:rsidR="00B637B2" w:rsidRPr="00CB755A" w:rsidRDefault="008F04CF" w:rsidP="00B637B2">
                        <w:pPr>
                          <w:ind w:firstLineChars="100" w:firstLine="210"/>
                          <w:rPr>
                            <w:szCs w:val="21"/>
                            <w:highlight w:val="yellow"/>
                          </w:rPr>
                        </w:pPr>
                        <w:r w:rsidRPr="00356C46">
                          <w:rPr>
                            <w:rFonts w:hint="eastAsia"/>
                            <w:szCs w:val="21"/>
                          </w:rPr>
                          <w:t>未分配利润</w:t>
                        </w:r>
                      </w:p>
                    </w:tc>
                  </w:sdtContent>
                </w:sdt>
                <w:tc>
                  <w:tcPr>
                    <w:tcW w:w="112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jc w:val="right"/>
                      <w:rPr>
                        <w:szCs w:val="21"/>
                      </w:rPr>
                    </w:pPr>
                    <w:r>
                      <w:t>1,614,399,420</w:t>
                    </w:r>
                  </w:p>
                </w:tc>
                <w:tc>
                  <w:tcPr>
                    <w:tcW w:w="1125"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jc w:val="right"/>
                      <w:rPr>
                        <w:szCs w:val="21"/>
                      </w:rPr>
                    </w:pPr>
                    <w:r>
                      <w:t>1,644,146,818</w:t>
                    </w:r>
                  </w:p>
                </w:tc>
                <w:tc>
                  <w:tcPr>
                    <w:tcW w:w="986"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jc w:val="right"/>
                      <w:rPr>
                        <w:szCs w:val="21"/>
                      </w:rPr>
                    </w:pPr>
                    <w:r>
                      <w:t>29,747,398</w:t>
                    </w:r>
                  </w:p>
                </w:tc>
              </w:tr>
              <w:tr w:rsidR="00B637B2" w:rsidTr="00B637B2">
                <w:sdt>
                  <w:sdtPr>
                    <w:rPr>
                      <w:highlight w:val="yellow"/>
                    </w:rPr>
                    <w:tag w:val="_PLD_c20899a0afbc45fb9f96c375ae861870"/>
                    <w:id w:val="-1322106461"/>
                    <w:lock w:val="sdtLocked"/>
                  </w:sdtPr>
                  <w:sdtContent>
                    <w:tc>
                      <w:tcPr>
                        <w:tcW w:w="1765" w:type="pct"/>
                        <w:tcBorders>
                          <w:top w:val="outset" w:sz="4" w:space="0" w:color="auto"/>
                          <w:left w:val="outset" w:sz="4" w:space="0" w:color="auto"/>
                          <w:bottom w:val="outset" w:sz="4" w:space="0" w:color="auto"/>
                          <w:right w:val="outset" w:sz="4" w:space="0" w:color="auto"/>
                        </w:tcBorders>
                        <w:vAlign w:val="center"/>
                      </w:tcPr>
                      <w:p w:rsidR="00B637B2" w:rsidRPr="00CB755A" w:rsidRDefault="008F04CF" w:rsidP="00B637B2">
                        <w:pPr>
                          <w:ind w:firstLineChars="200" w:firstLine="420"/>
                          <w:rPr>
                            <w:szCs w:val="21"/>
                            <w:highlight w:val="yellow"/>
                          </w:rPr>
                        </w:pPr>
                        <w:r w:rsidRPr="00356C46">
                          <w:rPr>
                            <w:rFonts w:hint="eastAsia"/>
                            <w:szCs w:val="21"/>
                          </w:rPr>
                          <w:t>所有者权益（或股东权益）合计</w:t>
                        </w:r>
                      </w:p>
                    </w:tc>
                  </w:sdtContent>
                </w:sdt>
                <w:tc>
                  <w:tcPr>
                    <w:tcW w:w="112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jc w:val="right"/>
                      <w:rPr>
                        <w:szCs w:val="21"/>
                      </w:rPr>
                    </w:pPr>
                    <w:r>
                      <w:t>5,873,143,214</w:t>
                    </w:r>
                  </w:p>
                </w:tc>
                <w:tc>
                  <w:tcPr>
                    <w:tcW w:w="1125"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jc w:val="right"/>
                      <w:rPr>
                        <w:szCs w:val="21"/>
                      </w:rPr>
                    </w:pPr>
                    <w:r>
                      <w:t>5,957,182,632</w:t>
                    </w:r>
                  </w:p>
                </w:tc>
                <w:tc>
                  <w:tcPr>
                    <w:tcW w:w="986"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jc w:val="right"/>
                      <w:rPr>
                        <w:szCs w:val="21"/>
                      </w:rPr>
                    </w:pPr>
                    <w:r>
                      <w:t>84,039,418</w:t>
                    </w:r>
                  </w:p>
                </w:tc>
              </w:tr>
              <w:tr w:rsidR="00B637B2" w:rsidTr="00B637B2">
                <w:sdt>
                  <w:sdtPr>
                    <w:rPr>
                      <w:highlight w:val="yellow"/>
                    </w:rPr>
                    <w:tag w:val="_PLD_db11ece6f92844b48c8e943a030153d9"/>
                    <w:id w:val="1778747425"/>
                    <w:lock w:val="sdtLocked"/>
                  </w:sdtPr>
                  <w:sdtContent>
                    <w:tc>
                      <w:tcPr>
                        <w:tcW w:w="1765" w:type="pct"/>
                        <w:tcBorders>
                          <w:top w:val="outset" w:sz="4" w:space="0" w:color="auto"/>
                          <w:left w:val="outset" w:sz="4" w:space="0" w:color="auto"/>
                          <w:bottom w:val="outset" w:sz="4" w:space="0" w:color="auto"/>
                          <w:right w:val="outset" w:sz="4" w:space="0" w:color="auto"/>
                        </w:tcBorders>
                        <w:vAlign w:val="center"/>
                      </w:tcPr>
                      <w:p w:rsidR="00B637B2" w:rsidRPr="00CB755A" w:rsidRDefault="008F04CF" w:rsidP="00B637B2">
                        <w:pPr>
                          <w:ind w:firstLineChars="300" w:firstLine="630"/>
                          <w:rPr>
                            <w:szCs w:val="21"/>
                            <w:highlight w:val="yellow"/>
                          </w:rPr>
                        </w:pPr>
                        <w:r w:rsidRPr="00356C46">
                          <w:rPr>
                            <w:rFonts w:hint="eastAsia"/>
                            <w:szCs w:val="21"/>
                          </w:rPr>
                          <w:t>负债和所有者权益（或股东权益）总计</w:t>
                        </w:r>
                      </w:p>
                    </w:tc>
                  </w:sdtContent>
                </w:sdt>
                <w:tc>
                  <w:tcPr>
                    <w:tcW w:w="1124"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jc w:val="right"/>
                      <w:rPr>
                        <w:szCs w:val="21"/>
                      </w:rPr>
                    </w:pPr>
                    <w:r>
                      <w:t>11,158,381,543</w:t>
                    </w:r>
                  </w:p>
                </w:tc>
                <w:tc>
                  <w:tcPr>
                    <w:tcW w:w="1125"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jc w:val="right"/>
                      <w:rPr>
                        <w:szCs w:val="21"/>
                      </w:rPr>
                    </w:pPr>
                    <w:r>
                      <w:t>11,259,861,671</w:t>
                    </w:r>
                  </w:p>
                </w:tc>
                <w:tc>
                  <w:tcPr>
                    <w:tcW w:w="986" w:type="pct"/>
                    <w:tcBorders>
                      <w:top w:val="outset" w:sz="4" w:space="0" w:color="auto"/>
                      <w:left w:val="outset" w:sz="4" w:space="0" w:color="auto"/>
                      <w:bottom w:val="outset" w:sz="4" w:space="0" w:color="auto"/>
                      <w:right w:val="outset" w:sz="4" w:space="0" w:color="auto"/>
                    </w:tcBorders>
                    <w:vAlign w:val="center"/>
                  </w:tcPr>
                  <w:p w:rsidR="00B637B2" w:rsidRDefault="008F04CF" w:rsidP="00B637B2">
                    <w:pPr>
                      <w:jc w:val="right"/>
                      <w:rPr>
                        <w:szCs w:val="21"/>
                      </w:rPr>
                    </w:pPr>
                    <w:r>
                      <w:t>101,480,128</w:t>
                    </w:r>
                  </w:p>
                </w:tc>
              </w:tr>
            </w:tbl>
            <w:p w:rsidR="00B637B2" w:rsidRDefault="00B637B2"/>
            <w:p w:rsidR="00ED2DC7" w:rsidRDefault="00ED2DC7">
              <w:pPr>
                <w:rPr>
                  <w:szCs w:val="21"/>
                </w:rPr>
              </w:pPr>
              <w:r>
                <w:rPr>
                  <w:rFonts w:hint="eastAsia"/>
                  <w:szCs w:val="21"/>
                </w:rPr>
                <w:t>各项目调整情况的说明：</w:t>
              </w:r>
            </w:p>
            <w:sdt>
              <w:sdtPr>
                <w:alias w:val="是否适用：母公司资产负债表各项目调整情况的说明[双击切换]"/>
                <w:tag w:val="_GBC_4da43801742d47a3ad02db54d198c963"/>
                <w:id w:val="-1381782306"/>
                <w:lock w:val="sdtContentLocked"/>
                <w:placeholder>
                  <w:docPart w:val="GBC22222222222222222222222222222"/>
                </w:placeholder>
              </w:sdtPr>
              <w:sdtContent>
                <w:p w:rsidR="00ED2DC7" w:rsidRDefault="00ED2DC7" w:rsidP="004151A4">
                  <w:r>
                    <w:fldChar w:fldCharType="begin"/>
                  </w:r>
                  <w:r w:rsidR="004151A4">
                    <w:instrText xml:space="preserve"> MACROBUTTON  SnrToggleCheckbox □适用 </w:instrText>
                  </w:r>
                  <w:r>
                    <w:fldChar w:fldCharType="end"/>
                  </w:r>
                  <w:r>
                    <w:fldChar w:fldCharType="begin"/>
                  </w:r>
                  <w:r w:rsidR="004151A4">
                    <w:instrText xml:space="preserve"> MACROBUTTON  SnrToggleCheckbox √不适用 </w:instrText>
                  </w:r>
                  <w:r>
                    <w:fldChar w:fldCharType="end"/>
                  </w:r>
                </w:p>
              </w:sdtContent>
            </w:sdt>
            <w:p w:rsidR="00ED2DC7" w:rsidRDefault="000D0A99">
              <w:pPr>
                <w:rPr>
                  <w:szCs w:val="21"/>
                </w:rPr>
              </w:pPr>
            </w:p>
          </w:sdtContent>
        </w:sdt>
      </w:sdtContent>
    </w:sdt>
    <w:bookmarkEnd w:id="90" w:displacedByCustomXml="prev"/>
    <w:bookmarkStart w:id="91" w:name="_Hlk10466171" w:displacedByCustomXml="next"/>
    <w:sdt>
      <w:sdtPr>
        <w:rPr>
          <w:rFonts w:ascii="宋体" w:hAnsi="宋体" w:cs="宋体" w:hint="eastAsia"/>
          <w:b w:val="0"/>
          <w:bCs w:val="0"/>
          <w:kern w:val="0"/>
          <w:szCs w:val="21"/>
        </w:rPr>
        <w:alias w:val="模块:首次执行新金融工具准则、新租赁准则追溯调整前期比较数据的说明"/>
        <w:tag w:val="_SEC_a98b82c2763d4798bed73cd0b4fbc809"/>
        <w:id w:val="172466298"/>
        <w:lock w:val="sdtLocked"/>
        <w:placeholder>
          <w:docPart w:val="GBC22222222222222222222222222222"/>
        </w:placeholder>
      </w:sdtPr>
      <w:sdtEndPr>
        <w:rPr>
          <w:rFonts w:hint="default"/>
        </w:rPr>
      </w:sdtEndPr>
      <w:sdtContent>
        <w:p w:rsidR="00ED2DC7" w:rsidRPr="00857549" w:rsidRDefault="00ED2DC7" w:rsidP="00036BDC">
          <w:pPr>
            <w:pStyle w:val="affffffffffffffffff2"/>
            <w:numPr>
              <w:ilvl w:val="3"/>
              <w:numId w:val="46"/>
            </w:numPr>
            <w:ind w:left="426" w:hanging="426"/>
            <w:rPr>
              <w:szCs w:val="21"/>
            </w:rPr>
          </w:pPr>
          <w:r w:rsidRPr="00857549">
            <w:rPr>
              <w:rFonts w:hint="eastAsia"/>
              <w:szCs w:val="21"/>
            </w:rPr>
            <w:t>首次执行新金融工具准则、新租赁准则追溯调整前期比较数据的说明</w:t>
          </w:r>
        </w:p>
        <w:sdt>
          <w:sdtPr>
            <w:rPr>
              <w:szCs w:val="21"/>
            </w:rPr>
            <w:alias w:val="是否适用：首次执行新会计准则调整前期比较数据的说明[双击切换]"/>
            <w:tag w:val="_GBC_ceaa7ba89e47473da347779a7dc5e772"/>
            <w:id w:val="-1796286068"/>
            <w:lock w:val="sdtContentLocked"/>
            <w:placeholder>
              <w:docPart w:val="GBC22222222222222222222222222222"/>
            </w:placeholder>
          </w:sdtPr>
          <w:sdtContent>
            <w:p w:rsidR="0092715C" w:rsidRDefault="00ED2DC7" w:rsidP="0092715C">
              <w:r>
                <w:rPr>
                  <w:szCs w:val="21"/>
                </w:rPr>
                <w:fldChar w:fldCharType="begin"/>
              </w:r>
              <w:r w:rsidR="0092715C">
                <w:rPr>
                  <w:szCs w:val="21"/>
                </w:rPr>
                <w:instrText xml:space="preserve"> MACROBUTTON  SnrToggleCheckbox □适用 </w:instrText>
              </w:r>
              <w:r>
                <w:rPr>
                  <w:szCs w:val="21"/>
                </w:rPr>
                <w:fldChar w:fldCharType="end"/>
              </w:r>
              <w:r>
                <w:rPr>
                  <w:szCs w:val="21"/>
                </w:rPr>
                <w:fldChar w:fldCharType="begin"/>
              </w:r>
              <w:r w:rsidR="0092715C">
                <w:rPr>
                  <w:szCs w:val="21"/>
                </w:rPr>
                <w:instrText xml:space="preserve"> MACROBUTTON  SnrToggleCheckbox √不适用 </w:instrText>
              </w:r>
              <w:r>
                <w:rPr>
                  <w:szCs w:val="21"/>
                </w:rPr>
                <w:fldChar w:fldCharType="end"/>
              </w:r>
            </w:p>
          </w:sdtContent>
        </w:sdt>
        <w:p w:rsidR="00ED2DC7" w:rsidRDefault="000D0A99">
          <w:pPr>
            <w:rPr>
              <w:szCs w:val="21"/>
            </w:rPr>
          </w:pPr>
        </w:p>
      </w:sdtContent>
    </w:sdt>
    <w:bookmarkEnd w:id="91" w:displacedByCustomXml="prev"/>
    <w:p w:rsidR="00ED2DC7" w:rsidRDefault="00ED2DC7">
      <w:pPr>
        <w:rPr>
          <w:szCs w:val="21"/>
        </w:rPr>
      </w:pPr>
    </w:p>
    <w:sdt>
      <w:sdtPr>
        <w:rPr>
          <w:rFonts w:asciiTheme="minorHAnsi" w:hAnsiTheme="minorHAnsi" w:cstheme="minorBidi" w:hint="eastAsia"/>
          <w:b w:val="0"/>
          <w:bCs w:val="0"/>
          <w:kern w:val="0"/>
          <w:szCs w:val="22"/>
        </w:rPr>
        <w:alias w:val="模块:其他"/>
        <w:tag w:val="_GBC_f9189f2c315949f484bded540173f7a8"/>
        <w:id w:val="940027354"/>
        <w:lock w:val="sdtLocked"/>
        <w:placeholder>
          <w:docPart w:val="GBC22222222222222222222222222222"/>
        </w:placeholder>
      </w:sdtPr>
      <w:sdtEndPr>
        <w:rPr>
          <w:rFonts w:ascii="宋体" w:hAnsi="宋体" w:cs="Times New Roman"/>
          <w:szCs w:val="21"/>
        </w:rPr>
      </w:sdtEndPr>
      <w:sdtContent>
        <w:p w:rsidR="00ED2DC7" w:rsidRPr="00857549" w:rsidRDefault="00ED2DC7" w:rsidP="00036BDC">
          <w:pPr>
            <w:pStyle w:val="affffffffffffffffff1"/>
            <w:numPr>
              <w:ilvl w:val="0"/>
              <w:numId w:val="38"/>
            </w:numPr>
          </w:pPr>
          <w:r w:rsidRPr="00857549">
            <w:rPr>
              <w:rFonts w:hint="eastAsia"/>
            </w:rPr>
            <w:t>其他</w:t>
          </w:r>
        </w:p>
        <w:sdt>
          <w:sdtPr>
            <w:rPr>
              <w:rFonts w:hint="eastAsia"/>
              <w:szCs w:val="21"/>
            </w:rPr>
            <w:alias w:val="是否适用：公司主要会计政策、会计估计和前期差错的其他说明[双击切换]"/>
            <w:tag w:val="_GBC_6deb29735f384e0d9a2b017d4265a493"/>
            <w:id w:val="-916170779"/>
            <w:lock w:val="sdtContentLocked"/>
            <w:placeholder>
              <w:docPart w:val="GBC22222222222222222222222222222"/>
            </w:placeholder>
          </w:sdtPr>
          <w:sdtContent>
            <w:p w:rsidR="00ED2DC7" w:rsidRDefault="00ED2DC7" w:rsidP="00B637B2">
              <w:pPr>
                <w:rPr>
                  <w:szCs w:val="21"/>
                </w:rPr>
              </w:pPr>
              <w:r>
                <w:rPr>
                  <w:szCs w:val="21"/>
                </w:rPr>
                <w:fldChar w:fldCharType="begin"/>
              </w:r>
              <w:r w:rsidR="008F04CF">
                <w:rPr>
                  <w:szCs w:val="21"/>
                </w:rPr>
                <w:instrText xml:space="preserve"> MACROBUTTON  SnrToggleCheckbox □适用 </w:instrText>
              </w:r>
              <w:r>
                <w:rPr>
                  <w:szCs w:val="21"/>
                </w:rPr>
                <w:fldChar w:fldCharType="end"/>
              </w:r>
              <w:r>
                <w:rPr>
                  <w:szCs w:val="21"/>
                </w:rPr>
                <w:fldChar w:fldCharType="begin"/>
              </w:r>
              <w:r w:rsidR="008F04CF">
                <w:rPr>
                  <w:szCs w:val="21"/>
                </w:rPr>
                <w:instrText xml:space="preserve"> MACROBUTTON  SnrToggleCheckbox √不适用 </w:instrText>
              </w:r>
              <w:r>
                <w:rPr>
                  <w:szCs w:val="21"/>
                </w:rPr>
                <w:fldChar w:fldCharType="end"/>
              </w:r>
            </w:p>
          </w:sdtContent>
        </w:sdt>
        <w:p w:rsidR="00ED2DC7" w:rsidRDefault="000D0A99">
          <w:pPr>
            <w:rPr>
              <w:szCs w:val="21"/>
            </w:rPr>
          </w:pPr>
        </w:p>
      </w:sdtContent>
    </w:sdt>
    <w:p w:rsidR="00ED2DC7" w:rsidRDefault="00ED2DC7" w:rsidP="00036BDC">
      <w:pPr>
        <w:pStyle w:val="affffffffffffffffff0"/>
        <w:numPr>
          <w:ilvl w:val="0"/>
          <w:numId w:val="35"/>
        </w:numPr>
        <w:rPr>
          <w:rFonts w:ascii="宋体" w:hAnsi="宋体"/>
        </w:rPr>
      </w:pPr>
      <w:r>
        <w:rPr>
          <w:rFonts w:ascii="宋体" w:hAnsi="宋体" w:hint="eastAsia"/>
        </w:rPr>
        <w:t>税项</w:t>
      </w:r>
    </w:p>
    <w:sdt>
      <w:sdtPr>
        <w:rPr>
          <w:rFonts w:asciiTheme="minorHAnsi" w:hAnsiTheme="minorHAnsi" w:cs="宋体"/>
          <w:b w:val="0"/>
          <w:bCs w:val="0"/>
          <w:kern w:val="0"/>
          <w:szCs w:val="22"/>
        </w:rPr>
        <w:alias w:val="模块:主要税种及税率"/>
        <w:tag w:val="_GBC_21c965fa52af49a9865023fb4e05671a"/>
        <w:id w:val="-1951850771"/>
        <w:lock w:val="sdtLocked"/>
        <w:placeholder>
          <w:docPart w:val="GBC22222222222222222222222222222"/>
        </w:placeholder>
      </w:sdtPr>
      <w:sdtEndPr>
        <w:rPr>
          <w:rFonts w:ascii="宋体" w:hAnsi="宋体" w:cs="Times New Roman"/>
          <w:kern w:val="2"/>
          <w:szCs w:val="21"/>
        </w:rPr>
      </w:sdtEndPr>
      <w:sdtContent>
        <w:p w:rsidR="00ED2DC7" w:rsidRDefault="00ED2DC7" w:rsidP="00036BDC">
          <w:pPr>
            <w:pStyle w:val="affffffffffffffffff1"/>
            <w:numPr>
              <w:ilvl w:val="0"/>
              <w:numId w:val="47"/>
            </w:numPr>
            <w:tabs>
              <w:tab w:val="left" w:pos="546"/>
            </w:tabs>
          </w:pPr>
          <w:r>
            <w:t>主要税种及税率</w:t>
          </w:r>
        </w:p>
        <w:p w:rsidR="00ED2DC7" w:rsidRDefault="00ED2DC7">
          <w:r>
            <w:rPr>
              <w:rFonts w:hint="eastAsia"/>
            </w:rPr>
            <w:t>主要税种及税率情况</w:t>
          </w:r>
        </w:p>
        <w:sdt>
          <w:sdtPr>
            <w:alias w:val="是否适用：主要税种及税率情况 [双击切换]"/>
            <w:tag w:val="_GBC_fd47fa4fd9aa499c8903795268a25582"/>
            <w:id w:val="-414170161"/>
            <w:lock w:val="sdtContentLocked"/>
            <w:placeholder>
              <w:docPart w:val="GBC22222222222222222222222222222"/>
            </w:placeholder>
          </w:sdtPr>
          <w:sdtContent>
            <w:p w:rsidR="00ED2DC7" w:rsidRDefault="00ED2DC7">
              <w:r>
                <w:fldChar w:fldCharType="begin"/>
              </w:r>
              <w:r w:rsidR="003B0306">
                <w:instrText xml:space="preserve"> MACROBUTTON  SnrToggleCheckbox √适用 </w:instrText>
              </w:r>
              <w:r>
                <w:fldChar w:fldCharType="end"/>
              </w:r>
              <w:r>
                <w:fldChar w:fldCharType="begin"/>
              </w:r>
              <w:r w:rsidR="003B0306">
                <w:instrText xml:space="preserve"> MACROBUTTON  SnrToggleCheckbox □不适用 </w:instrText>
              </w:r>
              <w:r>
                <w:fldChar w:fldCharType="end"/>
              </w:r>
            </w:p>
          </w:sdtContent>
        </w:sdt>
        <w:p w:rsidR="0017410C" w:rsidRDefault="0017410C"/>
        <w:p w:rsidR="00ED2DC7" w:rsidRDefault="00ED2DC7">
          <w:pPr>
            <w:rPr>
              <w:szCs w:val="21"/>
            </w:rPr>
          </w:pPr>
          <w:r>
            <w:rPr>
              <w:rFonts w:hint="eastAsia"/>
              <w:szCs w:val="21"/>
            </w:rPr>
            <w:t>存在不同企业所得税税率纳税主体的，披露情况说明</w:t>
          </w:r>
        </w:p>
        <w:sdt>
          <w:sdtPr>
            <w:rPr>
              <w:szCs w:val="21"/>
            </w:rPr>
            <w:alias w:val="是否适用：存在不同企业所得税税率纳税主体的，披露情况说明[双击切换]"/>
            <w:tag w:val="_GBC_848dc0d1182048ccb5485f3b0d7d1d70"/>
            <w:id w:val="-1253511002"/>
            <w:lock w:val="sdtContentLocked"/>
            <w:placeholder>
              <w:docPart w:val="GBC22222222222222222222222222222"/>
            </w:placeholder>
          </w:sdtPr>
          <w:sdtContent>
            <w:p w:rsidR="00ED2DC7" w:rsidRDefault="00ED2DC7">
              <w:pPr>
                <w:rPr>
                  <w:szCs w:val="21"/>
                </w:rPr>
              </w:pPr>
              <w:r>
                <w:rPr>
                  <w:szCs w:val="21"/>
                </w:rPr>
                <w:fldChar w:fldCharType="begin"/>
              </w:r>
              <w:r w:rsidR="003B0306">
                <w:rPr>
                  <w:szCs w:val="21"/>
                </w:rPr>
                <w:instrText xml:space="preserve"> MACROBUTTON  SnrToggleCheckbox √适用 </w:instrText>
              </w:r>
              <w:r>
                <w:rPr>
                  <w:szCs w:val="21"/>
                </w:rPr>
                <w:fldChar w:fldCharType="end"/>
              </w:r>
              <w:r>
                <w:rPr>
                  <w:szCs w:val="21"/>
                </w:rPr>
                <w:fldChar w:fldCharType="begin"/>
              </w:r>
              <w:r w:rsidR="003B0306">
                <w:rPr>
                  <w:szCs w:val="21"/>
                </w:rPr>
                <w:instrText xml:space="preserve"> MACROBUTTON  SnrToggleCheckbox □不适用 </w:instrText>
              </w:r>
              <w:r>
                <w:rPr>
                  <w:szCs w:val="21"/>
                </w:rPr>
                <w:fldChar w:fldCharType="end"/>
              </w:r>
            </w:p>
          </w:sdtContent>
        </w:sdt>
        <w:p w:rsidR="00122393" w:rsidRDefault="00122393">
          <w:pPr>
            <w:rPr>
              <w:szCs w:val="21"/>
            </w:rPr>
          </w:pPr>
        </w:p>
        <w:p w:rsidR="00122393" w:rsidRPr="00857549" w:rsidRDefault="00122393" w:rsidP="0017410C">
          <w:pPr>
            <w:pStyle w:val="afffffffffffffff"/>
            <w:ind w:firstLineChars="350" w:firstLine="735"/>
            <w:rPr>
              <w:rFonts w:ascii="宋体" w:hAnsi="宋体" w:cs="Arial"/>
              <w:szCs w:val="21"/>
            </w:rPr>
          </w:pPr>
          <w:r w:rsidRPr="00857549">
            <w:rPr>
              <w:rFonts w:ascii="宋体" w:hAnsi="宋体" w:cs="Arial" w:hint="eastAsia"/>
              <w:szCs w:val="21"/>
            </w:rPr>
            <w:t>本集团适用的主要税种及税率如下：</w:t>
          </w:r>
        </w:p>
        <w:p w:rsidR="00122393" w:rsidRPr="00F21C03" w:rsidRDefault="00122393" w:rsidP="00B637B2">
          <w:pPr>
            <w:rPr>
              <w:rFonts w:cs="Arial"/>
              <w:szCs w:val="21"/>
            </w:rPr>
          </w:pPr>
        </w:p>
        <w:p w:rsidR="00122393" w:rsidRPr="00857549" w:rsidRDefault="00122393" w:rsidP="00036BDC">
          <w:pPr>
            <w:pStyle w:val="afffffffffffffff"/>
            <w:widowControl/>
            <w:numPr>
              <w:ilvl w:val="0"/>
              <w:numId w:val="48"/>
            </w:numPr>
            <w:overflowPunct w:val="0"/>
            <w:ind w:left="743" w:hangingChars="354" w:hanging="743"/>
            <w:contextualSpacing/>
            <w:rPr>
              <w:rFonts w:ascii="宋体" w:hAnsi="宋体" w:cs="Arial"/>
              <w:szCs w:val="21"/>
            </w:rPr>
          </w:pPr>
          <w:r w:rsidRPr="00857549">
            <w:rPr>
              <w:rFonts w:ascii="宋体" w:hAnsi="宋体" w:cs="Arial" w:hint="eastAsia"/>
              <w:szCs w:val="21"/>
            </w:rPr>
            <w:t>增值税</w:t>
          </w:r>
        </w:p>
        <w:p w:rsidR="00122393" w:rsidRPr="00F21C03" w:rsidRDefault="00122393" w:rsidP="00B637B2">
          <w:pPr>
            <w:overflowPunct w:val="0"/>
            <w:rPr>
              <w:rFonts w:cs="Arial"/>
              <w:szCs w:val="21"/>
            </w:rPr>
          </w:pPr>
        </w:p>
        <w:p w:rsidR="00122393" w:rsidRPr="00857549" w:rsidRDefault="00122393" w:rsidP="0017410C">
          <w:pPr>
            <w:pStyle w:val="afffffffffffffff"/>
            <w:overflowPunct w:val="0"/>
            <w:ind w:left="708"/>
            <w:rPr>
              <w:rFonts w:ascii="宋体" w:hAnsi="宋体" w:cs="Arial"/>
              <w:szCs w:val="21"/>
            </w:rPr>
          </w:pPr>
          <w:r w:rsidRPr="00857549">
            <w:rPr>
              <w:rFonts w:ascii="宋体" w:hAnsi="宋体" w:cs="Arial" w:hint="eastAsia"/>
              <w:szCs w:val="21"/>
            </w:rPr>
            <w:t>根据国家税务法规，本集团产品销售收入为计征增值税收入。因集团内各分公司及子公司的个别情况，增值税征收方法有所不同。分公司或子公司为增值税一般纳税人的，增值税由买方按销售额乘以适用税率计算连同销售金额一并支付分公司或子公司，分公司及子公司在扣除那些因购进货物所支付而允许抵扣的增值税之后上缴税务机关。</w:t>
          </w:r>
        </w:p>
        <w:p w:rsidR="00122393" w:rsidRPr="00F21C03" w:rsidRDefault="00122393" w:rsidP="00B637B2">
          <w:pPr>
            <w:overflowPunct w:val="0"/>
            <w:rPr>
              <w:rFonts w:cs="Arial"/>
              <w:szCs w:val="21"/>
            </w:rPr>
          </w:pPr>
        </w:p>
        <w:p w:rsidR="00122393" w:rsidRPr="00857549" w:rsidRDefault="00122393" w:rsidP="0017410C">
          <w:pPr>
            <w:pStyle w:val="afffffffffffffff"/>
            <w:overflowPunct w:val="0"/>
            <w:ind w:left="708"/>
            <w:rPr>
              <w:rFonts w:ascii="宋体" w:hAnsi="宋体" w:cs="Arial"/>
              <w:szCs w:val="21"/>
            </w:rPr>
          </w:pPr>
          <w:r w:rsidRPr="00857549">
            <w:rPr>
              <w:rFonts w:ascii="宋体" w:hAnsi="宋体" w:cs="Arial" w:hint="eastAsia"/>
              <w:szCs w:val="21"/>
            </w:rPr>
            <w:t>财政部、国家税务总局、海关总署于</w:t>
          </w:r>
          <w:r w:rsidRPr="00857549">
            <w:rPr>
              <w:rFonts w:ascii="宋体" w:hAnsi="宋体" w:cs="Arial"/>
              <w:szCs w:val="21"/>
            </w:rPr>
            <w:t>2019</w:t>
          </w:r>
          <w:r w:rsidRPr="00857549">
            <w:rPr>
              <w:rFonts w:ascii="宋体" w:hAnsi="宋体" w:cs="Arial" w:hint="eastAsia"/>
              <w:szCs w:val="21"/>
            </w:rPr>
            <w:t>年</w:t>
          </w:r>
          <w:r w:rsidRPr="00857549">
            <w:rPr>
              <w:rFonts w:ascii="宋体" w:hAnsi="宋体" w:cs="Arial"/>
              <w:szCs w:val="21"/>
            </w:rPr>
            <w:t>3</w:t>
          </w:r>
          <w:r w:rsidRPr="00857549">
            <w:rPr>
              <w:rFonts w:ascii="宋体" w:hAnsi="宋体" w:cs="Arial" w:hint="eastAsia"/>
              <w:szCs w:val="21"/>
            </w:rPr>
            <w:t>月</w:t>
          </w:r>
          <w:r w:rsidRPr="00857549">
            <w:rPr>
              <w:rFonts w:ascii="宋体" w:hAnsi="宋体" w:cs="Arial"/>
              <w:szCs w:val="21"/>
            </w:rPr>
            <w:t>20</w:t>
          </w:r>
          <w:r w:rsidRPr="00857549">
            <w:rPr>
              <w:rFonts w:ascii="宋体" w:hAnsi="宋体" w:cs="Arial" w:hint="eastAsia"/>
              <w:szCs w:val="21"/>
            </w:rPr>
            <w:t>日联合发布公告</w:t>
          </w:r>
          <w:r w:rsidRPr="00857549">
            <w:rPr>
              <w:rFonts w:ascii="宋体" w:hAnsi="宋体" w:cs="Arial"/>
              <w:szCs w:val="21"/>
            </w:rPr>
            <w:t>2019</w:t>
          </w:r>
          <w:r w:rsidRPr="00857549">
            <w:rPr>
              <w:rFonts w:ascii="宋体" w:hAnsi="宋体" w:cs="Arial" w:hint="eastAsia"/>
              <w:szCs w:val="21"/>
            </w:rPr>
            <w:t>年第</w:t>
          </w:r>
          <w:r w:rsidRPr="00857549">
            <w:rPr>
              <w:rFonts w:ascii="宋体" w:hAnsi="宋体" w:cs="Arial"/>
              <w:szCs w:val="21"/>
            </w:rPr>
            <w:t>39</w:t>
          </w:r>
          <w:r w:rsidRPr="00857549">
            <w:rPr>
              <w:rFonts w:ascii="宋体" w:hAnsi="宋体" w:cs="Arial" w:hint="eastAsia"/>
              <w:szCs w:val="21"/>
            </w:rPr>
            <w:t>号文（以下简称“</w:t>
          </w:r>
          <w:r w:rsidRPr="00857549">
            <w:rPr>
              <w:rFonts w:ascii="宋体" w:hAnsi="宋体" w:cs="Arial"/>
              <w:szCs w:val="21"/>
            </w:rPr>
            <w:t>39</w:t>
          </w:r>
          <w:r w:rsidRPr="00857549">
            <w:rPr>
              <w:rFonts w:ascii="宋体" w:hAnsi="宋体" w:cs="Arial" w:hint="eastAsia"/>
              <w:szCs w:val="21"/>
            </w:rPr>
            <w:t>号文”），自</w:t>
          </w:r>
          <w:r w:rsidRPr="00857549">
            <w:rPr>
              <w:rFonts w:ascii="宋体" w:hAnsi="宋体" w:cs="Arial"/>
              <w:szCs w:val="21"/>
            </w:rPr>
            <w:t>2019</w:t>
          </w:r>
          <w:r w:rsidRPr="00857549">
            <w:rPr>
              <w:rFonts w:ascii="宋体" w:hAnsi="宋体" w:cs="Arial" w:hint="eastAsia"/>
              <w:szCs w:val="21"/>
            </w:rPr>
            <w:t>年</w:t>
          </w:r>
          <w:r w:rsidRPr="00857549">
            <w:rPr>
              <w:rFonts w:ascii="宋体" w:hAnsi="宋体" w:cs="Arial"/>
              <w:szCs w:val="21"/>
            </w:rPr>
            <w:t>4</w:t>
          </w:r>
          <w:r w:rsidRPr="00857549">
            <w:rPr>
              <w:rFonts w:ascii="宋体" w:hAnsi="宋体" w:cs="Arial" w:hint="eastAsia"/>
              <w:szCs w:val="21"/>
            </w:rPr>
            <w:t>月</w:t>
          </w:r>
          <w:r w:rsidRPr="00857549">
            <w:rPr>
              <w:rFonts w:ascii="宋体" w:hAnsi="宋体" w:cs="Arial"/>
              <w:szCs w:val="21"/>
            </w:rPr>
            <w:t>1</w:t>
          </w:r>
          <w:r w:rsidRPr="00857549">
            <w:rPr>
              <w:rFonts w:ascii="宋体" w:hAnsi="宋体" w:cs="Arial" w:hint="eastAsia"/>
              <w:szCs w:val="21"/>
            </w:rPr>
            <w:t>日起，</w:t>
          </w:r>
          <w:r w:rsidRPr="00857549">
            <w:rPr>
              <w:rFonts w:ascii="宋体" w:hAnsi="宋体" w:cs="Arial"/>
              <w:szCs w:val="21"/>
            </w:rPr>
            <w:t xml:space="preserve"> </w:t>
          </w:r>
          <w:r w:rsidRPr="00857549">
            <w:rPr>
              <w:rFonts w:ascii="宋体" w:hAnsi="宋体" w:cs="Arial" w:hint="eastAsia"/>
              <w:szCs w:val="21"/>
            </w:rPr>
            <w:t>纳税人发生增值税应税销售行为或者进口货物，原适用</w:t>
          </w:r>
          <w:r w:rsidRPr="00857549">
            <w:rPr>
              <w:rFonts w:ascii="宋体" w:hAnsi="宋体" w:cs="Arial"/>
              <w:szCs w:val="21"/>
            </w:rPr>
            <w:t>16%</w:t>
          </w:r>
          <w:r w:rsidRPr="00857549">
            <w:rPr>
              <w:rFonts w:ascii="宋体" w:hAnsi="宋体" w:cs="Arial" w:hint="eastAsia"/>
              <w:szCs w:val="21"/>
            </w:rPr>
            <w:t>和</w:t>
          </w:r>
          <w:r w:rsidRPr="00857549">
            <w:rPr>
              <w:rFonts w:ascii="宋体" w:hAnsi="宋体" w:cs="Arial"/>
              <w:szCs w:val="21"/>
            </w:rPr>
            <w:t>10%</w:t>
          </w:r>
          <w:r w:rsidRPr="00857549">
            <w:rPr>
              <w:rFonts w:ascii="宋体" w:hAnsi="宋体" w:cs="Arial" w:hint="eastAsia"/>
              <w:szCs w:val="21"/>
            </w:rPr>
            <w:t>税率的，税率分别调整为</w:t>
          </w:r>
          <w:r w:rsidRPr="00857549">
            <w:rPr>
              <w:rFonts w:ascii="宋体" w:hAnsi="宋体" w:cs="Arial"/>
              <w:szCs w:val="21"/>
            </w:rPr>
            <w:t>13%</w:t>
          </w:r>
          <w:r w:rsidRPr="00857549">
            <w:rPr>
              <w:rFonts w:ascii="宋体" w:hAnsi="宋体" w:cs="Arial" w:hint="eastAsia"/>
              <w:szCs w:val="21"/>
            </w:rPr>
            <w:t>、</w:t>
          </w:r>
          <w:r w:rsidRPr="00857549">
            <w:rPr>
              <w:rFonts w:ascii="宋体" w:hAnsi="宋体" w:cs="Arial"/>
              <w:szCs w:val="21"/>
            </w:rPr>
            <w:t>9%</w:t>
          </w:r>
          <w:r w:rsidRPr="00857549">
            <w:rPr>
              <w:rFonts w:ascii="宋体" w:hAnsi="宋体" w:cs="Arial" w:hint="eastAsia"/>
              <w:szCs w:val="21"/>
            </w:rPr>
            <w:t>。根据上述文件，本集团提供的软件产品销售收入、商品销售收入适用13%增值税税率，房屋租赁收入适用9%增值税税率。</w:t>
          </w:r>
        </w:p>
        <w:p w:rsidR="00122393" w:rsidRPr="00F21C03" w:rsidRDefault="00122393" w:rsidP="00B637B2">
          <w:pPr>
            <w:overflowPunct w:val="0"/>
            <w:rPr>
              <w:rFonts w:cs="Arial"/>
              <w:szCs w:val="21"/>
            </w:rPr>
          </w:pPr>
        </w:p>
        <w:p w:rsidR="00122393" w:rsidRPr="00857549" w:rsidRDefault="00122393" w:rsidP="0017410C">
          <w:pPr>
            <w:pStyle w:val="afffffffffffffff"/>
            <w:overflowPunct w:val="0"/>
            <w:ind w:leftChars="295" w:left="619"/>
            <w:rPr>
              <w:rFonts w:ascii="宋体" w:hAnsi="宋体" w:cs="Arial"/>
              <w:szCs w:val="21"/>
            </w:rPr>
          </w:pPr>
          <w:r w:rsidRPr="00857549">
            <w:rPr>
              <w:rFonts w:ascii="宋体" w:hAnsi="宋体" w:cs="Arial" w:hint="eastAsia"/>
              <w:szCs w:val="21"/>
            </w:rPr>
            <w:t>财政部和国家税务总局</w:t>
          </w:r>
          <w:r w:rsidRPr="00857549">
            <w:rPr>
              <w:rFonts w:ascii="宋体" w:hAnsi="宋体" w:cs="Arial"/>
              <w:szCs w:val="21"/>
            </w:rPr>
            <w:t>2013</w:t>
          </w:r>
          <w:r w:rsidRPr="00857549">
            <w:rPr>
              <w:rFonts w:ascii="宋体" w:hAnsi="宋体" w:cs="Arial" w:hint="eastAsia"/>
              <w:szCs w:val="21"/>
            </w:rPr>
            <w:t>年</w:t>
          </w:r>
          <w:r w:rsidRPr="00857549">
            <w:rPr>
              <w:rFonts w:ascii="宋体" w:hAnsi="宋体" w:cs="Arial"/>
              <w:szCs w:val="21"/>
            </w:rPr>
            <w:t>5</w:t>
          </w:r>
          <w:r w:rsidRPr="00857549">
            <w:rPr>
              <w:rFonts w:ascii="宋体" w:hAnsi="宋体" w:cs="Arial" w:hint="eastAsia"/>
              <w:szCs w:val="21"/>
            </w:rPr>
            <w:t>月</w:t>
          </w:r>
          <w:r w:rsidRPr="00857549">
            <w:rPr>
              <w:rFonts w:ascii="宋体" w:hAnsi="宋体" w:cs="Arial"/>
              <w:szCs w:val="21"/>
            </w:rPr>
            <w:t>24</w:t>
          </w:r>
          <w:r w:rsidRPr="00857549">
            <w:rPr>
              <w:rFonts w:ascii="宋体" w:hAnsi="宋体" w:cs="Arial" w:hint="eastAsia"/>
              <w:szCs w:val="21"/>
            </w:rPr>
            <w:t>日联合印发财税</w:t>
          </w:r>
          <w:r w:rsidRPr="00857549">
            <w:rPr>
              <w:rFonts w:ascii="宋体" w:hAnsi="宋体" w:cs="Arial"/>
              <w:szCs w:val="21"/>
            </w:rPr>
            <w:t>[2013]37</w:t>
          </w:r>
          <w:r w:rsidRPr="00857549">
            <w:rPr>
              <w:rFonts w:ascii="宋体" w:hAnsi="宋体" w:cs="Arial" w:hint="eastAsia"/>
              <w:szCs w:val="21"/>
            </w:rPr>
            <w:t>号《财政部、国家税务总局关于在全国开展交通运输业和部分现代服务业营业税改征增值税试点税收政策的通知》，从</w:t>
          </w:r>
          <w:r w:rsidRPr="00857549">
            <w:rPr>
              <w:rFonts w:ascii="宋体" w:hAnsi="宋体" w:cs="Arial"/>
              <w:szCs w:val="21"/>
            </w:rPr>
            <w:t>2013</w:t>
          </w:r>
          <w:r w:rsidRPr="00857549">
            <w:rPr>
              <w:rFonts w:ascii="宋体" w:hAnsi="宋体" w:cs="Arial" w:hint="eastAsia"/>
              <w:szCs w:val="21"/>
            </w:rPr>
            <w:t>年</w:t>
          </w:r>
          <w:r w:rsidRPr="00857549">
            <w:rPr>
              <w:rFonts w:ascii="宋体" w:hAnsi="宋体" w:cs="Arial"/>
              <w:szCs w:val="21"/>
            </w:rPr>
            <w:t>8</w:t>
          </w:r>
          <w:r w:rsidRPr="00857549">
            <w:rPr>
              <w:rFonts w:ascii="宋体" w:hAnsi="宋体" w:cs="Arial" w:hint="eastAsia"/>
              <w:szCs w:val="21"/>
            </w:rPr>
            <w:t>月</w:t>
          </w:r>
          <w:r w:rsidRPr="00857549">
            <w:rPr>
              <w:rFonts w:ascii="宋体" w:hAnsi="宋体" w:cs="Arial"/>
              <w:szCs w:val="21"/>
            </w:rPr>
            <w:t>1</w:t>
          </w:r>
          <w:r w:rsidRPr="00857549">
            <w:rPr>
              <w:rFonts w:ascii="宋体" w:hAnsi="宋体" w:cs="Arial" w:hint="eastAsia"/>
              <w:szCs w:val="21"/>
            </w:rPr>
            <w:t>日起在全国范围内开展交通运输业和部分现代服务业营业税改征增值税试点的相关税收政策。根据上述文件，本集团提供的技术服务收入适用</w:t>
          </w:r>
          <w:r w:rsidRPr="00857549">
            <w:rPr>
              <w:rFonts w:ascii="宋体" w:hAnsi="宋体" w:cs="Arial"/>
              <w:szCs w:val="21"/>
            </w:rPr>
            <w:t>6%</w:t>
          </w:r>
          <w:r w:rsidRPr="00857549">
            <w:rPr>
              <w:rFonts w:ascii="宋体" w:hAnsi="宋体" w:cs="Arial" w:hint="eastAsia"/>
              <w:szCs w:val="21"/>
            </w:rPr>
            <w:t>增值税税率。</w:t>
          </w:r>
        </w:p>
        <w:p w:rsidR="00122393" w:rsidRPr="00F21C03" w:rsidRDefault="00122393" w:rsidP="00B637B2">
          <w:pPr>
            <w:overflowPunct w:val="0"/>
            <w:rPr>
              <w:rFonts w:cs="Arial"/>
              <w:szCs w:val="21"/>
            </w:rPr>
          </w:pPr>
        </w:p>
        <w:p w:rsidR="00122393" w:rsidRPr="00857549" w:rsidRDefault="00122393" w:rsidP="0017410C">
          <w:pPr>
            <w:pStyle w:val="afffffffffffffff"/>
            <w:overflowPunct w:val="0"/>
            <w:ind w:leftChars="295" w:left="619"/>
            <w:rPr>
              <w:rFonts w:ascii="宋体" w:hAnsi="宋体" w:cs="Arial"/>
              <w:szCs w:val="21"/>
            </w:rPr>
          </w:pPr>
          <w:r w:rsidRPr="00857549">
            <w:rPr>
              <w:rFonts w:ascii="宋体" w:hAnsi="宋体" w:cs="Arial" w:hint="eastAsia"/>
              <w:szCs w:val="21"/>
            </w:rPr>
            <w:t>依据财政部、国家税务总局于</w:t>
          </w:r>
          <w:r w:rsidRPr="00857549">
            <w:rPr>
              <w:rFonts w:ascii="宋体" w:hAnsi="宋体" w:cs="Arial"/>
              <w:szCs w:val="21"/>
            </w:rPr>
            <w:t>2011</w:t>
          </w:r>
          <w:r w:rsidRPr="00857549">
            <w:rPr>
              <w:rFonts w:ascii="宋体" w:hAnsi="宋体" w:cs="Arial" w:hint="eastAsia"/>
              <w:szCs w:val="21"/>
            </w:rPr>
            <w:t>年</w:t>
          </w:r>
          <w:r w:rsidRPr="00857549">
            <w:rPr>
              <w:rFonts w:ascii="宋体" w:hAnsi="宋体" w:cs="Arial"/>
              <w:szCs w:val="21"/>
            </w:rPr>
            <w:t>10</w:t>
          </w:r>
          <w:r w:rsidRPr="00857549">
            <w:rPr>
              <w:rFonts w:ascii="宋体" w:hAnsi="宋体" w:cs="Arial" w:hint="eastAsia"/>
              <w:szCs w:val="21"/>
            </w:rPr>
            <w:t>月</w:t>
          </w:r>
          <w:r w:rsidRPr="00857549">
            <w:rPr>
              <w:rFonts w:ascii="宋体" w:hAnsi="宋体" w:cs="Arial"/>
              <w:szCs w:val="21"/>
            </w:rPr>
            <w:t>13</w:t>
          </w:r>
          <w:r w:rsidRPr="00857549">
            <w:rPr>
              <w:rFonts w:ascii="宋体" w:hAnsi="宋体" w:cs="Arial" w:hint="eastAsia"/>
              <w:szCs w:val="21"/>
            </w:rPr>
            <w:t>日下发的《关于软件产品增值税政策的通知》</w:t>
          </w:r>
          <w:r w:rsidRPr="00857549">
            <w:rPr>
              <w:rFonts w:ascii="宋体" w:hAnsi="宋体" w:cs="Arial"/>
              <w:szCs w:val="21"/>
            </w:rPr>
            <w:t xml:space="preserve"> (</w:t>
          </w:r>
          <w:r w:rsidRPr="00857549">
            <w:rPr>
              <w:rFonts w:ascii="宋体" w:hAnsi="宋体" w:cs="Arial" w:hint="eastAsia"/>
              <w:szCs w:val="21"/>
            </w:rPr>
            <w:t>财税</w:t>
          </w:r>
          <w:r w:rsidRPr="00857549">
            <w:rPr>
              <w:rFonts w:ascii="宋体" w:hAnsi="宋体" w:cs="Arial"/>
              <w:szCs w:val="21"/>
            </w:rPr>
            <w:t>[2011]100</w:t>
          </w:r>
          <w:r w:rsidRPr="00857549">
            <w:rPr>
              <w:rFonts w:ascii="宋体" w:hAnsi="宋体" w:cs="Arial" w:hint="eastAsia"/>
              <w:szCs w:val="21"/>
            </w:rPr>
            <w:t>号</w:t>
          </w:r>
          <w:r w:rsidRPr="00857549">
            <w:rPr>
              <w:rFonts w:ascii="宋体" w:hAnsi="宋体" w:cs="Arial"/>
              <w:szCs w:val="21"/>
            </w:rPr>
            <w:t>)</w:t>
          </w:r>
          <w:r w:rsidRPr="00857549">
            <w:rPr>
              <w:rFonts w:ascii="宋体" w:hAnsi="宋体" w:cs="Arial" w:hint="eastAsia"/>
              <w:szCs w:val="21"/>
            </w:rPr>
            <w:t>，自</w:t>
          </w:r>
          <w:r w:rsidRPr="00857549">
            <w:rPr>
              <w:rFonts w:ascii="宋体" w:hAnsi="宋体" w:cs="Arial"/>
              <w:szCs w:val="21"/>
            </w:rPr>
            <w:t>2011</w:t>
          </w:r>
          <w:r w:rsidRPr="00857549">
            <w:rPr>
              <w:rFonts w:ascii="宋体" w:hAnsi="宋体" w:cs="Arial" w:hint="eastAsia"/>
              <w:szCs w:val="21"/>
            </w:rPr>
            <w:t>年</w:t>
          </w:r>
          <w:r w:rsidRPr="00857549">
            <w:rPr>
              <w:rFonts w:ascii="宋体" w:hAnsi="宋体" w:cs="Arial"/>
              <w:szCs w:val="21"/>
            </w:rPr>
            <w:t>1</w:t>
          </w:r>
          <w:r w:rsidRPr="00857549">
            <w:rPr>
              <w:rFonts w:ascii="宋体" w:hAnsi="宋体" w:cs="Arial" w:hint="eastAsia"/>
              <w:szCs w:val="21"/>
            </w:rPr>
            <w:t>月</w:t>
          </w:r>
          <w:r w:rsidRPr="00857549">
            <w:rPr>
              <w:rFonts w:ascii="宋体" w:hAnsi="宋体" w:cs="Arial"/>
              <w:szCs w:val="21"/>
            </w:rPr>
            <w:t>1</w:t>
          </w:r>
          <w:r w:rsidRPr="00857549">
            <w:rPr>
              <w:rFonts w:ascii="宋体" w:hAnsi="宋体" w:cs="Arial" w:hint="eastAsia"/>
              <w:szCs w:val="21"/>
            </w:rPr>
            <w:t>日起，本公司及本公司北京分公司销售其自行开发生产的计算机软件产品，可按法定税率征收增值税后，对其增值税实际税负超过</w:t>
          </w:r>
          <w:r w:rsidRPr="00857549">
            <w:rPr>
              <w:rFonts w:ascii="宋体" w:hAnsi="宋体" w:cs="Arial"/>
              <w:szCs w:val="21"/>
            </w:rPr>
            <w:t>3%</w:t>
          </w:r>
          <w:r w:rsidRPr="00857549">
            <w:rPr>
              <w:rFonts w:ascii="宋体" w:hAnsi="宋体" w:cs="Arial" w:hint="eastAsia"/>
              <w:szCs w:val="21"/>
            </w:rPr>
            <w:t>的部分实行即征即退政策。本集团的子公司北京用友政务软件股份有限公司</w:t>
          </w:r>
          <w:r w:rsidRPr="00857549">
            <w:rPr>
              <w:rFonts w:ascii="宋体" w:hAnsi="宋体" w:cs="Arial"/>
              <w:szCs w:val="21"/>
            </w:rPr>
            <w:t>(</w:t>
          </w:r>
          <w:r w:rsidRPr="00857549">
            <w:rPr>
              <w:rFonts w:ascii="宋体" w:hAnsi="宋体" w:cs="Arial" w:hint="eastAsia"/>
              <w:szCs w:val="21"/>
            </w:rPr>
            <w:t>以下简称</w:t>
          </w:r>
          <w:r w:rsidRPr="00857549">
            <w:rPr>
              <w:rFonts w:ascii="宋体" w:hAnsi="宋体" w:cs="Arial"/>
              <w:szCs w:val="21"/>
            </w:rPr>
            <w:t>“</w:t>
          </w:r>
          <w:r w:rsidRPr="00857549">
            <w:rPr>
              <w:rFonts w:ascii="宋体" w:hAnsi="宋体" w:cs="Arial" w:hint="eastAsia"/>
              <w:szCs w:val="21"/>
            </w:rPr>
            <w:t>用友政务</w:t>
          </w:r>
          <w:r w:rsidRPr="00857549">
            <w:rPr>
              <w:rFonts w:ascii="宋体" w:hAnsi="宋体" w:cs="Arial"/>
              <w:szCs w:val="21"/>
            </w:rPr>
            <w:t>”)</w:t>
          </w:r>
          <w:r w:rsidRPr="00857549">
            <w:rPr>
              <w:rFonts w:ascii="宋体" w:hAnsi="宋体" w:cs="Arial" w:hint="eastAsia"/>
              <w:szCs w:val="21"/>
            </w:rPr>
            <w:t>、上海用友政务软件有限公司、厦门用友烟草软件有限责任公司</w:t>
          </w:r>
          <w:r w:rsidRPr="00857549">
            <w:rPr>
              <w:rFonts w:ascii="宋体" w:hAnsi="宋体" w:cs="Arial"/>
              <w:szCs w:val="21"/>
            </w:rPr>
            <w:t>(</w:t>
          </w:r>
          <w:r w:rsidRPr="00857549">
            <w:rPr>
              <w:rFonts w:ascii="宋体" w:hAnsi="宋体" w:cs="Arial" w:hint="eastAsia"/>
              <w:szCs w:val="21"/>
            </w:rPr>
            <w:t>以下简称</w:t>
          </w:r>
          <w:r w:rsidRPr="00857549">
            <w:rPr>
              <w:rFonts w:ascii="宋体" w:hAnsi="宋体" w:cs="Arial"/>
              <w:szCs w:val="21"/>
            </w:rPr>
            <w:t>“</w:t>
          </w:r>
          <w:r w:rsidRPr="00857549">
            <w:rPr>
              <w:rFonts w:ascii="宋体" w:hAnsi="宋体" w:cs="Arial" w:hint="eastAsia"/>
              <w:szCs w:val="21"/>
            </w:rPr>
            <w:t>厦门烟草</w:t>
          </w:r>
          <w:r w:rsidRPr="00857549">
            <w:rPr>
              <w:rFonts w:ascii="宋体" w:hAnsi="宋体" w:cs="Arial"/>
              <w:szCs w:val="21"/>
            </w:rPr>
            <w:t>”)</w:t>
          </w:r>
          <w:r w:rsidRPr="00857549">
            <w:rPr>
              <w:rFonts w:ascii="宋体" w:hAnsi="宋体" w:cs="Arial" w:hint="eastAsia"/>
              <w:szCs w:val="21"/>
            </w:rPr>
            <w:t>、用友医疗卫生信息系统有限公司</w:t>
          </w:r>
          <w:r w:rsidRPr="00857549">
            <w:rPr>
              <w:rFonts w:ascii="宋体" w:hAnsi="宋体" w:cs="Arial"/>
              <w:szCs w:val="21"/>
            </w:rPr>
            <w:t>(</w:t>
          </w:r>
          <w:r w:rsidRPr="00857549">
            <w:rPr>
              <w:rFonts w:ascii="宋体" w:hAnsi="宋体" w:cs="Arial" w:hint="eastAsia"/>
              <w:szCs w:val="21"/>
            </w:rPr>
            <w:t>以下简称</w:t>
          </w:r>
          <w:r w:rsidRPr="00857549">
            <w:rPr>
              <w:rFonts w:ascii="宋体" w:hAnsi="宋体" w:cs="Arial"/>
              <w:szCs w:val="21"/>
            </w:rPr>
            <w:t>“</w:t>
          </w:r>
          <w:r w:rsidRPr="00857549">
            <w:rPr>
              <w:rFonts w:ascii="宋体" w:hAnsi="宋体" w:cs="Arial" w:hint="eastAsia"/>
              <w:szCs w:val="21"/>
            </w:rPr>
            <w:t>用友医疗</w:t>
          </w:r>
          <w:r w:rsidRPr="00857549">
            <w:rPr>
              <w:rFonts w:ascii="宋体" w:hAnsi="宋体" w:cs="Arial"/>
              <w:szCs w:val="21"/>
            </w:rPr>
            <w:t>”)</w:t>
          </w:r>
          <w:r w:rsidRPr="00857549">
            <w:rPr>
              <w:rFonts w:ascii="宋体" w:hAnsi="宋体" w:cs="Arial" w:hint="eastAsia"/>
              <w:szCs w:val="21"/>
            </w:rPr>
            <w:t>、畅捷通、用友金融信息技术股份有限公司</w:t>
          </w:r>
          <w:r w:rsidRPr="00857549">
            <w:rPr>
              <w:rFonts w:ascii="宋体" w:hAnsi="宋体" w:cs="Arial"/>
              <w:szCs w:val="21"/>
            </w:rPr>
            <w:t>(</w:t>
          </w:r>
          <w:r w:rsidRPr="00857549">
            <w:rPr>
              <w:rFonts w:ascii="宋体" w:hAnsi="宋体" w:cs="Arial" w:hint="eastAsia"/>
              <w:szCs w:val="21"/>
            </w:rPr>
            <w:t>以下简称</w:t>
          </w:r>
          <w:r w:rsidRPr="00857549">
            <w:rPr>
              <w:rFonts w:ascii="宋体" w:hAnsi="宋体" w:cs="Arial"/>
              <w:szCs w:val="21"/>
            </w:rPr>
            <w:t>“</w:t>
          </w:r>
          <w:r w:rsidRPr="00857549">
            <w:rPr>
              <w:rFonts w:ascii="宋体" w:hAnsi="宋体" w:cs="Arial" w:hint="eastAsia"/>
              <w:szCs w:val="21"/>
            </w:rPr>
            <w:t>用友金融</w:t>
          </w:r>
          <w:r w:rsidRPr="00857549">
            <w:rPr>
              <w:rFonts w:ascii="宋体" w:hAnsi="宋体" w:cs="Arial"/>
              <w:szCs w:val="21"/>
            </w:rPr>
            <w:t>”)</w:t>
          </w:r>
          <w:r w:rsidRPr="00857549">
            <w:rPr>
              <w:rFonts w:ascii="宋体" w:hAnsi="宋体" w:cs="Arial" w:hint="eastAsia"/>
              <w:szCs w:val="21"/>
            </w:rPr>
            <w:t>、用友审计软件有限公司</w:t>
          </w:r>
          <w:r w:rsidRPr="00857549">
            <w:rPr>
              <w:rFonts w:ascii="宋体" w:hAnsi="宋体" w:cs="Arial"/>
              <w:szCs w:val="21"/>
            </w:rPr>
            <w:t>(</w:t>
          </w:r>
          <w:r w:rsidRPr="00857549">
            <w:rPr>
              <w:rFonts w:ascii="宋体" w:hAnsi="宋体" w:cs="Arial" w:hint="eastAsia"/>
              <w:szCs w:val="21"/>
            </w:rPr>
            <w:t>以下简称</w:t>
          </w:r>
          <w:r w:rsidRPr="00857549">
            <w:rPr>
              <w:rFonts w:ascii="宋体" w:hAnsi="宋体" w:cs="Arial"/>
              <w:szCs w:val="21"/>
            </w:rPr>
            <w:t>“</w:t>
          </w:r>
          <w:r w:rsidRPr="00857549">
            <w:rPr>
              <w:rFonts w:ascii="宋体" w:hAnsi="宋体" w:cs="Arial" w:hint="eastAsia"/>
              <w:szCs w:val="21"/>
            </w:rPr>
            <w:t>用友审计</w:t>
          </w:r>
          <w:r w:rsidRPr="00857549">
            <w:rPr>
              <w:rFonts w:ascii="宋体" w:hAnsi="宋体" w:cs="Arial"/>
              <w:szCs w:val="21"/>
            </w:rPr>
            <w:t>”)</w:t>
          </w:r>
          <w:r w:rsidRPr="00857549">
            <w:rPr>
              <w:rFonts w:ascii="宋体" w:hAnsi="宋体" w:cs="Arial" w:hint="eastAsia"/>
              <w:szCs w:val="21"/>
            </w:rPr>
            <w:t>、新道科技股份有限公司</w:t>
          </w:r>
          <w:r w:rsidRPr="00857549">
            <w:rPr>
              <w:rFonts w:ascii="宋体" w:hAnsi="宋体" w:cs="Arial"/>
              <w:szCs w:val="21"/>
            </w:rPr>
            <w:t>(</w:t>
          </w:r>
          <w:r w:rsidRPr="00857549">
            <w:rPr>
              <w:rFonts w:ascii="宋体" w:hAnsi="宋体" w:cs="Arial" w:hint="eastAsia"/>
              <w:szCs w:val="21"/>
            </w:rPr>
            <w:t>以下简称</w:t>
          </w:r>
          <w:r w:rsidRPr="00857549">
            <w:rPr>
              <w:rFonts w:ascii="宋体" w:hAnsi="宋体" w:cs="Arial"/>
              <w:szCs w:val="21"/>
            </w:rPr>
            <w:t>“</w:t>
          </w:r>
          <w:r w:rsidRPr="00857549">
            <w:rPr>
              <w:rFonts w:ascii="宋体" w:hAnsi="宋体" w:cs="Arial" w:hint="eastAsia"/>
              <w:szCs w:val="21"/>
            </w:rPr>
            <w:t>新道科技</w:t>
          </w:r>
          <w:r w:rsidRPr="00857549">
            <w:rPr>
              <w:rFonts w:ascii="宋体" w:hAnsi="宋体" w:cs="Arial"/>
              <w:szCs w:val="21"/>
            </w:rPr>
            <w:t>”)</w:t>
          </w:r>
          <w:r w:rsidRPr="00857549">
            <w:rPr>
              <w:rFonts w:ascii="宋体" w:hAnsi="宋体" w:cs="Arial" w:hint="eastAsia"/>
              <w:szCs w:val="21"/>
            </w:rPr>
            <w:t>、用友汽车、用友优普信息技术有限公司</w:t>
          </w:r>
          <w:r w:rsidRPr="00857549">
            <w:rPr>
              <w:rFonts w:ascii="宋体" w:hAnsi="宋体" w:cs="Arial"/>
              <w:szCs w:val="21"/>
            </w:rPr>
            <w:t>(</w:t>
          </w:r>
          <w:r w:rsidRPr="00857549">
            <w:rPr>
              <w:rFonts w:ascii="宋体" w:hAnsi="宋体" w:cs="Arial" w:hint="eastAsia"/>
              <w:szCs w:val="21"/>
            </w:rPr>
            <w:t>以下简称</w:t>
          </w:r>
          <w:r w:rsidRPr="00857549">
            <w:rPr>
              <w:rFonts w:ascii="宋体" w:hAnsi="宋体" w:cs="Arial"/>
              <w:szCs w:val="21"/>
            </w:rPr>
            <w:t>“</w:t>
          </w:r>
          <w:r w:rsidRPr="00857549">
            <w:rPr>
              <w:rFonts w:ascii="宋体" w:hAnsi="宋体" w:cs="Arial" w:hint="eastAsia"/>
              <w:szCs w:val="21"/>
            </w:rPr>
            <w:t>用友优普</w:t>
          </w:r>
          <w:r w:rsidRPr="00857549">
            <w:rPr>
              <w:rFonts w:ascii="宋体" w:hAnsi="宋体" w:cs="Arial"/>
              <w:szCs w:val="21"/>
            </w:rPr>
            <w:t>”)</w:t>
          </w:r>
          <w:r w:rsidRPr="00857549">
            <w:rPr>
              <w:rFonts w:ascii="宋体" w:hAnsi="宋体" w:cs="Arial" w:hint="eastAsia"/>
              <w:szCs w:val="21"/>
            </w:rPr>
            <w:t>、用友能源科技有限公司</w:t>
          </w:r>
          <w:r w:rsidRPr="00857549">
            <w:rPr>
              <w:rFonts w:ascii="宋体" w:hAnsi="宋体" w:cs="Arial"/>
              <w:szCs w:val="21"/>
            </w:rPr>
            <w:t>(</w:t>
          </w:r>
          <w:r w:rsidRPr="00857549">
            <w:rPr>
              <w:rFonts w:ascii="宋体" w:hAnsi="宋体" w:cs="Arial" w:hint="eastAsia"/>
              <w:szCs w:val="21"/>
            </w:rPr>
            <w:t>以下简称</w:t>
          </w:r>
          <w:r w:rsidRPr="00857549">
            <w:rPr>
              <w:rFonts w:ascii="宋体" w:hAnsi="宋体" w:cs="Arial"/>
              <w:szCs w:val="21"/>
            </w:rPr>
            <w:t>“</w:t>
          </w:r>
          <w:r w:rsidRPr="00857549">
            <w:rPr>
              <w:rFonts w:ascii="宋体" w:hAnsi="宋体" w:cs="Arial" w:hint="eastAsia"/>
              <w:szCs w:val="21"/>
            </w:rPr>
            <w:t>用友能源</w:t>
          </w:r>
          <w:r w:rsidRPr="00857549">
            <w:rPr>
              <w:rFonts w:ascii="宋体" w:hAnsi="宋体" w:cs="Arial"/>
              <w:szCs w:val="21"/>
            </w:rPr>
            <w:t>”)</w:t>
          </w:r>
          <w:r w:rsidRPr="00857549">
            <w:rPr>
              <w:rFonts w:ascii="宋体" w:hAnsi="宋体" w:cs="Arial" w:hint="eastAsia"/>
              <w:szCs w:val="21"/>
            </w:rPr>
            <w:t>、用友广信网络科技有限公司</w:t>
          </w:r>
          <w:r w:rsidRPr="00857549">
            <w:rPr>
              <w:rFonts w:ascii="宋体" w:hAnsi="宋体" w:cs="Arial"/>
              <w:szCs w:val="21"/>
            </w:rPr>
            <w:t>(“</w:t>
          </w:r>
          <w:r w:rsidRPr="00857549">
            <w:rPr>
              <w:rFonts w:ascii="宋体" w:hAnsi="宋体" w:cs="Arial" w:hint="eastAsia"/>
              <w:szCs w:val="21"/>
            </w:rPr>
            <w:t>用友广信</w:t>
          </w:r>
          <w:r w:rsidRPr="00857549">
            <w:rPr>
              <w:rFonts w:ascii="宋体" w:hAnsi="宋体" w:cs="Arial"/>
              <w:szCs w:val="21"/>
            </w:rPr>
            <w:t>”)</w:t>
          </w:r>
          <w:r w:rsidRPr="00857549">
            <w:rPr>
              <w:rFonts w:ascii="宋体" w:hAnsi="宋体" w:cs="Arial" w:hint="eastAsia"/>
              <w:szCs w:val="21"/>
            </w:rPr>
            <w:t>和北京用友艾福斯软件系统有限公司</w:t>
          </w:r>
          <w:r w:rsidRPr="00857549">
            <w:rPr>
              <w:rFonts w:ascii="宋体" w:hAnsi="宋体" w:cs="Arial"/>
              <w:szCs w:val="21"/>
            </w:rPr>
            <w:t>(</w:t>
          </w:r>
          <w:r w:rsidRPr="00857549">
            <w:rPr>
              <w:rFonts w:ascii="宋体" w:hAnsi="宋体" w:cs="Arial" w:hint="eastAsia"/>
              <w:szCs w:val="21"/>
            </w:rPr>
            <w:t>以下简称</w:t>
          </w:r>
          <w:r w:rsidRPr="00857549">
            <w:rPr>
              <w:rFonts w:ascii="宋体" w:hAnsi="宋体" w:cs="Arial"/>
              <w:szCs w:val="21"/>
            </w:rPr>
            <w:t>“</w:t>
          </w:r>
          <w:r w:rsidRPr="00857549">
            <w:rPr>
              <w:rFonts w:ascii="宋体" w:hAnsi="宋体" w:cs="Arial" w:hint="eastAsia"/>
              <w:szCs w:val="21"/>
            </w:rPr>
            <w:t>用友艾福斯</w:t>
          </w:r>
          <w:r w:rsidRPr="00857549">
            <w:rPr>
              <w:rFonts w:ascii="宋体" w:hAnsi="宋体" w:cs="Arial"/>
              <w:szCs w:val="21"/>
            </w:rPr>
            <w:t>”)</w:t>
          </w:r>
          <w:r w:rsidRPr="00857549">
            <w:rPr>
              <w:rFonts w:ascii="宋体" w:hAnsi="宋体" w:cs="Arial" w:hint="eastAsia"/>
              <w:szCs w:val="21"/>
            </w:rPr>
            <w:t>亦已经获得税务局的批准可实施与本公司同一政策；其他分公司及子公司按法定税率征收增值税，不作退还。</w:t>
          </w:r>
        </w:p>
        <w:p w:rsidR="00122393" w:rsidRPr="00857549" w:rsidRDefault="00122393" w:rsidP="0017410C">
          <w:pPr>
            <w:pStyle w:val="afffffffffffffff"/>
            <w:overflowPunct w:val="0"/>
            <w:ind w:left="710"/>
            <w:rPr>
              <w:rFonts w:ascii="宋体" w:hAnsi="宋体" w:cs="Arial"/>
              <w:szCs w:val="21"/>
            </w:rPr>
          </w:pPr>
        </w:p>
        <w:p w:rsidR="00122393" w:rsidRPr="00F21C03" w:rsidRDefault="00122393" w:rsidP="0017410C">
          <w:pPr>
            <w:pStyle w:val="afffffffffffffff"/>
            <w:overflowPunct w:val="0"/>
            <w:ind w:leftChars="295" w:left="619"/>
            <w:rPr>
              <w:rFonts w:ascii="宋体" w:hAnsi="宋体" w:cs="Arial"/>
              <w:szCs w:val="21"/>
            </w:rPr>
          </w:pPr>
          <w:r w:rsidRPr="00857549">
            <w:rPr>
              <w:rFonts w:ascii="宋体" w:hAnsi="宋体" w:cs="Arial" w:hint="eastAsia"/>
              <w:szCs w:val="21"/>
            </w:rPr>
            <w:t>另有个别分公司或子公司由增值税一般纳税人转为商业企业小规模纳税人或由商业企业小规模纳税人转为一般纳税人。当其为增值税一般纳税人时，依照以上方法计征增值税。而在被认定为商业企业小规模纳税人期间，在小规模纳税人制度下，其增值税由买方按销售额</w:t>
          </w:r>
          <w:r w:rsidRPr="00857549">
            <w:rPr>
              <w:rFonts w:ascii="宋体" w:hAnsi="宋体" w:cs="Arial"/>
              <w:szCs w:val="21"/>
            </w:rPr>
            <w:t>3%</w:t>
          </w:r>
          <w:r w:rsidRPr="00857549">
            <w:rPr>
              <w:rFonts w:ascii="宋体" w:hAnsi="宋体" w:cs="Arial" w:hint="eastAsia"/>
              <w:szCs w:val="21"/>
            </w:rPr>
            <w:t>计算连同销售金额一并支付有关的分公司或子公司，在此简易方法下，那些因购进货物所支付的增值税不能作销项抵扣，分公司及子公司直接上缴销项所获取的增值税予税</w:t>
          </w:r>
          <w:r w:rsidRPr="00F21C03">
            <w:rPr>
              <w:rFonts w:ascii="宋体" w:hAnsi="宋体" w:cs="Arial" w:hint="eastAsia"/>
              <w:szCs w:val="21"/>
            </w:rPr>
            <w:t>务机关。</w:t>
          </w:r>
        </w:p>
        <w:p w:rsidR="00122393" w:rsidRPr="00F21C03" w:rsidRDefault="00122393" w:rsidP="0017410C">
          <w:pPr>
            <w:overflowPunct w:val="0"/>
            <w:autoSpaceDE w:val="0"/>
            <w:autoSpaceDN w:val="0"/>
            <w:jc w:val="both"/>
            <w:rPr>
              <w:rFonts w:cs="Arial"/>
              <w:szCs w:val="21"/>
            </w:rPr>
          </w:pPr>
        </w:p>
        <w:p w:rsidR="00122393" w:rsidRPr="00F21C03" w:rsidRDefault="00122393" w:rsidP="00036BDC">
          <w:pPr>
            <w:pStyle w:val="afffffffffffffff"/>
            <w:widowControl/>
            <w:numPr>
              <w:ilvl w:val="0"/>
              <w:numId w:val="48"/>
            </w:numPr>
            <w:overflowPunct w:val="0"/>
            <w:autoSpaceDE w:val="0"/>
            <w:autoSpaceDN w:val="0"/>
            <w:ind w:leftChars="-21" w:left="701" w:rightChars="37" w:right="78" w:hangingChars="355" w:hanging="745"/>
            <w:contextualSpacing/>
            <w:rPr>
              <w:rFonts w:ascii="宋体" w:hAnsi="宋体" w:cs="Arial"/>
              <w:szCs w:val="21"/>
            </w:rPr>
          </w:pPr>
          <w:r w:rsidRPr="00F21C03">
            <w:rPr>
              <w:rFonts w:ascii="宋体" w:hAnsi="宋体" w:cs="Arial" w:hint="eastAsia"/>
              <w:szCs w:val="21"/>
            </w:rPr>
            <w:t>城巿维护建设税</w:t>
          </w:r>
        </w:p>
        <w:p w:rsidR="00122393" w:rsidRPr="00F21C03" w:rsidRDefault="00122393" w:rsidP="0017410C">
          <w:pPr>
            <w:pStyle w:val="afffffffffffffff"/>
            <w:overflowPunct w:val="0"/>
            <w:autoSpaceDE w:val="0"/>
            <w:autoSpaceDN w:val="0"/>
            <w:ind w:left="660" w:rightChars="37" w:right="78"/>
            <w:rPr>
              <w:rFonts w:ascii="宋体" w:hAnsi="宋体" w:cs="Arial"/>
              <w:szCs w:val="21"/>
            </w:rPr>
          </w:pPr>
        </w:p>
        <w:p w:rsidR="00122393" w:rsidRPr="00F21C03" w:rsidRDefault="00122393" w:rsidP="0017410C">
          <w:pPr>
            <w:pStyle w:val="afffffffffffffff"/>
            <w:overflowPunct w:val="0"/>
            <w:autoSpaceDE w:val="0"/>
            <w:autoSpaceDN w:val="0"/>
            <w:ind w:left="660" w:rightChars="37" w:right="78"/>
            <w:rPr>
              <w:rFonts w:ascii="宋体" w:hAnsi="宋体" w:cs="Arial"/>
              <w:szCs w:val="21"/>
            </w:rPr>
          </w:pPr>
          <w:r w:rsidRPr="00F21C03">
            <w:rPr>
              <w:rFonts w:ascii="宋体" w:hAnsi="宋体" w:cs="Arial" w:hint="eastAsia"/>
              <w:szCs w:val="21"/>
            </w:rPr>
            <w:t>根据国家有关税务法规，除注册地在北京的本公司、注册地在上海的用友汽车、注册地在北京的用友优普、用友移动通信技术服务有限公司</w:t>
          </w:r>
          <w:r w:rsidRPr="00F21C03">
            <w:rPr>
              <w:rFonts w:ascii="宋体" w:hAnsi="宋体" w:cs="Arial"/>
              <w:szCs w:val="21"/>
            </w:rPr>
            <w:t>(</w:t>
          </w:r>
          <w:r w:rsidRPr="00F21C03">
            <w:rPr>
              <w:rFonts w:ascii="宋体" w:hAnsi="宋体" w:cs="Arial" w:hint="eastAsia"/>
              <w:szCs w:val="21"/>
            </w:rPr>
            <w:t>以下简称</w:t>
          </w:r>
          <w:r w:rsidRPr="00F21C03">
            <w:rPr>
              <w:rFonts w:ascii="宋体" w:hAnsi="宋体" w:cs="Arial"/>
              <w:szCs w:val="21"/>
            </w:rPr>
            <w:t>“</w:t>
          </w:r>
          <w:r w:rsidRPr="00F21C03">
            <w:rPr>
              <w:rFonts w:ascii="宋体" w:hAnsi="宋体" w:cs="Arial" w:hint="eastAsia"/>
              <w:szCs w:val="21"/>
            </w:rPr>
            <w:t>用友移动</w:t>
          </w:r>
          <w:r w:rsidRPr="00F21C03">
            <w:rPr>
              <w:rFonts w:ascii="宋体" w:hAnsi="宋体" w:cs="Arial"/>
              <w:szCs w:val="21"/>
            </w:rPr>
            <w:t>”)</w:t>
          </w:r>
          <w:r w:rsidRPr="00F21C03">
            <w:rPr>
              <w:rFonts w:ascii="宋体" w:hAnsi="宋体" w:cs="Arial" w:hint="eastAsia"/>
              <w:szCs w:val="21"/>
            </w:rPr>
            <w:t>、畅捷通、用友能源、用友艾福斯、用友金融、新道科技、用友政务因另有当地规定而减征外，本集团按实际缴纳的流转税的</w:t>
          </w:r>
          <w:r w:rsidRPr="00F21C03">
            <w:rPr>
              <w:rFonts w:ascii="宋体" w:hAnsi="宋体" w:cs="Arial"/>
              <w:szCs w:val="21"/>
            </w:rPr>
            <w:t>7%</w:t>
          </w:r>
          <w:r w:rsidRPr="00F21C03">
            <w:rPr>
              <w:rFonts w:ascii="宋体" w:hAnsi="宋体" w:cs="Arial" w:hint="eastAsia"/>
              <w:szCs w:val="21"/>
            </w:rPr>
            <w:t>计缴城巿维护建设税。本公司、用友汽车、用友优普、用友移动、畅捷通、用友能源、用友艾福斯、用友金融、新道科技、用友政务根据当地税务局认定分别按增值税净额的</w:t>
          </w:r>
          <w:r w:rsidRPr="00F21C03">
            <w:rPr>
              <w:rFonts w:ascii="宋体" w:hAnsi="宋体" w:cs="Arial"/>
              <w:szCs w:val="21"/>
            </w:rPr>
            <w:t>5%</w:t>
          </w:r>
          <w:r w:rsidRPr="00F21C03">
            <w:rPr>
              <w:rFonts w:ascii="宋体" w:hAnsi="宋体" w:cs="Arial" w:hint="eastAsia"/>
              <w:szCs w:val="21"/>
            </w:rPr>
            <w:t>计缴此税。</w:t>
          </w:r>
        </w:p>
        <w:p w:rsidR="00122393" w:rsidRPr="00F21C03" w:rsidRDefault="00122393" w:rsidP="0017410C">
          <w:pPr>
            <w:overflowPunct w:val="0"/>
            <w:autoSpaceDE w:val="0"/>
            <w:autoSpaceDN w:val="0"/>
            <w:ind w:leftChars="-33" w:left="-69" w:rightChars="37" w:right="78"/>
            <w:jc w:val="both"/>
            <w:rPr>
              <w:rFonts w:cs="Arial"/>
              <w:szCs w:val="21"/>
            </w:rPr>
          </w:pPr>
        </w:p>
        <w:p w:rsidR="00122393" w:rsidRPr="00F21C03" w:rsidRDefault="00122393" w:rsidP="00036BDC">
          <w:pPr>
            <w:pStyle w:val="afffffffffffffff"/>
            <w:widowControl/>
            <w:numPr>
              <w:ilvl w:val="0"/>
              <w:numId w:val="48"/>
            </w:numPr>
            <w:overflowPunct w:val="0"/>
            <w:autoSpaceDE w:val="0"/>
            <w:autoSpaceDN w:val="0"/>
            <w:ind w:firstLineChars="0"/>
            <w:contextualSpacing/>
            <w:rPr>
              <w:rFonts w:ascii="宋体" w:hAnsi="宋体" w:cs="Arial"/>
              <w:szCs w:val="21"/>
            </w:rPr>
          </w:pPr>
          <w:r w:rsidRPr="00F21C03">
            <w:rPr>
              <w:rFonts w:ascii="宋体" w:hAnsi="宋体" w:cs="Arial" w:hint="eastAsia"/>
              <w:szCs w:val="21"/>
            </w:rPr>
            <w:t>教育费附加</w:t>
          </w:r>
        </w:p>
        <w:p w:rsidR="00122393" w:rsidRPr="00F21C03" w:rsidRDefault="00122393" w:rsidP="0017410C">
          <w:pPr>
            <w:overflowPunct w:val="0"/>
            <w:autoSpaceDE w:val="0"/>
            <w:autoSpaceDN w:val="0"/>
            <w:ind w:leftChars="295" w:left="619" w:rightChars="37" w:right="78"/>
            <w:jc w:val="both"/>
            <w:rPr>
              <w:rFonts w:cs="Arial"/>
              <w:szCs w:val="21"/>
            </w:rPr>
          </w:pPr>
        </w:p>
        <w:p w:rsidR="00122393" w:rsidRPr="00F21C03" w:rsidRDefault="00122393" w:rsidP="0017410C">
          <w:pPr>
            <w:overflowPunct w:val="0"/>
            <w:autoSpaceDE w:val="0"/>
            <w:autoSpaceDN w:val="0"/>
            <w:ind w:leftChars="295" w:left="619" w:rightChars="37" w:right="78"/>
            <w:jc w:val="both"/>
            <w:rPr>
              <w:rFonts w:cs="Arial"/>
              <w:szCs w:val="21"/>
            </w:rPr>
          </w:pPr>
          <w:r w:rsidRPr="00F21C03">
            <w:rPr>
              <w:rFonts w:cs="Arial" w:hint="eastAsia"/>
              <w:szCs w:val="21"/>
            </w:rPr>
            <w:t>根据国家有关税务法规及当地有关规定，本公司及本公司的各分公司及子公司按应缴纳的增值税净额的</w:t>
          </w:r>
          <w:r w:rsidRPr="00F21C03">
            <w:rPr>
              <w:rFonts w:cs="Arial"/>
              <w:szCs w:val="21"/>
            </w:rPr>
            <w:t>3%</w:t>
          </w:r>
          <w:r w:rsidRPr="00F21C03">
            <w:rPr>
              <w:rFonts w:cs="Arial" w:hint="eastAsia"/>
              <w:szCs w:val="21"/>
            </w:rPr>
            <w:t>缴纳教育费附加；部分分公司及子公司</w:t>
          </w:r>
          <w:r w:rsidR="008F04CF">
            <w:rPr>
              <w:rFonts w:cs="Arial" w:hint="eastAsia"/>
              <w:szCs w:val="21"/>
            </w:rPr>
            <w:t>还需</w:t>
          </w:r>
          <w:r w:rsidRPr="00F21C03">
            <w:rPr>
              <w:rFonts w:cs="Arial" w:hint="eastAsia"/>
              <w:szCs w:val="21"/>
            </w:rPr>
            <w:t>按缴纳的增值税净额的</w:t>
          </w:r>
          <w:r w:rsidRPr="00F21C03">
            <w:rPr>
              <w:rFonts w:cs="Arial"/>
              <w:szCs w:val="21"/>
            </w:rPr>
            <w:t>2%</w:t>
          </w:r>
          <w:r w:rsidRPr="00F21C03">
            <w:rPr>
              <w:rFonts w:cs="Arial" w:hint="eastAsia"/>
              <w:szCs w:val="21"/>
            </w:rPr>
            <w:t>缴纳地方教育费附加。</w:t>
          </w:r>
        </w:p>
        <w:p w:rsidR="00122393" w:rsidRPr="00F21C03" w:rsidRDefault="00122393" w:rsidP="0017410C">
          <w:pPr>
            <w:overflowPunct w:val="0"/>
            <w:autoSpaceDE w:val="0"/>
            <w:autoSpaceDN w:val="0"/>
            <w:ind w:leftChars="297" w:left="624" w:rightChars="37" w:right="78"/>
            <w:jc w:val="both"/>
            <w:rPr>
              <w:rFonts w:cs="Arial"/>
              <w:szCs w:val="21"/>
            </w:rPr>
          </w:pPr>
        </w:p>
        <w:p w:rsidR="00122393" w:rsidRPr="00F21C03" w:rsidRDefault="00122393" w:rsidP="00036BDC">
          <w:pPr>
            <w:pStyle w:val="afffffffffffffff"/>
            <w:widowControl/>
            <w:numPr>
              <w:ilvl w:val="0"/>
              <w:numId w:val="48"/>
            </w:numPr>
            <w:overflowPunct w:val="0"/>
            <w:autoSpaceDE w:val="0"/>
            <w:autoSpaceDN w:val="0"/>
            <w:ind w:rightChars="37" w:right="78" w:firstLineChars="0"/>
            <w:contextualSpacing/>
            <w:rPr>
              <w:rFonts w:ascii="宋体" w:hAnsi="宋体" w:cs="Arial"/>
              <w:szCs w:val="21"/>
            </w:rPr>
          </w:pPr>
          <w:r w:rsidRPr="00F21C03">
            <w:rPr>
              <w:rFonts w:ascii="宋体" w:hAnsi="宋体" w:cs="Arial" w:hint="eastAsia"/>
              <w:szCs w:val="21"/>
            </w:rPr>
            <w:t>企业所得税</w:t>
          </w:r>
        </w:p>
        <w:p w:rsidR="00122393" w:rsidRPr="00F21C03" w:rsidRDefault="00122393" w:rsidP="0017410C">
          <w:pPr>
            <w:pStyle w:val="afffffffffffffff"/>
            <w:overflowPunct w:val="0"/>
            <w:autoSpaceDE w:val="0"/>
            <w:autoSpaceDN w:val="0"/>
            <w:ind w:left="710" w:rightChars="37" w:right="78"/>
            <w:rPr>
              <w:rFonts w:ascii="宋体" w:hAnsi="宋体" w:cs="Arial"/>
              <w:szCs w:val="21"/>
            </w:rPr>
          </w:pPr>
        </w:p>
        <w:p w:rsidR="00122393" w:rsidRPr="00F21C03" w:rsidRDefault="00122393" w:rsidP="0017410C">
          <w:pPr>
            <w:pStyle w:val="afffffffffffffff"/>
            <w:overflowPunct w:val="0"/>
            <w:autoSpaceDE w:val="0"/>
            <w:autoSpaceDN w:val="0"/>
            <w:ind w:left="710" w:rightChars="37" w:right="78"/>
            <w:rPr>
              <w:rFonts w:ascii="宋体" w:hAnsi="宋体" w:cs="Arial"/>
              <w:szCs w:val="21"/>
            </w:rPr>
          </w:pPr>
          <w:r w:rsidRPr="00F21C03">
            <w:rPr>
              <w:rFonts w:ascii="宋体" w:hAnsi="宋体" w:cs="Arial" w:hint="eastAsia"/>
              <w:szCs w:val="21"/>
            </w:rPr>
            <w:t>本集团依照</w:t>
          </w:r>
          <w:r w:rsidRPr="00F21C03">
            <w:rPr>
              <w:rFonts w:ascii="宋体" w:hAnsi="宋体" w:cs="Arial"/>
              <w:szCs w:val="21"/>
            </w:rPr>
            <w:t>2008</w:t>
          </w:r>
          <w:r w:rsidRPr="00F21C03">
            <w:rPr>
              <w:rFonts w:ascii="宋体" w:hAnsi="宋体" w:cs="Arial" w:hint="eastAsia"/>
              <w:szCs w:val="21"/>
            </w:rPr>
            <w:t>年</w:t>
          </w:r>
          <w:r w:rsidRPr="00F21C03">
            <w:rPr>
              <w:rFonts w:ascii="宋体" w:hAnsi="宋体" w:cs="Arial"/>
              <w:szCs w:val="21"/>
            </w:rPr>
            <w:t>1</w:t>
          </w:r>
          <w:r w:rsidRPr="00F21C03">
            <w:rPr>
              <w:rFonts w:ascii="宋体" w:hAnsi="宋体" w:cs="Arial" w:hint="eastAsia"/>
              <w:szCs w:val="21"/>
            </w:rPr>
            <w:t>月</w:t>
          </w:r>
          <w:r w:rsidRPr="00F21C03">
            <w:rPr>
              <w:rFonts w:ascii="宋体" w:hAnsi="宋体" w:cs="Arial"/>
              <w:szCs w:val="21"/>
            </w:rPr>
            <w:t>1</w:t>
          </w:r>
          <w:r w:rsidRPr="00F21C03">
            <w:rPr>
              <w:rFonts w:ascii="宋体" w:hAnsi="宋体" w:cs="Arial" w:hint="eastAsia"/>
              <w:szCs w:val="21"/>
            </w:rPr>
            <w:t>日起施行的《中华人民共和国企业所得税法》，按应纳税所得额计算企业所得税。</w:t>
          </w:r>
        </w:p>
        <w:p w:rsidR="00122393" w:rsidRPr="00F21C03" w:rsidRDefault="00122393" w:rsidP="0017410C">
          <w:pPr>
            <w:overflowPunct w:val="0"/>
            <w:autoSpaceDE w:val="0"/>
            <w:autoSpaceDN w:val="0"/>
            <w:ind w:leftChars="297" w:left="624" w:rightChars="37" w:right="78"/>
            <w:jc w:val="both"/>
            <w:rPr>
              <w:rFonts w:cs="Arial"/>
              <w:szCs w:val="21"/>
            </w:rPr>
          </w:pPr>
        </w:p>
        <w:p w:rsidR="00122393" w:rsidRPr="00F21C03" w:rsidRDefault="00122393" w:rsidP="0017410C">
          <w:pPr>
            <w:overflowPunct w:val="0"/>
            <w:autoSpaceDE w:val="0"/>
            <w:autoSpaceDN w:val="0"/>
            <w:ind w:leftChars="295" w:left="619" w:rightChars="37" w:right="78"/>
            <w:jc w:val="both"/>
            <w:rPr>
              <w:rFonts w:cs="Arial"/>
              <w:szCs w:val="21"/>
            </w:rPr>
          </w:pPr>
          <w:r w:rsidRPr="00F21C03">
            <w:rPr>
              <w:rFonts w:cs="Arial" w:hint="eastAsia"/>
              <w:szCs w:val="21"/>
            </w:rPr>
            <w:t>根据《中华人民共和国企业所得税法》和国税发</w:t>
          </w:r>
          <w:r w:rsidRPr="00F21C03">
            <w:rPr>
              <w:rFonts w:cs="Arial"/>
              <w:szCs w:val="21"/>
            </w:rPr>
            <w:t>2008[28]</w:t>
          </w:r>
          <w:r w:rsidRPr="00F21C03">
            <w:rPr>
              <w:rFonts w:cs="Arial" w:hint="eastAsia"/>
              <w:szCs w:val="21"/>
            </w:rPr>
            <w:t>号文的要求，本公司于</w:t>
          </w:r>
          <w:r w:rsidRPr="00F21C03">
            <w:rPr>
              <w:rFonts w:cs="Arial"/>
              <w:szCs w:val="21"/>
            </w:rPr>
            <w:t>2019</w:t>
          </w:r>
          <w:r w:rsidRPr="00F21C03">
            <w:rPr>
              <w:rFonts w:cs="Arial" w:hint="eastAsia"/>
              <w:szCs w:val="21"/>
            </w:rPr>
            <w:t>年对所有的分支机构合并缴纳企业所得税。即按合并季度报表的应纳税所得额乘以</w:t>
          </w:r>
          <w:r w:rsidRPr="00F21C03">
            <w:rPr>
              <w:rFonts w:cs="Arial"/>
              <w:szCs w:val="21"/>
            </w:rPr>
            <w:t>10%</w:t>
          </w:r>
          <w:r w:rsidRPr="00F21C03">
            <w:rPr>
              <w:rFonts w:cs="Arial" w:hint="eastAsia"/>
              <w:szCs w:val="21"/>
            </w:rPr>
            <w:t>的企业所得税税率，预缴本年度应纳所得税额。待年度汇算清缴时，以年度合并税前利润计算的应纳税所得额为基础，按照税务机构备案的比例在总分支机构之间进行分配，然后总分支机构以分配到的应纳税所得额乘以各自适用的税率计算得到实际应纳所得税费用，根据其与预缴的所得税额之差额进行补缴或退税。</w:t>
          </w:r>
        </w:p>
        <w:p w:rsidR="00122393" w:rsidRPr="00F21C03" w:rsidRDefault="00122393" w:rsidP="0017410C">
          <w:pPr>
            <w:overflowPunct w:val="0"/>
            <w:autoSpaceDE w:val="0"/>
            <w:autoSpaceDN w:val="0"/>
            <w:ind w:leftChars="297" w:left="624" w:rightChars="37" w:right="78"/>
            <w:jc w:val="both"/>
            <w:rPr>
              <w:rFonts w:cs="Arial"/>
              <w:szCs w:val="21"/>
            </w:rPr>
          </w:pPr>
        </w:p>
        <w:p w:rsidR="00122393" w:rsidRPr="00F21C03" w:rsidRDefault="00122393" w:rsidP="0017410C">
          <w:pPr>
            <w:overflowPunct w:val="0"/>
            <w:autoSpaceDE w:val="0"/>
            <w:autoSpaceDN w:val="0"/>
            <w:ind w:leftChars="295" w:left="619" w:rightChars="37" w:right="78"/>
            <w:jc w:val="both"/>
            <w:rPr>
              <w:rFonts w:cs="Arial"/>
              <w:szCs w:val="21"/>
            </w:rPr>
          </w:pPr>
          <w:r w:rsidRPr="00F21C03">
            <w:rPr>
              <w:rFonts w:cs="Arial" w:hint="eastAsia"/>
              <w:szCs w:val="21"/>
            </w:rPr>
            <w:t>除下述税收优惠提到的公司外，本公司的其他子公司于</w:t>
          </w:r>
          <w:r w:rsidRPr="00F21C03">
            <w:rPr>
              <w:rFonts w:cs="Arial"/>
              <w:szCs w:val="21"/>
            </w:rPr>
            <w:t>2019</w:t>
          </w:r>
          <w:r w:rsidRPr="00F21C03">
            <w:rPr>
              <w:rFonts w:cs="Arial" w:hint="eastAsia"/>
              <w:szCs w:val="21"/>
            </w:rPr>
            <w:t>年执行《中华人民共和国企业所得税法》，按应纳税所得额的</w:t>
          </w:r>
          <w:r w:rsidRPr="00F21C03">
            <w:rPr>
              <w:rFonts w:cs="Arial"/>
              <w:szCs w:val="21"/>
            </w:rPr>
            <w:t>25%</w:t>
          </w:r>
          <w:r w:rsidRPr="00F21C03">
            <w:rPr>
              <w:rFonts w:cs="Arial" w:hint="eastAsia"/>
              <w:szCs w:val="21"/>
            </w:rPr>
            <w:t>计缴企业所得税。</w:t>
          </w:r>
        </w:p>
        <w:p w:rsidR="00ED2DC7" w:rsidRDefault="000D0A99" w:rsidP="0017410C">
          <w:pPr>
            <w:jc w:val="both"/>
            <w:rPr>
              <w:szCs w:val="21"/>
            </w:rPr>
          </w:pPr>
        </w:p>
      </w:sdtContent>
    </w:sdt>
    <w:sdt>
      <w:sdtPr>
        <w:rPr>
          <w:rFonts w:ascii="宋体" w:hAnsi="宋体" w:cs="宋体"/>
          <w:b w:val="0"/>
          <w:bCs w:val="0"/>
          <w:kern w:val="0"/>
          <w:sz w:val="24"/>
          <w:szCs w:val="22"/>
        </w:rPr>
        <w:alias w:val="模块:税收优惠及批文"/>
        <w:tag w:val="_GBC_8efa381cc976417f9135f0c744d05452"/>
        <w:id w:val="-1588463617"/>
        <w:lock w:val="sdtLocked"/>
        <w:placeholder>
          <w:docPart w:val="GBC22222222222222222222222222222"/>
        </w:placeholder>
      </w:sdtPr>
      <w:sdtEndPr>
        <w:rPr>
          <w:rFonts w:asciiTheme="minorEastAsia" w:eastAsiaTheme="minorEastAsia" w:hAnsiTheme="minorEastAsia" w:cs="Times New Roman" w:hint="eastAsia"/>
          <w:kern w:val="2"/>
          <w:sz w:val="21"/>
          <w:szCs w:val="21"/>
        </w:rPr>
      </w:sdtEndPr>
      <w:sdtContent>
        <w:p w:rsidR="00ED2DC7" w:rsidRDefault="00ED2DC7" w:rsidP="00036BDC">
          <w:pPr>
            <w:pStyle w:val="affffffffffffffffff1"/>
            <w:numPr>
              <w:ilvl w:val="0"/>
              <w:numId w:val="47"/>
            </w:numPr>
            <w:tabs>
              <w:tab w:val="left" w:pos="546"/>
            </w:tabs>
          </w:pPr>
          <w:r>
            <w:t>税收优惠</w:t>
          </w:r>
        </w:p>
        <w:sdt>
          <w:sdtPr>
            <w:rPr>
              <w:rFonts w:hint="eastAsia"/>
              <w:szCs w:val="21"/>
            </w:rPr>
            <w:alias w:val="是否适用：税收优惠[双击切换]"/>
            <w:tag w:val="_GBC_f8eb23e7a2e74e448e4eb46519d87bd6"/>
            <w:id w:val="-1255746614"/>
            <w:lock w:val="sdtContentLocked"/>
            <w:placeholder>
              <w:docPart w:val="GBC22222222222222222222222222222"/>
            </w:placeholder>
          </w:sdtPr>
          <w:sdtContent>
            <w:p w:rsidR="00ED2DC7" w:rsidRDefault="00ED2DC7" w:rsidP="003B0306">
              <w:pPr>
                <w:rPr>
                  <w:szCs w:val="21"/>
                </w:rPr>
              </w:pPr>
              <w:r>
                <w:rPr>
                  <w:szCs w:val="21"/>
                </w:rPr>
                <w:fldChar w:fldCharType="begin"/>
              </w:r>
              <w:r w:rsidR="003B0306">
                <w:rPr>
                  <w:szCs w:val="21"/>
                </w:rPr>
                <w:instrText xml:space="preserve"> MACROBUTTON  SnrToggleCheckbox √适用 </w:instrText>
              </w:r>
              <w:r>
                <w:rPr>
                  <w:szCs w:val="21"/>
                </w:rPr>
                <w:fldChar w:fldCharType="end"/>
              </w:r>
              <w:r>
                <w:rPr>
                  <w:szCs w:val="21"/>
                </w:rPr>
                <w:fldChar w:fldCharType="begin"/>
              </w:r>
              <w:r w:rsidR="003B0306">
                <w:rPr>
                  <w:szCs w:val="21"/>
                </w:rPr>
                <w:instrText xml:space="preserve"> MACROBUTTON  SnrToggleCheckbox □不适用 </w:instrText>
              </w:r>
              <w:r>
                <w:rPr>
                  <w:szCs w:val="21"/>
                </w:rPr>
                <w:fldChar w:fldCharType="end"/>
              </w:r>
            </w:p>
          </w:sdtContent>
        </w:sdt>
        <w:sdt>
          <w:sdtPr>
            <w:rPr>
              <w:rFonts w:hint="eastAsia"/>
              <w:szCs w:val="21"/>
            </w:rPr>
            <w:alias w:val="优惠税赋及批文"/>
            <w:tag w:val="_GBC_3bbdacdaa3ba421fb8a81b9bda047bb4"/>
            <w:id w:val="1565443726"/>
            <w:lock w:val="sdtLocked"/>
          </w:sdtPr>
          <w:sdtContent>
            <w:p w:rsidR="00D16E78" w:rsidRDefault="00D16E78">
              <w:pPr>
                <w:rPr>
                  <w:szCs w:val="21"/>
                </w:rPr>
              </w:pPr>
              <w:r w:rsidRPr="00D16E78">
                <w:rPr>
                  <w:rFonts w:hint="eastAsia"/>
                  <w:szCs w:val="21"/>
                </w:rPr>
                <w:t>根据</w:t>
              </w:r>
              <w:r w:rsidRPr="00D16E78">
                <w:rPr>
                  <w:szCs w:val="21"/>
                </w:rPr>
                <w:t>2016年5月4日财政部、国家税务总局、发展改革委和工业和信息化部颁布的《关于软件和集成电路产业企业所得税优惠政策有关问题的通知》(财税[2016]49号)(49号文)文件，国家规划布局内重点软件企业可享受10%的优惠税率。</w:t>
              </w:r>
            </w:p>
            <w:p w:rsidR="00D16E78" w:rsidRDefault="00D16E78">
              <w:pPr>
                <w:rPr>
                  <w:szCs w:val="21"/>
                </w:rPr>
              </w:pPr>
            </w:p>
            <w:p w:rsidR="00D16E78" w:rsidRPr="00D16E78" w:rsidRDefault="00D16E78" w:rsidP="00D16E78">
              <w:pPr>
                <w:rPr>
                  <w:szCs w:val="21"/>
                </w:rPr>
              </w:pPr>
              <w:r w:rsidRPr="00D16E78">
                <w:rPr>
                  <w:rFonts w:hint="eastAsia"/>
                  <w:szCs w:val="21"/>
                </w:rPr>
                <w:t>本公司及子公司用友政务、用友汽车、畅捷通于</w:t>
              </w:r>
              <w:r w:rsidRPr="00D16E78">
                <w:rPr>
                  <w:szCs w:val="21"/>
                </w:rPr>
                <w:t>2019年5月在北京市海淀区国家税务局对公司2018年度符合“国家规划布局内重点软件企业”的事项进行备案，并按照10%的优惠税率进行2018年度汇算清缴。2019年度，以上公司仍符合49号文规定的“国家规划布局内重点软件企业”要求，继续享受10%的优惠税率。</w:t>
              </w:r>
            </w:p>
            <w:p w:rsidR="00D16E78" w:rsidRPr="00D16E78" w:rsidRDefault="00D16E78" w:rsidP="00D16E78">
              <w:pPr>
                <w:rPr>
                  <w:szCs w:val="21"/>
                </w:rPr>
              </w:pPr>
            </w:p>
            <w:p w:rsidR="00D16E78" w:rsidRPr="00D16E78" w:rsidRDefault="00D16E78" w:rsidP="00D16E78">
              <w:pPr>
                <w:rPr>
                  <w:szCs w:val="21"/>
                </w:rPr>
              </w:pPr>
              <w:r w:rsidRPr="00D16E78">
                <w:rPr>
                  <w:rFonts w:hint="eastAsia"/>
                  <w:szCs w:val="21"/>
                </w:rPr>
                <w:t>本公司之子公司用友能源，符合《鼓励软件产业和集成电路产业发展的若干政策》和《软件企业认定标准及管理办法》的有关规定，被认定为软件企业，享受两免三减半的优惠政策，</w:t>
              </w:r>
              <w:r w:rsidRPr="00D16E78">
                <w:rPr>
                  <w:szCs w:val="21"/>
                </w:rPr>
                <w:t>2018年为减免征收的第四年，可享受12.5%的优惠税率。</w:t>
              </w:r>
            </w:p>
            <w:p w:rsidR="00D16E78" w:rsidRPr="00D16E78" w:rsidRDefault="00D16E78" w:rsidP="00D16E78">
              <w:pPr>
                <w:rPr>
                  <w:szCs w:val="21"/>
                </w:rPr>
              </w:pPr>
            </w:p>
            <w:p w:rsidR="00D16E78" w:rsidRPr="00D16E78" w:rsidRDefault="00D16E78" w:rsidP="00D16E78">
              <w:pPr>
                <w:rPr>
                  <w:szCs w:val="21"/>
                </w:rPr>
              </w:pPr>
              <w:r w:rsidRPr="00D16E78">
                <w:rPr>
                  <w:rFonts w:hint="eastAsia"/>
                  <w:szCs w:val="21"/>
                </w:rPr>
                <w:t>本公司之子公司用友广信，符合《鼓励软件产业和集成电路产业发展的若干政策》和《软件企业认定标准及管理办法》的有关规定，被认定为软件企业，享受两免三减半的优惠政策，</w:t>
              </w:r>
              <w:r w:rsidRPr="00D16E78">
                <w:rPr>
                  <w:szCs w:val="21"/>
                </w:rPr>
                <w:t>2018年为减免征收的第四年，可享受12.5%的优惠税率。</w:t>
              </w:r>
            </w:p>
            <w:p w:rsidR="00D16E78" w:rsidRPr="00D16E78" w:rsidRDefault="00D16E78" w:rsidP="00D16E78">
              <w:pPr>
                <w:rPr>
                  <w:szCs w:val="21"/>
                </w:rPr>
              </w:pPr>
            </w:p>
            <w:p w:rsidR="00D16E78" w:rsidRPr="00D16E78" w:rsidRDefault="00D16E78" w:rsidP="00D16E78">
              <w:pPr>
                <w:rPr>
                  <w:szCs w:val="21"/>
                </w:rPr>
              </w:pPr>
              <w:r w:rsidRPr="00D16E78">
                <w:rPr>
                  <w:rFonts w:hint="eastAsia"/>
                  <w:szCs w:val="21"/>
                </w:rPr>
                <w:t>本公司之子公司用友医疗于</w:t>
              </w:r>
              <w:r w:rsidRPr="00D16E78">
                <w:rPr>
                  <w:szCs w:val="21"/>
                </w:rPr>
                <w:t>2017年10月25日取得了有效期为三年的高新技术企业证书，证书编号为GR201711001964。2019年可享受15%的优惠税率。</w:t>
              </w:r>
            </w:p>
            <w:p w:rsidR="00D16E78" w:rsidRPr="00D16E78" w:rsidRDefault="00D16E78" w:rsidP="00D16E78">
              <w:pPr>
                <w:rPr>
                  <w:szCs w:val="21"/>
                </w:rPr>
              </w:pPr>
            </w:p>
            <w:p w:rsidR="00D16E78" w:rsidRPr="00D16E78" w:rsidRDefault="00D16E78" w:rsidP="00D16E78">
              <w:pPr>
                <w:rPr>
                  <w:szCs w:val="21"/>
                </w:rPr>
              </w:pPr>
              <w:r w:rsidRPr="00D16E78">
                <w:rPr>
                  <w:rFonts w:hint="eastAsia"/>
                  <w:szCs w:val="21"/>
                </w:rPr>
                <w:t>本公司之子公司用友审计于</w:t>
              </w:r>
              <w:r w:rsidRPr="00D16E78">
                <w:rPr>
                  <w:szCs w:val="21"/>
                </w:rPr>
                <w:t>201</w:t>
              </w:r>
              <w:r w:rsidR="00886610">
                <w:rPr>
                  <w:szCs w:val="21"/>
                </w:rPr>
                <w:t>7</w:t>
              </w:r>
              <w:r w:rsidRPr="00D16E78">
                <w:rPr>
                  <w:szCs w:val="21"/>
                </w:rPr>
                <w:t>年</w:t>
              </w:r>
              <w:r w:rsidR="00886610">
                <w:rPr>
                  <w:rFonts w:hint="eastAsia"/>
                  <w:szCs w:val="21"/>
                </w:rPr>
                <w:t>1</w:t>
              </w:r>
              <w:r w:rsidR="00886610">
                <w:rPr>
                  <w:szCs w:val="21"/>
                </w:rPr>
                <w:t>2</w:t>
              </w:r>
              <w:r w:rsidRPr="00D16E78">
                <w:rPr>
                  <w:szCs w:val="21"/>
                </w:rPr>
                <w:t>月</w:t>
              </w:r>
              <w:r w:rsidR="00886610">
                <w:rPr>
                  <w:szCs w:val="21"/>
                </w:rPr>
                <w:t>6</w:t>
              </w:r>
              <w:r w:rsidRPr="00D16E78">
                <w:rPr>
                  <w:szCs w:val="21"/>
                </w:rPr>
                <w:t>日取得了有效期为三年的高新技术企业证书，证书编号为GR201711008235，2019年可享受15%的优惠税率。</w:t>
              </w:r>
            </w:p>
            <w:p w:rsidR="00D16E78" w:rsidRPr="00D16E78" w:rsidRDefault="00D16E78" w:rsidP="00D16E78">
              <w:pPr>
                <w:rPr>
                  <w:szCs w:val="21"/>
                </w:rPr>
              </w:pPr>
            </w:p>
            <w:p w:rsidR="00D16E78" w:rsidRPr="00D16E78" w:rsidRDefault="00D16E78" w:rsidP="00D16E78">
              <w:pPr>
                <w:rPr>
                  <w:szCs w:val="21"/>
                </w:rPr>
              </w:pPr>
              <w:r w:rsidRPr="00D16E78">
                <w:rPr>
                  <w:rFonts w:hint="eastAsia"/>
                  <w:szCs w:val="21"/>
                </w:rPr>
                <w:t>本公司之子公司厦门烟草于</w:t>
              </w:r>
              <w:r w:rsidRPr="00D16E78">
                <w:rPr>
                  <w:szCs w:val="21"/>
                </w:rPr>
                <w:t>2018年10月12日取得了有效期为三年的高新技术企业证书，证书编号为GR201835100331，2019年可享受15%的优惠税率。</w:t>
              </w:r>
            </w:p>
            <w:p w:rsidR="00D16E78" w:rsidRPr="00D16E78" w:rsidRDefault="00D16E78" w:rsidP="00D16E78">
              <w:pPr>
                <w:rPr>
                  <w:szCs w:val="21"/>
                </w:rPr>
              </w:pPr>
            </w:p>
            <w:p w:rsidR="00D16E78" w:rsidRPr="00D16E78" w:rsidRDefault="00D16E78" w:rsidP="00D16E78">
              <w:pPr>
                <w:rPr>
                  <w:szCs w:val="21"/>
                </w:rPr>
              </w:pPr>
              <w:r w:rsidRPr="00D16E78">
                <w:rPr>
                  <w:rFonts w:hint="eastAsia"/>
                  <w:szCs w:val="21"/>
                </w:rPr>
                <w:t>本公司之子公司用友移动于</w:t>
              </w:r>
              <w:r w:rsidRPr="00D16E78">
                <w:rPr>
                  <w:szCs w:val="21"/>
                </w:rPr>
                <w:t>2018年9月10日取得了有效期为三年的高新技术企业证书，证书编号为GR201811002396，2019年可享受15%的优惠税率。</w:t>
              </w:r>
            </w:p>
            <w:p w:rsidR="00D16E78" w:rsidRPr="00D16E78" w:rsidRDefault="00D16E78" w:rsidP="00D16E78">
              <w:pPr>
                <w:rPr>
                  <w:szCs w:val="21"/>
                </w:rPr>
              </w:pPr>
            </w:p>
            <w:p w:rsidR="00D16E78" w:rsidRPr="00D16E78" w:rsidRDefault="00D16E78" w:rsidP="00D16E78">
              <w:pPr>
                <w:rPr>
                  <w:szCs w:val="21"/>
                </w:rPr>
              </w:pPr>
              <w:r w:rsidRPr="00D16E78">
                <w:rPr>
                  <w:rFonts w:hint="eastAsia"/>
                  <w:szCs w:val="21"/>
                </w:rPr>
                <w:t>本公司之子公司上海秉钧网络科技有限公司</w:t>
              </w:r>
              <w:r w:rsidRPr="00D16E78">
                <w:rPr>
                  <w:szCs w:val="21"/>
                </w:rPr>
                <w:t>(以下简称“秉钧网络”)于2016年11月24日取得了有效期为三年的高新技术企业证书，证书编号为GR201631002061，2019年可享受15%的优惠税率。</w:t>
              </w:r>
            </w:p>
            <w:p w:rsidR="00D16E78" w:rsidRPr="00D16E78" w:rsidRDefault="00D16E78" w:rsidP="00D16E78">
              <w:pPr>
                <w:rPr>
                  <w:szCs w:val="21"/>
                </w:rPr>
              </w:pPr>
            </w:p>
            <w:p w:rsidR="00D16E78" w:rsidRPr="00D16E78" w:rsidRDefault="00D16E78" w:rsidP="00D16E78">
              <w:pPr>
                <w:rPr>
                  <w:szCs w:val="21"/>
                </w:rPr>
              </w:pPr>
              <w:r w:rsidRPr="00D16E78">
                <w:rPr>
                  <w:rFonts w:hint="eastAsia"/>
                  <w:szCs w:val="21"/>
                </w:rPr>
                <w:t>本公司之子公司新道科技，于</w:t>
              </w:r>
              <w:r w:rsidRPr="00D16E78">
                <w:rPr>
                  <w:szCs w:val="21"/>
                </w:rPr>
                <w:t>2017年11月27日取得了有效期为三年的高新技术企业证书，证书编号为GR201746000035，2019年可享受15%的优惠税率。</w:t>
              </w:r>
            </w:p>
            <w:p w:rsidR="00D16E78" w:rsidRPr="00D16E78" w:rsidRDefault="00D16E78" w:rsidP="00D16E78">
              <w:pPr>
                <w:rPr>
                  <w:szCs w:val="21"/>
                </w:rPr>
              </w:pPr>
            </w:p>
            <w:p w:rsidR="00D16E78" w:rsidRPr="00D16E78" w:rsidRDefault="00D16E78" w:rsidP="00D16E78">
              <w:pPr>
                <w:rPr>
                  <w:szCs w:val="21"/>
                </w:rPr>
              </w:pPr>
              <w:r w:rsidRPr="00D16E78">
                <w:rPr>
                  <w:rFonts w:hint="eastAsia"/>
                  <w:szCs w:val="21"/>
                </w:rPr>
                <w:t>本公司之子公司北京畅捷通支付技术有限公司</w:t>
              </w:r>
              <w:r w:rsidRPr="00D16E78">
                <w:rPr>
                  <w:szCs w:val="21"/>
                </w:rPr>
                <w:t>(以下简称“畅捷支付”)，于2016年12月22日取得了有效期为三年的高新技术企业证书，证书编号为GR201611003847，2019年可享受15%的优惠税率。</w:t>
              </w:r>
            </w:p>
            <w:p w:rsidR="00D16E78" w:rsidRPr="00D16E78" w:rsidRDefault="00D16E78" w:rsidP="00D16E78">
              <w:pPr>
                <w:rPr>
                  <w:szCs w:val="21"/>
                </w:rPr>
              </w:pPr>
            </w:p>
            <w:p w:rsidR="00D16E78" w:rsidRPr="00D16E78" w:rsidRDefault="00D16E78" w:rsidP="00D16E78">
              <w:pPr>
                <w:rPr>
                  <w:szCs w:val="21"/>
                </w:rPr>
              </w:pPr>
              <w:r w:rsidRPr="00D16E78">
                <w:rPr>
                  <w:rFonts w:hint="eastAsia"/>
                  <w:szCs w:val="21"/>
                </w:rPr>
                <w:t>本公司之子公司北京用友薪福社云科技有限公司（以下简称“薪福社”），于</w:t>
              </w:r>
              <w:r w:rsidRPr="00D16E78">
                <w:rPr>
                  <w:szCs w:val="21"/>
                </w:rPr>
                <w:t>2017年10月25日取得了有效期为三年的高新技术企业证书，证书编号为GR201711004023，2019年可享受15%的优惠税率。</w:t>
              </w:r>
            </w:p>
            <w:p w:rsidR="003B0306" w:rsidRDefault="000D0A99">
              <w:pPr>
                <w:rPr>
                  <w:szCs w:val="21"/>
                </w:rPr>
              </w:pPr>
            </w:p>
          </w:sdtContent>
        </w:sdt>
        <w:p w:rsidR="00ED2DC7" w:rsidRDefault="000D0A99">
          <w:pPr>
            <w:rPr>
              <w:rFonts w:asciiTheme="minorEastAsia" w:eastAsiaTheme="minorEastAsia" w:hAnsiTheme="minorEastAsia"/>
              <w:szCs w:val="21"/>
            </w:rPr>
          </w:pPr>
        </w:p>
      </w:sdtContent>
    </w:sdt>
    <w:sdt>
      <w:sdtPr>
        <w:rPr>
          <w:rFonts w:ascii="宋体" w:hAnsi="宋体" w:cs="宋体"/>
          <w:b w:val="0"/>
          <w:bCs w:val="0"/>
          <w:kern w:val="0"/>
          <w:sz w:val="24"/>
          <w:szCs w:val="22"/>
        </w:rPr>
        <w:alias w:val="模块:其他说明"/>
        <w:tag w:val="_GBC_9fdef48633e142f68e18dc5da08c2deb"/>
        <w:id w:val="1074313188"/>
        <w:lock w:val="sdtLocked"/>
        <w:placeholder>
          <w:docPart w:val="GBC22222222222222222222222222222"/>
        </w:placeholder>
      </w:sdtPr>
      <w:sdtEndPr>
        <w:rPr>
          <w:rFonts w:ascii="Times New Roman" w:hAnsi="Times New Roman" w:cs="Times New Roman" w:hint="eastAsia"/>
          <w:kern w:val="2"/>
          <w:sz w:val="21"/>
          <w:szCs w:val="21"/>
        </w:rPr>
      </w:sdtEndPr>
      <w:sdtContent>
        <w:p w:rsidR="00ED2DC7" w:rsidRDefault="00ED2DC7" w:rsidP="00036BDC">
          <w:pPr>
            <w:pStyle w:val="affffffffffffffffff1"/>
            <w:numPr>
              <w:ilvl w:val="0"/>
              <w:numId w:val="47"/>
            </w:numPr>
            <w:tabs>
              <w:tab w:val="left" w:pos="546"/>
            </w:tabs>
            <w:rPr>
              <w:rFonts w:asciiTheme="minorEastAsia" w:eastAsiaTheme="minorEastAsia" w:hAnsiTheme="minorEastAsia"/>
            </w:rPr>
          </w:pPr>
          <w:r>
            <w:t>其他</w:t>
          </w:r>
        </w:p>
        <w:sdt>
          <w:sdtPr>
            <w:rPr>
              <w:rFonts w:hint="eastAsia"/>
              <w:szCs w:val="21"/>
            </w:rPr>
            <w:alias w:val="是否适用：税项说明[双击切换]"/>
            <w:tag w:val="_GBC_566ef0a7141a4b2ca002ad8d0663c462"/>
            <w:id w:val="1490593531"/>
            <w:lock w:val="sdtContentLocked"/>
            <w:placeholder>
              <w:docPart w:val="GBC22222222222222222222222222222"/>
            </w:placeholder>
          </w:sdtPr>
          <w:sdtContent>
            <w:p w:rsidR="00ED2DC7" w:rsidRDefault="00ED2DC7" w:rsidP="003B0306">
              <w:pPr>
                <w:rPr>
                  <w:szCs w:val="21"/>
                </w:rPr>
              </w:pPr>
              <w:r>
                <w:rPr>
                  <w:szCs w:val="21"/>
                </w:rPr>
                <w:fldChar w:fldCharType="begin"/>
              </w:r>
              <w:r w:rsidR="003B0306">
                <w:rPr>
                  <w:szCs w:val="21"/>
                </w:rPr>
                <w:instrText xml:space="preserve"> MACROBUTTON  SnrToggleCheckbox □适用 </w:instrText>
              </w:r>
              <w:r>
                <w:rPr>
                  <w:szCs w:val="21"/>
                </w:rPr>
                <w:fldChar w:fldCharType="end"/>
              </w:r>
              <w:r>
                <w:rPr>
                  <w:szCs w:val="21"/>
                </w:rPr>
                <w:fldChar w:fldCharType="begin"/>
              </w:r>
              <w:r w:rsidR="003B0306">
                <w:rPr>
                  <w:szCs w:val="21"/>
                </w:rPr>
                <w:instrText xml:space="preserve"> MACROBUTTON  SnrToggleCheckbox √不适用 </w:instrText>
              </w:r>
              <w:r>
                <w:rPr>
                  <w:szCs w:val="21"/>
                </w:rPr>
                <w:fldChar w:fldCharType="end"/>
              </w:r>
            </w:p>
          </w:sdtContent>
        </w:sdt>
      </w:sdtContent>
    </w:sdt>
    <w:p w:rsidR="00ED2DC7" w:rsidRDefault="00ED2DC7"/>
    <w:p w:rsidR="00ED2DC7" w:rsidRDefault="00ED2DC7" w:rsidP="00036BDC">
      <w:pPr>
        <w:pStyle w:val="affffffffffffffffff0"/>
        <w:numPr>
          <w:ilvl w:val="0"/>
          <w:numId w:val="35"/>
        </w:numPr>
      </w:pPr>
      <w:r>
        <w:rPr>
          <w:rFonts w:hint="eastAsia"/>
        </w:rPr>
        <w:t>合并财务报表项目注释</w:t>
      </w:r>
    </w:p>
    <w:sdt>
      <w:sdtPr>
        <w:rPr>
          <w:rFonts w:ascii="宋体" w:hAnsi="宋体" w:cs="宋体" w:hint="eastAsia"/>
          <w:b w:val="0"/>
          <w:bCs w:val="0"/>
          <w:kern w:val="0"/>
          <w:szCs w:val="21"/>
        </w:rPr>
        <w:alias w:val="模块:货币资金"/>
        <w:tag w:val="_GBC_e001074b3db146e59ba240ad8dd14b68"/>
        <w:id w:val="-1729531566"/>
        <w:lock w:val="sdtLocked"/>
        <w:placeholder>
          <w:docPart w:val="GBC22222222222222222222222222222"/>
        </w:placeholder>
      </w:sdtPr>
      <w:sdtContent>
        <w:p w:rsidR="00ED2DC7" w:rsidRDefault="00ED2DC7" w:rsidP="00036BDC">
          <w:pPr>
            <w:pStyle w:val="affffffffffffffffff1"/>
            <w:numPr>
              <w:ilvl w:val="0"/>
              <w:numId w:val="49"/>
            </w:numPr>
          </w:pPr>
          <w:r>
            <w:rPr>
              <w:rFonts w:hint="eastAsia"/>
            </w:rPr>
            <w:t>货币资金</w:t>
          </w:r>
        </w:p>
        <w:sdt>
          <w:sdtPr>
            <w:rPr>
              <w:rFonts w:hint="eastAsia"/>
              <w:szCs w:val="21"/>
            </w:rPr>
            <w:alias w:val="是否适用：货币资金[双击切换]"/>
            <w:tag w:val="_GBC_919482f2d209490ca80fb081aed88b28"/>
            <w:id w:val="358242211"/>
            <w:lock w:val="sdtContentLocked"/>
            <w:placeholder>
              <w:docPart w:val="GBC22222222222222222222222222222"/>
            </w:placeholder>
          </w:sdtPr>
          <w:sdtContent>
            <w:p w:rsidR="00ED2DC7" w:rsidRDefault="00ED2DC7">
              <w:pPr>
                <w:snapToGrid w:val="0"/>
                <w:spacing w:line="240" w:lineRule="atLeast"/>
                <w:rPr>
                  <w:szCs w:val="21"/>
                </w:rPr>
              </w:pPr>
              <w:r>
                <w:rPr>
                  <w:szCs w:val="21"/>
                </w:rPr>
                <w:fldChar w:fldCharType="begin"/>
              </w:r>
              <w:r w:rsidR="003B0306">
                <w:rPr>
                  <w:szCs w:val="21"/>
                </w:rPr>
                <w:instrText xml:space="preserve"> MACROBUTTON  SnrToggleCheckbox √适用 </w:instrText>
              </w:r>
              <w:r>
                <w:rPr>
                  <w:szCs w:val="21"/>
                </w:rPr>
                <w:fldChar w:fldCharType="end"/>
              </w:r>
              <w:r>
                <w:rPr>
                  <w:szCs w:val="21"/>
                </w:rPr>
                <w:fldChar w:fldCharType="begin"/>
              </w:r>
              <w:r w:rsidR="003B0306">
                <w:rPr>
                  <w:szCs w:val="21"/>
                </w:rPr>
                <w:instrText xml:space="preserve"> MACROBUTTON  SnrToggleCheckbox □不适用 </w:instrText>
              </w:r>
              <w:r>
                <w:rPr>
                  <w:szCs w:val="21"/>
                </w:rPr>
                <w:fldChar w:fldCharType="end"/>
              </w:r>
            </w:p>
          </w:sdtContent>
        </w:sdt>
        <w:p w:rsidR="00ED2DC7" w:rsidRDefault="00ED2DC7">
          <w:pPr>
            <w:snapToGrid w:val="0"/>
            <w:spacing w:line="240" w:lineRule="atLeast"/>
            <w:jc w:val="right"/>
            <w:rPr>
              <w:szCs w:val="21"/>
            </w:rPr>
          </w:pPr>
          <w:r>
            <w:rPr>
              <w:rFonts w:hint="eastAsia"/>
              <w:szCs w:val="21"/>
            </w:rPr>
            <w:t>单位：</w:t>
          </w:r>
          <w:sdt>
            <w:sdtPr>
              <w:rPr>
                <w:rFonts w:hint="eastAsia"/>
                <w:szCs w:val="21"/>
              </w:rPr>
              <w:alias w:val="单位：财务附注：货币资金"/>
              <w:tag w:val="_GBC_837f4fb04cac4b8aa6bed7dc457a1486"/>
              <w:id w:val="14778721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hint="eastAsia"/>
                  <w:szCs w:val="21"/>
                </w:rPr>
                <w:t>元</w:t>
              </w:r>
            </w:sdtContent>
          </w:sdt>
          <w:r>
            <w:rPr>
              <w:rFonts w:hint="eastAsia"/>
              <w:szCs w:val="21"/>
            </w:rPr>
            <w:t xml:space="preserve">  币种：</w:t>
          </w:r>
          <w:sdt>
            <w:sdtPr>
              <w:rPr>
                <w:rFonts w:hint="eastAsia"/>
                <w:szCs w:val="21"/>
              </w:rPr>
              <w:alias w:val="币种：财务附注：货币资金"/>
              <w:tag w:val="_GBC_6a1d907ad1af44b1a90a92ac03d51b34"/>
              <w:id w:val="-6342623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szCs w:val="21"/>
                </w:rPr>
                <w:t>人民币</w:t>
              </w:r>
            </w:sdtContent>
          </w:sdt>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216"/>
            <w:gridCol w:w="3291"/>
            <w:gridCol w:w="3316"/>
          </w:tblGrid>
          <w:tr w:rsidR="00ED2DC7" w:rsidTr="00474A51">
            <w:trPr>
              <w:cantSplit/>
            </w:trPr>
            <w:bookmarkStart w:id="92" w:name="_Hlk16457329" w:displacedByCustomXml="next"/>
            <w:sdt>
              <w:sdtPr>
                <w:tag w:val="_PLD_970744f8614f4547819947c8fa3cacc3"/>
                <w:id w:val="882292253"/>
                <w:lock w:val="sdtLocked"/>
              </w:sdtPr>
              <w:sdtContent>
                <w:tc>
                  <w:tcPr>
                    <w:tcW w:w="1256" w:type="pct"/>
                    <w:shd w:val="clear" w:color="auto" w:fill="auto"/>
                    <w:vAlign w:val="center"/>
                  </w:tcPr>
                  <w:p w:rsidR="00ED2DC7" w:rsidRDefault="00ED2DC7">
                    <w:pPr>
                      <w:autoSpaceDE w:val="0"/>
                      <w:autoSpaceDN w:val="0"/>
                      <w:adjustRightInd w:val="0"/>
                      <w:snapToGrid w:val="0"/>
                      <w:spacing w:line="240" w:lineRule="atLeast"/>
                      <w:jc w:val="center"/>
                      <w:rPr>
                        <w:szCs w:val="21"/>
                      </w:rPr>
                    </w:pPr>
                    <w:r>
                      <w:rPr>
                        <w:rFonts w:hint="eastAsia"/>
                        <w:szCs w:val="21"/>
                      </w:rPr>
                      <w:t>项目</w:t>
                    </w:r>
                  </w:p>
                </w:tc>
              </w:sdtContent>
            </w:sdt>
            <w:sdt>
              <w:sdtPr>
                <w:tag w:val="_PLD_e10eddc0fb0b4cf087ec6eb5089b437a"/>
                <w:id w:val="-696842788"/>
                <w:lock w:val="sdtLocked"/>
              </w:sdtPr>
              <w:sdtContent>
                <w:tc>
                  <w:tcPr>
                    <w:tcW w:w="1865" w:type="pct"/>
                    <w:shd w:val="clear" w:color="auto" w:fill="auto"/>
                    <w:vAlign w:val="center"/>
                  </w:tcPr>
                  <w:p w:rsidR="00ED2DC7" w:rsidRDefault="00ED2DC7">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0e23cd11eeb14296ba53098fcca37e68"/>
                <w:id w:val="495008903"/>
                <w:lock w:val="sdtLocked"/>
              </w:sdtPr>
              <w:sdtContent>
                <w:tc>
                  <w:tcPr>
                    <w:tcW w:w="1879" w:type="pct"/>
                    <w:shd w:val="clear" w:color="auto" w:fill="auto"/>
                    <w:vAlign w:val="center"/>
                  </w:tcPr>
                  <w:p w:rsidR="00ED2DC7" w:rsidRDefault="00ED2DC7">
                    <w:pPr>
                      <w:autoSpaceDE w:val="0"/>
                      <w:autoSpaceDN w:val="0"/>
                      <w:adjustRightInd w:val="0"/>
                      <w:snapToGrid w:val="0"/>
                      <w:spacing w:line="240" w:lineRule="atLeast"/>
                      <w:jc w:val="center"/>
                      <w:rPr>
                        <w:szCs w:val="21"/>
                      </w:rPr>
                    </w:pPr>
                    <w:r>
                      <w:rPr>
                        <w:rFonts w:hint="eastAsia"/>
                        <w:szCs w:val="21"/>
                      </w:rPr>
                      <w:t>期初余额</w:t>
                    </w:r>
                  </w:p>
                </w:tc>
              </w:sdtContent>
            </w:sdt>
          </w:tr>
          <w:tr w:rsidR="00500325" w:rsidTr="00B637B2">
            <w:trPr>
              <w:cantSplit/>
            </w:trPr>
            <w:sdt>
              <w:sdtPr>
                <w:tag w:val="_PLD_e371e767a9e24245856168b9f4428678"/>
                <w:id w:val="1643228666"/>
                <w:lock w:val="sdtLocked"/>
              </w:sdtPr>
              <w:sdtContent>
                <w:tc>
                  <w:tcPr>
                    <w:tcW w:w="1256" w:type="pct"/>
                    <w:shd w:val="clear" w:color="auto" w:fill="auto"/>
                  </w:tcPr>
                  <w:p w:rsidR="00500325" w:rsidRDefault="00500325" w:rsidP="00500325">
                    <w:pPr>
                      <w:autoSpaceDE w:val="0"/>
                      <w:autoSpaceDN w:val="0"/>
                      <w:adjustRightInd w:val="0"/>
                      <w:snapToGrid w:val="0"/>
                      <w:spacing w:line="240" w:lineRule="atLeast"/>
                      <w:rPr>
                        <w:szCs w:val="21"/>
                      </w:rPr>
                    </w:pPr>
                    <w:r>
                      <w:rPr>
                        <w:rFonts w:hint="eastAsia"/>
                        <w:szCs w:val="21"/>
                      </w:rPr>
                      <w:t>库存现金</w:t>
                    </w:r>
                  </w:p>
                </w:tc>
              </w:sdtContent>
            </w:sdt>
            <w:tc>
              <w:tcPr>
                <w:tcW w:w="1865" w:type="pct"/>
                <w:shd w:val="clear" w:color="auto" w:fill="auto"/>
                <w:vAlign w:val="center"/>
              </w:tcPr>
              <w:p w:rsidR="00500325" w:rsidRPr="0023573A" w:rsidRDefault="00500325" w:rsidP="00B637B2">
                <w:pPr>
                  <w:jc w:val="right"/>
                </w:pPr>
                <w:r w:rsidRPr="0023573A">
                  <w:t>311,738</w:t>
                </w:r>
              </w:p>
            </w:tc>
            <w:tc>
              <w:tcPr>
                <w:tcW w:w="1879" w:type="pct"/>
                <w:shd w:val="clear" w:color="auto" w:fill="auto"/>
                <w:vAlign w:val="center"/>
              </w:tcPr>
              <w:p w:rsidR="00500325" w:rsidRPr="005076C7" w:rsidRDefault="00500325" w:rsidP="00B637B2">
                <w:pPr>
                  <w:jc w:val="right"/>
                </w:pPr>
                <w:r w:rsidRPr="005076C7">
                  <w:t>462,130</w:t>
                </w:r>
              </w:p>
            </w:tc>
          </w:tr>
          <w:tr w:rsidR="00500325" w:rsidTr="00B637B2">
            <w:trPr>
              <w:cantSplit/>
            </w:trPr>
            <w:sdt>
              <w:sdtPr>
                <w:tag w:val="_PLD_96be3b99d11b4eb5ac959cf1c015f1ae"/>
                <w:id w:val="-1224129862"/>
                <w:lock w:val="sdtLocked"/>
              </w:sdtPr>
              <w:sdtContent>
                <w:tc>
                  <w:tcPr>
                    <w:tcW w:w="1256" w:type="pct"/>
                    <w:shd w:val="clear" w:color="auto" w:fill="auto"/>
                  </w:tcPr>
                  <w:p w:rsidR="00500325" w:rsidRDefault="00500325" w:rsidP="00500325">
                    <w:pPr>
                      <w:autoSpaceDE w:val="0"/>
                      <w:autoSpaceDN w:val="0"/>
                      <w:adjustRightInd w:val="0"/>
                      <w:snapToGrid w:val="0"/>
                      <w:spacing w:line="240" w:lineRule="atLeast"/>
                      <w:rPr>
                        <w:szCs w:val="21"/>
                      </w:rPr>
                    </w:pPr>
                    <w:r w:rsidRPr="00886610">
                      <w:rPr>
                        <w:rFonts w:hint="eastAsia"/>
                        <w:szCs w:val="21"/>
                      </w:rPr>
                      <w:t>银行存款</w:t>
                    </w:r>
                  </w:p>
                </w:tc>
              </w:sdtContent>
            </w:sdt>
            <w:tc>
              <w:tcPr>
                <w:tcW w:w="1865" w:type="pct"/>
                <w:shd w:val="clear" w:color="auto" w:fill="auto"/>
                <w:vAlign w:val="center"/>
              </w:tcPr>
              <w:p w:rsidR="00500325" w:rsidRPr="0023573A" w:rsidRDefault="00500325" w:rsidP="00B637B2">
                <w:pPr>
                  <w:jc w:val="right"/>
                </w:pPr>
                <w:r w:rsidRPr="0023573A">
                  <w:t>4,348,422,430</w:t>
                </w:r>
              </w:p>
            </w:tc>
            <w:tc>
              <w:tcPr>
                <w:tcW w:w="1879" w:type="pct"/>
                <w:shd w:val="clear" w:color="auto" w:fill="auto"/>
                <w:vAlign w:val="center"/>
              </w:tcPr>
              <w:p w:rsidR="00500325" w:rsidRPr="005076C7" w:rsidRDefault="00500325" w:rsidP="00B637B2">
                <w:pPr>
                  <w:jc w:val="right"/>
                </w:pPr>
                <w:r w:rsidRPr="005076C7">
                  <w:t>5,426,882,804</w:t>
                </w:r>
              </w:p>
            </w:tc>
          </w:tr>
          <w:tr w:rsidR="00500325" w:rsidTr="00B637B2">
            <w:trPr>
              <w:cantSplit/>
            </w:trPr>
            <w:sdt>
              <w:sdtPr>
                <w:tag w:val="_PLD_58c172627e3243edb66fdbc1799a2f1e"/>
                <w:id w:val="585494950"/>
                <w:lock w:val="sdtLocked"/>
              </w:sdtPr>
              <w:sdtContent>
                <w:tc>
                  <w:tcPr>
                    <w:tcW w:w="1256" w:type="pct"/>
                    <w:shd w:val="clear" w:color="auto" w:fill="auto"/>
                  </w:tcPr>
                  <w:p w:rsidR="00500325" w:rsidRDefault="00500325" w:rsidP="00500325">
                    <w:pPr>
                      <w:autoSpaceDE w:val="0"/>
                      <w:autoSpaceDN w:val="0"/>
                      <w:adjustRightInd w:val="0"/>
                      <w:snapToGrid w:val="0"/>
                      <w:spacing w:line="240" w:lineRule="atLeast"/>
                      <w:rPr>
                        <w:szCs w:val="21"/>
                      </w:rPr>
                    </w:pPr>
                    <w:r>
                      <w:rPr>
                        <w:rFonts w:hint="eastAsia"/>
                        <w:szCs w:val="21"/>
                      </w:rPr>
                      <w:t>其他货币资金</w:t>
                    </w:r>
                  </w:p>
                </w:tc>
              </w:sdtContent>
            </w:sdt>
            <w:tc>
              <w:tcPr>
                <w:tcW w:w="1865" w:type="pct"/>
                <w:shd w:val="clear" w:color="auto" w:fill="auto"/>
                <w:vAlign w:val="center"/>
              </w:tcPr>
              <w:p w:rsidR="00500325" w:rsidRPr="0023573A" w:rsidRDefault="00500325" w:rsidP="00B637B2">
                <w:pPr>
                  <w:jc w:val="right"/>
                </w:pPr>
                <w:r w:rsidRPr="0023573A">
                  <w:t>91,968,280</w:t>
                </w:r>
              </w:p>
            </w:tc>
            <w:tc>
              <w:tcPr>
                <w:tcW w:w="1879" w:type="pct"/>
                <w:shd w:val="clear" w:color="auto" w:fill="auto"/>
                <w:vAlign w:val="center"/>
              </w:tcPr>
              <w:p w:rsidR="00500325" w:rsidRDefault="00500325" w:rsidP="00B637B2">
                <w:pPr>
                  <w:jc w:val="right"/>
                </w:pPr>
                <w:r w:rsidRPr="005076C7">
                  <w:t>103,466,441</w:t>
                </w:r>
              </w:p>
            </w:tc>
          </w:tr>
          <w:tr w:rsidR="00500325" w:rsidTr="00B637B2">
            <w:trPr>
              <w:cantSplit/>
            </w:trPr>
            <w:sdt>
              <w:sdtPr>
                <w:tag w:val="_PLD_bfbd7d5ef1f8459e96b267d6ca7d50e2"/>
                <w:id w:val="-834689667"/>
                <w:lock w:val="sdtLocked"/>
              </w:sdtPr>
              <w:sdtContent>
                <w:tc>
                  <w:tcPr>
                    <w:tcW w:w="1256" w:type="pct"/>
                    <w:shd w:val="clear" w:color="auto" w:fill="auto"/>
                    <w:vAlign w:val="center"/>
                  </w:tcPr>
                  <w:p w:rsidR="00500325" w:rsidRDefault="00500325" w:rsidP="00500325">
                    <w:pPr>
                      <w:autoSpaceDE w:val="0"/>
                      <w:autoSpaceDN w:val="0"/>
                      <w:adjustRightInd w:val="0"/>
                      <w:snapToGrid w:val="0"/>
                      <w:spacing w:line="240" w:lineRule="atLeast"/>
                      <w:rPr>
                        <w:szCs w:val="21"/>
                      </w:rPr>
                    </w:pPr>
                    <w:r>
                      <w:rPr>
                        <w:rFonts w:hint="eastAsia"/>
                        <w:szCs w:val="21"/>
                      </w:rPr>
                      <w:t>合计</w:t>
                    </w:r>
                  </w:p>
                </w:tc>
              </w:sdtContent>
            </w:sdt>
            <w:tc>
              <w:tcPr>
                <w:tcW w:w="1865" w:type="pct"/>
                <w:shd w:val="clear" w:color="auto" w:fill="auto"/>
                <w:vAlign w:val="center"/>
              </w:tcPr>
              <w:p w:rsidR="00500325" w:rsidRPr="00BD1270" w:rsidRDefault="00500325" w:rsidP="00B637B2">
                <w:pPr>
                  <w:jc w:val="right"/>
                </w:pPr>
                <w:r w:rsidRPr="00BD1270">
                  <w:t>4,440,702,448</w:t>
                </w:r>
              </w:p>
            </w:tc>
            <w:tc>
              <w:tcPr>
                <w:tcW w:w="1879" w:type="pct"/>
                <w:shd w:val="clear" w:color="auto" w:fill="auto"/>
                <w:vAlign w:val="center"/>
              </w:tcPr>
              <w:p w:rsidR="00500325" w:rsidRPr="00BD1270" w:rsidRDefault="00500325" w:rsidP="00B637B2">
                <w:pPr>
                  <w:jc w:val="right"/>
                </w:pPr>
                <w:r w:rsidRPr="00BD1270">
                  <w:t xml:space="preserve"> </w:t>
                </w:r>
                <w:r w:rsidRPr="00500325">
                  <w:t>5,530,811,375</w:t>
                </w:r>
              </w:p>
            </w:tc>
          </w:tr>
          <w:tr w:rsidR="00ED2DC7" w:rsidTr="00474A51">
            <w:trPr>
              <w:cantSplit/>
            </w:trPr>
            <w:sdt>
              <w:sdtPr>
                <w:tag w:val="_PLD_87df45e9697a4beb97831117be4c567a"/>
                <w:id w:val="253710892"/>
                <w:lock w:val="sdtLocked"/>
              </w:sdtPr>
              <w:sdtContent>
                <w:tc>
                  <w:tcPr>
                    <w:tcW w:w="1256" w:type="pct"/>
                    <w:shd w:val="clear" w:color="auto" w:fill="auto"/>
                  </w:tcPr>
                  <w:p w:rsidR="00ED2DC7" w:rsidRDefault="00ED2DC7">
                    <w:pPr>
                      <w:autoSpaceDE w:val="0"/>
                      <w:autoSpaceDN w:val="0"/>
                      <w:adjustRightInd w:val="0"/>
                      <w:snapToGrid w:val="0"/>
                      <w:spacing w:line="240" w:lineRule="atLeast"/>
                      <w:ind w:firstLineChars="100" w:firstLine="210"/>
                      <w:jc w:val="center"/>
                      <w:rPr>
                        <w:szCs w:val="21"/>
                      </w:rPr>
                    </w:pPr>
                    <w:r>
                      <w:rPr>
                        <w:rFonts w:hint="eastAsia"/>
                        <w:szCs w:val="21"/>
                      </w:rPr>
                      <w:t>其中：存放在境外的款项总额</w:t>
                    </w:r>
                  </w:p>
                </w:tc>
              </w:sdtContent>
            </w:sdt>
            <w:tc>
              <w:tcPr>
                <w:tcW w:w="1865" w:type="pct"/>
                <w:shd w:val="clear" w:color="auto" w:fill="auto"/>
              </w:tcPr>
              <w:p w:rsidR="00ED2DC7" w:rsidRDefault="008F04CF">
                <w:pPr>
                  <w:autoSpaceDE w:val="0"/>
                  <w:autoSpaceDN w:val="0"/>
                  <w:adjustRightInd w:val="0"/>
                  <w:snapToGrid w:val="0"/>
                  <w:spacing w:line="240" w:lineRule="atLeast"/>
                  <w:jc w:val="right"/>
                  <w:rPr>
                    <w:szCs w:val="21"/>
                  </w:rPr>
                </w:pPr>
                <w:r w:rsidRPr="002A141B">
                  <w:rPr>
                    <w:szCs w:val="21"/>
                  </w:rPr>
                  <w:t>44,386,106</w:t>
                </w:r>
              </w:p>
            </w:tc>
            <w:tc>
              <w:tcPr>
                <w:tcW w:w="1879" w:type="pct"/>
                <w:shd w:val="clear" w:color="auto" w:fill="auto"/>
              </w:tcPr>
              <w:p w:rsidR="00ED2DC7" w:rsidRDefault="008F04CF">
                <w:pPr>
                  <w:autoSpaceDE w:val="0"/>
                  <w:autoSpaceDN w:val="0"/>
                  <w:adjustRightInd w:val="0"/>
                  <w:snapToGrid w:val="0"/>
                  <w:spacing w:line="240" w:lineRule="atLeast"/>
                  <w:jc w:val="right"/>
                  <w:rPr>
                    <w:szCs w:val="21"/>
                  </w:rPr>
                </w:pPr>
                <w:r w:rsidRPr="002A141B">
                  <w:rPr>
                    <w:szCs w:val="21"/>
                  </w:rPr>
                  <w:t>68,415,007</w:t>
                </w:r>
              </w:p>
            </w:tc>
          </w:tr>
        </w:tbl>
        <w:bookmarkEnd w:id="92"/>
        <w:p w:rsidR="00ED2DC7" w:rsidRDefault="00ED2DC7">
          <w:pPr>
            <w:rPr>
              <w:szCs w:val="21"/>
            </w:rPr>
          </w:pPr>
          <w:r>
            <w:rPr>
              <w:rFonts w:hint="eastAsia"/>
              <w:szCs w:val="21"/>
            </w:rPr>
            <w:t>其他说明：</w:t>
          </w:r>
        </w:p>
        <w:sdt>
          <w:sdtPr>
            <w:rPr>
              <w:szCs w:val="21"/>
            </w:rPr>
            <w:alias w:val="货币资金的说明"/>
            <w:tag w:val="_GBC_672a863055084dfabbc1ba40f04a68b4"/>
            <w:id w:val="-1461640965"/>
            <w:lock w:val="sdtLocked"/>
            <w:placeholder>
              <w:docPart w:val="GBC22222222222222222222222222222"/>
            </w:placeholder>
          </w:sdtPr>
          <w:sdtContent>
            <w:p w:rsidR="00D16E78" w:rsidRPr="00D16E78" w:rsidRDefault="00D16E78" w:rsidP="00B637B2">
              <w:pPr>
                <w:jc w:val="both"/>
                <w:rPr>
                  <w:szCs w:val="21"/>
                </w:rPr>
              </w:pPr>
              <w:r w:rsidRPr="00D16E78">
                <w:rPr>
                  <w:rFonts w:hint="eastAsia"/>
                  <w:szCs w:val="21"/>
                </w:rPr>
                <w:t>注</w:t>
              </w:r>
              <w:r w:rsidR="008F04CF">
                <w:rPr>
                  <w:szCs w:val="21"/>
                </w:rPr>
                <w:t xml:space="preserve">1. </w:t>
              </w:r>
              <w:r w:rsidRPr="00D16E78">
                <w:rPr>
                  <w:szCs w:val="21"/>
                </w:rPr>
                <w:t>于2019年6月30日，本集团存放于境外的货币资金为人民币44,</w:t>
              </w:r>
              <w:r w:rsidR="00886610" w:rsidRPr="00886610">
                <w:rPr>
                  <w:szCs w:val="21"/>
                </w:rPr>
                <w:t>386,106</w:t>
              </w:r>
              <w:r w:rsidRPr="00D16E78">
                <w:rPr>
                  <w:szCs w:val="21"/>
                </w:rPr>
                <w:t>元(2018年12月31日：人民币68,415,007元)。</w:t>
              </w:r>
            </w:p>
            <w:p w:rsidR="00D16E78" w:rsidRPr="00D16E78" w:rsidRDefault="00D16E78" w:rsidP="00B637B2">
              <w:pPr>
                <w:jc w:val="both"/>
                <w:rPr>
                  <w:szCs w:val="21"/>
                </w:rPr>
              </w:pPr>
            </w:p>
            <w:p w:rsidR="00D16E78" w:rsidRPr="00D16E78" w:rsidRDefault="00D16E78" w:rsidP="00B637B2">
              <w:pPr>
                <w:jc w:val="both"/>
                <w:rPr>
                  <w:szCs w:val="21"/>
                </w:rPr>
              </w:pPr>
              <w:r w:rsidRPr="00D16E78">
                <w:rPr>
                  <w:rFonts w:hint="eastAsia"/>
                  <w:szCs w:val="21"/>
                </w:rPr>
                <w:t>银行活期存款按照银行活期存款利率取得利息收入。定期存款的存款期分为</w:t>
              </w:r>
              <w:r w:rsidRPr="00D16E78">
                <w:rPr>
                  <w:szCs w:val="21"/>
                </w:rPr>
                <w:t>7天至36个月不等，依本集团的现金需求而定，并按照相应的银行定期存款利率取得利息收入。2019年6月30日，本集团银行3个月及以上定期存款为人民币884,758,882元(2018年12月31日：人民币644,818,630元)。</w:t>
              </w:r>
            </w:p>
            <w:p w:rsidR="00D16E78" w:rsidRPr="00D16E78" w:rsidRDefault="00D16E78" w:rsidP="00B637B2">
              <w:pPr>
                <w:jc w:val="both"/>
                <w:rPr>
                  <w:szCs w:val="21"/>
                </w:rPr>
              </w:pPr>
            </w:p>
            <w:p w:rsidR="00D16E78" w:rsidRPr="00D16E78" w:rsidRDefault="00D16E78" w:rsidP="00B637B2">
              <w:pPr>
                <w:jc w:val="both"/>
                <w:rPr>
                  <w:szCs w:val="21"/>
                </w:rPr>
              </w:pPr>
              <w:r w:rsidRPr="00D16E78">
                <w:rPr>
                  <w:rFonts w:hint="eastAsia"/>
                  <w:szCs w:val="21"/>
                </w:rPr>
                <w:t>于</w:t>
              </w:r>
              <w:r w:rsidRPr="00D16E78">
                <w:rPr>
                  <w:szCs w:val="21"/>
                </w:rPr>
                <w:t>2019年6月30日，本集团的银行存款中，含人民币</w:t>
              </w:r>
              <w:r w:rsidR="00886610" w:rsidRPr="00886610">
                <w:rPr>
                  <w:szCs w:val="21"/>
                </w:rPr>
                <w:t>488,418,554</w:t>
              </w:r>
              <w:r w:rsidRPr="00D16E78">
                <w:rPr>
                  <w:szCs w:val="21"/>
                </w:rPr>
                <w:t>元的包商银行存款。2019年5月24日，中国人民银行、中国银行保险监督管理委员会依法对包商银行实行接管。2019年6月4日，集团与存款保险基金管理有限责任公司、包商银行股份有限公司接管组签署了债权收购与转让协议。</w:t>
              </w:r>
            </w:p>
            <w:p w:rsidR="00D16E78" w:rsidRPr="00D16E78" w:rsidRDefault="00D16E78" w:rsidP="00B637B2">
              <w:pPr>
                <w:jc w:val="both"/>
                <w:rPr>
                  <w:szCs w:val="21"/>
                </w:rPr>
              </w:pPr>
            </w:p>
            <w:p w:rsidR="00ED2DC7" w:rsidRDefault="00D16E78" w:rsidP="00B637B2">
              <w:pPr>
                <w:jc w:val="both"/>
                <w:rPr>
                  <w:szCs w:val="21"/>
                </w:rPr>
              </w:pPr>
              <w:r w:rsidRPr="00D16E78">
                <w:rPr>
                  <w:rFonts w:hint="eastAsia"/>
                  <w:szCs w:val="21"/>
                </w:rPr>
                <w:t>注</w:t>
              </w:r>
              <w:r w:rsidR="008F04CF">
                <w:rPr>
                  <w:szCs w:val="21"/>
                </w:rPr>
                <w:t xml:space="preserve">2. </w:t>
              </w:r>
              <w:r w:rsidRPr="00D16E78">
                <w:rPr>
                  <w:szCs w:val="21"/>
                </w:rPr>
                <w:t>本集团其他货币资金主要为所有权受到限制的履约保函保证金余额共计人民币27,439,950元(2018年12月31日：人民币36,113,236元)，和本集团存放于第三方支付机构的款项人民币</w:t>
              </w:r>
              <w:r w:rsidR="00886610" w:rsidRPr="00886610">
                <w:rPr>
                  <w:szCs w:val="21"/>
                </w:rPr>
                <w:t>921,244</w:t>
              </w:r>
              <w:r w:rsidRPr="00D16E78">
                <w:rPr>
                  <w:szCs w:val="21"/>
                </w:rPr>
                <w:t>元(2018年12月31日：人民币16,864,617元)及之子公司深圳前海用友力合金融服务有限公司存放于上海银行监管户的款项人民币64,507,584元(2018年12月31日：人民币50,488,588元)。</w:t>
              </w:r>
            </w:p>
          </w:sdtContent>
        </w:sdt>
      </w:sdtContent>
    </w:sdt>
    <w:p w:rsidR="00ED2DC7" w:rsidRDefault="00ED2DC7">
      <w:pPr>
        <w:snapToGrid w:val="0"/>
        <w:spacing w:line="240" w:lineRule="atLeast"/>
        <w:ind w:left="1470" w:rightChars="12" w:right="25" w:hangingChars="700" w:hanging="1470"/>
        <w:rPr>
          <w:szCs w:val="21"/>
        </w:rPr>
      </w:pPr>
    </w:p>
    <w:bookmarkStart w:id="93" w:name="_Hlk10466498" w:displacedByCustomXml="next"/>
    <w:sdt>
      <w:sdtPr>
        <w:rPr>
          <w:rFonts w:ascii="宋体" w:hAnsi="宋体" w:cs="宋体" w:hint="eastAsia"/>
          <w:b w:val="0"/>
          <w:bCs w:val="0"/>
          <w:kern w:val="0"/>
          <w:szCs w:val="21"/>
        </w:rPr>
        <w:alias w:val="模块:交易性金融资产"/>
        <w:tag w:val="_SEC_01904024df9944b092034293cedff1b0"/>
        <w:id w:val="1337347143"/>
        <w:lock w:val="sdtLocked"/>
        <w:placeholder>
          <w:docPart w:val="GBC22222222222222222222222222222"/>
        </w:placeholder>
      </w:sdtPr>
      <w:sdtEndPr>
        <w:rPr>
          <w:szCs w:val="24"/>
        </w:rPr>
      </w:sdtEndPr>
      <w:sdtContent>
        <w:p w:rsidR="00ED2DC7" w:rsidRPr="006963DB" w:rsidRDefault="00ED2DC7" w:rsidP="00036BDC">
          <w:pPr>
            <w:pStyle w:val="affffffffffffffffff1"/>
            <w:numPr>
              <w:ilvl w:val="0"/>
              <w:numId w:val="49"/>
            </w:numPr>
            <w:rPr>
              <w:szCs w:val="21"/>
            </w:rPr>
          </w:pPr>
          <w:r w:rsidRPr="006963DB">
            <w:rPr>
              <w:rFonts w:hint="eastAsia"/>
              <w:szCs w:val="21"/>
            </w:rPr>
            <w:t>交易性金融资产</w:t>
          </w:r>
        </w:p>
        <w:sdt>
          <w:sdtPr>
            <w:alias w:val="是否适用：交易性金融资产[双击切换]"/>
            <w:tag w:val="_GBC_11d582474c724741b6bb067e7b29fffd"/>
            <w:id w:val="-1555920396"/>
            <w:lock w:val="sdtContentLocked"/>
            <w:placeholder>
              <w:docPart w:val="GBC22222222222222222222222222222"/>
            </w:placeholder>
          </w:sdtPr>
          <w:sdtContent>
            <w:p w:rsidR="00ED2DC7" w:rsidRDefault="00ED2DC7">
              <w:r>
                <w:fldChar w:fldCharType="begin"/>
              </w:r>
              <w:r w:rsidR="003B0306">
                <w:instrText xml:space="preserve"> MACROBUTTON  SnrToggleCheckbox √适用 </w:instrText>
              </w:r>
              <w:r>
                <w:fldChar w:fldCharType="end"/>
              </w:r>
              <w:r>
                <w:fldChar w:fldCharType="begin"/>
              </w:r>
              <w:r w:rsidR="003B0306">
                <w:instrText xml:space="preserve"> MACROBUTTON  SnrToggleCheckbox □不适用 </w:instrText>
              </w:r>
              <w:r>
                <w:fldChar w:fldCharType="end"/>
              </w:r>
            </w:p>
          </w:sdtContent>
        </w:sdt>
        <w:p w:rsidR="00ED2DC7" w:rsidRDefault="00ED2DC7">
          <w:pPr>
            <w:ind w:left="420" w:right="44"/>
            <w:jc w:val="right"/>
          </w:pPr>
          <w:r>
            <w:rPr>
              <w:rFonts w:hint="eastAsia"/>
            </w:rPr>
            <w:t xml:space="preserve">  </w:t>
          </w:r>
          <w:r>
            <w:t xml:space="preserve">  </w:t>
          </w:r>
          <w:r>
            <w:rPr>
              <w:rFonts w:hint="eastAsia"/>
            </w:rPr>
            <w:t>单位：</w:t>
          </w:r>
          <w:sdt>
            <w:sdtPr>
              <w:rPr>
                <w:rFonts w:hint="eastAsia"/>
              </w:rPr>
              <w:alias w:val="单位：财务附注：交易性金融资产"/>
              <w:tag w:val="_GBC_b2d7dc3f69444771a448a311594f8279"/>
              <w:id w:val="-10703464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hint="eastAsia"/>
                </w:rPr>
                <w:t>元</w:t>
              </w:r>
            </w:sdtContent>
          </w:sdt>
          <w:r>
            <w:rPr>
              <w:rFonts w:hint="eastAsia"/>
            </w:rPr>
            <w:t xml:space="preserve">  币种：</w:t>
          </w:r>
          <w:sdt>
            <w:sdtPr>
              <w:rPr>
                <w:rFonts w:hint="eastAsia"/>
              </w:rPr>
              <w:alias w:val="币种：财务附注：交易性金融资产"/>
              <w:tag w:val="_GBC_88b9006e3e174b8c8076810e5fb1dcc8"/>
              <w:id w:val="-19075883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rPr>
                <w:t>人民币</w:t>
              </w:r>
            </w:sdtContent>
          </w:sdt>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0"/>
            <w:gridCol w:w="2620"/>
            <w:gridCol w:w="2643"/>
          </w:tblGrid>
          <w:tr w:rsidR="00ED2DC7" w:rsidTr="00284F64">
            <w:sdt>
              <w:sdtPr>
                <w:tag w:val="_PLD_180b3e7393aa4b579f23eb84c4a7f3d2"/>
                <w:id w:val="-601021755"/>
                <w:lock w:val="sdtLocked"/>
              </w:sdtPr>
              <w:sdtContent>
                <w:tc>
                  <w:tcPr>
                    <w:tcW w:w="2017" w:type="pct"/>
                    <w:shd w:val="clear" w:color="auto" w:fill="auto"/>
                    <w:vAlign w:val="center"/>
                  </w:tcPr>
                  <w:p w:rsidR="00ED2DC7" w:rsidRDefault="00ED2DC7">
                    <w:pPr>
                      <w:jc w:val="center"/>
                      <w:rPr>
                        <w:szCs w:val="21"/>
                      </w:rPr>
                    </w:pPr>
                    <w:r>
                      <w:rPr>
                        <w:rFonts w:hint="eastAsia"/>
                        <w:szCs w:val="21"/>
                      </w:rPr>
                      <w:t>项目</w:t>
                    </w:r>
                  </w:p>
                </w:tc>
              </w:sdtContent>
            </w:sdt>
            <w:sdt>
              <w:sdtPr>
                <w:tag w:val="_PLD_3c39d37503a349249c106423bdc13d7f"/>
                <w:id w:val="452979151"/>
                <w:lock w:val="sdtLocked"/>
              </w:sdtPr>
              <w:sdtContent>
                <w:tc>
                  <w:tcPr>
                    <w:tcW w:w="1485" w:type="pct"/>
                    <w:shd w:val="clear" w:color="auto" w:fill="auto"/>
                    <w:vAlign w:val="center"/>
                  </w:tcPr>
                  <w:p w:rsidR="00ED2DC7" w:rsidRDefault="00ED2DC7">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d428152cd6a04122a794515fe299ca7f"/>
                <w:id w:val="414212094"/>
                <w:lock w:val="sdtLocked"/>
              </w:sdtPr>
              <w:sdtContent>
                <w:tc>
                  <w:tcPr>
                    <w:tcW w:w="1498" w:type="pct"/>
                    <w:shd w:val="clear" w:color="auto" w:fill="auto"/>
                    <w:vAlign w:val="center"/>
                  </w:tcPr>
                  <w:p w:rsidR="00ED2DC7" w:rsidRDefault="00ED2DC7">
                    <w:pPr>
                      <w:autoSpaceDE w:val="0"/>
                      <w:autoSpaceDN w:val="0"/>
                      <w:adjustRightInd w:val="0"/>
                      <w:snapToGrid w:val="0"/>
                      <w:spacing w:line="240" w:lineRule="atLeast"/>
                      <w:jc w:val="center"/>
                      <w:rPr>
                        <w:szCs w:val="21"/>
                      </w:rPr>
                    </w:pPr>
                    <w:r>
                      <w:rPr>
                        <w:rFonts w:hint="eastAsia"/>
                        <w:szCs w:val="21"/>
                      </w:rPr>
                      <w:t>期初余额</w:t>
                    </w:r>
                  </w:p>
                </w:tc>
              </w:sdtContent>
            </w:sdt>
          </w:tr>
          <w:tr w:rsidR="00CF1C7B" w:rsidTr="00B637B2">
            <w:sdt>
              <w:sdtPr>
                <w:tag w:val="_PLD_43a852b8fe8245cfab7ad57443d101bd"/>
                <w:id w:val="-159549774"/>
                <w:lock w:val="sdtLocked"/>
              </w:sdtPr>
              <w:sdtContent>
                <w:tc>
                  <w:tcPr>
                    <w:tcW w:w="2017" w:type="pct"/>
                    <w:shd w:val="clear" w:color="auto" w:fill="auto"/>
                  </w:tcPr>
                  <w:p w:rsidR="00CF1C7B" w:rsidRDefault="00CF1C7B" w:rsidP="00CF1C7B">
                    <w:pPr>
                      <w:autoSpaceDE w:val="0"/>
                      <w:autoSpaceDN w:val="0"/>
                      <w:adjustRightInd w:val="0"/>
                      <w:rPr>
                        <w:szCs w:val="21"/>
                      </w:rPr>
                    </w:pPr>
                    <w:r>
                      <w:rPr>
                        <w:rFonts w:hint="eastAsia"/>
                        <w:szCs w:val="21"/>
                      </w:rPr>
                      <w:t>以公允价值计量且其变动计入当期损益的金融资产</w:t>
                    </w:r>
                  </w:p>
                </w:tc>
              </w:sdtContent>
            </w:sdt>
            <w:tc>
              <w:tcPr>
                <w:tcW w:w="1485" w:type="pct"/>
                <w:shd w:val="clear" w:color="auto" w:fill="auto"/>
                <w:vAlign w:val="center"/>
              </w:tcPr>
              <w:p w:rsidR="00CF1C7B" w:rsidRPr="00F05521" w:rsidRDefault="00CF1C7B" w:rsidP="00B637B2">
                <w:pPr>
                  <w:jc w:val="right"/>
                </w:pPr>
                <w:r w:rsidRPr="00F05521">
                  <w:t>1,221,635,881</w:t>
                </w:r>
              </w:p>
            </w:tc>
            <w:tc>
              <w:tcPr>
                <w:tcW w:w="1498" w:type="pct"/>
                <w:shd w:val="clear" w:color="auto" w:fill="auto"/>
                <w:vAlign w:val="center"/>
              </w:tcPr>
              <w:p w:rsidR="00CF1C7B" w:rsidRDefault="00CF1C7B" w:rsidP="00B637B2">
                <w:pPr>
                  <w:jc w:val="right"/>
                </w:pPr>
                <w:r w:rsidRPr="00F05521">
                  <w:t>421,886,644</w:t>
                </w:r>
              </w:p>
            </w:tc>
          </w:tr>
          <w:tr w:rsidR="00ED2DC7" w:rsidTr="00284F64">
            <w:sdt>
              <w:sdtPr>
                <w:tag w:val="_PLD_3c173ac5b41e4bf58ef2c9e0d063380f"/>
                <w:id w:val="-615052546"/>
                <w:lock w:val="sdtLocked"/>
              </w:sdtPr>
              <w:sdtContent>
                <w:tc>
                  <w:tcPr>
                    <w:tcW w:w="5000" w:type="pct"/>
                    <w:gridSpan w:val="3"/>
                    <w:shd w:val="clear" w:color="auto" w:fill="auto"/>
                  </w:tcPr>
                  <w:p w:rsidR="00ED2DC7" w:rsidRDefault="00ED2DC7">
                    <w:pPr>
                      <w:rPr>
                        <w:szCs w:val="21"/>
                      </w:rPr>
                    </w:pPr>
                    <w:r>
                      <w:rPr>
                        <w:rFonts w:hint="eastAsia"/>
                        <w:szCs w:val="21"/>
                      </w:rPr>
                      <w:t>其中：</w:t>
                    </w:r>
                  </w:p>
                </w:tc>
              </w:sdtContent>
            </w:sdt>
          </w:tr>
          <w:sdt>
            <w:sdtPr>
              <w:rPr>
                <w:szCs w:val="21"/>
              </w:rPr>
              <w:alias w:val="交易性金融资产中以公允价值计量且其变动计入当期损益的金融资产明细"/>
              <w:tag w:val="_TUP_341bdf9f88e5440c90904d1eb6d01724"/>
              <w:id w:val="-31276301"/>
              <w:lock w:val="sdtLocked"/>
              <w:placeholder>
                <w:docPart w:val="GBC11111111111111111111111111111"/>
              </w:placeholder>
            </w:sdtPr>
            <w:sdtContent>
              <w:tr w:rsidR="00ED2DC7" w:rsidTr="00284F64">
                <w:tc>
                  <w:tcPr>
                    <w:tcW w:w="2017" w:type="pct"/>
                    <w:shd w:val="clear" w:color="auto" w:fill="auto"/>
                  </w:tcPr>
                  <w:p w:rsidR="00ED2DC7" w:rsidRDefault="008F04CF">
                    <w:pPr>
                      <w:autoSpaceDE w:val="0"/>
                      <w:autoSpaceDN w:val="0"/>
                      <w:adjustRightInd w:val="0"/>
                      <w:ind w:firstLineChars="270" w:firstLine="567"/>
                      <w:rPr>
                        <w:szCs w:val="21"/>
                      </w:rPr>
                    </w:pPr>
                    <w:r>
                      <w:rPr>
                        <w:rFonts w:hint="eastAsia"/>
                        <w:szCs w:val="21"/>
                      </w:rPr>
                      <w:t>债务工具投资</w:t>
                    </w:r>
                  </w:p>
                </w:tc>
                <w:tc>
                  <w:tcPr>
                    <w:tcW w:w="1485" w:type="pct"/>
                    <w:shd w:val="clear" w:color="auto" w:fill="auto"/>
                  </w:tcPr>
                  <w:p w:rsidR="00ED2DC7" w:rsidRDefault="008F04CF">
                    <w:pPr>
                      <w:jc w:val="right"/>
                      <w:rPr>
                        <w:szCs w:val="21"/>
                      </w:rPr>
                    </w:pPr>
                    <w:r w:rsidRPr="00F05521">
                      <w:t>1,221,635,881</w:t>
                    </w:r>
                  </w:p>
                </w:tc>
                <w:tc>
                  <w:tcPr>
                    <w:tcW w:w="1498" w:type="pct"/>
                    <w:shd w:val="clear" w:color="auto" w:fill="auto"/>
                  </w:tcPr>
                  <w:p w:rsidR="00ED2DC7" w:rsidRDefault="008F04CF">
                    <w:pPr>
                      <w:jc w:val="right"/>
                      <w:rPr>
                        <w:szCs w:val="21"/>
                      </w:rPr>
                    </w:pPr>
                    <w:r w:rsidRPr="00F05521">
                      <w:t>421,886,644</w:t>
                    </w:r>
                  </w:p>
                </w:tc>
              </w:tr>
            </w:sdtContent>
          </w:sdt>
          <w:sdt>
            <w:sdtPr>
              <w:rPr>
                <w:szCs w:val="21"/>
              </w:rPr>
              <w:alias w:val="交易性金融资产中以公允价值计量且其变动计入当期损益的金融资产明细"/>
              <w:tag w:val="_TUP_341bdf9f88e5440c90904d1eb6d01724"/>
              <w:id w:val="1304884139"/>
              <w:lock w:val="sdtLocked"/>
              <w:placeholder>
                <w:docPart w:val="GBC11111111111111111111111111111"/>
              </w:placeholder>
            </w:sdtPr>
            <w:sdtContent>
              <w:tr w:rsidR="00ED2DC7" w:rsidTr="00284F64">
                <w:tc>
                  <w:tcPr>
                    <w:tcW w:w="2017" w:type="pct"/>
                    <w:shd w:val="clear" w:color="auto" w:fill="auto"/>
                  </w:tcPr>
                  <w:p w:rsidR="00ED2DC7" w:rsidRDefault="00ED2DC7">
                    <w:pPr>
                      <w:autoSpaceDE w:val="0"/>
                      <w:autoSpaceDN w:val="0"/>
                      <w:adjustRightInd w:val="0"/>
                      <w:ind w:firstLineChars="270" w:firstLine="567"/>
                      <w:rPr>
                        <w:szCs w:val="21"/>
                      </w:rPr>
                    </w:pPr>
                  </w:p>
                </w:tc>
                <w:tc>
                  <w:tcPr>
                    <w:tcW w:w="1485" w:type="pct"/>
                    <w:shd w:val="clear" w:color="auto" w:fill="auto"/>
                  </w:tcPr>
                  <w:p w:rsidR="00ED2DC7" w:rsidRDefault="00ED2DC7">
                    <w:pPr>
                      <w:jc w:val="right"/>
                      <w:rPr>
                        <w:szCs w:val="21"/>
                      </w:rPr>
                    </w:pPr>
                  </w:p>
                </w:tc>
                <w:tc>
                  <w:tcPr>
                    <w:tcW w:w="1498" w:type="pct"/>
                    <w:shd w:val="clear" w:color="auto" w:fill="auto"/>
                  </w:tcPr>
                  <w:p w:rsidR="00ED2DC7" w:rsidRDefault="00ED2DC7">
                    <w:pPr>
                      <w:jc w:val="right"/>
                      <w:rPr>
                        <w:szCs w:val="21"/>
                      </w:rPr>
                    </w:pPr>
                  </w:p>
                </w:tc>
              </w:tr>
            </w:sdtContent>
          </w:sdt>
          <w:tr w:rsidR="00ED2DC7" w:rsidTr="00284F64">
            <w:sdt>
              <w:sdtPr>
                <w:tag w:val="_PLD_9e6f2b0aa18a4f4cb5f0852025201dfc"/>
                <w:id w:val="1260561112"/>
                <w:lock w:val="sdtLocked"/>
              </w:sdtPr>
              <w:sdtContent>
                <w:tc>
                  <w:tcPr>
                    <w:tcW w:w="2017" w:type="pct"/>
                    <w:shd w:val="clear" w:color="auto" w:fill="auto"/>
                  </w:tcPr>
                  <w:p w:rsidR="00ED2DC7" w:rsidRDefault="00ED2DC7">
                    <w:pPr>
                      <w:autoSpaceDE w:val="0"/>
                      <w:autoSpaceDN w:val="0"/>
                      <w:adjustRightInd w:val="0"/>
                      <w:rPr>
                        <w:szCs w:val="21"/>
                      </w:rPr>
                    </w:pPr>
                    <w:r>
                      <w:rPr>
                        <w:rFonts w:hint="eastAsia"/>
                        <w:szCs w:val="21"/>
                      </w:rPr>
                      <w:t>指定以公允价值计量且其变动计入当期损益的金融资产</w:t>
                    </w:r>
                  </w:p>
                </w:tc>
              </w:sdtContent>
            </w:sdt>
            <w:tc>
              <w:tcPr>
                <w:tcW w:w="1485" w:type="pct"/>
                <w:shd w:val="clear" w:color="auto" w:fill="auto"/>
              </w:tcPr>
              <w:p w:rsidR="00ED2DC7" w:rsidRDefault="008F04CF">
                <w:pPr>
                  <w:jc w:val="right"/>
                  <w:rPr>
                    <w:szCs w:val="21"/>
                  </w:rPr>
                </w:pPr>
                <w:r>
                  <w:rPr>
                    <w:rFonts w:hint="eastAsia"/>
                    <w:szCs w:val="21"/>
                  </w:rPr>
                  <w:t>-</w:t>
                </w:r>
              </w:p>
            </w:tc>
            <w:tc>
              <w:tcPr>
                <w:tcW w:w="1498" w:type="pct"/>
                <w:shd w:val="clear" w:color="auto" w:fill="auto"/>
              </w:tcPr>
              <w:p w:rsidR="00ED2DC7" w:rsidRDefault="008F04CF">
                <w:pPr>
                  <w:jc w:val="right"/>
                  <w:rPr>
                    <w:szCs w:val="21"/>
                  </w:rPr>
                </w:pPr>
                <w:r>
                  <w:rPr>
                    <w:rFonts w:hint="eastAsia"/>
                    <w:szCs w:val="21"/>
                  </w:rPr>
                  <w:t>-</w:t>
                </w:r>
              </w:p>
            </w:tc>
          </w:tr>
          <w:tr w:rsidR="00ED2DC7" w:rsidTr="00284F64">
            <w:sdt>
              <w:sdtPr>
                <w:tag w:val="_PLD_bd981a7cc7b34c579b38eb2398d385ef"/>
                <w:id w:val="-1705700542"/>
                <w:lock w:val="sdtLocked"/>
              </w:sdtPr>
              <w:sdtContent>
                <w:tc>
                  <w:tcPr>
                    <w:tcW w:w="5000" w:type="pct"/>
                    <w:gridSpan w:val="3"/>
                    <w:shd w:val="clear" w:color="auto" w:fill="auto"/>
                  </w:tcPr>
                  <w:p w:rsidR="00ED2DC7" w:rsidRDefault="00ED2DC7">
                    <w:pPr>
                      <w:rPr>
                        <w:szCs w:val="21"/>
                      </w:rPr>
                    </w:pPr>
                    <w:r>
                      <w:rPr>
                        <w:rFonts w:hint="eastAsia"/>
                        <w:szCs w:val="21"/>
                      </w:rPr>
                      <w:t>其中：</w:t>
                    </w:r>
                  </w:p>
                </w:tc>
              </w:sdtContent>
            </w:sdt>
          </w:tr>
          <w:bookmarkStart w:id="94" w:name="_Hlk533595247" w:displacedByCustomXml="next"/>
          <w:sdt>
            <w:sdtPr>
              <w:rPr>
                <w:szCs w:val="21"/>
              </w:rPr>
              <w:alias w:val="指定为以公允价值计量且其变动计入当期损益的金融资产明细"/>
              <w:tag w:val="_TUP_b9dc744bb8d94c30a883c75ab1b55ed5"/>
              <w:id w:val="383757731"/>
              <w:lock w:val="sdtLocked"/>
              <w:placeholder>
                <w:docPart w:val="GBC11111111111111111111111111111"/>
              </w:placeholder>
            </w:sdtPr>
            <w:sdtContent>
              <w:tr w:rsidR="00ED2DC7" w:rsidTr="00284F64">
                <w:tc>
                  <w:tcPr>
                    <w:tcW w:w="2017" w:type="pct"/>
                    <w:shd w:val="clear" w:color="auto" w:fill="auto"/>
                  </w:tcPr>
                  <w:p w:rsidR="00ED2DC7" w:rsidRDefault="00ED2DC7">
                    <w:pPr>
                      <w:autoSpaceDE w:val="0"/>
                      <w:autoSpaceDN w:val="0"/>
                      <w:adjustRightInd w:val="0"/>
                      <w:ind w:firstLineChars="270" w:firstLine="567"/>
                      <w:rPr>
                        <w:szCs w:val="21"/>
                      </w:rPr>
                    </w:pPr>
                  </w:p>
                </w:tc>
                <w:tc>
                  <w:tcPr>
                    <w:tcW w:w="1485" w:type="pct"/>
                    <w:shd w:val="clear" w:color="auto" w:fill="auto"/>
                  </w:tcPr>
                  <w:p w:rsidR="00ED2DC7" w:rsidRDefault="00ED2DC7">
                    <w:pPr>
                      <w:jc w:val="right"/>
                      <w:rPr>
                        <w:szCs w:val="21"/>
                      </w:rPr>
                    </w:pPr>
                  </w:p>
                </w:tc>
                <w:tc>
                  <w:tcPr>
                    <w:tcW w:w="1498" w:type="pct"/>
                    <w:shd w:val="clear" w:color="auto" w:fill="auto"/>
                  </w:tcPr>
                  <w:p w:rsidR="00ED2DC7" w:rsidRDefault="00ED2DC7">
                    <w:pPr>
                      <w:jc w:val="right"/>
                      <w:rPr>
                        <w:szCs w:val="21"/>
                      </w:rPr>
                    </w:pPr>
                  </w:p>
                </w:tc>
              </w:tr>
            </w:sdtContent>
          </w:sdt>
          <w:sdt>
            <w:sdtPr>
              <w:rPr>
                <w:szCs w:val="21"/>
              </w:rPr>
              <w:alias w:val="指定为以公允价值计量且其变动计入当期损益的金融资产明细"/>
              <w:tag w:val="_TUP_b9dc744bb8d94c30a883c75ab1b55ed5"/>
              <w:id w:val="-1247574351"/>
              <w:lock w:val="sdtLocked"/>
              <w:placeholder>
                <w:docPart w:val="GBC11111111111111111111111111111"/>
              </w:placeholder>
            </w:sdtPr>
            <w:sdtContent>
              <w:tr w:rsidR="00ED2DC7" w:rsidTr="00284F64">
                <w:tc>
                  <w:tcPr>
                    <w:tcW w:w="2017" w:type="pct"/>
                    <w:shd w:val="clear" w:color="auto" w:fill="auto"/>
                  </w:tcPr>
                  <w:p w:rsidR="00ED2DC7" w:rsidRDefault="00ED2DC7">
                    <w:pPr>
                      <w:autoSpaceDE w:val="0"/>
                      <w:autoSpaceDN w:val="0"/>
                      <w:adjustRightInd w:val="0"/>
                      <w:ind w:firstLineChars="270" w:firstLine="567"/>
                      <w:rPr>
                        <w:szCs w:val="21"/>
                      </w:rPr>
                    </w:pPr>
                  </w:p>
                </w:tc>
                <w:tc>
                  <w:tcPr>
                    <w:tcW w:w="1485" w:type="pct"/>
                    <w:shd w:val="clear" w:color="auto" w:fill="auto"/>
                  </w:tcPr>
                  <w:p w:rsidR="00ED2DC7" w:rsidRDefault="00ED2DC7">
                    <w:pPr>
                      <w:jc w:val="right"/>
                      <w:rPr>
                        <w:szCs w:val="21"/>
                      </w:rPr>
                    </w:pPr>
                  </w:p>
                </w:tc>
                <w:tc>
                  <w:tcPr>
                    <w:tcW w:w="1498" w:type="pct"/>
                    <w:shd w:val="clear" w:color="auto" w:fill="auto"/>
                  </w:tcPr>
                  <w:p w:rsidR="00ED2DC7" w:rsidRDefault="00ED2DC7">
                    <w:pPr>
                      <w:jc w:val="right"/>
                      <w:rPr>
                        <w:szCs w:val="21"/>
                      </w:rPr>
                    </w:pPr>
                  </w:p>
                </w:tc>
              </w:tr>
            </w:sdtContent>
          </w:sdt>
          <w:tr w:rsidR="00ED2DC7" w:rsidTr="00284F64">
            <w:bookmarkEnd w:id="94" w:displacedByCustomXml="next"/>
            <w:sdt>
              <w:sdtPr>
                <w:tag w:val="_PLD_b70930027e2847d98ef556a409fe079a"/>
                <w:id w:val="-1754423813"/>
                <w:lock w:val="sdtLocked"/>
              </w:sdtPr>
              <w:sdtContent>
                <w:tc>
                  <w:tcPr>
                    <w:tcW w:w="2017" w:type="pct"/>
                    <w:shd w:val="clear" w:color="auto" w:fill="auto"/>
                    <w:vAlign w:val="center"/>
                  </w:tcPr>
                  <w:p w:rsidR="00ED2DC7" w:rsidRDefault="00ED2DC7">
                    <w:pPr>
                      <w:jc w:val="center"/>
                      <w:rPr>
                        <w:szCs w:val="21"/>
                      </w:rPr>
                    </w:pPr>
                    <w:r>
                      <w:rPr>
                        <w:rFonts w:hint="eastAsia"/>
                        <w:szCs w:val="21"/>
                      </w:rPr>
                      <w:t>合计</w:t>
                    </w:r>
                  </w:p>
                </w:tc>
              </w:sdtContent>
            </w:sdt>
            <w:tc>
              <w:tcPr>
                <w:tcW w:w="1485" w:type="pct"/>
                <w:shd w:val="clear" w:color="auto" w:fill="auto"/>
              </w:tcPr>
              <w:p w:rsidR="00ED2DC7" w:rsidRDefault="008F04CF">
                <w:pPr>
                  <w:jc w:val="right"/>
                  <w:rPr>
                    <w:szCs w:val="21"/>
                  </w:rPr>
                </w:pPr>
                <w:r w:rsidRPr="00F05521">
                  <w:t>1,221,635,881</w:t>
                </w:r>
              </w:p>
            </w:tc>
            <w:tc>
              <w:tcPr>
                <w:tcW w:w="1498" w:type="pct"/>
                <w:shd w:val="clear" w:color="auto" w:fill="auto"/>
              </w:tcPr>
              <w:p w:rsidR="00ED2DC7" w:rsidRDefault="008F04CF">
                <w:pPr>
                  <w:jc w:val="right"/>
                  <w:rPr>
                    <w:szCs w:val="21"/>
                  </w:rPr>
                </w:pPr>
                <w:r w:rsidRPr="00F05521">
                  <w:t>421,886,644</w:t>
                </w:r>
              </w:p>
            </w:tc>
          </w:tr>
        </w:tbl>
        <w:p w:rsidR="00ED2DC7" w:rsidRDefault="00ED2DC7">
          <w:r>
            <w:rPr>
              <w:rFonts w:hint="eastAsia"/>
            </w:rPr>
            <w:t>其他</w:t>
          </w:r>
          <w:r>
            <w:t>说明</w:t>
          </w:r>
          <w:r>
            <w:rPr>
              <w:rFonts w:hint="eastAsia"/>
            </w:rPr>
            <w:t>：</w:t>
          </w:r>
        </w:p>
        <w:sdt>
          <w:sdtPr>
            <w:alias w:val="是否适用：交易性金融资产的说明[双击切换]"/>
            <w:tag w:val="_GBC_b60651a640d94b5c8581bfe4f49d2891"/>
            <w:id w:val="151567969"/>
            <w:lock w:val="sdtContentLocked"/>
            <w:placeholder>
              <w:docPart w:val="GBC22222222222222222222222222222"/>
            </w:placeholder>
          </w:sdtPr>
          <w:sdtContent>
            <w:p w:rsidR="00ED2DC7" w:rsidRDefault="00ED2DC7">
              <w:r>
                <w:fldChar w:fldCharType="begin"/>
              </w:r>
              <w:r w:rsidR="00D16E78">
                <w:instrText xml:space="preserve"> MACROBUTTON  SnrToggleCheckbox √适用 </w:instrText>
              </w:r>
              <w:r>
                <w:fldChar w:fldCharType="end"/>
              </w:r>
              <w:r>
                <w:fldChar w:fldCharType="begin"/>
              </w:r>
              <w:r w:rsidR="00D16E78">
                <w:instrText xml:space="preserve"> MACROBUTTON  SnrToggleCheckbox □不适用 </w:instrText>
              </w:r>
              <w:r>
                <w:fldChar w:fldCharType="end"/>
              </w:r>
            </w:p>
          </w:sdtContent>
        </w:sdt>
        <w:sdt>
          <w:sdtPr>
            <w:rPr>
              <w:szCs w:val="21"/>
            </w:rPr>
            <w:alias w:val="交易性金融资产的说明"/>
            <w:tag w:val="_GBC_7716d50aa4ca46fe928f4f87114b2be1"/>
            <w:id w:val="-364531105"/>
            <w:lock w:val="sdtLocked"/>
            <w:placeholder>
              <w:docPart w:val="GBC22222222222222222222222222222"/>
            </w:placeholder>
          </w:sdtPr>
          <w:sdtContent>
            <w:p w:rsidR="00D16E78" w:rsidRPr="00D16E78" w:rsidRDefault="00D16E78" w:rsidP="00B637B2">
              <w:pPr>
                <w:jc w:val="both"/>
                <w:rPr>
                  <w:szCs w:val="21"/>
                </w:rPr>
              </w:pPr>
              <w:r w:rsidRPr="00D16E78">
                <w:rPr>
                  <w:rFonts w:hint="eastAsia"/>
                  <w:szCs w:val="21"/>
                </w:rPr>
                <w:t>于</w:t>
              </w:r>
              <w:r w:rsidRPr="00D16E78">
                <w:rPr>
                  <w:szCs w:val="21"/>
                </w:rPr>
                <w:t>2019年6月30日，本集团的交易性金融资产中，含人民币650,000,000元的包商银行结构性存款。2019年5月24日，中国人民银行、中国银行保险监督管理委员会依法对包商银行实行接管。2019年6月4日，集团与存款保险基金管理有限责任公司、包商银行股份有限公司接管组签署了债权收购与转让协议。</w:t>
              </w:r>
            </w:p>
            <w:p w:rsidR="00D16E78" w:rsidRPr="00D16E78" w:rsidRDefault="00D16E78" w:rsidP="00B637B2">
              <w:pPr>
                <w:jc w:val="both"/>
                <w:rPr>
                  <w:szCs w:val="21"/>
                </w:rPr>
              </w:pPr>
            </w:p>
            <w:p w:rsidR="00ED2DC7" w:rsidRDefault="00D16E78" w:rsidP="00B637B2">
              <w:pPr>
                <w:jc w:val="both"/>
                <w:rPr>
                  <w:szCs w:val="21"/>
                </w:rPr>
              </w:pPr>
              <w:r w:rsidRPr="00D16E78">
                <w:rPr>
                  <w:rFonts w:hint="eastAsia"/>
                  <w:szCs w:val="21"/>
                </w:rPr>
                <w:t>以公允价值计量且其变动计入当期损益的金融资产的公允价值变动损益信息参见附注</w:t>
              </w:r>
              <w:r w:rsidR="00B637B2">
                <w:rPr>
                  <w:rFonts w:hint="eastAsia"/>
                  <w:szCs w:val="21"/>
                </w:rPr>
                <w:t>七</w:t>
              </w:r>
              <w:r w:rsidRPr="00D16E78">
                <w:rPr>
                  <w:rFonts w:hint="eastAsia"/>
                  <w:szCs w:val="21"/>
                </w:rPr>
                <w:t>、</w:t>
              </w:r>
              <w:r w:rsidR="00B637B2">
                <w:rPr>
                  <w:szCs w:val="21"/>
                </w:rPr>
                <w:t>70</w:t>
              </w:r>
              <w:r w:rsidRPr="00D16E78">
                <w:rPr>
                  <w:szCs w:val="21"/>
                </w:rPr>
                <w:t>。</w:t>
              </w:r>
            </w:p>
          </w:sdtContent>
        </w:sdt>
      </w:sdtContent>
    </w:sdt>
    <w:bookmarkEnd w:id="93" w:displacedByCustomXml="prev"/>
    <w:p w:rsidR="00ED2DC7" w:rsidRDefault="00ED2DC7">
      <w:pPr>
        <w:snapToGrid w:val="0"/>
        <w:spacing w:line="240" w:lineRule="atLeast"/>
        <w:ind w:rightChars="12" w:right="25"/>
        <w:rPr>
          <w:szCs w:val="21"/>
        </w:rPr>
      </w:pPr>
    </w:p>
    <w:sdt>
      <w:sdtPr>
        <w:rPr>
          <w:rFonts w:ascii="宋体" w:hAnsi="宋体" w:cs="宋体" w:hint="eastAsia"/>
          <w:b w:val="0"/>
          <w:bCs w:val="0"/>
          <w:kern w:val="0"/>
          <w:szCs w:val="21"/>
        </w:rPr>
        <w:alias w:val="模块:衍生金融资产"/>
        <w:tag w:val="_GBC_bc314407a9a14c2f8b2b5368638e0a51"/>
        <w:id w:val="1130446223"/>
        <w:lock w:val="sdtLocked"/>
        <w:placeholder>
          <w:docPart w:val="GBC22222222222222222222222222222"/>
        </w:placeholder>
      </w:sdtPr>
      <w:sdtContent>
        <w:p w:rsidR="00ED2DC7" w:rsidRDefault="00ED2DC7" w:rsidP="00036BDC">
          <w:pPr>
            <w:pStyle w:val="affffffffffffffffff1"/>
            <w:numPr>
              <w:ilvl w:val="0"/>
              <w:numId w:val="49"/>
            </w:numPr>
            <w:rPr>
              <w:szCs w:val="21"/>
            </w:rPr>
          </w:pPr>
          <w:r>
            <w:rPr>
              <w:rFonts w:hint="eastAsia"/>
              <w:szCs w:val="21"/>
            </w:rPr>
            <w:t>衍生金融资产</w:t>
          </w:r>
        </w:p>
        <w:sdt>
          <w:sdtPr>
            <w:alias w:val="是否适用：衍生金融资产[双击切换]"/>
            <w:tag w:val="_GBC_7f1559f8ac9a442b81c5479563d9e8bb"/>
            <w:id w:val="-1883546998"/>
            <w:lock w:val="sdtContentLocked"/>
            <w:placeholder>
              <w:docPart w:val="GBC22222222222222222222222222222"/>
            </w:placeholder>
          </w:sdtPr>
          <w:sdtContent>
            <w:p w:rsidR="00D16E78" w:rsidRDefault="00ED2DC7" w:rsidP="00D16E78">
              <w:r>
                <w:fldChar w:fldCharType="begin"/>
              </w:r>
              <w:r w:rsidR="00D16E78">
                <w:instrText xml:space="preserve"> MACROBUTTON  SnrToggleCheckbox □适用 </w:instrText>
              </w:r>
              <w:r>
                <w:fldChar w:fldCharType="end"/>
              </w:r>
              <w:r>
                <w:fldChar w:fldCharType="begin"/>
              </w:r>
              <w:r w:rsidR="00D16E78">
                <w:instrText xml:space="preserve"> MACROBUTTON  SnrToggleCheckbox √不适用 </w:instrText>
              </w:r>
              <w:r>
                <w:fldChar w:fldCharType="end"/>
              </w:r>
            </w:p>
          </w:sdtContent>
        </w:sdt>
        <w:p w:rsidR="00ED2DC7" w:rsidRDefault="000D0A99">
          <w:pPr>
            <w:snapToGrid w:val="0"/>
            <w:spacing w:line="240" w:lineRule="atLeast"/>
            <w:ind w:left="1470" w:rightChars="12" w:right="25" w:hangingChars="700" w:hanging="1470"/>
            <w:rPr>
              <w:szCs w:val="21"/>
            </w:rPr>
          </w:pPr>
        </w:p>
      </w:sdtContent>
    </w:sdt>
    <w:p w:rsidR="00ED2DC7" w:rsidRDefault="00ED2DC7">
      <w:pPr>
        <w:snapToGrid w:val="0"/>
        <w:spacing w:line="240" w:lineRule="atLeast"/>
        <w:ind w:rightChars="12" w:right="25"/>
        <w:rPr>
          <w:szCs w:val="21"/>
        </w:rPr>
      </w:pPr>
    </w:p>
    <w:p w:rsidR="00ED2DC7" w:rsidRDefault="00ED2DC7" w:rsidP="00036BDC">
      <w:pPr>
        <w:pStyle w:val="affffffffffffffffff1"/>
        <w:numPr>
          <w:ilvl w:val="0"/>
          <w:numId w:val="49"/>
        </w:numPr>
      </w:pPr>
      <w:r>
        <w:rPr>
          <w:rFonts w:hint="eastAsia"/>
        </w:rPr>
        <w:t>应收票据</w:t>
      </w:r>
    </w:p>
    <w:sdt>
      <w:sdtPr>
        <w:rPr>
          <w:rFonts w:asciiTheme="minorHAnsi" w:hAnsiTheme="minorHAnsi" w:cs="宋体" w:hint="eastAsia"/>
          <w:b w:val="0"/>
          <w:bCs w:val="0"/>
          <w:kern w:val="0"/>
          <w:szCs w:val="22"/>
        </w:rPr>
        <w:alias w:val="模块:应收票据分类"/>
        <w:tag w:val="_GBC_c1ce1fc5bd0f42bca82cd02f3a6b623f"/>
        <w:id w:val="644544821"/>
        <w:lock w:val="sdtLocked"/>
        <w:placeholder>
          <w:docPart w:val="GBC22222222222222222222222222222"/>
        </w:placeholder>
      </w:sdtPr>
      <w:sdtEndPr>
        <w:rPr>
          <w:rFonts w:ascii="宋体" w:hAnsi="宋体"/>
          <w:szCs w:val="24"/>
        </w:rPr>
      </w:sdtEndPr>
      <w:sdtContent>
        <w:p w:rsidR="00ED2DC7" w:rsidRDefault="00ED2DC7" w:rsidP="00036BDC">
          <w:pPr>
            <w:pStyle w:val="affffffffffffffffff2"/>
            <w:numPr>
              <w:ilvl w:val="3"/>
              <w:numId w:val="50"/>
            </w:numPr>
          </w:pPr>
          <w:r>
            <w:rPr>
              <w:rFonts w:hint="eastAsia"/>
            </w:rPr>
            <w:t>应收票据分类列示</w:t>
          </w:r>
        </w:p>
        <w:sdt>
          <w:sdtPr>
            <w:alias w:val="是否适用：应收票据分类列示[双击切换]"/>
            <w:tag w:val="_GBC_3c32a2809ab3476a93b88a8155fb0be8"/>
            <w:id w:val="-63651531"/>
            <w:lock w:val="sdtContentLocked"/>
            <w:placeholder>
              <w:docPart w:val="GBC22222222222222222222222222222"/>
            </w:placeholder>
          </w:sdtPr>
          <w:sdtContent>
            <w:p w:rsidR="00ED2DC7" w:rsidRDefault="00ED2DC7">
              <w:r>
                <w:fldChar w:fldCharType="begin"/>
              </w:r>
              <w:r w:rsidR="003B0306">
                <w:instrText xml:space="preserve"> MACROBUTTON  SnrToggleCheckbox √适用 </w:instrText>
              </w:r>
              <w:r>
                <w:fldChar w:fldCharType="end"/>
              </w:r>
              <w:r>
                <w:fldChar w:fldCharType="begin"/>
              </w:r>
              <w:r w:rsidR="003B0306">
                <w:instrText xml:space="preserve"> MACROBUTTON  SnrToggleCheckbox □不适用 </w:instrText>
              </w:r>
              <w:r>
                <w:fldChar w:fldCharType="end"/>
              </w:r>
            </w:p>
          </w:sdtContent>
        </w:sdt>
        <w:p w:rsidR="00D079CC" w:rsidRDefault="00ED2DC7">
          <w:pPr>
            <w:snapToGrid w:val="0"/>
            <w:spacing w:line="240" w:lineRule="atLeast"/>
            <w:jc w:val="right"/>
            <w:rPr>
              <w:szCs w:val="21"/>
            </w:rPr>
          </w:pPr>
          <w:r>
            <w:rPr>
              <w:rFonts w:hint="eastAsia"/>
              <w:szCs w:val="21"/>
            </w:rPr>
            <w:t>单位：</w:t>
          </w:r>
          <w:sdt>
            <w:sdtPr>
              <w:rPr>
                <w:rFonts w:hint="eastAsia"/>
                <w:szCs w:val="21"/>
              </w:rPr>
              <w:alias w:val="单位：财务附注：应收票据分类"/>
              <w:tag w:val="_GBC_21d6ba5a9ccb41d7aee707ba343741db"/>
              <w:id w:val="17176960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hint="eastAsia"/>
                  <w:szCs w:val="21"/>
                </w:rPr>
                <w:t>元</w:t>
              </w:r>
            </w:sdtContent>
          </w:sdt>
          <w:r>
            <w:rPr>
              <w:rFonts w:hint="eastAsia"/>
              <w:szCs w:val="21"/>
            </w:rPr>
            <w:t xml:space="preserve">  币种：</w:t>
          </w:r>
          <w:sdt>
            <w:sdtPr>
              <w:rPr>
                <w:rFonts w:hint="eastAsia"/>
                <w:szCs w:val="21"/>
              </w:rPr>
              <w:alias w:val="币种：财务附注：应收票据分类"/>
              <w:tag w:val="_GBC_08bc82a26735413f8516c3d080579822"/>
              <w:id w:val="-7912849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szCs w:val="21"/>
                </w:rPr>
                <w:t>人民币</w:t>
              </w:r>
            </w:sdtContent>
          </w:sdt>
        </w:p>
        <w:tbl>
          <w:tblPr>
            <w:tblStyle w:val="g38"/>
            <w:tblW w:w="5063" w:type="pct"/>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941"/>
            <w:gridCol w:w="3122"/>
            <w:gridCol w:w="2871"/>
          </w:tblGrid>
          <w:tr w:rsidR="00D079CC" w:rsidTr="00134F9D">
            <w:trPr>
              <w:cantSplit/>
            </w:trPr>
            <w:sdt>
              <w:sdtPr>
                <w:tag w:val="_PLD_a48e9b652e5b48b08b05dc5f5dba5744"/>
                <w:id w:val="-1982372553"/>
                <w:lock w:val="sdtLocked"/>
              </w:sdtPr>
              <w:sdtContent>
                <w:tc>
                  <w:tcPr>
                    <w:tcW w:w="1646" w:type="pct"/>
                    <w:vAlign w:val="center"/>
                  </w:tcPr>
                  <w:p w:rsidR="00D079CC" w:rsidRDefault="00D079CC" w:rsidP="00134F9D">
                    <w:pPr>
                      <w:autoSpaceDE w:val="0"/>
                      <w:autoSpaceDN w:val="0"/>
                      <w:adjustRightInd w:val="0"/>
                      <w:snapToGrid w:val="0"/>
                      <w:spacing w:line="240" w:lineRule="atLeast"/>
                      <w:jc w:val="center"/>
                      <w:rPr>
                        <w:szCs w:val="21"/>
                      </w:rPr>
                    </w:pPr>
                    <w:r>
                      <w:rPr>
                        <w:rFonts w:hint="eastAsia"/>
                        <w:szCs w:val="21"/>
                      </w:rPr>
                      <w:t>项目</w:t>
                    </w:r>
                  </w:p>
                </w:tc>
              </w:sdtContent>
            </w:sdt>
            <w:sdt>
              <w:sdtPr>
                <w:tag w:val="_PLD_c6664062fcf84681af8b24fee4722ae5"/>
                <w:id w:val="929474701"/>
                <w:lock w:val="sdtLocked"/>
              </w:sdtPr>
              <w:sdtContent>
                <w:tc>
                  <w:tcPr>
                    <w:tcW w:w="1747" w:type="pct"/>
                    <w:vAlign w:val="center"/>
                  </w:tcPr>
                  <w:p w:rsidR="00D079CC" w:rsidRDefault="00D079CC" w:rsidP="00134F9D">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7d93c99ec70e48ac985c37b2b3046178"/>
                <w:id w:val="-1925796443"/>
                <w:lock w:val="sdtLocked"/>
              </w:sdtPr>
              <w:sdtContent>
                <w:tc>
                  <w:tcPr>
                    <w:tcW w:w="1607" w:type="pct"/>
                    <w:vAlign w:val="center"/>
                  </w:tcPr>
                  <w:p w:rsidR="00D079CC" w:rsidRDefault="00D079CC" w:rsidP="00134F9D">
                    <w:pPr>
                      <w:autoSpaceDE w:val="0"/>
                      <w:autoSpaceDN w:val="0"/>
                      <w:adjustRightInd w:val="0"/>
                      <w:snapToGrid w:val="0"/>
                      <w:spacing w:line="240" w:lineRule="atLeast"/>
                      <w:jc w:val="center"/>
                      <w:rPr>
                        <w:szCs w:val="21"/>
                      </w:rPr>
                    </w:pPr>
                    <w:r>
                      <w:rPr>
                        <w:rFonts w:hint="eastAsia"/>
                        <w:szCs w:val="21"/>
                      </w:rPr>
                      <w:t>期初余额</w:t>
                    </w:r>
                  </w:p>
                </w:tc>
              </w:sdtContent>
            </w:sdt>
          </w:tr>
          <w:tr w:rsidR="00D079CC" w:rsidTr="00B637B2">
            <w:trPr>
              <w:cantSplit/>
            </w:trPr>
            <w:sdt>
              <w:sdtPr>
                <w:tag w:val="_PLD_eccbe8be962b4f1497dbb55db8b28215"/>
                <w:id w:val="-305867311"/>
                <w:lock w:val="sdtLocked"/>
              </w:sdtPr>
              <w:sdtContent>
                <w:tc>
                  <w:tcPr>
                    <w:tcW w:w="1646" w:type="pct"/>
                  </w:tcPr>
                  <w:p w:rsidR="00D079CC" w:rsidRDefault="00D079CC" w:rsidP="00134F9D">
                    <w:pPr>
                      <w:autoSpaceDE w:val="0"/>
                      <w:autoSpaceDN w:val="0"/>
                      <w:adjustRightInd w:val="0"/>
                      <w:snapToGrid w:val="0"/>
                      <w:spacing w:line="240" w:lineRule="atLeast"/>
                      <w:rPr>
                        <w:szCs w:val="21"/>
                      </w:rPr>
                    </w:pPr>
                    <w:r>
                      <w:rPr>
                        <w:rFonts w:hint="eastAsia"/>
                        <w:szCs w:val="21"/>
                      </w:rPr>
                      <w:t>银行承兑票据</w:t>
                    </w:r>
                  </w:p>
                </w:tc>
              </w:sdtContent>
            </w:sdt>
            <w:tc>
              <w:tcPr>
                <w:tcW w:w="1747" w:type="pct"/>
                <w:vAlign w:val="center"/>
              </w:tcPr>
              <w:p w:rsidR="00D079CC" w:rsidRPr="00A64E28" w:rsidRDefault="008F04CF" w:rsidP="00B637B2">
                <w:pPr>
                  <w:jc w:val="right"/>
                </w:pPr>
                <w:r w:rsidRPr="00B322C2">
                  <w:t>82,805,560</w:t>
                </w:r>
              </w:p>
            </w:tc>
            <w:tc>
              <w:tcPr>
                <w:tcW w:w="1607" w:type="pct"/>
                <w:vAlign w:val="center"/>
              </w:tcPr>
              <w:p w:rsidR="00D079CC" w:rsidRDefault="008F04CF" w:rsidP="00B637B2">
                <w:pPr>
                  <w:jc w:val="right"/>
                </w:pPr>
                <w:r w:rsidRPr="00B322C2">
                  <w:t>114,348,848</w:t>
                </w:r>
              </w:p>
            </w:tc>
          </w:tr>
          <w:tr w:rsidR="00D079CC" w:rsidTr="00B637B2">
            <w:trPr>
              <w:cantSplit/>
            </w:trPr>
            <w:sdt>
              <w:sdtPr>
                <w:tag w:val="_PLD_6fc58c64e5c245528e438ae644ab059a"/>
                <w:id w:val="654577032"/>
                <w:lock w:val="sdtLocked"/>
              </w:sdtPr>
              <w:sdtContent>
                <w:tc>
                  <w:tcPr>
                    <w:tcW w:w="1646" w:type="pct"/>
                  </w:tcPr>
                  <w:p w:rsidR="00D079CC" w:rsidRDefault="00D079CC" w:rsidP="00134F9D">
                    <w:pPr>
                      <w:autoSpaceDE w:val="0"/>
                      <w:autoSpaceDN w:val="0"/>
                      <w:adjustRightInd w:val="0"/>
                      <w:snapToGrid w:val="0"/>
                      <w:spacing w:line="240" w:lineRule="atLeast"/>
                      <w:rPr>
                        <w:szCs w:val="21"/>
                      </w:rPr>
                    </w:pPr>
                    <w:r>
                      <w:rPr>
                        <w:rFonts w:hint="eastAsia"/>
                        <w:szCs w:val="21"/>
                      </w:rPr>
                      <w:t>商业承兑票据</w:t>
                    </w:r>
                  </w:p>
                </w:tc>
              </w:sdtContent>
            </w:sdt>
            <w:tc>
              <w:tcPr>
                <w:tcW w:w="1747" w:type="pct"/>
                <w:vAlign w:val="center"/>
              </w:tcPr>
              <w:p w:rsidR="00D079CC" w:rsidRPr="00B322C2" w:rsidRDefault="008F04CF" w:rsidP="00B637B2">
                <w:pPr>
                  <w:jc w:val="right"/>
                </w:pPr>
                <w:r w:rsidRPr="002A141B">
                  <w:t>5,107,132</w:t>
                </w:r>
              </w:p>
            </w:tc>
            <w:tc>
              <w:tcPr>
                <w:tcW w:w="1607" w:type="pct"/>
                <w:vAlign w:val="center"/>
              </w:tcPr>
              <w:p w:rsidR="00D079CC" w:rsidRDefault="008F04CF" w:rsidP="00B637B2">
                <w:pPr>
                  <w:jc w:val="right"/>
                </w:pPr>
                <w:r w:rsidRPr="002A141B">
                  <w:t>953,500</w:t>
                </w:r>
              </w:p>
            </w:tc>
          </w:tr>
          <w:sdt>
            <w:sdtPr>
              <w:rPr>
                <w:rFonts w:asciiTheme="minorHAnsi" w:eastAsiaTheme="minorEastAsia" w:hAnsiTheme="minorHAnsi" w:cstheme="minorBidi" w:hint="eastAsia"/>
                <w:kern w:val="2"/>
                <w:szCs w:val="21"/>
              </w:rPr>
              <w:alias w:val="应收票据明细"/>
              <w:tag w:val="_GBC_4de34716e24c4574bcd2daf82d6da224"/>
              <w:id w:val="2028216369"/>
              <w:lock w:val="sdtLocked"/>
            </w:sdtPr>
            <w:sdtContent>
              <w:tr w:rsidR="00D079CC" w:rsidTr="00B637B2">
                <w:trPr>
                  <w:cantSplit/>
                </w:trPr>
                <w:tc>
                  <w:tcPr>
                    <w:tcW w:w="1646" w:type="pct"/>
                  </w:tcPr>
                  <w:p w:rsidR="00D079CC" w:rsidRDefault="00D079CC" w:rsidP="00134F9D">
                    <w:pPr>
                      <w:autoSpaceDE w:val="0"/>
                      <w:autoSpaceDN w:val="0"/>
                      <w:adjustRightInd w:val="0"/>
                      <w:snapToGrid w:val="0"/>
                      <w:spacing w:line="240" w:lineRule="atLeast"/>
                      <w:rPr>
                        <w:szCs w:val="21"/>
                      </w:rPr>
                    </w:pPr>
                    <w:r w:rsidRPr="00D079CC">
                      <w:rPr>
                        <w:rFonts w:hint="eastAsia"/>
                        <w:szCs w:val="21"/>
                      </w:rPr>
                      <w:t>减：应收票据坏账准备</w:t>
                    </w:r>
                  </w:p>
                </w:tc>
                <w:tc>
                  <w:tcPr>
                    <w:tcW w:w="1747" w:type="pct"/>
                    <w:vAlign w:val="center"/>
                  </w:tcPr>
                  <w:p w:rsidR="00D079CC" w:rsidRDefault="005E617C" w:rsidP="00B637B2">
                    <w:pPr>
                      <w:ind w:right="13"/>
                      <w:jc w:val="right"/>
                      <w:rPr>
                        <w:szCs w:val="21"/>
                      </w:rPr>
                    </w:pPr>
                    <w:r>
                      <w:rPr>
                        <w:rFonts w:hint="eastAsia"/>
                      </w:rPr>
                      <w:t>-</w:t>
                    </w:r>
                    <w:r w:rsidR="00D079CC">
                      <w:t>494,264</w:t>
                    </w:r>
                  </w:p>
                </w:tc>
                <w:tc>
                  <w:tcPr>
                    <w:tcW w:w="1607" w:type="pct"/>
                    <w:vAlign w:val="center"/>
                  </w:tcPr>
                  <w:p w:rsidR="00D079CC" w:rsidRDefault="005E617C" w:rsidP="00B637B2">
                    <w:pPr>
                      <w:ind w:right="13"/>
                      <w:jc w:val="right"/>
                      <w:rPr>
                        <w:szCs w:val="21"/>
                      </w:rPr>
                    </w:pPr>
                    <w:r>
                      <w:rPr>
                        <w:rFonts w:hint="eastAsia"/>
                      </w:rPr>
                      <w:t>-</w:t>
                    </w:r>
                    <w:r w:rsidR="00D079CC">
                      <w:t>292,486</w:t>
                    </w:r>
                  </w:p>
                </w:tc>
              </w:tr>
            </w:sdtContent>
          </w:sdt>
          <w:tr w:rsidR="00D079CC" w:rsidRPr="00D079CC" w:rsidTr="00B637B2">
            <w:trPr>
              <w:cantSplit/>
            </w:trPr>
            <w:sdt>
              <w:sdtPr>
                <w:tag w:val="_PLD_27fe84ac868644fa846c5f158e59921c"/>
                <w:id w:val="1329795086"/>
                <w:lock w:val="sdtLocked"/>
              </w:sdtPr>
              <w:sdtContent>
                <w:tc>
                  <w:tcPr>
                    <w:tcW w:w="1646" w:type="pct"/>
                    <w:vAlign w:val="center"/>
                  </w:tcPr>
                  <w:p w:rsidR="00D079CC" w:rsidRDefault="00D079CC" w:rsidP="00134F9D">
                    <w:pPr>
                      <w:autoSpaceDE w:val="0"/>
                      <w:autoSpaceDN w:val="0"/>
                      <w:adjustRightInd w:val="0"/>
                      <w:snapToGrid w:val="0"/>
                      <w:spacing w:line="240" w:lineRule="atLeast"/>
                      <w:jc w:val="center"/>
                      <w:rPr>
                        <w:szCs w:val="21"/>
                      </w:rPr>
                    </w:pPr>
                    <w:r>
                      <w:rPr>
                        <w:rFonts w:hint="eastAsia"/>
                        <w:szCs w:val="21"/>
                      </w:rPr>
                      <w:t>合计</w:t>
                    </w:r>
                  </w:p>
                </w:tc>
              </w:sdtContent>
            </w:sdt>
            <w:tc>
              <w:tcPr>
                <w:tcW w:w="1747" w:type="pct"/>
                <w:vAlign w:val="center"/>
              </w:tcPr>
              <w:p w:rsidR="00D079CC" w:rsidRPr="00D079CC" w:rsidRDefault="00D079CC" w:rsidP="00B637B2">
                <w:pPr>
                  <w:jc w:val="right"/>
                </w:pPr>
                <w:r w:rsidRPr="00D079CC">
                  <w:t>87,418,428</w:t>
                </w:r>
              </w:p>
            </w:tc>
            <w:tc>
              <w:tcPr>
                <w:tcW w:w="1607" w:type="pct"/>
                <w:vAlign w:val="center"/>
              </w:tcPr>
              <w:p w:rsidR="00D079CC" w:rsidRPr="00D079CC" w:rsidRDefault="00D079CC" w:rsidP="00B637B2">
                <w:pPr>
                  <w:jc w:val="right"/>
                </w:pPr>
                <w:r w:rsidRPr="00D079CC">
                  <w:t>115,009,862</w:t>
                </w:r>
              </w:p>
            </w:tc>
          </w:tr>
        </w:tbl>
        <w:p w:rsidR="00ED2DC7" w:rsidRPr="00D079CC" w:rsidRDefault="000D0A99" w:rsidP="00D079CC"/>
      </w:sdtContent>
    </w:sdt>
    <w:p w:rsidR="007D3CEA" w:rsidRDefault="007D3CEA">
      <w:pPr>
        <w:snapToGrid w:val="0"/>
        <w:spacing w:line="240" w:lineRule="atLeast"/>
        <w:rPr>
          <w:szCs w:val="21"/>
        </w:rPr>
      </w:pPr>
    </w:p>
    <w:sdt>
      <w:sdtPr>
        <w:rPr>
          <w:rFonts w:asciiTheme="minorHAnsi" w:hAnsiTheme="minorHAnsi" w:cs="宋体" w:hint="eastAsia"/>
          <w:b w:val="0"/>
          <w:bCs w:val="0"/>
          <w:kern w:val="0"/>
          <w:szCs w:val="22"/>
        </w:rPr>
        <w:alias w:val="模块:期末公司已质押的应收票据情况"/>
        <w:tag w:val="_GBC_8fdb3f7098324d0d8b9f6e395abf9009"/>
        <w:id w:val="21750507"/>
        <w:lock w:val="sdtLocked"/>
        <w:placeholder>
          <w:docPart w:val="GBC22222222222222222222222222222"/>
        </w:placeholder>
      </w:sdtPr>
      <w:sdtEndPr>
        <w:rPr>
          <w:rFonts w:ascii="Times New Roman" w:hAnsi="Times New Roman" w:cs="Times New Roman"/>
          <w:kern w:val="2"/>
          <w:szCs w:val="24"/>
        </w:rPr>
      </w:sdtEndPr>
      <w:sdtContent>
        <w:p w:rsidR="00ED2DC7" w:rsidRDefault="00ED2DC7" w:rsidP="00036BDC">
          <w:pPr>
            <w:pStyle w:val="affffffffffffffffff2"/>
            <w:numPr>
              <w:ilvl w:val="3"/>
              <w:numId w:val="50"/>
            </w:numPr>
          </w:pPr>
          <w:r>
            <w:t>期末公司已</w:t>
          </w:r>
          <w:r>
            <w:rPr>
              <w:rFonts w:hint="eastAsia"/>
            </w:rPr>
            <w:t>质押</w:t>
          </w:r>
          <w:r>
            <w:t>的应收票据</w:t>
          </w:r>
        </w:p>
        <w:sdt>
          <w:sdtPr>
            <w:alias w:val="是否适用：期末公司已质押的应收票据[双击切换]"/>
            <w:tag w:val="_GBC_3440ef2908e64e51a440106bfa389257"/>
            <w:id w:val="-997573419"/>
            <w:lock w:val="sdtContentLocked"/>
            <w:placeholder>
              <w:docPart w:val="GBC22222222222222222222222222222"/>
            </w:placeholder>
          </w:sdtPr>
          <w:sdtContent>
            <w:p w:rsidR="00ED2DC7" w:rsidRDefault="00ED2DC7" w:rsidP="003B0306">
              <w:pPr>
                <w:rPr>
                  <w:szCs w:val="21"/>
                </w:rPr>
              </w:pPr>
              <w:r>
                <w:fldChar w:fldCharType="begin"/>
              </w:r>
              <w:r w:rsidR="003B0306">
                <w:instrText xml:space="preserve"> MACROBUTTON  SnrToggleCheckbox □适用 </w:instrText>
              </w:r>
              <w:r>
                <w:fldChar w:fldCharType="end"/>
              </w:r>
              <w:r>
                <w:fldChar w:fldCharType="begin"/>
              </w:r>
              <w:r w:rsidR="003B0306">
                <w:instrText xml:space="preserve"> MACROBUTTON  SnrToggleCheckbox √不适用 </w:instrText>
              </w:r>
              <w:r>
                <w:fldChar w:fldCharType="end"/>
              </w:r>
            </w:p>
          </w:sdtContent>
        </w:sdt>
      </w:sdtContent>
    </w:sdt>
    <w:sdt>
      <w:sdtPr>
        <w:rPr>
          <w:rFonts w:asciiTheme="minorHAnsi" w:hAnsiTheme="minorHAnsi" w:cs="宋体" w:hint="eastAsia"/>
          <w:b w:val="0"/>
          <w:bCs w:val="0"/>
          <w:kern w:val="0"/>
          <w:szCs w:val="22"/>
        </w:rPr>
        <w:alias w:val="模块:因出票人无力履约而将票据转为应收账款的票据，以及期末已背书未到期票据"/>
        <w:tag w:val="_GBC_d0a9833415574c7baa9ef176fea05ecf"/>
        <w:id w:val="1185017243"/>
        <w:lock w:val="sdtLocked"/>
        <w:placeholder>
          <w:docPart w:val="GBC22222222222222222222222222222"/>
        </w:placeholder>
      </w:sdtPr>
      <w:sdtEndPr>
        <w:rPr>
          <w:rFonts w:ascii="Times New Roman" w:hAnsi="Times New Roman" w:cs="Times New Roman"/>
          <w:kern w:val="2"/>
          <w:szCs w:val="24"/>
        </w:rPr>
      </w:sdtEndPr>
      <w:sdtContent>
        <w:p w:rsidR="00ED2DC7" w:rsidRDefault="00ED2DC7" w:rsidP="00036BDC">
          <w:pPr>
            <w:pStyle w:val="affffffffffffffffff2"/>
            <w:numPr>
              <w:ilvl w:val="3"/>
              <w:numId w:val="50"/>
            </w:numPr>
            <w:jc w:val="left"/>
          </w:pPr>
          <w:r>
            <w:rPr>
              <w:rFonts w:hint="eastAsia"/>
            </w:rPr>
            <w:t>期末公司已背书或贴现且在资产负债表日尚未到期的应收票据</w:t>
          </w:r>
        </w:p>
        <w:sdt>
          <w:sdtPr>
            <w:alias w:val="是否适用：期末公司已背书或贴现且在资产负债表日尚未到期的应收票据[双击切换]"/>
            <w:tag w:val="_GBC_d04f4c30d18f498d986ce6c934ec761c"/>
            <w:id w:val="-1126316925"/>
            <w:lock w:val="sdtContentLocked"/>
            <w:placeholder>
              <w:docPart w:val="GBC22222222222222222222222222222"/>
            </w:placeholder>
          </w:sdtPr>
          <w:sdtContent>
            <w:p w:rsidR="00ED2DC7" w:rsidRDefault="00ED2DC7" w:rsidP="003B0306">
              <w:pPr>
                <w:rPr>
                  <w:rFonts w:ascii="Times New Roman" w:hAnsi="Times New Roman" w:cs="Times New Roman"/>
                  <w:kern w:val="2"/>
                </w:rPr>
              </w:pPr>
              <w:r>
                <w:fldChar w:fldCharType="begin"/>
              </w:r>
              <w:r w:rsidR="003B0306">
                <w:instrText xml:space="preserve"> MACROBUTTON  SnrToggleCheckbox □适用 </w:instrText>
              </w:r>
              <w:r>
                <w:fldChar w:fldCharType="end"/>
              </w:r>
              <w:r>
                <w:fldChar w:fldCharType="begin"/>
              </w:r>
              <w:r w:rsidR="003B0306">
                <w:instrText xml:space="preserve"> MACROBUTTON  SnrToggleCheckbox √不适用 </w:instrText>
              </w:r>
              <w:r>
                <w:fldChar w:fldCharType="end"/>
              </w:r>
            </w:p>
          </w:sdtContent>
        </w:sdt>
      </w:sdtContent>
    </w:sdt>
    <w:sdt>
      <w:sdtPr>
        <w:rPr>
          <w:rFonts w:ascii="Times New Roman" w:hAnsi="Times New Roman" w:cs="宋体" w:hint="eastAsia"/>
          <w:b w:val="0"/>
          <w:bCs w:val="0"/>
          <w:kern w:val="0"/>
          <w:szCs w:val="24"/>
        </w:rPr>
        <w:alias w:val="模块:期末公司因出票人无力履约而将其转为应收账款的票据"/>
        <w:tag w:val="_GBC_83d7650885dc43898bcaaa7b53608492"/>
        <w:id w:val="800882322"/>
        <w:lock w:val="sdtLocked"/>
        <w:placeholder>
          <w:docPart w:val="GBC22222222222222222222222222222"/>
        </w:placeholder>
      </w:sdtPr>
      <w:sdtContent>
        <w:p w:rsidR="00ED2DC7" w:rsidRDefault="00ED2DC7" w:rsidP="00036BDC">
          <w:pPr>
            <w:pStyle w:val="affffffffffffffffff2"/>
            <w:numPr>
              <w:ilvl w:val="3"/>
              <w:numId w:val="50"/>
            </w:numPr>
            <w:jc w:val="left"/>
            <w:rPr>
              <w:rFonts w:ascii="Times New Roman" w:hAnsi="Times New Roman"/>
            </w:rPr>
          </w:pPr>
          <w:r>
            <w:rPr>
              <w:rFonts w:ascii="Times New Roman" w:hAnsi="Times New Roman" w:hint="eastAsia"/>
            </w:rPr>
            <w:t>期末公司因出票人</w:t>
          </w:r>
          <w:r>
            <w:rPr>
              <w:rFonts w:hint="eastAsia"/>
            </w:rPr>
            <w:t>未</w:t>
          </w:r>
          <w:r>
            <w:rPr>
              <w:rFonts w:ascii="Times New Roman" w:hAnsi="Times New Roman" w:hint="eastAsia"/>
            </w:rPr>
            <w:t>履约而将其转应收账款的票据</w:t>
          </w:r>
        </w:p>
        <w:sdt>
          <w:sdtPr>
            <w:alias w:val="是否适用：期末公司因出票人未履约而将其转应收账款的票据[双击切换]"/>
            <w:tag w:val="_GBC_11366a7f124045f8a578f129009f9b83"/>
            <w:id w:val="-1144588357"/>
            <w:lock w:val="sdtContentLocked"/>
            <w:placeholder>
              <w:docPart w:val="GBC22222222222222222222222222222"/>
            </w:placeholder>
          </w:sdtPr>
          <w:sdtContent>
            <w:p w:rsidR="00ED2DC7" w:rsidRDefault="00ED2DC7" w:rsidP="003B0306">
              <w:pPr>
                <w:rPr>
                  <w:rFonts w:ascii="Times New Roman" w:hAnsi="Times New Roman"/>
                </w:rPr>
              </w:pPr>
              <w:r>
                <w:fldChar w:fldCharType="begin"/>
              </w:r>
              <w:r w:rsidR="003B0306">
                <w:instrText xml:space="preserve"> MACROBUTTON  SnrToggleCheckbox □适用 </w:instrText>
              </w:r>
              <w:r>
                <w:fldChar w:fldCharType="end"/>
              </w:r>
              <w:r>
                <w:fldChar w:fldCharType="begin"/>
              </w:r>
              <w:r w:rsidR="003B0306">
                <w:instrText xml:space="preserve"> MACROBUTTON  SnrToggleCheckbox √不适用 </w:instrText>
              </w:r>
              <w:r>
                <w:fldChar w:fldCharType="end"/>
              </w:r>
            </w:p>
          </w:sdtContent>
        </w:sdt>
      </w:sdtContent>
    </w:sdt>
    <w:p w:rsidR="00ED2DC7" w:rsidRDefault="00ED2DC7" w:rsidP="00036BDC">
      <w:pPr>
        <w:pStyle w:val="affffffffffffffffff2"/>
        <w:numPr>
          <w:ilvl w:val="3"/>
          <w:numId w:val="50"/>
        </w:numPr>
        <w:jc w:val="left"/>
      </w:pPr>
      <w:bookmarkStart w:id="95" w:name="_Hlk10466572"/>
      <w:r>
        <w:rPr>
          <w:rFonts w:hint="eastAsia"/>
        </w:rPr>
        <w:t>按坏账计提方法分类披露</w:t>
      </w:r>
    </w:p>
    <w:sdt>
      <w:sdtPr>
        <w:alias w:val="是否适用：应收票据按坏账计提方法分类披露[双击切换]"/>
        <w:tag w:val="_GBC_064ae6cf552d47d6abf4ad2b5c55d254"/>
        <w:id w:val="214624397"/>
        <w:lock w:val="sdtContentLocked"/>
        <w:placeholder>
          <w:docPart w:val="GBC22222222222222222222222222222"/>
        </w:placeholder>
      </w:sdtPr>
      <w:sdtContent>
        <w:p w:rsidR="003B0306" w:rsidRDefault="00ED2DC7" w:rsidP="003B0306">
          <w:r>
            <w:fldChar w:fldCharType="begin"/>
          </w:r>
          <w:r w:rsidR="003B0306">
            <w:instrText xml:space="preserve"> MACROBUTTON  SnrToggleCheckbox □适用 </w:instrText>
          </w:r>
          <w:r>
            <w:fldChar w:fldCharType="end"/>
          </w:r>
          <w:r>
            <w:fldChar w:fldCharType="begin"/>
          </w:r>
          <w:r w:rsidR="003B0306">
            <w:instrText xml:space="preserve"> MACROBUTTON  SnrToggleCheckbox √不适用 </w:instrText>
          </w:r>
          <w:r>
            <w:fldChar w:fldCharType="end"/>
          </w:r>
        </w:p>
      </w:sdtContent>
    </w:sdt>
    <w:bookmarkEnd w:id="95" w:displacedByCustomXml="prev"/>
    <w:bookmarkStart w:id="96" w:name="_Hlk10466806" w:displacedByCustomXml="next"/>
    <w:sdt>
      <w:sdtPr>
        <w:rPr>
          <w:rFonts w:ascii="宋体" w:hAnsi="宋体" w:cs="宋体" w:hint="eastAsia"/>
          <w:b w:val="0"/>
          <w:bCs w:val="0"/>
          <w:kern w:val="0"/>
          <w:szCs w:val="24"/>
        </w:rPr>
        <w:alias w:val="模块:坏账准备的情况"/>
        <w:tag w:val="_SEC_2937dc20348046e2a68416bd27ff1b82"/>
        <w:id w:val="1160891929"/>
        <w:lock w:val="sdtLocked"/>
        <w:placeholder>
          <w:docPart w:val="GBC22222222222222222222222222222"/>
        </w:placeholder>
      </w:sdtPr>
      <w:sdtEndPr>
        <w:rPr>
          <w:rFonts w:hint="default"/>
        </w:rPr>
      </w:sdtEndPr>
      <w:sdtContent>
        <w:p w:rsidR="00ED2DC7" w:rsidRDefault="00ED2DC7" w:rsidP="00036BDC">
          <w:pPr>
            <w:pStyle w:val="affffffffffffffffff2"/>
            <w:numPr>
              <w:ilvl w:val="3"/>
              <w:numId w:val="50"/>
            </w:numPr>
            <w:jc w:val="left"/>
          </w:pPr>
          <w:r>
            <w:rPr>
              <w:rFonts w:hint="eastAsia"/>
            </w:rPr>
            <w:t>坏账准备的情况</w:t>
          </w:r>
        </w:p>
        <w:sdt>
          <w:sdtPr>
            <w:alias w:val="是否适用：应收票据坏账准备情况[双击切换]"/>
            <w:tag w:val="_GBC_065ad100e7534037877c628171a7ddc1"/>
            <w:id w:val="-967505135"/>
            <w:lock w:val="sdtContentLocked"/>
            <w:placeholder>
              <w:docPart w:val="GBC22222222222222222222222222222"/>
            </w:placeholder>
          </w:sdtPr>
          <w:sdtContent>
            <w:p w:rsidR="00B637B2" w:rsidRDefault="00ED2DC7" w:rsidP="00B637B2">
              <w:r>
                <w:fldChar w:fldCharType="begin"/>
              </w:r>
              <w:r w:rsidR="008F04CF">
                <w:instrText xml:space="preserve"> MACROBUTTON  SnrToggleCheckbox √适用 </w:instrText>
              </w:r>
              <w:r>
                <w:fldChar w:fldCharType="end"/>
              </w:r>
              <w:r>
                <w:fldChar w:fldCharType="begin"/>
              </w:r>
              <w:r w:rsidR="008F04CF">
                <w:instrText xml:space="preserve"> MACROBUTTON  SnrToggleCheckbox □不适用 </w:instrText>
              </w:r>
              <w:r>
                <w:fldChar w:fldCharType="end"/>
              </w:r>
            </w:p>
          </w:sdtContent>
        </w:sdt>
        <w:p w:rsidR="00B637B2" w:rsidRDefault="008F04CF">
          <w:pPr>
            <w:pStyle w:val="afffffffffffffff"/>
            <w:snapToGrid w:val="0"/>
            <w:spacing w:line="240" w:lineRule="atLeast"/>
            <w:ind w:left="425" w:firstLineChars="0" w:firstLine="0"/>
            <w:jc w:val="right"/>
            <w:rPr>
              <w:szCs w:val="21"/>
            </w:rPr>
          </w:pPr>
          <w:r>
            <w:rPr>
              <w:rFonts w:hint="eastAsia"/>
              <w:szCs w:val="21"/>
            </w:rPr>
            <w:t>单位：</w:t>
          </w:r>
          <w:sdt>
            <w:sdtPr>
              <w:rPr>
                <w:rFonts w:hint="eastAsia"/>
                <w:szCs w:val="21"/>
              </w:rPr>
              <w:alias w:val="单位：应收票据坏账准备情况"/>
              <w:tag w:val="_GBC_95647fcf2f8341ebb79aa1e1a601a5a5"/>
              <w:id w:val="-863749497"/>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应收票据坏账准备情况"/>
              <w:tag w:val="_GBC_de9986579bac4050bd2468610d3f77d7"/>
              <w:id w:val="-188478384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3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672"/>
            <w:gridCol w:w="1406"/>
            <w:gridCol w:w="1525"/>
            <w:gridCol w:w="1408"/>
            <w:gridCol w:w="1406"/>
            <w:gridCol w:w="1406"/>
          </w:tblGrid>
          <w:tr w:rsidR="00B637B2" w:rsidTr="00284F64">
            <w:sdt>
              <w:sdtPr>
                <w:tag w:val="_PLD_5e8a3eb39253438ba157e862d0c6f032"/>
                <w:id w:val="-929345103"/>
                <w:lock w:val="sdtLocked"/>
              </w:sdtPr>
              <w:sdtContent>
                <w:tc>
                  <w:tcPr>
                    <w:tcW w:w="947" w:type="pct"/>
                    <w:vMerge w:val="restart"/>
                    <w:shd w:val="clear" w:color="auto" w:fill="FFFFFF"/>
                    <w:vAlign w:val="center"/>
                  </w:tcPr>
                  <w:p w:rsidR="00B637B2" w:rsidRDefault="008F04CF">
                    <w:pPr>
                      <w:widowControl w:val="0"/>
                      <w:jc w:val="center"/>
                    </w:pPr>
                    <w:r>
                      <w:t>类别</w:t>
                    </w:r>
                  </w:p>
                </w:tc>
              </w:sdtContent>
            </w:sdt>
            <w:sdt>
              <w:sdtPr>
                <w:tag w:val="_PLD_d540f9827b90479dbdd6ad721aed949d"/>
                <w:id w:val="1156877714"/>
                <w:lock w:val="sdtLocked"/>
              </w:sdtPr>
              <w:sdtContent>
                <w:tc>
                  <w:tcPr>
                    <w:tcW w:w="797" w:type="pct"/>
                    <w:vMerge w:val="restart"/>
                    <w:shd w:val="clear" w:color="auto" w:fill="FFFFFF"/>
                    <w:vAlign w:val="center"/>
                  </w:tcPr>
                  <w:p w:rsidR="00B637B2" w:rsidRDefault="008F04CF">
                    <w:pPr>
                      <w:widowControl w:val="0"/>
                      <w:jc w:val="center"/>
                    </w:pPr>
                    <w:r>
                      <w:t>期初余额</w:t>
                    </w:r>
                  </w:p>
                </w:tc>
              </w:sdtContent>
            </w:sdt>
            <w:sdt>
              <w:sdtPr>
                <w:tag w:val="_PLD_16251d2db90d410c97382dc5b9878c4c"/>
                <w:id w:val="1784530072"/>
                <w:lock w:val="sdtLocked"/>
              </w:sdtPr>
              <w:sdtContent>
                <w:tc>
                  <w:tcPr>
                    <w:tcW w:w="2459" w:type="pct"/>
                    <w:gridSpan w:val="3"/>
                    <w:shd w:val="clear" w:color="auto" w:fill="FFFFFF"/>
                    <w:vAlign w:val="center"/>
                  </w:tcPr>
                  <w:p w:rsidR="00B637B2" w:rsidRDefault="008F04CF">
                    <w:pPr>
                      <w:widowControl w:val="0"/>
                      <w:jc w:val="center"/>
                    </w:pPr>
                    <w:r>
                      <w:rPr>
                        <w:rFonts w:hint="eastAsia"/>
                      </w:rPr>
                      <w:t>本期变动</w:t>
                    </w:r>
                    <w:r>
                      <w:t>金额</w:t>
                    </w:r>
                  </w:p>
                </w:tc>
              </w:sdtContent>
            </w:sdt>
            <w:sdt>
              <w:sdtPr>
                <w:tag w:val="_PLD_9ea180a777a44f74a7617c28ba0aec4a"/>
                <w:id w:val="1842729967"/>
                <w:lock w:val="sdtLocked"/>
              </w:sdtPr>
              <w:sdtContent>
                <w:tc>
                  <w:tcPr>
                    <w:tcW w:w="797" w:type="pct"/>
                    <w:vMerge w:val="restart"/>
                    <w:shd w:val="clear" w:color="auto" w:fill="FFFFFF"/>
                    <w:vAlign w:val="center"/>
                  </w:tcPr>
                  <w:p w:rsidR="00B637B2" w:rsidRDefault="008F04CF">
                    <w:pPr>
                      <w:widowControl w:val="0"/>
                      <w:jc w:val="center"/>
                    </w:pPr>
                    <w:r>
                      <w:t>期末余额</w:t>
                    </w:r>
                  </w:p>
                </w:tc>
              </w:sdtContent>
            </w:sdt>
          </w:tr>
          <w:tr w:rsidR="00B637B2" w:rsidTr="00284F64">
            <w:tc>
              <w:tcPr>
                <w:tcW w:w="947" w:type="pct"/>
                <w:vMerge/>
                <w:shd w:val="clear" w:color="auto" w:fill="FFFFFF"/>
              </w:tcPr>
              <w:p w:rsidR="00B637B2" w:rsidRDefault="00B637B2">
                <w:pPr>
                  <w:widowControl w:val="0"/>
                  <w:jc w:val="center"/>
                </w:pPr>
              </w:p>
            </w:tc>
            <w:tc>
              <w:tcPr>
                <w:tcW w:w="797" w:type="pct"/>
                <w:vMerge/>
                <w:shd w:val="clear" w:color="auto" w:fill="FFFFFF"/>
              </w:tcPr>
              <w:p w:rsidR="00B637B2" w:rsidRDefault="00B637B2">
                <w:pPr>
                  <w:widowControl w:val="0"/>
                  <w:jc w:val="right"/>
                </w:pPr>
              </w:p>
            </w:tc>
            <w:sdt>
              <w:sdtPr>
                <w:tag w:val="_PLD_9d08a0ae6cbd403495aadbe5ce20dd10"/>
                <w:id w:val="-452173833"/>
                <w:lock w:val="sdtLocked"/>
              </w:sdtPr>
              <w:sdtContent>
                <w:tc>
                  <w:tcPr>
                    <w:tcW w:w="864" w:type="pct"/>
                    <w:shd w:val="clear" w:color="auto" w:fill="FFFFFF"/>
                    <w:vAlign w:val="center"/>
                  </w:tcPr>
                  <w:p w:rsidR="00B637B2" w:rsidRDefault="008F04CF">
                    <w:pPr>
                      <w:widowControl w:val="0"/>
                      <w:jc w:val="center"/>
                    </w:pPr>
                    <w:r>
                      <w:t>计提</w:t>
                    </w:r>
                  </w:p>
                </w:tc>
              </w:sdtContent>
            </w:sdt>
            <w:sdt>
              <w:sdtPr>
                <w:tag w:val="_PLD_23d614f8ef694c45b5297d78630d2361"/>
                <w:id w:val="-513300432"/>
                <w:lock w:val="sdtLocked"/>
              </w:sdtPr>
              <w:sdtContent>
                <w:tc>
                  <w:tcPr>
                    <w:tcW w:w="798" w:type="pct"/>
                    <w:shd w:val="clear" w:color="auto" w:fill="FFFFFF"/>
                    <w:vAlign w:val="center"/>
                  </w:tcPr>
                  <w:p w:rsidR="00B637B2" w:rsidRDefault="008F04CF">
                    <w:pPr>
                      <w:widowControl w:val="0"/>
                      <w:jc w:val="center"/>
                    </w:pPr>
                    <w:r>
                      <w:rPr>
                        <w:rFonts w:hint="eastAsia"/>
                      </w:rPr>
                      <w:t>收回或转回</w:t>
                    </w:r>
                  </w:p>
                </w:tc>
              </w:sdtContent>
            </w:sdt>
            <w:tc>
              <w:tcPr>
                <w:tcW w:w="797" w:type="pct"/>
                <w:shd w:val="clear" w:color="auto" w:fill="FFFFFF"/>
                <w:vAlign w:val="center"/>
              </w:tcPr>
              <w:sdt>
                <w:sdtPr>
                  <w:rPr>
                    <w:rFonts w:hint="eastAsia"/>
                  </w:rPr>
                  <w:tag w:val="_PLD_a92229e00a104d118039b37bce777e92"/>
                  <w:id w:val="-1893953004"/>
                  <w:lock w:val="sdtLocked"/>
                </w:sdtPr>
                <w:sdtContent>
                  <w:p w:rsidR="00B637B2" w:rsidRDefault="008F04CF">
                    <w:pPr>
                      <w:widowControl w:val="0"/>
                      <w:jc w:val="center"/>
                    </w:pPr>
                    <w:r>
                      <w:rPr>
                        <w:rFonts w:hint="eastAsia"/>
                      </w:rPr>
                      <w:t>转销或核销</w:t>
                    </w:r>
                  </w:p>
                </w:sdtContent>
              </w:sdt>
            </w:tc>
            <w:tc>
              <w:tcPr>
                <w:tcW w:w="797" w:type="pct"/>
                <w:vMerge/>
                <w:shd w:val="clear" w:color="auto" w:fill="FFFFFF"/>
              </w:tcPr>
              <w:p w:rsidR="00B637B2" w:rsidRDefault="00B637B2">
                <w:pPr>
                  <w:widowControl w:val="0"/>
                  <w:jc w:val="right"/>
                </w:pPr>
              </w:p>
            </w:tc>
          </w:tr>
          <w:sdt>
            <w:sdtPr>
              <w:alias w:val="应收票据坏账准备明细"/>
              <w:tag w:val="_TUP_e2d30f7c998545b1a3d60aac4749e5b0"/>
              <w:id w:val="1877802230"/>
              <w:lock w:val="sdtLocked"/>
            </w:sdtPr>
            <w:sdtContent>
              <w:tr w:rsidR="00B637B2" w:rsidTr="00284F64">
                <w:tc>
                  <w:tcPr>
                    <w:tcW w:w="947" w:type="pct"/>
                    <w:shd w:val="clear" w:color="auto" w:fill="auto"/>
                  </w:tcPr>
                  <w:p w:rsidR="00B637B2" w:rsidRDefault="008F04CF">
                    <w:pPr>
                      <w:widowControl w:val="0"/>
                    </w:pPr>
                    <w:r>
                      <w:rPr>
                        <w:rFonts w:hint="eastAsia"/>
                      </w:rPr>
                      <w:t>应收票据</w:t>
                    </w:r>
                  </w:p>
                </w:tc>
                <w:tc>
                  <w:tcPr>
                    <w:tcW w:w="797" w:type="pct"/>
                    <w:shd w:val="clear" w:color="auto" w:fill="auto"/>
                  </w:tcPr>
                  <w:p w:rsidR="00B637B2" w:rsidRDefault="008F04CF">
                    <w:pPr>
                      <w:widowControl w:val="0"/>
                      <w:jc w:val="right"/>
                    </w:pPr>
                    <w:r w:rsidRPr="002A141B">
                      <w:rPr>
                        <w:rFonts w:cs="Arial"/>
                        <w:color w:val="000000"/>
                        <w:sz w:val="20"/>
                        <w:szCs w:val="20"/>
                      </w:rPr>
                      <w:t>292,486</w:t>
                    </w:r>
                  </w:p>
                </w:tc>
                <w:tc>
                  <w:tcPr>
                    <w:tcW w:w="864" w:type="pct"/>
                    <w:shd w:val="clear" w:color="auto" w:fill="auto"/>
                  </w:tcPr>
                  <w:p w:rsidR="00B637B2" w:rsidRDefault="008F04CF">
                    <w:pPr>
                      <w:widowControl w:val="0"/>
                      <w:jc w:val="right"/>
                    </w:pPr>
                    <w:r w:rsidRPr="002A141B">
                      <w:rPr>
                        <w:rFonts w:cs="Arial"/>
                        <w:sz w:val="20"/>
                        <w:szCs w:val="20"/>
                      </w:rPr>
                      <w:t>201,778</w:t>
                    </w:r>
                  </w:p>
                </w:tc>
                <w:tc>
                  <w:tcPr>
                    <w:tcW w:w="798" w:type="pct"/>
                    <w:shd w:val="clear" w:color="auto" w:fill="auto"/>
                  </w:tcPr>
                  <w:p w:rsidR="00B637B2" w:rsidRDefault="008F04CF">
                    <w:pPr>
                      <w:widowControl w:val="0"/>
                      <w:jc w:val="right"/>
                    </w:pPr>
                    <w:r>
                      <w:rPr>
                        <w:rFonts w:hint="eastAsia"/>
                      </w:rPr>
                      <w:t>-</w:t>
                    </w:r>
                  </w:p>
                </w:tc>
                <w:tc>
                  <w:tcPr>
                    <w:tcW w:w="797" w:type="pct"/>
                  </w:tcPr>
                  <w:p w:rsidR="00B637B2" w:rsidRDefault="008F04CF">
                    <w:pPr>
                      <w:widowControl w:val="0"/>
                      <w:jc w:val="right"/>
                    </w:pPr>
                    <w:r>
                      <w:rPr>
                        <w:rFonts w:hint="eastAsia"/>
                      </w:rPr>
                      <w:t>-</w:t>
                    </w:r>
                  </w:p>
                </w:tc>
                <w:tc>
                  <w:tcPr>
                    <w:tcW w:w="797" w:type="pct"/>
                    <w:shd w:val="clear" w:color="auto" w:fill="auto"/>
                  </w:tcPr>
                  <w:p w:rsidR="00B637B2" w:rsidRDefault="008F04CF">
                    <w:pPr>
                      <w:widowControl w:val="0"/>
                      <w:jc w:val="right"/>
                    </w:pPr>
                    <w:r w:rsidRPr="002A141B">
                      <w:rPr>
                        <w:rFonts w:cs="Arial"/>
                        <w:color w:val="000000"/>
                        <w:sz w:val="20"/>
                        <w:szCs w:val="20"/>
                      </w:rPr>
                      <w:t>494,264</w:t>
                    </w:r>
                  </w:p>
                </w:tc>
              </w:tr>
            </w:sdtContent>
          </w:sdt>
          <w:sdt>
            <w:sdtPr>
              <w:alias w:val="应收票据坏账准备明细"/>
              <w:tag w:val="_TUP_e2d30f7c998545b1a3d60aac4749e5b0"/>
              <w:id w:val="-584386830"/>
              <w:lock w:val="sdtLocked"/>
            </w:sdtPr>
            <w:sdtContent>
              <w:tr w:rsidR="00B637B2" w:rsidTr="00284F64">
                <w:tc>
                  <w:tcPr>
                    <w:tcW w:w="947" w:type="pct"/>
                    <w:shd w:val="clear" w:color="auto" w:fill="auto"/>
                  </w:tcPr>
                  <w:p w:rsidR="00B637B2" w:rsidRDefault="00B637B2">
                    <w:pPr>
                      <w:widowControl w:val="0"/>
                    </w:pPr>
                  </w:p>
                </w:tc>
                <w:tc>
                  <w:tcPr>
                    <w:tcW w:w="797" w:type="pct"/>
                    <w:shd w:val="clear" w:color="auto" w:fill="auto"/>
                  </w:tcPr>
                  <w:p w:rsidR="00B637B2" w:rsidRDefault="00B637B2">
                    <w:pPr>
                      <w:widowControl w:val="0"/>
                      <w:jc w:val="right"/>
                    </w:pPr>
                  </w:p>
                </w:tc>
                <w:tc>
                  <w:tcPr>
                    <w:tcW w:w="864" w:type="pct"/>
                    <w:shd w:val="clear" w:color="auto" w:fill="auto"/>
                  </w:tcPr>
                  <w:p w:rsidR="00B637B2" w:rsidRDefault="00B637B2">
                    <w:pPr>
                      <w:widowControl w:val="0"/>
                      <w:jc w:val="right"/>
                    </w:pPr>
                  </w:p>
                </w:tc>
                <w:tc>
                  <w:tcPr>
                    <w:tcW w:w="798" w:type="pct"/>
                    <w:shd w:val="clear" w:color="auto" w:fill="auto"/>
                  </w:tcPr>
                  <w:p w:rsidR="00B637B2" w:rsidRDefault="00B637B2">
                    <w:pPr>
                      <w:widowControl w:val="0"/>
                      <w:jc w:val="right"/>
                    </w:pPr>
                  </w:p>
                </w:tc>
                <w:tc>
                  <w:tcPr>
                    <w:tcW w:w="797" w:type="pct"/>
                  </w:tcPr>
                  <w:p w:rsidR="00B637B2" w:rsidRDefault="00B637B2">
                    <w:pPr>
                      <w:widowControl w:val="0"/>
                      <w:jc w:val="right"/>
                    </w:pPr>
                  </w:p>
                </w:tc>
                <w:tc>
                  <w:tcPr>
                    <w:tcW w:w="797" w:type="pct"/>
                    <w:shd w:val="clear" w:color="auto" w:fill="auto"/>
                  </w:tcPr>
                  <w:p w:rsidR="00B637B2" w:rsidRDefault="00B637B2">
                    <w:pPr>
                      <w:widowControl w:val="0"/>
                      <w:jc w:val="right"/>
                    </w:pPr>
                  </w:p>
                </w:tc>
              </w:tr>
            </w:sdtContent>
          </w:sdt>
          <w:tr w:rsidR="00B637B2" w:rsidTr="00284F64">
            <w:sdt>
              <w:sdtPr>
                <w:tag w:val="_PLD_c5f50d678eb14f41b25178f663cf9463"/>
                <w:id w:val="519903759"/>
                <w:lock w:val="sdtLocked"/>
              </w:sdtPr>
              <w:sdtContent>
                <w:tc>
                  <w:tcPr>
                    <w:tcW w:w="947" w:type="pct"/>
                    <w:shd w:val="clear" w:color="auto" w:fill="auto"/>
                  </w:tcPr>
                  <w:p w:rsidR="00B637B2" w:rsidRDefault="008F04CF">
                    <w:pPr>
                      <w:widowControl w:val="0"/>
                      <w:jc w:val="center"/>
                    </w:pPr>
                    <w:r>
                      <w:rPr>
                        <w:rFonts w:hint="eastAsia"/>
                      </w:rPr>
                      <w:t>合计</w:t>
                    </w:r>
                  </w:p>
                </w:tc>
              </w:sdtContent>
            </w:sdt>
            <w:tc>
              <w:tcPr>
                <w:tcW w:w="797" w:type="pct"/>
                <w:shd w:val="clear" w:color="auto" w:fill="auto"/>
              </w:tcPr>
              <w:p w:rsidR="00B637B2" w:rsidRDefault="008F04CF">
                <w:pPr>
                  <w:widowControl w:val="0"/>
                  <w:jc w:val="right"/>
                </w:pPr>
                <w:r w:rsidRPr="002A141B">
                  <w:rPr>
                    <w:rFonts w:cs="Arial"/>
                    <w:color w:val="000000"/>
                    <w:sz w:val="20"/>
                    <w:szCs w:val="20"/>
                  </w:rPr>
                  <w:t>292,486</w:t>
                </w:r>
              </w:p>
            </w:tc>
            <w:tc>
              <w:tcPr>
                <w:tcW w:w="864" w:type="pct"/>
                <w:shd w:val="clear" w:color="auto" w:fill="auto"/>
              </w:tcPr>
              <w:p w:rsidR="00B637B2" w:rsidRDefault="008F04CF">
                <w:pPr>
                  <w:widowControl w:val="0"/>
                  <w:jc w:val="right"/>
                </w:pPr>
                <w:r w:rsidRPr="002A141B">
                  <w:rPr>
                    <w:rFonts w:cs="Arial"/>
                    <w:sz w:val="20"/>
                    <w:szCs w:val="20"/>
                  </w:rPr>
                  <w:t>201,778</w:t>
                </w:r>
              </w:p>
            </w:tc>
            <w:tc>
              <w:tcPr>
                <w:tcW w:w="798" w:type="pct"/>
                <w:shd w:val="clear" w:color="auto" w:fill="auto"/>
              </w:tcPr>
              <w:p w:rsidR="00B637B2" w:rsidRDefault="008F04CF">
                <w:pPr>
                  <w:widowControl w:val="0"/>
                  <w:jc w:val="right"/>
                </w:pPr>
                <w:r>
                  <w:rPr>
                    <w:rFonts w:hint="eastAsia"/>
                  </w:rPr>
                  <w:t>-</w:t>
                </w:r>
              </w:p>
            </w:tc>
            <w:tc>
              <w:tcPr>
                <w:tcW w:w="797" w:type="pct"/>
              </w:tcPr>
              <w:p w:rsidR="00B637B2" w:rsidRDefault="008F04CF">
                <w:pPr>
                  <w:widowControl w:val="0"/>
                  <w:jc w:val="right"/>
                </w:pPr>
                <w:r>
                  <w:rPr>
                    <w:rFonts w:hint="eastAsia"/>
                  </w:rPr>
                  <w:t>-</w:t>
                </w:r>
              </w:p>
            </w:tc>
            <w:tc>
              <w:tcPr>
                <w:tcW w:w="797" w:type="pct"/>
                <w:shd w:val="clear" w:color="auto" w:fill="auto"/>
              </w:tcPr>
              <w:p w:rsidR="00B637B2" w:rsidRDefault="008F04CF">
                <w:pPr>
                  <w:widowControl w:val="0"/>
                  <w:jc w:val="right"/>
                </w:pPr>
                <w:r w:rsidRPr="002A141B">
                  <w:rPr>
                    <w:rFonts w:cs="Arial"/>
                    <w:color w:val="000000"/>
                    <w:sz w:val="20"/>
                    <w:szCs w:val="20"/>
                  </w:rPr>
                  <w:t>494,264</w:t>
                </w:r>
              </w:p>
            </w:tc>
          </w:tr>
        </w:tbl>
        <w:p w:rsidR="00B637B2" w:rsidRDefault="00B637B2">
          <w:pPr>
            <w:rPr>
              <w:szCs w:val="21"/>
            </w:rPr>
          </w:pPr>
        </w:p>
        <w:p w:rsidR="00B637B2" w:rsidRDefault="008F04CF">
          <w:r>
            <w:rPr>
              <w:rFonts w:hint="eastAsia"/>
            </w:rPr>
            <w:t>其中本期坏账准备收回或转回金额重要的：</w:t>
          </w:r>
        </w:p>
        <w:sdt>
          <w:sdtPr>
            <w:rPr>
              <w:rFonts w:hint="eastAsia"/>
            </w:rPr>
            <w:alias w:val="是否适用：应收票据本期坏账准备收回或转回金额重要的[双击切换]"/>
            <w:tag w:val="_GBC_36b753268a334bc295295f5b7ef2e253"/>
            <w:id w:val="50277826"/>
            <w:lock w:val="sdtContentLocked"/>
          </w:sdtPr>
          <w:sdtContent>
            <w:p w:rsidR="00B637B2" w:rsidRDefault="008F04CF" w:rsidP="00B637B2">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637B2" w:rsidRDefault="008F04CF">
          <w:r>
            <w:rPr>
              <w:rFonts w:hint="eastAsia"/>
            </w:rPr>
            <w:t>其他说明：</w:t>
          </w:r>
        </w:p>
        <w:sdt>
          <w:sdtPr>
            <w:rPr>
              <w:rFonts w:cstheme="minorBidi"/>
              <w:bCs/>
              <w:szCs w:val="22"/>
            </w:rPr>
            <w:alias w:val="应收票据坏账准备的其他说明"/>
            <w:tag w:val="_GBC_0af093c05aa548d68103c1ac22e3200b"/>
            <w:id w:val="-1380308295"/>
            <w:lock w:val="sdtLocked"/>
          </w:sdtPr>
          <w:sdtEndPr>
            <w:rPr>
              <w:rFonts w:asciiTheme="minorHAnsi" w:hAnsiTheme="minorHAnsi"/>
              <w:b/>
            </w:rPr>
          </w:sdtEndPr>
          <w:sdtContent>
            <w:p w:rsidR="00B637B2" w:rsidRDefault="008F04CF">
              <w:pPr>
                <w:rPr>
                  <w:rFonts w:asciiTheme="minorHAnsi" w:hAnsiTheme="minorHAnsi" w:cstheme="minorBidi"/>
                  <w:b/>
                  <w:bCs/>
                  <w:szCs w:val="22"/>
                </w:rPr>
              </w:pPr>
              <w:r>
                <w:rPr>
                  <w:rFonts w:cstheme="minorBidi" w:hint="eastAsia"/>
                  <w:bCs/>
                  <w:szCs w:val="22"/>
                </w:rPr>
                <w:t>无。</w:t>
              </w:r>
            </w:p>
          </w:sdtContent>
        </w:sdt>
        <w:p w:rsidR="00B637B2" w:rsidRDefault="00B637B2">
          <w:pPr>
            <w:rPr>
              <w:rFonts w:asciiTheme="minorHAnsi" w:hAnsiTheme="minorHAnsi" w:cstheme="minorBidi"/>
              <w:b/>
              <w:bCs/>
              <w:szCs w:val="22"/>
            </w:rPr>
          </w:pPr>
        </w:p>
        <w:p w:rsidR="00ED2DC7" w:rsidRDefault="000D0A99">
          <w:pPr>
            <w:ind w:right="210"/>
          </w:pPr>
        </w:p>
      </w:sdtContent>
    </w:sdt>
    <w:bookmarkEnd w:id="96" w:displacedByCustomXml="prev"/>
    <w:bookmarkStart w:id="97" w:name="_Hlk10466841" w:displacedByCustomXml="next"/>
    <w:bookmarkStart w:id="98" w:name="_Hlk10466853" w:displacedByCustomXml="next"/>
    <w:sdt>
      <w:sdtPr>
        <w:rPr>
          <w:rFonts w:ascii="宋体" w:hAnsi="宋体" w:cs="宋体" w:hint="eastAsia"/>
          <w:b w:val="0"/>
          <w:bCs w:val="0"/>
          <w:kern w:val="0"/>
          <w:szCs w:val="24"/>
        </w:rPr>
        <w:alias w:val="模块:本期实际核销的应收票据情况"/>
        <w:tag w:val="_SEC_d1d07f77bea54442a58602a5a3e94f42"/>
        <w:id w:val="1069231281"/>
        <w:lock w:val="sdtLocked"/>
        <w:placeholder>
          <w:docPart w:val="GBC22222222222222222222222222222"/>
        </w:placeholder>
      </w:sdtPr>
      <w:sdtEndPr>
        <w:rPr>
          <w:rFonts w:hint="default"/>
        </w:rPr>
      </w:sdtEndPr>
      <w:sdtContent>
        <w:p w:rsidR="00ED2DC7" w:rsidRDefault="00ED2DC7" w:rsidP="00036BDC">
          <w:pPr>
            <w:pStyle w:val="affffffffffffffffff2"/>
            <w:numPr>
              <w:ilvl w:val="3"/>
              <w:numId w:val="50"/>
            </w:numPr>
            <w:jc w:val="left"/>
          </w:pPr>
          <w:r>
            <w:rPr>
              <w:rFonts w:hint="eastAsia"/>
            </w:rPr>
            <w:t>本期实际核销的应收票据情况</w:t>
          </w:r>
          <w:bookmarkEnd w:id="97"/>
        </w:p>
        <w:sdt>
          <w:sdtPr>
            <w:alias w:val="是否适用：实际核销的应收票据[双击切换]"/>
            <w:tag w:val="_GBC_d0dcbb36ec68469bb29eac25b4a7af19"/>
            <w:id w:val="-219292599"/>
            <w:lock w:val="sdtContentLocked"/>
            <w:placeholder>
              <w:docPart w:val="GBC22222222222222222222222222222"/>
            </w:placeholder>
          </w:sdtPr>
          <w:sdtContent>
            <w:p w:rsidR="003B0306" w:rsidRDefault="00ED2DC7" w:rsidP="003B0306">
              <w:pPr>
                <w:rPr>
                  <w:rFonts w:asciiTheme="minorHAnsi" w:hAnsiTheme="minorHAnsi" w:cstheme="minorBidi"/>
                  <w:bCs/>
                  <w:szCs w:val="22"/>
                </w:rPr>
              </w:pPr>
              <w:r>
                <w:fldChar w:fldCharType="begin"/>
              </w:r>
              <w:r w:rsidR="003B0306">
                <w:instrText xml:space="preserve"> MACROBUTTON  SnrToggleCheckbox □适用 </w:instrText>
              </w:r>
              <w:r>
                <w:fldChar w:fldCharType="end"/>
              </w:r>
              <w:r>
                <w:fldChar w:fldCharType="begin"/>
              </w:r>
              <w:r w:rsidR="003B0306">
                <w:instrText xml:space="preserve"> MACROBUTTON  SnrToggleCheckbox √不适用 </w:instrText>
              </w:r>
              <w:r>
                <w:fldChar w:fldCharType="end"/>
              </w:r>
            </w:p>
          </w:sdtContent>
        </w:sdt>
        <w:p w:rsidR="00ED2DC7" w:rsidRDefault="000D0A99">
          <w:pPr>
            <w:ind w:right="210"/>
          </w:pPr>
        </w:p>
      </w:sdtContent>
    </w:sdt>
    <w:bookmarkEnd w:id="98" w:displacedByCustomXml="prev"/>
    <w:sdt>
      <w:sdtPr>
        <w:rPr>
          <w:rFonts w:asciiTheme="minorHAnsi" w:hAnsiTheme="minorHAnsi" w:cstheme="minorBidi" w:hint="eastAsia"/>
          <w:b/>
          <w:bCs/>
          <w:szCs w:val="22"/>
        </w:rPr>
        <w:alias w:val="模块:应收票据其他说明"/>
        <w:tag w:val="_GBC_c7095bafbab543a9bb9dcc587154df29"/>
        <w:id w:val="-1598788826"/>
        <w:lock w:val="sdtLocked"/>
        <w:placeholder>
          <w:docPart w:val="GBC22222222222222222222222222222"/>
        </w:placeholder>
      </w:sdtPr>
      <w:sdtEndPr>
        <w:rPr>
          <w:rFonts w:ascii="Times New Roman" w:hAnsi="Times New Roman" w:cs="Times New Roman" w:hint="default"/>
          <w:b w:val="0"/>
          <w:bCs w:val="0"/>
          <w:szCs w:val="24"/>
        </w:rPr>
      </w:sdtEndPr>
      <w:sdtContent>
        <w:p w:rsidR="00ED2DC7" w:rsidRDefault="00ED2DC7">
          <w:r>
            <w:rPr>
              <w:rFonts w:hint="eastAsia"/>
            </w:rPr>
            <w:t>其他说明：</w:t>
          </w:r>
        </w:p>
        <w:sdt>
          <w:sdtPr>
            <w:alias w:val="是否适用：应收票据的说明[双击切换]"/>
            <w:tag w:val="_GBC_704e24e70b65463883e10335ce93a1ac"/>
            <w:id w:val="-674873455"/>
            <w:lock w:val="sdtContentLocked"/>
            <w:placeholder>
              <w:docPart w:val="GBC22222222222222222222222222222"/>
            </w:placeholder>
          </w:sdtPr>
          <w:sdtContent>
            <w:p w:rsidR="00B637B2" w:rsidRDefault="00ED2DC7" w:rsidP="003B0306">
              <w:r>
                <w:fldChar w:fldCharType="begin"/>
              </w:r>
              <w:r w:rsidR="008F04CF">
                <w:instrText xml:space="preserve"> MACROBUTTON  SnrToggleCheckbox √适用 </w:instrText>
              </w:r>
              <w:r>
                <w:fldChar w:fldCharType="end"/>
              </w:r>
              <w:r>
                <w:fldChar w:fldCharType="begin"/>
              </w:r>
              <w:r w:rsidR="008F04CF">
                <w:instrText xml:space="preserve"> MACROBUTTON  SnrToggleCheckbox □不适用 </w:instrText>
              </w:r>
              <w:r>
                <w:fldChar w:fldCharType="end"/>
              </w:r>
            </w:p>
          </w:sdtContent>
        </w:sdt>
        <w:sdt>
          <w:sdtPr>
            <w:rPr>
              <w:szCs w:val="21"/>
            </w:rPr>
            <w:alias w:val="应收票据的说明"/>
            <w:tag w:val="_GBC_2006e891d63d493bb79a98ee1650c6ff"/>
            <w:id w:val="-89478146"/>
            <w:lock w:val="sdtLocked"/>
          </w:sdtPr>
          <w:sdtContent>
            <w:p w:rsidR="00B637B2" w:rsidRDefault="008F04CF" w:rsidP="00B637B2">
              <w:pPr>
                <w:snapToGrid w:val="0"/>
                <w:spacing w:line="240" w:lineRule="atLeast"/>
                <w:rPr>
                  <w:szCs w:val="21"/>
                </w:rPr>
              </w:pPr>
              <w:r w:rsidRPr="007D3CEA">
                <w:rPr>
                  <w:rFonts w:hint="eastAsia"/>
                  <w:szCs w:val="21"/>
                </w:rPr>
                <w:t>于</w:t>
              </w:r>
              <w:r w:rsidRPr="007D3CEA">
                <w:rPr>
                  <w:szCs w:val="21"/>
                </w:rPr>
                <w:t>2019年6月30日，无已贴现取得短期借款的应收票据(2018年12月31日：无)；于2019年6月30日，无已质押的应收票据(2018年12月31日：无)。</w:t>
              </w:r>
            </w:p>
            <w:p w:rsidR="00B637B2" w:rsidRDefault="00B637B2" w:rsidP="00B637B2">
              <w:pPr>
                <w:snapToGrid w:val="0"/>
                <w:spacing w:line="240" w:lineRule="atLeast"/>
                <w:rPr>
                  <w:szCs w:val="21"/>
                </w:rPr>
              </w:pPr>
            </w:p>
            <w:p w:rsidR="00B637B2" w:rsidRDefault="008F04CF" w:rsidP="00B637B2">
              <w:pPr>
                <w:snapToGrid w:val="0"/>
                <w:spacing w:line="240" w:lineRule="atLeast"/>
                <w:rPr>
                  <w:szCs w:val="21"/>
                </w:rPr>
              </w:pPr>
              <w:r w:rsidRPr="002A141B">
                <w:rPr>
                  <w:rFonts w:hint="eastAsia"/>
                  <w:szCs w:val="21"/>
                </w:rPr>
                <w:t>应收票据坏账准备的变动如下：</w:t>
              </w:r>
            </w:p>
            <w:tbl>
              <w:tblPr>
                <w:tblStyle w:val="g35"/>
                <w:tblpPr w:leftFromText="180" w:rightFromText="180" w:vertAnchor="text" w:horzAnchor="margin" w:tblpY="32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1"/>
                <w:gridCol w:w="1277"/>
                <w:gridCol w:w="1276"/>
                <w:gridCol w:w="1276"/>
                <w:gridCol w:w="1276"/>
                <w:gridCol w:w="1135"/>
                <w:gridCol w:w="1172"/>
              </w:tblGrid>
              <w:tr w:rsidR="00B637B2" w:rsidRPr="002A141B" w:rsidTr="00AD5445">
                <w:tc>
                  <w:tcPr>
                    <w:tcW w:w="800" w:type="pct"/>
                    <w:vAlign w:val="bottom"/>
                  </w:tcPr>
                  <w:p w:rsidR="00B637B2" w:rsidRPr="002A141B" w:rsidRDefault="00B637B2">
                    <w:pPr>
                      <w:spacing w:line="0" w:lineRule="atLeast"/>
                      <w:ind w:left="-224"/>
                      <w:rPr>
                        <w:rFonts w:cs="Arial"/>
                        <w:sz w:val="20"/>
                        <w:szCs w:val="20"/>
                      </w:rPr>
                    </w:pPr>
                  </w:p>
                </w:tc>
                <w:tc>
                  <w:tcPr>
                    <w:tcW w:w="724" w:type="pct"/>
                    <w:hideMark/>
                  </w:tcPr>
                  <w:p w:rsidR="00B637B2" w:rsidRDefault="008F04CF" w:rsidP="00B637B2">
                    <w:pPr>
                      <w:spacing w:line="0" w:lineRule="atLeast"/>
                      <w:ind w:left="-108" w:right="-2"/>
                      <w:jc w:val="right"/>
                      <w:rPr>
                        <w:rFonts w:cs="Arial"/>
                        <w:sz w:val="20"/>
                        <w:szCs w:val="20"/>
                      </w:rPr>
                    </w:pPr>
                    <w:r w:rsidRPr="002A141B">
                      <w:rPr>
                        <w:rFonts w:cs="Arial" w:hint="eastAsia"/>
                        <w:sz w:val="20"/>
                        <w:szCs w:val="20"/>
                      </w:rPr>
                      <w:t>上年年末</w:t>
                    </w:r>
                  </w:p>
                  <w:p w:rsidR="00B637B2" w:rsidRPr="002A141B" w:rsidRDefault="008F04CF" w:rsidP="00B637B2">
                    <w:pPr>
                      <w:spacing w:line="0" w:lineRule="atLeast"/>
                      <w:ind w:left="-108" w:right="-2"/>
                      <w:jc w:val="right"/>
                      <w:rPr>
                        <w:rFonts w:cs="Arial"/>
                        <w:sz w:val="20"/>
                        <w:szCs w:val="20"/>
                      </w:rPr>
                    </w:pPr>
                    <w:r w:rsidRPr="002A141B">
                      <w:rPr>
                        <w:rFonts w:cs="Arial" w:hint="eastAsia"/>
                        <w:sz w:val="20"/>
                        <w:szCs w:val="20"/>
                      </w:rPr>
                      <w:t>余额</w:t>
                    </w:r>
                  </w:p>
                </w:tc>
                <w:tc>
                  <w:tcPr>
                    <w:tcW w:w="723" w:type="pct"/>
                    <w:hideMark/>
                  </w:tcPr>
                  <w:p w:rsidR="00B637B2" w:rsidRPr="002A141B" w:rsidRDefault="008F04CF" w:rsidP="00B637B2">
                    <w:pPr>
                      <w:spacing w:line="0" w:lineRule="atLeast"/>
                      <w:ind w:left="-108"/>
                      <w:jc w:val="right"/>
                      <w:rPr>
                        <w:rFonts w:cs="Arial"/>
                        <w:color w:val="000000"/>
                        <w:sz w:val="20"/>
                        <w:szCs w:val="20"/>
                      </w:rPr>
                    </w:pPr>
                    <w:r w:rsidRPr="002A141B">
                      <w:rPr>
                        <w:rFonts w:cs="Arial" w:hint="eastAsia"/>
                        <w:color w:val="000000"/>
                        <w:sz w:val="20"/>
                        <w:szCs w:val="20"/>
                      </w:rPr>
                      <w:t>会计政策</w:t>
                    </w:r>
                  </w:p>
                  <w:p w:rsidR="00B637B2" w:rsidRPr="002A141B" w:rsidRDefault="008F04CF" w:rsidP="00B637B2">
                    <w:pPr>
                      <w:spacing w:line="0" w:lineRule="atLeast"/>
                      <w:ind w:left="-108"/>
                      <w:jc w:val="right"/>
                      <w:rPr>
                        <w:rFonts w:cs="Arial"/>
                        <w:color w:val="000000"/>
                        <w:sz w:val="20"/>
                        <w:szCs w:val="20"/>
                      </w:rPr>
                    </w:pPr>
                    <w:r w:rsidRPr="002A141B">
                      <w:rPr>
                        <w:rFonts w:cs="Arial" w:hint="eastAsia"/>
                        <w:color w:val="000000"/>
                        <w:sz w:val="20"/>
                        <w:szCs w:val="20"/>
                      </w:rPr>
                      <w:t>变更</w:t>
                    </w:r>
                  </w:p>
                </w:tc>
                <w:tc>
                  <w:tcPr>
                    <w:tcW w:w="723" w:type="pct"/>
                    <w:hideMark/>
                  </w:tcPr>
                  <w:p w:rsidR="00B637B2" w:rsidRDefault="008F04CF" w:rsidP="00B637B2">
                    <w:pPr>
                      <w:spacing w:line="0" w:lineRule="atLeast"/>
                      <w:ind w:left="-108"/>
                      <w:jc w:val="right"/>
                      <w:rPr>
                        <w:rFonts w:cs="Arial"/>
                        <w:color w:val="000000"/>
                        <w:sz w:val="20"/>
                        <w:szCs w:val="20"/>
                      </w:rPr>
                    </w:pPr>
                    <w:r w:rsidRPr="002A141B">
                      <w:rPr>
                        <w:rFonts w:cs="Arial" w:hint="eastAsia"/>
                        <w:color w:val="000000"/>
                        <w:sz w:val="20"/>
                        <w:szCs w:val="20"/>
                      </w:rPr>
                      <w:t>本期期初</w:t>
                    </w:r>
                  </w:p>
                  <w:p w:rsidR="00B637B2" w:rsidRPr="002A141B" w:rsidRDefault="008F04CF" w:rsidP="00B637B2">
                    <w:pPr>
                      <w:spacing w:line="0" w:lineRule="atLeast"/>
                      <w:ind w:left="-108"/>
                      <w:jc w:val="right"/>
                      <w:rPr>
                        <w:rFonts w:cs="Arial"/>
                        <w:color w:val="000000"/>
                        <w:sz w:val="20"/>
                        <w:szCs w:val="20"/>
                      </w:rPr>
                    </w:pPr>
                    <w:r w:rsidRPr="002A141B">
                      <w:rPr>
                        <w:rFonts w:cs="Arial" w:hint="eastAsia"/>
                        <w:sz w:val="20"/>
                        <w:szCs w:val="20"/>
                      </w:rPr>
                      <w:t>余额</w:t>
                    </w:r>
                  </w:p>
                </w:tc>
                <w:tc>
                  <w:tcPr>
                    <w:tcW w:w="723" w:type="pct"/>
                  </w:tcPr>
                  <w:p w:rsidR="00B637B2" w:rsidRPr="002A141B" w:rsidRDefault="008F04CF" w:rsidP="00B637B2">
                    <w:pPr>
                      <w:spacing w:line="0" w:lineRule="atLeast"/>
                      <w:ind w:left="-108"/>
                      <w:jc w:val="right"/>
                      <w:rPr>
                        <w:rFonts w:cs="Arial"/>
                        <w:sz w:val="20"/>
                        <w:szCs w:val="20"/>
                      </w:rPr>
                    </w:pPr>
                    <w:r w:rsidRPr="002A141B">
                      <w:rPr>
                        <w:rFonts w:cs="Arial" w:hint="eastAsia"/>
                        <w:color w:val="000000"/>
                        <w:sz w:val="20"/>
                        <w:szCs w:val="20"/>
                      </w:rPr>
                      <w:t>本期计提</w:t>
                    </w:r>
                  </w:p>
                </w:tc>
                <w:tc>
                  <w:tcPr>
                    <w:tcW w:w="643" w:type="pct"/>
                    <w:hideMark/>
                  </w:tcPr>
                  <w:p w:rsidR="00B637B2" w:rsidRPr="002A141B" w:rsidRDefault="008F04CF" w:rsidP="00B637B2">
                    <w:pPr>
                      <w:spacing w:line="0" w:lineRule="atLeast"/>
                      <w:ind w:left="-108"/>
                      <w:jc w:val="right"/>
                      <w:rPr>
                        <w:rFonts w:cs="Arial"/>
                        <w:sz w:val="20"/>
                        <w:szCs w:val="20"/>
                      </w:rPr>
                    </w:pPr>
                    <w:r w:rsidRPr="002A141B">
                      <w:rPr>
                        <w:rFonts w:cs="Arial" w:hint="eastAsia"/>
                        <w:color w:val="000000"/>
                        <w:sz w:val="20"/>
                        <w:szCs w:val="20"/>
                      </w:rPr>
                      <w:t>本期核销</w:t>
                    </w:r>
                  </w:p>
                </w:tc>
                <w:tc>
                  <w:tcPr>
                    <w:tcW w:w="664" w:type="pct"/>
                    <w:hideMark/>
                  </w:tcPr>
                  <w:p w:rsidR="00B637B2" w:rsidRPr="002A141B" w:rsidRDefault="008F04CF" w:rsidP="00B637B2">
                    <w:pPr>
                      <w:spacing w:line="0" w:lineRule="atLeast"/>
                      <w:ind w:left="-149" w:right="-61" w:firstLine="41"/>
                      <w:jc w:val="right"/>
                      <w:rPr>
                        <w:rFonts w:cs="Arial"/>
                        <w:sz w:val="20"/>
                        <w:szCs w:val="20"/>
                      </w:rPr>
                    </w:pPr>
                    <w:r w:rsidRPr="002A141B">
                      <w:rPr>
                        <w:rFonts w:cs="Arial" w:hint="eastAsia"/>
                        <w:color w:val="000000"/>
                        <w:sz w:val="20"/>
                        <w:szCs w:val="20"/>
                      </w:rPr>
                      <w:t>期末余额</w:t>
                    </w:r>
                  </w:p>
                </w:tc>
              </w:tr>
              <w:tr w:rsidR="00B637B2" w:rsidRPr="002A141B" w:rsidTr="00AD5445">
                <w:tc>
                  <w:tcPr>
                    <w:tcW w:w="800" w:type="pct"/>
                    <w:vAlign w:val="bottom"/>
                    <w:hideMark/>
                  </w:tcPr>
                  <w:p w:rsidR="00B637B2" w:rsidRPr="002A141B" w:rsidRDefault="008F04CF">
                    <w:pPr>
                      <w:spacing w:line="0" w:lineRule="atLeast"/>
                      <w:ind w:leftChars="-50" w:left="36" w:hanging="141"/>
                      <w:rPr>
                        <w:rFonts w:cs="Arial"/>
                        <w:sz w:val="20"/>
                        <w:szCs w:val="20"/>
                      </w:rPr>
                    </w:pPr>
                    <w:r w:rsidRPr="002A141B">
                      <w:rPr>
                        <w:rFonts w:cs="Arial"/>
                        <w:sz w:val="20"/>
                        <w:szCs w:val="20"/>
                      </w:rPr>
                      <w:t>2019</w:t>
                    </w:r>
                    <w:r w:rsidRPr="002A141B">
                      <w:rPr>
                        <w:rFonts w:cs="Arial" w:hint="eastAsia"/>
                        <w:sz w:val="20"/>
                        <w:szCs w:val="20"/>
                      </w:rPr>
                      <w:t>年</w:t>
                    </w:r>
                    <w:r w:rsidRPr="002A141B">
                      <w:rPr>
                        <w:rFonts w:cs="Arial"/>
                        <w:sz w:val="20"/>
                        <w:szCs w:val="20"/>
                      </w:rPr>
                      <w:t>1-6</w:t>
                    </w:r>
                    <w:r w:rsidRPr="002A141B">
                      <w:rPr>
                        <w:rFonts w:cs="Arial" w:hint="eastAsia"/>
                        <w:sz w:val="20"/>
                        <w:szCs w:val="20"/>
                      </w:rPr>
                      <w:t>月</w:t>
                    </w:r>
                  </w:p>
                </w:tc>
                <w:tc>
                  <w:tcPr>
                    <w:tcW w:w="724" w:type="pct"/>
                    <w:vAlign w:val="bottom"/>
                    <w:hideMark/>
                  </w:tcPr>
                  <w:p w:rsidR="00B637B2" w:rsidRPr="002A141B" w:rsidRDefault="008F04CF">
                    <w:pPr>
                      <w:spacing w:line="0" w:lineRule="atLeast"/>
                      <w:ind w:leftChars="-25" w:left="-53" w:rightChars="-25" w:right="-53"/>
                      <w:jc w:val="right"/>
                      <w:rPr>
                        <w:rFonts w:cs="Arial"/>
                        <w:sz w:val="20"/>
                        <w:szCs w:val="20"/>
                      </w:rPr>
                    </w:pPr>
                    <w:r w:rsidRPr="002A141B">
                      <w:rPr>
                        <w:rFonts w:cs="Arial"/>
                        <w:sz w:val="20"/>
                        <w:szCs w:val="20"/>
                      </w:rPr>
                      <w:t>-</w:t>
                    </w:r>
                  </w:p>
                </w:tc>
                <w:tc>
                  <w:tcPr>
                    <w:tcW w:w="723" w:type="pct"/>
                    <w:vAlign w:val="bottom"/>
                    <w:hideMark/>
                  </w:tcPr>
                  <w:p w:rsidR="00B637B2" w:rsidRPr="002A141B" w:rsidRDefault="008F04CF">
                    <w:pPr>
                      <w:spacing w:line="0" w:lineRule="atLeast"/>
                      <w:ind w:leftChars="-25" w:left="-53" w:rightChars="-25" w:right="-53"/>
                      <w:jc w:val="right"/>
                      <w:rPr>
                        <w:rFonts w:cs="Arial"/>
                        <w:color w:val="000000"/>
                        <w:sz w:val="20"/>
                        <w:szCs w:val="20"/>
                      </w:rPr>
                    </w:pPr>
                    <w:r w:rsidRPr="002A141B">
                      <w:rPr>
                        <w:rFonts w:cs="Arial"/>
                        <w:color w:val="000000"/>
                        <w:sz w:val="20"/>
                        <w:szCs w:val="20"/>
                      </w:rPr>
                      <w:t>292,486</w:t>
                    </w:r>
                  </w:p>
                </w:tc>
                <w:tc>
                  <w:tcPr>
                    <w:tcW w:w="723" w:type="pct"/>
                    <w:vAlign w:val="bottom"/>
                    <w:hideMark/>
                  </w:tcPr>
                  <w:p w:rsidR="00B637B2" w:rsidRPr="002A141B" w:rsidRDefault="008F04CF">
                    <w:pPr>
                      <w:spacing w:line="0" w:lineRule="atLeast"/>
                      <w:ind w:leftChars="-25" w:left="-53" w:rightChars="-25" w:right="-53"/>
                      <w:jc w:val="right"/>
                      <w:rPr>
                        <w:rFonts w:cs="Arial"/>
                        <w:color w:val="000000"/>
                        <w:sz w:val="20"/>
                        <w:szCs w:val="20"/>
                      </w:rPr>
                    </w:pPr>
                    <w:r w:rsidRPr="002A141B">
                      <w:rPr>
                        <w:rFonts w:cs="Arial"/>
                        <w:color w:val="000000"/>
                        <w:sz w:val="20"/>
                        <w:szCs w:val="20"/>
                      </w:rPr>
                      <w:t>292,486</w:t>
                    </w:r>
                  </w:p>
                </w:tc>
                <w:tc>
                  <w:tcPr>
                    <w:tcW w:w="723" w:type="pct"/>
                    <w:vAlign w:val="bottom"/>
                    <w:hideMark/>
                  </w:tcPr>
                  <w:p w:rsidR="00B637B2" w:rsidRPr="002A141B" w:rsidRDefault="008F04CF">
                    <w:pPr>
                      <w:spacing w:line="0" w:lineRule="atLeast"/>
                      <w:ind w:leftChars="-25" w:left="-53" w:rightChars="-25" w:right="-53"/>
                      <w:jc w:val="right"/>
                      <w:rPr>
                        <w:rFonts w:cs="Arial"/>
                        <w:sz w:val="20"/>
                        <w:szCs w:val="20"/>
                      </w:rPr>
                    </w:pPr>
                    <w:r w:rsidRPr="002A141B">
                      <w:rPr>
                        <w:rFonts w:cs="Arial"/>
                        <w:sz w:val="20"/>
                        <w:szCs w:val="20"/>
                      </w:rPr>
                      <w:t>201,778</w:t>
                    </w:r>
                  </w:p>
                </w:tc>
                <w:tc>
                  <w:tcPr>
                    <w:tcW w:w="643" w:type="pct"/>
                    <w:vAlign w:val="bottom"/>
                    <w:hideMark/>
                  </w:tcPr>
                  <w:p w:rsidR="00B637B2" w:rsidRPr="002A141B" w:rsidRDefault="008F04CF">
                    <w:pPr>
                      <w:spacing w:line="0" w:lineRule="atLeast"/>
                      <w:ind w:leftChars="-25" w:left="-53" w:rightChars="-25" w:right="-53"/>
                      <w:jc w:val="right"/>
                      <w:rPr>
                        <w:rFonts w:cs="Arial"/>
                        <w:color w:val="000000"/>
                        <w:sz w:val="20"/>
                        <w:szCs w:val="20"/>
                      </w:rPr>
                    </w:pPr>
                    <w:r w:rsidRPr="002A141B">
                      <w:rPr>
                        <w:rFonts w:cs="Arial"/>
                        <w:sz w:val="20"/>
                        <w:szCs w:val="20"/>
                      </w:rPr>
                      <w:t>-</w:t>
                    </w:r>
                  </w:p>
                </w:tc>
                <w:tc>
                  <w:tcPr>
                    <w:tcW w:w="664" w:type="pct"/>
                    <w:vAlign w:val="bottom"/>
                    <w:hideMark/>
                  </w:tcPr>
                  <w:p w:rsidR="00B637B2" w:rsidRPr="002A141B" w:rsidRDefault="008F04CF">
                    <w:pPr>
                      <w:spacing w:line="0" w:lineRule="atLeast"/>
                      <w:ind w:leftChars="-25" w:left="-53" w:rightChars="-25" w:right="-53" w:firstLine="41"/>
                      <w:jc w:val="right"/>
                      <w:rPr>
                        <w:rFonts w:cs="Arial"/>
                        <w:color w:val="000000"/>
                        <w:sz w:val="20"/>
                        <w:szCs w:val="20"/>
                      </w:rPr>
                    </w:pPr>
                    <w:r w:rsidRPr="002A141B">
                      <w:rPr>
                        <w:rFonts w:cs="Arial"/>
                        <w:color w:val="000000"/>
                        <w:sz w:val="20"/>
                        <w:szCs w:val="20"/>
                      </w:rPr>
                      <w:t>494,264</w:t>
                    </w:r>
                  </w:p>
                </w:tc>
              </w:tr>
            </w:tbl>
            <w:p w:rsidR="00B637B2" w:rsidRDefault="00B637B2" w:rsidP="00B637B2">
              <w:pPr>
                <w:snapToGrid w:val="0"/>
                <w:spacing w:line="240" w:lineRule="atLeast"/>
                <w:rPr>
                  <w:szCs w:val="21"/>
                </w:rPr>
              </w:pPr>
            </w:p>
            <w:p w:rsidR="00ED2DC7" w:rsidRDefault="000D0A99" w:rsidP="00B637B2">
              <w:pPr>
                <w:snapToGrid w:val="0"/>
                <w:spacing w:line="240" w:lineRule="atLeast"/>
                <w:rPr>
                  <w:szCs w:val="21"/>
                </w:rPr>
              </w:pPr>
            </w:p>
          </w:sdtContent>
        </w:sdt>
      </w:sdtContent>
    </w:sdt>
    <w:p w:rsidR="00ED2DC7" w:rsidRDefault="00ED2DC7">
      <w:pPr>
        <w:rPr>
          <w:szCs w:val="21"/>
        </w:rPr>
      </w:pPr>
    </w:p>
    <w:p w:rsidR="00ED2DC7" w:rsidRDefault="00ED2DC7" w:rsidP="00036BDC">
      <w:pPr>
        <w:pStyle w:val="affffffffffffffffff1"/>
        <w:numPr>
          <w:ilvl w:val="0"/>
          <w:numId w:val="49"/>
        </w:numPr>
      </w:pPr>
      <w:r>
        <w:rPr>
          <w:rFonts w:hint="eastAsia"/>
        </w:rPr>
        <w:t>应收账款</w:t>
      </w:r>
    </w:p>
    <w:bookmarkStart w:id="99" w:name="_Hlk10467031" w:displacedByCustomXml="next"/>
    <w:sdt>
      <w:sdtPr>
        <w:rPr>
          <w:rFonts w:ascii="宋体" w:hAnsi="宋体" w:cs="宋体" w:hint="eastAsia"/>
          <w:b w:val="0"/>
          <w:bCs w:val="0"/>
          <w:kern w:val="0"/>
          <w:szCs w:val="24"/>
        </w:rPr>
        <w:alias w:val="模块:按账龄披露"/>
        <w:tag w:val="_SEC_18739d0c0efc4fe7a575a32263e5b38b"/>
        <w:id w:val="1711142349"/>
        <w:lock w:val="sdtLocked"/>
        <w:placeholder>
          <w:docPart w:val="GBC22222222222222222222222222222"/>
        </w:placeholder>
      </w:sdtPr>
      <w:sdtEndPr>
        <w:rPr>
          <w:rFonts w:hint="default"/>
        </w:rPr>
      </w:sdtEndPr>
      <w:sdtContent>
        <w:p w:rsidR="00ED2DC7" w:rsidRDefault="00ED2DC7" w:rsidP="00036BDC">
          <w:pPr>
            <w:pStyle w:val="affffffffffffffffff2"/>
            <w:numPr>
              <w:ilvl w:val="3"/>
              <w:numId w:val="51"/>
            </w:numPr>
            <w:tabs>
              <w:tab w:val="left" w:pos="574"/>
            </w:tabs>
          </w:pPr>
          <w:r>
            <w:rPr>
              <w:rFonts w:hint="eastAsia"/>
            </w:rPr>
            <w:t>按账龄披露</w:t>
          </w:r>
        </w:p>
        <w:sdt>
          <w:sdtPr>
            <w:rPr>
              <w:rFonts w:hint="eastAsia"/>
              <w:szCs w:val="21"/>
            </w:rPr>
            <w:alias w:val="是否适用：组合中，按账龄分析法计提坏账准备的应收账款[双击切换]"/>
            <w:tag w:val="_GBC_adacd9d7302a46dbb6fb745ac9a87bfe"/>
            <w:id w:val="-594556967"/>
            <w:lock w:val="sdtContentLocked"/>
            <w:placeholder>
              <w:docPart w:val="GBC22222222222222222222222222222"/>
            </w:placeholder>
          </w:sdtPr>
          <w:sdtContent>
            <w:p w:rsidR="00ED2DC7" w:rsidRDefault="00ED2DC7">
              <w:pPr>
                <w:rPr>
                  <w:szCs w:val="21"/>
                </w:rPr>
              </w:pPr>
              <w:r>
                <w:rPr>
                  <w:szCs w:val="21"/>
                </w:rPr>
                <w:fldChar w:fldCharType="begin"/>
              </w:r>
              <w:r w:rsidR="003B0306">
                <w:rPr>
                  <w:szCs w:val="21"/>
                </w:rPr>
                <w:instrText xml:space="preserve">MACROBUTTON  SnrToggleCheckbox √适用 </w:instrText>
              </w:r>
              <w:r>
                <w:rPr>
                  <w:szCs w:val="21"/>
                </w:rPr>
                <w:fldChar w:fldCharType="end"/>
              </w:r>
              <w:r>
                <w:rPr>
                  <w:szCs w:val="21"/>
                </w:rPr>
                <w:fldChar w:fldCharType="begin"/>
              </w:r>
              <w:r w:rsidR="003B0306">
                <w:rPr>
                  <w:szCs w:val="21"/>
                </w:rPr>
                <w:instrText xml:space="preserve"> MACROBUTTON  SnrToggleCheckbox □不适用 </w:instrText>
              </w:r>
              <w:r>
                <w:rPr>
                  <w:szCs w:val="21"/>
                </w:rPr>
                <w:fldChar w:fldCharType="end"/>
              </w:r>
            </w:p>
          </w:sdtContent>
        </w:sdt>
        <w:p w:rsidR="00ED2DC7" w:rsidRDefault="00ED2DC7">
          <w:pPr>
            <w:jc w:val="right"/>
            <w:rPr>
              <w:szCs w:val="21"/>
            </w:rPr>
          </w:pPr>
          <w:r>
            <w:rPr>
              <w:rFonts w:hint="eastAsia"/>
              <w:szCs w:val="21"/>
            </w:rPr>
            <w:t>单位：</w:t>
          </w:r>
          <w:sdt>
            <w:sdtPr>
              <w:rPr>
                <w:rFonts w:hint="eastAsia"/>
                <w:szCs w:val="21"/>
              </w:rPr>
              <w:alias w:val="单位：财务附注：单项金额不重大但按信用风险特征组合后该组合的风险较大的应收账款"/>
              <w:tag w:val="_GBC_a1aaa8cef4304dbdb3226b0c37d7eaa2"/>
              <w:id w:val="7581051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应收账款"/>
              <w:tag w:val="_GBC_23501c118c5d42ce875910cc5f1c5fe3"/>
              <w:id w:val="-24943332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szCs w:val="21"/>
                </w:rPr>
                <w:t>人民币</w:t>
              </w:r>
            </w:sdtContent>
          </w:sdt>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4295"/>
            <w:gridCol w:w="4528"/>
          </w:tblGrid>
          <w:tr w:rsidR="00ED2DC7" w:rsidTr="00510B81">
            <w:trPr>
              <w:cantSplit/>
            </w:trPr>
            <w:sdt>
              <w:sdtPr>
                <w:tag w:val="_PLD_cc8a2439cf1a40049647e9f82183f02a"/>
                <w:id w:val="1423457383"/>
                <w:lock w:val="sdtLocked"/>
              </w:sdtPr>
              <w:sdtContent>
                <w:tc>
                  <w:tcPr>
                    <w:tcW w:w="2434" w:type="pct"/>
                    <w:tcBorders>
                      <w:top w:val="single" w:sz="4" w:space="0" w:color="auto"/>
                      <w:left w:val="single" w:sz="4" w:space="0" w:color="auto"/>
                      <w:bottom w:val="single" w:sz="4" w:space="0" w:color="auto"/>
                      <w:right w:val="single" w:sz="4" w:space="0" w:color="auto"/>
                    </w:tcBorders>
                    <w:vAlign w:val="center"/>
                  </w:tcPr>
                  <w:p w:rsidR="00ED2DC7" w:rsidRDefault="00ED2DC7">
                    <w:pPr>
                      <w:jc w:val="center"/>
                      <w:rPr>
                        <w:szCs w:val="21"/>
                      </w:rPr>
                    </w:pPr>
                    <w:r>
                      <w:rPr>
                        <w:rFonts w:hint="eastAsia"/>
                        <w:szCs w:val="21"/>
                      </w:rPr>
                      <w:t>账龄</w:t>
                    </w:r>
                  </w:p>
                </w:tc>
              </w:sdtContent>
            </w:sdt>
            <w:sdt>
              <w:sdtPr>
                <w:tag w:val="_PLD_39df8c40c3b34bb795f3dd83e556c1cb"/>
                <w:id w:val="-1595848472"/>
                <w:lock w:val="sdtLocked"/>
              </w:sdtPr>
              <w:sdtContent>
                <w:tc>
                  <w:tcPr>
                    <w:tcW w:w="2566" w:type="pct"/>
                    <w:tcBorders>
                      <w:top w:val="single" w:sz="4" w:space="0" w:color="auto"/>
                      <w:left w:val="single" w:sz="4" w:space="0" w:color="auto"/>
                      <w:bottom w:val="single" w:sz="4" w:space="0" w:color="auto"/>
                      <w:right w:val="single" w:sz="4" w:space="0" w:color="auto"/>
                    </w:tcBorders>
                    <w:vAlign w:val="center"/>
                  </w:tcPr>
                  <w:p w:rsidR="00ED2DC7" w:rsidRDefault="00ED2DC7">
                    <w:pPr>
                      <w:jc w:val="center"/>
                      <w:rPr>
                        <w:szCs w:val="21"/>
                      </w:rPr>
                    </w:pPr>
                    <w:r>
                      <w:rPr>
                        <w:rFonts w:hint="eastAsia"/>
                        <w:szCs w:val="21"/>
                      </w:rPr>
                      <w:t>期末余额</w:t>
                    </w:r>
                  </w:p>
                </w:tc>
              </w:sdtContent>
            </w:sdt>
          </w:tr>
          <w:tr w:rsidR="00ED2DC7" w:rsidTr="00B637B2">
            <w:trPr>
              <w:cantSplit/>
            </w:trPr>
            <w:sdt>
              <w:sdtPr>
                <w:tag w:val="_PLD_217c8960e1b142368dda5c59f7dd6b68"/>
                <w:id w:val="1124576288"/>
                <w:lock w:val="sdtLocked"/>
              </w:sdtPr>
              <w:sdtContent>
                <w:tc>
                  <w:tcPr>
                    <w:tcW w:w="2434" w:type="pct"/>
                    <w:tcBorders>
                      <w:top w:val="single" w:sz="4" w:space="0" w:color="auto"/>
                      <w:left w:val="single" w:sz="4" w:space="0" w:color="auto"/>
                      <w:bottom w:val="single" w:sz="4" w:space="0" w:color="auto"/>
                      <w:right w:val="single" w:sz="4" w:space="0" w:color="auto"/>
                    </w:tcBorders>
                  </w:tcPr>
                  <w:p w:rsidR="00ED2DC7" w:rsidRDefault="00ED2DC7">
                    <w:pPr>
                      <w:rPr>
                        <w:szCs w:val="21"/>
                      </w:rPr>
                    </w:pPr>
                    <w:r>
                      <w:rPr>
                        <w:rFonts w:hint="eastAsia"/>
                        <w:szCs w:val="21"/>
                      </w:rPr>
                      <w:t>1年以内</w:t>
                    </w:r>
                  </w:p>
                </w:tc>
              </w:sdtContent>
            </w:sdt>
            <w:tc>
              <w:tcPr>
                <w:tcW w:w="2566" w:type="pct"/>
                <w:tcBorders>
                  <w:top w:val="single" w:sz="4" w:space="0" w:color="auto"/>
                  <w:left w:val="single" w:sz="4" w:space="0" w:color="auto"/>
                  <w:bottom w:val="single" w:sz="4" w:space="0" w:color="auto"/>
                  <w:right w:val="single" w:sz="4" w:space="0" w:color="auto"/>
                </w:tcBorders>
                <w:vAlign w:val="center"/>
              </w:tcPr>
              <w:p w:rsidR="00ED2DC7" w:rsidRDefault="008F04CF" w:rsidP="00B637B2">
                <w:pPr>
                  <w:jc w:val="right"/>
                  <w:rPr>
                    <w:color w:val="FF0000"/>
                    <w:szCs w:val="21"/>
                  </w:rPr>
                </w:pPr>
                <w:r w:rsidRPr="00F66BD1">
                  <w:rPr>
                    <w:szCs w:val="21"/>
                  </w:rPr>
                  <w:t>996,375,651</w:t>
                </w:r>
              </w:p>
            </w:tc>
          </w:tr>
          <w:tr w:rsidR="00ED2DC7" w:rsidTr="00B637B2">
            <w:trPr>
              <w:cantSplit/>
            </w:trPr>
            <w:sdt>
              <w:sdtPr>
                <w:tag w:val="_PLD_e1f60905870b4ec086c3a5755a91109d"/>
                <w:id w:val="-1541199864"/>
                <w:lock w:val="sdtLocked"/>
              </w:sdtPr>
              <w:sdtContent>
                <w:tc>
                  <w:tcPr>
                    <w:tcW w:w="2434" w:type="pct"/>
                    <w:tcBorders>
                      <w:top w:val="single" w:sz="4" w:space="0" w:color="auto"/>
                      <w:left w:val="single" w:sz="4" w:space="0" w:color="auto"/>
                      <w:bottom w:val="single" w:sz="4" w:space="0" w:color="auto"/>
                      <w:right w:val="single" w:sz="4" w:space="0" w:color="auto"/>
                    </w:tcBorders>
                  </w:tcPr>
                  <w:p w:rsidR="00ED2DC7" w:rsidRDefault="00ED2DC7">
                    <w:pPr>
                      <w:rPr>
                        <w:szCs w:val="21"/>
                      </w:rPr>
                    </w:pPr>
                    <w:r>
                      <w:rPr>
                        <w:rFonts w:hint="eastAsia"/>
                        <w:szCs w:val="21"/>
                      </w:rPr>
                      <w:t>其</w:t>
                    </w:r>
                    <w:r w:rsidRPr="006963DB">
                      <w:rPr>
                        <w:rFonts w:hint="eastAsia"/>
                        <w:szCs w:val="21"/>
                      </w:rPr>
                      <w:t>中：1年以内分项</w:t>
                    </w:r>
                  </w:p>
                </w:tc>
              </w:sdtContent>
            </w:sdt>
            <w:tc>
              <w:tcPr>
                <w:tcW w:w="2566" w:type="pct"/>
                <w:tcBorders>
                  <w:top w:val="single" w:sz="4" w:space="0" w:color="auto"/>
                  <w:left w:val="single" w:sz="4" w:space="0" w:color="auto"/>
                  <w:bottom w:val="single" w:sz="4" w:space="0" w:color="auto"/>
                  <w:right w:val="single" w:sz="4" w:space="0" w:color="auto"/>
                </w:tcBorders>
                <w:vAlign w:val="center"/>
              </w:tcPr>
              <w:p w:rsidR="00ED2DC7" w:rsidRDefault="00ED2DC7" w:rsidP="00B637B2">
                <w:pPr>
                  <w:jc w:val="right"/>
                  <w:rPr>
                    <w:szCs w:val="21"/>
                  </w:rPr>
                </w:pPr>
              </w:p>
            </w:tc>
          </w:tr>
          <w:sdt>
            <w:sdtPr>
              <w:rPr>
                <w:szCs w:val="21"/>
              </w:rPr>
              <w:alias w:val="一年以内应收账款金额明细"/>
              <w:tag w:val="_TUP_d8c7f05722aa40a58eaedfec7fbecace"/>
              <w:id w:val="-20315696"/>
              <w:lock w:val="sdtLocked"/>
              <w:placeholder>
                <w:docPart w:val="GBC11111111111111111111111111111"/>
              </w:placeholder>
            </w:sdtPr>
            <w:sdtContent>
              <w:tr w:rsidR="00ED2DC7" w:rsidTr="00B637B2">
                <w:trPr>
                  <w:cantSplit/>
                </w:trPr>
                <w:tc>
                  <w:tcPr>
                    <w:tcW w:w="2434" w:type="pct"/>
                    <w:tcBorders>
                      <w:top w:val="single" w:sz="4" w:space="0" w:color="auto"/>
                      <w:left w:val="single" w:sz="4" w:space="0" w:color="auto"/>
                      <w:bottom w:val="single" w:sz="4" w:space="0" w:color="auto"/>
                      <w:right w:val="single" w:sz="4" w:space="0" w:color="auto"/>
                    </w:tcBorders>
                  </w:tcPr>
                  <w:p w:rsidR="00ED2DC7" w:rsidRDefault="008F04CF">
                    <w:pPr>
                      <w:rPr>
                        <w:szCs w:val="21"/>
                      </w:rPr>
                    </w:pPr>
                    <w:r>
                      <w:rPr>
                        <w:szCs w:val="21"/>
                      </w:rPr>
                      <w:t>0</w:t>
                    </w:r>
                    <w:r>
                      <w:rPr>
                        <w:rFonts w:hint="eastAsia"/>
                        <w:szCs w:val="21"/>
                      </w:rPr>
                      <w:t>-</w:t>
                    </w:r>
                    <w:r>
                      <w:rPr>
                        <w:szCs w:val="21"/>
                      </w:rPr>
                      <w:t>12</w:t>
                    </w:r>
                    <w:r>
                      <w:rPr>
                        <w:rFonts w:hint="eastAsia"/>
                        <w:szCs w:val="21"/>
                      </w:rPr>
                      <w:t>个月</w:t>
                    </w:r>
                  </w:p>
                </w:tc>
                <w:tc>
                  <w:tcPr>
                    <w:tcW w:w="2566" w:type="pct"/>
                    <w:tcBorders>
                      <w:top w:val="single" w:sz="4" w:space="0" w:color="auto"/>
                      <w:left w:val="single" w:sz="4" w:space="0" w:color="auto"/>
                      <w:bottom w:val="single" w:sz="4" w:space="0" w:color="auto"/>
                      <w:right w:val="single" w:sz="4" w:space="0" w:color="auto"/>
                    </w:tcBorders>
                    <w:vAlign w:val="center"/>
                  </w:tcPr>
                  <w:p w:rsidR="00ED2DC7" w:rsidRDefault="008F04CF" w:rsidP="00B637B2">
                    <w:pPr>
                      <w:jc w:val="right"/>
                      <w:rPr>
                        <w:szCs w:val="21"/>
                      </w:rPr>
                    </w:pPr>
                    <w:r w:rsidRPr="00F66BD1">
                      <w:rPr>
                        <w:szCs w:val="21"/>
                      </w:rPr>
                      <w:t>996,375,651</w:t>
                    </w:r>
                  </w:p>
                </w:tc>
              </w:tr>
            </w:sdtContent>
          </w:sdt>
          <w:sdt>
            <w:sdtPr>
              <w:rPr>
                <w:szCs w:val="21"/>
              </w:rPr>
              <w:alias w:val="一年以内应收账款金额明细"/>
              <w:tag w:val="_TUP_d8c7f05722aa40a58eaedfec7fbecace"/>
              <w:id w:val="-600574744"/>
              <w:lock w:val="sdtLocked"/>
              <w:placeholder>
                <w:docPart w:val="GBC11111111111111111111111111111"/>
              </w:placeholder>
            </w:sdtPr>
            <w:sdtContent>
              <w:tr w:rsidR="00ED2DC7" w:rsidTr="00B637B2">
                <w:trPr>
                  <w:cantSplit/>
                </w:trPr>
                <w:tc>
                  <w:tcPr>
                    <w:tcW w:w="2434" w:type="pct"/>
                    <w:tcBorders>
                      <w:top w:val="single" w:sz="4" w:space="0" w:color="auto"/>
                      <w:left w:val="single" w:sz="4" w:space="0" w:color="auto"/>
                      <w:bottom w:val="single" w:sz="4" w:space="0" w:color="auto"/>
                      <w:right w:val="single" w:sz="4" w:space="0" w:color="auto"/>
                    </w:tcBorders>
                  </w:tcPr>
                  <w:p w:rsidR="00ED2DC7" w:rsidRDefault="00ED2DC7">
                    <w:pPr>
                      <w:rPr>
                        <w:szCs w:val="21"/>
                      </w:rPr>
                    </w:pPr>
                  </w:p>
                </w:tc>
                <w:tc>
                  <w:tcPr>
                    <w:tcW w:w="2566" w:type="pct"/>
                    <w:tcBorders>
                      <w:top w:val="single" w:sz="4" w:space="0" w:color="auto"/>
                      <w:left w:val="single" w:sz="4" w:space="0" w:color="auto"/>
                      <w:bottom w:val="single" w:sz="4" w:space="0" w:color="auto"/>
                      <w:right w:val="single" w:sz="4" w:space="0" w:color="auto"/>
                    </w:tcBorders>
                    <w:vAlign w:val="center"/>
                  </w:tcPr>
                  <w:p w:rsidR="00ED2DC7" w:rsidRDefault="00ED2DC7" w:rsidP="00B637B2">
                    <w:pPr>
                      <w:jc w:val="right"/>
                      <w:rPr>
                        <w:szCs w:val="21"/>
                      </w:rPr>
                    </w:pPr>
                  </w:p>
                </w:tc>
              </w:tr>
            </w:sdtContent>
          </w:sdt>
          <w:tr w:rsidR="00ED2DC7" w:rsidTr="00B637B2">
            <w:trPr>
              <w:cantSplit/>
            </w:trPr>
            <w:sdt>
              <w:sdtPr>
                <w:tag w:val="_PLD_c7d182c9cd3f494a90cf99c5a58ab86e"/>
                <w:id w:val="-419558573"/>
                <w:lock w:val="sdtLocked"/>
              </w:sdtPr>
              <w:sdtContent>
                <w:tc>
                  <w:tcPr>
                    <w:tcW w:w="2434" w:type="pct"/>
                    <w:tcBorders>
                      <w:top w:val="single" w:sz="4" w:space="0" w:color="auto"/>
                      <w:left w:val="single" w:sz="4" w:space="0" w:color="auto"/>
                      <w:bottom w:val="single" w:sz="4" w:space="0" w:color="auto"/>
                      <w:right w:val="single" w:sz="4" w:space="0" w:color="auto"/>
                    </w:tcBorders>
                  </w:tcPr>
                  <w:p w:rsidR="00ED2DC7" w:rsidRDefault="00ED2DC7">
                    <w:pPr>
                      <w:rPr>
                        <w:szCs w:val="21"/>
                      </w:rPr>
                    </w:pPr>
                    <w:r>
                      <w:rPr>
                        <w:rFonts w:hint="eastAsia"/>
                        <w:szCs w:val="21"/>
                      </w:rPr>
                      <w:t>1年以内小计</w:t>
                    </w:r>
                  </w:p>
                </w:tc>
              </w:sdtContent>
            </w:sdt>
            <w:tc>
              <w:tcPr>
                <w:tcW w:w="2566" w:type="pct"/>
                <w:tcBorders>
                  <w:top w:val="single" w:sz="4" w:space="0" w:color="auto"/>
                  <w:left w:val="single" w:sz="4" w:space="0" w:color="auto"/>
                  <w:bottom w:val="single" w:sz="4" w:space="0" w:color="auto"/>
                  <w:right w:val="single" w:sz="4" w:space="0" w:color="auto"/>
                </w:tcBorders>
                <w:vAlign w:val="center"/>
              </w:tcPr>
              <w:p w:rsidR="00ED2DC7" w:rsidRDefault="00F66BD1" w:rsidP="00B637B2">
                <w:pPr>
                  <w:jc w:val="right"/>
                  <w:rPr>
                    <w:szCs w:val="21"/>
                  </w:rPr>
                </w:pPr>
                <w:r w:rsidRPr="00F66BD1">
                  <w:rPr>
                    <w:szCs w:val="21"/>
                  </w:rPr>
                  <w:t>996,375,651</w:t>
                </w:r>
              </w:p>
            </w:tc>
          </w:tr>
          <w:tr w:rsidR="00F66BD1" w:rsidTr="00B637B2">
            <w:trPr>
              <w:cantSplit/>
            </w:trPr>
            <w:sdt>
              <w:sdtPr>
                <w:tag w:val="_PLD_ddd035f081424c508ec3702ea96caece"/>
                <w:id w:val="-909079238"/>
                <w:lock w:val="sdtLocked"/>
              </w:sdtPr>
              <w:sdtContent>
                <w:tc>
                  <w:tcPr>
                    <w:tcW w:w="2434" w:type="pct"/>
                    <w:tcBorders>
                      <w:top w:val="single" w:sz="4" w:space="0" w:color="auto"/>
                      <w:left w:val="single" w:sz="4" w:space="0" w:color="auto"/>
                      <w:bottom w:val="single" w:sz="4" w:space="0" w:color="auto"/>
                      <w:right w:val="single" w:sz="4" w:space="0" w:color="auto"/>
                    </w:tcBorders>
                  </w:tcPr>
                  <w:p w:rsidR="00F66BD1" w:rsidRDefault="00F66BD1" w:rsidP="00F66BD1">
                    <w:pPr>
                      <w:rPr>
                        <w:szCs w:val="21"/>
                      </w:rPr>
                    </w:pPr>
                    <w:r>
                      <w:rPr>
                        <w:rFonts w:hint="eastAsia"/>
                        <w:szCs w:val="21"/>
                      </w:rPr>
                      <w:t>1至2年</w:t>
                    </w:r>
                  </w:p>
                </w:tc>
              </w:sdtContent>
            </w:sdt>
            <w:tc>
              <w:tcPr>
                <w:tcW w:w="2566" w:type="pct"/>
                <w:tcBorders>
                  <w:top w:val="single" w:sz="4" w:space="0" w:color="auto"/>
                  <w:left w:val="single" w:sz="4" w:space="0" w:color="auto"/>
                  <w:bottom w:val="single" w:sz="4" w:space="0" w:color="auto"/>
                  <w:right w:val="single" w:sz="4" w:space="0" w:color="auto"/>
                </w:tcBorders>
                <w:vAlign w:val="center"/>
              </w:tcPr>
              <w:p w:rsidR="00F66BD1" w:rsidRPr="00673F9A" w:rsidRDefault="00F66BD1" w:rsidP="00B637B2">
                <w:pPr>
                  <w:jc w:val="right"/>
                </w:pPr>
                <w:r w:rsidRPr="00673F9A">
                  <w:t>284,129,003</w:t>
                </w:r>
              </w:p>
            </w:tc>
          </w:tr>
          <w:tr w:rsidR="00F66BD1" w:rsidTr="00B637B2">
            <w:trPr>
              <w:cantSplit/>
            </w:trPr>
            <w:sdt>
              <w:sdtPr>
                <w:tag w:val="_PLD_173769cdf4af409b9ed3b84a39f352b3"/>
                <w:id w:val="1119338225"/>
                <w:lock w:val="sdtLocked"/>
              </w:sdtPr>
              <w:sdtContent>
                <w:tc>
                  <w:tcPr>
                    <w:tcW w:w="2434" w:type="pct"/>
                    <w:tcBorders>
                      <w:top w:val="single" w:sz="4" w:space="0" w:color="auto"/>
                      <w:left w:val="single" w:sz="4" w:space="0" w:color="auto"/>
                      <w:bottom w:val="single" w:sz="4" w:space="0" w:color="auto"/>
                      <w:right w:val="single" w:sz="4" w:space="0" w:color="auto"/>
                    </w:tcBorders>
                  </w:tcPr>
                  <w:p w:rsidR="00F66BD1" w:rsidRDefault="00F66BD1" w:rsidP="00F66BD1">
                    <w:pPr>
                      <w:rPr>
                        <w:szCs w:val="21"/>
                      </w:rPr>
                    </w:pPr>
                    <w:r>
                      <w:rPr>
                        <w:rFonts w:hint="eastAsia"/>
                        <w:szCs w:val="21"/>
                      </w:rPr>
                      <w:t>2至3年</w:t>
                    </w:r>
                  </w:p>
                </w:tc>
              </w:sdtContent>
            </w:sdt>
            <w:tc>
              <w:tcPr>
                <w:tcW w:w="2566" w:type="pct"/>
                <w:tcBorders>
                  <w:top w:val="single" w:sz="4" w:space="0" w:color="auto"/>
                  <w:left w:val="single" w:sz="4" w:space="0" w:color="auto"/>
                  <w:bottom w:val="single" w:sz="4" w:space="0" w:color="auto"/>
                  <w:right w:val="single" w:sz="4" w:space="0" w:color="auto"/>
                </w:tcBorders>
                <w:vAlign w:val="center"/>
              </w:tcPr>
              <w:p w:rsidR="00F66BD1" w:rsidRPr="00673F9A" w:rsidRDefault="00F66BD1" w:rsidP="00B637B2">
                <w:pPr>
                  <w:jc w:val="right"/>
                </w:pPr>
                <w:r w:rsidRPr="00673F9A">
                  <w:t>143,594,233</w:t>
                </w:r>
              </w:p>
            </w:tc>
          </w:tr>
          <w:tr w:rsidR="00F66BD1" w:rsidTr="00B637B2">
            <w:trPr>
              <w:cantSplit/>
            </w:trPr>
            <w:sdt>
              <w:sdtPr>
                <w:tag w:val="_PLD_7ddcfca835a84663bade28a69e162ec0"/>
                <w:id w:val="-2016524288"/>
                <w:lock w:val="sdtLocked"/>
              </w:sdtPr>
              <w:sdtContent>
                <w:tc>
                  <w:tcPr>
                    <w:tcW w:w="2434" w:type="pct"/>
                    <w:tcBorders>
                      <w:top w:val="single" w:sz="4" w:space="0" w:color="auto"/>
                      <w:left w:val="single" w:sz="4" w:space="0" w:color="auto"/>
                      <w:bottom w:val="single" w:sz="4" w:space="0" w:color="auto"/>
                      <w:right w:val="single" w:sz="4" w:space="0" w:color="auto"/>
                    </w:tcBorders>
                  </w:tcPr>
                  <w:p w:rsidR="00F66BD1" w:rsidRDefault="00F66BD1" w:rsidP="00F66BD1">
                    <w:pPr>
                      <w:rPr>
                        <w:szCs w:val="21"/>
                      </w:rPr>
                    </w:pPr>
                    <w:r>
                      <w:rPr>
                        <w:rFonts w:hint="eastAsia"/>
                        <w:szCs w:val="21"/>
                      </w:rPr>
                      <w:t>3年以上</w:t>
                    </w:r>
                  </w:p>
                </w:tc>
              </w:sdtContent>
            </w:sdt>
            <w:tc>
              <w:tcPr>
                <w:tcW w:w="2566" w:type="pct"/>
                <w:tcBorders>
                  <w:top w:val="single" w:sz="4" w:space="0" w:color="auto"/>
                  <w:left w:val="single" w:sz="4" w:space="0" w:color="auto"/>
                  <w:bottom w:val="single" w:sz="4" w:space="0" w:color="auto"/>
                  <w:right w:val="single" w:sz="4" w:space="0" w:color="auto"/>
                </w:tcBorders>
                <w:vAlign w:val="center"/>
              </w:tcPr>
              <w:p w:rsidR="00F66BD1" w:rsidRPr="00673F9A" w:rsidRDefault="00F66BD1" w:rsidP="00B637B2">
                <w:pPr>
                  <w:jc w:val="right"/>
                </w:pPr>
              </w:p>
            </w:tc>
          </w:tr>
          <w:tr w:rsidR="00F66BD1" w:rsidTr="00B637B2">
            <w:trPr>
              <w:cantSplit/>
            </w:trPr>
            <w:sdt>
              <w:sdtPr>
                <w:tag w:val="_PLD_fd1f00d60b69467bbd45960ac76b73ab"/>
                <w:id w:val="2086259344"/>
                <w:lock w:val="sdtLocked"/>
              </w:sdtPr>
              <w:sdtContent>
                <w:tc>
                  <w:tcPr>
                    <w:tcW w:w="2434" w:type="pct"/>
                    <w:tcBorders>
                      <w:top w:val="single" w:sz="4" w:space="0" w:color="auto"/>
                      <w:left w:val="single" w:sz="4" w:space="0" w:color="auto"/>
                      <w:bottom w:val="single" w:sz="4" w:space="0" w:color="auto"/>
                      <w:right w:val="single" w:sz="4" w:space="0" w:color="auto"/>
                    </w:tcBorders>
                  </w:tcPr>
                  <w:p w:rsidR="00F66BD1" w:rsidRDefault="00F66BD1" w:rsidP="00F66BD1">
                    <w:pPr>
                      <w:rPr>
                        <w:szCs w:val="21"/>
                      </w:rPr>
                    </w:pPr>
                    <w:r>
                      <w:rPr>
                        <w:rFonts w:hint="eastAsia"/>
                        <w:szCs w:val="21"/>
                      </w:rPr>
                      <w:t>3至4年</w:t>
                    </w:r>
                  </w:p>
                </w:tc>
              </w:sdtContent>
            </w:sdt>
            <w:tc>
              <w:tcPr>
                <w:tcW w:w="2566" w:type="pct"/>
                <w:tcBorders>
                  <w:top w:val="single" w:sz="4" w:space="0" w:color="auto"/>
                  <w:left w:val="single" w:sz="4" w:space="0" w:color="auto"/>
                  <w:bottom w:val="single" w:sz="4" w:space="0" w:color="auto"/>
                  <w:right w:val="single" w:sz="4" w:space="0" w:color="auto"/>
                </w:tcBorders>
                <w:vAlign w:val="center"/>
              </w:tcPr>
              <w:p w:rsidR="00F66BD1" w:rsidRPr="00673F9A" w:rsidRDefault="008F04CF" w:rsidP="00B637B2">
                <w:pPr>
                  <w:jc w:val="right"/>
                </w:pPr>
                <w:r w:rsidRPr="00673F9A">
                  <w:t>105,559,269</w:t>
                </w:r>
              </w:p>
            </w:tc>
          </w:tr>
          <w:tr w:rsidR="00F66BD1" w:rsidTr="00B637B2">
            <w:trPr>
              <w:cantSplit/>
            </w:trPr>
            <w:sdt>
              <w:sdtPr>
                <w:tag w:val="_PLD_8db7bbb254fd40b486e26e8b3e40a316"/>
                <w:id w:val="1445731173"/>
                <w:lock w:val="sdtLocked"/>
              </w:sdtPr>
              <w:sdtContent>
                <w:tc>
                  <w:tcPr>
                    <w:tcW w:w="2434" w:type="pct"/>
                    <w:tcBorders>
                      <w:top w:val="single" w:sz="4" w:space="0" w:color="auto"/>
                      <w:left w:val="single" w:sz="4" w:space="0" w:color="auto"/>
                      <w:bottom w:val="single" w:sz="4" w:space="0" w:color="auto"/>
                      <w:right w:val="single" w:sz="4" w:space="0" w:color="auto"/>
                    </w:tcBorders>
                  </w:tcPr>
                  <w:p w:rsidR="00F66BD1" w:rsidRDefault="00F66BD1" w:rsidP="00F66BD1">
                    <w:pPr>
                      <w:rPr>
                        <w:szCs w:val="21"/>
                      </w:rPr>
                    </w:pPr>
                    <w:r>
                      <w:rPr>
                        <w:rFonts w:hint="eastAsia"/>
                        <w:szCs w:val="21"/>
                      </w:rPr>
                      <w:t>4至5年</w:t>
                    </w:r>
                  </w:p>
                </w:tc>
              </w:sdtContent>
            </w:sdt>
            <w:tc>
              <w:tcPr>
                <w:tcW w:w="2566" w:type="pct"/>
                <w:tcBorders>
                  <w:top w:val="single" w:sz="4" w:space="0" w:color="auto"/>
                  <w:left w:val="single" w:sz="4" w:space="0" w:color="auto"/>
                  <w:bottom w:val="single" w:sz="4" w:space="0" w:color="auto"/>
                  <w:right w:val="single" w:sz="4" w:space="0" w:color="auto"/>
                </w:tcBorders>
                <w:vAlign w:val="center"/>
              </w:tcPr>
              <w:p w:rsidR="00F66BD1" w:rsidRDefault="008F04CF" w:rsidP="00B637B2">
                <w:pPr>
                  <w:jc w:val="right"/>
                </w:pPr>
                <w:r w:rsidRPr="00673F9A">
                  <w:t>66,732,626</w:t>
                </w:r>
              </w:p>
            </w:tc>
          </w:tr>
          <w:tr w:rsidR="00F66BD1" w:rsidTr="00B637B2">
            <w:trPr>
              <w:cantSplit/>
            </w:trPr>
            <w:sdt>
              <w:sdtPr>
                <w:tag w:val="_PLD_e4213ce4e1fb477baea80cfbb361b8a7"/>
                <w:id w:val="1083966508"/>
                <w:lock w:val="sdtLocked"/>
              </w:sdtPr>
              <w:sdtContent>
                <w:tc>
                  <w:tcPr>
                    <w:tcW w:w="2434" w:type="pct"/>
                    <w:tcBorders>
                      <w:top w:val="single" w:sz="4" w:space="0" w:color="auto"/>
                      <w:left w:val="single" w:sz="4" w:space="0" w:color="auto"/>
                      <w:bottom w:val="single" w:sz="4" w:space="0" w:color="auto"/>
                      <w:right w:val="single" w:sz="4" w:space="0" w:color="auto"/>
                    </w:tcBorders>
                  </w:tcPr>
                  <w:p w:rsidR="00F66BD1" w:rsidRDefault="00F66BD1" w:rsidP="00F66BD1">
                    <w:pPr>
                      <w:rPr>
                        <w:szCs w:val="21"/>
                      </w:rPr>
                    </w:pPr>
                    <w:r>
                      <w:rPr>
                        <w:rFonts w:hint="eastAsia"/>
                        <w:szCs w:val="21"/>
                      </w:rPr>
                      <w:t>5年以上</w:t>
                    </w:r>
                  </w:p>
                </w:tc>
              </w:sdtContent>
            </w:sdt>
            <w:tc>
              <w:tcPr>
                <w:tcW w:w="2566" w:type="pct"/>
                <w:tcBorders>
                  <w:top w:val="single" w:sz="4" w:space="0" w:color="auto"/>
                  <w:left w:val="single" w:sz="4" w:space="0" w:color="auto"/>
                  <w:bottom w:val="single" w:sz="4" w:space="0" w:color="auto"/>
                  <w:right w:val="single" w:sz="4" w:space="0" w:color="auto"/>
                </w:tcBorders>
                <w:vAlign w:val="center"/>
              </w:tcPr>
              <w:p w:rsidR="00F66BD1" w:rsidRPr="00673F9A" w:rsidRDefault="008F04CF" w:rsidP="00B637B2">
                <w:pPr>
                  <w:jc w:val="right"/>
                </w:pPr>
                <w:r w:rsidRPr="00673F9A">
                  <w:t>191,246,018</w:t>
                </w:r>
              </w:p>
            </w:tc>
          </w:tr>
          <w:tr w:rsidR="00ED2DC7" w:rsidTr="00B637B2">
            <w:trPr>
              <w:cantSplit/>
            </w:trPr>
            <w:sdt>
              <w:sdtPr>
                <w:tag w:val="_PLD_a92bd573499a45f88eb09857cbe19e80"/>
                <w:id w:val="1388683470"/>
                <w:lock w:val="sdtLocked"/>
              </w:sdtPr>
              <w:sdtContent>
                <w:tc>
                  <w:tcPr>
                    <w:tcW w:w="2434" w:type="pct"/>
                    <w:tcBorders>
                      <w:top w:val="single" w:sz="4" w:space="0" w:color="auto"/>
                      <w:left w:val="single" w:sz="4" w:space="0" w:color="auto"/>
                      <w:bottom w:val="single" w:sz="4" w:space="0" w:color="auto"/>
                      <w:right w:val="single" w:sz="4" w:space="0" w:color="auto"/>
                    </w:tcBorders>
                    <w:vAlign w:val="center"/>
                  </w:tcPr>
                  <w:p w:rsidR="00ED2DC7" w:rsidRDefault="00ED2DC7">
                    <w:pPr>
                      <w:jc w:val="center"/>
                      <w:rPr>
                        <w:szCs w:val="21"/>
                      </w:rPr>
                    </w:pPr>
                    <w:r>
                      <w:rPr>
                        <w:rFonts w:hint="eastAsia"/>
                        <w:szCs w:val="21"/>
                      </w:rPr>
                      <w:t>合计</w:t>
                    </w:r>
                  </w:p>
                </w:tc>
              </w:sdtContent>
            </w:sdt>
            <w:tc>
              <w:tcPr>
                <w:tcW w:w="2566" w:type="pct"/>
                <w:tcBorders>
                  <w:top w:val="single" w:sz="4" w:space="0" w:color="auto"/>
                  <w:left w:val="single" w:sz="4" w:space="0" w:color="auto"/>
                  <w:bottom w:val="single" w:sz="4" w:space="0" w:color="auto"/>
                  <w:right w:val="single" w:sz="4" w:space="0" w:color="auto"/>
                </w:tcBorders>
                <w:vAlign w:val="center"/>
              </w:tcPr>
              <w:p w:rsidR="00ED2DC7" w:rsidRDefault="00F66BD1" w:rsidP="00B637B2">
                <w:pPr>
                  <w:jc w:val="right"/>
                  <w:rPr>
                    <w:szCs w:val="21"/>
                  </w:rPr>
                </w:pPr>
                <w:r w:rsidRPr="00F66BD1">
                  <w:rPr>
                    <w:szCs w:val="21"/>
                  </w:rPr>
                  <w:t>1,787,636,800</w:t>
                </w:r>
              </w:p>
            </w:tc>
          </w:tr>
        </w:tbl>
        <w:p w:rsidR="00ED2DC7" w:rsidRDefault="000D0A99"/>
      </w:sdtContent>
    </w:sdt>
    <w:bookmarkEnd w:id="99" w:displacedByCustomXml="prev"/>
    <w:p w:rsidR="00ED2DC7" w:rsidRPr="00662DAD" w:rsidRDefault="00ED2DC7" w:rsidP="00036BDC">
      <w:pPr>
        <w:pStyle w:val="affffffffffffffffff2"/>
        <w:numPr>
          <w:ilvl w:val="3"/>
          <w:numId w:val="51"/>
        </w:numPr>
        <w:tabs>
          <w:tab w:val="left" w:pos="574"/>
        </w:tabs>
      </w:pPr>
      <w:bookmarkStart w:id="100" w:name="_Hlk10467162"/>
      <w:r w:rsidRPr="00662DAD">
        <w:rPr>
          <w:rFonts w:asciiTheme="minorHAnsi" w:hAnsiTheme="minorHAnsi" w:cstheme="minorBidi" w:hint="eastAsia"/>
          <w:bCs w:val="0"/>
          <w:kern w:val="0"/>
          <w:szCs w:val="22"/>
        </w:rPr>
        <w:t>按坏账计提方法分类披露</w:t>
      </w:r>
    </w:p>
    <w:sdt>
      <w:sdtPr>
        <w:alias w:val="是否适用：应收账款分类披露[双击切换]"/>
        <w:tag w:val="_GBC_fc55e6778e08412caa3e7b9e7a1a0f85"/>
        <w:id w:val="366265746"/>
        <w:lock w:val="sdtContentLocked"/>
        <w:placeholder>
          <w:docPart w:val="GBC22222222222222222222222222222"/>
        </w:placeholder>
      </w:sdtPr>
      <w:sdtContent>
        <w:p w:rsidR="00ED2DC7" w:rsidRDefault="00ED2DC7">
          <w:r>
            <w:fldChar w:fldCharType="begin"/>
          </w:r>
          <w:r w:rsidR="008F04CF">
            <w:instrText xml:space="preserve"> MACROBUTTON  SnrToggleCheckbox √适用 </w:instrText>
          </w:r>
          <w:r>
            <w:fldChar w:fldCharType="end"/>
          </w:r>
          <w:r>
            <w:fldChar w:fldCharType="begin"/>
          </w:r>
          <w:r w:rsidR="008F04CF">
            <w:instrText xml:space="preserve"> MACROBUTTON  SnrToggleCheckbox □不适用 </w:instrText>
          </w:r>
          <w:r>
            <w:fldChar w:fldCharType="end"/>
          </w:r>
        </w:p>
      </w:sdtContent>
    </w:sdt>
    <w:sdt>
      <w:sdtPr>
        <w:rPr>
          <w:rFonts w:ascii="宋体" w:hAnsi="宋体" w:cs="宋体" w:hint="eastAsia"/>
          <w:kern w:val="0"/>
          <w:szCs w:val="21"/>
        </w:rPr>
        <w:alias w:val="模块:(2). 按坏账计提方法分类披露"/>
        <w:tag w:val="_SEC_0398db7d3d0941d99bcd41800ef0e448"/>
        <w:id w:val="1791171167"/>
        <w:lock w:val="sdtLocked"/>
        <w:placeholder>
          <w:docPart w:val="GBC22222222222222222222222222222"/>
        </w:placeholder>
      </w:sdtPr>
      <w:sdtEndPr>
        <w:rPr>
          <w:rFonts w:hint="default"/>
          <w:sz w:val="18"/>
          <w:szCs w:val="18"/>
        </w:rPr>
      </w:sdtEndPr>
      <w:sdtContent>
        <w:p w:rsidR="00ED2DC7" w:rsidRDefault="00ED2DC7">
          <w:pPr>
            <w:pStyle w:val="afffffffffffffffffff3"/>
            <w:autoSpaceDE w:val="0"/>
            <w:autoSpaceDN w:val="0"/>
            <w:adjustRightInd w:val="0"/>
            <w:ind w:left="425" w:right="105" w:firstLineChars="0" w:firstLine="0"/>
            <w:jc w:val="right"/>
            <w:rPr>
              <w:szCs w:val="21"/>
            </w:rPr>
          </w:pPr>
          <w:r>
            <w:rPr>
              <w:rFonts w:hint="eastAsia"/>
              <w:szCs w:val="21"/>
            </w:rPr>
            <w:t>单位：</w:t>
          </w:r>
          <w:sdt>
            <w:sdtPr>
              <w:rPr>
                <w:rFonts w:hint="eastAsia"/>
                <w:szCs w:val="21"/>
              </w:rPr>
              <w:alias w:val="单位：财务附注：应收账款按种类披露"/>
              <w:tag w:val="_GBC_13874a7a2d5642bc9d06df2e53ad133f"/>
              <w:id w:val="-86929801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应收账款按种类披露"/>
              <w:tag w:val="_GBC_a7c9ba83409d4f5ebb3a7b0903842485"/>
              <w:id w:val="13327887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szCs w:val="21"/>
                </w:rPr>
                <w:t>人民币</w:t>
              </w:r>
            </w:sdtContent>
          </w:sdt>
        </w:p>
        <w:tbl>
          <w:tblPr>
            <w:tblStyle w:val="g38"/>
            <w:tblW w:w="6025" w:type="pct"/>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919"/>
            <w:gridCol w:w="1344"/>
            <w:gridCol w:w="332"/>
            <w:gridCol w:w="1098"/>
            <w:gridCol w:w="332"/>
            <w:gridCol w:w="1314"/>
            <w:gridCol w:w="1345"/>
            <w:gridCol w:w="332"/>
            <w:gridCol w:w="1052"/>
            <w:gridCol w:w="332"/>
            <w:gridCol w:w="1232"/>
          </w:tblGrid>
          <w:tr w:rsidR="00ED2DC7" w:rsidTr="00B637B2">
            <w:trPr>
              <w:cantSplit/>
              <w:trHeight w:val="259"/>
            </w:trPr>
            <w:sdt>
              <w:sdtPr>
                <w:rPr>
                  <w:sz w:val="18"/>
                  <w:szCs w:val="18"/>
                </w:rPr>
                <w:tag w:val="_PLD_a2143754c0e847e9a8bbb40d4548066c"/>
                <w:id w:val="110406395"/>
                <w:lock w:val="sdtLocked"/>
              </w:sdtPr>
              <w:sdtContent>
                <w:tc>
                  <w:tcPr>
                    <w:tcW w:w="943" w:type="pct"/>
                    <w:vMerge w:val="restart"/>
                    <w:tcBorders>
                      <w:top w:val="single" w:sz="4" w:space="0" w:color="auto"/>
                      <w:left w:val="single" w:sz="4" w:space="0" w:color="auto"/>
                      <w:right w:val="single" w:sz="4" w:space="0" w:color="auto"/>
                    </w:tcBorders>
                    <w:vAlign w:val="center"/>
                  </w:tcPr>
                  <w:p w:rsidR="00ED2DC7" w:rsidRPr="006963DB" w:rsidRDefault="00ED2DC7">
                    <w:pPr>
                      <w:jc w:val="center"/>
                      <w:rPr>
                        <w:sz w:val="18"/>
                        <w:szCs w:val="18"/>
                      </w:rPr>
                    </w:pPr>
                    <w:r w:rsidRPr="006963DB">
                      <w:rPr>
                        <w:rFonts w:hint="eastAsia"/>
                        <w:sz w:val="18"/>
                        <w:szCs w:val="18"/>
                      </w:rPr>
                      <w:t>类别</w:t>
                    </w:r>
                  </w:p>
                </w:tc>
              </w:sdtContent>
            </w:sdt>
            <w:sdt>
              <w:sdtPr>
                <w:rPr>
                  <w:sz w:val="18"/>
                  <w:szCs w:val="18"/>
                </w:rPr>
                <w:tag w:val="_PLD_25d42b68a0be4b6c9079bb6f0b9688f1"/>
                <w:id w:val="-1079519923"/>
                <w:lock w:val="sdtLocked"/>
              </w:sdtPr>
              <w:sdtContent>
                <w:tc>
                  <w:tcPr>
                    <w:tcW w:w="2272" w:type="pct"/>
                    <w:gridSpan w:val="5"/>
                    <w:tcBorders>
                      <w:top w:val="single" w:sz="4" w:space="0" w:color="auto"/>
                      <w:left w:val="single" w:sz="4" w:space="0" w:color="auto"/>
                      <w:right w:val="single" w:sz="4" w:space="0" w:color="auto"/>
                    </w:tcBorders>
                    <w:vAlign w:val="center"/>
                  </w:tcPr>
                  <w:p w:rsidR="00ED2DC7" w:rsidRPr="006963DB" w:rsidRDefault="00ED2DC7">
                    <w:pPr>
                      <w:autoSpaceDE w:val="0"/>
                      <w:autoSpaceDN w:val="0"/>
                      <w:adjustRightInd w:val="0"/>
                      <w:snapToGrid w:val="0"/>
                      <w:spacing w:line="240" w:lineRule="atLeast"/>
                      <w:jc w:val="center"/>
                      <w:rPr>
                        <w:sz w:val="18"/>
                        <w:szCs w:val="18"/>
                      </w:rPr>
                    </w:pPr>
                    <w:r w:rsidRPr="006963DB">
                      <w:rPr>
                        <w:rFonts w:hint="eastAsia"/>
                        <w:sz w:val="18"/>
                        <w:szCs w:val="18"/>
                      </w:rPr>
                      <w:t>期末余额</w:t>
                    </w:r>
                  </w:p>
                </w:tc>
              </w:sdtContent>
            </w:sdt>
            <w:sdt>
              <w:sdtPr>
                <w:rPr>
                  <w:sz w:val="18"/>
                  <w:szCs w:val="18"/>
                </w:rPr>
                <w:tag w:val="_PLD_7ebf4817a5864c42bb0897c8ddd0cd9c"/>
                <w:id w:val="1585724881"/>
                <w:lock w:val="sdtLocked"/>
              </w:sdtPr>
              <w:sdtContent>
                <w:tc>
                  <w:tcPr>
                    <w:tcW w:w="1784" w:type="pct"/>
                    <w:gridSpan w:val="5"/>
                    <w:tcBorders>
                      <w:top w:val="single" w:sz="4" w:space="0" w:color="auto"/>
                      <w:left w:val="single" w:sz="4" w:space="0" w:color="auto"/>
                      <w:right w:val="single" w:sz="4" w:space="0" w:color="auto"/>
                    </w:tcBorders>
                    <w:vAlign w:val="center"/>
                  </w:tcPr>
                  <w:p w:rsidR="00ED2DC7" w:rsidRPr="006963DB" w:rsidRDefault="00ED2DC7">
                    <w:pPr>
                      <w:autoSpaceDE w:val="0"/>
                      <w:autoSpaceDN w:val="0"/>
                      <w:adjustRightInd w:val="0"/>
                      <w:snapToGrid w:val="0"/>
                      <w:spacing w:line="240" w:lineRule="atLeast"/>
                      <w:jc w:val="center"/>
                      <w:rPr>
                        <w:sz w:val="18"/>
                        <w:szCs w:val="18"/>
                      </w:rPr>
                    </w:pPr>
                    <w:r w:rsidRPr="006963DB">
                      <w:rPr>
                        <w:rFonts w:hint="eastAsia"/>
                        <w:sz w:val="18"/>
                        <w:szCs w:val="18"/>
                      </w:rPr>
                      <w:t>期初余额</w:t>
                    </w:r>
                  </w:p>
                </w:tc>
              </w:sdtContent>
            </w:sdt>
          </w:tr>
          <w:tr w:rsidR="00ED2DC7" w:rsidTr="00B637B2">
            <w:trPr>
              <w:cantSplit/>
              <w:trHeight w:val="227"/>
            </w:trPr>
            <w:tc>
              <w:tcPr>
                <w:tcW w:w="943" w:type="pct"/>
                <w:vMerge/>
                <w:tcBorders>
                  <w:left w:val="single" w:sz="4" w:space="0" w:color="auto"/>
                  <w:right w:val="single" w:sz="4" w:space="0" w:color="auto"/>
                </w:tcBorders>
                <w:vAlign w:val="center"/>
              </w:tcPr>
              <w:p w:rsidR="00ED2DC7" w:rsidRPr="006963DB" w:rsidRDefault="00ED2DC7">
                <w:pPr>
                  <w:rPr>
                    <w:sz w:val="18"/>
                    <w:szCs w:val="18"/>
                  </w:rPr>
                </w:pPr>
              </w:p>
            </w:tc>
            <w:sdt>
              <w:sdtPr>
                <w:rPr>
                  <w:sz w:val="18"/>
                  <w:szCs w:val="18"/>
                </w:rPr>
                <w:tag w:val="_PLD_fd64cffe158d4ef48a5ff569de778464"/>
                <w:id w:val="-1076351970"/>
                <w:lock w:val="sdtLocked"/>
              </w:sdtPr>
              <w:sdtContent>
                <w:tc>
                  <w:tcPr>
                    <w:tcW w:w="849" w:type="pct"/>
                    <w:gridSpan w:val="2"/>
                    <w:tcBorders>
                      <w:top w:val="single" w:sz="4" w:space="0" w:color="auto"/>
                      <w:left w:val="single" w:sz="4" w:space="0" w:color="auto"/>
                      <w:bottom w:val="single" w:sz="4" w:space="0" w:color="auto"/>
                      <w:right w:val="single" w:sz="4" w:space="0" w:color="auto"/>
                    </w:tcBorders>
                    <w:vAlign w:val="center"/>
                  </w:tcPr>
                  <w:p w:rsidR="00ED2DC7" w:rsidRPr="006963DB" w:rsidRDefault="00ED2DC7">
                    <w:pPr>
                      <w:jc w:val="center"/>
                      <w:rPr>
                        <w:sz w:val="18"/>
                        <w:szCs w:val="18"/>
                      </w:rPr>
                    </w:pPr>
                    <w:r w:rsidRPr="006963DB">
                      <w:rPr>
                        <w:rFonts w:hint="eastAsia"/>
                        <w:sz w:val="18"/>
                        <w:szCs w:val="18"/>
                      </w:rPr>
                      <w:t>账面余额</w:t>
                    </w:r>
                  </w:p>
                </w:tc>
              </w:sdtContent>
            </w:sdt>
            <w:sdt>
              <w:sdtPr>
                <w:rPr>
                  <w:sz w:val="18"/>
                  <w:szCs w:val="18"/>
                </w:rPr>
                <w:tag w:val="_PLD_f0f4adcb95c44cfa884ef7d853d6b134"/>
                <w:id w:val="-578058078"/>
                <w:lock w:val="sdtLocked"/>
              </w:sdtPr>
              <w:sdtContent>
                <w:tc>
                  <w:tcPr>
                    <w:tcW w:w="752" w:type="pct"/>
                    <w:gridSpan w:val="2"/>
                    <w:tcBorders>
                      <w:top w:val="single" w:sz="4" w:space="0" w:color="auto"/>
                      <w:left w:val="single" w:sz="4" w:space="0" w:color="auto"/>
                      <w:bottom w:val="single" w:sz="4" w:space="0" w:color="auto"/>
                      <w:right w:val="single" w:sz="4" w:space="0" w:color="auto"/>
                    </w:tcBorders>
                    <w:vAlign w:val="center"/>
                  </w:tcPr>
                  <w:p w:rsidR="00ED2DC7" w:rsidRPr="006963DB" w:rsidRDefault="00ED2DC7">
                    <w:pPr>
                      <w:jc w:val="center"/>
                      <w:rPr>
                        <w:sz w:val="18"/>
                        <w:szCs w:val="18"/>
                      </w:rPr>
                    </w:pPr>
                    <w:r w:rsidRPr="006963DB">
                      <w:rPr>
                        <w:rFonts w:hint="eastAsia"/>
                        <w:sz w:val="18"/>
                        <w:szCs w:val="18"/>
                      </w:rPr>
                      <w:t>坏账准备</w:t>
                    </w:r>
                  </w:p>
                </w:tc>
              </w:sdtContent>
            </w:sdt>
            <w:sdt>
              <w:sdtPr>
                <w:rPr>
                  <w:sz w:val="18"/>
                  <w:szCs w:val="18"/>
                </w:rPr>
                <w:tag w:val="_PLD_4c122527ed0743b8905d9f19514f4328"/>
                <w:id w:val="70714397"/>
                <w:lock w:val="sdtLocked"/>
              </w:sdtPr>
              <w:sdtContent>
                <w:tc>
                  <w:tcPr>
                    <w:tcW w:w="672" w:type="pct"/>
                    <w:vMerge w:val="restart"/>
                    <w:tcBorders>
                      <w:top w:val="single" w:sz="4" w:space="0" w:color="auto"/>
                      <w:left w:val="single" w:sz="4" w:space="0" w:color="auto"/>
                      <w:right w:val="single" w:sz="4" w:space="0" w:color="auto"/>
                    </w:tcBorders>
                    <w:vAlign w:val="center"/>
                  </w:tcPr>
                  <w:p w:rsidR="00ED2DC7" w:rsidRPr="006963DB" w:rsidRDefault="00ED2DC7">
                    <w:pPr>
                      <w:jc w:val="center"/>
                      <w:rPr>
                        <w:sz w:val="18"/>
                        <w:szCs w:val="18"/>
                      </w:rPr>
                    </w:pPr>
                    <w:r w:rsidRPr="006963DB">
                      <w:rPr>
                        <w:rFonts w:hint="eastAsia"/>
                        <w:sz w:val="18"/>
                        <w:szCs w:val="18"/>
                      </w:rPr>
                      <w:t>账面</w:t>
                    </w:r>
                  </w:p>
                  <w:p w:rsidR="00ED2DC7" w:rsidRPr="006963DB" w:rsidRDefault="00ED2DC7">
                    <w:pPr>
                      <w:jc w:val="center"/>
                      <w:rPr>
                        <w:sz w:val="18"/>
                        <w:szCs w:val="18"/>
                      </w:rPr>
                    </w:pPr>
                    <w:r w:rsidRPr="006963DB">
                      <w:rPr>
                        <w:rFonts w:hint="eastAsia"/>
                        <w:sz w:val="18"/>
                        <w:szCs w:val="18"/>
                      </w:rPr>
                      <w:t>价值</w:t>
                    </w:r>
                  </w:p>
                </w:tc>
              </w:sdtContent>
            </w:sdt>
            <w:sdt>
              <w:sdtPr>
                <w:rPr>
                  <w:sz w:val="18"/>
                  <w:szCs w:val="18"/>
                </w:rPr>
                <w:tag w:val="_PLD_fa758d9eb4ae426faef8e328262241b4"/>
                <w:id w:val="574557421"/>
                <w:lock w:val="sdtLocked"/>
              </w:sdtPr>
              <w:sdtContent>
                <w:tc>
                  <w:tcPr>
                    <w:tcW w:w="854" w:type="pct"/>
                    <w:gridSpan w:val="2"/>
                    <w:tcBorders>
                      <w:top w:val="single" w:sz="4" w:space="0" w:color="auto"/>
                      <w:left w:val="single" w:sz="4" w:space="0" w:color="auto"/>
                      <w:right w:val="single" w:sz="4" w:space="0" w:color="auto"/>
                    </w:tcBorders>
                    <w:vAlign w:val="center"/>
                  </w:tcPr>
                  <w:p w:rsidR="00ED2DC7" w:rsidRPr="006963DB" w:rsidRDefault="00ED2DC7">
                    <w:pPr>
                      <w:jc w:val="center"/>
                      <w:rPr>
                        <w:sz w:val="18"/>
                        <w:szCs w:val="18"/>
                      </w:rPr>
                    </w:pPr>
                    <w:r w:rsidRPr="006963DB">
                      <w:rPr>
                        <w:rFonts w:hint="eastAsia"/>
                        <w:sz w:val="18"/>
                        <w:szCs w:val="18"/>
                      </w:rPr>
                      <w:t>账面余额</w:t>
                    </w:r>
                  </w:p>
                </w:tc>
              </w:sdtContent>
            </w:sdt>
            <w:sdt>
              <w:sdtPr>
                <w:rPr>
                  <w:sz w:val="18"/>
                  <w:szCs w:val="18"/>
                </w:rPr>
                <w:tag w:val="_PLD_58080bac137d4831ab65bc2f8ca82429"/>
                <w:id w:val="767741505"/>
                <w:lock w:val="sdtLocked"/>
              </w:sdtPr>
              <w:sdtContent>
                <w:tc>
                  <w:tcPr>
                    <w:tcW w:w="379" w:type="pct"/>
                    <w:gridSpan w:val="2"/>
                    <w:tcBorders>
                      <w:top w:val="single" w:sz="4" w:space="0" w:color="auto"/>
                      <w:left w:val="single" w:sz="4" w:space="0" w:color="auto"/>
                      <w:right w:val="single" w:sz="4" w:space="0" w:color="auto"/>
                    </w:tcBorders>
                    <w:vAlign w:val="center"/>
                  </w:tcPr>
                  <w:p w:rsidR="00ED2DC7" w:rsidRPr="006963DB" w:rsidRDefault="00ED2DC7">
                    <w:pPr>
                      <w:jc w:val="center"/>
                      <w:rPr>
                        <w:sz w:val="18"/>
                        <w:szCs w:val="18"/>
                      </w:rPr>
                    </w:pPr>
                    <w:r w:rsidRPr="006963DB">
                      <w:rPr>
                        <w:rFonts w:hint="eastAsia"/>
                        <w:sz w:val="18"/>
                        <w:szCs w:val="18"/>
                      </w:rPr>
                      <w:t>坏账准备</w:t>
                    </w:r>
                  </w:p>
                </w:tc>
              </w:sdtContent>
            </w:sdt>
            <w:sdt>
              <w:sdtPr>
                <w:rPr>
                  <w:sz w:val="18"/>
                  <w:szCs w:val="18"/>
                </w:rPr>
                <w:tag w:val="_PLD_c015e43e7b384b6ab9bf259155579fa4"/>
                <w:id w:val="-315190987"/>
                <w:lock w:val="sdtLocked"/>
              </w:sdtPr>
              <w:sdtContent>
                <w:tc>
                  <w:tcPr>
                    <w:tcW w:w="551" w:type="pct"/>
                    <w:vMerge w:val="restart"/>
                    <w:tcBorders>
                      <w:top w:val="single" w:sz="4" w:space="0" w:color="auto"/>
                      <w:left w:val="single" w:sz="4" w:space="0" w:color="auto"/>
                      <w:right w:val="single" w:sz="4" w:space="0" w:color="auto"/>
                    </w:tcBorders>
                    <w:vAlign w:val="center"/>
                  </w:tcPr>
                  <w:p w:rsidR="00ED2DC7" w:rsidRPr="006963DB" w:rsidRDefault="00ED2DC7">
                    <w:pPr>
                      <w:jc w:val="center"/>
                      <w:rPr>
                        <w:sz w:val="18"/>
                        <w:szCs w:val="18"/>
                      </w:rPr>
                    </w:pPr>
                    <w:r w:rsidRPr="006963DB">
                      <w:rPr>
                        <w:rFonts w:hint="eastAsia"/>
                        <w:sz w:val="18"/>
                        <w:szCs w:val="18"/>
                      </w:rPr>
                      <w:t>账面</w:t>
                    </w:r>
                  </w:p>
                  <w:p w:rsidR="00ED2DC7" w:rsidRPr="006963DB" w:rsidRDefault="00ED2DC7">
                    <w:pPr>
                      <w:jc w:val="center"/>
                      <w:rPr>
                        <w:sz w:val="18"/>
                        <w:szCs w:val="18"/>
                      </w:rPr>
                    </w:pPr>
                    <w:r w:rsidRPr="006963DB">
                      <w:rPr>
                        <w:rFonts w:hint="eastAsia"/>
                        <w:sz w:val="18"/>
                        <w:szCs w:val="18"/>
                      </w:rPr>
                      <w:t>价值</w:t>
                    </w:r>
                  </w:p>
                </w:tc>
              </w:sdtContent>
            </w:sdt>
          </w:tr>
          <w:tr w:rsidR="00B637B2" w:rsidTr="00B637B2">
            <w:trPr>
              <w:cantSplit/>
              <w:trHeight w:val="375"/>
            </w:trPr>
            <w:tc>
              <w:tcPr>
                <w:tcW w:w="943" w:type="pct"/>
                <w:vMerge/>
                <w:tcBorders>
                  <w:left w:val="single" w:sz="4" w:space="0" w:color="auto"/>
                  <w:bottom w:val="single" w:sz="4" w:space="0" w:color="auto"/>
                  <w:right w:val="single" w:sz="4" w:space="0" w:color="auto"/>
                </w:tcBorders>
                <w:vAlign w:val="center"/>
              </w:tcPr>
              <w:p w:rsidR="00ED2DC7" w:rsidRPr="006963DB" w:rsidRDefault="00ED2DC7">
                <w:pPr>
                  <w:rPr>
                    <w:sz w:val="18"/>
                    <w:szCs w:val="18"/>
                  </w:rPr>
                </w:pPr>
              </w:p>
            </w:tc>
            <w:sdt>
              <w:sdtPr>
                <w:rPr>
                  <w:sz w:val="18"/>
                  <w:szCs w:val="18"/>
                </w:rPr>
                <w:tag w:val="_PLD_2a622138bde346ccae812608989b472d"/>
                <w:id w:val="157196840"/>
                <w:lock w:val="sdtLocked"/>
              </w:sdtPr>
              <w:sdtContent>
                <w:tc>
                  <w:tcPr>
                    <w:tcW w:w="672" w:type="pct"/>
                    <w:tcBorders>
                      <w:left w:val="single" w:sz="4" w:space="0" w:color="auto"/>
                      <w:bottom w:val="single" w:sz="4" w:space="0" w:color="auto"/>
                      <w:right w:val="single" w:sz="4" w:space="0" w:color="auto"/>
                    </w:tcBorders>
                    <w:vAlign w:val="center"/>
                  </w:tcPr>
                  <w:p w:rsidR="00ED2DC7" w:rsidRPr="006963DB" w:rsidRDefault="00ED2DC7">
                    <w:pPr>
                      <w:jc w:val="center"/>
                      <w:rPr>
                        <w:sz w:val="18"/>
                        <w:szCs w:val="18"/>
                      </w:rPr>
                    </w:pPr>
                    <w:r w:rsidRPr="006963DB">
                      <w:rPr>
                        <w:rFonts w:hint="eastAsia"/>
                        <w:sz w:val="18"/>
                        <w:szCs w:val="18"/>
                      </w:rPr>
                      <w:t>金额</w:t>
                    </w:r>
                  </w:p>
                </w:tc>
              </w:sdtContent>
            </w:sdt>
            <w:sdt>
              <w:sdtPr>
                <w:rPr>
                  <w:sz w:val="18"/>
                  <w:szCs w:val="18"/>
                </w:rPr>
                <w:tag w:val="_PLD_abd0e3a320c240aeb85b1414af26aa00"/>
                <w:id w:val="877896713"/>
                <w:lock w:val="sdtLocked"/>
              </w:sdtPr>
              <w:sdtContent>
                <w:tc>
                  <w:tcPr>
                    <w:tcW w:w="177" w:type="pct"/>
                    <w:tcBorders>
                      <w:left w:val="single" w:sz="4" w:space="0" w:color="auto"/>
                      <w:bottom w:val="single" w:sz="4" w:space="0" w:color="auto"/>
                      <w:right w:val="single" w:sz="4" w:space="0" w:color="auto"/>
                    </w:tcBorders>
                    <w:vAlign w:val="center"/>
                  </w:tcPr>
                  <w:p w:rsidR="00ED2DC7" w:rsidRPr="006963DB" w:rsidRDefault="00ED2DC7">
                    <w:pPr>
                      <w:jc w:val="center"/>
                      <w:rPr>
                        <w:sz w:val="18"/>
                        <w:szCs w:val="18"/>
                      </w:rPr>
                    </w:pPr>
                    <w:r w:rsidRPr="006963DB">
                      <w:rPr>
                        <w:rFonts w:hint="eastAsia"/>
                        <w:sz w:val="18"/>
                        <w:szCs w:val="18"/>
                      </w:rPr>
                      <w:t>比例</w:t>
                    </w:r>
                    <w:r w:rsidRPr="006963DB">
                      <w:rPr>
                        <w:sz w:val="18"/>
                        <w:szCs w:val="18"/>
                      </w:rPr>
                      <w:t>(%)</w:t>
                    </w:r>
                  </w:p>
                </w:tc>
              </w:sdtContent>
            </w:sdt>
            <w:sdt>
              <w:sdtPr>
                <w:rPr>
                  <w:sz w:val="18"/>
                  <w:szCs w:val="18"/>
                </w:rPr>
                <w:tag w:val="_PLD_d60468b4e5934fb9af3ebf3b3ca06a6b"/>
                <w:id w:val="1518192400"/>
                <w:lock w:val="sdtLocked"/>
              </w:sdtPr>
              <w:sdtContent>
                <w:tc>
                  <w:tcPr>
                    <w:tcW w:w="573" w:type="pct"/>
                    <w:tcBorders>
                      <w:left w:val="single" w:sz="4" w:space="0" w:color="auto"/>
                      <w:bottom w:val="single" w:sz="4" w:space="0" w:color="auto"/>
                      <w:right w:val="single" w:sz="4" w:space="0" w:color="auto"/>
                    </w:tcBorders>
                    <w:vAlign w:val="center"/>
                  </w:tcPr>
                  <w:p w:rsidR="00ED2DC7" w:rsidRPr="006963DB" w:rsidRDefault="00ED2DC7">
                    <w:pPr>
                      <w:jc w:val="center"/>
                      <w:rPr>
                        <w:sz w:val="18"/>
                        <w:szCs w:val="18"/>
                      </w:rPr>
                    </w:pPr>
                    <w:r w:rsidRPr="006963DB">
                      <w:rPr>
                        <w:rFonts w:hint="eastAsia"/>
                        <w:sz w:val="18"/>
                        <w:szCs w:val="18"/>
                      </w:rPr>
                      <w:t>金额</w:t>
                    </w:r>
                  </w:p>
                </w:tc>
              </w:sdtContent>
            </w:sdt>
            <w:sdt>
              <w:sdtPr>
                <w:rPr>
                  <w:sz w:val="18"/>
                  <w:szCs w:val="18"/>
                </w:rPr>
                <w:tag w:val="_PLD_743ca215156149608b4d9149bc142cc3"/>
                <w:id w:val="114800948"/>
                <w:lock w:val="sdtLocked"/>
              </w:sdtPr>
              <w:sdtContent>
                <w:tc>
                  <w:tcPr>
                    <w:tcW w:w="179" w:type="pct"/>
                    <w:tcBorders>
                      <w:left w:val="single" w:sz="4" w:space="0" w:color="auto"/>
                      <w:bottom w:val="single" w:sz="4" w:space="0" w:color="auto"/>
                      <w:right w:val="single" w:sz="4" w:space="0" w:color="auto"/>
                    </w:tcBorders>
                    <w:vAlign w:val="center"/>
                  </w:tcPr>
                  <w:p w:rsidR="00ED2DC7" w:rsidRPr="006963DB" w:rsidRDefault="00ED2DC7">
                    <w:pPr>
                      <w:jc w:val="center"/>
                      <w:rPr>
                        <w:sz w:val="18"/>
                        <w:szCs w:val="18"/>
                      </w:rPr>
                    </w:pPr>
                    <w:r w:rsidRPr="006963DB">
                      <w:rPr>
                        <w:rFonts w:hint="eastAsia"/>
                        <w:sz w:val="18"/>
                        <w:szCs w:val="18"/>
                      </w:rPr>
                      <w:t>计提比例</w:t>
                    </w:r>
                    <w:r w:rsidRPr="006963DB">
                      <w:rPr>
                        <w:sz w:val="18"/>
                        <w:szCs w:val="18"/>
                      </w:rPr>
                      <w:t>(%)</w:t>
                    </w:r>
                  </w:p>
                </w:tc>
              </w:sdtContent>
            </w:sdt>
            <w:tc>
              <w:tcPr>
                <w:tcW w:w="672" w:type="pct"/>
                <w:vMerge/>
                <w:tcBorders>
                  <w:left w:val="single" w:sz="4" w:space="0" w:color="auto"/>
                  <w:bottom w:val="single" w:sz="4" w:space="0" w:color="auto"/>
                  <w:right w:val="single" w:sz="4" w:space="0" w:color="auto"/>
                </w:tcBorders>
                <w:vAlign w:val="center"/>
              </w:tcPr>
              <w:p w:rsidR="00ED2DC7" w:rsidRPr="006963DB" w:rsidRDefault="00ED2DC7">
                <w:pPr>
                  <w:jc w:val="center"/>
                  <w:rPr>
                    <w:sz w:val="18"/>
                    <w:szCs w:val="18"/>
                  </w:rPr>
                </w:pPr>
              </w:p>
            </w:tc>
            <w:sdt>
              <w:sdtPr>
                <w:rPr>
                  <w:sz w:val="18"/>
                  <w:szCs w:val="18"/>
                </w:rPr>
                <w:tag w:val="_PLD_88061469e7574f3d93ff9dc8f7c03e2d"/>
                <w:id w:val="1460222645"/>
                <w:lock w:val="sdtLocked"/>
              </w:sdtPr>
              <w:sdtContent>
                <w:tc>
                  <w:tcPr>
                    <w:tcW w:w="672" w:type="pct"/>
                    <w:tcBorders>
                      <w:left w:val="single" w:sz="4" w:space="0" w:color="auto"/>
                      <w:bottom w:val="single" w:sz="4" w:space="0" w:color="auto"/>
                      <w:right w:val="single" w:sz="4" w:space="0" w:color="auto"/>
                    </w:tcBorders>
                    <w:vAlign w:val="center"/>
                  </w:tcPr>
                  <w:p w:rsidR="00ED2DC7" w:rsidRPr="006963DB" w:rsidRDefault="00ED2DC7">
                    <w:pPr>
                      <w:jc w:val="center"/>
                      <w:rPr>
                        <w:sz w:val="18"/>
                        <w:szCs w:val="18"/>
                      </w:rPr>
                    </w:pPr>
                    <w:r w:rsidRPr="006963DB">
                      <w:rPr>
                        <w:rFonts w:hint="eastAsia"/>
                        <w:sz w:val="18"/>
                        <w:szCs w:val="18"/>
                      </w:rPr>
                      <w:t>金额</w:t>
                    </w:r>
                  </w:p>
                </w:tc>
              </w:sdtContent>
            </w:sdt>
            <w:sdt>
              <w:sdtPr>
                <w:rPr>
                  <w:sz w:val="18"/>
                  <w:szCs w:val="18"/>
                </w:rPr>
                <w:tag w:val="_PLD_c2b4bd19b5284f3481bdd6a3becafce0"/>
                <w:id w:val="1933158523"/>
                <w:lock w:val="sdtLocked"/>
              </w:sdtPr>
              <w:sdtContent>
                <w:tc>
                  <w:tcPr>
                    <w:tcW w:w="183" w:type="pct"/>
                    <w:tcBorders>
                      <w:left w:val="single" w:sz="4" w:space="0" w:color="auto"/>
                      <w:bottom w:val="single" w:sz="4" w:space="0" w:color="auto"/>
                      <w:right w:val="single" w:sz="4" w:space="0" w:color="auto"/>
                    </w:tcBorders>
                    <w:vAlign w:val="center"/>
                  </w:tcPr>
                  <w:p w:rsidR="00ED2DC7" w:rsidRPr="006963DB" w:rsidRDefault="00ED2DC7">
                    <w:pPr>
                      <w:jc w:val="center"/>
                      <w:rPr>
                        <w:sz w:val="18"/>
                        <w:szCs w:val="18"/>
                      </w:rPr>
                    </w:pPr>
                    <w:r w:rsidRPr="006963DB">
                      <w:rPr>
                        <w:rFonts w:hint="eastAsia"/>
                        <w:sz w:val="18"/>
                        <w:szCs w:val="18"/>
                      </w:rPr>
                      <w:t>比例</w:t>
                    </w:r>
                    <w:r w:rsidRPr="006963DB">
                      <w:rPr>
                        <w:sz w:val="18"/>
                        <w:szCs w:val="18"/>
                      </w:rPr>
                      <w:t>(%)</w:t>
                    </w:r>
                  </w:p>
                </w:tc>
              </w:sdtContent>
            </w:sdt>
            <w:sdt>
              <w:sdtPr>
                <w:rPr>
                  <w:sz w:val="18"/>
                  <w:szCs w:val="18"/>
                </w:rPr>
                <w:tag w:val="_PLD_c6874c65e4ac43019002d5903e4b46d6"/>
                <w:id w:val="-360438426"/>
                <w:lock w:val="sdtLocked"/>
              </w:sdtPr>
              <w:sdtContent>
                <w:tc>
                  <w:tcPr>
                    <w:tcW w:w="190" w:type="pct"/>
                    <w:tcBorders>
                      <w:left w:val="single" w:sz="4" w:space="0" w:color="auto"/>
                      <w:bottom w:val="single" w:sz="4" w:space="0" w:color="auto"/>
                      <w:right w:val="single" w:sz="4" w:space="0" w:color="auto"/>
                    </w:tcBorders>
                    <w:vAlign w:val="center"/>
                  </w:tcPr>
                  <w:p w:rsidR="00ED2DC7" w:rsidRPr="006963DB" w:rsidRDefault="00ED2DC7">
                    <w:pPr>
                      <w:jc w:val="center"/>
                      <w:rPr>
                        <w:sz w:val="18"/>
                        <w:szCs w:val="18"/>
                      </w:rPr>
                    </w:pPr>
                    <w:r w:rsidRPr="006963DB">
                      <w:rPr>
                        <w:rFonts w:hint="eastAsia"/>
                        <w:sz w:val="18"/>
                        <w:szCs w:val="18"/>
                      </w:rPr>
                      <w:t>金额</w:t>
                    </w:r>
                  </w:p>
                </w:tc>
              </w:sdtContent>
            </w:sdt>
            <w:sdt>
              <w:sdtPr>
                <w:rPr>
                  <w:sz w:val="18"/>
                  <w:szCs w:val="18"/>
                </w:rPr>
                <w:tag w:val="_PLD_0596fb5f4bb147b48d9ab2f32535e71f"/>
                <w:id w:val="147103252"/>
                <w:lock w:val="sdtLocked"/>
              </w:sdtPr>
              <w:sdtContent>
                <w:tc>
                  <w:tcPr>
                    <w:tcW w:w="190" w:type="pct"/>
                    <w:tcBorders>
                      <w:left w:val="single" w:sz="4" w:space="0" w:color="auto"/>
                      <w:bottom w:val="single" w:sz="4" w:space="0" w:color="auto"/>
                      <w:right w:val="single" w:sz="4" w:space="0" w:color="auto"/>
                    </w:tcBorders>
                    <w:vAlign w:val="center"/>
                  </w:tcPr>
                  <w:p w:rsidR="00ED2DC7" w:rsidRPr="006963DB" w:rsidRDefault="00ED2DC7">
                    <w:pPr>
                      <w:jc w:val="center"/>
                      <w:rPr>
                        <w:sz w:val="18"/>
                        <w:szCs w:val="18"/>
                      </w:rPr>
                    </w:pPr>
                    <w:r w:rsidRPr="006963DB">
                      <w:rPr>
                        <w:rFonts w:hint="eastAsia"/>
                        <w:sz w:val="18"/>
                        <w:szCs w:val="18"/>
                      </w:rPr>
                      <w:t>计提比例</w:t>
                    </w:r>
                    <w:r w:rsidRPr="006963DB">
                      <w:rPr>
                        <w:sz w:val="18"/>
                        <w:szCs w:val="18"/>
                      </w:rPr>
                      <w:t>(%)</w:t>
                    </w:r>
                  </w:p>
                </w:tc>
              </w:sdtContent>
            </w:sdt>
            <w:tc>
              <w:tcPr>
                <w:tcW w:w="551" w:type="pct"/>
                <w:vMerge/>
                <w:tcBorders>
                  <w:left w:val="single" w:sz="4" w:space="0" w:color="auto"/>
                  <w:bottom w:val="single" w:sz="4" w:space="0" w:color="auto"/>
                  <w:right w:val="single" w:sz="4" w:space="0" w:color="auto"/>
                </w:tcBorders>
              </w:tcPr>
              <w:p w:rsidR="00ED2DC7" w:rsidRPr="006963DB" w:rsidRDefault="00ED2DC7">
                <w:pPr>
                  <w:jc w:val="center"/>
                  <w:rPr>
                    <w:sz w:val="18"/>
                    <w:szCs w:val="18"/>
                  </w:rPr>
                </w:pPr>
              </w:p>
            </w:tc>
          </w:tr>
          <w:tr w:rsidR="00B637B2" w:rsidTr="00B637B2">
            <w:trPr>
              <w:cantSplit/>
            </w:trPr>
            <w:sdt>
              <w:sdtPr>
                <w:rPr>
                  <w:sz w:val="18"/>
                  <w:szCs w:val="18"/>
                </w:rPr>
                <w:tag w:val="_PLD_6413454a316c4103ae8bebbae0f082c2"/>
                <w:id w:val="-1057238060"/>
                <w:lock w:val="sdtLocked"/>
              </w:sdtPr>
              <w:sdtContent>
                <w:tc>
                  <w:tcPr>
                    <w:tcW w:w="943" w:type="pct"/>
                    <w:tcBorders>
                      <w:top w:val="single" w:sz="4" w:space="0" w:color="auto"/>
                      <w:left w:val="single" w:sz="4" w:space="0" w:color="auto"/>
                      <w:bottom w:val="single" w:sz="4" w:space="0" w:color="auto"/>
                      <w:right w:val="single" w:sz="4" w:space="0" w:color="auto"/>
                    </w:tcBorders>
                  </w:tcPr>
                  <w:p w:rsidR="00ED2DC7" w:rsidRPr="006963DB" w:rsidRDefault="00ED2DC7">
                    <w:pPr>
                      <w:jc w:val="both"/>
                      <w:rPr>
                        <w:sz w:val="18"/>
                        <w:szCs w:val="18"/>
                      </w:rPr>
                    </w:pPr>
                    <w:r w:rsidRPr="006963DB">
                      <w:rPr>
                        <w:rFonts w:hint="eastAsia"/>
                        <w:sz w:val="18"/>
                        <w:szCs w:val="18"/>
                      </w:rPr>
                      <w:t>按单项计提坏账准备</w:t>
                    </w:r>
                  </w:p>
                </w:tc>
              </w:sdtContent>
            </w:sdt>
            <w:tc>
              <w:tcPr>
                <w:tcW w:w="672" w:type="pct"/>
                <w:tcBorders>
                  <w:top w:val="single" w:sz="4" w:space="0" w:color="auto"/>
                  <w:left w:val="single" w:sz="4" w:space="0" w:color="auto"/>
                  <w:bottom w:val="single" w:sz="4" w:space="0" w:color="auto"/>
                  <w:right w:val="single" w:sz="4" w:space="0" w:color="auto"/>
                </w:tcBorders>
              </w:tcPr>
              <w:p w:rsidR="00ED2DC7" w:rsidRPr="006963DB" w:rsidRDefault="008F04CF">
                <w:pPr>
                  <w:jc w:val="right"/>
                  <w:rPr>
                    <w:sz w:val="18"/>
                    <w:szCs w:val="18"/>
                  </w:rPr>
                </w:pPr>
                <w:r w:rsidRPr="006963DB">
                  <w:rPr>
                    <w:rFonts w:hint="eastAsia"/>
                    <w:sz w:val="18"/>
                    <w:szCs w:val="18"/>
                  </w:rPr>
                  <w:t>-</w:t>
                </w:r>
              </w:p>
            </w:tc>
            <w:tc>
              <w:tcPr>
                <w:tcW w:w="177" w:type="pct"/>
                <w:tcBorders>
                  <w:top w:val="single" w:sz="4" w:space="0" w:color="auto"/>
                  <w:left w:val="single" w:sz="4" w:space="0" w:color="auto"/>
                  <w:bottom w:val="single" w:sz="4" w:space="0" w:color="auto"/>
                  <w:right w:val="single" w:sz="4" w:space="0" w:color="auto"/>
                </w:tcBorders>
              </w:tcPr>
              <w:p w:rsidR="00ED2DC7" w:rsidRPr="006963DB" w:rsidRDefault="008F04CF">
                <w:pPr>
                  <w:jc w:val="right"/>
                  <w:rPr>
                    <w:sz w:val="18"/>
                    <w:szCs w:val="18"/>
                  </w:rPr>
                </w:pPr>
                <w:r w:rsidRPr="006963DB">
                  <w:rPr>
                    <w:rFonts w:hint="eastAsia"/>
                    <w:sz w:val="18"/>
                    <w:szCs w:val="18"/>
                  </w:rPr>
                  <w:t>-</w:t>
                </w:r>
              </w:p>
            </w:tc>
            <w:tc>
              <w:tcPr>
                <w:tcW w:w="573" w:type="pct"/>
                <w:tcBorders>
                  <w:top w:val="single" w:sz="4" w:space="0" w:color="auto"/>
                  <w:left w:val="single" w:sz="4" w:space="0" w:color="auto"/>
                  <w:bottom w:val="single" w:sz="4" w:space="0" w:color="auto"/>
                  <w:right w:val="single" w:sz="4" w:space="0" w:color="auto"/>
                </w:tcBorders>
              </w:tcPr>
              <w:p w:rsidR="00ED2DC7" w:rsidRPr="006963DB" w:rsidRDefault="008F04CF">
                <w:pPr>
                  <w:jc w:val="right"/>
                  <w:rPr>
                    <w:sz w:val="18"/>
                    <w:szCs w:val="18"/>
                  </w:rPr>
                </w:pPr>
                <w:r w:rsidRPr="006963DB">
                  <w:rPr>
                    <w:rFonts w:hint="eastAsia"/>
                    <w:sz w:val="18"/>
                    <w:szCs w:val="18"/>
                  </w:rPr>
                  <w:t>-</w:t>
                </w:r>
              </w:p>
            </w:tc>
            <w:tc>
              <w:tcPr>
                <w:tcW w:w="179" w:type="pct"/>
                <w:tcBorders>
                  <w:top w:val="single" w:sz="4" w:space="0" w:color="auto"/>
                  <w:left w:val="single" w:sz="4" w:space="0" w:color="auto"/>
                  <w:bottom w:val="single" w:sz="4" w:space="0" w:color="auto"/>
                  <w:right w:val="single" w:sz="4" w:space="0" w:color="auto"/>
                </w:tcBorders>
              </w:tcPr>
              <w:p w:rsidR="00ED2DC7" w:rsidRPr="006963DB" w:rsidRDefault="008F04CF">
                <w:pPr>
                  <w:jc w:val="right"/>
                  <w:rPr>
                    <w:sz w:val="18"/>
                    <w:szCs w:val="18"/>
                  </w:rPr>
                </w:pPr>
                <w:r w:rsidRPr="006963DB">
                  <w:rPr>
                    <w:rFonts w:hint="eastAsia"/>
                    <w:sz w:val="18"/>
                    <w:szCs w:val="18"/>
                  </w:rPr>
                  <w:t>-</w:t>
                </w:r>
              </w:p>
            </w:tc>
            <w:tc>
              <w:tcPr>
                <w:tcW w:w="672" w:type="pct"/>
                <w:tcBorders>
                  <w:top w:val="single" w:sz="4" w:space="0" w:color="auto"/>
                  <w:left w:val="single" w:sz="4" w:space="0" w:color="auto"/>
                  <w:bottom w:val="single" w:sz="4" w:space="0" w:color="auto"/>
                  <w:right w:val="single" w:sz="4" w:space="0" w:color="auto"/>
                </w:tcBorders>
              </w:tcPr>
              <w:p w:rsidR="00ED2DC7" w:rsidRPr="006963DB" w:rsidRDefault="008F04CF">
                <w:pPr>
                  <w:jc w:val="right"/>
                  <w:rPr>
                    <w:sz w:val="18"/>
                    <w:szCs w:val="18"/>
                  </w:rPr>
                </w:pPr>
                <w:r w:rsidRPr="006963DB">
                  <w:rPr>
                    <w:rFonts w:hint="eastAsia"/>
                    <w:sz w:val="18"/>
                    <w:szCs w:val="18"/>
                  </w:rPr>
                  <w:t>-</w:t>
                </w:r>
              </w:p>
            </w:tc>
            <w:tc>
              <w:tcPr>
                <w:tcW w:w="672" w:type="pct"/>
                <w:tcBorders>
                  <w:top w:val="single" w:sz="4" w:space="0" w:color="auto"/>
                  <w:left w:val="single" w:sz="4" w:space="0" w:color="auto"/>
                  <w:bottom w:val="single" w:sz="4" w:space="0" w:color="auto"/>
                  <w:right w:val="single" w:sz="4" w:space="0" w:color="auto"/>
                </w:tcBorders>
              </w:tcPr>
              <w:p w:rsidR="00ED2DC7" w:rsidRPr="006963DB" w:rsidRDefault="008F04CF">
                <w:pPr>
                  <w:jc w:val="right"/>
                  <w:rPr>
                    <w:sz w:val="18"/>
                    <w:szCs w:val="18"/>
                  </w:rPr>
                </w:pPr>
                <w:r w:rsidRPr="006963DB">
                  <w:rPr>
                    <w:rFonts w:hint="eastAsia"/>
                    <w:sz w:val="18"/>
                    <w:szCs w:val="18"/>
                  </w:rPr>
                  <w:t>-</w:t>
                </w:r>
              </w:p>
            </w:tc>
            <w:tc>
              <w:tcPr>
                <w:tcW w:w="183" w:type="pct"/>
                <w:tcBorders>
                  <w:top w:val="single" w:sz="4" w:space="0" w:color="auto"/>
                  <w:left w:val="single" w:sz="4" w:space="0" w:color="auto"/>
                  <w:bottom w:val="single" w:sz="4" w:space="0" w:color="auto"/>
                  <w:right w:val="single" w:sz="4" w:space="0" w:color="auto"/>
                </w:tcBorders>
              </w:tcPr>
              <w:p w:rsidR="00ED2DC7" w:rsidRPr="006963DB" w:rsidRDefault="008F04CF">
                <w:pPr>
                  <w:jc w:val="right"/>
                  <w:rPr>
                    <w:sz w:val="18"/>
                    <w:szCs w:val="18"/>
                  </w:rPr>
                </w:pPr>
                <w:r w:rsidRPr="006963DB">
                  <w:rPr>
                    <w:rFonts w:hint="eastAsia"/>
                    <w:sz w:val="18"/>
                    <w:szCs w:val="18"/>
                  </w:rPr>
                  <w:t>-</w:t>
                </w:r>
              </w:p>
            </w:tc>
            <w:tc>
              <w:tcPr>
                <w:tcW w:w="190" w:type="pct"/>
                <w:tcBorders>
                  <w:top w:val="single" w:sz="4" w:space="0" w:color="auto"/>
                  <w:left w:val="single" w:sz="4" w:space="0" w:color="auto"/>
                  <w:bottom w:val="single" w:sz="4" w:space="0" w:color="auto"/>
                  <w:right w:val="single" w:sz="4" w:space="0" w:color="auto"/>
                </w:tcBorders>
              </w:tcPr>
              <w:p w:rsidR="00ED2DC7" w:rsidRPr="006963DB" w:rsidRDefault="008F04CF">
                <w:pPr>
                  <w:jc w:val="right"/>
                  <w:rPr>
                    <w:sz w:val="18"/>
                    <w:szCs w:val="18"/>
                  </w:rPr>
                </w:pPr>
                <w:r w:rsidRPr="006963DB">
                  <w:rPr>
                    <w:rFonts w:hint="eastAsia"/>
                    <w:sz w:val="18"/>
                    <w:szCs w:val="18"/>
                  </w:rPr>
                  <w:t>-</w:t>
                </w:r>
              </w:p>
            </w:tc>
            <w:tc>
              <w:tcPr>
                <w:tcW w:w="190" w:type="pct"/>
                <w:tcBorders>
                  <w:top w:val="single" w:sz="4" w:space="0" w:color="auto"/>
                  <w:left w:val="single" w:sz="4" w:space="0" w:color="auto"/>
                  <w:bottom w:val="single" w:sz="4" w:space="0" w:color="auto"/>
                  <w:right w:val="single" w:sz="4" w:space="0" w:color="auto"/>
                </w:tcBorders>
              </w:tcPr>
              <w:p w:rsidR="00ED2DC7" w:rsidRPr="006963DB" w:rsidRDefault="008F04CF">
                <w:pPr>
                  <w:jc w:val="right"/>
                  <w:rPr>
                    <w:sz w:val="18"/>
                    <w:szCs w:val="18"/>
                  </w:rPr>
                </w:pPr>
                <w:r w:rsidRPr="006963DB">
                  <w:rPr>
                    <w:rFonts w:hint="eastAsia"/>
                    <w:sz w:val="18"/>
                    <w:szCs w:val="18"/>
                  </w:rPr>
                  <w:t>-</w:t>
                </w:r>
              </w:p>
            </w:tc>
            <w:tc>
              <w:tcPr>
                <w:tcW w:w="551" w:type="pct"/>
                <w:tcBorders>
                  <w:top w:val="single" w:sz="4" w:space="0" w:color="auto"/>
                  <w:left w:val="single" w:sz="4" w:space="0" w:color="auto"/>
                  <w:bottom w:val="single" w:sz="4" w:space="0" w:color="auto"/>
                  <w:right w:val="single" w:sz="4" w:space="0" w:color="auto"/>
                </w:tcBorders>
              </w:tcPr>
              <w:p w:rsidR="00ED2DC7" w:rsidRPr="006963DB" w:rsidRDefault="008F04CF">
                <w:pPr>
                  <w:jc w:val="right"/>
                  <w:rPr>
                    <w:sz w:val="18"/>
                    <w:szCs w:val="18"/>
                  </w:rPr>
                </w:pPr>
                <w:r w:rsidRPr="006963DB">
                  <w:rPr>
                    <w:rFonts w:hint="eastAsia"/>
                    <w:sz w:val="18"/>
                    <w:szCs w:val="18"/>
                  </w:rPr>
                  <w:t>-</w:t>
                </w:r>
              </w:p>
            </w:tc>
          </w:tr>
          <w:tr w:rsidR="00ED2DC7" w:rsidTr="00B637B2">
            <w:trPr>
              <w:cantSplit/>
            </w:trPr>
            <w:sdt>
              <w:sdtPr>
                <w:rPr>
                  <w:sz w:val="18"/>
                  <w:szCs w:val="18"/>
                </w:rPr>
                <w:tag w:val="_PLD_a3793487a0154f9a85b0e94e01b6ddbe"/>
                <w:id w:val="-794523115"/>
                <w:lock w:val="sdtLocked"/>
              </w:sdtPr>
              <w:sdtContent>
                <w:tc>
                  <w:tcPr>
                    <w:tcW w:w="5000" w:type="pct"/>
                    <w:gridSpan w:val="11"/>
                    <w:tcBorders>
                      <w:top w:val="single" w:sz="4" w:space="0" w:color="auto"/>
                      <w:left w:val="single" w:sz="4" w:space="0" w:color="auto"/>
                      <w:bottom w:val="single" w:sz="4" w:space="0" w:color="auto"/>
                      <w:right w:val="single" w:sz="4" w:space="0" w:color="auto"/>
                    </w:tcBorders>
                  </w:tcPr>
                  <w:p w:rsidR="00ED2DC7" w:rsidRPr="006963DB" w:rsidRDefault="00ED2DC7">
                    <w:pPr>
                      <w:rPr>
                        <w:sz w:val="18"/>
                        <w:szCs w:val="18"/>
                      </w:rPr>
                    </w:pPr>
                    <w:r w:rsidRPr="006963DB">
                      <w:rPr>
                        <w:rFonts w:hint="eastAsia"/>
                        <w:sz w:val="18"/>
                        <w:szCs w:val="18"/>
                      </w:rPr>
                      <w:t>其中：</w:t>
                    </w:r>
                  </w:p>
                </w:tc>
              </w:sdtContent>
            </w:sdt>
          </w:tr>
          <w:sdt>
            <w:sdtPr>
              <w:rPr>
                <w:sz w:val="18"/>
                <w:szCs w:val="18"/>
              </w:rPr>
              <w:alias w:val="按单项计提坏账准备的应收账款明细"/>
              <w:tag w:val="_TUP_3a763938896845f284a4dc7df88bd4af"/>
              <w:id w:val="2053731679"/>
              <w:lock w:val="sdtLocked"/>
              <w:placeholder>
                <w:docPart w:val="GBC11111111111111111111111111111"/>
              </w:placeholder>
            </w:sdtPr>
            <w:sdtContent>
              <w:tr w:rsidR="00B637B2" w:rsidTr="00B637B2">
                <w:trPr>
                  <w:cantSplit/>
                </w:trPr>
                <w:sdt>
                  <w:sdtPr>
                    <w:rPr>
                      <w:sz w:val="18"/>
                      <w:szCs w:val="18"/>
                    </w:rPr>
                    <w:alias w:val="按单项计提坏账准备的应收账款明细-类别"/>
                    <w:tag w:val="_GBC_3399611ce4724e1193aaefa4ea4bde46"/>
                    <w:id w:val="-1256434077"/>
                    <w:lock w:val="sdtLocked"/>
                    <w:showingPlcHdr/>
                  </w:sdtPr>
                  <w:sdtContent>
                    <w:tc>
                      <w:tcPr>
                        <w:tcW w:w="943" w:type="pct"/>
                        <w:tcBorders>
                          <w:top w:val="single" w:sz="4" w:space="0" w:color="auto"/>
                          <w:left w:val="single" w:sz="4" w:space="0" w:color="auto"/>
                          <w:bottom w:val="single" w:sz="4" w:space="0" w:color="auto"/>
                          <w:right w:val="single" w:sz="4" w:space="0" w:color="auto"/>
                        </w:tcBorders>
                      </w:tcPr>
                      <w:p w:rsidR="00ED2DC7" w:rsidRPr="006963DB" w:rsidRDefault="00ED2DC7">
                        <w:pPr>
                          <w:jc w:val="both"/>
                          <w:rPr>
                            <w:color w:val="808080"/>
                            <w:sz w:val="18"/>
                            <w:szCs w:val="18"/>
                          </w:rPr>
                        </w:pPr>
                        <w:r w:rsidRPr="006963DB">
                          <w:rPr>
                            <w:rFonts w:hint="eastAsia"/>
                            <w:sz w:val="18"/>
                            <w:szCs w:val="18"/>
                          </w:rPr>
                          <w:t xml:space="preserve">　</w:t>
                        </w:r>
                      </w:p>
                    </w:tc>
                  </w:sdtContent>
                </w:sdt>
                <w:tc>
                  <w:tcPr>
                    <w:tcW w:w="672" w:type="pct"/>
                    <w:tcBorders>
                      <w:top w:val="single" w:sz="4" w:space="0" w:color="auto"/>
                      <w:left w:val="single" w:sz="4" w:space="0" w:color="auto"/>
                      <w:bottom w:val="single" w:sz="4" w:space="0" w:color="auto"/>
                      <w:right w:val="single" w:sz="4" w:space="0" w:color="auto"/>
                    </w:tcBorders>
                  </w:tcPr>
                  <w:p w:rsidR="00ED2DC7" w:rsidRPr="006963DB" w:rsidRDefault="00ED2DC7">
                    <w:pPr>
                      <w:jc w:val="right"/>
                      <w:rPr>
                        <w:sz w:val="18"/>
                        <w:szCs w:val="18"/>
                      </w:rPr>
                    </w:pPr>
                  </w:p>
                </w:tc>
                <w:tc>
                  <w:tcPr>
                    <w:tcW w:w="177" w:type="pct"/>
                    <w:tcBorders>
                      <w:top w:val="single" w:sz="4" w:space="0" w:color="auto"/>
                      <w:left w:val="single" w:sz="4" w:space="0" w:color="auto"/>
                      <w:bottom w:val="single" w:sz="4" w:space="0" w:color="auto"/>
                      <w:right w:val="single" w:sz="4" w:space="0" w:color="auto"/>
                    </w:tcBorders>
                  </w:tcPr>
                  <w:p w:rsidR="00ED2DC7" w:rsidRPr="006963DB" w:rsidRDefault="00ED2DC7">
                    <w:pPr>
                      <w:jc w:val="right"/>
                      <w:rPr>
                        <w:sz w:val="18"/>
                        <w:szCs w:val="18"/>
                      </w:rPr>
                    </w:pPr>
                  </w:p>
                </w:tc>
                <w:tc>
                  <w:tcPr>
                    <w:tcW w:w="573" w:type="pct"/>
                    <w:tcBorders>
                      <w:top w:val="single" w:sz="4" w:space="0" w:color="auto"/>
                      <w:left w:val="single" w:sz="4" w:space="0" w:color="auto"/>
                      <w:bottom w:val="single" w:sz="4" w:space="0" w:color="auto"/>
                      <w:right w:val="single" w:sz="4" w:space="0" w:color="auto"/>
                    </w:tcBorders>
                  </w:tcPr>
                  <w:p w:rsidR="00ED2DC7" w:rsidRPr="006963DB" w:rsidRDefault="00ED2DC7">
                    <w:pPr>
                      <w:jc w:val="right"/>
                      <w:rPr>
                        <w:sz w:val="18"/>
                        <w:szCs w:val="18"/>
                      </w:rPr>
                    </w:pPr>
                  </w:p>
                </w:tc>
                <w:tc>
                  <w:tcPr>
                    <w:tcW w:w="179" w:type="pct"/>
                    <w:tcBorders>
                      <w:top w:val="single" w:sz="4" w:space="0" w:color="auto"/>
                      <w:left w:val="single" w:sz="4" w:space="0" w:color="auto"/>
                      <w:bottom w:val="single" w:sz="4" w:space="0" w:color="auto"/>
                      <w:right w:val="single" w:sz="4" w:space="0" w:color="auto"/>
                    </w:tcBorders>
                  </w:tcPr>
                  <w:p w:rsidR="00ED2DC7" w:rsidRPr="006963DB" w:rsidRDefault="00ED2DC7">
                    <w:pPr>
                      <w:jc w:val="right"/>
                      <w:rPr>
                        <w:sz w:val="18"/>
                        <w:szCs w:val="18"/>
                      </w:rPr>
                    </w:pPr>
                  </w:p>
                </w:tc>
                <w:tc>
                  <w:tcPr>
                    <w:tcW w:w="672" w:type="pct"/>
                    <w:tcBorders>
                      <w:top w:val="single" w:sz="4" w:space="0" w:color="auto"/>
                      <w:left w:val="single" w:sz="4" w:space="0" w:color="auto"/>
                      <w:bottom w:val="single" w:sz="4" w:space="0" w:color="auto"/>
                      <w:right w:val="single" w:sz="4" w:space="0" w:color="auto"/>
                    </w:tcBorders>
                  </w:tcPr>
                  <w:p w:rsidR="00ED2DC7" w:rsidRPr="006963DB" w:rsidRDefault="00ED2DC7">
                    <w:pPr>
                      <w:jc w:val="right"/>
                      <w:rPr>
                        <w:sz w:val="18"/>
                        <w:szCs w:val="18"/>
                      </w:rPr>
                    </w:pPr>
                  </w:p>
                </w:tc>
                <w:tc>
                  <w:tcPr>
                    <w:tcW w:w="672" w:type="pct"/>
                    <w:tcBorders>
                      <w:top w:val="single" w:sz="4" w:space="0" w:color="auto"/>
                      <w:left w:val="single" w:sz="4" w:space="0" w:color="auto"/>
                      <w:bottom w:val="single" w:sz="4" w:space="0" w:color="auto"/>
                      <w:right w:val="single" w:sz="4" w:space="0" w:color="auto"/>
                    </w:tcBorders>
                  </w:tcPr>
                  <w:p w:rsidR="00ED2DC7" w:rsidRPr="006963DB" w:rsidRDefault="00ED2DC7">
                    <w:pPr>
                      <w:jc w:val="right"/>
                      <w:rPr>
                        <w:sz w:val="18"/>
                        <w:szCs w:val="18"/>
                      </w:rPr>
                    </w:pPr>
                  </w:p>
                </w:tc>
                <w:tc>
                  <w:tcPr>
                    <w:tcW w:w="183" w:type="pct"/>
                    <w:tcBorders>
                      <w:top w:val="single" w:sz="4" w:space="0" w:color="auto"/>
                      <w:left w:val="single" w:sz="4" w:space="0" w:color="auto"/>
                      <w:bottom w:val="single" w:sz="4" w:space="0" w:color="auto"/>
                      <w:right w:val="single" w:sz="4" w:space="0" w:color="auto"/>
                    </w:tcBorders>
                  </w:tcPr>
                  <w:p w:rsidR="00ED2DC7" w:rsidRPr="006963DB" w:rsidRDefault="00ED2DC7">
                    <w:pPr>
                      <w:jc w:val="right"/>
                      <w:rPr>
                        <w:sz w:val="18"/>
                        <w:szCs w:val="18"/>
                      </w:rPr>
                    </w:pPr>
                  </w:p>
                </w:tc>
                <w:tc>
                  <w:tcPr>
                    <w:tcW w:w="190" w:type="pct"/>
                    <w:tcBorders>
                      <w:top w:val="single" w:sz="4" w:space="0" w:color="auto"/>
                      <w:left w:val="single" w:sz="4" w:space="0" w:color="auto"/>
                      <w:bottom w:val="single" w:sz="4" w:space="0" w:color="auto"/>
                      <w:right w:val="single" w:sz="4" w:space="0" w:color="auto"/>
                    </w:tcBorders>
                  </w:tcPr>
                  <w:p w:rsidR="00ED2DC7" w:rsidRPr="006963DB" w:rsidRDefault="00ED2DC7">
                    <w:pPr>
                      <w:jc w:val="right"/>
                      <w:rPr>
                        <w:sz w:val="18"/>
                        <w:szCs w:val="18"/>
                      </w:rPr>
                    </w:pPr>
                  </w:p>
                </w:tc>
                <w:tc>
                  <w:tcPr>
                    <w:tcW w:w="190" w:type="pct"/>
                    <w:tcBorders>
                      <w:top w:val="single" w:sz="4" w:space="0" w:color="auto"/>
                      <w:left w:val="single" w:sz="4" w:space="0" w:color="auto"/>
                      <w:bottom w:val="single" w:sz="4" w:space="0" w:color="auto"/>
                      <w:right w:val="single" w:sz="4" w:space="0" w:color="auto"/>
                    </w:tcBorders>
                  </w:tcPr>
                  <w:p w:rsidR="00ED2DC7" w:rsidRPr="006963DB" w:rsidRDefault="00ED2DC7">
                    <w:pPr>
                      <w:jc w:val="right"/>
                      <w:rPr>
                        <w:sz w:val="18"/>
                        <w:szCs w:val="18"/>
                      </w:rPr>
                    </w:pPr>
                  </w:p>
                </w:tc>
                <w:tc>
                  <w:tcPr>
                    <w:tcW w:w="551" w:type="pct"/>
                    <w:tcBorders>
                      <w:top w:val="single" w:sz="4" w:space="0" w:color="auto"/>
                      <w:left w:val="single" w:sz="4" w:space="0" w:color="auto"/>
                      <w:bottom w:val="single" w:sz="4" w:space="0" w:color="auto"/>
                      <w:right w:val="single" w:sz="4" w:space="0" w:color="auto"/>
                    </w:tcBorders>
                  </w:tcPr>
                  <w:p w:rsidR="00ED2DC7" w:rsidRPr="006963DB" w:rsidRDefault="00ED2DC7">
                    <w:pPr>
                      <w:jc w:val="right"/>
                      <w:rPr>
                        <w:sz w:val="18"/>
                        <w:szCs w:val="18"/>
                      </w:rPr>
                    </w:pPr>
                  </w:p>
                </w:tc>
              </w:tr>
            </w:sdtContent>
          </w:sdt>
          <w:sdt>
            <w:sdtPr>
              <w:rPr>
                <w:sz w:val="18"/>
                <w:szCs w:val="18"/>
              </w:rPr>
              <w:alias w:val="按单项计提坏账准备的应收账款明细"/>
              <w:tag w:val="_TUP_3a763938896845f284a4dc7df88bd4af"/>
              <w:id w:val="842209029"/>
              <w:lock w:val="sdtLocked"/>
              <w:placeholder>
                <w:docPart w:val="GBC11111111111111111111111111111"/>
              </w:placeholder>
            </w:sdtPr>
            <w:sdtContent>
              <w:tr w:rsidR="00B637B2" w:rsidTr="00B637B2">
                <w:trPr>
                  <w:cantSplit/>
                </w:trPr>
                <w:sdt>
                  <w:sdtPr>
                    <w:rPr>
                      <w:sz w:val="18"/>
                      <w:szCs w:val="18"/>
                    </w:rPr>
                    <w:alias w:val="按单项计提坏账准备的应收账款明细-类别"/>
                    <w:tag w:val="_GBC_3399611ce4724e1193aaefa4ea4bde46"/>
                    <w:id w:val="498472714"/>
                    <w:lock w:val="sdtLocked"/>
                    <w:showingPlcHdr/>
                  </w:sdtPr>
                  <w:sdtContent>
                    <w:tc>
                      <w:tcPr>
                        <w:tcW w:w="943" w:type="pct"/>
                        <w:tcBorders>
                          <w:top w:val="single" w:sz="4" w:space="0" w:color="auto"/>
                          <w:left w:val="single" w:sz="4" w:space="0" w:color="auto"/>
                          <w:bottom w:val="single" w:sz="4" w:space="0" w:color="auto"/>
                          <w:right w:val="single" w:sz="4" w:space="0" w:color="auto"/>
                        </w:tcBorders>
                      </w:tcPr>
                      <w:p w:rsidR="00ED2DC7" w:rsidRPr="006963DB" w:rsidRDefault="00ED2DC7">
                        <w:pPr>
                          <w:jc w:val="both"/>
                          <w:rPr>
                            <w:color w:val="808080"/>
                            <w:sz w:val="18"/>
                            <w:szCs w:val="18"/>
                          </w:rPr>
                        </w:pPr>
                        <w:r w:rsidRPr="006963DB">
                          <w:rPr>
                            <w:rFonts w:hint="eastAsia"/>
                            <w:sz w:val="18"/>
                            <w:szCs w:val="18"/>
                          </w:rPr>
                          <w:t xml:space="preserve">　</w:t>
                        </w:r>
                      </w:p>
                    </w:tc>
                  </w:sdtContent>
                </w:sdt>
                <w:tc>
                  <w:tcPr>
                    <w:tcW w:w="672" w:type="pct"/>
                    <w:tcBorders>
                      <w:top w:val="single" w:sz="4" w:space="0" w:color="auto"/>
                      <w:left w:val="single" w:sz="4" w:space="0" w:color="auto"/>
                      <w:bottom w:val="single" w:sz="4" w:space="0" w:color="auto"/>
                      <w:right w:val="single" w:sz="4" w:space="0" w:color="auto"/>
                    </w:tcBorders>
                  </w:tcPr>
                  <w:p w:rsidR="00ED2DC7" w:rsidRPr="006963DB" w:rsidRDefault="00ED2DC7">
                    <w:pPr>
                      <w:jc w:val="right"/>
                      <w:rPr>
                        <w:sz w:val="18"/>
                        <w:szCs w:val="18"/>
                      </w:rPr>
                    </w:pPr>
                  </w:p>
                </w:tc>
                <w:tc>
                  <w:tcPr>
                    <w:tcW w:w="177" w:type="pct"/>
                    <w:tcBorders>
                      <w:top w:val="single" w:sz="4" w:space="0" w:color="auto"/>
                      <w:left w:val="single" w:sz="4" w:space="0" w:color="auto"/>
                      <w:bottom w:val="single" w:sz="4" w:space="0" w:color="auto"/>
                      <w:right w:val="single" w:sz="4" w:space="0" w:color="auto"/>
                    </w:tcBorders>
                  </w:tcPr>
                  <w:p w:rsidR="00ED2DC7" w:rsidRPr="006963DB" w:rsidRDefault="00ED2DC7">
                    <w:pPr>
                      <w:jc w:val="right"/>
                      <w:rPr>
                        <w:sz w:val="18"/>
                        <w:szCs w:val="18"/>
                      </w:rPr>
                    </w:pPr>
                  </w:p>
                </w:tc>
                <w:tc>
                  <w:tcPr>
                    <w:tcW w:w="573" w:type="pct"/>
                    <w:tcBorders>
                      <w:top w:val="single" w:sz="4" w:space="0" w:color="auto"/>
                      <w:left w:val="single" w:sz="4" w:space="0" w:color="auto"/>
                      <w:bottom w:val="single" w:sz="4" w:space="0" w:color="auto"/>
                      <w:right w:val="single" w:sz="4" w:space="0" w:color="auto"/>
                    </w:tcBorders>
                  </w:tcPr>
                  <w:p w:rsidR="00ED2DC7" w:rsidRPr="006963DB" w:rsidRDefault="00ED2DC7">
                    <w:pPr>
                      <w:jc w:val="right"/>
                      <w:rPr>
                        <w:sz w:val="18"/>
                        <w:szCs w:val="18"/>
                      </w:rPr>
                    </w:pPr>
                  </w:p>
                </w:tc>
                <w:tc>
                  <w:tcPr>
                    <w:tcW w:w="179" w:type="pct"/>
                    <w:tcBorders>
                      <w:top w:val="single" w:sz="4" w:space="0" w:color="auto"/>
                      <w:left w:val="single" w:sz="4" w:space="0" w:color="auto"/>
                      <w:bottom w:val="single" w:sz="4" w:space="0" w:color="auto"/>
                      <w:right w:val="single" w:sz="4" w:space="0" w:color="auto"/>
                    </w:tcBorders>
                  </w:tcPr>
                  <w:p w:rsidR="00ED2DC7" w:rsidRPr="006963DB" w:rsidRDefault="00ED2DC7">
                    <w:pPr>
                      <w:jc w:val="right"/>
                      <w:rPr>
                        <w:sz w:val="18"/>
                        <w:szCs w:val="18"/>
                      </w:rPr>
                    </w:pPr>
                  </w:p>
                </w:tc>
                <w:tc>
                  <w:tcPr>
                    <w:tcW w:w="672" w:type="pct"/>
                    <w:tcBorders>
                      <w:top w:val="single" w:sz="4" w:space="0" w:color="auto"/>
                      <w:left w:val="single" w:sz="4" w:space="0" w:color="auto"/>
                      <w:bottom w:val="single" w:sz="4" w:space="0" w:color="auto"/>
                      <w:right w:val="single" w:sz="4" w:space="0" w:color="auto"/>
                    </w:tcBorders>
                  </w:tcPr>
                  <w:p w:rsidR="00ED2DC7" w:rsidRPr="006963DB" w:rsidRDefault="00ED2DC7">
                    <w:pPr>
                      <w:jc w:val="right"/>
                      <w:rPr>
                        <w:sz w:val="18"/>
                        <w:szCs w:val="18"/>
                      </w:rPr>
                    </w:pPr>
                  </w:p>
                </w:tc>
                <w:tc>
                  <w:tcPr>
                    <w:tcW w:w="672" w:type="pct"/>
                    <w:tcBorders>
                      <w:top w:val="single" w:sz="4" w:space="0" w:color="auto"/>
                      <w:left w:val="single" w:sz="4" w:space="0" w:color="auto"/>
                      <w:bottom w:val="single" w:sz="4" w:space="0" w:color="auto"/>
                      <w:right w:val="single" w:sz="4" w:space="0" w:color="auto"/>
                    </w:tcBorders>
                  </w:tcPr>
                  <w:p w:rsidR="00ED2DC7" w:rsidRPr="006963DB" w:rsidRDefault="00ED2DC7">
                    <w:pPr>
                      <w:jc w:val="right"/>
                      <w:rPr>
                        <w:sz w:val="18"/>
                        <w:szCs w:val="18"/>
                      </w:rPr>
                    </w:pPr>
                  </w:p>
                </w:tc>
                <w:tc>
                  <w:tcPr>
                    <w:tcW w:w="183" w:type="pct"/>
                    <w:tcBorders>
                      <w:top w:val="single" w:sz="4" w:space="0" w:color="auto"/>
                      <w:left w:val="single" w:sz="4" w:space="0" w:color="auto"/>
                      <w:bottom w:val="single" w:sz="4" w:space="0" w:color="auto"/>
                      <w:right w:val="single" w:sz="4" w:space="0" w:color="auto"/>
                    </w:tcBorders>
                  </w:tcPr>
                  <w:p w:rsidR="00ED2DC7" w:rsidRPr="006963DB" w:rsidRDefault="00ED2DC7">
                    <w:pPr>
                      <w:jc w:val="right"/>
                      <w:rPr>
                        <w:sz w:val="18"/>
                        <w:szCs w:val="18"/>
                      </w:rPr>
                    </w:pPr>
                  </w:p>
                </w:tc>
                <w:tc>
                  <w:tcPr>
                    <w:tcW w:w="190" w:type="pct"/>
                    <w:tcBorders>
                      <w:top w:val="single" w:sz="4" w:space="0" w:color="auto"/>
                      <w:left w:val="single" w:sz="4" w:space="0" w:color="auto"/>
                      <w:bottom w:val="single" w:sz="4" w:space="0" w:color="auto"/>
                      <w:right w:val="single" w:sz="4" w:space="0" w:color="auto"/>
                    </w:tcBorders>
                  </w:tcPr>
                  <w:p w:rsidR="00ED2DC7" w:rsidRPr="006963DB" w:rsidRDefault="00ED2DC7">
                    <w:pPr>
                      <w:jc w:val="right"/>
                      <w:rPr>
                        <w:sz w:val="18"/>
                        <w:szCs w:val="18"/>
                      </w:rPr>
                    </w:pPr>
                  </w:p>
                </w:tc>
                <w:tc>
                  <w:tcPr>
                    <w:tcW w:w="190" w:type="pct"/>
                    <w:tcBorders>
                      <w:top w:val="single" w:sz="4" w:space="0" w:color="auto"/>
                      <w:left w:val="single" w:sz="4" w:space="0" w:color="auto"/>
                      <w:bottom w:val="single" w:sz="4" w:space="0" w:color="auto"/>
                      <w:right w:val="single" w:sz="4" w:space="0" w:color="auto"/>
                    </w:tcBorders>
                  </w:tcPr>
                  <w:p w:rsidR="00ED2DC7" w:rsidRPr="006963DB" w:rsidRDefault="00ED2DC7">
                    <w:pPr>
                      <w:jc w:val="right"/>
                      <w:rPr>
                        <w:sz w:val="18"/>
                        <w:szCs w:val="18"/>
                      </w:rPr>
                    </w:pPr>
                  </w:p>
                </w:tc>
                <w:tc>
                  <w:tcPr>
                    <w:tcW w:w="551" w:type="pct"/>
                    <w:tcBorders>
                      <w:top w:val="single" w:sz="4" w:space="0" w:color="auto"/>
                      <w:left w:val="single" w:sz="4" w:space="0" w:color="auto"/>
                      <w:bottom w:val="single" w:sz="4" w:space="0" w:color="auto"/>
                      <w:right w:val="single" w:sz="4" w:space="0" w:color="auto"/>
                    </w:tcBorders>
                  </w:tcPr>
                  <w:p w:rsidR="00ED2DC7" w:rsidRPr="006963DB" w:rsidRDefault="00ED2DC7">
                    <w:pPr>
                      <w:jc w:val="right"/>
                      <w:rPr>
                        <w:sz w:val="18"/>
                        <w:szCs w:val="18"/>
                      </w:rPr>
                    </w:pPr>
                  </w:p>
                </w:tc>
              </w:tr>
            </w:sdtContent>
          </w:sdt>
          <w:tr w:rsidR="00B637B2" w:rsidTr="00B637B2">
            <w:trPr>
              <w:cantSplit/>
            </w:trPr>
            <w:sdt>
              <w:sdtPr>
                <w:rPr>
                  <w:sz w:val="18"/>
                  <w:szCs w:val="18"/>
                </w:rPr>
                <w:tag w:val="_PLD_f288fc933fe84e6088cca1ff51abf9b8"/>
                <w:id w:val="1870104861"/>
                <w:lock w:val="sdtLocked"/>
              </w:sdtPr>
              <w:sdtContent>
                <w:tc>
                  <w:tcPr>
                    <w:tcW w:w="943" w:type="pct"/>
                    <w:tcBorders>
                      <w:top w:val="single" w:sz="4" w:space="0" w:color="auto"/>
                      <w:left w:val="single" w:sz="4" w:space="0" w:color="auto"/>
                      <w:bottom w:val="single" w:sz="4" w:space="0" w:color="auto"/>
                      <w:right w:val="single" w:sz="4" w:space="0" w:color="auto"/>
                    </w:tcBorders>
                  </w:tcPr>
                  <w:p w:rsidR="00ED2DC7" w:rsidRPr="006963DB" w:rsidRDefault="00ED2DC7">
                    <w:pPr>
                      <w:jc w:val="both"/>
                      <w:rPr>
                        <w:sz w:val="18"/>
                        <w:szCs w:val="18"/>
                      </w:rPr>
                    </w:pPr>
                    <w:r w:rsidRPr="006963DB">
                      <w:rPr>
                        <w:rFonts w:hint="eastAsia"/>
                        <w:sz w:val="18"/>
                        <w:szCs w:val="18"/>
                      </w:rPr>
                      <w:t>按组合计提坏账准备</w:t>
                    </w:r>
                  </w:p>
                </w:tc>
              </w:sdtContent>
            </w:sdt>
            <w:tc>
              <w:tcPr>
                <w:tcW w:w="672" w:type="pct"/>
                <w:tcBorders>
                  <w:top w:val="single" w:sz="4" w:space="0" w:color="auto"/>
                  <w:left w:val="single" w:sz="4" w:space="0" w:color="auto"/>
                  <w:bottom w:val="single" w:sz="4" w:space="0" w:color="auto"/>
                  <w:right w:val="single" w:sz="4" w:space="0" w:color="auto"/>
                </w:tcBorders>
              </w:tcPr>
              <w:p w:rsidR="00ED2DC7" w:rsidRPr="006963DB" w:rsidRDefault="008F04CF">
                <w:pPr>
                  <w:jc w:val="right"/>
                  <w:rPr>
                    <w:sz w:val="18"/>
                    <w:szCs w:val="18"/>
                  </w:rPr>
                </w:pPr>
                <w:r w:rsidRPr="006963DB">
                  <w:rPr>
                    <w:sz w:val="18"/>
                    <w:szCs w:val="18"/>
                  </w:rPr>
                  <w:t>1,787,636,800</w:t>
                </w:r>
              </w:p>
            </w:tc>
            <w:tc>
              <w:tcPr>
                <w:tcW w:w="177" w:type="pct"/>
                <w:tcBorders>
                  <w:top w:val="single" w:sz="4" w:space="0" w:color="auto"/>
                  <w:left w:val="single" w:sz="4" w:space="0" w:color="auto"/>
                  <w:bottom w:val="single" w:sz="4" w:space="0" w:color="auto"/>
                  <w:right w:val="single" w:sz="4" w:space="0" w:color="auto"/>
                </w:tcBorders>
              </w:tcPr>
              <w:p w:rsidR="00ED2DC7" w:rsidRPr="006963DB" w:rsidRDefault="008F04CF">
                <w:pPr>
                  <w:jc w:val="right"/>
                  <w:rPr>
                    <w:sz w:val="18"/>
                    <w:szCs w:val="18"/>
                  </w:rPr>
                </w:pPr>
                <w:r w:rsidRPr="006963DB">
                  <w:rPr>
                    <w:rFonts w:hint="eastAsia"/>
                    <w:sz w:val="18"/>
                    <w:szCs w:val="18"/>
                  </w:rPr>
                  <w:t>100</w:t>
                </w:r>
              </w:p>
            </w:tc>
            <w:tc>
              <w:tcPr>
                <w:tcW w:w="573" w:type="pct"/>
                <w:tcBorders>
                  <w:top w:val="single" w:sz="4" w:space="0" w:color="auto"/>
                  <w:left w:val="single" w:sz="4" w:space="0" w:color="auto"/>
                  <w:bottom w:val="single" w:sz="4" w:space="0" w:color="auto"/>
                  <w:right w:val="single" w:sz="4" w:space="0" w:color="auto"/>
                </w:tcBorders>
              </w:tcPr>
              <w:p w:rsidR="00ED2DC7" w:rsidRPr="006963DB" w:rsidRDefault="008F04CF">
                <w:pPr>
                  <w:jc w:val="right"/>
                  <w:rPr>
                    <w:sz w:val="18"/>
                    <w:szCs w:val="18"/>
                  </w:rPr>
                </w:pPr>
                <w:r w:rsidRPr="006963DB">
                  <w:rPr>
                    <w:sz w:val="18"/>
                    <w:szCs w:val="18"/>
                  </w:rPr>
                  <w:t>495,128,883</w:t>
                </w:r>
              </w:p>
            </w:tc>
            <w:tc>
              <w:tcPr>
                <w:tcW w:w="179" w:type="pct"/>
                <w:tcBorders>
                  <w:top w:val="single" w:sz="4" w:space="0" w:color="auto"/>
                  <w:left w:val="single" w:sz="4" w:space="0" w:color="auto"/>
                  <w:bottom w:val="single" w:sz="4" w:space="0" w:color="auto"/>
                  <w:right w:val="single" w:sz="4" w:space="0" w:color="auto"/>
                </w:tcBorders>
              </w:tcPr>
              <w:p w:rsidR="00ED2DC7" w:rsidRPr="006963DB" w:rsidRDefault="008F04CF">
                <w:pPr>
                  <w:jc w:val="right"/>
                  <w:rPr>
                    <w:sz w:val="18"/>
                    <w:szCs w:val="18"/>
                  </w:rPr>
                </w:pPr>
                <w:r w:rsidRPr="006963DB">
                  <w:rPr>
                    <w:rFonts w:hint="eastAsia"/>
                    <w:sz w:val="18"/>
                    <w:szCs w:val="18"/>
                  </w:rPr>
                  <w:t>28</w:t>
                </w:r>
              </w:p>
            </w:tc>
            <w:tc>
              <w:tcPr>
                <w:tcW w:w="672" w:type="pct"/>
                <w:tcBorders>
                  <w:top w:val="single" w:sz="4" w:space="0" w:color="auto"/>
                  <w:left w:val="single" w:sz="4" w:space="0" w:color="auto"/>
                  <w:bottom w:val="single" w:sz="4" w:space="0" w:color="auto"/>
                  <w:right w:val="single" w:sz="4" w:space="0" w:color="auto"/>
                </w:tcBorders>
              </w:tcPr>
              <w:p w:rsidR="00ED2DC7" w:rsidRPr="006963DB" w:rsidRDefault="008F04CF">
                <w:pPr>
                  <w:jc w:val="right"/>
                  <w:rPr>
                    <w:sz w:val="18"/>
                    <w:szCs w:val="18"/>
                  </w:rPr>
                </w:pPr>
                <w:r w:rsidRPr="006963DB">
                  <w:rPr>
                    <w:sz w:val="18"/>
                    <w:szCs w:val="18"/>
                  </w:rPr>
                  <w:t>1,292,507,917</w:t>
                </w:r>
              </w:p>
            </w:tc>
            <w:tc>
              <w:tcPr>
                <w:tcW w:w="672" w:type="pct"/>
                <w:tcBorders>
                  <w:top w:val="single" w:sz="4" w:space="0" w:color="auto"/>
                  <w:left w:val="single" w:sz="4" w:space="0" w:color="auto"/>
                  <w:bottom w:val="single" w:sz="4" w:space="0" w:color="auto"/>
                  <w:right w:val="single" w:sz="4" w:space="0" w:color="auto"/>
                </w:tcBorders>
              </w:tcPr>
              <w:p w:rsidR="00ED2DC7" w:rsidRPr="006963DB" w:rsidRDefault="008F04CF">
                <w:pPr>
                  <w:jc w:val="right"/>
                  <w:rPr>
                    <w:sz w:val="18"/>
                    <w:szCs w:val="18"/>
                  </w:rPr>
                </w:pPr>
                <w:r w:rsidRPr="006963DB">
                  <w:rPr>
                    <w:sz w:val="18"/>
                    <w:szCs w:val="18"/>
                  </w:rPr>
                  <w:t>1,774,629,034</w:t>
                </w:r>
              </w:p>
            </w:tc>
            <w:tc>
              <w:tcPr>
                <w:tcW w:w="183" w:type="pct"/>
                <w:tcBorders>
                  <w:top w:val="single" w:sz="4" w:space="0" w:color="auto"/>
                  <w:left w:val="single" w:sz="4" w:space="0" w:color="auto"/>
                  <w:bottom w:val="single" w:sz="4" w:space="0" w:color="auto"/>
                  <w:right w:val="single" w:sz="4" w:space="0" w:color="auto"/>
                </w:tcBorders>
              </w:tcPr>
              <w:p w:rsidR="00ED2DC7" w:rsidRPr="006963DB" w:rsidRDefault="008F04CF">
                <w:pPr>
                  <w:jc w:val="right"/>
                  <w:rPr>
                    <w:sz w:val="18"/>
                    <w:szCs w:val="18"/>
                  </w:rPr>
                </w:pPr>
                <w:r>
                  <w:rPr>
                    <w:rFonts w:hint="eastAsia"/>
                    <w:sz w:val="18"/>
                    <w:szCs w:val="18"/>
                  </w:rPr>
                  <w:t>100</w:t>
                </w:r>
              </w:p>
            </w:tc>
            <w:tc>
              <w:tcPr>
                <w:tcW w:w="190" w:type="pct"/>
                <w:tcBorders>
                  <w:top w:val="single" w:sz="4" w:space="0" w:color="auto"/>
                  <w:left w:val="single" w:sz="4" w:space="0" w:color="auto"/>
                  <w:bottom w:val="single" w:sz="4" w:space="0" w:color="auto"/>
                  <w:right w:val="single" w:sz="4" w:space="0" w:color="auto"/>
                </w:tcBorders>
              </w:tcPr>
              <w:p w:rsidR="00ED2DC7" w:rsidRPr="006963DB" w:rsidRDefault="008F04CF">
                <w:pPr>
                  <w:jc w:val="right"/>
                  <w:rPr>
                    <w:sz w:val="18"/>
                    <w:szCs w:val="18"/>
                  </w:rPr>
                </w:pPr>
                <w:r w:rsidRPr="006963DB">
                  <w:rPr>
                    <w:sz w:val="18"/>
                    <w:szCs w:val="18"/>
                  </w:rPr>
                  <w:t>451,214,567</w:t>
                </w:r>
              </w:p>
            </w:tc>
            <w:tc>
              <w:tcPr>
                <w:tcW w:w="190" w:type="pct"/>
                <w:tcBorders>
                  <w:top w:val="single" w:sz="4" w:space="0" w:color="auto"/>
                  <w:left w:val="single" w:sz="4" w:space="0" w:color="auto"/>
                  <w:bottom w:val="single" w:sz="4" w:space="0" w:color="auto"/>
                  <w:right w:val="single" w:sz="4" w:space="0" w:color="auto"/>
                </w:tcBorders>
              </w:tcPr>
              <w:p w:rsidR="00ED2DC7" w:rsidRPr="006963DB" w:rsidRDefault="008F04CF">
                <w:pPr>
                  <w:jc w:val="right"/>
                  <w:rPr>
                    <w:sz w:val="18"/>
                    <w:szCs w:val="18"/>
                  </w:rPr>
                </w:pPr>
                <w:r>
                  <w:rPr>
                    <w:rFonts w:hint="eastAsia"/>
                    <w:sz w:val="18"/>
                    <w:szCs w:val="18"/>
                  </w:rPr>
                  <w:t>25</w:t>
                </w:r>
              </w:p>
            </w:tc>
            <w:tc>
              <w:tcPr>
                <w:tcW w:w="551" w:type="pct"/>
                <w:tcBorders>
                  <w:top w:val="single" w:sz="4" w:space="0" w:color="auto"/>
                  <w:left w:val="single" w:sz="4" w:space="0" w:color="auto"/>
                  <w:bottom w:val="single" w:sz="4" w:space="0" w:color="auto"/>
                  <w:right w:val="single" w:sz="4" w:space="0" w:color="auto"/>
                </w:tcBorders>
              </w:tcPr>
              <w:p w:rsidR="00ED2DC7" w:rsidRPr="006963DB" w:rsidRDefault="008F04CF">
                <w:pPr>
                  <w:jc w:val="right"/>
                  <w:rPr>
                    <w:sz w:val="18"/>
                    <w:szCs w:val="18"/>
                  </w:rPr>
                </w:pPr>
                <w:r w:rsidRPr="006963DB">
                  <w:rPr>
                    <w:sz w:val="18"/>
                    <w:szCs w:val="18"/>
                  </w:rPr>
                  <w:t>1,323,414,467</w:t>
                </w:r>
              </w:p>
            </w:tc>
          </w:tr>
          <w:tr w:rsidR="00ED2DC7" w:rsidTr="00B637B2">
            <w:trPr>
              <w:cantSplit/>
            </w:trPr>
            <w:sdt>
              <w:sdtPr>
                <w:rPr>
                  <w:sz w:val="18"/>
                  <w:szCs w:val="18"/>
                </w:rPr>
                <w:tag w:val="_PLD_55a01fc28b044e40bd4e4399252665c0"/>
                <w:id w:val="-1915159103"/>
                <w:lock w:val="sdtLocked"/>
              </w:sdtPr>
              <w:sdtContent>
                <w:tc>
                  <w:tcPr>
                    <w:tcW w:w="5000" w:type="pct"/>
                    <w:gridSpan w:val="11"/>
                    <w:tcBorders>
                      <w:top w:val="single" w:sz="4" w:space="0" w:color="auto"/>
                      <w:left w:val="single" w:sz="4" w:space="0" w:color="auto"/>
                      <w:bottom w:val="single" w:sz="4" w:space="0" w:color="auto"/>
                      <w:right w:val="single" w:sz="4" w:space="0" w:color="auto"/>
                    </w:tcBorders>
                  </w:tcPr>
                  <w:p w:rsidR="00ED2DC7" w:rsidRPr="006963DB" w:rsidRDefault="00ED2DC7">
                    <w:pPr>
                      <w:rPr>
                        <w:sz w:val="18"/>
                        <w:szCs w:val="18"/>
                      </w:rPr>
                    </w:pPr>
                    <w:r w:rsidRPr="006963DB">
                      <w:rPr>
                        <w:rFonts w:hint="eastAsia"/>
                        <w:sz w:val="18"/>
                        <w:szCs w:val="18"/>
                      </w:rPr>
                      <w:t>其中：</w:t>
                    </w:r>
                  </w:p>
                </w:tc>
              </w:sdtContent>
            </w:sdt>
          </w:tr>
          <w:sdt>
            <w:sdtPr>
              <w:rPr>
                <w:sz w:val="18"/>
                <w:szCs w:val="18"/>
              </w:rPr>
              <w:alias w:val="按组合计提坏账准备的应收账款明细"/>
              <w:tag w:val="_TUP_01960bfe94fc450d9a465ddf3f2cfd76"/>
              <w:id w:val="2021962838"/>
              <w:lock w:val="sdtLocked"/>
              <w:placeholder>
                <w:docPart w:val="GBC11111111111111111111111111111"/>
              </w:placeholder>
            </w:sdtPr>
            <w:sdtContent>
              <w:tr w:rsidR="00B637B2" w:rsidTr="00B637B2">
                <w:trPr>
                  <w:cantSplit/>
                </w:trPr>
                <w:sdt>
                  <w:sdtPr>
                    <w:rPr>
                      <w:sz w:val="18"/>
                      <w:szCs w:val="18"/>
                    </w:rPr>
                    <w:alias w:val="按组合计提坏账准备的应收账款明细-组合名称"/>
                    <w:tag w:val="_GBC_c5f1817705f34c9782f585b3ed10e2db"/>
                    <w:id w:val="832800546"/>
                    <w:lock w:val="sdtLocked"/>
                  </w:sdtPr>
                  <w:sdtContent>
                    <w:tc>
                      <w:tcPr>
                        <w:tcW w:w="943" w:type="pct"/>
                        <w:tcBorders>
                          <w:top w:val="single" w:sz="4" w:space="0" w:color="auto"/>
                          <w:left w:val="single" w:sz="4" w:space="0" w:color="auto"/>
                          <w:bottom w:val="single" w:sz="4" w:space="0" w:color="auto"/>
                          <w:right w:val="single" w:sz="4" w:space="0" w:color="auto"/>
                        </w:tcBorders>
                      </w:tcPr>
                      <w:p w:rsidR="00ED2DC7" w:rsidRPr="006963DB" w:rsidRDefault="008F04CF">
                        <w:pPr>
                          <w:jc w:val="both"/>
                          <w:rPr>
                            <w:color w:val="808080"/>
                            <w:sz w:val="18"/>
                            <w:szCs w:val="18"/>
                          </w:rPr>
                        </w:pPr>
                        <w:r w:rsidRPr="006963DB">
                          <w:rPr>
                            <w:rFonts w:hint="eastAsia"/>
                            <w:sz w:val="18"/>
                            <w:szCs w:val="18"/>
                          </w:rPr>
                          <w:t>按信用风险特征组合计提坏账准备</w:t>
                        </w:r>
                      </w:p>
                    </w:tc>
                  </w:sdtContent>
                </w:sdt>
                <w:tc>
                  <w:tcPr>
                    <w:tcW w:w="672" w:type="pct"/>
                    <w:tcBorders>
                      <w:top w:val="single" w:sz="4" w:space="0" w:color="auto"/>
                      <w:left w:val="single" w:sz="4" w:space="0" w:color="auto"/>
                      <w:bottom w:val="single" w:sz="4" w:space="0" w:color="auto"/>
                      <w:right w:val="single" w:sz="4" w:space="0" w:color="auto"/>
                    </w:tcBorders>
                  </w:tcPr>
                  <w:p w:rsidR="00ED2DC7" w:rsidRPr="006963DB" w:rsidRDefault="008F04CF">
                    <w:pPr>
                      <w:jc w:val="right"/>
                      <w:rPr>
                        <w:sz w:val="18"/>
                        <w:szCs w:val="18"/>
                      </w:rPr>
                    </w:pPr>
                    <w:r w:rsidRPr="006963DB">
                      <w:rPr>
                        <w:sz w:val="18"/>
                        <w:szCs w:val="18"/>
                      </w:rPr>
                      <w:t>1,787,636,800</w:t>
                    </w:r>
                  </w:p>
                </w:tc>
                <w:tc>
                  <w:tcPr>
                    <w:tcW w:w="177" w:type="pct"/>
                    <w:tcBorders>
                      <w:top w:val="single" w:sz="4" w:space="0" w:color="auto"/>
                      <w:left w:val="single" w:sz="4" w:space="0" w:color="auto"/>
                      <w:bottom w:val="single" w:sz="4" w:space="0" w:color="auto"/>
                      <w:right w:val="single" w:sz="4" w:space="0" w:color="auto"/>
                    </w:tcBorders>
                  </w:tcPr>
                  <w:p w:rsidR="00ED2DC7" w:rsidRPr="006963DB" w:rsidRDefault="008F04CF">
                    <w:pPr>
                      <w:jc w:val="right"/>
                      <w:rPr>
                        <w:sz w:val="18"/>
                        <w:szCs w:val="18"/>
                      </w:rPr>
                    </w:pPr>
                    <w:r>
                      <w:rPr>
                        <w:rFonts w:hint="eastAsia"/>
                        <w:sz w:val="18"/>
                        <w:szCs w:val="18"/>
                      </w:rPr>
                      <w:t>100</w:t>
                    </w:r>
                  </w:p>
                </w:tc>
                <w:tc>
                  <w:tcPr>
                    <w:tcW w:w="573" w:type="pct"/>
                    <w:tcBorders>
                      <w:top w:val="single" w:sz="4" w:space="0" w:color="auto"/>
                      <w:left w:val="single" w:sz="4" w:space="0" w:color="auto"/>
                      <w:bottom w:val="single" w:sz="4" w:space="0" w:color="auto"/>
                      <w:right w:val="single" w:sz="4" w:space="0" w:color="auto"/>
                    </w:tcBorders>
                  </w:tcPr>
                  <w:p w:rsidR="00ED2DC7" w:rsidRPr="006963DB" w:rsidRDefault="008F04CF">
                    <w:pPr>
                      <w:jc w:val="right"/>
                      <w:rPr>
                        <w:sz w:val="18"/>
                        <w:szCs w:val="18"/>
                      </w:rPr>
                    </w:pPr>
                    <w:r w:rsidRPr="006963DB">
                      <w:rPr>
                        <w:sz w:val="18"/>
                        <w:szCs w:val="18"/>
                      </w:rPr>
                      <w:t>495,128,883</w:t>
                    </w:r>
                  </w:p>
                </w:tc>
                <w:tc>
                  <w:tcPr>
                    <w:tcW w:w="179" w:type="pct"/>
                    <w:tcBorders>
                      <w:top w:val="single" w:sz="4" w:space="0" w:color="auto"/>
                      <w:left w:val="single" w:sz="4" w:space="0" w:color="auto"/>
                      <w:bottom w:val="single" w:sz="4" w:space="0" w:color="auto"/>
                      <w:right w:val="single" w:sz="4" w:space="0" w:color="auto"/>
                    </w:tcBorders>
                  </w:tcPr>
                  <w:p w:rsidR="00ED2DC7" w:rsidRPr="006963DB" w:rsidRDefault="008F04CF">
                    <w:pPr>
                      <w:jc w:val="right"/>
                      <w:rPr>
                        <w:sz w:val="18"/>
                        <w:szCs w:val="18"/>
                      </w:rPr>
                    </w:pPr>
                    <w:r>
                      <w:rPr>
                        <w:rFonts w:hint="eastAsia"/>
                        <w:sz w:val="18"/>
                        <w:szCs w:val="18"/>
                      </w:rPr>
                      <w:t>28</w:t>
                    </w:r>
                  </w:p>
                </w:tc>
                <w:tc>
                  <w:tcPr>
                    <w:tcW w:w="672" w:type="pct"/>
                    <w:tcBorders>
                      <w:top w:val="single" w:sz="4" w:space="0" w:color="auto"/>
                      <w:left w:val="single" w:sz="4" w:space="0" w:color="auto"/>
                      <w:bottom w:val="single" w:sz="4" w:space="0" w:color="auto"/>
                      <w:right w:val="single" w:sz="4" w:space="0" w:color="auto"/>
                    </w:tcBorders>
                  </w:tcPr>
                  <w:p w:rsidR="00ED2DC7" w:rsidRPr="006963DB" w:rsidRDefault="008F04CF">
                    <w:pPr>
                      <w:jc w:val="right"/>
                      <w:rPr>
                        <w:sz w:val="18"/>
                        <w:szCs w:val="18"/>
                      </w:rPr>
                    </w:pPr>
                    <w:r w:rsidRPr="006963DB">
                      <w:rPr>
                        <w:sz w:val="18"/>
                        <w:szCs w:val="18"/>
                      </w:rPr>
                      <w:t>1,292,507,917</w:t>
                    </w:r>
                  </w:p>
                </w:tc>
                <w:tc>
                  <w:tcPr>
                    <w:tcW w:w="672" w:type="pct"/>
                    <w:tcBorders>
                      <w:top w:val="single" w:sz="4" w:space="0" w:color="auto"/>
                      <w:left w:val="single" w:sz="4" w:space="0" w:color="auto"/>
                      <w:bottom w:val="single" w:sz="4" w:space="0" w:color="auto"/>
                      <w:right w:val="single" w:sz="4" w:space="0" w:color="auto"/>
                    </w:tcBorders>
                  </w:tcPr>
                  <w:p w:rsidR="00ED2DC7" w:rsidRPr="006963DB" w:rsidRDefault="008F04CF">
                    <w:pPr>
                      <w:jc w:val="right"/>
                      <w:rPr>
                        <w:sz w:val="18"/>
                        <w:szCs w:val="18"/>
                      </w:rPr>
                    </w:pPr>
                    <w:r w:rsidRPr="006963DB">
                      <w:rPr>
                        <w:sz w:val="18"/>
                        <w:szCs w:val="18"/>
                      </w:rPr>
                      <w:t>1,774,629,034</w:t>
                    </w:r>
                  </w:p>
                </w:tc>
                <w:tc>
                  <w:tcPr>
                    <w:tcW w:w="183" w:type="pct"/>
                    <w:tcBorders>
                      <w:top w:val="single" w:sz="4" w:space="0" w:color="auto"/>
                      <w:left w:val="single" w:sz="4" w:space="0" w:color="auto"/>
                      <w:bottom w:val="single" w:sz="4" w:space="0" w:color="auto"/>
                      <w:right w:val="single" w:sz="4" w:space="0" w:color="auto"/>
                    </w:tcBorders>
                  </w:tcPr>
                  <w:p w:rsidR="00ED2DC7" w:rsidRPr="006963DB" w:rsidRDefault="008F04CF">
                    <w:pPr>
                      <w:jc w:val="right"/>
                      <w:rPr>
                        <w:sz w:val="18"/>
                        <w:szCs w:val="18"/>
                      </w:rPr>
                    </w:pPr>
                    <w:r>
                      <w:rPr>
                        <w:rFonts w:hint="eastAsia"/>
                        <w:sz w:val="18"/>
                        <w:szCs w:val="18"/>
                      </w:rPr>
                      <w:t>100</w:t>
                    </w:r>
                  </w:p>
                </w:tc>
                <w:tc>
                  <w:tcPr>
                    <w:tcW w:w="190" w:type="pct"/>
                    <w:tcBorders>
                      <w:top w:val="single" w:sz="4" w:space="0" w:color="auto"/>
                      <w:left w:val="single" w:sz="4" w:space="0" w:color="auto"/>
                      <w:bottom w:val="single" w:sz="4" w:space="0" w:color="auto"/>
                      <w:right w:val="single" w:sz="4" w:space="0" w:color="auto"/>
                    </w:tcBorders>
                  </w:tcPr>
                  <w:p w:rsidR="00ED2DC7" w:rsidRPr="006963DB" w:rsidRDefault="008F04CF">
                    <w:pPr>
                      <w:jc w:val="right"/>
                      <w:rPr>
                        <w:sz w:val="18"/>
                        <w:szCs w:val="18"/>
                      </w:rPr>
                    </w:pPr>
                    <w:r w:rsidRPr="006963DB">
                      <w:rPr>
                        <w:sz w:val="18"/>
                        <w:szCs w:val="18"/>
                      </w:rPr>
                      <w:t>451,214,567</w:t>
                    </w:r>
                  </w:p>
                </w:tc>
                <w:tc>
                  <w:tcPr>
                    <w:tcW w:w="190" w:type="pct"/>
                    <w:tcBorders>
                      <w:top w:val="single" w:sz="4" w:space="0" w:color="auto"/>
                      <w:left w:val="single" w:sz="4" w:space="0" w:color="auto"/>
                      <w:bottom w:val="single" w:sz="4" w:space="0" w:color="auto"/>
                      <w:right w:val="single" w:sz="4" w:space="0" w:color="auto"/>
                    </w:tcBorders>
                  </w:tcPr>
                  <w:p w:rsidR="00ED2DC7" w:rsidRPr="006963DB" w:rsidRDefault="008F04CF">
                    <w:pPr>
                      <w:jc w:val="right"/>
                      <w:rPr>
                        <w:sz w:val="18"/>
                        <w:szCs w:val="18"/>
                      </w:rPr>
                    </w:pPr>
                    <w:r>
                      <w:rPr>
                        <w:rFonts w:hint="eastAsia"/>
                        <w:sz w:val="18"/>
                        <w:szCs w:val="18"/>
                      </w:rPr>
                      <w:t>25</w:t>
                    </w:r>
                  </w:p>
                </w:tc>
                <w:tc>
                  <w:tcPr>
                    <w:tcW w:w="551" w:type="pct"/>
                    <w:tcBorders>
                      <w:top w:val="single" w:sz="4" w:space="0" w:color="auto"/>
                      <w:left w:val="single" w:sz="4" w:space="0" w:color="auto"/>
                      <w:bottom w:val="single" w:sz="4" w:space="0" w:color="auto"/>
                      <w:right w:val="single" w:sz="4" w:space="0" w:color="auto"/>
                    </w:tcBorders>
                  </w:tcPr>
                  <w:p w:rsidR="00ED2DC7" w:rsidRPr="006963DB" w:rsidRDefault="008F04CF">
                    <w:pPr>
                      <w:jc w:val="right"/>
                      <w:rPr>
                        <w:sz w:val="18"/>
                        <w:szCs w:val="18"/>
                      </w:rPr>
                    </w:pPr>
                    <w:r w:rsidRPr="006963DB">
                      <w:rPr>
                        <w:sz w:val="18"/>
                        <w:szCs w:val="18"/>
                      </w:rPr>
                      <w:t>1,323,414,467</w:t>
                    </w:r>
                  </w:p>
                </w:tc>
              </w:tr>
            </w:sdtContent>
          </w:sdt>
          <w:sdt>
            <w:sdtPr>
              <w:rPr>
                <w:sz w:val="18"/>
                <w:szCs w:val="18"/>
              </w:rPr>
              <w:alias w:val="按组合计提坏账准备的应收账款明细"/>
              <w:tag w:val="_TUP_01960bfe94fc450d9a465ddf3f2cfd76"/>
              <w:id w:val="1755788676"/>
              <w:lock w:val="sdtLocked"/>
              <w:placeholder>
                <w:docPart w:val="GBC11111111111111111111111111111"/>
              </w:placeholder>
            </w:sdtPr>
            <w:sdtContent>
              <w:tr w:rsidR="00B637B2" w:rsidTr="00B637B2">
                <w:trPr>
                  <w:cantSplit/>
                </w:trPr>
                <w:sdt>
                  <w:sdtPr>
                    <w:rPr>
                      <w:sz w:val="18"/>
                      <w:szCs w:val="18"/>
                    </w:rPr>
                    <w:alias w:val="按组合计提坏账准备的应收账款明细-组合名称"/>
                    <w:tag w:val="_GBC_c5f1817705f34c9782f585b3ed10e2db"/>
                    <w:id w:val="-1227682170"/>
                    <w:lock w:val="sdtLocked"/>
                    <w:showingPlcHdr/>
                  </w:sdtPr>
                  <w:sdtContent>
                    <w:tc>
                      <w:tcPr>
                        <w:tcW w:w="943" w:type="pct"/>
                        <w:tcBorders>
                          <w:top w:val="single" w:sz="4" w:space="0" w:color="auto"/>
                          <w:left w:val="single" w:sz="4" w:space="0" w:color="auto"/>
                          <w:bottom w:val="single" w:sz="4" w:space="0" w:color="auto"/>
                          <w:right w:val="single" w:sz="4" w:space="0" w:color="auto"/>
                        </w:tcBorders>
                      </w:tcPr>
                      <w:p w:rsidR="00ED2DC7" w:rsidRPr="006963DB" w:rsidRDefault="00ED2DC7">
                        <w:pPr>
                          <w:jc w:val="both"/>
                          <w:rPr>
                            <w:color w:val="808080"/>
                            <w:sz w:val="18"/>
                            <w:szCs w:val="18"/>
                          </w:rPr>
                        </w:pPr>
                        <w:r w:rsidRPr="006963DB">
                          <w:rPr>
                            <w:rFonts w:hint="eastAsia"/>
                            <w:sz w:val="18"/>
                            <w:szCs w:val="18"/>
                          </w:rPr>
                          <w:t xml:space="preserve">　</w:t>
                        </w:r>
                      </w:p>
                    </w:tc>
                  </w:sdtContent>
                </w:sdt>
                <w:tc>
                  <w:tcPr>
                    <w:tcW w:w="672" w:type="pct"/>
                    <w:tcBorders>
                      <w:top w:val="single" w:sz="4" w:space="0" w:color="auto"/>
                      <w:left w:val="single" w:sz="4" w:space="0" w:color="auto"/>
                      <w:bottom w:val="single" w:sz="4" w:space="0" w:color="auto"/>
                      <w:right w:val="single" w:sz="4" w:space="0" w:color="auto"/>
                    </w:tcBorders>
                  </w:tcPr>
                  <w:p w:rsidR="00ED2DC7" w:rsidRPr="006963DB" w:rsidRDefault="00ED2DC7">
                    <w:pPr>
                      <w:jc w:val="right"/>
                      <w:rPr>
                        <w:sz w:val="18"/>
                        <w:szCs w:val="18"/>
                      </w:rPr>
                    </w:pPr>
                  </w:p>
                </w:tc>
                <w:tc>
                  <w:tcPr>
                    <w:tcW w:w="177" w:type="pct"/>
                    <w:tcBorders>
                      <w:top w:val="single" w:sz="4" w:space="0" w:color="auto"/>
                      <w:left w:val="single" w:sz="4" w:space="0" w:color="auto"/>
                      <w:bottom w:val="single" w:sz="4" w:space="0" w:color="auto"/>
                      <w:right w:val="single" w:sz="4" w:space="0" w:color="auto"/>
                    </w:tcBorders>
                  </w:tcPr>
                  <w:p w:rsidR="00ED2DC7" w:rsidRPr="006963DB" w:rsidRDefault="00ED2DC7">
                    <w:pPr>
                      <w:jc w:val="right"/>
                      <w:rPr>
                        <w:sz w:val="18"/>
                        <w:szCs w:val="18"/>
                      </w:rPr>
                    </w:pPr>
                  </w:p>
                </w:tc>
                <w:tc>
                  <w:tcPr>
                    <w:tcW w:w="573" w:type="pct"/>
                    <w:tcBorders>
                      <w:top w:val="single" w:sz="4" w:space="0" w:color="auto"/>
                      <w:left w:val="single" w:sz="4" w:space="0" w:color="auto"/>
                      <w:bottom w:val="single" w:sz="4" w:space="0" w:color="auto"/>
                      <w:right w:val="single" w:sz="4" w:space="0" w:color="auto"/>
                    </w:tcBorders>
                  </w:tcPr>
                  <w:p w:rsidR="00ED2DC7" w:rsidRPr="006963DB" w:rsidRDefault="00ED2DC7">
                    <w:pPr>
                      <w:jc w:val="right"/>
                      <w:rPr>
                        <w:sz w:val="18"/>
                        <w:szCs w:val="18"/>
                      </w:rPr>
                    </w:pPr>
                  </w:p>
                </w:tc>
                <w:tc>
                  <w:tcPr>
                    <w:tcW w:w="179" w:type="pct"/>
                    <w:tcBorders>
                      <w:top w:val="single" w:sz="4" w:space="0" w:color="auto"/>
                      <w:left w:val="single" w:sz="4" w:space="0" w:color="auto"/>
                      <w:bottom w:val="single" w:sz="4" w:space="0" w:color="auto"/>
                      <w:right w:val="single" w:sz="4" w:space="0" w:color="auto"/>
                    </w:tcBorders>
                  </w:tcPr>
                  <w:p w:rsidR="00ED2DC7" w:rsidRPr="006963DB" w:rsidRDefault="00ED2DC7">
                    <w:pPr>
                      <w:jc w:val="right"/>
                      <w:rPr>
                        <w:sz w:val="18"/>
                        <w:szCs w:val="18"/>
                      </w:rPr>
                    </w:pPr>
                  </w:p>
                </w:tc>
                <w:tc>
                  <w:tcPr>
                    <w:tcW w:w="672" w:type="pct"/>
                    <w:tcBorders>
                      <w:top w:val="single" w:sz="4" w:space="0" w:color="auto"/>
                      <w:left w:val="single" w:sz="4" w:space="0" w:color="auto"/>
                      <w:bottom w:val="single" w:sz="4" w:space="0" w:color="auto"/>
                      <w:right w:val="single" w:sz="4" w:space="0" w:color="auto"/>
                    </w:tcBorders>
                  </w:tcPr>
                  <w:p w:rsidR="00ED2DC7" w:rsidRPr="006963DB" w:rsidRDefault="00ED2DC7">
                    <w:pPr>
                      <w:jc w:val="right"/>
                      <w:rPr>
                        <w:sz w:val="18"/>
                        <w:szCs w:val="18"/>
                      </w:rPr>
                    </w:pPr>
                  </w:p>
                </w:tc>
                <w:tc>
                  <w:tcPr>
                    <w:tcW w:w="672" w:type="pct"/>
                    <w:tcBorders>
                      <w:top w:val="single" w:sz="4" w:space="0" w:color="auto"/>
                      <w:left w:val="single" w:sz="4" w:space="0" w:color="auto"/>
                      <w:bottom w:val="single" w:sz="4" w:space="0" w:color="auto"/>
                      <w:right w:val="single" w:sz="4" w:space="0" w:color="auto"/>
                    </w:tcBorders>
                  </w:tcPr>
                  <w:p w:rsidR="00ED2DC7" w:rsidRPr="006963DB" w:rsidRDefault="00ED2DC7">
                    <w:pPr>
                      <w:jc w:val="right"/>
                      <w:rPr>
                        <w:sz w:val="18"/>
                        <w:szCs w:val="18"/>
                      </w:rPr>
                    </w:pPr>
                  </w:p>
                </w:tc>
                <w:tc>
                  <w:tcPr>
                    <w:tcW w:w="183" w:type="pct"/>
                    <w:tcBorders>
                      <w:top w:val="single" w:sz="4" w:space="0" w:color="auto"/>
                      <w:left w:val="single" w:sz="4" w:space="0" w:color="auto"/>
                      <w:bottom w:val="single" w:sz="4" w:space="0" w:color="auto"/>
                      <w:right w:val="single" w:sz="4" w:space="0" w:color="auto"/>
                    </w:tcBorders>
                  </w:tcPr>
                  <w:p w:rsidR="00ED2DC7" w:rsidRPr="006963DB" w:rsidRDefault="00ED2DC7">
                    <w:pPr>
                      <w:jc w:val="right"/>
                      <w:rPr>
                        <w:sz w:val="18"/>
                        <w:szCs w:val="18"/>
                      </w:rPr>
                    </w:pPr>
                  </w:p>
                </w:tc>
                <w:tc>
                  <w:tcPr>
                    <w:tcW w:w="190" w:type="pct"/>
                    <w:tcBorders>
                      <w:top w:val="single" w:sz="4" w:space="0" w:color="auto"/>
                      <w:left w:val="single" w:sz="4" w:space="0" w:color="auto"/>
                      <w:bottom w:val="single" w:sz="4" w:space="0" w:color="auto"/>
                      <w:right w:val="single" w:sz="4" w:space="0" w:color="auto"/>
                    </w:tcBorders>
                  </w:tcPr>
                  <w:p w:rsidR="00ED2DC7" w:rsidRPr="006963DB" w:rsidRDefault="00ED2DC7">
                    <w:pPr>
                      <w:jc w:val="right"/>
                      <w:rPr>
                        <w:sz w:val="18"/>
                        <w:szCs w:val="18"/>
                      </w:rPr>
                    </w:pPr>
                  </w:p>
                </w:tc>
                <w:tc>
                  <w:tcPr>
                    <w:tcW w:w="190" w:type="pct"/>
                    <w:tcBorders>
                      <w:top w:val="single" w:sz="4" w:space="0" w:color="auto"/>
                      <w:left w:val="single" w:sz="4" w:space="0" w:color="auto"/>
                      <w:bottom w:val="single" w:sz="4" w:space="0" w:color="auto"/>
                      <w:right w:val="single" w:sz="4" w:space="0" w:color="auto"/>
                    </w:tcBorders>
                  </w:tcPr>
                  <w:p w:rsidR="00ED2DC7" w:rsidRPr="006963DB" w:rsidRDefault="00ED2DC7">
                    <w:pPr>
                      <w:jc w:val="right"/>
                      <w:rPr>
                        <w:sz w:val="18"/>
                        <w:szCs w:val="18"/>
                      </w:rPr>
                    </w:pPr>
                  </w:p>
                </w:tc>
                <w:tc>
                  <w:tcPr>
                    <w:tcW w:w="551" w:type="pct"/>
                    <w:tcBorders>
                      <w:top w:val="single" w:sz="4" w:space="0" w:color="auto"/>
                      <w:left w:val="single" w:sz="4" w:space="0" w:color="auto"/>
                      <w:bottom w:val="single" w:sz="4" w:space="0" w:color="auto"/>
                      <w:right w:val="single" w:sz="4" w:space="0" w:color="auto"/>
                    </w:tcBorders>
                  </w:tcPr>
                  <w:p w:rsidR="00ED2DC7" w:rsidRPr="006963DB" w:rsidRDefault="00ED2DC7">
                    <w:pPr>
                      <w:jc w:val="right"/>
                      <w:rPr>
                        <w:sz w:val="18"/>
                        <w:szCs w:val="18"/>
                      </w:rPr>
                    </w:pPr>
                  </w:p>
                </w:tc>
              </w:tr>
            </w:sdtContent>
          </w:sdt>
          <w:tr w:rsidR="00B637B2" w:rsidTr="00B637B2">
            <w:trPr>
              <w:cantSplit/>
            </w:trPr>
            <w:sdt>
              <w:sdtPr>
                <w:rPr>
                  <w:sz w:val="18"/>
                  <w:szCs w:val="18"/>
                </w:rPr>
                <w:tag w:val="_PLD_435141e2dc244009953ee87401ee0c5d"/>
                <w:id w:val="1638375197"/>
                <w:lock w:val="sdtLocked"/>
              </w:sdtPr>
              <w:sdtContent>
                <w:tc>
                  <w:tcPr>
                    <w:tcW w:w="943" w:type="pct"/>
                    <w:tcBorders>
                      <w:top w:val="single" w:sz="4" w:space="0" w:color="auto"/>
                      <w:left w:val="single" w:sz="4" w:space="0" w:color="auto"/>
                      <w:bottom w:val="single" w:sz="4" w:space="0" w:color="auto"/>
                      <w:right w:val="single" w:sz="4" w:space="0" w:color="auto"/>
                    </w:tcBorders>
                    <w:vAlign w:val="center"/>
                  </w:tcPr>
                  <w:p w:rsidR="00ED2DC7" w:rsidRPr="006963DB" w:rsidRDefault="00ED2DC7">
                    <w:pPr>
                      <w:autoSpaceDE w:val="0"/>
                      <w:autoSpaceDN w:val="0"/>
                      <w:adjustRightInd w:val="0"/>
                      <w:jc w:val="center"/>
                      <w:rPr>
                        <w:sz w:val="18"/>
                        <w:szCs w:val="18"/>
                      </w:rPr>
                    </w:pPr>
                    <w:r w:rsidRPr="006963DB">
                      <w:rPr>
                        <w:rFonts w:hint="eastAsia"/>
                        <w:sz w:val="18"/>
                        <w:szCs w:val="18"/>
                      </w:rPr>
                      <w:t>合计</w:t>
                    </w:r>
                  </w:p>
                </w:tc>
              </w:sdtContent>
            </w:sdt>
            <w:tc>
              <w:tcPr>
                <w:tcW w:w="672" w:type="pct"/>
                <w:tcBorders>
                  <w:top w:val="single" w:sz="4" w:space="0" w:color="auto"/>
                  <w:left w:val="single" w:sz="4" w:space="0" w:color="auto"/>
                  <w:bottom w:val="single" w:sz="4" w:space="0" w:color="auto"/>
                  <w:right w:val="single" w:sz="4" w:space="0" w:color="auto"/>
                </w:tcBorders>
              </w:tcPr>
              <w:p w:rsidR="00ED2DC7" w:rsidRPr="006963DB" w:rsidRDefault="008F04CF">
                <w:pPr>
                  <w:jc w:val="right"/>
                  <w:rPr>
                    <w:sz w:val="18"/>
                    <w:szCs w:val="18"/>
                  </w:rPr>
                </w:pPr>
                <w:r w:rsidRPr="006963DB">
                  <w:rPr>
                    <w:sz w:val="18"/>
                    <w:szCs w:val="18"/>
                  </w:rPr>
                  <w:t>1,787,636,800</w:t>
                </w:r>
              </w:p>
            </w:tc>
            <w:tc>
              <w:tcPr>
                <w:tcW w:w="177" w:type="pct"/>
                <w:tcBorders>
                  <w:top w:val="single" w:sz="4" w:space="0" w:color="auto"/>
                  <w:left w:val="single" w:sz="4" w:space="0" w:color="auto"/>
                  <w:bottom w:val="single" w:sz="4" w:space="0" w:color="auto"/>
                  <w:right w:val="single" w:sz="4" w:space="0" w:color="auto"/>
                </w:tcBorders>
              </w:tcPr>
              <w:p w:rsidR="00ED2DC7" w:rsidRPr="006963DB" w:rsidRDefault="008F04CF">
                <w:pPr>
                  <w:jc w:val="center"/>
                  <w:rPr>
                    <w:sz w:val="18"/>
                    <w:szCs w:val="18"/>
                  </w:rPr>
                </w:pPr>
                <w:r>
                  <w:rPr>
                    <w:sz w:val="18"/>
                    <w:szCs w:val="18"/>
                  </w:rPr>
                  <w:t>100</w:t>
                </w:r>
              </w:p>
            </w:tc>
            <w:tc>
              <w:tcPr>
                <w:tcW w:w="573" w:type="pct"/>
                <w:tcBorders>
                  <w:top w:val="single" w:sz="4" w:space="0" w:color="auto"/>
                  <w:left w:val="single" w:sz="4" w:space="0" w:color="auto"/>
                  <w:bottom w:val="single" w:sz="4" w:space="0" w:color="auto"/>
                  <w:right w:val="single" w:sz="4" w:space="0" w:color="auto"/>
                </w:tcBorders>
              </w:tcPr>
              <w:p w:rsidR="00ED2DC7" w:rsidRPr="006963DB" w:rsidRDefault="008F04CF">
                <w:pPr>
                  <w:jc w:val="right"/>
                  <w:rPr>
                    <w:sz w:val="18"/>
                    <w:szCs w:val="18"/>
                  </w:rPr>
                </w:pPr>
                <w:r w:rsidRPr="006963DB">
                  <w:rPr>
                    <w:sz w:val="18"/>
                    <w:szCs w:val="18"/>
                  </w:rPr>
                  <w:t>495,128,883</w:t>
                </w:r>
              </w:p>
            </w:tc>
            <w:tc>
              <w:tcPr>
                <w:tcW w:w="179" w:type="pct"/>
                <w:tcBorders>
                  <w:top w:val="single" w:sz="4" w:space="0" w:color="auto"/>
                  <w:left w:val="single" w:sz="4" w:space="0" w:color="auto"/>
                  <w:bottom w:val="single" w:sz="4" w:space="0" w:color="auto"/>
                  <w:right w:val="single" w:sz="4" w:space="0" w:color="auto"/>
                </w:tcBorders>
              </w:tcPr>
              <w:p w:rsidR="00ED2DC7" w:rsidRPr="006963DB" w:rsidRDefault="008F04CF">
                <w:pPr>
                  <w:jc w:val="center"/>
                  <w:rPr>
                    <w:sz w:val="18"/>
                    <w:szCs w:val="18"/>
                  </w:rPr>
                </w:pPr>
                <w:r>
                  <w:rPr>
                    <w:sz w:val="18"/>
                    <w:szCs w:val="18"/>
                  </w:rPr>
                  <w:t>28</w:t>
                </w:r>
              </w:p>
            </w:tc>
            <w:tc>
              <w:tcPr>
                <w:tcW w:w="672" w:type="pct"/>
                <w:tcBorders>
                  <w:top w:val="single" w:sz="4" w:space="0" w:color="auto"/>
                  <w:left w:val="single" w:sz="4" w:space="0" w:color="auto"/>
                  <w:bottom w:val="single" w:sz="4" w:space="0" w:color="auto"/>
                  <w:right w:val="single" w:sz="4" w:space="0" w:color="auto"/>
                </w:tcBorders>
              </w:tcPr>
              <w:p w:rsidR="00ED2DC7" w:rsidRPr="006963DB" w:rsidRDefault="008F04CF">
                <w:pPr>
                  <w:jc w:val="right"/>
                  <w:rPr>
                    <w:sz w:val="18"/>
                    <w:szCs w:val="18"/>
                  </w:rPr>
                </w:pPr>
                <w:r w:rsidRPr="006963DB">
                  <w:rPr>
                    <w:sz w:val="18"/>
                    <w:szCs w:val="18"/>
                  </w:rPr>
                  <w:t>1,292,507,917</w:t>
                </w:r>
              </w:p>
            </w:tc>
            <w:tc>
              <w:tcPr>
                <w:tcW w:w="672" w:type="pct"/>
                <w:tcBorders>
                  <w:top w:val="single" w:sz="4" w:space="0" w:color="auto"/>
                  <w:left w:val="single" w:sz="4" w:space="0" w:color="auto"/>
                  <w:bottom w:val="single" w:sz="4" w:space="0" w:color="auto"/>
                  <w:right w:val="single" w:sz="4" w:space="0" w:color="auto"/>
                </w:tcBorders>
              </w:tcPr>
              <w:p w:rsidR="00ED2DC7" w:rsidRPr="006963DB" w:rsidRDefault="008F04CF">
                <w:pPr>
                  <w:jc w:val="right"/>
                  <w:rPr>
                    <w:sz w:val="18"/>
                    <w:szCs w:val="18"/>
                  </w:rPr>
                </w:pPr>
                <w:r w:rsidRPr="006963DB">
                  <w:rPr>
                    <w:sz w:val="18"/>
                    <w:szCs w:val="18"/>
                  </w:rPr>
                  <w:t>1,774,629,034</w:t>
                </w:r>
              </w:p>
            </w:tc>
            <w:tc>
              <w:tcPr>
                <w:tcW w:w="183" w:type="pct"/>
                <w:tcBorders>
                  <w:top w:val="single" w:sz="4" w:space="0" w:color="auto"/>
                  <w:left w:val="single" w:sz="4" w:space="0" w:color="auto"/>
                  <w:bottom w:val="single" w:sz="4" w:space="0" w:color="auto"/>
                  <w:right w:val="single" w:sz="4" w:space="0" w:color="auto"/>
                </w:tcBorders>
              </w:tcPr>
              <w:p w:rsidR="00ED2DC7" w:rsidRPr="006963DB" w:rsidRDefault="008F04CF">
                <w:pPr>
                  <w:jc w:val="center"/>
                  <w:rPr>
                    <w:sz w:val="18"/>
                    <w:szCs w:val="18"/>
                  </w:rPr>
                </w:pPr>
                <w:r>
                  <w:rPr>
                    <w:sz w:val="18"/>
                    <w:szCs w:val="18"/>
                  </w:rPr>
                  <w:t>100</w:t>
                </w:r>
              </w:p>
            </w:tc>
            <w:tc>
              <w:tcPr>
                <w:tcW w:w="190" w:type="pct"/>
                <w:tcBorders>
                  <w:top w:val="single" w:sz="4" w:space="0" w:color="auto"/>
                  <w:left w:val="single" w:sz="4" w:space="0" w:color="auto"/>
                  <w:bottom w:val="single" w:sz="4" w:space="0" w:color="auto"/>
                  <w:right w:val="single" w:sz="4" w:space="0" w:color="auto"/>
                </w:tcBorders>
              </w:tcPr>
              <w:p w:rsidR="00ED2DC7" w:rsidRPr="006963DB" w:rsidRDefault="008F04CF">
                <w:pPr>
                  <w:jc w:val="right"/>
                  <w:rPr>
                    <w:sz w:val="18"/>
                    <w:szCs w:val="18"/>
                  </w:rPr>
                </w:pPr>
                <w:r w:rsidRPr="006963DB">
                  <w:rPr>
                    <w:sz w:val="18"/>
                    <w:szCs w:val="18"/>
                  </w:rPr>
                  <w:t>451,214,567</w:t>
                </w:r>
              </w:p>
            </w:tc>
            <w:tc>
              <w:tcPr>
                <w:tcW w:w="190" w:type="pct"/>
                <w:tcBorders>
                  <w:top w:val="single" w:sz="4" w:space="0" w:color="auto"/>
                  <w:left w:val="single" w:sz="4" w:space="0" w:color="auto"/>
                  <w:bottom w:val="single" w:sz="4" w:space="0" w:color="auto"/>
                  <w:right w:val="single" w:sz="4" w:space="0" w:color="auto"/>
                </w:tcBorders>
              </w:tcPr>
              <w:p w:rsidR="00ED2DC7" w:rsidRPr="006963DB" w:rsidRDefault="008F04CF">
                <w:pPr>
                  <w:jc w:val="center"/>
                  <w:rPr>
                    <w:sz w:val="18"/>
                    <w:szCs w:val="18"/>
                  </w:rPr>
                </w:pPr>
                <w:r>
                  <w:rPr>
                    <w:sz w:val="18"/>
                    <w:szCs w:val="18"/>
                  </w:rPr>
                  <w:t>25</w:t>
                </w:r>
              </w:p>
            </w:tc>
            <w:tc>
              <w:tcPr>
                <w:tcW w:w="551" w:type="pct"/>
                <w:tcBorders>
                  <w:top w:val="single" w:sz="4" w:space="0" w:color="auto"/>
                  <w:left w:val="single" w:sz="4" w:space="0" w:color="auto"/>
                  <w:bottom w:val="single" w:sz="4" w:space="0" w:color="auto"/>
                  <w:right w:val="single" w:sz="4" w:space="0" w:color="auto"/>
                </w:tcBorders>
              </w:tcPr>
              <w:p w:rsidR="00ED2DC7" w:rsidRPr="006963DB" w:rsidRDefault="008F04CF">
                <w:pPr>
                  <w:jc w:val="right"/>
                  <w:rPr>
                    <w:sz w:val="18"/>
                    <w:szCs w:val="18"/>
                  </w:rPr>
                </w:pPr>
                <w:r w:rsidRPr="006963DB">
                  <w:rPr>
                    <w:sz w:val="18"/>
                    <w:szCs w:val="18"/>
                  </w:rPr>
                  <w:t>1,323,414,467</w:t>
                </w:r>
              </w:p>
            </w:tc>
          </w:tr>
          <w:bookmarkEnd w:id="100"/>
        </w:tbl>
      </w:sdtContent>
    </w:sdt>
    <w:p w:rsidR="00ED2DC7" w:rsidRDefault="00ED2DC7">
      <w:pPr>
        <w:autoSpaceDE w:val="0"/>
        <w:autoSpaceDN w:val="0"/>
        <w:adjustRightInd w:val="0"/>
        <w:ind w:right="105"/>
        <w:rPr>
          <w:szCs w:val="21"/>
        </w:rPr>
      </w:pPr>
    </w:p>
    <w:bookmarkStart w:id="101" w:name="_Hlk10467187" w:displacedByCustomXml="next"/>
    <w:bookmarkStart w:id="102" w:name="_Hlk10467200" w:displacedByCustomXml="next"/>
    <w:sdt>
      <w:sdtPr>
        <w:rPr>
          <w:rFonts w:hint="eastAsia"/>
          <w:szCs w:val="21"/>
        </w:rPr>
        <w:alias w:val="模块:按单项计提坏账准备："/>
        <w:tag w:val="_SEC_498beef22f03474fa398c526ee8a934d"/>
        <w:id w:val="-890496740"/>
        <w:lock w:val="sdtLocked"/>
        <w:placeholder>
          <w:docPart w:val="GBC22222222222222222222222222222"/>
        </w:placeholder>
      </w:sdtPr>
      <w:sdtEndPr>
        <w:rPr>
          <w:rFonts w:hint="default"/>
          <w:szCs w:val="24"/>
        </w:rPr>
      </w:sdtEndPr>
      <w:sdtContent>
        <w:p w:rsidR="00ED2DC7" w:rsidRDefault="00ED2DC7">
          <w:pPr>
            <w:rPr>
              <w:szCs w:val="21"/>
            </w:rPr>
          </w:pPr>
          <w:r>
            <w:rPr>
              <w:rFonts w:hint="eastAsia"/>
              <w:szCs w:val="21"/>
            </w:rPr>
            <w:t>按单项计提坏账准备：</w:t>
          </w:r>
          <w:bookmarkEnd w:id="101"/>
        </w:p>
        <w:sdt>
          <w:sdtPr>
            <w:rPr>
              <w:rFonts w:hint="eastAsia"/>
            </w:rPr>
            <w:alias w:val="是否适用：按单项计提坏账准备的应收账款详细情况[双击切换]"/>
            <w:tag w:val="_GBC_e07c01cfb2fe4b05a2bb603b7f914946"/>
            <w:id w:val="-131336464"/>
            <w:lock w:val="sdtContentLocked"/>
            <w:placeholder>
              <w:docPart w:val="GBC22222222222222222222222222222"/>
            </w:placeholder>
          </w:sdtPr>
          <w:sdtContent>
            <w:p w:rsidR="00B637B2" w:rsidRDefault="00ED2DC7" w:rsidP="00B637B2">
              <w:pPr>
                <w:rPr>
                  <w:szCs w:val="21"/>
                </w:rPr>
              </w:pPr>
              <w:r>
                <w:fldChar w:fldCharType="begin"/>
              </w:r>
              <w:r w:rsidR="008F04CF">
                <w:instrText xml:space="preserve"> MACROBUTTON  SnrToggleCheckbox □适用 </w:instrText>
              </w:r>
              <w:r>
                <w:fldChar w:fldCharType="end"/>
              </w:r>
              <w:r>
                <w:fldChar w:fldCharType="begin"/>
              </w:r>
              <w:r w:rsidR="008F04CF">
                <w:instrText xml:space="preserve"> MACROBUTTON  SnrToggleCheckbox √不适用 </w:instrText>
              </w:r>
              <w:r>
                <w:fldChar w:fldCharType="end"/>
              </w:r>
            </w:p>
          </w:sdtContent>
        </w:sdt>
        <w:p w:rsidR="00ED2DC7" w:rsidRDefault="00ED2DC7" w:rsidP="00877AE7">
          <w:pPr>
            <w:rPr>
              <w:szCs w:val="21"/>
            </w:rPr>
          </w:pPr>
        </w:p>
        <w:p w:rsidR="00ED2DC7" w:rsidRDefault="000D0A99"/>
      </w:sdtContent>
    </w:sdt>
    <w:bookmarkEnd w:id="102" w:displacedByCustomXml="prev"/>
    <w:p w:rsidR="00ED2DC7" w:rsidRDefault="00ED2DC7">
      <w:bookmarkStart w:id="103" w:name="_Hlk10467225"/>
      <w:r>
        <w:rPr>
          <w:rFonts w:hint="eastAsia"/>
        </w:rPr>
        <w:t>按组合计提坏账准备：</w:t>
      </w:r>
    </w:p>
    <w:sdt>
      <w:sdtPr>
        <w:rPr>
          <w:rFonts w:hint="eastAsia"/>
        </w:rPr>
        <w:alias w:val="是否适用：按组合计提坏账准备的应收账款详细情况[双击切换]"/>
        <w:tag w:val="_GBC_47a07baa9a4f4c5ea6de193ae7b87e74"/>
        <w:id w:val="-1758436846"/>
        <w:lock w:val="sdtContentLocked"/>
        <w:placeholder>
          <w:docPart w:val="GBC22222222222222222222222222222"/>
        </w:placeholder>
      </w:sdtPr>
      <w:sdtContent>
        <w:p w:rsidR="00877AE7" w:rsidRDefault="00ED2DC7" w:rsidP="00877AE7">
          <w:r>
            <w:fldChar w:fldCharType="begin"/>
          </w:r>
          <w:r w:rsidR="008F04CF">
            <w:instrText xml:space="preserve"> MACROBUTTON  SnrToggleCheckbox √适用 </w:instrText>
          </w:r>
          <w:r>
            <w:fldChar w:fldCharType="end"/>
          </w:r>
          <w:r>
            <w:fldChar w:fldCharType="begin"/>
          </w:r>
          <w:r w:rsidR="008F04CF">
            <w:instrText xml:space="preserve"> MACROBUTTON  SnrToggleCheckbox □不适用 </w:instrText>
          </w:r>
          <w:r>
            <w:fldChar w:fldCharType="end"/>
          </w:r>
        </w:p>
      </w:sdtContent>
    </w:sdt>
    <w:bookmarkStart w:id="104" w:name="_Hlk533607573" w:displacedByCustomXml="prev"/>
    <w:bookmarkEnd w:id="104" w:displacedByCustomXml="next"/>
    <w:bookmarkEnd w:id="103" w:displacedByCustomXml="next"/>
    <w:sdt>
      <w:sdtPr>
        <w:rPr>
          <w:rFonts w:hint="eastAsia"/>
          <w:szCs w:val="21"/>
        </w:rPr>
        <w:alias w:val="模块:组合计提项目"/>
        <w:tag w:val="_SEC_f085826b570e4937b558307522853cff"/>
        <w:id w:val="-1800375211"/>
        <w:lock w:val="sdtLocked"/>
      </w:sdtPr>
      <w:sdtEndPr>
        <w:rPr>
          <w:rFonts w:hint="default"/>
        </w:rPr>
      </w:sdtEndPr>
      <w:sdtContent>
        <w:p w:rsidR="00B637B2" w:rsidRDefault="008F04CF">
          <w:pPr>
            <w:rPr>
              <w:szCs w:val="21"/>
            </w:rPr>
          </w:pPr>
          <w:r>
            <w:rPr>
              <w:rFonts w:hint="eastAsia"/>
              <w:szCs w:val="21"/>
            </w:rPr>
            <w:t>组合计提项目：</w:t>
          </w:r>
          <w:sdt>
            <w:sdtPr>
              <w:rPr>
                <w:rFonts w:hint="eastAsia"/>
                <w:sz w:val="18"/>
                <w:szCs w:val="18"/>
              </w:rPr>
              <w:alias w:val="按组合计提坏账准备的应收账款明细-组合名称"/>
              <w:tag w:val="_GBC_fec033684b6e412cabcd0e0ea1c6cb96"/>
              <w:id w:val="-1263914937"/>
              <w:lock w:val="sdtLocked"/>
              <w:comboBox>
                <w:listItem w:displayText="按信用风险特征组合计提坏账准备" w:value="按信用风险特征组合计提坏账准备"/>
              </w:comboBox>
            </w:sdtPr>
            <w:sdtContent>
              <w:r w:rsidRPr="006963DB">
                <w:rPr>
                  <w:rFonts w:hint="eastAsia"/>
                  <w:sz w:val="18"/>
                  <w:szCs w:val="18"/>
                </w:rPr>
                <w:t>按信用风险特征组合计提坏账准备</w:t>
              </w:r>
            </w:sdtContent>
          </w:sdt>
        </w:p>
        <w:p w:rsidR="00B637B2" w:rsidRDefault="008F04CF">
          <w:pPr>
            <w:autoSpaceDE w:val="0"/>
            <w:autoSpaceDN w:val="0"/>
            <w:adjustRightInd w:val="0"/>
            <w:ind w:left="5880" w:right="105"/>
            <w:jc w:val="right"/>
            <w:rPr>
              <w:szCs w:val="21"/>
            </w:rPr>
          </w:pPr>
          <w:r>
            <w:rPr>
              <w:rFonts w:hint="eastAsia"/>
              <w:szCs w:val="21"/>
            </w:rPr>
            <w:t>单位：</w:t>
          </w:r>
          <w:sdt>
            <w:sdtPr>
              <w:rPr>
                <w:rFonts w:hint="eastAsia"/>
                <w:szCs w:val="21"/>
              </w:rPr>
              <w:alias w:val="单位：按组合计提坏账准备的应收账款详细情况"/>
              <w:tag w:val="_GBC_ccac8c131a6748e699800a5f25e5efcf"/>
              <w:id w:val="1948351100"/>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按组合计提坏账准备的应收账款详细情况"/>
              <w:tag w:val="_GBC_f0296899749441bf8c33f5882df60a71"/>
              <w:id w:val="140734618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3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3"/>
            <w:gridCol w:w="2252"/>
            <w:gridCol w:w="2292"/>
            <w:gridCol w:w="2236"/>
          </w:tblGrid>
          <w:tr w:rsidR="00B637B2" w:rsidTr="00510B81">
            <w:sdt>
              <w:sdtPr>
                <w:rPr>
                  <w:sz w:val="20"/>
                  <w:szCs w:val="20"/>
                </w:rPr>
                <w:tag w:val="_PLD_331ca2a43a5247699c45fd6309aee7fd"/>
                <w:id w:val="-430519801"/>
                <w:lock w:val="sdtLocked"/>
              </w:sdtPr>
              <w:sdtContent>
                <w:tc>
                  <w:tcPr>
                    <w:tcW w:w="1158" w:type="pct"/>
                    <w:vMerge w:val="restart"/>
                    <w:vAlign w:val="center"/>
                  </w:tcPr>
                  <w:p w:rsidR="00B637B2" w:rsidRPr="006963DB" w:rsidRDefault="008F04CF">
                    <w:pPr>
                      <w:jc w:val="center"/>
                      <w:rPr>
                        <w:sz w:val="20"/>
                        <w:szCs w:val="20"/>
                      </w:rPr>
                    </w:pPr>
                    <w:r w:rsidRPr="006963DB">
                      <w:rPr>
                        <w:rFonts w:hint="eastAsia"/>
                        <w:sz w:val="20"/>
                        <w:szCs w:val="20"/>
                      </w:rPr>
                      <w:t>名称</w:t>
                    </w:r>
                  </w:p>
                </w:tc>
              </w:sdtContent>
            </w:sdt>
            <w:sdt>
              <w:sdtPr>
                <w:rPr>
                  <w:sz w:val="20"/>
                  <w:szCs w:val="20"/>
                </w:rPr>
                <w:tag w:val="_PLD_271f4f470bff48e385b1a5d9080fde35"/>
                <w:id w:val="-536045122"/>
                <w:lock w:val="sdtLocked"/>
              </w:sdtPr>
              <w:sdtContent>
                <w:tc>
                  <w:tcPr>
                    <w:tcW w:w="3842" w:type="pct"/>
                    <w:gridSpan w:val="3"/>
                    <w:vAlign w:val="center"/>
                  </w:tcPr>
                  <w:p w:rsidR="00B637B2" w:rsidRPr="006963DB" w:rsidRDefault="008F04CF">
                    <w:pPr>
                      <w:jc w:val="center"/>
                      <w:rPr>
                        <w:sz w:val="20"/>
                        <w:szCs w:val="20"/>
                      </w:rPr>
                    </w:pPr>
                    <w:r w:rsidRPr="006963DB">
                      <w:rPr>
                        <w:rFonts w:hint="eastAsia"/>
                        <w:sz w:val="20"/>
                        <w:szCs w:val="20"/>
                      </w:rPr>
                      <w:t>期末余额</w:t>
                    </w:r>
                  </w:p>
                </w:tc>
              </w:sdtContent>
            </w:sdt>
          </w:tr>
          <w:tr w:rsidR="00B637B2" w:rsidTr="00510B81">
            <w:tc>
              <w:tcPr>
                <w:tcW w:w="1158" w:type="pct"/>
                <w:vMerge/>
              </w:tcPr>
              <w:p w:rsidR="00B637B2" w:rsidRPr="006963DB" w:rsidRDefault="00B637B2">
                <w:pPr>
                  <w:jc w:val="center"/>
                  <w:rPr>
                    <w:sz w:val="20"/>
                    <w:szCs w:val="20"/>
                  </w:rPr>
                </w:pPr>
              </w:p>
            </w:tc>
            <w:sdt>
              <w:sdtPr>
                <w:rPr>
                  <w:sz w:val="20"/>
                  <w:szCs w:val="20"/>
                </w:rPr>
                <w:tag w:val="_PLD_e1c956de9b3b4544a5d0584eaaf6aea2"/>
                <w:id w:val="1152416025"/>
                <w:lock w:val="sdtLocked"/>
              </w:sdtPr>
              <w:sdtContent>
                <w:tc>
                  <w:tcPr>
                    <w:tcW w:w="1276" w:type="pct"/>
                    <w:vAlign w:val="center"/>
                  </w:tcPr>
                  <w:p w:rsidR="00B637B2" w:rsidRPr="006963DB" w:rsidRDefault="008F04CF">
                    <w:pPr>
                      <w:jc w:val="center"/>
                      <w:rPr>
                        <w:sz w:val="20"/>
                        <w:szCs w:val="20"/>
                      </w:rPr>
                    </w:pPr>
                    <w:r w:rsidRPr="006963DB">
                      <w:rPr>
                        <w:rFonts w:hint="eastAsia"/>
                        <w:sz w:val="20"/>
                        <w:szCs w:val="20"/>
                      </w:rPr>
                      <w:t>应收账款</w:t>
                    </w:r>
                  </w:p>
                </w:tc>
              </w:sdtContent>
            </w:sdt>
            <w:sdt>
              <w:sdtPr>
                <w:rPr>
                  <w:sz w:val="20"/>
                  <w:szCs w:val="20"/>
                </w:rPr>
                <w:tag w:val="_PLD_0098acb8b7f640f29f65a14017e23f02"/>
                <w:id w:val="443814756"/>
                <w:lock w:val="sdtLocked"/>
              </w:sdtPr>
              <w:sdtContent>
                <w:tc>
                  <w:tcPr>
                    <w:tcW w:w="1299" w:type="pct"/>
                    <w:vAlign w:val="center"/>
                  </w:tcPr>
                  <w:p w:rsidR="00B637B2" w:rsidRPr="006963DB" w:rsidRDefault="008F04CF">
                    <w:pPr>
                      <w:jc w:val="center"/>
                      <w:rPr>
                        <w:sz w:val="20"/>
                        <w:szCs w:val="20"/>
                      </w:rPr>
                    </w:pPr>
                    <w:r w:rsidRPr="006963DB">
                      <w:rPr>
                        <w:rFonts w:hint="eastAsia"/>
                        <w:sz w:val="20"/>
                        <w:szCs w:val="20"/>
                      </w:rPr>
                      <w:t>坏账准备</w:t>
                    </w:r>
                  </w:p>
                </w:tc>
              </w:sdtContent>
            </w:sdt>
            <w:sdt>
              <w:sdtPr>
                <w:rPr>
                  <w:sz w:val="20"/>
                  <w:szCs w:val="20"/>
                </w:rPr>
                <w:tag w:val="_PLD_290bbc3bde3c43c487996752ceb95160"/>
                <w:id w:val="548960003"/>
                <w:lock w:val="sdtLocked"/>
              </w:sdtPr>
              <w:sdtContent>
                <w:tc>
                  <w:tcPr>
                    <w:tcW w:w="1267" w:type="pct"/>
                    <w:vAlign w:val="center"/>
                  </w:tcPr>
                  <w:p w:rsidR="00B637B2" w:rsidRPr="006963DB" w:rsidRDefault="008F04CF">
                    <w:pPr>
                      <w:jc w:val="center"/>
                      <w:rPr>
                        <w:sz w:val="20"/>
                        <w:szCs w:val="20"/>
                      </w:rPr>
                    </w:pPr>
                    <w:r w:rsidRPr="006963DB">
                      <w:rPr>
                        <w:sz w:val="20"/>
                        <w:szCs w:val="20"/>
                      </w:rPr>
                      <w:t>计提比例</w:t>
                    </w:r>
                    <w:r w:rsidRPr="006963DB">
                      <w:rPr>
                        <w:rFonts w:hint="eastAsia"/>
                        <w:sz w:val="20"/>
                        <w:szCs w:val="20"/>
                      </w:rPr>
                      <w:t>（%）</w:t>
                    </w:r>
                  </w:p>
                </w:tc>
              </w:sdtContent>
            </w:sdt>
          </w:tr>
          <w:sdt>
            <w:sdtPr>
              <w:rPr>
                <w:sz w:val="20"/>
                <w:szCs w:val="20"/>
              </w:rPr>
              <w:alias w:val="按组合计提坏账准备的应收账款详细名称明细"/>
              <w:tag w:val="_TUP_787dccbb6b7545edb25916e256cf8697"/>
              <w:id w:val="103391610"/>
              <w:lock w:val="sdtLocked"/>
            </w:sdtPr>
            <w:sdtContent>
              <w:tr w:rsidR="00B637B2" w:rsidTr="00510B81">
                <w:tc>
                  <w:tcPr>
                    <w:tcW w:w="1158" w:type="pct"/>
                  </w:tcPr>
                  <w:p w:rsidR="00B637B2" w:rsidRPr="006963DB" w:rsidRDefault="008F04CF">
                    <w:pPr>
                      <w:rPr>
                        <w:sz w:val="20"/>
                        <w:szCs w:val="20"/>
                      </w:rPr>
                    </w:pPr>
                    <w:r w:rsidRPr="006963DB">
                      <w:rPr>
                        <w:rFonts w:hint="eastAsia"/>
                        <w:sz w:val="20"/>
                        <w:szCs w:val="20"/>
                      </w:rPr>
                      <w:t>按信用风险特征组合计提坏账准备</w:t>
                    </w:r>
                  </w:p>
                </w:tc>
                <w:tc>
                  <w:tcPr>
                    <w:tcW w:w="1276" w:type="pct"/>
                  </w:tcPr>
                  <w:p w:rsidR="00B637B2" w:rsidRPr="006963DB" w:rsidRDefault="008F04CF">
                    <w:pPr>
                      <w:jc w:val="right"/>
                      <w:rPr>
                        <w:sz w:val="20"/>
                        <w:szCs w:val="20"/>
                      </w:rPr>
                    </w:pPr>
                    <w:r w:rsidRPr="006963DB">
                      <w:rPr>
                        <w:sz w:val="20"/>
                        <w:szCs w:val="20"/>
                      </w:rPr>
                      <w:t>1,787,636,800</w:t>
                    </w:r>
                  </w:p>
                </w:tc>
                <w:tc>
                  <w:tcPr>
                    <w:tcW w:w="1299" w:type="pct"/>
                  </w:tcPr>
                  <w:p w:rsidR="00B637B2" w:rsidRPr="006963DB" w:rsidRDefault="008F04CF">
                    <w:pPr>
                      <w:jc w:val="right"/>
                      <w:rPr>
                        <w:sz w:val="20"/>
                        <w:szCs w:val="20"/>
                      </w:rPr>
                    </w:pPr>
                    <w:r w:rsidRPr="006963DB">
                      <w:rPr>
                        <w:sz w:val="20"/>
                        <w:szCs w:val="20"/>
                      </w:rPr>
                      <w:t>495,128,883</w:t>
                    </w:r>
                  </w:p>
                </w:tc>
                <w:tc>
                  <w:tcPr>
                    <w:tcW w:w="1267" w:type="pct"/>
                  </w:tcPr>
                  <w:p w:rsidR="00B637B2" w:rsidRPr="006963DB" w:rsidRDefault="008F04CF">
                    <w:pPr>
                      <w:jc w:val="right"/>
                      <w:rPr>
                        <w:sz w:val="20"/>
                        <w:szCs w:val="20"/>
                      </w:rPr>
                    </w:pPr>
                    <w:r w:rsidRPr="006963DB">
                      <w:rPr>
                        <w:rFonts w:hint="eastAsia"/>
                        <w:sz w:val="20"/>
                        <w:szCs w:val="20"/>
                      </w:rPr>
                      <w:t>28</w:t>
                    </w:r>
                  </w:p>
                </w:tc>
              </w:tr>
            </w:sdtContent>
          </w:sdt>
          <w:sdt>
            <w:sdtPr>
              <w:rPr>
                <w:sz w:val="20"/>
                <w:szCs w:val="20"/>
              </w:rPr>
              <w:alias w:val="按组合计提坏账准备的应收账款详细名称明细"/>
              <w:tag w:val="_TUP_787dccbb6b7545edb25916e256cf8697"/>
              <w:id w:val="804206754"/>
              <w:lock w:val="sdtLocked"/>
            </w:sdtPr>
            <w:sdtContent>
              <w:tr w:rsidR="00B637B2" w:rsidTr="00510B81">
                <w:tc>
                  <w:tcPr>
                    <w:tcW w:w="1158" w:type="pct"/>
                  </w:tcPr>
                  <w:p w:rsidR="00B637B2" w:rsidRPr="006963DB" w:rsidRDefault="00B637B2">
                    <w:pPr>
                      <w:rPr>
                        <w:sz w:val="20"/>
                        <w:szCs w:val="20"/>
                      </w:rPr>
                    </w:pPr>
                  </w:p>
                </w:tc>
                <w:tc>
                  <w:tcPr>
                    <w:tcW w:w="1276" w:type="pct"/>
                  </w:tcPr>
                  <w:p w:rsidR="00B637B2" w:rsidRPr="006963DB" w:rsidRDefault="00B637B2">
                    <w:pPr>
                      <w:jc w:val="right"/>
                      <w:rPr>
                        <w:sz w:val="20"/>
                        <w:szCs w:val="20"/>
                      </w:rPr>
                    </w:pPr>
                  </w:p>
                </w:tc>
                <w:tc>
                  <w:tcPr>
                    <w:tcW w:w="1299" w:type="pct"/>
                  </w:tcPr>
                  <w:p w:rsidR="00B637B2" w:rsidRPr="006963DB" w:rsidRDefault="00B637B2">
                    <w:pPr>
                      <w:jc w:val="right"/>
                      <w:rPr>
                        <w:sz w:val="20"/>
                        <w:szCs w:val="20"/>
                      </w:rPr>
                    </w:pPr>
                  </w:p>
                </w:tc>
                <w:tc>
                  <w:tcPr>
                    <w:tcW w:w="1267" w:type="pct"/>
                  </w:tcPr>
                  <w:p w:rsidR="00B637B2" w:rsidRPr="006963DB" w:rsidRDefault="00B637B2">
                    <w:pPr>
                      <w:jc w:val="right"/>
                      <w:rPr>
                        <w:sz w:val="20"/>
                        <w:szCs w:val="20"/>
                      </w:rPr>
                    </w:pPr>
                  </w:p>
                </w:tc>
              </w:tr>
            </w:sdtContent>
          </w:sdt>
          <w:tr w:rsidR="00B637B2" w:rsidTr="00510B81">
            <w:sdt>
              <w:sdtPr>
                <w:rPr>
                  <w:sz w:val="20"/>
                  <w:szCs w:val="20"/>
                </w:rPr>
                <w:tag w:val="_PLD_9a3bf225ae544565ad2cb49381fcaca1"/>
                <w:id w:val="-420488049"/>
                <w:lock w:val="sdtLocked"/>
              </w:sdtPr>
              <w:sdtContent>
                <w:tc>
                  <w:tcPr>
                    <w:tcW w:w="1158" w:type="pct"/>
                    <w:vAlign w:val="center"/>
                  </w:tcPr>
                  <w:p w:rsidR="00B637B2" w:rsidRPr="006963DB" w:rsidRDefault="008F04CF">
                    <w:pPr>
                      <w:jc w:val="center"/>
                      <w:rPr>
                        <w:sz w:val="20"/>
                        <w:szCs w:val="20"/>
                      </w:rPr>
                    </w:pPr>
                    <w:r w:rsidRPr="006963DB">
                      <w:rPr>
                        <w:rFonts w:hint="eastAsia"/>
                        <w:sz w:val="20"/>
                        <w:szCs w:val="20"/>
                      </w:rPr>
                      <w:t>合计</w:t>
                    </w:r>
                  </w:p>
                </w:tc>
              </w:sdtContent>
            </w:sdt>
            <w:tc>
              <w:tcPr>
                <w:tcW w:w="1276" w:type="pct"/>
              </w:tcPr>
              <w:p w:rsidR="00B637B2" w:rsidRPr="006963DB" w:rsidRDefault="008F04CF">
                <w:pPr>
                  <w:jc w:val="right"/>
                  <w:rPr>
                    <w:sz w:val="20"/>
                    <w:szCs w:val="20"/>
                  </w:rPr>
                </w:pPr>
                <w:r w:rsidRPr="006963DB">
                  <w:rPr>
                    <w:sz w:val="20"/>
                    <w:szCs w:val="20"/>
                  </w:rPr>
                  <w:t>1,787,636,800</w:t>
                </w:r>
              </w:p>
            </w:tc>
            <w:tc>
              <w:tcPr>
                <w:tcW w:w="1299" w:type="pct"/>
              </w:tcPr>
              <w:p w:rsidR="00B637B2" w:rsidRPr="006963DB" w:rsidRDefault="008F04CF">
                <w:pPr>
                  <w:jc w:val="right"/>
                  <w:rPr>
                    <w:sz w:val="20"/>
                    <w:szCs w:val="20"/>
                  </w:rPr>
                </w:pPr>
                <w:r w:rsidRPr="006963DB">
                  <w:rPr>
                    <w:sz w:val="20"/>
                    <w:szCs w:val="20"/>
                  </w:rPr>
                  <w:t>495,128,883</w:t>
                </w:r>
              </w:p>
            </w:tc>
            <w:tc>
              <w:tcPr>
                <w:tcW w:w="1267" w:type="pct"/>
              </w:tcPr>
              <w:p w:rsidR="00B637B2" w:rsidRPr="006963DB" w:rsidRDefault="008F04CF">
                <w:pPr>
                  <w:jc w:val="right"/>
                  <w:rPr>
                    <w:sz w:val="20"/>
                    <w:szCs w:val="20"/>
                  </w:rPr>
                </w:pPr>
                <w:r w:rsidRPr="006963DB">
                  <w:rPr>
                    <w:rFonts w:hint="eastAsia"/>
                    <w:sz w:val="20"/>
                    <w:szCs w:val="20"/>
                  </w:rPr>
                  <w:t>28</w:t>
                </w:r>
              </w:p>
            </w:tc>
          </w:tr>
        </w:tbl>
        <w:p w:rsidR="00B637B2" w:rsidRDefault="008F04CF">
          <w:pPr>
            <w:rPr>
              <w:szCs w:val="21"/>
            </w:rPr>
          </w:pPr>
          <w:r>
            <w:rPr>
              <w:rFonts w:hint="eastAsia"/>
              <w:szCs w:val="21"/>
            </w:rPr>
            <w:t>按组合计提坏账的确认标准及说明：</w:t>
          </w:r>
        </w:p>
        <w:sdt>
          <w:sdtPr>
            <w:rPr>
              <w:szCs w:val="21"/>
            </w:rPr>
            <w:alias w:val="是否适用：按组合计提坏账准备的应收账款确认标准[双击切换]"/>
            <w:tag w:val="_GBC_8361cfeb973b4073b7fdbd49a393b38c"/>
            <w:id w:val="-1236936352"/>
            <w:lock w:val="sdtContentLocked"/>
          </w:sdtPr>
          <w:sdtContent>
            <w:p w:rsidR="00B637B2" w:rsidRDefault="008F04CF" w:rsidP="00B637B2">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ED2DC7" w:rsidRDefault="00ED2DC7"/>
    <w:bookmarkStart w:id="105" w:name="_Hlk10467269" w:displacedByCustomXml="next"/>
    <w:bookmarkStart w:id="106" w:name="_Hlk10467279" w:displacedByCustomXml="next"/>
    <w:sdt>
      <w:sdtPr>
        <w:rPr>
          <w:rFonts w:hint="eastAsia"/>
        </w:rPr>
        <w:alias w:val="模块:如按预期信用损失一般模型计提坏账准备，请参照其他应收款披露："/>
        <w:tag w:val="_SEC_a585c426a16c4a73a2145ded2280b59a"/>
        <w:id w:val="46189672"/>
        <w:lock w:val="sdtLocked"/>
        <w:placeholder>
          <w:docPart w:val="GBC22222222222222222222222222222"/>
        </w:placeholder>
      </w:sdtPr>
      <w:sdtEndPr>
        <w:rPr>
          <w:rFonts w:hint="default"/>
        </w:rPr>
      </w:sdtEndPr>
      <w:sdtContent>
        <w:p w:rsidR="00ED2DC7" w:rsidRDefault="00ED2DC7">
          <w:r>
            <w:rPr>
              <w:rFonts w:hint="eastAsia"/>
            </w:rPr>
            <w:t>如按预期信用损失一般模型计提坏账准备，请参照其他应收款披露：</w:t>
          </w:r>
          <w:bookmarkEnd w:id="105"/>
        </w:p>
        <w:sdt>
          <w:sdtPr>
            <w:alias w:val="是否适用：应收账款按一般预计信用损失模型计提坏账[双击切换]"/>
            <w:tag w:val="_GBC_dbecd76100814214abd6f7c10d1dd2fa"/>
            <w:id w:val="823398613"/>
            <w:lock w:val="sdtContentLocked"/>
            <w:placeholder>
              <w:docPart w:val="GBC22222222222222222222222222222"/>
            </w:placeholder>
          </w:sdtPr>
          <w:sdtContent>
            <w:p w:rsidR="00ED2DC7" w:rsidRDefault="00ED2DC7" w:rsidP="00B637B2">
              <w:r>
                <w:fldChar w:fldCharType="begin"/>
              </w:r>
              <w:r w:rsidR="008F04CF">
                <w:instrText xml:space="preserve"> MACROBUTTON  SnrToggleCheckbox □适用 </w:instrText>
              </w:r>
              <w:r>
                <w:fldChar w:fldCharType="end"/>
              </w:r>
              <w:r>
                <w:fldChar w:fldCharType="begin"/>
              </w:r>
              <w:r w:rsidR="008F04CF">
                <w:instrText xml:space="preserve"> MACROBUTTON  SnrToggleCheckbox √不适用 </w:instrText>
              </w:r>
              <w:r>
                <w:fldChar w:fldCharType="end"/>
              </w:r>
            </w:p>
          </w:sdtContent>
        </w:sdt>
        <w:p w:rsidR="00ED2DC7" w:rsidRDefault="000D0A99"/>
      </w:sdtContent>
    </w:sdt>
    <w:bookmarkEnd w:id="106" w:displacedByCustomXml="prev"/>
    <w:bookmarkStart w:id="107" w:name="_Hlk10467433" w:displacedByCustomXml="next"/>
    <w:sdt>
      <w:sdtPr>
        <w:rPr>
          <w:rFonts w:ascii="宋体" w:hAnsi="宋体" w:cs="宋体" w:hint="eastAsia"/>
          <w:b w:val="0"/>
          <w:bCs w:val="0"/>
          <w:kern w:val="0"/>
          <w:szCs w:val="21"/>
        </w:rPr>
        <w:alias w:val="模块:坏账准备的情况"/>
        <w:tag w:val="_SEC_585de72ff9a04d78b96f9dd88a2090f9"/>
        <w:id w:val="-67586736"/>
        <w:lock w:val="sdtLocked"/>
        <w:placeholder>
          <w:docPart w:val="GBC22222222222222222222222222222"/>
        </w:placeholder>
      </w:sdtPr>
      <w:sdtEndPr>
        <w:rPr>
          <w:rFonts w:hint="default"/>
          <w:szCs w:val="24"/>
        </w:rPr>
      </w:sdtEndPr>
      <w:sdtContent>
        <w:p w:rsidR="00ED2DC7" w:rsidRDefault="00ED2DC7" w:rsidP="00036BDC">
          <w:pPr>
            <w:pStyle w:val="affffffffffffffffff2"/>
            <w:numPr>
              <w:ilvl w:val="3"/>
              <w:numId w:val="51"/>
            </w:numPr>
            <w:tabs>
              <w:tab w:val="left" w:pos="574"/>
            </w:tabs>
            <w:rPr>
              <w:szCs w:val="21"/>
            </w:rPr>
          </w:pPr>
          <w:r>
            <w:rPr>
              <w:rFonts w:hint="eastAsia"/>
              <w:szCs w:val="21"/>
            </w:rPr>
            <w:t>坏账准备的情况</w:t>
          </w:r>
        </w:p>
        <w:sdt>
          <w:sdtPr>
            <w:alias w:val="是否适用：应收账款坏账准备[双击切换]"/>
            <w:tag w:val="_GBC_fb482eb90dbc45c4a6420c45e8a46012"/>
            <w:id w:val="454919400"/>
            <w:lock w:val="sdtContentLocked"/>
            <w:placeholder>
              <w:docPart w:val="GBC22222222222222222222222222222"/>
            </w:placeholder>
          </w:sdtPr>
          <w:sdtContent>
            <w:p w:rsidR="00ED2DC7" w:rsidRDefault="00ED2DC7">
              <w:r>
                <w:fldChar w:fldCharType="begin"/>
              </w:r>
              <w:r w:rsidR="008F04CF">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ED2DC7" w:rsidRDefault="00ED2DC7">
          <w:pPr>
            <w:pStyle w:val="afffffffffffffffffff3"/>
            <w:snapToGrid w:val="0"/>
            <w:spacing w:line="240" w:lineRule="atLeast"/>
            <w:ind w:left="425" w:firstLineChars="0" w:firstLine="0"/>
            <w:jc w:val="right"/>
            <w:rPr>
              <w:szCs w:val="21"/>
            </w:rPr>
          </w:pPr>
          <w:r>
            <w:rPr>
              <w:rFonts w:hint="eastAsia"/>
              <w:szCs w:val="21"/>
            </w:rPr>
            <w:t>单位：</w:t>
          </w:r>
          <w:sdt>
            <w:sdtPr>
              <w:rPr>
                <w:rFonts w:hint="eastAsia"/>
                <w:szCs w:val="21"/>
              </w:rPr>
              <w:alias w:val="单位：应收账款坏账准备"/>
              <w:tag w:val="_GBC_f681542ff42f497c9ed44328f301413f"/>
              <w:id w:val="58604458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应收账款坏账准备"/>
              <w:tag w:val="_GBC_79f82daaad1749fbb117cea0941b8667"/>
              <w:id w:val="-18403044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szCs w:val="21"/>
                </w:rPr>
                <w:t>人民币</w:t>
              </w:r>
            </w:sdtContent>
          </w:sdt>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672"/>
            <w:gridCol w:w="1408"/>
            <w:gridCol w:w="1526"/>
            <w:gridCol w:w="1406"/>
            <w:gridCol w:w="1406"/>
            <w:gridCol w:w="1405"/>
          </w:tblGrid>
          <w:tr w:rsidR="00B637B2" w:rsidTr="00B637B2">
            <w:sdt>
              <w:sdtPr>
                <w:tag w:val="_PLD_c7c6f64bd614495789305ec04b10b020"/>
                <w:id w:val="-1337523994"/>
                <w:lock w:val="sdtLocked"/>
              </w:sdtPr>
              <w:sdtContent>
                <w:tc>
                  <w:tcPr>
                    <w:tcW w:w="947" w:type="pct"/>
                    <w:vMerge w:val="restart"/>
                    <w:shd w:val="clear" w:color="auto" w:fill="FFFFFF"/>
                    <w:vAlign w:val="center"/>
                  </w:tcPr>
                  <w:p w:rsidR="00B637B2" w:rsidRDefault="008F04CF" w:rsidP="00B637B2">
                    <w:pPr>
                      <w:jc w:val="center"/>
                    </w:pPr>
                    <w:r>
                      <w:t>类别</w:t>
                    </w:r>
                  </w:p>
                </w:tc>
              </w:sdtContent>
            </w:sdt>
            <w:sdt>
              <w:sdtPr>
                <w:tag w:val="_PLD_fbe53d5880e84141b454628047096598"/>
                <w:id w:val="-1272700061"/>
                <w:lock w:val="sdtLocked"/>
              </w:sdtPr>
              <w:sdtContent>
                <w:tc>
                  <w:tcPr>
                    <w:tcW w:w="798" w:type="pct"/>
                    <w:vMerge w:val="restart"/>
                    <w:shd w:val="clear" w:color="auto" w:fill="FFFFFF"/>
                    <w:vAlign w:val="center"/>
                  </w:tcPr>
                  <w:p w:rsidR="00B637B2" w:rsidRDefault="008F04CF" w:rsidP="00B637B2">
                    <w:pPr>
                      <w:jc w:val="center"/>
                    </w:pPr>
                    <w:r>
                      <w:t>期初余额</w:t>
                    </w:r>
                  </w:p>
                </w:tc>
              </w:sdtContent>
            </w:sdt>
            <w:sdt>
              <w:sdtPr>
                <w:tag w:val="_PLD_404c276c3588408d997ca9f1ddd41c16"/>
                <w:id w:val="-736244224"/>
                <w:lock w:val="sdtLocked"/>
              </w:sdtPr>
              <w:sdtContent>
                <w:tc>
                  <w:tcPr>
                    <w:tcW w:w="2459" w:type="pct"/>
                    <w:gridSpan w:val="3"/>
                    <w:shd w:val="clear" w:color="auto" w:fill="FFFFFF"/>
                    <w:vAlign w:val="center"/>
                  </w:tcPr>
                  <w:p w:rsidR="00B637B2" w:rsidRDefault="008F04CF" w:rsidP="00B637B2">
                    <w:pPr>
                      <w:jc w:val="center"/>
                    </w:pPr>
                    <w:r>
                      <w:rPr>
                        <w:rFonts w:hint="eastAsia"/>
                      </w:rPr>
                      <w:t>本期变动</w:t>
                    </w:r>
                    <w:r>
                      <w:t>金额</w:t>
                    </w:r>
                  </w:p>
                </w:tc>
              </w:sdtContent>
            </w:sdt>
            <w:sdt>
              <w:sdtPr>
                <w:tag w:val="_PLD_24b19088383a466da79093b6453d854f"/>
                <w:id w:val="1207768181"/>
                <w:lock w:val="sdtLocked"/>
              </w:sdtPr>
              <w:sdtContent>
                <w:tc>
                  <w:tcPr>
                    <w:tcW w:w="797" w:type="pct"/>
                    <w:vMerge w:val="restart"/>
                    <w:shd w:val="clear" w:color="auto" w:fill="FFFFFF"/>
                    <w:vAlign w:val="center"/>
                  </w:tcPr>
                  <w:p w:rsidR="00B637B2" w:rsidRDefault="008F04CF" w:rsidP="00B637B2">
                    <w:pPr>
                      <w:jc w:val="center"/>
                    </w:pPr>
                    <w:r>
                      <w:t>期末余额</w:t>
                    </w:r>
                  </w:p>
                </w:tc>
              </w:sdtContent>
            </w:sdt>
          </w:tr>
          <w:tr w:rsidR="00B637B2" w:rsidTr="00B637B2">
            <w:tc>
              <w:tcPr>
                <w:tcW w:w="947" w:type="pct"/>
                <w:vMerge/>
                <w:shd w:val="clear" w:color="auto" w:fill="FFFFFF"/>
              </w:tcPr>
              <w:p w:rsidR="00B637B2" w:rsidRDefault="00B637B2" w:rsidP="00B637B2">
                <w:pPr>
                  <w:jc w:val="center"/>
                </w:pPr>
              </w:p>
            </w:tc>
            <w:tc>
              <w:tcPr>
                <w:tcW w:w="798" w:type="pct"/>
                <w:vMerge/>
                <w:shd w:val="clear" w:color="auto" w:fill="FFFFFF"/>
              </w:tcPr>
              <w:p w:rsidR="00B637B2" w:rsidRDefault="00B637B2" w:rsidP="00B637B2">
                <w:pPr>
                  <w:jc w:val="center"/>
                </w:pPr>
              </w:p>
            </w:tc>
            <w:sdt>
              <w:sdtPr>
                <w:tag w:val="_PLD_a83b18568541480fa4f903698bdac99d"/>
                <w:id w:val="608014558"/>
                <w:lock w:val="sdtLocked"/>
              </w:sdtPr>
              <w:sdtContent>
                <w:tc>
                  <w:tcPr>
                    <w:tcW w:w="865" w:type="pct"/>
                    <w:shd w:val="clear" w:color="auto" w:fill="FFFFFF"/>
                    <w:vAlign w:val="center"/>
                  </w:tcPr>
                  <w:p w:rsidR="00B637B2" w:rsidRDefault="008F04CF" w:rsidP="00B637B2">
                    <w:pPr>
                      <w:jc w:val="center"/>
                    </w:pPr>
                    <w:r>
                      <w:t>计提</w:t>
                    </w:r>
                  </w:p>
                </w:tc>
              </w:sdtContent>
            </w:sdt>
            <w:sdt>
              <w:sdtPr>
                <w:tag w:val="_PLD_a89a540914d943a4b4ae5f0ad917b8c0"/>
                <w:id w:val="-186069552"/>
                <w:lock w:val="sdtLocked"/>
              </w:sdtPr>
              <w:sdtContent>
                <w:tc>
                  <w:tcPr>
                    <w:tcW w:w="797" w:type="pct"/>
                    <w:shd w:val="clear" w:color="auto" w:fill="FFFFFF"/>
                    <w:vAlign w:val="center"/>
                  </w:tcPr>
                  <w:p w:rsidR="00B637B2" w:rsidRDefault="008F04CF" w:rsidP="00B637B2">
                    <w:pPr>
                      <w:jc w:val="center"/>
                    </w:pPr>
                    <w:r>
                      <w:rPr>
                        <w:rFonts w:hint="eastAsia"/>
                      </w:rPr>
                      <w:t>收回或转回</w:t>
                    </w:r>
                  </w:p>
                </w:tc>
              </w:sdtContent>
            </w:sdt>
            <w:tc>
              <w:tcPr>
                <w:tcW w:w="797" w:type="pct"/>
                <w:shd w:val="clear" w:color="auto" w:fill="FFFFFF"/>
                <w:vAlign w:val="center"/>
              </w:tcPr>
              <w:sdt>
                <w:sdtPr>
                  <w:rPr>
                    <w:rFonts w:hint="eastAsia"/>
                  </w:rPr>
                  <w:tag w:val="_PLD_6a71ff053e95416e8f2dd5f9121b0e70"/>
                  <w:id w:val="-46998509"/>
                  <w:lock w:val="sdtLocked"/>
                </w:sdtPr>
                <w:sdtContent>
                  <w:p w:rsidR="00B637B2" w:rsidRDefault="008F04CF" w:rsidP="00B637B2">
                    <w:pPr>
                      <w:jc w:val="center"/>
                    </w:pPr>
                    <w:r>
                      <w:rPr>
                        <w:rFonts w:hint="eastAsia"/>
                      </w:rPr>
                      <w:t>转销或核销</w:t>
                    </w:r>
                  </w:p>
                </w:sdtContent>
              </w:sdt>
            </w:tc>
            <w:tc>
              <w:tcPr>
                <w:tcW w:w="797" w:type="pct"/>
                <w:vMerge/>
                <w:shd w:val="clear" w:color="auto" w:fill="FFFFFF"/>
              </w:tcPr>
              <w:p w:rsidR="00B637B2" w:rsidRDefault="00B637B2" w:rsidP="00B637B2">
                <w:pPr>
                  <w:jc w:val="right"/>
                </w:pPr>
              </w:p>
            </w:tc>
          </w:tr>
          <w:sdt>
            <w:sdtPr>
              <w:rPr>
                <w:rFonts w:asciiTheme="minorHAnsi" w:eastAsiaTheme="minorEastAsia" w:hAnsiTheme="minorHAnsi" w:cstheme="minorBidi"/>
                <w:kern w:val="2"/>
                <w:szCs w:val="22"/>
              </w:rPr>
              <w:alias w:val="应收账款坏账准备明细"/>
              <w:tag w:val="_TUP_8bc2155b08bd4a8495df7e3fab6ca0b4"/>
              <w:id w:val="946730079"/>
              <w:lock w:val="sdtLocked"/>
            </w:sdtPr>
            <w:sdtContent>
              <w:tr w:rsidR="00B637B2" w:rsidTr="00B637B2">
                <w:tc>
                  <w:tcPr>
                    <w:tcW w:w="947" w:type="pct"/>
                    <w:shd w:val="clear" w:color="auto" w:fill="auto"/>
                  </w:tcPr>
                  <w:p w:rsidR="00B637B2" w:rsidRDefault="008F04CF" w:rsidP="00B637B2">
                    <w:r w:rsidRPr="00662DAD">
                      <w:rPr>
                        <w:rFonts w:hint="eastAsia"/>
                      </w:rPr>
                      <w:t>按信用风险特征组合计提坏账准备</w:t>
                    </w:r>
                  </w:p>
                </w:tc>
                <w:tc>
                  <w:tcPr>
                    <w:tcW w:w="798" w:type="pct"/>
                    <w:shd w:val="clear" w:color="auto" w:fill="auto"/>
                    <w:vAlign w:val="center"/>
                  </w:tcPr>
                  <w:p w:rsidR="00B637B2" w:rsidRDefault="008F04CF" w:rsidP="00B637B2">
                    <w:pPr>
                      <w:jc w:val="right"/>
                    </w:pPr>
                    <w:r w:rsidRPr="00662DAD">
                      <w:t>451,214,567</w:t>
                    </w:r>
                  </w:p>
                </w:tc>
                <w:tc>
                  <w:tcPr>
                    <w:tcW w:w="865" w:type="pct"/>
                    <w:shd w:val="clear" w:color="auto" w:fill="auto"/>
                    <w:vAlign w:val="center"/>
                  </w:tcPr>
                  <w:p w:rsidR="00B637B2" w:rsidRDefault="008F04CF" w:rsidP="00B637B2">
                    <w:pPr>
                      <w:jc w:val="right"/>
                    </w:pPr>
                    <w:r w:rsidRPr="00662DAD">
                      <w:t>43,916,710</w:t>
                    </w:r>
                  </w:p>
                </w:tc>
                <w:tc>
                  <w:tcPr>
                    <w:tcW w:w="797" w:type="pct"/>
                    <w:shd w:val="clear" w:color="auto" w:fill="auto"/>
                    <w:vAlign w:val="center"/>
                  </w:tcPr>
                  <w:p w:rsidR="00B637B2" w:rsidRDefault="00B637B2" w:rsidP="00B637B2">
                    <w:pPr>
                      <w:jc w:val="right"/>
                    </w:pPr>
                  </w:p>
                </w:tc>
                <w:tc>
                  <w:tcPr>
                    <w:tcW w:w="797" w:type="pct"/>
                    <w:vAlign w:val="center"/>
                  </w:tcPr>
                  <w:p w:rsidR="00B637B2" w:rsidRDefault="008F04CF" w:rsidP="00B637B2">
                    <w:pPr>
                      <w:jc w:val="right"/>
                    </w:pPr>
                    <w:r w:rsidRPr="00662DAD">
                      <w:t>2,394</w:t>
                    </w:r>
                  </w:p>
                </w:tc>
                <w:tc>
                  <w:tcPr>
                    <w:tcW w:w="797" w:type="pct"/>
                    <w:shd w:val="clear" w:color="auto" w:fill="auto"/>
                    <w:vAlign w:val="center"/>
                  </w:tcPr>
                  <w:p w:rsidR="00B637B2" w:rsidRDefault="008F04CF" w:rsidP="00B637B2">
                    <w:pPr>
                      <w:jc w:val="right"/>
                    </w:pPr>
                    <w:r w:rsidRPr="00662DAD">
                      <w:t>495,128,883</w:t>
                    </w:r>
                  </w:p>
                </w:tc>
              </w:tr>
            </w:sdtContent>
          </w:sdt>
          <w:sdt>
            <w:sdtPr>
              <w:rPr>
                <w:rFonts w:asciiTheme="minorHAnsi" w:eastAsiaTheme="minorEastAsia" w:hAnsiTheme="minorHAnsi" w:cstheme="minorBidi"/>
                <w:kern w:val="2"/>
                <w:szCs w:val="22"/>
              </w:rPr>
              <w:alias w:val="应收账款坏账准备明细"/>
              <w:tag w:val="_TUP_8bc2155b08bd4a8495df7e3fab6ca0b4"/>
              <w:id w:val="1618720955"/>
              <w:lock w:val="sdtLocked"/>
            </w:sdtPr>
            <w:sdtContent>
              <w:tr w:rsidR="00B637B2" w:rsidTr="00B637B2">
                <w:tc>
                  <w:tcPr>
                    <w:tcW w:w="947" w:type="pct"/>
                    <w:shd w:val="clear" w:color="auto" w:fill="auto"/>
                  </w:tcPr>
                  <w:p w:rsidR="00B637B2" w:rsidRDefault="00B637B2" w:rsidP="00B637B2"/>
                </w:tc>
                <w:tc>
                  <w:tcPr>
                    <w:tcW w:w="798" w:type="pct"/>
                    <w:shd w:val="clear" w:color="auto" w:fill="auto"/>
                  </w:tcPr>
                  <w:p w:rsidR="00B637B2" w:rsidRDefault="00B637B2" w:rsidP="00B637B2">
                    <w:pPr>
                      <w:jc w:val="right"/>
                    </w:pPr>
                  </w:p>
                </w:tc>
                <w:tc>
                  <w:tcPr>
                    <w:tcW w:w="865" w:type="pct"/>
                    <w:shd w:val="clear" w:color="auto" w:fill="auto"/>
                  </w:tcPr>
                  <w:p w:rsidR="00B637B2" w:rsidRDefault="00B637B2" w:rsidP="00B637B2">
                    <w:pPr>
                      <w:jc w:val="right"/>
                    </w:pPr>
                  </w:p>
                </w:tc>
                <w:tc>
                  <w:tcPr>
                    <w:tcW w:w="797" w:type="pct"/>
                    <w:shd w:val="clear" w:color="auto" w:fill="auto"/>
                  </w:tcPr>
                  <w:p w:rsidR="00B637B2" w:rsidRDefault="00B637B2" w:rsidP="00B637B2">
                    <w:pPr>
                      <w:jc w:val="right"/>
                    </w:pPr>
                  </w:p>
                </w:tc>
                <w:tc>
                  <w:tcPr>
                    <w:tcW w:w="797" w:type="pct"/>
                  </w:tcPr>
                  <w:p w:rsidR="00B637B2" w:rsidRDefault="00B637B2" w:rsidP="00B637B2">
                    <w:pPr>
                      <w:jc w:val="right"/>
                    </w:pPr>
                  </w:p>
                </w:tc>
                <w:tc>
                  <w:tcPr>
                    <w:tcW w:w="797" w:type="pct"/>
                    <w:shd w:val="clear" w:color="auto" w:fill="auto"/>
                  </w:tcPr>
                  <w:p w:rsidR="00B637B2" w:rsidRDefault="00B637B2" w:rsidP="00B637B2">
                    <w:pPr>
                      <w:jc w:val="right"/>
                    </w:pPr>
                  </w:p>
                </w:tc>
              </w:tr>
            </w:sdtContent>
          </w:sdt>
          <w:tr w:rsidR="00B637B2" w:rsidTr="00B637B2">
            <w:sdt>
              <w:sdtPr>
                <w:tag w:val="_PLD_d4562118d50d4012915760aa904fc28a"/>
                <w:id w:val="1345441079"/>
                <w:lock w:val="sdtLocked"/>
              </w:sdtPr>
              <w:sdtContent>
                <w:tc>
                  <w:tcPr>
                    <w:tcW w:w="947" w:type="pct"/>
                    <w:shd w:val="clear" w:color="auto" w:fill="auto"/>
                  </w:tcPr>
                  <w:p w:rsidR="00B637B2" w:rsidRDefault="008F04CF" w:rsidP="00B637B2">
                    <w:pPr>
                      <w:jc w:val="center"/>
                    </w:pPr>
                    <w:r>
                      <w:rPr>
                        <w:rFonts w:hint="eastAsia"/>
                      </w:rPr>
                      <w:t>合计</w:t>
                    </w:r>
                  </w:p>
                </w:tc>
              </w:sdtContent>
            </w:sdt>
            <w:tc>
              <w:tcPr>
                <w:tcW w:w="798" w:type="pct"/>
                <w:shd w:val="clear" w:color="auto" w:fill="auto"/>
              </w:tcPr>
              <w:p w:rsidR="00B637B2" w:rsidRDefault="008F04CF" w:rsidP="00B637B2">
                <w:pPr>
                  <w:jc w:val="right"/>
                </w:pPr>
                <w:r>
                  <w:t>451,214,567</w:t>
                </w:r>
              </w:p>
            </w:tc>
            <w:tc>
              <w:tcPr>
                <w:tcW w:w="865" w:type="pct"/>
                <w:shd w:val="clear" w:color="auto" w:fill="auto"/>
              </w:tcPr>
              <w:p w:rsidR="00B637B2" w:rsidRDefault="008F04CF" w:rsidP="00B637B2">
                <w:pPr>
                  <w:jc w:val="right"/>
                </w:pPr>
                <w:r>
                  <w:t>43,916,710</w:t>
                </w:r>
              </w:p>
            </w:tc>
            <w:tc>
              <w:tcPr>
                <w:tcW w:w="797" w:type="pct"/>
                <w:shd w:val="clear" w:color="auto" w:fill="auto"/>
              </w:tcPr>
              <w:p w:rsidR="00B637B2" w:rsidRDefault="00B637B2" w:rsidP="00B637B2">
                <w:pPr>
                  <w:jc w:val="right"/>
                </w:pPr>
              </w:p>
            </w:tc>
            <w:tc>
              <w:tcPr>
                <w:tcW w:w="797" w:type="pct"/>
              </w:tcPr>
              <w:p w:rsidR="00B637B2" w:rsidRDefault="008F04CF" w:rsidP="00B637B2">
                <w:pPr>
                  <w:jc w:val="right"/>
                </w:pPr>
                <w:r>
                  <w:t>2,394</w:t>
                </w:r>
              </w:p>
            </w:tc>
            <w:tc>
              <w:tcPr>
                <w:tcW w:w="797" w:type="pct"/>
                <w:shd w:val="clear" w:color="auto" w:fill="auto"/>
              </w:tcPr>
              <w:p w:rsidR="00B637B2" w:rsidRDefault="008F04CF" w:rsidP="00B637B2">
                <w:pPr>
                  <w:jc w:val="right"/>
                </w:pPr>
                <w:r>
                  <w:t>495,128,883</w:t>
                </w:r>
              </w:p>
            </w:tc>
          </w:tr>
        </w:tbl>
        <w:p w:rsidR="00B637B2" w:rsidRDefault="00B637B2"/>
        <w:p w:rsidR="00ED2DC7" w:rsidRDefault="00ED2DC7">
          <w:r>
            <w:rPr>
              <w:rFonts w:hint="eastAsia"/>
            </w:rPr>
            <w:t>其中本期坏账准备收回或转回金额重要的：</w:t>
          </w:r>
        </w:p>
        <w:sdt>
          <w:sdtPr>
            <w:alias w:val="是否适用：其中本期坏账准备收回或转回金额重要的[双击切换]"/>
            <w:tag w:val="_GBC_362288b01950422da8198293b517eeb5"/>
            <w:id w:val="338514878"/>
            <w:lock w:val="sdtContentLocked"/>
            <w:placeholder>
              <w:docPart w:val="GBC22222222222222222222222222222"/>
            </w:placeholder>
          </w:sdtPr>
          <w:sdtContent>
            <w:p w:rsidR="00B637B2" w:rsidRDefault="00ED2DC7" w:rsidP="00B637B2">
              <w:r>
                <w:fldChar w:fldCharType="begin"/>
              </w:r>
              <w:r w:rsidR="008F04CF">
                <w:instrText xml:space="preserve"> MACROBUTTON  SnrToggleCheckbox □适用 </w:instrText>
              </w:r>
              <w:r>
                <w:fldChar w:fldCharType="end"/>
              </w:r>
              <w:r>
                <w:fldChar w:fldCharType="begin"/>
              </w:r>
              <w:r w:rsidR="008F04CF">
                <w:instrText xml:space="preserve"> MACROBUTTON  SnrToggleCheckbox √不适用 </w:instrText>
              </w:r>
              <w:r>
                <w:fldChar w:fldCharType="end"/>
              </w:r>
            </w:p>
          </w:sdtContent>
        </w:sdt>
        <w:p w:rsidR="00ED2DC7" w:rsidRDefault="000D0A99">
          <w:pPr>
            <w:ind w:rightChars="-759" w:right="-1594"/>
          </w:pPr>
        </w:p>
      </w:sdtContent>
    </w:sdt>
    <w:bookmarkEnd w:id="107" w:displacedByCustomXml="prev"/>
    <w:p w:rsidR="00ED2DC7" w:rsidRDefault="00ED2DC7"/>
    <w:sdt>
      <w:sdtPr>
        <w:rPr>
          <w:rFonts w:ascii="Times New Roman" w:hAnsi="Times New Roman" w:cs="宋体" w:hint="eastAsia"/>
          <w:b w:val="0"/>
          <w:bCs w:val="0"/>
          <w:kern w:val="0"/>
          <w:szCs w:val="24"/>
        </w:rPr>
        <w:alias w:val="模块:本报告期实际核销的应收账款情况"/>
        <w:tag w:val="_GBC_af8ceb97930d4d7391d4823a068c824b"/>
        <w:id w:val="-1729219536"/>
        <w:lock w:val="sdtLocked"/>
        <w:placeholder>
          <w:docPart w:val="GBC22222222222222222222222222222"/>
        </w:placeholder>
      </w:sdtPr>
      <w:sdtEndPr>
        <w:rPr>
          <w:rFonts w:ascii="宋体" w:hAnsi="宋体" w:hint="default"/>
        </w:rPr>
      </w:sdtEndPr>
      <w:sdtContent>
        <w:p w:rsidR="00ED2DC7" w:rsidRDefault="00ED2DC7" w:rsidP="00036BDC">
          <w:pPr>
            <w:pStyle w:val="affffffffffffffffff2"/>
            <w:numPr>
              <w:ilvl w:val="3"/>
              <w:numId w:val="51"/>
            </w:numPr>
            <w:tabs>
              <w:tab w:val="left" w:pos="574"/>
            </w:tabs>
          </w:pPr>
          <w:r>
            <w:t>本期实际核销的应收</w:t>
          </w:r>
          <w:r>
            <w:rPr>
              <w:rFonts w:hint="eastAsia"/>
            </w:rPr>
            <w:t>账款</w:t>
          </w:r>
          <w:r>
            <w:t>情况</w:t>
          </w:r>
        </w:p>
        <w:sdt>
          <w:sdtPr>
            <w:alias w:val="是否适用：本期实际核销的应收账款情况[双击切换]"/>
            <w:tag w:val="_GBC_240341a3455747bb87ecabf420d94ec5"/>
            <w:id w:val="649784045"/>
            <w:lock w:val="sdtContentLocked"/>
            <w:placeholder>
              <w:docPart w:val="GBC22222222222222222222222222222"/>
            </w:placeholder>
          </w:sdtPr>
          <w:sdtContent>
            <w:p w:rsidR="00134F9D" w:rsidRDefault="00ED2DC7" w:rsidP="00134F9D">
              <w:r>
                <w:fldChar w:fldCharType="begin"/>
              </w:r>
              <w:r w:rsidR="008F04CF">
                <w:instrText xml:space="preserve"> MACROBUTTON  SnrToggleCheckbox √适用 </w:instrText>
              </w:r>
              <w:r>
                <w:fldChar w:fldCharType="end"/>
              </w:r>
              <w:r>
                <w:fldChar w:fldCharType="begin"/>
              </w:r>
              <w:r w:rsidR="008F04CF">
                <w:instrText xml:space="preserve"> MACROBUTTON  SnrToggleCheckbox □不适用 </w:instrText>
              </w:r>
              <w:r>
                <w:fldChar w:fldCharType="end"/>
              </w:r>
            </w:p>
          </w:sdtContent>
        </w:sdt>
        <w:p w:rsidR="00B637B2" w:rsidRDefault="008F04CF">
          <w:pPr>
            <w:jc w:val="right"/>
            <w:rPr>
              <w:szCs w:val="21"/>
            </w:rPr>
          </w:pPr>
          <w:r>
            <w:rPr>
              <w:rFonts w:hint="eastAsia"/>
              <w:szCs w:val="21"/>
            </w:rPr>
            <w:t>单位：</w:t>
          </w:r>
          <w:sdt>
            <w:sdtPr>
              <w:rPr>
                <w:rFonts w:hint="eastAsia"/>
                <w:szCs w:val="21"/>
              </w:rPr>
              <w:alias w:val="单位：财务附注：本报告期实际核销的应收款项情况"/>
              <w:tag w:val="_GBC_97f637feeea84b2a8c01321339a44c9e"/>
              <w:id w:val="-419403498"/>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本报告期实际核销的应收款项情况"/>
              <w:tag w:val="_GBC_1e69e5173e614c0f8dd12c7f988c2a4e"/>
              <w:id w:val="-68273978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3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6"/>
            <w:gridCol w:w="4657"/>
          </w:tblGrid>
          <w:tr w:rsidR="00B637B2" w:rsidTr="00354A12">
            <w:sdt>
              <w:sdtPr>
                <w:tag w:val="_PLD_a3731fe405bb4134af7ad46e8ca83d7e"/>
                <w:id w:val="1920056575"/>
                <w:lock w:val="sdtLocked"/>
              </w:sdtPr>
              <w:sdtContent>
                <w:tc>
                  <w:tcPr>
                    <w:tcW w:w="2361" w:type="pct"/>
                    <w:vAlign w:val="center"/>
                  </w:tcPr>
                  <w:p w:rsidR="00B637B2" w:rsidRDefault="008F04CF">
                    <w:pPr>
                      <w:jc w:val="center"/>
                      <w:rPr>
                        <w:szCs w:val="21"/>
                      </w:rPr>
                    </w:pPr>
                    <w:r>
                      <w:rPr>
                        <w:rFonts w:hint="eastAsia"/>
                        <w:szCs w:val="21"/>
                      </w:rPr>
                      <w:t>项目</w:t>
                    </w:r>
                  </w:p>
                </w:tc>
              </w:sdtContent>
            </w:sdt>
            <w:sdt>
              <w:sdtPr>
                <w:tag w:val="_PLD_1256a8b0b19c4d908f33771c40d2df26"/>
                <w:id w:val="-406381374"/>
                <w:lock w:val="sdtLocked"/>
              </w:sdtPr>
              <w:sdtContent>
                <w:tc>
                  <w:tcPr>
                    <w:tcW w:w="2639" w:type="pct"/>
                  </w:tcPr>
                  <w:p w:rsidR="00B637B2" w:rsidRDefault="008F04CF">
                    <w:pPr>
                      <w:jc w:val="center"/>
                      <w:rPr>
                        <w:szCs w:val="21"/>
                      </w:rPr>
                    </w:pPr>
                    <w:r>
                      <w:rPr>
                        <w:rFonts w:hint="eastAsia"/>
                        <w:szCs w:val="21"/>
                      </w:rPr>
                      <w:t>核销金额</w:t>
                    </w:r>
                  </w:p>
                </w:tc>
              </w:sdtContent>
            </w:sdt>
          </w:tr>
          <w:tr w:rsidR="00B637B2" w:rsidTr="00FF1FCB">
            <w:sdt>
              <w:sdtPr>
                <w:tag w:val="_PLD_a4bcad986cfa4d799cf132234e1a09a1"/>
                <w:id w:val="-2062933898"/>
                <w:lock w:val="sdtLocked"/>
              </w:sdtPr>
              <w:sdtContent>
                <w:tc>
                  <w:tcPr>
                    <w:tcW w:w="2361" w:type="pct"/>
                  </w:tcPr>
                  <w:p w:rsidR="00B637B2" w:rsidRDefault="008F04CF">
                    <w:pPr>
                      <w:rPr>
                        <w:szCs w:val="21"/>
                      </w:rPr>
                    </w:pPr>
                    <w:r>
                      <w:rPr>
                        <w:rFonts w:hint="eastAsia"/>
                        <w:szCs w:val="21"/>
                      </w:rPr>
                      <w:t>实际核销的应收账款</w:t>
                    </w:r>
                  </w:p>
                </w:tc>
              </w:sdtContent>
            </w:sdt>
            <w:tc>
              <w:tcPr>
                <w:tcW w:w="2639" w:type="pct"/>
              </w:tcPr>
              <w:p w:rsidR="00B637B2" w:rsidRDefault="008F04CF">
                <w:pPr>
                  <w:jc w:val="right"/>
                  <w:rPr>
                    <w:szCs w:val="21"/>
                  </w:rPr>
                </w:pPr>
                <w:r w:rsidRPr="00662DAD">
                  <w:t>2,394</w:t>
                </w:r>
              </w:p>
            </w:tc>
          </w:tr>
        </w:tbl>
        <w:p w:rsidR="00B637B2" w:rsidRDefault="00B637B2">
          <w:pPr>
            <w:rPr>
              <w:szCs w:val="21"/>
            </w:rPr>
          </w:pPr>
        </w:p>
        <w:p w:rsidR="00B637B2" w:rsidRDefault="008F04CF">
          <w:pPr>
            <w:rPr>
              <w:szCs w:val="21"/>
            </w:rPr>
          </w:pPr>
          <w:r>
            <w:rPr>
              <w:rFonts w:hint="eastAsia"/>
              <w:szCs w:val="21"/>
            </w:rPr>
            <w:t>其中重要的应收账款核销情况</w:t>
          </w:r>
        </w:p>
        <w:sdt>
          <w:sdtPr>
            <w:rPr>
              <w:szCs w:val="21"/>
            </w:rPr>
            <w:alias w:val="是否适用：其中重要的应收账款核销情况[双击切换]"/>
            <w:tag w:val="_GBC_8a44f02ff52343a08b5e1e48c8b2cb3d"/>
            <w:id w:val="-1598175166"/>
            <w:lock w:val="sdtContentLocked"/>
          </w:sdtPr>
          <w:sdtContent>
            <w:p w:rsidR="00B637B2" w:rsidRDefault="008F04CF" w:rsidP="00B637B2">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B637B2" w:rsidRDefault="008F04CF">
          <w:pPr>
            <w:snapToGrid w:val="0"/>
            <w:spacing w:line="240" w:lineRule="atLeast"/>
            <w:rPr>
              <w:szCs w:val="21"/>
            </w:rPr>
          </w:pPr>
          <w:r>
            <w:rPr>
              <w:rFonts w:hint="eastAsia"/>
              <w:szCs w:val="21"/>
            </w:rPr>
            <w:t>应收账款核销说明：</w:t>
          </w:r>
        </w:p>
        <w:sdt>
          <w:sdtPr>
            <w:rPr>
              <w:szCs w:val="21"/>
            </w:rPr>
            <w:alias w:val="是否适用：应收账款核销说明[双击切换]"/>
            <w:tag w:val="_GBC_69824b683b7348d5abc31b2f2e813757"/>
            <w:id w:val="-261533715"/>
            <w:lock w:val="sdtContentLocked"/>
          </w:sdtPr>
          <w:sdtContent>
            <w:p w:rsidR="00B637B2" w:rsidRDefault="008F04CF" w:rsidP="00B637B2">
              <w:pPr>
                <w:snapToGrid w:val="0"/>
                <w:spacing w:line="240" w:lineRule="atLeast"/>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ED2DC7" w:rsidRDefault="000D0A99"/>
      </w:sdtContent>
    </w:sdt>
    <w:p w:rsidR="00ED2DC7" w:rsidRDefault="00ED2DC7"/>
    <w:sdt>
      <w:sdtPr>
        <w:rPr>
          <w:rFonts w:ascii="Times New Roman" w:hAnsi="Times New Roman" w:cs="宋体" w:hint="eastAsia"/>
          <w:b w:val="0"/>
          <w:bCs w:val="0"/>
          <w:kern w:val="0"/>
          <w:szCs w:val="24"/>
        </w:rPr>
        <w:alias w:val="模块:按欠款方归集的期末余额前五名的应收账款情况："/>
        <w:tag w:val="_GBC_e8adf46f2d204834ad681ac980eff4f7"/>
        <w:id w:val="1627506526"/>
        <w:lock w:val="sdtLocked"/>
        <w:placeholder>
          <w:docPart w:val="GBC22222222222222222222222222222"/>
        </w:placeholder>
      </w:sdtPr>
      <w:sdtContent>
        <w:p w:rsidR="00ED2DC7" w:rsidRDefault="00ED2DC7" w:rsidP="00036BDC">
          <w:pPr>
            <w:pStyle w:val="affffffffffffffffff2"/>
            <w:numPr>
              <w:ilvl w:val="3"/>
              <w:numId w:val="51"/>
            </w:numPr>
            <w:tabs>
              <w:tab w:val="left" w:pos="574"/>
            </w:tabs>
          </w:pPr>
          <w:r>
            <w:rPr>
              <w:rFonts w:hint="eastAsia"/>
            </w:rPr>
            <w:t>按欠款方归集的期末余额前五名的应收账款情况</w:t>
          </w:r>
        </w:p>
        <w:sdt>
          <w:sdtPr>
            <w:rPr>
              <w:rFonts w:hint="eastAsia"/>
              <w:szCs w:val="21"/>
            </w:rPr>
            <w:alias w:val="是否适用：按欠款方归集的期末余额前五名的应收账款情况[双击切换]"/>
            <w:tag w:val="_GBC_26f285dee1444697be56ea61bc5c0578"/>
            <w:id w:val="1566827957"/>
            <w:lock w:val="sdtContentLocked"/>
            <w:placeholder>
              <w:docPart w:val="GBC22222222222222222222222222222"/>
            </w:placeholder>
          </w:sdtPr>
          <w:sdtContent>
            <w:p w:rsidR="00ED2DC7" w:rsidRDefault="00ED2DC7">
              <w:pPr>
                <w:snapToGrid w:val="0"/>
                <w:spacing w:line="240" w:lineRule="atLeast"/>
                <w:rPr>
                  <w:szCs w:val="21"/>
                </w:rPr>
              </w:pPr>
              <w:r>
                <w:rPr>
                  <w:szCs w:val="21"/>
                </w:rPr>
                <w:fldChar w:fldCharType="begin"/>
              </w:r>
              <w:r w:rsidR="002D578D">
                <w:rPr>
                  <w:szCs w:val="21"/>
                </w:rPr>
                <w:instrText xml:space="preserve"> MACROBUTTON  SnrToggleCheckbox √适用 </w:instrText>
              </w:r>
              <w:r>
                <w:rPr>
                  <w:szCs w:val="21"/>
                </w:rPr>
                <w:fldChar w:fldCharType="end"/>
              </w:r>
              <w:r>
                <w:rPr>
                  <w:szCs w:val="21"/>
                </w:rPr>
                <w:fldChar w:fldCharType="begin"/>
              </w:r>
              <w:r w:rsidR="002D578D">
                <w:rPr>
                  <w:szCs w:val="21"/>
                </w:rPr>
                <w:instrText xml:space="preserve"> MACROBUTTON  SnrToggleCheckbox □不适用 </w:instrText>
              </w:r>
              <w:r>
                <w:rPr>
                  <w:szCs w:val="21"/>
                </w:rPr>
                <w:fldChar w:fldCharType="end"/>
              </w:r>
            </w:p>
          </w:sdtContent>
        </w:sdt>
        <w:sdt>
          <w:sdtPr>
            <w:rPr>
              <w:szCs w:val="21"/>
            </w:rPr>
            <w:alias w:val="按欠款方归集的期末余额前五名的应收账款情况的说明"/>
            <w:tag w:val="_GBC_064b41eb9e58440dace7a84b96b840f2"/>
            <w:id w:val="-1450397736"/>
            <w:lock w:val="sdtLocked"/>
            <w:placeholder>
              <w:docPart w:val="GBC22222222222222222222222222222"/>
            </w:placeholder>
          </w:sdtPr>
          <w:sdtContent>
            <w:p w:rsidR="002D578D" w:rsidRDefault="002D578D">
              <w:pPr>
                <w:snapToGrid w:val="0"/>
                <w:spacing w:line="240" w:lineRule="atLeast"/>
                <w:rPr>
                  <w:szCs w:val="21"/>
                </w:rPr>
              </w:pPr>
            </w:p>
            <w:tbl>
              <w:tblPr>
                <w:tblStyle w:val="g35"/>
                <w:tblW w:w="5000" w:type="pct"/>
                <w:tblLook w:val="04A0" w:firstRow="1" w:lastRow="0" w:firstColumn="1" w:lastColumn="0" w:noHBand="0" w:noVBand="1"/>
              </w:tblPr>
              <w:tblGrid>
                <w:gridCol w:w="1545"/>
                <w:gridCol w:w="2586"/>
                <w:gridCol w:w="2586"/>
                <w:gridCol w:w="2116"/>
              </w:tblGrid>
              <w:tr w:rsidR="002D578D" w:rsidRPr="00662DAD" w:rsidTr="002D578D">
                <w:trPr>
                  <w:trHeight w:val="252"/>
                </w:trPr>
                <w:tc>
                  <w:tcPr>
                    <w:tcW w:w="2338" w:type="pct"/>
                    <w:gridSpan w:val="2"/>
                    <w:vAlign w:val="bottom"/>
                    <w:hideMark/>
                  </w:tcPr>
                  <w:p w:rsidR="002D578D" w:rsidRPr="00662DAD" w:rsidRDefault="002D578D">
                    <w:pPr>
                      <w:overflowPunct w:val="0"/>
                      <w:autoSpaceDE w:val="0"/>
                      <w:autoSpaceDN w:val="0"/>
                      <w:snapToGrid w:val="0"/>
                      <w:spacing w:line="280" w:lineRule="exact"/>
                      <w:ind w:left="720" w:right="-108" w:hanging="720"/>
                      <w:jc w:val="right"/>
                      <w:textAlignment w:val="bottom"/>
                      <w:rPr>
                        <w:rFonts w:cs="Arial"/>
                        <w:snapToGrid w:val="0"/>
                        <w:szCs w:val="21"/>
                      </w:rPr>
                    </w:pPr>
                    <w:r w:rsidRPr="00662DAD">
                      <w:rPr>
                        <w:rFonts w:cs="Arial" w:hint="eastAsia"/>
                        <w:snapToGrid w:val="0"/>
                        <w:szCs w:val="21"/>
                      </w:rPr>
                      <w:t>应收账款年末余额</w:t>
                    </w:r>
                  </w:p>
                </w:tc>
                <w:tc>
                  <w:tcPr>
                    <w:tcW w:w="1464" w:type="pct"/>
                    <w:vAlign w:val="bottom"/>
                    <w:hideMark/>
                  </w:tcPr>
                  <w:p w:rsidR="002D578D" w:rsidRPr="00662DAD" w:rsidRDefault="002D578D">
                    <w:pPr>
                      <w:overflowPunct w:val="0"/>
                      <w:autoSpaceDE w:val="0"/>
                      <w:autoSpaceDN w:val="0"/>
                      <w:snapToGrid w:val="0"/>
                      <w:spacing w:line="280" w:lineRule="exact"/>
                      <w:ind w:left="720" w:right="-108" w:hanging="720"/>
                      <w:jc w:val="right"/>
                      <w:textAlignment w:val="bottom"/>
                      <w:rPr>
                        <w:rFonts w:cs="Arial"/>
                        <w:snapToGrid w:val="0"/>
                        <w:szCs w:val="21"/>
                      </w:rPr>
                    </w:pPr>
                    <w:r w:rsidRPr="00662DAD">
                      <w:rPr>
                        <w:rFonts w:cs="Arial" w:hint="eastAsia"/>
                        <w:snapToGrid w:val="0"/>
                        <w:szCs w:val="21"/>
                      </w:rPr>
                      <w:t>应收账款年末余额</w:t>
                    </w:r>
                  </w:p>
                </w:tc>
                <w:tc>
                  <w:tcPr>
                    <w:tcW w:w="1198" w:type="pct"/>
                    <w:hideMark/>
                  </w:tcPr>
                  <w:p w:rsidR="002D578D" w:rsidRPr="00662DAD" w:rsidRDefault="002D578D">
                    <w:pPr>
                      <w:overflowPunct w:val="0"/>
                      <w:autoSpaceDE w:val="0"/>
                      <w:autoSpaceDN w:val="0"/>
                      <w:snapToGrid w:val="0"/>
                      <w:spacing w:line="280" w:lineRule="exact"/>
                      <w:ind w:left="720" w:right="-108" w:hanging="720"/>
                      <w:jc w:val="right"/>
                      <w:textAlignment w:val="bottom"/>
                      <w:rPr>
                        <w:rFonts w:cs="Arial"/>
                        <w:snapToGrid w:val="0"/>
                        <w:szCs w:val="21"/>
                      </w:rPr>
                    </w:pPr>
                    <w:r w:rsidRPr="00662DAD">
                      <w:rPr>
                        <w:rFonts w:cs="Arial" w:hint="eastAsia"/>
                        <w:snapToGrid w:val="0"/>
                        <w:szCs w:val="21"/>
                      </w:rPr>
                      <w:t>坏账准备年末余额</w:t>
                    </w:r>
                  </w:p>
                </w:tc>
              </w:tr>
              <w:tr w:rsidR="002D578D" w:rsidRPr="00662DAD" w:rsidTr="002D578D">
                <w:trPr>
                  <w:trHeight w:val="252"/>
                </w:trPr>
                <w:tc>
                  <w:tcPr>
                    <w:tcW w:w="874" w:type="pct"/>
                    <w:vAlign w:val="bottom"/>
                  </w:tcPr>
                  <w:p w:rsidR="002D578D" w:rsidRPr="00662DAD" w:rsidRDefault="002D578D">
                    <w:pPr>
                      <w:overflowPunct w:val="0"/>
                      <w:autoSpaceDE w:val="0"/>
                      <w:autoSpaceDN w:val="0"/>
                      <w:snapToGrid w:val="0"/>
                      <w:spacing w:line="280" w:lineRule="exact"/>
                      <w:ind w:left="34" w:right="-108" w:hanging="142"/>
                      <w:textAlignment w:val="bottom"/>
                      <w:rPr>
                        <w:rFonts w:cs="Arial"/>
                        <w:snapToGrid w:val="0"/>
                        <w:szCs w:val="21"/>
                      </w:rPr>
                    </w:pPr>
                  </w:p>
                </w:tc>
                <w:tc>
                  <w:tcPr>
                    <w:tcW w:w="1464" w:type="pct"/>
                    <w:vAlign w:val="bottom"/>
                  </w:tcPr>
                  <w:p w:rsidR="002D578D" w:rsidRPr="00662DAD" w:rsidRDefault="002D578D">
                    <w:pPr>
                      <w:overflowPunct w:val="0"/>
                      <w:autoSpaceDE w:val="0"/>
                      <w:autoSpaceDN w:val="0"/>
                      <w:snapToGrid w:val="0"/>
                      <w:spacing w:line="280" w:lineRule="exact"/>
                      <w:ind w:left="-66" w:right="-87" w:hanging="7"/>
                      <w:jc w:val="right"/>
                      <w:textAlignment w:val="bottom"/>
                      <w:rPr>
                        <w:rFonts w:cs="Arial"/>
                        <w:snapToGrid w:val="0"/>
                        <w:szCs w:val="21"/>
                      </w:rPr>
                    </w:pPr>
                  </w:p>
                </w:tc>
                <w:tc>
                  <w:tcPr>
                    <w:tcW w:w="1464" w:type="pct"/>
                    <w:vAlign w:val="bottom"/>
                    <w:hideMark/>
                  </w:tcPr>
                  <w:p w:rsidR="002D578D" w:rsidRPr="00662DAD" w:rsidRDefault="002D578D">
                    <w:pPr>
                      <w:overflowPunct w:val="0"/>
                      <w:autoSpaceDE w:val="0"/>
                      <w:autoSpaceDN w:val="0"/>
                      <w:snapToGrid w:val="0"/>
                      <w:spacing w:line="280" w:lineRule="exact"/>
                      <w:ind w:left="-66" w:right="-87" w:hanging="7"/>
                      <w:jc w:val="right"/>
                      <w:textAlignment w:val="bottom"/>
                      <w:rPr>
                        <w:rFonts w:cs="Arial"/>
                        <w:snapToGrid w:val="0"/>
                        <w:szCs w:val="21"/>
                      </w:rPr>
                    </w:pPr>
                    <w:r w:rsidRPr="00662DAD">
                      <w:rPr>
                        <w:rFonts w:cs="Arial" w:hint="eastAsia"/>
                        <w:snapToGrid w:val="0"/>
                        <w:szCs w:val="21"/>
                      </w:rPr>
                      <w:t>占应收账款总额的比例</w:t>
                    </w:r>
                    <w:r w:rsidRPr="00662DAD">
                      <w:rPr>
                        <w:rFonts w:cs="Arial"/>
                        <w:snapToGrid w:val="0"/>
                        <w:szCs w:val="21"/>
                      </w:rPr>
                      <w:t>(%)</w:t>
                    </w:r>
                  </w:p>
                </w:tc>
                <w:tc>
                  <w:tcPr>
                    <w:tcW w:w="1198" w:type="pct"/>
                  </w:tcPr>
                  <w:p w:rsidR="002D578D" w:rsidRPr="00662DAD" w:rsidRDefault="002D578D">
                    <w:pPr>
                      <w:overflowPunct w:val="0"/>
                      <w:autoSpaceDE w:val="0"/>
                      <w:autoSpaceDN w:val="0"/>
                      <w:snapToGrid w:val="0"/>
                      <w:spacing w:line="280" w:lineRule="exact"/>
                      <w:ind w:left="-66" w:right="-87" w:hanging="7"/>
                      <w:jc w:val="right"/>
                      <w:textAlignment w:val="bottom"/>
                      <w:rPr>
                        <w:rFonts w:cs="Arial"/>
                        <w:snapToGrid w:val="0"/>
                        <w:szCs w:val="21"/>
                      </w:rPr>
                    </w:pPr>
                  </w:p>
                </w:tc>
              </w:tr>
              <w:tr w:rsidR="002D578D" w:rsidRPr="00662DAD" w:rsidTr="002D578D">
                <w:trPr>
                  <w:trHeight w:val="252"/>
                </w:trPr>
                <w:tc>
                  <w:tcPr>
                    <w:tcW w:w="874" w:type="pct"/>
                    <w:vAlign w:val="bottom"/>
                  </w:tcPr>
                  <w:p w:rsidR="002D578D" w:rsidRPr="00662DAD" w:rsidRDefault="002D578D">
                    <w:pPr>
                      <w:overflowPunct w:val="0"/>
                      <w:autoSpaceDE w:val="0"/>
                      <w:autoSpaceDN w:val="0"/>
                      <w:snapToGrid w:val="0"/>
                      <w:spacing w:line="280" w:lineRule="exact"/>
                      <w:ind w:left="34" w:right="-108" w:hanging="142"/>
                      <w:textAlignment w:val="bottom"/>
                      <w:rPr>
                        <w:rFonts w:cs="Arial"/>
                        <w:snapToGrid w:val="0"/>
                        <w:szCs w:val="21"/>
                      </w:rPr>
                    </w:pPr>
                  </w:p>
                </w:tc>
                <w:tc>
                  <w:tcPr>
                    <w:tcW w:w="1464" w:type="pct"/>
                    <w:vAlign w:val="bottom"/>
                  </w:tcPr>
                  <w:p w:rsidR="002D578D" w:rsidRPr="00662DAD" w:rsidRDefault="002D578D">
                    <w:pPr>
                      <w:overflowPunct w:val="0"/>
                      <w:autoSpaceDE w:val="0"/>
                      <w:autoSpaceDN w:val="0"/>
                      <w:snapToGrid w:val="0"/>
                      <w:spacing w:line="280" w:lineRule="exact"/>
                      <w:ind w:left="-66" w:right="-87" w:hanging="7"/>
                      <w:jc w:val="right"/>
                      <w:textAlignment w:val="bottom"/>
                      <w:rPr>
                        <w:rFonts w:cs="Arial"/>
                        <w:snapToGrid w:val="0"/>
                        <w:szCs w:val="21"/>
                      </w:rPr>
                    </w:pPr>
                  </w:p>
                </w:tc>
                <w:tc>
                  <w:tcPr>
                    <w:tcW w:w="1464" w:type="pct"/>
                    <w:vAlign w:val="bottom"/>
                  </w:tcPr>
                  <w:p w:rsidR="002D578D" w:rsidRPr="00662DAD" w:rsidRDefault="002D578D">
                    <w:pPr>
                      <w:overflowPunct w:val="0"/>
                      <w:autoSpaceDE w:val="0"/>
                      <w:autoSpaceDN w:val="0"/>
                      <w:snapToGrid w:val="0"/>
                      <w:spacing w:line="280" w:lineRule="exact"/>
                      <w:ind w:left="-66" w:right="-87" w:hanging="7"/>
                      <w:jc w:val="right"/>
                      <w:textAlignment w:val="bottom"/>
                      <w:rPr>
                        <w:rFonts w:cs="Arial"/>
                        <w:snapToGrid w:val="0"/>
                        <w:szCs w:val="21"/>
                      </w:rPr>
                    </w:pPr>
                  </w:p>
                </w:tc>
                <w:tc>
                  <w:tcPr>
                    <w:tcW w:w="1198" w:type="pct"/>
                  </w:tcPr>
                  <w:p w:rsidR="002D578D" w:rsidRPr="00662DAD" w:rsidRDefault="002D578D">
                    <w:pPr>
                      <w:overflowPunct w:val="0"/>
                      <w:autoSpaceDE w:val="0"/>
                      <w:autoSpaceDN w:val="0"/>
                      <w:snapToGrid w:val="0"/>
                      <w:spacing w:line="280" w:lineRule="exact"/>
                      <w:ind w:left="-66" w:right="-87" w:hanging="7"/>
                      <w:jc w:val="right"/>
                      <w:textAlignment w:val="bottom"/>
                      <w:rPr>
                        <w:rFonts w:cs="Arial"/>
                        <w:snapToGrid w:val="0"/>
                        <w:szCs w:val="21"/>
                      </w:rPr>
                    </w:pPr>
                  </w:p>
                </w:tc>
              </w:tr>
              <w:tr w:rsidR="002D578D" w:rsidRPr="00662DAD" w:rsidTr="002D578D">
                <w:trPr>
                  <w:trHeight w:val="252"/>
                </w:trPr>
                <w:tc>
                  <w:tcPr>
                    <w:tcW w:w="874" w:type="pct"/>
                    <w:vAlign w:val="bottom"/>
                    <w:hideMark/>
                  </w:tcPr>
                  <w:p w:rsidR="002D578D" w:rsidRPr="00662DAD" w:rsidRDefault="002D578D">
                    <w:pPr>
                      <w:spacing w:line="240" w:lineRule="exact"/>
                      <w:ind w:left="-88" w:right="-80"/>
                      <w:rPr>
                        <w:rFonts w:cs="Arial"/>
                        <w:snapToGrid w:val="0"/>
                        <w:szCs w:val="21"/>
                      </w:rPr>
                    </w:pPr>
                    <w:r w:rsidRPr="00662DAD">
                      <w:rPr>
                        <w:rFonts w:cs="Arial" w:hint="eastAsia"/>
                        <w:snapToGrid w:val="0"/>
                        <w:szCs w:val="21"/>
                      </w:rPr>
                      <w:t>单位</w:t>
                    </w:r>
                    <w:r w:rsidRPr="00662DAD">
                      <w:rPr>
                        <w:rFonts w:cs="Arial"/>
                        <w:snapToGrid w:val="0"/>
                        <w:szCs w:val="21"/>
                      </w:rPr>
                      <w:t>1</w:t>
                    </w:r>
                  </w:p>
                </w:tc>
                <w:tc>
                  <w:tcPr>
                    <w:tcW w:w="1464" w:type="pct"/>
                    <w:vAlign w:val="center"/>
                    <w:hideMark/>
                  </w:tcPr>
                  <w:p w:rsidR="002D578D" w:rsidRPr="00662DAD" w:rsidRDefault="002D578D">
                    <w:pPr>
                      <w:spacing w:line="240" w:lineRule="exact"/>
                      <w:ind w:left="-88" w:right="-80"/>
                      <w:jc w:val="right"/>
                      <w:rPr>
                        <w:rFonts w:cs="Arial"/>
                        <w:color w:val="000000"/>
                        <w:szCs w:val="21"/>
                      </w:rPr>
                    </w:pPr>
                    <w:r w:rsidRPr="00662DAD">
                      <w:rPr>
                        <w:rFonts w:cs="Arial"/>
                        <w:szCs w:val="21"/>
                      </w:rPr>
                      <w:t xml:space="preserve">           16,428,001 </w:t>
                    </w:r>
                  </w:p>
                </w:tc>
                <w:tc>
                  <w:tcPr>
                    <w:tcW w:w="1464" w:type="pct"/>
                    <w:vAlign w:val="bottom"/>
                    <w:hideMark/>
                  </w:tcPr>
                  <w:p w:rsidR="002D578D" w:rsidRPr="00662DAD" w:rsidRDefault="002D578D">
                    <w:pPr>
                      <w:spacing w:line="240" w:lineRule="exact"/>
                      <w:ind w:left="-88" w:right="-80"/>
                      <w:jc w:val="right"/>
                      <w:rPr>
                        <w:rFonts w:cs="Arial"/>
                        <w:color w:val="000000"/>
                        <w:szCs w:val="21"/>
                      </w:rPr>
                    </w:pPr>
                    <w:r w:rsidRPr="00662DAD">
                      <w:rPr>
                        <w:rFonts w:cs="Arial"/>
                        <w:color w:val="000000"/>
                        <w:szCs w:val="21"/>
                      </w:rPr>
                      <w:t>1</w:t>
                    </w:r>
                  </w:p>
                </w:tc>
                <w:tc>
                  <w:tcPr>
                    <w:tcW w:w="1198" w:type="pct"/>
                    <w:hideMark/>
                  </w:tcPr>
                  <w:p w:rsidR="002D578D" w:rsidRPr="00662DAD" w:rsidRDefault="002D578D">
                    <w:pPr>
                      <w:spacing w:line="240" w:lineRule="exact"/>
                      <w:ind w:left="-88" w:right="-80"/>
                      <w:jc w:val="right"/>
                      <w:rPr>
                        <w:rFonts w:cs="Arial"/>
                        <w:color w:val="000000"/>
                        <w:szCs w:val="21"/>
                      </w:rPr>
                    </w:pPr>
                    <w:r w:rsidRPr="00662DAD">
                      <w:rPr>
                        <w:rFonts w:cs="Arial"/>
                        <w:color w:val="000000"/>
                        <w:szCs w:val="21"/>
                      </w:rPr>
                      <w:t xml:space="preserve">1,149,960    </w:t>
                    </w:r>
                  </w:p>
                </w:tc>
              </w:tr>
              <w:tr w:rsidR="002D578D" w:rsidRPr="00662DAD" w:rsidTr="002D578D">
                <w:trPr>
                  <w:trHeight w:val="252"/>
                </w:trPr>
                <w:tc>
                  <w:tcPr>
                    <w:tcW w:w="874" w:type="pct"/>
                    <w:vAlign w:val="bottom"/>
                    <w:hideMark/>
                  </w:tcPr>
                  <w:p w:rsidR="002D578D" w:rsidRPr="00662DAD" w:rsidRDefault="002D578D">
                    <w:pPr>
                      <w:spacing w:line="240" w:lineRule="exact"/>
                      <w:ind w:left="-88" w:right="-80"/>
                      <w:rPr>
                        <w:rFonts w:cs="Arial"/>
                        <w:snapToGrid w:val="0"/>
                        <w:szCs w:val="21"/>
                      </w:rPr>
                    </w:pPr>
                    <w:r w:rsidRPr="00662DAD">
                      <w:rPr>
                        <w:rFonts w:cs="Arial" w:hint="eastAsia"/>
                        <w:snapToGrid w:val="0"/>
                        <w:szCs w:val="21"/>
                      </w:rPr>
                      <w:t>单位</w:t>
                    </w:r>
                    <w:r w:rsidRPr="00662DAD">
                      <w:rPr>
                        <w:rFonts w:cs="Arial"/>
                        <w:snapToGrid w:val="0"/>
                        <w:szCs w:val="21"/>
                      </w:rPr>
                      <w:t>2</w:t>
                    </w:r>
                  </w:p>
                </w:tc>
                <w:tc>
                  <w:tcPr>
                    <w:tcW w:w="1464" w:type="pct"/>
                    <w:vAlign w:val="center"/>
                    <w:hideMark/>
                  </w:tcPr>
                  <w:p w:rsidR="002D578D" w:rsidRPr="00662DAD" w:rsidRDefault="002D578D">
                    <w:pPr>
                      <w:spacing w:line="240" w:lineRule="exact"/>
                      <w:ind w:left="-88" w:right="-80"/>
                      <w:jc w:val="right"/>
                      <w:rPr>
                        <w:rFonts w:cs="Arial"/>
                        <w:color w:val="000000"/>
                        <w:szCs w:val="21"/>
                      </w:rPr>
                    </w:pPr>
                    <w:r w:rsidRPr="00662DAD">
                      <w:rPr>
                        <w:rFonts w:cs="Arial"/>
                        <w:szCs w:val="21"/>
                      </w:rPr>
                      <w:t xml:space="preserve">           11,758,641 </w:t>
                    </w:r>
                  </w:p>
                </w:tc>
                <w:tc>
                  <w:tcPr>
                    <w:tcW w:w="1464" w:type="pct"/>
                    <w:vAlign w:val="bottom"/>
                    <w:hideMark/>
                  </w:tcPr>
                  <w:p w:rsidR="002D578D" w:rsidRPr="00662DAD" w:rsidRDefault="002D578D">
                    <w:pPr>
                      <w:spacing w:line="240" w:lineRule="exact"/>
                      <w:ind w:left="-88" w:right="-80"/>
                      <w:jc w:val="right"/>
                      <w:rPr>
                        <w:rFonts w:cs="Arial"/>
                        <w:color w:val="000000"/>
                        <w:szCs w:val="21"/>
                      </w:rPr>
                    </w:pPr>
                    <w:r w:rsidRPr="00662DAD">
                      <w:rPr>
                        <w:rFonts w:cs="Arial"/>
                        <w:color w:val="000000"/>
                        <w:szCs w:val="21"/>
                      </w:rPr>
                      <w:t>1</w:t>
                    </w:r>
                  </w:p>
                </w:tc>
                <w:tc>
                  <w:tcPr>
                    <w:tcW w:w="1198" w:type="pct"/>
                    <w:vAlign w:val="center"/>
                    <w:hideMark/>
                  </w:tcPr>
                  <w:p w:rsidR="002D578D" w:rsidRPr="00662DAD" w:rsidRDefault="008F04CF">
                    <w:pPr>
                      <w:spacing w:line="240" w:lineRule="exact"/>
                      <w:ind w:left="-88" w:right="-80"/>
                      <w:jc w:val="right"/>
                      <w:rPr>
                        <w:rFonts w:cs="Arial"/>
                        <w:color w:val="000000"/>
                        <w:szCs w:val="21"/>
                      </w:rPr>
                    </w:pPr>
                    <w:r>
                      <w:rPr>
                        <w:rFonts w:cs="Arial"/>
                        <w:szCs w:val="21"/>
                      </w:rPr>
                      <w:t xml:space="preserve">          </w:t>
                    </w:r>
                    <w:r w:rsidR="002D578D" w:rsidRPr="00662DAD">
                      <w:rPr>
                        <w:rFonts w:cs="Arial"/>
                        <w:szCs w:val="21"/>
                      </w:rPr>
                      <w:t xml:space="preserve">2,267,832 </w:t>
                    </w:r>
                  </w:p>
                </w:tc>
              </w:tr>
              <w:tr w:rsidR="002D578D" w:rsidRPr="00662DAD" w:rsidTr="002D578D">
                <w:trPr>
                  <w:trHeight w:val="252"/>
                </w:trPr>
                <w:tc>
                  <w:tcPr>
                    <w:tcW w:w="874" w:type="pct"/>
                    <w:vAlign w:val="bottom"/>
                    <w:hideMark/>
                  </w:tcPr>
                  <w:p w:rsidR="002D578D" w:rsidRPr="00662DAD" w:rsidRDefault="002D578D">
                    <w:pPr>
                      <w:spacing w:line="240" w:lineRule="exact"/>
                      <w:ind w:left="-88" w:right="-80"/>
                      <w:rPr>
                        <w:rFonts w:cs="Arial"/>
                        <w:snapToGrid w:val="0"/>
                        <w:szCs w:val="21"/>
                      </w:rPr>
                    </w:pPr>
                    <w:r w:rsidRPr="00662DAD">
                      <w:rPr>
                        <w:rFonts w:cs="Arial" w:hint="eastAsia"/>
                        <w:snapToGrid w:val="0"/>
                        <w:szCs w:val="21"/>
                      </w:rPr>
                      <w:t>单位</w:t>
                    </w:r>
                    <w:r w:rsidRPr="00662DAD">
                      <w:rPr>
                        <w:rFonts w:cs="Arial"/>
                        <w:snapToGrid w:val="0"/>
                        <w:szCs w:val="21"/>
                      </w:rPr>
                      <w:t>3</w:t>
                    </w:r>
                  </w:p>
                </w:tc>
                <w:tc>
                  <w:tcPr>
                    <w:tcW w:w="1464" w:type="pct"/>
                    <w:vAlign w:val="center"/>
                    <w:hideMark/>
                  </w:tcPr>
                  <w:p w:rsidR="002D578D" w:rsidRPr="00662DAD" w:rsidRDefault="002D578D">
                    <w:pPr>
                      <w:spacing w:line="240" w:lineRule="exact"/>
                      <w:ind w:left="-88" w:right="-80"/>
                      <w:jc w:val="right"/>
                      <w:rPr>
                        <w:rFonts w:cs="Arial"/>
                        <w:color w:val="000000"/>
                        <w:szCs w:val="21"/>
                      </w:rPr>
                    </w:pPr>
                    <w:r w:rsidRPr="00662DAD">
                      <w:rPr>
                        <w:rFonts w:cs="Arial"/>
                        <w:szCs w:val="21"/>
                      </w:rPr>
                      <w:t xml:space="preserve">           10,501,607 </w:t>
                    </w:r>
                  </w:p>
                </w:tc>
                <w:tc>
                  <w:tcPr>
                    <w:tcW w:w="1464" w:type="pct"/>
                    <w:vAlign w:val="bottom"/>
                    <w:hideMark/>
                  </w:tcPr>
                  <w:p w:rsidR="002D578D" w:rsidRPr="00662DAD" w:rsidRDefault="002D578D">
                    <w:pPr>
                      <w:spacing w:line="240" w:lineRule="exact"/>
                      <w:ind w:left="-88" w:right="-80"/>
                      <w:jc w:val="right"/>
                      <w:rPr>
                        <w:rFonts w:cs="Arial"/>
                        <w:color w:val="000000"/>
                        <w:szCs w:val="21"/>
                      </w:rPr>
                    </w:pPr>
                    <w:r w:rsidRPr="00662DAD">
                      <w:rPr>
                        <w:rFonts w:cs="Arial"/>
                        <w:color w:val="000000"/>
                        <w:szCs w:val="21"/>
                      </w:rPr>
                      <w:t>1</w:t>
                    </w:r>
                  </w:p>
                </w:tc>
                <w:tc>
                  <w:tcPr>
                    <w:tcW w:w="1198" w:type="pct"/>
                    <w:vAlign w:val="center"/>
                    <w:hideMark/>
                  </w:tcPr>
                  <w:p w:rsidR="002D578D" w:rsidRPr="00662DAD" w:rsidRDefault="008F04CF">
                    <w:pPr>
                      <w:spacing w:line="240" w:lineRule="exact"/>
                      <w:ind w:left="-88" w:right="-80"/>
                      <w:jc w:val="right"/>
                      <w:rPr>
                        <w:rFonts w:cs="Arial"/>
                        <w:color w:val="000000"/>
                        <w:szCs w:val="21"/>
                      </w:rPr>
                    </w:pPr>
                    <w:r>
                      <w:rPr>
                        <w:rFonts w:cs="Arial"/>
                        <w:szCs w:val="21"/>
                      </w:rPr>
                      <w:t xml:space="preserve">          </w:t>
                    </w:r>
                    <w:r w:rsidR="002D578D" w:rsidRPr="00662DAD">
                      <w:rPr>
                        <w:rFonts w:cs="Arial"/>
                        <w:szCs w:val="21"/>
                      </w:rPr>
                      <w:t xml:space="preserve">2,520,386 </w:t>
                    </w:r>
                  </w:p>
                </w:tc>
              </w:tr>
              <w:tr w:rsidR="002D578D" w:rsidRPr="00662DAD" w:rsidTr="002D578D">
                <w:trPr>
                  <w:trHeight w:val="252"/>
                </w:trPr>
                <w:tc>
                  <w:tcPr>
                    <w:tcW w:w="874" w:type="pct"/>
                    <w:vAlign w:val="bottom"/>
                    <w:hideMark/>
                  </w:tcPr>
                  <w:p w:rsidR="002D578D" w:rsidRPr="00662DAD" w:rsidRDefault="002D578D">
                    <w:pPr>
                      <w:spacing w:line="240" w:lineRule="exact"/>
                      <w:ind w:left="-88" w:right="-80"/>
                      <w:rPr>
                        <w:rFonts w:cs="Arial"/>
                        <w:snapToGrid w:val="0"/>
                        <w:szCs w:val="21"/>
                      </w:rPr>
                    </w:pPr>
                    <w:r w:rsidRPr="00662DAD">
                      <w:rPr>
                        <w:rFonts w:cs="Arial" w:hint="eastAsia"/>
                        <w:snapToGrid w:val="0"/>
                        <w:szCs w:val="21"/>
                      </w:rPr>
                      <w:t>单位</w:t>
                    </w:r>
                    <w:r w:rsidRPr="00662DAD">
                      <w:rPr>
                        <w:rFonts w:cs="Arial"/>
                        <w:snapToGrid w:val="0"/>
                        <w:szCs w:val="21"/>
                      </w:rPr>
                      <w:t>4</w:t>
                    </w:r>
                  </w:p>
                </w:tc>
                <w:tc>
                  <w:tcPr>
                    <w:tcW w:w="1464" w:type="pct"/>
                    <w:vAlign w:val="center"/>
                    <w:hideMark/>
                  </w:tcPr>
                  <w:p w:rsidR="002D578D" w:rsidRPr="00662DAD" w:rsidRDefault="002D578D">
                    <w:pPr>
                      <w:spacing w:line="240" w:lineRule="exact"/>
                      <w:ind w:left="-88" w:right="-80"/>
                      <w:jc w:val="right"/>
                      <w:rPr>
                        <w:rFonts w:cs="Arial"/>
                        <w:color w:val="000000"/>
                        <w:szCs w:val="21"/>
                      </w:rPr>
                    </w:pPr>
                    <w:r w:rsidRPr="00662DAD">
                      <w:rPr>
                        <w:rFonts w:cs="Arial"/>
                        <w:szCs w:val="21"/>
                      </w:rPr>
                      <w:t xml:space="preserve">             8,838,800 </w:t>
                    </w:r>
                  </w:p>
                </w:tc>
                <w:tc>
                  <w:tcPr>
                    <w:tcW w:w="1464" w:type="pct"/>
                    <w:vAlign w:val="bottom"/>
                    <w:hideMark/>
                  </w:tcPr>
                  <w:p w:rsidR="002D578D" w:rsidRPr="00662DAD" w:rsidRDefault="002D578D">
                    <w:pPr>
                      <w:spacing w:line="240" w:lineRule="exact"/>
                      <w:ind w:left="-88" w:right="-80"/>
                      <w:jc w:val="right"/>
                      <w:rPr>
                        <w:rFonts w:cs="Arial"/>
                        <w:color w:val="000000"/>
                        <w:szCs w:val="21"/>
                      </w:rPr>
                    </w:pPr>
                    <w:r w:rsidRPr="00662DAD">
                      <w:rPr>
                        <w:rFonts w:cs="Arial"/>
                        <w:color w:val="000000"/>
                        <w:szCs w:val="21"/>
                      </w:rPr>
                      <w:t>&lt;1</w:t>
                    </w:r>
                  </w:p>
                </w:tc>
                <w:tc>
                  <w:tcPr>
                    <w:tcW w:w="1198" w:type="pct"/>
                    <w:vAlign w:val="center"/>
                    <w:hideMark/>
                  </w:tcPr>
                  <w:p w:rsidR="002D578D" w:rsidRPr="00662DAD" w:rsidRDefault="008F04CF">
                    <w:pPr>
                      <w:spacing w:line="240" w:lineRule="exact"/>
                      <w:ind w:left="-88" w:right="-80"/>
                      <w:jc w:val="right"/>
                      <w:rPr>
                        <w:rFonts w:cs="Arial"/>
                        <w:color w:val="000000"/>
                        <w:szCs w:val="21"/>
                      </w:rPr>
                    </w:pPr>
                    <w:r>
                      <w:rPr>
                        <w:rFonts w:cs="Arial"/>
                        <w:szCs w:val="21"/>
                      </w:rPr>
                      <w:t xml:space="preserve">          </w:t>
                    </w:r>
                    <w:r w:rsidR="002D578D" w:rsidRPr="00662DAD">
                      <w:rPr>
                        <w:rFonts w:cs="Arial"/>
                        <w:szCs w:val="21"/>
                      </w:rPr>
                      <w:t xml:space="preserve">1,151,675 </w:t>
                    </w:r>
                  </w:p>
                </w:tc>
              </w:tr>
              <w:tr w:rsidR="002D578D" w:rsidRPr="00662DAD" w:rsidTr="002D578D">
                <w:trPr>
                  <w:trHeight w:val="252"/>
                </w:trPr>
                <w:tc>
                  <w:tcPr>
                    <w:tcW w:w="874" w:type="pct"/>
                    <w:vAlign w:val="bottom"/>
                    <w:hideMark/>
                  </w:tcPr>
                  <w:p w:rsidR="002D578D" w:rsidRPr="00662DAD" w:rsidRDefault="002D578D">
                    <w:pPr>
                      <w:spacing w:line="240" w:lineRule="exact"/>
                      <w:ind w:left="-88" w:right="-80"/>
                      <w:rPr>
                        <w:rFonts w:cs="Arial"/>
                        <w:snapToGrid w:val="0"/>
                        <w:szCs w:val="21"/>
                      </w:rPr>
                    </w:pPr>
                    <w:r w:rsidRPr="00662DAD">
                      <w:rPr>
                        <w:rFonts w:cs="Arial" w:hint="eastAsia"/>
                        <w:snapToGrid w:val="0"/>
                        <w:szCs w:val="21"/>
                      </w:rPr>
                      <w:t>单位</w:t>
                    </w:r>
                    <w:r w:rsidRPr="00662DAD">
                      <w:rPr>
                        <w:rFonts w:cs="Arial"/>
                        <w:snapToGrid w:val="0"/>
                        <w:szCs w:val="21"/>
                      </w:rPr>
                      <w:t>5</w:t>
                    </w:r>
                  </w:p>
                </w:tc>
                <w:tc>
                  <w:tcPr>
                    <w:tcW w:w="1464" w:type="pct"/>
                    <w:vAlign w:val="bottom"/>
                    <w:hideMark/>
                  </w:tcPr>
                  <w:p w:rsidR="002D578D" w:rsidRPr="00662DAD" w:rsidRDefault="002D578D">
                    <w:pPr>
                      <w:wordWrap w:val="0"/>
                      <w:spacing w:line="240" w:lineRule="exact"/>
                      <w:ind w:left="-88" w:right="-80"/>
                      <w:jc w:val="right"/>
                      <w:rPr>
                        <w:rFonts w:cs="Arial"/>
                        <w:snapToGrid w:val="0"/>
                        <w:szCs w:val="21"/>
                        <w:u w:val="single"/>
                      </w:rPr>
                    </w:pPr>
                    <w:r w:rsidRPr="00662DAD">
                      <w:rPr>
                        <w:rFonts w:cs="Arial"/>
                        <w:color w:val="000000"/>
                        <w:szCs w:val="21"/>
                        <w:u w:val="single"/>
                      </w:rPr>
                      <w:t xml:space="preserve">  8,517,400</w:t>
                    </w:r>
                  </w:p>
                </w:tc>
                <w:tc>
                  <w:tcPr>
                    <w:tcW w:w="1464" w:type="pct"/>
                    <w:vAlign w:val="bottom"/>
                    <w:hideMark/>
                  </w:tcPr>
                  <w:p w:rsidR="002D578D" w:rsidRPr="00662DAD" w:rsidRDefault="002D578D">
                    <w:pPr>
                      <w:spacing w:line="240" w:lineRule="exact"/>
                      <w:ind w:left="-88" w:right="-80"/>
                      <w:jc w:val="right"/>
                      <w:rPr>
                        <w:rFonts w:cs="Arial"/>
                        <w:snapToGrid w:val="0"/>
                        <w:szCs w:val="21"/>
                        <w:u w:val="single"/>
                      </w:rPr>
                    </w:pPr>
                    <w:r w:rsidRPr="00662DAD">
                      <w:rPr>
                        <w:rFonts w:cs="Arial"/>
                        <w:snapToGrid w:val="0"/>
                        <w:szCs w:val="21"/>
                        <w:u w:val="single"/>
                      </w:rPr>
                      <w:t>&lt;1</w:t>
                    </w:r>
                  </w:p>
                </w:tc>
                <w:tc>
                  <w:tcPr>
                    <w:tcW w:w="1198" w:type="pct"/>
                    <w:hideMark/>
                  </w:tcPr>
                  <w:p w:rsidR="002D578D" w:rsidRPr="00662DAD" w:rsidRDefault="002D578D">
                    <w:pPr>
                      <w:spacing w:line="240" w:lineRule="exact"/>
                      <w:ind w:left="-88" w:right="-80"/>
                      <w:jc w:val="right"/>
                      <w:rPr>
                        <w:rFonts w:cs="Arial"/>
                        <w:snapToGrid w:val="0"/>
                        <w:szCs w:val="21"/>
                        <w:u w:val="single"/>
                      </w:rPr>
                    </w:pPr>
                    <w:r w:rsidRPr="00662DAD">
                      <w:rPr>
                        <w:rFonts w:cs="Arial"/>
                        <w:color w:val="000000"/>
                        <w:szCs w:val="21"/>
                        <w:u w:val="single"/>
                      </w:rPr>
                      <w:t xml:space="preserve">   596,218  </w:t>
                    </w:r>
                  </w:p>
                </w:tc>
              </w:tr>
              <w:tr w:rsidR="002D578D" w:rsidRPr="00662DAD" w:rsidTr="002D578D">
                <w:trPr>
                  <w:trHeight w:val="252"/>
                </w:trPr>
                <w:tc>
                  <w:tcPr>
                    <w:tcW w:w="874" w:type="pct"/>
                    <w:vAlign w:val="bottom"/>
                  </w:tcPr>
                  <w:p w:rsidR="002D578D" w:rsidRPr="00662DAD" w:rsidRDefault="002D578D">
                    <w:pPr>
                      <w:spacing w:line="240" w:lineRule="exact"/>
                      <w:ind w:left="-88" w:right="-80"/>
                      <w:rPr>
                        <w:rFonts w:cs="Arial"/>
                        <w:snapToGrid w:val="0"/>
                        <w:szCs w:val="21"/>
                      </w:rPr>
                    </w:pPr>
                  </w:p>
                </w:tc>
                <w:tc>
                  <w:tcPr>
                    <w:tcW w:w="1464" w:type="pct"/>
                    <w:vAlign w:val="bottom"/>
                  </w:tcPr>
                  <w:p w:rsidR="002D578D" w:rsidRPr="00662DAD" w:rsidRDefault="002D578D">
                    <w:pPr>
                      <w:spacing w:line="240" w:lineRule="exact"/>
                      <w:ind w:left="-88" w:right="-80"/>
                      <w:jc w:val="right"/>
                      <w:rPr>
                        <w:rFonts w:cs="Arial"/>
                        <w:color w:val="000000"/>
                        <w:szCs w:val="21"/>
                      </w:rPr>
                    </w:pPr>
                  </w:p>
                </w:tc>
                <w:tc>
                  <w:tcPr>
                    <w:tcW w:w="1464" w:type="pct"/>
                    <w:vAlign w:val="bottom"/>
                  </w:tcPr>
                  <w:p w:rsidR="002D578D" w:rsidRPr="00662DAD" w:rsidRDefault="002D578D">
                    <w:pPr>
                      <w:spacing w:line="240" w:lineRule="exact"/>
                      <w:ind w:left="-88" w:right="-80"/>
                      <w:jc w:val="right"/>
                      <w:rPr>
                        <w:rFonts w:cs="Arial"/>
                        <w:color w:val="000000"/>
                        <w:szCs w:val="21"/>
                      </w:rPr>
                    </w:pPr>
                  </w:p>
                </w:tc>
                <w:tc>
                  <w:tcPr>
                    <w:tcW w:w="1198" w:type="pct"/>
                  </w:tcPr>
                  <w:p w:rsidR="002D578D" w:rsidRPr="00662DAD" w:rsidRDefault="002D578D">
                    <w:pPr>
                      <w:spacing w:line="240" w:lineRule="exact"/>
                      <w:ind w:left="-88" w:right="-80"/>
                      <w:jc w:val="right"/>
                      <w:rPr>
                        <w:rFonts w:cs="Arial"/>
                        <w:color w:val="000000"/>
                        <w:szCs w:val="21"/>
                      </w:rPr>
                    </w:pPr>
                  </w:p>
                </w:tc>
              </w:tr>
              <w:tr w:rsidR="002D578D" w:rsidRPr="00662DAD" w:rsidTr="002D578D">
                <w:trPr>
                  <w:trHeight w:val="252"/>
                </w:trPr>
                <w:tc>
                  <w:tcPr>
                    <w:tcW w:w="874" w:type="pct"/>
                    <w:vAlign w:val="bottom"/>
                  </w:tcPr>
                  <w:p w:rsidR="002D578D" w:rsidRPr="00662DAD" w:rsidRDefault="002D578D">
                    <w:pPr>
                      <w:spacing w:line="240" w:lineRule="exact"/>
                      <w:ind w:left="-88" w:right="-80"/>
                      <w:rPr>
                        <w:rFonts w:cs="Arial"/>
                        <w:snapToGrid w:val="0"/>
                        <w:szCs w:val="21"/>
                      </w:rPr>
                    </w:pPr>
                  </w:p>
                </w:tc>
                <w:tc>
                  <w:tcPr>
                    <w:tcW w:w="1464" w:type="pct"/>
                    <w:vAlign w:val="bottom"/>
                    <w:hideMark/>
                  </w:tcPr>
                  <w:p w:rsidR="002D578D" w:rsidRPr="00662DAD" w:rsidRDefault="002D578D">
                    <w:pPr>
                      <w:spacing w:line="240" w:lineRule="exact"/>
                      <w:ind w:left="-88" w:right="-80"/>
                      <w:jc w:val="right"/>
                      <w:rPr>
                        <w:rFonts w:cs="Arial"/>
                        <w:snapToGrid w:val="0"/>
                        <w:szCs w:val="21"/>
                        <w:u w:val="double"/>
                      </w:rPr>
                    </w:pPr>
                    <w:r w:rsidRPr="00662DAD">
                      <w:rPr>
                        <w:rFonts w:cs="Arial"/>
                        <w:snapToGrid w:val="0"/>
                        <w:szCs w:val="21"/>
                        <w:u w:val="double"/>
                      </w:rPr>
                      <w:t>56,044,449</w:t>
                    </w:r>
                  </w:p>
                </w:tc>
                <w:tc>
                  <w:tcPr>
                    <w:tcW w:w="1464" w:type="pct"/>
                    <w:vAlign w:val="bottom"/>
                    <w:hideMark/>
                  </w:tcPr>
                  <w:p w:rsidR="002D578D" w:rsidRPr="00662DAD" w:rsidRDefault="002D578D">
                    <w:pPr>
                      <w:wordWrap w:val="0"/>
                      <w:spacing w:line="240" w:lineRule="exact"/>
                      <w:ind w:left="-88" w:right="-80"/>
                      <w:jc w:val="right"/>
                      <w:rPr>
                        <w:rFonts w:cs="Arial"/>
                        <w:snapToGrid w:val="0"/>
                        <w:szCs w:val="21"/>
                        <w:u w:val="double"/>
                      </w:rPr>
                    </w:pPr>
                    <w:r w:rsidRPr="00662DAD">
                      <w:rPr>
                        <w:rFonts w:cs="Arial"/>
                        <w:snapToGrid w:val="0"/>
                        <w:szCs w:val="21"/>
                        <w:u w:val="double"/>
                      </w:rPr>
                      <w:t xml:space="preserve">  3</w:t>
                    </w:r>
                  </w:p>
                </w:tc>
                <w:tc>
                  <w:tcPr>
                    <w:tcW w:w="1198" w:type="pct"/>
                    <w:hideMark/>
                  </w:tcPr>
                  <w:p w:rsidR="002D578D" w:rsidRPr="00662DAD" w:rsidRDefault="002D578D">
                    <w:pPr>
                      <w:spacing w:line="240" w:lineRule="exact"/>
                      <w:ind w:left="-88" w:right="-80"/>
                      <w:jc w:val="right"/>
                      <w:rPr>
                        <w:rFonts w:cs="Arial"/>
                        <w:snapToGrid w:val="0"/>
                        <w:szCs w:val="21"/>
                        <w:u w:val="double"/>
                      </w:rPr>
                    </w:pPr>
                    <w:r w:rsidRPr="00662DAD">
                      <w:rPr>
                        <w:rFonts w:cs="Arial"/>
                        <w:snapToGrid w:val="0"/>
                        <w:szCs w:val="21"/>
                        <w:u w:val="double"/>
                      </w:rPr>
                      <w:t xml:space="preserve">7,686,071 </w:t>
                    </w:r>
                  </w:p>
                </w:tc>
              </w:tr>
            </w:tbl>
            <w:p w:rsidR="002D578D" w:rsidRDefault="002D578D" w:rsidP="002D578D">
              <w:pPr>
                <w:overflowPunct w:val="0"/>
                <w:autoSpaceDE w:val="0"/>
                <w:autoSpaceDN w:val="0"/>
                <w:adjustRightInd w:val="0"/>
                <w:snapToGrid w:val="0"/>
                <w:jc w:val="both"/>
                <w:textAlignment w:val="bottom"/>
                <w:rPr>
                  <w:rFonts w:ascii="Arial" w:eastAsia="黑体" w:hAnsi="Arial" w:cs="Arial"/>
                  <w:snapToGrid w:val="0"/>
                  <w:sz w:val="20"/>
                  <w:szCs w:val="20"/>
                </w:rPr>
              </w:pPr>
            </w:p>
            <w:p w:rsidR="00ED2DC7" w:rsidRDefault="000D0A99">
              <w:pPr>
                <w:snapToGrid w:val="0"/>
                <w:spacing w:line="240" w:lineRule="atLeast"/>
                <w:rPr>
                  <w:szCs w:val="21"/>
                </w:rPr>
              </w:pPr>
            </w:p>
          </w:sdtContent>
        </w:sdt>
      </w:sdtContent>
    </w:sdt>
    <w:p w:rsidR="00ED2DC7" w:rsidRDefault="00ED2DC7">
      <w:pPr>
        <w:snapToGrid w:val="0"/>
        <w:spacing w:line="240" w:lineRule="atLeast"/>
        <w:ind w:leftChars="-50" w:left="-105"/>
        <w:rPr>
          <w:szCs w:val="21"/>
        </w:rPr>
      </w:pPr>
    </w:p>
    <w:sdt>
      <w:sdtPr>
        <w:rPr>
          <w:rFonts w:ascii="Times New Roman" w:hAnsi="Times New Roman" w:cs="宋体" w:hint="eastAsia"/>
          <w:b w:val="0"/>
          <w:bCs w:val="0"/>
          <w:kern w:val="0"/>
          <w:szCs w:val="24"/>
        </w:rPr>
        <w:alias w:val="模块:因金融资产转移而终止确认的应收账款"/>
        <w:tag w:val="_GBC_79d1ccfd87f84b4ab10a992730026aa0"/>
        <w:id w:val="-124544375"/>
        <w:lock w:val="sdtLocked"/>
        <w:placeholder>
          <w:docPart w:val="GBC22222222222222222222222222222"/>
        </w:placeholder>
      </w:sdtPr>
      <w:sdtContent>
        <w:p w:rsidR="00ED2DC7" w:rsidRDefault="00ED2DC7" w:rsidP="00036BDC">
          <w:pPr>
            <w:pStyle w:val="affffffffffffffffff2"/>
            <w:numPr>
              <w:ilvl w:val="3"/>
              <w:numId w:val="51"/>
            </w:numPr>
            <w:tabs>
              <w:tab w:val="left" w:pos="574"/>
            </w:tabs>
            <w:rPr>
              <w:kern w:val="0"/>
            </w:rPr>
          </w:pPr>
          <w:r>
            <w:rPr>
              <w:rFonts w:hint="eastAsia"/>
              <w:kern w:val="0"/>
            </w:rPr>
            <w:t>因</w:t>
          </w:r>
          <w:r>
            <w:rPr>
              <w:rFonts w:hint="eastAsia"/>
            </w:rPr>
            <w:t>金融资产</w:t>
          </w:r>
          <w:r>
            <w:rPr>
              <w:rFonts w:hint="eastAsia"/>
              <w:kern w:val="0"/>
            </w:rPr>
            <w:t>转移而终止确认的应收账款</w:t>
          </w:r>
        </w:p>
        <w:sdt>
          <w:sdtPr>
            <w:rPr>
              <w:rFonts w:hint="eastAsia"/>
              <w:szCs w:val="21"/>
            </w:rPr>
            <w:alias w:val="是否适用：因金融资产转移而终止确认的应收账款[双击切换]"/>
            <w:tag w:val="_GBC_49c226ad97e8410fb7b074c9336b510a"/>
            <w:id w:val="-1048677293"/>
            <w:lock w:val="sdtContentLocked"/>
            <w:placeholder>
              <w:docPart w:val="GBC22222222222222222222222222222"/>
            </w:placeholder>
          </w:sdtPr>
          <w:sdtContent>
            <w:p w:rsidR="00ED2DC7" w:rsidRDefault="00ED2DC7" w:rsidP="002D578D">
              <w:pPr>
                <w:snapToGrid w:val="0"/>
                <w:spacing w:line="240" w:lineRule="atLeast"/>
                <w:rPr>
                  <w:szCs w:val="21"/>
                </w:rPr>
              </w:pPr>
              <w:r>
                <w:rPr>
                  <w:szCs w:val="21"/>
                </w:rPr>
                <w:fldChar w:fldCharType="begin"/>
              </w:r>
              <w:r w:rsidR="002D578D">
                <w:rPr>
                  <w:szCs w:val="21"/>
                </w:rPr>
                <w:instrText xml:space="preserve"> MACROBUTTON  SnrToggleCheckbox □适用 </w:instrText>
              </w:r>
              <w:r>
                <w:rPr>
                  <w:szCs w:val="21"/>
                </w:rPr>
                <w:fldChar w:fldCharType="end"/>
              </w:r>
              <w:r>
                <w:rPr>
                  <w:szCs w:val="21"/>
                </w:rPr>
                <w:fldChar w:fldCharType="begin"/>
              </w:r>
              <w:r w:rsidR="002D578D">
                <w:rPr>
                  <w:szCs w:val="21"/>
                </w:rPr>
                <w:instrText xml:space="preserve"> MACROBUTTON  SnrToggleCheckbox √不适用 </w:instrText>
              </w:r>
              <w:r>
                <w:rPr>
                  <w:szCs w:val="21"/>
                </w:rPr>
                <w:fldChar w:fldCharType="end"/>
              </w:r>
            </w:p>
          </w:sdtContent>
        </w:sdt>
        <w:p w:rsidR="00ED2DC7" w:rsidRDefault="000D0A99">
          <w:pPr>
            <w:snapToGrid w:val="0"/>
            <w:spacing w:line="240" w:lineRule="atLeast"/>
            <w:rPr>
              <w:rFonts w:ascii="Times New Roman" w:hAnsi="Times New Roman"/>
            </w:rPr>
          </w:pPr>
        </w:p>
      </w:sdtContent>
    </w:sdt>
    <w:sdt>
      <w:sdtPr>
        <w:rPr>
          <w:rFonts w:ascii="Times New Roman" w:hAnsi="Times New Roman" w:cs="宋体" w:hint="eastAsia"/>
          <w:b w:val="0"/>
          <w:bCs w:val="0"/>
          <w:kern w:val="0"/>
          <w:szCs w:val="24"/>
        </w:rPr>
        <w:alias w:val="模块:转移应收账款且继续涉入的，分项列示继续涉入形成的资产、负债的金额"/>
        <w:tag w:val="_GBC_d3d5d3b413a24c269f804c6a3e3f1c06"/>
        <w:id w:val="-1082528462"/>
        <w:lock w:val="sdtLocked"/>
        <w:placeholder>
          <w:docPart w:val="GBC22222222222222222222222222222"/>
        </w:placeholder>
      </w:sdtPr>
      <w:sdtContent>
        <w:p w:rsidR="00ED2DC7" w:rsidRDefault="00ED2DC7" w:rsidP="00036BDC">
          <w:pPr>
            <w:pStyle w:val="affffffffffffffffff2"/>
            <w:numPr>
              <w:ilvl w:val="3"/>
              <w:numId w:val="51"/>
            </w:numPr>
            <w:tabs>
              <w:tab w:val="left" w:pos="574"/>
            </w:tabs>
            <w:rPr>
              <w:rFonts w:ascii="宋体" w:hAnsi="宋体"/>
            </w:rPr>
          </w:pPr>
          <w:r>
            <w:rPr>
              <w:rFonts w:ascii="宋体" w:hAnsi="宋体" w:hint="eastAsia"/>
              <w:kern w:val="0"/>
              <w:szCs w:val="21"/>
            </w:rPr>
            <w:t>转移应收账款且</w:t>
          </w:r>
          <w:r>
            <w:rPr>
              <w:rFonts w:ascii="宋体" w:hAnsi="宋体" w:hint="eastAsia"/>
            </w:rPr>
            <w:t>继续</w:t>
          </w:r>
          <w:r>
            <w:rPr>
              <w:rFonts w:ascii="宋体" w:hAnsi="宋体" w:hint="eastAsia"/>
              <w:kern w:val="0"/>
              <w:szCs w:val="21"/>
            </w:rPr>
            <w:t>涉入形成的资产、负债金额</w:t>
          </w:r>
        </w:p>
        <w:sdt>
          <w:sdtPr>
            <w:rPr>
              <w:rFonts w:hint="eastAsia"/>
            </w:rPr>
            <w:alias w:val="是否适用：转移应收账款且继续涉入形成的资产、负债金额[双击切换]"/>
            <w:tag w:val="_GBC_8916c4a80e024e80ab488fe678c14970"/>
            <w:id w:val="-367836269"/>
            <w:lock w:val="sdtContentLocked"/>
            <w:placeholder>
              <w:docPart w:val="GBC22222222222222222222222222222"/>
            </w:placeholder>
          </w:sdtPr>
          <w:sdtContent>
            <w:p w:rsidR="00ED2DC7" w:rsidRDefault="00ED2DC7" w:rsidP="002D578D">
              <w:pPr>
                <w:snapToGrid w:val="0"/>
                <w:spacing w:line="240" w:lineRule="atLeast"/>
                <w:rPr>
                  <w:rFonts w:ascii="Times New Roman" w:hAnsi="Times New Roman"/>
                </w:rPr>
              </w:pPr>
              <w:r>
                <w:fldChar w:fldCharType="begin"/>
              </w:r>
              <w:r w:rsidR="002D578D">
                <w:instrText xml:space="preserve"> MACROBUTTON  SnrToggleCheckbox □适用 </w:instrText>
              </w:r>
              <w:r>
                <w:fldChar w:fldCharType="end"/>
              </w:r>
              <w:r>
                <w:fldChar w:fldCharType="begin"/>
              </w:r>
              <w:r w:rsidR="002D578D">
                <w:instrText xml:space="preserve"> MACROBUTTON  SnrToggleCheckbox √不适用 </w:instrText>
              </w:r>
              <w:r>
                <w:fldChar w:fldCharType="end"/>
              </w:r>
            </w:p>
          </w:sdtContent>
        </w:sdt>
      </w:sdtContent>
    </w:sdt>
    <w:p w:rsidR="00ED2DC7" w:rsidRDefault="00ED2DC7">
      <w:pPr>
        <w:snapToGrid w:val="0"/>
        <w:spacing w:line="240" w:lineRule="atLeast"/>
        <w:ind w:leftChars="-50" w:left="-105"/>
        <w:rPr>
          <w:rFonts w:ascii="Times New Roman" w:hAnsi="Times New Roman"/>
        </w:rPr>
      </w:pPr>
    </w:p>
    <w:sdt>
      <w:sdtPr>
        <w:rPr>
          <w:rFonts w:ascii="Times New Roman" w:hAnsi="Times New Roman" w:hint="eastAsia"/>
          <w:b/>
          <w:bCs/>
        </w:rPr>
        <w:alias w:val="模块:应收账款其他说明"/>
        <w:tag w:val="_GBC_2f38c172c62a46cfa73776efdf952fad"/>
        <w:id w:val="40338066"/>
        <w:lock w:val="sdtLocked"/>
        <w:placeholder>
          <w:docPart w:val="GBC22222222222222222222222222222"/>
        </w:placeholder>
      </w:sdtPr>
      <w:sdtEndPr>
        <w:rPr>
          <w:rFonts w:hint="default"/>
          <w:b w:val="0"/>
          <w:bCs w:val="0"/>
        </w:rPr>
      </w:sdtEndPr>
      <w:sdtContent>
        <w:p w:rsidR="00ED2DC7" w:rsidRDefault="00ED2DC7">
          <w:pPr>
            <w:snapToGrid w:val="0"/>
            <w:spacing w:line="240" w:lineRule="atLeast"/>
          </w:pPr>
          <w:r>
            <w:rPr>
              <w:rFonts w:hint="eastAsia"/>
            </w:rPr>
            <w:t>其他</w:t>
          </w:r>
          <w:r>
            <w:t>说明：</w:t>
          </w:r>
        </w:p>
        <w:sdt>
          <w:sdtPr>
            <w:rPr>
              <w:rFonts w:hint="eastAsia"/>
            </w:rPr>
            <w:alias w:val="是否适用：应收账款其他说明[双击切换]"/>
            <w:tag w:val="_GBC_c06434ba43c5400a80d620a65b730fd9"/>
            <w:id w:val="-193844359"/>
            <w:lock w:val="sdtContentLocked"/>
            <w:placeholder>
              <w:docPart w:val="GBC22222222222222222222222222222"/>
            </w:placeholder>
          </w:sdtPr>
          <w:sdtContent>
            <w:p w:rsidR="00ED2DC7" w:rsidRDefault="00ED2DC7" w:rsidP="002D578D">
              <w:pPr>
                <w:snapToGrid w:val="0"/>
                <w:spacing w:line="240" w:lineRule="atLeast"/>
              </w:pPr>
              <w:r>
                <w:fldChar w:fldCharType="begin"/>
              </w:r>
              <w:r w:rsidR="002D578D">
                <w:instrText xml:space="preserve"> MACROBUTTON  SnrToggleCheckbox □适用 </w:instrText>
              </w:r>
              <w:r>
                <w:fldChar w:fldCharType="end"/>
              </w:r>
              <w:r>
                <w:fldChar w:fldCharType="begin"/>
              </w:r>
              <w:r w:rsidR="002D578D">
                <w:instrText xml:space="preserve"> MACROBUTTON  SnrToggleCheckbox √不适用 </w:instrText>
              </w:r>
              <w:r>
                <w:fldChar w:fldCharType="end"/>
              </w:r>
            </w:p>
          </w:sdtContent>
        </w:sdt>
      </w:sdtContent>
    </w:sdt>
    <w:p w:rsidR="00ED2DC7" w:rsidRDefault="00ED2DC7">
      <w:pPr>
        <w:rPr>
          <w:szCs w:val="21"/>
        </w:rPr>
      </w:pPr>
    </w:p>
    <w:sdt>
      <w:sdtPr>
        <w:rPr>
          <w:rFonts w:ascii="宋体" w:hAnsi="宋体" w:cs="宋体" w:hint="eastAsia"/>
          <w:b w:val="0"/>
          <w:bCs w:val="0"/>
          <w:kern w:val="0"/>
          <w:szCs w:val="21"/>
        </w:rPr>
        <w:alias w:val="模块:应收款项融资"/>
        <w:tag w:val="_SEC_99a20d0771254b5596c992bd0fe179a3"/>
        <w:id w:val="-1761900255"/>
        <w:lock w:val="sdtLocked"/>
        <w:placeholder>
          <w:docPart w:val="GBC22222222222222222222222222222"/>
        </w:placeholder>
      </w:sdtPr>
      <w:sdtContent>
        <w:p w:rsidR="00ED2DC7" w:rsidRDefault="00ED2DC7" w:rsidP="00036BDC">
          <w:pPr>
            <w:pStyle w:val="affffffffffffffffff1"/>
            <w:numPr>
              <w:ilvl w:val="0"/>
              <w:numId w:val="49"/>
            </w:numPr>
            <w:rPr>
              <w:szCs w:val="21"/>
            </w:rPr>
          </w:pPr>
          <w:r>
            <w:rPr>
              <w:rFonts w:hint="eastAsia"/>
              <w:szCs w:val="21"/>
            </w:rPr>
            <w:t>应收款项融资</w:t>
          </w:r>
        </w:p>
        <w:sdt>
          <w:sdtPr>
            <w:rPr>
              <w:szCs w:val="21"/>
            </w:rPr>
            <w:alias w:val="是否适用：应收款项融资[双击切换]"/>
            <w:tag w:val="_GBC_b66c8e5d6d6f4ccf9bd0ebfd1f5495e4"/>
            <w:id w:val="1913663894"/>
            <w:lock w:val="sdtContentLocked"/>
            <w:placeholder>
              <w:docPart w:val="GBC22222222222222222222222222222"/>
            </w:placeholder>
          </w:sdtPr>
          <w:sdtContent>
            <w:p w:rsidR="007D3CEA" w:rsidRDefault="00ED2DC7" w:rsidP="007D3CEA">
              <w:r>
                <w:rPr>
                  <w:szCs w:val="21"/>
                </w:rPr>
                <w:fldChar w:fldCharType="begin"/>
              </w:r>
              <w:r w:rsidR="007D3CEA">
                <w:rPr>
                  <w:szCs w:val="21"/>
                </w:rPr>
                <w:instrText xml:space="preserve"> MACROBUTTON  SnrToggleCheckbox □适用 </w:instrText>
              </w:r>
              <w:r>
                <w:rPr>
                  <w:szCs w:val="21"/>
                </w:rPr>
                <w:fldChar w:fldCharType="end"/>
              </w:r>
              <w:r>
                <w:rPr>
                  <w:szCs w:val="21"/>
                </w:rPr>
                <w:fldChar w:fldCharType="begin"/>
              </w:r>
              <w:r w:rsidR="007D3CEA">
                <w:rPr>
                  <w:szCs w:val="21"/>
                </w:rPr>
                <w:instrText xml:space="preserve"> MACROBUTTON  SnrToggleCheckbox √不适用 </w:instrText>
              </w:r>
              <w:r>
                <w:rPr>
                  <w:szCs w:val="21"/>
                </w:rPr>
                <w:fldChar w:fldCharType="end"/>
              </w:r>
            </w:p>
          </w:sdtContent>
        </w:sdt>
        <w:p w:rsidR="00ED2DC7" w:rsidRDefault="000D0A99">
          <w:pPr>
            <w:rPr>
              <w:szCs w:val="21"/>
            </w:rPr>
          </w:pPr>
        </w:p>
      </w:sdtContent>
    </w:sdt>
    <w:p w:rsidR="00ED2DC7" w:rsidRDefault="00ED2DC7">
      <w:pPr>
        <w:rPr>
          <w:szCs w:val="21"/>
        </w:rPr>
      </w:pPr>
    </w:p>
    <w:p w:rsidR="00ED2DC7" w:rsidRDefault="00ED2DC7" w:rsidP="00036BDC">
      <w:pPr>
        <w:pStyle w:val="affffffffffffffffff1"/>
        <w:numPr>
          <w:ilvl w:val="0"/>
          <w:numId w:val="49"/>
        </w:numPr>
      </w:pPr>
      <w:r>
        <w:rPr>
          <w:rFonts w:hint="eastAsia"/>
        </w:rPr>
        <w:t>预付款项</w:t>
      </w:r>
    </w:p>
    <w:sdt>
      <w:sdtPr>
        <w:rPr>
          <w:rFonts w:asciiTheme="minorHAnsi" w:hAnsiTheme="minorHAnsi" w:cs="宋体" w:hint="eastAsia"/>
          <w:b w:val="0"/>
          <w:bCs w:val="0"/>
          <w:kern w:val="0"/>
          <w:szCs w:val="22"/>
        </w:rPr>
        <w:alias w:val="模块:预付款项按账龄列示"/>
        <w:tag w:val="_GBC_4c02994d3bd04bacba6592630552e576"/>
        <w:id w:val="304056414"/>
        <w:lock w:val="sdtLocked"/>
        <w:placeholder>
          <w:docPart w:val="GBC22222222222222222222222222222"/>
        </w:placeholder>
      </w:sdtPr>
      <w:sdtEndPr>
        <w:rPr>
          <w:rFonts w:ascii="宋体" w:hAnsi="宋体" w:hint="default"/>
          <w:szCs w:val="24"/>
        </w:rPr>
      </w:sdtEndPr>
      <w:sdtContent>
        <w:p w:rsidR="00ED2DC7" w:rsidRDefault="00ED2DC7" w:rsidP="00036BDC">
          <w:pPr>
            <w:pStyle w:val="affffffffffffffffff2"/>
            <w:numPr>
              <w:ilvl w:val="0"/>
              <w:numId w:val="52"/>
            </w:numPr>
            <w:tabs>
              <w:tab w:val="left" w:pos="616"/>
            </w:tabs>
          </w:pPr>
          <w:r>
            <w:rPr>
              <w:rFonts w:hint="eastAsia"/>
            </w:rPr>
            <w:t>预付款项按账龄列示</w:t>
          </w:r>
        </w:p>
        <w:sdt>
          <w:sdtPr>
            <w:alias w:val="是否适用：预付款项按账龄列示[双击切换]"/>
            <w:tag w:val="_GBC_af3b3e24767e48f7a70a5cfa609407a2"/>
            <w:id w:val="145941472"/>
            <w:lock w:val="sdtContentLocked"/>
            <w:placeholder>
              <w:docPart w:val="GBC22222222222222222222222222222"/>
            </w:placeholder>
          </w:sdtPr>
          <w:sdtContent>
            <w:p w:rsidR="00ED2DC7" w:rsidRDefault="00ED2DC7">
              <w:r>
                <w:fldChar w:fldCharType="begin"/>
              </w:r>
              <w:r w:rsidR="00E75F7C">
                <w:instrText xml:space="preserve"> MACROBUTTON  SnrToggleCheckbox √适用 </w:instrText>
              </w:r>
              <w:r>
                <w:fldChar w:fldCharType="end"/>
              </w:r>
              <w:r>
                <w:fldChar w:fldCharType="begin"/>
              </w:r>
              <w:r w:rsidR="00E75F7C">
                <w:instrText xml:space="preserve"> MACROBUTTON  SnrToggleCheckbox □不适用 </w:instrText>
              </w:r>
              <w:r>
                <w:fldChar w:fldCharType="end"/>
              </w:r>
            </w:p>
          </w:sdtContent>
        </w:sdt>
        <w:p w:rsidR="00ED2DC7" w:rsidRDefault="00ED2DC7">
          <w:pPr>
            <w:jc w:val="right"/>
            <w:rPr>
              <w:b/>
              <w:szCs w:val="21"/>
            </w:rPr>
          </w:pPr>
          <w:r>
            <w:rPr>
              <w:rFonts w:hint="eastAsia"/>
              <w:szCs w:val="21"/>
            </w:rPr>
            <w:t>单位：</w:t>
          </w:r>
          <w:sdt>
            <w:sdtPr>
              <w:rPr>
                <w:rFonts w:hint="eastAsia"/>
                <w:szCs w:val="21"/>
              </w:rPr>
              <w:alias w:val="单位：财务附注：预付账款账龄"/>
              <w:tag w:val="_GBC_9eb28bbf7d374cdf965c7e133b610fb3"/>
              <w:id w:val="18442835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hint="eastAsia"/>
                  <w:szCs w:val="21"/>
                </w:rPr>
                <w:t>元</w:t>
              </w:r>
            </w:sdtContent>
          </w:sdt>
          <w:r>
            <w:rPr>
              <w:rFonts w:hint="eastAsia"/>
              <w:szCs w:val="21"/>
            </w:rPr>
            <w:t xml:space="preserve">  币种：</w:t>
          </w:r>
          <w:sdt>
            <w:sdtPr>
              <w:rPr>
                <w:rFonts w:hint="eastAsia"/>
                <w:szCs w:val="21"/>
              </w:rPr>
              <w:alias w:val="币种：财务附注：预付账款账龄"/>
              <w:tag w:val="_GBC_d491347f74764df5af3312ad7a0a92e5"/>
              <w:id w:val="-1913831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szCs w:val="21"/>
                </w:rPr>
                <w:t>人民币</w:t>
              </w:r>
            </w:sdtContent>
          </w:sdt>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349"/>
            <w:gridCol w:w="1876"/>
            <w:gridCol w:w="1862"/>
            <w:gridCol w:w="1860"/>
            <w:gridCol w:w="1876"/>
          </w:tblGrid>
          <w:tr w:rsidR="00BF7475" w:rsidTr="00BF7475">
            <w:trPr>
              <w:cantSplit/>
              <w:trHeight w:val="237"/>
            </w:trPr>
            <w:sdt>
              <w:sdtPr>
                <w:tag w:val="_PLD_159a64f22a4a4b1ab31846b4d6034c4c"/>
                <w:id w:val="955368216"/>
                <w:lock w:val="sdtLocked"/>
              </w:sdtPr>
              <w:sdtContent>
                <w:tc>
                  <w:tcPr>
                    <w:tcW w:w="764" w:type="pct"/>
                    <w:vMerge w:val="restart"/>
                    <w:vAlign w:val="center"/>
                  </w:tcPr>
                  <w:p w:rsidR="00BF7475" w:rsidRDefault="00BF7475" w:rsidP="00A16BE0">
                    <w:pPr>
                      <w:jc w:val="center"/>
                      <w:rPr>
                        <w:szCs w:val="21"/>
                      </w:rPr>
                    </w:pPr>
                    <w:r>
                      <w:rPr>
                        <w:rFonts w:hint="eastAsia"/>
                        <w:szCs w:val="21"/>
                      </w:rPr>
                      <w:t>账龄</w:t>
                    </w:r>
                  </w:p>
                </w:tc>
              </w:sdtContent>
            </w:sdt>
            <w:sdt>
              <w:sdtPr>
                <w:tag w:val="_PLD_6ca82cba92a649d08c6ceb86dd951ef3"/>
                <w:id w:val="-909374246"/>
                <w:lock w:val="sdtLocked"/>
              </w:sdtPr>
              <w:sdtContent>
                <w:tc>
                  <w:tcPr>
                    <w:tcW w:w="2118" w:type="pct"/>
                    <w:gridSpan w:val="2"/>
                    <w:vAlign w:val="center"/>
                  </w:tcPr>
                  <w:p w:rsidR="00BF7475" w:rsidRDefault="00BF7475" w:rsidP="00A16BE0">
                    <w:pPr>
                      <w:jc w:val="center"/>
                      <w:rPr>
                        <w:szCs w:val="21"/>
                      </w:rPr>
                    </w:pPr>
                    <w:r>
                      <w:rPr>
                        <w:rFonts w:hint="eastAsia"/>
                        <w:szCs w:val="21"/>
                      </w:rPr>
                      <w:t>期末余额</w:t>
                    </w:r>
                  </w:p>
                </w:tc>
              </w:sdtContent>
            </w:sdt>
            <w:sdt>
              <w:sdtPr>
                <w:tag w:val="_PLD_365dab2f8fd246d79543ed0d2e6dcab7"/>
                <w:id w:val="1636913505"/>
                <w:lock w:val="sdtLocked"/>
              </w:sdtPr>
              <w:sdtContent>
                <w:tc>
                  <w:tcPr>
                    <w:tcW w:w="2117" w:type="pct"/>
                    <w:gridSpan w:val="2"/>
                    <w:vAlign w:val="center"/>
                  </w:tcPr>
                  <w:p w:rsidR="00BF7475" w:rsidRDefault="00BF7475" w:rsidP="00A16BE0">
                    <w:pPr>
                      <w:jc w:val="center"/>
                      <w:rPr>
                        <w:szCs w:val="21"/>
                      </w:rPr>
                    </w:pPr>
                    <w:r>
                      <w:rPr>
                        <w:rFonts w:hint="eastAsia"/>
                        <w:szCs w:val="21"/>
                      </w:rPr>
                      <w:t>期初余额</w:t>
                    </w:r>
                  </w:p>
                </w:tc>
              </w:sdtContent>
            </w:sdt>
          </w:tr>
          <w:tr w:rsidR="00BF7475" w:rsidTr="00BF7475">
            <w:trPr>
              <w:cantSplit/>
            </w:trPr>
            <w:tc>
              <w:tcPr>
                <w:tcW w:w="764" w:type="pct"/>
                <w:vMerge/>
              </w:tcPr>
              <w:p w:rsidR="00BF7475" w:rsidRDefault="00BF7475" w:rsidP="00A16BE0">
                <w:pPr>
                  <w:rPr>
                    <w:szCs w:val="21"/>
                  </w:rPr>
                </w:pPr>
              </w:p>
            </w:tc>
            <w:sdt>
              <w:sdtPr>
                <w:tag w:val="_PLD_a9d7b721cfa446e9ae31149380da5970"/>
                <w:id w:val="1553116348"/>
                <w:lock w:val="sdtLocked"/>
              </w:sdtPr>
              <w:sdtContent>
                <w:tc>
                  <w:tcPr>
                    <w:tcW w:w="1063" w:type="pct"/>
                    <w:vAlign w:val="center"/>
                  </w:tcPr>
                  <w:p w:rsidR="00BF7475" w:rsidRDefault="00BF7475" w:rsidP="00A16BE0">
                    <w:pPr>
                      <w:jc w:val="center"/>
                      <w:rPr>
                        <w:szCs w:val="21"/>
                      </w:rPr>
                    </w:pPr>
                    <w:r>
                      <w:rPr>
                        <w:rFonts w:hint="eastAsia"/>
                        <w:szCs w:val="21"/>
                      </w:rPr>
                      <w:t>金额</w:t>
                    </w:r>
                  </w:p>
                </w:tc>
              </w:sdtContent>
            </w:sdt>
            <w:sdt>
              <w:sdtPr>
                <w:tag w:val="_PLD_2d8b8f523dcd4c95815b7c8fd528129d"/>
                <w:id w:val="395252341"/>
                <w:lock w:val="sdtLocked"/>
              </w:sdtPr>
              <w:sdtContent>
                <w:tc>
                  <w:tcPr>
                    <w:tcW w:w="1055" w:type="pct"/>
                    <w:vAlign w:val="center"/>
                  </w:tcPr>
                  <w:p w:rsidR="00BF7475" w:rsidRDefault="00BF7475" w:rsidP="00A16BE0">
                    <w:pPr>
                      <w:jc w:val="center"/>
                      <w:rPr>
                        <w:szCs w:val="21"/>
                      </w:rPr>
                    </w:pPr>
                    <w:r>
                      <w:rPr>
                        <w:rFonts w:hint="eastAsia"/>
                        <w:szCs w:val="21"/>
                      </w:rPr>
                      <w:t>比例</w:t>
                    </w:r>
                    <w:r>
                      <w:rPr>
                        <w:szCs w:val="21"/>
                      </w:rPr>
                      <w:t>(%)</w:t>
                    </w:r>
                  </w:p>
                </w:tc>
              </w:sdtContent>
            </w:sdt>
            <w:sdt>
              <w:sdtPr>
                <w:tag w:val="_PLD_f01816a56b3f4ec1a7d603d3ac318eb1"/>
                <w:id w:val="1451823885"/>
                <w:lock w:val="sdtLocked"/>
              </w:sdtPr>
              <w:sdtContent>
                <w:tc>
                  <w:tcPr>
                    <w:tcW w:w="1054" w:type="pct"/>
                    <w:vAlign w:val="center"/>
                  </w:tcPr>
                  <w:p w:rsidR="00BF7475" w:rsidRDefault="00BF7475" w:rsidP="00A16BE0">
                    <w:pPr>
                      <w:jc w:val="center"/>
                      <w:rPr>
                        <w:szCs w:val="21"/>
                      </w:rPr>
                    </w:pPr>
                    <w:r>
                      <w:rPr>
                        <w:rFonts w:hint="eastAsia"/>
                        <w:szCs w:val="21"/>
                      </w:rPr>
                      <w:t>金额</w:t>
                    </w:r>
                  </w:p>
                </w:tc>
              </w:sdtContent>
            </w:sdt>
            <w:sdt>
              <w:sdtPr>
                <w:tag w:val="_PLD_55adcab5f9be4d24b3d0faaf5403e89a"/>
                <w:id w:val="447979215"/>
                <w:lock w:val="sdtLocked"/>
              </w:sdtPr>
              <w:sdtContent>
                <w:tc>
                  <w:tcPr>
                    <w:tcW w:w="1063" w:type="pct"/>
                    <w:vAlign w:val="center"/>
                  </w:tcPr>
                  <w:p w:rsidR="00BF7475" w:rsidRDefault="00BF7475" w:rsidP="00A16BE0">
                    <w:pPr>
                      <w:jc w:val="center"/>
                      <w:rPr>
                        <w:szCs w:val="21"/>
                      </w:rPr>
                    </w:pPr>
                    <w:r>
                      <w:rPr>
                        <w:rFonts w:hint="eastAsia"/>
                        <w:szCs w:val="21"/>
                      </w:rPr>
                      <w:t>比例</w:t>
                    </w:r>
                    <w:r>
                      <w:rPr>
                        <w:szCs w:val="21"/>
                      </w:rPr>
                      <w:t>(%)</w:t>
                    </w:r>
                  </w:p>
                </w:tc>
              </w:sdtContent>
            </w:sdt>
          </w:tr>
          <w:tr w:rsidR="00BB48EB" w:rsidTr="00B637B2">
            <w:trPr>
              <w:cantSplit/>
            </w:trPr>
            <w:sdt>
              <w:sdtPr>
                <w:tag w:val="_PLD_26543d5743964e32ae30d0d46bd6131c"/>
                <w:id w:val="-977763332"/>
                <w:lock w:val="sdtLocked"/>
              </w:sdtPr>
              <w:sdtContent>
                <w:tc>
                  <w:tcPr>
                    <w:tcW w:w="764" w:type="pct"/>
                  </w:tcPr>
                  <w:p w:rsidR="00BB48EB" w:rsidRDefault="00BB48EB" w:rsidP="00BB48EB">
                    <w:pPr>
                      <w:rPr>
                        <w:szCs w:val="21"/>
                      </w:rPr>
                    </w:pPr>
                    <w:r>
                      <w:rPr>
                        <w:rFonts w:hint="eastAsia"/>
                        <w:szCs w:val="21"/>
                      </w:rPr>
                      <w:t>1年以内</w:t>
                    </w:r>
                  </w:p>
                </w:tc>
              </w:sdtContent>
            </w:sdt>
            <w:tc>
              <w:tcPr>
                <w:tcW w:w="1063" w:type="pct"/>
                <w:vAlign w:val="center"/>
              </w:tcPr>
              <w:p w:rsidR="00BB48EB" w:rsidRDefault="00BB48EB" w:rsidP="00B637B2">
                <w:pPr>
                  <w:jc w:val="right"/>
                  <w:rPr>
                    <w:szCs w:val="21"/>
                  </w:rPr>
                </w:pPr>
                <w:r>
                  <w:t>38,618,567</w:t>
                </w:r>
              </w:p>
            </w:tc>
            <w:tc>
              <w:tcPr>
                <w:tcW w:w="1055" w:type="pct"/>
                <w:vAlign w:val="center"/>
              </w:tcPr>
              <w:p w:rsidR="00BB48EB" w:rsidRDefault="00BB48EB" w:rsidP="00B637B2">
                <w:pPr>
                  <w:jc w:val="right"/>
                  <w:rPr>
                    <w:szCs w:val="21"/>
                  </w:rPr>
                </w:pPr>
                <w:r>
                  <w:t>52</w:t>
                </w:r>
              </w:p>
            </w:tc>
            <w:tc>
              <w:tcPr>
                <w:tcW w:w="1054" w:type="pct"/>
                <w:vAlign w:val="center"/>
              </w:tcPr>
              <w:p w:rsidR="00BB48EB" w:rsidRPr="00D66E8E" w:rsidRDefault="00BB48EB" w:rsidP="00B637B2">
                <w:pPr>
                  <w:jc w:val="right"/>
                </w:pPr>
                <w:r w:rsidRPr="00D66E8E">
                  <w:t>39,620,204</w:t>
                </w:r>
              </w:p>
            </w:tc>
            <w:tc>
              <w:tcPr>
                <w:tcW w:w="1063" w:type="pct"/>
                <w:vAlign w:val="center"/>
              </w:tcPr>
              <w:p w:rsidR="00BB48EB" w:rsidRPr="00C465D8" w:rsidRDefault="00BB48EB" w:rsidP="00B637B2">
                <w:pPr>
                  <w:jc w:val="right"/>
                </w:pPr>
                <w:r w:rsidRPr="00C465D8">
                  <w:t>60</w:t>
                </w:r>
              </w:p>
            </w:tc>
          </w:tr>
          <w:tr w:rsidR="00BB48EB" w:rsidTr="00B637B2">
            <w:trPr>
              <w:cantSplit/>
            </w:trPr>
            <w:sdt>
              <w:sdtPr>
                <w:tag w:val="_PLD_fa162d7579db4acd997484df51e51de6"/>
                <w:id w:val="-1301844472"/>
                <w:lock w:val="sdtLocked"/>
              </w:sdtPr>
              <w:sdtContent>
                <w:tc>
                  <w:tcPr>
                    <w:tcW w:w="764" w:type="pct"/>
                  </w:tcPr>
                  <w:p w:rsidR="00BB48EB" w:rsidRDefault="00BB48EB" w:rsidP="00BB48EB">
                    <w:pPr>
                      <w:rPr>
                        <w:szCs w:val="21"/>
                      </w:rPr>
                    </w:pPr>
                    <w:r>
                      <w:rPr>
                        <w:rFonts w:hint="eastAsia"/>
                        <w:szCs w:val="21"/>
                      </w:rPr>
                      <w:t>1至2年</w:t>
                    </w:r>
                  </w:p>
                </w:tc>
              </w:sdtContent>
            </w:sdt>
            <w:tc>
              <w:tcPr>
                <w:tcW w:w="1063" w:type="pct"/>
                <w:vAlign w:val="center"/>
              </w:tcPr>
              <w:p w:rsidR="00BB48EB" w:rsidRDefault="00BB48EB" w:rsidP="00B637B2">
                <w:pPr>
                  <w:jc w:val="right"/>
                  <w:rPr>
                    <w:szCs w:val="21"/>
                  </w:rPr>
                </w:pPr>
                <w:r>
                  <w:t>27,864,516</w:t>
                </w:r>
              </w:p>
            </w:tc>
            <w:tc>
              <w:tcPr>
                <w:tcW w:w="1055" w:type="pct"/>
                <w:vAlign w:val="center"/>
              </w:tcPr>
              <w:p w:rsidR="00BB48EB" w:rsidRDefault="00BB48EB" w:rsidP="00B637B2">
                <w:pPr>
                  <w:jc w:val="right"/>
                  <w:rPr>
                    <w:szCs w:val="21"/>
                  </w:rPr>
                </w:pPr>
                <w:r>
                  <w:t>37</w:t>
                </w:r>
              </w:p>
            </w:tc>
            <w:tc>
              <w:tcPr>
                <w:tcW w:w="1054" w:type="pct"/>
                <w:vAlign w:val="center"/>
              </w:tcPr>
              <w:p w:rsidR="00BB48EB" w:rsidRPr="00D66E8E" w:rsidRDefault="00BB48EB" w:rsidP="00B637B2">
                <w:pPr>
                  <w:jc w:val="right"/>
                </w:pPr>
                <w:r w:rsidRPr="00D66E8E">
                  <w:t>19,800,884</w:t>
                </w:r>
              </w:p>
            </w:tc>
            <w:tc>
              <w:tcPr>
                <w:tcW w:w="1063" w:type="pct"/>
                <w:vAlign w:val="center"/>
              </w:tcPr>
              <w:p w:rsidR="00BB48EB" w:rsidRPr="00C465D8" w:rsidRDefault="00BB48EB" w:rsidP="00B637B2">
                <w:pPr>
                  <w:jc w:val="right"/>
                </w:pPr>
                <w:r w:rsidRPr="00C465D8">
                  <w:t>30</w:t>
                </w:r>
              </w:p>
            </w:tc>
          </w:tr>
          <w:tr w:rsidR="00BB48EB" w:rsidTr="00B637B2">
            <w:trPr>
              <w:cantSplit/>
            </w:trPr>
            <w:sdt>
              <w:sdtPr>
                <w:tag w:val="_PLD_43897a3965694d6691fcba6be58bfd88"/>
                <w:id w:val="-2039808422"/>
                <w:lock w:val="sdtLocked"/>
              </w:sdtPr>
              <w:sdtContent>
                <w:tc>
                  <w:tcPr>
                    <w:tcW w:w="764" w:type="pct"/>
                  </w:tcPr>
                  <w:p w:rsidR="00BB48EB" w:rsidRDefault="00BB48EB" w:rsidP="00BB48EB">
                    <w:pPr>
                      <w:rPr>
                        <w:szCs w:val="21"/>
                      </w:rPr>
                    </w:pPr>
                    <w:r>
                      <w:rPr>
                        <w:rFonts w:hint="eastAsia"/>
                        <w:szCs w:val="21"/>
                      </w:rPr>
                      <w:t>2至3年</w:t>
                    </w:r>
                  </w:p>
                </w:tc>
              </w:sdtContent>
            </w:sdt>
            <w:tc>
              <w:tcPr>
                <w:tcW w:w="1063" w:type="pct"/>
                <w:vAlign w:val="center"/>
              </w:tcPr>
              <w:p w:rsidR="00BB48EB" w:rsidRDefault="00BB48EB" w:rsidP="00B637B2">
                <w:pPr>
                  <w:jc w:val="right"/>
                  <w:rPr>
                    <w:szCs w:val="21"/>
                  </w:rPr>
                </w:pPr>
                <w:r>
                  <w:t>3,383,343</w:t>
                </w:r>
              </w:p>
            </w:tc>
            <w:tc>
              <w:tcPr>
                <w:tcW w:w="1055" w:type="pct"/>
                <w:vAlign w:val="center"/>
              </w:tcPr>
              <w:p w:rsidR="00BB48EB" w:rsidRDefault="00BB48EB" w:rsidP="00B637B2">
                <w:pPr>
                  <w:jc w:val="right"/>
                  <w:rPr>
                    <w:szCs w:val="21"/>
                  </w:rPr>
                </w:pPr>
                <w:r>
                  <w:t>4</w:t>
                </w:r>
              </w:p>
            </w:tc>
            <w:tc>
              <w:tcPr>
                <w:tcW w:w="1054" w:type="pct"/>
                <w:vAlign w:val="center"/>
              </w:tcPr>
              <w:p w:rsidR="00BB48EB" w:rsidRPr="00D66E8E" w:rsidRDefault="00BB48EB" w:rsidP="00B637B2">
                <w:pPr>
                  <w:jc w:val="right"/>
                </w:pPr>
                <w:r w:rsidRPr="00D66E8E">
                  <w:t>430,343</w:t>
                </w:r>
              </w:p>
            </w:tc>
            <w:tc>
              <w:tcPr>
                <w:tcW w:w="1063" w:type="pct"/>
                <w:vAlign w:val="center"/>
              </w:tcPr>
              <w:p w:rsidR="00BB48EB" w:rsidRPr="00C465D8" w:rsidRDefault="00BB48EB" w:rsidP="00B637B2">
                <w:pPr>
                  <w:jc w:val="right"/>
                </w:pPr>
                <w:r w:rsidRPr="00C465D8">
                  <w:t>1</w:t>
                </w:r>
              </w:p>
            </w:tc>
          </w:tr>
          <w:tr w:rsidR="00BB48EB" w:rsidTr="00B637B2">
            <w:trPr>
              <w:cantSplit/>
            </w:trPr>
            <w:sdt>
              <w:sdtPr>
                <w:tag w:val="_PLD_bb596048f7e846139c705c6214cec5e4"/>
                <w:id w:val="1087116051"/>
                <w:lock w:val="sdtLocked"/>
              </w:sdtPr>
              <w:sdtContent>
                <w:tc>
                  <w:tcPr>
                    <w:tcW w:w="764" w:type="pct"/>
                  </w:tcPr>
                  <w:p w:rsidR="00BB48EB" w:rsidRDefault="00BB48EB" w:rsidP="00BB48EB">
                    <w:pPr>
                      <w:rPr>
                        <w:szCs w:val="21"/>
                      </w:rPr>
                    </w:pPr>
                    <w:r>
                      <w:rPr>
                        <w:rFonts w:hint="eastAsia"/>
                        <w:szCs w:val="21"/>
                      </w:rPr>
                      <w:t>3年以上</w:t>
                    </w:r>
                  </w:p>
                </w:tc>
              </w:sdtContent>
            </w:sdt>
            <w:tc>
              <w:tcPr>
                <w:tcW w:w="1063" w:type="pct"/>
                <w:vAlign w:val="center"/>
              </w:tcPr>
              <w:p w:rsidR="00BB48EB" w:rsidRDefault="00BB48EB" w:rsidP="00B637B2">
                <w:pPr>
                  <w:jc w:val="right"/>
                  <w:rPr>
                    <w:szCs w:val="21"/>
                  </w:rPr>
                </w:pPr>
                <w:r>
                  <w:t>5,548,177</w:t>
                </w:r>
              </w:p>
            </w:tc>
            <w:tc>
              <w:tcPr>
                <w:tcW w:w="1055" w:type="pct"/>
                <w:vAlign w:val="center"/>
              </w:tcPr>
              <w:p w:rsidR="00BB48EB" w:rsidRDefault="00BB48EB" w:rsidP="00B637B2">
                <w:pPr>
                  <w:jc w:val="right"/>
                  <w:rPr>
                    <w:szCs w:val="21"/>
                  </w:rPr>
                </w:pPr>
                <w:r>
                  <w:t>7</w:t>
                </w:r>
              </w:p>
            </w:tc>
            <w:tc>
              <w:tcPr>
                <w:tcW w:w="1054" w:type="pct"/>
                <w:vAlign w:val="center"/>
              </w:tcPr>
              <w:p w:rsidR="00BB48EB" w:rsidRDefault="00BB48EB" w:rsidP="00B637B2">
                <w:pPr>
                  <w:jc w:val="right"/>
                </w:pPr>
                <w:r w:rsidRPr="00D66E8E">
                  <w:t>5,792,289</w:t>
                </w:r>
              </w:p>
            </w:tc>
            <w:tc>
              <w:tcPr>
                <w:tcW w:w="1063" w:type="pct"/>
                <w:vAlign w:val="center"/>
              </w:tcPr>
              <w:p w:rsidR="00BB48EB" w:rsidRPr="00C465D8" w:rsidRDefault="00BB48EB" w:rsidP="00B637B2">
                <w:pPr>
                  <w:jc w:val="right"/>
                </w:pPr>
                <w:r w:rsidRPr="00C465D8">
                  <w:t>9</w:t>
                </w:r>
              </w:p>
            </w:tc>
          </w:tr>
          <w:tr w:rsidR="00BF7475" w:rsidTr="00BF7475">
            <w:trPr>
              <w:cantSplit/>
            </w:trPr>
            <w:sdt>
              <w:sdtPr>
                <w:tag w:val="_PLD_773a38e1adc44faa97354ca876a6da1b"/>
                <w:id w:val="277606210"/>
                <w:lock w:val="sdtLocked"/>
              </w:sdtPr>
              <w:sdtContent>
                <w:tc>
                  <w:tcPr>
                    <w:tcW w:w="764" w:type="pct"/>
                  </w:tcPr>
                  <w:p w:rsidR="00BF7475" w:rsidRDefault="00BF7475" w:rsidP="00A16BE0">
                    <w:pPr>
                      <w:jc w:val="center"/>
                      <w:rPr>
                        <w:szCs w:val="21"/>
                      </w:rPr>
                    </w:pPr>
                    <w:r>
                      <w:rPr>
                        <w:rFonts w:hint="eastAsia"/>
                        <w:szCs w:val="21"/>
                      </w:rPr>
                      <w:t>合计</w:t>
                    </w:r>
                  </w:p>
                </w:tc>
              </w:sdtContent>
            </w:sdt>
            <w:tc>
              <w:tcPr>
                <w:tcW w:w="1063" w:type="pct"/>
              </w:tcPr>
              <w:p w:rsidR="00BF7475" w:rsidRDefault="008F04CF" w:rsidP="00A16BE0">
                <w:pPr>
                  <w:jc w:val="right"/>
                  <w:rPr>
                    <w:szCs w:val="21"/>
                  </w:rPr>
                </w:pPr>
                <w:r w:rsidRPr="00662DAD">
                  <w:rPr>
                    <w:szCs w:val="21"/>
                  </w:rPr>
                  <w:t>75,414,603</w:t>
                </w:r>
              </w:p>
            </w:tc>
            <w:tc>
              <w:tcPr>
                <w:tcW w:w="1055" w:type="pct"/>
              </w:tcPr>
              <w:p w:rsidR="00BF7475" w:rsidRDefault="008F04CF" w:rsidP="00A16BE0">
                <w:pPr>
                  <w:jc w:val="right"/>
                  <w:rPr>
                    <w:szCs w:val="21"/>
                  </w:rPr>
                </w:pPr>
                <w:r>
                  <w:rPr>
                    <w:rFonts w:hint="eastAsia"/>
                    <w:szCs w:val="21"/>
                  </w:rPr>
                  <w:t>100</w:t>
                </w:r>
              </w:p>
            </w:tc>
            <w:tc>
              <w:tcPr>
                <w:tcW w:w="1054" w:type="pct"/>
              </w:tcPr>
              <w:p w:rsidR="00BF7475" w:rsidRDefault="008F04CF" w:rsidP="00A16BE0">
                <w:pPr>
                  <w:jc w:val="right"/>
                  <w:rPr>
                    <w:szCs w:val="21"/>
                  </w:rPr>
                </w:pPr>
                <w:r w:rsidRPr="00662DAD">
                  <w:rPr>
                    <w:szCs w:val="21"/>
                  </w:rPr>
                  <w:t>65,643,720</w:t>
                </w:r>
              </w:p>
            </w:tc>
            <w:tc>
              <w:tcPr>
                <w:tcW w:w="1063" w:type="pct"/>
              </w:tcPr>
              <w:p w:rsidR="00BF7475" w:rsidRDefault="008F04CF" w:rsidP="00A16BE0">
                <w:pPr>
                  <w:jc w:val="right"/>
                  <w:rPr>
                    <w:szCs w:val="21"/>
                  </w:rPr>
                </w:pPr>
                <w:r>
                  <w:rPr>
                    <w:rFonts w:hint="eastAsia"/>
                    <w:szCs w:val="21"/>
                  </w:rPr>
                  <w:t>100</w:t>
                </w:r>
              </w:p>
            </w:tc>
          </w:tr>
        </w:tbl>
        <w:p w:rsidR="00BF7475" w:rsidRDefault="00BF7475"/>
        <w:p w:rsidR="00ED2DC7" w:rsidRDefault="00ED2DC7">
          <w:pPr>
            <w:rPr>
              <w:szCs w:val="21"/>
            </w:rPr>
          </w:pPr>
          <w:r w:rsidRPr="00662DAD">
            <w:rPr>
              <w:rFonts w:hint="eastAsia"/>
              <w:szCs w:val="21"/>
            </w:rPr>
            <w:t>账龄超过1年且金额重要的预付款项未及时结算原因</w:t>
          </w:r>
          <w:r w:rsidRPr="00662DAD">
            <w:rPr>
              <w:szCs w:val="21"/>
            </w:rPr>
            <w:t>的说明：</w:t>
          </w:r>
        </w:p>
        <w:sdt>
          <w:sdtPr>
            <w:rPr>
              <w:szCs w:val="21"/>
            </w:rPr>
            <w:alias w:val="账龄超过1年且金额重要的预付款项未及时结算原因的说明"/>
            <w:tag w:val="_GBC_174a9654172e49e09cdbf18d854fdd51"/>
            <w:id w:val="734124253"/>
            <w:lock w:val="sdtLocked"/>
            <w:placeholder>
              <w:docPart w:val="GBC22222222222222222222222222222"/>
            </w:placeholder>
          </w:sdtPr>
          <w:sdtContent>
            <w:p w:rsidR="00ED2DC7" w:rsidRDefault="008F04CF">
              <w:pPr>
                <w:snapToGrid w:val="0"/>
                <w:spacing w:line="240" w:lineRule="atLeast"/>
                <w:rPr>
                  <w:szCs w:val="21"/>
                </w:rPr>
              </w:pPr>
              <w:r>
                <w:rPr>
                  <w:rFonts w:hint="eastAsia"/>
                  <w:szCs w:val="21"/>
                </w:rPr>
                <w:t>不适用</w:t>
              </w:r>
            </w:p>
          </w:sdtContent>
        </w:sdt>
      </w:sdtContent>
    </w:sdt>
    <w:p w:rsidR="00ED2DC7" w:rsidRDefault="00ED2DC7">
      <w:pPr>
        <w:rPr>
          <w:szCs w:val="21"/>
        </w:rPr>
      </w:pPr>
    </w:p>
    <w:sdt>
      <w:sdtPr>
        <w:rPr>
          <w:rFonts w:ascii="宋体" w:hAnsi="宋体" w:cs="宋体" w:hint="eastAsia"/>
          <w:b w:val="0"/>
          <w:bCs w:val="0"/>
          <w:kern w:val="0"/>
          <w:szCs w:val="24"/>
        </w:rPr>
        <w:alias w:val="模块:预付款项金额前五名单位情况"/>
        <w:tag w:val="_GBC_2c5fba8651a04a6d88c0c9fc33310c57"/>
        <w:id w:val="-997264671"/>
        <w:lock w:val="sdtLocked"/>
        <w:placeholder>
          <w:docPart w:val="GBC22222222222222222222222222222"/>
        </w:placeholder>
      </w:sdtPr>
      <w:sdtEndPr>
        <w:rPr>
          <w:rFonts w:ascii="Times New Roman" w:hAnsi="Times New Roman"/>
        </w:rPr>
      </w:sdtEndPr>
      <w:sdtContent>
        <w:p w:rsidR="00ED2DC7" w:rsidRDefault="00ED2DC7" w:rsidP="00036BDC">
          <w:pPr>
            <w:pStyle w:val="affffffffffffffffff2"/>
            <w:numPr>
              <w:ilvl w:val="0"/>
              <w:numId w:val="52"/>
            </w:numPr>
            <w:tabs>
              <w:tab w:val="left" w:pos="616"/>
            </w:tabs>
            <w:snapToGrid w:val="0"/>
            <w:spacing w:line="240" w:lineRule="atLeast"/>
            <w:jc w:val="left"/>
            <w:rPr>
              <w:szCs w:val="21"/>
            </w:rPr>
          </w:pPr>
          <w:r>
            <w:rPr>
              <w:rFonts w:hint="eastAsia"/>
            </w:rPr>
            <w:t>按预付对象归集的期末余额前五名的预付款情况</w:t>
          </w:r>
        </w:p>
        <w:sdt>
          <w:sdtPr>
            <w:rPr>
              <w:rFonts w:hint="eastAsia"/>
              <w:szCs w:val="21"/>
            </w:rPr>
            <w:alias w:val="是否适用：按预付对象归集的期末余额前五名的预付款情况[双击切换]"/>
            <w:tag w:val="_GBC_a1864f04af6d49bdb434d74a7f29f8c3"/>
            <w:id w:val="-348265537"/>
            <w:lock w:val="sdtContentLocked"/>
            <w:placeholder>
              <w:docPart w:val="GBC22222222222222222222222222222"/>
            </w:placeholder>
          </w:sdtPr>
          <w:sdtContent>
            <w:p w:rsidR="00ED2DC7" w:rsidRDefault="00ED2DC7">
              <w:pPr>
                <w:snapToGrid w:val="0"/>
                <w:spacing w:line="240" w:lineRule="atLeast"/>
                <w:rPr>
                  <w:szCs w:val="21"/>
                </w:rPr>
              </w:pPr>
              <w:r>
                <w:rPr>
                  <w:szCs w:val="21"/>
                </w:rPr>
                <w:fldChar w:fldCharType="begin"/>
              </w:r>
              <w:r w:rsidR="00E75F7C">
                <w:rPr>
                  <w:szCs w:val="21"/>
                </w:rPr>
                <w:instrText xml:space="preserve"> MACROBUTTON  SnrToggleCheckbox √适用 </w:instrText>
              </w:r>
              <w:r>
                <w:rPr>
                  <w:szCs w:val="21"/>
                </w:rPr>
                <w:fldChar w:fldCharType="end"/>
              </w:r>
              <w:r>
                <w:rPr>
                  <w:szCs w:val="21"/>
                </w:rPr>
                <w:fldChar w:fldCharType="begin"/>
              </w:r>
              <w:r w:rsidR="00E75F7C">
                <w:rPr>
                  <w:szCs w:val="21"/>
                </w:rPr>
                <w:instrText xml:space="preserve"> MACROBUTTON  SnrToggleCheckbox □不适用 </w:instrText>
              </w:r>
              <w:r>
                <w:rPr>
                  <w:szCs w:val="21"/>
                </w:rPr>
                <w:fldChar w:fldCharType="end"/>
              </w:r>
            </w:p>
          </w:sdtContent>
        </w:sdt>
        <w:sdt>
          <w:sdtPr>
            <w:rPr>
              <w:szCs w:val="21"/>
            </w:rPr>
            <w:alias w:val="按预付对象归集的期末余额前五名的预付款情况的说明"/>
            <w:tag w:val="_GBC_e2f1aa285f174786838e4fcd54656fec"/>
            <w:id w:val="-1899512371"/>
            <w:lock w:val="sdtLocked"/>
            <w:placeholder>
              <w:docPart w:val="GBC22222222222222222222222222222"/>
            </w:placeholder>
          </w:sdtPr>
          <w:sdtContent>
            <w:p w:rsidR="00BB48EB" w:rsidRPr="00662DAD" w:rsidRDefault="00BB48EB" w:rsidP="00BB48EB">
              <w:pPr>
                <w:overflowPunct w:val="0"/>
                <w:autoSpaceDE w:val="0"/>
                <w:autoSpaceDN w:val="0"/>
                <w:adjustRightInd w:val="0"/>
                <w:snapToGrid w:val="0"/>
                <w:jc w:val="both"/>
                <w:textAlignment w:val="bottom"/>
                <w:rPr>
                  <w:rFonts w:cs="Arial"/>
                  <w:snapToGrid w:val="0"/>
                  <w:szCs w:val="21"/>
                </w:rPr>
              </w:pPr>
              <w:r w:rsidRPr="00662DAD">
                <w:rPr>
                  <w:rFonts w:cs="Arial" w:hint="eastAsia"/>
                  <w:snapToGrid w:val="0"/>
                  <w:szCs w:val="21"/>
                </w:rPr>
                <w:t>于</w:t>
              </w:r>
              <w:r w:rsidRPr="00662DAD">
                <w:rPr>
                  <w:rFonts w:cs="Arial"/>
                  <w:snapToGrid w:val="0"/>
                  <w:szCs w:val="21"/>
                </w:rPr>
                <w:t>2019</w:t>
              </w:r>
              <w:r w:rsidRPr="00662DAD">
                <w:rPr>
                  <w:rFonts w:cs="Arial" w:hint="eastAsia"/>
                  <w:snapToGrid w:val="0"/>
                  <w:szCs w:val="21"/>
                </w:rPr>
                <w:t>年</w:t>
              </w:r>
              <w:r w:rsidRPr="00662DAD">
                <w:rPr>
                  <w:rFonts w:cs="Arial"/>
                  <w:snapToGrid w:val="0"/>
                  <w:szCs w:val="21"/>
                </w:rPr>
                <w:t>6</w:t>
              </w:r>
              <w:r w:rsidRPr="00662DAD">
                <w:rPr>
                  <w:rFonts w:cs="Arial" w:hint="eastAsia"/>
                  <w:snapToGrid w:val="0"/>
                  <w:szCs w:val="21"/>
                </w:rPr>
                <w:t>月</w:t>
              </w:r>
              <w:r w:rsidRPr="00662DAD">
                <w:rPr>
                  <w:rFonts w:cs="Arial"/>
                  <w:snapToGrid w:val="0"/>
                  <w:szCs w:val="21"/>
                </w:rPr>
                <w:t>30</w:t>
              </w:r>
              <w:r w:rsidRPr="00662DAD">
                <w:rPr>
                  <w:rFonts w:cs="Arial" w:hint="eastAsia"/>
                  <w:snapToGrid w:val="0"/>
                  <w:szCs w:val="21"/>
                </w:rPr>
                <w:t>日，预付账款金额前五名如下：</w:t>
              </w:r>
            </w:p>
            <w:p w:rsidR="00BB48EB" w:rsidRPr="00662DAD" w:rsidRDefault="00BB48EB" w:rsidP="00BB48EB">
              <w:pPr>
                <w:overflowPunct w:val="0"/>
                <w:autoSpaceDE w:val="0"/>
                <w:autoSpaceDN w:val="0"/>
                <w:adjustRightInd w:val="0"/>
                <w:snapToGrid w:val="0"/>
                <w:jc w:val="both"/>
                <w:textAlignment w:val="bottom"/>
                <w:rPr>
                  <w:rFonts w:cs="Arial"/>
                  <w:i/>
                  <w:snapToGrid w:val="0"/>
                  <w:szCs w:val="21"/>
                </w:rPr>
              </w:pPr>
            </w:p>
            <w:tbl>
              <w:tblPr>
                <w:tblStyle w:val="g35"/>
                <w:tblW w:w="8325" w:type="dxa"/>
                <w:tblLayout w:type="fixed"/>
                <w:tblLook w:val="04A0" w:firstRow="1" w:lastRow="0" w:firstColumn="1" w:lastColumn="0" w:noHBand="0" w:noVBand="1"/>
              </w:tblPr>
              <w:tblGrid>
                <w:gridCol w:w="1707"/>
                <w:gridCol w:w="1791"/>
                <w:gridCol w:w="2378"/>
                <w:gridCol w:w="2449"/>
              </w:tblGrid>
              <w:tr w:rsidR="00BB48EB" w:rsidRPr="00662DAD" w:rsidTr="00BB48EB">
                <w:trPr>
                  <w:trHeight w:val="252"/>
                </w:trPr>
                <w:tc>
                  <w:tcPr>
                    <w:tcW w:w="3500" w:type="dxa"/>
                    <w:gridSpan w:val="2"/>
                    <w:vAlign w:val="bottom"/>
                  </w:tcPr>
                  <w:p w:rsidR="00BB48EB" w:rsidRPr="00662DAD" w:rsidRDefault="00BB48EB">
                    <w:pPr>
                      <w:spacing w:line="240" w:lineRule="exact"/>
                      <w:ind w:left="-88" w:right="-80"/>
                      <w:jc w:val="right"/>
                      <w:rPr>
                        <w:rFonts w:cs="Arial"/>
                        <w:snapToGrid w:val="0"/>
                        <w:szCs w:val="21"/>
                      </w:rPr>
                    </w:pPr>
                  </w:p>
                </w:tc>
                <w:tc>
                  <w:tcPr>
                    <w:tcW w:w="2379" w:type="dxa"/>
                    <w:vAlign w:val="bottom"/>
                    <w:hideMark/>
                  </w:tcPr>
                  <w:p w:rsidR="00BB48EB" w:rsidRPr="00662DAD" w:rsidRDefault="00BB48EB">
                    <w:pPr>
                      <w:spacing w:line="240" w:lineRule="exact"/>
                      <w:ind w:left="-88" w:right="-80"/>
                      <w:jc w:val="right"/>
                      <w:rPr>
                        <w:rFonts w:cs="Arial"/>
                        <w:snapToGrid w:val="0"/>
                        <w:szCs w:val="21"/>
                      </w:rPr>
                    </w:pPr>
                    <w:r w:rsidRPr="00662DAD">
                      <w:rPr>
                        <w:rFonts w:cs="Arial" w:hint="eastAsia"/>
                        <w:snapToGrid w:val="0"/>
                        <w:szCs w:val="21"/>
                      </w:rPr>
                      <w:t>预付账款年末余额</w:t>
                    </w:r>
                  </w:p>
                </w:tc>
                <w:tc>
                  <w:tcPr>
                    <w:tcW w:w="2450" w:type="dxa"/>
                    <w:vAlign w:val="bottom"/>
                    <w:hideMark/>
                  </w:tcPr>
                  <w:p w:rsidR="00BB48EB" w:rsidRPr="00662DAD" w:rsidRDefault="00BB48EB">
                    <w:pPr>
                      <w:spacing w:line="240" w:lineRule="exact"/>
                      <w:ind w:left="-88" w:right="-80"/>
                      <w:jc w:val="right"/>
                      <w:rPr>
                        <w:rFonts w:cs="Arial"/>
                        <w:snapToGrid w:val="0"/>
                        <w:szCs w:val="21"/>
                      </w:rPr>
                    </w:pPr>
                    <w:r w:rsidRPr="00662DAD">
                      <w:rPr>
                        <w:rFonts w:cs="Arial" w:hint="eastAsia"/>
                        <w:snapToGrid w:val="0"/>
                        <w:szCs w:val="21"/>
                      </w:rPr>
                      <w:t>预付账款年末余额</w:t>
                    </w:r>
                  </w:p>
                </w:tc>
              </w:tr>
              <w:tr w:rsidR="00BB48EB" w:rsidRPr="00662DAD" w:rsidTr="00BB48EB">
                <w:trPr>
                  <w:trHeight w:val="252"/>
                </w:trPr>
                <w:tc>
                  <w:tcPr>
                    <w:tcW w:w="1708" w:type="dxa"/>
                    <w:vAlign w:val="bottom"/>
                  </w:tcPr>
                  <w:p w:rsidR="00BB48EB" w:rsidRPr="00662DAD" w:rsidRDefault="00BB48EB">
                    <w:pPr>
                      <w:spacing w:line="240" w:lineRule="exact"/>
                      <w:ind w:left="-88" w:right="-80"/>
                      <w:rPr>
                        <w:rFonts w:cs="Arial"/>
                        <w:snapToGrid w:val="0"/>
                        <w:szCs w:val="21"/>
                      </w:rPr>
                    </w:pPr>
                  </w:p>
                </w:tc>
                <w:tc>
                  <w:tcPr>
                    <w:tcW w:w="1792" w:type="dxa"/>
                    <w:vAlign w:val="bottom"/>
                  </w:tcPr>
                  <w:p w:rsidR="00BB48EB" w:rsidRPr="00662DAD" w:rsidRDefault="00BB48EB">
                    <w:pPr>
                      <w:spacing w:line="240" w:lineRule="exact"/>
                      <w:ind w:left="-88" w:right="-80"/>
                      <w:jc w:val="right"/>
                      <w:rPr>
                        <w:rFonts w:cs="Arial"/>
                        <w:snapToGrid w:val="0"/>
                        <w:szCs w:val="21"/>
                      </w:rPr>
                    </w:pPr>
                  </w:p>
                </w:tc>
                <w:tc>
                  <w:tcPr>
                    <w:tcW w:w="2379" w:type="dxa"/>
                    <w:vAlign w:val="bottom"/>
                  </w:tcPr>
                  <w:p w:rsidR="00BB48EB" w:rsidRPr="00662DAD" w:rsidRDefault="00BB48EB">
                    <w:pPr>
                      <w:spacing w:line="240" w:lineRule="exact"/>
                      <w:ind w:left="-88" w:right="-80"/>
                      <w:jc w:val="right"/>
                      <w:rPr>
                        <w:rFonts w:cs="Arial"/>
                        <w:snapToGrid w:val="0"/>
                        <w:szCs w:val="21"/>
                      </w:rPr>
                    </w:pPr>
                  </w:p>
                </w:tc>
                <w:tc>
                  <w:tcPr>
                    <w:tcW w:w="2450" w:type="dxa"/>
                    <w:vAlign w:val="bottom"/>
                    <w:hideMark/>
                  </w:tcPr>
                  <w:p w:rsidR="00BB48EB" w:rsidRPr="00662DAD" w:rsidRDefault="00BB48EB">
                    <w:pPr>
                      <w:spacing w:line="240" w:lineRule="exact"/>
                      <w:ind w:left="-88" w:right="-80"/>
                      <w:jc w:val="right"/>
                      <w:rPr>
                        <w:rFonts w:cs="Arial"/>
                        <w:snapToGrid w:val="0"/>
                        <w:szCs w:val="21"/>
                      </w:rPr>
                    </w:pPr>
                    <w:r w:rsidRPr="00662DAD">
                      <w:rPr>
                        <w:rFonts w:cs="Arial" w:hint="eastAsia"/>
                        <w:snapToGrid w:val="0"/>
                        <w:szCs w:val="21"/>
                      </w:rPr>
                      <w:t>占预付账款总额的比例</w:t>
                    </w:r>
                    <w:r w:rsidRPr="00662DAD">
                      <w:rPr>
                        <w:rFonts w:cs="Arial"/>
                        <w:snapToGrid w:val="0"/>
                        <w:szCs w:val="21"/>
                      </w:rPr>
                      <w:t>(%)</w:t>
                    </w:r>
                  </w:p>
                </w:tc>
              </w:tr>
              <w:tr w:rsidR="00BB48EB" w:rsidRPr="00662DAD" w:rsidTr="00BB48EB">
                <w:trPr>
                  <w:trHeight w:val="252"/>
                </w:trPr>
                <w:tc>
                  <w:tcPr>
                    <w:tcW w:w="1708" w:type="dxa"/>
                    <w:vAlign w:val="bottom"/>
                  </w:tcPr>
                  <w:p w:rsidR="00BB48EB" w:rsidRPr="00662DAD" w:rsidRDefault="00BB48EB">
                    <w:pPr>
                      <w:spacing w:line="240" w:lineRule="exact"/>
                      <w:ind w:left="-88" w:right="-80"/>
                      <w:rPr>
                        <w:rFonts w:cs="Arial"/>
                        <w:snapToGrid w:val="0"/>
                        <w:szCs w:val="21"/>
                      </w:rPr>
                    </w:pPr>
                  </w:p>
                </w:tc>
                <w:tc>
                  <w:tcPr>
                    <w:tcW w:w="1792" w:type="dxa"/>
                    <w:vAlign w:val="bottom"/>
                  </w:tcPr>
                  <w:p w:rsidR="00BB48EB" w:rsidRPr="00662DAD" w:rsidRDefault="00BB48EB">
                    <w:pPr>
                      <w:spacing w:line="240" w:lineRule="exact"/>
                      <w:ind w:left="-88" w:right="-80"/>
                      <w:jc w:val="right"/>
                      <w:rPr>
                        <w:rFonts w:cs="Arial"/>
                        <w:snapToGrid w:val="0"/>
                        <w:szCs w:val="21"/>
                      </w:rPr>
                    </w:pPr>
                  </w:p>
                </w:tc>
                <w:tc>
                  <w:tcPr>
                    <w:tcW w:w="2379" w:type="dxa"/>
                    <w:vAlign w:val="bottom"/>
                  </w:tcPr>
                  <w:p w:rsidR="00BB48EB" w:rsidRPr="00662DAD" w:rsidRDefault="00BB48EB">
                    <w:pPr>
                      <w:spacing w:line="240" w:lineRule="exact"/>
                      <w:ind w:left="-88" w:right="-80"/>
                      <w:jc w:val="right"/>
                      <w:rPr>
                        <w:rFonts w:cs="Arial"/>
                        <w:snapToGrid w:val="0"/>
                        <w:szCs w:val="21"/>
                      </w:rPr>
                    </w:pPr>
                  </w:p>
                </w:tc>
                <w:tc>
                  <w:tcPr>
                    <w:tcW w:w="2450" w:type="dxa"/>
                    <w:vAlign w:val="bottom"/>
                  </w:tcPr>
                  <w:p w:rsidR="00BB48EB" w:rsidRPr="00662DAD" w:rsidRDefault="00BB48EB">
                    <w:pPr>
                      <w:spacing w:line="240" w:lineRule="exact"/>
                      <w:ind w:left="-88" w:right="-80"/>
                      <w:jc w:val="right"/>
                      <w:rPr>
                        <w:rFonts w:cs="Arial"/>
                        <w:snapToGrid w:val="0"/>
                        <w:szCs w:val="21"/>
                      </w:rPr>
                    </w:pPr>
                  </w:p>
                </w:tc>
              </w:tr>
              <w:tr w:rsidR="00BB48EB" w:rsidRPr="00662DAD" w:rsidTr="00BB48EB">
                <w:trPr>
                  <w:trHeight w:val="252"/>
                </w:trPr>
                <w:tc>
                  <w:tcPr>
                    <w:tcW w:w="1708" w:type="dxa"/>
                    <w:vAlign w:val="bottom"/>
                    <w:hideMark/>
                  </w:tcPr>
                  <w:p w:rsidR="00BB48EB" w:rsidRPr="00662DAD" w:rsidRDefault="00BB48EB">
                    <w:pPr>
                      <w:spacing w:line="240" w:lineRule="exact"/>
                      <w:ind w:left="-88" w:right="-80"/>
                      <w:rPr>
                        <w:rFonts w:cs="Arial"/>
                        <w:snapToGrid w:val="0"/>
                        <w:szCs w:val="21"/>
                      </w:rPr>
                    </w:pPr>
                    <w:r w:rsidRPr="00662DAD">
                      <w:rPr>
                        <w:rFonts w:cs="Arial" w:hint="eastAsia"/>
                        <w:snapToGrid w:val="0"/>
                        <w:szCs w:val="21"/>
                      </w:rPr>
                      <w:t>单位</w:t>
                    </w:r>
                    <w:r w:rsidRPr="00662DAD">
                      <w:rPr>
                        <w:rFonts w:cs="Arial"/>
                        <w:snapToGrid w:val="0"/>
                        <w:szCs w:val="21"/>
                      </w:rPr>
                      <w:t>1</w:t>
                    </w:r>
                  </w:p>
                </w:tc>
                <w:tc>
                  <w:tcPr>
                    <w:tcW w:w="1792" w:type="dxa"/>
                    <w:vAlign w:val="bottom"/>
                  </w:tcPr>
                  <w:p w:rsidR="00BB48EB" w:rsidRPr="00662DAD" w:rsidRDefault="00BB48EB">
                    <w:pPr>
                      <w:spacing w:line="240" w:lineRule="exact"/>
                      <w:ind w:left="-88" w:right="-80"/>
                      <w:rPr>
                        <w:rFonts w:cs="Arial"/>
                        <w:snapToGrid w:val="0"/>
                        <w:szCs w:val="21"/>
                      </w:rPr>
                    </w:pPr>
                  </w:p>
                </w:tc>
                <w:tc>
                  <w:tcPr>
                    <w:tcW w:w="2379" w:type="dxa"/>
                    <w:vAlign w:val="bottom"/>
                    <w:hideMark/>
                  </w:tcPr>
                  <w:p w:rsidR="00BB48EB" w:rsidRPr="00662DAD" w:rsidRDefault="00BB48EB">
                    <w:pPr>
                      <w:spacing w:line="240" w:lineRule="exact"/>
                      <w:ind w:left="-88" w:right="-80"/>
                      <w:jc w:val="right"/>
                      <w:rPr>
                        <w:rFonts w:cs="Arial"/>
                        <w:color w:val="000000"/>
                        <w:szCs w:val="21"/>
                      </w:rPr>
                    </w:pPr>
                    <w:r w:rsidRPr="00662DAD">
                      <w:rPr>
                        <w:rFonts w:cs="Arial"/>
                        <w:color w:val="000000"/>
                        <w:szCs w:val="21"/>
                      </w:rPr>
                      <w:t>8,861,053</w:t>
                    </w:r>
                  </w:p>
                </w:tc>
                <w:tc>
                  <w:tcPr>
                    <w:tcW w:w="2450" w:type="dxa"/>
                    <w:vAlign w:val="bottom"/>
                    <w:hideMark/>
                  </w:tcPr>
                  <w:p w:rsidR="00BB48EB" w:rsidRPr="00662DAD" w:rsidRDefault="00BB48EB">
                    <w:pPr>
                      <w:spacing w:line="240" w:lineRule="exact"/>
                      <w:ind w:left="-88" w:right="-80"/>
                      <w:jc w:val="right"/>
                      <w:rPr>
                        <w:rFonts w:cs="Arial"/>
                        <w:color w:val="000000"/>
                        <w:szCs w:val="21"/>
                      </w:rPr>
                    </w:pPr>
                    <w:r w:rsidRPr="00662DAD">
                      <w:rPr>
                        <w:rFonts w:cs="Arial"/>
                        <w:color w:val="000000"/>
                        <w:szCs w:val="21"/>
                      </w:rPr>
                      <w:t>12</w:t>
                    </w:r>
                  </w:p>
                </w:tc>
              </w:tr>
              <w:tr w:rsidR="00BB48EB" w:rsidRPr="00662DAD" w:rsidTr="00BB48EB">
                <w:trPr>
                  <w:trHeight w:val="252"/>
                </w:trPr>
                <w:tc>
                  <w:tcPr>
                    <w:tcW w:w="1708" w:type="dxa"/>
                    <w:vAlign w:val="bottom"/>
                    <w:hideMark/>
                  </w:tcPr>
                  <w:p w:rsidR="00BB48EB" w:rsidRPr="00662DAD" w:rsidRDefault="00BB48EB">
                    <w:pPr>
                      <w:spacing w:line="240" w:lineRule="exact"/>
                      <w:ind w:left="-88" w:right="-80"/>
                      <w:rPr>
                        <w:rFonts w:cs="Arial"/>
                        <w:snapToGrid w:val="0"/>
                        <w:szCs w:val="21"/>
                      </w:rPr>
                    </w:pPr>
                    <w:r w:rsidRPr="00662DAD">
                      <w:rPr>
                        <w:rFonts w:cs="Arial" w:hint="eastAsia"/>
                        <w:snapToGrid w:val="0"/>
                        <w:szCs w:val="21"/>
                      </w:rPr>
                      <w:t>单位</w:t>
                    </w:r>
                    <w:r w:rsidRPr="00662DAD">
                      <w:rPr>
                        <w:rFonts w:cs="Arial"/>
                        <w:snapToGrid w:val="0"/>
                        <w:szCs w:val="21"/>
                      </w:rPr>
                      <w:t>2</w:t>
                    </w:r>
                  </w:p>
                </w:tc>
                <w:tc>
                  <w:tcPr>
                    <w:tcW w:w="1792" w:type="dxa"/>
                    <w:vAlign w:val="bottom"/>
                  </w:tcPr>
                  <w:p w:rsidR="00BB48EB" w:rsidRPr="00662DAD" w:rsidRDefault="00BB48EB">
                    <w:pPr>
                      <w:spacing w:line="240" w:lineRule="exact"/>
                      <w:ind w:left="-88" w:right="-80"/>
                      <w:rPr>
                        <w:rFonts w:cs="Arial"/>
                        <w:snapToGrid w:val="0"/>
                        <w:szCs w:val="21"/>
                      </w:rPr>
                    </w:pPr>
                  </w:p>
                </w:tc>
                <w:tc>
                  <w:tcPr>
                    <w:tcW w:w="2379" w:type="dxa"/>
                    <w:vAlign w:val="bottom"/>
                    <w:hideMark/>
                  </w:tcPr>
                  <w:p w:rsidR="00BB48EB" w:rsidRPr="00662DAD" w:rsidRDefault="00BB48EB">
                    <w:pPr>
                      <w:spacing w:line="240" w:lineRule="exact"/>
                      <w:ind w:left="-88" w:right="-80"/>
                      <w:jc w:val="right"/>
                      <w:rPr>
                        <w:rFonts w:cs="Arial"/>
                        <w:color w:val="000000"/>
                        <w:szCs w:val="21"/>
                      </w:rPr>
                    </w:pPr>
                    <w:r w:rsidRPr="00662DAD">
                      <w:rPr>
                        <w:rFonts w:cs="Arial"/>
                        <w:color w:val="000000"/>
                        <w:szCs w:val="21"/>
                      </w:rPr>
                      <w:t>4,310,345</w:t>
                    </w:r>
                  </w:p>
                </w:tc>
                <w:tc>
                  <w:tcPr>
                    <w:tcW w:w="2450" w:type="dxa"/>
                    <w:vAlign w:val="bottom"/>
                    <w:hideMark/>
                  </w:tcPr>
                  <w:p w:rsidR="00BB48EB" w:rsidRPr="00662DAD" w:rsidRDefault="00BB48EB">
                    <w:pPr>
                      <w:spacing w:line="240" w:lineRule="exact"/>
                      <w:ind w:left="-88" w:right="-80"/>
                      <w:jc w:val="right"/>
                      <w:rPr>
                        <w:rFonts w:cs="Arial"/>
                        <w:color w:val="000000"/>
                        <w:szCs w:val="21"/>
                      </w:rPr>
                    </w:pPr>
                    <w:r w:rsidRPr="00662DAD">
                      <w:rPr>
                        <w:rFonts w:cs="Arial"/>
                        <w:color w:val="000000"/>
                        <w:szCs w:val="21"/>
                      </w:rPr>
                      <w:t>6</w:t>
                    </w:r>
                  </w:p>
                </w:tc>
              </w:tr>
              <w:tr w:rsidR="00BB48EB" w:rsidRPr="00662DAD" w:rsidTr="00BB48EB">
                <w:trPr>
                  <w:trHeight w:val="252"/>
                </w:trPr>
                <w:tc>
                  <w:tcPr>
                    <w:tcW w:w="1708" w:type="dxa"/>
                    <w:vAlign w:val="bottom"/>
                    <w:hideMark/>
                  </w:tcPr>
                  <w:p w:rsidR="00BB48EB" w:rsidRPr="00662DAD" w:rsidRDefault="00BB48EB">
                    <w:pPr>
                      <w:spacing w:line="240" w:lineRule="exact"/>
                      <w:ind w:left="-88" w:right="-80"/>
                      <w:rPr>
                        <w:rFonts w:cs="Arial"/>
                        <w:snapToGrid w:val="0"/>
                        <w:szCs w:val="21"/>
                      </w:rPr>
                    </w:pPr>
                    <w:r w:rsidRPr="00662DAD">
                      <w:rPr>
                        <w:rFonts w:cs="Arial" w:hint="eastAsia"/>
                        <w:snapToGrid w:val="0"/>
                        <w:szCs w:val="21"/>
                      </w:rPr>
                      <w:t>单位</w:t>
                    </w:r>
                    <w:r w:rsidRPr="00662DAD">
                      <w:rPr>
                        <w:rFonts w:cs="Arial"/>
                        <w:snapToGrid w:val="0"/>
                        <w:szCs w:val="21"/>
                      </w:rPr>
                      <w:t>3</w:t>
                    </w:r>
                  </w:p>
                </w:tc>
                <w:tc>
                  <w:tcPr>
                    <w:tcW w:w="1792" w:type="dxa"/>
                    <w:vAlign w:val="bottom"/>
                  </w:tcPr>
                  <w:p w:rsidR="00BB48EB" w:rsidRPr="00662DAD" w:rsidRDefault="00BB48EB">
                    <w:pPr>
                      <w:spacing w:line="240" w:lineRule="exact"/>
                      <w:ind w:left="-88" w:right="-80"/>
                      <w:rPr>
                        <w:rFonts w:cs="Arial"/>
                        <w:snapToGrid w:val="0"/>
                        <w:szCs w:val="21"/>
                      </w:rPr>
                    </w:pPr>
                  </w:p>
                </w:tc>
                <w:tc>
                  <w:tcPr>
                    <w:tcW w:w="2379" w:type="dxa"/>
                    <w:vAlign w:val="bottom"/>
                    <w:hideMark/>
                  </w:tcPr>
                  <w:p w:rsidR="00BB48EB" w:rsidRPr="00662DAD" w:rsidRDefault="00BB48EB">
                    <w:pPr>
                      <w:spacing w:line="240" w:lineRule="exact"/>
                      <w:ind w:left="-88" w:right="-80"/>
                      <w:jc w:val="right"/>
                      <w:rPr>
                        <w:rFonts w:cs="Arial"/>
                        <w:color w:val="000000"/>
                        <w:szCs w:val="21"/>
                      </w:rPr>
                    </w:pPr>
                    <w:r w:rsidRPr="00662DAD">
                      <w:rPr>
                        <w:rFonts w:cs="Arial"/>
                        <w:color w:val="000000"/>
                        <w:szCs w:val="21"/>
                      </w:rPr>
                      <w:t>3,391,207</w:t>
                    </w:r>
                  </w:p>
                </w:tc>
                <w:tc>
                  <w:tcPr>
                    <w:tcW w:w="2450" w:type="dxa"/>
                    <w:vAlign w:val="bottom"/>
                    <w:hideMark/>
                  </w:tcPr>
                  <w:p w:rsidR="00BB48EB" w:rsidRPr="00662DAD" w:rsidRDefault="00BB48EB">
                    <w:pPr>
                      <w:spacing w:line="240" w:lineRule="exact"/>
                      <w:ind w:left="-88" w:right="-80"/>
                      <w:jc w:val="right"/>
                      <w:rPr>
                        <w:rFonts w:cs="Arial"/>
                        <w:color w:val="000000"/>
                        <w:szCs w:val="21"/>
                      </w:rPr>
                    </w:pPr>
                    <w:r w:rsidRPr="00662DAD">
                      <w:rPr>
                        <w:rFonts w:cs="Arial"/>
                        <w:color w:val="000000"/>
                        <w:szCs w:val="21"/>
                      </w:rPr>
                      <w:t>4</w:t>
                    </w:r>
                  </w:p>
                </w:tc>
              </w:tr>
              <w:tr w:rsidR="00BB48EB" w:rsidRPr="00662DAD" w:rsidTr="00BB48EB">
                <w:trPr>
                  <w:trHeight w:val="252"/>
                </w:trPr>
                <w:tc>
                  <w:tcPr>
                    <w:tcW w:w="1708" w:type="dxa"/>
                    <w:vAlign w:val="bottom"/>
                    <w:hideMark/>
                  </w:tcPr>
                  <w:p w:rsidR="00BB48EB" w:rsidRPr="00662DAD" w:rsidRDefault="00BB48EB">
                    <w:pPr>
                      <w:spacing w:line="240" w:lineRule="exact"/>
                      <w:ind w:left="-88" w:right="-80"/>
                      <w:rPr>
                        <w:rFonts w:cs="Arial"/>
                        <w:snapToGrid w:val="0"/>
                        <w:szCs w:val="21"/>
                      </w:rPr>
                    </w:pPr>
                    <w:r w:rsidRPr="00662DAD">
                      <w:rPr>
                        <w:rFonts w:cs="Arial" w:hint="eastAsia"/>
                        <w:snapToGrid w:val="0"/>
                        <w:szCs w:val="21"/>
                      </w:rPr>
                      <w:t>单位</w:t>
                    </w:r>
                    <w:r w:rsidRPr="00662DAD">
                      <w:rPr>
                        <w:rFonts w:cs="Arial"/>
                        <w:snapToGrid w:val="0"/>
                        <w:szCs w:val="21"/>
                      </w:rPr>
                      <w:t>4</w:t>
                    </w:r>
                  </w:p>
                </w:tc>
                <w:tc>
                  <w:tcPr>
                    <w:tcW w:w="1792" w:type="dxa"/>
                    <w:vAlign w:val="bottom"/>
                  </w:tcPr>
                  <w:p w:rsidR="00BB48EB" w:rsidRPr="00662DAD" w:rsidRDefault="00BB48EB">
                    <w:pPr>
                      <w:spacing w:line="240" w:lineRule="exact"/>
                      <w:ind w:left="-88" w:right="-80"/>
                      <w:rPr>
                        <w:rFonts w:cs="Arial"/>
                        <w:snapToGrid w:val="0"/>
                        <w:szCs w:val="21"/>
                      </w:rPr>
                    </w:pPr>
                  </w:p>
                </w:tc>
                <w:tc>
                  <w:tcPr>
                    <w:tcW w:w="2379" w:type="dxa"/>
                    <w:vAlign w:val="bottom"/>
                    <w:hideMark/>
                  </w:tcPr>
                  <w:p w:rsidR="00BB48EB" w:rsidRPr="00662DAD" w:rsidRDefault="00BB48EB">
                    <w:pPr>
                      <w:spacing w:line="240" w:lineRule="exact"/>
                      <w:ind w:left="-88" w:right="-80"/>
                      <w:jc w:val="right"/>
                      <w:rPr>
                        <w:rFonts w:cs="Arial"/>
                        <w:color w:val="000000"/>
                        <w:szCs w:val="21"/>
                      </w:rPr>
                    </w:pPr>
                    <w:r w:rsidRPr="00662DAD">
                      <w:rPr>
                        <w:rFonts w:cs="Arial"/>
                        <w:color w:val="000000"/>
                        <w:szCs w:val="21"/>
                      </w:rPr>
                      <w:t>2,439,316</w:t>
                    </w:r>
                  </w:p>
                </w:tc>
                <w:tc>
                  <w:tcPr>
                    <w:tcW w:w="2450" w:type="dxa"/>
                    <w:vAlign w:val="bottom"/>
                    <w:hideMark/>
                  </w:tcPr>
                  <w:p w:rsidR="00BB48EB" w:rsidRPr="00662DAD" w:rsidRDefault="00BB48EB">
                    <w:pPr>
                      <w:spacing w:line="240" w:lineRule="exact"/>
                      <w:ind w:left="-88" w:right="-80"/>
                      <w:jc w:val="right"/>
                      <w:rPr>
                        <w:rFonts w:cs="Arial"/>
                        <w:color w:val="000000"/>
                        <w:szCs w:val="21"/>
                      </w:rPr>
                    </w:pPr>
                    <w:r w:rsidRPr="00662DAD">
                      <w:rPr>
                        <w:rFonts w:cs="Arial"/>
                        <w:color w:val="000000"/>
                        <w:szCs w:val="21"/>
                      </w:rPr>
                      <w:t>3</w:t>
                    </w:r>
                  </w:p>
                </w:tc>
              </w:tr>
              <w:tr w:rsidR="00BB48EB" w:rsidRPr="00662DAD" w:rsidTr="00BB48EB">
                <w:trPr>
                  <w:trHeight w:val="252"/>
                </w:trPr>
                <w:tc>
                  <w:tcPr>
                    <w:tcW w:w="1708" w:type="dxa"/>
                    <w:vAlign w:val="bottom"/>
                    <w:hideMark/>
                  </w:tcPr>
                  <w:p w:rsidR="00BB48EB" w:rsidRPr="00662DAD" w:rsidRDefault="00BB48EB">
                    <w:pPr>
                      <w:spacing w:line="240" w:lineRule="exact"/>
                      <w:ind w:left="-88" w:right="-80"/>
                      <w:rPr>
                        <w:rFonts w:cs="Arial"/>
                        <w:snapToGrid w:val="0"/>
                        <w:szCs w:val="21"/>
                      </w:rPr>
                    </w:pPr>
                    <w:r w:rsidRPr="00662DAD">
                      <w:rPr>
                        <w:rFonts w:cs="Arial" w:hint="eastAsia"/>
                        <w:snapToGrid w:val="0"/>
                        <w:szCs w:val="21"/>
                      </w:rPr>
                      <w:t>单位</w:t>
                    </w:r>
                    <w:r w:rsidRPr="00662DAD">
                      <w:rPr>
                        <w:rFonts w:cs="Arial"/>
                        <w:snapToGrid w:val="0"/>
                        <w:szCs w:val="21"/>
                      </w:rPr>
                      <w:t>5</w:t>
                    </w:r>
                  </w:p>
                </w:tc>
                <w:tc>
                  <w:tcPr>
                    <w:tcW w:w="1792" w:type="dxa"/>
                    <w:vAlign w:val="bottom"/>
                  </w:tcPr>
                  <w:p w:rsidR="00BB48EB" w:rsidRPr="00662DAD" w:rsidRDefault="00BB48EB">
                    <w:pPr>
                      <w:spacing w:line="240" w:lineRule="exact"/>
                      <w:ind w:left="-88" w:right="-80"/>
                      <w:rPr>
                        <w:rFonts w:cs="Arial"/>
                        <w:snapToGrid w:val="0"/>
                        <w:szCs w:val="21"/>
                      </w:rPr>
                    </w:pPr>
                  </w:p>
                </w:tc>
                <w:tc>
                  <w:tcPr>
                    <w:tcW w:w="2379" w:type="dxa"/>
                    <w:vAlign w:val="bottom"/>
                    <w:hideMark/>
                  </w:tcPr>
                  <w:p w:rsidR="00BB48EB" w:rsidRPr="00662DAD" w:rsidRDefault="00BB48EB">
                    <w:pPr>
                      <w:wordWrap w:val="0"/>
                      <w:spacing w:line="240" w:lineRule="exact"/>
                      <w:ind w:left="-88" w:right="-80"/>
                      <w:jc w:val="right"/>
                      <w:rPr>
                        <w:rFonts w:cs="Arial"/>
                        <w:color w:val="000000"/>
                        <w:szCs w:val="21"/>
                        <w:u w:val="single"/>
                      </w:rPr>
                    </w:pPr>
                    <w:r w:rsidRPr="00662DAD">
                      <w:rPr>
                        <w:rFonts w:cs="Arial"/>
                        <w:color w:val="000000"/>
                        <w:szCs w:val="21"/>
                        <w:u w:val="single"/>
                      </w:rPr>
                      <w:t xml:space="preserve">  1,020,936</w:t>
                    </w:r>
                  </w:p>
                </w:tc>
                <w:tc>
                  <w:tcPr>
                    <w:tcW w:w="2450" w:type="dxa"/>
                    <w:vAlign w:val="bottom"/>
                    <w:hideMark/>
                  </w:tcPr>
                  <w:p w:rsidR="00BB48EB" w:rsidRPr="00662DAD" w:rsidRDefault="00BB48EB">
                    <w:pPr>
                      <w:spacing w:line="240" w:lineRule="exact"/>
                      <w:ind w:left="-88" w:right="-80"/>
                      <w:jc w:val="right"/>
                      <w:rPr>
                        <w:rFonts w:cs="Arial"/>
                        <w:color w:val="000000"/>
                        <w:szCs w:val="21"/>
                        <w:u w:val="single"/>
                      </w:rPr>
                    </w:pPr>
                    <w:r w:rsidRPr="00662DAD">
                      <w:rPr>
                        <w:rFonts w:cs="Arial"/>
                        <w:color w:val="000000"/>
                        <w:szCs w:val="21"/>
                        <w:u w:val="single"/>
                      </w:rPr>
                      <w:t xml:space="preserve">  1</w:t>
                    </w:r>
                  </w:p>
                </w:tc>
              </w:tr>
              <w:tr w:rsidR="00BB48EB" w:rsidRPr="00662DAD" w:rsidTr="00BB48EB">
                <w:trPr>
                  <w:trHeight w:val="252"/>
                </w:trPr>
                <w:tc>
                  <w:tcPr>
                    <w:tcW w:w="1708" w:type="dxa"/>
                    <w:vAlign w:val="bottom"/>
                  </w:tcPr>
                  <w:p w:rsidR="00BB48EB" w:rsidRPr="00662DAD" w:rsidRDefault="00BB48EB">
                    <w:pPr>
                      <w:spacing w:line="240" w:lineRule="exact"/>
                      <w:ind w:left="-88" w:right="-80"/>
                      <w:rPr>
                        <w:rFonts w:cs="Arial"/>
                        <w:snapToGrid w:val="0"/>
                        <w:szCs w:val="21"/>
                      </w:rPr>
                    </w:pPr>
                  </w:p>
                </w:tc>
                <w:tc>
                  <w:tcPr>
                    <w:tcW w:w="1792" w:type="dxa"/>
                    <w:vAlign w:val="bottom"/>
                  </w:tcPr>
                  <w:p w:rsidR="00BB48EB" w:rsidRPr="00662DAD" w:rsidRDefault="00BB48EB">
                    <w:pPr>
                      <w:spacing w:line="240" w:lineRule="exact"/>
                      <w:ind w:left="-88" w:right="-80"/>
                      <w:rPr>
                        <w:rFonts w:cs="Arial"/>
                        <w:snapToGrid w:val="0"/>
                        <w:szCs w:val="21"/>
                      </w:rPr>
                    </w:pPr>
                  </w:p>
                </w:tc>
                <w:tc>
                  <w:tcPr>
                    <w:tcW w:w="2379" w:type="dxa"/>
                    <w:vAlign w:val="bottom"/>
                  </w:tcPr>
                  <w:p w:rsidR="00BB48EB" w:rsidRPr="00662DAD" w:rsidRDefault="00BB48EB">
                    <w:pPr>
                      <w:spacing w:line="240" w:lineRule="exact"/>
                      <w:ind w:left="-88" w:right="-80"/>
                      <w:jc w:val="right"/>
                      <w:rPr>
                        <w:rFonts w:cs="Arial"/>
                        <w:color w:val="000000"/>
                        <w:szCs w:val="21"/>
                      </w:rPr>
                    </w:pPr>
                  </w:p>
                </w:tc>
                <w:tc>
                  <w:tcPr>
                    <w:tcW w:w="2450" w:type="dxa"/>
                    <w:vAlign w:val="bottom"/>
                  </w:tcPr>
                  <w:p w:rsidR="00BB48EB" w:rsidRPr="00662DAD" w:rsidRDefault="00BB48EB">
                    <w:pPr>
                      <w:spacing w:line="240" w:lineRule="exact"/>
                      <w:ind w:left="-88" w:right="-80"/>
                      <w:jc w:val="right"/>
                      <w:rPr>
                        <w:rFonts w:cs="Arial"/>
                        <w:color w:val="000000"/>
                        <w:szCs w:val="21"/>
                      </w:rPr>
                    </w:pPr>
                  </w:p>
                </w:tc>
              </w:tr>
              <w:tr w:rsidR="00BB48EB" w:rsidRPr="00662DAD" w:rsidTr="00BB48EB">
                <w:trPr>
                  <w:trHeight w:val="252"/>
                </w:trPr>
                <w:tc>
                  <w:tcPr>
                    <w:tcW w:w="1708" w:type="dxa"/>
                    <w:vAlign w:val="bottom"/>
                  </w:tcPr>
                  <w:p w:rsidR="00BB48EB" w:rsidRPr="00662DAD" w:rsidRDefault="00BB48EB">
                    <w:pPr>
                      <w:spacing w:line="240" w:lineRule="exact"/>
                      <w:ind w:left="-88" w:right="-80"/>
                      <w:rPr>
                        <w:rFonts w:cs="Arial"/>
                        <w:snapToGrid w:val="0"/>
                        <w:szCs w:val="21"/>
                      </w:rPr>
                    </w:pPr>
                  </w:p>
                </w:tc>
                <w:tc>
                  <w:tcPr>
                    <w:tcW w:w="1792" w:type="dxa"/>
                    <w:vAlign w:val="bottom"/>
                  </w:tcPr>
                  <w:p w:rsidR="00BB48EB" w:rsidRPr="00662DAD" w:rsidRDefault="00BB48EB">
                    <w:pPr>
                      <w:spacing w:line="240" w:lineRule="exact"/>
                      <w:ind w:left="-88" w:right="-80"/>
                      <w:rPr>
                        <w:rFonts w:cs="Arial"/>
                        <w:snapToGrid w:val="0"/>
                        <w:szCs w:val="21"/>
                      </w:rPr>
                    </w:pPr>
                  </w:p>
                </w:tc>
                <w:tc>
                  <w:tcPr>
                    <w:tcW w:w="2379" w:type="dxa"/>
                    <w:vAlign w:val="bottom"/>
                    <w:hideMark/>
                  </w:tcPr>
                  <w:p w:rsidR="00BB48EB" w:rsidRPr="00662DAD" w:rsidRDefault="00BB48EB">
                    <w:pPr>
                      <w:tabs>
                        <w:tab w:val="left" w:pos="1167"/>
                      </w:tabs>
                      <w:spacing w:line="240" w:lineRule="exact"/>
                      <w:ind w:left="-88" w:right="-80"/>
                      <w:jc w:val="right"/>
                      <w:rPr>
                        <w:rFonts w:cs="Arial"/>
                        <w:color w:val="000000"/>
                        <w:szCs w:val="21"/>
                        <w:u w:val="double"/>
                      </w:rPr>
                    </w:pPr>
                    <w:r w:rsidRPr="00662DAD">
                      <w:rPr>
                        <w:rFonts w:cs="Arial"/>
                        <w:color w:val="000000"/>
                        <w:szCs w:val="21"/>
                        <w:u w:val="double"/>
                      </w:rPr>
                      <w:t>20,022,857</w:t>
                    </w:r>
                  </w:p>
                </w:tc>
                <w:tc>
                  <w:tcPr>
                    <w:tcW w:w="2450" w:type="dxa"/>
                    <w:vAlign w:val="bottom"/>
                    <w:hideMark/>
                  </w:tcPr>
                  <w:p w:rsidR="00BB48EB" w:rsidRPr="00662DAD" w:rsidRDefault="00BB48EB">
                    <w:pPr>
                      <w:spacing w:line="240" w:lineRule="exact"/>
                      <w:ind w:left="-88" w:right="-80"/>
                      <w:jc w:val="right"/>
                      <w:rPr>
                        <w:rFonts w:cs="Arial"/>
                        <w:color w:val="000000"/>
                        <w:szCs w:val="21"/>
                        <w:u w:val="double"/>
                      </w:rPr>
                    </w:pPr>
                    <w:r w:rsidRPr="00662DAD">
                      <w:rPr>
                        <w:rFonts w:cs="Arial"/>
                        <w:color w:val="000000"/>
                        <w:szCs w:val="21"/>
                        <w:u w:val="double"/>
                      </w:rPr>
                      <w:t>26</w:t>
                    </w:r>
                  </w:p>
                </w:tc>
              </w:tr>
            </w:tbl>
            <w:p w:rsidR="00ED2DC7" w:rsidRDefault="000D0A99">
              <w:pPr>
                <w:snapToGrid w:val="0"/>
                <w:spacing w:line="240" w:lineRule="atLeast"/>
                <w:rPr>
                  <w:szCs w:val="21"/>
                </w:rPr>
              </w:pPr>
            </w:p>
          </w:sdtContent>
        </w:sdt>
        <w:p w:rsidR="00ED2DC7" w:rsidRDefault="000D0A99">
          <w:pPr>
            <w:snapToGrid w:val="0"/>
            <w:spacing w:line="240" w:lineRule="atLeast"/>
            <w:rPr>
              <w:szCs w:val="21"/>
            </w:rPr>
          </w:pPr>
        </w:p>
      </w:sdtContent>
    </w:sdt>
    <w:sdt>
      <w:sdtPr>
        <w:rPr>
          <w:rFonts w:ascii="Times New Roman" w:hAnsi="Times New Roman" w:hint="eastAsia"/>
          <w:b/>
          <w:bCs/>
        </w:rPr>
        <w:alias w:val="模块:预付款项的说明"/>
        <w:tag w:val="_GBC_ee9bedfa5e5340c9b02fb474f1a1fc26"/>
        <w:id w:val="1159817494"/>
        <w:lock w:val="sdtLocked"/>
        <w:placeholder>
          <w:docPart w:val="GBC22222222222222222222222222222"/>
        </w:placeholder>
      </w:sdtPr>
      <w:sdtEndPr>
        <w:rPr>
          <w:rFonts w:hint="default"/>
          <w:b w:val="0"/>
          <w:bCs w:val="0"/>
        </w:rPr>
      </w:sdtEndPr>
      <w:sdtContent>
        <w:p w:rsidR="00ED2DC7" w:rsidRDefault="00ED2DC7">
          <w:r>
            <w:rPr>
              <w:rFonts w:hint="eastAsia"/>
            </w:rPr>
            <w:t>其他说明</w:t>
          </w:r>
        </w:p>
        <w:sdt>
          <w:sdtPr>
            <w:alias w:val="是否适用：预付帐款的说明[双击切换]"/>
            <w:tag w:val="_GBC_c712ee6483d44c77b1f563e552689c6d"/>
            <w:id w:val="102707203"/>
            <w:lock w:val="sdtContentLocked"/>
            <w:placeholder>
              <w:docPart w:val="GBC22222222222222222222222222222"/>
            </w:placeholder>
          </w:sdtPr>
          <w:sdtContent>
            <w:p w:rsidR="00ED2DC7" w:rsidRDefault="00ED2DC7" w:rsidP="00E75F7C">
              <w:pPr>
                <w:rPr>
                  <w:szCs w:val="21"/>
                </w:rPr>
              </w:pPr>
              <w:r>
                <w:fldChar w:fldCharType="begin"/>
              </w:r>
              <w:r w:rsidR="00E75F7C">
                <w:instrText xml:space="preserve"> MACROBUTTON  SnrToggleCheckbox □适用 </w:instrText>
              </w:r>
              <w:r>
                <w:fldChar w:fldCharType="end"/>
              </w:r>
              <w:r>
                <w:fldChar w:fldCharType="begin"/>
              </w:r>
              <w:r w:rsidR="00E75F7C">
                <w:instrText xml:space="preserve"> MACROBUTTON  SnrToggleCheckbox √不适用 </w:instrText>
              </w:r>
              <w:r>
                <w:fldChar w:fldCharType="end"/>
              </w:r>
            </w:p>
          </w:sdtContent>
        </w:sdt>
      </w:sdtContent>
    </w:sdt>
    <w:p w:rsidR="00ED2DC7" w:rsidRDefault="00ED2DC7">
      <w:pPr>
        <w:rPr>
          <w:szCs w:val="21"/>
        </w:rPr>
      </w:pPr>
    </w:p>
    <w:p w:rsidR="00ED2DC7" w:rsidRDefault="00ED2DC7" w:rsidP="00036BDC">
      <w:pPr>
        <w:pStyle w:val="affffffffffffffffff1"/>
        <w:numPr>
          <w:ilvl w:val="0"/>
          <w:numId w:val="49"/>
        </w:numPr>
      </w:pPr>
      <w:r>
        <w:rPr>
          <w:rFonts w:hint="eastAsia"/>
        </w:rPr>
        <w:t>其他应收款</w:t>
      </w:r>
    </w:p>
    <w:bookmarkStart w:id="108" w:name="_Hlk10467611" w:displacedByCustomXml="next"/>
    <w:sdt>
      <w:sdtPr>
        <w:rPr>
          <w:rFonts w:ascii="宋体" w:hAnsi="宋体" w:cs="宋体" w:hint="eastAsia"/>
          <w:b w:val="0"/>
          <w:bCs w:val="0"/>
          <w:kern w:val="0"/>
          <w:szCs w:val="24"/>
        </w:rPr>
        <w:alias w:val="模块:分类列示"/>
        <w:tag w:val="_SEC_440b8bdb86984dd89d750fdd7845fe71"/>
        <w:id w:val="-1003659597"/>
        <w:lock w:val="sdtLocked"/>
        <w:placeholder>
          <w:docPart w:val="GBC22222222222222222222222222222"/>
        </w:placeholder>
      </w:sdtPr>
      <w:sdtEndPr>
        <w:rPr>
          <w:rFonts w:hint="default"/>
        </w:rPr>
      </w:sdtEndPr>
      <w:sdtContent>
        <w:p w:rsidR="00ED2DC7" w:rsidRDefault="00ED2DC7">
          <w:pPr>
            <w:pStyle w:val="affffffffffffffffff2"/>
          </w:pPr>
          <w:r>
            <w:rPr>
              <w:rFonts w:hint="eastAsia"/>
            </w:rPr>
            <w:t>项目列示</w:t>
          </w:r>
        </w:p>
        <w:sdt>
          <w:sdtPr>
            <w:alias w:val="是否适用：其他应收款分类列示[双击切换]"/>
            <w:tag w:val="_GBC_23e3e9ad53624abaaa00fc7f7c24842a"/>
            <w:id w:val="-1169329912"/>
            <w:lock w:val="sdtContentLocked"/>
            <w:placeholder>
              <w:docPart w:val="GBC22222222222222222222222222222"/>
            </w:placeholder>
          </w:sdtPr>
          <w:sdtContent>
            <w:p w:rsidR="00E75F7C" w:rsidRDefault="00ED2DC7" w:rsidP="00E75F7C">
              <w:r>
                <w:fldChar w:fldCharType="begin"/>
              </w:r>
              <w:r w:rsidR="008F04CF">
                <w:instrText xml:space="preserve"> MACROBUTTON  SnrToggleCheckbox √适用 </w:instrText>
              </w:r>
              <w:r>
                <w:fldChar w:fldCharType="end"/>
              </w:r>
              <w:r>
                <w:fldChar w:fldCharType="begin"/>
              </w:r>
              <w:r w:rsidR="008F04CF">
                <w:instrText xml:space="preserve"> MACROBUTTON  SnrToggleCheckbox □不适用 </w:instrText>
              </w:r>
              <w:r>
                <w:fldChar w:fldCharType="end"/>
              </w:r>
            </w:p>
          </w:sdtContent>
        </w:sdt>
        <w:p w:rsidR="00B637B2" w:rsidRDefault="008F04CF">
          <w:pPr>
            <w:jc w:val="right"/>
            <w:rPr>
              <w:szCs w:val="21"/>
            </w:rPr>
          </w:pPr>
          <w:r>
            <w:rPr>
              <w:rFonts w:hint="eastAsia"/>
              <w:szCs w:val="21"/>
            </w:rPr>
            <w:t>单位：</w:t>
          </w:r>
          <w:sdt>
            <w:sdtPr>
              <w:rPr>
                <w:rFonts w:hint="eastAsia"/>
                <w:szCs w:val="21"/>
              </w:rPr>
              <w:alias w:val="单位：其他应收款分类列示"/>
              <w:tag w:val="_GBC_b73f89c776a341249ed520fe726b4db9"/>
              <w:id w:val="-1598248369"/>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其他应收款分类列示"/>
              <w:tag w:val="_GBC_a23554f2403346ea97b8fb1ef551ebe4"/>
              <w:id w:val="-18621505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3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115"/>
            <w:gridCol w:w="2862"/>
            <w:gridCol w:w="2846"/>
          </w:tblGrid>
          <w:tr w:rsidR="00B637B2" w:rsidTr="00B637B2">
            <w:trPr>
              <w:cantSplit/>
            </w:trPr>
            <w:bookmarkStart w:id="109" w:name="_Hlk532906097" w:displacedByCustomXml="next"/>
            <w:sdt>
              <w:sdtPr>
                <w:tag w:val="_PLD_3b049b9a7f344665a70a23c402afbda5"/>
                <w:id w:val="-837611088"/>
                <w:lock w:val="sdtLocked"/>
              </w:sdtPr>
              <w:sdtContent>
                <w:tc>
                  <w:tcPr>
                    <w:tcW w:w="1765" w:type="pct"/>
                    <w:vAlign w:val="center"/>
                  </w:tcPr>
                  <w:p w:rsidR="00B637B2" w:rsidRDefault="008F04CF" w:rsidP="00B637B2">
                    <w:pPr>
                      <w:jc w:val="center"/>
                      <w:rPr>
                        <w:szCs w:val="21"/>
                      </w:rPr>
                    </w:pPr>
                    <w:r>
                      <w:rPr>
                        <w:rFonts w:hint="eastAsia"/>
                        <w:szCs w:val="21"/>
                      </w:rPr>
                      <w:t>项目</w:t>
                    </w:r>
                  </w:p>
                </w:tc>
              </w:sdtContent>
            </w:sdt>
            <w:sdt>
              <w:sdtPr>
                <w:tag w:val="_PLD_550a4ba0fb444ea69297bd36780a7618"/>
                <w:id w:val="-712348944"/>
                <w:lock w:val="sdtLocked"/>
              </w:sdtPr>
              <w:sdtContent>
                <w:tc>
                  <w:tcPr>
                    <w:tcW w:w="1622" w:type="pct"/>
                    <w:vAlign w:val="center"/>
                  </w:tcPr>
                  <w:p w:rsidR="00B637B2" w:rsidRDefault="008F04CF" w:rsidP="00B637B2">
                    <w:pPr>
                      <w:jc w:val="center"/>
                      <w:rPr>
                        <w:szCs w:val="21"/>
                      </w:rPr>
                    </w:pPr>
                    <w:r>
                      <w:rPr>
                        <w:rFonts w:hint="eastAsia"/>
                        <w:szCs w:val="21"/>
                      </w:rPr>
                      <w:t>期末余额</w:t>
                    </w:r>
                  </w:p>
                </w:tc>
              </w:sdtContent>
            </w:sdt>
            <w:sdt>
              <w:sdtPr>
                <w:tag w:val="_PLD_d58c3f70487c440b99a9f440a2d57d1e"/>
                <w:id w:val="-893584537"/>
                <w:lock w:val="sdtLocked"/>
              </w:sdtPr>
              <w:sdtContent>
                <w:tc>
                  <w:tcPr>
                    <w:tcW w:w="1613" w:type="pct"/>
                    <w:vAlign w:val="center"/>
                  </w:tcPr>
                  <w:p w:rsidR="00B637B2" w:rsidRDefault="008F04CF" w:rsidP="00B637B2">
                    <w:pPr>
                      <w:jc w:val="center"/>
                      <w:rPr>
                        <w:szCs w:val="21"/>
                      </w:rPr>
                    </w:pPr>
                    <w:r>
                      <w:rPr>
                        <w:rFonts w:hint="eastAsia"/>
                        <w:szCs w:val="21"/>
                      </w:rPr>
                      <w:t>期初余额</w:t>
                    </w:r>
                  </w:p>
                </w:tc>
              </w:sdtContent>
            </w:sdt>
          </w:tr>
          <w:tr w:rsidR="00B637B2" w:rsidTr="00B637B2">
            <w:trPr>
              <w:cantSplit/>
            </w:trPr>
            <w:sdt>
              <w:sdtPr>
                <w:tag w:val="_PLD_6a77c21d56bf4de7bfea2b3078ae9e86"/>
                <w:id w:val="498387324"/>
                <w:lock w:val="sdtLocked"/>
              </w:sdtPr>
              <w:sdtContent>
                <w:tc>
                  <w:tcPr>
                    <w:tcW w:w="1765" w:type="pct"/>
                  </w:tcPr>
                  <w:p w:rsidR="00B637B2" w:rsidRDefault="008F04CF" w:rsidP="00B637B2">
                    <w:pPr>
                      <w:ind w:right="5"/>
                      <w:rPr>
                        <w:szCs w:val="21"/>
                      </w:rPr>
                    </w:pPr>
                    <w:r>
                      <w:rPr>
                        <w:rFonts w:hint="eastAsia"/>
                        <w:szCs w:val="21"/>
                      </w:rPr>
                      <w:t>应收利息</w:t>
                    </w:r>
                  </w:p>
                </w:tc>
              </w:sdtContent>
            </w:sdt>
            <w:tc>
              <w:tcPr>
                <w:tcW w:w="1622" w:type="pct"/>
              </w:tcPr>
              <w:p w:rsidR="00B637B2" w:rsidRDefault="008F04CF" w:rsidP="00B637B2">
                <w:pPr>
                  <w:ind w:right="5"/>
                  <w:jc w:val="right"/>
                  <w:rPr>
                    <w:szCs w:val="21"/>
                  </w:rPr>
                </w:pPr>
                <w:r>
                  <w:t>9,132,193</w:t>
                </w:r>
              </w:p>
            </w:tc>
            <w:tc>
              <w:tcPr>
                <w:tcW w:w="1613" w:type="pct"/>
              </w:tcPr>
              <w:p w:rsidR="00B637B2" w:rsidRDefault="008F04CF" w:rsidP="00B637B2">
                <w:pPr>
                  <w:ind w:right="5"/>
                  <w:jc w:val="right"/>
                  <w:rPr>
                    <w:szCs w:val="21"/>
                  </w:rPr>
                </w:pPr>
                <w:r>
                  <w:t>2,958,695</w:t>
                </w:r>
              </w:p>
            </w:tc>
          </w:tr>
          <w:tr w:rsidR="00B637B2" w:rsidTr="00B637B2">
            <w:trPr>
              <w:cantSplit/>
            </w:trPr>
            <w:sdt>
              <w:sdtPr>
                <w:tag w:val="_PLD_d5542663fde44485b06eb5b2144b7f62"/>
                <w:id w:val="123657588"/>
                <w:lock w:val="sdtLocked"/>
              </w:sdtPr>
              <w:sdtContent>
                <w:tc>
                  <w:tcPr>
                    <w:tcW w:w="1765" w:type="pct"/>
                  </w:tcPr>
                  <w:p w:rsidR="00B637B2" w:rsidRDefault="008F04CF" w:rsidP="00B637B2">
                    <w:pPr>
                      <w:ind w:right="5"/>
                      <w:rPr>
                        <w:szCs w:val="21"/>
                      </w:rPr>
                    </w:pPr>
                    <w:r>
                      <w:rPr>
                        <w:rFonts w:hint="eastAsia"/>
                        <w:szCs w:val="21"/>
                      </w:rPr>
                      <w:t>应收股利</w:t>
                    </w:r>
                  </w:p>
                </w:tc>
              </w:sdtContent>
            </w:sdt>
            <w:tc>
              <w:tcPr>
                <w:tcW w:w="1622" w:type="pct"/>
              </w:tcPr>
              <w:p w:rsidR="00B637B2" w:rsidRDefault="00B637B2" w:rsidP="00B637B2">
                <w:pPr>
                  <w:ind w:right="5"/>
                  <w:jc w:val="right"/>
                  <w:rPr>
                    <w:szCs w:val="21"/>
                  </w:rPr>
                </w:pPr>
              </w:p>
            </w:tc>
            <w:tc>
              <w:tcPr>
                <w:tcW w:w="1613" w:type="pct"/>
              </w:tcPr>
              <w:p w:rsidR="00B637B2" w:rsidRDefault="00B637B2" w:rsidP="00B637B2">
                <w:pPr>
                  <w:ind w:right="5"/>
                  <w:jc w:val="right"/>
                  <w:rPr>
                    <w:szCs w:val="21"/>
                  </w:rPr>
                </w:pPr>
              </w:p>
            </w:tc>
          </w:tr>
          <w:tr w:rsidR="00B637B2" w:rsidTr="00B637B2">
            <w:trPr>
              <w:cantSplit/>
            </w:trPr>
            <w:sdt>
              <w:sdtPr>
                <w:tag w:val="_PLD_fadacacf8b7d4e10a081b5eae54fea6b"/>
                <w:id w:val="144790674"/>
                <w:lock w:val="sdtLocked"/>
              </w:sdtPr>
              <w:sdtContent>
                <w:tc>
                  <w:tcPr>
                    <w:tcW w:w="1765" w:type="pct"/>
                  </w:tcPr>
                  <w:p w:rsidR="00B637B2" w:rsidRDefault="008F04CF" w:rsidP="00B637B2">
                    <w:pPr>
                      <w:ind w:right="5"/>
                      <w:rPr>
                        <w:szCs w:val="21"/>
                      </w:rPr>
                    </w:pPr>
                    <w:r>
                      <w:rPr>
                        <w:rFonts w:hint="eastAsia"/>
                        <w:szCs w:val="21"/>
                      </w:rPr>
                      <w:t>其他应收款</w:t>
                    </w:r>
                  </w:p>
                </w:tc>
              </w:sdtContent>
            </w:sdt>
            <w:tc>
              <w:tcPr>
                <w:tcW w:w="1622" w:type="pct"/>
              </w:tcPr>
              <w:p w:rsidR="00B637B2" w:rsidRDefault="008F04CF" w:rsidP="00B637B2">
                <w:pPr>
                  <w:ind w:right="5"/>
                  <w:jc w:val="right"/>
                  <w:rPr>
                    <w:szCs w:val="21"/>
                  </w:rPr>
                </w:pPr>
                <w:r>
                  <w:t>520,279,561</w:t>
                </w:r>
              </w:p>
            </w:tc>
            <w:tc>
              <w:tcPr>
                <w:tcW w:w="1613" w:type="pct"/>
              </w:tcPr>
              <w:p w:rsidR="00B637B2" w:rsidRDefault="008F04CF" w:rsidP="00B637B2">
                <w:pPr>
                  <w:ind w:right="5"/>
                  <w:jc w:val="right"/>
                  <w:rPr>
                    <w:szCs w:val="21"/>
                  </w:rPr>
                </w:pPr>
                <w:r>
                  <w:t>392,017,158</w:t>
                </w:r>
              </w:p>
            </w:tc>
          </w:tr>
          <w:tr w:rsidR="00B637B2" w:rsidTr="00B637B2">
            <w:trPr>
              <w:cantSplit/>
            </w:trPr>
            <w:sdt>
              <w:sdtPr>
                <w:tag w:val="_PLD_7fcd8f78599a4d76a92c6bed7b01aa27"/>
                <w:id w:val="-870226806"/>
                <w:lock w:val="sdtLocked"/>
              </w:sdtPr>
              <w:sdtContent>
                <w:tc>
                  <w:tcPr>
                    <w:tcW w:w="1765" w:type="pct"/>
                  </w:tcPr>
                  <w:p w:rsidR="00B637B2" w:rsidRDefault="008F04CF" w:rsidP="00B637B2">
                    <w:pPr>
                      <w:autoSpaceDE w:val="0"/>
                      <w:autoSpaceDN w:val="0"/>
                      <w:adjustRightInd w:val="0"/>
                      <w:jc w:val="center"/>
                      <w:rPr>
                        <w:szCs w:val="21"/>
                      </w:rPr>
                    </w:pPr>
                    <w:r>
                      <w:rPr>
                        <w:rFonts w:hint="eastAsia"/>
                        <w:szCs w:val="21"/>
                      </w:rPr>
                      <w:t>合计</w:t>
                    </w:r>
                  </w:p>
                </w:tc>
              </w:sdtContent>
            </w:sdt>
            <w:tc>
              <w:tcPr>
                <w:tcW w:w="1622" w:type="pct"/>
              </w:tcPr>
              <w:p w:rsidR="00B637B2" w:rsidRDefault="008F04CF" w:rsidP="00B637B2">
                <w:pPr>
                  <w:jc w:val="right"/>
                  <w:rPr>
                    <w:szCs w:val="21"/>
                  </w:rPr>
                </w:pPr>
                <w:r>
                  <w:t>529,411,754</w:t>
                </w:r>
              </w:p>
            </w:tc>
            <w:tc>
              <w:tcPr>
                <w:tcW w:w="1613" w:type="pct"/>
              </w:tcPr>
              <w:p w:rsidR="00B637B2" w:rsidRDefault="008F04CF" w:rsidP="00B637B2">
                <w:pPr>
                  <w:jc w:val="right"/>
                  <w:rPr>
                    <w:szCs w:val="21"/>
                  </w:rPr>
                </w:pPr>
                <w:r>
                  <w:t>394,975,853</w:t>
                </w:r>
              </w:p>
            </w:tc>
          </w:tr>
        </w:tbl>
        <w:p w:rsidR="00B637B2" w:rsidRDefault="00B637B2"/>
        <w:p w:rsidR="00B637B2" w:rsidRDefault="008F04CF">
          <w:pPr>
            <w:rPr>
              <w:szCs w:val="21"/>
            </w:rPr>
          </w:pPr>
          <w:r>
            <w:rPr>
              <w:rFonts w:hint="eastAsia"/>
              <w:szCs w:val="21"/>
            </w:rPr>
            <w:t>其他说明：</w:t>
          </w:r>
          <w:bookmarkEnd w:id="109"/>
        </w:p>
        <w:sdt>
          <w:sdtPr>
            <w:rPr>
              <w:szCs w:val="21"/>
            </w:rPr>
            <w:alias w:val="是否适用：其他应收款分类列示其他说明[双击切换]"/>
            <w:tag w:val="_GBC_73a4089b33094d13b0ea7c9bf8cfb58f"/>
            <w:id w:val="1785537959"/>
            <w:lock w:val="sdtContentLocked"/>
          </w:sdtPr>
          <w:sdtContent>
            <w:p w:rsidR="00B637B2" w:rsidRDefault="008F04CF" w:rsidP="00B637B2">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ED2DC7" w:rsidRDefault="00ED2DC7">
          <w:pPr>
            <w:rPr>
              <w:szCs w:val="21"/>
            </w:rPr>
          </w:pPr>
        </w:p>
        <w:p w:rsidR="00ED2DC7" w:rsidRDefault="000D0A99"/>
      </w:sdtContent>
    </w:sdt>
    <w:bookmarkEnd w:id="108" w:displacedByCustomXml="prev"/>
    <w:sdt>
      <w:sdtPr>
        <w:rPr>
          <w:rFonts w:asciiTheme="minorHAnsi" w:hAnsiTheme="minorHAnsi" w:cs="宋体" w:hint="eastAsia"/>
          <w:b w:val="0"/>
          <w:bCs w:val="0"/>
          <w:kern w:val="0"/>
          <w:szCs w:val="22"/>
        </w:rPr>
        <w:alias w:val="模块:应收利息"/>
        <w:tag w:val="_GBC_6620e2366b444b3fb9e784e1bb6a87fd"/>
        <w:id w:val="-94791485"/>
        <w:lock w:val="sdtLocked"/>
        <w:placeholder>
          <w:docPart w:val="GBC22222222222222222222222222222"/>
        </w:placeholder>
      </w:sdtPr>
      <w:sdtEndPr>
        <w:rPr>
          <w:rFonts w:ascii="Times New Roman" w:hAnsi="Times New Roman" w:cs="Times New Roman"/>
          <w:kern w:val="2"/>
          <w:szCs w:val="24"/>
        </w:rPr>
      </w:sdtEndPr>
      <w:sdtContent>
        <w:p w:rsidR="00ED2DC7" w:rsidRDefault="00ED2DC7">
          <w:pPr>
            <w:pStyle w:val="affffffffffffffffff2"/>
            <w:tabs>
              <w:tab w:val="left" w:pos="546"/>
            </w:tabs>
          </w:pPr>
          <w:r>
            <w:rPr>
              <w:rFonts w:asciiTheme="minorHAnsi" w:hAnsiTheme="minorHAnsi" w:cs="宋体" w:hint="eastAsia"/>
              <w:bCs w:val="0"/>
              <w:kern w:val="0"/>
              <w:szCs w:val="22"/>
            </w:rPr>
            <w:t>应收利息</w:t>
          </w:r>
        </w:p>
        <w:p w:rsidR="00ED2DC7" w:rsidRDefault="00ED2DC7" w:rsidP="00036BDC">
          <w:pPr>
            <w:pStyle w:val="affffffffffffffffff2"/>
            <w:numPr>
              <w:ilvl w:val="3"/>
              <w:numId w:val="53"/>
            </w:numPr>
            <w:tabs>
              <w:tab w:val="left" w:pos="546"/>
            </w:tabs>
          </w:pPr>
          <w:r>
            <w:rPr>
              <w:rFonts w:hint="eastAsia"/>
            </w:rPr>
            <w:t>应收利息分类</w:t>
          </w:r>
        </w:p>
        <w:sdt>
          <w:sdtPr>
            <w:alias w:val="是否适用：应收利息分类[双击切换]"/>
            <w:tag w:val="_GBC_86f9e9a81d7d4e07ae6873a88ddf6cc7"/>
            <w:id w:val="1257792206"/>
            <w:lock w:val="sdtContentLocked"/>
            <w:placeholder>
              <w:docPart w:val="GBC22222222222222222222222222222"/>
            </w:placeholder>
          </w:sdtPr>
          <w:sdtContent>
            <w:p w:rsidR="00B637B2" w:rsidRDefault="00ED2DC7" w:rsidP="00E75F7C">
              <w:r>
                <w:fldChar w:fldCharType="begin"/>
              </w:r>
              <w:r w:rsidR="008F04CF">
                <w:instrText xml:space="preserve"> MACROBUTTON  SnrToggleCheckbox √适用 </w:instrText>
              </w:r>
              <w:r>
                <w:fldChar w:fldCharType="end"/>
              </w:r>
              <w:r>
                <w:fldChar w:fldCharType="begin"/>
              </w:r>
              <w:r w:rsidR="008F04CF">
                <w:instrText xml:space="preserve"> MACROBUTTON  SnrToggleCheckbox □不适用 </w:instrText>
              </w:r>
              <w:r>
                <w:fldChar w:fldCharType="end"/>
              </w:r>
            </w:p>
          </w:sdtContent>
        </w:sdt>
        <w:p w:rsidR="00B637B2" w:rsidRDefault="008F04CF">
          <w:pPr>
            <w:jc w:val="right"/>
          </w:pPr>
          <w:r>
            <w:rPr>
              <w:rFonts w:hint="eastAsia"/>
            </w:rPr>
            <w:t>单位：</w:t>
          </w:r>
          <w:sdt>
            <w:sdtPr>
              <w:rPr>
                <w:rFonts w:hint="eastAsia"/>
              </w:rPr>
              <w:alias w:val="单位：财务附注：应收利息"/>
              <w:tag w:val="_GBC_81846eacbc9946ddbec2bf905b374235"/>
              <w:id w:val="-497729787"/>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应收利息"/>
              <w:tag w:val="_GBC_54a3d4a928194383b5465e034945e1cc"/>
              <w:id w:val="-46003661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3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756"/>
            <w:gridCol w:w="3025"/>
            <w:gridCol w:w="3042"/>
          </w:tblGrid>
          <w:tr w:rsidR="00B637B2" w:rsidTr="00B637B2">
            <w:sdt>
              <w:sdtPr>
                <w:tag w:val="_PLD_d85221ba8492478e88a450d14d1130bb"/>
                <w:id w:val="-641040060"/>
                <w:lock w:val="sdtLocked"/>
              </w:sdtPr>
              <w:sdtContent>
                <w:tc>
                  <w:tcPr>
                    <w:tcW w:w="1562" w:type="pct"/>
                  </w:tcPr>
                  <w:p w:rsidR="00B637B2" w:rsidRDefault="008F04CF" w:rsidP="00B637B2">
                    <w:pPr>
                      <w:autoSpaceDE w:val="0"/>
                      <w:autoSpaceDN w:val="0"/>
                      <w:adjustRightInd w:val="0"/>
                      <w:snapToGrid w:val="0"/>
                      <w:spacing w:line="240" w:lineRule="atLeast"/>
                      <w:jc w:val="center"/>
                      <w:rPr>
                        <w:szCs w:val="21"/>
                      </w:rPr>
                    </w:pPr>
                    <w:r>
                      <w:rPr>
                        <w:rFonts w:hint="eastAsia"/>
                        <w:szCs w:val="21"/>
                      </w:rPr>
                      <w:t>项目</w:t>
                    </w:r>
                  </w:p>
                </w:tc>
              </w:sdtContent>
            </w:sdt>
            <w:sdt>
              <w:sdtPr>
                <w:tag w:val="_PLD_7bbe528e96ef48d6be1d6728953af334"/>
                <w:id w:val="1490599543"/>
                <w:lock w:val="sdtLocked"/>
              </w:sdtPr>
              <w:sdtContent>
                <w:tc>
                  <w:tcPr>
                    <w:tcW w:w="1714" w:type="pct"/>
                  </w:tcPr>
                  <w:p w:rsidR="00B637B2" w:rsidRDefault="008F04CF" w:rsidP="00B637B2">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e6cbc7c171bd4286ad1e7578ffc41372"/>
                <w:id w:val="786398668"/>
                <w:lock w:val="sdtLocked"/>
              </w:sdtPr>
              <w:sdtContent>
                <w:tc>
                  <w:tcPr>
                    <w:tcW w:w="1724" w:type="pct"/>
                  </w:tcPr>
                  <w:p w:rsidR="00B637B2" w:rsidRDefault="008F04CF" w:rsidP="00B637B2">
                    <w:pPr>
                      <w:autoSpaceDE w:val="0"/>
                      <w:autoSpaceDN w:val="0"/>
                      <w:adjustRightInd w:val="0"/>
                      <w:snapToGrid w:val="0"/>
                      <w:spacing w:line="240" w:lineRule="atLeast"/>
                      <w:jc w:val="center"/>
                      <w:rPr>
                        <w:szCs w:val="21"/>
                      </w:rPr>
                    </w:pPr>
                    <w:r>
                      <w:rPr>
                        <w:rFonts w:hint="eastAsia"/>
                        <w:szCs w:val="21"/>
                      </w:rPr>
                      <w:t>期初余额</w:t>
                    </w:r>
                  </w:p>
                </w:tc>
              </w:sdtContent>
            </w:sdt>
          </w:tr>
          <w:tr w:rsidR="00B637B2" w:rsidTr="00B637B2">
            <w:sdt>
              <w:sdtPr>
                <w:tag w:val="_PLD_89dfa7b84fc24b898915c86633e379eb"/>
                <w:id w:val="1474791935"/>
                <w:lock w:val="sdtLocked"/>
              </w:sdtPr>
              <w:sdtContent>
                <w:tc>
                  <w:tcPr>
                    <w:tcW w:w="1562" w:type="pct"/>
                  </w:tcPr>
                  <w:p w:rsidR="00B637B2" w:rsidRDefault="008F04CF" w:rsidP="00B637B2">
                    <w:pPr>
                      <w:autoSpaceDE w:val="0"/>
                      <w:autoSpaceDN w:val="0"/>
                      <w:adjustRightInd w:val="0"/>
                      <w:snapToGrid w:val="0"/>
                      <w:spacing w:line="240" w:lineRule="atLeast"/>
                      <w:rPr>
                        <w:szCs w:val="21"/>
                      </w:rPr>
                    </w:pPr>
                    <w:r>
                      <w:rPr>
                        <w:rFonts w:hint="eastAsia"/>
                        <w:szCs w:val="21"/>
                      </w:rPr>
                      <w:t>定期存款</w:t>
                    </w:r>
                  </w:p>
                </w:tc>
              </w:sdtContent>
            </w:sdt>
            <w:tc>
              <w:tcPr>
                <w:tcW w:w="1714" w:type="pct"/>
              </w:tcPr>
              <w:p w:rsidR="00B637B2" w:rsidRDefault="008F04CF" w:rsidP="00B637B2">
                <w:pPr>
                  <w:ind w:rightChars="50" w:right="105"/>
                  <w:jc w:val="right"/>
                  <w:rPr>
                    <w:szCs w:val="21"/>
                  </w:rPr>
                </w:pPr>
                <w:r>
                  <w:t>9,132,193</w:t>
                </w:r>
              </w:p>
            </w:tc>
            <w:tc>
              <w:tcPr>
                <w:tcW w:w="1724" w:type="pct"/>
              </w:tcPr>
              <w:p w:rsidR="00B637B2" w:rsidRDefault="008F04CF" w:rsidP="00B637B2">
                <w:pPr>
                  <w:ind w:rightChars="50" w:right="105"/>
                  <w:jc w:val="right"/>
                  <w:rPr>
                    <w:szCs w:val="21"/>
                  </w:rPr>
                </w:pPr>
                <w:r>
                  <w:t>2,958,695</w:t>
                </w:r>
              </w:p>
            </w:tc>
          </w:tr>
          <w:tr w:rsidR="00B637B2" w:rsidTr="00B637B2">
            <w:sdt>
              <w:sdtPr>
                <w:tag w:val="_PLD_e67d7dc553194ed798b8bbbc642de222"/>
                <w:id w:val="1496300458"/>
                <w:lock w:val="sdtLocked"/>
              </w:sdtPr>
              <w:sdtContent>
                <w:tc>
                  <w:tcPr>
                    <w:tcW w:w="1562" w:type="pct"/>
                  </w:tcPr>
                  <w:p w:rsidR="00B637B2" w:rsidRDefault="008F04CF" w:rsidP="00B637B2">
                    <w:pPr>
                      <w:autoSpaceDE w:val="0"/>
                      <w:autoSpaceDN w:val="0"/>
                      <w:adjustRightInd w:val="0"/>
                      <w:snapToGrid w:val="0"/>
                      <w:spacing w:line="240" w:lineRule="atLeast"/>
                      <w:rPr>
                        <w:szCs w:val="21"/>
                      </w:rPr>
                    </w:pPr>
                    <w:r>
                      <w:rPr>
                        <w:rFonts w:hint="eastAsia"/>
                        <w:szCs w:val="21"/>
                      </w:rPr>
                      <w:t>委托贷款</w:t>
                    </w:r>
                  </w:p>
                </w:tc>
              </w:sdtContent>
            </w:sdt>
            <w:tc>
              <w:tcPr>
                <w:tcW w:w="1714" w:type="pct"/>
              </w:tcPr>
              <w:p w:rsidR="00B637B2" w:rsidRDefault="00B637B2" w:rsidP="00B637B2">
                <w:pPr>
                  <w:ind w:rightChars="50" w:right="105"/>
                  <w:jc w:val="right"/>
                  <w:rPr>
                    <w:szCs w:val="21"/>
                  </w:rPr>
                </w:pPr>
              </w:p>
            </w:tc>
            <w:tc>
              <w:tcPr>
                <w:tcW w:w="1724" w:type="pct"/>
              </w:tcPr>
              <w:p w:rsidR="00B637B2" w:rsidRDefault="00B637B2" w:rsidP="00B637B2">
                <w:pPr>
                  <w:ind w:rightChars="50" w:right="105"/>
                  <w:jc w:val="right"/>
                  <w:rPr>
                    <w:szCs w:val="21"/>
                  </w:rPr>
                </w:pPr>
              </w:p>
            </w:tc>
          </w:tr>
          <w:tr w:rsidR="00B637B2" w:rsidTr="00B637B2">
            <w:sdt>
              <w:sdtPr>
                <w:tag w:val="_PLD_25b9546d321b4ba98582653bb58a569c"/>
                <w:id w:val="-1025867556"/>
                <w:lock w:val="sdtLocked"/>
              </w:sdtPr>
              <w:sdtContent>
                <w:tc>
                  <w:tcPr>
                    <w:tcW w:w="1562" w:type="pct"/>
                  </w:tcPr>
                  <w:p w:rsidR="00B637B2" w:rsidRDefault="008F04CF" w:rsidP="00B637B2">
                    <w:pPr>
                      <w:autoSpaceDE w:val="0"/>
                      <w:autoSpaceDN w:val="0"/>
                      <w:adjustRightInd w:val="0"/>
                      <w:snapToGrid w:val="0"/>
                      <w:spacing w:line="240" w:lineRule="atLeast"/>
                      <w:rPr>
                        <w:szCs w:val="21"/>
                      </w:rPr>
                    </w:pPr>
                    <w:r>
                      <w:rPr>
                        <w:rFonts w:hint="eastAsia"/>
                        <w:szCs w:val="21"/>
                      </w:rPr>
                      <w:t>债券投资</w:t>
                    </w:r>
                  </w:p>
                </w:tc>
              </w:sdtContent>
            </w:sdt>
            <w:tc>
              <w:tcPr>
                <w:tcW w:w="1714" w:type="pct"/>
              </w:tcPr>
              <w:p w:rsidR="00B637B2" w:rsidRDefault="00B637B2" w:rsidP="00B637B2">
                <w:pPr>
                  <w:ind w:rightChars="50" w:right="105"/>
                  <w:jc w:val="right"/>
                  <w:rPr>
                    <w:szCs w:val="21"/>
                  </w:rPr>
                </w:pPr>
              </w:p>
            </w:tc>
            <w:tc>
              <w:tcPr>
                <w:tcW w:w="1724" w:type="pct"/>
              </w:tcPr>
              <w:p w:rsidR="00B637B2" w:rsidRDefault="00B637B2" w:rsidP="00B637B2">
                <w:pPr>
                  <w:ind w:rightChars="50" w:right="105"/>
                  <w:jc w:val="right"/>
                  <w:rPr>
                    <w:szCs w:val="21"/>
                  </w:rPr>
                </w:pPr>
              </w:p>
            </w:tc>
          </w:tr>
          <w:sdt>
            <w:sdtPr>
              <w:rPr>
                <w:rFonts w:hint="eastAsia"/>
                <w:szCs w:val="21"/>
              </w:rPr>
              <w:alias w:val="应收利息明细"/>
              <w:tag w:val="_GBC_6559a149b13647de85819b99395240fb"/>
              <w:id w:val="-593550282"/>
              <w:lock w:val="sdtLocked"/>
            </w:sdtPr>
            <w:sdtContent>
              <w:tr w:rsidR="00B637B2" w:rsidTr="00B637B2">
                <w:tc>
                  <w:tcPr>
                    <w:tcW w:w="1562" w:type="pct"/>
                  </w:tcPr>
                  <w:p w:rsidR="00B637B2" w:rsidRDefault="00B637B2" w:rsidP="00B637B2">
                    <w:pPr>
                      <w:autoSpaceDE w:val="0"/>
                      <w:autoSpaceDN w:val="0"/>
                      <w:adjustRightInd w:val="0"/>
                      <w:snapToGrid w:val="0"/>
                      <w:spacing w:line="240" w:lineRule="atLeast"/>
                      <w:rPr>
                        <w:szCs w:val="21"/>
                      </w:rPr>
                    </w:pPr>
                  </w:p>
                </w:tc>
                <w:tc>
                  <w:tcPr>
                    <w:tcW w:w="1714" w:type="pct"/>
                  </w:tcPr>
                  <w:p w:rsidR="00B637B2" w:rsidRDefault="00B637B2" w:rsidP="00B637B2">
                    <w:pPr>
                      <w:ind w:rightChars="50" w:right="105"/>
                      <w:jc w:val="right"/>
                      <w:rPr>
                        <w:szCs w:val="21"/>
                      </w:rPr>
                    </w:pPr>
                  </w:p>
                </w:tc>
                <w:tc>
                  <w:tcPr>
                    <w:tcW w:w="1724" w:type="pct"/>
                  </w:tcPr>
                  <w:p w:rsidR="00B637B2" w:rsidRDefault="00B637B2" w:rsidP="00B637B2">
                    <w:pPr>
                      <w:ind w:rightChars="50" w:right="105"/>
                      <w:jc w:val="right"/>
                      <w:rPr>
                        <w:szCs w:val="21"/>
                      </w:rPr>
                    </w:pPr>
                  </w:p>
                </w:tc>
              </w:tr>
            </w:sdtContent>
          </w:sdt>
          <w:sdt>
            <w:sdtPr>
              <w:rPr>
                <w:rFonts w:hint="eastAsia"/>
                <w:szCs w:val="21"/>
              </w:rPr>
              <w:alias w:val="应收利息明细"/>
              <w:tag w:val="_GBC_6559a149b13647de85819b99395240fb"/>
              <w:id w:val="1795475059"/>
              <w:lock w:val="sdtLocked"/>
            </w:sdtPr>
            <w:sdtContent>
              <w:tr w:rsidR="00B637B2" w:rsidTr="00B637B2">
                <w:tc>
                  <w:tcPr>
                    <w:tcW w:w="1562" w:type="pct"/>
                  </w:tcPr>
                  <w:p w:rsidR="00B637B2" w:rsidRDefault="00B637B2" w:rsidP="00B637B2">
                    <w:pPr>
                      <w:autoSpaceDE w:val="0"/>
                      <w:autoSpaceDN w:val="0"/>
                      <w:adjustRightInd w:val="0"/>
                      <w:snapToGrid w:val="0"/>
                      <w:spacing w:line="240" w:lineRule="atLeast"/>
                      <w:rPr>
                        <w:szCs w:val="21"/>
                      </w:rPr>
                    </w:pPr>
                  </w:p>
                </w:tc>
                <w:tc>
                  <w:tcPr>
                    <w:tcW w:w="1714" w:type="pct"/>
                  </w:tcPr>
                  <w:p w:rsidR="00B637B2" w:rsidRDefault="00B637B2" w:rsidP="00B637B2">
                    <w:pPr>
                      <w:ind w:rightChars="50" w:right="105"/>
                      <w:jc w:val="right"/>
                      <w:rPr>
                        <w:szCs w:val="21"/>
                      </w:rPr>
                    </w:pPr>
                  </w:p>
                </w:tc>
                <w:tc>
                  <w:tcPr>
                    <w:tcW w:w="1724" w:type="pct"/>
                  </w:tcPr>
                  <w:p w:rsidR="00B637B2" w:rsidRDefault="00B637B2" w:rsidP="00B637B2">
                    <w:pPr>
                      <w:ind w:rightChars="50" w:right="105"/>
                      <w:jc w:val="right"/>
                      <w:rPr>
                        <w:szCs w:val="21"/>
                      </w:rPr>
                    </w:pPr>
                  </w:p>
                </w:tc>
              </w:tr>
            </w:sdtContent>
          </w:sdt>
          <w:tr w:rsidR="00B637B2" w:rsidTr="00B637B2">
            <w:sdt>
              <w:sdtPr>
                <w:tag w:val="_PLD_04fe1c3dc87c434280704eb31ff818d1"/>
                <w:id w:val="-1861501723"/>
                <w:lock w:val="sdtLocked"/>
              </w:sdtPr>
              <w:sdtContent>
                <w:tc>
                  <w:tcPr>
                    <w:tcW w:w="1562" w:type="pct"/>
                  </w:tcPr>
                  <w:p w:rsidR="00B637B2" w:rsidRDefault="008F04CF" w:rsidP="00B637B2">
                    <w:pPr>
                      <w:autoSpaceDE w:val="0"/>
                      <w:autoSpaceDN w:val="0"/>
                      <w:adjustRightInd w:val="0"/>
                      <w:snapToGrid w:val="0"/>
                      <w:spacing w:line="240" w:lineRule="atLeast"/>
                      <w:jc w:val="center"/>
                      <w:rPr>
                        <w:szCs w:val="21"/>
                      </w:rPr>
                    </w:pPr>
                    <w:r>
                      <w:rPr>
                        <w:rFonts w:hint="eastAsia"/>
                        <w:szCs w:val="21"/>
                      </w:rPr>
                      <w:t>合计</w:t>
                    </w:r>
                  </w:p>
                </w:tc>
              </w:sdtContent>
            </w:sdt>
            <w:tc>
              <w:tcPr>
                <w:tcW w:w="1714" w:type="pct"/>
              </w:tcPr>
              <w:p w:rsidR="00B637B2" w:rsidRDefault="008F04CF" w:rsidP="00B637B2">
                <w:pPr>
                  <w:ind w:rightChars="50" w:right="105"/>
                  <w:jc w:val="right"/>
                  <w:rPr>
                    <w:szCs w:val="21"/>
                  </w:rPr>
                </w:pPr>
                <w:r>
                  <w:t>9,132,193</w:t>
                </w:r>
              </w:p>
            </w:tc>
            <w:tc>
              <w:tcPr>
                <w:tcW w:w="1724" w:type="pct"/>
              </w:tcPr>
              <w:p w:rsidR="00B637B2" w:rsidRDefault="008F04CF" w:rsidP="00B637B2">
                <w:pPr>
                  <w:ind w:rightChars="50" w:right="105"/>
                  <w:jc w:val="right"/>
                  <w:rPr>
                    <w:szCs w:val="21"/>
                  </w:rPr>
                </w:pPr>
                <w:r>
                  <w:t>2,958,695</w:t>
                </w:r>
              </w:p>
            </w:tc>
          </w:tr>
        </w:tbl>
        <w:p w:rsidR="00B637B2" w:rsidRDefault="00B637B2"/>
        <w:p w:rsidR="00ED2DC7" w:rsidRDefault="000D0A99" w:rsidP="00E75F7C">
          <w:pPr>
            <w:rPr>
              <w:szCs w:val="21"/>
            </w:rPr>
          </w:pPr>
        </w:p>
      </w:sdtContent>
    </w:sdt>
    <w:sdt>
      <w:sdtPr>
        <w:rPr>
          <w:rFonts w:ascii="宋体" w:hAnsi="宋体" w:cs="宋体" w:hint="eastAsia"/>
          <w:b w:val="0"/>
          <w:bCs w:val="0"/>
          <w:kern w:val="0"/>
          <w:szCs w:val="24"/>
        </w:rPr>
        <w:alias w:val="模块:逾期利息"/>
        <w:tag w:val="_GBC_bcfcff19f55a43f988e9223dca0728dc"/>
        <w:id w:val="2121789515"/>
        <w:lock w:val="sdtLocked"/>
        <w:placeholder>
          <w:docPart w:val="GBC22222222222222222222222222222"/>
        </w:placeholder>
      </w:sdtPr>
      <w:sdtEndPr>
        <w:rPr>
          <w:rFonts w:ascii="Times New Roman" w:hAnsi="Times New Roman"/>
        </w:rPr>
      </w:sdtEndPr>
      <w:sdtContent>
        <w:p w:rsidR="00ED2DC7" w:rsidRDefault="00ED2DC7" w:rsidP="00036BDC">
          <w:pPr>
            <w:pStyle w:val="affffffffffffffffff2"/>
            <w:numPr>
              <w:ilvl w:val="3"/>
              <w:numId w:val="53"/>
            </w:numPr>
            <w:tabs>
              <w:tab w:val="left" w:pos="546"/>
            </w:tabs>
          </w:pPr>
          <w:r>
            <w:rPr>
              <w:rFonts w:hint="eastAsia"/>
            </w:rPr>
            <w:t>重要逾期利息</w:t>
          </w:r>
        </w:p>
        <w:sdt>
          <w:sdtPr>
            <w:alias w:val="是否适用：重要逾期利息[双击切换]"/>
            <w:tag w:val="_GBC_4554f307ef2241a583829b74df8ef0c3"/>
            <w:id w:val="-786049661"/>
            <w:lock w:val="sdtContentLocked"/>
            <w:placeholder>
              <w:docPart w:val="GBC22222222222222222222222222222"/>
            </w:placeholder>
          </w:sdtPr>
          <w:sdtContent>
            <w:p w:rsidR="00ED2DC7" w:rsidRDefault="00ED2DC7" w:rsidP="00E75F7C">
              <w:pPr>
                <w:rPr>
                  <w:rFonts w:ascii="Times New Roman" w:hAnsi="Times New Roman"/>
                </w:rPr>
              </w:pPr>
              <w:r>
                <w:fldChar w:fldCharType="begin"/>
              </w:r>
              <w:r w:rsidR="00E75F7C">
                <w:instrText xml:space="preserve"> MACROBUTTON  SnrToggleCheckbox □适用 </w:instrText>
              </w:r>
              <w:r>
                <w:fldChar w:fldCharType="end"/>
              </w:r>
              <w:r>
                <w:fldChar w:fldCharType="begin"/>
              </w:r>
              <w:r w:rsidR="00E75F7C">
                <w:instrText xml:space="preserve"> MACROBUTTON  SnrToggleCheckbox √不适用 </w:instrText>
              </w:r>
              <w:r>
                <w:fldChar w:fldCharType="end"/>
              </w:r>
            </w:p>
          </w:sdtContent>
        </w:sdt>
      </w:sdtContent>
    </w:sdt>
    <w:bookmarkStart w:id="110" w:name="_Hlk10468247" w:displacedByCustomXml="next"/>
    <w:sdt>
      <w:sdtPr>
        <w:rPr>
          <w:rFonts w:ascii="宋体" w:hAnsi="宋体" w:cs="宋体" w:hint="eastAsia"/>
          <w:b w:val="0"/>
          <w:bCs w:val="0"/>
          <w:kern w:val="0"/>
          <w:szCs w:val="21"/>
        </w:rPr>
        <w:alias w:val="模块:坏账准备计提情况"/>
        <w:tag w:val="_SEC_61c56552057346dd98026d659f25d3ef"/>
        <w:id w:val="-1692222428"/>
        <w:lock w:val="sdtLocked"/>
        <w:placeholder>
          <w:docPart w:val="GBC22222222222222222222222222222"/>
        </w:placeholder>
      </w:sdtPr>
      <w:sdtContent>
        <w:p w:rsidR="00ED2DC7" w:rsidRDefault="00ED2DC7" w:rsidP="00036BDC">
          <w:pPr>
            <w:pStyle w:val="affffffffffffffffff2"/>
            <w:numPr>
              <w:ilvl w:val="3"/>
              <w:numId w:val="53"/>
            </w:numPr>
            <w:tabs>
              <w:tab w:val="left" w:pos="546"/>
            </w:tabs>
            <w:rPr>
              <w:szCs w:val="21"/>
            </w:rPr>
          </w:pPr>
          <w:r>
            <w:rPr>
              <w:rFonts w:hint="eastAsia"/>
              <w:szCs w:val="21"/>
            </w:rPr>
            <w:t>坏账准备计提情况</w:t>
          </w:r>
        </w:p>
        <w:sdt>
          <w:sdtPr>
            <w:rPr>
              <w:szCs w:val="21"/>
            </w:rPr>
            <w:alias w:val="是否适用：应收利息坏账准备调节表[双击切换]"/>
            <w:tag w:val="_GBC_2081adab30854417bcfae25caae8c9f9"/>
            <w:id w:val="-521945165"/>
            <w:lock w:val="sdtContentLocked"/>
            <w:placeholder>
              <w:docPart w:val="GBC22222222222222222222222222222"/>
            </w:placeholder>
          </w:sdtPr>
          <w:sdtContent>
            <w:p w:rsidR="00E75F7C" w:rsidRDefault="00ED2DC7" w:rsidP="00E75F7C">
              <w:pPr>
                <w:rPr>
                  <w:szCs w:val="21"/>
                </w:rPr>
              </w:pPr>
              <w:r>
                <w:rPr>
                  <w:szCs w:val="21"/>
                </w:rPr>
                <w:fldChar w:fldCharType="begin"/>
              </w:r>
              <w:r w:rsidR="00E75F7C">
                <w:rPr>
                  <w:szCs w:val="21"/>
                </w:rPr>
                <w:instrText xml:space="preserve"> MACROBUTTON  SnrToggleCheckbox □适用 </w:instrText>
              </w:r>
              <w:r>
                <w:rPr>
                  <w:szCs w:val="21"/>
                </w:rPr>
                <w:fldChar w:fldCharType="end"/>
              </w:r>
              <w:r>
                <w:rPr>
                  <w:szCs w:val="21"/>
                </w:rPr>
                <w:fldChar w:fldCharType="begin"/>
              </w:r>
              <w:r w:rsidR="00E75F7C">
                <w:rPr>
                  <w:szCs w:val="21"/>
                </w:rPr>
                <w:instrText xml:space="preserve"> MACROBUTTON  SnrToggleCheckbox √不适用 </w:instrText>
              </w:r>
              <w:r>
                <w:rPr>
                  <w:szCs w:val="21"/>
                </w:rPr>
                <w:fldChar w:fldCharType="end"/>
              </w:r>
            </w:p>
          </w:sdtContent>
        </w:sdt>
        <w:p w:rsidR="00ED2DC7" w:rsidRDefault="00ED2DC7">
          <w:pPr>
            <w:autoSpaceDE w:val="0"/>
            <w:autoSpaceDN w:val="0"/>
            <w:adjustRightInd w:val="0"/>
            <w:ind w:rightChars="50" w:right="105"/>
            <w:rPr>
              <w:szCs w:val="21"/>
            </w:rPr>
          </w:pPr>
        </w:p>
        <w:p w:rsidR="00ED2DC7" w:rsidRDefault="000D0A99">
          <w:pPr>
            <w:rPr>
              <w:szCs w:val="21"/>
            </w:rPr>
          </w:pPr>
        </w:p>
      </w:sdtContent>
    </w:sdt>
    <w:bookmarkEnd w:id="110" w:displacedByCustomXml="prev"/>
    <w:sdt>
      <w:sdtPr>
        <w:rPr>
          <w:rFonts w:hint="eastAsia"/>
          <w:b/>
          <w:bCs/>
        </w:rPr>
        <w:alias w:val="模块:应收利息的说明"/>
        <w:tag w:val="_GBC_0dc3bcd06a754f79952657ba82acdc9f"/>
        <w:id w:val="-1934347006"/>
        <w:lock w:val="sdtLocked"/>
        <w:placeholder>
          <w:docPart w:val="GBC22222222222222222222222222222"/>
        </w:placeholder>
      </w:sdtPr>
      <w:sdtEndPr>
        <w:rPr>
          <w:rFonts w:hint="default"/>
          <w:b w:val="0"/>
          <w:bCs w:val="0"/>
          <w:szCs w:val="21"/>
        </w:rPr>
      </w:sdtEndPr>
      <w:sdtContent>
        <w:p w:rsidR="00ED2DC7" w:rsidRDefault="00ED2DC7">
          <w:r>
            <w:rPr>
              <w:rFonts w:hint="eastAsia"/>
            </w:rPr>
            <w:t>其他说明：</w:t>
          </w:r>
        </w:p>
        <w:sdt>
          <w:sdtPr>
            <w:alias w:val="是否适用：应收利息的说明[双击切换]"/>
            <w:tag w:val="_GBC_9fcbab94f58048baace4761ca17ae925"/>
            <w:id w:val="190733231"/>
            <w:lock w:val="sdtContentLocked"/>
            <w:placeholder>
              <w:docPart w:val="GBC22222222222222222222222222222"/>
            </w:placeholder>
          </w:sdtPr>
          <w:sdtContent>
            <w:p w:rsidR="00ED2DC7" w:rsidRDefault="00ED2DC7" w:rsidP="00E75F7C">
              <w:pPr>
                <w:rPr>
                  <w:szCs w:val="21"/>
                </w:rPr>
              </w:pPr>
              <w:r>
                <w:fldChar w:fldCharType="begin"/>
              </w:r>
              <w:r w:rsidR="00E75F7C">
                <w:instrText xml:space="preserve"> MACROBUTTON  SnrToggleCheckbox □适用 </w:instrText>
              </w:r>
              <w:r>
                <w:fldChar w:fldCharType="end"/>
              </w:r>
              <w:r>
                <w:fldChar w:fldCharType="begin"/>
              </w:r>
              <w:r w:rsidR="00E75F7C">
                <w:instrText xml:space="preserve"> MACROBUTTON  SnrToggleCheckbox √不适用 </w:instrText>
              </w:r>
              <w:r>
                <w:fldChar w:fldCharType="end"/>
              </w:r>
            </w:p>
          </w:sdtContent>
        </w:sdt>
      </w:sdtContent>
    </w:sdt>
    <w:p w:rsidR="00ED2DC7" w:rsidRDefault="00ED2DC7">
      <w:pPr>
        <w:rPr>
          <w:szCs w:val="21"/>
        </w:rPr>
      </w:pPr>
    </w:p>
    <w:p w:rsidR="00ED2DC7" w:rsidRDefault="00ED2DC7">
      <w:pPr>
        <w:pStyle w:val="affffffffffffffffff2"/>
      </w:pPr>
      <w:r>
        <w:rPr>
          <w:rFonts w:hint="eastAsia"/>
        </w:rPr>
        <w:t>应收股利</w:t>
      </w:r>
    </w:p>
    <w:sdt>
      <w:sdtPr>
        <w:rPr>
          <w:rFonts w:asciiTheme="minorHAnsi" w:hAnsiTheme="minorHAnsi" w:cstheme="minorBidi" w:hint="eastAsia"/>
          <w:b w:val="0"/>
          <w:bCs w:val="0"/>
          <w:kern w:val="0"/>
          <w:szCs w:val="22"/>
        </w:rPr>
        <w:alias w:val="模块:应收股利"/>
        <w:tag w:val="_GBC_94a22362634d47499fd45a0a5577c49b"/>
        <w:id w:val="-75833676"/>
        <w:lock w:val="sdtLocked"/>
        <w:placeholder>
          <w:docPart w:val="GBC22222222222222222222222222222"/>
        </w:placeholder>
      </w:sdtPr>
      <w:sdtEndPr>
        <w:rPr>
          <w:rFonts w:ascii="Times New Roman" w:hAnsi="Times New Roman" w:cs="Times New Roman"/>
          <w:szCs w:val="24"/>
        </w:rPr>
      </w:sdtEndPr>
      <w:sdtContent>
        <w:p w:rsidR="00ED2DC7" w:rsidRDefault="00ED2DC7" w:rsidP="00036BDC">
          <w:pPr>
            <w:pStyle w:val="affffffffffffffffff2"/>
            <w:numPr>
              <w:ilvl w:val="3"/>
              <w:numId w:val="54"/>
            </w:numPr>
            <w:tabs>
              <w:tab w:val="left" w:pos="560"/>
            </w:tabs>
          </w:pPr>
          <w:r>
            <w:rPr>
              <w:rFonts w:hint="eastAsia"/>
            </w:rPr>
            <w:t>应收股利</w:t>
          </w:r>
        </w:p>
        <w:sdt>
          <w:sdtPr>
            <w:alias w:val="是否适用：应收股利[双击切换]"/>
            <w:tag w:val="_GBC_002b8ba295db406eb34a179aa27a4801"/>
            <w:id w:val="-810864111"/>
            <w:lock w:val="sdtContentLocked"/>
            <w:placeholder>
              <w:docPart w:val="GBC22222222222222222222222222222"/>
            </w:placeholder>
          </w:sdtPr>
          <w:sdtContent>
            <w:p w:rsidR="00ED2DC7" w:rsidRDefault="00ED2DC7" w:rsidP="00E75F7C">
              <w:pPr>
                <w:rPr>
                  <w:szCs w:val="21"/>
                </w:rPr>
              </w:pPr>
              <w:r>
                <w:fldChar w:fldCharType="begin"/>
              </w:r>
              <w:r w:rsidR="00E75F7C">
                <w:instrText xml:space="preserve"> MACROBUTTON  SnrToggleCheckbox □适用 </w:instrText>
              </w:r>
              <w:r>
                <w:fldChar w:fldCharType="end"/>
              </w:r>
              <w:r>
                <w:fldChar w:fldCharType="begin"/>
              </w:r>
              <w:r w:rsidR="00E75F7C">
                <w:instrText xml:space="preserve"> MACROBUTTON  SnrToggleCheckbox √不适用 </w:instrText>
              </w:r>
              <w:r>
                <w:fldChar w:fldCharType="end"/>
              </w:r>
            </w:p>
          </w:sdtContent>
        </w:sdt>
      </w:sdtContent>
    </w:sdt>
    <w:sdt>
      <w:sdtPr>
        <w:rPr>
          <w:rFonts w:asciiTheme="minorHAnsi" w:hAnsiTheme="minorHAnsi" w:cstheme="minorBidi" w:hint="eastAsia"/>
          <w:b w:val="0"/>
          <w:bCs w:val="0"/>
          <w:kern w:val="0"/>
          <w:szCs w:val="22"/>
        </w:rPr>
        <w:alias w:val="模块:应收股利"/>
        <w:tag w:val="_GBC_aafe0f2583ac4a35a029d834ee52b5de"/>
        <w:id w:val="558138504"/>
        <w:lock w:val="sdtLocked"/>
        <w:placeholder>
          <w:docPart w:val="GBC22222222222222222222222222222"/>
        </w:placeholder>
      </w:sdtPr>
      <w:sdtEndPr>
        <w:rPr>
          <w:rFonts w:ascii="Times New Roman" w:hAnsi="Times New Roman" w:cs="Times New Roman"/>
          <w:szCs w:val="24"/>
        </w:rPr>
      </w:sdtEndPr>
      <w:sdtContent>
        <w:p w:rsidR="00ED2DC7" w:rsidRDefault="00ED2DC7" w:rsidP="00036BDC">
          <w:pPr>
            <w:pStyle w:val="affffffffffffffffff2"/>
            <w:numPr>
              <w:ilvl w:val="3"/>
              <w:numId w:val="54"/>
            </w:numPr>
            <w:tabs>
              <w:tab w:val="left" w:pos="560"/>
            </w:tabs>
          </w:pPr>
          <w:r>
            <w:rPr>
              <w:rFonts w:hint="eastAsia"/>
            </w:rPr>
            <w:t>重要的账龄超过</w:t>
          </w:r>
          <w:r>
            <w:rPr>
              <w:rFonts w:hint="eastAsia"/>
            </w:rPr>
            <w:t>1</w:t>
          </w:r>
          <w:r>
            <w:rPr>
              <w:rFonts w:hint="eastAsia"/>
            </w:rPr>
            <w:t>年的应收股利</w:t>
          </w:r>
        </w:p>
        <w:p w:rsidR="00ED2DC7" w:rsidRDefault="000D0A99" w:rsidP="00E75F7C">
          <w:pPr>
            <w:rPr>
              <w:rFonts w:ascii="Times New Roman" w:hAnsi="Times New Roman" w:cs="Times New Roman"/>
            </w:rPr>
          </w:pPr>
          <w:sdt>
            <w:sdtPr>
              <w:rPr>
                <w:rFonts w:hint="eastAsia"/>
                <w:szCs w:val="21"/>
              </w:rPr>
              <w:alias w:val="是否适用：重要的账龄超过1年的应收股利[双击切换]"/>
              <w:tag w:val="_GBC_9aa7ef4a3c0c40638901a5b7f6224231"/>
              <w:id w:val="-2036800366"/>
              <w:lock w:val="sdtContentLocked"/>
              <w:placeholder>
                <w:docPart w:val="GBC22222222222222222222222222222"/>
              </w:placeholder>
            </w:sdtPr>
            <w:sdtContent>
              <w:r w:rsidR="00ED2DC7">
                <w:rPr>
                  <w:szCs w:val="21"/>
                </w:rPr>
                <w:fldChar w:fldCharType="begin"/>
              </w:r>
              <w:r w:rsidR="00E75F7C">
                <w:rPr>
                  <w:szCs w:val="21"/>
                </w:rPr>
                <w:instrText xml:space="preserve"> MACROBUTTON  SnrToggleCheckbox □适用 </w:instrText>
              </w:r>
              <w:r w:rsidR="00ED2DC7">
                <w:rPr>
                  <w:szCs w:val="21"/>
                </w:rPr>
                <w:fldChar w:fldCharType="end"/>
              </w:r>
              <w:r w:rsidR="00ED2DC7">
                <w:rPr>
                  <w:szCs w:val="21"/>
                </w:rPr>
                <w:fldChar w:fldCharType="begin"/>
              </w:r>
              <w:r w:rsidR="00E75F7C">
                <w:rPr>
                  <w:szCs w:val="21"/>
                </w:rPr>
                <w:instrText xml:space="preserve"> MACROBUTTON  SnrToggleCheckbox √不适用 </w:instrText>
              </w:r>
              <w:r w:rsidR="00ED2DC7">
                <w:rPr>
                  <w:szCs w:val="21"/>
                </w:rPr>
                <w:fldChar w:fldCharType="end"/>
              </w:r>
            </w:sdtContent>
          </w:sdt>
        </w:p>
      </w:sdtContent>
    </w:sdt>
    <w:bookmarkStart w:id="111" w:name="_Hlk10468610" w:displacedByCustomXml="next"/>
    <w:sdt>
      <w:sdtPr>
        <w:rPr>
          <w:rFonts w:ascii="Times New Roman" w:hAnsi="Times New Roman" w:cs="宋体" w:hint="eastAsia"/>
          <w:b w:val="0"/>
          <w:bCs w:val="0"/>
          <w:kern w:val="0"/>
          <w:szCs w:val="24"/>
        </w:rPr>
        <w:alias w:val="模块:坏账准备计提情况"/>
        <w:tag w:val="_SEC_cce3905839dc4d6ea19cf81ee0af7e4b"/>
        <w:id w:val="-314490809"/>
        <w:lock w:val="sdtLocked"/>
        <w:placeholder>
          <w:docPart w:val="GBC22222222222222222222222222222"/>
        </w:placeholder>
      </w:sdtPr>
      <w:sdtEndPr>
        <w:rPr>
          <w:rFonts w:hint="default"/>
        </w:rPr>
      </w:sdtEndPr>
      <w:sdtContent>
        <w:p w:rsidR="00ED2DC7" w:rsidRDefault="00ED2DC7" w:rsidP="00036BDC">
          <w:pPr>
            <w:pStyle w:val="affffffffffffffffff2"/>
            <w:numPr>
              <w:ilvl w:val="3"/>
              <w:numId w:val="54"/>
            </w:numPr>
            <w:tabs>
              <w:tab w:val="left" w:pos="560"/>
            </w:tabs>
            <w:rPr>
              <w:rFonts w:ascii="Times New Roman" w:hAnsi="Times New Roman"/>
            </w:rPr>
          </w:pPr>
          <w:r>
            <w:rPr>
              <w:rFonts w:ascii="Times New Roman" w:hAnsi="Times New Roman" w:hint="eastAsia"/>
            </w:rPr>
            <w:t>坏账准备计提情况</w:t>
          </w:r>
        </w:p>
        <w:sdt>
          <w:sdtPr>
            <w:alias w:val="是否适用：应收股利坏账准备调节表[双击切换]"/>
            <w:tag w:val="_GBC_5a51eb2bfb0643eb8b9c73cdd0dbec60"/>
            <w:id w:val="-1399134574"/>
            <w:lock w:val="sdtContentLocked"/>
            <w:placeholder>
              <w:docPart w:val="GBC22222222222222222222222222222"/>
            </w:placeholder>
          </w:sdtPr>
          <w:sdtContent>
            <w:p w:rsidR="00E75F7C" w:rsidRDefault="00ED2DC7" w:rsidP="00E75F7C">
              <w:pPr>
                <w:rPr>
                  <w:szCs w:val="21"/>
                </w:rPr>
              </w:pPr>
              <w:r>
                <w:fldChar w:fldCharType="begin"/>
              </w:r>
              <w:r w:rsidR="00E75F7C">
                <w:instrText xml:space="preserve"> MACROBUTTON  SnrToggleCheckbox □适用 </w:instrText>
              </w:r>
              <w:r>
                <w:fldChar w:fldCharType="end"/>
              </w:r>
              <w:r>
                <w:fldChar w:fldCharType="begin"/>
              </w:r>
              <w:r w:rsidR="00E75F7C">
                <w:instrText xml:space="preserve"> MACROBUTTON  SnrToggleCheckbox √不适用 </w:instrText>
              </w:r>
              <w:r>
                <w:fldChar w:fldCharType="end"/>
              </w:r>
            </w:p>
          </w:sdtContent>
        </w:sdt>
        <w:p w:rsidR="00ED2DC7" w:rsidRDefault="00ED2DC7">
          <w:pPr>
            <w:autoSpaceDE w:val="0"/>
            <w:autoSpaceDN w:val="0"/>
            <w:adjustRightInd w:val="0"/>
            <w:ind w:rightChars="50" w:right="105"/>
            <w:rPr>
              <w:szCs w:val="21"/>
            </w:rPr>
          </w:pPr>
        </w:p>
        <w:p w:rsidR="00ED2DC7" w:rsidRDefault="000D0A99">
          <w:pPr>
            <w:rPr>
              <w:rFonts w:ascii="Times New Roman" w:hAnsi="Times New Roman" w:cs="Times New Roman"/>
            </w:rPr>
          </w:pPr>
        </w:p>
      </w:sdtContent>
    </w:sdt>
    <w:bookmarkEnd w:id="111" w:displacedByCustomXml="prev"/>
    <w:sdt>
      <w:sdtPr>
        <w:rPr>
          <w:rFonts w:hint="eastAsia"/>
          <w:szCs w:val="21"/>
        </w:rPr>
        <w:alias w:val="模块:应收股利的说明"/>
        <w:tag w:val="_GBC_3543035ac1594f0aaa966ebb907a6f0d"/>
        <w:id w:val="1736666359"/>
        <w:lock w:val="sdtLocked"/>
        <w:placeholder>
          <w:docPart w:val="GBC22222222222222222222222222222"/>
        </w:placeholder>
      </w:sdtPr>
      <w:sdtEndPr>
        <w:rPr>
          <w:rFonts w:hint="default"/>
        </w:rPr>
      </w:sdtEndPr>
      <w:sdtContent>
        <w:p w:rsidR="00ED2DC7" w:rsidRDefault="00ED2DC7">
          <w:pPr>
            <w:rPr>
              <w:szCs w:val="21"/>
            </w:rPr>
          </w:pPr>
          <w:r>
            <w:rPr>
              <w:rFonts w:hint="eastAsia"/>
              <w:szCs w:val="21"/>
            </w:rPr>
            <w:t>其他说明：</w:t>
          </w:r>
        </w:p>
        <w:sdt>
          <w:sdtPr>
            <w:rPr>
              <w:szCs w:val="21"/>
            </w:rPr>
            <w:alias w:val="是否适用：应收股利的说明[双击切换]"/>
            <w:tag w:val="_GBC_108dd924d7ca4fa78961046db5cd354e"/>
            <w:id w:val="793188375"/>
            <w:lock w:val="sdtContentLocked"/>
            <w:placeholder>
              <w:docPart w:val="GBC22222222222222222222222222222"/>
            </w:placeholder>
          </w:sdtPr>
          <w:sdtContent>
            <w:p w:rsidR="00ED2DC7" w:rsidRDefault="00ED2DC7" w:rsidP="00E75F7C">
              <w:pPr>
                <w:rPr>
                  <w:szCs w:val="21"/>
                </w:rPr>
              </w:pPr>
              <w:r>
                <w:rPr>
                  <w:szCs w:val="21"/>
                </w:rPr>
                <w:fldChar w:fldCharType="begin"/>
              </w:r>
              <w:r w:rsidR="00E75F7C">
                <w:rPr>
                  <w:szCs w:val="21"/>
                </w:rPr>
                <w:instrText xml:space="preserve"> MACROBUTTON  SnrToggleCheckbox □适用 </w:instrText>
              </w:r>
              <w:r>
                <w:rPr>
                  <w:szCs w:val="21"/>
                </w:rPr>
                <w:fldChar w:fldCharType="end"/>
              </w:r>
              <w:r>
                <w:rPr>
                  <w:szCs w:val="21"/>
                </w:rPr>
                <w:fldChar w:fldCharType="begin"/>
              </w:r>
              <w:r w:rsidR="00E75F7C">
                <w:rPr>
                  <w:szCs w:val="21"/>
                </w:rPr>
                <w:instrText xml:space="preserve"> MACROBUTTON  SnrToggleCheckbox √不适用 </w:instrText>
              </w:r>
              <w:r>
                <w:rPr>
                  <w:szCs w:val="21"/>
                </w:rPr>
                <w:fldChar w:fldCharType="end"/>
              </w:r>
            </w:p>
          </w:sdtContent>
        </w:sdt>
      </w:sdtContent>
    </w:sdt>
    <w:p w:rsidR="00ED2DC7" w:rsidRDefault="00ED2DC7">
      <w:pPr>
        <w:snapToGrid w:val="0"/>
        <w:spacing w:line="240" w:lineRule="atLeast"/>
        <w:ind w:rightChars="12" w:right="25"/>
        <w:rPr>
          <w:color w:val="FF0000"/>
          <w:szCs w:val="21"/>
        </w:rPr>
      </w:pPr>
    </w:p>
    <w:p w:rsidR="00ED2DC7" w:rsidRDefault="00ED2DC7">
      <w:pPr>
        <w:pStyle w:val="affffffffffffffffff2"/>
      </w:pPr>
      <w:r>
        <w:rPr>
          <w:rFonts w:hint="eastAsia"/>
        </w:rPr>
        <w:t>其他应收款</w:t>
      </w:r>
    </w:p>
    <w:bookmarkStart w:id="112" w:name="_Hlk10469252" w:displacedByCustomXml="next"/>
    <w:sdt>
      <w:sdtPr>
        <w:rPr>
          <w:rFonts w:ascii="宋体" w:hAnsi="宋体" w:cs="宋体" w:hint="eastAsia"/>
          <w:b w:val="0"/>
          <w:bCs w:val="0"/>
          <w:kern w:val="0"/>
          <w:szCs w:val="21"/>
        </w:rPr>
        <w:alias w:val="模块:组合中，按账龄分析法计提坏账准备的其他应收账款："/>
        <w:tag w:val="_GBC_84907f0c47bb4c62b91a81382adfc126"/>
        <w:id w:val="236829894"/>
        <w:lock w:val="sdtLocked"/>
        <w:placeholder>
          <w:docPart w:val="GBC22222222222222222222222222222"/>
        </w:placeholder>
      </w:sdtPr>
      <w:sdtEndPr>
        <w:rPr>
          <w:rFonts w:hint="default"/>
        </w:rPr>
      </w:sdtEndPr>
      <w:sdtContent>
        <w:p w:rsidR="00ED2DC7" w:rsidRDefault="00ED2DC7" w:rsidP="00036BDC">
          <w:pPr>
            <w:pStyle w:val="affffffffffffffffff2"/>
            <w:numPr>
              <w:ilvl w:val="3"/>
              <w:numId w:val="54"/>
            </w:numPr>
            <w:tabs>
              <w:tab w:val="left" w:pos="560"/>
            </w:tabs>
            <w:rPr>
              <w:szCs w:val="21"/>
            </w:rPr>
          </w:pPr>
          <w:r>
            <w:rPr>
              <w:rFonts w:hint="eastAsia"/>
              <w:szCs w:val="21"/>
            </w:rPr>
            <w:t>按账龄披露</w:t>
          </w:r>
        </w:p>
        <w:sdt>
          <w:sdtPr>
            <w:rPr>
              <w:rFonts w:hint="eastAsia"/>
              <w:szCs w:val="21"/>
            </w:rPr>
            <w:alias w:val="是否适用：组合中，按账龄分析法计提坏账准备的其他应收账款[双击切换]"/>
            <w:tag w:val="_GBC_14503383cb9a4c528e4dc8ae4e2b1c29"/>
            <w:id w:val="-1882859424"/>
            <w:lock w:val="sdtContentLocked"/>
            <w:placeholder>
              <w:docPart w:val="GBC22222222222222222222222222222"/>
            </w:placeholder>
          </w:sdtPr>
          <w:sdtContent>
            <w:p w:rsidR="00ED2DC7" w:rsidRDefault="00ED2DC7">
              <w:pPr>
                <w:rPr>
                  <w:szCs w:val="21"/>
                </w:rPr>
              </w:pPr>
              <w:r>
                <w:rPr>
                  <w:szCs w:val="21"/>
                </w:rPr>
                <w:fldChar w:fldCharType="begin"/>
              </w:r>
              <w:r w:rsidR="00E75F7C">
                <w:rPr>
                  <w:szCs w:val="21"/>
                </w:rPr>
                <w:instrText>MACROBUTTON  SnrToggleCheckbox √适用</w:instrText>
              </w:r>
              <w:r>
                <w:rPr>
                  <w:szCs w:val="21"/>
                </w:rPr>
                <w:fldChar w:fldCharType="end"/>
              </w:r>
              <w:r>
                <w:rPr>
                  <w:szCs w:val="21"/>
                </w:rPr>
                <w:fldChar w:fldCharType="begin"/>
              </w:r>
              <w:r w:rsidR="00E75F7C">
                <w:rPr>
                  <w:szCs w:val="21"/>
                </w:rPr>
                <w:instrText xml:space="preserve"> MACROBUTTON  SnrToggleCheckbox □不适用 </w:instrText>
              </w:r>
              <w:r>
                <w:rPr>
                  <w:szCs w:val="21"/>
                </w:rPr>
                <w:fldChar w:fldCharType="end"/>
              </w:r>
            </w:p>
          </w:sdtContent>
        </w:sdt>
        <w:p w:rsidR="00ED2DC7" w:rsidRDefault="00ED2DC7">
          <w:pPr>
            <w:jc w:val="right"/>
            <w:rPr>
              <w:szCs w:val="21"/>
            </w:rPr>
          </w:pPr>
          <w:r>
            <w:rPr>
              <w:rFonts w:hint="eastAsia"/>
              <w:szCs w:val="21"/>
            </w:rPr>
            <w:t>单位：</w:t>
          </w:r>
          <w:sdt>
            <w:sdtPr>
              <w:rPr>
                <w:rFonts w:hint="eastAsia"/>
                <w:szCs w:val="21"/>
              </w:rPr>
              <w:alias w:val="单位：财务附注：单项金额不重大但按信用风险特征组合后该组合的风险较大的其他应收账款"/>
              <w:tag w:val="_GBC_6764c0879eca4748ae4bb8a2ce276e17"/>
              <w:id w:val="14047995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其他应收账款"/>
              <w:tag w:val="_GBC_58c31c61f2a5441db0ca086544f32ce2"/>
              <w:id w:val="6542659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szCs w:val="21"/>
                </w:rPr>
                <w:t>人民币</w:t>
              </w:r>
            </w:sdtContent>
          </w:sdt>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496"/>
            <w:gridCol w:w="4327"/>
          </w:tblGrid>
          <w:tr w:rsidR="00E21D2B" w:rsidTr="00A16BE0">
            <w:trPr>
              <w:cantSplit/>
            </w:trPr>
            <w:sdt>
              <w:sdtPr>
                <w:tag w:val="_PLD_6b0994a4e2bf4d64b8bfa8195d1acb6c"/>
                <w:id w:val="-2121441084"/>
                <w:lock w:val="sdtLocked"/>
              </w:sdtPr>
              <w:sdtContent>
                <w:tc>
                  <w:tcPr>
                    <w:tcW w:w="2548" w:type="pct"/>
                    <w:tcBorders>
                      <w:top w:val="single" w:sz="4" w:space="0" w:color="auto"/>
                      <w:left w:val="single" w:sz="4" w:space="0" w:color="auto"/>
                      <w:bottom w:val="single" w:sz="4" w:space="0" w:color="auto"/>
                      <w:right w:val="single" w:sz="4" w:space="0" w:color="auto"/>
                    </w:tcBorders>
                    <w:vAlign w:val="center"/>
                  </w:tcPr>
                  <w:p w:rsidR="00E21D2B" w:rsidRDefault="00E21D2B" w:rsidP="00A16BE0">
                    <w:pPr>
                      <w:jc w:val="center"/>
                      <w:rPr>
                        <w:szCs w:val="21"/>
                      </w:rPr>
                    </w:pPr>
                    <w:r>
                      <w:rPr>
                        <w:rFonts w:hint="eastAsia"/>
                        <w:szCs w:val="21"/>
                      </w:rPr>
                      <w:t>账龄</w:t>
                    </w:r>
                  </w:p>
                </w:tc>
              </w:sdtContent>
            </w:sdt>
            <w:sdt>
              <w:sdtPr>
                <w:tag w:val="_PLD_432b76b66b924b46b150a8c34f250ad2"/>
                <w:id w:val="-1729598728"/>
                <w:lock w:val="sdtLocked"/>
              </w:sdtPr>
              <w:sdtContent>
                <w:tc>
                  <w:tcPr>
                    <w:tcW w:w="2452" w:type="pct"/>
                    <w:tcBorders>
                      <w:top w:val="single" w:sz="4" w:space="0" w:color="auto"/>
                      <w:left w:val="single" w:sz="4" w:space="0" w:color="auto"/>
                      <w:bottom w:val="single" w:sz="4" w:space="0" w:color="auto"/>
                      <w:right w:val="single" w:sz="4" w:space="0" w:color="auto"/>
                    </w:tcBorders>
                    <w:vAlign w:val="center"/>
                  </w:tcPr>
                  <w:p w:rsidR="00E21D2B" w:rsidRDefault="00E21D2B" w:rsidP="00A16BE0">
                    <w:pPr>
                      <w:jc w:val="center"/>
                      <w:rPr>
                        <w:szCs w:val="21"/>
                      </w:rPr>
                    </w:pPr>
                    <w:r>
                      <w:rPr>
                        <w:rFonts w:hint="eastAsia"/>
                        <w:szCs w:val="21"/>
                      </w:rPr>
                      <w:t>期末余额</w:t>
                    </w:r>
                  </w:p>
                </w:tc>
              </w:sdtContent>
            </w:sdt>
          </w:tr>
          <w:tr w:rsidR="00E21D2B" w:rsidTr="00B637B2">
            <w:trPr>
              <w:cantSplit/>
            </w:trPr>
            <w:sdt>
              <w:sdtPr>
                <w:tag w:val="_PLD_1041b49a86da40c3a051ceae58ba8016"/>
                <w:id w:val="-44070149"/>
                <w:lock w:val="sdtLocked"/>
              </w:sdtPr>
              <w:sdtContent>
                <w:tc>
                  <w:tcPr>
                    <w:tcW w:w="2548" w:type="pct"/>
                    <w:tcBorders>
                      <w:top w:val="single" w:sz="4" w:space="0" w:color="auto"/>
                      <w:left w:val="single" w:sz="4" w:space="0" w:color="auto"/>
                      <w:bottom w:val="single" w:sz="4" w:space="0" w:color="auto"/>
                      <w:right w:val="single" w:sz="4" w:space="0" w:color="auto"/>
                    </w:tcBorders>
                  </w:tcPr>
                  <w:p w:rsidR="00E21D2B" w:rsidRDefault="00E21D2B" w:rsidP="00A16BE0">
                    <w:pPr>
                      <w:rPr>
                        <w:szCs w:val="21"/>
                      </w:rPr>
                    </w:pPr>
                    <w:r>
                      <w:rPr>
                        <w:rFonts w:hint="eastAsia"/>
                        <w:szCs w:val="21"/>
                      </w:rPr>
                      <w:t>1年以内</w:t>
                    </w:r>
                  </w:p>
                </w:tc>
              </w:sdtContent>
            </w:sdt>
            <w:tc>
              <w:tcPr>
                <w:tcW w:w="2452" w:type="pct"/>
                <w:tcBorders>
                  <w:top w:val="single" w:sz="4" w:space="0" w:color="auto"/>
                  <w:left w:val="single" w:sz="4" w:space="0" w:color="auto"/>
                  <w:bottom w:val="single" w:sz="4" w:space="0" w:color="auto"/>
                  <w:right w:val="single" w:sz="4" w:space="0" w:color="auto"/>
                </w:tcBorders>
                <w:vAlign w:val="center"/>
              </w:tcPr>
              <w:p w:rsidR="00E21D2B" w:rsidRDefault="008F04CF" w:rsidP="00B637B2">
                <w:pPr>
                  <w:jc w:val="right"/>
                  <w:rPr>
                    <w:color w:val="FF0000"/>
                    <w:szCs w:val="21"/>
                  </w:rPr>
                </w:pPr>
                <w:r w:rsidRPr="00FB56FE">
                  <w:rPr>
                    <w:szCs w:val="21"/>
                  </w:rPr>
                  <w:t>450,043,286</w:t>
                </w:r>
              </w:p>
            </w:tc>
          </w:tr>
          <w:tr w:rsidR="00E21D2B" w:rsidTr="000845BD">
            <w:trPr>
              <w:cantSplit/>
            </w:trPr>
            <w:sdt>
              <w:sdtPr>
                <w:tag w:val="_PLD_a0ff2716a91b42a6ae2b722f67cab8d3"/>
                <w:id w:val="203299772"/>
                <w:lock w:val="sdtLocked"/>
              </w:sdtPr>
              <w:sdtContent>
                <w:tc>
                  <w:tcPr>
                    <w:tcW w:w="5000" w:type="pct"/>
                    <w:gridSpan w:val="2"/>
                    <w:tcBorders>
                      <w:top w:val="single" w:sz="4" w:space="0" w:color="auto"/>
                      <w:left w:val="single" w:sz="4" w:space="0" w:color="auto"/>
                      <w:bottom w:val="single" w:sz="4" w:space="0" w:color="auto"/>
                      <w:right w:val="single" w:sz="4" w:space="0" w:color="auto"/>
                    </w:tcBorders>
                    <w:vAlign w:val="center"/>
                  </w:tcPr>
                  <w:p w:rsidR="00E21D2B" w:rsidRDefault="00E21D2B" w:rsidP="000845BD">
                    <w:pPr>
                      <w:jc w:val="both"/>
                      <w:rPr>
                        <w:szCs w:val="21"/>
                      </w:rPr>
                    </w:pPr>
                    <w:r>
                      <w:rPr>
                        <w:rFonts w:hint="eastAsia"/>
                        <w:szCs w:val="21"/>
                      </w:rPr>
                      <w:t>其中：1年以内分项</w:t>
                    </w:r>
                  </w:p>
                </w:tc>
              </w:sdtContent>
            </w:sdt>
          </w:tr>
          <w:sdt>
            <w:sdtPr>
              <w:rPr>
                <w:rFonts w:asciiTheme="minorHAnsi" w:eastAsiaTheme="minorEastAsia" w:hAnsiTheme="minorHAnsi" w:cstheme="minorBidi" w:hint="eastAsia"/>
                <w:kern w:val="2"/>
                <w:szCs w:val="21"/>
              </w:rPr>
              <w:alias w:val="一年以内其他应收款金额明细"/>
              <w:tag w:val="_TUP_b427c25173e24fbfaaaef5667baae3a1"/>
              <w:id w:val="1343737325"/>
              <w:lock w:val="sdtLocked"/>
            </w:sdtPr>
            <w:sdtContent>
              <w:tr w:rsidR="00E21D2B" w:rsidTr="00B637B2">
                <w:trPr>
                  <w:cantSplit/>
                </w:trPr>
                <w:tc>
                  <w:tcPr>
                    <w:tcW w:w="2548" w:type="pct"/>
                    <w:tcBorders>
                      <w:top w:val="single" w:sz="4" w:space="0" w:color="auto"/>
                      <w:left w:val="single" w:sz="4" w:space="0" w:color="auto"/>
                      <w:bottom w:val="single" w:sz="4" w:space="0" w:color="auto"/>
                      <w:right w:val="single" w:sz="4" w:space="0" w:color="auto"/>
                    </w:tcBorders>
                  </w:tcPr>
                  <w:p w:rsidR="00E21D2B" w:rsidRDefault="008F04CF" w:rsidP="00A16BE0">
                    <w:pPr>
                      <w:rPr>
                        <w:szCs w:val="21"/>
                      </w:rPr>
                    </w:pPr>
                    <w:r w:rsidRPr="00FB56FE">
                      <w:rPr>
                        <w:rFonts w:cstheme="minorBidi"/>
                        <w:kern w:val="2"/>
                        <w:szCs w:val="21"/>
                      </w:rPr>
                      <w:t>0</w:t>
                    </w:r>
                    <w:r w:rsidRPr="00FB56FE">
                      <w:rPr>
                        <w:rFonts w:cstheme="minorBidi" w:hint="eastAsia"/>
                        <w:kern w:val="2"/>
                        <w:szCs w:val="21"/>
                      </w:rPr>
                      <w:t>-</w:t>
                    </w:r>
                    <w:r w:rsidRPr="00FB56FE">
                      <w:rPr>
                        <w:rFonts w:cstheme="minorBidi"/>
                        <w:kern w:val="2"/>
                        <w:szCs w:val="21"/>
                      </w:rPr>
                      <w:t>12</w:t>
                    </w:r>
                    <w:r>
                      <w:rPr>
                        <w:rFonts w:asciiTheme="minorHAnsi" w:eastAsiaTheme="minorEastAsia" w:hAnsiTheme="minorHAnsi" w:cstheme="minorBidi" w:hint="eastAsia"/>
                        <w:kern w:val="2"/>
                        <w:szCs w:val="21"/>
                      </w:rPr>
                      <w:t>个月</w:t>
                    </w:r>
                  </w:p>
                </w:tc>
                <w:tc>
                  <w:tcPr>
                    <w:tcW w:w="2452" w:type="pct"/>
                    <w:tcBorders>
                      <w:top w:val="single" w:sz="4" w:space="0" w:color="auto"/>
                      <w:left w:val="single" w:sz="4" w:space="0" w:color="auto"/>
                      <w:bottom w:val="single" w:sz="4" w:space="0" w:color="auto"/>
                      <w:right w:val="single" w:sz="4" w:space="0" w:color="auto"/>
                    </w:tcBorders>
                    <w:vAlign w:val="center"/>
                  </w:tcPr>
                  <w:p w:rsidR="00E21D2B" w:rsidRDefault="008F04CF" w:rsidP="00B637B2">
                    <w:pPr>
                      <w:jc w:val="right"/>
                      <w:rPr>
                        <w:szCs w:val="21"/>
                      </w:rPr>
                    </w:pPr>
                    <w:r w:rsidRPr="00FB56FE">
                      <w:rPr>
                        <w:szCs w:val="21"/>
                      </w:rPr>
                      <w:t>450,043,286</w:t>
                    </w:r>
                  </w:p>
                </w:tc>
              </w:tr>
            </w:sdtContent>
          </w:sdt>
          <w:sdt>
            <w:sdtPr>
              <w:rPr>
                <w:rFonts w:asciiTheme="minorHAnsi" w:eastAsiaTheme="minorEastAsia" w:hAnsiTheme="minorHAnsi" w:cstheme="minorBidi" w:hint="eastAsia"/>
                <w:kern w:val="2"/>
                <w:szCs w:val="21"/>
              </w:rPr>
              <w:alias w:val="一年以内其他应收款金额明细"/>
              <w:tag w:val="_TUP_b427c25173e24fbfaaaef5667baae3a1"/>
              <w:id w:val="1576313402"/>
              <w:lock w:val="sdtLocked"/>
            </w:sdtPr>
            <w:sdtContent>
              <w:tr w:rsidR="00E21D2B" w:rsidTr="00B637B2">
                <w:trPr>
                  <w:cantSplit/>
                </w:trPr>
                <w:tc>
                  <w:tcPr>
                    <w:tcW w:w="2548" w:type="pct"/>
                    <w:tcBorders>
                      <w:top w:val="single" w:sz="4" w:space="0" w:color="auto"/>
                      <w:left w:val="single" w:sz="4" w:space="0" w:color="auto"/>
                      <w:bottom w:val="single" w:sz="4" w:space="0" w:color="auto"/>
                      <w:right w:val="single" w:sz="4" w:space="0" w:color="auto"/>
                    </w:tcBorders>
                  </w:tcPr>
                  <w:p w:rsidR="00E21D2B" w:rsidRDefault="00E21D2B" w:rsidP="00A16BE0">
                    <w:pPr>
                      <w:rPr>
                        <w:szCs w:val="21"/>
                      </w:rPr>
                    </w:pPr>
                  </w:p>
                </w:tc>
                <w:tc>
                  <w:tcPr>
                    <w:tcW w:w="2452" w:type="pct"/>
                    <w:tcBorders>
                      <w:top w:val="single" w:sz="4" w:space="0" w:color="auto"/>
                      <w:left w:val="single" w:sz="4" w:space="0" w:color="auto"/>
                      <w:bottom w:val="single" w:sz="4" w:space="0" w:color="auto"/>
                      <w:right w:val="single" w:sz="4" w:space="0" w:color="auto"/>
                    </w:tcBorders>
                    <w:vAlign w:val="center"/>
                  </w:tcPr>
                  <w:p w:rsidR="00E21D2B" w:rsidRDefault="00E21D2B" w:rsidP="00B637B2">
                    <w:pPr>
                      <w:jc w:val="right"/>
                      <w:rPr>
                        <w:szCs w:val="21"/>
                      </w:rPr>
                    </w:pPr>
                  </w:p>
                </w:tc>
              </w:tr>
            </w:sdtContent>
          </w:sdt>
          <w:tr w:rsidR="00E21D2B" w:rsidTr="00B637B2">
            <w:trPr>
              <w:cantSplit/>
            </w:trPr>
            <w:sdt>
              <w:sdtPr>
                <w:tag w:val="_PLD_117c27ae49f24df483b32b6cd9c22857"/>
                <w:id w:val="-490792968"/>
                <w:lock w:val="sdtLocked"/>
              </w:sdtPr>
              <w:sdtContent>
                <w:tc>
                  <w:tcPr>
                    <w:tcW w:w="2548" w:type="pct"/>
                    <w:tcBorders>
                      <w:top w:val="single" w:sz="4" w:space="0" w:color="auto"/>
                      <w:left w:val="single" w:sz="4" w:space="0" w:color="auto"/>
                      <w:bottom w:val="single" w:sz="4" w:space="0" w:color="auto"/>
                      <w:right w:val="single" w:sz="4" w:space="0" w:color="auto"/>
                    </w:tcBorders>
                  </w:tcPr>
                  <w:p w:rsidR="00E21D2B" w:rsidRDefault="00E21D2B" w:rsidP="00A16BE0">
                    <w:pPr>
                      <w:rPr>
                        <w:szCs w:val="21"/>
                      </w:rPr>
                    </w:pPr>
                    <w:r>
                      <w:rPr>
                        <w:rFonts w:hint="eastAsia"/>
                        <w:szCs w:val="21"/>
                      </w:rPr>
                      <w:t>1年以内小计</w:t>
                    </w:r>
                  </w:p>
                </w:tc>
              </w:sdtContent>
            </w:sdt>
            <w:tc>
              <w:tcPr>
                <w:tcW w:w="2452" w:type="pct"/>
                <w:tcBorders>
                  <w:top w:val="single" w:sz="4" w:space="0" w:color="auto"/>
                  <w:left w:val="single" w:sz="4" w:space="0" w:color="auto"/>
                  <w:bottom w:val="single" w:sz="4" w:space="0" w:color="auto"/>
                  <w:right w:val="single" w:sz="4" w:space="0" w:color="auto"/>
                </w:tcBorders>
                <w:vAlign w:val="center"/>
              </w:tcPr>
              <w:p w:rsidR="00E21D2B" w:rsidRDefault="008F04CF" w:rsidP="00B637B2">
                <w:pPr>
                  <w:jc w:val="right"/>
                  <w:rPr>
                    <w:szCs w:val="21"/>
                  </w:rPr>
                </w:pPr>
                <w:r w:rsidRPr="00FB56FE">
                  <w:rPr>
                    <w:szCs w:val="21"/>
                  </w:rPr>
                  <w:t>450,043,286</w:t>
                </w:r>
              </w:p>
            </w:tc>
          </w:tr>
          <w:tr w:rsidR="00E21D2B" w:rsidTr="00B637B2">
            <w:trPr>
              <w:cantSplit/>
            </w:trPr>
            <w:sdt>
              <w:sdtPr>
                <w:tag w:val="_PLD_eec5fc3899b34bb8ac2c023bb178201d"/>
                <w:id w:val="-848868523"/>
                <w:lock w:val="sdtLocked"/>
              </w:sdtPr>
              <w:sdtContent>
                <w:tc>
                  <w:tcPr>
                    <w:tcW w:w="2548" w:type="pct"/>
                    <w:tcBorders>
                      <w:top w:val="single" w:sz="4" w:space="0" w:color="auto"/>
                      <w:left w:val="single" w:sz="4" w:space="0" w:color="auto"/>
                      <w:bottom w:val="single" w:sz="4" w:space="0" w:color="auto"/>
                      <w:right w:val="single" w:sz="4" w:space="0" w:color="auto"/>
                    </w:tcBorders>
                  </w:tcPr>
                  <w:p w:rsidR="00E21D2B" w:rsidRDefault="00E21D2B" w:rsidP="00A16BE0">
                    <w:pPr>
                      <w:rPr>
                        <w:szCs w:val="21"/>
                      </w:rPr>
                    </w:pPr>
                    <w:r>
                      <w:rPr>
                        <w:rFonts w:hint="eastAsia"/>
                        <w:szCs w:val="21"/>
                      </w:rPr>
                      <w:t>1至2年</w:t>
                    </w:r>
                  </w:p>
                </w:tc>
              </w:sdtContent>
            </w:sdt>
            <w:tc>
              <w:tcPr>
                <w:tcW w:w="2452" w:type="pct"/>
                <w:tcBorders>
                  <w:top w:val="single" w:sz="4" w:space="0" w:color="auto"/>
                  <w:left w:val="single" w:sz="4" w:space="0" w:color="auto"/>
                  <w:bottom w:val="single" w:sz="4" w:space="0" w:color="auto"/>
                  <w:right w:val="single" w:sz="4" w:space="0" w:color="auto"/>
                </w:tcBorders>
                <w:vAlign w:val="center"/>
              </w:tcPr>
              <w:p w:rsidR="00E21D2B" w:rsidRDefault="00E21D2B" w:rsidP="00B637B2">
                <w:pPr>
                  <w:jc w:val="right"/>
                  <w:rPr>
                    <w:szCs w:val="21"/>
                  </w:rPr>
                </w:pPr>
                <w:r>
                  <w:t>52,160,668</w:t>
                </w:r>
              </w:p>
            </w:tc>
          </w:tr>
          <w:tr w:rsidR="00E21D2B" w:rsidTr="00B637B2">
            <w:trPr>
              <w:cantSplit/>
            </w:trPr>
            <w:sdt>
              <w:sdtPr>
                <w:tag w:val="_PLD_4147aa219b3044cb87cadcbf20a7f278"/>
                <w:id w:val="1060895374"/>
                <w:lock w:val="sdtLocked"/>
              </w:sdtPr>
              <w:sdtContent>
                <w:tc>
                  <w:tcPr>
                    <w:tcW w:w="2548" w:type="pct"/>
                    <w:tcBorders>
                      <w:top w:val="single" w:sz="4" w:space="0" w:color="auto"/>
                      <w:left w:val="single" w:sz="4" w:space="0" w:color="auto"/>
                      <w:bottom w:val="single" w:sz="4" w:space="0" w:color="auto"/>
                      <w:right w:val="single" w:sz="4" w:space="0" w:color="auto"/>
                    </w:tcBorders>
                  </w:tcPr>
                  <w:p w:rsidR="00E21D2B" w:rsidRDefault="00E21D2B" w:rsidP="00A16BE0">
                    <w:pPr>
                      <w:rPr>
                        <w:szCs w:val="21"/>
                      </w:rPr>
                    </w:pPr>
                    <w:r>
                      <w:rPr>
                        <w:rFonts w:hint="eastAsia"/>
                        <w:szCs w:val="21"/>
                      </w:rPr>
                      <w:t>2至3年</w:t>
                    </w:r>
                  </w:p>
                </w:tc>
              </w:sdtContent>
            </w:sdt>
            <w:tc>
              <w:tcPr>
                <w:tcW w:w="2452" w:type="pct"/>
                <w:tcBorders>
                  <w:top w:val="single" w:sz="4" w:space="0" w:color="auto"/>
                  <w:left w:val="single" w:sz="4" w:space="0" w:color="auto"/>
                  <w:bottom w:val="single" w:sz="4" w:space="0" w:color="auto"/>
                  <w:right w:val="single" w:sz="4" w:space="0" w:color="auto"/>
                </w:tcBorders>
                <w:vAlign w:val="center"/>
              </w:tcPr>
              <w:p w:rsidR="00E21D2B" w:rsidRDefault="00E21D2B" w:rsidP="00B637B2">
                <w:pPr>
                  <w:jc w:val="right"/>
                  <w:rPr>
                    <w:szCs w:val="21"/>
                  </w:rPr>
                </w:pPr>
                <w:r>
                  <w:t>19,977,235</w:t>
                </w:r>
              </w:p>
            </w:tc>
          </w:tr>
          <w:tr w:rsidR="00E21D2B" w:rsidTr="00B637B2">
            <w:trPr>
              <w:cantSplit/>
            </w:trPr>
            <w:sdt>
              <w:sdtPr>
                <w:tag w:val="_PLD_fb935d76867c48c7bf55f3d52575dd91"/>
                <w:id w:val="-1864815576"/>
                <w:lock w:val="sdtLocked"/>
              </w:sdtPr>
              <w:sdtContent>
                <w:tc>
                  <w:tcPr>
                    <w:tcW w:w="2548" w:type="pct"/>
                    <w:tcBorders>
                      <w:top w:val="single" w:sz="4" w:space="0" w:color="auto"/>
                      <w:left w:val="single" w:sz="4" w:space="0" w:color="auto"/>
                      <w:bottom w:val="single" w:sz="4" w:space="0" w:color="auto"/>
                      <w:right w:val="single" w:sz="4" w:space="0" w:color="auto"/>
                    </w:tcBorders>
                  </w:tcPr>
                  <w:p w:rsidR="00E21D2B" w:rsidRDefault="00E21D2B" w:rsidP="00A16BE0">
                    <w:pPr>
                      <w:rPr>
                        <w:szCs w:val="21"/>
                      </w:rPr>
                    </w:pPr>
                    <w:r>
                      <w:rPr>
                        <w:rFonts w:hint="eastAsia"/>
                        <w:szCs w:val="21"/>
                      </w:rPr>
                      <w:t>3年以上</w:t>
                    </w:r>
                  </w:p>
                </w:tc>
              </w:sdtContent>
            </w:sdt>
            <w:tc>
              <w:tcPr>
                <w:tcW w:w="2452" w:type="pct"/>
                <w:tcBorders>
                  <w:top w:val="single" w:sz="4" w:space="0" w:color="auto"/>
                  <w:left w:val="single" w:sz="4" w:space="0" w:color="auto"/>
                  <w:bottom w:val="single" w:sz="4" w:space="0" w:color="auto"/>
                  <w:right w:val="single" w:sz="4" w:space="0" w:color="auto"/>
                </w:tcBorders>
                <w:vAlign w:val="center"/>
              </w:tcPr>
              <w:p w:rsidR="00E21D2B" w:rsidRDefault="00E21D2B" w:rsidP="00B637B2">
                <w:pPr>
                  <w:jc w:val="right"/>
                  <w:rPr>
                    <w:szCs w:val="21"/>
                  </w:rPr>
                </w:pPr>
              </w:p>
            </w:tc>
          </w:tr>
          <w:tr w:rsidR="00E21D2B" w:rsidTr="00B637B2">
            <w:trPr>
              <w:cantSplit/>
            </w:trPr>
            <w:sdt>
              <w:sdtPr>
                <w:tag w:val="_PLD_66cf044e27544e89bd84871740a65504"/>
                <w:id w:val="1075714307"/>
                <w:lock w:val="sdtLocked"/>
              </w:sdtPr>
              <w:sdtContent>
                <w:tc>
                  <w:tcPr>
                    <w:tcW w:w="2548" w:type="pct"/>
                    <w:tcBorders>
                      <w:top w:val="single" w:sz="4" w:space="0" w:color="auto"/>
                      <w:left w:val="single" w:sz="4" w:space="0" w:color="auto"/>
                      <w:bottom w:val="single" w:sz="4" w:space="0" w:color="auto"/>
                      <w:right w:val="single" w:sz="4" w:space="0" w:color="auto"/>
                    </w:tcBorders>
                  </w:tcPr>
                  <w:p w:rsidR="00E21D2B" w:rsidRDefault="00E21D2B" w:rsidP="00A16BE0">
                    <w:pPr>
                      <w:rPr>
                        <w:szCs w:val="21"/>
                      </w:rPr>
                    </w:pPr>
                    <w:r>
                      <w:rPr>
                        <w:rFonts w:hint="eastAsia"/>
                        <w:szCs w:val="21"/>
                      </w:rPr>
                      <w:t>3至4年</w:t>
                    </w:r>
                  </w:p>
                </w:tc>
              </w:sdtContent>
            </w:sdt>
            <w:tc>
              <w:tcPr>
                <w:tcW w:w="2452" w:type="pct"/>
                <w:tcBorders>
                  <w:top w:val="single" w:sz="4" w:space="0" w:color="auto"/>
                  <w:left w:val="single" w:sz="4" w:space="0" w:color="auto"/>
                  <w:bottom w:val="single" w:sz="4" w:space="0" w:color="auto"/>
                  <w:right w:val="single" w:sz="4" w:space="0" w:color="auto"/>
                </w:tcBorders>
                <w:vAlign w:val="center"/>
              </w:tcPr>
              <w:p w:rsidR="00E21D2B" w:rsidRDefault="00E21D2B" w:rsidP="00B637B2">
                <w:pPr>
                  <w:jc w:val="right"/>
                  <w:rPr>
                    <w:szCs w:val="21"/>
                  </w:rPr>
                </w:pPr>
                <w:r>
                  <w:t>16,947,383</w:t>
                </w:r>
              </w:p>
            </w:tc>
          </w:tr>
          <w:tr w:rsidR="00E21D2B" w:rsidTr="00B637B2">
            <w:trPr>
              <w:cantSplit/>
            </w:trPr>
            <w:sdt>
              <w:sdtPr>
                <w:tag w:val="_PLD_9c7f07cb7cf1435b8f2137c3fdbbf981"/>
                <w:id w:val="-454098303"/>
                <w:lock w:val="sdtLocked"/>
              </w:sdtPr>
              <w:sdtContent>
                <w:tc>
                  <w:tcPr>
                    <w:tcW w:w="2548" w:type="pct"/>
                    <w:tcBorders>
                      <w:top w:val="single" w:sz="4" w:space="0" w:color="auto"/>
                      <w:left w:val="single" w:sz="4" w:space="0" w:color="auto"/>
                      <w:bottom w:val="single" w:sz="4" w:space="0" w:color="auto"/>
                      <w:right w:val="single" w:sz="4" w:space="0" w:color="auto"/>
                    </w:tcBorders>
                  </w:tcPr>
                  <w:p w:rsidR="00E21D2B" w:rsidRDefault="00E21D2B" w:rsidP="00A16BE0">
                    <w:pPr>
                      <w:rPr>
                        <w:szCs w:val="21"/>
                      </w:rPr>
                    </w:pPr>
                    <w:r>
                      <w:rPr>
                        <w:rFonts w:hint="eastAsia"/>
                        <w:szCs w:val="21"/>
                      </w:rPr>
                      <w:t>4至5年</w:t>
                    </w:r>
                  </w:p>
                </w:tc>
              </w:sdtContent>
            </w:sdt>
            <w:tc>
              <w:tcPr>
                <w:tcW w:w="2452" w:type="pct"/>
                <w:tcBorders>
                  <w:top w:val="single" w:sz="4" w:space="0" w:color="auto"/>
                  <w:left w:val="single" w:sz="4" w:space="0" w:color="auto"/>
                  <w:bottom w:val="single" w:sz="4" w:space="0" w:color="auto"/>
                  <w:right w:val="single" w:sz="4" w:space="0" w:color="auto"/>
                </w:tcBorders>
                <w:vAlign w:val="center"/>
              </w:tcPr>
              <w:p w:rsidR="00E21D2B" w:rsidRDefault="00E21D2B" w:rsidP="00B637B2">
                <w:pPr>
                  <w:jc w:val="right"/>
                  <w:rPr>
                    <w:szCs w:val="21"/>
                  </w:rPr>
                </w:pPr>
                <w:r>
                  <w:t>5,790,214</w:t>
                </w:r>
              </w:p>
            </w:tc>
          </w:tr>
          <w:tr w:rsidR="00E21D2B" w:rsidTr="00B637B2">
            <w:trPr>
              <w:cantSplit/>
            </w:trPr>
            <w:sdt>
              <w:sdtPr>
                <w:tag w:val="_PLD_aec7ac0213fc4614a98de6a3c736e280"/>
                <w:id w:val="1654800746"/>
                <w:lock w:val="sdtLocked"/>
              </w:sdtPr>
              <w:sdtContent>
                <w:tc>
                  <w:tcPr>
                    <w:tcW w:w="2548" w:type="pct"/>
                    <w:tcBorders>
                      <w:top w:val="single" w:sz="4" w:space="0" w:color="auto"/>
                      <w:left w:val="single" w:sz="4" w:space="0" w:color="auto"/>
                      <w:bottom w:val="single" w:sz="4" w:space="0" w:color="auto"/>
                      <w:right w:val="single" w:sz="4" w:space="0" w:color="auto"/>
                    </w:tcBorders>
                  </w:tcPr>
                  <w:p w:rsidR="00E21D2B" w:rsidRDefault="00E21D2B" w:rsidP="00A16BE0">
                    <w:pPr>
                      <w:rPr>
                        <w:szCs w:val="21"/>
                      </w:rPr>
                    </w:pPr>
                    <w:r>
                      <w:rPr>
                        <w:rFonts w:hint="eastAsia"/>
                        <w:szCs w:val="21"/>
                      </w:rPr>
                      <w:t>5年以上</w:t>
                    </w:r>
                  </w:p>
                </w:tc>
              </w:sdtContent>
            </w:sdt>
            <w:tc>
              <w:tcPr>
                <w:tcW w:w="2452" w:type="pct"/>
                <w:tcBorders>
                  <w:top w:val="single" w:sz="4" w:space="0" w:color="auto"/>
                  <w:left w:val="single" w:sz="4" w:space="0" w:color="auto"/>
                  <w:bottom w:val="single" w:sz="4" w:space="0" w:color="auto"/>
                  <w:right w:val="single" w:sz="4" w:space="0" w:color="auto"/>
                </w:tcBorders>
                <w:vAlign w:val="center"/>
              </w:tcPr>
              <w:p w:rsidR="00E21D2B" w:rsidRDefault="00E21D2B" w:rsidP="00B637B2">
                <w:pPr>
                  <w:jc w:val="right"/>
                  <w:rPr>
                    <w:szCs w:val="21"/>
                  </w:rPr>
                </w:pPr>
                <w:r>
                  <w:t>21,372,580</w:t>
                </w:r>
              </w:p>
            </w:tc>
          </w:tr>
          <w:sdt>
            <w:sdtPr>
              <w:rPr>
                <w:rFonts w:asciiTheme="minorHAnsi" w:eastAsiaTheme="minorEastAsia" w:hAnsiTheme="minorHAnsi" w:cstheme="minorBidi"/>
                <w:kern w:val="2"/>
                <w:szCs w:val="22"/>
              </w:rPr>
              <w:alias w:val="按账龄分析法计提坏账准备的其他应收款明细"/>
              <w:tag w:val="_TUP_34db76909f7244b09a55d5c12098c281"/>
              <w:id w:val="-1002962480"/>
              <w:lock w:val="sdtLocked"/>
            </w:sdtPr>
            <w:sdtEndPr>
              <w:rPr>
                <w:szCs w:val="21"/>
              </w:rPr>
            </w:sdtEndPr>
            <w:sdtContent>
              <w:tr w:rsidR="00E21D2B" w:rsidTr="00B637B2">
                <w:trPr>
                  <w:cantSplit/>
                </w:trPr>
                <w:tc>
                  <w:tcPr>
                    <w:tcW w:w="2548" w:type="pct"/>
                    <w:tcBorders>
                      <w:top w:val="single" w:sz="4" w:space="0" w:color="auto"/>
                      <w:left w:val="single" w:sz="4" w:space="0" w:color="auto"/>
                      <w:bottom w:val="single" w:sz="4" w:space="0" w:color="auto"/>
                      <w:right w:val="single" w:sz="4" w:space="0" w:color="auto"/>
                    </w:tcBorders>
                  </w:tcPr>
                  <w:p w:rsidR="00E21D2B" w:rsidRDefault="00E21D2B" w:rsidP="00A16BE0"/>
                </w:tc>
                <w:tc>
                  <w:tcPr>
                    <w:tcW w:w="2452" w:type="pct"/>
                    <w:tcBorders>
                      <w:top w:val="single" w:sz="4" w:space="0" w:color="auto"/>
                      <w:left w:val="single" w:sz="4" w:space="0" w:color="auto"/>
                      <w:bottom w:val="single" w:sz="4" w:space="0" w:color="auto"/>
                      <w:right w:val="single" w:sz="4" w:space="0" w:color="auto"/>
                    </w:tcBorders>
                    <w:vAlign w:val="center"/>
                  </w:tcPr>
                  <w:p w:rsidR="00E21D2B" w:rsidRDefault="00E21D2B" w:rsidP="00B637B2">
                    <w:pPr>
                      <w:jc w:val="right"/>
                      <w:rPr>
                        <w:szCs w:val="21"/>
                      </w:rPr>
                    </w:pPr>
                  </w:p>
                </w:tc>
              </w:tr>
            </w:sdtContent>
          </w:sdt>
          <w:sdt>
            <w:sdtPr>
              <w:rPr>
                <w:rFonts w:asciiTheme="minorHAnsi" w:eastAsiaTheme="minorEastAsia" w:hAnsiTheme="minorHAnsi" w:cstheme="minorBidi"/>
                <w:kern w:val="2"/>
                <w:szCs w:val="22"/>
              </w:rPr>
              <w:alias w:val="按账龄分析法计提坏账准备的其他应收款明细"/>
              <w:tag w:val="_TUP_34db76909f7244b09a55d5c12098c281"/>
              <w:id w:val="-570340992"/>
              <w:lock w:val="sdtLocked"/>
            </w:sdtPr>
            <w:sdtEndPr>
              <w:rPr>
                <w:szCs w:val="21"/>
              </w:rPr>
            </w:sdtEndPr>
            <w:sdtContent>
              <w:tr w:rsidR="00E21D2B" w:rsidTr="00B637B2">
                <w:trPr>
                  <w:cantSplit/>
                </w:trPr>
                <w:tc>
                  <w:tcPr>
                    <w:tcW w:w="2548" w:type="pct"/>
                    <w:tcBorders>
                      <w:top w:val="single" w:sz="4" w:space="0" w:color="auto"/>
                      <w:left w:val="single" w:sz="4" w:space="0" w:color="auto"/>
                      <w:bottom w:val="single" w:sz="4" w:space="0" w:color="auto"/>
                      <w:right w:val="single" w:sz="4" w:space="0" w:color="auto"/>
                    </w:tcBorders>
                  </w:tcPr>
                  <w:p w:rsidR="00E21D2B" w:rsidRDefault="00E21D2B" w:rsidP="00A16BE0"/>
                </w:tc>
                <w:tc>
                  <w:tcPr>
                    <w:tcW w:w="2452" w:type="pct"/>
                    <w:tcBorders>
                      <w:top w:val="single" w:sz="4" w:space="0" w:color="auto"/>
                      <w:left w:val="single" w:sz="4" w:space="0" w:color="auto"/>
                      <w:bottom w:val="single" w:sz="4" w:space="0" w:color="auto"/>
                      <w:right w:val="single" w:sz="4" w:space="0" w:color="auto"/>
                    </w:tcBorders>
                    <w:vAlign w:val="center"/>
                  </w:tcPr>
                  <w:p w:rsidR="00E21D2B" w:rsidRDefault="00E21D2B" w:rsidP="00B637B2">
                    <w:pPr>
                      <w:jc w:val="right"/>
                      <w:rPr>
                        <w:szCs w:val="21"/>
                      </w:rPr>
                    </w:pPr>
                  </w:p>
                </w:tc>
              </w:tr>
            </w:sdtContent>
          </w:sdt>
          <w:tr w:rsidR="00E21D2B" w:rsidTr="00B637B2">
            <w:trPr>
              <w:cantSplit/>
            </w:trPr>
            <w:sdt>
              <w:sdtPr>
                <w:tag w:val="_PLD_f4ca1e5588694bda99031e0a5f40083e"/>
                <w:id w:val="344600158"/>
                <w:lock w:val="sdtLocked"/>
              </w:sdtPr>
              <w:sdtContent>
                <w:tc>
                  <w:tcPr>
                    <w:tcW w:w="2548" w:type="pct"/>
                    <w:tcBorders>
                      <w:top w:val="single" w:sz="4" w:space="0" w:color="auto"/>
                      <w:left w:val="single" w:sz="4" w:space="0" w:color="auto"/>
                      <w:bottom w:val="single" w:sz="4" w:space="0" w:color="auto"/>
                      <w:right w:val="single" w:sz="4" w:space="0" w:color="auto"/>
                    </w:tcBorders>
                    <w:vAlign w:val="center"/>
                  </w:tcPr>
                  <w:p w:rsidR="00E21D2B" w:rsidRDefault="00E21D2B" w:rsidP="00A16BE0">
                    <w:pPr>
                      <w:jc w:val="center"/>
                      <w:rPr>
                        <w:szCs w:val="21"/>
                      </w:rPr>
                    </w:pPr>
                    <w:r>
                      <w:rPr>
                        <w:rFonts w:hint="eastAsia"/>
                        <w:szCs w:val="21"/>
                      </w:rPr>
                      <w:t>合计</w:t>
                    </w:r>
                  </w:p>
                </w:tc>
              </w:sdtContent>
            </w:sdt>
            <w:tc>
              <w:tcPr>
                <w:tcW w:w="2452" w:type="pct"/>
                <w:tcBorders>
                  <w:top w:val="single" w:sz="4" w:space="0" w:color="auto"/>
                  <w:left w:val="single" w:sz="4" w:space="0" w:color="auto"/>
                  <w:bottom w:val="single" w:sz="4" w:space="0" w:color="auto"/>
                  <w:right w:val="single" w:sz="4" w:space="0" w:color="auto"/>
                </w:tcBorders>
                <w:vAlign w:val="center"/>
              </w:tcPr>
              <w:p w:rsidR="00E21D2B" w:rsidRDefault="00E21D2B" w:rsidP="00B637B2">
                <w:pPr>
                  <w:jc w:val="right"/>
                  <w:rPr>
                    <w:szCs w:val="21"/>
                  </w:rPr>
                </w:pPr>
                <w:r w:rsidRPr="00E21D2B">
                  <w:rPr>
                    <w:szCs w:val="21"/>
                  </w:rPr>
                  <w:t>566,291,366</w:t>
                </w:r>
              </w:p>
            </w:tc>
          </w:tr>
        </w:tbl>
        <w:p w:rsidR="00E21D2B" w:rsidRDefault="00E21D2B"/>
        <w:p w:rsidR="00ED2DC7" w:rsidRDefault="000D0A99">
          <w:pPr>
            <w:rPr>
              <w:szCs w:val="21"/>
            </w:rPr>
          </w:pPr>
        </w:p>
      </w:sdtContent>
    </w:sdt>
    <w:bookmarkEnd w:id="112" w:displacedByCustomXml="prev"/>
    <w:sdt>
      <w:sdtPr>
        <w:rPr>
          <w:rFonts w:ascii="宋体" w:hAnsi="宋体" w:cs="宋体" w:hint="eastAsia"/>
          <w:b w:val="0"/>
          <w:bCs w:val="0"/>
          <w:kern w:val="0"/>
          <w:szCs w:val="24"/>
        </w:rPr>
        <w:alias w:val="模块:其他应收款按款项性质分类情况"/>
        <w:tag w:val="_GBC_84d520d656b8446b87c909f5ff2b545d"/>
        <w:id w:val="1231193292"/>
        <w:lock w:val="sdtLocked"/>
        <w:placeholder>
          <w:docPart w:val="GBC22222222222222222222222222222"/>
        </w:placeholder>
      </w:sdtPr>
      <w:sdtEndPr>
        <w:rPr>
          <w:rFonts w:hint="default"/>
        </w:rPr>
      </w:sdtEndPr>
      <w:sdtContent>
        <w:p w:rsidR="00ED2DC7" w:rsidRPr="00A1419F" w:rsidRDefault="00ED2DC7" w:rsidP="00036BDC">
          <w:pPr>
            <w:pStyle w:val="affffffffffffffffff2"/>
            <w:numPr>
              <w:ilvl w:val="3"/>
              <w:numId w:val="54"/>
            </w:numPr>
            <w:tabs>
              <w:tab w:val="left" w:pos="560"/>
            </w:tabs>
          </w:pPr>
          <w:r w:rsidRPr="00A1419F">
            <w:rPr>
              <w:rFonts w:hint="eastAsia"/>
            </w:rPr>
            <w:t>按款项性质分类情况</w:t>
          </w:r>
        </w:p>
        <w:sdt>
          <w:sdtPr>
            <w:alias w:val="是否适用：其他应收款按款项性质分类情况[双击切换]"/>
            <w:tag w:val="_GBC_43f55a27297f4f93b1b4f668134ac6be"/>
            <w:id w:val="1603692101"/>
            <w:lock w:val="sdtContentLocked"/>
            <w:placeholder>
              <w:docPart w:val="GBC22222222222222222222222222222"/>
            </w:placeholder>
          </w:sdtPr>
          <w:sdtContent>
            <w:p w:rsidR="00ED2DC7" w:rsidRDefault="00ED2DC7">
              <w:r>
                <w:fldChar w:fldCharType="begin"/>
              </w:r>
              <w:r w:rsidR="008F04CF">
                <w:instrText xml:space="preserve"> MACROBUTTON  SnrToggleCheckbox √适用 </w:instrText>
              </w:r>
              <w:r>
                <w:fldChar w:fldCharType="end"/>
              </w:r>
              <w:r>
                <w:fldChar w:fldCharType="begin"/>
              </w:r>
              <w:r w:rsidR="008F04CF">
                <w:instrText xml:space="preserve"> MACROBUTTON  SnrToggleCheckbox □不适用 </w:instrText>
              </w:r>
              <w:r>
                <w:fldChar w:fldCharType="end"/>
              </w:r>
            </w:p>
          </w:sdtContent>
        </w:sdt>
        <w:p w:rsidR="00ED2DC7" w:rsidRDefault="00ED2DC7">
          <w:pPr>
            <w:jc w:val="right"/>
          </w:pPr>
          <w:r>
            <w:rPr>
              <w:rFonts w:hint="eastAsia"/>
            </w:rPr>
            <w:t>单位：</w:t>
          </w:r>
          <w:sdt>
            <w:sdtPr>
              <w:rPr>
                <w:rFonts w:hint="eastAsia"/>
              </w:rPr>
              <w:alias w:val="单位：财务附注：其他应收款按款项性质分类情况"/>
              <w:tag w:val="_GBC_9a3af1171f5640cd83ea2c41e0145167"/>
              <w:id w:val="-138972514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hint="eastAsia"/>
                </w:rPr>
                <w:t>元</w:t>
              </w:r>
            </w:sdtContent>
          </w:sdt>
          <w:r>
            <w:rPr>
              <w:rFonts w:hint="eastAsia"/>
            </w:rPr>
            <w:t xml:space="preserve">  币种：</w:t>
          </w:r>
          <w:sdt>
            <w:sdtPr>
              <w:rPr>
                <w:rFonts w:hint="eastAsia"/>
              </w:rPr>
              <w:alias w:val="币种：财务附注：其他应收款按款项性质分类情况"/>
              <w:tag w:val="_GBC_0d096e7260294092a6e9a8405d01bc70"/>
              <w:id w:val="170190709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rPr>
                <w:t>人民币</w:t>
              </w:r>
            </w:sdtContent>
          </w:sdt>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0"/>
            <w:gridCol w:w="2906"/>
            <w:gridCol w:w="2917"/>
          </w:tblGrid>
          <w:tr w:rsidR="00B637B2" w:rsidTr="00B637B2">
            <w:sdt>
              <w:sdtPr>
                <w:tag w:val="_PLD_1e66a0098cd34ad6a335156852121360"/>
                <w:id w:val="-1526403118"/>
                <w:lock w:val="sdtLocked"/>
              </w:sdtPr>
              <w:sdtContent>
                <w:tc>
                  <w:tcPr>
                    <w:tcW w:w="1700" w:type="pct"/>
                    <w:shd w:val="clear" w:color="auto" w:fill="auto"/>
                    <w:vAlign w:val="center"/>
                  </w:tcPr>
                  <w:p w:rsidR="00B637B2" w:rsidRDefault="008F04CF" w:rsidP="00B637B2">
                    <w:pPr>
                      <w:jc w:val="center"/>
                    </w:pPr>
                    <w:r>
                      <w:rPr>
                        <w:rFonts w:hint="eastAsia"/>
                      </w:rPr>
                      <w:t>款项性质</w:t>
                    </w:r>
                  </w:p>
                </w:tc>
              </w:sdtContent>
            </w:sdt>
            <w:sdt>
              <w:sdtPr>
                <w:tag w:val="_PLD_51fee06f6d3944a9bbc7bac249ed63b6"/>
                <w:id w:val="-1095785796"/>
                <w:lock w:val="sdtLocked"/>
              </w:sdtPr>
              <w:sdtContent>
                <w:tc>
                  <w:tcPr>
                    <w:tcW w:w="1647" w:type="pct"/>
                    <w:shd w:val="clear" w:color="auto" w:fill="auto"/>
                    <w:vAlign w:val="center"/>
                  </w:tcPr>
                  <w:p w:rsidR="00B637B2" w:rsidRDefault="008F04CF" w:rsidP="00B637B2">
                    <w:pPr>
                      <w:jc w:val="center"/>
                    </w:pPr>
                    <w:r>
                      <w:rPr>
                        <w:rFonts w:hint="eastAsia"/>
                      </w:rPr>
                      <w:t>期末账面余额</w:t>
                    </w:r>
                  </w:p>
                </w:tc>
              </w:sdtContent>
            </w:sdt>
            <w:sdt>
              <w:sdtPr>
                <w:tag w:val="_PLD_0297dadecff24ff8926a98d0267a917b"/>
                <w:id w:val="1725477943"/>
                <w:lock w:val="sdtLocked"/>
              </w:sdtPr>
              <w:sdtContent>
                <w:tc>
                  <w:tcPr>
                    <w:tcW w:w="1653" w:type="pct"/>
                    <w:shd w:val="clear" w:color="auto" w:fill="auto"/>
                    <w:vAlign w:val="center"/>
                  </w:tcPr>
                  <w:p w:rsidR="00B637B2" w:rsidRDefault="008F04CF" w:rsidP="00B637B2">
                    <w:pPr>
                      <w:jc w:val="center"/>
                    </w:pPr>
                    <w:r>
                      <w:rPr>
                        <w:rFonts w:hint="eastAsia"/>
                      </w:rPr>
                      <w:t>期初账面余额</w:t>
                    </w:r>
                  </w:p>
                </w:tc>
              </w:sdtContent>
            </w:sdt>
          </w:tr>
          <w:sdt>
            <w:sdtPr>
              <w:rPr>
                <w:rFonts w:asciiTheme="minorHAnsi" w:eastAsiaTheme="minorEastAsia" w:hAnsiTheme="minorHAnsi" w:cstheme="minorBidi" w:hint="eastAsia"/>
                <w:kern w:val="2"/>
                <w:szCs w:val="22"/>
              </w:rPr>
              <w:alias w:val="其他应收款按款项性质分类情况明细"/>
              <w:tag w:val="_GBC_936b797bf5094f7da8db3da3acd1de8c"/>
              <w:id w:val="306435446"/>
              <w:lock w:val="sdtLocked"/>
            </w:sdtPr>
            <w:sdtContent>
              <w:tr w:rsidR="00B637B2" w:rsidTr="00B637B2">
                <w:tc>
                  <w:tcPr>
                    <w:tcW w:w="1700" w:type="pct"/>
                    <w:shd w:val="clear" w:color="auto" w:fill="auto"/>
                  </w:tcPr>
                  <w:p w:rsidR="00B637B2" w:rsidRDefault="008F04CF" w:rsidP="00B637B2">
                    <w:r w:rsidRPr="00A1419F">
                      <w:rPr>
                        <w:rFonts w:asciiTheme="minorHAnsi" w:eastAsiaTheme="minorEastAsia" w:hAnsiTheme="minorHAnsi" w:cstheme="minorBidi" w:hint="eastAsia"/>
                        <w:kern w:val="2"/>
                        <w:szCs w:val="22"/>
                      </w:rPr>
                      <w:t>押金及保证金</w:t>
                    </w:r>
                  </w:p>
                </w:tc>
                <w:tc>
                  <w:tcPr>
                    <w:tcW w:w="1647" w:type="pct"/>
                    <w:shd w:val="clear" w:color="auto" w:fill="auto"/>
                  </w:tcPr>
                  <w:p w:rsidR="00B637B2" w:rsidRDefault="008F04CF" w:rsidP="00B637B2">
                    <w:pPr>
                      <w:jc w:val="right"/>
                    </w:pPr>
                    <w:r>
                      <w:t>407,045,878</w:t>
                    </w:r>
                  </w:p>
                </w:tc>
                <w:tc>
                  <w:tcPr>
                    <w:tcW w:w="1653" w:type="pct"/>
                    <w:shd w:val="clear" w:color="auto" w:fill="auto"/>
                  </w:tcPr>
                  <w:p w:rsidR="00B637B2" w:rsidRDefault="008F04CF" w:rsidP="00B637B2">
                    <w:pPr>
                      <w:jc w:val="right"/>
                    </w:pPr>
                    <w:r>
                      <w:t>315,564,925</w:t>
                    </w:r>
                  </w:p>
                </w:tc>
              </w:tr>
            </w:sdtContent>
          </w:sdt>
          <w:sdt>
            <w:sdtPr>
              <w:rPr>
                <w:rFonts w:asciiTheme="minorHAnsi" w:eastAsiaTheme="minorEastAsia" w:hAnsiTheme="minorHAnsi" w:cstheme="minorBidi" w:hint="eastAsia"/>
                <w:kern w:val="2"/>
                <w:szCs w:val="22"/>
              </w:rPr>
              <w:alias w:val="其他应收款按款项性质分类情况明细"/>
              <w:tag w:val="_GBC_936b797bf5094f7da8db3da3acd1de8c"/>
              <w:id w:val="1821076306"/>
              <w:lock w:val="sdtLocked"/>
            </w:sdtPr>
            <w:sdtContent>
              <w:tr w:rsidR="00B637B2" w:rsidTr="00B637B2">
                <w:tc>
                  <w:tcPr>
                    <w:tcW w:w="1700" w:type="pct"/>
                    <w:shd w:val="clear" w:color="auto" w:fill="auto"/>
                  </w:tcPr>
                  <w:p w:rsidR="00B637B2" w:rsidRDefault="008F04CF" w:rsidP="00B637B2">
                    <w:r>
                      <w:rPr>
                        <w:rFonts w:asciiTheme="minorHAnsi" w:eastAsiaTheme="minorEastAsia" w:hAnsiTheme="minorHAnsi" w:cstheme="minorBidi" w:hint="eastAsia"/>
                        <w:kern w:val="2"/>
                        <w:szCs w:val="22"/>
                      </w:rPr>
                      <w:t>员工备用金</w:t>
                    </w:r>
                  </w:p>
                </w:tc>
                <w:tc>
                  <w:tcPr>
                    <w:tcW w:w="1647" w:type="pct"/>
                    <w:shd w:val="clear" w:color="auto" w:fill="auto"/>
                  </w:tcPr>
                  <w:p w:rsidR="00B637B2" w:rsidRDefault="008F04CF" w:rsidP="00B637B2">
                    <w:pPr>
                      <w:jc w:val="right"/>
                    </w:pPr>
                    <w:r>
                      <w:t>27,664,532</w:t>
                    </w:r>
                  </w:p>
                </w:tc>
                <w:tc>
                  <w:tcPr>
                    <w:tcW w:w="1653" w:type="pct"/>
                    <w:shd w:val="clear" w:color="auto" w:fill="auto"/>
                  </w:tcPr>
                  <w:p w:rsidR="00B637B2" w:rsidRDefault="008F04CF" w:rsidP="00B637B2">
                    <w:pPr>
                      <w:jc w:val="right"/>
                    </w:pPr>
                    <w:r>
                      <w:t>20,095,860</w:t>
                    </w:r>
                  </w:p>
                </w:tc>
              </w:tr>
            </w:sdtContent>
          </w:sdt>
          <w:sdt>
            <w:sdtPr>
              <w:rPr>
                <w:rFonts w:asciiTheme="minorHAnsi" w:eastAsiaTheme="minorEastAsia" w:hAnsiTheme="minorHAnsi" w:cstheme="minorBidi" w:hint="eastAsia"/>
                <w:kern w:val="2"/>
                <w:szCs w:val="22"/>
              </w:rPr>
              <w:alias w:val="其他应收款按款项性质分类情况明细"/>
              <w:tag w:val="_GBC_936b797bf5094f7da8db3da3acd1de8c"/>
              <w:id w:val="-1982373460"/>
              <w:lock w:val="sdtLocked"/>
            </w:sdtPr>
            <w:sdtContent>
              <w:tr w:rsidR="00B637B2" w:rsidTr="00B637B2">
                <w:tc>
                  <w:tcPr>
                    <w:tcW w:w="1700" w:type="pct"/>
                    <w:shd w:val="clear" w:color="auto" w:fill="auto"/>
                  </w:tcPr>
                  <w:p w:rsidR="00B637B2" w:rsidRDefault="008F04CF" w:rsidP="00B637B2">
                    <w:r>
                      <w:rPr>
                        <w:rFonts w:asciiTheme="minorHAnsi" w:eastAsiaTheme="minorEastAsia" w:hAnsiTheme="minorHAnsi" w:cstheme="minorBidi" w:hint="eastAsia"/>
                        <w:kern w:val="2"/>
                        <w:szCs w:val="22"/>
                      </w:rPr>
                      <w:t>增值税退税款</w:t>
                    </w:r>
                  </w:p>
                </w:tc>
                <w:tc>
                  <w:tcPr>
                    <w:tcW w:w="1647" w:type="pct"/>
                    <w:shd w:val="clear" w:color="auto" w:fill="auto"/>
                  </w:tcPr>
                  <w:p w:rsidR="00B637B2" w:rsidRDefault="008F04CF" w:rsidP="00B637B2">
                    <w:pPr>
                      <w:jc w:val="right"/>
                    </w:pPr>
                    <w:r>
                      <w:t>36,362,060</w:t>
                    </w:r>
                  </w:p>
                </w:tc>
                <w:tc>
                  <w:tcPr>
                    <w:tcW w:w="1653" w:type="pct"/>
                    <w:shd w:val="clear" w:color="auto" w:fill="auto"/>
                  </w:tcPr>
                  <w:p w:rsidR="00B637B2" w:rsidRDefault="008F04CF" w:rsidP="00B637B2">
                    <w:pPr>
                      <w:jc w:val="right"/>
                    </w:pPr>
                    <w:r>
                      <w:t>-</w:t>
                    </w:r>
                  </w:p>
                </w:tc>
              </w:tr>
            </w:sdtContent>
          </w:sdt>
          <w:sdt>
            <w:sdtPr>
              <w:rPr>
                <w:rFonts w:asciiTheme="minorHAnsi" w:eastAsiaTheme="minorEastAsia" w:hAnsiTheme="minorHAnsi" w:cstheme="minorBidi" w:hint="eastAsia"/>
                <w:kern w:val="2"/>
                <w:szCs w:val="22"/>
              </w:rPr>
              <w:alias w:val="其他应收款按款项性质分类情况明细"/>
              <w:tag w:val="_GBC_936b797bf5094f7da8db3da3acd1de8c"/>
              <w:id w:val="1652566913"/>
              <w:lock w:val="sdtLocked"/>
            </w:sdtPr>
            <w:sdtContent>
              <w:tr w:rsidR="00B637B2" w:rsidTr="00B637B2">
                <w:tc>
                  <w:tcPr>
                    <w:tcW w:w="1700" w:type="pct"/>
                    <w:shd w:val="clear" w:color="auto" w:fill="auto"/>
                  </w:tcPr>
                  <w:p w:rsidR="00B637B2" w:rsidRDefault="008F04CF" w:rsidP="00B637B2">
                    <w:r>
                      <w:rPr>
                        <w:rFonts w:asciiTheme="minorHAnsi" w:eastAsiaTheme="minorEastAsia" w:hAnsiTheme="minorHAnsi" w:cstheme="minorBidi" w:hint="eastAsia"/>
                        <w:kern w:val="2"/>
                        <w:szCs w:val="22"/>
                      </w:rPr>
                      <w:t>其他</w:t>
                    </w:r>
                  </w:p>
                </w:tc>
                <w:tc>
                  <w:tcPr>
                    <w:tcW w:w="1647" w:type="pct"/>
                    <w:shd w:val="clear" w:color="auto" w:fill="auto"/>
                  </w:tcPr>
                  <w:p w:rsidR="00B637B2" w:rsidRDefault="008F04CF" w:rsidP="00B637B2">
                    <w:pPr>
                      <w:jc w:val="right"/>
                    </w:pPr>
                    <w:r>
                      <w:t>95,218,896</w:t>
                    </w:r>
                  </w:p>
                </w:tc>
                <w:tc>
                  <w:tcPr>
                    <w:tcW w:w="1653" w:type="pct"/>
                    <w:shd w:val="clear" w:color="auto" w:fill="auto"/>
                  </w:tcPr>
                  <w:p w:rsidR="00B637B2" w:rsidRDefault="008F04CF" w:rsidP="00B637B2">
                    <w:pPr>
                      <w:jc w:val="right"/>
                    </w:pPr>
                    <w:r>
                      <w:t>97,700,282</w:t>
                    </w:r>
                  </w:p>
                </w:tc>
              </w:tr>
            </w:sdtContent>
          </w:sdt>
          <w:tr w:rsidR="00B637B2" w:rsidTr="00B637B2">
            <w:sdt>
              <w:sdtPr>
                <w:tag w:val="_PLD_99d40156f33b4b6398b236a0f6461a23"/>
                <w:id w:val="1270807828"/>
                <w:lock w:val="sdtLocked"/>
              </w:sdtPr>
              <w:sdtContent>
                <w:tc>
                  <w:tcPr>
                    <w:tcW w:w="1700" w:type="pct"/>
                    <w:shd w:val="clear" w:color="auto" w:fill="auto"/>
                  </w:tcPr>
                  <w:p w:rsidR="00B637B2" w:rsidRDefault="008F04CF" w:rsidP="00B637B2">
                    <w:pPr>
                      <w:jc w:val="center"/>
                    </w:pPr>
                    <w:r>
                      <w:t>合计</w:t>
                    </w:r>
                  </w:p>
                </w:tc>
              </w:sdtContent>
            </w:sdt>
            <w:tc>
              <w:tcPr>
                <w:tcW w:w="1647" w:type="pct"/>
                <w:shd w:val="clear" w:color="auto" w:fill="auto"/>
              </w:tcPr>
              <w:p w:rsidR="00B637B2" w:rsidRDefault="008F04CF" w:rsidP="00B637B2">
                <w:pPr>
                  <w:jc w:val="right"/>
                </w:pPr>
                <w:r w:rsidRPr="00A1419F">
                  <w:t>566,291,366</w:t>
                </w:r>
              </w:p>
            </w:tc>
            <w:tc>
              <w:tcPr>
                <w:tcW w:w="1653" w:type="pct"/>
                <w:shd w:val="clear" w:color="auto" w:fill="auto"/>
              </w:tcPr>
              <w:p w:rsidR="00B637B2" w:rsidRDefault="008F04CF" w:rsidP="00B637B2">
                <w:pPr>
                  <w:jc w:val="right"/>
                </w:pPr>
                <w:r w:rsidRPr="00A1419F">
                  <w:t>433,361,067</w:t>
                </w:r>
              </w:p>
            </w:tc>
          </w:tr>
        </w:tbl>
        <w:p w:rsidR="00B637B2" w:rsidRDefault="00B637B2"/>
        <w:p w:rsidR="00ED2DC7" w:rsidRDefault="000D0A99"/>
      </w:sdtContent>
    </w:sdt>
    <w:bookmarkStart w:id="113" w:name="_Hlk10469799" w:displacedByCustomXml="next"/>
    <w:sdt>
      <w:sdtPr>
        <w:rPr>
          <w:rFonts w:ascii="宋体" w:hAnsi="宋体" w:cs="宋体" w:hint="eastAsia"/>
          <w:b w:val="0"/>
          <w:bCs w:val="0"/>
          <w:kern w:val="0"/>
          <w:szCs w:val="24"/>
        </w:rPr>
        <w:alias w:val="模块:坏账准备计提情况"/>
        <w:tag w:val="_SEC_5ff83398df8949c88f89340b5b0e52f6"/>
        <w:id w:val="-17009890"/>
        <w:lock w:val="sdtLocked"/>
        <w:placeholder>
          <w:docPart w:val="GBC22222222222222222222222222222"/>
        </w:placeholder>
      </w:sdtPr>
      <w:sdtEndPr>
        <w:rPr>
          <w:rFonts w:hint="default"/>
        </w:rPr>
      </w:sdtEndPr>
      <w:sdtContent>
        <w:p w:rsidR="00ED2DC7" w:rsidRPr="00A1419F" w:rsidRDefault="00ED2DC7" w:rsidP="00036BDC">
          <w:pPr>
            <w:pStyle w:val="affffffffffffffffff2"/>
            <w:numPr>
              <w:ilvl w:val="3"/>
              <w:numId w:val="54"/>
            </w:numPr>
            <w:tabs>
              <w:tab w:val="left" w:pos="560"/>
            </w:tabs>
          </w:pPr>
          <w:r w:rsidRPr="00A1419F">
            <w:rPr>
              <w:rFonts w:hint="eastAsia"/>
            </w:rPr>
            <w:t>坏账准备计提情况</w:t>
          </w:r>
        </w:p>
        <w:sdt>
          <w:sdtPr>
            <w:rPr>
              <w:szCs w:val="21"/>
            </w:rPr>
            <w:alias w:val="是否适用：其他应收款坏账准备调节表[双击切换]"/>
            <w:tag w:val="_GBC_29d0c5a1588a4f6589b1f8148c9ef180"/>
            <w:id w:val="-402906544"/>
            <w:lock w:val="sdtContentLocked"/>
            <w:placeholder>
              <w:docPart w:val="GBC22222222222222222222222222222"/>
            </w:placeholder>
          </w:sdtPr>
          <w:sdtContent>
            <w:p w:rsidR="00ED2DC7" w:rsidRDefault="00ED2DC7">
              <w:r>
                <w:rPr>
                  <w:szCs w:val="21"/>
                </w:rPr>
                <w:fldChar w:fldCharType="begin"/>
              </w:r>
              <w:r w:rsidR="008F04CF">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ED2DC7" w:rsidRDefault="00ED2DC7">
          <w:pPr>
            <w:autoSpaceDE w:val="0"/>
            <w:autoSpaceDN w:val="0"/>
            <w:adjustRightInd w:val="0"/>
            <w:ind w:rightChars="50" w:right="105"/>
            <w:jc w:val="right"/>
            <w:rPr>
              <w:szCs w:val="21"/>
            </w:rPr>
          </w:pPr>
          <w:r>
            <w:rPr>
              <w:rFonts w:hint="eastAsia"/>
              <w:szCs w:val="21"/>
            </w:rPr>
            <w:t>单位：</w:t>
          </w:r>
          <w:sdt>
            <w:sdtPr>
              <w:rPr>
                <w:rFonts w:hint="eastAsia"/>
                <w:szCs w:val="21"/>
              </w:rPr>
              <w:alias w:val="单位：其他应收款坏账准备调节表"/>
              <w:tag w:val="_GBC_c65b82e3cfaf4fde8d75eac8c9a6e9f9"/>
              <w:id w:val="-179928940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hint="eastAsia"/>
                  <w:szCs w:val="21"/>
                </w:rPr>
                <w:t>元</w:t>
              </w:r>
            </w:sdtContent>
          </w:sdt>
          <w:r>
            <w:rPr>
              <w:rFonts w:hint="eastAsia"/>
              <w:szCs w:val="21"/>
            </w:rPr>
            <w:t xml:space="preserve">  币种：</w:t>
          </w:r>
          <w:sdt>
            <w:sdtPr>
              <w:rPr>
                <w:rFonts w:hint="eastAsia"/>
                <w:szCs w:val="21"/>
              </w:rPr>
              <w:alias w:val="币种：其他应收款坏账准备调节表"/>
              <w:tag w:val="_GBC_08cd78a434cc441cbfff10030c5a8719"/>
              <w:id w:val="-8428503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szCs w:val="21"/>
                </w:rPr>
                <w:t>人民币</w:t>
              </w:r>
            </w:sdtContent>
          </w:sdt>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6"/>
            <w:gridCol w:w="1521"/>
            <w:gridCol w:w="1936"/>
            <w:gridCol w:w="1936"/>
            <w:gridCol w:w="1664"/>
          </w:tblGrid>
          <w:tr w:rsidR="00ED2DC7" w:rsidTr="00510B81">
            <w:sdt>
              <w:sdtPr>
                <w:tag w:val="_PLD_0df16deeb9614db49d9aa88a31229d9a"/>
                <w:id w:val="865485734"/>
                <w:lock w:val="sdtLocked"/>
              </w:sdtPr>
              <w:sdtContent>
                <w:tc>
                  <w:tcPr>
                    <w:tcW w:w="1001" w:type="pct"/>
                    <w:vMerge w:val="restart"/>
                    <w:vAlign w:val="center"/>
                  </w:tcPr>
                  <w:p w:rsidR="00ED2DC7" w:rsidRDefault="00ED2DC7">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坏账准备</w:t>
                    </w:r>
                  </w:p>
                </w:tc>
              </w:sdtContent>
            </w:sdt>
            <w:sdt>
              <w:sdtPr>
                <w:tag w:val="_PLD_f47baed0f5d14c0486b4530b2aa1cb4c"/>
                <w:id w:val="-1998181526"/>
                <w:lock w:val="sdtLocked"/>
              </w:sdtPr>
              <w:sdtContent>
                <w:tc>
                  <w:tcPr>
                    <w:tcW w:w="862" w:type="pct"/>
                    <w:vAlign w:val="center"/>
                  </w:tcPr>
                  <w:p w:rsidR="00ED2DC7" w:rsidRDefault="00ED2DC7">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第一阶段</w:t>
                    </w:r>
                  </w:p>
                </w:tc>
              </w:sdtContent>
            </w:sdt>
            <w:sdt>
              <w:sdtPr>
                <w:tag w:val="_PLD_a29dd4725bec4eb78b246b92252a24df"/>
                <w:id w:val="-608436953"/>
                <w:lock w:val="sdtLocked"/>
              </w:sdtPr>
              <w:sdtContent>
                <w:tc>
                  <w:tcPr>
                    <w:tcW w:w="1097" w:type="pct"/>
                    <w:vAlign w:val="center"/>
                  </w:tcPr>
                  <w:p w:rsidR="00ED2DC7" w:rsidRDefault="00ED2DC7">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第二阶段</w:t>
                    </w:r>
                  </w:p>
                </w:tc>
              </w:sdtContent>
            </w:sdt>
            <w:sdt>
              <w:sdtPr>
                <w:tag w:val="_PLD_c495a5d3c56f4cb9a0bd5cc9cc9b5410"/>
                <w:id w:val="781686092"/>
                <w:lock w:val="sdtLocked"/>
              </w:sdtPr>
              <w:sdtContent>
                <w:tc>
                  <w:tcPr>
                    <w:tcW w:w="1097" w:type="pct"/>
                    <w:vAlign w:val="center"/>
                  </w:tcPr>
                  <w:p w:rsidR="00ED2DC7" w:rsidRDefault="00ED2DC7">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第三阶段</w:t>
                    </w:r>
                  </w:p>
                </w:tc>
              </w:sdtContent>
            </w:sdt>
            <w:sdt>
              <w:sdtPr>
                <w:tag w:val="_PLD_0dc8bab0b7424c1295b83fcc97ca7554"/>
                <w:id w:val="-322433004"/>
                <w:lock w:val="sdtLocked"/>
              </w:sdtPr>
              <w:sdtContent>
                <w:tc>
                  <w:tcPr>
                    <w:tcW w:w="943" w:type="pct"/>
                    <w:vMerge w:val="restart"/>
                    <w:vAlign w:val="center"/>
                  </w:tcPr>
                  <w:p w:rsidR="00ED2DC7" w:rsidRDefault="00ED2DC7">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合计</w:t>
                    </w:r>
                  </w:p>
                </w:tc>
              </w:sdtContent>
            </w:sdt>
          </w:tr>
          <w:tr w:rsidR="00ED2DC7" w:rsidTr="00510B81">
            <w:tc>
              <w:tcPr>
                <w:tcW w:w="1001" w:type="pct"/>
                <w:vMerge/>
                <w:vAlign w:val="center"/>
              </w:tcPr>
              <w:p w:rsidR="00ED2DC7" w:rsidRDefault="00ED2DC7">
                <w:pPr>
                  <w:jc w:val="center"/>
                  <w:rPr>
                    <w:color w:val="008000"/>
                    <w:szCs w:val="21"/>
                  </w:rPr>
                </w:pPr>
              </w:p>
            </w:tc>
            <w:sdt>
              <w:sdtPr>
                <w:tag w:val="_PLD_08f8b6a1fd974f0d8ae0c04f27849740"/>
                <w:id w:val="726273282"/>
                <w:lock w:val="sdtLocked"/>
              </w:sdtPr>
              <w:sdtContent>
                <w:tc>
                  <w:tcPr>
                    <w:tcW w:w="862" w:type="pct"/>
                    <w:vAlign w:val="center"/>
                  </w:tcPr>
                  <w:p w:rsidR="00ED2DC7" w:rsidRDefault="00ED2DC7">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未来12个月预期信用损失</w:t>
                    </w:r>
                  </w:p>
                </w:tc>
              </w:sdtContent>
            </w:sdt>
            <w:sdt>
              <w:sdtPr>
                <w:tag w:val="_PLD_c85cfe8f6d6a4ab0af13d30e76cd7800"/>
                <w:id w:val="1182319479"/>
                <w:lock w:val="sdtLocked"/>
              </w:sdtPr>
              <w:sdtContent>
                <w:tc>
                  <w:tcPr>
                    <w:tcW w:w="1097" w:type="pct"/>
                    <w:vAlign w:val="center"/>
                  </w:tcPr>
                  <w:p w:rsidR="00ED2DC7" w:rsidRDefault="00ED2DC7">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整个存续期预期信用损失(未发生信用减值)</w:t>
                    </w:r>
                  </w:p>
                </w:tc>
              </w:sdtContent>
            </w:sdt>
            <w:sdt>
              <w:sdtPr>
                <w:tag w:val="_PLD_2df6c7466f224906aa04a411975e6f79"/>
                <w:id w:val="149111124"/>
                <w:lock w:val="sdtLocked"/>
              </w:sdtPr>
              <w:sdtContent>
                <w:tc>
                  <w:tcPr>
                    <w:tcW w:w="1097" w:type="pct"/>
                    <w:vAlign w:val="center"/>
                  </w:tcPr>
                  <w:p w:rsidR="00ED2DC7" w:rsidRDefault="00ED2DC7">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整个存续期预期信用损失(已发生信用减值)</w:t>
                    </w:r>
                  </w:p>
                </w:tc>
              </w:sdtContent>
            </w:sdt>
            <w:tc>
              <w:tcPr>
                <w:tcW w:w="943" w:type="pct"/>
                <w:vMerge/>
              </w:tcPr>
              <w:p w:rsidR="00ED2DC7" w:rsidRDefault="00ED2DC7">
                <w:pPr>
                  <w:jc w:val="center"/>
                  <w:rPr>
                    <w:color w:val="008000"/>
                    <w:szCs w:val="21"/>
                  </w:rPr>
                </w:pPr>
              </w:p>
            </w:tc>
          </w:tr>
          <w:tr w:rsidR="00ED2DC7" w:rsidTr="00510B81">
            <w:sdt>
              <w:sdtPr>
                <w:tag w:val="_PLD_2d320061b2c04b43aa4ffcb4160cc3e9"/>
                <w:id w:val="-2028852537"/>
                <w:lock w:val="sdtLocked"/>
              </w:sdtPr>
              <w:sdtContent>
                <w:tc>
                  <w:tcPr>
                    <w:tcW w:w="1001" w:type="pct"/>
                    <w:vAlign w:val="center"/>
                  </w:tcPr>
                  <w:p w:rsidR="00ED2DC7" w:rsidRDefault="00ED2DC7">
                    <w:pPr>
                      <w:pStyle w:val="TableParagraph"/>
                      <w:spacing w:after="0" w:line="240" w:lineRule="auto"/>
                      <w:jc w:val="both"/>
                      <w:rPr>
                        <w:rFonts w:ascii="宋体" w:eastAsia="宋体" w:hAnsi="宋体" w:cs="宋体"/>
                        <w:sz w:val="21"/>
                        <w:szCs w:val="21"/>
                        <w:lang w:eastAsia="zh-CN"/>
                      </w:rPr>
                    </w:pPr>
                    <w:r>
                      <w:rPr>
                        <w:rFonts w:ascii="宋体" w:eastAsia="宋体" w:hAnsi="宋体" w:cs="宋体"/>
                        <w:sz w:val="21"/>
                        <w:szCs w:val="21"/>
                        <w:lang w:eastAsia="zh-CN"/>
                      </w:rPr>
                      <w:t>201</w:t>
                    </w:r>
                    <w:r>
                      <w:rPr>
                        <w:rFonts w:ascii="宋体" w:eastAsia="宋体" w:hAnsi="宋体" w:cs="宋体" w:hint="eastAsia"/>
                        <w:sz w:val="21"/>
                        <w:szCs w:val="21"/>
                        <w:lang w:eastAsia="zh-CN"/>
                      </w:rPr>
                      <w:t>9</w:t>
                    </w:r>
                    <w:r>
                      <w:rPr>
                        <w:rFonts w:ascii="宋体" w:eastAsia="宋体" w:hAnsi="宋体" w:cs="宋体"/>
                        <w:sz w:val="21"/>
                        <w:szCs w:val="21"/>
                        <w:lang w:eastAsia="zh-CN"/>
                      </w:rPr>
                      <w:t>年</w:t>
                    </w:r>
                    <w:r>
                      <w:rPr>
                        <w:rFonts w:ascii="宋体" w:eastAsia="宋体" w:hAnsi="宋体" w:cs="宋体" w:hint="eastAsia"/>
                        <w:sz w:val="21"/>
                        <w:szCs w:val="21"/>
                        <w:lang w:eastAsia="zh-CN"/>
                      </w:rPr>
                      <w:t>1月1日余额</w:t>
                    </w:r>
                  </w:p>
                </w:tc>
              </w:sdtContent>
            </w:sdt>
            <w:tc>
              <w:tcPr>
                <w:tcW w:w="862" w:type="pct"/>
              </w:tcPr>
              <w:p w:rsidR="00ED2DC7" w:rsidRDefault="00ED2DC7">
                <w:pPr>
                  <w:jc w:val="right"/>
                  <w:rPr>
                    <w:szCs w:val="21"/>
                  </w:rPr>
                </w:pPr>
              </w:p>
            </w:tc>
            <w:tc>
              <w:tcPr>
                <w:tcW w:w="1097" w:type="pct"/>
              </w:tcPr>
              <w:p w:rsidR="00ED2DC7" w:rsidRDefault="008F04CF">
                <w:pPr>
                  <w:jc w:val="right"/>
                  <w:rPr>
                    <w:szCs w:val="21"/>
                  </w:rPr>
                </w:pPr>
                <w:r w:rsidRPr="00A1419F">
                  <w:rPr>
                    <w:szCs w:val="21"/>
                  </w:rPr>
                  <w:t>41,343,909</w:t>
                </w:r>
              </w:p>
            </w:tc>
            <w:tc>
              <w:tcPr>
                <w:tcW w:w="1097" w:type="pct"/>
              </w:tcPr>
              <w:p w:rsidR="00ED2DC7" w:rsidRDefault="00ED2DC7">
                <w:pPr>
                  <w:jc w:val="right"/>
                  <w:rPr>
                    <w:szCs w:val="21"/>
                  </w:rPr>
                </w:pPr>
              </w:p>
            </w:tc>
            <w:tc>
              <w:tcPr>
                <w:tcW w:w="943" w:type="pct"/>
              </w:tcPr>
              <w:p w:rsidR="00ED2DC7" w:rsidRDefault="008F04CF">
                <w:pPr>
                  <w:jc w:val="right"/>
                  <w:rPr>
                    <w:szCs w:val="21"/>
                  </w:rPr>
                </w:pPr>
                <w:r w:rsidRPr="00A1419F">
                  <w:rPr>
                    <w:szCs w:val="21"/>
                  </w:rPr>
                  <w:t>41,343,909</w:t>
                </w:r>
              </w:p>
            </w:tc>
          </w:tr>
          <w:tr w:rsidR="00ED2DC7" w:rsidTr="00510B81">
            <w:sdt>
              <w:sdtPr>
                <w:tag w:val="_PLD_87947ae743a54051a279d9db76e17d3e"/>
                <w:id w:val="1724632458"/>
                <w:lock w:val="sdtLocked"/>
              </w:sdtPr>
              <w:sdtContent>
                <w:tc>
                  <w:tcPr>
                    <w:tcW w:w="1001" w:type="pct"/>
                    <w:vAlign w:val="center"/>
                  </w:tcPr>
                  <w:p w:rsidR="00ED2DC7" w:rsidRDefault="00ED2DC7">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2019年1月1日余额在本期</w:t>
                    </w:r>
                  </w:p>
                </w:tc>
              </w:sdtContent>
            </w:sdt>
            <w:tc>
              <w:tcPr>
                <w:tcW w:w="862" w:type="pct"/>
              </w:tcPr>
              <w:p w:rsidR="00ED2DC7" w:rsidRDefault="00ED2DC7">
                <w:pPr>
                  <w:jc w:val="right"/>
                  <w:rPr>
                    <w:szCs w:val="21"/>
                  </w:rPr>
                </w:pPr>
              </w:p>
            </w:tc>
            <w:tc>
              <w:tcPr>
                <w:tcW w:w="1097" w:type="pct"/>
              </w:tcPr>
              <w:p w:rsidR="00ED2DC7" w:rsidRDefault="00ED2DC7">
                <w:pPr>
                  <w:jc w:val="right"/>
                  <w:rPr>
                    <w:szCs w:val="21"/>
                  </w:rPr>
                </w:pPr>
              </w:p>
            </w:tc>
            <w:tc>
              <w:tcPr>
                <w:tcW w:w="1097" w:type="pct"/>
              </w:tcPr>
              <w:p w:rsidR="00ED2DC7" w:rsidRDefault="00ED2DC7">
                <w:pPr>
                  <w:jc w:val="right"/>
                  <w:rPr>
                    <w:szCs w:val="21"/>
                  </w:rPr>
                </w:pPr>
              </w:p>
            </w:tc>
            <w:tc>
              <w:tcPr>
                <w:tcW w:w="943" w:type="pct"/>
              </w:tcPr>
              <w:p w:rsidR="00ED2DC7" w:rsidRDefault="00ED2DC7">
                <w:pPr>
                  <w:jc w:val="right"/>
                  <w:rPr>
                    <w:szCs w:val="21"/>
                  </w:rPr>
                </w:pPr>
              </w:p>
            </w:tc>
          </w:tr>
          <w:tr w:rsidR="00ED2DC7" w:rsidTr="00510B81">
            <w:sdt>
              <w:sdtPr>
                <w:tag w:val="_PLD_038143b9e2e34542b73dcfc1430d95cc"/>
                <w:id w:val="-1827278039"/>
                <w:lock w:val="sdtLocked"/>
              </w:sdtPr>
              <w:sdtContent>
                <w:tc>
                  <w:tcPr>
                    <w:tcW w:w="1001" w:type="pct"/>
                    <w:vAlign w:val="center"/>
                  </w:tcPr>
                  <w:p w:rsidR="00ED2DC7" w:rsidRDefault="00ED2DC7">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--转入第二阶段</w:t>
                    </w:r>
                  </w:p>
                </w:tc>
              </w:sdtContent>
            </w:sdt>
            <w:tc>
              <w:tcPr>
                <w:tcW w:w="862" w:type="pct"/>
              </w:tcPr>
              <w:p w:rsidR="00ED2DC7" w:rsidRDefault="00ED2DC7">
                <w:pPr>
                  <w:jc w:val="right"/>
                  <w:rPr>
                    <w:szCs w:val="21"/>
                  </w:rPr>
                </w:pPr>
              </w:p>
            </w:tc>
            <w:tc>
              <w:tcPr>
                <w:tcW w:w="1097" w:type="pct"/>
              </w:tcPr>
              <w:p w:rsidR="00ED2DC7" w:rsidRDefault="00ED2DC7">
                <w:pPr>
                  <w:jc w:val="right"/>
                  <w:rPr>
                    <w:szCs w:val="21"/>
                  </w:rPr>
                </w:pPr>
              </w:p>
            </w:tc>
            <w:tc>
              <w:tcPr>
                <w:tcW w:w="1097" w:type="pct"/>
              </w:tcPr>
              <w:p w:rsidR="00ED2DC7" w:rsidRDefault="00ED2DC7">
                <w:pPr>
                  <w:jc w:val="right"/>
                  <w:rPr>
                    <w:szCs w:val="21"/>
                  </w:rPr>
                </w:pPr>
              </w:p>
            </w:tc>
            <w:tc>
              <w:tcPr>
                <w:tcW w:w="943" w:type="pct"/>
              </w:tcPr>
              <w:p w:rsidR="00ED2DC7" w:rsidRDefault="00ED2DC7">
                <w:pPr>
                  <w:jc w:val="right"/>
                  <w:rPr>
                    <w:szCs w:val="21"/>
                  </w:rPr>
                </w:pPr>
              </w:p>
            </w:tc>
          </w:tr>
          <w:tr w:rsidR="00ED2DC7" w:rsidTr="00510B81">
            <w:sdt>
              <w:sdtPr>
                <w:tag w:val="_PLD_a76d00fce3fe4d29be0ddd475d30b2c0"/>
                <w:id w:val="-804005626"/>
                <w:lock w:val="sdtLocked"/>
              </w:sdtPr>
              <w:sdtContent>
                <w:tc>
                  <w:tcPr>
                    <w:tcW w:w="1001" w:type="pct"/>
                    <w:vAlign w:val="center"/>
                  </w:tcPr>
                  <w:p w:rsidR="00ED2DC7" w:rsidRDefault="00ED2DC7">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--转入第三阶段</w:t>
                    </w:r>
                  </w:p>
                </w:tc>
              </w:sdtContent>
            </w:sdt>
            <w:tc>
              <w:tcPr>
                <w:tcW w:w="862" w:type="pct"/>
              </w:tcPr>
              <w:p w:rsidR="00ED2DC7" w:rsidRDefault="00ED2DC7">
                <w:pPr>
                  <w:jc w:val="right"/>
                  <w:rPr>
                    <w:szCs w:val="21"/>
                  </w:rPr>
                </w:pPr>
              </w:p>
            </w:tc>
            <w:tc>
              <w:tcPr>
                <w:tcW w:w="1097" w:type="pct"/>
              </w:tcPr>
              <w:p w:rsidR="00ED2DC7" w:rsidRDefault="00ED2DC7">
                <w:pPr>
                  <w:jc w:val="right"/>
                  <w:rPr>
                    <w:szCs w:val="21"/>
                  </w:rPr>
                </w:pPr>
              </w:p>
            </w:tc>
            <w:tc>
              <w:tcPr>
                <w:tcW w:w="1097" w:type="pct"/>
              </w:tcPr>
              <w:p w:rsidR="00ED2DC7" w:rsidRDefault="00ED2DC7">
                <w:pPr>
                  <w:jc w:val="right"/>
                  <w:rPr>
                    <w:szCs w:val="21"/>
                  </w:rPr>
                </w:pPr>
              </w:p>
            </w:tc>
            <w:tc>
              <w:tcPr>
                <w:tcW w:w="943" w:type="pct"/>
              </w:tcPr>
              <w:p w:rsidR="00ED2DC7" w:rsidRDefault="00ED2DC7">
                <w:pPr>
                  <w:jc w:val="right"/>
                  <w:rPr>
                    <w:szCs w:val="21"/>
                  </w:rPr>
                </w:pPr>
              </w:p>
            </w:tc>
          </w:tr>
          <w:tr w:rsidR="00ED2DC7" w:rsidTr="00510B81">
            <w:sdt>
              <w:sdtPr>
                <w:tag w:val="_PLD_7f587129b9194265b30ab5ac06c73ae1"/>
                <w:id w:val="573708905"/>
                <w:lock w:val="sdtLocked"/>
              </w:sdtPr>
              <w:sdtContent>
                <w:tc>
                  <w:tcPr>
                    <w:tcW w:w="1001" w:type="pct"/>
                    <w:vAlign w:val="center"/>
                  </w:tcPr>
                  <w:p w:rsidR="00ED2DC7" w:rsidRDefault="00ED2DC7">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--转回第二阶段</w:t>
                    </w:r>
                  </w:p>
                </w:tc>
              </w:sdtContent>
            </w:sdt>
            <w:tc>
              <w:tcPr>
                <w:tcW w:w="862" w:type="pct"/>
              </w:tcPr>
              <w:p w:rsidR="00ED2DC7" w:rsidRDefault="00ED2DC7">
                <w:pPr>
                  <w:jc w:val="right"/>
                  <w:rPr>
                    <w:szCs w:val="21"/>
                  </w:rPr>
                </w:pPr>
              </w:p>
            </w:tc>
            <w:tc>
              <w:tcPr>
                <w:tcW w:w="1097" w:type="pct"/>
              </w:tcPr>
              <w:p w:rsidR="00ED2DC7" w:rsidRDefault="00ED2DC7">
                <w:pPr>
                  <w:jc w:val="right"/>
                  <w:rPr>
                    <w:szCs w:val="21"/>
                  </w:rPr>
                </w:pPr>
              </w:p>
            </w:tc>
            <w:tc>
              <w:tcPr>
                <w:tcW w:w="1097" w:type="pct"/>
              </w:tcPr>
              <w:p w:rsidR="00ED2DC7" w:rsidRDefault="00ED2DC7">
                <w:pPr>
                  <w:jc w:val="right"/>
                  <w:rPr>
                    <w:szCs w:val="21"/>
                  </w:rPr>
                </w:pPr>
              </w:p>
            </w:tc>
            <w:tc>
              <w:tcPr>
                <w:tcW w:w="943" w:type="pct"/>
              </w:tcPr>
              <w:p w:rsidR="00ED2DC7" w:rsidRDefault="00ED2DC7">
                <w:pPr>
                  <w:jc w:val="right"/>
                  <w:rPr>
                    <w:szCs w:val="21"/>
                  </w:rPr>
                </w:pPr>
              </w:p>
            </w:tc>
          </w:tr>
          <w:tr w:rsidR="00ED2DC7" w:rsidTr="00510B81">
            <w:sdt>
              <w:sdtPr>
                <w:tag w:val="_PLD_7b7c467e47354ee5a30772a2b1c39114"/>
                <w:id w:val="2013877763"/>
                <w:lock w:val="sdtLocked"/>
              </w:sdtPr>
              <w:sdtContent>
                <w:tc>
                  <w:tcPr>
                    <w:tcW w:w="1001" w:type="pct"/>
                    <w:vAlign w:val="center"/>
                  </w:tcPr>
                  <w:p w:rsidR="00ED2DC7" w:rsidRDefault="00ED2DC7">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--转回第一阶段</w:t>
                    </w:r>
                  </w:p>
                </w:tc>
              </w:sdtContent>
            </w:sdt>
            <w:tc>
              <w:tcPr>
                <w:tcW w:w="862" w:type="pct"/>
              </w:tcPr>
              <w:p w:rsidR="00ED2DC7" w:rsidRDefault="00ED2DC7">
                <w:pPr>
                  <w:jc w:val="right"/>
                  <w:rPr>
                    <w:szCs w:val="21"/>
                  </w:rPr>
                </w:pPr>
              </w:p>
            </w:tc>
            <w:tc>
              <w:tcPr>
                <w:tcW w:w="1097" w:type="pct"/>
              </w:tcPr>
              <w:p w:rsidR="00ED2DC7" w:rsidRDefault="00ED2DC7">
                <w:pPr>
                  <w:jc w:val="right"/>
                  <w:rPr>
                    <w:szCs w:val="21"/>
                  </w:rPr>
                </w:pPr>
              </w:p>
            </w:tc>
            <w:tc>
              <w:tcPr>
                <w:tcW w:w="1097" w:type="pct"/>
              </w:tcPr>
              <w:p w:rsidR="00ED2DC7" w:rsidRDefault="00ED2DC7">
                <w:pPr>
                  <w:jc w:val="right"/>
                  <w:rPr>
                    <w:szCs w:val="21"/>
                  </w:rPr>
                </w:pPr>
              </w:p>
            </w:tc>
            <w:tc>
              <w:tcPr>
                <w:tcW w:w="943" w:type="pct"/>
              </w:tcPr>
              <w:p w:rsidR="00ED2DC7" w:rsidRDefault="00ED2DC7">
                <w:pPr>
                  <w:jc w:val="right"/>
                  <w:rPr>
                    <w:szCs w:val="21"/>
                  </w:rPr>
                </w:pPr>
              </w:p>
            </w:tc>
          </w:tr>
          <w:tr w:rsidR="00ED2DC7" w:rsidTr="00510B81">
            <w:sdt>
              <w:sdtPr>
                <w:tag w:val="_PLD_539b03f459c4452c8b986b7b696cbc3f"/>
                <w:id w:val="-104116080"/>
                <w:lock w:val="sdtLocked"/>
              </w:sdtPr>
              <w:sdtContent>
                <w:tc>
                  <w:tcPr>
                    <w:tcW w:w="1001" w:type="pct"/>
                    <w:vAlign w:val="center"/>
                  </w:tcPr>
                  <w:p w:rsidR="00ED2DC7" w:rsidRDefault="00ED2DC7">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本期计提</w:t>
                    </w:r>
                  </w:p>
                </w:tc>
              </w:sdtContent>
            </w:sdt>
            <w:tc>
              <w:tcPr>
                <w:tcW w:w="862" w:type="pct"/>
              </w:tcPr>
              <w:p w:rsidR="00ED2DC7" w:rsidRDefault="00ED2DC7">
                <w:pPr>
                  <w:jc w:val="right"/>
                  <w:rPr>
                    <w:szCs w:val="21"/>
                  </w:rPr>
                </w:pPr>
              </w:p>
            </w:tc>
            <w:tc>
              <w:tcPr>
                <w:tcW w:w="1097" w:type="pct"/>
              </w:tcPr>
              <w:p w:rsidR="00ED2DC7" w:rsidRDefault="008F04CF">
                <w:pPr>
                  <w:jc w:val="right"/>
                  <w:rPr>
                    <w:szCs w:val="21"/>
                  </w:rPr>
                </w:pPr>
                <w:r w:rsidRPr="00A1419F">
                  <w:rPr>
                    <w:szCs w:val="21"/>
                  </w:rPr>
                  <w:t>4,712,896</w:t>
                </w:r>
              </w:p>
            </w:tc>
            <w:tc>
              <w:tcPr>
                <w:tcW w:w="1097" w:type="pct"/>
              </w:tcPr>
              <w:p w:rsidR="00ED2DC7" w:rsidRDefault="00ED2DC7">
                <w:pPr>
                  <w:jc w:val="right"/>
                  <w:rPr>
                    <w:szCs w:val="21"/>
                  </w:rPr>
                </w:pPr>
              </w:p>
            </w:tc>
            <w:tc>
              <w:tcPr>
                <w:tcW w:w="943" w:type="pct"/>
              </w:tcPr>
              <w:p w:rsidR="00ED2DC7" w:rsidRDefault="008F04CF">
                <w:pPr>
                  <w:jc w:val="right"/>
                  <w:rPr>
                    <w:szCs w:val="21"/>
                  </w:rPr>
                </w:pPr>
                <w:r w:rsidRPr="00A1419F">
                  <w:rPr>
                    <w:szCs w:val="21"/>
                  </w:rPr>
                  <w:t>4,712,896</w:t>
                </w:r>
              </w:p>
            </w:tc>
          </w:tr>
          <w:tr w:rsidR="00ED2DC7" w:rsidTr="00510B81">
            <w:tc>
              <w:tcPr>
                <w:tcW w:w="1001" w:type="pct"/>
                <w:vAlign w:val="center"/>
              </w:tcPr>
              <w:sdt>
                <w:sdtPr>
                  <w:rPr>
                    <w:rFonts w:asciiTheme="minorEastAsia" w:eastAsiaTheme="minorEastAsia" w:hAnsiTheme="minorEastAsia" w:hint="eastAsia"/>
                    <w:sz w:val="21"/>
                    <w:szCs w:val="21"/>
                    <w:lang w:eastAsia="zh-CN"/>
                  </w:rPr>
                  <w:tag w:val="_PLD_ddcd4306bc5c4cc89da3fd6a733c0801"/>
                  <w:id w:val="134843933"/>
                  <w:lock w:val="sdtLocked"/>
                </w:sdtPr>
                <w:sdtContent>
                  <w:p w:rsidR="00ED2DC7" w:rsidRDefault="00ED2DC7">
                    <w:pPr>
                      <w:pStyle w:val="TableParagraph"/>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本期转回</w:t>
                    </w:r>
                  </w:p>
                </w:sdtContent>
              </w:sdt>
            </w:tc>
            <w:tc>
              <w:tcPr>
                <w:tcW w:w="862" w:type="pct"/>
              </w:tcPr>
              <w:p w:rsidR="00ED2DC7" w:rsidRDefault="00ED2DC7">
                <w:pPr>
                  <w:jc w:val="right"/>
                  <w:rPr>
                    <w:szCs w:val="21"/>
                  </w:rPr>
                </w:pPr>
              </w:p>
            </w:tc>
            <w:tc>
              <w:tcPr>
                <w:tcW w:w="1097" w:type="pct"/>
              </w:tcPr>
              <w:p w:rsidR="00ED2DC7" w:rsidRDefault="00ED2DC7">
                <w:pPr>
                  <w:jc w:val="right"/>
                  <w:rPr>
                    <w:szCs w:val="21"/>
                  </w:rPr>
                </w:pPr>
              </w:p>
            </w:tc>
            <w:tc>
              <w:tcPr>
                <w:tcW w:w="1097" w:type="pct"/>
              </w:tcPr>
              <w:p w:rsidR="00ED2DC7" w:rsidRDefault="00ED2DC7">
                <w:pPr>
                  <w:jc w:val="right"/>
                  <w:rPr>
                    <w:szCs w:val="21"/>
                  </w:rPr>
                </w:pPr>
              </w:p>
            </w:tc>
            <w:tc>
              <w:tcPr>
                <w:tcW w:w="943" w:type="pct"/>
              </w:tcPr>
              <w:p w:rsidR="00ED2DC7" w:rsidRDefault="00ED2DC7">
                <w:pPr>
                  <w:jc w:val="right"/>
                  <w:rPr>
                    <w:szCs w:val="21"/>
                  </w:rPr>
                </w:pPr>
              </w:p>
            </w:tc>
          </w:tr>
          <w:tr w:rsidR="00ED2DC7" w:rsidTr="00510B81">
            <w:sdt>
              <w:sdtPr>
                <w:tag w:val="_PLD_1c4657ced479496a86e3dc375f285889"/>
                <w:id w:val="1453359286"/>
                <w:lock w:val="sdtLocked"/>
              </w:sdtPr>
              <w:sdtContent>
                <w:tc>
                  <w:tcPr>
                    <w:tcW w:w="1001" w:type="pct"/>
                    <w:vAlign w:val="center"/>
                  </w:tcPr>
                  <w:p w:rsidR="00ED2DC7" w:rsidRDefault="00ED2DC7">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本期转销</w:t>
                    </w:r>
                  </w:p>
                </w:tc>
              </w:sdtContent>
            </w:sdt>
            <w:tc>
              <w:tcPr>
                <w:tcW w:w="862" w:type="pct"/>
              </w:tcPr>
              <w:p w:rsidR="00ED2DC7" w:rsidRDefault="00ED2DC7">
                <w:pPr>
                  <w:jc w:val="right"/>
                  <w:rPr>
                    <w:szCs w:val="21"/>
                  </w:rPr>
                </w:pPr>
              </w:p>
            </w:tc>
            <w:tc>
              <w:tcPr>
                <w:tcW w:w="1097" w:type="pct"/>
              </w:tcPr>
              <w:p w:rsidR="00ED2DC7" w:rsidRDefault="00ED2DC7">
                <w:pPr>
                  <w:jc w:val="right"/>
                  <w:rPr>
                    <w:szCs w:val="21"/>
                  </w:rPr>
                </w:pPr>
              </w:p>
            </w:tc>
            <w:tc>
              <w:tcPr>
                <w:tcW w:w="1097" w:type="pct"/>
              </w:tcPr>
              <w:p w:rsidR="00ED2DC7" w:rsidRDefault="00ED2DC7">
                <w:pPr>
                  <w:jc w:val="right"/>
                  <w:rPr>
                    <w:szCs w:val="21"/>
                  </w:rPr>
                </w:pPr>
              </w:p>
            </w:tc>
            <w:tc>
              <w:tcPr>
                <w:tcW w:w="943" w:type="pct"/>
              </w:tcPr>
              <w:p w:rsidR="00ED2DC7" w:rsidRDefault="00ED2DC7">
                <w:pPr>
                  <w:jc w:val="right"/>
                  <w:rPr>
                    <w:szCs w:val="21"/>
                  </w:rPr>
                </w:pPr>
              </w:p>
            </w:tc>
          </w:tr>
          <w:tr w:rsidR="00ED2DC7" w:rsidTr="00510B81">
            <w:tc>
              <w:tcPr>
                <w:tcW w:w="1001" w:type="pct"/>
                <w:vAlign w:val="center"/>
              </w:tcPr>
              <w:sdt>
                <w:sdtPr>
                  <w:rPr>
                    <w:rFonts w:asciiTheme="minorEastAsia" w:eastAsiaTheme="minorEastAsia" w:hAnsiTheme="minorEastAsia" w:hint="eastAsia"/>
                    <w:sz w:val="21"/>
                    <w:szCs w:val="21"/>
                    <w:lang w:eastAsia="zh-CN"/>
                  </w:rPr>
                  <w:tag w:val="_PLD_8a1f66e013df42ccbcaccfe3645b25ea"/>
                  <w:id w:val="793792617"/>
                  <w:lock w:val="sdtLocked"/>
                </w:sdtPr>
                <w:sdtContent>
                  <w:p w:rsidR="00ED2DC7" w:rsidRDefault="00ED2DC7">
                    <w:pPr>
                      <w:pStyle w:val="TableParagraph"/>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本期核销</w:t>
                    </w:r>
                  </w:p>
                </w:sdtContent>
              </w:sdt>
            </w:tc>
            <w:tc>
              <w:tcPr>
                <w:tcW w:w="862" w:type="pct"/>
              </w:tcPr>
              <w:p w:rsidR="00ED2DC7" w:rsidRDefault="00ED2DC7">
                <w:pPr>
                  <w:jc w:val="right"/>
                  <w:rPr>
                    <w:szCs w:val="21"/>
                  </w:rPr>
                </w:pPr>
              </w:p>
            </w:tc>
            <w:tc>
              <w:tcPr>
                <w:tcW w:w="1097" w:type="pct"/>
              </w:tcPr>
              <w:p w:rsidR="00ED2DC7" w:rsidRDefault="008F04CF">
                <w:pPr>
                  <w:jc w:val="right"/>
                  <w:rPr>
                    <w:szCs w:val="21"/>
                  </w:rPr>
                </w:pPr>
                <w:r w:rsidRPr="00A1419F">
                  <w:rPr>
                    <w:szCs w:val="21"/>
                  </w:rPr>
                  <w:t>45,000</w:t>
                </w:r>
              </w:p>
            </w:tc>
            <w:tc>
              <w:tcPr>
                <w:tcW w:w="1097" w:type="pct"/>
              </w:tcPr>
              <w:p w:rsidR="00ED2DC7" w:rsidRDefault="00ED2DC7">
                <w:pPr>
                  <w:jc w:val="right"/>
                  <w:rPr>
                    <w:szCs w:val="21"/>
                  </w:rPr>
                </w:pPr>
              </w:p>
            </w:tc>
            <w:tc>
              <w:tcPr>
                <w:tcW w:w="943" w:type="pct"/>
              </w:tcPr>
              <w:p w:rsidR="00ED2DC7" w:rsidRDefault="008F04CF">
                <w:pPr>
                  <w:jc w:val="right"/>
                  <w:rPr>
                    <w:szCs w:val="21"/>
                  </w:rPr>
                </w:pPr>
                <w:r w:rsidRPr="00A1419F">
                  <w:rPr>
                    <w:szCs w:val="21"/>
                  </w:rPr>
                  <w:t>45,000</w:t>
                </w:r>
              </w:p>
            </w:tc>
          </w:tr>
          <w:tr w:rsidR="00ED2DC7" w:rsidTr="00510B81">
            <w:sdt>
              <w:sdtPr>
                <w:tag w:val="_PLD_80203c10cb0c468dbd7a48669ddd0f63"/>
                <w:id w:val="517748390"/>
                <w:lock w:val="sdtLocked"/>
              </w:sdtPr>
              <w:sdtContent>
                <w:tc>
                  <w:tcPr>
                    <w:tcW w:w="1001" w:type="pct"/>
                    <w:vAlign w:val="center"/>
                  </w:tcPr>
                  <w:p w:rsidR="00ED2DC7" w:rsidRDefault="00ED2DC7">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其他变动</w:t>
                    </w:r>
                  </w:p>
                </w:tc>
              </w:sdtContent>
            </w:sdt>
            <w:tc>
              <w:tcPr>
                <w:tcW w:w="862" w:type="pct"/>
              </w:tcPr>
              <w:p w:rsidR="00ED2DC7" w:rsidRDefault="00ED2DC7">
                <w:pPr>
                  <w:jc w:val="right"/>
                  <w:rPr>
                    <w:szCs w:val="21"/>
                  </w:rPr>
                </w:pPr>
              </w:p>
            </w:tc>
            <w:tc>
              <w:tcPr>
                <w:tcW w:w="1097" w:type="pct"/>
              </w:tcPr>
              <w:p w:rsidR="00ED2DC7" w:rsidRDefault="00ED2DC7">
                <w:pPr>
                  <w:jc w:val="right"/>
                  <w:rPr>
                    <w:szCs w:val="21"/>
                  </w:rPr>
                </w:pPr>
              </w:p>
            </w:tc>
            <w:tc>
              <w:tcPr>
                <w:tcW w:w="1097" w:type="pct"/>
              </w:tcPr>
              <w:p w:rsidR="00ED2DC7" w:rsidRDefault="00ED2DC7">
                <w:pPr>
                  <w:jc w:val="right"/>
                  <w:rPr>
                    <w:szCs w:val="21"/>
                  </w:rPr>
                </w:pPr>
              </w:p>
            </w:tc>
            <w:tc>
              <w:tcPr>
                <w:tcW w:w="943" w:type="pct"/>
              </w:tcPr>
              <w:p w:rsidR="00ED2DC7" w:rsidRDefault="00ED2DC7">
                <w:pPr>
                  <w:jc w:val="right"/>
                  <w:rPr>
                    <w:szCs w:val="21"/>
                  </w:rPr>
                </w:pPr>
              </w:p>
            </w:tc>
          </w:tr>
          <w:tr w:rsidR="00ED2DC7" w:rsidTr="00510B81">
            <w:sdt>
              <w:sdtPr>
                <w:tag w:val="_PLD_bb669c94f1734a70be90735195c143c3"/>
                <w:id w:val="-1105957396"/>
                <w:lock w:val="sdtLocked"/>
              </w:sdtPr>
              <w:sdtContent>
                <w:tc>
                  <w:tcPr>
                    <w:tcW w:w="1001" w:type="pct"/>
                    <w:vAlign w:val="center"/>
                  </w:tcPr>
                  <w:p w:rsidR="00ED2DC7" w:rsidRDefault="00ED2DC7">
                    <w:pPr>
                      <w:pStyle w:val="TableParagraph"/>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201</w:t>
                    </w:r>
                    <w:r>
                      <w:rPr>
                        <w:rFonts w:ascii="宋体" w:eastAsia="宋体" w:hAnsi="宋体" w:cs="宋体" w:hint="eastAsia"/>
                        <w:sz w:val="21"/>
                        <w:szCs w:val="21"/>
                        <w:lang w:eastAsia="zh-CN"/>
                      </w:rPr>
                      <w:t>9</w:t>
                    </w:r>
                    <w:r>
                      <w:rPr>
                        <w:rFonts w:ascii="宋体" w:eastAsia="宋体" w:hAnsi="宋体" w:cs="宋体"/>
                        <w:sz w:val="21"/>
                        <w:szCs w:val="21"/>
                        <w:lang w:eastAsia="zh-CN"/>
                      </w:rPr>
                      <w:t>年</w:t>
                    </w:r>
                    <w:r>
                      <w:rPr>
                        <w:rFonts w:ascii="宋体" w:eastAsia="宋体" w:hAnsi="宋体" w:cs="宋体" w:hint="eastAsia"/>
                        <w:sz w:val="21"/>
                        <w:szCs w:val="21"/>
                        <w:lang w:eastAsia="zh-CN"/>
                      </w:rPr>
                      <w:t>6</w:t>
                    </w:r>
                    <w:r>
                      <w:rPr>
                        <w:rFonts w:ascii="宋体" w:eastAsia="宋体" w:hAnsi="宋体" w:cs="宋体"/>
                        <w:sz w:val="21"/>
                        <w:szCs w:val="21"/>
                        <w:lang w:eastAsia="zh-CN"/>
                      </w:rPr>
                      <w:t>月</w:t>
                    </w:r>
                    <w:r>
                      <w:rPr>
                        <w:rFonts w:ascii="宋体" w:eastAsia="宋体" w:hAnsi="宋体" w:cs="宋体" w:hint="eastAsia"/>
                        <w:sz w:val="21"/>
                        <w:szCs w:val="21"/>
                        <w:lang w:eastAsia="zh-CN"/>
                      </w:rPr>
                      <w:t>30日余额</w:t>
                    </w:r>
                  </w:p>
                </w:tc>
              </w:sdtContent>
            </w:sdt>
            <w:tc>
              <w:tcPr>
                <w:tcW w:w="862" w:type="pct"/>
              </w:tcPr>
              <w:p w:rsidR="00ED2DC7" w:rsidRDefault="00ED2DC7">
                <w:pPr>
                  <w:jc w:val="right"/>
                  <w:rPr>
                    <w:szCs w:val="21"/>
                  </w:rPr>
                </w:pPr>
              </w:p>
            </w:tc>
            <w:tc>
              <w:tcPr>
                <w:tcW w:w="1097" w:type="pct"/>
              </w:tcPr>
              <w:p w:rsidR="00ED2DC7" w:rsidRDefault="008F04CF">
                <w:pPr>
                  <w:jc w:val="right"/>
                  <w:rPr>
                    <w:szCs w:val="21"/>
                  </w:rPr>
                </w:pPr>
                <w:r w:rsidRPr="00A1419F">
                  <w:rPr>
                    <w:szCs w:val="21"/>
                  </w:rPr>
                  <w:t>46,011,805</w:t>
                </w:r>
              </w:p>
            </w:tc>
            <w:tc>
              <w:tcPr>
                <w:tcW w:w="1097" w:type="pct"/>
              </w:tcPr>
              <w:p w:rsidR="00ED2DC7" w:rsidRDefault="00ED2DC7">
                <w:pPr>
                  <w:jc w:val="right"/>
                  <w:rPr>
                    <w:szCs w:val="21"/>
                  </w:rPr>
                </w:pPr>
              </w:p>
            </w:tc>
            <w:tc>
              <w:tcPr>
                <w:tcW w:w="943" w:type="pct"/>
              </w:tcPr>
              <w:p w:rsidR="00ED2DC7" w:rsidRDefault="008F04CF">
                <w:pPr>
                  <w:jc w:val="right"/>
                  <w:rPr>
                    <w:szCs w:val="21"/>
                  </w:rPr>
                </w:pPr>
                <w:r w:rsidRPr="00A1419F">
                  <w:rPr>
                    <w:szCs w:val="21"/>
                  </w:rPr>
                  <w:t>46,011,805</w:t>
                </w:r>
              </w:p>
            </w:tc>
          </w:tr>
        </w:tbl>
        <w:p w:rsidR="00ED2DC7" w:rsidRDefault="00ED2DC7"/>
        <w:p w:rsidR="00ED2DC7" w:rsidRDefault="00ED2DC7">
          <w:pPr>
            <w:pStyle w:val="affffffffffffffffffffd"/>
          </w:pPr>
          <w:r>
            <w:rPr>
              <w:rFonts w:hint="eastAsia"/>
            </w:rPr>
            <w:t>对本期发生损失准备变动的其他应收款账面余额显著变动的情况说明：</w:t>
          </w:r>
        </w:p>
        <w:sdt>
          <w:sdtPr>
            <w:alias w:val="是否适用：其他应收款本期发生损失准备变动且账面余额显著变动的情况说明[双击切换]"/>
            <w:tag w:val="_GBC_32e9d68fc5194869baa30fe15720ff13"/>
            <w:id w:val="1644629155"/>
            <w:lock w:val="sdtContentLocked"/>
            <w:placeholder>
              <w:docPart w:val="GBC22222222222222222222222222222"/>
            </w:placeholder>
          </w:sdtPr>
          <w:sdtContent>
            <w:p w:rsidR="00ED2DC7" w:rsidRDefault="00ED2DC7" w:rsidP="00B637B2">
              <w:r>
                <w:fldChar w:fldCharType="begin"/>
              </w:r>
              <w:r w:rsidR="008F04CF">
                <w:instrText xml:space="preserve"> MACROBUTTON  SnrToggleCheckbox □适用 </w:instrText>
              </w:r>
              <w:r>
                <w:fldChar w:fldCharType="end"/>
              </w:r>
              <w:r>
                <w:fldChar w:fldCharType="begin"/>
              </w:r>
              <w:r w:rsidR="008F04CF">
                <w:instrText xml:space="preserve"> MACROBUTTON  SnrToggleCheckbox √不适用 </w:instrText>
              </w:r>
              <w:r>
                <w:fldChar w:fldCharType="end"/>
              </w:r>
            </w:p>
          </w:sdtContent>
        </w:sdt>
        <w:p w:rsidR="00ED2DC7" w:rsidRDefault="00ED2DC7"/>
        <w:p w:rsidR="00ED2DC7" w:rsidRDefault="00ED2DC7">
          <w:r>
            <w:rPr>
              <w:rFonts w:hint="eastAsia"/>
            </w:rPr>
            <w:t>本期坏账准备计提金额以及评估金融工具的信用风险是否显著增加的采用依据：</w:t>
          </w:r>
        </w:p>
        <w:sdt>
          <w:sdtPr>
            <w:alias w:val="是否适用：其他应收款本期坏账准备计提金额以及评估金融工具的信用风险显著增加的采用依据[双击切换]"/>
            <w:tag w:val="_GBC_dde26fcf385445edb7b0e96dab2a2b3e"/>
            <w:id w:val="431547897"/>
            <w:lock w:val="sdtContentLocked"/>
            <w:placeholder>
              <w:docPart w:val="GBC22222222222222222222222222222"/>
            </w:placeholder>
          </w:sdtPr>
          <w:sdtContent>
            <w:p w:rsidR="00ED2DC7" w:rsidRDefault="00ED2DC7" w:rsidP="00B637B2">
              <w:r>
                <w:fldChar w:fldCharType="begin"/>
              </w:r>
              <w:r w:rsidR="008F04CF">
                <w:instrText xml:space="preserve"> MACROBUTTON  SnrToggleCheckbox □适用 </w:instrText>
              </w:r>
              <w:r>
                <w:fldChar w:fldCharType="end"/>
              </w:r>
              <w:r>
                <w:fldChar w:fldCharType="begin"/>
              </w:r>
              <w:r w:rsidR="008F04CF">
                <w:instrText xml:space="preserve"> MACROBUTTON  SnrToggleCheckbox √不适用 </w:instrText>
              </w:r>
              <w:r>
                <w:fldChar w:fldCharType="end"/>
              </w:r>
            </w:p>
          </w:sdtContent>
        </w:sdt>
        <w:p w:rsidR="00ED2DC7" w:rsidRDefault="000D0A99"/>
      </w:sdtContent>
    </w:sdt>
    <w:bookmarkEnd w:id="113" w:displacedByCustomXml="prev"/>
    <w:bookmarkStart w:id="114" w:name="_Hlk10469877" w:displacedByCustomXml="next"/>
    <w:sdt>
      <w:sdtPr>
        <w:rPr>
          <w:rFonts w:ascii="宋体" w:hAnsi="宋体" w:cs="宋体" w:hint="eastAsia"/>
          <w:b w:val="0"/>
          <w:bCs w:val="0"/>
          <w:kern w:val="0"/>
          <w:szCs w:val="24"/>
        </w:rPr>
        <w:alias w:val="模块:坏账准备的情况"/>
        <w:tag w:val="_SEC_93dacca8700c43aaba11477ef4689aa6"/>
        <w:id w:val="-68967824"/>
        <w:lock w:val="sdtLocked"/>
        <w:placeholder>
          <w:docPart w:val="GBC22222222222222222222222222222"/>
        </w:placeholder>
      </w:sdtPr>
      <w:sdtContent>
        <w:p w:rsidR="00ED2DC7" w:rsidRPr="00A1419F" w:rsidRDefault="00ED2DC7" w:rsidP="00036BDC">
          <w:pPr>
            <w:pStyle w:val="affffffffffffffffff2"/>
            <w:numPr>
              <w:ilvl w:val="3"/>
              <w:numId w:val="54"/>
            </w:numPr>
            <w:tabs>
              <w:tab w:val="left" w:pos="560"/>
            </w:tabs>
          </w:pPr>
          <w:r w:rsidRPr="00A1419F">
            <w:rPr>
              <w:rFonts w:hint="eastAsia"/>
            </w:rPr>
            <w:t>坏账准备的情况</w:t>
          </w:r>
        </w:p>
        <w:sdt>
          <w:sdtPr>
            <w:alias w:val="是否适用：其他应收款坏账准备[双击切换]"/>
            <w:tag w:val="_GBC_b3f4f88802a54b1da539ba2563000c5c"/>
            <w:id w:val="-1837293087"/>
            <w:lock w:val="sdtContentLocked"/>
            <w:placeholder>
              <w:docPart w:val="GBC22222222222222222222222222222"/>
            </w:placeholder>
          </w:sdtPr>
          <w:sdtContent>
            <w:p w:rsidR="00ED2DC7" w:rsidRDefault="00ED2DC7" w:rsidP="00B637B2">
              <w:r>
                <w:fldChar w:fldCharType="begin"/>
              </w:r>
              <w:r w:rsidR="008F04CF">
                <w:instrText xml:space="preserve"> MACROBUTTON  SnrToggleCheckbox □适用 </w:instrText>
              </w:r>
              <w:r>
                <w:fldChar w:fldCharType="end"/>
              </w:r>
              <w:r>
                <w:fldChar w:fldCharType="begin"/>
              </w:r>
              <w:r w:rsidR="008F04CF">
                <w:instrText xml:space="preserve"> MACROBUTTON  SnrToggleCheckbox √不适用 </w:instrText>
              </w:r>
              <w:r>
                <w:fldChar w:fldCharType="end"/>
              </w:r>
            </w:p>
          </w:sdtContent>
        </w:sdt>
      </w:sdtContent>
    </w:sdt>
    <w:bookmarkEnd w:id="114" w:displacedByCustomXml="prev"/>
    <w:sdt>
      <w:sdtPr>
        <w:rPr>
          <w:rFonts w:ascii="宋体" w:hAnsi="宋体" w:cs="宋体" w:hint="eastAsia"/>
          <w:b w:val="0"/>
          <w:bCs w:val="0"/>
          <w:kern w:val="0"/>
          <w:szCs w:val="24"/>
        </w:rPr>
        <w:alias w:val="模块:本报告期实际核销的其他应收款情况"/>
        <w:tag w:val="_GBC_ca12851378c64f09a5335b8a527df46f"/>
        <w:id w:val="-968896343"/>
        <w:lock w:val="sdtLocked"/>
        <w:placeholder>
          <w:docPart w:val="GBC22222222222222222222222222222"/>
        </w:placeholder>
      </w:sdtPr>
      <w:sdtEndPr>
        <w:rPr>
          <w:rFonts w:ascii="Times New Roman" w:hAnsi="Times New Roman"/>
        </w:rPr>
      </w:sdtEndPr>
      <w:sdtContent>
        <w:p w:rsidR="00ED2DC7" w:rsidRPr="00A1419F" w:rsidRDefault="00ED2DC7" w:rsidP="00036BDC">
          <w:pPr>
            <w:pStyle w:val="affffffffffffffffff2"/>
            <w:numPr>
              <w:ilvl w:val="3"/>
              <w:numId w:val="54"/>
            </w:numPr>
            <w:tabs>
              <w:tab w:val="left" w:pos="560"/>
            </w:tabs>
          </w:pPr>
          <w:r w:rsidRPr="00A1419F">
            <w:rPr>
              <w:rFonts w:hint="eastAsia"/>
            </w:rPr>
            <w:t>本期实际核销的其他应收款情况</w:t>
          </w:r>
        </w:p>
        <w:sdt>
          <w:sdtPr>
            <w:alias w:val="是否适用：本期实际核销的其他应收款情况[双击切换]"/>
            <w:tag w:val="_GBC_99c0ad513e2447ba8b2267c169be5583"/>
            <w:id w:val="258256689"/>
            <w:lock w:val="sdtContentLocked"/>
            <w:placeholder>
              <w:docPart w:val="GBC22222222222222222222222222222"/>
            </w:placeholder>
          </w:sdtPr>
          <w:sdtContent>
            <w:p w:rsidR="00ED2DC7" w:rsidRDefault="00ED2DC7">
              <w:r>
                <w:fldChar w:fldCharType="begin"/>
              </w:r>
              <w:r w:rsidR="008F04CF">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ED2DC7" w:rsidRDefault="00ED2DC7">
          <w:pPr>
            <w:jc w:val="right"/>
            <w:rPr>
              <w:szCs w:val="21"/>
            </w:rPr>
          </w:pPr>
          <w:r>
            <w:rPr>
              <w:rFonts w:hint="eastAsia"/>
              <w:szCs w:val="21"/>
            </w:rPr>
            <w:t>单位：</w:t>
          </w:r>
          <w:sdt>
            <w:sdtPr>
              <w:rPr>
                <w:rFonts w:hint="eastAsia"/>
                <w:szCs w:val="21"/>
              </w:rPr>
              <w:alias w:val="单位：财务附注：本报告期实际核销的其他应收款项情况"/>
              <w:tag w:val="_GBC_ab04a19baf3a48968d04429328fe957d"/>
              <w:id w:val="10822655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hint="eastAsia"/>
                  <w:szCs w:val="21"/>
                </w:rPr>
                <w:t>元</w:t>
              </w:r>
            </w:sdtContent>
          </w:sdt>
          <w:r>
            <w:rPr>
              <w:rFonts w:hint="eastAsia"/>
              <w:szCs w:val="21"/>
            </w:rPr>
            <w:t xml:space="preserve">  币种：</w:t>
          </w:r>
          <w:sdt>
            <w:sdtPr>
              <w:rPr>
                <w:rFonts w:hint="eastAsia"/>
                <w:szCs w:val="21"/>
              </w:rPr>
              <w:alias w:val="币种：财务附注：本报告期实际核销的其他应收款项情况"/>
              <w:tag w:val="_GBC_8d43ab8d3f0a44d4baf90271ebef5e19"/>
              <w:id w:val="36511463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szCs w:val="21"/>
                </w:rPr>
                <w:t>人民币</w:t>
              </w:r>
            </w:sdtContent>
          </w:sdt>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4394"/>
            <w:gridCol w:w="4429"/>
          </w:tblGrid>
          <w:tr w:rsidR="00ED2DC7" w:rsidTr="00474A51">
            <w:trPr>
              <w:cantSplit/>
            </w:trPr>
            <w:sdt>
              <w:sdtPr>
                <w:tag w:val="_PLD_ce3497345055466bbb17c2159400fd42"/>
                <w:id w:val="-595793057"/>
                <w:lock w:val="sdtLocked"/>
              </w:sdtPr>
              <w:sdtContent>
                <w:tc>
                  <w:tcPr>
                    <w:tcW w:w="2490" w:type="pct"/>
                  </w:tcPr>
                  <w:p w:rsidR="00ED2DC7" w:rsidRDefault="00ED2DC7">
                    <w:pPr>
                      <w:ind w:right="73"/>
                      <w:jc w:val="center"/>
                      <w:rPr>
                        <w:szCs w:val="21"/>
                      </w:rPr>
                    </w:pPr>
                    <w:r>
                      <w:rPr>
                        <w:rFonts w:hint="eastAsia"/>
                        <w:szCs w:val="21"/>
                      </w:rPr>
                      <w:t>项目</w:t>
                    </w:r>
                  </w:p>
                </w:tc>
              </w:sdtContent>
            </w:sdt>
            <w:sdt>
              <w:sdtPr>
                <w:tag w:val="_PLD_c988ea530cd249f990ba3faf444225f8"/>
                <w:id w:val="16975525"/>
                <w:lock w:val="sdtLocked"/>
              </w:sdtPr>
              <w:sdtContent>
                <w:tc>
                  <w:tcPr>
                    <w:tcW w:w="2510" w:type="pct"/>
                  </w:tcPr>
                  <w:p w:rsidR="00ED2DC7" w:rsidRDefault="00ED2DC7">
                    <w:pPr>
                      <w:ind w:right="73"/>
                      <w:jc w:val="center"/>
                      <w:rPr>
                        <w:szCs w:val="21"/>
                      </w:rPr>
                    </w:pPr>
                    <w:r>
                      <w:rPr>
                        <w:rFonts w:hint="eastAsia"/>
                        <w:szCs w:val="21"/>
                      </w:rPr>
                      <w:t>核销金额</w:t>
                    </w:r>
                  </w:p>
                </w:tc>
              </w:sdtContent>
            </w:sdt>
          </w:tr>
          <w:tr w:rsidR="00ED2DC7" w:rsidTr="00474A51">
            <w:trPr>
              <w:cantSplit/>
            </w:trPr>
            <w:sdt>
              <w:sdtPr>
                <w:tag w:val="_PLD_57d67837e5d3466f81ee33c45729c7fd"/>
                <w:id w:val="1133908970"/>
                <w:lock w:val="sdtLocked"/>
              </w:sdtPr>
              <w:sdtContent>
                <w:tc>
                  <w:tcPr>
                    <w:tcW w:w="2490" w:type="pct"/>
                  </w:tcPr>
                  <w:p w:rsidR="00ED2DC7" w:rsidRDefault="00ED2DC7">
                    <w:pPr>
                      <w:ind w:right="73"/>
                      <w:rPr>
                        <w:szCs w:val="21"/>
                      </w:rPr>
                    </w:pPr>
                    <w:r>
                      <w:rPr>
                        <w:rFonts w:hint="eastAsia"/>
                        <w:szCs w:val="21"/>
                      </w:rPr>
                      <w:t>实际核销的其他应收款</w:t>
                    </w:r>
                  </w:p>
                </w:tc>
              </w:sdtContent>
            </w:sdt>
            <w:tc>
              <w:tcPr>
                <w:tcW w:w="2510" w:type="pct"/>
              </w:tcPr>
              <w:p w:rsidR="00ED2DC7" w:rsidRDefault="008F04CF">
                <w:pPr>
                  <w:ind w:right="73"/>
                  <w:jc w:val="right"/>
                  <w:rPr>
                    <w:szCs w:val="21"/>
                  </w:rPr>
                </w:pPr>
                <w:r w:rsidRPr="00A1419F">
                  <w:rPr>
                    <w:szCs w:val="21"/>
                  </w:rPr>
                  <w:t>45,000</w:t>
                </w:r>
              </w:p>
            </w:tc>
          </w:tr>
        </w:tbl>
        <w:p w:rsidR="00ED2DC7" w:rsidRDefault="00ED2DC7">
          <w:pPr>
            <w:rPr>
              <w:szCs w:val="21"/>
            </w:rPr>
          </w:pPr>
        </w:p>
        <w:p w:rsidR="00ED2DC7" w:rsidRDefault="00ED2DC7">
          <w:pPr>
            <w:rPr>
              <w:szCs w:val="21"/>
            </w:rPr>
          </w:pPr>
          <w:r>
            <w:rPr>
              <w:rFonts w:hint="eastAsia"/>
              <w:szCs w:val="21"/>
            </w:rPr>
            <w:t>其中重要的其他应收款核销情况：</w:t>
          </w:r>
        </w:p>
        <w:sdt>
          <w:sdtPr>
            <w:rPr>
              <w:szCs w:val="21"/>
            </w:rPr>
            <w:alias w:val="是否适用：其中重要的其他应收款核销情况[双击切换]"/>
            <w:tag w:val="_GBC_18f34d9f47f24d07986c3f3568dd2c70"/>
            <w:id w:val="1076248006"/>
            <w:lock w:val="sdtContentLocked"/>
            <w:placeholder>
              <w:docPart w:val="GBC22222222222222222222222222222"/>
            </w:placeholder>
          </w:sdtPr>
          <w:sdtContent>
            <w:p w:rsidR="00ED2DC7" w:rsidRDefault="00ED2DC7" w:rsidP="00B637B2">
              <w:pPr>
                <w:rPr>
                  <w:szCs w:val="21"/>
                </w:rPr>
              </w:pPr>
              <w:r>
                <w:rPr>
                  <w:szCs w:val="21"/>
                </w:rPr>
                <w:fldChar w:fldCharType="begin"/>
              </w:r>
              <w:r w:rsidR="008F04CF">
                <w:rPr>
                  <w:szCs w:val="21"/>
                </w:rPr>
                <w:instrText xml:space="preserve"> MACROBUTTON  SnrToggleCheckbox □适用 </w:instrText>
              </w:r>
              <w:r>
                <w:rPr>
                  <w:szCs w:val="21"/>
                </w:rPr>
                <w:fldChar w:fldCharType="end"/>
              </w:r>
              <w:r>
                <w:rPr>
                  <w:szCs w:val="21"/>
                </w:rPr>
                <w:fldChar w:fldCharType="begin"/>
              </w:r>
              <w:r w:rsidR="008F04CF">
                <w:rPr>
                  <w:szCs w:val="21"/>
                </w:rPr>
                <w:instrText xml:space="preserve"> MACROBUTTON  SnrToggleCheckbox √不适用 </w:instrText>
              </w:r>
              <w:r>
                <w:rPr>
                  <w:szCs w:val="21"/>
                </w:rPr>
                <w:fldChar w:fldCharType="end"/>
              </w:r>
            </w:p>
          </w:sdtContent>
        </w:sdt>
        <w:p w:rsidR="00ED2DC7" w:rsidRDefault="00ED2DC7">
          <w:pPr>
            <w:snapToGrid w:val="0"/>
            <w:spacing w:line="240" w:lineRule="atLeast"/>
            <w:rPr>
              <w:szCs w:val="21"/>
            </w:rPr>
          </w:pPr>
          <w:r>
            <w:rPr>
              <w:rFonts w:hint="eastAsia"/>
              <w:szCs w:val="21"/>
            </w:rPr>
            <w:t>其他应收款核销说明：</w:t>
          </w:r>
        </w:p>
        <w:sdt>
          <w:sdtPr>
            <w:rPr>
              <w:b/>
              <w:bCs/>
              <w:szCs w:val="21"/>
            </w:rPr>
            <w:alias w:val="是否适用：其他应收款冲销坏帐明细的说明[双击切换]"/>
            <w:tag w:val="_GBC_04f9a50bf0244ec4a466448325e84289"/>
            <w:id w:val="970554938"/>
            <w:lock w:val="sdtContentLocked"/>
            <w:placeholder>
              <w:docPart w:val="GBC22222222222222222222222222222"/>
            </w:placeholder>
          </w:sdtPr>
          <w:sdtEndPr>
            <w:rPr>
              <w:b w:val="0"/>
            </w:rPr>
          </w:sdtEndPr>
          <w:sdtContent>
            <w:p w:rsidR="00ED2DC7" w:rsidRDefault="00ED2DC7" w:rsidP="00B637B2">
              <w:pPr>
                <w:snapToGrid w:val="0"/>
                <w:spacing w:line="240" w:lineRule="atLeast"/>
                <w:rPr>
                  <w:szCs w:val="21"/>
                </w:rPr>
              </w:pPr>
              <w:r>
                <w:rPr>
                  <w:bCs/>
                  <w:szCs w:val="21"/>
                </w:rPr>
                <w:fldChar w:fldCharType="begin"/>
              </w:r>
              <w:r w:rsidR="008F04CF">
                <w:rPr>
                  <w:bCs/>
                  <w:szCs w:val="21"/>
                </w:rPr>
                <w:instrText xml:space="preserve"> MACROBUTTON  SnrToggleCheckbox □适用 </w:instrText>
              </w:r>
              <w:r>
                <w:rPr>
                  <w:bCs/>
                  <w:szCs w:val="21"/>
                </w:rPr>
                <w:fldChar w:fldCharType="end"/>
              </w:r>
              <w:r>
                <w:rPr>
                  <w:bCs/>
                  <w:szCs w:val="21"/>
                </w:rPr>
                <w:fldChar w:fldCharType="begin"/>
              </w:r>
              <w:r w:rsidR="008F04CF">
                <w:rPr>
                  <w:bCs/>
                  <w:szCs w:val="21"/>
                </w:rPr>
                <w:instrText xml:space="preserve"> MACROBUTTON  SnrToggleCheckbox √不适用 </w:instrText>
              </w:r>
              <w:r>
                <w:rPr>
                  <w:bCs/>
                  <w:szCs w:val="21"/>
                </w:rPr>
                <w:fldChar w:fldCharType="end"/>
              </w:r>
            </w:p>
          </w:sdtContent>
        </w:sdt>
        <w:p w:rsidR="00ED2DC7" w:rsidRDefault="000D0A99"/>
      </w:sdtContent>
    </w:sdt>
    <w:sdt>
      <w:sdtPr>
        <w:rPr>
          <w:rFonts w:ascii="宋体" w:hAnsi="宋体" w:cs="宋体" w:hint="eastAsia"/>
          <w:b w:val="0"/>
          <w:bCs w:val="0"/>
          <w:kern w:val="0"/>
          <w:szCs w:val="24"/>
        </w:rPr>
        <w:alias w:val="模块:按欠款方归集的期末余额其中前五名的其他应收款单位情况"/>
        <w:tag w:val="_GBC_a83a3fc7866445d68738701d3998ac0b"/>
        <w:id w:val="-867916397"/>
        <w:lock w:val="sdtLocked"/>
        <w:placeholder>
          <w:docPart w:val="GBC22222222222222222222222222222"/>
        </w:placeholder>
      </w:sdtPr>
      <w:sdtEndPr>
        <w:rPr>
          <w:rFonts w:hint="default"/>
        </w:rPr>
      </w:sdtEndPr>
      <w:sdtContent>
        <w:p w:rsidR="00ED2DC7" w:rsidRDefault="00ED2DC7" w:rsidP="00036BDC">
          <w:pPr>
            <w:pStyle w:val="affffffffffffffffff2"/>
            <w:numPr>
              <w:ilvl w:val="3"/>
              <w:numId w:val="54"/>
            </w:numPr>
            <w:tabs>
              <w:tab w:val="left" w:pos="560"/>
            </w:tabs>
          </w:pPr>
          <w:r>
            <w:rPr>
              <w:rFonts w:hint="eastAsia"/>
            </w:rPr>
            <w:t>按欠款方归集的期末余额前五名的其他应收款情况</w:t>
          </w:r>
        </w:p>
        <w:sdt>
          <w:sdtPr>
            <w:alias w:val="是否适用：按欠款方归集的期末余额前五名的其他应收款情况[双击切换]"/>
            <w:tag w:val="_GBC_1ad831584f90441b93cce7d9b7baa3c9"/>
            <w:id w:val="1072852466"/>
            <w:lock w:val="sdtContentLocked"/>
            <w:placeholder>
              <w:docPart w:val="GBC22222222222222222222222222222"/>
            </w:placeholder>
          </w:sdtPr>
          <w:sdtContent>
            <w:p w:rsidR="00ED2DC7" w:rsidRDefault="00ED2DC7">
              <w:r>
                <w:fldChar w:fldCharType="begin"/>
              </w:r>
              <w:r w:rsidR="006C3724">
                <w:instrText xml:space="preserve"> MACROBUTTON  SnrToggleCheckbox √适用 </w:instrText>
              </w:r>
              <w:r>
                <w:fldChar w:fldCharType="end"/>
              </w:r>
              <w:r>
                <w:fldChar w:fldCharType="begin"/>
              </w:r>
              <w:r w:rsidR="006C3724">
                <w:instrText xml:space="preserve"> MACROBUTTON  SnrToggleCheckbox □不适用 </w:instrText>
              </w:r>
              <w:r>
                <w:fldChar w:fldCharType="end"/>
              </w:r>
            </w:p>
          </w:sdtContent>
        </w:sdt>
        <w:p w:rsidR="00ED2DC7" w:rsidRDefault="00ED2DC7">
          <w:pPr>
            <w:jc w:val="right"/>
          </w:pPr>
          <w:r>
            <w:rPr>
              <w:rFonts w:hint="eastAsia"/>
            </w:rPr>
            <w:t>单位：</w:t>
          </w:r>
          <w:sdt>
            <w:sdtPr>
              <w:rPr>
                <w:rFonts w:hint="eastAsia"/>
              </w:rPr>
              <w:alias w:val="单位财务附注：其他应收账款前五名欠款情况"/>
              <w:tag w:val="_GBC_1f85b3036b0644cbaf6c33311b7f159d"/>
              <w:id w:val="95752917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hint="eastAsia"/>
                </w:rPr>
                <w:t>元</w:t>
              </w:r>
            </w:sdtContent>
          </w:sdt>
          <w:r>
            <w:rPr>
              <w:rFonts w:hint="eastAsia"/>
            </w:rPr>
            <w:t xml:space="preserve">  币种：</w:t>
          </w:r>
          <w:sdt>
            <w:sdtPr>
              <w:rPr>
                <w:rFonts w:hint="eastAsia"/>
              </w:rPr>
              <w:alias w:val="币种：财务附注：其他应收账款前五名欠款情况"/>
              <w:tag w:val="_GBC_bc5cf48306144a92af62fef51b293c5a"/>
              <w:id w:val="-1026554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rPr>
                <w:t>人民币</w:t>
              </w:r>
            </w:sdtContent>
          </w:sdt>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510"/>
            <w:gridCol w:w="1463"/>
            <w:gridCol w:w="1419"/>
            <w:gridCol w:w="1274"/>
            <w:gridCol w:w="1509"/>
            <w:gridCol w:w="1648"/>
          </w:tblGrid>
          <w:tr w:rsidR="00BA39F2" w:rsidTr="00A54A8D">
            <w:trPr>
              <w:cantSplit/>
            </w:trPr>
            <w:sdt>
              <w:sdtPr>
                <w:tag w:val="_PLD_6d371f7abd044db6abe05c7f74810d89"/>
                <w:id w:val="1157192603"/>
                <w:lock w:val="sdtLocked"/>
              </w:sdtPr>
              <w:sdtContent>
                <w:tc>
                  <w:tcPr>
                    <w:tcW w:w="856" w:type="pct"/>
                    <w:vAlign w:val="center"/>
                  </w:tcPr>
                  <w:p w:rsidR="00BA39F2" w:rsidRDefault="00BA39F2" w:rsidP="00A16BE0">
                    <w:pPr>
                      <w:ind w:right="105"/>
                      <w:jc w:val="center"/>
                      <w:rPr>
                        <w:szCs w:val="21"/>
                      </w:rPr>
                    </w:pPr>
                    <w:r>
                      <w:rPr>
                        <w:rFonts w:hint="eastAsia"/>
                        <w:szCs w:val="21"/>
                      </w:rPr>
                      <w:t>单位名称</w:t>
                    </w:r>
                  </w:p>
                </w:tc>
              </w:sdtContent>
            </w:sdt>
            <w:sdt>
              <w:sdtPr>
                <w:tag w:val="_PLD_538171446ab849ca976672ecf5055c60"/>
                <w:id w:val="-1353335897"/>
                <w:lock w:val="sdtLocked"/>
              </w:sdtPr>
              <w:sdtContent>
                <w:tc>
                  <w:tcPr>
                    <w:tcW w:w="829" w:type="pct"/>
                    <w:vAlign w:val="center"/>
                  </w:tcPr>
                  <w:p w:rsidR="00BA39F2" w:rsidRDefault="00BA39F2" w:rsidP="00A16BE0">
                    <w:pPr>
                      <w:ind w:right="73"/>
                      <w:jc w:val="center"/>
                      <w:rPr>
                        <w:szCs w:val="21"/>
                      </w:rPr>
                    </w:pPr>
                    <w:r w:rsidRPr="00A1419F">
                      <w:rPr>
                        <w:rFonts w:hint="eastAsia"/>
                        <w:szCs w:val="21"/>
                      </w:rPr>
                      <w:t>款项的性质</w:t>
                    </w:r>
                  </w:p>
                </w:tc>
              </w:sdtContent>
            </w:sdt>
            <w:sdt>
              <w:sdtPr>
                <w:tag w:val="_PLD_9561b3d624ee40c28568fb322a981ebc"/>
                <w:id w:val="1249462814"/>
                <w:lock w:val="sdtLocked"/>
              </w:sdtPr>
              <w:sdtContent>
                <w:tc>
                  <w:tcPr>
                    <w:tcW w:w="804" w:type="pct"/>
                    <w:vAlign w:val="center"/>
                  </w:tcPr>
                  <w:p w:rsidR="00BA39F2" w:rsidRDefault="00BA39F2" w:rsidP="00A16BE0">
                    <w:pPr>
                      <w:ind w:right="73"/>
                      <w:jc w:val="center"/>
                      <w:rPr>
                        <w:szCs w:val="21"/>
                      </w:rPr>
                    </w:pPr>
                    <w:r>
                      <w:rPr>
                        <w:rFonts w:hint="eastAsia"/>
                        <w:szCs w:val="21"/>
                      </w:rPr>
                      <w:t>期末余额</w:t>
                    </w:r>
                  </w:p>
                </w:tc>
              </w:sdtContent>
            </w:sdt>
            <w:sdt>
              <w:sdtPr>
                <w:tag w:val="_PLD_a97392b37d5d4c709a23cfdece48161b"/>
                <w:id w:val="-1002203671"/>
                <w:lock w:val="sdtLocked"/>
              </w:sdtPr>
              <w:sdtContent>
                <w:tc>
                  <w:tcPr>
                    <w:tcW w:w="722" w:type="pct"/>
                    <w:vAlign w:val="center"/>
                  </w:tcPr>
                  <w:p w:rsidR="00BA39F2" w:rsidRDefault="00BA39F2" w:rsidP="00A16BE0">
                    <w:pPr>
                      <w:ind w:right="73"/>
                      <w:jc w:val="center"/>
                      <w:rPr>
                        <w:szCs w:val="21"/>
                      </w:rPr>
                    </w:pPr>
                    <w:r>
                      <w:rPr>
                        <w:rFonts w:hint="eastAsia"/>
                        <w:szCs w:val="21"/>
                      </w:rPr>
                      <w:t>账龄</w:t>
                    </w:r>
                  </w:p>
                </w:tc>
              </w:sdtContent>
            </w:sdt>
            <w:sdt>
              <w:sdtPr>
                <w:tag w:val="_PLD_e2774c827e314521821234a0e399c2c1"/>
                <w:id w:val="1818764244"/>
                <w:lock w:val="sdtLocked"/>
              </w:sdtPr>
              <w:sdtContent>
                <w:tc>
                  <w:tcPr>
                    <w:tcW w:w="855" w:type="pct"/>
                    <w:vAlign w:val="center"/>
                  </w:tcPr>
                  <w:p w:rsidR="00BA39F2" w:rsidRDefault="00BA39F2" w:rsidP="00A16BE0">
                    <w:pPr>
                      <w:jc w:val="center"/>
                      <w:rPr>
                        <w:szCs w:val="21"/>
                      </w:rPr>
                    </w:pPr>
                    <w:r>
                      <w:rPr>
                        <w:rFonts w:hint="eastAsia"/>
                        <w:szCs w:val="21"/>
                      </w:rPr>
                      <w:t>占其他应收款期末余额合计数的比例(</w:t>
                    </w:r>
                    <w:r>
                      <w:rPr>
                        <w:szCs w:val="21"/>
                      </w:rPr>
                      <w:t>%)</w:t>
                    </w:r>
                  </w:p>
                </w:tc>
              </w:sdtContent>
            </w:sdt>
            <w:sdt>
              <w:sdtPr>
                <w:tag w:val="_PLD_ac7ac1a39d1a46eb9269fc6979d54f6f"/>
                <w:id w:val="-1066257358"/>
                <w:lock w:val="sdtLocked"/>
              </w:sdtPr>
              <w:sdtContent>
                <w:tc>
                  <w:tcPr>
                    <w:tcW w:w="935" w:type="pct"/>
                    <w:vAlign w:val="center"/>
                  </w:tcPr>
                  <w:p w:rsidR="00BA39F2" w:rsidRDefault="00BA39F2" w:rsidP="00A16BE0">
                    <w:pPr>
                      <w:jc w:val="center"/>
                      <w:rPr>
                        <w:szCs w:val="21"/>
                      </w:rPr>
                    </w:pPr>
                    <w:r>
                      <w:rPr>
                        <w:rFonts w:hint="eastAsia"/>
                        <w:szCs w:val="21"/>
                      </w:rPr>
                      <w:t>坏账准备</w:t>
                    </w:r>
                  </w:p>
                  <w:p w:rsidR="00BA39F2" w:rsidRDefault="00BA39F2" w:rsidP="00A16BE0">
                    <w:pPr>
                      <w:jc w:val="center"/>
                      <w:rPr>
                        <w:szCs w:val="21"/>
                      </w:rPr>
                    </w:pPr>
                    <w:r>
                      <w:rPr>
                        <w:rFonts w:hint="eastAsia"/>
                        <w:szCs w:val="21"/>
                      </w:rPr>
                      <w:t>期末余额</w:t>
                    </w:r>
                  </w:p>
                </w:tc>
              </w:sdtContent>
            </w:sdt>
          </w:tr>
          <w:sdt>
            <w:sdtPr>
              <w:rPr>
                <w:rFonts w:asciiTheme="minorHAnsi" w:eastAsiaTheme="minorEastAsia" w:hAnsiTheme="minorHAnsi" w:cstheme="minorBidi" w:hint="eastAsia"/>
                <w:kern w:val="2"/>
                <w:szCs w:val="21"/>
              </w:rPr>
              <w:alias w:val="其他应收款欠款户"/>
              <w:tag w:val="_GBC_a3b4ad6ea89146a79c37c3807ef7a6fd"/>
              <w:id w:val="-1132408718"/>
              <w:lock w:val="sdtLocked"/>
            </w:sdtPr>
            <w:sdtEndPr>
              <w:rPr>
                <w:rFonts w:hint="default"/>
              </w:rPr>
            </w:sdtEndPr>
            <w:sdtContent>
              <w:tr w:rsidR="00BA39F2" w:rsidTr="00A54A8D">
                <w:trPr>
                  <w:cantSplit/>
                </w:trPr>
                <w:tc>
                  <w:tcPr>
                    <w:tcW w:w="856" w:type="pct"/>
                  </w:tcPr>
                  <w:p w:rsidR="00BA39F2" w:rsidRDefault="00BA39F2" w:rsidP="00A16BE0">
                    <w:pPr>
                      <w:ind w:right="105"/>
                      <w:rPr>
                        <w:szCs w:val="21"/>
                      </w:rPr>
                    </w:pPr>
                    <w:r>
                      <w:t>单位1</w:t>
                    </w:r>
                  </w:p>
                </w:tc>
                <w:tc>
                  <w:tcPr>
                    <w:tcW w:w="829" w:type="pct"/>
                  </w:tcPr>
                  <w:p w:rsidR="00BA39F2" w:rsidRDefault="008F04CF" w:rsidP="00A16BE0">
                    <w:pPr>
                      <w:ind w:right="73"/>
                      <w:rPr>
                        <w:szCs w:val="21"/>
                      </w:rPr>
                    </w:pPr>
                    <w:r>
                      <w:rPr>
                        <w:rFonts w:hint="eastAsia"/>
                        <w:szCs w:val="21"/>
                      </w:rPr>
                      <w:t>保证金</w:t>
                    </w:r>
                  </w:p>
                </w:tc>
                <w:tc>
                  <w:tcPr>
                    <w:tcW w:w="804" w:type="pct"/>
                  </w:tcPr>
                  <w:p w:rsidR="00BA39F2" w:rsidRDefault="00BA39F2" w:rsidP="00A16BE0">
                    <w:pPr>
                      <w:ind w:right="73"/>
                      <w:jc w:val="right"/>
                      <w:rPr>
                        <w:szCs w:val="21"/>
                      </w:rPr>
                    </w:pPr>
                    <w:r>
                      <w:t>87,975,504</w:t>
                    </w:r>
                  </w:p>
                </w:tc>
                <w:tc>
                  <w:tcPr>
                    <w:tcW w:w="722" w:type="pct"/>
                  </w:tcPr>
                  <w:p w:rsidR="00BA39F2" w:rsidRDefault="00BA39F2" w:rsidP="00A16BE0">
                    <w:pPr>
                      <w:ind w:right="73"/>
                      <w:rPr>
                        <w:szCs w:val="21"/>
                      </w:rPr>
                    </w:pPr>
                    <w:r>
                      <w:t>1年以内</w:t>
                    </w:r>
                  </w:p>
                </w:tc>
                <w:tc>
                  <w:tcPr>
                    <w:tcW w:w="855" w:type="pct"/>
                    <w:vAlign w:val="center"/>
                  </w:tcPr>
                  <w:p w:rsidR="00BA39F2" w:rsidRPr="001619AF" w:rsidRDefault="00BA39F2" w:rsidP="00B637B2">
                    <w:pPr>
                      <w:jc w:val="right"/>
                    </w:pPr>
                    <w:r w:rsidRPr="001619AF">
                      <w:t xml:space="preserve">16 </w:t>
                    </w:r>
                  </w:p>
                </w:tc>
                <w:tc>
                  <w:tcPr>
                    <w:tcW w:w="935" w:type="pct"/>
                    <w:vAlign w:val="center"/>
                  </w:tcPr>
                  <w:p w:rsidR="00BA39F2" w:rsidRDefault="008F04CF" w:rsidP="00B637B2">
                    <w:pPr>
                      <w:jc w:val="right"/>
                      <w:rPr>
                        <w:szCs w:val="21"/>
                      </w:rPr>
                    </w:pPr>
                    <w:r>
                      <w:rPr>
                        <w:rFonts w:hint="eastAsia"/>
                        <w:szCs w:val="21"/>
                      </w:rPr>
                      <w:t>-</w:t>
                    </w:r>
                  </w:p>
                </w:tc>
              </w:tr>
            </w:sdtContent>
          </w:sdt>
          <w:sdt>
            <w:sdtPr>
              <w:rPr>
                <w:rFonts w:asciiTheme="minorHAnsi" w:eastAsiaTheme="minorEastAsia" w:hAnsiTheme="minorHAnsi" w:cstheme="minorBidi" w:hint="eastAsia"/>
                <w:kern w:val="2"/>
                <w:szCs w:val="21"/>
              </w:rPr>
              <w:alias w:val="其他应收款欠款户"/>
              <w:tag w:val="_GBC_a3b4ad6ea89146a79c37c3807ef7a6fd"/>
              <w:id w:val="327794042"/>
              <w:lock w:val="sdtLocked"/>
            </w:sdtPr>
            <w:sdtEndPr>
              <w:rPr>
                <w:rFonts w:hint="default"/>
              </w:rPr>
            </w:sdtEndPr>
            <w:sdtContent>
              <w:tr w:rsidR="00BA39F2" w:rsidTr="00A54A8D">
                <w:trPr>
                  <w:cantSplit/>
                </w:trPr>
                <w:tc>
                  <w:tcPr>
                    <w:tcW w:w="856" w:type="pct"/>
                  </w:tcPr>
                  <w:p w:rsidR="00BA39F2" w:rsidRDefault="00BA39F2" w:rsidP="00A16BE0">
                    <w:pPr>
                      <w:ind w:right="105"/>
                      <w:rPr>
                        <w:szCs w:val="21"/>
                      </w:rPr>
                    </w:pPr>
                    <w:r>
                      <w:t>单位2</w:t>
                    </w:r>
                  </w:p>
                </w:tc>
                <w:tc>
                  <w:tcPr>
                    <w:tcW w:w="829" w:type="pct"/>
                  </w:tcPr>
                  <w:p w:rsidR="00BA39F2" w:rsidRDefault="008F04CF" w:rsidP="00A16BE0">
                    <w:pPr>
                      <w:ind w:right="73"/>
                      <w:rPr>
                        <w:szCs w:val="21"/>
                      </w:rPr>
                    </w:pPr>
                    <w:r>
                      <w:rPr>
                        <w:rFonts w:hint="eastAsia"/>
                        <w:szCs w:val="21"/>
                      </w:rPr>
                      <w:t>保证金</w:t>
                    </w:r>
                  </w:p>
                </w:tc>
                <w:tc>
                  <w:tcPr>
                    <w:tcW w:w="804" w:type="pct"/>
                  </w:tcPr>
                  <w:p w:rsidR="00BA39F2" w:rsidRDefault="00BA39F2" w:rsidP="00A16BE0">
                    <w:pPr>
                      <w:ind w:right="73"/>
                      <w:jc w:val="right"/>
                      <w:rPr>
                        <w:szCs w:val="21"/>
                      </w:rPr>
                    </w:pPr>
                    <w:r>
                      <w:t>45,000,000</w:t>
                    </w:r>
                  </w:p>
                </w:tc>
                <w:tc>
                  <w:tcPr>
                    <w:tcW w:w="722" w:type="pct"/>
                  </w:tcPr>
                  <w:p w:rsidR="00BA39F2" w:rsidRDefault="00BA39F2" w:rsidP="00A16BE0">
                    <w:pPr>
                      <w:ind w:right="73"/>
                      <w:rPr>
                        <w:szCs w:val="21"/>
                      </w:rPr>
                    </w:pPr>
                    <w:r>
                      <w:t>1年以内</w:t>
                    </w:r>
                  </w:p>
                </w:tc>
                <w:tc>
                  <w:tcPr>
                    <w:tcW w:w="855" w:type="pct"/>
                    <w:vAlign w:val="center"/>
                  </w:tcPr>
                  <w:p w:rsidR="00BA39F2" w:rsidRPr="001619AF" w:rsidRDefault="00BA39F2" w:rsidP="00B637B2">
                    <w:pPr>
                      <w:jc w:val="right"/>
                    </w:pPr>
                    <w:r w:rsidRPr="001619AF">
                      <w:t>8</w:t>
                    </w:r>
                  </w:p>
                </w:tc>
                <w:tc>
                  <w:tcPr>
                    <w:tcW w:w="935" w:type="pct"/>
                    <w:vAlign w:val="center"/>
                  </w:tcPr>
                  <w:p w:rsidR="00BA39F2" w:rsidRDefault="008F04CF" w:rsidP="00B637B2">
                    <w:pPr>
                      <w:jc w:val="right"/>
                      <w:rPr>
                        <w:szCs w:val="21"/>
                      </w:rPr>
                    </w:pPr>
                    <w:r>
                      <w:rPr>
                        <w:rFonts w:hint="eastAsia"/>
                        <w:szCs w:val="21"/>
                      </w:rPr>
                      <w:t>-</w:t>
                    </w:r>
                  </w:p>
                </w:tc>
              </w:tr>
            </w:sdtContent>
          </w:sdt>
          <w:sdt>
            <w:sdtPr>
              <w:rPr>
                <w:rFonts w:asciiTheme="minorHAnsi" w:eastAsiaTheme="minorEastAsia" w:hAnsiTheme="minorHAnsi" w:cstheme="minorBidi" w:hint="eastAsia"/>
                <w:kern w:val="2"/>
                <w:szCs w:val="21"/>
              </w:rPr>
              <w:alias w:val="其他应收款欠款户"/>
              <w:tag w:val="_GBC_a3b4ad6ea89146a79c37c3807ef7a6fd"/>
              <w:id w:val="1382058312"/>
              <w:lock w:val="sdtLocked"/>
            </w:sdtPr>
            <w:sdtEndPr>
              <w:rPr>
                <w:rFonts w:hint="default"/>
              </w:rPr>
            </w:sdtEndPr>
            <w:sdtContent>
              <w:tr w:rsidR="00BA39F2" w:rsidTr="00A54A8D">
                <w:trPr>
                  <w:cantSplit/>
                </w:trPr>
                <w:tc>
                  <w:tcPr>
                    <w:tcW w:w="856" w:type="pct"/>
                  </w:tcPr>
                  <w:p w:rsidR="00BA39F2" w:rsidRDefault="00BA39F2" w:rsidP="00A16BE0">
                    <w:pPr>
                      <w:ind w:right="105"/>
                      <w:rPr>
                        <w:szCs w:val="21"/>
                      </w:rPr>
                    </w:pPr>
                    <w:r>
                      <w:t>单位3</w:t>
                    </w:r>
                  </w:p>
                </w:tc>
                <w:tc>
                  <w:tcPr>
                    <w:tcW w:w="829" w:type="pct"/>
                  </w:tcPr>
                  <w:p w:rsidR="00BA39F2" w:rsidRDefault="00A54A8D" w:rsidP="00A16BE0">
                    <w:pPr>
                      <w:ind w:right="73"/>
                      <w:rPr>
                        <w:szCs w:val="21"/>
                      </w:rPr>
                    </w:pPr>
                    <w:r>
                      <w:rPr>
                        <w:rFonts w:hint="eastAsia"/>
                        <w:szCs w:val="21"/>
                      </w:rPr>
                      <w:t>增值税退税款</w:t>
                    </w:r>
                  </w:p>
                </w:tc>
                <w:tc>
                  <w:tcPr>
                    <w:tcW w:w="804" w:type="pct"/>
                  </w:tcPr>
                  <w:p w:rsidR="00BA39F2" w:rsidRDefault="00A54A8D" w:rsidP="00A16BE0">
                    <w:pPr>
                      <w:ind w:right="73"/>
                      <w:jc w:val="right"/>
                      <w:rPr>
                        <w:szCs w:val="21"/>
                      </w:rPr>
                    </w:pPr>
                    <w:r w:rsidRPr="00A54A8D">
                      <w:t>36,362,060</w:t>
                    </w:r>
                  </w:p>
                </w:tc>
                <w:tc>
                  <w:tcPr>
                    <w:tcW w:w="722" w:type="pct"/>
                  </w:tcPr>
                  <w:p w:rsidR="00BA39F2" w:rsidRDefault="00BA39F2" w:rsidP="00A16BE0">
                    <w:pPr>
                      <w:ind w:right="73"/>
                      <w:rPr>
                        <w:szCs w:val="21"/>
                      </w:rPr>
                    </w:pPr>
                    <w:r>
                      <w:t>1年以内</w:t>
                    </w:r>
                  </w:p>
                </w:tc>
                <w:tc>
                  <w:tcPr>
                    <w:tcW w:w="855" w:type="pct"/>
                    <w:vAlign w:val="center"/>
                  </w:tcPr>
                  <w:p w:rsidR="00BA39F2" w:rsidRPr="001619AF" w:rsidRDefault="00A54A8D" w:rsidP="00B637B2">
                    <w:pPr>
                      <w:jc w:val="right"/>
                    </w:pPr>
                    <w:r>
                      <w:t>6</w:t>
                    </w:r>
                  </w:p>
                </w:tc>
                <w:tc>
                  <w:tcPr>
                    <w:tcW w:w="935" w:type="pct"/>
                    <w:vAlign w:val="center"/>
                  </w:tcPr>
                  <w:p w:rsidR="00BA39F2" w:rsidRDefault="008F04CF" w:rsidP="00B637B2">
                    <w:pPr>
                      <w:jc w:val="right"/>
                      <w:rPr>
                        <w:szCs w:val="21"/>
                      </w:rPr>
                    </w:pPr>
                    <w:r>
                      <w:rPr>
                        <w:rFonts w:hint="eastAsia"/>
                        <w:szCs w:val="21"/>
                      </w:rPr>
                      <w:t>-</w:t>
                    </w:r>
                  </w:p>
                </w:tc>
              </w:tr>
            </w:sdtContent>
          </w:sdt>
          <w:sdt>
            <w:sdtPr>
              <w:rPr>
                <w:rFonts w:asciiTheme="minorHAnsi" w:eastAsiaTheme="minorEastAsia" w:hAnsiTheme="minorHAnsi" w:cstheme="minorBidi" w:hint="eastAsia"/>
                <w:kern w:val="2"/>
                <w:szCs w:val="21"/>
              </w:rPr>
              <w:alias w:val="其他应收款欠款户"/>
              <w:tag w:val="_GBC_a3b4ad6ea89146a79c37c3807ef7a6fd"/>
              <w:id w:val="-47383029"/>
              <w:lock w:val="sdtLocked"/>
            </w:sdtPr>
            <w:sdtEndPr>
              <w:rPr>
                <w:rFonts w:hint="default"/>
              </w:rPr>
            </w:sdtEndPr>
            <w:sdtContent>
              <w:tr w:rsidR="00BA39F2" w:rsidTr="00A54A8D">
                <w:trPr>
                  <w:cantSplit/>
                </w:trPr>
                <w:tc>
                  <w:tcPr>
                    <w:tcW w:w="856" w:type="pct"/>
                  </w:tcPr>
                  <w:p w:rsidR="00BA39F2" w:rsidRDefault="00BA39F2" w:rsidP="00A16BE0">
                    <w:pPr>
                      <w:ind w:right="105"/>
                      <w:rPr>
                        <w:szCs w:val="21"/>
                      </w:rPr>
                    </w:pPr>
                    <w:r>
                      <w:t>单位4</w:t>
                    </w:r>
                  </w:p>
                </w:tc>
                <w:tc>
                  <w:tcPr>
                    <w:tcW w:w="829" w:type="pct"/>
                  </w:tcPr>
                  <w:p w:rsidR="00BA39F2" w:rsidRDefault="008F04CF" w:rsidP="00A16BE0">
                    <w:pPr>
                      <w:ind w:right="73"/>
                      <w:rPr>
                        <w:szCs w:val="21"/>
                      </w:rPr>
                    </w:pPr>
                    <w:r>
                      <w:rPr>
                        <w:rFonts w:hint="eastAsia"/>
                        <w:szCs w:val="21"/>
                      </w:rPr>
                      <w:t>保证金</w:t>
                    </w:r>
                  </w:p>
                </w:tc>
                <w:tc>
                  <w:tcPr>
                    <w:tcW w:w="804" w:type="pct"/>
                  </w:tcPr>
                  <w:p w:rsidR="00BA39F2" w:rsidRDefault="00A54A8D" w:rsidP="00A16BE0">
                    <w:pPr>
                      <w:ind w:right="73"/>
                      <w:jc w:val="right"/>
                      <w:rPr>
                        <w:szCs w:val="21"/>
                      </w:rPr>
                    </w:pPr>
                    <w:r>
                      <w:t>30,000,000</w:t>
                    </w:r>
                  </w:p>
                </w:tc>
                <w:tc>
                  <w:tcPr>
                    <w:tcW w:w="722" w:type="pct"/>
                  </w:tcPr>
                  <w:p w:rsidR="00BA39F2" w:rsidRDefault="00BA39F2" w:rsidP="00A16BE0">
                    <w:pPr>
                      <w:ind w:right="73"/>
                      <w:rPr>
                        <w:szCs w:val="21"/>
                      </w:rPr>
                    </w:pPr>
                    <w:r>
                      <w:t>1年以内</w:t>
                    </w:r>
                  </w:p>
                </w:tc>
                <w:tc>
                  <w:tcPr>
                    <w:tcW w:w="855" w:type="pct"/>
                    <w:vAlign w:val="center"/>
                  </w:tcPr>
                  <w:p w:rsidR="00BA39F2" w:rsidRPr="001619AF" w:rsidRDefault="00A54A8D" w:rsidP="00B637B2">
                    <w:pPr>
                      <w:jc w:val="right"/>
                    </w:pPr>
                    <w:r w:rsidRPr="001619AF">
                      <w:t>5</w:t>
                    </w:r>
                  </w:p>
                </w:tc>
                <w:tc>
                  <w:tcPr>
                    <w:tcW w:w="935" w:type="pct"/>
                    <w:vAlign w:val="center"/>
                  </w:tcPr>
                  <w:p w:rsidR="00BA39F2" w:rsidRDefault="008F04CF" w:rsidP="00B637B2">
                    <w:pPr>
                      <w:jc w:val="right"/>
                      <w:rPr>
                        <w:szCs w:val="21"/>
                      </w:rPr>
                    </w:pPr>
                    <w:r>
                      <w:rPr>
                        <w:rFonts w:hint="eastAsia"/>
                        <w:szCs w:val="21"/>
                      </w:rPr>
                      <w:t>-</w:t>
                    </w:r>
                  </w:p>
                </w:tc>
              </w:tr>
            </w:sdtContent>
          </w:sdt>
          <w:sdt>
            <w:sdtPr>
              <w:rPr>
                <w:rFonts w:asciiTheme="minorHAnsi" w:eastAsiaTheme="minorEastAsia" w:hAnsiTheme="minorHAnsi" w:cstheme="minorBidi" w:hint="eastAsia"/>
                <w:kern w:val="2"/>
                <w:szCs w:val="21"/>
              </w:rPr>
              <w:alias w:val="其他应收款欠款户"/>
              <w:tag w:val="_GBC_a3b4ad6ea89146a79c37c3807ef7a6fd"/>
              <w:id w:val="1625113991"/>
              <w:lock w:val="sdtLocked"/>
            </w:sdtPr>
            <w:sdtEndPr>
              <w:rPr>
                <w:rFonts w:hint="default"/>
              </w:rPr>
            </w:sdtEndPr>
            <w:sdtContent>
              <w:tr w:rsidR="00BA39F2" w:rsidTr="00A54A8D">
                <w:trPr>
                  <w:cantSplit/>
                </w:trPr>
                <w:tc>
                  <w:tcPr>
                    <w:tcW w:w="856" w:type="pct"/>
                  </w:tcPr>
                  <w:p w:rsidR="00BA39F2" w:rsidRDefault="00BA39F2" w:rsidP="00A16BE0">
                    <w:pPr>
                      <w:ind w:right="105"/>
                      <w:rPr>
                        <w:szCs w:val="21"/>
                      </w:rPr>
                    </w:pPr>
                    <w:r>
                      <w:t>单位5</w:t>
                    </w:r>
                  </w:p>
                </w:tc>
                <w:tc>
                  <w:tcPr>
                    <w:tcW w:w="829" w:type="pct"/>
                  </w:tcPr>
                  <w:p w:rsidR="00BA39F2" w:rsidRDefault="00A54A8D" w:rsidP="00A16BE0">
                    <w:pPr>
                      <w:ind w:right="73"/>
                      <w:rPr>
                        <w:szCs w:val="21"/>
                      </w:rPr>
                    </w:pPr>
                    <w:r>
                      <w:rPr>
                        <w:rFonts w:hint="eastAsia"/>
                        <w:szCs w:val="21"/>
                      </w:rPr>
                      <w:t>保证金</w:t>
                    </w:r>
                  </w:p>
                </w:tc>
                <w:tc>
                  <w:tcPr>
                    <w:tcW w:w="804" w:type="pct"/>
                  </w:tcPr>
                  <w:p w:rsidR="00BA39F2" w:rsidRDefault="00A54A8D" w:rsidP="00A16BE0">
                    <w:pPr>
                      <w:ind w:right="73"/>
                      <w:jc w:val="right"/>
                      <w:rPr>
                        <w:szCs w:val="21"/>
                      </w:rPr>
                    </w:pPr>
                    <w:r>
                      <w:t>19,150,000</w:t>
                    </w:r>
                  </w:p>
                </w:tc>
                <w:tc>
                  <w:tcPr>
                    <w:tcW w:w="722" w:type="pct"/>
                  </w:tcPr>
                  <w:p w:rsidR="00BA39F2" w:rsidRDefault="00BA39F2" w:rsidP="00A16BE0">
                    <w:pPr>
                      <w:ind w:right="73"/>
                      <w:rPr>
                        <w:szCs w:val="21"/>
                      </w:rPr>
                    </w:pPr>
                    <w:r>
                      <w:t>1年以内</w:t>
                    </w:r>
                  </w:p>
                </w:tc>
                <w:tc>
                  <w:tcPr>
                    <w:tcW w:w="855" w:type="pct"/>
                    <w:vAlign w:val="center"/>
                  </w:tcPr>
                  <w:p w:rsidR="00BA39F2" w:rsidRDefault="00BA39F2" w:rsidP="00B637B2">
                    <w:pPr>
                      <w:jc w:val="right"/>
                    </w:pPr>
                    <w:r w:rsidRPr="001619AF">
                      <w:t>3</w:t>
                    </w:r>
                  </w:p>
                </w:tc>
                <w:tc>
                  <w:tcPr>
                    <w:tcW w:w="935" w:type="pct"/>
                    <w:vAlign w:val="center"/>
                  </w:tcPr>
                  <w:p w:rsidR="00BA39F2" w:rsidRDefault="00A54A8D" w:rsidP="00B637B2">
                    <w:pPr>
                      <w:jc w:val="right"/>
                      <w:rPr>
                        <w:szCs w:val="21"/>
                      </w:rPr>
                    </w:pPr>
                    <w:r>
                      <w:t>-</w:t>
                    </w:r>
                  </w:p>
                </w:tc>
              </w:tr>
            </w:sdtContent>
          </w:sdt>
          <w:tr w:rsidR="00BA39F2" w:rsidTr="00A54A8D">
            <w:trPr>
              <w:cantSplit/>
            </w:trPr>
            <w:sdt>
              <w:sdtPr>
                <w:tag w:val="_PLD_f229cb1d3424499a96c618f3911226c3"/>
                <w:id w:val="-1363507400"/>
                <w:lock w:val="sdtLocked"/>
              </w:sdtPr>
              <w:sdtContent>
                <w:tc>
                  <w:tcPr>
                    <w:tcW w:w="856" w:type="pct"/>
                  </w:tcPr>
                  <w:p w:rsidR="00BA39F2" w:rsidRDefault="00BA39F2" w:rsidP="00A16BE0">
                    <w:pPr>
                      <w:ind w:right="105"/>
                      <w:jc w:val="center"/>
                      <w:rPr>
                        <w:szCs w:val="21"/>
                      </w:rPr>
                    </w:pPr>
                    <w:r>
                      <w:rPr>
                        <w:rFonts w:hint="eastAsia"/>
                        <w:szCs w:val="21"/>
                      </w:rPr>
                      <w:t>合计</w:t>
                    </w:r>
                  </w:p>
                </w:tc>
              </w:sdtContent>
            </w:sdt>
            <w:tc>
              <w:tcPr>
                <w:tcW w:w="829" w:type="pct"/>
              </w:tcPr>
              <w:p w:rsidR="00BA39F2" w:rsidRDefault="00BA39F2" w:rsidP="00A16BE0">
                <w:pPr>
                  <w:ind w:right="73"/>
                  <w:jc w:val="center"/>
                  <w:rPr>
                    <w:szCs w:val="21"/>
                  </w:rPr>
                </w:pPr>
                <w:r>
                  <w:rPr>
                    <w:szCs w:val="21"/>
                  </w:rPr>
                  <w:t>/</w:t>
                </w:r>
              </w:p>
            </w:tc>
            <w:tc>
              <w:tcPr>
                <w:tcW w:w="804" w:type="pct"/>
              </w:tcPr>
              <w:p w:rsidR="00BA39F2" w:rsidRDefault="00A54A8D" w:rsidP="00A16BE0">
                <w:pPr>
                  <w:ind w:right="73"/>
                  <w:jc w:val="right"/>
                  <w:rPr>
                    <w:szCs w:val="21"/>
                  </w:rPr>
                </w:pPr>
                <w:r w:rsidRPr="00A54A8D">
                  <w:rPr>
                    <w:szCs w:val="21"/>
                  </w:rPr>
                  <w:t>218,487,564</w:t>
                </w:r>
              </w:p>
            </w:tc>
            <w:tc>
              <w:tcPr>
                <w:tcW w:w="722" w:type="pct"/>
              </w:tcPr>
              <w:p w:rsidR="00BA39F2" w:rsidRDefault="00BA39F2" w:rsidP="00A16BE0">
                <w:pPr>
                  <w:ind w:right="73"/>
                  <w:jc w:val="center"/>
                  <w:rPr>
                    <w:szCs w:val="21"/>
                  </w:rPr>
                </w:pPr>
                <w:r>
                  <w:rPr>
                    <w:szCs w:val="21"/>
                  </w:rPr>
                  <w:t>/</w:t>
                </w:r>
              </w:p>
            </w:tc>
            <w:tc>
              <w:tcPr>
                <w:tcW w:w="855" w:type="pct"/>
                <w:vAlign w:val="center"/>
              </w:tcPr>
              <w:p w:rsidR="00BA39F2" w:rsidRDefault="008F04CF" w:rsidP="00A54A8D">
                <w:pPr>
                  <w:jc w:val="right"/>
                  <w:rPr>
                    <w:szCs w:val="21"/>
                  </w:rPr>
                </w:pPr>
                <w:r>
                  <w:rPr>
                    <w:rFonts w:hint="eastAsia"/>
                    <w:szCs w:val="21"/>
                  </w:rPr>
                  <w:t>3</w:t>
                </w:r>
                <w:r w:rsidR="00A54A8D">
                  <w:rPr>
                    <w:szCs w:val="21"/>
                  </w:rPr>
                  <w:t>8</w:t>
                </w:r>
              </w:p>
            </w:tc>
            <w:tc>
              <w:tcPr>
                <w:tcW w:w="935" w:type="pct"/>
                <w:vAlign w:val="center"/>
              </w:tcPr>
              <w:p w:rsidR="00BA39F2" w:rsidRDefault="00A54A8D" w:rsidP="00B637B2">
                <w:pPr>
                  <w:jc w:val="right"/>
                  <w:rPr>
                    <w:szCs w:val="21"/>
                  </w:rPr>
                </w:pPr>
                <w:r>
                  <w:t>-</w:t>
                </w:r>
              </w:p>
            </w:tc>
          </w:tr>
        </w:tbl>
        <w:p w:rsidR="00BA39F2" w:rsidRDefault="00BA39F2"/>
        <w:p w:rsidR="00ED2DC7" w:rsidRDefault="000D0A99">
          <w:pPr>
            <w:snapToGrid w:val="0"/>
            <w:spacing w:line="240" w:lineRule="atLeast"/>
          </w:pPr>
        </w:p>
      </w:sdtContent>
    </w:sdt>
    <w:sdt>
      <w:sdtPr>
        <w:rPr>
          <w:rFonts w:ascii="Times New Roman" w:hAnsi="Times New Roman" w:cs="宋体" w:hint="eastAsia"/>
          <w:b w:val="0"/>
          <w:bCs w:val="0"/>
          <w:kern w:val="0"/>
          <w:szCs w:val="24"/>
        </w:rPr>
        <w:alias w:val="模块:按应收金额确认的政府补助"/>
        <w:tag w:val="_GBC_0b136aef44064ce4880a47aef5cda04d"/>
        <w:id w:val="-2134477122"/>
        <w:lock w:val="sdtLocked"/>
        <w:placeholder>
          <w:docPart w:val="GBC22222222222222222222222222222"/>
        </w:placeholder>
      </w:sdtPr>
      <w:sdtContent>
        <w:p w:rsidR="00ED2DC7" w:rsidRDefault="00ED2DC7" w:rsidP="00036BDC">
          <w:pPr>
            <w:pStyle w:val="affffffffffffffffff2"/>
            <w:numPr>
              <w:ilvl w:val="3"/>
              <w:numId w:val="54"/>
            </w:numPr>
            <w:tabs>
              <w:tab w:val="left" w:pos="560"/>
            </w:tabs>
          </w:pPr>
          <w:r>
            <w:rPr>
              <w:rFonts w:hint="eastAsia"/>
            </w:rPr>
            <w:t>涉及政府补助的应收款项</w:t>
          </w:r>
        </w:p>
        <w:sdt>
          <w:sdtPr>
            <w:alias w:val="是否适用：涉及政府补助的应收款项[双击切换]"/>
            <w:tag w:val="_GBC_bfa30ddd81f643f9b7a3d1064d505e6a"/>
            <w:id w:val="1726177219"/>
            <w:lock w:val="sdtContentLocked"/>
            <w:placeholder>
              <w:docPart w:val="GBC22222222222222222222222222222"/>
            </w:placeholder>
          </w:sdtPr>
          <w:sdtContent>
            <w:p w:rsidR="007D3CEA" w:rsidRDefault="00ED2DC7" w:rsidP="007D3CEA">
              <w:r>
                <w:fldChar w:fldCharType="begin"/>
              </w:r>
              <w:r w:rsidR="008F04CF">
                <w:instrText xml:space="preserve"> MACROBUTTON  SnrToggleCheckbox √适用 </w:instrText>
              </w:r>
              <w:r>
                <w:fldChar w:fldCharType="end"/>
              </w:r>
              <w:r>
                <w:fldChar w:fldCharType="begin"/>
              </w:r>
              <w:r w:rsidR="008F04CF">
                <w:instrText xml:space="preserve"> MACROBUTTON  SnrToggleCheckbox □不适用 </w:instrText>
              </w:r>
              <w:r>
                <w:fldChar w:fldCharType="end"/>
              </w:r>
            </w:p>
          </w:sdtContent>
        </w:sdt>
        <w:p w:rsidR="00B637B2" w:rsidRDefault="008F04CF">
          <w:pPr>
            <w:snapToGrid w:val="0"/>
            <w:spacing w:line="240" w:lineRule="atLeast"/>
            <w:jc w:val="right"/>
          </w:pPr>
          <w:r>
            <w:rPr>
              <w:rFonts w:hint="eastAsia"/>
            </w:rPr>
            <w:t>单位：</w:t>
          </w:r>
          <w:sdt>
            <w:sdtPr>
              <w:rPr>
                <w:rFonts w:hint="eastAsia"/>
              </w:rPr>
              <w:alias w:val="单位：财务附注：按应收金额确认的政府补助"/>
              <w:tag w:val="_GBC_3f6163fdb83c41fdbcb61740b37285b9"/>
              <w:id w:val="31768516"/>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按应收金额确认的政府补助"/>
              <w:tag w:val="_GBC_ab0316ed53e54fc4b1b6aeb63dff3b18"/>
              <w:id w:val="93541413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3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1"/>
            <w:gridCol w:w="1560"/>
            <w:gridCol w:w="1740"/>
            <w:gridCol w:w="1599"/>
            <w:gridCol w:w="1863"/>
          </w:tblGrid>
          <w:tr w:rsidR="00B637B2" w:rsidTr="00013FF0">
            <w:sdt>
              <w:sdtPr>
                <w:tag w:val="_PLD_e66e6eeece1d43718d4689f5c739778d"/>
                <w:id w:val="640620018"/>
                <w:lock w:val="sdtLocked"/>
              </w:sdtPr>
              <w:sdtContent>
                <w:tc>
                  <w:tcPr>
                    <w:tcW w:w="1168"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Default="008F04CF">
                    <w:pPr>
                      <w:jc w:val="center"/>
                    </w:pPr>
                    <w:r>
                      <w:rPr>
                        <w:rFonts w:hint="eastAsia"/>
                      </w:rPr>
                      <w:t>单位名称</w:t>
                    </w:r>
                  </w:p>
                </w:tc>
              </w:sdtContent>
            </w:sdt>
            <w:sdt>
              <w:sdtPr>
                <w:tag w:val="_PLD_7b40da60580d4bed8a4193729c2f6111"/>
                <w:id w:val="850913719"/>
                <w:lock w:val="sdtLocked"/>
              </w:sdtPr>
              <w:sdtContent>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Default="008F04CF">
                    <w:pPr>
                      <w:jc w:val="center"/>
                    </w:pPr>
                    <w:r>
                      <w:rPr>
                        <w:rFonts w:hint="eastAsia"/>
                      </w:rPr>
                      <w:t>政府补助项目名称</w:t>
                    </w:r>
                  </w:p>
                </w:tc>
              </w:sdtContent>
            </w:sdt>
            <w:sdt>
              <w:sdtPr>
                <w:tag w:val="_PLD_d4837fa97d31422c92a669c29ea2350c"/>
                <w:id w:val="2038462113"/>
                <w:lock w:val="sdtLocked"/>
              </w:sdtPr>
              <w:sdtContent>
                <w:tc>
                  <w:tcPr>
                    <w:tcW w:w="986"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Default="008F04CF">
                    <w:pPr>
                      <w:jc w:val="center"/>
                    </w:pPr>
                    <w:r>
                      <w:rPr>
                        <w:rFonts w:hint="eastAsia"/>
                      </w:rPr>
                      <w:t>期末余额</w:t>
                    </w:r>
                  </w:p>
                </w:tc>
              </w:sdtContent>
            </w:sdt>
            <w:sdt>
              <w:sdtPr>
                <w:tag w:val="_PLD_c38cd161794f48e682ab33036b813244"/>
                <w:id w:val="1478342354"/>
                <w:lock w:val="sdtLocked"/>
              </w:sdtPr>
              <w:sdtContent>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Default="008F04CF">
                    <w:pPr>
                      <w:jc w:val="center"/>
                    </w:pPr>
                    <w:r>
                      <w:rPr>
                        <w:rFonts w:hint="eastAsia"/>
                      </w:rPr>
                      <w:t>期末账龄</w:t>
                    </w:r>
                  </w:p>
                </w:tc>
              </w:sdtContent>
            </w:sdt>
            <w:sdt>
              <w:sdtPr>
                <w:tag w:val="_PLD_30f56f4ba8e54377843ab193e665845f"/>
                <w:id w:val="167990974"/>
                <w:lock w:val="sdtLocked"/>
              </w:sdtPr>
              <w:sdtContent>
                <w:tc>
                  <w:tcPr>
                    <w:tcW w:w="1056"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Default="008F04CF">
                    <w:pPr>
                      <w:jc w:val="center"/>
                    </w:pPr>
                    <w:r>
                      <w:rPr>
                        <w:rFonts w:hint="eastAsia"/>
                      </w:rPr>
                      <w:t>预计收取的时间、金额及依据</w:t>
                    </w:r>
                  </w:p>
                </w:tc>
              </w:sdtContent>
            </w:sdt>
          </w:tr>
          <w:sdt>
            <w:sdtPr>
              <w:alias w:val="按应收金额确认的政府补助明细"/>
              <w:tag w:val="_GBC_fc3af1b6e8d74e55bf16d00e09567416"/>
              <w:id w:val="-72203339"/>
              <w:lock w:val="sdtLocked"/>
            </w:sdtPr>
            <w:sdtContent>
              <w:tr w:rsidR="00B637B2" w:rsidTr="00013FF0">
                <w:tc>
                  <w:tcPr>
                    <w:tcW w:w="1168" w:type="pct"/>
                    <w:tcBorders>
                      <w:top w:val="single" w:sz="4" w:space="0" w:color="auto"/>
                      <w:left w:val="single" w:sz="4" w:space="0" w:color="auto"/>
                      <w:bottom w:val="single" w:sz="4" w:space="0" w:color="auto"/>
                      <w:right w:val="single" w:sz="4" w:space="0" w:color="auto"/>
                    </w:tcBorders>
                    <w:shd w:val="clear" w:color="auto" w:fill="auto"/>
                  </w:tcPr>
                  <w:p w:rsidR="00B637B2" w:rsidRDefault="008F04CF">
                    <w:r w:rsidRPr="00A1419F">
                      <w:rPr>
                        <w:rFonts w:hint="eastAsia"/>
                      </w:rPr>
                      <w:t>北京市海淀区税务局</w:t>
                    </w:r>
                  </w:p>
                </w:tc>
                <w:tc>
                  <w:tcPr>
                    <w:tcW w:w="884" w:type="pct"/>
                    <w:tcBorders>
                      <w:top w:val="single" w:sz="4" w:space="0" w:color="auto"/>
                      <w:left w:val="single" w:sz="4" w:space="0" w:color="auto"/>
                      <w:bottom w:val="single" w:sz="4" w:space="0" w:color="auto"/>
                      <w:right w:val="single" w:sz="4" w:space="0" w:color="auto"/>
                    </w:tcBorders>
                    <w:shd w:val="clear" w:color="auto" w:fill="auto"/>
                  </w:tcPr>
                  <w:p w:rsidR="00B637B2" w:rsidRDefault="008F04CF">
                    <w:r>
                      <w:rPr>
                        <w:rFonts w:hint="eastAsia"/>
                      </w:rPr>
                      <w:t>增值税退税</w:t>
                    </w:r>
                  </w:p>
                </w:tc>
                <w:tc>
                  <w:tcPr>
                    <w:tcW w:w="986" w:type="pct"/>
                    <w:tcBorders>
                      <w:top w:val="single" w:sz="4" w:space="0" w:color="auto"/>
                      <w:left w:val="single" w:sz="4" w:space="0" w:color="auto"/>
                      <w:bottom w:val="single" w:sz="4" w:space="0" w:color="auto"/>
                      <w:right w:val="single" w:sz="4" w:space="0" w:color="auto"/>
                    </w:tcBorders>
                    <w:shd w:val="clear" w:color="auto" w:fill="auto"/>
                  </w:tcPr>
                  <w:p w:rsidR="00B637B2" w:rsidRDefault="008F04CF">
                    <w:pPr>
                      <w:jc w:val="right"/>
                    </w:pPr>
                    <w:r>
                      <w:t>36,362,060</w:t>
                    </w:r>
                  </w:p>
                </w:tc>
                <w:tc>
                  <w:tcPr>
                    <w:tcW w:w="906" w:type="pct"/>
                    <w:tcBorders>
                      <w:top w:val="single" w:sz="4" w:space="0" w:color="auto"/>
                      <w:left w:val="single" w:sz="4" w:space="0" w:color="auto"/>
                      <w:bottom w:val="single" w:sz="4" w:space="0" w:color="auto"/>
                      <w:right w:val="single" w:sz="4" w:space="0" w:color="auto"/>
                    </w:tcBorders>
                    <w:shd w:val="clear" w:color="auto" w:fill="auto"/>
                  </w:tcPr>
                  <w:p w:rsidR="00B637B2" w:rsidRDefault="008F04CF">
                    <w:r>
                      <w:rPr>
                        <w:rFonts w:hint="eastAsia"/>
                      </w:rPr>
                      <w:t>1年以内</w:t>
                    </w:r>
                  </w:p>
                </w:tc>
                <w:tc>
                  <w:tcPr>
                    <w:tcW w:w="1056" w:type="pct"/>
                    <w:tcBorders>
                      <w:top w:val="single" w:sz="4" w:space="0" w:color="auto"/>
                      <w:left w:val="single" w:sz="4" w:space="0" w:color="auto"/>
                      <w:bottom w:val="single" w:sz="4" w:space="0" w:color="auto"/>
                      <w:right w:val="single" w:sz="4" w:space="0" w:color="auto"/>
                    </w:tcBorders>
                    <w:shd w:val="clear" w:color="auto" w:fill="auto"/>
                  </w:tcPr>
                  <w:p w:rsidR="00B637B2" w:rsidRDefault="008F04CF" w:rsidP="00B637B2">
                    <w:r>
                      <w:t>2019年9月、36,362,060元</w:t>
                    </w:r>
                  </w:p>
                  <w:p w:rsidR="00B637B2" w:rsidRDefault="008F04CF" w:rsidP="00B637B2">
                    <w:r>
                      <w:rPr>
                        <w:rFonts w:hint="eastAsia"/>
                      </w:rPr>
                      <w:t>《关于软件产品增值税政策的通知》</w:t>
                    </w:r>
                    <w:r>
                      <w:t>(财税[2011]100号)</w:t>
                    </w:r>
                  </w:p>
                </w:tc>
              </w:tr>
            </w:sdtContent>
          </w:sdt>
          <w:sdt>
            <w:sdtPr>
              <w:alias w:val="按应收金额确认的政府补助明细"/>
              <w:tag w:val="_GBC_fc3af1b6e8d74e55bf16d00e09567416"/>
              <w:id w:val="-321578217"/>
              <w:lock w:val="sdtLocked"/>
            </w:sdtPr>
            <w:sdtContent>
              <w:tr w:rsidR="00B637B2" w:rsidTr="00013FF0">
                <w:tc>
                  <w:tcPr>
                    <w:tcW w:w="1168" w:type="pct"/>
                    <w:tcBorders>
                      <w:top w:val="single" w:sz="4" w:space="0" w:color="auto"/>
                      <w:left w:val="single" w:sz="4" w:space="0" w:color="auto"/>
                      <w:bottom w:val="single" w:sz="4" w:space="0" w:color="auto"/>
                      <w:right w:val="single" w:sz="4" w:space="0" w:color="auto"/>
                    </w:tcBorders>
                    <w:shd w:val="clear" w:color="auto" w:fill="auto"/>
                  </w:tcPr>
                  <w:p w:rsidR="00B637B2" w:rsidRDefault="00B637B2"/>
                </w:tc>
                <w:tc>
                  <w:tcPr>
                    <w:tcW w:w="884" w:type="pct"/>
                    <w:tcBorders>
                      <w:top w:val="single" w:sz="4" w:space="0" w:color="auto"/>
                      <w:left w:val="single" w:sz="4" w:space="0" w:color="auto"/>
                      <w:bottom w:val="single" w:sz="4" w:space="0" w:color="auto"/>
                      <w:right w:val="single" w:sz="4" w:space="0" w:color="auto"/>
                    </w:tcBorders>
                    <w:shd w:val="clear" w:color="auto" w:fill="auto"/>
                  </w:tcPr>
                  <w:p w:rsidR="00B637B2" w:rsidRDefault="00B637B2"/>
                </w:tc>
                <w:tc>
                  <w:tcPr>
                    <w:tcW w:w="986" w:type="pct"/>
                    <w:tcBorders>
                      <w:top w:val="single" w:sz="4" w:space="0" w:color="auto"/>
                      <w:left w:val="single" w:sz="4" w:space="0" w:color="auto"/>
                      <w:bottom w:val="single" w:sz="4" w:space="0" w:color="auto"/>
                      <w:right w:val="single" w:sz="4" w:space="0" w:color="auto"/>
                    </w:tcBorders>
                    <w:shd w:val="clear" w:color="auto" w:fill="auto"/>
                  </w:tcPr>
                  <w:p w:rsidR="00B637B2" w:rsidRDefault="00B637B2">
                    <w:pPr>
                      <w:jc w:val="right"/>
                    </w:pPr>
                  </w:p>
                </w:tc>
                <w:tc>
                  <w:tcPr>
                    <w:tcW w:w="906" w:type="pct"/>
                    <w:tcBorders>
                      <w:top w:val="single" w:sz="4" w:space="0" w:color="auto"/>
                      <w:left w:val="single" w:sz="4" w:space="0" w:color="auto"/>
                      <w:bottom w:val="single" w:sz="4" w:space="0" w:color="auto"/>
                      <w:right w:val="single" w:sz="4" w:space="0" w:color="auto"/>
                    </w:tcBorders>
                    <w:shd w:val="clear" w:color="auto" w:fill="auto"/>
                  </w:tcPr>
                  <w:p w:rsidR="00B637B2" w:rsidRDefault="00B637B2"/>
                </w:tc>
                <w:tc>
                  <w:tcPr>
                    <w:tcW w:w="1056" w:type="pct"/>
                    <w:tcBorders>
                      <w:top w:val="single" w:sz="4" w:space="0" w:color="auto"/>
                      <w:left w:val="single" w:sz="4" w:space="0" w:color="auto"/>
                      <w:bottom w:val="single" w:sz="4" w:space="0" w:color="auto"/>
                      <w:right w:val="single" w:sz="4" w:space="0" w:color="auto"/>
                    </w:tcBorders>
                    <w:shd w:val="clear" w:color="auto" w:fill="auto"/>
                  </w:tcPr>
                  <w:p w:rsidR="00B637B2" w:rsidRDefault="00B637B2"/>
                </w:tc>
              </w:tr>
            </w:sdtContent>
          </w:sdt>
        </w:tbl>
        <w:p w:rsidR="00B637B2" w:rsidRDefault="008F04CF">
          <w:pPr>
            <w:snapToGrid w:val="0"/>
            <w:spacing w:line="240" w:lineRule="atLeast"/>
          </w:pPr>
          <w:r>
            <w:rPr>
              <w:rFonts w:hint="eastAsia"/>
            </w:rPr>
            <w:t>其他说明：</w:t>
          </w:r>
        </w:p>
        <w:sdt>
          <w:sdtPr>
            <w:alias w:val="涉及政府补助的应收款项说明"/>
            <w:tag w:val="_GBC_6dc1096f9fea43cdbbbb10ba5780581d"/>
            <w:id w:val="-1683805703"/>
            <w:lock w:val="sdtLocked"/>
          </w:sdtPr>
          <w:sdtContent>
            <w:p w:rsidR="00B637B2" w:rsidRDefault="008F04CF">
              <w:pPr>
                <w:snapToGrid w:val="0"/>
                <w:spacing w:line="240" w:lineRule="atLeast"/>
              </w:pPr>
              <w:r>
                <w:rPr>
                  <w:rFonts w:hint="eastAsia"/>
                </w:rPr>
                <w:t>无。</w:t>
              </w:r>
            </w:p>
          </w:sdtContent>
        </w:sdt>
        <w:p w:rsidR="00ED2DC7" w:rsidRDefault="000D0A99">
          <w:pPr>
            <w:snapToGrid w:val="0"/>
            <w:spacing w:line="240" w:lineRule="atLeast"/>
          </w:pPr>
        </w:p>
      </w:sdtContent>
    </w:sdt>
    <w:sdt>
      <w:sdtPr>
        <w:rPr>
          <w:rFonts w:ascii="Times New Roman" w:hAnsi="Times New Roman" w:cs="宋体"/>
          <w:b w:val="0"/>
          <w:bCs w:val="0"/>
          <w:kern w:val="0"/>
          <w:szCs w:val="24"/>
        </w:rPr>
        <w:alias w:val="模块:因金融资产转移而终止确认的其他应收款"/>
        <w:tag w:val="_GBC_73268e67b3d94deab59672a03d2cbd2a"/>
        <w:id w:val="-273789693"/>
        <w:lock w:val="sdtLocked"/>
        <w:placeholder>
          <w:docPart w:val="GBC22222222222222222222222222222"/>
        </w:placeholder>
      </w:sdtPr>
      <w:sdtContent>
        <w:p w:rsidR="00ED2DC7" w:rsidRDefault="00ED2DC7" w:rsidP="00036BDC">
          <w:pPr>
            <w:pStyle w:val="affffffffffffffffff2"/>
            <w:numPr>
              <w:ilvl w:val="3"/>
              <w:numId w:val="54"/>
            </w:numPr>
            <w:tabs>
              <w:tab w:val="left" w:pos="560"/>
            </w:tabs>
            <w:rPr>
              <w:kern w:val="0"/>
            </w:rPr>
          </w:pPr>
          <w:r>
            <w:rPr>
              <w:rFonts w:hint="eastAsia"/>
              <w:kern w:val="0"/>
            </w:rPr>
            <w:t>因金融资产</w:t>
          </w:r>
          <w:r>
            <w:rPr>
              <w:rFonts w:hint="eastAsia"/>
            </w:rPr>
            <w:t>转移</w:t>
          </w:r>
          <w:r>
            <w:rPr>
              <w:rFonts w:hint="eastAsia"/>
              <w:kern w:val="0"/>
            </w:rPr>
            <w:t>而终止确认的其他应收款</w:t>
          </w:r>
        </w:p>
        <w:sdt>
          <w:sdtPr>
            <w:rPr>
              <w:rFonts w:hint="eastAsia"/>
              <w:szCs w:val="21"/>
            </w:rPr>
            <w:alias w:val="是否适用：因金融资产转移而终止确认的其他应收款[双击切换]"/>
            <w:tag w:val="_GBC_0451c8b8783146d3a8ab851341e7f35b"/>
            <w:id w:val="-1339534949"/>
            <w:lock w:val="sdtContentLocked"/>
            <w:placeholder>
              <w:docPart w:val="GBC22222222222222222222222222222"/>
            </w:placeholder>
          </w:sdtPr>
          <w:sdtContent>
            <w:p w:rsidR="00ED2DC7" w:rsidRDefault="00ED2DC7" w:rsidP="007D3CEA">
              <w:pPr>
                <w:ind w:right="57"/>
                <w:rPr>
                  <w:szCs w:val="21"/>
                </w:rPr>
              </w:pPr>
              <w:r>
                <w:rPr>
                  <w:szCs w:val="21"/>
                </w:rPr>
                <w:fldChar w:fldCharType="begin"/>
              </w:r>
              <w:r w:rsidR="007D3CEA">
                <w:rPr>
                  <w:szCs w:val="21"/>
                </w:rPr>
                <w:instrText xml:space="preserve"> MACROBUTTON  SnrToggleCheckbox □适用 </w:instrText>
              </w:r>
              <w:r>
                <w:rPr>
                  <w:szCs w:val="21"/>
                </w:rPr>
                <w:fldChar w:fldCharType="end"/>
              </w:r>
              <w:r>
                <w:rPr>
                  <w:szCs w:val="21"/>
                </w:rPr>
                <w:fldChar w:fldCharType="begin"/>
              </w:r>
              <w:r w:rsidR="007D3CEA">
                <w:rPr>
                  <w:szCs w:val="21"/>
                </w:rPr>
                <w:instrText xml:space="preserve"> MACROBUTTON  SnrToggleCheckbox √不适用 </w:instrText>
              </w:r>
              <w:r>
                <w:rPr>
                  <w:szCs w:val="21"/>
                </w:rPr>
                <w:fldChar w:fldCharType="end"/>
              </w:r>
            </w:p>
          </w:sdtContent>
        </w:sdt>
      </w:sdtContent>
    </w:sdt>
    <w:p w:rsidR="00ED2DC7" w:rsidRDefault="00ED2DC7">
      <w:pPr>
        <w:rPr>
          <w:szCs w:val="21"/>
        </w:rPr>
      </w:pPr>
    </w:p>
    <w:sdt>
      <w:sdtPr>
        <w:rPr>
          <w:rFonts w:ascii="Times New Roman" w:hAnsi="Times New Roman" w:cs="宋体" w:hint="eastAsia"/>
          <w:b w:val="0"/>
          <w:bCs w:val="0"/>
          <w:kern w:val="0"/>
          <w:szCs w:val="24"/>
        </w:rPr>
        <w:alias w:val="模块:转移其他应收款且继续涉入形成的资产、负债金额的说明"/>
        <w:tag w:val="_GBC_05496beed0c54ab3b5c0e91297ee374e"/>
        <w:id w:val="-66571244"/>
        <w:lock w:val="sdtLocked"/>
        <w:placeholder>
          <w:docPart w:val="GBC22222222222222222222222222222"/>
        </w:placeholder>
      </w:sdtPr>
      <w:sdtContent>
        <w:p w:rsidR="00ED2DC7" w:rsidRDefault="00ED2DC7" w:rsidP="00036BDC">
          <w:pPr>
            <w:pStyle w:val="affffffffffffffffff2"/>
            <w:numPr>
              <w:ilvl w:val="3"/>
              <w:numId w:val="54"/>
            </w:numPr>
            <w:tabs>
              <w:tab w:val="left" w:pos="560"/>
            </w:tabs>
            <w:rPr>
              <w:kern w:val="0"/>
            </w:rPr>
          </w:pPr>
          <w:r>
            <w:rPr>
              <w:rFonts w:hint="eastAsia"/>
              <w:kern w:val="0"/>
            </w:rPr>
            <w:t>转移其他应收款且继续涉入形成的资产、负债的金额</w:t>
          </w:r>
        </w:p>
        <w:sdt>
          <w:sdtPr>
            <w:rPr>
              <w:rFonts w:hint="eastAsia"/>
              <w:szCs w:val="21"/>
            </w:rPr>
            <w:alias w:val="是否适用：转移其他应收款且继续涉入形成的资产、负债的金额[双击切换]"/>
            <w:tag w:val="_GBC_e74d63017ee7420b83e7544117beeac6"/>
            <w:id w:val="-895199067"/>
            <w:lock w:val="sdtContentLocked"/>
            <w:placeholder>
              <w:docPart w:val="GBC22222222222222222222222222222"/>
            </w:placeholder>
          </w:sdtPr>
          <w:sdtContent>
            <w:p w:rsidR="00ED2DC7" w:rsidRDefault="00ED2DC7" w:rsidP="007D3CEA">
              <w:pPr>
                <w:rPr>
                  <w:szCs w:val="21"/>
                </w:rPr>
              </w:pPr>
              <w:r>
                <w:rPr>
                  <w:szCs w:val="21"/>
                </w:rPr>
                <w:fldChar w:fldCharType="begin"/>
              </w:r>
              <w:r w:rsidR="007D3CEA">
                <w:rPr>
                  <w:szCs w:val="21"/>
                </w:rPr>
                <w:instrText xml:space="preserve"> MACROBUTTON  SnrToggleCheckbox □适用 </w:instrText>
              </w:r>
              <w:r>
                <w:rPr>
                  <w:szCs w:val="21"/>
                </w:rPr>
                <w:fldChar w:fldCharType="end"/>
              </w:r>
              <w:r>
                <w:rPr>
                  <w:szCs w:val="21"/>
                </w:rPr>
                <w:fldChar w:fldCharType="begin"/>
              </w:r>
              <w:r w:rsidR="007D3CEA">
                <w:rPr>
                  <w:szCs w:val="21"/>
                </w:rPr>
                <w:instrText xml:space="preserve"> MACROBUTTON  SnrToggleCheckbox √不适用 </w:instrText>
              </w:r>
              <w:r>
                <w:rPr>
                  <w:szCs w:val="21"/>
                </w:rPr>
                <w:fldChar w:fldCharType="end"/>
              </w:r>
            </w:p>
          </w:sdtContent>
        </w:sdt>
      </w:sdtContent>
    </w:sdt>
    <w:p w:rsidR="00ED2DC7" w:rsidRDefault="00ED2DC7">
      <w:pPr>
        <w:rPr>
          <w:szCs w:val="21"/>
        </w:rPr>
      </w:pPr>
    </w:p>
    <w:sdt>
      <w:sdtPr>
        <w:rPr>
          <w:rFonts w:ascii="Times New Roman" w:hAnsi="Times New Roman" w:hint="eastAsia"/>
          <w:b/>
          <w:bCs/>
        </w:rPr>
        <w:alias w:val="模块:其他应收款其他说明"/>
        <w:tag w:val="_GBC_de4246046d754793a6a2db96dd5bb245"/>
        <w:id w:val="633601737"/>
        <w:lock w:val="sdtLocked"/>
        <w:placeholder>
          <w:docPart w:val="GBC22222222222222222222222222222"/>
        </w:placeholder>
      </w:sdtPr>
      <w:sdtEndPr>
        <w:rPr>
          <w:b w:val="0"/>
          <w:bCs w:val="0"/>
        </w:rPr>
      </w:sdtEndPr>
      <w:sdtContent>
        <w:p w:rsidR="00ED2DC7" w:rsidRDefault="00ED2DC7">
          <w:r>
            <w:rPr>
              <w:rFonts w:hint="eastAsia"/>
            </w:rPr>
            <w:t>其他</w:t>
          </w:r>
          <w:r>
            <w:t>说明：</w:t>
          </w:r>
        </w:p>
        <w:sdt>
          <w:sdtPr>
            <w:alias w:val="是否适用：其他应收款的其他说明[双击切换]"/>
            <w:tag w:val="_GBC_55d570440c184744bd13a4938ba488d1"/>
            <w:id w:val="1049950332"/>
            <w:lock w:val="sdtContentLocked"/>
            <w:placeholder>
              <w:docPart w:val="GBC22222222222222222222222222222"/>
            </w:placeholder>
          </w:sdtPr>
          <w:sdtContent>
            <w:p w:rsidR="00ED2DC7" w:rsidRDefault="00ED2DC7" w:rsidP="007D3CEA">
              <w:pPr>
                <w:rPr>
                  <w:szCs w:val="21"/>
                </w:rPr>
              </w:pPr>
              <w:r>
                <w:fldChar w:fldCharType="begin"/>
              </w:r>
              <w:r w:rsidR="007D3CEA">
                <w:instrText xml:space="preserve"> MACROBUTTON  SnrToggleCheckbox □适用 </w:instrText>
              </w:r>
              <w:r>
                <w:fldChar w:fldCharType="end"/>
              </w:r>
              <w:r>
                <w:fldChar w:fldCharType="begin"/>
              </w:r>
              <w:r w:rsidR="007D3CEA">
                <w:instrText xml:space="preserve"> MACROBUTTON  SnrToggleCheckbox √不适用 </w:instrText>
              </w:r>
              <w:r>
                <w:fldChar w:fldCharType="end"/>
              </w:r>
            </w:p>
          </w:sdtContent>
        </w:sdt>
      </w:sdtContent>
    </w:sdt>
    <w:p w:rsidR="00ED2DC7" w:rsidRDefault="00ED2DC7">
      <w:pPr>
        <w:rPr>
          <w:szCs w:val="21"/>
        </w:rPr>
      </w:pPr>
    </w:p>
    <w:p w:rsidR="00ED2DC7" w:rsidRDefault="00ED2DC7" w:rsidP="00036BDC">
      <w:pPr>
        <w:pStyle w:val="affffffffffffffffff1"/>
        <w:numPr>
          <w:ilvl w:val="0"/>
          <w:numId w:val="49"/>
        </w:numPr>
      </w:pPr>
      <w:r>
        <w:rPr>
          <w:rFonts w:hint="eastAsia"/>
        </w:rPr>
        <w:t>存货</w:t>
      </w:r>
    </w:p>
    <w:bookmarkStart w:id="115" w:name="_Hlk10470159" w:displacedByCustomXml="next"/>
    <w:sdt>
      <w:sdtPr>
        <w:rPr>
          <w:rFonts w:asciiTheme="minorHAnsi" w:hAnsiTheme="minorHAnsi" w:cs="宋体" w:hint="eastAsia"/>
          <w:b w:val="0"/>
          <w:bCs w:val="0"/>
          <w:kern w:val="0"/>
          <w:szCs w:val="22"/>
        </w:rPr>
        <w:alias w:val="模块:存货分类 "/>
        <w:tag w:val="_GBC_1953ea50f68542df9fa36d84b994cf17"/>
        <w:id w:val="697518866"/>
        <w:lock w:val="sdtLocked"/>
        <w:placeholder>
          <w:docPart w:val="GBC22222222222222222222222222222"/>
        </w:placeholder>
      </w:sdtPr>
      <w:sdtEndPr>
        <w:rPr>
          <w:rFonts w:ascii="宋体" w:hAnsi="宋体"/>
          <w:szCs w:val="21"/>
        </w:rPr>
      </w:sdtEndPr>
      <w:sdtContent>
        <w:p w:rsidR="00ED2DC7" w:rsidRDefault="00ED2DC7" w:rsidP="00036BDC">
          <w:pPr>
            <w:pStyle w:val="affffffffffffffffff2"/>
            <w:numPr>
              <w:ilvl w:val="0"/>
              <w:numId w:val="55"/>
            </w:numPr>
            <w:tabs>
              <w:tab w:val="left" w:pos="630"/>
            </w:tabs>
          </w:pPr>
          <w:r>
            <w:rPr>
              <w:rFonts w:hint="eastAsia"/>
            </w:rPr>
            <w:t>存货分类</w:t>
          </w:r>
        </w:p>
        <w:sdt>
          <w:sdtPr>
            <w:alias w:val="是否适用：存货分类[双击切换]"/>
            <w:tag w:val="_GBC_06c46a03a226418fb8e5e84326c47750"/>
            <w:id w:val="-443700343"/>
            <w:lock w:val="sdtContentLocked"/>
            <w:placeholder>
              <w:docPart w:val="GBC22222222222222222222222222222"/>
            </w:placeholder>
          </w:sdtPr>
          <w:sdtContent>
            <w:p w:rsidR="00ED2DC7" w:rsidRDefault="00ED2DC7">
              <w:r>
                <w:fldChar w:fldCharType="begin"/>
              </w:r>
              <w:r w:rsidR="00E75F7C">
                <w:instrText xml:space="preserve"> MACROBUTTON  SnrToggleCheckbox √适用 </w:instrText>
              </w:r>
              <w:r>
                <w:fldChar w:fldCharType="end"/>
              </w:r>
              <w:r>
                <w:fldChar w:fldCharType="begin"/>
              </w:r>
              <w:r w:rsidR="00E75F7C">
                <w:instrText xml:space="preserve"> MACROBUTTON  SnrToggleCheckbox □不适用 </w:instrText>
              </w:r>
              <w:r>
                <w:fldChar w:fldCharType="end"/>
              </w:r>
            </w:p>
          </w:sdtContent>
        </w:sdt>
        <w:p w:rsidR="00ED2DC7" w:rsidRDefault="00ED2DC7">
          <w:pPr>
            <w:jc w:val="right"/>
            <w:rPr>
              <w:szCs w:val="21"/>
            </w:rPr>
          </w:pPr>
          <w:r>
            <w:rPr>
              <w:rFonts w:hint="eastAsia"/>
              <w:szCs w:val="21"/>
            </w:rPr>
            <w:t>单位：</w:t>
          </w:r>
          <w:sdt>
            <w:sdtPr>
              <w:rPr>
                <w:rFonts w:hint="eastAsia"/>
                <w:szCs w:val="21"/>
              </w:rPr>
              <w:alias w:val="单位：财务附注：存货分类"/>
              <w:tag w:val="_GBC_cc6e1ec3be0141cbb25cf999a897b29b"/>
              <w:id w:val="23228829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hint="eastAsia"/>
                  <w:szCs w:val="21"/>
                </w:rPr>
                <w:t>元</w:t>
              </w:r>
            </w:sdtContent>
          </w:sdt>
          <w:r>
            <w:rPr>
              <w:rFonts w:hint="eastAsia"/>
              <w:szCs w:val="21"/>
            </w:rPr>
            <w:t xml:space="preserve">  币种：</w:t>
          </w:r>
          <w:sdt>
            <w:sdtPr>
              <w:rPr>
                <w:rFonts w:hint="eastAsia"/>
                <w:szCs w:val="21"/>
              </w:rPr>
              <w:alias w:val="币种：财务附注：存货分类"/>
              <w:tag w:val="_GBC_d85b2ad6790d4fa2ace1d773934cd4b3"/>
              <w:id w:val="117583936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szCs w:val="21"/>
                </w:rPr>
                <w:t>人民币</w:t>
              </w:r>
            </w:sdtContent>
          </w:sdt>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408"/>
            <w:gridCol w:w="1175"/>
            <w:gridCol w:w="1352"/>
            <w:gridCol w:w="1218"/>
            <w:gridCol w:w="1207"/>
            <w:gridCol w:w="1346"/>
            <w:gridCol w:w="1117"/>
          </w:tblGrid>
          <w:tr w:rsidR="00417165" w:rsidTr="00A16BE0">
            <w:trPr>
              <w:cantSplit/>
            </w:trPr>
            <w:sdt>
              <w:sdtPr>
                <w:tag w:val="_PLD_48d855cd658044389f8d1cbe0016be78"/>
                <w:id w:val="-1295133461"/>
                <w:lock w:val="sdtLocked"/>
              </w:sdtPr>
              <w:sdtContent>
                <w:tc>
                  <w:tcPr>
                    <w:tcW w:w="802" w:type="pct"/>
                    <w:vMerge w:val="restart"/>
                    <w:vAlign w:val="center"/>
                  </w:tcPr>
                  <w:p w:rsidR="00417165" w:rsidRDefault="00417165" w:rsidP="00A16BE0">
                    <w:pPr>
                      <w:jc w:val="center"/>
                      <w:rPr>
                        <w:szCs w:val="21"/>
                      </w:rPr>
                    </w:pPr>
                    <w:r>
                      <w:rPr>
                        <w:rFonts w:hint="eastAsia"/>
                        <w:szCs w:val="21"/>
                      </w:rPr>
                      <w:t>项目</w:t>
                    </w:r>
                  </w:p>
                </w:tc>
              </w:sdtContent>
            </w:sdt>
            <w:sdt>
              <w:sdtPr>
                <w:tag w:val="_PLD_586606f595aa4fff8214f9b6209260b6"/>
                <w:id w:val="-1614512792"/>
                <w:lock w:val="sdtLocked"/>
              </w:sdtPr>
              <w:sdtContent>
                <w:tc>
                  <w:tcPr>
                    <w:tcW w:w="2134" w:type="pct"/>
                    <w:gridSpan w:val="3"/>
                    <w:vAlign w:val="center"/>
                  </w:tcPr>
                  <w:p w:rsidR="00417165" w:rsidRDefault="00417165" w:rsidP="00A16BE0">
                    <w:pPr>
                      <w:jc w:val="center"/>
                      <w:rPr>
                        <w:szCs w:val="21"/>
                      </w:rPr>
                    </w:pPr>
                    <w:r>
                      <w:rPr>
                        <w:rFonts w:hint="eastAsia"/>
                        <w:szCs w:val="21"/>
                      </w:rPr>
                      <w:t>期末余额</w:t>
                    </w:r>
                  </w:p>
                </w:tc>
              </w:sdtContent>
            </w:sdt>
            <w:sdt>
              <w:sdtPr>
                <w:tag w:val="_PLD_a1bbc97888494137a790328386c2b9d8"/>
                <w:id w:val="1553958534"/>
                <w:lock w:val="sdtLocked"/>
              </w:sdtPr>
              <w:sdtContent>
                <w:tc>
                  <w:tcPr>
                    <w:tcW w:w="2064" w:type="pct"/>
                    <w:gridSpan w:val="3"/>
                    <w:vAlign w:val="center"/>
                  </w:tcPr>
                  <w:p w:rsidR="00417165" w:rsidRDefault="00417165" w:rsidP="00A16BE0">
                    <w:pPr>
                      <w:jc w:val="center"/>
                      <w:rPr>
                        <w:szCs w:val="21"/>
                      </w:rPr>
                    </w:pPr>
                    <w:r>
                      <w:rPr>
                        <w:rFonts w:hint="eastAsia"/>
                        <w:szCs w:val="21"/>
                      </w:rPr>
                      <w:t>期初余额</w:t>
                    </w:r>
                  </w:p>
                </w:tc>
              </w:sdtContent>
            </w:sdt>
          </w:tr>
          <w:tr w:rsidR="00417165" w:rsidTr="00A16BE0">
            <w:trPr>
              <w:cantSplit/>
            </w:trPr>
            <w:tc>
              <w:tcPr>
                <w:tcW w:w="802" w:type="pct"/>
                <w:vMerge/>
              </w:tcPr>
              <w:p w:rsidR="00417165" w:rsidRDefault="00417165" w:rsidP="00A16BE0">
                <w:pPr>
                  <w:ind w:right="5"/>
                  <w:jc w:val="center"/>
                  <w:rPr>
                    <w:szCs w:val="21"/>
                  </w:rPr>
                </w:pPr>
              </w:p>
            </w:tc>
            <w:sdt>
              <w:sdtPr>
                <w:tag w:val="_PLD_60368d835c2843d99b5061f4c84f8d8e"/>
                <w:id w:val="313840623"/>
                <w:lock w:val="sdtLocked"/>
              </w:sdtPr>
              <w:sdtContent>
                <w:tc>
                  <w:tcPr>
                    <w:tcW w:w="670" w:type="pct"/>
                    <w:vAlign w:val="center"/>
                  </w:tcPr>
                  <w:p w:rsidR="00417165" w:rsidRDefault="00417165" w:rsidP="00A16BE0">
                    <w:pPr>
                      <w:ind w:right="5"/>
                      <w:jc w:val="center"/>
                      <w:rPr>
                        <w:szCs w:val="21"/>
                      </w:rPr>
                    </w:pPr>
                    <w:r>
                      <w:rPr>
                        <w:rFonts w:hint="eastAsia"/>
                        <w:szCs w:val="21"/>
                      </w:rPr>
                      <w:t>账面余额</w:t>
                    </w:r>
                  </w:p>
                </w:tc>
              </w:sdtContent>
            </w:sdt>
            <w:tc>
              <w:tcPr>
                <w:tcW w:w="770" w:type="pct"/>
                <w:vAlign w:val="center"/>
              </w:tcPr>
              <w:p w:rsidR="00417165" w:rsidRDefault="000D0A99" w:rsidP="00A16BE0">
                <w:pPr>
                  <w:ind w:right="5"/>
                  <w:jc w:val="center"/>
                  <w:rPr>
                    <w:szCs w:val="21"/>
                  </w:rPr>
                </w:pPr>
                <w:sdt>
                  <w:sdtPr>
                    <w:tag w:val="_PLD_b5c53ce2a5004db988af9e72594f6b6a"/>
                    <w:id w:val="-359507024"/>
                    <w:lock w:val="sdtLocked"/>
                  </w:sdtPr>
                  <w:sdtContent>
                    <w:r w:rsidR="00417165">
                      <w:rPr>
                        <w:rFonts w:hint="eastAsia"/>
                        <w:szCs w:val="21"/>
                      </w:rPr>
                      <w:t>存货跌价准备</w:t>
                    </w:r>
                    <w:r w:rsidR="00417165">
                      <w:rPr>
                        <w:szCs w:val="21"/>
                      </w:rPr>
                      <w:t>/合同履约成本减值准备</w:t>
                    </w:r>
                  </w:sdtContent>
                </w:sdt>
              </w:p>
            </w:tc>
            <w:sdt>
              <w:sdtPr>
                <w:tag w:val="_PLD_f2691cf723784fbcbc9a900f61c6e250"/>
                <w:id w:val="-944071065"/>
                <w:lock w:val="sdtLocked"/>
              </w:sdtPr>
              <w:sdtContent>
                <w:tc>
                  <w:tcPr>
                    <w:tcW w:w="694" w:type="pct"/>
                    <w:vAlign w:val="center"/>
                  </w:tcPr>
                  <w:p w:rsidR="00417165" w:rsidRDefault="00417165" w:rsidP="00A16BE0">
                    <w:pPr>
                      <w:ind w:right="5"/>
                      <w:jc w:val="center"/>
                      <w:rPr>
                        <w:szCs w:val="21"/>
                      </w:rPr>
                    </w:pPr>
                    <w:r>
                      <w:rPr>
                        <w:rFonts w:hint="eastAsia"/>
                        <w:szCs w:val="21"/>
                      </w:rPr>
                      <w:t>账面价值</w:t>
                    </w:r>
                  </w:p>
                </w:tc>
              </w:sdtContent>
            </w:sdt>
            <w:sdt>
              <w:sdtPr>
                <w:tag w:val="_PLD_df34ec94af0b441bab962cb42fe65b1a"/>
                <w:id w:val="1229346550"/>
                <w:lock w:val="sdtLocked"/>
              </w:sdtPr>
              <w:sdtContent>
                <w:tc>
                  <w:tcPr>
                    <w:tcW w:w="688" w:type="pct"/>
                    <w:vAlign w:val="center"/>
                  </w:tcPr>
                  <w:p w:rsidR="00417165" w:rsidRDefault="00417165" w:rsidP="00A16BE0">
                    <w:pPr>
                      <w:ind w:right="5"/>
                      <w:jc w:val="center"/>
                      <w:rPr>
                        <w:szCs w:val="21"/>
                      </w:rPr>
                    </w:pPr>
                    <w:r>
                      <w:rPr>
                        <w:rFonts w:hint="eastAsia"/>
                        <w:szCs w:val="21"/>
                      </w:rPr>
                      <w:t>账面余额</w:t>
                    </w:r>
                  </w:p>
                </w:tc>
              </w:sdtContent>
            </w:sdt>
            <w:tc>
              <w:tcPr>
                <w:tcW w:w="767" w:type="pct"/>
                <w:vAlign w:val="center"/>
              </w:tcPr>
              <w:p w:rsidR="00417165" w:rsidRDefault="000D0A99" w:rsidP="00A16BE0">
                <w:pPr>
                  <w:ind w:right="5"/>
                  <w:jc w:val="center"/>
                  <w:rPr>
                    <w:szCs w:val="21"/>
                  </w:rPr>
                </w:pPr>
                <w:sdt>
                  <w:sdtPr>
                    <w:tag w:val="_PLD_7a42c47b54924b47b9e161d8fd9fb840"/>
                    <w:id w:val="2072609562"/>
                    <w:lock w:val="sdtLocked"/>
                  </w:sdtPr>
                  <w:sdtContent>
                    <w:r w:rsidR="00417165">
                      <w:rPr>
                        <w:rFonts w:hint="eastAsia"/>
                      </w:rPr>
                      <w:t>存货跌价准备</w:t>
                    </w:r>
                    <w:r w:rsidR="00417165">
                      <w:rPr>
                        <w:szCs w:val="21"/>
                      </w:rPr>
                      <w:t>/合同履约成本减值准备</w:t>
                    </w:r>
                  </w:sdtContent>
                </w:sdt>
              </w:p>
            </w:tc>
            <w:sdt>
              <w:sdtPr>
                <w:tag w:val="_PLD_0db3a7f82db34583bb111dc2a8e88f8c"/>
                <w:id w:val="-667487869"/>
                <w:lock w:val="sdtLocked"/>
              </w:sdtPr>
              <w:sdtContent>
                <w:tc>
                  <w:tcPr>
                    <w:tcW w:w="609" w:type="pct"/>
                    <w:vAlign w:val="center"/>
                  </w:tcPr>
                  <w:p w:rsidR="00417165" w:rsidRDefault="00417165" w:rsidP="00A16BE0">
                    <w:pPr>
                      <w:ind w:right="5"/>
                      <w:jc w:val="center"/>
                      <w:rPr>
                        <w:szCs w:val="21"/>
                      </w:rPr>
                    </w:pPr>
                    <w:r>
                      <w:rPr>
                        <w:rFonts w:hint="eastAsia"/>
                        <w:szCs w:val="21"/>
                      </w:rPr>
                      <w:t>账面价值</w:t>
                    </w:r>
                  </w:p>
                </w:tc>
              </w:sdtContent>
            </w:sdt>
          </w:tr>
          <w:tr w:rsidR="00417165" w:rsidTr="00B637B2">
            <w:trPr>
              <w:cantSplit/>
            </w:trPr>
            <w:sdt>
              <w:sdtPr>
                <w:tag w:val="_PLD_fca11404c29f48d0b5900b11850092d7"/>
                <w:id w:val="-1506125964"/>
                <w:lock w:val="sdtLocked"/>
              </w:sdtPr>
              <w:sdtContent>
                <w:tc>
                  <w:tcPr>
                    <w:tcW w:w="802" w:type="pct"/>
                  </w:tcPr>
                  <w:p w:rsidR="00417165" w:rsidRDefault="00417165" w:rsidP="00A16BE0">
                    <w:pPr>
                      <w:ind w:right="5"/>
                      <w:rPr>
                        <w:szCs w:val="21"/>
                      </w:rPr>
                    </w:pPr>
                    <w:r>
                      <w:rPr>
                        <w:rFonts w:hint="eastAsia"/>
                        <w:szCs w:val="21"/>
                      </w:rPr>
                      <w:t>原材料</w:t>
                    </w:r>
                  </w:p>
                </w:tc>
              </w:sdtContent>
            </w:sdt>
            <w:tc>
              <w:tcPr>
                <w:tcW w:w="670" w:type="pct"/>
                <w:vAlign w:val="center"/>
              </w:tcPr>
              <w:p w:rsidR="00417165" w:rsidRPr="00A1419F" w:rsidRDefault="00417165" w:rsidP="00B637B2">
                <w:pPr>
                  <w:jc w:val="right"/>
                </w:pPr>
                <w:r w:rsidRPr="00A1419F">
                  <w:t>5,095,665</w:t>
                </w:r>
              </w:p>
            </w:tc>
            <w:tc>
              <w:tcPr>
                <w:tcW w:w="770" w:type="pct"/>
                <w:vAlign w:val="center"/>
              </w:tcPr>
              <w:p w:rsidR="00417165" w:rsidRPr="00A1419F" w:rsidRDefault="008F04CF" w:rsidP="00B637B2">
                <w:pPr>
                  <w:jc w:val="right"/>
                </w:pPr>
                <w:r>
                  <w:rPr>
                    <w:rFonts w:hint="eastAsia"/>
                  </w:rPr>
                  <w:t>-</w:t>
                </w:r>
              </w:p>
            </w:tc>
            <w:tc>
              <w:tcPr>
                <w:tcW w:w="694" w:type="pct"/>
                <w:vAlign w:val="center"/>
              </w:tcPr>
              <w:p w:rsidR="00417165" w:rsidRPr="00A1419F" w:rsidRDefault="00417165" w:rsidP="00B637B2">
                <w:pPr>
                  <w:jc w:val="right"/>
                </w:pPr>
                <w:r w:rsidRPr="00A1419F">
                  <w:t>5,095,665</w:t>
                </w:r>
              </w:p>
            </w:tc>
            <w:tc>
              <w:tcPr>
                <w:tcW w:w="688" w:type="pct"/>
                <w:vAlign w:val="center"/>
              </w:tcPr>
              <w:p w:rsidR="00417165" w:rsidRPr="00A1419F" w:rsidRDefault="00417165" w:rsidP="00B637B2">
                <w:pPr>
                  <w:ind w:right="5"/>
                  <w:jc w:val="right"/>
                  <w:rPr>
                    <w:szCs w:val="21"/>
                  </w:rPr>
                </w:pPr>
                <w:r w:rsidRPr="00A1419F">
                  <w:rPr>
                    <w:rFonts w:cs="Arial"/>
                    <w:color w:val="000000"/>
                  </w:rPr>
                  <w:t>4,055,505</w:t>
                </w:r>
              </w:p>
            </w:tc>
            <w:tc>
              <w:tcPr>
                <w:tcW w:w="767" w:type="pct"/>
                <w:vAlign w:val="center"/>
              </w:tcPr>
              <w:p w:rsidR="00417165" w:rsidRPr="00A1419F" w:rsidRDefault="008F04CF" w:rsidP="00B637B2">
                <w:pPr>
                  <w:ind w:right="5"/>
                  <w:jc w:val="right"/>
                  <w:rPr>
                    <w:szCs w:val="21"/>
                  </w:rPr>
                </w:pPr>
                <w:r>
                  <w:rPr>
                    <w:rFonts w:hint="eastAsia"/>
                    <w:szCs w:val="21"/>
                  </w:rPr>
                  <w:t>-</w:t>
                </w:r>
              </w:p>
            </w:tc>
            <w:tc>
              <w:tcPr>
                <w:tcW w:w="609" w:type="pct"/>
                <w:vAlign w:val="center"/>
              </w:tcPr>
              <w:p w:rsidR="00417165" w:rsidRPr="00A1419F" w:rsidRDefault="00417165" w:rsidP="00B637B2">
                <w:pPr>
                  <w:ind w:right="5"/>
                  <w:jc w:val="right"/>
                  <w:rPr>
                    <w:szCs w:val="21"/>
                  </w:rPr>
                </w:pPr>
                <w:r w:rsidRPr="00A1419F">
                  <w:rPr>
                    <w:rFonts w:cs="Arial"/>
                    <w:color w:val="000000"/>
                  </w:rPr>
                  <w:t>4,055,505</w:t>
                </w:r>
              </w:p>
            </w:tc>
          </w:tr>
          <w:tr w:rsidR="00417165" w:rsidTr="00B637B2">
            <w:trPr>
              <w:cantSplit/>
            </w:trPr>
            <w:sdt>
              <w:sdtPr>
                <w:tag w:val="_PLD_f3ef3aac74534d258da438463abf925d"/>
                <w:id w:val="1284775084"/>
                <w:lock w:val="sdtLocked"/>
              </w:sdtPr>
              <w:sdtContent>
                <w:tc>
                  <w:tcPr>
                    <w:tcW w:w="802" w:type="pct"/>
                  </w:tcPr>
                  <w:p w:rsidR="00417165" w:rsidRDefault="00417165" w:rsidP="00A16BE0">
                    <w:pPr>
                      <w:ind w:right="5"/>
                      <w:rPr>
                        <w:szCs w:val="21"/>
                      </w:rPr>
                    </w:pPr>
                    <w:r>
                      <w:rPr>
                        <w:rFonts w:hint="eastAsia"/>
                        <w:szCs w:val="21"/>
                      </w:rPr>
                      <w:t>库存商品</w:t>
                    </w:r>
                  </w:p>
                </w:tc>
              </w:sdtContent>
            </w:sdt>
            <w:tc>
              <w:tcPr>
                <w:tcW w:w="670" w:type="pct"/>
                <w:vAlign w:val="center"/>
              </w:tcPr>
              <w:p w:rsidR="00417165" w:rsidRPr="00A1419F" w:rsidRDefault="00417165" w:rsidP="00B637B2">
                <w:pPr>
                  <w:ind w:right="5"/>
                  <w:jc w:val="right"/>
                  <w:rPr>
                    <w:szCs w:val="21"/>
                  </w:rPr>
                </w:pPr>
                <w:r w:rsidRPr="00A1419F">
                  <w:t>29,310,519</w:t>
                </w:r>
              </w:p>
            </w:tc>
            <w:tc>
              <w:tcPr>
                <w:tcW w:w="770" w:type="pct"/>
                <w:vAlign w:val="center"/>
              </w:tcPr>
              <w:p w:rsidR="00417165" w:rsidRPr="00A1419F" w:rsidRDefault="00417165" w:rsidP="00B637B2">
                <w:pPr>
                  <w:ind w:right="5"/>
                  <w:jc w:val="right"/>
                  <w:rPr>
                    <w:szCs w:val="21"/>
                  </w:rPr>
                </w:pPr>
                <w:r w:rsidRPr="00A1419F">
                  <w:t>11,483,175</w:t>
                </w:r>
              </w:p>
            </w:tc>
            <w:tc>
              <w:tcPr>
                <w:tcW w:w="694" w:type="pct"/>
                <w:vAlign w:val="center"/>
              </w:tcPr>
              <w:p w:rsidR="00417165" w:rsidRPr="00A1419F" w:rsidRDefault="00417165" w:rsidP="00B637B2">
                <w:pPr>
                  <w:ind w:right="5"/>
                  <w:jc w:val="right"/>
                  <w:rPr>
                    <w:szCs w:val="21"/>
                  </w:rPr>
                </w:pPr>
                <w:r w:rsidRPr="00A1419F">
                  <w:t>17,827,344</w:t>
                </w:r>
              </w:p>
            </w:tc>
            <w:tc>
              <w:tcPr>
                <w:tcW w:w="688" w:type="pct"/>
                <w:vAlign w:val="center"/>
              </w:tcPr>
              <w:p w:rsidR="00417165" w:rsidRPr="00A1419F" w:rsidRDefault="00417165" w:rsidP="00B637B2">
                <w:pPr>
                  <w:ind w:right="5"/>
                  <w:jc w:val="right"/>
                  <w:rPr>
                    <w:szCs w:val="21"/>
                  </w:rPr>
                </w:pPr>
                <w:r w:rsidRPr="00A1419F">
                  <w:t>28,322,304</w:t>
                </w:r>
              </w:p>
            </w:tc>
            <w:tc>
              <w:tcPr>
                <w:tcW w:w="767" w:type="pct"/>
                <w:vAlign w:val="center"/>
              </w:tcPr>
              <w:p w:rsidR="00417165" w:rsidRPr="00A1419F" w:rsidRDefault="00417165" w:rsidP="00B637B2">
                <w:pPr>
                  <w:ind w:right="5"/>
                  <w:jc w:val="right"/>
                  <w:rPr>
                    <w:szCs w:val="21"/>
                  </w:rPr>
                </w:pPr>
                <w:r w:rsidRPr="00A1419F">
                  <w:rPr>
                    <w:rFonts w:cs="Arial"/>
                  </w:rPr>
                  <w:t>10,609,820</w:t>
                </w:r>
              </w:p>
            </w:tc>
            <w:tc>
              <w:tcPr>
                <w:tcW w:w="609" w:type="pct"/>
                <w:vAlign w:val="center"/>
              </w:tcPr>
              <w:p w:rsidR="00417165" w:rsidRPr="00A1419F" w:rsidRDefault="00417165" w:rsidP="00B637B2">
                <w:pPr>
                  <w:ind w:right="5"/>
                  <w:jc w:val="right"/>
                  <w:rPr>
                    <w:szCs w:val="21"/>
                  </w:rPr>
                </w:pPr>
                <w:r w:rsidRPr="00A1419F">
                  <w:t>17,712,484</w:t>
                </w:r>
              </w:p>
            </w:tc>
          </w:tr>
          <w:tr w:rsidR="00417165" w:rsidTr="00B637B2">
            <w:trPr>
              <w:cantSplit/>
            </w:trPr>
            <w:sdt>
              <w:sdtPr>
                <w:tag w:val="_PLD_c7f765ab16d04ed0965df8d114b73cb6"/>
                <w:id w:val="921756144"/>
                <w:lock w:val="sdtLocked"/>
              </w:sdtPr>
              <w:sdtContent>
                <w:tc>
                  <w:tcPr>
                    <w:tcW w:w="802" w:type="pct"/>
                  </w:tcPr>
                  <w:p w:rsidR="00417165" w:rsidRDefault="00417165" w:rsidP="00A16BE0">
                    <w:pPr>
                      <w:ind w:right="5"/>
                      <w:jc w:val="center"/>
                      <w:rPr>
                        <w:szCs w:val="21"/>
                      </w:rPr>
                    </w:pPr>
                    <w:r>
                      <w:rPr>
                        <w:rFonts w:hint="eastAsia"/>
                        <w:szCs w:val="21"/>
                      </w:rPr>
                      <w:t>合计</w:t>
                    </w:r>
                  </w:p>
                </w:tc>
              </w:sdtContent>
            </w:sdt>
            <w:tc>
              <w:tcPr>
                <w:tcW w:w="670" w:type="pct"/>
                <w:vAlign w:val="center"/>
              </w:tcPr>
              <w:p w:rsidR="00417165" w:rsidRPr="00A1419F" w:rsidRDefault="00417165" w:rsidP="00B637B2">
                <w:pPr>
                  <w:ind w:right="5"/>
                  <w:jc w:val="right"/>
                  <w:rPr>
                    <w:szCs w:val="21"/>
                  </w:rPr>
                </w:pPr>
                <w:r w:rsidRPr="00A1419F">
                  <w:rPr>
                    <w:rFonts w:cs="Arial"/>
                  </w:rPr>
                  <w:t>34,406,184</w:t>
                </w:r>
              </w:p>
            </w:tc>
            <w:tc>
              <w:tcPr>
                <w:tcW w:w="770" w:type="pct"/>
                <w:vAlign w:val="center"/>
              </w:tcPr>
              <w:p w:rsidR="00417165" w:rsidRPr="00A1419F" w:rsidRDefault="00417165" w:rsidP="00B637B2">
                <w:pPr>
                  <w:ind w:right="5"/>
                  <w:jc w:val="right"/>
                  <w:rPr>
                    <w:szCs w:val="21"/>
                  </w:rPr>
                </w:pPr>
                <w:r w:rsidRPr="00A1419F">
                  <w:t>11,483,175</w:t>
                </w:r>
              </w:p>
            </w:tc>
            <w:tc>
              <w:tcPr>
                <w:tcW w:w="694" w:type="pct"/>
                <w:vAlign w:val="center"/>
              </w:tcPr>
              <w:p w:rsidR="00417165" w:rsidRPr="00A1419F" w:rsidRDefault="00417165" w:rsidP="00B637B2">
                <w:pPr>
                  <w:ind w:right="5"/>
                  <w:jc w:val="right"/>
                  <w:rPr>
                    <w:szCs w:val="21"/>
                  </w:rPr>
                </w:pPr>
                <w:r w:rsidRPr="00A1419F">
                  <w:rPr>
                    <w:rFonts w:cs="Arial"/>
                  </w:rPr>
                  <w:t>22,923,009</w:t>
                </w:r>
              </w:p>
            </w:tc>
            <w:tc>
              <w:tcPr>
                <w:tcW w:w="688" w:type="pct"/>
                <w:vAlign w:val="center"/>
              </w:tcPr>
              <w:p w:rsidR="00417165" w:rsidRPr="00A1419F" w:rsidRDefault="00417165" w:rsidP="00B637B2">
                <w:pPr>
                  <w:ind w:right="5"/>
                  <w:jc w:val="right"/>
                  <w:rPr>
                    <w:szCs w:val="21"/>
                  </w:rPr>
                </w:pPr>
                <w:r w:rsidRPr="00A1419F">
                  <w:rPr>
                    <w:rFonts w:cs="Arial"/>
                  </w:rPr>
                  <w:t>32,377,809</w:t>
                </w:r>
              </w:p>
            </w:tc>
            <w:tc>
              <w:tcPr>
                <w:tcW w:w="767" w:type="pct"/>
                <w:vAlign w:val="center"/>
              </w:tcPr>
              <w:p w:rsidR="00417165" w:rsidRPr="00A1419F" w:rsidRDefault="00417165" w:rsidP="00B637B2">
                <w:pPr>
                  <w:ind w:right="5"/>
                  <w:jc w:val="right"/>
                  <w:rPr>
                    <w:szCs w:val="21"/>
                  </w:rPr>
                </w:pPr>
                <w:r w:rsidRPr="00A1419F">
                  <w:rPr>
                    <w:rFonts w:cs="Arial"/>
                  </w:rPr>
                  <w:t>10,609,820</w:t>
                </w:r>
              </w:p>
            </w:tc>
            <w:tc>
              <w:tcPr>
                <w:tcW w:w="609" w:type="pct"/>
                <w:vAlign w:val="center"/>
              </w:tcPr>
              <w:p w:rsidR="00417165" w:rsidRPr="00A1419F" w:rsidRDefault="00417165" w:rsidP="00B637B2">
                <w:pPr>
                  <w:ind w:right="5"/>
                  <w:jc w:val="right"/>
                  <w:rPr>
                    <w:szCs w:val="21"/>
                  </w:rPr>
                </w:pPr>
                <w:r w:rsidRPr="00A1419F">
                  <w:t>21,767,989</w:t>
                </w:r>
              </w:p>
            </w:tc>
          </w:tr>
        </w:tbl>
        <w:p w:rsidR="00417165" w:rsidRDefault="00417165"/>
        <w:p w:rsidR="00ED2DC7" w:rsidRDefault="000D0A99">
          <w:pPr>
            <w:rPr>
              <w:szCs w:val="21"/>
            </w:rPr>
          </w:pPr>
        </w:p>
      </w:sdtContent>
    </w:sdt>
    <w:bookmarkEnd w:id="115" w:displacedByCustomXml="prev"/>
    <w:bookmarkStart w:id="116" w:name="_Hlk10470459" w:displacedByCustomXml="next"/>
    <w:sdt>
      <w:sdtPr>
        <w:rPr>
          <w:rFonts w:ascii="宋体" w:hAnsi="宋体" w:cs="宋体" w:hint="eastAsia"/>
          <w:b w:val="0"/>
          <w:bCs w:val="0"/>
          <w:kern w:val="0"/>
          <w:szCs w:val="24"/>
        </w:rPr>
        <w:alias w:val="模块:存货跌价准备"/>
        <w:tag w:val="_GBC_d00b46c41ac84794bd1f7b10e97923a0"/>
        <w:id w:val="127519825"/>
        <w:lock w:val="sdtLocked"/>
        <w:placeholder>
          <w:docPart w:val="GBC22222222222222222222222222222"/>
        </w:placeholder>
      </w:sdtPr>
      <w:sdtEndPr>
        <w:rPr>
          <w:rFonts w:ascii="Times New Roman" w:hAnsi="Times New Roman"/>
        </w:rPr>
      </w:sdtEndPr>
      <w:sdtContent>
        <w:p w:rsidR="00ED2DC7" w:rsidRDefault="00ED2DC7" w:rsidP="00036BDC">
          <w:pPr>
            <w:pStyle w:val="affffffffffffffffff2"/>
            <w:numPr>
              <w:ilvl w:val="0"/>
              <w:numId w:val="55"/>
            </w:numPr>
            <w:tabs>
              <w:tab w:val="left" w:pos="630"/>
            </w:tabs>
          </w:pPr>
          <w:r>
            <w:rPr>
              <w:rFonts w:hint="eastAsia"/>
            </w:rPr>
            <w:t>存货跌价准备及合同履约成本减值准备</w:t>
          </w:r>
        </w:p>
        <w:sdt>
          <w:sdtPr>
            <w:alias w:val="是否适用：存货跌价准备[双击切换]"/>
            <w:tag w:val="_GBC_b9bd4a0fa089468ebded8bb61a86fbae"/>
            <w:id w:val="1181003530"/>
            <w:lock w:val="sdtContentLocked"/>
            <w:placeholder>
              <w:docPart w:val="GBC22222222222222222222222222222"/>
            </w:placeholder>
          </w:sdtPr>
          <w:sdtContent>
            <w:p w:rsidR="00ED2DC7" w:rsidRDefault="00ED2DC7">
              <w:r>
                <w:fldChar w:fldCharType="begin"/>
              </w:r>
              <w:r w:rsidR="00E75F7C">
                <w:instrText xml:space="preserve"> MACROBUTTON  SnrToggleCheckbox √适用 </w:instrText>
              </w:r>
              <w:r>
                <w:fldChar w:fldCharType="end"/>
              </w:r>
              <w:r>
                <w:fldChar w:fldCharType="begin"/>
              </w:r>
              <w:r w:rsidR="00E75F7C">
                <w:instrText xml:space="preserve"> MACROBUTTON  SnrToggleCheckbox □不适用 </w:instrText>
              </w:r>
              <w:r>
                <w:fldChar w:fldCharType="end"/>
              </w:r>
            </w:p>
          </w:sdtContent>
        </w:sdt>
        <w:p w:rsidR="00ED2DC7" w:rsidRDefault="00ED2DC7">
          <w:pPr>
            <w:jc w:val="right"/>
            <w:rPr>
              <w:szCs w:val="21"/>
            </w:rPr>
          </w:pPr>
          <w:r>
            <w:rPr>
              <w:rFonts w:hint="eastAsia"/>
              <w:szCs w:val="21"/>
            </w:rPr>
            <w:t>单位：</w:t>
          </w:r>
          <w:sdt>
            <w:sdtPr>
              <w:rPr>
                <w:rFonts w:hint="eastAsia"/>
                <w:szCs w:val="21"/>
              </w:rPr>
              <w:alias w:val="单位：存货跌价准备"/>
              <w:tag w:val="_GBC_42225a9505da4f598594afea08f9738b"/>
              <w:id w:val="17243347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hint="eastAsia"/>
                  <w:szCs w:val="21"/>
                </w:rPr>
                <w:t>元</w:t>
              </w:r>
            </w:sdtContent>
          </w:sdt>
          <w:r>
            <w:rPr>
              <w:rFonts w:hint="eastAsia"/>
              <w:szCs w:val="21"/>
            </w:rPr>
            <w:t xml:space="preserve">  币种：</w:t>
          </w:r>
          <w:sdt>
            <w:sdtPr>
              <w:rPr>
                <w:rFonts w:hint="eastAsia"/>
                <w:szCs w:val="21"/>
              </w:rPr>
              <w:alias w:val="币种：存货跌价准备"/>
              <w:tag w:val="_GBC_4de434e29d00482b8b3175d1e7874ff2"/>
              <w:id w:val="-1254002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szCs w:val="21"/>
                </w:rPr>
                <w:t>人民币</w:t>
              </w:r>
            </w:sdtContent>
          </w:sdt>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56"/>
            <w:gridCol w:w="1271"/>
            <w:gridCol w:w="1256"/>
            <w:gridCol w:w="1256"/>
            <w:gridCol w:w="1256"/>
            <w:gridCol w:w="1257"/>
            <w:gridCol w:w="1271"/>
          </w:tblGrid>
          <w:tr w:rsidR="00ED2DC7" w:rsidTr="00ED2DC7">
            <w:trPr>
              <w:trHeight w:val="238"/>
            </w:trPr>
            <w:sdt>
              <w:sdtPr>
                <w:tag w:val="_PLD_08d27e088675483b81e6b09cfaf565b8"/>
                <w:id w:val="1007032084"/>
                <w:lock w:val="sdtLocked"/>
              </w:sdtPr>
              <w:sdtContent>
                <w:tc>
                  <w:tcPr>
                    <w:tcW w:w="713" w:type="pct"/>
                    <w:vMerge w:val="restart"/>
                    <w:tcBorders>
                      <w:top w:val="single" w:sz="4" w:space="0" w:color="auto"/>
                      <w:left w:val="single" w:sz="4" w:space="0" w:color="auto"/>
                      <w:bottom w:val="single" w:sz="4" w:space="0" w:color="auto"/>
                      <w:right w:val="single" w:sz="4" w:space="0" w:color="auto"/>
                    </w:tcBorders>
                    <w:vAlign w:val="center"/>
                  </w:tcPr>
                  <w:p w:rsidR="00ED2DC7" w:rsidRDefault="00ED2DC7">
                    <w:pPr>
                      <w:jc w:val="center"/>
                      <w:rPr>
                        <w:szCs w:val="21"/>
                      </w:rPr>
                    </w:pPr>
                    <w:r>
                      <w:rPr>
                        <w:rFonts w:hint="eastAsia"/>
                        <w:szCs w:val="21"/>
                      </w:rPr>
                      <w:t>项目</w:t>
                    </w:r>
                  </w:p>
                </w:tc>
              </w:sdtContent>
            </w:sdt>
            <w:sdt>
              <w:sdtPr>
                <w:tag w:val="_PLD_631ae60526c9437f842913d632c47f24"/>
                <w:id w:val="-1488781452"/>
                <w:lock w:val="sdtLocked"/>
              </w:sdtPr>
              <w:sdtContent>
                <w:tc>
                  <w:tcPr>
                    <w:tcW w:w="717" w:type="pct"/>
                    <w:vMerge w:val="restart"/>
                    <w:tcBorders>
                      <w:top w:val="single" w:sz="4" w:space="0" w:color="auto"/>
                      <w:left w:val="single" w:sz="4" w:space="0" w:color="auto"/>
                      <w:bottom w:val="single" w:sz="4" w:space="0" w:color="auto"/>
                      <w:right w:val="single" w:sz="4" w:space="0" w:color="auto"/>
                    </w:tcBorders>
                    <w:vAlign w:val="center"/>
                  </w:tcPr>
                  <w:p w:rsidR="00ED2DC7" w:rsidRDefault="00ED2DC7">
                    <w:pPr>
                      <w:jc w:val="center"/>
                      <w:rPr>
                        <w:szCs w:val="21"/>
                      </w:rPr>
                    </w:pPr>
                    <w:r>
                      <w:rPr>
                        <w:rFonts w:hint="eastAsia"/>
                        <w:szCs w:val="21"/>
                      </w:rPr>
                      <w:t>期初余额</w:t>
                    </w:r>
                  </w:p>
                </w:tc>
              </w:sdtContent>
            </w:sdt>
            <w:sdt>
              <w:sdtPr>
                <w:tag w:val="_PLD_bc39054479074b8ab34cb8519780a5f1"/>
                <w:id w:val="1809131376"/>
                <w:lock w:val="sdtLocked"/>
              </w:sdtPr>
              <w:sdtContent>
                <w:tc>
                  <w:tcPr>
                    <w:tcW w:w="1426" w:type="pct"/>
                    <w:gridSpan w:val="2"/>
                    <w:tcBorders>
                      <w:top w:val="single" w:sz="4" w:space="0" w:color="auto"/>
                      <w:left w:val="single" w:sz="4" w:space="0" w:color="auto"/>
                      <w:right w:val="single" w:sz="4" w:space="0" w:color="auto"/>
                    </w:tcBorders>
                    <w:vAlign w:val="center"/>
                  </w:tcPr>
                  <w:p w:rsidR="00ED2DC7" w:rsidRDefault="00ED2DC7">
                    <w:pPr>
                      <w:jc w:val="center"/>
                      <w:rPr>
                        <w:szCs w:val="21"/>
                      </w:rPr>
                    </w:pPr>
                    <w:r>
                      <w:rPr>
                        <w:rFonts w:hint="eastAsia"/>
                        <w:szCs w:val="21"/>
                      </w:rPr>
                      <w:t>本期增加金额</w:t>
                    </w:r>
                  </w:p>
                </w:tc>
              </w:sdtContent>
            </w:sdt>
            <w:sdt>
              <w:sdtPr>
                <w:tag w:val="_PLD_a4a235b43e524c0c98a604df05693747"/>
                <w:id w:val="905655287"/>
                <w:lock w:val="sdtLocked"/>
              </w:sdtPr>
              <w:sdtContent>
                <w:tc>
                  <w:tcPr>
                    <w:tcW w:w="1426" w:type="pct"/>
                    <w:gridSpan w:val="2"/>
                    <w:tcBorders>
                      <w:top w:val="single" w:sz="4" w:space="0" w:color="auto"/>
                      <w:left w:val="single" w:sz="4" w:space="0" w:color="auto"/>
                      <w:right w:val="single" w:sz="4" w:space="0" w:color="auto"/>
                    </w:tcBorders>
                    <w:vAlign w:val="center"/>
                  </w:tcPr>
                  <w:p w:rsidR="00ED2DC7" w:rsidRDefault="00ED2DC7">
                    <w:pPr>
                      <w:jc w:val="center"/>
                      <w:rPr>
                        <w:szCs w:val="21"/>
                      </w:rPr>
                    </w:pPr>
                    <w:r>
                      <w:rPr>
                        <w:rFonts w:hint="eastAsia"/>
                        <w:szCs w:val="21"/>
                      </w:rPr>
                      <w:t>本期减少金额</w:t>
                    </w:r>
                  </w:p>
                </w:tc>
              </w:sdtContent>
            </w:sdt>
            <w:sdt>
              <w:sdtPr>
                <w:tag w:val="_PLD_fcea706dd57f438c8205de888401e160"/>
                <w:id w:val="-597095718"/>
                <w:lock w:val="sdtLocked"/>
              </w:sdtPr>
              <w:sdtContent>
                <w:tc>
                  <w:tcPr>
                    <w:tcW w:w="717" w:type="pct"/>
                    <w:vMerge w:val="restart"/>
                    <w:tcBorders>
                      <w:top w:val="single" w:sz="4" w:space="0" w:color="auto"/>
                      <w:left w:val="single" w:sz="4" w:space="0" w:color="auto"/>
                      <w:bottom w:val="single" w:sz="4" w:space="0" w:color="auto"/>
                      <w:right w:val="single" w:sz="4" w:space="0" w:color="auto"/>
                    </w:tcBorders>
                    <w:vAlign w:val="center"/>
                  </w:tcPr>
                  <w:p w:rsidR="00ED2DC7" w:rsidRDefault="00ED2DC7">
                    <w:pPr>
                      <w:jc w:val="center"/>
                      <w:rPr>
                        <w:szCs w:val="21"/>
                      </w:rPr>
                    </w:pPr>
                    <w:r>
                      <w:rPr>
                        <w:rFonts w:hint="eastAsia"/>
                        <w:szCs w:val="21"/>
                      </w:rPr>
                      <w:t>期末余额</w:t>
                    </w:r>
                  </w:p>
                </w:tc>
              </w:sdtContent>
            </w:sdt>
          </w:tr>
          <w:tr w:rsidR="00ED2DC7" w:rsidTr="00ED2DC7">
            <w:trPr>
              <w:trHeight w:val="301"/>
            </w:trPr>
            <w:tc>
              <w:tcPr>
                <w:tcW w:w="713" w:type="pct"/>
                <w:vMerge/>
                <w:tcBorders>
                  <w:top w:val="single" w:sz="4" w:space="0" w:color="auto"/>
                  <w:left w:val="single" w:sz="4" w:space="0" w:color="auto"/>
                  <w:bottom w:val="single" w:sz="4" w:space="0" w:color="auto"/>
                  <w:right w:val="single" w:sz="4" w:space="0" w:color="auto"/>
                </w:tcBorders>
              </w:tcPr>
              <w:p w:rsidR="00ED2DC7" w:rsidRDefault="00ED2DC7">
                <w:pPr>
                  <w:jc w:val="center"/>
                  <w:rPr>
                    <w:szCs w:val="21"/>
                  </w:rPr>
                </w:pPr>
              </w:p>
            </w:tc>
            <w:tc>
              <w:tcPr>
                <w:tcW w:w="717" w:type="pct"/>
                <w:vMerge/>
                <w:tcBorders>
                  <w:top w:val="single" w:sz="4" w:space="0" w:color="auto"/>
                  <w:left w:val="single" w:sz="4" w:space="0" w:color="auto"/>
                  <w:bottom w:val="single" w:sz="4" w:space="0" w:color="auto"/>
                  <w:right w:val="single" w:sz="4" w:space="0" w:color="auto"/>
                </w:tcBorders>
              </w:tcPr>
              <w:p w:rsidR="00ED2DC7" w:rsidRDefault="00ED2DC7">
                <w:pPr>
                  <w:jc w:val="center"/>
                  <w:rPr>
                    <w:szCs w:val="21"/>
                  </w:rPr>
                </w:pPr>
              </w:p>
            </w:tc>
            <w:sdt>
              <w:sdtPr>
                <w:tag w:val="_PLD_9355443eafab4f4a862c075a55d7e279"/>
                <w:id w:val="-1486005368"/>
                <w:lock w:val="sdtLocked"/>
              </w:sdtPr>
              <w:sdtContent>
                <w:tc>
                  <w:tcPr>
                    <w:tcW w:w="713" w:type="pct"/>
                    <w:tcBorders>
                      <w:left w:val="single" w:sz="4" w:space="0" w:color="auto"/>
                      <w:bottom w:val="single" w:sz="4" w:space="0" w:color="auto"/>
                      <w:right w:val="single" w:sz="4" w:space="0" w:color="auto"/>
                    </w:tcBorders>
                    <w:vAlign w:val="center"/>
                  </w:tcPr>
                  <w:p w:rsidR="00ED2DC7" w:rsidRDefault="00ED2DC7">
                    <w:pPr>
                      <w:jc w:val="center"/>
                      <w:rPr>
                        <w:szCs w:val="21"/>
                      </w:rPr>
                    </w:pPr>
                    <w:r>
                      <w:rPr>
                        <w:rFonts w:hint="eastAsia"/>
                        <w:szCs w:val="21"/>
                      </w:rPr>
                      <w:t>计提</w:t>
                    </w:r>
                  </w:p>
                </w:tc>
              </w:sdtContent>
            </w:sdt>
            <w:sdt>
              <w:sdtPr>
                <w:tag w:val="_PLD_e67cdd42c79245c980edb6a9d839ecd0"/>
                <w:id w:val="-640427528"/>
                <w:lock w:val="sdtLocked"/>
              </w:sdtPr>
              <w:sdtContent>
                <w:tc>
                  <w:tcPr>
                    <w:tcW w:w="713" w:type="pct"/>
                    <w:tcBorders>
                      <w:left w:val="single" w:sz="4" w:space="0" w:color="auto"/>
                      <w:bottom w:val="single" w:sz="4" w:space="0" w:color="auto"/>
                      <w:right w:val="single" w:sz="4" w:space="0" w:color="auto"/>
                    </w:tcBorders>
                    <w:vAlign w:val="center"/>
                  </w:tcPr>
                  <w:p w:rsidR="00ED2DC7" w:rsidRDefault="00ED2DC7">
                    <w:pPr>
                      <w:jc w:val="center"/>
                      <w:rPr>
                        <w:szCs w:val="21"/>
                      </w:rPr>
                    </w:pPr>
                    <w:r>
                      <w:rPr>
                        <w:rFonts w:hint="eastAsia"/>
                        <w:szCs w:val="21"/>
                      </w:rPr>
                      <w:t>其他</w:t>
                    </w:r>
                  </w:p>
                </w:tc>
              </w:sdtContent>
            </w:sdt>
            <w:sdt>
              <w:sdtPr>
                <w:tag w:val="_PLD_d2a5b409858c40b5a77dea8d7f7c8500"/>
                <w:id w:val="1958207450"/>
                <w:lock w:val="sdtLocked"/>
              </w:sdtPr>
              <w:sdtContent>
                <w:tc>
                  <w:tcPr>
                    <w:tcW w:w="713" w:type="pct"/>
                    <w:tcBorders>
                      <w:top w:val="single" w:sz="4" w:space="0" w:color="auto"/>
                      <w:left w:val="single" w:sz="4" w:space="0" w:color="auto"/>
                      <w:bottom w:val="single" w:sz="4" w:space="0" w:color="auto"/>
                      <w:right w:val="single" w:sz="4" w:space="0" w:color="auto"/>
                    </w:tcBorders>
                    <w:vAlign w:val="center"/>
                  </w:tcPr>
                  <w:p w:rsidR="00ED2DC7" w:rsidRDefault="00ED2DC7">
                    <w:pPr>
                      <w:jc w:val="center"/>
                      <w:rPr>
                        <w:szCs w:val="21"/>
                      </w:rPr>
                    </w:pPr>
                    <w:r>
                      <w:rPr>
                        <w:rFonts w:hint="eastAsia"/>
                        <w:szCs w:val="21"/>
                      </w:rPr>
                      <w:t>转回或转销</w:t>
                    </w:r>
                  </w:p>
                </w:tc>
              </w:sdtContent>
            </w:sdt>
            <w:sdt>
              <w:sdtPr>
                <w:tag w:val="_PLD_a0a39eeb19a049d18a777b0dc41ab25e"/>
                <w:id w:val="616103441"/>
                <w:lock w:val="sdtLocked"/>
              </w:sdtPr>
              <w:sdtContent>
                <w:tc>
                  <w:tcPr>
                    <w:tcW w:w="713" w:type="pct"/>
                    <w:tcBorders>
                      <w:top w:val="single" w:sz="4" w:space="0" w:color="auto"/>
                      <w:left w:val="single" w:sz="4" w:space="0" w:color="auto"/>
                      <w:bottom w:val="single" w:sz="4" w:space="0" w:color="auto"/>
                      <w:right w:val="single" w:sz="4" w:space="0" w:color="auto"/>
                    </w:tcBorders>
                    <w:vAlign w:val="center"/>
                  </w:tcPr>
                  <w:p w:rsidR="00ED2DC7" w:rsidRDefault="00ED2DC7">
                    <w:pPr>
                      <w:jc w:val="center"/>
                      <w:rPr>
                        <w:szCs w:val="21"/>
                      </w:rPr>
                    </w:pPr>
                    <w:r>
                      <w:rPr>
                        <w:rFonts w:hint="eastAsia"/>
                        <w:szCs w:val="21"/>
                      </w:rPr>
                      <w:t>其他</w:t>
                    </w:r>
                  </w:p>
                </w:tc>
              </w:sdtContent>
            </w:sdt>
            <w:tc>
              <w:tcPr>
                <w:tcW w:w="717" w:type="pct"/>
                <w:vMerge/>
                <w:tcBorders>
                  <w:top w:val="single" w:sz="4" w:space="0" w:color="auto"/>
                  <w:left w:val="single" w:sz="4" w:space="0" w:color="auto"/>
                  <w:bottom w:val="single" w:sz="4" w:space="0" w:color="auto"/>
                  <w:right w:val="single" w:sz="4" w:space="0" w:color="auto"/>
                </w:tcBorders>
                <w:vAlign w:val="center"/>
              </w:tcPr>
              <w:p w:rsidR="00ED2DC7" w:rsidRDefault="00ED2DC7">
                <w:pPr>
                  <w:jc w:val="center"/>
                  <w:rPr>
                    <w:szCs w:val="21"/>
                  </w:rPr>
                </w:pPr>
              </w:p>
            </w:tc>
          </w:tr>
          <w:tr w:rsidR="00ED2DC7" w:rsidTr="00ED2DC7">
            <w:trPr>
              <w:trHeight w:val="20"/>
            </w:trPr>
            <w:sdt>
              <w:sdtPr>
                <w:tag w:val="_PLD_2d5756cc0cf342bb9a74d89236e6d498"/>
                <w:id w:val="1343518337"/>
                <w:lock w:val="sdtLocked"/>
              </w:sdtPr>
              <w:sdtContent>
                <w:tc>
                  <w:tcPr>
                    <w:tcW w:w="713" w:type="pct"/>
                    <w:tcBorders>
                      <w:top w:val="single" w:sz="4" w:space="0" w:color="auto"/>
                      <w:left w:val="single" w:sz="4" w:space="0" w:color="auto"/>
                      <w:bottom w:val="single" w:sz="4" w:space="0" w:color="auto"/>
                      <w:right w:val="single" w:sz="4" w:space="0" w:color="auto"/>
                    </w:tcBorders>
                  </w:tcPr>
                  <w:p w:rsidR="00ED2DC7" w:rsidRDefault="00ED2DC7">
                    <w:pPr>
                      <w:rPr>
                        <w:szCs w:val="21"/>
                      </w:rPr>
                    </w:pPr>
                    <w:r>
                      <w:rPr>
                        <w:rFonts w:hint="eastAsia"/>
                        <w:szCs w:val="21"/>
                      </w:rPr>
                      <w:t>库存商品</w:t>
                    </w:r>
                  </w:p>
                </w:tc>
              </w:sdtContent>
            </w:sdt>
            <w:tc>
              <w:tcPr>
                <w:tcW w:w="717" w:type="pct"/>
                <w:tcBorders>
                  <w:top w:val="single" w:sz="4" w:space="0" w:color="auto"/>
                  <w:left w:val="single" w:sz="4" w:space="0" w:color="auto"/>
                  <w:bottom w:val="single" w:sz="4" w:space="0" w:color="auto"/>
                  <w:right w:val="single" w:sz="4" w:space="0" w:color="auto"/>
                </w:tcBorders>
              </w:tcPr>
              <w:p w:rsidR="00ED2DC7" w:rsidRDefault="009B55E2">
                <w:pPr>
                  <w:ind w:right="5"/>
                  <w:jc w:val="right"/>
                  <w:rPr>
                    <w:szCs w:val="21"/>
                  </w:rPr>
                </w:pPr>
                <w:r w:rsidRPr="009B55E2">
                  <w:rPr>
                    <w:szCs w:val="21"/>
                  </w:rPr>
                  <w:t>10,609,820</w:t>
                </w:r>
                <w:r w:rsidRPr="009B55E2">
                  <w:rPr>
                    <w:szCs w:val="21"/>
                  </w:rPr>
                  <w:tab/>
                </w:r>
              </w:p>
            </w:tc>
            <w:tc>
              <w:tcPr>
                <w:tcW w:w="713" w:type="pct"/>
                <w:tcBorders>
                  <w:top w:val="single" w:sz="4" w:space="0" w:color="auto"/>
                  <w:left w:val="single" w:sz="4" w:space="0" w:color="auto"/>
                  <w:bottom w:val="single" w:sz="4" w:space="0" w:color="auto"/>
                  <w:right w:val="single" w:sz="4" w:space="0" w:color="auto"/>
                </w:tcBorders>
              </w:tcPr>
              <w:p w:rsidR="00ED2DC7" w:rsidRDefault="009B55E2">
                <w:pPr>
                  <w:jc w:val="right"/>
                  <w:rPr>
                    <w:szCs w:val="21"/>
                  </w:rPr>
                </w:pPr>
                <w:r w:rsidRPr="009B55E2">
                  <w:rPr>
                    <w:szCs w:val="21"/>
                  </w:rPr>
                  <w:t>873,355</w:t>
                </w:r>
              </w:p>
            </w:tc>
            <w:tc>
              <w:tcPr>
                <w:tcW w:w="713" w:type="pct"/>
                <w:tcBorders>
                  <w:top w:val="single" w:sz="4" w:space="0" w:color="auto"/>
                  <w:left w:val="single" w:sz="4" w:space="0" w:color="auto"/>
                  <w:bottom w:val="single" w:sz="4" w:space="0" w:color="auto"/>
                  <w:right w:val="single" w:sz="4" w:space="0" w:color="auto"/>
                </w:tcBorders>
              </w:tcPr>
              <w:p w:rsidR="00ED2DC7" w:rsidRDefault="00ED2DC7">
                <w:pPr>
                  <w:jc w:val="right"/>
                  <w:rPr>
                    <w:szCs w:val="21"/>
                  </w:rPr>
                </w:pPr>
              </w:p>
            </w:tc>
            <w:tc>
              <w:tcPr>
                <w:tcW w:w="713" w:type="pct"/>
                <w:tcBorders>
                  <w:top w:val="single" w:sz="4" w:space="0" w:color="auto"/>
                  <w:left w:val="single" w:sz="4" w:space="0" w:color="auto"/>
                  <w:bottom w:val="single" w:sz="4" w:space="0" w:color="auto"/>
                  <w:right w:val="single" w:sz="4" w:space="0" w:color="auto"/>
                </w:tcBorders>
              </w:tcPr>
              <w:p w:rsidR="00ED2DC7" w:rsidRDefault="00ED2DC7">
                <w:pPr>
                  <w:jc w:val="right"/>
                  <w:rPr>
                    <w:szCs w:val="21"/>
                  </w:rPr>
                </w:pPr>
              </w:p>
            </w:tc>
            <w:tc>
              <w:tcPr>
                <w:tcW w:w="713" w:type="pct"/>
                <w:tcBorders>
                  <w:left w:val="single" w:sz="4" w:space="0" w:color="auto"/>
                  <w:right w:val="single" w:sz="4" w:space="0" w:color="auto"/>
                </w:tcBorders>
              </w:tcPr>
              <w:p w:rsidR="00ED2DC7" w:rsidRDefault="00ED2DC7">
                <w:pPr>
                  <w:jc w:val="right"/>
                  <w:rPr>
                    <w:szCs w:val="21"/>
                  </w:rPr>
                </w:pPr>
              </w:p>
            </w:tc>
            <w:tc>
              <w:tcPr>
                <w:tcW w:w="717" w:type="pct"/>
                <w:tcBorders>
                  <w:top w:val="single" w:sz="4" w:space="0" w:color="auto"/>
                  <w:left w:val="single" w:sz="4" w:space="0" w:color="auto"/>
                  <w:bottom w:val="single" w:sz="4" w:space="0" w:color="auto"/>
                  <w:right w:val="single" w:sz="4" w:space="0" w:color="auto"/>
                </w:tcBorders>
              </w:tcPr>
              <w:p w:rsidR="00ED2DC7" w:rsidRDefault="009B55E2">
                <w:pPr>
                  <w:ind w:right="5"/>
                  <w:jc w:val="right"/>
                  <w:rPr>
                    <w:szCs w:val="21"/>
                  </w:rPr>
                </w:pPr>
                <w:r w:rsidRPr="009B55E2">
                  <w:rPr>
                    <w:szCs w:val="21"/>
                  </w:rPr>
                  <w:t>11,483,175</w:t>
                </w:r>
                <w:r w:rsidRPr="009B55E2">
                  <w:rPr>
                    <w:szCs w:val="21"/>
                  </w:rPr>
                  <w:tab/>
                </w:r>
              </w:p>
            </w:tc>
          </w:tr>
          <w:tr w:rsidR="00ED2DC7" w:rsidTr="00ED2DC7">
            <w:trPr>
              <w:trHeight w:val="20"/>
            </w:trPr>
            <w:sdt>
              <w:sdtPr>
                <w:tag w:val="_PLD_cb1768e916f04c1d8cc6e1efb4624f54"/>
                <w:id w:val="-2053685091"/>
                <w:lock w:val="sdtLocked"/>
              </w:sdtPr>
              <w:sdtContent>
                <w:tc>
                  <w:tcPr>
                    <w:tcW w:w="713" w:type="pct"/>
                    <w:tcBorders>
                      <w:top w:val="single" w:sz="4" w:space="0" w:color="auto"/>
                      <w:left w:val="single" w:sz="4" w:space="0" w:color="auto"/>
                      <w:bottom w:val="single" w:sz="4" w:space="0" w:color="auto"/>
                      <w:right w:val="single" w:sz="4" w:space="0" w:color="auto"/>
                    </w:tcBorders>
                  </w:tcPr>
                  <w:p w:rsidR="00ED2DC7" w:rsidRDefault="00ED2DC7">
                    <w:pPr>
                      <w:jc w:val="center"/>
                      <w:rPr>
                        <w:szCs w:val="21"/>
                      </w:rPr>
                    </w:pPr>
                    <w:r>
                      <w:rPr>
                        <w:rFonts w:hint="eastAsia"/>
                        <w:szCs w:val="21"/>
                      </w:rPr>
                      <w:t>合计</w:t>
                    </w:r>
                  </w:p>
                </w:tc>
              </w:sdtContent>
            </w:sdt>
            <w:tc>
              <w:tcPr>
                <w:tcW w:w="717" w:type="pct"/>
                <w:tcBorders>
                  <w:top w:val="single" w:sz="4" w:space="0" w:color="auto"/>
                  <w:left w:val="single" w:sz="4" w:space="0" w:color="auto"/>
                  <w:bottom w:val="single" w:sz="4" w:space="0" w:color="auto"/>
                  <w:right w:val="single" w:sz="4" w:space="0" w:color="auto"/>
                </w:tcBorders>
              </w:tcPr>
              <w:p w:rsidR="00ED2DC7" w:rsidRDefault="009B55E2">
                <w:pPr>
                  <w:ind w:right="5"/>
                  <w:jc w:val="right"/>
                  <w:rPr>
                    <w:szCs w:val="21"/>
                  </w:rPr>
                </w:pPr>
                <w:r w:rsidRPr="009B55E2">
                  <w:rPr>
                    <w:szCs w:val="21"/>
                  </w:rPr>
                  <w:t>10,609,820</w:t>
                </w:r>
                <w:r w:rsidRPr="009B55E2">
                  <w:rPr>
                    <w:szCs w:val="21"/>
                  </w:rPr>
                  <w:tab/>
                </w:r>
              </w:p>
            </w:tc>
            <w:tc>
              <w:tcPr>
                <w:tcW w:w="713" w:type="pct"/>
                <w:tcBorders>
                  <w:top w:val="single" w:sz="4" w:space="0" w:color="auto"/>
                  <w:left w:val="single" w:sz="4" w:space="0" w:color="auto"/>
                  <w:bottom w:val="single" w:sz="4" w:space="0" w:color="auto"/>
                  <w:right w:val="single" w:sz="4" w:space="0" w:color="auto"/>
                </w:tcBorders>
              </w:tcPr>
              <w:p w:rsidR="00ED2DC7" w:rsidRDefault="009B55E2">
                <w:pPr>
                  <w:jc w:val="right"/>
                  <w:rPr>
                    <w:szCs w:val="21"/>
                  </w:rPr>
                </w:pPr>
                <w:r w:rsidRPr="009B55E2">
                  <w:rPr>
                    <w:szCs w:val="21"/>
                  </w:rPr>
                  <w:t>873,355</w:t>
                </w:r>
              </w:p>
            </w:tc>
            <w:tc>
              <w:tcPr>
                <w:tcW w:w="713" w:type="pct"/>
                <w:tcBorders>
                  <w:top w:val="single" w:sz="4" w:space="0" w:color="auto"/>
                  <w:left w:val="single" w:sz="4" w:space="0" w:color="auto"/>
                  <w:bottom w:val="single" w:sz="4" w:space="0" w:color="auto"/>
                  <w:right w:val="single" w:sz="4" w:space="0" w:color="auto"/>
                </w:tcBorders>
              </w:tcPr>
              <w:p w:rsidR="00ED2DC7" w:rsidRDefault="00ED2DC7">
                <w:pPr>
                  <w:jc w:val="right"/>
                  <w:rPr>
                    <w:szCs w:val="21"/>
                  </w:rPr>
                </w:pPr>
              </w:p>
            </w:tc>
            <w:tc>
              <w:tcPr>
                <w:tcW w:w="713" w:type="pct"/>
                <w:tcBorders>
                  <w:top w:val="single" w:sz="4" w:space="0" w:color="auto"/>
                  <w:left w:val="single" w:sz="4" w:space="0" w:color="auto"/>
                  <w:bottom w:val="single" w:sz="4" w:space="0" w:color="auto"/>
                  <w:right w:val="single" w:sz="4" w:space="0" w:color="auto"/>
                </w:tcBorders>
              </w:tcPr>
              <w:p w:rsidR="00ED2DC7" w:rsidRDefault="00ED2DC7">
                <w:pPr>
                  <w:jc w:val="right"/>
                  <w:rPr>
                    <w:szCs w:val="21"/>
                  </w:rPr>
                </w:pPr>
              </w:p>
            </w:tc>
            <w:tc>
              <w:tcPr>
                <w:tcW w:w="713" w:type="pct"/>
                <w:tcBorders>
                  <w:left w:val="single" w:sz="4" w:space="0" w:color="auto"/>
                  <w:bottom w:val="single" w:sz="4" w:space="0" w:color="auto"/>
                  <w:right w:val="single" w:sz="4" w:space="0" w:color="auto"/>
                </w:tcBorders>
              </w:tcPr>
              <w:p w:rsidR="00ED2DC7" w:rsidRDefault="00ED2DC7">
                <w:pPr>
                  <w:jc w:val="right"/>
                  <w:rPr>
                    <w:szCs w:val="21"/>
                  </w:rPr>
                </w:pPr>
              </w:p>
            </w:tc>
            <w:tc>
              <w:tcPr>
                <w:tcW w:w="717" w:type="pct"/>
                <w:tcBorders>
                  <w:top w:val="single" w:sz="4" w:space="0" w:color="auto"/>
                  <w:left w:val="single" w:sz="4" w:space="0" w:color="auto"/>
                  <w:bottom w:val="single" w:sz="4" w:space="0" w:color="auto"/>
                  <w:right w:val="single" w:sz="4" w:space="0" w:color="auto"/>
                </w:tcBorders>
              </w:tcPr>
              <w:p w:rsidR="00ED2DC7" w:rsidRDefault="009B55E2">
                <w:pPr>
                  <w:ind w:right="5"/>
                  <w:jc w:val="right"/>
                  <w:rPr>
                    <w:szCs w:val="21"/>
                  </w:rPr>
                </w:pPr>
                <w:r w:rsidRPr="009B55E2">
                  <w:rPr>
                    <w:szCs w:val="21"/>
                  </w:rPr>
                  <w:t>11,483,175</w:t>
                </w:r>
                <w:r w:rsidRPr="009B55E2">
                  <w:rPr>
                    <w:szCs w:val="21"/>
                  </w:rPr>
                  <w:tab/>
                </w:r>
              </w:p>
            </w:tc>
          </w:tr>
        </w:tbl>
        <w:p w:rsidR="00ED2DC7" w:rsidRDefault="000D0A99"/>
      </w:sdtContent>
    </w:sdt>
    <w:bookmarkEnd w:id="116" w:displacedByCustomXml="prev"/>
    <w:sdt>
      <w:sdtPr>
        <w:rPr>
          <w:rFonts w:ascii="宋体" w:hAnsi="宋体" w:cs="宋体" w:hint="eastAsia"/>
          <w:b w:val="0"/>
          <w:bCs w:val="0"/>
          <w:kern w:val="0"/>
          <w:szCs w:val="24"/>
        </w:rPr>
        <w:alias w:val="模块:存货期末余额含有借款费用资本化金额的说明："/>
        <w:tag w:val="_GBC_dc559aaf0bf0428386e2f7f2cdeb43ec"/>
        <w:id w:val="-1098244524"/>
        <w:lock w:val="sdtLocked"/>
        <w:placeholder>
          <w:docPart w:val="GBC22222222222222222222222222222"/>
        </w:placeholder>
      </w:sdtPr>
      <w:sdtEndPr>
        <w:rPr>
          <w:rFonts w:ascii="Times New Roman" w:hAnsi="Times New Roman"/>
        </w:rPr>
      </w:sdtEndPr>
      <w:sdtContent>
        <w:p w:rsidR="00ED2DC7" w:rsidRDefault="00ED2DC7" w:rsidP="00036BDC">
          <w:pPr>
            <w:pStyle w:val="affffffffffffffffff2"/>
            <w:numPr>
              <w:ilvl w:val="0"/>
              <w:numId w:val="55"/>
            </w:numPr>
            <w:tabs>
              <w:tab w:val="left" w:pos="630"/>
            </w:tabs>
          </w:pPr>
          <w:r>
            <w:rPr>
              <w:rFonts w:hint="eastAsia"/>
            </w:rPr>
            <w:t>存货期末余额含有借款费用资本化金额的说明</w:t>
          </w:r>
        </w:p>
        <w:sdt>
          <w:sdtPr>
            <w:rPr>
              <w:rFonts w:hint="eastAsia"/>
            </w:rPr>
            <w:alias w:val="是否适用：存货期末余额含有借款费用资本化金额的说明[双击切换]"/>
            <w:tag w:val="_GBC_c4216db560c643b38b29d44401d464c9"/>
            <w:id w:val="-1404833611"/>
            <w:lock w:val="sdtContentLocked"/>
            <w:placeholder>
              <w:docPart w:val="GBC22222222222222222222222222222"/>
            </w:placeholder>
          </w:sdtPr>
          <w:sdtContent>
            <w:p w:rsidR="00ED2DC7" w:rsidRDefault="00ED2DC7" w:rsidP="00E75F7C">
              <w:r>
                <w:fldChar w:fldCharType="begin"/>
              </w:r>
              <w:r w:rsidR="00E75F7C">
                <w:instrText xml:space="preserve"> MACROBUTTON  SnrToggleCheckbox □适用 </w:instrText>
              </w:r>
              <w:r>
                <w:fldChar w:fldCharType="end"/>
              </w:r>
              <w:r>
                <w:fldChar w:fldCharType="begin"/>
              </w:r>
              <w:r w:rsidR="00E75F7C">
                <w:instrText xml:space="preserve"> MACROBUTTON  SnrToggleCheckbox √不适用 </w:instrText>
              </w:r>
              <w:r>
                <w:fldChar w:fldCharType="end"/>
              </w:r>
            </w:p>
          </w:sdtContent>
        </w:sdt>
      </w:sdtContent>
    </w:sdt>
    <w:p w:rsidR="00ED2DC7" w:rsidRDefault="00ED2DC7"/>
    <w:bookmarkStart w:id="117" w:name="_Hlk10470641" w:displacedByCustomXml="next"/>
    <w:sdt>
      <w:sdtPr>
        <w:rPr>
          <w:rFonts w:ascii="宋体" w:hAnsi="宋体" w:cs="宋体" w:hint="eastAsia"/>
          <w:b w:val="0"/>
          <w:bCs w:val="0"/>
          <w:kern w:val="0"/>
          <w:szCs w:val="24"/>
        </w:rPr>
        <w:alias w:val="模块:合同履约成本本期摊销金额的说明"/>
        <w:tag w:val="_SEC_8c46917973d94083a642ad0ca746d3cd"/>
        <w:id w:val="-272866126"/>
        <w:lock w:val="sdtLocked"/>
        <w:placeholder>
          <w:docPart w:val="GBC22222222222222222222222222222"/>
        </w:placeholder>
      </w:sdtPr>
      <w:sdtEndPr>
        <w:rPr>
          <w:rFonts w:hint="default"/>
        </w:rPr>
      </w:sdtEndPr>
      <w:sdtContent>
        <w:p w:rsidR="00ED2DC7" w:rsidRDefault="00ED2DC7" w:rsidP="00036BDC">
          <w:pPr>
            <w:pStyle w:val="affffffffffffffffff2"/>
            <w:numPr>
              <w:ilvl w:val="0"/>
              <w:numId w:val="55"/>
            </w:numPr>
            <w:tabs>
              <w:tab w:val="left" w:pos="630"/>
            </w:tabs>
          </w:pPr>
          <w:r>
            <w:rPr>
              <w:rFonts w:hint="eastAsia"/>
            </w:rPr>
            <w:t>合同履约成本本期摊销金额的说明</w:t>
          </w:r>
        </w:p>
        <w:sdt>
          <w:sdtPr>
            <w:alias w:val="是否适用：合同履约成本本期摊销金额的说明[双击切换]"/>
            <w:tag w:val="_GBC_cd3513a7790e48d4a2a156e8ad6a629a"/>
            <w:id w:val="-838846702"/>
            <w:lock w:val="sdtContentLocked"/>
            <w:placeholder>
              <w:docPart w:val="GBC22222222222222222222222222222"/>
            </w:placeholder>
          </w:sdtPr>
          <w:sdtContent>
            <w:p w:rsidR="00ED2DC7" w:rsidRDefault="00ED2DC7" w:rsidP="00E75F7C">
              <w:r>
                <w:fldChar w:fldCharType="begin"/>
              </w:r>
              <w:r w:rsidR="00E75F7C">
                <w:instrText xml:space="preserve"> MACROBUTTON  SnrToggleCheckbox □适用 </w:instrText>
              </w:r>
              <w:r>
                <w:fldChar w:fldCharType="end"/>
              </w:r>
              <w:r>
                <w:fldChar w:fldCharType="begin"/>
              </w:r>
              <w:r w:rsidR="00E75F7C">
                <w:instrText xml:space="preserve"> MACROBUTTON  SnrToggleCheckbox √不适用 </w:instrText>
              </w:r>
              <w:r>
                <w:fldChar w:fldCharType="end"/>
              </w:r>
            </w:p>
          </w:sdtContent>
        </w:sdt>
      </w:sdtContent>
    </w:sdt>
    <w:bookmarkEnd w:id="117" w:displacedByCustomXml="prev"/>
    <w:p w:rsidR="00ED2DC7" w:rsidRDefault="00ED2DC7"/>
    <w:bookmarkStart w:id="118" w:name="_Hlk14096551" w:displacedByCustomXml="next"/>
    <w:bookmarkStart w:id="119" w:name="_Hlk14096563" w:displacedByCustomXml="next"/>
    <w:sdt>
      <w:sdtPr>
        <w:rPr>
          <w:rFonts w:hint="eastAsia"/>
        </w:rPr>
        <w:alias w:val="模块:其他说明："/>
        <w:tag w:val="_SEC_e0565a666e5441cdb6c7dea797a5a4b8"/>
        <w:id w:val="1842654421"/>
        <w:lock w:val="sdtLocked"/>
        <w:placeholder>
          <w:docPart w:val="GBC22222222222222222222222222222"/>
        </w:placeholder>
      </w:sdtPr>
      <w:sdtEndPr>
        <w:rPr>
          <w:rFonts w:hint="default"/>
        </w:rPr>
      </w:sdtEndPr>
      <w:sdtContent>
        <w:p w:rsidR="00ED2DC7" w:rsidRDefault="00ED2DC7">
          <w:r>
            <w:rPr>
              <w:rFonts w:hint="eastAsia"/>
            </w:rPr>
            <w:t>其他说明：</w:t>
          </w:r>
          <w:bookmarkEnd w:id="118"/>
        </w:p>
        <w:sdt>
          <w:sdtPr>
            <w:alias w:val="是否适用：建造合同形成的已完工未结算资产的其他说明[双击切换]"/>
            <w:tag w:val="_GBC_526437836aa54ee7a74be7bf98aabe85"/>
            <w:id w:val="1669364910"/>
            <w:lock w:val="sdtContentLocked"/>
            <w:placeholder>
              <w:docPart w:val="GBC22222222222222222222222222222"/>
            </w:placeholder>
          </w:sdtPr>
          <w:sdtContent>
            <w:p w:rsidR="00ED2DC7" w:rsidRDefault="00ED2DC7" w:rsidP="00E75F7C">
              <w:r>
                <w:fldChar w:fldCharType="begin"/>
              </w:r>
              <w:r w:rsidR="00E75F7C">
                <w:instrText xml:space="preserve"> MACROBUTTON  SnrToggleCheckbox □适用 </w:instrText>
              </w:r>
              <w:r>
                <w:fldChar w:fldCharType="end"/>
              </w:r>
              <w:r>
                <w:fldChar w:fldCharType="begin"/>
              </w:r>
              <w:r w:rsidR="00E75F7C">
                <w:instrText xml:space="preserve"> MACROBUTTON  SnrToggleCheckbox √不适用 </w:instrText>
              </w:r>
              <w:r>
                <w:fldChar w:fldCharType="end"/>
              </w:r>
            </w:p>
          </w:sdtContent>
        </w:sdt>
        <w:p w:rsidR="00ED2DC7" w:rsidRDefault="000D0A99"/>
      </w:sdtContent>
    </w:sdt>
    <w:bookmarkEnd w:id="119" w:displacedByCustomXml="prev"/>
    <w:bookmarkStart w:id="120" w:name="_Hlk10470760" w:displacedByCustomXml="next"/>
    <w:sdt>
      <w:sdtPr>
        <w:rPr>
          <w:rFonts w:ascii="宋体" w:hAnsi="宋体" w:cs="宋体" w:hint="eastAsia"/>
          <w:b w:val="0"/>
          <w:bCs w:val="0"/>
          <w:kern w:val="0"/>
          <w:szCs w:val="24"/>
        </w:rPr>
        <w:alias w:val="模块:合同资产"/>
        <w:tag w:val="_SEC_9eb3b6c88c0a41f7a3f6a2f43946f06c"/>
        <w:id w:val="-721903997"/>
        <w:lock w:val="sdtLocked"/>
        <w:placeholder>
          <w:docPart w:val="GBC22222222222222222222222222222"/>
        </w:placeholder>
      </w:sdtPr>
      <w:sdtContent>
        <w:p w:rsidR="00ED2DC7" w:rsidRDefault="00ED2DC7" w:rsidP="00036BDC">
          <w:pPr>
            <w:pStyle w:val="affffffffffffffffff1"/>
            <w:numPr>
              <w:ilvl w:val="0"/>
              <w:numId w:val="49"/>
            </w:numPr>
            <w:tabs>
              <w:tab w:val="left" w:pos="504"/>
            </w:tabs>
          </w:pPr>
          <w:r>
            <w:rPr>
              <w:rFonts w:hint="eastAsia"/>
            </w:rPr>
            <w:t>合同资产</w:t>
          </w:r>
        </w:p>
        <w:p w:rsidR="00ED2DC7" w:rsidRDefault="00ED2DC7" w:rsidP="00036BDC">
          <w:pPr>
            <w:pStyle w:val="affffffffffffffffff2"/>
            <w:numPr>
              <w:ilvl w:val="3"/>
              <w:numId w:val="56"/>
            </w:numPr>
            <w:ind w:left="426" w:hanging="426"/>
          </w:pPr>
          <w:r>
            <w:rPr>
              <w:rFonts w:hint="eastAsia"/>
            </w:rPr>
            <w:t>合同资产情况</w:t>
          </w:r>
        </w:p>
        <w:sdt>
          <w:sdtPr>
            <w:alias w:val="是否适用：合同资产情况[双击切换]"/>
            <w:tag w:val="_GBC_d77156d135184e21a21238cac863494c"/>
            <w:id w:val="-837457902"/>
            <w:lock w:val="sdtContentLocked"/>
            <w:placeholder>
              <w:docPart w:val="GBC22222222222222222222222222222"/>
            </w:placeholder>
          </w:sdtPr>
          <w:sdtContent>
            <w:p w:rsidR="00ED2DC7" w:rsidRDefault="00ED2DC7" w:rsidP="00EF53CE">
              <w:r>
                <w:fldChar w:fldCharType="begin"/>
              </w:r>
              <w:r w:rsidR="00EF53CE">
                <w:instrText xml:space="preserve"> MACROBUTTON  SnrToggleCheckbox □适用 </w:instrText>
              </w:r>
              <w:r>
                <w:fldChar w:fldCharType="end"/>
              </w:r>
              <w:r>
                <w:fldChar w:fldCharType="begin"/>
              </w:r>
              <w:r w:rsidR="00EF53CE">
                <w:instrText xml:space="preserve"> MACROBUTTON  SnrToggleCheckbox √不适用 </w:instrText>
              </w:r>
              <w:r>
                <w:fldChar w:fldCharType="end"/>
              </w:r>
            </w:p>
          </w:sdtContent>
        </w:sdt>
      </w:sdtContent>
    </w:sdt>
    <w:bookmarkEnd w:id="120" w:displacedByCustomXml="prev"/>
    <w:bookmarkStart w:id="121" w:name="_Hlk10470932" w:displacedByCustomXml="next"/>
    <w:bookmarkStart w:id="122" w:name="_Hlk10470942" w:displacedByCustomXml="next"/>
    <w:sdt>
      <w:sdtPr>
        <w:rPr>
          <w:rFonts w:ascii="宋体" w:hAnsi="宋体" w:cs="宋体" w:hint="eastAsia"/>
          <w:b w:val="0"/>
          <w:bCs w:val="0"/>
          <w:kern w:val="0"/>
          <w:szCs w:val="24"/>
        </w:rPr>
        <w:alias w:val="模块:报告期内账面价值发生重大变动的金额和原因"/>
        <w:tag w:val="_SEC_e8c350da8e69479e93eb03226371923c"/>
        <w:id w:val="-126395681"/>
        <w:lock w:val="sdtLocked"/>
        <w:placeholder>
          <w:docPart w:val="GBC22222222222222222222222222222"/>
        </w:placeholder>
      </w:sdtPr>
      <w:sdtEndPr>
        <w:rPr>
          <w:rFonts w:hint="default"/>
        </w:rPr>
      </w:sdtEndPr>
      <w:sdtContent>
        <w:p w:rsidR="00ED2DC7" w:rsidRDefault="00ED2DC7" w:rsidP="00036BDC">
          <w:pPr>
            <w:pStyle w:val="affffffffffffffffff2"/>
            <w:numPr>
              <w:ilvl w:val="3"/>
              <w:numId w:val="56"/>
            </w:numPr>
            <w:ind w:left="426" w:hanging="426"/>
          </w:pPr>
          <w:r>
            <w:rPr>
              <w:rFonts w:hint="eastAsia"/>
            </w:rPr>
            <w:t>报告期内账面价值发生重大变动的金额和原因</w:t>
          </w:r>
          <w:bookmarkEnd w:id="121"/>
        </w:p>
        <w:sdt>
          <w:sdtPr>
            <w:rPr>
              <w:szCs w:val="21"/>
            </w:rPr>
            <w:alias w:val="是否适用：合同资产账面价值发生重大变动[双击切换]"/>
            <w:tag w:val="_GBC_4cdeacc1c4f24682b8d7fe35b510e9c1"/>
            <w:id w:val="1900936646"/>
            <w:lock w:val="sdtContentLocked"/>
            <w:placeholder>
              <w:docPart w:val="GBC22222222222222222222222222222"/>
            </w:placeholder>
          </w:sdtPr>
          <w:sdtContent>
            <w:p w:rsidR="00ED2DC7" w:rsidRDefault="00ED2DC7" w:rsidP="009B55E2">
              <w:r>
                <w:rPr>
                  <w:szCs w:val="21"/>
                </w:rPr>
                <w:fldChar w:fldCharType="begin"/>
              </w:r>
              <w:r w:rsidR="009B55E2">
                <w:rPr>
                  <w:szCs w:val="21"/>
                </w:rPr>
                <w:instrText xml:space="preserve"> MACROBUTTON  SnrToggleCheckbox □适用 </w:instrText>
              </w:r>
              <w:r>
                <w:rPr>
                  <w:szCs w:val="21"/>
                </w:rPr>
                <w:fldChar w:fldCharType="end"/>
              </w:r>
              <w:r>
                <w:rPr>
                  <w:szCs w:val="21"/>
                </w:rPr>
                <w:fldChar w:fldCharType="begin"/>
              </w:r>
              <w:r w:rsidR="009B55E2">
                <w:rPr>
                  <w:szCs w:val="21"/>
                </w:rPr>
                <w:instrText xml:space="preserve"> MACROBUTTON  SnrToggleCheckbox √不适用 </w:instrText>
              </w:r>
              <w:r>
                <w:rPr>
                  <w:szCs w:val="21"/>
                </w:rPr>
                <w:fldChar w:fldCharType="end"/>
              </w:r>
            </w:p>
          </w:sdtContent>
        </w:sdt>
      </w:sdtContent>
    </w:sdt>
    <w:bookmarkEnd w:id="122" w:displacedByCustomXml="prev"/>
    <w:bookmarkStart w:id="123" w:name="_Hlk10470956" w:displacedByCustomXml="next"/>
    <w:bookmarkStart w:id="124" w:name="_Hlk10470966" w:displacedByCustomXml="next"/>
    <w:sdt>
      <w:sdtPr>
        <w:rPr>
          <w:rFonts w:ascii="宋体" w:hAnsi="宋体" w:cs="宋体" w:hint="eastAsia"/>
          <w:b w:val="0"/>
          <w:bCs w:val="0"/>
          <w:kern w:val="0"/>
          <w:szCs w:val="21"/>
        </w:rPr>
        <w:alias w:val="模块:本期合同资产计提减值准备情况"/>
        <w:tag w:val="_SEC_bf3d6e0971b243878381353846199645"/>
        <w:id w:val="-1952696480"/>
        <w:lock w:val="sdtLocked"/>
        <w:placeholder>
          <w:docPart w:val="GBC22222222222222222222222222222"/>
        </w:placeholder>
      </w:sdtPr>
      <w:sdtEndPr>
        <w:rPr>
          <w:rFonts w:hint="default"/>
          <w:szCs w:val="24"/>
        </w:rPr>
      </w:sdtEndPr>
      <w:sdtContent>
        <w:p w:rsidR="00ED2DC7" w:rsidRDefault="00ED2DC7" w:rsidP="00036BDC">
          <w:pPr>
            <w:pStyle w:val="affffffffffffffffff2"/>
            <w:numPr>
              <w:ilvl w:val="3"/>
              <w:numId w:val="56"/>
            </w:numPr>
            <w:ind w:left="426" w:hanging="426"/>
            <w:rPr>
              <w:szCs w:val="21"/>
            </w:rPr>
          </w:pPr>
          <w:r>
            <w:rPr>
              <w:rFonts w:hint="eastAsia"/>
              <w:szCs w:val="21"/>
            </w:rPr>
            <w:t>本期合同资产计提减值准备情况</w:t>
          </w:r>
          <w:bookmarkEnd w:id="123"/>
        </w:p>
        <w:sdt>
          <w:sdtPr>
            <w:rPr>
              <w:szCs w:val="21"/>
            </w:rPr>
            <w:alias w:val="是否适用：合同资产减值准备[双击切换]"/>
            <w:tag w:val="_GBC_47f239b7a5d442b0a0a358017de09567"/>
            <w:id w:val="-2143792177"/>
            <w:lock w:val="sdtContentLocked"/>
            <w:placeholder>
              <w:docPart w:val="GBC22222222222222222222222222222"/>
            </w:placeholder>
          </w:sdtPr>
          <w:sdtContent>
            <w:p w:rsidR="00EF53CE" w:rsidRDefault="00ED2DC7" w:rsidP="00EF53CE">
              <w:pPr>
                <w:autoSpaceDE w:val="0"/>
                <w:autoSpaceDN w:val="0"/>
                <w:adjustRightInd w:val="0"/>
                <w:ind w:rightChars="50" w:right="105"/>
                <w:rPr>
                  <w:szCs w:val="21"/>
                </w:rPr>
              </w:pPr>
              <w:r>
                <w:rPr>
                  <w:szCs w:val="21"/>
                </w:rPr>
                <w:fldChar w:fldCharType="begin"/>
              </w:r>
              <w:r w:rsidR="00EF53CE">
                <w:rPr>
                  <w:szCs w:val="21"/>
                </w:rPr>
                <w:instrText xml:space="preserve"> MACROBUTTON  SnrToggleCheckbox □适用 </w:instrText>
              </w:r>
              <w:r>
                <w:rPr>
                  <w:szCs w:val="21"/>
                </w:rPr>
                <w:fldChar w:fldCharType="end"/>
              </w:r>
              <w:r>
                <w:rPr>
                  <w:szCs w:val="21"/>
                </w:rPr>
                <w:fldChar w:fldCharType="begin"/>
              </w:r>
              <w:r w:rsidR="00EF53CE">
                <w:rPr>
                  <w:szCs w:val="21"/>
                </w:rPr>
                <w:instrText xml:space="preserve"> MACROBUTTON  SnrToggleCheckbox √不适用 </w:instrText>
              </w:r>
              <w:r>
                <w:rPr>
                  <w:szCs w:val="21"/>
                </w:rPr>
                <w:fldChar w:fldCharType="end"/>
              </w:r>
            </w:p>
          </w:sdtContent>
        </w:sdt>
        <w:p w:rsidR="00ED2DC7" w:rsidRDefault="000D0A99"/>
      </w:sdtContent>
    </w:sdt>
    <w:bookmarkEnd w:id="124" w:displacedByCustomXml="prev"/>
    <w:bookmarkStart w:id="125" w:name="_Hlk10471002" w:displacedByCustomXml="next"/>
    <w:bookmarkStart w:id="126" w:name="_Hlk10471011" w:displacedByCustomXml="next"/>
    <w:sdt>
      <w:sdtPr>
        <w:rPr>
          <w:rFonts w:hint="eastAsia"/>
          <w:szCs w:val="21"/>
        </w:rPr>
        <w:alias w:val="模块:其他说明："/>
        <w:tag w:val="_SEC_5b10981ad765434eb8d30a4d75bff071"/>
        <w:id w:val="-1170396193"/>
        <w:lock w:val="sdtLocked"/>
        <w:placeholder>
          <w:docPart w:val="GBC22222222222222222222222222222"/>
        </w:placeholder>
      </w:sdtPr>
      <w:sdtEndPr>
        <w:rPr>
          <w:rFonts w:hint="default"/>
          <w:szCs w:val="24"/>
        </w:rPr>
      </w:sdtEndPr>
      <w:sdtContent>
        <w:p w:rsidR="00ED2DC7" w:rsidRDefault="00ED2DC7">
          <w:pPr>
            <w:rPr>
              <w:szCs w:val="21"/>
            </w:rPr>
          </w:pPr>
          <w:r>
            <w:rPr>
              <w:rFonts w:hint="eastAsia"/>
              <w:szCs w:val="21"/>
            </w:rPr>
            <w:t>其他说明：</w:t>
          </w:r>
          <w:bookmarkEnd w:id="125"/>
        </w:p>
        <w:sdt>
          <w:sdtPr>
            <w:rPr>
              <w:szCs w:val="21"/>
            </w:rPr>
            <w:alias w:val="是否适用：合同资产其他说明[双击切换]"/>
            <w:tag w:val="_GBC_06cd3c0f93454d76bd0c7e20322e8a49"/>
            <w:id w:val="-1610581630"/>
            <w:lock w:val="sdtContentLocked"/>
            <w:placeholder>
              <w:docPart w:val="GBC22222222222222222222222222222"/>
            </w:placeholder>
          </w:sdtPr>
          <w:sdtContent>
            <w:p w:rsidR="00ED2DC7" w:rsidRDefault="00ED2DC7" w:rsidP="00EF53CE">
              <w:r>
                <w:rPr>
                  <w:szCs w:val="21"/>
                </w:rPr>
                <w:fldChar w:fldCharType="begin"/>
              </w:r>
              <w:r w:rsidR="00EF53CE">
                <w:rPr>
                  <w:szCs w:val="21"/>
                </w:rPr>
                <w:instrText xml:space="preserve"> MACROBUTTON  SnrToggleCheckbox □适用 </w:instrText>
              </w:r>
              <w:r>
                <w:rPr>
                  <w:szCs w:val="21"/>
                </w:rPr>
                <w:fldChar w:fldCharType="end"/>
              </w:r>
              <w:r>
                <w:rPr>
                  <w:szCs w:val="21"/>
                </w:rPr>
                <w:fldChar w:fldCharType="begin"/>
              </w:r>
              <w:r w:rsidR="00EF53CE">
                <w:rPr>
                  <w:szCs w:val="21"/>
                </w:rPr>
                <w:instrText xml:space="preserve"> MACROBUTTON  SnrToggleCheckbox √不适用 </w:instrText>
              </w:r>
              <w:r>
                <w:rPr>
                  <w:szCs w:val="21"/>
                </w:rPr>
                <w:fldChar w:fldCharType="end"/>
              </w:r>
            </w:p>
          </w:sdtContent>
        </w:sdt>
      </w:sdtContent>
    </w:sdt>
    <w:bookmarkEnd w:id="126" w:displacedByCustomXml="prev"/>
    <w:p w:rsidR="00ED2DC7" w:rsidRDefault="00ED2DC7"/>
    <w:sdt>
      <w:sdtPr>
        <w:rPr>
          <w:rFonts w:ascii="宋体" w:hAnsi="宋体" w:cs="宋体" w:hint="eastAsia"/>
          <w:b w:val="0"/>
          <w:bCs w:val="0"/>
          <w:kern w:val="0"/>
          <w:szCs w:val="24"/>
        </w:rPr>
        <w:alias w:val="模块:划分为持有待售的资产"/>
        <w:tag w:val="_GBC_b8017c342539428893a6ec198dd061b3"/>
        <w:id w:val="-529180735"/>
        <w:lock w:val="sdtLocked"/>
        <w:placeholder>
          <w:docPart w:val="GBC22222222222222222222222222222"/>
        </w:placeholder>
      </w:sdtPr>
      <w:sdtEndPr>
        <w:rPr>
          <w:rFonts w:hint="default"/>
          <w:szCs w:val="21"/>
        </w:rPr>
      </w:sdtEndPr>
      <w:sdtContent>
        <w:p w:rsidR="00ED2DC7" w:rsidRDefault="00ED2DC7" w:rsidP="00036BDC">
          <w:pPr>
            <w:pStyle w:val="affffffffffffffffff1"/>
            <w:numPr>
              <w:ilvl w:val="0"/>
              <w:numId w:val="49"/>
            </w:numPr>
            <w:tabs>
              <w:tab w:val="left" w:pos="504"/>
            </w:tabs>
          </w:pPr>
          <w:r>
            <w:rPr>
              <w:rFonts w:hint="eastAsia"/>
            </w:rPr>
            <w:t>持有待售资产</w:t>
          </w:r>
        </w:p>
        <w:sdt>
          <w:sdtPr>
            <w:alias w:val="是否适用：划分为持有待售的资产[双击切换]"/>
            <w:tag w:val="_GBC_a6517e0f93e04b1caa2e45201c8133b1"/>
            <w:id w:val="1697120393"/>
            <w:lock w:val="sdtContentLocked"/>
            <w:placeholder>
              <w:docPart w:val="GBC22222222222222222222222222222"/>
            </w:placeholder>
          </w:sdtPr>
          <w:sdtContent>
            <w:p w:rsidR="00EF53CE" w:rsidRDefault="00ED2DC7" w:rsidP="00EF53CE">
              <w:r>
                <w:fldChar w:fldCharType="begin"/>
              </w:r>
              <w:r w:rsidR="00EF53CE">
                <w:instrText xml:space="preserve"> MACROBUTTON  SnrToggleCheckbox □适用 </w:instrText>
              </w:r>
              <w:r>
                <w:fldChar w:fldCharType="end"/>
              </w:r>
              <w:r>
                <w:fldChar w:fldCharType="begin"/>
              </w:r>
              <w:r w:rsidR="00EF53CE">
                <w:instrText xml:space="preserve"> MACROBUTTON  SnrToggleCheckbox √不适用 </w:instrText>
              </w:r>
              <w:r>
                <w:fldChar w:fldCharType="end"/>
              </w:r>
            </w:p>
          </w:sdtContent>
        </w:sdt>
        <w:p w:rsidR="00ED2DC7" w:rsidRDefault="000D0A99"/>
      </w:sdtContent>
    </w:sdt>
    <w:p w:rsidR="00ED2DC7" w:rsidRDefault="00ED2DC7">
      <w:pPr>
        <w:ind w:right="210"/>
      </w:pPr>
    </w:p>
    <w:bookmarkStart w:id="127" w:name="_Hlk10471081" w:displacedByCustomXml="next"/>
    <w:sdt>
      <w:sdtPr>
        <w:rPr>
          <w:rFonts w:ascii="宋体" w:hAnsi="宋体" w:cs="宋体" w:hint="eastAsia"/>
          <w:b w:val="0"/>
          <w:bCs w:val="0"/>
          <w:kern w:val="0"/>
          <w:szCs w:val="24"/>
        </w:rPr>
        <w:alias w:val="模块:一年内到期的非流动资产"/>
        <w:tag w:val="_GBC_73afc3711ce24918b57d8c069abaf5c5"/>
        <w:id w:val="1237901080"/>
        <w:lock w:val="sdtLocked"/>
        <w:placeholder>
          <w:docPart w:val="GBC22222222222222222222222222222"/>
        </w:placeholder>
      </w:sdtPr>
      <w:sdtContent>
        <w:p w:rsidR="00ED2DC7" w:rsidRDefault="00ED2DC7" w:rsidP="00036BDC">
          <w:pPr>
            <w:pStyle w:val="affffffffffffffffff1"/>
            <w:numPr>
              <w:ilvl w:val="0"/>
              <w:numId w:val="49"/>
            </w:numPr>
            <w:tabs>
              <w:tab w:val="left" w:pos="504"/>
            </w:tabs>
          </w:pPr>
          <w:r>
            <w:rPr>
              <w:rFonts w:hint="eastAsia"/>
            </w:rPr>
            <w:t>一年内到期的非流动资产</w:t>
          </w:r>
        </w:p>
        <w:sdt>
          <w:sdtPr>
            <w:alias w:val="是否适用：一年内到期的非流动资产[双击切换]"/>
            <w:tag w:val="_GBC_3c3df002388d4bbe8dd8d4df7fe26ebc"/>
            <w:id w:val="-675115751"/>
            <w:lock w:val="sdtContentLocked"/>
            <w:placeholder>
              <w:docPart w:val="GBC22222222222222222222222222222"/>
            </w:placeholder>
          </w:sdtPr>
          <w:sdtContent>
            <w:p w:rsidR="00EF53CE" w:rsidRDefault="00ED2DC7" w:rsidP="00EF53CE">
              <w:r>
                <w:fldChar w:fldCharType="begin"/>
              </w:r>
              <w:r w:rsidR="00EF53CE">
                <w:instrText xml:space="preserve"> MACROBUTTON  SnrToggleCheckbox □适用 </w:instrText>
              </w:r>
              <w:r>
                <w:fldChar w:fldCharType="end"/>
              </w:r>
              <w:r>
                <w:fldChar w:fldCharType="begin"/>
              </w:r>
              <w:r w:rsidR="00EF53CE">
                <w:instrText xml:space="preserve"> MACROBUTTON  SnrToggleCheckbox √不适用 </w:instrText>
              </w:r>
              <w:r>
                <w:fldChar w:fldCharType="end"/>
              </w:r>
            </w:p>
          </w:sdtContent>
        </w:sdt>
        <w:p w:rsidR="00ED2DC7" w:rsidRDefault="000D0A99">
          <w:pPr>
            <w:ind w:right="210"/>
          </w:pPr>
        </w:p>
      </w:sdtContent>
    </w:sdt>
    <w:bookmarkEnd w:id="127" w:displacedByCustomXml="prev"/>
    <w:p w:rsidR="00ED2DC7" w:rsidRDefault="00ED2DC7">
      <w:pPr>
        <w:ind w:right="210"/>
      </w:pPr>
    </w:p>
    <w:bookmarkStart w:id="128" w:name="_Hlk10471163" w:displacedByCustomXml="next"/>
    <w:sdt>
      <w:sdtPr>
        <w:rPr>
          <w:rFonts w:ascii="宋体" w:hAnsi="宋体" w:cs="宋体" w:hint="eastAsia"/>
          <w:b w:val="0"/>
          <w:bCs w:val="0"/>
          <w:kern w:val="0"/>
          <w:szCs w:val="24"/>
        </w:rPr>
        <w:alias w:val="模块:其他流动资产"/>
        <w:tag w:val="_GBC_e29fd29bee934fc3ab8325cf3625b905"/>
        <w:id w:val="307360029"/>
        <w:lock w:val="sdtLocked"/>
        <w:placeholder>
          <w:docPart w:val="GBC22222222222222222222222222222"/>
        </w:placeholder>
      </w:sdtPr>
      <w:sdtContent>
        <w:p w:rsidR="00ED2DC7" w:rsidRDefault="00ED2DC7" w:rsidP="00036BDC">
          <w:pPr>
            <w:pStyle w:val="affffffffffffffffff1"/>
            <w:numPr>
              <w:ilvl w:val="0"/>
              <w:numId w:val="49"/>
            </w:numPr>
            <w:tabs>
              <w:tab w:val="left" w:pos="504"/>
            </w:tabs>
          </w:pPr>
          <w:r>
            <w:rPr>
              <w:rFonts w:hint="eastAsia"/>
            </w:rPr>
            <w:t>其他流动资产</w:t>
          </w:r>
        </w:p>
        <w:sdt>
          <w:sdtPr>
            <w:alias w:val="是否适用：其他流动资产[双击切换]"/>
            <w:tag w:val="_GBC_7733d50365e24328b41020152f88028d"/>
            <w:id w:val="-54628607"/>
            <w:lock w:val="sdtContentLocked"/>
            <w:placeholder>
              <w:docPart w:val="GBC22222222222222222222222222222"/>
            </w:placeholder>
          </w:sdtPr>
          <w:sdtContent>
            <w:p w:rsidR="00ED2DC7" w:rsidRDefault="00ED2DC7">
              <w:r>
                <w:fldChar w:fldCharType="begin"/>
              </w:r>
              <w:r w:rsidR="00E75F7C">
                <w:instrText xml:space="preserve"> MACROBUTTON  SnrToggleCheckbox √适用 </w:instrText>
              </w:r>
              <w:r>
                <w:fldChar w:fldCharType="end"/>
              </w:r>
              <w:r>
                <w:fldChar w:fldCharType="begin"/>
              </w:r>
              <w:r w:rsidR="00E75F7C">
                <w:instrText xml:space="preserve"> MACROBUTTON  SnrToggleCheckbox □不适用 </w:instrText>
              </w:r>
              <w:r>
                <w:fldChar w:fldCharType="end"/>
              </w:r>
            </w:p>
          </w:sdtContent>
        </w:sdt>
        <w:p w:rsidR="00ED2DC7" w:rsidRDefault="00ED2DC7">
          <w:pPr>
            <w:jc w:val="right"/>
          </w:pPr>
          <w:r>
            <w:rPr>
              <w:rFonts w:hint="eastAsia"/>
            </w:rPr>
            <w:t>单位：</w:t>
          </w:r>
          <w:sdt>
            <w:sdtPr>
              <w:rPr>
                <w:rFonts w:hint="eastAsia"/>
              </w:rPr>
              <w:alias w:val="单位：其他流动资产"/>
              <w:tag w:val="_GBC_d0c62fc75d164678ad203d9ddb106538"/>
              <w:id w:val="-60749847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hint="eastAsia"/>
                </w:rPr>
                <w:t>元</w:t>
              </w:r>
            </w:sdtContent>
          </w:sdt>
          <w:r>
            <w:rPr>
              <w:rFonts w:hint="eastAsia"/>
            </w:rPr>
            <w:t xml:space="preserve">  币种：</w:t>
          </w:r>
          <w:sdt>
            <w:sdtPr>
              <w:rPr>
                <w:rFonts w:hint="eastAsia"/>
              </w:rPr>
              <w:alias w:val="币种：其他流动资产"/>
              <w:tag w:val="_GBC_9196143d56d24a9ea7f7e31ce8a09024"/>
              <w:id w:val="996061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rPr>
                <w:t>人民币</w:t>
              </w:r>
            </w:sdtContent>
          </w:sdt>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4"/>
            <w:gridCol w:w="2845"/>
            <w:gridCol w:w="2774"/>
          </w:tblGrid>
          <w:tr w:rsidR="00B637B2" w:rsidTr="00B637B2">
            <w:sdt>
              <w:sdtPr>
                <w:tag w:val="_PLD_15bbfc7d41df4300abcae2e424cc6572"/>
                <w:id w:val="-953097635"/>
                <w:lock w:val="sdtLocked"/>
              </w:sdtPr>
              <w:sdtContent>
                <w:tc>
                  <w:tcPr>
                    <w:tcW w:w="1816" w:type="pct"/>
                    <w:shd w:val="clear" w:color="auto" w:fill="auto"/>
                    <w:vAlign w:val="center"/>
                  </w:tcPr>
                  <w:p w:rsidR="00B637B2" w:rsidRDefault="008F04CF" w:rsidP="00B637B2">
                    <w:pPr>
                      <w:jc w:val="center"/>
                      <w:rPr>
                        <w:szCs w:val="21"/>
                      </w:rPr>
                    </w:pPr>
                    <w:r>
                      <w:rPr>
                        <w:rFonts w:hint="eastAsia"/>
                        <w:szCs w:val="21"/>
                      </w:rPr>
                      <w:t>项目</w:t>
                    </w:r>
                  </w:p>
                </w:tc>
              </w:sdtContent>
            </w:sdt>
            <w:sdt>
              <w:sdtPr>
                <w:tag w:val="_PLD_d2a222194eae4e958db2401139170ea2"/>
                <w:id w:val="1796562453"/>
                <w:lock w:val="sdtLocked"/>
              </w:sdtPr>
              <w:sdtContent>
                <w:tc>
                  <w:tcPr>
                    <w:tcW w:w="1612" w:type="pct"/>
                    <w:shd w:val="clear" w:color="auto" w:fill="auto"/>
                    <w:vAlign w:val="center"/>
                  </w:tcPr>
                  <w:p w:rsidR="00B637B2" w:rsidRDefault="008F04CF" w:rsidP="00B637B2">
                    <w:pPr>
                      <w:jc w:val="center"/>
                      <w:rPr>
                        <w:szCs w:val="21"/>
                      </w:rPr>
                    </w:pPr>
                    <w:r>
                      <w:rPr>
                        <w:rFonts w:hint="eastAsia"/>
                        <w:szCs w:val="21"/>
                      </w:rPr>
                      <w:t>期末余额</w:t>
                    </w:r>
                  </w:p>
                </w:tc>
              </w:sdtContent>
            </w:sdt>
            <w:sdt>
              <w:sdtPr>
                <w:tag w:val="_PLD_0f3815799e9d4216b9506517d8e9b90c"/>
                <w:id w:val="-1584214262"/>
                <w:lock w:val="sdtLocked"/>
              </w:sdtPr>
              <w:sdtContent>
                <w:tc>
                  <w:tcPr>
                    <w:tcW w:w="1572" w:type="pct"/>
                    <w:shd w:val="clear" w:color="auto" w:fill="auto"/>
                    <w:vAlign w:val="center"/>
                  </w:tcPr>
                  <w:p w:rsidR="00B637B2" w:rsidRDefault="008F04CF" w:rsidP="00B637B2">
                    <w:pPr>
                      <w:jc w:val="center"/>
                      <w:rPr>
                        <w:szCs w:val="21"/>
                      </w:rPr>
                    </w:pPr>
                    <w:r>
                      <w:rPr>
                        <w:rFonts w:hint="eastAsia"/>
                        <w:szCs w:val="21"/>
                      </w:rPr>
                      <w:t>期初余额</w:t>
                    </w:r>
                  </w:p>
                </w:tc>
              </w:sdtContent>
            </w:sdt>
          </w:tr>
          <w:sdt>
            <w:sdtPr>
              <w:rPr>
                <w:rFonts w:asciiTheme="minorHAnsi" w:eastAsiaTheme="minorEastAsia" w:hAnsiTheme="minorHAnsi" w:cstheme="minorBidi" w:hint="eastAsia"/>
                <w:kern w:val="2"/>
                <w:szCs w:val="21"/>
              </w:rPr>
              <w:alias w:val="其他流动资产明细"/>
              <w:tag w:val="_TUP_0bae324e6bd3444492796087e454ca12"/>
              <w:id w:val="406354439"/>
              <w:lock w:val="sdtLocked"/>
            </w:sdtPr>
            <w:sdtContent>
              <w:tr w:rsidR="00B637B2" w:rsidTr="00B637B2">
                <w:tc>
                  <w:tcPr>
                    <w:tcW w:w="1816" w:type="pct"/>
                    <w:shd w:val="clear" w:color="auto" w:fill="auto"/>
                  </w:tcPr>
                  <w:p w:rsidR="00B637B2" w:rsidRDefault="008F04CF" w:rsidP="00B637B2">
                    <w:pPr>
                      <w:snapToGrid w:val="0"/>
                      <w:ind w:leftChars="-51" w:left="-107"/>
                      <w:rPr>
                        <w:szCs w:val="21"/>
                      </w:rPr>
                    </w:pPr>
                    <w:r>
                      <w:rPr>
                        <w:rFonts w:asciiTheme="minorHAnsi" w:eastAsiaTheme="minorEastAsia" w:hAnsiTheme="minorHAnsi" w:cstheme="minorBidi" w:hint="eastAsia"/>
                        <w:kern w:val="2"/>
                        <w:szCs w:val="21"/>
                      </w:rPr>
                      <w:t>理财产品</w:t>
                    </w:r>
                  </w:p>
                </w:tc>
                <w:tc>
                  <w:tcPr>
                    <w:tcW w:w="1612" w:type="pct"/>
                    <w:shd w:val="clear" w:color="auto" w:fill="auto"/>
                  </w:tcPr>
                  <w:p w:rsidR="00B637B2" w:rsidRPr="00991851" w:rsidRDefault="008F04CF" w:rsidP="00B637B2">
                    <w:pPr>
                      <w:jc w:val="right"/>
                    </w:pPr>
                    <w:r>
                      <w:rPr>
                        <w:rFonts w:hint="eastAsia"/>
                      </w:rPr>
                      <w:t>-</w:t>
                    </w:r>
                  </w:p>
                </w:tc>
                <w:tc>
                  <w:tcPr>
                    <w:tcW w:w="1572" w:type="pct"/>
                    <w:shd w:val="clear" w:color="auto" w:fill="auto"/>
                  </w:tcPr>
                  <w:p w:rsidR="00B637B2" w:rsidRDefault="00036BDC" w:rsidP="00B637B2">
                    <w:pPr>
                      <w:snapToGrid w:val="0"/>
                      <w:jc w:val="right"/>
                      <w:rPr>
                        <w:szCs w:val="21"/>
                      </w:rPr>
                    </w:pPr>
                    <w:r>
                      <w:t>120,000</w:t>
                    </w:r>
                    <w:r w:rsidR="008F04CF">
                      <w:t>,000</w:t>
                    </w:r>
                  </w:p>
                </w:tc>
              </w:tr>
            </w:sdtContent>
          </w:sdt>
          <w:sdt>
            <w:sdtPr>
              <w:rPr>
                <w:rFonts w:asciiTheme="minorHAnsi" w:eastAsiaTheme="minorEastAsia" w:hAnsiTheme="minorHAnsi" w:cstheme="minorBidi" w:hint="eastAsia"/>
                <w:kern w:val="2"/>
                <w:szCs w:val="21"/>
              </w:rPr>
              <w:alias w:val="其他流动资产明细"/>
              <w:tag w:val="_TUP_0bae324e6bd3444492796087e454ca12"/>
              <w:id w:val="-1160305040"/>
              <w:lock w:val="sdtLocked"/>
            </w:sdtPr>
            <w:sdtContent>
              <w:tr w:rsidR="00B637B2" w:rsidTr="00B637B2">
                <w:tc>
                  <w:tcPr>
                    <w:tcW w:w="1816" w:type="pct"/>
                    <w:shd w:val="clear" w:color="auto" w:fill="auto"/>
                  </w:tcPr>
                  <w:p w:rsidR="00B637B2" w:rsidRDefault="008F04CF" w:rsidP="00B637B2">
                    <w:pPr>
                      <w:snapToGrid w:val="0"/>
                      <w:ind w:leftChars="-51" w:left="-107"/>
                      <w:rPr>
                        <w:szCs w:val="21"/>
                      </w:rPr>
                    </w:pPr>
                    <w:r w:rsidRPr="00421356">
                      <w:rPr>
                        <w:rFonts w:hint="eastAsia"/>
                      </w:rPr>
                      <w:t>备付金款项</w:t>
                    </w:r>
                  </w:p>
                </w:tc>
                <w:tc>
                  <w:tcPr>
                    <w:tcW w:w="1612" w:type="pct"/>
                    <w:shd w:val="clear" w:color="auto" w:fill="auto"/>
                  </w:tcPr>
                  <w:p w:rsidR="00B637B2" w:rsidRPr="00991851" w:rsidRDefault="008F04CF" w:rsidP="00B637B2">
                    <w:pPr>
                      <w:jc w:val="right"/>
                    </w:pPr>
                    <w:r>
                      <w:t>100,093,058</w:t>
                    </w:r>
                  </w:p>
                </w:tc>
                <w:tc>
                  <w:tcPr>
                    <w:tcW w:w="1572" w:type="pct"/>
                    <w:shd w:val="clear" w:color="auto" w:fill="auto"/>
                  </w:tcPr>
                  <w:p w:rsidR="00B637B2" w:rsidRDefault="008F04CF" w:rsidP="00B637B2">
                    <w:pPr>
                      <w:snapToGrid w:val="0"/>
                      <w:jc w:val="right"/>
                      <w:rPr>
                        <w:szCs w:val="21"/>
                      </w:rPr>
                    </w:pPr>
                    <w:r>
                      <w:t>264,622,799</w:t>
                    </w:r>
                  </w:p>
                </w:tc>
              </w:tr>
            </w:sdtContent>
          </w:sdt>
          <w:sdt>
            <w:sdtPr>
              <w:rPr>
                <w:rFonts w:asciiTheme="minorHAnsi" w:eastAsiaTheme="minorEastAsia" w:hAnsiTheme="minorHAnsi" w:cstheme="minorBidi" w:hint="eastAsia"/>
                <w:kern w:val="2"/>
                <w:szCs w:val="21"/>
              </w:rPr>
              <w:alias w:val="其他流动资产明细"/>
              <w:tag w:val="_TUP_0bae324e6bd3444492796087e454ca12"/>
              <w:id w:val="-232772077"/>
              <w:lock w:val="sdtLocked"/>
            </w:sdtPr>
            <w:sdtContent>
              <w:tr w:rsidR="00B637B2" w:rsidTr="00B637B2">
                <w:tc>
                  <w:tcPr>
                    <w:tcW w:w="1816" w:type="pct"/>
                    <w:shd w:val="clear" w:color="auto" w:fill="auto"/>
                  </w:tcPr>
                  <w:p w:rsidR="00B637B2" w:rsidRDefault="008F04CF" w:rsidP="00B637B2">
                    <w:pPr>
                      <w:snapToGrid w:val="0"/>
                      <w:ind w:leftChars="-51" w:left="-107"/>
                      <w:rPr>
                        <w:szCs w:val="21"/>
                      </w:rPr>
                    </w:pPr>
                    <w:r>
                      <w:t>待摊房租费用</w:t>
                    </w:r>
                  </w:p>
                </w:tc>
                <w:tc>
                  <w:tcPr>
                    <w:tcW w:w="1612" w:type="pct"/>
                    <w:shd w:val="clear" w:color="auto" w:fill="auto"/>
                  </w:tcPr>
                  <w:p w:rsidR="00B637B2" w:rsidRPr="00991851" w:rsidRDefault="008F04CF" w:rsidP="00B637B2">
                    <w:pPr>
                      <w:jc w:val="right"/>
                    </w:pPr>
                    <w:r>
                      <w:t>5,675,108</w:t>
                    </w:r>
                  </w:p>
                </w:tc>
                <w:tc>
                  <w:tcPr>
                    <w:tcW w:w="1572" w:type="pct"/>
                    <w:shd w:val="clear" w:color="auto" w:fill="auto"/>
                  </w:tcPr>
                  <w:p w:rsidR="00B637B2" w:rsidRDefault="008F04CF" w:rsidP="00B637B2">
                    <w:pPr>
                      <w:snapToGrid w:val="0"/>
                      <w:jc w:val="right"/>
                      <w:rPr>
                        <w:szCs w:val="21"/>
                      </w:rPr>
                    </w:pPr>
                    <w:r>
                      <w:t>7,214,148</w:t>
                    </w:r>
                  </w:p>
                </w:tc>
              </w:tr>
            </w:sdtContent>
          </w:sdt>
          <w:sdt>
            <w:sdtPr>
              <w:rPr>
                <w:rFonts w:asciiTheme="minorHAnsi" w:eastAsiaTheme="minorEastAsia" w:hAnsiTheme="minorHAnsi" w:cstheme="minorBidi" w:hint="eastAsia"/>
                <w:kern w:val="2"/>
                <w:szCs w:val="21"/>
              </w:rPr>
              <w:alias w:val="其他流动资产明细"/>
              <w:tag w:val="_TUP_0bae324e6bd3444492796087e454ca12"/>
              <w:id w:val="-392969549"/>
              <w:lock w:val="sdtLocked"/>
            </w:sdtPr>
            <w:sdtContent>
              <w:tr w:rsidR="00B637B2" w:rsidTr="00B637B2">
                <w:tc>
                  <w:tcPr>
                    <w:tcW w:w="1816" w:type="pct"/>
                    <w:shd w:val="clear" w:color="auto" w:fill="auto"/>
                  </w:tcPr>
                  <w:p w:rsidR="00B637B2" w:rsidRDefault="008F04CF" w:rsidP="00B637B2">
                    <w:pPr>
                      <w:snapToGrid w:val="0"/>
                      <w:ind w:leftChars="-51" w:left="-107"/>
                      <w:rPr>
                        <w:szCs w:val="21"/>
                      </w:rPr>
                    </w:pPr>
                    <w:r>
                      <w:t>其他待摊费用</w:t>
                    </w:r>
                  </w:p>
                </w:tc>
                <w:tc>
                  <w:tcPr>
                    <w:tcW w:w="1612" w:type="pct"/>
                    <w:shd w:val="clear" w:color="auto" w:fill="auto"/>
                  </w:tcPr>
                  <w:p w:rsidR="00B637B2" w:rsidRPr="00991851" w:rsidRDefault="008F04CF" w:rsidP="00B637B2">
                    <w:pPr>
                      <w:jc w:val="right"/>
                    </w:pPr>
                    <w:r>
                      <w:t>13,361,512</w:t>
                    </w:r>
                  </w:p>
                </w:tc>
                <w:tc>
                  <w:tcPr>
                    <w:tcW w:w="1572" w:type="pct"/>
                    <w:shd w:val="clear" w:color="auto" w:fill="auto"/>
                  </w:tcPr>
                  <w:p w:rsidR="00B637B2" w:rsidRDefault="008F04CF" w:rsidP="00B637B2">
                    <w:pPr>
                      <w:snapToGrid w:val="0"/>
                      <w:jc w:val="right"/>
                      <w:rPr>
                        <w:szCs w:val="21"/>
                      </w:rPr>
                    </w:pPr>
                    <w:r>
                      <w:t>10,678,724</w:t>
                    </w:r>
                  </w:p>
                </w:tc>
              </w:tr>
            </w:sdtContent>
          </w:sdt>
          <w:tr w:rsidR="00B637B2" w:rsidTr="00B637B2">
            <w:sdt>
              <w:sdtPr>
                <w:tag w:val="_PLD_b6c346d1d68d4f27847794dad182ef24"/>
                <w:id w:val="-1091692005"/>
                <w:lock w:val="sdtLocked"/>
              </w:sdtPr>
              <w:sdtContent>
                <w:tc>
                  <w:tcPr>
                    <w:tcW w:w="1816" w:type="pct"/>
                    <w:shd w:val="clear" w:color="auto" w:fill="auto"/>
                    <w:vAlign w:val="center"/>
                  </w:tcPr>
                  <w:p w:rsidR="00B637B2" w:rsidRDefault="008F04CF" w:rsidP="00B637B2">
                    <w:pPr>
                      <w:snapToGrid w:val="0"/>
                      <w:ind w:leftChars="-51" w:left="-107"/>
                      <w:jc w:val="center"/>
                      <w:rPr>
                        <w:szCs w:val="21"/>
                      </w:rPr>
                    </w:pPr>
                    <w:r>
                      <w:rPr>
                        <w:rFonts w:hint="eastAsia"/>
                        <w:szCs w:val="21"/>
                      </w:rPr>
                      <w:t>合计</w:t>
                    </w:r>
                  </w:p>
                </w:tc>
              </w:sdtContent>
            </w:sdt>
            <w:tc>
              <w:tcPr>
                <w:tcW w:w="1612" w:type="pct"/>
                <w:shd w:val="clear" w:color="auto" w:fill="auto"/>
              </w:tcPr>
              <w:p w:rsidR="00B637B2" w:rsidRDefault="008F04CF" w:rsidP="00B637B2">
                <w:pPr>
                  <w:snapToGrid w:val="0"/>
                  <w:jc w:val="right"/>
                  <w:rPr>
                    <w:szCs w:val="21"/>
                  </w:rPr>
                </w:pPr>
                <w:r w:rsidRPr="00BA73DD">
                  <w:rPr>
                    <w:szCs w:val="21"/>
                  </w:rPr>
                  <w:t>119,129,678</w:t>
                </w:r>
              </w:p>
            </w:tc>
            <w:tc>
              <w:tcPr>
                <w:tcW w:w="1572" w:type="pct"/>
                <w:shd w:val="clear" w:color="auto" w:fill="auto"/>
              </w:tcPr>
              <w:p w:rsidR="00B637B2" w:rsidRDefault="00036BDC" w:rsidP="00B637B2">
                <w:pPr>
                  <w:snapToGrid w:val="0"/>
                  <w:jc w:val="right"/>
                  <w:rPr>
                    <w:szCs w:val="21"/>
                  </w:rPr>
                </w:pPr>
                <w:r w:rsidRPr="00C25A32">
                  <w:rPr>
                    <w:szCs w:val="21"/>
                  </w:rPr>
                  <w:t>402,515,671</w:t>
                </w:r>
              </w:p>
            </w:tc>
          </w:tr>
        </w:tbl>
        <w:p w:rsidR="00B637B2" w:rsidRDefault="00B637B2"/>
        <w:p w:rsidR="00ED2DC7" w:rsidRDefault="00ED2DC7">
          <w:r>
            <w:rPr>
              <w:rFonts w:hint="eastAsia"/>
            </w:rPr>
            <w:t>其他说明：</w:t>
          </w:r>
        </w:p>
        <w:sdt>
          <w:sdtPr>
            <w:rPr>
              <w:rFonts w:hint="eastAsia"/>
            </w:rPr>
            <w:alias w:val="其他流动资产说明"/>
            <w:tag w:val="_GBC_7955e529151148f394eed0e26977270b"/>
            <w:id w:val="-861826202"/>
            <w:lock w:val="sdtLocked"/>
            <w:placeholder>
              <w:docPart w:val="GBC22222222222222222222222222222"/>
            </w:placeholder>
          </w:sdtPr>
          <w:sdtContent>
            <w:p w:rsidR="00ED2DC7" w:rsidRDefault="00EF53CE">
              <w:r w:rsidRPr="00EF53CE">
                <w:rPr>
                  <w:rFonts w:hint="eastAsia"/>
                </w:rPr>
                <w:t>注：备付金款项指畅捷通支付因提供支付业务收取的备付金，该款项将于次日转至收款方的自有账户中。</w:t>
              </w:r>
            </w:p>
          </w:sdtContent>
        </w:sdt>
      </w:sdtContent>
    </w:sdt>
    <w:bookmarkEnd w:id="128" w:displacedByCustomXml="prev"/>
    <w:p w:rsidR="00ED2DC7" w:rsidRDefault="00ED2DC7">
      <w:pPr>
        <w:ind w:right="210"/>
      </w:pPr>
    </w:p>
    <w:bookmarkStart w:id="129" w:name="_Hlk10471390" w:displacedByCustomXml="next"/>
    <w:sdt>
      <w:sdtPr>
        <w:rPr>
          <w:rFonts w:ascii="宋体" w:hAnsi="宋体" w:cs="宋体" w:hint="eastAsia"/>
          <w:b w:val="0"/>
          <w:bCs w:val="0"/>
          <w:kern w:val="0"/>
          <w:szCs w:val="24"/>
        </w:rPr>
        <w:alias w:val="模块:债权投资债权投资情况"/>
        <w:tag w:val="_SEC_949cb4eb7a744418a5a5c6266b7029c9"/>
        <w:id w:val="1770811071"/>
        <w:lock w:val="sdtLocked"/>
        <w:placeholder>
          <w:docPart w:val="GBC22222222222222222222222222222"/>
        </w:placeholder>
      </w:sdtPr>
      <w:sdtEndPr>
        <w:rPr>
          <w:rFonts w:hint="default"/>
        </w:rPr>
      </w:sdtEndPr>
      <w:sdtContent>
        <w:p w:rsidR="00ED2DC7" w:rsidRDefault="00ED2DC7" w:rsidP="00036BDC">
          <w:pPr>
            <w:pStyle w:val="affffffffffffffffff1"/>
            <w:numPr>
              <w:ilvl w:val="0"/>
              <w:numId w:val="49"/>
            </w:numPr>
            <w:tabs>
              <w:tab w:val="left" w:pos="504"/>
            </w:tabs>
          </w:pPr>
          <w:r>
            <w:rPr>
              <w:rFonts w:hint="eastAsia"/>
            </w:rPr>
            <w:t>债权投资</w:t>
          </w:r>
        </w:p>
        <w:p w:rsidR="00ED2DC7" w:rsidRDefault="00ED2DC7" w:rsidP="00036BDC">
          <w:pPr>
            <w:pStyle w:val="affffffffffffffffff2"/>
            <w:numPr>
              <w:ilvl w:val="3"/>
              <w:numId w:val="57"/>
            </w:numPr>
            <w:ind w:left="426" w:hanging="426"/>
          </w:pPr>
          <w:r>
            <w:rPr>
              <w:rFonts w:hint="eastAsia"/>
            </w:rPr>
            <w:t>债权投资情况</w:t>
          </w:r>
        </w:p>
        <w:sdt>
          <w:sdtPr>
            <w:alias w:val="是否适用：以摊余成本计量的长期债权投资[双击切换]"/>
            <w:tag w:val="_GBC_22cb0188d98c4d37a97e0c6a9e34e10d"/>
            <w:id w:val="1260021542"/>
            <w:lock w:val="sdtContentLocked"/>
            <w:placeholder>
              <w:docPart w:val="GBC22222222222222222222222222222"/>
            </w:placeholder>
          </w:sdtPr>
          <w:sdtContent>
            <w:p w:rsidR="00ED2DC7" w:rsidRDefault="00ED2DC7" w:rsidP="00EF53CE">
              <w:r>
                <w:fldChar w:fldCharType="begin"/>
              </w:r>
              <w:r w:rsidR="00EF53CE">
                <w:instrText xml:space="preserve"> MACROBUTTON  SnrToggleCheckbox □适用 </w:instrText>
              </w:r>
              <w:r>
                <w:fldChar w:fldCharType="end"/>
              </w:r>
              <w:r>
                <w:fldChar w:fldCharType="begin"/>
              </w:r>
              <w:r w:rsidR="00EF53CE">
                <w:instrText xml:space="preserve"> MACROBUTTON  SnrToggleCheckbox √不适用 </w:instrText>
              </w:r>
              <w:r>
                <w:fldChar w:fldCharType="end"/>
              </w:r>
            </w:p>
          </w:sdtContent>
        </w:sdt>
      </w:sdtContent>
    </w:sdt>
    <w:bookmarkEnd w:id="129" w:displacedByCustomXml="prev"/>
    <w:bookmarkStart w:id="130" w:name="_Hlk10471440" w:displacedByCustomXml="next"/>
    <w:bookmarkStart w:id="131" w:name="_Hlk10471450" w:displacedByCustomXml="next"/>
    <w:sdt>
      <w:sdtPr>
        <w:rPr>
          <w:rFonts w:ascii="宋体" w:hAnsi="宋体" w:cs="宋体" w:hint="eastAsia"/>
          <w:b w:val="0"/>
          <w:bCs w:val="0"/>
          <w:kern w:val="0"/>
          <w:szCs w:val="24"/>
        </w:rPr>
        <w:alias w:val="模块:期末重要的债权投资"/>
        <w:tag w:val="_SEC_b1d789cc522341caa1c75b1a7b84351c"/>
        <w:id w:val="-1938441309"/>
        <w:lock w:val="sdtLocked"/>
        <w:placeholder>
          <w:docPart w:val="GBC22222222222222222222222222222"/>
        </w:placeholder>
      </w:sdtPr>
      <w:sdtEndPr>
        <w:rPr>
          <w:rFonts w:hint="default"/>
        </w:rPr>
      </w:sdtEndPr>
      <w:sdtContent>
        <w:p w:rsidR="00ED2DC7" w:rsidRDefault="00ED2DC7" w:rsidP="00036BDC">
          <w:pPr>
            <w:pStyle w:val="affffffffffffffffff2"/>
            <w:numPr>
              <w:ilvl w:val="3"/>
              <w:numId w:val="57"/>
            </w:numPr>
            <w:ind w:left="426" w:hanging="426"/>
          </w:pPr>
          <w:r>
            <w:rPr>
              <w:rFonts w:hint="eastAsia"/>
            </w:rPr>
            <w:t>期末重要的债权投资</w:t>
          </w:r>
          <w:bookmarkEnd w:id="130"/>
        </w:p>
        <w:sdt>
          <w:sdtPr>
            <w:alias w:val="是否适用：重要的债权投资[双击切换]"/>
            <w:tag w:val="_GBC_0ff84ccc1d234704b93c4e33c0d575ce"/>
            <w:id w:val="-242800809"/>
            <w:lock w:val="sdtContentLocked"/>
            <w:placeholder>
              <w:docPart w:val="GBC22222222222222222222222222222"/>
            </w:placeholder>
          </w:sdtPr>
          <w:sdtContent>
            <w:p w:rsidR="00ED2DC7" w:rsidRDefault="00ED2DC7" w:rsidP="00EF53CE">
              <w:r>
                <w:fldChar w:fldCharType="begin"/>
              </w:r>
              <w:r w:rsidR="00EF53CE">
                <w:instrText xml:space="preserve"> MACROBUTTON  SnrToggleCheckbox □适用 </w:instrText>
              </w:r>
              <w:r>
                <w:fldChar w:fldCharType="end"/>
              </w:r>
              <w:r>
                <w:fldChar w:fldCharType="begin"/>
              </w:r>
              <w:r w:rsidR="00EF53CE">
                <w:instrText xml:space="preserve"> MACROBUTTON  SnrToggleCheckbox √不适用 </w:instrText>
              </w:r>
              <w:r>
                <w:fldChar w:fldCharType="end"/>
              </w:r>
            </w:p>
          </w:sdtContent>
        </w:sdt>
      </w:sdtContent>
    </w:sdt>
    <w:bookmarkEnd w:id="131" w:displacedByCustomXml="prev"/>
    <w:bookmarkStart w:id="132" w:name="_Hlk10471472" w:displacedByCustomXml="next"/>
    <w:bookmarkStart w:id="133" w:name="_Hlk10471485" w:displacedByCustomXml="next"/>
    <w:sdt>
      <w:sdtPr>
        <w:rPr>
          <w:rFonts w:ascii="宋体" w:hAnsi="宋体" w:cs="宋体" w:hint="eastAsia"/>
          <w:b w:val="0"/>
          <w:bCs w:val="0"/>
          <w:kern w:val="0"/>
          <w:szCs w:val="24"/>
        </w:rPr>
        <w:alias w:val="模块:减值准备计提情况"/>
        <w:tag w:val="_SEC_bff86b17d4774a4a9f8a3329635b5429"/>
        <w:id w:val="-1433584668"/>
        <w:lock w:val="sdtLocked"/>
        <w:placeholder>
          <w:docPart w:val="GBC22222222222222222222222222222"/>
        </w:placeholder>
      </w:sdtPr>
      <w:sdtEndPr>
        <w:rPr>
          <w:rFonts w:hint="default"/>
        </w:rPr>
      </w:sdtEndPr>
      <w:sdtContent>
        <w:p w:rsidR="00ED2DC7" w:rsidRDefault="00ED2DC7" w:rsidP="00036BDC">
          <w:pPr>
            <w:pStyle w:val="affffffffffffffffff2"/>
            <w:numPr>
              <w:ilvl w:val="3"/>
              <w:numId w:val="57"/>
            </w:numPr>
            <w:ind w:left="426" w:hanging="426"/>
          </w:pPr>
          <w:r>
            <w:rPr>
              <w:rFonts w:ascii="宋体" w:hAnsi="宋体" w:cs="宋体" w:hint="eastAsia"/>
              <w:bCs w:val="0"/>
              <w:kern w:val="0"/>
              <w:szCs w:val="24"/>
            </w:rPr>
            <w:t>减值准备计提情况</w:t>
          </w:r>
          <w:bookmarkEnd w:id="132"/>
        </w:p>
        <w:sdt>
          <w:sdtPr>
            <w:alias w:val="是否适用：债权投资减值准备调节表[双击切换]"/>
            <w:tag w:val="_GBC_415a5cd43ad14136b13ac09b150da06f"/>
            <w:id w:val="-784738018"/>
            <w:lock w:val="sdtContentLocked"/>
            <w:placeholder>
              <w:docPart w:val="GBC22222222222222222222222222222"/>
            </w:placeholder>
          </w:sdtPr>
          <w:sdtContent>
            <w:p w:rsidR="00EF53CE" w:rsidRDefault="00ED2DC7" w:rsidP="00EF53CE">
              <w:r>
                <w:fldChar w:fldCharType="begin"/>
              </w:r>
              <w:r w:rsidR="00EF53CE">
                <w:instrText xml:space="preserve"> MACROBUTTON  SnrToggleCheckbox □适用 </w:instrText>
              </w:r>
              <w:r>
                <w:fldChar w:fldCharType="end"/>
              </w:r>
              <w:r>
                <w:fldChar w:fldCharType="begin"/>
              </w:r>
              <w:r w:rsidR="00EF53CE">
                <w:instrText xml:space="preserve"> MACROBUTTON  SnrToggleCheckbox √不适用 </w:instrText>
              </w:r>
              <w:r>
                <w:fldChar w:fldCharType="end"/>
              </w:r>
            </w:p>
          </w:sdtContent>
        </w:sdt>
        <w:p w:rsidR="00ED2DC7" w:rsidRDefault="00ED2DC7">
          <w:pPr>
            <w:ind w:right="210"/>
          </w:pPr>
        </w:p>
        <w:p w:rsidR="00ED2DC7" w:rsidRDefault="000D0A99">
          <w:pPr>
            <w:ind w:right="210"/>
          </w:pPr>
        </w:p>
      </w:sdtContent>
    </w:sdt>
    <w:bookmarkEnd w:id="133" w:displacedByCustomXml="prev"/>
    <w:bookmarkStart w:id="134" w:name="_Hlk10471652" w:displacedByCustomXml="next"/>
    <w:sdt>
      <w:sdtPr>
        <w:rPr>
          <w:rFonts w:ascii="宋体" w:hAnsi="宋体" w:cs="宋体" w:hint="eastAsia"/>
          <w:b w:val="0"/>
          <w:bCs w:val="0"/>
          <w:kern w:val="0"/>
          <w:szCs w:val="21"/>
        </w:rPr>
        <w:alias w:val="模块:其他债权投资"/>
        <w:tag w:val="_SEC_1af1e8e9eab94f10811b4e7aa91aa24d"/>
        <w:id w:val="819928473"/>
        <w:lock w:val="sdtLocked"/>
        <w:placeholder>
          <w:docPart w:val="GBC22222222222222222222222222222"/>
        </w:placeholder>
      </w:sdtPr>
      <w:sdtEndPr>
        <w:rPr>
          <w:szCs w:val="24"/>
        </w:rPr>
      </w:sdtEndPr>
      <w:sdtContent>
        <w:p w:rsidR="00ED2DC7" w:rsidRDefault="00ED2DC7" w:rsidP="00036BDC">
          <w:pPr>
            <w:pStyle w:val="affffffffffffffffff1"/>
            <w:numPr>
              <w:ilvl w:val="0"/>
              <w:numId w:val="49"/>
            </w:numPr>
            <w:tabs>
              <w:tab w:val="left" w:pos="504"/>
            </w:tabs>
            <w:rPr>
              <w:rFonts w:ascii="宋体" w:hAnsi="宋体"/>
              <w:szCs w:val="21"/>
            </w:rPr>
          </w:pPr>
          <w:r>
            <w:rPr>
              <w:rFonts w:ascii="宋体" w:hAnsi="宋体" w:hint="eastAsia"/>
              <w:szCs w:val="21"/>
            </w:rPr>
            <w:t>其他债权投资</w:t>
          </w:r>
        </w:p>
        <w:p w:rsidR="00ED2DC7" w:rsidRDefault="00ED2DC7" w:rsidP="00036BDC">
          <w:pPr>
            <w:pStyle w:val="affffffffffffffffff2"/>
            <w:numPr>
              <w:ilvl w:val="3"/>
              <w:numId w:val="58"/>
            </w:numPr>
            <w:ind w:left="426" w:hanging="426"/>
          </w:pPr>
          <w:r>
            <w:rPr>
              <w:rFonts w:hint="eastAsia"/>
            </w:rPr>
            <w:t>其他债权投资情况</w:t>
          </w:r>
        </w:p>
        <w:sdt>
          <w:sdtPr>
            <w:alias w:val="是否适用：其他债权投资情况[双击切换]"/>
            <w:tag w:val="_GBC_a2d99fd3a665497694c6ad6801c54a4f"/>
            <w:id w:val="-515536887"/>
            <w:lock w:val="sdtContentLocked"/>
            <w:placeholder>
              <w:docPart w:val="GBC22222222222222222222222222222"/>
            </w:placeholder>
          </w:sdtPr>
          <w:sdtContent>
            <w:p w:rsidR="00ED2DC7" w:rsidRDefault="00ED2DC7" w:rsidP="00EF53CE">
              <w:pPr>
                <w:ind w:right="210"/>
              </w:pPr>
              <w:r>
                <w:fldChar w:fldCharType="begin"/>
              </w:r>
              <w:r w:rsidR="00EF53CE">
                <w:instrText xml:space="preserve"> MACROBUTTON  SnrToggleCheckbox □适用 </w:instrText>
              </w:r>
              <w:r>
                <w:fldChar w:fldCharType="end"/>
              </w:r>
              <w:r>
                <w:fldChar w:fldCharType="begin"/>
              </w:r>
              <w:r w:rsidR="00EF53CE">
                <w:instrText xml:space="preserve"> MACROBUTTON  SnrToggleCheckbox √不适用 </w:instrText>
              </w:r>
              <w:r>
                <w:fldChar w:fldCharType="end"/>
              </w:r>
            </w:p>
          </w:sdtContent>
        </w:sdt>
      </w:sdtContent>
    </w:sdt>
    <w:bookmarkEnd w:id="134" w:displacedByCustomXml="prev"/>
    <w:bookmarkStart w:id="135" w:name="_Hlk10471670" w:displacedByCustomXml="next"/>
    <w:bookmarkStart w:id="136" w:name="_Hlk10471680" w:displacedByCustomXml="next"/>
    <w:sdt>
      <w:sdtPr>
        <w:rPr>
          <w:rFonts w:ascii="宋体" w:hAnsi="宋体" w:cs="宋体" w:hint="eastAsia"/>
          <w:b w:val="0"/>
          <w:bCs w:val="0"/>
          <w:kern w:val="0"/>
          <w:szCs w:val="24"/>
        </w:rPr>
        <w:alias w:val="模块:期末重要的其他债权投资"/>
        <w:tag w:val="_SEC_052112d020944ec8b923dd106b2a0cbf"/>
        <w:id w:val="-465038367"/>
        <w:lock w:val="sdtLocked"/>
        <w:placeholder>
          <w:docPart w:val="GBC22222222222222222222222222222"/>
        </w:placeholder>
      </w:sdtPr>
      <w:sdtEndPr>
        <w:rPr>
          <w:rFonts w:hint="default"/>
          <w:szCs w:val="21"/>
        </w:rPr>
      </w:sdtEndPr>
      <w:sdtContent>
        <w:p w:rsidR="00ED2DC7" w:rsidRDefault="00ED2DC7" w:rsidP="00036BDC">
          <w:pPr>
            <w:pStyle w:val="affffffffffffffffff2"/>
            <w:numPr>
              <w:ilvl w:val="3"/>
              <w:numId w:val="58"/>
            </w:numPr>
            <w:ind w:left="426" w:hanging="426"/>
          </w:pPr>
          <w:r>
            <w:rPr>
              <w:rFonts w:hint="eastAsia"/>
            </w:rPr>
            <w:t>期末重要的其他债权投资</w:t>
          </w:r>
          <w:bookmarkEnd w:id="135"/>
        </w:p>
        <w:sdt>
          <w:sdtPr>
            <w:alias w:val="是否适用：重要的其他债权投资[双击切换]"/>
            <w:tag w:val="_GBC_e8808db892544b1ead740cddc4156455"/>
            <w:id w:val="-745956260"/>
            <w:lock w:val="sdtContentLocked"/>
            <w:placeholder>
              <w:docPart w:val="GBC22222222222222222222222222222"/>
            </w:placeholder>
          </w:sdtPr>
          <w:sdtContent>
            <w:p w:rsidR="00ED2DC7" w:rsidRDefault="00ED2DC7" w:rsidP="00EF53CE">
              <w:pPr>
                <w:ind w:right="210"/>
                <w:rPr>
                  <w:szCs w:val="21"/>
                </w:rPr>
              </w:pPr>
              <w:r>
                <w:fldChar w:fldCharType="begin"/>
              </w:r>
              <w:r w:rsidR="00EF53CE">
                <w:instrText xml:space="preserve"> MACROBUTTON  SnrToggleCheckbox □适用 </w:instrText>
              </w:r>
              <w:r>
                <w:fldChar w:fldCharType="end"/>
              </w:r>
              <w:r>
                <w:fldChar w:fldCharType="begin"/>
              </w:r>
              <w:r w:rsidR="00EF53CE">
                <w:instrText xml:space="preserve"> MACROBUTTON  SnrToggleCheckbox √不适用 </w:instrText>
              </w:r>
              <w:r>
                <w:fldChar w:fldCharType="end"/>
              </w:r>
            </w:p>
          </w:sdtContent>
        </w:sdt>
      </w:sdtContent>
    </w:sdt>
    <w:bookmarkEnd w:id="136" w:displacedByCustomXml="prev"/>
    <w:bookmarkStart w:id="137" w:name="_Hlk10471703" w:displacedByCustomXml="next"/>
    <w:bookmarkStart w:id="138" w:name="_Hlk10471716" w:displacedByCustomXml="next"/>
    <w:sdt>
      <w:sdtPr>
        <w:rPr>
          <w:rFonts w:ascii="宋体" w:hAnsi="宋体" w:cs="宋体" w:hint="eastAsia"/>
          <w:b w:val="0"/>
          <w:bCs w:val="0"/>
          <w:kern w:val="0"/>
          <w:szCs w:val="24"/>
        </w:rPr>
        <w:alias w:val="模块:减值准备计提情况"/>
        <w:tag w:val="_SEC_a18c2d8250c64daf904816a57fe286bd"/>
        <w:id w:val="-1863976364"/>
        <w:lock w:val="sdtLocked"/>
        <w:placeholder>
          <w:docPart w:val="GBC22222222222222222222222222222"/>
        </w:placeholder>
      </w:sdtPr>
      <w:sdtEndPr>
        <w:rPr>
          <w:rFonts w:hint="default"/>
          <w:szCs w:val="21"/>
        </w:rPr>
      </w:sdtEndPr>
      <w:sdtContent>
        <w:bookmarkStart w:id="139" w:name="_Hlk533848073" w:displacedByCustomXml="prev"/>
        <w:p w:rsidR="00ED2DC7" w:rsidRDefault="00ED2DC7" w:rsidP="00036BDC">
          <w:pPr>
            <w:pStyle w:val="affffffffffffffffff2"/>
            <w:numPr>
              <w:ilvl w:val="3"/>
              <w:numId w:val="58"/>
            </w:numPr>
            <w:ind w:left="426" w:hanging="426"/>
          </w:pPr>
          <w:r>
            <w:rPr>
              <w:rFonts w:ascii="宋体" w:hAnsi="宋体" w:cs="宋体" w:hint="eastAsia"/>
              <w:bCs w:val="0"/>
              <w:kern w:val="0"/>
              <w:szCs w:val="24"/>
            </w:rPr>
            <w:t>减值准备计提情况</w:t>
          </w:r>
          <w:bookmarkEnd w:id="137"/>
        </w:p>
        <w:sdt>
          <w:sdtPr>
            <w:alias w:val="是否适用：其他债权投资减值准备调节表[双击切换]"/>
            <w:tag w:val="_GBC_038e4a0a4815442e91a9309c128001c1"/>
            <w:id w:val="-304933201"/>
            <w:lock w:val="sdtContentLocked"/>
            <w:placeholder>
              <w:docPart w:val="GBC22222222222222222222222222222"/>
            </w:placeholder>
          </w:sdtPr>
          <w:sdtContent>
            <w:p w:rsidR="00EF53CE" w:rsidRDefault="00ED2DC7" w:rsidP="00EF53CE">
              <w:r>
                <w:fldChar w:fldCharType="begin"/>
              </w:r>
              <w:r w:rsidR="00EF53CE">
                <w:instrText xml:space="preserve"> MACROBUTTON  SnrToggleCheckbox □适用 </w:instrText>
              </w:r>
              <w:r>
                <w:fldChar w:fldCharType="end"/>
              </w:r>
              <w:r>
                <w:fldChar w:fldCharType="begin"/>
              </w:r>
              <w:r w:rsidR="00EF53CE">
                <w:instrText xml:space="preserve"> MACROBUTTON  SnrToggleCheckbox √不适用 </w:instrText>
              </w:r>
              <w:r>
                <w:fldChar w:fldCharType="end"/>
              </w:r>
            </w:p>
          </w:sdtContent>
        </w:sdt>
        <w:p w:rsidR="00ED2DC7" w:rsidRDefault="00ED2DC7">
          <w:pPr>
            <w:ind w:right="210"/>
          </w:pPr>
        </w:p>
        <w:p w:rsidR="00ED2DC7" w:rsidRDefault="000D0A99">
          <w:pPr>
            <w:rPr>
              <w:szCs w:val="21"/>
            </w:rPr>
          </w:pPr>
        </w:p>
        <w:bookmarkEnd w:id="139" w:displacedByCustomXml="next"/>
      </w:sdtContent>
    </w:sdt>
    <w:bookmarkEnd w:id="138" w:displacedByCustomXml="prev"/>
    <w:bookmarkStart w:id="140" w:name="_Hlk533848097" w:displacedByCustomXml="next"/>
    <w:bookmarkStart w:id="141" w:name="_Hlk10471761" w:displacedByCustomXml="next"/>
    <w:sdt>
      <w:sdtPr>
        <w:rPr>
          <w:rFonts w:hint="eastAsia"/>
        </w:rPr>
        <w:alias w:val="模块:其他说明："/>
        <w:tag w:val="_SEC_a6d7d62dd24747a08e0a132cf37e100c"/>
        <w:id w:val="433023024"/>
        <w:lock w:val="sdtLocked"/>
        <w:placeholder>
          <w:docPart w:val="GBC22222222222222222222222222222"/>
        </w:placeholder>
      </w:sdtPr>
      <w:sdtEndPr>
        <w:rPr>
          <w:rFonts w:hint="default"/>
          <w:szCs w:val="21"/>
        </w:rPr>
      </w:sdtEndPr>
      <w:sdtContent>
        <w:p w:rsidR="00ED2DC7" w:rsidRDefault="00ED2DC7">
          <w:r>
            <w:rPr>
              <w:rFonts w:hint="eastAsia"/>
            </w:rPr>
            <w:t>其他说明：</w:t>
          </w:r>
          <w:bookmarkEnd w:id="140"/>
        </w:p>
        <w:sdt>
          <w:sdtPr>
            <w:alias w:val="是否适用：其他债权投资其他说明[双击切换]"/>
            <w:tag w:val="_GBC_e37f3e78626b4cd0ad52d68ae2fcdecb"/>
            <w:id w:val="-941605054"/>
            <w:lock w:val="sdtContentLocked"/>
            <w:placeholder>
              <w:docPart w:val="GBC22222222222222222222222222222"/>
            </w:placeholder>
          </w:sdtPr>
          <w:sdtContent>
            <w:p w:rsidR="00ED2DC7" w:rsidRDefault="00ED2DC7" w:rsidP="00EF53CE">
              <w:r>
                <w:fldChar w:fldCharType="begin"/>
              </w:r>
              <w:r w:rsidR="00EF53CE">
                <w:instrText xml:space="preserve"> MACROBUTTON  SnrToggleCheckbox □适用 </w:instrText>
              </w:r>
              <w:r>
                <w:fldChar w:fldCharType="end"/>
              </w:r>
              <w:r>
                <w:fldChar w:fldCharType="begin"/>
              </w:r>
              <w:r w:rsidR="00EF53CE">
                <w:instrText xml:space="preserve"> MACROBUTTON  SnrToggleCheckbox √不适用 </w:instrText>
              </w:r>
              <w:r>
                <w:fldChar w:fldCharType="end"/>
              </w:r>
            </w:p>
          </w:sdtContent>
        </w:sdt>
      </w:sdtContent>
    </w:sdt>
    <w:bookmarkEnd w:id="141" w:displacedByCustomXml="prev"/>
    <w:p w:rsidR="00ED2DC7" w:rsidRDefault="00ED2DC7">
      <w:pPr>
        <w:rPr>
          <w:szCs w:val="21"/>
        </w:rPr>
      </w:pPr>
    </w:p>
    <w:p w:rsidR="00ED2DC7" w:rsidRDefault="00ED2DC7" w:rsidP="00036BDC">
      <w:pPr>
        <w:pStyle w:val="affffffffffffffffff1"/>
        <w:numPr>
          <w:ilvl w:val="0"/>
          <w:numId w:val="49"/>
        </w:numPr>
        <w:tabs>
          <w:tab w:val="left" w:pos="504"/>
        </w:tabs>
        <w:rPr>
          <w:rFonts w:ascii="宋体" w:hAnsi="宋体"/>
          <w:szCs w:val="21"/>
        </w:rPr>
      </w:pPr>
      <w:r>
        <w:rPr>
          <w:rFonts w:ascii="宋体" w:hAnsi="宋体" w:hint="eastAsia"/>
          <w:szCs w:val="21"/>
        </w:rPr>
        <w:t>长期应收款</w:t>
      </w:r>
    </w:p>
    <w:sdt>
      <w:sdtPr>
        <w:rPr>
          <w:rFonts w:ascii="宋体" w:hAnsi="宋体" w:cs="宋体" w:hint="eastAsia"/>
          <w:b w:val="0"/>
          <w:bCs w:val="0"/>
          <w:kern w:val="0"/>
          <w:szCs w:val="24"/>
        </w:rPr>
        <w:alias w:val="模块:长期应收款"/>
        <w:tag w:val="_GBC_2642a454002a499399e1b643b91ef1ad"/>
        <w:id w:val="-161558110"/>
        <w:lock w:val="sdtLocked"/>
        <w:placeholder>
          <w:docPart w:val="GBC22222222222222222222222222222"/>
        </w:placeholder>
      </w:sdtPr>
      <w:sdtEndPr>
        <w:rPr>
          <w:rFonts w:hint="default"/>
          <w:color w:val="FF0000"/>
          <w:szCs w:val="21"/>
        </w:rPr>
      </w:sdtEndPr>
      <w:sdtContent>
        <w:p w:rsidR="00ED2DC7" w:rsidRDefault="00ED2DC7" w:rsidP="00036BDC">
          <w:pPr>
            <w:pStyle w:val="affffffffffffffffff2"/>
            <w:numPr>
              <w:ilvl w:val="0"/>
              <w:numId w:val="59"/>
            </w:numPr>
          </w:pPr>
          <w:r>
            <w:rPr>
              <w:rFonts w:hint="eastAsia"/>
            </w:rPr>
            <w:t>长期应收款情况</w:t>
          </w:r>
        </w:p>
        <w:sdt>
          <w:sdtPr>
            <w:alias w:val="是否适用：长期应收款情况[双击切换]"/>
            <w:tag w:val="_GBC_03ba5a75d6d541f4a60fba2b18c9d548"/>
            <w:id w:val="1573383073"/>
            <w:lock w:val="sdtContentLocked"/>
            <w:placeholder>
              <w:docPart w:val="GBC22222222222222222222222222222"/>
            </w:placeholder>
          </w:sdtPr>
          <w:sdtContent>
            <w:p w:rsidR="00ED2DC7" w:rsidRDefault="00ED2DC7" w:rsidP="00E75F7C">
              <w:pPr>
                <w:rPr>
                  <w:color w:val="FF0000"/>
                  <w:szCs w:val="21"/>
                </w:rPr>
              </w:pPr>
              <w:r>
                <w:fldChar w:fldCharType="begin"/>
              </w:r>
              <w:r w:rsidR="00E75F7C">
                <w:instrText xml:space="preserve"> MACROBUTTON  SnrToggleCheckbox □适用 </w:instrText>
              </w:r>
              <w:r>
                <w:fldChar w:fldCharType="end"/>
              </w:r>
              <w:r>
                <w:fldChar w:fldCharType="begin"/>
              </w:r>
              <w:r w:rsidR="00E75F7C">
                <w:instrText xml:space="preserve"> MACROBUTTON  SnrToggleCheckbox √不适用 </w:instrText>
              </w:r>
              <w:r>
                <w:fldChar w:fldCharType="end"/>
              </w:r>
            </w:p>
          </w:sdtContent>
        </w:sdt>
      </w:sdtContent>
    </w:sdt>
    <w:bookmarkStart w:id="142" w:name="_Hlk10471933" w:displacedByCustomXml="next"/>
    <w:sdt>
      <w:sdtPr>
        <w:rPr>
          <w:rFonts w:ascii="宋体" w:hAnsi="宋体" w:cs="宋体" w:hint="eastAsia"/>
          <w:b w:val="0"/>
          <w:bCs w:val="0"/>
          <w:color w:val="FF0000"/>
          <w:kern w:val="0"/>
          <w:szCs w:val="21"/>
        </w:rPr>
        <w:alias w:val="模块:坏账准备计提情况"/>
        <w:tag w:val="_SEC_a0520f64d4bd49e5a3638a0386a233ee"/>
        <w:id w:val="-751588214"/>
        <w:lock w:val="sdtLocked"/>
        <w:placeholder>
          <w:docPart w:val="GBC22222222222222222222222222222"/>
        </w:placeholder>
      </w:sdtPr>
      <w:sdtEndPr>
        <w:rPr>
          <w:rFonts w:hint="default"/>
        </w:rPr>
      </w:sdtEndPr>
      <w:sdtContent>
        <w:p w:rsidR="00ED2DC7" w:rsidRDefault="00ED2DC7" w:rsidP="00036BDC">
          <w:pPr>
            <w:pStyle w:val="affffffffffffffffff2"/>
            <w:numPr>
              <w:ilvl w:val="0"/>
              <w:numId w:val="59"/>
            </w:numPr>
            <w:rPr>
              <w:szCs w:val="21"/>
            </w:rPr>
          </w:pPr>
          <w:r>
            <w:rPr>
              <w:rFonts w:hint="eastAsia"/>
              <w:szCs w:val="21"/>
            </w:rPr>
            <w:t>坏账准备计提情况</w:t>
          </w:r>
        </w:p>
        <w:sdt>
          <w:sdtPr>
            <w:alias w:val="是否适用：长期应收款坏账准备调节表[双击切换]"/>
            <w:tag w:val="_GBC_f7e4bed7dbb84fbcb52f2226cf465bb3"/>
            <w:id w:val="-1858723807"/>
            <w:lock w:val="sdtContentLocked"/>
            <w:placeholder>
              <w:docPart w:val="GBC22222222222222222222222222222"/>
            </w:placeholder>
          </w:sdtPr>
          <w:sdtContent>
            <w:p w:rsidR="00E75F7C" w:rsidRDefault="00ED2DC7" w:rsidP="00E75F7C">
              <w:pPr>
                <w:rPr>
                  <w:szCs w:val="21"/>
                </w:rPr>
              </w:pPr>
              <w:r>
                <w:fldChar w:fldCharType="begin"/>
              </w:r>
              <w:r w:rsidR="00E75F7C">
                <w:instrText xml:space="preserve"> MACROBUTTON  SnrToggleCheckbox □适用 </w:instrText>
              </w:r>
              <w:r>
                <w:fldChar w:fldCharType="end"/>
              </w:r>
              <w:r>
                <w:fldChar w:fldCharType="begin"/>
              </w:r>
              <w:r w:rsidR="00E75F7C">
                <w:instrText xml:space="preserve"> MACROBUTTON  SnrToggleCheckbox √不适用 </w:instrText>
              </w:r>
              <w:r>
                <w:fldChar w:fldCharType="end"/>
              </w:r>
            </w:p>
          </w:sdtContent>
        </w:sdt>
        <w:p w:rsidR="00ED2DC7" w:rsidRDefault="000D0A99">
          <w:pPr>
            <w:rPr>
              <w:color w:val="FF0000"/>
              <w:szCs w:val="21"/>
            </w:rPr>
          </w:pPr>
        </w:p>
      </w:sdtContent>
    </w:sdt>
    <w:bookmarkEnd w:id="142" w:displacedByCustomXml="prev"/>
    <w:p w:rsidR="00ED2DC7" w:rsidRDefault="00ED2DC7">
      <w:pPr>
        <w:rPr>
          <w:color w:val="FF0000"/>
          <w:szCs w:val="21"/>
        </w:rPr>
      </w:pPr>
    </w:p>
    <w:sdt>
      <w:sdtPr>
        <w:rPr>
          <w:rFonts w:ascii="宋体" w:hAnsi="宋体" w:cs="宋体" w:hint="eastAsia"/>
          <w:b w:val="0"/>
          <w:bCs w:val="0"/>
          <w:kern w:val="0"/>
          <w:szCs w:val="21"/>
        </w:rPr>
        <w:alias w:val="模块:因金融资产转移而终止确认的长期应收款"/>
        <w:tag w:val="_GBC_928896eb74ab465199673a59201d4a8b"/>
        <w:id w:val="-558623331"/>
        <w:lock w:val="sdtLocked"/>
        <w:placeholder>
          <w:docPart w:val="GBC22222222222222222222222222222"/>
        </w:placeholder>
      </w:sdtPr>
      <w:sdtContent>
        <w:p w:rsidR="00ED2DC7" w:rsidRDefault="00ED2DC7" w:rsidP="00036BDC">
          <w:pPr>
            <w:pStyle w:val="affffffffffffffffff2"/>
            <w:numPr>
              <w:ilvl w:val="0"/>
              <w:numId w:val="59"/>
            </w:numPr>
            <w:rPr>
              <w:szCs w:val="21"/>
            </w:rPr>
          </w:pPr>
          <w:r>
            <w:rPr>
              <w:rFonts w:hint="eastAsia"/>
              <w:szCs w:val="21"/>
            </w:rPr>
            <w:t>因金融资产转移而</w:t>
          </w:r>
          <w:r>
            <w:rPr>
              <w:rFonts w:hint="eastAsia"/>
            </w:rPr>
            <w:t>终止</w:t>
          </w:r>
          <w:r>
            <w:rPr>
              <w:rFonts w:hint="eastAsia"/>
              <w:szCs w:val="21"/>
            </w:rPr>
            <w:t>确认的长期应收款</w:t>
          </w:r>
        </w:p>
        <w:sdt>
          <w:sdtPr>
            <w:rPr>
              <w:rFonts w:hint="eastAsia"/>
              <w:szCs w:val="21"/>
            </w:rPr>
            <w:alias w:val="是否适用：因金融资产转移而终止确认的长期应收款[双击切换]"/>
            <w:tag w:val="_GBC_f7aab2a321ef4781ad1595366bc02c5e"/>
            <w:id w:val="-1995404711"/>
            <w:lock w:val="sdtContentLocked"/>
            <w:placeholder>
              <w:docPart w:val="GBC22222222222222222222222222222"/>
            </w:placeholder>
          </w:sdtPr>
          <w:sdtContent>
            <w:p w:rsidR="00ED2DC7" w:rsidRDefault="00ED2DC7" w:rsidP="00E75F7C">
              <w:pPr>
                <w:rPr>
                  <w:szCs w:val="21"/>
                </w:rPr>
              </w:pPr>
              <w:r>
                <w:rPr>
                  <w:szCs w:val="21"/>
                </w:rPr>
                <w:fldChar w:fldCharType="begin"/>
              </w:r>
              <w:r w:rsidR="00E75F7C">
                <w:rPr>
                  <w:szCs w:val="21"/>
                </w:rPr>
                <w:instrText xml:space="preserve"> MACROBUTTON  SnrToggleCheckbox □适用 </w:instrText>
              </w:r>
              <w:r>
                <w:rPr>
                  <w:szCs w:val="21"/>
                </w:rPr>
                <w:fldChar w:fldCharType="end"/>
              </w:r>
              <w:r>
                <w:rPr>
                  <w:szCs w:val="21"/>
                </w:rPr>
                <w:fldChar w:fldCharType="begin"/>
              </w:r>
              <w:r w:rsidR="00E75F7C">
                <w:rPr>
                  <w:szCs w:val="21"/>
                </w:rPr>
                <w:instrText xml:space="preserve"> MACROBUTTON  SnrToggleCheckbox √不适用 </w:instrText>
              </w:r>
              <w:r>
                <w:rPr>
                  <w:szCs w:val="21"/>
                </w:rPr>
                <w:fldChar w:fldCharType="end"/>
              </w:r>
            </w:p>
          </w:sdtContent>
        </w:sdt>
      </w:sdtContent>
    </w:sdt>
    <w:p w:rsidR="00ED2DC7" w:rsidRDefault="00ED2DC7">
      <w:pPr>
        <w:rPr>
          <w:szCs w:val="21"/>
        </w:rPr>
      </w:pPr>
    </w:p>
    <w:sdt>
      <w:sdtPr>
        <w:rPr>
          <w:rFonts w:ascii="宋体" w:hAnsi="宋体" w:cs="宋体" w:hint="eastAsia"/>
          <w:b w:val="0"/>
          <w:bCs w:val="0"/>
          <w:kern w:val="0"/>
          <w:szCs w:val="24"/>
        </w:rPr>
        <w:alias w:val="模块:转移长期应收款且继续涉入形成的资产、负债金额"/>
        <w:tag w:val="_GBC_711f6e05c2eb42e595d774bdf837f823"/>
        <w:id w:val="-1031801735"/>
        <w:lock w:val="sdtLocked"/>
        <w:placeholder>
          <w:docPart w:val="GBC22222222222222222222222222222"/>
        </w:placeholder>
      </w:sdtPr>
      <w:sdtContent>
        <w:p w:rsidR="00ED2DC7" w:rsidRDefault="00ED2DC7" w:rsidP="00036BDC">
          <w:pPr>
            <w:pStyle w:val="affffffffffffffffff2"/>
            <w:numPr>
              <w:ilvl w:val="0"/>
              <w:numId w:val="59"/>
            </w:numPr>
          </w:pPr>
          <w:r>
            <w:rPr>
              <w:rFonts w:hint="eastAsia"/>
            </w:rPr>
            <w:t>转移长期应收款且继续涉入形成的资产、负债金额</w:t>
          </w:r>
        </w:p>
        <w:sdt>
          <w:sdtPr>
            <w:rPr>
              <w:rFonts w:hint="eastAsia"/>
            </w:rPr>
            <w:alias w:val="是否适用：转移长期应收款且继续涉入形成的资产、负债金额[双击切换]"/>
            <w:tag w:val="_GBC_202f97bd4328472388c45157689d09e0"/>
            <w:id w:val="2040618945"/>
            <w:lock w:val="sdtContentLocked"/>
            <w:placeholder>
              <w:docPart w:val="GBC22222222222222222222222222222"/>
            </w:placeholder>
          </w:sdtPr>
          <w:sdtContent>
            <w:p w:rsidR="00ED2DC7" w:rsidRDefault="00ED2DC7" w:rsidP="00E75F7C">
              <w:r>
                <w:fldChar w:fldCharType="begin"/>
              </w:r>
              <w:r w:rsidR="00E75F7C">
                <w:instrText xml:space="preserve"> MACROBUTTON  SnrToggleCheckbox □适用 </w:instrText>
              </w:r>
              <w:r>
                <w:fldChar w:fldCharType="end"/>
              </w:r>
              <w:r>
                <w:fldChar w:fldCharType="begin"/>
              </w:r>
              <w:r w:rsidR="00E75F7C">
                <w:instrText xml:space="preserve"> MACROBUTTON  SnrToggleCheckbox √不适用 </w:instrText>
              </w:r>
              <w:r>
                <w:fldChar w:fldCharType="end"/>
              </w:r>
            </w:p>
          </w:sdtContent>
        </w:sdt>
      </w:sdtContent>
    </w:sdt>
    <w:p w:rsidR="00ED2DC7" w:rsidRDefault="00ED2DC7">
      <w:pPr>
        <w:rPr>
          <w:szCs w:val="21"/>
        </w:rPr>
      </w:pPr>
    </w:p>
    <w:sdt>
      <w:sdtPr>
        <w:rPr>
          <w:rFonts w:hint="eastAsia"/>
          <w:szCs w:val="21"/>
        </w:rPr>
        <w:alias w:val="模块:长期应收款的其他说明"/>
        <w:tag w:val="_GBC_2a6246644ca84dfdb1b5ecc95ea5c0c2"/>
        <w:id w:val="1023204128"/>
        <w:lock w:val="sdtLocked"/>
        <w:placeholder>
          <w:docPart w:val="GBC22222222222222222222222222222"/>
        </w:placeholder>
      </w:sdtPr>
      <w:sdtContent>
        <w:p w:rsidR="00ED2DC7" w:rsidRDefault="00ED2DC7">
          <w:pPr>
            <w:rPr>
              <w:szCs w:val="21"/>
            </w:rPr>
          </w:pPr>
          <w:r>
            <w:rPr>
              <w:rFonts w:hint="eastAsia"/>
              <w:szCs w:val="21"/>
            </w:rPr>
            <w:t>其他说明：</w:t>
          </w:r>
        </w:p>
        <w:sdt>
          <w:sdtPr>
            <w:rPr>
              <w:rFonts w:hint="eastAsia"/>
              <w:szCs w:val="21"/>
            </w:rPr>
            <w:alias w:val="是否适用：长期应收款的其他说明[双击切换]"/>
            <w:tag w:val="_GBC_a368edfbd60c44cdaed5299529b44fa0"/>
            <w:id w:val="1191878060"/>
            <w:lock w:val="sdtContentLocked"/>
            <w:placeholder>
              <w:docPart w:val="GBC22222222222222222222222222222"/>
            </w:placeholder>
          </w:sdtPr>
          <w:sdtContent>
            <w:p w:rsidR="00ED2DC7" w:rsidRDefault="00ED2DC7" w:rsidP="00E75F7C">
              <w:pPr>
                <w:rPr>
                  <w:szCs w:val="21"/>
                </w:rPr>
              </w:pPr>
              <w:r>
                <w:rPr>
                  <w:szCs w:val="21"/>
                </w:rPr>
                <w:fldChar w:fldCharType="begin"/>
              </w:r>
              <w:r w:rsidR="00E75F7C">
                <w:rPr>
                  <w:szCs w:val="21"/>
                </w:rPr>
                <w:instrText xml:space="preserve"> MACROBUTTON  SnrToggleCheckbox □适用 </w:instrText>
              </w:r>
              <w:r>
                <w:rPr>
                  <w:szCs w:val="21"/>
                </w:rPr>
                <w:fldChar w:fldCharType="end"/>
              </w:r>
              <w:r>
                <w:rPr>
                  <w:szCs w:val="21"/>
                </w:rPr>
                <w:fldChar w:fldCharType="begin"/>
              </w:r>
              <w:r w:rsidR="00E75F7C">
                <w:rPr>
                  <w:szCs w:val="21"/>
                </w:rPr>
                <w:instrText xml:space="preserve"> MACROBUTTON  SnrToggleCheckbox √不适用 </w:instrText>
              </w:r>
              <w:r>
                <w:rPr>
                  <w:szCs w:val="21"/>
                </w:rPr>
                <w:fldChar w:fldCharType="end"/>
              </w:r>
            </w:p>
          </w:sdtContent>
        </w:sdt>
      </w:sdtContent>
    </w:sdt>
    <w:p w:rsidR="00ED2DC7" w:rsidRDefault="00ED2DC7">
      <w:pPr>
        <w:rPr>
          <w:szCs w:val="21"/>
        </w:rPr>
      </w:pPr>
    </w:p>
    <w:p w:rsidR="00ED2DC7" w:rsidRPr="00F61ADC" w:rsidRDefault="00ED2DC7" w:rsidP="00036BDC">
      <w:pPr>
        <w:pStyle w:val="affffffffffffffffff1"/>
        <w:numPr>
          <w:ilvl w:val="0"/>
          <w:numId w:val="49"/>
        </w:numPr>
        <w:tabs>
          <w:tab w:val="left" w:pos="504"/>
        </w:tabs>
        <w:rPr>
          <w:rFonts w:ascii="宋体" w:hAnsi="宋体"/>
          <w:szCs w:val="21"/>
        </w:rPr>
      </w:pPr>
      <w:r w:rsidRPr="00F61ADC">
        <w:rPr>
          <w:rFonts w:ascii="宋体" w:hAnsi="宋体" w:hint="eastAsia"/>
          <w:szCs w:val="21"/>
        </w:rPr>
        <w:lastRenderedPageBreak/>
        <w:t>长期股权投资</w:t>
      </w:r>
    </w:p>
    <w:p w:rsidR="00ED2DC7" w:rsidRDefault="000D0A99">
      <w:sdt>
        <w:sdtPr>
          <w:rPr>
            <w:rFonts w:hint="eastAsia"/>
          </w:rPr>
          <w:alias w:val="是否适用：长期股权投资[双击切换]"/>
          <w:tag w:val="_GBC_bafa2cb2262c4c4ebc4eed8f4e4a81c6"/>
          <w:id w:val="-937743469"/>
          <w:lock w:val="sdtContentLocked"/>
          <w:placeholder>
            <w:docPart w:val="GBC22222222222222222222222222222"/>
          </w:placeholder>
        </w:sdtPr>
        <w:sdtContent>
          <w:r w:rsidR="00ED2DC7">
            <w:fldChar w:fldCharType="begin"/>
          </w:r>
          <w:r w:rsidR="00E75F7C">
            <w:instrText xml:space="preserve"> MACROBUTTON  SnrToggleCheckbox √适用 </w:instrText>
          </w:r>
          <w:r w:rsidR="00ED2DC7">
            <w:fldChar w:fldCharType="end"/>
          </w:r>
          <w:r w:rsidR="00ED2DC7">
            <w:fldChar w:fldCharType="begin"/>
          </w:r>
          <w:r w:rsidR="00E75F7C">
            <w:instrText xml:space="preserve"> MACROBUTTON  SnrToggleCheckbox □不适用 </w:instrText>
          </w:r>
          <w:r w:rsidR="00ED2DC7">
            <w:fldChar w:fldCharType="end"/>
          </w:r>
        </w:sdtContent>
      </w:sdt>
    </w:p>
    <w:sdt>
      <w:sdtPr>
        <w:rPr>
          <w:rFonts w:hint="eastAsia"/>
          <w:szCs w:val="21"/>
        </w:rPr>
        <w:alias w:val="模块:长期股权投资"/>
        <w:tag w:val="_GBC_e68906ccea2845f1856fe89f4de6c229"/>
        <w:id w:val="-1010371366"/>
        <w:lock w:val="sdtLocked"/>
        <w:placeholder>
          <w:docPart w:val="GBC22222222222222222222222222222"/>
        </w:placeholder>
      </w:sdtPr>
      <w:sdtContent>
        <w:p w:rsidR="00ED2DC7" w:rsidRDefault="00ED2DC7">
          <w:pPr>
            <w:jc w:val="right"/>
            <w:rPr>
              <w:szCs w:val="21"/>
            </w:rPr>
          </w:pPr>
          <w:r>
            <w:rPr>
              <w:rFonts w:hint="eastAsia"/>
              <w:szCs w:val="21"/>
            </w:rPr>
            <w:t>单位：</w:t>
          </w:r>
          <w:sdt>
            <w:sdtPr>
              <w:rPr>
                <w:rFonts w:hint="eastAsia"/>
                <w:szCs w:val="21"/>
              </w:rPr>
              <w:alias w:val="单位：财务附注：长期股权投资"/>
              <w:tag w:val="_GBC_63e30834d38e49658bec9056bc38e4e2"/>
              <w:id w:val="-2185216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hint="eastAsia"/>
                  <w:szCs w:val="21"/>
                </w:rPr>
                <w:t>元</w:t>
              </w:r>
            </w:sdtContent>
          </w:sdt>
          <w:r>
            <w:rPr>
              <w:rFonts w:hint="eastAsia"/>
              <w:szCs w:val="21"/>
            </w:rPr>
            <w:t xml:space="preserve">  币种：</w:t>
          </w:r>
          <w:sdt>
            <w:sdtPr>
              <w:rPr>
                <w:rFonts w:hint="eastAsia"/>
                <w:szCs w:val="21"/>
              </w:rPr>
              <w:alias w:val="币种：财务附注：长期股权投资"/>
              <w:tag w:val="_GBC_f72bca6b250e484887289a819bc62e7d"/>
              <w:id w:val="-170023420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szCs w:val="21"/>
                </w:rPr>
                <w:t>人民币</w:t>
              </w:r>
            </w:sdtContent>
          </w:sdt>
        </w:p>
        <w:tbl>
          <w:tblPr>
            <w:tblStyle w:val="g38"/>
            <w:tblW w:w="6186" w:type="pct"/>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5"/>
            <w:gridCol w:w="1133"/>
            <w:gridCol w:w="993"/>
            <w:gridCol w:w="843"/>
            <w:gridCol w:w="1011"/>
            <w:gridCol w:w="854"/>
            <w:gridCol w:w="980"/>
            <w:gridCol w:w="565"/>
            <w:gridCol w:w="568"/>
            <w:gridCol w:w="432"/>
            <w:gridCol w:w="1271"/>
            <w:gridCol w:w="991"/>
          </w:tblGrid>
          <w:tr w:rsidR="00B637B2" w:rsidTr="00B637B2">
            <w:sdt>
              <w:sdtPr>
                <w:rPr>
                  <w:sz w:val="16"/>
                  <w:szCs w:val="16"/>
                </w:rPr>
                <w:tag w:val="_PLD_f83b8af388eb4b51ac2d014806d1cf64"/>
                <w:id w:val="-268701802"/>
                <w:lock w:val="sdtLocked"/>
              </w:sdtPr>
              <w:sdtContent>
                <w:tc>
                  <w:tcPr>
                    <w:tcW w:w="584" w:type="pct"/>
                    <w:vMerge w:val="restart"/>
                    <w:tcBorders>
                      <w:top w:val="single" w:sz="4" w:space="0" w:color="auto"/>
                      <w:left w:val="single" w:sz="4" w:space="0" w:color="auto"/>
                      <w:right w:val="single" w:sz="4" w:space="0" w:color="auto"/>
                    </w:tcBorders>
                    <w:shd w:val="clear" w:color="auto" w:fill="auto"/>
                    <w:vAlign w:val="center"/>
                  </w:tcPr>
                  <w:p w:rsidR="00B637B2" w:rsidRPr="00F61ADC" w:rsidRDefault="008F04CF" w:rsidP="00B637B2">
                    <w:pPr>
                      <w:jc w:val="center"/>
                      <w:rPr>
                        <w:sz w:val="16"/>
                        <w:szCs w:val="16"/>
                      </w:rPr>
                    </w:pPr>
                    <w:r w:rsidRPr="00F61ADC">
                      <w:rPr>
                        <w:rFonts w:hint="eastAsia"/>
                        <w:sz w:val="16"/>
                        <w:szCs w:val="16"/>
                      </w:rPr>
                      <w:t>被投资单位</w:t>
                    </w:r>
                  </w:p>
                </w:tc>
              </w:sdtContent>
            </w:sdt>
            <w:sdt>
              <w:sdtPr>
                <w:rPr>
                  <w:sz w:val="16"/>
                  <w:szCs w:val="16"/>
                </w:rPr>
                <w:tag w:val="_PLD_13e6a1fe1f124ad387aad52d77f70942"/>
                <w:id w:val="-1087758927"/>
                <w:lock w:val="sdtLocked"/>
              </w:sdtPr>
              <w:sdtContent>
                <w:tc>
                  <w:tcPr>
                    <w:tcW w:w="519" w:type="pct"/>
                    <w:vMerge w:val="restart"/>
                    <w:tcBorders>
                      <w:top w:val="single" w:sz="4" w:space="0" w:color="auto"/>
                      <w:left w:val="single" w:sz="4" w:space="0" w:color="auto"/>
                      <w:right w:val="single" w:sz="4" w:space="0" w:color="auto"/>
                    </w:tcBorders>
                    <w:shd w:val="clear" w:color="auto" w:fill="auto"/>
                    <w:vAlign w:val="center"/>
                  </w:tcPr>
                  <w:p w:rsidR="00B637B2" w:rsidRPr="00F61ADC" w:rsidRDefault="008F04CF" w:rsidP="00B637B2">
                    <w:pPr>
                      <w:jc w:val="center"/>
                      <w:rPr>
                        <w:sz w:val="16"/>
                        <w:szCs w:val="16"/>
                      </w:rPr>
                    </w:pPr>
                    <w:r w:rsidRPr="00F61ADC">
                      <w:rPr>
                        <w:rFonts w:hint="eastAsia"/>
                        <w:sz w:val="16"/>
                        <w:szCs w:val="16"/>
                      </w:rPr>
                      <w:t>期初</w:t>
                    </w:r>
                  </w:p>
                  <w:p w:rsidR="00B637B2" w:rsidRPr="00F61ADC" w:rsidRDefault="008F04CF" w:rsidP="00B637B2">
                    <w:pPr>
                      <w:jc w:val="center"/>
                      <w:rPr>
                        <w:sz w:val="16"/>
                        <w:szCs w:val="16"/>
                      </w:rPr>
                    </w:pPr>
                    <w:r w:rsidRPr="00F61ADC">
                      <w:rPr>
                        <w:rFonts w:hint="eastAsia"/>
                        <w:sz w:val="16"/>
                        <w:szCs w:val="16"/>
                      </w:rPr>
                      <w:t>余额</w:t>
                    </w:r>
                  </w:p>
                </w:tc>
              </w:sdtContent>
            </w:sdt>
            <w:sdt>
              <w:sdtPr>
                <w:rPr>
                  <w:sz w:val="16"/>
                  <w:szCs w:val="16"/>
                </w:rPr>
                <w:tag w:val="_PLD_26fdf8bbc93c4727b9e370d1fdd1f305"/>
                <w:id w:val="-2022375134"/>
                <w:lock w:val="sdtLocked"/>
              </w:sdtPr>
              <w:sdtContent>
                <w:tc>
                  <w:tcPr>
                    <w:tcW w:w="2861"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B637B2" w:rsidRPr="00F61ADC" w:rsidRDefault="008F04CF" w:rsidP="00B637B2">
                    <w:pPr>
                      <w:jc w:val="center"/>
                      <w:rPr>
                        <w:sz w:val="16"/>
                        <w:szCs w:val="16"/>
                      </w:rPr>
                    </w:pPr>
                    <w:r w:rsidRPr="00F61ADC">
                      <w:rPr>
                        <w:rFonts w:hint="eastAsia"/>
                        <w:sz w:val="16"/>
                        <w:szCs w:val="16"/>
                      </w:rPr>
                      <w:t>本期增减变动</w:t>
                    </w:r>
                  </w:p>
                </w:tc>
              </w:sdtContent>
            </w:sdt>
            <w:sdt>
              <w:sdtPr>
                <w:rPr>
                  <w:sz w:val="16"/>
                  <w:szCs w:val="16"/>
                </w:rPr>
                <w:tag w:val="_PLD_26f512d0941441d6b65bf5cb83112461"/>
                <w:id w:val="-1299917934"/>
                <w:lock w:val="sdtLocked"/>
              </w:sdtPr>
              <w:sdtContent>
                <w:tc>
                  <w:tcPr>
                    <w:tcW w:w="582" w:type="pct"/>
                    <w:vMerge w:val="restart"/>
                    <w:tcBorders>
                      <w:top w:val="single" w:sz="4" w:space="0" w:color="auto"/>
                      <w:left w:val="single" w:sz="4" w:space="0" w:color="auto"/>
                      <w:right w:val="single" w:sz="4" w:space="0" w:color="auto"/>
                    </w:tcBorders>
                    <w:shd w:val="clear" w:color="auto" w:fill="auto"/>
                    <w:vAlign w:val="center"/>
                  </w:tcPr>
                  <w:p w:rsidR="00B637B2" w:rsidRPr="00F61ADC" w:rsidRDefault="008F04CF" w:rsidP="00B637B2">
                    <w:pPr>
                      <w:jc w:val="center"/>
                      <w:rPr>
                        <w:sz w:val="16"/>
                        <w:szCs w:val="16"/>
                      </w:rPr>
                    </w:pPr>
                    <w:r w:rsidRPr="00F61ADC">
                      <w:rPr>
                        <w:rFonts w:hint="eastAsia"/>
                        <w:sz w:val="16"/>
                        <w:szCs w:val="16"/>
                      </w:rPr>
                      <w:t>期末</w:t>
                    </w:r>
                  </w:p>
                  <w:p w:rsidR="00B637B2" w:rsidRPr="00F61ADC" w:rsidRDefault="008F04CF" w:rsidP="00B637B2">
                    <w:pPr>
                      <w:jc w:val="center"/>
                      <w:rPr>
                        <w:sz w:val="16"/>
                        <w:szCs w:val="16"/>
                      </w:rPr>
                    </w:pPr>
                    <w:r w:rsidRPr="00F61ADC">
                      <w:rPr>
                        <w:rFonts w:hint="eastAsia"/>
                        <w:sz w:val="16"/>
                        <w:szCs w:val="16"/>
                      </w:rPr>
                      <w:t>余额</w:t>
                    </w:r>
                  </w:p>
                </w:tc>
              </w:sdtContent>
            </w:sdt>
            <w:sdt>
              <w:sdtPr>
                <w:rPr>
                  <w:sz w:val="16"/>
                  <w:szCs w:val="16"/>
                </w:rPr>
                <w:tag w:val="_PLD_0a22719961ad439599d68ae073360e65"/>
                <w:id w:val="-353107765"/>
                <w:lock w:val="sdtLocked"/>
              </w:sdtPr>
              <w:sdtContent>
                <w:tc>
                  <w:tcPr>
                    <w:tcW w:w="454" w:type="pct"/>
                    <w:vMerge w:val="restart"/>
                    <w:tcBorders>
                      <w:top w:val="single" w:sz="4" w:space="0" w:color="auto"/>
                      <w:left w:val="single" w:sz="4" w:space="0" w:color="auto"/>
                      <w:right w:val="single" w:sz="4" w:space="0" w:color="auto"/>
                    </w:tcBorders>
                    <w:shd w:val="clear" w:color="auto" w:fill="auto"/>
                    <w:vAlign w:val="center"/>
                  </w:tcPr>
                  <w:p w:rsidR="00B637B2" w:rsidRPr="00F61ADC" w:rsidRDefault="008F04CF" w:rsidP="00B637B2">
                    <w:pPr>
                      <w:jc w:val="center"/>
                      <w:rPr>
                        <w:sz w:val="16"/>
                        <w:szCs w:val="16"/>
                      </w:rPr>
                    </w:pPr>
                    <w:r w:rsidRPr="00F61ADC">
                      <w:rPr>
                        <w:rFonts w:hint="eastAsia"/>
                        <w:sz w:val="16"/>
                        <w:szCs w:val="16"/>
                      </w:rPr>
                      <w:t>减值准备期末余额</w:t>
                    </w:r>
                  </w:p>
                </w:tc>
              </w:sdtContent>
            </w:sdt>
          </w:tr>
          <w:tr w:rsidR="00B637B2" w:rsidTr="00B637B2">
            <w:tc>
              <w:tcPr>
                <w:tcW w:w="584" w:type="pct"/>
                <w:vMerge/>
                <w:tcBorders>
                  <w:left w:val="single" w:sz="4" w:space="0" w:color="auto"/>
                  <w:bottom w:val="single" w:sz="4" w:space="0" w:color="auto"/>
                  <w:right w:val="single" w:sz="4" w:space="0" w:color="auto"/>
                </w:tcBorders>
                <w:shd w:val="clear" w:color="auto" w:fill="auto"/>
              </w:tcPr>
              <w:p w:rsidR="00B637B2" w:rsidRPr="00F61ADC" w:rsidRDefault="00B637B2" w:rsidP="00B637B2">
                <w:pPr>
                  <w:jc w:val="center"/>
                  <w:rPr>
                    <w:sz w:val="16"/>
                    <w:szCs w:val="16"/>
                  </w:rPr>
                </w:pPr>
              </w:p>
            </w:tc>
            <w:tc>
              <w:tcPr>
                <w:tcW w:w="519" w:type="pct"/>
                <w:vMerge/>
                <w:tcBorders>
                  <w:left w:val="single" w:sz="4" w:space="0" w:color="auto"/>
                  <w:bottom w:val="single" w:sz="4" w:space="0" w:color="auto"/>
                  <w:right w:val="single" w:sz="4" w:space="0" w:color="auto"/>
                </w:tcBorders>
                <w:shd w:val="clear" w:color="auto" w:fill="auto"/>
              </w:tcPr>
              <w:p w:rsidR="00B637B2" w:rsidRPr="00F61ADC" w:rsidRDefault="00B637B2" w:rsidP="00B637B2">
                <w:pPr>
                  <w:jc w:val="center"/>
                  <w:rPr>
                    <w:sz w:val="16"/>
                    <w:szCs w:val="16"/>
                  </w:rPr>
                </w:pPr>
              </w:p>
            </w:tc>
            <w:sdt>
              <w:sdtPr>
                <w:rPr>
                  <w:sz w:val="16"/>
                  <w:szCs w:val="16"/>
                </w:rPr>
                <w:tag w:val="_PLD_51f40272a3ff4bacb9c71b19b5796e3e"/>
                <w:id w:val="-1041890476"/>
                <w:lock w:val="sdtLocked"/>
              </w:sdtPr>
              <w:sdtContent>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F61ADC" w:rsidRDefault="008F04CF" w:rsidP="00B637B2">
                    <w:pPr>
                      <w:jc w:val="center"/>
                      <w:rPr>
                        <w:sz w:val="16"/>
                        <w:szCs w:val="16"/>
                      </w:rPr>
                    </w:pPr>
                    <w:r w:rsidRPr="00F61ADC">
                      <w:rPr>
                        <w:rFonts w:hint="eastAsia"/>
                        <w:sz w:val="16"/>
                        <w:szCs w:val="16"/>
                      </w:rPr>
                      <w:t>追加投资</w:t>
                    </w:r>
                  </w:p>
                </w:tc>
              </w:sdtContent>
            </w:sdt>
            <w:sdt>
              <w:sdtPr>
                <w:rPr>
                  <w:sz w:val="16"/>
                  <w:szCs w:val="16"/>
                </w:rPr>
                <w:tag w:val="_PLD_e5464032b3a04113a9cc54a32d8ba16e"/>
                <w:id w:val="93054959"/>
                <w:lock w:val="sdtLocked"/>
              </w:sdtPr>
              <w:sdtContent>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F61ADC" w:rsidRDefault="008F04CF" w:rsidP="00B637B2">
                    <w:pPr>
                      <w:jc w:val="center"/>
                      <w:rPr>
                        <w:sz w:val="16"/>
                        <w:szCs w:val="16"/>
                      </w:rPr>
                    </w:pPr>
                    <w:r w:rsidRPr="00F61ADC">
                      <w:rPr>
                        <w:rFonts w:hint="eastAsia"/>
                        <w:sz w:val="16"/>
                        <w:szCs w:val="16"/>
                      </w:rPr>
                      <w:t>减少投资</w:t>
                    </w:r>
                  </w:p>
                </w:tc>
              </w:sdtContent>
            </w:sdt>
            <w:sdt>
              <w:sdtPr>
                <w:rPr>
                  <w:sz w:val="16"/>
                  <w:szCs w:val="16"/>
                </w:rPr>
                <w:tag w:val="_PLD_3e93bb423e264a59a4ee73dd513ac7a0"/>
                <w:id w:val="987449078"/>
                <w:lock w:val="sdtLocked"/>
              </w:sdtPr>
              <w:sdtContent>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F61ADC" w:rsidRDefault="008F04CF" w:rsidP="00B637B2">
                    <w:pPr>
                      <w:jc w:val="center"/>
                      <w:rPr>
                        <w:sz w:val="16"/>
                        <w:szCs w:val="16"/>
                      </w:rPr>
                    </w:pPr>
                    <w:r w:rsidRPr="00F61ADC">
                      <w:rPr>
                        <w:rFonts w:hint="eastAsia"/>
                        <w:sz w:val="16"/>
                        <w:szCs w:val="16"/>
                      </w:rPr>
                      <w:t>权益法下确认的投资损益</w:t>
                    </w:r>
                  </w:p>
                </w:tc>
              </w:sdtContent>
            </w:sdt>
            <w:sdt>
              <w:sdtPr>
                <w:rPr>
                  <w:sz w:val="16"/>
                  <w:szCs w:val="16"/>
                </w:rPr>
                <w:tag w:val="_PLD_6d1d63a827674a6d9b4fd3b0738ccb44"/>
                <w:id w:val="-1642268853"/>
                <w:lock w:val="sdtLocked"/>
              </w:sdtPr>
              <w:sdtContent>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F61ADC" w:rsidRDefault="008F04CF" w:rsidP="00B637B2">
                    <w:pPr>
                      <w:jc w:val="center"/>
                      <w:rPr>
                        <w:sz w:val="16"/>
                        <w:szCs w:val="16"/>
                      </w:rPr>
                    </w:pPr>
                    <w:r w:rsidRPr="00F61ADC">
                      <w:rPr>
                        <w:rFonts w:hint="eastAsia"/>
                        <w:sz w:val="16"/>
                        <w:szCs w:val="16"/>
                      </w:rPr>
                      <w:t>其他综合收益调整</w:t>
                    </w:r>
                  </w:p>
                </w:tc>
              </w:sdtContent>
            </w:sdt>
            <w:sdt>
              <w:sdtPr>
                <w:rPr>
                  <w:sz w:val="16"/>
                  <w:szCs w:val="16"/>
                </w:rPr>
                <w:tag w:val="_PLD_2e31e12a1218445b9271cd0b2b46dfb3"/>
                <w:id w:val="1506469704"/>
                <w:lock w:val="sdtLocked"/>
              </w:sdtPr>
              <w:sdtContent>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F61ADC" w:rsidRDefault="008F04CF" w:rsidP="00B637B2">
                    <w:pPr>
                      <w:jc w:val="center"/>
                      <w:rPr>
                        <w:sz w:val="16"/>
                        <w:szCs w:val="16"/>
                      </w:rPr>
                    </w:pPr>
                    <w:r w:rsidRPr="00F61ADC">
                      <w:rPr>
                        <w:rFonts w:hint="eastAsia"/>
                        <w:sz w:val="16"/>
                        <w:szCs w:val="16"/>
                      </w:rPr>
                      <w:t>其他权益变动</w:t>
                    </w:r>
                  </w:p>
                </w:tc>
              </w:sdtContent>
            </w:sdt>
            <w:sdt>
              <w:sdtPr>
                <w:rPr>
                  <w:sz w:val="16"/>
                  <w:szCs w:val="16"/>
                </w:rPr>
                <w:tag w:val="_PLD_35f9510bcc234f63a5879448c48131ac"/>
                <w:id w:val="718556837"/>
                <w:lock w:val="sdtLocked"/>
              </w:sdtPr>
              <w:sdtContent>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F61ADC" w:rsidRDefault="008F04CF" w:rsidP="00B637B2">
                    <w:pPr>
                      <w:jc w:val="center"/>
                      <w:rPr>
                        <w:sz w:val="16"/>
                        <w:szCs w:val="16"/>
                      </w:rPr>
                    </w:pPr>
                    <w:r w:rsidRPr="00F61ADC">
                      <w:rPr>
                        <w:rFonts w:hint="eastAsia"/>
                        <w:sz w:val="16"/>
                        <w:szCs w:val="16"/>
                      </w:rPr>
                      <w:t>宣告发放现金股利或利润</w:t>
                    </w:r>
                  </w:p>
                </w:tc>
              </w:sdtContent>
            </w:sdt>
            <w:sdt>
              <w:sdtPr>
                <w:rPr>
                  <w:sz w:val="16"/>
                  <w:szCs w:val="16"/>
                </w:rPr>
                <w:tag w:val="_PLD_ad3c3bd2b468443aab93d8cfe4bded11"/>
                <w:id w:val="1716010394"/>
                <w:lock w:val="sdtLocked"/>
              </w:sdtPr>
              <w:sdtContent>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F61ADC" w:rsidRDefault="008F04CF" w:rsidP="00B637B2">
                    <w:pPr>
                      <w:jc w:val="center"/>
                      <w:rPr>
                        <w:sz w:val="16"/>
                        <w:szCs w:val="16"/>
                      </w:rPr>
                    </w:pPr>
                    <w:r w:rsidRPr="00F61ADC">
                      <w:rPr>
                        <w:rFonts w:hint="eastAsia"/>
                        <w:sz w:val="16"/>
                        <w:szCs w:val="16"/>
                      </w:rPr>
                      <w:t>计提减值准备</w:t>
                    </w:r>
                  </w:p>
                </w:tc>
              </w:sdtContent>
            </w:sdt>
            <w:sdt>
              <w:sdtPr>
                <w:rPr>
                  <w:sz w:val="16"/>
                  <w:szCs w:val="16"/>
                </w:rPr>
                <w:tag w:val="_PLD_1bf39451058c4b3c8ec7b49241e56e40"/>
                <w:id w:val="-1910291919"/>
                <w:lock w:val="sdtLocked"/>
              </w:sdtPr>
              <w:sdtContent>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F61ADC" w:rsidRDefault="008F04CF" w:rsidP="00B637B2">
                    <w:pPr>
                      <w:jc w:val="center"/>
                      <w:rPr>
                        <w:sz w:val="16"/>
                        <w:szCs w:val="16"/>
                      </w:rPr>
                    </w:pPr>
                    <w:r w:rsidRPr="00F61ADC">
                      <w:rPr>
                        <w:rFonts w:hint="eastAsia"/>
                        <w:sz w:val="16"/>
                        <w:szCs w:val="16"/>
                      </w:rPr>
                      <w:t>其他</w:t>
                    </w:r>
                  </w:p>
                </w:tc>
              </w:sdtContent>
            </w:sdt>
            <w:tc>
              <w:tcPr>
                <w:tcW w:w="582" w:type="pct"/>
                <w:vMerge/>
                <w:tcBorders>
                  <w:left w:val="single" w:sz="4" w:space="0" w:color="auto"/>
                  <w:bottom w:val="single" w:sz="4" w:space="0" w:color="auto"/>
                  <w:right w:val="single" w:sz="4" w:space="0" w:color="auto"/>
                </w:tcBorders>
                <w:shd w:val="clear" w:color="auto" w:fill="auto"/>
                <w:vAlign w:val="center"/>
              </w:tcPr>
              <w:p w:rsidR="00B637B2" w:rsidRPr="00F61ADC" w:rsidRDefault="00B637B2" w:rsidP="00B637B2">
                <w:pPr>
                  <w:jc w:val="center"/>
                  <w:rPr>
                    <w:sz w:val="16"/>
                    <w:szCs w:val="16"/>
                  </w:rPr>
                </w:pPr>
              </w:p>
            </w:tc>
            <w:tc>
              <w:tcPr>
                <w:tcW w:w="454" w:type="pct"/>
                <w:vMerge/>
                <w:tcBorders>
                  <w:left w:val="single" w:sz="4" w:space="0" w:color="auto"/>
                  <w:bottom w:val="single" w:sz="4" w:space="0" w:color="auto"/>
                  <w:right w:val="single" w:sz="4" w:space="0" w:color="auto"/>
                </w:tcBorders>
                <w:shd w:val="clear" w:color="auto" w:fill="auto"/>
                <w:vAlign w:val="center"/>
              </w:tcPr>
              <w:p w:rsidR="00B637B2" w:rsidRPr="00F61ADC" w:rsidRDefault="00B637B2" w:rsidP="00B637B2">
                <w:pPr>
                  <w:jc w:val="center"/>
                  <w:rPr>
                    <w:sz w:val="16"/>
                    <w:szCs w:val="16"/>
                  </w:rPr>
                </w:pPr>
              </w:p>
            </w:tc>
          </w:tr>
          <w:tr w:rsidR="00B637B2" w:rsidTr="00B637B2">
            <w:sdt>
              <w:sdtPr>
                <w:rPr>
                  <w:sz w:val="16"/>
                  <w:szCs w:val="16"/>
                </w:rPr>
                <w:tag w:val="_PLD_a4cee4ce080742218169c5adba891f8b"/>
                <w:id w:val="-1560079893"/>
                <w:lock w:val="sdtLocked"/>
              </w:sdtPr>
              <w:sdtContent>
                <w:tc>
                  <w:tcPr>
                    <w:tcW w:w="584"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8F04CF" w:rsidP="00B637B2">
                    <w:pPr>
                      <w:rPr>
                        <w:sz w:val="16"/>
                        <w:szCs w:val="16"/>
                      </w:rPr>
                    </w:pPr>
                    <w:r w:rsidRPr="00F61ADC">
                      <w:rPr>
                        <w:rFonts w:hint="eastAsia"/>
                        <w:sz w:val="16"/>
                        <w:szCs w:val="16"/>
                      </w:rPr>
                      <w:t>一、合营企业</w:t>
                    </w:r>
                  </w:p>
                </w:tc>
              </w:sdtContent>
            </w:sdt>
            <w:tc>
              <w:tcPr>
                <w:tcW w:w="519"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463"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449"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259"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260"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582"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454"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r>
          <w:sdt>
            <w:sdtPr>
              <w:rPr>
                <w:rFonts w:asciiTheme="minorHAnsi" w:eastAsiaTheme="minorEastAsia" w:hAnsiTheme="minorHAnsi" w:cstheme="minorBidi"/>
                <w:kern w:val="2"/>
                <w:sz w:val="16"/>
                <w:szCs w:val="16"/>
              </w:rPr>
              <w:alias w:val="合营企业投资信息明细"/>
              <w:tag w:val="_GBC_69227c07b5a5404ba52ae2198dc394dc"/>
              <w:id w:val="-1168626515"/>
              <w:lock w:val="sdtLocked"/>
            </w:sdtPr>
            <w:sdtContent>
              <w:tr w:rsidR="00B637B2" w:rsidTr="00B637B2">
                <w:tc>
                  <w:tcPr>
                    <w:tcW w:w="584"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rPr>
                        <w:sz w:val="16"/>
                        <w:szCs w:val="16"/>
                      </w:rPr>
                    </w:pP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463"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449"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259"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260"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582"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454"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r>
            </w:sdtContent>
          </w:sdt>
          <w:sdt>
            <w:sdtPr>
              <w:rPr>
                <w:rFonts w:asciiTheme="minorHAnsi" w:eastAsiaTheme="minorEastAsia" w:hAnsiTheme="minorHAnsi" w:cstheme="minorBidi"/>
                <w:kern w:val="2"/>
                <w:sz w:val="16"/>
                <w:szCs w:val="16"/>
              </w:rPr>
              <w:alias w:val="合营企业投资信息明细"/>
              <w:tag w:val="_GBC_69227c07b5a5404ba52ae2198dc394dc"/>
              <w:id w:val="656428657"/>
              <w:lock w:val="sdtLocked"/>
            </w:sdtPr>
            <w:sdtContent>
              <w:tr w:rsidR="00B637B2" w:rsidTr="00B637B2">
                <w:tc>
                  <w:tcPr>
                    <w:tcW w:w="584"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rPr>
                        <w:sz w:val="16"/>
                        <w:szCs w:val="16"/>
                      </w:rPr>
                    </w:pP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463"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449"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259"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260"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582"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454"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r>
            </w:sdtContent>
          </w:sdt>
          <w:tr w:rsidR="00B637B2" w:rsidTr="00B637B2">
            <w:sdt>
              <w:sdtPr>
                <w:rPr>
                  <w:sz w:val="16"/>
                  <w:szCs w:val="16"/>
                </w:rPr>
                <w:tag w:val="_PLD_0f6b1bcaf84d416293b3177ddad0e0e0"/>
                <w:id w:val="-1938752350"/>
                <w:lock w:val="sdtLocked"/>
              </w:sdtPr>
              <w:sdtContent>
                <w:tc>
                  <w:tcPr>
                    <w:tcW w:w="584"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8F04CF" w:rsidP="00B637B2">
                    <w:pPr>
                      <w:rPr>
                        <w:sz w:val="16"/>
                        <w:szCs w:val="16"/>
                      </w:rPr>
                    </w:pPr>
                    <w:r w:rsidRPr="00F61ADC">
                      <w:rPr>
                        <w:rFonts w:hint="eastAsia"/>
                        <w:sz w:val="16"/>
                        <w:szCs w:val="16"/>
                      </w:rPr>
                      <w:t>小计</w:t>
                    </w:r>
                  </w:p>
                </w:tc>
              </w:sdtContent>
            </w:sdt>
            <w:tc>
              <w:tcPr>
                <w:tcW w:w="519"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463"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449"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259"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260"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582"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454"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r>
          <w:tr w:rsidR="00B637B2" w:rsidTr="00B637B2">
            <w:sdt>
              <w:sdtPr>
                <w:rPr>
                  <w:sz w:val="16"/>
                  <w:szCs w:val="16"/>
                </w:rPr>
                <w:tag w:val="_PLD_a1bc1a1af5744195bb75f57f610f28b4"/>
                <w:id w:val="1388223225"/>
                <w:lock w:val="sdtLocked"/>
              </w:sdtPr>
              <w:sdtContent>
                <w:tc>
                  <w:tcPr>
                    <w:tcW w:w="584"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8F04CF" w:rsidP="00B637B2">
                    <w:pPr>
                      <w:rPr>
                        <w:sz w:val="16"/>
                        <w:szCs w:val="16"/>
                      </w:rPr>
                    </w:pPr>
                    <w:r w:rsidRPr="00F61ADC">
                      <w:rPr>
                        <w:rFonts w:hint="eastAsia"/>
                        <w:sz w:val="16"/>
                        <w:szCs w:val="16"/>
                      </w:rPr>
                      <w:t>二、联营企业</w:t>
                    </w:r>
                  </w:p>
                </w:tc>
              </w:sdtContent>
            </w:sdt>
            <w:tc>
              <w:tcPr>
                <w:tcW w:w="519"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463"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449"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259"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260"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582"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454"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r>
          <w:sdt>
            <w:sdtPr>
              <w:rPr>
                <w:rFonts w:asciiTheme="minorHAnsi" w:eastAsiaTheme="minorEastAsia" w:hAnsiTheme="minorHAnsi" w:cstheme="minorBidi" w:hint="eastAsia"/>
                <w:kern w:val="2"/>
                <w:sz w:val="16"/>
                <w:szCs w:val="16"/>
              </w:rPr>
              <w:alias w:val="联营企业投资信息明细"/>
              <w:tag w:val="_GBC_49d1b98c49c34c26a2c4d55f0c1fdb21"/>
              <w:id w:val="-1691523407"/>
              <w:lock w:val="sdtLocked"/>
            </w:sdtPr>
            <w:sdtEndPr>
              <w:rPr>
                <w:rFonts w:hint="default"/>
              </w:rPr>
            </w:sdtEndPr>
            <w:sdtContent>
              <w:tr w:rsidR="00B637B2" w:rsidTr="00B637B2">
                <w:tc>
                  <w:tcPr>
                    <w:tcW w:w="584"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8F04CF" w:rsidP="00B637B2">
                    <w:pPr>
                      <w:rPr>
                        <w:sz w:val="16"/>
                        <w:szCs w:val="16"/>
                      </w:rPr>
                    </w:pPr>
                    <w:r w:rsidRPr="00F61ADC">
                      <w:rPr>
                        <w:sz w:val="16"/>
                        <w:szCs w:val="16"/>
                      </w:rPr>
                      <w:t>北京中关村银行股份有限公司(以下简称“中关村银行”)</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8F04CF" w:rsidP="00B637B2">
                    <w:pPr>
                      <w:jc w:val="right"/>
                      <w:rPr>
                        <w:sz w:val="16"/>
                        <w:szCs w:val="16"/>
                      </w:rPr>
                    </w:pPr>
                    <w:r w:rsidRPr="00F61ADC">
                      <w:rPr>
                        <w:sz w:val="16"/>
                        <w:szCs w:val="16"/>
                      </w:rPr>
                      <w:t>1,219,928,906</w:t>
                    </w: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463" w:type="pct"/>
                    <w:tcBorders>
                      <w:top w:val="single" w:sz="4" w:space="0" w:color="auto"/>
                      <w:left w:val="single" w:sz="4" w:space="0" w:color="auto"/>
                      <w:bottom w:val="single" w:sz="4" w:space="0" w:color="auto"/>
                      <w:right w:val="single" w:sz="4" w:space="0" w:color="auto"/>
                    </w:tcBorders>
                    <w:shd w:val="clear" w:color="auto" w:fill="auto"/>
                  </w:tcPr>
                  <w:p w:rsidR="00B637B2" w:rsidRPr="00240016" w:rsidRDefault="008F04CF" w:rsidP="00B637B2">
                    <w:pPr>
                      <w:jc w:val="right"/>
                      <w:rPr>
                        <w:sz w:val="16"/>
                        <w:szCs w:val="16"/>
                      </w:rPr>
                    </w:pPr>
                    <w:r w:rsidRPr="00240016">
                      <w:rPr>
                        <w:sz w:val="16"/>
                        <w:szCs w:val="16"/>
                      </w:rPr>
                      <w:t>6,908,054</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8F04CF" w:rsidP="00B637B2">
                    <w:pPr>
                      <w:jc w:val="right"/>
                      <w:rPr>
                        <w:sz w:val="16"/>
                        <w:szCs w:val="16"/>
                      </w:rPr>
                    </w:pPr>
                    <w:r w:rsidRPr="00240016">
                      <w:rPr>
                        <w:sz w:val="16"/>
                        <w:szCs w:val="16"/>
                      </w:rPr>
                      <w:t>188,747</w:t>
                    </w:r>
                  </w:p>
                </w:tc>
                <w:tc>
                  <w:tcPr>
                    <w:tcW w:w="449"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259"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260"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582" w:type="pct"/>
                    <w:tcBorders>
                      <w:top w:val="single" w:sz="4" w:space="0" w:color="auto"/>
                      <w:left w:val="single" w:sz="4" w:space="0" w:color="auto"/>
                      <w:bottom w:val="single" w:sz="4" w:space="0" w:color="auto"/>
                      <w:right w:val="single" w:sz="4" w:space="0" w:color="auto"/>
                    </w:tcBorders>
                    <w:shd w:val="clear" w:color="auto" w:fill="auto"/>
                  </w:tcPr>
                  <w:p w:rsidR="00B637B2" w:rsidRPr="00BA0FD3" w:rsidRDefault="008F04CF" w:rsidP="00B637B2">
                    <w:pPr>
                      <w:jc w:val="right"/>
                      <w:rPr>
                        <w:sz w:val="16"/>
                        <w:szCs w:val="16"/>
                      </w:rPr>
                    </w:pPr>
                    <w:r w:rsidRPr="00BA0FD3">
                      <w:rPr>
                        <w:sz w:val="16"/>
                        <w:szCs w:val="16"/>
                      </w:rPr>
                      <w:t>1,227,025,707</w:t>
                    </w:r>
                  </w:p>
                </w:tc>
                <w:tc>
                  <w:tcPr>
                    <w:tcW w:w="454"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r>
            </w:sdtContent>
          </w:sdt>
          <w:sdt>
            <w:sdtPr>
              <w:rPr>
                <w:rFonts w:asciiTheme="minorHAnsi" w:eastAsiaTheme="minorEastAsia" w:hAnsiTheme="minorHAnsi" w:cstheme="minorBidi" w:hint="eastAsia"/>
                <w:kern w:val="2"/>
                <w:sz w:val="16"/>
                <w:szCs w:val="16"/>
              </w:rPr>
              <w:alias w:val="联营企业投资信息明细"/>
              <w:tag w:val="_GBC_49d1b98c49c34c26a2c4d55f0c1fdb21"/>
              <w:id w:val="-178737519"/>
              <w:lock w:val="sdtLocked"/>
            </w:sdtPr>
            <w:sdtEndPr>
              <w:rPr>
                <w:rFonts w:hint="default"/>
              </w:rPr>
            </w:sdtEndPr>
            <w:sdtContent>
              <w:tr w:rsidR="00B637B2" w:rsidTr="00B637B2">
                <w:tc>
                  <w:tcPr>
                    <w:tcW w:w="584"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8F04CF" w:rsidP="00B637B2">
                    <w:pPr>
                      <w:rPr>
                        <w:sz w:val="16"/>
                        <w:szCs w:val="16"/>
                      </w:rPr>
                    </w:pPr>
                    <w:r w:rsidRPr="00F61ADC">
                      <w:rPr>
                        <w:sz w:val="16"/>
                        <w:szCs w:val="16"/>
                      </w:rPr>
                      <w:t>汉唐信通（北京）咨询股份有限公司(以下简称“汉唐信通”)</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8F04CF" w:rsidP="00B637B2">
                    <w:pPr>
                      <w:jc w:val="right"/>
                      <w:rPr>
                        <w:sz w:val="16"/>
                        <w:szCs w:val="16"/>
                      </w:rPr>
                    </w:pPr>
                    <w:r w:rsidRPr="00F61ADC">
                      <w:rPr>
                        <w:sz w:val="16"/>
                        <w:szCs w:val="16"/>
                      </w:rPr>
                      <w:t>79,932,533</w:t>
                    </w: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463" w:type="pct"/>
                    <w:tcBorders>
                      <w:top w:val="single" w:sz="4" w:space="0" w:color="auto"/>
                      <w:left w:val="single" w:sz="4" w:space="0" w:color="auto"/>
                      <w:bottom w:val="single" w:sz="4" w:space="0" w:color="auto"/>
                      <w:right w:val="single" w:sz="4" w:space="0" w:color="auto"/>
                    </w:tcBorders>
                    <w:shd w:val="clear" w:color="auto" w:fill="auto"/>
                  </w:tcPr>
                  <w:p w:rsidR="00B637B2" w:rsidRPr="00240016" w:rsidRDefault="008F04CF" w:rsidP="00B637B2">
                    <w:pPr>
                      <w:jc w:val="right"/>
                      <w:rPr>
                        <w:sz w:val="16"/>
                        <w:szCs w:val="16"/>
                      </w:rPr>
                    </w:pPr>
                    <w:r w:rsidRPr="00240016">
                      <w:rPr>
                        <w:sz w:val="16"/>
                        <w:szCs w:val="16"/>
                      </w:rPr>
                      <w:t>233,831</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449"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259"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260"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582" w:type="pct"/>
                    <w:tcBorders>
                      <w:top w:val="single" w:sz="4" w:space="0" w:color="auto"/>
                      <w:left w:val="single" w:sz="4" w:space="0" w:color="auto"/>
                      <w:bottom w:val="single" w:sz="4" w:space="0" w:color="auto"/>
                      <w:right w:val="single" w:sz="4" w:space="0" w:color="auto"/>
                    </w:tcBorders>
                    <w:shd w:val="clear" w:color="auto" w:fill="auto"/>
                  </w:tcPr>
                  <w:p w:rsidR="00B637B2" w:rsidRPr="00BA0FD3" w:rsidRDefault="008F04CF" w:rsidP="00B637B2">
                    <w:pPr>
                      <w:jc w:val="right"/>
                      <w:rPr>
                        <w:sz w:val="16"/>
                        <w:szCs w:val="16"/>
                      </w:rPr>
                    </w:pPr>
                    <w:r w:rsidRPr="00BA0FD3">
                      <w:rPr>
                        <w:sz w:val="16"/>
                        <w:szCs w:val="16"/>
                      </w:rPr>
                      <w:t>80,166,364</w:t>
                    </w:r>
                  </w:p>
                </w:tc>
                <w:tc>
                  <w:tcPr>
                    <w:tcW w:w="454"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r>
            </w:sdtContent>
          </w:sdt>
          <w:sdt>
            <w:sdtPr>
              <w:rPr>
                <w:rFonts w:asciiTheme="minorHAnsi" w:eastAsiaTheme="minorEastAsia" w:hAnsiTheme="minorHAnsi" w:cstheme="minorBidi" w:hint="eastAsia"/>
                <w:kern w:val="2"/>
                <w:sz w:val="16"/>
                <w:szCs w:val="16"/>
              </w:rPr>
              <w:alias w:val="联营企业投资信息明细"/>
              <w:tag w:val="_GBC_49d1b98c49c34c26a2c4d55f0c1fdb21"/>
              <w:id w:val="1224952995"/>
              <w:lock w:val="sdtLocked"/>
            </w:sdtPr>
            <w:sdtEndPr>
              <w:rPr>
                <w:rFonts w:hint="default"/>
              </w:rPr>
            </w:sdtEndPr>
            <w:sdtContent>
              <w:tr w:rsidR="00B637B2" w:rsidTr="00B637B2">
                <w:tc>
                  <w:tcPr>
                    <w:tcW w:w="584"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8F04CF" w:rsidP="00B637B2">
                    <w:pPr>
                      <w:rPr>
                        <w:sz w:val="16"/>
                        <w:szCs w:val="16"/>
                      </w:rPr>
                    </w:pPr>
                    <w:r w:rsidRPr="00F61ADC">
                      <w:rPr>
                        <w:sz w:val="16"/>
                        <w:szCs w:val="16"/>
                      </w:rPr>
                      <w:t>上海大易云计算股份有限公司(以下简称“大易云”)</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8F04CF" w:rsidP="00B637B2">
                    <w:pPr>
                      <w:jc w:val="right"/>
                      <w:rPr>
                        <w:sz w:val="16"/>
                        <w:szCs w:val="16"/>
                      </w:rPr>
                    </w:pPr>
                    <w:r w:rsidRPr="00F61ADC">
                      <w:rPr>
                        <w:sz w:val="16"/>
                        <w:szCs w:val="16"/>
                      </w:rPr>
                      <w:t>65,555,810</w:t>
                    </w: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463" w:type="pct"/>
                    <w:tcBorders>
                      <w:top w:val="single" w:sz="4" w:space="0" w:color="auto"/>
                      <w:left w:val="single" w:sz="4" w:space="0" w:color="auto"/>
                      <w:bottom w:val="single" w:sz="4" w:space="0" w:color="auto"/>
                      <w:right w:val="single" w:sz="4" w:space="0" w:color="auto"/>
                    </w:tcBorders>
                    <w:shd w:val="clear" w:color="auto" w:fill="auto"/>
                  </w:tcPr>
                  <w:p w:rsidR="00B637B2" w:rsidRPr="00240016" w:rsidRDefault="008F04CF" w:rsidP="00B637B2">
                    <w:pPr>
                      <w:jc w:val="right"/>
                      <w:rPr>
                        <w:sz w:val="16"/>
                        <w:szCs w:val="16"/>
                      </w:rPr>
                    </w:pPr>
                    <w:r w:rsidRPr="00240016">
                      <w:rPr>
                        <w:sz w:val="16"/>
                        <w:szCs w:val="16"/>
                      </w:rPr>
                      <w:t>-1,444,286</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449"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259"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260"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582" w:type="pct"/>
                    <w:tcBorders>
                      <w:top w:val="single" w:sz="4" w:space="0" w:color="auto"/>
                      <w:left w:val="single" w:sz="4" w:space="0" w:color="auto"/>
                      <w:bottom w:val="single" w:sz="4" w:space="0" w:color="auto"/>
                      <w:right w:val="single" w:sz="4" w:space="0" w:color="auto"/>
                    </w:tcBorders>
                    <w:shd w:val="clear" w:color="auto" w:fill="auto"/>
                  </w:tcPr>
                  <w:p w:rsidR="00B637B2" w:rsidRPr="00BA0FD3" w:rsidRDefault="008F04CF" w:rsidP="00B637B2">
                    <w:pPr>
                      <w:jc w:val="right"/>
                      <w:rPr>
                        <w:sz w:val="16"/>
                        <w:szCs w:val="16"/>
                      </w:rPr>
                    </w:pPr>
                    <w:r w:rsidRPr="00BA0FD3">
                      <w:rPr>
                        <w:sz w:val="16"/>
                        <w:szCs w:val="16"/>
                      </w:rPr>
                      <w:t>64,111,524</w:t>
                    </w:r>
                  </w:p>
                </w:tc>
                <w:tc>
                  <w:tcPr>
                    <w:tcW w:w="454"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r>
            </w:sdtContent>
          </w:sdt>
          <w:sdt>
            <w:sdtPr>
              <w:rPr>
                <w:rFonts w:asciiTheme="minorHAnsi" w:eastAsiaTheme="minorEastAsia" w:hAnsiTheme="minorHAnsi" w:cstheme="minorBidi" w:hint="eastAsia"/>
                <w:kern w:val="2"/>
                <w:sz w:val="16"/>
                <w:szCs w:val="16"/>
              </w:rPr>
              <w:alias w:val="联营企业投资信息明细"/>
              <w:tag w:val="_GBC_49d1b98c49c34c26a2c4d55f0c1fdb21"/>
              <w:id w:val="1855762648"/>
              <w:lock w:val="sdtLocked"/>
            </w:sdtPr>
            <w:sdtEndPr>
              <w:rPr>
                <w:rFonts w:hint="default"/>
              </w:rPr>
            </w:sdtEndPr>
            <w:sdtContent>
              <w:tr w:rsidR="00B637B2" w:rsidTr="00B637B2">
                <w:tc>
                  <w:tcPr>
                    <w:tcW w:w="584"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8F04CF" w:rsidP="00B637B2">
                    <w:pPr>
                      <w:rPr>
                        <w:sz w:val="16"/>
                        <w:szCs w:val="16"/>
                      </w:rPr>
                    </w:pPr>
                    <w:r w:rsidRPr="00F61ADC">
                      <w:rPr>
                        <w:sz w:val="16"/>
                        <w:szCs w:val="16"/>
                      </w:rPr>
                      <w:t>北京用友幸福联创投资中心(以下简称“幸福联创”)</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8F04CF" w:rsidP="00B637B2">
                    <w:pPr>
                      <w:jc w:val="right"/>
                      <w:rPr>
                        <w:sz w:val="16"/>
                        <w:szCs w:val="16"/>
                      </w:rPr>
                    </w:pPr>
                    <w:r w:rsidRPr="00F61ADC">
                      <w:rPr>
                        <w:sz w:val="16"/>
                        <w:szCs w:val="16"/>
                      </w:rPr>
                      <w:t>68,606,788</w:t>
                    </w: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463" w:type="pct"/>
                    <w:tcBorders>
                      <w:top w:val="single" w:sz="4" w:space="0" w:color="auto"/>
                      <w:left w:val="single" w:sz="4" w:space="0" w:color="auto"/>
                      <w:bottom w:val="single" w:sz="4" w:space="0" w:color="auto"/>
                      <w:right w:val="single" w:sz="4" w:space="0" w:color="auto"/>
                    </w:tcBorders>
                    <w:shd w:val="clear" w:color="auto" w:fill="auto"/>
                  </w:tcPr>
                  <w:p w:rsidR="00B637B2" w:rsidRPr="00240016" w:rsidRDefault="008F04CF" w:rsidP="00B637B2">
                    <w:pPr>
                      <w:jc w:val="right"/>
                      <w:rPr>
                        <w:sz w:val="16"/>
                        <w:szCs w:val="16"/>
                      </w:rPr>
                    </w:pPr>
                    <w:r w:rsidRPr="00240016">
                      <w:rPr>
                        <w:sz w:val="16"/>
                        <w:szCs w:val="16"/>
                      </w:rPr>
                      <w:t>-254,931</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449"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259"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260"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582" w:type="pct"/>
                    <w:tcBorders>
                      <w:top w:val="single" w:sz="4" w:space="0" w:color="auto"/>
                      <w:left w:val="single" w:sz="4" w:space="0" w:color="auto"/>
                      <w:bottom w:val="single" w:sz="4" w:space="0" w:color="auto"/>
                      <w:right w:val="single" w:sz="4" w:space="0" w:color="auto"/>
                    </w:tcBorders>
                    <w:shd w:val="clear" w:color="auto" w:fill="auto"/>
                  </w:tcPr>
                  <w:p w:rsidR="00B637B2" w:rsidRPr="00BA0FD3" w:rsidRDefault="008F04CF" w:rsidP="00B637B2">
                    <w:pPr>
                      <w:jc w:val="right"/>
                      <w:rPr>
                        <w:sz w:val="16"/>
                        <w:szCs w:val="16"/>
                      </w:rPr>
                    </w:pPr>
                    <w:r w:rsidRPr="00BA0FD3">
                      <w:rPr>
                        <w:sz w:val="16"/>
                        <w:szCs w:val="16"/>
                      </w:rPr>
                      <w:t>68,351,857</w:t>
                    </w:r>
                  </w:p>
                </w:tc>
                <w:tc>
                  <w:tcPr>
                    <w:tcW w:w="454"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r>
            </w:sdtContent>
          </w:sdt>
          <w:sdt>
            <w:sdtPr>
              <w:rPr>
                <w:rFonts w:asciiTheme="minorHAnsi" w:eastAsiaTheme="minorEastAsia" w:hAnsiTheme="minorHAnsi" w:cstheme="minorBidi" w:hint="eastAsia"/>
                <w:kern w:val="2"/>
                <w:sz w:val="16"/>
                <w:szCs w:val="16"/>
              </w:rPr>
              <w:alias w:val="联营企业投资信息明细"/>
              <w:tag w:val="_GBC_49d1b98c49c34c26a2c4d55f0c1fdb21"/>
              <w:id w:val="-1119984018"/>
              <w:lock w:val="sdtLocked"/>
            </w:sdtPr>
            <w:sdtEndPr>
              <w:rPr>
                <w:rFonts w:hint="default"/>
              </w:rPr>
            </w:sdtEndPr>
            <w:sdtContent>
              <w:tr w:rsidR="00B637B2" w:rsidTr="00B637B2">
                <w:tc>
                  <w:tcPr>
                    <w:tcW w:w="584"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8F04CF" w:rsidP="00B637B2">
                    <w:pPr>
                      <w:rPr>
                        <w:sz w:val="16"/>
                        <w:szCs w:val="16"/>
                      </w:rPr>
                    </w:pPr>
                    <w:r w:rsidRPr="00F61ADC">
                      <w:rPr>
                        <w:sz w:val="16"/>
                        <w:szCs w:val="16"/>
                      </w:rPr>
                      <w:t>用友深圳商业保理有限责任公司(以下简称“用友商业保理”)</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8F04CF" w:rsidP="00B637B2">
                    <w:pPr>
                      <w:jc w:val="right"/>
                      <w:rPr>
                        <w:sz w:val="16"/>
                        <w:szCs w:val="16"/>
                      </w:rPr>
                    </w:pPr>
                    <w:r w:rsidRPr="00F61ADC">
                      <w:rPr>
                        <w:sz w:val="16"/>
                        <w:szCs w:val="16"/>
                      </w:rPr>
                      <w:t>43,406,387</w:t>
                    </w: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463" w:type="pct"/>
                    <w:tcBorders>
                      <w:top w:val="single" w:sz="4" w:space="0" w:color="auto"/>
                      <w:left w:val="single" w:sz="4" w:space="0" w:color="auto"/>
                      <w:bottom w:val="single" w:sz="4" w:space="0" w:color="auto"/>
                      <w:right w:val="single" w:sz="4" w:space="0" w:color="auto"/>
                    </w:tcBorders>
                    <w:shd w:val="clear" w:color="auto" w:fill="auto"/>
                  </w:tcPr>
                  <w:p w:rsidR="00B637B2" w:rsidRPr="00240016" w:rsidRDefault="008F04CF" w:rsidP="00B637B2">
                    <w:pPr>
                      <w:jc w:val="right"/>
                      <w:rPr>
                        <w:sz w:val="16"/>
                        <w:szCs w:val="16"/>
                      </w:rPr>
                    </w:pPr>
                    <w:r w:rsidRPr="00240016">
                      <w:rPr>
                        <w:sz w:val="16"/>
                        <w:szCs w:val="16"/>
                      </w:rPr>
                      <w:t>2,359,477</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449"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259"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260"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582" w:type="pct"/>
                    <w:tcBorders>
                      <w:top w:val="single" w:sz="4" w:space="0" w:color="auto"/>
                      <w:left w:val="single" w:sz="4" w:space="0" w:color="auto"/>
                      <w:bottom w:val="single" w:sz="4" w:space="0" w:color="auto"/>
                      <w:right w:val="single" w:sz="4" w:space="0" w:color="auto"/>
                    </w:tcBorders>
                    <w:shd w:val="clear" w:color="auto" w:fill="auto"/>
                  </w:tcPr>
                  <w:p w:rsidR="00B637B2" w:rsidRPr="00BA0FD3" w:rsidRDefault="008F04CF" w:rsidP="00B637B2">
                    <w:pPr>
                      <w:jc w:val="right"/>
                      <w:rPr>
                        <w:sz w:val="16"/>
                        <w:szCs w:val="16"/>
                      </w:rPr>
                    </w:pPr>
                    <w:r w:rsidRPr="00BA0FD3">
                      <w:rPr>
                        <w:sz w:val="16"/>
                        <w:szCs w:val="16"/>
                      </w:rPr>
                      <w:t>45,765,864</w:t>
                    </w:r>
                  </w:p>
                </w:tc>
                <w:tc>
                  <w:tcPr>
                    <w:tcW w:w="454"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r>
            </w:sdtContent>
          </w:sdt>
          <w:sdt>
            <w:sdtPr>
              <w:rPr>
                <w:rFonts w:asciiTheme="minorHAnsi" w:eastAsiaTheme="minorEastAsia" w:hAnsiTheme="minorHAnsi" w:cstheme="minorBidi" w:hint="eastAsia"/>
                <w:kern w:val="2"/>
                <w:sz w:val="16"/>
                <w:szCs w:val="16"/>
              </w:rPr>
              <w:alias w:val="联营企业投资信息明细"/>
              <w:tag w:val="_GBC_49d1b98c49c34c26a2c4d55f0c1fdb21"/>
              <w:id w:val="-590079371"/>
              <w:lock w:val="sdtLocked"/>
            </w:sdtPr>
            <w:sdtEndPr>
              <w:rPr>
                <w:rFonts w:hint="default"/>
              </w:rPr>
            </w:sdtEndPr>
            <w:sdtContent>
              <w:tr w:rsidR="00B637B2" w:rsidTr="00B637B2">
                <w:tc>
                  <w:tcPr>
                    <w:tcW w:w="584"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8F04CF" w:rsidP="00B637B2">
                    <w:pPr>
                      <w:rPr>
                        <w:sz w:val="16"/>
                        <w:szCs w:val="16"/>
                      </w:rPr>
                    </w:pPr>
                    <w:r w:rsidRPr="00F61ADC">
                      <w:rPr>
                        <w:sz w:val="16"/>
                        <w:szCs w:val="16"/>
                      </w:rPr>
                      <w:t>北京西玛国正商用表单技术有限公司(以下简称“西玛国正”)</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8F04CF" w:rsidP="00B637B2">
                    <w:pPr>
                      <w:jc w:val="right"/>
                      <w:rPr>
                        <w:sz w:val="16"/>
                        <w:szCs w:val="16"/>
                      </w:rPr>
                    </w:pPr>
                    <w:r w:rsidRPr="00F61ADC">
                      <w:rPr>
                        <w:sz w:val="16"/>
                        <w:szCs w:val="16"/>
                      </w:rPr>
                      <w:t>8,979,327</w:t>
                    </w: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8F04CF" w:rsidP="00B637B2">
                    <w:pPr>
                      <w:ind w:leftChars="-50" w:left="-105" w:rightChars="-50" w:right="-105"/>
                      <w:jc w:val="right"/>
                      <w:rPr>
                        <w:sz w:val="16"/>
                        <w:szCs w:val="16"/>
                      </w:rPr>
                    </w:pPr>
                    <w:r w:rsidRPr="00F61ADC">
                      <w:rPr>
                        <w:sz w:val="16"/>
                        <w:szCs w:val="16"/>
                      </w:rPr>
                      <w:t>3,591,731</w:t>
                    </w:r>
                  </w:p>
                </w:tc>
                <w:tc>
                  <w:tcPr>
                    <w:tcW w:w="463" w:type="pct"/>
                    <w:tcBorders>
                      <w:top w:val="single" w:sz="4" w:space="0" w:color="auto"/>
                      <w:left w:val="single" w:sz="4" w:space="0" w:color="auto"/>
                      <w:bottom w:val="single" w:sz="4" w:space="0" w:color="auto"/>
                      <w:right w:val="single" w:sz="4" w:space="0" w:color="auto"/>
                    </w:tcBorders>
                    <w:shd w:val="clear" w:color="auto" w:fill="auto"/>
                  </w:tcPr>
                  <w:p w:rsidR="00B637B2" w:rsidRPr="00240016" w:rsidRDefault="008F04CF" w:rsidP="00B637B2">
                    <w:pPr>
                      <w:jc w:val="right"/>
                      <w:rPr>
                        <w:sz w:val="16"/>
                        <w:szCs w:val="16"/>
                      </w:rPr>
                    </w:pPr>
                    <w:r w:rsidRPr="00240016">
                      <w:rPr>
                        <w:sz w:val="16"/>
                        <w:szCs w:val="16"/>
                      </w:rPr>
                      <w:t>404,506</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449"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259"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260"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582" w:type="pct"/>
                    <w:tcBorders>
                      <w:top w:val="single" w:sz="4" w:space="0" w:color="auto"/>
                      <w:left w:val="single" w:sz="4" w:space="0" w:color="auto"/>
                      <w:bottom w:val="single" w:sz="4" w:space="0" w:color="auto"/>
                      <w:right w:val="single" w:sz="4" w:space="0" w:color="auto"/>
                    </w:tcBorders>
                    <w:shd w:val="clear" w:color="auto" w:fill="auto"/>
                  </w:tcPr>
                  <w:p w:rsidR="00B637B2" w:rsidRPr="00BA0FD3" w:rsidRDefault="008F04CF" w:rsidP="00B637B2">
                    <w:pPr>
                      <w:jc w:val="right"/>
                      <w:rPr>
                        <w:sz w:val="16"/>
                        <w:szCs w:val="16"/>
                      </w:rPr>
                    </w:pPr>
                    <w:r w:rsidRPr="00BA0FD3">
                      <w:rPr>
                        <w:sz w:val="16"/>
                        <w:szCs w:val="16"/>
                      </w:rPr>
                      <w:t>5,792,102</w:t>
                    </w:r>
                  </w:p>
                </w:tc>
                <w:tc>
                  <w:tcPr>
                    <w:tcW w:w="454"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r>
            </w:sdtContent>
          </w:sdt>
          <w:sdt>
            <w:sdtPr>
              <w:rPr>
                <w:rFonts w:asciiTheme="minorHAnsi" w:eastAsiaTheme="minorEastAsia" w:hAnsiTheme="minorHAnsi" w:cstheme="minorBidi" w:hint="eastAsia"/>
                <w:kern w:val="2"/>
                <w:sz w:val="16"/>
                <w:szCs w:val="16"/>
              </w:rPr>
              <w:alias w:val="联营企业投资信息明细"/>
              <w:tag w:val="_GBC_49d1b98c49c34c26a2c4d55f0c1fdb21"/>
              <w:id w:val="935411621"/>
              <w:lock w:val="sdtLocked"/>
            </w:sdtPr>
            <w:sdtEndPr>
              <w:rPr>
                <w:rFonts w:hint="default"/>
              </w:rPr>
            </w:sdtEndPr>
            <w:sdtContent>
              <w:tr w:rsidR="00B637B2" w:rsidTr="00B637B2">
                <w:tc>
                  <w:tcPr>
                    <w:tcW w:w="584"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8F04CF" w:rsidP="00B637B2">
                    <w:pPr>
                      <w:rPr>
                        <w:sz w:val="16"/>
                        <w:szCs w:val="16"/>
                      </w:rPr>
                    </w:pPr>
                    <w:r w:rsidRPr="00F61ADC">
                      <w:rPr>
                        <w:sz w:val="16"/>
                        <w:szCs w:val="16"/>
                      </w:rPr>
                      <w:t>北京众享比特科技有限公司(以下简称“众享比特”)</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8F04CF" w:rsidP="00B637B2">
                    <w:pPr>
                      <w:jc w:val="right"/>
                      <w:rPr>
                        <w:sz w:val="16"/>
                        <w:szCs w:val="16"/>
                      </w:rPr>
                    </w:pPr>
                    <w:r w:rsidRPr="00F61ADC">
                      <w:rPr>
                        <w:sz w:val="16"/>
                        <w:szCs w:val="16"/>
                      </w:rPr>
                      <w:t>18,301,560</w:t>
                    </w: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463" w:type="pct"/>
                    <w:tcBorders>
                      <w:top w:val="single" w:sz="4" w:space="0" w:color="auto"/>
                      <w:left w:val="single" w:sz="4" w:space="0" w:color="auto"/>
                      <w:bottom w:val="single" w:sz="4" w:space="0" w:color="auto"/>
                      <w:right w:val="single" w:sz="4" w:space="0" w:color="auto"/>
                    </w:tcBorders>
                    <w:shd w:val="clear" w:color="auto" w:fill="auto"/>
                  </w:tcPr>
                  <w:p w:rsidR="00B637B2" w:rsidRPr="00240016" w:rsidRDefault="008F04CF" w:rsidP="00B637B2">
                    <w:pPr>
                      <w:jc w:val="right"/>
                      <w:rPr>
                        <w:sz w:val="16"/>
                        <w:szCs w:val="16"/>
                      </w:rPr>
                    </w:pPr>
                    <w:r w:rsidRPr="00240016">
                      <w:rPr>
                        <w:sz w:val="16"/>
                        <w:szCs w:val="16"/>
                      </w:rPr>
                      <w:t>-406,811</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449"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259"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260"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582" w:type="pct"/>
                    <w:tcBorders>
                      <w:top w:val="single" w:sz="4" w:space="0" w:color="auto"/>
                      <w:left w:val="single" w:sz="4" w:space="0" w:color="auto"/>
                      <w:bottom w:val="single" w:sz="4" w:space="0" w:color="auto"/>
                      <w:right w:val="single" w:sz="4" w:space="0" w:color="auto"/>
                    </w:tcBorders>
                    <w:shd w:val="clear" w:color="auto" w:fill="auto"/>
                  </w:tcPr>
                  <w:p w:rsidR="00B637B2" w:rsidRPr="00BA0FD3" w:rsidRDefault="008F04CF" w:rsidP="00B637B2">
                    <w:pPr>
                      <w:jc w:val="right"/>
                      <w:rPr>
                        <w:sz w:val="16"/>
                        <w:szCs w:val="16"/>
                      </w:rPr>
                    </w:pPr>
                    <w:r w:rsidRPr="00BA0FD3">
                      <w:rPr>
                        <w:sz w:val="16"/>
                        <w:szCs w:val="16"/>
                      </w:rPr>
                      <w:t>17,894,749</w:t>
                    </w:r>
                  </w:p>
                </w:tc>
                <w:tc>
                  <w:tcPr>
                    <w:tcW w:w="454"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r>
            </w:sdtContent>
          </w:sdt>
          <w:sdt>
            <w:sdtPr>
              <w:rPr>
                <w:rFonts w:asciiTheme="minorHAnsi" w:eastAsiaTheme="minorEastAsia" w:hAnsiTheme="minorHAnsi" w:cstheme="minorBidi" w:hint="eastAsia"/>
                <w:kern w:val="2"/>
                <w:sz w:val="16"/>
                <w:szCs w:val="16"/>
              </w:rPr>
              <w:alias w:val="联营企业投资信息明细"/>
              <w:tag w:val="_GBC_49d1b98c49c34c26a2c4d55f0c1fdb21"/>
              <w:id w:val="-43057010"/>
              <w:lock w:val="sdtLocked"/>
            </w:sdtPr>
            <w:sdtEndPr>
              <w:rPr>
                <w:rFonts w:hint="default"/>
              </w:rPr>
            </w:sdtEndPr>
            <w:sdtContent>
              <w:tr w:rsidR="00B637B2" w:rsidTr="00B637B2">
                <w:tc>
                  <w:tcPr>
                    <w:tcW w:w="584"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8F04CF" w:rsidP="00B637B2">
                    <w:pPr>
                      <w:rPr>
                        <w:sz w:val="16"/>
                        <w:szCs w:val="16"/>
                      </w:rPr>
                    </w:pPr>
                    <w:r w:rsidRPr="00F61ADC">
                      <w:rPr>
                        <w:sz w:val="16"/>
                        <w:szCs w:val="16"/>
                      </w:rPr>
                      <w:t>北京传奇极客管理咨询有限公司(以下简称“传奇极客”)</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8F04CF" w:rsidP="00B637B2">
                    <w:pPr>
                      <w:jc w:val="right"/>
                      <w:rPr>
                        <w:sz w:val="16"/>
                        <w:szCs w:val="16"/>
                      </w:rPr>
                    </w:pPr>
                    <w:r w:rsidRPr="00F61ADC">
                      <w:rPr>
                        <w:sz w:val="16"/>
                        <w:szCs w:val="16"/>
                      </w:rPr>
                      <w:t>5,317,188</w:t>
                    </w: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8F04CF" w:rsidP="00B637B2">
                    <w:pPr>
                      <w:jc w:val="right"/>
                      <w:rPr>
                        <w:sz w:val="16"/>
                        <w:szCs w:val="16"/>
                      </w:rPr>
                    </w:pPr>
                    <w:r w:rsidRPr="00BA0FD3">
                      <w:rPr>
                        <w:sz w:val="16"/>
                        <w:szCs w:val="16"/>
                      </w:rPr>
                      <w:t>615,833</w:t>
                    </w:r>
                  </w:p>
                </w:tc>
                <w:tc>
                  <w:tcPr>
                    <w:tcW w:w="463" w:type="pct"/>
                    <w:tcBorders>
                      <w:top w:val="single" w:sz="4" w:space="0" w:color="auto"/>
                      <w:left w:val="single" w:sz="4" w:space="0" w:color="auto"/>
                      <w:bottom w:val="single" w:sz="4" w:space="0" w:color="auto"/>
                      <w:right w:val="single" w:sz="4" w:space="0" w:color="auto"/>
                    </w:tcBorders>
                    <w:shd w:val="clear" w:color="auto" w:fill="auto"/>
                  </w:tcPr>
                  <w:p w:rsidR="00B637B2" w:rsidRPr="00240016" w:rsidRDefault="008F04CF" w:rsidP="00B637B2">
                    <w:pPr>
                      <w:jc w:val="right"/>
                      <w:rPr>
                        <w:sz w:val="16"/>
                        <w:szCs w:val="16"/>
                      </w:rPr>
                    </w:pPr>
                    <w:r w:rsidRPr="00240016">
                      <w:rPr>
                        <w:sz w:val="16"/>
                        <w:szCs w:val="16"/>
                      </w:rPr>
                      <w:t>-157,741</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449"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8F04CF" w:rsidP="00B637B2">
                    <w:pPr>
                      <w:jc w:val="right"/>
                      <w:rPr>
                        <w:sz w:val="16"/>
                        <w:szCs w:val="16"/>
                      </w:rPr>
                    </w:pPr>
                    <w:r w:rsidRPr="00BA0FD3">
                      <w:rPr>
                        <w:sz w:val="16"/>
                        <w:szCs w:val="16"/>
                      </w:rPr>
                      <w:t>1,104,646</w:t>
                    </w:r>
                  </w:p>
                </w:tc>
                <w:tc>
                  <w:tcPr>
                    <w:tcW w:w="259"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260"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582" w:type="pct"/>
                    <w:tcBorders>
                      <w:top w:val="single" w:sz="4" w:space="0" w:color="auto"/>
                      <w:left w:val="single" w:sz="4" w:space="0" w:color="auto"/>
                      <w:bottom w:val="single" w:sz="4" w:space="0" w:color="auto"/>
                      <w:right w:val="single" w:sz="4" w:space="0" w:color="auto"/>
                    </w:tcBorders>
                    <w:shd w:val="clear" w:color="auto" w:fill="auto"/>
                  </w:tcPr>
                  <w:p w:rsidR="00B637B2" w:rsidRPr="00BA0FD3" w:rsidRDefault="008F04CF" w:rsidP="00B637B2">
                    <w:pPr>
                      <w:jc w:val="right"/>
                      <w:rPr>
                        <w:sz w:val="16"/>
                        <w:szCs w:val="16"/>
                      </w:rPr>
                    </w:pPr>
                    <w:r w:rsidRPr="00BA0FD3">
                      <w:rPr>
                        <w:sz w:val="16"/>
                        <w:szCs w:val="16"/>
                      </w:rPr>
                      <w:t>5,648,260</w:t>
                    </w:r>
                  </w:p>
                </w:tc>
                <w:tc>
                  <w:tcPr>
                    <w:tcW w:w="454"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r>
            </w:sdtContent>
          </w:sdt>
          <w:sdt>
            <w:sdtPr>
              <w:rPr>
                <w:rFonts w:asciiTheme="minorHAnsi" w:eastAsiaTheme="minorEastAsia" w:hAnsiTheme="minorHAnsi" w:cstheme="minorBidi" w:hint="eastAsia"/>
                <w:kern w:val="2"/>
                <w:sz w:val="16"/>
                <w:szCs w:val="16"/>
              </w:rPr>
              <w:alias w:val="联营企业投资信息明细"/>
              <w:tag w:val="_GBC_49d1b98c49c34c26a2c4d55f0c1fdb21"/>
              <w:id w:val="-1938972334"/>
              <w:lock w:val="sdtLocked"/>
            </w:sdtPr>
            <w:sdtEndPr>
              <w:rPr>
                <w:rFonts w:hint="default"/>
              </w:rPr>
            </w:sdtEndPr>
            <w:sdtContent>
              <w:tr w:rsidR="00B637B2" w:rsidTr="00B637B2">
                <w:tc>
                  <w:tcPr>
                    <w:tcW w:w="584"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8F04CF" w:rsidP="00B637B2">
                    <w:pPr>
                      <w:rPr>
                        <w:sz w:val="16"/>
                        <w:szCs w:val="16"/>
                      </w:rPr>
                    </w:pPr>
                    <w:r w:rsidRPr="00F61ADC">
                      <w:rPr>
                        <w:sz w:val="16"/>
                        <w:szCs w:val="16"/>
                      </w:rPr>
                      <w:t>深圳市华傲数据技术有限公司(以下简称“深圳华傲”)</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8F04CF" w:rsidP="00B637B2">
                    <w:pPr>
                      <w:jc w:val="right"/>
                      <w:rPr>
                        <w:sz w:val="16"/>
                        <w:szCs w:val="16"/>
                      </w:rPr>
                    </w:pPr>
                    <w:r w:rsidRPr="00F61ADC">
                      <w:rPr>
                        <w:sz w:val="16"/>
                        <w:szCs w:val="16"/>
                      </w:rPr>
                      <w:t>8,272,119</w:t>
                    </w: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463" w:type="pct"/>
                    <w:tcBorders>
                      <w:top w:val="single" w:sz="4" w:space="0" w:color="auto"/>
                      <w:left w:val="single" w:sz="4" w:space="0" w:color="auto"/>
                      <w:bottom w:val="single" w:sz="4" w:space="0" w:color="auto"/>
                      <w:right w:val="single" w:sz="4" w:space="0" w:color="auto"/>
                    </w:tcBorders>
                    <w:shd w:val="clear" w:color="auto" w:fill="auto"/>
                  </w:tcPr>
                  <w:p w:rsidR="00B637B2" w:rsidRPr="00240016" w:rsidRDefault="008F04CF" w:rsidP="00B637B2">
                    <w:pPr>
                      <w:jc w:val="right"/>
                      <w:rPr>
                        <w:sz w:val="16"/>
                        <w:szCs w:val="16"/>
                      </w:rPr>
                    </w:pPr>
                    <w:r w:rsidRPr="00240016">
                      <w:rPr>
                        <w:sz w:val="16"/>
                        <w:szCs w:val="16"/>
                      </w:rPr>
                      <w:t>-647,761</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449"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259"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260"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582" w:type="pct"/>
                    <w:tcBorders>
                      <w:top w:val="single" w:sz="4" w:space="0" w:color="auto"/>
                      <w:left w:val="single" w:sz="4" w:space="0" w:color="auto"/>
                      <w:bottom w:val="single" w:sz="4" w:space="0" w:color="auto"/>
                      <w:right w:val="single" w:sz="4" w:space="0" w:color="auto"/>
                    </w:tcBorders>
                    <w:shd w:val="clear" w:color="auto" w:fill="auto"/>
                  </w:tcPr>
                  <w:p w:rsidR="00B637B2" w:rsidRPr="00BA0FD3" w:rsidRDefault="008F04CF" w:rsidP="00B637B2">
                    <w:pPr>
                      <w:jc w:val="right"/>
                      <w:rPr>
                        <w:sz w:val="16"/>
                        <w:szCs w:val="16"/>
                      </w:rPr>
                    </w:pPr>
                    <w:r w:rsidRPr="00BA0FD3">
                      <w:rPr>
                        <w:sz w:val="16"/>
                        <w:szCs w:val="16"/>
                      </w:rPr>
                      <w:t>7,624,358</w:t>
                    </w:r>
                  </w:p>
                </w:tc>
                <w:tc>
                  <w:tcPr>
                    <w:tcW w:w="454"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r>
            </w:sdtContent>
          </w:sdt>
          <w:sdt>
            <w:sdtPr>
              <w:rPr>
                <w:rFonts w:asciiTheme="minorHAnsi" w:eastAsiaTheme="minorEastAsia" w:hAnsiTheme="minorHAnsi" w:cstheme="minorBidi" w:hint="eastAsia"/>
                <w:kern w:val="2"/>
                <w:sz w:val="16"/>
                <w:szCs w:val="16"/>
              </w:rPr>
              <w:alias w:val="联营企业投资信息明细"/>
              <w:tag w:val="_GBC_49d1b98c49c34c26a2c4d55f0c1fdb21"/>
              <w:id w:val="882839885"/>
              <w:lock w:val="sdtLocked"/>
            </w:sdtPr>
            <w:sdtEndPr>
              <w:rPr>
                <w:rFonts w:hint="default"/>
              </w:rPr>
            </w:sdtEndPr>
            <w:sdtContent>
              <w:tr w:rsidR="00B637B2" w:rsidTr="00B637B2">
                <w:tc>
                  <w:tcPr>
                    <w:tcW w:w="584"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8F04CF" w:rsidP="00B637B2">
                    <w:pPr>
                      <w:rPr>
                        <w:sz w:val="16"/>
                        <w:szCs w:val="16"/>
                      </w:rPr>
                    </w:pPr>
                    <w:r w:rsidRPr="00F61ADC">
                      <w:rPr>
                        <w:sz w:val="16"/>
                        <w:szCs w:val="16"/>
                      </w:rPr>
                      <w:t>北京慧友云商科技有限公司(以下简称“慧友云商”)</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8F04CF" w:rsidP="00B637B2">
                    <w:pPr>
                      <w:jc w:val="right"/>
                      <w:rPr>
                        <w:sz w:val="16"/>
                        <w:szCs w:val="16"/>
                      </w:rPr>
                    </w:pPr>
                    <w:r w:rsidRPr="00F61ADC">
                      <w:rPr>
                        <w:sz w:val="16"/>
                        <w:szCs w:val="16"/>
                      </w:rPr>
                      <w:t>11,800,680</w:t>
                    </w: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463" w:type="pct"/>
                    <w:tcBorders>
                      <w:top w:val="single" w:sz="4" w:space="0" w:color="auto"/>
                      <w:left w:val="single" w:sz="4" w:space="0" w:color="auto"/>
                      <w:bottom w:val="single" w:sz="4" w:space="0" w:color="auto"/>
                      <w:right w:val="single" w:sz="4" w:space="0" w:color="auto"/>
                    </w:tcBorders>
                    <w:shd w:val="clear" w:color="auto" w:fill="auto"/>
                  </w:tcPr>
                  <w:p w:rsidR="00B637B2" w:rsidRPr="00240016" w:rsidRDefault="008F04CF" w:rsidP="00B637B2">
                    <w:pPr>
                      <w:jc w:val="right"/>
                      <w:rPr>
                        <w:sz w:val="16"/>
                        <w:szCs w:val="16"/>
                      </w:rPr>
                    </w:pPr>
                    <w:r w:rsidRPr="00240016">
                      <w:rPr>
                        <w:sz w:val="16"/>
                        <w:szCs w:val="16"/>
                      </w:rPr>
                      <w:t>-314,762</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449"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259"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260"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582" w:type="pct"/>
                    <w:tcBorders>
                      <w:top w:val="single" w:sz="4" w:space="0" w:color="auto"/>
                      <w:left w:val="single" w:sz="4" w:space="0" w:color="auto"/>
                      <w:bottom w:val="single" w:sz="4" w:space="0" w:color="auto"/>
                      <w:right w:val="single" w:sz="4" w:space="0" w:color="auto"/>
                    </w:tcBorders>
                    <w:shd w:val="clear" w:color="auto" w:fill="auto"/>
                  </w:tcPr>
                  <w:p w:rsidR="00B637B2" w:rsidRPr="00BA0FD3" w:rsidRDefault="008F04CF" w:rsidP="00B637B2">
                    <w:pPr>
                      <w:jc w:val="right"/>
                      <w:rPr>
                        <w:sz w:val="16"/>
                        <w:szCs w:val="16"/>
                      </w:rPr>
                    </w:pPr>
                    <w:r w:rsidRPr="00BA0FD3">
                      <w:rPr>
                        <w:sz w:val="16"/>
                        <w:szCs w:val="16"/>
                      </w:rPr>
                      <w:t>11,485,918</w:t>
                    </w:r>
                  </w:p>
                </w:tc>
                <w:tc>
                  <w:tcPr>
                    <w:tcW w:w="454"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r>
            </w:sdtContent>
          </w:sdt>
          <w:sdt>
            <w:sdtPr>
              <w:rPr>
                <w:rFonts w:asciiTheme="minorHAnsi" w:eastAsiaTheme="minorEastAsia" w:hAnsiTheme="minorHAnsi" w:cstheme="minorBidi" w:hint="eastAsia"/>
                <w:kern w:val="2"/>
                <w:sz w:val="16"/>
                <w:szCs w:val="16"/>
              </w:rPr>
              <w:alias w:val="联营企业投资信息明细"/>
              <w:tag w:val="_GBC_49d1b98c49c34c26a2c4d55f0c1fdb21"/>
              <w:id w:val="-88318002"/>
              <w:lock w:val="sdtLocked"/>
            </w:sdtPr>
            <w:sdtEndPr>
              <w:rPr>
                <w:rFonts w:hint="default"/>
              </w:rPr>
            </w:sdtEndPr>
            <w:sdtContent>
              <w:tr w:rsidR="00B637B2" w:rsidTr="00B637B2">
                <w:tc>
                  <w:tcPr>
                    <w:tcW w:w="584"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8F04CF" w:rsidP="00B637B2">
                    <w:pPr>
                      <w:rPr>
                        <w:sz w:val="16"/>
                        <w:szCs w:val="16"/>
                      </w:rPr>
                    </w:pPr>
                    <w:r w:rsidRPr="00F61ADC">
                      <w:rPr>
                        <w:sz w:val="16"/>
                        <w:szCs w:val="16"/>
                      </w:rPr>
                      <w:t>北京珊瑚灵御科技有限公司(以下简称“珊瑚灵御”)</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8F04CF" w:rsidP="00B637B2">
                    <w:pPr>
                      <w:jc w:val="right"/>
                      <w:rPr>
                        <w:sz w:val="16"/>
                        <w:szCs w:val="16"/>
                      </w:rPr>
                    </w:pPr>
                    <w:r w:rsidRPr="00F61ADC">
                      <w:rPr>
                        <w:sz w:val="16"/>
                        <w:szCs w:val="16"/>
                      </w:rPr>
                      <w:t>55,441</w:t>
                    </w: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463" w:type="pct"/>
                    <w:tcBorders>
                      <w:top w:val="single" w:sz="4" w:space="0" w:color="auto"/>
                      <w:left w:val="single" w:sz="4" w:space="0" w:color="auto"/>
                      <w:bottom w:val="single" w:sz="4" w:space="0" w:color="auto"/>
                      <w:right w:val="single" w:sz="4" w:space="0" w:color="auto"/>
                    </w:tcBorders>
                    <w:shd w:val="clear" w:color="auto" w:fill="auto"/>
                  </w:tcPr>
                  <w:p w:rsidR="00B637B2" w:rsidRPr="00240016" w:rsidRDefault="008F04CF" w:rsidP="00B637B2">
                    <w:pPr>
                      <w:jc w:val="right"/>
                      <w:rPr>
                        <w:sz w:val="16"/>
                        <w:szCs w:val="16"/>
                      </w:rPr>
                    </w:pPr>
                    <w:r w:rsidRPr="00240016">
                      <w:rPr>
                        <w:sz w:val="16"/>
                        <w:szCs w:val="16"/>
                      </w:rPr>
                      <w:t>20,553</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449"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259"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260"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582" w:type="pct"/>
                    <w:tcBorders>
                      <w:top w:val="single" w:sz="4" w:space="0" w:color="auto"/>
                      <w:left w:val="single" w:sz="4" w:space="0" w:color="auto"/>
                      <w:bottom w:val="single" w:sz="4" w:space="0" w:color="auto"/>
                      <w:right w:val="single" w:sz="4" w:space="0" w:color="auto"/>
                    </w:tcBorders>
                    <w:shd w:val="clear" w:color="auto" w:fill="auto"/>
                  </w:tcPr>
                  <w:p w:rsidR="00B637B2" w:rsidRPr="00BA0FD3" w:rsidRDefault="008F04CF" w:rsidP="00B637B2">
                    <w:pPr>
                      <w:jc w:val="right"/>
                      <w:rPr>
                        <w:sz w:val="16"/>
                        <w:szCs w:val="16"/>
                      </w:rPr>
                    </w:pPr>
                    <w:r w:rsidRPr="00BA0FD3">
                      <w:rPr>
                        <w:sz w:val="16"/>
                        <w:szCs w:val="16"/>
                      </w:rPr>
                      <w:t>75,994</w:t>
                    </w:r>
                  </w:p>
                </w:tc>
                <w:tc>
                  <w:tcPr>
                    <w:tcW w:w="454" w:type="pct"/>
                    <w:tcBorders>
                      <w:top w:val="single" w:sz="4" w:space="0" w:color="auto"/>
                      <w:left w:val="single" w:sz="4" w:space="0" w:color="auto"/>
                      <w:bottom w:val="single" w:sz="4" w:space="0" w:color="auto"/>
                      <w:right w:val="single" w:sz="4" w:space="0" w:color="auto"/>
                    </w:tcBorders>
                    <w:shd w:val="clear" w:color="auto" w:fill="auto"/>
                  </w:tcPr>
                  <w:p w:rsidR="00B637B2" w:rsidRPr="00BA0FD3" w:rsidRDefault="008F04CF" w:rsidP="00B637B2">
                    <w:pPr>
                      <w:jc w:val="right"/>
                      <w:rPr>
                        <w:rFonts w:cs="Arial"/>
                        <w:color w:val="000000"/>
                        <w:sz w:val="16"/>
                        <w:szCs w:val="16"/>
                      </w:rPr>
                    </w:pPr>
                    <w:r>
                      <w:rPr>
                        <w:rFonts w:cs="Arial"/>
                        <w:color w:val="000000"/>
                        <w:sz w:val="16"/>
                        <w:szCs w:val="16"/>
                      </w:rPr>
                      <w:t>9,020,365</w:t>
                    </w:r>
                  </w:p>
                  <w:p w:rsidR="00B637B2" w:rsidRPr="00F61ADC" w:rsidRDefault="00B637B2" w:rsidP="00B637B2">
                    <w:pPr>
                      <w:jc w:val="right"/>
                      <w:rPr>
                        <w:sz w:val="16"/>
                        <w:szCs w:val="16"/>
                      </w:rPr>
                    </w:pPr>
                  </w:p>
                </w:tc>
              </w:tr>
            </w:sdtContent>
          </w:sdt>
          <w:sdt>
            <w:sdtPr>
              <w:rPr>
                <w:rFonts w:asciiTheme="minorHAnsi" w:eastAsiaTheme="minorEastAsia" w:hAnsiTheme="minorHAnsi" w:cstheme="minorBidi" w:hint="eastAsia"/>
                <w:kern w:val="2"/>
                <w:sz w:val="16"/>
                <w:szCs w:val="16"/>
              </w:rPr>
              <w:alias w:val="联营企业投资信息明细"/>
              <w:tag w:val="_GBC_49d1b98c49c34c26a2c4d55f0c1fdb21"/>
              <w:id w:val="-1445223738"/>
              <w:lock w:val="sdtLocked"/>
            </w:sdtPr>
            <w:sdtEndPr>
              <w:rPr>
                <w:rFonts w:hint="default"/>
              </w:rPr>
            </w:sdtEndPr>
            <w:sdtContent>
              <w:tr w:rsidR="00B637B2" w:rsidTr="00B637B2">
                <w:tc>
                  <w:tcPr>
                    <w:tcW w:w="584"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8F04CF" w:rsidP="00B637B2">
                    <w:pPr>
                      <w:rPr>
                        <w:sz w:val="16"/>
                        <w:szCs w:val="16"/>
                      </w:rPr>
                    </w:pPr>
                    <w:r w:rsidRPr="00F61ADC">
                      <w:rPr>
                        <w:sz w:val="16"/>
                        <w:szCs w:val="16"/>
                      </w:rPr>
                      <w:t>北京易特创思科技有限公司(以下简称“易特创思”)</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8F04CF" w:rsidP="00B637B2">
                    <w:pPr>
                      <w:jc w:val="right"/>
                      <w:rPr>
                        <w:sz w:val="16"/>
                        <w:szCs w:val="16"/>
                      </w:rPr>
                    </w:pPr>
                    <w:r w:rsidRPr="00F61ADC">
                      <w:rPr>
                        <w:sz w:val="16"/>
                        <w:szCs w:val="16"/>
                      </w:rPr>
                      <w:t>10,280,905</w:t>
                    </w: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463" w:type="pct"/>
                    <w:tcBorders>
                      <w:top w:val="single" w:sz="4" w:space="0" w:color="auto"/>
                      <w:left w:val="single" w:sz="4" w:space="0" w:color="auto"/>
                      <w:bottom w:val="single" w:sz="4" w:space="0" w:color="auto"/>
                      <w:right w:val="single" w:sz="4" w:space="0" w:color="auto"/>
                    </w:tcBorders>
                    <w:shd w:val="clear" w:color="auto" w:fill="auto"/>
                  </w:tcPr>
                  <w:p w:rsidR="00B637B2" w:rsidRPr="00240016" w:rsidRDefault="008F04CF" w:rsidP="00B637B2">
                    <w:pPr>
                      <w:jc w:val="right"/>
                      <w:rPr>
                        <w:sz w:val="16"/>
                        <w:szCs w:val="16"/>
                      </w:rPr>
                    </w:pPr>
                    <w:r w:rsidRPr="00240016">
                      <w:rPr>
                        <w:sz w:val="16"/>
                        <w:szCs w:val="16"/>
                      </w:rPr>
                      <w:t>337,038</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449"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259"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260"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582" w:type="pct"/>
                    <w:tcBorders>
                      <w:top w:val="single" w:sz="4" w:space="0" w:color="auto"/>
                      <w:left w:val="single" w:sz="4" w:space="0" w:color="auto"/>
                      <w:bottom w:val="single" w:sz="4" w:space="0" w:color="auto"/>
                      <w:right w:val="single" w:sz="4" w:space="0" w:color="auto"/>
                    </w:tcBorders>
                    <w:shd w:val="clear" w:color="auto" w:fill="auto"/>
                  </w:tcPr>
                  <w:p w:rsidR="00B637B2" w:rsidRPr="00BA0FD3" w:rsidRDefault="008F04CF" w:rsidP="00B637B2">
                    <w:pPr>
                      <w:jc w:val="right"/>
                      <w:rPr>
                        <w:sz w:val="16"/>
                        <w:szCs w:val="16"/>
                      </w:rPr>
                    </w:pPr>
                    <w:r w:rsidRPr="00BA0FD3">
                      <w:rPr>
                        <w:sz w:val="16"/>
                        <w:szCs w:val="16"/>
                      </w:rPr>
                      <w:t>10,617,943</w:t>
                    </w:r>
                  </w:p>
                </w:tc>
                <w:tc>
                  <w:tcPr>
                    <w:tcW w:w="454"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r>
            </w:sdtContent>
          </w:sdt>
          <w:sdt>
            <w:sdtPr>
              <w:rPr>
                <w:rFonts w:asciiTheme="minorHAnsi" w:eastAsiaTheme="minorEastAsia" w:hAnsiTheme="minorHAnsi" w:cstheme="minorBidi" w:hint="eastAsia"/>
                <w:kern w:val="2"/>
                <w:sz w:val="16"/>
                <w:szCs w:val="16"/>
              </w:rPr>
              <w:alias w:val="联营企业投资信息明细"/>
              <w:tag w:val="_GBC_49d1b98c49c34c26a2c4d55f0c1fdb21"/>
              <w:id w:val="-721671841"/>
              <w:lock w:val="sdtLocked"/>
            </w:sdtPr>
            <w:sdtEndPr>
              <w:rPr>
                <w:rFonts w:hint="default"/>
              </w:rPr>
            </w:sdtEndPr>
            <w:sdtContent>
              <w:tr w:rsidR="00B637B2" w:rsidTr="00B637B2">
                <w:tc>
                  <w:tcPr>
                    <w:tcW w:w="584"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8F04CF" w:rsidP="00B637B2">
                    <w:pPr>
                      <w:rPr>
                        <w:sz w:val="16"/>
                        <w:szCs w:val="16"/>
                      </w:rPr>
                    </w:pPr>
                    <w:r w:rsidRPr="00F61ADC">
                      <w:rPr>
                        <w:sz w:val="16"/>
                        <w:szCs w:val="16"/>
                      </w:rPr>
                      <w:t>北京智启蓝墨信息技术有限公司(以下简称“智启蓝墨”)</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8F04CF" w:rsidP="00B637B2">
                    <w:pPr>
                      <w:jc w:val="right"/>
                      <w:rPr>
                        <w:sz w:val="16"/>
                        <w:szCs w:val="16"/>
                      </w:rPr>
                    </w:pPr>
                    <w:r w:rsidRPr="00F61ADC">
                      <w:rPr>
                        <w:sz w:val="16"/>
                        <w:szCs w:val="16"/>
                      </w:rPr>
                      <w:t>15,545,435</w:t>
                    </w: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463" w:type="pct"/>
                    <w:tcBorders>
                      <w:top w:val="single" w:sz="4" w:space="0" w:color="auto"/>
                      <w:left w:val="single" w:sz="4" w:space="0" w:color="auto"/>
                      <w:bottom w:val="single" w:sz="4" w:space="0" w:color="auto"/>
                      <w:right w:val="single" w:sz="4" w:space="0" w:color="auto"/>
                    </w:tcBorders>
                    <w:shd w:val="clear" w:color="auto" w:fill="auto"/>
                  </w:tcPr>
                  <w:p w:rsidR="00B637B2" w:rsidRPr="00240016" w:rsidRDefault="008F04CF" w:rsidP="00B637B2">
                    <w:pPr>
                      <w:jc w:val="right"/>
                      <w:rPr>
                        <w:sz w:val="16"/>
                        <w:szCs w:val="16"/>
                      </w:rPr>
                    </w:pPr>
                    <w:r w:rsidRPr="00240016">
                      <w:rPr>
                        <w:sz w:val="16"/>
                        <w:szCs w:val="16"/>
                      </w:rPr>
                      <w:t>-908,237</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449"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259"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260"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582" w:type="pct"/>
                    <w:tcBorders>
                      <w:top w:val="single" w:sz="4" w:space="0" w:color="auto"/>
                      <w:left w:val="single" w:sz="4" w:space="0" w:color="auto"/>
                      <w:bottom w:val="single" w:sz="4" w:space="0" w:color="auto"/>
                      <w:right w:val="single" w:sz="4" w:space="0" w:color="auto"/>
                    </w:tcBorders>
                    <w:shd w:val="clear" w:color="auto" w:fill="auto"/>
                  </w:tcPr>
                  <w:p w:rsidR="00B637B2" w:rsidRPr="00BA0FD3" w:rsidRDefault="008F04CF" w:rsidP="00B637B2">
                    <w:pPr>
                      <w:jc w:val="right"/>
                      <w:rPr>
                        <w:sz w:val="16"/>
                        <w:szCs w:val="16"/>
                      </w:rPr>
                    </w:pPr>
                    <w:r w:rsidRPr="00BA0FD3">
                      <w:rPr>
                        <w:sz w:val="16"/>
                        <w:szCs w:val="16"/>
                      </w:rPr>
                      <w:t>14,637,198</w:t>
                    </w:r>
                  </w:p>
                </w:tc>
                <w:tc>
                  <w:tcPr>
                    <w:tcW w:w="454"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r>
            </w:sdtContent>
          </w:sdt>
          <w:sdt>
            <w:sdtPr>
              <w:rPr>
                <w:rFonts w:asciiTheme="minorHAnsi" w:eastAsiaTheme="minorEastAsia" w:hAnsiTheme="minorHAnsi" w:cstheme="minorBidi" w:hint="eastAsia"/>
                <w:kern w:val="2"/>
                <w:sz w:val="16"/>
                <w:szCs w:val="16"/>
              </w:rPr>
              <w:alias w:val="联营企业投资信息明细"/>
              <w:tag w:val="_GBC_49d1b98c49c34c26a2c4d55f0c1fdb21"/>
              <w:id w:val="-2116822904"/>
              <w:lock w:val="sdtLocked"/>
            </w:sdtPr>
            <w:sdtEndPr>
              <w:rPr>
                <w:rFonts w:hint="default"/>
              </w:rPr>
            </w:sdtEndPr>
            <w:sdtContent>
              <w:tr w:rsidR="00B637B2" w:rsidTr="00B637B2">
                <w:tc>
                  <w:tcPr>
                    <w:tcW w:w="584"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8F04CF" w:rsidP="00B637B2">
                    <w:pPr>
                      <w:rPr>
                        <w:sz w:val="16"/>
                        <w:szCs w:val="16"/>
                      </w:rPr>
                    </w:pPr>
                    <w:r w:rsidRPr="00F61ADC">
                      <w:rPr>
                        <w:sz w:val="16"/>
                        <w:szCs w:val="16"/>
                      </w:rPr>
                      <w:t>北京智联友道科技有限公司(以下简称“智联友道”)</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8F04CF" w:rsidP="00B637B2">
                    <w:pPr>
                      <w:jc w:val="right"/>
                      <w:rPr>
                        <w:sz w:val="16"/>
                        <w:szCs w:val="16"/>
                      </w:rPr>
                    </w:pPr>
                    <w:r w:rsidRPr="00F61ADC">
                      <w:rPr>
                        <w:sz w:val="16"/>
                        <w:szCs w:val="16"/>
                      </w:rPr>
                      <w:t>11,293,432</w:t>
                    </w: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463" w:type="pct"/>
                    <w:tcBorders>
                      <w:top w:val="single" w:sz="4" w:space="0" w:color="auto"/>
                      <w:left w:val="single" w:sz="4" w:space="0" w:color="auto"/>
                      <w:bottom w:val="single" w:sz="4" w:space="0" w:color="auto"/>
                      <w:right w:val="single" w:sz="4" w:space="0" w:color="auto"/>
                    </w:tcBorders>
                    <w:shd w:val="clear" w:color="auto" w:fill="auto"/>
                  </w:tcPr>
                  <w:p w:rsidR="00B637B2" w:rsidRPr="00240016" w:rsidRDefault="008F04CF" w:rsidP="00B637B2">
                    <w:pPr>
                      <w:jc w:val="right"/>
                      <w:rPr>
                        <w:sz w:val="16"/>
                        <w:szCs w:val="16"/>
                      </w:rPr>
                    </w:pPr>
                    <w:r w:rsidRPr="00240016">
                      <w:rPr>
                        <w:sz w:val="16"/>
                        <w:szCs w:val="16"/>
                      </w:rPr>
                      <w:t>398,263</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449"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259"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260"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582" w:type="pct"/>
                    <w:tcBorders>
                      <w:top w:val="single" w:sz="4" w:space="0" w:color="auto"/>
                      <w:left w:val="single" w:sz="4" w:space="0" w:color="auto"/>
                      <w:bottom w:val="single" w:sz="4" w:space="0" w:color="auto"/>
                      <w:right w:val="single" w:sz="4" w:space="0" w:color="auto"/>
                    </w:tcBorders>
                    <w:shd w:val="clear" w:color="auto" w:fill="auto"/>
                  </w:tcPr>
                  <w:p w:rsidR="00B637B2" w:rsidRPr="00BA0FD3" w:rsidRDefault="008F04CF" w:rsidP="00B637B2">
                    <w:pPr>
                      <w:jc w:val="right"/>
                      <w:rPr>
                        <w:sz w:val="16"/>
                        <w:szCs w:val="16"/>
                      </w:rPr>
                    </w:pPr>
                    <w:r w:rsidRPr="00BA0FD3">
                      <w:rPr>
                        <w:sz w:val="16"/>
                        <w:szCs w:val="16"/>
                      </w:rPr>
                      <w:t>11,691,695</w:t>
                    </w:r>
                  </w:p>
                </w:tc>
                <w:tc>
                  <w:tcPr>
                    <w:tcW w:w="454"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r>
            </w:sdtContent>
          </w:sdt>
          <w:sdt>
            <w:sdtPr>
              <w:rPr>
                <w:rFonts w:asciiTheme="minorHAnsi" w:eastAsiaTheme="minorEastAsia" w:hAnsiTheme="minorHAnsi" w:cstheme="minorBidi" w:hint="eastAsia"/>
                <w:kern w:val="2"/>
                <w:sz w:val="16"/>
                <w:szCs w:val="16"/>
              </w:rPr>
              <w:alias w:val="联营企业投资信息明细"/>
              <w:tag w:val="_GBC_49d1b98c49c34c26a2c4d55f0c1fdb21"/>
              <w:id w:val="1145475967"/>
              <w:lock w:val="sdtLocked"/>
            </w:sdtPr>
            <w:sdtEndPr>
              <w:rPr>
                <w:rFonts w:hint="default"/>
              </w:rPr>
            </w:sdtEndPr>
            <w:sdtContent>
              <w:tr w:rsidR="00B637B2" w:rsidTr="00B637B2">
                <w:tc>
                  <w:tcPr>
                    <w:tcW w:w="584"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8F04CF" w:rsidP="00B637B2">
                    <w:pPr>
                      <w:rPr>
                        <w:sz w:val="16"/>
                        <w:szCs w:val="16"/>
                      </w:rPr>
                    </w:pPr>
                    <w:r w:rsidRPr="00F61ADC">
                      <w:rPr>
                        <w:sz w:val="16"/>
                        <w:szCs w:val="16"/>
                      </w:rPr>
                      <w:t> 上海画龙信息科技有限公司(以下简称“上海画龙”)</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8F04CF" w:rsidP="00B637B2">
                    <w:pPr>
                      <w:jc w:val="right"/>
                      <w:rPr>
                        <w:sz w:val="16"/>
                        <w:szCs w:val="16"/>
                      </w:rPr>
                    </w:pPr>
                    <w:r w:rsidRPr="00F61ADC">
                      <w:rPr>
                        <w:sz w:val="16"/>
                        <w:szCs w:val="16"/>
                      </w:rPr>
                      <w:t>19,202,139</w:t>
                    </w: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463" w:type="pct"/>
                    <w:tcBorders>
                      <w:top w:val="single" w:sz="4" w:space="0" w:color="auto"/>
                      <w:left w:val="single" w:sz="4" w:space="0" w:color="auto"/>
                      <w:bottom w:val="single" w:sz="4" w:space="0" w:color="auto"/>
                      <w:right w:val="single" w:sz="4" w:space="0" w:color="auto"/>
                    </w:tcBorders>
                    <w:shd w:val="clear" w:color="auto" w:fill="auto"/>
                  </w:tcPr>
                  <w:p w:rsidR="00B637B2" w:rsidRPr="00240016" w:rsidRDefault="008F04CF" w:rsidP="00B637B2">
                    <w:pPr>
                      <w:jc w:val="right"/>
                      <w:rPr>
                        <w:sz w:val="16"/>
                        <w:szCs w:val="16"/>
                      </w:rPr>
                    </w:pPr>
                    <w:r w:rsidRPr="00240016">
                      <w:rPr>
                        <w:sz w:val="16"/>
                        <w:szCs w:val="16"/>
                      </w:rPr>
                      <w:t>-1,108,743</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449"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259"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260"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582" w:type="pct"/>
                    <w:tcBorders>
                      <w:top w:val="single" w:sz="4" w:space="0" w:color="auto"/>
                      <w:left w:val="single" w:sz="4" w:space="0" w:color="auto"/>
                      <w:bottom w:val="single" w:sz="4" w:space="0" w:color="auto"/>
                      <w:right w:val="single" w:sz="4" w:space="0" w:color="auto"/>
                    </w:tcBorders>
                    <w:shd w:val="clear" w:color="auto" w:fill="auto"/>
                  </w:tcPr>
                  <w:p w:rsidR="00B637B2" w:rsidRPr="00BA0FD3" w:rsidRDefault="008F04CF" w:rsidP="00B637B2">
                    <w:pPr>
                      <w:jc w:val="right"/>
                      <w:rPr>
                        <w:sz w:val="16"/>
                        <w:szCs w:val="16"/>
                      </w:rPr>
                    </w:pPr>
                    <w:r w:rsidRPr="00BA0FD3">
                      <w:rPr>
                        <w:sz w:val="16"/>
                        <w:szCs w:val="16"/>
                      </w:rPr>
                      <w:t>18,093,396</w:t>
                    </w:r>
                  </w:p>
                </w:tc>
                <w:tc>
                  <w:tcPr>
                    <w:tcW w:w="454"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r>
            </w:sdtContent>
          </w:sdt>
          <w:sdt>
            <w:sdtPr>
              <w:rPr>
                <w:rFonts w:asciiTheme="minorHAnsi" w:eastAsiaTheme="minorEastAsia" w:hAnsiTheme="minorHAnsi" w:cstheme="minorBidi" w:hint="eastAsia"/>
                <w:kern w:val="2"/>
                <w:sz w:val="16"/>
                <w:szCs w:val="16"/>
              </w:rPr>
              <w:alias w:val="联营企业投资信息明细"/>
              <w:tag w:val="_GBC_49d1b98c49c34c26a2c4d55f0c1fdb21"/>
              <w:id w:val="-876929486"/>
              <w:lock w:val="sdtLocked"/>
            </w:sdtPr>
            <w:sdtEndPr>
              <w:rPr>
                <w:rFonts w:hint="default"/>
              </w:rPr>
            </w:sdtEndPr>
            <w:sdtContent>
              <w:tr w:rsidR="00B637B2" w:rsidTr="00B637B2">
                <w:tc>
                  <w:tcPr>
                    <w:tcW w:w="584"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8F04CF" w:rsidP="00B637B2">
                    <w:pPr>
                      <w:rPr>
                        <w:sz w:val="16"/>
                        <w:szCs w:val="16"/>
                      </w:rPr>
                    </w:pPr>
                    <w:r w:rsidRPr="00F61ADC">
                      <w:rPr>
                        <w:sz w:val="16"/>
                        <w:szCs w:val="16"/>
                      </w:rPr>
                      <w:t> 北京华普亿方教育科技股份有限公司(以下简称“华普亿方”)</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8F04CF" w:rsidP="00B637B2">
                    <w:pPr>
                      <w:jc w:val="right"/>
                      <w:rPr>
                        <w:sz w:val="16"/>
                        <w:szCs w:val="16"/>
                      </w:rPr>
                    </w:pPr>
                    <w:r w:rsidRPr="00F61ADC">
                      <w:rPr>
                        <w:sz w:val="16"/>
                        <w:szCs w:val="16"/>
                      </w:rPr>
                      <w:t>5,233,333</w:t>
                    </w: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463" w:type="pct"/>
                    <w:tcBorders>
                      <w:top w:val="single" w:sz="4" w:space="0" w:color="auto"/>
                      <w:left w:val="single" w:sz="4" w:space="0" w:color="auto"/>
                      <w:bottom w:val="single" w:sz="4" w:space="0" w:color="auto"/>
                      <w:right w:val="single" w:sz="4" w:space="0" w:color="auto"/>
                    </w:tcBorders>
                    <w:shd w:val="clear" w:color="auto" w:fill="auto"/>
                  </w:tcPr>
                  <w:p w:rsidR="00B637B2" w:rsidRPr="00240016" w:rsidRDefault="008F04CF" w:rsidP="00B637B2">
                    <w:pPr>
                      <w:jc w:val="right"/>
                      <w:rPr>
                        <w:sz w:val="16"/>
                        <w:szCs w:val="16"/>
                      </w:rPr>
                    </w:pPr>
                    <w:r w:rsidRPr="00240016">
                      <w:rPr>
                        <w:sz w:val="16"/>
                        <w:szCs w:val="16"/>
                      </w:rPr>
                      <w:t>219,380</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449"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259"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260"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582" w:type="pct"/>
                    <w:tcBorders>
                      <w:top w:val="single" w:sz="4" w:space="0" w:color="auto"/>
                      <w:left w:val="single" w:sz="4" w:space="0" w:color="auto"/>
                      <w:bottom w:val="single" w:sz="4" w:space="0" w:color="auto"/>
                      <w:right w:val="single" w:sz="4" w:space="0" w:color="auto"/>
                    </w:tcBorders>
                    <w:shd w:val="clear" w:color="auto" w:fill="auto"/>
                  </w:tcPr>
                  <w:p w:rsidR="00B637B2" w:rsidRPr="00BA0FD3" w:rsidRDefault="008F04CF" w:rsidP="00B637B2">
                    <w:pPr>
                      <w:jc w:val="right"/>
                      <w:rPr>
                        <w:sz w:val="16"/>
                        <w:szCs w:val="16"/>
                      </w:rPr>
                    </w:pPr>
                    <w:r w:rsidRPr="00BA0FD3">
                      <w:rPr>
                        <w:sz w:val="16"/>
                        <w:szCs w:val="16"/>
                      </w:rPr>
                      <w:t>5,452,713</w:t>
                    </w:r>
                  </w:p>
                </w:tc>
                <w:tc>
                  <w:tcPr>
                    <w:tcW w:w="454"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r>
            </w:sdtContent>
          </w:sdt>
          <w:sdt>
            <w:sdtPr>
              <w:rPr>
                <w:rFonts w:asciiTheme="minorHAnsi" w:eastAsiaTheme="minorEastAsia" w:hAnsiTheme="minorHAnsi" w:cstheme="minorBidi" w:hint="eastAsia"/>
                <w:kern w:val="2"/>
                <w:sz w:val="16"/>
                <w:szCs w:val="16"/>
              </w:rPr>
              <w:alias w:val="联营企业投资信息明细"/>
              <w:tag w:val="_GBC_49d1b98c49c34c26a2c4d55f0c1fdb21"/>
              <w:id w:val="-1426259892"/>
              <w:lock w:val="sdtLocked"/>
            </w:sdtPr>
            <w:sdtEndPr>
              <w:rPr>
                <w:rFonts w:hint="default"/>
              </w:rPr>
            </w:sdtEndPr>
            <w:sdtContent>
              <w:tr w:rsidR="00B637B2" w:rsidTr="00B637B2">
                <w:tc>
                  <w:tcPr>
                    <w:tcW w:w="584"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8F04CF" w:rsidP="00B637B2">
                    <w:pPr>
                      <w:rPr>
                        <w:sz w:val="16"/>
                        <w:szCs w:val="16"/>
                      </w:rPr>
                    </w:pPr>
                    <w:r>
                      <w:rPr>
                        <w:rFonts w:asciiTheme="minorHAnsi" w:eastAsiaTheme="minorEastAsia" w:hAnsiTheme="minorHAnsi" w:cstheme="minorBidi" w:hint="eastAsia"/>
                        <w:kern w:val="2"/>
                        <w:sz w:val="16"/>
                        <w:szCs w:val="16"/>
                      </w:rPr>
                      <w:t>其他</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8F04CF" w:rsidP="00B637B2">
                    <w:pPr>
                      <w:jc w:val="right"/>
                      <w:rPr>
                        <w:sz w:val="16"/>
                        <w:szCs w:val="16"/>
                      </w:rPr>
                    </w:pPr>
                    <w:r w:rsidRPr="00BA0FD3">
                      <w:rPr>
                        <w:sz w:val="16"/>
                        <w:szCs w:val="16"/>
                      </w:rPr>
                      <w:t>111,180,476</w:t>
                    </w: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8F04CF" w:rsidP="00B637B2">
                    <w:pPr>
                      <w:ind w:leftChars="-50" w:left="-105" w:rightChars="-50" w:right="-105"/>
                      <w:jc w:val="right"/>
                      <w:rPr>
                        <w:sz w:val="16"/>
                        <w:szCs w:val="16"/>
                      </w:rPr>
                    </w:pPr>
                    <w:r w:rsidRPr="00BA0FD3">
                      <w:rPr>
                        <w:sz w:val="16"/>
                        <w:szCs w:val="16"/>
                      </w:rPr>
                      <w:t>53,260,000</w:t>
                    </w: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8F04CF" w:rsidP="00B637B2">
                    <w:pPr>
                      <w:ind w:leftChars="-50" w:left="-105" w:rightChars="-50" w:right="-105"/>
                      <w:jc w:val="right"/>
                      <w:rPr>
                        <w:sz w:val="16"/>
                        <w:szCs w:val="16"/>
                      </w:rPr>
                    </w:pPr>
                    <w:r w:rsidRPr="00BA0FD3">
                      <w:rPr>
                        <w:sz w:val="16"/>
                        <w:szCs w:val="16"/>
                      </w:rPr>
                      <w:t>27,731,315</w:t>
                    </w:r>
                  </w:p>
                </w:tc>
                <w:tc>
                  <w:tcPr>
                    <w:tcW w:w="463"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8F04CF" w:rsidP="00B637B2">
                    <w:pPr>
                      <w:ind w:leftChars="-50" w:left="-105" w:rightChars="-50" w:right="-105"/>
                      <w:jc w:val="right"/>
                      <w:rPr>
                        <w:sz w:val="16"/>
                        <w:szCs w:val="16"/>
                      </w:rPr>
                    </w:pPr>
                    <w:r w:rsidRPr="00BA0FD3">
                      <w:rPr>
                        <w:sz w:val="16"/>
                        <w:szCs w:val="16"/>
                      </w:rPr>
                      <w:t>-2,894,985</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449"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259"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260"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582"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8F04CF" w:rsidP="00B637B2">
                    <w:pPr>
                      <w:jc w:val="right"/>
                      <w:rPr>
                        <w:sz w:val="16"/>
                        <w:szCs w:val="16"/>
                      </w:rPr>
                    </w:pPr>
                    <w:r w:rsidRPr="00BA0FD3">
                      <w:rPr>
                        <w:sz w:val="16"/>
                        <w:szCs w:val="16"/>
                      </w:rPr>
                      <w:t>133,814,176</w:t>
                    </w:r>
                  </w:p>
                </w:tc>
                <w:tc>
                  <w:tcPr>
                    <w:tcW w:w="454" w:type="pct"/>
                    <w:tcBorders>
                      <w:top w:val="single" w:sz="4" w:space="0" w:color="auto"/>
                      <w:left w:val="single" w:sz="4" w:space="0" w:color="auto"/>
                      <w:bottom w:val="single" w:sz="4" w:space="0" w:color="auto"/>
                      <w:right w:val="single" w:sz="4" w:space="0" w:color="auto"/>
                    </w:tcBorders>
                    <w:shd w:val="clear" w:color="auto" w:fill="auto"/>
                  </w:tcPr>
                  <w:p w:rsidR="00B637B2" w:rsidRPr="00BA0FD3" w:rsidRDefault="008F04CF" w:rsidP="00B637B2">
                    <w:pPr>
                      <w:ind w:leftChars="-50" w:left="-105" w:rightChars="-50" w:right="-105"/>
                      <w:jc w:val="right"/>
                      <w:rPr>
                        <w:rFonts w:cs="Arial"/>
                        <w:color w:val="000000"/>
                        <w:sz w:val="16"/>
                        <w:szCs w:val="16"/>
                      </w:rPr>
                    </w:pPr>
                    <w:r w:rsidRPr="00BA0FD3">
                      <w:rPr>
                        <w:rFonts w:cs="Arial"/>
                        <w:color w:val="000000"/>
                        <w:sz w:val="16"/>
                        <w:szCs w:val="16"/>
                      </w:rPr>
                      <w:t>12,015,952</w:t>
                    </w:r>
                  </w:p>
                  <w:p w:rsidR="00B637B2" w:rsidRPr="00F61ADC" w:rsidRDefault="00B637B2" w:rsidP="00B637B2">
                    <w:pPr>
                      <w:jc w:val="right"/>
                      <w:rPr>
                        <w:sz w:val="16"/>
                        <w:szCs w:val="16"/>
                      </w:rPr>
                    </w:pPr>
                  </w:p>
                </w:tc>
              </w:tr>
            </w:sdtContent>
          </w:sdt>
          <w:sdt>
            <w:sdtPr>
              <w:rPr>
                <w:rFonts w:asciiTheme="minorHAnsi" w:eastAsiaTheme="minorEastAsia" w:hAnsiTheme="minorHAnsi" w:cstheme="minorBidi" w:hint="eastAsia"/>
                <w:kern w:val="2"/>
                <w:sz w:val="16"/>
                <w:szCs w:val="16"/>
              </w:rPr>
              <w:alias w:val="联营企业投资信息明细"/>
              <w:tag w:val="_GBC_49d1b98c49c34c26a2c4d55f0c1fdb21"/>
              <w:id w:val="-1634247138"/>
              <w:lock w:val="sdtLocked"/>
            </w:sdtPr>
            <w:sdtEndPr>
              <w:rPr>
                <w:rFonts w:hint="default"/>
              </w:rPr>
            </w:sdtEndPr>
            <w:sdtContent>
              <w:tr w:rsidR="00B637B2" w:rsidTr="00B637B2">
                <w:tc>
                  <w:tcPr>
                    <w:tcW w:w="584"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rPr>
                        <w:sz w:val="16"/>
                        <w:szCs w:val="16"/>
                      </w:rPr>
                    </w:pP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463"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449"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259"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260"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582"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454"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r>
            </w:sdtContent>
          </w:sdt>
          <w:sdt>
            <w:sdtPr>
              <w:rPr>
                <w:rFonts w:asciiTheme="minorHAnsi" w:eastAsiaTheme="minorEastAsia" w:hAnsiTheme="minorHAnsi" w:cstheme="minorBidi" w:hint="eastAsia"/>
                <w:kern w:val="2"/>
                <w:sz w:val="16"/>
                <w:szCs w:val="16"/>
              </w:rPr>
              <w:alias w:val="联营企业投资信息明细"/>
              <w:tag w:val="_GBC_49d1b98c49c34c26a2c4d55f0c1fdb21"/>
              <w:id w:val="-160171219"/>
              <w:lock w:val="sdtLocked"/>
            </w:sdtPr>
            <w:sdtEndPr>
              <w:rPr>
                <w:rFonts w:hint="default"/>
              </w:rPr>
            </w:sdtEndPr>
            <w:sdtContent>
              <w:tr w:rsidR="00B637B2" w:rsidTr="00B637B2">
                <w:tc>
                  <w:tcPr>
                    <w:tcW w:w="584"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rPr>
                        <w:sz w:val="16"/>
                        <w:szCs w:val="16"/>
                      </w:rPr>
                    </w:pP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463"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449"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259"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260"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582"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c>
                  <w:tcPr>
                    <w:tcW w:w="454"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B637B2" w:rsidP="00B637B2">
                    <w:pPr>
                      <w:jc w:val="right"/>
                      <w:rPr>
                        <w:sz w:val="16"/>
                        <w:szCs w:val="16"/>
                      </w:rPr>
                    </w:pPr>
                  </w:p>
                </w:tc>
              </w:tr>
            </w:sdtContent>
          </w:sdt>
          <w:tr w:rsidR="00B637B2" w:rsidTr="00B637B2">
            <w:sdt>
              <w:sdtPr>
                <w:rPr>
                  <w:sz w:val="16"/>
                  <w:szCs w:val="16"/>
                </w:rPr>
                <w:tag w:val="_PLD_b7a0008e0bed45f5924ac82e7bbf0d7c"/>
                <w:id w:val="1855154624"/>
                <w:lock w:val="sdtLocked"/>
              </w:sdtPr>
              <w:sdtContent>
                <w:tc>
                  <w:tcPr>
                    <w:tcW w:w="584"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8F04CF" w:rsidP="00B637B2">
                    <w:pPr>
                      <w:rPr>
                        <w:sz w:val="16"/>
                        <w:szCs w:val="16"/>
                      </w:rPr>
                    </w:pPr>
                    <w:r w:rsidRPr="00F61ADC">
                      <w:rPr>
                        <w:rFonts w:hint="eastAsia"/>
                        <w:sz w:val="16"/>
                        <w:szCs w:val="16"/>
                      </w:rPr>
                      <w:t>小计</w:t>
                    </w:r>
                  </w:p>
                </w:tc>
              </w:sdtContent>
            </w:sdt>
            <w:tc>
              <w:tcPr>
                <w:tcW w:w="519"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8F04CF" w:rsidP="00B637B2">
                <w:pPr>
                  <w:ind w:leftChars="-50" w:left="-105" w:rightChars="-50" w:right="-105"/>
                  <w:jc w:val="right"/>
                  <w:rPr>
                    <w:sz w:val="16"/>
                    <w:szCs w:val="16"/>
                  </w:rPr>
                </w:pPr>
                <w:r w:rsidRPr="00BA0FD3">
                  <w:rPr>
                    <w:sz w:val="16"/>
                    <w:szCs w:val="16"/>
                  </w:rPr>
                  <w:t>1,702,892,459</w:t>
                </w: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8F04CF" w:rsidP="00B637B2">
                <w:pPr>
                  <w:ind w:leftChars="-50" w:left="-105" w:rightChars="-50" w:right="-105"/>
                  <w:jc w:val="right"/>
                  <w:rPr>
                    <w:sz w:val="16"/>
                    <w:szCs w:val="16"/>
                  </w:rPr>
                </w:pPr>
                <w:r w:rsidRPr="00BA0FD3">
                  <w:rPr>
                    <w:sz w:val="16"/>
                    <w:szCs w:val="16"/>
                  </w:rPr>
                  <w:t>53,260,000</w:t>
                </w: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8F04CF" w:rsidP="00B637B2">
                <w:pPr>
                  <w:ind w:leftChars="-50" w:left="-105" w:rightChars="-50" w:right="-105"/>
                  <w:jc w:val="right"/>
                  <w:rPr>
                    <w:sz w:val="16"/>
                    <w:szCs w:val="16"/>
                  </w:rPr>
                </w:pPr>
                <w:r w:rsidRPr="00BA0FD3">
                  <w:rPr>
                    <w:sz w:val="16"/>
                    <w:szCs w:val="16"/>
                  </w:rPr>
                  <w:t>31,938,879</w:t>
                </w:r>
              </w:p>
            </w:tc>
            <w:tc>
              <w:tcPr>
                <w:tcW w:w="463"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8F04CF" w:rsidP="00B637B2">
                <w:pPr>
                  <w:ind w:leftChars="-50" w:left="-105" w:rightChars="-50" w:right="-105"/>
                  <w:jc w:val="right"/>
                  <w:rPr>
                    <w:sz w:val="16"/>
                    <w:szCs w:val="16"/>
                  </w:rPr>
                </w:pPr>
                <w:r w:rsidRPr="00BA0FD3">
                  <w:rPr>
                    <w:sz w:val="16"/>
                    <w:szCs w:val="16"/>
                  </w:rPr>
                  <w:t>2,742,845</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8F04CF" w:rsidP="00B637B2">
                <w:pPr>
                  <w:ind w:leftChars="-50" w:left="-105" w:rightChars="-50" w:right="-105"/>
                  <w:jc w:val="right"/>
                  <w:rPr>
                    <w:sz w:val="16"/>
                    <w:szCs w:val="16"/>
                  </w:rPr>
                </w:pPr>
                <w:r w:rsidRPr="00BA0FD3">
                  <w:rPr>
                    <w:sz w:val="16"/>
                    <w:szCs w:val="16"/>
                  </w:rPr>
                  <w:t>188,747</w:t>
                </w:r>
              </w:p>
            </w:tc>
            <w:tc>
              <w:tcPr>
                <w:tcW w:w="449"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8F04CF" w:rsidP="00B637B2">
                <w:pPr>
                  <w:ind w:leftChars="-50" w:left="-105" w:rightChars="-50" w:right="-105"/>
                  <w:jc w:val="right"/>
                  <w:rPr>
                    <w:sz w:val="16"/>
                    <w:szCs w:val="16"/>
                  </w:rPr>
                </w:pPr>
                <w:r w:rsidRPr="00BA0FD3">
                  <w:rPr>
                    <w:sz w:val="16"/>
                    <w:szCs w:val="16"/>
                  </w:rPr>
                  <w:t>1,104,646</w:t>
                </w:r>
              </w:p>
            </w:tc>
            <w:tc>
              <w:tcPr>
                <w:tcW w:w="259"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8F04CF" w:rsidP="00B637B2">
                <w:pPr>
                  <w:ind w:leftChars="-50" w:left="-105" w:rightChars="-50" w:right="-105"/>
                  <w:jc w:val="right"/>
                  <w:rPr>
                    <w:sz w:val="16"/>
                    <w:szCs w:val="16"/>
                  </w:rPr>
                </w:pPr>
                <w:r>
                  <w:rPr>
                    <w:rFonts w:hint="eastAsia"/>
                    <w:sz w:val="16"/>
                    <w:szCs w:val="16"/>
                  </w:rPr>
                  <w:t>-</w:t>
                </w:r>
              </w:p>
            </w:tc>
            <w:tc>
              <w:tcPr>
                <w:tcW w:w="260"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8F04CF" w:rsidP="00B637B2">
                <w:pPr>
                  <w:ind w:leftChars="-50" w:left="-105" w:rightChars="-50" w:right="-105"/>
                  <w:jc w:val="right"/>
                  <w:rPr>
                    <w:sz w:val="16"/>
                    <w:szCs w:val="16"/>
                  </w:rPr>
                </w:pPr>
                <w:r>
                  <w:rPr>
                    <w:rFonts w:hint="eastAsia"/>
                    <w:sz w:val="16"/>
                    <w:szCs w:val="16"/>
                  </w:rPr>
                  <w:t>-</w:t>
                </w:r>
              </w:p>
            </w:tc>
            <w:tc>
              <w:tcPr>
                <w:tcW w:w="198"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8F04CF" w:rsidP="00B637B2">
                <w:pPr>
                  <w:ind w:leftChars="-50" w:left="-105" w:rightChars="-50" w:right="-105"/>
                  <w:jc w:val="right"/>
                  <w:rPr>
                    <w:sz w:val="16"/>
                    <w:szCs w:val="16"/>
                  </w:rPr>
                </w:pPr>
                <w:r>
                  <w:rPr>
                    <w:rFonts w:hint="eastAsia"/>
                    <w:sz w:val="16"/>
                    <w:szCs w:val="16"/>
                  </w:rPr>
                  <w:t>-</w:t>
                </w:r>
              </w:p>
            </w:tc>
            <w:tc>
              <w:tcPr>
                <w:tcW w:w="582"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8F04CF" w:rsidP="00B637B2">
                <w:pPr>
                  <w:ind w:leftChars="-50" w:left="-105" w:rightChars="-50" w:right="-105"/>
                  <w:jc w:val="right"/>
                  <w:rPr>
                    <w:sz w:val="16"/>
                    <w:szCs w:val="16"/>
                  </w:rPr>
                </w:pPr>
                <w:r w:rsidRPr="008E7679">
                  <w:rPr>
                    <w:sz w:val="16"/>
                    <w:szCs w:val="16"/>
                  </w:rPr>
                  <w:t>1,728,249,818</w:t>
                </w:r>
              </w:p>
            </w:tc>
            <w:tc>
              <w:tcPr>
                <w:tcW w:w="454"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8F04CF" w:rsidP="00B637B2">
                <w:pPr>
                  <w:ind w:leftChars="-50" w:left="-105" w:rightChars="-50" w:right="-105"/>
                  <w:jc w:val="right"/>
                  <w:rPr>
                    <w:sz w:val="16"/>
                    <w:szCs w:val="16"/>
                  </w:rPr>
                </w:pPr>
                <w:r w:rsidRPr="008E7679">
                  <w:rPr>
                    <w:sz w:val="16"/>
                    <w:szCs w:val="16"/>
                  </w:rPr>
                  <w:t>21,036,317</w:t>
                </w:r>
              </w:p>
            </w:tc>
          </w:tr>
          <w:tr w:rsidR="00B637B2" w:rsidTr="00B637B2">
            <w:sdt>
              <w:sdtPr>
                <w:rPr>
                  <w:sz w:val="16"/>
                  <w:szCs w:val="16"/>
                </w:rPr>
                <w:tag w:val="_PLD_4650622d02e74721a67ca767c0e407f2"/>
                <w:id w:val="1158506459"/>
                <w:lock w:val="sdtLocked"/>
              </w:sdtPr>
              <w:sdtContent>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F61ADC" w:rsidRDefault="008F04CF" w:rsidP="00B637B2">
                    <w:pPr>
                      <w:jc w:val="center"/>
                      <w:rPr>
                        <w:sz w:val="16"/>
                        <w:szCs w:val="16"/>
                      </w:rPr>
                    </w:pPr>
                    <w:r w:rsidRPr="00F61ADC">
                      <w:rPr>
                        <w:rFonts w:hint="eastAsia"/>
                        <w:sz w:val="16"/>
                        <w:szCs w:val="16"/>
                      </w:rPr>
                      <w:t>合计</w:t>
                    </w:r>
                  </w:p>
                </w:tc>
              </w:sdtContent>
            </w:sdt>
            <w:tc>
              <w:tcPr>
                <w:tcW w:w="519"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8F04CF" w:rsidP="00B637B2">
                <w:pPr>
                  <w:ind w:leftChars="-50" w:left="-105" w:rightChars="-50" w:right="-105"/>
                  <w:jc w:val="right"/>
                  <w:rPr>
                    <w:sz w:val="16"/>
                    <w:szCs w:val="16"/>
                  </w:rPr>
                </w:pPr>
                <w:r w:rsidRPr="00BA0FD3">
                  <w:rPr>
                    <w:sz w:val="16"/>
                    <w:szCs w:val="16"/>
                  </w:rPr>
                  <w:t>1,702,892,459</w:t>
                </w: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8F04CF" w:rsidP="00B637B2">
                <w:pPr>
                  <w:ind w:leftChars="-50" w:left="-105" w:rightChars="-50" w:right="-105"/>
                  <w:jc w:val="right"/>
                  <w:rPr>
                    <w:sz w:val="16"/>
                    <w:szCs w:val="16"/>
                  </w:rPr>
                </w:pPr>
                <w:r w:rsidRPr="00BA0FD3">
                  <w:rPr>
                    <w:sz w:val="16"/>
                    <w:szCs w:val="16"/>
                  </w:rPr>
                  <w:t>53,260,000</w:t>
                </w: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8F04CF" w:rsidP="00B637B2">
                <w:pPr>
                  <w:ind w:leftChars="-50" w:left="-105" w:rightChars="-50" w:right="-105"/>
                  <w:jc w:val="right"/>
                  <w:rPr>
                    <w:sz w:val="16"/>
                    <w:szCs w:val="16"/>
                  </w:rPr>
                </w:pPr>
                <w:r w:rsidRPr="00BA0FD3">
                  <w:rPr>
                    <w:sz w:val="16"/>
                    <w:szCs w:val="16"/>
                  </w:rPr>
                  <w:t>31,938,879</w:t>
                </w:r>
              </w:p>
            </w:tc>
            <w:tc>
              <w:tcPr>
                <w:tcW w:w="463"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8F04CF" w:rsidP="00B637B2">
                <w:pPr>
                  <w:ind w:leftChars="-50" w:left="-105" w:rightChars="-50" w:right="-105"/>
                  <w:jc w:val="right"/>
                  <w:rPr>
                    <w:sz w:val="16"/>
                    <w:szCs w:val="16"/>
                  </w:rPr>
                </w:pPr>
                <w:r w:rsidRPr="00BA0FD3">
                  <w:rPr>
                    <w:sz w:val="16"/>
                    <w:szCs w:val="16"/>
                  </w:rPr>
                  <w:t>2,742,845</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8F04CF" w:rsidP="00B637B2">
                <w:pPr>
                  <w:ind w:leftChars="-50" w:left="-105" w:rightChars="-50" w:right="-105"/>
                  <w:jc w:val="right"/>
                  <w:rPr>
                    <w:sz w:val="16"/>
                    <w:szCs w:val="16"/>
                  </w:rPr>
                </w:pPr>
                <w:r w:rsidRPr="00BA0FD3">
                  <w:rPr>
                    <w:sz w:val="16"/>
                    <w:szCs w:val="16"/>
                  </w:rPr>
                  <w:t>188,747</w:t>
                </w:r>
              </w:p>
            </w:tc>
            <w:tc>
              <w:tcPr>
                <w:tcW w:w="449"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8F04CF" w:rsidP="00B637B2">
                <w:pPr>
                  <w:ind w:leftChars="-50" w:left="-105" w:rightChars="-50" w:right="-105"/>
                  <w:jc w:val="right"/>
                  <w:rPr>
                    <w:sz w:val="16"/>
                    <w:szCs w:val="16"/>
                  </w:rPr>
                </w:pPr>
                <w:r w:rsidRPr="00BA0FD3">
                  <w:rPr>
                    <w:sz w:val="16"/>
                    <w:szCs w:val="16"/>
                  </w:rPr>
                  <w:t>1,104,646</w:t>
                </w:r>
              </w:p>
            </w:tc>
            <w:tc>
              <w:tcPr>
                <w:tcW w:w="259"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8F04CF" w:rsidP="00B637B2">
                <w:pPr>
                  <w:ind w:leftChars="-50" w:left="-105" w:rightChars="-50" w:right="-105"/>
                  <w:jc w:val="right"/>
                  <w:rPr>
                    <w:sz w:val="16"/>
                    <w:szCs w:val="16"/>
                  </w:rPr>
                </w:pPr>
                <w:r>
                  <w:rPr>
                    <w:rFonts w:hint="eastAsia"/>
                    <w:sz w:val="16"/>
                    <w:szCs w:val="16"/>
                  </w:rPr>
                  <w:t>-</w:t>
                </w:r>
              </w:p>
            </w:tc>
            <w:tc>
              <w:tcPr>
                <w:tcW w:w="260"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8F04CF" w:rsidP="00B637B2">
                <w:pPr>
                  <w:ind w:leftChars="-50" w:left="-105" w:rightChars="-50" w:right="-105"/>
                  <w:jc w:val="right"/>
                  <w:rPr>
                    <w:sz w:val="16"/>
                    <w:szCs w:val="16"/>
                  </w:rPr>
                </w:pPr>
                <w:r>
                  <w:rPr>
                    <w:rFonts w:hint="eastAsia"/>
                    <w:sz w:val="16"/>
                    <w:szCs w:val="16"/>
                  </w:rPr>
                  <w:t>-</w:t>
                </w:r>
              </w:p>
            </w:tc>
            <w:tc>
              <w:tcPr>
                <w:tcW w:w="198"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8F04CF" w:rsidP="00B637B2">
                <w:pPr>
                  <w:ind w:leftChars="-50" w:left="-105" w:rightChars="-50" w:right="-105"/>
                  <w:jc w:val="right"/>
                  <w:rPr>
                    <w:sz w:val="16"/>
                    <w:szCs w:val="16"/>
                  </w:rPr>
                </w:pPr>
                <w:r>
                  <w:rPr>
                    <w:rFonts w:hint="eastAsia"/>
                    <w:sz w:val="16"/>
                    <w:szCs w:val="16"/>
                  </w:rPr>
                  <w:t>-</w:t>
                </w:r>
              </w:p>
            </w:tc>
            <w:tc>
              <w:tcPr>
                <w:tcW w:w="582"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8F04CF" w:rsidP="00B637B2">
                <w:pPr>
                  <w:ind w:leftChars="-50" w:left="-105" w:rightChars="-50" w:right="-105"/>
                  <w:jc w:val="right"/>
                  <w:rPr>
                    <w:sz w:val="16"/>
                    <w:szCs w:val="16"/>
                  </w:rPr>
                </w:pPr>
                <w:r w:rsidRPr="008E7679">
                  <w:rPr>
                    <w:sz w:val="16"/>
                    <w:szCs w:val="16"/>
                  </w:rPr>
                  <w:t>1,728,249,818</w:t>
                </w:r>
              </w:p>
            </w:tc>
            <w:tc>
              <w:tcPr>
                <w:tcW w:w="454" w:type="pct"/>
                <w:tcBorders>
                  <w:top w:val="single" w:sz="4" w:space="0" w:color="auto"/>
                  <w:left w:val="single" w:sz="4" w:space="0" w:color="auto"/>
                  <w:bottom w:val="single" w:sz="4" w:space="0" w:color="auto"/>
                  <w:right w:val="single" w:sz="4" w:space="0" w:color="auto"/>
                </w:tcBorders>
                <w:shd w:val="clear" w:color="auto" w:fill="auto"/>
              </w:tcPr>
              <w:p w:rsidR="00B637B2" w:rsidRPr="00F61ADC" w:rsidRDefault="008F04CF" w:rsidP="00B637B2">
                <w:pPr>
                  <w:ind w:leftChars="-50" w:left="-105" w:rightChars="-50" w:right="-105"/>
                  <w:jc w:val="right"/>
                  <w:rPr>
                    <w:sz w:val="16"/>
                    <w:szCs w:val="16"/>
                  </w:rPr>
                </w:pPr>
                <w:r w:rsidRPr="008E7679">
                  <w:rPr>
                    <w:sz w:val="16"/>
                    <w:szCs w:val="16"/>
                  </w:rPr>
                  <w:t>21,036,317</w:t>
                </w:r>
              </w:p>
            </w:tc>
          </w:tr>
        </w:tbl>
        <w:p w:rsidR="00B637B2" w:rsidRDefault="00B637B2"/>
        <w:p w:rsidR="00ED2DC7" w:rsidRDefault="00ED2DC7">
          <w:pPr>
            <w:snapToGrid w:val="0"/>
            <w:spacing w:line="240" w:lineRule="atLeast"/>
            <w:rPr>
              <w:szCs w:val="21"/>
            </w:rPr>
          </w:pPr>
          <w:r>
            <w:rPr>
              <w:rFonts w:hint="eastAsia"/>
              <w:szCs w:val="21"/>
            </w:rPr>
            <w:t>其他说明</w:t>
          </w:r>
        </w:p>
        <w:sdt>
          <w:sdtPr>
            <w:rPr>
              <w:rFonts w:hint="eastAsia"/>
              <w:szCs w:val="21"/>
            </w:rPr>
            <w:tag w:val="_GBC_ccc3d8feeab24d0e8e4139f2a19cfa7c"/>
            <w:id w:val="-1120915015"/>
            <w:lock w:val="sdtLocked"/>
            <w:placeholder>
              <w:docPart w:val="GBC22222222222222222222222222222"/>
            </w:placeholder>
          </w:sdtPr>
          <w:sdtEndPr>
            <w:rPr>
              <w:rFonts w:hint="default"/>
            </w:rPr>
          </w:sdtEndPr>
          <w:sdtContent>
            <w:sdt>
              <w:sdtPr>
                <w:rPr>
                  <w:szCs w:val="21"/>
                </w:rPr>
                <w:alias w:val="长期股票投资的说明"/>
                <w:tag w:val="_GBC_492b53d02462408a924f069c70a16ce9"/>
                <w:id w:val="-1659455318"/>
                <w:lock w:val="sdtLocked"/>
                <w:placeholder>
                  <w:docPart w:val="GBC22222222222222222222222222222"/>
                </w:placeholder>
              </w:sdtPr>
              <w:sdtContent>
                <w:p w:rsidR="00ED2DC7" w:rsidRDefault="008F04CF">
                  <w:pPr>
                    <w:snapToGrid w:val="0"/>
                    <w:spacing w:line="240" w:lineRule="atLeast"/>
                    <w:rPr>
                      <w:szCs w:val="21"/>
                    </w:rPr>
                  </w:pPr>
                  <w:r>
                    <w:rPr>
                      <w:rFonts w:hint="eastAsia"/>
                      <w:szCs w:val="21"/>
                    </w:rPr>
                    <w:t>无。</w:t>
                  </w:r>
                </w:p>
              </w:sdtContent>
            </w:sdt>
          </w:sdtContent>
        </w:sdt>
      </w:sdtContent>
    </w:sdt>
    <w:p w:rsidR="00ED2DC7" w:rsidRDefault="00ED2DC7">
      <w:pPr>
        <w:rPr>
          <w:szCs w:val="21"/>
        </w:rPr>
      </w:pPr>
    </w:p>
    <w:bookmarkStart w:id="143" w:name="_Hlk10472053" w:displacedByCustomXml="next"/>
    <w:sdt>
      <w:sdtPr>
        <w:rPr>
          <w:rFonts w:ascii="宋体" w:hAnsi="宋体" w:cs="宋体" w:hint="eastAsia"/>
          <w:b w:val="0"/>
          <w:bCs w:val="0"/>
          <w:kern w:val="0"/>
          <w:szCs w:val="21"/>
        </w:rPr>
        <w:alias w:val="模块:其他权益工具投资"/>
        <w:tag w:val="_SEC_a252a6b12c694a478cd66b63ece88d66"/>
        <w:id w:val="-100273599"/>
        <w:lock w:val="sdtLocked"/>
        <w:placeholder>
          <w:docPart w:val="GBC22222222222222222222222222222"/>
        </w:placeholder>
      </w:sdtPr>
      <w:sdtEndPr>
        <w:rPr>
          <w:szCs w:val="24"/>
        </w:rPr>
      </w:sdtEndPr>
      <w:sdtContent>
        <w:p w:rsidR="00ED2DC7" w:rsidRDefault="00ED2DC7" w:rsidP="00036BDC">
          <w:pPr>
            <w:pStyle w:val="affffffffffffffffff1"/>
            <w:numPr>
              <w:ilvl w:val="0"/>
              <w:numId w:val="49"/>
            </w:numPr>
            <w:tabs>
              <w:tab w:val="left" w:pos="504"/>
            </w:tabs>
            <w:rPr>
              <w:szCs w:val="21"/>
            </w:rPr>
          </w:pPr>
          <w:r>
            <w:rPr>
              <w:rFonts w:hint="eastAsia"/>
              <w:szCs w:val="21"/>
            </w:rPr>
            <w:t>其他权益工具投资</w:t>
          </w:r>
        </w:p>
        <w:p w:rsidR="00ED2DC7" w:rsidRDefault="00ED2DC7" w:rsidP="00036BDC">
          <w:pPr>
            <w:pStyle w:val="affffffffffffffffff2"/>
            <w:numPr>
              <w:ilvl w:val="3"/>
              <w:numId w:val="60"/>
            </w:numPr>
            <w:ind w:left="426" w:hanging="426"/>
          </w:pPr>
          <w:bookmarkStart w:id="144" w:name="_Hlk532994936"/>
          <w:r>
            <w:rPr>
              <w:rFonts w:hint="eastAsia"/>
            </w:rPr>
            <w:t>其他权益工具投资情况</w:t>
          </w:r>
        </w:p>
        <w:sdt>
          <w:sdtPr>
            <w:alias w:val="是否适用：其他权益工具投资情况[双击切换]"/>
            <w:tag w:val="_GBC_d175ecfe27dc4b7592725426a352847c"/>
            <w:id w:val="-1152984981"/>
            <w:lock w:val="sdtContentLocked"/>
            <w:placeholder>
              <w:docPart w:val="GBC22222222222222222222222222222"/>
            </w:placeholder>
          </w:sdtPr>
          <w:sdtContent>
            <w:p w:rsidR="00ED2DC7" w:rsidRDefault="00ED2DC7" w:rsidP="00EF53CE">
              <w:r>
                <w:fldChar w:fldCharType="begin"/>
              </w:r>
              <w:r w:rsidR="00EF53CE">
                <w:instrText xml:space="preserve"> MACROBUTTON  SnrToggleCheckbox □适用 </w:instrText>
              </w:r>
              <w:r>
                <w:fldChar w:fldCharType="end"/>
              </w:r>
              <w:r>
                <w:fldChar w:fldCharType="begin"/>
              </w:r>
              <w:r w:rsidR="00EF53CE">
                <w:instrText xml:space="preserve"> MACROBUTTON  SnrToggleCheckbox √不适用 </w:instrText>
              </w:r>
              <w:r>
                <w:fldChar w:fldCharType="end"/>
              </w:r>
            </w:p>
          </w:sdtContent>
        </w:sdt>
        <w:bookmarkEnd w:id="144" w:displacedByCustomXml="next"/>
      </w:sdtContent>
    </w:sdt>
    <w:bookmarkEnd w:id="143" w:displacedByCustomXml="prev"/>
    <w:bookmarkStart w:id="145" w:name="_Hlk10472075" w:displacedByCustomXml="next"/>
    <w:bookmarkStart w:id="146" w:name="_Hlk10472085" w:displacedByCustomXml="next"/>
    <w:sdt>
      <w:sdtPr>
        <w:rPr>
          <w:rFonts w:ascii="宋体" w:hAnsi="宋体" w:cs="宋体" w:hint="eastAsia"/>
          <w:b w:val="0"/>
          <w:bCs w:val="0"/>
          <w:kern w:val="0"/>
          <w:szCs w:val="24"/>
        </w:rPr>
        <w:alias w:val="模块:非交易性权益工具投资的情况"/>
        <w:tag w:val="_SEC_cfe1ba6c98894c1f8f64c41c9a5b8180"/>
        <w:id w:val="-2060543153"/>
        <w:lock w:val="sdtLocked"/>
        <w:placeholder>
          <w:docPart w:val="GBC22222222222222222222222222222"/>
        </w:placeholder>
      </w:sdtPr>
      <w:sdtEndPr>
        <w:rPr>
          <w:rFonts w:hint="default"/>
          <w:szCs w:val="21"/>
        </w:rPr>
      </w:sdtEndPr>
      <w:sdtContent>
        <w:p w:rsidR="00ED2DC7" w:rsidRDefault="00ED2DC7" w:rsidP="00036BDC">
          <w:pPr>
            <w:pStyle w:val="affffffffffffffffff2"/>
            <w:numPr>
              <w:ilvl w:val="3"/>
              <w:numId w:val="60"/>
            </w:numPr>
            <w:ind w:left="426" w:hanging="426"/>
          </w:pPr>
          <w:r>
            <w:rPr>
              <w:rFonts w:hint="eastAsia"/>
            </w:rPr>
            <w:t>非交易性权益工具投资的情况</w:t>
          </w:r>
          <w:bookmarkEnd w:id="145"/>
        </w:p>
        <w:sdt>
          <w:sdtPr>
            <w:alias w:val="是否适用：非交易性权益工具投资情况[双击切换]"/>
            <w:tag w:val="_GBC_5bc286b941b942a6afabd12760854b2c"/>
            <w:id w:val="447122961"/>
            <w:lock w:val="sdtContentLocked"/>
            <w:placeholder>
              <w:docPart w:val="GBC22222222222222222222222222222"/>
            </w:placeholder>
          </w:sdtPr>
          <w:sdtContent>
            <w:p w:rsidR="00ED2DC7" w:rsidRDefault="00ED2DC7" w:rsidP="00EF53CE">
              <w:pPr>
                <w:rPr>
                  <w:szCs w:val="21"/>
                </w:rPr>
              </w:pPr>
              <w:r>
                <w:fldChar w:fldCharType="begin"/>
              </w:r>
              <w:r w:rsidR="00EF53CE">
                <w:instrText xml:space="preserve"> MACROBUTTON  SnrToggleCheckbox □适用 </w:instrText>
              </w:r>
              <w:r>
                <w:fldChar w:fldCharType="end"/>
              </w:r>
              <w:r>
                <w:fldChar w:fldCharType="begin"/>
              </w:r>
              <w:r w:rsidR="00EF53CE">
                <w:instrText xml:space="preserve"> MACROBUTTON  SnrToggleCheckbox √不适用 </w:instrText>
              </w:r>
              <w:r>
                <w:fldChar w:fldCharType="end"/>
              </w:r>
            </w:p>
          </w:sdtContent>
        </w:sdt>
      </w:sdtContent>
    </w:sdt>
    <w:bookmarkEnd w:id="146" w:displacedByCustomXml="prev"/>
    <w:bookmarkStart w:id="147" w:name="_Hlk10472110" w:displacedByCustomXml="next"/>
    <w:bookmarkStart w:id="148" w:name="_Hlk10472118" w:displacedByCustomXml="next"/>
    <w:sdt>
      <w:sdtPr>
        <w:rPr>
          <w:rFonts w:hint="eastAsia"/>
        </w:rPr>
        <w:alias w:val="模块:其他说明："/>
        <w:tag w:val="_SEC_e3d4d5136ad847a0a66a1c4edca28c29"/>
        <w:id w:val="-103968439"/>
        <w:lock w:val="sdtLocked"/>
        <w:placeholder>
          <w:docPart w:val="GBC22222222222222222222222222222"/>
        </w:placeholder>
      </w:sdtPr>
      <w:sdtEndPr>
        <w:rPr>
          <w:rFonts w:hint="default"/>
          <w:szCs w:val="21"/>
        </w:rPr>
      </w:sdtEndPr>
      <w:sdtContent>
        <w:p w:rsidR="00ED2DC7" w:rsidRDefault="00ED2DC7">
          <w:r>
            <w:rPr>
              <w:rFonts w:hint="eastAsia"/>
            </w:rPr>
            <w:t>其他</w:t>
          </w:r>
          <w:r>
            <w:t>说明</w:t>
          </w:r>
          <w:r>
            <w:rPr>
              <w:rFonts w:hint="eastAsia"/>
            </w:rPr>
            <w:t>：</w:t>
          </w:r>
          <w:bookmarkEnd w:id="147"/>
        </w:p>
        <w:sdt>
          <w:sdtPr>
            <w:alias w:val="是否适用：其他权益工具投资其他说明[双击切换]"/>
            <w:tag w:val="_GBC_9bd79d8d324a4f4c984344781e18ee35"/>
            <w:id w:val="-2096631799"/>
            <w:lock w:val="sdtContentLocked"/>
            <w:placeholder>
              <w:docPart w:val="GBC22222222222222222222222222222"/>
            </w:placeholder>
          </w:sdtPr>
          <w:sdtContent>
            <w:p w:rsidR="00ED2DC7" w:rsidRDefault="00ED2DC7" w:rsidP="00EF53CE">
              <w:pPr>
                <w:rPr>
                  <w:szCs w:val="21"/>
                </w:rPr>
              </w:pPr>
              <w:r>
                <w:fldChar w:fldCharType="begin"/>
              </w:r>
              <w:r w:rsidR="00EF53CE">
                <w:instrText xml:space="preserve"> MACROBUTTON  SnrToggleCheckbox □适用 </w:instrText>
              </w:r>
              <w:r>
                <w:fldChar w:fldCharType="end"/>
              </w:r>
              <w:r>
                <w:fldChar w:fldCharType="begin"/>
              </w:r>
              <w:r w:rsidR="00EF53CE">
                <w:instrText xml:space="preserve"> MACROBUTTON  SnrToggleCheckbox √不适用 </w:instrText>
              </w:r>
              <w:r>
                <w:fldChar w:fldCharType="end"/>
              </w:r>
            </w:p>
          </w:sdtContent>
        </w:sdt>
      </w:sdtContent>
    </w:sdt>
    <w:bookmarkEnd w:id="148" w:displacedByCustomXml="prev"/>
    <w:p w:rsidR="00ED2DC7" w:rsidRDefault="00ED2DC7">
      <w:pPr>
        <w:rPr>
          <w:szCs w:val="21"/>
        </w:rPr>
      </w:pPr>
    </w:p>
    <w:bookmarkStart w:id="149" w:name="_Hlk10472259" w:displacedByCustomXml="next"/>
    <w:sdt>
      <w:sdtPr>
        <w:rPr>
          <w:rFonts w:ascii="宋体" w:hAnsi="宋体" w:cs="宋体" w:hint="eastAsia"/>
          <w:b w:val="0"/>
          <w:bCs w:val="0"/>
          <w:kern w:val="0"/>
          <w:szCs w:val="21"/>
        </w:rPr>
        <w:alias w:val="模块:其他非流动金融资产"/>
        <w:tag w:val="_SEC_6895bb6903584ff780f3500311ed1560"/>
        <w:id w:val="-323823082"/>
        <w:lock w:val="sdtLocked"/>
        <w:placeholder>
          <w:docPart w:val="GBC22222222222222222222222222222"/>
        </w:placeholder>
      </w:sdtPr>
      <w:sdtEndPr>
        <w:rPr>
          <w:szCs w:val="24"/>
        </w:rPr>
      </w:sdtEndPr>
      <w:sdtContent>
        <w:p w:rsidR="00ED2DC7" w:rsidRDefault="00ED2DC7" w:rsidP="00036BDC">
          <w:pPr>
            <w:pStyle w:val="affffffffffffffffff1"/>
            <w:numPr>
              <w:ilvl w:val="0"/>
              <w:numId w:val="49"/>
            </w:numPr>
            <w:tabs>
              <w:tab w:val="left" w:pos="504"/>
            </w:tabs>
            <w:rPr>
              <w:szCs w:val="21"/>
            </w:rPr>
          </w:pPr>
          <w:r>
            <w:rPr>
              <w:rFonts w:hint="eastAsia"/>
              <w:szCs w:val="21"/>
            </w:rPr>
            <w:t>其他非流动金融资产</w:t>
          </w:r>
        </w:p>
        <w:sdt>
          <w:sdtPr>
            <w:alias w:val="是否适用：其他非流动金融资产[双击切换]"/>
            <w:tag w:val="_GBC_39a16d6030db4b008bd8e70705c49dd5"/>
            <w:id w:val="-112437019"/>
            <w:lock w:val="sdtContentLocked"/>
            <w:placeholder>
              <w:docPart w:val="GBC22222222222222222222222222222"/>
            </w:placeholder>
          </w:sdtPr>
          <w:sdtContent>
            <w:p w:rsidR="00EF53CE" w:rsidRDefault="00ED2DC7" w:rsidP="00EF53CE">
              <w:r>
                <w:fldChar w:fldCharType="begin"/>
              </w:r>
              <w:r w:rsidR="008F04CF">
                <w:instrText xml:space="preserve"> MACROBUTTON  SnrToggleCheckbox √适用 </w:instrText>
              </w:r>
              <w:r>
                <w:fldChar w:fldCharType="end"/>
              </w:r>
              <w:r>
                <w:fldChar w:fldCharType="begin"/>
              </w:r>
              <w:r w:rsidR="008F04CF">
                <w:instrText xml:space="preserve"> MACROBUTTON  SnrToggleCheckbox □不适用 </w:instrText>
              </w:r>
              <w:r>
                <w:fldChar w:fldCharType="end"/>
              </w:r>
            </w:p>
          </w:sdtContent>
        </w:sdt>
        <w:p w:rsidR="00B637B2" w:rsidRDefault="008F04CF">
          <w:pPr>
            <w:pStyle w:val="afffffffffffffff"/>
            <w:ind w:left="420" w:firstLineChars="0" w:firstLine="0"/>
            <w:jc w:val="right"/>
          </w:pPr>
          <w:r>
            <w:rPr>
              <w:rFonts w:hint="eastAsia"/>
            </w:rPr>
            <w:t>单位：</w:t>
          </w:r>
          <w:sdt>
            <w:sdtPr>
              <w:rPr>
                <w:rFonts w:hint="eastAsia"/>
              </w:rPr>
              <w:alias w:val="单位：其他非流动金融资产"/>
              <w:tag w:val="_GBC_5b71e344ee4a4b75b4e1ad6a64a64951"/>
              <w:id w:val="-1732460791"/>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其他非流动金融资产"/>
              <w:tag w:val="_GBC_328ac62ac4c04ba5a240d189e78801d2"/>
              <w:id w:val="52428576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35"/>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560"/>
            <w:gridCol w:w="2620"/>
            <w:gridCol w:w="2643"/>
          </w:tblGrid>
          <w:tr w:rsidR="00B637B2" w:rsidTr="00B637B2">
            <w:sdt>
              <w:sdtPr>
                <w:tag w:val="_PLD_368e897e0b6d4c33891110578462f85a"/>
                <w:id w:val="65230635"/>
                <w:lock w:val="sdtLocked"/>
              </w:sdtPr>
              <w:sdtContent>
                <w:tc>
                  <w:tcPr>
                    <w:tcW w:w="2017" w:type="pct"/>
                    <w:shd w:val="clear" w:color="auto" w:fill="auto"/>
                    <w:vAlign w:val="center"/>
                  </w:tcPr>
                  <w:p w:rsidR="00B637B2" w:rsidRDefault="008F04CF" w:rsidP="00B637B2">
                    <w:pPr>
                      <w:jc w:val="center"/>
                      <w:rPr>
                        <w:szCs w:val="21"/>
                      </w:rPr>
                    </w:pPr>
                    <w:r>
                      <w:rPr>
                        <w:rFonts w:hint="eastAsia"/>
                        <w:szCs w:val="21"/>
                      </w:rPr>
                      <w:t>项目</w:t>
                    </w:r>
                  </w:p>
                </w:tc>
              </w:sdtContent>
            </w:sdt>
            <w:sdt>
              <w:sdtPr>
                <w:tag w:val="_PLD_1b9292064fbf4f529dddfa8a709ecb23"/>
                <w:id w:val="1469092827"/>
                <w:lock w:val="sdtLocked"/>
              </w:sdtPr>
              <w:sdtContent>
                <w:tc>
                  <w:tcPr>
                    <w:tcW w:w="1485" w:type="pct"/>
                    <w:tcBorders>
                      <w:bottom w:val="single" w:sz="6" w:space="0" w:color="auto"/>
                    </w:tcBorders>
                    <w:shd w:val="clear" w:color="auto" w:fill="auto"/>
                    <w:vAlign w:val="center"/>
                  </w:tcPr>
                  <w:p w:rsidR="00B637B2" w:rsidRDefault="008F04CF" w:rsidP="00B637B2">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eb417a8c21ba4afd967834600316003d"/>
                <w:id w:val="-1549681426"/>
                <w:lock w:val="sdtLocked"/>
              </w:sdtPr>
              <w:sdtContent>
                <w:tc>
                  <w:tcPr>
                    <w:tcW w:w="1498" w:type="pct"/>
                    <w:shd w:val="clear" w:color="auto" w:fill="auto"/>
                    <w:vAlign w:val="center"/>
                  </w:tcPr>
                  <w:p w:rsidR="00B637B2" w:rsidRDefault="008F04CF" w:rsidP="00B637B2">
                    <w:pPr>
                      <w:autoSpaceDE w:val="0"/>
                      <w:autoSpaceDN w:val="0"/>
                      <w:adjustRightInd w:val="0"/>
                      <w:snapToGrid w:val="0"/>
                      <w:spacing w:line="240" w:lineRule="atLeast"/>
                      <w:jc w:val="center"/>
                      <w:rPr>
                        <w:szCs w:val="21"/>
                      </w:rPr>
                    </w:pPr>
                    <w:r>
                      <w:rPr>
                        <w:rFonts w:hint="eastAsia"/>
                        <w:szCs w:val="21"/>
                      </w:rPr>
                      <w:t>期初余额</w:t>
                    </w:r>
                  </w:p>
                </w:tc>
              </w:sdtContent>
            </w:sdt>
          </w:tr>
          <w:sdt>
            <w:sdtPr>
              <w:rPr>
                <w:szCs w:val="21"/>
              </w:rPr>
              <w:alias w:val="其他非流动金融资产明细"/>
              <w:tag w:val="_TUP_ba201d1821ad43148235a005a3d4c647"/>
              <w:id w:val="1776833602"/>
              <w:lock w:val="sdtLocked"/>
            </w:sdtPr>
            <w:sdtContent>
              <w:tr w:rsidR="00B637B2" w:rsidTr="00B637B2">
                <w:tc>
                  <w:tcPr>
                    <w:tcW w:w="2017" w:type="pct"/>
                    <w:shd w:val="clear" w:color="auto" w:fill="auto"/>
                    <w:vAlign w:val="center"/>
                  </w:tcPr>
                  <w:p w:rsidR="00B637B2" w:rsidRDefault="008F04CF" w:rsidP="00B637B2">
                    <w:pPr>
                      <w:rPr>
                        <w:szCs w:val="21"/>
                      </w:rPr>
                    </w:pPr>
                    <w:r w:rsidRPr="008E7679">
                      <w:rPr>
                        <w:rFonts w:hint="eastAsia"/>
                        <w:szCs w:val="21"/>
                      </w:rPr>
                      <w:t>以公允价值计量且其变动计入当期损益的金融资产</w:t>
                    </w:r>
                  </w:p>
                </w:tc>
                <w:tc>
                  <w:tcPr>
                    <w:tcW w:w="1485" w:type="pct"/>
                    <w:tcBorders>
                      <w:top w:val="single" w:sz="6" w:space="0" w:color="auto"/>
                      <w:bottom w:val="single" w:sz="6" w:space="0" w:color="auto"/>
                    </w:tcBorders>
                    <w:shd w:val="clear" w:color="auto" w:fill="auto"/>
                  </w:tcPr>
                  <w:p w:rsidR="00B637B2" w:rsidRDefault="008F04CF" w:rsidP="00B637B2">
                    <w:pPr>
                      <w:jc w:val="right"/>
                      <w:rPr>
                        <w:szCs w:val="21"/>
                      </w:rPr>
                    </w:pPr>
                    <w:r>
                      <w:t>931,572,507</w:t>
                    </w:r>
                  </w:p>
                </w:tc>
                <w:tc>
                  <w:tcPr>
                    <w:tcW w:w="1498" w:type="pct"/>
                    <w:shd w:val="clear" w:color="auto" w:fill="auto"/>
                  </w:tcPr>
                  <w:p w:rsidR="00B637B2" w:rsidRDefault="008F04CF" w:rsidP="00B637B2">
                    <w:pPr>
                      <w:jc w:val="right"/>
                      <w:rPr>
                        <w:szCs w:val="21"/>
                      </w:rPr>
                    </w:pPr>
                    <w:r>
                      <w:t>844,750,757</w:t>
                    </w:r>
                  </w:p>
                </w:tc>
              </w:tr>
            </w:sdtContent>
          </w:sdt>
          <w:sdt>
            <w:sdtPr>
              <w:rPr>
                <w:szCs w:val="21"/>
              </w:rPr>
              <w:alias w:val="其他非流动金融资产明细"/>
              <w:tag w:val="_TUP_ba201d1821ad43148235a005a3d4c647"/>
              <w:id w:val="-795754660"/>
              <w:lock w:val="sdtLocked"/>
            </w:sdtPr>
            <w:sdtContent>
              <w:tr w:rsidR="00B637B2" w:rsidTr="00B637B2">
                <w:tc>
                  <w:tcPr>
                    <w:tcW w:w="2017" w:type="pct"/>
                    <w:shd w:val="clear" w:color="auto" w:fill="auto"/>
                    <w:vAlign w:val="center"/>
                  </w:tcPr>
                  <w:p w:rsidR="00B637B2" w:rsidRDefault="00B637B2" w:rsidP="00B637B2">
                    <w:pPr>
                      <w:rPr>
                        <w:szCs w:val="21"/>
                      </w:rPr>
                    </w:pPr>
                  </w:p>
                </w:tc>
                <w:tc>
                  <w:tcPr>
                    <w:tcW w:w="1485" w:type="pct"/>
                    <w:tcBorders>
                      <w:top w:val="single" w:sz="6" w:space="0" w:color="auto"/>
                      <w:bottom w:val="single" w:sz="6" w:space="0" w:color="auto"/>
                    </w:tcBorders>
                    <w:shd w:val="clear" w:color="auto" w:fill="auto"/>
                  </w:tcPr>
                  <w:p w:rsidR="00B637B2" w:rsidRDefault="00B637B2" w:rsidP="00B637B2">
                    <w:pPr>
                      <w:jc w:val="right"/>
                      <w:rPr>
                        <w:szCs w:val="21"/>
                      </w:rPr>
                    </w:pPr>
                  </w:p>
                </w:tc>
                <w:tc>
                  <w:tcPr>
                    <w:tcW w:w="1498" w:type="pct"/>
                    <w:shd w:val="clear" w:color="auto" w:fill="auto"/>
                  </w:tcPr>
                  <w:p w:rsidR="00B637B2" w:rsidRDefault="00B637B2" w:rsidP="00B637B2">
                    <w:pPr>
                      <w:jc w:val="right"/>
                      <w:rPr>
                        <w:szCs w:val="21"/>
                      </w:rPr>
                    </w:pPr>
                  </w:p>
                </w:tc>
              </w:tr>
            </w:sdtContent>
          </w:sdt>
          <w:tr w:rsidR="00B637B2" w:rsidTr="00B637B2">
            <w:sdt>
              <w:sdtPr>
                <w:tag w:val="_PLD_fab894f676854d2a96dbf6e1d97540a1"/>
                <w:id w:val="-2049526706"/>
                <w:lock w:val="sdtLocked"/>
              </w:sdtPr>
              <w:sdtContent>
                <w:tc>
                  <w:tcPr>
                    <w:tcW w:w="2017" w:type="pct"/>
                    <w:shd w:val="clear" w:color="auto" w:fill="auto"/>
                    <w:vAlign w:val="center"/>
                  </w:tcPr>
                  <w:p w:rsidR="00B637B2" w:rsidRDefault="008F04CF" w:rsidP="00B637B2">
                    <w:pPr>
                      <w:jc w:val="center"/>
                      <w:rPr>
                        <w:szCs w:val="21"/>
                      </w:rPr>
                    </w:pPr>
                    <w:r>
                      <w:rPr>
                        <w:rFonts w:hint="eastAsia"/>
                        <w:szCs w:val="21"/>
                      </w:rPr>
                      <w:t>合计</w:t>
                    </w:r>
                  </w:p>
                </w:tc>
              </w:sdtContent>
            </w:sdt>
            <w:tc>
              <w:tcPr>
                <w:tcW w:w="1485" w:type="pct"/>
                <w:tcBorders>
                  <w:top w:val="single" w:sz="6" w:space="0" w:color="auto"/>
                  <w:bottom w:val="single" w:sz="4" w:space="0" w:color="auto"/>
                </w:tcBorders>
                <w:shd w:val="clear" w:color="auto" w:fill="auto"/>
              </w:tcPr>
              <w:p w:rsidR="00B637B2" w:rsidRDefault="008F04CF" w:rsidP="00B637B2">
                <w:pPr>
                  <w:jc w:val="right"/>
                  <w:rPr>
                    <w:szCs w:val="21"/>
                  </w:rPr>
                </w:pPr>
                <w:r>
                  <w:t>931,572,507</w:t>
                </w:r>
              </w:p>
            </w:tc>
            <w:tc>
              <w:tcPr>
                <w:tcW w:w="1498" w:type="pct"/>
                <w:shd w:val="clear" w:color="auto" w:fill="auto"/>
              </w:tcPr>
              <w:p w:rsidR="00B637B2" w:rsidRDefault="008F04CF" w:rsidP="00B637B2">
                <w:pPr>
                  <w:jc w:val="right"/>
                  <w:rPr>
                    <w:szCs w:val="21"/>
                  </w:rPr>
                </w:pPr>
                <w:r>
                  <w:t>844,750,757</w:t>
                </w:r>
              </w:p>
            </w:tc>
          </w:tr>
        </w:tbl>
        <w:p w:rsidR="00B637B2" w:rsidRDefault="00B637B2"/>
        <w:p w:rsidR="00B637B2" w:rsidRDefault="008F04CF">
          <w:r>
            <w:rPr>
              <w:rFonts w:hint="eastAsia"/>
            </w:rPr>
            <w:t>其他</w:t>
          </w:r>
          <w:r>
            <w:t>说明</w:t>
          </w:r>
          <w:r>
            <w:rPr>
              <w:rFonts w:hint="eastAsia"/>
            </w:rPr>
            <w:t>：</w:t>
          </w:r>
        </w:p>
        <w:sdt>
          <w:sdtPr>
            <w:rPr>
              <w:szCs w:val="21"/>
            </w:rPr>
            <w:alias w:val="其他非流动金融资产其他说明"/>
            <w:tag w:val="_GBC_37b8dcc3b7224862a4fd92cb9cb0847a"/>
            <w:id w:val="-2085599723"/>
            <w:lock w:val="sdtLocked"/>
          </w:sdtPr>
          <w:sdtContent>
            <w:p w:rsidR="00B637B2" w:rsidRDefault="008F04CF">
              <w:pPr>
                <w:snapToGrid w:val="0"/>
                <w:spacing w:line="240" w:lineRule="atLeast"/>
                <w:rPr>
                  <w:szCs w:val="21"/>
                </w:rPr>
              </w:pPr>
              <w:r>
                <w:rPr>
                  <w:rFonts w:hint="eastAsia"/>
                  <w:szCs w:val="21"/>
                </w:rPr>
                <w:t>无。</w:t>
              </w:r>
            </w:p>
          </w:sdtContent>
        </w:sdt>
        <w:p w:rsidR="00ED2DC7" w:rsidRDefault="00ED2DC7">
          <w:pPr>
            <w:snapToGrid w:val="0"/>
            <w:spacing w:line="240" w:lineRule="atLeast"/>
            <w:rPr>
              <w:szCs w:val="21"/>
            </w:rPr>
          </w:pPr>
        </w:p>
        <w:p w:rsidR="00ED2DC7" w:rsidRDefault="000D0A99"/>
      </w:sdtContent>
    </w:sdt>
    <w:bookmarkEnd w:id="149" w:displacedByCustomXml="prev"/>
    <w:p w:rsidR="00ED2DC7" w:rsidRPr="008E7679" w:rsidRDefault="00ED2DC7" w:rsidP="00036BDC">
      <w:pPr>
        <w:pStyle w:val="affffffffffffffffff1"/>
        <w:numPr>
          <w:ilvl w:val="0"/>
          <w:numId w:val="49"/>
        </w:numPr>
        <w:tabs>
          <w:tab w:val="left" w:pos="504"/>
        </w:tabs>
        <w:rPr>
          <w:rFonts w:ascii="宋体" w:hAnsi="宋体"/>
          <w:szCs w:val="21"/>
        </w:rPr>
      </w:pPr>
      <w:r w:rsidRPr="008E7679">
        <w:rPr>
          <w:rFonts w:ascii="宋体" w:hAnsi="宋体" w:hint="eastAsia"/>
          <w:szCs w:val="21"/>
        </w:rPr>
        <w:t>投资性房地产</w:t>
      </w:r>
    </w:p>
    <w:p w:rsidR="00ED2DC7" w:rsidRDefault="00ED2DC7">
      <w:r>
        <w:t>投资性房地产</w:t>
      </w:r>
      <w:r>
        <w:rPr>
          <w:rFonts w:hint="eastAsia"/>
        </w:rPr>
        <w:t>计量模式</w:t>
      </w:r>
    </w:p>
    <w:sdt>
      <w:sdtPr>
        <w:rPr>
          <w:rFonts w:ascii="宋体" w:hAnsi="宋体" w:cs="宋体" w:hint="eastAsia"/>
          <w:b w:val="0"/>
          <w:bCs w:val="0"/>
          <w:kern w:val="0"/>
          <w:szCs w:val="21"/>
        </w:rPr>
        <w:alias w:val="选项模块:成本计量模式"/>
        <w:tag w:val="_GBC_f6dac261d9a74df7a48db85ed7768fd1"/>
        <w:id w:val="-1953464613"/>
        <w:lock w:val="sdtLocked"/>
        <w:placeholder>
          <w:docPart w:val="GBC22222222222222222222222222222"/>
        </w:placeholder>
      </w:sdtPr>
      <w:sdtEndPr>
        <w:rPr>
          <w:rFonts w:cstheme="minorBidi"/>
          <w:kern w:val="2"/>
        </w:rPr>
      </w:sdtEndPr>
      <w:sdtContent>
        <w:p w:rsidR="00ED2DC7" w:rsidRDefault="00ED2DC7" w:rsidP="00036BDC">
          <w:pPr>
            <w:pStyle w:val="affffffffffffffffff2"/>
            <w:numPr>
              <w:ilvl w:val="0"/>
              <w:numId w:val="61"/>
            </w:numPr>
            <w:tabs>
              <w:tab w:val="left" w:pos="616"/>
            </w:tabs>
            <w:rPr>
              <w:rFonts w:ascii="宋体" w:hAnsi="宋体"/>
              <w:szCs w:val="21"/>
            </w:rPr>
          </w:pPr>
          <w:r>
            <w:rPr>
              <w:rFonts w:ascii="宋体" w:hAnsi="宋体" w:hint="eastAsia"/>
              <w:szCs w:val="21"/>
            </w:rPr>
            <w:t>采用成本计量模式的投资性房地产</w:t>
          </w:r>
        </w:p>
        <w:p w:rsidR="00ED2DC7" w:rsidRDefault="00ED2DC7">
          <w:pPr>
            <w:jc w:val="right"/>
            <w:rPr>
              <w:szCs w:val="21"/>
            </w:rPr>
          </w:pPr>
          <w:r>
            <w:rPr>
              <w:rFonts w:hint="eastAsia"/>
              <w:szCs w:val="21"/>
            </w:rPr>
            <w:t>单位：</w:t>
          </w:r>
          <w:sdt>
            <w:sdtPr>
              <w:rPr>
                <w:rFonts w:hint="eastAsia"/>
                <w:szCs w:val="21"/>
              </w:rPr>
              <w:alias w:val="单位：财务附注：投资性房地产"/>
              <w:tag w:val="_GBC_3315dd1b9cb743c786e01b4b9e91b10d"/>
              <w:id w:val="-19701687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hint="eastAsia"/>
                  <w:szCs w:val="21"/>
                </w:rPr>
                <w:t>元</w:t>
              </w:r>
            </w:sdtContent>
          </w:sdt>
          <w:r>
            <w:rPr>
              <w:rFonts w:hint="eastAsia"/>
              <w:szCs w:val="21"/>
            </w:rPr>
            <w:t xml:space="preserve">  币种：</w:t>
          </w:r>
          <w:sdt>
            <w:sdtPr>
              <w:rPr>
                <w:rFonts w:hint="eastAsia"/>
                <w:szCs w:val="21"/>
              </w:rPr>
              <w:alias w:val="币种：财务附注：投资性房地产"/>
              <w:tag w:val="_GBC_424f36c4f1bf48ce8d47b51437412ff8"/>
              <w:id w:val="-5195443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szCs w:val="21"/>
                </w:rPr>
                <w:t>人民币</w:t>
              </w:r>
            </w:sdtContent>
          </w:sdt>
        </w:p>
        <w:p w:rsidR="00ED2DC7" w:rsidRDefault="008F04CF">
          <w:r>
            <w:rPr>
              <w:rFonts w:hint="eastAsia"/>
            </w:rPr>
            <w:t>不适用。</w:t>
          </w:r>
        </w:p>
        <w:p w:rsidR="00ED2DC7" w:rsidRDefault="00ED2DC7" w:rsidP="00036BDC">
          <w:pPr>
            <w:pStyle w:val="affffffffffffffffff2"/>
            <w:numPr>
              <w:ilvl w:val="0"/>
              <w:numId w:val="61"/>
            </w:numPr>
            <w:tabs>
              <w:tab w:val="left" w:pos="616"/>
            </w:tabs>
            <w:rPr>
              <w:rFonts w:ascii="宋体" w:hAnsi="宋体"/>
              <w:szCs w:val="21"/>
            </w:rPr>
          </w:pPr>
          <w:r>
            <w:rPr>
              <w:rFonts w:ascii="宋体" w:hAnsi="宋体" w:hint="eastAsia"/>
              <w:szCs w:val="21"/>
            </w:rPr>
            <w:t>未办妥产权证书的投资性房地产情况：</w:t>
          </w:r>
        </w:p>
        <w:p w:rsidR="00ED2DC7" w:rsidRDefault="000D0A99" w:rsidP="00FD6261">
          <w:pPr>
            <w:rPr>
              <w:szCs w:val="21"/>
            </w:rPr>
          </w:pPr>
          <w:sdt>
            <w:sdtPr>
              <w:alias w:val="是否适用：未办妥产权证书的投资性房地产情况[双击切换]"/>
              <w:tag w:val="_GBC_6ea8ec03c59f4a3585f376319ae453c5"/>
              <w:id w:val="838120307"/>
              <w:lock w:val="sdtContentLocked"/>
              <w:placeholder>
                <w:docPart w:val="GBC22222222222222222222222222222"/>
              </w:placeholder>
            </w:sdtPr>
            <w:sdtContent>
              <w:r w:rsidR="00ED2DC7">
                <w:fldChar w:fldCharType="begin"/>
              </w:r>
              <w:r w:rsidR="00FD6261">
                <w:instrText xml:space="preserve"> MACROBUTTON  SnrToggleCheckbox □适用 </w:instrText>
              </w:r>
              <w:r w:rsidR="00ED2DC7">
                <w:fldChar w:fldCharType="end"/>
              </w:r>
              <w:r w:rsidR="00ED2DC7">
                <w:fldChar w:fldCharType="begin"/>
              </w:r>
              <w:r w:rsidR="00FD6261">
                <w:instrText xml:space="preserve"> MACROBUTTON  SnrToggleCheckbox √不适用 </w:instrText>
              </w:r>
              <w:r w:rsidR="00ED2DC7">
                <w:fldChar w:fldCharType="end"/>
              </w:r>
            </w:sdtContent>
          </w:sdt>
        </w:p>
        <w:p w:rsidR="00ED2DC7" w:rsidRDefault="00ED2DC7">
          <w:pPr>
            <w:ind w:leftChars="-21" w:left="-2" w:hangingChars="20" w:hanging="42"/>
            <w:rPr>
              <w:szCs w:val="21"/>
            </w:rPr>
          </w:pPr>
          <w:r>
            <w:rPr>
              <w:rFonts w:hint="eastAsia"/>
              <w:szCs w:val="21"/>
            </w:rPr>
            <w:t>其他说明</w:t>
          </w:r>
        </w:p>
        <w:sdt>
          <w:sdtPr>
            <w:rPr>
              <w:szCs w:val="21"/>
            </w:rPr>
            <w:alias w:val="是否适用：投资性房地产的说明[双击切换]"/>
            <w:tag w:val="_GBC_7c82892b5f364028897e5707cfcc5e86"/>
            <w:id w:val="-1776780020"/>
            <w:lock w:val="sdtContentLocked"/>
            <w:placeholder>
              <w:docPart w:val="GBC22222222222222222222222222222"/>
            </w:placeholder>
          </w:sdtPr>
          <w:sdtContent>
            <w:p w:rsidR="00ED2DC7" w:rsidRDefault="00ED2DC7" w:rsidP="00FD6261">
              <w:pPr>
                <w:rPr>
                  <w:rFonts w:cstheme="minorBidi"/>
                  <w:kern w:val="2"/>
                  <w:szCs w:val="21"/>
                </w:rPr>
              </w:pPr>
              <w:r>
                <w:rPr>
                  <w:szCs w:val="21"/>
                </w:rPr>
                <w:fldChar w:fldCharType="begin"/>
              </w:r>
              <w:r w:rsidR="00FD6261">
                <w:rPr>
                  <w:szCs w:val="21"/>
                </w:rPr>
                <w:instrText xml:space="preserve"> MACROBUTTON  SnrToggleCheckbox □适用 </w:instrText>
              </w:r>
              <w:r>
                <w:rPr>
                  <w:szCs w:val="21"/>
                </w:rPr>
                <w:fldChar w:fldCharType="end"/>
              </w:r>
              <w:r>
                <w:rPr>
                  <w:szCs w:val="21"/>
                </w:rPr>
                <w:fldChar w:fldCharType="begin"/>
              </w:r>
              <w:r w:rsidR="00FD6261">
                <w:rPr>
                  <w:szCs w:val="21"/>
                </w:rPr>
                <w:instrText xml:space="preserve"> MACROBUTTON  SnrToggleCheckbox √不适用 </w:instrText>
              </w:r>
              <w:r>
                <w:rPr>
                  <w:szCs w:val="21"/>
                </w:rPr>
                <w:fldChar w:fldCharType="end"/>
              </w:r>
            </w:p>
          </w:sdtContent>
        </w:sdt>
        <w:p w:rsidR="00ED2DC7" w:rsidRDefault="000D0A99">
          <w:pPr>
            <w:rPr>
              <w:szCs w:val="21"/>
            </w:rPr>
          </w:pPr>
        </w:p>
      </w:sdtContent>
    </w:sdt>
    <w:p w:rsidR="00ED2DC7" w:rsidRDefault="00ED2DC7">
      <w:pPr>
        <w:ind w:right="283"/>
        <w:rPr>
          <w:szCs w:val="21"/>
        </w:rPr>
      </w:pPr>
    </w:p>
    <w:p w:rsidR="00ED2DC7" w:rsidRDefault="00ED2DC7" w:rsidP="00036BDC">
      <w:pPr>
        <w:pStyle w:val="affffffffffffffffff1"/>
        <w:numPr>
          <w:ilvl w:val="0"/>
          <w:numId w:val="49"/>
        </w:numPr>
        <w:tabs>
          <w:tab w:val="left" w:pos="504"/>
        </w:tabs>
        <w:rPr>
          <w:rFonts w:ascii="宋体" w:hAnsi="宋体"/>
          <w:szCs w:val="21"/>
        </w:rPr>
      </w:pPr>
      <w:r>
        <w:rPr>
          <w:rFonts w:ascii="宋体" w:hAnsi="宋体" w:hint="eastAsia"/>
          <w:szCs w:val="21"/>
        </w:rPr>
        <w:t>固定资产</w:t>
      </w:r>
    </w:p>
    <w:bookmarkStart w:id="150" w:name="_Hlk10472369" w:displacedByCustomXml="next"/>
    <w:sdt>
      <w:sdtPr>
        <w:rPr>
          <w:rFonts w:ascii="宋体" w:hAnsi="宋体" w:cs="宋体" w:hint="eastAsia"/>
          <w:b w:val="0"/>
          <w:bCs w:val="0"/>
          <w:kern w:val="0"/>
          <w:szCs w:val="24"/>
        </w:rPr>
        <w:alias w:val="模块:固定资产项目列示"/>
        <w:tag w:val="_SEC_d216074d2ae442239dbb6f5f9b7a5d89"/>
        <w:id w:val="940731783"/>
        <w:lock w:val="sdtLocked"/>
        <w:placeholder>
          <w:docPart w:val="GBC22222222222222222222222222222"/>
        </w:placeholder>
      </w:sdtPr>
      <w:sdtEndPr>
        <w:rPr>
          <w:rFonts w:hint="default"/>
          <w:szCs w:val="21"/>
        </w:rPr>
      </w:sdtEndPr>
      <w:sdtContent>
        <w:p w:rsidR="00ED2DC7" w:rsidRDefault="00ED2DC7">
          <w:pPr>
            <w:pStyle w:val="affffffffffffffffff2"/>
            <w:tabs>
              <w:tab w:val="left" w:pos="588"/>
            </w:tabs>
          </w:pPr>
          <w:r>
            <w:rPr>
              <w:rFonts w:hint="eastAsia"/>
            </w:rPr>
            <w:t>项目列示</w:t>
          </w:r>
        </w:p>
        <w:sdt>
          <w:sdtPr>
            <w:alias w:val="是否适用：固定资产分类列示[双击切换]"/>
            <w:tag w:val="_GBC_73d82e583dcc4330bebfeb83abd5f5bb"/>
            <w:id w:val="-463667662"/>
            <w:lock w:val="sdtContentLocked"/>
            <w:placeholder>
              <w:docPart w:val="GBC22222222222222222222222222222"/>
            </w:placeholder>
          </w:sdtPr>
          <w:sdtContent>
            <w:p w:rsidR="00ED2DC7" w:rsidRDefault="00ED2DC7">
              <w:r>
                <w:fldChar w:fldCharType="begin"/>
              </w:r>
              <w:r w:rsidR="005451E3">
                <w:instrText xml:space="preserve"> MACROBUTTON  SnrToggleCheckbox √适用 </w:instrText>
              </w:r>
              <w:r>
                <w:fldChar w:fldCharType="end"/>
              </w:r>
              <w:r>
                <w:fldChar w:fldCharType="begin"/>
              </w:r>
              <w:r w:rsidR="005451E3">
                <w:instrText xml:space="preserve"> MACROBUTTON  SnrToggleCheckbox □不适用 </w:instrText>
              </w:r>
              <w:r>
                <w:fldChar w:fldCharType="end"/>
              </w:r>
            </w:p>
          </w:sdtContent>
        </w:sdt>
        <w:p w:rsidR="00ED2DC7" w:rsidRDefault="00ED2DC7">
          <w:pPr>
            <w:jc w:val="right"/>
            <w:rPr>
              <w:szCs w:val="21"/>
            </w:rPr>
          </w:pPr>
          <w:r>
            <w:rPr>
              <w:rFonts w:hint="eastAsia"/>
              <w:szCs w:val="21"/>
            </w:rPr>
            <w:t>单位：</w:t>
          </w:r>
          <w:sdt>
            <w:sdtPr>
              <w:rPr>
                <w:rFonts w:hint="eastAsia"/>
                <w:szCs w:val="21"/>
              </w:rPr>
              <w:alias w:val="单位：固定资产分类列示"/>
              <w:tag w:val="_GBC_1ddbfde119544f109a3b12a48ffde12d"/>
              <w:id w:val="5776412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hint="eastAsia"/>
                  <w:szCs w:val="21"/>
                </w:rPr>
                <w:t>元</w:t>
              </w:r>
            </w:sdtContent>
          </w:sdt>
          <w:r>
            <w:rPr>
              <w:rFonts w:hint="eastAsia"/>
              <w:szCs w:val="21"/>
            </w:rPr>
            <w:t xml:space="preserve">  币种：</w:t>
          </w:r>
          <w:sdt>
            <w:sdtPr>
              <w:rPr>
                <w:rFonts w:hint="eastAsia"/>
                <w:szCs w:val="21"/>
              </w:rPr>
              <w:alias w:val="币种：固定资产分类列示"/>
              <w:tag w:val="_GBC_fcb83ec59024431d9f3167f55c1ae7c0"/>
              <w:id w:val="-176244402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szCs w:val="21"/>
                </w:rPr>
                <w:t>人民币</w:t>
              </w:r>
            </w:sdtContent>
          </w:sdt>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5"/>
            <w:gridCol w:w="2792"/>
            <w:gridCol w:w="2806"/>
          </w:tblGrid>
          <w:tr w:rsidR="00ED2DC7" w:rsidTr="00510B81">
            <w:sdt>
              <w:sdtPr>
                <w:tag w:val="_PLD_8242dd3761084b5fa8943b910dbdbe45"/>
                <w:id w:val="1901408832"/>
                <w:lock w:val="sdtLocked"/>
              </w:sdtPr>
              <w:sdtContent>
                <w:tc>
                  <w:tcPr>
                    <w:tcW w:w="1828" w:type="pct"/>
                    <w:shd w:val="clear" w:color="auto" w:fill="auto"/>
                    <w:vAlign w:val="center"/>
                  </w:tcPr>
                  <w:p w:rsidR="00ED2DC7" w:rsidRDefault="00ED2DC7">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666df388ce2f4405af4694ebf5c112ca"/>
                <w:id w:val="282845450"/>
                <w:lock w:val="sdtLocked"/>
              </w:sdtPr>
              <w:sdtContent>
                <w:tc>
                  <w:tcPr>
                    <w:tcW w:w="1582" w:type="pct"/>
                    <w:shd w:val="clear" w:color="auto" w:fill="auto"/>
                    <w:vAlign w:val="center"/>
                  </w:tcPr>
                  <w:p w:rsidR="00ED2DC7" w:rsidRDefault="00ED2DC7">
                    <w:pPr>
                      <w:jc w:val="center"/>
                      <w:rPr>
                        <w:szCs w:val="21"/>
                      </w:rPr>
                    </w:pPr>
                    <w:r>
                      <w:rPr>
                        <w:rFonts w:hint="eastAsia"/>
                        <w:szCs w:val="21"/>
                      </w:rPr>
                      <w:t>期末余额</w:t>
                    </w:r>
                  </w:p>
                </w:tc>
              </w:sdtContent>
            </w:sdt>
            <w:sdt>
              <w:sdtPr>
                <w:tag w:val="_PLD_ca4fd9ec8b6a43259f78c36475f04e58"/>
                <w:id w:val="-1707014742"/>
                <w:lock w:val="sdtLocked"/>
              </w:sdtPr>
              <w:sdtContent>
                <w:tc>
                  <w:tcPr>
                    <w:tcW w:w="1590" w:type="pct"/>
                    <w:shd w:val="clear" w:color="auto" w:fill="auto"/>
                    <w:vAlign w:val="center"/>
                  </w:tcPr>
                  <w:p w:rsidR="00ED2DC7" w:rsidRDefault="00ED2DC7">
                    <w:pPr>
                      <w:jc w:val="center"/>
                      <w:rPr>
                        <w:szCs w:val="21"/>
                      </w:rPr>
                    </w:pPr>
                    <w:r>
                      <w:rPr>
                        <w:rFonts w:hint="eastAsia"/>
                        <w:szCs w:val="21"/>
                      </w:rPr>
                      <w:t>期初余额</w:t>
                    </w:r>
                  </w:p>
                </w:tc>
              </w:sdtContent>
            </w:sdt>
          </w:tr>
          <w:tr w:rsidR="005C3838" w:rsidTr="00B637B2">
            <w:sdt>
              <w:sdtPr>
                <w:tag w:val="_PLD_722c53058dad410fa612baf9cbff9bc1"/>
                <w:id w:val="-1718815754"/>
                <w:lock w:val="sdtLocked"/>
              </w:sdtPr>
              <w:sdtContent>
                <w:tc>
                  <w:tcPr>
                    <w:tcW w:w="1828" w:type="pct"/>
                    <w:shd w:val="clear" w:color="auto" w:fill="auto"/>
                  </w:tcPr>
                  <w:p w:rsidR="005C3838" w:rsidRDefault="005C3838" w:rsidP="005C3838">
                    <w:pPr>
                      <w:tabs>
                        <w:tab w:val="right" w:pos="3690"/>
                        <w:tab w:val="right" w:pos="5130"/>
                        <w:tab w:val="right" w:pos="6030"/>
                        <w:tab w:val="right" w:pos="7650"/>
                        <w:tab w:val="right" w:pos="9270"/>
                      </w:tabs>
                      <w:adjustRightInd w:val="0"/>
                      <w:snapToGrid w:val="0"/>
                      <w:rPr>
                        <w:szCs w:val="21"/>
                      </w:rPr>
                    </w:pPr>
                    <w:r>
                      <w:rPr>
                        <w:rFonts w:hint="eastAsia"/>
                        <w:szCs w:val="21"/>
                      </w:rPr>
                      <w:t>固定资产</w:t>
                    </w:r>
                  </w:p>
                </w:tc>
              </w:sdtContent>
            </w:sdt>
            <w:tc>
              <w:tcPr>
                <w:tcW w:w="1582" w:type="pct"/>
                <w:shd w:val="clear" w:color="auto" w:fill="auto"/>
                <w:vAlign w:val="center"/>
              </w:tcPr>
              <w:p w:rsidR="005C3838" w:rsidRPr="00171CAD" w:rsidRDefault="005C3838" w:rsidP="00B637B2">
                <w:pPr>
                  <w:jc w:val="right"/>
                </w:pPr>
                <w:r w:rsidRPr="00171CAD">
                  <w:t>2,674,069,386</w:t>
                </w:r>
              </w:p>
            </w:tc>
            <w:tc>
              <w:tcPr>
                <w:tcW w:w="1590" w:type="pct"/>
                <w:shd w:val="clear" w:color="auto" w:fill="auto"/>
                <w:vAlign w:val="center"/>
              </w:tcPr>
              <w:p w:rsidR="005C3838" w:rsidRPr="00822F71" w:rsidRDefault="005C3838" w:rsidP="00B637B2">
                <w:pPr>
                  <w:jc w:val="right"/>
                </w:pPr>
                <w:r w:rsidRPr="00822F71">
                  <w:t>2,073,150,867</w:t>
                </w:r>
              </w:p>
            </w:tc>
          </w:tr>
          <w:tr w:rsidR="005C3838" w:rsidTr="00B637B2">
            <w:sdt>
              <w:sdtPr>
                <w:tag w:val="_PLD_2f47b0a195064c638089bc384523b564"/>
                <w:id w:val="-2059087594"/>
                <w:lock w:val="sdtLocked"/>
              </w:sdtPr>
              <w:sdtContent>
                <w:tc>
                  <w:tcPr>
                    <w:tcW w:w="1828" w:type="pct"/>
                    <w:shd w:val="clear" w:color="auto" w:fill="auto"/>
                  </w:tcPr>
                  <w:p w:rsidR="005C3838" w:rsidRDefault="005C3838" w:rsidP="005C3838">
                    <w:pPr>
                      <w:tabs>
                        <w:tab w:val="right" w:pos="3690"/>
                        <w:tab w:val="right" w:pos="5130"/>
                        <w:tab w:val="right" w:pos="6030"/>
                        <w:tab w:val="right" w:pos="7650"/>
                        <w:tab w:val="right" w:pos="9270"/>
                      </w:tabs>
                      <w:adjustRightInd w:val="0"/>
                      <w:snapToGrid w:val="0"/>
                      <w:rPr>
                        <w:szCs w:val="21"/>
                      </w:rPr>
                    </w:pPr>
                    <w:r>
                      <w:rPr>
                        <w:rFonts w:hint="eastAsia"/>
                        <w:szCs w:val="21"/>
                      </w:rPr>
                      <w:t>固定资产清理</w:t>
                    </w:r>
                  </w:p>
                </w:tc>
              </w:sdtContent>
            </w:sdt>
            <w:tc>
              <w:tcPr>
                <w:tcW w:w="1582" w:type="pct"/>
                <w:shd w:val="clear" w:color="auto" w:fill="auto"/>
                <w:vAlign w:val="center"/>
              </w:tcPr>
              <w:p w:rsidR="005C3838" w:rsidRPr="00171CAD" w:rsidRDefault="005C3838" w:rsidP="00B637B2">
                <w:pPr>
                  <w:jc w:val="right"/>
                </w:pPr>
                <w:r w:rsidRPr="00171CAD">
                  <w:t xml:space="preserve">                      -</w:t>
                </w:r>
              </w:p>
            </w:tc>
            <w:tc>
              <w:tcPr>
                <w:tcW w:w="1590" w:type="pct"/>
                <w:shd w:val="clear" w:color="auto" w:fill="auto"/>
                <w:vAlign w:val="center"/>
              </w:tcPr>
              <w:p w:rsidR="005C3838" w:rsidRDefault="005C3838" w:rsidP="00B637B2">
                <w:pPr>
                  <w:jc w:val="right"/>
                </w:pPr>
                <w:r w:rsidRPr="00822F71">
                  <w:t xml:space="preserve">                      -</w:t>
                </w:r>
              </w:p>
            </w:tc>
          </w:tr>
          <w:tr w:rsidR="00ED2DC7" w:rsidTr="00B637B2">
            <w:sdt>
              <w:sdtPr>
                <w:tag w:val="_PLD_c4125b2326324bf0b90cbe28b521a568"/>
                <w:id w:val="-1733387095"/>
                <w:lock w:val="sdtLocked"/>
              </w:sdtPr>
              <w:sdtContent>
                <w:tc>
                  <w:tcPr>
                    <w:tcW w:w="1828" w:type="pct"/>
                    <w:shd w:val="clear" w:color="auto" w:fill="auto"/>
                    <w:vAlign w:val="center"/>
                  </w:tcPr>
                  <w:p w:rsidR="00ED2DC7" w:rsidRDefault="00ED2DC7">
                    <w:pPr>
                      <w:tabs>
                        <w:tab w:val="right" w:pos="3690"/>
                        <w:tab w:val="right" w:pos="5130"/>
                        <w:tab w:val="right" w:pos="6030"/>
                        <w:tab w:val="right" w:pos="7650"/>
                        <w:tab w:val="right" w:pos="9270"/>
                      </w:tabs>
                      <w:adjustRightInd w:val="0"/>
                      <w:snapToGrid w:val="0"/>
                      <w:jc w:val="center"/>
                      <w:rPr>
                        <w:szCs w:val="21"/>
                      </w:rPr>
                    </w:pPr>
                    <w:r>
                      <w:rPr>
                        <w:rFonts w:hint="eastAsia"/>
                        <w:szCs w:val="21"/>
                      </w:rPr>
                      <w:t>合计</w:t>
                    </w:r>
                  </w:p>
                </w:tc>
              </w:sdtContent>
            </w:sdt>
            <w:tc>
              <w:tcPr>
                <w:tcW w:w="1582" w:type="pct"/>
                <w:shd w:val="clear" w:color="auto" w:fill="auto"/>
                <w:vAlign w:val="center"/>
              </w:tcPr>
              <w:p w:rsidR="00ED2DC7" w:rsidRDefault="005C3838" w:rsidP="00B637B2">
                <w:pPr>
                  <w:tabs>
                    <w:tab w:val="right" w:pos="3690"/>
                    <w:tab w:val="right" w:pos="5130"/>
                    <w:tab w:val="right" w:pos="6030"/>
                    <w:tab w:val="right" w:pos="7650"/>
                    <w:tab w:val="right" w:pos="9270"/>
                  </w:tabs>
                  <w:adjustRightInd w:val="0"/>
                  <w:snapToGrid w:val="0"/>
                  <w:jc w:val="right"/>
                  <w:rPr>
                    <w:szCs w:val="21"/>
                  </w:rPr>
                </w:pPr>
                <w:r w:rsidRPr="00171CAD">
                  <w:t>2,674,069,386</w:t>
                </w:r>
              </w:p>
            </w:tc>
            <w:tc>
              <w:tcPr>
                <w:tcW w:w="1590" w:type="pct"/>
                <w:shd w:val="clear" w:color="auto" w:fill="auto"/>
                <w:vAlign w:val="center"/>
              </w:tcPr>
              <w:p w:rsidR="00ED2DC7" w:rsidRDefault="005C3838" w:rsidP="00B637B2">
                <w:pPr>
                  <w:tabs>
                    <w:tab w:val="right" w:pos="3690"/>
                    <w:tab w:val="right" w:pos="5130"/>
                    <w:tab w:val="right" w:pos="6030"/>
                    <w:tab w:val="right" w:pos="7650"/>
                    <w:tab w:val="right" w:pos="9270"/>
                  </w:tabs>
                  <w:adjustRightInd w:val="0"/>
                  <w:snapToGrid w:val="0"/>
                  <w:jc w:val="right"/>
                  <w:rPr>
                    <w:szCs w:val="21"/>
                  </w:rPr>
                </w:pPr>
                <w:r w:rsidRPr="00822F71">
                  <w:t>2,073,150,867</w:t>
                </w:r>
              </w:p>
            </w:tc>
          </w:tr>
        </w:tbl>
        <w:p w:rsidR="00ED2DC7" w:rsidRDefault="00ED2DC7">
          <w:bookmarkStart w:id="151" w:name="_Hlk10472389"/>
          <w:bookmarkStart w:id="152" w:name="_Hlk10472397"/>
          <w:bookmarkEnd w:id="150"/>
          <w:r>
            <w:rPr>
              <w:rFonts w:hint="eastAsia"/>
              <w:szCs w:val="21"/>
            </w:rPr>
            <w:t>其他说明：</w:t>
          </w:r>
          <w:bookmarkEnd w:id="151"/>
        </w:p>
        <w:p w:rsidR="00ED2DC7" w:rsidRDefault="000D0A99">
          <w:pPr>
            <w:rPr>
              <w:szCs w:val="21"/>
            </w:rPr>
          </w:pPr>
          <w:sdt>
            <w:sdtPr>
              <w:rPr>
                <w:szCs w:val="21"/>
              </w:rPr>
              <w:alias w:val="固定资产分类列示其他说明"/>
              <w:tag w:val="_GBC_9028bab58a12485bb8ef4d316280f591"/>
              <w:id w:val="1733580272"/>
              <w:lock w:val="sdtLocked"/>
              <w:placeholder>
                <w:docPart w:val="GBC22222222222222222222222222222"/>
              </w:placeholder>
            </w:sdtPr>
            <w:sdtContent>
              <w:r w:rsidR="00FD6261">
                <w:rPr>
                  <w:rFonts w:hint="eastAsia"/>
                  <w:szCs w:val="21"/>
                </w:rPr>
                <w:t>无。</w:t>
              </w:r>
            </w:sdtContent>
          </w:sdt>
        </w:p>
        <w:bookmarkEnd w:id="152" w:displacedByCustomXml="next"/>
      </w:sdtContent>
    </w:sdt>
    <w:p w:rsidR="00ED2DC7" w:rsidRDefault="00ED2DC7"/>
    <w:p w:rsidR="00ED2DC7" w:rsidRDefault="00ED2DC7">
      <w:pPr>
        <w:pStyle w:val="affffffffffffffffff2"/>
        <w:tabs>
          <w:tab w:val="left" w:pos="588"/>
        </w:tabs>
      </w:pPr>
      <w:r>
        <w:rPr>
          <w:rFonts w:hint="eastAsia"/>
        </w:rPr>
        <w:t>固定资产</w:t>
      </w:r>
    </w:p>
    <w:sdt>
      <w:sdtPr>
        <w:rPr>
          <w:rFonts w:ascii="宋体" w:hAnsi="宋体" w:cs="宋体" w:hint="eastAsia"/>
          <w:b w:val="0"/>
          <w:bCs w:val="0"/>
          <w:kern w:val="0"/>
          <w:szCs w:val="21"/>
        </w:rPr>
        <w:alias w:val="模块:固定资产情况"/>
        <w:tag w:val="_GBC_6b764c2f9af049ba98fb55c66fe083a9"/>
        <w:id w:val="-1111969295"/>
        <w:lock w:val="sdtLocked"/>
        <w:placeholder>
          <w:docPart w:val="GBC22222222222222222222222222222"/>
        </w:placeholder>
      </w:sdtPr>
      <w:sdtEndPr>
        <w:rPr>
          <w:rFonts w:cstheme="minorBidi"/>
          <w:kern w:val="2"/>
        </w:rPr>
      </w:sdtEndPr>
      <w:sdtContent>
        <w:p w:rsidR="00ED2DC7" w:rsidRPr="008E7679" w:rsidRDefault="00ED2DC7" w:rsidP="00036BDC">
          <w:pPr>
            <w:pStyle w:val="affffffffffffffffff2"/>
            <w:numPr>
              <w:ilvl w:val="0"/>
              <w:numId w:val="62"/>
            </w:numPr>
            <w:tabs>
              <w:tab w:val="left" w:pos="588"/>
            </w:tabs>
            <w:rPr>
              <w:rFonts w:ascii="宋体" w:hAnsi="宋体"/>
              <w:szCs w:val="21"/>
            </w:rPr>
          </w:pPr>
          <w:r w:rsidRPr="008E7679">
            <w:rPr>
              <w:rFonts w:ascii="宋体" w:hAnsi="宋体" w:hint="eastAsia"/>
              <w:szCs w:val="21"/>
            </w:rPr>
            <w:t>固定资产情况</w:t>
          </w:r>
        </w:p>
        <w:sdt>
          <w:sdtPr>
            <w:alias w:val="是否适用：固定资产情况[双击切换]"/>
            <w:tag w:val="_GBC_dea1f620aab74d63b1372d831b5b450f"/>
            <w:id w:val="949123011"/>
            <w:lock w:val="sdtContentLocked"/>
            <w:placeholder>
              <w:docPart w:val="GBC22222222222222222222222222222"/>
            </w:placeholder>
          </w:sdtPr>
          <w:sdtContent>
            <w:p w:rsidR="00ED2DC7" w:rsidRDefault="00ED2DC7">
              <w:r>
                <w:fldChar w:fldCharType="begin"/>
              </w:r>
              <w:r w:rsidR="005451E3">
                <w:instrText xml:space="preserve"> MACROBUTTON  SnrToggleCheckbox √适用 </w:instrText>
              </w:r>
              <w:r>
                <w:fldChar w:fldCharType="end"/>
              </w:r>
              <w:r>
                <w:fldChar w:fldCharType="begin"/>
              </w:r>
              <w:r w:rsidR="005451E3">
                <w:instrText xml:space="preserve"> MACROBUTTON  SnrToggleCheckbox □不适用 </w:instrText>
              </w:r>
              <w:r>
                <w:fldChar w:fldCharType="end"/>
              </w:r>
            </w:p>
          </w:sdtContent>
        </w:sdt>
        <w:p w:rsidR="00ED2DC7" w:rsidRDefault="00ED2DC7">
          <w:pPr>
            <w:autoSpaceDE w:val="0"/>
            <w:autoSpaceDN w:val="0"/>
            <w:adjustRightInd w:val="0"/>
            <w:jc w:val="right"/>
            <w:rPr>
              <w:szCs w:val="21"/>
            </w:rPr>
          </w:pPr>
          <w:r>
            <w:rPr>
              <w:rFonts w:hint="eastAsia"/>
              <w:szCs w:val="21"/>
            </w:rPr>
            <w:t>单位：</w:t>
          </w:r>
          <w:sdt>
            <w:sdtPr>
              <w:rPr>
                <w:rFonts w:hint="eastAsia"/>
                <w:szCs w:val="21"/>
              </w:rPr>
              <w:alias w:val="单位：财务附注：固定资产情况"/>
              <w:tag w:val="_GBC_563afa3e91c048118558af0713b1a1af"/>
              <w:id w:val="-71435718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hint="eastAsia"/>
                  <w:szCs w:val="21"/>
                </w:rPr>
                <w:t>元</w:t>
              </w:r>
            </w:sdtContent>
          </w:sdt>
          <w:r>
            <w:rPr>
              <w:rFonts w:hint="eastAsia"/>
              <w:szCs w:val="21"/>
            </w:rPr>
            <w:t xml:space="preserve">  币种：</w:t>
          </w:r>
          <w:sdt>
            <w:sdtPr>
              <w:rPr>
                <w:rFonts w:hint="eastAsia"/>
                <w:szCs w:val="21"/>
              </w:rPr>
              <w:alias w:val="币种：财务附注：固定资产情况"/>
              <w:tag w:val="_GBC_c5ecae448dd948eca54add973afbe77b"/>
              <w:id w:val="-2342479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szCs w:val="21"/>
                </w:rPr>
                <w:t>人民币</w:t>
              </w:r>
            </w:sdtContent>
          </w:sdt>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256"/>
            <w:gridCol w:w="1425"/>
            <w:gridCol w:w="1238"/>
            <w:gridCol w:w="1239"/>
            <w:gridCol w:w="1240"/>
            <w:gridCol w:w="1425"/>
          </w:tblGrid>
          <w:tr w:rsidR="00B637B2" w:rsidTr="00B637B2">
            <w:sdt>
              <w:sdtPr>
                <w:tag w:val="_PLD_1741958de41447b7ac4cbd15ce893c6c"/>
                <w:id w:val="1102681991"/>
                <w:lock w:val="sdtLocked"/>
              </w:sdtPr>
              <w:sdtContent>
                <w:tc>
                  <w:tcPr>
                    <w:tcW w:w="1298" w:type="pct"/>
                    <w:shd w:val="clear" w:color="auto" w:fill="auto"/>
                    <w:vAlign w:val="center"/>
                  </w:tcPr>
                  <w:p w:rsidR="00B637B2" w:rsidRDefault="008F04CF" w:rsidP="00B637B2">
                    <w:pPr>
                      <w:jc w:val="center"/>
                    </w:pPr>
                    <w:r>
                      <w:rPr>
                        <w:rFonts w:hint="eastAsia"/>
                      </w:rPr>
                      <w:t>项目</w:t>
                    </w:r>
                  </w:p>
                </w:tc>
              </w:sdtContent>
            </w:sdt>
            <w:sdt>
              <w:sdtPr>
                <w:rPr>
                  <w:rFonts w:hint="eastAsia"/>
                </w:rPr>
                <w:alias w:val="固定资产情况明细-项目名称"/>
                <w:tag w:val="_GBC_936a8499167f477aab1a2942b2fdbdaf"/>
                <w:id w:val="2045869233"/>
                <w:lock w:val="sdtLocked"/>
                <w:text/>
              </w:sdtPr>
              <w:sdtContent>
                <w:tc>
                  <w:tcPr>
                    <w:tcW w:w="720" w:type="pct"/>
                    <w:shd w:val="clear" w:color="auto" w:fill="auto"/>
                    <w:vAlign w:val="center"/>
                  </w:tcPr>
                  <w:p w:rsidR="00B637B2" w:rsidRDefault="008F04CF" w:rsidP="00B637B2">
                    <w:pPr>
                      <w:jc w:val="center"/>
                    </w:pPr>
                    <w:r>
                      <w:rPr>
                        <w:rFonts w:hint="eastAsia"/>
                      </w:rPr>
                      <w:t>房屋及建筑物</w:t>
                    </w:r>
                  </w:p>
                </w:tc>
              </w:sdtContent>
            </w:sdt>
            <w:sdt>
              <w:sdtPr>
                <w:rPr>
                  <w:rFonts w:hint="eastAsia"/>
                </w:rPr>
                <w:alias w:val="固定资产情况明细-项目名称"/>
                <w:tag w:val="_GBC_936a8499167f477aab1a2942b2fdbdaf"/>
                <w:id w:val="-408146201"/>
                <w:lock w:val="sdtLocked"/>
                <w:text/>
              </w:sdtPr>
              <w:sdtContent>
                <w:tc>
                  <w:tcPr>
                    <w:tcW w:w="721" w:type="pct"/>
                    <w:shd w:val="clear" w:color="auto" w:fill="auto"/>
                    <w:vAlign w:val="center"/>
                  </w:tcPr>
                  <w:p w:rsidR="00B637B2" w:rsidRDefault="008F04CF" w:rsidP="00B637B2">
                    <w:pPr>
                      <w:jc w:val="center"/>
                    </w:pPr>
                    <w:r>
                      <w:rPr>
                        <w:rFonts w:hint="eastAsia"/>
                      </w:rPr>
                      <w:t>机器设备</w:t>
                    </w:r>
                  </w:p>
                </w:tc>
              </w:sdtContent>
            </w:sdt>
            <w:sdt>
              <w:sdtPr>
                <w:rPr>
                  <w:rFonts w:hint="eastAsia"/>
                </w:rPr>
                <w:alias w:val="固定资产情况明细-项目名称"/>
                <w:tag w:val="_GBC_936a8499167f477aab1a2942b2fdbdaf"/>
                <w:id w:val="-1706162100"/>
                <w:lock w:val="sdtLocked"/>
                <w:text/>
              </w:sdtPr>
              <w:sdtContent>
                <w:tc>
                  <w:tcPr>
                    <w:tcW w:w="721" w:type="pct"/>
                    <w:shd w:val="clear" w:color="auto" w:fill="auto"/>
                    <w:vAlign w:val="center"/>
                  </w:tcPr>
                  <w:p w:rsidR="00B637B2" w:rsidRDefault="008F04CF" w:rsidP="00B637B2">
                    <w:pPr>
                      <w:jc w:val="center"/>
                    </w:pPr>
                    <w:r>
                      <w:rPr>
                        <w:rFonts w:hint="eastAsia"/>
                      </w:rPr>
                      <w:t>运输工具</w:t>
                    </w:r>
                  </w:p>
                </w:tc>
              </w:sdtContent>
            </w:sdt>
            <w:sdt>
              <w:sdtPr>
                <w:rPr>
                  <w:rFonts w:hint="eastAsia"/>
                </w:rPr>
                <w:alias w:val="固定资产情况明细-项目名称"/>
                <w:tag w:val="_GBC_936a8499167f477aab1a2942b2fdbdaf"/>
                <w:id w:val="-1862656199"/>
                <w:lock w:val="sdtLocked"/>
                <w:text/>
              </w:sdtPr>
              <w:sdtContent>
                <w:tc>
                  <w:tcPr>
                    <w:tcW w:w="721" w:type="pct"/>
                    <w:shd w:val="clear" w:color="auto" w:fill="auto"/>
                    <w:vAlign w:val="center"/>
                  </w:tcPr>
                  <w:p w:rsidR="00B637B2" w:rsidRDefault="008F04CF" w:rsidP="00B637B2">
                    <w:pPr>
                      <w:jc w:val="center"/>
                    </w:pPr>
                    <w:r>
                      <w:rPr>
                        <w:rFonts w:hint="eastAsia"/>
                      </w:rPr>
                      <w:t>其他设备</w:t>
                    </w:r>
                  </w:p>
                </w:tc>
              </w:sdtContent>
            </w:sdt>
            <w:sdt>
              <w:sdtPr>
                <w:tag w:val="_PLD_0b635f975b4949dbb798f88c3dcf1d8d"/>
                <w:id w:val="702828887"/>
                <w:lock w:val="sdtLocked"/>
              </w:sdtPr>
              <w:sdtContent>
                <w:tc>
                  <w:tcPr>
                    <w:tcW w:w="819" w:type="pct"/>
                    <w:shd w:val="clear" w:color="auto" w:fill="auto"/>
                    <w:vAlign w:val="center"/>
                  </w:tcPr>
                  <w:p w:rsidR="00B637B2" w:rsidRDefault="008F04CF" w:rsidP="00B637B2">
                    <w:pPr>
                      <w:jc w:val="center"/>
                    </w:pPr>
                    <w:r>
                      <w:rPr>
                        <w:rFonts w:hint="eastAsia"/>
                      </w:rPr>
                      <w:t>合计</w:t>
                    </w:r>
                  </w:p>
                </w:tc>
              </w:sdtContent>
            </w:sdt>
          </w:tr>
          <w:tr w:rsidR="00B637B2" w:rsidTr="00B637B2">
            <w:sdt>
              <w:sdtPr>
                <w:tag w:val="_PLD_e1d4e79d72fd45cc925f8729ecef795c"/>
                <w:id w:val="-764155953"/>
                <w:lock w:val="sdtLocked"/>
              </w:sdtPr>
              <w:sdtContent>
                <w:tc>
                  <w:tcPr>
                    <w:tcW w:w="1298" w:type="pct"/>
                    <w:shd w:val="clear" w:color="auto" w:fill="auto"/>
                  </w:tcPr>
                  <w:p w:rsidR="00B637B2" w:rsidRDefault="008F04CF" w:rsidP="00B637B2">
                    <w:r>
                      <w:rPr>
                        <w:rFonts w:hint="eastAsia"/>
                      </w:rPr>
                      <w:t>一、账面原值：</w:t>
                    </w:r>
                  </w:p>
                </w:tc>
              </w:sdtContent>
            </w:sdt>
            <w:tc>
              <w:tcPr>
                <w:tcW w:w="720" w:type="pct"/>
                <w:shd w:val="clear" w:color="auto" w:fill="auto"/>
                <w:vAlign w:val="center"/>
              </w:tcPr>
              <w:p w:rsidR="00B637B2" w:rsidRDefault="00B637B2" w:rsidP="00B637B2">
                <w:pPr>
                  <w:jc w:val="center"/>
                </w:pPr>
              </w:p>
            </w:tc>
            <w:tc>
              <w:tcPr>
                <w:tcW w:w="721" w:type="pct"/>
                <w:shd w:val="clear" w:color="auto" w:fill="auto"/>
                <w:vAlign w:val="center"/>
              </w:tcPr>
              <w:p w:rsidR="00B637B2" w:rsidRDefault="00B637B2" w:rsidP="00B637B2">
                <w:pPr>
                  <w:jc w:val="center"/>
                </w:pPr>
              </w:p>
            </w:tc>
            <w:tc>
              <w:tcPr>
                <w:tcW w:w="721" w:type="pct"/>
                <w:shd w:val="clear" w:color="auto" w:fill="auto"/>
                <w:vAlign w:val="center"/>
              </w:tcPr>
              <w:p w:rsidR="00B637B2" w:rsidRDefault="00B637B2" w:rsidP="00B637B2">
                <w:pPr>
                  <w:jc w:val="center"/>
                </w:pPr>
              </w:p>
            </w:tc>
            <w:tc>
              <w:tcPr>
                <w:tcW w:w="721" w:type="pct"/>
                <w:shd w:val="clear" w:color="auto" w:fill="auto"/>
                <w:vAlign w:val="center"/>
              </w:tcPr>
              <w:p w:rsidR="00B637B2" w:rsidRDefault="00B637B2" w:rsidP="00B637B2">
                <w:pPr>
                  <w:jc w:val="center"/>
                </w:pPr>
              </w:p>
            </w:tc>
            <w:tc>
              <w:tcPr>
                <w:tcW w:w="819" w:type="pct"/>
                <w:shd w:val="clear" w:color="auto" w:fill="auto"/>
                <w:vAlign w:val="center"/>
              </w:tcPr>
              <w:p w:rsidR="00B637B2" w:rsidRDefault="00B637B2" w:rsidP="00B637B2">
                <w:pPr>
                  <w:jc w:val="center"/>
                </w:pPr>
              </w:p>
            </w:tc>
          </w:tr>
          <w:tr w:rsidR="00B637B2" w:rsidTr="00B637B2">
            <w:sdt>
              <w:sdtPr>
                <w:tag w:val="_PLD_76089fd0a4a0479c8c1f36c514cb7ecd"/>
                <w:id w:val="1403633540"/>
                <w:lock w:val="sdtLocked"/>
              </w:sdtPr>
              <w:sdtContent>
                <w:tc>
                  <w:tcPr>
                    <w:tcW w:w="1298" w:type="pct"/>
                    <w:shd w:val="clear" w:color="auto" w:fill="auto"/>
                  </w:tcPr>
                  <w:p w:rsidR="00B637B2" w:rsidRDefault="008F04CF" w:rsidP="00B637B2">
                    <w:pPr>
                      <w:ind w:firstLineChars="200" w:firstLine="420"/>
                    </w:pPr>
                    <w:r>
                      <w:t>1.</w:t>
                    </w:r>
                    <w:r>
                      <w:rPr>
                        <w:rFonts w:hint="eastAsia"/>
                      </w:rPr>
                      <w:t>期初余额</w:t>
                    </w:r>
                  </w:p>
                </w:tc>
              </w:sdtContent>
            </w:sdt>
            <w:tc>
              <w:tcPr>
                <w:tcW w:w="720" w:type="pct"/>
                <w:shd w:val="clear" w:color="auto" w:fill="auto"/>
              </w:tcPr>
              <w:p w:rsidR="00B637B2" w:rsidRPr="00593B33" w:rsidRDefault="008F04CF" w:rsidP="00B637B2">
                <w:r w:rsidRPr="00593B33">
                  <w:t>2,166,332,759</w:t>
                </w:r>
              </w:p>
            </w:tc>
            <w:tc>
              <w:tcPr>
                <w:tcW w:w="721" w:type="pct"/>
                <w:shd w:val="clear" w:color="auto" w:fill="auto"/>
              </w:tcPr>
              <w:p w:rsidR="00B637B2" w:rsidRPr="00593B33" w:rsidRDefault="008F04CF" w:rsidP="00B637B2">
                <w:r w:rsidRPr="00BA43DC">
                  <w:t>169,371,906</w:t>
                </w:r>
              </w:p>
            </w:tc>
            <w:tc>
              <w:tcPr>
                <w:tcW w:w="721" w:type="pct"/>
                <w:shd w:val="clear" w:color="auto" w:fill="auto"/>
              </w:tcPr>
              <w:p w:rsidR="00B637B2" w:rsidRPr="00593B33" w:rsidRDefault="008F04CF" w:rsidP="00B637B2">
                <w:r w:rsidRPr="00BA43DC">
                  <w:t>45,248,457</w:t>
                </w:r>
              </w:p>
            </w:tc>
            <w:tc>
              <w:tcPr>
                <w:tcW w:w="721" w:type="pct"/>
                <w:shd w:val="clear" w:color="auto" w:fill="auto"/>
              </w:tcPr>
              <w:p w:rsidR="00B637B2" w:rsidRPr="00593B33" w:rsidRDefault="008F04CF" w:rsidP="00B637B2">
                <w:r w:rsidRPr="00BA43DC">
                  <w:t>324,175,557</w:t>
                </w:r>
              </w:p>
            </w:tc>
            <w:tc>
              <w:tcPr>
                <w:tcW w:w="819" w:type="pct"/>
                <w:shd w:val="clear" w:color="auto" w:fill="auto"/>
              </w:tcPr>
              <w:p w:rsidR="00B637B2" w:rsidRPr="00593B33" w:rsidRDefault="008F04CF" w:rsidP="00B637B2">
                <w:r w:rsidRPr="00BA43DC">
                  <w:t xml:space="preserve">2,705,128,679 </w:t>
                </w:r>
                <w:r w:rsidRPr="00BA43DC">
                  <w:tab/>
                </w:r>
              </w:p>
            </w:tc>
          </w:tr>
          <w:tr w:rsidR="00B637B2" w:rsidTr="00B637B2">
            <w:sdt>
              <w:sdtPr>
                <w:tag w:val="_PLD_ee436c0e086043f0a5f400c99fbf0df9"/>
                <w:id w:val="-1834666697"/>
                <w:lock w:val="sdtLocked"/>
              </w:sdtPr>
              <w:sdtContent>
                <w:tc>
                  <w:tcPr>
                    <w:tcW w:w="1298" w:type="pct"/>
                    <w:shd w:val="clear" w:color="auto" w:fill="auto"/>
                  </w:tcPr>
                  <w:p w:rsidR="00B637B2" w:rsidRDefault="008F04CF" w:rsidP="00B637B2">
                    <w:pPr>
                      <w:ind w:firstLineChars="200" w:firstLine="420"/>
                    </w:pPr>
                    <w:r>
                      <w:t>2.</w:t>
                    </w:r>
                    <w:r>
                      <w:rPr>
                        <w:rFonts w:hint="eastAsia"/>
                      </w:rPr>
                      <w:t>本期增加金额</w:t>
                    </w:r>
                  </w:p>
                </w:tc>
              </w:sdtContent>
            </w:sdt>
            <w:tc>
              <w:tcPr>
                <w:tcW w:w="720" w:type="pct"/>
                <w:shd w:val="clear" w:color="auto" w:fill="auto"/>
                <w:vAlign w:val="center"/>
              </w:tcPr>
              <w:p w:rsidR="00B637B2" w:rsidRDefault="008F04CF" w:rsidP="00B637B2">
                <w:pPr>
                  <w:jc w:val="right"/>
                </w:pPr>
                <w:r>
                  <w:t>638,105,577</w:t>
                </w:r>
              </w:p>
            </w:tc>
            <w:tc>
              <w:tcPr>
                <w:tcW w:w="721" w:type="pct"/>
                <w:shd w:val="clear" w:color="auto" w:fill="auto"/>
                <w:vAlign w:val="center"/>
              </w:tcPr>
              <w:p w:rsidR="00B637B2" w:rsidRDefault="008F04CF" w:rsidP="00B637B2">
                <w:pPr>
                  <w:jc w:val="right"/>
                </w:pPr>
                <w:r>
                  <w:t>4,323,610</w:t>
                </w:r>
              </w:p>
            </w:tc>
            <w:tc>
              <w:tcPr>
                <w:tcW w:w="721" w:type="pct"/>
                <w:shd w:val="clear" w:color="auto" w:fill="auto"/>
                <w:vAlign w:val="center"/>
              </w:tcPr>
              <w:p w:rsidR="00B637B2" w:rsidRDefault="008F04CF" w:rsidP="00B637B2">
                <w:pPr>
                  <w:jc w:val="right"/>
                </w:pPr>
                <w:r>
                  <w:t>1,078,616</w:t>
                </w:r>
              </w:p>
            </w:tc>
            <w:tc>
              <w:tcPr>
                <w:tcW w:w="721" w:type="pct"/>
                <w:shd w:val="clear" w:color="auto" w:fill="auto"/>
                <w:vAlign w:val="center"/>
              </w:tcPr>
              <w:p w:rsidR="00B637B2" w:rsidRDefault="008F04CF" w:rsidP="00B637B2">
                <w:pPr>
                  <w:jc w:val="right"/>
                </w:pPr>
                <w:r>
                  <w:t>11,395,643</w:t>
                </w:r>
              </w:p>
            </w:tc>
            <w:tc>
              <w:tcPr>
                <w:tcW w:w="819" w:type="pct"/>
                <w:shd w:val="clear" w:color="auto" w:fill="auto"/>
                <w:vAlign w:val="center"/>
              </w:tcPr>
              <w:p w:rsidR="00B637B2" w:rsidRDefault="008F04CF" w:rsidP="00B637B2">
                <w:pPr>
                  <w:jc w:val="right"/>
                </w:pPr>
                <w:r>
                  <w:t>654,903,446</w:t>
                </w:r>
              </w:p>
            </w:tc>
          </w:tr>
          <w:tr w:rsidR="00B637B2" w:rsidTr="00B637B2">
            <w:sdt>
              <w:sdtPr>
                <w:tag w:val="_PLD_52f208e0e9cd4154b48b25225e9d4e33"/>
                <w:id w:val="-1061941461"/>
                <w:lock w:val="sdtLocked"/>
              </w:sdtPr>
              <w:sdtContent>
                <w:tc>
                  <w:tcPr>
                    <w:tcW w:w="1298" w:type="pct"/>
                    <w:shd w:val="clear" w:color="auto" w:fill="auto"/>
                  </w:tcPr>
                  <w:p w:rsidR="00B637B2" w:rsidRDefault="008F04CF" w:rsidP="00B637B2">
                    <w:pPr>
                      <w:ind w:firstLineChars="300" w:firstLine="630"/>
                    </w:pPr>
                    <w:r>
                      <w:rPr>
                        <w:rFonts w:hint="eastAsia"/>
                      </w:rPr>
                      <w:t>（1）购置</w:t>
                    </w:r>
                  </w:p>
                </w:tc>
              </w:sdtContent>
            </w:sdt>
            <w:tc>
              <w:tcPr>
                <w:tcW w:w="720" w:type="pct"/>
                <w:shd w:val="clear" w:color="auto" w:fill="auto"/>
                <w:vAlign w:val="center"/>
              </w:tcPr>
              <w:p w:rsidR="00B637B2" w:rsidRDefault="008F04CF" w:rsidP="00B637B2">
                <w:pPr>
                  <w:jc w:val="right"/>
                </w:pPr>
                <w:r>
                  <w:t>-</w:t>
                </w:r>
              </w:p>
            </w:tc>
            <w:tc>
              <w:tcPr>
                <w:tcW w:w="721" w:type="pct"/>
                <w:shd w:val="clear" w:color="auto" w:fill="auto"/>
                <w:vAlign w:val="center"/>
              </w:tcPr>
              <w:p w:rsidR="00B637B2" w:rsidRDefault="008F04CF" w:rsidP="00B637B2">
                <w:pPr>
                  <w:jc w:val="right"/>
                </w:pPr>
                <w:r>
                  <w:t>4,323,610</w:t>
                </w:r>
              </w:p>
            </w:tc>
            <w:tc>
              <w:tcPr>
                <w:tcW w:w="721" w:type="pct"/>
                <w:shd w:val="clear" w:color="auto" w:fill="auto"/>
                <w:vAlign w:val="center"/>
              </w:tcPr>
              <w:p w:rsidR="00B637B2" w:rsidRDefault="008F04CF" w:rsidP="00B637B2">
                <w:pPr>
                  <w:jc w:val="right"/>
                </w:pPr>
                <w:r>
                  <w:t>1,078,616</w:t>
                </w:r>
              </w:p>
            </w:tc>
            <w:tc>
              <w:tcPr>
                <w:tcW w:w="721" w:type="pct"/>
                <w:shd w:val="clear" w:color="auto" w:fill="auto"/>
                <w:vAlign w:val="center"/>
              </w:tcPr>
              <w:p w:rsidR="00B637B2" w:rsidRDefault="008F04CF" w:rsidP="00B637B2">
                <w:pPr>
                  <w:jc w:val="right"/>
                </w:pPr>
                <w:r>
                  <w:t>11,395,643</w:t>
                </w:r>
              </w:p>
            </w:tc>
            <w:tc>
              <w:tcPr>
                <w:tcW w:w="819" w:type="pct"/>
                <w:shd w:val="clear" w:color="auto" w:fill="auto"/>
                <w:vAlign w:val="center"/>
              </w:tcPr>
              <w:p w:rsidR="00B637B2" w:rsidRDefault="008F04CF" w:rsidP="00B637B2">
                <w:pPr>
                  <w:jc w:val="right"/>
                </w:pPr>
                <w:r w:rsidRPr="008E7679">
                  <w:t>16,797,869</w:t>
                </w:r>
              </w:p>
            </w:tc>
          </w:tr>
          <w:tr w:rsidR="00B637B2" w:rsidTr="00B637B2">
            <w:sdt>
              <w:sdtPr>
                <w:tag w:val="_PLD_c449c35eb24a41ae87b7fabcc7ac49f2"/>
                <w:id w:val="908191867"/>
                <w:lock w:val="sdtLocked"/>
              </w:sdtPr>
              <w:sdtContent>
                <w:tc>
                  <w:tcPr>
                    <w:tcW w:w="1298" w:type="pct"/>
                    <w:shd w:val="clear" w:color="auto" w:fill="auto"/>
                  </w:tcPr>
                  <w:p w:rsidR="00B637B2" w:rsidRDefault="008F04CF" w:rsidP="00B637B2">
                    <w:pPr>
                      <w:ind w:firstLineChars="300" w:firstLine="630"/>
                    </w:pPr>
                    <w:r>
                      <w:rPr>
                        <w:rFonts w:hint="eastAsia"/>
                      </w:rPr>
                      <w:t>（2）在建工程转入</w:t>
                    </w:r>
                  </w:p>
                </w:tc>
              </w:sdtContent>
            </w:sdt>
            <w:tc>
              <w:tcPr>
                <w:tcW w:w="720" w:type="pct"/>
                <w:shd w:val="clear" w:color="auto" w:fill="auto"/>
                <w:vAlign w:val="center"/>
              </w:tcPr>
              <w:p w:rsidR="00B637B2" w:rsidRDefault="008F04CF" w:rsidP="00B637B2">
                <w:pPr>
                  <w:jc w:val="right"/>
                </w:pPr>
                <w:r w:rsidRPr="00A16BE0">
                  <w:t>638,105,577</w:t>
                </w:r>
              </w:p>
            </w:tc>
            <w:tc>
              <w:tcPr>
                <w:tcW w:w="721" w:type="pct"/>
                <w:shd w:val="clear" w:color="auto" w:fill="auto"/>
                <w:vAlign w:val="center"/>
              </w:tcPr>
              <w:p w:rsidR="00B637B2" w:rsidRDefault="008F04CF" w:rsidP="00B637B2">
                <w:pPr>
                  <w:jc w:val="right"/>
                </w:pPr>
                <w:r>
                  <w:rPr>
                    <w:rFonts w:hint="eastAsia"/>
                  </w:rPr>
                  <w:t>-</w:t>
                </w:r>
              </w:p>
            </w:tc>
            <w:tc>
              <w:tcPr>
                <w:tcW w:w="721" w:type="pct"/>
                <w:shd w:val="clear" w:color="auto" w:fill="auto"/>
                <w:vAlign w:val="center"/>
              </w:tcPr>
              <w:p w:rsidR="00B637B2" w:rsidRDefault="008F04CF" w:rsidP="00B637B2">
                <w:pPr>
                  <w:jc w:val="right"/>
                </w:pPr>
                <w:r>
                  <w:rPr>
                    <w:rFonts w:hint="eastAsia"/>
                  </w:rPr>
                  <w:t>-</w:t>
                </w:r>
              </w:p>
            </w:tc>
            <w:tc>
              <w:tcPr>
                <w:tcW w:w="721" w:type="pct"/>
                <w:shd w:val="clear" w:color="auto" w:fill="auto"/>
                <w:vAlign w:val="center"/>
              </w:tcPr>
              <w:p w:rsidR="00B637B2" w:rsidRDefault="008F04CF" w:rsidP="00B637B2">
                <w:pPr>
                  <w:jc w:val="right"/>
                </w:pPr>
                <w:r>
                  <w:rPr>
                    <w:rFonts w:hint="eastAsia"/>
                  </w:rPr>
                  <w:t>-</w:t>
                </w:r>
              </w:p>
            </w:tc>
            <w:tc>
              <w:tcPr>
                <w:tcW w:w="819" w:type="pct"/>
                <w:shd w:val="clear" w:color="auto" w:fill="auto"/>
                <w:vAlign w:val="center"/>
              </w:tcPr>
              <w:p w:rsidR="00B637B2" w:rsidRDefault="008F04CF" w:rsidP="00B637B2">
                <w:pPr>
                  <w:jc w:val="right"/>
                </w:pPr>
                <w:r w:rsidRPr="00A16BE0">
                  <w:t>638,105,577</w:t>
                </w:r>
              </w:p>
            </w:tc>
          </w:tr>
          <w:tr w:rsidR="00B637B2" w:rsidTr="00B637B2">
            <w:sdt>
              <w:sdtPr>
                <w:tag w:val="_PLD_1c36f9524fa147baa9fa4bde2c6a8612"/>
                <w:id w:val="543410304"/>
                <w:lock w:val="sdtLocked"/>
              </w:sdtPr>
              <w:sdtContent>
                <w:tc>
                  <w:tcPr>
                    <w:tcW w:w="1298" w:type="pct"/>
                    <w:shd w:val="clear" w:color="auto" w:fill="auto"/>
                  </w:tcPr>
                  <w:p w:rsidR="00B637B2" w:rsidRDefault="008F04CF" w:rsidP="00B637B2">
                    <w:pPr>
                      <w:ind w:firstLineChars="300" w:firstLine="630"/>
                    </w:pPr>
                    <w:r>
                      <w:rPr>
                        <w:rFonts w:hint="eastAsia"/>
                      </w:rPr>
                      <w:t>（3）</w:t>
                    </w:r>
                    <w:r>
                      <w:rPr>
                        <w:rFonts w:cs="Arial" w:hint="eastAsia"/>
                        <w:snapToGrid w:val="0"/>
                      </w:rPr>
                      <w:t>企业合并增加</w:t>
                    </w:r>
                  </w:p>
                </w:tc>
              </w:sdtContent>
            </w:sdt>
            <w:tc>
              <w:tcPr>
                <w:tcW w:w="720" w:type="pct"/>
                <w:shd w:val="clear" w:color="auto" w:fill="auto"/>
                <w:vAlign w:val="center"/>
              </w:tcPr>
              <w:p w:rsidR="00B637B2" w:rsidRDefault="00B637B2" w:rsidP="00B637B2">
                <w:pPr>
                  <w:jc w:val="right"/>
                </w:pPr>
              </w:p>
            </w:tc>
            <w:tc>
              <w:tcPr>
                <w:tcW w:w="721" w:type="pct"/>
                <w:shd w:val="clear" w:color="auto" w:fill="auto"/>
                <w:vAlign w:val="center"/>
              </w:tcPr>
              <w:p w:rsidR="00B637B2" w:rsidRDefault="00B637B2" w:rsidP="00B637B2">
                <w:pPr>
                  <w:jc w:val="right"/>
                </w:pPr>
              </w:p>
            </w:tc>
            <w:tc>
              <w:tcPr>
                <w:tcW w:w="721" w:type="pct"/>
                <w:shd w:val="clear" w:color="auto" w:fill="auto"/>
                <w:vAlign w:val="center"/>
              </w:tcPr>
              <w:p w:rsidR="00B637B2" w:rsidRDefault="008F04CF" w:rsidP="00B637B2">
                <w:pPr>
                  <w:jc w:val="right"/>
                </w:pPr>
                <w:r w:rsidRPr="00A16BE0">
                  <w:t xml:space="preserve">  </w:t>
                </w:r>
              </w:p>
            </w:tc>
            <w:tc>
              <w:tcPr>
                <w:tcW w:w="721" w:type="pct"/>
                <w:shd w:val="clear" w:color="auto" w:fill="auto"/>
                <w:vAlign w:val="center"/>
              </w:tcPr>
              <w:p w:rsidR="00B637B2" w:rsidRDefault="00B637B2" w:rsidP="00B637B2">
                <w:pPr>
                  <w:jc w:val="right"/>
                </w:pPr>
              </w:p>
            </w:tc>
            <w:tc>
              <w:tcPr>
                <w:tcW w:w="819" w:type="pct"/>
                <w:shd w:val="clear" w:color="auto" w:fill="auto"/>
                <w:vAlign w:val="center"/>
              </w:tcPr>
              <w:p w:rsidR="00B637B2" w:rsidRDefault="00B637B2" w:rsidP="00B637B2">
                <w:pPr>
                  <w:jc w:val="right"/>
                </w:pPr>
              </w:p>
            </w:tc>
          </w:tr>
          <w:tr w:rsidR="00B637B2" w:rsidTr="00B637B2">
            <w:sdt>
              <w:sdtPr>
                <w:alias w:val="固定资产账面原值增加项目名称"/>
                <w:tag w:val="_GBC_4d32d042060b4c8aa7f965b96f5580a8"/>
                <w:id w:val="1046953309"/>
                <w:lock w:val="sdtLocked"/>
                <w:showingPlcHdr/>
              </w:sdtPr>
              <w:sdtContent>
                <w:tc>
                  <w:tcPr>
                    <w:tcW w:w="1298" w:type="pct"/>
                    <w:shd w:val="clear" w:color="auto" w:fill="auto"/>
                  </w:tcPr>
                  <w:p w:rsidR="00B637B2" w:rsidRDefault="008F04CF" w:rsidP="00B637B2">
                    <w:pPr>
                      <w:ind w:firstLineChars="300" w:firstLine="630"/>
                    </w:pPr>
                    <w:r>
                      <w:rPr>
                        <w:rFonts w:hint="eastAsia"/>
                      </w:rPr>
                      <w:t xml:space="preserve">　</w:t>
                    </w:r>
                  </w:p>
                </w:tc>
              </w:sdtContent>
            </w:sdt>
            <w:sdt>
              <w:sdtPr>
                <w:alias w:val="固定资产账面原值增加项目金额"/>
                <w:tag w:val="_GBC_c2ca665b86c0425dba69c4867b84d3f4"/>
                <w:id w:val="1940407791"/>
                <w:lock w:val="sdtLocked"/>
                <w:showingPlcHdr/>
              </w:sdtPr>
              <w:sdtContent>
                <w:tc>
                  <w:tcPr>
                    <w:tcW w:w="720" w:type="pct"/>
                    <w:shd w:val="clear" w:color="auto" w:fill="auto"/>
                    <w:vAlign w:val="center"/>
                  </w:tcPr>
                  <w:p w:rsidR="00B637B2" w:rsidRDefault="008F04CF" w:rsidP="00B637B2">
                    <w:pPr>
                      <w:jc w:val="right"/>
                    </w:pPr>
                    <w:r>
                      <w:rPr>
                        <w:rFonts w:hint="eastAsia"/>
                      </w:rPr>
                      <w:t xml:space="preserve">　</w:t>
                    </w:r>
                  </w:p>
                </w:tc>
              </w:sdtContent>
            </w:sdt>
            <w:sdt>
              <w:sdtPr>
                <w:alias w:val="固定资产账面原值增加项目金额"/>
                <w:tag w:val="_GBC_c2ca665b86c0425dba69c4867b84d3f4"/>
                <w:id w:val="1000549777"/>
                <w:lock w:val="sdtLocked"/>
                <w:showingPlcHdr/>
              </w:sdtPr>
              <w:sdtContent>
                <w:tc>
                  <w:tcPr>
                    <w:tcW w:w="721" w:type="pct"/>
                    <w:shd w:val="clear" w:color="auto" w:fill="auto"/>
                    <w:vAlign w:val="center"/>
                  </w:tcPr>
                  <w:p w:rsidR="00B637B2" w:rsidRDefault="008F04CF" w:rsidP="00B637B2">
                    <w:pPr>
                      <w:jc w:val="right"/>
                    </w:pPr>
                    <w:r>
                      <w:rPr>
                        <w:rFonts w:hint="eastAsia"/>
                      </w:rPr>
                      <w:t xml:space="preserve">　</w:t>
                    </w:r>
                  </w:p>
                </w:tc>
              </w:sdtContent>
            </w:sdt>
            <w:sdt>
              <w:sdtPr>
                <w:alias w:val="固定资产账面原值增加项目金额"/>
                <w:tag w:val="_GBC_c2ca665b86c0425dba69c4867b84d3f4"/>
                <w:id w:val="1366867654"/>
                <w:lock w:val="sdtLocked"/>
                <w:showingPlcHdr/>
              </w:sdtPr>
              <w:sdtContent>
                <w:tc>
                  <w:tcPr>
                    <w:tcW w:w="721" w:type="pct"/>
                    <w:shd w:val="clear" w:color="auto" w:fill="auto"/>
                    <w:vAlign w:val="center"/>
                  </w:tcPr>
                  <w:p w:rsidR="00B637B2" w:rsidRDefault="008F04CF" w:rsidP="00B637B2">
                    <w:pPr>
                      <w:jc w:val="right"/>
                    </w:pPr>
                    <w:r>
                      <w:rPr>
                        <w:rFonts w:hint="eastAsia"/>
                      </w:rPr>
                      <w:t xml:space="preserve">　</w:t>
                    </w:r>
                  </w:p>
                </w:tc>
              </w:sdtContent>
            </w:sdt>
            <w:sdt>
              <w:sdtPr>
                <w:alias w:val="固定资产账面原值增加项目金额"/>
                <w:tag w:val="_GBC_c2ca665b86c0425dba69c4867b84d3f4"/>
                <w:id w:val="272138064"/>
                <w:lock w:val="sdtLocked"/>
                <w:showingPlcHdr/>
              </w:sdtPr>
              <w:sdtContent>
                <w:tc>
                  <w:tcPr>
                    <w:tcW w:w="721" w:type="pct"/>
                    <w:shd w:val="clear" w:color="auto" w:fill="auto"/>
                    <w:vAlign w:val="center"/>
                  </w:tcPr>
                  <w:p w:rsidR="00B637B2" w:rsidRDefault="008F04CF" w:rsidP="00B637B2">
                    <w:pPr>
                      <w:jc w:val="right"/>
                    </w:pPr>
                    <w:r>
                      <w:rPr>
                        <w:rFonts w:hint="eastAsia"/>
                      </w:rPr>
                      <w:t xml:space="preserve">　</w:t>
                    </w:r>
                  </w:p>
                </w:tc>
              </w:sdtContent>
            </w:sdt>
            <w:sdt>
              <w:sdtPr>
                <w:alias w:val="固定资产账面原值增加项目合计金额"/>
                <w:tag w:val="_GBC_001e75f32bd54007926becb1d5aa914d"/>
                <w:id w:val="-1885944534"/>
                <w:lock w:val="sdtLocked"/>
                <w:showingPlcHdr/>
              </w:sdtPr>
              <w:sdtContent>
                <w:tc>
                  <w:tcPr>
                    <w:tcW w:w="819" w:type="pct"/>
                    <w:shd w:val="clear" w:color="auto" w:fill="auto"/>
                    <w:vAlign w:val="center"/>
                  </w:tcPr>
                  <w:p w:rsidR="00B637B2" w:rsidRDefault="008F04CF" w:rsidP="00B637B2">
                    <w:pPr>
                      <w:jc w:val="right"/>
                    </w:pPr>
                    <w:r>
                      <w:rPr>
                        <w:rFonts w:hint="eastAsia"/>
                      </w:rPr>
                      <w:t xml:space="preserve">　</w:t>
                    </w:r>
                  </w:p>
                </w:tc>
              </w:sdtContent>
            </w:sdt>
          </w:tr>
          <w:tr w:rsidR="00B637B2" w:rsidTr="00B637B2">
            <w:sdt>
              <w:sdtPr>
                <w:alias w:val="固定资产账面原值增加项目名称"/>
                <w:tag w:val="_GBC_4d32d042060b4c8aa7f965b96f5580a8"/>
                <w:id w:val="1166666360"/>
                <w:lock w:val="sdtLocked"/>
                <w:showingPlcHdr/>
              </w:sdtPr>
              <w:sdtContent>
                <w:tc>
                  <w:tcPr>
                    <w:tcW w:w="1298" w:type="pct"/>
                    <w:shd w:val="clear" w:color="auto" w:fill="auto"/>
                  </w:tcPr>
                  <w:p w:rsidR="00B637B2" w:rsidRDefault="008F04CF" w:rsidP="00B637B2">
                    <w:pPr>
                      <w:ind w:firstLineChars="300" w:firstLine="630"/>
                    </w:pPr>
                    <w:r>
                      <w:rPr>
                        <w:rFonts w:hint="eastAsia"/>
                      </w:rPr>
                      <w:t xml:space="preserve">　</w:t>
                    </w:r>
                  </w:p>
                </w:tc>
              </w:sdtContent>
            </w:sdt>
            <w:sdt>
              <w:sdtPr>
                <w:alias w:val="固定资产账面原值增加项目金额"/>
                <w:tag w:val="_GBC_c2ca665b86c0425dba69c4867b84d3f4"/>
                <w:id w:val="1491142708"/>
                <w:lock w:val="sdtLocked"/>
                <w:showingPlcHdr/>
              </w:sdtPr>
              <w:sdtContent>
                <w:tc>
                  <w:tcPr>
                    <w:tcW w:w="720" w:type="pct"/>
                    <w:shd w:val="clear" w:color="auto" w:fill="auto"/>
                    <w:vAlign w:val="center"/>
                  </w:tcPr>
                  <w:p w:rsidR="00B637B2" w:rsidRDefault="008F04CF" w:rsidP="00B637B2">
                    <w:pPr>
                      <w:jc w:val="right"/>
                    </w:pPr>
                    <w:r>
                      <w:rPr>
                        <w:rFonts w:hint="eastAsia"/>
                      </w:rPr>
                      <w:t xml:space="preserve">　</w:t>
                    </w:r>
                  </w:p>
                </w:tc>
              </w:sdtContent>
            </w:sdt>
            <w:sdt>
              <w:sdtPr>
                <w:alias w:val="固定资产账面原值增加项目金额"/>
                <w:tag w:val="_GBC_c2ca665b86c0425dba69c4867b84d3f4"/>
                <w:id w:val="51817256"/>
                <w:lock w:val="sdtLocked"/>
                <w:showingPlcHdr/>
              </w:sdtPr>
              <w:sdtContent>
                <w:tc>
                  <w:tcPr>
                    <w:tcW w:w="721" w:type="pct"/>
                    <w:shd w:val="clear" w:color="auto" w:fill="auto"/>
                    <w:vAlign w:val="center"/>
                  </w:tcPr>
                  <w:p w:rsidR="00B637B2" w:rsidRDefault="00B637B2" w:rsidP="00B637B2">
                    <w:pPr>
                      <w:jc w:val="right"/>
                    </w:pPr>
                  </w:p>
                </w:tc>
              </w:sdtContent>
            </w:sdt>
            <w:sdt>
              <w:sdtPr>
                <w:alias w:val="固定资产账面原值增加项目金额"/>
                <w:tag w:val="_GBC_c2ca665b86c0425dba69c4867b84d3f4"/>
                <w:id w:val="2055887758"/>
                <w:lock w:val="sdtLocked"/>
                <w:showingPlcHdr/>
              </w:sdtPr>
              <w:sdtContent>
                <w:tc>
                  <w:tcPr>
                    <w:tcW w:w="721" w:type="pct"/>
                    <w:shd w:val="clear" w:color="auto" w:fill="auto"/>
                    <w:vAlign w:val="center"/>
                  </w:tcPr>
                  <w:p w:rsidR="00B637B2" w:rsidRDefault="00B637B2" w:rsidP="00B637B2">
                    <w:pPr>
                      <w:jc w:val="right"/>
                    </w:pPr>
                  </w:p>
                </w:tc>
              </w:sdtContent>
            </w:sdt>
            <w:sdt>
              <w:sdtPr>
                <w:alias w:val="固定资产账面原值增加项目金额"/>
                <w:tag w:val="_GBC_c2ca665b86c0425dba69c4867b84d3f4"/>
                <w:id w:val="-1630314207"/>
                <w:lock w:val="sdtLocked"/>
                <w:showingPlcHdr/>
              </w:sdtPr>
              <w:sdtContent>
                <w:tc>
                  <w:tcPr>
                    <w:tcW w:w="721" w:type="pct"/>
                    <w:shd w:val="clear" w:color="auto" w:fill="auto"/>
                    <w:vAlign w:val="center"/>
                  </w:tcPr>
                  <w:p w:rsidR="00B637B2" w:rsidRDefault="00B637B2" w:rsidP="00B637B2">
                    <w:pPr>
                      <w:jc w:val="right"/>
                    </w:pPr>
                  </w:p>
                </w:tc>
              </w:sdtContent>
            </w:sdt>
            <w:sdt>
              <w:sdtPr>
                <w:alias w:val="固定资产账面原值增加项目合计金额"/>
                <w:tag w:val="_GBC_001e75f32bd54007926becb1d5aa914d"/>
                <w:id w:val="-2146577810"/>
                <w:lock w:val="sdtLocked"/>
                <w:showingPlcHdr/>
              </w:sdtPr>
              <w:sdtContent>
                <w:tc>
                  <w:tcPr>
                    <w:tcW w:w="819" w:type="pct"/>
                    <w:shd w:val="clear" w:color="auto" w:fill="auto"/>
                    <w:vAlign w:val="center"/>
                  </w:tcPr>
                  <w:p w:rsidR="00B637B2" w:rsidRDefault="008F04CF" w:rsidP="00B637B2">
                    <w:pPr>
                      <w:jc w:val="right"/>
                    </w:pPr>
                    <w:r>
                      <w:rPr>
                        <w:rFonts w:hint="eastAsia"/>
                      </w:rPr>
                      <w:t xml:space="preserve">　</w:t>
                    </w:r>
                  </w:p>
                </w:tc>
              </w:sdtContent>
            </w:sdt>
          </w:tr>
          <w:tr w:rsidR="00B637B2" w:rsidTr="00B637B2">
            <w:sdt>
              <w:sdtPr>
                <w:tag w:val="_PLD_dfb162daa7694866a1c4e80fabb81d52"/>
                <w:id w:val="-2085668492"/>
                <w:lock w:val="sdtLocked"/>
              </w:sdtPr>
              <w:sdtContent>
                <w:tc>
                  <w:tcPr>
                    <w:tcW w:w="1298" w:type="pct"/>
                    <w:shd w:val="clear" w:color="auto" w:fill="auto"/>
                  </w:tcPr>
                  <w:p w:rsidR="00B637B2" w:rsidRDefault="008F04CF" w:rsidP="00B637B2">
                    <w:pPr>
                      <w:ind w:firstLineChars="250" w:firstLine="525"/>
                    </w:pPr>
                    <w:r>
                      <w:rPr>
                        <w:rFonts w:hint="eastAsia"/>
                      </w:rPr>
                      <w:t>3.本期减少金额</w:t>
                    </w:r>
                  </w:p>
                </w:tc>
              </w:sdtContent>
            </w:sdt>
            <w:tc>
              <w:tcPr>
                <w:tcW w:w="720" w:type="pct"/>
                <w:shd w:val="clear" w:color="auto" w:fill="auto"/>
                <w:vAlign w:val="center"/>
              </w:tcPr>
              <w:p w:rsidR="00B637B2" w:rsidRDefault="008F04CF" w:rsidP="00B637B2">
                <w:pPr>
                  <w:jc w:val="right"/>
                </w:pPr>
                <w:r>
                  <w:rPr>
                    <w:rFonts w:hint="eastAsia"/>
                  </w:rPr>
                  <w:t>-</w:t>
                </w:r>
              </w:p>
            </w:tc>
            <w:tc>
              <w:tcPr>
                <w:tcW w:w="721" w:type="pct"/>
                <w:shd w:val="clear" w:color="auto" w:fill="auto"/>
                <w:vAlign w:val="center"/>
              </w:tcPr>
              <w:p w:rsidR="00B637B2" w:rsidRDefault="008F04CF" w:rsidP="00B637B2">
                <w:pPr>
                  <w:jc w:val="right"/>
                </w:pPr>
                <w:r w:rsidRPr="001D5369">
                  <w:t>19,214</w:t>
                </w:r>
              </w:p>
            </w:tc>
            <w:tc>
              <w:tcPr>
                <w:tcW w:w="721" w:type="pct"/>
                <w:shd w:val="clear" w:color="auto" w:fill="auto"/>
                <w:vAlign w:val="center"/>
              </w:tcPr>
              <w:p w:rsidR="00B637B2" w:rsidRDefault="008F04CF" w:rsidP="00B637B2">
                <w:pPr>
                  <w:jc w:val="right"/>
                </w:pPr>
                <w:r w:rsidRPr="001D5369">
                  <w:t>3,872,663</w:t>
                </w:r>
              </w:p>
            </w:tc>
            <w:tc>
              <w:tcPr>
                <w:tcW w:w="721" w:type="pct"/>
                <w:shd w:val="clear" w:color="auto" w:fill="auto"/>
                <w:vAlign w:val="center"/>
              </w:tcPr>
              <w:p w:rsidR="00B637B2" w:rsidRDefault="008F04CF" w:rsidP="00B637B2">
                <w:pPr>
                  <w:jc w:val="right"/>
                </w:pPr>
                <w:r w:rsidRPr="001D5369">
                  <w:t>13,086,823</w:t>
                </w:r>
              </w:p>
            </w:tc>
            <w:tc>
              <w:tcPr>
                <w:tcW w:w="819" w:type="pct"/>
                <w:shd w:val="clear" w:color="auto" w:fill="auto"/>
                <w:vAlign w:val="center"/>
              </w:tcPr>
              <w:p w:rsidR="00B637B2" w:rsidRDefault="008F04CF" w:rsidP="00B637B2">
                <w:pPr>
                  <w:jc w:val="right"/>
                </w:pPr>
                <w:r w:rsidRPr="001D5369">
                  <w:t>16,978,700</w:t>
                </w:r>
              </w:p>
            </w:tc>
          </w:tr>
          <w:tr w:rsidR="00B637B2" w:rsidTr="00B637B2">
            <w:sdt>
              <w:sdtPr>
                <w:tag w:val="_PLD_fee37578c2514ed28988969e830aeae7"/>
                <w:id w:val="2034608574"/>
                <w:lock w:val="sdtLocked"/>
              </w:sdtPr>
              <w:sdtContent>
                <w:tc>
                  <w:tcPr>
                    <w:tcW w:w="1298" w:type="pct"/>
                    <w:shd w:val="clear" w:color="auto" w:fill="auto"/>
                  </w:tcPr>
                  <w:p w:rsidR="00B637B2" w:rsidRDefault="008F04CF" w:rsidP="00B637B2">
                    <w:pPr>
                      <w:ind w:firstLineChars="300" w:firstLine="630"/>
                    </w:pPr>
                    <w:r>
                      <w:rPr>
                        <w:rFonts w:hint="eastAsia"/>
                      </w:rPr>
                      <w:t>（1）处置或报废</w:t>
                    </w:r>
                  </w:p>
                </w:tc>
              </w:sdtContent>
            </w:sdt>
            <w:tc>
              <w:tcPr>
                <w:tcW w:w="720" w:type="pct"/>
                <w:shd w:val="clear" w:color="auto" w:fill="auto"/>
                <w:vAlign w:val="center"/>
              </w:tcPr>
              <w:p w:rsidR="00B637B2" w:rsidRDefault="008F04CF" w:rsidP="00B637B2">
                <w:pPr>
                  <w:jc w:val="right"/>
                </w:pPr>
                <w:r>
                  <w:rPr>
                    <w:rFonts w:hint="eastAsia"/>
                  </w:rPr>
                  <w:t>-</w:t>
                </w:r>
              </w:p>
            </w:tc>
            <w:tc>
              <w:tcPr>
                <w:tcW w:w="721" w:type="pct"/>
                <w:shd w:val="clear" w:color="auto" w:fill="auto"/>
                <w:vAlign w:val="center"/>
              </w:tcPr>
              <w:p w:rsidR="00B637B2" w:rsidRDefault="008F04CF" w:rsidP="00B637B2">
                <w:pPr>
                  <w:jc w:val="right"/>
                </w:pPr>
                <w:r w:rsidRPr="001D5369">
                  <w:t>19,214</w:t>
                </w:r>
              </w:p>
            </w:tc>
            <w:tc>
              <w:tcPr>
                <w:tcW w:w="721" w:type="pct"/>
                <w:shd w:val="clear" w:color="auto" w:fill="auto"/>
                <w:vAlign w:val="center"/>
              </w:tcPr>
              <w:p w:rsidR="00B637B2" w:rsidRDefault="008F04CF" w:rsidP="00B637B2">
                <w:pPr>
                  <w:jc w:val="right"/>
                </w:pPr>
                <w:r w:rsidRPr="001D5369">
                  <w:t>3,872,663</w:t>
                </w:r>
              </w:p>
            </w:tc>
            <w:tc>
              <w:tcPr>
                <w:tcW w:w="721" w:type="pct"/>
                <w:shd w:val="clear" w:color="auto" w:fill="auto"/>
                <w:vAlign w:val="center"/>
              </w:tcPr>
              <w:p w:rsidR="00B637B2" w:rsidRDefault="008F04CF" w:rsidP="00B637B2">
                <w:pPr>
                  <w:jc w:val="right"/>
                </w:pPr>
                <w:r w:rsidRPr="001D5369">
                  <w:t>13,086,823</w:t>
                </w:r>
              </w:p>
            </w:tc>
            <w:tc>
              <w:tcPr>
                <w:tcW w:w="819" w:type="pct"/>
                <w:shd w:val="clear" w:color="auto" w:fill="auto"/>
                <w:vAlign w:val="center"/>
              </w:tcPr>
              <w:p w:rsidR="00B637B2" w:rsidRDefault="008F04CF" w:rsidP="00B637B2">
                <w:pPr>
                  <w:jc w:val="right"/>
                </w:pPr>
                <w:r w:rsidRPr="001D5369">
                  <w:t>16,978,700</w:t>
                </w:r>
              </w:p>
            </w:tc>
          </w:tr>
          <w:tr w:rsidR="00B637B2" w:rsidTr="00B637B2">
            <w:sdt>
              <w:sdtPr>
                <w:rPr>
                  <w:rFonts w:hint="eastAsia"/>
                </w:rPr>
                <w:alias w:val="固定资产账面原值减少项目名称"/>
                <w:tag w:val="_GBC_2f4e09d586974d5099e26de2e9f2268e"/>
                <w:id w:val="982505991"/>
                <w:lock w:val="sdtLocked"/>
                <w:showingPlcHdr/>
              </w:sdtPr>
              <w:sdtContent>
                <w:tc>
                  <w:tcPr>
                    <w:tcW w:w="1298" w:type="pct"/>
                    <w:shd w:val="clear" w:color="auto" w:fill="auto"/>
                    <w:vAlign w:val="center"/>
                  </w:tcPr>
                  <w:p w:rsidR="00B637B2" w:rsidRDefault="008F04CF" w:rsidP="00B637B2">
                    <w:pPr>
                      <w:ind w:firstLineChars="300" w:firstLine="630"/>
                    </w:pPr>
                    <w:r>
                      <w:rPr>
                        <w:rFonts w:hint="eastAsia"/>
                      </w:rPr>
                      <w:t xml:space="preserve">　</w:t>
                    </w:r>
                  </w:p>
                </w:tc>
              </w:sdtContent>
            </w:sdt>
            <w:sdt>
              <w:sdtPr>
                <w:rPr>
                  <w:rFonts w:hint="eastAsia"/>
                </w:rPr>
                <w:alias w:val="固定资产账面原值减少项目金额"/>
                <w:tag w:val="_GBC_86b298d954344511b012e84c48d4404f"/>
                <w:id w:val="-1508428999"/>
                <w:lock w:val="sdtLocked"/>
                <w:showingPlcHdr/>
              </w:sdtPr>
              <w:sdtContent>
                <w:tc>
                  <w:tcPr>
                    <w:tcW w:w="720" w:type="pct"/>
                    <w:shd w:val="clear" w:color="auto" w:fill="auto"/>
                    <w:vAlign w:val="center"/>
                  </w:tcPr>
                  <w:p w:rsidR="00B637B2" w:rsidRDefault="008F04CF" w:rsidP="00B637B2">
                    <w:pPr>
                      <w:jc w:val="right"/>
                    </w:pPr>
                    <w:r>
                      <w:rPr>
                        <w:rFonts w:hint="eastAsia"/>
                      </w:rPr>
                      <w:t xml:space="preserve">　</w:t>
                    </w:r>
                  </w:p>
                </w:tc>
              </w:sdtContent>
            </w:sdt>
            <w:sdt>
              <w:sdtPr>
                <w:rPr>
                  <w:rFonts w:hint="eastAsia"/>
                </w:rPr>
                <w:alias w:val="固定资产账面原值减少项目金额"/>
                <w:tag w:val="_GBC_86b298d954344511b012e84c48d4404f"/>
                <w:id w:val="1908955312"/>
                <w:lock w:val="sdtLocked"/>
                <w:showingPlcHdr/>
              </w:sdtPr>
              <w:sdtContent>
                <w:tc>
                  <w:tcPr>
                    <w:tcW w:w="721" w:type="pct"/>
                    <w:shd w:val="clear" w:color="auto" w:fill="auto"/>
                    <w:vAlign w:val="center"/>
                  </w:tcPr>
                  <w:p w:rsidR="00B637B2" w:rsidRDefault="008F04CF" w:rsidP="00B637B2">
                    <w:pPr>
                      <w:jc w:val="right"/>
                    </w:pPr>
                    <w:r>
                      <w:rPr>
                        <w:rFonts w:hint="eastAsia"/>
                      </w:rPr>
                      <w:t xml:space="preserve">　</w:t>
                    </w:r>
                  </w:p>
                </w:tc>
              </w:sdtContent>
            </w:sdt>
            <w:sdt>
              <w:sdtPr>
                <w:rPr>
                  <w:rFonts w:hint="eastAsia"/>
                </w:rPr>
                <w:alias w:val="固定资产账面原值减少项目金额"/>
                <w:tag w:val="_GBC_86b298d954344511b012e84c48d4404f"/>
                <w:id w:val="-1683881631"/>
                <w:lock w:val="sdtLocked"/>
                <w:showingPlcHdr/>
              </w:sdtPr>
              <w:sdtContent>
                <w:tc>
                  <w:tcPr>
                    <w:tcW w:w="721" w:type="pct"/>
                    <w:shd w:val="clear" w:color="auto" w:fill="auto"/>
                    <w:vAlign w:val="center"/>
                  </w:tcPr>
                  <w:p w:rsidR="00B637B2" w:rsidRDefault="008F04CF" w:rsidP="00B637B2">
                    <w:pPr>
                      <w:jc w:val="right"/>
                    </w:pPr>
                    <w:r>
                      <w:rPr>
                        <w:rFonts w:hint="eastAsia"/>
                      </w:rPr>
                      <w:t xml:space="preserve">　</w:t>
                    </w:r>
                  </w:p>
                </w:tc>
              </w:sdtContent>
            </w:sdt>
            <w:sdt>
              <w:sdtPr>
                <w:rPr>
                  <w:rFonts w:hint="eastAsia"/>
                </w:rPr>
                <w:alias w:val="固定资产账面原值减少项目金额"/>
                <w:tag w:val="_GBC_86b298d954344511b012e84c48d4404f"/>
                <w:id w:val="545256776"/>
                <w:lock w:val="sdtLocked"/>
                <w:showingPlcHdr/>
              </w:sdtPr>
              <w:sdtContent>
                <w:tc>
                  <w:tcPr>
                    <w:tcW w:w="721" w:type="pct"/>
                    <w:shd w:val="clear" w:color="auto" w:fill="auto"/>
                    <w:vAlign w:val="center"/>
                  </w:tcPr>
                  <w:p w:rsidR="00B637B2" w:rsidRDefault="008F04CF" w:rsidP="00B637B2">
                    <w:pPr>
                      <w:jc w:val="right"/>
                    </w:pPr>
                    <w:r>
                      <w:rPr>
                        <w:rFonts w:hint="eastAsia"/>
                      </w:rPr>
                      <w:t xml:space="preserve">　</w:t>
                    </w:r>
                  </w:p>
                </w:tc>
              </w:sdtContent>
            </w:sdt>
            <w:sdt>
              <w:sdtPr>
                <w:rPr>
                  <w:rFonts w:hint="eastAsia"/>
                </w:rPr>
                <w:alias w:val="固定资产账面原值减少项目合计金额"/>
                <w:tag w:val="_GBC_b75b8542395b4972ad2d3a1ea5c4c1d9"/>
                <w:id w:val="651795268"/>
                <w:lock w:val="sdtLocked"/>
                <w:showingPlcHdr/>
              </w:sdtPr>
              <w:sdtContent>
                <w:tc>
                  <w:tcPr>
                    <w:tcW w:w="819" w:type="pct"/>
                    <w:shd w:val="clear" w:color="auto" w:fill="auto"/>
                    <w:vAlign w:val="center"/>
                  </w:tcPr>
                  <w:p w:rsidR="00B637B2" w:rsidRDefault="008F04CF" w:rsidP="00B637B2">
                    <w:pPr>
                      <w:jc w:val="right"/>
                    </w:pPr>
                    <w:r>
                      <w:rPr>
                        <w:rFonts w:hint="eastAsia"/>
                      </w:rPr>
                      <w:t xml:space="preserve">　</w:t>
                    </w:r>
                  </w:p>
                </w:tc>
              </w:sdtContent>
            </w:sdt>
          </w:tr>
          <w:tr w:rsidR="00B637B2" w:rsidTr="00B637B2">
            <w:sdt>
              <w:sdtPr>
                <w:rPr>
                  <w:rFonts w:hint="eastAsia"/>
                </w:rPr>
                <w:alias w:val="固定资产账面原值减少项目名称"/>
                <w:tag w:val="_GBC_2f4e09d586974d5099e26de2e9f2268e"/>
                <w:id w:val="-264538340"/>
                <w:lock w:val="sdtLocked"/>
                <w:showingPlcHdr/>
              </w:sdtPr>
              <w:sdtContent>
                <w:tc>
                  <w:tcPr>
                    <w:tcW w:w="1298" w:type="pct"/>
                    <w:shd w:val="clear" w:color="auto" w:fill="auto"/>
                    <w:vAlign w:val="center"/>
                  </w:tcPr>
                  <w:p w:rsidR="00B637B2" w:rsidRDefault="008F04CF" w:rsidP="00B637B2">
                    <w:pPr>
                      <w:ind w:firstLineChars="300" w:firstLine="630"/>
                    </w:pPr>
                    <w:r>
                      <w:rPr>
                        <w:rFonts w:hint="eastAsia"/>
                      </w:rPr>
                      <w:t xml:space="preserve">　</w:t>
                    </w:r>
                  </w:p>
                </w:tc>
              </w:sdtContent>
            </w:sdt>
            <w:sdt>
              <w:sdtPr>
                <w:rPr>
                  <w:rFonts w:hint="eastAsia"/>
                </w:rPr>
                <w:alias w:val="固定资产账面原值减少项目金额"/>
                <w:tag w:val="_GBC_86b298d954344511b012e84c48d4404f"/>
                <w:id w:val="-800538510"/>
                <w:lock w:val="sdtLocked"/>
                <w:showingPlcHdr/>
              </w:sdtPr>
              <w:sdtContent>
                <w:tc>
                  <w:tcPr>
                    <w:tcW w:w="720" w:type="pct"/>
                    <w:shd w:val="clear" w:color="auto" w:fill="auto"/>
                    <w:vAlign w:val="center"/>
                  </w:tcPr>
                  <w:p w:rsidR="00B637B2" w:rsidRDefault="008F04CF" w:rsidP="00B637B2">
                    <w:pPr>
                      <w:jc w:val="right"/>
                    </w:pPr>
                    <w:r>
                      <w:rPr>
                        <w:rFonts w:hint="eastAsia"/>
                      </w:rPr>
                      <w:t xml:space="preserve">　</w:t>
                    </w:r>
                  </w:p>
                </w:tc>
              </w:sdtContent>
            </w:sdt>
            <w:sdt>
              <w:sdtPr>
                <w:rPr>
                  <w:rFonts w:hint="eastAsia"/>
                </w:rPr>
                <w:alias w:val="固定资产账面原值减少项目金额"/>
                <w:tag w:val="_GBC_86b298d954344511b012e84c48d4404f"/>
                <w:id w:val="1248386692"/>
                <w:lock w:val="sdtLocked"/>
                <w:showingPlcHdr/>
              </w:sdtPr>
              <w:sdtContent>
                <w:tc>
                  <w:tcPr>
                    <w:tcW w:w="721" w:type="pct"/>
                    <w:shd w:val="clear" w:color="auto" w:fill="auto"/>
                    <w:vAlign w:val="center"/>
                  </w:tcPr>
                  <w:p w:rsidR="00B637B2" w:rsidRDefault="00B637B2" w:rsidP="00B637B2">
                    <w:pPr>
                      <w:jc w:val="right"/>
                    </w:pPr>
                  </w:p>
                </w:tc>
              </w:sdtContent>
            </w:sdt>
            <w:sdt>
              <w:sdtPr>
                <w:rPr>
                  <w:rFonts w:hint="eastAsia"/>
                </w:rPr>
                <w:alias w:val="固定资产账面原值减少项目金额"/>
                <w:tag w:val="_GBC_86b298d954344511b012e84c48d4404f"/>
                <w:id w:val="-568885922"/>
                <w:lock w:val="sdtLocked"/>
                <w:showingPlcHdr/>
              </w:sdtPr>
              <w:sdtContent>
                <w:tc>
                  <w:tcPr>
                    <w:tcW w:w="721" w:type="pct"/>
                    <w:shd w:val="clear" w:color="auto" w:fill="auto"/>
                    <w:vAlign w:val="center"/>
                  </w:tcPr>
                  <w:p w:rsidR="00B637B2" w:rsidRDefault="00B637B2" w:rsidP="00B637B2">
                    <w:pPr>
                      <w:jc w:val="right"/>
                    </w:pPr>
                  </w:p>
                </w:tc>
              </w:sdtContent>
            </w:sdt>
            <w:sdt>
              <w:sdtPr>
                <w:rPr>
                  <w:rFonts w:hint="eastAsia"/>
                </w:rPr>
                <w:alias w:val="固定资产账面原值减少项目金额"/>
                <w:tag w:val="_GBC_86b298d954344511b012e84c48d4404f"/>
                <w:id w:val="-930194785"/>
                <w:lock w:val="sdtLocked"/>
                <w:showingPlcHdr/>
              </w:sdtPr>
              <w:sdtContent>
                <w:tc>
                  <w:tcPr>
                    <w:tcW w:w="721" w:type="pct"/>
                    <w:shd w:val="clear" w:color="auto" w:fill="auto"/>
                    <w:vAlign w:val="center"/>
                  </w:tcPr>
                  <w:p w:rsidR="00B637B2" w:rsidRDefault="00B637B2" w:rsidP="00B637B2">
                    <w:pPr>
                      <w:jc w:val="right"/>
                    </w:pPr>
                  </w:p>
                </w:tc>
              </w:sdtContent>
            </w:sdt>
            <w:sdt>
              <w:sdtPr>
                <w:rPr>
                  <w:rFonts w:hint="eastAsia"/>
                </w:rPr>
                <w:alias w:val="固定资产账面原值减少项目合计金额"/>
                <w:tag w:val="_GBC_b75b8542395b4972ad2d3a1ea5c4c1d9"/>
                <w:id w:val="-837234028"/>
                <w:lock w:val="sdtLocked"/>
                <w:showingPlcHdr/>
              </w:sdtPr>
              <w:sdtContent>
                <w:tc>
                  <w:tcPr>
                    <w:tcW w:w="819" w:type="pct"/>
                    <w:shd w:val="clear" w:color="auto" w:fill="auto"/>
                    <w:vAlign w:val="center"/>
                  </w:tcPr>
                  <w:p w:rsidR="00B637B2" w:rsidRDefault="008F04CF" w:rsidP="00B637B2">
                    <w:pPr>
                      <w:jc w:val="right"/>
                    </w:pPr>
                    <w:r>
                      <w:rPr>
                        <w:rFonts w:hint="eastAsia"/>
                      </w:rPr>
                      <w:t xml:space="preserve">　</w:t>
                    </w:r>
                  </w:p>
                </w:tc>
              </w:sdtContent>
            </w:sdt>
          </w:tr>
          <w:tr w:rsidR="00B637B2" w:rsidTr="00B637B2">
            <w:sdt>
              <w:sdtPr>
                <w:tag w:val="_PLD_249206a916954d19ba9495bb5be5eb90"/>
                <w:id w:val="-768621066"/>
                <w:lock w:val="sdtLocked"/>
              </w:sdtPr>
              <w:sdtContent>
                <w:tc>
                  <w:tcPr>
                    <w:tcW w:w="1298" w:type="pct"/>
                    <w:shd w:val="clear" w:color="auto" w:fill="auto"/>
                  </w:tcPr>
                  <w:p w:rsidR="00B637B2" w:rsidRDefault="008F04CF" w:rsidP="00B637B2">
                    <w:pPr>
                      <w:ind w:firstLineChars="200" w:firstLine="420"/>
                    </w:pPr>
                    <w:r>
                      <w:rPr>
                        <w:rFonts w:hint="eastAsia"/>
                      </w:rPr>
                      <w:t>4.期末余额</w:t>
                    </w:r>
                  </w:p>
                </w:tc>
              </w:sdtContent>
            </w:sdt>
            <w:tc>
              <w:tcPr>
                <w:tcW w:w="720" w:type="pct"/>
                <w:shd w:val="clear" w:color="auto" w:fill="auto"/>
                <w:vAlign w:val="center"/>
              </w:tcPr>
              <w:p w:rsidR="00B637B2" w:rsidRDefault="008F04CF" w:rsidP="00B637B2">
                <w:pPr>
                  <w:jc w:val="right"/>
                </w:pPr>
                <w:r>
                  <w:t>2,804,438,336</w:t>
                </w:r>
              </w:p>
            </w:tc>
            <w:tc>
              <w:tcPr>
                <w:tcW w:w="721" w:type="pct"/>
                <w:shd w:val="clear" w:color="auto" w:fill="auto"/>
                <w:vAlign w:val="center"/>
              </w:tcPr>
              <w:p w:rsidR="00B637B2" w:rsidRDefault="008F04CF" w:rsidP="00B637B2">
                <w:pPr>
                  <w:jc w:val="right"/>
                </w:pPr>
                <w:r>
                  <w:t>173,676,302</w:t>
                </w:r>
              </w:p>
            </w:tc>
            <w:tc>
              <w:tcPr>
                <w:tcW w:w="721" w:type="pct"/>
                <w:shd w:val="clear" w:color="auto" w:fill="auto"/>
                <w:vAlign w:val="center"/>
              </w:tcPr>
              <w:p w:rsidR="00B637B2" w:rsidRDefault="008F04CF" w:rsidP="00B637B2">
                <w:pPr>
                  <w:jc w:val="right"/>
                </w:pPr>
                <w:r>
                  <w:t>42,454,410</w:t>
                </w:r>
              </w:p>
            </w:tc>
            <w:tc>
              <w:tcPr>
                <w:tcW w:w="721" w:type="pct"/>
                <w:shd w:val="clear" w:color="auto" w:fill="auto"/>
                <w:vAlign w:val="center"/>
              </w:tcPr>
              <w:p w:rsidR="00B637B2" w:rsidRDefault="008F04CF" w:rsidP="00B637B2">
                <w:pPr>
                  <w:jc w:val="right"/>
                </w:pPr>
                <w:r>
                  <w:t>322,484,377</w:t>
                </w:r>
              </w:p>
            </w:tc>
            <w:tc>
              <w:tcPr>
                <w:tcW w:w="819" w:type="pct"/>
                <w:shd w:val="clear" w:color="auto" w:fill="auto"/>
                <w:vAlign w:val="center"/>
              </w:tcPr>
              <w:p w:rsidR="00B637B2" w:rsidRDefault="008F04CF" w:rsidP="00B637B2">
                <w:pPr>
                  <w:jc w:val="right"/>
                </w:pPr>
                <w:r>
                  <w:t>3,343,053,425</w:t>
                </w:r>
              </w:p>
            </w:tc>
          </w:tr>
          <w:tr w:rsidR="00B637B2" w:rsidTr="00B637B2">
            <w:sdt>
              <w:sdtPr>
                <w:tag w:val="_PLD_3b9a984e6e834331844252acd1c6a321"/>
                <w:id w:val="-568738582"/>
                <w:lock w:val="sdtLocked"/>
              </w:sdtPr>
              <w:sdtContent>
                <w:tc>
                  <w:tcPr>
                    <w:tcW w:w="1298" w:type="pct"/>
                    <w:shd w:val="clear" w:color="auto" w:fill="auto"/>
                  </w:tcPr>
                  <w:p w:rsidR="00B637B2" w:rsidRDefault="008F04CF" w:rsidP="00B637B2">
                    <w:r>
                      <w:rPr>
                        <w:rFonts w:hint="eastAsia"/>
                      </w:rPr>
                      <w:t>二、累计折旧</w:t>
                    </w:r>
                  </w:p>
                </w:tc>
              </w:sdtContent>
            </w:sdt>
            <w:tc>
              <w:tcPr>
                <w:tcW w:w="720" w:type="pct"/>
                <w:shd w:val="clear" w:color="auto" w:fill="auto"/>
                <w:vAlign w:val="center"/>
              </w:tcPr>
              <w:p w:rsidR="00B637B2" w:rsidRDefault="00B637B2" w:rsidP="00B637B2">
                <w:pPr>
                  <w:jc w:val="center"/>
                </w:pPr>
              </w:p>
            </w:tc>
            <w:tc>
              <w:tcPr>
                <w:tcW w:w="721" w:type="pct"/>
                <w:shd w:val="clear" w:color="auto" w:fill="auto"/>
                <w:vAlign w:val="center"/>
              </w:tcPr>
              <w:p w:rsidR="00B637B2" w:rsidRDefault="00B637B2" w:rsidP="00B637B2">
                <w:pPr>
                  <w:jc w:val="center"/>
                </w:pPr>
              </w:p>
            </w:tc>
            <w:tc>
              <w:tcPr>
                <w:tcW w:w="721" w:type="pct"/>
                <w:shd w:val="clear" w:color="auto" w:fill="auto"/>
                <w:vAlign w:val="center"/>
              </w:tcPr>
              <w:p w:rsidR="00B637B2" w:rsidRDefault="00B637B2" w:rsidP="00B637B2">
                <w:pPr>
                  <w:jc w:val="center"/>
                </w:pPr>
              </w:p>
            </w:tc>
            <w:tc>
              <w:tcPr>
                <w:tcW w:w="721" w:type="pct"/>
                <w:shd w:val="clear" w:color="auto" w:fill="auto"/>
                <w:vAlign w:val="center"/>
              </w:tcPr>
              <w:p w:rsidR="00B637B2" w:rsidRDefault="00B637B2" w:rsidP="00B637B2">
                <w:pPr>
                  <w:jc w:val="center"/>
                </w:pPr>
              </w:p>
            </w:tc>
            <w:tc>
              <w:tcPr>
                <w:tcW w:w="819" w:type="pct"/>
                <w:shd w:val="clear" w:color="auto" w:fill="auto"/>
                <w:vAlign w:val="center"/>
              </w:tcPr>
              <w:p w:rsidR="00B637B2" w:rsidRDefault="00B637B2" w:rsidP="00B637B2">
                <w:pPr>
                  <w:jc w:val="center"/>
                </w:pPr>
              </w:p>
            </w:tc>
          </w:tr>
          <w:tr w:rsidR="00B637B2" w:rsidTr="00B637B2">
            <w:sdt>
              <w:sdtPr>
                <w:tag w:val="_PLD_f4ae2b083a314e62b85f562d3dbe5c24"/>
                <w:id w:val="-1119521807"/>
                <w:lock w:val="sdtLocked"/>
              </w:sdtPr>
              <w:sdtContent>
                <w:tc>
                  <w:tcPr>
                    <w:tcW w:w="1298" w:type="pct"/>
                    <w:shd w:val="clear" w:color="auto" w:fill="auto"/>
                  </w:tcPr>
                  <w:p w:rsidR="00B637B2" w:rsidRDefault="008F04CF" w:rsidP="00B637B2">
                    <w:pPr>
                      <w:ind w:firstLineChars="200" w:firstLine="420"/>
                    </w:pPr>
                    <w:r>
                      <w:t>1.</w:t>
                    </w:r>
                    <w:r>
                      <w:rPr>
                        <w:rFonts w:hint="eastAsia"/>
                      </w:rPr>
                      <w:t>期初余额</w:t>
                    </w:r>
                  </w:p>
                </w:tc>
              </w:sdtContent>
            </w:sdt>
            <w:tc>
              <w:tcPr>
                <w:tcW w:w="720" w:type="pct"/>
                <w:shd w:val="clear" w:color="auto" w:fill="auto"/>
                <w:vAlign w:val="center"/>
              </w:tcPr>
              <w:p w:rsidR="00B637B2" w:rsidRDefault="008F04CF" w:rsidP="00B637B2">
                <w:pPr>
                  <w:jc w:val="right"/>
                </w:pPr>
                <w:r w:rsidRPr="00E54DC3">
                  <w:t>264,103,026</w:t>
                </w:r>
              </w:p>
            </w:tc>
            <w:tc>
              <w:tcPr>
                <w:tcW w:w="721" w:type="pct"/>
                <w:shd w:val="clear" w:color="auto" w:fill="auto"/>
                <w:vAlign w:val="center"/>
              </w:tcPr>
              <w:p w:rsidR="00B637B2" w:rsidRDefault="008F04CF" w:rsidP="00B637B2">
                <w:pPr>
                  <w:jc w:val="right"/>
                </w:pPr>
                <w:r w:rsidRPr="00E54DC3">
                  <w:t>74,528,667</w:t>
                </w:r>
              </w:p>
            </w:tc>
            <w:tc>
              <w:tcPr>
                <w:tcW w:w="721" w:type="pct"/>
                <w:shd w:val="clear" w:color="auto" w:fill="auto"/>
                <w:vAlign w:val="center"/>
              </w:tcPr>
              <w:p w:rsidR="00B637B2" w:rsidRDefault="008F04CF" w:rsidP="00B637B2">
                <w:pPr>
                  <w:jc w:val="right"/>
                </w:pPr>
                <w:r w:rsidRPr="00E54DC3">
                  <w:t>33,763,295</w:t>
                </w:r>
              </w:p>
            </w:tc>
            <w:tc>
              <w:tcPr>
                <w:tcW w:w="721" w:type="pct"/>
                <w:shd w:val="clear" w:color="auto" w:fill="auto"/>
                <w:vAlign w:val="center"/>
              </w:tcPr>
              <w:p w:rsidR="00B637B2" w:rsidRDefault="008F04CF" w:rsidP="00B637B2">
                <w:pPr>
                  <w:jc w:val="right"/>
                </w:pPr>
                <w:r w:rsidRPr="00E54DC3">
                  <w:t>259,582,824</w:t>
                </w:r>
              </w:p>
            </w:tc>
            <w:tc>
              <w:tcPr>
                <w:tcW w:w="819" w:type="pct"/>
                <w:shd w:val="clear" w:color="auto" w:fill="auto"/>
                <w:vAlign w:val="center"/>
              </w:tcPr>
              <w:p w:rsidR="00B637B2" w:rsidRDefault="008F04CF" w:rsidP="00B637B2">
                <w:pPr>
                  <w:jc w:val="right"/>
                </w:pPr>
                <w:r w:rsidRPr="00E54DC3">
                  <w:t>631,977,812</w:t>
                </w:r>
                <w:r w:rsidRPr="00E54DC3">
                  <w:tab/>
                </w:r>
              </w:p>
            </w:tc>
          </w:tr>
          <w:tr w:rsidR="00B637B2" w:rsidTr="00B637B2">
            <w:sdt>
              <w:sdtPr>
                <w:tag w:val="_PLD_5f15b887e02c4ec6b52b0f15c4e97c9c"/>
                <w:id w:val="948510497"/>
                <w:lock w:val="sdtLocked"/>
              </w:sdtPr>
              <w:sdtContent>
                <w:tc>
                  <w:tcPr>
                    <w:tcW w:w="1298" w:type="pct"/>
                    <w:shd w:val="clear" w:color="auto" w:fill="auto"/>
                  </w:tcPr>
                  <w:p w:rsidR="00B637B2" w:rsidRDefault="008F04CF" w:rsidP="00B637B2">
                    <w:pPr>
                      <w:ind w:firstLineChars="200" w:firstLine="420"/>
                    </w:pPr>
                    <w:r>
                      <w:t>2.</w:t>
                    </w:r>
                    <w:r>
                      <w:rPr>
                        <w:rFonts w:hint="eastAsia"/>
                      </w:rPr>
                      <w:t>本期增加金额</w:t>
                    </w:r>
                  </w:p>
                </w:tc>
              </w:sdtContent>
            </w:sdt>
            <w:tc>
              <w:tcPr>
                <w:tcW w:w="720" w:type="pct"/>
                <w:shd w:val="clear" w:color="auto" w:fill="auto"/>
                <w:vAlign w:val="center"/>
              </w:tcPr>
              <w:p w:rsidR="00B637B2" w:rsidRDefault="008F04CF" w:rsidP="00B637B2">
                <w:pPr>
                  <w:jc w:val="right"/>
                </w:pPr>
                <w:r>
                  <w:t>29,925,789</w:t>
                </w:r>
              </w:p>
            </w:tc>
            <w:tc>
              <w:tcPr>
                <w:tcW w:w="721" w:type="pct"/>
                <w:shd w:val="clear" w:color="auto" w:fill="auto"/>
                <w:vAlign w:val="center"/>
              </w:tcPr>
              <w:p w:rsidR="00B637B2" w:rsidRDefault="008F04CF" w:rsidP="00B637B2">
                <w:pPr>
                  <w:jc w:val="right"/>
                </w:pPr>
                <w:r>
                  <w:t>5,542,711</w:t>
                </w:r>
              </w:p>
            </w:tc>
            <w:tc>
              <w:tcPr>
                <w:tcW w:w="721" w:type="pct"/>
                <w:shd w:val="clear" w:color="auto" w:fill="auto"/>
                <w:vAlign w:val="center"/>
              </w:tcPr>
              <w:p w:rsidR="00B637B2" w:rsidRDefault="008F04CF" w:rsidP="00B637B2">
                <w:pPr>
                  <w:jc w:val="right"/>
                </w:pPr>
                <w:r>
                  <w:t>1,745,985</w:t>
                </w:r>
              </w:p>
            </w:tc>
            <w:tc>
              <w:tcPr>
                <w:tcW w:w="721" w:type="pct"/>
                <w:shd w:val="clear" w:color="auto" w:fill="auto"/>
                <w:vAlign w:val="center"/>
              </w:tcPr>
              <w:p w:rsidR="00B637B2" w:rsidRDefault="008F04CF" w:rsidP="00B637B2">
                <w:pPr>
                  <w:jc w:val="right"/>
                </w:pPr>
                <w:r>
                  <w:t>16,786,548</w:t>
                </w:r>
              </w:p>
            </w:tc>
            <w:tc>
              <w:tcPr>
                <w:tcW w:w="819" w:type="pct"/>
                <w:shd w:val="clear" w:color="auto" w:fill="auto"/>
                <w:vAlign w:val="center"/>
              </w:tcPr>
              <w:p w:rsidR="00B637B2" w:rsidRDefault="008F04CF" w:rsidP="00B637B2">
                <w:pPr>
                  <w:jc w:val="right"/>
                </w:pPr>
                <w:r>
                  <w:t>54,001,033</w:t>
                </w:r>
              </w:p>
            </w:tc>
          </w:tr>
          <w:tr w:rsidR="00B637B2" w:rsidTr="00B637B2">
            <w:sdt>
              <w:sdtPr>
                <w:tag w:val="_PLD_8957ada504474bfcb99282b7912be7e4"/>
                <w:id w:val="2083094007"/>
                <w:lock w:val="sdtLocked"/>
              </w:sdtPr>
              <w:sdtContent>
                <w:tc>
                  <w:tcPr>
                    <w:tcW w:w="1298" w:type="pct"/>
                    <w:shd w:val="clear" w:color="auto" w:fill="auto"/>
                  </w:tcPr>
                  <w:p w:rsidR="00B637B2" w:rsidRDefault="008F04CF" w:rsidP="00B637B2">
                    <w:pPr>
                      <w:ind w:firstLineChars="300" w:firstLine="630"/>
                    </w:pPr>
                    <w:r>
                      <w:rPr>
                        <w:rFonts w:hint="eastAsia"/>
                      </w:rPr>
                      <w:t>（1）计提</w:t>
                    </w:r>
                  </w:p>
                </w:tc>
              </w:sdtContent>
            </w:sdt>
            <w:tc>
              <w:tcPr>
                <w:tcW w:w="720" w:type="pct"/>
                <w:shd w:val="clear" w:color="auto" w:fill="auto"/>
                <w:vAlign w:val="center"/>
              </w:tcPr>
              <w:p w:rsidR="00B637B2" w:rsidRDefault="008F04CF" w:rsidP="00B637B2">
                <w:pPr>
                  <w:jc w:val="right"/>
                </w:pPr>
                <w:r w:rsidRPr="00E54DC3">
                  <w:t>29,925,789</w:t>
                </w:r>
              </w:p>
            </w:tc>
            <w:tc>
              <w:tcPr>
                <w:tcW w:w="721" w:type="pct"/>
                <w:shd w:val="clear" w:color="auto" w:fill="auto"/>
                <w:vAlign w:val="center"/>
              </w:tcPr>
              <w:p w:rsidR="00B637B2" w:rsidRDefault="008F04CF" w:rsidP="00B637B2">
                <w:pPr>
                  <w:jc w:val="right"/>
                </w:pPr>
                <w:r w:rsidRPr="00E54DC3">
                  <w:t>5,542,711</w:t>
                </w:r>
              </w:p>
            </w:tc>
            <w:tc>
              <w:tcPr>
                <w:tcW w:w="721" w:type="pct"/>
                <w:shd w:val="clear" w:color="auto" w:fill="auto"/>
                <w:vAlign w:val="center"/>
              </w:tcPr>
              <w:p w:rsidR="00B637B2" w:rsidRDefault="008F04CF" w:rsidP="00B637B2">
                <w:pPr>
                  <w:jc w:val="right"/>
                </w:pPr>
                <w:r w:rsidRPr="00E54DC3">
                  <w:t>1,745,985</w:t>
                </w:r>
              </w:p>
            </w:tc>
            <w:tc>
              <w:tcPr>
                <w:tcW w:w="721" w:type="pct"/>
                <w:shd w:val="clear" w:color="auto" w:fill="auto"/>
                <w:vAlign w:val="center"/>
              </w:tcPr>
              <w:p w:rsidR="00B637B2" w:rsidRDefault="008F04CF" w:rsidP="00B637B2">
                <w:pPr>
                  <w:jc w:val="right"/>
                </w:pPr>
                <w:r w:rsidRPr="008F2D0B">
                  <w:t>16,786,548</w:t>
                </w:r>
              </w:p>
            </w:tc>
            <w:tc>
              <w:tcPr>
                <w:tcW w:w="819" w:type="pct"/>
                <w:shd w:val="clear" w:color="auto" w:fill="auto"/>
                <w:vAlign w:val="center"/>
              </w:tcPr>
              <w:p w:rsidR="00B637B2" w:rsidRDefault="008F04CF" w:rsidP="00B637B2">
                <w:pPr>
                  <w:jc w:val="right"/>
                </w:pPr>
                <w:r w:rsidRPr="008F2D0B">
                  <w:t>54,001,033</w:t>
                </w:r>
              </w:p>
            </w:tc>
          </w:tr>
          <w:tr w:rsidR="00B637B2" w:rsidTr="00B637B2">
            <w:sdt>
              <w:sdtPr>
                <w:rPr>
                  <w:rFonts w:hint="eastAsia"/>
                </w:rPr>
                <w:alias w:val="固定资产累计折旧增加项目名称"/>
                <w:tag w:val="_GBC_0965865fe56240ca9467fb856bda8c28"/>
                <w:id w:val="-1181654230"/>
                <w:lock w:val="sdtLocked"/>
                <w:showingPlcHdr/>
              </w:sdtPr>
              <w:sdtContent>
                <w:tc>
                  <w:tcPr>
                    <w:tcW w:w="1298" w:type="pct"/>
                    <w:shd w:val="clear" w:color="auto" w:fill="auto"/>
                  </w:tcPr>
                  <w:p w:rsidR="00B637B2" w:rsidRDefault="008F04CF" w:rsidP="00B637B2">
                    <w:pPr>
                      <w:ind w:firstLineChars="300" w:firstLine="630"/>
                    </w:pPr>
                    <w:r>
                      <w:t xml:space="preserve">     </w:t>
                    </w:r>
                  </w:p>
                </w:tc>
              </w:sdtContent>
            </w:sdt>
            <w:sdt>
              <w:sdtPr>
                <w:rPr>
                  <w:rFonts w:hint="eastAsia"/>
                </w:rPr>
                <w:alias w:val="固定资产累计折旧增加项目金额"/>
                <w:tag w:val="_GBC_4f471bfa60bb4fd284527a4bd35a106e"/>
                <w:id w:val="-1843772345"/>
                <w:lock w:val="sdtLocked"/>
                <w:showingPlcHdr/>
              </w:sdtPr>
              <w:sdtContent>
                <w:tc>
                  <w:tcPr>
                    <w:tcW w:w="720" w:type="pct"/>
                    <w:shd w:val="clear" w:color="auto" w:fill="auto"/>
                  </w:tcPr>
                  <w:p w:rsidR="00B637B2" w:rsidRDefault="008F04CF" w:rsidP="00B637B2">
                    <w:pPr>
                      <w:jc w:val="right"/>
                    </w:pPr>
                    <w:r>
                      <w:rPr>
                        <w:rFonts w:hint="eastAsia"/>
                      </w:rPr>
                      <w:t xml:space="preserve">　</w:t>
                    </w:r>
                  </w:p>
                </w:tc>
              </w:sdtContent>
            </w:sdt>
            <w:sdt>
              <w:sdtPr>
                <w:rPr>
                  <w:rFonts w:hint="eastAsia"/>
                </w:rPr>
                <w:alias w:val="固定资产累计折旧增加项目金额"/>
                <w:tag w:val="_GBC_4f471bfa60bb4fd284527a4bd35a106e"/>
                <w:id w:val="-1570726131"/>
                <w:lock w:val="sdtLocked"/>
                <w:showingPlcHdr/>
              </w:sdtPr>
              <w:sdtContent>
                <w:tc>
                  <w:tcPr>
                    <w:tcW w:w="721" w:type="pct"/>
                    <w:shd w:val="clear" w:color="auto" w:fill="auto"/>
                  </w:tcPr>
                  <w:p w:rsidR="00B637B2" w:rsidRDefault="008F04CF" w:rsidP="00B637B2">
                    <w:pPr>
                      <w:jc w:val="right"/>
                    </w:pPr>
                    <w:r>
                      <w:t xml:space="preserve">     </w:t>
                    </w:r>
                  </w:p>
                </w:tc>
              </w:sdtContent>
            </w:sdt>
            <w:sdt>
              <w:sdtPr>
                <w:rPr>
                  <w:rFonts w:hint="eastAsia"/>
                </w:rPr>
                <w:alias w:val="固定资产累计折旧增加项目金额"/>
                <w:tag w:val="_GBC_4f471bfa60bb4fd284527a4bd35a106e"/>
                <w:id w:val="529913474"/>
                <w:lock w:val="sdtLocked"/>
                <w:showingPlcHdr/>
              </w:sdtPr>
              <w:sdtContent>
                <w:tc>
                  <w:tcPr>
                    <w:tcW w:w="721" w:type="pct"/>
                    <w:shd w:val="clear" w:color="auto" w:fill="auto"/>
                  </w:tcPr>
                  <w:p w:rsidR="00B637B2" w:rsidRDefault="008F04CF" w:rsidP="00B637B2">
                    <w:pPr>
                      <w:jc w:val="right"/>
                    </w:pPr>
                    <w:r>
                      <w:t xml:space="preserve">     </w:t>
                    </w:r>
                  </w:p>
                </w:tc>
              </w:sdtContent>
            </w:sdt>
            <w:sdt>
              <w:sdtPr>
                <w:rPr>
                  <w:rFonts w:hint="eastAsia"/>
                </w:rPr>
                <w:alias w:val="固定资产累计折旧增加项目金额"/>
                <w:tag w:val="_GBC_4f471bfa60bb4fd284527a4bd35a106e"/>
                <w:id w:val="-1545291424"/>
                <w:lock w:val="sdtLocked"/>
                <w:showingPlcHdr/>
              </w:sdtPr>
              <w:sdtContent>
                <w:tc>
                  <w:tcPr>
                    <w:tcW w:w="721" w:type="pct"/>
                    <w:shd w:val="clear" w:color="auto" w:fill="auto"/>
                  </w:tcPr>
                  <w:p w:rsidR="00B637B2" w:rsidRDefault="008F04CF" w:rsidP="00B637B2">
                    <w:pPr>
                      <w:jc w:val="right"/>
                    </w:pPr>
                    <w:r>
                      <w:t xml:space="preserve">     </w:t>
                    </w:r>
                  </w:p>
                </w:tc>
              </w:sdtContent>
            </w:sdt>
            <w:sdt>
              <w:sdtPr>
                <w:rPr>
                  <w:rFonts w:hint="eastAsia"/>
                </w:rPr>
                <w:alias w:val="固定资产累计折旧增加项目合计金额"/>
                <w:tag w:val="_GBC_de0f633422eb40198165dd44928b321c"/>
                <w:id w:val="-48685862"/>
                <w:lock w:val="sdtLocked"/>
                <w:showingPlcHdr/>
              </w:sdtPr>
              <w:sdtContent>
                <w:tc>
                  <w:tcPr>
                    <w:tcW w:w="819" w:type="pct"/>
                    <w:shd w:val="clear" w:color="auto" w:fill="auto"/>
                  </w:tcPr>
                  <w:p w:rsidR="00B637B2" w:rsidRDefault="008F04CF" w:rsidP="00B637B2">
                    <w:pPr>
                      <w:jc w:val="right"/>
                    </w:pPr>
                    <w:r>
                      <w:t xml:space="preserve">     </w:t>
                    </w:r>
                  </w:p>
                </w:tc>
              </w:sdtContent>
            </w:sdt>
          </w:tr>
          <w:tr w:rsidR="00B637B2" w:rsidTr="00B637B2">
            <w:sdt>
              <w:sdtPr>
                <w:rPr>
                  <w:rFonts w:hint="eastAsia"/>
                </w:rPr>
                <w:alias w:val="固定资产累计折旧增加项目名称"/>
                <w:tag w:val="_GBC_0965865fe56240ca9467fb856bda8c28"/>
                <w:id w:val="528678517"/>
                <w:lock w:val="sdtLocked"/>
                <w:showingPlcHdr/>
              </w:sdtPr>
              <w:sdtContent>
                <w:tc>
                  <w:tcPr>
                    <w:tcW w:w="1298" w:type="pct"/>
                    <w:shd w:val="clear" w:color="auto" w:fill="auto"/>
                  </w:tcPr>
                  <w:p w:rsidR="00B637B2" w:rsidRDefault="008F04CF" w:rsidP="00B637B2">
                    <w:pPr>
                      <w:ind w:firstLineChars="300" w:firstLine="630"/>
                    </w:pPr>
                    <w:r>
                      <w:rPr>
                        <w:rFonts w:hint="eastAsia"/>
                      </w:rPr>
                      <w:t xml:space="preserve">　</w:t>
                    </w:r>
                  </w:p>
                </w:tc>
              </w:sdtContent>
            </w:sdt>
            <w:sdt>
              <w:sdtPr>
                <w:rPr>
                  <w:rFonts w:hint="eastAsia"/>
                </w:rPr>
                <w:alias w:val="固定资产累计折旧增加项目金额"/>
                <w:tag w:val="_GBC_4f471bfa60bb4fd284527a4bd35a106e"/>
                <w:id w:val="836509400"/>
                <w:lock w:val="sdtLocked"/>
                <w:showingPlcHdr/>
              </w:sdtPr>
              <w:sdtContent>
                <w:tc>
                  <w:tcPr>
                    <w:tcW w:w="720" w:type="pct"/>
                    <w:shd w:val="clear" w:color="auto" w:fill="auto"/>
                  </w:tcPr>
                  <w:p w:rsidR="00B637B2" w:rsidRDefault="008F04CF" w:rsidP="00B637B2">
                    <w:pPr>
                      <w:jc w:val="right"/>
                    </w:pPr>
                    <w:r>
                      <w:rPr>
                        <w:rFonts w:hint="eastAsia"/>
                      </w:rPr>
                      <w:t xml:space="preserve">　</w:t>
                    </w:r>
                  </w:p>
                </w:tc>
              </w:sdtContent>
            </w:sdt>
            <w:sdt>
              <w:sdtPr>
                <w:rPr>
                  <w:rFonts w:hint="eastAsia"/>
                </w:rPr>
                <w:alias w:val="固定资产累计折旧增加项目金额"/>
                <w:tag w:val="_GBC_4f471bfa60bb4fd284527a4bd35a106e"/>
                <w:id w:val="-1943149108"/>
                <w:lock w:val="sdtLocked"/>
                <w:showingPlcHdr/>
              </w:sdtPr>
              <w:sdtContent>
                <w:tc>
                  <w:tcPr>
                    <w:tcW w:w="721" w:type="pct"/>
                    <w:shd w:val="clear" w:color="auto" w:fill="auto"/>
                  </w:tcPr>
                  <w:p w:rsidR="00B637B2" w:rsidRDefault="00B637B2" w:rsidP="00B637B2">
                    <w:pPr>
                      <w:jc w:val="right"/>
                    </w:pPr>
                  </w:p>
                </w:tc>
              </w:sdtContent>
            </w:sdt>
            <w:sdt>
              <w:sdtPr>
                <w:rPr>
                  <w:rFonts w:hint="eastAsia"/>
                </w:rPr>
                <w:alias w:val="固定资产累计折旧增加项目金额"/>
                <w:tag w:val="_GBC_4f471bfa60bb4fd284527a4bd35a106e"/>
                <w:id w:val="500250608"/>
                <w:lock w:val="sdtLocked"/>
                <w:showingPlcHdr/>
              </w:sdtPr>
              <w:sdtContent>
                <w:tc>
                  <w:tcPr>
                    <w:tcW w:w="721" w:type="pct"/>
                    <w:shd w:val="clear" w:color="auto" w:fill="auto"/>
                  </w:tcPr>
                  <w:p w:rsidR="00B637B2" w:rsidRDefault="00B637B2" w:rsidP="00B637B2">
                    <w:pPr>
                      <w:jc w:val="right"/>
                    </w:pPr>
                  </w:p>
                </w:tc>
              </w:sdtContent>
            </w:sdt>
            <w:sdt>
              <w:sdtPr>
                <w:rPr>
                  <w:rFonts w:hint="eastAsia"/>
                </w:rPr>
                <w:alias w:val="固定资产累计折旧增加项目金额"/>
                <w:tag w:val="_GBC_4f471bfa60bb4fd284527a4bd35a106e"/>
                <w:id w:val="948903123"/>
                <w:lock w:val="sdtLocked"/>
                <w:showingPlcHdr/>
              </w:sdtPr>
              <w:sdtContent>
                <w:tc>
                  <w:tcPr>
                    <w:tcW w:w="721" w:type="pct"/>
                    <w:shd w:val="clear" w:color="auto" w:fill="auto"/>
                  </w:tcPr>
                  <w:p w:rsidR="00B637B2" w:rsidRDefault="00B637B2" w:rsidP="00B637B2">
                    <w:pPr>
                      <w:jc w:val="right"/>
                    </w:pPr>
                  </w:p>
                </w:tc>
              </w:sdtContent>
            </w:sdt>
            <w:sdt>
              <w:sdtPr>
                <w:rPr>
                  <w:rFonts w:hint="eastAsia"/>
                </w:rPr>
                <w:alias w:val="固定资产累计折旧增加项目合计金额"/>
                <w:tag w:val="_GBC_de0f633422eb40198165dd44928b321c"/>
                <w:id w:val="161201691"/>
                <w:lock w:val="sdtLocked"/>
                <w:showingPlcHdr/>
              </w:sdtPr>
              <w:sdtContent>
                <w:tc>
                  <w:tcPr>
                    <w:tcW w:w="819" w:type="pct"/>
                    <w:shd w:val="clear" w:color="auto" w:fill="auto"/>
                  </w:tcPr>
                  <w:p w:rsidR="00B637B2" w:rsidRDefault="008F04CF" w:rsidP="00B637B2">
                    <w:pPr>
                      <w:jc w:val="right"/>
                    </w:pPr>
                    <w:r>
                      <w:rPr>
                        <w:rFonts w:hint="eastAsia"/>
                      </w:rPr>
                      <w:t xml:space="preserve">　</w:t>
                    </w:r>
                  </w:p>
                </w:tc>
              </w:sdtContent>
            </w:sdt>
          </w:tr>
          <w:tr w:rsidR="00B637B2" w:rsidTr="00B637B2">
            <w:sdt>
              <w:sdtPr>
                <w:tag w:val="_PLD_ec9558ad6e194439bc7519617b9fda17"/>
                <w:id w:val="-2136635559"/>
                <w:lock w:val="sdtLocked"/>
              </w:sdtPr>
              <w:sdtContent>
                <w:tc>
                  <w:tcPr>
                    <w:tcW w:w="1298" w:type="pct"/>
                    <w:shd w:val="clear" w:color="auto" w:fill="auto"/>
                  </w:tcPr>
                  <w:p w:rsidR="00B637B2" w:rsidRDefault="008F04CF" w:rsidP="00B637B2">
                    <w:pPr>
                      <w:ind w:firstLineChars="200" w:firstLine="420"/>
                    </w:pPr>
                    <w:r>
                      <w:rPr>
                        <w:rFonts w:hint="eastAsia"/>
                      </w:rPr>
                      <w:t>3.本期减少金额</w:t>
                    </w:r>
                  </w:p>
                </w:tc>
              </w:sdtContent>
            </w:sdt>
            <w:tc>
              <w:tcPr>
                <w:tcW w:w="720" w:type="pct"/>
                <w:shd w:val="clear" w:color="auto" w:fill="auto"/>
                <w:vAlign w:val="center"/>
              </w:tcPr>
              <w:p w:rsidR="00B637B2" w:rsidRDefault="008F04CF" w:rsidP="00B637B2">
                <w:pPr>
                  <w:jc w:val="right"/>
                </w:pPr>
                <w:r>
                  <w:rPr>
                    <w:rFonts w:hint="eastAsia"/>
                  </w:rPr>
                  <w:t>-</w:t>
                </w:r>
              </w:p>
            </w:tc>
            <w:tc>
              <w:tcPr>
                <w:tcW w:w="721" w:type="pct"/>
                <w:shd w:val="clear" w:color="auto" w:fill="auto"/>
                <w:vAlign w:val="center"/>
              </w:tcPr>
              <w:p w:rsidR="00B637B2" w:rsidRDefault="008F04CF" w:rsidP="00B637B2">
                <w:pPr>
                  <w:jc w:val="right"/>
                </w:pPr>
                <w:r>
                  <w:t>10,769</w:t>
                </w:r>
              </w:p>
            </w:tc>
            <w:tc>
              <w:tcPr>
                <w:tcW w:w="721" w:type="pct"/>
                <w:shd w:val="clear" w:color="auto" w:fill="auto"/>
                <w:vAlign w:val="center"/>
              </w:tcPr>
              <w:p w:rsidR="00B637B2" w:rsidRDefault="008F04CF" w:rsidP="00B637B2">
                <w:pPr>
                  <w:jc w:val="right"/>
                </w:pPr>
                <w:r>
                  <w:t>3,750,965</w:t>
                </w:r>
              </w:p>
            </w:tc>
            <w:tc>
              <w:tcPr>
                <w:tcW w:w="721" w:type="pct"/>
                <w:shd w:val="clear" w:color="auto" w:fill="auto"/>
                <w:vAlign w:val="center"/>
              </w:tcPr>
              <w:p w:rsidR="00B637B2" w:rsidRDefault="008F04CF" w:rsidP="00B637B2">
                <w:pPr>
                  <w:jc w:val="right"/>
                </w:pPr>
                <w:r>
                  <w:t>13,233,072</w:t>
                </w:r>
              </w:p>
            </w:tc>
            <w:tc>
              <w:tcPr>
                <w:tcW w:w="819" w:type="pct"/>
                <w:shd w:val="clear" w:color="auto" w:fill="auto"/>
                <w:vAlign w:val="center"/>
              </w:tcPr>
              <w:p w:rsidR="00B637B2" w:rsidRDefault="008F04CF" w:rsidP="00B637B2">
                <w:pPr>
                  <w:jc w:val="right"/>
                </w:pPr>
                <w:r>
                  <w:t>16,994,806</w:t>
                </w:r>
              </w:p>
            </w:tc>
          </w:tr>
          <w:tr w:rsidR="00B637B2" w:rsidTr="00B637B2">
            <w:sdt>
              <w:sdtPr>
                <w:tag w:val="_PLD_5ee3d83bd53d480fa0f8ca39eef2375d"/>
                <w:id w:val="-1065016992"/>
                <w:lock w:val="sdtLocked"/>
              </w:sdtPr>
              <w:sdtContent>
                <w:tc>
                  <w:tcPr>
                    <w:tcW w:w="1298" w:type="pct"/>
                    <w:shd w:val="clear" w:color="auto" w:fill="auto"/>
                  </w:tcPr>
                  <w:p w:rsidR="00B637B2" w:rsidRDefault="008F04CF" w:rsidP="00B637B2">
                    <w:pPr>
                      <w:ind w:firstLineChars="300" w:firstLine="630"/>
                    </w:pPr>
                    <w:r>
                      <w:rPr>
                        <w:rFonts w:hint="eastAsia"/>
                      </w:rPr>
                      <w:t>（1）处置或报废</w:t>
                    </w:r>
                  </w:p>
                </w:tc>
              </w:sdtContent>
            </w:sdt>
            <w:tc>
              <w:tcPr>
                <w:tcW w:w="720" w:type="pct"/>
                <w:shd w:val="clear" w:color="auto" w:fill="auto"/>
                <w:vAlign w:val="center"/>
              </w:tcPr>
              <w:p w:rsidR="00B637B2" w:rsidRDefault="008F04CF" w:rsidP="00B637B2">
                <w:pPr>
                  <w:jc w:val="right"/>
                </w:pPr>
                <w:r>
                  <w:t>-</w:t>
                </w:r>
              </w:p>
            </w:tc>
            <w:tc>
              <w:tcPr>
                <w:tcW w:w="721" w:type="pct"/>
                <w:shd w:val="clear" w:color="auto" w:fill="auto"/>
                <w:vAlign w:val="center"/>
              </w:tcPr>
              <w:p w:rsidR="00B637B2" w:rsidRDefault="008F04CF" w:rsidP="00B637B2">
                <w:pPr>
                  <w:jc w:val="right"/>
                </w:pPr>
                <w:r>
                  <w:t>10,769</w:t>
                </w:r>
              </w:p>
            </w:tc>
            <w:tc>
              <w:tcPr>
                <w:tcW w:w="721" w:type="pct"/>
                <w:shd w:val="clear" w:color="auto" w:fill="auto"/>
                <w:vAlign w:val="center"/>
              </w:tcPr>
              <w:p w:rsidR="00B637B2" w:rsidRDefault="008F04CF" w:rsidP="00B637B2">
                <w:pPr>
                  <w:jc w:val="right"/>
                </w:pPr>
                <w:r>
                  <w:t>3,750,965</w:t>
                </w:r>
              </w:p>
            </w:tc>
            <w:tc>
              <w:tcPr>
                <w:tcW w:w="721" w:type="pct"/>
                <w:shd w:val="clear" w:color="auto" w:fill="auto"/>
                <w:vAlign w:val="center"/>
              </w:tcPr>
              <w:p w:rsidR="00B637B2" w:rsidRDefault="008F04CF" w:rsidP="00B637B2">
                <w:pPr>
                  <w:jc w:val="right"/>
                </w:pPr>
                <w:r>
                  <w:t>13,233,072</w:t>
                </w:r>
              </w:p>
            </w:tc>
            <w:tc>
              <w:tcPr>
                <w:tcW w:w="819" w:type="pct"/>
                <w:shd w:val="clear" w:color="auto" w:fill="auto"/>
                <w:vAlign w:val="center"/>
              </w:tcPr>
              <w:p w:rsidR="00B637B2" w:rsidRDefault="008F04CF" w:rsidP="00B637B2">
                <w:pPr>
                  <w:jc w:val="right"/>
                </w:pPr>
                <w:r>
                  <w:t>16,994,806</w:t>
                </w:r>
              </w:p>
            </w:tc>
          </w:tr>
          <w:tr w:rsidR="00B637B2" w:rsidTr="00B637B2">
            <w:sdt>
              <w:sdtPr>
                <w:rPr>
                  <w:rFonts w:hint="eastAsia"/>
                </w:rPr>
                <w:alias w:val="固定资产累计折旧减少项目名称"/>
                <w:tag w:val="_GBC_4c9ad176f9f549d79f1ea8e8285e4304"/>
                <w:id w:val="-1640726070"/>
                <w:lock w:val="sdtLocked"/>
                <w:showingPlcHdr/>
              </w:sdtPr>
              <w:sdtContent>
                <w:tc>
                  <w:tcPr>
                    <w:tcW w:w="1298" w:type="pct"/>
                    <w:shd w:val="clear" w:color="auto" w:fill="auto"/>
                  </w:tcPr>
                  <w:p w:rsidR="00B637B2" w:rsidRDefault="008F04CF" w:rsidP="00B637B2">
                    <w:pPr>
                      <w:ind w:firstLineChars="300" w:firstLine="630"/>
                    </w:pPr>
                    <w:r>
                      <w:rPr>
                        <w:rFonts w:hint="eastAsia"/>
                      </w:rPr>
                      <w:t xml:space="preserve">　</w:t>
                    </w:r>
                  </w:p>
                </w:tc>
              </w:sdtContent>
            </w:sdt>
            <w:sdt>
              <w:sdtPr>
                <w:rPr>
                  <w:rFonts w:hint="eastAsia"/>
                </w:rPr>
                <w:alias w:val="固定资产累计折旧减少项目金额"/>
                <w:tag w:val="_GBC_0475795030724aa4838f00440a8fdfe1"/>
                <w:id w:val="-1958473599"/>
                <w:lock w:val="sdtLocked"/>
                <w:showingPlcHdr/>
              </w:sdtPr>
              <w:sdtContent>
                <w:tc>
                  <w:tcPr>
                    <w:tcW w:w="720" w:type="pct"/>
                    <w:shd w:val="clear" w:color="auto" w:fill="auto"/>
                  </w:tcPr>
                  <w:p w:rsidR="00B637B2" w:rsidRDefault="008F04CF" w:rsidP="00B637B2">
                    <w:pPr>
                      <w:jc w:val="right"/>
                    </w:pPr>
                    <w:r>
                      <w:rPr>
                        <w:rFonts w:hint="eastAsia"/>
                      </w:rPr>
                      <w:t xml:space="preserve">　</w:t>
                    </w:r>
                  </w:p>
                </w:tc>
              </w:sdtContent>
            </w:sdt>
            <w:sdt>
              <w:sdtPr>
                <w:rPr>
                  <w:rFonts w:hint="eastAsia"/>
                </w:rPr>
                <w:alias w:val="固定资产累计折旧减少项目金额"/>
                <w:tag w:val="_GBC_0475795030724aa4838f00440a8fdfe1"/>
                <w:id w:val="1600456892"/>
                <w:lock w:val="sdtLocked"/>
                <w:showingPlcHdr/>
              </w:sdtPr>
              <w:sdtContent>
                <w:tc>
                  <w:tcPr>
                    <w:tcW w:w="721" w:type="pct"/>
                    <w:shd w:val="clear" w:color="auto" w:fill="auto"/>
                  </w:tcPr>
                  <w:p w:rsidR="00B637B2" w:rsidRDefault="008F04CF" w:rsidP="00B637B2">
                    <w:pPr>
                      <w:jc w:val="right"/>
                    </w:pPr>
                    <w:r>
                      <w:rPr>
                        <w:rFonts w:hint="eastAsia"/>
                      </w:rPr>
                      <w:t xml:space="preserve">　</w:t>
                    </w:r>
                  </w:p>
                </w:tc>
              </w:sdtContent>
            </w:sdt>
            <w:sdt>
              <w:sdtPr>
                <w:rPr>
                  <w:rFonts w:hint="eastAsia"/>
                </w:rPr>
                <w:alias w:val="固定资产累计折旧减少项目金额"/>
                <w:tag w:val="_GBC_0475795030724aa4838f00440a8fdfe1"/>
                <w:id w:val="1360862245"/>
                <w:lock w:val="sdtLocked"/>
                <w:showingPlcHdr/>
              </w:sdtPr>
              <w:sdtContent>
                <w:tc>
                  <w:tcPr>
                    <w:tcW w:w="721" w:type="pct"/>
                    <w:shd w:val="clear" w:color="auto" w:fill="auto"/>
                  </w:tcPr>
                  <w:p w:rsidR="00B637B2" w:rsidRDefault="008F04CF" w:rsidP="00B637B2">
                    <w:pPr>
                      <w:jc w:val="right"/>
                    </w:pPr>
                    <w:r>
                      <w:rPr>
                        <w:rFonts w:hint="eastAsia"/>
                      </w:rPr>
                      <w:t xml:space="preserve">　</w:t>
                    </w:r>
                  </w:p>
                </w:tc>
              </w:sdtContent>
            </w:sdt>
            <w:sdt>
              <w:sdtPr>
                <w:rPr>
                  <w:rFonts w:hint="eastAsia"/>
                </w:rPr>
                <w:alias w:val="固定资产累计折旧减少项目金额"/>
                <w:tag w:val="_GBC_0475795030724aa4838f00440a8fdfe1"/>
                <w:id w:val="29624489"/>
                <w:lock w:val="sdtLocked"/>
                <w:showingPlcHdr/>
              </w:sdtPr>
              <w:sdtContent>
                <w:tc>
                  <w:tcPr>
                    <w:tcW w:w="721" w:type="pct"/>
                    <w:shd w:val="clear" w:color="auto" w:fill="auto"/>
                  </w:tcPr>
                  <w:p w:rsidR="00B637B2" w:rsidRDefault="008F04CF" w:rsidP="00B637B2">
                    <w:pPr>
                      <w:jc w:val="right"/>
                    </w:pPr>
                    <w:r>
                      <w:rPr>
                        <w:rFonts w:hint="eastAsia"/>
                      </w:rPr>
                      <w:t xml:space="preserve">　</w:t>
                    </w:r>
                  </w:p>
                </w:tc>
              </w:sdtContent>
            </w:sdt>
            <w:sdt>
              <w:sdtPr>
                <w:rPr>
                  <w:rFonts w:hint="eastAsia"/>
                </w:rPr>
                <w:alias w:val="固定资产累计折旧减少项目合计金额"/>
                <w:tag w:val="_GBC_11178a6044164f9abd685ae39ec93217"/>
                <w:id w:val="-1752343003"/>
                <w:lock w:val="sdtLocked"/>
                <w:showingPlcHdr/>
              </w:sdtPr>
              <w:sdtContent>
                <w:tc>
                  <w:tcPr>
                    <w:tcW w:w="819" w:type="pct"/>
                    <w:shd w:val="clear" w:color="auto" w:fill="auto"/>
                  </w:tcPr>
                  <w:p w:rsidR="00B637B2" w:rsidRDefault="008F04CF" w:rsidP="00B637B2">
                    <w:pPr>
                      <w:jc w:val="right"/>
                    </w:pPr>
                    <w:r>
                      <w:rPr>
                        <w:rFonts w:hint="eastAsia"/>
                      </w:rPr>
                      <w:t xml:space="preserve">　</w:t>
                    </w:r>
                  </w:p>
                </w:tc>
              </w:sdtContent>
            </w:sdt>
          </w:tr>
          <w:tr w:rsidR="00B637B2" w:rsidTr="00B637B2">
            <w:sdt>
              <w:sdtPr>
                <w:rPr>
                  <w:rFonts w:hint="eastAsia"/>
                </w:rPr>
                <w:alias w:val="固定资产累计折旧减少项目名称"/>
                <w:tag w:val="_GBC_4c9ad176f9f549d79f1ea8e8285e4304"/>
                <w:id w:val="-122237468"/>
                <w:lock w:val="sdtLocked"/>
                <w:showingPlcHdr/>
              </w:sdtPr>
              <w:sdtContent>
                <w:tc>
                  <w:tcPr>
                    <w:tcW w:w="1298" w:type="pct"/>
                    <w:shd w:val="clear" w:color="auto" w:fill="auto"/>
                  </w:tcPr>
                  <w:p w:rsidR="00B637B2" w:rsidRDefault="008F04CF" w:rsidP="00B637B2">
                    <w:pPr>
                      <w:ind w:firstLineChars="300" w:firstLine="630"/>
                    </w:pPr>
                    <w:r>
                      <w:rPr>
                        <w:rFonts w:hint="eastAsia"/>
                      </w:rPr>
                      <w:t xml:space="preserve">　</w:t>
                    </w:r>
                  </w:p>
                </w:tc>
              </w:sdtContent>
            </w:sdt>
            <w:sdt>
              <w:sdtPr>
                <w:rPr>
                  <w:rFonts w:hint="eastAsia"/>
                </w:rPr>
                <w:alias w:val="固定资产累计折旧减少项目金额"/>
                <w:tag w:val="_GBC_0475795030724aa4838f00440a8fdfe1"/>
                <w:id w:val="411283195"/>
                <w:lock w:val="sdtLocked"/>
                <w:showingPlcHdr/>
              </w:sdtPr>
              <w:sdtContent>
                <w:tc>
                  <w:tcPr>
                    <w:tcW w:w="720" w:type="pct"/>
                    <w:shd w:val="clear" w:color="auto" w:fill="auto"/>
                  </w:tcPr>
                  <w:p w:rsidR="00B637B2" w:rsidRDefault="008F04CF" w:rsidP="00B637B2">
                    <w:pPr>
                      <w:jc w:val="right"/>
                    </w:pPr>
                    <w:r>
                      <w:rPr>
                        <w:rFonts w:hint="eastAsia"/>
                      </w:rPr>
                      <w:t xml:space="preserve">　</w:t>
                    </w:r>
                  </w:p>
                </w:tc>
              </w:sdtContent>
            </w:sdt>
            <w:sdt>
              <w:sdtPr>
                <w:rPr>
                  <w:rFonts w:hint="eastAsia"/>
                </w:rPr>
                <w:alias w:val="固定资产累计折旧减少项目金额"/>
                <w:tag w:val="_GBC_0475795030724aa4838f00440a8fdfe1"/>
                <w:id w:val="1215700155"/>
                <w:lock w:val="sdtLocked"/>
                <w:showingPlcHdr/>
              </w:sdtPr>
              <w:sdtContent>
                <w:tc>
                  <w:tcPr>
                    <w:tcW w:w="721" w:type="pct"/>
                    <w:shd w:val="clear" w:color="auto" w:fill="auto"/>
                  </w:tcPr>
                  <w:p w:rsidR="00B637B2" w:rsidRDefault="00B637B2" w:rsidP="00B637B2">
                    <w:pPr>
                      <w:jc w:val="right"/>
                    </w:pPr>
                  </w:p>
                </w:tc>
              </w:sdtContent>
            </w:sdt>
            <w:sdt>
              <w:sdtPr>
                <w:rPr>
                  <w:rFonts w:hint="eastAsia"/>
                </w:rPr>
                <w:alias w:val="固定资产累计折旧减少项目金额"/>
                <w:tag w:val="_GBC_0475795030724aa4838f00440a8fdfe1"/>
                <w:id w:val="2063588044"/>
                <w:lock w:val="sdtLocked"/>
                <w:showingPlcHdr/>
              </w:sdtPr>
              <w:sdtContent>
                <w:tc>
                  <w:tcPr>
                    <w:tcW w:w="721" w:type="pct"/>
                    <w:shd w:val="clear" w:color="auto" w:fill="auto"/>
                  </w:tcPr>
                  <w:p w:rsidR="00B637B2" w:rsidRDefault="00B637B2" w:rsidP="00B637B2">
                    <w:pPr>
                      <w:jc w:val="right"/>
                    </w:pPr>
                  </w:p>
                </w:tc>
              </w:sdtContent>
            </w:sdt>
            <w:sdt>
              <w:sdtPr>
                <w:rPr>
                  <w:rFonts w:hint="eastAsia"/>
                </w:rPr>
                <w:alias w:val="固定资产累计折旧减少项目金额"/>
                <w:tag w:val="_GBC_0475795030724aa4838f00440a8fdfe1"/>
                <w:id w:val="534861192"/>
                <w:lock w:val="sdtLocked"/>
                <w:showingPlcHdr/>
              </w:sdtPr>
              <w:sdtContent>
                <w:tc>
                  <w:tcPr>
                    <w:tcW w:w="721" w:type="pct"/>
                    <w:shd w:val="clear" w:color="auto" w:fill="auto"/>
                  </w:tcPr>
                  <w:p w:rsidR="00B637B2" w:rsidRDefault="00B637B2" w:rsidP="00B637B2">
                    <w:pPr>
                      <w:jc w:val="right"/>
                    </w:pPr>
                  </w:p>
                </w:tc>
              </w:sdtContent>
            </w:sdt>
            <w:sdt>
              <w:sdtPr>
                <w:rPr>
                  <w:rFonts w:hint="eastAsia"/>
                </w:rPr>
                <w:alias w:val="固定资产累计折旧减少项目合计金额"/>
                <w:tag w:val="_GBC_11178a6044164f9abd685ae39ec93217"/>
                <w:id w:val="-1434892229"/>
                <w:lock w:val="sdtLocked"/>
                <w:showingPlcHdr/>
              </w:sdtPr>
              <w:sdtContent>
                <w:tc>
                  <w:tcPr>
                    <w:tcW w:w="819" w:type="pct"/>
                    <w:shd w:val="clear" w:color="auto" w:fill="auto"/>
                  </w:tcPr>
                  <w:p w:rsidR="00B637B2" w:rsidRDefault="008F04CF" w:rsidP="00B637B2">
                    <w:pPr>
                      <w:jc w:val="right"/>
                    </w:pPr>
                    <w:r>
                      <w:rPr>
                        <w:rFonts w:hint="eastAsia"/>
                      </w:rPr>
                      <w:t xml:space="preserve">　</w:t>
                    </w:r>
                  </w:p>
                </w:tc>
              </w:sdtContent>
            </w:sdt>
          </w:tr>
          <w:tr w:rsidR="00B637B2" w:rsidTr="00B637B2">
            <w:sdt>
              <w:sdtPr>
                <w:tag w:val="_PLD_6eaa2035e58e4e21885400a2e0bb3a60"/>
                <w:id w:val="1343739354"/>
                <w:lock w:val="sdtLocked"/>
              </w:sdtPr>
              <w:sdtContent>
                <w:tc>
                  <w:tcPr>
                    <w:tcW w:w="1298" w:type="pct"/>
                    <w:shd w:val="clear" w:color="auto" w:fill="auto"/>
                  </w:tcPr>
                  <w:p w:rsidR="00B637B2" w:rsidRDefault="008F04CF" w:rsidP="00B637B2">
                    <w:pPr>
                      <w:ind w:firstLineChars="200" w:firstLine="420"/>
                    </w:pPr>
                    <w:r>
                      <w:rPr>
                        <w:rFonts w:hint="eastAsia"/>
                      </w:rPr>
                      <w:t>4.期末余额</w:t>
                    </w:r>
                  </w:p>
                </w:tc>
              </w:sdtContent>
            </w:sdt>
            <w:tc>
              <w:tcPr>
                <w:tcW w:w="720" w:type="pct"/>
                <w:shd w:val="clear" w:color="auto" w:fill="auto"/>
                <w:vAlign w:val="center"/>
              </w:tcPr>
              <w:p w:rsidR="00B637B2" w:rsidRDefault="008F04CF" w:rsidP="00B637B2">
                <w:pPr>
                  <w:jc w:val="right"/>
                </w:pPr>
                <w:r>
                  <w:t>294,028,815</w:t>
                </w:r>
              </w:p>
            </w:tc>
            <w:tc>
              <w:tcPr>
                <w:tcW w:w="721" w:type="pct"/>
                <w:shd w:val="clear" w:color="auto" w:fill="auto"/>
                <w:vAlign w:val="center"/>
              </w:tcPr>
              <w:p w:rsidR="00B637B2" w:rsidRDefault="008F04CF" w:rsidP="00B637B2">
                <w:pPr>
                  <w:jc w:val="right"/>
                </w:pPr>
                <w:r>
                  <w:t>80,060,609</w:t>
                </w:r>
              </w:p>
            </w:tc>
            <w:tc>
              <w:tcPr>
                <w:tcW w:w="721" w:type="pct"/>
                <w:shd w:val="clear" w:color="auto" w:fill="auto"/>
                <w:vAlign w:val="center"/>
              </w:tcPr>
              <w:p w:rsidR="00B637B2" w:rsidRDefault="008F04CF" w:rsidP="00B637B2">
                <w:pPr>
                  <w:jc w:val="right"/>
                </w:pPr>
                <w:r>
                  <w:t>31,758,315</w:t>
                </w:r>
              </w:p>
            </w:tc>
            <w:tc>
              <w:tcPr>
                <w:tcW w:w="721" w:type="pct"/>
                <w:shd w:val="clear" w:color="auto" w:fill="auto"/>
                <w:vAlign w:val="center"/>
              </w:tcPr>
              <w:p w:rsidR="00B637B2" w:rsidRDefault="008F04CF" w:rsidP="00B637B2">
                <w:pPr>
                  <w:jc w:val="right"/>
                </w:pPr>
                <w:r>
                  <w:t>263,136,300</w:t>
                </w:r>
              </w:p>
            </w:tc>
            <w:tc>
              <w:tcPr>
                <w:tcW w:w="819" w:type="pct"/>
                <w:shd w:val="clear" w:color="auto" w:fill="auto"/>
                <w:vAlign w:val="center"/>
              </w:tcPr>
              <w:p w:rsidR="00B637B2" w:rsidRDefault="008F04CF" w:rsidP="00B637B2">
                <w:pPr>
                  <w:jc w:val="right"/>
                </w:pPr>
                <w:r>
                  <w:t>668,984,039</w:t>
                </w:r>
              </w:p>
            </w:tc>
          </w:tr>
          <w:tr w:rsidR="00B637B2" w:rsidTr="00B637B2">
            <w:sdt>
              <w:sdtPr>
                <w:tag w:val="_PLD_662c84047b6d41648e46d047cc9b134a"/>
                <w:id w:val="1650945091"/>
                <w:lock w:val="sdtLocked"/>
              </w:sdtPr>
              <w:sdtContent>
                <w:tc>
                  <w:tcPr>
                    <w:tcW w:w="1298" w:type="pct"/>
                    <w:shd w:val="clear" w:color="auto" w:fill="auto"/>
                  </w:tcPr>
                  <w:p w:rsidR="00B637B2" w:rsidRDefault="008F04CF" w:rsidP="00B637B2">
                    <w:r>
                      <w:rPr>
                        <w:rFonts w:hint="eastAsia"/>
                      </w:rPr>
                      <w:t>三、减值准备</w:t>
                    </w:r>
                  </w:p>
                </w:tc>
              </w:sdtContent>
            </w:sdt>
            <w:tc>
              <w:tcPr>
                <w:tcW w:w="720" w:type="pct"/>
                <w:shd w:val="clear" w:color="auto" w:fill="auto"/>
                <w:vAlign w:val="center"/>
              </w:tcPr>
              <w:p w:rsidR="00B637B2" w:rsidRDefault="00B637B2" w:rsidP="00B637B2">
                <w:pPr>
                  <w:jc w:val="center"/>
                </w:pPr>
              </w:p>
            </w:tc>
            <w:tc>
              <w:tcPr>
                <w:tcW w:w="721" w:type="pct"/>
                <w:shd w:val="clear" w:color="auto" w:fill="auto"/>
                <w:vAlign w:val="center"/>
              </w:tcPr>
              <w:p w:rsidR="00B637B2" w:rsidRDefault="00B637B2" w:rsidP="00B637B2">
                <w:pPr>
                  <w:jc w:val="center"/>
                </w:pPr>
              </w:p>
            </w:tc>
            <w:tc>
              <w:tcPr>
                <w:tcW w:w="721" w:type="pct"/>
                <w:shd w:val="clear" w:color="auto" w:fill="auto"/>
                <w:vAlign w:val="center"/>
              </w:tcPr>
              <w:p w:rsidR="00B637B2" w:rsidRDefault="00B637B2" w:rsidP="00B637B2">
                <w:pPr>
                  <w:jc w:val="center"/>
                </w:pPr>
              </w:p>
            </w:tc>
            <w:tc>
              <w:tcPr>
                <w:tcW w:w="721" w:type="pct"/>
                <w:shd w:val="clear" w:color="auto" w:fill="auto"/>
                <w:vAlign w:val="center"/>
              </w:tcPr>
              <w:p w:rsidR="00B637B2" w:rsidRDefault="00B637B2" w:rsidP="00B637B2">
                <w:pPr>
                  <w:jc w:val="center"/>
                </w:pPr>
              </w:p>
            </w:tc>
            <w:tc>
              <w:tcPr>
                <w:tcW w:w="819" w:type="pct"/>
                <w:shd w:val="clear" w:color="auto" w:fill="auto"/>
                <w:vAlign w:val="center"/>
              </w:tcPr>
              <w:p w:rsidR="00B637B2" w:rsidRDefault="00B637B2" w:rsidP="00B637B2">
                <w:pPr>
                  <w:jc w:val="center"/>
                </w:pPr>
              </w:p>
            </w:tc>
          </w:tr>
          <w:tr w:rsidR="00B637B2" w:rsidTr="00B637B2">
            <w:sdt>
              <w:sdtPr>
                <w:tag w:val="_PLD_ca34fab5808d492588c9f9773f2bb656"/>
                <w:id w:val="-1559008780"/>
                <w:lock w:val="sdtLocked"/>
              </w:sdtPr>
              <w:sdtContent>
                <w:tc>
                  <w:tcPr>
                    <w:tcW w:w="1298" w:type="pct"/>
                    <w:shd w:val="clear" w:color="auto" w:fill="auto"/>
                  </w:tcPr>
                  <w:p w:rsidR="00B637B2" w:rsidRDefault="008F04CF" w:rsidP="00B637B2">
                    <w:pPr>
                      <w:ind w:firstLineChars="200" w:firstLine="420"/>
                    </w:pPr>
                    <w:r>
                      <w:t>1.</w:t>
                    </w:r>
                    <w:r>
                      <w:rPr>
                        <w:rFonts w:hint="eastAsia"/>
                      </w:rPr>
                      <w:t>期初余额</w:t>
                    </w:r>
                  </w:p>
                </w:tc>
              </w:sdtContent>
            </w:sdt>
            <w:tc>
              <w:tcPr>
                <w:tcW w:w="720" w:type="pct"/>
                <w:shd w:val="clear" w:color="auto" w:fill="auto"/>
                <w:vAlign w:val="center"/>
              </w:tcPr>
              <w:p w:rsidR="00B637B2" w:rsidRDefault="00B637B2" w:rsidP="00B637B2">
                <w:pPr>
                  <w:jc w:val="right"/>
                </w:pPr>
              </w:p>
            </w:tc>
            <w:tc>
              <w:tcPr>
                <w:tcW w:w="721" w:type="pct"/>
                <w:shd w:val="clear" w:color="auto" w:fill="auto"/>
                <w:vAlign w:val="center"/>
              </w:tcPr>
              <w:p w:rsidR="00B637B2" w:rsidRDefault="00B637B2" w:rsidP="00B637B2">
                <w:pPr>
                  <w:jc w:val="right"/>
                </w:pPr>
              </w:p>
            </w:tc>
            <w:tc>
              <w:tcPr>
                <w:tcW w:w="721" w:type="pct"/>
                <w:shd w:val="clear" w:color="auto" w:fill="auto"/>
                <w:vAlign w:val="center"/>
              </w:tcPr>
              <w:p w:rsidR="00B637B2" w:rsidRDefault="00B637B2" w:rsidP="00B637B2">
                <w:pPr>
                  <w:jc w:val="right"/>
                </w:pPr>
              </w:p>
            </w:tc>
            <w:tc>
              <w:tcPr>
                <w:tcW w:w="721" w:type="pct"/>
                <w:shd w:val="clear" w:color="auto" w:fill="auto"/>
                <w:vAlign w:val="center"/>
              </w:tcPr>
              <w:p w:rsidR="00B637B2" w:rsidRDefault="00B637B2" w:rsidP="00B637B2">
                <w:pPr>
                  <w:jc w:val="right"/>
                </w:pPr>
              </w:p>
            </w:tc>
            <w:tc>
              <w:tcPr>
                <w:tcW w:w="819" w:type="pct"/>
                <w:shd w:val="clear" w:color="auto" w:fill="auto"/>
                <w:vAlign w:val="center"/>
              </w:tcPr>
              <w:p w:rsidR="00B637B2" w:rsidRDefault="00B637B2" w:rsidP="00B637B2">
                <w:pPr>
                  <w:jc w:val="right"/>
                </w:pPr>
              </w:p>
            </w:tc>
          </w:tr>
          <w:tr w:rsidR="00B637B2" w:rsidTr="00B637B2">
            <w:sdt>
              <w:sdtPr>
                <w:tag w:val="_PLD_558d8ea305db4595a0aa4db4612e68ec"/>
                <w:id w:val="152262332"/>
                <w:lock w:val="sdtLocked"/>
              </w:sdtPr>
              <w:sdtContent>
                <w:tc>
                  <w:tcPr>
                    <w:tcW w:w="1298" w:type="pct"/>
                    <w:shd w:val="clear" w:color="auto" w:fill="auto"/>
                  </w:tcPr>
                  <w:p w:rsidR="00B637B2" w:rsidRDefault="008F04CF" w:rsidP="00B637B2">
                    <w:pPr>
                      <w:ind w:firstLineChars="200" w:firstLine="420"/>
                    </w:pPr>
                    <w:r>
                      <w:t>2.</w:t>
                    </w:r>
                    <w:r>
                      <w:rPr>
                        <w:rFonts w:hint="eastAsia"/>
                      </w:rPr>
                      <w:t>本期增加金额</w:t>
                    </w:r>
                  </w:p>
                </w:tc>
              </w:sdtContent>
            </w:sdt>
            <w:tc>
              <w:tcPr>
                <w:tcW w:w="720" w:type="pct"/>
                <w:shd w:val="clear" w:color="auto" w:fill="auto"/>
                <w:vAlign w:val="center"/>
              </w:tcPr>
              <w:p w:rsidR="00B637B2" w:rsidRDefault="00B637B2" w:rsidP="00B637B2">
                <w:pPr>
                  <w:jc w:val="right"/>
                </w:pPr>
              </w:p>
            </w:tc>
            <w:tc>
              <w:tcPr>
                <w:tcW w:w="721" w:type="pct"/>
                <w:shd w:val="clear" w:color="auto" w:fill="auto"/>
                <w:vAlign w:val="center"/>
              </w:tcPr>
              <w:p w:rsidR="00B637B2" w:rsidRDefault="00B637B2" w:rsidP="00B637B2">
                <w:pPr>
                  <w:jc w:val="right"/>
                </w:pPr>
              </w:p>
            </w:tc>
            <w:tc>
              <w:tcPr>
                <w:tcW w:w="721" w:type="pct"/>
                <w:shd w:val="clear" w:color="auto" w:fill="auto"/>
                <w:vAlign w:val="center"/>
              </w:tcPr>
              <w:p w:rsidR="00B637B2" w:rsidRDefault="00B637B2" w:rsidP="00B637B2">
                <w:pPr>
                  <w:jc w:val="right"/>
                </w:pPr>
              </w:p>
            </w:tc>
            <w:tc>
              <w:tcPr>
                <w:tcW w:w="721" w:type="pct"/>
                <w:shd w:val="clear" w:color="auto" w:fill="auto"/>
                <w:vAlign w:val="center"/>
              </w:tcPr>
              <w:p w:rsidR="00B637B2" w:rsidRDefault="00B637B2" w:rsidP="00B637B2">
                <w:pPr>
                  <w:jc w:val="right"/>
                </w:pPr>
              </w:p>
            </w:tc>
            <w:tc>
              <w:tcPr>
                <w:tcW w:w="819" w:type="pct"/>
                <w:shd w:val="clear" w:color="auto" w:fill="auto"/>
                <w:vAlign w:val="center"/>
              </w:tcPr>
              <w:p w:rsidR="00B637B2" w:rsidRDefault="00B637B2" w:rsidP="00B637B2">
                <w:pPr>
                  <w:jc w:val="right"/>
                </w:pPr>
              </w:p>
            </w:tc>
          </w:tr>
          <w:tr w:rsidR="00B637B2" w:rsidTr="00B637B2">
            <w:sdt>
              <w:sdtPr>
                <w:tag w:val="_PLD_433ae6be63a842f9b3c972bb56b0616a"/>
                <w:id w:val="-1376079410"/>
                <w:lock w:val="sdtLocked"/>
              </w:sdtPr>
              <w:sdtContent>
                <w:tc>
                  <w:tcPr>
                    <w:tcW w:w="1298" w:type="pct"/>
                    <w:shd w:val="clear" w:color="auto" w:fill="auto"/>
                  </w:tcPr>
                  <w:p w:rsidR="00B637B2" w:rsidRDefault="008F04CF" w:rsidP="00B637B2">
                    <w:pPr>
                      <w:ind w:firstLineChars="300" w:firstLine="630"/>
                    </w:pPr>
                    <w:r>
                      <w:rPr>
                        <w:rFonts w:hint="eastAsia"/>
                      </w:rPr>
                      <w:t>（1）计提</w:t>
                    </w:r>
                  </w:p>
                </w:tc>
              </w:sdtContent>
            </w:sdt>
            <w:tc>
              <w:tcPr>
                <w:tcW w:w="720" w:type="pct"/>
                <w:shd w:val="clear" w:color="auto" w:fill="auto"/>
                <w:vAlign w:val="center"/>
              </w:tcPr>
              <w:p w:rsidR="00B637B2" w:rsidRDefault="00B637B2" w:rsidP="00B637B2">
                <w:pPr>
                  <w:jc w:val="right"/>
                </w:pPr>
              </w:p>
            </w:tc>
            <w:tc>
              <w:tcPr>
                <w:tcW w:w="721" w:type="pct"/>
                <w:shd w:val="clear" w:color="auto" w:fill="auto"/>
                <w:vAlign w:val="center"/>
              </w:tcPr>
              <w:p w:rsidR="00B637B2" w:rsidRDefault="00B637B2" w:rsidP="00B637B2">
                <w:pPr>
                  <w:jc w:val="right"/>
                </w:pPr>
              </w:p>
            </w:tc>
            <w:tc>
              <w:tcPr>
                <w:tcW w:w="721" w:type="pct"/>
                <w:shd w:val="clear" w:color="auto" w:fill="auto"/>
                <w:vAlign w:val="center"/>
              </w:tcPr>
              <w:p w:rsidR="00B637B2" w:rsidRDefault="00B637B2" w:rsidP="00B637B2">
                <w:pPr>
                  <w:jc w:val="right"/>
                </w:pPr>
              </w:p>
            </w:tc>
            <w:tc>
              <w:tcPr>
                <w:tcW w:w="721" w:type="pct"/>
                <w:shd w:val="clear" w:color="auto" w:fill="auto"/>
                <w:vAlign w:val="center"/>
              </w:tcPr>
              <w:p w:rsidR="00B637B2" w:rsidRDefault="00B637B2" w:rsidP="00B637B2">
                <w:pPr>
                  <w:jc w:val="right"/>
                </w:pPr>
              </w:p>
            </w:tc>
            <w:tc>
              <w:tcPr>
                <w:tcW w:w="819" w:type="pct"/>
                <w:shd w:val="clear" w:color="auto" w:fill="auto"/>
                <w:vAlign w:val="center"/>
              </w:tcPr>
              <w:p w:rsidR="00B637B2" w:rsidRDefault="00B637B2" w:rsidP="00B637B2">
                <w:pPr>
                  <w:jc w:val="right"/>
                </w:pPr>
              </w:p>
            </w:tc>
          </w:tr>
          <w:tr w:rsidR="00B637B2" w:rsidTr="00B637B2">
            <w:sdt>
              <w:sdtPr>
                <w:rPr>
                  <w:rFonts w:hint="eastAsia"/>
                </w:rPr>
                <w:alias w:val="固定资产减值准备增加项目名称"/>
                <w:tag w:val="_GBC_cd4874649a714a85b3aaac58f235f408"/>
                <w:id w:val="-2045891103"/>
                <w:lock w:val="sdtLocked"/>
                <w:showingPlcHdr/>
              </w:sdtPr>
              <w:sdtContent>
                <w:tc>
                  <w:tcPr>
                    <w:tcW w:w="1298" w:type="pct"/>
                    <w:shd w:val="clear" w:color="auto" w:fill="auto"/>
                  </w:tcPr>
                  <w:p w:rsidR="00B637B2" w:rsidRDefault="008F04CF" w:rsidP="00B637B2">
                    <w:pPr>
                      <w:ind w:firstLineChars="300" w:firstLine="630"/>
                    </w:pPr>
                    <w:r>
                      <w:rPr>
                        <w:rFonts w:hint="eastAsia"/>
                      </w:rPr>
                      <w:t xml:space="preserve">　</w:t>
                    </w:r>
                  </w:p>
                </w:tc>
              </w:sdtContent>
            </w:sdt>
            <w:sdt>
              <w:sdtPr>
                <w:rPr>
                  <w:rFonts w:hint="eastAsia"/>
                </w:rPr>
                <w:alias w:val="固定资产减值准备增加项目金额"/>
                <w:tag w:val="_GBC_f55c18250a6d4260aa1a4fc716b81fe1"/>
                <w:id w:val="1338040436"/>
                <w:lock w:val="sdtLocked"/>
                <w:showingPlcHdr/>
              </w:sdtPr>
              <w:sdtContent>
                <w:tc>
                  <w:tcPr>
                    <w:tcW w:w="720" w:type="pct"/>
                    <w:shd w:val="clear" w:color="auto" w:fill="auto"/>
                  </w:tcPr>
                  <w:p w:rsidR="00B637B2" w:rsidRDefault="008F04CF" w:rsidP="00B637B2">
                    <w:pPr>
                      <w:jc w:val="right"/>
                    </w:pPr>
                    <w:r>
                      <w:rPr>
                        <w:rFonts w:hint="eastAsia"/>
                      </w:rPr>
                      <w:t xml:space="preserve">　</w:t>
                    </w:r>
                  </w:p>
                </w:tc>
              </w:sdtContent>
            </w:sdt>
            <w:sdt>
              <w:sdtPr>
                <w:rPr>
                  <w:rFonts w:hint="eastAsia"/>
                </w:rPr>
                <w:alias w:val="固定资产减值准备增加项目金额"/>
                <w:tag w:val="_GBC_f55c18250a6d4260aa1a4fc716b81fe1"/>
                <w:id w:val="673465605"/>
                <w:lock w:val="sdtLocked"/>
                <w:showingPlcHdr/>
              </w:sdtPr>
              <w:sdtContent>
                <w:tc>
                  <w:tcPr>
                    <w:tcW w:w="721" w:type="pct"/>
                    <w:shd w:val="clear" w:color="auto" w:fill="auto"/>
                  </w:tcPr>
                  <w:p w:rsidR="00B637B2" w:rsidRDefault="008F04CF" w:rsidP="00B637B2">
                    <w:pPr>
                      <w:jc w:val="right"/>
                    </w:pPr>
                    <w:r>
                      <w:rPr>
                        <w:rFonts w:hint="eastAsia"/>
                      </w:rPr>
                      <w:t xml:space="preserve">　</w:t>
                    </w:r>
                  </w:p>
                </w:tc>
              </w:sdtContent>
            </w:sdt>
            <w:sdt>
              <w:sdtPr>
                <w:rPr>
                  <w:rFonts w:hint="eastAsia"/>
                </w:rPr>
                <w:alias w:val="固定资产减值准备增加项目金额"/>
                <w:tag w:val="_GBC_f55c18250a6d4260aa1a4fc716b81fe1"/>
                <w:id w:val="308294352"/>
                <w:lock w:val="sdtLocked"/>
                <w:showingPlcHdr/>
              </w:sdtPr>
              <w:sdtContent>
                <w:tc>
                  <w:tcPr>
                    <w:tcW w:w="721" w:type="pct"/>
                    <w:shd w:val="clear" w:color="auto" w:fill="auto"/>
                  </w:tcPr>
                  <w:p w:rsidR="00B637B2" w:rsidRDefault="008F04CF" w:rsidP="00B637B2">
                    <w:pPr>
                      <w:jc w:val="right"/>
                    </w:pPr>
                    <w:r>
                      <w:rPr>
                        <w:rFonts w:hint="eastAsia"/>
                      </w:rPr>
                      <w:t xml:space="preserve">　</w:t>
                    </w:r>
                  </w:p>
                </w:tc>
              </w:sdtContent>
            </w:sdt>
            <w:sdt>
              <w:sdtPr>
                <w:rPr>
                  <w:rFonts w:hint="eastAsia"/>
                </w:rPr>
                <w:alias w:val="固定资产减值准备增加项目金额"/>
                <w:tag w:val="_GBC_f55c18250a6d4260aa1a4fc716b81fe1"/>
                <w:id w:val="-1682124605"/>
                <w:lock w:val="sdtLocked"/>
                <w:showingPlcHdr/>
              </w:sdtPr>
              <w:sdtContent>
                <w:tc>
                  <w:tcPr>
                    <w:tcW w:w="721" w:type="pct"/>
                    <w:shd w:val="clear" w:color="auto" w:fill="auto"/>
                  </w:tcPr>
                  <w:p w:rsidR="00B637B2" w:rsidRDefault="008F04CF" w:rsidP="00B637B2">
                    <w:pPr>
                      <w:jc w:val="right"/>
                    </w:pPr>
                    <w:r>
                      <w:rPr>
                        <w:rFonts w:hint="eastAsia"/>
                      </w:rPr>
                      <w:t xml:space="preserve">　</w:t>
                    </w:r>
                  </w:p>
                </w:tc>
              </w:sdtContent>
            </w:sdt>
            <w:sdt>
              <w:sdtPr>
                <w:rPr>
                  <w:rFonts w:hint="eastAsia"/>
                </w:rPr>
                <w:alias w:val="固定资产减值准备增加项目合计金额"/>
                <w:tag w:val="_GBC_88047d8723a840e3b605e1a8a9eb2480"/>
                <w:id w:val="509884134"/>
                <w:lock w:val="sdtLocked"/>
                <w:showingPlcHdr/>
              </w:sdtPr>
              <w:sdtContent>
                <w:tc>
                  <w:tcPr>
                    <w:tcW w:w="819" w:type="pct"/>
                    <w:shd w:val="clear" w:color="auto" w:fill="auto"/>
                  </w:tcPr>
                  <w:p w:rsidR="00B637B2" w:rsidRDefault="008F04CF" w:rsidP="00B637B2">
                    <w:pPr>
                      <w:jc w:val="right"/>
                    </w:pPr>
                    <w:r>
                      <w:rPr>
                        <w:rFonts w:hint="eastAsia"/>
                      </w:rPr>
                      <w:t xml:space="preserve">　</w:t>
                    </w:r>
                  </w:p>
                </w:tc>
              </w:sdtContent>
            </w:sdt>
          </w:tr>
          <w:tr w:rsidR="00B637B2" w:rsidTr="00B637B2">
            <w:sdt>
              <w:sdtPr>
                <w:rPr>
                  <w:rFonts w:hint="eastAsia"/>
                </w:rPr>
                <w:alias w:val="固定资产减值准备增加项目名称"/>
                <w:tag w:val="_GBC_cd4874649a714a85b3aaac58f235f408"/>
                <w:id w:val="1987891420"/>
                <w:lock w:val="sdtLocked"/>
                <w:showingPlcHdr/>
              </w:sdtPr>
              <w:sdtContent>
                <w:tc>
                  <w:tcPr>
                    <w:tcW w:w="1298" w:type="pct"/>
                    <w:shd w:val="clear" w:color="auto" w:fill="auto"/>
                  </w:tcPr>
                  <w:p w:rsidR="00B637B2" w:rsidRDefault="008F04CF" w:rsidP="00B637B2">
                    <w:pPr>
                      <w:ind w:firstLineChars="300" w:firstLine="630"/>
                    </w:pPr>
                    <w:r>
                      <w:rPr>
                        <w:rFonts w:hint="eastAsia"/>
                      </w:rPr>
                      <w:t xml:space="preserve">　</w:t>
                    </w:r>
                  </w:p>
                </w:tc>
              </w:sdtContent>
            </w:sdt>
            <w:sdt>
              <w:sdtPr>
                <w:rPr>
                  <w:rFonts w:hint="eastAsia"/>
                </w:rPr>
                <w:alias w:val="固定资产减值准备增加项目金额"/>
                <w:tag w:val="_GBC_f55c18250a6d4260aa1a4fc716b81fe1"/>
                <w:id w:val="-221141238"/>
                <w:lock w:val="sdtLocked"/>
                <w:showingPlcHdr/>
              </w:sdtPr>
              <w:sdtContent>
                <w:tc>
                  <w:tcPr>
                    <w:tcW w:w="720" w:type="pct"/>
                    <w:shd w:val="clear" w:color="auto" w:fill="auto"/>
                  </w:tcPr>
                  <w:p w:rsidR="00B637B2" w:rsidRDefault="008F04CF" w:rsidP="00B637B2">
                    <w:pPr>
                      <w:jc w:val="right"/>
                    </w:pPr>
                    <w:r>
                      <w:rPr>
                        <w:rFonts w:hint="eastAsia"/>
                      </w:rPr>
                      <w:t xml:space="preserve">　</w:t>
                    </w:r>
                  </w:p>
                </w:tc>
              </w:sdtContent>
            </w:sdt>
            <w:sdt>
              <w:sdtPr>
                <w:rPr>
                  <w:rFonts w:hint="eastAsia"/>
                </w:rPr>
                <w:alias w:val="固定资产减值准备增加项目金额"/>
                <w:tag w:val="_GBC_f55c18250a6d4260aa1a4fc716b81fe1"/>
                <w:id w:val="-1858647592"/>
                <w:lock w:val="sdtLocked"/>
                <w:showingPlcHdr/>
              </w:sdtPr>
              <w:sdtContent>
                <w:tc>
                  <w:tcPr>
                    <w:tcW w:w="721" w:type="pct"/>
                    <w:shd w:val="clear" w:color="auto" w:fill="auto"/>
                  </w:tcPr>
                  <w:p w:rsidR="00B637B2" w:rsidRDefault="00B637B2" w:rsidP="00B637B2">
                    <w:pPr>
                      <w:jc w:val="right"/>
                    </w:pPr>
                  </w:p>
                </w:tc>
              </w:sdtContent>
            </w:sdt>
            <w:sdt>
              <w:sdtPr>
                <w:rPr>
                  <w:rFonts w:hint="eastAsia"/>
                </w:rPr>
                <w:alias w:val="固定资产减值准备增加项目金额"/>
                <w:tag w:val="_GBC_f55c18250a6d4260aa1a4fc716b81fe1"/>
                <w:id w:val="791944512"/>
                <w:lock w:val="sdtLocked"/>
                <w:showingPlcHdr/>
              </w:sdtPr>
              <w:sdtContent>
                <w:tc>
                  <w:tcPr>
                    <w:tcW w:w="721" w:type="pct"/>
                    <w:shd w:val="clear" w:color="auto" w:fill="auto"/>
                  </w:tcPr>
                  <w:p w:rsidR="00B637B2" w:rsidRDefault="00B637B2" w:rsidP="00B637B2">
                    <w:pPr>
                      <w:jc w:val="right"/>
                    </w:pPr>
                  </w:p>
                </w:tc>
              </w:sdtContent>
            </w:sdt>
            <w:sdt>
              <w:sdtPr>
                <w:rPr>
                  <w:rFonts w:hint="eastAsia"/>
                </w:rPr>
                <w:alias w:val="固定资产减值准备增加项目金额"/>
                <w:tag w:val="_GBC_f55c18250a6d4260aa1a4fc716b81fe1"/>
                <w:id w:val="1607841118"/>
                <w:lock w:val="sdtLocked"/>
                <w:showingPlcHdr/>
              </w:sdtPr>
              <w:sdtContent>
                <w:tc>
                  <w:tcPr>
                    <w:tcW w:w="721" w:type="pct"/>
                    <w:shd w:val="clear" w:color="auto" w:fill="auto"/>
                  </w:tcPr>
                  <w:p w:rsidR="00B637B2" w:rsidRDefault="00B637B2" w:rsidP="00B637B2">
                    <w:pPr>
                      <w:jc w:val="right"/>
                    </w:pPr>
                  </w:p>
                </w:tc>
              </w:sdtContent>
            </w:sdt>
            <w:sdt>
              <w:sdtPr>
                <w:rPr>
                  <w:rFonts w:hint="eastAsia"/>
                </w:rPr>
                <w:alias w:val="固定资产减值准备增加项目合计金额"/>
                <w:tag w:val="_GBC_88047d8723a840e3b605e1a8a9eb2480"/>
                <w:id w:val="849990336"/>
                <w:lock w:val="sdtLocked"/>
                <w:showingPlcHdr/>
              </w:sdtPr>
              <w:sdtContent>
                <w:tc>
                  <w:tcPr>
                    <w:tcW w:w="819" w:type="pct"/>
                    <w:shd w:val="clear" w:color="auto" w:fill="auto"/>
                  </w:tcPr>
                  <w:p w:rsidR="00B637B2" w:rsidRDefault="008F04CF" w:rsidP="00B637B2">
                    <w:pPr>
                      <w:jc w:val="right"/>
                    </w:pPr>
                    <w:r>
                      <w:rPr>
                        <w:rFonts w:hint="eastAsia"/>
                      </w:rPr>
                      <w:t xml:space="preserve">　</w:t>
                    </w:r>
                  </w:p>
                </w:tc>
              </w:sdtContent>
            </w:sdt>
          </w:tr>
          <w:tr w:rsidR="00B637B2" w:rsidTr="00B637B2">
            <w:sdt>
              <w:sdtPr>
                <w:tag w:val="_PLD_9f06e7f0e71e4a3aa190d3fcd09490fc"/>
                <w:id w:val="1791246978"/>
                <w:lock w:val="sdtLocked"/>
              </w:sdtPr>
              <w:sdtContent>
                <w:tc>
                  <w:tcPr>
                    <w:tcW w:w="1298" w:type="pct"/>
                    <w:shd w:val="clear" w:color="auto" w:fill="auto"/>
                  </w:tcPr>
                  <w:p w:rsidR="00B637B2" w:rsidRDefault="008F04CF" w:rsidP="00B637B2">
                    <w:pPr>
                      <w:ind w:firstLineChars="200" w:firstLine="420"/>
                    </w:pPr>
                    <w:r>
                      <w:rPr>
                        <w:rFonts w:hint="eastAsia"/>
                      </w:rPr>
                      <w:t>3.本期减少金额</w:t>
                    </w:r>
                  </w:p>
                </w:tc>
              </w:sdtContent>
            </w:sdt>
            <w:tc>
              <w:tcPr>
                <w:tcW w:w="720" w:type="pct"/>
                <w:shd w:val="clear" w:color="auto" w:fill="auto"/>
                <w:vAlign w:val="center"/>
              </w:tcPr>
              <w:p w:rsidR="00B637B2" w:rsidRDefault="00B637B2" w:rsidP="00B637B2">
                <w:pPr>
                  <w:jc w:val="right"/>
                </w:pPr>
              </w:p>
            </w:tc>
            <w:tc>
              <w:tcPr>
                <w:tcW w:w="721" w:type="pct"/>
                <w:shd w:val="clear" w:color="auto" w:fill="auto"/>
                <w:vAlign w:val="center"/>
              </w:tcPr>
              <w:p w:rsidR="00B637B2" w:rsidRDefault="00B637B2" w:rsidP="00B637B2">
                <w:pPr>
                  <w:jc w:val="right"/>
                </w:pPr>
              </w:p>
            </w:tc>
            <w:tc>
              <w:tcPr>
                <w:tcW w:w="721" w:type="pct"/>
                <w:shd w:val="clear" w:color="auto" w:fill="auto"/>
                <w:vAlign w:val="center"/>
              </w:tcPr>
              <w:p w:rsidR="00B637B2" w:rsidRDefault="00B637B2" w:rsidP="00B637B2">
                <w:pPr>
                  <w:jc w:val="right"/>
                </w:pPr>
              </w:p>
            </w:tc>
            <w:tc>
              <w:tcPr>
                <w:tcW w:w="721" w:type="pct"/>
                <w:shd w:val="clear" w:color="auto" w:fill="auto"/>
                <w:vAlign w:val="center"/>
              </w:tcPr>
              <w:p w:rsidR="00B637B2" w:rsidRDefault="00B637B2" w:rsidP="00B637B2">
                <w:pPr>
                  <w:jc w:val="right"/>
                </w:pPr>
              </w:p>
            </w:tc>
            <w:tc>
              <w:tcPr>
                <w:tcW w:w="819" w:type="pct"/>
                <w:shd w:val="clear" w:color="auto" w:fill="auto"/>
                <w:vAlign w:val="center"/>
              </w:tcPr>
              <w:p w:rsidR="00B637B2" w:rsidRDefault="00B637B2" w:rsidP="00B637B2">
                <w:pPr>
                  <w:jc w:val="right"/>
                </w:pPr>
              </w:p>
            </w:tc>
          </w:tr>
          <w:tr w:rsidR="00B637B2" w:rsidTr="00B637B2">
            <w:sdt>
              <w:sdtPr>
                <w:tag w:val="_PLD_27997f63b30343a4a13f2ee412af0eba"/>
                <w:id w:val="-695844034"/>
                <w:lock w:val="sdtLocked"/>
              </w:sdtPr>
              <w:sdtContent>
                <w:tc>
                  <w:tcPr>
                    <w:tcW w:w="1298" w:type="pct"/>
                    <w:shd w:val="clear" w:color="auto" w:fill="auto"/>
                  </w:tcPr>
                  <w:p w:rsidR="00B637B2" w:rsidRDefault="008F04CF" w:rsidP="00B637B2">
                    <w:pPr>
                      <w:ind w:firstLineChars="300" w:firstLine="630"/>
                    </w:pPr>
                    <w:r>
                      <w:rPr>
                        <w:rFonts w:hint="eastAsia"/>
                      </w:rPr>
                      <w:t>（1）处置或报废</w:t>
                    </w:r>
                  </w:p>
                </w:tc>
              </w:sdtContent>
            </w:sdt>
            <w:tc>
              <w:tcPr>
                <w:tcW w:w="720" w:type="pct"/>
                <w:shd w:val="clear" w:color="auto" w:fill="auto"/>
                <w:vAlign w:val="center"/>
              </w:tcPr>
              <w:p w:rsidR="00B637B2" w:rsidRDefault="00B637B2" w:rsidP="00B637B2">
                <w:pPr>
                  <w:jc w:val="right"/>
                </w:pPr>
              </w:p>
            </w:tc>
            <w:tc>
              <w:tcPr>
                <w:tcW w:w="721" w:type="pct"/>
                <w:shd w:val="clear" w:color="auto" w:fill="auto"/>
                <w:vAlign w:val="center"/>
              </w:tcPr>
              <w:p w:rsidR="00B637B2" w:rsidRDefault="00B637B2" w:rsidP="00B637B2">
                <w:pPr>
                  <w:jc w:val="right"/>
                </w:pPr>
              </w:p>
            </w:tc>
            <w:tc>
              <w:tcPr>
                <w:tcW w:w="721" w:type="pct"/>
                <w:shd w:val="clear" w:color="auto" w:fill="auto"/>
                <w:vAlign w:val="center"/>
              </w:tcPr>
              <w:p w:rsidR="00B637B2" w:rsidRDefault="00B637B2" w:rsidP="00B637B2">
                <w:pPr>
                  <w:jc w:val="right"/>
                </w:pPr>
              </w:p>
            </w:tc>
            <w:tc>
              <w:tcPr>
                <w:tcW w:w="721" w:type="pct"/>
                <w:shd w:val="clear" w:color="auto" w:fill="auto"/>
                <w:vAlign w:val="center"/>
              </w:tcPr>
              <w:p w:rsidR="00B637B2" w:rsidRDefault="00B637B2" w:rsidP="00B637B2">
                <w:pPr>
                  <w:jc w:val="right"/>
                </w:pPr>
              </w:p>
            </w:tc>
            <w:tc>
              <w:tcPr>
                <w:tcW w:w="819" w:type="pct"/>
                <w:shd w:val="clear" w:color="auto" w:fill="auto"/>
                <w:vAlign w:val="center"/>
              </w:tcPr>
              <w:p w:rsidR="00B637B2" w:rsidRDefault="00B637B2" w:rsidP="00B637B2">
                <w:pPr>
                  <w:jc w:val="right"/>
                </w:pPr>
              </w:p>
            </w:tc>
          </w:tr>
          <w:tr w:rsidR="00B637B2" w:rsidTr="00B637B2">
            <w:sdt>
              <w:sdtPr>
                <w:rPr>
                  <w:rFonts w:hint="eastAsia"/>
                </w:rPr>
                <w:alias w:val="固定资产减值准备减少项目名称"/>
                <w:tag w:val="_GBC_93191e5a7f9541baa313dc06935eacfa"/>
                <w:id w:val="-330302803"/>
                <w:lock w:val="sdtLocked"/>
                <w:showingPlcHdr/>
              </w:sdtPr>
              <w:sdtContent>
                <w:tc>
                  <w:tcPr>
                    <w:tcW w:w="1298" w:type="pct"/>
                    <w:shd w:val="clear" w:color="auto" w:fill="auto"/>
                  </w:tcPr>
                  <w:p w:rsidR="00B637B2" w:rsidRDefault="008F04CF" w:rsidP="00B637B2">
                    <w:pPr>
                      <w:ind w:firstLineChars="300" w:firstLine="630"/>
                    </w:pPr>
                    <w:r>
                      <w:rPr>
                        <w:rFonts w:hint="eastAsia"/>
                      </w:rPr>
                      <w:t xml:space="preserve">　</w:t>
                    </w:r>
                  </w:p>
                </w:tc>
              </w:sdtContent>
            </w:sdt>
            <w:sdt>
              <w:sdtPr>
                <w:rPr>
                  <w:rFonts w:hint="eastAsia"/>
                </w:rPr>
                <w:alias w:val="固定资产减值准备减少项目金额"/>
                <w:tag w:val="_GBC_0fab043e13824e84b5ce3df5dc1f6117"/>
                <w:id w:val="996533875"/>
                <w:lock w:val="sdtLocked"/>
                <w:showingPlcHdr/>
              </w:sdtPr>
              <w:sdtContent>
                <w:tc>
                  <w:tcPr>
                    <w:tcW w:w="720" w:type="pct"/>
                    <w:shd w:val="clear" w:color="auto" w:fill="auto"/>
                  </w:tcPr>
                  <w:p w:rsidR="00B637B2" w:rsidRDefault="008F04CF" w:rsidP="00B637B2">
                    <w:pPr>
                      <w:jc w:val="right"/>
                    </w:pPr>
                    <w:r>
                      <w:rPr>
                        <w:rFonts w:hint="eastAsia"/>
                      </w:rPr>
                      <w:t xml:space="preserve">　</w:t>
                    </w:r>
                  </w:p>
                </w:tc>
              </w:sdtContent>
            </w:sdt>
            <w:sdt>
              <w:sdtPr>
                <w:rPr>
                  <w:rFonts w:hint="eastAsia"/>
                </w:rPr>
                <w:alias w:val="固定资产减值准备减少项目金额"/>
                <w:tag w:val="_GBC_0fab043e13824e84b5ce3df5dc1f6117"/>
                <w:id w:val="800809149"/>
                <w:lock w:val="sdtLocked"/>
                <w:showingPlcHdr/>
              </w:sdtPr>
              <w:sdtContent>
                <w:tc>
                  <w:tcPr>
                    <w:tcW w:w="721" w:type="pct"/>
                    <w:shd w:val="clear" w:color="auto" w:fill="auto"/>
                  </w:tcPr>
                  <w:p w:rsidR="00B637B2" w:rsidRDefault="008F04CF" w:rsidP="00B637B2">
                    <w:pPr>
                      <w:jc w:val="right"/>
                    </w:pPr>
                    <w:r>
                      <w:rPr>
                        <w:rFonts w:hint="eastAsia"/>
                      </w:rPr>
                      <w:t xml:space="preserve">　</w:t>
                    </w:r>
                  </w:p>
                </w:tc>
              </w:sdtContent>
            </w:sdt>
            <w:sdt>
              <w:sdtPr>
                <w:rPr>
                  <w:rFonts w:hint="eastAsia"/>
                </w:rPr>
                <w:alias w:val="固定资产减值准备减少项目金额"/>
                <w:tag w:val="_GBC_0fab043e13824e84b5ce3df5dc1f6117"/>
                <w:id w:val="-1740786695"/>
                <w:lock w:val="sdtLocked"/>
                <w:showingPlcHdr/>
              </w:sdtPr>
              <w:sdtContent>
                <w:tc>
                  <w:tcPr>
                    <w:tcW w:w="721" w:type="pct"/>
                    <w:shd w:val="clear" w:color="auto" w:fill="auto"/>
                  </w:tcPr>
                  <w:p w:rsidR="00B637B2" w:rsidRDefault="008F04CF" w:rsidP="00B637B2">
                    <w:pPr>
                      <w:jc w:val="right"/>
                    </w:pPr>
                    <w:r>
                      <w:rPr>
                        <w:rFonts w:hint="eastAsia"/>
                      </w:rPr>
                      <w:t xml:space="preserve">　</w:t>
                    </w:r>
                  </w:p>
                </w:tc>
              </w:sdtContent>
            </w:sdt>
            <w:sdt>
              <w:sdtPr>
                <w:rPr>
                  <w:rFonts w:hint="eastAsia"/>
                </w:rPr>
                <w:alias w:val="固定资产减值准备减少项目金额"/>
                <w:tag w:val="_GBC_0fab043e13824e84b5ce3df5dc1f6117"/>
                <w:id w:val="-1140106813"/>
                <w:lock w:val="sdtLocked"/>
                <w:showingPlcHdr/>
              </w:sdtPr>
              <w:sdtContent>
                <w:tc>
                  <w:tcPr>
                    <w:tcW w:w="721" w:type="pct"/>
                    <w:shd w:val="clear" w:color="auto" w:fill="auto"/>
                  </w:tcPr>
                  <w:p w:rsidR="00B637B2" w:rsidRDefault="008F04CF" w:rsidP="00B637B2">
                    <w:pPr>
                      <w:jc w:val="right"/>
                    </w:pPr>
                    <w:r>
                      <w:rPr>
                        <w:rFonts w:hint="eastAsia"/>
                      </w:rPr>
                      <w:t xml:space="preserve">　</w:t>
                    </w:r>
                  </w:p>
                </w:tc>
              </w:sdtContent>
            </w:sdt>
            <w:sdt>
              <w:sdtPr>
                <w:rPr>
                  <w:rFonts w:hint="eastAsia"/>
                </w:rPr>
                <w:alias w:val="固定资产减值准备减少项目合计金额"/>
                <w:tag w:val="_GBC_f2b67b2f05f642f1a1a4741a8fd1878c"/>
                <w:id w:val="-752124381"/>
                <w:lock w:val="sdtLocked"/>
                <w:showingPlcHdr/>
              </w:sdtPr>
              <w:sdtContent>
                <w:tc>
                  <w:tcPr>
                    <w:tcW w:w="819" w:type="pct"/>
                    <w:shd w:val="clear" w:color="auto" w:fill="auto"/>
                  </w:tcPr>
                  <w:p w:rsidR="00B637B2" w:rsidRDefault="008F04CF" w:rsidP="00B637B2">
                    <w:pPr>
                      <w:jc w:val="right"/>
                    </w:pPr>
                    <w:r>
                      <w:rPr>
                        <w:rFonts w:hint="eastAsia"/>
                      </w:rPr>
                      <w:t xml:space="preserve">　</w:t>
                    </w:r>
                  </w:p>
                </w:tc>
              </w:sdtContent>
            </w:sdt>
          </w:tr>
          <w:tr w:rsidR="00B637B2" w:rsidTr="00B637B2">
            <w:sdt>
              <w:sdtPr>
                <w:rPr>
                  <w:rFonts w:hint="eastAsia"/>
                </w:rPr>
                <w:alias w:val="固定资产减值准备减少项目名称"/>
                <w:tag w:val="_GBC_93191e5a7f9541baa313dc06935eacfa"/>
                <w:id w:val="1895929300"/>
                <w:lock w:val="sdtLocked"/>
                <w:showingPlcHdr/>
              </w:sdtPr>
              <w:sdtContent>
                <w:tc>
                  <w:tcPr>
                    <w:tcW w:w="1298" w:type="pct"/>
                    <w:shd w:val="clear" w:color="auto" w:fill="auto"/>
                  </w:tcPr>
                  <w:p w:rsidR="00B637B2" w:rsidRDefault="008F04CF" w:rsidP="00B637B2">
                    <w:pPr>
                      <w:ind w:firstLineChars="300" w:firstLine="630"/>
                    </w:pPr>
                    <w:r>
                      <w:rPr>
                        <w:rFonts w:hint="eastAsia"/>
                      </w:rPr>
                      <w:t xml:space="preserve">　</w:t>
                    </w:r>
                  </w:p>
                </w:tc>
              </w:sdtContent>
            </w:sdt>
            <w:sdt>
              <w:sdtPr>
                <w:rPr>
                  <w:rFonts w:hint="eastAsia"/>
                </w:rPr>
                <w:alias w:val="固定资产减值准备减少项目金额"/>
                <w:tag w:val="_GBC_0fab043e13824e84b5ce3df5dc1f6117"/>
                <w:id w:val="1097752346"/>
                <w:lock w:val="sdtLocked"/>
                <w:showingPlcHdr/>
              </w:sdtPr>
              <w:sdtContent>
                <w:tc>
                  <w:tcPr>
                    <w:tcW w:w="720" w:type="pct"/>
                    <w:shd w:val="clear" w:color="auto" w:fill="auto"/>
                  </w:tcPr>
                  <w:p w:rsidR="00B637B2" w:rsidRDefault="008F04CF" w:rsidP="00B637B2">
                    <w:pPr>
                      <w:jc w:val="right"/>
                    </w:pPr>
                    <w:r>
                      <w:rPr>
                        <w:rFonts w:hint="eastAsia"/>
                      </w:rPr>
                      <w:t xml:space="preserve">　</w:t>
                    </w:r>
                  </w:p>
                </w:tc>
              </w:sdtContent>
            </w:sdt>
            <w:sdt>
              <w:sdtPr>
                <w:rPr>
                  <w:rFonts w:hint="eastAsia"/>
                </w:rPr>
                <w:alias w:val="固定资产减值准备减少项目金额"/>
                <w:tag w:val="_GBC_0fab043e13824e84b5ce3df5dc1f6117"/>
                <w:id w:val="-961340208"/>
                <w:lock w:val="sdtLocked"/>
                <w:showingPlcHdr/>
              </w:sdtPr>
              <w:sdtContent>
                <w:tc>
                  <w:tcPr>
                    <w:tcW w:w="721" w:type="pct"/>
                    <w:shd w:val="clear" w:color="auto" w:fill="auto"/>
                  </w:tcPr>
                  <w:p w:rsidR="00B637B2" w:rsidRDefault="00B637B2" w:rsidP="00B637B2">
                    <w:pPr>
                      <w:jc w:val="right"/>
                    </w:pPr>
                  </w:p>
                </w:tc>
              </w:sdtContent>
            </w:sdt>
            <w:sdt>
              <w:sdtPr>
                <w:rPr>
                  <w:rFonts w:hint="eastAsia"/>
                </w:rPr>
                <w:alias w:val="固定资产减值准备减少项目金额"/>
                <w:tag w:val="_GBC_0fab043e13824e84b5ce3df5dc1f6117"/>
                <w:id w:val="-1419863614"/>
                <w:lock w:val="sdtLocked"/>
                <w:showingPlcHdr/>
              </w:sdtPr>
              <w:sdtContent>
                <w:tc>
                  <w:tcPr>
                    <w:tcW w:w="721" w:type="pct"/>
                    <w:shd w:val="clear" w:color="auto" w:fill="auto"/>
                  </w:tcPr>
                  <w:p w:rsidR="00B637B2" w:rsidRDefault="00B637B2" w:rsidP="00B637B2">
                    <w:pPr>
                      <w:jc w:val="right"/>
                    </w:pPr>
                  </w:p>
                </w:tc>
              </w:sdtContent>
            </w:sdt>
            <w:sdt>
              <w:sdtPr>
                <w:rPr>
                  <w:rFonts w:hint="eastAsia"/>
                </w:rPr>
                <w:alias w:val="固定资产减值准备减少项目金额"/>
                <w:tag w:val="_GBC_0fab043e13824e84b5ce3df5dc1f6117"/>
                <w:id w:val="11275703"/>
                <w:lock w:val="sdtLocked"/>
                <w:showingPlcHdr/>
              </w:sdtPr>
              <w:sdtContent>
                <w:tc>
                  <w:tcPr>
                    <w:tcW w:w="721" w:type="pct"/>
                    <w:shd w:val="clear" w:color="auto" w:fill="auto"/>
                  </w:tcPr>
                  <w:p w:rsidR="00B637B2" w:rsidRDefault="00B637B2" w:rsidP="00B637B2">
                    <w:pPr>
                      <w:jc w:val="right"/>
                    </w:pPr>
                  </w:p>
                </w:tc>
              </w:sdtContent>
            </w:sdt>
            <w:sdt>
              <w:sdtPr>
                <w:rPr>
                  <w:rFonts w:hint="eastAsia"/>
                </w:rPr>
                <w:alias w:val="固定资产减值准备减少项目合计金额"/>
                <w:tag w:val="_GBC_f2b67b2f05f642f1a1a4741a8fd1878c"/>
                <w:id w:val="2091962844"/>
                <w:lock w:val="sdtLocked"/>
                <w:showingPlcHdr/>
              </w:sdtPr>
              <w:sdtContent>
                <w:tc>
                  <w:tcPr>
                    <w:tcW w:w="819" w:type="pct"/>
                    <w:shd w:val="clear" w:color="auto" w:fill="auto"/>
                  </w:tcPr>
                  <w:p w:rsidR="00B637B2" w:rsidRDefault="008F04CF" w:rsidP="00B637B2">
                    <w:pPr>
                      <w:jc w:val="right"/>
                    </w:pPr>
                    <w:r>
                      <w:rPr>
                        <w:rFonts w:hint="eastAsia"/>
                      </w:rPr>
                      <w:t xml:space="preserve">　</w:t>
                    </w:r>
                  </w:p>
                </w:tc>
              </w:sdtContent>
            </w:sdt>
          </w:tr>
          <w:tr w:rsidR="00B637B2" w:rsidTr="00B637B2">
            <w:sdt>
              <w:sdtPr>
                <w:tag w:val="_PLD_a3e5577c50494e858eeb7a95a5b17653"/>
                <w:id w:val="1499926583"/>
                <w:lock w:val="sdtLocked"/>
              </w:sdtPr>
              <w:sdtContent>
                <w:tc>
                  <w:tcPr>
                    <w:tcW w:w="1298" w:type="pct"/>
                    <w:shd w:val="clear" w:color="auto" w:fill="auto"/>
                  </w:tcPr>
                  <w:p w:rsidR="00B637B2" w:rsidRDefault="008F04CF" w:rsidP="00B637B2">
                    <w:pPr>
                      <w:ind w:firstLineChars="200" w:firstLine="420"/>
                    </w:pPr>
                    <w:r>
                      <w:rPr>
                        <w:rFonts w:hint="eastAsia"/>
                      </w:rPr>
                      <w:t>4.期末余额</w:t>
                    </w:r>
                  </w:p>
                </w:tc>
              </w:sdtContent>
            </w:sdt>
            <w:tc>
              <w:tcPr>
                <w:tcW w:w="720" w:type="pct"/>
                <w:shd w:val="clear" w:color="auto" w:fill="auto"/>
                <w:vAlign w:val="center"/>
              </w:tcPr>
              <w:p w:rsidR="00B637B2" w:rsidRDefault="00B637B2" w:rsidP="00B637B2">
                <w:pPr>
                  <w:jc w:val="right"/>
                </w:pPr>
              </w:p>
            </w:tc>
            <w:tc>
              <w:tcPr>
                <w:tcW w:w="721" w:type="pct"/>
                <w:shd w:val="clear" w:color="auto" w:fill="auto"/>
                <w:vAlign w:val="center"/>
              </w:tcPr>
              <w:p w:rsidR="00B637B2" w:rsidRDefault="00B637B2" w:rsidP="00B637B2">
                <w:pPr>
                  <w:jc w:val="right"/>
                </w:pPr>
              </w:p>
            </w:tc>
            <w:tc>
              <w:tcPr>
                <w:tcW w:w="721" w:type="pct"/>
                <w:shd w:val="clear" w:color="auto" w:fill="auto"/>
                <w:vAlign w:val="center"/>
              </w:tcPr>
              <w:p w:rsidR="00B637B2" w:rsidRDefault="00B637B2" w:rsidP="00B637B2">
                <w:pPr>
                  <w:jc w:val="right"/>
                </w:pPr>
              </w:p>
            </w:tc>
            <w:tc>
              <w:tcPr>
                <w:tcW w:w="721" w:type="pct"/>
                <w:shd w:val="clear" w:color="auto" w:fill="auto"/>
                <w:vAlign w:val="center"/>
              </w:tcPr>
              <w:p w:rsidR="00B637B2" w:rsidRDefault="00B637B2" w:rsidP="00B637B2">
                <w:pPr>
                  <w:jc w:val="right"/>
                </w:pPr>
              </w:p>
            </w:tc>
            <w:tc>
              <w:tcPr>
                <w:tcW w:w="819" w:type="pct"/>
                <w:shd w:val="clear" w:color="auto" w:fill="auto"/>
                <w:vAlign w:val="center"/>
              </w:tcPr>
              <w:p w:rsidR="00B637B2" w:rsidRDefault="00B637B2" w:rsidP="00B637B2">
                <w:pPr>
                  <w:jc w:val="right"/>
                </w:pPr>
              </w:p>
            </w:tc>
          </w:tr>
          <w:tr w:rsidR="00B637B2" w:rsidTr="00B637B2">
            <w:sdt>
              <w:sdtPr>
                <w:tag w:val="_PLD_bea29c32f5204124a483fa6e274ca7df"/>
                <w:id w:val="1515733042"/>
                <w:lock w:val="sdtLocked"/>
              </w:sdtPr>
              <w:sdtContent>
                <w:tc>
                  <w:tcPr>
                    <w:tcW w:w="1298" w:type="pct"/>
                    <w:shd w:val="clear" w:color="auto" w:fill="auto"/>
                  </w:tcPr>
                  <w:p w:rsidR="00B637B2" w:rsidRDefault="008F04CF" w:rsidP="00B637B2">
                    <w:r>
                      <w:rPr>
                        <w:rFonts w:hint="eastAsia"/>
                      </w:rPr>
                      <w:t>四、账面价值</w:t>
                    </w:r>
                  </w:p>
                </w:tc>
              </w:sdtContent>
            </w:sdt>
            <w:tc>
              <w:tcPr>
                <w:tcW w:w="720" w:type="pct"/>
                <w:shd w:val="clear" w:color="auto" w:fill="auto"/>
                <w:vAlign w:val="center"/>
              </w:tcPr>
              <w:p w:rsidR="00B637B2" w:rsidRDefault="00B637B2" w:rsidP="00B637B2">
                <w:pPr>
                  <w:jc w:val="center"/>
                </w:pPr>
              </w:p>
            </w:tc>
            <w:tc>
              <w:tcPr>
                <w:tcW w:w="721" w:type="pct"/>
                <w:shd w:val="clear" w:color="auto" w:fill="auto"/>
                <w:vAlign w:val="center"/>
              </w:tcPr>
              <w:p w:rsidR="00B637B2" w:rsidRDefault="00B637B2" w:rsidP="00B637B2">
                <w:pPr>
                  <w:jc w:val="center"/>
                </w:pPr>
              </w:p>
            </w:tc>
            <w:tc>
              <w:tcPr>
                <w:tcW w:w="721" w:type="pct"/>
                <w:shd w:val="clear" w:color="auto" w:fill="auto"/>
                <w:vAlign w:val="center"/>
              </w:tcPr>
              <w:p w:rsidR="00B637B2" w:rsidRDefault="00B637B2" w:rsidP="00B637B2">
                <w:pPr>
                  <w:jc w:val="center"/>
                </w:pPr>
              </w:p>
            </w:tc>
            <w:tc>
              <w:tcPr>
                <w:tcW w:w="721" w:type="pct"/>
                <w:shd w:val="clear" w:color="auto" w:fill="auto"/>
                <w:vAlign w:val="center"/>
              </w:tcPr>
              <w:p w:rsidR="00B637B2" w:rsidRDefault="00B637B2" w:rsidP="00B637B2">
                <w:pPr>
                  <w:jc w:val="center"/>
                </w:pPr>
              </w:p>
            </w:tc>
            <w:tc>
              <w:tcPr>
                <w:tcW w:w="819" w:type="pct"/>
                <w:shd w:val="clear" w:color="auto" w:fill="auto"/>
                <w:vAlign w:val="center"/>
              </w:tcPr>
              <w:p w:rsidR="00B637B2" w:rsidRDefault="00B637B2" w:rsidP="00B637B2">
                <w:pPr>
                  <w:jc w:val="center"/>
                </w:pPr>
              </w:p>
            </w:tc>
          </w:tr>
          <w:tr w:rsidR="00B637B2" w:rsidTr="00B637B2">
            <w:sdt>
              <w:sdtPr>
                <w:tag w:val="_PLD_0cb15efd736e4fb48f835ee67e79495e"/>
                <w:id w:val="590348159"/>
                <w:lock w:val="sdtLocked"/>
              </w:sdtPr>
              <w:sdtContent>
                <w:tc>
                  <w:tcPr>
                    <w:tcW w:w="1298" w:type="pct"/>
                    <w:shd w:val="clear" w:color="auto" w:fill="auto"/>
                  </w:tcPr>
                  <w:p w:rsidR="00B637B2" w:rsidRDefault="008F04CF" w:rsidP="00B637B2">
                    <w:pPr>
                      <w:ind w:firstLineChars="200" w:firstLine="420"/>
                    </w:pPr>
                    <w:r>
                      <w:rPr>
                        <w:rFonts w:hint="eastAsia"/>
                      </w:rPr>
                      <w:t>1.期末账面价值</w:t>
                    </w:r>
                  </w:p>
                </w:tc>
              </w:sdtContent>
            </w:sdt>
            <w:tc>
              <w:tcPr>
                <w:tcW w:w="720" w:type="pct"/>
                <w:shd w:val="clear" w:color="auto" w:fill="auto"/>
                <w:vAlign w:val="center"/>
              </w:tcPr>
              <w:p w:rsidR="00B637B2" w:rsidRDefault="008F04CF" w:rsidP="00B637B2">
                <w:pPr>
                  <w:jc w:val="right"/>
                </w:pPr>
                <w:r>
                  <w:t>2,510,409,521</w:t>
                </w:r>
              </w:p>
            </w:tc>
            <w:tc>
              <w:tcPr>
                <w:tcW w:w="721" w:type="pct"/>
                <w:shd w:val="clear" w:color="auto" w:fill="auto"/>
                <w:vAlign w:val="center"/>
              </w:tcPr>
              <w:p w:rsidR="00B637B2" w:rsidRDefault="008F04CF" w:rsidP="00B637B2">
                <w:pPr>
                  <w:jc w:val="right"/>
                </w:pPr>
                <w:r>
                  <w:t>93,615,693</w:t>
                </w:r>
              </w:p>
            </w:tc>
            <w:tc>
              <w:tcPr>
                <w:tcW w:w="721" w:type="pct"/>
                <w:shd w:val="clear" w:color="auto" w:fill="auto"/>
                <w:vAlign w:val="center"/>
              </w:tcPr>
              <w:p w:rsidR="00B637B2" w:rsidRDefault="008F04CF" w:rsidP="00B637B2">
                <w:pPr>
                  <w:jc w:val="right"/>
                </w:pPr>
                <w:r>
                  <w:t>10,696,095</w:t>
                </w:r>
              </w:p>
            </w:tc>
            <w:tc>
              <w:tcPr>
                <w:tcW w:w="721" w:type="pct"/>
                <w:shd w:val="clear" w:color="auto" w:fill="auto"/>
                <w:vAlign w:val="center"/>
              </w:tcPr>
              <w:p w:rsidR="00B637B2" w:rsidRDefault="008F04CF" w:rsidP="00B637B2">
                <w:pPr>
                  <w:jc w:val="right"/>
                </w:pPr>
                <w:r>
                  <w:t>59,348,077</w:t>
                </w:r>
              </w:p>
            </w:tc>
            <w:tc>
              <w:tcPr>
                <w:tcW w:w="819" w:type="pct"/>
                <w:shd w:val="clear" w:color="auto" w:fill="auto"/>
                <w:vAlign w:val="center"/>
              </w:tcPr>
              <w:p w:rsidR="00B637B2" w:rsidRDefault="008F04CF" w:rsidP="00B637B2">
                <w:pPr>
                  <w:jc w:val="right"/>
                </w:pPr>
                <w:r>
                  <w:t>2,674,069,386</w:t>
                </w:r>
              </w:p>
            </w:tc>
          </w:tr>
          <w:tr w:rsidR="00B637B2" w:rsidTr="00B637B2">
            <w:sdt>
              <w:sdtPr>
                <w:tag w:val="_PLD_0a70238af5ae41dda386e3180cb5ac13"/>
                <w:id w:val="588590957"/>
                <w:lock w:val="sdtLocked"/>
              </w:sdtPr>
              <w:sdtContent>
                <w:tc>
                  <w:tcPr>
                    <w:tcW w:w="1298" w:type="pct"/>
                    <w:shd w:val="clear" w:color="auto" w:fill="auto"/>
                  </w:tcPr>
                  <w:p w:rsidR="00B637B2" w:rsidRDefault="008F04CF" w:rsidP="00B637B2">
                    <w:pPr>
                      <w:ind w:firstLineChars="200" w:firstLine="420"/>
                    </w:pPr>
                    <w:r>
                      <w:rPr>
                        <w:rFonts w:hint="eastAsia"/>
                      </w:rPr>
                      <w:t>2.期初账面价值</w:t>
                    </w:r>
                  </w:p>
                </w:tc>
              </w:sdtContent>
            </w:sdt>
            <w:tc>
              <w:tcPr>
                <w:tcW w:w="720" w:type="pct"/>
                <w:shd w:val="clear" w:color="auto" w:fill="auto"/>
                <w:vAlign w:val="center"/>
              </w:tcPr>
              <w:p w:rsidR="00B637B2" w:rsidRDefault="008F04CF" w:rsidP="00B637B2">
                <w:pPr>
                  <w:jc w:val="right"/>
                </w:pPr>
                <w:r>
                  <w:t>1,902,229,733</w:t>
                </w:r>
              </w:p>
            </w:tc>
            <w:tc>
              <w:tcPr>
                <w:tcW w:w="721" w:type="pct"/>
                <w:shd w:val="clear" w:color="auto" w:fill="auto"/>
                <w:vAlign w:val="center"/>
              </w:tcPr>
              <w:p w:rsidR="00B637B2" w:rsidRDefault="008F04CF" w:rsidP="00B637B2">
                <w:pPr>
                  <w:jc w:val="right"/>
                </w:pPr>
                <w:r>
                  <w:t>94,843,239</w:t>
                </w:r>
              </w:p>
            </w:tc>
            <w:tc>
              <w:tcPr>
                <w:tcW w:w="721" w:type="pct"/>
                <w:shd w:val="clear" w:color="auto" w:fill="auto"/>
                <w:vAlign w:val="center"/>
              </w:tcPr>
              <w:p w:rsidR="00B637B2" w:rsidRDefault="008F04CF" w:rsidP="00B637B2">
                <w:pPr>
                  <w:jc w:val="right"/>
                </w:pPr>
                <w:r>
                  <w:t>11,485,162</w:t>
                </w:r>
              </w:p>
            </w:tc>
            <w:tc>
              <w:tcPr>
                <w:tcW w:w="721" w:type="pct"/>
                <w:shd w:val="clear" w:color="auto" w:fill="auto"/>
                <w:vAlign w:val="center"/>
              </w:tcPr>
              <w:p w:rsidR="00B637B2" w:rsidRDefault="008F04CF" w:rsidP="00B637B2">
                <w:pPr>
                  <w:jc w:val="right"/>
                </w:pPr>
                <w:r>
                  <w:t>64,592,733</w:t>
                </w:r>
              </w:p>
            </w:tc>
            <w:tc>
              <w:tcPr>
                <w:tcW w:w="819" w:type="pct"/>
                <w:shd w:val="clear" w:color="auto" w:fill="auto"/>
                <w:vAlign w:val="center"/>
              </w:tcPr>
              <w:p w:rsidR="00B637B2" w:rsidRDefault="008F04CF" w:rsidP="00B637B2">
                <w:pPr>
                  <w:jc w:val="right"/>
                </w:pPr>
                <w:r>
                  <w:t>2,073,150,867</w:t>
                </w:r>
              </w:p>
            </w:tc>
          </w:tr>
        </w:tbl>
        <w:p w:rsidR="00B637B2" w:rsidRDefault="00B637B2"/>
        <w:p w:rsidR="00ED2DC7" w:rsidRDefault="000D0A99">
          <w:pPr>
            <w:rPr>
              <w:szCs w:val="21"/>
            </w:rPr>
          </w:pPr>
        </w:p>
      </w:sdtContent>
    </w:sdt>
    <w:sdt>
      <w:sdtPr>
        <w:rPr>
          <w:rFonts w:ascii="宋体" w:hAnsi="宋体" w:cs="宋体" w:hint="eastAsia"/>
          <w:b w:val="0"/>
          <w:bCs w:val="0"/>
          <w:kern w:val="0"/>
          <w:szCs w:val="21"/>
        </w:rPr>
        <w:alias w:val="模块:暂时闲置的固定资产情况"/>
        <w:tag w:val="_GBC_77e89169b7ab4fccae8cff3d8a125711"/>
        <w:id w:val="-202178665"/>
        <w:lock w:val="sdtLocked"/>
        <w:placeholder>
          <w:docPart w:val="GBC22222222222222222222222222222"/>
        </w:placeholder>
      </w:sdtPr>
      <w:sdtEndPr>
        <w:rPr>
          <w:rFonts w:cstheme="minorBidi" w:hint="default"/>
        </w:rPr>
      </w:sdtEndPr>
      <w:sdtContent>
        <w:p w:rsidR="00ED2DC7" w:rsidRDefault="00ED2DC7" w:rsidP="00036BDC">
          <w:pPr>
            <w:pStyle w:val="affffffffffffffffff2"/>
            <w:numPr>
              <w:ilvl w:val="0"/>
              <w:numId w:val="62"/>
            </w:numPr>
            <w:tabs>
              <w:tab w:val="left" w:pos="588"/>
            </w:tabs>
            <w:rPr>
              <w:rFonts w:ascii="宋体" w:hAnsi="宋体"/>
              <w:kern w:val="0"/>
              <w:szCs w:val="21"/>
            </w:rPr>
          </w:pPr>
          <w:r>
            <w:rPr>
              <w:rFonts w:ascii="宋体" w:hAnsi="宋体" w:hint="eastAsia"/>
              <w:szCs w:val="21"/>
            </w:rPr>
            <w:t>暂时</w:t>
          </w:r>
          <w:r>
            <w:rPr>
              <w:rFonts w:ascii="宋体" w:hAnsi="宋体" w:hint="eastAsia"/>
              <w:kern w:val="0"/>
              <w:szCs w:val="21"/>
            </w:rPr>
            <w:t>闲置的固定资产情况</w:t>
          </w:r>
        </w:p>
        <w:p w:rsidR="00ED2DC7" w:rsidRDefault="000D0A99" w:rsidP="005451E3">
          <w:pPr>
            <w:rPr>
              <w:szCs w:val="21"/>
            </w:rPr>
          </w:pPr>
          <w:sdt>
            <w:sdtPr>
              <w:alias w:val="是否适用：暂时闲置的固定资产情况[双击切换]"/>
              <w:tag w:val="_GBC_ca31f29118c7481f95f99a2655f8c1e1"/>
              <w:id w:val="-655220609"/>
              <w:lock w:val="sdtContentLocked"/>
              <w:placeholder>
                <w:docPart w:val="GBC22222222222222222222222222222"/>
              </w:placeholder>
            </w:sdtPr>
            <w:sdtContent>
              <w:r w:rsidR="00ED2DC7">
                <w:fldChar w:fldCharType="begin"/>
              </w:r>
              <w:r w:rsidR="005451E3">
                <w:instrText xml:space="preserve"> MACROBUTTON  SnrToggleCheckbox □适用 </w:instrText>
              </w:r>
              <w:r w:rsidR="00ED2DC7">
                <w:fldChar w:fldCharType="end"/>
              </w:r>
              <w:r w:rsidR="00ED2DC7">
                <w:fldChar w:fldCharType="begin"/>
              </w:r>
              <w:r w:rsidR="005451E3">
                <w:instrText xml:space="preserve"> MACROBUTTON  SnrToggleCheckbox √不适用 </w:instrText>
              </w:r>
              <w:r w:rsidR="00ED2DC7">
                <w:fldChar w:fldCharType="end"/>
              </w:r>
            </w:sdtContent>
          </w:sdt>
        </w:p>
      </w:sdtContent>
    </w:sdt>
    <w:sdt>
      <w:sdtPr>
        <w:rPr>
          <w:rFonts w:ascii="宋体" w:hAnsi="宋体" w:cs="宋体" w:hint="eastAsia"/>
          <w:b w:val="0"/>
          <w:bCs w:val="0"/>
          <w:kern w:val="0"/>
          <w:szCs w:val="21"/>
        </w:rPr>
        <w:alias w:val="模块:通过融资租赁租入的固定资产情况"/>
        <w:tag w:val="_GBC_f8dc7bf0df9345f6a1581560999dd4d8"/>
        <w:id w:val="22222508"/>
        <w:lock w:val="sdtLocked"/>
        <w:placeholder>
          <w:docPart w:val="GBC22222222222222222222222222222"/>
        </w:placeholder>
      </w:sdtPr>
      <w:sdtEndPr>
        <w:rPr>
          <w:rFonts w:cstheme="minorBidi" w:hint="default"/>
          <w:kern w:val="2"/>
        </w:rPr>
      </w:sdtEndPr>
      <w:sdtContent>
        <w:p w:rsidR="00ED2DC7" w:rsidRDefault="00ED2DC7" w:rsidP="00036BDC">
          <w:pPr>
            <w:pStyle w:val="affffffffffffffffff2"/>
            <w:numPr>
              <w:ilvl w:val="0"/>
              <w:numId w:val="62"/>
            </w:numPr>
            <w:tabs>
              <w:tab w:val="left" w:pos="588"/>
            </w:tabs>
            <w:rPr>
              <w:rFonts w:ascii="宋体" w:hAnsi="宋体"/>
              <w:kern w:val="0"/>
              <w:szCs w:val="21"/>
            </w:rPr>
          </w:pPr>
          <w:r>
            <w:rPr>
              <w:rFonts w:ascii="宋体" w:hAnsi="宋体" w:hint="eastAsia"/>
              <w:kern w:val="0"/>
              <w:szCs w:val="21"/>
            </w:rPr>
            <w:t>通过</w:t>
          </w:r>
          <w:r>
            <w:rPr>
              <w:rFonts w:ascii="宋体" w:hAnsi="宋体" w:hint="eastAsia"/>
              <w:szCs w:val="21"/>
            </w:rPr>
            <w:t>融资租赁</w:t>
          </w:r>
          <w:r>
            <w:rPr>
              <w:rFonts w:ascii="宋体" w:hAnsi="宋体" w:hint="eastAsia"/>
              <w:kern w:val="0"/>
              <w:szCs w:val="21"/>
            </w:rPr>
            <w:t>租入的固定资产情况</w:t>
          </w:r>
        </w:p>
        <w:p w:rsidR="00ED2DC7" w:rsidRDefault="000D0A99" w:rsidP="005451E3">
          <w:pPr>
            <w:rPr>
              <w:szCs w:val="21"/>
            </w:rPr>
          </w:pPr>
          <w:sdt>
            <w:sdtPr>
              <w:alias w:val="是否适用：通过融资租赁租入的固定资产情况[双击切换]"/>
              <w:tag w:val="_GBC_17a138c76e604d1b9b48d7c64e72801d"/>
              <w:id w:val="-1570266238"/>
              <w:lock w:val="sdtContentLocked"/>
              <w:placeholder>
                <w:docPart w:val="GBC22222222222222222222222222222"/>
              </w:placeholder>
            </w:sdtPr>
            <w:sdtContent>
              <w:r w:rsidR="00ED2DC7">
                <w:fldChar w:fldCharType="begin"/>
              </w:r>
              <w:r w:rsidR="005451E3">
                <w:instrText xml:space="preserve"> MACROBUTTON  SnrToggleCheckbox □适用 </w:instrText>
              </w:r>
              <w:r w:rsidR="00ED2DC7">
                <w:fldChar w:fldCharType="end"/>
              </w:r>
              <w:r w:rsidR="00ED2DC7">
                <w:fldChar w:fldCharType="begin"/>
              </w:r>
              <w:r w:rsidR="005451E3">
                <w:instrText xml:space="preserve"> MACROBUTTON  SnrToggleCheckbox √不适用 </w:instrText>
              </w:r>
              <w:r w:rsidR="00ED2DC7">
                <w:fldChar w:fldCharType="end"/>
              </w:r>
            </w:sdtContent>
          </w:sdt>
        </w:p>
      </w:sdtContent>
    </w:sdt>
    <w:sdt>
      <w:sdtPr>
        <w:rPr>
          <w:rFonts w:ascii="宋体" w:hAnsi="宋体" w:cs="宋体" w:hint="eastAsia"/>
          <w:b w:val="0"/>
          <w:bCs w:val="0"/>
          <w:kern w:val="0"/>
          <w:szCs w:val="21"/>
        </w:rPr>
        <w:alias w:val="模块:通过经营租赁租出的固定资产"/>
        <w:tag w:val="_GBC_06e38c241c8a43a99fdd68c92888bab1"/>
        <w:id w:val="241842257"/>
        <w:lock w:val="sdtLocked"/>
        <w:placeholder>
          <w:docPart w:val="GBC22222222222222222222222222222"/>
        </w:placeholder>
      </w:sdtPr>
      <w:sdtEndPr>
        <w:rPr>
          <w:rFonts w:hint="default"/>
          <w:color w:val="FF0000"/>
        </w:rPr>
      </w:sdtEndPr>
      <w:sdtContent>
        <w:p w:rsidR="00ED2DC7" w:rsidRDefault="00ED2DC7" w:rsidP="00036BDC">
          <w:pPr>
            <w:pStyle w:val="affffffffffffffffff2"/>
            <w:numPr>
              <w:ilvl w:val="0"/>
              <w:numId w:val="62"/>
            </w:numPr>
            <w:tabs>
              <w:tab w:val="left" w:pos="588"/>
            </w:tabs>
            <w:rPr>
              <w:rFonts w:ascii="宋体" w:hAnsi="宋体"/>
              <w:kern w:val="0"/>
              <w:szCs w:val="21"/>
            </w:rPr>
          </w:pPr>
          <w:r>
            <w:rPr>
              <w:rFonts w:ascii="宋体" w:hAnsi="宋体" w:hint="eastAsia"/>
              <w:szCs w:val="21"/>
            </w:rPr>
            <w:t>通过</w:t>
          </w:r>
          <w:r>
            <w:rPr>
              <w:rFonts w:ascii="宋体" w:hAnsi="宋体" w:hint="eastAsia"/>
              <w:kern w:val="0"/>
              <w:szCs w:val="21"/>
            </w:rPr>
            <w:t>经营租赁租出的固定资产</w:t>
          </w:r>
        </w:p>
        <w:sdt>
          <w:sdtPr>
            <w:alias w:val="是否适用：通过经营租赁租出的固定资产[双击切换]"/>
            <w:tag w:val="_GBC_251e1c74f40b47869d759974b0f6a463"/>
            <w:id w:val="525754901"/>
            <w:lock w:val="sdtContentLocked"/>
            <w:placeholder>
              <w:docPart w:val="GBC22222222222222222222222222222"/>
            </w:placeholder>
          </w:sdtPr>
          <w:sdtContent>
            <w:p w:rsidR="00860468" w:rsidRDefault="00ED2DC7" w:rsidP="00FD6261">
              <w:r>
                <w:fldChar w:fldCharType="begin"/>
              </w:r>
              <w:r w:rsidR="00860468">
                <w:instrText xml:space="preserve"> MACROBUTTON  SnrToggleCheckbox √适用 </w:instrText>
              </w:r>
              <w:r>
                <w:fldChar w:fldCharType="end"/>
              </w:r>
              <w:r>
                <w:fldChar w:fldCharType="begin"/>
              </w:r>
              <w:r w:rsidR="00860468">
                <w:instrText xml:space="preserve"> MACROBUTTON  SnrToggleCheckbox □不适用 </w:instrText>
              </w:r>
              <w:r>
                <w:fldChar w:fldCharType="end"/>
              </w:r>
            </w:p>
          </w:sdtContent>
        </w:sdt>
        <w:p w:rsidR="00860468" w:rsidRDefault="00860468">
          <w:pPr>
            <w:jc w:val="right"/>
            <w:rPr>
              <w:color w:val="FF0000"/>
              <w:szCs w:val="21"/>
            </w:rPr>
          </w:pPr>
          <w:r>
            <w:rPr>
              <w:rFonts w:hint="eastAsia"/>
              <w:szCs w:val="21"/>
            </w:rPr>
            <w:t>单位：</w:t>
          </w:r>
          <w:sdt>
            <w:sdtPr>
              <w:rPr>
                <w:rFonts w:hint="eastAsia"/>
                <w:szCs w:val="21"/>
              </w:rPr>
              <w:alias w:val="单位：财务附注：通过经营租赁租出的固定资产"/>
              <w:tag w:val="_GBC_a1b158033c164dbe8e4b29749873c766"/>
              <w:id w:val="712934026"/>
              <w:lock w:val="sdtLocked"/>
              <w:placeholder>
                <w:docPart w:val="F391667BB92146CDBEDEEE696932881B"/>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通过经营租赁租出的固定资产"/>
              <w:tag w:val="_GBC_e4a5a39e4afb42bc8f9ecc37f1fd4c4b"/>
              <w:id w:val="1434398143"/>
              <w:lock w:val="sdtLocked"/>
              <w:placeholder>
                <w:docPart w:val="F391667BB92146CDBEDEEE696932881B"/>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50"/>
            <w:gridCol w:w="4773"/>
          </w:tblGrid>
          <w:tr w:rsidR="00860468" w:rsidTr="00F96B30">
            <w:sdt>
              <w:sdtPr>
                <w:tag w:val="_PLD_8eb604de598c4a599cc90a86ae48c29e"/>
                <w:id w:val="-1241244611"/>
                <w:lock w:val="sdtLocked"/>
              </w:sdtPr>
              <w:sdtContent>
                <w:tc>
                  <w:tcPr>
                    <w:tcW w:w="2295" w:type="pct"/>
                    <w:tcBorders>
                      <w:top w:val="single" w:sz="4" w:space="0" w:color="auto"/>
                      <w:left w:val="single" w:sz="4" w:space="0" w:color="auto"/>
                      <w:bottom w:val="single" w:sz="4" w:space="0" w:color="auto"/>
                      <w:right w:val="single" w:sz="4" w:space="0" w:color="auto"/>
                    </w:tcBorders>
                    <w:vAlign w:val="center"/>
                  </w:tcPr>
                  <w:p w:rsidR="00860468" w:rsidRDefault="00860468">
                    <w:pPr>
                      <w:jc w:val="center"/>
                      <w:rPr>
                        <w:szCs w:val="21"/>
                      </w:rPr>
                    </w:pPr>
                    <w:r>
                      <w:rPr>
                        <w:rFonts w:hint="eastAsia"/>
                        <w:szCs w:val="21"/>
                      </w:rPr>
                      <w:t>项目</w:t>
                    </w:r>
                  </w:p>
                </w:tc>
              </w:sdtContent>
            </w:sdt>
            <w:sdt>
              <w:sdtPr>
                <w:tag w:val="_PLD_87828bb122d64d2db1a342511bbbf1d2"/>
                <w:id w:val="-1905980629"/>
                <w:lock w:val="sdtLocked"/>
              </w:sdtPr>
              <w:sdtContent>
                <w:tc>
                  <w:tcPr>
                    <w:tcW w:w="2705" w:type="pct"/>
                    <w:tcBorders>
                      <w:top w:val="single" w:sz="4" w:space="0" w:color="auto"/>
                      <w:left w:val="single" w:sz="4" w:space="0" w:color="auto"/>
                      <w:bottom w:val="single" w:sz="4" w:space="0" w:color="auto"/>
                      <w:right w:val="single" w:sz="4" w:space="0" w:color="auto"/>
                    </w:tcBorders>
                    <w:vAlign w:val="center"/>
                  </w:tcPr>
                  <w:p w:rsidR="00860468" w:rsidRDefault="00860468">
                    <w:pPr>
                      <w:jc w:val="center"/>
                      <w:rPr>
                        <w:szCs w:val="21"/>
                      </w:rPr>
                    </w:pPr>
                    <w:r>
                      <w:rPr>
                        <w:rFonts w:hint="eastAsia"/>
                        <w:szCs w:val="21"/>
                      </w:rPr>
                      <w:t>期末账面价值</w:t>
                    </w:r>
                  </w:p>
                </w:tc>
              </w:sdtContent>
            </w:sdt>
          </w:tr>
          <w:sdt>
            <w:sdtPr>
              <w:rPr>
                <w:szCs w:val="21"/>
              </w:rPr>
              <w:alias w:val="通过经营租赁租出的的固定资产明细"/>
              <w:tag w:val="_GBC_1054aa1f769943fd9ad29c6bcb27e5a1"/>
              <w:id w:val="-878008716"/>
              <w:lock w:val="sdtLocked"/>
              <w:placeholder>
                <w:docPart w:val="E93D5167F1914F50B9F77AEBA4EF6468"/>
              </w:placeholder>
            </w:sdtPr>
            <w:sdtContent>
              <w:tr w:rsidR="00860468" w:rsidTr="00F96290">
                <w:tc>
                  <w:tcPr>
                    <w:tcW w:w="2295" w:type="pct"/>
                    <w:tcBorders>
                      <w:top w:val="single" w:sz="4" w:space="0" w:color="auto"/>
                      <w:left w:val="single" w:sz="4" w:space="0" w:color="auto"/>
                      <w:bottom w:val="single" w:sz="4" w:space="0" w:color="auto"/>
                      <w:right w:val="single" w:sz="4" w:space="0" w:color="auto"/>
                    </w:tcBorders>
                  </w:tcPr>
                  <w:p w:rsidR="00860468" w:rsidRDefault="00860468">
                    <w:pPr>
                      <w:rPr>
                        <w:szCs w:val="21"/>
                      </w:rPr>
                    </w:pPr>
                    <w:r>
                      <w:rPr>
                        <w:rFonts w:hint="eastAsia"/>
                        <w:szCs w:val="21"/>
                      </w:rPr>
                      <w:t>经营性租出房屋建筑物</w:t>
                    </w:r>
                  </w:p>
                </w:tc>
                <w:tc>
                  <w:tcPr>
                    <w:tcW w:w="2705" w:type="pct"/>
                    <w:tcBorders>
                      <w:top w:val="single" w:sz="4" w:space="0" w:color="auto"/>
                      <w:left w:val="single" w:sz="4" w:space="0" w:color="auto"/>
                      <w:bottom w:val="single" w:sz="4" w:space="0" w:color="auto"/>
                      <w:right w:val="single" w:sz="4" w:space="0" w:color="auto"/>
                    </w:tcBorders>
                  </w:tcPr>
                  <w:p w:rsidR="00860468" w:rsidRDefault="00860468">
                    <w:pPr>
                      <w:jc w:val="right"/>
                      <w:rPr>
                        <w:szCs w:val="21"/>
                      </w:rPr>
                    </w:pPr>
                    <w:r w:rsidRPr="00860468">
                      <w:rPr>
                        <w:szCs w:val="21"/>
                      </w:rPr>
                      <w:t>1,495,699,976</w:t>
                    </w:r>
                  </w:p>
                </w:tc>
              </w:tr>
            </w:sdtContent>
          </w:sdt>
        </w:tbl>
        <w:p w:rsidR="00ED2DC7" w:rsidRDefault="000D0A99" w:rsidP="00FD6261">
          <w:pPr>
            <w:rPr>
              <w:color w:val="FF0000"/>
              <w:szCs w:val="21"/>
            </w:rPr>
          </w:pPr>
        </w:p>
      </w:sdtContent>
    </w:sdt>
    <w:sdt>
      <w:sdtPr>
        <w:rPr>
          <w:rFonts w:ascii="宋体" w:hAnsi="宋体" w:cs="宋体" w:hint="eastAsia"/>
          <w:b w:val="0"/>
          <w:bCs w:val="0"/>
          <w:kern w:val="0"/>
          <w:szCs w:val="21"/>
        </w:rPr>
        <w:alias w:val="模块:未办妥产权证书的固定资产情况"/>
        <w:tag w:val="_GBC_5b357259936442c38f67f17b533c7085"/>
        <w:id w:val="391931274"/>
        <w:lock w:val="sdtLocked"/>
        <w:placeholder>
          <w:docPart w:val="GBC22222222222222222222222222222"/>
        </w:placeholder>
      </w:sdtPr>
      <w:sdtEndPr>
        <w:rPr>
          <w:rFonts w:cstheme="minorBidi" w:hint="default"/>
          <w:kern w:val="2"/>
        </w:rPr>
      </w:sdtEndPr>
      <w:sdtContent>
        <w:p w:rsidR="00ED2DC7" w:rsidRDefault="00ED2DC7" w:rsidP="00036BDC">
          <w:pPr>
            <w:pStyle w:val="affffffffffffffffff2"/>
            <w:numPr>
              <w:ilvl w:val="0"/>
              <w:numId w:val="62"/>
            </w:numPr>
            <w:tabs>
              <w:tab w:val="left" w:pos="588"/>
            </w:tabs>
            <w:rPr>
              <w:rFonts w:ascii="宋体" w:hAnsi="宋体"/>
              <w:kern w:val="0"/>
              <w:szCs w:val="21"/>
            </w:rPr>
          </w:pPr>
          <w:r>
            <w:rPr>
              <w:rFonts w:ascii="宋体" w:hAnsi="宋体" w:hint="eastAsia"/>
              <w:kern w:val="0"/>
              <w:szCs w:val="21"/>
            </w:rPr>
            <w:t>未</w:t>
          </w:r>
          <w:r>
            <w:rPr>
              <w:rFonts w:ascii="宋体" w:hAnsi="宋体" w:hint="eastAsia"/>
              <w:szCs w:val="21"/>
            </w:rPr>
            <w:t>办妥</w:t>
          </w:r>
          <w:r>
            <w:rPr>
              <w:rFonts w:ascii="宋体" w:hAnsi="宋体" w:hint="eastAsia"/>
              <w:kern w:val="0"/>
              <w:szCs w:val="21"/>
            </w:rPr>
            <w:t>产权证书的固定资产情况</w:t>
          </w:r>
        </w:p>
        <w:p w:rsidR="00ED2DC7" w:rsidRDefault="000D0A99" w:rsidP="005451E3">
          <w:pPr>
            <w:rPr>
              <w:iCs/>
              <w:color w:val="FF0000"/>
              <w:szCs w:val="21"/>
              <w:shd w:val="clear" w:color="auto" w:fill="CCFFFF"/>
            </w:rPr>
          </w:pPr>
          <w:sdt>
            <w:sdtPr>
              <w:alias w:val="是否适用：未办妥产权证书的固定资产情况[双击切换]"/>
              <w:tag w:val="_GBC_a26aa363313e4c8fbedf9041cd41bfc9"/>
              <w:id w:val="-930733699"/>
              <w:lock w:val="sdtContentLocked"/>
              <w:placeholder>
                <w:docPart w:val="GBC22222222222222222222222222222"/>
              </w:placeholder>
            </w:sdtPr>
            <w:sdtContent>
              <w:r w:rsidR="00ED2DC7">
                <w:fldChar w:fldCharType="begin"/>
              </w:r>
              <w:r w:rsidR="005451E3">
                <w:instrText xml:space="preserve"> MACROBUTTON  SnrToggleCheckbox □适用 </w:instrText>
              </w:r>
              <w:r w:rsidR="00ED2DC7">
                <w:fldChar w:fldCharType="end"/>
              </w:r>
              <w:r w:rsidR="00ED2DC7">
                <w:fldChar w:fldCharType="begin"/>
              </w:r>
              <w:r w:rsidR="005451E3">
                <w:instrText xml:space="preserve"> MACROBUTTON  SnrToggleCheckbox √不适用 </w:instrText>
              </w:r>
              <w:r w:rsidR="00ED2DC7">
                <w:fldChar w:fldCharType="end"/>
              </w:r>
            </w:sdtContent>
          </w:sdt>
        </w:p>
      </w:sdtContent>
    </w:sdt>
    <w:sdt>
      <w:sdtPr>
        <w:rPr>
          <w:rFonts w:hint="eastAsia"/>
          <w:szCs w:val="21"/>
        </w:rPr>
        <w:alias w:val="模块:固定资产说明"/>
        <w:tag w:val="_GBC_c93a179f84504ae59ee71556bc9afb64"/>
        <w:id w:val="646716277"/>
        <w:lock w:val="sdtLocked"/>
        <w:placeholder>
          <w:docPart w:val="GBC22222222222222222222222222222"/>
        </w:placeholder>
      </w:sdtPr>
      <w:sdtEndPr>
        <w:rPr>
          <w:rFonts w:hint="default"/>
        </w:rPr>
      </w:sdtEndPr>
      <w:sdtContent>
        <w:p w:rsidR="00ED2DC7" w:rsidRDefault="00ED2DC7">
          <w:pPr>
            <w:rPr>
              <w:szCs w:val="21"/>
            </w:rPr>
          </w:pPr>
          <w:r>
            <w:rPr>
              <w:rFonts w:hint="eastAsia"/>
              <w:szCs w:val="21"/>
            </w:rPr>
            <w:t>其他说明：</w:t>
          </w:r>
        </w:p>
        <w:sdt>
          <w:sdtPr>
            <w:rPr>
              <w:szCs w:val="21"/>
            </w:rPr>
            <w:alias w:val="是否适用：固定资产的说明[双击切换]"/>
            <w:tag w:val="_GBC_e2fd7087594d4949ada40807334de5fb"/>
            <w:id w:val="-988707873"/>
            <w:lock w:val="sdtContentLocked"/>
            <w:placeholder>
              <w:docPart w:val="GBC22222222222222222222222222222"/>
            </w:placeholder>
          </w:sdtPr>
          <w:sdtContent>
            <w:p w:rsidR="00B637B2" w:rsidRDefault="00ED2DC7" w:rsidP="00FD6261">
              <w:pPr>
                <w:rPr>
                  <w:szCs w:val="21"/>
                </w:rPr>
              </w:pPr>
              <w:r>
                <w:rPr>
                  <w:szCs w:val="21"/>
                </w:rPr>
                <w:fldChar w:fldCharType="begin"/>
              </w:r>
              <w:r w:rsidR="008F04CF">
                <w:rPr>
                  <w:szCs w:val="21"/>
                </w:rPr>
                <w:instrText xml:space="preserve"> MACROBUTTON  SnrToggleCheckbox √适用 </w:instrText>
              </w:r>
              <w:r>
                <w:rPr>
                  <w:szCs w:val="21"/>
                </w:rPr>
                <w:fldChar w:fldCharType="end"/>
              </w:r>
              <w:r>
                <w:rPr>
                  <w:szCs w:val="21"/>
                </w:rPr>
                <w:fldChar w:fldCharType="begin"/>
              </w:r>
              <w:r w:rsidR="008F04CF">
                <w:rPr>
                  <w:szCs w:val="21"/>
                </w:rPr>
                <w:instrText xml:space="preserve"> MACROBUTTON  SnrToggleCheckbox □不适用 </w:instrText>
              </w:r>
              <w:r>
                <w:rPr>
                  <w:szCs w:val="21"/>
                </w:rPr>
                <w:fldChar w:fldCharType="end"/>
              </w:r>
            </w:p>
          </w:sdtContent>
        </w:sdt>
        <w:sdt>
          <w:sdtPr>
            <w:rPr>
              <w:szCs w:val="21"/>
            </w:rPr>
            <w:alias w:val="固定资产的说明"/>
            <w:tag w:val="_GBC_1cd9f478e6f24b25af00fb54ff820976"/>
            <w:id w:val="1570003277"/>
            <w:lock w:val="sdtLocked"/>
          </w:sdtPr>
          <w:sdtContent>
            <w:p w:rsidR="00B637B2" w:rsidRPr="001D5369" w:rsidRDefault="008F04CF" w:rsidP="00B637B2">
              <w:pPr>
                <w:autoSpaceDE w:val="0"/>
                <w:autoSpaceDN w:val="0"/>
                <w:jc w:val="both"/>
                <w:rPr>
                  <w:rFonts w:cs="Arial"/>
                  <w:snapToGrid w:val="0"/>
                  <w:sz w:val="20"/>
                  <w:szCs w:val="20"/>
                </w:rPr>
              </w:pPr>
              <w:r w:rsidRPr="001D5369">
                <w:rPr>
                  <w:rFonts w:cs="Arial" w:hint="eastAsia"/>
                  <w:snapToGrid w:val="0"/>
                  <w:sz w:val="20"/>
                  <w:szCs w:val="20"/>
                </w:rPr>
                <w:t>本集团于</w:t>
              </w:r>
              <w:r w:rsidRPr="001D5369">
                <w:rPr>
                  <w:rFonts w:cs="Arial"/>
                  <w:snapToGrid w:val="0"/>
                  <w:sz w:val="20"/>
                  <w:szCs w:val="20"/>
                </w:rPr>
                <w:t>2019</w:t>
              </w:r>
              <w:r w:rsidRPr="001D5369">
                <w:rPr>
                  <w:rFonts w:cs="Arial" w:hint="eastAsia"/>
                  <w:snapToGrid w:val="0"/>
                  <w:sz w:val="20"/>
                  <w:szCs w:val="20"/>
                </w:rPr>
                <w:t>年</w:t>
              </w:r>
              <w:r w:rsidRPr="001D5369">
                <w:rPr>
                  <w:rFonts w:cs="Arial"/>
                  <w:snapToGrid w:val="0"/>
                  <w:sz w:val="20"/>
                  <w:szCs w:val="20"/>
                </w:rPr>
                <w:t>6</w:t>
              </w:r>
              <w:r w:rsidRPr="001D5369">
                <w:rPr>
                  <w:rFonts w:cs="Arial" w:hint="eastAsia"/>
                  <w:snapToGrid w:val="0"/>
                  <w:sz w:val="20"/>
                  <w:szCs w:val="20"/>
                </w:rPr>
                <w:t>月</w:t>
              </w:r>
              <w:r w:rsidRPr="001D5369">
                <w:rPr>
                  <w:rFonts w:cs="Arial"/>
                  <w:snapToGrid w:val="0"/>
                  <w:sz w:val="20"/>
                  <w:szCs w:val="20"/>
                </w:rPr>
                <w:t>30</w:t>
              </w:r>
              <w:r w:rsidRPr="001D5369">
                <w:rPr>
                  <w:rFonts w:cs="Arial" w:hint="eastAsia"/>
                  <w:snapToGrid w:val="0"/>
                  <w:sz w:val="20"/>
                  <w:szCs w:val="20"/>
                </w:rPr>
                <w:t>日的固定资产中不存在由于市价持续下跌、或技术陈旧、损坏、长期闲置等原因导致固定资产可收回金额低于账面价值的情况，故不需计提固定资产减值准备</w:t>
              </w:r>
              <w:r w:rsidRPr="001D5369">
                <w:rPr>
                  <w:rFonts w:cs="Arial"/>
                  <w:snapToGrid w:val="0"/>
                  <w:sz w:val="20"/>
                  <w:szCs w:val="20"/>
                </w:rPr>
                <w:t>(2018</w:t>
              </w:r>
              <w:r w:rsidRPr="001D5369">
                <w:rPr>
                  <w:rFonts w:cs="Arial" w:hint="eastAsia"/>
                  <w:snapToGrid w:val="0"/>
                  <w:sz w:val="20"/>
                  <w:szCs w:val="20"/>
                </w:rPr>
                <w:t>年</w:t>
              </w:r>
              <w:r w:rsidRPr="001D5369">
                <w:rPr>
                  <w:rFonts w:cs="Arial"/>
                  <w:snapToGrid w:val="0"/>
                  <w:sz w:val="20"/>
                  <w:szCs w:val="20"/>
                </w:rPr>
                <w:t>12</w:t>
              </w:r>
              <w:r w:rsidRPr="001D5369">
                <w:rPr>
                  <w:rFonts w:cs="Arial" w:hint="eastAsia"/>
                  <w:snapToGrid w:val="0"/>
                  <w:sz w:val="20"/>
                  <w:szCs w:val="20"/>
                </w:rPr>
                <w:t>月</w:t>
              </w:r>
              <w:r w:rsidRPr="001D5369">
                <w:rPr>
                  <w:rFonts w:cs="Arial"/>
                  <w:snapToGrid w:val="0"/>
                  <w:sz w:val="20"/>
                  <w:szCs w:val="20"/>
                </w:rPr>
                <w:t>31</w:t>
              </w:r>
              <w:r w:rsidRPr="001D5369">
                <w:rPr>
                  <w:rFonts w:cs="Arial" w:hint="eastAsia"/>
                  <w:snapToGrid w:val="0"/>
                  <w:sz w:val="20"/>
                  <w:szCs w:val="20"/>
                </w:rPr>
                <w:t>日：无</w:t>
              </w:r>
              <w:r w:rsidRPr="001D5369">
                <w:rPr>
                  <w:rFonts w:cs="Arial"/>
                  <w:snapToGrid w:val="0"/>
                  <w:sz w:val="20"/>
                  <w:szCs w:val="20"/>
                </w:rPr>
                <w:t>)</w:t>
              </w:r>
              <w:r w:rsidRPr="001D5369">
                <w:rPr>
                  <w:rFonts w:cs="Arial" w:hint="eastAsia"/>
                  <w:snapToGrid w:val="0"/>
                  <w:sz w:val="20"/>
                  <w:szCs w:val="20"/>
                </w:rPr>
                <w:t>。</w:t>
              </w:r>
            </w:p>
            <w:p w:rsidR="00B637B2" w:rsidRPr="001D5369" w:rsidRDefault="00B637B2" w:rsidP="00B637B2">
              <w:pPr>
                <w:autoSpaceDE w:val="0"/>
                <w:autoSpaceDN w:val="0"/>
                <w:jc w:val="both"/>
                <w:rPr>
                  <w:rFonts w:cs="Arial"/>
                  <w:snapToGrid w:val="0"/>
                  <w:sz w:val="20"/>
                  <w:szCs w:val="20"/>
                </w:rPr>
              </w:pPr>
            </w:p>
            <w:p w:rsidR="00B637B2" w:rsidRPr="001D5369" w:rsidRDefault="008F04CF" w:rsidP="00B637B2">
              <w:pPr>
                <w:autoSpaceDE w:val="0"/>
                <w:autoSpaceDN w:val="0"/>
                <w:jc w:val="both"/>
                <w:rPr>
                  <w:rFonts w:cs="Arial"/>
                  <w:snapToGrid w:val="0"/>
                  <w:sz w:val="20"/>
                  <w:szCs w:val="20"/>
                </w:rPr>
              </w:pPr>
              <w:r w:rsidRPr="001D5369">
                <w:rPr>
                  <w:rFonts w:cs="Arial" w:hint="eastAsia"/>
                  <w:snapToGrid w:val="0"/>
                  <w:sz w:val="20"/>
                  <w:szCs w:val="20"/>
                </w:rPr>
                <w:t>于</w:t>
              </w:r>
              <w:r w:rsidRPr="001D5369">
                <w:rPr>
                  <w:rFonts w:cs="Arial"/>
                  <w:snapToGrid w:val="0"/>
                  <w:sz w:val="20"/>
                  <w:szCs w:val="20"/>
                </w:rPr>
                <w:t>2019</w:t>
              </w:r>
              <w:r w:rsidRPr="001D5369">
                <w:rPr>
                  <w:rFonts w:cs="Arial" w:hint="eastAsia"/>
                  <w:snapToGrid w:val="0"/>
                  <w:sz w:val="20"/>
                  <w:szCs w:val="20"/>
                </w:rPr>
                <w:t>年</w:t>
              </w:r>
              <w:r w:rsidRPr="001D5369">
                <w:rPr>
                  <w:rFonts w:cs="Arial"/>
                  <w:snapToGrid w:val="0"/>
                  <w:sz w:val="20"/>
                  <w:szCs w:val="20"/>
                </w:rPr>
                <w:t>6</w:t>
              </w:r>
              <w:r w:rsidRPr="001D5369">
                <w:rPr>
                  <w:rFonts w:cs="Arial" w:hint="eastAsia"/>
                  <w:snapToGrid w:val="0"/>
                  <w:sz w:val="20"/>
                  <w:szCs w:val="20"/>
                </w:rPr>
                <w:t>月</w:t>
              </w:r>
              <w:r w:rsidRPr="001D5369">
                <w:rPr>
                  <w:rFonts w:cs="Arial"/>
                  <w:snapToGrid w:val="0"/>
                  <w:sz w:val="20"/>
                  <w:szCs w:val="20"/>
                </w:rPr>
                <w:t>30</w:t>
              </w:r>
              <w:r w:rsidRPr="001D5369">
                <w:rPr>
                  <w:rFonts w:cs="Arial" w:hint="eastAsia"/>
                  <w:snapToGrid w:val="0"/>
                  <w:sz w:val="20"/>
                  <w:szCs w:val="20"/>
                </w:rPr>
                <w:t>日，本集团没有重大暂时闲置及已退废和准备处置的固定资产</w:t>
              </w:r>
              <w:r w:rsidRPr="001D5369">
                <w:rPr>
                  <w:rFonts w:cs="Arial"/>
                  <w:snapToGrid w:val="0"/>
                  <w:sz w:val="20"/>
                  <w:szCs w:val="20"/>
                </w:rPr>
                <w:t>(2018</w:t>
              </w:r>
              <w:r w:rsidRPr="001D5369">
                <w:rPr>
                  <w:rFonts w:cs="Arial" w:hint="eastAsia"/>
                  <w:snapToGrid w:val="0"/>
                  <w:sz w:val="20"/>
                  <w:szCs w:val="20"/>
                </w:rPr>
                <w:t>年</w:t>
              </w:r>
              <w:r w:rsidRPr="001D5369">
                <w:rPr>
                  <w:rFonts w:cs="Arial"/>
                  <w:snapToGrid w:val="0"/>
                  <w:sz w:val="20"/>
                  <w:szCs w:val="20"/>
                </w:rPr>
                <w:t>12</w:t>
              </w:r>
              <w:r w:rsidRPr="001D5369">
                <w:rPr>
                  <w:rFonts w:cs="Arial" w:hint="eastAsia"/>
                  <w:snapToGrid w:val="0"/>
                  <w:sz w:val="20"/>
                  <w:szCs w:val="20"/>
                </w:rPr>
                <w:t>月</w:t>
              </w:r>
              <w:r w:rsidRPr="001D5369">
                <w:rPr>
                  <w:rFonts w:cs="Arial"/>
                  <w:snapToGrid w:val="0"/>
                  <w:sz w:val="20"/>
                  <w:szCs w:val="20"/>
                </w:rPr>
                <w:t>31</w:t>
              </w:r>
              <w:r w:rsidRPr="001D5369">
                <w:rPr>
                  <w:rFonts w:cs="Arial" w:hint="eastAsia"/>
                  <w:snapToGrid w:val="0"/>
                  <w:sz w:val="20"/>
                  <w:szCs w:val="20"/>
                </w:rPr>
                <w:t>日：无</w:t>
              </w:r>
              <w:r w:rsidRPr="001D5369">
                <w:rPr>
                  <w:rFonts w:cs="Arial"/>
                  <w:snapToGrid w:val="0"/>
                  <w:sz w:val="20"/>
                  <w:szCs w:val="20"/>
                </w:rPr>
                <w:t>)</w:t>
              </w:r>
              <w:r w:rsidRPr="001D5369">
                <w:rPr>
                  <w:rFonts w:cs="Arial" w:hint="eastAsia"/>
                  <w:snapToGrid w:val="0"/>
                  <w:sz w:val="20"/>
                  <w:szCs w:val="20"/>
                </w:rPr>
                <w:t>。</w:t>
              </w:r>
            </w:p>
            <w:p w:rsidR="00B637B2" w:rsidRPr="001D5369" w:rsidRDefault="00B637B2" w:rsidP="00B637B2">
              <w:pPr>
                <w:autoSpaceDE w:val="0"/>
                <w:autoSpaceDN w:val="0"/>
                <w:jc w:val="both"/>
                <w:rPr>
                  <w:rFonts w:cs="Arial"/>
                  <w:snapToGrid w:val="0"/>
                  <w:sz w:val="20"/>
                  <w:szCs w:val="20"/>
                </w:rPr>
              </w:pPr>
            </w:p>
            <w:p w:rsidR="00B637B2" w:rsidRPr="001D5369" w:rsidRDefault="008F04CF" w:rsidP="00B637B2">
              <w:pPr>
                <w:autoSpaceDE w:val="0"/>
                <w:autoSpaceDN w:val="0"/>
                <w:jc w:val="both"/>
                <w:rPr>
                  <w:rFonts w:cs="Arial"/>
                  <w:snapToGrid w:val="0"/>
                  <w:sz w:val="20"/>
                  <w:szCs w:val="20"/>
                </w:rPr>
              </w:pPr>
              <w:r w:rsidRPr="001D5369">
                <w:rPr>
                  <w:rFonts w:cs="Arial" w:hint="eastAsia"/>
                  <w:snapToGrid w:val="0"/>
                  <w:sz w:val="20"/>
                  <w:szCs w:val="20"/>
                </w:rPr>
                <w:t>于</w:t>
              </w:r>
              <w:r w:rsidRPr="001D5369">
                <w:rPr>
                  <w:rFonts w:cs="Arial"/>
                  <w:snapToGrid w:val="0"/>
                  <w:sz w:val="20"/>
                  <w:szCs w:val="20"/>
                </w:rPr>
                <w:t>2019</w:t>
              </w:r>
              <w:r w:rsidRPr="001D5369">
                <w:rPr>
                  <w:rFonts w:cs="Arial" w:hint="eastAsia"/>
                  <w:snapToGrid w:val="0"/>
                  <w:sz w:val="20"/>
                  <w:szCs w:val="20"/>
                </w:rPr>
                <w:t>年</w:t>
              </w:r>
              <w:r w:rsidRPr="001D5369">
                <w:rPr>
                  <w:rFonts w:cs="Arial"/>
                  <w:snapToGrid w:val="0"/>
                  <w:sz w:val="20"/>
                  <w:szCs w:val="20"/>
                </w:rPr>
                <w:t>6</w:t>
              </w:r>
              <w:r w:rsidRPr="001D5369">
                <w:rPr>
                  <w:rFonts w:cs="Arial" w:hint="eastAsia"/>
                  <w:snapToGrid w:val="0"/>
                  <w:sz w:val="20"/>
                  <w:szCs w:val="20"/>
                </w:rPr>
                <w:t>月</w:t>
              </w:r>
              <w:r w:rsidRPr="001D5369">
                <w:rPr>
                  <w:rFonts w:cs="Arial"/>
                  <w:snapToGrid w:val="0"/>
                  <w:sz w:val="20"/>
                  <w:szCs w:val="20"/>
                </w:rPr>
                <w:t>30</w:t>
              </w:r>
              <w:r w:rsidRPr="001D5369">
                <w:rPr>
                  <w:rFonts w:cs="Arial" w:hint="eastAsia"/>
                  <w:snapToGrid w:val="0"/>
                  <w:sz w:val="20"/>
                  <w:szCs w:val="20"/>
                </w:rPr>
                <w:t>日，经营性租出房屋建筑物的账面净值为人民币</w:t>
              </w:r>
              <w:r w:rsidRPr="001D5369">
                <w:rPr>
                  <w:rFonts w:cs="Arial"/>
                  <w:snapToGrid w:val="0"/>
                  <w:sz w:val="20"/>
                  <w:szCs w:val="20"/>
                </w:rPr>
                <w:t>1,495,699,976</w:t>
              </w:r>
              <w:r w:rsidRPr="001D5369">
                <w:rPr>
                  <w:rFonts w:cs="Arial" w:hint="eastAsia"/>
                  <w:snapToGrid w:val="0"/>
                  <w:sz w:val="20"/>
                  <w:szCs w:val="20"/>
                </w:rPr>
                <w:t>元</w:t>
              </w:r>
              <w:r w:rsidRPr="001D5369">
                <w:rPr>
                  <w:rFonts w:cs="Arial"/>
                  <w:snapToGrid w:val="0"/>
                  <w:sz w:val="20"/>
                  <w:szCs w:val="20"/>
                </w:rPr>
                <w:t>(2018</w:t>
              </w:r>
              <w:r w:rsidRPr="001D5369">
                <w:rPr>
                  <w:rFonts w:cs="Arial" w:hint="eastAsia"/>
                  <w:snapToGrid w:val="0"/>
                  <w:sz w:val="20"/>
                  <w:szCs w:val="20"/>
                </w:rPr>
                <w:t>年</w:t>
              </w:r>
              <w:r w:rsidRPr="001D5369">
                <w:rPr>
                  <w:rFonts w:cs="Arial"/>
                  <w:snapToGrid w:val="0"/>
                  <w:sz w:val="20"/>
                  <w:szCs w:val="20"/>
                </w:rPr>
                <w:t>12</w:t>
              </w:r>
              <w:r w:rsidRPr="001D5369">
                <w:rPr>
                  <w:rFonts w:cs="Arial" w:hint="eastAsia"/>
                  <w:snapToGrid w:val="0"/>
                  <w:sz w:val="20"/>
                  <w:szCs w:val="20"/>
                </w:rPr>
                <w:t>月</w:t>
              </w:r>
              <w:r w:rsidRPr="001D5369">
                <w:rPr>
                  <w:rFonts w:cs="Arial"/>
                  <w:snapToGrid w:val="0"/>
                  <w:sz w:val="20"/>
                  <w:szCs w:val="20"/>
                </w:rPr>
                <w:t>31</w:t>
              </w:r>
              <w:r w:rsidRPr="001D5369">
                <w:rPr>
                  <w:rFonts w:cs="Arial" w:hint="eastAsia"/>
                  <w:snapToGrid w:val="0"/>
                  <w:sz w:val="20"/>
                  <w:szCs w:val="20"/>
                </w:rPr>
                <w:t>日：人民币</w:t>
              </w:r>
              <w:r w:rsidRPr="001D5369">
                <w:rPr>
                  <w:rFonts w:cs="Arial"/>
                  <w:snapToGrid w:val="0"/>
                  <w:sz w:val="20"/>
                  <w:szCs w:val="20"/>
                </w:rPr>
                <w:t>1,342,051,631</w:t>
              </w:r>
              <w:r w:rsidRPr="001D5369">
                <w:rPr>
                  <w:rFonts w:cs="Arial" w:hint="eastAsia"/>
                  <w:snapToGrid w:val="0"/>
                  <w:sz w:val="20"/>
                  <w:szCs w:val="20"/>
                </w:rPr>
                <w:t>元</w:t>
              </w:r>
              <w:r w:rsidRPr="001D5369">
                <w:rPr>
                  <w:rFonts w:cs="Arial"/>
                  <w:snapToGrid w:val="0"/>
                  <w:sz w:val="20"/>
                  <w:szCs w:val="20"/>
                </w:rPr>
                <w:t>)</w:t>
              </w:r>
              <w:r w:rsidRPr="001D5369">
                <w:rPr>
                  <w:rFonts w:cs="Arial" w:hint="eastAsia"/>
                  <w:snapToGrid w:val="0"/>
                  <w:sz w:val="20"/>
                  <w:szCs w:val="20"/>
                </w:rPr>
                <w:t>。</w:t>
              </w:r>
            </w:p>
            <w:p w:rsidR="00B637B2" w:rsidRPr="001D5369" w:rsidRDefault="00B637B2" w:rsidP="00B637B2">
              <w:pPr>
                <w:overflowPunct w:val="0"/>
                <w:autoSpaceDE w:val="0"/>
                <w:autoSpaceDN w:val="0"/>
                <w:adjustRightInd w:val="0"/>
                <w:snapToGrid w:val="0"/>
                <w:ind w:left="720" w:hanging="720"/>
                <w:jc w:val="both"/>
                <w:textAlignment w:val="bottom"/>
                <w:rPr>
                  <w:rFonts w:cs="Arial"/>
                  <w:b/>
                  <w:bCs/>
                  <w:snapToGrid w:val="0"/>
                  <w:sz w:val="20"/>
                  <w:szCs w:val="20"/>
                </w:rPr>
              </w:pPr>
            </w:p>
            <w:p w:rsidR="00B637B2" w:rsidRPr="001D5369" w:rsidRDefault="008F04CF" w:rsidP="00B637B2">
              <w:pPr>
                <w:rPr>
                  <w:szCs w:val="21"/>
                </w:rPr>
              </w:pPr>
              <w:r w:rsidRPr="001D5369">
                <w:rPr>
                  <w:rFonts w:cs="Arial" w:hint="eastAsia"/>
                  <w:snapToGrid w:val="0"/>
                  <w:sz w:val="20"/>
                  <w:szCs w:val="20"/>
                </w:rPr>
                <w:t>于</w:t>
              </w:r>
              <w:r w:rsidRPr="001D5369">
                <w:rPr>
                  <w:rFonts w:cs="Arial"/>
                  <w:snapToGrid w:val="0"/>
                  <w:sz w:val="20"/>
                  <w:szCs w:val="20"/>
                </w:rPr>
                <w:t>2019</w:t>
              </w:r>
              <w:r w:rsidRPr="001D5369">
                <w:rPr>
                  <w:rFonts w:cs="Arial" w:hint="eastAsia"/>
                  <w:snapToGrid w:val="0"/>
                  <w:sz w:val="20"/>
                  <w:szCs w:val="20"/>
                </w:rPr>
                <w:t>年</w:t>
              </w:r>
              <w:r w:rsidRPr="001D5369">
                <w:rPr>
                  <w:rFonts w:cs="Arial"/>
                  <w:snapToGrid w:val="0"/>
                  <w:sz w:val="20"/>
                  <w:szCs w:val="20"/>
                </w:rPr>
                <w:t>6</w:t>
              </w:r>
              <w:r w:rsidRPr="001D5369">
                <w:rPr>
                  <w:rFonts w:cs="Arial" w:hint="eastAsia"/>
                  <w:snapToGrid w:val="0"/>
                  <w:sz w:val="20"/>
                  <w:szCs w:val="20"/>
                </w:rPr>
                <w:t>月</w:t>
              </w:r>
              <w:r w:rsidRPr="001D5369">
                <w:rPr>
                  <w:rFonts w:cs="Arial"/>
                  <w:snapToGrid w:val="0"/>
                  <w:sz w:val="20"/>
                  <w:szCs w:val="20"/>
                </w:rPr>
                <w:t>30</w:t>
              </w:r>
              <w:r w:rsidRPr="001D5369">
                <w:rPr>
                  <w:rFonts w:cs="Arial" w:hint="eastAsia"/>
                  <w:snapToGrid w:val="0"/>
                  <w:sz w:val="20"/>
                  <w:szCs w:val="20"/>
                </w:rPr>
                <w:t>日，账面价值为人民币</w:t>
              </w:r>
              <w:r w:rsidRPr="001D5369">
                <w:rPr>
                  <w:rFonts w:cs="Arial"/>
                  <w:snapToGrid w:val="0"/>
                  <w:sz w:val="20"/>
                  <w:szCs w:val="20"/>
                </w:rPr>
                <w:t>619,016,810</w:t>
              </w:r>
              <w:r w:rsidRPr="001D5369">
                <w:rPr>
                  <w:rFonts w:cs="Arial" w:hint="eastAsia"/>
                  <w:snapToGrid w:val="0"/>
                  <w:sz w:val="20"/>
                  <w:szCs w:val="20"/>
                </w:rPr>
                <w:t>元的房屋建筑物，用于取得银行借款抵押。详情参见附注</w:t>
              </w:r>
              <w:r w:rsidR="00150269">
                <w:rPr>
                  <w:rFonts w:cs="Arial" w:hint="eastAsia"/>
                  <w:snapToGrid w:val="0"/>
                  <w:sz w:val="20"/>
                  <w:szCs w:val="20"/>
                </w:rPr>
                <w:t>七</w:t>
              </w:r>
              <w:r w:rsidRPr="001D5369">
                <w:rPr>
                  <w:rFonts w:cs="Arial" w:hint="eastAsia"/>
                  <w:snapToGrid w:val="0"/>
                  <w:sz w:val="20"/>
                  <w:szCs w:val="20"/>
                </w:rPr>
                <w:t>、</w:t>
              </w:r>
              <w:r w:rsidR="00150269">
                <w:rPr>
                  <w:rFonts w:cs="Arial"/>
                  <w:snapToGrid w:val="0"/>
                  <w:sz w:val="20"/>
                  <w:szCs w:val="20"/>
                </w:rPr>
                <w:t>81</w:t>
              </w:r>
              <w:r w:rsidRPr="001D5369">
                <w:rPr>
                  <w:rFonts w:cs="Arial" w:hint="eastAsia"/>
                  <w:snapToGrid w:val="0"/>
                  <w:sz w:val="20"/>
                  <w:szCs w:val="20"/>
                </w:rPr>
                <w:t>。</w:t>
              </w:r>
            </w:p>
          </w:sdtContent>
        </w:sdt>
        <w:p w:rsidR="00ED2DC7" w:rsidRDefault="000D0A99" w:rsidP="00FD6261">
          <w:pPr>
            <w:rPr>
              <w:szCs w:val="21"/>
            </w:rPr>
          </w:pPr>
        </w:p>
      </w:sdtContent>
    </w:sdt>
    <w:p w:rsidR="00ED2DC7" w:rsidRDefault="00ED2DC7">
      <w:pPr>
        <w:rPr>
          <w:color w:val="FF0000"/>
          <w:szCs w:val="21"/>
        </w:rPr>
      </w:pPr>
    </w:p>
    <w:sdt>
      <w:sdtPr>
        <w:rPr>
          <w:rFonts w:ascii="宋体" w:hAnsi="宋体" w:cs="宋体" w:hint="eastAsia"/>
          <w:b w:val="0"/>
          <w:bCs w:val="0"/>
          <w:kern w:val="0"/>
          <w:szCs w:val="24"/>
        </w:rPr>
        <w:alias w:val="模块:固定资产清理"/>
        <w:tag w:val="_GBC_0de4677cdcb54eaa8c2b2afa938f1054"/>
        <w:id w:val="170763396"/>
        <w:lock w:val="sdtLocked"/>
        <w:placeholder>
          <w:docPart w:val="GBC22222222222222222222222222222"/>
        </w:placeholder>
      </w:sdtPr>
      <w:sdtEndPr>
        <w:rPr>
          <w:szCs w:val="21"/>
        </w:rPr>
      </w:sdtEndPr>
      <w:sdtContent>
        <w:p w:rsidR="00ED2DC7" w:rsidRDefault="00ED2DC7">
          <w:pPr>
            <w:pStyle w:val="affffffffffffffffff2"/>
          </w:pPr>
          <w:r>
            <w:rPr>
              <w:rFonts w:hint="eastAsia"/>
            </w:rPr>
            <w:t>固定资产清理</w:t>
          </w:r>
        </w:p>
        <w:sdt>
          <w:sdtPr>
            <w:alias w:val="是否适用：固定资产清理[双击切换]"/>
            <w:tag w:val="_GBC_d005d220fbda4cd2a58ced6d0d7a1404"/>
            <w:id w:val="-1715493454"/>
            <w:lock w:val="sdtContentLocked"/>
            <w:placeholder>
              <w:docPart w:val="GBC22222222222222222222222222222"/>
            </w:placeholder>
          </w:sdtPr>
          <w:sdtContent>
            <w:p w:rsidR="00FD6261" w:rsidRDefault="00ED2DC7" w:rsidP="00FD6261">
              <w:r>
                <w:fldChar w:fldCharType="begin"/>
              </w:r>
              <w:r w:rsidR="00FD6261">
                <w:instrText xml:space="preserve"> MACROBUTTON  SnrToggleCheckbox □适用 </w:instrText>
              </w:r>
              <w:r>
                <w:fldChar w:fldCharType="end"/>
              </w:r>
              <w:r>
                <w:fldChar w:fldCharType="begin"/>
              </w:r>
              <w:r w:rsidR="00FD6261">
                <w:instrText xml:space="preserve"> MACROBUTTON  SnrToggleCheckbox √不适用 </w:instrText>
              </w:r>
              <w:r>
                <w:fldChar w:fldCharType="end"/>
              </w:r>
            </w:p>
          </w:sdtContent>
        </w:sdt>
        <w:p w:rsidR="00ED2DC7" w:rsidRDefault="000D0A99">
          <w:pPr>
            <w:rPr>
              <w:szCs w:val="21"/>
            </w:rPr>
          </w:pPr>
        </w:p>
      </w:sdtContent>
    </w:sdt>
    <w:p w:rsidR="00ED2DC7" w:rsidRDefault="00ED2DC7">
      <w:pPr>
        <w:rPr>
          <w:szCs w:val="21"/>
        </w:rPr>
      </w:pPr>
    </w:p>
    <w:p w:rsidR="00ED2DC7" w:rsidRDefault="00ED2DC7" w:rsidP="00036BDC">
      <w:pPr>
        <w:pStyle w:val="affffffffffffffffff1"/>
        <w:numPr>
          <w:ilvl w:val="0"/>
          <w:numId w:val="49"/>
        </w:numPr>
        <w:tabs>
          <w:tab w:val="left" w:pos="504"/>
        </w:tabs>
        <w:rPr>
          <w:rFonts w:ascii="宋体" w:hAnsi="宋体"/>
          <w:szCs w:val="21"/>
        </w:rPr>
      </w:pPr>
      <w:r>
        <w:rPr>
          <w:rFonts w:ascii="宋体" w:hAnsi="宋体" w:hint="eastAsia"/>
          <w:szCs w:val="21"/>
        </w:rPr>
        <w:t>在建工程</w:t>
      </w:r>
    </w:p>
    <w:bookmarkStart w:id="153" w:name="_Hlk10472757" w:displacedByCustomXml="next"/>
    <w:sdt>
      <w:sdtPr>
        <w:rPr>
          <w:rFonts w:ascii="宋体" w:hAnsi="宋体" w:cs="宋体" w:hint="eastAsia"/>
          <w:b w:val="0"/>
          <w:bCs w:val="0"/>
          <w:kern w:val="0"/>
          <w:szCs w:val="24"/>
        </w:rPr>
        <w:alias w:val="模块:在建工程项目列示"/>
        <w:tag w:val="_SEC_5259769a5b954eaaa39f8ab4268be07c"/>
        <w:id w:val="-379243526"/>
        <w:lock w:val="sdtLocked"/>
        <w:placeholder>
          <w:docPart w:val="GBC22222222222222222222222222222"/>
        </w:placeholder>
      </w:sdtPr>
      <w:sdtEndPr>
        <w:rPr>
          <w:rFonts w:hint="default"/>
          <w:szCs w:val="21"/>
        </w:rPr>
      </w:sdtEndPr>
      <w:sdtContent>
        <w:p w:rsidR="00ED2DC7" w:rsidRDefault="00ED2DC7">
          <w:pPr>
            <w:pStyle w:val="affffffffffffffffff2"/>
          </w:pPr>
          <w:r>
            <w:rPr>
              <w:rFonts w:hint="eastAsia"/>
            </w:rPr>
            <w:t>项目列示</w:t>
          </w:r>
        </w:p>
        <w:sdt>
          <w:sdtPr>
            <w:alias w:val="是否适用：在建工程分类列示[双击切换]"/>
            <w:tag w:val="_GBC_bcbd4315343844fc923825dd150041e5"/>
            <w:id w:val="-1230609120"/>
            <w:lock w:val="sdtContentLocked"/>
            <w:placeholder>
              <w:docPart w:val="GBC22222222222222222222222222222"/>
            </w:placeholder>
          </w:sdtPr>
          <w:sdtContent>
            <w:p w:rsidR="00ED2DC7" w:rsidRDefault="00ED2DC7">
              <w:r>
                <w:fldChar w:fldCharType="begin"/>
              </w:r>
              <w:r w:rsidR="005451E3">
                <w:instrText xml:space="preserve"> MACROBUTTON  SnrToggleCheckbox √适用 </w:instrText>
              </w:r>
              <w:r>
                <w:fldChar w:fldCharType="end"/>
              </w:r>
              <w:r>
                <w:fldChar w:fldCharType="begin"/>
              </w:r>
              <w:r w:rsidR="005451E3">
                <w:instrText xml:space="preserve"> MACROBUTTON  SnrToggleCheckbox □不适用 </w:instrText>
              </w:r>
              <w:r>
                <w:fldChar w:fldCharType="end"/>
              </w:r>
            </w:p>
          </w:sdtContent>
        </w:sdt>
        <w:p w:rsidR="00ED2DC7" w:rsidRDefault="00ED2DC7">
          <w:pPr>
            <w:jc w:val="right"/>
            <w:rPr>
              <w:szCs w:val="21"/>
            </w:rPr>
          </w:pPr>
          <w:r>
            <w:rPr>
              <w:rFonts w:hint="eastAsia"/>
              <w:szCs w:val="21"/>
            </w:rPr>
            <w:t>单位：</w:t>
          </w:r>
          <w:sdt>
            <w:sdtPr>
              <w:rPr>
                <w:rFonts w:hint="eastAsia"/>
                <w:szCs w:val="21"/>
              </w:rPr>
              <w:alias w:val="单位：在建工程分类列示"/>
              <w:tag w:val="_GBC_9df8e16a6fb54a76b384d11e7a6dd52d"/>
              <w:id w:val="-55015296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hint="eastAsia"/>
                  <w:szCs w:val="21"/>
                </w:rPr>
                <w:t>元</w:t>
              </w:r>
            </w:sdtContent>
          </w:sdt>
          <w:r>
            <w:rPr>
              <w:rFonts w:hint="eastAsia"/>
              <w:szCs w:val="21"/>
            </w:rPr>
            <w:t xml:space="preserve">  币种：</w:t>
          </w:r>
          <w:sdt>
            <w:sdtPr>
              <w:rPr>
                <w:rFonts w:hint="eastAsia"/>
                <w:szCs w:val="21"/>
              </w:rPr>
              <w:alias w:val="币种：在建工程分类列示"/>
              <w:tag w:val="_GBC_17b0bdb7b5f24e599fcea2e90510306a"/>
              <w:id w:val="-3700730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szCs w:val="21"/>
                </w:rPr>
                <w:t>人民币</w:t>
              </w:r>
            </w:sdtContent>
          </w:sdt>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113"/>
            <w:gridCol w:w="2862"/>
            <w:gridCol w:w="2848"/>
          </w:tblGrid>
          <w:tr w:rsidR="00ED2DC7" w:rsidTr="00510B81">
            <w:trPr>
              <w:cantSplit/>
            </w:trPr>
            <w:sdt>
              <w:sdtPr>
                <w:tag w:val="_PLD_3a34a6496ee4454093b17b19ba9b805d"/>
                <w:id w:val="-793594555"/>
                <w:lock w:val="sdtLocked"/>
              </w:sdtPr>
              <w:sdtContent>
                <w:tc>
                  <w:tcPr>
                    <w:tcW w:w="1764" w:type="pct"/>
                    <w:vAlign w:val="center"/>
                  </w:tcPr>
                  <w:p w:rsidR="00ED2DC7" w:rsidRDefault="00ED2DC7">
                    <w:pPr>
                      <w:jc w:val="center"/>
                      <w:rPr>
                        <w:szCs w:val="21"/>
                      </w:rPr>
                    </w:pPr>
                    <w:r>
                      <w:rPr>
                        <w:rFonts w:hint="eastAsia"/>
                        <w:szCs w:val="21"/>
                      </w:rPr>
                      <w:t>项目</w:t>
                    </w:r>
                  </w:p>
                </w:tc>
              </w:sdtContent>
            </w:sdt>
            <w:sdt>
              <w:sdtPr>
                <w:tag w:val="_PLD_88973d2835334cdbb31181ad26b55912"/>
                <w:id w:val="1880812864"/>
                <w:lock w:val="sdtLocked"/>
              </w:sdtPr>
              <w:sdtContent>
                <w:tc>
                  <w:tcPr>
                    <w:tcW w:w="1622" w:type="pct"/>
                    <w:vAlign w:val="center"/>
                  </w:tcPr>
                  <w:p w:rsidR="00ED2DC7" w:rsidRDefault="00ED2DC7">
                    <w:pPr>
                      <w:jc w:val="center"/>
                      <w:rPr>
                        <w:szCs w:val="21"/>
                      </w:rPr>
                    </w:pPr>
                    <w:r>
                      <w:rPr>
                        <w:rFonts w:hint="eastAsia"/>
                        <w:szCs w:val="21"/>
                      </w:rPr>
                      <w:t>期末余额</w:t>
                    </w:r>
                  </w:p>
                </w:tc>
              </w:sdtContent>
            </w:sdt>
            <w:sdt>
              <w:sdtPr>
                <w:tag w:val="_PLD_55f5bd8851c54b7897a165bee2df0273"/>
                <w:id w:val="527304964"/>
                <w:lock w:val="sdtLocked"/>
              </w:sdtPr>
              <w:sdtContent>
                <w:tc>
                  <w:tcPr>
                    <w:tcW w:w="1614" w:type="pct"/>
                    <w:vAlign w:val="center"/>
                  </w:tcPr>
                  <w:p w:rsidR="00ED2DC7" w:rsidRDefault="00ED2DC7">
                    <w:pPr>
                      <w:jc w:val="center"/>
                      <w:rPr>
                        <w:szCs w:val="21"/>
                      </w:rPr>
                    </w:pPr>
                    <w:r>
                      <w:rPr>
                        <w:rFonts w:hint="eastAsia"/>
                        <w:szCs w:val="21"/>
                      </w:rPr>
                      <w:t>期初余额</w:t>
                    </w:r>
                  </w:p>
                </w:tc>
              </w:sdtContent>
            </w:sdt>
          </w:tr>
          <w:tr w:rsidR="00ED2DC7" w:rsidTr="00510B81">
            <w:trPr>
              <w:cantSplit/>
            </w:trPr>
            <w:sdt>
              <w:sdtPr>
                <w:tag w:val="_PLD_65bb35f19246484caedfd539dfade78d"/>
                <w:id w:val="-7984116"/>
                <w:lock w:val="sdtLocked"/>
              </w:sdtPr>
              <w:sdtContent>
                <w:tc>
                  <w:tcPr>
                    <w:tcW w:w="1764" w:type="pct"/>
                  </w:tcPr>
                  <w:p w:rsidR="00ED2DC7" w:rsidRDefault="00ED2DC7">
                    <w:pPr>
                      <w:tabs>
                        <w:tab w:val="right" w:pos="3690"/>
                        <w:tab w:val="right" w:pos="5130"/>
                        <w:tab w:val="right" w:pos="6030"/>
                        <w:tab w:val="right" w:pos="7650"/>
                        <w:tab w:val="right" w:pos="9270"/>
                      </w:tabs>
                      <w:adjustRightInd w:val="0"/>
                      <w:snapToGrid w:val="0"/>
                      <w:rPr>
                        <w:szCs w:val="21"/>
                      </w:rPr>
                    </w:pPr>
                    <w:r>
                      <w:rPr>
                        <w:rFonts w:hint="eastAsia"/>
                        <w:szCs w:val="21"/>
                      </w:rPr>
                      <w:t>在建工程</w:t>
                    </w:r>
                  </w:p>
                </w:tc>
              </w:sdtContent>
            </w:sdt>
            <w:tc>
              <w:tcPr>
                <w:tcW w:w="1622" w:type="pct"/>
              </w:tcPr>
              <w:p w:rsidR="00ED2DC7" w:rsidRDefault="00ED2DC7">
                <w:pPr>
                  <w:ind w:right="5"/>
                  <w:jc w:val="right"/>
                  <w:rPr>
                    <w:szCs w:val="21"/>
                  </w:rPr>
                </w:pPr>
              </w:p>
            </w:tc>
            <w:tc>
              <w:tcPr>
                <w:tcW w:w="1614" w:type="pct"/>
              </w:tcPr>
              <w:p w:rsidR="00ED2DC7" w:rsidRDefault="003A74F7">
                <w:pPr>
                  <w:ind w:right="5"/>
                  <w:jc w:val="right"/>
                  <w:rPr>
                    <w:szCs w:val="21"/>
                  </w:rPr>
                </w:pPr>
                <w:r w:rsidRPr="003A74F7">
                  <w:rPr>
                    <w:szCs w:val="21"/>
                  </w:rPr>
                  <w:t>446,130,020</w:t>
                </w:r>
              </w:p>
            </w:tc>
          </w:tr>
          <w:tr w:rsidR="00ED2DC7" w:rsidTr="00510B81">
            <w:trPr>
              <w:cantSplit/>
            </w:trPr>
            <w:sdt>
              <w:sdtPr>
                <w:tag w:val="_PLD_e1778e13b3024450b5ac627563f1ed3a"/>
                <w:id w:val="574323404"/>
                <w:lock w:val="sdtLocked"/>
              </w:sdtPr>
              <w:sdtContent>
                <w:tc>
                  <w:tcPr>
                    <w:tcW w:w="1764" w:type="pct"/>
                    <w:vAlign w:val="center"/>
                  </w:tcPr>
                  <w:p w:rsidR="00ED2DC7" w:rsidRDefault="00ED2DC7">
                    <w:pPr>
                      <w:autoSpaceDE w:val="0"/>
                      <w:autoSpaceDN w:val="0"/>
                      <w:adjustRightInd w:val="0"/>
                      <w:jc w:val="center"/>
                      <w:rPr>
                        <w:szCs w:val="21"/>
                      </w:rPr>
                    </w:pPr>
                    <w:r>
                      <w:rPr>
                        <w:rFonts w:hint="eastAsia"/>
                        <w:szCs w:val="21"/>
                      </w:rPr>
                      <w:t>合计</w:t>
                    </w:r>
                  </w:p>
                </w:tc>
              </w:sdtContent>
            </w:sdt>
            <w:tc>
              <w:tcPr>
                <w:tcW w:w="1622" w:type="pct"/>
              </w:tcPr>
              <w:p w:rsidR="00ED2DC7" w:rsidRDefault="00ED2DC7">
                <w:pPr>
                  <w:jc w:val="right"/>
                  <w:rPr>
                    <w:szCs w:val="21"/>
                  </w:rPr>
                </w:pPr>
              </w:p>
            </w:tc>
            <w:tc>
              <w:tcPr>
                <w:tcW w:w="1614" w:type="pct"/>
              </w:tcPr>
              <w:p w:rsidR="00ED2DC7" w:rsidRDefault="008F04CF">
                <w:pPr>
                  <w:ind w:right="5"/>
                  <w:jc w:val="right"/>
                  <w:rPr>
                    <w:szCs w:val="21"/>
                  </w:rPr>
                </w:pPr>
                <w:r w:rsidRPr="003A74F7">
                  <w:rPr>
                    <w:szCs w:val="21"/>
                  </w:rPr>
                  <w:t>446,130,020</w:t>
                </w:r>
              </w:p>
            </w:tc>
          </w:tr>
        </w:tbl>
        <w:p w:rsidR="00ED2DC7" w:rsidRDefault="00ED2DC7">
          <w:pPr>
            <w:rPr>
              <w:szCs w:val="21"/>
            </w:rPr>
          </w:pPr>
          <w:bookmarkStart w:id="154" w:name="_Hlk10472837"/>
          <w:bookmarkStart w:id="155" w:name="_Hlk10472848"/>
          <w:bookmarkEnd w:id="153"/>
          <w:r>
            <w:rPr>
              <w:rFonts w:hint="eastAsia"/>
              <w:szCs w:val="21"/>
            </w:rPr>
            <w:t>其他说明：</w:t>
          </w:r>
          <w:bookmarkEnd w:id="154"/>
        </w:p>
        <w:p w:rsidR="00ED2DC7" w:rsidRDefault="000D0A99">
          <w:pPr>
            <w:rPr>
              <w:szCs w:val="21"/>
            </w:rPr>
          </w:pPr>
          <w:sdt>
            <w:sdtPr>
              <w:rPr>
                <w:szCs w:val="21"/>
              </w:rPr>
              <w:alias w:val="在建工程分类列示其他说明"/>
              <w:tag w:val="_GBC_ebe1a06b82914095a2c469c32c78af71"/>
              <w:id w:val="1353539268"/>
              <w:lock w:val="sdtLocked"/>
              <w:placeholder>
                <w:docPart w:val="GBC22222222222222222222222222222"/>
              </w:placeholder>
            </w:sdtPr>
            <w:sdtContent>
              <w:r w:rsidR="003A74F7">
                <w:rPr>
                  <w:rFonts w:hint="eastAsia"/>
                  <w:szCs w:val="21"/>
                </w:rPr>
                <w:t>无。</w:t>
              </w:r>
            </w:sdtContent>
          </w:sdt>
        </w:p>
      </w:sdtContent>
    </w:sdt>
    <w:bookmarkEnd w:id="155"/>
    <w:p w:rsidR="00ED2DC7" w:rsidRDefault="00ED2DC7"/>
    <w:p w:rsidR="00ED2DC7" w:rsidRDefault="00ED2DC7">
      <w:pPr>
        <w:pStyle w:val="affffffffffffffffff2"/>
      </w:pPr>
      <w:r>
        <w:rPr>
          <w:rFonts w:hint="eastAsia"/>
        </w:rPr>
        <w:t>在建工程</w:t>
      </w:r>
    </w:p>
    <w:sdt>
      <w:sdtPr>
        <w:rPr>
          <w:rFonts w:ascii="宋体" w:hAnsi="宋体" w:cs="宋体" w:hint="eastAsia"/>
          <w:b w:val="0"/>
          <w:bCs w:val="0"/>
          <w:kern w:val="0"/>
          <w:szCs w:val="21"/>
        </w:rPr>
        <w:alias w:val="模块:在建工程情况"/>
        <w:tag w:val="_GBC_88cd7483eb15414d84d17f5cc1a4bf78"/>
        <w:id w:val="671836872"/>
        <w:lock w:val="sdtLocked"/>
        <w:placeholder>
          <w:docPart w:val="GBC22222222222222222222222222222"/>
        </w:placeholder>
      </w:sdtPr>
      <w:sdtEndPr>
        <w:rPr>
          <w:rFonts w:cstheme="minorBidi"/>
          <w:kern w:val="2"/>
        </w:rPr>
      </w:sdtEndPr>
      <w:sdtContent>
        <w:p w:rsidR="00ED2DC7" w:rsidRDefault="00ED2DC7" w:rsidP="00036BDC">
          <w:pPr>
            <w:pStyle w:val="affffffffffffffffff2"/>
            <w:numPr>
              <w:ilvl w:val="0"/>
              <w:numId w:val="63"/>
            </w:numPr>
            <w:tabs>
              <w:tab w:val="left" w:pos="588"/>
            </w:tabs>
            <w:rPr>
              <w:rFonts w:ascii="宋体" w:hAnsi="宋体"/>
              <w:szCs w:val="21"/>
            </w:rPr>
          </w:pPr>
          <w:r>
            <w:rPr>
              <w:rFonts w:ascii="宋体" w:hAnsi="宋体" w:hint="eastAsia"/>
              <w:szCs w:val="21"/>
            </w:rPr>
            <w:t>在建工程情况</w:t>
          </w:r>
        </w:p>
        <w:sdt>
          <w:sdtPr>
            <w:alias w:val="是否适用：在建工程情况[双击切换]"/>
            <w:tag w:val="_GBC_d9828cc7ad534f26902e1979f9d67530"/>
            <w:id w:val="1366104579"/>
            <w:lock w:val="sdtContentLocked"/>
            <w:placeholder>
              <w:docPart w:val="GBC22222222222222222222222222222"/>
            </w:placeholder>
          </w:sdtPr>
          <w:sdtContent>
            <w:p w:rsidR="00ED2DC7" w:rsidRDefault="00ED2DC7">
              <w:r>
                <w:fldChar w:fldCharType="begin"/>
              </w:r>
              <w:r w:rsidR="005451E3">
                <w:instrText xml:space="preserve"> MACROBUTTON  SnrToggleCheckbox √适用 </w:instrText>
              </w:r>
              <w:r>
                <w:fldChar w:fldCharType="end"/>
              </w:r>
              <w:r>
                <w:fldChar w:fldCharType="begin"/>
              </w:r>
              <w:r w:rsidR="005451E3">
                <w:instrText xml:space="preserve"> MACROBUTTON  SnrToggleCheckbox □不适用 </w:instrText>
              </w:r>
              <w:r>
                <w:fldChar w:fldCharType="end"/>
              </w:r>
            </w:p>
          </w:sdtContent>
        </w:sdt>
        <w:p w:rsidR="00ED2DC7" w:rsidRDefault="00ED2DC7">
          <w:pPr>
            <w:jc w:val="right"/>
            <w:rPr>
              <w:szCs w:val="21"/>
            </w:rPr>
          </w:pPr>
          <w:r>
            <w:rPr>
              <w:rFonts w:hint="eastAsia"/>
              <w:szCs w:val="21"/>
            </w:rPr>
            <w:t>单位：</w:t>
          </w:r>
          <w:sdt>
            <w:sdtPr>
              <w:rPr>
                <w:rFonts w:hint="eastAsia"/>
                <w:szCs w:val="21"/>
              </w:rPr>
              <w:alias w:val="单位：财务附注：在建工程"/>
              <w:tag w:val="_GBC_d20598ce3f5b4d21a9055de674936a9a"/>
              <w:id w:val="63922941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hint="eastAsia"/>
                  <w:szCs w:val="21"/>
                </w:rPr>
                <w:t>元</w:t>
              </w:r>
            </w:sdtContent>
          </w:sdt>
          <w:r>
            <w:rPr>
              <w:rFonts w:hint="eastAsia"/>
              <w:szCs w:val="21"/>
            </w:rPr>
            <w:t xml:space="preserve">  币种：</w:t>
          </w:r>
          <w:sdt>
            <w:sdtPr>
              <w:rPr>
                <w:rFonts w:hint="eastAsia"/>
                <w:szCs w:val="21"/>
              </w:rPr>
              <w:alias w:val="币种：财务附注：在建工程"/>
              <w:tag w:val="_GBC_9e96d736daa247dd96af144329fff105"/>
              <w:id w:val="-8835534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szCs w:val="21"/>
                </w:rPr>
                <w:t>人民币</w:t>
              </w:r>
            </w:sdtContent>
          </w:sdt>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649"/>
            <w:gridCol w:w="978"/>
            <w:gridCol w:w="978"/>
            <w:gridCol w:w="966"/>
            <w:gridCol w:w="1637"/>
            <w:gridCol w:w="978"/>
            <w:gridCol w:w="1637"/>
          </w:tblGrid>
          <w:tr w:rsidR="00ED2DC7" w:rsidTr="00474A51">
            <w:trPr>
              <w:cantSplit/>
            </w:trPr>
            <w:sdt>
              <w:sdtPr>
                <w:tag w:val="_PLD_27b31695edfd49cb9cafa333777d18c3"/>
                <w:id w:val="-597720926"/>
                <w:lock w:val="sdtLocked"/>
              </w:sdtPr>
              <w:sdtContent>
                <w:tc>
                  <w:tcPr>
                    <w:tcW w:w="1041" w:type="pct"/>
                    <w:vMerge w:val="restart"/>
                    <w:vAlign w:val="center"/>
                  </w:tcPr>
                  <w:p w:rsidR="00ED2DC7" w:rsidRDefault="00ED2DC7">
                    <w:pPr>
                      <w:jc w:val="center"/>
                      <w:rPr>
                        <w:szCs w:val="21"/>
                      </w:rPr>
                    </w:pPr>
                    <w:r>
                      <w:rPr>
                        <w:rFonts w:hint="eastAsia"/>
                        <w:szCs w:val="21"/>
                      </w:rPr>
                      <w:t>项目</w:t>
                    </w:r>
                  </w:p>
                </w:tc>
              </w:sdtContent>
            </w:sdt>
            <w:sdt>
              <w:sdtPr>
                <w:tag w:val="_PLD_a5273bde7b2f4c6c8fbe3ea2d7a7eb84"/>
                <w:id w:val="673156405"/>
                <w:lock w:val="sdtLocked"/>
              </w:sdtPr>
              <w:sdtContent>
                <w:tc>
                  <w:tcPr>
                    <w:tcW w:w="1976" w:type="pct"/>
                    <w:gridSpan w:val="3"/>
                    <w:vAlign w:val="center"/>
                  </w:tcPr>
                  <w:p w:rsidR="00ED2DC7" w:rsidRDefault="00ED2DC7">
                    <w:pPr>
                      <w:jc w:val="center"/>
                      <w:rPr>
                        <w:szCs w:val="21"/>
                      </w:rPr>
                    </w:pPr>
                    <w:r>
                      <w:rPr>
                        <w:rFonts w:hint="eastAsia"/>
                        <w:szCs w:val="21"/>
                      </w:rPr>
                      <w:t>期末余额</w:t>
                    </w:r>
                  </w:p>
                </w:tc>
              </w:sdtContent>
            </w:sdt>
            <w:sdt>
              <w:sdtPr>
                <w:tag w:val="_PLD_ac57490b080449c8b91be5a872e19f79"/>
                <w:id w:val="-2119211970"/>
                <w:lock w:val="sdtLocked"/>
              </w:sdtPr>
              <w:sdtContent>
                <w:tc>
                  <w:tcPr>
                    <w:tcW w:w="1983" w:type="pct"/>
                    <w:gridSpan w:val="3"/>
                    <w:vAlign w:val="center"/>
                  </w:tcPr>
                  <w:p w:rsidR="00ED2DC7" w:rsidRDefault="00ED2DC7">
                    <w:pPr>
                      <w:jc w:val="center"/>
                      <w:rPr>
                        <w:szCs w:val="21"/>
                      </w:rPr>
                    </w:pPr>
                    <w:r>
                      <w:rPr>
                        <w:rFonts w:hint="eastAsia"/>
                        <w:szCs w:val="21"/>
                      </w:rPr>
                      <w:t>期初余额</w:t>
                    </w:r>
                  </w:p>
                </w:tc>
              </w:sdtContent>
            </w:sdt>
          </w:tr>
          <w:tr w:rsidR="00ED2DC7" w:rsidTr="00474A51">
            <w:trPr>
              <w:cantSplit/>
            </w:trPr>
            <w:tc>
              <w:tcPr>
                <w:tcW w:w="1041" w:type="pct"/>
                <w:vMerge/>
                <w:vAlign w:val="center"/>
              </w:tcPr>
              <w:p w:rsidR="00ED2DC7" w:rsidRDefault="00ED2DC7">
                <w:pPr>
                  <w:tabs>
                    <w:tab w:val="left" w:pos="420"/>
                  </w:tabs>
                  <w:ind w:left="420" w:hanging="420"/>
                  <w:jc w:val="center"/>
                  <w:rPr>
                    <w:szCs w:val="21"/>
                  </w:rPr>
                </w:pPr>
              </w:p>
            </w:tc>
            <w:sdt>
              <w:sdtPr>
                <w:tag w:val="_PLD_1d60491359e245e7bc54655c8c8c15fd"/>
                <w:id w:val="-101340751"/>
                <w:lock w:val="sdtLocked"/>
              </w:sdtPr>
              <w:sdtContent>
                <w:tc>
                  <w:tcPr>
                    <w:tcW w:w="661" w:type="pct"/>
                    <w:vAlign w:val="center"/>
                  </w:tcPr>
                  <w:p w:rsidR="00ED2DC7" w:rsidRDefault="00ED2DC7">
                    <w:pPr>
                      <w:tabs>
                        <w:tab w:val="left" w:pos="420"/>
                      </w:tabs>
                      <w:ind w:left="420" w:hanging="420"/>
                      <w:jc w:val="center"/>
                      <w:rPr>
                        <w:szCs w:val="21"/>
                      </w:rPr>
                    </w:pPr>
                    <w:r>
                      <w:rPr>
                        <w:rFonts w:hint="eastAsia"/>
                        <w:szCs w:val="21"/>
                      </w:rPr>
                      <w:t>账面余额</w:t>
                    </w:r>
                  </w:p>
                </w:tc>
              </w:sdtContent>
            </w:sdt>
            <w:sdt>
              <w:sdtPr>
                <w:tag w:val="_PLD_d5d8fa5186d44c82b146ad7151830389"/>
                <w:id w:val="1311905912"/>
                <w:lock w:val="sdtLocked"/>
              </w:sdtPr>
              <w:sdtContent>
                <w:tc>
                  <w:tcPr>
                    <w:tcW w:w="661" w:type="pct"/>
                    <w:vAlign w:val="center"/>
                  </w:tcPr>
                  <w:p w:rsidR="00ED2DC7" w:rsidRDefault="00ED2DC7">
                    <w:pPr>
                      <w:pStyle w:val="affffffffffffffffffa"/>
                      <w:jc w:val="center"/>
                      <w:rPr>
                        <w:rFonts w:ascii="宋体" w:hAnsi="宋体"/>
                        <w:kern w:val="0"/>
                      </w:rPr>
                    </w:pPr>
                    <w:r>
                      <w:rPr>
                        <w:rFonts w:ascii="宋体" w:hAnsi="宋体" w:hint="eastAsia"/>
                        <w:kern w:val="0"/>
                      </w:rPr>
                      <w:t>减值准备</w:t>
                    </w:r>
                  </w:p>
                </w:tc>
              </w:sdtContent>
            </w:sdt>
            <w:sdt>
              <w:sdtPr>
                <w:tag w:val="_PLD_49aa1c2d25814b789479d76afb6fc844"/>
                <w:id w:val="10891822"/>
                <w:lock w:val="sdtLocked"/>
              </w:sdtPr>
              <w:sdtContent>
                <w:tc>
                  <w:tcPr>
                    <w:tcW w:w="653" w:type="pct"/>
                    <w:vAlign w:val="center"/>
                  </w:tcPr>
                  <w:p w:rsidR="00ED2DC7" w:rsidRDefault="00ED2DC7">
                    <w:pPr>
                      <w:pStyle w:val="affffffffffffffffffa"/>
                      <w:jc w:val="center"/>
                      <w:rPr>
                        <w:rFonts w:ascii="宋体" w:hAnsi="宋体"/>
                        <w:kern w:val="0"/>
                      </w:rPr>
                    </w:pPr>
                    <w:r>
                      <w:rPr>
                        <w:rFonts w:ascii="宋体" w:hAnsi="宋体" w:hint="eastAsia"/>
                        <w:kern w:val="0"/>
                      </w:rPr>
                      <w:t>账面价值</w:t>
                    </w:r>
                  </w:p>
                </w:tc>
              </w:sdtContent>
            </w:sdt>
            <w:sdt>
              <w:sdtPr>
                <w:tag w:val="_PLD_4bba2db5e5a549ecafbf4e94a7af2e35"/>
                <w:id w:val="1494068564"/>
                <w:lock w:val="sdtLocked"/>
              </w:sdtPr>
              <w:sdtContent>
                <w:tc>
                  <w:tcPr>
                    <w:tcW w:w="653" w:type="pct"/>
                    <w:vAlign w:val="center"/>
                  </w:tcPr>
                  <w:p w:rsidR="00ED2DC7" w:rsidRDefault="00ED2DC7">
                    <w:pPr>
                      <w:tabs>
                        <w:tab w:val="left" w:pos="420"/>
                      </w:tabs>
                      <w:ind w:left="420" w:hanging="420"/>
                      <w:jc w:val="center"/>
                      <w:rPr>
                        <w:szCs w:val="21"/>
                      </w:rPr>
                    </w:pPr>
                    <w:r>
                      <w:rPr>
                        <w:rFonts w:hint="eastAsia"/>
                        <w:szCs w:val="21"/>
                      </w:rPr>
                      <w:t>账面余额</w:t>
                    </w:r>
                  </w:p>
                </w:tc>
              </w:sdtContent>
            </w:sdt>
            <w:sdt>
              <w:sdtPr>
                <w:tag w:val="_PLD_e054d8cd1e1b4672ae08a495b587bdce"/>
                <w:id w:val="-989325174"/>
                <w:lock w:val="sdtLocked"/>
              </w:sdtPr>
              <w:sdtContent>
                <w:tc>
                  <w:tcPr>
                    <w:tcW w:w="661" w:type="pct"/>
                    <w:vAlign w:val="center"/>
                  </w:tcPr>
                  <w:p w:rsidR="00ED2DC7" w:rsidRDefault="00ED2DC7">
                    <w:pPr>
                      <w:pStyle w:val="affffffffffffffffffa"/>
                      <w:jc w:val="center"/>
                      <w:rPr>
                        <w:rFonts w:ascii="宋体" w:hAnsi="宋体"/>
                        <w:kern w:val="0"/>
                      </w:rPr>
                    </w:pPr>
                    <w:r>
                      <w:rPr>
                        <w:rFonts w:ascii="宋体" w:hAnsi="宋体" w:hint="eastAsia"/>
                        <w:kern w:val="0"/>
                      </w:rPr>
                      <w:t>减值准备</w:t>
                    </w:r>
                  </w:p>
                </w:tc>
              </w:sdtContent>
            </w:sdt>
            <w:sdt>
              <w:sdtPr>
                <w:tag w:val="_PLD_bd3055c2713a44fa9cbd3fd973d34c6a"/>
                <w:id w:val="-1256970882"/>
                <w:lock w:val="sdtLocked"/>
              </w:sdtPr>
              <w:sdtContent>
                <w:tc>
                  <w:tcPr>
                    <w:tcW w:w="669" w:type="pct"/>
                    <w:vAlign w:val="center"/>
                  </w:tcPr>
                  <w:p w:rsidR="00ED2DC7" w:rsidRDefault="00ED2DC7">
                    <w:pPr>
                      <w:pStyle w:val="affffffffffffffffffa"/>
                      <w:jc w:val="center"/>
                      <w:rPr>
                        <w:rFonts w:ascii="宋体" w:hAnsi="宋体"/>
                        <w:kern w:val="0"/>
                      </w:rPr>
                    </w:pPr>
                    <w:r>
                      <w:rPr>
                        <w:rFonts w:ascii="宋体" w:hAnsi="宋体" w:hint="eastAsia"/>
                        <w:kern w:val="0"/>
                      </w:rPr>
                      <w:t>账面价值</w:t>
                    </w:r>
                  </w:p>
                </w:tc>
              </w:sdtContent>
            </w:sdt>
          </w:tr>
          <w:sdt>
            <w:sdtPr>
              <w:rPr>
                <w:szCs w:val="21"/>
              </w:rPr>
              <w:alias w:val="在建工程情况明细"/>
              <w:tag w:val="_GBC_5f073fecf2ff4f9ba33e687f80450c77"/>
              <w:id w:val="-1660532672"/>
              <w:lock w:val="sdtLocked"/>
              <w:placeholder>
                <w:docPart w:val="GBC11111111111111111111111111111"/>
              </w:placeholder>
            </w:sdtPr>
            <w:sdtContent>
              <w:tr w:rsidR="00ED2DC7" w:rsidTr="00474A51">
                <w:trPr>
                  <w:cantSplit/>
                </w:trPr>
                <w:tc>
                  <w:tcPr>
                    <w:tcW w:w="1041" w:type="pct"/>
                  </w:tcPr>
                  <w:p w:rsidR="00ED2DC7" w:rsidRDefault="003A74F7" w:rsidP="00CB5ECA">
                    <w:pPr>
                      <w:rPr>
                        <w:szCs w:val="21"/>
                      </w:rPr>
                    </w:pPr>
                    <w:r w:rsidRPr="003A74F7">
                      <w:rPr>
                        <w:rFonts w:hint="eastAsia"/>
                        <w:szCs w:val="21"/>
                      </w:rPr>
                      <w:t>用友</w:t>
                    </w:r>
                    <w:r w:rsidRPr="003A74F7">
                      <w:rPr>
                        <w:szCs w:val="21"/>
                      </w:rPr>
                      <w:t>(南昌)工程二期</w:t>
                    </w:r>
                  </w:p>
                </w:tc>
                <w:tc>
                  <w:tcPr>
                    <w:tcW w:w="661" w:type="pct"/>
                  </w:tcPr>
                  <w:p w:rsidR="00ED2DC7" w:rsidRDefault="00ED2DC7">
                    <w:pPr>
                      <w:ind w:right="105"/>
                      <w:jc w:val="right"/>
                      <w:rPr>
                        <w:szCs w:val="21"/>
                      </w:rPr>
                    </w:pPr>
                  </w:p>
                </w:tc>
                <w:tc>
                  <w:tcPr>
                    <w:tcW w:w="661" w:type="pct"/>
                  </w:tcPr>
                  <w:p w:rsidR="00ED2DC7" w:rsidRDefault="00ED2DC7">
                    <w:pPr>
                      <w:ind w:right="73"/>
                      <w:jc w:val="right"/>
                      <w:rPr>
                        <w:szCs w:val="21"/>
                      </w:rPr>
                    </w:pPr>
                  </w:p>
                </w:tc>
                <w:tc>
                  <w:tcPr>
                    <w:tcW w:w="653" w:type="pct"/>
                  </w:tcPr>
                  <w:p w:rsidR="00ED2DC7" w:rsidRDefault="00ED2DC7">
                    <w:pPr>
                      <w:ind w:right="73"/>
                      <w:jc w:val="right"/>
                      <w:rPr>
                        <w:szCs w:val="21"/>
                      </w:rPr>
                    </w:pPr>
                  </w:p>
                </w:tc>
                <w:tc>
                  <w:tcPr>
                    <w:tcW w:w="653" w:type="pct"/>
                  </w:tcPr>
                  <w:p w:rsidR="00ED2DC7" w:rsidRDefault="00CB5ECA">
                    <w:pPr>
                      <w:jc w:val="right"/>
                      <w:rPr>
                        <w:szCs w:val="21"/>
                      </w:rPr>
                    </w:pPr>
                    <w:r w:rsidRPr="00CB5ECA">
                      <w:rPr>
                        <w:szCs w:val="21"/>
                      </w:rPr>
                      <w:tab/>
                      <w:t>231,516,574</w:t>
                    </w:r>
                    <w:r w:rsidRPr="00CB5ECA">
                      <w:rPr>
                        <w:szCs w:val="21"/>
                      </w:rPr>
                      <w:tab/>
                    </w:r>
                  </w:p>
                </w:tc>
                <w:tc>
                  <w:tcPr>
                    <w:tcW w:w="661" w:type="pct"/>
                  </w:tcPr>
                  <w:p w:rsidR="00ED2DC7" w:rsidRDefault="00ED2DC7">
                    <w:pPr>
                      <w:jc w:val="right"/>
                      <w:rPr>
                        <w:szCs w:val="21"/>
                      </w:rPr>
                    </w:pPr>
                  </w:p>
                </w:tc>
                <w:tc>
                  <w:tcPr>
                    <w:tcW w:w="669" w:type="pct"/>
                  </w:tcPr>
                  <w:p w:rsidR="00ED2DC7" w:rsidRDefault="00CB5ECA">
                    <w:pPr>
                      <w:jc w:val="right"/>
                      <w:rPr>
                        <w:szCs w:val="21"/>
                      </w:rPr>
                    </w:pPr>
                    <w:r w:rsidRPr="00CB5ECA">
                      <w:rPr>
                        <w:szCs w:val="21"/>
                      </w:rPr>
                      <w:tab/>
                      <w:t>231,516,574</w:t>
                    </w:r>
                    <w:r w:rsidRPr="00CB5ECA">
                      <w:rPr>
                        <w:szCs w:val="21"/>
                      </w:rPr>
                      <w:tab/>
                    </w:r>
                  </w:p>
                </w:tc>
              </w:tr>
            </w:sdtContent>
          </w:sdt>
          <w:sdt>
            <w:sdtPr>
              <w:rPr>
                <w:szCs w:val="21"/>
              </w:rPr>
              <w:alias w:val="在建工程情况明细"/>
              <w:tag w:val="_GBC_5f073fecf2ff4f9ba33e687f80450c77"/>
              <w:id w:val="605615739"/>
              <w:lock w:val="sdtLocked"/>
              <w:placeholder>
                <w:docPart w:val="GBC11111111111111111111111111111"/>
              </w:placeholder>
            </w:sdtPr>
            <w:sdtContent>
              <w:tr w:rsidR="00ED2DC7" w:rsidTr="00474A51">
                <w:trPr>
                  <w:cantSplit/>
                </w:trPr>
                <w:tc>
                  <w:tcPr>
                    <w:tcW w:w="1041" w:type="pct"/>
                  </w:tcPr>
                  <w:p w:rsidR="00ED2DC7" w:rsidRDefault="00CB5ECA" w:rsidP="00CB5ECA">
                    <w:pPr>
                      <w:rPr>
                        <w:szCs w:val="21"/>
                      </w:rPr>
                    </w:pPr>
                    <w:r w:rsidRPr="003A74F7">
                      <w:rPr>
                        <w:rFonts w:hint="eastAsia"/>
                        <w:szCs w:val="21"/>
                      </w:rPr>
                      <w:t>三亚软件园一期</w:t>
                    </w:r>
                  </w:p>
                </w:tc>
                <w:tc>
                  <w:tcPr>
                    <w:tcW w:w="661" w:type="pct"/>
                  </w:tcPr>
                  <w:p w:rsidR="00ED2DC7" w:rsidRDefault="00ED2DC7">
                    <w:pPr>
                      <w:ind w:right="105"/>
                      <w:jc w:val="right"/>
                      <w:rPr>
                        <w:szCs w:val="21"/>
                      </w:rPr>
                    </w:pPr>
                  </w:p>
                </w:tc>
                <w:tc>
                  <w:tcPr>
                    <w:tcW w:w="661" w:type="pct"/>
                  </w:tcPr>
                  <w:p w:rsidR="00ED2DC7" w:rsidRDefault="00ED2DC7">
                    <w:pPr>
                      <w:ind w:right="73"/>
                      <w:jc w:val="right"/>
                      <w:rPr>
                        <w:szCs w:val="21"/>
                      </w:rPr>
                    </w:pPr>
                  </w:p>
                </w:tc>
                <w:tc>
                  <w:tcPr>
                    <w:tcW w:w="653" w:type="pct"/>
                  </w:tcPr>
                  <w:p w:rsidR="00ED2DC7" w:rsidRDefault="00ED2DC7">
                    <w:pPr>
                      <w:ind w:right="73"/>
                      <w:jc w:val="right"/>
                      <w:rPr>
                        <w:szCs w:val="21"/>
                      </w:rPr>
                    </w:pPr>
                  </w:p>
                </w:tc>
                <w:tc>
                  <w:tcPr>
                    <w:tcW w:w="653" w:type="pct"/>
                  </w:tcPr>
                  <w:p w:rsidR="00ED2DC7" w:rsidRDefault="00CB5ECA">
                    <w:pPr>
                      <w:jc w:val="right"/>
                      <w:rPr>
                        <w:szCs w:val="21"/>
                      </w:rPr>
                    </w:pPr>
                    <w:r w:rsidRPr="00CB5ECA">
                      <w:rPr>
                        <w:szCs w:val="21"/>
                      </w:rPr>
                      <w:t>214,613,446</w:t>
                    </w:r>
                  </w:p>
                </w:tc>
                <w:tc>
                  <w:tcPr>
                    <w:tcW w:w="661" w:type="pct"/>
                  </w:tcPr>
                  <w:p w:rsidR="00ED2DC7" w:rsidRDefault="00ED2DC7">
                    <w:pPr>
                      <w:jc w:val="right"/>
                      <w:rPr>
                        <w:szCs w:val="21"/>
                      </w:rPr>
                    </w:pPr>
                  </w:p>
                </w:tc>
                <w:tc>
                  <w:tcPr>
                    <w:tcW w:w="669" w:type="pct"/>
                  </w:tcPr>
                  <w:p w:rsidR="00ED2DC7" w:rsidRDefault="00CB5ECA">
                    <w:pPr>
                      <w:jc w:val="right"/>
                      <w:rPr>
                        <w:szCs w:val="21"/>
                      </w:rPr>
                    </w:pPr>
                    <w:r w:rsidRPr="00CB5ECA">
                      <w:rPr>
                        <w:szCs w:val="21"/>
                      </w:rPr>
                      <w:t>214,613,446</w:t>
                    </w:r>
                  </w:p>
                </w:tc>
              </w:tr>
            </w:sdtContent>
          </w:sdt>
          <w:tr w:rsidR="00ED2DC7" w:rsidTr="00474A51">
            <w:trPr>
              <w:cantSplit/>
            </w:trPr>
            <w:sdt>
              <w:sdtPr>
                <w:tag w:val="_PLD_fb8a9351bc5144ab907a84376899a536"/>
                <w:id w:val="1225182379"/>
                <w:lock w:val="sdtLocked"/>
              </w:sdtPr>
              <w:sdtContent>
                <w:tc>
                  <w:tcPr>
                    <w:tcW w:w="1041" w:type="pct"/>
                    <w:vAlign w:val="center"/>
                  </w:tcPr>
                  <w:p w:rsidR="00ED2DC7" w:rsidRDefault="00ED2DC7">
                    <w:pPr>
                      <w:jc w:val="center"/>
                      <w:rPr>
                        <w:szCs w:val="21"/>
                      </w:rPr>
                    </w:pPr>
                    <w:r>
                      <w:rPr>
                        <w:rFonts w:hint="eastAsia"/>
                        <w:szCs w:val="21"/>
                      </w:rPr>
                      <w:t>合计</w:t>
                    </w:r>
                  </w:p>
                </w:tc>
              </w:sdtContent>
            </w:sdt>
            <w:tc>
              <w:tcPr>
                <w:tcW w:w="661" w:type="pct"/>
              </w:tcPr>
              <w:p w:rsidR="00ED2DC7" w:rsidRDefault="00ED2DC7">
                <w:pPr>
                  <w:ind w:right="105"/>
                  <w:jc w:val="right"/>
                  <w:rPr>
                    <w:szCs w:val="21"/>
                  </w:rPr>
                </w:pPr>
              </w:p>
            </w:tc>
            <w:tc>
              <w:tcPr>
                <w:tcW w:w="661" w:type="pct"/>
              </w:tcPr>
              <w:p w:rsidR="00ED2DC7" w:rsidRDefault="00ED2DC7">
                <w:pPr>
                  <w:ind w:right="73"/>
                  <w:jc w:val="right"/>
                  <w:rPr>
                    <w:szCs w:val="21"/>
                  </w:rPr>
                </w:pPr>
              </w:p>
            </w:tc>
            <w:tc>
              <w:tcPr>
                <w:tcW w:w="653" w:type="pct"/>
              </w:tcPr>
              <w:p w:rsidR="00ED2DC7" w:rsidRDefault="00ED2DC7">
                <w:pPr>
                  <w:ind w:right="73"/>
                  <w:jc w:val="right"/>
                  <w:rPr>
                    <w:szCs w:val="21"/>
                  </w:rPr>
                </w:pPr>
              </w:p>
            </w:tc>
            <w:tc>
              <w:tcPr>
                <w:tcW w:w="653" w:type="pct"/>
              </w:tcPr>
              <w:p w:rsidR="00ED2DC7" w:rsidRDefault="00CB5ECA" w:rsidP="00B637B2">
                <w:pPr>
                  <w:jc w:val="right"/>
                  <w:rPr>
                    <w:szCs w:val="21"/>
                  </w:rPr>
                </w:pPr>
                <w:r w:rsidRPr="00CB5ECA">
                  <w:rPr>
                    <w:szCs w:val="21"/>
                  </w:rPr>
                  <w:t>446,130,020</w:t>
                </w:r>
              </w:p>
            </w:tc>
            <w:tc>
              <w:tcPr>
                <w:tcW w:w="661" w:type="pct"/>
              </w:tcPr>
              <w:p w:rsidR="00ED2DC7" w:rsidRDefault="00ED2DC7">
                <w:pPr>
                  <w:jc w:val="right"/>
                  <w:rPr>
                    <w:szCs w:val="21"/>
                  </w:rPr>
                </w:pPr>
              </w:p>
            </w:tc>
            <w:tc>
              <w:tcPr>
                <w:tcW w:w="669" w:type="pct"/>
              </w:tcPr>
              <w:p w:rsidR="00ED2DC7" w:rsidRDefault="00CB5ECA" w:rsidP="00B637B2">
                <w:pPr>
                  <w:jc w:val="right"/>
                  <w:rPr>
                    <w:szCs w:val="21"/>
                  </w:rPr>
                </w:pPr>
                <w:r w:rsidRPr="00CB5ECA">
                  <w:rPr>
                    <w:szCs w:val="21"/>
                  </w:rPr>
                  <w:t>446,130,020</w:t>
                </w:r>
              </w:p>
            </w:tc>
          </w:tr>
        </w:tbl>
      </w:sdtContent>
    </w:sdt>
    <w:p w:rsidR="00ED2DC7" w:rsidRDefault="00ED2DC7">
      <w:pPr>
        <w:snapToGrid w:val="0"/>
        <w:spacing w:line="240" w:lineRule="atLeast"/>
        <w:ind w:rightChars="-416" w:right="-874"/>
        <w:rPr>
          <w:szCs w:val="21"/>
        </w:rPr>
      </w:pPr>
    </w:p>
    <w:sdt>
      <w:sdtPr>
        <w:rPr>
          <w:rFonts w:ascii="宋体" w:hAnsi="宋体" w:cs="宋体" w:hint="eastAsia"/>
          <w:b w:val="0"/>
          <w:bCs w:val="0"/>
          <w:kern w:val="0"/>
          <w:szCs w:val="21"/>
        </w:rPr>
        <w:alias w:val="模块:重大在建工程项目变动情况"/>
        <w:tag w:val="_GBC_b1eb75f465d7494995f17407201cfca9"/>
        <w:id w:val="-1324890480"/>
        <w:lock w:val="sdtLocked"/>
        <w:placeholder>
          <w:docPart w:val="GBC22222222222222222222222222222"/>
        </w:placeholder>
      </w:sdtPr>
      <w:sdtEndPr>
        <w:rPr>
          <w:rFonts w:cstheme="minorBidi" w:hint="default"/>
        </w:rPr>
      </w:sdtEndPr>
      <w:sdtContent>
        <w:p w:rsidR="00ED2DC7" w:rsidRPr="00AB43E2" w:rsidRDefault="00ED2DC7" w:rsidP="00036BDC">
          <w:pPr>
            <w:pStyle w:val="affffffffffffffffff2"/>
            <w:numPr>
              <w:ilvl w:val="0"/>
              <w:numId w:val="63"/>
            </w:numPr>
            <w:tabs>
              <w:tab w:val="left" w:pos="588"/>
            </w:tabs>
            <w:rPr>
              <w:rFonts w:ascii="宋体" w:hAnsi="宋体"/>
              <w:szCs w:val="21"/>
            </w:rPr>
          </w:pPr>
          <w:r w:rsidRPr="00AB43E2">
            <w:rPr>
              <w:rFonts w:ascii="宋体" w:hAnsi="宋体" w:hint="eastAsia"/>
              <w:szCs w:val="21"/>
            </w:rPr>
            <w:t>重要在建工程项目本期变动情况</w:t>
          </w:r>
        </w:p>
        <w:sdt>
          <w:sdtPr>
            <w:alias w:val="是否适用：重要在建工程项目本期变动情况[双击切换]"/>
            <w:tag w:val="_GBC_ec2dd768673145d4bb9d3c31a6fa701a"/>
            <w:id w:val="-421108146"/>
            <w:lock w:val="sdtContentLocked"/>
            <w:placeholder>
              <w:docPart w:val="GBC22222222222222222222222222222"/>
            </w:placeholder>
          </w:sdtPr>
          <w:sdtContent>
            <w:p w:rsidR="00ED2DC7" w:rsidRDefault="00ED2DC7">
              <w:r>
                <w:fldChar w:fldCharType="begin"/>
              </w:r>
              <w:r w:rsidR="00CB5ECA">
                <w:instrText xml:space="preserve"> MACROBUTTON  SnrToggleCheckbox √适用 </w:instrText>
              </w:r>
              <w:r>
                <w:fldChar w:fldCharType="end"/>
              </w:r>
              <w:r>
                <w:fldChar w:fldCharType="begin"/>
              </w:r>
              <w:r w:rsidR="00CB5ECA">
                <w:instrText xml:space="preserve"> MACROBUTTON  SnrToggleCheckbox □不适用 </w:instrText>
              </w:r>
              <w:r>
                <w:fldChar w:fldCharType="end"/>
              </w:r>
            </w:p>
          </w:sdtContent>
        </w:sdt>
        <w:p w:rsidR="00ED2DC7" w:rsidRDefault="00ED2DC7">
          <w:pPr>
            <w:jc w:val="right"/>
            <w:rPr>
              <w:szCs w:val="21"/>
            </w:rPr>
          </w:pPr>
          <w:r w:rsidRPr="00AB43E2">
            <w:rPr>
              <w:rFonts w:hint="eastAsia"/>
              <w:szCs w:val="21"/>
            </w:rPr>
            <w:t>单位：</w:t>
          </w:r>
          <w:sdt>
            <w:sdtPr>
              <w:rPr>
                <w:rFonts w:hint="eastAsia"/>
                <w:szCs w:val="21"/>
              </w:rPr>
              <w:alias w:val="单位：财务附注：在建工程项目变动情况"/>
              <w:tag w:val="_GBC_29f36690ce0d4e8bbec5f76711e80456"/>
              <w:id w:val="2963398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sidRPr="00AB43E2">
                <w:rPr>
                  <w:rFonts w:hint="eastAsia"/>
                  <w:szCs w:val="21"/>
                </w:rPr>
                <w:t>元</w:t>
              </w:r>
            </w:sdtContent>
          </w:sdt>
          <w:r>
            <w:rPr>
              <w:rFonts w:hint="eastAsia"/>
              <w:szCs w:val="21"/>
            </w:rPr>
            <w:t xml:space="preserve">  币种：</w:t>
          </w:r>
          <w:sdt>
            <w:sdtPr>
              <w:rPr>
                <w:rFonts w:hint="eastAsia"/>
                <w:szCs w:val="21"/>
              </w:rPr>
              <w:alias w:val="币种：财务附注：在建工程项目变动情况"/>
              <w:tag w:val="_GBC_6fab639954e742c1bd6f75b3c51ecaf8"/>
              <w:id w:val="16905730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szCs w:val="21"/>
                </w:rPr>
                <w:t>人民币</w:t>
              </w:r>
            </w:sdtContent>
          </w:sdt>
        </w:p>
        <w:tbl>
          <w:tblPr>
            <w:tblStyle w:val="g38"/>
            <w:tblW w:w="5784"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822"/>
            <w:gridCol w:w="1208"/>
            <w:gridCol w:w="942"/>
            <w:gridCol w:w="1015"/>
            <w:gridCol w:w="1015"/>
            <w:gridCol w:w="492"/>
            <w:gridCol w:w="559"/>
            <w:gridCol w:w="557"/>
            <w:gridCol w:w="561"/>
            <w:gridCol w:w="942"/>
            <w:gridCol w:w="782"/>
            <w:gridCol w:w="462"/>
            <w:gridCol w:w="849"/>
          </w:tblGrid>
          <w:tr w:rsidR="00B637B2" w:rsidTr="00B637B2">
            <w:trPr>
              <w:cantSplit/>
            </w:trPr>
            <w:sdt>
              <w:sdtPr>
                <w:rPr>
                  <w:sz w:val="16"/>
                  <w:szCs w:val="16"/>
                </w:rPr>
                <w:tag w:val="_PLD_911d5911af294d4f9d2b6b16b5f6c08b"/>
                <w:id w:val="-981459330"/>
                <w:lock w:val="sdtLocked"/>
              </w:sdtPr>
              <w:sdtContent>
                <w:tc>
                  <w:tcPr>
                    <w:tcW w:w="402" w:type="pct"/>
                    <w:shd w:val="clear" w:color="auto" w:fill="auto"/>
                    <w:vAlign w:val="center"/>
                  </w:tcPr>
                  <w:p w:rsidR="00DF17C4" w:rsidRPr="0002033F" w:rsidRDefault="00DF17C4" w:rsidP="005D774F">
                    <w:pPr>
                      <w:ind w:right="105"/>
                      <w:jc w:val="center"/>
                      <w:rPr>
                        <w:sz w:val="16"/>
                        <w:szCs w:val="16"/>
                      </w:rPr>
                    </w:pPr>
                    <w:r w:rsidRPr="0002033F">
                      <w:rPr>
                        <w:rFonts w:hint="eastAsia"/>
                        <w:sz w:val="16"/>
                        <w:szCs w:val="16"/>
                      </w:rPr>
                      <w:t>项目名称</w:t>
                    </w:r>
                  </w:p>
                </w:tc>
              </w:sdtContent>
            </w:sdt>
            <w:sdt>
              <w:sdtPr>
                <w:rPr>
                  <w:sz w:val="16"/>
                  <w:szCs w:val="16"/>
                </w:rPr>
                <w:tag w:val="_PLD_667404be40294d63b853abf58a9d185f"/>
                <w:id w:val="639241694"/>
                <w:lock w:val="sdtLocked"/>
              </w:sdtPr>
              <w:sdtContent>
                <w:tc>
                  <w:tcPr>
                    <w:tcW w:w="591" w:type="pct"/>
                    <w:shd w:val="clear" w:color="auto" w:fill="auto"/>
                    <w:vAlign w:val="center"/>
                  </w:tcPr>
                  <w:p w:rsidR="00DF17C4" w:rsidRPr="0002033F" w:rsidRDefault="00DF17C4" w:rsidP="005D774F">
                    <w:pPr>
                      <w:ind w:right="105"/>
                      <w:jc w:val="center"/>
                      <w:rPr>
                        <w:sz w:val="16"/>
                        <w:szCs w:val="16"/>
                      </w:rPr>
                    </w:pPr>
                    <w:r w:rsidRPr="0002033F">
                      <w:rPr>
                        <w:rFonts w:hint="eastAsia"/>
                        <w:sz w:val="16"/>
                        <w:szCs w:val="16"/>
                      </w:rPr>
                      <w:t>预算数</w:t>
                    </w:r>
                  </w:p>
                </w:tc>
              </w:sdtContent>
            </w:sdt>
            <w:sdt>
              <w:sdtPr>
                <w:rPr>
                  <w:sz w:val="16"/>
                  <w:szCs w:val="16"/>
                </w:rPr>
                <w:tag w:val="_PLD_25c75ebdcb434964b5f5e8b512151b0b"/>
                <w:id w:val="1377818473"/>
                <w:lock w:val="sdtLocked"/>
              </w:sdtPr>
              <w:sdtContent>
                <w:tc>
                  <w:tcPr>
                    <w:tcW w:w="461" w:type="pct"/>
                    <w:shd w:val="clear" w:color="auto" w:fill="auto"/>
                    <w:vAlign w:val="center"/>
                  </w:tcPr>
                  <w:p w:rsidR="00DF17C4" w:rsidRPr="0002033F" w:rsidRDefault="00DF17C4" w:rsidP="005D774F">
                    <w:pPr>
                      <w:ind w:right="105"/>
                      <w:jc w:val="center"/>
                      <w:rPr>
                        <w:sz w:val="16"/>
                        <w:szCs w:val="16"/>
                      </w:rPr>
                    </w:pPr>
                    <w:r w:rsidRPr="0002033F">
                      <w:rPr>
                        <w:rFonts w:hint="eastAsia"/>
                        <w:sz w:val="16"/>
                        <w:szCs w:val="16"/>
                      </w:rPr>
                      <w:t>期初</w:t>
                    </w:r>
                  </w:p>
                  <w:p w:rsidR="00DF17C4" w:rsidRPr="0002033F" w:rsidRDefault="00DF17C4" w:rsidP="005D774F">
                    <w:pPr>
                      <w:ind w:right="105"/>
                      <w:jc w:val="center"/>
                      <w:rPr>
                        <w:sz w:val="16"/>
                        <w:szCs w:val="16"/>
                      </w:rPr>
                    </w:pPr>
                    <w:r w:rsidRPr="0002033F">
                      <w:rPr>
                        <w:rFonts w:hint="eastAsia"/>
                        <w:sz w:val="16"/>
                        <w:szCs w:val="16"/>
                      </w:rPr>
                      <w:t>余额</w:t>
                    </w:r>
                  </w:p>
                </w:tc>
              </w:sdtContent>
            </w:sdt>
            <w:sdt>
              <w:sdtPr>
                <w:rPr>
                  <w:sz w:val="16"/>
                  <w:szCs w:val="16"/>
                </w:rPr>
                <w:tag w:val="_PLD_0117182ae7e24536a0996423ddcfa5f0"/>
                <w:id w:val="1097754877"/>
                <w:lock w:val="sdtLocked"/>
              </w:sdtPr>
              <w:sdtContent>
                <w:tc>
                  <w:tcPr>
                    <w:tcW w:w="497" w:type="pct"/>
                    <w:shd w:val="clear" w:color="auto" w:fill="auto"/>
                    <w:vAlign w:val="center"/>
                  </w:tcPr>
                  <w:p w:rsidR="00DF17C4" w:rsidRPr="0002033F" w:rsidRDefault="00DF17C4" w:rsidP="005D774F">
                    <w:pPr>
                      <w:ind w:right="105"/>
                      <w:jc w:val="center"/>
                      <w:rPr>
                        <w:sz w:val="16"/>
                        <w:szCs w:val="16"/>
                      </w:rPr>
                    </w:pPr>
                    <w:r w:rsidRPr="0002033F">
                      <w:rPr>
                        <w:rFonts w:hint="eastAsia"/>
                        <w:sz w:val="16"/>
                        <w:szCs w:val="16"/>
                      </w:rPr>
                      <w:t>本期增加金额</w:t>
                    </w:r>
                  </w:p>
                </w:tc>
              </w:sdtContent>
            </w:sdt>
            <w:sdt>
              <w:sdtPr>
                <w:rPr>
                  <w:sz w:val="16"/>
                  <w:szCs w:val="16"/>
                </w:rPr>
                <w:tag w:val="_PLD_6db4feaec90f4eeeb4ed5fb04d298657"/>
                <w:id w:val="233671114"/>
                <w:lock w:val="sdtLocked"/>
              </w:sdtPr>
              <w:sdtContent>
                <w:tc>
                  <w:tcPr>
                    <w:tcW w:w="497" w:type="pct"/>
                    <w:shd w:val="clear" w:color="auto" w:fill="auto"/>
                    <w:vAlign w:val="center"/>
                  </w:tcPr>
                  <w:p w:rsidR="00DF17C4" w:rsidRPr="0002033F" w:rsidRDefault="00DF17C4" w:rsidP="005D774F">
                    <w:pPr>
                      <w:ind w:right="73"/>
                      <w:jc w:val="center"/>
                      <w:rPr>
                        <w:sz w:val="16"/>
                        <w:szCs w:val="16"/>
                      </w:rPr>
                    </w:pPr>
                    <w:r w:rsidRPr="0002033F">
                      <w:rPr>
                        <w:rFonts w:hint="eastAsia"/>
                        <w:sz w:val="16"/>
                        <w:szCs w:val="16"/>
                      </w:rPr>
                      <w:t>本期转入固定资产金额</w:t>
                    </w:r>
                  </w:p>
                </w:tc>
              </w:sdtContent>
            </w:sdt>
            <w:sdt>
              <w:sdtPr>
                <w:rPr>
                  <w:sz w:val="16"/>
                  <w:szCs w:val="16"/>
                </w:rPr>
                <w:tag w:val="_PLD_1fe85c3ed6f84f6f85209149a9931055"/>
                <w:id w:val="2014189785"/>
                <w:lock w:val="sdtLocked"/>
              </w:sdtPr>
              <w:sdtContent>
                <w:tc>
                  <w:tcPr>
                    <w:tcW w:w="241" w:type="pct"/>
                    <w:shd w:val="clear" w:color="auto" w:fill="auto"/>
                    <w:vAlign w:val="center"/>
                  </w:tcPr>
                  <w:p w:rsidR="00DF17C4" w:rsidRPr="0002033F" w:rsidRDefault="00DF17C4" w:rsidP="005D774F">
                    <w:pPr>
                      <w:ind w:right="73"/>
                      <w:jc w:val="center"/>
                      <w:rPr>
                        <w:sz w:val="16"/>
                        <w:szCs w:val="16"/>
                      </w:rPr>
                    </w:pPr>
                    <w:r w:rsidRPr="0002033F">
                      <w:rPr>
                        <w:rFonts w:hint="eastAsia"/>
                        <w:sz w:val="16"/>
                        <w:szCs w:val="16"/>
                      </w:rPr>
                      <w:t>本期其他减少金额</w:t>
                    </w:r>
                  </w:p>
                </w:tc>
              </w:sdtContent>
            </w:sdt>
            <w:sdt>
              <w:sdtPr>
                <w:rPr>
                  <w:sz w:val="16"/>
                  <w:szCs w:val="16"/>
                </w:rPr>
                <w:tag w:val="_PLD_7954fe4b89f644d29865af249dfe8c3f"/>
                <w:id w:val="2077627261"/>
                <w:lock w:val="sdtLocked"/>
              </w:sdtPr>
              <w:sdtContent>
                <w:tc>
                  <w:tcPr>
                    <w:tcW w:w="274" w:type="pct"/>
                    <w:vAlign w:val="center"/>
                  </w:tcPr>
                  <w:p w:rsidR="00DF17C4" w:rsidRPr="0002033F" w:rsidRDefault="00DF17C4" w:rsidP="005D774F">
                    <w:pPr>
                      <w:jc w:val="center"/>
                      <w:rPr>
                        <w:sz w:val="16"/>
                        <w:szCs w:val="16"/>
                      </w:rPr>
                    </w:pPr>
                    <w:r w:rsidRPr="0002033F">
                      <w:rPr>
                        <w:rFonts w:hint="eastAsia"/>
                        <w:sz w:val="16"/>
                        <w:szCs w:val="16"/>
                      </w:rPr>
                      <w:t>期末</w:t>
                    </w:r>
                  </w:p>
                  <w:p w:rsidR="00DF17C4" w:rsidRPr="0002033F" w:rsidRDefault="00DF17C4" w:rsidP="005D774F">
                    <w:pPr>
                      <w:jc w:val="center"/>
                      <w:rPr>
                        <w:sz w:val="16"/>
                        <w:szCs w:val="16"/>
                      </w:rPr>
                    </w:pPr>
                    <w:r w:rsidRPr="0002033F">
                      <w:rPr>
                        <w:rFonts w:hint="eastAsia"/>
                        <w:sz w:val="16"/>
                        <w:szCs w:val="16"/>
                      </w:rPr>
                      <w:t>余额</w:t>
                    </w:r>
                  </w:p>
                </w:tc>
              </w:sdtContent>
            </w:sdt>
            <w:sdt>
              <w:sdtPr>
                <w:rPr>
                  <w:sz w:val="16"/>
                  <w:szCs w:val="16"/>
                </w:rPr>
                <w:tag w:val="_PLD_d9aa12b28eda4362b90372032218ea1a"/>
                <w:id w:val="-570045434"/>
                <w:lock w:val="sdtLocked"/>
              </w:sdtPr>
              <w:sdtContent>
                <w:tc>
                  <w:tcPr>
                    <w:tcW w:w="273" w:type="pct"/>
                    <w:shd w:val="clear" w:color="auto" w:fill="auto"/>
                    <w:vAlign w:val="center"/>
                  </w:tcPr>
                  <w:p w:rsidR="00DF17C4" w:rsidRPr="0002033F" w:rsidRDefault="00DF17C4" w:rsidP="005D774F">
                    <w:pPr>
                      <w:jc w:val="center"/>
                      <w:rPr>
                        <w:sz w:val="16"/>
                        <w:szCs w:val="16"/>
                      </w:rPr>
                    </w:pPr>
                    <w:r w:rsidRPr="0002033F">
                      <w:rPr>
                        <w:rFonts w:hint="eastAsia"/>
                        <w:sz w:val="16"/>
                        <w:szCs w:val="16"/>
                      </w:rPr>
                      <w:t>工程累计投入占预算比例(%)</w:t>
                    </w:r>
                  </w:p>
                </w:tc>
              </w:sdtContent>
            </w:sdt>
            <w:sdt>
              <w:sdtPr>
                <w:rPr>
                  <w:sz w:val="16"/>
                  <w:szCs w:val="16"/>
                </w:rPr>
                <w:tag w:val="_PLD_9e610c25eba14177abc9b359511cb935"/>
                <w:id w:val="2011181508"/>
                <w:lock w:val="sdtLocked"/>
              </w:sdtPr>
              <w:sdtContent>
                <w:tc>
                  <w:tcPr>
                    <w:tcW w:w="275" w:type="pct"/>
                    <w:shd w:val="clear" w:color="auto" w:fill="auto"/>
                    <w:vAlign w:val="center"/>
                  </w:tcPr>
                  <w:p w:rsidR="00DF17C4" w:rsidRPr="0002033F" w:rsidRDefault="00DF17C4" w:rsidP="005D774F">
                    <w:pPr>
                      <w:jc w:val="center"/>
                      <w:rPr>
                        <w:sz w:val="16"/>
                        <w:szCs w:val="16"/>
                      </w:rPr>
                    </w:pPr>
                    <w:r w:rsidRPr="0002033F">
                      <w:rPr>
                        <w:rFonts w:hint="eastAsia"/>
                        <w:sz w:val="16"/>
                        <w:szCs w:val="16"/>
                      </w:rPr>
                      <w:t>工程进度</w:t>
                    </w:r>
                  </w:p>
                </w:tc>
              </w:sdtContent>
            </w:sdt>
            <w:sdt>
              <w:sdtPr>
                <w:rPr>
                  <w:sz w:val="16"/>
                  <w:szCs w:val="16"/>
                </w:rPr>
                <w:tag w:val="_PLD_e89a95ddf6ab4a6abe2d40f64c95699a"/>
                <w:id w:val="1903096986"/>
                <w:lock w:val="sdtLocked"/>
              </w:sdtPr>
              <w:sdtContent>
                <w:tc>
                  <w:tcPr>
                    <w:tcW w:w="461" w:type="pct"/>
                    <w:shd w:val="clear" w:color="auto" w:fill="auto"/>
                    <w:vAlign w:val="center"/>
                  </w:tcPr>
                  <w:p w:rsidR="00DF17C4" w:rsidRPr="0002033F" w:rsidRDefault="00DF17C4" w:rsidP="005D774F">
                    <w:pPr>
                      <w:jc w:val="center"/>
                      <w:rPr>
                        <w:sz w:val="16"/>
                        <w:szCs w:val="16"/>
                      </w:rPr>
                    </w:pPr>
                    <w:r w:rsidRPr="0002033F">
                      <w:rPr>
                        <w:rFonts w:hint="eastAsia"/>
                        <w:sz w:val="16"/>
                        <w:szCs w:val="16"/>
                      </w:rPr>
                      <w:t>利息资本化累计金额</w:t>
                    </w:r>
                  </w:p>
                </w:tc>
              </w:sdtContent>
            </w:sdt>
            <w:sdt>
              <w:sdtPr>
                <w:rPr>
                  <w:sz w:val="16"/>
                  <w:szCs w:val="16"/>
                </w:rPr>
                <w:tag w:val="_PLD_211048c05b944d8f9bfd1d37edfd2f6d"/>
                <w:id w:val="833416625"/>
                <w:lock w:val="sdtLocked"/>
              </w:sdtPr>
              <w:sdtContent>
                <w:tc>
                  <w:tcPr>
                    <w:tcW w:w="383" w:type="pct"/>
                    <w:shd w:val="clear" w:color="auto" w:fill="auto"/>
                    <w:vAlign w:val="center"/>
                  </w:tcPr>
                  <w:p w:rsidR="00DF17C4" w:rsidRPr="0002033F" w:rsidRDefault="00DF17C4" w:rsidP="005D774F">
                    <w:pPr>
                      <w:jc w:val="center"/>
                      <w:rPr>
                        <w:sz w:val="16"/>
                        <w:szCs w:val="16"/>
                      </w:rPr>
                    </w:pPr>
                    <w:r w:rsidRPr="0002033F">
                      <w:rPr>
                        <w:rFonts w:hint="eastAsia"/>
                        <w:sz w:val="16"/>
                        <w:szCs w:val="16"/>
                      </w:rPr>
                      <w:t>其中：本期利息资本化金额</w:t>
                    </w:r>
                  </w:p>
                </w:tc>
              </w:sdtContent>
            </w:sdt>
            <w:sdt>
              <w:sdtPr>
                <w:rPr>
                  <w:sz w:val="16"/>
                  <w:szCs w:val="16"/>
                </w:rPr>
                <w:tag w:val="_PLD_2cbfddfcd5e6493ba68633d99551c05f"/>
                <w:id w:val="360706346"/>
                <w:lock w:val="sdtLocked"/>
              </w:sdtPr>
              <w:sdtContent>
                <w:tc>
                  <w:tcPr>
                    <w:tcW w:w="226" w:type="pct"/>
                    <w:shd w:val="clear" w:color="auto" w:fill="auto"/>
                    <w:vAlign w:val="center"/>
                  </w:tcPr>
                  <w:p w:rsidR="00DF17C4" w:rsidRPr="0002033F" w:rsidRDefault="00DF17C4" w:rsidP="005D774F">
                    <w:pPr>
                      <w:jc w:val="center"/>
                      <w:rPr>
                        <w:sz w:val="16"/>
                        <w:szCs w:val="16"/>
                      </w:rPr>
                    </w:pPr>
                    <w:r w:rsidRPr="0002033F">
                      <w:rPr>
                        <w:rFonts w:hint="eastAsia"/>
                        <w:sz w:val="16"/>
                        <w:szCs w:val="16"/>
                      </w:rPr>
                      <w:t>本期利息资本化率(%)</w:t>
                    </w:r>
                  </w:p>
                </w:tc>
              </w:sdtContent>
            </w:sdt>
            <w:sdt>
              <w:sdtPr>
                <w:rPr>
                  <w:sz w:val="16"/>
                  <w:szCs w:val="16"/>
                </w:rPr>
                <w:tag w:val="_PLD_39440674746d4382a4f99328187752a9"/>
                <w:id w:val="908964541"/>
                <w:lock w:val="sdtLocked"/>
              </w:sdtPr>
              <w:sdtContent>
                <w:tc>
                  <w:tcPr>
                    <w:tcW w:w="416" w:type="pct"/>
                    <w:shd w:val="clear" w:color="auto" w:fill="auto"/>
                    <w:vAlign w:val="center"/>
                  </w:tcPr>
                  <w:p w:rsidR="00DF17C4" w:rsidRPr="0002033F" w:rsidRDefault="00DF17C4" w:rsidP="005D774F">
                    <w:pPr>
                      <w:jc w:val="center"/>
                      <w:rPr>
                        <w:sz w:val="16"/>
                        <w:szCs w:val="16"/>
                      </w:rPr>
                    </w:pPr>
                    <w:r w:rsidRPr="0002033F">
                      <w:rPr>
                        <w:rFonts w:hint="eastAsia"/>
                        <w:sz w:val="16"/>
                        <w:szCs w:val="16"/>
                      </w:rPr>
                      <w:t>资金来源</w:t>
                    </w:r>
                  </w:p>
                </w:tc>
              </w:sdtContent>
            </w:sdt>
          </w:tr>
          <w:sdt>
            <w:sdtPr>
              <w:rPr>
                <w:rFonts w:asciiTheme="minorHAnsi" w:eastAsiaTheme="minorEastAsia" w:hAnsiTheme="minorHAnsi" w:cstheme="minorBidi" w:hint="eastAsia"/>
                <w:kern w:val="2"/>
                <w:sz w:val="16"/>
                <w:szCs w:val="16"/>
              </w:rPr>
              <w:alias w:val="在建工程明细"/>
              <w:tag w:val="_GBC_b84d9018f52b45beabeca7c2371cdc18"/>
              <w:id w:val="1465540879"/>
              <w:lock w:val="sdtLocked"/>
            </w:sdtPr>
            <w:sdtEndPr>
              <w:rPr>
                <w:rFonts w:ascii="宋体" w:eastAsia="宋体" w:hAnsi="宋体"/>
              </w:rPr>
            </w:sdtEndPr>
            <w:sdtContent>
              <w:tr w:rsidR="00B637B2" w:rsidTr="00B637B2">
                <w:trPr>
                  <w:cantSplit/>
                </w:trPr>
                <w:tc>
                  <w:tcPr>
                    <w:tcW w:w="402" w:type="pct"/>
                    <w:shd w:val="clear" w:color="auto" w:fill="auto"/>
                  </w:tcPr>
                  <w:p w:rsidR="00DF17C4" w:rsidRPr="0002033F" w:rsidRDefault="00DF17C4" w:rsidP="00DF17C4">
                    <w:pPr>
                      <w:ind w:right="105"/>
                      <w:rPr>
                        <w:sz w:val="16"/>
                        <w:szCs w:val="16"/>
                      </w:rPr>
                    </w:pPr>
                    <w:r w:rsidRPr="0002033F">
                      <w:rPr>
                        <w:rFonts w:hint="eastAsia"/>
                        <w:sz w:val="16"/>
                        <w:szCs w:val="16"/>
                      </w:rPr>
                      <w:t>用友软件园项目二期工程</w:t>
                    </w:r>
                  </w:p>
                </w:tc>
                <w:tc>
                  <w:tcPr>
                    <w:tcW w:w="591" w:type="pct"/>
                    <w:shd w:val="clear" w:color="auto" w:fill="auto"/>
                  </w:tcPr>
                  <w:p w:rsidR="00DF17C4" w:rsidRPr="0002033F" w:rsidRDefault="00DF17C4" w:rsidP="00B637B2">
                    <w:pPr>
                      <w:ind w:right="105"/>
                      <w:jc w:val="right"/>
                      <w:rPr>
                        <w:sz w:val="16"/>
                        <w:szCs w:val="16"/>
                      </w:rPr>
                    </w:pPr>
                    <w:r w:rsidRPr="0002033F">
                      <w:rPr>
                        <w:sz w:val="16"/>
                        <w:szCs w:val="16"/>
                      </w:rPr>
                      <w:t>1,565</w:t>
                    </w:r>
                    <w:r w:rsidR="008F04CF">
                      <w:rPr>
                        <w:sz w:val="16"/>
                        <w:szCs w:val="16"/>
                      </w:rPr>
                      <w:t>,000,000</w:t>
                    </w:r>
                  </w:p>
                </w:tc>
                <w:tc>
                  <w:tcPr>
                    <w:tcW w:w="461" w:type="pct"/>
                    <w:shd w:val="clear" w:color="auto" w:fill="auto"/>
                  </w:tcPr>
                  <w:p w:rsidR="00DF17C4" w:rsidRPr="0002033F" w:rsidRDefault="008F04CF" w:rsidP="00B637B2">
                    <w:pPr>
                      <w:jc w:val="right"/>
                      <w:rPr>
                        <w:sz w:val="16"/>
                        <w:szCs w:val="16"/>
                      </w:rPr>
                    </w:pPr>
                    <w:r>
                      <w:rPr>
                        <w:rFonts w:hint="eastAsia"/>
                        <w:sz w:val="16"/>
                        <w:szCs w:val="16"/>
                      </w:rPr>
                      <w:t>-</w:t>
                    </w:r>
                  </w:p>
                </w:tc>
                <w:tc>
                  <w:tcPr>
                    <w:tcW w:w="497" w:type="pct"/>
                    <w:shd w:val="clear" w:color="auto" w:fill="auto"/>
                  </w:tcPr>
                  <w:p w:rsidR="00DF17C4" w:rsidRPr="0002033F" w:rsidRDefault="00DF17C4" w:rsidP="00B637B2">
                    <w:pPr>
                      <w:jc w:val="right"/>
                      <w:rPr>
                        <w:sz w:val="16"/>
                        <w:szCs w:val="16"/>
                      </w:rPr>
                    </w:pPr>
                    <w:r w:rsidRPr="0002033F">
                      <w:rPr>
                        <w:sz w:val="16"/>
                        <w:szCs w:val="16"/>
                      </w:rPr>
                      <w:t>47,119,560</w:t>
                    </w:r>
                  </w:p>
                </w:tc>
                <w:tc>
                  <w:tcPr>
                    <w:tcW w:w="497" w:type="pct"/>
                    <w:shd w:val="clear" w:color="auto" w:fill="auto"/>
                  </w:tcPr>
                  <w:p w:rsidR="00DF17C4" w:rsidRPr="0002033F" w:rsidRDefault="00DF17C4" w:rsidP="00B637B2">
                    <w:pPr>
                      <w:jc w:val="right"/>
                      <w:rPr>
                        <w:sz w:val="16"/>
                        <w:szCs w:val="16"/>
                      </w:rPr>
                    </w:pPr>
                    <w:r w:rsidRPr="0002033F">
                      <w:rPr>
                        <w:sz w:val="16"/>
                        <w:szCs w:val="16"/>
                      </w:rPr>
                      <w:t>47,119,560</w:t>
                    </w:r>
                  </w:p>
                </w:tc>
                <w:tc>
                  <w:tcPr>
                    <w:tcW w:w="241" w:type="pct"/>
                    <w:shd w:val="clear" w:color="auto" w:fill="auto"/>
                  </w:tcPr>
                  <w:p w:rsidR="00DF17C4" w:rsidRPr="0002033F" w:rsidRDefault="008F04CF" w:rsidP="00B637B2">
                    <w:pPr>
                      <w:jc w:val="right"/>
                      <w:rPr>
                        <w:sz w:val="16"/>
                        <w:szCs w:val="16"/>
                      </w:rPr>
                    </w:pPr>
                    <w:r>
                      <w:rPr>
                        <w:rFonts w:hint="eastAsia"/>
                        <w:sz w:val="16"/>
                        <w:szCs w:val="16"/>
                      </w:rPr>
                      <w:t>-</w:t>
                    </w:r>
                  </w:p>
                </w:tc>
                <w:tc>
                  <w:tcPr>
                    <w:tcW w:w="274" w:type="pct"/>
                  </w:tcPr>
                  <w:p w:rsidR="00DF17C4" w:rsidRPr="0002033F" w:rsidRDefault="008F04CF" w:rsidP="00B637B2">
                    <w:pPr>
                      <w:jc w:val="right"/>
                      <w:rPr>
                        <w:sz w:val="16"/>
                        <w:szCs w:val="16"/>
                      </w:rPr>
                    </w:pPr>
                    <w:r>
                      <w:rPr>
                        <w:rFonts w:hint="eastAsia"/>
                        <w:sz w:val="16"/>
                        <w:szCs w:val="16"/>
                      </w:rPr>
                      <w:t>-</w:t>
                    </w:r>
                  </w:p>
                </w:tc>
                <w:tc>
                  <w:tcPr>
                    <w:tcW w:w="273" w:type="pct"/>
                    <w:shd w:val="clear" w:color="auto" w:fill="auto"/>
                  </w:tcPr>
                  <w:p w:rsidR="00DF17C4" w:rsidRPr="0002033F" w:rsidRDefault="00DF17C4" w:rsidP="00B637B2">
                    <w:pPr>
                      <w:jc w:val="right"/>
                      <w:rPr>
                        <w:sz w:val="16"/>
                        <w:szCs w:val="16"/>
                      </w:rPr>
                    </w:pPr>
                    <w:r w:rsidRPr="0002033F">
                      <w:rPr>
                        <w:sz w:val="16"/>
                        <w:szCs w:val="16"/>
                      </w:rPr>
                      <w:t>100</w:t>
                    </w:r>
                  </w:p>
                </w:tc>
                <w:tc>
                  <w:tcPr>
                    <w:tcW w:w="275" w:type="pct"/>
                    <w:shd w:val="clear" w:color="auto" w:fill="auto"/>
                  </w:tcPr>
                  <w:p w:rsidR="00DF17C4" w:rsidRPr="0002033F" w:rsidRDefault="00DF17C4" w:rsidP="00B637B2">
                    <w:pPr>
                      <w:jc w:val="right"/>
                      <w:rPr>
                        <w:sz w:val="16"/>
                        <w:szCs w:val="16"/>
                      </w:rPr>
                    </w:pPr>
                    <w:r w:rsidRPr="0002033F">
                      <w:rPr>
                        <w:sz w:val="16"/>
                        <w:szCs w:val="16"/>
                      </w:rPr>
                      <w:t xml:space="preserve">100% </w:t>
                    </w:r>
                  </w:p>
                </w:tc>
                <w:tc>
                  <w:tcPr>
                    <w:tcW w:w="461" w:type="pct"/>
                    <w:shd w:val="clear" w:color="auto" w:fill="auto"/>
                  </w:tcPr>
                  <w:p w:rsidR="00DF17C4" w:rsidRPr="0002033F" w:rsidRDefault="00DF17C4" w:rsidP="00B637B2">
                    <w:pPr>
                      <w:jc w:val="right"/>
                      <w:rPr>
                        <w:sz w:val="16"/>
                        <w:szCs w:val="16"/>
                      </w:rPr>
                    </w:pPr>
                    <w:r w:rsidRPr="0002033F">
                      <w:rPr>
                        <w:sz w:val="16"/>
                        <w:szCs w:val="16"/>
                      </w:rPr>
                      <w:t xml:space="preserve">74,267,305 </w:t>
                    </w:r>
                  </w:p>
                </w:tc>
                <w:tc>
                  <w:tcPr>
                    <w:tcW w:w="383" w:type="pct"/>
                    <w:shd w:val="clear" w:color="auto" w:fill="auto"/>
                  </w:tcPr>
                  <w:p w:rsidR="00DF17C4" w:rsidRPr="0002033F" w:rsidRDefault="00DF17C4" w:rsidP="00B637B2">
                    <w:pPr>
                      <w:jc w:val="right"/>
                      <w:rPr>
                        <w:sz w:val="16"/>
                        <w:szCs w:val="16"/>
                      </w:rPr>
                    </w:pPr>
                  </w:p>
                </w:tc>
                <w:tc>
                  <w:tcPr>
                    <w:tcW w:w="226" w:type="pct"/>
                    <w:shd w:val="clear" w:color="auto" w:fill="auto"/>
                  </w:tcPr>
                  <w:p w:rsidR="00DF17C4" w:rsidRPr="0002033F" w:rsidRDefault="00DF17C4" w:rsidP="00B637B2">
                    <w:pPr>
                      <w:jc w:val="right"/>
                      <w:rPr>
                        <w:sz w:val="16"/>
                        <w:szCs w:val="16"/>
                      </w:rPr>
                    </w:pPr>
                  </w:p>
                </w:tc>
                <w:tc>
                  <w:tcPr>
                    <w:tcW w:w="416" w:type="pct"/>
                    <w:shd w:val="clear" w:color="auto" w:fill="auto"/>
                  </w:tcPr>
                  <w:p w:rsidR="00DF17C4" w:rsidRPr="0002033F" w:rsidRDefault="00DF17C4" w:rsidP="00DF17C4">
                    <w:pPr>
                      <w:rPr>
                        <w:sz w:val="16"/>
                        <w:szCs w:val="16"/>
                      </w:rPr>
                    </w:pPr>
                    <w:r w:rsidRPr="0002033F">
                      <w:rPr>
                        <w:rFonts w:cs="Arial" w:hint="eastAsia"/>
                        <w:color w:val="000000"/>
                        <w:sz w:val="16"/>
                        <w:szCs w:val="16"/>
                      </w:rPr>
                      <w:t>自筹资金</w:t>
                    </w:r>
                    <w:r w:rsidRPr="0002033F">
                      <w:rPr>
                        <w:rFonts w:cs="Arial"/>
                        <w:color w:val="000000"/>
                        <w:sz w:val="16"/>
                        <w:szCs w:val="16"/>
                      </w:rPr>
                      <w:t>/</w:t>
                    </w:r>
                    <w:r w:rsidRPr="0002033F">
                      <w:rPr>
                        <w:rFonts w:cs="Arial" w:hint="eastAsia"/>
                        <w:color w:val="000000"/>
                        <w:sz w:val="16"/>
                        <w:szCs w:val="16"/>
                      </w:rPr>
                      <w:t>银行贷款</w:t>
                    </w:r>
                  </w:p>
                </w:tc>
              </w:tr>
            </w:sdtContent>
          </w:sdt>
          <w:sdt>
            <w:sdtPr>
              <w:rPr>
                <w:rFonts w:asciiTheme="minorHAnsi" w:eastAsiaTheme="minorEastAsia" w:hAnsiTheme="minorHAnsi" w:cstheme="minorBidi" w:hint="eastAsia"/>
                <w:kern w:val="2"/>
                <w:sz w:val="16"/>
                <w:szCs w:val="16"/>
              </w:rPr>
              <w:alias w:val="在建工程明细"/>
              <w:tag w:val="_GBC_b84d9018f52b45beabeca7c2371cdc18"/>
              <w:id w:val="-520155140"/>
              <w:lock w:val="sdtLocked"/>
            </w:sdtPr>
            <w:sdtEndPr>
              <w:rPr>
                <w:rFonts w:ascii="宋体" w:eastAsia="宋体" w:hAnsi="宋体"/>
              </w:rPr>
            </w:sdtEndPr>
            <w:sdtContent>
              <w:tr w:rsidR="00B637B2" w:rsidTr="00B637B2">
                <w:trPr>
                  <w:cantSplit/>
                </w:trPr>
                <w:tc>
                  <w:tcPr>
                    <w:tcW w:w="402" w:type="pct"/>
                    <w:shd w:val="clear" w:color="auto" w:fill="auto"/>
                  </w:tcPr>
                  <w:p w:rsidR="00DF17C4" w:rsidRPr="0002033F" w:rsidRDefault="00DF17C4" w:rsidP="00DF17C4">
                    <w:pPr>
                      <w:ind w:right="105"/>
                      <w:rPr>
                        <w:sz w:val="16"/>
                        <w:szCs w:val="16"/>
                      </w:rPr>
                    </w:pPr>
                    <w:r w:rsidRPr="0002033F">
                      <w:rPr>
                        <w:rFonts w:hint="eastAsia"/>
                        <w:sz w:val="16"/>
                        <w:szCs w:val="16"/>
                      </w:rPr>
                      <w:t>用友</w:t>
                    </w:r>
                    <w:r w:rsidRPr="0002033F">
                      <w:rPr>
                        <w:sz w:val="16"/>
                        <w:szCs w:val="16"/>
                      </w:rPr>
                      <w:t>(南昌)工程二期</w:t>
                    </w:r>
                  </w:p>
                </w:tc>
                <w:tc>
                  <w:tcPr>
                    <w:tcW w:w="591" w:type="pct"/>
                    <w:shd w:val="clear" w:color="auto" w:fill="auto"/>
                  </w:tcPr>
                  <w:p w:rsidR="00DF17C4" w:rsidRPr="0002033F" w:rsidRDefault="00DF17C4" w:rsidP="00B637B2">
                    <w:pPr>
                      <w:ind w:right="105"/>
                      <w:jc w:val="right"/>
                      <w:rPr>
                        <w:sz w:val="16"/>
                        <w:szCs w:val="16"/>
                      </w:rPr>
                    </w:pPr>
                    <w:r w:rsidRPr="0002033F">
                      <w:rPr>
                        <w:sz w:val="16"/>
                        <w:szCs w:val="16"/>
                      </w:rPr>
                      <w:t>300</w:t>
                    </w:r>
                    <w:r w:rsidR="008F04CF">
                      <w:rPr>
                        <w:sz w:val="16"/>
                        <w:szCs w:val="16"/>
                      </w:rPr>
                      <w:t>,000,000</w:t>
                    </w:r>
                  </w:p>
                  <w:p w:rsidR="00DF17C4" w:rsidRPr="0002033F" w:rsidRDefault="00DF17C4" w:rsidP="00B637B2">
                    <w:pPr>
                      <w:ind w:right="105"/>
                      <w:jc w:val="right"/>
                      <w:rPr>
                        <w:sz w:val="16"/>
                        <w:szCs w:val="16"/>
                      </w:rPr>
                    </w:pPr>
                  </w:p>
                </w:tc>
                <w:tc>
                  <w:tcPr>
                    <w:tcW w:w="461" w:type="pct"/>
                    <w:shd w:val="clear" w:color="auto" w:fill="auto"/>
                  </w:tcPr>
                  <w:p w:rsidR="00DF17C4" w:rsidRPr="0002033F" w:rsidRDefault="00DF17C4" w:rsidP="00B637B2">
                    <w:pPr>
                      <w:jc w:val="right"/>
                      <w:rPr>
                        <w:sz w:val="16"/>
                        <w:szCs w:val="16"/>
                      </w:rPr>
                    </w:pPr>
                    <w:r w:rsidRPr="0002033F">
                      <w:rPr>
                        <w:sz w:val="16"/>
                        <w:szCs w:val="16"/>
                      </w:rPr>
                      <w:t>231,516,574</w:t>
                    </w:r>
                  </w:p>
                </w:tc>
                <w:tc>
                  <w:tcPr>
                    <w:tcW w:w="497" w:type="pct"/>
                    <w:shd w:val="clear" w:color="auto" w:fill="auto"/>
                  </w:tcPr>
                  <w:p w:rsidR="00DF17C4" w:rsidRPr="0002033F" w:rsidRDefault="00DF17C4" w:rsidP="00B637B2">
                    <w:pPr>
                      <w:jc w:val="right"/>
                      <w:rPr>
                        <w:sz w:val="16"/>
                        <w:szCs w:val="16"/>
                      </w:rPr>
                    </w:pPr>
                    <w:r w:rsidRPr="0002033F">
                      <w:rPr>
                        <w:sz w:val="16"/>
                        <w:szCs w:val="16"/>
                      </w:rPr>
                      <w:t>97,344,515</w:t>
                    </w:r>
                  </w:p>
                </w:tc>
                <w:tc>
                  <w:tcPr>
                    <w:tcW w:w="497" w:type="pct"/>
                    <w:shd w:val="clear" w:color="auto" w:fill="auto"/>
                  </w:tcPr>
                  <w:p w:rsidR="00DF17C4" w:rsidRPr="0002033F" w:rsidRDefault="00DF17C4" w:rsidP="00B637B2">
                    <w:pPr>
                      <w:jc w:val="right"/>
                      <w:rPr>
                        <w:sz w:val="16"/>
                        <w:szCs w:val="16"/>
                      </w:rPr>
                    </w:pPr>
                    <w:r w:rsidRPr="0002033F">
                      <w:rPr>
                        <w:sz w:val="16"/>
                        <w:szCs w:val="16"/>
                      </w:rPr>
                      <w:t>328,861,089</w:t>
                    </w:r>
                  </w:p>
                </w:tc>
                <w:tc>
                  <w:tcPr>
                    <w:tcW w:w="241" w:type="pct"/>
                    <w:shd w:val="clear" w:color="auto" w:fill="auto"/>
                  </w:tcPr>
                  <w:p w:rsidR="00DF17C4" w:rsidRPr="0002033F" w:rsidRDefault="008F04CF" w:rsidP="00B637B2">
                    <w:pPr>
                      <w:jc w:val="right"/>
                      <w:rPr>
                        <w:sz w:val="16"/>
                        <w:szCs w:val="16"/>
                      </w:rPr>
                    </w:pPr>
                    <w:r>
                      <w:rPr>
                        <w:rFonts w:hint="eastAsia"/>
                        <w:sz w:val="16"/>
                        <w:szCs w:val="16"/>
                      </w:rPr>
                      <w:t>-</w:t>
                    </w:r>
                  </w:p>
                </w:tc>
                <w:tc>
                  <w:tcPr>
                    <w:tcW w:w="274" w:type="pct"/>
                  </w:tcPr>
                  <w:p w:rsidR="00DF17C4" w:rsidRPr="0002033F" w:rsidRDefault="008F04CF" w:rsidP="00B637B2">
                    <w:pPr>
                      <w:jc w:val="right"/>
                      <w:rPr>
                        <w:sz w:val="16"/>
                        <w:szCs w:val="16"/>
                      </w:rPr>
                    </w:pPr>
                    <w:r>
                      <w:rPr>
                        <w:rFonts w:hint="eastAsia"/>
                        <w:sz w:val="16"/>
                        <w:szCs w:val="16"/>
                      </w:rPr>
                      <w:t>-</w:t>
                    </w:r>
                  </w:p>
                </w:tc>
                <w:tc>
                  <w:tcPr>
                    <w:tcW w:w="273" w:type="pct"/>
                    <w:shd w:val="clear" w:color="auto" w:fill="auto"/>
                  </w:tcPr>
                  <w:p w:rsidR="00DF17C4" w:rsidRPr="0002033F" w:rsidRDefault="00DF17C4" w:rsidP="00B637B2">
                    <w:pPr>
                      <w:jc w:val="right"/>
                      <w:rPr>
                        <w:sz w:val="16"/>
                        <w:szCs w:val="16"/>
                      </w:rPr>
                    </w:pPr>
                    <w:r w:rsidRPr="0002033F">
                      <w:rPr>
                        <w:sz w:val="16"/>
                        <w:szCs w:val="16"/>
                      </w:rPr>
                      <w:t>100</w:t>
                    </w:r>
                  </w:p>
                </w:tc>
                <w:tc>
                  <w:tcPr>
                    <w:tcW w:w="275" w:type="pct"/>
                    <w:shd w:val="clear" w:color="auto" w:fill="auto"/>
                  </w:tcPr>
                  <w:p w:rsidR="00DF17C4" w:rsidRPr="0002033F" w:rsidRDefault="00DF17C4" w:rsidP="00B637B2">
                    <w:pPr>
                      <w:jc w:val="right"/>
                      <w:rPr>
                        <w:sz w:val="16"/>
                        <w:szCs w:val="16"/>
                      </w:rPr>
                    </w:pPr>
                    <w:r w:rsidRPr="0002033F">
                      <w:rPr>
                        <w:sz w:val="16"/>
                        <w:szCs w:val="16"/>
                      </w:rPr>
                      <w:t>100%</w:t>
                    </w:r>
                  </w:p>
                </w:tc>
                <w:tc>
                  <w:tcPr>
                    <w:tcW w:w="461" w:type="pct"/>
                    <w:shd w:val="clear" w:color="auto" w:fill="auto"/>
                  </w:tcPr>
                  <w:p w:rsidR="00DF17C4" w:rsidRPr="0002033F" w:rsidRDefault="00DF17C4" w:rsidP="00B637B2">
                    <w:pPr>
                      <w:jc w:val="right"/>
                      <w:rPr>
                        <w:sz w:val="16"/>
                        <w:szCs w:val="16"/>
                      </w:rPr>
                    </w:pPr>
                    <w:r w:rsidRPr="0002033F">
                      <w:rPr>
                        <w:sz w:val="16"/>
                        <w:szCs w:val="16"/>
                      </w:rPr>
                      <w:t>16,813,405</w:t>
                    </w:r>
                  </w:p>
                </w:tc>
                <w:tc>
                  <w:tcPr>
                    <w:tcW w:w="383" w:type="pct"/>
                    <w:shd w:val="clear" w:color="auto" w:fill="auto"/>
                  </w:tcPr>
                  <w:p w:rsidR="00DF17C4" w:rsidRPr="0002033F" w:rsidRDefault="00DF17C4" w:rsidP="00B637B2">
                    <w:pPr>
                      <w:jc w:val="right"/>
                      <w:rPr>
                        <w:sz w:val="16"/>
                        <w:szCs w:val="16"/>
                      </w:rPr>
                    </w:pPr>
                  </w:p>
                </w:tc>
                <w:tc>
                  <w:tcPr>
                    <w:tcW w:w="226" w:type="pct"/>
                    <w:shd w:val="clear" w:color="auto" w:fill="auto"/>
                  </w:tcPr>
                  <w:p w:rsidR="00DF17C4" w:rsidRPr="0002033F" w:rsidRDefault="00DF17C4" w:rsidP="00B637B2">
                    <w:pPr>
                      <w:jc w:val="right"/>
                      <w:rPr>
                        <w:sz w:val="16"/>
                        <w:szCs w:val="16"/>
                      </w:rPr>
                    </w:pPr>
                  </w:p>
                </w:tc>
                <w:tc>
                  <w:tcPr>
                    <w:tcW w:w="416" w:type="pct"/>
                    <w:shd w:val="clear" w:color="auto" w:fill="auto"/>
                  </w:tcPr>
                  <w:p w:rsidR="00DF17C4" w:rsidRPr="0002033F" w:rsidRDefault="00DF17C4" w:rsidP="00DF17C4">
                    <w:pPr>
                      <w:rPr>
                        <w:sz w:val="16"/>
                        <w:szCs w:val="16"/>
                      </w:rPr>
                    </w:pPr>
                    <w:r w:rsidRPr="0002033F">
                      <w:rPr>
                        <w:rFonts w:cs="Arial" w:hint="eastAsia"/>
                        <w:color w:val="000000"/>
                        <w:sz w:val="16"/>
                        <w:szCs w:val="16"/>
                      </w:rPr>
                      <w:t>自筹资金</w:t>
                    </w:r>
                    <w:r w:rsidRPr="0002033F">
                      <w:rPr>
                        <w:rFonts w:cs="Arial"/>
                        <w:color w:val="000000"/>
                        <w:sz w:val="16"/>
                        <w:szCs w:val="16"/>
                      </w:rPr>
                      <w:t>/</w:t>
                    </w:r>
                    <w:r w:rsidRPr="0002033F">
                      <w:rPr>
                        <w:rFonts w:cs="Arial" w:hint="eastAsia"/>
                        <w:color w:val="000000"/>
                        <w:sz w:val="16"/>
                        <w:szCs w:val="16"/>
                      </w:rPr>
                      <w:t>银行贷款</w:t>
                    </w:r>
                  </w:p>
                </w:tc>
              </w:tr>
            </w:sdtContent>
          </w:sdt>
          <w:sdt>
            <w:sdtPr>
              <w:rPr>
                <w:rFonts w:asciiTheme="minorHAnsi" w:eastAsiaTheme="minorEastAsia" w:hAnsiTheme="minorHAnsi" w:cstheme="minorBidi" w:hint="eastAsia"/>
                <w:kern w:val="2"/>
                <w:sz w:val="16"/>
                <w:szCs w:val="16"/>
              </w:rPr>
              <w:alias w:val="在建工程明细"/>
              <w:tag w:val="_GBC_b84d9018f52b45beabeca7c2371cdc18"/>
              <w:id w:val="-1914853094"/>
              <w:lock w:val="sdtLocked"/>
            </w:sdtPr>
            <w:sdtEndPr>
              <w:rPr>
                <w:rFonts w:ascii="宋体" w:eastAsia="宋体" w:hAnsi="宋体"/>
              </w:rPr>
            </w:sdtEndPr>
            <w:sdtContent>
              <w:tr w:rsidR="00B637B2" w:rsidTr="00B637B2">
                <w:trPr>
                  <w:cantSplit/>
                </w:trPr>
                <w:tc>
                  <w:tcPr>
                    <w:tcW w:w="402" w:type="pct"/>
                    <w:shd w:val="clear" w:color="auto" w:fill="auto"/>
                  </w:tcPr>
                  <w:p w:rsidR="00DF17C4" w:rsidRPr="0002033F" w:rsidRDefault="00DF17C4" w:rsidP="00DF17C4">
                    <w:pPr>
                      <w:ind w:right="105"/>
                      <w:rPr>
                        <w:sz w:val="16"/>
                        <w:szCs w:val="16"/>
                      </w:rPr>
                    </w:pPr>
                    <w:r w:rsidRPr="0002033F">
                      <w:rPr>
                        <w:rFonts w:asciiTheme="minorHAnsi" w:eastAsiaTheme="minorEastAsia" w:hAnsiTheme="minorHAnsi" w:cstheme="minorBidi" w:hint="eastAsia"/>
                        <w:kern w:val="2"/>
                        <w:sz w:val="16"/>
                        <w:szCs w:val="16"/>
                      </w:rPr>
                      <w:t>三亚软件园一期</w:t>
                    </w:r>
                  </w:p>
                </w:tc>
                <w:tc>
                  <w:tcPr>
                    <w:tcW w:w="591" w:type="pct"/>
                    <w:shd w:val="clear" w:color="auto" w:fill="auto"/>
                  </w:tcPr>
                  <w:p w:rsidR="00DF17C4" w:rsidRPr="0002033F" w:rsidRDefault="00DF17C4" w:rsidP="00B637B2">
                    <w:pPr>
                      <w:ind w:right="105"/>
                      <w:jc w:val="right"/>
                      <w:rPr>
                        <w:sz w:val="16"/>
                        <w:szCs w:val="16"/>
                      </w:rPr>
                    </w:pPr>
                    <w:r w:rsidRPr="0002033F">
                      <w:rPr>
                        <w:sz w:val="16"/>
                        <w:szCs w:val="16"/>
                      </w:rPr>
                      <w:t>300</w:t>
                    </w:r>
                    <w:r w:rsidR="008F04CF">
                      <w:rPr>
                        <w:sz w:val="16"/>
                        <w:szCs w:val="16"/>
                      </w:rPr>
                      <w:t>,000,000</w:t>
                    </w:r>
                  </w:p>
                </w:tc>
                <w:tc>
                  <w:tcPr>
                    <w:tcW w:w="461" w:type="pct"/>
                    <w:shd w:val="clear" w:color="auto" w:fill="auto"/>
                  </w:tcPr>
                  <w:p w:rsidR="00DF17C4" w:rsidRPr="0002033F" w:rsidRDefault="00DF17C4" w:rsidP="00B637B2">
                    <w:pPr>
                      <w:jc w:val="right"/>
                      <w:rPr>
                        <w:sz w:val="16"/>
                        <w:szCs w:val="16"/>
                      </w:rPr>
                    </w:pPr>
                    <w:r w:rsidRPr="0002033F">
                      <w:rPr>
                        <w:sz w:val="16"/>
                        <w:szCs w:val="16"/>
                      </w:rPr>
                      <w:t>214,613,446</w:t>
                    </w:r>
                  </w:p>
                </w:tc>
                <w:tc>
                  <w:tcPr>
                    <w:tcW w:w="497" w:type="pct"/>
                    <w:shd w:val="clear" w:color="auto" w:fill="auto"/>
                  </w:tcPr>
                  <w:p w:rsidR="00DF17C4" w:rsidRPr="0002033F" w:rsidRDefault="00DF17C4" w:rsidP="00B637B2">
                    <w:pPr>
                      <w:jc w:val="right"/>
                      <w:rPr>
                        <w:sz w:val="16"/>
                        <w:szCs w:val="16"/>
                      </w:rPr>
                    </w:pPr>
                    <w:r w:rsidRPr="0002033F">
                      <w:rPr>
                        <w:sz w:val="16"/>
                        <w:szCs w:val="16"/>
                      </w:rPr>
                      <w:t>47,511,482</w:t>
                    </w:r>
                  </w:p>
                </w:tc>
                <w:tc>
                  <w:tcPr>
                    <w:tcW w:w="497" w:type="pct"/>
                    <w:shd w:val="clear" w:color="auto" w:fill="auto"/>
                  </w:tcPr>
                  <w:p w:rsidR="00DF17C4" w:rsidRPr="0002033F" w:rsidRDefault="00DF17C4" w:rsidP="00B637B2">
                    <w:pPr>
                      <w:jc w:val="right"/>
                      <w:rPr>
                        <w:sz w:val="16"/>
                        <w:szCs w:val="16"/>
                      </w:rPr>
                    </w:pPr>
                    <w:r w:rsidRPr="0002033F">
                      <w:rPr>
                        <w:sz w:val="16"/>
                        <w:szCs w:val="16"/>
                      </w:rPr>
                      <w:t>262,124,928</w:t>
                    </w:r>
                  </w:p>
                </w:tc>
                <w:tc>
                  <w:tcPr>
                    <w:tcW w:w="241" w:type="pct"/>
                    <w:shd w:val="clear" w:color="auto" w:fill="auto"/>
                  </w:tcPr>
                  <w:p w:rsidR="00DF17C4" w:rsidRPr="0002033F" w:rsidRDefault="008F04CF" w:rsidP="00B637B2">
                    <w:pPr>
                      <w:jc w:val="right"/>
                      <w:rPr>
                        <w:sz w:val="16"/>
                        <w:szCs w:val="16"/>
                      </w:rPr>
                    </w:pPr>
                    <w:r>
                      <w:rPr>
                        <w:rFonts w:hint="eastAsia"/>
                        <w:sz w:val="16"/>
                        <w:szCs w:val="16"/>
                      </w:rPr>
                      <w:t>-</w:t>
                    </w:r>
                  </w:p>
                </w:tc>
                <w:tc>
                  <w:tcPr>
                    <w:tcW w:w="274" w:type="pct"/>
                  </w:tcPr>
                  <w:p w:rsidR="00DF17C4" w:rsidRPr="0002033F" w:rsidRDefault="008F04CF" w:rsidP="00B637B2">
                    <w:pPr>
                      <w:jc w:val="right"/>
                      <w:rPr>
                        <w:sz w:val="16"/>
                        <w:szCs w:val="16"/>
                      </w:rPr>
                    </w:pPr>
                    <w:r>
                      <w:rPr>
                        <w:rFonts w:hint="eastAsia"/>
                        <w:sz w:val="16"/>
                        <w:szCs w:val="16"/>
                      </w:rPr>
                      <w:t>-</w:t>
                    </w:r>
                  </w:p>
                </w:tc>
                <w:tc>
                  <w:tcPr>
                    <w:tcW w:w="273" w:type="pct"/>
                    <w:shd w:val="clear" w:color="auto" w:fill="auto"/>
                  </w:tcPr>
                  <w:p w:rsidR="00DF17C4" w:rsidRPr="0002033F" w:rsidRDefault="00DF17C4" w:rsidP="00B637B2">
                    <w:pPr>
                      <w:jc w:val="right"/>
                      <w:rPr>
                        <w:sz w:val="16"/>
                        <w:szCs w:val="16"/>
                      </w:rPr>
                    </w:pPr>
                    <w:r w:rsidRPr="0002033F">
                      <w:rPr>
                        <w:sz w:val="16"/>
                        <w:szCs w:val="16"/>
                      </w:rPr>
                      <w:t>87</w:t>
                    </w:r>
                  </w:p>
                </w:tc>
                <w:tc>
                  <w:tcPr>
                    <w:tcW w:w="275" w:type="pct"/>
                    <w:shd w:val="clear" w:color="auto" w:fill="auto"/>
                  </w:tcPr>
                  <w:p w:rsidR="00DF17C4" w:rsidRPr="0002033F" w:rsidRDefault="00DF17C4" w:rsidP="00B637B2">
                    <w:pPr>
                      <w:jc w:val="right"/>
                      <w:rPr>
                        <w:sz w:val="16"/>
                        <w:szCs w:val="16"/>
                      </w:rPr>
                    </w:pPr>
                    <w:r w:rsidRPr="0002033F">
                      <w:rPr>
                        <w:sz w:val="16"/>
                        <w:szCs w:val="16"/>
                      </w:rPr>
                      <w:t>87%</w:t>
                    </w:r>
                  </w:p>
                </w:tc>
                <w:tc>
                  <w:tcPr>
                    <w:tcW w:w="461" w:type="pct"/>
                    <w:shd w:val="clear" w:color="auto" w:fill="auto"/>
                  </w:tcPr>
                  <w:p w:rsidR="00DF17C4" w:rsidRPr="0002033F" w:rsidRDefault="00DF17C4" w:rsidP="00B637B2">
                    <w:pPr>
                      <w:jc w:val="right"/>
                      <w:rPr>
                        <w:sz w:val="16"/>
                        <w:szCs w:val="16"/>
                      </w:rPr>
                    </w:pPr>
                    <w:r w:rsidRPr="0002033F">
                      <w:rPr>
                        <w:sz w:val="16"/>
                        <w:szCs w:val="16"/>
                      </w:rPr>
                      <w:t>37,856,181</w:t>
                    </w:r>
                  </w:p>
                </w:tc>
                <w:tc>
                  <w:tcPr>
                    <w:tcW w:w="383" w:type="pct"/>
                    <w:shd w:val="clear" w:color="auto" w:fill="auto"/>
                  </w:tcPr>
                  <w:p w:rsidR="00DF17C4" w:rsidRPr="0002033F" w:rsidRDefault="00312E36" w:rsidP="00B637B2">
                    <w:pPr>
                      <w:jc w:val="right"/>
                      <w:rPr>
                        <w:sz w:val="16"/>
                        <w:szCs w:val="16"/>
                      </w:rPr>
                    </w:pPr>
                    <w:r w:rsidRPr="0002033F">
                      <w:rPr>
                        <w:sz w:val="16"/>
                        <w:szCs w:val="16"/>
                      </w:rPr>
                      <w:t>4,433,333</w:t>
                    </w:r>
                    <w:r w:rsidRPr="0002033F">
                      <w:rPr>
                        <w:sz w:val="16"/>
                        <w:szCs w:val="16"/>
                      </w:rPr>
                      <w:tab/>
                    </w:r>
                  </w:p>
                </w:tc>
                <w:tc>
                  <w:tcPr>
                    <w:tcW w:w="226" w:type="pct"/>
                    <w:shd w:val="clear" w:color="auto" w:fill="auto"/>
                  </w:tcPr>
                  <w:p w:rsidR="00DF17C4" w:rsidRPr="0002033F" w:rsidRDefault="00312E36" w:rsidP="00B637B2">
                    <w:pPr>
                      <w:jc w:val="right"/>
                      <w:rPr>
                        <w:sz w:val="16"/>
                        <w:szCs w:val="16"/>
                      </w:rPr>
                    </w:pPr>
                    <w:r w:rsidRPr="0002033F">
                      <w:rPr>
                        <w:sz w:val="16"/>
                        <w:szCs w:val="16"/>
                      </w:rPr>
                      <w:t>4.75%</w:t>
                    </w:r>
                  </w:p>
                </w:tc>
                <w:tc>
                  <w:tcPr>
                    <w:tcW w:w="416" w:type="pct"/>
                    <w:shd w:val="clear" w:color="auto" w:fill="auto"/>
                  </w:tcPr>
                  <w:p w:rsidR="00DF17C4" w:rsidRPr="0002033F" w:rsidRDefault="00DF17C4" w:rsidP="00DF17C4">
                    <w:pPr>
                      <w:rPr>
                        <w:sz w:val="16"/>
                        <w:szCs w:val="16"/>
                      </w:rPr>
                    </w:pPr>
                    <w:r w:rsidRPr="0002033F">
                      <w:rPr>
                        <w:rFonts w:cs="Arial" w:hint="eastAsia"/>
                        <w:color w:val="000000"/>
                        <w:sz w:val="16"/>
                        <w:szCs w:val="16"/>
                      </w:rPr>
                      <w:t>自筹资金</w:t>
                    </w:r>
                  </w:p>
                </w:tc>
              </w:tr>
            </w:sdtContent>
          </w:sdt>
          <w:tr w:rsidR="00B637B2" w:rsidTr="00B637B2">
            <w:trPr>
              <w:cantSplit/>
            </w:trPr>
            <w:sdt>
              <w:sdtPr>
                <w:rPr>
                  <w:sz w:val="16"/>
                  <w:szCs w:val="16"/>
                </w:rPr>
                <w:tag w:val="_PLD_942a3001646f41f087960bab251b2bbb"/>
                <w:id w:val="-1597323974"/>
                <w:lock w:val="sdtLocked"/>
              </w:sdtPr>
              <w:sdtContent>
                <w:tc>
                  <w:tcPr>
                    <w:tcW w:w="402" w:type="pct"/>
                    <w:shd w:val="clear" w:color="auto" w:fill="auto"/>
                    <w:vAlign w:val="center"/>
                  </w:tcPr>
                  <w:p w:rsidR="00DF17C4" w:rsidRPr="0002033F" w:rsidRDefault="00DF17C4" w:rsidP="005D774F">
                    <w:pPr>
                      <w:ind w:right="105"/>
                      <w:jc w:val="center"/>
                      <w:rPr>
                        <w:sz w:val="16"/>
                        <w:szCs w:val="16"/>
                      </w:rPr>
                    </w:pPr>
                    <w:r w:rsidRPr="0002033F">
                      <w:rPr>
                        <w:rFonts w:hint="eastAsia"/>
                        <w:sz w:val="16"/>
                        <w:szCs w:val="16"/>
                      </w:rPr>
                      <w:t>合计</w:t>
                    </w:r>
                  </w:p>
                </w:tc>
              </w:sdtContent>
            </w:sdt>
            <w:tc>
              <w:tcPr>
                <w:tcW w:w="591" w:type="pct"/>
                <w:shd w:val="clear" w:color="auto" w:fill="auto"/>
              </w:tcPr>
              <w:p w:rsidR="00DF17C4" w:rsidRPr="0002033F" w:rsidRDefault="000845BD" w:rsidP="00B637B2">
                <w:pPr>
                  <w:ind w:right="105"/>
                  <w:jc w:val="right"/>
                  <w:rPr>
                    <w:sz w:val="16"/>
                    <w:szCs w:val="16"/>
                  </w:rPr>
                </w:pPr>
                <w:r>
                  <w:rPr>
                    <w:rFonts w:hint="eastAsia"/>
                    <w:sz w:val="16"/>
                    <w:szCs w:val="16"/>
                  </w:rPr>
                  <w:t>2,165,000,000</w:t>
                </w:r>
              </w:p>
            </w:tc>
            <w:tc>
              <w:tcPr>
                <w:tcW w:w="461" w:type="pct"/>
                <w:shd w:val="clear" w:color="auto" w:fill="auto"/>
              </w:tcPr>
              <w:p w:rsidR="00DF17C4" w:rsidRPr="0002033F" w:rsidRDefault="00DF17C4" w:rsidP="00B637B2">
                <w:pPr>
                  <w:jc w:val="right"/>
                  <w:rPr>
                    <w:sz w:val="16"/>
                    <w:szCs w:val="16"/>
                  </w:rPr>
                </w:pPr>
                <w:r w:rsidRPr="0002033F">
                  <w:rPr>
                    <w:sz w:val="16"/>
                    <w:szCs w:val="16"/>
                  </w:rPr>
                  <w:t>446,130,020</w:t>
                </w:r>
              </w:p>
            </w:tc>
            <w:tc>
              <w:tcPr>
                <w:tcW w:w="497" w:type="pct"/>
                <w:shd w:val="clear" w:color="auto" w:fill="auto"/>
              </w:tcPr>
              <w:p w:rsidR="00DF17C4" w:rsidRPr="0002033F" w:rsidRDefault="00DF17C4" w:rsidP="00B637B2">
                <w:pPr>
                  <w:ind w:right="73"/>
                  <w:jc w:val="right"/>
                  <w:rPr>
                    <w:sz w:val="16"/>
                    <w:szCs w:val="16"/>
                  </w:rPr>
                </w:pPr>
                <w:r w:rsidRPr="0002033F">
                  <w:rPr>
                    <w:sz w:val="16"/>
                    <w:szCs w:val="16"/>
                  </w:rPr>
                  <w:t>191,975,557</w:t>
                </w:r>
              </w:p>
            </w:tc>
            <w:tc>
              <w:tcPr>
                <w:tcW w:w="497" w:type="pct"/>
                <w:shd w:val="clear" w:color="auto" w:fill="auto"/>
              </w:tcPr>
              <w:p w:rsidR="00DF17C4" w:rsidRPr="0002033F" w:rsidRDefault="00DF17C4" w:rsidP="00B637B2">
                <w:pPr>
                  <w:ind w:right="73"/>
                  <w:jc w:val="right"/>
                  <w:rPr>
                    <w:sz w:val="16"/>
                    <w:szCs w:val="16"/>
                  </w:rPr>
                </w:pPr>
                <w:r w:rsidRPr="0002033F">
                  <w:rPr>
                    <w:sz w:val="16"/>
                    <w:szCs w:val="16"/>
                  </w:rPr>
                  <w:t>638,105,577</w:t>
                </w:r>
              </w:p>
            </w:tc>
            <w:tc>
              <w:tcPr>
                <w:tcW w:w="241" w:type="pct"/>
                <w:shd w:val="clear" w:color="auto" w:fill="auto"/>
              </w:tcPr>
              <w:p w:rsidR="00DF17C4" w:rsidRPr="0002033F" w:rsidRDefault="008F04CF" w:rsidP="00B637B2">
                <w:pPr>
                  <w:jc w:val="right"/>
                  <w:rPr>
                    <w:sz w:val="16"/>
                    <w:szCs w:val="16"/>
                  </w:rPr>
                </w:pPr>
                <w:r>
                  <w:rPr>
                    <w:rFonts w:hint="eastAsia"/>
                    <w:sz w:val="16"/>
                    <w:szCs w:val="16"/>
                  </w:rPr>
                  <w:t>-</w:t>
                </w:r>
              </w:p>
            </w:tc>
            <w:tc>
              <w:tcPr>
                <w:tcW w:w="274" w:type="pct"/>
              </w:tcPr>
              <w:p w:rsidR="00DF17C4" w:rsidRPr="0002033F" w:rsidRDefault="008F04CF" w:rsidP="00B637B2">
                <w:pPr>
                  <w:jc w:val="right"/>
                  <w:rPr>
                    <w:sz w:val="16"/>
                    <w:szCs w:val="16"/>
                  </w:rPr>
                </w:pPr>
                <w:r>
                  <w:rPr>
                    <w:rFonts w:hint="eastAsia"/>
                    <w:sz w:val="16"/>
                    <w:szCs w:val="16"/>
                  </w:rPr>
                  <w:t>-</w:t>
                </w:r>
              </w:p>
            </w:tc>
            <w:tc>
              <w:tcPr>
                <w:tcW w:w="273" w:type="pct"/>
                <w:shd w:val="clear" w:color="auto" w:fill="auto"/>
              </w:tcPr>
              <w:p w:rsidR="00DF17C4" w:rsidRPr="0002033F" w:rsidRDefault="00DF17C4" w:rsidP="00B637B2">
                <w:pPr>
                  <w:ind w:right="174"/>
                  <w:jc w:val="right"/>
                  <w:rPr>
                    <w:sz w:val="16"/>
                    <w:szCs w:val="16"/>
                  </w:rPr>
                </w:pPr>
                <w:r w:rsidRPr="0002033F">
                  <w:rPr>
                    <w:sz w:val="16"/>
                    <w:szCs w:val="16"/>
                  </w:rPr>
                  <w:t>/</w:t>
                </w:r>
              </w:p>
            </w:tc>
            <w:tc>
              <w:tcPr>
                <w:tcW w:w="275" w:type="pct"/>
                <w:shd w:val="clear" w:color="auto" w:fill="auto"/>
              </w:tcPr>
              <w:p w:rsidR="00DF17C4" w:rsidRPr="0002033F" w:rsidRDefault="00DF17C4" w:rsidP="00B637B2">
                <w:pPr>
                  <w:ind w:right="174"/>
                  <w:jc w:val="right"/>
                  <w:rPr>
                    <w:sz w:val="16"/>
                    <w:szCs w:val="16"/>
                  </w:rPr>
                </w:pPr>
                <w:r w:rsidRPr="0002033F">
                  <w:rPr>
                    <w:sz w:val="16"/>
                    <w:szCs w:val="16"/>
                  </w:rPr>
                  <w:t>/</w:t>
                </w:r>
              </w:p>
            </w:tc>
            <w:tc>
              <w:tcPr>
                <w:tcW w:w="461" w:type="pct"/>
                <w:shd w:val="clear" w:color="auto" w:fill="auto"/>
              </w:tcPr>
              <w:p w:rsidR="00DF17C4" w:rsidRPr="0002033F" w:rsidRDefault="008F04CF" w:rsidP="00B637B2">
                <w:pPr>
                  <w:jc w:val="right"/>
                  <w:rPr>
                    <w:sz w:val="16"/>
                    <w:szCs w:val="16"/>
                  </w:rPr>
                </w:pPr>
                <w:r w:rsidRPr="0002033F">
                  <w:rPr>
                    <w:sz w:val="16"/>
                    <w:szCs w:val="16"/>
                  </w:rPr>
                  <w:t>128,936,891</w:t>
                </w:r>
              </w:p>
            </w:tc>
            <w:tc>
              <w:tcPr>
                <w:tcW w:w="383" w:type="pct"/>
                <w:shd w:val="clear" w:color="auto" w:fill="auto"/>
              </w:tcPr>
              <w:p w:rsidR="00DF17C4" w:rsidRPr="0002033F" w:rsidRDefault="008F04CF" w:rsidP="00B637B2">
                <w:pPr>
                  <w:jc w:val="right"/>
                  <w:rPr>
                    <w:sz w:val="16"/>
                    <w:szCs w:val="16"/>
                  </w:rPr>
                </w:pPr>
                <w:r w:rsidRPr="0002033F">
                  <w:rPr>
                    <w:sz w:val="16"/>
                    <w:szCs w:val="16"/>
                  </w:rPr>
                  <w:t>4,433,333</w:t>
                </w:r>
              </w:p>
            </w:tc>
            <w:tc>
              <w:tcPr>
                <w:tcW w:w="226" w:type="pct"/>
                <w:shd w:val="clear" w:color="auto" w:fill="auto"/>
              </w:tcPr>
              <w:p w:rsidR="00DF17C4" w:rsidRPr="0002033F" w:rsidRDefault="00DF17C4" w:rsidP="00B637B2">
                <w:pPr>
                  <w:ind w:right="174"/>
                  <w:jc w:val="right"/>
                  <w:rPr>
                    <w:sz w:val="16"/>
                    <w:szCs w:val="16"/>
                  </w:rPr>
                </w:pPr>
                <w:r w:rsidRPr="0002033F">
                  <w:rPr>
                    <w:sz w:val="16"/>
                    <w:szCs w:val="16"/>
                  </w:rPr>
                  <w:t>/</w:t>
                </w:r>
              </w:p>
            </w:tc>
            <w:tc>
              <w:tcPr>
                <w:tcW w:w="416" w:type="pct"/>
                <w:shd w:val="clear" w:color="auto" w:fill="auto"/>
              </w:tcPr>
              <w:p w:rsidR="00DF17C4" w:rsidRPr="0002033F" w:rsidRDefault="00DF17C4" w:rsidP="005D774F">
                <w:pPr>
                  <w:ind w:right="174"/>
                  <w:jc w:val="center"/>
                  <w:rPr>
                    <w:sz w:val="16"/>
                    <w:szCs w:val="16"/>
                  </w:rPr>
                </w:pPr>
                <w:r w:rsidRPr="0002033F">
                  <w:rPr>
                    <w:sz w:val="16"/>
                    <w:szCs w:val="16"/>
                  </w:rPr>
                  <w:t>/</w:t>
                </w:r>
              </w:p>
            </w:tc>
          </w:tr>
        </w:tbl>
        <w:p w:rsidR="00DF17C4" w:rsidRDefault="00DF17C4"/>
        <w:p w:rsidR="00ED2DC7" w:rsidRDefault="000D0A99">
          <w:pPr>
            <w:snapToGrid w:val="0"/>
            <w:spacing w:line="240" w:lineRule="atLeast"/>
            <w:rPr>
              <w:szCs w:val="21"/>
            </w:rPr>
          </w:pPr>
        </w:p>
      </w:sdtContent>
    </w:sdt>
    <w:sdt>
      <w:sdtPr>
        <w:rPr>
          <w:rFonts w:ascii="宋体" w:hAnsi="宋体" w:cs="宋体" w:hint="eastAsia"/>
          <w:b w:val="0"/>
          <w:bCs w:val="0"/>
          <w:kern w:val="0"/>
          <w:szCs w:val="21"/>
        </w:rPr>
        <w:alias w:val="模块:在建工程减值准备"/>
        <w:tag w:val="_GBC_467986eee7244ad69e86a4292f121eb6"/>
        <w:id w:val="796417262"/>
        <w:lock w:val="sdtLocked"/>
        <w:placeholder>
          <w:docPart w:val="GBC22222222222222222222222222222"/>
        </w:placeholder>
      </w:sdtPr>
      <w:sdtEndPr>
        <w:rPr>
          <w:rFonts w:asciiTheme="minorHAnsi" w:hAnsiTheme="minorHAnsi" w:cstheme="minorBidi"/>
          <w:kern w:val="2"/>
          <w:szCs w:val="22"/>
        </w:rPr>
      </w:sdtEndPr>
      <w:sdtContent>
        <w:p w:rsidR="00ED2DC7" w:rsidRDefault="00ED2DC7" w:rsidP="00036BDC">
          <w:pPr>
            <w:pStyle w:val="affffffffffffffffff2"/>
            <w:numPr>
              <w:ilvl w:val="0"/>
              <w:numId w:val="63"/>
            </w:numPr>
            <w:tabs>
              <w:tab w:val="left" w:pos="588"/>
            </w:tabs>
            <w:rPr>
              <w:rFonts w:ascii="宋体" w:hAnsi="宋体"/>
              <w:szCs w:val="21"/>
            </w:rPr>
          </w:pPr>
          <w:r>
            <w:rPr>
              <w:rFonts w:ascii="宋体" w:hAnsi="宋体" w:hint="eastAsia"/>
              <w:szCs w:val="21"/>
            </w:rPr>
            <w:t>本期计提在建工程减值准备情况</w:t>
          </w:r>
        </w:p>
        <w:sdt>
          <w:sdtPr>
            <w:alias w:val="是否适用：本期计提在建工程减值准备情况[双击切换]"/>
            <w:tag w:val="_GBC_b220fd94287f4b01997861dc2c72b0a6"/>
            <w:id w:val="-626313993"/>
            <w:lock w:val="sdtContentLocked"/>
            <w:placeholder>
              <w:docPart w:val="GBC22222222222222222222222222222"/>
            </w:placeholder>
          </w:sdtPr>
          <w:sdtContent>
            <w:p w:rsidR="00ED2DC7" w:rsidRDefault="00ED2DC7" w:rsidP="005451E3">
              <w:r>
                <w:fldChar w:fldCharType="begin"/>
              </w:r>
              <w:r w:rsidR="005451E3">
                <w:instrText xml:space="preserve"> MACROBUTTON  SnrToggleCheckbox □适用 </w:instrText>
              </w:r>
              <w:r>
                <w:fldChar w:fldCharType="end"/>
              </w:r>
              <w:r>
                <w:fldChar w:fldCharType="begin"/>
              </w:r>
              <w:r w:rsidR="005451E3">
                <w:instrText xml:space="preserve"> MACROBUTTON  SnrToggleCheckbox √不适用 </w:instrText>
              </w:r>
              <w:r>
                <w:fldChar w:fldCharType="end"/>
              </w:r>
            </w:p>
          </w:sdtContent>
        </w:sdt>
      </w:sdtContent>
    </w:sdt>
    <w:sdt>
      <w:sdtPr>
        <w:rPr>
          <w:rFonts w:hint="eastAsia"/>
          <w:szCs w:val="21"/>
        </w:rPr>
        <w:alias w:val="模块:在建工程的说明"/>
        <w:tag w:val="_GBC_d5aec612c6334d1b8a827f3f39a2781d"/>
        <w:id w:val="-777946674"/>
        <w:lock w:val="sdtLocked"/>
        <w:placeholder>
          <w:docPart w:val="GBC22222222222222222222222222222"/>
        </w:placeholder>
      </w:sdtPr>
      <w:sdtEndPr>
        <w:rPr>
          <w:rFonts w:hint="default"/>
        </w:rPr>
      </w:sdtEndPr>
      <w:sdtContent>
        <w:p w:rsidR="00ED2DC7" w:rsidRDefault="00ED2DC7">
          <w:pPr>
            <w:rPr>
              <w:szCs w:val="21"/>
            </w:rPr>
          </w:pPr>
          <w:r>
            <w:rPr>
              <w:rFonts w:hint="eastAsia"/>
              <w:szCs w:val="21"/>
            </w:rPr>
            <w:t>其他说明</w:t>
          </w:r>
        </w:p>
        <w:sdt>
          <w:sdtPr>
            <w:rPr>
              <w:szCs w:val="21"/>
            </w:rPr>
            <w:alias w:val="是否适用：在建工程的说明[双击切换]"/>
            <w:tag w:val="_GBC_c0ffdfbb304348758da855627ba6d858"/>
            <w:id w:val="2099524298"/>
            <w:lock w:val="sdtContentLocked"/>
            <w:placeholder>
              <w:docPart w:val="GBC22222222222222222222222222222"/>
            </w:placeholder>
          </w:sdtPr>
          <w:sdtContent>
            <w:p w:rsidR="00ED2DC7" w:rsidRDefault="00ED2DC7" w:rsidP="005451E3">
              <w:pPr>
                <w:rPr>
                  <w:szCs w:val="21"/>
                </w:rPr>
              </w:pPr>
              <w:r>
                <w:rPr>
                  <w:szCs w:val="21"/>
                </w:rPr>
                <w:fldChar w:fldCharType="begin"/>
              </w:r>
              <w:r w:rsidR="005451E3">
                <w:rPr>
                  <w:szCs w:val="21"/>
                </w:rPr>
                <w:instrText xml:space="preserve"> MACROBUTTON  SnrToggleCheckbox □适用 </w:instrText>
              </w:r>
              <w:r>
                <w:rPr>
                  <w:szCs w:val="21"/>
                </w:rPr>
                <w:fldChar w:fldCharType="end"/>
              </w:r>
              <w:r>
                <w:rPr>
                  <w:szCs w:val="21"/>
                </w:rPr>
                <w:fldChar w:fldCharType="begin"/>
              </w:r>
              <w:r w:rsidR="005451E3">
                <w:rPr>
                  <w:szCs w:val="21"/>
                </w:rPr>
                <w:instrText xml:space="preserve"> MACROBUTTON  SnrToggleCheckbox √不适用 </w:instrText>
              </w:r>
              <w:r>
                <w:rPr>
                  <w:szCs w:val="21"/>
                </w:rPr>
                <w:fldChar w:fldCharType="end"/>
              </w:r>
            </w:p>
          </w:sdtContent>
        </w:sdt>
      </w:sdtContent>
    </w:sdt>
    <w:p w:rsidR="00ED2DC7" w:rsidRDefault="00ED2DC7">
      <w:pPr>
        <w:rPr>
          <w:szCs w:val="21"/>
        </w:rPr>
      </w:pPr>
    </w:p>
    <w:bookmarkStart w:id="156" w:name="_Hlk11683481" w:displacedByCustomXml="next"/>
    <w:sdt>
      <w:sdtPr>
        <w:rPr>
          <w:rFonts w:ascii="宋体" w:hAnsi="宋体" w:cstheme="minorBidi" w:hint="eastAsia"/>
          <w:b w:val="0"/>
          <w:bCs w:val="0"/>
          <w:kern w:val="0"/>
          <w:szCs w:val="24"/>
        </w:rPr>
        <w:alias w:val="模块:工程物资"/>
        <w:tag w:val="_GBC_12c2ea8f308b49c7b5e2baae867f1ec7"/>
        <w:id w:val="1075164468"/>
        <w:lock w:val="sdtLocked"/>
        <w:placeholder>
          <w:docPart w:val="GBC22222222222222222222222222222"/>
        </w:placeholder>
      </w:sdtPr>
      <w:sdtEndPr>
        <w:rPr>
          <w:rFonts w:hint="default"/>
          <w:szCs w:val="21"/>
        </w:rPr>
      </w:sdtEndPr>
      <w:sdtContent>
        <w:p w:rsidR="00ED2DC7" w:rsidRDefault="00ED2DC7">
          <w:pPr>
            <w:pStyle w:val="affffffffffffffffff2"/>
          </w:pPr>
          <w:r>
            <w:rPr>
              <w:rFonts w:hint="eastAsia"/>
            </w:rPr>
            <w:t>工程物资</w:t>
          </w:r>
        </w:p>
        <w:sdt>
          <w:sdtPr>
            <w:alias w:val="是否适用：工程物资[双击切换]"/>
            <w:tag w:val="_GBC_0d711628566c4b08b883151766986b20"/>
            <w:id w:val="1011961982"/>
            <w:lock w:val="sdtContentLocked"/>
            <w:placeholder>
              <w:docPart w:val="GBC22222222222222222222222222222"/>
            </w:placeholder>
          </w:sdtPr>
          <w:sdtContent>
            <w:p w:rsidR="005451E3" w:rsidRDefault="00ED2DC7" w:rsidP="005451E3">
              <w:r>
                <w:fldChar w:fldCharType="begin"/>
              </w:r>
              <w:r w:rsidR="005451E3">
                <w:instrText xml:space="preserve"> MACROBUTTON  SnrToggleCheckbox □适用 </w:instrText>
              </w:r>
              <w:r>
                <w:fldChar w:fldCharType="end"/>
              </w:r>
              <w:r>
                <w:fldChar w:fldCharType="begin"/>
              </w:r>
              <w:r w:rsidR="005451E3">
                <w:instrText xml:space="preserve"> MACROBUTTON  SnrToggleCheckbox √不适用 </w:instrText>
              </w:r>
              <w:r>
                <w:fldChar w:fldCharType="end"/>
              </w:r>
            </w:p>
          </w:sdtContent>
        </w:sdt>
        <w:p w:rsidR="00ED2DC7" w:rsidRDefault="000D0A99">
          <w:pPr>
            <w:rPr>
              <w:szCs w:val="21"/>
            </w:rPr>
          </w:pPr>
        </w:p>
      </w:sdtContent>
    </w:sdt>
    <w:bookmarkEnd w:id="156" w:displacedByCustomXml="prev"/>
    <w:p w:rsidR="00ED2DC7" w:rsidRDefault="00ED2DC7">
      <w:pPr>
        <w:rPr>
          <w:szCs w:val="21"/>
        </w:rPr>
      </w:pPr>
    </w:p>
    <w:p w:rsidR="00ED2DC7" w:rsidRDefault="00ED2DC7" w:rsidP="00036BDC">
      <w:pPr>
        <w:pStyle w:val="affffffffffffffffff1"/>
        <w:numPr>
          <w:ilvl w:val="0"/>
          <w:numId w:val="49"/>
        </w:numPr>
        <w:tabs>
          <w:tab w:val="left" w:pos="504"/>
        </w:tabs>
        <w:rPr>
          <w:rFonts w:ascii="宋体" w:hAnsi="宋体"/>
          <w:szCs w:val="21"/>
        </w:rPr>
      </w:pPr>
      <w:r>
        <w:rPr>
          <w:rFonts w:ascii="宋体" w:hAnsi="宋体" w:hint="eastAsia"/>
          <w:szCs w:val="21"/>
        </w:rPr>
        <w:t>生产性生物资产</w:t>
      </w:r>
    </w:p>
    <w:sdt>
      <w:sdtPr>
        <w:rPr>
          <w:rFonts w:ascii="宋体" w:hAnsi="宋体" w:cstheme="minorBidi" w:hint="eastAsia"/>
          <w:b w:val="0"/>
          <w:bCs w:val="0"/>
          <w:kern w:val="0"/>
          <w:szCs w:val="21"/>
        </w:rPr>
        <w:alias w:val="模块:采用成成本计量模式的生产性生物资产"/>
        <w:tag w:val="_GBC_e4aea5da03534f61818766a33b5ada09"/>
        <w:id w:val="-247423393"/>
        <w:lock w:val="sdtLocked"/>
        <w:placeholder>
          <w:docPart w:val="GBC22222222222222222222222222222"/>
        </w:placeholder>
      </w:sdtPr>
      <w:sdtEndPr>
        <w:rPr>
          <w:rFonts w:hint="default"/>
          <w:kern w:val="2"/>
        </w:rPr>
      </w:sdtEndPr>
      <w:sdtContent>
        <w:p w:rsidR="00ED2DC7" w:rsidRDefault="00ED2DC7" w:rsidP="00036BDC">
          <w:pPr>
            <w:pStyle w:val="affffffffffffffffff2"/>
            <w:numPr>
              <w:ilvl w:val="0"/>
              <w:numId w:val="64"/>
            </w:numPr>
            <w:tabs>
              <w:tab w:val="left" w:pos="602"/>
              <w:tab w:val="left" w:pos="798"/>
            </w:tabs>
            <w:rPr>
              <w:rFonts w:ascii="宋体" w:hAnsi="宋体"/>
              <w:kern w:val="0"/>
              <w:szCs w:val="21"/>
            </w:rPr>
          </w:pPr>
          <w:r>
            <w:rPr>
              <w:rFonts w:ascii="宋体" w:hAnsi="宋体" w:hint="eastAsia"/>
              <w:kern w:val="0"/>
              <w:szCs w:val="21"/>
            </w:rPr>
            <w:t>采用成本计量模式的生产性生物资产</w:t>
          </w:r>
        </w:p>
        <w:sdt>
          <w:sdtPr>
            <w:rPr>
              <w:rFonts w:hint="eastAsia"/>
              <w:szCs w:val="21"/>
            </w:rPr>
            <w:alias w:val="是否适用：财务附注：以成本计量的生产性生物资产[双击切换]"/>
            <w:tag w:val="_GBC_fca5101d9b46492484acd605f0ade969"/>
            <w:id w:val="-341012298"/>
            <w:lock w:val="sdtContentLocked"/>
            <w:placeholder>
              <w:docPart w:val="GBC22222222222222222222222222222"/>
            </w:placeholder>
          </w:sdtPr>
          <w:sdtContent>
            <w:p w:rsidR="00ED2DC7" w:rsidRDefault="00ED2DC7" w:rsidP="005451E3">
              <w:pPr>
                <w:rPr>
                  <w:szCs w:val="21"/>
                </w:rPr>
              </w:pPr>
              <w:r>
                <w:rPr>
                  <w:szCs w:val="21"/>
                </w:rPr>
                <w:fldChar w:fldCharType="begin"/>
              </w:r>
              <w:r w:rsidR="005451E3">
                <w:rPr>
                  <w:szCs w:val="21"/>
                </w:rPr>
                <w:instrText>MACROBUTTON  SnrToggleCheckbox □适用</w:instrText>
              </w:r>
              <w:r>
                <w:rPr>
                  <w:szCs w:val="21"/>
                </w:rPr>
                <w:fldChar w:fldCharType="end"/>
              </w:r>
              <w:r>
                <w:rPr>
                  <w:szCs w:val="21"/>
                </w:rPr>
                <w:fldChar w:fldCharType="begin"/>
              </w:r>
              <w:r w:rsidR="005451E3">
                <w:rPr>
                  <w:szCs w:val="21"/>
                </w:rPr>
                <w:instrText xml:space="preserve"> MACROBUTTON  SnrToggleCheckbox √不适用 </w:instrText>
              </w:r>
              <w:r>
                <w:rPr>
                  <w:szCs w:val="21"/>
                </w:rPr>
                <w:fldChar w:fldCharType="end"/>
              </w:r>
            </w:p>
          </w:sdtContent>
        </w:sdt>
      </w:sdtContent>
    </w:sdt>
    <w:sdt>
      <w:sdtPr>
        <w:rPr>
          <w:rFonts w:ascii="宋体" w:hAnsi="宋体" w:cstheme="minorBidi" w:hint="eastAsia"/>
          <w:b w:val="0"/>
          <w:bCs w:val="0"/>
          <w:kern w:val="0"/>
          <w:szCs w:val="21"/>
        </w:rPr>
        <w:alias w:val="模块:采用公允价值计量模式的生产性生物资产"/>
        <w:tag w:val="_GBC_c6f2d306944241a8a32f51421c437b66"/>
        <w:id w:val="1019344738"/>
        <w:lock w:val="sdtLocked"/>
        <w:placeholder>
          <w:docPart w:val="GBC22222222222222222222222222222"/>
        </w:placeholder>
      </w:sdtPr>
      <w:sdtEndPr>
        <w:rPr>
          <w:rFonts w:asciiTheme="minorHAnsi" w:hAnsiTheme="minorHAnsi"/>
          <w:kern w:val="2"/>
          <w:szCs w:val="22"/>
        </w:rPr>
      </w:sdtEndPr>
      <w:sdtContent>
        <w:p w:rsidR="00ED2DC7" w:rsidRDefault="00ED2DC7" w:rsidP="00036BDC">
          <w:pPr>
            <w:pStyle w:val="affffffffffffffffff2"/>
            <w:numPr>
              <w:ilvl w:val="0"/>
              <w:numId w:val="64"/>
            </w:numPr>
            <w:tabs>
              <w:tab w:val="left" w:pos="602"/>
              <w:tab w:val="left" w:pos="798"/>
            </w:tabs>
            <w:rPr>
              <w:rFonts w:ascii="宋体" w:hAnsi="宋体"/>
              <w:kern w:val="0"/>
              <w:szCs w:val="21"/>
            </w:rPr>
          </w:pPr>
          <w:r>
            <w:rPr>
              <w:rFonts w:ascii="宋体" w:hAnsi="宋体" w:hint="eastAsia"/>
              <w:kern w:val="0"/>
              <w:szCs w:val="21"/>
            </w:rPr>
            <w:t>采用公允价值计量模式的生产性生物资产</w:t>
          </w:r>
        </w:p>
        <w:sdt>
          <w:sdtPr>
            <w:rPr>
              <w:szCs w:val="21"/>
            </w:rPr>
            <w:alias w:val="是否适用：财务附注：以公允价值计量的生产性生物资产[双击切换]"/>
            <w:tag w:val="_GBC_3a67921e606f4abca6478a1ffb759394"/>
            <w:id w:val="-191148941"/>
            <w:lock w:val="sdtContentLocked"/>
            <w:placeholder>
              <w:docPart w:val="GBC22222222222222222222222222222"/>
            </w:placeholder>
          </w:sdtPr>
          <w:sdtContent>
            <w:p w:rsidR="00ED2DC7" w:rsidRDefault="00ED2DC7" w:rsidP="009C3DC4">
              <w:r>
                <w:rPr>
                  <w:szCs w:val="21"/>
                </w:rPr>
                <w:fldChar w:fldCharType="begin"/>
              </w:r>
              <w:r w:rsidR="009C3DC4">
                <w:rPr>
                  <w:szCs w:val="21"/>
                </w:rPr>
                <w:instrText xml:space="preserve"> MACROBUTTON  SnrToggleCheckbox □适用 </w:instrText>
              </w:r>
              <w:r>
                <w:rPr>
                  <w:szCs w:val="21"/>
                </w:rPr>
                <w:fldChar w:fldCharType="end"/>
              </w:r>
              <w:r>
                <w:rPr>
                  <w:szCs w:val="21"/>
                </w:rPr>
                <w:fldChar w:fldCharType="begin"/>
              </w:r>
              <w:r w:rsidR="009C3DC4">
                <w:rPr>
                  <w:szCs w:val="21"/>
                </w:rPr>
                <w:instrText xml:space="preserve"> MACROBUTTON  SnrToggleCheckbox √不适用 </w:instrText>
              </w:r>
              <w:r>
                <w:rPr>
                  <w:szCs w:val="21"/>
                </w:rPr>
                <w:fldChar w:fldCharType="end"/>
              </w:r>
            </w:p>
          </w:sdtContent>
        </w:sdt>
      </w:sdtContent>
    </w:sdt>
    <w:sdt>
      <w:sdtPr>
        <w:rPr>
          <w:rFonts w:hint="eastAsia"/>
          <w:szCs w:val="21"/>
        </w:rPr>
        <w:alias w:val="模块:生产性生物资产的说明"/>
        <w:tag w:val="_GBC_2bc189a19173429a899369a340bb8483"/>
        <w:id w:val="11117780"/>
        <w:lock w:val="sdtLocked"/>
        <w:placeholder>
          <w:docPart w:val="GBC22222222222222222222222222222"/>
        </w:placeholder>
      </w:sdtPr>
      <w:sdtEndPr>
        <w:rPr>
          <w:rFonts w:hint="default"/>
        </w:rPr>
      </w:sdtEndPr>
      <w:sdtContent>
        <w:p w:rsidR="00ED2DC7" w:rsidRDefault="00ED2DC7">
          <w:pPr>
            <w:autoSpaceDE w:val="0"/>
            <w:autoSpaceDN w:val="0"/>
            <w:adjustRightInd w:val="0"/>
            <w:rPr>
              <w:szCs w:val="21"/>
            </w:rPr>
          </w:pPr>
          <w:r>
            <w:rPr>
              <w:rFonts w:hint="eastAsia"/>
              <w:szCs w:val="21"/>
            </w:rPr>
            <w:t>其他说明</w:t>
          </w:r>
        </w:p>
        <w:sdt>
          <w:sdtPr>
            <w:rPr>
              <w:szCs w:val="21"/>
            </w:rPr>
            <w:alias w:val="是否适用：生产性生物资产的说明[双击切换]"/>
            <w:tag w:val="_GBC_48247874e2c54937aabce9db1308bea7"/>
            <w:id w:val="-395819205"/>
            <w:lock w:val="sdtContentLocked"/>
            <w:placeholder>
              <w:docPart w:val="GBC22222222222222222222222222222"/>
            </w:placeholder>
          </w:sdtPr>
          <w:sdtContent>
            <w:p w:rsidR="00ED2DC7" w:rsidRDefault="00ED2DC7" w:rsidP="00392D33">
              <w:pPr>
                <w:autoSpaceDE w:val="0"/>
                <w:autoSpaceDN w:val="0"/>
                <w:adjustRightInd w:val="0"/>
                <w:rPr>
                  <w:szCs w:val="21"/>
                </w:rPr>
              </w:pPr>
              <w:r>
                <w:rPr>
                  <w:szCs w:val="21"/>
                </w:rPr>
                <w:fldChar w:fldCharType="begin"/>
              </w:r>
              <w:r w:rsidR="00392D33">
                <w:rPr>
                  <w:szCs w:val="21"/>
                </w:rPr>
                <w:instrText xml:space="preserve"> MACROBUTTON  SnrToggleCheckbox □适用 </w:instrText>
              </w:r>
              <w:r>
                <w:rPr>
                  <w:szCs w:val="21"/>
                </w:rPr>
                <w:fldChar w:fldCharType="end"/>
              </w:r>
              <w:r>
                <w:rPr>
                  <w:szCs w:val="21"/>
                </w:rPr>
                <w:fldChar w:fldCharType="begin"/>
              </w:r>
              <w:r w:rsidR="00392D33">
                <w:rPr>
                  <w:szCs w:val="21"/>
                </w:rPr>
                <w:instrText xml:space="preserve"> MACROBUTTON  SnrToggleCheckbox √不适用 </w:instrText>
              </w:r>
              <w:r>
                <w:rPr>
                  <w:szCs w:val="21"/>
                </w:rPr>
                <w:fldChar w:fldCharType="end"/>
              </w:r>
            </w:p>
          </w:sdtContent>
        </w:sdt>
      </w:sdtContent>
    </w:sdt>
    <w:p w:rsidR="00ED2DC7" w:rsidRDefault="00ED2DC7">
      <w:pPr>
        <w:rPr>
          <w:szCs w:val="21"/>
        </w:rPr>
      </w:pPr>
    </w:p>
    <w:sdt>
      <w:sdtPr>
        <w:rPr>
          <w:rFonts w:ascii="宋体" w:hAnsi="宋体" w:cs="宋体" w:hint="eastAsia"/>
          <w:b w:val="0"/>
          <w:bCs w:val="0"/>
          <w:kern w:val="0"/>
          <w:szCs w:val="21"/>
        </w:rPr>
        <w:alias w:val="模块:油气资产"/>
        <w:tag w:val="_GBC_fe60430654f541aab1da59bd08202085"/>
        <w:id w:val="237600975"/>
        <w:lock w:val="sdtLocked"/>
        <w:placeholder>
          <w:docPart w:val="GBC22222222222222222222222222222"/>
        </w:placeholder>
      </w:sdtPr>
      <w:sdtEndPr>
        <w:rPr>
          <w:rFonts w:cstheme="minorBidi" w:hint="default"/>
          <w:kern w:val="2"/>
        </w:rPr>
      </w:sdtEndPr>
      <w:sdtContent>
        <w:p w:rsidR="00ED2DC7" w:rsidRDefault="00ED2DC7" w:rsidP="00036BDC">
          <w:pPr>
            <w:pStyle w:val="affffffffffffffffff1"/>
            <w:numPr>
              <w:ilvl w:val="0"/>
              <w:numId w:val="49"/>
            </w:numPr>
            <w:tabs>
              <w:tab w:val="left" w:pos="504"/>
            </w:tabs>
            <w:rPr>
              <w:rFonts w:ascii="宋体" w:hAnsi="宋体"/>
              <w:szCs w:val="21"/>
            </w:rPr>
          </w:pPr>
          <w:r>
            <w:rPr>
              <w:rFonts w:ascii="宋体" w:hAnsi="宋体" w:hint="eastAsia"/>
              <w:szCs w:val="21"/>
            </w:rPr>
            <w:t>油气资产</w:t>
          </w:r>
        </w:p>
        <w:sdt>
          <w:sdtPr>
            <w:alias w:val="是否适用：油气资产[双击切换]"/>
            <w:tag w:val="_GBC_7dce41817eb749dba0d132424020d250"/>
            <w:id w:val="-1203935866"/>
            <w:lock w:val="sdtContentLocked"/>
            <w:placeholder>
              <w:docPart w:val="GBC22222222222222222222222222222"/>
            </w:placeholder>
          </w:sdtPr>
          <w:sdtContent>
            <w:p w:rsidR="00392D33" w:rsidRDefault="00ED2DC7" w:rsidP="00392D33">
              <w:r>
                <w:fldChar w:fldCharType="begin"/>
              </w:r>
              <w:r w:rsidR="00392D33">
                <w:instrText xml:space="preserve"> MACROBUTTON  SnrToggleCheckbox □适用 </w:instrText>
              </w:r>
              <w:r>
                <w:fldChar w:fldCharType="end"/>
              </w:r>
              <w:r>
                <w:fldChar w:fldCharType="begin"/>
              </w:r>
              <w:r w:rsidR="00392D33">
                <w:instrText xml:space="preserve"> MACROBUTTON  SnrToggleCheckbox √不适用 </w:instrText>
              </w:r>
              <w:r>
                <w:fldChar w:fldCharType="end"/>
              </w:r>
            </w:p>
          </w:sdtContent>
        </w:sdt>
        <w:p w:rsidR="00ED2DC7" w:rsidRDefault="000D0A99">
          <w:pPr>
            <w:autoSpaceDE w:val="0"/>
            <w:autoSpaceDN w:val="0"/>
            <w:adjustRightInd w:val="0"/>
            <w:rPr>
              <w:szCs w:val="21"/>
            </w:rPr>
          </w:pPr>
        </w:p>
      </w:sdtContent>
    </w:sdt>
    <w:p w:rsidR="00ED2DC7" w:rsidRDefault="00ED2DC7">
      <w:pPr>
        <w:rPr>
          <w:szCs w:val="21"/>
        </w:rPr>
      </w:pPr>
    </w:p>
    <w:sdt>
      <w:sdtPr>
        <w:rPr>
          <w:rFonts w:ascii="宋体" w:hAnsi="宋体" w:cs="宋体" w:hint="eastAsia"/>
          <w:b w:val="0"/>
          <w:bCs w:val="0"/>
          <w:kern w:val="0"/>
          <w:szCs w:val="21"/>
        </w:rPr>
        <w:alias w:val="模块:使用权资产"/>
        <w:tag w:val="_SEC_42126bf96c7241e38ff33aae0d98dae2"/>
        <w:id w:val="425314879"/>
        <w:lock w:val="sdtLocked"/>
        <w:placeholder>
          <w:docPart w:val="GBC22222222222222222222222222222"/>
        </w:placeholder>
      </w:sdtPr>
      <w:sdtEndPr>
        <w:rPr>
          <w:szCs w:val="24"/>
        </w:rPr>
      </w:sdtEndPr>
      <w:sdtContent>
        <w:p w:rsidR="00ED2DC7" w:rsidRDefault="00ED2DC7" w:rsidP="00036BDC">
          <w:pPr>
            <w:pStyle w:val="affffffffffffffffff1"/>
            <w:numPr>
              <w:ilvl w:val="0"/>
              <w:numId w:val="49"/>
            </w:numPr>
            <w:tabs>
              <w:tab w:val="left" w:pos="504"/>
            </w:tabs>
            <w:rPr>
              <w:szCs w:val="21"/>
            </w:rPr>
          </w:pPr>
          <w:r>
            <w:rPr>
              <w:rFonts w:hint="eastAsia"/>
              <w:szCs w:val="21"/>
            </w:rPr>
            <w:t>使用权资产</w:t>
          </w:r>
        </w:p>
        <w:bookmarkStart w:id="157" w:name="_Hlk11679747" w:displacedByCustomXml="next"/>
        <w:sdt>
          <w:sdtPr>
            <w:alias w:val="是否适用：使用权资产[双击切换]"/>
            <w:tag w:val="_GBC_3ac132175b304712af4889ae3914ef7d"/>
            <w:id w:val="-376249091"/>
            <w:lock w:val="sdtContentLocked"/>
            <w:placeholder>
              <w:docPart w:val="GBC22222222222222222222222222222"/>
            </w:placeholder>
          </w:sdtPr>
          <w:sdtContent>
            <w:p w:rsidR="00FD6261" w:rsidRDefault="00ED2DC7" w:rsidP="00FD6261">
              <w:r>
                <w:fldChar w:fldCharType="begin"/>
              </w:r>
              <w:r w:rsidR="00FD6261">
                <w:instrText xml:space="preserve"> MACROBUTTON  SnrToggleCheckbox □适用 </w:instrText>
              </w:r>
              <w:r>
                <w:fldChar w:fldCharType="end"/>
              </w:r>
              <w:r>
                <w:fldChar w:fldCharType="begin"/>
              </w:r>
              <w:r w:rsidR="00FD6261">
                <w:instrText xml:space="preserve"> MACROBUTTON  SnrToggleCheckbox √不适用 </w:instrText>
              </w:r>
              <w:r>
                <w:fldChar w:fldCharType="end"/>
              </w:r>
            </w:p>
          </w:sdtContent>
        </w:sdt>
        <w:p w:rsidR="00ED2DC7" w:rsidRDefault="000D0A99"/>
      </w:sdtContent>
    </w:sdt>
    <w:bookmarkEnd w:id="157"/>
    <w:p w:rsidR="00ED2DC7" w:rsidRDefault="00ED2DC7">
      <w:pPr>
        <w:rPr>
          <w:szCs w:val="21"/>
        </w:rPr>
      </w:pPr>
    </w:p>
    <w:p w:rsidR="00ED2DC7" w:rsidRDefault="00ED2DC7" w:rsidP="00036BDC">
      <w:pPr>
        <w:pStyle w:val="affffffffffffffffff1"/>
        <w:numPr>
          <w:ilvl w:val="0"/>
          <w:numId w:val="49"/>
        </w:numPr>
        <w:tabs>
          <w:tab w:val="left" w:pos="504"/>
        </w:tabs>
        <w:rPr>
          <w:rFonts w:ascii="宋体" w:hAnsi="宋体"/>
          <w:szCs w:val="21"/>
        </w:rPr>
      </w:pPr>
      <w:r>
        <w:rPr>
          <w:rFonts w:ascii="宋体" w:hAnsi="宋体" w:hint="eastAsia"/>
          <w:szCs w:val="21"/>
        </w:rPr>
        <w:t>无形资产</w:t>
      </w:r>
    </w:p>
    <w:p w:rsidR="00ED2DC7" w:rsidRDefault="00ED2DC7" w:rsidP="00036BDC">
      <w:pPr>
        <w:pStyle w:val="affffffffffffffffff2"/>
        <w:numPr>
          <w:ilvl w:val="0"/>
          <w:numId w:val="65"/>
        </w:numPr>
        <w:tabs>
          <w:tab w:val="left" w:pos="602"/>
        </w:tabs>
        <w:rPr>
          <w:rFonts w:ascii="宋体" w:hAnsi="宋体"/>
          <w:szCs w:val="21"/>
        </w:rPr>
      </w:pPr>
      <w:r>
        <w:rPr>
          <w:rFonts w:ascii="宋体" w:hAnsi="宋体" w:hint="eastAsia"/>
          <w:szCs w:val="21"/>
        </w:rPr>
        <w:t>无形资产情况</w:t>
      </w:r>
    </w:p>
    <w:p w:rsidR="00ED2DC7" w:rsidRDefault="000D0A99">
      <w:sdt>
        <w:sdtPr>
          <w:rPr>
            <w:rFonts w:hint="eastAsia"/>
          </w:rPr>
          <w:alias w:val="是否适用：无形资产情况[双击切换]"/>
          <w:tag w:val="_GBC_0882d05501f84259b91efc5f2eae98cf"/>
          <w:id w:val="1004707703"/>
          <w:lock w:val="sdtContentLocked"/>
          <w:placeholder>
            <w:docPart w:val="GBC22222222222222222222222222222"/>
          </w:placeholder>
        </w:sdtPr>
        <w:sdtContent>
          <w:r w:rsidR="00ED2DC7">
            <w:fldChar w:fldCharType="begin"/>
          </w:r>
          <w:r w:rsidR="00392D33">
            <w:instrText xml:space="preserve"> MACROBUTTON  SnrToggleCheckbox √适用 </w:instrText>
          </w:r>
          <w:r w:rsidR="00ED2DC7">
            <w:fldChar w:fldCharType="end"/>
          </w:r>
          <w:r w:rsidR="00ED2DC7">
            <w:fldChar w:fldCharType="begin"/>
          </w:r>
          <w:r w:rsidR="00392D33">
            <w:instrText xml:space="preserve"> MACROBUTTON  SnrToggleCheckbox □不适用 </w:instrText>
          </w:r>
          <w:r w:rsidR="00ED2DC7">
            <w:fldChar w:fldCharType="end"/>
          </w:r>
        </w:sdtContent>
      </w:sdt>
    </w:p>
    <w:sdt>
      <w:sdtPr>
        <w:rPr>
          <w:rFonts w:hint="eastAsia"/>
          <w:b/>
          <w:bCs/>
          <w:szCs w:val="21"/>
        </w:rPr>
        <w:alias w:val="模块:无形资产情况"/>
        <w:tag w:val="_GBC_799ffdb131784d33a2db94a85018c927"/>
        <w:id w:val="306290807"/>
        <w:lock w:val="sdtLocked"/>
        <w:placeholder>
          <w:docPart w:val="GBC22222222222222222222222222222"/>
        </w:placeholder>
      </w:sdtPr>
      <w:sdtEndPr>
        <w:rPr>
          <w:rFonts w:hint="default"/>
          <w:b w:val="0"/>
          <w:bCs w:val="0"/>
        </w:rPr>
      </w:sdtEndPr>
      <w:sdtContent>
        <w:p w:rsidR="00ED2DC7" w:rsidRDefault="00ED2DC7">
          <w:pPr>
            <w:snapToGrid w:val="0"/>
            <w:spacing w:line="240" w:lineRule="atLeast"/>
            <w:jc w:val="right"/>
            <w:rPr>
              <w:szCs w:val="21"/>
            </w:rPr>
          </w:pPr>
          <w:r>
            <w:rPr>
              <w:rFonts w:hint="eastAsia"/>
              <w:szCs w:val="21"/>
            </w:rPr>
            <w:t>单位：</w:t>
          </w:r>
          <w:sdt>
            <w:sdtPr>
              <w:rPr>
                <w:rFonts w:hint="eastAsia"/>
                <w:szCs w:val="21"/>
              </w:rPr>
              <w:alias w:val="单位：财务附注：无形资产情况"/>
              <w:tag w:val="_GBC_e04514c8858e489490302ba7c2e1448a"/>
              <w:id w:val="-538582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hint="eastAsia"/>
                  <w:szCs w:val="21"/>
                </w:rPr>
                <w:t>元</w:t>
              </w:r>
            </w:sdtContent>
          </w:sdt>
          <w:r>
            <w:rPr>
              <w:rFonts w:hint="eastAsia"/>
              <w:szCs w:val="21"/>
            </w:rPr>
            <w:t xml:space="preserve">  币种：</w:t>
          </w:r>
          <w:sdt>
            <w:sdtPr>
              <w:rPr>
                <w:rFonts w:hint="eastAsia"/>
                <w:szCs w:val="21"/>
              </w:rPr>
              <w:alias w:val="币种：财务附注：无形资产情况"/>
              <w:tag w:val="_GBC_5ac7324577934f838e3655199c980c1c"/>
              <w:id w:val="18340231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szCs w:val="21"/>
                </w:rPr>
                <w:t>人民币</w:t>
              </w:r>
            </w:sdtContent>
          </w:sdt>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3"/>
            <w:gridCol w:w="1371"/>
            <w:gridCol w:w="1211"/>
            <w:gridCol w:w="1581"/>
            <w:gridCol w:w="1266"/>
            <w:gridCol w:w="1581"/>
          </w:tblGrid>
          <w:tr w:rsidR="006E65ED" w:rsidTr="005D774F">
            <w:trPr>
              <w:trHeight w:val="284"/>
            </w:trPr>
            <w:sdt>
              <w:sdtPr>
                <w:tag w:val="_PLD_16e062da10ef4301a1526b8633f88a31"/>
                <w:id w:val="-839390946"/>
                <w:lock w:val="sdtLocked"/>
              </w:sdtPr>
              <w:sdtContent>
                <w:tc>
                  <w:tcPr>
                    <w:tcW w:w="1027" w:type="pct"/>
                    <w:shd w:val="clear" w:color="auto" w:fill="auto"/>
                    <w:vAlign w:val="center"/>
                  </w:tcPr>
                  <w:p w:rsidR="006E65ED" w:rsidRDefault="006E65ED" w:rsidP="005D774F">
                    <w:pPr>
                      <w:jc w:val="center"/>
                      <w:rPr>
                        <w:szCs w:val="21"/>
                      </w:rPr>
                    </w:pPr>
                    <w:r>
                      <w:rPr>
                        <w:rFonts w:hint="eastAsia"/>
                        <w:szCs w:val="21"/>
                      </w:rPr>
                      <w:t>项目</w:t>
                    </w:r>
                  </w:p>
                </w:tc>
              </w:sdtContent>
            </w:sdt>
            <w:sdt>
              <w:sdtPr>
                <w:tag w:val="_PLD_8b465b50cb10415c8931fdb66ee29ca3"/>
                <w:id w:val="2119179528"/>
                <w:lock w:val="sdtLocked"/>
              </w:sdtPr>
              <w:sdtContent>
                <w:tc>
                  <w:tcPr>
                    <w:tcW w:w="777" w:type="pct"/>
                    <w:shd w:val="clear" w:color="auto" w:fill="auto"/>
                    <w:vAlign w:val="center"/>
                  </w:tcPr>
                  <w:p w:rsidR="006E65ED" w:rsidRDefault="006E65ED" w:rsidP="005D774F">
                    <w:pPr>
                      <w:jc w:val="center"/>
                      <w:rPr>
                        <w:szCs w:val="21"/>
                      </w:rPr>
                    </w:pPr>
                    <w:r>
                      <w:rPr>
                        <w:rFonts w:hint="eastAsia"/>
                        <w:szCs w:val="21"/>
                      </w:rPr>
                      <w:t>土地使用权</w:t>
                    </w:r>
                  </w:p>
                </w:tc>
              </w:sdtContent>
            </w:sdt>
            <w:sdt>
              <w:sdtPr>
                <w:tag w:val="_PLD_55a0c34977f7438f8a4e60b2ec43e654"/>
                <w:id w:val="93214862"/>
                <w:lock w:val="sdtLocked"/>
              </w:sdtPr>
              <w:sdtContent>
                <w:tc>
                  <w:tcPr>
                    <w:tcW w:w="686" w:type="pct"/>
                    <w:shd w:val="clear" w:color="auto" w:fill="auto"/>
                    <w:vAlign w:val="center"/>
                  </w:tcPr>
                  <w:p w:rsidR="006E65ED" w:rsidRDefault="006E65ED" w:rsidP="005D774F">
                    <w:pPr>
                      <w:jc w:val="center"/>
                      <w:rPr>
                        <w:szCs w:val="21"/>
                      </w:rPr>
                    </w:pPr>
                    <w:r>
                      <w:rPr>
                        <w:rFonts w:hint="eastAsia"/>
                        <w:szCs w:val="21"/>
                      </w:rPr>
                      <w:t>专利权</w:t>
                    </w:r>
                  </w:p>
                </w:tc>
              </w:sdtContent>
            </w:sdt>
            <w:sdt>
              <w:sdtPr>
                <w:tag w:val="_PLD_624f8e9465f646f5a305cf5fc59a830c"/>
                <w:id w:val="-1579666655"/>
                <w:lock w:val="sdtLocked"/>
              </w:sdtPr>
              <w:sdtContent>
                <w:tc>
                  <w:tcPr>
                    <w:tcW w:w="896" w:type="pct"/>
                    <w:shd w:val="clear" w:color="auto" w:fill="auto"/>
                    <w:vAlign w:val="center"/>
                  </w:tcPr>
                  <w:p w:rsidR="006E65ED" w:rsidRDefault="006E65ED" w:rsidP="005D774F">
                    <w:pPr>
                      <w:jc w:val="center"/>
                      <w:rPr>
                        <w:szCs w:val="21"/>
                      </w:rPr>
                    </w:pPr>
                    <w:r>
                      <w:rPr>
                        <w:rFonts w:hint="eastAsia"/>
                        <w:szCs w:val="21"/>
                      </w:rPr>
                      <w:t>非专利技术</w:t>
                    </w:r>
                  </w:p>
                </w:tc>
              </w:sdtContent>
            </w:sdt>
            <w:sdt>
              <w:sdtPr>
                <w:rPr>
                  <w:szCs w:val="21"/>
                </w:rPr>
                <w:alias w:val="无形资产明细－项目"/>
                <w:tag w:val="_GBC_ee2531f58c0a420e83919cd1efe46139"/>
                <w:id w:val="-717432986"/>
                <w:lock w:val="sdtLocked"/>
              </w:sdtPr>
              <w:sdtEndPr>
                <w:rPr>
                  <w:rFonts w:hint="eastAsia"/>
                </w:rPr>
              </w:sdtEndPr>
              <w:sdtContent>
                <w:tc>
                  <w:tcPr>
                    <w:tcW w:w="717" w:type="pct"/>
                    <w:shd w:val="clear" w:color="auto" w:fill="auto"/>
                    <w:vAlign w:val="center"/>
                  </w:tcPr>
                  <w:p w:rsidR="006E65ED" w:rsidRDefault="006E65ED" w:rsidP="005D774F">
                    <w:pPr>
                      <w:jc w:val="center"/>
                      <w:rPr>
                        <w:szCs w:val="21"/>
                      </w:rPr>
                    </w:pPr>
                    <w:r w:rsidRPr="00312E36">
                      <w:rPr>
                        <w:rFonts w:hint="eastAsia"/>
                        <w:szCs w:val="21"/>
                      </w:rPr>
                      <w:t>其他</w:t>
                    </w:r>
                  </w:p>
                </w:tc>
              </w:sdtContent>
            </w:sdt>
            <w:sdt>
              <w:sdtPr>
                <w:tag w:val="_PLD_57620ddc57e34012a99d49f2280a99e2"/>
                <w:id w:val="-814417266"/>
                <w:lock w:val="sdtLocked"/>
              </w:sdtPr>
              <w:sdtContent>
                <w:tc>
                  <w:tcPr>
                    <w:tcW w:w="896" w:type="pct"/>
                    <w:shd w:val="clear" w:color="auto" w:fill="auto"/>
                    <w:vAlign w:val="center"/>
                  </w:tcPr>
                  <w:p w:rsidR="006E65ED" w:rsidRDefault="006E65ED" w:rsidP="005D774F">
                    <w:pPr>
                      <w:jc w:val="center"/>
                      <w:rPr>
                        <w:szCs w:val="21"/>
                      </w:rPr>
                    </w:pPr>
                    <w:r>
                      <w:rPr>
                        <w:szCs w:val="21"/>
                      </w:rPr>
                      <w:t>合计</w:t>
                    </w:r>
                  </w:p>
                </w:tc>
              </w:sdtContent>
            </w:sdt>
          </w:tr>
          <w:tr w:rsidR="006E65ED" w:rsidTr="00B637B2">
            <w:trPr>
              <w:trHeight w:val="284"/>
            </w:trPr>
            <w:sdt>
              <w:sdtPr>
                <w:tag w:val="_PLD_97ce5956782c457c89e9607c943b01d4"/>
                <w:id w:val="-1917083070"/>
                <w:lock w:val="sdtLocked"/>
              </w:sdtPr>
              <w:sdtContent>
                <w:tc>
                  <w:tcPr>
                    <w:tcW w:w="1027" w:type="pct"/>
                    <w:shd w:val="clear" w:color="auto" w:fill="auto"/>
                    <w:vAlign w:val="center"/>
                  </w:tcPr>
                  <w:p w:rsidR="006E65ED" w:rsidRDefault="006E65ED" w:rsidP="005D774F">
                    <w:pPr>
                      <w:rPr>
                        <w:szCs w:val="21"/>
                      </w:rPr>
                    </w:pPr>
                    <w:r>
                      <w:rPr>
                        <w:szCs w:val="21"/>
                      </w:rPr>
                      <w:t>一、</w:t>
                    </w:r>
                    <w:r>
                      <w:rPr>
                        <w:rFonts w:hint="eastAsia"/>
                        <w:szCs w:val="21"/>
                      </w:rPr>
                      <w:t>账面原值</w:t>
                    </w:r>
                  </w:p>
                </w:tc>
              </w:sdtContent>
            </w:sdt>
            <w:tc>
              <w:tcPr>
                <w:tcW w:w="777" w:type="pct"/>
                <w:shd w:val="clear" w:color="auto" w:fill="auto"/>
                <w:vAlign w:val="center"/>
              </w:tcPr>
              <w:p w:rsidR="006E65ED" w:rsidRDefault="006E65ED" w:rsidP="00B637B2">
                <w:pPr>
                  <w:jc w:val="right"/>
                  <w:rPr>
                    <w:szCs w:val="21"/>
                  </w:rPr>
                </w:pPr>
              </w:p>
            </w:tc>
            <w:tc>
              <w:tcPr>
                <w:tcW w:w="686" w:type="pct"/>
                <w:shd w:val="clear" w:color="auto" w:fill="auto"/>
                <w:vAlign w:val="center"/>
              </w:tcPr>
              <w:p w:rsidR="006E65ED" w:rsidRDefault="006E65ED" w:rsidP="00B637B2">
                <w:pPr>
                  <w:jc w:val="right"/>
                  <w:rPr>
                    <w:szCs w:val="21"/>
                  </w:rPr>
                </w:pPr>
              </w:p>
            </w:tc>
            <w:tc>
              <w:tcPr>
                <w:tcW w:w="896" w:type="pct"/>
                <w:shd w:val="clear" w:color="auto" w:fill="auto"/>
                <w:vAlign w:val="center"/>
              </w:tcPr>
              <w:p w:rsidR="006E65ED" w:rsidRDefault="006E65ED" w:rsidP="00B637B2">
                <w:pPr>
                  <w:jc w:val="right"/>
                  <w:rPr>
                    <w:szCs w:val="21"/>
                  </w:rPr>
                </w:pPr>
              </w:p>
            </w:tc>
            <w:tc>
              <w:tcPr>
                <w:tcW w:w="717" w:type="pct"/>
                <w:shd w:val="clear" w:color="auto" w:fill="auto"/>
                <w:vAlign w:val="center"/>
              </w:tcPr>
              <w:p w:rsidR="006E65ED" w:rsidRDefault="006E65ED" w:rsidP="00B637B2">
                <w:pPr>
                  <w:jc w:val="right"/>
                  <w:rPr>
                    <w:szCs w:val="21"/>
                  </w:rPr>
                </w:pPr>
              </w:p>
            </w:tc>
            <w:tc>
              <w:tcPr>
                <w:tcW w:w="896" w:type="pct"/>
                <w:shd w:val="clear" w:color="auto" w:fill="auto"/>
                <w:vAlign w:val="center"/>
              </w:tcPr>
              <w:p w:rsidR="006E65ED" w:rsidRDefault="006E65ED" w:rsidP="00B637B2">
                <w:pPr>
                  <w:jc w:val="right"/>
                  <w:rPr>
                    <w:szCs w:val="21"/>
                  </w:rPr>
                </w:pPr>
              </w:p>
            </w:tc>
          </w:tr>
          <w:tr w:rsidR="006E65ED" w:rsidTr="00B637B2">
            <w:trPr>
              <w:trHeight w:val="284"/>
            </w:trPr>
            <w:sdt>
              <w:sdtPr>
                <w:tag w:val="_PLD_3ece69191bc64684a4f52dc219040125"/>
                <w:id w:val="738680745"/>
                <w:lock w:val="sdtLocked"/>
              </w:sdtPr>
              <w:sdtContent>
                <w:tc>
                  <w:tcPr>
                    <w:tcW w:w="1027" w:type="pct"/>
                    <w:shd w:val="clear" w:color="auto" w:fill="auto"/>
                    <w:vAlign w:val="center"/>
                  </w:tcPr>
                  <w:p w:rsidR="006E65ED" w:rsidRDefault="006E65ED" w:rsidP="005D774F">
                    <w:pPr>
                      <w:rPr>
                        <w:szCs w:val="21"/>
                      </w:rPr>
                    </w:pPr>
                    <w:r>
                      <w:rPr>
                        <w:szCs w:val="21"/>
                      </w:rPr>
                      <w:t xml:space="preserve">    1.</w:t>
                    </w:r>
                    <w:r>
                      <w:rPr>
                        <w:rFonts w:hint="eastAsia"/>
                        <w:szCs w:val="21"/>
                      </w:rPr>
                      <w:t>期</w:t>
                    </w:r>
                    <w:r>
                      <w:rPr>
                        <w:szCs w:val="21"/>
                      </w:rPr>
                      <w:t>初余额</w:t>
                    </w:r>
                  </w:p>
                </w:tc>
              </w:sdtContent>
            </w:sdt>
            <w:tc>
              <w:tcPr>
                <w:tcW w:w="777" w:type="pct"/>
                <w:shd w:val="clear" w:color="auto" w:fill="auto"/>
                <w:vAlign w:val="center"/>
              </w:tcPr>
              <w:p w:rsidR="006E65ED" w:rsidRDefault="006E65ED" w:rsidP="00B637B2">
                <w:pPr>
                  <w:jc w:val="right"/>
                  <w:rPr>
                    <w:szCs w:val="21"/>
                  </w:rPr>
                </w:pPr>
                <w:r>
                  <w:rPr>
                    <w:rFonts w:ascii="Arial" w:eastAsia="黑体" w:hAnsi="Arial" w:cs="Arial"/>
                    <w:sz w:val="18"/>
                    <w:szCs w:val="18"/>
                  </w:rPr>
                  <w:t>382,916,227</w:t>
                </w:r>
              </w:p>
            </w:tc>
            <w:tc>
              <w:tcPr>
                <w:tcW w:w="686" w:type="pct"/>
                <w:shd w:val="clear" w:color="auto" w:fill="auto"/>
                <w:vAlign w:val="center"/>
              </w:tcPr>
              <w:p w:rsidR="006E65ED" w:rsidRDefault="006E65ED" w:rsidP="00B637B2">
                <w:pPr>
                  <w:jc w:val="right"/>
                  <w:rPr>
                    <w:szCs w:val="21"/>
                  </w:rPr>
                </w:pPr>
              </w:p>
            </w:tc>
            <w:tc>
              <w:tcPr>
                <w:tcW w:w="896" w:type="pct"/>
                <w:shd w:val="clear" w:color="auto" w:fill="auto"/>
                <w:vAlign w:val="center"/>
              </w:tcPr>
              <w:p w:rsidR="006E65ED" w:rsidRDefault="006E65ED" w:rsidP="00B637B2">
                <w:pPr>
                  <w:jc w:val="right"/>
                  <w:rPr>
                    <w:szCs w:val="21"/>
                  </w:rPr>
                </w:pPr>
                <w:r>
                  <w:t>996,064,453</w:t>
                </w:r>
              </w:p>
            </w:tc>
            <w:tc>
              <w:tcPr>
                <w:tcW w:w="717" w:type="pct"/>
                <w:shd w:val="clear" w:color="auto" w:fill="auto"/>
                <w:vAlign w:val="center"/>
              </w:tcPr>
              <w:p w:rsidR="006E65ED" w:rsidRDefault="006E65ED" w:rsidP="00B637B2">
                <w:pPr>
                  <w:jc w:val="right"/>
                  <w:rPr>
                    <w:szCs w:val="21"/>
                  </w:rPr>
                </w:pPr>
                <w:r w:rsidRPr="00312E36">
                  <w:rPr>
                    <w:szCs w:val="21"/>
                  </w:rPr>
                  <w:t>28,970,000</w:t>
                </w:r>
              </w:p>
            </w:tc>
            <w:tc>
              <w:tcPr>
                <w:tcW w:w="896" w:type="pct"/>
                <w:shd w:val="clear" w:color="auto" w:fill="auto"/>
                <w:vAlign w:val="center"/>
              </w:tcPr>
              <w:p w:rsidR="006E65ED" w:rsidRDefault="006E65ED" w:rsidP="00B637B2">
                <w:pPr>
                  <w:jc w:val="right"/>
                  <w:rPr>
                    <w:szCs w:val="21"/>
                  </w:rPr>
                </w:pPr>
                <w:r w:rsidRPr="00312E36">
                  <w:rPr>
                    <w:szCs w:val="21"/>
                  </w:rPr>
                  <w:t>1,407,950,680</w:t>
                </w:r>
              </w:p>
            </w:tc>
          </w:tr>
          <w:tr w:rsidR="006E65ED" w:rsidTr="00B637B2">
            <w:trPr>
              <w:trHeight w:val="284"/>
            </w:trPr>
            <w:sdt>
              <w:sdtPr>
                <w:tag w:val="_PLD_619b832ec5e340dc899fb93538a5459d"/>
                <w:id w:val="569695384"/>
                <w:lock w:val="sdtLocked"/>
              </w:sdtPr>
              <w:sdtContent>
                <w:tc>
                  <w:tcPr>
                    <w:tcW w:w="1027" w:type="pct"/>
                    <w:shd w:val="clear" w:color="auto" w:fill="auto"/>
                    <w:vAlign w:val="center"/>
                  </w:tcPr>
                  <w:p w:rsidR="006E65ED" w:rsidRDefault="006E65ED" w:rsidP="005D774F">
                    <w:pPr>
                      <w:ind w:firstLineChars="200" w:firstLine="420"/>
                      <w:rPr>
                        <w:szCs w:val="21"/>
                      </w:rPr>
                    </w:pPr>
                    <w:r>
                      <w:rPr>
                        <w:szCs w:val="21"/>
                      </w:rPr>
                      <w:t>2.本期增加</w:t>
                    </w:r>
                    <w:r>
                      <w:rPr>
                        <w:rFonts w:hint="eastAsia"/>
                        <w:szCs w:val="21"/>
                      </w:rPr>
                      <w:t>金额</w:t>
                    </w:r>
                  </w:p>
                </w:tc>
              </w:sdtContent>
            </w:sdt>
            <w:tc>
              <w:tcPr>
                <w:tcW w:w="777" w:type="pct"/>
                <w:shd w:val="clear" w:color="auto" w:fill="auto"/>
                <w:vAlign w:val="center"/>
              </w:tcPr>
              <w:p w:rsidR="006E65ED" w:rsidRDefault="006E65ED" w:rsidP="00B637B2">
                <w:pPr>
                  <w:jc w:val="right"/>
                  <w:rPr>
                    <w:szCs w:val="21"/>
                  </w:rPr>
                </w:pPr>
              </w:p>
            </w:tc>
            <w:tc>
              <w:tcPr>
                <w:tcW w:w="686" w:type="pct"/>
                <w:shd w:val="clear" w:color="auto" w:fill="auto"/>
                <w:vAlign w:val="center"/>
              </w:tcPr>
              <w:p w:rsidR="006E65ED" w:rsidRDefault="006E65ED" w:rsidP="00B637B2">
                <w:pPr>
                  <w:jc w:val="right"/>
                  <w:rPr>
                    <w:szCs w:val="21"/>
                  </w:rPr>
                </w:pPr>
              </w:p>
            </w:tc>
            <w:tc>
              <w:tcPr>
                <w:tcW w:w="896" w:type="pct"/>
                <w:shd w:val="clear" w:color="auto" w:fill="auto"/>
                <w:vAlign w:val="center"/>
              </w:tcPr>
              <w:p w:rsidR="006E65ED" w:rsidRDefault="008F04CF" w:rsidP="00B637B2">
                <w:pPr>
                  <w:jc w:val="right"/>
                  <w:rPr>
                    <w:szCs w:val="21"/>
                  </w:rPr>
                </w:pPr>
                <w:r w:rsidRPr="00471624">
                  <w:rPr>
                    <w:szCs w:val="21"/>
                  </w:rPr>
                  <w:t>17,938,423</w:t>
                </w:r>
              </w:p>
            </w:tc>
            <w:tc>
              <w:tcPr>
                <w:tcW w:w="717" w:type="pct"/>
                <w:shd w:val="clear" w:color="auto" w:fill="auto"/>
                <w:vAlign w:val="center"/>
              </w:tcPr>
              <w:p w:rsidR="006E65ED" w:rsidRDefault="006E65ED" w:rsidP="00B637B2">
                <w:pPr>
                  <w:jc w:val="right"/>
                  <w:rPr>
                    <w:szCs w:val="21"/>
                  </w:rPr>
                </w:pPr>
              </w:p>
            </w:tc>
            <w:tc>
              <w:tcPr>
                <w:tcW w:w="896" w:type="pct"/>
                <w:shd w:val="clear" w:color="auto" w:fill="auto"/>
                <w:vAlign w:val="center"/>
              </w:tcPr>
              <w:p w:rsidR="006E65ED" w:rsidRDefault="008F04CF" w:rsidP="00B637B2">
                <w:pPr>
                  <w:jc w:val="right"/>
                  <w:rPr>
                    <w:szCs w:val="21"/>
                  </w:rPr>
                </w:pPr>
                <w:r w:rsidRPr="00471624">
                  <w:rPr>
                    <w:szCs w:val="21"/>
                  </w:rPr>
                  <w:t>17,938,423</w:t>
                </w:r>
              </w:p>
            </w:tc>
          </w:tr>
          <w:tr w:rsidR="006E65ED" w:rsidTr="00B637B2">
            <w:trPr>
              <w:trHeight w:val="284"/>
            </w:trPr>
            <w:sdt>
              <w:sdtPr>
                <w:tag w:val="_PLD_90ef4a07fa3c4f969161b700396d9ac5"/>
                <w:id w:val="240762946"/>
                <w:lock w:val="sdtLocked"/>
              </w:sdtPr>
              <w:sdtContent>
                <w:tc>
                  <w:tcPr>
                    <w:tcW w:w="1027" w:type="pct"/>
                    <w:shd w:val="clear" w:color="auto" w:fill="auto"/>
                    <w:vAlign w:val="center"/>
                  </w:tcPr>
                  <w:p w:rsidR="006E65ED" w:rsidRDefault="006E65ED" w:rsidP="005D774F">
                    <w:pPr>
                      <w:ind w:firstLineChars="300" w:firstLine="630"/>
                      <w:rPr>
                        <w:szCs w:val="21"/>
                      </w:rPr>
                    </w:pPr>
                    <w:r>
                      <w:rPr>
                        <w:szCs w:val="21"/>
                      </w:rPr>
                      <w:t>(1)</w:t>
                    </w:r>
                    <w:r>
                      <w:rPr>
                        <w:rFonts w:hint="eastAsia"/>
                        <w:szCs w:val="21"/>
                      </w:rPr>
                      <w:t>购置</w:t>
                    </w:r>
                  </w:p>
                </w:tc>
              </w:sdtContent>
            </w:sdt>
            <w:tc>
              <w:tcPr>
                <w:tcW w:w="777" w:type="pct"/>
                <w:shd w:val="clear" w:color="auto" w:fill="auto"/>
                <w:vAlign w:val="center"/>
              </w:tcPr>
              <w:p w:rsidR="006E65ED" w:rsidRDefault="006E65ED" w:rsidP="00B637B2">
                <w:pPr>
                  <w:jc w:val="right"/>
                  <w:rPr>
                    <w:szCs w:val="21"/>
                  </w:rPr>
                </w:pPr>
              </w:p>
            </w:tc>
            <w:tc>
              <w:tcPr>
                <w:tcW w:w="686" w:type="pct"/>
                <w:shd w:val="clear" w:color="auto" w:fill="auto"/>
                <w:vAlign w:val="center"/>
              </w:tcPr>
              <w:p w:rsidR="006E65ED" w:rsidRDefault="006E65ED" w:rsidP="00B637B2">
                <w:pPr>
                  <w:jc w:val="right"/>
                  <w:rPr>
                    <w:szCs w:val="21"/>
                  </w:rPr>
                </w:pPr>
              </w:p>
            </w:tc>
            <w:tc>
              <w:tcPr>
                <w:tcW w:w="896" w:type="pct"/>
                <w:shd w:val="clear" w:color="auto" w:fill="auto"/>
                <w:vAlign w:val="center"/>
              </w:tcPr>
              <w:p w:rsidR="006E65ED" w:rsidRDefault="008F04CF" w:rsidP="00B637B2">
                <w:pPr>
                  <w:jc w:val="right"/>
                  <w:rPr>
                    <w:szCs w:val="21"/>
                  </w:rPr>
                </w:pPr>
                <w:r>
                  <w:rPr>
                    <w:szCs w:val="21"/>
                  </w:rPr>
                  <w:t>540,017</w:t>
                </w:r>
              </w:p>
            </w:tc>
            <w:tc>
              <w:tcPr>
                <w:tcW w:w="717" w:type="pct"/>
                <w:shd w:val="clear" w:color="auto" w:fill="auto"/>
                <w:vAlign w:val="center"/>
              </w:tcPr>
              <w:p w:rsidR="006E65ED" w:rsidRDefault="006E65ED" w:rsidP="00B637B2">
                <w:pPr>
                  <w:jc w:val="right"/>
                  <w:rPr>
                    <w:szCs w:val="21"/>
                  </w:rPr>
                </w:pPr>
              </w:p>
            </w:tc>
            <w:tc>
              <w:tcPr>
                <w:tcW w:w="896" w:type="pct"/>
                <w:shd w:val="clear" w:color="auto" w:fill="auto"/>
                <w:vAlign w:val="center"/>
              </w:tcPr>
              <w:p w:rsidR="006E65ED" w:rsidRDefault="008F04CF" w:rsidP="00B637B2">
                <w:pPr>
                  <w:jc w:val="right"/>
                  <w:rPr>
                    <w:szCs w:val="21"/>
                  </w:rPr>
                </w:pPr>
                <w:r>
                  <w:rPr>
                    <w:szCs w:val="21"/>
                  </w:rPr>
                  <w:t>540,017</w:t>
                </w:r>
              </w:p>
            </w:tc>
          </w:tr>
          <w:tr w:rsidR="006E65ED" w:rsidTr="00B637B2">
            <w:trPr>
              <w:trHeight w:val="284"/>
            </w:trPr>
            <w:sdt>
              <w:sdtPr>
                <w:tag w:val="_PLD_fdfb103746a24d0281c1e921b5c8be79"/>
                <w:id w:val="281088148"/>
                <w:lock w:val="sdtLocked"/>
              </w:sdtPr>
              <w:sdtContent>
                <w:tc>
                  <w:tcPr>
                    <w:tcW w:w="1027" w:type="pct"/>
                    <w:shd w:val="clear" w:color="auto" w:fill="auto"/>
                    <w:vAlign w:val="center"/>
                  </w:tcPr>
                  <w:p w:rsidR="006E65ED" w:rsidRDefault="006E65ED" w:rsidP="005D774F">
                    <w:pPr>
                      <w:ind w:firstLineChars="300" w:firstLine="630"/>
                      <w:rPr>
                        <w:szCs w:val="21"/>
                      </w:rPr>
                    </w:pPr>
                    <w:r>
                      <w:rPr>
                        <w:rFonts w:hint="eastAsia"/>
                        <w:szCs w:val="21"/>
                      </w:rPr>
                      <w:t>(</w:t>
                    </w:r>
                    <w:r>
                      <w:rPr>
                        <w:szCs w:val="21"/>
                      </w:rPr>
                      <w:t>2)</w:t>
                    </w:r>
                    <w:r>
                      <w:rPr>
                        <w:rFonts w:hint="eastAsia"/>
                        <w:szCs w:val="21"/>
                      </w:rPr>
                      <w:t>内部研发</w:t>
                    </w:r>
                  </w:p>
                </w:tc>
              </w:sdtContent>
            </w:sdt>
            <w:tc>
              <w:tcPr>
                <w:tcW w:w="777" w:type="pct"/>
                <w:shd w:val="clear" w:color="auto" w:fill="auto"/>
                <w:vAlign w:val="center"/>
              </w:tcPr>
              <w:p w:rsidR="006E65ED" w:rsidRDefault="006E65ED" w:rsidP="00B637B2">
                <w:pPr>
                  <w:jc w:val="right"/>
                  <w:rPr>
                    <w:szCs w:val="21"/>
                  </w:rPr>
                </w:pPr>
              </w:p>
            </w:tc>
            <w:tc>
              <w:tcPr>
                <w:tcW w:w="686" w:type="pct"/>
                <w:shd w:val="clear" w:color="auto" w:fill="auto"/>
                <w:vAlign w:val="center"/>
              </w:tcPr>
              <w:p w:rsidR="006E65ED" w:rsidRDefault="006E65ED" w:rsidP="00B637B2">
                <w:pPr>
                  <w:jc w:val="right"/>
                  <w:rPr>
                    <w:szCs w:val="21"/>
                  </w:rPr>
                </w:pPr>
              </w:p>
            </w:tc>
            <w:tc>
              <w:tcPr>
                <w:tcW w:w="896" w:type="pct"/>
                <w:shd w:val="clear" w:color="auto" w:fill="auto"/>
                <w:vAlign w:val="center"/>
              </w:tcPr>
              <w:p w:rsidR="006E65ED" w:rsidRDefault="006E65ED" w:rsidP="00B637B2">
                <w:pPr>
                  <w:jc w:val="right"/>
                  <w:rPr>
                    <w:szCs w:val="21"/>
                  </w:rPr>
                </w:pPr>
                <w:r w:rsidRPr="00312E36">
                  <w:rPr>
                    <w:szCs w:val="21"/>
                  </w:rPr>
                  <w:t>17,398,406</w:t>
                </w:r>
              </w:p>
            </w:tc>
            <w:tc>
              <w:tcPr>
                <w:tcW w:w="717" w:type="pct"/>
                <w:shd w:val="clear" w:color="auto" w:fill="auto"/>
                <w:vAlign w:val="center"/>
              </w:tcPr>
              <w:p w:rsidR="006E65ED" w:rsidRDefault="006E65ED" w:rsidP="00B637B2">
                <w:pPr>
                  <w:jc w:val="right"/>
                  <w:rPr>
                    <w:szCs w:val="21"/>
                  </w:rPr>
                </w:pPr>
              </w:p>
            </w:tc>
            <w:tc>
              <w:tcPr>
                <w:tcW w:w="896" w:type="pct"/>
                <w:shd w:val="clear" w:color="auto" w:fill="auto"/>
                <w:vAlign w:val="center"/>
              </w:tcPr>
              <w:p w:rsidR="006E65ED" w:rsidRDefault="006E65ED" w:rsidP="00B637B2">
                <w:pPr>
                  <w:jc w:val="right"/>
                  <w:rPr>
                    <w:szCs w:val="21"/>
                  </w:rPr>
                </w:pPr>
                <w:r w:rsidRPr="00312E36">
                  <w:rPr>
                    <w:szCs w:val="21"/>
                  </w:rPr>
                  <w:t>17,398,406</w:t>
                </w:r>
              </w:p>
            </w:tc>
          </w:tr>
          <w:tr w:rsidR="006E65ED" w:rsidTr="00B637B2">
            <w:trPr>
              <w:trHeight w:val="284"/>
            </w:trPr>
            <w:sdt>
              <w:sdtPr>
                <w:tag w:val="_PLD_a843f8687ca145b0abf8bd1ef13c7d8f"/>
                <w:id w:val="1097521721"/>
                <w:lock w:val="sdtLocked"/>
              </w:sdtPr>
              <w:sdtContent>
                <w:tc>
                  <w:tcPr>
                    <w:tcW w:w="1027" w:type="pct"/>
                    <w:shd w:val="clear" w:color="auto" w:fill="auto"/>
                  </w:tcPr>
                  <w:p w:rsidR="006E65ED" w:rsidRDefault="006E65ED" w:rsidP="005D774F">
                    <w:pPr>
                      <w:ind w:firstLineChars="300" w:firstLine="630"/>
                      <w:rPr>
                        <w:szCs w:val="21"/>
                      </w:rPr>
                    </w:pPr>
                    <w:r>
                      <w:rPr>
                        <w:rFonts w:hint="eastAsia"/>
                        <w:szCs w:val="21"/>
                      </w:rPr>
                      <w:t>(</w:t>
                    </w:r>
                    <w:r>
                      <w:rPr>
                        <w:szCs w:val="21"/>
                      </w:rPr>
                      <w:t>3</w:t>
                    </w:r>
                    <w:r>
                      <w:rPr>
                        <w:rFonts w:hint="eastAsia"/>
                        <w:szCs w:val="21"/>
                      </w:rPr>
                      <w:t>)企</w:t>
                    </w:r>
                    <w:r>
                      <w:rPr>
                        <w:szCs w:val="21"/>
                      </w:rPr>
                      <w:t>业合并增加</w:t>
                    </w:r>
                  </w:p>
                </w:tc>
              </w:sdtContent>
            </w:sdt>
            <w:tc>
              <w:tcPr>
                <w:tcW w:w="777" w:type="pct"/>
                <w:shd w:val="clear" w:color="auto" w:fill="auto"/>
                <w:vAlign w:val="center"/>
              </w:tcPr>
              <w:p w:rsidR="006E65ED" w:rsidRDefault="006E65ED" w:rsidP="00B637B2">
                <w:pPr>
                  <w:jc w:val="right"/>
                  <w:rPr>
                    <w:szCs w:val="21"/>
                  </w:rPr>
                </w:pPr>
              </w:p>
            </w:tc>
            <w:tc>
              <w:tcPr>
                <w:tcW w:w="686" w:type="pct"/>
                <w:shd w:val="clear" w:color="auto" w:fill="auto"/>
                <w:vAlign w:val="center"/>
              </w:tcPr>
              <w:p w:rsidR="006E65ED" w:rsidRDefault="006E65ED" w:rsidP="00B637B2">
                <w:pPr>
                  <w:jc w:val="right"/>
                  <w:rPr>
                    <w:szCs w:val="21"/>
                  </w:rPr>
                </w:pPr>
              </w:p>
            </w:tc>
            <w:tc>
              <w:tcPr>
                <w:tcW w:w="896" w:type="pct"/>
                <w:shd w:val="clear" w:color="auto" w:fill="auto"/>
                <w:vAlign w:val="center"/>
              </w:tcPr>
              <w:p w:rsidR="006E65ED" w:rsidRDefault="006E65ED" w:rsidP="00B637B2">
                <w:pPr>
                  <w:jc w:val="right"/>
                  <w:rPr>
                    <w:szCs w:val="21"/>
                  </w:rPr>
                </w:pPr>
              </w:p>
            </w:tc>
            <w:tc>
              <w:tcPr>
                <w:tcW w:w="717" w:type="pct"/>
                <w:shd w:val="clear" w:color="auto" w:fill="auto"/>
                <w:vAlign w:val="center"/>
              </w:tcPr>
              <w:p w:rsidR="006E65ED" w:rsidRDefault="006E65ED" w:rsidP="00B637B2">
                <w:pPr>
                  <w:jc w:val="right"/>
                  <w:rPr>
                    <w:szCs w:val="21"/>
                  </w:rPr>
                </w:pPr>
              </w:p>
            </w:tc>
            <w:tc>
              <w:tcPr>
                <w:tcW w:w="896" w:type="pct"/>
                <w:shd w:val="clear" w:color="auto" w:fill="auto"/>
                <w:vAlign w:val="center"/>
              </w:tcPr>
              <w:p w:rsidR="006E65ED" w:rsidRDefault="006E65ED" w:rsidP="00B637B2">
                <w:pPr>
                  <w:jc w:val="right"/>
                  <w:rPr>
                    <w:szCs w:val="21"/>
                  </w:rPr>
                </w:pPr>
              </w:p>
            </w:tc>
          </w:tr>
          <w:tr w:rsidR="006E65ED" w:rsidTr="00B637B2">
            <w:trPr>
              <w:trHeight w:val="284"/>
            </w:trPr>
            <w:sdt>
              <w:sdtPr>
                <w:rPr>
                  <w:rFonts w:hint="eastAsia"/>
                  <w:szCs w:val="21"/>
                </w:rPr>
                <w:alias w:val="无形资产账面原值增加项目名称"/>
                <w:tag w:val="_GBC_23146e7638324faaa7da0b428a22d186"/>
                <w:id w:val="793335402"/>
                <w:lock w:val="sdtLocked"/>
                <w:showingPlcHdr/>
              </w:sdtPr>
              <w:sdtContent>
                <w:tc>
                  <w:tcPr>
                    <w:tcW w:w="1027" w:type="pct"/>
                    <w:shd w:val="clear" w:color="auto" w:fill="auto"/>
                  </w:tcPr>
                  <w:p w:rsidR="006E65ED" w:rsidRDefault="006E65ED" w:rsidP="005D774F">
                    <w:pPr>
                      <w:ind w:firstLineChars="300" w:firstLine="630"/>
                      <w:rPr>
                        <w:szCs w:val="21"/>
                      </w:rPr>
                    </w:pPr>
                    <w:r>
                      <w:rPr>
                        <w:rFonts w:hint="eastAsia"/>
                        <w:szCs w:val="21"/>
                      </w:rPr>
                      <w:t xml:space="preserve">　</w:t>
                    </w:r>
                  </w:p>
                </w:tc>
              </w:sdtContent>
            </w:sdt>
            <w:sdt>
              <w:sdtPr>
                <w:rPr>
                  <w:rFonts w:hint="eastAsia"/>
                  <w:szCs w:val="21"/>
                </w:rPr>
                <w:alias w:val="无形资产土地使用权账面原值增加项目金额"/>
                <w:tag w:val="_GBC_68b1c1634d8b430b8d2430ed0a1d6a19"/>
                <w:id w:val="-1991166258"/>
                <w:lock w:val="sdtLocked"/>
                <w:showingPlcHdr/>
              </w:sdtPr>
              <w:sdtContent>
                <w:tc>
                  <w:tcPr>
                    <w:tcW w:w="777" w:type="pct"/>
                    <w:shd w:val="clear" w:color="auto" w:fill="auto"/>
                    <w:vAlign w:val="center"/>
                  </w:tcPr>
                  <w:p w:rsidR="006E65ED" w:rsidRDefault="006E65ED" w:rsidP="00B637B2">
                    <w:pPr>
                      <w:jc w:val="right"/>
                      <w:rPr>
                        <w:szCs w:val="21"/>
                      </w:rPr>
                    </w:pPr>
                    <w:r>
                      <w:rPr>
                        <w:rFonts w:hint="eastAsia"/>
                      </w:rPr>
                      <w:t xml:space="preserve">　</w:t>
                    </w:r>
                  </w:p>
                </w:tc>
              </w:sdtContent>
            </w:sdt>
            <w:sdt>
              <w:sdtPr>
                <w:rPr>
                  <w:rFonts w:hint="eastAsia"/>
                  <w:szCs w:val="21"/>
                </w:rPr>
                <w:alias w:val="无形资产专利权账面原值增加项目金额"/>
                <w:tag w:val="_GBC_b5f009ab3fd1422a997d83f901d96e2e"/>
                <w:id w:val="-1139569896"/>
                <w:lock w:val="sdtLocked"/>
                <w:showingPlcHdr/>
              </w:sdtPr>
              <w:sdtContent>
                <w:tc>
                  <w:tcPr>
                    <w:tcW w:w="686" w:type="pct"/>
                    <w:shd w:val="clear" w:color="auto" w:fill="auto"/>
                    <w:vAlign w:val="center"/>
                  </w:tcPr>
                  <w:p w:rsidR="006E65ED" w:rsidRDefault="006E65ED" w:rsidP="00B637B2">
                    <w:pPr>
                      <w:jc w:val="right"/>
                      <w:rPr>
                        <w:szCs w:val="21"/>
                      </w:rPr>
                    </w:pPr>
                    <w:r>
                      <w:rPr>
                        <w:rFonts w:hint="eastAsia"/>
                        <w:szCs w:val="21"/>
                      </w:rPr>
                      <w:t xml:space="preserve">　</w:t>
                    </w:r>
                  </w:p>
                </w:tc>
              </w:sdtContent>
            </w:sdt>
            <w:sdt>
              <w:sdtPr>
                <w:rPr>
                  <w:rFonts w:hint="eastAsia"/>
                  <w:szCs w:val="21"/>
                </w:rPr>
                <w:alias w:val="无形资产非专利技术账面原值增加项目金额"/>
                <w:tag w:val="_GBC_993f412620f445e88bd61968f7459ec9"/>
                <w:id w:val="1761879402"/>
                <w:lock w:val="sdtLocked"/>
                <w:showingPlcHdr/>
              </w:sdtPr>
              <w:sdtContent>
                <w:tc>
                  <w:tcPr>
                    <w:tcW w:w="896" w:type="pct"/>
                    <w:shd w:val="clear" w:color="auto" w:fill="auto"/>
                    <w:vAlign w:val="center"/>
                  </w:tcPr>
                  <w:p w:rsidR="006E65ED" w:rsidRDefault="006E65ED" w:rsidP="00B637B2">
                    <w:pPr>
                      <w:jc w:val="right"/>
                      <w:rPr>
                        <w:szCs w:val="21"/>
                      </w:rPr>
                    </w:pPr>
                    <w:r>
                      <w:rPr>
                        <w:rFonts w:hint="eastAsia"/>
                        <w:szCs w:val="21"/>
                      </w:rPr>
                      <w:t xml:space="preserve">　</w:t>
                    </w:r>
                  </w:p>
                </w:tc>
              </w:sdtContent>
            </w:sdt>
            <w:sdt>
              <w:sdtPr>
                <w:rPr>
                  <w:rFonts w:hint="eastAsia"/>
                  <w:szCs w:val="21"/>
                </w:rPr>
                <w:alias w:val="无形资产账面原值增加项目金额"/>
                <w:tag w:val="_GBC_0c66eaa614d14da0b0b87a56942737ed"/>
                <w:id w:val="-1408368152"/>
                <w:lock w:val="sdtLocked"/>
                <w:showingPlcHdr/>
              </w:sdtPr>
              <w:sdtContent>
                <w:tc>
                  <w:tcPr>
                    <w:tcW w:w="717" w:type="pct"/>
                    <w:shd w:val="clear" w:color="auto" w:fill="auto"/>
                    <w:vAlign w:val="center"/>
                  </w:tcPr>
                  <w:p w:rsidR="006E65ED" w:rsidRDefault="006E65ED" w:rsidP="00B637B2">
                    <w:pPr>
                      <w:jc w:val="right"/>
                      <w:rPr>
                        <w:szCs w:val="21"/>
                      </w:rPr>
                    </w:pPr>
                    <w:r>
                      <w:rPr>
                        <w:rFonts w:hint="eastAsia"/>
                        <w:szCs w:val="21"/>
                      </w:rPr>
                      <w:t xml:space="preserve">　</w:t>
                    </w:r>
                  </w:p>
                </w:tc>
              </w:sdtContent>
            </w:sdt>
            <w:sdt>
              <w:sdtPr>
                <w:rPr>
                  <w:rFonts w:hint="eastAsia"/>
                  <w:szCs w:val="21"/>
                </w:rPr>
                <w:alias w:val="无形资产账面原值增加项目合计金额"/>
                <w:tag w:val="_GBC_29ad01d7f03a4139909a42289d945b78"/>
                <w:id w:val="1908262792"/>
                <w:lock w:val="sdtLocked"/>
                <w:showingPlcHdr/>
              </w:sdtPr>
              <w:sdtContent>
                <w:tc>
                  <w:tcPr>
                    <w:tcW w:w="896" w:type="pct"/>
                    <w:shd w:val="clear" w:color="auto" w:fill="auto"/>
                    <w:vAlign w:val="center"/>
                  </w:tcPr>
                  <w:p w:rsidR="006E65ED" w:rsidRDefault="006E65ED" w:rsidP="00B637B2">
                    <w:pPr>
                      <w:jc w:val="right"/>
                      <w:rPr>
                        <w:szCs w:val="21"/>
                      </w:rPr>
                    </w:pPr>
                    <w:r>
                      <w:rPr>
                        <w:rFonts w:hint="eastAsia"/>
                        <w:szCs w:val="21"/>
                      </w:rPr>
                      <w:t xml:space="preserve">　</w:t>
                    </w:r>
                  </w:p>
                </w:tc>
              </w:sdtContent>
            </w:sdt>
          </w:tr>
          <w:tr w:rsidR="006E65ED" w:rsidTr="00B637B2">
            <w:trPr>
              <w:trHeight w:val="284"/>
            </w:trPr>
            <w:sdt>
              <w:sdtPr>
                <w:rPr>
                  <w:rFonts w:hint="eastAsia"/>
                  <w:szCs w:val="21"/>
                </w:rPr>
                <w:alias w:val="无形资产账面原值增加项目名称"/>
                <w:tag w:val="_GBC_23146e7638324faaa7da0b428a22d186"/>
                <w:id w:val="114108202"/>
                <w:lock w:val="sdtLocked"/>
                <w:showingPlcHdr/>
              </w:sdtPr>
              <w:sdtContent>
                <w:tc>
                  <w:tcPr>
                    <w:tcW w:w="1027" w:type="pct"/>
                    <w:shd w:val="clear" w:color="auto" w:fill="auto"/>
                  </w:tcPr>
                  <w:p w:rsidR="006E65ED" w:rsidRDefault="006E65ED" w:rsidP="005D774F">
                    <w:pPr>
                      <w:ind w:firstLineChars="300" w:firstLine="630"/>
                      <w:rPr>
                        <w:szCs w:val="21"/>
                      </w:rPr>
                    </w:pPr>
                    <w:r>
                      <w:rPr>
                        <w:rFonts w:hint="eastAsia"/>
                        <w:szCs w:val="21"/>
                      </w:rPr>
                      <w:t xml:space="preserve">　</w:t>
                    </w:r>
                  </w:p>
                </w:tc>
              </w:sdtContent>
            </w:sdt>
            <w:sdt>
              <w:sdtPr>
                <w:rPr>
                  <w:rFonts w:hint="eastAsia"/>
                  <w:szCs w:val="21"/>
                </w:rPr>
                <w:alias w:val="无形资产土地使用权账面原值增加项目金额"/>
                <w:tag w:val="_GBC_68b1c1634d8b430b8d2430ed0a1d6a19"/>
                <w:id w:val="-742490713"/>
                <w:lock w:val="sdtLocked"/>
                <w:showingPlcHdr/>
              </w:sdtPr>
              <w:sdtContent>
                <w:tc>
                  <w:tcPr>
                    <w:tcW w:w="777" w:type="pct"/>
                    <w:shd w:val="clear" w:color="auto" w:fill="auto"/>
                    <w:vAlign w:val="center"/>
                  </w:tcPr>
                  <w:p w:rsidR="006E65ED" w:rsidRDefault="006E65ED" w:rsidP="00B637B2">
                    <w:pPr>
                      <w:jc w:val="right"/>
                      <w:rPr>
                        <w:szCs w:val="21"/>
                      </w:rPr>
                    </w:pPr>
                    <w:r>
                      <w:rPr>
                        <w:rFonts w:hint="eastAsia"/>
                      </w:rPr>
                      <w:t xml:space="preserve">　</w:t>
                    </w:r>
                  </w:p>
                </w:tc>
              </w:sdtContent>
            </w:sdt>
            <w:sdt>
              <w:sdtPr>
                <w:rPr>
                  <w:rFonts w:hint="eastAsia"/>
                  <w:szCs w:val="21"/>
                </w:rPr>
                <w:alias w:val="无形资产专利权账面原值增加项目金额"/>
                <w:tag w:val="_GBC_b5f009ab3fd1422a997d83f901d96e2e"/>
                <w:id w:val="-894422950"/>
                <w:lock w:val="sdtLocked"/>
                <w:showingPlcHdr/>
              </w:sdtPr>
              <w:sdtContent>
                <w:tc>
                  <w:tcPr>
                    <w:tcW w:w="686" w:type="pct"/>
                    <w:shd w:val="clear" w:color="auto" w:fill="auto"/>
                    <w:vAlign w:val="center"/>
                  </w:tcPr>
                  <w:p w:rsidR="006E65ED" w:rsidRDefault="006E65ED" w:rsidP="00B637B2">
                    <w:pPr>
                      <w:jc w:val="right"/>
                      <w:rPr>
                        <w:szCs w:val="21"/>
                      </w:rPr>
                    </w:pPr>
                    <w:r>
                      <w:rPr>
                        <w:rFonts w:hint="eastAsia"/>
                        <w:szCs w:val="21"/>
                      </w:rPr>
                      <w:t xml:space="preserve">　</w:t>
                    </w:r>
                  </w:p>
                </w:tc>
              </w:sdtContent>
            </w:sdt>
            <w:sdt>
              <w:sdtPr>
                <w:rPr>
                  <w:rFonts w:hint="eastAsia"/>
                  <w:szCs w:val="21"/>
                </w:rPr>
                <w:alias w:val="无形资产非专利技术账面原值增加项目金额"/>
                <w:tag w:val="_GBC_993f412620f445e88bd61968f7459ec9"/>
                <w:id w:val="1105381712"/>
                <w:lock w:val="sdtLocked"/>
                <w:showingPlcHdr/>
              </w:sdtPr>
              <w:sdtContent>
                <w:tc>
                  <w:tcPr>
                    <w:tcW w:w="896" w:type="pct"/>
                    <w:shd w:val="clear" w:color="auto" w:fill="auto"/>
                    <w:vAlign w:val="center"/>
                  </w:tcPr>
                  <w:p w:rsidR="006E65ED" w:rsidRDefault="006E65ED" w:rsidP="00B637B2">
                    <w:pPr>
                      <w:jc w:val="right"/>
                      <w:rPr>
                        <w:szCs w:val="21"/>
                      </w:rPr>
                    </w:pPr>
                    <w:r>
                      <w:rPr>
                        <w:rFonts w:hint="eastAsia"/>
                        <w:szCs w:val="21"/>
                      </w:rPr>
                      <w:t xml:space="preserve">　</w:t>
                    </w:r>
                  </w:p>
                </w:tc>
              </w:sdtContent>
            </w:sdt>
            <w:sdt>
              <w:sdtPr>
                <w:rPr>
                  <w:rFonts w:hint="eastAsia"/>
                  <w:szCs w:val="21"/>
                </w:rPr>
                <w:alias w:val="无形资产账面原值增加项目金额"/>
                <w:tag w:val="_GBC_0c66eaa614d14da0b0b87a56942737ed"/>
                <w:id w:val="2017182287"/>
                <w:lock w:val="sdtLocked"/>
                <w:showingPlcHdr/>
              </w:sdtPr>
              <w:sdtContent>
                <w:tc>
                  <w:tcPr>
                    <w:tcW w:w="717" w:type="pct"/>
                    <w:shd w:val="clear" w:color="auto" w:fill="auto"/>
                    <w:vAlign w:val="center"/>
                  </w:tcPr>
                  <w:p w:rsidR="006E65ED" w:rsidRDefault="006E65ED" w:rsidP="00B637B2">
                    <w:pPr>
                      <w:jc w:val="right"/>
                      <w:rPr>
                        <w:szCs w:val="21"/>
                      </w:rPr>
                    </w:pPr>
                    <w:r>
                      <w:rPr>
                        <w:rFonts w:hint="eastAsia"/>
                        <w:szCs w:val="21"/>
                      </w:rPr>
                      <w:t xml:space="preserve">　</w:t>
                    </w:r>
                  </w:p>
                </w:tc>
              </w:sdtContent>
            </w:sdt>
            <w:sdt>
              <w:sdtPr>
                <w:rPr>
                  <w:rFonts w:hint="eastAsia"/>
                  <w:szCs w:val="21"/>
                </w:rPr>
                <w:alias w:val="无形资产账面原值增加项目合计金额"/>
                <w:tag w:val="_GBC_29ad01d7f03a4139909a42289d945b78"/>
                <w:id w:val="-1144042194"/>
                <w:lock w:val="sdtLocked"/>
                <w:showingPlcHdr/>
              </w:sdtPr>
              <w:sdtContent>
                <w:tc>
                  <w:tcPr>
                    <w:tcW w:w="896" w:type="pct"/>
                    <w:shd w:val="clear" w:color="auto" w:fill="auto"/>
                    <w:vAlign w:val="center"/>
                  </w:tcPr>
                  <w:p w:rsidR="006E65ED" w:rsidRDefault="006E65ED" w:rsidP="00B637B2">
                    <w:pPr>
                      <w:jc w:val="right"/>
                      <w:rPr>
                        <w:szCs w:val="21"/>
                      </w:rPr>
                    </w:pPr>
                    <w:r>
                      <w:rPr>
                        <w:rFonts w:hint="eastAsia"/>
                        <w:szCs w:val="21"/>
                      </w:rPr>
                      <w:t xml:space="preserve">　</w:t>
                    </w:r>
                  </w:p>
                </w:tc>
              </w:sdtContent>
            </w:sdt>
          </w:tr>
          <w:tr w:rsidR="006E65ED" w:rsidTr="00B637B2">
            <w:trPr>
              <w:trHeight w:val="284"/>
            </w:trPr>
            <w:sdt>
              <w:sdtPr>
                <w:tag w:val="_PLD_e2ff397d9d9a4a48baa098333a2effda"/>
                <w:id w:val="911657706"/>
                <w:lock w:val="sdtLocked"/>
              </w:sdtPr>
              <w:sdtContent>
                <w:tc>
                  <w:tcPr>
                    <w:tcW w:w="1027" w:type="pct"/>
                    <w:shd w:val="clear" w:color="auto" w:fill="auto"/>
                    <w:vAlign w:val="center"/>
                  </w:tcPr>
                  <w:p w:rsidR="006E65ED" w:rsidRDefault="006E65ED" w:rsidP="005D774F">
                    <w:pPr>
                      <w:rPr>
                        <w:szCs w:val="21"/>
                      </w:rPr>
                    </w:pPr>
                    <w:r>
                      <w:rPr>
                        <w:szCs w:val="21"/>
                      </w:rPr>
                      <w:t xml:space="preserve">    3.本期减少</w:t>
                    </w:r>
                    <w:r>
                      <w:rPr>
                        <w:rFonts w:hint="eastAsia"/>
                        <w:szCs w:val="21"/>
                      </w:rPr>
                      <w:t>金额</w:t>
                    </w:r>
                  </w:p>
                </w:tc>
              </w:sdtContent>
            </w:sdt>
            <w:tc>
              <w:tcPr>
                <w:tcW w:w="777" w:type="pct"/>
                <w:shd w:val="clear" w:color="auto" w:fill="auto"/>
                <w:vAlign w:val="center"/>
              </w:tcPr>
              <w:p w:rsidR="006E65ED" w:rsidRDefault="006E65ED" w:rsidP="00B637B2">
                <w:pPr>
                  <w:jc w:val="right"/>
                  <w:rPr>
                    <w:szCs w:val="21"/>
                  </w:rPr>
                </w:pPr>
              </w:p>
            </w:tc>
            <w:tc>
              <w:tcPr>
                <w:tcW w:w="686" w:type="pct"/>
                <w:shd w:val="clear" w:color="auto" w:fill="auto"/>
                <w:vAlign w:val="center"/>
              </w:tcPr>
              <w:p w:rsidR="006E65ED" w:rsidRDefault="006E65ED" w:rsidP="00B637B2">
                <w:pPr>
                  <w:jc w:val="right"/>
                  <w:rPr>
                    <w:szCs w:val="21"/>
                  </w:rPr>
                </w:pPr>
              </w:p>
            </w:tc>
            <w:tc>
              <w:tcPr>
                <w:tcW w:w="896" w:type="pct"/>
                <w:shd w:val="clear" w:color="auto" w:fill="auto"/>
                <w:vAlign w:val="center"/>
              </w:tcPr>
              <w:p w:rsidR="006E65ED" w:rsidRDefault="006E65ED" w:rsidP="00B637B2">
                <w:pPr>
                  <w:jc w:val="right"/>
                  <w:rPr>
                    <w:szCs w:val="21"/>
                  </w:rPr>
                </w:pPr>
              </w:p>
            </w:tc>
            <w:tc>
              <w:tcPr>
                <w:tcW w:w="717" w:type="pct"/>
                <w:shd w:val="clear" w:color="auto" w:fill="auto"/>
                <w:vAlign w:val="center"/>
              </w:tcPr>
              <w:p w:rsidR="006E65ED" w:rsidRDefault="006E65ED" w:rsidP="00B637B2">
                <w:pPr>
                  <w:jc w:val="right"/>
                  <w:rPr>
                    <w:szCs w:val="21"/>
                  </w:rPr>
                </w:pPr>
              </w:p>
            </w:tc>
            <w:tc>
              <w:tcPr>
                <w:tcW w:w="896" w:type="pct"/>
                <w:shd w:val="clear" w:color="auto" w:fill="auto"/>
                <w:vAlign w:val="center"/>
              </w:tcPr>
              <w:p w:rsidR="006E65ED" w:rsidRDefault="006E65ED" w:rsidP="00B637B2">
                <w:pPr>
                  <w:jc w:val="right"/>
                  <w:rPr>
                    <w:szCs w:val="21"/>
                  </w:rPr>
                </w:pPr>
              </w:p>
            </w:tc>
          </w:tr>
          <w:tr w:rsidR="006E65ED" w:rsidTr="00B637B2">
            <w:trPr>
              <w:trHeight w:val="284"/>
            </w:trPr>
            <w:sdt>
              <w:sdtPr>
                <w:tag w:val="_PLD_01039cac859c46279f030f4ef8891ef8"/>
                <w:id w:val="-493413072"/>
                <w:lock w:val="sdtLocked"/>
              </w:sdtPr>
              <w:sdtContent>
                <w:tc>
                  <w:tcPr>
                    <w:tcW w:w="1027" w:type="pct"/>
                    <w:shd w:val="clear" w:color="auto" w:fill="auto"/>
                    <w:vAlign w:val="center"/>
                  </w:tcPr>
                  <w:p w:rsidR="006E65ED" w:rsidRDefault="006E65ED" w:rsidP="005D774F">
                    <w:pPr>
                      <w:ind w:firstLineChars="300" w:firstLine="630"/>
                      <w:rPr>
                        <w:szCs w:val="21"/>
                      </w:rPr>
                    </w:pPr>
                    <w:r>
                      <w:rPr>
                        <w:szCs w:val="21"/>
                      </w:rPr>
                      <w:t>(</w:t>
                    </w:r>
                    <w:r>
                      <w:rPr>
                        <w:rFonts w:hint="eastAsia"/>
                        <w:szCs w:val="21"/>
                      </w:rPr>
                      <w:t>1</w:t>
                    </w:r>
                    <w:r>
                      <w:rPr>
                        <w:szCs w:val="21"/>
                      </w:rPr>
                      <w:t>)</w:t>
                    </w:r>
                    <w:r>
                      <w:rPr>
                        <w:rFonts w:hint="eastAsia"/>
                        <w:szCs w:val="21"/>
                      </w:rPr>
                      <w:t>处置</w:t>
                    </w:r>
                  </w:p>
                </w:tc>
              </w:sdtContent>
            </w:sdt>
            <w:tc>
              <w:tcPr>
                <w:tcW w:w="777" w:type="pct"/>
                <w:shd w:val="clear" w:color="auto" w:fill="auto"/>
                <w:vAlign w:val="center"/>
              </w:tcPr>
              <w:p w:rsidR="006E65ED" w:rsidRDefault="006E65ED" w:rsidP="00B637B2">
                <w:pPr>
                  <w:jc w:val="right"/>
                  <w:rPr>
                    <w:szCs w:val="21"/>
                  </w:rPr>
                </w:pPr>
              </w:p>
            </w:tc>
            <w:tc>
              <w:tcPr>
                <w:tcW w:w="686" w:type="pct"/>
                <w:shd w:val="clear" w:color="auto" w:fill="auto"/>
                <w:vAlign w:val="center"/>
              </w:tcPr>
              <w:p w:rsidR="006E65ED" w:rsidRDefault="006E65ED" w:rsidP="00B637B2">
                <w:pPr>
                  <w:jc w:val="right"/>
                  <w:rPr>
                    <w:szCs w:val="21"/>
                  </w:rPr>
                </w:pPr>
              </w:p>
            </w:tc>
            <w:tc>
              <w:tcPr>
                <w:tcW w:w="896" w:type="pct"/>
                <w:shd w:val="clear" w:color="auto" w:fill="auto"/>
                <w:vAlign w:val="center"/>
              </w:tcPr>
              <w:p w:rsidR="006E65ED" w:rsidRDefault="006E65ED" w:rsidP="00B637B2">
                <w:pPr>
                  <w:jc w:val="right"/>
                  <w:rPr>
                    <w:szCs w:val="21"/>
                  </w:rPr>
                </w:pPr>
              </w:p>
            </w:tc>
            <w:tc>
              <w:tcPr>
                <w:tcW w:w="717" w:type="pct"/>
                <w:shd w:val="clear" w:color="auto" w:fill="auto"/>
                <w:vAlign w:val="center"/>
              </w:tcPr>
              <w:p w:rsidR="006E65ED" w:rsidRDefault="006E65ED" w:rsidP="00B637B2">
                <w:pPr>
                  <w:jc w:val="right"/>
                  <w:rPr>
                    <w:szCs w:val="21"/>
                  </w:rPr>
                </w:pPr>
              </w:p>
            </w:tc>
            <w:tc>
              <w:tcPr>
                <w:tcW w:w="896" w:type="pct"/>
                <w:shd w:val="clear" w:color="auto" w:fill="auto"/>
                <w:vAlign w:val="center"/>
              </w:tcPr>
              <w:p w:rsidR="006E65ED" w:rsidRDefault="006E65ED" w:rsidP="00B637B2">
                <w:pPr>
                  <w:jc w:val="right"/>
                  <w:rPr>
                    <w:szCs w:val="21"/>
                  </w:rPr>
                </w:pPr>
              </w:p>
            </w:tc>
          </w:tr>
          <w:tr w:rsidR="006E65ED" w:rsidTr="00B637B2">
            <w:trPr>
              <w:trHeight w:val="284"/>
            </w:trPr>
            <w:sdt>
              <w:sdtPr>
                <w:rPr>
                  <w:rFonts w:hint="eastAsia"/>
                  <w:szCs w:val="21"/>
                </w:rPr>
                <w:alias w:val="无形资产账面原值减少项目名称"/>
                <w:tag w:val="_GBC_75be63f1efb54632be12885a949e8472"/>
                <w:id w:val="-121302169"/>
                <w:lock w:val="sdtLocked"/>
                <w:showingPlcHdr/>
              </w:sdtPr>
              <w:sdtContent>
                <w:tc>
                  <w:tcPr>
                    <w:tcW w:w="1027" w:type="pct"/>
                    <w:shd w:val="clear" w:color="auto" w:fill="auto"/>
                  </w:tcPr>
                  <w:p w:rsidR="006E65ED" w:rsidRDefault="006E65ED" w:rsidP="005D774F">
                    <w:pPr>
                      <w:ind w:firstLineChars="300" w:firstLine="630"/>
                      <w:rPr>
                        <w:szCs w:val="21"/>
                      </w:rPr>
                    </w:pPr>
                    <w:r>
                      <w:rPr>
                        <w:rFonts w:hint="eastAsia"/>
                        <w:szCs w:val="21"/>
                      </w:rPr>
                      <w:t xml:space="preserve">　</w:t>
                    </w:r>
                  </w:p>
                </w:tc>
              </w:sdtContent>
            </w:sdt>
            <w:sdt>
              <w:sdtPr>
                <w:rPr>
                  <w:rFonts w:hint="eastAsia"/>
                  <w:szCs w:val="21"/>
                </w:rPr>
                <w:alias w:val="无形资产土地使用权账面原值减少项目金额"/>
                <w:tag w:val="_GBC_5791b9cc56d34ed3a6b1bb5619046fd4"/>
                <w:id w:val="-1495877016"/>
                <w:lock w:val="sdtLocked"/>
                <w:showingPlcHdr/>
              </w:sdtPr>
              <w:sdtContent>
                <w:tc>
                  <w:tcPr>
                    <w:tcW w:w="777" w:type="pct"/>
                    <w:shd w:val="clear" w:color="auto" w:fill="auto"/>
                    <w:vAlign w:val="center"/>
                  </w:tcPr>
                  <w:p w:rsidR="006E65ED" w:rsidRDefault="006E65ED" w:rsidP="00B637B2">
                    <w:pPr>
                      <w:jc w:val="right"/>
                      <w:rPr>
                        <w:szCs w:val="21"/>
                      </w:rPr>
                    </w:pPr>
                    <w:r>
                      <w:rPr>
                        <w:rFonts w:hint="eastAsia"/>
                        <w:szCs w:val="21"/>
                      </w:rPr>
                      <w:t xml:space="preserve">　</w:t>
                    </w:r>
                  </w:p>
                </w:tc>
              </w:sdtContent>
            </w:sdt>
            <w:sdt>
              <w:sdtPr>
                <w:rPr>
                  <w:rFonts w:hint="eastAsia"/>
                  <w:szCs w:val="21"/>
                </w:rPr>
                <w:alias w:val="无形资产专利权账面原值减少项目金额"/>
                <w:tag w:val="_GBC_a187b12be46c4986a6845dc33026b70e"/>
                <w:id w:val="-1722272767"/>
                <w:lock w:val="sdtLocked"/>
                <w:showingPlcHdr/>
              </w:sdtPr>
              <w:sdtContent>
                <w:tc>
                  <w:tcPr>
                    <w:tcW w:w="686" w:type="pct"/>
                    <w:shd w:val="clear" w:color="auto" w:fill="auto"/>
                    <w:vAlign w:val="center"/>
                  </w:tcPr>
                  <w:p w:rsidR="006E65ED" w:rsidRDefault="006E65ED" w:rsidP="00B637B2">
                    <w:pPr>
                      <w:jc w:val="right"/>
                      <w:rPr>
                        <w:szCs w:val="21"/>
                      </w:rPr>
                    </w:pPr>
                    <w:r>
                      <w:rPr>
                        <w:rFonts w:hint="eastAsia"/>
                        <w:szCs w:val="21"/>
                      </w:rPr>
                      <w:t xml:space="preserve">　</w:t>
                    </w:r>
                  </w:p>
                </w:tc>
              </w:sdtContent>
            </w:sdt>
            <w:sdt>
              <w:sdtPr>
                <w:rPr>
                  <w:rFonts w:hint="eastAsia"/>
                  <w:szCs w:val="21"/>
                </w:rPr>
                <w:alias w:val="无形资产非专利技术账面原值减少项目金额"/>
                <w:tag w:val="_GBC_3d6177bde73241c09725cc86b9009958"/>
                <w:id w:val="1765956653"/>
                <w:lock w:val="sdtLocked"/>
                <w:showingPlcHdr/>
              </w:sdtPr>
              <w:sdtContent>
                <w:tc>
                  <w:tcPr>
                    <w:tcW w:w="896" w:type="pct"/>
                    <w:shd w:val="clear" w:color="auto" w:fill="auto"/>
                    <w:vAlign w:val="center"/>
                  </w:tcPr>
                  <w:p w:rsidR="006E65ED" w:rsidRDefault="006E65ED" w:rsidP="00B637B2">
                    <w:pPr>
                      <w:jc w:val="right"/>
                      <w:rPr>
                        <w:szCs w:val="21"/>
                      </w:rPr>
                    </w:pPr>
                    <w:r>
                      <w:rPr>
                        <w:rFonts w:hint="eastAsia"/>
                        <w:szCs w:val="21"/>
                      </w:rPr>
                      <w:t xml:space="preserve">　</w:t>
                    </w:r>
                  </w:p>
                </w:tc>
              </w:sdtContent>
            </w:sdt>
            <w:sdt>
              <w:sdtPr>
                <w:rPr>
                  <w:rFonts w:hint="eastAsia"/>
                  <w:szCs w:val="21"/>
                </w:rPr>
                <w:alias w:val="无形资产账面原值减少项目金额"/>
                <w:tag w:val="_GBC_6bbb19b31f594798a9421218462f8883"/>
                <w:id w:val="-1809694486"/>
                <w:lock w:val="sdtLocked"/>
                <w:showingPlcHdr/>
              </w:sdtPr>
              <w:sdtContent>
                <w:tc>
                  <w:tcPr>
                    <w:tcW w:w="717" w:type="pct"/>
                    <w:shd w:val="clear" w:color="auto" w:fill="auto"/>
                    <w:vAlign w:val="center"/>
                  </w:tcPr>
                  <w:p w:rsidR="006E65ED" w:rsidRDefault="006E65ED" w:rsidP="00B637B2">
                    <w:pPr>
                      <w:jc w:val="right"/>
                      <w:rPr>
                        <w:szCs w:val="21"/>
                      </w:rPr>
                    </w:pPr>
                    <w:r>
                      <w:rPr>
                        <w:rFonts w:hint="eastAsia"/>
                        <w:szCs w:val="21"/>
                      </w:rPr>
                      <w:t xml:space="preserve">　</w:t>
                    </w:r>
                  </w:p>
                </w:tc>
              </w:sdtContent>
            </w:sdt>
            <w:sdt>
              <w:sdtPr>
                <w:rPr>
                  <w:rFonts w:hint="eastAsia"/>
                  <w:szCs w:val="21"/>
                </w:rPr>
                <w:alias w:val="无形资产账面原值减少项目合计金额"/>
                <w:tag w:val="_GBC_333bceb4bfb942ca90170e359bb81b89"/>
                <w:id w:val="-1390258068"/>
                <w:lock w:val="sdtLocked"/>
                <w:showingPlcHdr/>
              </w:sdtPr>
              <w:sdtContent>
                <w:tc>
                  <w:tcPr>
                    <w:tcW w:w="896" w:type="pct"/>
                    <w:shd w:val="clear" w:color="auto" w:fill="auto"/>
                    <w:vAlign w:val="center"/>
                  </w:tcPr>
                  <w:p w:rsidR="006E65ED" w:rsidRDefault="006E65ED" w:rsidP="00B637B2">
                    <w:pPr>
                      <w:jc w:val="right"/>
                      <w:rPr>
                        <w:szCs w:val="21"/>
                      </w:rPr>
                    </w:pPr>
                    <w:r>
                      <w:rPr>
                        <w:rFonts w:hint="eastAsia"/>
                        <w:szCs w:val="21"/>
                      </w:rPr>
                      <w:t xml:space="preserve">　</w:t>
                    </w:r>
                  </w:p>
                </w:tc>
              </w:sdtContent>
            </w:sdt>
          </w:tr>
          <w:tr w:rsidR="006E65ED" w:rsidTr="00B637B2">
            <w:trPr>
              <w:trHeight w:val="284"/>
            </w:trPr>
            <w:sdt>
              <w:sdtPr>
                <w:rPr>
                  <w:rFonts w:hint="eastAsia"/>
                  <w:szCs w:val="21"/>
                </w:rPr>
                <w:alias w:val="无形资产账面原值减少项目名称"/>
                <w:tag w:val="_GBC_75be63f1efb54632be12885a949e8472"/>
                <w:id w:val="-1967032272"/>
                <w:lock w:val="sdtLocked"/>
                <w:showingPlcHdr/>
              </w:sdtPr>
              <w:sdtContent>
                <w:tc>
                  <w:tcPr>
                    <w:tcW w:w="1027" w:type="pct"/>
                    <w:shd w:val="clear" w:color="auto" w:fill="auto"/>
                  </w:tcPr>
                  <w:p w:rsidR="006E65ED" w:rsidRDefault="006E65ED" w:rsidP="005D774F">
                    <w:pPr>
                      <w:ind w:firstLineChars="300" w:firstLine="630"/>
                      <w:rPr>
                        <w:szCs w:val="21"/>
                      </w:rPr>
                    </w:pPr>
                    <w:r>
                      <w:rPr>
                        <w:rFonts w:hint="eastAsia"/>
                        <w:szCs w:val="21"/>
                      </w:rPr>
                      <w:t xml:space="preserve">　</w:t>
                    </w:r>
                  </w:p>
                </w:tc>
              </w:sdtContent>
            </w:sdt>
            <w:sdt>
              <w:sdtPr>
                <w:rPr>
                  <w:rFonts w:hint="eastAsia"/>
                  <w:szCs w:val="21"/>
                </w:rPr>
                <w:alias w:val="无形资产土地使用权账面原值减少项目金额"/>
                <w:tag w:val="_GBC_5791b9cc56d34ed3a6b1bb5619046fd4"/>
                <w:id w:val="790174246"/>
                <w:lock w:val="sdtLocked"/>
                <w:showingPlcHdr/>
              </w:sdtPr>
              <w:sdtContent>
                <w:tc>
                  <w:tcPr>
                    <w:tcW w:w="777" w:type="pct"/>
                    <w:shd w:val="clear" w:color="auto" w:fill="auto"/>
                    <w:vAlign w:val="center"/>
                  </w:tcPr>
                  <w:p w:rsidR="006E65ED" w:rsidRDefault="006E65ED" w:rsidP="00B637B2">
                    <w:pPr>
                      <w:jc w:val="right"/>
                      <w:rPr>
                        <w:szCs w:val="21"/>
                      </w:rPr>
                    </w:pPr>
                    <w:r>
                      <w:rPr>
                        <w:rFonts w:hint="eastAsia"/>
                        <w:szCs w:val="21"/>
                      </w:rPr>
                      <w:t xml:space="preserve">　</w:t>
                    </w:r>
                  </w:p>
                </w:tc>
              </w:sdtContent>
            </w:sdt>
            <w:sdt>
              <w:sdtPr>
                <w:rPr>
                  <w:rFonts w:hint="eastAsia"/>
                  <w:szCs w:val="21"/>
                </w:rPr>
                <w:alias w:val="无形资产专利权账面原值减少项目金额"/>
                <w:tag w:val="_GBC_a187b12be46c4986a6845dc33026b70e"/>
                <w:id w:val="1781533621"/>
                <w:lock w:val="sdtLocked"/>
                <w:showingPlcHdr/>
              </w:sdtPr>
              <w:sdtContent>
                <w:tc>
                  <w:tcPr>
                    <w:tcW w:w="686" w:type="pct"/>
                    <w:shd w:val="clear" w:color="auto" w:fill="auto"/>
                    <w:vAlign w:val="center"/>
                  </w:tcPr>
                  <w:p w:rsidR="006E65ED" w:rsidRDefault="006E65ED" w:rsidP="00B637B2">
                    <w:pPr>
                      <w:jc w:val="right"/>
                      <w:rPr>
                        <w:szCs w:val="21"/>
                      </w:rPr>
                    </w:pPr>
                    <w:r>
                      <w:rPr>
                        <w:rFonts w:hint="eastAsia"/>
                        <w:szCs w:val="21"/>
                      </w:rPr>
                      <w:t xml:space="preserve">　</w:t>
                    </w:r>
                  </w:p>
                </w:tc>
              </w:sdtContent>
            </w:sdt>
            <w:sdt>
              <w:sdtPr>
                <w:rPr>
                  <w:rFonts w:hint="eastAsia"/>
                  <w:szCs w:val="21"/>
                </w:rPr>
                <w:alias w:val="无形资产非专利技术账面原值减少项目金额"/>
                <w:tag w:val="_GBC_3d6177bde73241c09725cc86b9009958"/>
                <w:id w:val="1578093739"/>
                <w:lock w:val="sdtLocked"/>
                <w:showingPlcHdr/>
              </w:sdtPr>
              <w:sdtContent>
                <w:tc>
                  <w:tcPr>
                    <w:tcW w:w="896" w:type="pct"/>
                    <w:shd w:val="clear" w:color="auto" w:fill="auto"/>
                    <w:vAlign w:val="center"/>
                  </w:tcPr>
                  <w:p w:rsidR="006E65ED" w:rsidRDefault="006E65ED" w:rsidP="00B637B2">
                    <w:pPr>
                      <w:jc w:val="right"/>
                      <w:rPr>
                        <w:szCs w:val="21"/>
                      </w:rPr>
                    </w:pPr>
                    <w:r>
                      <w:rPr>
                        <w:rFonts w:hint="eastAsia"/>
                        <w:szCs w:val="21"/>
                      </w:rPr>
                      <w:t xml:space="preserve">　</w:t>
                    </w:r>
                  </w:p>
                </w:tc>
              </w:sdtContent>
            </w:sdt>
            <w:sdt>
              <w:sdtPr>
                <w:rPr>
                  <w:rFonts w:hint="eastAsia"/>
                  <w:szCs w:val="21"/>
                </w:rPr>
                <w:alias w:val="无形资产账面原值减少项目金额"/>
                <w:tag w:val="_GBC_6bbb19b31f594798a9421218462f8883"/>
                <w:id w:val="779771546"/>
                <w:lock w:val="sdtLocked"/>
                <w:showingPlcHdr/>
              </w:sdtPr>
              <w:sdtContent>
                <w:tc>
                  <w:tcPr>
                    <w:tcW w:w="717" w:type="pct"/>
                    <w:shd w:val="clear" w:color="auto" w:fill="auto"/>
                    <w:vAlign w:val="center"/>
                  </w:tcPr>
                  <w:p w:rsidR="006E65ED" w:rsidRDefault="006E65ED" w:rsidP="00B637B2">
                    <w:pPr>
                      <w:jc w:val="right"/>
                      <w:rPr>
                        <w:szCs w:val="21"/>
                      </w:rPr>
                    </w:pPr>
                    <w:r>
                      <w:rPr>
                        <w:rFonts w:hint="eastAsia"/>
                        <w:szCs w:val="21"/>
                      </w:rPr>
                      <w:t xml:space="preserve">　</w:t>
                    </w:r>
                  </w:p>
                </w:tc>
              </w:sdtContent>
            </w:sdt>
            <w:sdt>
              <w:sdtPr>
                <w:rPr>
                  <w:rFonts w:hint="eastAsia"/>
                  <w:szCs w:val="21"/>
                </w:rPr>
                <w:alias w:val="无形资产账面原值减少项目合计金额"/>
                <w:tag w:val="_GBC_333bceb4bfb942ca90170e359bb81b89"/>
                <w:id w:val="-1546210674"/>
                <w:lock w:val="sdtLocked"/>
                <w:showingPlcHdr/>
              </w:sdtPr>
              <w:sdtContent>
                <w:tc>
                  <w:tcPr>
                    <w:tcW w:w="896" w:type="pct"/>
                    <w:shd w:val="clear" w:color="auto" w:fill="auto"/>
                    <w:vAlign w:val="center"/>
                  </w:tcPr>
                  <w:p w:rsidR="006E65ED" w:rsidRDefault="006E65ED" w:rsidP="00B637B2">
                    <w:pPr>
                      <w:jc w:val="right"/>
                      <w:rPr>
                        <w:szCs w:val="21"/>
                      </w:rPr>
                    </w:pPr>
                    <w:r>
                      <w:rPr>
                        <w:rFonts w:hint="eastAsia"/>
                        <w:szCs w:val="21"/>
                      </w:rPr>
                      <w:t xml:space="preserve">　</w:t>
                    </w:r>
                  </w:p>
                </w:tc>
              </w:sdtContent>
            </w:sdt>
          </w:tr>
          <w:tr w:rsidR="006E65ED" w:rsidTr="00B637B2">
            <w:trPr>
              <w:trHeight w:val="284"/>
            </w:trPr>
            <w:sdt>
              <w:sdtPr>
                <w:tag w:val="_PLD_4f7e6faa1a2a40ff9644db9d2bcd8070"/>
                <w:id w:val="1729800432"/>
                <w:lock w:val="sdtLocked"/>
              </w:sdtPr>
              <w:sdtContent>
                <w:tc>
                  <w:tcPr>
                    <w:tcW w:w="1027" w:type="pct"/>
                    <w:shd w:val="clear" w:color="auto" w:fill="auto"/>
                    <w:vAlign w:val="center"/>
                  </w:tcPr>
                  <w:p w:rsidR="006E65ED" w:rsidRDefault="006E65ED" w:rsidP="005D774F">
                    <w:pPr>
                      <w:rPr>
                        <w:szCs w:val="21"/>
                      </w:rPr>
                    </w:pPr>
                    <w:r>
                      <w:rPr>
                        <w:szCs w:val="21"/>
                      </w:rPr>
                      <w:t xml:space="preserve">   4.期末余额</w:t>
                    </w:r>
                  </w:p>
                </w:tc>
              </w:sdtContent>
            </w:sdt>
            <w:tc>
              <w:tcPr>
                <w:tcW w:w="777" w:type="pct"/>
                <w:shd w:val="clear" w:color="auto" w:fill="auto"/>
                <w:vAlign w:val="center"/>
              </w:tcPr>
              <w:p w:rsidR="006E65ED" w:rsidRDefault="008F04CF" w:rsidP="00B637B2">
                <w:pPr>
                  <w:jc w:val="right"/>
                  <w:rPr>
                    <w:szCs w:val="21"/>
                  </w:rPr>
                </w:pPr>
                <w:r>
                  <w:rPr>
                    <w:szCs w:val="21"/>
                  </w:rPr>
                  <w:t>382,916,227</w:t>
                </w:r>
              </w:p>
            </w:tc>
            <w:tc>
              <w:tcPr>
                <w:tcW w:w="686" w:type="pct"/>
                <w:shd w:val="clear" w:color="auto" w:fill="auto"/>
                <w:vAlign w:val="center"/>
              </w:tcPr>
              <w:p w:rsidR="006E65ED" w:rsidRDefault="006E65ED" w:rsidP="00B637B2">
                <w:pPr>
                  <w:jc w:val="right"/>
                  <w:rPr>
                    <w:szCs w:val="21"/>
                  </w:rPr>
                </w:pPr>
              </w:p>
            </w:tc>
            <w:tc>
              <w:tcPr>
                <w:tcW w:w="896" w:type="pct"/>
                <w:shd w:val="clear" w:color="auto" w:fill="auto"/>
                <w:vAlign w:val="center"/>
              </w:tcPr>
              <w:p w:rsidR="006E65ED" w:rsidRDefault="006E65ED" w:rsidP="00B637B2">
                <w:pPr>
                  <w:jc w:val="right"/>
                  <w:rPr>
                    <w:szCs w:val="21"/>
                  </w:rPr>
                </w:pPr>
                <w:r w:rsidRPr="006E65ED">
                  <w:rPr>
                    <w:szCs w:val="21"/>
                  </w:rPr>
                  <w:t>1,014,002,876</w:t>
                </w:r>
              </w:p>
            </w:tc>
            <w:tc>
              <w:tcPr>
                <w:tcW w:w="717" w:type="pct"/>
                <w:shd w:val="clear" w:color="auto" w:fill="auto"/>
                <w:vAlign w:val="center"/>
              </w:tcPr>
              <w:p w:rsidR="006E65ED" w:rsidRDefault="008F04CF" w:rsidP="00B637B2">
                <w:pPr>
                  <w:jc w:val="right"/>
                  <w:rPr>
                    <w:szCs w:val="21"/>
                  </w:rPr>
                </w:pPr>
                <w:r>
                  <w:rPr>
                    <w:szCs w:val="21"/>
                  </w:rPr>
                  <w:t>28,970,000</w:t>
                </w:r>
              </w:p>
            </w:tc>
            <w:tc>
              <w:tcPr>
                <w:tcW w:w="896" w:type="pct"/>
                <w:shd w:val="clear" w:color="auto" w:fill="auto"/>
                <w:vAlign w:val="center"/>
              </w:tcPr>
              <w:p w:rsidR="006E65ED" w:rsidRDefault="006E65ED" w:rsidP="00B637B2">
                <w:pPr>
                  <w:jc w:val="right"/>
                  <w:rPr>
                    <w:szCs w:val="21"/>
                  </w:rPr>
                </w:pPr>
                <w:r w:rsidRPr="006E65ED">
                  <w:rPr>
                    <w:szCs w:val="21"/>
                  </w:rPr>
                  <w:t>1,425,889,103</w:t>
                </w:r>
              </w:p>
            </w:tc>
          </w:tr>
          <w:tr w:rsidR="006E65ED" w:rsidTr="00B637B2">
            <w:trPr>
              <w:trHeight w:val="284"/>
            </w:trPr>
            <w:sdt>
              <w:sdtPr>
                <w:tag w:val="_PLD_3d92ef615d3b41e5abb58e018e2db72b"/>
                <w:id w:val="1775980805"/>
                <w:lock w:val="sdtLocked"/>
              </w:sdtPr>
              <w:sdtContent>
                <w:tc>
                  <w:tcPr>
                    <w:tcW w:w="1027" w:type="pct"/>
                    <w:shd w:val="clear" w:color="auto" w:fill="auto"/>
                    <w:vAlign w:val="center"/>
                  </w:tcPr>
                  <w:p w:rsidR="006E65ED" w:rsidRDefault="006E65ED" w:rsidP="005D774F">
                    <w:pPr>
                      <w:rPr>
                        <w:szCs w:val="21"/>
                      </w:rPr>
                    </w:pPr>
                    <w:r>
                      <w:rPr>
                        <w:szCs w:val="21"/>
                      </w:rPr>
                      <w:t>二、累计</w:t>
                    </w:r>
                    <w:r>
                      <w:rPr>
                        <w:rFonts w:hint="eastAsia"/>
                        <w:szCs w:val="21"/>
                      </w:rPr>
                      <w:t>摊销</w:t>
                    </w:r>
                  </w:p>
                </w:tc>
              </w:sdtContent>
            </w:sdt>
            <w:tc>
              <w:tcPr>
                <w:tcW w:w="777" w:type="pct"/>
                <w:shd w:val="clear" w:color="auto" w:fill="auto"/>
                <w:vAlign w:val="center"/>
              </w:tcPr>
              <w:p w:rsidR="006E65ED" w:rsidRDefault="006E65ED" w:rsidP="00B637B2">
                <w:pPr>
                  <w:jc w:val="right"/>
                  <w:rPr>
                    <w:szCs w:val="21"/>
                  </w:rPr>
                </w:pPr>
              </w:p>
            </w:tc>
            <w:tc>
              <w:tcPr>
                <w:tcW w:w="686" w:type="pct"/>
                <w:shd w:val="clear" w:color="auto" w:fill="auto"/>
                <w:vAlign w:val="center"/>
              </w:tcPr>
              <w:p w:rsidR="006E65ED" w:rsidRDefault="006E65ED" w:rsidP="00B637B2">
                <w:pPr>
                  <w:jc w:val="right"/>
                  <w:rPr>
                    <w:szCs w:val="21"/>
                  </w:rPr>
                </w:pPr>
              </w:p>
            </w:tc>
            <w:tc>
              <w:tcPr>
                <w:tcW w:w="896" w:type="pct"/>
                <w:shd w:val="clear" w:color="auto" w:fill="auto"/>
                <w:vAlign w:val="center"/>
              </w:tcPr>
              <w:p w:rsidR="006E65ED" w:rsidRDefault="006E65ED" w:rsidP="00B637B2">
                <w:pPr>
                  <w:jc w:val="right"/>
                  <w:rPr>
                    <w:szCs w:val="21"/>
                  </w:rPr>
                </w:pPr>
              </w:p>
            </w:tc>
            <w:tc>
              <w:tcPr>
                <w:tcW w:w="717" w:type="pct"/>
                <w:shd w:val="clear" w:color="auto" w:fill="auto"/>
                <w:vAlign w:val="center"/>
              </w:tcPr>
              <w:p w:rsidR="006E65ED" w:rsidRDefault="006E65ED" w:rsidP="00B637B2">
                <w:pPr>
                  <w:jc w:val="right"/>
                  <w:rPr>
                    <w:szCs w:val="21"/>
                  </w:rPr>
                </w:pPr>
              </w:p>
            </w:tc>
            <w:tc>
              <w:tcPr>
                <w:tcW w:w="896" w:type="pct"/>
                <w:shd w:val="clear" w:color="auto" w:fill="auto"/>
                <w:vAlign w:val="center"/>
              </w:tcPr>
              <w:p w:rsidR="006E65ED" w:rsidRDefault="006E65ED" w:rsidP="00B637B2">
                <w:pPr>
                  <w:jc w:val="right"/>
                  <w:rPr>
                    <w:szCs w:val="21"/>
                  </w:rPr>
                </w:pPr>
              </w:p>
            </w:tc>
          </w:tr>
          <w:tr w:rsidR="006E65ED" w:rsidTr="00B637B2">
            <w:trPr>
              <w:trHeight w:val="284"/>
            </w:trPr>
            <w:sdt>
              <w:sdtPr>
                <w:tag w:val="_PLD_193e5febfa90446ca630ebb42ca96e06"/>
                <w:id w:val="123285073"/>
                <w:lock w:val="sdtLocked"/>
              </w:sdtPr>
              <w:sdtContent>
                <w:tc>
                  <w:tcPr>
                    <w:tcW w:w="1027" w:type="pct"/>
                    <w:shd w:val="clear" w:color="auto" w:fill="auto"/>
                    <w:vAlign w:val="center"/>
                  </w:tcPr>
                  <w:p w:rsidR="006E65ED" w:rsidRDefault="006E65ED" w:rsidP="005D774F">
                    <w:pPr>
                      <w:ind w:firstLineChars="200" w:firstLine="420"/>
                      <w:rPr>
                        <w:szCs w:val="21"/>
                      </w:rPr>
                    </w:pPr>
                    <w:r>
                      <w:rPr>
                        <w:rFonts w:hint="eastAsia"/>
                        <w:szCs w:val="21"/>
                      </w:rPr>
                      <w:t>1.期</w:t>
                    </w:r>
                    <w:r>
                      <w:rPr>
                        <w:szCs w:val="21"/>
                      </w:rPr>
                      <w:t>初余额</w:t>
                    </w:r>
                  </w:p>
                </w:tc>
              </w:sdtContent>
            </w:sdt>
            <w:tc>
              <w:tcPr>
                <w:tcW w:w="777" w:type="pct"/>
                <w:shd w:val="clear" w:color="auto" w:fill="auto"/>
                <w:vAlign w:val="center"/>
              </w:tcPr>
              <w:p w:rsidR="006E65ED" w:rsidRPr="00E36CAC" w:rsidRDefault="006E65ED" w:rsidP="00B637B2">
                <w:pPr>
                  <w:jc w:val="right"/>
                </w:pPr>
                <w:r w:rsidRPr="00E36CAC">
                  <w:t xml:space="preserve"> 83,169,049</w:t>
                </w:r>
              </w:p>
            </w:tc>
            <w:tc>
              <w:tcPr>
                <w:tcW w:w="686" w:type="pct"/>
                <w:shd w:val="clear" w:color="auto" w:fill="auto"/>
                <w:vAlign w:val="center"/>
              </w:tcPr>
              <w:p w:rsidR="006E65ED" w:rsidRDefault="006E65ED" w:rsidP="00B637B2">
                <w:pPr>
                  <w:jc w:val="right"/>
                  <w:rPr>
                    <w:szCs w:val="21"/>
                  </w:rPr>
                </w:pPr>
              </w:p>
            </w:tc>
            <w:tc>
              <w:tcPr>
                <w:tcW w:w="896" w:type="pct"/>
                <w:shd w:val="clear" w:color="auto" w:fill="auto"/>
                <w:vAlign w:val="center"/>
              </w:tcPr>
              <w:p w:rsidR="006E65ED" w:rsidRPr="00756541" w:rsidRDefault="006E65ED" w:rsidP="00B637B2">
                <w:pPr>
                  <w:jc w:val="right"/>
                </w:pPr>
                <w:r w:rsidRPr="00756541">
                  <w:t>432,043,786</w:t>
                </w:r>
              </w:p>
            </w:tc>
            <w:tc>
              <w:tcPr>
                <w:tcW w:w="717" w:type="pct"/>
                <w:shd w:val="clear" w:color="auto" w:fill="auto"/>
                <w:vAlign w:val="center"/>
              </w:tcPr>
              <w:p w:rsidR="006E65ED" w:rsidRDefault="006E65ED" w:rsidP="00B637B2">
                <w:pPr>
                  <w:jc w:val="right"/>
                  <w:rPr>
                    <w:szCs w:val="21"/>
                  </w:rPr>
                </w:pPr>
                <w:r>
                  <w:t>3,399,500</w:t>
                </w:r>
              </w:p>
            </w:tc>
            <w:tc>
              <w:tcPr>
                <w:tcW w:w="896" w:type="pct"/>
                <w:shd w:val="clear" w:color="auto" w:fill="auto"/>
                <w:vAlign w:val="center"/>
              </w:tcPr>
              <w:p w:rsidR="006E65ED" w:rsidRPr="00190044" w:rsidRDefault="006E65ED" w:rsidP="00B637B2">
                <w:pPr>
                  <w:jc w:val="right"/>
                </w:pPr>
                <w:r w:rsidRPr="00190044">
                  <w:t xml:space="preserve"> 518,612,335</w:t>
                </w:r>
              </w:p>
            </w:tc>
          </w:tr>
          <w:tr w:rsidR="006E65ED" w:rsidTr="00B637B2">
            <w:trPr>
              <w:trHeight w:val="284"/>
            </w:trPr>
            <w:sdt>
              <w:sdtPr>
                <w:tag w:val="_PLD_1002de94b721483c99b3b05a42a37601"/>
                <w:id w:val="924841363"/>
                <w:lock w:val="sdtLocked"/>
              </w:sdtPr>
              <w:sdtContent>
                <w:tc>
                  <w:tcPr>
                    <w:tcW w:w="1027" w:type="pct"/>
                    <w:shd w:val="clear" w:color="auto" w:fill="auto"/>
                    <w:vAlign w:val="center"/>
                  </w:tcPr>
                  <w:p w:rsidR="006E65ED" w:rsidRDefault="006E65ED" w:rsidP="005D774F">
                    <w:pPr>
                      <w:ind w:firstLineChars="200" w:firstLine="420"/>
                      <w:rPr>
                        <w:szCs w:val="21"/>
                      </w:rPr>
                    </w:pPr>
                    <w:r>
                      <w:rPr>
                        <w:szCs w:val="21"/>
                      </w:rPr>
                      <w:t>2.本期增加</w:t>
                    </w:r>
                    <w:r>
                      <w:rPr>
                        <w:rFonts w:hint="eastAsia"/>
                        <w:szCs w:val="21"/>
                      </w:rPr>
                      <w:t>金额</w:t>
                    </w:r>
                  </w:p>
                </w:tc>
              </w:sdtContent>
            </w:sdt>
            <w:tc>
              <w:tcPr>
                <w:tcW w:w="777" w:type="pct"/>
                <w:shd w:val="clear" w:color="auto" w:fill="auto"/>
                <w:vAlign w:val="center"/>
              </w:tcPr>
              <w:p w:rsidR="006E65ED" w:rsidRDefault="008F04CF" w:rsidP="00B637B2">
                <w:pPr>
                  <w:jc w:val="right"/>
                </w:pPr>
                <w:r w:rsidRPr="00E36CAC">
                  <w:t>3,838,610</w:t>
                </w:r>
              </w:p>
            </w:tc>
            <w:tc>
              <w:tcPr>
                <w:tcW w:w="686" w:type="pct"/>
                <w:shd w:val="clear" w:color="auto" w:fill="auto"/>
                <w:vAlign w:val="center"/>
              </w:tcPr>
              <w:p w:rsidR="006E65ED" w:rsidRDefault="006E65ED" w:rsidP="00B637B2">
                <w:pPr>
                  <w:jc w:val="right"/>
                  <w:rPr>
                    <w:szCs w:val="21"/>
                  </w:rPr>
                </w:pPr>
              </w:p>
            </w:tc>
            <w:tc>
              <w:tcPr>
                <w:tcW w:w="896" w:type="pct"/>
                <w:shd w:val="clear" w:color="auto" w:fill="auto"/>
                <w:vAlign w:val="center"/>
              </w:tcPr>
              <w:p w:rsidR="006E65ED" w:rsidRDefault="008F04CF" w:rsidP="00B637B2">
                <w:pPr>
                  <w:jc w:val="right"/>
                </w:pPr>
                <w:r w:rsidRPr="00756541">
                  <w:t>72,713,866</w:t>
                </w:r>
              </w:p>
            </w:tc>
            <w:tc>
              <w:tcPr>
                <w:tcW w:w="717" w:type="pct"/>
                <w:shd w:val="clear" w:color="auto" w:fill="auto"/>
                <w:vAlign w:val="center"/>
              </w:tcPr>
              <w:p w:rsidR="006E65ED" w:rsidRDefault="008F04CF" w:rsidP="00B637B2">
                <w:pPr>
                  <w:jc w:val="right"/>
                  <w:rPr>
                    <w:szCs w:val="21"/>
                  </w:rPr>
                </w:pPr>
                <w:r>
                  <w:t>1,721,667</w:t>
                </w:r>
              </w:p>
            </w:tc>
            <w:tc>
              <w:tcPr>
                <w:tcW w:w="896" w:type="pct"/>
                <w:shd w:val="clear" w:color="auto" w:fill="auto"/>
                <w:vAlign w:val="center"/>
              </w:tcPr>
              <w:p w:rsidR="006E65ED" w:rsidRPr="00190044" w:rsidRDefault="008F04CF" w:rsidP="00B637B2">
                <w:pPr>
                  <w:jc w:val="right"/>
                </w:pPr>
                <w:r w:rsidRPr="00190044">
                  <w:t>78,274,143</w:t>
                </w:r>
              </w:p>
            </w:tc>
          </w:tr>
          <w:tr w:rsidR="006E65ED" w:rsidTr="00B637B2">
            <w:trPr>
              <w:trHeight w:val="284"/>
            </w:trPr>
            <w:sdt>
              <w:sdtPr>
                <w:tag w:val="_PLD_8a3c7c560c054537b4caae539fe46c59"/>
                <w:id w:val="2099451299"/>
                <w:lock w:val="sdtLocked"/>
              </w:sdtPr>
              <w:sdtContent>
                <w:tc>
                  <w:tcPr>
                    <w:tcW w:w="1027" w:type="pct"/>
                    <w:shd w:val="clear" w:color="auto" w:fill="auto"/>
                    <w:vAlign w:val="center"/>
                  </w:tcPr>
                  <w:p w:rsidR="006E65ED" w:rsidRDefault="006E65ED" w:rsidP="005D774F">
                    <w:pPr>
                      <w:ind w:firstLineChars="300" w:firstLine="630"/>
                      <w:rPr>
                        <w:szCs w:val="21"/>
                      </w:rPr>
                    </w:pPr>
                    <w:r>
                      <w:rPr>
                        <w:rFonts w:hint="eastAsia"/>
                        <w:szCs w:val="21"/>
                      </w:rPr>
                      <w:t>（1）</w:t>
                    </w:r>
                    <w:r>
                      <w:rPr>
                        <w:szCs w:val="21"/>
                      </w:rPr>
                      <w:t>计提</w:t>
                    </w:r>
                  </w:p>
                </w:tc>
              </w:sdtContent>
            </w:sdt>
            <w:tc>
              <w:tcPr>
                <w:tcW w:w="777" w:type="pct"/>
                <w:shd w:val="clear" w:color="auto" w:fill="auto"/>
                <w:vAlign w:val="center"/>
              </w:tcPr>
              <w:p w:rsidR="006E65ED" w:rsidRDefault="006E65ED" w:rsidP="00B637B2">
                <w:pPr>
                  <w:jc w:val="right"/>
                  <w:rPr>
                    <w:szCs w:val="21"/>
                  </w:rPr>
                </w:pPr>
                <w:r w:rsidRPr="00E36CAC">
                  <w:t>3,838,610</w:t>
                </w:r>
              </w:p>
            </w:tc>
            <w:tc>
              <w:tcPr>
                <w:tcW w:w="686" w:type="pct"/>
                <w:shd w:val="clear" w:color="auto" w:fill="auto"/>
                <w:vAlign w:val="center"/>
              </w:tcPr>
              <w:p w:rsidR="006E65ED" w:rsidRDefault="006E65ED" w:rsidP="00B637B2">
                <w:pPr>
                  <w:jc w:val="right"/>
                  <w:rPr>
                    <w:szCs w:val="21"/>
                  </w:rPr>
                </w:pPr>
              </w:p>
            </w:tc>
            <w:tc>
              <w:tcPr>
                <w:tcW w:w="896" w:type="pct"/>
                <w:shd w:val="clear" w:color="auto" w:fill="auto"/>
                <w:vAlign w:val="center"/>
              </w:tcPr>
              <w:p w:rsidR="006E65ED" w:rsidRDefault="006E65ED" w:rsidP="00B637B2">
                <w:pPr>
                  <w:jc w:val="right"/>
                  <w:rPr>
                    <w:szCs w:val="21"/>
                  </w:rPr>
                </w:pPr>
                <w:r w:rsidRPr="00756541">
                  <w:t>72,713,866</w:t>
                </w:r>
              </w:p>
            </w:tc>
            <w:tc>
              <w:tcPr>
                <w:tcW w:w="717" w:type="pct"/>
                <w:shd w:val="clear" w:color="auto" w:fill="auto"/>
                <w:vAlign w:val="center"/>
              </w:tcPr>
              <w:p w:rsidR="006E65ED" w:rsidRDefault="006E65ED" w:rsidP="00B637B2">
                <w:pPr>
                  <w:jc w:val="right"/>
                  <w:rPr>
                    <w:szCs w:val="21"/>
                  </w:rPr>
                </w:pPr>
                <w:r>
                  <w:t>1,721,667</w:t>
                </w:r>
              </w:p>
            </w:tc>
            <w:tc>
              <w:tcPr>
                <w:tcW w:w="896" w:type="pct"/>
                <w:shd w:val="clear" w:color="auto" w:fill="auto"/>
                <w:vAlign w:val="center"/>
              </w:tcPr>
              <w:p w:rsidR="006E65ED" w:rsidRDefault="006E65ED" w:rsidP="00B637B2">
                <w:pPr>
                  <w:jc w:val="right"/>
                  <w:rPr>
                    <w:szCs w:val="21"/>
                  </w:rPr>
                </w:pPr>
                <w:r w:rsidRPr="00190044">
                  <w:t>78,274,143</w:t>
                </w:r>
              </w:p>
            </w:tc>
          </w:tr>
          <w:tr w:rsidR="006E65ED" w:rsidTr="00B637B2">
            <w:trPr>
              <w:trHeight w:val="284"/>
            </w:trPr>
            <w:sdt>
              <w:sdtPr>
                <w:rPr>
                  <w:rFonts w:hint="eastAsia"/>
                  <w:szCs w:val="21"/>
                </w:rPr>
                <w:alias w:val="无形资产累计摊销增加项目名称"/>
                <w:tag w:val="_GBC_4c50300c8d7948e29642049bd51cde3e"/>
                <w:id w:val="1214391182"/>
                <w:lock w:val="sdtLocked"/>
                <w:showingPlcHdr/>
              </w:sdtPr>
              <w:sdtContent>
                <w:tc>
                  <w:tcPr>
                    <w:tcW w:w="1027" w:type="pct"/>
                    <w:shd w:val="clear" w:color="auto" w:fill="auto"/>
                  </w:tcPr>
                  <w:p w:rsidR="006E65ED" w:rsidRDefault="006E65ED" w:rsidP="005D774F">
                    <w:pPr>
                      <w:ind w:firstLineChars="300" w:firstLine="630"/>
                      <w:rPr>
                        <w:szCs w:val="21"/>
                      </w:rPr>
                    </w:pPr>
                    <w:r>
                      <w:rPr>
                        <w:rFonts w:hint="eastAsia"/>
                        <w:szCs w:val="21"/>
                      </w:rPr>
                      <w:t xml:space="preserve">　</w:t>
                    </w:r>
                  </w:p>
                </w:tc>
              </w:sdtContent>
            </w:sdt>
            <w:sdt>
              <w:sdtPr>
                <w:rPr>
                  <w:rFonts w:hint="eastAsia"/>
                  <w:szCs w:val="21"/>
                </w:rPr>
                <w:alias w:val="无形资产土地使用权累计摊销增加项目金额"/>
                <w:tag w:val="_GBC_6f3b78a39f1f45348d4b4dcd0d2b0569"/>
                <w:id w:val="1354690279"/>
                <w:lock w:val="sdtLocked"/>
                <w:showingPlcHdr/>
              </w:sdtPr>
              <w:sdtContent>
                <w:tc>
                  <w:tcPr>
                    <w:tcW w:w="777" w:type="pct"/>
                    <w:shd w:val="clear" w:color="auto" w:fill="auto"/>
                    <w:vAlign w:val="center"/>
                  </w:tcPr>
                  <w:p w:rsidR="006E65ED" w:rsidRDefault="006E65ED" w:rsidP="00B637B2">
                    <w:pPr>
                      <w:jc w:val="right"/>
                      <w:rPr>
                        <w:szCs w:val="21"/>
                      </w:rPr>
                    </w:pPr>
                    <w:r>
                      <w:rPr>
                        <w:rFonts w:hint="eastAsia"/>
                        <w:szCs w:val="21"/>
                      </w:rPr>
                      <w:t xml:space="preserve">　</w:t>
                    </w:r>
                  </w:p>
                </w:tc>
              </w:sdtContent>
            </w:sdt>
            <w:sdt>
              <w:sdtPr>
                <w:rPr>
                  <w:rFonts w:hint="eastAsia"/>
                  <w:szCs w:val="21"/>
                </w:rPr>
                <w:alias w:val="无形资产专利技术累计摊销增加项目金额"/>
                <w:tag w:val="_GBC_5324450a41a94517b586eb91c729ea6d"/>
                <w:id w:val="-1941215698"/>
                <w:lock w:val="sdtLocked"/>
                <w:showingPlcHdr/>
              </w:sdtPr>
              <w:sdtContent>
                <w:tc>
                  <w:tcPr>
                    <w:tcW w:w="686" w:type="pct"/>
                    <w:shd w:val="clear" w:color="auto" w:fill="auto"/>
                    <w:vAlign w:val="center"/>
                  </w:tcPr>
                  <w:p w:rsidR="006E65ED" w:rsidRDefault="006E65ED" w:rsidP="00B637B2">
                    <w:pPr>
                      <w:jc w:val="right"/>
                      <w:rPr>
                        <w:szCs w:val="21"/>
                      </w:rPr>
                    </w:pPr>
                    <w:r>
                      <w:rPr>
                        <w:rFonts w:hint="eastAsia"/>
                        <w:szCs w:val="21"/>
                      </w:rPr>
                      <w:t xml:space="preserve">　</w:t>
                    </w:r>
                  </w:p>
                </w:tc>
              </w:sdtContent>
            </w:sdt>
            <w:sdt>
              <w:sdtPr>
                <w:rPr>
                  <w:rFonts w:hint="eastAsia"/>
                  <w:szCs w:val="21"/>
                </w:rPr>
                <w:alias w:val="无形资产非专利技术累计摊销增加项目金额"/>
                <w:tag w:val="_GBC_4a761a5ccfea4b0dac40e38b69d5d86f"/>
                <w:id w:val="1465392006"/>
                <w:lock w:val="sdtLocked"/>
                <w:showingPlcHdr/>
              </w:sdtPr>
              <w:sdtContent>
                <w:tc>
                  <w:tcPr>
                    <w:tcW w:w="896" w:type="pct"/>
                    <w:shd w:val="clear" w:color="auto" w:fill="auto"/>
                    <w:vAlign w:val="center"/>
                  </w:tcPr>
                  <w:p w:rsidR="006E65ED" w:rsidRDefault="006E65ED" w:rsidP="00B637B2">
                    <w:pPr>
                      <w:jc w:val="right"/>
                      <w:rPr>
                        <w:szCs w:val="21"/>
                      </w:rPr>
                    </w:pPr>
                    <w:r>
                      <w:rPr>
                        <w:rFonts w:hint="eastAsia"/>
                        <w:szCs w:val="21"/>
                      </w:rPr>
                      <w:t xml:space="preserve">　</w:t>
                    </w:r>
                  </w:p>
                </w:tc>
              </w:sdtContent>
            </w:sdt>
            <w:sdt>
              <w:sdtPr>
                <w:rPr>
                  <w:rFonts w:hint="eastAsia"/>
                  <w:szCs w:val="21"/>
                </w:rPr>
                <w:alias w:val="无形资产累计摊销增加项目金额"/>
                <w:tag w:val="_GBC_be793f363ede4d81a059f7c3f73d8e7c"/>
                <w:id w:val="580182013"/>
                <w:lock w:val="sdtLocked"/>
                <w:showingPlcHdr/>
              </w:sdtPr>
              <w:sdtContent>
                <w:tc>
                  <w:tcPr>
                    <w:tcW w:w="717" w:type="pct"/>
                    <w:shd w:val="clear" w:color="auto" w:fill="auto"/>
                    <w:vAlign w:val="center"/>
                  </w:tcPr>
                  <w:p w:rsidR="006E65ED" w:rsidRDefault="006E65ED" w:rsidP="00B637B2">
                    <w:pPr>
                      <w:jc w:val="right"/>
                      <w:rPr>
                        <w:szCs w:val="21"/>
                      </w:rPr>
                    </w:pPr>
                    <w:r>
                      <w:rPr>
                        <w:rFonts w:hint="eastAsia"/>
                        <w:szCs w:val="21"/>
                      </w:rPr>
                      <w:t xml:space="preserve">　</w:t>
                    </w:r>
                  </w:p>
                </w:tc>
              </w:sdtContent>
            </w:sdt>
            <w:sdt>
              <w:sdtPr>
                <w:rPr>
                  <w:rFonts w:hint="eastAsia"/>
                  <w:szCs w:val="21"/>
                </w:rPr>
                <w:alias w:val="无形资产累计摊销增加项目合计金额"/>
                <w:tag w:val="_GBC_2786960157f34a39a4cf247d142f7392"/>
                <w:id w:val="1552116920"/>
                <w:lock w:val="sdtLocked"/>
                <w:showingPlcHdr/>
              </w:sdtPr>
              <w:sdtContent>
                <w:tc>
                  <w:tcPr>
                    <w:tcW w:w="896" w:type="pct"/>
                    <w:shd w:val="clear" w:color="auto" w:fill="auto"/>
                    <w:vAlign w:val="center"/>
                  </w:tcPr>
                  <w:p w:rsidR="006E65ED" w:rsidRDefault="006E65ED" w:rsidP="00B637B2">
                    <w:pPr>
                      <w:jc w:val="right"/>
                      <w:rPr>
                        <w:szCs w:val="21"/>
                      </w:rPr>
                    </w:pPr>
                    <w:r>
                      <w:rPr>
                        <w:rFonts w:hint="eastAsia"/>
                        <w:szCs w:val="21"/>
                      </w:rPr>
                      <w:t xml:space="preserve">　</w:t>
                    </w:r>
                  </w:p>
                </w:tc>
              </w:sdtContent>
            </w:sdt>
          </w:tr>
          <w:tr w:rsidR="006E65ED" w:rsidTr="00B637B2">
            <w:trPr>
              <w:trHeight w:val="284"/>
            </w:trPr>
            <w:sdt>
              <w:sdtPr>
                <w:rPr>
                  <w:rFonts w:hint="eastAsia"/>
                  <w:szCs w:val="21"/>
                </w:rPr>
                <w:alias w:val="无形资产累计摊销增加项目名称"/>
                <w:tag w:val="_GBC_4c50300c8d7948e29642049bd51cde3e"/>
                <w:id w:val="713625455"/>
                <w:lock w:val="sdtLocked"/>
                <w:showingPlcHdr/>
              </w:sdtPr>
              <w:sdtContent>
                <w:tc>
                  <w:tcPr>
                    <w:tcW w:w="1027" w:type="pct"/>
                    <w:shd w:val="clear" w:color="auto" w:fill="auto"/>
                  </w:tcPr>
                  <w:p w:rsidR="006E65ED" w:rsidRDefault="006E65ED" w:rsidP="005D774F">
                    <w:pPr>
                      <w:ind w:firstLineChars="300" w:firstLine="630"/>
                      <w:rPr>
                        <w:szCs w:val="21"/>
                      </w:rPr>
                    </w:pPr>
                    <w:r>
                      <w:rPr>
                        <w:rFonts w:hint="eastAsia"/>
                        <w:szCs w:val="21"/>
                      </w:rPr>
                      <w:t xml:space="preserve">　</w:t>
                    </w:r>
                  </w:p>
                </w:tc>
              </w:sdtContent>
            </w:sdt>
            <w:sdt>
              <w:sdtPr>
                <w:rPr>
                  <w:rFonts w:hint="eastAsia"/>
                  <w:szCs w:val="21"/>
                </w:rPr>
                <w:alias w:val="无形资产土地使用权累计摊销增加项目金额"/>
                <w:tag w:val="_GBC_6f3b78a39f1f45348d4b4dcd0d2b0569"/>
                <w:id w:val="1601825956"/>
                <w:lock w:val="sdtLocked"/>
                <w:showingPlcHdr/>
              </w:sdtPr>
              <w:sdtContent>
                <w:tc>
                  <w:tcPr>
                    <w:tcW w:w="777" w:type="pct"/>
                    <w:shd w:val="clear" w:color="auto" w:fill="auto"/>
                    <w:vAlign w:val="center"/>
                  </w:tcPr>
                  <w:p w:rsidR="006E65ED" w:rsidRDefault="006E65ED" w:rsidP="00B637B2">
                    <w:pPr>
                      <w:jc w:val="right"/>
                      <w:rPr>
                        <w:szCs w:val="21"/>
                      </w:rPr>
                    </w:pPr>
                    <w:r>
                      <w:rPr>
                        <w:rFonts w:hint="eastAsia"/>
                        <w:szCs w:val="21"/>
                      </w:rPr>
                      <w:t xml:space="preserve">　</w:t>
                    </w:r>
                  </w:p>
                </w:tc>
              </w:sdtContent>
            </w:sdt>
            <w:sdt>
              <w:sdtPr>
                <w:rPr>
                  <w:rFonts w:hint="eastAsia"/>
                  <w:szCs w:val="21"/>
                </w:rPr>
                <w:alias w:val="无形资产专利技术累计摊销增加项目金额"/>
                <w:tag w:val="_GBC_5324450a41a94517b586eb91c729ea6d"/>
                <w:id w:val="-1166243567"/>
                <w:lock w:val="sdtLocked"/>
                <w:showingPlcHdr/>
              </w:sdtPr>
              <w:sdtContent>
                <w:tc>
                  <w:tcPr>
                    <w:tcW w:w="686" w:type="pct"/>
                    <w:shd w:val="clear" w:color="auto" w:fill="auto"/>
                    <w:vAlign w:val="center"/>
                  </w:tcPr>
                  <w:p w:rsidR="006E65ED" w:rsidRDefault="006E65ED" w:rsidP="00B637B2">
                    <w:pPr>
                      <w:jc w:val="right"/>
                      <w:rPr>
                        <w:szCs w:val="21"/>
                      </w:rPr>
                    </w:pPr>
                    <w:r>
                      <w:rPr>
                        <w:rFonts w:hint="eastAsia"/>
                        <w:szCs w:val="21"/>
                      </w:rPr>
                      <w:t xml:space="preserve">　</w:t>
                    </w:r>
                  </w:p>
                </w:tc>
              </w:sdtContent>
            </w:sdt>
            <w:sdt>
              <w:sdtPr>
                <w:rPr>
                  <w:rFonts w:hint="eastAsia"/>
                  <w:szCs w:val="21"/>
                </w:rPr>
                <w:alias w:val="无形资产非专利技术累计摊销增加项目金额"/>
                <w:tag w:val="_GBC_4a761a5ccfea4b0dac40e38b69d5d86f"/>
                <w:id w:val="-1062484159"/>
                <w:lock w:val="sdtLocked"/>
                <w:showingPlcHdr/>
              </w:sdtPr>
              <w:sdtContent>
                <w:tc>
                  <w:tcPr>
                    <w:tcW w:w="896" w:type="pct"/>
                    <w:shd w:val="clear" w:color="auto" w:fill="auto"/>
                    <w:vAlign w:val="center"/>
                  </w:tcPr>
                  <w:p w:rsidR="006E65ED" w:rsidRDefault="006E65ED" w:rsidP="00B637B2">
                    <w:pPr>
                      <w:jc w:val="right"/>
                      <w:rPr>
                        <w:szCs w:val="21"/>
                      </w:rPr>
                    </w:pPr>
                    <w:r>
                      <w:rPr>
                        <w:rFonts w:hint="eastAsia"/>
                        <w:szCs w:val="21"/>
                      </w:rPr>
                      <w:t xml:space="preserve">　</w:t>
                    </w:r>
                  </w:p>
                </w:tc>
              </w:sdtContent>
            </w:sdt>
            <w:sdt>
              <w:sdtPr>
                <w:rPr>
                  <w:rFonts w:hint="eastAsia"/>
                  <w:szCs w:val="21"/>
                </w:rPr>
                <w:alias w:val="无形资产累计摊销增加项目金额"/>
                <w:tag w:val="_GBC_be793f363ede4d81a059f7c3f73d8e7c"/>
                <w:id w:val="1661346454"/>
                <w:lock w:val="sdtLocked"/>
                <w:showingPlcHdr/>
              </w:sdtPr>
              <w:sdtContent>
                <w:tc>
                  <w:tcPr>
                    <w:tcW w:w="717" w:type="pct"/>
                    <w:shd w:val="clear" w:color="auto" w:fill="auto"/>
                    <w:vAlign w:val="center"/>
                  </w:tcPr>
                  <w:p w:rsidR="006E65ED" w:rsidRDefault="006E65ED" w:rsidP="00B637B2">
                    <w:pPr>
                      <w:jc w:val="right"/>
                      <w:rPr>
                        <w:szCs w:val="21"/>
                      </w:rPr>
                    </w:pPr>
                    <w:r>
                      <w:rPr>
                        <w:rFonts w:hint="eastAsia"/>
                        <w:szCs w:val="21"/>
                      </w:rPr>
                      <w:t xml:space="preserve">　</w:t>
                    </w:r>
                  </w:p>
                </w:tc>
              </w:sdtContent>
            </w:sdt>
            <w:sdt>
              <w:sdtPr>
                <w:rPr>
                  <w:rFonts w:hint="eastAsia"/>
                  <w:szCs w:val="21"/>
                </w:rPr>
                <w:alias w:val="无形资产累计摊销增加项目合计金额"/>
                <w:tag w:val="_GBC_2786960157f34a39a4cf247d142f7392"/>
                <w:id w:val="281160629"/>
                <w:lock w:val="sdtLocked"/>
                <w:showingPlcHdr/>
              </w:sdtPr>
              <w:sdtContent>
                <w:tc>
                  <w:tcPr>
                    <w:tcW w:w="896" w:type="pct"/>
                    <w:shd w:val="clear" w:color="auto" w:fill="auto"/>
                    <w:vAlign w:val="center"/>
                  </w:tcPr>
                  <w:p w:rsidR="006E65ED" w:rsidRDefault="006E65ED" w:rsidP="00B637B2">
                    <w:pPr>
                      <w:jc w:val="right"/>
                      <w:rPr>
                        <w:szCs w:val="21"/>
                      </w:rPr>
                    </w:pPr>
                    <w:r>
                      <w:rPr>
                        <w:rFonts w:hint="eastAsia"/>
                        <w:szCs w:val="21"/>
                      </w:rPr>
                      <w:t xml:space="preserve">　</w:t>
                    </w:r>
                  </w:p>
                </w:tc>
              </w:sdtContent>
            </w:sdt>
          </w:tr>
          <w:tr w:rsidR="006E65ED" w:rsidTr="00B637B2">
            <w:trPr>
              <w:trHeight w:val="284"/>
            </w:trPr>
            <w:sdt>
              <w:sdtPr>
                <w:tag w:val="_PLD_915cb31bb4224f868e630c1166a0d717"/>
                <w:id w:val="452994097"/>
                <w:lock w:val="sdtLocked"/>
              </w:sdtPr>
              <w:sdtContent>
                <w:tc>
                  <w:tcPr>
                    <w:tcW w:w="1027" w:type="pct"/>
                    <w:shd w:val="clear" w:color="auto" w:fill="auto"/>
                    <w:vAlign w:val="center"/>
                  </w:tcPr>
                  <w:p w:rsidR="006E65ED" w:rsidRDefault="006E65ED" w:rsidP="005D774F">
                    <w:pPr>
                      <w:ind w:firstLineChars="200" w:firstLine="420"/>
                      <w:rPr>
                        <w:szCs w:val="21"/>
                      </w:rPr>
                    </w:pPr>
                    <w:r>
                      <w:rPr>
                        <w:rFonts w:hint="eastAsia"/>
                        <w:szCs w:val="21"/>
                      </w:rPr>
                      <w:t>3.</w:t>
                    </w:r>
                    <w:r>
                      <w:rPr>
                        <w:szCs w:val="21"/>
                      </w:rPr>
                      <w:t>本期减少</w:t>
                    </w:r>
                    <w:r>
                      <w:rPr>
                        <w:rFonts w:hint="eastAsia"/>
                        <w:szCs w:val="21"/>
                      </w:rPr>
                      <w:t>金额</w:t>
                    </w:r>
                  </w:p>
                </w:tc>
              </w:sdtContent>
            </w:sdt>
            <w:tc>
              <w:tcPr>
                <w:tcW w:w="777" w:type="pct"/>
                <w:shd w:val="clear" w:color="auto" w:fill="auto"/>
                <w:vAlign w:val="center"/>
              </w:tcPr>
              <w:p w:rsidR="006E65ED" w:rsidRDefault="006E65ED" w:rsidP="00B637B2">
                <w:pPr>
                  <w:jc w:val="right"/>
                  <w:rPr>
                    <w:szCs w:val="21"/>
                  </w:rPr>
                </w:pPr>
              </w:p>
            </w:tc>
            <w:tc>
              <w:tcPr>
                <w:tcW w:w="686" w:type="pct"/>
                <w:shd w:val="clear" w:color="auto" w:fill="auto"/>
                <w:vAlign w:val="center"/>
              </w:tcPr>
              <w:p w:rsidR="006E65ED" w:rsidRDefault="006E65ED" w:rsidP="00B637B2">
                <w:pPr>
                  <w:jc w:val="right"/>
                  <w:rPr>
                    <w:szCs w:val="21"/>
                  </w:rPr>
                </w:pPr>
              </w:p>
            </w:tc>
            <w:tc>
              <w:tcPr>
                <w:tcW w:w="896" w:type="pct"/>
                <w:shd w:val="clear" w:color="auto" w:fill="auto"/>
                <w:vAlign w:val="center"/>
              </w:tcPr>
              <w:p w:rsidR="006E65ED" w:rsidRDefault="006E65ED" w:rsidP="00B637B2">
                <w:pPr>
                  <w:jc w:val="right"/>
                  <w:rPr>
                    <w:szCs w:val="21"/>
                  </w:rPr>
                </w:pPr>
              </w:p>
            </w:tc>
            <w:tc>
              <w:tcPr>
                <w:tcW w:w="717" w:type="pct"/>
                <w:shd w:val="clear" w:color="auto" w:fill="auto"/>
                <w:vAlign w:val="center"/>
              </w:tcPr>
              <w:p w:rsidR="006E65ED" w:rsidRDefault="006E65ED" w:rsidP="00B637B2">
                <w:pPr>
                  <w:jc w:val="right"/>
                  <w:rPr>
                    <w:szCs w:val="21"/>
                  </w:rPr>
                </w:pPr>
              </w:p>
            </w:tc>
            <w:tc>
              <w:tcPr>
                <w:tcW w:w="896" w:type="pct"/>
                <w:shd w:val="clear" w:color="auto" w:fill="auto"/>
                <w:vAlign w:val="center"/>
              </w:tcPr>
              <w:p w:rsidR="006E65ED" w:rsidRDefault="006E65ED" w:rsidP="00B637B2">
                <w:pPr>
                  <w:jc w:val="right"/>
                  <w:rPr>
                    <w:szCs w:val="21"/>
                  </w:rPr>
                </w:pPr>
              </w:p>
            </w:tc>
          </w:tr>
          <w:tr w:rsidR="006E65ED" w:rsidTr="00B637B2">
            <w:trPr>
              <w:trHeight w:val="284"/>
            </w:trPr>
            <w:sdt>
              <w:sdtPr>
                <w:tag w:val="_PLD_0d3cdfa6a81e4a8ab3796288b6ac246d"/>
                <w:id w:val="-1428957906"/>
                <w:lock w:val="sdtLocked"/>
              </w:sdtPr>
              <w:sdtContent>
                <w:tc>
                  <w:tcPr>
                    <w:tcW w:w="1027" w:type="pct"/>
                    <w:shd w:val="clear" w:color="auto" w:fill="auto"/>
                    <w:vAlign w:val="center"/>
                  </w:tcPr>
                  <w:p w:rsidR="006E65ED" w:rsidRDefault="006E65ED" w:rsidP="005D774F">
                    <w:pPr>
                      <w:ind w:firstLineChars="300" w:firstLine="630"/>
                      <w:rPr>
                        <w:szCs w:val="21"/>
                      </w:rPr>
                    </w:pPr>
                    <w:r>
                      <w:rPr>
                        <w:szCs w:val="21"/>
                      </w:rPr>
                      <w:t xml:space="preserve"> (</w:t>
                    </w:r>
                    <w:r>
                      <w:rPr>
                        <w:rFonts w:hint="eastAsia"/>
                        <w:szCs w:val="21"/>
                      </w:rPr>
                      <w:t>1</w:t>
                    </w:r>
                    <w:r>
                      <w:rPr>
                        <w:szCs w:val="21"/>
                      </w:rPr>
                      <w:t>)</w:t>
                    </w:r>
                    <w:r>
                      <w:rPr>
                        <w:rFonts w:hint="eastAsia"/>
                        <w:szCs w:val="21"/>
                      </w:rPr>
                      <w:t>处置</w:t>
                    </w:r>
                  </w:p>
                </w:tc>
              </w:sdtContent>
            </w:sdt>
            <w:tc>
              <w:tcPr>
                <w:tcW w:w="777" w:type="pct"/>
                <w:shd w:val="clear" w:color="auto" w:fill="auto"/>
                <w:vAlign w:val="center"/>
              </w:tcPr>
              <w:p w:rsidR="006E65ED" w:rsidRDefault="006E65ED" w:rsidP="00B637B2">
                <w:pPr>
                  <w:jc w:val="right"/>
                  <w:rPr>
                    <w:szCs w:val="21"/>
                  </w:rPr>
                </w:pPr>
              </w:p>
            </w:tc>
            <w:tc>
              <w:tcPr>
                <w:tcW w:w="686" w:type="pct"/>
                <w:shd w:val="clear" w:color="auto" w:fill="auto"/>
                <w:vAlign w:val="center"/>
              </w:tcPr>
              <w:p w:rsidR="006E65ED" w:rsidRDefault="006E65ED" w:rsidP="00B637B2">
                <w:pPr>
                  <w:jc w:val="right"/>
                  <w:rPr>
                    <w:szCs w:val="21"/>
                  </w:rPr>
                </w:pPr>
              </w:p>
            </w:tc>
            <w:tc>
              <w:tcPr>
                <w:tcW w:w="896" w:type="pct"/>
                <w:shd w:val="clear" w:color="auto" w:fill="auto"/>
                <w:vAlign w:val="center"/>
              </w:tcPr>
              <w:p w:rsidR="006E65ED" w:rsidRDefault="006E65ED" w:rsidP="00B637B2">
                <w:pPr>
                  <w:jc w:val="right"/>
                  <w:rPr>
                    <w:szCs w:val="21"/>
                  </w:rPr>
                </w:pPr>
              </w:p>
            </w:tc>
            <w:tc>
              <w:tcPr>
                <w:tcW w:w="717" w:type="pct"/>
                <w:shd w:val="clear" w:color="auto" w:fill="auto"/>
                <w:vAlign w:val="center"/>
              </w:tcPr>
              <w:p w:rsidR="006E65ED" w:rsidRDefault="006E65ED" w:rsidP="00B637B2">
                <w:pPr>
                  <w:jc w:val="right"/>
                  <w:rPr>
                    <w:szCs w:val="21"/>
                  </w:rPr>
                </w:pPr>
              </w:p>
            </w:tc>
            <w:tc>
              <w:tcPr>
                <w:tcW w:w="896" w:type="pct"/>
                <w:shd w:val="clear" w:color="auto" w:fill="auto"/>
                <w:vAlign w:val="center"/>
              </w:tcPr>
              <w:p w:rsidR="006E65ED" w:rsidRDefault="006E65ED" w:rsidP="00B637B2">
                <w:pPr>
                  <w:jc w:val="right"/>
                  <w:rPr>
                    <w:szCs w:val="21"/>
                  </w:rPr>
                </w:pPr>
              </w:p>
            </w:tc>
          </w:tr>
          <w:tr w:rsidR="006E65ED" w:rsidTr="00B637B2">
            <w:trPr>
              <w:trHeight w:val="284"/>
            </w:trPr>
            <w:sdt>
              <w:sdtPr>
                <w:rPr>
                  <w:rFonts w:hint="eastAsia"/>
                  <w:szCs w:val="21"/>
                </w:rPr>
                <w:alias w:val="无形资产累计摊销减少项目名称"/>
                <w:tag w:val="_GBC_8d1d573ce9514131bd88f011a71031e5"/>
                <w:id w:val="-1256435642"/>
                <w:lock w:val="sdtLocked"/>
                <w:showingPlcHdr/>
              </w:sdtPr>
              <w:sdtContent>
                <w:tc>
                  <w:tcPr>
                    <w:tcW w:w="1027" w:type="pct"/>
                    <w:shd w:val="clear" w:color="auto" w:fill="auto"/>
                  </w:tcPr>
                  <w:p w:rsidR="006E65ED" w:rsidRDefault="006E65ED" w:rsidP="005D774F">
                    <w:pPr>
                      <w:ind w:firstLineChars="300" w:firstLine="630"/>
                      <w:rPr>
                        <w:szCs w:val="21"/>
                      </w:rPr>
                    </w:pPr>
                    <w:r>
                      <w:rPr>
                        <w:rFonts w:hint="eastAsia"/>
                        <w:szCs w:val="21"/>
                      </w:rPr>
                      <w:t xml:space="preserve">　</w:t>
                    </w:r>
                  </w:p>
                </w:tc>
              </w:sdtContent>
            </w:sdt>
            <w:sdt>
              <w:sdtPr>
                <w:rPr>
                  <w:rFonts w:hint="eastAsia"/>
                  <w:szCs w:val="21"/>
                </w:rPr>
                <w:alias w:val="无形资产土地使用权累计摊销减少项目金额"/>
                <w:tag w:val="_GBC_987ef0db30024afcb4aface24a92b120"/>
                <w:id w:val="-807467199"/>
                <w:lock w:val="sdtLocked"/>
                <w:showingPlcHdr/>
              </w:sdtPr>
              <w:sdtContent>
                <w:tc>
                  <w:tcPr>
                    <w:tcW w:w="777" w:type="pct"/>
                    <w:shd w:val="clear" w:color="auto" w:fill="auto"/>
                    <w:vAlign w:val="center"/>
                  </w:tcPr>
                  <w:p w:rsidR="006E65ED" w:rsidRDefault="006E65ED" w:rsidP="00B637B2">
                    <w:pPr>
                      <w:jc w:val="right"/>
                      <w:rPr>
                        <w:szCs w:val="21"/>
                      </w:rPr>
                    </w:pPr>
                    <w:r>
                      <w:rPr>
                        <w:rFonts w:hint="eastAsia"/>
                        <w:szCs w:val="21"/>
                      </w:rPr>
                      <w:t xml:space="preserve">　</w:t>
                    </w:r>
                  </w:p>
                </w:tc>
              </w:sdtContent>
            </w:sdt>
            <w:sdt>
              <w:sdtPr>
                <w:rPr>
                  <w:rFonts w:hint="eastAsia"/>
                  <w:szCs w:val="21"/>
                </w:rPr>
                <w:alias w:val="无形资产专利技术累计摊销减少项目金额"/>
                <w:tag w:val="_GBC_78c34a803d9e49378c074a1e28eb4c3a"/>
                <w:id w:val="-1682738526"/>
                <w:lock w:val="sdtLocked"/>
                <w:showingPlcHdr/>
              </w:sdtPr>
              <w:sdtContent>
                <w:tc>
                  <w:tcPr>
                    <w:tcW w:w="686" w:type="pct"/>
                    <w:shd w:val="clear" w:color="auto" w:fill="auto"/>
                    <w:vAlign w:val="center"/>
                  </w:tcPr>
                  <w:p w:rsidR="006E65ED" w:rsidRDefault="006E65ED" w:rsidP="00B637B2">
                    <w:pPr>
                      <w:jc w:val="right"/>
                      <w:rPr>
                        <w:szCs w:val="21"/>
                      </w:rPr>
                    </w:pPr>
                    <w:r>
                      <w:rPr>
                        <w:rFonts w:hint="eastAsia"/>
                        <w:szCs w:val="21"/>
                      </w:rPr>
                      <w:t xml:space="preserve">　</w:t>
                    </w:r>
                  </w:p>
                </w:tc>
              </w:sdtContent>
            </w:sdt>
            <w:sdt>
              <w:sdtPr>
                <w:rPr>
                  <w:rFonts w:hint="eastAsia"/>
                  <w:szCs w:val="21"/>
                </w:rPr>
                <w:alias w:val="无形资产非专利技术累计摊销减少项目金额"/>
                <w:tag w:val="_GBC_2382de0ed7df4e29a7e6cf61e594373f"/>
                <w:id w:val="157737665"/>
                <w:lock w:val="sdtLocked"/>
                <w:showingPlcHdr/>
              </w:sdtPr>
              <w:sdtContent>
                <w:tc>
                  <w:tcPr>
                    <w:tcW w:w="896" w:type="pct"/>
                    <w:shd w:val="clear" w:color="auto" w:fill="auto"/>
                    <w:vAlign w:val="center"/>
                  </w:tcPr>
                  <w:p w:rsidR="006E65ED" w:rsidRDefault="006E65ED" w:rsidP="00B637B2">
                    <w:pPr>
                      <w:jc w:val="right"/>
                      <w:rPr>
                        <w:szCs w:val="21"/>
                      </w:rPr>
                    </w:pPr>
                    <w:r>
                      <w:rPr>
                        <w:rFonts w:hint="eastAsia"/>
                        <w:szCs w:val="21"/>
                      </w:rPr>
                      <w:t xml:space="preserve">　</w:t>
                    </w:r>
                  </w:p>
                </w:tc>
              </w:sdtContent>
            </w:sdt>
            <w:sdt>
              <w:sdtPr>
                <w:rPr>
                  <w:rFonts w:hint="eastAsia"/>
                  <w:szCs w:val="21"/>
                </w:rPr>
                <w:alias w:val="无形资产累计摊销减少项目金额"/>
                <w:tag w:val="_GBC_d780250aa2144176a5374f9330f1e913"/>
                <w:id w:val="1829088751"/>
                <w:lock w:val="sdtLocked"/>
                <w:showingPlcHdr/>
              </w:sdtPr>
              <w:sdtContent>
                <w:tc>
                  <w:tcPr>
                    <w:tcW w:w="717" w:type="pct"/>
                    <w:shd w:val="clear" w:color="auto" w:fill="auto"/>
                    <w:vAlign w:val="center"/>
                  </w:tcPr>
                  <w:p w:rsidR="006E65ED" w:rsidRDefault="006E65ED" w:rsidP="00B637B2">
                    <w:pPr>
                      <w:jc w:val="right"/>
                      <w:rPr>
                        <w:szCs w:val="21"/>
                      </w:rPr>
                    </w:pPr>
                    <w:r>
                      <w:rPr>
                        <w:rFonts w:hint="eastAsia"/>
                        <w:szCs w:val="21"/>
                      </w:rPr>
                      <w:t xml:space="preserve">　</w:t>
                    </w:r>
                  </w:p>
                </w:tc>
              </w:sdtContent>
            </w:sdt>
            <w:sdt>
              <w:sdtPr>
                <w:rPr>
                  <w:rFonts w:hint="eastAsia"/>
                  <w:szCs w:val="21"/>
                </w:rPr>
                <w:alias w:val="无形资产累计摊销减少项目合计金额"/>
                <w:tag w:val="_GBC_ce3de533f641438f96cdd26f528b12f9"/>
                <w:id w:val="102151209"/>
                <w:lock w:val="sdtLocked"/>
                <w:showingPlcHdr/>
              </w:sdtPr>
              <w:sdtContent>
                <w:tc>
                  <w:tcPr>
                    <w:tcW w:w="896" w:type="pct"/>
                    <w:shd w:val="clear" w:color="auto" w:fill="auto"/>
                    <w:vAlign w:val="center"/>
                  </w:tcPr>
                  <w:p w:rsidR="006E65ED" w:rsidRDefault="006E65ED" w:rsidP="00B637B2">
                    <w:pPr>
                      <w:jc w:val="right"/>
                      <w:rPr>
                        <w:szCs w:val="21"/>
                      </w:rPr>
                    </w:pPr>
                    <w:r>
                      <w:rPr>
                        <w:rFonts w:hint="eastAsia"/>
                        <w:szCs w:val="21"/>
                      </w:rPr>
                      <w:t xml:space="preserve">　</w:t>
                    </w:r>
                  </w:p>
                </w:tc>
              </w:sdtContent>
            </w:sdt>
          </w:tr>
          <w:tr w:rsidR="006E65ED" w:rsidTr="00B637B2">
            <w:trPr>
              <w:trHeight w:val="284"/>
            </w:trPr>
            <w:sdt>
              <w:sdtPr>
                <w:rPr>
                  <w:rFonts w:hint="eastAsia"/>
                  <w:szCs w:val="21"/>
                </w:rPr>
                <w:alias w:val="无形资产累计摊销减少项目名称"/>
                <w:tag w:val="_GBC_8d1d573ce9514131bd88f011a71031e5"/>
                <w:id w:val="-418411232"/>
                <w:lock w:val="sdtLocked"/>
                <w:showingPlcHdr/>
              </w:sdtPr>
              <w:sdtContent>
                <w:tc>
                  <w:tcPr>
                    <w:tcW w:w="1027" w:type="pct"/>
                    <w:shd w:val="clear" w:color="auto" w:fill="auto"/>
                  </w:tcPr>
                  <w:p w:rsidR="006E65ED" w:rsidRDefault="006E65ED" w:rsidP="005D774F">
                    <w:pPr>
                      <w:ind w:firstLineChars="300" w:firstLine="630"/>
                      <w:rPr>
                        <w:szCs w:val="21"/>
                      </w:rPr>
                    </w:pPr>
                    <w:r>
                      <w:rPr>
                        <w:rFonts w:hint="eastAsia"/>
                        <w:szCs w:val="21"/>
                      </w:rPr>
                      <w:t xml:space="preserve">　</w:t>
                    </w:r>
                  </w:p>
                </w:tc>
              </w:sdtContent>
            </w:sdt>
            <w:sdt>
              <w:sdtPr>
                <w:rPr>
                  <w:rFonts w:hint="eastAsia"/>
                  <w:szCs w:val="21"/>
                </w:rPr>
                <w:alias w:val="无形资产土地使用权累计摊销减少项目金额"/>
                <w:tag w:val="_GBC_987ef0db30024afcb4aface24a92b120"/>
                <w:id w:val="1848907460"/>
                <w:lock w:val="sdtLocked"/>
                <w:showingPlcHdr/>
              </w:sdtPr>
              <w:sdtContent>
                <w:tc>
                  <w:tcPr>
                    <w:tcW w:w="777" w:type="pct"/>
                    <w:shd w:val="clear" w:color="auto" w:fill="auto"/>
                    <w:vAlign w:val="center"/>
                  </w:tcPr>
                  <w:p w:rsidR="006E65ED" w:rsidRDefault="006E65ED" w:rsidP="00B637B2">
                    <w:pPr>
                      <w:jc w:val="right"/>
                      <w:rPr>
                        <w:szCs w:val="21"/>
                      </w:rPr>
                    </w:pPr>
                    <w:r>
                      <w:rPr>
                        <w:rFonts w:hint="eastAsia"/>
                        <w:szCs w:val="21"/>
                      </w:rPr>
                      <w:t xml:space="preserve">　</w:t>
                    </w:r>
                  </w:p>
                </w:tc>
              </w:sdtContent>
            </w:sdt>
            <w:sdt>
              <w:sdtPr>
                <w:rPr>
                  <w:rFonts w:hint="eastAsia"/>
                  <w:szCs w:val="21"/>
                </w:rPr>
                <w:alias w:val="无形资产专利技术累计摊销减少项目金额"/>
                <w:tag w:val="_GBC_78c34a803d9e49378c074a1e28eb4c3a"/>
                <w:id w:val="-1418242517"/>
                <w:lock w:val="sdtLocked"/>
                <w:showingPlcHdr/>
              </w:sdtPr>
              <w:sdtContent>
                <w:tc>
                  <w:tcPr>
                    <w:tcW w:w="686" w:type="pct"/>
                    <w:shd w:val="clear" w:color="auto" w:fill="auto"/>
                    <w:vAlign w:val="center"/>
                  </w:tcPr>
                  <w:p w:rsidR="006E65ED" w:rsidRDefault="006E65ED" w:rsidP="00B637B2">
                    <w:pPr>
                      <w:jc w:val="right"/>
                      <w:rPr>
                        <w:szCs w:val="21"/>
                      </w:rPr>
                    </w:pPr>
                    <w:r>
                      <w:rPr>
                        <w:rFonts w:hint="eastAsia"/>
                        <w:szCs w:val="21"/>
                      </w:rPr>
                      <w:t xml:space="preserve">　</w:t>
                    </w:r>
                  </w:p>
                </w:tc>
              </w:sdtContent>
            </w:sdt>
            <w:sdt>
              <w:sdtPr>
                <w:rPr>
                  <w:rFonts w:hint="eastAsia"/>
                  <w:szCs w:val="21"/>
                </w:rPr>
                <w:alias w:val="无形资产非专利技术累计摊销减少项目金额"/>
                <w:tag w:val="_GBC_2382de0ed7df4e29a7e6cf61e594373f"/>
                <w:id w:val="-136808576"/>
                <w:lock w:val="sdtLocked"/>
                <w:showingPlcHdr/>
              </w:sdtPr>
              <w:sdtContent>
                <w:tc>
                  <w:tcPr>
                    <w:tcW w:w="896" w:type="pct"/>
                    <w:shd w:val="clear" w:color="auto" w:fill="auto"/>
                    <w:vAlign w:val="center"/>
                  </w:tcPr>
                  <w:p w:rsidR="006E65ED" w:rsidRDefault="006E65ED" w:rsidP="00B637B2">
                    <w:pPr>
                      <w:jc w:val="right"/>
                      <w:rPr>
                        <w:szCs w:val="21"/>
                      </w:rPr>
                    </w:pPr>
                    <w:r>
                      <w:rPr>
                        <w:rFonts w:hint="eastAsia"/>
                        <w:szCs w:val="21"/>
                      </w:rPr>
                      <w:t xml:space="preserve">　</w:t>
                    </w:r>
                  </w:p>
                </w:tc>
              </w:sdtContent>
            </w:sdt>
            <w:sdt>
              <w:sdtPr>
                <w:rPr>
                  <w:rFonts w:hint="eastAsia"/>
                  <w:szCs w:val="21"/>
                </w:rPr>
                <w:alias w:val="无形资产累计摊销减少项目金额"/>
                <w:tag w:val="_GBC_d780250aa2144176a5374f9330f1e913"/>
                <w:id w:val="-1271771399"/>
                <w:lock w:val="sdtLocked"/>
                <w:showingPlcHdr/>
              </w:sdtPr>
              <w:sdtContent>
                <w:tc>
                  <w:tcPr>
                    <w:tcW w:w="717" w:type="pct"/>
                    <w:shd w:val="clear" w:color="auto" w:fill="auto"/>
                    <w:vAlign w:val="center"/>
                  </w:tcPr>
                  <w:p w:rsidR="006E65ED" w:rsidRDefault="006E65ED" w:rsidP="00B637B2">
                    <w:pPr>
                      <w:jc w:val="right"/>
                      <w:rPr>
                        <w:szCs w:val="21"/>
                      </w:rPr>
                    </w:pPr>
                    <w:r>
                      <w:rPr>
                        <w:rFonts w:hint="eastAsia"/>
                        <w:szCs w:val="21"/>
                      </w:rPr>
                      <w:t xml:space="preserve">　</w:t>
                    </w:r>
                  </w:p>
                </w:tc>
              </w:sdtContent>
            </w:sdt>
            <w:sdt>
              <w:sdtPr>
                <w:rPr>
                  <w:rFonts w:hint="eastAsia"/>
                  <w:szCs w:val="21"/>
                </w:rPr>
                <w:alias w:val="无形资产累计摊销减少项目合计金额"/>
                <w:tag w:val="_GBC_ce3de533f641438f96cdd26f528b12f9"/>
                <w:id w:val="-390576826"/>
                <w:lock w:val="sdtLocked"/>
                <w:showingPlcHdr/>
              </w:sdtPr>
              <w:sdtContent>
                <w:tc>
                  <w:tcPr>
                    <w:tcW w:w="896" w:type="pct"/>
                    <w:shd w:val="clear" w:color="auto" w:fill="auto"/>
                    <w:vAlign w:val="center"/>
                  </w:tcPr>
                  <w:p w:rsidR="006E65ED" w:rsidRDefault="006E65ED" w:rsidP="00B637B2">
                    <w:pPr>
                      <w:jc w:val="right"/>
                      <w:rPr>
                        <w:szCs w:val="21"/>
                      </w:rPr>
                    </w:pPr>
                    <w:r>
                      <w:rPr>
                        <w:rFonts w:hint="eastAsia"/>
                        <w:szCs w:val="21"/>
                      </w:rPr>
                      <w:t xml:space="preserve">　</w:t>
                    </w:r>
                  </w:p>
                </w:tc>
              </w:sdtContent>
            </w:sdt>
          </w:tr>
          <w:tr w:rsidR="006E65ED" w:rsidTr="00B637B2">
            <w:trPr>
              <w:trHeight w:val="284"/>
            </w:trPr>
            <w:sdt>
              <w:sdtPr>
                <w:tag w:val="_PLD_6b52e77de021464b99b9a2d55cb6dc5b"/>
                <w:id w:val="-773718281"/>
                <w:lock w:val="sdtLocked"/>
              </w:sdtPr>
              <w:sdtContent>
                <w:tc>
                  <w:tcPr>
                    <w:tcW w:w="1027" w:type="pct"/>
                    <w:shd w:val="clear" w:color="auto" w:fill="auto"/>
                    <w:vAlign w:val="center"/>
                  </w:tcPr>
                  <w:p w:rsidR="006E65ED" w:rsidRDefault="006E65ED" w:rsidP="005D774F">
                    <w:pPr>
                      <w:ind w:firstLineChars="200" w:firstLine="420"/>
                      <w:rPr>
                        <w:szCs w:val="21"/>
                      </w:rPr>
                    </w:pPr>
                    <w:r>
                      <w:rPr>
                        <w:rFonts w:hint="eastAsia"/>
                        <w:szCs w:val="21"/>
                      </w:rPr>
                      <w:t>4.</w:t>
                    </w:r>
                    <w:r>
                      <w:rPr>
                        <w:szCs w:val="21"/>
                      </w:rPr>
                      <w:t>期末余额</w:t>
                    </w:r>
                  </w:p>
                </w:tc>
              </w:sdtContent>
            </w:sdt>
            <w:tc>
              <w:tcPr>
                <w:tcW w:w="777" w:type="pct"/>
                <w:shd w:val="clear" w:color="auto" w:fill="auto"/>
                <w:vAlign w:val="center"/>
              </w:tcPr>
              <w:p w:rsidR="006E65ED" w:rsidRDefault="008F04CF" w:rsidP="00B637B2">
                <w:pPr>
                  <w:jc w:val="right"/>
                  <w:rPr>
                    <w:szCs w:val="21"/>
                  </w:rPr>
                </w:pPr>
                <w:r w:rsidRPr="00471624">
                  <w:rPr>
                    <w:szCs w:val="21"/>
                  </w:rPr>
                  <w:t>87,007,659</w:t>
                </w:r>
              </w:p>
            </w:tc>
            <w:tc>
              <w:tcPr>
                <w:tcW w:w="686" w:type="pct"/>
                <w:shd w:val="clear" w:color="auto" w:fill="auto"/>
                <w:vAlign w:val="center"/>
              </w:tcPr>
              <w:p w:rsidR="006E65ED" w:rsidRDefault="006E65ED" w:rsidP="00B637B2">
                <w:pPr>
                  <w:jc w:val="right"/>
                  <w:rPr>
                    <w:szCs w:val="21"/>
                  </w:rPr>
                </w:pPr>
              </w:p>
            </w:tc>
            <w:tc>
              <w:tcPr>
                <w:tcW w:w="896" w:type="pct"/>
                <w:shd w:val="clear" w:color="auto" w:fill="auto"/>
                <w:vAlign w:val="center"/>
              </w:tcPr>
              <w:p w:rsidR="006E65ED" w:rsidRDefault="008F04CF" w:rsidP="00B637B2">
                <w:pPr>
                  <w:jc w:val="right"/>
                  <w:rPr>
                    <w:szCs w:val="21"/>
                  </w:rPr>
                </w:pPr>
                <w:r w:rsidRPr="00471624">
                  <w:rPr>
                    <w:szCs w:val="21"/>
                  </w:rPr>
                  <w:t>504,757,652</w:t>
                </w:r>
              </w:p>
            </w:tc>
            <w:tc>
              <w:tcPr>
                <w:tcW w:w="717" w:type="pct"/>
                <w:shd w:val="clear" w:color="auto" w:fill="auto"/>
                <w:vAlign w:val="center"/>
              </w:tcPr>
              <w:p w:rsidR="006E65ED" w:rsidRDefault="008F04CF" w:rsidP="00B637B2">
                <w:pPr>
                  <w:jc w:val="right"/>
                  <w:rPr>
                    <w:szCs w:val="21"/>
                  </w:rPr>
                </w:pPr>
                <w:r w:rsidRPr="00471624">
                  <w:rPr>
                    <w:szCs w:val="21"/>
                  </w:rPr>
                  <w:t>5,121,167</w:t>
                </w:r>
              </w:p>
            </w:tc>
            <w:tc>
              <w:tcPr>
                <w:tcW w:w="896" w:type="pct"/>
                <w:shd w:val="clear" w:color="auto" w:fill="auto"/>
                <w:vAlign w:val="center"/>
              </w:tcPr>
              <w:p w:rsidR="006E65ED" w:rsidRDefault="008F04CF" w:rsidP="00B637B2">
                <w:pPr>
                  <w:jc w:val="right"/>
                  <w:rPr>
                    <w:szCs w:val="21"/>
                  </w:rPr>
                </w:pPr>
                <w:r w:rsidRPr="00471624">
                  <w:rPr>
                    <w:szCs w:val="21"/>
                  </w:rPr>
                  <w:t>596,886,478</w:t>
                </w:r>
              </w:p>
            </w:tc>
          </w:tr>
          <w:tr w:rsidR="006E65ED" w:rsidTr="00B637B2">
            <w:trPr>
              <w:trHeight w:val="284"/>
            </w:trPr>
            <w:sdt>
              <w:sdtPr>
                <w:tag w:val="_PLD_100d3bc56cc142c1b30c3998528f8af2"/>
                <w:id w:val="-944074727"/>
                <w:lock w:val="sdtLocked"/>
              </w:sdtPr>
              <w:sdtContent>
                <w:tc>
                  <w:tcPr>
                    <w:tcW w:w="1027" w:type="pct"/>
                    <w:shd w:val="clear" w:color="auto" w:fill="auto"/>
                    <w:vAlign w:val="center"/>
                  </w:tcPr>
                  <w:p w:rsidR="006E65ED" w:rsidRDefault="006E65ED" w:rsidP="005D774F">
                    <w:pPr>
                      <w:rPr>
                        <w:szCs w:val="21"/>
                      </w:rPr>
                    </w:pPr>
                    <w:r>
                      <w:rPr>
                        <w:szCs w:val="21"/>
                      </w:rPr>
                      <w:t>三、减值准备</w:t>
                    </w:r>
                  </w:p>
                </w:tc>
              </w:sdtContent>
            </w:sdt>
            <w:tc>
              <w:tcPr>
                <w:tcW w:w="777" w:type="pct"/>
                <w:shd w:val="clear" w:color="auto" w:fill="auto"/>
                <w:vAlign w:val="center"/>
              </w:tcPr>
              <w:p w:rsidR="006E65ED" w:rsidRDefault="006E65ED" w:rsidP="00B637B2">
                <w:pPr>
                  <w:jc w:val="right"/>
                  <w:rPr>
                    <w:szCs w:val="21"/>
                  </w:rPr>
                </w:pPr>
              </w:p>
            </w:tc>
            <w:tc>
              <w:tcPr>
                <w:tcW w:w="686" w:type="pct"/>
                <w:shd w:val="clear" w:color="auto" w:fill="auto"/>
                <w:vAlign w:val="center"/>
              </w:tcPr>
              <w:p w:rsidR="006E65ED" w:rsidRDefault="006E65ED" w:rsidP="00B637B2">
                <w:pPr>
                  <w:jc w:val="right"/>
                  <w:rPr>
                    <w:szCs w:val="21"/>
                  </w:rPr>
                </w:pPr>
              </w:p>
            </w:tc>
            <w:tc>
              <w:tcPr>
                <w:tcW w:w="896" w:type="pct"/>
                <w:shd w:val="clear" w:color="auto" w:fill="auto"/>
                <w:vAlign w:val="center"/>
              </w:tcPr>
              <w:p w:rsidR="006E65ED" w:rsidRDefault="006E65ED" w:rsidP="00B637B2">
                <w:pPr>
                  <w:jc w:val="right"/>
                  <w:rPr>
                    <w:szCs w:val="21"/>
                  </w:rPr>
                </w:pPr>
              </w:p>
            </w:tc>
            <w:tc>
              <w:tcPr>
                <w:tcW w:w="717" w:type="pct"/>
                <w:shd w:val="clear" w:color="auto" w:fill="auto"/>
                <w:vAlign w:val="center"/>
              </w:tcPr>
              <w:p w:rsidR="006E65ED" w:rsidRDefault="006E65ED" w:rsidP="00B637B2">
                <w:pPr>
                  <w:jc w:val="right"/>
                  <w:rPr>
                    <w:szCs w:val="21"/>
                  </w:rPr>
                </w:pPr>
              </w:p>
            </w:tc>
            <w:tc>
              <w:tcPr>
                <w:tcW w:w="896" w:type="pct"/>
                <w:shd w:val="clear" w:color="auto" w:fill="auto"/>
                <w:vAlign w:val="center"/>
              </w:tcPr>
              <w:p w:rsidR="006E65ED" w:rsidRDefault="006E65ED" w:rsidP="00B637B2">
                <w:pPr>
                  <w:jc w:val="right"/>
                  <w:rPr>
                    <w:szCs w:val="21"/>
                  </w:rPr>
                </w:pPr>
              </w:p>
            </w:tc>
          </w:tr>
          <w:tr w:rsidR="006E65ED" w:rsidTr="00B637B2">
            <w:trPr>
              <w:trHeight w:val="284"/>
            </w:trPr>
            <w:sdt>
              <w:sdtPr>
                <w:tag w:val="_PLD_420f955ca82e4f579c5533e44e7054ff"/>
                <w:id w:val="1578179080"/>
                <w:lock w:val="sdtLocked"/>
              </w:sdtPr>
              <w:sdtContent>
                <w:tc>
                  <w:tcPr>
                    <w:tcW w:w="1027" w:type="pct"/>
                    <w:shd w:val="clear" w:color="auto" w:fill="auto"/>
                    <w:vAlign w:val="center"/>
                  </w:tcPr>
                  <w:p w:rsidR="006E65ED" w:rsidRDefault="006E65ED" w:rsidP="005D774F">
                    <w:pPr>
                      <w:ind w:firstLineChars="200" w:firstLine="420"/>
                      <w:rPr>
                        <w:szCs w:val="21"/>
                      </w:rPr>
                    </w:pPr>
                    <w:r>
                      <w:rPr>
                        <w:rFonts w:hint="eastAsia"/>
                        <w:szCs w:val="21"/>
                      </w:rPr>
                      <w:t>1.期</w:t>
                    </w:r>
                    <w:r>
                      <w:rPr>
                        <w:szCs w:val="21"/>
                      </w:rPr>
                      <w:t>初余额</w:t>
                    </w:r>
                  </w:p>
                </w:tc>
              </w:sdtContent>
            </w:sdt>
            <w:tc>
              <w:tcPr>
                <w:tcW w:w="777" w:type="pct"/>
                <w:shd w:val="clear" w:color="auto" w:fill="auto"/>
                <w:vAlign w:val="center"/>
              </w:tcPr>
              <w:p w:rsidR="006E65ED" w:rsidRDefault="006E65ED" w:rsidP="00B637B2">
                <w:pPr>
                  <w:jc w:val="right"/>
                  <w:rPr>
                    <w:szCs w:val="21"/>
                  </w:rPr>
                </w:pPr>
              </w:p>
            </w:tc>
            <w:tc>
              <w:tcPr>
                <w:tcW w:w="686" w:type="pct"/>
                <w:shd w:val="clear" w:color="auto" w:fill="auto"/>
                <w:vAlign w:val="center"/>
              </w:tcPr>
              <w:p w:rsidR="006E65ED" w:rsidRDefault="006E65ED" w:rsidP="00B637B2">
                <w:pPr>
                  <w:jc w:val="right"/>
                  <w:rPr>
                    <w:szCs w:val="21"/>
                  </w:rPr>
                </w:pPr>
              </w:p>
            </w:tc>
            <w:tc>
              <w:tcPr>
                <w:tcW w:w="896" w:type="pct"/>
                <w:shd w:val="clear" w:color="auto" w:fill="auto"/>
                <w:vAlign w:val="center"/>
              </w:tcPr>
              <w:p w:rsidR="006E65ED" w:rsidRPr="0002033F" w:rsidRDefault="006E65ED" w:rsidP="00B637B2">
                <w:pPr>
                  <w:jc w:val="right"/>
                  <w:rPr>
                    <w:szCs w:val="21"/>
                  </w:rPr>
                </w:pPr>
                <w:r w:rsidRPr="0002033F">
                  <w:rPr>
                    <w:rFonts w:cs="Arial"/>
                    <w:sz w:val="18"/>
                    <w:szCs w:val="18"/>
                  </w:rPr>
                  <w:t>13,419,208</w:t>
                </w:r>
              </w:p>
            </w:tc>
            <w:tc>
              <w:tcPr>
                <w:tcW w:w="717" w:type="pct"/>
                <w:shd w:val="clear" w:color="auto" w:fill="auto"/>
                <w:vAlign w:val="center"/>
              </w:tcPr>
              <w:p w:rsidR="006E65ED" w:rsidRDefault="006E65ED" w:rsidP="00B637B2">
                <w:pPr>
                  <w:jc w:val="right"/>
                  <w:rPr>
                    <w:szCs w:val="21"/>
                  </w:rPr>
                </w:pPr>
              </w:p>
            </w:tc>
            <w:tc>
              <w:tcPr>
                <w:tcW w:w="896" w:type="pct"/>
                <w:shd w:val="clear" w:color="auto" w:fill="auto"/>
                <w:vAlign w:val="center"/>
              </w:tcPr>
              <w:p w:rsidR="006E65ED" w:rsidRDefault="006E65ED" w:rsidP="00B637B2">
                <w:pPr>
                  <w:jc w:val="right"/>
                  <w:rPr>
                    <w:szCs w:val="21"/>
                  </w:rPr>
                </w:pPr>
                <w:r>
                  <w:t>13,419,208</w:t>
                </w:r>
              </w:p>
            </w:tc>
          </w:tr>
          <w:tr w:rsidR="006E65ED" w:rsidTr="00B637B2">
            <w:trPr>
              <w:trHeight w:val="284"/>
            </w:trPr>
            <w:sdt>
              <w:sdtPr>
                <w:tag w:val="_PLD_7efb2ccf9b504b529547ebac5b8ce675"/>
                <w:id w:val="-525952104"/>
                <w:lock w:val="sdtLocked"/>
              </w:sdtPr>
              <w:sdtContent>
                <w:tc>
                  <w:tcPr>
                    <w:tcW w:w="1027" w:type="pct"/>
                    <w:shd w:val="clear" w:color="auto" w:fill="auto"/>
                    <w:vAlign w:val="center"/>
                  </w:tcPr>
                  <w:p w:rsidR="006E65ED" w:rsidRDefault="006E65ED" w:rsidP="005D774F">
                    <w:pPr>
                      <w:ind w:firstLineChars="200" w:firstLine="420"/>
                      <w:rPr>
                        <w:szCs w:val="21"/>
                      </w:rPr>
                    </w:pPr>
                    <w:r>
                      <w:rPr>
                        <w:szCs w:val="21"/>
                      </w:rPr>
                      <w:t>2.本期增加</w:t>
                    </w:r>
                    <w:r>
                      <w:rPr>
                        <w:rFonts w:hint="eastAsia"/>
                        <w:szCs w:val="21"/>
                      </w:rPr>
                      <w:t>金额</w:t>
                    </w:r>
                  </w:p>
                </w:tc>
              </w:sdtContent>
            </w:sdt>
            <w:tc>
              <w:tcPr>
                <w:tcW w:w="777" w:type="pct"/>
                <w:shd w:val="clear" w:color="auto" w:fill="auto"/>
                <w:vAlign w:val="center"/>
              </w:tcPr>
              <w:p w:rsidR="006E65ED" w:rsidRDefault="006E65ED" w:rsidP="00B637B2">
                <w:pPr>
                  <w:jc w:val="right"/>
                  <w:rPr>
                    <w:szCs w:val="21"/>
                  </w:rPr>
                </w:pPr>
              </w:p>
            </w:tc>
            <w:tc>
              <w:tcPr>
                <w:tcW w:w="686" w:type="pct"/>
                <w:shd w:val="clear" w:color="auto" w:fill="auto"/>
                <w:vAlign w:val="center"/>
              </w:tcPr>
              <w:p w:rsidR="006E65ED" w:rsidRDefault="006E65ED" w:rsidP="00B637B2">
                <w:pPr>
                  <w:jc w:val="right"/>
                  <w:rPr>
                    <w:szCs w:val="21"/>
                  </w:rPr>
                </w:pPr>
              </w:p>
            </w:tc>
            <w:tc>
              <w:tcPr>
                <w:tcW w:w="896" w:type="pct"/>
                <w:shd w:val="clear" w:color="auto" w:fill="auto"/>
                <w:vAlign w:val="center"/>
              </w:tcPr>
              <w:p w:rsidR="006E65ED" w:rsidRDefault="006E65ED" w:rsidP="00B637B2">
                <w:pPr>
                  <w:jc w:val="right"/>
                  <w:rPr>
                    <w:szCs w:val="21"/>
                  </w:rPr>
                </w:pPr>
              </w:p>
            </w:tc>
            <w:tc>
              <w:tcPr>
                <w:tcW w:w="717" w:type="pct"/>
                <w:shd w:val="clear" w:color="auto" w:fill="auto"/>
                <w:vAlign w:val="center"/>
              </w:tcPr>
              <w:p w:rsidR="006E65ED" w:rsidRDefault="006E65ED" w:rsidP="00B637B2">
                <w:pPr>
                  <w:jc w:val="right"/>
                  <w:rPr>
                    <w:szCs w:val="21"/>
                  </w:rPr>
                </w:pPr>
              </w:p>
            </w:tc>
            <w:tc>
              <w:tcPr>
                <w:tcW w:w="896" w:type="pct"/>
                <w:shd w:val="clear" w:color="auto" w:fill="auto"/>
                <w:vAlign w:val="center"/>
              </w:tcPr>
              <w:p w:rsidR="006E65ED" w:rsidRDefault="006E65ED" w:rsidP="00B637B2">
                <w:pPr>
                  <w:jc w:val="right"/>
                  <w:rPr>
                    <w:szCs w:val="21"/>
                  </w:rPr>
                </w:pPr>
              </w:p>
            </w:tc>
          </w:tr>
          <w:tr w:rsidR="006E65ED" w:rsidTr="00B637B2">
            <w:trPr>
              <w:trHeight w:val="284"/>
            </w:trPr>
            <w:sdt>
              <w:sdtPr>
                <w:tag w:val="_PLD_c13e2ead7b5f41d0891abcff97ced932"/>
                <w:id w:val="-2071494441"/>
                <w:lock w:val="sdtLocked"/>
              </w:sdtPr>
              <w:sdtContent>
                <w:tc>
                  <w:tcPr>
                    <w:tcW w:w="1027" w:type="pct"/>
                    <w:shd w:val="clear" w:color="auto" w:fill="auto"/>
                    <w:vAlign w:val="center"/>
                  </w:tcPr>
                  <w:p w:rsidR="006E65ED" w:rsidRDefault="006E65ED" w:rsidP="005D774F">
                    <w:pPr>
                      <w:ind w:firstLineChars="300" w:firstLine="630"/>
                      <w:rPr>
                        <w:szCs w:val="21"/>
                      </w:rPr>
                    </w:pPr>
                    <w:r>
                      <w:rPr>
                        <w:rFonts w:hint="eastAsia"/>
                        <w:szCs w:val="21"/>
                      </w:rPr>
                      <w:t>（1）</w:t>
                    </w:r>
                    <w:r>
                      <w:rPr>
                        <w:szCs w:val="21"/>
                      </w:rPr>
                      <w:t>计提</w:t>
                    </w:r>
                  </w:p>
                </w:tc>
              </w:sdtContent>
            </w:sdt>
            <w:tc>
              <w:tcPr>
                <w:tcW w:w="777" w:type="pct"/>
                <w:shd w:val="clear" w:color="auto" w:fill="auto"/>
                <w:vAlign w:val="center"/>
              </w:tcPr>
              <w:p w:rsidR="006E65ED" w:rsidRDefault="006E65ED" w:rsidP="00B637B2">
                <w:pPr>
                  <w:jc w:val="right"/>
                  <w:rPr>
                    <w:szCs w:val="21"/>
                  </w:rPr>
                </w:pPr>
              </w:p>
            </w:tc>
            <w:tc>
              <w:tcPr>
                <w:tcW w:w="686" w:type="pct"/>
                <w:shd w:val="clear" w:color="auto" w:fill="auto"/>
                <w:vAlign w:val="center"/>
              </w:tcPr>
              <w:p w:rsidR="006E65ED" w:rsidRDefault="006E65ED" w:rsidP="00B637B2">
                <w:pPr>
                  <w:jc w:val="right"/>
                  <w:rPr>
                    <w:szCs w:val="21"/>
                  </w:rPr>
                </w:pPr>
              </w:p>
            </w:tc>
            <w:tc>
              <w:tcPr>
                <w:tcW w:w="896" w:type="pct"/>
                <w:shd w:val="clear" w:color="auto" w:fill="auto"/>
                <w:vAlign w:val="center"/>
              </w:tcPr>
              <w:p w:rsidR="006E65ED" w:rsidRDefault="006E65ED" w:rsidP="00B637B2">
                <w:pPr>
                  <w:jc w:val="right"/>
                  <w:rPr>
                    <w:szCs w:val="21"/>
                  </w:rPr>
                </w:pPr>
              </w:p>
            </w:tc>
            <w:tc>
              <w:tcPr>
                <w:tcW w:w="717" w:type="pct"/>
                <w:shd w:val="clear" w:color="auto" w:fill="auto"/>
                <w:vAlign w:val="center"/>
              </w:tcPr>
              <w:p w:rsidR="006E65ED" w:rsidRDefault="006E65ED" w:rsidP="00B637B2">
                <w:pPr>
                  <w:jc w:val="right"/>
                  <w:rPr>
                    <w:szCs w:val="21"/>
                  </w:rPr>
                </w:pPr>
              </w:p>
            </w:tc>
            <w:tc>
              <w:tcPr>
                <w:tcW w:w="896" w:type="pct"/>
                <w:shd w:val="clear" w:color="auto" w:fill="auto"/>
                <w:vAlign w:val="center"/>
              </w:tcPr>
              <w:p w:rsidR="006E65ED" w:rsidRDefault="006E65ED" w:rsidP="00B637B2">
                <w:pPr>
                  <w:jc w:val="right"/>
                  <w:rPr>
                    <w:szCs w:val="21"/>
                  </w:rPr>
                </w:pPr>
              </w:p>
            </w:tc>
          </w:tr>
          <w:tr w:rsidR="006E65ED" w:rsidTr="00B637B2">
            <w:trPr>
              <w:trHeight w:val="284"/>
            </w:trPr>
            <w:sdt>
              <w:sdtPr>
                <w:rPr>
                  <w:rFonts w:hint="eastAsia"/>
                  <w:szCs w:val="21"/>
                </w:rPr>
                <w:alias w:val="无形资产减值准备增加项目名称"/>
                <w:tag w:val="_GBC_a07f98d210fd4636be10f5bfad0425cc"/>
                <w:id w:val="430638744"/>
                <w:lock w:val="sdtLocked"/>
                <w:showingPlcHdr/>
              </w:sdtPr>
              <w:sdtContent>
                <w:tc>
                  <w:tcPr>
                    <w:tcW w:w="1027" w:type="pct"/>
                    <w:shd w:val="clear" w:color="auto" w:fill="auto"/>
                  </w:tcPr>
                  <w:p w:rsidR="006E65ED" w:rsidRDefault="006E65ED" w:rsidP="005D774F">
                    <w:pPr>
                      <w:ind w:firstLineChars="300" w:firstLine="630"/>
                      <w:rPr>
                        <w:szCs w:val="21"/>
                      </w:rPr>
                    </w:pPr>
                    <w:r>
                      <w:rPr>
                        <w:rFonts w:hint="eastAsia"/>
                        <w:szCs w:val="21"/>
                      </w:rPr>
                      <w:t xml:space="preserve">　</w:t>
                    </w:r>
                  </w:p>
                </w:tc>
              </w:sdtContent>
            </w:sdt>
            <w:sdt>
              <w:sdtPr>
                <w:rPr>
                  <w:rFonts w:hint="eastAsia"/>
                  <w:szCs w:val="21"/>
                </w:rPr>
                <w:alias w:val="无形资产土地使用权减值准备增加项目金额"/>
                <w:tag w:val="_GBC_12b871fdd57041608a822a4b7df86aab"/>
                <w:id w:val="1093896343"/>
                <w:lock w:val="sdtLocked"/>
                <w:showingPlcHdr/>
              </w:sdtPr>
              <w:sdtContent>
                <w:tc>
                  <w:tcPr>
                    <w:tcW w:w="777" w:type="pct"/>
                    <w:shd w:val="clear" w:color="auto" w:fill="auto"/>
                    <w:vAlign w:val="center"/>
                  </w:tcPr>
                  <w:p w:rsidR="006E65ED" w:rsidRDefault="006E65ED" w:rsidP="00B637B2">
                    <w:pPr>
                      <w:jc w:val="right"/>
                      <w:rPr>
                        <w:szCs w:val="21"/>
                      </w:rPr>
                    </w:pPr>
                    <w:r>
                      <w:rPr>
                        <w:rFonts w:hint="eastAsia"/>
                        <w:szCs w:val="21"/>
                      </w:rPr>
                      <w:t xml:space="preserve">　</w:t>
                    </w:r>
                  </w:p>
                </w:tc>
              </w:sdtContent>
            </w:sdt>
            <w:sdt>
              <w:sdtPr>
                <w:rPr>
                  <w:rFonts w:hint="eastAsia"/>
                  <w:szCs w:val="21"/>
                </w:rPr>
                <w:alias w:val="无形资产专利权减值准备增加项目金额"/>
                <w:tag w:val="_GBC_67beba23fec84cc8bdab0a5541f34763"/>
                <w:id w:val="1482881556"/>
                <w:lock w:val="sdtLocked"/>
                <w:showingPlcHdr/>
              </w:sdtPr>
              <w:sdtContent>
                <w:tc>
                  <w:tcPr>
                    <w:tcW w:w="686" w:type="pct"/>
                    <w:shd w:val="clear" w:color="auto" w:fill="auto"/>
                    <w:vAlign w:val="center"/>
                  </w:tcPr>
                  <w:p w:rsidR="006E65ED" w:rsidRDefault="006E65ED" w:rsidP="00B637B2">
                    <w:pPr>
                      <w:jc w:val="right"/>
                      <w:rPr>
                        <w:szCs w:val="21"/>
                      </w:rPr>
                    </w:pPr>
                    <w:r>
                      <w:rPr>
                        <w:rFonts w:hint="eastAsia"/>
                        <w:szCs w:val="21"/>
                      </w:rPr>
                      <w:t xml:space="preserve">　</w:t>
                    </w:r>
                  </w:p>
                </w:tc>
              </w:sdtContent>
            </w:sdt>
            <w:sdt>
              <w:sdtPr>
                <w:rPr>
                  <w:rFonts w:hint="eastAsia"/>
                  <w:szCs w:val="21"/>
                </w:rPr>
                <w:alias w:val="无形资产非专利技术减值准备增加项目金额"/>
                <w:tag w:val="_GBC_be68ae2985d7460081ee248b41918fc0"/>
                <w:id w:val="1214773858"/>
                <w:lock w:val="sdtLocked"/>
                <w:showingPlcHdr/>
              </w:sdtPr>
              <w:sdtContent>
                <w:tc>
                  <w:tcPr>
                    <w:tcW w:w="896" w:type="pct"/>
                    <w:shd w:val="clear" w:color="auto" w:fill="auto"/>
                    <w:vAlign w:val="center"/>
                  </w:tcPr>
                  <w:p w:rsidR="006E65ED" w:rsidRDefault="006E65ED" w:rsidP="00B637B2">
                    <w:pPr>
                      <w:jc w:val="right"/>
                      <w:rPr>
                        <w:szCs w:val="21"/>
                      </w:rPr>
                    </w:pPr>
                    <w:r>
                      <w:rPr>
                        <w:rFonts w:hint="eastAsia"/>
                        <w:szCs w:val="21"/>
                      </w:rPr>
                      <w:t xml:space="preserve">　</w:t>
                    </w:r>
                  </w:p>
                </w:tc>
              </w:sdtContent>
            </w:sdt>
            <w:sdt>
              <w:sdtPr>
                <w:rPr>
                  <w:rFonts w:hint="eastAsia"/>
                  <w:szCs w:val="21"/>
                </w:rPr>
                <w:alias w:val="无形资产减值准备增加项目金额"/>
                <w:tag w:val="_GBC_63b957dd4ae94826a33c2bd5cab283a2"/>
                <w:id w:val="-15231348"/>
                <w:lock w:val="sdtLocked"/>
                <w:showingPlcHdr/>
              </w:sdtPr>
              <w:sdtContent>
                <w:tc>
                  <w:tcPr>
                    <w:tcW w:w="717" w:type="pct"/>
                    <w:shd w:val="clear" w:color="auto" w:fill="auto"/>
                    <w:vAlign w:val="center"/>
                  </w:tcPr>
                  <w:p w:rsidR="006E65ED" w:rsidRDefault="006E65ED" w:rsidP="00B637B2">
                    <w:pPr>
                      <w:jc w:val="right"/>
                      <w:rPr>
                        <w:szCs w:val="21"/>
                      </w:rPr>
                    </w:pPr>
                    <w:r>
                      <w:rPr>
                        <w:rFonts w:hint="eastAsia"/>
                        <w:szCs w:val="21"/>
                      </w:rPr>
                      <w:t xml:space="preserve">　</w:t>
                    </w:r>
                  </w:p>
                </w:tc>
              </w:sdtContent>
            </w:sdt>
            <w:sdt>
              <w:sdtPr>
                <w:rPr>
                  <w:rFonts w:hint="eastAsia"/>
                  <w:szCs w:val="21"/>
                </w:rPr>
                <w:alias w:val="无形资产减值准备增加项目合计金额"/>
                <w:tag w:val="_GBC_d898031c95ba4f18aa304513f88d8510"/>
                <w:id w:val="-372385919"/>
                <w:lock w:val="sdtLocked"/>
                <w:showingPlcHdr/>
              </w:sdtPr>
              <w:sdtContent>
                <w:tc>
                  <w:tcPr>
                    <w:tcW w:w="896" w:type="pct"/>
                    <w:shd w:val="clear" w:color="auto" w:fill="auto"/>
                    <w:vAlign w:val="center"/>
                  </w:tcPr>
                  <w:p w:rsidR="006E65ED" w:rsidRDefault="006E65ED" w:rsidP="00B637B2">
                    <w:pPr>
                      <w:jc w:val="right"/>
                      <w:rPr>
                        <w:szCs w:val="21"/>
                      </w:rPr>
                    </w:pPr>
                    <w:r>
                      <w:rPr>
                        <w:rFonts w:hint="eastAsia"/>
                        <w:szCs w:val="21"/>
                      </w:rPr>
                      <w:t xml:space="preserve">　</w:t>
                    </w:r>
                  </w:p>
                </w:tc>
              </w:sdtContent>
            </w:sdt>
          </w:tr>
          <w:tr w:rsidR="006E65ED" w:rsidTr="00B637B2">
            <w:trPr>
              <w:trHeight w:val="284"/>
            </w:trPr>
            <w:sdt>
              <w:sdtPr>
                <w:rPr>
                  <w:rFonts w:hint="eastAsia"/>
                  <w:szCs w:val="21"/>
                </w:rPr>
                <w:alias w:val="无形资产减值准备增加项目名称"/>
                <w:tag w:val="_GBC_a07f98d210fd4636be10f5bfad0425cc"/>
                <w:id w:val="-543979889"/>
                <w:lock w:val="sdtLocked"/>
                <w:showingPlcHdr/>
              </w:sdtPr>
              <w:sdtContent>
                <w:tc>
                  <w:tcPr>
                    <w:tcW w:w="1027" w:type="pct"/>
                    <w:shd w:val="clear" w:color="auto" w:fill="auto"/>
                  </w:tcPr>
                  <w:p w:rsidR="006E65ED" w:rsidRDefault="006E65ED" w:rsidP="005D774F">
                    <w:pPr>
                      <w:ind w:firstLineChars="300" w:firstLine="630"/>
                      <w:rPr>
                        <w:szCs w:val="21"/>
                      </w:rPr>
                    </w:pPr>
                    <w:r>
                      <w:rPr>
                        <w:rFonts w:hint="eastAsia"/>
                        <w:szCs w:val="21"/>
                      </w:rPr>
                      <w:t xml:space="preserve">　</w:t>
                    </w:r>
                  </w:p>
                </w:tc>
              </w:sdtContent>
            </w:sdt>
            <w:sdt>
              <w:sdtPr>
                <w:rPr>
                  <w:rFonts w:hint="eastAsia"/>
                  <w:szCs w:val="21"/>
                </w:rPr>
                <w:alias w:val="无形资产土地使用权减值准备增加项目金额"/>
                <w:tag w:val="_GBC_12b871fdd57041608a822a4b7df86aab"/>
                <w:id w:val="2081564641"/>
                <w:lock w:val="sdtLocked"/>
                <w:showingPlcHdr/>
              </w:sdtPr>
              <w:sdtContent>
                <w:tc>
                  <w:tcPr>
                    <w:tcW w:w="777" w:type="pct"/>
                    <w:shd w:val="clear" w:color="auto" w:fill="auto"/>
                    <w:vAlign w:val="center"/>
                  </w:tcPr>
                  <w:p w:rsidR="006E65ED" w:rsidRDefault="006E65ED" w:rsidP="00B637B2">
                    <w:pPr>
                      <w:jc w:val="right"/>
                      <w:rPr>
                        <w:szCs w:val="21"/>
                      </w:rPr>
                    </w:pPr>
                    <w:r>
                      <w:rPr>
                        <w:rFonts w:hint="eastAsia"/>
                        <w:szCs w:val="21"/>
                      </w:rPr>
                      <w:t xml:space="preserve">　</w:t>
                    </w:r>
                  </w:p>
                </w:tc>
              </w:sdtContent>
            </w:sdt>
            <w:sdt>
              <w:sdtPr>
                <w:rPr>
                  <w:rFonts w:hint="eastAsia"/>
                  <w:szCs w:val="21"/>
                </w:rPr>
                <w:alias w:val="无形资产专利权减值准备增加项目金额"/>
                <w:tag w:val="_GBC_67beba23fec84cc8bdab0a5541f34763"/>
                <w:id w:val="666988713"/>
                <w:lock w:val="sdtLocked"/>
                <w:showingPlcHdr/>
              </w:sdtPr>
              <w:sdtContent>
                <w:tc>
                  <w:tcPr>
                    <w:tcW w:w="686" w:type="pct"/>
                    <w:shd w:val="clear" w:color="auto" w:fill="auto"/>
                    <w:vAlign w:val="center"/>
                  </w:tcPr>
                  <w:p w:rsidR="006E65ED" w:rsidRDefault="006E65ED" w:rsidP="00B637B2">
                    <w:pPr>
                      <w:jc w:val="right"/>
                      <w:rPr>
                        <w:szCs w:val="21"/>
                      </w:rPr>
                    </w:pPr>
                    <w:r>
                      <w:rPr>
                        <w:rFonts w:hint="eastAsia"/>
                        <w:szCs w:val="21"/>
                      </w:rPr>
                      <w:t xml:space="preserve">　</w:t>
                    </w:r>
                  </w:p>
                </w:tc>
              </w:sdtContent>
            </w:sdt>
            <w:sdt>
              <w:sdtPr>
                <w:rPr>
                  <w:rFonts w:hint="eastAsia"/>
                  <w:szCs w:val="21"/>
                </w:rPr>
                <w:alias w:val="无形资产非专利技术减值准备增加项目金额"/>
                <w:tag w:val="_GBC_be68ae2985d7460081ee248b41918fc0"/>
                <w:id w:val="1788926924"/>
                <w:lock w:val="sdtLocked"/>
                <w:showingPlcHdr/>
              </w:sdtPr>
              <w:sdtContent>
                <w:tc>
                  <w:tcPr>
                    <w:tcW w:w="896" w:type="pct"/>
                    <w:shd w:val="clear" w:color="auto" w:fill="auto"/>
                    <w:vAlign w:val="center"/>
                  </w:tcPr>
                  <w:p w:rsidR="006E65ED" w:rsidRDefault="006E65ED" w:rsidP="00B637B2">
                    <w:pPr>
                      <w:jc w:val="right"/>
                      <w:rPr>
                        <w:szCs w:val="21"/>
                      </w:rPr>
                    </w:pPr>
                    <w:r>
                      <w:rPr>
                        <w:rFonts w:hint="eastAsia"/>
                        <w:szCs w:val="21"/>
                      </w:rPr>
                      <w:t xml:space="preserve">　</w:t>
                    </w:r>
                  </w:p>
                </w:tc>
              </w:sdtContent>
            </w:sdt>
            <w:sdt>
              <w:sdtPr>
                <w:rPr>
                  <w:rFonts w:hint="eastAsia"/>
                  <w:szCs w:val="21"/>
                </w:rPr>
                <w:alias w:val="无形资产减值准备增加项目金额"/>
                <w:tag w:val="_GBC_63b957dd4ae94826a33c2bd5cab283a2"/>
                <w:id w:val="-1858574582"/>
                <w:lock w:val="sdtLocked"/>
                <w:showingPlcHdr/>
              </w:sdtPr>
              <w:sdtContent>
                <w:tc>
                  <w:tcPr>
                    <w:tcW w:w="717" w:type="pct"/>
                    <w:shd w:val="clear" w:color="auto" w:fill="auto"/>
                    <w:vAlign w:val="center"/>
                  </w:tcPr>
                  <w:p w:rsidR="006E65ED" w:rsidRDefault="006E65ED" w:rsidP="00B637B2">
                    <w:pPr>
                      <w:jc w:val="right"/>
                      <w:rPr>
                        <w:szCs w:val="21"/>
                      </w:rPr>
                    </w:pPr>
                    <w:r>
                      <w:rPr>
                        <w:rFonts w:hint="eastAsia"/>
                        <w:szCs w:val="21"/>
                      </w:rPr>
                      <w:t xml:space="preserve">　</w:t>
                    </w:r>
                  </w:p>
                </w:tc>
              </w:sdtContent>
            </w:sdt>
            <w:sdt>
              <w:sdtPr>
                <w:rPr>
                  <w:rFonts w:hint="eastAsia"/>
                  <w:szCs w:val="21"/>
                </w:rPr>
                <w:alias w:val="无形资产减值准备增加项目合计金额"/>
                <w:tag w:val="_GBC_d898031c95ba4f18aa304513f88d8510"/>
                <w:id w:val="1369336433"/>
                <w:lock w:val="sdtLocked"/>
                <w:showingPlcHdr/>
              </w:sdtPr>
              <w:sdtContent>
                <w:tc>
                  <w:tcPr>
                    <w:tcW w:w="896" w:type="pct"/>
                    <w:shd w:val="clear" w:color="auto" w:fill="auto"/>
                    <w:vAlign w:val="center"/>
                  </w:tcPr>
                  <w:p w:rsidR="006E65ED" w:rsidRDefault="006E65ED" w:rsidP="00B637B2">
                    <w:pPr>
                      <w:jc w:val="right"/>
                      <w:rPr>
                        <w:szCs w:val="21"/>
                      </w:rPr>
                    </w:pPr>
                    <w:r>
                      <w:rPr>
                        <w:rFonts w:hint="eastAsia"/>
                        <w:szCs w:val="21"/>
                      </w:rPr>
                      <w:t xml:space="preserve">　</w:t>
                    </w:r>
                  </w:p>
                </w:tc>
              </w:sdtContent>
            </w:sdt>
          </w:tr>
          <w:tr w:rsidR="006E65ED" w:rsidTr="00B637B2">
            <w:trPr>
              <w:trHeight w:val="284"/>
            </w:trPr>
            <w:sdt>
              <w:sdtPr>
                <w:tag w:val="_PLD_80ddaa0f1cfd432483c808ea875d3645"/>
                <w:id w:val="-1038117452"/>
                <w:lock w:val="sdtLocked"/>
              </w:sdtPr>
              <w:sdtContent>
                <w:tc>
                  <w:tcPr>
                    <w:tcW w:w="1027" w:type="pct"/>
                    <w:shd w:val="clear" w:color="auto" w:fill="auto"/>
                    <w:vAlign w:val="center"/>
                  </w:tcPr>
                  <w:p w:rsidR="006E65ED" w:rsidRDefault="006E65ED" w:rsidP="005D774F">
                    <w:pPr>
                      <w:ind w:firstLineChars="200" w:firstLine="420"/>
                      <w:rPr>
                        <w:szCs w:val="21"/>
                      </w:rPr>
                    </w:pPr>
                    <w:r>
                      <w:rPr>
                        <w:rFonts w:hint="eastAsia"/>
                        <w:szCs w:val="21"/>
                      </w:rPr>
                      <w:t>3.</w:t>
                    </w:r>
                    <w:r>
                      <w:rPr>
                        <w:szCs w:val="21"/>
                      </w:rPr>
                      <w:t>本期减少</w:t>
                    </w:r>
                    <w:r>
                      <w:rPr>
                        <w:rFonts w:hint="eastAsia"/>
                        <w:szCs w:val="21"/>
                      </w:rPr>
                      <w:t>金额</w:t>
                    </w:r>
                  </w:p>
                </w:tc>
              </w:sdtContent>
            </w:sdt>
            <w:tc>
              <w:tcPr>
                <w:tcW w:w="777" w:type="pct"/>
                <w:shd w:val="clear" w:color="auto" w:fill="auto"/>
                <w:vAlign w:val="center"/>
              </w:tcPr>
              <w:p w:rsidR="006E65ED" w:rsidRDefault="006E65ED" w:rsidP="00B637B2">
                <w:pPr>
                  <w:jc w:val="right"/>
                  <w:rPr>
                    <w:szCs w:val="21"/>
                  </w:rPr>
                </w:pPr>
              </w:p>
            </w:tc>
            <w:tc>
              <w:tcPr>
                <w:tcW w:w="686" w:type="pct"/>
                <w:shd w:val="clear" w:color="auto" w:fill="auto"/>
                <w:vAlign w:val="center"/>
              </w:tcPr>
              <w:p w:rsidR="006E65ED" w:rsidRDefault="006E65ED" w:rsidP="00B637B2">
                <w:pPr>
                  <w:jc w:val="right"/>
                  <w:rPr>
                    <w:szCs w:val="21"/>
                  </w:rPr>
                </w:pPr>
              </w:p>
            </w:tc>
            <w:tc>
              <w:tcPr>
                <w:tcW w:w="896" w:type="pct"/>
                <w:shd w:val="clear" w:color="auto" w:fill="auto"/>
                <w:vAlign w:val="center"/>
              </w:tcPr>
              <w:p w:rsidR="006E65ED" w:rsidRDefault="006E65ED" w:rsidP="00B637B2">
                <w:pPr>
                  <w:jc w:val="right"/>
                  <w:rPr>
                    <w:szCs w:val="21"/>
                  </w:rPr>
                </w:pPr>
              </w:p>
            </w:tc>
            <w:tc>
              <w:tcPr>
                <w:tcW w:w="717" w:type="pct"/>
                <w:shd w:val="clear" w:color="auto" w:fill="auto"/>
                <w:vAlign w:val="center"/>
              </w:tcPr>
              <w:p w:rsidR="006E65ED" w:rsidRDefault="006E65ED" w:rsidP="00B637B2">
                <w:pPr>
                  <w:jc w:val="right"/>
                  <w:rPr>
                    <w:szCs w:val="21"/>
                  </w:rPr>
                </w:pPr>
              </w:p>
            </w:tc>
            <w:tc>
              <w:tcPr>
                <w:tcW w:w="896" w:type="pct"/>
                <w:shd w:val="clear" w:color="auto" w:fill="auto"/>
                <w:vAlign w:val="center"/>
              </w:tcPr>
              <w:p w:rsidR="006E65ED" w:rsidRDefault="006E65ED" w:rsidP="00B637B2">
                <w:pPr>
                  <w:jc w:val="right"/>
                  <w:rPr>
                    <w:szCs w:val="21"/>
                  </w:rPr>
                </w:pPr>
              </w:p>
            </w:tc>
          </w:tr>
          <w:tr w:rsidR="006E65ED" w:rsidTr="00B637B2">
            <w:trPr>
              <w:trHeight w:val="284"/>
            </w:trPr>
            <w:sdt>
              <w:sdtPr>
                <w:tag w:val="_PLD_2737286ed2dd4f3f95206ad01cd11070"/>
                <w:id w:val="-2101873795"/>
                <w:lock w:val="sdtLocked"/>
              </w:sdtPr>
              <w:sdtContent>
                <w:tc>
                  <w:tcPr>
                    <w:tcW w:w="1027" w:type="pct"/>
                    <w:shd w:val="clear" w:color="auto" w:fill="auto"/>
                    <w:vAlign w:val="center"/>
                  </w:tcPr>
                  <w:p w:rsidR="006E65ED" w:rsidRDefault="006E65ED" w:rsidP="005D774F">
                    <w:pPr>
                      <w:ind w:firstLineChars="300" w:firstLine="630"/>
                      <w:rPr>
                        <w:szCs w:val="21"/>
                      </w:rPr>
                    </w:pPr>
                    <w:r>
                      <w:rPr>
                        <w:szCs w:val="21"/>
                      </w:rPr>
                      <w:t>(</w:t>
                    </w:r>
                    <w:r>
                      <w:rPr>
                        <w:rFonts w:hint="eastAsia"/>
                        <w:szCs w:val="21"/>
                      </w:rPr>
                      <w:t>1</w:t>
                    </w:r>
                    <w:r>
                      <w:rPr>
                        <w:szCs w:val="21"/>
                      </w:rPr>
                      <w:t>)</w:t>
                    </w:r>
                    <w:r>
                      <w:rPr>
                        <w:rFonts w:hint="eastAsia"/>
                        <w:szCs w:val="21"/>
                      </w:rPr>
                      <w:t>处置</w:t>
                    </w:r>
                  </w:p>
                </w:tc>
              </w:sdtContent>
            </w:sdt>
            <w:tc>
              <w:tcPr>
                <w:tcW w:w="777" w:type="pct"/>
                <w:shd w:val="clear" w:color="auto" w:fill="auto"/>
                <w:vAlign w:val="center"/>
              </w:tcPr>
              <w:p w:rsidR="006E65ED" w:rsidRDefault="006E65ED" w:rsidP="00B637B2">
                <w:pPr>
                  <w:jc w:val="right"/>
                  <w:rPr>
                    <w:szCs w:val="21"/>
                  </w:rPr>
                </w:pPr>
              </w:p>
            </w:tc>
            <w:tc>
              <w:tcPr>
                <w:tcW w:w="686" w:type="pct"/>
                <w:shd w:val="clear" w:color="auto" w:fill="auto"/>
                <w:vAlign w:val="center"/>
              </w:tcPr>
              <w:p w:rsidR="006E65ED" w:rsidRDefault="006E65ED" w:rsidP="00B637B2">
                <w:pPr>
                  <w:jc w:val="right"/>
                  <w:rPr>
                    <w:szCs w:val="21"/>
                  </w:rPr>
                </w:pPr>
              </w:p>
            </w:tc>
            <w:tc>
              <w:tcPr>
                <w:tcW w:w="896" w:type="pct"/>
                <w:shd w:val="clear" w:color="auto" w:fill="auto"/>
                <w:vAlign w:val="center"/>
              </w:tcPr>
              <w:p w:rsidR="006E65ED" w:rsidRDefault="006E65ED" w:rsidP="00B637B2">
                <w:pPr>
                  <w:jc w:val="right"/>
                  <w:rPr>
                    <w:szCs w:val="21"/>
                  </w:rPr>
                </w:pPr>
              </w:p>
            </w:tc>
            <w:tc>
              <w:tcPr>
                <w:tcW w:w="717" w:type="pct"/>
                <w:shd w:val="clear" w:color="auto" w:fill="auto"/>
                <w:vAlign w:val="center"/>
              </w:tcPr>
              <w:p w:rsidR="006E65ED" w:rsidRDefault="006E65ED" w:rsidP="00B637B2">
                <w:pPr>
                  <w:jc w:val="right"/>
                  <w:rPr>
                    <w:szCs w:val="21"/>
                  </w:rPr>
                </w:pPr>
              </w:p>
            </w:tc>
            <w:tc>
              <w:tcPr>
                <w:tcW w:w="896" w:type="pct"/>
                <w:shd w:val="clear" w:color="auto" w:fill="auto"/>
                <w:vAlign w:val="center"/>
              </w:tcPr>
              <w:p w:rsidR="006E65ED" w:rsidRDefault="006E65ED" w:rsidP="00B637B2">
                <w:pPr>
                  <w:jc w:val="right"/>
                  <w:rPr>
                    <w:szCs w:val="21"/>
                  </w:rPr>
                </w:pPr>
              </w:p>
            </w:tc>
          </w:tr>
          <w:tr w:rsidR="006E65ED" w:rsidTr="00B637B2">
            <w:trPr>
              <w:trHeight w:val="284"/>
            </w:trPr>
            <w:sdt>
              <w:sdtPr>
                <w:rPr>
                  <w:rFonts w:hint="eastAsia"/>
                  <w:szCs w:val="21"/>
                </w:rPr>
                <w:alias w:val="无形资产减值准备减少项目名称"/>
                <w:tag w:val="_GBC_8272bbfdd02345b8ad44a88b8a41de10"/>
                <w:id w:val="2121488435"/>
                <w:lock w:val="sdtLocked"/>
                <w:showingPlcHdr/>
              </w:sdtPr>
              <w:sdtContent>
                <w:tc>
                  <w:tcPr>
                    <w:tcW w:w="1027" w:type="pct"/>
                    <w:shd w:val="clear" w:color="auto" w:fill="auto"/>
                  </w:tcPr>
                  <w:p w:rsidR="006E65ED" w:rsidRDefault="006E65ED" w:rsidP="005D774F">
                    <w:pPr>
                      <w:ind w:firstLineChars="300" w:firstLine="630"/>
                      <w:rPr>
                        <w:szCs w:val="21"/>
                      </w:rPr>
                    </w:pPr>
                    <w:r>
                      <w:rPr>
                        <w:rFonts w:hint="eastAsia"/>
                        <w:szCs w:val="21"/>
                      </w:rPr>
                      <w:t xml:space="preserve">　</w:t>
                    </w:r>
                  </w:p>
                </w:tc>
              </w:sdtContent>
            </w:sdt>
            <w:sdt>
              <w:sdtPr>
                <w:rPr>
                  <w:rFonts w:hint="eastAsia"/>
                  <w:szCs w:val="21"/>
                </w:rPr>
                <w:alias w:val="无形资产土地使用权减值准备减少项目金额"/>
                <w:tag w:val="_GBC_8b708dfdfdc84533925e407c20772767"/>
                <w:id w:val="-244659647"/>
                <w:lock w:val="sdtLocked"/>
                <w:showingPlcHdr/>
              </w:sdtPr>
              <w:sdtContent>
                <w:tc>
                  <w:tcPr>
                    <w:tcW w:w="777" w:type="pct"/>
                    <w:shd w:val="clear" w:color="auto" w:fill="auto"/>
                    <w:vAlign w:val="center"/>
                  </w:tcPr>
                  <w:p w:rsidR="006E65ED" w:rsidRDefault="006E65ED" w:rsidP="00B637B2">
                    <w:pPr>
                      <w:jc w:val="right"/>
                      <w:rPr>
                        <w:szCs w:val="21"/>
                      </w:rPr>
                    </w:pPr>
                    <w:r>
                      <w:rPr>
                        <w:rFonts w:hint="eastAsia"/>
                        <w:szCs w:val="21"/>
                      </w:rPr>
                      <w:t xml:space="preserve">　</w:t>
                    </w:r>
                  </w:p>
                </w:tc>
              </w:sdtContent>
            </w:sdt>
            <w:sdt>
              <w:sdtPr>
                <w:rPr>
                  <w:rFonts w:hint="eastAsia"/>
                  <w:szCs w:val="21"/>
                </w:rPr>
                <w:alias w:val="无形资产专利权减值准备减少项目金额"/>
                <w:tag w:val="_GBC_3a32133737c54fadbe7b669399eade67"/>
                <w:id w:val="-2047364881"/>
                <w:lock w:val="sdtLocked"/>
                <w:showingPlcHdr/>
              </w:sdtPr>
              <w:sdtContent>
                <w:tc>
                  <w:tcPr>
                    <w:tcW w:w="686" w:type="pct"/>
                    <w:shd w:val="clear" w:color="auto" w:fill="auto"/>
                    <w:vAlign w:val="center"/>
                  </w:tcPr>
                  <w:p w:rsidR="006E65ED" w:rsidRDefault="006E65ED" w:rsidP="00B637B2">
                    <w:pPr>
                      <w:jc w:val="right"/>
                      <w:rPr>
                        <w:szCs w:val="21"/>
                      </w:rPr>
                    </w:pPr>
                    <w:r>
                      <w:rPr>
                        <w:rFonts w:hint="eastAsia"/>
                        <w:szCs w:val="21"/>
                      </w:rPr>
                      <w:t xml:space="preserve">　</w:t>
                    </w:r>
                  </w:p>
                </w:tc>
              </w:sdtContent>
            </w:sdt>
            <w:sdt>
              <w:sdtPr>
                <w:rPr>
                  <w:rFonts w:hint="eastAsia"/>
                  <w:szCs w:val="21"/>
                </w:rPr>
                <w:alias w:val="无形资产非专利技术减值准备减少项目金额"/>
                <w:tag w:val="_GBC_622a25c623bd4d4597996470399d3fec"/>
                <w:id w:val="824243466"/>
                <w:lock w:val="sdtLocked"/>
                <w:showingPlcHdr/>
              </w:sdtPr>
              <w:sdtContent>
                <w:tc>
                  <w:tcPr>
                    <w:tcW w:w="896" w:type="pct"/>
                    <w:shd w:val="clear" w:color="auto" w:fill="auto"/>
                    <w:vAlign w:val="center"/>
                  </w:tcPr>
                  <w:p w:rsidR="006E65ED" w:rsidRDefault="006E65ED" w:rsidP="00B637B2">
                    <w:pPr>
                      <w:jc w:val="right"/>
                      <w:rPr>
                        <w:szCs w:val="21"/>
                      </w:rPr>
                    </w:pPr>
                    <w:r>
                      <w:rPr>
                        <w:rFonts w:hint="eastAsia"/>
                        <w:szCs w:val="21"/>
                      </w:rPr>
                      <w:t xml:space="preserve">　</w:t>
                    </w:r>
                  </w:p>
                </w:tc>
              </w:sdtContent>
            </w:sdt>
            <w:sdt>
              <w:sdtPr>
                <w:rPr>
                  <w:rFonts w:hint="eastAsia"/>
                  <w:szCs w:val="21"/>
                </w:rPr>
                <w:alias w:val="无形资产减值准备减少项目金额"/>
                <w:tag w:val="_GBC_ecce1bc844c84420aded1f54f86b612a"/>
                <w:id w:val="-7983964"/>
                <w:lock w:val="sdtLocked"/>
                <w:showingPlcHdr/>
              </w:sdtPr>
              <w:sdtContent>
                <w:tc>
                  <w:tcPr>
                    <w:tcW w:w="717" w:type="pct"/>
                    <w:shd w:val="clear" w:color="auto" w:fill="auto"/>
                    <w:vAlign w:val="center"/>
                  </w:tcPr>
                  <w:p w:rsidR="006E65ED" w:rsidRDefault="006E65ED" w:rsidP="00B637B2">
                    <w:pPr>
                      <w:jc w:val="right"/>
                      <w:rPr>
                        <w:szCs w:val="21"/>
                      </w:rPr>
                    </w:pPr>
                    <w:r>
                      <w:rPr>
                        <w:rFonts w:hint="eastAsia"/>
                        <w:szCs w:val="21"/>
                      </w:rPr>
                      <w:t xml:space="preserve">　</w:t>
                    </w:r>
                  </w:p>
                </w:tc>
              </w:sdtContent>
            </w:sdt>
            <w:sdt>
              <w:sdtPr>
                <w:rPr>
                  <w:rFonts w:hint="eastAsia"/>
                  <w:szCs w:val="21"/>
                </w:rPr>
                <w:alias w:val="无形资产减值准备减少项目合计金额"/>
                <w:tag w:val="_GBC_af92ed28d10c4c6ea5a7119a7ab5bcd4"/>
                <w:id w:val="-527093953"/>
                <w:lock w:val="sdtLocked"/>
                <w:showingPlcHdr/>
              </w:sdtPr>
              <w:sdtContent>
                <w:tc>
                  <w:tcPr>
                    <w:tcW w:w="896" w:type="pct"/>
                    <w:shd w:val="clear" w:color="auto" w:fill="auto"/>
                    <w:vAlign w:val="center"/>
                  </w:tcPr>
                  <w:p w:rsidR="006E65ED" w:rsidRDefault="006E65ED" w:rsidP="00B637B2">
                    <w:pPr>
                      <w:jc w:val="right"/>
                      <w:rPr>
                        <w:szCs w:val="21"/>
                      </w:rPr>
                    </w:pPr>
                    <w:r>
                      <w:rPr>
                        <w:rFonts w:hint="eastAsia"/>
                        <w:szCs w:val="21"/>
                      </w:rPr>
                      <w:t xml:space="preserve">　</w:t>
                    </w:r>
                  </w:p>
                </w:tc>
              </w:sdtContent>
            </w:sdt>
          </w:tr>
          <w:tr w:rsidR="006E65ED" w:rsidTr="00B637B2">
            <w:trPr>
              <w:trHeight w:val="284"/>
            </w:trPr>
            <w:sdt>
              <w:sdtPr>
                <w:rPr>
                  <w:rFonts w:hint="eastAsia"/>
                  <w:szCs w:val="21"/>
                </w:rPr>
                <w:alias w:val="无形资产减值准备减少项目名称"/>
                <w:tag w:val="_GBC_8272bbfdd02345b8ad44a88b8a41de10"/>
                <w:id w:val="-729999369"/>
                <w:lock w:val="sdtLocked"/>
                <w:showingPlcHdr/>
              </w:sdtPr>
              <w:sdtContent>
                <w:tc>
                  <w:tcPr>
                    <w:tcW w:w="1027" w:type="pct"/>
                    <w:shd w:val="clear" w:color="auto" w:fill="auto"/>
                  </w:tcPr>
                  <w:p w:rsidR="006E65ED" w:rsidRDefault="006E65ED" w:rsidP="005D774F">
                    <w:pPr>
                      <w:ind w:firstLineChars="300" w:firstLine="630"/>
                      <w:rPr>
                        <w:szCs w:val="21"/>
                      </w:rPr>
                    </w:pPr>
                    <w:r>
                      <w:rPr>
                        <w:rFonts w:hint="eastAsia"/>
                        <w:szCs w:val="21"/>
                      </w:rPr>
                      <w:t xml:space="preserve">　</w:t>
                    </w:r>
                  </w:p>
                </w:tc>
              </w:sdtContent>
            </w:sdt>
            <w:sdt>
              <w:sdtPr>
                <w:rPr>
                  <w:rFonts w:hint="eastAsia"/>
                  <w:szCs w:val="21"/>
                </w:rPr>
                <w:alias w:val="无形资产土地使用权减值准备减少项目金额"/>
                <w:tag w:val="_GBC_8b708dfdfdc84533925e407c20772767"/>
                <w:id w:val="-1461177341"/>
                <w:lock w:val="sdtLocked"/>
                <w:showingPlcHdr/>
              </w:sdtPr>
              <w:sdtContent>
                <w:tc>
                  <w:tcPr>
                    <w:tcW w:w="777" w:type="pct"/>
                    <w:shd w:val="clear" w:color="auto" w:fill="auto"/>
                    <w:vAlign w:val="center"/>
                  </w:tcPr>
                  <w:p w:rsidR="006E65ED" w:rsidRDefault="006E65ED" w:rsidP="00B637B2">
                    <w:pPr>
                      <w:jc w:val="right"/>
                      <w:rPr>
                        <w:szCs w:val="21"/>
                      </w:rPr>
                    </w:pPr>
                    <w:r>
                      <w:rPr>
                        <w:rFonts w:hint="eastAsia"/>
                        <w:szCs w:val="21"/>
                      </w:rPr>
                      <w:t xml:space="preserve">　</w:t>
                    </w:r>
                  </w:p>
                </w:tc>
              </w:sdtContent>
            </w:sdt>
            <w:sdt>
              <w:sdtPr>
                <w:rPr>
                  <w:rFonts w:hint="eastAsia"/>
                  <w:szCs w:val="21"/>
                </w:rPr>
                <w:alias w:val="无形资产专利权减值准备减少项目金额"/>
                <w:tag w:val="_GBC_3a32133737c54fadbe7b669399eade67"/>
                <w:id w:val="-1538188747"/>
                <w:lock w:val="sdtLocked"/>
                <w:showingPlcHdr/>
              </w:sdtPr>
              <w:sdtContent>
                <w:tc>
                  <w:tcPr>
                    <w:tcW w:w="686" w:type="pct"/>
                    <w:shd w:val="clear" w:color="auto" w:fill="auto"/>
                    <w:vAlign w:val="center"/>
                  </w:tcPr>
                  <w:p w:rsidR="006E65ED" w:rsidRDefault="006E65ED" w:rsidP="00B637B2">
                    <w:pPr>
                      <w:jc w:val="right"/>
                      <w:rPr>
                        <w:szCs w:val="21"/>
                      </w:rPr>
                    </w:pPr>
                    <w:r>
                      <w:rPr>
                        <w:rFonts w:hint="eastAsia"/>
                        <w:szCs w:val="21"/>
                      </w:rPr>
                      <w:t xml:space="preserve">　</w:t>
                    </w:r>
                  </w:p>
                </w:tc>
              </w:sdtContent>
            </w:sdt>
            <w:sdt>
              <w:sdtPr>
                <w:rPr>
                  <w:rFonts w:hint="eastAsia"/>
                  <w:szCs w:val="21"/>
                </w:rPr>
                <w:alias w:val="无形资产非专利技术减值准备减少项目金额"/>
                <w:tag w:val="_GBC_622a25c623bd4d4597996470399d3fec"/>
                <w:id w:val="-1514063632"/>
                <w:lock w:val="sdtLocked"/>
                <w:showingPlcHdr/>
              </w:sdtPr>
              <w:sdtContent>
                <w:tc>
                  <w:tcPr>
                    <w:tcW w:w="896" w:type="pct"/>
                    <w:shd w:val="clear" w:color="auto" w:fill="auto"/>
                    <w:vAlign w:val="center"/>
                  </w:tcPr>
                  <w:p w:rsidR="006E65ED" w:rsidRDefault="006E65ED" w:rsidP="00B637B2">
                    <w:pPr>
                      <w:jc w:val="right"/>
                      <w:rPr>
                        <w:szCs w:val="21"/>
                      </w:rPr>
                    </w:pPr>
                    <w:r>
                      <w:rPr>
                        <w:rFonts w:hint="eastAsia"/>
                        <w:szCs w:val="21"/>
                      </w:rPr>
                      <w:t xml:space="preserve">　</w:t>
                    </w:r>
                  </w:p>
                </w:tc>
              </w:sdtContent>
            </w:sdt>
            <w:sdt>
              <w:sdtPr>
                <w:rPr>
                  <w:rFonts w:hint="eastAsia"/>
                  <w:szCs w:val="21"/>
                </w:rPr>
                <w:alias w:val="无形资产减值准备减少项目金额"/>
                <w:tag w:val="_GBC_ecce1bc844c84420aded1f54f86b612a"/>
                <w:id w:val="-1595780405"/>
                <w:lock w:val="sdtLocked"/>
                <w:showingPlcHdr/>
              </w:sdtPr>
              <w:sdtContent>
                <w:tc>
                  <w:tcPr>
                    <w:tcW w:w="717" w:type="pct"/>
                    <w:shd w:val="clear" w:color="auto" w:fill="auto"/>
                    <w:vAlign w:val="center"/>
                  </w:tcPr>
                  <w:p w:rsidR="006E65ED" w:rsidRDefault="006E65ED" w:rsidP="00B637B2">
                    <w:pPr>
                      <w:jc w:val="right"/>
                      <w:rPr>
                        <w:szCs w:val="21"/>
                      </w:rPr>
                    </w:pPr>
                    <w:r>
                      <w:rPr>
                        <w:rFonts w:hint="eastAsia"/>
                        <w:szCs w:val="21"/>
                      </w:rPr>
                      <w:t xml:space="preserve">　</w:t>
                    </w:r>
                  </w:p>
                </w:tc>
              </w:sdtContent>
            </w:sdt>
            <w:sdt>
              <w:sdtPr>
                <w:rPr>
                  <w:rFonts w:hint="eastAsia"/>
                  <w:szCs w:val="21"/>
                </w:rPr>
                <w:alias w:val="无形资产减值准备减少项目合计金额"/>
                <w:tag w:val="_GBC_af92ed28d10c4c6ea5a7119a7ab5bcd4"/>
                <w:id w:val="2078774678"/>
                <w:lock w:val="sdtLocked"/>
                <w:showingPlcHdr/>
              </w:sdtPr>
              <w:sdtContent>
                <w:tc>
                  <w:tcPr>
                    <w:tcW w:w="896" w:type="pct"/>
                    <w:shd w:val="clear" w:color="auto" w:fill="auto"/>
                    <w:vAlign w:val="center"/>
                  </w:tcPr>
                  <w:p w:rsidR="006E65ED" w:rsidRDefault="006E65ED" w:rsidP="00B637B2">
                    <w:pPr>
                      <w:jc w:val="right"/>
                      <w:rPr>
                        <w:szCs w:val="21"/>
                      </w:rPr>
                    </w:pPr>
                    <w:r>
                      <w:rPr>
                        <w:rFonts w:hint="eastAsia"/>
                        <w:szCs w:val="21"/>
                      </w:rPr>
                      <w:t xml:space="preserve">　</w:t>
                    </w:r>
                  </w:p>
                </w:tc>
              </w:sdtContent>
            </w:sdt>
          </w:tr>
          <w:tr w:rsidR="006E65ED" w:rsidTr="00B637B2">
            <w:trPr>
              <w:trHeight w:val="284"/>
            </w:trPr>
            <w:sdt>
              <w:sdtPr>
                <w:tag w:val="_PLD_4a919606beac465fb30f547b86305b00"/>
                <w:id w:val="-103116758"/>
                <w:lock w:val="sdtLocked"/>
              </w:sdtPr>
              <w:sdtContent>
                <w:tc>
                  <w:tcPr>
                    <w:tcW w:w="1027" w:type="pct"/>
                    <w:shd w:val="clear" w:color="auto" w:fill="auto"/>
                    <w:vAlign w:val="center"/>
                  </w:tcPr>
                  <w:p w:rsidR="006E65ED" w:rsidRDefault="006E65ED" w:rsidP="005D774F">
                    <w:pPr>
                      <w:ind w:firstLineChars="200" w:firstLine="420"/>
                      <w:rPr>
                        <w:szCs w:val="21"/>
                      </w:rPr>
                    </w:pPr>
                    <w:r>
                      <w:rPr>
                        <w:rFonts w:hint="eastAsia"/>
                        <w:szCs w:val="21"/>
                      </w:rPr>
                      <w:t>4.</w:t>
                    </w:r>
                    <w:r>
                      <w:rPr>
                        <w:szCs w:val="21"/>
                      </w:rPr>
                      <w:t>期末余额</w:t>
                    </w:r>
                  </w:p>
                </w:tc>
              </w:sdtContent>
            </w:sdt>
            <w:tc>
              <w:tcPr>
                <w:tcW w:w="777" w:type="pct"/>
                <w:shd w:val="clear" w:color="auto" w:fill="auto"/>
                <w:vAlign w:val="center"/>
              </w:tcPr>
              <w:p w:rsidR="006E65ED" w:rsidRDefault="006E65ED" w:rsidP="00B637B2">
                <w:pPr>
                  <w:jc w:val="right"/>
                  <w:rPr>
                    <w:szCs w:val="21"/>
                  </w:rPr>
                </w:pPr>
              </w:p>
            </w:tc>
            <w:tc>
              <w:tcPr>
                <w:tcW w:w="686" w:type="pct"/>
                <w:shd w:val="clear" w:color="auto" w:fill="auto"/>
                <w:vAlign w:val="center"/>
              </w:tcPr>
              <w:p w:rsidR="006E65ED" w:rsidRDefault="006E65ED" w:rsidP="00B637B2">
                <w:pPr>
                  <w:jc w:val="right"/>
                  <w:rPr>
                    <w:szCs w:val="21"/>
                  </w:rPr>
                </w:pPr>
              </w:p>
            </w:tc>
            <w:tc>
              <w:tcPr>
                <w:tcW w:w="896" w:type="pct"/>
                <w:shd w:val="clear" w:color="auto" w:fill="auto"/>
                <w:vAlign w:val="center"/>
              </w:tcPr>
              <w:p w:rsidR="006E65ED" w:rsidRDefault="008F04CF" w:rsidP="00B637B2">
                <w:pPr>
                  <w:jc w:val="right"/>
                  <w:rPr>
                    <w:szCs w:val="21"/>
                  </w:rPr>
                </w:pPr>
                <w:r>
                  <w:rPr>
                    <w:szCs w:val="21"/>
                  </w:rPr>
                  <w:t>13,419,208</w:t>
                </w:r>
              </w:p>
            </w:tc>
            <w:tc>
              <w:tcPr>
                <w:tcW w:w="717" w:type="pct"/>
                <w:shd w:val="clear" w:color="auto" w:fill="auto"/>
                <w:vAlign w:val="center"/>
              </w:tcPr>
              <w:p w:rsidR="006E65ED" w:rsidRDefault="006E65ED" w:rsidP="00B637B2">
                <w:pPr>
                  <w:jc w:val="right"/>
                  <w:rPr>
                    <w:szCs w:val="21"/>
                  </w:rPr>
                </w:pPr>
              </w:p>
            </w:tc>
            <w:tc>
              <w:tcPr>
                <w:tcW w:w="896" w:type="pct"/>
                <w:shd w:val="clear" w:color="auto" w:fill="auto"/>
                <w:vAlign w:val="center"/>
              </w:tcPr>
              <w:p w:rsidR="006E65ED" w:rsidRDefault="008F04CF" w:rsidP="00B637B2">
                <w:pPr>
                  <w:jc w:val="right"/>
                  <w:rPr>
                    <w:szCs w:val="21"/>
                  </w:rPr>
                </w:pPr>
                <w:r>
                  <w:rPr>
                    <w:szCs w:val="21"/>
                  </w:rPr>
                  <w:t>13,419,208</w:t>
                </w:r>
              </w:p>
            </w:tc>
          </w:tr>
          <w:tr w:rsidR="006E65ED" w:rsidTr="00B637B2">
            <w:trPr>
              <w:trHeight w:val="284"/>
            </w:trPr>
            <w:sdt>
              <w:sdtPr>
                <w:tag w:val="_PLD_77aceef1b70d43c0846f7e8f529b7784"/>
                <w:id w:val="192124425"/>
                <w:lock w:val="sdtLocked"/>
              </w:sdtPr>
              <w:sdtContent>
                <w:tc>
                  <w:tcPr>
                    <w:tcW w:w="1027" w:type="pct"/>
                    <w:shd w:val="clear" w:color="auto" w:fill="auto"/>
                    <w:vAlign w:val="center"/>
                  </w:tcPr>
                  <w:p w:rsidR="006E65ED" w:rsidRDefault="006E65ED" w:rsidP="005D774F">
                    <w:pPr>
                      <w:rPr>
                        <w:szCs w:val="21"/>
                      </w:rPr>
                    </w:pPr>
                    <w:r>
                      <w:rPr>
                        <w:szCs w:val="21"/>
                      </w:rPr>
                      <w:t>四、账面价值</w:t>
                    </w:r>
                  </w:p>
                </w:tc>
              </w:sdtContent>
            </w:sdt>
            <w:tc>
              <w:tcPr>
                <w:tcW w:w="777" w:type="pct"/>
                <w:shd w:val="clear" w:color="auto" w:fill="auto"/>
                <w:vAlign w:val="center"/>
              </w:tcPr>
              <w:p w:rsidR="006E65ED" w:rsidRDefault="006E65ED" w:rsidP="00B637B2">
                <w:pPr>
                  <w:jc w:val="right"/>
                  <w:rPr>
                    <w:szCs w:val="21"/>
                  </w:rPr>
                </w:pPr>
              </w:p>
            </w:tc>
            <w:tc>
              <w:tcPr>
                <w:tcW w:w="686" w:type="pct"/>
                <w:shd w:val="clear" w:color="auto" w:fill="auto"/>
                <w:vAlign w:val="center"/>
              </w:tcPr>
              <w:p w:rsidR="006E65ED" w:rsidRDefault="006E65ED" w:rsidP="00B637B2">
                <w:pPr>
                  <w:jc w:val="right"/>
                  <w:rPr>
                    <w:szCs w:val="21"/>
                  </w:rPr>
                </w:pPr>
              </w:p>
            </w:tc>
            <w:tc>
              <w:tcPr>
                <w:tcW w:w="896" w:type="pct"/>
                <w:shd w:val="clear" w:color="auto" w:fill="auto"/>
                <w:vAlign w:val="center"/>
              </w:tcPr>
              <w:p w:rsidR="006E65ED" w:rsidRDefault="006E65ED" w:rsidP="00B637B2">
                <w:pPr>
                  <w:jc w:val="right"/>
                  <w:rPr>
                    <w:szCs w:val="21"/>
                  </w:rPr>
                </w:pPr>
              </w:p>
            </w:tc>
            <w:tc>
              <w:tcPr>
                <w:tcW w:w="717" w:type="pct"/>
                <w:shd w:val="clear" w:color="auto" w:fill="auto"/>
                <w:vAlign w:val="center"/>
              </w:tcPr>
              <w:p w:rsidR="006E65ED" w:rsidRDefault="006E65ED" w:rsidP="00B637B2">
                <w:pPr>
                  <w:jc w:val="right"/>
                  <w:rPr>
                    <w:szCs w:val="21"/>
                  </w:rPr>
                </w:pPr>
              </w:p>
            </w:tc>
            <w:tc>
              <w:tcPr>
                <w:tcW w:w="896" w:type="pct"/>
                <w:shd w:val="clear" w:color="auto" w:fill="auto"/>
                <w:vAlign w:val="center"/>
              </w:tcPr>
              <w:p w:rsidR="006E65ED" w:rsidRDefault="006E65ED" w:rsidP="00B637B2">
                <w:pPr>
                  <w:jc w:val="right"/>
                  <w:rPr>
                    <w:szCs w:val="21"/>
                  </w:rPr>
                </w:pPr>
              </w:p>
            </w:tc>
          </w:tr>
          <w:tr w:rsidR="006E65ED" w:rsidTr="00B637B2">
            <w:trPr>
              <w:trHeight w:val="284"/>
            </w:trPr>
            <w:sdt>
              <w:sdtPr>
                <w:tag w:val="_PLD_7b3cabd4024540c8bf9dc83469ecf7d4"/>
                <w:id w:val="1046568059"/>
                <w:lock w:val="sdtLocked"/>
              </w:sdtPr>
              <w:sdtContent>
                <w:tc>
                  <w:tcPr>
                    <w:tcW w:w="1027" w:type="pct"/>
                    <w:shd w:val="clear" w:color="auto" w:fill="auto"/>
                    <w:vAlign w:val="center"/>
                  </w:tcPr>
                  <w:p w:rsidR="006E65ED" w:rsidRDefault="006E65ED" w:rsidP="005D774F">
                    <w:pPr>
                      <w:rPr>
                        <w:szCs w:val="21"/>
                      </w:rPr>
                    </w:pPr>
                    <w:r>
                      <w:rPr>
                        <w:szCs w:val="21"/>
                      </w:rPr>
                      <w:t xml:space="preserve">    1.期末账面价值</w:t>
                    </w:r>
                  </w:p>
                </w:tc>
              </w:sdtContent>
            </w:sdt>
            <w:tc>
              <w:tcPr>
                <w:tcW w:w="777" w:type="pct"/>
                <w:shd w:val="clear" w:color="auto" w:fill="auto"/>
                <w:vAlign w:val="center"/>
              </w:tcPr>
              <w:p w:rsidR="006E65ED" w:rsidRDefault="006E65ED" w:rsidP="00B637B2">
                <w:pPr>
                  <w:jc w:val="right"/>
                  <w:rPr>
                    <w:szCs w:val="21"/>
                  </w:rPr>
                </w:pPr>
                <w:r w:rsidRPr="006E65ED">
                  <w:rPr>
                    <w:szCs w:val="21"/>
                  </w:rPr>
                  <w:t>295,908,568</w:t>
                </w:r>
              </w:p>
            </w:tc>
            <w:tc>
              <w:tcPr>
                <w:tcW w:w="686" w:type="pct"/>
                <w:shd w:val="clear" w:color="auto" w:fill="auto"/>
                <w:vAlign w:val="center"/>
              </w:tcPr>
              <w:p w:rsidR="006E65ED" w:rsidRDefault="006E65ED" w:rsidP="00B637B2">
                <w:pPr>
                  <w:jc w:val="right"/>
                  <w:rPr>
                    <w:szCs w:val="21"/>
                  </w:rPr>
                </w:pPr>
              </w:p>
            </w:tc>
            <w:tc>
              <w:tcPr>
                <w:tcW w:w="896" w:type="pct"/>
                <w:shd w:val="clear" w:color="auto" w:fill="auto"/>
                <w:vAlign w:val="center"/>
              </w:tcPr>
              <w:p w:rsidR="006E65ED" w:rsidRDefault="008F04CF" w:rsidP="00B637B2">
                <w:pPr>
                  <w:jc w:val="right"/>
                  <w:rPr>
                    <w:szCs w:val="21"/>
                  </w:rPr>
                </w:pPr>
                <w:r>
                  <w:rPr>
                    <w:szCs w:val="21"/>
                  </w:rPr>
                  <w:t>495,826,016</w:t>
                </w:r>
              </w:p>
            </w:tc>
            <w:tc>
              <w:tcPr>
                <w:tcW w:w="717" w:type="pct"/>
                <w:shd w:val="clear" w:color="auto" w:fill="auto"/>
                <w:vAlign w:val="center"/>
              </w:tcPr>
              <w:p w:rsidR="006E65ED" w:rsidRDefault="009A04E0" w:rsidP="00B637B2">
                <w:pPr>
                  <w:jc w:val="right"/>
                  <w:rPr>
                    <w:szCs w:val="21"/>
                  </w:rPr>
                </w:pPr>
                <w:r w:rsidRPr="009A04E0">
                  <w:rPr>
                    <w:szCs w:val="21"/>
                  </w:rPr>
                  <w:t>23,848,833</w:t>
                </w:r>
              </w:p>
            </w:tc>
            <w:tc>
              <w:tcPr>
                <w:tcW w:w="896" w:type="pct"/>
                <w:shd w:val="clear" w:color="auto" w:fill="auto"/>
                <w:vAlign w:val="center"/>
              </w:tcPr>
              <w:p w:rsidR="006E65ED" w:rsidRDefault="009A04E0" w:rsidP="00B637B2">
                <w:pPr>
                  <w:jc w:val="right"/>
                  <w:rPr>
                    <w:szCs w:val="21"/>
                  </w:rPr>
                </w:pPr>
                <w:r w:rsidRPr="009A04E0">
                  <w:rPr>
                    <w:szCs w:val="21"/>
                  </w:rPr>
                  <w:t>815,583,417</w:t>
                </w:r>
              </w:p>
            </w:tc>
          </w:tr>
          <w:tr w:rsidR="006E65ED" w:rsidTr="00B637B2">
            <w:trPr>
              <w:trHeight w:val="284"/>
            </w:trPr>
            <w:sdt>
              <w:sdtPr>
                <w:tag w:val="_PLD_04cb9e53cf0d4d8b83570453ac161e64"/>
                <w:id w:val="1148706841"/>
                <w:lock w:val="sdtLocked"/>
              </w:sdtPr>
              <w:sdtContent>
                <w:tc>
                  <w:tcPr>
                    <w:tcW w:w="1027" w:type="pct"/>
                    <w:shd w:val="clear" w:color="auto" w:fill="auto"/>
                    <w:vAlign w:val="center"/>
                  </w:tcPr>
                  <w:p w:rsidR="006E65ED" w:rsidRDefault="006E65ED" w:rsidP="005D774F">
                    <w:pPr>
                      <w:rPr>
                        <w:szCs w:val="21"/>
                      </w:rPr>
                    </w:pPr>
                    <w:r>
                      <w:rPr>
                        <w:szCs w:val="21"/>
                      </w:rPr>
                      <w:t xml:space="preserve">    2.</w:t>
                    </w:r>
                    <w:r>
                      <w:rPr>
                        <w:rFonts w:hint="eastAsia"/>
                        <w:szCs w:val="21"/>
                      </w:rPr>
                      <w:t>期初</w:t>
                    </w:r>
                    <w:r>
                      <w:rPr>
                        <w:szCs w:val="21"/>
                      </w:rPr>
                      <w:t>账面价值</w:t>
                    </w:r>
                  </w:p>
                </w:tc>
              </w:sdtContent>
            </w:sdt>
            <w:tc>
              <w:tcPr>
                <w:tcW w:w="777" w:type="pct"/>
                <w:shd w:val="clear" w:color="auto" w:fill="auto"/>
                <w:vAlign w:val="center"/>
              </w:tcPr>
              <w:p w:rsidR="006E65ED" w:rsidRDefault="006E65ED" w:rsidP="00B637B2">
                <w:pPr>
                  <w:jc w:val="right"/>
                  <w:rPr>
                    <w:szCs w:val="21"/>
                  </w:rPr>
                </w:pPr>
                <w:r w:rsidRPr="006E65ED">
                  <w:rPr>
                    <w:szCs w:val="21"/>
                  </w:rPr>
                  <w:t>299,747,178</w:t>
                </w:r>
              </w:p>
            </w:tc>
            <w:tc>
              <w:tcPr>
                <w:tcW w:w="686" w:type="pct"/>
                <w:shd w:val="clear" w:color="auto" w:fill="auto"/>
                <w:vAlign w:val="center"/>
              </w:tcPr>
              <w:p w:rsidR="006E65ED" w:rsidRDefault="006E65ED" w:rsidP="00B637B2">
                <w:pPr>
                  <w:jc w:val="right"/>
                  <w:rPr>
                    <w:szCs w:val="21"/>
                  </w:rPr>
                </w:pPr>
              </w:p>
            </w:tc>
            <w:tc>
              <w:tcPr>
                <w:tcW w:w="896" w:type="pct"/>
                <w:shd w:val="clear" w:color="auto" w:fill="auto"/>
                <w:vAlign w:val="center"/>
              </w:tcPr>
              <w:p w:rsidR="006E65ED" w:rsidRDefault="009A04E0" w:rsidP="00B637B2">
                <w:pPr>
                  <w:jc w:val="right"/>
                  <w:rPr>
                    <w:szCs w:val="21"/>
                  </w:rPr>
                </w:pPr>
                <w:r w:rsidRPr="009A04E0">
                  <w:rPr>
                    <w:szCs w:val="21"/>
                  </w:rPr>
                  <w:t>550,601,459</w:t>
                </w:r>
              </w:p>
            </w:tc>
            <w:tc>
              <w:tcPr>
                <w:tcW w:w="717" w:type="pct"/>
                <w:shd w:val="clear" w:color="auto" w:fill="auto"/>
                <w:vAlign w:val="center"/>
              </w:tcPr>
              <w:p w:rsidR="006E65ED" w:rsidRDefault="008F04CF" w:rsidP="00B637B2">
                <w:pPr>
                  <w:jc w:val="right"/>
                  <w:rPr>
                    <w:szCs w:val="21"/>
                  </w:rPr>
                </w:pPr>
                <w:r>
                  <w:rPr>
                    <w:szCs w:val="21"/>
                  </w:rPr>
                  <w:t>25,570,500</w:t>
                </w:r>
              </w:p>
            </w:tc>
            <w:tc>
              <w:tcPr>
                <w:tcW w:w="896" w:type="pct"/>
                <w:shd w:val="clear" w:color="auto" w:fill="auto"/>
                <w:vAlign w:val="center"/>
              </w:tcPr>
              <w:p w:rsidR="006E65ED" w:rsidRDefault="009A04E0" w:rsidP="00B637B2">
                <w:pPr>
                  <w:jc w:val="right"/>
                  <w:rPr>
                    <w:szCs w:val="21"/>
                  </w:rPr>
                </w:pPr>
                <w:r w:rsidRPr="009A04E0">
                  <w:rPr>
                    <w:szCs w:val="21"/>
                  </w:rPr>
                  <w:t>875,919,137</w:t>
                </w:r>
              </w:p>
            </w:tc>
          </w:tr>
        </w:tbl>
        <w:p w:rsidR="006E65ED" w:rsidRDefault="006E65ED"/>
        <w:p w:rsidR="00ED2DC7" w:rsidRDefault="00ED2DC7">
          <w:pPr>
            <w:snapToGrid w:val="0"/>
            <w:spacing w:line="240" w:lineRule="atLeast"/>
            <w:rPr>
              <w:szCs w:val="21"/>
            </w:rPr>
          </w:pPr>
          <w:r>
            <w:rPr>
              <w:rFonts w:hint="eastAsia"/>
              <w:szCs w:val="21"/>
            </w:rPr>
            <w:t>本期末通过公司内部研发形成的无形资产占无形资产余额的比例</w:t>
          </w:r>
          <w:sdt>
            <w:sdtPr>
              <w:rPr>
                <w:szCs w:val="21"/>
              </w:rPr>
              <w:alias w:val="通过公司内部研发形成的无形资产占无形资产账面价值的比例"/>
              <w:tag w:val="_GBC_4eb0f3140a674bd1899e2bd836d51bbb"/>
              <w:id w:val="-1685897186"/>
              <w:lock w:val="sdtLocked"/>
              <w:placeholder>
                <w:docPart w:val="GBC22222222222222222222222222222"/>
              </w:placeholder>
            </w:sdtPr>
            <w:sdtContent>
              <w:r w:rsidR="000D3163">
                <w:rPr>
                  <w:rFonts w:ascii="Arial" w:eastAsia="黑体" w:hAnsi="Arial" w:cs="Arial"/>
                  <w:snapToGrid w:val="0"/>
                  <w:sz w:val="20"/>
                  <w:szCs w:val="20"/>
                </w:rPr>
                <w:t>64</w:t>
              </w:r>
            </w:sdtContent>
          </w:sdt>
          <w:r>
            <w:rPr>
              <w:rFonts w:hint="eastAsia"/>
              <w:szCs w:val="21"/>
            </w:rPr>
            <w:t>%</w:t>
          </w:r>
        </w:p>
        <w:p w:rsidR="00ED2DC7" w:rsidRDefault="000D3163">
          <w:pPr>
            <w:snapToGrid w:val="0"/>
            <w:spacing w:line="240" w:lineRule="atLeast"/>
            <w:rPr>
              <w:szCs w:val="21"/>
            </w:rPr>
          </w:pPr>
          <w:r w:rsidRPr="000D3163">
            <w:rPr>
              <w:rFonts w:hint="eastAsia"/>
              <w:szCs w:val="21"/>
            </w:rPr>
            <w:t>于</w:t>
          </w:r>
          <w:r w:rsidRPr="000D3163">
            <w:rPr>
              <w:szCs w:val="21"/>
            </w:rPr>
            <w:t>2019年6月30日，本集团所有权受限的无形资产参见附注</w:t>
          </w:r>
          <w:r w:rsidR="00150269">
            <w:rPr>
              <w:rFonts w:hint="eastAsia"/>
              <w:szCs w:val="21"/>
            </w:rPr>
            <w:t>七</w:t>
          </w:r>
          <w:r w:rsidRPr="000D3163">
            <w:rPr>
              <w:szCs w:val="21"/>
            </w:rPr>
            <w:t>、</w:t>
          </w:r>
          <w:r w:rsidR="00150269">
            <w:rPr>
              <w:szCs w:val="21"/>
            </w:rPr>
            <w:t>81</w:t>
          </w:r>
          <w:r w:rsidRPr="000D3163">
            <w:rPr>
              <w:szCs w:val="21"/>
            </w:rPr>
            <w:t>及附注</w:t>
          </w:r>
          <w:r w:rsidR="00150269">
            <w:rPr>
              <w:rFonts w:hint="eastAsia"/>
              <w:szCs w:val="21"/>
            </w:rPr>
            <w:t>七</w:t>
          </w:r>
          <w:r w:rsidRPr="000D3163">
            <w:rPr>
              <w:szCs w:val="21"/>
            </w:rPr>
            <w:t>、</w:t>
          </w:r>
          <w:r w:rsidR="00150269">
            <w:rPr>
              <w:szCs w:val="21"/>
            </w:rPr>
            <w:t>81</w:t>
          </w:r>
          <w:r w:rsidRPr="000D3163">
            <w:rPr>
              <w:szCs w:val="21"/>
            </w:rPr>
            <w:t>。</w:t>
          </w:r>
        </w:p>
      </w:sdtContent>
    </w:sdt>
    <w:sdt>
      <w:sdtPr>
        <w:rPr>
          <w:rFonts w:ascii="宋体" w:hAnsi="宋体" w:cs="宋体" w:hint="eastAsia"/>
          <w:b w:val="0"/>
          <w:bCs w:val="0"/>
          <w:kern w:val="0"/>
          <w:szCs w:val="21"/>
        </w:rPr>
        <w:alias w:val="模块:未办妥产权证书的土地使用权情况："/>
        <w:tag w:val="_GBC_0daf5d1e7172402ab885ca5e5b78a389"/>
        <w:id w:val="1052887921"/>
        <w:lock w:val="sdtLocked"/>
        <w:placeholder>
          <w:docPart w:val="GBC22222222222222222222222222222"/>
        </w:placeholder>
      </w:sdtPr>
      <w:sdtContent>
        <w:p w:rsidR="00ED2DC7" w:rsidRDefault="00ED2DC7" w:rsidP="00036BDC">
          <w:pPr>
            <w:pStyle w:val="affffffffffffffffff2"/>
            <w:numPr>
              <w:ilvl w:val="0"/>
              <w:numId w:val="65"/>
            </w:numPr>
            <w:tabs>
              <w:tab w:val="left" w:pos="602"/>
            </w:tabs>
            <w:rPr>
              <w:szCs w:val="21"/>
            </w:rPr>
          </w:pPr>
          <w:r>
            <w:rPr>
              <w:rFonts w:hint="eastAsia"/>
              <w:szCs w:val="21"/>
            </w:rPr>
            <w:t>未办妥产权证书的土地使用权情况</w:t>
          </w:r>
        </w:p>
        <w:sdt>
          <w:sdtPr>
            <w:alias w:val="是否适用：未办妥产权证书的土地使用权情况[双击切换]"/>
            <w:tag w:val="_GBC_e8ff0641401a44f19fe64ad31dc15c58"/>
            <w:id w:val="1649399957"/>
            <w:lock w:val="sdtContentLocked"/>
            <w:placeholder>
              <w:docPart w:val="GBC22222222222222222222222222222"/>
            </w:placeholder>
          </w:sdtPr>
          <w:sdtContent>
            <w:p w:rsidR="00B637B2" w:rsidRDefault="00ED2DC7" w:rsidP="00B637B2">
              <w:r>
                <w:fldChar w:fldCharType="begin"/>
              </w:r>
              <w:r w:rsidR="00036BDC">
                <w:instrText xml:space="preserve"> MACROBUTTON  SnrToggleCheckbox □适用 </w:instrText>
              </w:r>
              <w:r>
                <w:fldChar w:fldCharType="end"/>
              </w:r>
              <w:r>
                <w:fldChar w:fldCharType="begin"/>
              </w:r>
              <w:r w:rsidR="00036BDC">
                <w:instrText xml:space="preserve"> MACROBUTTON  SnrToggleCheckbox √不适用 </w:instrText>
              </w:r>
              <w:r>
                <w:fldChar w:fldCharType="end"/>
              </w:r>
            </w:p>
          </w:sdtContent>
        </w:sdt>
        <w:p w:rsidR="00ED2DC7" w:rsidRDefault="000D0A99" w:rsidP="00392D33">
          <w:pPr>
            <w:rPr>
              <w:szCs w:val="21"/>
            </w:rPr>
          </w:pPr>
        </w:p>
      </w:sdtContent>
    </w:sdt>
    <w:sdt>
      <w:sdtPr>
        <w:rPr>
          <w:szCs w:val="21"/>
        </w:rPr>
        <w:alias w:val="模块:无形资产说明"/>
        <w:tag w:val="_GBC_c2d02a8bb1274cb1bf0330030cc64229"/>
        <w:id w:val="422315482"/>
        <w:lock w:val="sdtLocked"/>
        <w:placeholder>
          <w:docPart w:val="GBC22222222222222222222222222222"/>
        </w:placeholder>
      </w:sdtPr>
      <w:sdtContent>
        <w:p w:rsidR="00ED2DC7" w:rsidRDefault="00ED2DC7">
          <w:pPr>
            <w:rPr>
              <w:szCs w:val="21"/>
            </w:rPr>
          </w:pPr>
          <w:r>
            <w:rPr>
              <w:rFonts w:hint="eastAsia"/>
              <w:szCs w:val="21"/>
            </w:rPr>
            <w:t>其他说明：</w:t>
          </w:r>
        </w:p>
        <w:sdt>
          <w:sdtPr>
            <w:rPr>
              <w:szCs w:val="21"/>
            </w:rPr>
            <w:alias w:val="是否适用：无形资产的说明[双击切换]"/>
            <w:tag w:val="_GBC_dc3c687f3c2c457e9024304c14129458"/>
            <w:id w:val="60145504"/>
            <w:lock w:val="sdtContentLocked"/>
            <w:placeholder>
              <w:docPart w:val="GBC22222222222222222222222222222"/>
            </w:placeholder>
          </w:sdtPr>
          <w:sdtContent>
            <w:p w:rsidR="00B637B2" w:rsidRDefault="00ED2DC7" w:rsidP="00B637B2">
              <w:pPr>
                <w:rPr>
                  <w:szCs w:val="21"/>
                </w:rPr>
              </w:pPr>
              <w:r>
                <w:rPr>
                  <w:szCs w:val="21"/>
                </w:rPr>
                <w:fldChar w:fldCharType="begin"/>
              </w:r>
              <w:r w:rsidR="00A54A8D">
                <w:rPr>
                  <w:szCs w:val="21"/>
                </w:rPr>
                <w:instrText xml:space="preserve"> MACROBUTTON  SnrToggleCheckbox √适用 </w:instrText>
              </w:r>
              <w:r>
                <w:rPr>
                  <w:szCs w:val="21"/>
                </w:rPr>
                <w:fldChar w:fldCharType="end"/>
              </w:r>
              <w:r>
                <w:rPr>
                  <w:szCs w:val="21"/>
                </w:rPr>
                <w:fldChar w:fldCharType="begin"/>
              </w:r>
              <w:r w:rsidR="00A54A8D">
                <w:rPr>
                  <w:szCs w:val="21"/>
                </w:rPr>
                <w:instrText xml:space="preserve"> MACROBUTTON  SnrToggleCheckbox □不适用 </w:instrText>
              </w:r>
              <w:r>
                <w:rPr>
                  <w:szCs w:val="21"/>
                </w:rPr>
                <w:fldChar w:fldCharType="end"/>
              </w:r>
            </w:p>
          </w:sdtContent>
        </w:sdt>
        <w:sdt>
          <w:sdtPr>
            <w:rPr>
              <w:szCs w:val="21"/>
            </w:rPr>
            <w:alias w:val="无形资产的说明"/>
            <w:tag w:val="_GBC_1f281f7116944d4bacd2204d25895376"/>
            <w:id w:val="2009005905"/>
            <w:lock w:val="sdtLocked"/>
            <w:placeholder>
              <w:docPart w:val="EBF95B1227894D189ED34055DAF87890"/>
            </w:placeholder>
          </w:sdtPr>
          <w:sdtContent>
            <w:p w:rsidR="00A54A8D" w:rsidRPr="00A54A8D" w:rsidRDefault="00A54A8D" w:rsidP="00A54A8D">
              <w:pPr>
                <w:overflowPunct w:val="0"/>
                <w:autoSpaceDE w:val="0"/>
                <w:autoSpaceDN w:val="0"/>
                <w:adjustRightInd w:val="0"/>
                <w:snapToGrid w:val="0"/>
                <w:jc w:val="both"/>
                <w:textAlignment w:val="bottom"/>
                <w:rPr>
                  <w:rFonts w:cs="Arial"/>
                  <w:snapToGrid w:val="0"/>
                  <w:sz w:val="20"/>
                  <w:szCs w:val="20"/>
                </w:rPr>
              </w:pPr>
              <w:r w:rsidRPr="00A54A8D">
                <w:rPr>
                  <w:rFonts w:cs="Arial" w:hint="eastAsia"/>
                  <w:snapToGrid w:val="0"/>
                  <w:sz w:val="20"/>
                  <w:szCs w:val="20"/>
                </w:rPr>
                <w:t>于</w:t>
              </w:r>
              <w:r w:rsidRPr="00A54A8D">
                <w:rPr>
                  <w:rFonts w:cs="Arial"/>
                  <w:snapToGrid w:val="0"/>
                  <w:sz w:val="20"/>
                  <w:szCs w:val="20"/>
                </w:rPr>
                <w:t>2019</w:t>
              </w:r>
              <w:r w:rsidRPr="00A54A8D">
                <w:rPr>
                  <w:rFonts w:cs="Arial" w:hint="eastAsia"/>
                  <w:snapToGrid w:val="0"/>
                  <w:sz w:val="20"/>
                  <w:szCs w:val="20"/>
                </w:rPr>
                <w:t>年</w:t>
              </w:r>
              <w:r w:rsidRPr="00A54A8D">
                <w:rPr>
                  <w:rFonts w:cs="Arial"/>
                  <w:snapToGrid w:val="0"/>
                  <w:sz w:val="20"/>
                  <w:szCs w:val="20"/>
                </w:rPr>
                <w:t>6</w:t>
              </w:r>
              <w:r w:rsidRPr="00A54A8D">
                <w:rPr>
                  <w:rFonts w:cs="Arial" w:hint="eastAsia"/>
                  <w:snapToGrid w:val="0"/>
                  <w:sz w:val="20"/>
                  <w:szCs w:val="20"/>
                </w:rPr>
                <w:t>月</w:t>
              </w:r>
              <w:r w:rsidRPr="00A54A8D">
                <w:rPr>
                  <w:rFonts w:cs="Arial"/>
                  <w:snapToGrid w:val="0"/>
                  <w:sz w:val="20"/>
                  <w:szCs w:val="20"/>
                </w:rPr>
                <w:t>30</w:t>
              </w:r>
              <w:r w:rsidRPr="00A54A8D">
                <w:rPr>
                  <w:rFonts w:cs="Arial" w:hint="eastAsia"/>
                  <w:snapToGrid w:val="0"/>
                  <w:sz w:val="20"/>
                  <w:szCs w:val="20"/>
                </w:rPr>
                <w:t>日，未办妥产权证书的无形资产如下：</w:t>
              </w:r>
            </w:p>
            <w:p w:rsidR="00A54A8D" w:rsidRPr="00A54A8D" w:rsidRDefault="00A54A8D" w:rsidP="00A54A8D">
              <w:pPr>
                <w:overflowPunct w:val="0"/>
                <w:autoSpaceDE w:val="0"/>
                <w:autoSpaceDN w:val="0"/>
                <w:adjustRightInd w:val="0"/>
                <w:snapToGrid w:val="0"/>
                <w:jc w:val="both"/>
                <w:textAlignment w:val="bottom"/>
                <w:rPr>
                  <w:rFonts w:cs="Arial"/>
                  <w:snapToGrid w:val="0"/>
                  <w:sz w:val="20"/>
                  <w:szCs w:val="20"/>
                </w:rPr>
              </w:pPr>
            </w:p>
            <w:tbl>
              <w:tblPr>
                <w:tblW w:w="8510" w:type="dxa"/>
                <w:tblLayout w:type="fixed"/>
                <w:tblCellMar>
                  <w:left w:w="0" w:type="dxa"/>
                  <w:right w:w="0" w:type="dxa"/>
                </w:tblCellMar>
                <w:tblLook w:val="04A0" w:firstRow="1" w:lastRow="0" w:firstColumn="1" w:lastColumn="0" w:noHBand="0" w:noVBand="1"/>
                <w:tblCaption w:val="长期股权投资_减值准备变动PY1"/>
              </w:tblPr>
              <w:tblGrid>
                <w:gridCol w:w="2977"/>
                <w:gridCol w:w="284"/>
                <w:gridCol w:w="1842"/>
                <w:gridCol w:w="3170"/>
                <w:gridCol w:w="237"/>
              </w:tblGrid>
              <w:tr w:rsidR="00A54A8D" w:rsidRPr="00A54A8D" w:rsidTr="00A54A8D">
                <w:trPr>
                  <w:trHeight w:val="170"/>
                </w:trPr>
                <w:tc>
                  <w:tcPr>
                    <w:tcW w:w="2977" w:type="dxa"/>
                    <w:tcBorders>
                      <w:top w:val="nil"/>
                      <w:left w:val="nil"/>
                      <w:bottom w:val="nil"/>
                      <w:right w:val="nil"/>
                    </w:tcBorders>
                    <w:shd w:val="clear" w:color="auto" w:fill="auto"/>
                    <w:noWrap/>
                    <w:vAlign w:val="center"/>
                    <w:hideMark/>
                  </w:tcPr>
                  <w:p w:rsidR="00A54A8D" w:rsidRPr="00A54A8D" w:rsidRDefault="00A54A8D" w:rsidP="00A54A8D">
                    <w:pPr>
                      <w:kinsoku w:val="0"/>
                      <w:overflowPunct w:val="0"/>
                      <w:autoSpaceDE w:val="0"/>
                      <w:autoSpaceDN w:val="0"/>
                      <w:adjustRightInd w:val="0"/>
                      <w:snapToGrid w:val="0"/>
                      <w:rPr>
                        <w:rFonts w:cs="Arial"/>
                        <w:sz w:val="20"/>
                        <w:szCs w:val="20"/>
                      </w:rPr>
                    </w:pPr>
                  </w:p>
                </w:tc>
                <w:tc>
                  <w:tcPr>
                    <w:tcW w:w="284" w:type="dxa"/>
                    <w:tcBorders>
                      <w:top w:val="nil"/>
                      <w:left w:val="nil"/>
                      <w:bottom w:val="nil"/>
                      <w:right w:val="nil"/>
                    </w:tcBorders>
                    <w:shd w:val="clear" w:color="auto" w:fill="auto"/>
                    <w:noWrap/>
                    <w:vAlign w:val="center"/>
                    <w:hideMark/>
                  </w:tcPr>
                  <w:p w:rsidR="00A54A8D" w:rsidRPr="00A54A8D" w:rsidRDefault="00A54A8D" w:rsidP="00A54A8D">
                    <w:pPr>
                      <w:kinsoku w:val="0"/>
                      <w:overflowPunct w:val="0"/>
                      <w:autoSpaceDE w:val="0"/>
                      <w:autoSpaceDN w:val="0"/>
                      <w:adjustRightInd w:val="0"/>
                      <w:snapToGrid w:val="0"/>
                      <w:rPr>
                        <w:rFonts w:cs="Arial"/>
                        <w:sz w:val="20"/>
                        <w:szCs w:val="20"/>
                      </w:rPr>
                    </w:pPr>
                    <w:r w:rsidRPr="00A54A8D">
                      <w:rPr>
                        <w:rFonts w:cs="Arial"/>
                        <w:color w:val="000000"/>
                        <w:sz w:val="20"/>
                        <w:szCs w:val="20"/>
                      </w:rPr>
                      <w:t xml:space="preserve"> </w:t>
                    </w:r>
                  </w:p>
                </w:tc>
                <w:tc>
                  <w:tcPr>
                    <w:tcW w:w="1842" w:type="dxa"/>
                    <w:tcBorders>
                      <w:top w:val="nil"/>
                      <w:left w:val="nil"/>
                      <w:bottom w:val="nil"/>
                      <w:right w:val="nil"/>
                    </w:tcBorders>
                    <w:shd w:val="clear" w:color="auto" w:fill="auto"/>
                    <w:noWrap/>
                    <w:hideMark/>
                  </w:tcPr>
                  <w:p w:rsidR="00A54A8D" w:rsidRPr="00A54A8D" w:rsidRDefault="00A54A8D" w:rsidP="00A54A8D">
                    <w:pPr>
                      <w:kinsoku w:val="0"/>
                      <w:overflowPunct w:val="0"/>
                      <w:autoSpaceDE w:val="0"/>
                      <w:autoSpaceDN w:val="0"/>
                      <w:adjustRightInd w:val="0"/>
                      <w:snapToGrid w:val="0"/>
                      <w:jc w:val="right"/>
                      <w:rPr>
                        <w:rFonts w:cs="Arial"/>
                        <w:color w:val="000000"/>
                        <w:sz w:val="20"/>
                        <w:szCs w:val="20"/>
                      </w:rPr>
                    </w:pPr>
                    <w:r w:rsidRPr="00A54A8D">
                      <w:rPr>
                        <w:rFonts w:cs="Arial" w:hint="eastAsia"/>
                        <w:snapToGrid w:val="0"/>
                        <w:sz w:val="20"/>
                        <w:szCs w:val="20"/>
                      </w:rPr>
                      <w:t>账面价值</w:t>
                    </w:r>
                  </w:p>
                </w:tc>
                <w:tc>
                  <w:tcPr>
                    <w:tcW w:w="3170" w:type="dxa"/>
                    <w:tcBorders>
                      <w:top w:val="nil"/>
                      <w:left w:val="nil"/>
                      <w:bottom w:val="nil"/>
                      <w:right w:val="nil"/>
                    </w:tcBorders>
                    <w:shd w:val="clear" w:color="auto" w:fill="auto"/>
                    <w:noWrap/>
                    <w:hideMark/>
                  </w:tcPr>
                  <w:p w:rsidR="00A54A8D" w:rsidRPr="00A54A8D" w:rsidRDefault="00A54A8D" w:rsidP="00A54A8D">
                    <w:pPr>
                      <w:overflowPunct w:val="0"/>
                      <w:autoSpaceDE w:val="0"/>
                      <w:autoSpaceDN w:val="0"/>
                      <w:adjustRightInd w:val="0"/>
                      <w:snapToGrid w:val="0"/>
                      <w:ind w:left="720" w:hanging="720"/>
                      <w:jc w:val="right"/>
                      <w:textAlignment w:val="bottom"/>
                      <w:rPr>
                        <w:rFonts w:cs="Arial"/>
                        <w:color w:val="000000"/>
                        <w:sz w:val="20"/>
                        <w:szCs w:val="20"/>
                      </w:rPr>
                    </w:pPr>
                    <w:r w:rsidRPr="00A54A8D">
                      <w:rPr>
                        <w:rFonts w:cs="Arial" w:hint="eastAsia"/>
                        <w:snapToGrid w:val="0"/>
                        <w:sz w:val="20"/>
                        <w:szCs w:val="20"/>
                      </w:rPr>
                      <w:t>未办妥产权证书原因</w:t>
                    </w:r>
                  </w:p>
                </w:tc>
                <w:tc>
                  <w:tcPr>
                    <w:tcW w:w="237" w:type="dxa"/>
                    <w:tcBorders>
                      <w:top w:val="nil"/>
                      <w:left w:val="nil"/>
                      <w:bottom w:val="nil"/>
                      <w:right w:val="nil"/>
                    </w:tcBorders>
                    <w:shd w:val="clear" w:color="auto" w:fill="auto"/>
                    <w:noWrap/>
                    <w:vAlign w:val="center"/>
                    <w:hideMark/>
                  </w:tcPr>
                  <w:p w:rsidR="00A54A8D" w:rsidRPr="00A54A8D" w:rsidRDefault="00A54A8D" w:rsidP="00A54A8D">
                    <w:pPr>
                      <w:kinsoku w:val="0"/>
                      <w:overflowPunct w:val="0"/>
                      <w:autoSpaceDE w:val="0"/>
                      <w:autoSpaceDN w:val="0"/>
                      <w:adjustRightInd w:val="0"/>
                      <w:snapToGrid w:val="0"/>
                      <w:jc w:val="right"/>
                      <w:rPr>
                        <w:rFonts w:cs="Arial"/>
                        <w:color w:val="000000"/>
                        <w:sz w:val="20"/>
                        <w:szCs w:val="20"/>
                      </w:rPr>
                    </w:pPr>
                    <w:r w:rsidRPr="00A54A8D">
                      <w:rPr>
                        <w:rFonts w:cs="Arial"/>
                        <w:color w:val="000000"/>
                        <w:sz w:val="20"/>
                        <w:szCs w:val="20"/>
                      </w:rPr>
                      <w:t xml:space="preserve"> </w:t>
                    </w:r>
                  </w:p>
                </w:tc>
              </w:tr>
              <w:tr w:rsidR="00A54A8D" w:rsidRPr="00A54A8D" w:rsidTr="00A54A8D">
                <w:trPr>
                  <w:trHeight w:val="170"/>
                </w:trPr>
                <w:tc>
                  <w:tcPr>
                    <w:tcW w:w="2977" w:type="dxa"/>
                    <w:tcBorders>
                      <w:top w:val="nil"/>
                      <w:left w:val="nil"/>
                      <w:bottom w:val="nil"/>
                      <w:right w:val="nil"/>
                    </w:tcBorders>
                    <w:shd w:val="clear" w:color="auto" w:fill="auto"/>
                    <w:noWrap/>
                    <w:vAlign w:val="bottom"/>
                    <w:hideMark/>
                  </w:tcPr>
                  <w:p w:rsidR="00A54A8D" w:rsidRPr="00A54A8D" w:rsidRDefault="00A54A8D" w:rsidP="00A54A8D">
                    <w:pPr>
                      <w:kinsoku w:val="0"/>
                      <w:overflowPunct w:val="0"/>
                      <w:autoSpaceDE w:val="0"/>
                      <w:autoSpaceDN w:val="0"/>
                      <w:adjustRightInd w:val="0"/>
                      <w:snapToGrid w:val="0"/>
                      <w:rPr>
                        <w:rFonts w:cs="Arial"/>
                        <w:sz w:val="20"/>
                        <w:szCs w:val="20"/>
                      </w:rPr>
                    </w:pPr>
                    <w:r w:rsidRPr="00A54A8D">
                      <w:rPr>
                        <w:rFonts w:cs="Arial"/>
                        <w:color w:val="000000"/>
                        <w:sz w:val="20"/>
                        <w:szCs w:val="20"/>
                      </w:rPr>
                      <w:t xml:space="preserve"> </w:t>
                    </w:r>
                  </w:p>
                </w:tc>
                <w:tc>
                  <w:tcPr>
                    <w:tcW w:w="284" w:type="dxa"/>
                    <w:tcBorders>
                      <w:top w:val="nil"/>
                      <w:left w:val="nil"/>
                      <w:bottom w:val="nil"/>
                      <w:right w:val="nil"/>
                    </w:tcBorders>
                    <w:shd w:val="clear" w:color="auto" w:fill="auto"/>
                    <w:noWrap/>
                    <w:vAlign w:val="center"/>
                    <w:hideMark/>
                  </w:tcPr>
                  <w:p w:rsidR="00A54A8D" w:rsidRPr="00A54A8D" w:rsidRDefault="00A54A8D" w:rsidP="00A54A8D">
                    <w:pPr>
                      <w:kinsoku w:val="0"/>
                      <w:overflowPunct w:val="0"/>
                      <w:autoSpaceDE w:val="0"/>
                      <w:autoSpaceDN w:val="0"/>
                      <w:adjustRightInd w:val="0"/>
                      <w:snapToGrid w:val="0"/>
                      <w:rPr>
                        <w:rFonts w:cs="Arial"/>
                        <w:sz w:val="20"/>
                        <w:szCs w:val="20"/>
                      </w:rPr>
                    </w:pPr>
                    <w:r w:rsidRPr="00A54A8D">
                      <w:rPr>
                        <w:rFonts w:cs="Arial"/>
                        <w:color w:val="000000"/>
                        <w:sz w:val="20"/>
                        <w:szCs w:val="20"/>
                      </w:rPr>
                      <w:t xml:space="preserve"> </w:t>
                    </w:r>
                  </w:p>
                </w:tc>
                <w:tc>
                  <w:tcPr>
                    <w:tcW w:w="1842" w:type="dxa"/>
                    <w:tcBorders>
                      <w:top w:val="nil"/>
                      <w:left w:val="nil"/>
                      <w:bottom w:val="nil"/>
                      <w:right w:val="nil"/>
                    </w:tcBorders>
                    <w:shd w:val="clear" w:color="auto" w:fill="auto"/>
                    <w:noWrap/>
                    <w:vAlign w:val="bottom"/>
                    <w:hideMark/>
                  </w:tcPr>
                  <w:p w:rsidR="00A54A8D" w:rsidRPr="00A54A8D" w:rsidRDefault="00A54A8D" w:rsidP="00A54A8D">
                    <w:pPr>
                      <w:kinsoku w:val="0"/>
                      <w:overflowPunct w:val="0"/>
                      <w:autoSpaceDE w:val="0"/>
                      <w:autoSpaceDN w:val="0"/>
                      <w:adjustRightInd w:val="0"/>
                      <w:snapToGrid w:val="0"/>
                      <w:jc w:val="right"/>
                      <w:rPr>
                        <w:rFonts w:cs="Arial"/>
                        <w:sz w:val="20"/>
                        <w:szCs w:val="20"/>
                      </w:rPr>
                    </w:pPr>
                    <w:r w:rsidRPr="00A54A8D">
                      <w:rPr>
                        <w:rFonts w:cs="Arial"/>
                        <w:color w:val="000000"/>
                        <w:sz w:val="20"/>
                        <w:szCs w:val="20"/>
                      </w:rPr>
                      <w:t xml:space="preserve"> </w:t>
                    </w:r>
                  </w:p>
                </w:tc>
                <w:tc>
                  <w:tcPr>
                    <w:tcW w:w="3170" w:type="dxa"/>
                    <w:tcBorders>
                      <w:top w:val="nil"/>
                      <w:left w:val="nil"/>
                      <w:bottom w:val="nil"/>
                      <w:right w:val="nil"/>
                    </w:tcBorders>
                    <w:shd w:val="clear" w:color="auto" w:fill="auto"/>
                    <w:noWrap/>
                    <w:vAlign w:val="bottom"/>
                    <w:hideMark/>
                  </w:tcPr>
                  <w:p w:rsidR="00A54A8D" w:rsidRPr="00A54A8D" w:rsidRDefault="00A54A8D" w:rsidP="00A54A8D">
                    <w:pPr>
                      <w:kinsoku w:val="0"/>
                      <w:overflowPunct w:val="0"/>
                      <w:autoSpaceDE w:val="0"/>
                      <w:autoSpaceDN w:val="0"/>
                      <w:adjustRightInd w:val="0"/>
                      <w:snapToGrid w:val="0"/>
                      <w:jc w:val="right"/>
                      <w:rPr>
                        <w:rFonts w:cs="Arial"/>
                        <w:sz w:val="20"/>
                        <w:szCs w:val="20"/>
                      </w:rPr>
                    </w:pPr>
                    <w:r w:rsidRPr="00A54A8D">
                      <w:rPr>
                        <w:rFonts w:cs="Arial"/>
                        <w:color w:val="000000"/>
                        <w:sz w:val="20"/>
                        <w:szCs w:val="20"/>
                      </w:rPr>
                      <w:t xml:space="preserve"> </w:t>
                    </w:r>
                  </w:p>
                </w:tc>
                <w:tc>
                  <w:tcPr>
                    <w:tcW w:w="237" w:type="dxa"/>
                    <w:tcBorders>
                      <w:top w:val="nil"/>
                      <w:left w:val="nil"/>
                      <w:bottom w:val="nil"/>
                      <w:right w:val="nil"/>
                    </w:tcBorders>
                    <w:shd w:val="clear" w:color="auto" w:fill="auto"/>
                    <w:noWrap/>
                    <w:vAlign w:val="center"/>
                    <w:hideMark/>
                  </w:tcPr>
                  <w:p w:rsidR="00A54A8D" w:rsidRPr="00A54A8D" w:rsidRDefault="00A54A8D" w:rsidP="00A54A8D">
                    <w:pPr>
                      <w:kinsoku w:val="0"/>
                      <w:overflowPunct w:val="0"/>
                      <w:autoSpaceDE w:val="0"/>
                      <w:autoSpaceDN w:val="0"/>
                      <w:adjustRightInd w:val="0"/>
                      <w:snapToGrid w:val="0"/>
                      <w:jc w:val="right"/>
                      <w:rPr>
                        <w:rFonts w:cs="Arial"/>
                        <w:sz w:val="20"/>
                        <w:szCs w:val="20"/>
                      </w:rPr>
                    </w:pPr>
                    <w:r w:rsidRPr="00A54A8D">
                      <w:rPr>
                        <w:rFonts w:cs="Arial"/>
                        <w:color w:val="000000"/>
                        <w:sz w:val="20"/>
                        <w:szCs w:val="20"/>
                      </w:rPr>
                      <w:t xml:space="preserve"> </w:t>
                    </w:r>
                  </w:p>
                </w:tc>
              </w:tr>
              <w:tr w:rsidR="00A54A8D" w:rsidRPr="00A54A8D" w:rsidTr="00A54A8D">
                <w:trPr>
                  <w:trHeight w:val="170"/>
                </w:trPr>
                <w:tc>
                  <w:tcPr>
                    <w:tcW w:w="2977" w:type="dxa"/>
                    <w:tcBorders>
                      <w:top w:val="nil"/>
                      <w:left w:val="nil"/>
                      <w:bottom w:val="nil"/>
                      <w:right w:val="nil"/>
                    </w:tcBorders>
                    <w:shd w:val="clear" w:color="000000" w:fill="auto"/>
                    <w:noWrap/>
                  </w:tcPr>
                  <w:p w:rsidR="00A54A8D" w:rsidRPr="00A54A8D" w:rsidRDefault="00A54A8D" w:rsidP="00A54A8D">
                    <w:pPr>
                      <w:kinsoku w:val="0"/>
                      <w:overflowPunct w:val="0"/>
                      <w:autoSpaceDE w:val="0"/>
                      <w:autoSpaceDN w:val="0"/>
                      <w:adjustRightInd w:val="0"/>
                      <w:snapToGrid w:val="0"/>
                      <w:rPr>
                        <w:rFonts w:cs="Arial"/>
                        <w:color w:val="000000"/>
                        <w:sz w:val="20"/>
                        <w:szCs w:val="20"/>
                      </w:rPr>
                    </w:pPr>
                    <w:r w:rsidRPr="00A54A8D">
                      <w:rPr>
                        <w:rFonts w:cs="Arial" w:hint="eastAsia"/>
                        <w:color w:val="000000"/>
                        <w:sz w:val="20"/>
                        <w:szCs w:val="20"/>
                      </w:rPr>
                      <w:t>餐饮云</w:t>
                    </w:r>
                  </w:p>
                </w:tc>
                <w:tc>
                  <w:tcPr>
                    <w:tcW w:w="284" w:type="dxa"/>
                    <w:tcBorders>
                      <w:top w:val="nil"/>
                      <w:left w:val="nil"/>
                      <w:bottom w:val="nil"/>
                      <w:right w:val="nil"/>
                    </w:tcBorders>
                    <w:shd w:val="clear" w:color="auto" w:fill="auto"/>
                    <w:noWrap/>
                    <w:vAlign w:val="center"/>
                  </w:tcPr>
                  <w:p w:rsidR="00A54A8D" w:rsidRPr="00A54A8D" w:rsidRDefault="00A54A8D" w:rsidP="00A54A8D">
                    <w:pPr>
                      <w:kinsoku w:val="0"/>
                      <w:overflowPunct w:val="0"/>
                      <w:autoSpaceDE w:val="0"/>
                      <w:autoSpaceDN w:val="0"/>
                      <w:adjustRightInd w:val="0"/>
                      <w:snapToGrid w:val="0"/>
                      <w:rPr>
                        <w:rFonts w:cs="Arial"/>
                        <w:color w:val="000000"/>
                        <w:sz w:val="20"/>
                        <w:szCs w:val="20"/>
                      </w:rPr>
                    </w:pPr>
                  </w:p>
                </w:tc>
                <w:tc>
                  <w:tcPr>
                    <w:tcW w:w="1842" w:type="dxa"/>
                    <w:tcBorders>
                      <w:top w:val="nil"/>
                      <w:left w:val="nil"/>
                      <w:bottom w:val="nil"/>
                      <w:right w:val="nil"/>
                    </w:tcBorders>
                    <w:shd w:val="clear" w:color="000000" w:fill="auto"/>
                    <w:noWrap/>
                    <w:vAlign w:val="bottom"/>
                  </w:tcPr>
                  <w:p w:rsidR="00A54A8D" w:rsidRPr="00A54A8D" w:rsidRDefault="00A54A8D" w:rsidP="00A54A8D">
                    <w:pPr>
                      <w:kinsoku w:val="0"/>
                      <w:overflowPunct w:val="0"/>
                      <w:autoSpaceDE w:val="0"/>
                      <w:autoSpaceDN w:val="0"/>
                      <w:adjustRightInd w:val="0"/>
                      <w:snapToGrid w:val="0"/>
                      <w:jc w:val="right"/>
                      <w:rPr>
                        <w:rFonts w:cs="Arial"/>
                        <w:color w:val="000000"/>
                        <w:sz w:val="20"/>
                        <w:szCs w:val="20"/>
                        <w:u w:val="single"/>
                      </w:rPr>
                    </w:pPr>
                    <w:r w:rsidRPr="00A54A8D">
                      <w:rPr>
                        <w:rFonts w:cs="Arial"/>
                        <w:color w:val="000000"/>
                        <w:sz w:val="20"/>
                        <w:szCs w:val="20"/>
                        <w:u w:val="single"/>
                      </w:rPr>
                      <w:t>7,381,430</w:t>
                    </w:r>
                  </w:p>
                </w:tc>
                <w:tc>
                  <w:tcPr>
                    <w:tcW w:w="3170" w:type="dxa"/>
                    <w:tcBorders>
                      <w:top w:val="nil"/>
                      <w:left w:val="nil"/>
                      <w:bottom w:val="nil"/>
                      <w:right w:val="nil"/>
                    </w:tcBorders>
                    <w:shd w:val="clear" w:color="000000" w:fill="auto"/>
                    <w:noWrap/>
                  </w:tcPr>
                  <w:p w:rsidR="00A54A8D" w:rsidRPr="00A54A8D" w:rsidRDefault="00A54A8D" w:rsidP="00A54A8D">
                    <w:pPr>
                      <w:kinsoku w:val="0"/>
                      <w:overflowPunct w:val="0"/>
                      <w:autoSpaceDE w:val="0"/>
                      <w:autoSpaceDN w:val="0"/>
                      <w:adjustRightInd w:val="0"/>
                      <w:snapToGrid w:val="0"/>
                      <w:jc w:val="right"/>
                      <w:rPr>
                        <w:rFonts w:cs="Arial"/>
                        <w:color w:val="000000"/>
                        <w:sz w:val="20"/>
                        <w:szCs w:val="20"/>
                      </w:rPr>
                    </w:pPr>
                    <w:r w:rsidRPr="00A54A8D">
                      <w:rPr>
                        <w:rFonts w:cs="Arial" w:hint="eastAsia"/>
                        <w:snapToGrid w:val="0"/>
                        <w:sz w:val="20"/>
                        <w:szCs w:val="20"/>
                      </w:rPr>
                      <w:t>办理过程中</w:t>
                    </w:r>
                  </w:p>
                </w:tc>
                <w:tc>
                  <w:tcPr>
                    <w:tcW w:w="237" w:type="dxa"/>
                    <w:tcBorders>
                      <w:top w:val="nil"/>
                      <w:left w:val="nil"/>
                      <w:bottom w:val="nil"/>
                      <w:right w:val="nil"/>
                    </w:tcBorders>
                    <w:shd w:val="clear" w:color="auto" w:fill="auto"/>
                    <w:noWrap/>
                    <w:vAlign w:val="center"/>
                  </w:tcPr>
                  <w:p w:rsidR="00A54A8D" w:rsidRPr="00A54A8D" w:rsidRDefault="00A54A8D" w:rsidP="00A54A8D">
                    <w:pPr>
                      <w:kinsoku w:val="0"/>
                      <w:overflowPunct w:val="0"/>
                      <w:autoSpaceDE w:val="0"/>
                      <w:autoSpaceDN w:val="0"/>
                      <w:adjustRightInd w:val="0"/>
                      <w:snapToGrid w:val="0"/>
                      <w:jc w:val="right"/>
                      <w:rPr>
                        <w:rFonts w:cs="Arial"/>
                        <w:color w:val="000000"/>
                        <w:sz w:val="20"/>
                        <w:szCs w:val="20"/>
                      </w:rPr>
                    </w:pPr>
                  </w:p>
                </w:tc>
              </w:tr>
              <w:tr w:rsidR="00A54A8D" w:rsidRPr="00A54A8D" w:rsidTr="00A54A8D">
                <w:trPr>
                  <w:trHeight w:val="170"/>
                </w:trPr>
                <w:tc>
                  <w:tcPr>
                    <w:tcW w:w="2977" w:type="dxa"/>
                    <w:tcBorders>
                      <w:top w:val="nil"/>
                      <w:left w:val="nil"/>
                      <w:bottom w:val="nil"/>
                      <w:right w:val="nil"/>
                    </w:tcBorders>
                    <w:shd w:val="clear" w:color="000000" w:fill="auto"/>
                    <w:noWrap/>
                  </w:tcPr>
                  <w:p w:rsidR="00A54A8D" w:rsidRPr="00A54A8D" w:rsidRDefault="00A54A8D" w:rsidP="00A54A8D">
                    <w:pPr>
                      <w:kinsoku w:val="0"/>
                      <w:overflowPunct w:val="0"/>
                      <w:autoSpaceDE w:val="0"/>
                      <w:autoSpaceDN w:val="0"/>
                      <w:adjustRightInd w:val="0"/>
                      <w:snapToGrid w:val="0"/>
                      <w:rPr>
                        <w:rFonts w:cs="Arial"/>
                        <w:color w:val="000000"/>
                        <w:sz w:val="20"/>
                        <w:szCs w:val="20"/>
                      </w:rPr>
                    </w:pPr>
                  </w:p>
                </w:tc>
                <w:tc>
                  <w:tcPr>
                    <w:tcW w:w="284" w:type="dxa"/>
                    <w:tcBorders>
                      <w:top w:val="nil"/>
                      <w:left w:val="nil"/>
                      <w:bottom w:val="nil"/>
                      <w:right w:val="nil"/>
                    </w:tcBorders>
                    <w:shd w:val="clear" w:color="auto" w:fill="auto"/>
                    <w:noWrap/>
                    <w:vAlign w:val="center"/>
                  </w:tcPr>
                  <w:p w:rsidR="00A54A8D" w:rsidRPr="00A54A8D" w:rsidRDefault="00A54A8D" w:rsidP="00A54A8D">
                    <w:pPr>
                      <w:kinsoku w:val="0"/>
                      <w:overflowPunct w:val="0"/>
                      <w:autoSpaceDE w:val="0"/>
                      <w:autoSpaceDN w:val="0"/>
                      <w:adjustRightInd w:val="0"/>
                      <w:snapToGrid w:val="0"/>
                      <w:rPr>
                        <w:rFonts w:cs="Arial"/>
                        <w:color w:val="000000"/>
                        <w:sz w:val="20"/>
                        <w:szCs w:val="20"/>
                      </w:rPr>
                    </w:pPr>
                  </w:p>
                </w:tc>
                <w:tc>
                  <w:tcPr>
                    <w:tcW w:w="1842" w:type="dxa"/>
                    <w:tcBorders>
                      <w:top w:val="nil"/>
                      <w:left w:val="nil"/>
                      <w:right w:val="nil"/>
                    </w:tcBorders>
                    <w:shd w:val="clear" w:color="000000" w:fill="auto"/>
                    <w:noWrap/>
                    <w:vAlign w:val="bottom"/>
                  </w:tcPr>
                  <w:p w:rsidR="00A54A8D" w:rsidRPr="00A54A8D" w:rsidRDefault="00A54A8D" w:rsidP="00A54A8D">
                    <w:pPr>
                      <w:kinsoku w:val="0"/>
                      <w:overflowPunct w:val="0"/>
                      <w:autoSpaceDE w:val="0"/>
                      <w:autoSpaceDN w:val="0"/>
                      <w:adjustRightInd w:val="0"/>
                      <w:snapToGrid w:val="0"/>
                      <w:jc w:val="right"/>
                      <w:rPr>
                        <w:rFonts w:cs="Arial"/>
                        <w:color w:val="000000"/>
                        <w:sz w:val="20"/>
                        <w:szCs w:val="20"/>
                      </w:rPr>
                    </w:pPr>
                  </w:p>
                </w:tc>
                <w:tc>
                  <w:tcPr>
                    <w:tcW w:w="3170" w:type="dxa"/>
                    <w:tcBorders>
                      <w:top w:val="nil"/>
                      <w:left w:val="nil"/>
                      <w:bottom w:val="nil"/>
                      <w:right w:val="nil"/>
                    </w:tcBorders>
                    <w:shd w:val="clear" w:color="000000" w:fill="auto"/>
                    <w:noWrap/>
                  </w:tcPr>
                  <w:p w:rsidR="00A54A8D" w:rsidRPr="00A54A8D" w:rsidRDefault="00A54A8D" w:rsidP="00A54A8D">
                    <w:pPr>
                      <w:kinsoku w:val="0"/>
                      <w:overflowPunct w:val="0"/>
                      <w:autoSpaceDE w:val="0"/>
                      <w:autoSpaceDN w:val="0"/>
                      <w:adjustRightInd w:val="0"/>
                      <w:snapToGrid w:val="0"/>
                      <w:jc w:val="right"/>
                      <w:rPr>
                        <w:rFonts w:cs="Arial"/>
                        <w:snapToGrid w:val="0"/>
                        <w:sz w:val="20"/>
                        <w:szCs w:val="20"/>
                      </w:rPr>
                    </w:pPr>
                  </w:p>
                </w:tc>
                <w:tc>
                  <w:tcPr>
                    <w:tcW w:w="237" w:type="dxa"/>
                    <w:tcBorders>
                      <w:top w:val="nil"/>
                      <w:left w:val="nil"/>
                      <w:bottom w:val="nil"/>
                      <w:right w:val="nil"/>
                    </w:tcBorders>
                    <w:shd w:val="clear" w:color="auto" w:fill="auto"/>
                    <w:noWrap/>
                    <w:vAlign w:val="center"/>
                  </w:tcPr>
                  <w:p w:rsidR="00A54A8D" w:rsidRPr="00A54A8D" w:rsidRDefault="00A54A8D" w:rsidP="00A54A8D">
                    <w:pPr>
                      <w:kinsoku w:val="0"/>
                      <w:overflowPunct w:val="0"/>
                      <w:autoSpaceDE w:val="0"/>
                      <w:autoSpaceDN w:val="0"/>
                      <w:adjustRightInd w:val="0"/>
                      <w:snapToGrid w:val="0"/>
                      <w:jc w:val="right"/>
                      <w:rPr>
                        <w:rFonts w:cs="Arial"/>
                        <w:color w:val="000000"/>
                        <w:sz w:val="20"/>
                        <w:szCs w:val="20"/>
                      </w:rPr>
                    </w:pPr>
                  </w:p>
                </w:tc>
              </w:tr>
              <w:tr w:rsidR="00A54A8D" w:rsidRPr="00A54A8D" w:rsidTr="00A54A8D">
                <w:trPr>
                  <w:trHeight w:val="170"/>
                </w:trPr>
                <w:tc>
                  <w:tcPr>
                    <w:tcW w:w="2977" w:type="dxa"/>
                    <w:tcBorders>
                      <w:top w:val="nil"/>
                      <w:left w:val="nil"/>
                      <w:bottom w:val="nil"/>
                      <w:right w:val="nil"/>
                    </w:tcBorders>
                    <w:shd w:val="clear" w:color="000000" w:fill="auto"/>
                    <w:noWrap/>
                  </w:tcPr>
                  <w:p w:rsidR="00A54A8D" w:rsidRPr="00A54A8D" w:rsidRDefault="00A54A8D" w:rsidP="00A54A8D">
                    <w:pPr>
                      <w:kinsoku w:val="0"/>
                      <w:overflowPunct w:val="0"/>
                      <w:autoSpaceDE w:val="0"/>
                      <w:autoSpaceDN w:val="0"/>
                      <w:adjustRightInd w:val="0"/>
                      <w:snapToGrid w:val="0"/>
                      <w:rPr>
                        <w:rFonts w:cs="Arial"/>
                        <w:color w:val="000000"/>
                        <w:sz w:val="20"/>
                        <w:szCs w:val="20"/>
                      </w:rPr>
                    </w:pPr>
                  </w:p>
                </w:tc>
                <w:tc>
                  <w:tcPr>
                    <w:tcW w:w="284" w:type="dxa"/>
                    <w:tcBorders>
                      <w:top w:val="nil"/>
                      <w:left w:val="nil"/>
                      <w:bottom w:val="nil"/>
                      <w:right w:val="nil"/>
                    </w:tcBorders>
                    <w:shd w:val="clear" w:color="auto" w:fill="auto"/>
                    <w:noWrap/>
                    <w:vAlign w:val="center"/>
                  </w:tcPr>
                  <w:p w:rsidR="00A54A8D" w:rsidRPr="00A54A8D" w:rsidRDefault="00A54A8D" w:rsidP="00A54A8D">
                    <w:pPr>
                      <w:kinsoku w:val="0"/>
                      <w:overflowPunct w:val="0"/>
                      <w:autoSpaceDE w:val="0"/>
                      <w:autoSpaceDN w:val="0"/>
                      <w:adjustRightInd w:val="0"/>
                      <w:snapToGrid w:val="0"/>
                      <w:rPr>
                        <w:rFonts w:cs="Arial"/>
                        <w:color w:val="000000"/>
                        <w:sz w:val="20"/>
                        <w:szCs w:val="20"/>
                      </w:rPr>
                    </w:pPr>
                  </w:p>
                </w:tc>
                <w:tc>
                  <w:tcPr>
                    <w:tcW w:w="1842" w:type="dxa"/>
                    <w:tcBorders>
                      <w:top w:val="nil"/>
                      <w:left w:val="nil"/>
                      <w:bottom w:val="nil"/>
                      <w:right w:val="nil"/>
                    </w:tcBorders>
                    <w:shd w:val="clear" w:color="000000" w:fill="auto"/>
                    <w:noWrap/>
                    <w:vAlign w:val="bottom"/>
                  </w:tcPr>
                  <w:p w:rsidR="00A54A8D" w:rsidRPr="00A54A8D" w:rsidRDefault="00A54A8D" w:rsidP="00A54A8D">
                    <w:pPr>
                      <w:kinsoku w:val="0"/>
                      <w:overflowPunct w:val="0"/>
                      <w:autoSpaceDE w:val="0"/>
                      <w:autoSpaceDN w:val="0"/>
                      <w:adjustRightInd w:val="0"/>
                      <w:snapToGrid w:val="0"/>
                      <w:jc w:val="right"/>
                      <w:rPr>
                        <w:rFonts w:cs="Arial"/>
                        <w:color w:val="000000"/>
                        <w:sz w:val="20"/>
                        <w:szCs w:val="20"/>
                        <w:u w:val="double"/>
                      </w:rPr>
                    </w:pPr>
                    <w:r w:rsidRPr="00A54A8D">
                      <w:rPr>
                        <w:rFonts w:cs="Arial"/>
                        <w:color w:val="000000"/>
                        <w:sz w:val="20"/>
                        <w:szCs w:val="20"/>
                        <w:u w:val="double"/>
                      </w:rPr>
                      <w:t>7,381,430</w:t>
                    </w:r>
                  </w:p>
                </w:tc>
                <w:tc>
                  <w:tcPr>
                    <w:tcW w:w="3170" w:type="dxa"/>
                    <w:tcBorders>
                      <w:top w:val="nil"/>
                      <w:left w:val="nil"/>
                      <w:bottom w:val="nil"/>
                      <w:right w:val="nil"/>
                    </w:tcBorders>
                    <w:shd w:val="clear" w:color="000000" w:fill="auto"/>
                    <w:noWrap/>
                  </w:tcPr>
                  <w:p w:rsidR="00A54A8D" w:rsidRPr="00A54A8D" w:rsidRDefault="00A54A8D" w:rsidP="00A54A8D">
                    <w:pPr>
                      <w:kinsoku w:val="0"/>
                      <w:overflowPunct w:val="0"/>
                      <w:autoSpaceDE w:val="0"/>
                      <w:autoSpaceDN w:val="0"/>
                      <w:adjustRightInd w:val="0"/>
                      <w:snapToGrid w:val="0"/>
                      <w:jc w:val="right"/>
                      <w:rPr>
                        <w:rFonts w:cs="Arial"/>
                        <w:snapToGrid w:val="0"/>
                        <w:sz w:val="20"/>
                        <w:szCs w:val="20"/>
                      </w:rPr>
                    </w:pPr>
                  </w:p>
                </w:tc>
                <w:tc>
                  <w:tcPr>
                    <w:tcW w:w="237" w:type="dxa"/>
                    <w:tcBorders>
                      <w:top w:val="nil"/>
                      <w:left w:val="nil"/>
                      <w:bottom w:val="nil"/>
                      <w:right w:val="nil"/>
                    </w:tcBorders>
                    <w:shd w:val="clear" w:color="auto" w:fill="auto"/>
                    <w:noWrap/>
                    <w:vAlign w:val="center"/>
                  </w:tcPr>
                  <w:p w:rsidR="00A54A8D" w:rsidRPr="00A54A8D" w:rsidRDefault="00A54A8D" w:rsidP="00A54A8D">
                    <w:pPr>
                      <w:kinsoku w:val="0"/>
                      <w:overflowPunct w:val="0"/>
                      <w:autoSpaceDE w:val="0"/>
                      <w:autoSpaceDN w:val="0"/>
                      <w:adjustRightInd w:val="0"/>
                      <w:snapToGrid w:val="0"/>
                      <w:jc w:val="right"/>
                      <w:rPr>
                        <w:rFonts w:cs="Arial"/>
                        <w:color w:val="000000"/>
                        <w:sz w:val="20"/>
                        <w:szCs w:val="20"/>
                      </w:rPr>
                    </w:pPr>
                  </w:p>
                </w:tc>
              </w:tr>
            </w:tbl>
            <w:p w:rsidR="00A54A8D" w:rsidRPr="00A54A8D" w:rsidRDefault="000D0A99">
              <w:pPr>
                <w:rPr>
                  <w:szCs w:val="21"/>
                </w:rPr>
              </w:pPr>
            </w:p>
          </w:sdtContent>
        </w:sdt>
        <w:p w:rsidR="00B61116" w:rsidRDefault="00B61116">
          <w:pPr>
            <w:rPr>
              <w:szCs w:val="21"/>
            </w:rPr>
          </w:pPr>
        </w:p>
        <w:p w:rsidR="00ED2DC7" w:rsidRDefault="000D0A99">
          <w:pPr>
            <w:snapToGrid w:val="0"/>
            <w:spacing w:line="240" w:lineRule="atLeast"/>
            <w:rPr>
              <w:szCs w:val="21"/>
            </w:rPr>
          </w:pPr>
        </w:p>
      </w:sdtContent>
    </w:sdt>
    <w:sdt>
      <w:sdtPr>
        <w:rPr>
          <w:rFonts w:ascii="宋体" w:hAnsi="宋体" w:cs="宋体" w:hint="eastAsia"/>
          <w:b w:val="0"/>
          <w:bCs w:val="0"/>
          <w:kern w:val="0"/>
          <w:szCs w:val="21"/>
        </w:rPr>
        <w:alias w:val="模块:公司开发项目支出"/>
        <w:tag w:val="_GBC_41dea900f659431692960536981b1d8d"/>
        <w:id w:val="1936406351"/>
        <w:lock w:val="sdtLocked"/>
        <w:placeholder>
          <w:docPart w:val="GBC22222222222222222222222222222"/>
        </w:placeholder>
      </w:sdtPr>
      <w:sdtEndPr>
        <w:rPr>
          <w:rFonts w:cstheme="minorBidi" w:hint="default"/>
          <w:kern w:val="2"/>
        </w:rPr>
      </w:sdtEndPr>
      <w:sdtContent>
        <w:p w:rsidR="00ED2DC7" w:rsidRDefault="00ED2DC7" w:rsidP="00036BDC">
          <w:pPr>
            <w:pStyle w:val="affffffffffffffffff1"/>
            <w:numPr>
              <w:ilvl w:val="0"/>
              <w:numId w:val="49"/>
            </w:numPr>
            <w:tabs>
              <w:tab w:val="left" w:pos="504"/>
            </w:tabs>
            <w:rPr>
              <w:rFonts w:ascii="宋体" w:hAnsi="宋体"/>
              <w:kern w:val="0"/>
              <w:szCs w:val="21"/>
            </w:rPr>
          </w:pPr>
          <w:r>
            <w:rPr>
              <w:rFonts w:ascii="宋体" w:hAnsi="宋体" w:hint="eastAsia"/>
              <w:szCs w:val="21"/>
            </w:rPr>
            <w:t>开发</w:t>
          </w:r>
          <w:r>
            <w:rPr>
              <w:rFonts w:ascii="宋体" w:hAnsi="宋体" w:hint="eastAsia"/>
              <w:kern w:val="0"/>
              <w:szCs w:val="21"/>
            </w:rPr>
            <w:t>支出</w:t>
          </w:r>
        </w:p>
        <w:sdt>
          <w:sdtPr>
            <w:alias w:val="是否适用：开发支出[双击切换]"/>
            <w:tag w:val="_GBC_a62fb6e641b048a49c12233ba47c4939"/>
            <w:id w:val="-980382878"/>
            <w:lock w:val="sdtContentLocked"/>
            <w:placeholder>
              <w:docPart w:val="GBC22222222222222222222222222222"/>
            </w:placeholder>
          </w:sdtPr>
          <w:sdtContent>
            <w:p w:rsidR="00ED2DC7" w:rsidRDefault="00ED2DC7">
              <w:r>
                <w:fldChar w:fldCharType="begin"/>
              </w:r>
              <w:r w:rsidR="00392D33">
                <w:instrText xml:space="preserve"> MACROBUTTON  SnrToggleCheckbox √适用 </w:instrText>
              </w:r>
              <w:r>
                <w:fldChar w:fldCharType="end"/>
              </w:r>
              <w:r>
                <w:fldChar w:fldCharType="begin"/>
              </w:r>
              <w:r w:rsidR="00392D33">
                <w:instrText xml:space="preserve"> MACROBUTTON  SnrToggleCheckbox □不适用 </w:instrText>
              </w:r>
              <w:r>
                <w:fldChar w:fldCharType="end"/>
              </w:r>
            </w:p>
          </w:sdtContent>
        </w:sdt>
        <w:p w:rsidR="00ED2DC7" w:rsidRDefault="00ED2DC7">
          <w:pPr>
            <w:jc w:val="right"/>
            <w:rPr>
              <w:szCs w:val="21"/>
            </w:rPr>
          </w:pPr>
          <w:r>
            <w:rPr>
              <w:rFonts w:hint="eastAsia"/>
              <w:szCs w:val="21"/>
            </w:rPr>
            <w:t>单位：</w:t>
          </w:r>
          <w:sdt>
            <w:sdtPr>
              <w:rPr>
                <w:rFonts w:hint="eastAsia"/>
                <w:szCs w:val="21"/>
              </w:rPr>
              <w:alias w:val="单位：财务附注：公司内部研究开发项目支出"/>
              <w:tag w:val="_GBC_165fafab9dd34128b1db9906fb0f8041"/>
              <w:id w:val="-19885388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hint="eastAsia"/>
                  <w:szCs w:val="21"/>
                </w:rPr>
                <w:t>元</w:t>
              </w:r>
            </w:sdtContent>
          </w:sdt>
          <w:r>
            <w:rPr>
              <w:rFonts w:hint="eastAsia"/>
              <w:szCs w:val="21"/>
            </w:rPr>
            <w:t xml:space="preserve">  币种：</w:t>
          </w:r>
          <w:sdt>
            <w:sdtPr>
              <w:rPr>
                <w:rFonts w:hint="eastAsia"/>
                <w:szCs w:val="21"/>
              </w:rPr>
              <w:alias w:val="币种：财务附注：公司内部研究开发项目支出"/>
              <w:tag w:val="_GBC_7f94dcb30ef74b2c8ce5d661f9d29e58"/>
              <w:id w:val="-14405952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szCs w:val="21"/>
                </w:rPr>
                <w:t>人民币</w:t>
              </w:r>
            </w:sdtContent>
          </w:sdt>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266"/>
            <w:gridCol w:w="1266"/>
            <w:gridCol w:w="536"/>
            <w:gridCol w:w="718"/>
            <w:gridCol w:w="1266"/>
            <w:gridCol w:w="753"/>
            <w:gridCol w:w="696"/>
            <w:gridCol w:w="1266"/>
          </w:tblGrid>
          <w:tr w:rsidR="001F52E1" w:rsidTr="005D774F">
            <w:sdt>
              <w:sdtPr>
                <w:tag w:val="_PLD_8084d7645b82454f8ae5ba39a9c3bebf"/>
                <w:id w:val="886145290"/>
                <w:lock w:val="sdtLocked"/>
              </w:sdtPr>
              <w:sdtContent>
                <w:tc>
                  <w:tcPr>
                    <w:tcW w:w="641" w:type="pct"/>
                    <w:vMerge w:val="restart"/>
                    <w:tcBorders>
                      <w:top w:val="single" w:sz="4" w:space="0" w:color="auto"/>
                      <w:left w:val="single" w:sz="4" w:space="0" w:color="auto"/>
                      <w:right w:val="single" w:sz="4" w:space="0" w:color="auto"/>
                    </w:tcBorders>
                    <w:vAlign w:val="center"/>
                  </w:tcPr>
                  <w:p w:rsidR="001F52E1" w:rsidRDefault="001F52E1" w:rsidP="005D774F">
                    <w:pPr>
                      <w:autoSpaceDE w:val="0"/>
                      <w:autoSpaceDN w:val="0"/>
                      <w:adjustRightInd w:val="0"/>
                      <w:jc w:val="center"/>
                      <w:rPr>
                        <w:szCs w:val="21"/>
                      </w:rPr>
                    </w:pPr>
                    <w:r>
                      <w:rPr>
                        <w:rFonts w:hint="eastAsia"/>
                        <w:szCs w:val="21"/>
                      </w:rPr>
                      <w:t>项目</w:t>
                    </w:r>
                  </w:p>
                </w:tc>
              </w:sdtContent>
            </w:sdt>
            <w:sdt>
              <w:sdtPr>
                <w:tag w:val="_PLD_850767b977e54ef4801cc7e5a382a115"/>
                <w:id w:val="-1493333937"/>
                <w:lock w:val="sdtLocked"/>
              </w:sdtPr>
              <w:sdtContent>
                <w:tc>
                  <w:tcPr>
                    <w:tcW w:w="538" w:type="pct"/>
                    <w:vMerge w:val="restart"/>
                    <w:tcBorders>
                      <w:top w:val="single" w:sz="4" w:space="0" w:color="auto"/>
                      <w:left w:val="single" w:sz="4" w:space="0" w:color="auto"/>
                      <w:right w:val="single" w:sz="4" w:space="0" w:color="auto"/>
                    </w:tcBorders>
                    <w:vAlign w:val="center"/>
                  </w:tcPr>
                  <w:p w:rsidR="001F52E1" w:rsidRDefault="001F52E1" w:rsidP="005D774F">
                    <w:pPr>
                      <w:autoSpaceDE w:val="0"/>
                      <w:autoSpaceDN w:val="0"/>
                      <w:adjustRightInd w:val="0"/>
                      <w:jc w:val="center"/>
                      <w:rPr>
                        <w:szCs w:val="21"/>
                      </w:rPr>
                    </w:pPr>
                    <w:r>
                      <w:rPr>
                        <w:rFonts w:hint="eastAsia"/>
                        <w:szCs w:val="21"/>
                      </w:rPr>
                      <w:t>期初</w:t>
                    </w:r>
                  </w:p>
                  <w:p w:rsidR="001F52E1" w:rsidRDefault="001F52E1" w:rsidP="005D774F">
                    <w:pPr>
                      <w:autoSpaceDE w:val="0"/>
                      <w:autoSpaceDN w:val="0"/>
                      <w:adjustRightInd w:val="0"/>
                      <w:jc w:val="center"/>
                      <w:rPr>
                        <w:szCs w:val="21"/>
                      </w:rPr>
                    </w:pPr>
                    <w:r>
                      <w:rPr>
                        <w:rFonts w:hint="eastAsia"/>
                        <w:szCs w:val="21"/>
                      </w:rPr>
                      <w:t>余额</w:t>
                    </w:r>
                  </w:p>
                </w:tc>
              </w:sdtContent>
            </w:sdt>
            <w:sdt>
              <w:sdtPr>
                <w:tag w:val="_PLD_c25048af34674accb23d591157790b81"/>
                <w:id w:val="-1365669717"/>
                <w:lock w:val="sdtLocked"/>
              </w:sdtPr>
              <w:sdtContent>
                <w:tc>
                  <w:tcPr>
                    <w:tcW w:w="1625" w:type="pct"/>
                    <w:gridSpan w:val="3"/>
                    <w:tcBorders>
                      <w:top w:val="single" w:sz="4" w:space="0" w:color="auto"/>
                      <w:left w:val="single" w:sz="4" w:space="0" w:color="auto"/>
                      <w:right w:val="single" w:sz="4" w:space="0" w:color="auto"/>
                    </w:tcBorders>
                    <w:vAlign w:val="center"/>
                  </w:tcPr>
                  <w:p w:rsidR="001F52E1" w:rsidRDefault="001F52E1" w:rsidP="005D774F">
                    <w:pPr>
                      <w:autoSpaceDE w:val="0"/>
                      <w:autoSpaceDN w:val="0"/>
                      <w:adjustRightInd w:val="0"/>
                      <w:jc w:val="center"/>
                      <w:rPr>
                        <w:szCs w:val="21"/>
                      </w:rPr>
                    </w:pPr>
                    <w:r>
                      <w:rPr>
                        <w:rFonts w:hint="eastAsia"/>
                        <w:szCs w:val="21"/>
                      </w:rPr>
                      <w:t>本期增加金额</w:t>
                    </w:r>
                  </w:p>
                </w:tc>
              </w:sdtContent>
            </w:sdt>
            <w:sdt>
              <w:sdtPr>
                <w:tag w:val="_PLD_b9cbae5bd3f6433caa9035b55100654b"/>
                <w:id w:val="1388370483"/>
                <w:lock w:val="sdtLocked"/>
              </w:sdtPr>
              <w:sdtContent>
                <w:tc>
                  <w:tcPr>
                    <w:tcW w:w="1650" w:type="pct"/>
                    <w:gridSpan w:val="3"/>
                    <w:tcBorders>
                      <w:top w:val="single" w:sz="4" w:space="0" w:color="auto"/>
                      <w:left w:val="single" w:sz="4" w:space="0" w:color="auto"/>
                      <w:bottom w:val="single" w:sz="4" w:space="0" w:color="auto"/>
                      <w:right w:val="single" w:sz="4" w:space="0" w:color="auto"/>
                    </w:tcBorders>
                    <w:vAlign w:val="center"/>
                  </w:tcPr>
                  <w:p w:rsidR="001F52E1" w:rsidRDefault="001F52E1" w:rsidP="005D774F">
                    <w:pPr>
                      <w:ind w:left="-65" w:right="5" w:hanging="48"/>
                      <w:jc w:val="center"/>
                      <w:rPr>
                        <w:szCs w:val="21"/>
                      </w:rPr>
                    </w:pPr>
                    <w:r>
                      <w:rPr>
                        <w:rFonts w:hint="eastAsia"/>
                        <w:szCs w:val="21"/>
                      </w:rPr>
                      <w:t>本期减少金额</w:t>
                    </w:r>
                  </w:p>
                </w:tc>
              </w:sdtContent>
            </w:sdt>
            <w:sdt>
              <w:sdtPr>
                <w:tag w:val="_PLD_9a475c63fb714e6a8a977e4fedf97164"/>
                <w:id w:val="826401285"/>
                <w:lock w:val="sdtLocked"/>
              </w:sdtPr>
              <w:sdtContent>
                <w:tc>
                  <w:tcPr>
                    <w:tcW w:w="546" w:type="pct"/>
                    <w:vMerge w:val="restart"/>
                    <w:tcBorders>
                      <w:top w:val="single" w:sz="4" w:space="0" w:color="auto"/>
                      <w:left w:val="single" w:sz="4" w:space="0" w:color="auto"/>
                      <w:right w:val="single" w:sz="4" w:space="0" w:color="auto"/>
                    </w:tcBorders>
                    <w:vAlign w:val="center"/>
                  </w:tcPr>
                  <w:p w:rsidR="001F52E1" w:rsidRDefault="001F52E1" w:rsidP="005D774F">
                    <w:pPr>
                      <w:autoSpaceDE w:val="0"/>
                      <w:autoSpaceDN w:val="0"/>
                      <w:adjustRightInd w:val="0"/>
                      <w:jc w:val="center"/>
                      <w:rPr>
                        <w:szCs w:val="21"/>
                      </w:rPr>
                    </w:pPr>
                    <w:r>
                      <w:rPr>
                        <w:rFonts w:hint="eastAsia"/>
                        <w:szCs w:val="21"/>
                      </w:rPr>
                      <w:t>期末</w:t>
                    </w:r>
                  </w:p>
                  <w:p w:rsidR="001F52E1" w:rsidRDefault="001F52E1" w:rsidP="005D774F">
                    <w:pPr>
                      <w:autoSpaceDE w:val="0"/>
                      <w:autoSpaceDN w:val="0"/>
                      <w:adjustRightInd w:val="0"/>
                      <w:jc w:val="center"/>
                      <w:rPr>
                        <w:szCs w:val="21"/>
                      </w:rPr>
                    </w:pPr>
                    <w:r>
                      <w:rPr>
                        <w:rFonts w:hint="eastAsia"/>
                        <w:szCs w:val="21"/>
                      </w:rPr>
                      <w:t>余额</w:t>
                    </w:r>
                  </w:p>
                </w:tc>
              </w:sdtContent>
            </w:sdt>
          </w:tr>
          <w:tr w:rsidR="001F52E1" w:rsidTr="005D774F">
            <w:tc>
              <w:tcPr>
                <w:tcW w:w="641" w:type="pct"/>
                <w:vMerge/>
                <w:tcBorders>
                  <w:left w:val="single" w:sz="4" w:space="0" w:color="auto"/>
                  <w:bottom w:val="single" w:sz="4" w:space="0" w:color="auto"/>
                  <w:right w:val="single" w:sz="4" w:space="0" w:color="auto"/>
                </w:tcBorders>
              </w:tcPr>
              <w:p w:rsidR="001F52E1" w:rsidRDefault="001F52E1" w:rsidP="005D774F">
                <w:pPr>
                  <w:autoSpaceDE w:val="0"/>
                  <w:autoSpaceDN w:val="0"/>
                  <w:adjustRightInd w:val="0"/>
                  <w:rPr>
                    <w:szCs w:val="21"/>
                  </w:rPr>
                </w:pPr>
              </w:p>
            </w:tc>
            <w:tc>
              <w:tcPr>
                <w:tcW w:w="538" w:type="pct"/>
                <w:vMerge/>
                <w:tcBorders>
                  <w:left w:val="single" w:sz="4" w:space="0" w:color="auto"/>
                  <w:bottom w:val="single" w:sz="4" w:space="0" w:color="auto"/>
                  <w:right w:val="single" w:sz="4" w:space="0" w:color="auto"/>
                </w:tcBorders>
              </w:tcPr>
              <w:p w:rsidR="001F52E1" w:rsidRDefault="001F52E1" w:rsidP="005D774F">
                <w:pPr>
                  <w:autoSpaceDE w:val="0"/>
                  <w:autoSpaceDN w:val="0"/>
                  <w:adjustRightInd w:val="0"/>
                  <w:jc w:val="center"/>
                  <w:rPr>
                    <w:szCs w:val="21"/>
                  </w:rPr>
                </w:pPr>
              </w:p>
            </w:tc>
            <w:sdt>
              <w:sdtPr>
                <w:tag w:val="_PLD_d6aff82c56dd4ef4afdf03372978ff3a"/>
                <w:id w:val="940490133"/>
                <w:lock w:val="sdtLocked"/>
              </w:sdtPr>
              <w:sdtContent>
                <w:tc>
                  <w:tcPr>
                    <w:tcW w:w="554" w:type="pct"/>
                    <w:tcBorders>
                      <w:left w:val="single" w:sz="4" w:space="0" w:color="auto"/>
                      <w:bottom w:val="single" w:sz="4" w:space="0" w:color="auto"/>
                      <w:right w:val="single" w:sz="4" w:space="0" w:color="auto"/>
                    </w:tcBorders>
                    <w:vAlign w:val="center"/>
                  </w:tcPr>
                  <w:p w:rsidR="001F52E1" w:rsidRDefault="001F52E1" w:rsidP="005D774F">
                    <w:pPr>
                      <w:autoSpaceDE w:val="0"/>
                      <w:autoSpaceDN w:val="0"/>
                      <w:adjustRightInd w:val="0"/>
                      <w:jc w:val="center"/>
                      <w:rPr>
                        <w:szCs w:val="21"/>
                      </w:rPr>
                    </w:pPr>
                    <w:r>
                      <w:rPr>
                        <w:rFonts w:hint="eastAsia"/>
                        <w:szCs w:val="21"/>
                      </w:rPr>
                      <w:t>内部开发支出</w:t>
                    </w:r>
                  </w:p>
                </w:tc>
              </w:sdtContent>
            </w:sdt>
            <w:sdt>
              <w:sdtPr>
                <w:tag w:val="_PLD_edaf3d2038314858896f72a3bbf5807c"/>
                <w:id w:val="1417749987"/>
                <w:lock w:val="sdtLocked"/>
              </w:sdtPr>
              <w:sdtContent>
                <w:tc>
                  <w:tcPr>
                    <w:tcW w:w="530" w:type="pct"/>
                    <w:tcBorders>
                      <w:left w:val="single" w:sz="4" w:space="0" w:color="auto"/>
                      <w:bottom w:val="single" w:sz="4" w:space="0" w:color="auto"/>
                      <w:right w:val="single" w:sz="4" w:space="0" w:color="auto"/>
                    </w:tcBorders>
                    <w:vAlign w:val="center"/>
                  </w:tcPr>
                  <w:p w:rsidR="001F52E1" w:rsidRDefault="001F52E1" w:rsidP="005D774F">
                    <w:pPr>
                      <w:autoSpaceDE w:val="0"/>
                      <w:autoSpaceDN w:val="0"/>
                      <w:adjustRightInd w:val="0"/>
                      <w:jc w:val="center"/>
                      <w:rPr>
                        <w:szCs w:val="21"/>
                      </w:rPr>
                    </w:pPr>
                    <w:r>
                      <w:rPr>
                        <w:rFonts w:hint="eastAsia"/>
                        <w:szCs w:val="21"/>
                      </w:rPr>
                      <w:t>其他</w:t>
                    </w:r>
                  </w:p>
                </w:tc>
              </w:sdtContent>
            </w:sdt>
            <w:sdt>
              <w:sdtPr>
                <w:rPr>
                  <w:szCs w:val="21"/>
                </w:rPr>
                <w:alias w:val="开发支出本期增加额项目名称"/>
                <w:tag w:val="_GBC_3dd1a6e64b524d9995cbdbb01a10ed46"/>
                <w:id w:val="-1148596707"/>
                <w:lock w:val="sdtLocked"/>
                <w:showingPlcHdr/>
              </w:sdtPr>
              <w:sdtEndPr>
                <w:rPr>
                  <w:rFonts w:hint="eastAsia"/>
                </w:rPr>
              </w:sdtEndPr>
              <w:sdtContent>
                <w:tc>
                  <w:tcPr>
                    <w:tcW w:w="541" w:type="pct"/>
                    <w:tcBorders>
                      <w:left w:val="single" w:sz="4" w:space="0" w:color="auto"/>
                      <w:bottom w:val="single" w:sz="4" w:space="0" w:color="auto"/>
                      <w:right w:val="single" w:sz="4" w:space="0" w:color="auto"/>
                    </w:tcBorders>
                    <w:vAlign w:val="center"/>
                  </w:tcPr>
                  <w:p w:rsidR="001F52E1" w:rsidRDefault="001F52E1" w:rsidP="005D774F">
                    <w:pPr>
                      <w:autoSpaceDE w:val="0"/>
                      <w:autoSpaceDN w:val="0"/>
                      <w:adjustRightInd w:val="0"/>
                      <w:jc w:val="center"/>
                      <w:rPr>
                        <w:szCs w:val="21"/>
                      </w:rPr>
                    </w:pPr>
                    <w:r>
                      <w:rPr>
                        <w:rFonts w:hint="eastAsia"/>
                        <w:szCs w:val="21"/>
                      </w:rPr>
                      <w:t xml:space="preserve">　</w:t>
                    </w:r>
                  </w:p>
                </w:tc>
              </w:sdtContent>
            </w:sdt>
            <w:sdt>
              <w:sdtPr>
                <w:tag w:val="_PLD_c2216fc5dc1147a4ab9206675d7567d7"/>
                <w:id w:val="-1569716280"/>
                <w:lock w:val="sdtLocked"/>
              </w:sdtPr>
              <w:sdtContent>
                <w:tc>
                  <w:tcPr>
                    <w:tcW w:w="561" w:type="pct"/>
                    <w:tcBorders>
                      <w:top w:val="single" w:sz="4" w:space="0" w:color="auto"/>
                      <w:left w:val="single" w:sz="4" w:space="0" w:color="auto"/>
                      <w:bottom w:val="single" w:sz="4" w:space="0" w:color="auto"/>
                      <w:right w:val="single" w:sz="4" w:space="0" w:color="auto"/>
                    </w:tcBorders>
                    <w:vAlign w:val="center"/>
                  </w:tcPr>
                  <w:p w:rsidR="001F52E1" w:rsidRDefault="001F52E1" w:rsidP="005D774F">
                    <w:pPr>
                      <w:autoSpaceDE w:val="0"/>
                      <w:autoSpaceDN w:val="0"/>
                      <w:adjustRightInd w:val="0"/>
                      <w:jc w:val="center"/>
                      <w:rPr>
                        <w:szCs w:val="21"/>
                      </w:rPr>
                    </w:pPr>
                    <w:r>
                      <w:rPr>
                        <w:rFonts w:hint="eastAsia"/>
                        <w:szCs w:val="21"/>
                      </w:rPr>
                      <w:t>确认为无形资产</w:t>
                    </w:r>
                  </w:p>
                </w:tc>
              </w:sdtContent>
            </w:sdt>
            <w:sdt>
              <w:sdtPr>
                <w:tag w:val="_PLD_2e751aeabbe741609bdaa128f3d34de6"/>
                <w:id w:val="-927734750"/>
                <w:lock w:val="sdtLocked"/>
              </w:sdtPr>
              <w:sdtContent>
                <w:tc>
                  <w:tcPr>
                    <w:tcW w:w="561" w:type="pct"/>
                    <w:tcBorders>
                      <w:top w:val="single" w:sz="4" w:space="0" w:color="auto"/>
                      <w:left w:val="single" w:sz="4" w:space="0" w:color="auto"/>
                      <w:bottom w:val="single" w:sz="4" w:space="0" w:color="auto"/>
                      <w:right w:val="single" w:sz="4" w:space="0" w:color="auto"/>
                    </w:tcBorders>
                    <w:vAlign w:val="center"/>
                  </w:tcPr>
                  <w:p w:rsidR="001F52E1" w:rsidRDefault="001F52E1" w:rsidP="005D774F">
                    <w:pPr>
                      <w:autoSpaceDE w:val="0"/>
                      <w:autoSpaceDN w:val="0"/>
                      <w:adjustRightInd w:val="0"/>
                      <w:jc w:val="center"/>
                      <w:rPr>
                        <w:szCs w:val="21"/>
                      </w:rPr>
                    </w:pPr>
                    <w:r>
                      <w:rPr>
                        <w:rFonts w:hint="eastAsia"/>
                        <w:szCs w:val="21"/>
                      </w:rPr>
                      <w:t>转入当期损益</w:t>
                    </w:r>
                  </w:p>
                </w:tc>
              </w:sdtContent>
            </w:sdt>
            <w:sdt>
              <w:sdtPr>
                <w:rPr>
                  <w:szCs w:val="21"/>
                </w:rPr>
                <w:alias w:val="开发支出本期减少额项目名称"/>
                <w:tag w:val="_GBC_ea6bb0b5d1364a6999980f96f731ec9a"/>
                <w:id w:val="1703514338"/>
                <w:lock w:val="sdtLocked"/>
                <w:showingPlcHdr/>
              </w:sdtPr>
              <w:sdtEndPr>
                <w:rPr>
                  <w:rFonts w:hint="eastAsia"/>
                </w:rPr>
              </w:sdtEndPr>
              <w:sdtContent>
                <w:tc>
                  <w:tcPr>
                    <w:tcW w:w="528" w:type="pct"/>
                    <w:tcBorders>
                      <w:top w:val="single" w:sz="4" w:space="0" w:color="auto"/>
                      <w:left w:val="single" w:sz="4" w:space="0" w:color="auto"/>
                      <w:bottom w:val="single" w:sz="4" w:space="0" w:color="auto"/>
                      <w:right w:val="single" w:sz="4" w:space="0" w:color="auto"/>
                    </w:tcBorders>
                    <w:vAlign w:val="center"/>
                  </w:tcPr>
                  <w:p w:rsidR="001F52E1" w:rsidRDefault="001F52E1" w:rsidP="005D774F">
                    <w:pPr>
                      <w:autoSpaceDE w:val="0"/>
                      <w:autoSpaceDN w:val="0"/>
                      <w:adjustRightInd w:val="0"/>
                      <w:jc w:val="center"/>
                      <w:rPr>
                        <w:szCs w:val="21"/>
                      </w:rPr>
                    </w:pPr>
                    <w:r>
                      <w:rPr>
                        <w:rFonts w:hint="eastAsia"/>
                        <w:szCs w:val="21"/>
                      </w:rPr>
                      <w:t xml:space="preserve">　</w:t>
                    </w:r>
                  </w:p>
                </w:tc>
              </w:sdtContent>
            </w:sdt>
            <w:tc>
              <w:tcPr>
                <w:tcW w:w="546" w:type="pct"/>
                <w:vMerge/>
                <w:tcBorders>
                  <w:left w:val="single" w:sz="4" w:space="0" w:color="auto"/>
                  <w:bottom w:val="single" w:sz="4" w:space="0" w:color="auto"/>
                  <w:right w:val="single" w:sz="4" w:space="0" w:color="auto"/>
                </w:tcBorders>
              </w:tcPr>
              <w:p w:rsidR="001F52E1" w:rsidRDefault="001F52E1" w:rsidP="005D774F">
                <w:pPr>
                  <w:autoSpaceDE w:val="0"/>
                  <w:autoSpaceDN w:val="0"/>
                  <w:adjustRightInd w:val="0"/>
                  <w:jc w:val="center"/>
                  <w:rPr>
                    <w:color w:val="222222"/>
                    <w:szCs w:val="21"/>
                  </w:rPr>
                </w:pPr>
              </w:p>
            </w:tc>
          </w:tr>
          <w:sdt>
            <w:sdtPr>
              <w:rPr>
                <w:rFonts w:asciiTheme="minorHAnsi" w:eastAsiaTheme="minorEastAsia" w:hAnsiTheme="minorHAnsi" w:cstheme="minorBidi" w:hint="eastAsia"/>
                <w:kern w:val="2"/>
                <w:szCs w:val="21"/>
              </w:rPr>
              <w:alias w:val="公司开发项目支出明细"/>
              <w:tag w:val="_GBC_12a9b93b72934528bfa3c11027367082"/>
              <w:id w:val="-1694213940"/>
              <w:lock w:val="sdtLocked"/>
            </w:sdtPr>
            <w:sdtContent>
              <w:tr w:rsidR="001F52E1" w:rsidTr="00B637B2">
                <w:tc>
                  <w:tcPr>
                    <w:tcW w:w="641" w:type="pct"/>
                    <w:tcBorders>
                      <w:top w:val="single" w:sz="4" w:space="0" w:color="auto"/>
                      <w:left w:val="single" w:sz="4" w:space="0" w:color="auto"/>
                      <w:bottom w:val="single" w:sz="4" w:space="0" w:color="auto"/>
                      <w:right w:val="single" w:sz="4" w:space="0" w:color="auto"/>
                    </w:tcBorders>
                  </w:tcPr>
                  <w:p w:rsidR="001F52E1" w:rsidRDefault="001F52E1" w:rsidP="005D774F">
                    <w:pPr>
                      <w:rPr>
                        <w:szCs w:val="21"/>
                      </w:rPr>
                    </w:pPr>
                    <w:r>
                      <w:t>医院信息化平台系统(MIP)</w:t>
                    </w:r>
                  </w:p>
                </w:tc>
                <w:tc>
                  <w:tcPr>
                    <w:tcW w:w="538" w:type="pct"/>
                    <w:tcBorders>
                      <w:top w:val="single" w:sz="4" w:space="0" w:color="auto"/>
                      <w:left w:val="single" w:sz="4" w:space="0" w:color="auto"/>
                      <w:bottom w:val="single" w:sz="4" w:space="0" w:color="auto"/>
                      <w:right w:val="single" w:sz="4" w:space="0" w:color="auto"/>
                    </w:tcBorders>
                  </w:tcPr>
                  <w:p w:rsidR="001F52E1" w:rsidRPr="00EB427D" w:rsidRDefault="001F52E1" w:rsidP="00B637B2">
                    <w:pPr>
                      <w:jc w:val="right"/>
                    </w:pPr>
                    <w:r w:rsidRPr="00EB427D">
                      <w:t>22,271,526</w:t>
                    </w:r>
                  </w:p>
                </w:tc>
                <w:tc>
                  <w:tcPr>
                    <w:tcW w:w="554" w:type="pct"/>
                    <w:tcBorders>
                      <w:top w:val="single" w:sz="4" w:space="0" w:color="auto"/>
                      <w:left w:val="single" w:sz="4" w:space="0" w:color="auto"/>
                      <w:bottom w:val="single" w:sz="4" w:space="0" w:color="auto"/>
                      <w:right w:val="single" w:sz="4" w:space="0" w:color="auto"/>
                    </w:tcBorders>
                  </w:tcPr>
                  <w:p w:rsidR="001F52E1" w:rsidRDefault="001F52E1" w:rsidP="00B637B2">
                    <w:pPr>
                      <w:jc w:val="right"/>
                      <w:rPr>
                        <w:szCs w:val="21"/>
                      </w:rPr>
                    </w:pPr>
                    <w:r>
                      <w:t>774,913</w:t>
                    </w:r>
                  </w:p>
                </w:tc>
                <w:tc>
                  <w:tcPr>
                    <w:tcW w:w="530" w:type="pct"/>
                    <w:tcBorders>
                      <w:top w:val="single" w:sz="4" w:space="0" w:color="auto"/>
                      <w:left w:val="single" w:sz="4" w:space="0" w:color="auto"/>
                      <w:bottom w:val="single" w:sz="4" w:space="0" w:color="auto"/>
                      <w:right w:val="single" w:sz="4" w:space="0" w:color="auto"/>
                    </w:tcBorders>
                  </w:tcPr>
                  <w:p w:rsidR="001F52E1" w:rsidRDefault="001F52E1" w:rsidP="00B637B2">
                    <w:pPr>
                      <w:jc w:val="right"/>
                      <w:rPr>
                        <w:szCs w:val="21"/>
                      </w:rPr>
                    </w:pPr>
                  </w:p>
                </w:tc>
                <w:tc>
                  <w:tcPr>
                    <w:tcW w:w="541" w:type="pct"/>
                    <w:tcBorders>
                      <w:top w:val="single" w:sz="4" w:space="0" w:color="auto"/>
                      <w:left w:val="single" w:sz="4" w:space="0" w:color="auto"/>
                      <w:bottom w:val="single" w:sz="4" w:space="0" w:color="auto"/>
                      <w:right w:val="single" w:sz="4" w:space="0" w:color="auto"/>
                    </w:tcBorders>
                  </w:tcPr>
                  <w:p w:rsidR="001F52E1" w:rsidRDefault="001F52E1" w:rsidP="00B637B2">
                    <w:pPr>
                      <w:jc w:val="right"/>
                      <w:rPr>
                        <w:szCs w:val="21"/>
                      </w:rPr>
                    </w:pPr>
                  </w:p>
                </w:tc>
                <w:tc>
                  <w:tcPr>
                    <w:tcW w:w="561" w:type="pct"/>
                    <w:tcBorders>
                      <w:top w:val="single" w:sz="4" w:space="0" w:color="auto"/>
                      <w:left w:val="single" w:sz="4" w:space="0" w:color="auto"/>
                      <w:bottom w:val="single" w:sz="4" w:space="0" w:color="auto"/>
                      <w:right w:val="single" w:sz="4" w:space="0" w:color="auto"/>
                    </w:tcBorders>
                  </w:tcPr>
                  <w:p w:rsidR="001F52E1" w:rsidRDefault="001F52E1" w:rsidP="00B637B2">
                    <w:pPr>
                      <w:jc w:val="right"/>
                      <w:rPr>
                        <w:szCs w:val="21"/>
                      </w:rPr>
                    </w:pPr>
                  </w:p>
                </w:tc>
                <w:tc>
                  <w:tcPr>
                    <w:tcW w:w="561" w:type="pct"/>
                    <w:tcBorders>
                      <w:top w:val="single" w:sz="4" w:space="0" w:color="auto"/>
                      <w:left w:val="single" w:sz="4" w:space="0" w:color="auto"/>
                      <w:bottom w:val="single" w:sz="4" w:space="0" w:color="auto"/>
                      <w:right w:val="single" w:sz="4" w:space="0" w:color="auto"/>
                    </w:tcBorders>
                  </w:tcPr>
                  <w:p w:rsidR="001F52E1" w:rsidRDefault="001F52E1" w:rsidP="00B637B2">
                    <w:pPr>
                      <w:jc w:val="right"/>
                      <w:rPr>
                        <w:szCs w:val="21"/>
                      </w:rPr>
                    </w:pPr>
                  </w:p>
                </w:tc>
                <w:tc>
                  <w:tcPr>
                    <w:tcW w:w="528" w:type="pct"/>
                    <w:tcBorders>
                      <w:top w:val="single" w:sz="4" w:space="0" w:color="auto"/>
                      <w:left w:val="single" w:sz="4" w:space="0" w:color="auto"/>
                      <w:bottom w:val="single" w:sz="4" w:space="0" w:color="auto"/>
                      <w:right w:val="single" w:sz="4" w:space="0" w:color="auto"/>
                    </w:tcBorders>
                  </w:tcPr>
                  <w:p w:rsidR="001F52E1" w:rsidRDefault="001F52E1" w:rsidP="00B637B2">
                    <w:pPr>
                      <w:jc w:val="right"/>
                      <w:rPr>
                        <w:szCs w:val="21"/>
                      </w:rPr>
                    </w:pPr>
                  </w:p>
                </w:tc>
                <w:tc>
                  <w:tcPr>
                    <w:tcW w:w="546" w:type="pct"/>
                    <w:tcBorders>
                      <w:top w:val="single" w:sz="4" w:space="0" w:color="auto"/>
                      <w:left w:val="single" w:sz="4" w:space="0" w:color="auto"/>
                      <w:bottom w:val="single" w:sz="4" w:space="0" w:color="auto"/>
                      <w:right w:val="single" w:sz="4" w:space="0" w:color="auto"/>
                    </w:tcBorders>
                  </w:tcPr>
                  <w:p w:rsidR="001F52E1" w:rsidRDefault="005D774F" w:rsidP="00B637B2">
                    <w:pPr>
                      <w:jc w:val="right"/>
                      <w:rPr>
                        <w:szCs w:val="21"/>
                      </w:rPr>
                    </w:pPr>
                    <w:r w:rsidRPr="005D774F">
                      <w:rPr>
                        <w:szCs w:val="21"/>
                      </w:rPr>
                      <w:t>23,046,439</w:t>
                    </w:r>
                  </w:p>
                </w:tc>
              </w:tr>
            </w:sdtContent>
          </w:sdt>
          <w:sdt>
            <w:sdtPr>
              <w:rPr>
                <w:rFonts w:asciiTheme="minorHAnsi" w:eastAsiaTheme="minorEastAsia" w:hAnsiTheme="minorHAnsi" w:cstheme="minorBidi" w:hint="eastAsia"/>
                <w:kern w:val="2"/>
                <w:szCs w:val="21"/>
              </w:rPr>
              <w:alias w:val="公司开发项目支出明细"/>
              <w:tag w:val="_GBC_12a9b93b72934528bfa3c11027367082"/>
              <w:id w:val="-626778116"/>
              <w:lock w:val="sdtLocked"/>
            </w:sdtPr>
            <w:sdtContent>
              <w:tr w:rsidR="001F52E1" w:rsidTr="00B637B2">
                <w:tc>
                  <w:tcPr>
                    <w:tcW w:w="641" w:type="pct"/>
                    <w:tcBorders>
                      <w:top w:val="single" w:sz="4" w:space="0" w:color="auto"/>
                      <w:left w:val="single" w:sz="4" w:space="0" w:color="auto"/>
                      <w:bottom w:val="single" w:sz="4" w:space="0" w:color="auto"/>
                      <w:right w:val="single" w:sz="4" w:space="0" w:color="auto"/>
                    </w:tcBorders>
                  </w:tcPr>
                  <w:p w:rsidR="001F52E1" w:rsidRDefault="001F52E1" w:rsidP="005D774F">
                    <w:pPr>
                      <w:rPr>
                        <w:szCs w:val="21"/>
                      </w:rPr>
                    </w:pPr>
                    <w:r>
                      <w:t>实践教学云平台</w:t>
                    </w:r>
                  </w:p>
                </w:tc>
                <w:tc>
                  <w:tcPr>
                    <w:tcW w:w="538" w:type="pct"/>
                    <w:tcBorders>
                      <w:top w:val="single" w:sz="4" w:space="0" w:color="auto"/>
                      <w:left w:val="single" w:sz="4" w:space="0" w:color="auto"/>
                      <w:bottom w:val="single" w:sz="4" w:space="0" w:color="auto"/>
                      <w:right w:val="single" w:sz="4" w:space="0" w:color="auto"/>
                    </w:tcBorders>
                  </w:tcPr>
                  <w:p w:rsidR="001F52E1" w:rsidRPr="00EB427D" w:rsidRDefault="001F52E1" w:rsidP="00B637B2">
                    <w:pPr>
                      <w:jc w:val="right"/>
                    </w:pPr>
                    <w:r w:rsidRPr="00EB427D">
                      <w:t>16,874,003</w:t>
                    </w:r>
                  </w:p>
                </w:tc>
                <w:tc>
                  <w:tcPr>
                    <w:tcW w:w="554" w:type="pct"/>
                    <w:tcBorders>
                      <w:top w:val="single" w:sz="4" w:space="0" w:color="auto"/>
                      <w:left w:val="single" w:sz="4" w:space="0" w:color="auto"/>
                      <w:bottom w:val="single" w:sz="4" w:space="0" w:color="auto"/>
                      <w:right w:val="single" w:sz="4" w:space="0" w:color="auto"/>
                    </w:tcBorders>
                  </w:tcPr>
                  <w:p w:rsidR="001F52E1" w:rsidRDefault="001F52E1" w:rsidP="00B637B2">
                    <w:pPr>
                      <w:jc w:val="right"/>
                      <w:rPr>
                        <w:szCs w:val="21"/>
                      </w:rPr>
                    </w:pPr>
                    <w:r>
                      <w:t>524,403</w:t>
                    </w:r>
                  </w:p>
                </w:tc>
                <w:tc>
                  <w:tcPr>
                    <w:tcW w:w="530" w:type="pct"/>
                    <w:tcBorders>
                      <w:top w:val="single" w:sz="4" w:space="0" w:color="auto"/>
                      <w:left w:val="single" w:sz="4" w:space="0" w:color="auto"/>
                      <w:bottom w:val="single" w:sz="4" w:space="0" w:color="auto"/>
                      <w:right w:val="single" w:sz="4" w:space="0" w:color="auto"/>
                    </w:tcBorders>
                  </w:tcPr>
                  <w:p w:rsidR="001F52E1" w:rsidRDefault="001F52E1" w:rsidP="00B637B2">
                    <w:pPr>
                      <w:jc w:val="right"/>
                      <w:rPr>
                        <w:szCs w:val="21"/>
                      </w:rPr>
                    </w:pPr>
                  </w:p>
                </w:tc>
                <w:tc>
                  <w:tcPr>
                    <w:tcW w:w="541" w:type="pct"/>
                    <w:tcBorders>
                      <w:top w:val="single" w:sz="4" w:space="0" w:color="auto"/>
                      <w:left w:val="single" w:sz="4" w:space="0" w:color="auto"/>
                      <w:bottom w:val="single" w:sz="4" w:space="0" w:color="auto"/>
                      <w:right w:val="single" w:sz="4" w:space="0" w:color="auto"/>
                    </w:tcBorders>
                  </w:tcPr>
                  <w:p w:rsidR="001F52E1" w:rsidRDefault="001F52E1" w:rsidP="00B637B2">
                    <w:pPr>
                      <w:jc w:val="right"/>
                      <w:rPr>
                        <w:szCs w:val="21"/>
                      </w:rPr>
                    </w:pPr>
                  </w:p>
                </w:tc>
                <w:tc>
                  <w:tcPr>
                    <w:tcW w:w="561" w:type="pct"/>
                    <w:tcBorders>
                      <w:top w:val="single" w:sz="4" w:space="0" w:color="auto"/>
                      <w:left w:val="single" w:sz="4" w:space="0" w:color="auto"/>
                      <w:bottom w:val="single" w:sz="4" w:space="0" w:color="auto"/>
                      <w:right w:val="single" w:sz="4" w:space="0" w:color="auto"/>
                    </w:tcBorders>
                  </w:tcPr>
                  <w:p w:rsidR="001F52E1" w:rsidRDefault="001F52E1" w:rsidP="00B637B2">
                    <w:pPr>
                      <w:jc w:val="right"/>
                      <w:rPr>
                        <w:szCs w:val="21"/>
                      </w:rPr>
                    </w:pPr>
                    <w:r w:rsidRPr="001F52E1">
                      <w:rPr>
                        <w:szCs w:val="21"/>
                      </w:rPr>
                      <w:t>17,398,406</w:t>
                    </w:r>
                    <w:r w:rsidRPr="001F52E1">
                      <w:rPr>
                        <w:szCs w:val="21"/>
                      </w:rPr>
                      <w:tab/>
                    </w:r>
                  </w:p>
                </w:tc>
                <w:tc>
                  <w:tcPr>
                    <w:tcW w:w="561" w:type="pct"/>
                    <w:tcBorders>
                      <w:top w:val="single" w:sz="4" w:space="0" w:color="auto"/>
                      <w:left w:val="single" w:sz="4" w:space="0" w:color="auto"/>
                      <w:bottom w:val="single" w:sz="4" w:space="0" w:color="auto"/>
                      <w:right w:val="single" w:sz="4" w:space="0" w:color="auto"/>
                    </w:tcBorders>
                  </w:tcPr>
                  <w:p w:rsidR="001F52E1" w:rsidRDefault="001F52E1" w:rsidP="00B637B2">
                    <w:pPr>
                      <w:jc w:val="right"/>
                      <w:rPr>
                        <w:szCs w:val="21"/>
                      </w:rPr>
                    </w:pPr>
                  </w:p>
                </w:tc>
                <w:tc>
                  <w:tcPr>
                    <w:tcW w:w="528" w:type="pct"/>
                    <w:tcBorders>
                      <w:top w:val="single" w:sz="4" w:space="0" w:color="auto"/>
                      <w:left w:val="single" w:sz="4" w:space="0" w:color="auto"/>
                      <w:bottom w:val="single" w:sz="4" w:space="0" w:color="auto"/>
                      <w:right w:val="single" w:sz="4" w:space="0" w:color="auto"/>
                    </w:tcBorders>
                  </w:tcPr>
                  <w:p w:rsidR="001F52E1" w:rsidRDefault="001F52E1" w:rsidP="00B637B2">
                    <w:pPr>
                      <w:jc w:val="right"/>
                      <w:rPr>
                        <w:szCs w:val="21"/>
                      </w:rPr>
                    </w:pPr>
                  </w:p>
                </w:tc>
                <w:tc>
                  <w:tcPr>
                    <w:tcW w:w="546" w:type="pct"/>
                    <w:tcBorders>
                      <w:top w:val="single" w:sz="4" w:space="0" w:color="auto"/>
                      <w:left w:val="single" w:sz="4" w:space="0" w:color="auto"/>
                      <w:bottom w:val="single" w:sz="4" w:space="0" w:color="auto"/>
                      <w:right w:val="single" w:sz="4" w:space="0" w:color="auto"/>
                    </w:tcBorders>
                  </w:tcPr>
                  <w:p w:rsidR="001F52E1" w:rsidRDefault="008F04CF" w:rsidP="00B637B2">
                    <w:pPr>
                      <w:jc w:val="right"/>
                      <w:rPr>
                        <w:szCs w:val="21"/>
                      </w:rPr>
                    </w:pPr>
                    <w:r>
                      <w:rPr>
                        <w:rFonts w:hint="eastAsia"/>
                        <w:szCs w:val="21"/>
                      </w:rPr>
                      <w:t>-</w:t>
                    </w:r>
                  </w:p>
                </w:tc>
              </w:tr>
            </w:sdtContent>
          </w:sdt>
          <w:sdt>
            <w:sdtPr>
              <w:rPr>
                <w:rFonts w:asciiTheme="minorHAnsi" w:eastAsiaTheme="minorEastAsia" w:hAnsiTheme="minorHAnsi" w:cstheme="minorBidi" w:hint="eastAsia"/>
                <w:kern w:val="2"/>
                <w:szCs w:val="21"/>
              </w:rPr>
              <w:alias w:val="公司开发项目支出明细"/>
              <w:tag w:val="_GBC_12a9b93b72934528bfa3c11027367082"/>
              <w:id w:val="1183624590"/>
              <w:lock w:val="sdtLocked"/>
            </w:sdtPr>
            <w:sdtContent>
              <w:tr w:rsidR="001F52E1" w:rsidTr="00B637B2">
                <w:tc>
                  <w:tcPr>
                    <w:tcW w:w="641" w:type="pct"/>
                    <w:tcBorders>
                      <w:top w:val="single" w:sz="4" w:space="0" w:color="auto"/>
                      <w:left w:val="single" w:sz="4" w:space="0" w:color="auto"/>
                      <w:bottom w:val="single" w:sz="4" w:space="0" w:color="auto"/>
                      <w:right w:val="single" w:sz="4" w:space="0" w:color="auto"/>
                    </w:tcBorders>
                  </w:tcPr>
                  <w:p w:rsidR="001F52E1" w:rsidRDefault="001F52E1" w:rsidP="005D774F">
                    <w:pPr>
                      <w:rPr>
                        <w:szCs w:val="21"/>
                      </w:rPr>
                    </w:pPr>
                    <w:r>
                      <w:t>餐饮云产品</w:t>
                    </w:r>
                  </w:p>
                </w:tc>
                <w:tc>
                  <w:tcPr>
                    <w:tcW w:w="538" w:type="pct"/>
                    <w:tcBorders>
                      <w:top w:val="single" w:sz="4" w:space="0" w:color="auto"/>
                      <w:left w:val="single" w:sz="4" w:space="0" w:color="auto"/>
                      <w:bottom w:val="single" w:sz="4" w:space="0" w:color="auto"/>
                      <w:right w:val="single" w:sz="4" w:space="0" w:color="auto"/>
                    </w:tcBorders>
                  </w:tcPr>
                  <w:p w:rsidR="001F52E1" w:rsidRPr="00EB427D" w:rsidRDefault="001F52E1" w:rsidP="00B637B2">
                    <w:pPr>
                      <w:jc w:val="right"/>
                    </w:pPr>
                    <w:r w:rsidRPr="00EB427D">
                      <w:t>1,945,592</w:t>
                    </w:r>
                  </w:p>
                </w:tc>
                <w:tc>
                  <w:tcPr>
                    <w:tcW w:w="554" w:type="pct"/>
                    <w:tcBorders>
                      <w:top w:val="single" w:sz="4" w:space="0" w:color="auto"/>
                      <w:left w:val="single" w:sz="4" w:space="0" w:color="auto"/>
                      <w:bottom w:val="single" w:sz="4" w:space="0" w:color="auto"/>
                      <w:right w:val="single" w:sz="4" w:space="0" w:color="auto"/>
                    </w:tcBorders>
                  </w:tcPr>
                  <w:p w:rsidR="001F52E1" w:rsidRDefault="001F52E1" w:rsidP="00B637B2">
                    <w:pPr>
                      <w:jc w:val="right"/>
                      <w:rPr>
                        <w:szCs w:val="21"/>
                      </w:rPr>
                    </w:pPr>
                    <w:r>
                      <w:t>5,105,319</w:t>
                    </w:r>
                  </w:p>
                </w:tc>
                <w:tc>
                  <w:tcPr>
                    <w:tcW w:w="530" w:type="pct"/>
                    <w:tcBorders>
                      <w:top w:val="single" w:sz="4" w:space="0" w:color="auto"/>
                      <w:left w:val="single" w:sz="4" w:space="0" w:color="auto"/>
                      <w:bottom w:val="single" w:sz="4" w:space="0" w:color="auto"/>
                      <w:right w:val="single" w:sz="4" w:space="0" w:color="auto"/>
                    </w:tcBorders>
                  </w:tcPr>
                  <w:p w:rsidR="001F52E1" w:rsidRDefault="001F52E1" w:rsidP="00B637B2">
                    <w:pPr>
                      <w:jc w:val="right"/>
                      <w:rPr>
                        <w:szCs w:val="21"/>
                      </w:rPr>
                    </w:pPr>
                  </w:p>
                </w:tc>
                <w:tc>
                  <w:tcPr>
                    <w:tcW w:w="541" w:type="pct"/>
                    <w:tcBorders>
                      <w:top w:val="single" w:sz="4" w:space="0" w:color="auto"/>
                      <w:left w:val="single" w:sz="4" w:space="0" w:color="auto"/>
                      <w:bottom w:val="single" w:sz="4" w:space="0" w:color="auto"/>
                      <w:right w:val="single" w:sz="4" w:space="0" w:color="auto"/>
                    </w:tcBorders>
                  </w:tcPr>
                  <w:p w:rsidR="001F52E1" w:rsidRDefault="001F52E1" w:rsidP="00B637B2">
                    <w:pPr>
                      <w:jc w:val="right"/>
                      <w:rPr>
                        <w:szCs w:val="21"/>
                      </w:rPr>
                    </w:pPr>
                  </w:p>
                </w:tc>
                <w:tc>
                  <w:tcPr>
                    <w:tcW w:w="561" w:type="pct"/>
                    <w:tcBorders>
                      <w:top w:val="single" w:sz="4" w:space="0" w:color="auto"/>
                      <w:left w:val="single" w:sz="4" w:space="0" w:color="auto"/>
                      <w:bottom w:val="single" w:sz="4" w:space="0" w:color="auto"/>
                      <w:right w:val="single" w:sz="4" w:space="0" w:color="auto"/>
                    </w:tcBorders>
                  </w:tcPr>
                  <w:p w:rsidR="001F52E1" w:rsidRDefault="001F52E1" w:rsidP="00B637B2">
                    <w:pPr>
                      <w:jc w:val="right"/>
                      <w:rPr>
                        <w:szCs w:val="21"/>
                      </w:rPr>
                    </w:pPr>
                  </w:p>
                </w:tc>
                <w:tc>
                  <w:tcPr>
                    <w:tcW w:w="561" w:type="pct"/>
                    <w:tcBorders>
                      <w:top w:val="single" w:sz="4" w:space="0" w:color="auto"/>
                      <w:left w:val="single" w:sz="4" w:space="0" w:color="auto"/>
                      <w:bottom w:val="single" w:sz="4" w:space="0" w:color="auto"/>
                      <w:right w:val="single" w:sz="4" w:space="0" w:color="auto"/>
                    </w:tcBorders>
                  </w:tcPr>
                  <w:p w:rsidR="001F52E1" w:rsidRDefault="001F52E1" w:rsidP="00B637B2">
                    <w:pPr>
                      <w:jc w:val="right"/>
                      <w:rPr>
                        <w:szCs w:val="21"/>
                      </w:rPr>
                    </w:pPr>
                  </w:p>
                </w:tc>
                <w:tc>
                  <w:tcPr>
                    <w:tcW w:w="528" w:type="pct"/>
                    <w:tcBorders>
                      <w:top w:val="single" w:sz="4" w:space="0" w:color="auto"/>
                      <w:left w:val="single" w:sz="4" w:space="0" w:color="auto"/>
                      <w:bottom w:val="single" w:sz="4" w:space="0" w:color="auto"/>
                      <w:right w:val="single" w:sz="4" w:space="0" w:color="auto"/>
                    </w:tcBorders>
                  </w:tcPr>
                  <w:p w:rsidR="001F52E1" w:rsidRDefault="001F52E1" w:rsidP="00B637B2">
                    <w:pPr>
                      <w:jc w:val="right"/>
                      <w:rPr>
                        <w:szCs w:val="21"/>
                      </w:rPr>
                    </w:pPr>
                  </w:p>
                </w:tc>
                <w:tc>
                  <w:tcPr>
                    <w:tcW w:w="546" w:type="pct"/>
                    <w:tcBorders>
                      <w:top w:val="single" w:sz="4" w:space="0" w:color="auto"/>
                      <w:left w:val="single" w:sz="4" w:space="0" w:color="auto"/>
                      <w:bottom w:val="single" w:sz="4" w:space="0" w:color="auto"/>
                      <w:right w:val="single" w:sz="4" w:space="0" w:color="auto"/>
                    </w:tcBorders>
                  </w:tcPr>
                  <w:p w:rsidR="001F52E1" w:rsidRDefault="005D774F" w:rsidP="00B637B2">
                    <w:pPr>
                      <w:jc w:val="right"/>
                      <w:rPr>
                        <w:szCs w:val="21"/>
                      </w:rPr>
                    </w:pPr>
                    <w:r w:rsidRPr="005D774F">
                      <w:rPr>
                        <w:szCs w:val="21"/>
                      </w:rPr>
                      <w:t>7,050,911</w:t>
                    </w:r>
                  </w:p>
                </w:tc>
              </w:tr>
            </w:sdtContent>
          </w:sdt>
          <w:sdt>
            <w:sdtPr>
              <w:rPr>
                <w:rFonts w:asciiTheme="minorHAnsi" w:eastAsiaTheme="minorEastAsia" w:hAnsiTheme="minorHAnsi" w:cstheme="minorBidi" w:hint="eastAsia"/>
                <w:kern w:val="2"/>
                <w:szCs w:val="21"/>
              </w:rPr>
              <w:alias w:val="公司开发项目支出明细"/>
              <w:tag w:val="_GBC_12a9b93b72934528bfa3c11027367082"/>
              <w:id w:val="2031672112"/>
              <w:lock w:val="sdtLocked"/>
            </w:sdtPr>
            <w:sdtContent>
              <w:tr w:rsidR="001F52E1" w:rsidTr="00B637B2">
                <w:tc>
                  <w:tcPr>
                    <w:tcW w:w="641" w:type="pct"/>
                    <w:tcBorders>
                      <w:top w:val="single" w:sz="4" w:space="0" w:color="auto"/>
                      <w:left w:val="single" w:sz="4" w:space="0" w:color="auto"/>
                      <w:bottom w:val="single" w:sz="4" w:space="0" w:color="auto"/>
                      <w:right w:val="single" w:sz="4" w:space="0" w:color="auto"/>
                    </w:tcBorders>
                  </w:tcPr>
                  <w:p w:rsidR="001F52E1" w:rsidRDefault="001F52E1" w:rsidP="005D774F">
                    <w:pPr>
                      <w:rPr>
                        <w:szCs w:val="21"/>
                      </w:rPr>
                    </w:pPr>
                    <w:proofErr w:type="spellStart"/>
                    <w:r>
                      <w:t>YonSuite</w:t>
                    </w:r>
                    <w:proofErr w:type="spellEnd"/>
                  </w:p>
                </w:tc>
                <w:tc>
                  <w:tcPr>
                    <w:tcW w:w="538" w:type="pct"/>
                    <w:tcBorders>
                      <w:top w:val="single" w:sz="4" w:space="0" w:color="auto"/>
                      <w:left w:val="single" w:sz="4" w:space="0" w:color="auto"/>
                      <w:bottom w:val="single" w:sz="4" w:space="0" w:color="auto"/>
                      <w:right w:val="single" w:sz="4" w:space="0" w:color="auto"/>
                    </w:tcBorders>
                  </w:tcPr>
                  <w:p w:rsidR="001F52E1" w:rsidRDefault="008F04CF" w:rsidP="00B637B2">
                    <w:pPr>
                      <w:jc w:val="right"/>
                    </w:pPr>
                    <w:r>
                      <w:t xml:space="preserve">      </w:t>
                    </w:r>
                    <w:r>
                      <w:rPr>
                        <w:rFonts w:hint="eastAsia"/>
                      </w:rPr>
                      <w:t>-</w:t>
                    </w:r>
                  </w:p>
                </w:tc>
                <w:tc>
                  <w:tcPr>
                    <w:tcW w:w="554" w:type="pct"/>
                    <w:tcBorders>
                      <w:top w:val="single" w:sz="4" w:space="0" w:color="auto"/>
                      <w:left w:val="single" w:sz="4" w:space="0" w:color="auto"/>
                      <w:bottom w:val="single" w:sz="4" w:space="0" w:color="auto"/>
                      <w:right w:val="single" w:sz="4" w:space="0" w:color="auto"/>
                    </w:tcBorders>
                  </w:tcPr>
                  <w:p w:rsidR="001F52E1" w:rsidRDefault="001F52E1" w:rsidP="00B637B2">
                    <w:pPr>
                      <w:jc w:val="right"/>
                      <w:rPr>
                        <w:szCs w:val="21"/>
                      </w:rPr>
                    </w:pPr>
                    <w:r>
                      <w:t>10,093,002</w:t>
                    </w:r>
                  </w:p>
                </w:tc>
                <w:tc>
                  <w:tcPr>
                    <w:tcW w:w="530" w:type="pct"/>
                    <w:tcBorders>
                      <w:top w:val="single" w:sz="4" w:space="0" w:color="auto"/>
                      <w:left w:val="single" w:sz="4" w:space="0" w:color="auto"/>
                      <w:bottom w:val="single" w:sz="4" w:space="0" w:color="auto"/>
                      <w:right w:val="single" w:sz="4" w:space="0" w:color="auto"/>
                    </w:tcBorders>
                  </w:tcPr>
                  <w:p w:rsidR="001F52E1" w:rsidRDefault="001F52E1" w:rsidP="00B637B2">
                    <w:pPr>
                      <w:jc w:val="right"/>
                      <w:rPr>
                        <w:szCs w:val="21"/>
                      </w:rPr>
                    </w:pPr>
                  </w:p>
                </w:tc>
                <w:tc>
                  <w:tcPr>
                    <w:tcW w:w="541" w:type="pct"/>
                    <w:tcBorders>
                      <w:top w:val="single" w:sz="4" w:space="0" w:color="auto"/>
                      <w:left w:val="single" w:sz="4" w:space="0" w:color="auto"/>
                      <w:bottom w:val="single" w:sz="4" w:space="0" w:color="auto"/>
                      <w:right w:val="single" w:sz="4" w:space="0" w:color="auto"/>
                    </w:tcBorders>
                  </w:tcPr>
                  <w:p w:rsidR="001F52E1" w:rsidRDefault="001F52E1" w:rsidP="00B637B2">
                    <w:pPr>
                      <w:jc w:val="right"/>
                      <w:rPr>
                        <w:szCs w:val="21"/>
                      </w:rPr>
                    </w:pPr>
                  </w:p>
                </w:tc>
                <w:tc>
                  <w:tcPr>
                    <w:tcW w:w="561" w:type="pct"/>
                    <w:tcBorders>
                      <w:top w:val="single" w:sz="4" w:space="0" w:color="auto"/>
                      <w:left w:val="single" w:sz="4" w:space="0" w:color="auto"/>
                      <w:bottom w:val="single" w:sz="4" w:space="0" w:color="auto"/>
                      <w:right w:val="single" w:sz="4" w:space="0" w:color="auto"/>
                    </w:tcBorders>
                  </w:tcPr>
                  <w:p w:rsidR="001F52E1" w:rsidRDefault="001F52E1" w:rsidP="00B637B2">
                    <w:pPr>
                      <w:jc w:val="right"/>
                      <w:rPr>
                        <w:szCs w:val="21"/>
                      </w:rPr>
                    </w:pPr>
                  </w:p>
                </w:tc>
                <w:tc>
                  <w:tcPr>
                    <w:tcW w:w="561" w:type="pct"/>
                    <w:tcBorders>
                      <w:top w:val="single" w:sz="4" w:space="0" w:color="auto"/>
                      <w:left w:val="single" w:sz="4" w:space="0" w:color="auto"/>
                      <w:bottom w:val="single" w:sz="4" w:space="0" w:color="auto"/>
                      <w:right w:val="single" w:sz="4" w:space="0" w:color="auto"/>
                    </w:tcBorders>
                  </w:tcPr>
                  <w:p w:rsidR="001F52E1" w:rsidRDefault="001F52E1" w:rsidP="00B637B2">
                    <w:pPr>
                      <w:jc w:val="right"/>
                      <w:rPr>
                        <w:szCs w:val="21"/>
                      </w:rPr>
                    </w:pPr>
                  </w:p>
                </w:tc>
                <w:tc>
                  <w:tcPr>
                    <w:tcW w:w="528" w:type="pct"/>
                    <w:tcBorders>
                      <w:top w:val="single" w:sz="4" w:space="0" w:color="auto"/>
                      <w:left w:val="single" w:sz="4" w:space="0" w:color="auto"/>
                      <w:bottom w:val="single" w:sz="4" w:space="0" w:color="auto"/>
                      <w:right w:val="single" w:sz="4" w:space="0" w:color="auto"/>
                    </w:tcBorders>
                  </w:tcPr>
                  <w:p w:rsidR="001F52E1" w:rsidRDefault="001F52E1" w:rsidP="00B637B2">
                    <w:pPr>
                      <w:jc w:val="right"/>
                      <w:rPr>
                        <w:szCs w:val="21"/>
                      </w:rPr>
                    </w:pPr>
                  </w:p>
                </w:tc>
                <w:tc>
                  <w:tcPr>
                    <w:tcW w:w="546" w:type="pct"/>
                    <w:tcBorders>
                      <w:top w:val="single" w:sz="4" w:space="0" w:color="auto"/>
                      <w:left w:val="single" w:sz="4" w:space="0" w:color="auto"/>
                      <w:bottom w:val="single" w:sz="4" w:space="0" w:color="auto"/>
                      <w:right w:val="single" w:sz="4" w:space="0" w:color="auto"/>
                    </w:tcBorders>
                  </w:tcPr>
                  <w:p w:rsidR="001F52E1" w:rsidRDefault="005D774F" w:rsidP="00B637B2">
                    <w:pPr>
                      <w:jc w:val="right"/>
                      <w:rPr>
                        <w:szCs w:val="21"/>
                      </w:rPr>
                    </w:pPr>
                    <w:r w:rsidRPr="005D774F">
                      <w:rPr>
                        <w:szCs w:val="21"/>
                      </w:rPr>
                      <w:t>10,093,002</w:t>
                    </w:r>
                  </w:p>
                </w:tc>
              </w:tr>
            </w:sdtContent>
          </w:sdt>
          <w:tr w:rsidR="001F52E1" w:rsidTr="00B637B2">
            <w:sdt>
              <w:sdtPr>
                <w:tag w:val="_PLD_b7de6b17dda7496b8f95850a42d021b9"/>
                <w:id w:val="554124746"/>
                <w:lock w:val="sdtLocked"/>
              </w:sdtPr>
              <w:sdtContent>
                <w:tc>
                  <w:tcPr>
                    <w:tcW w:w="641" w:type="pct"/>
                    <w:tcBorders>
                      <w:top w:val="single" w:sz="4" w:space="0" w:color="auto"/>
                      <w:left w:val="single" w:sz="4" w:space="0" w:color="auto"/>
                      <w:bottom w:val="single" w:sz="4" w:space="0" w:color="auto"/>
                      <w:right w:val="single" w:sz="4" w:space="0" w:color="auto"/>
                    </w:tcBorders>
                    <w:vAlign w:val="center"/>
                  </w:tcPr>
                  <w:p w:rsidR="001F52E1" w:rsidRDefault="001F52E1" w:rsidP="005D774F">
                    <w:pPr>
                      <w:jc w:val="center"/>
                      <w:rPr>
                        <w:szCs w:val="21"/>
                      </w:rPr>
                    </w:pPr>
                    <w:r>
                      <w:rPr>
                        <w:rFonts w:hint="eastAsia"/>
                        <w:szCs w:val="21"/>
                      </w:rPr>
                      <w:t>合计</w:t>
                    </w:r>
                  </w:p>
                </w:tc>
              </w:sdtContent>
            </w:sdt>
            <w:tc>
              <w:tcPr>
                <w:tcW w:w="538" w:type="pct"/>
                <w:tcBorders>
                  <w:top w:val="single" w:sz="4" w:space="0" w:color="auto"/>
                  <w:left w:val="single" w:sz="4" w:space="0" w:color="auto"/>
                  <w:bottom w:val="single" w:sz="4" w:space="0" w:color="auto"/>
                  <w:right w:val="single" w:sz="4" w:space="0" w:color="auto"/>
                </w:tcBorders>
              </w:tcPr>
              <w:p w:rsidR="001F52E1" w:rsidRDefault="008F04CF" w:rsidP="00B637B2">
                <w:pPr>
                  <w:jc w:val="right"/>
                  <w:rPr>
                    <w:szCs w:val="21"/>
                  </w:rPr>
                </w:pPr>
                <w:r>
                  <w:rPr>
                    <w:szCs w:val="21"/>
                  </w:rPr>
                  <w:t>41,091,121</w:t>
                </w:r>
              </w:p>
            </w:tc>
            <w:tc>
              <w:tcPr>
                <w:tcW w:w="554" w:type="pct"/>
                <w:tcBorders>
                  <w:top w:val="single" w:sz="4" w:space="0" w:color="auto"/>
                  <w:left w:val="single" w:sz="4" w:space="0" w:color="auto"/>
                  <w:bottom w:val="single" w:sz="4" w:space="0" w:color="auto"/>
                  <w:right w:val="single" w:sz="4" w:space="0" w:color="auto"/>
                </w:tcBorders>
              </w:tcPr>
              <w:p w:rsidR="001F52E1" w:rsidRDefault="008F04CF" w:rsidP="00B637B2">
                <w:pPr>
                  <w:jc w:val="right"/>
                  <w:rPr>
                    <w:szCs w:val="21"/>
                  </w:rPr>
                </w:pPr>
                <w:r>
                  <w:rPr>
                    <w:szCs w:val="21"/>
                  </w:rPr>
                  <w:t>16,497,637</w:t>
                </w:r>
              </w:p>
            </w:tc>
            <w:tc>
              <w:tcPr>
                <w:tcW w:w="530" w:type="pct"/>
                <w:tcBorders>
                  <w:top w:val="single" w:sz="4" w:space="0" w:color="auto"/>
                  <w:left w:val="single" w:sz="4" w:space="0" w:color="auto"/>
                  <w:bottom w:val="single" w:sz="4" w:space="0" w:color="auto"/>
                  <w:right w:val="single" w:sz="4" w:space="0" w:color="auto"/>
                </w:tcBorders>
              </w:tcPr>
              <w:p w:rsidR="001F52E1" w:rsidRDefault="001F52E1" w:rsidP="00B637B2">
                <w:pPr>
                  <w:jc w:val="right"/>
                  <w:rPr>
                    <w:szCs w:val="21"/>
                  </w:rPr>
                </w:pPr>
              </w:p>
            </w:tc>
            <w:tc>
              <w:tcPr>
                <w:tcW w:w="541" w:type="pct"/>
                <w:tcBorders>
                  <w:top w:val="single" w:sz="4" w:space="0" w:color="auto"/>
                  <w:left w:val="single" w:sz="4" w:space="0" w:color="auto"/>
                  <w:bottom w:val="single" w:sz="4" w:space="0" w:color="auto"/>
                  <w:right w:val="single" w:sz="4" w:space="0" w:color="auto"/>
                </w:tcBorders>
              </w:tcPr>
              <w:p w:rsidR="001F52E1" w:rsidRDefault="001F52E1" w:rsidP="00B637B2">
                <w:pPr>
                  <w:jc w:val="right"/>
                  <w:rPr>
                    <w:szCs w:val="21"/>
                  </w:rPr>
                </w:pPr>
              </w:p>
            </w:tc>
            <w:tc>
              <w:tcPr>
                <w:tcW w:w="561" w:type="pct"/>
                <w:tcBorders>
                  <w:top w:val="single" w:sz="4" w:space="0" w:color="auto"/>
                  <w:left w:val="single" w:sz="4" w:space="0" w:color="auto"/>
                  <w:bottom w:val="single" w:sz="4" w:space="0" w:color="auto"/>
                  <w:right w:val="single" w:sz="4" w:space="0" w:color="auto"/>
                </w:tcBorders>
              </w:tcPr>
              <w:p w:rsidR="001F52E1" w:rsidRDefault="008F04CF" w:rsidP="00B637B2">
                <w:pPr>
                  <w:jc w:val="right"/>
                  <w:rPr>
                    <w:szCs w:val="21"/>
                  </w:rPr>
                </w:pPr>
                <w:r>
                  <w:rPr>
                    <w:szCs w:val="21"/>
                  </w:rPr>
                  <w:t>17,398,406</w:t>
                </w:r>
              </w:p>
            </w:tc>
            <w:tc>
              <w:tcPr>
                <w:tcW w:w="561" w:type="pct"/>
                <w:tcBorders>
                  <w:top w:val="single" w:sz="4" w:space="0" w:color="auto"/>
                  <w:left w:val="single" w:sz="4" w:space="0" w:color="auto"/>
                  <w:bottom w:val="single" w:sz="4" w:space="0" w:color="auto"/>
                  <w:right w:val="single" w:sz="4" w:space="0" w:color="auto"/>
                </w:tcBorders>
              </w:tcPr>
              <w:p w:rsidR="001F52E1" w:rsidRDefault="001F52E1" w:rsidP="00B637B2">
                <w:pPr>
                  <w:jc w:val="right"/>
                  <w:rPr>
                    <w:szCs w:val="21"/>
                  </w:rPr>
                </w:pPr>
              </w:p>
            </w:tc>
            <w:tc>
              <w:tcPr>
                <w:tcW w:w="528" w:type="pct"/>
                <w:tcBorders>
                  <w:top w:val="single" w:sz="4" w:space="0" w:color="auto"/>
                  <w:left w:val="single" w:sz="4" w:space="0" w:color="auto"/>
                  <w:bottom w:val="single" w:sz="4" w:space="0" w:color="auto"/>
                  <w:right w:val="single" w:sz="4" w:space="0" w:color="auto"/>
                </w:tcBorders>
              </w:tcPr>
              <w:p w:rsidR="001F52E1" w:rsidRDefault="001F52E1" w:rsidP="00B637B2">
                <w:pPr>
                  <w:jc w:val="right"/>
                  <w:rPr>
                    <w:szCs w:val="21"/>
                  </w:rPr>
                </w:pPr>
              </w:p>
            </w:tc>
            <w:tc>
              <w:tcPr>
                <w:tcW w:w="546" w:type="pct"/>
                <w:tcBorders>
                  <w:top w:val="single" w:sz="4" w:space="0" w:color="auto"/>
                  <w:left w:val="single" w:sz="4" w:space="0" w:color="auto"/>
                  <w:bottom w:val="single" w:sz="4" w:space="0" w:color="auto"/>
                  <w:right w:val="single" w:sz="4" w:space="0" w:color="auto"/>
                </w:tcBorders>
              </w:tcPr>
              <w:p w:rsidR="001F52E1" w:rsidRDefault="005D774F" w:rsidP="00B637B2">
                <w:pPr>
                  <w:jc w:val="right"/>
                  <w:rPr>
                    <w:szCs w:val="21"/>
                  </w:rPr>
                </w:pPr>
                <w:r w:rsidRPr="005D774F">
                  <w:rPr>
                    <w:szCs w:val="21"/>
                  </w:rPr>
                  <w:t>40,190,352</w:t>
                </w:r>
              </w:p>
            </w:tc>
          </w:tr>
        </w:tbl>
        <w:p w:rsidR="001F52E1" w:rsidRDefault="001F52E1"/>
        <w:p w:rsidR="00ED2DC7" w:rsidRDefault="00ED2DC7">
          <w:pPr>
            <w:snapToGrid w:val="0"/>
            <w:spacing w:line="240" w:lineRule="atLeast"/>
            <w:rPr>
              <w:szCs w:val="21"/>
            </w:rPr>
          </w:pPr>
          <w:r>
            <w:rPr>
              <w:rFonts w:hint="eastAsia"/>
              <w:szCs w:val="21"/>
            </w:rPr>
            <w:t>其他说明：</w:t>
          </w:r>
        </w:p>
        <w:sdt>
          <w:sdtPr>
            <w:rPr>
              <w:rFonts w:hint="eastAsia"/>
              <w:szCs w:val="21"/>
            </w:rPr>
            <w:alias w:val="公司内部研究开发项目的说明"/>
            <w:tag w:val="_GBC_796df64279a041b78d7ceed29a190cbe"/>
            <w:id w:val="-1745719140"/>
            <w:lock w:val="sdtLocked"/>
            <w:placeholder>
              <w:docPart w:val="GBC22222222222222222222222222222"/>
            </w:placeholder>
          </w:sdtPr>
          <w:sdtContent>
            <w:p w:rsidR="00ED2DC7" w:rsidRDefault="005D774F">
              <w:pPr>
                <w:snapToGrid w:val="0"/>
                <w:spacing w:line="240" w:lineRule="atLeast"/>
                <w:rPr>
                  <w:szCs w:val="21"/>
                </w:rPr>
              </w:pPr>
              <w:r>
                <w:rPr>
                  <w:rFonts w:hint="eastAsia"/>
                  <w:szCs w:val="21"/>
                </w:rPr>
                <w:t>无。</w:t>
              </w:r>
            </w:p>
          </w:sdtContent>
        </w:sdt>
      </w:sdtContent>
    </w:sdt>
    <w:p w:rsidR="00ED2DC7" w:rsidRDefault="00ED2DC7">
      <w:pPr>
        <w:snapToGrid w:val="0"/>
        <w:spacing w:line="240" w:lineRule="atLeast"/>
        <w:rPr>
          <w:szCs w:val="21"/>
        </w:rPr>
      </w:pPr>
    </w:p>
    <w:p w:rsidR="00ED2DC7" w:rsidRDefault="00ED2DC7" w:rsidP="00036BDC">
      <w:pPr>
        <w:pStyle w:val="affffffffffffffffff1"/>
        <w:numPr>
          <w:ilvl w:val="0"/>
          <w:numId w:val="49"/>
        </w:numPr>
        <w:tabs>
          <w:tab w:val="left" w:pos="504"/>
        </w:tabs>
        <w:rPr>
          <w:rFonts w:ascii="宋体" w:hAnsi="宋体"/>
          <w:szCs w:val="21"/>
        </w:rPr>
      </w:pPr>
      <w:r>
        <w:rPr>
          <w:rFonts w:ascii="宋体" w:hAnsi="宋体" w:hint="eastAsia"/>
          <w:szCs w:val="21"/>
        </w:rPr>
        <w:t>商誉</w:t>
      </w:r>
    </w:p>
    <w:sdt>
      <w:sdtPr>
        <w:rPr>
          <w:rFonts w:ascii="宋体" w:hAnsi="宋体" w:cs="宋体" w:hint="eastAsia"/>
          <w:b w:val="0"/>
          <w:bCs w:val="0"/>
          <w:kern w:val="0"/>
          <w:szCs w:val="24"/>
        </w:rPr>
        <w:alias w:val="模块:商誉账面原值"/>
        <w:tag w:val="_SEC_0d13253f4b004ecdaea8960cfb92cf26"/>
        <w:id w:val="-59097282"/>
        <w:lock w:val="sdtLocked"/>
        <w:placeholder>
          <w:docPart w:val="GBC22222222222222222222222222222"/>
        </w:placeholder>
      </w:sdtPr>
      <w:sdtContent>
        <w:p w:rsidR="00ED2DC7" w:rsidRDefault="00ED2DC7" w:rsidP="00036BDC">
          <w:pPr>
            <w:pStyle w:val="affffffffffffffffff2"/>
            <w:numPr>
              <w:ilvl w:val="0"/>
              <w:numId w:val="66"/>
            </w:numPr>
            <w:tabs>
              <w:tab w:val="left" w:pos="588"/>
            </w:tabs>
          </w:pPr>
          <w:r>
            <w:rPr>
              <w:rFonts w:hint="eastAsia"/>
            </w:rPr>
            <w:t>商誉账面原值</w:t>
          </w:r>
        </w:p>
        <w:sdt>
          <w:sdtPr>
            <w:alias w:val="是否适用：商誉账面原值[双击切换]"/>
            <w:tag w:val="_GBC_e2a869d440cf4b7f9f592f3e22cea85d"/>
            <w:id w:val="359780689"/>
            <w:lock w:val="sdtContentLocked"/>
            <w:placeholder>
              <w:docPart w:val="GBC22222222222222222222222222222"/>
            </w:placeholder>
          </w:sdtPr>
          <w:sdtContent>
            <w:p w:rsidR="00ED2DC7" w:rsidRDefault="00ED2DC7">
              <w:r>
                <w:fldChar w:fldCharType="begin"/>
              </w:r>
              <w:r w:rsidR="00392D33">
                <w:instrText xml:space="preserve"> MACROBUTTON  SnrToggleCheckbox √适用 </w:instrText>
              </w:r>
              <w:r>
                <w:fldChar w:fldCharType="end"/>
              </w:r>
              <w:r>
                <w:fldChar w:fldCharType="begin"/>
              </w:r>
              <w:r w:rsidR="00392D33">
                <w:instrText xml:space="preserve"> MACROBUTTON  SnrToggleCheckbox □不适用 </w:instrText>
              </w:r>
              <w:r>
                <w:fldChar w:fldCharType="end"/>
              </w:r>
            </w:p>
          </w:sdtContent>
        </w:sdt>
        <w:p w:rsidR="005D774F" w:rsidRDefault="00ED2DC7">
          <w:pPr>
            <w:jc w:val="right"/>
            <w:rPr>
              <w:szCs w:val="21"/>
            </w:rPr>
          </w:pPr>
          <w:r>
            <w:rPr>
              <w:rFonts w:hint="eastAsia"/>
              <w:szCs w:val="21"/>
            </w:rPr>
            <w:t>单位：</w:t>
          </w:r>
          <w:sdt>
            <w:sdtPr>
              <w:rPr>
                <w:rFonts w:hint="eastAsia"/>
                <w:szCs w:val="21"/>
              </w:rPr>
              <w:alias w:val="单位：财务附注：商誉"/>
              <w:tag w:val="_GBC_4797b6084eb24fe79f24d181640f3283"/>
              <w:id w:val="-19547816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hint="eastAsia"/>
                  <w:szCs w:val="21"/>
                </w:rPr>
                <w:t>元</w:t>
              </w:r>
            </w:sdtContent>
          </w:sdt>
          <w:r>
            <w:rPr>
              <w:rFonts w:hint="eastAsia"/>
              <w:szCs w:val="21"/>
            </w:rPr>
            <w:t xml:space="preserve">  币种：</w:t>
          </w:r>
          <w:sdt>
            <w:sdtPr>
              <w:rPr>
                <w:rFonts w:hint="eastAsia"/>
                <w:szCs w:val="21"/>
              </w:rPr>
              <w:alias w:val="币种：财务附注：商誉"/>
              <w:tag w:val="_GBC_7cd9149d9bea4da8974b80b14b1c0e44"/>
              <w:id w:val="5186681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szCs w:val="21"/>
                </w:rPr>
                <w:t>人民币</w:t>
              </w:r>
            </w:sdtContent>
          </w:sdt>
        </w:p>
        <w:tbl>
          <w:tblPr>
            <w:tblStyle w:val="g38"/>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7"/>
            <w:gridCol w:w="1653"/>
            <w:gridCol w:w="1135"/>
            <w:gridCol w:w="849"/>
            <w:gridCol w:w="852"/>
            <w:gridCol w:w="709"/>
            <w:gridCol w:w="1738"/>
          </w:tblGrid>
          <w:tr w:rsidR="00656332" w:rsidTr="00B637B2">
            <w:trPr>
              <w:trHeight w:val="284"/>
              <w:jc w:val="center"/>
            </w:trPr>
            <w:sdt>
              <w:sdtPr>
                <w:tag w:val="_PLD_b248be5460bf4bb299c4579815256238"/>
                <w:id w:val="-1945066915"/>
                <w:lock w:val="sdtLocked"/>
              </w:sdtPr>
              <w:sdtContent>
                <w:tc>
                  <w:tcPr>
                    <w:tcW w:w="1069" w:type="pct"/>
                    <w:vMerge w:val="restart"/>
                    <w:shd w:val="clear" w:color="auto" w:fill="auto"/>
                    <w:vAlign w:val="center"/>
                  </w:tcPr>
                  <w:p w:rsidR="00656332" w:rsidRDefault="00656332" w:rsidP="00433709">
                    <w:pPr>
                      <w:autoSpaceDE w:val="0"/>
                      <w:autoSpaceDN w:val="0"/>
                      <w:adjustRightInd w:val="0"/>
                      <w:snapToGrid w:val="0"/>
                      <w:jc w:val="center"/>
                      <w:rPr>
                        <w:szCs w:val="21"/>
                      </w:rPr>
                    </w:pPr>
                    <w:r>
                      <w:rPr>
                        <w:rFonts w:hint="eastAsia"/>
                        <w:szCs w:val="21"/>
                      </w:rPr>
                      <w:t>被投资单位名称或形成商誉的事项</w:t>
                    </w:r>
                  </w:p>
                </w:tc>
              </w:sdtContent>
            </w:sdt>
            <w:sdt>
              <w:sdtPr>
                <w:tag w:val="_PLD_a25f69a57b624da887f74ab27a20ba0b"/>
                <w:id w:val="503243210"/>
                <w:lock w:val="sdtLocked"/>
              </w:sdtPr>
              <w:sdtContent>
                <w:tc>
                  <w:tcPr>
                    <w:tcW w:w="937" w:type="pct"/>
                    <w:vMerge w:val="restart"/>
                    <w:shd w:val="clear" w:color="auto" w:fill="auto"/>
                    <w:vAlign w:val="center"/>
                  </w:tcPr>
                  <w:p w:rsidR="00656332" w:rsidRDefault="00656332" w:rsidP="00433709">
                    <w:pPr>
                      <w:autoSpaceDE w:val="0"/>
                      <w:autoSpaceDN w:val="0"/>
                      <w:adjustRightInd w:val="0"/>
                      <w:snapToGrid w:val="0"/>
                      <w:jc w:val="center"/>
                      <w:rPr>
                        <w:szCs w:val="21"/>
                      </w:rPr>
                    </w:pPr>
                    <w:r>
                      <w:rPr>
                        <w:rFonts w:hint="eastAsia"/>
                        <w:szCs w:val="21"/>
                      </w:rPr>
                      <w:t>期初余额</w:t>
                    </w:r>
                  </w:p>
                </w:tc>
              </w:sdtContent>
            </w:sdt>
            <w:sdt>
              <w:sdtPr>
                <w:tag w:val="_PLD_c348d952dc8b438289897d2014b7d310"/>
                <w:id w:val="1849446127"/>
                <w:lock w:val="sdtLocked"/>
              </w:sdtPr>
              <w:sdtContent>
                <w:tc>
                  <w:tcPr>
                    <w:tcW w:w="1124" w:type="pct"/>
                    <w:gridSpan w:val="2"/>
                    <w:shd w:val="clear" w:color="auto" w:fill="auto"/>
                    <w:vAlign w:val="center"/>
                  </w:tcPr>
                  <w:p w:rsidR="00656332" w:rsidRDefault="00656332" w:rsidP="00433709">
                    <w:pPr>
                      <w:autoSpaceDE w:val="0"/>
                      <w:autoSpaceDN w:val="0"/>
                      <w:adjustRightInd w:val="0"/>
                      <w:snapToGrid w:val="0"/>
                      <w:jc w:val="center"/>
                      <w:rPr>
                        <w:szCs w:val="21"/>
                      </w:rPr>
                    </w:pPr>
                    <w:r>
                      <w:rPr>
                        <w:rFonts w:hint="eastAsia"/>
                        <w:szCs w:val="21"/>
                      </w:rPr>
                      <w:t>本期增加</w:t>
                    </w:r>
                  </w:p>
                </w:tc>
              </w:sdtContent>
            </w:sdt>
            <w:sdt>
              <w:sdtPr>
                <w:tag w:val="_PLD_5560c6ea7650430a8c304ee861d4bc25"/>
                <w:id w:val="1954128536"/>
                <w:lock w:val="sdtLocked"/>
              </w:sdtPr>
              <w:sdtContent>
                <w:tc>
                  <w:tcPr>
                    <w:tcW w:w="885" w:type="pct"/>
                    <w:gridSpan w:val="2"/>
                    <w:shd w:val="clear" w:color="auto" w:fill="auto"/>
                    <w:vAlign w:val="center"/>
                  </w:tcPr>
                  <w:p w:rsidR="00656332" w:rsidRDefault="00656332" w:rsidP="00433709">
                    <w:pPr>
                      <w:autoSpaceDE w:val="0"/>
                      <w:autoSpaceDN w:val="0"/>
                      <w:adjustRightInd w:val="0"/>
                      <w:snapToGrid w:val="0"/>
                      <w:jc w:val="center"/>
                      <w:rPr>
                        <w:szCs w:val="21"/>
                      </w:rPr>
                    </w:pPr>
                    <w:r>
                      <w:rPr>
                        <w:rFonts w:hint="eastAsia"/>
                        <w:szCs w:val="21"/>
                      </w:rPr>
                      <w:t>本期减少</w:t>
                    </w:r>
                  </w:p>
                </w:tc>
              </w:sdtContent>
            </w:sdt>
            <w:sdt>
              <w:sdtPr>
                <w:tag w:val="_PLD_075635973edd4d94a997d2ed78e56d8b"/>
                <w:id w:val="245689067"/>
                <w:lock w:val="sdtLocked"/>
              </w:sdtPr>
              <w:sdtContent>
                <w:tc>
                  <w:tcPr>
                    <w:tcW w:w="985" w:type="pct"/>
                    <w:vMerge w:val="restart"/>
                    <w:shd w:val="clear" w:color="auto" w:fill="auto"/>
                    <w:vAlign w:val="center"/>
                  </w:tcPr>
                  <w:p w:rsidR="00656332" w:rsidRDefault="00656332" w:rsidP="00433709">
                    <w:pPr>
                      <w:autoSpaceDE w:val="0"/>
                      <w:autoSpaceDN w:val="0"/>
                      <w:adjustRightInd w:val="0"/>
                      <w:snapToGrid w:val="0"/>
                      <w:jc w:val="center"/>
                      <w:rPr>
                        <w:szCs w:val="21"/>
                      </w:rPr>
                    </w:pPr>
                    <w:r>
                      <w:rPr>
                        <w:rFonts w:hint="eastAsia"/>
                        <w:szCs w:val="21"/>
                      </w:rPr>
                      <w:t>期末余额</w:t>
                    </w:r>
                  </w:p>
                </w:tc>
              </w:sdtContent>
            </w:sdt>
          </w:tr>
          <w:tr w:rsidR="00B637B2" w:rsidTr="00B637B2">
            <w:trPr>
              <w:trHeight w:val="535"/>
              <w:jc w:val="center"/>
            </w:trPr>
            <w:tc>
              <w:tcPr>
                <w:tcW w:w="1069" w:type="pct"/>
                <w:vMerge/>
                <w:shd w:val="clear" w:color="auto" w:fill="auto"/>
              </w:tcPr>
              <w:p w:rsidR="00656332" w:rsidRDefault="00656332" w:rsidP="00433709">
                <w:pPr>
                  <w:autoSpaceDE w:val="0"/>
                  <w:autoSpaceDN w:val="0"/>
                  <w:adjustRightInd w:val="0"/>
                  <w:snapToGrid w:val="0"/>
                  <w:jc w:val="center"/>
                  <w:rPr>
                    <w:szCs w:val="21"/>
                  </w:rPr>
                </w:pPr>
              </w:p>
            </w:tc>
            <w:tc>
              <w:tcPr>
                <w:tcW w:w="937" w:type="pct"/>
                <w:vMerge/>
                <w:shd w:val="clear" w:color="auto" w:fill="auto"/>
              </w:tcPr>
              <w:p w:rsidR="00656332" w:rsidRDefault="00656332" w:rsidP="00433709">
                <w:pPr>
                  <w:autoSpaceDE w:val="0"/>
                  <w:autoSpaceDN w:val="0"/>
                  <w:adjustRightInd w:val="0"/>
                  <w:snapToGrid w:val="0"/>
                  <w:jc w:val="center"/>
                  <w:rPr>
                    <w:szCs w:val="21"/>
                  </w:rPr>
                </w:pPr>
              </w:p>
            </w:tc>
            <w:sdt>
              <w:sdtPr>
                <w:tag w:val="_PLD_1553ab7e041e4cd0bdd59c30d303dc84"/>
                <w:id w:val="-1829892431"/>
                <w:lock w:val="sdtLocked"/>
              </w:sdtPr>
              <w:sdtContent>
                <w:tc>
                  <w:tcPr>
                    <w:tcW w:w="643" w:type="pct"/>
                    <w:shd w:val="clear" w:color="auto" w:fill="auto"/>
                    <w:vAlign w:val="center"/>
                  </w:tcPr>
                  <w:p w:rsidR="00656332" w:rsidRDefault="00656332" w:rsidP="00433709">
                    <w:pPr>
                      <w:autoSpaceDE w:val="0"/>
                      <w:autoSpaceDN w:val="0"/>
                      <w:adjustRightInd w:val="0"/>
                      <w:snapToGrid w:val="0"/>
                      <w:jc w:val="center"/>
                      <w:rPr>
                        <w:szCs w:val="21"/>
                      </w:rPr>
                    </w:pPr>
                    <w:r>
                      <w:rPr>
                        <w:rFonts w:hint="eastAsia"/>
                        <w:szCs w:val="21"/>
                      </w:rPr>
                      <w:t>企业合并形成的</w:t>
                    </w:r>
                  </w:p>
                </w:tc>
              </w:sdtContent>
            </w:sdt>
            <w:sdt>
              <w:sdtPr>
                <w:rPr>
                  <w:szCs w:val="21"/>
                </w:rPr>
                <w:alias w:val="商誉账面原值本期增加额项目名称"/>
                <w:tag w:val="_GBC_c14b754516e24efd9115d33500cd04df"/>
                <w:id w:val="-1611502428"/>
                <w:lock w:val="sdtLocked"/>
                <w:showingPlcHdr/>
              </w:sdtPr>
              <w:sdtEndPr>
                <w:rPr>
                  <w:rFonts w:hint="eastAsia"/>
                </w:rPr>
              </w:sdtEndPr>
              <w:sdtContent>
                <w:tc>
                  <w:tcPr>
                    <w:tcW w:w="481" w:type="pct"/>
                    <w:shd w:val="clear" w:color="auto" w:fill="auto"/>
                    <w:vAlign w:val="center"/>
                  </w:tcPr>
                  <w:p w:rsidR="00656332" w:rsidRDefault="00656332" w:rsidP="00433709">
                    <w:pPr>
                      <w:autoSpaceDE w:val="0"/>
                      <w:autoSpaceDN w:val="0"/>
                      <w:adjustRightInd w:val="0"/>
                      <w:snapToGrid w:val="0"/>
                      <w:jc w:val="center"/>
                      <w:rPr>
                        <w:szCs w:val="21"/>
                      </w:rPr>
                    </w:pPr>
                    <w:r>
                      <w:rPr>
                        <w:rFonts w:hint="eastAsia"/>
                        <w:szCs w:val="21"/>
                      </w:rPr>
                      <w:t xml:space="preserve">　</w:t>
                    </w:r>
                  </w:p>
                </w:tc>
              </w:sdtContent>
            </w:sdt>
            <w:sdt>
              <w:sdtPr>
                <w:tag w:val="_PLD_52f6eef41a0247f195c94af6823a4b67"/>
                <w:id w:val="655115774"/>
                <w:lock w:val="sdtLocked"/>
              </w:sdtPr>
              <w:sdtContent>
                <w:tc>
                  <w:tcPr>
                    <w:tcW w:w="483" w:type="pct"/>
                    <w:shd w:val="clear" w:color="auto" w:fill="auto"/>
                    <w:vAlign w:val="center"/>
                  </w:tcPr>
                  <w:p w:rsidR="00656332" w:rsidRDefault="00656332" w:rsidP="00433709">
                    <w:pPr>
                      <w:autoSpaceDE w:val="0"/>
                      <w:autoSpaceDN w:val="0"/>
                      <w:adjustRightInd w:val="0"/>
                      <w:snapToGrid w:val="0"/>
                      <w:jc w:val="center"/>
                      <w:rPr>
                        <w:szCs w:val="21"/>
                      </w:rPr>
                    </w:pPr>
                    <w:r>
                      <w:rPr>
                        <w:rFonts w:hint="eastAsia"/>
                        <w:szCs w:val="21"/>
                      </w:rPr>
                      <w:t>处置</w:t>
                    </w:r>
                  </w:p>
                </w:tc>
              </w:sdtContent>
            </w:sdt>
            <w:sdt>
              <w:sdtPr>
                <w:rPr>
                  <w:szCs w:val="21"/>
                </w:rPr>
                <w:alias w:val="商誉账面原值本期减少额项目名称"/>
                <w:tag w:val="_GBC_5ba36aaca8144cb8979636970f4c6ae3"/>
                <w:id w:val="-2076114228"/>
                <w:lock w:val="sdtLocked"/>
                <w:showingPlcHdr/>
              </w:sdtPr>
              <w:sdtEndPr>
                <w:rPr>
                  <w:rFonts w:hint="eastAsia"/>
                </w:rPr>
              </w:sdtEndPr>
              <w:sdtContent>
                <w:tc>
                  <w:tcPr>
                    <w:tcW w:w="402" w:type="pct"/>
                    <w:shd w:val="clear" w:color="auto" w:fill="auto"/>
                    <w:vAlign w:val="center"/>
                  </w:tcPr>
                  <w:p w:rsidR="00656332" w:rsidRDefault="00656332" w:rsidP="00433709">
                    <w:pPr>
                      <w:autoSpaceDE w:val="0"/>
                      <w:autoSpaceDN w:val="0"/>
                      <w:adjustRightInd w:val="0"/>
                      <w:snapToGrid w:val="0"/>
                      <w:jc w:val="center"/>
                      <w:rPr>
                        <w:szCs w:val="21"/>
                      </w:rPr>
                    </w:pPr>
                    <w:r>
                      <w:rPr>
                        <w:rFonts w:hint="eastAsia"/>
                        <w:szCs w:val="21"/>
                      </w:rPr>
                      <w:t xml:space="preserve">　</w:t>
                    </w:r>
                  </w:p>
                </w:tc>
              </w:sdtContent>
            </w:sdt>
            <w:tc>
              <w:tcPr>
                <w:tcW w:w="985" w:type="pct"/>
                <w:vMerge/>
                <w:shd w:val="clear" w:color="auto" w:fill="auto"/>
              </w:tcPr>
              <w:p w:rsidR="00656332" w:rsidRDefault="00656332" w:rsidP="00433709">
                <w:pPr>
                  <w:autoSpaceDE w:val="0"/>
                  <w:autoSpaceDN w:val="0"/>
                  <w:adjustRightInd w:val="0"/>
                  <w:snapToGrid w:val="0"/>
                  <w:jc w:val="center"/>
                  <w:rPr>
                    <w:szCs w:val="21"/>
                  </w:rPr>
                </w:pPr>
              </w:p>
            </w:tc>
          </w:tr>
          <w:sdt>
            <w:sdtPr>
              <w:rPr>
                <w:rFonts w:cstheme="minorBidi"/>
                <w:kern w:val="2"/>
                <w:szCs w:val="21"/>
              </w:rPr>
              <w:alias w:val="商誉明细"/>
              <w:tag w:val="_GBC_916c5c3712e44d7db6b8c9e16bcf5865"/>
              <w:id w:val="-2080052082"/>
              <w:lock w:val="sdtLocked"/>
            </w:sdtPr>
            <w:sdtEndPr>
              <w:rPr>
                <w:rFonts w:asciiTheme="minorHAnsi" w:eastAsiaTheme="minorEastAsia" w:hAnsiTheme="minorHAnsi"/>
              </w:rPr>
            </w:sdtEndPr>
            <w:sdtContent>
              <w:tr w:rsidR="00B637B2" w:rsidTr="00B637B2">
                <w:trPr>
                  <w:trHeight w:val="338"/>
                  <w:jc w:val="center"/>
                </w:trPr>
                <w:tc>
                  <w:tcPr>
                    <w:tcW w:w="1069" w:type="pct"/>
                    <w:shd w:val="clear" w:color="auto" w:fill="auto"/>
                  </w:tcPr>
                  <w:p w:rsidR="00656332" w:rsidRPr="00471624" w:rsidRDefault="00656332" w:rsidP="00433709">
                    <w:pPr>
                      <w:autoSpaceDE w:val="0"/>
                      <w:autoSpaceDN w:val="0"/>
                      <w:adjustRightInd w:val="0"/>
                      <w:snapToGrid w:val="0"/>
                      <w:rPr>
                        <w:szCs w:val="21"/>
                      </w:rPr>
                    </w:pPr>
                    <w:r w:rsidRPr="00471624">
                      <w:rPr>
                        <w:rFonts w:cs="Arial" w:hint="eastAsia"/>
                        <w:snapToGrid w:val="0"/>
                      </w:rPr>
                      <w:t>用友汽车</w:t>
                    </w:r>
                  </w:p>
                </w:tc>
                <w:tc>
                  <w:tcPr>
                    <w:tcW w:w="937" w:type="pct"/>
                    <w:shd w:val="clear" w:color="auto" w:fill="auto"/>
                    <w:vAlign w:val="center"/>
                  </w:tcPr>
                  <w:p w:rsidR="00656332" w:rsidRPr="006B3219" w:rsidRDefault="00656332" w:rsidP="00B637B2">
                    <w:pPr>
                      <w:jc w:val="right"/>
                    </w:pPr>
                    <w:r w:rsidRPr="006B3219">
                      <w:t>378,396,387</w:t>
                    </w:r>
                  </w:p>
                </w:tc>
                <w:tc>
                  <w:tcPr>
                    <w:tcW w:w="643" w:type="pct"/>
                    <w:shd w:val="clear" w:color="auto" w:fill="auto"/>
                    <w:vAlign w:val="center"/>
                  </w:tcPr>
                  <w:p w:rsidR="00656332" w:rsidRDefault="00656332" w:rsidP="00B637B2">
                    <w:pPr>
                      <w:autoSpaceDE w:val="0"/>
                      <w:autoSpaceDN w:val="0"/>
                      <w:adjustRightInd w:val="0"/>
                      <w:snapToGrid w:val="0"/>
                      <w:jc w:val="right"/>
                      <w:rPr>
                        <w:szCs w:val="21"/>
                      </w:rPr>
                    </w:pPr>
                  </w:p>
                </w:tc>
                <w:tc>
                  <w:tcPr>
                    <w:tcW w:w="481" w:type="pct"/>
                    <w:shd w:val="clear" w:color="auto" w:fill="auto"/>
                    <w:vAlign w:val="center"/>
                  </w:tcPr>
                  <w:p w:rsidR="00656332" w:rsidRDefault="00656332" w:rsidP="00B637B2">
                    <w:pPr>
                      <w:autoSpaceDE w:val="0"/>
                      <w:autoSpaceDN w:val="0"/>
                      <w:adjustRightInd w:val="0"/>
                      <w:snapToGrid w:val="0"/>
                      <w:jc w:val="right"/>
                      <w:rPr>
                        <w:szCs w:val="21"/>
                      </w:rPr>
                    </w:pPr>
                  </w:p>
                </w:tc>
                <w:tc>
                  <w:tcPr>
                    <w:tcW w:w="483" w:type="pct"/>
                    <w:shd w:val="clear" w:color="auto" w:fill="auto"/>
                    <w:vAlign w:val="center"/>
                  </w:tcPr>
                  <w:p w:rsidR="00656332" w:rsidRDefault="00656332" w:rsidP="00B637B2">
                    <w:pPr>
                      <w:autoSpaceDE w:val="0"/>
                      <w:autoSpaceDN w:val="0"/>
                      <w:adjustRightInd w:val="0"/>
                      <w:snapToGrid w:val="0"/>
                      <w:jc w:val="right"/>
                      <w:rPr>
                        <w:szCs w:val="21"/>
                      </w:rPr>
                    </w:pPr>
                  </w:p>
                </w:tc>
                <w:tc>
                  <w:tcPr>
                    <w:tcW w:w="402" w:type="pct"/>
                    <w:shd w:val="clear" w:color="auto" w:fill="auto"/>
                    <w:vAlign w:val="center"/>
                  </w:tcPr>
                  <w:p w:rsidR="00656332" w:rsidRDefault="00656332" w:rsidP="00B637B2">
                    <w:pPr>
                      <w:autoSpaceDE w:val="0"/>
                      <w:autoSpaceDN w:val="0"/>
                      <w:adjustRightInd w:val="0"/>
                      <w:snapToGrid w:val="0"/>
                      <w:jc w:val="right"/>
                      <w:rPr>
                        <w:szCs w:val="21"/>
                      </w:rPr>
                    </w:pPr>
                  </w:p>
                </w:tc>
                <w:tc>
                  <w:tcPr>
                    <w:tcW w:w="985" w:type="pct"/>
                    <w:shd w:val="clear" w:color="auto" w:fill="auto"/>
                    <w:vAlign w:val="center"/>
                  </w:tcPr>
                  <w:p w:rsidR="00656332" w:rsidRDefault="00656332" w:rsidP="00B637B2">
                    <w:pPr>
                      <w:autoSpaceDE w:val="0"/>
                      <w:autoSpaceDN w:val="0"/>
                      <w:adjustRightInd w:val="0"/>
                      <w:snapToGrid w:val="0"/>
                      <w:jc w:val="right"/>
                      <w:rPr>
                        <w:szCs w:val="21"/>
                      </w:rPr>
                    </w:pPr>
                    <w:r>
                      <w:t>378,396,387</w:t>
                    </w:r>
                  </w:p>
                </w:tc>
              </w:tr>
            </w:sdtContent>
          </w:sdt>
          <w:sdt>
            <w:sdtPr>
              <w:rPr>
                <w:rFonts w:cstheme="minorBidi"/>
                <w:kern w:val="2"/>
                <w:szCs w:val="21"/>
              </w:rPr>
              <w:alias w:val="商誉明细"/>
              <w:tag w:val="_GBC_916c5c3712e44d7db6b8c9e16bcf5865"/>
              <w:id w:val="1914656705"/>
              <w:lock w:val="sdtLocked"/>
            </w:sdtPr>
            <w:sdtEndPr>
              <w:rPr>
                <w:rFonts w:asciiTheme="minorHAnsi" w:eastAsiaTheme="minorEastAsia" w:hAnsiTheme="minorHAnsi"/>
              </w:rPr>
            </w:sdtEndPr>
            <w:sdtContent>
              <w:tr w:rsidR="00B637B2" w:rsidTr="00B637B2">
                <w:trPr>
                  <w:trHeight w:val="338"/>
                  <w:jc w:val="center"/>
                </w:trPr>
                <w:tc>
                  <w:tcPr>
                    <w:tcW w:w="1069" w:type="pct"/>
                    <w:shd w:val="clear" w:color="auto" w:fill="auto"/>
                  </w:tcPr>
                  <w:p w:rsidR="00656332" w:rsidRPr="00471624" w:rsidRDefault="00656332" w:rsidP="00433709">
                    <w:pPr>
                      <w:autoSpaceDE w:val="0"/>
                      <w:autoSpaceDN w:val="0"/>
                      <w:adjustRightInd w:val="0"/>
                      <w:snapToGrid w:val="0"/>
                      <w:rPr>
                        <w:szCs w:val="21"/>
                      </w:rPr>
                    </w:pPr>
                    <w:r w:rsidRPr="00471624">
                      <w:rPr>
                        <w:rFonts w:cs="Arial" w:hint="eastAsia"/>
                        <w:snapToGrid w:val="0"/>
                      </w:rPr>
                      <w:t>用友政务</w:t>
                    </w:r>
                  </w:p>
                </w:tc>
                <w:tc>
                  <w:tcPr>
                    <w:tcW w:w="937" w:type="pct"/>
                    <w:shd w:val="clear" w:color="auto" w:fill="auto"/>
                    <w:vAlign w:val="center"/>
                  </w:tcPr>
                  <w:p w:rsidR="00656332" w:rsidRPr="006B3219" w:rsidRDefault="00656332" w:rsidP="00B637B2">
                    <w:pPr>
                      <w:jc w:val="right"/>
                    </w:pPr>
                    <w:r w:rsidRPr="006B3219">
                      <w:t>308,399,874</w:t>
                    </w:r>
                  </w:p>
                </w:tc>
                <w:tc>
                  <w:tcPr>
                    <w:tcW w:w="643" w:type="pct"/>
                    <w:shd w:val="clear" w:color="auto" w:fill="auto"/>
                    <w:vAlign w:val="center"/>
                  </w:tcPr>
                  <w:p w:rsidR="00656332" w:rsidRDefault="00656332" w:rsidP="00B637B2">
                    <w:pPr>
                      <w:autoSpaceDE w:val="0"/>
                      <w:autoSpaceDN w:val="0"/>
                      <w:adjustRightInd w:val="0"/>
                      <w:snapToGrid w:val="0"/>
                      <w:jc w:val="right"/>
                      <w:rPr>
                        <w:szCs w:val="21"/>
                      </w:rPr>
                    </w:pPr>
                  </w:p>
                </w:tc>
                <w:tc>
                  <w:tcPr>
                    <w:tcW w:w="481" w:type="pct"/>
                    <w:shd w:val="clear" w:color="auto" w:fill="auto"/>
                    <w:vAlign w:val="center"/>
                  </w:tcPr>
                  <w:p w:rsidR="00656332" w:rsidRDefault="00656332" w:rsidP="00B637B2">
                    <w:pPr>
                      <w:autoSpaceDE w:val="0"/>
                      <w:autoSpaceDN w:val="0"/>
                      <w:adjustRightInd w:val="0"/>
                      <w:snapToGrid w:val="0"/>
                      <w:jc w:val="right"/>
                      <w:rPr>
                        <w:szCs w:val="21"/>
                      </w:rPr>
                    </w:pPr>
                  </w:p>
                </w:tc>
                <w:tc>
                  <w:tcPr>
                    <w:tcW w:w="483" w:type="pct"/>
                    <w:shd w:val="clear" w:color="auto" w:fill="auto"/>
                    <w:vAlign w:val="center"/>
                  </w:tcPr>
                  <w:p w:rsidR="00656332" w:rsidRDefault="00656332" w:rsidP="00B637B2">
                    <w:pPr>
                      <w:autoSpaceDE w:val="0"/>
                      <w:autoSpaceDN w:val="0"/>
                      <w:adjustRightInd w:val="0"/>
                      <w:snapToGrid w:val="0"/>
                      <w:jc w:val="right"/>
                      <w:rPr>
                        <w:szCs w:val="21"/>
                      </w:rPr>
                    </w:pPr>
                  </w:p>
                </w:tc>
                <w:tc>
                  <w:tcPr>
                    <w:tcW w:w="402" w:type="pct"/>
                    <w:shd w:val="clear" w:color="auto" w:fill="auto"/>
                    <w:vAlign w:val="center"/>
                  </w:tcPr>
                  <w:p w:rsidR="00656332" w:rsidRDefault="00656332" w:rsidP="00B637B2">
                    <w:pPr>
                      <w:autoSpaceDE w:val="0"/>
                      <w:autoSpaceDN w:val="0"/>
                      <w:adjustRightInd w:val="0"/>
                      <w:snapToGrid w:val="0"/>
                      <w:jc w:val="right"/>
                      <w:rPr>
                        <w:szCs w:val="21"/>
                      </w:rPr>
                    </w:pPr>
                  </w:p>
                </w:tc>
                <w:tc>
                  <w:tcPr>
                    <w:tcW w:w="985" w:type="pct"/>
                    <w:shd w:val="clear" w:color="auto" w:fill="auto"/>
                    <w:vAlign w:val="center"/>
                  </w:tcPr>
                  <w:p w:rsidR="00656332" w:rsidRDefault="00656332" w:rsidP="00B637B2">
                    <w:pPr>
                      <w:autoSpaceDE w:val="0"/>
                      <w:autoSpaceDN w:val="0"/>
                      <w:adjustRightInd w:val="0"/>
                      <w:snapToGrid w:val="0"/>
                      <w:jc w:val="right"/>
                      <w:rPr>
                        <w:szCs w:val="21"/>
                      </w:rPr>
                    </w:pPr>
                    <w:r>
                      <w:t>308,399,874</w:t>
                    </w:r>
                  </w:p>
                </w:tc>
              </w:tr>
            </w:sdtContent>
          </w:sdt>
          <w:sdt>
            <w:sdtPr>
              <w:rPr>
                <w:rFonts w:cstheme="minorBidi"/>
                <w:kern w:val="2"/>
                <w:szCs w:val="21"/>
              </w:rPr>
              <w:alias w:val="商誉明细"/>
              <w:tag w:val="_GBC_916c5c3712e44d7db6b8c9e16bcf5865"/>
              <w:id w:val="-673880971"/>
              <w:lock w:val="sdtLocked"/>
            </w:sdtPr>
            <w:sdtEndPr>
              <w:rPr>
                <w:rFonts w:asciiTheme="minorHAnsi" w:eastAsiaTheme="minorEastAsia" w:hAnsiTheme="minorHAnsi"/>
              </w:rPr>
            </w:sdtEndPr>
            <w:sdtContent>
              <w:tr w:rsidR="00B637B2" w:rsidTr="00B637B2">
                <w:trPr>
                  <w:trHeight w:val="338"/>
                  <w:jc w:val="center"/>
                </w:trPr>
                <w:tc>
                  <w:tcPr>
                    <w:tcW w:w="1069" w:type="pct"/>
                    <w:shd w:val="clear" w:color="auto" w:fill="auto"/>
                  </w:tcPr>
                  <w:p w:rsidR="00656332" w:rsidRPr="00471624" w:rsidRDefault="00656332" w:rsidP="00433709">
                    <w:pPr>
                      <w:autoSpaceDE w:val="0"/>
                      <w:autoSpaceDN w:val="0"/>
                      <w:adjustRightInd w:val="0"/>
                      <w:snapToGrid w:val="0"/>
                      <w:rPr>
                        <w:szCs w:val="21"/>
                      </w:rPr>
                    </w:pPr>
                    <w:r w:rsidRPr="00471624">
                      <w:rPr>
                        <w:rFonts w:cs="Arial" w:hint="eastAsia"/>
                        <w:snapToGrid w:val="0"/>
                      </w:rPr>
                      <w:t>秉钧网络</w:t>
                    </w:r>
                  </w:p>
                </w:tc>
                <w:tc>
                  <w:tcPr>
                    <w:tcW w:w="937" w:type="pct"/>
                    <w:shd w:val="clear" w:color="auto" w:fill="auto"/>
                    <w:vAlign w:val="center"/>
                  </w:tcPr>
                  <w:p w:rsidR="00656332" w:rsidRPr="006B3219" w:rsidRDefault="00656332" w:rsidP="00B637B2">
                    <w:pPr>
                      <w:jc w:val="right"/>
                    </w:pPr>
                    <w:r w:rsidRPr="006B3219">
                      <w:t>113,445,152</w:t>
                    </w:r>
                  </w:p>
                </w:tc>
                <w:tc>
                  <w:tcPr>
                    <w:tcW w:w="643" w:type="pct"/>
                    <w:shd w:val="clear" w:color="auto" w:fill="auto"/>
                    <w:vAlign w:val="center"/>
                  </w:tcPr>
                  <w:p w:rsidR="00656332" w:rsidRDefault="00656332" w:rsidP="00B637B2">
                    <w:pPr>
                      <w:autoSpaceDE w:val="0"/>
                      <w:autoSpaceDN w:val="0"/>
                      <w:adjustRightInd w:val="0"/>
                      <w:snapToGrid w:val="0"/>
                      <w:jc w:val="right"/>
                      <w:rPr>
                        <w:szCs w:val="21"/>
                      </w:rPr>
                    </w:pPr>
                  </w:p>
                </w:tc>
                <w:tc>
                  <w:tcPr>
                    <w:tcW w:w="481" w:type="pct"/>
                    <w:shd w:val="clear" w:color="auto" w:fill="auto"/>
                    <w:vAlign w:val="center"/>
                  </w:tcPr>
                  <w:p w:rsidR="00656332" w:rsidRDefault="00656332" w:rsidP="00B637B2">
                    <w:pPr>
                      <w:autoSpaceDE w:val="0"/>
                      <w:autoSpaceDN w:val="0"/>
                      <w:adjustRightInd w:val="0"/>
                      <w:snapToGrid w:val="0"/>
                      <w:jc w:val="right"/>
                      <w:rPr>
                        <w:szCs w:val="21"/>
                      </w:rPr>
                    </w:pPr>
                  </w:p>
                </w:tc>
                <w:tc>
                  <w:tcPr>
                    <w:tcW w:w="483" w:type="pct"/>
                    <w:shd w:val="clear" w:color="auto" w:fill="auto"/>
                    <w:vAlign w:val="center"/>
                  </w:tcPr>
                  <w:p w:rsidR="00656332" w:rsidRDefault="00656332" w:rsidP="00B637B2">
                    <w:pPr>
                      <w:autoSpaceDE w:val="0"/>
                      <w:autoSpaceDN w:val="0"/>
                      <w:adjustRightInd w:val="0"/>
                      <w:snapToGrid w:val="0"/>
                      <w:jc w:val="right"/>
                      <w:rPr>
                        <w:szCs w:val="21"/>
                      </w:rPr>
                    </w:pPr>
                  </w:p>
                </w:tc>
                <w:tc>
                  <w:tcPr>
                    <w:tcW w:w="402" w:type="pct"/>
                    <w:shd w:val="clear" w:color="auto" w:fill="auto"/>
                    <w:vAlign w:val="center"/>
                  </w:tcPr>
                  <w:p w:rsidR="00656332" w:rsidRDefault="00656332" w:rsidP="00B637B2">
                    <w:pPr>
                      <w:autoSpaceDE w:val="0"/>
                      <w:autoSpaceDN w:val="0"/>
                      <w:adjustRightInd w:val="0"/>
                      <w:snapToGrid w:val="0"/>
                      <w:jc w:val="right"/>
                      <w:rPr>
                        <w:szCs w:val="21"/>
                      </w:rPr>
                    </w:pPr>
                  </w:p>
                </w:tc>
                <w:tc>
                  <w:tcPr>
                    <w:tcW w:w="985" w:type="pct"/>
                    <w:shd w:val="clear" w:color="auto" w:fill="auto"/>
                    <w:vAlign w:val="center"/>
                  </w:tcPr>
                  <w:p w:rsidR="00656332" w:rsidRDefault="00656332" w:rsidP="00B637B2">
                    <w:pPr>
                      <w:autoSpaceDE w:val="0"/>
                      <w:autoSpaceDN w:val="0"/>
                      <w:adjustRightInd w:val="0"/>
                      <w:snapToGrid w:val="0"/>
                      <w:jc w:val="right"/>
                      <w:rPr>
                        <w:szCs w:val="21"/>
                      </w:rPr>
                    </w:pPr>
                    <w:r>
                      <w:t>113,445,152</w:t>
                    </w:r>
                  </w:p>
                </w:tc>
              </w:tr>
            </w:sdtContent>
          </w:sdt>
          <w:sdt>
            <w:sdtPr>
              <w:rPr>
                <w:rFonts w:cstheme="minorBidi"/>
                <w:kern w:val="2"/>
                <w:szCs w:val="21"/>
              </w:rPr>
              <w:alias w:val="商誉明细"/>
              <w:tag w:val="_GBC_916c5c3712e44d7db6b8c9e16bcf5865"/>
              <w:id w:val="791636828"/>
              <w:lock w:val="sdtLocked"/>
            </w:sdtPr>
            <w:sdtEndPr>
              <w:rPr>
                <w:rFonts w:asciiTheme="minorHAnsi" w:eastAsiaTheme="minorEastAsia" w:hAnsiTheme="minorHAnsi"/>
              </w:rPr>
            </w:sdtEndPr>
            <w:sdtContent>
              <w:tr w:rsidR="00B637B2" w:rsidTr="00B637B2">
                <w:trPr>
                  <w:trHeight w:val="338"/>
                  <w:jc w:val="center"/>
                </w:trPr>
                <w:tc>
                  <w:tcPr>
                    <w:tcW w:w="1069" w:type="pct"/>
                    <w:shd w:val="clear" w:color="auto" w:fill="auto"/>
                  </w:tcPr>
                  <w:p w:rsidR="00656332" w:rsidRPr="00471624" w:rsidRDefault="00656332" w:rsidP="00433709">
                    <w:pPr>
                      <w:autoSpaceDE w:val="0"/>
                      <w:autoSpaceDN w:val="0"/>
                      <w:adjustRightInd w:val="0"/>
                      <w:snapToGrid w:val="0"/>
                      <w:rPr>
                        <w:szCs w:val="21"/>
                      </w:rPr>
                    </w:pPr>
                    <w:r w:rsidRPr="00471624">
                      <w:rPr>
                        <w:rFonts w:cs="Arial" w:hint="eastAsia"/>
                        <w:snapToGrid w:val="0"/>
                      </w:rPr>
                      <w:t>特博深</w:t>
                    </w:r>
                  </w:p>
                </w:tc>
                <w:tc>
                  <w:tcPr>
                    <w:tcW w:w="937" w:type="pct"/>
                    <w:shd w:val="clear" w:color="auto" w:fill="auto"/>
                    <w:vAlign w:val="center"/>
                  </w:tcPr>
                  <w:p w:rsidR="00656332" w:rsidRPr="006B3219" w:rsidRDefault="00656332" w:rsidP="00B637B2">
                    <w:pPr>
                      <w:jc w:val="right"/>
                    </w:pPr>
                    <w:r w:rsidRPr="006B3219">
                      <w:t>37,828,833</w:t>
                    </w:r>
                  </w:p>
                </w:tc>
                <w:tc>
                  <w:tcPr>
                    <w:tcW w:w="643" w:type="pct"/>
                    <w:shd w:val="clear" w:color="auto" w:fill="auto"/>
                    <w:vAlign w:val="center"/>
                  </w:tcPr>
                  <w:p w:rsidR="00656332" w:rsidRDefault="00656332" w:rsidP="00B637B2">
                    <w:pPr>
                      <w:autoSpaceDE w:val="0"/>
                      <w:autoSpaceDN w:val="0"/>
                      <w:adjustRightInd w:val="0"/>
                      <w:snapToGrid w:val="0"/>
                      <w:jc w:val="right"/>
                      <w:rPr>
                        <w:szCs w:val="21"/>
                      </w:rPr>
                    </w:pPr>
                  </w:p>
                </w:tc>
                <w:tc>
                  <w:tcPr>
                    <w:tcW w:w="481" w:type="pct"/>
                    <w:shd w:val="clear" w:color="auto" w:fill="auto"/>
                    <w:vAlign w:val="center"/>
                  </w:tcPr>
                  <w:p w:rsidR="00656332" w:rsidRDefault="00656332" w:rsidP="00B637B2">
                    <w:pPr>
                      <w:autoSpaceDE w:val="0"/>
                      <w:autoSpaceDN w:val="0"/>
                      <w:adjustRightInd w:val="0"/>
                      <w:snapToGrid w:val="0"/>
                      <w:jc w:val="right"/>
                      <w:rPr>
                        <w:szCs w:val="21"/>
                      </w:rPr>
                    </w:pPr>
                  </w:p>
                </w:tc>
                <w:tc>
                  <w:tcPr>
                    <w:tcW w:w="483" w:type="pct"/>
                    <w:shd w:val="clear" w:color="auto" w:fill="auto"/>
                    <w:vAlign w:val="center"/>
                  </w:tcPr>
                  <w:p w:rsidR="00656332" w:rsidRDefault="00656332" w:rsidP="00B637B2">
                    <w:pPr>
                      <w:autoSpaceDE w:val="0"/>
                      <w:autoSpaceDN w:val="0"/>
                      <w:adjustRightInd w:val="0"/>
                      <w:snapToGrid w:val="0"/>
                      <w:jc w:val="right"/>
                      <w:rPr>
                        <w:szCs w:val="21"/>
                      </w:rPr>
                    </w:pPr>
                  </w:p>
                </w:tc>
                <w:tc>
                  <w:tcPr>
                    <w:tcW w:w="402" w:type="pct"/>
                    <w:shd w:val="clear" w:color="auto" w:fill="auto"/>
                    <w:vAlign w:val="center"/>
                  </w:tcPr>
                  <w:p w:rsidR="00656332" w:rsidRDefault="00656332" w:rsidP="00B637B2">
                    <w:pPr>
                      <w:autoSpaceDE w:val="0"/>
                      <w:autoSpaceDN w:val="0"/>
                      <w:adjustRightInd w:val="0"/>
                      <w:snapToGrid w:val="0"/>
                      <w:jc w:val="right"/>
                      <w:rPr>
                        <w:szCs w:val="21"/>
                      </w:rPr>
                    </w:pPr>
                  </w:p>
                </w:tc>
                <w:tc>
                  <w:tcPr>
                    <w:tcW w:w="985" w:type="pct"/>
                    <w:shd w:val="clear" w:color="auto" w:fill="auto"/>
                    <w:vAlign w:val="center"/>
                  </w:tcPr>
                  <w:p w:rsidR="00656332" w:rsidRDefault="00656332" w:rsidP="00B637B2">
                    <w:pPr>
                      <w:autoSpaceDE w:val="0"/>
                      <w:autoSpaceDN w:val="0"/>
                      <w:adjustRightInd w:val="0"/>
                      <w:snapToGrid w:val="0"/>
                      <w:jc w:val="right"/>
                      <w:rPr>
                        <w:szCs w:val="21"/>
                      </w:rPr>
                    </w:pPr>
                    <w:r>
                      <w:t>37,828,833</w:t>
                    </w:r>
                  </w:p>
                </w:tc>
              </w:tr>
            </w:sdtContent>
          </w:sdt>
          <w:sdt>
            <w:sdtPr>
              <w:rPr>
                <w:rFonts w:cstheme="minorBidi"/>
                <w:kern w:val="2"/>
                <w:szCs w:val="21"/>
              </w:rPr>
              <w:alias w:val="商誉明细"/>
              <w:tag w:val="_GBC_916c5c3712e44d7db6b8c9e16bcf5865"/>
              <w:id w:val="275536312"/>
              <w:lock w:val="sdtLocked"/>
            </w:sdtPr>
            <w:sdtEndPr>
              <w:rPr>
                <w:rFonts w:asciiTheme="minorHAnsi" w:eastAsiaTheme="minorEastAsia" w:hAnsiTheme="minorHAnsi"/>
              </w:rPr>
            </w:sdtEndPr>
            <w:sdtContent>
              <w:tr w:rsidR="00B637B2" w:rsidTr="00B637B2">
                <w:trPr>
                  <w:trHeight w:val="338"/>
                  <w:jc w:val="center"/>
                </w:trPr>
                <w:tc>
                  <w:tcPr>
                    <w:tcW w:w="1069" w:type="pct"/>
                    <w:shd w:val="clear" w:color="auto" w:fill="auto"/>
                  </w:tcPr>
                  <w:p w:rsidR="00656332" w:rsidRPr="00471624" w:rsidRDefault="00656332" w:rsidP="00433709">
                    <w:pPr>
                      <w:autoSpaceDE w:val="0"/>
                      <w:autoSpaceDN w:val="0"/>
                      <w:adjustRightInd w:val="0"/>
                      <w:snapToGrid w:val="0"/>
                      <w:rPr>
                        <w:szCs w:val="21"/>
                      </w:rPr>
                    </w:pPr>
                    <w:r w:rsidRPr="00471624">
                      <w:rPr>
                        <w:rFonts w:cs="Arial" w:hint="eastAsia"/>
                        <w:snapToGrid w:val="0"/>
                      </w:rPr>
                      <w:t>时空超越</w:t>
                    </w:r>
                  </w:p>
                </w:tc>
                <w:tc>
                  <w:tcPr>
                    <w:tcW w:w="937" w:type="pct"/>
                    <w:shd w:val="clear" w:color="auto" w:fill="auto"/>
                    <w:vAlign w:val="center"/>
                  </w:tcPr>
                  <w:p w:rsidR="00656332" w:rsidRPr="006B3219" w:rsidRDefault="00656332" w:rsidP="00B637B2">
                    <w:pPr>
                      <w:jc w:val="right"/>
                    </w:pPr>
                    <w:r w:rsidRPr="006B3219">
                      <w:t>35,997,518</w:t>
                    </w:r>
                  </w:p>
                </w:tc>
                <w:tc>
                  <w:tcPr>
                    <w:tcW w:w="643" w:type="pct"/>
                    <w:shd w:val="clear" w:color="auto" w:fill="auto"/>
                    <w:vAlign w:val="center"/>
                  </w:tcPr>
                  <w:p w:rsidR="00656332" w:rsidRDefault="00656332" w:rsidP="00B637B2">
                    <w:pPr>
                      <w:autoSpaceDE w:val="0"/>
                      <w:autoSpaceDN w:val="0"/>
                      <w:adjustRightInd w:val="0"/>
                      <w:snapToGrid w:val="0"/>
                      <w:jc w:val="right"/>
                      <w:rPr>
                        <w:szCs w:val="21"/>
                      </w:rPr>
                    </w:pPr>
                  </w:p>
                </w:tc>
                <w:tc>
                  <w:tcPr>
                    <w:tcW w:w="481" w:type="pct"/>
                    <w:shd w:val="clear" w:color="auto" w:fill="auto"/>
                    <w:vAlign w:val="center"/>
                  </w:tcPr>
                  <w:p w:rsidR="00656332" w:rsidRDefault="00656332" w:rsidP="00B637B2">
                    <w:pPr>
                      <w:autoSpaceDE w:val="0"/>
                      <w:autoSpaceDN w:val="0"/>
                      <w:adjustRightInd w:val="0"/>
                      <w:snapToGrid w:val="0"/>
                      <w:jc w:val="right"/>
                      <w:rPr>
                        <w:szCs w:val="21"/>
                      </w:rPr>
                    </w:pPr>
                  </w:p>
                </w:tc>
                <w:tc>
                  <w:tcPr>
                    <w:tcW w:w="483" w:type="pct"/>
                    <w:shd w:val="clear" w:color="auto" w:fill="auto"/>
                    <w:vAlign w:val="center"/>
                  </w:tcPr>
                  <w:p w:rsidR="00656332" w:rsidRDefault="00656332" w:rsidP="00B637B2">
                    <w:pPr>
                      <w:autoSpaceDE w:val="0"/>
                      <w:autoSpaceDN w:val="0"/>
                      <w:adjustRightInd w:val="0"/>
                      <w:snapToGrid w:val="0"/>
                      <w:jc w:val="right"/>
                      <w:rPr>
                        <w:szCs w:val="21"/>
                      </w:rPr>
                    </w:pPr>
                  </w:p>
                </w:tc>
                <w:tc>
                  <w:tcPr>
                    <w:tcW w:w="402" w:type="pct"/>
                    <w:shd w:val="clear" w:color="auto" w:fill="auto"/>
                    <w:vAlign w:val="center"/>
                  </w:tcPr>
                  <w:p w:rsidR="00656332" w:rsidRDefault="00656332" w:rsidP="00B637B2">
                    <w:pPr>
                      <w:autoSpaceDE w:val="0"/>
                      <w:autoSpaceDN w:val="0"/>
                      <w:adjustRightInd w:val="0"/>
                      <w:snapToGrid w:val="0"/>
                      <w:jc w:val="right"/>
                      <w:rPr>
                        <w:szCs w:val="21"/>
                      </w:rPr>
                    </w:pPr>
                  </w:p>
                </w:tc>
                <w:tc>
                  <w:tcPr>
                    <w:tcW w:w="985" w:type="pct"/>
                    <w:shd w:val="clear" w:color="auto" w:fill="auto"/>
                    <w:vAlign w:val="center"/>
                  </w:tcPr>
                  <w:p w:rsidR="00656332" w:rsidRDefault="00656332" w:rsidP="00B637B2">
                    <w:pPr>
                      <w:autoSpaceDE w:val="0"/>
                      <w:autoSpaceDN w:val="0"/>
                      <w:adjustRightInd w:val="0"/>
                      <w:snapToGrid w:val="0"/>
                      <w:jc w:val="right"/>
                      <w:rPr>
                        <w:szCs w:val="21"/>
                      </w:rPr>
                    </w:pPr>
                    <w:r>
                      <w:t>35,997,518</w:t>
                    </w:r>
                  </w:p>
                </w:tc>
              </w:tr>
            </w:sdtContent>
          </w:sdt>
          <w:sdt>
            <w:sdtPr>
              <w:rPr>
                <w:rFonts w:cstheme="minorBidi"/>
                <w:kern w:val="2"/>
                <w:szCs w:val="21"/>
              </w:rPr>
              <w:alias w:val="商誉明细"/>
              <w:tag w:val="_GBC_916c5c3712e44d7db6b8c9e16bcf5865"/>
              <w:id w:val="968781776"/>
              <w:lock w:val="sdtLocked"/>
            </w:sdtPr>
            <w:sdtEndPr>
              <w:rPr>
                <w:rFonts w:asciiTheme="minorHAnsi" w:eastAsiaTheme="minorEastAsia" w:hAnsiTheme="minorHAnsi"/>
              </w:rPr>
            </w:sdtEndPr>
            <w:sdtContent>
              <w:tr w:rsidR="00B637B2" w:rsidTr="00B637B2">
                <w:trPr>
                  <w:trHeight w:val="338"/>
                  <w:jc w:val="center"/>
                </w:trPr>
                <w:tc>
                  <w:tcPr>
                    <w:tcW w:w="1069" w:type="pct"/>
                    <w:shd w:val="clear" w:color="auto" w:fill="auto"/>
                  </w:tcPr>
                  <w:p w:rsidR="00656332" w:rsidRPr="00471624" w:rsidRDefault="00656332" w:rsidP="00433709">
                    <w:pPr>
                      <w:autoSpaceDE w:val="0"/>
                      <w:autoSpaceDN w:val="0"/>
                      <w:adjustRightInd w:val="0"/>
                      <w:snapToGrid w:val="0"/>
                      <w:rPr>
                        <w:szCs w:val="21"/>
                      </w:rPr>
                    </w:pPr>
                    <w:r w:rsidRPr="00471624">
                      <w:rPr>
                        <w:rFonts w:cs="Arial" w:hint="eastAsia"/>
                        <w:snapToGrid w:val="0"/>
                      </w:rPr>
                      <w:t>广州尚南</w:t>
                    </w:r>
                  </w:p>
                </w:tc>
                <w:tc>
                  <w:tcPr>
                    <w:tcW w:w="937" w:type="pct"/>
                    <w:shd w:val="clear" w:color="auto" w:fill="auto"/>
                    <w:vAlign w:val="center"/>
                  </w:tcPr>
                  <w:p w:rsidR="00656332" w:rsidRPr="006B3219" w:rsidRDefault="00656332" w:rsidP="00B637B2">
                    <w:pPr>
                      <w:jc w:val="right"/>
                    </w:pPr>
                    <w:r w:rsidRPr="006B3219">
                      <w:t>28,555,713</w:t>
                    </w:r>
                  </w:p>
                </w:tc>
                <w:tc>
                  <w:tcPr>
                    <w:tcW w:w="643" w:type="pct"/>
                    <w:shd w:val="clear" w:color="auto" w:fill="auto"/>
                    <w:vAlign w:val="center"/>
                  </w:tcPr>
                  <w:p w:rsidR="00656332" w:rsidRDefault="00656332" w:rsidP="00B637B2">
                    <w:pPr>
                      <w:autoSpaceDE w:val="0"/>
                      <w:autoSpaceDN w:val="0"/>
                      <w:adjustRightInd w:val="0"/>
                      <w:snapToGrid w:val="0"/>
                      <w:jc w:val="right"/>
                      <w:rPr>
                        <w:szCs w:val="21"/>
                      </w:rPr>
                    </w:pPr>
                  </w:p>
                </w:tc>
                <w:tc>
                  <w:tcPr>
                    <w:tcW w:w="481" w:type="pct"/>
                    <w:shd w:val="clear" w:color="auto" w:fill="auto"/>
                    <w:vAlign w:val="center"/>
                  </w:tcPr>
                  <w:p w:rsidR="00656332" w:rsidRDefault="00656332" w:rsidP="00B637B2">
                    <w:pPr>
                      <w:autoSpaceDE w:val="0"/>
                      <w:autoSpaceDN w:val="0"/>
                      <w:adjustRightInd w:val="0"/>
                      <w:snapToGrid w:val="0"/>
                      <w:jc w:val="right"/>
                      <w:rPr>
                        <w:szCs w:val="21"/>
                      </w:rPr>
                    </w:pPr>
                  </w:p>
                </w:tc>
                <w:tc>
                  <w:tcPr>
                    <w:tcW w:w="483" w:type="pct"/>
                    <w:shd w:val="clear" w:color="auto" w:fill="auto"/>
                    <w:vAlign w:val="center"/>
                  </w:tcPr>
                  <w:p w:rsidR="00656332" w:rsidRDefault="00656332" w:rsidP="00B637B2">
                    <w:pPr>
                      <w:autoSpaceDE w:val="0"/>
                      <w:autoSpaceDN w:val="0"/>
                      <w:adjustRightInd w:val="0"/>
                      <w:snapToGrid w:val="0"/>
                      <w:jc w:val="right"/>
                      <w:rPr>
                        <w:szCs w:val="21"/>
                      </w:rPr>
                    </w:pPr>
                  </w:p>
                </w:tc>
                <w:tc>
                  <w:tcPr>
                    <w:tcW w:w="402" w:type="pct"/>
                    <w:shd w:val="clear" w:color="auto" w:fill="auto"/>
                    <w:vAlign w:val="center"/>
                  </w:tcPr>
                  <w:p w:rsidR="00656332" w:rsidRDefault="00656332" w:rsidP="00B637B2">
                    <w:pPr>
                      <w:autoSpaceDE w:val="0"/>
                      <w:autoSpaceDN w:val="0"/>
                      <w:adjustRightInd w:val="0"/>
                      <w:snapToGrid w:val="0"/>
                      <w:jc w:val="right"/>
                      <w:rPr>
                        <w:szCs w:val="21"/>
                      </w:rPr>
                    </w:pPr>
                  </w:p>
                </w:tc>
                <w:tc>
                  <w:tcPr>
                    <w:tcW w:w="985" w:type="pct"/>
                    <w:shd w:val="clear" w:color="auto" w:fill="auto"/>
                    <w:vAlign w:val="center"/>
                  </w:tcPr>
                  <w:p w:rsidR="00656332" w:rsidRDefault="00656332" w:rsidP="00B637B2">
                    <w:pPr>
                      <w:autoSpaceDE w:val="0"/>
                      <w:autoSpaceDN w:val="0"/>
                      <w:adjustRightInd w:val="0"/>
                      <w:snapToGrid w:val="0"/>
                      <w:jc w:val="right"/>
                      <w:rPr>
                        <w:szCs w:val="21"/>
                      </w:rPr>
                    </w:pPr>
                    <w:r>
                      <w:t>28,555,713</w:t>
                    </w:r>
                  </w:p>
                </w:tc>
              </w:tr>
            </w:sdtContent>
          </w:sdt>
          <w:sdt>
            <w:sdtPr>
              <w:rPr>
                <w:rFonts w:cstheme="minorBidi"/>
                <w:kern w:val="2"/>
                <w:szCs w:val="21"/>
              </w:rPr>
              <w:alias w:val="商誉明细"/>
              <w:tag w:val="_GBC_916c5c3712e44d7db6b8c9e16bcf5865"/>
              <w:id w:val="-609353652"/>
              <w:lock w:val="sdtLocked"/>
            </w:sdtPr>
            <w:sdtEndPr>
              <w:rPr>
                <w:rFonts w:asciiTheme="minorHAnsi" w:eastAsiaTheme="minorEastAsia" w:hAnsiTheme="minorHAnsi"/>
              </w:rPr>
            </w:sdtEndPr>
            <w:sdtContent>
              <w:tr w:rsidR="00B637B2" w:rsidTr="00B637B2">
                <w:trPr>
                  <w:trHeight w:val="338"/>
                  <w:jc w:val="center"/>
                </w:trPr>
                <w:tc>
                  <w:tcPr>
                    <w:tcW w:w="1069" w:type="pct"/>
                    <w:shd w:val="clear" w:color="auto" w:fill="auto"/>
                  </w:tcPr>
                  <w:p w:rsidR="00656332" w:rsidRPr="00471624" w:rsidRDefault="00656332" w:rsidP="00433709">
                    <w:pPr>
                      <w:autoSpaceDE w:val="0"/>
                      <w:autoSpaceDN w:val="0"/>
                      <w:adjustRightInd w:val="0"/>
                      <w:snapToGrid w:val="0"/>
                      <w:rPr>
                        <w:szCs w:val="21"/>
                      </w:rPr>
                    </w:pPr>
                    <w:r w:rsidRPr="00471624">
                      <w:rPr>
                        <w:rFonts w:cs="Arial" w:hint="eastAsia"/>
                        <w:snapToGrid w:val="0"/>
                      </w:rPr>
                      <w:t>友太安</w:t>
                    </w:r>
                  </w:p>
                </w:tc>
                <w:tc>
                  <w:tcPr>
                    <w:tcW w:w="937" w:type="pct"/>
                    <w:shd w:val="clear" w:color="auto" w:fill="auto"/>
                    <w:vAlign w:val="center"/>
                  </w:tcPr>
                  <w:p w:rsidR="00656332" w:rsidRPr="006B3219" w:rsidRDefault="00656332" w:rsidP="00B637B2">
                    <w:pPr>
                      <w:jc w:val="right"/>
                    </w:pPr>
                    <w:r w:rsidRPr="006B3219">
                      <w:t>20,839,936</w:t>
                    </w:r>
                  </w:p>
                </w:tc>
                <w:tc>
                  <w:tcPr>
                    <w:tcW w:w="643" w:type="pct"/>
                    <w:shd w:val="clear" w:color="auto" w:fill="auto"/>
                    <w:vAlign w:val="center"/>
                  </w:tcPr>
                  <w:p w:rsidR="00656332" w:rsidRDefault="00656332" w:rsidP="00B637B2">
                    <w:pPr>
                      <w:autoSpaceDE w:val="0"/>
                      <w:autoSpaceDN w:val="0"/>
                      <w:adjustRightInd w:val="0"/>
                      <w:snapToGrid w:val="0"/>
                      <w:jc w:val="right"/>
                      <w:rPr>
                        <w:szCs w:val="21"/>
                      </w:rPr>
                    </w:pPr>
                  </w:p>
                </w:tc>
                <w:tc>
                  <w:tcPr>
                    <w:tcW w:w="481" w:type="pct"/>
                    <w:shd w:val="clear" w:color="auto" w:fill="auto"/>
                    <w:vAlign w:val="center"/>
                  </w:tcPr>
                  <w:p w:rsidR="00656332" w:rsidRDefault="00656332" w:rsidP="00B637B2">
                    <w:pPr>
                      <w:autoSpaceDE w:val="0"/>
                      <w:autoSpaceDN w:val="0"/>
                      <w:adjustRightInd w:val="0"/>
                      <w:snapToGrid w:val="0"/>
                      <w:jc w:val="right"/>
                      <w:rPr>
                        <w:szCs w:val="21"/>
                      </w:rPr>
                    </w:pPr>
                  </w:p>
                </w:tc>
                <w:tc>
                  <w:tcPr>
                    <w:tcW w:w="483" w:type="pct"/>
                    <w:shd w:val="clear" w:color="auto" w:fill="auto"/>
                    <w:vAlign w:val="center"/>
                  </w:tcPr>
                  <w:p w:rsidR="00656332" w:rsidRDefault="00656332" w:rsidP="00B637B2">
                    <w:pPr>
                      <w:autoSpaceDE w:val="0"/>
                      <w:autoSpaceDN w:val="0"/>
                      <w:adjustRightInd w:val="0"/>
                      <w:snapToGrid w:val="0"/>
                      <w:jc w:val="right"/>
                      <w:rPr>
                        <w:szCs w:val="21"/>
                      </w:rPr>
                    </w:pPr>
                  </w:p>
                </w:tc>
                <w:tc>
                  <w:tcPr>
                    <w:tcW w:w="402" w:type="pct"/>
                    <w:shd w:val="clear" w:color="auto" w:fill="auto"/>
                    <w:vAlign w:val="center"/>
                  </w:tcPr>
                  <w:p w:rsidR="00656332" w:rsidRDefault="00656332" w:rsidP="00B637B2">
                    <w:pPr>
                      <w:autoSpaceDE w:val="0"/>
                      <w:autoSpaceDN w:val="0"/>
                      <w:adjustRightInd w:val="0"/>
                      <w:snapToGrid w:val="0"/>
                      <w:jc w:val="right"/>
                      <w:rPr>
                        <w:szCs w:val="21"/>
                      </w:rPr>
                    </w:pPr>
                  </w:p>
                </w:tc>
                <w:tc>
                  <w:tcPr>
                    <w:tcW w:w="985" w:type="pct"/>
                    <w:shd w:val="clear" w:color="auto" w:fill="auto"/>
                    <w:vAlign w:val="center"/>
                  </w:tcPr>
                  <w:p w:rsidR="00656332" w:rsidRDefault="00656332" w:rsidP="00B637B2">
                    <w:pPr>
                      <w:autoSpaceDE w:val="0"/>
                      <w:autoSpaceDN w:val="0"/>
                      <w:adjustRightInd w:val="0"/>
                      <w:snapToGrid w:val="0"/>
                      <w:jc w:val="right"/>
                      <w:rPr>
                        <w:szCs w:val="21"/>
                      </w:rPr>
                    </w:pPr>
                    <w:r>
                      <w:t>20,839,936</w:t>
                    </w:r>
                  </w:p>
                </w:tc>
              </w:tr>
            </w:sdtContent>
          </w:sdt>
          <w:sdt>
            <w:sdtPr>
              <w:rPr>
                <w:rFonts w:cstheme="minorBidi"/>
                <w:kern w:val="2"/>
                <w:szCs w:val="21"/>
              </w:rPr>
              <w:alias w:val="商誉明细"/>
              <w:tag w:val="_GBC_916c5c3712e44d7db6b8c9e16bcf5865"/>
              <w:id w:val="-1596703633"/>
              <w:lock w:val="sdtLocked"/>
            </w:sdtPr>
            <w:sdtEndPr>
              <w:rPr>
                <w:rFonts w:asciiTheme="minorHAnsi" w:eastAsiaTheme="minorEastAsia" w:hAnsiTheme="minorHAnsi"/>
              </w:rPr>
            </w:sdtEndPr>
            <w:sdtContent>
              <w:tr w:rsidR="00B637B2" w:rsidTr="00B637B2">
                <w:trPr>
                  <w:trHeight w:val="338"/>
                  <w:jc w:val="center"/>
                </w:trPr>
                <w:tc>
                  <w:tcPr>
                    <w:tcW w:w="1069" w:type="pct"/>
                    <w:shd w:val="clear" w:color="auto" w:fill="auto"/>
                  </w:tcPr>
                  <w:p w:rsidR="00656332" w:rsidRPr="00471624" w:rsidRDefault="00656332" w:rsidP="00433709">
                    <w:pPr>
                      <w:autoSpaceDE w:val="0"/>
                      <w:autoSpaceDN w:val="0"/>
                      <w:adjustRightInd w:val="0"/>
                      <w:snapToGrid w:val="0"/>
                      <w:rPr>
                        <w:szCs w:val="21"/>
                      </w:rPr>
                    </w:pPr>
                    <w:r w:rsidRPr="00471624">
                      <w:rPr>
                        <w:rFonts w:cs="Arial" w:hint="eastAsia"/>
                        <w:snapToGrid w:val="0"/>
                      </w:rPr>
                      <w:t>广州安易及江门安易</w:t>
                    </w:r>
                  </w:p>
                </w:tc>
                <w:tc>
                  <w:tcPr>
                    <w:tcW w:w="937" w:type="pct"/>
                    <w:shd w:val="clear" w:color="auto" w:fill="auto"/>
                    <w:vAlign w:val="center"/>
                  </w:tcPr>
                  <w:p w:rsidR="00656332" w:rsidRPr="006B3219" w:rsidRDefault="00656332" w:rsidP="00B637B2">
                    <w:pPr>
                      <w:jc w:val="right"/>
                    </w:pPr>
                    <w:r w:rsidRPr="006B3219">
                      <w:t>14,807,958</w:t>
                    </w:r>
                  </w:p>
                </w:tc>
                <w:tc>
                  <w:tcPr>
                    <w:tcW w:w="643" w:type="pct"/>
                    <w:shd w:val="clear" w:color="auto" w:fill="auto"/>
                    <w:vAlign w:val="center"/>
                  </w:tcPr>
                  <w:p w:rsidR="00656332" w:rsidRDefault="00656332" w:rsidP="00B637B2">
                    <w:pPr>
                      <w:autoSpaceDE w:val="0"/>
                      <w:autoSpaceDN w:val="0"/>
                      <w:adjustRightInd w:val="0"/>
                      <w:snapToGrid w:val="0"/>
                      <w:jc w:val="right"/>
                      <w:rPr>
                        <w:szCs w:val="21"/>
                      </w:rPr>
                    </w:pPr>
                  </w:p>
                </w:tc>
                <w:tc>
                  <w:tcPr>
                    <w:tcW w:w="481" w:type="pct"/>
                    <w:shd w:val="clear" w:color="auto" w:fill="auto"/>
                    <w:vAlign w:val="center"/>
                  </w:tcPr>
                  <w:p w:rsidR="00656332" w:rsidRDefault="00656332" w:rsidP="00B637B2">
                    <w:pPr>
                      <w:autoSpaceDE w:val="0"/>
                      <w:autoSpaceDN w:val="0"/>
                      <w:adjustRightInd w:val="0"/>
                      <w:snapToGrid w:val="0"/>
                      <w:jc w:val="right"/>
                      <w:rPr>
                        <w:szCs w:val="21"/>
                      </w:rPr>
                    </w:pPr>
                  </w:p>
                </w:tc>
                <w:tc>
                  <w:tcPr>
                    <w:tcW w:w="483" w:type="pct"/>
                    <w:shd w:val="clear" w:color="auto" w:fill="auto"/>
                    <w:vAlign w:val="center"/>
                  </w:tcPr>
                  <w:p w:rsidR="00656332" w:rsidRDefault="00656332" w:rsidP="00B637B2">
                    <w:pPr>
                      <w:autoSpaceDE w:val="0"/>
                      <w:autoSpaceDN w:val="0"/>
                      <w:adjustRightInd w:val="0"/>
                      <w:snapToGrid w:val="0"/>
                      <w:jc w:val="right"/>
                      <w:rPr>
                        <w:szCs w:val="21"/>
                      </w:rPr>
                    </w:pPr>
                  </w:p>
                </w:tc>
                <w:tc>
                  <w:tcPr>
                    <w:tcW w:w="402" w:type="pct"/>
                    <w:shd w:val="clear" w:color="auto" w:fill="auto"/>
                    <w:vAlign w:val="center"/>
                  </w:tcPr>
                  <w:p w:rsidR="00656332" w:rsidRDefault="00656332" w:rsidP="00B637B2">
                    <w:pPr>
                      <w:autoSpaceDE w:val="0"/>
                      <w:autoSpaceDN w:val="0"/>
                      <w:adjustRightInd w:val="0"/>
                      <w:snapToGrid w:val="0"/>
                      <w:jc w:val="right"/>
                      <w:rPr>
                        <w:szCs w:val="21"/>
                      </w:rPr>
                    </w:pPr>
                  </w:p>
                </w:tc>
                <w:tc>
                  <w:tcPr>
                    <w:tcW w:w="985" w:type="pct"/>
                    <w:shd w:val="clear" w:color="auto" w:fill="auto"/>
                    <w:vAlign w:val="center"/>
                  </w:tcPr>
                  <w:p w:rsidR="00656332" w:rsidRDefault="00656332" w:rsidP="00B637B2">
                    <w:pPr>
                      <w:autoSpaceDE w:val="0"/>
                      <w:autoSpaceDN w:val="0"/>
                      <w:adjustRightInd w:val="0"/>
                      <w:snapToGrid w:val="0"/>
                      <w:jc w:val="right"/>
                      <w:rPr>
                        <w:szCs w:val="21"/>
                      </w:rPr>
                    </w:pPr>
                    <w:r>
                      <w:t>14,807,958</w:t>
                    </w:r>
                  </w:p>
                </w:tc>
              </w:tr>
            </w:sdtContent>
          </w:sdt>
          <w:sdt>
            <w:sdtPr>
              <w:rPr>
                <w:rFonts w:cstheme="minorBidi"/>
                <w:kern w:val="2"/>
                <w:szCs w:val="21"/>
              </w:rPr>
              <w:alias w:val="商誉明细"/>
              <w:tag w:val="_GBC_916c5c3712e44d7db6b8c9e16bcf5865"/>
              <w:id w:val="-916406030"/>
              <w:lock w:val="sdtLocked"/>
            </w:sdtPr>
            <w:sdtEndPr>
              <w:rPr>
                <w:rFonts w:asciiTheme="minorHAnsi" w:eastAsiaTheme="minorEastAsia" w:hAnsiTheme="minorHAnsi"/>
              </w:rPr>
            </w:sdtEndPr>
            <w:sdtContent>
              <w:tr w:rsidR="00B637B2" w:rsidTr="00B637B2">
                <w:trPr>
                  <w:trHeight w:val="338"/>
                  <w:jc w:val="center"/>
                </w:trPr>
                <w:tc>
                  <w:tcPr>
                    <w:tcW w:w="1069" w:type="pct"/>
                    <w:shd w:val="clear" w:color="auto" w:fill="auto"/>
                  </w:tcPr>
                  <w:p w:rsidR="00656332" w:rsidRPr="00471624" w:rsidRDefault="00656332" w:rsidP="00433709">
                    <w:pPr>
                      <w:autoSpaceDE w:val="0"/>
                      <w:autoSpaceDN w:val="0"/>
                      <w:adjustRightInd w:val="0"/>
                      <w:snapToGrid w:val="0"/>
                      <w:rPr>
                        <w:szCs w:val="21"/>
                      </w:rPr>
                    </w:pPr>
                    <w:r w:rsidRPr="00471624">
                      <w:rPr>
                        <w:rFonts w:cs="Arial" w:hint="eastAsia"/>
                        <w:snapToGrid w:val="0"/>
                      </w:rPr>
                      <w:t>用友政务收购参股代理公司</w:t>
                    </w:r>
                  </w:p>
                </w:tc>
                <w:tc>
                  <w:tcPr>
                    <w:tcW w:w="937" w:type="pct"/>
                    <w:shd w:val="clear" w:color="auto" w:fill="auto"/>
                    <w:vAlign w:val="center"/>
                  </w:tcPr>
                  <w:p w:rsidR="00656332" w:rsidRPr="006B3219" w:rsidRDefault="00656332" w:rsidP="00B637B2">
                    <w:pPr>
                      <w:jc w:val="right"/>
                    </w:pPr>
                    <w:r w:rsidRPr="006B3219">
                      <w:t>14,009,579</w:t>
                    </w:r>
                  </w:p>
                </w:tc>
                <w:tc>
                  <w:tcPr>
                    <w:tcW w:w="643" w:type="pct"/>
                    <w:shd w:val="clear" w:color="auto" w:fill="auto"/>
                    <w:vAlign w:val="center"/>
                  </w:tcPr>
                  <w:p w:rsidR="00656332" w:rsidRDefault="00656332" w:rsidP="00B637B2">
                    <w:pPr>
                      <w:autoSpaceDE w:val="0"/>
                      <w:autoSpaceDN w:val="0"/>
                      <w:adjustRightInd w:val="0"/>
                      <w:snapToGrid w:val="0"/>
                      <w:jc w:val="right"/>
                      <w:rPr>
                        <w:szCs w:val="21"/>
                      </w:rPr>
                    </w:pPr>
                  </w:p>
                </w:tc>
                <w:tc>
                  <w:tcPr>
                    <w:tcW w:w="481" w:type="pct"/>
                    <w:shd w:val="clear" w:color="auto" w:fill="auto"/>
                    <w:vAlign w:val="center"/>
                  </w:tcPr>
                  <w:p w:rsidR="00656332" w:rsidRDefault="00656332" w:rsidP="00B637B2">
                    <w:pPr>
                      <w:autoSpaceDE w:val="0"/>
                      <w:autoSpaceDN w:val="0"/>
                      <w:adjustRightInd w:val="0"/>
                      <w:snapToGrid w:val="0"/>
                      <w:jc w:val="right"/>
                      <w:rPr>
                        <w:szCs w:val="21"/>
                      </w:rPr>
                    </w:pPr>
                  </w:p>
                </w:tc>
                <w:tc>
                  <w:tcPr>
                    <w:tcW w:w="483" w:type="pct"/>
                    <w:shd w:val="clear" w:color="auto" w:fill="auto"/>
                    <w:vAlign w:val="center"/>
                  </w:tcPr>
                  <w:p w:rsidR="00656332" w:rsidRDefault="00656332" w:rsidP="00B637B2">
                    <w:pPr>
                      <w:autoSpaceDE w:val="0"/>
                      <w:autoSpaceDN w:val="0"/>
                      <w:adjustRightInd w:val="0"/>
                      <w:snapToGrid w:val="0"/>
                      <w:jc w:val="right"/>
                      <w:rPr>
                        <w:szCs w:val="21"/>
                      </w:rPr>
                    </w:pPr>
                  </w:p>
                </w:tc>
                <w:tc>
                  <w:tcPr>
                    <w:tcW w:w="402" w:type="pct"/>
                    <w:shd w:val="clear" w:color="auto" w:fill="auto"/>
                    <w:vAlign w:val="center"/>
                  </w:tcPr>
                  <w:p w:rsidR="00656332" w:rsidRDefault="00656332" w:rsidP="00B637B2">
                    <w:pPr>
                      <w:autoSpaceDE w:val="0"/>
                      <w:autoSpaceDN w:val="0"/>
                      <w:adjustRightInd w:val="0"/>
                      <w:snapToGrid w:val="0"/>
                      <w:jc w:val="right"/>
                      <w:rPr>
                        <w:szCs w:val="21"/>
                      </w:rPr>
                    </w:pPr>
                  </w:p>
                </w:tc>
                <w:tc>
                  <w:tcPr>
                    <w:tcW w:w="985" w:type="pct"/>
                    <w:shd w:val="clear" w:color="auto" w:fill="auto"/>
                    <w:vAlign w:val="center"/>
                  </w:tcPr>
                  <w:p w:rsidR="00656332" w:rsidRDefault="00656332" w:rsidP="00B637B2">
                    <w:pPr>
                      <w:autoSpaceDE w:val="0"/>
                      <w:autoSpaceDN w:val="0"/>
                      <w:adjustRightInd w:val="0"/>
                      <w:snapToGrid w:val="0"/>
                      <w:jc w:val="right"/>
                      <w:rPr>
                        <w:szCs w:val="21"/>
                      </w:rPr>
                    </w:pPr>
                    <w:r>
                      <w:t>14,009,579</w:t>
                    </w:r>
                  </w:p>
                </w:tc>
              </w:tr>
            </w:sdtContent>
          </w:sdt>
          <w:sdt>
            <w:sdtPr>
              <w:rPr>
                <w:rFonts w:cstheme="minorBidi"/>
                <w:kern w:val="2"/>
                <w:szCs w:val="21"/>
              </w:rPr>
              <w:alias w:val="商誉明细"/>
              <w:tag w:val="_GBC_916c5c3712e44d7db6b8c9e16bcf5865"/>
              <w:id w:val="1592895448"/>
              <w:lock w:val="sdtLocked"/>
            </w:sdtPr>
            <w:sdtEndPr>
              <w:rPr>
                <w:rFonts w:asciiTheme="minorHAnsi" w:eastAsiaTheme="minorEastAsia" w:hAnsiTheme="minorHAnsi"/>
              </w:rPr>
            </w:sdtEndPr>
            <w:sdtContent>
              <w:tr w:rsidR="00B637B2" w:rsidTr="00B637B2">
                <w:trPr>
                  <w:trHeight w:val="338"/>
                  <w:jc w:val="center"/>
                </w:trPr>
                <w:tc>
                  <w:tcPr>
                    <w:tcW w:w="1069" w:type="pct"/>
                    <w:shd w:val="clear" w:color="auto" w:fill="auto"/>
                  </w:tcPr>
                  <w:p w:rsidR="00656332" w:rsidRPr="00471624" w:rsidRDefault="00656332" w:rsidP="00433709">
                    <w:pPr>
                      <w:autoSpaceDE w:val="0"/>
                      <w:autoSpaceDN w:val="0"/>
                      <w:adjustRightInd w:val="0"/>
                      <w:snapToGrid w:val="0"/>
                      <w:rPr>
                        <w:szCs w:val="21"/>
                      </w:rPr>
                    </w:pPr>
                    <w:r w:rsidRPr="00471624">
                      <w:rPr>
                        <w:rFonts w:cs="Arial" w:hint="eastAsia"/>
                        <w:snapToGrid w:val="0"/>
                      </w:rPr>
                      <w:t>上海天诺坛网</w:t>
                    </w:r>
                  </w:p>
                </w:tc>
                <w:tc>
                  <w:tcPr>
                    <w:tcW w:w="937" w:type="pct"/>
                    <w:shd w:val="clear" w:color="auto" w:fill="auto"/>
                    <w:vAlign w:val="center"/>
                  </w:tcPr>
                  <w:p w:rsidR="00656332" w:rsidRPr="006B3219" w:rsidRDefault="00656332" w:rsidP="00B637B2">
                    <w:pPr>
                      <w:jc w:val="right"/>
                    </w:pPr>
                    <w:r w:rsidRPr="006B3219">
                      <w:t>12,659,937</w:t>
                    </w:r>
                  </w:p>
                </w:tc>
                <w:tc>
                  <w:tcPr>
                    <w:tcW w:w="643" w:type="pct"/>
                    <w:shd w:val="clear" w:color="auto" w:fill="auto"/>
                    <w:vAlign w:val="center"/>
                  </w:tcPr>
                  <w:p w:rsidR="00656332" w:rsidRDefault="00656332" w:rsidP="00B637B2">
                    <w:pPr>
                      <w:autoSpaceDE w:val="0"/>
                      <w:autoSpaceDN w:val="0"/>
                      <w:adjustRightInd w:val="0"/>
                      <w:snapToGrid w:val="0"/>
                      <w:jc w:val="right"/>
                      <w:rPr>
                        <w:szCs w:val="21"/>
                      </w:rPr>
                    </w:pPr>
                  </w:p>
                </w:tc>
                <w:tc>
                  <w:tcPr>
                    <w:tcW w:w="481" w:type="pct"/>
                    <w:shd w:val="clear" w:color="auto" w:fill="auto"/>
                    <w:vAlign w:val="center"/>
                  </w:tcPr>
                  <w:p w:rsidR="00656332" w:rsidRDefault="00656332" w:rsidP="00B637B2">
                    <w:pPr>
                      <w:autoSpaceDE w:val="0"/>
                      <w:autoSpaceDN w:val="0"/>
                      <w:adjustRightInd w:val="0"/>
                      <w:snapToGrid w:val="0"/>
                      <w:jc w:val="right"/>
                      <w:rPr>
                        <w:szCs w:val="21"/>
                      </w:rPr>
                    </w:pPr>
                  </w:p>
                </w:tc>
                <w:tc>
                  <w:tcPr>
                    <w:tcW w:w="483" w:type="pct"/>
                    <w:shd w:val="clear" w:color="auto" w:fill="auto"/>
                    <w:vAlign w:val="center"/>
                  </w:tcPr>
                  <w:p w:rsidR="00656332" w:rsidRDefault="00656332" w:rsidP="00B637B2">
                    <w:pPr>
                      <w:autoSpaceDE w:val="0"/>
                      <w:autoSpaceDN w:val="0"/>
                      <w:adjustRightInd w:val="0"/>
                      <w:snapToGrid w:val="0"/>
                      <w:jc w:val="right"/>
                      <w:rPr>
                        <w:szCs w:val="21"/>
                      </w:rPr>
                    </w:pPr>
                  </w:p>
                </w:tc>
                <w:tc>
                  <w:tcPr>
                    <w:tcW w:w="402" w:type="pct"/>
                    <w:shd w:val="clear" w:color="auto" w:fill="auto"/>
                    <w:vAlign w:val="center"/>
                  </w:tcPr>
                  <w:p w:rsidR="00656332" w:rsidRDefault="00656332" w:rsidP="00B637B2">
                    <w:pPr>
                      <w:autoSpaceDE w:val="0"/>
                      <w:autoSpaceDN w:val="0"/>
                      <w:adjustRightInd w:val="0"/>
                      <w:snapToGrid w:val="0"/>
                      <w:jc w:val="right"/>
                      <w:rPr>
                        <w:szCs w:val="21"/>
                      </w:rPr>
                    </w:pPr>
                  </w:p>
                </w:tc>
                <w:tc>
                  <w:tcPr>
                    <w:tcW w:w="985" w:type="pct"/>
                    <w:shd w:val="clear" w:color="auto" w:fill="auto"/>
                    <w:vAlign w:val="center"/>
                  </w:tcPr>
                  <w:p w:rsidR="00656332" w:rsidRDefault="00656332" w:rsidP="00B637B2">
                    <w:pPr>
                      <w:autoSpaceDE w:val="0"/>
                      <w:autoSpaceDN w:val="0"/>
                      <w:adjustRightInd w:val="0"/>
                      <w:snapToGrid w:val="0"/>
                      <w:jc w:val="right"/>
                      <w:rPr>
                        <w:szCs w:val="21"/>
                      </w:rPr>
                    </w:pPr>
                    <w:r>
                      <w:t>12,659,937</w:t>
                    </w:r>
                  </w:p>
                </w:tc>
              </w:tr>
            </w:sdtContent>
          </w:sdt>
          <w:sdt>
            <w:sdtPr>
              <w:rPr>
                <w:rFonts w:cstheme="minorBidi"/>
                <w:kern w:val="2"/>
                <w:szCs w:val="21"/>
              </w:rPr>
              <w:alias w:val="商誉明细"/>
              <w:tag w:val="_GBC_916c5c3712e44d7db6b8c9e16bcf5865"/>
              <w:id w:val="1911968478"/>
              <w:lock w:val="sdtLocked"/>
            </w:sdtPr>
            <w:sdtEndPr>
              <w:rPr>
                <w:rFonts w:asciiTheme="minorHAnsi" w:eastAsiaTheme="minorEastAsia" w:hAnsiTheme="minorHAnsi"/>
              </w:rPr>
            </w:sdtEndPr>
            <w:sdtContent>
              <w:tr w:rsidR="00B637B2" w:rsidTr="00B637B2">
                <w:trPr>
                  <w:trHeight w:val="338"/>
                  <w:jc w:val="center"/>
                </w:trPr>
                <w:tc>
                  <w:tcPr>
                    <w:tcW w:w="1069" w:type="pct"/>
                    <w:shd w:val="clear" w:color="auto" w:fill="auto"/>
                  </w:tcPr>
                  <w:p w:rsidR="00656332" w:rsidRPr="00471624" w:rsidRDefault="00656332" w:rsidP="00433709">
                    <w:pPr>
                      <w:autoSpaceDE w:val="0"/>
                      <w:autoSpaceDN w:val="0"/>
                      <w:adjustRightInd w:val="0"/>
                      <w:snapToGrid w:val="0"/>
                      <w:rPr>
                        <w:szCs w:val="21"/>
                      </w:rPr>
                    </w:pPr>
                    <w:r w:rsidRPr="00471624">
                      <w:rPr>
                        <w:rFonts w:cs="Arial" w:hint="eastAsia"/>
                        <w:snapToGrid w:val="0"/>
                      </w:rPr>
                      <w:t>平强软件</w:t>
                    </w:r>
                  </w:p>
                </w:tc>
                <w:tc>
                  <w:tcPr>
                    <w:tcW w:w="937" w:type="pct"/>
                    <w:shd w:val="clear" w:color="auto" w:fill="auto"/>
                    <w:vAlign w:val="center"/>
                  </w:tcPr>
                  <w:p w:rsidR="00656332" w:rsidRPr="006B3219" w:rsidRDefault="00656332" w:rsidP="00B637B2">
                    <w:pPr>
                      <w:jc w:val="right"/>
                    </w:pPr>
                    <w:r w:rsidRPr="006B3219">
                      <w:t>10,454,182</w:t>
                    </w:r>
                  </w:p>
                </w:tc>
                <w:tc>
                  <w:tcPr>
                    <w:tcW w:w="643" w:type="pct"/>
                    <w:shd w:val="clear" w:color="auto" w:fill="auto"/>
                    <w:vAlign w:val="center"/>
                  </w:tcPr>
                  <w:p w:rsidR="00656332" w:rsidRDefault="00656332" w:rsidP="00B637B2">
                    <w:pPr>
                      <w:autoSpaceDE w:val="0"/>
                      <w:autoSpaceDN w:val="0"/>
                      <w:adjustRightInd w:val="0"/>
                      <w:snapToGrid w:val="0"/>
                      <w:jc w:val="right"/>
                      <w:rPr>
                        <w:szCs w:val="21"/>
                      </w:rPr>
                    </w:pPr>
                  </w:p>
                </w:tc>
                <w:tc>
                  <w:tcPr>
                    <w:tcW w:w="481" w:type="pct"/>
                    <w:shd w:val="clear" w:color="auto" w:fill="auto"/>
                    <w:vAlign w:val="center"/>
                  </w:tcPr>
                  <w:p w:rsidR="00656332" w:rsidRDefault="00656332" w:rsidP="00B637B2">
                    <w:pPr>
                      <w:autoSpaceDE w:val="0"/>
                      <w:autoSpaceDN w:val="0"/>
                      <w:adjustRightInd w:val="0"/>
                      <w:snapToGrid w:val="0"/>
                      <w:jc w:val="right"/>
                      <w:rPr>
                        <w:szCs w:val="21"/>
                      </w:rPr>
                    </w:pPr>
                  </w:p>
                </w:tc>
                <w:tc>
                  <w:tcPr>
                    <w:tcW w:w="483" w:type="pct"/>
                    <w:shd w:val="clear" w:color="auto" w:fill="auto"/>
                    <w:vAlign w:val="center"/>
                  </w:tcPr>
                  <w:p w:rsidR="00656332" w:rsidRDefault="00656332" w:rsidP="00B637B2">
                    <w:pPr>
                      <w:autoSpaceDE w:val="0"/>
                      <w:autoSpaceDN w:val="0"/>
                      <w:adjustRightInd w:val="0"/>
                      <w:snapToGrid w:val="0"/>
                      <w:jc w:val="right"/>
                      <w:rPr>
                        <w:szCs w:val="21"/>
                      </w:rPr>
                    </w:pPr>
                  </w:p>
                </w:tc>
                <w:tc>
                  <w:tcPr>
                    <w:tcW w:w="402" w:type="pct"/>
                    <w:shd w:val="clear" w:color="auto" w:fill="auto"/>
                    <w:vAlign w:val="center"/>
                  </w:tcPr>
                  <w:p w:rsidR="00656332" w:rsidRDefault="00656332" w:rsidP="00B637B2">
                    <w:pPr>
                      <w:autoSpaceDE w:val="0"/>
                      <w:autoSpaceDN w:val="0"/>
                      <w:adjustRightInd w:val="0"/>
                      <w:snapToGrid w:val="0"/>
                      <w:jc w:val="right"/>
                      <w:rPr>
                        <w:szCs w:val="21"/>
                      </w:rPr>
                    </w:pPr>
                  </w:p>
                </w:tc>
                <w:tc>
                  <w:tcPr>
                    <w:tcW w:w="985" w:type="pct"/>
                    <w:shd w:val="clear" w:color="auto" w:fill="auto"/>
                    <w:vAlign w:val="center"/>
                  </w:tcPr>
                  <w:p w:rsidR="00656332" w:rsidRDefault="00656332" w:rsidP="00B637B2">
                    <w:pPr>
                      <w:autoSpaceDE w:val="0"/>
                      <w:autoSpaceDN w:val="0"/>
                      <w:adjustRightInd w:val="0"/>
                      <w:snapToGrid w:val="0"/>
                      <w:jc w:val="right"/>
                      <w:rPr>
                        <w:szCs w:val="21"/>
                      </w:rPr>
                    </w:pPr>
                    <w:r>
                      <w:t>10,454,182</w:t>
                    </w:r>
                  </w:p>
                </w:tc>
              </w:tr>
            </w:sdtContent>
          </w:sdt>
          <w:sdt>
            <w:sdtPr>
              <w:rPr>
                <w:rFonts w:cstheme="minorBidi"/>
                <w:kern w:val="2"/>
                <w:szCs w:val="21"/>
              </w:rPr>
              <w:alias w:val="商誉明细"/>
              <w:tag w:val="_GBC_916c5c3712e44d7db6b8c9e16bcf5865"/>
              <w:id w:val="1873339960"/>
              <w:lock w:val="sdtLocked"/>
            </w:sdtPr>
            <w:sdtEndPr>
              <w:rPr>
                <w:rFonts w:asciiTheme="minorHAnsi" w:eastAsiaTheme="minorEastAsia" w:hAnsiTheme="minorHAnsi"/>
              </w:rPr>
            </w:sdtEndPr>
            <w:sdtContent>
              <w:tr w:rsidR="00B637B2" w:rsidTr="00B637B2">
                <w:trPr>
                  <w:trHeight w:val="338"/>
                  <w:jc w:val="center"/>
                </w:trPr>
                <w:tc>
                  <w:tcPr>
                    <w:tcW w:w="1069" w:type="pct"/>
                    <w:shd w:val="clear" w:color="auto" w:fill="auto"/>
                  </w:tcPr>
                  <w:p w:rsidR="00656332" w:rsidRPr="00471624" w:rsidRDefault="00656332" w:rsidP="00433709">
                    <w:pPr>
                      <w:autoSpaceDE w:val="0"/>
                      <w:autoSpaceDN w:val="0"/>
                      <w:adjustRightInd w:val="0"/>
                      <w:snapToGrid w:val="0"/>
                      <w:rPr>
                        <w:szCs w:val="21"/>
                      </w:rPr>
                    </w:pPr>
                    <w:r w:rsidRPr="00471624">
                      <w:rPr>
                        <w:rFonts w:cs="Arial" w:hint="eastAsia"/>
                        <w:snapToGrid w:val="0"/>
                      </w:rPr>
                      <w:t>用友医院</w:t>
                    </w:r>
                  </w:p>
                </w:tc>
                <w:tc>
                  <w:tcPr>
                    <w:tcW w:w="937" w:type="pct"/>
                    <w:shd w:val="clear" w:color="auto" w:fill="auto"/>
                    <w:vAlign w:val="center"/>
                  </w:tcPr>
                  <w:p w:rsidR="00656332" w:rsidRPr="006B3219" w:rsidRDefault="00656332" w:rsidP="00B637B2">
                    <w:pPr>
                      <w:jc w:val="right"/>
                    </w:pPr>
                    <w:r w:rsidRPr="006B3219">
                      <w:t>7,602,648</w:t>
                    </w:r>
                  </w:p>
                </w:tc>
                <w:tc>
                  <w:tcPr>
                    <w:tcW w:w="643" w:type="pct"/>
                    <w:shd w:val="clear" w:color="auto" w:fill="auto"/>
                    <w:vAlign w:val="center"/>
                  </w:tcPr>
                  <w:p w:rsidR="00656332" w:rsidRDefault="00656332" w:rsidP="00B637B2">
                    <w:pPr>
                      <w:autoSpaceDE w:val="0"/>
                      <w:autoSpaceDN w:val="0"/>
                      <w:adjustRightInd w:val="0"/>
                      <w:snapToGrid w:val="0"/>
                      <w:jc w:val="right"/>
                      <w:rPr>
                        <w:szCs w:val="21"/>
                      </w:rPr>
                    </w:pPr>
                  </w:p>
                </w:tc>
                <w:tc>
                  <w:tcPr>
                    <w:tcW w:w="481" w:type="pct"/>
                    <w:shd w:val="clear" w:color="auto" w:fill="auto"/>
                    <w:vAlign w:val="center"/>
                  </w:tcPr>
                  <w:p w:rsidR="00656332" w:rsidRDefault="00656332" w:rsidP="00B637B2">
                    <w:pPr>
                      <w:autoSpaceDE w:val="0"/>
                      <w:autoSpaceDN w:val="0"/>
                      <w:adjustRightInd w:val="0"/>
                      <w:snapToGrid w:val="0"/>
                      <w:jc w:val="right"/>
                      <w:rPr>
                        <w:szCs w:val="21"/>
                      </w:rPr>
                    </w:pPr>
                  </w:p>
                </w:tc>
                <w:tc>
                  <w:tcPr>
                    <w:tcW w:w="483" w:type="pct"/>
                    <w:shd w:val="clear" w:color="auto" w:fill="auto"/>
                    <w:vAlign w:val="center"/>
                  </w:tcPr>
                  <w:p w:rsidR="00656332" w:rsidRDefault="00656332" w:rsidP="00B637B2">
                    <w:pPr>
                      <w:autoSpaceDE w:val="0"/>
                      <w:autoSpaceDN w:val="0"/>
                      <w:adjustRightInd w:val="0"/>
                      <w:snapToGrid w:val="0"/>
                      <w:jc w:val="right"/>
                      <w:rPr>
                        <w:szCs w:val="21"/>
                      </w:rPr>
                    </w:pPr>
                  </w:p>
                </w:tc>
                <w:tc>
                  <w:tcPr>
                    <w:tcW w:w="402" w:type="pct"/>
                    <w:shd w:val="clear" w:color="auto" w:fill="auto"/>
                    <w:vAlign w:val="center"/>
                  </w:tcPr>
                  <w:p w:rsidR="00656332" w:rsidRDefault="00656332" w:rsidP="00B637B2">
                    <w:pPr>
                      <w:autoSpaceDE w:val="0"/>
                      <w:autoSpaceDN w:val="0"/>
                      <w:adjustRightInd w:val="0"/>
                      <w:snapToGrid w:val="0"/>
                      <w:jc w:val="right"/>
                      <w:rPr>
                        <w:szCs w:val="21"/>
                      </w:rPr>
                    </w:pPr>
                  </w:p>
                </w:tc>
                <w:tc>
                  <w:tcPr>
                    <w:tcW w:w="985" w:type="pct"/>
                    <w:shd w:val="clear" w:color="auto" w:fill="auto"/>
                    <w:vAlign w:val="center"/>
                  </w:tcPr>
                  <w:p w:rsidR="00656332" w:rsidRDefault="00656332" w:rsidP="00B637B2">
                    <w:pPr>
                      <w:autoSpaceDE w:val="0"/>
                      <w:autoSpaceDN w:val="0"/>
                      <w:adjustRightInd w:val="0"/>
                      <w:snapToGrid w:val="0"/>
                      <w:jc w:val="right"/>
                      <w:rPr>
                        <w:szCs w:val="21"/>
                      </w:rPr>
                    </w:pPr>
                    <w:r>
                      <w:t>7,602,648</w:t>
                    </w:r>
                  </w:p>
                </w:tc>
              </w:tr>
            </w:sdtContent>
          </w:sdt>
          <w:sdt>
            <w:sdtPr>
              <w:rPr>
                <w:rFonts w:cstheme="minorBidi"/>
                <w:kern w:val="2"/>
                <w:szCs w:val="21"/>
              </w:rPr>
              <w:alias w:val="商誉明细"/>
              <w:tag w:val="_GBC_916c5c3712e44d7db6b8c9e16bcf5865"/>
              <w:id w:val="1791702676"/>
              <w:lock w:val="sdtLocked"/>
            </w:sdtPr>
            <w:sdtEndPr>
              <w:rPr>
                <w:rFonts w:asciiTheme="minorHAnsi" w:eastAsiaTheme="minorEastAsia" w:hAnsiTheme="minorHAnsi"/>
              </w:rPr>
            </w:sdtEndPr>
            <w:sdtContent>
              <w:tr w:rsidR="00B637B2" w:rsidTr="00B637B2">
                <w:trPr>
                  <w:trHeight w:val="338"/>
                  <w:jc w:val="center"/>
                </w:trPr>
                <w:tc>
                  <w:tcPr>
                    <w:tcW w:w="1069" w:type="pct"/>
                    <w:shd w:val="clear" w:color="auto" w:fill="auto"/>
                  </w:tcPr>
                  <w:p w:rsidR="00656332" w:rsidRPr="00471624" w:rsidRDefault="00656332" w:rsidP="00433709">
                    <w:pPr>
                      <w:autoSpaceDE w:val="0"/>
                      <w:autoSpaceDN w:val="0"/>
                      <w:adjustRightInd w:val="0"/>
                      <w:snapToGrid w:val="0"/>
                      <w:rPr>
                        <w:szCs w:val="21"/>
                      </w:rPr>
                    </w:pPr>
                    <w:r w:rsidRPr="00471624">
                      <w:rPr>
                        <w:rFonts w:cs="Arial" w:hint="eastAsia"/>
                        <w:snapToGrid w:val="0"/>
                      </w:rPr>
                      <w:t>上海哈久</w:t>
                    </w:r>
                  </w:p>
                </w:tc>
                <w:tc>
                  <w:tcPr>
                    <w:tcW w:w="937" w:type="pct"/>
                    <w:shd w:val="clear" w:color="auto" w:fill="auto"/>
                    <w:vAlign w:val="center"/>
                  </w:tcPr>
                  <w:p w:rsidR="00656332" w:rsidRPr="006B3219" w:rsidRDefault="00656332" w:rsidP="00B637B2">
                    <w:pPr>
                      <w:jc w:val="right"/>
                    </w:pPr>
                    <w:r w:rsidRPr="006B3219">
                      <w:t>6,637,723</w:t>
                    </w:r>
                  </w:p>
                </w:tc>
                <w:tc>
                  <w:tcPr>
                    <w:tcW w:w="643" w:type="pct"/>
                    <w:shd w:val="clear" w:color="auto" w:fill="auto"/>
                    <w:vAlign w:val="center"/>
                  </w:tcPr>
                  <w:p w:rsidR="00656332" w:rsidRDefault="00656332" w:rsidP="00B637B2">
                    <w:pPr>
                      <w:autoSpaceDE w:val="0"/>
                      <w:autoSpaceDN w:val="0"/>
                      <w:adjustRightInd w:val="0"/>
                      <w:snapToGrid w:val="0"/>
                      <w:jc w:val="right"/>
                      <w:rPr>
                        <w:szCs w:val="21"/>
                      </w:rPr>
                    </w:pPr>
                  </w:p>
                </w:tc>
                <w:tc>
                  <w:tcPr>
                    <w:tcW w:w="481" w:type="pct"/>
                    <w:shd w:val="clear" w:color="auto" w:fill="auto"/>
                    <w:vAlign w:val="center"/>
                  </w:tcPr>
                  <w:p w:rsidR="00656332" w:rsidRDefault="00656332" w:rsidP="00B637B2">
                    <w:pPr>
                      <w:autoSpaceDE w:val="0"/>
                      <w:autoSpaceDN w:val="0"/>
                      <w:adjustRightInd w:val="0"/>
                      <w:snapToGrid w:val="0"/>
                      <w:jc w:val="right"/>
                      <w:rPr>
                        <w:szCs w:val="21"/>
                      </w:rPr>
                    </w:pPr>
                  </w:p>
                </w:tc>
                <w:tc>
                  <w:tcPr>
                    <w:tcW w:w="483" w:type="pct"/>
                    <w:shd w:val="clear" w:color="auto" w:fill="auto"/>
                    <w:vAlign w:val="center"/>
                  </w:tcPr>
                  <w:p w:rsidR="00656332" w:rsidRDefault="00656332" w:rsidP="00B637B2">
                    <w:pPr>
                      <w:autoSpaceDE w:val="0"/>
                      <w:autoSpaceDN w:val="0"/>
                      <w:adjustRightInd w:val="0"/>
                      <w:snapToGrid w:val="0"/>
                      <w:jc w:val="right"/>
                      <w:rPr>
                        <w:szCs w:val="21"/>
                      </w:rPr>
                    </w:pPr>
                  </w:p>
                </w:tc>
                <w:tc>
                  <w:tcPr>
                    <w:tcW w:w="402" w:type="pct"/>
                    <w:shd w:val="clear" w:color="auto" w:fill="auto"/>
                    <w:vAlign w:val="center"/>
                  </w:tcPr>
                  <w:p w:rsidR="00656332" w:rsidRDefault="00656332" w:rsidP="00B637B2">
                    <w:pPr>
                      <w:autoSpaceDE w:val="0"/>
                      <w:autoSpaceDN w:val="0"/>
                      <w:adjustRightInd w:val="0"/>
                      <w:snapToGrid w:val="0"/>
                      <w:jc w:val="right"/>
                      <w:rPr>
                        <w:szCs w:val="21"/>
                      </w:rPr>
                    </w:pPr>
                  </w:p>
                </w:tc>
                <w:tc>
                  <w:tcPr>
                    <w:tcW w:w="985" w:type="pct"/>
                    <w:shd w:val="clear" w:color="auto" w:fill="auto"/>
                    <w:vAlign w:val="center"/>
                  </w:tcPr>
                  <w:p w:rsidR="00656332" w:rsidRDefault="00656332" w:rsidP="00B637B2">
                    <w:pPr>
                      <w:autoSpaceDE w:val="0"/>
                      <w:autoSpaceDN w:val="0"/>
                      <w:adjustRightInd w:val="0"/>
                      <w:snapToGrid w:val="0"/>
                      <w:jc w:val="right"/>
                      <w:rPr>
                        <w:szCs w:val="21"/>
                      </w:rPr>
                    </w:pPr>
                    <w:r>
                      <w:t>6,637,723</w:t>
                    </w:r>
                  </w:p>
                </w:tc>
              </w:tr>
            </w:sdtContent>
          </w:sdt>
          <w:sdt>
            <w:sdtPr>
              <w:rPr>
                <w:rFonts w:cstheme="minorBidi"/>
                <w:kern w:val="2"/>
                <w:szCs w:val="21"/>
              </w:rPr>
              <w:alias w:val="商誉明细"/>
              <w:tag w:val="_GBC_916c5c3712e44d7db6b8c9e16bcf5865"/>
              <w:id w:val="580344673"/>
              <w:lock w:val="sdtLocked"/>
            </w:sdtPr>
            <w:sdtEndPr>
              <w:rPr>
                <w:rFonts w:asciiTheme="minorHAnsi" w:eastAsiaTheme="minorEastAsia" w:hAnsiTheme="minorHAnsi"/>
              </w:rPr>
            </w:sdtEndPr>
            <w:sdtContent>
              <w:tr w:rsidR="00B637B2" w:rsidTr="00B637B2">
                <w:trPr>
                  <w:trHeight w:val="338"/>
                  <w:jc w:val="center"/>
                </w:trPr>
                <w:tc>
                  <w:tcPr>
                    <w:tcW w:w="1069" w:type="pct"/>
                    <w:shd w:val="clear" w:color="auto" w:fill="auto"/>
                  </w:tcPr>
                  <w:p w:rsidR="00656332" w:rsidRPr="00471624" w:rsidRDefault="00656332" w:rsidP="00433709">
                    <w:pPr>
                      <w:autoSpaceDE w:val="0"/>
                      <w:autoSpaceDN w:val="0"/>
                      <w:adjustRightInd w:val="0"/>
                      <w:snapToGrid w:val="0"/>
                      <w:rPr>
                        <w:szCs w:val="21"/>
                      </w:rPr>
                    </w:pPr>
                    <w:r w:rsidRPr="00471624">
                      <w:rPr>
                        <w:rFonts w:cs="Arial" w:hint="eastAsia"/>
                        <w:snapToGrid w:val="0"/>
                      </w:rPr>
                      <w:t>重庆迈特</w:t>
                    </w:r>
                  </w:p>
                </w:tc>
                <w:tc>
                  <w:tcPr>
                    <w:tcW w:w="937" w:type="pct"/>
                    <w:shd w:val="clear" w:color="auto" w:fill="auto"/>
                    <w:vAlign w:val="center"/>
                  </w:tcPr>
                  <w:p w:rsidR="00656332" w:rsidRPr="006B3219" w:rsidRDefault="00656332" w:rsidP="00B637B2">
                    <w:pPr>
                      <w:jc w:val="right"/>
                    </w:pPr>
                    <w:r w:rsidRPr="006B3219">
                      <w:t>5,709,400</w:t>
                    </w:r>
                  </w:p>
                </w:tc>
                <w:tc>
                  <w:tcPr>
                    <w:tcW w:w="643" w:type="pct"/>
                    <w:shd w:val="clear" w:color="auto" w:fill="auto"/>
                    <w:vAlign w:val="center"/>
                  </w:tcPr>
                  <w:p w:rsidR="00656332" w:rsidRDefault="00656332" w:rsidP="00B637B2">
                    <w:pPr>
                      <w:autoSpaceDE w:val="0"/>
                      <w:autoSpaceDN w:val="0"/>
                      <w:adjustRightInd w:val="0"/>
                      <w:snapToGrid w:val="0"/>
                      <w:jc w:val="right"/>
                      <w:rPr>
                        <w:szCs w:val="21"/>
                      </w:rPr>
                    </w:pPr>
                  </w:p>
                </w:tc>
                <w:tc>
                  <w:tcPr>
                    <w:tcW w:w="481" w:type="pct"/>
                    <w:shd w:val="clear" w:color="auto" w:fill="auto"/>
                    <w:vAlign w:val="center"/>
                  </w:tcPr>
                  <w:p w:rsidR="00656332" w:rsidRDefault="00656332" w:rsidP="00B637B2">
                    <w:pPr>
                      <w:autoSpaceDE w:val="0"/>
                      <w:autoSpaceDN w:val="0"/>
                      <w:adjustRightInd w:val="0"/>
                      <w:snapToGrid w:val="0"/>
                      <w:jc w:val="right"/>
                      <w:rPr>
                        <w:szCs w:val="21"/>
                      </w:rPr>
                    </w:pPr>
                  </w:p>
                </w:tc>
                <w:tc>
                  <w:tcPr>
                    <w:tcW w:w="483" w:type="pct"/>
                    <w:shd w:val="clear" w:color="auto" w:fill="auto"/>
                    <w:vAlign w:val="center"/>
                  </w:tcPr>
                  <w:p w:rsidR="00656332" w:rsidRDefault="00656332" w:rsidP="00B637B2">
                    <w:pPr>
                      <w:autoSpaceDE w:val="0"/>
                      <w:autoSpaceDN w:val="0"/>
                      <w:adjustRightInd w:val="0"/>
                      <w:snapToGrid w:val="0"/>
                      <w:jc w:val="right"/>
                      <w:rPr>
                        <w:szCs w:val="21"/>
                      </w:rPr>
                    </w:pPr>
                  </w:p>
                </w:tc>
                <w:tc>
                  <w:tcPr>
                    <w:tcW w:w="402" w:type="pct"/>
                    <w:shd w:val="clear" w:color="auto" w:fill="auto"/>
                    <w:vAlign w:val="center"/>
                  </w:tcPr>
                  <w:p w:rsidR="00656332" w:rsidRDefault="00656332" w:rsidP="00B637B2">
                    <w:pPr>
                      <w:autoSpaceDE w:val="0"/>
                      <w:autoSpaceDN w:val="0"/>
                      <w:adjustRightInd w:val="0"/>
                      <w:snapToGrid w:val="0"/>
                      <w:jc w:val="right"/>
                      <w:rPr>
                        <w:szCs w:val="21"/>
                      </w:rPr>
                    </w:pPr>
                  </w:p>
                </w:tc>
                <w:tc>
                  <w:tcPr>
                    <w:tcW w:w="985" w:type="pct"/>
                    <w:shd w:val="clear" w:color="auto" w:fill="auto"/>
                    <w:vAlign w:val="center"/>
                  </w:tcPr>
                  <w:p w:rsidR="00656332" w:rsidRDefault="00656332" w:rsidP="00B637B2">
                    <w:pPr>
                      <w:autoSpaceDE w:val="0"/>
                      <w:autoSpaceDN w:val="0"/>
                      <w:adjustRightInd w:val="0"/>
                      <w:snapToGrid w:val="0"/>
                      <w:jc w:val="right"/>
                      <w:rPr>
                        <w:szCs w:val="21"/>
                      </w:rPr>
                    </w:pPr>
                    <w:r>
                      <w:t>5,709,400</w:t>
                    </w:r>
                  </w:p>
                </w:tc>
              </w:tr>
            </w:sdtContent>
          </w:sdt>
          <w:sdt>
            <w:sdtPr>
              <w:rPr>
                <w:rFonts w:cstheme="minorBidi"/>
                <w:kern w:val="2"/>
                <w:szCs w:val="21"/>
              </w:rPr>
              <w:alias w:val="商誉明细"/>
              <w:tag w:val="_GBC_916c5c3712e44d7db6b8c9e16bcf5865"/>
              <w:id w:val="-572968273"/>
              <w:lock w:val="sdtLocked"/>
            </w:sdtPr>
            <w:sdtEndPr>
              <w:rPr>
                <w:rFonts w:asciiTheme="minorHAnsi" w:eastAsiaTheme="minorEastAsia" w:hAnsiTheme="minorHAnsi"/>
              </w:rPr>
            </w:sdtEndPr>
            <w:sdtContent>
              <w:tr w:rsidR="00B637B2" w:rsidTr="00B637B2">
                <w:trPr>
                  <w:trHeight w:val="338"/>
                  <w:jc w:val="center"/>
                </w:trPr>
                <w:tc>
                  <w:tcPr>
                    <w:tcW w:w="1069" w:type="pct"/>
                    <w:shd w:val="clear" w:color="auto" w:fill="auto"/>
                  </w:tcPr>
                  <w:p w:rsidR="00656332" w:rsidRPr="00471624" w:rsidRDefault="00656332" w:rsidP="00433709">
                    <w:pPr>
                      <w:autoSpaceDE w:val="0"/>
                      <w:autoSpaceDN w:val="0"/>
                      <w:adjustRightInd w:val="0"/>
                      <w:snapToGrid w:val="0"/>
                      <w:rPr>
                        <w:szCs w:val="21"/>
                      </w:rPr>
                    </w:pPr>
                    <w:r w:rsidRPr="00471624">
                      <w:rPr>
                        <w:rFonts w:cs="Arial" w:hint="eastAsia"/>
                        <w:snapToGrid w:val="0"/>
                      </w:rPr>
                      <w:t>珠海用友</w:t>
                    </w:r>
                  </w:p>
                </w:tc>
                <w:tc>
                  <w:tcPr>
                    <w:tcW w:w="937" w:type="pct"/>
                    <w:shd w:val="clear" w:color="auto" w:fill="auto"/>
                    <w:vAlign w:val="center"/>
                  </w:tcPr>
                  <w:p w:rsidR="00656332" w:rsidRPr="006B3219" w:rsidRDefault="00656332" w:rsidP="00B637B2">
                    <w:pPr>
                      <w:jc w:val="right"/>
                    </w:pPr>
                    <w:r w:rsidRPr="006B3219">
                      <w:t>4,778,619</w:t>
                    </w:r>
                  </w:p>
                </w:tc>
                <w:tc>
                  <w:tcPr>
                    <w:tcW w:w="643" w:type="pct"/>
                    <w:shd w:val="clear" w:color="auto" w:fill="auto"/>
                    <w:vAlign w:val="center"/>
                  </w:tcPr>
                  <w:p w:rsidR="00656332" w:rsidRDefault="00656332" w:rsidP="00B637B2">
                    <w:pPr>
                      <w:autoSpaceDE w:val="0"/>
                      <w:autoSpaceDN w:val="0"/>
                      <w:adjustRightInd w:val="0"/>
                      <w:snapToGrid w:val="0"/>
                      <w:jc w:val="right"/>
                      <w:rPr>
                        <w:szCs w:val="21"/>
                      </w:rPr>
                    </w:pPr>
                  </w:p>
                </w:tc>
                <w:tc>
                  <w:tcPr>
                    <w:tcW w:w="481" w:type="pct"/>
                    <w:shd w:val="clear" w:color="auto" w:fill="auto"/>
                    <w:vAlign w:val="center"/>
                  </w:tcPr>
                  <w:p w:rsidR="00656332" w:rsidRDefault="00656332" w:rsidP="00B637B2">
                    <w:pPr>
                      <w:autoSpaceDE w:val="0"/>
                      <w:autoSpaceDN w:val="0"/>
                      <w:adjustRightInd w:val="0"/>
                      <w:snapToGrid w:val="0"/>
                      <w:jc w:val="right"/>
                      <w:rPr>
                        <w:szCs w:val="21"/>
                      </w:rPr>
                    </w:pPr>
                  </w:p>
                </w:tc>
                <w:tc>
                  <w:tcPr>
                    <w:tcW w:w="483" w:type="pct"/>
                    <w:shd w:val="clear" w:color="auto" w:fill="auto"/>
                    <w:vAlign w:val="center"/>
                  </w:tcPr>
                  <w:p w:rsidR="00656332" w:rsidRDefault="00656332" w:rsidP="00B637B2">
                    <w:pPr>
                      <w:autoSpaceDE w:val="0"/>
                      <w:autoSpaceDN w:val="0"/>
                      <w:adjustRightInd w:val="0"/>
                      <w:snapToGrid w:val="0"/>
                      <w:jc w:val="right"/>
                      <w:rPr>
                        <w:szCs w:val="21"/>
                      </w:rPr>
                    </w:pPr>
                  </w:p>
                </w:tc>
                <w:tc>
                  <w:tcPr>
                    <w:tcW w:w="402" w:type="pct"/>
                    <w:shd w:val="clear" w:color="auto" w:fill="auto"/>
                    <w:vAlign w:val="center"/>
                  </w:tcPr>
                  <w:p w:rsidR="00656332" w:rsidRDefault="00656332" w:rsidP="00B637B2">
                    <w:pPr>
                      <w:autoSpaceDE w:val="0"/>
                      <w:autoSpaceDN w:val="0"/>
                      <w:adjustRightInd w:val="0"/>
                      <w:snapToGrid w:val="0"/>
                      <w:jc w:val="right"/>
                      <w:rPr>
                        <w:szCs w:val="21"/>
                      </w:rPr>
                    </w:pPr>
                  </w:p>
                </w:tc>
                <w:tc>
                  <w:tcPr>
                    <w:tcW w:w="985" w:type="pct"/>
                    <w:shd w:val="clear" w:color="auto" w:fill="auto"/>
                    <w:vAlign w:val="center"/>
                  </w:tcPr>
                  <w:p w:rsidR="00656332" w:rsidRDefault="00656332" w:rsidP="00B637B2">
                    <w:pPr>
                      <w:autoSpaceDE w:val="0"/>
                      <w:autoSpaceDN w:val="0"/>
                      <w:adjustRightInd w:val="0"/>
                      <w:snapToGrid w:val="0"/>
                      <w:jc w:val="right"/>
                      <w:rPr>
                        <w:szCs w:val="21"/>
                      </w:rPr>
                    </w:pPr>
                    <w:r>
                      <w:t>4,778,619</w:t>
                    </w:r>
                  </w:p>
                </w:tc>
              </w:tr>
            </w:sdtContent>
          </w:sdt>
          <w:sdt>
            <w:sdtPr>
              <w:rPr>
                <w:rFonts w:cstheme="minorBidi"/>
                <w:kern w:val="2"/>
                <w:szCs w:val="21"/>
              </w:rPr>
              <w:alias w:val="商誉明细"/>
              <w:tag w:val="_GBC_916c5c3712e44d7db6b8c9e16bcf5865"/>
              <w:id w:val="-963122415"/>
              <w:lock w:val="sdtLocked"/>
            </w:sdtPr>
            <w:sdtEndPr>
              <w:rPr>
                <w:rFonts w:asciiTheme="minorHAnsi" w:eastAsiaTheme="minorEastAsia" w:hAnsiTheme="minorHAnsi"/>
              </w:rPr>
            </w:sdtEndPr>
            <w:sdtContent>
              <w:tr w:rsidR="00B637B2" w:rsidTr="00B637B2">
                <w:trPr>
                  <w:trHeight w:val="338"/>
                  <w:jc w:val="center"/>
                </w:trPr>
                <w:tc>
                  <w:tcPr>
                    <w:tcW w:w="1069" w:type="pct"/>
                    <w:shd w:val="clear" w:color="auto" w:fill="auto"/>
                  </w:tcPr>
                  <w:p w:rsidR="00656332" w:rsidRPr="00471624" w:rsidRDefault="00656332" w:rsidP="00433709">
                    <w:pPr>
                      <w:autoSpaceDE w:val="0"/>
                      <w:autoSpaceDN w:val="0"/>
                      <w:adjustRightInd w:val="0"/>
                      <w:snapToGrid w:val="0"/>
                      <w:rPr>
                        <w:szCs w:val="21"/>
                      </w:rPr>
                    </w:pPr>
                    <w:r w:rsidRPr="00471624">
                      <w:rPr>
                        <w:rFonts w:cs="Arial" w:hint="eastAsia"/>
                        <w:snapToGrid w:val="0"/>
                      </w:rPr>
                      <w:t>徐州用友</w:t>
                    </w:r>
                  </w:p>
                </w:tc>
                <w:tc>
                  <w:tcPr>
                    <w:tcW w:w="937" w:type="pct"/>
                    <w:shd w:val="clear" w:color="auto" w:fill="auto"/>
                    <w:vAlign w:val="center"/>
                  </w:tcPr>
                  <w:p w:rsidR="00656332" w:rsidRPr="006B3219" w:rsidRDefault="00656332" w:rsidP="00B637B2">
                    <w:pPr>
                      <w:jc w:val="right"/>
                    </w:pPr>
                    <w:r w:rsidRPr="006B3219">
                      <w:t>3,497,241</w:t>
                    </w:r>
                  </w:p>
                </w:tc>
                <w:tc>
                  <w:tcPr>
                    <w:tcW w:w="643" w:type="pct"/>
                    <w:shd w:val="clear" w:color="auto" w:fill="auto"/>
                    <w:vAlign w:val="center"/>
                  </w:tcPr>
                  <w:p w:rsidR="00656332" w:rsidRDefault="00656332" w:rsidP="00B637B2">
                    <w:pPr>
                      <w:autoSpaceDE w:val="0"/>
                      <w:autoSpaceDN w:val="0"/>
                      <w:adjustRightInd w:val="0"/>
                      <w:snapToGrid w:val="0"/>
                      <w:jc w:val="right"/>
                      <w:rPr>
                        <w:szCs w:val="21"/>
                      </w:rPr>
                    </w:pPr>
                  </w:p>
                </w:tc>
                <w:tc>
                  <w:tcPr>
                    <w:tcW w:w="481" w:type="pct"/>
                    <w:shd w:val="clear" w:color="auto" w:fill="auto"/>
                    <w:vAlign w:val="center"/>
                  </w:tcPr>
                  <w:p w:rsidR="00656332" w:rsidRDefault="00656332" w:rsidP="00B637B2">
                    <w:pPr>
                      <w:autoSpaceDE w:val="0"/>
                      <w:autoSpaceDN w:val="0"/>
                      <w:adjustRightInd w:val="0"/>
                      <w:snapToGrid w:val="0"/>
                      <w:jc w:val="right"/>
                      <w:rPr>
                        <w:szCs w:val="21"/>
                      </w:rPr>
                    </w:pPr>
                  </w:p>
                </w:tc>
                <w:tc>
                  <w:tcPr>
                    <w:tcW w:w="483" w:type="pct"/>
                    <w:shd w:val="clear" w:color="auto" w:fill="auto"/>
                    <w:vAlign w:val="center"/>
                  </w:tcPr>
                  <w:p w:rsidR="00656332" w:rsidRDefault="00656332" w:rsidP="00B637B2">
                    <w:pPr>
                      <w:autoSpaceDE w:val="0"/>
                      <w:autoSpaceDN w:val="0"/>
                      <w:adjustRightInd w:val="0"/>
                      <w:snapToGrid w:val="0"/>
                      <w:jc w:val="right"/>
                      <w:rPr>
                        <w:szCs w:val="21"/>
                      </w:rPr>
                    </w:pPr>
                  </w:p>
                </w:tc>
                <w:tc>
                  <w:tcPr>
                    <w:tcW w:w="402" w:type="pct"/>
                    <w:shd w:val="clear" w:color="auto" w:fill="auto"/>
                    <w:vAlign w:val="center"/>
                  </w:tcPr>
                  <w:p w:rsidR="00656332" w:rsidRDefault="00656332" w:rsidP="00B637B2">
                    <w:pPr>
                      <w:autoSpaceDE w:val="0"/>
                      <w:autoSpaceDN w:val="0"/>
                      <w:adjustRightInd w:val="0"/>
                      <w:snapToGrid w:val="0"/>
                      <w:jc w:val="right"/>
                      <w:rPr>
                        <w:szCs w:val="21"/>
                      </w:rPr>
                    </w:pPr>
                  </w:p>
                </w:tc>
                <w:tc>
                  <w:tcPr>
                    <w:tcW w:w="985" w:type="pct"/>
                    <w:shd w:val="clear" w:color="auto" w:fill="auto"/>
                    <w:vAlign w:val="center"/>
                  </w:tcPr>
                  <w:p w:rsidR="00656332" w:rsidRDefault="00656332" w:rsidP="00B637B2">
                    <w:pPr>
                      <w:autoSpaceDE w:val="0"/>
                      <w:autoSpaceDN w:val="0"/>
                      <w:adjustRightInd w:val="0"/>
                      <w:snapToGrid w:val="0"/>
                      <w:jc w:val="right"/>
                      <w:rPr>
                        <w:szCs w:val="21"/>
                      </w:rPr>
                    </w:pPr>
                    <w:r>
                      <w:t>3,497,241</w:t>
                    </w:r>
                  </w:p>
                </w:tc>
              </w:tr>
            </w:sdtContent>
          </w:sdt>
          <w:sdt>
            <w:sdtPr>
              <w:rPr>
                <w:rFonts w:cstheme="minorBidi"/>
                <w:kern w:val="2"/>
                <w:szCs w:val="21"/>
              </w:rPr>
              <w:alias w:val="商誉明细"/>
              <w:tag w:val="_GBC_916c5c3712e44d7db6b8c9e16bcf5865"/>
              <w:id w:val="1534537557"/>
              <w:lock w:val="sdtLocked"/>
            </w:sdtPr>
            <w:sdtEndPr>
              <w:rPr>
                <w:rFonts w:asciiTheme="minorHAnsi" w:eastAsiaTheme="minorEastAsia" w:hAnsiTheme="minorHAnsi"/>
              </w:rPr>
            </w:sdtEndPr>
            <w:sdtContent>
              <w:tr w:rsidR="00B637B2" w:rsidTr="00B637B2">
                <w:trPr>
                  <w:trHeight w:val="338"/>
                  <w:jc w:val="center"/>
                </w:trPr>
                <w:tc>
                  <w:tcPr>
                    <w:tcW w:w="1069" w:type="pct"/>
                    <w:shd w:val="clear" w:color="auto" w:fill="auto"/>
                  </w:tcPr>
                  <w:p w:rsidR="00656332" w:rsidRPr="00471624" w:rsidRDefault="00656332" w:rsidP="00433709">
                    <w:pPr>
                      <w:autoSpaceDE w:val="0"/>
                      <w:autoSpaceDN w:val="0"/>
                      <w:adjustRightInd w:val="0"/>
                      <w:snapToGrid w:val="0"/>
                      <w:rPr>
                        <w:szCs w:val="21"/>
                      </w:rPr>
                    </w:pPr>
                    <w:r w:rsidRPr="00471624">
                      <w:rPr>
                        <w:rFonts w:cs="Arial" w:hint="eastAsia"/>
                        <w:snapToGrid w:val="0"/>
                      </w:rPr>
                      <w:t>常州用友</w:t>
                    </w:r>
                  </w:p>
                </w:tc>
                <w:tc>
                  <w:tcPr>
                    <w:tcW w:w="937" w:type="pct"/>
                    <w:shd w:val="clear" w:color="auto" w:fill="auto"/>
                    <w:vAlign w:val="center"/>
                  </w:tcPr>
                  <w:p w:rsidR="00656332" w:rsidRPr="006B3219" w:rsidRDefault="00656332" w:rsidP="00B637B2">
                    <w:pPr>
                      <w:jc w:val="right"/>
                    </w:pPr>
                    <w:r w:rsidRPr="006B3219">
                      <w:t>3,115,084</w:t>
                    </w:r>
                  </w:p>
                </w:tc>
                <w:tc>
                  <w:tcPr>
                    <w:tcW w:w="643" w:type="pct"/>
                    <w:shd w:val="clear" w:color="auto" w:fill="auto"/>
                    <w:vAlign w:val="center"/>
                  </w:tcPr>
                  <w:p w:rsidR="00656332" w:rsidRDefault="00656332" w:rsidP="00B637B2">
                    <w:pPr>
                      <w:autoSpaceDE w:val="0"/>
                      <w:autoSpaceDN w:val="0"/>
                      <w:adjustRightInd w:val="0"/>
                      <w:snapToGrid w:val="0"/>
                      <w:jc w:val="right"/>
                      <w:rPr>
                        <w:szCs w:val="21"/>
                      </w:rPr>
                    </w:pPr>
                  </w:p>
                </w:tc>
                <w:tc>
                  <w:tcPr>
                    <w:tcW w:w="481" w:type="pct"/>
                    <w:shd w:val="clear" w:color="auto" w:fill="auto"/>
                    <w:vAlign w:val="center"/>
                  </w:tcPr>
                  <w:p w:rsidR="00656332" w:rsidRDefault="00656332" w:rsidP="00B637B2">
                    <w:pPr>
                      <w:autoSpaceDE w:val="0"/>
                      <w:autoSpaceDN w:val="0"/>
                      <w:adjustRightInd w:val="0"/>
                      <w:snapToGrid w:val="0"/>
                      <w:jc w:val="right"/>
                      <w:rPr>
                        <w:szCs w:val="21"/>
                      </w:rPr>
                    </w:pPr>
                  </w:p>
                </w:tc>
                <w:tc>
                  <w:tcPr>
                    <w:tcW w:w="483" w:type="pct"/>
                    <w:shd w:val="clear" w:color="auto" w:fill="auto"/>
                    <w:vAlign w:val="center"/>
                  </w:tcPr>
                  <w:p w:rsidR="00656332" w:rsidRDefault="00656332" w:rsidP="00B637B2">
                    <w:pPr>
                      <w:autoSpaceDE w:val="0"/>
                      <w:autoSpaceDN w:val="0"/>
                      <w:adjustRightInd w:val="0"/>
                      <w:snapToGrid w:val="0"/>
                      <w:jc w:val="right"/>
                      <w:rPr>
                        <w:szCs w:val="21"/>
                      </w:rPr>
                    </w:pPr>
                  </w:p>
                </w:tc>
                <w:tc>
                  <w:tcPr>
                    <w:tcW w:w="402" w:type="pct"/>
                    <w:shd w:val="clear" w:color="auto" w:fill="auto"/>
                    <w:vAlign w:val="center"/>
                  </w:tcPr>
                  <w:p w:rsidR="00656332" w:rsidRDefault="00656332" w:rsidP="00B637B2">
                    <w:pPr>
                      <w:autoSpaceDE w:val="0"/>
                      <w:autoSpaceDN w:val="0"/>
                      <w:adjustRightInd w:val="0"/>
                      <w:snapToGrid w:val="0"/>
                      <w:jc w:val="right"/>
                      <w:rPr>
                        <w:szCs w:val="21"/>
                      </w:rPr>
                    </w:pPr>
                  </w:p>
                </w:tc>
                <w:tc>
                  <w:tcPr>
                    <w:tcW w:w="985" w:type="pct"/>
                    <w:shd w:val="clear" w:color="auto" w:fill="auto"/>
                    <w:vAlign w:val="center"/>
                  </w:tcPr>
                  <w:p w:rsidR="00656332" w:rsidRDefault="00656332" w:rsidP="00B637B2">
                    <w:pPr>
                      <w:autoSpaceDE w:val="0"/>
                      <w:autoSpaceDN w:val="0"/>
                      <w:adjustRightInd w:val="0"/>
                      <w:snapToGrid w:val="0"/>
                      <w:jc w:val="right"/>
                      <w:rPr>
                        <w:szCs w:val="21"/>
                      </w:rPr>
                    </w:pPr>
                    <w:r>
                      <w:t>3,115,084</w:t>
                    </w:r>
                  </w:p>
                </w:tc>
              </w:tr>
            </w:sdtContent>
          </w:sdt>
          <w:sdt>
            <w:sdtPr>
              <w:rPr>
                <w:rFonts w:cstheme="minorBidi"/>
                <w:kern w:val="2"/>
                <w:szCs w:val="21"/>
              </w:rPr>
              <w:alias w:val="商誉明细"/>
              <w:tag w:val="_GBC_916c5c3712e44d7db6b8c9e16bcf5865"/>
              <w:id w:val="650723780"/>
              <w:lock w:val="sdtLocked"/>
            </w:sdtPr>
            <w:sdtEndPr>
              <w:rPr>
                <w:rFonts w:asciiTheme="minorHAnsi" w:eastAsiaTheme="minorEastAsia" w:hAnsiTheme="minorHAnsi"/>
              </w:rPr>
            </w:sdtEndPr>
            <w:sdtContent>
              <w:tr w:rsidR="00B637B2" w:rsidTr="00B637B2">
                <w:trPr>
                  <w:trHeight w:val="338"/>
                  <w:jc w:val="center"/>
                </w:trPr>
                <w:tc>
                  <w:tcPr>
                    <w:tcW w:w="1069" w:type="pct"/>
                    <w:shd w:val="clear" w:color="auto" w:fill="auto"/>
                  </w:tcPr>
                  <w:p w:rsidR="00656332" w:rsidRPr="00471624" w:rsidRDefault="00656332" w:rsidP="00433709">
                    <w:pPr>
                      <w:autoSpaceDE w:val="0"/>
                      <w:autoSpaceDN w:val="0"/>
                      <w:adjustRightInd w:val="0"/>
                      <w:snapToGrid w:val="0"/>
                      <w:rPr>
                        <w:szCs w:val="21"/>
                      </w:rPr>
                    </w:pPr>
                    <w:r w:rsidRPr="00471624">
                      <w:rPr>
                        <w:rFonts w:cs="Arial" w:hint="eastAsia"/>
                        <w:color w:val="000000"/>
                      </w:rPr>
                      <w:t>北京伟库</w:t>
                    </w:r>
                  </w:p>
                </w:tc>
                <w:tc>
                  <w:tcPr>
                    <w:tcW w:w="937" w:type="pct"/>
                    <w:shd w:val="clear" w:color="auto" w:fill="auto"/>
                    <w:vAlign w:val="center"/>
                  </w:tcPr>
                  <w:p w:rsidR="00656332" w:rsidRPr="006B3219" w:rsidRDefault="00656332" w:rsidP="00B637B2">
                    <w:pPr>
                      <w:jc w:val="right"/>
                    </w:pPr>
                    <w:r w:rsidRPr="006B3219">
                      <w:t>2,896,357</w:t>
                    </w:r>
                  </w:p>
                </w:tc>
                <w:tc>
                  <w:tcPr>
                    <w:tcW w:w="643" w:type="pct"/>
                    <w:shd w:val="clear" w:color="auto" w:fill="auto"/>
                    <w:vAlign w:val="center"/>
                  </w:tcPr>
                  <w:p w:rsidR="00656332" w:rsidRDefault="00656332" w:rsidP="00B637B2">
                    <w:pPr>
                      <w:autoSpaceDE w:val="0"/>
                      <w:autoSpaceDN w:val="0"/>
                      <w:adjustRightInd w:val="0"/>
                      <w:snapToGrid w:val="0"/>
                      <w:jc w:val="right"/>
                      <w:rPr>
                        <w:szCs w:val="21"/>
                      </w:rPr>
                    </w:pPr>
                  </w:p>
                </w:tc>
                <w:tc>
                  <w:tcPr>
                    <w:tcW w:w="481" w:type="pct"/>
                    <w:shd w:val="clear" w:color="auto" w:fill="auto"/>
                    <w:vAlign w:val="center"/>
                  </w:tcPr>
                  <w:p w:rsidR="00656332" w:rsidRDefault="00656332" w:rsidP="00B637B2">
                    <w:pPr>
                      <w:autoSpaceDE w:val="0"/>
                      <w:autoSpaceDN w:val="0"/>
                      <w:adjustRightInd w:val="0"/>
                      <w:snapToGrid w:val="0"/>
                      <w:jc w:val="right"/>
                      <w:rPr>
                        <w:szCs w:val="21"/>
                      </w:rPr>
                    </w:pPr>
                  </w:p>
                </w:tc>
                <w:tc>
                  <w:tcPr>
                    <w:tcW w:w="483" w:type="pct"/>
                    <w:shd w:val="clear" w:color="auto" w:fill="auto"/>
                    <w:vAlign w:val="center"/>
                  </w:tcPr>
                  <w:p w:rsidR="00656332" w:rsidRDefault="00656332" w:rsidP="00B637B2">
                    <w:pPr>
                      <w:autoSpaceDE w:val="0"/>
                      <w:autoSpaceDN w:val="0"/>
                      <w:adjustRightInd w:val="0"/>
                      <w:snapToGrid w:val="0"/>
                      <w:jc w:val="right"/>
                      <w:rPr>
                        <w:szCs w:val="21"/>
                      </w:rPr>
                    </w:pPr>
                  </w:p>
                </w:tc>
                <w:tc>
                  <w:tcPr>
                    <w:tcW w:w="402" w:type="pct"/>
                    <w:shd w:val="clear" w:color="auto" w:fill="auto"/>
                    <w:vAlign w:val="center"/>
                  </w:tcPr>
                  <w:p w:rsidR="00656332" w:rsidRDefault="00656332" w:rsidP="00B637B2">
                    <w:pPr>
                      <w:autoSpaceDE w:val="0"/>
                      <w:autoSpaceDN w:val="0"/>
                      <w:adjustRightInd w:val="0"/>
                      <w:snapToGrid w:val="0"/>
                      <w:jc w:val="right"/>
                      <w:rPr>
                        <w:szCs w:val="21"/>
                      </w:rPr>
                    </w:pPr>
                  </w:p>
                </w:tc>
                <w:tc>
                  <w:tcPr>
                    <w:tcW w:w="985" w:type="pct"/>
                    <w:shd w:val="clear" w:color="auto" w:fill="auto"/>
                    <w:vAlign w:val="center"/>
                  </w:tcPr>
                  <w:p w:rsidR="00656332" w:rsidRDefault="00656332" w:rsidP="00B637B2">
                    <w:pPr>
                      <w:autoSpaceDE w:val="0"/>
                      <w:autoSpaceDN w:val="0"/>
                      <w:adjustRightInd w:val="0"/>
                      <w:snapToGrid w:val="0"/>
                      <w:jc w:val="right"/>
                      <w:rPr>
                        <w:szCs w:val="21"/>
                      </w:rPr>
                    </w:pPr>
                    <w:r>
                      <w:t>2,896,357</w:t>
                    </w:r>
                  </w:p>
                </w:tc>
              </w:tr>
            </w:sdtContent>
          </w:sdt>
          <w:sdt>
            <w:sdtPr>
              <w:rPr>
                <w:rFonts w:cstheme="minorBidi"/>
                <w:kern w:val="2"/>
                <w:szCs w:val="21"/>
              </w:rPr>
              <w:alias w:val="商誉明细"/>
              <w:tag w:val="_GBC_916c5c3712e44d7db6b8c9e16bcf5865"/>
              <w:id w:val="1608697558"/>
              <w:lock w:val="sdtLocked"/>
            </w:sdtPr>
            <w:sdtEndPr>
              <w:rPr>
                <w:rFonts w:asciiTheme="minorHAnsi" w:eastAsiaTheme="minorEastAsia" w:hAnsiTheme="minorHAnsi"/>
              </w:rPr>
            </w:sdtEndPr>
            <w:sdtContent>
              <w:tr w:rsidR="00B637B2" w:rsidTr="00B637B2">
                <w:trPr>
                  <w:trHeight w:val="338"/>
                  <w:jc w:val="center"/>
                </w:trPr>
                <w:tc>
                  <w:tcPr>
                    <w:tcW w:w="1069" w:type="pct"/>
                    <w:shd w:val="clear" w:color="auto" w:fill="auto"/>
                  </w:tcPr>
                  <w:p w:rsidR="00656332" w:rsidRPr="00471624" w:rsidRDefault="00656332" w:rsidP="00433709">
                    <w:pPr>
                      <w:autoSpaceDE w:val="0"/>
                      <w:autoSpaceDN w:val="0"/>
                      <w:adjustRightInd w:val="0"/>
                      <w:snapToGrid w:val="0"/>
                      <w:rPr>
                        <w:szCs w:val="21"/>
                      </w:rPr>
                    </w:pPr>
                    <w:r w:rsidRPr="00471624">
                      <w:rPr>
                        <w:rFonts w:cs="Arial" w:hint="eastAsia"/>
                        <w:snapToGrid w:val="0"/>
                      </w:rPr>
                      <w:t>其他</w:t>
                    </w:r>
                  </w:p>
                </w:tc>
                <w:tc>
                  <w:tcPr>
                    <w:tcW w:w="937" w:type="pct"/>
                    <w:shd w:val="clear" w:color="auto" w:fill="auto"/>
                    <w:vAlign w:val="center"/>
                  </w:tcPr>
                  <w:p w:rsidR="00656332" w:rsidRDefault="00656332" w:rsidP="00B637B2">
                    <w:pPr>
                      <w:jc w:val="right"/>
                    </w:pPr>
                    <w:r w:rsidRPr="006B3219">
                      <w:t>3,822,348</w:t>
                    </w:r>
                  </w:p>
                </w:tc>
                <w:tc>
                  <w:tcPr>
                    <w:tcW w:w="643" w:type="pct"/>
                    <w:shd w:val="clear" w:color="auto" w:fill="auto"/>
                    <w:vAlign w:val="center"/>
                  </w:tcPr>
                  <w:p w:rsidR="00656332" w:rsidRDefault="00656332" w:rsidP="00B637B2">
                    <w:pPr>
                      <w:autoSpaceDE w:val="0"/>
                      <w:autoSpaceDN w:val="0"/>
                      <w:adjustRightInd w:val="0"/>
                      <w:snapToGrid w:val="0"/>
                      <w:jc w:val="right"/>
                      <w:rPr>
                        <w:szCs w:val="21"/>
                      </w:rPr>
                    </w:pPr>
                  </w:p>
                </w:tc>
                <w:tc>
                  <w:tcPr>
                    <w:tcW w:w="481" w:type="pct"/>
                    <w:shd w:val="clear" w:color="auto" w:fill="auto"/>
                    <w:vAlign w:val="center"/>
                  </w:tcPr>
                  <w:p w:rsidR="00656332" w:rsidRDefault="00656332" w:rsidP="00B637B2">
                    <w:pPr>
                      <w:autoSpaceDE w:val="0"/>
                      <w:autoSpaceDN w:val="0"/>
                      <w:adjustRightInd w:val="0"/>
                      <w:snapToGrid w:val="0"/>
                      <w:jc w:val="right"/>
                      <w:rPr>
                        <w:szCs w:val="21"/>
                      </w:rPr>
                    </w:pPr>
                  </w:p>
                </w:tc>
                <w:tc>
                  <w:tcPr>
                    <w:tcW w:w="483" w:type="pct"/>
                    <w:shd w:val="clear" w:color="auto" w:fill="auto"/>
                    <w:vAlign w:val="center"/>
                  </w:tcPr>
                  <w:p w:rsidR="00656332" w:rsidRDefault="00656332" w:rsidP="00B637B2">
                    <w:pPr>
                      <w:autoSpaceDE w:val="0"/>
                      <w:autoSpaceDN w:val="0"/>
                      <w:adjustRightInd w:val="0"/>
                      <w:snapToGrid w:val="0"/>
                      <w:jc w:val="right"/>
                      <w:rPr>
                        <w:szCs w:val="21"/>
                      </w:rPr>
                    </w:pPr>
                  </w:p>
                </w:tc>
                <w:tc>
                  <w:tcPr>
                    <w:tcW w:w="402" w:type="pct"/>
                    <w:shd w:val="clear" w:color="auto" w:fill="auto"/>
                    <w:vAlign w:val="center"/>
                  </w:tcPr>
                  <w:p w:rsidR="00656332" w:rsidRDefault="00656332" w:rsidP="00B637B2">
                    <w:pPr>
                      <w:autoSpaceDE w:val="0"/>
                      <w:autoSpaceDN w:val="0"/>
                      <w:adjustRightInd w:val="0"/>
                      <w:snapToGrid w:val="0"/>
                      <w:jc w:val="right"/>
                      <w:rPr>
                        <w:szCs w:val="21"/>
                      </w:rPr>
                    </w:pPr>
                  </w:p>
                </w:tc>
                <w:tc>
                  <w:tcPr>
                    <w:tcW w:w="985" w:type="pct"/>
                    <w:shd w:val="clear" w:color="auto" w:fill="auto"/>
                    <w:vAlign w:val="center"/>
                  </w:tcPr>
                  <w:p w:rsidR="00656332" w:rsidRDefault="00656332" w:rsidP="00B637B2">
                    <w:pPr>
                      <w:autoSpaceDE w:val="0"/>
                      <w:autoSpaceDN w:val="0"/>
                      <w:adjustRightInd w:val="0"/>
                      <w:snapToGrid w:val="0"/>
                      <w:jc w:val="right"/>
                      <w:rPr>
                        <w:szCs w:val="21"/>
                      </w:rPr>
                    </w:pPr>
                    <w:r>
                      <w:t>3,822,348</w:t>
                    </w:r>
                  </w:p>
                </w:tc>
              </w:tr>
            </w:sdtContent>
          </w:sdt>
          <w:tr w:rsidR="00B637B2" w:rsidRPr="005D774F" w:rsidTr="00B637B2">
            <w:trPr>
              <w:trHeight w:val="296"/>
              <w:jc w:val="center"/>
            </w:trPr>
            <w:sdt>
              <w:sdtPr>
                <w:tag w:val="_PLD_e45c45262afc495e90b6033bd7a17ec4"/>
                <w:id w:val="1494988698"/>
                <w:lock w:val="sdtLocked"/>
              </w:sdtPr>
              <w:sdtContent>
                <w:tc>
                  <w:tcPr>
                    <w:tcW w:w="1069" w:type="pct"/>
                    <w:shd w:val="clear" w:color="auto" w:fill="auto"/>
                    <w:vAlign w:val="center"/>
                  </w:tcPr>
                  <w:p w:rsidR="00656332" w:rsidRDefault="00656332" w:rsidP="00433709">
                    <w:pPr>
                      <w:autoSpaceDE w:val="0"/>
                      <w:autoSpaceDN w:val="0"/>
                      <w:adjustRightInd w:val="0"/>
                      <w:snapToGrid w:val="0"/>
                      <w:jc w:val="center"/>
                      <w:rPr>
                        <w:szCs w:val="21"/>
                        <w:u w:val="double"/>
                      </w:rPr>
                    </w:pPr>
                    <w:r>
                      <w:rPr>
                        <w:rFonts w:hint="eastAsia"/>
                        <w:szCs w:val="21"/>
                      </w:rPr>
                      <w:t>合计</w:t>
                    </w:r>
                  </w:p>
                </w:tc>
              </w:sdtContent>
            </w:sdt>
            <w:tc>
              <w:tcPr>
                <w:tcW w:w="937" w:type="pct"/>
                <w:shd w:val="clear" w:color="auto" w:fill="auto"/>
                <w:vAlign w:val="center"/>
              </w:tcPr>
              <w:p w:rsidR="00656332" w:rsidRPr="005D774F" w:rsidRDefault="008F04CF" w:rsidP="00B637B2">
                <w:pPr>
                  <w:jc w:val="right"/>
                </w:pPr>
                <w:r>
                  <w:t>1,013,454,489</w:t>
                </w:r>
              </w:p>
            </w:tc>
            <w:tc>
              <w:tcPr>
                <w:tcW w:w="643" w:type="pct"/>
                <w:shd w:val="clear" w:color="auto" w:fill="auto"/>
                <w:vAlign w:val="center"/>
              </w:tcPr>
              <w:p w:rsidR="00656332" w:rsidRPr="005D774F" w:rsidRDefault="00656332" w:rsidP="00B637B2">
                <w:pPr>
                  <w:jc w:val="right"/>
                </w:pPr>
              </w:p>
            </w:tc>
            <w:tc>
              <w:tcPr>
                <w:tcW w:w="481" w:type="pct"/>
                <w:shd w:val="clear" w:color="auto" w:fill="auto"/>
                <w:vAlign w:val="center"/>
              </w:tcPr>
              <w:p w:rsidR="00656332" w:rsidRPr="005D774F" w:rsidRDefault="00656332" w:rsidP="00B637B2">
                <w:pPr>
                  <w:jc w:val="right"/>
                </w:pPr>
              </w:p>
            </w:tc>
            <w:tc>
              <w:tcPr>
                <w:tcW w:w="483" w:type="pct"/>
                <w:shd w:val="clear" w:color="auto" w:fill="auto"/>
                <w:vAlign w:val="center"/>
              </w:tcPr>
              <w:p w:rsidR="00656332" w:rsidRPr="005D774F" w:rsidRDefault="00656332" w:rsidP="00B637B2">
                <w:pPr>
                  <w:jc w:val="right"/>
                </w:pPr>
              </w:p>
            </w:tc>
            <w:tc>
              <w:tcPr>
                <w:tcW w:w="402" w:type="pct"/>
                <w:shd w:val="clear" w:color="auto" w:fill="auto"/>
                <w:vAlign w:val="center"/>
              </w:tcPr>
              <w:p w:rsidR="00656332" w:rsidRPr="005D774F" w:rsidRDefault="00656332" w:rsidP="00B637B2">
                <w:pPr>
                  <w:jc w:val="right"/>
                </w:pPr>
              </w:p>
            </w:tc>
            <w:tc>
              <w:tcPr>
                <w:tcW w:w="985" w:type="pct"/>
                <w:shd w:val="clear" w:color="auto" w:fill="auto"/>
                <w:vAlign w:val="center"/>
              </w:tcPr>
              <w:p w:rsidR="00656332" w:rsidRPr="005D774F" w:rsidRDefault="00656332" w:rsidP="00B637B2">
                <w:pPr>
                  <w:jc w:val="right"/>
                </w:pPr>
                <w:r>
                  <w:t>1,013,454,489</w:t>
                </w:r>
              </w:p>
            </w:tc>
          </w:tr>
        </w:tbl>
        <w:p w:rsidR="00656332" w:rsidRDefault="00656332"/>
        <w:p w:rsidR="00ED2DC7" w:rsidRPr="005D774F" w:rsidRDefault="000D0A99" w:rsidP="005D774F"/>
      </w:sdtContent>
    </w:sdt>
    <w:p w:rsidR="00ED2DC7" w:rsidRDefault="00ED2DC7">
      <w:pPr>
        <w:rPr>
          <w:szCs w:val="21"/>
        </w:rPr>
      </w:pPr>
    </w:p>
    <w:sdt>
      <w:sdtPr>
        <w:rPr>
          <w:rFonts w:ascii="宋体" w:hAnsi="宋体" w:cs="宋体" w:hint="eastAsia"/>
          <w:b w:val="0"/>
          <w:bCs w:val="0"/>
          <w:kern w:val="0"/>
          <w:szCs w:val="24"/>
        </w:rPr>
        <w:alias w:val="模块:商誉减值准备"/>
        <w:tag w:val="_SEC_6fe538077d4746d4ba51a5610b4bd03b"/>
        <w:id w:val="-87616295"/>
        <w:lock w:val="sdtLocked"/>
        <w:placeholder>
          <w:docPart w:val="GBC22222222222222222222222222222"/>
        </w:placeholder>
      </w:sdtPr>
      <w:sdtContent>
        <w:p w:rsidR="00ED2DC7" w:rsidRDefault="00ED2DC7" w:rsidP="00036BDC">
          <w:pPr>
            <w:pStyle w:val="affffffffffffffffff2"/>
            <w:numPr>
              <w:ilvl w:val="0"/>
              <w:numId w:val="66"/>
            </w:numPr>
            <w:tabs>
              <w:tab w:val="left" w:pos="588"/>
            </w:tabs>
          </w:pPr>
          <w:r>
            <w:rPr>
              <w:rFonts w:hint="eastAsia"/>
            </w:rPr>
            <w:t>商誉减值准备</w:t>
          </w:r>
        </w:p>
        <w:sdt>
          <w:sdtPr>
            <w:alias w:val="是否适用：商誉减值准备[双击切换]"/>
            <w:tag w:val="_GBC_743c9a20b5c043668f28664eb36decf8"/>
            <w:id w:val="2138452180"/>
            <w:lock w:val="sdtContentLocked"/>
            <w:placeholder>
              <w:docPart w:val="GBC22222222222222222222222222222"/>
            </w:placeholder>
          </w:sdtPr>
          <w:sdtContent>
            <w:p w:rsidR="00ED2DC7" w:rsidRDefault="00ED2DC7">
              <w:r>
                <w:fldChar w:fldCharType="begin"/>
              </w:r>
              <w:r w:rsidR="00392D33">
                <w:instrText xml:space="preserve"> MACROBUTTON  SnrToggleCheckbox √适用 </w:instrText>
              </w:r>
              <w:r>
                <w:fldChar w:fldCharType="end"/>
              </w:r>
              <w:r>
                <w:fldChar w:fldCharType="begin"/>
              </w:r>
              <w:r w:rsidR="00392D33">
                <w:instrText xml:space="preserve"> MACROBUTTON  SnrToggleCheckbox □不适用 </w:instrText>
              </w:r>
              <w:r>
                <w:fldChar w:fldCharType="end"/>
              </w:r>
            </w:p>
          </w:sdtContent>
        </w:sdt>
        <w:p w:rsidR="00656332" w:rsidRDefault="00ED2DC7">
          <w:pPr>
            <w:jc w:val="right"/>
          </w:pPr>
          <w:r>
            <w:rPr>
              <w:rFonts w:hint="eastAsia"/>
            </w:rPr>
            <w:t>单位:</w:t>
          </w:r>
          <w:sdt>
            <w:sdtPr>
              <w:rPr>
                <w:rFonts w:hint="eastAsia"/>
              </w:rPr>
              <w:alias w:val="单位：财务附注：商誉减值准备"/>
              <w:tag w:val="_GBC_81f58baed09c46a3bf97830ea3adfd98"/>
              <w:id w:val="-18898001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hint="eastAsia"/>
                </w:rPr>
                <w:t>元</w:t>
              </w:r>
            </w:sdtContent>
          </w:sdt>
          <w:r>
            <w:rPr>
              <w:rFonts w:hint="eastAsia"/>
            </w:rPr>
            <w:t xml:space="preserve">  币种:</w:t>
          </w:r>
          <w:sdt>
            <w:sdtPr>
              <w:rPr>
                <w:rFonts w:hint="eastAsia"/>
              </w:rPr>
              <w:alias w:val="币种：财务附注：商誉减值准备"/>
              <w:tag w:val="_GBC_67c9edd209fb4492bdb662edf79314f5"/>
              <w:id w:val="17482230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rPr>
                <w:t>人民币</w:t>
              </w:r>
            </w:sdtContent>
          </w:sdt>
        </w:p>
        <w:tbl>
          <w:tblPr>
            <w:tblStyle w:val="g38"/>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4"/>
            <w:gridCol w:w="1700"/>
            <w:gridCol w:w="1135"/>
            <w:gridCol w:w="992"/>
            <w:gridCol w:w="992"/>
            <w:gridCol w:w="905"/>
            <w:gridCol w:w="1685"/>
          </w:tblGrid>
          <w:tr w:rsidR="00754CDA" w:rsidTr="00B637B2">
            <w:trPr>
              <w:trHeight w:val="255"/>
              <w:jc w:val="center"/>
            </w:trPr>
            <w:sdt>
              <w:sdtPr>
                <w:tag w:val="_PLD_d1a517071536478f9f7187c625e93763"/>
                <w:id w:val="-700091287"/>
                <w:lock w:val="sdtLocked"/>
              </w:sdtPr>
              <w:sdtContent>
                <w:tc>
                  <w:tcPr>
                    <w:tcW w:w="801" w:type="pct"/>
                    <w:vMerge w:val="restart"/>
                    <w:shd w:val="clear" w:color="auto" w:fill="auto"/>
                    <w:vAlign w:val="center"/>
                  </w:tcPr>
                  <w:p w:rsidR="00754CDA" w:rsidRDefault="00754CDA" w:rsidP="00433709">
                    <w:pPr>
                      <w:autoSpaceDE w:val="0"/>
                      <w:autoSpaceDN w:val="0"/>
                      <w:adjustRightInd w:val="0"/>
                      <w:snapToGrid w:val="0"/>
                      <w:jc w:val="center"/>
                      <w:rPr>
                        <w:szCs w:val="21"/>
                      </w:rPr>
                    </w:pPr>
                    <w:r>
                      <w:rPr>
                        <w:rFonts w:hint="eastAsia"/>
                        <w:szCs w:val="21"/>
                      </w:rPr>
                      <w:t>被投资单位名称或形成商誉的事项</w:t>
                    </w:r>
                  </w:p>
                </w:tc>
              </w:sdtContent>
            </w:sdt>
            <w:sdt>
              <w:sdtPr>
                <w:tag w:val="_PLD_a1ccc5eef6a041ffadb4dd09605c43f5"/>
                <w:id w:val="1087346733"/>
                <w:lock w:val="sdtLocked"/>
              </w:sdtPr>
              <w:sdtContent>
                <w:tc>
                  <w:tcPr>
                    <w:tcW w:w="963" w:type="pct"/>
                    <w:vMerge w:val="restart"/>
                    <w:shd w:val="clear" w:color="auto" w:fill="auto"/>
                    <w:vAlign w:val="center"/>
                  </w:tcPr>
                  <w:p w:rsidR="00754CDA" w:rsidRDefault="00754CDA" w:rsidP="00433709">
                    <w:pPr>
                      <w:autoSpaceDE w:val="0"/>
                      <w:autoSpaceDN w:val="0"/>
                      <w:adjustRightInd w:val="0"/>
                      <w:snapToGrid w:val="0"/>
                      <w:jc w:val="center"/>
                      <w:rPr>
                        <w:szCs w:val="21"/>
                      </w:rPr>
                    </w:pPr>
                    <w:r>
                      <w:rPr>
                        <w:rFonts w:hint="eastAsia"/>
                        <w:szCs w:val="21"/>
                      </w:rPr>
                      <w:t>期初余额</w:t>
                    </w:r>
                  </w:p>
                </w:tc>
              </w:sdtContent>
            </w:sdt>
            <w:sdt>
              <w:sdtPr>
                <w:tag w:val="_PLD_3dc4c2fbed8640a6acf5f19dd5073967"/>
                <w:id w:val="1377435989"/>
                <w:lock w:val="sdtLocked"/>
              </w:sdtPr>
              <w:sdtContent>
                <w:tc>
                  <w:tcPr>
                    <w:tcW w:w="1205" w:type="pct"/>
                    <w:gridSpan w:val="2"/>
                    <w:shd w:val="clear" w:color="auto" w:fill="auto"/>
                    <w:vAlign w:val="center"/>
                  </w:tcPr>
                  <w:p w:rsidR="00754CDA" w:rsidRDefault="00754CDA" w:rsidP="00433709">
                    <w:pPr>
                      <w:autoSpaceDE w:val="0"/>
                      <w:autoSpaceDN w:val="0"/>
                      <w:adjustRightInd w:val="0"/>
                      <w:snapToGrid w:val="0"/>
                      <w:jc w:val="center"/>
                      <w:rPr>
                        <w:szCs w:val="21"/>
                      </w:rPr>
                    </w:pPr>
                    <w:r>
                      <w:rPr>
                        <w:rFonts w:hint="eastAsia"/>
                        <w:szCs w:val="21"/>
                      </w:rPr>
                      <w:t>本期增加</w:t>
                    </w:r>
                  </w:p>
                </w:tc>
              </w:sdtContent>
            </w:sdt>
            <w:sdt>
              <w:sdtPr>
                <w:tag w:val="_PLD_36789e440c5d4e70969760ec1adf11d6"/>
                <w:id w:val="1410581596"/>
                <w:lock w:val="sdtLocked"/>
              </w:sdtPr>
              <w:sdtContent>
                <w:tc>
                  <w:tcPr>
                    <w:tcW w:w="1075" w:type="pct"/>
                    <w:gridSpan w:val="2"/>
                    <w:shd w:val="clear" w:color="auto" w:fill="auto"/>
                    <w:vAlign w:val="center"/>
                  </w:tcPr>
                  <w:p w:rsidR="00754CDA" w:rsidRDefault="00754CDA" w:rsidP="00433709">
                    <w:pPr>
                      <w:autoSpaceDE w:val="0"/>
                      <w:autoSpaceDN w:val="0"/>
                      <w:adjustRightInd w:val="0"/>
                      <w:snapToGrid w:val="0"/>
                      <w:jc w:val="center"/>
                      <w:rPr>
                        <w:szCs w:val="21"/>
                      </w:rPr>
                    </w:pPr>
                    <w:r>
                      <w:rPr>
                        <w:rFonts w:hint="eastAsia"/>
                        <w:szCs w:val="21"/>
                      </w:rPr>
                      <w:t>本期减少</w:t>
                    </w:r>
                  </w:p>
                </w:tc>
              </w:sdtContent>
            </w:sdt>
            <w:sdt>
              <w:sdtPr>
                <w:tag w:val="_PLD_b4bf3be5aa6c45bea85b5ae1c027be47"/>
                <w:id w:val="1934010968"/>
                <w:lock w:val="sdtLocked"/>
              </w:sdtPr>
              <w:sdtContent>
                <w:tc>
                  <w:tcPr>
                    <w:tcW w:w="955" w:type="pct"/>
                    <w:vMerge w:val="restart"/>
                    <w:shd w:val="clear" w:color="auto" w:fill="auto"/>
                    <w:vAlign w:val="center"/>
                  </w:tcPr>
                  <w:p w:rsidR="00754CDA" w:rsidRDefault="00754CDA" w:rsidP="00433709">
                    <w:pPr>
                      <w:autoSpaceDE w:val="0"/>
                      <w:autoSpaceDN w:val="0"/>
                      <w:adjustRightInd w:val="0"/>
                      <w:snapToGrid w:val="0"/>
                      <w:jc w:val="center"/>
                      <w:rPr>
                        <w:szCs w:val="21"/>
                      </w:rPr>
                    </w:pPr>
                    <w:r>
                      <w:rPr>
                        <w:rFonts w:hint="eastAsia"/>
                        <w:szCs w:val="21"/>
                      </w:rPr>
                      <w:t>期末余额</w:t>
                    </w:r>
                  </w:p>
                </w:tc>
              </w:sdtContent>
            </w:sdt>
          </w:tr>
          <w:tr w:rsidR="00754CDA" w:rsidTr="00B637B2">
            <w:trPr>
              <w:trHeight w:val="296"/>
              <w:jc w:val="center"/>
            </w:trPr>
            <w:tc>
              <w:tcPr>
                <w:tcW w:w="801" w:type="pct"/>
                <w:vMerge/>
                <w:shd w:val="clear" w:color="auto" w:fill="auto"/>
              </w:tcPr>
              <w:p w:rsidR="00754CDA" w:rsidRDefault="00754CDA" w:rsidP="00433709">
                <w:pPr>
                  <w:autoSpaceDE w:val="0"/>
                  <w:autoSpaceDN w:val="0"/>
                  <w:adjustRightInd w:val="0"/>
                  <w:snapToGrid w:val="0"/>
                  <w:rPr>
                    <w:szCs w:val="21"/>
                  </w:rPr>
                </w:pPr>
              </w:p>
            </w:tc>
            <w:tc>
              <w:tcPr>
                <w:tcW w:w="963" w:type="pct"/>
                <w:vMerge/>
                <w:shd w:val="clear" w:color="auto" w:fill="auto"/>
                <w:vAlign w:val="center"/>
              </w:tcPr>
              <w:p w:rsidR="00754CDA" w:rsidRDefault="00754CDA" w:rsidP="00433709">
                <w:pPr>
                  <w:autoSpaceDE w:val="0"/>
                  <w:autoSpaceDN w:val="0"/>
                  <w:adjustRightInd w:val="0"/>
                  <w:snapToGrid w:val="0"/>
                  <w:jc w:val="right"/>
                  <w:rPr>
                    <w:szCs w:val="21"/>
                  </w:rPr>
                </w:pPr>
              </w:p>
            </w:tc>
            <w:sdt>
              <w:sdtPr>
                <w:tag w:val="_PLD_fe6ebe6f95b64eeabc2aef23beee858c"/>
                <w:id w:val="1609466234"/>
                <w:lock w:val="sdtLocked"/>
              </w:sdtPr>
              <w:sdtContent>
                <w:tc>
                  <w:tcPr>
                    <w:tcW w:w="643" w:type="pct"/>
                    <w:shd w:val="clear" w:color="auto" w:fill="auto"/>
                    <w:vAlign w:val="center"/>
                  </w:tcPr>
                  <w:p w:rsidR="00754CDA" w:rsidRDefault="00754CDA" w:rsidP="00433709">
                    <w:pPr>
                      <w:autoSpaceDE w:val="0"/>
                      <w:autoSpaceDN w:val="0"/>
                      <w:adjustRightInd w:val="0"/>
                      <w:snapToGrid w:val="0"/>
                      <w:jc w:val="center"/>
                      <w:rPr>
                        <w:szCs w:val="21"/>
                      </w:rPr>
                    </w:pPr>
                    <w:r>
                      <w:rPr>
                        <w:rFonts w:hint="eastAsia"/>
                        <w:szCs w:val="21"/>
                      </w:rPr>
                      <w:t>计提</w:t>
                    </w:r>
                  </w:p>
                </w:tc>
              </w:sdtContent>
            </w:sdt>
            <w:sdt>
              <w:sdtPr>
                <w:rPr>
                  <w:szCs w:val="21"/>
                </w:rPr>
                <w:alias w:val="商誉减值准备本期增加额项目名称"/>
                <w:tag w:val="_GBC_65d86954675d4b4f82e4fbc3d21ace02"/>
                <w:id w:val="1950048021"/>
                <w:lock w:val="sdtLocked"/>
                <w:showingPlcHdr/>
              </w:sdtPr>
              <w:sdtEndPr>
                <w:rPr>
                  <w:rFonts w:hint="eastAsia"/>
                </w:rPr>
              </w:sdtEndPr>
              <w:sdtContent>
                <w:tc>
                  <w:tcPr>
                    <w:tcW w:w="562" w:type="pct"/>
                    <w:shd w:val="clear" w:color="auto" w:fill="auto"/>
                    <w:vAlign w:val="center"/>
                  </w:tcPr>
                  <w:p w:rsidR="00754CDA" w:rsidRDefault="00754CDA" w:rsidP="00433709">
                    <w:pPr>
                      <w:autoSpaceDE w:val="0"/>
                      <w:autoSpaceDN w:val="0"/>
                      <w:adjustRightInd w:val="0"/>
                      <w:snapToGrid w:val="0"/>
                      <w:jc w:val="center"/>
                      <w:rPr>
                        <w:szCs w:val="21"/>
                      </w:rPr>
                    </w:pPr>
                    <w:r>
                      <w:rPr>
                        <w:rFonts w:hint="eastAsia"/>
                        <w:szCs w:val="21"/>
                      </w:rPr>
                      <w:t xml:space="preserve">　</w:t>
                    </w:r>
                  </w:p>
                </w:tc>
              </w:sdtContent>
            </w:sdt>
            <w:sdt>
              <w:sdtPr>
                <w:tag w:val="_PLD_aaaa2d8a1fae404e9bab86b79225c7e3"/>
                <w:id w:val="-313487893"/>
                <w:lock w:val="sdtLocked"/>
              </w:sdtPr>
              <w:sdtContent>
                <w:tc>
                  <w:tcPr>
                    <w:tcW w:w="562" w:type="pct"/>
                    <w:shd w:val="clear" w:color="auto" w:fill="auto"/>
                    <w:vAlign w:val="center"/>
                  </w:tcPr>
                  <w:p w:rsidR="00754CDA" w:rsidRDefault="00754CDA" w:rsidP="00433709">
                    <w:pPr>
                      <w:autoSpaceDE w:val="0"/>
                      <w:autoSpaceDN w:val="0"/>
                      <w:adjustRightInd w:val="0"/>
                      <w:snapToGrid w:val="0"/>
                      <w:jc w:val="center"/>
                      <w:rPr>
                        <w:szCs w:val="21"/>
                      </w:rPr>
                    </w:pPr>
                    <w:r>
                      <w:rPr>
                        <w:rFonts w:hint="eastAsia"/>
                        <w:szCs w:val="21"/>
                      </w:rPr>
                      <w:t>处置</w:t>
                    </w:r>
                  </w:p>
                </w:tc>
              </w:sdtContent>
            </w:sdt>
            <w:sdt>
              <w:sdtPr>
                <w:rPr>
                  <w:szCs w:val="21"/>
                </w:rPr>
                <w:alias w:val="商誉减值准备本期减少额项目名称"/>
                <w:tag w:val="_GBC_aa48e25b6e1f4be9b1276fe009dabf0e"/>
                <w:id w:val="-1098632537"/>
                <w:lock w:val="sdtLocked"/>
                <w:showingPlcHdr/>
              </w:sdtPr>
              <w:sdtEndPr>
                <w:rPr>
                  <w:rFonts w:hint="eastAsia"/>
                </w:rPr>
              </w:sdtEndPr>
              <w:sdtContent>
                <w:tc>
                  <w:tcPr>
                    <w:tcW w:w="513" w:type="pct"/>
                    <w:shd w:val="clear" w:color="auto" w:fill="auto"/>
                    <w:vAlign w:val="center"/>
                  </w:tcPr>
                  <w:p w:rsidR="00754CDA" w:rsidRDefault="00754CDA" w:rsidP="00433709">
                    <w:pPr>
                      <w:autoSpaceDE w:val="0"/>
                      <w:autoSpaceDN w:val="0"/>
                      <w:adjustRightInd w:val="0"/>
                      <w:snapToGrid w:val="0"/>
                      <w:jc w:val="center"/>
                      <w:rPr>
                        <w:szCs w:val="21"/>
                      </w:rPr>
                    </w:pPr>
                    <w:r>
                      <w:rPr>
                        <w:rFonts w:hint="eastAsia"/>
                        <w:szCs w:val="21"/>
                      </w:rPr>
                      <w:t xml:space="preserve">　</w:t>
                    </w:r>
                  </w:p>
                </w:tc>
              </w:sdtContent>
            </w:sdt>
            <w:tc>
              <w:tcPr>
                <w:tcW w:w="955" w:type="pct"/>
                <w:vMerge/>
                <w:shd w:val="clear" w:color="auto" w:fill="auto"/>
              </w:tcPr>
              <w:p w:rsidR="00754CDA" w:rsidRDefault="00754CDA" w:rsidP="00433709">
                <w:pPr>
                  <w:autoSpaceDE w:val="0"/>
                  <w:autoSpaceDN w:val="0"/>
                  <w:adjustRightInd w:val="0"/>
                  <w:snapToGrid w:val="0"/>
                  <w:jc w:val="center"/>
                  <w:rPr>
                    <w:szCs w:val="21"/>
                  </w:rPr>
                </w:pPr>
              </w:p>
            </w:tc>
          </w:tr>
          <w:sdt>
            <w:sdtPr>
              <w:rPr>
                <w:rFonts w:asciiTheme="minorHAnsi" w:eastAsiaTheme="minorEastAsia" w:hAnsiTheme="minorHAnsi" w:cstheme="minorBidi"/>
                <w:kern w:val="2"/>
                <w:szCs w:val="21"/>
              </w:rPr>
              <w:alias w:val="商誉减值准备明细"/>
              <w:tag w:val="_GBC_98340a952ec045d0bd3e053903c6a9f6"/>
              <w:id w:val="2128353828"/>
              <w:lock w:val="sdtLocked"/>
            </w:sdtPr>
            <w:sdtEndPr>
              <w:rPr>
                <w:rFonts w:hint="eastAsia"/>
              </w:rPr>
            </w:sdtEndPr>
            <w:sdtContent>
              <w:tr w:rsidR="00754CDA" w:rsidTr="00B637B2">
                <w:trPr>
                  <w:trHeight w:val="323"/>
                  <w:jc w:val="center"/>
                </w:trPr>
                <w:tc>
                  <w:tcPr>
                    <w:tcW w:w="801" w:type="pct"/>
                    <w:shd w:val="clear" w:color="auto" w:fill="auto"/>
                  </w:tcPr>
                  <w:p w:rsidR="00754CDA" w:rsidRDefault="00754CDA" w:rsidP="00433709">
                    <w:pPr>
                      <w:autoSpaceDE w:val="0"/>
                      <w:autoSpaceDN w:val="0"/>
                      <w:adjustRightInd w:val="0"/>
                      <w:snapToGrid w:val="0"/>
                      <w:rPr>
                        <w:szCs w:val="21"/>
                      </w:rPr>
                    </w:pPr>
                    <w:r w:rsidRPr="00754CDA">
                      <w:rPr>
                        <w:rFonts w:hint="eastAsia"/>
                      </w:rPr>
                      <w:t>时空超越</w:t>
                    </w:r>
                  </w:p>
                </w:tc>
                <w:tc>
                  <w:tcPr>
                    <w:tcW w:w="963" w:type="pct"/>
                    <w:shd w:val="clear" w:color="auto" w:fill="auto"/>
                    <w:vAlign w:val="center"/>
                  </w:tcPr>
                  <w:p w:rsidR="00754CDA" w:rsidRPr="00665CC5" w:rsidRDefault="00754CDA" w:rsidP="00B637B2">
                    <w:pPr>
                      <w:jc w:val="right"/>
                    </w:pPr>
                    <w:r w:rsidRPr="00665CC5">
                      <w:t>28,873,073</w:t>
                    </w:r>
                  </w:p>
                </w:tc>
                <w:tc>
                  <w:tcPr>
                    <w:tcW w:w="643" w:type="pct"/>
                    <w:shd w:val="clear" w:color="auto" w:fill="auto"/>
                    <w:vAlign w:val="center"/>
                  </w:tcPr>
                  <w:p w:rsidR="00754CDA" w:rsidRDefault="00754CDA" w:rsidP="00B637B2">
                    <w:pPr>
                      <w:autoSpaceDE w:val="0"/>
                      <w:autoSpaceDN w:val="0"/>
                      <w:adjustRightInd w:val="0"/>
                      <w:snapToGrid w:val="0"/>
                      <w:jc w:val="right"/>
                      <w:rPr>
                        <w:szCs w:val="21"/>
                      </w:rPr>
                    </w:pPr>
                  </w:p>
                </w:tc>
                <w:tc>
                  <w:tcPr>
                    <w:tcW w:w="562" w:type="pct"/>
                    <w:shd w:val="clear" w:color="auto" w:fill="auto"/>
                    <w:vAlign w:val="center"/>
                  </w:tcPr>
                  <w:p w:rsidR="00754CDA" w:rsidRDefault="00754CDA" w:rsidP="00B637B2">
                    <w:pPr>
                      <w:autoSpaceDE w:val="0"/>
                      <w:autoSpaceDN w:val="0"/>
                      <w:adjustRightInd w:val="0"/>
                      <w:snapToGrid w:val="0"/>
                      <w:jc w:val="right"/>
                      <w:rPr>
                        <w:szCs w:val="21"/>
                      </w:rPr>
                    </w:pPr>
                  </w:p>
                </w:tc>
                <w:tc>
                  <w:tcPr>
                    <w:tcW w:w="562" w:type="pct"/>
                    <w:shd w:val="clear" w:color="auto" w:fill="auto"/>
                    <w:vAlign w:val="center"/>
                  </w:tcPr>
                  <w:p w:rsidR="00754CDA" w:rsidRDefault="00754CDA" w:rsidP="00B637B2">
                    <w:pPr>
                      <w:autoSpaceDE w:val="0"/>
                      <w:autoSpaceDN w:val="0"/>
                      <w:adjustRightInd w:val="0"/>
                      <w:snapToGrid w:val="0"/>
                      <w:jc w:val="right"/>
                      <w:rPr>
                        <w:szCs w:val="21"/>
                      </w:rPr>
                    </w:pPr>
                  </w:p>
                </w:tc>
                <w:tc>
                  <w:tcPr>
                    <w:tcW w:w="513" w:type="pct"/>
                    <w:shd w:val="clear" w:color="auto" w:fill="auto"/>
                    <w:vAlign w:val="center"/>
                  </w:tcPr>
                  <w:p w:rsidR="00754CDA" w:rsidRDefault="00754CDA" w:rsidP="00B637B2">
                    <w:pPr>
                      <w:autoSpaceDE w:val="0"/>
                      <w:autoSpaceDN w:val="0"/>
                      <w:adjustRightInd w:val="0"/>
                      <w:snapToGrid w:val="0"/>
                      <w:jc w:val="right"/>
                      <w:rPr>
                        <w:szCs w:val="21"/>
                      </w:rPr>
                    </w:pPr>
                  </w:p>
                </w:tc>
                <w:tc>
                  <w:tcPr>
                    <w:tcW w:w="955" w:type="pct"/>
                    <w:shd w:val="clear" w:color="auto" w:fill="auto"/>
                    <w:vAlign w:val="center"/>
                  </w:tcPr>
                  <w:p w:rsidR="00754CDA" w:rsidRDefault="008F04CF" w:rsidP="00B637B2">
                    <w:pPr>
                      <w:autoSpaceDE w:val="0"/>
                      <w:autoSpaceDN w:val="0"/>
                      <w:adjustRightInd w:val="0"/>
                      <w:snapToGrid w:val="0"/>
                      <w:jc w:val="right"/>
                      <w:rPr>
                        <w:szCs w:val="21"/>
                      </w:rPr>
                    </w:pPr>
                    <w:r>
                      <w:rPr>
                        <w:szCs w:val="21"/>
                      </w:rPr>
                      <w:t>28,873,073</w:t>
                    </w:r>
                  </w:p>
                </w:tc>
              </w:tr>
            </w:sdtContent>
          </w:sdt>
          <w:sdt>
            <w:sdtPr>
              <w:rPr>
                <w:rFonts w:asciiTheme="minorHAnsi" w:eastAsiaTheme="minorEastAsia" w:hAnsiTheme="minorHAnsi" w:cstheme="minorBidi"/>
                <w:kern w:val="2"/>
                <w:szCs w:val="21"/>
              </w:rPr>
              <w:alias w:val="商誉减值准备明细"/>
              <w:tag w:val="_GBC_98340a952ec045d0bd3e053903c6a9f6"/>
              <w:id w:val="734508112"/>
              <w:lock w:val="sdtLocked"/>
            </w:sdtPr>
            <w:sdtEndPr>
              <w:rPr>
                <w:rFonts w:hint="eastAsia"/>
              </w:rPr>
            </w:sdtEndPr>
            <w:sdtContent>
              <w:tr w:rsidR="00754CDA" w:rsidTr="00B637B2">
                <w:trPr>
                  <w:trHeight w:val="323"/>
                  <w:jc w:val="center"/>
                </w:trPr>
                <w:tc>
                  <w:tcPr>
                    <w:tcW w:w="801" w:type="pct"/>
                    <w:shd w:val="clear" w:color="auto" w:fill="auto"/>
                  </w:tcPr>
                  <w:p w:rsidR="00754CDA" w:rsidRDefault="00754CDA" w:rsidP="00433709">
                    <w:pPr>
                      <w:autoSpaceDE w:val="0"/>
                      <w:autoSpaceDN w:val="0"/>
                      <w:adjustRightInd w:val="0"/>
                      <w:snapToGrid w:val="0"/>
                      <w:rPr>
                        <w:szCs w:val="21"/>
                      </w:rPr>
                    </w:pPr>
                    <w:r w:rsidRPr="00754CDA">
                      <w:rPr>
                        <w:rFonts w:asciiTheme="minorHAnsi" w:eastAsiaTheme="minorEastAsia" w:hAnsiTheme="minorHAnsi" w:cstheme="minorBidi" w:hint="eastAsia"/>
                        <w:kern w:val="2"/>
                        <w:szCs w:val="21"/>
                      </w:rPr>
                      <w:t>天诺坛网</w:t>
                    </w:r>
                  </w:p>
                </w:tc>
                <w:tc>
                  <w:tcPr>
                    <w:tcW w:w="963" w:type="pct"/>
                    <w:shd w:val="clear" w:color="auto" w:fill="auto"/>
                    <w:vAlign w:val="center"/>
                  </w:tcPr>
                  <w:p w:rsidR="00754CDA" w:rsidRPr="00665CC5" w:rsidRDefault="00754CDA" w:rsidP="00B637B2">
                    <w:pPr>
                      <w:jc w:val="right"/>
                    </w:pPr>
                    <w:r w:rsidRPr="00665CC5">
                      <w:t>6,354,823</w:t>
                    </w:r>
                  </w:p>
                </w:tc>
                <w:tc>
                  <w:tcPr>
                    <w:tcW w:w="643" w:type="pct"/>
                    <w:shd w:val="clear" w:color="auto" w:fill="auto"/>
                    <w:vAlign w:val="center"/>
                  </w:tcPr>
                  <w:p w:rsidR="00754CDA" w:rsidRDefault="00754CDA" w:rsidP="00B637B2">
                    <w:pPr>
                      <w:autoSpaceDE w:val="0"/>
                      <w:autoSpaceDN w:val="0"/>
                      <w:adjustRightInd w:val="0"/>
                      <w:snapToGrid w:val="0"/>
                      <w:jc w:val="right"/>
                      <w:rPr>
                        <w:szCs w:val="21"/>
                      </w:rPr>
                    </w:pPr>
                  </w:p>
                </w:tc>
                <w:tc>
                  <w:tcPr>
                    <w:tcW w:w="562" w:type="pct"/>
                    <w:shd w:val="clear" w:color="auto" w:fill="auto"/>
                    <w:vAlign w:val="center"/>
                  </w:tcPr>
                  <w:p w:rsidR="00754CDA" w:rsidRDefault="00754CDA" w:rsidP="00B637B2">
                    <w:pPr>
                      <w:autoSpaceDE w:val="0"/>
                      <w:autoSpaceDN w:val="0"/>
                      <w:adjustRightInd w:val="0"/>
                      <w:snapToGrid w:val="0"/>
                      <w:jc w:val="right"/>
                      <w:rPr>
                        <w:szCs w:val="21"/>
                      </w:rPr>
                    </w:pPr>
                  </w:p>
                </w:tc>
                <w:tc>
                  <w:tcPr>
                    <w:tcW w:w="562" w:type="pct"/>
                    <w:shd w:val="clear" w:color="auto" w:fill="auto"/>
                    <w:vAlign w:val="center"/>
                  </w:tcPr>
                  <w:p w:rsidR="00754CDA" w:rsidRDefault="00754CDA" w:rsidP="00B637B2">
                    <w:pPr>
                      <w:autoSpaceDE w:val="0"/>
                      <w:autoSpaceDN w:val="0"/>
                      <w:adjustRightInd w:val="0"/>
                      <w:snapToGrid w:val="0"/>
                      <w:jc w:val="right"/>
                      <w:rPr>
                        <w:szCs w:val="21"/>
                      </w:rPr>
                    </w:pPr>
                  </w:p>
                </w:tc>
                <w:tc>
                  <w:tcPr>
                    <w:tcW w:w="513" w:type="pct"/>
                    <w:shd w:val="clear" w:color="auto" w:fill="auto"/>
                    <w:vAlign w:val="center"/>
                  </w:tcPr>
                  <w:p w:rsidR="00754CDA" w:rsidRDefault="00754CDA" w:rsidP="00B637B2">
                    <w:pPr>
                      <w:autoSpaceDE w:val="0"/>
                      <w:autoSpaceDN w:val="0"/>
                      <w:adjustRightInd w:val="0"/>
                      <w:snapToGrid w:val="0"/>
                      <w:jc w:val="right"/>
                      <w:rPr>
                        <w:szCs w:val="21"/>
                      </w:rPr>
                    </w:pPr>
                  </w:p>
                </w:tc>
                <w:tc>
                  <w:tcPr>
                    <w:tcW w:w="955" w:type="pct"/>
                    <w:shd w:val="clear" w:color="auto" w:fill="auto"/>
                    <w:vAlign w:val="center"/>
                  </w:tcPr>
                  <w:p w:rsidR="00754CDA" w:rsidRDefault="00754CDA" w:rsidP="00B637B2">
                    <w:pPr>
                      <w:autoSpaceDE w:val="0"/>
                      <w:autoSpaceDN w:val="0"/>
                      <w:adjustRightInd w:val="0"/>
                      <w:snapToGrid w:val="0"/>
                      <w:jc w:val="right"/>
                      <w:rPr>
                        <w:szCs w:val="21"/>
                      </w:rPr>
                    </w:pPr>
                    <w:r w:rsidRPr="00656332">
                      <w:rPr>
                        <w:szCs w:val="21"/>
                      </w:rPr>
                      <w:t>6,354,823</w:t>
                    </w:r>
                  </w:p>
                </w:tc>
              </w:tr>
            </w:sdtContent>
          </w:sdt>
          <w:sdt>
            <w:sdtPr>
              <w:rPr>
                <w:rFonts w:asciiTheme="minorHAnsi" w:eastAsiaTheme="minorEastAsia" w:hAnsiTheme="minorHAnsi" w:cstheme="minorBidi"/>
                <w:kern w:val="2"/>
                <w:szCs w:val="21"/>
              </w:rPr>
              <w:alias w:val="商誉减值准备明细"/>
              <w:tag w:val="_GBC_98340a952ec045d0bd3e053903c6a9f6"/>
              <w:id w:val="-1164708231"/>
              <w:lock w:val="sdtLocked"/>
            </w:sdtPr>
            <w:sdtEndPr>
              <w:rPr>
                <w:rFonts w:hint="eastAsia"/>
              </w:rPr>
            </w:sdtEndPr>
            <w:sdtContent>
              <w:tr w:rsidR="00754CDA" w:rsidTr="00B637B2">
                <w:trPr>
                  <w:trHeight w:val="323"/>
                  <w:jc w:val="center"/>
                </w:trPr>
                <w:tc>
                  <w:tcPr>
                    <w:tcW w:w="801" w:type="pct"/>
                    <w:shd w:val="clear" w:color="auto" w:fill="auto"/>
                  </w:tcPr>
                  <w:p w:rsidR="00754CDA" w:rsidRDefault="00754CDA" w:rsidP="00433709">
                    <w:pPr>
                      <w:autoSpaceDE w:val="0"/>
                      <w:autoSpaceDN w:val="0"/>
                      <w:adjustRightInd w:val="0"/>
                      <w:snapToGrid w:val="0"/>
                      <w:rPr>
                        <w:szCs w:val="21"/>
                      </w:rPr>
                    </w:pPr>
                    <w:r w:rsidRPr="00754CDA">
                      <w:rPr>
                        <w:rFonts w:asciiTheme="minorHAnsi" w:eastAsiaTheme="minorEastAsia" w:hAnsiTheme="minorHAnsi" w:cstheme="minorBidi" w:hint="eastAsia"/>
                        <w:kern w:val="2"/>
                        <w:szCs w:val="21"/>
                      </w:rPr>
                      <w:t>上海哈久</w:t>
                    </w:r>
                  </w:p>
                </w:tc>
                <w:tc>
                  <w:tcPr>
                    <w:tcW w:w="963" w:type="pct"/>
                    <w:shd w:val="clear" w:color="auto" w:fill="auto"/>
                    <w:vAlign w:val="center"/>
                  </w:tcPr>
                  <w:p w:rsidR="00754CDA" w:rsidRPr="00665CC5" w:rsidRDefault="00754CDA" w:rsidP="00B637B2">
                    <w:pPr>
                      <w:jc w:val="right"/>
                    </w:pPr>
                    <w:r w:rsidRPr="00665CC5">
                      <w:t>6,637,723</w:t>
                    </w:r>
                  </w:p>
                </w:tc>
                <w:tc>
                  <w:tcPr>
                    <w:tcW w:w="643" w:type="pct"/>
                    <w:shd w:val="clear" w:color="auto" w:fill="auto"/>
                    <w:vAlign w:val="center"/>
                  </w:tcPr>
                  <w:p w:rsidR="00754CDA" w:rsidRDefault="00754CDA" w:rsidP="00B637B2">
                    <w:pPr>
                      <w:autoSpaceDE w:val="0"/>
                      <w:autoSpaceDN w:val="0"/>
                      <w:adjustRightInd w:val="0"/>
                      <w:snapToGrid w:val="0"/>
                      <w:jc w:val="right"/>
                      <w:rPr>
                        <w:szCs w:val="21"/>
                      </w:rPr>
                    </w:pPr>
                  </w:p>
                </w:tc>
                <w:tc>
                  <w:tcPr>
                    <w:tcW w:w="562" w:type="pct"/>
                    <w:shd w:val="clear" w:color="auto" w:fill="auto"/>
                    <w:vAlign w:val="center"/>
                  </w:tcPr>
                  <w:p w:rsidR="00754CDA" w:rsidRDefault="00754CDA" w:rsidP="00B637B2">
                    <w:pPr>
                      <w:autoSpaceDE w:val="0"/>
                      <w:autoSpaceDN w:val="0"/>
                      <w:adjustRightInd w:val="0"/>
                      <w:snapToGrid w:val="0"/>
                      <w:jc w:val="right"/>
                      <w:rPr>
                        <w:szCs w:val="21"/>
                      </w:rPr>
                    </w:pPr>
                  </w:p>
                </w:tc>
                <w:tc>
                  <w:tcPr>
                    <w:tcW w:w="562" w:type="pct"/>
                    <w:shd w:val="clear" w:color="auto" w:fill="auto"/>
                    <w:vAlign w:val="center"/>
                  </w:tcPr>
                  <w:p w:rsidR="00754CDA" w:rsidRDefault="00754CDA" w:rsidP="00B637B2">
                    <w:pPr>
                      <w:autoSpaceDE w:val="0"/>
                      <w:autoSpaceDN w:val="0"/>
                      <w:adjustRightInd w:val="0"/>
                      <w:snapToGrid w:val="0"/>
                      <w:jc w:val="right"/>
                      <w:rPr>
                        <w:szCs w:val="21"/>
                      </w:rPr>
                    </w:pPr>
                  </w:p>
                </w:tc>
                <w:tc>
                  <w:tcPr>
                    <w:tcW w:w="513" w:type="pct"/>
                    <w:shd w:val="clear" w:color="auto" w:fill="auto"/>
                    <w:vAlign w:val="center"/>
                  </w:tcPr>
                  <w:p w:rsidR="00754CDA" w:rsidRDefault="00754CDA" w:rsidP="00B637B2">
                    <w:pPr>
                      <w:autoSpaceDE w:val="0"/>
                      <w:autoSpaceDN w:val="0"/>
                      <w:adjustRightInd w:val="0"/>
                      <w:snapToGrid w:val="0"/>
                      <w:jc w:val="right"/>
                      <w:rPr>
                        <w:szCs w:val="21"/>
                      </w:rPr>
                    </w:pPr>
                  </w:p>
                </w:tc>
                <w:tc>
                  <w:tcPr>
                    <w:tcW w:w="955" w:type="pct"/>
                    <w:shd w:val="clear" w:color="auto" w:fill="auto"/>
                    <w:vAlign w:val="center"/>
                  </w:tcPr>
                  <w:p w:rsidR="00754CDA" w:rsidRDefault="00754CDA" w:rsidP="00B637B2">
                    <w:pPr>
                      <w:autoSpaceDE w:val="0"/>
                      <w:autoSpaceDN w:val="0"/>
                      <w:adjustRightInd w:val="0"/>
                      <w:snapToGrid w:val="0"/>
                      <w:jc w:val="right"/>
                      <w:rPr>
                        <w:szCs w:val="21"/>
                      </w:rPr>
                    </w:pPr>
                    <w:r w:rsidRPr="00656332">
                      <w:rPr>
                        <w:szCs w:val="21"/>
                      </w:rPr>
                      <w:t>6,637,723</w:t>
                    </w:r>
                  </w:p>
                </w:tc>
              </w:tr>
            </w:sdtContent>
          </w:sdt>
          <w:sdt>
            <w:sdtPr>
              <w:rPr>
                <w:rFonts w:asciiTheme="minorHAnsi" w:eastAsiaTheme="minorEastAsia" w:hAnsiTheme="minorHAnsi" w:cstheme="minorBidi"/>
                <w:kern w:val="2"/>
                <w:szCs w:val="21"/>
              </w:rPr>
              <w:alias w:val="商誉减值准备明细"/>
              <w:tag w:val="_GBC_98340a952ec045d0bd3e053903c6a9f6"/>
              <w:id w:val="-66188046"/>
              <w:lock w:val="sdtLocked"/>
            </w:sdtPr>
            <w:sdtEndPr>
              <w:rPr>
                <w:rFonts w:hint="eastAsia"/>
              </w:rPr>
            </w:sdtEndPr>
            <w:sdtContent>
              <w:tr w:rsidR="00754CDA" w:rsidTr="00B637B2">
                <w:trPr>
                  <w:trHeight w:val="323"/>
                  <w:jc w:val="center"/>
                </w:trPr>
                <w:tc>
                  <w:tcPr>
                    <w:tcW w:w="801" w:type="pct"/>
                    <w:shd w:val="clear" w:color="auto" w:fill="auto"/>
                  </w:tcPr>
                  <w:p w:rsidR="00754CDA" w:rsidRDefault="00754CDA" w:rsidP="00433709">
                    <w:pPr>
                      <w:autoSpaceDE w:val="0"/>
                      <w:autoSpaceDN w:val="0"/>
                      <w:adjustRightInd w:val="0"/>
                      <w:snapToGrid w:val="0"/>
                      <w:rPr>
                        <w:szCs w:val="21"/>
                      </w:rPr>
                    </w:pPr>
                    <w:r w:rsidRPr="00754CDA">
                      <w:rPr>
                        <w:rFonts w:asciiTheme="minorHAnsi" w:eastAsiaTheme="minorEastAsia" w:hAnsiTheme="minorHAnsi" w:cstheme="minorBidi" w:hint="eastAsia"/>
                        <w:kern w:val="2"/>
                        <w:szCs w:val="21"/>
                      </w:rPr>
                      <w:t>用友伟库</w:t>
                    </w:r>
                  </w:p>
                </w:tc>
                <w:tc>
                  <w:tcPr>
                    <w:tcW w:w="963" w:type="pct"/>
                    <w:shd w:val="clear" w:color="auto" w:fill="auto"/>
                    <w:vAlign w:val="center"/>
                  </w:tcPr>
                  <w:p w:rsidR="00754CDA" w:rsidRPr="00665CC5" w:rsidRDefault="00754CDA" w:rsidP="00B637B2">
                    <w:pPr>
                      <w:jc w:val="right"/>
                    </w:pPr>
                    <w:r w:rsidRPr="00665CC5">
                      <w:t>2,896,357</w:t>
                    </w:r>
                  </w:p>
                </w:tc>
                <w:tc>
                  <w:tcPr>
                    <w:tcW w:w="643" w:type="pct"/>
                    <w:shd w:val="clear" w:color="auto" w:fill="auto"/>
                    <w:vAlign w:val="center"/>
                  </w:tcPr>
                  <w:p w:rsidR="00754CDA" w:rsidRDefault="00754CDA" w:rsidP="00B637B2">
                    <w:pPr>
                      <w:autoSpaceDE w:val="0"/>
                      <w:autoSpaceDN w:val="0"/>
                      <w:adjustRightInd w:val="0"/>
                      <w:snapToGrid w:val="0"/>
                      <w:jc w:val="right"/>
                      <w:rPr>
                        <w:szCs w:val="21"/>
                      </w:rPr>
                    </w:pPr>
                  </w:p>
                </w:tc>
                <w:tc>
                  <w:tcPr>
                    <w:tcW w:w="562" w:type="pct"/>
                    <w:shd w:val="clear" w:color="auto" w:fill="auto"/>
                    <w:vAlign w:val="center"/>
                  </w:tcPr>
                  <w:p w:rsidR="00754CDA" w:rsidRDefault="00754CDA" w:rsidP="00B637B2">
                    <w:pPr>
                      <w:autoSpaceDE w:val="0"/>
                      <w:autoSpaceDN w:val="0"/>
                      <w:adjustRightInd w:val="0"/>
                      <w:snapToGrid w:val="0"/>
                      <w:jc w:val="right"/>
                      <w:rPr>
                        <w:szCs w:val="21"/>
                      </w:rPr>
                    </w:pPr>
                  </w:p>
                </w:tc>
                <w:tc>
                  <w:tcPr>
                    <w:tcW w:w="562" w:type="pct"/>
                    <w:shd w:val="clear" w:color="auto" w:fill="auto"/>
                    <w:vAlign w:val="center"/>
                  </w:tcPr>
                  <w:p w:rsidR="00754CDA" w:rsidRDefault="00754CDA" w:rsidP="00B637B2">
                    <w:pPr>
                      <w:autoSpaceDE w:val="0"/>
                      <w:autoSpaceDN w:val="0"/>
                      <w:adjustRightInd w:val="0"/>
                      <w:snapToGrid w:val="0"/>
                      <w:jc w:val="right"/>
                      <w:rPr>
                        <w:szCs w:val="21"/>
                      </w:rPr>
                    </w:pPr>
                  </w:p>
                </w:tc>
                <w:tc>
                  <w:tcPr>
                    <w:tcW w:w="513" w:type="pct"/>
                    <w:shd w:val="clear" w:color="auto" w:fill="auto"/>
                    <w:vAlign w:val="center"/>
                  </w:tcPr>
                  <w:p w:rsidR="00754CDA" w:rsidRDefault="00754CDA" w:rsidP="00B637B2">
                    <w:pPr>
                      <w:autoSpaceDE w:val="0"/>
                      <w:autoSpaceDN w:val="0"/>
                      <w:adjustRightInd w:val="0"/>
                      <w:snapToGrid w:val="0"/>
                      <w:jc w:val="right"/>
                      <w:rPr>
                        <w:szCs w:val="21"/>
                      </w:rPr>
                    </w:pPr>
                  </w:p>
                </w:tc>
                <w:tc>
                  <w:tcPr>
                    <w:tcW w:w="955" w:type="pct"/>
                    <w:shd w:val="clear" w:color="auto" w:fill="auto"/>
                    <w:vAlign w:val="center"/>
                  </w:tcPr>
                  <w:p w:rsidR="00754CDA" w:rsidRDefault="00754CDA" w:rsidP="00B637B2">
                    <w:pPr>
                      <w:autoSpaceDE w:val="0"/>
                      <w:autoSpaceDN w:val="0"/>
                      <w:adjustRightInd w:val="0"/>
                      <w:snapToGrid w:val="0"/>
                      <w:jc w:val="right"/>
                      <w:rPr>
                        <w:szCs w:val="21"/>
                      </w:rPr>
                    </w:pPr>
                    <w:r w:rsidRPr="00656332">
                      <w:rPr>
                        <w:szCs w:val="21"/>
                      </w:rPr>
                      <w:t>2,896,357</w:t>
                    </w:r>
                  </w:p>
                </w:tc>
              </w:tr>
            </w:sdtContent>
          </w:sdt>
          <w:sdt>
            <w:sdtPr>
              <w:rPr>
                <w:rFonts w:asciiTheme="minorHAnsi" w:eastAsiaTheme="minorEastAsia" w:hAnsiTheme="minorHAnsi" w:cstheme="minorBidi"/>
                <w:kern w:val="2"/>
                <w:szCs w:val="21"/>
              </w:rPr>
              <w:alias w:val="商誉减值准备明细"/>
              <w:tag w:val="_GBC_98340a952ec045d0bd3e053903c6a9f6"/>
              <w:id w:val="-139656275"/>
              <w:lock w:val="sdtLocked"/>
            </w:sdtPr>
            <w:sdtEndPr>
              <w:rPr>
                <w:rFonts w:hint="eastAsia"/>
              </w:rPr>
            </w:sdtEndPr>
            <w:sdtContent>
              <w:tr w:rsidR="00754CDA" w:rsidTr="00B637B2">
                <w:trPr>
                  <w:trHeight w:val="323"/>
                  <w:jc w:val="center"/>
                </w:trPr>
                <w:tc>
                  <w:tcPr>
                    <w:tcW w:w="801" w:type="pct"/>
                    <w:shd w:val="clear" w:color="auto" w:fill="auto"/>
                  </w:tcPr>
                  <w:p w:rsidR="00754CDA" w:rsidRDefault="00754CDA" w:rsidP="00433709">
                    <w:pPr>
                      <w:autoSpaceDE w:val="0"/>
                      <w:autoSpaceDN w:val="0"/>
                      <w:adjustRightInd w:val="0"/>
                      <w:snapToGrid w:val="0"/>
                      <w:rPr>
                        <w:szCs w:val="21"/>
                      </w:rPr>
                    </w:pPr>
                    <w:r w:rsidRPr="00754CDA">
                      <w:rPr>
                        <w:rFonts w:asciiTheme="minorHAnsi" w:eastAsiaTheme="minorEastAsia" w:hAnsiTheme="minorHAnsi" w:cstheme="minorBidi" w:hint="eastAsia"/>
                        <w:kern w:val="2"/>
                        <w:szCs w:val="21"/>
                      </w:rPr>
                      <w:t>秉钧网络</w:t>
                    </w:r>
                  </w:p>
                </w:tc>
                <w:tc>
                  <w:tcPr>
                    <w:tcW w:w="963" w:type="pct"/>
                    <w:shd w:val="clear" w:color="auto" w:fill="auto"/>
                    <w:vAlign w:val="center"/>
                  </w:tcPr>
                  <w:p w:rsidR="00754CDA" w:rsidRDefault="00754CDA" w:rsidP="00B637B2">
                    <w:pPr>
                      <w:jc w:val="right"/>
                    </w:pPr>
                    <w:r w:rsidRPr="00665CC5">
                      <w:t>43,671,000</w:t>
                    </w:r>
                  </w:p>
                </w:tc>
                <w:tc>
                  <w:tcPr>
                    <w:tcW w:w="643" w:type="pct"/>
                    <w:shd w:val="clear" w:color="auto" w:fill="auto"/>
                    <w:vAlign w:val="center"/>
                  </w:tcPr>
                  <w:p w:rsidR="00754CDA" w:rsidRDefault="00754CDA" w:rsidP="00B637B2">
                    <w:pPr>
                      <w:autoSpaceDE w:val="0"/>
                      <w:autoSpaceDN w:val="0"/>
                      <w:adjustRightInd w:val="0"/>
                      <w:snapToGrid w:val="0"/>
                      <w:jc w:val="right"/>
                      <w:rPr>
                        <w:szCs w:val="21"/>
                      </w:rPr>
                    </w:pPr>
                  </w:p>
                </w:tc>
                <w:tc>
                  <w:tcPr>
                    <w:tcW w:w="562" w:type="pct"/>
                    <w:shd w:val="clear" w:color="auto" w:fill="auto"/>
                    <w:vAlign w:val="center"/>
                  </w:tcPr>
                  <w:p w:rsidR="00754CDA" w:rsidRDefault="00754CDA" w:rsidP="00B637B2">
                    <w:pPr>
                      <w:autoSpaceDE w:val="0"/>
                      <w:autoSpaceDN w:val="0"/>
                      <w:adjustRightInd w:val="0"/>
                      <w:snapToGrid w:val="0"/>
                      <w:jc w:val="right"/>
                      <w:rPr>
                        <w:szCs w:val="21"/>
                      </w:rPr>
                    </w:pPr>
                  </w:p>
                </w:tc>
                <w:tc>
                  <w:tcPr>
                    <w:tcW w:w="562" w:type="pct"/>
                    <w:shd w:val="clear" w:color="auto" w:fill="auto"/>
                    <w:vAlign w:val="center"/>
                  </w:tcPr>
                  <w:p w:rsidR="00754CDA" w:rsidRDefault="00754CDA" w:rsidP="00B637B2">
                    <w:pPr>
                      <w:autoSpaceDE w:val="0"/>
                      <w:autoSpaceDN w:val="0"/>
                      <w:adjustRightInd w:val="0"/>
                      <w:snapToGrid w:val="0"/>
                      <w:jc w:val="right"/>
                      <w:rPr>
                        <w:szCs w:val="21"/>
                      </w:rPr>
                    </w:pPr>
                  </w:p>
                </w:tc>
                <w:tc>
                  <w:tcPr>
                    <w:tcW w:w="513" w:type="pct"/>
                    <w:shd w:val="clear" w:color="auto" w:fill="auto"/>
                    <w:vAlign w:val="center"/>
                  </w:tcPr>
                  <w:p w:rsidR="00754CDA" w:rsidRDefault="00754CDA" w:rsidP="00B637B2">
                    <w:pPr>
                      <w:autoSpaceDE w:val="0"/>
                      <w:autoSpaceDN w:val="0"/>
                      <w:adjustRightInd w:val="0"/>
                      <w:snapToGrid w:val="0"/>
                      <w:jc w:val="right"/>
                      <w:rPr>
                        <w:szCs w:val="21"/>
                      </w:rPr>
                    </w:pPr>
                  </w:p>
                </w:tc>
                <w:tc>
                  <w:tcPr>
                    <w:tcW w:w="955" w:type="pct"/>
                    <w:shd w:val="clear" w:color="auto" w:fill="auto"/>
                    <w:vAlign w:val="center"/>
                  </w:tcPr>
                  <w:p w:rsidR="00754CDA" w:rsidRDefault="00754CDA" w:rsidP="00B637B2">
                    <w:pPr>
                      <w:autoSpaceDE w:val="0"/>
                      <w:autoSpaceDN w:val="0"/>
                      <w:adjustRightInd w:val="0"/>
                      <w:snapToGrid w:val="0"/>
                      <w:jc w:val="right"/>
                      <w:rPr>
                        <w:szCs w:val="21"/>
                      </w:rPr>
                    </w:pPr>
                    <w:r w:rsidRPr="00656332">
                      <w:rPr>
                        <w:szCs w:val="21"/>
                      </w:rPr>
                      <w:t>43,671,000</w:t>
                    </w:r>
                  </w:p>
                </w:tc>
              </w:tr>
            </w:sdtContent>
          </w:sdt>
          <w:tr w:rsidR="00754CDA" w:rsidRPr="00656332" w:rsidTr="00B637B2">
            <w:trPr>
              <w:trHeight w:val="282"/>
              <w:jc w:val="center"/>
            </w:trPr>
            <w:sdt>
              <w:sdtPr>
                <w:tag w:val="_PLD_8723cba7d5f5468da42c45507923f6de"/>
                <w:id w:val="1375578396"/>
                <w:lock w:val="sdtLocked"/>
              </w:sdtPr>
              <w:sdtContent>
                <w:tc>
                  <w:tcPr>
                    <w:tcW w:w="801" w:type="pct"/>
                    <w:shd w:val="clear" w:color="auto" w:fill="auto"/>
                    <w:vAlign w:val="center"/>
                  </w:tcPr>
                  <w:p w:rsidR="00754CDA" w:rsidRDefault="00754CDA" w:rsidP="00433709">
                    <w:pPr>
                      <w:autoSpaceDE w:val="0"/>
                      <w:autoSpaceDN w:val="0"/>
                      <w:adjustRightInd w:val="0"/>
                      <w:snapToGrid w:val="0"/>
                      <w:jc w:val="center"/>
                      <w:rPr>
                        <w:szCs w:val="21"/>
                        <w:u w:val="double"/>
                      </w:rPr>
                    </w:pPr>
                    <w:r>
                      <w:rPr>
                        <w:rFonts w:hint="eastAsia"/>
                        <w:szCs w:val="21"/>
                      </w:rPr>
                      <w:t>合计</w:t>
                    </w:r>
                  </w:p>
                </w:tc>
              </w:sdtContent>
            </w:sdt>
            <w:tc>
              <w:tcPr>
                <w:tcW w:w="963" w:type="pct"/>
                <w:shd w:val="clear" w:color="auto" w:fill="auto"/>
                <w:vAlign w:val="center"/>
              </w:tcPr>
              <w:p w:rsidR="00754CDA" w:rsidRPr="00656332" w:rsidRDefault="008F04CF" w:rsidP="00B637B2">
                <w:pPr>
                  <w:jc w:val="right"/>
                </w:pPr>
                <w:r>
                  <w:t>88,432,976</w:t>
                </w:r>
              </w:p>
            </w:tc>
            <w:tc>
              <w:tcPr>
                <w:tcW w:w="643" w:type="pct"/>
                <w:shd w:val="clear" w:color="auto" w:fill="auto"/>
                <w:vAlign w:val="center"/>
              </w:tcPr>
              <w:p w:rsidR="00754CDA" w:rsidRPr="00656332" w:rsidRDefault="00754CDA" w:rsidP="00B637B2">
                <w:pPr>
                  <w:jc w:val="right"/>
                </w:pPr>
              </w:p>
            </w:tc>
            <w:tc>
              <w:tcPr>
                <w:tcW w:w="562" w:type="pct"/>
                <w:shd w:val="clear" w:color="auto" w:fill="auto"/>
                <w:vAlign w:val="center"/>
              </w:tcPr>
              <w:p w:rsidR="00754CDA" w:rsidRPr="00656332" w:rsidRDefault="00754CDA" w:rsidP="00B637B2">
                <w:pPr>
                  <w:jc w:val="right"/>
                </w:pPr>
              </w:p>
            </w:tc>
            <w:tc>
              <w:tcPr>
                <w:tcW w:w="562" w:type="pct"/>
                <w:shd w:val="clear" w:color="auto" w:fill="auto"/>
                <w:vAlign w:val="center"/>
              </w:tcPr>
              <w:p w:rsidR="00754CDA" w:rsidRPr="00656332" w:rsidRDefault="00754CDA" w:rsidP="00B637B2">
                <w:pPr>
                  <w:jc w:val="right"/>
                </w:pPr>
              </w:p>
            </w:tc>
            <w:tc>
              <w:tcPr>
                <w:tcW w:w="513" w:type="pct"/>
                <w:shd w:val="clear" w:color="auto" w:fill="auto"/>
                <w:vAlign w:val="center"/>
              </w:tcPr>
              <w:p w:rsidR="00754CDA" w:rsidRPr="00656332" w:rsidRDefault="00754CDA" w:rsidP="00B637B2">
                <w:pPr>
                  <w:jc w:val="right"/>
                </w:pPr>
              </w:p>
            </w:tc>
            <w:tc>
              <w:tcPr>
                <w:tcW w:w="955" w:type="pct"/>
                <w:shd w:val="clear" w:color="auto" w:fill="auto"/>
                <w:vAlign w:val="center"/>
              </w:tcPr>
              <w:p w:rsidR="00754CDA" w:rsidRPr="00656332" w:rsidRDefault="008F04CF" w:rsidP="00B637B2">
                <w:pPr>
                  <w:jc w:val="right"/>
                </w:pPr>
                <w:r>
                  <w:t>88,432,976</w:t>
                </w:r>
              </w:p>
            </w:tc>
          </w:tr>
        </w:tbl>
        <w:p w:rsidR="00754CDA" w:rsidRDefault="00754CDA"/>
        <w:p w:rsidR="00ED2DC7" w:rsidRPr="00656332" w:rsidRDefault="000D0A99" w:rsidP="00656332"/>
      </w:sdtContent>
    </w:sdt>
    <w:p w:rsidR="00ED2DC7" w:rsidRDefault="00ED2DC7"/>
    <w:bookmarkStart w:id="158" w:name="_Hlk10535081" w:displacedByCustomXml="next"/>
    <w:bookmarkStart w:id="159" w:name="_Hlk10535094" w:displacedByCustomXml="next"/>
    <w:sdt>
      <w:sdtPr>
        <w:rPr>
          <w:rFonts w:ascii="宋体" w:hAnsi="宋体" w:cs="宋体" w:hint="eastAsia"/>
          <w:b w:val="0"/>
          <w:bCs w:val="0"/>
          <w:kern w:val="0"/>
          <w:szCs w:val="24"/>
        </w:rPr>
        <w:alias w:val="模块:商誉所在资产组或资产组组合的相关信息"/>
        <w:tag w:val="_SEC_d66ac36383ac40138e90a678094ff1a4"/>
        <w:id w:val="1364628292"/>
        <w:lock w:val="sdtLocked"/>
        <w:placeholder>
          <w:docPart w:val="GBC22222222222222222222222222222"/>
        </w:placeholder>
      </w:sdtPr>
      <w:sdtEndPr>
        <w:rPr>
          <w:rFonts w:hint="default"/>
        </w:rPr>
      </w:sdtEndPr>
      <w:sdtContent>
        <w:p w:rsidR="00ED2DC7" w:rsidRDefault="00ED2DC7" w:rsidP="00036BDC">
          <w:pPr>
            <w:pStyle w:val="affffffffffffffffff2"/>
            <w:numPr>
              <w:ilvl w:val="0"/>
              <w:numId w:val="66"/>
            </w:numPr>
            <w:tabs>
              <w:tab w:val="left" w:pos="588"/>
            </w:tabs>
          </w:pPr>
          <w:r>
            <w:rPr>
              <w:rFonts w:hint="eastAsia"/>
            </w:rPr>
            <w:t>商誉所在资产组或资产组组合的相关信息</w:t>
          </w:r>
          <w:bookmarkEnd w:id="158"/>
        </w:p>
        <w:sdt>
          <w:sdtPr>
            <w:alias w:val="是否适用：商誉所在资产组或资产组组合的相关信息[双击切换]"/>
            <w:tag w:val="_GBC_a40a76b7512a45b79930a13f56d19c6d"/>
            <w:id w:val="127899252"/>
            <w:lock w:val="sdtContentLocked"/>
            <w:placeholder>
              <w:docPart w:val="GBC22222222222222222222222222222"/>
            </w:placeholder>
          </w:sdtPr>
          <w:sdtContent>
            <w:p w:rsidR="00ED2DC7" w:rsidRDefault="00ED2DC7" w:rsidP="000D3163">
              <w:r>
                <w:fldChar w:fldCharType="begin"/>
              </w:r>
              <w:r w:rsidR="000D3163">
                <w:instrText xml:space="preserve"> MACROBUTTON  SnrToggleCheckbox □适用 </w:instrText>
              </w:r>
              <w:r>
                <w:fldChar w:fldCharType="end"/>
              </w:r>
              <w:r>
                <w:fldChar w:fldCharType="begin"/>
              </w:r>
              <w:r w:rsidR="000D3163">
                <w:instrText xml:space="preserve"> MACROBUTTON  SnrToggleCheckbox √不适用 </w:instrText>
              </w:r>
              <w:r>
                <w:fldChar w:fldCharType="end"/>
              </w:r>
            </w:p>
          </w:sdtContent>
        </w:sdt>
        <w:p w:rsidR="00ED2DC7" w:rsidRDefault="000D0A99"/>
      </w:sdtContent>
    </w:sdt>
    <w:bookmarkEnd w:id="159" w:displacedByCustomXml="prev"/>
    <w:sdt>
      <w:sdtPr>
        <w:rPr>
          <w:rFonts w:ascii="宋体" w:hAnsi="宋体" w:cs="宋体" w:hint="eastAsia"/>
          <w:b w:val="0"/>
          <w:bCs w:val="0"/>
          <w:kern w:val="0"/>
          <w:szCs w:val="24"/>
        </w:rPr>
        <w:alias w:val="模块:说明商誉减值测试过程、关键参数（例如预计未来现金流量现值时的..."/>
        <w:tag w:val="_SEC_6b753aafd7bf484f982e228cd4c0dde3"/>
        <w:id w:val="938638897"/>
        <w:lock w:val="sdtLocked"/>
        <w:placeholder>
          <w:docPart w:val="GBC22222222222222222222222222222"/>
        </w:placeholder>
      </w:sdtPr>
      <w:sdtEndPr>
        <w:rPr>
          <w:rFonts w:hint="default"/>
          <w:szCs w:val="21"/>
        </w:rPr>
      </w:sdtEndPr>
      <w:sdtContent>
        <w:p w:rsidR="00ED2DC7" w:rsidRDefault="00ED2DC7" w:rsidP="00036BDC">
          <w:pPr>
            <w:pStyle w:val="affffffffffffffffff2"/>
            <w:numPr>
              <w:ilvl w:val="0"/>
              <w:numId w:val="66"/>
            </w:numPr>
            <w:tabs>
              <w:tab w:val="left" w:pos="588"/>
            </w:tabs>
            <w:ind w:left="567" w:hanging="567"/>
          </w:pPr>
          <w:r>
            <w:rPr>
              <w:rFonts w:hint="eastAsia"/>
            </w:rPr>
            <w:t>说明商誉减值测试过程、关键参数（例如预计未来现金流量现值时的预测期增长率、稳定期增长率、利润率、折现率、预测期等，如适用）及商誉减值损失的确认方法</w:t>
          </w:r>
        </w:p>
        <w:sdt>
          <w:sdtPr>
            <w:alias w:val="是否适用：说明商誉减值测试过程、参数及商誉减值损失的确认方法[双击切换]"/>
            <w:tag w:val="_GBC_3e5dd9e04d73479f9a70e665366f9d11"/>
            <w:id w:val="-13777916"/>
            <w:lock w:val="sdtContentLocked"/>
            <w:placeholder>
              <w:docPart w:val="GBC22222222222222222222222222222"/>
            </w:placeholder>
          </w:sdtPr>
          <w:sdtContent>
            <w:p w:rsidR="00ED2DC7" w:rsidRDefault="00ED2DC7" w:rsidP="00392D33">
              <w:pPr>
                <w:rPr>
                  <w:szCs w:val="21"/>
                </w:rPr>
              </w:pPr>
              <w:r>
                <w:fldChar w:fldCharType="begin"/>
              </w:r>
              <w:r w:rsidR="00392D33">
                <w:instrText xml:space="preserve"> MACROBUTTON  SnrToggleCheckbox □适用 </w:instrText>
              </w:r>
              <w:r>
                <w:fldChar w:fldCharType="end"/>
              </w:r>
              <w:r>
                <w:fldChar w:fldCharType="begin"/>
              </w:r>
              <w:r w:rsidR="00392D33">
                <w:instrText xml:space="preserve"> MACROBUTTON  SnrToggleCheckbox √不适用 </w:instrText>
              </w:r>
              <w:r>
                <w:fldChar w:fldCharType="end"/>
              </w:r>
            </w:p>
          </w:sdtContent>
        </w:sdt>
      </w:sdtContent>
    </w:sdt>
    <w:p w:rsidR="00ED2DC7" w:rsidRDefault="00ED2DC7">
      <w:pPr>
        <w:rPr>
          <w:szCs w:val="21"/>
        </w:rPr>
      </w:pPr>
    </w:p>
    <w:bookmarkStart w:id="160" w:name="_Hlk10535249" w:displacedByCustomXml="next"/>
    <w:bookmarkStart w:id="161" w:name="_Hlk10535258" w:displacedByCustomXml="next"/>
    <w:sdt>
      <w:sdtPr>
        <w:rPr>
          <w:rFonts w:ascii="宋体" w:hAnsi="宋体" w:cs="宋体" w:hint="eastAsia"/>
          <w:b w:val="0"/>
          <w:bCs w:val="0"/>
          <w:kern w:val="0"/>
          <w:szCs w:val="21"/>
        </w:rPr>
        <w:alias w:val="模块:商誉减值测试的影响"/>
        <w:tag w:val="_SEC_fd017e302f8c4189978aac3dc8581f09"/>
        <w:id w:val="698511530"/>
        <w:lock w:val="sdtLocked"/>
        <w:placeholder>
          <w:docPart w:val="GBC22222222222222222222222222222"/>
        </w:placeholder>
      </w:sdtPr>
      <w:sdtEndPr>
        <w:rPr>
          <w:rFonts w:hint="default"/>
        </w:rPr>
      </w:sdtEndPr>
      <w:sdtContent>
        <w:p w:rsidR="00ED2DC7" w:rsidRDefault="00ED2DC7" w:rsidP="00036BDC">
          <w:pPr>
            <w:pStyle w:val="affffffffffffffffff2"/>
            <w:numPr>
              <w:ilvl w:val="0"/>
              <w:numId w:val="66"/>
            </w:numPr>
            <w:tabs>
              <w:tab w:val="left" w:pos="588"/>
            </w:tabs>
            <w:ind w:left="567" w:hanging="567"/>
            <w:rPr>
              <w:szCs w:val="21"/>
            </w:rPr>
          </w:pPr>
          <w:r>
            <w:rPr>
              <w:rFonts w:hint="eastAsia"/>
              <w:szCs w:val="21"/>
            </w:rPr>
            <w:t>商誉减值测试的影响</w:t>
          </w:r>
          <w:bookmarkEnd w:id="160"/>
        </w:p>
        <w:sdt>
          <w:sdtPr>
            <w:rPr>
              <w:szCs w:val="21"/>
            </w:rPr>
            <w:alias w:val="是否适用：商誉减值测试的影响[双击切换]"/>
            <w:tag w:val="_GBC_24d2ea865aff4dda9d4cd3c8b1eb71cc"/>
            <w:id w:val="1899159488"/>
            <w:lock w:val="sdtContentLocked"/>
            <w:placeholder>
              <w:docPart w:val="GBC22222222222222222222222222222"/>
            </w:placeholder>
          </w:sdtPr>
          <w:sdtContent>
            <w:p w:rsidR="00ED2DC7" w:rsidRDefault="00ED2DC7" w:rsidP="000D3163">
              <w:pPr>
                <w:rPr>
                  <w:szCs w:val="21"/>
                </w:rPr>
              </w:pPr>
              <w:r>
                <w:rPr>
                  <w:szCs w:val="21"/>
                </w:rPr>
                <w:fldChar w:fldCharType="begin"/>
              </w:r>
              <w:r w:rsidR="000D3163">
                <w:rPr>
                  <w:szCs w:val="21"/>
                </w:rPr>
                <w:instrText xml:space="preserve"> MACROBUTTON  SnrToggleCheckbox □适用 </w:instrText>
              </w:r>
              <w:r>
                <w:rPr>
                  <w:szCs w:val="21"/>
                </w:rPr>
                <w:fldChar w:fldCharType="end"/>
              </w:r>
              <w:r>
                <w:rPr>
                  <w:szCs w:val="21"/>
                </w:rPr>
                <w:fldChar w:fldCharType="begin"/>
              </w:r>
              <w:r w:rsidR="000D3163">
                <w:rPr>
                  <w:szCs w:val="21"/>
                </w:rPr>
                <w:instrText xml:space="preserve"> MACROBUTTON  SnrToggleCheckbox √不适用 </w:instrText>
              </w:r>
              <w:r>
                <w:rPr>
                  <w:szCs w:val="21"/>
                </w:rPr>
                <w:fldChar w:fldCharType="end"/>
              </w:r>
            </w:p>
          </w:sdtContent>
        </w:sdt>
      </w:sdtContent>
    </w:sdt>
    <w:bookmarkEnd w:id="161" w:displacedByCustomXml="prev"/>
    <w:p w:rsidR="00ED2DC7" w:rsidRDefault="00ED2DC7">
      <w:pPr>
        <w:rPr>
          <w:szCs w:val="21"/>
        </w:rPr>
      </w:pPr>
    </w:p>
    <w:sdt>
      <w:sdtPr>
        <w:rPr>
          <w:rFonts w:hint="eastAsia"/>
        </w:rPr>
        <w:alias w:val="模块:其他说明"/>
        <w:tag w:val="_SEC_fd9f0a21b0c44e29ba84ddb7842fe32a"/>
        <w:id w:val="-816565919"/>
        <w:lock w:val="sdtLocked"/>
        <w:placeholder>
          <w:docPart w:val="GBC22222222222222222222222222222"/>
        </w:placeholder>
      </w:sdtPr>
      <w:sdtEndPr>
        <w:rPr>
          <w:rFonts w:hint="default"/>
          <w:szCs w:val="21"/>
        </w:rPr>
      </w:sdtEndPr>
      <w:sdtContent>
        <w:p w:rsidR="00ED2DC7" w:rsidRDefault="00ED2DC7">
          <w:r>
            <w:rPr>
              <w:rFonts w:hint="eastAsia"/>
            </w:rPr>
            <w:t>其他说明：</w:t>
          </w:r>
        </w:p>
        <w:sdt>
          <w:sdtPr>
            <w:alias w:val="是否适用：商誉其他需要说明的事项[双击切换]"/>
            <w:tag w:val="_GBC_6b2c2377a4a6486b9a4ba845bd2192f6"/>
            <w:id w:val="1906651123"/>
            <w:lock w:val="sdtContentLocked"/>
            <w:placeholder>
              <w:docPart w:val="GBC22222222222222222222222222222"/>
            </w:placeholder>
          </w:sdtPr>
          <w:sdtContent>
            <w:p w:rsidR="00ED2DC7" w:rsidRDefault="00ED2DC7" w:rsidP="004A56C5">
              <w:pPr>
                <w:rPr>
                  <w:szCs w:val="21"/>
                </w:rPr>
              </w:pPr>
              <w:r>
                <w:fldChar w:fldCharType="begin"/>
              </w:r>
              <w:r w:rsidR="004A56C5">
                <w:instrText xml:space="preserve"> MACROBUTTON  SnrToggleCheckbox □适用 </w:instrText>
              </w:r>
              <w:r>
                <w:fldChar w:fldCharType="end"/>
              </w:r>
              <w:r>
                <w:fldChar w:fldCharType="begin"/>
              </w:r>
              <w:r w:rsidR="004A56C5">
                <w:instrText xml:space="preserve"> MACROBUTTON  SnrToggleCheckbox √不适用 </w:instrText>
              </w:r>
              <w:r>
                <w:fldChar w:fldCharType="end"/>
              </w:r>
            </w:p>
          </w:sdtContent>
        </w:sdt>
      </w:sdtContent>
    </w:sdt>
    <w:p w:rsidR="00ED2DC7" w:rsidRDefault="00ED2DC7">
      <w:pPr>
        <w:snapToGrid w:val="0"/>
        <w:spacing w:line="240" w:lineRule="atLeast"/>
        <w:rPr>
          <w:szCs w:val="21"/>
        </w:rPr>
      </w:pPr>
    </w:p>
    <w:sdt>
      <w:sdtPr>
        <w:rPr>
          <w:rFonts w:ascii="宋体" w:hAnsi="宋体" w:cs="宋体" w:hint="eastAsia"/>
          <w:b w:val="0"/>
          <w:bCs w:val="0"/>
          <w:kern w:val="0"/>
          <w:szCs w:val="21"/>
        </w:rPr>
        <w:alias w:val="模块:长期待摊费用"/>
        <w:tag w:val="_GBC_c7f901dce89846cbbbab6c51c3213a6f"/>
        <w:id w:val="1728577950"/>
        <w:lock w:val="sdtLocked"/>
        <w:placeholder>
          <w:docPart w:val="GBC22222222222222222222222222222"/>
        </w:placeholder>
      </w:sdtPr>
      <w:sdtEndPr>
        <w:rPr>
          <w:rFonts w:cstheme="minorBidi" w:hint="default"/>
          <w:kern w:val="2"/>
        </w:rPr>
      </w:sdtEndPr>
      <w:sdtContent>
        <w:p w:rsidR="00ED2DC7" w:rsidRDefault="00ED2DC7" w:rsidP="00036BDC">
          <w:pPr>
            <w:pStyle w:val="affffffffffffffffff1"/>
            <w:numPr>
              <w:ilvl w:val="0"/>
              <w:numId w:val="49"/>
            </w:numPr>
            <w:tabs>
              <w:tab w:val="left" w:pos="504"/>
            </w:tabs>
            <w:rPr>
              <w:rFonts w:ascii="宋体" w:hAnsi="宋体"/>
              <w:szCs w:val="21"/>
            </w:rPr>
          </w:pPr>
          <w:r>
            <w:rPr>
              <w:rFonts w:ascii="宋体" w:hAnsi="宋体" w:hint="eastAsia"/>
              <w:szCs w:val="21"/>
            </w:rPr>
            <w:t>长期待摊费用</w:t>
          </w:r>
        </w:p>
        <w:sdt>
          <w:sdtPr>
            <w:alias w:val="是否适用：长期待摊费用[双击切换]"/>
            <w:tag w:val="_GBC_9bec8f9516c84b19bae2fb8a7292063f"/>
            <w:id w:val="-1785726699"/>
            <w:lock w:val="sdtContentLocked"/>
            <w:placeholder>
              <w:docPart w:val="GBC22222222222222222222222222222"/>
            </w:placeholder>
          </w:sdtPr>
          <w:sdtContent>
            <w:p w:rsidR="00ED2DC7" w:rsidRDefault="00ED2DC7">
              <w:r>
                <w:fldChar w:fldCharType="begin"/>
              </w:r>
              <w:r w:rsidR="004A56C5">
                <w:instrText xml:space="preserve"> MACROBUTTON  SnrToggleCheckbox √适用 </w:instrText>
              </w:r>
              <w:r>
                <w:fldChar w:fldCharType="end"/>
              </w:r>
              <w:r>
                <w:fldChar w:fldCharType="begin"/>
              </w:r>
              <w:r w:rsidR="004A56C5">
                <w:instrText xml:space="preserve"> MACROBUTTON  SnrToggleCheckbox □不适用 </w:instrText>
              </w:r>
              <w:r>
                <w:fldChar w:fldCharType="end"/>
              </w:r>
            </w:p>
          </w:sdtContent>
        </w:sdt>
        <w:p w:rsidR="00ED2DC7" w:rsidRDefault="00ED2DC7">
          <w:pPr>
            <w:jc w:val="right"/>
            <w:rPr>
              <w:szCs w:val="21"/>
            </w:rPr>
          </w:pPr>
          <w:r>
            <w:rPr>
              <w:rFonts w:hint="eastAsia"/>
              <w:szCs w:val="21"/>
            </w:rPr>
            <w:t>单位：</w:t>
          </w:r>
          <w:sdt>
            <w:sdtPr>
              <w:rPr>
                <w:rFonts w:hint="eastAsia"/>
                <w:szCs w:val="21"/>
              </w:rPr>
              <w:alias w:val="单位：财务附注：长期待摊费用"/>
              <w:tag w:val="_GBC_aa74f67aac374e54a7768a8434ab0c08"/>
              <w:id w:val="3562366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hint="eastAsia"/>
                  <w:szCs w:val="21"/>
                </w:rPr>
                <w:t>元</w:t>
              </w:r>
            </w:sdtContent>
          </w:sdt>
          <w:r>
            <w:rPr>
              <w:rFonts w:hint="eastAsia"/>
              <w:szCs w:val="21"/>
            </w:rPr>
            <w:t xml:space="preserve">  币种：</w:t>
          </w:r>
          <w:sdt>
            <w:sdtPr>
              <w:rPr>
                <w:rFonts w:hint="eastAsia"/>
                <w:szCs w:val="21"/>
              </w:rPr>
              <w:alias w:val="币种：财务附注：长期待摊费用"/>
              <w:tag w:val="_GBC_767b9b701cf8425c9d588b0398c42e90"/>
              <w:id w:val="170436485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szCs w:val="21"/>
                </w:rPr>
                <w:t>人民币</w:t>
              </w:r>
            </w:sdtContent>
          </w:sdt>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4"/>
            <w:gridCol w:w="1460"/>
            <w:gridCol w:w="1459"/>
            <w:gridCol w:w="1459"/>
            <w:gridCol w:w="1482"/>
            <w:gridCol w:w="1549"/>
          </w:tblGrid>
          <w:tr w:rsidR="00452A76" w:rsidTr="00433709">
            <w:sdt>
              <w:sdtPr>
                <w:tag w:val="_PLD_20e665ce568e49a5aa1c687384d611b3"/>
                <w:id w:val="-50155307"/>
                <w:lock w:val="sdtLocked"/>
              </w:sdtPr>
              <w:sdtContent>
                <w:tc>
                  <w:tcPr>
                    <w:tcW w:w="801" w:type="pct"/>
                    <w:shd w:val="clear" w:color="auto" w:fill="auto"/>
                    <w:vAlign w:val="center"/>
                  </w:tcPr>
                  <w:p w:rsidR="00452A76" w:rsidRDefault="00452A76" w:rsidP="00433709">
                    <w:pPr>
                      <w:jc w:val="center"/>
                      <w:rPr>
                        <w:szCs w:val="21"/>
                      </w:rPr>
                    </w:pPr>
                    <w:r>
                      <w:rPr>
                        <w:rFonts w:hint="eastAsia"/>
                        <w:szCs w:val="21"/>
                      </w:rPr>
                      <w:t>项目</w:t>
                    </w:r>
                  </w:p>
                </w:tc>
              </w:sdtContent>
            </w:sdt>
            <w:sdt>
              <w:sdtPr>
                <w:tag w:val="_PLD_e3597a5d560b48d59d41cd3dc72b1a3a"/>
                <w:id w:val="1012182860"/>
                <w:lock w:val="sdtLocked"/>
              </w:sdtPr>
              <w:sdtContent>
                <w:tc>
                  <w:tcPr>
                    <w:tcW w:w="827" w:type="pct"/>
                    <w:shd w:val="clear" w:color="auto" w:fill="auto"/>
                    <w:vAlign w:val="center"/>
                  </w:tcPr>
                  <w:p w:rsidR="00452A76" w:rsidRDefault="00452A76" w:rsidP="00433709">
                    <w:pPr>
                      <w:jc w:val="center"/>
                      <w:rPr>
                        <w:szCs w:val="21"/>
                      </w:rPr>
                    </w:pPr>
                    <w:r>
                      <w:rPr>
                        <w:rFonts w:hint="eastAsia"/>
                        <w:szCs w:val="21"/>
                      </w:rPr>
                      <w:t>期初余额</w:t>
                    </w:r>
                  </w:p>
                </w:tc>
              </w:sdtContent>
            </w:sdt>
            <w:sdt>
              <w:sdtPr>
                <w:tag w:val="_PLD_2edffaf8b24b489e97f2d4a6a5ec5711"/>
                <w:id w:val="1240983134"/>
                <w:lock w:val="sdtLocked"/>
              </w:sdtPr>
              <w:sdtContent>
                <w:tc>
                  <w:tcPr>
                    <w:tcW w:w="827" w:type="pct"/>
                    <w:shd w:val="clear" w:color="auto" w:fill="auto"/>
                    <w:vAlign w:val="center"/>
                  </w:tcPr>
                  <w:p w:rsidR="00452A76" w:rsidRDefault="00452A76" w:rsidP="00433709">
                    <w:pPr>
                      <w:jc w:val="center"/>
                      <w:rPr>
                        <w:szCs w:val="21"/>
                      </w:rPr>
                    </w:pPr>
                    <w:r>
                      <w:rPr>
                        <w:rFonts w:hint="eastAsia"/>
                        <w:szCs w:val="21"/>
                      </w:rPr>
                      <w:t>本期增加金额</w:t>
                    </w:r>
                  </w:p>
                </w:tc>
              </w:sdtContent>
            </w:sdt>
            <w:sdt>
              <w:sdtPr>
                <w:tag w:val="_PLD_f6bc6a07519e4f6cab5889776aa0ecbd"/>
                <w:id w:val="-10380255"/>
                <w:lock w:val="sdtLocked"/>
              </w:sdtPr>
              <w:sdtContent>
                <w:tc>
                  <w:tcPr>
                    <w:tcW w:w="827" w:type="pct"/>
                    <w:shd w:val="clear" w:color="auto" w:fill="auto"/>
                    <w:vAlign w:val="center"/>
                  </w:tcPr>
                  <w:p w:rsidR="00452A76" w:rsidRDefault="00452A76" w:rsidP="00433709">
                    <w:pPr>
                      <w:jc w:val="center"/>
                      <w:rPr>
                        <w:szCs w:val="21"/>
                      </w:rPr>
                    </w:pPr>
                    <w:r>
                      <w:rPr>
                        <w:rFonts w:hint="eastAsia"/>
                        <w:szCs w:val="21"/>
                      </w:rPr>
                      <w:t>本期摊销金额</w:t>
                    </w:r>
                  </w:p>
                </w:tc>
              </w:sdtContent>
            </w:sdt>
            <w:sdt>
              <w:sdtPr>
                <w:tag w:val="_PLD_f987bb682c974016898d37b474ce35c6"/>
                <w:id w:val="-66888275"/>
                <w:lock w:val="sdtLocked"/>
              </w:sdtPr>
              <w:sdtContent>
                <w:tc>
                  <w:tcPr>
                    <w:tcW w:w="840" w:type="pct"/>
                    <w:shd w:val="clear" w:color="auto" w:fill="auto"/>
                    <w:vAlign w:val="center"/>
                  </w:tcPr>
                  <w:p w:rsidR="00452A76" w:rsidRDefault="00452A76" w:rsidP="00433709">
                    <w:pPr>
                      <w:jc w:val="center"/>
                      <w:rPr>
                        <w:szCs w:val="21"/>
                      </w:rPr>
                    </w:pPr>
                    <w:r>
                      <w:rPr>
                        <w:rFonts w:hint="eastAsia"/>
                        <w:szCs w:val="21"/>
                      </w:rPr>
                      <w:t>其他减少金额</w:t>
                    </w:r>
                  </w:p>
                </w:tc>
              </w:sdtContent>
            </w:sdt>
            <w:sdt>
              <w:sdtPr>
                <w:tag w:val="_PLD_dab738986fbc4bd7b942faf77cb39605"/>
                <w:id w:val="134772553"/>
                <w:lock w:val="sdtLocked"/>
              </w:sdtPr>
              <w:sdtContent>
                <w:tc>
                  <w:tcPr>
                    <w:tcW w:w="878" w:type="pct"/>
                    <w:shd w:val="clear" w:color="auto" w:fill="auto"/>
                    <w:vAlign w:val="center"/>
                  </w:tcPr>
                  <w:p w:rsidR="00452A76" w:rsidRDefault="00452A76" w:rsidP="00433709">
                    <w:pPr>
                      <w:jc w:val="center"/>
                      <w:rPr>
                        <w:szCs w:val="21"/>
                      </w:rPr>
                    </w:pPr>
                    <w:r>
                      <w:rPr>
                        <w:rFonts w:hint="eastAsia"/>
                        <w:szCs w:val="21"/>
                      </w:rPr>
                      <w:t>期末余额</w:t>
                    </w:r>
                  </w:p>
                </w:tc>
              </w:sdtContent>
            </w:sdt>
          </w:tr>
          <w:sdt>
            <w:sdtPr>
              <w:rPr>
                <w:rFonts w:asciiTheme="minorHAnsi" w:eastAsiaTheme="minorEastAsia" w:hAnsiTheme="minorHAnsi" w:cstheme="minorBidi" w:hint="eastAsia"/>
                <w:kern w:val="2"/>
                <w:szCs w:val="21"/>
              </w:rPr>
              <w:alias w:val="长期待摊费用明细"/>
              <w:tag w:val="_GBC_68b20aeabd8c4ce8bf5df712206206af"/>
              <w:id w:val="-1805612639"/>
              <w:lock w:val="sdtLocked"/>
            </w:sdtPr>
            <w:sdtContent>
              <w:tr w:rsidR="00452A76" w:rsidTr="00B637B2">
                <w:tc>
                  <w:tcPr>
                    <w:tcW w:w="801" w:type="pct"/>
                    <w:shd w:val="clear" w:color="auto" w:fill="auto"/>
                  </w:tcPr>
                  <w:p w:rsidR="00452A76" w:rsidRDefault="00452A76" w:rsidP="00433709">
                    <w:pPr>
                      <w:rPr>
                        <w:szCs w:val="21"/>
                      </w:rPr>
                    </w:pPr>
                    <w:r w:rsidRPr="00754CDA">
                      <w:rPr>
                        <w:rFonts w:hint="eastAsia"/>
                        <w:szCs w:val="21"/>
                      </w:rPr>
                      <w:t>装修费</w:t>
                    </w:r>
                  </w:p>
                </w:tc>
                <w:tc>
                  <w:tcPr>
                    <w:tcW w:w="827" w:type="pct"/>
                    <w:shd w:val="clear" w:color="auto" w:fill="auto"/>
                    <w:vAlign w:val="center"/>
                  </w:tcPr>
                  <w:p w:rsidR="00452A76" w:rsidRDefault="00452A76" w:rsidP="00B637B2">
                    <w:pPr>
                      <w:jc w:val="right"/>
                      <w:rPr>
                        <w:szCs w:val="21"/>
                      </w:rPr>
                    </w:pPr>
                    <w:r w:rsidRPr="00754CDA">
                      <w:rPr>
                        <w:szCs w:val="21"/>
                      </w:rPr>
                      <w:t>14,587,865</w:t>
                    </w:r>
                  </w:p>
                </w:tc>
                <w:tc>
                  <w:tcPr>
                    <w:tcW w:w="827" w:type="pct"/>
                    <w:shd w:val="clear" w:color="auto" w:fill="auto"/>
                    <w:vAlign w:val="center"/>
                  </w:tcPr>
                  <w:p w:rsidR="00452A76" w:rsidRPr="002E09A5" w:rsidRDefault="00452A76" w:rsidP="00B637B2">
                    <w:pPr>
                      <w:jc w:val="right"/>
                    </w:pPr>
                    <w:r w:rsidRPr="002E09A5">
                      <w:t>2,612,443</w:t>
                    </w:r>
                  </w:p>
                </w:tc>
                <w:tc>
                  <w:tcPr>
                    <w:tcW w:w="827" w:type="pct"/>
                    <w:shd w:val="clear" w:color="auto" w:fill="auto"/>
                    <w:vAlign w:val="center"/>
                  </w:tcPr>
                  <w:p w:rsidR="00452A76" w:rsidRPr="00291A12" w:rsidRDefault="00452A76" w:rsidP="00B637B2">
                    <w:pPr>
                      <w:jc w:val="right"/>
                    </w:pPr>
                    <w:r w:rsidRPr="00291A12">
                      <w:t>4,315,790</w:t>
                    </w:r>
                  </w:p>
                </w:tc>
                <w:tc>
                  <w:tcPr>
                    <w:tcW w:w="840" w:type="pct"/>
                    <w:shd w:val="clear" w:color="auto" w:fill="auto"/>
                    <w:vAlign w:val="center"/>
                  </w:tcPr>
                  <w:p w:rsidR="00452A76" w:rsidRDefault="008F04CF" w:rsidP="00B637B2">
                    <w:pPr>
                      <w:jc w:val="right"/>
                      <w:rPr>
                        <w:szCs w:val="21"/>
                      </w:rPr>
                    </w:pPr>
                    <w:r>
                      <w:rPr>
                        <w:rFonts w:hint="eastAsia"/>
                        <w:szCs w:val="21"/>
                      </w:rPr>
                      <w:t>-</w:t>
                    </w:r>
                  </w:p>
                </w:tc>
                <w:tc>
                  <w:tcPr>
                    <w:tcW w:w="878" w:type="pct"/>
                    <w:shd w:val="clear" w:color="auto" w:fill="auto"/>
                    <w:vAlign w:val="center"/>
                  </w:tcPr>
                  <w:p w:rsidR="00452A76" w:rsidRDefault="00452A76" w:rsidP="00B637B2">
                    <w:pPr>
                      <w:jc w:val="right"/>
                      <w:rPr>
                        <w:szCs w:val="21"/>
                      </w:rPr>
                    </w:pPr>
                    <w:r>
                      <w:t>12,884,518</w:t>
                    </w:r>
                  </w:p>
                </w:tc>
              </w:tr>
            </w:sdtContent>
          </w:sdt>
          <w:sdt>
            <w:sdtPr>
              <w:rPr>
                <w:rFonts w:asciiTheme="minorHAnsi" w:eastAsiaTheme="minorEastAsia" w:hAnsiTheme="minorHAnsi" w:cstheme="minorBidi" w:hint="eastAsia"/>
                <w:kern w:val="2"/>
                <w:szCs w:val="21"/>
              </w:rPr>
              <w:alias w:val="长期待摊费用明细"/>
              <w:tag w:val="_GBC_68b20aeabd8c4ce8bf5df712206206af"/>
              <w:id w:val="1016114932"/>
              <w:lock w:val="sdtLocked"/>
            </w:sdtPr>
            <w:sdtContent>
              <w:tr w:rsidR="00452A76" w:rsidTr="00B637B2">
                <w:tc>
                  <w:tcPr>
                    <w:tcW w:w="801" w:type="pct"/>
                    <w:shd w:val="clear" w:color="auto" w:fill="auto"/>
                  </w:tcPr>
                  <w:p w:rsidR="00452A76" w:rsidRDefault="00452A76" w:rsidP="00433709">
                    <w:pPr>
                      <w:rPr>
                        <w:szCs w:val="21"/>
                      </w:rPr>
                    </w:pPr>
                    <w:r w:rsidRPr="00754CDA">
                      <w:rPr>
                        <w:rFonts w:hint="eastAsia"/>
                        <w:szCs w:val="21"/>
                      </w:rPr>
                      <w:t>其他</w:t>
                    </w:r>
                  </w:p>
                </w:tc>
                <w:tc>
                  <w:tcPr>
                    <w:tcW w:w="827" w:type="pct"/>
                    <w:shd w:val="clear" w:color="auto" w:fill="auto"/>
                    <w:vAlign w:val="center"/>
                  </w:tcPr>
                  <w:p w:rsidR="00452A76" w:rsidRDefault="00452A76" w:rsidP="00B637B2">
                    <w:pPr>
                      <w:jc w:val="right"/>
                      <w:rPr>
                        <w:szCs w:val="21"/>
                      </w:rPr>
                    </w:pPr>
                    <w:r w:rsidRPr="00754CDA">
                      <w:rPr>
                        <w:szCs w:val="21"/>
                      </w:rPr>
                      <w:t>11,040,843</w:t>
                    </w:r>
                  </w:p>
                </w:tc>
                <w:tc>
                  <w:tcPr>
                    <w:tcW w:w="827" w:type="pct"/>
                    <w:shd w:val="clear" w:color="auto" w:fill="auto"/>
                    <w:vAlign w:val="center"/>
                  </w:tcPr>
                  <w:p w:rsidR="00452A76" w:rsidRPr="002E09A5" w:rsidRDefault="00452A76" w:rsidP="000845BD">
                    <w:pPr>
                      <w:jc w:val="right"/>
                    </w:pPr>
                    <w:r w:rsidRPr="002E09A5">
                      <w:t>4,057,13</w:t>
                    </w:r>
                    <w:r w:rsidR="000845BD">
                      <w:t>5</w:t>
                    </w:r>
                  </w:p>
                </w:tc>
                <w:tc>
                  <w:tcPr>
                    <w:tcW w:w="827" w:type="pct"/>
                    <w:shd w:val="clear" w:color="auto" w:fill="auto"/>
                    <w:vAlign w:val="center"/>
                  </w:tcPr>
                  <w:p w:rsidR="00452A76" w:rsidRDefault="00452A76" w:rsidP="00B637B2">
                    <w:pPr>
                      <w:jc w:val="right"/>
                    </w:pPr>
                    <w:r w:rsidRPr="00291A12">
                      <w:t>7,424,007</w:t>
                    </w:r>
                  </w:p>
                </w:tc>
                <w:tc>
                  <w:tcPr>
                    <w:tcW w:w="840" w:type="pct"/>
                    <w:shd w:val="clear" w:color="auto" w:fill="auto"/>
                    <w:vAlign w:val="center"/>
                  </w:tcPr>
                  <w:p w:rsidR="00452A76" w:rsidRDefault="008F04CF" w:rsidP="00B637B2">
                    <w:pPr>
                      <w:jc w:val="right"/>
                      <w:rPr>
                        <w:szCs w:val="21"/>
                      </w:rPr>
                    </w:pPr>
                    <w:r>
                      <w:rPr>
                        <w:rFonts w:hint="eastAsia"/>
                        <w:szCs w:val="21"/>
                      </w:rPr>
                      <w:t>-</w:t>
                    </w:r>
                  </w:p>
                </w:tc>
                <w:tc>
                  <w:tcPr>
                    <w:tcW w:w="878" w:type="pct"/>
                    <w:shd w:val="clear" w:color="auto" w:fill="auto"/>
                    <w:vAlign w:val="center"/>
                  </w:tcPr>
                  <w:p w:rsidR="00452A76" w:rsidRDefault="00452A76" w:rsidP="00B637B2">
                    <w:pPr>
                      <w:jc w:val="right"/>
                      <w:rPr>
                        <w:szCs w:val="21"/>
                      </w:rPr>
                    </w:pPr>
                    <w:r>
                      <w:t>7,673,971</w:t>
                    </w:r>
                  </w:p>
                </w:tc>
              </w:tr>
            </w:sdtContent>
          </w:sdt>
          <w:tr w:rsidR="00452A76" w:rsidTr="00B637B2">
            <w:sdt>
              <w:sdtPr>
                <w:tag w:val="_PLD_bd1d6a8046344014824f3cd45e5475be"/>
                <w:id w:val="585812378"/>
                <w:lock w:val="sdtLocked"/>
              </w:sdtPr>
              <w:sdtContent>
                <w:tc>
                  <w:tcPr>
                    <w:tcW w:w="801" w:type="pct"/>
                    <w:shd w:val="clear" w:color="auto" w:fill="auto"/>
                    <w:vAlign w:val="center"/>
                  </w:tcPr>
                  <w:p w:rsidR="00452A76" w:rsidRDefault="00452A76" w:rsidP="00433709">
                    <w:pPr>
                      <w:jc w:val="center"/>
                      <w:rPr>
                        <w:szCs w:val="21"/>
                      </w:rPr>
                    </w:pPr>
                    <w:r>
                      <w:rPr>
                        <w:rFonts w:hint="eastAsia"/>
                        <w:szCs w:val="21"/>
                      </w:rPr>
                      <w:t>合计</w:t>
                    </w:r>
                  </w:p>
                </w:tc>
              </w:sdtContent>
            </w:sdt>
            <w:tc>
              <w:tcPr>
                <w:tcW w:w="827" w:type="pct"/>
                <w:shd w:val="clear" w:color="auto" w:fill="auto"/>
                <w:vAlign w:val="center"/>
              </w:tcPr>
              <w:p w:rsidR="00452A76" w:rsidRDefault="008F04CF" w:rsidP="00B637B2">
                <w:pPr>
                  <w:jc w:val="right"/>
                  <w:rPr>
                    <w:szCs w:val="21"/>
                  </w:rPr>
                </w:pPr>
                <w:r>
                  <w:rPr>
                    <w:szCs w:val="21"/>
                  </w:rPr>
                  <w:t>25,628,708</w:t>
                </w:r>
              </w:p>
            </w:tc>
            <w:tc>
              <w:tcPr>
                <w:tcW w:w="827" w:type="pct"/>
                <w:shd w:val="clear" w:color="auto" w:fill="auto"/>
                <w:vAlign w:val="center"/>
              </w:tcPr>
              <w:p w:rsidR="00452A76" w:rsidRPr="002E09A5" w:rsidRDefault="00452A76" w:rsidP="000845BD">
                <w:pPr>
                  <w:jc w:val="right"/>
                </w:pPr>
                <w:r w:rsidRPr="00452A76">
                  <w:t>6,669,57</w:t>
                </w:r>
                <w:r w:rsidR="000845BD">
                  <w:t>8</w:t>
                </w:r>
              </w:p>
            </w:tc>
            <w:tc>
              <w:tcPr>
                <w:tcW w:w="827" w:type="pct"/>
                <w:shd w:val="clear" w:color="auto" w:fill="auto"/>
                <w:vAlign w:val="center"/>
              </w:tcPr>
              <w:p w:rsidR="00452A76" w:rsidRDefault="008F04CF" w:rsidP="00B637B2">
                <w:pPr>
                  <w:jc w:val="right"/>
                  <w:rPr>
                    <w:szCs w:val="21"/>
                  </w:rPr>
                </w:pPr>
                <w:r>
                  <w:rPr>
                    <w:szCs w:val="21"/>
                  </w:rPr>
                  <w:t>11,739,797</w:t>
                </w:r>
              </w:p>
            </w:tc>
            <w:tc>
              <w:tcPr>
                <w:tcW w:w="840" w:type="pct"/>
                <w:shd w:val="clear" w:color="auto" w:fill="auto"/>
                <w:vAlign w:val="center"/>
              </w:tcPr>
              <w:p w:rsidR="00452A76" w:rsidRDefault="008F04CF" w:rsidP="00B637B2">
                <w:pPr>
                  <w:jc w:val="right"/>
                  <w:rPr>
                    <w:szCs w:val="21"/>
                  </w:rPr>
                </w:pPr>
                <w:r>
                  <w:rPr>
                    <w:rFonts w:hint="eastAsia"/>
                    <w:szCs w:val="21"/>
                  </w:rPr>
                  <w:t>-</w:t>
                </w:r>
              </w:p>
            </w:tc>
            <w:tc>
              <w:tcPr>
                <w:tcW w:w="878" w:type="pct"/>
                <w:shd w:val="clear" w:color="auto" w:fill="auto"/>
                <w:vAlign w:val="center"/>
              </w:tcPr>
              <w:p w:rsidR="00452A76" w:rsidRDefault="00452A76" w:rsidP="00B637B2">
                <w:pPr>
                  <w:jc w:val="right"/>
                  <w:rPr>
                    <w:szCs w:val="21"/>
                  </w:rPr>
                </w:pPr>
                <w:r w:rsidRPr="00452A76">
                  <w:rPr>
                    <w:szCs w:val="21"/>
                  </w:rPr>
                  <w:t>20,558,489</w:t>
                </w:r>
              </w:p>
            </w:tc>
          </w:tr>
        </w:tbl>
        <w:p w:rsidR="00452A76" w:rsidRDefault="00452A76"/>
        <w:p w:rsidR="00ED2DC7" w:rsidRDefault="00ED2DC7">
          <w:pPr>
            <w:rPr>
              <w:szCs w:val="21"/>
            </w:rPr>
          </w:pPr>
          <w:r>
            <w:rPr>
              <w:rFonts w:hint="eastAsia"/>
              <w:szCs w:val="21"/>
            </w:rPr>
            <w:t>其他说明：</w:t>
          </w:r>
        </w:p>
        <w:sdt>
          <w:sdtPr>
            <w:rPr>
              <w:szCs w:val="21"/>
            </w:rPr>
            <w:alias w:val="长期待摊费用的说明"/>
            <w:tag w:val="_GBC_5b31c466b60f433faaa37d443fae74be"/>
            <w:id w:val="-2017837631"/>
            <w:lock w:val="sdtLocked"/>
            <w:placeholder>
              <w:docPart w:val="GBC22222222222222222222222222222"/>
            </w:placeholder>
          </w:sdtPr>
          <w:sdtContent>
            <w:p w:rsidR="00ED2DC7" w:rsidRDefault="004A56C5">
              <w:pPr>
                <w:rPr>
                  <w:szCs w:val="21"/>
                </w:rPr>
              </w:pPr>
              <w:r>
                <w:rPr>
                  <w:rFonts w:hint="eastAsia"/>
                  <w:szCs w:val="21"/>
                </w:rPr>
                <w:t>无</w:t>
              </w:r>
            </w:p>
          </w:sdtContent>
        </w:sdt>
      </w:sdtContent>
    </w:sdt>
    <w:p w:rsidR="00ED2DC7" w:rsidRDefault="00ED2DC7">
      <w:pPr>
        <w:rPr>
          <w:szCs w:val="21"/>
        </w:rPr>
      </w:pPr>
    </w:p>
    <w:sdt>
      <w:sdtPr>
        <w:rPr>
          <w:rFonts w:ascii="宋体" w:hAnsi="宋体" w:cs="宋体" w:hint="eastAsia"/>
          <w:b w:val="0"/>
          <w:bCs w:val="0"/>
          <w:kern w:val="0"/>
          <w:szCs w:val="21"/>
        </w:rPr>
        <w:alias w:val="模块:未经抵销的递延所得税资产"/>
        <w:tag w:val="_SEC_24cb6110bf5143448478343c289c754e"/>
        <w:id w:val="1555662003"/>
        <w:lock w:val="sdtLocked"/>
        <w:placeholder>
          <w:docPart w:val="GBC22222222222222222222222222222"/>
        </w:placeholder>
      </w:sdtPr>
      <w:sdtEndPr>
        <w:rPr>
          <w:szCs w:val="24"/>
        </w:rPr>
      </w:sdtEndPr>
      <w:sdtContent>
        <w:p w:rsidR="00ED2DC7" w:rsidRDefault="00ED2DC7" w:rsidP="00036BDC">
          <w:pPr>
            <w:pStyle w:val="affffffffffffffffff1"/>
            <w:numPr>
              <w:ilvl w:val="0"/>
              <w:numId w:val="49"/>
            </w:numPr>
            <w:tabs>
              <w:tab w:val="left" w:pos="504"/>
            </w:tabs>
            <w:rPr>
              <w:rFonts w:ascii="宋体" w:hAnsi="宋体"/>
              <w:szCs w:val="21"/>
            </w:rPr>
          </w:pPr>
          <w:r>
            <w:rPr>
              <w:rFonts w:ascii="宋体" w:hAnsi="宋体" w:hint="eastAsia"/>
              <w:szCs w:val="21"/>
            </w:rPr>
            <w:t>递延所得税资产/ 递延所得税负债</w:t>
          </w:r>
        </w:p>
        <w:p w:rsidR="00ED2DC7" w:rsidRDefault="00ED2DC7" w:rsidP="00036BDC">
          <w:pPr>
            <w:pStyle w:val="affffffffffffffffff2"/>
            <w:numPr>
              <w:ilvl w:val="0"/>
              <w:numId w:val="67"/>
            </w:numPr>
            <w:tabs>
              <w:tab w:val="left" w:pos="588"/>
              <w:tab w:val="left" w:pos="616"/>
            </w:tabs>
          </w:pPr>
          <w:bookmarkStart w:id="162" w:name="_Toc215903151"/>
          <w:r>
            <w:rPr>
              <w:rFonts w:hint="eastAsia"/>
            </w:rPr>
            <w:t>未经抵销的递延所得税资产</w:t>
          </w:r>
        </w:p>
        <w:sdt>
          <w:sdtPr>
            <w:alias w:val="是否适用：未经抵销的递延所得税资产[双击切换]"/>
            <w:tag w:val="_GBC_fc6e77974a404dc3bef5fc386ae4e1e7"/>
            <w:id w:val="1636289438"/>
            <w:lock w:val="sdtContentLocked"/>
            <w:placeholder>
              <w:docPart w:val="GBC22222222222222222222222222222"/>
            </w:placeholder>
          </w:sdtPr>
          <w:sdtContent>
            <w:p w:rsidR="00ED2DC7" w:rsidRDefault="00ED2DC7">
              <w:r>
                <w:fldChar w:fldCharType="begin"/>
              </w:r>
              <w:r w:rsidR="004A56C5">
                <w:instrText xml:space="preserve"> MACROBUTTON  SnrToggleCheckbox √适用 </w:instrText>
              </w:r>
              <w:r>
                <w:fldChar w:fldCharType="end"/>
              </w:r>
              <w:r>
                <w:fldChar w:fldCharType="begin"/>
              </w:r>
              <w:r w:rsidR="004A56C5">
                <w:instrText xml:space="preserve"> MACROBUTTON  SnrToggleCheckbox □不适用 </w:instrText>
              </w:r>
              <w:r>
                <w:fldChar w:fldCharType="end"/>
              </w:r>
            </w:p>
          </w:sdtContent>
        </w:sdt>
        <w:p w:rsidR="00452A76" w:rsidRDefault="00ED2DC7">
          <w:pPr>
            <w:jc w:val="right"/>
            <w:rPr>
              <w:szCs w:val="21"/>
            </w:rPr>
          </w:pPr>
          <w:r>
            <w:rPr>
              <w:rFonts w:hint="eastAsia"/>
              <w:szCs w:val="21"/>
            </w:rPr>
            <w:t>单位：</w:t>
          </w:r>
          <w:sdt>
            <w:sdtPr>
              <w:rPr>
                <w:rFonts w:hint="eastAsia"/>
                <w:szCs w:val="21"/>
              </w:rPr>
              <w:alias w:val="单位：财务附注：已确认的递延所得税资产和递延所得税负债"/>
              <w:tag w:val="_GBC_7be724d3c6f14974914db7d02bb734f9"/>
              <w:id w:val="-5330402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hint="eastAsia"/>
                  <w:szCs w:val="21"/>
                </w:rPr>
                <w:t>元</w:t>
              </w:r>
            </w:sdtContent>
          </w:sdt>
          <w:r>
            <w:rPr>
              <w:rFonts w:hint="eastAsia"/>
              <w:szCs w:val="21"/>
            </w:rPr>
            <w:t xml:space="preserve">  币种：</w:t>
          </w:r>
          <w:bookmarkEnd w:id="162"/>
          <w:sdt>
            <w:sdtPr>
              <w:rPr>
                <w:rFonts w:hint="eastAsia"/>
                <w:szCs w:val="21"/>
              </w:rPr>
              <w:alias w:val="币种：财务附注：已确认的递延所得税资产和递延所得税负债"/>
              <w:tag w:val="_GBC_a48237f045494aa9a0ea8c2cb35b1c0f"/>
              <w:id w:val="-21468787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szCs w:val="21"/>
                </w:rPr>
                <w:t>人民币</w:t>
              </w:r>
            </w:sdtContent>
          </w:sdt>
        </w:p>
        <w:tbl>
          <w:tblPr>
            <w:tblStyle w:val="g38"/>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3"/>
            <w:gridCol w:w="1610"/>
            <w:gridCol w:w="1606"/>
            <w:gridCol w:w="1622"/>
            <w:gridCol w:w="1604"/>
          </w:tblGrid>
          <w:tr w:rsidR="00B637B2" w:rsidTr="00B637B2">
            <w:trPr>
              <w:trHeight w:val="285"/>
            </w:trPr>
            <w:sdt>
              <w:sdtPr>
                <w:tag w:val="_PLD_e45101b3a01946f19f22657bb959574e"/>
                <w:id w:val="1086424269"/>
                <w:lock w:val="sdtLocked"/>
              </w:sdtPr>
              <w:sdtContent>
                <w:tc>
                  <w:tcPr>
                    <w:tcW w:w="1350" w:type="pct"/>
                    <w:vMerge w:val="restart"/>
                    <w:shd w:val="clear" w:color="auto" w:fill="auto"/>
                    <w:vAlign w:val="center"/>
                  </w:tcPr>
                  <w:p w:rsidR="00B637B2" w:rsidRDefault="008F04CF" w:rsidP="00B637B2">
                    <w:pPr>
                      <w:jc w:val="center"/>
                      <w:rPr>
                        <w:szCs w:val="21"/>
                      </w:rPr>
                    </w:pPr>
                    <w:r>
                      <w:rPr>
                        <w:rFonts w:hint="eastAsia"/>
                        <w:szCs w:val="21"/>
                      </w:rPr>
                      <w:t>项目</w:t>
                    </w:r>
                  </w:p>
                </w:tc>
              </w:sdtContent>
            </w:sdt>
            <w:sdt>
              <w:sdtPr>
                <w:tag w:val="_PLD_dd892ffecd234c819059bf10f71b1910"/>
                <w:id w:val="-10764783"/>
                <w:lock w:val="sdtLocked"/>
              </w:sdtPr>
              <w:sdtContent>
                <w:tc>
                  <w:tcPr>
                    <w:tcW w:w="1822" w:type="pct"/>
                    <w:gridSpan w:val="2"/>
                    <w:shd w:val="clear" w:color="auto" w:fill="auto"/>
                    <w:vAlign w:val="center"/>
                  </w:tcPr>
                  <w:p w:rsidR="00B637B2" w:rsidRDefault="008F04CF" w:rsidP="00B637B2">
                    <w:pPr>
                      <w:jc w:val="center"/>
                      <w:rPr>
                        <w:szCs w:val="21"/>
                      </w:rPr>
                    </w:pPr>
                    <w:r>
                      <w:rPr>
                        <w:rFonts w:hint="eastAsia"/>
                        <w:szCs w:val="21"/>
                      </w:rPr>
                      <w:t>期末余额</w:t>
                    </w:r>
                  </w:p>
                </w:tc>
              </w:sdtContent>
            </w:sdt>
            <w:sdt>
              <w:sdtPr>
                <w:tag w:val="_PLD_be855fcb002344d6ae2c74083e90b1c1"/>
                <w:id w:val="-209646336"/>
                <w:lock w:val="sdtLocked"/>
              </w:sdtPr>
              <w:sdtContent>
                <w:tc>
                  <w:tcPr>
                    <w:tcW w:w="1828" w:type="pct"/>
                    <w:gridSpan w:val="2"/>
                    <w:shd w:val="clear" w:color="auto" w:fill="auto"/>
                    <w:vAlign w:val="center"/>
                  </w:tcPr>
                  <w:p w:rsidR="00B637B2" w:rsidRDefault="008F04CF" w:rsidP="00B637B2">
                    <w:pPr>
                      <w:jc w:val="center"/>
                      <w:rPr>
                        <w:szCs w:val="21"/>
                      </w:rPr>
                    </w:pPr>
                    <w:r>
                      <w:rPr>
                        <w:rFonts w:hint="eastAsia"/>
                        <w:szCs w:val="21"/>
                      </w:rPr>
                      <w:t>期初余额</w:t>
                    </w:r>
                  </w:p>
                </w:tc>
              </w:sdtContent>
            </w:sdt>
          </w:tr>
          <w:tr w:rsidR="00B637B2" w:rsidTr="00B637B2">
            <w:trPr>
              <w:trHeight w:val="285"/>
            </w:trPr>
            <w:tc>
              <w:tcPr>
                <w:tcW w:w="1350" w:type="pct"/>
                <w:vMerge/>
                <w:shd w:val="clear" w:color="auto" w:fill="auto"/>
                <w:vAlign w:val="center"/>
              </w:tcPr>
              <w:p w:rsidR="00B637B2" w:rsidRDefault="00B637B2" w:rsidP="00B637B2">
                <w:pPr>
                  <w:jc w:val="center"/>
                  <w:rPr>
                    <w:b/>
                    <w:szCs w:val="21"/>
                  </w:rPr>
                </w:pPr>
              </w:p>
            </w:tc>
            <w:sdt>
              <w:sdtPr>
                <w:tag w:val="_PLD_c82eb64547054aa39a1b7bfe7c532e2e"/>
                <w:id w:val="170536592"/>
                <w:lock w:val="sdtLocked"/>
              </w:sdtPr>
              <w:sdtContent>
                <w:tc>
                  <w:tcPr>
                    <w:tcW w:w="912" w:type="pct"/>
                    <w:shd w:val="clear" w:color="auto" w:fill="auto"/>
                    <w:vAlign w:val="center"/>
                  </w:tcPr>
                  <w:p w:rsidR="00B637B2" w:rsidRDefault="008F04CF" w:rsidP="00B637B2">
                    <w:pPr>
                      <w:jc w:val="center"/>
                      <w:rPr>
                        <w:szCs w:val="21"/>
                      </w:rPr>
                    </w:pPr>
                    <w:r>
                      <w:rPr>
                        <w:rFonts w:hint="eastAsia"/>
                        <w:szCs w:val="21"/>
                      </w:rPr>
                      <w:t>可抵扣暂时性差异</w:t>
                    </w:r>
                  </w:p>
                </w:tc>
              </w:sdtContent>
            </w:sdt>
            <w:sdt>
              <w:sdtPr>
                <w:tag w:val="_PLD_ad2e47975c52486d8bfc7fec079252de"/>
                <w:id w:val="-1480220124"/>
                <w:lock w:val="sdtLocked"/>
              </w:sdtPr>
              <w:sdtContent>
                <w:tc>
                  <w:tcPr>
                    <w:tcW w:w="910" w:type="pct"/>
                    <w:shd w:val="clear" w:color="auto" w:fill="auto"/>
                    <w:vAlign w:val="center"/>
                  </w:tcPr>
                  <w:p w:rsidR="00B637B2" w:rsidRDefault="008F04CF" w:rsidP="00B637B2">
                    <w:pPr>
                      <w:jc w:val="center"/>
                      <w:rPr>
                        <w:szCs w:val="21"/>
                      </w:rPr>
                    </w:pPr>
                    <w:r>
                      <w:rPr>
                        <w:rFonts w:hint="eastAsia"/>
                        <w:szCs w:val="21"/>
                      </w:rPr>
                      <w:t>递延所得税</w:t>
                    </w:r>
                  </w:p>
                  <w:p w:rsidR="00B637B2" w:rsidRDefault="008F04CF" w:rsidP="00B637B2">
                    <w:pPr>
                      <w:jc w:val="center"/>
                      <w:rPr>
                        <w:szCs w:val="21"/>
                      </w:rPr>
                    </w:pPr>
                    <w:r>
                      <w:rPr>
                        <w:rFonts w:hint="eastAsia"/>
                        <w:szCs w:val="21"/>
                      </w:rPr>
                      <w:t>资产</w:t>
                    </w:r>
                  </w:p>
                </w:tc>
              </w:sdtContent>
            </w:sdt>
            <w:sdt>
              <w:sdtPr>
                <w:tag w:val="_PLD_0e0e7aabb5f8432ea9da8b4066b2e897"/>
                <w:id w:val="-1912534856"/>
                <w:lock w:val="sdtLocked"/>
              </w:sdtPr>
              <w:sdtContent>
                <w:tc>
                  <w:tcPr>
                    <w:tcW w:w="919" w:type="pct"/>
                    <w:shd w:val="clear" w:color="auto" w:fill="auto"/>
                    <w:vAlign w:val="center"/>
                  </w:tcPr>
                  <w:p w:rsidR="00B637B2" w:rsidRDefault="008F04CF" w:rsidP="00B637B2">
                    <w:pPr>
                      <w:jc w:val="center"/>
                      <w:rPr>
                        <w:szCs w:val="21"/>
                      </w:rPr>
                    </w:pPr>
                    <w:r>
                      <w:rPr>
                        <w:rFonts w:hint="eastAsia"/>
                        <w:szCs w:val="21"/>
                      </w:rPr>
                      <w:t>可抵扣暂时性差异</w:t>
                    </w:r>
                  </w:p>
                </w:tc>
              </w:sdtContent>
            </w:sdt>
            <w:sdt>
              <w:sdtPr>
                <w:tag w:val="_PLD_34147e3346eb4b24b314e0dadaab6983"/>
                <w:id w:val="-988940732"/>
                <w:lock w:val="sdtLocked"/>
              </w:sdtPr>
              <w:sdtContent>
                <w:tc>
                  <w:tcPr>
                    <w:tcW w:w="909" w:type="pct"/>
                    <w:shd w:val="clear" w:color="auto" w:fill="auto"/>
                    <w:vAlign w:val="center"/>
                  </w:tcPr>
                  <w:p w:rsidR="00B637B2" w:rsidRDefault="008F04CF" w:rsidP="00B637B2">
                    <w:pPr>
                      <w:jc w:val="center"/>
                      <w:rPr>
                        <w:szCs w:val="21"/>
                      </w:rPr>
                    </w:pPr>
                    <w:r>
                      <w:rPr>
                        <w:rFonts w:hint="eastAsia"/>
                        <w:szCs w:val="21"/>
                      </w:rPr>
                      <w:t>递延所得税</w:t>
                    </w:r>
                  </w:p>
                  <w:p w:rsidR="00B637B2" w:rsidRDefault="008F04CF" w:rsidP="00B637B2">
                    <w:pPr>
                      <w:jc w:val="center"/>
                      <w:rPr>
                        <w:szCs w:val="21"/>
                      </w:rPr>
                    </w:pPr>
                    <w:r>
                      <w:rPr>
                        <w:rFonts w:hint="eastAsia"/>
                        <w:szCs w:val="21"/>
                      </w:rPr>
                      <w:t>资产</w:t>
                    </w:r>
                  </w:p>
                </w:tc>
              </w:sdtContent>
            </w:sdt>
          </w:tr>
          <w:tr w:rsidR="00B637B2" w:rsidTr="00B637B2">
            <w:trPr>
              <w:trHeight w:val="285"/>
            </w:trPr>
            <w:sdt>
              <w:sdtPr>
                <w:tag w:val="_PLD_1bf7e1aa06884192bd26302547776324"/>
                <w:id w:val="-151070266"/>
                <w:lock w:val="sdtLocked"/>
              </w:sdtPr>
              <w:sdtContent>
                <w:tc>
                  <w:tcPr>
                    <w:tcW w:w="1350" w:type="pct"/>
                    <w:shd w:val="clear" w:color="auto" w:fill="auto"/>
                    <w:vAlign w:val="center"/>
                  </w:tcPr>
                  <w:p w:rsidR="00B637B2" w:rsidRDefault="008F04CF" w:rsidP="00B637B2">
                    <w:pPr>
                      <w:rPr>
                        <w:szCs w:val="21"/>
                      </w:rPr>
                    </w:pPr>
                    <w:r>
                      <w:rPr>
                        <w:rFonts w:hint="eastAsia"/>
                      </w:rPr>
                      <w:t>资产减值准备</w:t>
                    </w:r>
                  </w:p>
                </w:tc>
              </w:sdtContent>
            </w:sdt>
            <w:tc>
              <w:tcPr>
                <w:tcW w:w="912" w:type="pct"/>
                <w:shd w:val="clear" w:color="auto" w:fill="auto"/>
                <w:vAlign w:val="center"/>
              </w:tcPr>
              <w:p w:rsidR="00B637B2" w:rsidRPr="00AB4A78" w:rsidRDefault="008F04CF" w:rsidP="00B637B2">
                <w:pPr>
                  <w:jc w:val="right"/>
                </w:pPr>
                <w:r w:rsidRPr="007B26D2">
                  <w:t>168,761,118</w:t>
                </w:r>
              </w:p>
            </w:tc>
            <w:tc>
              <w:tcPr>
                <w:tcW w:w="910" w:type="pct"/>
                <w:shd w:val="clear" w:color="auto" w:fill="auto"/>
                <w:vAlign w:val="center"/>
              </w:tcPr>
              <w:p w:rsidR="00B637B2" w:rsidRPr="00D1417C" w:rsidRDefault="008F04CF" w:rsidP="00B637B2">
                <w:pPr>
                  <w:jc w:val="right"/>
                </w:pPr>
                <w:r w:rsidRPr="007B26D2">
                  <w:t>17,241,679</w:t>
                </w:r>
              </w:p>
            </w:tc>
            <w:tc>
              <w:tcPr>
                <w:tcW w:w="919" w:type="pct"/>
                <w:shd w:val="clear" w:color="auto" w:fill="auto"/>
                <w:vAlign w:val="center"/>
              </w:tcPr>
              <w:p w:rsidR="00B637B2" w:rsidRDefault="008F04CF" w:rsidP="00B637B2">
                <w:pPr>
                  <w:jc w:val="right"/>
                  <w:rPr>
                    <w:szCs w:val="21"/>
                  </w:rPr>
                </w:pPr>
                <w:r w:rsidRPr="007B26D2">
                  <w:t>171,815,748</w:t>
                </w:r>
              </w:p>
            </w:tc>
            <w:tc>
              <w:tcPr>
                <w:tcW w:w="909" w:type="pct"/>
                <w:shd w:val="clear" w:color="auto" w:fill="auto"/>
                <w:vAlign w:val="center"/>
              </w:tcPr>
              <w:p w:rsidR="00B637B2" w:rsidRDefault="008F04CF" w:rsidP="00B637B2">
                <w:pPr>
                  <w:jc w:val="right"/>
                  <w:rPr>
                    <w:szCs w:val="21"/>
                  </w:rPr>
                </w:pPr>
                <w:r w:rsidRPr="007B26D2">
                  <w:rPr>
                    <w:szCs w:val="21"/>
                  </w:rPr>
                  <w:t>17,413,415</w:t>
                </w:r>
              </w:p>
            </w:tc>
          </w:tr>
          <w:tr w:rsidR="00B637B2" w:rsidTr="00B637B2">
            <w:trPr>
              <w:trHeight w:val="285"/>
            </w:trPr>
            <w:sdt>
              <w:sdtPr>
                <w:tag w:val="_PLD_024091818f2b4c9386a36ed63f88f791"/>
                <w:id w:val="-428814482"/>
                <w:lock w:val="sdtLocked"/>
              </w:sdtPr>
              <w:sdtContent>
                <w:tc>
                  <w:tcPr>
                    <w:tcW w:w="1350" w:type="pct"/>
                    <w:shd w:val="clear" w:color="auto" w:fill="auto"/>
                    <w:vAlign w:val="center"/>
                  </w:tcPr>
                  <w:p w:rsidR="00B637B2" w:rsidRDefault="008F04CF" w:rsidP="00B637B2">
                    <w:pPr>
                      <w:rPr>
                        <w:szCs w:val="21"/>
                      </w:rPr>
                    </w:pPr>
                    <w:r>
                      <w:rPr>
                        <w:rFonts w:cs="Arial" w:hint="eastAsia"/>
                        <w:snapToGrid w:val="0"/>
                      </w:rPr>
                      <w:t>内部交易未实现利润</w:t>
                    </w:r>
                  </w:p>
                </w:tc>
              </w:sdtContent>
            </w:sdt>
            <w:tc>
              <w:tcPr>
                <w:tcW w:w="912" w:type="pct"/>
                <w:shd w:val="clear" w:color="auto" w:fill="auto"/>
                <w:vAlign w:val="center"/>
              </w:tcPr>
              <w:p w:rsidR="00B637B2" w:rsidRPr="00AB4A78" w:rsidRDefault="008F04CF" w:rsidP="00B637B2">
                <w:pPr>
                  <w:jc w:val="right"/>
                </w:pPr>
                <w:r w:rsidRPr="00714B14">
                  <w:t>31,256,253</w:t>
                </w:r>
              </w:p>
            </w:tc>
            <w:tc>
              <w:tcPr>
                <w:tcW w:w="910" w:type="pct"/>
                <w:shd w:val="clear" w:color="auto" w:fill="auto"/>
                <w:vAlign w:val="center"/>
              </w:tcPr>
              <w:p w:rsidR="00B637B2" w:rsidRPr="00D1417C" w:rsidRDefault="008F04CF" w:rsidP="00B637B2">
                <w:pPr>
                  <w:jc w:val="right"/>
                </w:pPr>
                <w:r w:rsidRPr="00714B14">
                  <w:t>7,814,063</w:t>
                </w:r>
              </w:p>
            </w:tc>
            <w:tc>
              <w:tcPr>
                <w:tcW w:w="919" w:type="pct"/>
                <w:shd w:val="clear" w:color="auto" w:fill="auto"/>
                <w:vAlign w:val="center"/>
              </w:tcPr>
              <w:p w:rsidR="00B637B2" w:rsidRPr="007638B1" w:rsidRDefault="008F04CF" w:rsidP="00B637B2">
                <w:pPr>
                  <w:jc w:val="right"/>
                </w:pPr>
                <w:r w:rsidRPr="00714B14">
                  <w:t>28,221,268</w:t>
                </w:r>
              </w:p>
            </w:tc>
            <w:tc>
              <w:tcPr>
                <w:tcW w:w="909" w:type="pct"/>
                <w:shd w:val="clear" w:color="auto" w:fill="auto"/>
                <w:vAlign w:val="center"/>
              </w:tcPr>
              <w:p w:rsidR="00B637B2" w:rsidRDefault="008F04CF" w:rsidP="00B637B2">
                <w:pPr>
                  <w:jc w:val="right"/>
                  <w:rPr>
                    <w:szCs w:val="21"/>
                  </w:rPr>
                </w:pPr>
                <w:r w:rsidRPr="00714B14">
                  <w:t>6,976,532</w:t>
                </w:r>
              </w:p>
            </w:tc>
          </w:tr>
          <w:tr w:rsidR="00B637B2" w:rsidTr="00B637B2">
            <w:trPr>
              <w:trHeight w:val="285"/>
            </w:trPr>
            <w:sdt>
              <w:sdtPr>
                <w:tag w:val="_PLD_cab9951be3e845939320c38b7e9544d7"/>
                <w:id w:val="544809274"/>
                <w:lock w:val="sdtLocked"/>
              </w:sdtPr>
              <w:sdtContent>
                <w:tc>
                  <w:tcPr>
                    <w:tcW w:w="1350" w:type="pct"/>
                    <w:tcBorders>
                      <w:bottom w:val="single" w:sz="4" w:space="0" w:color="auto"/>
                    </w:tcBorders>
                    <w:shd w:val="clear" w:color="auto" w:fill="auto"/>
                    <w:vAlign w:val="center"/>
                  </w:tcPr>
                  <w:p w:rsidR="00B637B2" w:rsidRDefault="008F04CF" w:rsidP="00B637B2">
                    <w:pPr>
                      <w:rPr>
                        <w:szCs w:val="21"/>
                      </w:rPr>
                    </w:pPr>
                    <w:r>
                      <w:rPr>
                        <w:rFonts w:cs="Arial" w:hint="eastAsia"/>
                        <w:snapToGrid w:val="0"/>
                      </w:rPr>
                      <w:t>可抵扣亏损</w:t>
                    </w:r>
                  </w:p>
                </w:tc>
              </w:sdtContent>
            </w:sdt>
            <w:tc>
              <w:tcPr>
                <w:tcW w:w="912" w:type="pct"/>
                <w:shd w:val="clear" w:color="auto" w:fill="auto"/>
                <w:vAlign w:val="center"/>
              </w:tcPr>
              <w:p w:rsidR="00B637B2" w:rsidRPr="00AB4A78" w:rsidRDefault="008F04CF" w:rsidP="00B637B2">
                <w:pPr>
                  <w:jc w:val="right"/>
                </w:pPr>
                <w:r w:rsidRPr="00AB4A78">
                  <w:t>340,514,528</w:t>
                </w:r>
              </w:p>
            </w:tc>
            <w:tc>
              <w:tcPr>
                <w:tcW w:w="910" w:type="pct"/>
                <w:shd w:val="clear" w:color="auto" w:fill="auto"/>
                <w:vAlign w:val="center"/>
              </w:tcPr>
              <w:p w:rsidR="00B637B2" w:rsidRPr="00D1417C" w:rsidRDefault="008F04CF" w:rsidP="00B637B2">
                <w:pPr>
                  <w:jc w:val="right"/>
                </w:pPr>
                <w:r w:rsidRPr="00D1417C">
                  <w:t>54,492,366</w:t>
                </w:r>
              </w:p>
            </w:tc>
            <w:tc>
              <w:tcPr>
                <w:tcW w:w="919" w:type="pct"/>
                <w:shd w:val="clear" w:color="auto" w:fill="auto"/>
                <w:vAlign w:val="center"/>
              </w:tcPr>
              <w:p w:rsidR="00B637B2" w:rsidRPr="007638B1" w:rsidRDefault="008F04CF" w:rsidP="00B637B2">
                <w:pPr>
                  <w:jc w:val="right"/>
                </w:pPr>
                <w:r w:rsidRPr="007638B1">
                  <w:t>201,964,308</w:t>
                </w:r>
              </w:p>
            </w:tc>
            <w:tc>
              <w:tcPr>
                <w:tcW w:w="909" w:type="pct"/>
                <w:shd w:val="clear" w:color="auto" w:fill="auto"/>
                <w:vAlign w:val="center"/>
              </w:tcPr>
              <w:p w:rsidR="00B637B2" w:rsidRDefault="008F04CF" w:rsidP="00B637B2">
                <w:pPr>
                  <w:jc w:val="right"/>
                  <w:rPr>
                    <w:szCs w:val="21"/>
                  </w:rPr>
                </w:pPr>
                <w:r>
                  <w:t>29,593,414</w:t>
                </w:r>
              </w:p>
            </w:tc>
          </w:tr>
          <w:sdt>
            <w:sdtPr>
              <w:rPr>
                <w:rFonts w:asciiTheme="minorHAnsi" w:eastAsiaTheme="minorEastAsia" w:hAnsiTheme="minorHAnsi" w:cstheme="minorBidi"/>
                <w:kern w:val="2"/>
                <w:szCs w:val="21"/>
              </w:rPr>
              <w:alias w:val="递延所得税资产明细"/>
              <w:tag w:val="_GBC_78d44848a87d4473a54948d3e2adbb46"/>
              <w:id w:val="-9526992"/>
              <w:lock w:val="sdtLocked"/>
            </w:sdtPr>
            <w:sdtContent>
              <w:tr w:rsidR="00B637B2" w:rsidTr="00B637B2">
                <w:trPr>
                  <w:trHeight w:val="285"/>
                </w:trPr>
                <w:tc>
                  <w:tcPr>
                    <w:tcW w:w="1350" w:type="pct"/>
                    <w:shd w:val="clear" w:color="auto" w:fill="auto"/>
                    <w:vAlign w:val="center"/>
                  </w:tcPr>
                  <w:p w:rsidR="00B637B2" w:rsidRDefault="008F04CF" w:rsidP="00B637B2">
                    <w:pPr>
                      <w:rPr>
                        <w:szCs w:val="21"/>
                      </w:rPr>
                    </w:pPr>
                    <w:r>
                      <w:rPr>
                        <w:rFonts w:asciiTheme="minorHAnsi" w:eastAsiaTheme="minorEastAsia" w:hAnsiTheme="minorHAnsi" w:cstheme="minorBidi" w:hint="eastAsia"/>
                        <w:kern w:val="2"/>
                        <w:szCs w:val="21"/>
                      </w:rPr>
                      <w:t>预提费用</w:t>
                    </w:r>
                  </w:p>
                </w:tc>
                <w:tc>
                  <w:tcPr>
                    <w:tcW w:w="912" w:type="pct"/>
                    <w:shd w:val="clear" w:color="auto" w:fill="auto"/>
                    <w:vAlign w:val="center"/>
                  </w:tcPr>
                  <w:p w:rsidR="00B637B2" w:rsidRPr="00AB4A78" w:rsidRDefault="008F04CF" w:rsidP="00B637B2">
                    <w:pPr>
                      <w:jc w:val="right"/>
                    </w:pPr>
                    <w:r w:rsidRPr="00714B14">
                      <w:t>79,533,566</w:t>
                    </w:r>
                  </w:p>
                </w:tc>
                <w:tc>
                  <w:tcPr>
                    <w:tcW w:w="910" w:type="pct"/>
                    <w:shd w:val="clear" w:color="auto" w:fill="auto"/>
                    <w:vAlign w:val="center"/>
                  </w:tcPr>
                  <w:p w:rsidR="00B637B2" w:rsidRPr="00D1417C" w:rsidRDefault="008F04CF" w:rsidP="00B637B2">
                    <w:pPr>
                      <w:jc w:val="right"/>
                    </w:pPr>
                    <w:r w:rsidRPr="00D1417C">
                      <w:t>9,202,222</w:t>
                    </w:r>
                  </w:p>
                </w:tc>
                <w:tc>
                  <w:tcPr>
                    <w:tcW w:w="919" w:type="pct"/>
                    <w:shd w:val="clear" w:color="auto" w:fill="auto"/>
                    <w:vAlign w:val="center"/>
                  </w:tcPr>
                  <w:p w:rsidR="00B637B2" w:rsidRPr="007638B1" w:rsidRDefault="008F04CF" w:rsidP="00B637B2">
                    <w:pPr>
                      <w:jc w:val="right"/>
                    </w:pPr>
                    <w:r w:rsidRPr="007638B1">
                      <w:t>148,256,715</w:t>
                    </w:r>
                  </w:p>
                </w:tc>
                <w:tc>
                  <w:tcPr>
                    <w:tcW w:w="909" w:type="pct"/>
                    <w:shd w:val="clear" w:color="auto" w:fill="auto"/>
                    <w:vAlign w:val="center"/>
                  </w:tcPr>
                  <w:p w:rsidR="00B637B2" w:rsidRDefault="008F04CF" w:rsidP="00B637B2">
                    <w:pPr>
                      <w:jc w:val="right"/>
                      <w:rPr>
                        <w:szCs w:val="21"/>
                      </w:rPr>
                    </w:pPr>
                    <w:r>
                      <w:t>18,036,268</w:t>
                    </w:r>
                  </w:p>
                </w:tc>
              </w:tr>
            </w:sdtContent>
          </w:sdt>
          <w:sdt>
            <w:sdtPr>
              <w:rPr>
                <w:rFonts w:asciiTheme="minorHAnsi" w:eastAsiaTheme="minorEastAsia" w:hAnsiTheme="minorHAnsi" w:cstheme="minorBidi"/>
                <w:kern w:val="2"/>
                <w:szCs w:val="21"/>
              </w:rPr>
              <w:alias w:val="递延所得税资产明细"/>
              <w:tag w:val="_GBC_78d44848a87d4473a54948d3e2adbb46"/>
              <w:id w:val="379440976"/>
              <w:lock w:val="sdtLocked"/>
            </w:sdtPr>
            <w:sdtContent>
              <w:tr w:rsidR="00B637B2" w:rsidTr="00B637B2">
                <w:trPr>
                  <w:trHeight w:val="285"/>
                </w:trPr>
                <w:tc>
                  <w:tcPr>
                    <w:tcW w:w="1350" w:type="pct"/>
                    <w:shd w:val="clear" w:color="auto" w:fill="auto"/>
                    <w:vAlign w:val="center"/>
                  </w:tcPr>
                  <w:p w:rsidR="00B637B2" w:rsidRDefault="008F04CF" w:rsidP="00B637B2">
                    <w:pPr>
                      <w:rPr>
                        <w:szCs w:val="21"/>
                      </w:rPr>
                    </w:pPr>
                    <w:r>
                      <w:t>固定资产折旧差异</w:t>
                    </w:r>
                  </w:p>
                </w:tc>
                <w:tc>
                  <w:tcPr>
                    <w:tcW w:w="912" w:type="pct"/>
                    <w:shd w:val="clear" w:color="auto" w:fill="auto"/>
                    <w:vAlign w:val="center"/>
                  </w:tcPr>
                  <w:p w:rsidR="00B637B2" w:rsidRPr="00AB4A78" w:rsidRDefault="008F04CF" w:rsidP="00B637B2">
                    <w:pPr>
                      <w:jc w:val="right"/>
                    </w:pPr>
                    <w:r w:rsidRPr="00AB4A78">
                      <w:t>31,964,312</w:t>
                    </w:r>
                  </w:p>
                </w:tc>
                <w:tc>
                  <w:tcPr>
                    <w:tcW w:w="910" w:type="pct"/>
                    <w:shd w:val="clear" w:color="auto" w:fill="auto"/>
                    <w:vAlign w:val="center"/>
                  </w:tcPr>
                  <w:p w:rsidR="00B637B2" w:rsidRPr="00D1417C" w:rsidRDefault="008F04CF" w:rsidP="00B637B2">
                    <w:pPr>
                      <w:jc w:val="right"/>
                    </w:pPr>
                    <w:r w:rsidRPr="00D1417C">
                      <w:t>3,374,819</w:t>
                    </w:r>
                  </w:p>
                </w:tc>
                <w:tc>
                  <w:tcPr>
                    <w:tcW w:w="919" w:type="pct"/>
                    <w:shd w:val="clear" w:color="auto" w:fill="auto"/>
                    <w:vAlign w:val="center"/>
                  </w:tcPr>
                  <w:p w:rsidR="00B637B2" w:rsidRPr="007638B1" w:rsidRDefault="008F04CF" w:rsidP="00B637B2">
                    <w:pPr>
                      <w:jc w:val="right"/>
                    </w:pPr>
                    <w:r w:rsidRPr="007638B1">
                      <w:t>23,591,372</w:t>
                    </w:r>
                  </w:p>
                </w:tc>
                <w:tc>
                  <w:tcPr>
                    <w:tcW w:w="909" w:type="pct"/>
                    <w:shd w:val="clear" w:color="auto" w:fill="auto"/>
                    <w:vAlign w:val="center"/>
                  </w:tcPr>
                  <w:p w:rsidR="00B637B2" w:rsidRDefault="008F04CF" w:rsidP="00B637B2">
                    <w:pPr>
                      <w:jc w:val="right"/>
                      <w:rPr>
                        <w:szCs w:val="21"/>
                      </w:rPr>
                    </w:pPr>
                    <w:r>
                      <w:t>2,520,081</w:t>
                    </w:r>
                  </w:p>
                </w:tc>
              </w:tr>
            </w:sdtContent>
          </w:sdt>
          <w:sdt>
            <w:sdtPr>
              <w:rPr>
                <w:rFonts w:asciiTheme="minorHAnsi" w:eastAsiaTheme="minorEastAsia" w:hAnsiTheme="minorHAnsi" w:cstheme="minorBidi"/>
                <w:kern w:val="2"/>
                <w:szCs w:val="21"/>
              </w:rPr>
              <w:alias w:val="递延所得税资产明细"/>
              <w:tag w:val="_GBC_78d44848a87d4473a54948d3e2adbb46"/>
              <w:id w:val="-1432889465"/>
              <w:lock w:val="sdtLocked"/>
            </w:sdtPr>
            <w:sdtContent>
              <w:tr w:rsidR="00B637B2" w:rsidTr="00B637B2">
                <w:trPr>
                  <w:trHeight w:val="285"/>
                </w:trPr>
                <w:tc>
                  <w:tcPr>
                    <w:tcW w:w="1350" w:type="pct"/>
                    <w:shd w:val="clear" w:color="auto" w:fill="auto"/>
                    <w:vAlign w:val="center"/>
                  </w:tcPr>
                  <w:p w:rsidR="00B637B2" w:rsidRDefault="008F04CF" w:rsidP="00B637B2">
                    <w:pPr>
                      <w:rPr>
                        <w:szCs w:val="21"/>
                      </w:rPr>
                    </w:pPr>
                    <w:r>
                      <w:t>股权激励成本</w:t>
                    </w:r>
                  </w:p>
                </w:tc>
                <w:tc>
                  <w:tcPr>
                    <w:tcW w:w="912" w:type="pct"/>
                    <w:shd w:val="clear" w:color="auto" w:fill="auto"/>
                    <w:vAlign w:val="center"/>
                  </w:tcPr>
                  <w:p w:rsidR="00B637B2" w:rsidRPr="00AB4A78" w:rsidRDefault="008F04CF" w:rsidP="00B637B2">
                    <w:pPr>
                      <w:jc w:val="right"/>
                    </w:pPr>
                    <w:r>
                      <w:t>259,366,318</w:t>
                    </w:r>
                  </w:p>
                </w:tc>
                <w:tc>
                  <w:tcPr>
                    <w:tcW w:w="910" w:type="pct"/>
                    <w:shd w:val="clear" w:color="auto" w:fill="auto"/>
                    <w:vAlign w:val="center"/>
                  </w:tcPr>
                  <w:p w:rsidR="00B637B2" w:rsidRPr="00D1417C" w:rsidRDefault="008F04CF" w:rsidP="00B637B2">
                    <w:pPr>
                      <w:jc w:val="right"/>
                    </w:pPr>
                    <w:r>
                      <w:t>25,985,071</w:t>
                    </w:r>
                  </w:p>
                </w:tc>
                <w:tc>
                  <w:tcPr>
                    <w:tcW w:w="919" w:type="pct"/>
                    <w:shd w:val="clear" w:color="auto" w:fill="auto"/>
                    <w:vAlign w:val="center"/>
                  </w:tcPr>
                  <w:p w:rsidR="00B637B2" w:rsidRPr="007638B1" w:rsidRDefault="008F04CF" w:rsidP="00B637B2">
                    <w:pPr>
                      <w:jc w:val="right"/>
                    </w:pPr>
                    <w:r>
                      <w:t>218,531,011</w:t>
                    </w:r>
                  </w:p>
                </w:tc>
                <w:tc>
                  <w:tcPr>
                    <w:tcW w:w="909" w:type="pct"/>
                    <w:shd w:val="clear" w:color="auto" w:fill="auto"/>
                    <w:vAlign w:val="center"/>
                  </w:tcPr>
                  <w:p w:rsidR="00B637B2" w:rsidRDefault="008F04CF" w:rsidP="00B637B2">
                    <w:pPr>
                      <w:jc w:val="right"/>
                      <w:rPr>
                        <w:szCs w:val="21"/>
                      </w:rPr>
                    </w:pPr>
                    <w:r>
                      <w:t>21,901,540</w:t>
                    </w:r>
                  </w:p>
                </w:tc>
              </w:tr>
            </w:sdtContent>
          </w:sdt>
          <w:sdt>
            <w:sdtPr>
              <w:rPr>
                <w:rFonts w:asciiTheme="minorHAnsi" w:eastAsiaTheme="minorEastAsia" w:hAnsiTheme="minorHAnsi" w:cstheme="minorBidi"/>
                <w:kern w:val="2"/>
                <w:szCs w:val="21"/>
              </w:rPr>
              <w:alias w:val="递延所得税资产明细"/>
              <w:tag w:val="_GBC_78d44848a87d4473a54948d3e2adbb46"/>
              <w:id w:val="-881481444"/>
              <w:lock w:val="sdtLocked"/>
            </w:sdtPr>
            <w:sdtContent>
              <w:tr w:rsidR="00B637B2" w:rsidTr="00B637B2">
                <w:trPr>
                  <w:trHeight w:val="285"/>
                </w:trPr>
                <w:tc>
                  <w:tcPr>
                    <w:tcW w:w="1350" w:type="pct"/>
                    <w:shd w:val="clear" w:color="auto" w:fill="auto"/>
                    <w:vAlign w:val="center"/>
                  </w:tcPr>
                  <w:p w:rsidR="00B637B2" w:rsidRDefault="008F04CF" w:rsidP="00B637B2">
                    <w:pPr>
                      <w:rPr>
                        <w:szCs w:val="21"/>
                      </w:rPr>
                    </w:pPr>
                    <w:r>
                      <w:rPr>
                        <w:rFonts w:hint="eastAsia"/>
                      </w:rPr>
                      <w:t>政府补助</w:t>
                    </w:r>
                  </w:p>
                </w:tc>
                <w:tc>
                  <w:tcPr>
                    <w:tcW w:w="912" w:type="pct"/>
                    <w:shd w:val="clear" w:color="auto" w:fill="auto"/>
                    <w:vAlign w:val="center"/>
                  </w:tcPr>
                  <w:p w:rsidR="00B637B2" w:rsidRPr="00AB4A78" w:rsidRDefault="008F04CF" w:rsidP="00B637B2">
                    <w:pPr>
                      <w:jc w:val="right"/>
                    </w:pPr>
                    <w:r w:rsidRPr="00AB4A78">
                      <w:t>69,397,428</w:t>
                    </w:r>
                  </w:p>
                </w:tc>
                <w:tc>
                  <w:tcPr>
                    <w:tcW w:w="910" w:type="pct"/>
                    <w:shd w:val="clear" w:color="auto" w:fill="auto"/>
                    <w:vAlign w:val="center"/>
                  </w:tcPr>
                  <w:p w:rsidR="00B637B2" w:rsidRPr="00D1417C" w:rsidRDefault="008F04CF" w:rsidP="00B637B2">
                    <w:pPr>
                      <w:jc w:val="right"/>
                    </w:pPr>
                    <w:r>
                      <w:t>6,956,826</w:t>
                    </w:r>
                  </w:p>
                </w:tc>
                <w:tc>
                  <w:tcPr>
                    <w:tcW w:w="919" w:type="pct"/>
                    <w:shd w:val="clear" w:color="auto" w:fill="auto"/>
                    <w:vAlign w:val="center"/>
                  </w:tcPr>
                  <w:p w:rsidR="00B637B2" w:rsidRPr="007638B1" w:rsidRDefault="008F04CF" w:rsidP="00B637B2">
                    <w:pPr>
                      <w:jc w:val="right"/>
                    </w:pPr>
                    <w:r w:rsidRPr="007638B1">
                      <w:t>60,475,428</w:t>
                    </w:r>
                  </w:p>
                </w:tc>
                <w:tc>
                  <w:tcPr>
                    <w:tcW w:w="909" w:type="pct"/>
                    <w:shd w:val="clear" w:color="auto" w:fill="auto"/>
                    <w:vAlign w:val="center"/>
                  </w:tcPr>
                  <w:p w:rsidR="00B637B2" w:rsidRDefault="008F04CF" w:rsidP="00B637B2">
                    <w:pPr>
                      <w:jc w:val="right"/>
                      <w:rPr>
                        <w:szCs w:val="21"/>
                      </w:rPr>
                    </w:pPr>
                    <w:r>
                      <w:t>6,030,001</w:t>
                    </w:r>
                  </w:p>
                </w:tc>
              </w:tr>
            </w:sdtContent>
          </w:sdt>
          <w:sdt>
            <w:sdtPr>
              <w:rPr>
                <w:rFonts w:asciiTheme="minorHAnsi" w:eastAsiaTheme="minorEastAsia" w:hAnsiTheme="minorHAnsi" w:cstheme="minorBidi"/>
                <w:kern w:val="2"/>
                <w:szCs w:val="21"/>
              </w:rPr>
              <w:alias w:val="递延所得税资产明细"/>
              <w:tag w:val="_GBC_78d44848a87d4473a54948d3e2adbb46"/>
              <w:id w:val="9343283"/>
              <w:lock w:val="sdtLocked"/>
            </w:sdtPr>
            <w:sdtContent>
              <w:tr w:rsidR="00B637B2" w:rsidTr="00B637B2">
                <w:trPr>
                  <w:trHeight w:val="285"/>
                </w:trPr>
                <w:tc>
                  <w:tcPr>
                    <w:tcW w:w="1350" w:type="pct"/>
                    <w:shd w:val="clear" w:color="auto" w:fill="auto"/>
                    <w:vAlign w:val="center"/>
                  </w:tcPr>
                  <w:p w:rsidR="00B637B2" w:rsidRDefault="008F04CF" w:rsidP="00B637B2">
                    <w:pPr>
                      <w:rPr>
                        <w:szCs w:val="21"/>
                      </w:rPr>
                    </w:pPr>
                    <w:r w:rsidRPr="00B43581">
                      <w:rPr>
                        <w:rFonts w:cs="Arial" w:hint="eastAsia"/>
                        <w:snapToGrid w:val="0"/>
                      </w:rPr>
                      <w:t>未支付的应付职工薪酬</w:t>
                    </w:r>
                  </w:p>
                </w:tc>
                <w:tc>
                  <w:tcPr>
                    <w:tcW w:w="912" w:type="pct"/>
                    <w:shd w:val="clear" w:color="auto" w:fill="auto"/>
                    <w:vAlign w:val="center"/>
                  </w:tcPr>
                  <w:p w:rsidR="00B637B2" w:rsidRPr="00AB4A78" w:rsidRDefault="008F04CF" w:rsidP="00B637B2">
                    <w:pPr>
                      <w:jc w:val="right"/>
                    </w:pPr>
                    <w:r w:rsidRPr="00AB4A78">
                      <w:t>-</w:t>
                    </w:r>
                  </w:p>
                </w:tc>
                <w:tc>
                  <w:tcPr>
                    <w:tcW w:w="910" w:type="pct"/>
                    <w:shd w:val="clear" w:color="auto" w:fill="auto"/>
                    <w:vAlign w:val="center"/>
                  </w:tcPr>
                  <w:p w:rsidR="00B637B2" w:rsidRPr="00D1417C" w:rsidRDefault="008F04CF" w:rsidP="00B637B2">
                    <w:pPr>
                      <w:jc w:val="right"/>
                    </w:pPr>
                    <w:r>
                      <w:t>-</w:t>
                    </w:r>
                  </w:p>
                </w:tc>
                <w:tc>
                  <w:tcPr>
                    <w:tcW w:w="919" w:type="pct"/>
                    <w:shd w:val="clear" w:color="auto" w:fill="auto"/>
                    <w:vAlign w:val="center"/>
                  </w:tcPr>
                  <w:p w:rsidR="00B637B2" w:rsidRPr="007638B1" w:rsidRDefault="008F04CF" w:rsidP="00B637B2">
                    <w:pPr>
                      <w:jc w:val="right"/>
                    </w:pPr>
                    <w:r w:rsidRPr="007638B1">
                      <w:t>22,504,449</w:t>
                    </w:r>
                  </w:p>
                </w:tc>
                <w:tc>
                  <w:tcPr>
                    <w:tcW w:w="909" w:type="pct"/>
                    <w:shd w:val="clear" w:color="auto" w:fill="auto"/>
                    <w:vAlign w:val="center"/>
                  </w:tcPr>
                  <w:p w:rsidR="00B637B2" w:rsidRDefault="008F04CF" w:rsidP="00B637B2">
                    <w:pPr>
                      <w:jc w:val="right"/>
                      <w:rPr>
                        <w:szCs w:val="21"/>
                      </w:rPr>
                    </w:pPr>
                    <w:r>
                      <w:t>2,250,445</w:t>
                    </w:r>
                  </w:p>
                </w:tc>
              </w:tr>
            </w:sdtContent>
          </w:sdt>
          <w:sdt>
            <w:sdtPr>
              <w:rPr>
                <w:rFonts w:asciiTheme="minorHAnsi" w:eastAsiaTheme="minorEastAsia" w:hAnsiTheme="minorHAnsi" w:cstheme="minorBidi"/>
                <w:kern w:val="2"/>
                <w:szCs w:val="21"/>
              </w:rPr>
              <w:alias w:val="递延所得税资产明细"/>
              <w:tag w:val="_GBC_78d44848a87d4473a54948d3e2adbb46"/>
              <w:id w:val="-1548834007"/>
              <w:lock w:val="sdtLocked"/>
            </w:sdtPr>
            <w:sdtContent>
              <w:tr w:rsidR="00B637B2" w:rsidTr="00B637B2">
                <w:trPr>
                  <w:trHeight w:val="285"/>
                </w:trPr>
                <w:tc>
                  <w:tcPr>
                    <w:tcW w:w="1350" w:type="pct"/>
                    <w:shd w:val="clear" w:color="auto" w:fill="auto"/>
                    <w:vAlign w:val="center"/>
                  </w:tcPr>
                  <w:p w:rsidR="00B637B2" w:rsidRDefault="008F04CF" w:rsidP="00B637B2">
                    <w:pPr>
                      <w:rPr>
                        <w:szCs w:val="21"/>
                      </w:rPr>
                    </w:pPr>
                    <w:r>
                      <w:t>可供出售金融资产公允价值变动</w:t>
                    </w:r>
                  </w:p>
                </w:tc>
                <w:tc>
                  <w:tcPr>
                    <w:tcW w:w="912" w:type="pct"/>
                    <w:shd w:val="clear" w:color="auto" w:fill="auto"/>
                    <w:vAlign w:val="center"/>
                  </w:tcPr>
                  <w:p w:rsidR="00B637B2" w:rsidRPr="00AB4A78" w:rsidRDefault="008F04CF" w:rsidP="00B637B2">
                    <w:pPr>
                      <w:jc w:val="right"/>
                    </w:pPr>
                    <w:r w:rsidRPr="00AB4A78">
                      <w:t>-</w:t>
                    </w:r>
                  </w:p>
                </w:tc>
                <w:tc>
                  <w:tcPr>
                    <w:tcW w:w="910" w:type="pct"/>
                    <w:shd w:val="clear" w:color="auto" w:fill="auto"/>
                    <w:vAlign w:val="center"/>
                  </w:tcPr>
                  <w:p w:rsidR="00B637B2" w:rsidRPr="00D1417C" w:rsidRDefault="008F04CF" w:rsidP="00B637B2">
                    <w:pPr>
                      <w:jc w:val="right"/>
                    </w:pPr>
                    <w:r w:rsidRPr="00D1417C">
                      <w:t>-</w:t>
                    </w:r>
                  </w:p>
                </w:tc>
                <w:tc>
                  <w:tcPr>
                    <w:tcW w:w="919" w:type="pct"/>
                    <w:shd w:val="clear" w:color="auto" w:fill="auto"/>
                    <w:vAlign w:val="center"/>
                  </w:tcPr>
                  <w:p w:rsidR="00B637B2" w:rsidRPr="007638B1" w:rsidRDefault="008F04CF" w:rsidP="00B637B2">
                    <w:pPr>
                      <w:jc w:val="right"/>
                    </w:pPr>
                    <w:r w:rsidRPr="007638B1">
                      <w:t>64,656,515</w:t>
                    </w:r>
                  </w:p>
                </w:tc>
                <w:tc>
                  <w:tcPr>
                    <w:tcW w:w="909" w:type="pct"/>
                    <w:shd w:val="clear" w:color="auto" w:fill="auto"/>
                    <w:vAlign w:val="center"/>
                  </w:tcPr>
                  <w:p w:rsidR="00B637B2" w:rsidRDefault="008F04CF" w:rsidP="00B637B2">
                    <w:pPr>
                      <w:jc w:val="right"/>
                      <w:rPr>
                        <w:szCs w:val="21"/>
                      </w:rPr>
                    </w:pPr>
                    <w:r>
                      <w:t>6,950,575</w:t>
                    </w:r>
                  </w:p>
                </w:tc>
              </w:tr>
            </w:sdtContent>
          </w:sdt>
          <w:sdt>
            <w:sdtPr>
              <w:rPr>
                <w:rFonts w:asciiTheme="minorHAnsi" w:eastAsiaTheme="minorEastAsia" w:hAnsiTheme="minorHAnsi" w:cstheme="minorBidi"/>
                <w:kern w:val="2"/>
                <w:szCs w:val="21"/>
              </w:rPr>
              <w:alias w:val="递延所得税资产明细"/>
              <w:tag w:val="_GBC_78d44848a87d4473a54948d3e2adbb46"/>
              <w:id w:val="-1741158134"/>
              <w:lock w:val="sdtLocked"/>
            </w:sdtPr>
            <w:sdtContent>
              <w:tr w:rsidR="00B637B2" w:rsidTr="00B637B2">
                <w:trPr>
                  <w:trHeight w:val="285"/>
                </w:trPr>
                <w:tc>
                  <w:tcPr>
                    <w:tcW w:w="1350" w:type="pct"/>
                    <w:shd w:val="clear" w:color="auto" w:fill="auto"/>
                    <w:vAlign w:val="center"/>
                  </w:tcPr>
                  <w:p w:rsidR="00B637B2" w:rsidRDefault="008F04CF" w:rsidP="00B637B2">
                    <w:pPr>
                      <w:rPr>
                        <w:szCs w:val="21"/>
                      </w:rPr>
                    </w:pPr>
                    <w:r>
                      <w:t>其他非流动金融资产公允价值变动</w:t>
                    </w:r>
                  </w:p>
                </w:tc>
                <w:tc>
                  <w:tcPr>
                    <w:tcW w:w="912" w:type="pct"/>
                    <w:shd w:val="clear" w:color="auto" w:fill="auto"/>
                    <w:vAlign w:val="center"/>
                  </w:tcPr>
                  <w:p w:rsidR="00B637B2" w:rsidRPr="00AB4A78" w:rsidRDefault="008F04CF" w:rsidP="00B637B2">
                    <w:pPr>
                      <w:jc w:val="right"/>
                    </w:pPr>
                    <w:r w:rsidRPr="00AB4A78">
                      <w:t>63,661,425</w:t>
                    </w:r>
                  </w:p>
                </w:tc>
                <w:tc>
                  <w:tcPr>
                    <w:tcW w:w="910" w:type="pct"/>
                    <w:shd w:val="clear" w:color="auto" w:fill="auto"/>
                    <w:vAlign w:val="center"/>
                  </w:tcPr>
                  <w:p w:rsidR="00B637B2" w:rsidRPr="00D1417C" w:rsidRDefault="008F04CF" w:rsidP="00B637B2">
                    <w:pPr>
                      <w:jc w:val="right"/>
                    </w:pPr>
                    <w:r w:rsidRPr="00D1417C">
                      <w:t>6,844,614</w:t>
                    </w:r>
                  </w:p>
                </w:tc>
                <w:tc>
                  <w:tcPr>
                    <w:tcW w:w="919" w:type="pct"/>
                    <w:shd w:val="clear" w:color="auto" w:fill="auto"/>
                    <w:vAlign w:val="center"/>
                  </w:tcPr>
                  <w:p w:rsidR="00B637B2" w:rsidRPr="007638B1" w:rsidRDefault="008F04CF" w:rsidP="00B637B2">
                    <w:pPr>
                      <w:jc w:val="right"/>
                    </w:pPr>
                    <w:r>
                      <w:rPr>
                        <w:rFonts w:hint="eastAsia"/>
                      </w:rPr>
                      <w:t>-</w:t>
                    </w:r>
                  </w:p>
                </w:tc>
                <w:tc>
                  <w:tcPr>
                    <w:tcW w:w="909" w:type="pct"/>
                    <w:shd w:val="clear" w:color="auto" w:fill="auto"/>
                    <w:vAlign w:val="center"/>
                  </w:tcPr>
                  <w:p w:rsidR="00B637B2" w:rsidRDefault="008F04CF" w:rsidP="00B637B2">
                    <w:pPr>
                      <w:jc w:val="right"/>
                      <w:rPr>
                        <w:szCs w:val="21"/>
                      </w:rPr>
                    </w:pPr>
                    <w:r>
                      <w:rPr>
                        <w:rFonts w:hint="eastAsia"/>
                        <w:szCs w:val="21"/>
                      </w:rPr>
                      <w:t>-</w:t>
                    </w:r>
                  </w:p>
                </w:tc>
              </w:tr>
            </w:sdtContent>
          </w:sdt>
          <w:sdt>
            <w:sdtPr>
              <w:rPr>
                <w:rFonts w:asciiTheme="minorHAnsi" w:eastAsiaTheme="minorEastAsia" w:hAnsiTheme="minorHAnsi" w:cstheme="minorBidi"/>
                <w:kern w:val="2"/>
                <w:szCs w:val="21"/>
              </w:rPr>
              <w:alias w:val="递延所得税资产明细"/>
              <w:tag w:val="_GBC_78d44848a87d4473a54948d3e2adbb46"/>
              <w:id w:val="551195772"/>
              <w:lock w:val="sdtLocked"/>
            </w:sdtPr>
            <w:sdtContent>
              <w:tr w:rsidR="00B637B2" w:rsidTr="00B637B2">
                <w:trPr>
                  <w:trHeight w:val="285"/>
                </w:trPr>
                <w:tc>
                  <w:tcPr>
                    <w:tcW w:w="1350" w:type="pct"/>
                    <w:shd w:val="clear" w:color="auto" w:fill="auto"/>
                    <w:vAlign w:val="center"/>
                  </w:tcPr>
                  <w:p w:rsidR="00B637B2" w:rsidRDefault="008F04CF" w:rsidP="00B637B2">
                    <w:pPr>
                      <w:rPr>
                        <w:szCs w:val="21"/>
                      </w:rPr>
                    </w:pPr>
                    <w:r>
                      <w:t>按权益法核算的长期股权投资暂时性差异</w:t>
                    </w:r>
                  </w:p>
                </w:tc>
                <w:tc>
                  <w:tcPr>
                    <w:tcW w:w="912" w:type="pct"/>
                    <w:shd w:val="clear" w:color="auto" w:fill="auto"/>
                    <w:vAlign w:val="center"/>
                  </w:tcPr>
                  <w:p w:rsidR="00B637B2" w:rsidRDefault="008F04CF" w:rsidP="00B637B2">
                    <w:pPr>
                      <w:jc w:val="right"/>
                    </w:pPr>
                    <w:r w:rsidRPr="00AB4A78">
                      <w:t>25,491,628</w:t>
                    </w:r>
                  </w:p>
                </w:tc>
                <w:tc>
                  <w:tcPr>
                    <w:tcW w:w="910" w:type="pct"/>
                    <w:shd w:val="clear" w:color="auto" w:fill="auto"/>
                    <w:vAlign w:val="center"/>
                  </w:tcPr>
                  <w:p w:rsidR="00B637B2" w:rsidRDefault="008F04CF" w:rsidP="00B637B2">
                    <w:pPr>
                      <w:jc w:val="right"/>
                      <w:rPr>
                        <w:szCs w:val="21"/>
                      </w:rPr>
                    </w:pPr>
                    <w:r>
                      <w:t>2,549,164</w:t>
                    </w:r>
                  </w:p>
                </w:tc>
                <w:tc>
                  <w:tcPr>
                    <w:tcW w:w="919" w:type="pct"/>
                    <w:shd w:val="clear" w:color="auto" w:fill="auto"/>
                    <w:vAlign w:val="center"/>
                  </w:tcPr>
                  <w:p w:rsidR="00B637B2" w:rsidRDefault="008F04CF" w:rsidP="00B637B2">
                    <w:pPr>
                      <w:jc w:val="right"/>
                      <w:rPr>
                        <w:szCs w:val="21"/>
                      </w:rPr>
                    </w:pPr>
                    <w:r w:rsidRPr="007B6057">
                      <w:rPr>
                        <w:szCs w:val="21"/>
                      </w:rPr>
                      <w:t>22,034,609</w:t>
                    </w:r>
                  </w:p>
                </w:tc>
                <w:tc>
                  <w:tcPr>
                    <w:tcW w:w="909" w:type="pct"/>
                    <w:shd w:val="clear" w:color="auto" w:fill="auto"/>
                    <w:vAlign w:val="center"/>
                  </w:tcPr>
                  <w:p w:rsidR="00B637B2" w:rsidRDefault="008F04CF" w:rsidP="00B637B2">
                    <w:pPr>
                      <w:jc w:val="right"/>
                      <w:rPr>
                        <w:szCs w:val="21"/>
                      </w:rPr>
                    </w:pPr>
                    <w:r>
                      <w:t>2,203,461</w:t>
                    </w:r>
                  </w:p>
                </w:tc>
              </w:tr>
            </w:sdtContent>
          </w:sdt>
          <w:tr w:rsidR="00B637B2" w:rsidRPr="00452A76" w:rsidTr="00B637B2">
            <w:trPr>
              <w:trHeight w:val="285"/>
            </w:trPr>
            <w:sdt>
              <w:sdtPr>
                <w:tag w:val="_PLD_aff9781bbd7249709be440b59752c5c2"/>
                <w:id w:val="-1346243262"/>
                <w:lock w:val="sdtLocked"/>
              </w:sdtPr>
              <w:sdtContent>
                <w:tc>
                  <w:tcPr>
                    <w:tcW w:w="1350" w:type="pct"/>
                    <w:shd w:val="clear" w:color="auto" w:fill="auto"/>
                    <w:vAlign w:val="center"/>
                  </w:tcPr>
                  <w:p w:rsidR="00B637B2" w:rsidRDefault="008F04CF" w:rsidP="00B637B2">
                    <w:pPr>
                      <w:jc w:val="center"/>
                      <w:rPr>
                        <w:szCs w:val="21"/>
                      </w:rPr>
                    </w:pPr>
                    <w:r>
                      <w:rPr>
                        <w:rFonts w:hint="eastAsia"/>
                        <w:szCs w:val="21"/>
                      </w:rPr>
                      <w:t>合计</w:t>
                    </w:r>
                  </w:p>
                </w:tc>
              </w:sdtContent>
            </w:sdt>
            <w:tc>
              <w:tcPr>
                <w:tcW w:w="912" w:type="pct"/>
                <w:shd w:val="clear" w:color="auto" w:fill="auto"/>
                <w:vAlign w:val="center"/>
              </w:tcPr>
              <w:p w:rsidR="00B637B2" w:rsidRPr="00452A76" w:rsidRDefault="008F04CF" w:rsidP="00B637B2">
                <w:pPr>
                  <w:jc w:val="right"/>
                </w:pPr>
                <w:r>
                  <w:t>1,069,946,576</w:t>
                </w:r>
              </w:p>
            </w:tc>
            <w:tc>
              <w:tcPr>
                <w:tcW w:w="910" w:type="pct"/>
                <w:shd w:val="clear" w:color="auto" w:fill="auto"/>
                <w:vAlign w:val="center"/>
              </w:tcPr>
              <w:p w:rsidR="00B637B2" w:rsidRPr="00452A76" w:rsidRDefault="008F04CF" w:rsidP="00B637B2">
                <w:pPr>
                  <w:jc w:val="right"/>
                </w:pPr>
                <w:r>
                  <w:t>134,460,824</w:t>
                </w:r>
                <w:r>
                  <w:tab/>
                </w:r>
              </w:p>
            </w:tc>
            <w:tc>
              <w:tcPr>
                <w:tcW w:w="919" w:type="pct"/>
                <w:shd w:val="clear" w:color="auto" w:fill="auto"/>
                <w:vAlign w:val="center"/>
              </w:tcPr>
              <w:p w:rsidR="00B637B2" w:rsidRPr="00452A76" w:rsidRDefault="008F04CF" w:rsidP="00B637B2">
                <w:pPr>
                  <w:jc w:val="right"/>
                </w:pPr>
                <w:r>
                  <w:t>962,051,423</w:t>
                </w:r>
              </w:p>
            </w:tc>
            <w:tc>
              <w:tcPr>
                <w:tcW w:w="909" w:type="pct"/>
                <w:shd w:val="clear" w:color="auto" w:fill="auto"/>
                <w:vAlign w:val="center"/>
              </w:tcPr>
              <w:p w:rsidR="00B637B2" w:rsidRPr="00452A76" w:rsidRDefault="008F04CF" w:rsidP="00B637B2">
                <w:pPr>
                  <w:jc w:val="right"/>
                </w:pPr>
                <w:r>
                  <w:t>113,875,732</w:t>
                </w:r>
              </w:p>
            </w:tc>
          </w:tr>
        </w:tbl>
        <w:p w:rsidR="00B637B2" w:rsidRDefault="00B637B2"/>
        <w:p w:rsidR="00ED2DC7" w:rsidRPr="00452A76" w:rsidRDefault="000D0A99" w:rsidP="00452A76"/>
      </w:sdtContent>
    </w:sdt>
    <w:p w:rsidR="00ED2DC7" w:rsidRDefault="00ED2DC7"/>
    <w:bookmarkStart w:id="163" w:name="_Hlk11160621" w:displacedByCustomXml="next"/>
    <w:sdt>
      <w:sdtPr>
        <w:rPr>
          <w:rFonts w:ascii="宋体" w:hAnsi="宋体" w:cs="宋体" w:hint="eastAsia"/>
          <w:b w:val="0"/>
          <w:bCs w:val="0"/>
          <w:kern w:val="0"/>
          <w:szCs w:val="24"/>
        </w:rPr>
        <w:alias w:val="模块:未经抵销的递延所得税负债"/>
        <w:tag w:val="_SEC_022eb52f9e1542cbb5aaa5a287b8ee2a"/>
        <w:id w:val="1798645319"/>
        <w:lock w:val="sdtLocked"/>
        <w:placeholder>
          <w:docPart w:val="GBC22222222222222222222222222222"/>
        </w:placeholder>
      </w:sdtPr>
      <w:sdtContent>
        <w:p w:rsidR="00ED2DC7" w:rsidRDefault="00ED2DC7" w:rsidP="00036BDC">
          <w:pPr>
            <w:pStyle w:val="affffffffffffffffff2"/>
            <w:numPr>
              <w:ilvl w:val="0"/>
              <w:numId w:val="67"/>
            </w:numPr>
            <w:tabs>
              <w:tab w:val="left" w:pos="588"/>
              <w:tab w:val="left" w:pos="616"/>
            </w:tabs>
          </w:pPr>
          <w:r>
            <w:rPr>
              <w:rFonts w:hint="eastAsia"/>
            </w:rPr>
            <w:t>未经抵销的递延所得税负债</w:t>
          </w:r>
        </w:p>
        <w:sdt>
          <w:sdtPr>
            <w:alias w:val="是否适用：未经抵销的递延所得税负债[双击切换]"/>
            <w:tag w:val="_GBC_e9cf2825b61d4a9ca57e90c2ed017173"/>
            <w:id w:val="442419295"/>
            <w:lock w:val="sdtContentLocked"/>
            <w:placeholder>
              <w:docPart w:val="GBC22222222222222222222222222222"/>
            </w:placeholder>
          </w:sdtPr>
          <w:sdtContent>
            <w:p w:rsidR="00ED2DC7" w:rsidRDefault="00ED2DC7">
              <w:r>
                <w:fldChar w:fldCharType="begin"/>
              </w:r>
              <w:r w:rsidR="004A56C5">
                <w:instrText xml:space="preserve"> MACROBUTTON  SnrToggleCheckbox √适用 </w:instrText>
              </w:r>
              <w:r>
                <w:fldChar w:fldCharType="end"/>
              </w:r>
              <w:r>
                <w:fldChar w:fldCharType="begin"/>
              </w:r>
              <w:r w:rsidR="004A56C5">
                <w:instrText xml:space="preserve"> MACROBUTTON  SnrToggleCheckbox □不适用 </w:instrText>
              </w:r>
              <w:r>
                <w:fldChar w:fldCharType="end"/>
              </w:r>
            </w:p>
          </w:sdtContent>
        </w:sdt>
        <w:p w:rsidR="00714121" w:rsidRDefault="00ED2DC7">
          <w:pPr>
            <w:jc w:val="right"/>
          </w:pPr>
          <w:r>
            <w:rPr>
              <w:rFonts w:hint="eastAsia"/>
            </w:rPr>
            <w:t>单位：</w:t>
          </w:r>
          <w:sdt>
            <w:sdtPr>
              <w:rPr>
                <w:rFonts w:hint="eastAsia"/>
              </w:rPr>
              <w:alias w:val="单位：财务附注：未经抵销的递延所得税负债"/>
              <w:tag w:val="_GBC_7fa4a7048e284eb79ceb0dee5165516f"/>
              <w:id w:val="10548975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hint="eastAsia"/>
                </w:rPr>
                <w:t>元</w:t>
              </w:r>
            </w:sdtContent>
          </w:sdt>
          <w:r>
            <w:rPr>
              <w:rFonts w:hint="eastAsia"/>
            </w:rPr>
            <w:t xml:space="preserve">  币种：</w:t>
          </w:r>
          <w:sdt>
            <w:sdtPr>
              <w:rPr>
                <w:rFonts w:hint="eastAsia"/>
              </w:rPr>
              <w:alias w:val="币种：财务附注：未经抵销的递延所得税负债"/>
              <w:tag w:val="_GBC_85beae3a7d624858bfe37a33da15472b"/>
              <w:id w:val="-20791176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rPr>
                <w:t>人民币</w:t>
              </w:r>
            </w:sdtContent>
          </w:sdt>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6"/>
            <w:gridCol w:w="1634"/>
            <w:gridCol w:w="1623"/>
            <w:gridCol w:w="1616"/>
            <w:gridCol w:w="1634"/>
          </w:tblGrid>
          <w:tr w:rsidR="00B637B2" w:rsidTr="00B637B2">
            <w:trPr>
              <w:trHeight w:val="285"/>
            </w:trPr>
            <w:sdt>
              <w:sdtPr>
                <w:tag w:val="_PLD_66ef6111bb2d4b3792b581d6ff38c8d2"/>
                <w:id w:val="1564299760"/>
                <w:lock w:val="sdtLocked"/>
              </w:sdtPr>
              <w:sdtContent>
                <w:tc>
                  <w:tcPr>
                    <w:tcW w:w="1312" w:type="pct"/>
                    <w:vMerge w:val="restart"/>
                    <w:shd w:val="clear" w:color="auto" w:fill="auto"/>
                    <w:vAlign w:val="center"/>
                  </w:tcPr>
                  <w:p w:rsidR="00B637B2" w:rsidRDefault="008F04CF" w:rsidP="00B637B2">
                    <w:pPr>
                      <w:jc w:val="center"/>
                      <w:rPr>
                        <w:szCs w:val="21"/>
                      </w:rPr>
                    </w:pPr>
                    <w:r>
                      <w:rPr>
                        <w:rFonts w:hint="eastAsia"/>
                        <w:szCs w:val="21"/>
                      </w:rPr>
                      <w:t>项目</w:t>
                    </w:r>
                  </w:p>
                </w:tc>
              </w:sdtContent>
            </w:sdt>
            <w:sdt>
              <w:sdtPr>
                <w:tag w:val="_PLD_b850d4f63866495f80e69799c9ea1b37"/>
                <w:id w:val="-1298134849"/>
                <w:lock w:val="sdtLocked"/>
              </w:sdtPr>
              <w:sdtContent>
                <w:tc>
                  <w:tcPr>
                    <w:tcW w:w="1846" w:type="pct"/>
                    <w:gridSpan w:val="2"/>
                    <w:shd w:val="clear" w:color="auto" w:fill="auto"/>
                    <w:vAlign w:val="center"/>
                  </w:tcPr>
                  <w:p w:rsidR="00B637B2" w:rsidRDefault="008F04CF" w:rsidP="00B637B2">
                    <w:pPr>
                      <w:jc w:val="center"/>
                      <w:rPr>
                        <w:szCs w:val="21"/>
                      </w:rPr>
                    </w:pPr>
                    <w:r>
                      <w:rPr>
                        <w:rFonts w:hint="eastAsia"/>
                        <w:szCs w:val="21"/>
                      </w:rPr>
                      <w:t>期末余额</w:t>
                    </w:r>
                  </w:p>
                </w:tc>
              </w:sdtContent>
            </w:sdt>
            <w:sdt>
              <w:sdtPr>
                <w:tag w:val="_PLD_951c3eee882c4aaa862f620814f6ce4e"/>
                <w:id w:val="-837922954"/>
                <w:lock w:val="sdtLocked"/>
              </w:sdtPr>
              <w:sdtContent>
                <w:tc>
                  <w:tcPr>
                    <w:tcW w:w="1842" w:type="pct"/>
                    <w:gridSpan w:val="2"/>
                    <w:shd w:val="clear" w:color="auto" w:fill="auto"/>
                    <w:vAlign w:val="center"/>
                  </w:tcPr>
                  <w:p w:rsidR="00B637B2" w:rsidRDefault="008F04CF" w:rsidP="00B637B2">
                    <w:pPr>
                      <w:jc w:val="center"/>
                      <w:rPr>
                        <w:szCs w:val="21"/>
                      </w:rPr>
                    </w:pPr>
                    <w:r>
                      <w:rPr>
                        <w:rFonts w:hint="eastAsia"/>
                        <w:szCs w:val="21"/>
                      </w:rPr>
                      <w:t>期初余额</w:t>
                    </w:r>
                  </w:p>
                </w:tc>
              </w:sdtContent>
            </w:sdt>
          </w:tr>
          <w:tr w:rsidR="00B637B2" w:rsidTr="00B637B2">
            <w:trPr>
              <w:trHeight w:val="285"/>
            </w:trPr>
            <w:tc>
              <w:tcPr>
                <w:tcW w:w="1312" w:type="pct"/>
                <w:vMerge/>
                <w:shd w:val="clear" w:color="auto" w:fill="auto"/>
                <w:vAlign w:val="center"/>
              </w:tcPr>
              <w:p w:rsidR="00B637B2" w:rsidRDefault="00B637B2" w:rsidP="00B637B2">
                <w:pPr>
                  <w:jc w:val="center"/>
                  <w:rPr>
                    <w:b/>
                    <w:szCs w:val="21"/>
                  </w:rPr>
                </w:pPr>
              </w:p>
            </w:tc>
            <w:sdt>
              <w:sdtPr>
                <w:tag w:val="_PLD_f33e3c528ff14a2bac81ec99970641f6"/>
                <w:id w:val="-1019695815"/>
                <w:lock w:val="sdtLocked"/>
              </w:sdtPr>
              <w:sdtContent>
                <w:tc>
                  <w:tcPr>
                    <w:tcW w:w="926" w:type="pct"/>
                    <w:shd w:val="clear" w:color="auto" w:fill="auto"/>
                    <w:vAlign w:val="center"/>
                  </w:tcPr>
                  <w:p w:rsidR="00B637B2" w:rsidRDefault="008F04CF" w:rsidP="00B637B2">
                    <w:pPr>
                      <w:jc w:val="center"/>
                      <w:rPr>
                        <w:szCs w:val="21"/>
                      </w:rPr>
                    </w:pPr>
                    <w:r>
                      <w:rPr>
                        <w:rFonts w:ascii="Arial" w:hAnsi="Arial" w:hint="eastAsia"/>
                        <w:szCs w:val="21"/>
                      </w:rPr>
                      <w:t>应纳税暂时性差异</w:t>
                    </w:r>
                  </w:p>
                </w:tc>
              </w:sdtContent>
            </w:sdt>
            <w:sdt>
              <w:sdtPr>
                <w:tag w:val="_PLD_0cb734f9904e4a57a5107d601b9b38d1"/>
                <w:id w:val="-706643539"/>
                <w:lock w:val="sdtLocked"/>
              </w:sdtPr>
              <w:sdtContent>
                <w:tc>
                  <w:tcPr>
                    <w:tcW w:w="920" w:type="pct"/>
                    <w:shd w:val="clear" w:color="auto" w:fill="auto"/>
                    <w:vAlign w:val="center"/>
                  </w:tcPr>
                  <w:p w:rsidR="00B637B2" w:rsidRDefault="008F04CF" w:rsidP="00B637B2">
                    <w:pPr>
                      <w:jc w:val="center"/>
                      <w:rPr>
                        <w:szCs w:val="21"/>
                      </w:rPr>
                    </w:pPr>
                    <w:r>
                      <w:rPr>
                        <w:rFonts w:hint="eastAsia"/>
                        <w:szCs w:val="21"/>
                      </w:rPr>
                      <w:t>递延所得税</w:t>
                    </w:r>
                  </w:p>
                  <w:p w:rsidR="00B637B2" w:rsidRDefault="008F04CF" w:rsidP="00B637B2">
                    <w:pPr>
                      <w:jc w:val="center"/>
                      <w:rPr>
                        <w:szCs w:val="21"/>
                      </w:rPr>
                    </w:pPr>
                    <w:r>
                      <w:rPr>
                        <w:rFonts w:hint="eastAsia"/>
                        <w:szCs w:val="21"/>
                      </w:rPr>
                      <w:t>负债</w:t>
                    </w:r>
                  </w:p>
                </w:tc>
              </w:sdtContent>
            </w:sdt>
            <w:sdt>
              <w:sdtPr>
                <w:tag w:val="_PLD_ddf3980c66a840e782386c14bb078052"/>
                <w:id w:val="847453977"/>
                <w:lock w:val="sdtLocked"/>
              </w:sdtPr>
              <w:sdtContent>
                <w:tc>
                  <w:tcPr>
                    <w:tcW w:w="916" w:type="pct"/>
                    <w:shd w:val="clear" w:color="auto" w:fill="auto"/>
                    <w:vAlign w:val="center"/>
                  </w:tcPr>
                  <w:p w:rsidR="00B637B2" w:rsidRDefault="008F04CF" w:rsidP="00B637B2">
                    <w:pPr>
                      <w:jc w:val="center"/>
                      <w:rPr>
                        <w:szCs w:val="21"/>
                      </w:rPr>
                    </w:pPr>
                    <w:r>
                      <w:rPr>
                        <w:rFonts w:ascii="Arial" w:hAnsi="Arial" w:hint="eastAsia"/>
                        <w:szCs w:val="21"/>
                      </w:rPr>
                      <w:t>应纳税暂时性差异</w:t>
                    </w:r>
                  </w:p>
                </w:tc>
              </w:sdtContent>
            </w:sdt>
            <w:sdt>
              <w:sdtPr>
                <w:tag w:val="_PLD_590dc17e8304449fbff47c3b3cd45eb5"/>
                <w:id w:val="1029223306"/>
                <w:lock w:val="sdtLocked"/>
              </w:sdtPr>
              <w:sdtContent>
                <w:tc>
                  <w:tcPr>
                    <w:tcW w:w="926" w:type="pct"/>
                    <w:shd w:val="clear" w:color="auto" w:fill="auto"/>
                    <w:vAlign w:val="center"/>
                  </w:tcPr>
                  <w:p w:rsidR="00B637B2" w:rsidRDefault="008F04CF" w:rsidP="00B637B2">
                    <w:pPr>
                      <w:jc w:val="center"/>
                      <w:rPr>
                        <w:szCs w:val="21"/>
                      </w:rPr>
                    </w:pPr>
                    <w:r>
                      <w:rPr>
                        <w:rFonts w:hint="eastAsia"/>
                        <w:szCs w:val="21"/>
                      </w:rPr>
                      <w:t>递延所得税</w:t>
                    </w:r>
                  </w:p>
                  <w:p w:rsidR="00B637B2" w:rsidRDefault="008F04CF" w:rsidP="00B637B2">
                    <w:pPr>
                      <w:jc w:val="center"/>
                      <w:rPr>
                        <w:szCs w:val="21"/>
                      </w:rPr>
                    </w:pPr>
                    <w:r>
                      <w:rPr>
                        <w:rFonts w:hint="eastAsia"/>
                        <w:szCs w:val="21"/>
                      </w:rPr>
                      <w:t>负债</w:t>
                    </w:r>
                  </w:p>
                </w:tc>
              </w:sdtContent>
            </w:sdt>
          </w:tr>
          <w:tr w:rsidR="00B637B2" w:rsidTr="00B637B2">
            <w:trPr>
              <w:trHeight w:val="285"/>
            </w:trPr>
            <w:sdt>
              <w:sdtPr>
                <w:tag w:val="_PLD_82ac8bb49f704e4d94c96a530da54377"/>
                <w:id w:val="324245500"/>
                <w:lock w:val="sdtLocked"/>
              </w:sdtPr>
              <w:sdtContent>
                <w:tc>
                  <w:tcPr>
                    <w:tcW w:w="1312" w:type="pct"/>
                    <w:shd w:val="clear" w:color="auto" w:fill="auto"/>
                  </w:tcPr>
                  <w:p w:rsidR="00B637B2" w:rsidRPr="00D44034" w:rsidRDefault="00036BDC" w:rsidP="00B637B2">
                    <w:pPr>
                      <w:kinsoku w:val="0"/>
                      <w:overflowPunct w:val="0"/>
                      <w:autoSpaceDE w:val="0"/>
                      <w:autoSpaceDN w:val="0"/>
                      <w:adjustRightInd w:val="0"/>
                      <w:snapToGrid w:val="0"/>
                      <w:ind w:firstLine="210"/>
                      <w:rPr>
                        <w:rFonts w:cs="Arial"/>
                        <w:snapToGrid w:val="0"/>
                      </w:rPr>
                    </w:pPr>
                    <w:r>
                      <w:rPr>
                        <w:rFonts w:cs="Arial" w:hint="eastAsia"/>
                        <w:snapToGrid w:val="0"/>
                      </w:rPr>
                      <w:t>非同一控制</w:t>
                    </w:r>
                    <w:r w:rsidR="008F04CF" w:rsidRPr="00D44034">
                      <w:rPr>
                        <w:rFonts w:cs="Arial" w:hint="eastAsia"/>
                        <w:snapToGrid w:val="0"/>
                      </w:rPr>
                      <w:t>企业合</w:t>
                    </w:r>
                  </w:p>
                  <w:p w:rsidR="00B637B2" w:rsidRPr="00D44034" w:rsidRDefault="008F04CF" w:rsidP="00B637B2">
                    <w:pPr>
                      <w:rPr>
                        <w:szCs w:val="21"/>
                      </w:rPr>
                    </w:pPr>
                    <w:r w:rsidRPr="00D44034">
                      <w:rPr>
                        <w:rFonts w:cs="Arial" w:hint="eastAsia"/>
                        <w:snapToGrid w:val="0"/>
                      </w:rPr>
                      <w:t>并</w:t>
                    </w:r>
                    <w:r>
                      <w:rPr>
                        <w:rFonts w:cs="Arial" w:hint="eastAsia"/>
                        <w:snapToGrid w:val="0"/>
                      </w:rPr>
                      <w:t>资产评估增值</w:t>
                    </w:r>
                  </w:p>
                </w:tc>
              </w:sdtContent>
            </w:sdt>
            <w:tc>
              <w:tcPr>
                <w:tcW w:w="926" w:type="pct"/>
                <w:shd w:val="clear" w:color="auto" w:fill="auto"/>
                <w:vAlign w:val="center"/>
              </w:tcPr>
              <w:p w:rsidR="00B637B2" w:rsidRPr="00D44034" w:rsidRDefault="008F04CF" w:rsidP="00B637B2">
                <w:pPr>
                  <w:jc w:val="right"/>
                </w:pPr>
                <w:r w:rsidRPr="00D44034">
                  <w:t>46,923,258</w:t>
                </w:r>
              </w:p>
            </w:tc>
            <w:tc>
              <w:tcPr>
                <w:tcW w:w="920" w:type="pct"/>
                <w:shd w:val="clear" w:color="auto" w:fill="auto"/>
                <w:vAlign w:val="center"/>
              </w:tcPr>
              <w:p w:rsidR="00B637B2" w:rsidRPr="00D44034" w:rsidRDefault="008F04CF" w:rsidP="00B637B2">
                <w:pPr>
                  <w:jc w:val="right"/>
                  <w:rPr>
                    <w:szCs w:val="21"/>
                  </w:rPr>
                </w:pPr>
                <w:r w:rsidRPr="00D44034">
                  <w:t>7,344,</w:t>
                </w:r>
                <w:r>
                  <w:t>100</w:t>
                </w:r>
              </w:p>
            </w:tc>
            <w:tc>
              <w:tcPr>
                <w:tcW w:w="916" w:type="pct"/>
                <w:shd w:val="clear" w:color="auto" w:fill="auto"/>
                <w:vAlign w:val="center"/>
              </w:tcPr>
              <w:p w:rsidR="00B637B2" w:rsidRPr="00D44034" w:rsidRDefault="008F04CF" w:rsidP="00B637B2">
                <w:pPr>
                  <w:jc w:val="right"/>
                </w:pPr>
                <w:r w:rsidRPr="00D44034">
                  <w:t>58,255,617</w:t>
                </w:r>
              </w:p>
            </w:tc>
            <w:tc>
              <w:tcPr>
                <w:tcW w:w="926" w:type="pct"/>
                <w:shd w:val="clear" w:color="auto" w:fill="auto"/>
                <w:vAlign w:val="center"/>
              </w:tcPr>
              <w:p w:rsidR="00B637B2" w:rsidRPr="00D44034" w:rsidRDefault="008F04CF" w:rsidP="00B637B2">
                <w:pPr>
                  <w:jc w:val="right"/>
                  <w:rPr>
                    <w:szCs w:val="21"/>
                  </w:rPr>
                </w:pPr>
                <w:r w:rsidRPr="00D44034">
                  <w:rPr>
                    <w:rFonts w:cs="Arial"/>
                    <w:color w:val="000000"/>
                  </w:rPr>
                  <w:t>10,885,458</w:t>
                </w:r>
              </w:p>
            </w:tc>
          </w:tr>
          <w:tr w:rsidR="00B637B2" w:rsidTr="00B637B2">
            <w:trPr>
              <w:trHeight w:val="285"/>
            </w:trPr>
            <w:tc>
              <w:tcPr>
                <w:tcW w:w="1312" w:type="pct"/>
                <w:shd w:val="clear" w:color="auto" w:fill="auto"/>
              </w:tcPr>
              <w:sdt>
                <w:sdtPr>
                  <w:rPr>
                    <w:rFonts w:hint="eastAsia"/>
                  </w:rPr>
                  <w:tag w:val="_PLD_c10a6dcf7ba2404bb74bab955cd90441"/>
                  <w:id w:val="-178427932"/>
                  <w:lock w:val="sdtLocked"/>
                </w:sdtPr>
                <w:sdtContent>
                  <w:p w:rsidR="00B637B2" w:rsidRPr="00E20663" w:rsidRDefault="008F04CF" w:rsidP="00B637B2">
                    <w:pPr>
                      <w:kinsoku w:val="0"/>
                      <w:overflowPunct w:val="0"/>
                      <w:autoSpaceDE w:val="0"/>
                      <w:autoSpaceDN w:val="0"/>
                      <w:adjustRightInd w:val="0"/>
                      <w:snapToGrid w:val="0"/>
                      <w:ind w:firstLine="238"/>
                      <w:rPr>
                        <w:rFonts w:cs="Arial"/>
                        <w:snapToGrid w:val="0"/>
                      </w:rPr>
                    </w:pPr>
                    <w:r>
                      <w:rPr>
                        <w:rFonts w:hint="eastAsia"/>
                      </w:rPr>
                      <w:t>其他债权投资</w:t>
                    </w:r>
                    <w:r w:rsidRPr="00D44034">
                      <w:rPr>
                        <w:rFonts w:cs="Arial" w:hint="eastAsia"/>
                        <w:snapToGrid w:val="0"/>
                      </w:rPr>
                      <w:t>公允价值变动</w:t>
                    </w:r>
                  </w:p>
                </w:sdtContent>
              </w:sdt>
            </w:tc>
            <w:tc>
              <w:tcPr>
                <w:tcW w:w="926" w:type="pct"/>
                <w:shd w:val="clear" w:color="auto" w:fill="auto"/>
                <w:vAlign w:val="center"/>
              </w:tcPr>
              <w:p w:rsidR="00B637B2" w:rsidRPr="00D44034" w:rsidRDefault="008F04CF" w:rsidP="00B637B2">
                <w:pPr>
                  <w:jc w:val="right"/>
                </w:pPr>
                <w:r w:rsidRPr="00D44034">
                  <w:t xml:space="preserve"> -</w:t>
                </w:r>
              </w:p>
            </w:tc>
            <w:tc>
              <w:tcPr>
                <w:tcW w:w="920" w:type="pct"/>
                <w:shd w:val="clear" w:color="auto" w:fill="auto"/>
                <w:vAlign w:val="center"/>
              </w:tcPr>
              <w:p w:rsidR="00B637B2" w:rsidRPr="00D44034" w:rsidRDefault="008F04CF" w:rsidP="00B637B2">
                <w:pPr>
                  <w:jc w:val="right"/>
                  <w:rPr>
                    <w:szCs w:val="21"/>
                  </w:rPr>
                </w:pPr>
                <w:r w:rsidRPr="00D44034">
                  <w:t> -</w:t>
                </w:r>
              </w:p>
            </w:tc>
            <w:tc>
              <w:tcPr>
                <w:tcW w:w="916" w:type="pct"/>
                <w:shd w:val="clear" w:color="auto" w:fill="auto"/>
                <w:vAlign w:val="center"/>
              </w:tcPr>
              <w:p w:rsidR="00B637B2" w:rsidRPr="00D44034" w:rsidRDefault="008F04CF" w:rsidP="00B637B2">
                <w:pPr>
                  <w:jc w:val="right"/>
                </w:pPr>
                <w:r>
                  <w:rPr>
                    <w:rFonts w:hint="eastAsia"/>
                  </w:rPr>
                  <w:t>-</w:t>
                </w:r>
                <w:r w:rsidRPr="00D44034">
                  <w:t xml:space="preserve">  </w:t>
                </w:r>
              </w:p>
            </w:tc>
            <w:tc>
              <w:tcPr>
                <w:tcW w:w="926" w:type="pct"/>
                <w:shd w:val="clear" w:color="auto" w:fill="auto"/>
                <w:vAlign w:val="center"/>
              </w:tcPr>
              <w:p w:rsidR="00B637B2" w:rsidRPr="00D44034" w:rsidRDefault="008F04CF" w:rsidP="00B637B2">
                <w:pPr>
                  <w:jc w:val="right"/>
                  <w:rPr>
                    <w:szCs w:val="21"/>
                  </w:rPr>
                </w:pPr>
                <w:r>
                  <w:rPr>
                    <w:rFonts w:hint="eastAsia"/>
                    <w:szCs w:val="21"/>
                  </w:rPr>
                  <w:t>-</w:t>
                </w:r>
              </w:p>
            </w:tc>
          </w:tr>
          <w:sdt>
            <w:sdtPr>
              <w:rPr>
                <w:rFonts w:asciiTheme="minorHAnsi" w:eastAsiaTheme="minorEastAsia" w:hAnsiTheme="minorHAnsi" w:cstheme="minorBidi"/>
                <w:kern w:val="2"/>
                <w:szCs w:val="21"/>
              </w:rPr>
              <w:alias w:val="递延所得税负债明细"/>
              <w:tag w:val="_GBC_b1614c80d1bd478fbd0f56aa84238e04"/>
              <w:id w:val="-2105563249"/>
              <w:lock w:val="sdtLocked"/>
            </w:sdtPr>
            <w:sdtContent>
              <w:tr w:rsidR="00B637B2" w:rsidTr="00B637B2">
                <w:trPr>
                  <w:trHeight w:val="285"/>
                </w:trPr>
                <w:tc>
                  <w:tcPr>
                    <w:tcW w:w="1312" w:type="pct"/>
                    <w:shd w:val="clear" w:color="auto" w:fill="auto"/>
                    <w:vAlign w:val="center"/>
                  </w:tcPr>
                  <w:p w:rsidR="00B637B2" w:rsidRPr="00E06563" w:rsidRDefault="008F04CF" w:rsidP="00B637B2">
                    <w:pPr>
                      <w:kinsoku w:val="0"/>
                      <w:overflowPunct w:val="0"/>
                      <w:autoSpaceDE w:val="0"/>
                      <w:autoSpaceDN w:val="0"/>
                      <w:adjustRightInd w:val="0"/>
                      <w:snapToGrid w:val="0"/>
                      <w:ind w:firstLine="238"/>
                    </w:pPr>
                    <w:r w:rsidRPr="00D44034">
                      <w:rPr>
                        <w:rFonts w:cs="Arial" w:hint="eastAsia"/>
                        <w:snapToGrid w:val="0"/>
                      </w:rPr>
                      <w:t>可供出售金融资产公允价值变动</w:t>
                    </w:r>
                  </w:p>
                </w:tc>
                <w:tc>
                  <w:tcPr>
                    <w:tcW w:w="926" w:type="pct"/>
                    <w:shd w:val="clear" w:color="auto" w:fill="auto"/>
                    <w:vAlign w:val="center"/>
                  </w:tcPr>
                  <w:p w:rsidR="00B637B2" w:rsidRPr="00E06563" w:rsidRDefault="008F04CF" w:rsidP="00B637B2">
                    <w:pPr>
                      <w:jc w:val="right"/>
                    </w:pPr>
                    <w:r>
                      <w:rPr>
                        <w:rFonts w:hint="eastAsia"/>
                      </w:rPr>
                      <w:t>-</w:t>
                    </w:r>
                  </w:p>
                </w:tc>
                <w:tc>
                  <w:tcPr>
                    <w:tcW w:w="920" w:type="pct"/>
                    <w:shd w:val="clear" w:color="auto" w:fill="auto"/>
                    <w:vAlign w:val="center"/>
                  </w:tcPr>
                  <w:p w:rsidR="00B637B2" w:rsidRPr="00D44034" w:rsidRDefault="008F04CF" w:rsidP="00B637B2">
                    <w:pPr>
                      <w:jc w:val="right"/>
                      <w:rPr>
                        <w:szCs w:val="21"/>
                      </w:rPr>
                    </w:pPr>
                    <w:r>
                      <w:rPr>
                        <w:rFonts w:hint="eastAsia"/>
                        <w:szCs w:val="21"/>
                      </w:rPr>
                      <w:t>-</w:t>
                    </w:r>
                  </w:p>
                </w:tc>
                <w:tc>
                  <w:tcPr>
                    <w:tcW w:w="916" w:type="pct"/>
                    <w:shd w:val="clear" w:color="auto" w:fill="auto"/>
                    <w:vAlign w:val="center"/>
                  </w:tcPr>
                  <w:p w:rsidR="00B637B2" w:rsidRPr="00D44034" w:rsidRDefault="008F04CF" w:rsidP="00B637B2">
                    <w:pPr>
                      <w:jc w:val="right"/>
                    </w:pPr>
                    <w:r w:rsidRPr="00D44034">
                      <w:t>54,934,525</w:t>
                    </w:r>
                  </w:p>
                </w:tc>
                <w:tc>
                  <w:tcPr>
                    <w:tcW w:w="926" w:type="pct"/>
                    <w:shd w:val="clear" w:color="auto" w:fill="auto"/>
                    <w:vAlign w:val="center"/>
                  </w:tcPr>
                  <w:p w:rsidR="00B637B2" w:rsidRPr="00D44034" w:rsidRDefault="008F04CF" w:rsidP="00B637B2">
                    <w:pPr>
                      <w:jc w:val="right"/>
                      <w:rPr>
                        <w:szCs w:val="21"/>
                      </w:rPr>
                    </w:pPr>
                    <w:r w:rsidRPr="00D44034">
                      <w:rPr>
                        <w:rFonts w:cs="Arial"/>
                        <w:color w:val="000000"/>
                      </w:rPr>
                      <w:t>6,796,685</w:t>
                    </w:r>
                  </w:p>
                </w:tc>
              </w:tr>
            </w:sdtContent>
          </w:sdt>
          <w:tr w:rsidR="00B637B2" w:rsidTr="00B637B2">
            <w:trPr>
              <w:trHeight w:val="285"/>
            </w:trPr>
            <w:tc>
              <w:tcPr>
                <w:tcW w:w="1312" w:type="pct"/>
                <w:shd w:val="clear" w:color="auto" w:fill="auto"/>
              </w:tcPr>
              <w:sdt>
                <w:sdtPr>
                  <w:rPr>
                    <w:rFonts w:hint="eastAsia"/>
                  </w:rPr>
                  <w:tag w:val="_PLD_c4d1e5f508084b6f99fe550210fa1b02"/>
                  <w:id w:val="2127029816"/>
                  <w:lock w:val="sdtLocked"/>
                </w:sdtPr>
                <w:sdtContent>
                  <w:p w:rsidR="00B637B2" w:rsidRPr="00E20663" w:rsidRDefault="008F04CF" w:rsidP="00B637B2">
                    <w:pPr>
                      <w:kinsoku w:val="0"/>
                      <w:overflowPunct w:val="0"/>
                      <w:autoSpaceDE w:val="0"/>
                      <w:autoSpaceDN w:val="0"/>
                      <w:adjustRightInd w:val="0"/>
                      <w:snapToGrid w:val="0"/>
                      <w:ind w:firstLine="238"/>
                      <w:rPr>
                        <w:rFonts w:cs="Arial"/>
                        <w:snapToGrid w:val="0"/>
                      </w:rPr>
                    </w:pPr>
                    <w:r w:rsidRPr="00D44034">
                      <w:rPr>
                        <w:rFonts w:cs="Arial" w:hint="eastAsia"/>
                        <w:snapToGrid w:val="0"/>
                      </w:rPr>
                      <w:t>其他</w:t>
                    </w:r>
                    <w:r>
                      <w:rPr>
                        <w:rFonts w:cs="Arial" w:hint="eastAsia"/>
                        <w:snapToGrid w:val="0"/>
                      </w:rPr>
                      <w:t>权益工具投资公允价值</w:t>
                    </w:r>
                    <w:r w:rsidRPr="00D44034">
                      <w:rPr>
                        <w:rFonts w:cs="Arial" w:hint="eastAsia"/>
                        <w:snapToGrid w:val="0"/>
                      </w:rPr>
                      <w:t>变动</w:t>
                    </w:r>
                  </w:p>
                </w:sdtContent>
              </w:sdt>
            </w:tc>
            <w:tc>
              <w:tcPr>
                <w:tcW w:w="926" w:type="pct"/>
                <w:shd w:val="clear" w:color="auto" w:fill="auto"/>
                <w:vAlign w:val="center"/>
              </w:tcPr>
              <w:p w:rsidR="00B637B2" w:rsidRPr="00D44034" w:rsidRDefault="008F04CF" w:rsidP="00B637B2">
                <w:pPr>
                  <w:jc w:val="right"/>
                </w:pPr>
                <w:r>
                  <w:rPr>
                    <w:rFonts w:hint="eastAsia"/>
                  </w:rPr>
                  <w:t>-</w:t>
                </w:r>
              </w:p>
            </w:tc>
            <w:tc>
              <w:tcPr>
                <w:tcW w:w="920" w:type="pct"/>
                <w:shd w:val="clear" w:color="auto" w:fill="auto"/>
                <w:vAlign w:val="center"/>
              </w:tcPr>
              <w:p w:rsidR="00B637B2" w:rsidRPr="00D44034" w:rsidRDefault="008F04CF" w:rsidP="00B637B2">
                <w:pPr>
                  <w:jc w:val="right"/>
                  <w:rPr>
                    <w:szCs w:val="21"/>
                  </w:rPr>
                </w:pPr>
                <w:r>
                  <w:rPr>
                    <w:rFonts w:hint="eastAsia"/>
                    <w:szCs w:val="21"/>
                  </w:rPr>
                  <w:t>-</w:t>
                </w:r>
              </w:p>
            </w:tc>
            <w:tc>
              <w:tcPr>
                <w:tcW w:w="916" w:type="pct"/>
                <w:shd w:val="clear" w:color="auto" w:fill="auto"/>
                <w:vAlign w:val="center"/>
              </w:tcPr>
              <w:p w:rsidR="00B637B2" w:rsidRPr="00D44034" w:rsidRDefault="008F04CF" w:rsidP="00B637B2">
                <w:pPr>
                  <w:jc w:val="right"/>
                </w:pPr>
                <w:r w:rsidRPr="00D44034">
                  <w:t>-</w:t>
                </w:r>
              </w:p>
            </w:tc>
            <w:tc>
              <w:tcPr>
                <w:tcW w:w="926" w:type="pct"/>
                <w:shd w:val="clear" w:color="auto" w:fill="auto"/>
                <w:vAlign w:val="center"/>
              </w:tcPr>
              <w:p w:rsidR="00B637B2" w:rsidRPr="00D44034" w:rsidRDefault="008F04CF" w:rsidP="00B637B2">
                <w:pPr>
                  <w:jc w:val="right"/>
                  <w:rPr>
                    <w:szCs w:val="21"/>
                  </w:rPr>
                </w:pPr>
                <w:r>
                  <w:rPr>
                    <w:rFonts w:hint="eastAsia"/>
                    <w:szCs w:val="21"/>
                  </w:rPr>
                  <w:t>-</w:t>
                </w:r>
              </w:p>
            </w:tc>
          </w:tr>
          <w:sdt>
            <w:sdtPr>
              <w:rPr>
                <w:rFonts w:asciiTheme="minorHAnsi" w:eastAsiaTheme="minorEastAsia" w:hAnsiTheme="minorHAnsi" w:cstheme="minorBidi"/>
                <w:kern w:val="2"/>
                <w:szCs w:val="21"/>
              </w:rPr>
              <w:alias w:val="递延所得税负债明细"/>
              <w:tag w:val="_GBC_b1614c80d1bd478fbd0f56aa84238e04"/>
              <w:id w:val="1607230402"/>
              <w:lock w:val="sdtLocked"/>
            </w:sdtPr>
            <w:sdtContent>
              <w:tr w:rsidR="00B637B2" w:rsidTr="00B637B2">
                <w:trPr>
                  <w:trHeight w:val="285"/>
                </w:trPr>
                <w:tc>
                  <w:tcPr>
                    <w:tcW w:w="1312" w:type="pct"/>
                    <w:shd w:val="clear" w:color="auto" w:fill="auto"/>
                    <w:vAlign w:val="center"/>
                  </w:tcPr>
                  <w:p w:rsidR="00B637B2" w:rsidRPr="000862EF" w:rsidRDefault="008F04CF" w:rsidP="00B637B2">
                    <w:pPr>
                      <w:kinsoku w:val="0"/>
                      <w:overflowPunct w:val="0"/>
                      <w:autoSpaceDE w:val="0"/>
                      <w:autoSpaceDN w:val="0"/>
                      <w:adjustRightInd w:val="0"/>
                      <w:snapToGrid w:val="0"/>
                      <w:ind w:firstLine="238"/>
                    </w:pPr>
                    <w:r w:rsidRPr="00D44034">
                      <w:rPr>
                        <w:rFonts w:cs="Arial" w:hint="eastAsia"/>
                        <w:snapToGrid w:val="0"/>
                      </w:rPr>
                      <w:t>其他非流动金融资产公允价值变动</w:t>
                    </w:r>
                  </w:p>
                </w:tc>
                <w:tc>
                  <w:tcPr>
                    <w:tcW w:w="926" w:type="pct"/>
                    <w:shd w:val="clear" w:color="auto" w:fill="auto"/>
                    <w:vAlign w:val="center"/>
                  </w:tcPr>
                  <w:p w:rsidR="00B637B2" w:rsidRPr="00D44034" w:rsidRDefault="008F04CF" w:rsidP="00B637B2">
                    <w:pPr>
                      <w:jc w:val="right"/>
                    </w:pPr>
                    <w:r w:rsidRPr="00D44034">
                      <w:t>254,054,257</w:t>
                    </w:r>
                  </w:p>
                </w:tc>
                <w:tc>
                  <w:tcPr>
                    <w:tcW w:w="920" w:type="pct"/>
                    <w:shd w:val="clear" w:color="auto" w:fill="auto"/>
                    <w:vAlign w:val="center"/>
                  </w:tcPr>
                  <w:p w:rsidR="00B637B2" w:rsidRPr="00D44034" w:rsidRDefault="008F04CF" w:rsidP="00B637B2">
                    <w:pPr>
                      <w:jc w:val="right"/>
                      <w:rPr>
                        <w:szCs w:val="21"/>
                      </w:rPr>
                    </w:pPr>
                    <w:r w:rsidRPr="00D44034">
                      <w:t>27,826,828</w:t>
                    </w:r>
                  </w:p>
                </w:tc>
                <w:tc>
                  <w:tcPr>
                    <w:tcW w:w="916" w:type="pct"/>
                    <w:shd w:val="clear" w:color="auto" w:fill="auto"/>
                    <w:vAlign w:val="center"/>
                  </w:tcPr>
                  <w:p w:rsidR="00B637B2" w:rsidRPr="00D44034" w:rsidRDefault="008F04CF" w:rsidP="00B637B2">
                    <w:pPr>
                      <w:jc w:val="right"/>
                    </w:pPr>
                    <w:r>
                      <w:rPr>
                        <w:rFonts w:hint="eastAsia"/>
                      </w:rPr>
                      <w:t>-</w:t>
                    </w:r>
                  </w:p>
                </w:tc>
                <w:tc>
                  <w:tcPr>
                    <w:tcW w:w="926" w:type="pct"/>
                    <w:shd w:val="clear" w:color="auto" w:fill="auto"/>
                    <w:vAlign w:val="center"/>
                  </w:tcPr>
                  <w:p w:rsidR="00B637B2" w:rsidRPr="00D44034" w:rsidRDefault="008F04CF" w:rsidP="00B637B2">
                    <w:pPr>
                      <w:jc w:val="right"/>
                      <w:rPr>
                        <w:szCs w:val="21"/>
                      </w:rPr>
                    </w:pPr>
                    <w:r>
                      <w:rPr>
                        <w:rFonts w:hint="eastAsia"/>
                        <w:szCs w:val="21"/>
                      </w:rPr>
                      <w:t>-</w:t>
                    </w:r>
                  </w:p>
                </w:tc>
              </w:tr>
            </w:sdtContent>
          </w:sdt>
          <w:sdt>
            <w:sdtPr>
              <w:rPr>
                <w:rFonts w:asciiTheme="minorHAnsi" w:eastAsiaTheme="minorEastAsia" w:hAnsiTheme="minorHAnsi" w:cstheme="minorBidi"/>
                <w:kern w:val="2"/>
                <w:szCs w:val="21"/>
              </w:rPr>
              <w:alias w:val="递延所得税负债明细"/>
              <w:tag w:val="_GBC_b1614c80d1bd478fbd0f56aa84238e04"/>
              <w:id w:val="1561126924"/>
              <w:lock w:val="sdtLocked"/>
            </w:sdtPr>
            <w:sdtContent>
              <w:tr w:rsidR="00B637B2" w:rsidTr="00B637B2">
                <w:trPr>
                  <w:trHeight w:val="285"/>
                </w:trPr>
                <w:tc>
                  <w:tcPr>
                    <w:tcW w:w="1312" w:type="pct"/>
                    <w:shd w:val="clear" w:color="auto" w:fill="auto"/>
                    <w:vAlign w:val="center"/>
                  </w:tcPr>
                  <w:p w:rsidR="00B637B2" w:rsidRPr="00E20663" w:rsidRDefault="008F04CF" w:rsidP="00B637B2">
                    <w:pPr>
                      <w:kinsoku w:val="0"/>
                      <w:overflowPunct w:val="0"/>
                      <w:autoSpaceDE w:val="0"/>
                      <w:autoSpaceDN w:val="0"/>
                      <w:adjustRightInd w:val="0"/>
                      <w:snapToGrid w:val="0"/>
                      <w:ind w:firstLine="238"/>
                      <w:rPr>
                        <w:rFonts w:cs="Arial"/>
                        <w:snapToGrid w:val="0"/>
                      </w:rPr>
                    </w:pPr>
                    <w:r w:rsidRPr="00D44034">
                      <w:rPr>
                        <w:rFonts w:cs="Arial" w:hint="eastAsia"/>
                        <w:snapToGrid w:val="0"/>
                      </w:rPr>
                      <w:t>交易性金融资产公允价值变动</w:t>
                    </w:r>
                  </w:p>
                </w:tc>
                <w:tc>
                  <w:tcPr>
                    <w:tcW w:w="926" w:type="pct"/>
                    <w:shd w:val="clear" w:color="auto" w:fill="auto"/>
                    <w:vAlign w:val="center"/>
                  </w:tcPr>
                  <w:p w:rsidR="00B637B2" w:rsidRPr="00D44034" w:rsidRDefault="008F04CF" w:rsidP="00B637B2">
                    <w:pPr>
                      <w:jc w:val="right"/>
                    </w:pPr>
                    <w:r w:rsidRPr="00D44034">
                      <w:t>18,628,106</w:t>
                    </w:r>
                  </w:p>
                </w:tc>
                <w:tc>
                  <w:tcPr>
                    <w:tcW w:w="920" w:type="pct"/>
                    <w:shd w:val="clear" w:color="auto" w:fill="auto"/>
                    <w:vAlign w:val="center"/>
                  </w:tcPr>
                  <w:p w:rsidR="00B637B2" w:rsidRPr="00D44034" w:rsidRDefault="008F04CF" w:rsidP="00B637B2">
                    <w:pPr>
                      <w:jc w:val="right"/>
                      <w:rPr>
                        <w:szCs w:val="21"/>
                      </w:rPr>
                    </w:pPr>
                    <w:r w:rsidRPr="00D44034">
                      <w:t>2,195,121</w:t>
                    </w:r>
                  </w:p>
                </w:tc>
                <w:tc>
                  <w:tcPr>
                    <w:tcW w:w="916" w:type="pct"/>
                    <w:shd w:val="clear" w:color="auto" w:fill="auto"/>
                    <w:vAlign w:val="center"/>
                  </w:tcPr>
                  <w:p w:rsidR="00B637B2" w:rsidRPr="00D44034" w:rsidRDefault="008F04CF" w:rsidP="00B637B2">
                    <w:pPr>
                      <w:jc w:val="right"/>
                    </w:pPr>
                    <w:r>
                      <w:t xml:space="preserve">            </w:t>
                    </w:r>
                    <w:r w:rsidRPr="00D44034">
                      <w:t>-</w:t>
                    </w:r>
                  </w:p>
                </w:tc>
                <w:tc>
                  <w:tcPr>
                    <w:tcW w:w="926" w:type="pct"/>
                    <w:shd w:val="clear" w:color="auto" w:fill="auto"/>
                    <w:vAlign w:val="center"/>
                  </w:tcPr>
                  <w:p w:rsidR="00B637B2" w:rsidRPr="00D44034" w:rsidRDefault="00B637B2" w:rsidP="00B637B2">
                    <w:pPr>
                      <w:jc w:val="right"/>
                      <w:rPr>
                        <w:szCs w:val="21"/>
                      </w:rPr>
                    </w:pPr>
                  </w:p>
                </w:tc>
              </w:tr>
            </w:sdtContent>
          </w:sdt>
          <w:sdt>
            <w:sdtPr>
              <w:rPr>
                <w:rFonts w:asciiTheme="minorHAnsi" w:eastAsiaTheme="minorEastAsia" w:hAnsiTheme="minorHAnsi" w:cstheme="minorBidi"/>
                <w:kern w:val="2"/>
                <w:szCs w:val="21"/>
              </w:rPr>
              <w:alias w:val="递延所得税负债明细"/>
              <w:tag w:val="_GBC_b1614c80d1bd478fbd0f56aa84238e04"/>
              <w:id w:val="2073609845"/>
              <w:lock w:val="sdtLocked"/>
            </w:sdtPr>
            <w:sdtContent>
              <w:tr w:rsidR="00B637B2" w:rsidTr="00B637B2">
                <w:trPr>
                  <w:trHeight w:val="285"/>
                </w:trPr>
                <w:tc>
                  <w:tcPr>
                    <w:tcW w:w="1312" w:type="pct"/>
                    <w:shd w:val="clear" w:color="auto" w:fill="auto"/>
                    <w:vAlign w:val="center"/>
                  </w:tcPr>
                  <w:p w:rsidR="00B637B2" w:rsidRPr="00D44034" w:rsidRDefault="00B637B2" w:rsidP="00B637B2">
                    <w:pPr>
                      <w:rPr>
                        <w:szCs w:val="21"/>
                      </w:rPr>
                    </w:pPr>
                  </w:p>
                </w:tc>
                <w:tc>
                  <w:tcPr>
                    <w:tcW w:w="926" w:type="pct"/>
                    <w:shd w:val="clear" w:color="auto" w:fill="auto"/>
                    <w:vAlign w:val="center"/>
                  </w:tcPr>
                  <w:p w:rsidR="00B637B2" w:rsidRPr="00D44034" w:rsidRDefault="00B637B2" w:rsidP="00B637B2">
                    <w:pPr>
                      <w:jc w:val="right"/>
                      <w:rPr>
                        <w:szCs w:val="21"/>
                      </w:rPr>
                    </w:pPr>
                  </w:p>
                </w:tc>
                <w:tc>
                  <w:tcPr>
                    <w:tcW w:w="920" w:type="pct"/>
                    <w:shd w:val="clear" w:color="auto" w:fill="auto"/>
                    <w:vAlign w:val="center"/>
                  </w:tcPr>
                  <w:p w:rsidR="00B637B2" w:rsidRPr="00D44034" w:rsidRDefault="00B637B2" w:rsidP="00B637B2">
                    <w:pPr>
                      <w:jc w:val="right"/>
                      <w:rPr>
                        <w:szCs w:val="21"/>
                      </w:rPr>
                    </w:pPr>
                  </w:p>
                </w:tc>
                <w:tc>
                  <w:tcPr>
                    <w:tcW w:w="916" w:type="pct"/>
                    <w:shd w:val="clear" w:color="auto" w:fill="auto"/>
                    <w:vAlign w:val="center"/>
                  </w:tcPr>
                  <w:p w:rsidR="00B637B2" w:rsidRPr="00D44034" w:rsidRDefault="00B637B2" w:rsidP="00B637B2">
                    <w:pPr>
                      <w:jc w:val="right"/>
                      <w:rPr>
                        <w:szCs w:val="21"/>
                      </w:rPr>
                    </w:pPr>
                  </w:p>
                </w:tc>
                <w:tc>
                  <w:tcPr>
                    <w:tcW w:w="926" w:type="pct"/>
                    <w:shd w:val="clear" w:color="auto" w:fill="auto"/>
                    <w:vAlign w:val="center"/>
                  </w:tcPr>
                  <w:p w:rsidR="00B637B2" w:rsidRPr="00D44034" w:rsidRDefault="00B637B2" w:rsidP="00B637B2">
                    <w:pPr>
                      <w:jc w:val="right"/>
                      <w:rPr>
                        <w:szCs w:val="21"/>
                      </w:rPr>
                    </w:pPr>
                  </w:p>
                </w:tc>
              </w:tr>
            </w:sdtContent>
          </w:sdt>
          <w:tr w:rsidR="00B637B2" w:rsidRPr="00714121" w:rsidTr="00B637B2">
            <w:trPr>
              <w:trHeight w:val="285"/>
            </w:trPr>
            <w:sdt>
              <w:sdtPr>
                <w:tag w:val="_PLD_382351978b994852b2d36dbea92fd0cc"/>
                <w:id w:val="-607190378"/>
                <w:lock w:val="sdtLocked"/>
              </w:sdtPr>
              <w:sdtContent>
                <w:tc>
                  <w:tcPr>
                    <w:tcW w:w="1312" w:type="pct"/>
                    <w:shd w:val="clear" w:color="auto" w:fill="auto"/>
                    <w:vAlign w:val="center"/>
                  </w:tcPr>
                  <w:p w:rsidR="00B637B2" w:rsidRPr="00D44034" w:rsidRDefault="008F04CF" w:rsidP="00B637B2">
                    <w:pPr>
                      <w:jc w:val="center"/>
                      <w:rPr>
                        <w:szCs w:val="21"/>
                      </w:rPr>
                    </w:pPr>
                    <w:r w:rsidRPr="00D44034">
                      <w:rPr>
                        <w:rFonts w:hint="eastAsia"/>
                        <w:szCs w:val="21"/>
                      </w:rPr>
                      <w:t>合计</w:t>
                    </w:r>
                  </w:p>
                </w:tc>
              </w:sdtContent>
            </w:sdt>
            <w:tc>
              <w:tcPr>
                <w:tcW w:w="926" w:type="pct"/>
                <w:shd w:val="clear" w:color="auto" w:fill="auto"/>
                <w:vAlign w:val="center"/>
              </w:tcPr>
              <w:p w:rsidR="00B637B2" w:rsidRPr="00D44034" w:rsidRDefault="008F04CF" w:rsidP="00B637B2">
                <w:pPr>
                  <w:jc w:val="right"/>
                </w:pPr>
                <w:r w:rsidRPr="00D44034">
                  <w:rPr>
                    <w:rFonts w:cs="Arial"/>
                    <w:color w:val="000000"/>
                  </w:rPr>
                  <w:t>319,605,621</w:t>
                </w:r>
              </w:p>
            </w:tc>
            <w:tc>
              <w:tcPr>
                <w:tcW w:w="920" w:type="pct"/>
                <w:shd w:val="clear" w:color="auto" w:fill="auto"/>
                <w:vAlign w:val="center"/>
              </w:tcPr>
              <w:p w:rsidR="00B637B2" w:rsidRPr="00D44034" w:rsidRDefault="008F04CF" w:rsidP="00B637B2">
                <w:pPr>
                  <w:jc w:val="right"/>
                </w:pPr>
                <w:r w:rsidRPr="00D44034">
                  <w:t>37,366,049</w:t>
                </w:r>
              </w:p>
            </w:tc>
            <w:tc>
              <w:tcPr>
                <w:tcW w:w="916" w:type="pct"/>
                <w:shd w:val="clear" w:color="auto" w:fill="auto"/>
                <w:vAlign w:val="center"/>
              </w:tcPr>
              <w:p w:rsidR="00B637B2" w:rsidRPr="00D44034" w:rsidRDefault="008F04CF" w:rsidP="00B637B2">
                <w:pPr>
                  <w:jc w:val="right"/>
                </w:pPr>
                <w:r w:rsidRPr="00D44034">
                  <w:rPr>
                    <w:rFonts w:cs="Arial"/>
                    <w:color w:val="000000"/>
                  </w:rPr>
                  <w:t>113,190,142</w:t>
                </w:r>
              </w:p>
            </w:tc>
            <w:tc>
              <w:tcPr>
                <w:tcW w:w="926" w:type="pct"/>
                <w:shd w:val="clear" w:color="auto" w:fill="auto"/>
                <w:vAlign w:val="center"/>
              </w:tcPr>
              <w:p w:rsidR="00B637B2" w:rsidRPr="00D44034" w:rsidRDefault="008F04CF" w:rsidP="00B637B2">
                <w:pPr>
                  <w:jc w:val="right"/>
                </w:pPr>
                <w:r w:rsidRPr="00D44034">
                  <w:t>17,682,143</w:t>
                </w:r>
              </w:p>
            </w:tc>
          </w:tr>
        </w:tbl>
        <w:p w:rsidR="00B637B2" w:rsidRDefault="00B637B2"/>
        <w:p w:rsidR="00ED2DC7" w:rsidRPr="00714121" w:rsidRDefault="000D0A99" w:rsidP="00714121"/>
      </w:sdtContent>
    </w:sdt>
    <w:bookmarkEnd w:id="163"/>
    <w:p w:rsidR="00ED2DC7" w:rsidRDefault="00ED2DC7"/>
    <w:bookmarkStart w:id="164" w:name="_Hlk11160645" w:displacedByCustomXml="next"/>
    <w:sdt>
      <w:sdtPr>
        <w:rPr>
          <w:rFonts w:ascii="宋体" w:hAnsi="宋体" w:cs="宋体" w:hint="eastAsia"/>
          <w:b w:val="0"/>
          <w:bCs w:val="0"/>
          <w:kern w:val="0"/>
          <w:szCs w:val="24"/>
        </w:rPr>
        <w:alias w:val="模块:以抵销后净额列示的递延所得税资产或负债"/>
        <w:tag w:val="_SEC_393d53219fe44274aa0bc5257c75c762"/>
        <w:id w:val="934246193"/>
        <w:lock w:val="sdtLocked"/>
        <w:placeholder>
          <w:docPart w:val="GBC22222222222222222222222222222"/>
        </w:placeholder>
      </w:sdtPr>
      <w:sdtEndPr>
        <w:rPr>
          <w:rFonts w:hint="default"/>
          <w:szCs w:val="21"/>
        </w:rPr>
      </w:sdtEndPr>
      <w:sdtContent>
        <w:p w:rsidR="00ED2DC7" w:rsidRDefault="00ED2DC7" w:rsidP="00036BDC">
          <w:pPr>
            <w:pStyle w:val="affffffffffffffffff2"/>
            <w:numPr>
              <w:ilvl w:val="0"/>
              <w:numId w:val="67"/>
            </w:numPr>
            <w:tabs>
              <w:tab w:val="left" w:pos="588"/>
              <w:tab w:val="left" w:pos="616"/>
            </w:tabs>
          </w:pPr>
          <w:r>
            <w:rPr>
              <w:rFonts w:hint="eastAsia"/>
            </w:rPr>
            <w:t>以抵销后净额列示的递延所得税资产或负债</w:t>
          </w:r>
        </w:p>
        <w:p w:rsidR="00ED2DC7" w:rsidRDefault="000D0A99" w:rsidP="004A56C5">
          <w:pPr>
            <w:rPr>
              <w:szCs w:val="21"/>
            </w:rPr>
          </w:pPr>
          <w:sdt>
            <w:sdtPr>
              <w:alias w:val="是否适用：以抵销后净额列示的递延所得税资产或负债[双击切换]"/>
              <w:tag w:val="_GBC_d6419a9d2dc94127a5f6aea72cb2a94d"/>
              <w:id w:val="-1279792441"/>
              <w:lock w:val="sdtContentLocked"/>
              <w:placeholder>
                <w:docPart w:val="GBC22222222222222222222222222222"/>
              </w:placeholder>
            </w:sdtPr>
            <w:sdtContent>
              <w:r w:rsidR="00ED2DC7">
                <w:fldChar w:fldCharType="begin"/>
              </w:r>
              <w:r w:rsidR="004A56C5">
                <w:instrText xml:space="preserve"> MACROBUTTON  SnrToggleCheckbox □适用 </w:instrText>
              </w:r>
              <w:r w:rsidR="00ED2DC7">
                <w:fldChar w:fldCharType="end"/>
              </w:r>
              <w:r w:rsidR="00ED2DC7">
                <w:fldChar w:fldCharType="begin"/>
              </w:r>
              <w:r w:rsidR="004A56C5">
                <w:instrText xml:space="preserve"> MACROBUTTON  SnrToggleCheckbox √不适用 </w:instrText>
              </w:r>
              <w:r w:rsidR="00ED2DC7">
                <w:fldChar w:fldCharType="end"/>
              </w:r>
            </w:sdtContent>
          </w:sdt>
        </w:p>
        <w:bookmarkEnd w:id="164" w:displacedByCustomXml="next"/>
      </w:sdtContent>
    </w:sdt>
    <w:bookmarkStart w:id="165" w:name="_Hlk11160660" w:displacedByCustomXml="next"/>
    <w:sdt>
      <w:sdtPr>
        <w:rPr>
          <w:rFonts w:ascii="宋体" w:hAnsi="宋体" w:cs="宋体" w:hint="eastAsia"/>
          <w:b w:val="0"/>
          <w:bCs w:val="0"/>
          <w:kern w:val="0"/>
          <w:szCs w:val="21"/>
        </w:rPr>
        <w:alias w:val="模块:未确认递延所得税资产明细"/>
        <w:tag w:val="_SEC_858c4743950048c4949e354ac068e8af"/>
        <w:id w:val="638386431"/>
        <w:lock w:val="sdtLocked"/>
        <w:placeholder>
          <w:docPart w:val="GBC22222222222222222222222222222"/>
        </w:placeholder>
      </w:sdtPr>
      <w:sdtEndPr>
        <w:rPr>
          <w:szCs w:val="24"/>
        </w:rPr>
      </w:sdtEndPr>
      <w:sdtContent>
        <w:p w:rsidR="00ED2DC7" w:rsidRDefault="00ED2DC7" w:rsidP="00036BDC">
          <w:pPr>
            <w:pStyle w:val="affffffffffffffffff2"/>
            <w:numPr>
              <w:ilvl w:val="0"/>
              <w:numId w:val="67"/>
            </w:numPr>
            <w:tabs>
              <w:tab w:val="left" w:pos="588"/>
              <w:tab w:val="left" w:pos="616"/>
            </w:tabs>
            <w:rPr>
              <w:rFonts w:ascii="宋体" w:hAnsi="宋体"/>
              <w:szCs w:val="21"/>
            </w:rPr>
          </w:pPr>
          <w:r>
            <w:rPr>
              <w:rFonts w:ascii="宋体" w:hAnsi="宋体" w:hint="eastAsia"/>
              <w:szCs w:val="21"/>
            </w:rPr>
            <w:t>未确认递延</w:t>
          </w:r>
          <w:r>
            <w:rPr>
              <w:rFonts w:hint="eastAsia"/>
            </w:rPr>
            <w:t>所得税</w:t>
          </w:r>
          <w:r>
            <w:rPr>
              <w:rFonts w:ascii="宋体" w:hAnsi="宋体" w:hint="eastAsia"/>
              <w:szCs w:val="21"/>
            </w:rPr>
            <w:t>资产明细</w:t>
          </w:r>
        </w:p>
        <w:sdt>
          <w:sdtPr>
            <w:alias w:val="是否适用：未确认递延所得税资产明细[双击切换]"/>
            <w:tag w:val="_GBC_f210878b05204277b5f70ed9ae786ea7"/>
            <w:id w:val="-458483461"/>
            <w:lock w:val="sdtContentLocked"/>
            <w:placeholder>
              <w:docPart w:val="GBC22222222222222222222222222222"/>
            </w:placeholder>
          </w:sdtPr>
          <w:sdtContent>
            <w:p w:rsidR="00ED2DC7" w:rsidRDefault="00ED2DC7">
              <w:r>
                <w:fldChar w:fldCharType="begin"/>
              </w:r>
              <w:r w:rsidR="004A56C5">
                <w:instrText xml:space="preserve"> MACROBUTTON  SnrToggleCheckbox √适用 </w:instrText>
              </w:r>
              <w:r>
                <w:fldChar w:fldCharType="end"/>
              </w:r>
              <w:r>
                <w:fldChar w:fldCharType="begin"/>
              </w:r>
              <w:r w:rsidR="004A56C5">
                <w:instrText xml:space="preserve"> MACROBUTTON  SnrToggleCheckbox □不适用 </w:instrText>
              </w:r>
              <w:r>
                <w:fldChar w:fldCharType="end"/>
              </w:r>
            </w:p>
          </w:sdtContent>
        </w:sdt>
        <w:p w:rsidR="00B637B2" w:rsidRDefault="00ED2DC7">
          <w:pPr>
            <w:jc w:val="right"/>
            <w:rPr>
              <w:szCs w:val="21"/>
            </w:rPr>
          </w:pPr>
          <w:r>
            <w:rPr>
              <w:rFonts w:hint="eastAsia"/>
              <w:szCs w:val="21"/>
            </w:rPr>
            <w:t>单位：</w:t>
          </w:r>
          <w:sdt>
            <w:sdtPr>
              <w:rPr>
                <w:rFonts w:hint="eastAsia"/>
                <w:szCs w:val="21"/>
              </w:rPr>
              <w:alias w:val="单位：财务附注：未确认递延所得税资产明细"/>
              <w:tag w:val="_GBC_ce13c0c07be34b60aa76bbbf1260928d"/>
              <w:id w:val="-188224120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hint="eastAsia"/>
                  <w:szCs w:val="21"/>
                </w:rPr>
                <w:t>元</w:t>
              </w:r>
            </w:sdtContent>
          </w:sdt>
          <w:r>
            <w:rPr>
              <w:rFonts w:hint="eastAsia"/>
              <w:szCs w:val="21"/>
            </w:rPr>
            <w:t xml:space="preserve">  币种：</w:t>
          </w:r>
          <w:sdt>
            <w:sdtPr>
              <w:rPr>
                <w:rFonts w:hint="eastAsia"/>
                <w:szCs w:val="21"/>
              </w:rPr>
              <w:alias w:val="币种：财务附注：未确认递延所得税资产明细"/>
              <w:tag w:val="_GBC_8f1c08c0092d44718e258d0b64b7bf6f"/>
              <w:id w:val="162441672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szCs w:val="21"/>
                </w:rPr>
                <w:t>人民币</w:t>
              </w:r>
            </w:sdtContent>
          </w:sdt>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6"/>
            <w:gridCol w:w="3005"/>
            <w:gridCol w:w="3002"/>
          </w:tblGrid>
          <w:tr w:rsidR="00B637B2" w:rsidTr="00B637B2">
            <w:trPr>
              <w:trHeight w:val="285"/>
            </w:trPr>
            <w:sdt>
              <w:sdtPr>
                <w:tag w:val="_PLD_bfd226eac09b4e2fb1cc66684c879c9b"/>
                <w:id w:val="-1994941971"/>
                <w:lock w:val="sdtLocked"/>
              </w:sdtPr>
              <w:sdtContent>
                <w:tc>
                  <w:tcPr>
                    <w:tcW w:w="1596" w:type="pct"/>
                    <w:tcBorders>
                      <w:top w:val="single" w:sz="4" w:space="0" w:color="auto"/>
                      <w:left w:val="single" w:sz="4" w:space="0" w:color="auto"/>
                      <w:bottom w:val="single" w:sz="4" w:space="0" w:color="auto"/>
                      <w:right w:val="single" w:sz="4" w:space="0" w:color="auto"/>
                    </w:tcBorders>
                    <w:vAlign w:val="center"/>
                  </w:tcPr>
                  <w:p w:rsidR="00B637B2" w:rsidRDefault="008F04CF" w:rsidP="00B637B2">
                    <w:pPr>
                      <w:jc w:val="center"/>
                      <w:rPr>
                        <w:szCs w:val="21"/>
                      </w:rPr>
                    </w:pPr>
                    <w:r>
                      <w:rPr>
                        <w:rFonts w:hint="eastAsia"/>
                        <w:szCs w:val="21"/>
                      </w:rPr>
                      <w:t>项目</w:t>
                    </w:r>
                  </w:p>
                </w:tc>
              </w:sdtContent>
            </w:sdt>
            <w:sdt>
              <w:sdtPr>
                <w:tag w:val="_PLD_bba7988c74a34dcf950349beb6df1c0b"/>
                <w:id w:val="-2145493747"/>
                <w:lock w:val="sdtLocked"/>
              </w:sdtPr>
              <w:sdtContent>
                <w:tc>
                  <w:tcPr>
                    <w:tcW w:w="1703" w:type="pct"/>
                    <w:tcBorders>
                      <w:top w:val="single" w:sz="4" w:space="0" w:color="auto"/>
                      <w:left w:val="single" w:sz="4" w:space="0" w:color="auto"/>
                      <w:bottom w:val="single" w:sz="4" w:space="0" w:color="auto"/>
                      <w:right w:val="single" w:sz="4" w:space="0" w:color="auto"/>
                    </w:tcBorders>
                    <w:vAlign w:val="center"/>
                  </w:tcPr>
                  <w:p w:rsidR="00B637B2" w:rsidRDefault="008F04CF" w:rsidP="00B637B2">
                    <w:pPr>
                      <w:jc w:val="center"/>
                      <w:rPr>
                        <w:szCs w:val="21"/>
                      </w:rPr>
                    </w:pPr>
                    <w:r>
                      <w:rPr>
                        <w:rFonts w:hint="eastAsia"/>
                        <w:szCs w:val="21"/>
                      </w:rPr>
                      <w:t>期末余额</w:t>
                    </w:r>
                  </w:p>
                </w:tc>
              </w:sdtContent>
            </w:sdt>
            <w:sdt>
              <w:sdtPr>
                <w:tag w:val="_PLD_36004da9855d4469bf16ab328077f444"/>
                <w:id w:val="267046138"/>
                <w:lock w:val="sdtLocked"/>
              </w:sdtPr>
              <w:sdtContent>
                <w:tc>
                  <w:tcPr>
                    <w:tcW w:w="1701" w:type="pct"/>
                    <w:tcBorders>
                      <w:top w:val="single" w:sz="4" w:space="0" w:color="auto"/>
                      <w:left w:val="single" w:sz="4" w:space="0" w:color="auto"/>
                      <w:bottom w:val="single" w:sz="4" w:space="0" w:color="auto"/>
                      <w:right w:val="single" w:sz="4" w:space="0" w:color="auto"/>
                    </w:tcBorders>
                    <w:vAlign w:val="center"/>
                  </w:tcPr>
                  <w:p w:rsidR="00B637B2" w:rsidRDefault="008F04CF" w:rsidP="00B637B2">
                    <w:pPr>
                      <w:jc w:val="center"/>
                      <w:rPr>
                        <w:szCs w:val="21"/>
                      </w:rPr>
                    </w:pPr>
                    <w:r>
                      <w:rPr>
                        <w:rFonts w:hint="eastAsia"/>
                        <w:szCs w:val="21"/>
                      </w:rPr>
                      <w:t>期初余额</w:t>
                    </w:r>
                  </w:p>
                </w:tc>
              </w:sdtContent>
            </w:sdt>
          </w:tr>
          <w:tr w:rsidR="00B637B2" w:rsidTr="00B637B2">
            <w:trPr>
              <w:trHeight w:val="285"/>
            </w:trPr>
            <w:sdt>
              <w:sdtPr>
                <w:tag w:val="_PLD_381c26214cb146ecba0c66da7cccbb9b"/>
                <w:id w:val="63765689"/>
                <w:lock w:val="sdtLocked"/>
              </w:sdtPr>
              <w:sdtContent>
                <w:tc>
                  <w:tcPr>
                    <w:tcW w:w="1596" w:type="pct"/>
                    <w:tcBorders>
                      <w:top w:val="single" w:sz="4" w:space="0" w:color="auto"/>
                      <w:left w:val="single" w:sz="4" w:space="0" w:color="auto"/>
                      <w:bottom w:val="single" w:sz="4" w:space="0" w:color="auto"/>
                      <w:right w:val="single" w:sz="4" w:space="0" w:color="auto"/>
                    </w:tcBorders>
                    <w:vAlign w:val="center"/>
                  </w:tcPr>
                  <w:p w:rsidR="00B637B2" w:rsidRDefault="008F04CF" w:rsidP="00B637B2">
                    <w:pPr>
                      <w:rPr>
                        <w:szCs w:val="21"/>
                      </w:rPr>
                    </w:pPr>
                    <w:r>
                      <w:rPr>
                        <w:rFonts w:hint="eastAsia"/>
                        <w:szCs w:val="21"/>
                      </w:rPr>
                      <w:t>可抵扣暂时性差异</w:t>
                    </w:r>
                  </w:p>
                </w:tc>
              </w:sdtContent>
            </w:sdt>
            <w:tc>
              <w:tcPr>
                <w:tcW w:w="1703" w:type="pct"/>
                <w:tcBorders>
                  <w:top w:val="single" w:sz="4" w:space="0" w:color="auto"/>
                  <w:left w:val="single" w:sz="4" w:space="0" w:color="auto"/>
                  <w:bottom w:val="single" w:sz="4" w:space="0" w:color="auto"/>
                  <w:right w:val="single" w:sz="4" w:space="0" w:color="auto"/>
                </w:tcBorders>
                <w:vAlign w:val="center"/>
              </w:tcPr>
              <w:p w:rsidR="00B637B2" w:rsidRPr="00011E5B" w:rsidRDefault="008F04CF" w:rsidP="00B637B2">
                <w:pPr>
                  <w:jc w:val="right"/>
                </w:pPr>
                <w:r>
                  <w:rPr>
                    <w:rFonts w:hint="eastAsia"/>
                  </w:rPr>
                  <w:t>-</w:t>
                </w:r>
              </w:p>
            </w:tc>
            <w:tc>
              <w:tcPr>
                <w:tcW w:w="1701" w:type="pct"/>
                <w:tcBorders>
                  <w:top w:val="single" w:sz="4" w:space="0" w:color="auto"/>
                  <w:left w:val="single" w:sz="4" w:space="0" w:color="auto"/>
                  <w:bottom w:val="single" w:sz="4" w:space="0" w:color="auto"/>
                  <w:right w:val="single" w:sz="4" w:space="0" w:color="auto"/>
                </w:tcBorders>
                <w:vAlign w:val="center"/>
              </w:tcPr>
              <w:p w:rsidR="00B637B2" w:rsidRPr="00717320" w:rsidRDefault="008F04CF" w:rsidP="00B637B2">
                <w:pPr>
                  <w:jc w:val="right"/>
                </w:pPr>
                <w:r>
                  <w:rPr>
                    <w:rFonts w:hint="eastAsia"/>
                  </w:rPr>
                  <w:t>-</w:t>
                </w:r>
              </w:p>
            </w:tc>
          </w:tr>
          <w:sdt>
            <w:sdtPr>
              <w:rPr>
                <w:rFonts w:asciiTheme="minorHAnsi" w:eastAsiaTheme="minorEastAsia" w:hAnsiTheme="minorHAnsi" w:cstheme="minorBidi" w:hint="eastAsia"/>
                <w:kern w:val="2"/>
                <w:szCs w:val="21"/>
              </w:rPr>
              <w:alias w:val="未确认递延所得税资产明细"/>
              <w:tag w:val="_GBC_dececa13e6ec42e9a7b6dc670fa5ccbb"/>
              <w:id w:val="-1134474556"/>
              <w:lock w:val="sdtLocked"/>
            </w:sdtPr>
            <w:sdtContent>
              <w:tr w:rsidR="00B637B2" w:rsidTr="00C70082">
                <w:trPr>
                  <w:trHeight w:val="285"/>
                </w:trPr>
                <w:tc>
                  <w:tcPr>
                    <w:tcW w:w="1596" w:type="pct"/>
                    <w:tcBorders>
                      <w:top w:val="single" w:sz="4" w:space="0" w:color="auto"/>
                      <w:left w:val="single" w:sz="4" w:space="0" w:color="auto"/>
                      <w:bottom w:val="single" w:sz="4" w:space="0" w:color="auto"/>
                      <w:right w:val="single" w:sz="4" w:space="0" w:color="auto"/>
                    </w:tcBorders>
                  </w:tcPr>
                  <w:p w:rsidR="00B637B2" w:rsidRDefault="008F04CF">
                    <w:pPr>
                      <w:rPr>
                        <w:szCs w:val="21"/>
                      </w:rPr>
                    </w:pPr>
                    <w:r>
                      <w:rPr>
                        <w:rFonts w:asciiTheme="minorHAnsi" w:eastAsiaTheme="minorEastAsia" w:hAnsiTheme="minorHAnsi" w:cstheme="minorBidi" w:hint="eastAsia"/>
                        <w:kern w:val="2"/>
                        <w:szCs w:val="21"/>
                      </w:rPr>
                      <w:t>资产减值准备</w:t>
                    </w:r>
                  </w:p>
                </w:tc>
                <w:tc>
                  <w:tcPr>
                    <w:tcW w:w="1703" w:type="pct"/>
                    <w:tcBorders>
                      <w:top w:val="single" w:sz="4" w:space="0" w:color="auto"/>
                      <w:left w:val="single" w:sz="4" w:space="0" w:color="auto"/>
                      <w:bottom w:val="single" w:sz="4" w:space="0" w:color="auto"/>
                      <w:right w:val="single" w:sz="4" w:space="0" w:color="auto"/>
                    </w:tcBorders>
                  </w:tcPr>
                  <w:p w:rsidR="00B637B2" w:rsidRDefault="008F04CF">
                    <w:pPr>
                      <w:jc w:val="right"/>
                      <w:rPr>
                        <w:szCs w:val="21"/>
                      </w:rPr>
                    </w:pPr>
                    <w:r w:rsidRPr="006B4358">
                      <w:rPr>
                        <w:szCs w:val="21"/>
                      </w:rPr>
                      <w:t>72,236,307</w:t>
                    </w:r>
                  </w:p>
                </w:tc>
                <w:tc>
                  <w:tcPr>
                    <w:tcW w:w="1701" w:type="pct"/>
                    <w:tcBorders>
                      <w:top w:val="single" w:sz="4" w:space="0" w:color="auto"/>
                      <w:left w:val="single" w:sz="4" w:space="0" w:color="auto"/>
                      <w:bottom w:val="single" w:sz="4" w:space="0" w:color="auto"/>
                      <w:right w:val="single" w:sz="4" w:space="0" w:color="auto"/>
                    </w:tcBorders>
                  </w:tcPr>
                  <w:p w:rsidR="00B637B2" w:rsidRDefault="008F04CF">
                    <w:pPr>
                      <w:jc w:val="right"/>
                      <w:rPr>
                        <w:szCs w:val="21"/>
                      </w:rPr>
                    </w:pPr>
                    <w:r w:rsidRPr="006B4358">
                      <w:rPr>
                        <w:rFonts w:cstheme="minorBidi"/>
                        <w:kern w:val="2"/>
                        <w:szCs w:val="21"/>
                      </w:rPr>
                      <w:t>59,364,820</w:t>
                    </w:r>
                  </w:p>
                </w:tc>
              </w:tr>
            </w:sdtContent>
          </w:sdt>
          <w:tr w:rsidR="00B637B2" w:rsidTr="00B637B2">
            <w:trPr>
              <w:trHeight w:val="285"/>
            </w:trPr>
            <w:sdt>
              <w:sdtPr>
                <w:tag w:val="_PLD_7d61d57f3afe461287d338be31b7f128"/>
                <w:id w:val="-2021912541"/>
                <w:lock w:val="sdtLocked"/>
              </w:sdtPr>
              <w:sdtContent>
                <w:tc>
                  <w:tcPr>
                    <w:tcW w:w="1596" w:type="pct"/>
                    <w:tcBorders>
                      <w:top w:val="single" w:sz="4" w:space="0" w:color="auto"/>
                      <w:left w:val="single" w:sz="4" w:space="0" w:color="auto"/>
                      <w:bottom w:val="single" w:sz="4" w:space="0" w:color="auto"/>
                      <w:right w:val="single" w:sz="4" w:space="0" w:color="auto"/>
                    </w:tcBorders>
                    <w:vAlign w:val="center"/>
                  </w:tcPr>
                  <w:p w:rsidR="00B637B2" w:rsidRDefault="008F04CF" w:rsidP="00B637B2">
                    <w:pPr>
                      <w:rPr>
                        <w:szCs w:val="21"/>
                      </w:rPr>
                    </w:pPr>
                    <w:r>
                      <w:rPr>
                        <w:rFonts w:cs="Arial" w:hint="eastAsia"/>
                        <w:snapToGrid w:val="0"/>
                      </w:rPr>
                      <w:t>可抵扣亏损</w:t>
                    </w:r>
                  </w:p>
                </w:tc>
              </w:sdtContent>
            </w:sdt>
            <w:tc>
              <w:tcPr>
                <w:tcW w:w="1703" w:type="pct"/>
                <w:tcBorders>
                  <w:top w:val="single" w:sz="4" w:space="0" w:color="auto"/>
                  <w:left w:val="single" w:sz="4" w:space="0" w:color="auto"/>
                  <w:bottom w:val="single" w:sz="4" w:space="0" w:color="auto"/>
                  <w:right w:val="single" w:sz="4" w:space="0" w:color="auto"/>
                </w:tcBorders>
                <w:vAlign w:val="center"/>
              </w:tcPr>
              <w:p w:rsidR="00B637B2" w:rsidRDefault="008F04CF" w:rsidP="00B637B2">
                <w:pPr>
                  <w:jc w:val="right"/>
                </w:pPr>
                <w:r>
                  <w:t>141,508,683</w:t>
                </w:r>
              </w:p>
            </w:tc>
            <w:tc>
              <w:tcPr>
                <w:tcW w:w="1701" w:type="pct"/>
                <w:tcBorders>
                  <w:top w:val="single" w:sz="4" w:space="0" w:color="auto"/>
                  <w:left w:val="single" w:sz="4" w:space="0" w:color="auto"/>
                  <w:bottom w:val="single" w:sz="4" w:space="0" w:color="auto"/>
                  <w:right w:val="single" w:sz="4" w:space="0" w:color="auto"/>
                </w:tcBorders>
                <w:vAlign w:val="center"/>
              </w:tcPr>
              <w:p w:rsidR="00B637B2" w:rsidRDefault="008F04CF" w:rsidP="00B637B2">
                <w:pPr>
                  <w:jc w:val="right"/>
                </w:pPr>
                <w:r>
                  <w:t>126,078,352</w:t>
                </w:r>
              </w:p>
            </w:tc>
          </w:tr>
          <w:tr w:rsidR="00B637B2" w:rsidRPr="000862EF" w:rsidTr="00B637B2">
            <w:trPr>
              <w:trHeight w:val="285"/>
            </w:trPr>
            <w:sdt>
              <w:sdtPr>
                <w:tag w:val="_PLD_a867b83c897e41619f1515baeb2b55ff"/>
                <w:id w:val="1665660292"/>
                <w:lock w:val="sdtLocked"/>
              </w:sdtPr>
              <w:sdtContent>
                <w:tc>
                  <w:tcPr>
                    <w:tcW w:w="1596" w:type="pct"/>
                    <w:tcBorders>
                      <w:top w:val="single" w:sz="4" w:space="0" w:color="auto"/>
                      <w:left w:val="single" w:sz="4" w:space="0" w:color="auto"/>
                      <w:bottom w:val="single" w:sz="4" w:space="0" w:color="auto"/>
                      <w:right w:val="single" w:sz="4" w:space="0" w:color="auto"/>
                    </w:tcBorders>
                    <w:vAlign w:val="center"/>
                  </w:tcPr>
                  <w:p w:rsidR="00B637B2" w:rsidRDefault="008F04CF" w:rsidP="00B637B2">
                    <w:pPr>
                      <w:jc w:val="center"/>
                      <w:rPr>
                        <w:szCs w:val="21"/>
                      </w:rPr>
                    </w:pPr>
                    <w:r>
                      <w:rPr>
                        <w:rFonts w:hint="eastAsia"/>
                        <w:szCs w:val="21"/>
                      </w:rPr>
                      <w:t>合计</w:t>
                    </w:r>
                  </w:p>
                </w:tc>
              </w:sdtContent>
            </w:sdt>
            <w:tc>
              <w:tcPr>
                <w:tcW w:w="1703" w:type="pct"/>
                <w:tcBorders>
                  <w:top w:val="single" w:sz="4" w:space="0" w:color="auto"/>
                  <w:left w:val="single" w:sz="4" w:space="0" w:color="auto"/>
                  <w:bottom w:val="single" w:sz="4" w:space="0" w:color="auto"/>
                  <w:right w:val="single" w:sz="4" w:space="0" w:color="auto"/>
                </w:tcBorders>
                <w:vAlign w:val="center"/>
              </w:tcPr>
              <w:p w:rsidR="00B637B2" w:rsidRDefault="008F04CF" w:rsidP="00B637B2">
                <w:pPr>
                  <w:jc w:val="right"/>
                  <w:rPr>
                    <w:szCs w:val="21"/>
                  </w:rPr>
                </w:pPr>
                <w:r>
                  <w:rPr>
                    <w:szCs w:val="21"/>
                  </w:rPr>
                  <w:t>213,744,990</w:t>
                </w:r>
              </w:p>
            </w:tc>
            <w:tc>
              <w:tcPr>
                <w:tcW w:w="1701" w:type="pct"/>
                <w:tcBorders>
                  <w:top w:val="single" w:sz="4" w:space="0" w:color="auto"/>
                  <w:left w:val="single" w:sz="4" w:space="0" w:color="auto"/>
                  <w:bottom w:val="single" w:sz="4" w:space="0" w:color="auto"/>
                  <w:right w:val="single" w:sz="4" w:space="0" w:color="auto"/>
                </w:tcBorders>
                <w:vAlign w:val="center"/>
              </w:tcPr>
              <w:p w:rsidR="00B637B2" w:rsidRDefault="008F04CF" w:rsidP="00B637B2">
                <w:pPr>
                  <w:jc w:val="right"/>
                  <w:rPr>
                    <w:szCs w:val="21"/>
                  </w:rPr>
                </w:pPr>
                <w:r>
                  <w:rPr>
                    <w:szCs w:val="21"/>
                  </w:rPr>
                  <w:t>185,443,172</w:t>
                </w:r>
              </w:p>
            </w:tc>
          </w:tr>
        </w:tbl>
        <w:p w:rsidR="00ED2DC7" w:rsidRPr="000862EF" w:rsidRDefault="000D0A99" w:rsidP="00B637B2"/>
      </w:sdtContent>
    </w:sdt>
    <w:bookmarkEnd w:id="165"/>
    <w:p w:rsidR="00ED2DC7" w:rsidRDefault="00ED2DC7">
      <w:pPr>
        <w:rPr>
          <w:szCs w:val="21"/>
        </w:rPr>
      </w:pPr>
    </w:p>
    <w:bookmarkStart w:id="166" w:name="_Hlk11160672" w:displacedByCustomXml="next"/>
    <w:sdt>
      <w:sdtPr>
        <w:rPr>
          <w:rFonts w:ascii="宋体" w:hAnsi="宋体" w:cs="宋体" w:hint="eastAsia"/>
          <w:b w:val="0"/>
          <w:bCs w:val="0"/>
          <w:kern w:val="0"/>
          <w:szCs w:val="21"/>
        </w:rPr>
        <w:alias w:val="模块:未确认递延所得税资产的可抵扣亏损将于以下年度到期"/>
        <w:tag w:val="_SEC_a5f2b329395b406fa4b30b710f4a81e0"/>
        <w:id w:val="160441268"/>
        <w:lock w:val="sdtLocked"/>
        <w:placeholder>
          <w:docPart w:val="GBC22222222222222222222222222222"/>
        </w:placeholder>
      </w:sdtPr>
      <w:sdtEndPr>
        <w:rPr>
          <w:szCs w:val="24"/>
        </w:rPr>
      </w:sdtEndPr>
      <w:sdtContent>
        <w:p w:rsidR="00ED2DC7" w:rsidRDefault="00ED2DC7" w:rsidP="00036BDC">
          <w:pPr>
            <w:pStyle w:val="affffffffffffffffff2"/>
            <w:numPr>
              <w:ilvl w:val="0"/>
              <w:numId w:val="67"/>
            </w:numPr>
            <w:tabs>
              <w:tab w:val="left" w:pos="588"/>
              <w:tab w:val="left" w:pos="616"/>
            </w:tabs>
            <w:rPr>
              <w:rFonts w:ascii="宋体" w:hAnsi="宋体"/>
              <w:szCs w:val="21"/>
            </w:rPr>
          </w:pPr>
          <w:r>
            <w:rPr>
              <w:rFonts w:ascii="宋体" w:hAnsi="宋体" w:hint="eastAsia"/>
              <w:szCs w:val="21"/>
            </w:rPr>
            <w:t>未确认递延所得税资产的可抵扣亏损将于以下年度到期</w:t>
          </w:r>
        </w:p>
        <w:sdt>
          <w:sdtPr>
            <w:alias w:val="是否适用：未确认递延所得税资产的可抵扣亏损将于以下年度到期[双击切换]"/>
            <w:tag w:val="_GBC_10d31911cedc4147b90ab71d35742bf4"/>
            <w:id w:val="2086879122"/>
            <w:lock w:val="sdtContentLocked"/>
            <w:placeholder>
              <w:docPart w:val="GBC22222222222222222222222222222"/>
            </w:placeholder>
          </w:sdtPr>
          <w:sdtContent>
            <w:p w:rsidR="00ED2DC7" w:rsidRDefault="00ED2DC7">
              <w:r>
                <w:fldChar w:fldCharType="begin"/>
              </w:r>
              <w:r w:rsidR="004A56C5">
                <w:instrText xml:space="preserve"> MACROBUTTON  SnrToggleCheckbox √适用 </w:instrText>
              </w:r>
              <w:r>
                <w:fldChar w:fldCharType="end"/>
              </w:r>
              <w:r>
                <w:fldChar w:fldCharType="begin"/>
              </w:r>
              <w:r w:rsidR="004A56C5">
                <w:instrText xml:space="preserve"> MACROBUTTON  SnrToggleCheckbox □不适用 </w:instrText>
              </w:r>
              <w:r>
                <w:fldChar w:fldCharType="end"/>
              </w:r>
            </w:p>
          </w:sdtContent>
        </w:sdt>
        <w:p w:rsidR="00D44034" w:rsidRDefault="00ED2DC7">
          <w:pPr>
            <w:ind w:right="57"/>
            <w:jc w:val="right"/>
            <w:rPr>
              <w:szCs w:val="21"/>
            </w:rPr>
          </w:pPr>
          <w:r>
            <w:rPr>
              <w:rFonts w:hint="eastAsia"/>
              <w:szCs w:val="21"/>
            </w:rPr>
            <w:t>单位：</w:t>
          </w:r>
          <w:sdt>
            <w:sdtPr>
              <w:rPr>
                <w:rFonts w:hint="eastAsia"/>
                <w:szCs w:val="21"/>
              </w:rPr>
              <w:alias w:val="单位：财务附注：未确认递延所得税资产的可抵扣亏损将于以下年度到期"/>
              <w:tag w:val="_GBC_e5ae9be2f02b49aa93ff11e0e7a11cca"/>
              <w:id w:val="1342175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hint="eastAsia"/>
                  <w:szCs w:val="21"/>
                </w:rPr>
                <w:t>元</w:t>
              </w:r>
            </w:sdtContent>
          </w:sdt>
          <w:r>
            <w:rPr>
              <w:rFonts w:hint="eastAsia"/>
              <w:szCs w:val="21"/>
            </w:rPr>
            <w:t xml:space="preserve">  币种：</w:t>
          </w:r>
          <w:sdt>
            <w:sdtPr>
              <w:rPr>
                <w:rFonts w:hint="eastAsia"/>
                <w:szCs w:val="21"/>
              </w:rPr>
              <w:alias w:val="币种：财务附注：未确认递延所得税资产的可抵扣亏损将于以下年度到期"/>
              <w:tag w:val="_GBC_83b0fc2196304484aa53ef2b9e2e191a"/>
              <w:id w:val="-18382149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szCs w:val="21"/>
                </w:rPr>
                <w:t>人民币</w:t>
              </w:r>
            </w:sdtContent>
          </w:sdt>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2"/>
            <w:gridCol w:w="2229"/>
            <w:gridCol w:w="2266"/>
            <w:gridCol w:w="2296"/>
          </w:tblGrid>
          <w:tr w:rsidR="00CC4C91" w:rsidTr="00433709">
            <w:trPr>
              <w:trHeight w:val="285"/>
            </w:trPr>
            <w:sdt>
              <w:sdtPr>
                <w:tag w:val="_PLD_710a470de2b84ef593de891faad46b6b"/>
                <w:id w:val="1799112568"/>
                <w:lock w:val="sdtLocked"/>
              </w:sdtPr>
              <w:sdtContent>
                <w:tc>
                  <w:tcPr>
                    <w:tcW w:w="1152" w:type="pct"/>
                    <w:tcBorders>
                      <w:top w:val="single" w:sz="4" w:space="0" w:color="auto"/>
                      <w:left w:val="single" w:sz="4" w:space="0" w:color="auto"/>
                      <w:bottom w:val="single" w:sz="4" w:space="0" w:color="auto"/>
                      <w:right w:val="single" w:sz="4" w:space="0" w:color="auto"/>
                    </w:tcBorders>
                    <w:vAlign w:val="center"/>
                  </w:tcPr>
                  <w:p w:rsidR="00CC4C91" w:rsidRDefault="00CC4C91" w:rsidP="00433709">
                    <w:pPr>
                      <w:jc w:val="center"/>
                      <w:rPr>
                        <w:szCs w:val="21"/>
                      </w:rPr>
                    </w:pPr>
                    <w:r>
                      <w:rPr>
                        <w:rFonts w:hint="eastAsia"/>
                        <w:szCs w:val="21"/>
                      </w:rPr>
                      <w:t>年份</w:t>
                    </w:r>
                  </w:p>
                </w:tc>
              </w:sdtContent>
            </w:sdt>
            <w:sdt>
              <w:sdtPr>
                <w:tag w:val="_PLD_a6335ab4fba14ab8946b823c64f03503"/>
                <w:id w:val="636681039"/>
                <w:lock w:val="sdtLocked"/>
              </w:sdtPr>
              <w:sdtContent>
                <w:tc>
                  <w:tcPr>
                    <w:tcW w:w="1263" w:type="pct"/>
                    <w:tcBorders>
                      <w:top w:val="single" w:sz="4" w:space="0" w:color="auto"/>
                      <w:left w:val="single" w:sz="4" w:space="0" w:color="auto"/>
                      <w:bottom w:val="single" w:sz="4" w:space="0" w:color="auto"/>
                      <w:right w:val="single" w:sz="4" w:space="0" w:color="auto"/>
                    </w:tcBorders>
                    <w:vAlign w:val="center"/>
                  </w:tcPr>
                  <w:p w:rsidR="00CC4C91" w:rsidRDefault="00CC4C91" w:rsidP="00433709">
                    <w:pPr>
                      <w:jc w:val="center"/>
                      <w:rPr>
                        <w:szCs w:val="21"/>
                      </w:rPr>
                    </w:pPr>
                    <w:r>
                      <w:rPr>
                        <w:rFonts w:hint="eastAsia"/>
                        <w:szCs w:val="21"/>
                      </w:rPr>
                      <w:t>期末金额</w:t>
                    </w:r>
                  </w:p>
                </w:tc>
              </w:sdtContent>
            </w:sdt>
            <w:sdt>
              <w:sdtPr>
                <w:tag w:val="_PLD_7582e6645cec4513a5606c104f2d83f1"/>
                <w:id w:val="2117946072"/>
                <w:lock w:val="sdtLocked"/>
              </w:sdtPr>
              <w:sdtContent>
                <w:tc>
                  <w:tcPr>
                    <w:tcW w:w="1284" w:type="pct"/>
                    <w:tcBorders>
                      <w:top w:val="single" w:sz="4" w:space="0" w:color="auto"/>
                      <w:left w:val="single" w:sz="4" w:space="0" w:color="auto"/>
                      <w:bottom w:val="single" w:sz="4" w:space="0" w:color="auto"/>
                      <w:right w:val="single" w:sz="4" w:space="0" w:color="auto"/>
                    </w:tcBorders>
                    <w:vAlign w:val="center"/>
                  </w:tcPr>
                  <w:p w:rsidR="00CC4C91" w:rsidRDefault="00CC4C91" w:rsidP="00433709">
                    <w:pPr>
                      <w:jc w:val="center"/>
                      <w:rPr>
                        <w:szCs w:val="21"/>
                      </w:rPr>
                    </w:pPr>
                    <w:r>
                      <w:rPr>
                        <w:rFonts w:hint="eastAsia"/>
                        <w:szCs w:val="21"/>
                      </w:rPr>
                      <w:t>期初金额</w:t>
                    </w:r>
                  </w:p>
                </w:tc>
              </w:sdtContent>
            </w:sdt>
            <w:sdt>
              <w:sdtPr>
                <w:tag w:val="_PLD_1a030fe5a0564bed845b9b81b2eda8b8"/>
                <w:id w:val="-1769770735"/>
                <w:lock w:val="sdtLocked"/>
              </w:sdtPr>
              <w:sdtContent>
                <w:tc>
                  <w:tcPr>
                    <w:tcW w:w="1301" w:type="pct"/>
                    <w:tcBorders>
                      <w:top w:val="single" w:sz="4" w:space="0" w:color="auto"/>
                      <w:left w:val="single" w:sz="4" w:space="0" w:color="auto"/>
                      <w:bottom w:val="single" w:sz="4" w:space="0" w:color="auto"/>
                      <w:right w:val="single" w:sz="4" w:space="0" w:color="auto"/>
                    </w:tcBorders>
                    <w:vAlign w:val="center"/>
                  </w:tcPr>
                  <w:p w:rsidR="00CC4C91" w:rsidRDefault="00CC4C91" w:rsidP="00433709">
                    <w:pPr>
                      <w:jc w:val="center"/>
                      <w:rPr>
                        <w:szCs w:val="21"/>
                      </w:rPr>
                    </w:pPr>
                    <w:r>
                      <w:rPr>
                        <w:rFonts w:hint="eastAsia"/>
                        <w:szCs w:val="21"/>
                      </w:rPr>
                      <w:t>备注</w:t>
                    </w:r>
                  </w:p>
                </w:tc>
              </w:sdtContent>
            </w:sdt>
          </w:tr>
          <w:sdt>
            <w:sdtPr>
              <w:rPr>
                <w:rFonts w:asciiTheme="minorHAnsi" w:eastAsiaTheme="minorEastAsia" w:hAnsiTheme="minorHAnsi" w:cstheme="minorBidi" w:hint="eastAsia"/>
                <w:kern w:val="2"/>
                <w:szCs w:val="21"/>
              </w:rPr>
              <w:alias w:val="未确认递延所得税资产的可抵扣亏损到期明细"/>
              <w:tag w:val="_GBC_a44a3a947eba4ff199b2b5473e07ff8b"/>
              <w:id w:val="-315261471"/>
              <w:lock w:val="sdtLocked"/>
            </w:sdtPr>
            <w:sdtContent>
              <w:tr w:rsidR="00CC4C91" w:rsidTr="00B637B2">
                <w:trPr>
                  <w:trHeight w:val="285"/>
                </w:trPr>
                <w:tc>
                  <w:tcPr>
                    <w:tcW w:w="1152" w:type="pct"/>
                    <w:tcBorders>
                      <w:top w:val="single" w:sz="4" w:space="0" w:color="auto"/>
                      <w:left w:val="single" w:sz="4" w:space="0" w:color="auto"/>
                      <w:bottom w:val="single" w:sz="4" w:space="0" w:color="auto"/>
                      <w:right w:val="single" w:sz="4" w:space="0" w:color="auto"/>
                    </w:tcBorders>
                  </w:tcPr>
                  <w:p w:rsidR="00CC4C91" w:rsidRDefault="00CC4C91" w:rsidP="00433709">
                    <w:pPr>
                      <w:rPr>
                        <w:szCs w:val="21"/>
                      </w:rPr>
                    </w:pPr>
                    <w:r>
                      <w:t>2018年</w:t>
                    </w:r>
                  </w:p>
                </w:tc>
                <w:tc>
                  <w:tcPr>
                    <w:tcW w:w="1263" w:type="pct"/>
                    <w:tcBorders>
                      <w:top w:val="single" w:sz="4" w:space="0" w:color="auto"/>
                      <w:left w:val="single" w:sz="4" w:space="0" w:color="auto"/>
                      <w:bottom w:val="single" w:sz="4" w:space="0" w:color="auto"/>
                      <w:right w:val="single" w:sz="4" w:space="0" w:color="auto"/>
                    </w:tcBorders>
                    <w:vAlign w:val="center"/>
                  </w:tcPr>
                  <w:p w:rsidR="00CC4C91" w:rsidRDefault="00CC4C91" w:rsidP="00B637B2">
                    <w:pPr>
                      <w:jc w:val="right"/>
                      <w:rPr>
                        <w:szCs w:val="21"/>
                      </w:rPr>
                    </w:pPr>
                  </w:p>
                </w:tc>
                <w:tc>
                  <w:tcPr>
                    <w:tcW w:w="1284" w:type="pct"/>
                    <w:tcBorders>
                      <w:top w:val="single" w:sz="4" w:space="0" w:color="auto"/>
                      <w:left w:val="single" w:sz="4" w:space="0" w:color="auto"/>
                      <w:bottom w:val="single" w:sz="4" w:space="0" w:color="auto"/>
                      <w:right w:val="single" w:sz="4" w:space="0" w:color="auto"/>
                    </w:tcBorders>
                    <w:vAlign w:val="center"/>
                  </w:tcPr>
                  <w:p w:rsidR="00CC4C91" w:rsidRDefault="00CC4C91" w:rsidP="00B637B2">
                    <w:pPr>
                      <w:jc w:val="right"/>
                      <w:rPr>
                        <w:szCs w:val="21"/>
                      </w:rPr>
                    </w:pPr>
                  </w:p>
                </w:tc>
                <w:tc>
                  <w:tcPr>
                    <w:tcW w:w="1301" w:type="pct"/>
                    <w:tcBorders>
                      <w:top w:val="single" w:sz="4" w:space="0" w:color="auto"/>
                      <w:left w:val="single" w:sz="4" w:space="0" w:color="auto"/>
                      <w:bottom w:val="single" w:sz="4" w:space="0" w:color="auto"/>
                      <w:right w:val="single" w:sz="4" w:space="0" w:color="auto"/>
                    </w:tcBorders>
                    <w:vAlign w:val="center"/>
                  </w:tcPr>
                  <w:p w:rsidR="00CC4C91" w:rsidRDefault="00CC4C91" w:rsidP="00B637B2">
                    <w:pPr>
                      <w:jc w:val="right"/>
                      <w:rPr>
                        <w:szCs w:val="21"/>
                      </w:rPr>
                    </w:pPr>
                  </w:p>
                </w:tc>
              </w:tr>
            </w:sdtContent>
          </w:sdt>
          <w:sdt>
            <w:sdtPr>
              <w:rPr>
                <w:rFonts w:asciiTheme="minorHAnsi" w:eastAsiaTheme="minorEastAsia" w:hAnsiTheme="minorHAnsi" w:cstheme="minorBidi" w:hint="eastAsia"/>
                <w:kern w:val="2"/>
                <w:szCs w:val="21"/>
              </w:rPr>
              <w:alias w:val="未确认递延所得税资产的可抵扣亏损到期明细"/>
              <w:tag w:val="_GBC_a44a3a947eba4ff199b2b5473e07ff8b"/>
              <w:id w:val="1863397508"/>
              <w:lock w:val="sdtLocked"/>
            </w:sdtPr>
            <w:sdtContent>
              <w:tr w:rsidR="00CC4C91" w:rsidTr="00B637B2">
                <w:trPr>
                  <w:trHeight w:val="285"/>
                </w:trPr>
                <w:tc>
                  <w:tcPr>
                    <w:tcW w:w="1152" w:type="pct"/>
                    <w:tcBorders>
                      <w:top w:val="single" w:sz="4" w:space="0" w:color="auto"/>
                      <w:left w:val="single" w:sz="4" w:space="0" w:color="auto"/>
                      <w:bottom w:val="single" w:sz="4" w:space="0" w:color="auto"/>
                      <w:right w:val="single" w:sz="4" w:space="0" w:color="auto"/>
                    </w:tcBorders>
                  </w:tcPr>
                  <w:p w:rsidR="00CC4C91" w:rsidRDefault="00CC4C91" w:rsidP="00433709">
                    <w:pPr>
                      <w:rPr>
                        <w:szCs w:val="21"/>
                      </w:rPr>
                    </w:pPr>
                    <w:r>
                      <w:t>2019年</w:t>
                    </w:r>
                  </w:p>
                </w:tc>
                <w:tc>
                  <w:tcPr>
                    <w:tcW w:w="1263" w:type="pct"/>
                    <w:tcBorders>
                      <w:top w:val="single" w:sz="4" w:space="0" w:color="auto"/>
                      <w:left w:val="single" w:sz="4" w:space="0" w:color="auto"/>
                      <w:bottom w:val="single" w:sz="4" w:space="0" w:color="auto"/>
                      <w:right w:val="single" w:sz="4" w:space="0" w:color="auto"/>
                    </w:tcBorders>
                    <w:vAlign w:val="center"/>
                  </w:tcPr>
                  <w:p w:rsidR="00CC4C91" w:rsidRPr="00F52DF7" w:rsidRDefault="008F04CF" w:rsidP="00B637B2">
                    <w:pPr>
                      <w:jc w:val="right"/>
                    </w:pPr>
                    <w:r>
                      <w:t xml:space="preserve"> 50,914,287</w:t>
                    </w:r>
                  </w:p>
                </w:tc>
                <w:tc>
                  <w:tcPr>
                    <w:tcW w:w="1284" w:type="pct"/>
                    <w:tcBorders>
                      <w:top w:val="single" w:sz="4" w:space="0" w:color="auto"/>
                      <w:left w:val="single" w:sz="4" w:space="0" w:color="auto"/>
                      <w:bottom w:val="single" w:sz="4" w:space="0" w:color="auto"/>
                      <w:right w:val="single" w:sz="4" w:space="0" w:color="auto"/>
                    </w:tcBorders>
                    <w:vAlign w:val="center"/>
                  </w:tcPr>
                  <w:p w:rsidR="00CC4C91" w:rsidRPr="00AD461E" w:rsidRDefault="008F04CF" w:rsidP="00B637B2">
                    <w:pPr>
                      <w:jc w:val="right"/>
                    </w:pPr>
                    <w:r>
                      <w:t xml:space="preserve"> 50,914,287</w:t>
                    </w:r>
                  </w:p>
                </w:tc>
                <w:tc>
                  <w:tcPr>
                    <w:tcW w:w="1301" w:type="pct"/>
                    <w:tcBorders>
                      <w:top w:val="single" w:sz="4" w:space="0" w:color="auto"/>
                      <w:left w:val="single" w:sz="4" w:space="0" w:color="auto"/>
                      <w:bottom w:val="single" w:sz="4" w:space="0" w:color="auto"/>
                      <w:right w:val="single" w:sz="4" w:space="0" w:color="auto"/>
                    </w:tcBorders>
                    <w:vAlign w:val="center"/>
                  </w:tcPr>
                  <w:p w:rsidR="00CC4C91" w:rsidRDefault="00CC4C91" w:rsidP="00B637B2">
                    <w:pPr>
                      <w:jc w:val="right"/>
                      <w:rPr>
                        <w:szCs w:val="21"/>
                      </w:rPr>
                    </w:pPr>
                  </w:p>
                </w:tc>
              </w:tr>
            </w:sdtContent>
          </w:sdt>
          <w:tr w:rsidR="00CC4C91" w:rsidTr="00B637B2">
            <w:trPr>
              <w:trHeight w:val="285"/>
            </w:trPr>
            <w:tc>
              <w:tcPr>
                <w:tcW w:w="1152" w:type="pct"/>
                <w:tcBorders>
                  <w:top w:val="single" w:sz="4" w:space="0" w:color="auto"/>
                  <w:left w:val="single" w:sz="4" w:space="0" w:color="auto"/>
                  <w:bottom w:val="single" w:sz="4" w:space="0" w:color="auto"/>
                  <w:right w:val="single" w:sz="4" w:space="0" w:color="auto"/>
                </w:tcBorders>
              </w:tcPr>
              <w:p w:rsidR="00CC4C91" w:rsidRDefault="00CC4C91" w:rsidP="00433709">
                <w:pPr>
                  <w:rPr>
                    <w:szCs w:val="21"/>
                  </w:rPr>
                </w:pPr>
                <w:r>
                  <w:t>2020年</w:t>
                </w:r>
              </w:p>
            </w:tc>
            <w:tc>
              <w:tcPr>
                <w:tcW w:w="1263" w:type="pct"/>
                <w:tcBorders>
                  <w:top w:val="single" w:sz="4" w:space="0" w:color="auto"/>
                  <w:left w:val="single" w:sz="4" w:space="0" w:color="auto"/>
                  <w:bottom w:val="single" w:sz="4" w:space="0" w:color="auto"/>
                  <w:right w:val="single" w:sz="4" w:space="0" w:color="auto"/>
                </w:tcBorders>
                <w:vAlign w:val="center"/>
              </w:tcPr>
              <w:p w:rsidR="00CC4C91" w:rsidRPr="00F52DF7" w:rsidRDefault="008F04CF" w:rsidP="00B637B2">
                <w:pPr>
                  <w:jc w:val="right"/>
                </w:pPr>
                <w:r>
                  <w:t xml:space="preserve"> 105,417,149</w:t>
                </w:r>
              </w:p>
            </w:tc>
            <w:tc>
              <w:tcPr>
                <w:tcW w:w="1284" w:type="pct"/>
                <w:tcBorders>
                  <w:top w:val="single" w:sz="4" w:space="0" w:color="auto"/>
                  <w:left w:val="single" w:sz="4" w:space="0" w:color="auto"/>
                  <w:bottom w:val="single" w:sz="4" w:space="0" w:color="auto"/>
                  <w:right w:val="single" w:sz="4" w:space="0" w:color="auto"/>
                </w:tcBorders>
                <w:vAlign w:val="center"/>
              </w:tcPr>
              <w:p w:rsidR="00CC4C91" w:rsidRPr="00AD461E" w:rsidRDefault="008F04CF" w:rsidP="00B637B2">
                <w:pPr>
                  <w:jc w:val="right"/>
                </w:pPr>
                <w:r>
                  <w:t xml:space="preserve"> 105,417,149</w:t>
                </w:r>
              </w:p>
            </w:tc>
            <w:tc>
              <w:tcPr>
                <w:tcW w:w="1301" w:type="pct"/>
                <w:tcBorders>
                  <w:top w:val="single" w:sz="4" w:space="0" w:color="auto"/>
                  <w:left w:val="single" w:sz="4" w:space="0" w:color="auto"/>
                  <w:bottom w:val="single" w:sz="4" w:space="0" w:color="auto"/>
                  <w:right w:val="single" w:sz="4" w:space="0" w:color="auto"/>
                </w:tcBorders>
                <w:vAlign w:val="center"/>
              </w:tcPr>
              <w:p w:rsidR="00CC4C91" w:rsidRDefault="00CC4C91" w:rsidP="00B637B2">
                <w:pPr>
                  <w:jc w:val="right"/>
                  <w:rPr>
                    <w:szCs w:val="21"/>
                  </w:rPr>
                </w:pPr>
              </w:p>
            </w:tc>
          </w:tr>
          <w:tr w:rsidR="00CC4C91" w:rsidTr="00B637B2">
            <w:trPr>
              <w:trHeight w:val="285"/>
            </w:trPr>
            <w:tc>
              <w:tcPr>
                <w:tcW w:w="1152" w:type="pct"/>
                <w:tcBorders>
                  <w:top w:val="single" w:sz="4" w:space="0" w:color="auto"/>
                  <w:left w:val="single" w:sz="4" w:space="0" w:color="auto"/>
                  <w:bottom w:val="single" w:sz="4" w:space="0" w:color="auto"/>
                  <w:right w:val="single" w:sz="4" w:space="0" w:color="auto"/>
                </w:tcBorders>
              </w:tcPr>
              <w:p w:rsidR="00CC4C91" w:rsidRDefault="00CC4C91" w:rsidP="00433709">
                <w:pPr>
                  <w:rPr>
                    <w:szCs w:val="21"/>
                  </w:rPr>
                </w:pPr>
                <w:r>
                  <w:t>2021年</w:t>
                </w:r>
              </w:p>
            </w:tc>
            <w:tc>
              <w:tcPr>
                <w:tcW w:w="1263" w:type="pct"/>
                <w:tcBorders>
                  <w:top w:val="single" w:sz="4" w:space="0" w:color="auto"/>
                  <w:left w:val="single" w:sz="4" w:space="0" w:color="auto"/>
                  <w:bottom w:val="single" w:sz="4" w:space="0" w:color="auto"/>
                  <w:right w:val="single" w:sz="4" w:space="0" w:color="auto"/>
                </w:tcBorders>
                <w:vAlign w:val="center"/>
              </w:tcPr>
              <w:p w:rsidR="00CC4C91" w:rsidRPr="00F52DF7" w:rsidRDefault="008F04CF" w:rsidP="00B637B2">
                <w:pPr>
                  <w:jc w:val="right"/>
                </w:pPr>
                <w:r>
                  <w:t xml:space="preserve"> 156,382,235</w:t>
                </w:r>
              </w:p>
            </w:tc>
            <w:tc>
              <w:tcPr>
                <w:tcW w:w="1284" w:type="pct"/>
                <w:tcBorders>
                  <w:top w:val="single" w:sz="4" w:space="0" w:color="auto"/>
                  <w:left w:val="single" w:sz="4" w:space="0" w:color="auto"/>
                  <w:bottom w:val="single" w:sz="4" w:space="0" w:color="auto"/>
                  <w:right w:val="single" w:sz="4" w:space="0" w:color="auto"/>
                </w:tcBorders>
                <w:vAlign w:val="center"/>
              </w:tcPr>
              <w:p w:rsidR="00CC4C91" w:rsidRPr="00AD461E" w:rsidRDefault="008F04CF" w:rsidP="00B637B2">
                <w:pPr>
                  <w:jc w:val="right"/>
                </w:pPr>
                <w:r>
                  <w:t xml:space="preserve"> 156,382,235</w:t>
                </w:r>
              </w:p>
            </w:tc>
            <w:tc>
              <w:tcPr>
                <w:tcW w:w="1301" w:type="pct"/>
                <w:tcBorders>
                  <w:top w:val="single" w:sz="4" w:space="0" w:color="auto"/>
                  <w:left w:val="single" w:sz="4" w:space="0" w:color="auto"/>
                  <w:bottom w:val="single" w:sz="4" w:space="0" w:color="auto"/>
                  <w:right w:val="single" w:sz="4" w:space="0" w:color="auto"/>
                </w:tcBorders>
                <w:vAlign w:val="center"/>
              </w:tcPr>
              <w:p w:rsidR="00CC4C91" w:rsidRDefault="00CC4C91" w:rsidP="00B637B2">
                <w:pPr>
                  <w:jc w:val="right"/>
                  <w:rPr>
                    <w:szCs w:val="21"/>
                  </w:rPr>
                </w:pPr>
              </w:p>
            </w:tc>
          </w:tr>
          <w:tr w:rsidR="00CC4C91" w:rsidTr="00B637B2">
            <w:trPr>
              <w:trHeight w:val="285"/>
            </w:trPr>
            <w:tc>
              <w:tcPr>
                <w:tcW w:w="1152" w:type="pct"/>
                <w:tcBorders>
                  <w:top w:val="single" w:sz="4" w:space="0" w:color="auto"/>
                  <w:left w:val="single" w:sz="4" w:space="0" w:color="auto"/>
                  <w:bottom w:val="single" w:sz="4" w:space="0" w:color="auto"/>
                  <w:right w:val="single" w:sz="4" w:space="0" w:color="auto"/>
                </w:tcBorders>
              </w:tcPr>
              <w:p w:rsidR="00CC4C91" w:rsidRDefault="00CC4C91" w:rsidP="00433709">
                <w:pPr>
                  <w:rPr>
                    <w:szCs w:val="21"/>
                  </w:rPr>
                </w:pPr>
                <w:r>
                  <w:t>2022年</w:t>
                </w:r>
              </w:p>
            </w:tc>
            <w:tc>
              <w:tcPr>
                <w:tcW w:w="1263" w:type="pct"/>
                <w:tcBorders>
                  <w:top w:val="single" w:sz="4" w:space="0" w:color="auto"/>
                  <w:left w:val="single" w:sz="4" w:space="0" w:color="auto"/>
                  <w:bottom w:val="single" w:sz="4" w:space="0" w:color="auto"/>
                  <w:right w:val="single" w:sz="4" w:space="0" w:color="auto"/>
                </w:tcBorders>
                <w:vAlign w:val="center"/>
              </w:tcPr>
              <w:p w:rsidR="00CC4C91" w:rsidRPr="00F52DF7" w:rsidRDefault="00CC4C91" w:rsidP="00B637B2">
                <w:pPr>
                  <w:jc w:val="right"/>
                </w:pPr>
                <w:r w:rsidRPr="00F52DF7">
                  <w:t xml:space="preserve"> 99,638,</w:t>
                </w:r>
                <w:r w:rsidR="008F04CF">
                  <w:t>385</w:t>
                </w:r>
              </w:p>
            </w:tc>
            <w:tc>
              <w:tcPr>
                <w:tcW w:w="1284" w:type="pct"/>
                <w:tcBorders>
                  <w:top w:val="single" w:sz="4" w:space="0" w:color="auto"/>
                  <w:left w:val="single" w:sz="4" w:space="0" w:color="auto"/>
                  <w:bottom w:val="single" w:sz="4" w:space="0" w:color="auto"/>
                  <w:right w:val="single" w:sz="4" w:space="0" w:color="auto"/>
                </w:tcBorders>
                <w:vAlign w:val="center"/>
              </w:tcPr>
              <w:p w:rsidR="00CC4C91" w:rsidRPr="00AD461E" w:rsidRDefault="008F04CF" w:rsidP="00B637B2">
                <w:pPr>
                  <w:jc w:val="right"/>
                </w:pPr>
                <w:r>
                  <w:t xml:space="preserve"> 99,638,385</w:t>
                </w:r>
              </w:p>
            </w:tc>
            <w:tc>
              <w:tcPr>
                <w:tcW w:w="1301" w:type="pct"/>
                <w:tcBorders>
                  <w:top w:val="single" w:sz="4" w:space="0" w:color="auto"/>
                  <w:left w:val="single" w:sz="4" w:space="0" w:color="auto"/>
                  <w:bottom w:val="single" w:sz="4" w:space="0" w:color="auto"/>
                  <w:right w:val="single" w:sz="4" w:space="0" w:color="auto"/>
                </w:tcBorders>
                <w:vAlign w:val="center"/>
              </w:tcPr>
              <w:p w:rsidR="00CC4C91" w:rsidRDefault="00CC4C91" w:rsidP="00B637B2">
                <w:pPr>
                  <w:jc w:val="right"/>
                  <w:rPr>
                    <w:szCs w:val="21"/>
                  </w:rPr>
                </w:pPr>
              </w:p>
            </w:tc>
          </w:tr>
          <w:tr w:rsidR="00CC4C91" w:rsidTr="00B637B2">
            <w:trPr>
              <w:trHeight w:val="285"/>
            </w:trPr>
            <w:tc>
              <w:tcPr>
                <w:tcW w:w="1152" w:type="pct"/>
                <w:tcBorders>
                  <w:top w:val="single" w:sz="4" w:space="0" w:color="auto"/>
                  <w:left w:val="single" w:sz="4" w:space="0" w:color="auto"/>
                  <w:bottom w:val="single" w:sz="4" w:space="0" w:color="auto"/>
                  <w:right w:val="single" w:sz="4" w:space="0" w:color="auto"/>
                </w:tcBorders>
              </w:tcPr>
              <w:p w:rsidR="00CC4C91" w:rsidRDefault="00CC4C91" w:rsidP="00433709">
                <w:pPr>
                  <w:rPr>
                    <w:szCs w:val="21"/>
                  </w:rPr>
                </w:pPr>
                <w:r>
                  <w:t>2023年</w:t>
                </w:r>
              </w:p>
            </w:tc>
            <w:tc>
              <w:tcPr>
                <w:tcW w:w="1263" w:type="pct"/>
                <w:tcBorders>
                  <w:top w:val="single" w:sz="4" w:space="0" w:color="auto"/>
                  <w:left w:val="single" w:sz="4" w:space="0" w:color="auto"/>
                  <w:bottom w:val="single" w:sz="4" w:space="0" w:color="auto"/>
                  <w:right w:val="single" w:sz="4" w:space="0" w:color="auto"/>
                </w:tcBorders>
                <w:vAlign w:val="center"/>
              </w:tcPr>
              <w:p w:rsidR="00CC4C91" w:rsidRPr="00F52DF7" w:rsidRDefault="008F04CF" w:rsidP="00B637B2">
                <w:pPr>
                  <w:jc w:val="right"/>
                </w:pPr>
                <w:r>
                  <w:t>228,019,635</w:t>
                </w:r>
              </w:p>
            </w:tc>
            <w:tc>
              <w:tcPr>
                <w:tcW w:w="1284" w:type="pct"/>
                <w:tcBorders>
                  <w:top w:val="single" w:sz="4" w:space="0" w:color="auto"/>
                  <w:left w:val="single" w:sz="4" w:space="0" w:color="auto"/>
                  <w:bottom w:val="single" w:sz="4" w:space="0" w:color="auto"/>
                  <w:right w:val="single" w:sz="4" w:space="0" w:color="auto"/>
                </w:tcBorders>
                <w:vAlign w:val="center"/>
              </w:tcPr>
              <w:p w:rsidR="00CC4C91" w:rsidRPr="00AD461E" w:rsidRDefault="008F04CF" w:rsidP="00B637B2">
                <w:pPr>
                  <w:jc w:val="right"/>
                </w:pPr>
                <w:r>
                  <w:t>228,019,635</w:t>
                </w:r>
              </w:p>
            </w:tc>
            <w:tc>
              <w:tcPr>
                <w:tcW w:w="1301" w:type="pct"/>
                <w:tcBorders>
                  <w:top w:val="single" w:sz="4" w:space="0" w:color="auto"/>
                  <w:left w:val="single" w:sz="4" w:space="0" w:color="auto"/>
                  <w:bottom w:val="single" w:sz="4" w:space="0" w:color="auto"/>
                  <w:right w:val="single" w:sz="4" w:space="0" w:color="auto"/>
                </w:tcBorders>
                <w:vAlign w:val="center"/>
              </w:tcPr>
              <w:p w:rsidR="00CC4C91" w:rsidRDefault="00CC4C91" w:rsidP="00B637B2">
                <w:pPr>
                  <w:jc w:val="right"/>
                  <w:rPr>
                    <w:szCs w:val="21"/>
                  </w:rPr>
                </w:pPr>
              </w:p>
            </w:tc>
          </w:tr>
          <w:tr w:rsidR="00CC4C91" w:rsidTr="00B637B2">
            <w:trPr>
              <w:trHeight w:val="285"/>
            </w:trPr>
            <w:tc>
              <w:tcPr>
                <w:tcW w:w="1152" w:type="pct"/>
                <w:tcBorders>
                  <w:top w:val="single" w:sz="4" w:space="0" w:color="auto"/>
                  <w:left w:val="single" w:sz="4" w:space="0" w:color="auto"/>
                  <w:bottom w:val="single" w:sz="4" w:space="0" w:color="auto"/>
                  <w:right w:val="single" w:sz="4" w:space="0" w:color="auto"/>
                </w:tcBorders>
              </w:tcPr>
              <w:p w:rsidR="00CC4C91" w:rsidRDefault="00CC4C91" w:rsidP="00433709">
                <w:pPr>
                  <w:rPr>
                    <w:szCs w:val="21"/>
                  </w:rPr>
                </w:pPr>
                <w:r>
                  <w:t>2024年</w:t>
                </w:r>
              </w:p>
            </w:tc>
            <w:tc>
              <w:tcPr>
                <w:tcW w:w="1263" w:type="pct"/>
                <w:tcBorders>
                  <w:top w:val="single" w:sz="4" w:space="0" w:color="auto"/>
                  <w:left w:val="single" w:sz="4" w:space="0" w:color="auto"/>
                  <w:bottom w:val="single" w:sz="4" w:space="0" w:color="auto"/>
                  <w:right w:val="single" w:sz="4" w:space="0" w:color="auto"/>
                </w:tcBorders>
                <w:vAlign w:val="center"/>
              </w:tcPr>
              <w:p w:rsidR="00CC4C91" w:rsidRDefault="00CC4C91" w:rsidP="00B637B2">
                <w:pPr>
                  <w:jc w:val="right"/>
                </w:pPr>
                <w:r w:rsidRPr="00F52DF7">
                  <w:t>132,195,155</w:t>
                </w:r>
              </w:p>
            </w:tc>
            <w:tc>
              <w:tcPr>
                <w:tcW w:w="1284" w:type="pct"/>
                <w:tcBorders>
                  <w:top w:val="single" w:sz="4" w:space="0" w:color="auto"/>
                  <w:left w:val="single" w:sz="4" w:space="0" w:color="auto"/>
                  <w:bottom w:val="single" w:sz="4" w:space="0" w:color="auto"/>
                  <w:right w:val="single" w:sz="4" w:space="0" w:color="auto"/>
                </w:tcBorders>
                <w:vAlign w:val="center"/>
              </w:tcPr>
              <w:p w:rsidR="00CC4C91" w:rsidRDefault="008F04CF" w:rsidP="00B637B2">
                <w:pPr>
                  <w:jc w:val="right"/>
                </w:pPr>
                <w:r>
                  <w:t xml:space="preserve">                  </w:t>
                </w:r>
                <w:r w:rsidR="00CC4C91" w:rsidRPr="00AD461E">
                  <w:t>-</w:t>
                </w:r>
              </w:p>
            </w:tc>
            <w:tc>
              <w:tcPr>
                <w:tcW w:w="1301" w:type="pct"/>
                <w:tcBorders>
                  <w:top w:val="single" w:sz="4" w:space="0" w:color="auto"/>
                  <w:left w:val="single" w:sz="4" w:space="0" w:color="auto"/>
                  <w:bottom w:val="single" w:sz="4" w:space="0" w:color="auto"/>
                  <w:right w:val="single" w:sz="4" w:space="0" w:color="auto"/>
                </w:tcBorders>
                <w:vAlign w:val="center"/>
              </w:tcPr>
              <w:p w:rsidR="00CC4C91" w:rsidRDefault="00CC4C91" w:rsidP="00B637B2">
                <w:pPr>
                  <w:jc w:val="right"/>
                  <w:rPr>
                    <w:szCs w:val="21"/>
                  </w:rPr>
                </w:pPr>
              </w:p>
            </w:tc>
          </w:tr>
          <w:tr w:rsidR="00CC4C91" w:rsidRPr="00D44034" w:rsidTr="00B637B2">
            <w:trPr>
              <w:trHeight w:val="285"/>
            </w:trPr>
            <w:sdt>
              <w:sdtPr>
                <w:tag w:val="_PLD_46168047d07447b6bd845849845604bb"/>
                <w:id w:val="2089193154"/>
                <w:lock w:val="sdtLocked"/>
              </w:sdtPr>
              <w:sdtContent>
                <w:tc>
                  <w:tcPr>
                    <w:tcW w:w="1152" w:type="pct"/>
                    <w:tcBorders>
                      <w:top w:val="single" w:sz="4" w:space="0" w:color="auto"/>
                      <w:left w:val="single" w:sz="4" w:space="0" w:color="auto"/>
                      <w:bottom w:val="single" w:sz="4" w:space="0" w:color="auto"/>
                      <w:right w:val="single" w:sz="4" w:space="0" w:color="auto"/>
                    </w:tcBorders>
                    <w:vAlign w:val="bottom"/>
                  </w:tcPr>
                  <w:p w:rsidR="00CC4C91" w:rsidRDefault="00CC4C91" w:rsidP="00433709">
                    <w:pPr>
                      <w:jc w:val="center"/>
                      <w:rPr>
                        <w:szCs w:val="21"/>
                      </w:rPr>
                    </w:pPr>
                    <w:r>
                      <w:rPr>
                        <w:rFonts w:hint="eastAsia"/>
                        <w:szCs w:val="21"/>
                      </w:rPr>
                      <w:t>合计</w:t>
                    </w:r>
                  </w:p>
                </w:tc>
              </w:sdtContent>
            </w:sdt>
            <w:tc>
              <w:tcPr>
                <w:tcW w:w="1263" w:type="pct"/>
                <w:tcBorders>
                  <w:top w:val="single" w:sz="4" w:space="0" w:color="auto"/>
                  <w:left w:val="single" w:sz="4" w:space="0" w:color="auto"/>
                  <w:bottom w:val="single" w:sz="4" w:space="0" w:color="auto"/>
                  <w:right w:val="single" w:sz="4" w:space="0" w:color="auto"/>
                </w:tcBorders>
                <w:vAlign w:val="center"/>
              </w:tcPr>
              <w:p w:rsidR="00CC4C91" w:rsidRDefault="00CC4C91" w:rsidP="00B637B2">
                <w:pPr>
                  <w:jc w:val="right"/>
                  <w:rPr>
                    <w:szCs w:val="21"/>
                  </w:rPr>
                </w:pPr>
                <w:r>
                  <w:t>772,566,846</w:t>
                </w:r>
              </w:p>
            </w:tc>
            <w:tc>
              <w:tcPr>
                <w:tcW w:w="1284" w:type="pct"/>
                <w:tcBorders>
                  <w:top w:val="single" w:sz="4" w:space="0" w:color="auto"/>
                  <w:left w:val="single" w:sz="4" w:space="0" w:color="auto"/>
                  <w:bottom w:val="single" w:sz="4" w:space="0" w:color="auto"/>
                  <w:right w:val="single" w:sz="4" w:space="0" w:color="auto"/>
                </w:tcBorders>
                <w:vAlign w:val="center"/>
              </w:tcPr>
              <w:p w:rsidR="00CC4C91" w:rsidRDefault="008F04CF" w:rsidP="00B637B2">
                <w:pPr>
                  <w:jc w:val="right"/>
                  <w:rPr>
                    <w:szCs w:val="21"/>
                  </w:rPr>
                </w:pPr>
                <w:r>
                  <w:rPr>
                    <w:szCs w:val="21"/>
                  </w:rPr>
                  <w:t>640,371,691</w:t>
                </w:r>
              </w:p>
            </w:tc>
            <w:tc>
              <w:tcPr>
                <w:tcW w:w="1301" w:type="pct"/>
                <w:tcBorders>
                  <w:top w:val="single" w:sz="4" w:space="0" w:color="auto"/>
                  <w:left w:val="single" w:sz="4" w:space="0" w:color="auto"/>
                  <w:bottom w:val="single" w:sz="4" w:space="0" w:color="auto"/>
                  <w:right w:val="single" w:sz="4" w:space="0" w:color="auto"/>
                </w:tcBorders>
              </w:tcPr>
              <w:p w:rsidR="00CC4C91" w:rsidRDefault="00CC4C91" w:rsidP="00433709">
                <w:pPr>
                  <w:jc w:val="center"/>
                  <w:rPr>
                    <w:szCs w:val="21"/>
                  </w:rPr>
                </w:pPr>
                <w:r>
                  <w:rPr>
                    <w:rFonts w:hint="eastAsia"/>
                    <w:szCs w:val="21"/>
                  </w:rPr>
                  <w:t>/</w:t>
                </w:r>
              </w:p>
            </w:tc>
          </w:tr>
        </w:tbl>
        <w:p w:rsidR="00CC4C91" w:rsidRDefault="00CC4C91"/>
        <w:p w:rsidR="00ED2DC7" w:rsidRPr="00D44034" w:rsidRDefault="000D0A99" w:rsidP="00D44034"/>
      </w:sdtContent>
    </w:sdt>
    <w:bookmarkEnd w:id="166"/>
    <w:p w:rsidR="00ED2DC7" w:rsidRDefault="00ED2DC7">
      <w:pPr>
        <w:rPr>
          <w:color w:val="FF00FF"/>
          <w:szCs w:val="21"/>
        </w:rPr>
      </w:pPr>
    </w:p>
    <w:sdt>
      <w:sdtPr>
        <w:rPr>
          <w:rFonts w:hint="eastAsia"/>
          <w:szCs w:val="21"/>
        </w:rPr>
        <w:alias w:val="模块:递延所得税资产和递延所得税负债的说明"/>
        <w:tag w:val="_GBC_057749240d604d9ab0db94f6e505935f"/>
        <w:id w:val="621894355"/>
        <w:lock w:val="sdtLocked"/>
        <w:placeholder>
          <w:docPart w:val="GBC22222222222222222222222222222"/>
        </w:placeholder>
      </w:sdtPr>
      <w:sdtEndPr>
        <w:rPr>
          <w:rFonts w:hint="default"/>
        </w:rPr>
      </w:sdtEndPr>
      <w:sdtContent>
        <w:p w:rsidR="00ED2DC7" w:rsidRDefault="00ED2DC7">
          <w:pPr>
            <w:rPr>
              <w:szCs w:val="21"/>
            </w:rPr>
          </w:pPr>
          <w:r>
            <w:rPr>
              <w:rFonts w:hint="eastAsia"/>
              <w:szCs w:val="21"/>
            </w:rPr>
            <w:t>其他说明：</w:t>
          </w:r>
        </w:p>
        <w:sdt>
          <w:sdtPr>
            <w:rPr>
              <w:szCs w:val="21"/>
            </w:rPr>
            <w:alias w:val="是否适用：递延所得税资产和递延所得税负债的说明[双击切换]"/>
            <w:tag w:val="_GBC_06478ceb6b7447a791a4a5cbf8cc7e95"/>
            <w:id w:val="-131709104"/>
            <w:lock w:val="sdtContentLocked"/>
            <w:placeholder>
              <w:docPart w:val="GBC22222222222222222222222222222"/>
            </w:placeholder>
          </w:sdtPr>
          <w:sdtContent>
            <w:p w:rsidR="00ED2DC7" w:rsidRDefault="00ED2DC7" w:rsidP="004A56C5">
              <w:pPr>
                <w:rPr>
                  <w:szCs w:val="21"/>
                </w:rPr>
              </w:pPr>
              <w:r>
                <w:rPr>
                  <w:szCs w:val="21"/>
                </w:rPr>
                <w:fldChar w:fldCharType="begin"/>
              </w:r>
              <w:r w:rsidR="004A56C5">
                <w:rPr>
                  <w:szCs w:val="21"/>
                </w:rPr>
                <w:instrText xml:space="preserve"> MACROBUTTON  SnrToggleCheckbox □适用 </w:instrText>
              </w:r>
              <w:r>
                <w:rPr>
                  <w:szCs w:val="21"/>
                </w:rPr>
                <w:fldChar w:fldCharType="end"/>
              </w:r>
              <w:r>
                <w:rPr>
                  <w:szCs w:val="21"/>
                </w:rPr>
                <w:fldChar w:fldCharType="begin"/>
              </w:r>
              <w:r w:rsidR="004A56C5">
                <w:rPr>
                  <w:szCs w:val="21"/>
                </w:rPr>
                <w:instrText xml:space="preserve"> MACROBUTTON  SnrToggleCheckbox √不适用 </w:instrText>
              </w:r>
              <w:r>
                <w:rPr>
                  <w:szCs w:val="21"/>
                </w:rPr>
                <w:fldChar w:fldCharType="end"/>
              </w:r>
            </w:p>
          </w:sdtContent>
        </w:sdt>
      </w:sdtContent>
    </w:sdt>
    <w:p w:rsidR="00ED2DC7" w:rsidRDefault="00ED2DC7">
      <w:pPr>
        <w:rPr>
          <w:szCs w:val="21"/>
        </w:rPr>
      </w:pPr>
    </w:p>
    <w:bookmarkStart w:id="167" w:name="_Hlk10535308" w:displacedByCustomXml="next"/>
    <w:sdt>
      <w:sdtPr>
        <w:rPr>
          <w:rFonts w:ascii="宋体" w:hAnsi="宋体" w:cs="宋体" w:hint="eastAsia"/>
          <w:b w:val="0"/>
          <w:bCs w:val="0"/>
          <w:kern w:val="0"/>
          <w:szCs w:val="21"/>
        </w:rPr>
        <w:alias w:val="模块:其他非流动资产"/>
        <w:tag w:val="_GBC_b8db472f168c433c9cdb46a39ab78b50"/>
        <w:id w:val="772444320"/>
        <w:lock w:val="sdtLocked"/>
        <w:placeholder>
          <w:docPart w:val="GBC22222222222222222222222222222"/>
        </w:placeholder>
      </w:sdtPr>
      <w:sdtContent>
        <w:p w:rsidR="00ED2DC7" w:rsidRDefault="00ED2DC7" w:rsidP="00036BDC">
          <w:pPr>
            <w:pStyle w:val="affffffffffffffffff1"/>
            <w:numPr>
              <w:ilvl w:val="0"/>
              <w:numId w:val="49"/>
            </w:numPr>
            <w:tabs>
              <w:tab w:val="left" w:pos="504"/>
            </w:tabs>
            <w:rPr>
              <w:szCs w:val="21"/>
            </w:rPr>
          </w:pPr>
          <w:r>
            <w:rPr>
              <w:rFonts w:hint="eastAsia"/>
              <w:szCs w:val="21"/>
            </w:rPr>
            <w:t>其他非流动资产</w:t>
          </w:r>
        </w:p>
        <w:sdt>
          <w:sdtPr>
            <w:alias w:val="是否适用：其他非流动资产[双击切换]"/>
            <w:tag w:val="_GBC_227882aeaa9b4aa98d6af8bcac2af7a5"/>
            <w:id w:val="-1223905194"/>
            <w:lock w:val="sdtContentLocked"/>
            <w:placeholder>
              <w:docPart w:val="GBC22222222222222222222222222222"/>
            </w:placeholder>
          </w:sdtPr>
          <w:sdtContent>
            <w:p w:rsidR="004A56C5" w:rsidRDefault="00ED2DC7" w:rsidP="004A56C5">
              <w:r>
                <w:fldChar w:fldCharType="begin"/>
              </w:r>
              <w:r w:rsidR="004A56C5">
                <w:instrText xml:space="preserve"> MACROBUTTON  SnrToggleCheckbox □适用 </w:instrText>
              </w:r>
              <w:r>
                <w:fldChar w:fldCharType="end"/>
              </w:r>
              <w:r>
                <w:fldChar w:fldCharType="begin"/>
              </w:r>
              <w:r w:rsidR="004A56C5">
                <w:instrText xml:space="preserve"> MACROBUTTON  SnrToggleCheckbox √不适用 </w:instrText>
              </w:r>
              <w:r>
                <w:fldChar w:fldCharType="end"/>
              </w:r>
            </w:p>
          </w:sdtContent>
        </w:sdt>
        <w:p w:rsidR="00ED2DC7" w:rsidRDefault="000D0A99">
          <w:pPr>
            <w:rPr>
              <w:szCs w:val="21"/>
            </w:rPr>
          </w:pPr>
        </w:p>
      </w:sdtContent>
    </w:sdt>
    <w:bookmarkEnd w:id="167" w:displacedByCustomXml="prev"/>
    <w:p w:rsidR="00ED2DC7" w:rsidRDefault="00ED2DC7">
      <w:pPr>
        <w:rPr>
          <w:szCs w:val="21"/>
        </w:rPr>
      </w:pPr>
    </w:p>
    <w:p w:rsidR="00ED2DC7" w:rsidRDefault="00ED2DC7" w:rsidP="00036BDC">
      <w:pPr>
        <w:pStyle w:val="affffffffffffffffff1"/>
        <w:numPr>
          <w:ilvl w:val="0"/>
          <w:numId w:val="49"/>
        </w:numPr>
        <w:tabs>
          <w:tab w:val="left" w:pos="504"/>
        </w:tabs>
        <w:rPr>
          <w:rFonts w:ascii="宋体" w:hAnsi="宋体"/>
          <w:szCs w:val="21"/>
        </w:rPr>
      </w:pPr>
      <w:r>
        <w:rPr>
          <w:rFonts w:ascii="宋体" w:hAnsi="宋体" w:hint="eastAsia"/>
          <w:szCs w:val="21"/>
        </w:rPr>
        <w:t>短期借款</w:t>
      </w:r>
    </w:p>
    <w:sdt>
      <w:sdtPr>
        <w:rPr>
          <w:rFonts w:ascii="宋体" w:hAnsi="宋体" w:cs="宋体" w:hint="eastAsia"/>
          <w:b w:val="0"/>
          <w:bCs w:val="0"/>
          <w:kern w:val="0"/>
          <w:szCs w:val="21"/>
        </w:rPr>
        <w:alias w:val="模块:短期借款分类"/>
        <w:tag w:val="_GBC_7bd2428d8b3140c1a80e7a88bb928c1f"/>
        <w:id w:val="1003250760"/>
        <w:lock w:val="sdtLocked"/>
        <w:placeholder>
          <w:docPart w:val="GBC22222222222222222222222222222"/>
        </w:placeholder>
      </w:sdtPr>
      <w:sdtEndPr>
        <w:rPr>
          <w:rFonts w:cstheme="minorBidi" w:hint="default"/>
          <w:color w:val="000000" w:themeColor="text1"/>
          <w:kern w:val="2"/>
        </w:rPr>
      </w:sdtEndPr>
      <w:sdtContent>
        <w:p w:rsidR="00ED2DC7" w:rsidRDefault="00ED2DC7" w:rsidP="00036BDC">
          <w:pPr>
            <w:pStyle w:val="affffffffffffffffff2"/>
            <w:numPr>
              <w:ilvl w:val="0"/>
              <w:numId w:val="68"/>
            </w:numPr>
            <w:tabs>
              <w:tab w:val="left" w:pos="630"/>
            </w:tabs>
            <w:rPr>
              <w:rFonts w:ascii="宋体" w:hAnsi="宋体"/>
              <w:szCs w:val="21"/>
            </w:rPr>
          </w:pPr>
          <w:r>
            <w:rPr>
              <w:rFonts w:ascii="宋体" w:hAnsi="宋体" w:hint="eastAsia"/>
              <w:szCs w:val="21"/>
            </w:rPr>
            <w:t>短期借款分类</w:t>
          </w:r>
        </w:p>
        <w:sdt>
          <w:sdtPr>
            <w:alias w:val="是否适用：短期借款分类[双击切换]"/>
            <w:tag w:val="_GBC_1074387a68b64f6b9270b522de53ad85"/>
            <w:id w:val="-1779477011"/>
            <w:lock w:val="sdtContentLocked"/>
            <w:placeholder>
              <w:docPart w:val="GBC22222222222222222222222222222"/>
            </w:placeholder>
          </w:sdtPr>
          <w:sdtContent>
            <w:p w:rsidR="00ED2DC7" w:rsidRDefault="00ED2DC7">
              <w:r>
                <w:fldChar w:fldCharType="begin"/>
              </w:r>
              <w:r w:rsidR="004A56C5">
                <w:instrText xml:space="preserve"> MACROBUTTON  SnrToggleCheckbox √适用 </w:instrText>
              </w:r>
              <w:r>
                <w:fldChar w:fldCharType="end"/>
              </w:r>
              <w:r>
                <w:fldChar w:fldCharType="begin"/>
              </w:r>
              <w:r w:rsidR="004A56C5">
                <w:instrText xml:space="preserve"> MACROBUTTON  SnrToggleCheckbox □不适用 </w:instrText>
              </w:r>
              <w:r>
                <w:fldChar w:fldCharType="end"/>
              </w:r>
            </w:p>
          </w:sdtContent>
        </w:sdt>
        <w:p w:rsidR="00ED2DC7" w:rsidRDefault="00ED2DC7">
          <w:pPr>
            <w:jc w:val="right"/>
            <w:rPr>
              <w:szCs w:val="21"/>
            </w:rPr>
          </w:pPr>
          <w:r>
            <w:rPr>
              <w:rFonts w:hint="eastAsia"/>
              <w:szCs w:val="21"/>
            </w:rPr>
            <w:t>单位：</w:t>
          </w:r>
          <w:sdt>
            <w:sdtPr>
              <w:rPr>
                <w:rFonts w:hint="eastAsia"/>
                <w:szCs w:val="21"/>
              </w:rPr>
              <w:alias w:val="单位：财务附注：短期借款分类"/>
              <w:tag w:val="_GBC_f3353209b65c4921b63143340e11aac9"/>
              <w:id w:val="-8544948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hint="eastAsia"/>
                  <w:szCs w:val="21"/>
                </w:rPr>
                <w:t>元</w:t>
              </w:r>
            </w:sdtContent>
          </w:sdt>
          <w:r>
            <w:rPr>
              <w:rFonts w:hint="eastAsia"/>
              <w:szCs w:val="21"/>
            </w:rPr>
            <w:t xml:space="preserve">  币种：</w:t>
          </w:r>
          <w:sdt>
            <w:sdtPr>
              <w:rPr>
                <w:rFonts w:hint="eastAsia"/>
                <w:szCs w:val="21"/>
              </w:rPr>
              <w:alias w:val="币种：财务附注：短期借款分类"/>
              <w:tag w:val="_GBC_b3a1802faad14eae96cfab316b25f639"/>
              <w:id w:val="4597684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szCs w:val="21"/>
                </w:rPr>
                <w:t>人民币</w:t>
              </w:r>
            </w:sdtContent>
          </w:sdt>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847"/>
            <w:gridCol w:w="2980"/>
            <w:gridCol w:w="2996"/>
          </w:tblGrid>
          <w:tr w:rsidR="00ED2DC7" w:rsidTr="00CC4C91">
            <w:trPr>
              <w:cantSplit/>
            </w:trPr>
            <w:sdt>
              <w:sdtPr>
                <w:tag w:val="_PLD_3476605067da474199aa03dc83e3d88c"/>
                <w:id w:val="-1135949414"/>
                <w:lock w:val="sdtLocked"/>
              </w:sdtPr>
              <w:sdtContent>
                <w:tc>
                  <w:tcPr>
                    <w:tcW w:w="1613" w:type="pct"/>
                    <w:vAlign w:val="center"/>
                  </w:tcPr>
                  <w:p w:rsidR="00ED2DC7" w:rsidRDefault="00ED2DC7">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项目</w:t>
                    </w:r>
                  </w:p>
                </w:tc>
              </w:sdtContent>
            </w:sdt>
            <w:sdt>
              <w:sdtPr>
                <w:tag w:val="_PLD_ccd6dc2751cc421e8a2f26f78a44b4c5"/>
                <w:id w:val="1851222202"/>
                <w:lock w:val="sdtLocked"/>
              </w:sdtPr>
              <w:sdtContent>
                <w:tc>
                  <w:tcPr>
                    <w:tcW w:w="1689" w:type="pct"/>
                    <w:vAlign w:val="center"/>
                  </w:tcPr>
                  <w:p w:rsidR="00ED2DC7" w:rsidRDefault="00ED2DC7">
                    <w:pPr>
                      <w:jc w:val="center"/>
                      <w:rPr>
                        <w:color w:val="000000" w:themeColor="text1"/>
                        <w:szCs w:val="21"/>
                      </w:rPr>
                    </w:pPr>
                    <w:r>
                      <w:rPr>
                        <w:rFonts w:hint="eastAsia"/>
                        <w:color w:val="000000" w:themeColor="text1"/>
                        <w:szCs w:val="21"/>
                      </w:rPr>
                      <w:t>期末余额</w:t>
                    </w:r>
                  </w:p>
                </w:tc>
              </w:sdtContent>
            </w:sdt>
            <w:sdt>
              <w:sdtPr>
                <w:tag w:val="_PLD_c16f582c583d4324abc605c4bc563081"/>
                <w:id w:val="-265920119"/>
                <w:lock w:val="sdtLocked"/>
              </w:sdtPr>
              <w:sdtContent>
                <w:tc>
                  <w:tcPr>
                    <w:tcW w:w="1698" w:type="pct"/>
                    <w:vAlign w:val="center"/>
                  </w:tcPr>
                  <w:p w:rsidR="00ED2DC7" w:rsidRDefault="00ED2DC7">
                    <w:pPr>
                      <w:jc w:val="center"/>
                      <w:rPr>
                        <w:color w:val="000000" w:themeColor="text1"/>
                        <w:szCs w:val="21"/>
                      </w:rPr>
                    </w:pPr>
                    <w:r>
                      <w:rPr>
                        <w:rFonts w:hint="eastAsia"/>
                        <w:color w:val="000000" w:themeColor="text1"/>
                        <w:szCs w:val="21"/>
                      </w:rPr>
                      <w:t>期初余额</w:t>
                    </w:r>
                  </w:p>
                </w:tc>
              </w:sdtContent>
            </w:sdt>
          </w:tr>
          <w:tr w:rsidR="00ED2DC7" w:rsidTr="00CC4C91">
            <w:trPr>
              <w:cantSplit/>
            </w:trPr>
            <w:sdt>
              <w:sdtPr>
                <w:tag w:val="_PLD_683943eeaad3404fa9922b66239868d3"/>
                <w:id w:val="528691074"/>
                <w:lock w:val="sdtLocked"/>
              </w:sdtPr>
              <w:sdtContent>
                <w:tc>
                  <w:tcPr>
                    <w:tcW w:w="1613" w:type="pct"/>
                    <w:shd w:val="clear" w:color="auto" w:fill="auto"/>
                  </w:tcPr>
                  <w:p w:rsidR="00ED2DC7" w:rsidRDefault="00ED2DC7">
                    <w:pPr>
                      <w:autoSpaceDE w:val="0"/>
                      <w:autoSpaceDN w:val="0"/>
                      <w:adjustRightInd w:val="0"/>
                      <w:snapToGrid w:val="0"/>
                      <w:spacing w:line="240" w:lineRule="atLeast"/>
                      <w:jc w:val="both"/>
                      <w:rPr>
                        <w:color w:val="000000" w:themeColor="text1"/>
                        <w:szCs w:val="21"/>
                      </w:rPr>
                    </w:pPr>
                    <w:r>
                      <w:rPr>
                        <w:rFonts w:hint="eastAsia"/>
                        <w:color w:val="000000" w:themeColor="text1"/>
                        <w:szCs w:val="21"/>
                      </w:rPr>
                      <w:t>保证借款</w:t>
                    </w:r>
                  </w:p>
                </w:tc>
              </w:sdtContent>
            </w:sdt>
            <w:tc>
              <w:tcPr>
                <w:tcW w:w="1689" w:type="pct"/>
                <w:shd w:val="clear" w:color="auto" w:fill="auto"/>
              </w:tcPr>
              <w:p w:rsidR="00ED2DC7" w:rsidRDefault="00556292" w:rsidP="00556292">
                <w:pPr>
                  <w:autoSpaceDE w:val="0"/>
                  <w:autoSpaceDN w:val="0"/>
                  <w:adjustRightInd w:val="0"/>
                  <w:snapToGrid w:val="0"/>
                  <w:spacing w:line="240" w:lineRule="atLeast"/>
                  <w:ind w:right="180"/>
                  <w:jc w:val="right"/>
                  <w:rPr>
                    <w:szCs w:val="21"/>
                  </w:rPr>
                </w:pPr>
                <w:r w:rsidRPr="00556292">
                  <w:rPr>
                    <w:szCs w:val="21"/>
                  </w:rPr>
                  <w:t>343,735,000</w:t>
                </w:r>
              </w:p>
            </w:tc>
            <w:tc>
              <w:tcPr>
                <w:tcW w:w="1698" w:type="pct"/>
                <w:shd w:val="clear" w:color="auto" w:fill="auto"/>
              </w:tcPr>
              <w:p w:rsidR="00ED2DC7" w:rsidRDefault="008F04CF">
                <w:pPr>
                  <w:autoSpaceDE w:val="0"/>
                  <w:autoSpaceDN w:val="0"/>
                  <w:adjustRightInd w:val="0"/>
                  <w:snapToGrid w:val="0"/>
                  <w:spacing w:line="240" w:lineRule="atLeast"/>
                  <w:ind w:right="180"/>
                  <w:jc w:val="right"/>
                  <w:rPr>
                    <w:szCs w:val="21"/>
                  </w:rPr>
                </w:pPr>
                <w:r>
                  <w:rPr>
                    <w:szCs w:val="21"/>
                  </w:rPr>
                  <w:t>1,358,329,000</w:t>
                </w:r>
              </w:p>
            </w:tc>
          </w:tr>
          <w:tr w:rsidR="00ED2DC7" w:rsidTr="00CC4C91">
            <w:trPr>
              <w:cantSplit/>
              <w:trHeight w:val="237"/>
            </w:trPr>
            <w:sdt>
              <w:sdtPr>
                <w:tag w:val="_PLD_ac3f684241c3446d8157cc100dc691d8"/>
                <w:id w:val="-709502970"/>
                <w:lock w:val="sdtLocked"/>
              </w:sdtPr>
              <w:sdtContent>
                <w:tc>
                  <w:tcPr>
                    <w:tcW w:w="1613" w:type="pct"/>
                    <w:shd w:val="clear" w:color="auto" w:fill="auto"/>
                  </w:tcPr>
                  <w:p w:rsidR="00ED2DC7" w:rsidRDefault="00ED2DC7">
                    <w:pPr>
                      <w:autoSpaceDE w:val="0"/>
                      <w:autoSpaceDN w:val="0"/>
                      <w:adjustRightInd w:val="0"/>
                      <w:snapToGrid w:val="0"/>
                      <w:spacing w:line="240" w:lineRule="atLeast"/>
                      <w:jc w:val="both"/>
                      <w:rPr>
                        <w:color w:val="000000" w:themeColor="text1"/>
                        <w:szCs w:val="21"/>
                      </w:rPr>
                    </w:pPr>
                    <w:r>
                      <w:rPr>
                        <w:rFonts w:hint="eastAsia"/>
                        <w:color w:val="000000" w:themeColor="text1"/>
                        <w:szCs w:val="21"/>
                      </w:rPr>
                      <w:t>信用借款</w:t>
                    </w:r>
                  </w:p>
                </w:tc>
              </w:sdtContent>
            </w:sdt>
            <w:tc>
              <w:tcPr>
                <w:tcW w:w="1689" w:type="pct"/>
                <w:shd w:val="clear" w:color="auto" w:fill="auto"/>
              </w:tcPr>
              <w:p w:rsidR="00ED2DC7" w:rsidRDefault="00556292">
                <w:pPr>
                  <w:autoSpaceDE w:val="0"/>
                  <w:autoSpaceDN w:val="0"/>
                  <w:adjustRightInd w:val="0"/>
                  <w:snapToGrid w:val="0"/>
                  <w:spacing w:line="240" w:lineRule="atLeast"/>
                  <w:ind w:right="180"/>
                  <w:jc w:val="right"/>
                  <w:rPr>
                    <w:szCs w:val="21"/>
                  </w:rPr>
                </w:pPr>
                <w:r w:rsidRPr="00556292">
                  <w:rPr>
                    <w:szCs w:val="21"/>
                  </w:rPr>
                  <w:t>3,987,241,000</w:t>
                </w:r>
              </w:p>
            </w:tc>
            <w:tc>
              <w:tcPr>
                <w:tcW w:w="1698" w:type="pct"/>
                <w:shd w:val="clear" w:color="auto" w:fill="auto"/>
              </w:tcPr>
              <w:p w:rsidR="00ED2DC7" w:rsidRDefault="00556292">
                <w:pPr>
                  <w:autoSpaceDE w:val="0"/>
                  <w:autoSpaceDN w:val="0"/>
                  <w:adjustRightInd w:val="0"/>
                  <w:snapToGrid w:val="0"/>
                  <w:spacing w:line="240" w:lineRule="atLeast"/>
                  <w:ind w:right="180"/>
                  <w:jc w:val="right"/>
                  <w:rPr>
                    <w:szCs w:val="21"/>
                  </w:rPr>
                </w:pPr>
                <w:r w:rsidRPr="00556292">
                  <w:rPr>
                    <w:szCs w:val="21"/>
                  </w:rPr>
                  <w:t>1,798,075,</w:t>
                </w:r>
                <w:r w:rsidR="008F04CF">
                  <w:rPr>
                    <w:szCs w:val="21"/>
                  </w:rPr>
                  <w:t>000</w:t>
                </w:r>
              </w:p>
            </w:tc>
          </w:tr>
          <w:tr w:rsidR="00ED2DC7" w:rsidTr="00CC4C91">
            <w:trPr>
              <w:cantSplit/>
            </w:trPr>
            <w:sdt>
              <w:sdtPr>
                <w:tag w:val="_PLD_d743f636779d41b799b60f4fd4a017df"/>
                <w:id w:val="-983314312"/>
                <w:lock w:val="sdtLocked"/>
              </w:sdtPr>
              <w:sdtContent>
                <w:tc>
                  <w:tcPr>
                    <w:tcW w:w="1613" w:type="pct"/>
                    <w:vAlign w:val="center"/>
                  </w:tcPr>
                  <w:p w:rsidR="00ED2DC7" w:rsidRDefault="00ED2DC7">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合计</w:t>
                    </w:r>
                  </w:p>
                </w:tc>
              </w:sdtContent>
            </w:sdt>
            <w:tc>
              <w:tcPr>
                <w:tcW w:w="1689" w:type="pct"/>
              </w:tcPr>
              <w:p w:rsidR="00ED2DC7" w:rsidRDefault="00556292">
                <w:pPr>
                  <w:autoSpaceDE w:val="0"/>
                  <w:autoSpaceDN w:val="0"/>
                  <w:adjustRightInd w:val="0"/>
                  <w:snapToGrid w:val="0"/>
                  <w:spacing w:line="240" w:lineRule="atLeast"/>
                  <w:ind w:right="180"/>
                  <w:jc w:val="right"/>
                  <w:rPr>
                    <w:szCs w:val="21"/>
                  </w:rPr>
                </w:pPr>
                <w:r w:rsidRPr="00556292">
                  <w:rPr>
                    <w:szCs w:val="21"/>
                  </w:rPr>
                  <w:t>4,330,976,000</w:t>
                </w:r>
              </w:p>
            </w:tc>
            <w:tc>
              <w:tcPr>
                <w:tcW w:w="1698" w:type="pct"/>
              </w:tcPr>
              <w:p w:rsidR="00ED2DC7" w:rsidRDefault="008F04CF">
                <w:pPr>
                  <w:autoSpaceDE w:val="0"/>
                  <w:autoSpaceDN w:val="0"/>
                  <w:adjustRightInd w:val="0"/>
                  <w:snapToGrid w:val="0"/>
                  <w:spacing w:line="240" w:lineRule="atLeast"/>
                  <w:ind w:right="180"/>
                  <w:jc w:val="right"/>
                  <w:rPr>
                    <w:szCs w:val="21"/>
                  </w:rPr>
                </w:pPr>
                <w:r>
                  <w:rPr>
                    <w:szCs w:val="21"/>
                  </w:rPr>
                  <w:t>3,156,404,000</w:t>
                </w:r>
              </w:p>
            </w:tc>
          </w:tr>
        </w:tbl>
        <w:p w:rsidR="00ED2DC7" w:rsidRDefault="00ED2DC7">
          <w:pPr>
            <w:snapToGrid w:val="0"/>
            <w:spacing w:line="240" w:lineRule="atLeast"/>
            <w:rPr>
              <w:color w:val="000000" w:themeColor="text1"/>
              <w:szCs w:val="21"/>
            </w:rPr>
          </w:pPr>
          <w:r>
            <w:rPr>
              <w:rFonts w:hint="eastAsia"/>
              <w:color w:val="000000" w:themeColor="text1"/>
              <w:szCs w:val="21"/>
            </w:rPr>
            <w:t>短期借款分类的说明：</w:t>
          </w:r>
        </w:p>
        <w:sdt>
          <w:sdtPr>
            <w:rPr>
              <w:szCs w:val="21"/>
            </w:rPr>
            <w:alias w:val="短期借款分类的说明"/>
            <w:tag w:val="_GBC_fc19e133dd4f4dbdb9d583e76175b714"/>
            <w:id w:val="-127320160"/>
            <w:lock w:val="sdtLocked"/>
            <w:placeholder>
              <w:docPart w:val="GBC22222222222222222222222222222"/>
            </w:placeholder>
          </w:sdtPr>
          <w:sdtContent>
            <w:p w:rsidR="00B637B2" w:rsidRPr="001A7E0F" w:rsidRDefault="008F04CF" w:rsidP="00B637B2">
              <w:pPr>
                <w:snapToGrid w:val="0"/>
                <w:spacing w:line="240" w:lineRule="atLeast"/>
                <w:rPr>
                  <w:szCs w:val="21"/>
                </w:rPr>
              </w:pPr>
              <w:r w:rsidRPr="001A7E0F">
                <w:rPr>
                  <w:rFonts w:hint="eastAsia"/>
                  <w:szCs w:val="21"/>
                </w:rPr>
                <w:t>于</w:t>
              </w:r>
              <w:r w:rsidRPr="001A7E0F">
                <w:rPr>
                  <w:szCs w:val="21"/>
                </w:rPr>
                <w:t>2019年6月30日，上述借款的年利率为4.39%至4.79%(2018年12月31日借款的年利率为3.92%至5.66%)。</w:t>
              </w:r>
            </w:p>
            <w:p w:rsidR="00B637B2" w:rsidRPr="001A7E0F" w:rsidRDefault="008F04CF" w:rsidP="00B637B2">
              <w:pPr>
                <w:snapToGrid w:val="0"/>
                <w:spacing w:line="240" w:lineRule="atLeast"/>
                <w:rPr>
                  <w:szCs w:val="21"/>
                </w:rPr>
              </w:pPr>
              <w:r w:rsidRPr="001A7E0F">
                <w:rPr>
                  <w:szCs w:val="21"/>
                </w:rPr>
                <w:tab/>
              </w:r>
            </w:p>
            <w:p w:rsidR="00ED2DC7" w:rsidRDefault="008F04CF" w:rsidP="00B637B2">
              <w:pPr>
                <w:snapToGrid w:val="0"/>
                <w:spacing w:line="240" w:lineRule="atLeast"/>
                <w:rPr>
                  <w:color w:val="000000" w:themeColor="text1"/>
                  <w:szCs w:val="21"/>
                </w:rPr>
              </w:pPr>
              <w:r w:rsidRPr="001A7E0F">
                <w:rPr>
                  <w:rFonts w:hint="eastAsia"/>
                  <w:szCs w:val="21"/>
                </w:rPr>
                <w:t>于</w:t>
              </w:r>
              <w:r w:rsidRPr="001A7E0F">
                <w:rPr>
                  <w:szCs w:val="21"/>
                </w:rPr>
                <w:t>2019年6月30日，本集团无已到期但未偿还的短期借款(2018年12月31日：无)。</w:t>
              </w:r>
            </w:p>
          </w:sdtContent>
        </w:sdt>
      </w:sdtContent>
    </w:sdt>
    <w:p w:rsidR="00ED2DC7" w:rsidRDefault="00ED2DC7">
      <w:pPr>
        <w:snapToGrid w:val="0"/>
        <w:spacing w:line="240" w:lineRule="atLeast"/>
        <w:ind w:rightChars="-73" w:right="-153"/>
        <w:rPr>
          <w:b/>
          <w:szCs w:val="21"/>
        </w:rPr>
      </w:pPr>
    </w:p>
    <w:sdt>
      <w:sdtPr>
        <w:rPr>
          <w:rFonts w:ascii="宋体" w:hAnsi="宋体" w:cs="宋体" w:hint="eastAsia"/>
          <w:b w:val="0"/>
          <w:bCs w:val="0"/>
          <w:kern w:val="0"/>
          <w:szCs w:val="21"/>
        </w:rPr>
        <w:alias w:val="模块:已到期未偿还的短期借款情况"/>
        <w:tag w:val="_GBC_ed2a6c31b7cf49cda098dbe4c44cf674"/>
        <w:id w:val="-1266376179"/>
        <w:lock w:val="sdtLocked"/>
        <w:placeholder>
          <w:docPart w:val="GBC22222222222222222222222222222"/>
        </w:placeholder>
      </w:sdtPr>
      <w:sdtEndPr>
        <w:rPr>
          <w:rFonts w:cstheme="minorBidi" w:hint="default"/>
          <w:color w:val="000000" w:themeColor="text1"/>
          <w:kern w:val="2"/>
        </w:rPr>
      </w:sdtEndPr>
      <w:sdtContent>
        <w:p w:rsidR="00ED2DC7" w:rsidRDefault="00ED2DC7" w:rsidP="00036BDC">
          <w:pPr>
            <w:pStyle w:val="affffffffffffffffff2"/>
            <w:numPr>
              <w:ilvl w:val="0"/>
              <w:numId w:val="68"/>
            </w:numPr>
            <w:tabs>
              <w:tab w:val="left" w:pos="630"/>
            </w:tabs>
            <w:rPr>
              <w:rFonts w:ascii="宋体" w:hAnsi="宋体"/>
              <w:szCs w:val="21"/>
            </w:rPr>
          </w:pPr>
          <w:r>
            <w:rPr>
              <w:rFonts w:ascii="宋体" w:hAnsi="宋体" w:hint="eastAsia"/>
              <w:szCs w:val="21"/>
            </w:rPr>
            <w:t>已逾期未偿还的短期借款情况</w:t>
          </w:r>
        </w:p>
        <w:sdt>
          <w:sdtPr>
            <w:alias w:val="是否适用：已逾期未偿还的短期借款情况[双击切换]"/>
            <w:tag w:val="_GBC_57f74ff95a304f19a7c06d7996fc30c7"/>
            <w:id w:val="1742214419"/>
            <w:lock w:val="sdtContentLocked"/>
            <w:placeholder>
              <w:docPart w:val="GBC22222222222222222222222222222"/>
            </w:placeholder>
          </w:sdtPr>
          <w:sdtContent>
            <w:p w:rsidR="00ED2DC7" w:rsidRDefault="00ED2DC7" w:rsidP="00BB09BF">
              <w:pPr>
                <w:rPr>
                  <w:szCs w:val="21"/>
                </w:rPr>
              </w:pPr>
              <w:r>
                <w:fldChar w:fldCharType="begin"/>
              </w:r>
              <w:r w:rsidR="00BB09BF">
                <w:instrText xml:space="preserve"> MACROBUTTON  SnrToggleCheckbox □适用 </w:instrText>
              </w:r>
              <w:r>
                <w:fldChar w:fldCharType="end"/>
              </w:r>
              <w:r>
                <w:fldChar w:fldCharType="begin"/>
              </w:r>
              <w:r w:rsidR="00BB09BF">
                <w:instrText xml:space="preserve"> MACROBUTTON  SnrToggleCheckbox √不适用 </w:instrText>
              </w:r>
              <w:r>
                <w:fldChar w:fldCharType="end"/>
              </w:r>
            </w:p>
          </w:sdtContent>
        </w:sdt>
      </w:sdtContent>
    </w:sdt>
    <w:sdt>
      <w:sdtPr>
        <w:rPr>
          <w:rFonts w:hint="eastAsia"/>
          <w:szCs w:val="21"/>
        </w:rPr>
        <w:alias w:val="模块:短期借款的说明"/>
        <w:tag w:val="_GBC_46c6d163213144f484acc37c597c42f6"/>
        <w:id w:val="-925343428"/>
        <w:lock w:val="sdtLocked"/>
        <w:placeholder>
          <w:docPart w:val="GBC22222222222222222222222222222"/>
        </w:placeholder>
      </w:sdtPr>
      <w:sdtContent>
        <w:p w:rsidR="00ED2DC7" w:rsidRDefault="00ED2DC7">
          <w:pPr>
            <w:rPr>
              <w:szCs w:val="21"/>
            </w:rPr>
          </w:pPr>
          <w:r>
            <w:rPr>
              <w:rFonts w:hint="eastAsia"/>
              <w:szCs w:val="21"/>
            </w:rPr>
            <w:t>其他说明：</w:t>
          </w:r>
        </w:p>
        <w:sdt>
          <w:sdtPr>
            <w:rPr>
              <w:szCs w:val="21"/>
            </w:rPr>
            <w:alias w:val="是否适用：短期借款的说明[双击切换]"/>
            <w:tag w:val="_GBC_663e3ee6df014147bb9c7daa18ccb062"/>
            <w:id w:val="898092416"/>
            <w:lock w:val="sdtContentLocked"/>
            <w:placeholder>
              <w:docPart w:val="GBC22222222222222222222222222222"/>
            </w:placeholder>
          </w:sdtPr>
          <w:sdtContent>
            <w:p w:rsidR="003A5781" w:rsidRDefault="00ED2DC7" w:rsidP="000D3163">
              <w:pPr>
                <w:rPr>
                  <w:szCs w:val="21"/>
                </w:rPr>
              </w:pPr>
              <w:r>
                <w:rPr>
                  <w:szCs w:val="21"/>
                </w:rPr>
                <w:fldChar w:fldCharType="begin"/>
              </w:r>
              <w:r w:rsidR="003A5781">
                <w:rPr>
                  <w:szCs w:val="21"/>
                </w:rPr>
                <w:instrText xml:space="preserve"> MACROBUTTON  SnrToggleCheckbox √适用 </w:instrText>
              </w:r>
              <w:r>
                <w:rPr>
                  <w:szCs w:val="21"/>
                </w:rPr>
                <w:fldChar w:fldCharType="end"/>
              </w:r>
              <w:r>
                <w:rPr>
                  <w:szCs w:val="21"/>
                </w:rPr>
                <w:fldChar w:fldCharType="begin"/>
              </w:r>
              <w:r w:rsidR="003A5781">
                <w:rPr>
                  <w:szCs w:val="21"/>
                </w:rPr>
                <w:instrText xml:space="preserve"> MACROBUTTON  SnrToggleCheckbox □不适用 </w:instrText>
              </w:r>
              <w:r>
                <w:rPr>
                  <w:szCs w:val="21"/>
                </w:rPr>
                <w:fldChar w:fldCharType="end"/>
              </w:r>
            </w:p>
          </w:sdtContent>
        </w:sdt>
        <w:sdt>
          <w:sdtPr>
            <w:rPr>
              <w:szCs w:val="21"/>
            </w:rPr>
            <w:alias w:val="短期借款的说明"/>
            <w:tag w:val="_GBC_f83a01e6af164b4da13676c844a2f2a5"/>
            <w:id w:val="436954506"/>
            <w:lock w:val="sdtLocked"/>
          </w:sdtPr>
          <w:sdtContent>
            <w:p w:rsidR="003A5781" w:rsidRDefault="008F04CF" w:rsidP="003A5781">
              <w:pPr>
                <w:rPr>
                  <w:szCs w:val="21"/>
                </w:rPr>
              </w:pPr>
              <w:r>
                <w:rPr>
                  <w:rFonts w:hint="eastAsia"/>
                  <w:szCs w:val="21"/>
                </w:rPr>
                <w:t>无。</w:t>
              </w:r>
              <w:r>
                <w:rPr>
                  <w:szCs w:val="21"/>
                </w:rPr>
                <w:t xml:space="preserve"> </w:t>
              </w:r>
            </w:p>
          </w:sdtContent>
        </w:sdt>
        <w:p w:rsidR="00ED2DC7" w:rsidRDefault="000D0A99" w:rsidP="000D3163">
          <w:pPr>
            <w:rPr>
              <w:szCs w:val="21"/>
            </w:rPr>
          </w:pPr>
        </w:p>
      </w:sdtContent>
    </w:sdt>
    <w:p w:rsidR="00ED2DC7" w:rsidRDefault="00ED2DC7">
      <w:pPr>
        <w:rPr>
          <w:szCs w:val="21"/>
        </w:rPr>
      </w:pPr>
    </w:p>
    <w:bookmarkStart w:id="168" w:name="_Hlk10535388" w:displacedByCustomXml="next"/>
    <w:sdt>
      <w:sdtPr>
        <w:rPr>
          <w:rFonts w:ascii="宋体" w:hAnsi="宋体" w:cs="宋体" w:hint="eastAsia"/>
          <w:b w:val="0"/>
          <w:bCs w:val="0"/>
          <w:kern w:val="0"/>
          <w:szCs w:val="21"/>
        </w:rPr>
        <w:alias w:val="模块:交易性金融负债"/>
        <w:tag w:val="_SEC_354c17e0a096493bbae36dd9bb3f3774"/>
        <w:id w:val="606628531"/>
        <w:lock w:val="sdtLocked"/>
        <w:placeholder>
          <w:docPart w:val="GBC22222222222222222222222222222"/>
        </w:placeholder>
      </w:sdtPr>
      <w:sdtEndPr>
        <w:rPr>
          <w:rFonts w:hint="default"/>
        </w:rPr>
      </w:sdtEndPr>
      <w:sdtContent>
        <w:p w:rsidR="00ED2DC7" w:rsidRDefault="00ED2DC7" w:rsidP="00036BDC">
          <w:pPr>
            <w:pStyle w:val="affffffffffffffffff1"/>
            <w:numPr>
              <w:ilvl w:val="0"/>
              <w:numId w:val="49"/>
            </w:numPr>
            <w:tabs>
              <w:tab w:val="left" w:pos="504"/>
            </w:tabs>
            <w:rPr>
              <w:szCs w:val="21"/>
            </w:rPr>
          </w:pPr>
          <w:r>
            <w:rPr>
              <w:rFonts w:hint="eastAsia"/>
              <w:szCs w:val="21"/>
            </w:rPr>
            <w:t>交易性金融负债</w:t>
          </w:r>
        </w:p>
        <w:sdt>
          <w:sdtPr>
            <w:rPr>
              <w:szCs w:val="21"/>
            </w:rPr>
            <w:alias w:val="是否适用：交易性金融负债[双击切换]"/>
            <w:tag w:val="_GBC_ed513d792f1f4a5f8256d125428aafdf"/>
            <w:id w:val="-1933584122"/>
            <w:lock w:val="sdtContentLocked"/>
            <w:placeholder>
              <w:docPart w:val="GBC22222222222222222222222222222"/>
            </w:placeholder>
          </w:sdtPr>
          <w:sdtContent>
            <w:p w:rsidR="00BB09BF" w:rsidRDefault="00ED2DC7" w:rsidP="00BB09BF">
              <w:r>
                <w:rPr>
                  <w:szCs w:val="21"/>
                </w:rPr>
                <w:fldChar w:fldCharType="begin"/>
              </w:r>
              <w:r w:rsidR="00BB09BF">
                <w:rPr>
                  <w:szCs w:val="21"/>
                </w:rPr>
                <w:instrText xml:space="preserve"> MACROBUTTON  SnrToggleCheckbox □适用 </w:instrText>
              </w:r>
              <w:r>
                <w:rPr>
                  <w:szCs w:val="21"/>
                </w:rPr>
                <w:fldChar w:fldCharType="end"/>
              </w:r>
              <w:r>
                <w:rPr>
                  <w:szCs w:val="21"/>
                </w:rPr>
                <w:fldChar w:fldCharType="begin"/>
              </w:r>
              <w:r w:rsidR="00BB09BF">
                <w:rPr>
                  <w:szCs w:val="21"/>
                </w:rPr>
                <w:instrText xml:space="preserve"> MACROBUTTON  SnrToggleCheckbox √不适用 </w:instrText>
              </w:r>
              <w:r>
                <w:rPr>
                  <w:szCs w:val="21"/>
                </w:rPr>
                <w:fldChar w:fldCharType="end"/>
              </w:r>
            </w:p>
          </w:sdtContent>
        </w:sdt>
        <w:p w:rsidR="00ED2DC7" w:rsidRDefault="000D0A99">
          <w:pPr>
            <w:rPr>
              <w:szCs w:val="21"/>
            </w:rPr>
          </w:pPr>
        </w:p>
      </w:sdtContent>
    </w:sdt>
    <w:bookmarkEnd w:id="168" w:displacedByCustomXml="prev"/>
    <w:p w:rsidR="00ED2DC7" w:rsidRDefault="00ED2DC7">
      <w:pPr>
        <w:rPr>
          <w:szCs w:val="21"/>
        </w:rPr>
      </w:pPr>
    </w:p>
    <w:sdt>
      <w:sdtPr>
        <w:rPr>
          <w:rFonts w:ascii="宋体" w:hAnsi="宋体" w:cs="宋体" w:hint="eastAsia"/>
          <w:b w:val="0"/>
          <w:bCs w:val="0"/>
          <w:kern w:val="0"/>
          <w:szCs w:val="21"/>
        </w:rPr>
        <w:alias w:val="模块:衍生金融负债"/>
        <w:tag w:val="_GBC_c6a901495ec44a7798e3a75ddb5e06bf"/>
        <w:id w:val="-1826505678"/>
        <w:lock w:val="sdtLocked"/>
        <w:placeholder>
          <w:docPart w:val="GBC22222222222222222222222222222"/>
        </w:placeholder>
      </w:sdtPr>
      <w:sdtContent>
        <w:p w:rsidR="00ED2DC7" w:rsidRDefault="00ED2DC7" w:rsidP="00036BDC">
          <w:pPr>
            <w:pStyle w:val="affffffffffffffffff1"/>
            <w:numPr>
              <w:ilvl w:val="0"/>
              <w:numId w:val="49"/>
            </w:numPr>
            <w:tabs>
              <w:tab w:val="left" w:pos="504"/>
            </w:tabs>
            <w:rPr>
              <w:szCs w:val="21"/>
            </w:rPr>
          </w:pPr>
          <w:r>
            <w:rPr>
              <w:rFonts w:hint="eastAsia"/>
              <w:szCs w:val="21"/>
            </w:rPr>
            <w:t>衍生</w:t>
          </w:r>
          <w:r>
            <w:rPr>
              <w:rFonts w:hint="eastAsia"/>
            </w:rPr>
            <w:t>金融</w:t>
          </w:r>
          <w:r>
            <w:rPr>
              <w:rFonts w:hint="eastAsia"/>
              <w:szCs w:val="21"/>
            </w:rPr>
            <w:t>负债</w:t>
          </w:r>
        </w:p>
        <w:sdt>
          <w:sdtPr>
            <w:rPr>
              <w:szCs w:val="21"/>
            </w:rPr>
            <w:alias w:val="是否适用：衍生金融负债[双击切换]"/>
            <w:tag w:val="_GBC_3a60c0d3d0534eba80b93475b0a6411f"/>
            <w:id w:val="-1104494124"/>
            <w:lock w:val="sdtContentLocked"/>
            <w:placeholder>
              <w:docPart w:val="GBC22222222222222222222222222222"/>
            </w:placeholder>
          </w:sdtPr>
          <w:sdtContent>
            <w:p w:rsidR="00BB09BF" w:rsidRDefault="00ED2DC7" w:rsidP="00BB09BF">
              <w:pPr>
                <w:rPr>
                  <w:szCs w:val="21"/>
                </w:rPr>
              </w:pPr>
              <w:r>
                <w:rPr>
                  <w:szCs w:val="21"/>
                </w:rPr>
                <w:fldChar w:fldCharType="begin"/>
              </w:r>
              <w:r w:rsidR="003A5781">
                <w:rPr>
                  <w:szCs w:val="21"/>
                </w:rPr>
                <w:instrText xml:space="preserve"> MACROBUTTON  SnrToggleCheckbox √适用 </w:instrText>
              </w:r>
              <w:r>
                <w:rPr>
                  <w:szCs w:val="21"/>
                </w:rPr>
                <w:fldChar w:fldCharType="end"/>
              </w:r>
              <w:r>
                <w:rPr>
                  <w:szCs w:val="21"/>
                </w:rPr>
                <w:fldChar w:fldCharType="begin"/>
              </w:r>
              <w:r w:rsidR="003A5781">
                <w:rPr>
                  <w:szCs w:val="21"/>
                </w:rPr>
                <w:instrText xml:space="preserve"> MACROBUTTON  SnrToggleCheckbox □不适用 </w:instrText>
              </w:r>
              <w:r>
                <w:rPr>
                  <w:szCs w:val="21"/>
                </w:rPr>
                <w:fldChar w:fldCharType="end"/>
              </w:r>
            </w:p>
          </w:sdtContent>
        </w:sdt>
        <w:p w:rsidR="003A5781" w:rsidRDefault="003A5781">
          <w:pPr>
            <w:jc w:val="right"/>
            <w:rPr>
              <w:szCs w:val="21"/>
            </w:rPr>
          </w:pPr>
          <w:r>
            <w:rPr>
              <w:rFonts w:hint="eastAsia"/>
              <w:szCs w:val="21"/>
            </w:rPr>
            <w:t>单位：</w:t>
          </w:r>
          <w:sdt>
            <w:sdtPr>
              <w:rPr>
                <w:rFonts w:hint="eastAsia"/>
                <w:szCs w:val="21"/>
              </w:rPr>
              <w:alias w:val="单位：财务附注：衍生金融负债"/>
              <w:tag w:val="_GBC_e4465a6c3a5d41de9b6c9ca0df37fadb"/>
              <w:id w:val="1509105220"/>
              <w:lock w:val="sdtLocked"/>
              <w:comboBox>
                <w:listItem w:displayText="元" w:value="1"/>
                <w:listItem w:displayText="千元" w:value="1000"/>
                <w:listItem w:displayText="万元" w:value="10000"/>
                <w:listItem w:displayText="百万元" w:value="1000000"/>
                <w:listItem w:displayText="亿元" w:value="100000000"/>
              </w:comboBox>
            </w:sdtPr>
            <w:sdtContent>
              <w:r w:rsidR="008F04CF">
                <w:rPr>
                  <w:rFonts w:hint="eastAsia"/>
                  <w:szCs w:val="21"/>
                </w:rPr>
                <w:t>元</w:t>
              </w:r>
            </w:sdtContent>
          </w:sdt>
          <w:r>
            <w:rPr>
              <w:rFonts w:hint="eastAsia"/>
              <w:szCs w:val="21"/>
            </w:rPr>
            <w:t xml:space="preserve">  币种：</w:t>
          </w:r>
          <w:sdt>
            <w:sdtPr>
              <w:rPr>
                <w:rFonts w:hint="eastAsia"/>
                <w:szCs w:val="21"/>
              </w:rPr>
              <w:alias w:val="币种：财务附注：衍生金融负债"/>
              <w:tag w:val="_GBC_7a8b644a29214cf99cb16f1d1f6cab29"/>
              <w:id w:val="189168114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szCs w:val="21"/>
                </w:rPr>
                <w:t>人民币</w:t>
              </w:r>
            </w:sdtContent>
          </w:sdt>
        </w:p>
        <w:tbl>
          <w:tblPr>
            <w:tblStyle w:val="g35"/>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217"/>
            <w:gridCol w:w="2832"/>
            <w:gridCol w:w="2774"/>
          </w:tblGrid>
          <w:tr w:rsidR="003A5781" w:rsidTr="004F78D8">
            <w:bookmarkStart w:id="169" w:name="_Hlk16634756" w:displacedByCustomXml="next"/>
            <w:sdt>
              <w:sdtPr>
                <w:tag w:val="_PLD_d47441d2c9284b37a6077ca58651a585"/>
                <w:id w:val="-623615067"/>
                <w:lock w:val="sdtLocked"/>
              </w:sdtPr>
              <w:sdtContent>
                <w:tc>
                  <w:tcPr>
                    <w:tcW w:w="1823" w:type="pct"/>
                    <w:shd w:val="clear" w:color="auto" w:fill="auto"/>
                    <w:vAlign w:val="center"/>
                  </w:tcPr>
                  <w:p w:rsidR="003A5781" w:rsidRDefault="003A5781">
                    <w:pPr>
                      <w:jc w:val="center"/>
                      <w:rPr>
                        <w:szCs w:val="21"/>
                      </w:rPr>
                    </w:pPr>
                    <w:r>
                      <w:rPr>
                        <w:rFonts w:hint="eastAsia"/>
                        <w:szCs w:val="21"/>
                      </w:rPr>
                      <w:t>项目</w:t>
                    </w:r>
                  </w:p>
                </w:tc>
              </w:sdtContent>
            </w:sdt>
            <w:sdt>
              <w:sdtPr>
                <w:tag w:val="_PLD_84b5673c7466477c8d70e75002f809a7"/>
                <w:id w:val="327421335"/>
                <w:lock w:val="sdtLocked"/>
              </w:sdtPr>
              <w:sdtContent>
                <w:tc>
                  <w:tcPr>
                    <w:tcW w:w="1605" w:type="pct"/>
                    <w:tcBorders>
                      <w:bottom w:val="single" w:sz="6" w:space="0" w:color="auto"/>
                    </w:tcBorders>
                    <w:shd w:val="clear" w:color="auto" w:fill="auto"/>
                    <w:vAlign w:val="center"/>
                  </w:tcPr>
                  <w:p w:rsidR="003A5781" w:rsidRDefault="003A5781">
                    <w:pPr>
                      <w:jc w:val="center"/>
                      <w:rPr>
                        <w:szCs w:val="21"/>
                      </w:rPr>
                    </w:pPr>
                    <w:r>
                      <w:rPr>
                        <w:rFonts w:hint="eastAsia"/>
                        <w:szCs w:val="21"/>
                      </w:rPr>
                      <w:t>期末余额</w:t>
                    </w:r>
                  </w:p>
                </w:tc>
              </w:sdtContent>
            </w:sdt>
            <w:sdt>
              <w:sdtPr>
                <w:tag w:val="_PLD_bb36d5aa63944957bd973d914e547bb0"/>
                <w:id w:val="-1271462460"/>
                <w:lock w:val="sdtLocked"/>
              </w:sdtPr>
              <w:sdtContent>
                <w:tc>
                  <w:tcPr>
                    <w:tcW w:w="1572" w:type="pct"/>
                    <w:shd w:val="clear" w:color="auto" w:fill="auto"/>
                    <w:vAlign w:val="center"/>
                  </w:tcPr>
                  <w:p w:rsidR="003A5781" w:rsidRDefault="003A5781">
                    <w:pPr>
                      <w:jc w:val="center"/>
                      <w:rPr>
                        <w:szCs w:val="21"/>
                      </w:rPr>
                    </w:pPr>
                    <w:r>
                      <w:rPr>
                        <w:rFonts w:hint="eastAsia"/>
                        <w:szCs w:val="21"/>
                      </w:rPr>
                      <w:t>期初余额</w:t>
                    </w:r>
                  </w:p>
                </w:tc>
              </w:sdtContent>
            </w:sdt>
          </w:tr>
          <w:sdt>
            <w:sdtPr>
              <w:rPr>
                <w:szCs w:val="21"/>
              </w:rPr>
              <w:alias w:val="衍生金融负债明细"/>
              <w:tag w:val="_GBC_0c820de248e140ef91e71d85afe01751"/>
              <w:id w:val="-1946692041"/>
              <w:lock w:val="sdtLocked"/>
            </w:sdtPr>
            <w:sdtContent>
              <w:tr w:rsidR="003A5781" w:rsidTr="00804092">
                <w:tc>
                  <w:tcPr>
                    <w:tcW w:w="1823" w:type="pct"/>
                    <w:shd w:val="clear" w:color="auto" w:fill="auto"/>
                    <w:vAlign w:val="center"/>
                  </w:tcPr>
                  <w:p w:rsidR="003A5781" w:rsidRDefault="00556292">
                    <w:pPr>
                      <w:rPr>
                        <w:szCs w:val="21"/>
                      </w:rPr>
                    </w:pPr>
                    <w:r w:rsidRPr="00556292">
                      <w:rPr>
                        <w:rFonts w:hint="eastAsia"/>
                        <w:szCs w:val="21"/>
                      </w:rPr>
                      <w:t>套期工具</w:t>
                    </w:r>
                  </w:p>
                </w:tc>
                <w:tc>
                  <w:tcPr>
                    <w:tcW w:w="1605" w:type="pct"/>
                    <w:tcBorders>
                      <w:top w:val="single" w:sz="6" w:space="0" w:color="auto"/>
                      <w:bottom w:val="single" w:sz="6" w:space="0" w:color="auto"/>
                    </w:tcBorders>
                    <w:shd w:val="clear" w:color="auto" w:fill="auto"/>
                  </w:tcPr>
                  <w:p w:rsidR="003A5781" w:rsidRDefault="00732D96">
                    <w:pPr>
                      <w:jc w:val="right"/>
                      <w:rPr>
                        <w:szCs w:val="21"/>
                      </w:rPr>
                    </w:pPr>
                    <w:r>
                      <w:rPr>
                        <w:szCs w:val="21"/>
                      </w:rPr>
                      <w:t>968,641</w:t>
                    </w:r>
                  </w:p>
                </w:tc>
                <w:tc>
                  <w:tcPr>
                    <w:tcW w:w="1572" w:type="pct"/>
                    <w:shd w:val="clear" w:color="auto" w:fill="auto"/>
                  </w:tcPr>
                  <w:p w:rsidR="003A5781" w:rsidRDefault="00732D96">
                    <w:pPr>
                      <w:jc w:val="right"/>
                      <w:rPr>
                        <w:szCs w:val="21"/>
                      </w:rPr>
                    </w:pPr>
                    <w:r>
                      <w:rPr>
                        <w:szCs w:val="21"/>
                      </w:rPr>
                      <w:t>-</w:t>
                    </w:r>
                  </w:p>
                </w:tc>
              </w:tr>
            </w:sdtContent>
          </w:sdt>
          <w:tr w:rsidR="003A5781" w:rsidTr="004F78D8">
            <w:sdt>
              <w:sdtPr>
                <w:tag w:val="_PLD_b1d5ac7ade8c40298846c8c39da311ae"/>
                <w:id w:val="1858921490"/>
                <w:lock w:val="sdtLocked"/>
              </w:sdtPr>
              <w:sdtContent>
                <w:tc>
                  <w:tcPr>
                    <w:tcW w:w="1823" w:type="pct"/>
                    <w:shd w:val="clear" w:color="auto" w:fill="auto"/>
                    <w:vAlign w:val="center"/>
                  </w:tcPr>
                  <w:p w:rsidR="003A5781" w:rsidRDefault="003A5781">
                    <w:pPr>
                      <w:jc w:val="center"/>
                      <w:rPr>
                        <w:szCs w:val="21"/>
                      </w:rPr>
                    </w:pPr>
                    <w:r>
                      <w:rPr>
                        <w:rFonts w:hint="eastAsia"/>
                        <w:szCs w:val="21"/>
                      </w:rPr>
                      <w:t>合计</w:t>
                    </w:r>
                  </w:p>
                </w:tc>
              </w:sdtContent>
            </w:sdt>
            <w:tc>
              <w:tcPr>
                <w:tcW w:w="1605" w:type="pct"/>
                <w:tcBorders>
                  <w:top w:val="single" w:sz="6" w:space="0" w:color="auto"/>
                  <w:bottom w:val="single" w:sz="4" w:space="0" w:color="auto"/>
                </w:tcBorders>
                <w:shd w:val="clear" w:color="auto" w:fill="auto"/>
              </w:tcPr>
              <w:p w:rsidR="003A5781" w:rsidRDefault="00732D96">
                <w:pPr>
                  <w:jc w:val="right"/>
                  <w:rPr>
                    <w:szCs w:val="21"/>
                  </w:rPr>
                </w:pPr>
                <w:r w:rsidRPr="00732D96">
                  <w:rPr>
                    <w:szCs w:val="21"/>
                  </w:rPr>
                  <w:t>968,641</w:t>
                </w:r>
              </w:p>
            </w:tc>
            <w:tc>
              <w:tcPr>
                <w:tcW w:w="1572" w:type="pct"/>
                <w:shd w:val="clear" w:color="auto" w:fill="auto"/>
              </w:tcPr>
              <w:p w:rsidR="003A5781" w:rsidRDefault="00732D96">
                <w:pPr>
                  <w:jc w:val="right"/>
                  <w:rPr>
                    <w:szCs w:val="21"/>
                  </w:rPr>
                </w:pPr>
                <w:r>
                  <w:rPr>
                    <w:szCs w:val="21"/>
                  </w:rPr>
                  <w:t>-</w:t>
                </w:r>
              </w:p>
            </w:tc>
          </w:tr>
        </w:tbl>
        <w:bookmarkEnd w:id="169"/>
        <w:p w:rsidR="003A5781" w:rsidRDefault="003A5781">
          <w:pPr>
            <w:rPr>
              <w:szCs w:val="21"/>
            </w:rPr>
          </w:pPr>
          <w:r>
            <w:rPr>
              <w:rFonts w:hint="eastAsia"/>
              <w:szCs w:val="21"/>
            </w:rPr>
            <w:t>其他说明:</w:t>
          </w:r>
        </w:p>
        <w:sdt>
          <w:sdtPr>
            <w:rPr>
              <w:rFonts w:hint="eastAsia"/>
              <w:szCs w:val="21"/>
            </w:rPr>
            <w:alias w:val="衍生金融负债其他说明"/>
            <w:tag w:val="_GBC_f77906c141cc495fbf965565aa6438cd"/>
            <w:id w:val="-404695476"/>
            <w:lock w:val="sdtLocked"/>
          </w:sdtPr>
          <w:sdtContent>
            <w:p w:rsidR="003A5781" w:rsidRDefault="003A5781">
              <w:pPr>
                <w:rPr>
                  <w:szCs w:val="21"/>
                </w:rPr>
              </w:pPr>
              <w:r w:rsidRPr="003A5781">
                <w:rPr>
                  <w:rFonts w:hint="eastAsia"/>
                  <w:szCs w:val="21"/>
                </w:rPr>
                <w:t>于</w:t>
              </w:r>
              <w:r w:rsidRPr="003A5781">
                <w:rPr>
                  <w:szCs w:val="21"/>
                </w:rPr>
                <w:t>2019年6月30日，本集团的套期工具情况详见本附注</w:t>
              </w:r>
              <w:r w:rsidR="00F33F8F">
                <w:rPr>
                  <w:rFonts w:hint="eastAsia"/>
                  <w:szCs w:val="21"/>
                </w:rPr>
                <w:t>七</w:t>
              </w:r>
              <w:r w:rsidRPr="003A5781">
                <w:rPr>
                  <w:szCs w:val="21"/>
                </w:rPr>
                <w:t>、</w:t>
              </w:r>
              <w:r w:rsidR="00F33F8F">
                <w:rPr>
                  <w:szCs w:val="21"/>
                </w:rPr>
                <w:t>83</w:t>
              </w:r>
              <w:r w:rsidRPr="003A5781">
                <w:rPr>
                  <w:szCs w:val="21"/>
                </w:rPr>
                <w:t>。</w:t>
              </w:r>
            </w:p>
          </w:sdtContent>
        </w:sdt>
        <w:p w:rsidR="00ED2DC7" w:rsidRDefault="000D0A99">
          <w:pPr>
            <w:rPr>
              <w:szCs w:val="21"/>
            </w:rPr>
          </w:pPr>
        </w:p>
      </w:sdtContent>
    </w:sdt>
    <w:p w:rsidR="00ED2DC7" w:rsidRDefault="00ED2DC7">
      <w:pPr>
        <w:rPr>
          <w:szCs w:val="21"/>
        </w:rPr>
      </w:pPr>
    </w:p>
    <w:p w:rsidR="00ED2DC7" w:rsidRPr="001A7E0F" w:rsidRDefault="00ED2DC7" w:rsidP="00036BDC">
      <w:pPr>
        <w:pStyle w:val="affffffffffffffffff1"/>
        <w:numPr>
          <w:ilvl w:val="0"/>
          <w:numId w:val="49"/>
        </w:numPr>
        <w:tabs>
          <w:tab w:val="left" w:pos="504"/>
        </w:tabs>
      </w:pPr>
      <w:r w:rsidRPr="001A7E0F">
        <w:rPr>
          <w:rFonts w:hint="eastAsia"/>
        </w:rPr>
        <w:t>应付票据</w:t>
      </w:r>
    </w:p>
    <w:sdt>
      <w:sdtPr>
        <w:alias w:val="是否适用：应付票据[双击切换]"/>
        <w:tag w:val="_GBC_57c67181b34944e782b23a48b1843e8f"/>
        <w:id w:val="700971141"/>
        <w:lock w:val="sdtContentLocked"/>
        <w:placeholder>
          <w:docPart w:val="GBC22222222222222222222222222222"/>
        </w:placeholder>
      </w:sdtPr>
      <w:sdtContent>
        <w:p w:rsidR="00DF5FA9" w:rsidRDefault="00ED2DC7" w:rsidP="00DF5FA9">
          <w:pPr>
            <w:rPr>
              <w:szCs w:val="21"/>
            </w:rPr>
          </w:pPr>
          <w:r>
            <w:fldChar w:fldCharType="begin"/>
          </w:r>
          <w:r w:rsidR="00DF5FA9">
            <w:instrText xml:space="preserve"> MACROBUTTON  SnrToggleCheckbox □适用 </w:instrText>
          </w:r>
          <w:r>
            <w:fldChar w:fldCharType="end"/>
          </w:r>
          <w:r>
            <w:fldChar w:fldCharType="begin"/>
          </w:r>
          <w:r w:rsidR="00DF5FA9">
            <w:instrText xml:space="preserve"> MACROBUTTON  SnrToggleCheckbox √不适用 </w:instrText>
          </w:r>
          <w:r>
            <w:fldChar w:fldCharType="end"/>
          </w:r>
        </w:p>
      </w:sdtContent>
    </w:sdt>
    <w:p w:rsidR="00ED2DC7" w:rsidRDefault="00ED2DC7">
      <w:pPr>
        <w:rPr>
          <w:szCs w:val="21"/>
        </w:rPr>
      </w:pPr>
    </w:p>
    <w:p w:rsidR="00ED2DC7" w:rsidRDefault="00ED2DC7" w:rsidP="00036BDC">
      <w:pPr>
        <w:pStyle w:val="affffffffffffffffff1"/>
        <w:numPr>
          <w:ilvl w:val="0"/>
          <w:numId w:val="49"/>
        </w:numPr>
        <w:tabs>
          <w:tab w:val="left" w:pos="504"/>
        </w:tabs>
        <w:rPr>
          <w:rFonts w:ascii="宋体" w:hAnsi="宋体"/>
          <w:szCs w:val="21"/>
        </w:rPr>
      </w:pPr>
      <w:r>
        <w:rPr>
          <w:rFonts w:hint="eastAsia"/>
        </w:rPr>
        <w:t>应付</w:t>
      </w:r>
      <w:r>
        <w:rPr>
          <w:rFonts w:ascii="宋体" w:hAnsi="宋体" w:hint="eastAsia"/>
          <w:szCs w:val="21"/>
        </w:rPr>
        <w:t>账款</w:t>
      </w:r>
    </w:p>
    <w:sdt>
      <w:sdtPr>
        <w:rPr>
          <w:rFonts w:ascii="宋体" w:hAnsi="宋体" w:cs="宋体" w:hint="eastAsia"/>
          <w:b w:val="0"/>
          <w:bCs w:val="0"/>
          <w:kern w:val="0"/>
          <w:szCs w:val="21"/>
        </w:rPr>
        <w:alias w:val="模块:应付账款情况"/>
        <w:tag w:val="_GBC_0f1b98b90c3845e1a1ad65786460f84b"/>
        <w:id w:val="1883209594"/>
        <w:lock w:val="sdtLocked"/>
        <w:placeholder>
          <w:docPart w:val="GBC22222222222222222222222222222"/>
        </w:placeholder>
      </w:sdtPr>
      <w:sdtEndPr>
        <w:rPr>
          <w:szCs w:val="24"/>
        </w:rPr>
      </w:sdtEndPr>
      <w:sdtContent>
        <w:p w:rsidR="00ED2DC7" w:rsidRDefault="00ED2DC7" w:rsidP="00036BDC">
          <w:pPr>
            <w:pStyle w:val="affffffffffffffffff2"/>
            <w:numPr>
              <w:ilvl w:val="0"/>
              <w:numId w:val="69"/>
            </w:numPr>
            <w:tabs>
              <w:tab w:val="left" w:pos="588"/>
            </w:tabs>
            <w:rPr>
              <w:rFonts w:ascii="宋体" w:hAnsi="宋体"/>
              <w:szCs w:val="21"/>
            </w:rPr>
          </w:pPr>
          <w:r>
            <w:rPr>
              <w:rFonts w:ascii="宋体" w:hAnsi="宋体" w:hint="eastAsia"/>
              <w:szCs w:val="21"/>
            </w:rPr>
            <w:t>应付账款列示</w:t>
          </w:r>
        </w:p>
        <w:sdt>
          <w:sdtPr>
            <w:alias w:val="是否适用：应付账款列示[双击切换]"/>
            <w:tag w:val="_GBC_8531771c226a4fb0b98e3cdaf7271c71"/>
            <w:id w:val="-2108187146"/>
            <w:lock w:val="sdtContentLocked"/>
            <w:placeholder>
              <w:docPart w:val="GBC22222222222222222222222222222"/>
            </w:placeholder>
          </w:sdtPr>
          <w:sdtContent>
            <w:p w:rsidR="00ED2DC7" w:rsidRDefault="00ED2DC7">
              <w:r>
                <w:fldChar w:fldCharType="begin"/>
              </w:r>
              <w:r w:rsidR="00BB09BF">
                <w:instrText xml:space="preserve"> MACROBUTTON  SnrToggleCheckbox √适用 </w:instrText>
              </w:r>
              <w:r>
                <w:fldChar w:fldCharType="end"/>
              </w:r>
              <w:r>
                <w:fldChar w:fldCharType="begin"/>
              </w:r>
              <w:r w:rsidR="00BB09BF">
                <w:instrText xml:space="preserve"> MACROBUTTON  SnrToggleCheckbox □不适用 </w:instrText>
              </w:r>
              <w:r>
                <w:fldChar w:fldCharType="end"/>
              </w:r>
            </w:p>
          </w:sdtContent>
        </w:sdt>
        <w:p w:rsidR="002B278D" w:rsidRDefault="00ED2DC7">
          <w:pPr>
            <w:jc w:val="right"/>
            <w:rPr>
              <w:szCs w:val="21"/>
            </w:rPr>
          </w:pPr>
          <w:r>
            <w:rPr>
              <w:rFonts w:hint="eastAsia"/>
              <w:szCs w:val="21"/>
            </w:rPr>
            <w:t>单位：</w:t>
          </w:r>
          <w:sdt>
            <w:sdtPr>
              <w:rPr>
                <w:rFonts w:hint="eastAsia"/>
                <w:szCs w:val="21"/>
              </w:rPr>
              <w:alias w:val="单位：财务附注：应付账款情况"/>
              <w:tag w:val="_GBC_53c05e3ea1bb4f08bbe5cf204a0947b9"/>
              <w:id w:val="11395295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hint="eastAsia"/>
                  <w:szCs w:val="21"/>
                </w:rPr>
                <w:t>元</w:t>
              </w:r>
            </w:sdtContent>
          </w:sdt>
          <w:r>
            <w:rPr>
              <w:rFonts w:hint="eastAsia"/>
              <w:szCs w:val="21"/>
            </w:rPr>
            <w:t xml:space="preserve">  币种：</w:t>
          </w:r>
          <w:sdt>
            <w:sdtPr>
              <w:rPr>
                <w:rFonts w:hint="eastAsia"/>
                <w:szCs w:val="21"/>
              </w:rPr>
              <w:alias w:val="币种：财务附注：应付账款情况"/>
              <w:tag w:val="_GBC_e10cb0a664ca4400817c8a2bcf9247fc"/>
              <w:id w:val="9885237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szCs w:val="21"/>
                </w:rPr>
                <w:t>人民币</w:t>
              </w:r>
            </w:sdtContent>
          </w:sdt>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0"/>
            <w:gridCol w:w="3178"/>
            <w:gridCol w:w="2875"/>
          </w:tblGrid>
          <w:tr w:rsidR="004235B0" w:rsidTr="00B637B2">
            <w:sdt>
              <w:sdtPr>
                <w:tag w:val="_PLD_7dae27caeee34d74add24cd985083c75"/>
                <w:id w:val="-246968120"/>
                <w:lock w:val="sdtLocked"/>
              </w:sdtPr>
              <w:sdtContent>
                <w:tc>
                  <w:tcPr>
                    <w:tcW w:w="1570" w:type="pct"/>
                    <w:shd w:val="clear" w:color="auto" w:fill="auto"/>
                  </w:tcPr>
                  <w:p w:rsidR="004235B0" w:rsidRDefault="004235B0" w:rsidP="00CE2FA5">
                    <w:pPr>
                      <w:jc w:val="center"/>
                      <w:rPr>
                        <w:szCs w:val="21"/>
                      </w:rPr>
                    </w:pPr>
                    <w:r>
                      <w:rPr>
                        <w:rFonts w:hint="eastAsia"/>
                        <w:szCs w:val="21"/>
                      </w:rPr>
                      <w:t>项目</w:t>
                    </w:r>
                  </w:p>
                </w:tc>
              </w:sdtContent>
            </w:sdt>
            <w:sdt>
              <w:sdtPr>
                <w:tag w:val="_PLD_136ba417561e421ea02da8004fdf8b33"/>
                <w:id w:val="-1160925767"/>
                <w:lock w:val="sdtLocked"/>
              </w:sdtPr>
              <w:sdtContent>
                <w:tc>
                  <w:tcPr>
                    <w:tcW w:w="1801" w:type="pct"/>
                    <w:shd w:val="clear" w:color="auto" w:fill="auto"/>
                  </w:tcPr>
                  <w:p w:rsidR="004235B0" w:rsidRDefault="004235B0" w:rsidP="00CE2FA5">
                    <w:pPr>
                      <w:jc w:val="center"/>
                      <w:rPr>
                        <w:szCs w:val="21"/>
                      </w:rPr>
                    </w:pPr>
                    <w:r>
                      <w:rPr>
                        <w:rFonts w:hint="eastAsia"/>
                        <w:szCs w:val="21"/>
                      </w:rPr>
                      <w:t>期末余额</w:t>
                    </w:r>
                  </w:p>
                </w:tc>
              </w:sdtContent>
            </w:sdt>
            <w:sdt>
              <w:sdtPr>
                <w:tag w:val="_PLD_bc4b311c1ee54bd48b7b2ba2ab79c364"/>
                <w:id w:val="-20252187"/>
                <w:lock w:val="sdtLocked"/>
              </w:sdtPr>
              <w:sdtContent>
                <w:tc>
                  <w:tcPr>
                    <w:tcW w:w="1629" w:type="pct"/>
                    <w:shd w:val="clear" w:color="auto" w:fill="auto"/>
                  </w:tcPr>
                  <w:p w:rsidR="004235B0" w:rsidRDefault="004235B0" w:rsidP="00CE2FA5">
                    <w:pPr>
                      <w:jc w:val="center"/>
                      <w:rPr>
                        <w:szCs w:val="21"/>
                      </w:rPr>
                    </w:pPr>
                    <w:r>
                      <w:rPr>
                        <w:rFonts w:hint="eastAsia"/>
                        <w:szCs w:val="21"/>
                      </w:rPr>
                      <w:t>期初余额</w:t>
                    </w:r>
                  </w:p>
                </w:tc>
              </w:sdtContent>
            </w:sdt>
          </w:tr>
          <w:sdt>
            <w:sdtPr>
              <w:rPr>
                <w:rFonts w:asciiTheme="minorHAnsi" w:eastAsiaTheme="minorEastAsia" w:hAnsiTheme="minorHAnsi" w:cstheme="minorBidi" w:hint="eastAsia"/>
                <w:kern w:val="2"/>
                <w:szCs w:val="21"/>
              </w:rPr>
              <w:alias w:val="应付账款情况明细"/>
              <w:tag w:val="_GBC_6a9eb940fbe64774bcca168078c6adaa"/>
              <w:id w:val="730113739"/>
              <w:lock w:val="sdtLocked"/>
            </w:sdtPr>
            <w:sdtContent>
              <w:tr w:rsidR="004235B0" w:rsidTr="00B637B2">
                <w:tc>
                  <w:tcPr>
                    <w:tcW w:w="1570" w:type="pct"/>
                    <w:shd w:val="clear" w:color="auto" w:fill="auto"/>
                  </w:tcPr>
                  <w:p w:rsidR="004235B0" w:rsidRDefault="004235B0" w:rsidP="00CE2FA5">
                    <w:pPr>
                      <w:rPr>
                        <w:szCs w:val="21"/>
                      </w:rPr>
                    </w:pPr>
                    <w:r w:rsidRPr="004235B0">
                      <w:rPr>
                        <w:szCs w:val="21"/>
                      </w:rPr>
                      <w:t>1年以内</w:t>
                    </w:r>
                  </w:p>
                </w:tc>
                <w:tc>
                  <w:tcPr>
                    <w:tcW w:w="1801" w:type="pct"/>
                    <w:shd w:val="clear" w:color="auto" w:fill="auto"/>
                    <w:vAlign w:val="center"/>
                  </w:tcPr>
                  <w:p w:rsidR="004235B0" w:rsidRPr="00B2734C" w:rsidRDefault="004235B0" w:rsidP="00B637B2">
                    <w:pPr>
                      <w:jc w:val="right"/>
                    </w:pPr>
                    <w:r w:rsidRPr="00B2734C">
                      <w:t>259,506,034</w:t>
                    </w:r>
                  </w:p>
                </w:tc>
                <w:tc>
                  <w:tcPr>
                    <w:tcW w:w="1629" w:type="pct"/>
                    <w:shd w:val="clear" w:color="auto" w:fill="auto"/>
                    <w:vAlign w:val="center"/>
                  </w:tcPr>
                  <w:p w:rsidR="004235B0" w:rsidRDefault="004235B0" w:rsidP="00B637B2">
                    <w:pPr>
                      <w:jc w:val="right"/>
                      <w:rPr>
                        <w:szCs w:val="21"/>
                      </w:rPr>
                    </w:pPr>
                    <w:r w:rsidRPr="00DF5FA9">
                      <w:rPr>
                        <w:szCs w:val="21"/>
                      </w:rPr>
                      <w:t>223,825,014</w:t>
                    </w:r>
                    <w:r w:rsidRPr="00DF5FA9">
                      <w:rPr>
                        <w:szCs w:val="21"/>
                      </w:rPr>
                      <w:tab/>
                    </w:r>
                  </w:p>
                </w:tc>
              </w:tr>
            </w:sdtContent>
          </w:sdt>
          <w:sdt>
            <w:sdtPr>
              <w:rPr>
                <w:rFonts w:asciiTheme="minorHAnsi" w:eastAsiaTheme="minorEastAsia" w:hAnsiTheme="minorHAnsi" w:cstheme="minorBidi" w:hint="eastAsia"/>
                <w:kern w:val="2"/>
                <w:szCs w:val="21"/>
              </w:rPr>
              <w:alias w:val="应付账款情况明细"/>
              <w:tag w:val="_GBC_6a9eb940fbe64774bcca168078c6adaa"/>
              <w:id w:val="521125899"/>
              <w:lock w:val="sdtLocked"/>
            </w:sdtPr>
            <w:sdtContent>
              <w:tr w:rsidR="004235B0" w:rsidTr="00B637B2">
                <w:tc>
                  <w:tcPr>
                    <w:tcW w:w="1570" w:type="pct"/>
                    <w:shd w:val="clear" w:color="auto" w:fill="auto"/>
                  </w:tcPr>
                  <w:p w:rsidR="004235B0" w:rsidRDefault="004235B0" w:rsidP="00CE2FA5">
                    <w:pPr>
                      <w:rPr>
                        <w:szCs w:val="21"/>
                      </w:rPr>
                    </w:pPr>
                    <w:r w:rsidRPr="004235B0">
                      <w:rPr>
                        <w:rFonts w:asciiTheme="minorHAnsi" w:eastAsiaTheme="minorEastAsia" w:hAnsiTheme="minorHAnsi" w:cstheme="minorBidi"/>
                        <w:kern w:val="2"/>
                        <w:szCs w:val="21"/>
                      </w:rPr>
                      <w:t>1-2</w:t>
                    </w:r>
                    <w:r w:rsidRPr="004235B0">
                      <w:rPr>
                        <w:rFonts w:asciiTheme="minorHAnsi" w:eastAsiaTheme="minorEastAsia" w:hAnsiTheme="minorHAnsi" w:cstheme="minorBidi"/>
                        <w:kern w:val="2"/>
                        <w:szCs w:val="21"/>
                      </w:rPr>
                      <w:t>年</w:t>
                    </w:r>
                  </w:p>
                </w:tc>
                <w:tc>
                  <w:tcPr>
                    <w:tcW w:w="1801" w:type="pct"/>
                    <w:shd w:val="clear" w:color="auto" w:fill="auto"/>
                    <w:vAlign w:val="center"/>
                  </w:tcPr>
                  <w:p w:rsidR="004235B0" w:rsidRPr="00B2734C" w:rsidRDefault="004235B0" w:rsidP="00B637B2">
                    <w:pPr>
                      <w:jc w:val="right"/>
                    </w:pPr>
                    <w:r w:rsidRPr="00B2734C">
                      <w:t>82,379,976</w:t>
                    </w:r>
                  </w:p>
                </w:tc>
                <w:tc>
                  <w:tcPr>
                    <w:tcW w:w="1629" w:type="pct"/>
                    <w:shd w:val="clear" w:color="auto" w:fill="auto"/>
                    <w:vAlign w:val="center"/>
                  </w:tcPr>
                  <w:p w:rsidR="004235B0" w:rsidRDefault="004235B0" w:rsidP="00B637B2">
                    <w:pPr>
                      <w:jc w:val="right"/>
                      <w:rPr>
                        <w:szCs w:val="21"/>
                      </w:rPr>
                    </w:pPr>
                    <w:r w:rsidRPr="00DF5FA9">
                      <w:rPr>
                        <w:szCs w:val="21"/>
                      </w:rPr>
                      <w:tab/>
                      <w:t>138,277,485</w:t>
                    </w:r>
                  </w:p>
                </w:tc>
              </w:tr>
            </w:sdtContent>
          </w:sdt>
          <w:sdt>
            <w:sdtPr>
              <w:rPr>
                <w:rFonts w:asciiTheme="minorHAnsi" w:eastAsiaTheme="minorEastAsia" w:hAnsiTheme="minorHAnsi" w:cstheme="minorBidi" w:hint="eastAsia"/>
                <w:kern w:val="2"/>
                <w:szCs w:val="21"/>
              </w:rPr>
              <w:alias w:val="应付账款情况明细"/>
              <w:tag w:val="_GBC_6a9eb940fbe64774bcca168078c6adaa"/>
              <w:id w:val="-1187449822"/>
              <w:lock w:val="sdtLocked"/>
            </w:sdtPr>
            <w:sdtContent>
              <w:tr w:rsidR="004235B0" w:rsidTr="00B637B2">
                <w:tc>
                  <w:tcPr>
                    <w:tcW w:w="1570" w:type="pct"/>
                    <w:shd w:val="clear" w:color="auto" w:fill="auto"/>
                  </w:tcPr>
                  <w:p w:rsidR="004235B0" w:rsidRDefault="004235B0" w:rsidP="00CE2FA5">
                    <w:pPr>
                      <w:rPr>
                        <w:szCs w:val="21"/>
                      </w:rPr>
                    </w:pPr>
                    <w:r w:rsidRPr="004235B0">
                      <w:rPr>
                        <w:rFonts w:asciiTheme="minorHAnsi" w:eastAsiaTheme="minorEastAsia" w:hAnsiTheme="minorHAnsi" w:cstheme="minorBidi"/>
                        <w:kern w:val="2"/>
                        <w:szCs w:val="21"/>
                      </w:rPr>
                      <w:t>2-3</w:t>
                    </w:r>
                    <w:r w:rsidRPr="004235B0">
                      <w:rPr>
                        <w:rFonts w:asciiTheme="minorHAnsi" w:eastAsiaTheme="minorEastAsia" w:hAnsiTheme="minorHAnsi" w:cstheme="minorBidi"/>
                        <w:kern w:val="2"/>
                        <w:szCs w:val="21"/>
                      </w:rPr>
                      <w:t>年</w:t>
                    </w:r>
                  </w:p>
                </w:tc>
                <w:tc>
                  <w:tcPr>
                    <w:tcW w:w="1801" w:type="pct"/>
                    <w:shd w:val="clear" w:color="auto" w:fill="auto"/>
                    <w:vAlign w:val="center"/>
                  </w:tcPr>
                  <w:p w:rsidR="004235B0" w:rsidRPr="00B2734C" w:rsidRDefault="004235B0" w:rsidP="00B637B2">
                    <w:pPr>
                      <w:jc w:val="right"/>
                    </w:pPr>
                    <w:r w:rsidRPr="00B2734C">
                      <w:t>45,800,813</w:t>
                    </w:r>
                  </w:p>
                </w:tc>
                <w:tc>
                  <w:tcPr>
                    <w:tcW w:w="1629" w:type="pct"/>
                    <w:shd w:val="clear" w:color="auto" w:fill="auto"/>
                    <w:vAlign w:val="center"/>
                  </w:tcPr>
                  <w:p w:rsidR="004235B0" w:rsidRDefault="004235B0" w:rsidP="00B637B2">
                    <w:pPr>
                      <w:jc w:val="right"/>
                      <w:rPr>
                        <w:szCs w:val="21"/>
                      </w:rPr>
                    </w:pPr>
                    <w:r w:rsidRPr="00DF5FA9">
                      <w:rPr>
                        <w:szCs w:val="21"/>
                      </w:rPr>
                      <w:tab/>
                      <w:t>31,062,564</w:t>
                    </w:r>
                  </w:p>
                </w:tc>
              </w:tr>
            </w:sdtContent>
          </w:sdt>
          <w:sdt>
            <w:sdtPr>
              <w:rPr>
                <w:rFonts w:asciiTheme="minorHAnsi" w:eastAsiaTheme="minorEastAsia" w:hAnsiTheme="minorHAnsi" w:cstheme="minorBidi" w:hint="eastAsia"/>
                <w:kern w:val="2"/>
                <w:szCs w:val="21"/>
              </w:rPr>
              <w:alias w:val="应付账款情况明细"/>
              <w:tag w:val="_GBC_6a9eb940fbe64774bcca168078c6adaa"/>
              <w:id w:val="435571455"/>
              <w:lock w:val="sdtLocked"/>
            </w:sdtPr>
            <w:sdtContent>
              <w:tr w:rsidR="004235B0" w:rsidTr="00B637B2">
                <w:tc>
                  <w:tcPr>
                    <w:tcW w:w="1570" w:type="pct"/>
                    <w:shd w:val="clear" w:color="auto" w:fill="auto"/>
                  </w:tcPr>
                  <w:p w:rsidR="004235B0" w:rsidRDefault="004235B0" w:rsidP="00CE2FA5">
                    <w:pPr>
                      <w:rPr>
                        <w:szCs w:val="21"/>
                      </w:rPr>
                    </w:pPr>
                    <w:r w:rsidRPr="004235B0">
                      <w:rPr>
                        <w:rFonts w:asciiTheme="minorHAnsi" w:eastAsiaTheme="minorEastAsia" w:hAnsiTheme="minorHAnsi" w:cstheme="minorBidi"/>
                        <w:kern w:val="2"/>
                        <w:szCs w:val="21"/>
                      </w:rPr>
                      <w:t>3</w:t>
                    </w:r>
                    <w:r w:rsidRPr="004235B0">
                      <w:rPr>
                        <w:rFonts w:asciiTheme="minorHAnsi" w:eastAsiaTheme="minorEastAsia" w:hAnsiTheme="minorHAnsi" w:cstheme="minorBidi"/>
                        <w:kern w:val="2"/>
                        <w:szCs w:val="21"/>
                      </w:rPr>
                      <w:t>年以上</w:t>
                    </w:r>
                  </w:p>
                </w:tc>
                <w:tc>
                  <w:tcPr>
                    <w:tcW w:w="1801" w:type="pct"/>
                    <w:shd w:val="clear" w:color="auto" w:fill="auto"/>
                    <w:vAlign w:val="center"/>
                  </w:tcPr>
                  <w:p w:rsidR="004235B0" w:rsidRDefault="004235B0" w:rsidP="00B637B2">
                    <w:pPr>
                      <w:jc w:val="right"/>
                    </w:pPr>
                    <w:r w:rsidRPr="00B2734C">
                      <w:t>72,369,121</w:t>
                    </w:r>
                  </w:p>
                </w:tc>
                <w:tc>
                  <w:tcPr>
                    <w:tcW w:w="1629" w:type="pct"/>
                    <w:shd w:val="clear" w:color="auto" w:fill="auto"/>
                    <w:vAlign w:val="center"/>
                  </w:tcPr>
                  <w:p w:rsidR="004235B0" w:rsidRDefault="004235B0" w:rsidP="00B637B2">
                    <w:pPr>
                      <w:jc w:val="right"/>
                      <w:rPr>
                        <w:szCs w:val="21"/>
                      </w:rPr>
                    </w:pPr>
                    <w:r w:rsidRPr="00DF5FA9">
                      <w:rPr>
                        <w:szCs w:val="21"/>
                      </w:rPr>
                      <w:tab/>
                      <w:t>62,457,421</w:t>
                    </w:r>
                  </w:p>
                </w:tc>
              </w:tr>
            </w:sdtContent>
          </w:sdt>
          <w:tr w:rsidR="004235B0" w:rsidRPr="002B278D" w:rsidTr="00B637B2">
            <w:sdt>
              <w:sdtPr>
                <w:tag w:val="_PLD_b82b4cb1d4fa4c8fb75bed463f2da31b"/>
                <w:id w:val="2097665204"/>
                <w:lock w:val="sdtLocked"/>
              </w:sdtPr>
              <w:sdtContent>
                <w:tc>
                  <w:tcPr>
                    <w:tcW w:w="1570" w:type="pct"/>
                    <w:shd w:val="clear" w:color="auto" w:fill="auto"/>
                  </w:tcPr>
                  <w:p w:rsidR="004235B0" w:rsidRDefault="004235B0" w:rsidP="00CE2FA5">
                    <w:pPr>
                      <w:jc w:val="center"/>
                      <w:rPr>
                        <w:color w:val="000000" w:themeColor="text1"/>
                        <w:szCs w:val="21"/>
                      </w:rPr>
                    </w:pPr>
                    <w:r>
                      <w:rPr>
                        <w:rFonts w:hint="eastAsia"/>
                        <w:color w:val="000000" w:themeColor="text1"/>
                        <w:szCs w:val="21"/>
                      </w:rPr>
                      <w:t>合计</w:t>
                    </w:r>
                  </w:p>
                </w:tc>
              </w:sdtContent>
            </w:sdt>
            <w:tc>
              <w:tcPr>
                <w:tcW w:w="1801" w:type="pct"/>
                <w:shd w:val="clear" w:color="auto" w:fill="auto"/>
                <w:vAlign w:val="center"/>
              </w:tcPr>
              <w:p w:rsidR="004235B0" w:rsidRPr="002B278D" w:rsidRDefault="008F04CF" w:rsidP="00B637B2">
                <w:pPr>
                  <w:jc w:val="right"/>
                </w:pPr>
                <w:r>
                  <w:t>460,055,944</w:t>
                </w:r>
              </w:p>
            </w:tc>
            <w:tc>
              <w:tcPr>
                <w:tcW w:w="1629" w:type="pct"/>
                <w:shd w:val="clear" w:color="auto" w:fill="auto"/>
                <w:vAlign w:val="center"/>
              </w:tcPr>
              <w:p w:rsidR="004235B0" w:rsidRPr="002B278D" w:rsidRDefault="004235B0" w:rsidP="00B637B2">
                <w:pPr>
                  <w:jc w:val="right"/>
                </w:pPr>
                <w:r w:rsidRPr="004235B0">
                  <w:t>455,6</w:t>
                </w:r>
                <w:r w:rsidR="008F04CF">
                  <w:t>22,484</w:t>
                </w:r>
              </w:p>
            </w:tc>
          </w:tr>
        </w:tbl>
        <w:p w:rsidR="004235B0" w:rsidRDefault="004235B0"/>
        <w:p w:rsidR="00ED2DC7" w:rsidRPr="002B278D" w:rsidRDefault="000D0A99" w:rsidP="002B278D"/>
      </w:sdtContent>
    </w:sdt>
    <w:p w:rsidR="00ED2DC7" w:rsidRDefault="00ED2DC7">
      <w:pPr>
        <w:rPr>
          <w:b/>
          <w:szCs w:val="21"/>
        </w:rPr>
      </w:pPr>
    </w:p>
    <w:sdt>
      <w:sdtPr>
        <w:rPr>
          <w:rFonts w:asciiTheme="minorHAnsi" w:hAnsiTheme="minorHAnsi" w:cstheme="minorBidi" w:hint="eastAsia"/>
          <w:b w:val="0"/>
          <w:bCs w:val="0"/>
          <w:kern w:val="0"/>
          <w:szCs w:val="22"/>
        </w:rPr>
        <w:alias w:val="模块:重要的账龄超过1年的应付账款单位：元币种：人民币项目期末..."/>
        <w:tag w:val="_GBC_5fffbd1416eb408d959645d37f190cf5"/>
        <w:id w:val="-50010891"/>
        <w:lock w:val="sdtLocked"/>
        <w:placeholder>
          <w:docPart w:val="GBC22222222222222222222222222222"/>
        </w:placeholder>
      </w:sdtPr>
      <w:sdtEndPr>
        <w:rPr>
          <w:kern w:val="2"/>
        </w:rPr>
      </w:sdtEndPr>
      <w:sdtContent>
        <w:p w:rsidR="00ED2DC7" w:rsidRDefault="00ED2DC7" w:rsidP="00036BDC">
          <w:pPr>
            <w:pStyle w:val="affffffffffffffffff2"/>
            <w:numPr>
              <w:ilvl w:val="0"/>
              <w:numId w:val="69"/>
            </w:numPr>
            <w:tabs>
              <w:tab w:val="left" w:pos="588"/>
            </w:tabs>
            <w:rPr>
              <w:kern w:val="0"/>
            </w:rPr>
          </w:pPr>
          <w:r>
            <w:rPr>
              <w:rFonts w:hint="eastAsia"/>
              <w:kern w:val="0"/>
            </w:rPr>
            <w:t>账龄超过</w:t>
          </w:r>
          <w:r>
            <w:rPr>
              <w:kern w:val="0"/>
            </w:rPr>
            <w:t>1</w:t>
          </w:r>
          <w:r>
            <w:rPr>
              <w:kern w:val="0"/>
            </w:rPr>
            <w:t>年的重要应付账款</w:t>
          </w:r>
        </w:p>
        <w:sdt>
          <w:sdtPr>
            <w:alias w:val="是否适用：账龄超过1年的重要应付账款[双击切换]"/>
            <w:tag w:val="_GBC_02c6e7ed8ae149e8a09f5b80217deb89"/>
            <w:id w:val="-1104800781"/>
            <w:lock w:val="sdtContentLocked"/>
            <w:placeholder>
              <w:docPart w:val="GBC22222222222222222222222222222"/>
            </w:placeholder>
          </w:sdtPr>
          <w:sdtContent>
            <w:p w:rsidR="00ED2DC7" w:rsidRDefault="00ED2DC7">
              <w:r>
                <w:fldChar w:fldCharType="begin"/>
              </w:r>
              <w:r w:rsidR="00BB09BF">
                <w:instrText xml:space="preserve"> MACROBUTTON  SnrToggleCheckbox √适用 </w:instrText>
              </w:r>
              <w:r>
                <w:fldChar w:fldCharType="end"/>
              </w:r>
              <w:r>
                <w:fldChar w:fldCharType="begin"/>
              </w:r>
              <w:r w:rsidR="00BB09BF">
                <w:instrText xml:space="preserve"> MACROBUTTON  SnrToggleCheckbox □不适用 </w:instrText>
              </w:r>
              <w:r>
                <w:fldChar w:fldCharType="end"/>
              </w:r>
            </w:p>
          </w:sdtContent>
        </w:sdt>
        <w:p w:rsidR="00ED2DC7" w:rsidRDefault="00ED2DC7">
          <w:pPr>
            <w:jc w:val="right"/>
          </w:pPr>
          <w:r>
            <w:rPr>
              <w:rFonts w:hint="eastAsia"/>
            </w:rPr>
            <w:t>单位：</w:t>
          </w:r>
          <w:sdt>
            <w:sdtPr>
              <w:rPr>
                <w:rFonts w:hint="eastAsia"/>
              </w:rPr>
              <w:alias w:val="单位：财务附注：重要的账龄超过1年的应付账款"/>
              <w:tag w:val="_GBC_4828fbb06386477f83dfc0c7b55875e7"/>
              <w:id w:val="-151236744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hint="eastAsia"/>
                </w:rPr>
                <w:t>元</w:t>
              </w:r>
            </w:sdtContent>
          </w:sdt>
          <w:r>
            <w:rPr>
              <w:rFonts w:hint="eastAsia"/>
            </w:rPr>
            <w:t xml:space="preserve">  币种：</w:t>
          </w:r>
          <w:sdt>
            <w:sdtPr>
              <w:rPr>
                <w:rFonts w:hint="eastAsia"/>
              </w:rPr>
              <w:alias w:val="币种：财务附注：重要的账龄超过1年的应付账款"/>
              <w:tag w:val="_GBC_56837a7d36f94902b75d8fe132af82b6"/>
              <w:id w:val="-12141952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rPr>
                <w:t>人民币</w:t>
              </w:r>
            </w:sdtContent>
          </w:sdt>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1"/>
            <w:gridCol w:w="2756"/>
            <w:gridCol w:w="2866"/>
          </w:tblGrid>
          <w:tr w:rsidR="00433709" w:rsidTr="00433709">
            <w:sdt>
              <w:sdtPr>
                <w:tag w:val="_PLD_31272c72b1bc41e2a47d7fbfb0839e2b"/>
                <w:id w:val="-1962108082"/>
                <w:lock w:val="sdtLocked"/>
              </w:sdtPr>
              <w:sdtContent>
                <w:tc>
                  <w:tcPr>
                    <w:tcW w:w="1814" w:type="pct"/>
                    <w:shd w:val="clear" w:color="auto" w:fill="auto"/>
                    <w:vAlign w:val="center"/>
                  </w:tcPr>
                  <w:p w:rsidR="00433709" w:rsidRDefault="00433709" w:rsidP="00433709">
                    <w:pPr>
                      <w:jc w:val="center"/>
                      <w:rPr>
                        <w:szCs w:val="21"/>
                      </w:rPr>
                    </w:pPr>
                    <w:r>
                      <w:rPr>
                        <w:rFonts w:hint="eastAsia"/>
                        <w:szCs w:val="21"/>
                      </w:rPr>
                      <w:t>项目</w:t>
                    </w:r>
                  </w:p>
                </w:tc>
              </w:sdtContent>
            </w:sdt>
            <w:sdt>
              <w:sdtPr>
                <w:tag w:val="_PLD_41b9d7d7e0c84d6c9f8c3a0a59e37c14"/>
                <w:id w:val="1671374284"/>
                <w:lock w:val="sdtLocked"/>
              </w:sdtPr>
              <w:sdtContent>
                <w:tc>
                  <w:tcPr>
                    <w:tcW w:w="1562" w:type="pct"/>
                    <w:shd w:val="clear" w:color="auto" w:fill="auto"/>
                    <w:vAlign w:val="center"/>
                  </w:tcPr>
                  <w:p w:rsidR="00433709" w:rsidRDefault="00433709" w:rsidP="00433709">
                    <w:pPr>
                      <w:jc w:val="center"/>
                      <w:rPr>
                        <w:szCs w:val="21"/>
                      </w:rPr>
                    </w:pPr>
                    <w:r>
                      <w:rPr>
                        <w:rFonts w:hint="eastAsia"/>
                        <w:szCs w:val="21"/>
                      </w:rPr>
                      <w:t>期末余额</w:t>
                    </w:r>
                  </w:p>
                </w:tc>
              </w:sdtContent>
            </w:sdt>
            <w:sdt>
              <w:sdtPr>
                <w:tag w:val="_PLD_49e0f43ba09d42649fabb4ecc22986ca"/>
                <w:id w:val="1198893121"/>
                <w:lock w:val="sdtLocked"/>
              </w:sdtPr>
              <w:sdtContent>
                <w:tc>
                  <w:tcPr>
                    <w:tcW w:w="1624" w:type="pct"/>
                    <w:shd w:val="clear" w:color="auto" w:fill="auto"/>
                    <w:vAlign w:val="center"/>
                  </w:tcPr>
                  <w:p w:rsidR="00433709" w:rsidRDefault="00433709" w:rsidP="00433709">
                    <w:pPr>
                      <w:jc w:val="center"/>
                      <w:rPr>
                        <w:szCs w:val="21"/>
                      </w:rPr>
                    </w:pPr>
                    <w:r>
                      <w:rPr>
                        <w:rFonts w:hint="eastAsia"/>
                        <w:szCs w:val="21"/>
                      </w:rPr>
                      <w:t>未偿还或结转的原因</w:t>
                    </w:r>
                  </w:p>
                </w:tc>
              </w:sdtContent>
            </w:sdt>
          </w:tr>
          <w:sdt>
            <w:sdtPr>
              <w:rPr>
                <w:rFonts w:asciiTheme="minorHAnsi" w:eastAsiaTheme="minorEastAsia" w:hAnsiTheme="minorHAnsi" w:cstheme="minorBidi"/>
                <w:kern w:val="2"/>
                <w:szCs w:val="21"/>
              </w:rPr>
              <w:alias w:val="重要的账龄超过1年的应付账款明细"/>
              <w:tag w:val="_GBC_3c24b8450a0a47bd8859f88e883aa952"/>
              <w:id w:val="502093676"/>
              <w:lock w:val="sdtLocked"/>
            </w:sdtPr>
            <w:sdtContent>
              <w:tr w:rsidR="00433709" w:rsidTr="00B637B2">
                <w:tc>
                  <w:tcPr>
                    <w:tcW w:w="1814" w:type="pct"/>
                    <w:tcBorders>
                      <w:bottom w:val="single" w:sz="4" w:space="0" w:color="auto"/>
                    </w:tcBorders>
                    <w:shd w:val="clear" w:color="auto" w:fill="auto"/>
                  </w:tcPr>
                  <w:p w:rsidR="00433709" w:rsidRDefault="00433709" w:rsidP="00433709">
                    <w:pPr>
                      <w:rPr>
                        <w:szCs w:val="21"/>
                      </w:rPr>
                    </w:pPr>
                    <w:r>
                      <w:t>单位1</w:t>
                    </w:r>
                  </w:p>
                </w:tc>
                <w:tc>
                  <w:tcPr>
                    <w:tcW w:w="1562" w:type="pct"/>
                    <w:shd w:val="clear" w:color="auto" w:fill="auto"/>
                    <w:vAlign w:val="center"/>
                  </w:tcPr>
                  <w:p w:rsidR="00433709" w:rsidRPr="005B0710" w:rsidRDefault="008F04CF" w:rsidP="00B637B2">
                    <w:pPr>
                      <w:jc w:val="right"/>
                    </w:pPr>
                    <w:r>
                      <w:t xml:space="preserve"> 4,621,132</w:t>
                    </w:r>
                  </w:p>
                </w:tc>
                <w:tc>
                  <w:tcPr>
                    <w:tcW w:w="1624" w:type="pct"/>
                    <w:shd w:val="clear" w:color="auto" w:fill="auto"/>
                    <w:vAlign w:val="center"/>
                  </w:tcPr>
                  <w:p w:rsidR="00433709" w:rsidRDefault="00505A48" w:rsidP="00B637B2">
                    <w:pPr>
                      <w:jc w:val="right"/>
                      <w:rPr>
                        <w:szCs w:val="21"/>
                      </w:rPr>
                    </w:pPr>
                    <w:r w:rsidRPr="00505A48">
                      <w:rPr>
                        <w:rFonts w:hint="eastAsia"/>
                        <w:szCs w:val="21"/>
                      </w:rPr>
                      <w:t>未到付款期</w:t>
                    </w:r>
                  </w:p>
                </w:tc>
              </w:tr>
            </w:sdtContent>
          </w:sdt>
          <w:sdt>
            <w:sdtPr>
              <w:rPr>
                <w:rFonts w:asciiTheme="minorHAnsi" w:eastAsiaTheme="minorEastAsia" w:hAnsiTheme="minorHAnsi" w:cstheme="minorBidi"/>
                <w:kern w:val="2"/>
                <w:szCs w:val="21"/>
              </w:rPr>
              <w:alias w:val="重要的账龄超过1年的应付账款明细"/>
              <w:tag w:val="_GBC_3c24b8450a0a47bd8859f88e883aa952"/>
              <w:id w:val="841516349"/>
              <w:lock w:val="sdtLocked"/>
            </w:sdtPr>
            <w:sdtEndPr>
              <w:rPr>
                <w:rFonts w:ascii="宋体" w:eastAsia="宋体" w:hAnsi="宋体"/>
              </w:rPr>
            </w:sdtEndPr>
            <w:sdtContent>
              <w:tr w:rsidR="00433709" w:rsidTr="00B637B2">
                <w:tc>
                  <w:tcPr>
                    <w:tcW w:w="1814" w:type="pct"/>
                    <w:tcBorders>
                      <w:bottom w:val="single" w:sz="4" w:space="0" w:color="auto"/>
                    </w:tcBorders>
                    <w:shd w:val="clear" w:color="auto" w:fill="auto"/>
                  </w:tcPr>
                  <w:p w:rsidR="00433709" w:rsidRDefault="00433709" w:rsidP="00433709">
                    <w:pPr>
                      <w:rPr>
                        <w:szCs w:val="21"/>
                      </w:rPr>
                    </w:pPr>
                    <w:r>
                      <w:t>单位2</w:t>
                    </w:r>
                  </w:p>
                </w:tc>
                <w:tc>
                  <w:tcPr>
                    <w:tcW w:w="1562" w:type="pct"/>
                    <w:shd w:val="clear" w:color="auto" w:fill="auto"/>
                    <w:vAlign w:val="center"/>
                  </w:tcPr>
                  <w:p w:rsidR="00433709" w:rsidRPr="005B0710" w:rsidRDefault="008F04CF" w:rsidP="00B637B2">
                    <w:pPr>
                      <w:jc w:val="right"/>
                    </w:pPr>
                    <w:r>
                      <w:t xml:space="preserve"> 4,224,047</w:t>
                    </w:r>
                  </w:p>
                </w:tc>
                <w:tc>
                  <w:tcPr>
                    <w:tcW w:w="1624" w:type="pct"/>
                    <w:shd w:val="clear" w:color="auto" w:fill="auto"/>
                    <w:vAlign w:val="center"/>
                  </w:tcPr>
                  <w:p w:rsidR="00433709" w:rsidRPr="001A7E0F" w:rsidRDefault="00505A48" w:rsidP="00B637B2">
                    <w:pPr>
                      <w:jc w:val="right"/>
                      <w:rPr>
                        <w:szCs w:val="21"/>
                      </w:rPr>
                    </w:pPr>
                    <w:r w:rsidRPr="001A7E0F">
                      <w:rPr>
                        <w:rFonts w:cs="Arial" w:hint="eastAsia"/>
                        <w:color w:val="000000"/>
                        <w:szCs w:val="20"/>
                      </w:rPr>
                      <w:t>未到付款期</w:t>
                    </w:r>
                  </w:p>
                </w:tc>
              </w:tr>
            </w:sdtContent>
          </w:sdt>
          <w:sdt>
            <w:sdtPr>
              <w:rPr>
                <w:rFonts w:asciiTheme="minorHAnsi" w:eastAsiaTheme="minorEastAsia" w:hAnsiTheme="minorHAnsi" w:cstheme="minorBidi"/>
                <w:kern w:val="2"/>
                <w:szCs w:val="21"/>
              </w:rPr>
              <w:alias w:val="重要的账龄超过1年的应付账款明细"/>
              <w:tag w:val="_GBC_3c24b8450a0a47bd8859f88e883aa952"/>
              <w:id w:val="-846016458"/>
              <w:lock w:val="sdtLocked"/>
            </w:sdtPr>
            <w:sdtEndPr>
              <w:rPr>
                <w:rFonts w:ascii="宋体" w:eastAsia="宋体" w:hAnsi="宋体"/>
              </w:rPr>
            </w:sdtEndPr>
            <w:sdtContent>
              <w:tr w:rsidR="00433709" w:rsidTr="00B637B2">
                <w:tc>
                  <w:tcPr>
                    <w:tcW w:w="1814" w:type="pct"/>
                    <w:tcBorders>
                      <w:bottom w:val="single" w:sz="4" w:space="0" w:color="auto"/>
                    </w:tcBorders>
                    <w:shd w:val="clear" w:color="auto" w:fill="auto"/>
                  </w:tcPr>
                  <w:p w:rsidR="00433709" w:rsidRDefault="00433709" w:rsidP="00433709">
                    <w:pPr>
                      <w:rPr>
                        <w:szCs w:val="21"/>
                      </w:rPr>
                    </w:pPr>
                    <w:r>
                      <w:t>单位3</w:t>
                    </w:r>
                  </w:p>
                </w:tc>
                <w:tc>
                  <w:tcPr>
                    <w:tcW w:w="1562" w:type="pct"/>
                    <w:shd w:val="clear" w:color="auto" w:fill="auto"/>
                    <w:vAlign w:val="center"/>
                  </w:tcPr>
                  <w:p w:rsidR="00433709" w:rsidRPr="005B0710" w:rsidRDefault="008F04CF" w:rsidP="00B637B2">
                    <w:pPr>
                      <w:jc w:val="right"/>
                    </w:pPr>
                    <w:r>
                      <w:t xml:space="preserve"> 2,750,782</w:t>
                    </w:r>
                  </w:p>
                </w:tc>
                <w:tc>
                  <w:tcPr>
                    <w:tcW w:w="1624" w:type="pct"/>
                    <w:shd w:val="clear" w:color="auto" w:fill="auto"/>
                    <w:vAlign w:val="center"/>
                  </w:tcPr>
                  <w:p w:rsidR="00433709" w:rsidRPr="001A7E0F" w:rsidRDefault="00505A48" w:rsidP="00B637B2">
                    <w:pPr>
                      <w:jc w:val="right"/>
                      <w:rPr>
                        <w:szCs w:val="21"/>
                      </w:rPr>
                    </w:pPr>
                    <w:r w:rsidRPr="001A7E0F">
                      <w:rPr>
                        <w:rFonts w:cs="Arial" w:hint="eastAsia"/>
                        <w:color w:val="000000"/>
                        <w:szCs w:val="20"/>
                      </w:rPr>
                      <w:t>未到付款期</w:t>
                    </w:r>
                  </w:p>
                </w:tc>
              </w:tr>
            </w:sdtContent>
          </w:sdt>
          <w:sdt>
            <w:sdtPr>
              <w:rPr>
                <w:rFonts w:asciiTheme="minorHAnsi" w:eastAsiaTheme="minorEastAsia" w:hAnsiTheme="minorHAnsi" w:cstheme="minorBidi"/>
                <w:kern w:val="2"/>
                <w:szCs w:val="21"/>
              </w:rPr>
              <w:alias w:val="重要的账龄超过1年的应付账款明细"/>
              <w:tag w:val="_GBC_3c24b8450a0a47bd8859f88e883aa952"/>
              <w:id w:val="181800233"/>
              <w:lock w:val="sdtLocked"/>
            </w:sdtPr>
            <w:sdtEndPr>
              <w:rPr>
                <w:rFonts w:ascii="宋体" w:eastAsia="宋体" w:hAnsi="宋体"/>
              </w:rPr>
            </w:sdtEndPr>
            <w:sdtContent>
              <w:tr w:rsidR="00433709" w:rsidTr="00B637B2">
                <w:tc>
                  <w:tcPr>
                    <w:tcW w:w="1814" w:type="pct"/>
                    <w:tcBorders>
                      <w:bottom w:val="single" w:sz="4" w:space="0" w:color="auto"/>
                    </w:tcBorders>
                    <w:shd w:val="clear" w:color="auto" w:fill="auto"/>
                  </w:tcPr>
                  <w:p w:rsidR="00433709" w:rsidRDefault="00433709" w:rsidP="00433709">
                    <w:pPr>
                      <w:rPr>
                        <w:szCs w:val="21"/>
                      </w:rPr>
                    </w:pPr>
                    <w:r>
                      <w:t>单位4</w:t>
                    </w:r>
                  </w:p>
                </w:tc>
                <w:tc>
                  <w:tcPr>
                    <w:tcW w:w="1562" w:type="pct"/>
                    <w:shd w:val="clear" w:color="auto" w:fill="auto"/>
                    <w:vAlign w:val="center"/>
                  </w:tcPr>
                  <w:p w:rsidR="00433709" w:rsidRPr="005B0710" w:rsidRDefault="008F04CF" w:rsidP="00B637B2">
                    <w:pPr>
                      <w:jc w:val="right"/>
                    </w:pPr>
                    <w:r>
                      <w:t xml:space="preserve"> 2,437,514</w:t>
                    </w:r>
                  </w:p>
                </w:tc>
                <w:tc>
                  <w:tcPr>
                    <w:tcW w:w="1624" w:type="pct"/>
                    <w:shd w:val="clear" w:color="auto" w:fill="auto"/>
                    <w:vAlign w:val="center"/>
                  </w:tcPr>
                  <w:p w:rsidR="00433709" w:rsidRPr="001A7E0F" w:rsidRDefault="00505A48" w:rsidP="00B637B2">
                    <w:pPr>
                      <w:jc w:val="right"/>
                      <w:rPr>
                        <w:szCs w:val="21"/>
                      </w:rPr>
                    </w:pPr>
                    <w:r w:rsidRPr="001A7E0F">
                      <w:rPr>
                        <w:rFonts w:cs="Arial" w:hint="eastAsia"/>
                        <w:color w:val="000000"/>
                        <w:szCs w:val="20"/>
                      </w:rPr>
                      <w:t>未到付款期</w:t>
                    </w:r>
                  </w:p>
                </w:tc>
              </w:tr>
            </w:sdtContent>
          </w:sdt>
          <w:sdt>
            <w:sdtPr>
              <w:rPr>
                <w:rFonts w:asciiTheme="minorHAnsi" w:eastAsiaTheme="minorEastAsia" w:hAnsiTheme="minorHAnsi" w:cstheme="minorBidi"/>
                <w:kern w:val="2"/>
                <w:szCs w:val="21"/>
              </w:rPr>
              <w:alias w:val="重要的账龄超过1年的应付账款明细"/>
              <w:tag w:val="_GBC_3c24b8450a0a47bd8859f88e883aa952"/>
              <w:id w:val="426230898"/>
              <w:lock w:val="sdtLocked"/>
            </w:sdtPr>
            <w:sdtEndPr>
              <w:rPr>
                <w:rFonts w:ascii="宋体" w:eastAsia="宋体" w:hAnsi="宋体"/>
              </w:rPr>
            </w:sdtEndPr>
            <w:sdtContent>
              <w:tr w:rsidR="00433709" w:rsidTr="00B637B2">
                <w:trPr>
                  <w:trHeight w:val="72"/>
                </w:trPr>
                <w:tc>
                  <w:tcPr>
                    <w:tcW w:w="1814" w:type="pct"/>
                    <w:tcBorders>
                      <w:bottom w:val="single" w:sz="4" w:space="0" w:color="auto"/>
                    </w:tcBorders>
                    <w:shd w:val="clear" w:color="auto" w:fill="auto"/>
                  </w:tcPr>
                  <w:p w:rsidR="00433709" w:rsidRDefault="00433709" w:rsidP="00433709">
                    <w:pPr>
                      <w:rPr>
                        <w:szCs w:val="21"/>
                      </w:rPr>
                    </w:pPr>
                    <w:r>
                      <w:t>单位5</w:t>
                    </w:r>
                  </w:p>
                </w:tc>
                <w:tc>
                  <w:tcPr>
                    <w:tcW w:w="1562" w:type="pct"/>
                    <w:shd w:val="clear" w:color="auto" w:fill="auto"/>
                    <w:vAlign w:val="center"/>
                  </w:tcPr>
                  <w:p w:rsidR="00433709" w:rsidRDefault="00433709" w:rsidP="00B637B2">
                    <w:pPr>
                      <w:jc w:val="right"/>
                    </w:pPr>
                    <w:r w:rsidRPr="005B0710">
                      <w:t>1,446,348</w:t>
                    </w:r>
                  </w:p>
                </w:tc>
                <w:tc>
                  <w:tcPr>
                    <w:tcW w:w="1624" w:type="pct"/>
                    <w:shd w:val="clear" w:color="auto" w:fill="auto"/>
                    <w:vAlign w:val="center"/>
                  </w:tcPr>
                  <w:p w:rsidR="00433709" w:rsidRPr="001A7E0F" w:rsidRDefault="00505A48" w:rsidP="00B637B2">
                    <w:pPr>
                      <w:jc w:val="right"/>
                      <w:rPr>
                        <w:szCs w:val="21"/>
                      </w:rPr>
                    </w:pPr>
                    <w:r w:rsidRPr="001A7E0F">
                      <w:rPr>
                        <w:rFonts w:cs="Arial" w:hint="eastAsia"/>
                        <w:color w:val="000000"/>
                        <w:szCs w:val="20"/>
                      </w:rPr>
                      <w:t>未到付款期</w:t>
                    </w:r>
                  </w:p>
                </w:tc>
              </w:tr>
            </w:sdtContent>
          </w:sdt>
          <w:tr w:rsidR="00433709" w:rsidTr="00433709">
            <w:sdt>
              <w:sdtPr>
                <w:tag w:val="_PLD_eca4761bb44d46c18cd4488e72a6e130"/>
                <w:id w:val="-1350107926"/>
                <w:lock w:val="sdtLocked"/>
              </w:sdtPr>
              <w:sdtContent>
                <w:tc>
                  <w:tcPr>
                    <w:tcW w:w="1814" w:type="pct"/>
                    <w:shd w:val="clear" w:color="auto" w:fill="auto"/>
                    <w:vAlign w:val="center"/>
                  </w:tcPr>
                  <w:p w:rsidR="00433709" w:rsidRDefault="00433709" w:rsidP="00433709">
                    <w:pPr>
                      <w:jc w:val="center"/>
                      <w:rPr>
                        <w:szCs w:val="21"/>
                      </w:rPr>
                    </w:pPr>
                    <w:r>
                      <w:rPr>
                        <w:rFonts w:hint="eastAsia"/>
                        <w:szCs w:val="21"/>
                      </w:rPr>
                      <w:t>合计</w:t>
                    </w:r>
                  </w:p>
                </w:tc>
              </w:sdtContent>
            </w:sdt>
            <w:tc>
              <w:tcPr>
                <w:tcW w:w="1562" w:type="pct"/>
                <w:shd w:val="clear" w:color="auto" w:fill="auto"/>
              </w:tcPr>
              <w:p w:rsidR="00433709" w:rsidRDefault="0064697C" w:rsidP="00B637B2">
                <w:pPr>
                  <w:jc w:val="right"/>
                  <w:rPr>
                    <w:szCs w:val="21"/>
                  </w:rPr>
                </w:pPr>
                <w:r w:rsidRPr="0064697C">
                  <w:rPr>
                    <w:szCs w:val="21"/>
                  </w:rPr>
                  <w:t>15,479,823</w:t>
                </w:r>
              </w:p>
            </w:tc>
            <w:tc>
              <w:tcPr>
                <w:tcW w:w="1624" w:type="pct"/>
                <w:shd w:val="clear" w:color="auto" w:fill="auto"/>
              </w:tcPr>
              <w:p w:rsidR="00433709" w:rsidRDefault="00433709" w:rsidP="00433709">
                <w:pPr>
                  <w:jc w:val="center"/>
                  <w:rPr>
                    <w:szCs w:val="21"/>
                  </w:rPr>
                </w:pPr>
                <w:r>
                  <w:rPr>
                    <w:rFonts w:hint="eastAsia"/>
                    <w:szCs w:val="21"/>
                  </w:rPr>
                  <w:t>/</w:t>
                </w:r>
              </w:p>
            </w:tc>
          </w:tr>
        </w:tbl>
        <w:p w:rsidR="00433709" w:rsidRDefault="00433709"/>
        <w:p w:rsidR="00ED2DC7" w:rsidRDefault="000D0A99"/>
      </w:sdtContent>
    </w:sdt>
    <w:sdt>
      <w:sdtPr>
        <w:rPr>
          <w:rFonts w:hint="eastAsia"/>
          <w:b/>
          <w:bCs/>
        </w:rPr>
        <w:alias w:val="模块:应付账款的其他说明"/>
        <w:tag w:val="_GBC_aecd44efc3ea456b9149dd662d0a5085"/>
        <w:id w:val="-1798833573"/>
        <w:lock w:val="sdtLocked"/>
        <w:placeholder>
          <w:docPart w:val="GBC22222222222222222222222222222"/>
        </w:placeholder>
      </w:sdtPr>
      <w:sdtEndPr>
        <w:rPr>
          <w:rFonts w:cstheme="minorBidi" w:hint="default"/>
          <w:b w:val="0"/>
          <w:bCs w:val="0"/>
          <w:kern w:val="2"/>
          <w:szCs w:val="21"/>
        </w:rPr>
      </w:sdtEndPr>
      <w:sdtContent>
        <w:p w:rsidR="00ED2DC7" w:rsidRDefault="00ED2DC7">
          <w:pPr>
            <w:rPr>
              <w:szCs w:val="21"/>
            </w:rPr>
          </w:pPr>
          <w:r>
            <w:rPr>
              <w:rFonts w:hint="eastAsia"/>
            </w:rPr>
            <w:t>其他</w:t>
          </w:r>
          <w:r>
            <w:rPr>
              <w:rFonts w:hint="eastAsia"/>
              <w:szCs w:val="21"/>
            </w:rPr>
            <w:t>说明：</w:t>
          </w:r>
        </w:p>
        <w:sdt>
          <w:sdtPr>
            <w:rPr>
              <w:szCs w:val="21"/>
            </w:rPr>
            <w:alias w:val="是否适用：应付账款的其他说明[双击切换]"/>
            <w:tag w:val="_GBC_9a797e83ea1747e9aca4221e6cdfe89f"/>
            <w:id w:val="-410774628"/>
            <w:lock w:val="sdtContentLocked"/>
            <w:placeholder>
              <w:docPart w:val="GBC22222222222222222222222222222"/>
            </w:placeholder>
          </w:sdtPr>
          <w:sdtContent>
            <w:p w:rsidR="008241E9" w:rsidRDefault="00ED2DC7" w:rsidP="008241E9">
              <w:pPr>
                <w:rPr>
                  <w:szCs w:val="21"/>
                </w:rPr>
              </w:pPr>
              <w:r>
                <w:rPr>
                  <w:szCs w:val="21"/>
                </w:rPr>
                <w:fldChar w:fldCharType="begin"/>
              </w:r>
              <w:r w:rsidR="008241E9">
                <w:rPr>
                  <w:szCs w:val="21"/>
                </w:rPr>
                <w:instrText xml:space="preserve"> MACROBUTTON  SnrToggleCheckbox □适用 </w:instrText>
              </w:r>
              <w:r>
                <w:rPr>
                  <w:szCs w:val="21"/>
                </w:rPr>
                <w:fldChar w:fldCharType="end"/>
              </w:r>
              <w:r>
                <w:rPr>
                  <w:szCs w:val="21"/>
                </w:rPr>
                <w:fldChar w:fldCharType="begin"/>
              </w:r>
              <w:r w:rsidR="008241E9">
                <w:rPr>
                  <w:szCs w:val="21"/>
                </w:rPr>
                <w:instrText xml:space="preserve"> MACROBUTTON  SnrToggleCheckbox √不适用 </w:instrText>
              </w:r>
              <w:r>
                <w:rPr>
                  <w:szCs w:val="21"/>
                </w:rPr>
                <w:fldChar w:fldCharType="end"/>
              </w:r>
            </w:p>
          </w:sdtContent>
        </w:sdt>
        <w:p w:rsidR="00ED2DC7" w:rsidRDefault="000D0A99" w:rsidP="00BB09BF">
          <w:pPr>
            <w:rPr>
              <w:szCs w:val="21"/>
            </w:rPr>
          </w:pPr>
        </w:p>
      </w:sdtContent>
    </w:sdt>
    <w:p w:rsidR="00ED2DC7" w:rsidRDefault="00ED2DC7">
      <w:pPr>
        <w:snapToGrid w:val="0"/>
        <w:spacing w:line="240" w:lineRule="atLeast"/>
        <w:rPr>
          <w:szCs w:val="21"/>
        </w:rPr>
      </w:pPr>
    </w:p>
    <w:p w:rsidR="00ED2DC7" w:rsidRDefault="00ED2DC7" w:rsidP="00036BDC">
      <w:pPr>
        <w:pStyle w:val="affffffffffffffffff1"/>
        <w:numPr>
          <w:ilvl w:val="0"/>
          <w:numId w:val="49"/>
        </w:numPr>
        <w:tabs>
          <w:tab w:val="left" w:pos="504"/>
        </w:tabs>
        <w:rPr>
          <w:rFonts w:ascii="宋体" w:hAnsi="宋体"/>
          <w:szCs w:val="21"/>
        </w:rPr>
      </w:pPr>
      <w:r>
        <w:rPr>
          <w:rFonts w:ascii="宋体" w:hAnsi="宋体" w:hint="eastAsia"/>
          <w:szCs w:val="21"/>
        </w:rPr>
        <w:t>预收款项</w:t>
      </w:r>
    </w:p>
    <w:sdt>
      <w:sdtPr>
        <w:rPr>
          <w:rFonts w:ascii="宋体" w:hAnsi="宋体" w:cs="宋体" w:hint="eastAsia"/>
          <w:b w:val="0"/>
          <w:bCs w:val="0"/>
          <w:kern w:val="0"/>
          <w:szCs w:val="21"/>
        </w:rPr>
        <w:alias w:val="模块:预收账款情况"/>
        <w:tag w:val="_GBC_d7dac18f0444439d83469555857c3195"/>
        <w:id w:val="1913348700"/>
        <w:lock w:val="sdtLocked"/>
        <w:placeholder>
          <w:docPart w:val="GBC22222222222222222222222222222"/>
        </w:placeholder>
      </w:sdtPr>
      <w:sdtEndPr>
        <w:rPr>
          <w:szCs w:val="24"/>
        </w:rPr>
      </w:sdtEndPr>
      <w:sdtContent>
        <w:p w:rsidR="00ED2DC7" w:rsidRDefault="00ED2DC7" w:rsidP="00036BDC">
          <w:pPr>
            <w:pStyle w:val="affffffffffffffffff2"/>
            <w:numPr>
              <w:ilvl w:val="0"/>
              <w:numId w:val="70"/>
            </w:numPr>
            <w:rPr>
              <w:rFonts w:ascii="宋体" w:hAnsi="宋体"/>
              <w:szCs w:val="21"/>
            </w:rPr>
          </w:pPr>
          <w:r>
            <w:rPr>
              <w:rFonts w:ascii="宋体" w:hAnsi="宋体" w:hint="eastAsia"/>
              <w:szCs w:val="21"/>
            </w:rPr>
            <w:t>预收账款项列示</w:t>
          </w:r>
        </w:p>
        <w:sdt>
          <w:sdtPr>
            <w:alias w:val="是否适用：预收账款项列示[双击切换]"/>
            <w:tag w:val="_GBC_cf9ab7f5f12c4f788a9bbb6e3ef9c9de"/>
            <w:id w:val="-283424513"/>
            <w:lock w:val="sdtContentLocked"/>
            <w:placeholder>
              <w:docPart w:val="GBC22222222222222222222222222222"/>
            </w:placeholder>
          </w:sdtPr>
          <w:sdtContent>
            <w:p w:rsidR="00ED2DC7" w:rsidRDefault="00ED2DC7">
              <w:r>
                <w:fldChar w:fldCharType="begin"/>
              </w:r>
              <w:r w:rsidR="00BB09BF">
                <w:instrText xml:space="preserve"> MACROBUTTON  SnrToggleCheckbox √适用 </w:instrText>
              </w:r>
              <w:r>
                <w:fldChar w:fldCharType="end"/>
              </w:r>
              <w:r>
                <w:fldChar w:fldCharType="begin"/>
              </w:r>
              <w:r w:rsidR="00BB09BF">
                <w:instrText xml:space="preserve"> MACROBUTTON  SnrToggleCheckbox □不适用 </w:instrText>
              </w:r>
              <w:r>
                <w:fldChar w:fldCharType="end"/>
              </w:r>
            </w:p>
          </w:sdtContent>
        </w:sdt>
        <w:p w:rsidR="008241E9" w:rsidRDefault="00ED2DC7">
          <w:pPr>
            <w:jc w:val="right"/>
            <w:rPr>
              <w:szCs w:val="21"/>
            </w:rPr>
          </w:pPr>
          <w:r>
            <w:rPr>
              <w:rFonts w:hint="eastAsia"/>
              <w:szCs w:val="21"/>
            </w:rPr>
            <w:t>单位：</w:t>
          </w:r>
          <w:sdt>
            <w:sdtPr>
              <w:rPr>
                <w:rFonts w:hint="eastAsia"/>
                <w:szCs w:val="21"/>
              </w:rPr>
              <w:alias w:val="单位：财务附注：预收账款情况"/>
              <w:tag w:val="_GBC_f4564e0d7a8a4a9589aae9168c4c8fdb"/>
              <w:id w:val="-152902077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hint="eastAsia"/>
                  <w:szCs w:val="21"/>
                </w:rPr>
                <w:t>元</w:t>
              </w:r>
            </w:sdtContent>
          </w:sdt>
          <w:r>
            <w:rPr>
              <w:rFonts w:hint="eastAsia"/>
              <w:szCs w:val="21"/>
            </w:rPr>
            <w:t xml:space="preserve">  币种：</w:t>
          </w:r>
          <w:sdt>
            <w:sdtPr>
              <w:rPr>
                <w:rFonts w:hint="eastAsia"/>
                <w:szCs w:val="21"/>
              </w:rPr>
              <w:alias w:val="币种：财务附注：预收账款情况"/>
              <w:tag w:val="_GBC_e993db46bf3641c59c10bd3e14a930d9"/>
              <w:id w:val="-7085766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szCs w:val="21"/>
                </w:rPr>
                <w:t>人民币</w:t>
              </w:r>
            </w:sdtContent>
          </w:sdt>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5"/>
            <w:gridCol w:w="3002"/>
            <w:gridCol w:w="2996"/>
          </w:tblGrid>
          <w:tr w:rsidR="008241E9" w:rsidTr="00CE2FA5">
            <w:sdt>
              <w:sdtPr>
                <w:tag w:val="_PLD_d5dd98b095374d108e2df93a96e434bb"/>
                <w:id w:val="-456641085"/>
                <w:lock w:val="sdtLocked"/>
              </w:sdtPr>
              <w:sdtContent>
                <w:tc>
                  <w:tcPr>
                    <w:tcW w:w="1601" w:type="pct"/>
                    <w:shd w:val="clear" w:color="auto" w:fill="auto"/>
                  </w:tcPr>
                  <w:p w:rsidR="008241E9" w:rsidRDefault="008241E9" w:rsidP="00CE2FA5">
                    <w:pPr>
                      <w:jc w:val="center"/>
                      <w:rPr>
                        <w:szCs w:val="21"/>
                      </w:rPr>
                    </w:pPr>
                    <w:r>
                      <w:rPr>
                        <w:rFonts w:hint="eastAsia"/>
                        <w:szCs w:val="21"/>
                      </w:rPr>
                      <w:t>项目</w:t>
                    </w:r>
                  </w:p>
                </w:tc>
              </w:sdtContent>
            </w:sdt>
            <w:sdt>
              <w:sdtPr>
                <w:tag w:val="_PLD_9fc077db74354318b54c7ec24cd1ce0c"/>
                <w:id w:val="-1174716404"/>
                <w:lock w:val="sdtLocked"/>
              </w:sdtPr>
              <w:sdtContent>
                <w:tc>
                  <w:tcPr>
                    <w:tcW w:w="1701" w:type="pct"/>
                    <w:shd w:val="clear" w:color="auto" w:fill="auto"/>
                  </w:tcPr>
                  <w:p w:rsidR="008241E9" w:rsidRDefault="008241E9" w:rsidP="00CE2FA5">
                    <w:pPr>
                      <w:jc w:val="center"/>
                      <w:rPr>
                        <w:szCs w:val="21"/>
                      </w:rPr>
                    </w:pPr>
                    <w:r>
                      <w:rPr>
                        <w:rFonts w:hint="eastAsia"/>
                        <w:szCs w:val="21"/>
                      </w:rPr>
                      <w:t>期末余额</w:t>
                    </w:r>
                  </w:p>
                </w:tc>
              </w:sdtContent>
            </w:sdt>
            <w:sdt>
              <w:sdtPr>
                <w:tag w:val="_PLD_aa9447699c054ad4b698586b835a3180"/>
                <w:id w:val="1699973642"/>
                <w:lock w:val="sdtLocked"/>
              </w:sdtPr>
              <w:sdtContent>
                <w:tc>
                  <w:tcPr>
                    <w:tcW w:w="1698" w:type="pct"/>
                    <w:shd w:val="clear" w:color="auto" w:fill="auto"/>
                  </w:tcPr>
                  <w:p w:rsidR="008241E9" w:rsidRDefault="008241E9" w:rsidP="00CE2FA5">
                    <w:pPr>
                      <w:jc w:val="center"/>
                      <w:rPr>
                        <w:szCs w:val="21"/>
                      </w:rPr>
                    </w:pPr>
                    <w:r>
                      <w:rPr>
                        <w:rFonts w:hint="eastAsia"/>
                        <w:szCs w:val="21"/>
                      </w:rPr>
                      <w:t>期初余额</w:t>
                    </w:r>
                  </w:p>
                </w:tc>
              </w:sdtContent>
            </w:sdt>
          </w:tr>
          <w:sdt>
            <w:sdtPr>
              <w:rPr>
                <w:rFonts w:asciiTheme="minorHAnsi" w:eastAsiaTheme="minorEastAsia" w:hAnsiTheme="minorHAnsi" w:cstheme="minorBidi" w:hint="eastAsia"/>
                <w:kern w:val="2"/>
                <w:szCs w:val="21"/>
              </w:rPr>
              <w:alias w:val="预收账款情况明细"/>
              <w:tag w:val="_GBC_230853c1febc415e90da55e0c713ce54"/>
              <w:id w:val="-75367624"/>
              <w:lock w:val="sdtLocked"/>
            </w:sdtPr>
            <w:sdtContent>
              <w:tr w:rsidR="008241E9" w:rsidTr="00B637B2">
                <w:tc>
                  <w:tcPr>
                    <w:tcW w:w="1601" w:type="pct"/>
                    <w:shd w:val="clear" w:color="auto" w:fill="auto"/>
                  </w:tcPr>
                  <w:p w:rsidR="008241E9" w:rsidRDefault="008241E9" w:rsidP="00CE2FA5">
                    <w:pPr>
                      <w:rPr>
                        <w:szCs w:val="21"/>
                      </w:rPr>
                    </w:pPr>
                    <w:r>
                      <w:t>1年以内</w:t>
                    </w:r>
                  </w:p>
                </w:tc>
                <w:tc>
                  <w:tcPr>
                    <w:tcW w:w="1701" w:type="pct"/>
                    <w:shd w:val="clear" w:color="auto" w:fill="auto"/>
                    <w:vAlign w:val="center"/>
                  </w:tcPr>
                  <w:p w:rsidR="008241E9" w:rsidRPr="00384929" w:rsidRDefault="008241E9" w:rsidP="00B637B2">
                    <w:pPr>
                      <w:jc w:val="right"/>
                    </w:pPr>
                    <w:r w:rsidRPr="00384929">
                      <w:t>853,876,520</w:t>
                    </w:r>
                  </w:p>
                </w:tc>
                <w:tc>
                  <w:tcPr>
                    <w:tcW w:w="1698" w:type="pct"/>
                    <w:shd w:val="clear" w:color="auto" w:fill="auto"/>
                    <w:vAlign w:val="center"/>
                  </w:tcPr>
                  <w:p w:rsidR="008241E9" w:rsidRDefault="008241E9" w:rsidP="00B637B2">
                    <w:pPr>
                      <w:jc w:val="right"/>
                      <w:rPr>
                        <w:szCs w:val="21"/>
                      </w:rPr>
                    </w:pPr>
                    <w:r>
                      <w:t>800,646,833</w:t>
                    </w:r>
                  </w:p>
                </w:tc>
              </w:tr>
            </w:sdtContent>
          </w:sdt>
          <w:sdt>
            <w:sdtPr>
              <w:rPr>
                <w:rFonts w:asciiTheme="minorHAnsi" w:eastAsiaTheme="minorEastAsia" w:hAnsiTheme="minorHAnsi" w:cstheme="minorBidi" w:hint="eastAsia"/>
                <w:kern w:val="2"/>
                <w:szCs w:val="21"/>
              </w:rPr>
              <w:alias w:val="预收账款情况明细"/>
              <w:tag w:val="_GBC_230853c1febc415e90da55e0c713ce54"/>
              <w:id w:val="-46067151"/>
              <w:lock w:val="sdtLocked"/>
            </w:sdtPr>
            <w:sdtContent>
              <w:tr w:rsidR="008241E9" w:rsidTr="00B637B2">
                <w:tc>
                  <w:tcPr>
                    <w:tcW w:w="1601" w:type="pct"/>
                    <w:shd w:val="clear" w:color="auto" w:fill="auto"/>
                  </w:tcPr>
                  <w:p w:rsidR="008241E9" w:rsidRDefault="008241E9" w:rsidP="00CE2FA5">
                    <w:pPr>
                      <w:rPr>
                        <w:szCs w:val="21"/>
                      </w:rPr>
                    </w:pPr>
                    <w:r>
                      <w:t>1至2年</w:t>
                    </w:r>
                  </w:p>
                </w:tc>
                <w:tc>
                  <w:tcPr>
                    <w:tcW w:w="1701" w:type="pct"/>
                    <w:shd w:val="clear" w:color="auto" w:fill="auto"/>
                    <w:vAlign w:val="center"/>
                  </w:tcPr>
                  <w:p w:rsidR="008241E9" w:rsidRPr="00384929" w:rsidRDefault="008241E9" w:rsidP="00B637B2">
                    <w:pPr>
                      <w:jc w:val="right"/>
                    </w:pPr>
                    <w:r w:rsidRPr="00384929">
                      <w:t>145,533,943</w:t>
                    </w:r>
                  </w:p>
                </w:tc>
                <w:tc>
                  <w:tcPr>
                    <w:tcW w:w="1698" w:type="pct"/>
                    <w:shd w:val="clear" w:color="auto" w:fill="auto"/>
                    <w:vAlign w:val="center"/>
                  </w:tcPr>
                  <w:p w:rsidR="008241E9" w:rsidRDefault="008241E9" w:rsidP="00B637B2">
                    <w:pPr>
                      <w:jc w:val="right"/>
                      <w:rPr>
                        <w:szCs w:val="21"/>
                      </w:rPr>
                    </w:pPr>
                    <w:r>
                      <w:t>110,183,526</w:t>
                    </w:r>
                  </w:p>
                </w:tc>
              </w:tr>
            </w:sdtContent>
          </w:sdt>
          <w:sdt>
            <w:sdtPr>
              <w:rPr>
                <w:rFonts w:asciiTheme="minorHAnsi" w:eastAsiaTheme="minorEastAsia" w:hAnsiTheme="minorHAnsi" w:cstheme="minorBidi" w:hint="eastAsia"/>
                <w:kern w:val="2"/>
                <w:szCs w:val="21"/>
              </w:rPr>
              <w:alias w:val="预收账款情况明细"/>
              <w:tag w:val="_GBC_230853c1febc415e90da55e0c713ce54"/>
              <w:id w:val="1008799675"/>
              <w:lock w:val="sdtLocked"/>
            </w:sdtPr>
            <w:sdtContent>
              <w:tr w:rsidR="008241E9" w:rsidTr="00B637B2">
                <w:tc>
                  <w:tcPr>
                    <w:tcW w:w="1601" w:type="pct"/>
                    <w:shd w:val="clear" w:color="auto" w:fill="auto"/>
                  </w:tcPr>
                  <w:p w:rsidR="008241E9" w:rsidRDefault="008241E9" w:rsidP="00CE2FA5">
                    <w:pPr>
                      <w:rPr>
                        <w:szCs w:val="21"/>
                      </w:rPr>
                    </w:pPr>
                    <w:r>
                      <w:t>2至3年</w:t>
                    </w:r>
                  </w:p>
                </w:tc>
                <w:tc>
                  <w:tcPr>
                    <w:tcW w:w="1701" w:type="pct"/>
                    <w:shd w:val="clear" w:color="auto" w:fill="auto"/>
                    <w:vAlign w:val="center"/>
                  </w:tcPr>
                  <w:p w:rsidR="008241E9" w:rsidRPr="00384929" w:rsidRDefault="008241E9" w:rsidP="00B637B2">
                    <w:pPr>
                      <w:jc w:val="right"/>
                    </w:pPr>
                    <w:r w:rsidRPr="00384929">
                      <w:t>53,196,718</w:t>
                    </w:r>
                  </w:p>
                </w:tc>
                <w:tc>
                  <w:tcPr>
                    <w:tcW w:w="1698" w:type="pct"/>
                    <w:shd w:val="clear" w:color="auto" w:fill="auto"/>
                    <w:vAlign w:val="center"/>
                  </w:tcPr>
                  <w:p w:rsidR="008241E9" w:rsidRDefault="008241E9" w:rsidP="00B637B2">
                    <w:pPr>
                      <w:jc w:val="right"/>
                      <w:rPr>
                        <w:szCs w:val="21"/>
                      </w:rPr>
                    </w:pPr>
                    <w:r>
                      <w:t>63,825,036</w:t>
                    </w:r>
                  </w:p>
                </w:tc>
              </w:tr>
            </w:sdtContent>
          </w:sdt>
          <w:sdt>
            <w:sdtPr>
              <w:rPr>
                <w:rFonts w:asciiTheme="minorHAnsi" w:eastAsiaTheme="minorEastAsia" w:hAnsiTheme="minorHAnsi" w:cstheme="minorBidi" w:hint="eastAsia"/>
                <w:kern w:val="2"/>
                <w:szCs w:val="21"/>
              </w:rPr>
              <w:alias w:val="预收账款情况明细"/>
              <w:tag w:val="_GBC_230853c1febc415e90da55e0c713ce54"/>
              <w:id w:val="163823063"/>
              <w:lock w:val="sdtLocked"/>
            </w:sdtPr>
            <w:sdtContent>
              <w:tr w:rsidR="008241E9" w:rsidTr="00B637B2">
                <w:tc>
                  <w:tcPr>
                    <w:tcW w:w="1601" w:type="pct"/>
                    <w:shd w:val="clear" w:color="auto" w:fill="auto"/>
                  </w:tcPr>
                  <w:p w:rsidR="008241E9" w:rsidRDefault="008241E9" w:rsidP="00CE2FA5">
                    <w:pPr>
                      <w:rPr>
                        <w:szCs w:val="21"/>
                      </w:rPr>
                    </w:pPr>
                    <w:r>
                      <w:t>3年以上</w:t>
                    </w:r>
                  </w:p>
                </w:tc>
                <w:tc>
                  <w:tcPr>
                    <w:tcW w:w="1701" w:type="pct"/>
                    <w:shd w:val="clear" w:color="auto" w:fill="auto"/>
                    <w:vAlign w:val="center"/>
                  </w:tcPr>
                  <w:p w:rsidR="008241E9" w:rsidRDefault="008241E9" w:rsidP="00B637B2">
                    <w:pPr>
                      <w:jc w:val="right"/>
                    </w:pPr>
                    <w:r w:rsidRPr="00384929">
                      <w:t>81,976,776</w:t>
                    </w:r>
                  </w:p>
                </w:tc>
                <w:tc>
                  <w:tcPr>
                    <w:tcW w:w="1698" w:type="pct"/>
                    <w:shd w:val="clear" w:color="auto" w:fill="auto"/>
                    <w:vAlign w:val="center"/>
                  </w:tcPr>
                  <w:p w:rsidR="008241E9" w:rsidRDefault="008241E9" w:rsidP="00B637B2">
                    <w:pPr>
                      <w:jc w:val="right"/>
                      <w:rPr>
                        <w:szCs w:val="21"/>
                      </w:rPr>
                    </w:pPr>
                    <w:r>
                      <w:t>105,027,703</w:t>
                    </w:r>
                  </w:p>
                </w:tc>
              </w:tr>
            </w:sdtContent>
          </w:sdt>
          <w:tr w:rsidR="008241E9" w:rsidRPr="008241E9" w:rsidTr="00B637B2">
            <w:sdt>
              <w:sdtPr>
                <w:tag w:val="_PLD_dbdcdc98ceee47408e8ac7a0d53c5b39"/>
                <w:id w:val="1170371784"/>
                <w:lock w:val="sdtLocked"/>
              </w:sdtPr>
              <w:sdtContent>
                <w:tc>
                  <w:tcPr>
                    <w:tcW w:w="1601" w:type="pct"/>
                    <w:shd w:val="clear" w:color="auto" w:fill="auto"/>
                  </w:tcPr>
                  <w:p w:rsidR="008241E9" w:rsidRDefault="008241E9" w:rsidP="00CE2FA5">
                    <w:pPr>
                      <w:jc w:val="center"/>
                      <w:rPr>
                        <w:color w:val="000000" w:themeColor="text1"/>
                        <w:szCs w:val="21"/>
                      </w:rPr>
                    </w:pPr>
                    <w:r>
                      <w:rPr>
                        <w:rFonts w:hint="eastAsia"/>
                        <w:color w:val="000000" w:themeColor="text1"/>
                        <w:szCs w:val="21"/>
                      </w:rPr>
                      <w:t>合计</w:t>
                    </w:r>
                  </w:p>
                </w:tc>
              </w:sdtContent>
            </w:sdt>
            <w:tc>
              <w:tcPr>
                <w:tcW w:w="1701" w:type="pct"/>
                <w:shd w:val="clear" w:color="auto" w:fill="auto"/>
                <w:vAlign w:val="center"/>
              </w:tcPr>
              <w:p w:rsidR="008241E9" w:rsidRPr="008241E9" w:rsidRDefault="008F04CF" w:rsidP="00B637B2">
                <w:pPr>
                  <w:jc w:val="right"/>
                </w:pPr>
                <w:r>
                  <w:t>1,134,583,957</w:t>
                </w:r>
              </w:p>
            </w:tc>
            <w:tc>
              <w:tcPr>
                <w:tcW w:w="1698" w:type="pct"/>
                <w:shd w:val="clear" w:color="auto" w:fill="auto"/>
                <w:vAlign w:val="center"/>
              </w:tcPr>
              <w:p w:rsidR="008241E9" w:rsidRPr="008241E9" w:rsidRDefault="008F04CF" w:rsidP="00B637B2">
                <w:pPr>
                  <w:jc w:val="right"/>
                </w:pPr>
                <w:r>
                  <w:t>1,079,683,098</w:t>
                </w:r>
              </w:p>
            </w:tc>
          </w:tr>
        </w:tbl>
        <w:p w:rsidR="008241E9" w:rsidRDefault="008241E9"/>
        <w:p w:rsidR="00ED2DC7" w:rsidRPr="008241E9" w:rsidRDefault="000D0A99" w:rsidP="008241E9"/>
      </w:sdtContent>
    </w:sdt>
    <w:p w:rsidR="00ED2DC7" w:rsidRDefault="00ED2DC7">
      <w:pPr>
        <w:tabs>
          <w:tab w:val="left" w:pos="8280"/>
          <w:tab w:val="left" w:pos="9720"/>
        </w:tabs>
        <w:ind w:rightChars="12" w:right="25"/>
        <w:rPr>
          <w:szCs w:val="21"/>
        </w:rPr>
      </w:pPr>
    </w:p>
    <w:sdt>
      <w:sdtPr>
        <w:rPr>
          <w:rFonts w:ascii="宋体" w:hAnsi="宋体" w:cstheme="minorBidi" w:hint="eastAsia"/>
          <w:b w:val="0"/>
          <w:bCs w:val="0"/>
          <w:kern w:val="0"/>
          <w:szCs w:val="21"/>
        </w:rPr>
        <w:alias w:val="模块:账龄超过1年的重要预收款项"/>
        <w:tag w:val="_GBC_59300802f7ac43e3ab1ce4a570fb0267"/>
        <w:id w:val="-1857337345"/>
        <w:lock w:val="sdtLocked"/>
        <w:placeholder>
          <w:docPart w:val="GBC22222222222222222222222222222"/>
        </w:placeholder>
      </w:sdtPr>
      <w:sdtContent>
        <w:p w:rsidR="00ED2DC7" w:rsidRDefault="00ED2DC7" w:rsidP="00036BDC">
          <w:pPr>
            <w:pStyle w:val="affffffffffffffffff2"/>
            <w:numPr>
              <w:ilvl w:val="0"/>
              <w:numId w:val="70"/>
            </w:numPr>
            <w:rPr>
              <w:kern w:val="0"/>
            </w:rPr>
          </w:pPr>
          <w:r>
            <w:rPr>
              <w:rFonts w:hint="eastAsia"/>
              <w:kern w:val="0"/>
            </w:rPr>
            <w:t>账龄超过</w:t>
          </w:r>
          <w:r>
            <w:rPr>
              <w:kern w:val="0"/>
            </w:rPr>
            <w:t>1</w:t>
          </w:r>
          <w:r>
            <w:rPr>
              <w:kern w:val="0"/>
            </w:rPr>
            <w:t>年的重要预收款项</w:t>
          </w:r>
        </w:p>
        <w:sdt>
          <w:sdtPr>
            <w:alias w:val="是否适用：账龄超过1年的重要预收款项[双击切换]"/>
            <w:tag w:val="_GBC_ae7ea5bab4b04b2cb170af5020f86302"/>
            <w:id w:val="-1424720145"/>
            <w:lock w:val="sdtContentLocked"/>
            <w:placeholder>
              <w:docPart w:val="GBC22222222222222222222222222222"/>
            </w:placeholder>
          </w:sdtPr>
          <w:sdtContent>
            <w:p w:rsidR="0064697C" w:rsidRDefault="00ED2DC7" w:rsidP="00BB09BF">
              <w:r>
                <w:fldChar w:fldCharType="begin"/>
              </w:r>
              <w:r w:rsidR="0064697C">
                <w:instrText xml:space="preserve"> MACROBUTTON  SnrToggleCheckbox √适用 </w:instrText>
              </w:r>
              <w:r>
                <w:fldChar w:fldCharType="end"/>
              </w:r>
              <w:r>
                <w:fldChar w:fldCharType="begin"/>
              </w:r>
              <w:r w:rsidR="0064697C">
                <w:instrText xml:space="preserve"> MACROBUTTON  SnrToggleCheckbox □不适用 </w:instrText>
              </w:r>
              <w:r>
                <w:fldChar w:fldCharType="end"/>
              </w:r>
            </w:p>
          </w:sdtContent>
        </w:sdt>
        <w:p w:rsidR="0064697C" w:rsidRDefault="0064697C">
          <w:pPr>
            <w:jc w:val="right"/>
          </w:pPr>
          <w:r>
            <w:rPr>
              <w:rFonts w:hint="eastAsia"/>
            </w:rPr>
            <w:t>单位：</w:t>
          </w:r>
          <w:sdt>
            <w:sdtPr>
              <w:rPr>
                <w:rFonts w:hint="eastAsia"/>
              </w:rPr>
              <w:alias w:val="单位：财务附注：重要的账龄超过1年的预收账款"/>
              <w:tag w:val="_GBC_42b95b40c556404fb356ffbe5874de55"/>
              <w:id w:val="-92630080"/>
              <w:lock w:val="sdtLocked"/>
              <w:comboBox>
                <w:listItem w:displayText="元" w:value="1"/>
                <w:listItem w:displayText="千元" w:value="1000"/>
                <w:listItem w:displayText="万元" w:value="10000"/>
                <w:listItem w:displayText="百万元" w:value="1000000"/>
                <w:listItem w:displayText="亿元" w:value="100000000"/>
              </w:comboBox>
            </w:sdtPr>
            <w:sdtContent>
              <w:r w:rsidR="008F04CF">
                <w:rPr>
                  <w:rFonts w:hint="eastAsia"/>
                </w:rPr>
                <w:t>元</w:t>
              </w:r>
            </w:sdtContent>
          </w:sdt>
          <w:r>
            <w:rPr>
              <w:rFonts w:hint="eastAsia"/>
            </w:rPr>
            <w:t xml:space="preserve">  币种：</w:t>
          </w:r>
          <w:sdt>
            <w:sdtPr>
              <w:rPr>
                <w:rFonts w:hint="eastAsia"/>
              </w:rPr>
              <w:alias w:val="币种：财务附注：重要的账龄超过1年的预收账款"/>
              <w:tag w:val="_GBC_3b5cf8cf0f1d44548bc9470ab19fc397"/>
              <w:id w:val="-175797445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rPr>
                <w:t>人民币</w:t>
              </w:r>
            </w:sdtContent>
          </w:sdt>
        </w:p>
        <w:tbl>
          <w:tblPr>
            <w:tblStyle w:val="g3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15"/>
            <w:gridCol w:w="2936"/>
            <w:gridCol w:w="2972"/>
          </w:tblGrid>
          <w:tr w:rsidR="002B278D" w:rsidTr="00CE2FA5">
            <w:sdt>
              <w:sdtPr>
                <w:tag w:val="_PLD_a4e03e2e9e4349419f13fec568395d55"/>
                <w:id w:val="441422038"/>
                <w:lock w:val="sdtLocked"/>
              </w:sdtPr>
              <w:sdtContent>
                <w:tc>
                  <w:tcPr>
                    <w:tcW w:w="1652" w:type="pct"/>
                    <w:shd w:val="clear" w:color="auto" w:fill="auto"/>
                    <w:vAlign w:val="center"/>
                  </w:tcPr>
                  <w:p w:rsidR="002B278D" w:rsidRDefault="002B278D" w:rsidP="00CE2FA5">
                    <w:pPr>
                      <w:jc w:val="center"/>
                      <w:rPr>
                        <w:szCs w:val="21"/>
                      </w:rPr>
                    </w:pPr>
                    <w:r>
                      <w:rPr>
                        <w:rFonts w:hint="eastAsia"/>
                        <w:szCs w:val="21"/>
                      </w:rPr>
                      <w:t>项目</w:t>
                    </w:r>
                  </w:p>
                </w:tc>
              </w:sdtContent>
            </w:sdt>
            <w:sdt>
              <w:sdtPr>
                <w:tag w:val="_PLD_8dd80b4c0ac3400bb1beb0c7f576a2f6"/>
                <w:id w:val="-1189216406"/>
                <w:lock w:val="sdtLocked"/>
              </w:sdtPr>
              <w:sdtContent>
                <w:tc>
                  <w:tcPr>
                    <w:tcW w:w="1664" w:type="pct"/>
                    <w:shd w:val="clear" w:color="auto" w:fill="auto"/>
                    <w:vAlign w:val="center"/>
                  </w:tcPr>
                  <w:p w:rsidR="002B278D" w:rsidRDefault="002B278D" w:rsidP="00CE2FA5">
                    <w:pPr>
                      <w:jc w:val="center"/>
                      <w:rPr>
                        <w:szCs w:val="21"/>
                      </w:rPr>
                    </w:pPr>
                    <w:r>
                      <w:rPr>
                        <w:rFonts w:hint="eastAsia"/>
                        <w:szCs w:val="21"/>
                      </w:rPr>
                      <w:t>期末余额</w:t>
                    </w:r>
                  </w:p>
                </w:tc>
              </w:sdtContent>
            </w:sdt>
            <w:sdt>
              <w:sdtPr>
                <w:tag w:val="_PLD_d7bc2edb811346f1ae4479ea07f0f622"/>
                <w:id w:val="-353193156"/>
                <w:lock w:val="sdtLocked"/>
              </w:sdtPr>
              <w:sdtContent>
                <w:tc>
                  <w:tcPr>
                    <w:tcW w:w="1684" w:type="pct"/>
                    <w:shd w:val="clear" w:color="auto" w:fill="auto"/>
                    <w:vAlign w:val="center"/>
                  </w:tcPr>
                  <w:p w:rsidR="002B278D" w:rsidRDefault="002B278D" w:rsidP="00CE2FA5">
                    <w:pPr>
                      <w:jc w:val="center"/>
                      <w:rPr>
                        <w:szCs w:val="21"/>
                      </w:rPr>
                    </w:pPr>
                    <w:r>
                      <w:rPr>
                        <w:rFonts w:hint="eastAsia"/>
                        <w:szCs w:val="21"/>
                      </w:rPr>
                      <w:t>未偿还或结转的原因</w:t>
                    </w:r>
                  </w:p>
                </w:tc>
              </w:sdtContent>
            </w:sdt>
          </w:tr>
          <w:sdt>
            <w:sdtPr>
              <w:rPr>
                <w:szCs w:val="21"/>
              </w:rPr>
              <w:alias w:val="重要的账龄超过1年的预收账款明细"/>
              <w:tag w:val="_GBC_36a567eab8e7428283e75f2fe80c7041"/>
              <w:id w:val="2037542956"/>
              <w:lock w:val="sdtLocked"/>
            </w:sdtPr>
            <w:sdtContent>
              <w:tr w:rsidR="002B278D" w:rsidTr="00B637B2">
                <w:tc>
                  <w:tcPr>
                    <w:tcW w:w="1652" w:type="pct"/>
                    <w:tcBorders>
                      <w:bottom w:val="single" w:sz="4" w:space="0" w:color="auto"/>
                    </w:tcBorders>
                    <w:shd w:val="clear" w:color="auto" w:fill="auto"/>
                  </w:tcPr>
                  <w:p w:rsidR="002B278D" w:rsidRDefault="002B278D" w:rsidP="00CE2FA5">
                    <w:pPr>
                      <w:rPr>
                        <w:szCs w:val="21"/>
                      </w:rPr>
                    </w:pPr>
                    <w:r>
                      <w:t>单位1</w:t>
                    </w:r>
                  </w:p>
                </w:tc>
                <w:tc>
                  <w:tcPr>
                    <w:tcW w:w="1664" w:type="pct"/>
                    <w:shd w:val="clear" w:color="auto" w:fill="auto"/>
                    <w:vAlign w:val="center"/>
                  </w:tcPr>
                  <w:p w:rsidR="002B278D" w:rsidRPr="009527EA" w:rsidRDefault="008F04CF" w:rsidP="00B637B2">
                    <w:pPr>
                      <w:jc w:val="right"/>
                    </w:pPr>
                    <w:r>
                      <w:t xml:space="preserve"> 5,506,735</w:t>
                    </w:r>
                  </w:p>
                </w:tc>
                <w:tc>
                  <w:tcPr>
                    <w:tcW w:w="1684" w:type="pct"/>
                    <w:shd w:val="clear" w:color="auto" w:fill="auto"/>
                    <w:vAlign w:val="center"/>
                  </w:tcPr>
                  <w:p w:rsidR="002B278D" w:rsidRDefault="002B278D" w:rsidP="00B637B2">
                    <w:pPr>
                      <w:jc w:val="right"/>
                      <w:rPr>
                        <w:szCs w:val="21"/>
                      </w:rPr>
                    </w:pPr>
                    <w:r>
                      <w:t>未达到确认条件</w:t>
                    </w:r>
                  </w:p>
                </w:tc>
              </w:tr>
            </w:sdtContent>
          </w:sdt>
          <w:sdt>
            <w:sdtPr>
              <w:rPr>
                <w:szCs w:val="21"/>
              </w:rPr>
              <w:alias w:val="重要的账龄超过1年的预收账款明细"/>
              <w:tag w:val="_GBC_36a567eab8e7428283e75f2fe80c7041"/>
              <w:id w:val="-1571724886"/>
              <w:lock w:val="sdtLocked"/>
            </w:sdtPr>
            <w:sdtContent>
              <w:tr w:rsidR="002B278D" w:rsidTr="00B637B2">
                <w:tc>
                  <w:tcPr>
                    <w:tcW w:w="1652" w:type="pct"/>
                    <w:tcBorders>
                      <w:bottom w:val="single" w:sz="4" w:space="0" w:color="auto"/>
                    </w:tcBorders>
                    <w:shd w:val="clear" w:color="auto" w:fill="auto"/>
                  </w:tcPr>
                  <w:p w:rsidR="002B278D" w:rsidRDefault="002B278D" w:rsidP="00CE2FA5">
                    <w:pPr>
                      <w:rPr>
                        <w:szCs w:val="21"/>
                      </w:rPr>
                    </w:pPr>
                    <w:r>
                      <w:t>单位2</w:t>
                    </w:r>
                  </w:p>
                </w:tc>
                <w:tc>
                  <w:tcPr>
                    <w:tcW w:w="1664" w:type="pct"/>
                    <w:shd w:val="clear" w:color="auto" w:fill="auto"/>
                    <w:vAlign w:val="center"/>
                  </w:tcPr>
                  <w:p w:rsidR="002B278D" w:rsidRPr="009527EA" w:rsidRDefault="008F04CF" w:rsidP="00B637B2">
                    <w:pPr>
                      <w:jc w:val="right"/>
                    </w:pPr>
                    <w:r>
                      <w:t xml:space="preserve"> 3,828,767</w:t>
                    </w:r>
                  </w:p>
                </w:tc>
                <w:tc>
                  <w:tcPr>
                    <w:tcW w:w="1684" w:type="pct"/>
                    <w:shd w:val="clear" w:color="auto" w:fill="auto"/>
                    <w:vAlign w:val="center"/>
                  </w:tcPr>
                  <w:p w:rsidR="002B278D" w:rsidRDefault="002B278D" w:rsidP="00B637B2">
                    <w:pPr>
                      <w:jc w:val="right"/>
                      <w:rPr>
                        <w:szCs w:val="21"/>
                      </w:rPr>
                    </w:pPr>
                    <w:r>
                      <w:t>未达到确认条件</w:t>
                    </w:r>
                  </w:p>
                </w:tc>
              </w:tr>
            </w:sdtContent>
          </w:sdt>
          <w:sdt>
            <w:sdtPr>
              <w:rPr>
                <w:szCs w:val="21"/>
              </w:rPr>
              <w:alias w:val="重要的账龄超过1年的预收账款明细"/>
              <w:tag w:val="_GBC_36a567eab8e7428283e75f2fe80c7041"/>
              <w:id w:val="28617588"/>
              <w:lock w:val="sdtLocked"/>
            </w:sdtPr>
            <w:sdtContent>
              <w:tr w:rsidR="002B278D" w:rsidTr="00B637B2">
                <w:tc>
                  <w:tcPr>
                    <w:tcW w:w="1652" w:type="pct"/>
                    <w:tcBorders>
                      <w:bottom w:val="single" w:sz="4" w:space="0" w:color="auto"/>
                    </w:tcBorders>
                    <w:shd w:val="clear" w:color="auto" w:fill="auto"/>
                  </w:tcPr>
                  <w:p w:rsidR="002B278D" w:rsidRDefault="002B278D" w:rsidP="00CE2FA5">
                    <w:pPr>
                      <w:rPr>
                        <w:szCs w:val="21"/>
                      </w:rPr>
                    </w:pPr>
                    <w:r>
                      <w:t>单位3</w:t>
                    </w:r>
                  </w:p>
                </w:tc>
                <w:tc>
                  <w:tcPr>
                    <w:tcW w:w="1664" w:type="pct"/>
                    <w:shd w:val="clear" w:color="auto" w:fill="auto"/>
                    <w:vAlign w:val="center"/>
                  </w:tcPr>
                  <w:p w:rsidR="002B278D" w:rsidRPr="009527EA" w:rsidRDefault="008F04CF" w:rsidP="00B637B2">
                    <w:pPr>
                      <w:jc w:val="right"/>
                    </w:pPr>
                    <w:r>
                      <w:t xml:space="preserve"> 3,614,901</w:t>
                    </w:r>
                  </w:p>
                </w:tc>
                <w:tc>
                  <w:tcPr>
                    <w:tcW w:w="1684" w:type="pct"/>
                    <w:shd w:val="clear" w:color="auto" w:fill="auto"/>
                    <w:vAlign w:val="center"/>
                  </w:tcPr>
                  <w:p w:rsidR="002B278D" w:rsidRDefault="002B278D" w:rsidP="00B637B2">
                    <w:pPr>
                      <w:jc w:val="right"/>
                      <w:rPr>
                        <w:szCs w:val="21"/>
                      </w:rPr>
                    </w:pPr>
                    <w:r>
                      <w:t>未达到确认条件</w:t>
                    </w:r>
                  </w:p>
                </w:tc>
              </w:tr>
            </w:sdtContent>
          </w:sdt>
          <w:sdt>
            <w:sdtPr>
              <w:rPr>
                <w:szCs w:val="21"/>
              </w:rPr>
              <w:alias w:val="重要的账龄超过1年的预收账款明细"/>
              <w:tag w:val="_GBC_36a567eab8e7428283e75f2fe80c7041"/>
              <w:id w:val="-305779645"/>
              <w:lock w:val="sdtLocked"/>
            </w:sdtPr>
            <w:sdtContent>
              <w:tr w:rsidR="002B278D" w:rsidTr="00B637B2">
                <w:tc>
                  <w:tcPr>
                    <w:tcW w:w="1652" w:type="pct"/>
                    <w:tcBorders>
                      <w:bottom w:val="single" w:sz="4" w:space="0" w:color="auto"/>
                    </w:tcBorders>
                    <w:shd w:val="clear" w:color="auto" w:fill="auto"/>
                  </w:tcPr>
                  <w:p w:rsidR="002B278D" w:rsidRDefault="002B278D" w:rsidP="00CE2FA5">
                    <w:pPr>
                      <w:rPr>
                        <w:szCs w:val="21"/>
                      </w:rPr>
                    </w:pPr>
                    <w:r>
                      <w:t>单位4</w:t>
                    </w:r>
                  </w:p>
                </w:tc>
                <w:tc>
                  <w:tcPr>
                    <w:tcW w:w="1664" w:type="pct"/>
                    <w:shd w:val="clear" w:color="auto" w:fill="auto"/>
                    <w:vAlign w:val="center"/>
                  </w:tcPr>
                  <w:p w:rsidR="002B278D" w:rsidRPr="009527EA" w:rsidRDefault="008F04CF" w:rsidP="00B637B2">
                    <w:pPr>
                      <w:jc w:val="right"/>
                    </w:pPr>
                    <w:r>
                      <w:t xml:space="preserve"> 1,705,660</w:t>
                    </w:r>
                  </w:p>
                </w:tc>
                <w:tc>
                  <w:tcPr>
                    <w:tcW w:w="1684" w:type="pct"/>
                    <w:shd w:val="clear" w:color="auto" w:fill="auto"/>
                    <w:vAlign w:val="center"/>
                  </w:tcPr>
                  <w:p w:rsidR="002B278D" w:rsidRDefault="002B278D" w:rsidP="00B637B2">
                    <w:pPr>
                      <w:jc w:val="right"/>
                      <w:rPr>
                        <w:szCs w:val="21"/>
                      </w:rPr>
                    </w:pPr>
                    <w:r>
                      <w:t>未达到确认条件</w:t>
                    </w:r>
                  </w:p>
                </w:tc>
              </w:tr>
            </w:sdtContent>
          </w:sdt>
          <w:sdt>
            <w:sdtPr>
              <w:rPr>
                <w:szCs w:val="21"/>
              </w:rPr>
              <w:alias w:val="重要的账龄超过1年的预收账款明细"/>
              <w:tag w:val="_GBC_36a567eab8e7428283e75f2fe80c7041"/>
              <w:id w:val="1146475309"/>
              <w:lock w:val="sdtLocked"/>
            </w:sdtPr>
            <w:sdtContent>
              <w:tr w:rsidR="002B278D" w:rsidTr="00B637B2">
                <w:tc>
                  <w:tcPr>
                    <w:tcW w:w="1652" w:type="pct"/>
                    <w:tcBorders>
                      <w:bottom w:val="single" w:sz="4" w:space="0" w:color="auto"/>
                    </w:tcBorders>
                    <w:shd w:val="clear" w:color="auto" w:fill="auto"/>
                  </w:tcPr>
                  <w:p w:rsidR="002B278D" w:rsidRDefault="002B278D" w:rsidP="00CE2FA5">
                    <w:pPr>
                      <w:rPr>
                        <w:szCs w:val="21"/>
                      </w:rPr>
                    </w:pPr>
                    <w:r>
                      <w:t>单位5</w:t>
                    </w:r>
                  </w:p>
                </w:tc>
                <w:tc>
                  <w:tcPr>
                    <w:tcW w:w="1664" w:type="pct"/>
                    <w:shd w:val="clear" w:color="auto" w:fill="auto"/>
                    <w:vAlign w:val="center"/>
                  </w:tcPr>
                  <w:p w:rsidR="002B278D" w:rsidRDefault="002B278D" w:rsidP="00B637B2">
                    <w:pPr>
                      <w:jc w:val="right"/>
                    </w:pPr>
                    <w:r w:rsidRPr="009527EA">
                      <w:t>1,526,642</w:t>
                    </w:r>
                  </w:p>
                </w:tc>
                <w:tc>
                  <w:tcPr>
                    <w:tcW w:w="1684" w:type="pct"/>
                    <w:shd w:val="clear" w:color="auto" w:fill="auto"/>
                    <w:vAlign w:val="center"/>
                  </w:tcPr>
                  <w:p w:rsidR="002B278D" w:rsidRDefault="002B278D" w:rsidP="00B637B2">
                    <w:pPr>
                      <w:jc w:val="right"/>
                      <w:rPr>
                        <w:szCs w:val="21"/>
                      </w:rPr>
                    </w:pPr>
                    <w:r>
                      <w:t>未达到确认条件</w:t>
                    </w:r>
                  </w:p>
                </w:tc>
              </w:tr>
            </w:sdtContent>
          </w:sdt>
          <w:tr w:rsidR="002B278D" w:rsidTr="00CE2FA5">
            <w:sdt>
              <w:sdtPr>
                <w:tag w:val="_PLD_4b71806cf8d4402a8570d8a456143f9e"/>
                <w:id w:val="-575746278"/>
                <w:lock w:val="sdtLocked"/>
              </w:sdtPr>
              <w:sdtContent>
                <w:tc>
                  <w:tcPr>
                    <w:tcW w:w="1652" w:type="pct"/>
                    <w:shd w:val="clear" w:color="auto" w:fill="auto"/>
                    <w:vAlign w:val="center"/>
                  </w:tcPr>
                  <w:p w:rsidR="002B278D" w:rsidRDefault="002B278D" w:rsidP="00CE2FA5">
                    <w:pPr>
                      <w:jc w:val="center"/>
                      <w:rPr>
                        <w:szCs w:val="21"/>
                      </w:rPr>
                    </w:pPr>
                    <w:r>
                      <w:rPr>
                        <w:rFonts w:hint="eastAsia"/>
                        <w:szCs w:val="21"/>
                      </w:rPr>
                      <w:t>合计</w:t>
                    </w:r>
                  </w:p>
                </w:tc>
              </w:sdtContent>
            </w:sdt>
            <w:tc>
              <w:tcPr>
                <w:tcW w:w="1664" w:type="pct"/>
                <w:shd w:val="clear" w:color="auto" w:fill="auto"/>
              </w:tcPr>
              <w:p w:rsidR="002B278D" w:rsidRDefault="008F04CF" w:rsidP="00CE2FA5">
                <w:pPr>
                  <w:jc w:val="right"/>
                  <w:rPr>
                    <w:szCs w:val="21"/>
                  </w:rPr>
                </w:pPr>
                <w:r>
                  <w:rPr>
                    <w:szCs w:val="21"/>
                  </w:rPr>
                  <w:t>16,182,705</w:t>
                </w:r>
              </w:p>
            </w:tc>
            <w:tc>
              <w:tcPr>
                <w:tcW w:w="1684" w:type="pct"/>
                <w:shd w:val="clear" w:color="auto" w:fill="auto"/>
              </w:tcPr>
              <w:p w:rsidR="002B278D" w:rsidRDefault="002B278D" w:rsidP="00CE2FA5">
                <w:pPr>
                  <w:jc w:val="center"/>
                  <w:rPr>
                    <w:szCs w:val="21"/>
                  </w:rPr>
                </w:pPr>
                <w:r>
                  <w:rPr>
                    <w:rFonts w:hint="eastAsia"/>
                    <w:szCs w:val="21"/>
                  </w:rPr>
                  <w:t>/</w:t>
                </w:r>
              </w:p>
            </w:tc>
          </w:tr>
        </w:tbl>
        <w:p w:rsidR="002B278D" w:rsidRDefault="002B278D"/>
        <w:p w:rsidR="00ED2DC7" w:rsidRDefault="000D0A99" w:rsidP="00BB09BF">
          <w:pPr>
            <w:rPr>
              <w:rFonts w:cstheme="minorBidi"/>
              <w:szCs w:val="21"/>
            </w:rPr>
          </w:pPr>
        </w:p>
      </w:sdtContent>
    </w:sdt>
    <w:sdt>
      <w:sdtPr>
        <w:rPr>
          <w:rFonts w:hint="eastAsia"/>
          <w:b/>
          <w:bCs/>
        </w:rPr>
        <w:alias w:val="模块:账龄超过1年的大额预收款项情况的说明"/>
        <w:tag w:val="_GBC_3b693e8055374a80821823cdad74f225"/>
        <w:id w:val="422003747"/>
        <w:lock w:val="sdtLocked"/>
        <w:placeholder>
          <w:docPart w:val="GBC22222222222222222222222222222"/>
        </w:placeholder>
      </w:sdtPr>
      <w:sdtEndPr>
        <w:rPr>
          <w:rFonts w:cstheme="minorBidi" w:hint="default"/>
          <w:b w:val="0"/>
          <w:bCs w:val="0"/>
          <w:color w:val="000000" w:themeColor="text1"/>
          <w:kern w:val="2"/>
          <w:szCs w:val="21"/>
        </w:rPr>
      </w:sdtEndPr>
      <w:sdtContent>
        <w:p w:rsidR="00ED2DC7" w:rsidRDefault="00ED2DC7">
          <w:r>
            <w:rPr>
              <w:rFonts w:hint="eastAsia"/>
            </w:rPr>
            <w:t>其他说明：</w:t>
          </w:r>
        </w:p>
        <w:sdt>
          <w:sdtPr>
            <w:alias w:val="是否适用：预收账款的其他说明[双击切换]"/>
            <w:tag w:val="_GBC_f473b6b28a104ffc812e6da4cf5177e5"/>
            <w:id w:val="1166754314"/>
            <w:lock w:val="sdtContentLocked"/>
            <w:placeholder>
              <w:docPart w:val="GBC22222222222222222222222222222"/>
            </w:placeholder>
          </w:sdtPr>
          <w:sdtContent>
            <w:p w:rsidR="008241E9" w:rsidRDefault="00ED2DC7" w:rsidP="00BB09BF">
              <w:r>
                <w:fldChar w:fldCharType="begin"/>
              </w:r>
              <w:r w:rsidR="008241E9">
                <w:instrText xml:space="preserve"> MACROBUTTON  SnrToggleCheckbox √适用 </w:instrText>
              </w:r>
              <w:r>
                <w:fldChar w:fldCharType="end"/>
              </w:r>
              <w:r>
                <w:fldChar w:fldCharType="begin"/>
              </w:r>
              <w:r w:rsidR="008241E9">
                <w:instrText xml:space="preserve"> MACROBUTTON  SnrToggleCheckbox □不适用 </w:instrText>
              </w:r>
              <w:r>
                <w:fldChar w:fldCharType="end"/>
              </w:r>
            </w:p>
          </w:sdtContent>
        </w:sdt>
        <w:sdt>
          <w:sdtPr>
            <w:rPr>
              <w:szCs w:val="21"/>
            </w:rPr>
            <w:alias w:val="预收账款的其他说明"/>
            <w:tag w:val="_GBC_b8db95ae8fdb4ee6b08199edc79a282c"/>
            <w:id w:val="-1135029210"/>
            <w:lock w:val="sdtLocked"/>
          </w:sdtPr>
          <w:sdtContent>
            <w:p w:rsidR="008241E9" w:rsidRPr="002B278D" w:rsidRDefault="008241E9" w:rsidP="008241E9">
              <w:pPr>
                <w:overflowPunct w:val="0"/>
                <w:autoSpaceDE w:val="0"/>
                <w:autoSpaceDN w:val="0"/>
                <w:adjustRightInd w:val="0"/>
                <w:snapToGrid w:val="0"/>
                <w:jc w:val="both"/>
                <w:textAlignment w:val="bottom"/>
                <w:rPr>
                  <w:rFonts w:cs="Arial"/>
                  <w:bCs/>
                  <w:snapToGrid w:val="0"/>
                  <w:sz w:val="20"/>
                  <w:szCs w:val="20"/>
                </w:rPr>
              </w:pPr>
              <w:r w:rsidRPr="002B278D">
                <w:rPr>
                  <w:rFonts w:cs="Arial" w:hint="eastAsia"/>
                  <w:snapToGrid w:val="0"/>
                  <w:sz w:val="20"/>
                  <w:szCs w:val="20"/>
                </w:rPr>
                <w:t>预收款项为预收客户有关软件销售、维护服务及云服务的款项。该款项按照收入确认的会计政策应于以后年度确认收入。</w:t>
              </w:r>
            </w:p>
            <w:p w:rsidR="008241E9" w:rsidRDefault="000D0A99">
              <w:pPr>
                <w:rPr>
                  <w:szCs w:val="21"/>
                </w:rPr>
              </w:pPr>
            </w:p>
          </w:sdtContent>
        </w:sdt>
        <w:p w:rsidR="00ED2DC7" w:rsidRDefault="000D0A99" w:rsidP="00BB09BF">
          <w:pPr>
            <w:rPr>
              <w:szCs w:val="21"/>
            </w:rPr>
          </w:pPr>
        </w:p>
      </w:sdtContent>
    </w:sdt>
    <w:p w:rsidR="00ED2DC7" w:rsidRDefault="00ED2DC7">
      <w:pPr>
        <w:rPr>
          <w:szCs w:val="21"/>
        </w:rPr>
      </w:pPr>
    </w:p>
    <w:p w:rsidR="00ED2DC7" w:rsidRDefault="00ED2DC7" w:rsidP="00036BDC">
      <w:pPr>
        <w:pStyle w:val="affffffffffffffffff1"/>
        <w:numPr>
          <w:ilvl w:val="0"/>
          <w:numId w:val="49"/>
        </w:numPr>
        <w:tabs>
          <w:tab w:val="left" w:pos="504"/>
        </w:tabs>
        <w:rPr>
          <w:rFonts w:ascii="宋体" w:hAnsi="宋体"/>
          <w:szCs w:val="21"/>
        </w:rPr>
      </w:pPr>
      <w:r>
        <w:rPr>
          <w:rFonts w:ascii="宋体" w:hAnsi="宋体" w:hint="eastAsia"/>
          <w:szCs w:val="21"/>
        </w:rPr>
        <w:t>应付职工薪酬</w:t>
      </w:r>
    </w:p>
    <w:sdt>
      <w:sdtPr>
        <w:rPr>
          <w:rFonts w:ascii="宋体" w:hAnsi="宋体" w:cs="宋体"/>
          <w:b w:val="0"/>
          <w:bCs w:val="0"/>
          <w:kern w:val="0"/>
          <w:szCs w:val="24"/>
        </w:rPr>
        <w:alias w:val="模块:应付职工薪酬列示："/>
        <w:tag w:val="_GBC_fa609950067149f1a5c0a6c3ba353431"/>
        <w:id w:val="-1083677266"/>
        <w:lock w:val="sdtLocked"/>
        <w:placeholder>
          <w:docPart w:val="GBC22222222222222222222222222222"/>
        </w:placeholder>
      </w:sdtPr>
      <w:sdtContent>
        <w:p w:rsidR="00ED2DC7" w:rsidRDefault="00ED2DC7" w:rsidP="00036BDC">
          <w:pPr>
            <w:pStyle w:val="affffffffffffffffff2"/>
            <w:numPr>
              <w:ilvl w:val="0"/>
              <w:numId w:val="71"/>
            </w:numPr>
          </w:pPr>
          <w:r>
            <w:rPr>
              <w:rFonts w:hint="eastAsia"/>
            </w:rPr>
            <w:t>应付职工薪酬列示</w:t>
          </w:r>
        </w:p>
        <w:sdt>
          <w:sdtPr>
            <w:alias w:val="是否适用：应付职工薪酬列示[双击切换]"/>
            <w:tag w:val="_GBC_88faccc480a843dca589c1af0d3fee37"/>
            <w:id w:val="1356155505"/>
            <w:lock w:val="sdtContentLocked"/>
            <w:placeholder>
              <w:docPart w:val="GBC22222222222222222222222222222"/>
            </w:placeholder>
          </w:sdtPr>
          <w:sdtContent>
            <w:p w:rsidR="00ED2DC7" w:rsidRDefault="00ED2DC7">
              <w:r>
                <w:fldChar w:fldCharType="begin"/>
              </w:r>
              <w:r w:rsidR="00BB09BF">
                <w:instrText xml:space="preserve"> MACROBUTTON  SnrToggleCheckbox √适用 </w:instrText>
              </w:r>
              <w:r>
                <w:fldChar w:fldCharType="end"/>
              </w:r>
              <w:r>
                <w:fldChar w:fldCharType="begin"/>
              </w:r>
              <w:r w:rsidR="00BB09BF">
                <w:instrText xml:space="preserve"> MACROBUTTON  SnrToggleCheckbox □不适用 </w:instrText>
              </w:r>
              <w:r>
                <w:fldChar w:fldCharType="end"/>
              </w:r>
            </w:p>
          </w:sdtContent>
        </w:sdt>
        <w:p w:rsidR="00ED2DC7" w:rsidRDefault="00ED2DC7">
          <w:pPr>
            <w:jc w:val="right"/>
          </w:pPr>
          <w:r>
            <w:rPr>
              <w:rFonts w:hint="eastAsia"/>
            </w:rPr>
            <w:t>单位：</w:t>
          </w:r>
          <w:sdt>
            <w:sdtPr>
              <w:rPr>
                <w:rFonts w:hint="eastAsia"/>
              </w:rPr>
              <w:alias w:val="单位：财务附注：应付职工薪酬"/>
              <w:tag w:val="_GBC_5c4cdcd7cd924c4ca8e87f806bc459b0"/>
              <w:id w:val="76782141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hint="eastAsia"/>
                </w:rPr>
                <w:t>元</w:t>
              </w:r>
            </w:sdtContent>
          </w:sdt>
          <w:r>
            <w:rPr>
              <w:rFonts w:hint="eastAsia"/>
            </w:rPr>
            <w:t xml:space="preserve">  币种：</w:t>
          </w:r>
          <w:sdt>
            <w:sdtPr>
              <w:rPr>
                <w:rFonts w:hint="eastAsia"/>
              </w:rPr>
              <w:alias w:val="币种：财务附注：应付职工薪酬"/>
              <w:tag w:val="_GBC_1b7f0fd0ca54470ca12f1037c092be9a"/>
              <w:id w:val="6552656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rPr>
                <w:t>人民币</w:t>
              </w:r>
            </w:sdtContent>
          </w:sdt>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1701"/>
            <w:gridCol w:w="1701"/>
            <w:gridCol w:w="1701"/>
            <w:gridCol w:w="1740"/>
          </w:tblGrid>
          <w:tr w:rsidR="00ED2DC7" w:rsidTr="00B637B2">
            <w:sdt>
              <w:sdtPr>
                <w:tag w:val="_PLD_481bea2acb8f49ac9b4cfc92cd4a426e"/>
                <w:id w:val="-2034946607"/>
                <w:lock w:val="sdtLocked"/>
              </w:sdtPr>
              <w:sdtContent>
                <w:tc>
                  <w:tcPr>
                    <w:tcW w:w="1122" w:type="pct"/>
                    <w:shd w:val="clear" w:color="auto" w:fill="auto"/>
                    <w:vAlign w:val="center"/>
                  </w:tcPr>
                  <w:p w:rsidR="00ED2DC7" w:rsidRDefault="00ED2DC7">
                    <w:pPr>
                      <w:jc w:val="center"/>
                    </w:pPr>
                    <w:r>
                      <w:rPr>
                        <w:rFonts w:hint="eastAsia"/>
                      </w:rPr>
                      <w:t>项目</w:t>
                    </w:r>
                  </w:p>
                </w:tc>
              </w:sdtContent>
            </w:sdt>
            <w:sdt>
              <w:sdtPr>
                <w:tag w:val="_PLD_ff27c0f5bcb94d9b932762b91edf2ff1"/>
                <w:id w:val="-226529995"/>
                <w:lock w:val="sdtLocked"/>
              </w:sdtPr>
              <w:sdtContent>
                <w:tc>
                  <w:tcPr>
                    <w:tcW w:w="964" w:type="pct"/>
                    <w:shd w:val="clear" w:color="auto" w:fill="auto"/>
                    <w:vAlign w:val="center"/>
                  </w:tcPr>
                  <w:p w:rsidR="00ED2DC7" w:rsidRDefault="00ED2DC7">
                    <w:pPr>
                      <w:jc w:val="center"/>
                    </w:pPr>
                    <w:r>
                      <w:rPr>
                        <w:rFonts w:hint="eastAsia"/>
                      </w:rPr>
                      <w:t>期初余额</w:t>
                    </w:r>
                  </w:p>
                </w:tc>
              </w:sdtContent>
            </w:sdt>
            <w:sdt>
              <w:sdtPr>
                <w:tag w:val="_PLD_7274636f27ae4e048ade60bfddaa8164"/>
                <w:id w:val="-603345529"/>
                <w:lock w:val="sdtLocked"/>
              </w:sdtPr>
              <w:sdtContent>
                <w:tc>
                  <w:tcPr>
                    <w:tcW w:w="964" w:type="pct"/>
                    <w:shd w:val="clear" w:color="auto" w:fill="auto"/>
                    <w:vAlign w:val="center"/>
                  </w:tcPr>
                  <w:p w:rsidR="00ED2DC7" w:rsidRDefault="00ED2DC7">
                    <w:pPr>
                      <w:jc w:val="center"/>
                    </w:pPr>
                    <w:r>
                      <w:rPr>
                        <w:rFonts w:hint="eastAsia"/>
                      </w:rPr>
                      <w:t>本期增加</w:t>
                    </w:r>
                  </w:p>
                </w:tc>
              </w:sdtContent>
            </w:sdt>
            <w:sdt>
              <w:sdtPr>
                <w:tag w:val="_PLD_07ae572963de436aa2308d649a28c23b"/>
                <w:id w:val="1930155801"/>
                <w:lock w:val="sdtLocked"/>
              </w:sdtPr>
              <w:sdtContent>
                <w:tc>
                  <w:tcPr>
                    <w:tcW w:w="964" w:type="pct"/>
                    <w:shd w:val="clear" w:color="auto" w:fill="auto"/>
                    <w:vAlign w:val="center"/>
                  </w:tcPr>
                  <w:p w:rsidR="00ED2DC7" w:rsidRDefault="00ED2DC7">
                    <w:pPr>
                      <w:jc w:val="center"/>
                    </w:pPr>
                    <w:r>
                      <w:rPr>
                        <w:rFonts w:hint="eastAsia"/>
                      </w:rPr>
                      <w:t>本期减少</w:t>
                    </w:r>
                  </w:p>
                </w:tc>
              </w:sdtContent>
            </w:sdt>
            <w:sdt>
              <w:sdtPr>
                <w:tag w:val="_PLD_27069329d7654e34bc45ca7dee532204"/>
                <w:id w:val="1375280244"/>
                <w:lock w:val="sdtLocked"/>
              </w:sdtPr>
              <w:sdtContent>
                <w:tc>
                  <w:tcPr>
                    <w:tcW w:w="986" w:type="pct"/>
                    <w:shd w:val="clear" w:color="auto" w:fill="auto"/>
                    <w:vAlign w:val="center"/>
                  </w:tcPr>
                  <w:p w:rsidR="00ED2DC7" w:rsidRDefault="00ED2DC7">
                    <w:pPr>
                      <w:jc w:val="center"/>
                    </w:pPr>
                    <w:r>
                      <w:rPr>
                        <w:rFonts w:hint="eastAsia"/>
                      </w:rPr>
                      <w:t>期末余额</w:t>
                    </w:r>
                  </w:p>
                </w:tc>
              </w:sdtContent>
            </w:sdt>
          </w:tr>
          <w:tr w:rsidR="0047587C" w:rsidTr="00B637B2">
            <w:sdt>
              <w:sdtPr>
                <w:tag w:val="_PLD_8272d2e82a6f45a197d65c1251ac79c7"/>
                <w:id w:val="-569273551"/>
                <w:lock w:val="sdtLocked"/>
              </w:sdtPr>
              <w:sdtContent>
                <w:tc>
                  <w:tcPr>
                    <w:tcW w:w="1122" w:type="pct"/>
                    <w:shd w:val="clear" w:color="auto" w:fill="auto"/>
                  </w:tcPr>
                  <w:p w:rsidR="0047587C" w:rsidRDefault="0047587C" w:rsidP="0047587C">
                    <w:r>
                      <w:rPr>
                        <w:rFonts w:hint="eastAsia"/>
                      </w:rPr>
                      <w:t>一、短期薪酬</w:t>
                    </w:r>
                  </w:p>
                </w:tc>
              </w:sdtContent>
            </w:sdt>
            <w:tc>
              <w:tcPr>
                <w:tcW w:w="964" w:type="pct"/>
                <w:shd w:val="clear" w:color="auto" w:fill="auto"/>
                <w:vAlign w:val="center"/>
              </w:tcPr>
              <w:p w:rsidR="0047587C" w:rsidRPr="00D42FB0" w:rsidRDefault="0047587C" w:rsidP="00B637B2">
                <w:pPr>
                  <w:jc w:val="right"/>
                </w:pPr>
                <w:r w:rsidRPr="00D42FB0">
                  <w:t>1,137,730,866</w:t>
                </w:r>
              </w:p>
            </w:tc>
            <w:tc>
              <w:tcPr>
                <w:tcW w:w="964" w:type="pct"/>
                <w:shd w:val="clear" w:color="auto" w:fill="auto"/>
                <w:vAlign w:val="center"/>
              </w:tcPr>
              <w:p w:rsidR="0047587C" w:rsidRPr="001505E7" w:rsidRDefault="0047587C" w:rsidP="00B637B2">
                <w:pPr>
                  <w:jc w:val="right"/>
                </w:pPr>
                <w:r w:rsidRPr="001505E7">
                  <w:t>1,708,417,238</w:t>
                </w:r>
              </w:p>
            </w:tc>
            <w:tc>
              <w:tcPr>
                <w:tcW w:w="964" w:type="pct"/>
                <w:shd w:val="clear" w:color="auto" w:fill="auto"/>
                <w:vAlign w:val="center"/>
              </w:tcPr>
              <w:p w:rsidR="0047587C" w:rsidRPr="00066D28" w:rsidRDefault="0047587C" w:rsidP="00B637B2">
                <w:pPr>
                  <w:jc w:val="right"/>
                </w:pPr>
                <w:r w:rsidRPr="00066D28">
                  <w:t>2,369,951,955</w:t>
                </w:r>
              </w:p>
            </w:tc>
            <w:tc>
              <w:tcPr>
                <w:tcW w:w="986" w:type="pct"/>
                <w:shd w:val="clear" w:color="auto" w:fill="auto"/>
                <w:vAlign w:val="center"/>
              </w:tcPr>
              <w:p w:rsidR="0047587C" w:rsidRPr="00AF4678" w:rsidRDefault="0047587C" w:rsidP="00B637B2">
                <w:pPr>
                  <w:jc w:val="right"/>
                </w:pPr>
                <w:r w:rsidRPr="00AF4678">
                  <w:t>476,196,149</w:t>
                </w:r>
              </w:p>
            </w:tc>
          </w:tr>
          <w:tr w:rsidR="0047587C" w:rsidTr="00B637B2">
            <w:sdt>
              <w:sdtPr>
                <w:tag w:val="_PLD_e3c7b981b4f64fe3993a41cabeb3d888"/>
                <w:id w:val="772603960"/>
                <w:lock w:val="sdtLocked"/>
              </w:sdtPr>
              <w:sdtContent>
                <w:tc>
                  <w:tcPr>
                    <w:tcW w:w="1122" w:type="pct"/>
                    <w:shd w:val="clear" w:color="auto" w:fill="auto"/>
                  </w:tcPr>
                  <w:p w:rsidR="0047587C" w:rsidRDefault="0047587C" w:rsidP="0047587C">
                    <w:r>
                      <w:rPr>
                        <w:rFonts w:hint="eastAsia"/>
                      </w:rPr>
                      <w:t>二、离职后福利-设定提存计划</w:t>
                    </w:r>
                  </w:p>
                </w:tc>
              </w:sdtContent>
            </w:sdt>
            <w:tc>
              <w:tcPr>
                <w:tcW w:w="964" w:type="pct"/>
                <w:shd w:val="clear" w:color="auto" w:fill="auto"/>
                <w:vAlign w:val="center"/>
              </w:tcPr>
              <w:p w:rsidR="0047587C" w:rsidRPr="00D42FB0" w:rsidRDefault="0047587C" w:rsidP="00B637B2">
                <w:pPr>
                  <w:jc w:val="right"/>
                </w:pPr>
                <w:r w:rsidRPr="00D42FB0">
                  <w:t>22,628,891</w:t>
                </w:r>
              </w:p>
            </w:tc>
            <w:tc>
              <w:tcPr>
                <w:tcW w:w="964" w:type="pct"/>
                <w:shd w:val="clear" w:color="auto" w:fill="auto"/>
                <w:vAlign w:val="center"/>
              </w:tcPr>
              <w:p w:rsidR="0047587C" w:rsidRPr="001505E7" w:rsidRDefault="0047587C" w:rsidP="00B637B2">
                <w:pPr>
                  <w:jc w:val="right"/>
                </w:pPr>
                <w:r w:rsidRPr="001505E7">
                  <w:t>224,056,336</w:t>
                </w:r>
              </w:p>
            </w:tc>
            <w:tc>
              <w:tcPr>
                <w:tcW w:w="964" w:type="pct"/>
                <w:shd w:val="clear" w:color="auto" w:fill="auto"/>
                <w:vAlign w:val="center"/>
              </w:tcPr>
              <w:p w:rsidR="0047587C" w:rsidRPr="00066D28" w:rsidRDefault="0047587C" w:rsidP="00B637B2">
                <w:pPr>
                  <w:jc w:val="right"/>
                </w:pPr>
                <w:r w:rsidRPr="00066D28">
                  <w:t>226,652,118</w:t>
                </w:r>
              </w:p>
            </w:tc>
            <w:tc>
              <w:tcPr>
                <w:tcW w:w="986" w:type="pct"/>
                <w:shd w:val="clear" w:color="auto" w:fill="auto"/>
                <w:vAlign w:val="center"/>
              </w:tcPr>
              <w:p w:rsidR="0047587C" w:rsidRPr="00AF4678" w:rsidRDefault="0047587C" w:rsidP="00B637B2">
                <w:pPr>
                  <w:jc w:val="right"/>
                </w:pPr>
                <w:r w:rsidRPr="00AF4678">
                  <w:t>20,033,109</w:t>
                </w:r>
              </w:p>
            </w:tc>
          </w:tr>
          <w:tr w:rsidR="0047587C" w:rsidTr="00B637B2">
            <w:sdt>
              <w:sdtPr>
                <w:tag w:val="_PLD_d615e4da2a4948e5994fcc5682898c56"/>
                <w:id w:val="-1438823555"/>
                <w:lock w:val="sdtLocked"/>
              </w:sdtPr>
              <w:sdtContent>
                <w:tc>
                  <w:tcPr>
                    <w:tcW w:w="1122" w:type="pct"/>
                    <w:shd w:val="clear" w:color="auto" w:fill="auto"/>
                  </w:tcPr>
                  <w:p w:rsidR="0047587C" w:rsidRDefault="0047587C" w:rsidP="0047587C">
                    <w:r>
                      <w:rPr>
                        <w:rFonts w:hint="eastAsia"/>
                      </w:rPr>
                      <w:t>三、辞退福利</w:t>
                    </w:r>
                  </w:p>
                </w:tc>
              </w:sdtContent>
            </w:sdt>
            <w:tc>
              <w:tcPr>
                <w:tcW w:w="964" w:type="pct"/>
                <w:shd w:val="clear" w:color="auto" w:fill="auto"/>
                <w:vAlign w:val="center"/>
              </w:tcPr>
              <w:p w:rsidR="0047587C" w:rsidRPr="00D42FB0" w:rsidRDefault="0047587C" w:rsidP="00B637B2">
                <w:pPr>
                  <w:jc w:val="right"/>
                </w:pPr>
                <w:r w:rsidRPr="00D42FB0">
                  <w:t>42,812</w:t>
                </w:r>
              </w:p>
            </w:tc>
            <w:tc>
              <w:tcPr>
                <w:tcW w:w="964" w:type="pct"/>
                <w:shd w:val="clear" w:color="auto" w:fill="auto"/>
                <w:vAlign w:val="center"/>
              </w:tcPr>
              <w:p w:rsidR="0047587C" w:rsidRPr="001505E7" w:rsidRDefault="0047587C" w:rsidP="00B637B2">
                <w:pPr>
                  <w:jc w:val="right"/>
                </w:pPr>
                <w:r w:rsidRPr="001505E7">
                  <w:t>4,961,142</w:t>
                </w:r>
              </w:p>
            </w:tc>
            <w:tc>
              <w:tcPr>
                <w:tcW w:w="964" w:type="pct"/>
                <w:shd w:val="clear" w:color="auto" w:fill="auto"/>
                <w:vAlign w:val="center"/>
              </w:tcPr>
              <w:p w:rsidR="0047587C" w:rsidRPr="00066D28" w:rsidRDefault="0047587C" w:rsidP="00B637B2">
                <w:pPr>
                  <w:jc w:val="right"/>
                </w:pPr>
                <w:r w:rsidRPr="00066D28">
                  <w:t>4,632,642</w:t>
                </w:r>
              </w:p>
            </w:tc>
            <w:tc>
              <w:tcPr>
                <w:tcW w:w="986" w:type="pct"/>
                <w:shd w:val="clear" w:color="auto" w:fill="auto"/>
                <w:vAlign w:val="center"/>
              </w:tcPr>
              <w:p w:rsidR="0047587C" w:rsidRPr="00AF4678" w:rsidRDefault="0047587C" w:rsidP="00B637B2">
                <w:pPr>
                  <w:jc w:val="right"/>
                </w:pPr>
                <w:r w:rsidRPr="00AF4678">
                  <w:t>371,312</w:t>
                </w:r>
              </w:p>
            </w:tc>
          </w:tr>
          <w:tr w:rsidR="0047587C" w:rsidTr="00B637B2">
            <w:sdt>
              <w:sdtPr>
                <w:tag w:val="_PLD_f85ecebc2b9f455eb675b5c3c3edb84c"/>
                <w:id w:val="1072547794"/>
                <w:lock w:val="sdtLocked"/>
              </w:sdtPr>
              <w:sdtContent>
                <w:tc>
                  <w:tcPr>
                    <w:tcW w:w="1122" w:type="pct"/>
                    <w:shd w:val="clear" w:color="auto" w:fill="auto"/>
                  </w:tcPr>
                  <w:p w:rsidR="0047587C" w:rsidRDefault="0047587C" w:rsidP="0047587C">
                    <w:r>
                      <w:rPr>
                        <w:rFonts w:hint="eastAsia"/>
                      </w:rPr>
                      <w:t>四、一年内到期的其他福利</w:t>
                    </w:r>
                  </w:p>
                </w:tc>
              </w:sdtContent>
            </w:sdt>
            <w:tc>
              <w:tcPr>
                <w:tcW w:w="964" w:type="pct"/>
                <w:shd w:val="clear" w:color="auto" w:fill="auto"/>
                <w:vAlign w:val="center"/>
              </w:tcPr>
              <w:p w:rsidR="0047587C" w:rsidRPr="00D42FB0" w:rsidRDefault="008F04CF" w:rsidP="00B637B2">
                <w:pPr>
                  <w:jc w:val="right"/>
                </w:pPr>
                <w:r>
                  <w:rPr>
                    <w:rFonts w:hint="eastAsia"/>
                  </w:rPr>
                  <w:t>-</w:t>
                </w:r>
              </w:p>
            </w:tc>
            <w:tc>
              <w:tcPr>
                <w:tcW w:w="964" w:type="pct"/>
                <w:shd w:val="clear" w:color="auto" w:fill="auto"/>
                <w:vAlign w:val="center"/>
              </w:tcPr>
              <w:p w:rsidR="0047587C" w:rsidRPr="001505E7" w:rsidRDefault="008F04CF" w:rsidP="00B637B2">
                <w:pPr>
                  <w:jc w:val="right"/>
                </w:pPr>
                <w:r>
                  <w:rPr>
                    <w:rFonts w:hint="eastAsia"/>
                  </w:rPr>
                  <w:t>-</w:t>
                </w:r>
              </w:p>
            </w:tc>
            <w:tc>
              <w:tcPr>
                <w:tcW w:w="964" w:type="pct"/>
                <w:shd w:val="clear" w:color="auto" w:fill="auto"/>
                <w:vAlign w:val="center"/>
              </w:tcPr>
              <w:p w:rsidR="0047587C" w:rsidRPr="00066D28" w:rsidRDefault="008F04CF" w:rsidP="00B637B2">
                <w:pPr>
                  <w:jc w:val="right"/>
                </w:pPr>
                <w:r>
                  <w:rPr>
                    <w:rFonts w:hint="eastAsia"/>
                  </w:rPr>
                  <w:t>-</w:t>
                </w:r>
              </w:p>
            </w:tc>
            <w:tc>
              <w:tcPr>
                <w:tcW w:w="986" w:type="pct"/>
                <w:shd w:val="clear" w:color="auto" w:fill="auto"/>
                <w:vAlign w:val="center"/>
              </w:tcPr>
              <w:p w:rsidR="0047587C" w:rsidRPr="00AF4678" w:rsidRDefault="008F04CF" w:rsidP="00B637B2">
                <w:pPr>
                  <w:jc w:val="right"/>
                </w:pPr>
                <w:r>
                  <w:rPr>
                    <w:rFonts w:hint="eastAsia"/>
                  </w:rPr>
                  <w:t>-</w:t>
                </w:r>
              </w:p>
            </w:tc>
          </w:tr>
          <w:tr w:rsidR="0047587C" w:rsidTr="00B637B2">
            <w:sdt>
              <w:sdtPr>
                <w:tag w:val="_PLD_5ce2e7ac546346f4a7bec33299c89503"/>
                <w:id w:val="874123956"/>
                <w:lock w:val="sdtLocked"/>
              </w:sdtPr>
              <w:sdtContent>
                <w:tc>
                  <w:tcPr>
                    <w:tcW w:w="1122" w:type="pct"/>
                    <w:shd w:val="clear" w:color="auto" w:fill="auto"/>
                    <w:vAlign w:val="center"/>
                  </w:tcPr>
                  <w:p w:rsidR="0047587C" w:rsidRDefault="0047587C" w:rsidP="0047587C">
                    <w:pPr>
                      <w:jc w:val="center"/>
                    </w:pPr>
                    <w:r>
                      <w:rPr>
                        <w:rFonts w:hint="eastAsia"/>
                      </w:rPr>
                      <w:t>合计</w:t>
                    </w:r>
                  </w:p>
                </w:tc>
              </w:sdtContent>
            </w:sdt>
            <w:tc>
              <w:tcPr>
                <w:tcW w:w="964" w:type="pct"/>
                <w:shd w:val="clear" w:color="auto" w:fill="auto"/>
                <w:vAlign w:val="center"/>
              </w:tcPr>
              <w:p w:rsidR="0047587C" w:rsidRDefault="0047587C" w:rsidP="00B637B2">
                <w:pPr>
                  <w:jc w:val="right"/>
                </w:pPr>
                <w:r w:rsidRPr="0047587C">
                  <w:t>1,160,402,569</w:t>
                </w:r>
              </w:p>
            </w:tc>
            <w:tc>
              <w:tcPr>
                <w:tcW w:w="964" w:type="pct"/>
                <w:shd w:val="clear" w:color="auto" w:fill="auto"/>
                <w:vAlign w:val="center"/>
              </w:tcPr>
              <w:p w:rsidR="0047587C" w:rsidRDefault="0047587C" w:rsidP="00B637B2">
                <w:pPr>
                  <w:jc w:val="right"/>
                </w:pPr>
                <w:r w:rsidRPr="001505E7">
                  <w:t>1,937,434,716</w:t>
                </w:r>
              </w:p>
            </w:tc>
            <w:tc>
              <w:tcPr>
                <w:tcW w:w="964" w:type="pct"/>
                <w:shd w:val="clear" w:color="auto" w:fill="auto"/>
                <w:vAlign w:val="center"/>
              </w:tcPr>
              <w:p w:rsidR="0047587C" w:rsidRDefault="0047587C" w:rsidP="00B637B2">
                <w:pPr>
                  <w:jc w:val="right"/>
                </w:pPr>
                <w:r w:rsidRPr="00066D28">
                  <w:t>2,601,236,715</w:t>
                </w:r>
              </w:p>
            </w:tc>
            <w:tc>
              <w:tcPr>
                <w:tcW w:w="986" w:type="pct"/>
                <w:shd w:val="clear" w:color="auto" w:fill="auto"/>
                <w:vAlign w:val="center"/>
              </w:tcPr>
              <w:p w:rsidR="0047587C" w:rsidRDefault="0047587C" w:rsidP="00B637B2">
                <w:pPr>
                  <w:jc w:val="right"/>
                </w:pPr>
                <w:r w:rsidRPr="00AF4678">
                  <w:t>496,600,570</w:t>
                </w:r>
              </w:p>
            </w:tc>
          </w:tr>
        </w:tbl>
        <w:p w:rsidR="00ED2DC7" w:rsidRDefault="000D0A99"/>
      </w:sdtContent>
    </w:sdt>
    <w:sdt>
      <w:sdtPr>
        <w:rPr>
          <w:rFonts w:ascii="宋体" w:hAnsi="宋体" w:cs="宋体" w:hint="eastAsia"/>
          <w:b w:val="0"/>
          <w:bCs w:val="0"/>
          <w:kern w:val="0"/>
          <w:szCs w:val="24"/>
        </w:rPr>
        <w:alias w:val="模块:短期薪酬列示"/>
        <w:tag w:val="_GBC_8889528627cf49dfa80ba4d972a53405"/>
        <w:id w:val="528140462"/>
        <w:lock w:val="sdtLocked"/>
        <w:placeholder>
          <w:docPart w:val="GBC22222222222222222222222222222"/>
        </w:placeholder>
      </w:sdtPr>
      <w:sdtEndPr>
        <w:rPr>
          <w:rFonts w:hint="default"/>
          <w:szCs w:val="21"/>
        </w:rPr>
      </w:sdtEndPr>
      <w:sdtContent>
        <w:p w:rsidR="00ED2DC7" w:rsidRDefault="00ED2DC7" w:rsidP="00036BDC">
          <w:pPr>
            <w:pStyle w:val="affffffffffffffffff2"/>
            <w:numPr>
              <w:ilvl w:val="0"/>
              <w:numId w:val="71"/>
            </w:numPr>
          </w:pPr>
          <w:r>
            <w:rPr>
              <w:rFonts w:hint="eastAsia"/>
            </w:rPr>
            <w:t>短期薪酬列示</w:t>
          </w:r>
        </w:p>
        <w:sdt>
          <w:sdtPr>
            <w:alias w:val="是否适用：短期薪酬列示[双击切换]"/>
            <w:tag w:val="_GBC_fe9cc4ffdf524f4695448b31c76167ce"/>
            <w:id w:val="292952209"/>
            <w:lock w:val="sdtContentLocked"/>
            <w:placeholder>
              <w:docPart w:val="GBC22222222222222222222222222222"/>
            </w:placeholder>
          </w:sdtPr>
          <w:sdtContent>
            <w:p w:rsidR="00ED2DC7" w:rsidRDefault="00ED2DC7">
              <w:r>
                <w:fldChar w:fldCharType="begin"/>
              </w:r>
              <w:r w:rsidR="00BB09BF">
                <w:instrText xml:space="preserve"> MACROBUTTON  SnrToggleCheckbox √适用 </w:instrText>
              </w:r>
              <w:r>
                <w:fldChar w:fldCharType="end"/>
              </w:r>
              <w:r>
                <w:fldChar w:fldCharType="begin"/>
              </w:r>
              <w:r w:rsidR="00BB09BF">
                <w:instrText xml:space="preserve"> MACROBUTTON  SnrToggleCheckbox □不适用 </w:instrText>
              </w:r>
              <w:r>
                <w:fldChar w:fldCharType="end"/>
              </w:r>
            </w:p>
          </w:sdtContent>
        </w:sdt>
        <w:p w:rsidR="00ED2DC7" w:rsidRDefault="00ED2DC7">
          <w:pPr>
            <w:jc w:val="right"/>
            <w:rPr>
              <w:szCs w:val="21"/>
            </w:rPr>
          </w:pPr>
          <w:r>
            <w:rPr>
              <w:rFonts w:hint="eastAsia"/>
              <w:szCs w:val="21"/>
            </w:rPr>
            <w:t>单位：</w:t>
          </w:r>
          <w:sdt>
            <w:sdtPr>
              <w:rPr>
                <w:rFonts w:hint="eastAsia"/>
                <w:szCs w:val="21"/>
              </w:rPr>
              <w:alias w:val="单位：财务附注：短期薪酬"/>
              <w:tag w:val="_GBC_f5a2a934147944d68f11ca2bcce4d80f"/>
              <w:id w:val="-13470939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hint="eastAsia"/>
                  <w:szCs w:val="21"/>
                </w:rPr>
                <w:t>元</w:t>
              </w:r>
            </w:sdtContent>
          </w:sdt>
          <w:r>
            <w:rPr>
              <w:rFonts w:hint="eastAsia"/>
              <w:szCs w:val="21"/>
            </w:rPr>
            <w:t xml:space="preserve">  币种:</w:t>
          </w:r>
          <w:sdt>
            <w:sdtPr>
              <w:rPr>
                <w:rFonts w:hint="eastAsia"/>
                <w:szCs w:val="21"/>
              </w:rPr>
              <w:alias w:val="币种：财务附注：短期薪酬"/>
              <w:tag w:val="_GBC_ded097d86a7d48b8a8b1d9689a73bd5d"/>
              <w:id w:val="6193434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szCs w:val="21"/>
                </w:rPr>
                <w:t>人民币</w:t>
              </w:r>
            </w:sdtContent>
          </w:sdt>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3"/>
            <w:gridCol w:w="1699"/>
            <w:gridCol w:w="1703"/>
            <w:gridCol w:w="1699"/>
            <w:gridCol w:w="1599"/>
          </w:tblGrid>
          <w:tr w:rsidR="00B637B2" w:rsidTr="00B637B2">
            <w:sdt>
              <w:sdtPr>
                <w:tag w:val="_PLD_7b5378bc64e24511ae79d643c80f9c98"/>
                <w:id w:val="-1699993026"/>
                <w:lock w:val="sdtLocked"/>
              </w:sdtPr>
              <w:sdtContent>
                <w:tc>
                  <w:tcPr>
                    <w:tcW w:w="1203" w:type="pct"/>
                    <w:tcBorders>
                      <w:top w:val="single" w:sz="4" w:space="0" w:color="auto"/>
                      <w:left w:val="single" w:sz="4" w:space="0" w:color="auto"/>
                      <w:bottom w:val="single" w:sz="4" w:space="0" w:color="auto"/>
                      <w:right w:val="single" w:sz="4" w:space="0" w:color="auto"/>
                    </w:tcBorders>
                    <w:vAlign w:val="center"/>
                  </w:tcPr>
                  <w:p w:rsidR="00B637B2" w:rsidRDefault="008F04CF" w:rsidP="00B637B2">
                    <w:pPr>
                      <w:autoSpaceDE w:val="0"/>
                      <w:autoSpaceDN w:val="0"/>
                      <w:adjustRightInd w:val="0"/>
                      <w:jc w:val="center"/>
                      <w:rPr>
                        <w:szCs w:val="21"/>
                      </w:rPr>
                    </w:pPr>
                    <w:r>
                      <w:rPr>
                        <w:rFonts w:hint="eastAsia"/>
                        <w:szCs w:val="21"/>
                      </w:rPr>
                      <w:t>项目</w:t>
                    </w:r>
                  </w:p>
                </w:tc>
              </w:sdtContent>
            </w:sdt>
            <w:sdt>
              <w:sdtPr>
                <w:tag w:val="_PLD_0144fa4bad154236aa75e1dcc0a89e56"/>
                <w:id w:val="-383800756"/>
                <w:lock w:val="sdtLocked"/>
              </w:sdtPr>
              <w:sdtContent>
                <w:tc>
                  <w:tcPr>
                    <w:tcW w:w="963" w:type="pct"/>
                    <w:tcBorders>
                      <w:top w:val="single" w:sz="4" w:space="0" w:color="auto"/>
                      <w:left w:val="single" w:sz="4" w:space="0" w:color="auto"/>
                      <w:bottom w:val="single" w:sz="4" w:space="0" w:color="auto"/>
                      <w:right w:val="single" w:sz="4" w:space="0" w:color="auto"/>
                    </w:tcBorders>
                    <w:vAlign w:val="center"/>
                  </w:tcPr>
                  <w:p w:rsidR="00B637B2" w:rsidRDefault="008F04CF" w:rsidP="00B637B2">
                    <w:pPr>
                      <w:autoSpaceDE w:val="0"/>
                      <w:autoSpaceDN w:val="0"/>
                      <w:adjustRightInd w:val="0"/>
                      <w:jc w:val="center"/>
                      <w:rPr>
                        <w:szCs w:val="21"/>
                      </w:rPr>
                    </w:pPr>
                    <w:r>
                      <w:rPr>
                        <w:rFonts w:hint="eastAsia"/>
                        <w:szCs w:val="21"/>
                      </w:rPr>
                      <w:t>期初余额</w:t>
                    </w:r>
                  </w:p>
                </w:tc>
              </w:sdtContent>
            </w:sdt>
            <w:sdt>
              <w:sdtPr>
                <w:tag w:val="_PLD_2d15a4a9e10b4386a7ed67bc2137e04a"/>
                <w:id w:val="2121250203"/>
                <w:lock w:val="sdtLocked"/>
              </w:sdtPr>
              <w:sdtContent>
                <w:tc>
                  <w:tcPr>
                    <w:tcW w:w="965" w:type="pct"/>
                    <w:tcBorders>
                      <w:top w:val="single" w:sz="4" w:space="0" w:color="auto"/>
                      <w:left w:val="single" w:sz="4" w:space="0" w:color="auto"/>
                      <w:bottom w:val="single" w:sz="4" w:space="0" w:color="auto"/>
                      <w:right w:val="single" w:sz="4" w:space="0" w:color="auto"/>
                    </w:tcBorders>
                    <w:vAlign w:val="center"/>
                  </w:tcPr>
                  <w:p w:rsidR="00B637B2" w:rsidRDefault="008F04CF" w:rsidP="00B637B2">
                    <w:pPr>
                      <w:jc w:val="center"/>
                    </w:pPr>
                    <w:r>
                      <w:rPr>
                        <w:rFonts w:hint="eastAsia"/>
                      </w:rPr>
                      <w:t>本期增加</w:t>
                    </w:r>
                  </w:p>
                </w:tc>
              </w:sdtContent>
            </w:sdt>
            <w:sdt>
              <w:sdtPr>
                <w:tag w:val="_PLD_12a2bbefe0874cde83fdb77f4a4158a1"/>
                <w:id w:val="1672295216"/>
                <w:lock w:val="sdtLocked"/>
              </w:sdtPr>
              <w:sdtContent>
                <w:tc>
                  <w:tcPr>
                    <w:tcW w:w="963" w:type="pct"/>
                    <w:tcBorders>
                      <w:top w:val="single" w:sz="4" w:space="0" w:color="auto"/>
                      <w:left w:val="single" w:sz="4" w:space="0" w:color="auto"/>
                      <w:bottom w:val="single" w:sz="4" w:space="0" w:color="auto"/>
                      <w:right w:val="single" w:sz="4" w:space="0" w:color="auto"/>
                    </w:tcBorders>
                    <w:vAlign w:val="center"/>
                  </w:tcPr>
                  <w:p w:rsidR="00B637B2" w:rsidRDefault="008F04CF" w:rsidP="00B637B2">
                    <w:pPr>
                      <w:jc w:val="center"/>
                    </w:pPr>
                    <w:r>
                      <w:t>本期减少</w:t>
                    </w:r>
                  </w:p>
                </w:tc>
              </w:sdtContent>
            </w:sdt>
            <w:sdt>
              <w:sdtPr>
                <w:tag w:val="_PLD_190d6bcbbde148ffb48f230c6d9d7186"/>
                <w:id w:val="339357681"/>
                <w:lock w:val="sdtLocked"/>
              </w:sdtPr>
              <w:sdtContent>
                <w:tc>
                  <w:tcPr>
                    <w:tcW w:w="906" w:type="pct"/>
                    <w:tcBorders>
                      <w:top w:val="single" w:sz="4" w:space="0" w:color="auto"/>
                      <w:left w:val="single" w:sz="4" w:space="0" w:color="auto"/>
                      <w:bottom w:val="single" w:sz="4" w:space="0" w:color="auto"/>
                      <w:right w:val="single" w:sz="4" w:space="0" w:color="auto"/>
                    </w:tcBorders>
                    <w:vAlign w:val="center"/>
                  </w:tcPr>
                  <w:p w:rsidR="00B637B2" w:rsidRDefault="008F04CF" w:rsidP="00B637B2">
                    <w:pPr>
                      <w:autoSpaceDE w:val="0"/>
                      <w:autoSpaceDN w:val="0"/>
                      <w:adjustRightInd w:val="0"/>
                      <w:jc w:val="center"/>
                      <w:rPr>
                        <w:szCs w:val="21"/>
                      </w:rPr>
                    </w:pPr>
                    <w:r>
                      <w:rPr>
                        <w:rFonts w:hint="eastAsia"/>
                        <w:szCs w:val="21"/>
                      </w:rPr>
                      <w:t>期末余额</w:t>
                    </w:r>
                  </w:p>
                </w:tc>
              </w:sdtContent>
            </w:sdt>
          </w:tr>
          <w:tr w:rsidR="00B637B2" w:rsidTr="00B637B2">
            <w:sdt>
              <w:sdtPr>
                <w:tag w:val="_PLD_b24db0ed8285493c9b46db6af314618d"/>
                <w:id w:val="-1859500481"/>
                <w:lock w:val="sdtLocked"/>
              </w:sdtPr>
              <w:sdtContent>
                <w:tc>
                  <w:tcPr>
                    <w:tcW w:w="1203" w:type="pct"/>
                    <w:tcBorders>
                      <w:top w:val="single" w:sz="4" w:space="0" w:color="auto"/>
                      <w:left w:val="single" w:sz="4" w:space="0" w:color="auto"/>
                      <w:bottom w:val="single" w:sz="4" w:space="0" w:color="auto"/>
                      <w:right w:val="single" w:sz="4" w:space="0" w:color="auto"/>
                    </w:tcBorders>
                  </w:tcPr>
                  <w:p w:rsidR="00B637B2" w:rsidRDefault="008F04CF" w:rsidP="00B637B2">
                    <w:pPr>
                      <w:autoSpaceDE w:val="0"/>
                      <w:autoSpaceDN w:val="0"/>
                      <w:adjustRightInd w:val="0"/>
                      <w:rPr>
                        <w:szCs w:val="21"/>
                      </w:rPr>
                    </w:pPr>
                    <w:r>
                      <w:rPr>
                        <w:rFonts w:hint="eastAsia"/>
                        <w:szCs w:val="21"/>
                      </w:rPr>
                      <w:t>一、工资、奖金、津贴和补贴</w:t>
                    </w:r>
                  </w:p>
                </w:tc>
              </w:sdtContent>
            </w:sdt>
            <w:tc>
              <w:tcPr>
                <w:tcW w:w="963" w:type="pct"/>
                <w:tcBorders>
                  <w:top w:val="single" w:sz="4" w:space="0" w:color="auto"/>
                  <w:left w:val="single" w:sz="4" w:space="0" w:color="auto"/>
                  <w:bottom w:val="single" w:sz="4" w:space="0" w:color="auto"/>
                  <w:right w:val="single" w:sz="4" w:space="0" w:color="auto"/>
                </w:tcBorders>
                <w:vAlign w:val="center"/>
              </w:tcPr>
              <w:p w:rsidR="00B637B2" w:rsidRPr="002508D6" w:rsidRDefault="008F04CF" w:rsidP="00B637B2">
                <w:pPr>
                  <w:jc w:val="right"/>
                </w:pPr>
                <w:r w:rsidRPr="002508D6">
                  <w:t>1,112,976,050</w:t>
                </w:r>
              </w:p>
            </w:tc>
            <w:tc>
              <w:tcPr>
                <w:tcW w:w="965" w:type="pct"/>
                <w:tcBorders>
                  <w:top w:val="single" w:sz="4" w:space="0" w:color="auto"/>
                  <w:left w:val="single" w:sz="4" w:space="0" w:color="auto"/>
                  <w:bottom w:val="single" w:sz="4" w:space="0" w:color="auto"/>
                  <w:right w:val="single" w:sz="4" w:space="0" w:color="auto"/>
                </w:tcBorders>
                <w:vAlign w:val="center"/>
              </w:tcPr>
              <w:p w:rsidR="00B637B2" w:rsidRPr="00E91440" w:rsidRDefault="008F04CF" w:rsidP="00B637B2">
                <w:pPr>
                  <w:jc w:val="right"/>
                </w:pPr>
                <w:r w:rsidRPr="00E91440">
                  <w:t>1,375,049,104</w:t>
                </w:r>
              </w:p>
            </w:tc>
            <w:tc>
              <w:tcPr>
                <w:tcW w:w="963" w:type="pct"/>
                <w:tcBorders>
                  <w:top w:val="single" w:sz="4" w:space="0" w:color="auto"/>
                  <w:left w:val="single" w:sz="4" w:space="0" w:color="auto"/>
                  <w:bottom w:val="single" w:sz="4" w:space="0" w:color="auto"/>
                  <w:right w:val="single" w:sz="4" w:space="0" w:color="auto"/>
                </w:tcBorders>
                <w:vAlign w:val="center"/>
              </w:tcPr>
              <w:p w:rsidR="00B637B2" w:rsidRPr="002C33FC" w:rsidRDefault="008F04CF" w:rsidP="00B637B2">
                <w:pPr>
                  <w:jc w:val="right"/>
                </w:pPr>
                <w:r w:rsidRPr="002C33FC">
                  <w:t>2,046,014,156</w:t>
                </w:r>
              </w:p>
            </w:tc>
            <w:tc>
              <w:tcPr>
                <w:tcW w:w="906" w:type="pct"/>
                <w:tcBorders>
                  <w:top w:val="single" w:sz="4" w:space="0" w:color="auto"/>
                  <w:left w:val="single" w:sz="4" w:space="0" w:color="auto"/>
                  <w:bottom w:val="single" w:sz="4" w:space="0" w:color="auto"/>
                  <w:right w:val="single" w:sz="4" w:space="0" w:color="auto"/>
                </w:tcBorders>
                <w:vAlign w:val="center"/>
              </w:tcPr>
              <w:p w:rsidR="00B637B2" w:rsidRPr="006715B4" w:rsidRDefault="008F04CF" w:rsidP="00B637B2">
                <w:pPr>
                  <w:jc w:val="right"/>
                </w:pPr>
                <w:r w:rsidRPr="006715B4">
                  <w:t>442,010,998</w:t>
                </w:r>
              </w:p>
            </w:tc>
          </w:tr>
          <w:tr w:rsidR="00B637B2" w:rsidTr="00B637B2">
            <w:sdt>
              <w:sdtPr>
                <w:tag w:val="_PLD_f557df41d0484816863da6fa2f5bb6e0"/>
                <w:id w:val="1088348837"/>
                <w:lock w:val="sdtLocked"/>
              </w:sdtPr>
              <w:sdtContent>
                <w:tc>
                  <w:tcPr>
                    <w:tcW w:w="1203" w:type="pct"/>
                    <w:tcBorders>
                      <w:top w:val="single" w:sz="4" w:space="0" w:color="auto"/>
                      <w:left w:val="single" w:sz="4" w:space="0" w:color="auto"/>
                      <w:bottom w:val="single" w:sz="4" w:space="0" w:color="auto"/>
                      <w:right w:val="single" w:sz="4" w:space="0" w:color="auto"/>
                    </w:tcBorders>
                  </w:tcPr>
                  <w:p w:rsidR="00B637B2" w:rsidRDefault="008F04CF" w:rsidP="00B637B2">
                    <w:pPr>
                      <w:autoSpaceDE w:val="0"/>
                      <w:autoSpaceDN w:val="0"/>
                      <w:adjustRightInd w:val="0"/>
                      <w:rPr>
                        <w:szCs w:val="21"/>
                      </w:rPr>
                    </w:pPr>
                    <w:r>
                      <w:rPr>
                        <w:rFonts w:hint="eastAsia"/>
                        <w:szCs w:val="21"/>
                      </w:rPr>
                      <w:t>二、职工福利费</w:t>
                    </w:r>
                  </w:p>
                </w:tc>
              </w:sdtContent>
            </w:sdt>
            <w:tc>
              <w:tcPr>
                <w:tcW w:w="963" w:type="pct"/>
                <w:tcBorders>
                  <w:top w:val="single" w:sz="4" w:space="0" w:color="auto"/>
                  <w:left w:val="single" w:sz="4" w:space="0" w:color="auto"/>
                  <w:bottom w:val="single" w:sz="4" w:space="0" w:color="auto"/>
                  <w:right w:val="single" w:sz="4" w:space="0" w:color="auto"/>
                </w:tcBorders>
                <w:vAlign w:val="center"/>
              </w:tcPr>
              <w:p w:rsidR="00B637B2" w:rsidRPr="002508D6" w:rsidRDefault="008F04CF" w:rsidP="00B637B2">
                <w:pPr>
                  <w:jc w:val="right"/>
                </w:pPr>
                <w:r w:rsidRPr="002508D6">
                  <w:t>-</w:t>
                </w:r>
              </w:p>
            </w:tc>
            <w:tc>
              <w:tcPr>
                <w:tcW w:w="965" w:type="pct"/>
                <w:tcBorders>
                  <w:top w:val="single" w:sz="4" w:space="0" w:color="auto"/>
                  <w:left w:val="single" w:sz="4" w:space="0" w:color="auto"/>
                  <w:bottom w:val="single" w:sz="4" w:space="0" w:color="auto"/>
                  <w:right w:val="single" w:sz="4" w:space="0" w:color="auto"/>
                </w:tcBorders>
                <w:vAlign w:val="center"/>
              </w:tcPr>
              <w:p w:rsidR="00B637B2" w:rsidRPr="00E91440" w:rsidRDefault="008F04CF" w:rsidP="00B637B2">
                <w:pPr>
                  <w:jc w:val="right"/>
                </w:pPr>
                <w:r w:rsidRPr="00E91440">
                  <w:t>18,221,678</w:t>
                </w:r>
              </w:p>
            </w:tc>
            <w:tc>
              <w:tcPr>
                <w:tcW w:w="963" w:type="pct"/>
                <w:tcBorders>
                  <w:top w:val="single" w:sz="4" w:space="0" w:color="auto"/>
                  <w:left w:val="single" w:sz="4" w:space="0" w:color="auto"/>
                  <w:bottom w:val="single" w:sz="4" w:space="0" w:color="auto"/>
                  <w:right w:val="single" w:sz="4" w:space="0" w:color="auto"/>
                </w:tcBorders>
                <w:vAlign w:val="center"/>
              </w:tcPr>
              <w:p w:rsidR="00B637B2" w:rsidRPr="002C33FC" w:rsidRDefault="008F04CF" w:rsidP="00B637B2">
                <w:pPr>
                  <w:jc w:val="right"/>
                </w:pPr>
                <w:r w:rsidRPr="002C33FC">
                  <w:t>18,221,678</w:t>
                </w:r>
              </w:p>
            </w:tc>
            <w:tc>
              <w:tcPr>
                <w:tcW w:w="906" w:type="pct"/>
                <w:tcBorders>
                  <w:top w:val="single" w:sz="4" w:space="0" w:color="auto"/>
                  <w:left w:val="single" w:sz="4" w:space="0" w:color="auto"/>
                  <w:bottom w:val="single" w:sz="4" w:space="0" w:color="auto"/>
                  <w:right w:val="single" w:sz="4" w:space="0" w:color="auto"/>
                </w:tcBorders>
                <w:vAlign w:val="center"/>
              </w:tcPr>
              <w:p w:rsidR="00B637B2" w:rsidRPr="006715B4" w:rsidRDefault="008F04CF" w:rsidP="00B637B2">
                <w:pPr>
                  <w:jc w:val="right"/>
                </w:pPr>
                <w:r w:rsidRPr="006715B4">
                  <w:t>-</w:t>
                </w:r>
              </w:p>
            </w:tc>
          </w:tr>
          <w:tr w:rsidR="00B637B2" w:rsidTr="00B637B2">
            <w:sdt>
              <w:sdtPr>
                <w:tag w:val="_PLD_dbac61dc87104ba08157258eaf632c94"/>
                <w:id w:val="1343206640"/>
                <w:lock w:val="sdtLocked"/>
              </w:sdtPr>
              <w:sdtContent>
                <w:tc>
                  <w:tcPr>
                    <w:tcW w:w="1203" w:type="pct"/>
                    <w:tcBorders>
                      <w:top w:val="single" w:sz="4" w:space="0" w:color="auto"/>
                      <w:left w:val="single" w:sz="4" w:space="0" w:color="auto"/>
                      <w:bottom w:val="single" w:sz="4" w:space="0" w:color="auto"/>
                      <w:right w:val="single" w:sz="4" w:space="0" w:color="auto"/>
                    </w:tcBorders>
                  </w:tcPr>
                  <w:p w:rsidR="00B637B2" w:rsidRDefault="008F04CF" w:rsidP="00B637B2">
                    <w:pPr>
                      <w:autoSpaceDE w:val="0"/>
                      <w:autoSpaceDN w:val="0"/>
                      <w:adjustRightInd w:val="0"/>
                      <w:rPr>
                        <w:szCs w:val="21"/>
                      </w:rPr>
                    </w:pPr>
                    <w:r>
                      <w:rPr>
                        <w:rFonts w:hint="eastAsia"/>
                        <w:szCs w:val="21"/>
                      </w:rPr>
                      <w:t>三、社会保险费</w:t>
                    </w:r>
                  </w:p>
                </w:tc>
              </w:sdtContent>
            </w:sdt>
            <w:tc>
              <w:tcPr>
                <w:tcW w:w="963" w:type="pct"/>
                <w:tcBorders>
                  <w:top w:val="single" w:sz="4" w:space="0" w:color="auto"/>
                  <w:left w:val="single" w:sz="4" w:space="0" w:color="auto"/>
                  <w:bottom w:val="single" w:sz="4" w:space="0" w:color="auto"/>
                  <w:right w:val="single" w:sz="4" w:space="0" w:color="auto"/>
                </w:tcBorders>
                <w:vAlign w:val="center"/>
              </w:tcPr>
              <w:p w:rsidR="00B637B2" w:rsidRPr="002508D6" w:rsidRDefault="008F04CF" w:rsidP="00B637B2">
                <w:pPr>
                  <w:jc w:val="right"/>
                </w:pPr>
                <w:r w:rsidRPr="002508D6">
                  <w:t>12,395,253</w:t>
                </w:r>
              </w:p>
            </w:tc>
            <w:tc>
              <w:tcPr>
                <w:tcW w:w="965" w:type="pct"/>
                <w:tcBorders>
                  <w:top w:val="single" w:sz="4" w:space="0" w:color="auto"/>
                  <w:left w:val="single" w:sz="4" w:space="0" w:color="auto"/>
                  <w:bottom w:val="single" w:sz="4" w:space="0" w:color="auto"/>
                  <w:right w:val="single" w:sz="4" w:space="0" w:color="auto"/>
                </w:tcBorders>
                <w:vAlign w:val="center"/>
              </w:tcPr>
              <w:p w:rsidR="00B637B2" w:rsidRPr="00E91440" w:rsidRDefault="008F04CF" w:rsidP="00B637B2">
                <w:pPr>
                  <w:jc w:val="right"/>
                </w:pPr>
                <w:r w:rsidRPr="00E91440">
                  <w:t>105,627,748</w:t>
                </w:r>
              </w:p>
            </w:tc>
            <w:tc>
              <w:tcPr>
                <w:tcW w:w="963" w:type="pct"/>
                <w:tcBorders>
                  <w:top w:val="single" w:sz="4" w:space="0" w:color="auto"/>
                  <w:left w:val="single" w:sz="4" w:space="0" w:color="auto"/>
                  <w:bottom w:val="single" w:sz="4" w:space="0" w:color="auto"/>
                  <w:right w:val="single" w:sz="4" w:space="0" w:color="auto"/>
                </w:tcBorders>
                <w:vAlign w:val="center"/>
              </w:tcPr>
              <w:p w:rsidR="00B637B2" w:rsidRPr="002C33FC" w:rsidRDefault="008F04CF" w:rsidP="00B637B2">
                <w:pPr>
                  <w:jc w:val="right"/>
                </w:pPr>
                <w:r w:rsidRPr="002C33FC">
                  <w:t>105,095,221</w:t>
                </w:r>
              </w:p>
            </w:tc>
            <w:tc>
              <w:tcPr>
                <w:tcW w:w="906" w:type="pct"/>
                <w:tcBorders>
                  <w:top w:val="single" w:sz="4" w:space="0" w:color="auto"/>
                  <w:left w:val="single" w:sz="4" w:space="0" w:color="auto"/>
                  <w:bottom w:val="single" w:sz="4" w:space="0" w:color="auto"/>
                  <w:right w:val="single" w:sz="4" w:space="0" w:color="auto"/>
                </w:tcBorders>
                <w:vAlign w:val="center"/>
              </w:tcPr>
              <w:p w:rsidR="00B637B2" w:rsidRPr="006715B4" w:rsidRDefault="008F04CF" w:rsidP="00B637B2">
                <w:pPr>
                  <w:jc w:val="right"/>
                </w:pPr>
                <w:r w:rsidRPr="006715B4">
                  <w:t>12,927,780</w:t>
                </w:r>
              </w:p>
            </w:tc>
          </w:tr>
          <w:tr w:rsidR="00B637B2" w:rsidTr="00B637B2">
            <w:sdt>
              <w:sdtPr>
                <w:tag w:val="_PLD_1ae6ec180f494dc4bdbe2a71caadcf9d"/>
                <w:id w:val="-985864936"/>
                <w:lock w:val="sdtLocked"/>
              </w:sdtPr>
              <w:sdtContent>
                <w:tc>
                  <w:tcPr>
                    <w:tcW w:w="1203" w:type="pct"/>
                    <w:tcBorders>
                      <w:top w:val="single" w:sz="4" w:space="0" w:color="auto"/>
                      <w:left w:val="single" w:sz="4" w:space="0" w:color="auto"/>
                      <w:bottom w:val="single" w:sz="4" w:space="0" w:color="auto"/>
                      <w:right w:val="single" w:sz="4" w:space="0" w:color="auto"/>
                    </w:tcBorders>
                  </w:tcPr>
                  <w:p w:rsidR="00B637B2" w:rsidRDefault="008F04CF" w:rsidP="00B637B2">
                    <w:pPr>
                      <w:rPr>
                        <w:color w:val="008000"/>
                        <w:szCs w:val="21"/>
                      </w:rPr>
                    </w:pPr>
                    <w:r>
                      <w:rPr>
                        <w:rFonts w:hint="eastAsia"/>
                        <w:szCs w:val="21"/>
                      </w:rPr>
                      <w:t>其中：</w:t>
                    </w:r>
                    <w:r>
                      <w:rPr>
                        <w:szCs w:val="21"/>
                      </w:rPr>
                      <w:t>医疗保险费</w:t>
                    </w:r>
                  </w:p>
                </w:tc>
              </w:sdtContent>
            </w:sdt>
            <w:tc>
              <w:tcPr>
                <w:tcW w:w="963" w:type="pct"/>
                <w:tcBorders>
                  <w:top w:val="single" w:sz="4" w:space="0" w:color="auto"/>
                  <w:left w:val="single" w:sz="4" w:space="0" w:color="auto"/>
                  <w:bottom w:val="single" w:sz="4" w:space="0" w:color="auto"/>
                  <w:right w:val="single" w:sz="4" w:space="0" w:color="auto"/>
                </w:tcBorders>
                <w:vAlign w:val="center"/>
              </w:tcPr>
              <w:p w:rsidR="00B637B2" w:rsidRPr="002508D6" w:rsidRDefault="008F04CF" w:rsidP="00B637B2">
                <w:pPr>
                  <w:jc w:val="right"/>
                </w:pPr>
                <w:r w:rsidRPr="002508D6">
                  <w:t>10,938,603</w:t>
                </w:r>
              </w:p>
            </w:tc>
            <w:tc>
              <w:tcPr>
                <w:tcW w:w="965" w:type="pct"/>
                <w:tcBorders>
                  <w:top w:val="single" w:sz="4" w:space="0" w:color="auto"/>
                  <w:left w:val="single" w:sz="4" w:space="0" w:color="auto"/>
                  <w:bottom w:val="single" w:sz="4" w:space="0" w:color="auto"/>
                  <w:right w:val="single" w:sz="4" w:space="0" w:color="auto"/>
                </w:tcBorders>
                <w:vAlign w:val="center"/>
              </w:tcPr>
              <w:p w:rsidR="00B637B2" w:rsidRPr="00E91440" w:rsidRDefault="008F04CF" w:rsidP="00B637B2">
                <w:pPr>
                  <w:jc w:val="right"/>
                </w:pPr>
                <w:r w:rsidRPr="00E91440">
                  <w:t>96,881,383</w:t>
                </w:r>
              </w:p>
            </w:tc>
            <w:tc>
              <w:tcPr>
                <w:tcW w:w="963" w:type="pct"/>
                <w:tcBorders>
                  <w:top w:val="single" w:sz="4" w:space="0" w:color="auto"/>
                  <w:left w:val="single" w:sz="4" w:space="0" w:color="auto"/>
                  <w:bottom w:val="single" w:sz="4" w:space="0" w:color="auto"/>
                  <w:right w:val="single" w:sz="4" w:space="0" w:color="auto"/>
                </w:tcBorders>
                <w:vAlign w:val="center"/>
              </w:tcPr>
              <w:p w:rsidR="00B637B2" w:rsidRPr="002C33FC" w:rsidRDefault="008F04CF" w:rsidP="00B637B2">
                <w:pPr>
                  <w:jc w:val="right"/>
                </w:pPr>
                <w:r w:rsidRPr="002C33FC">
                  <w:t>96,626,739</w:t>
                </w:r>
              </w:p>
            </w:tc>
            <w:tc>
              <w:tcPr>
                <w:tcW w:w="906" w:type="pct"/>
                <w:tcBorders>
                  <w:top w:val="single" w:sz="4" w:space="0" w:color="auto"/>
                  <w:left w:val="single" w:sz="4" w:space="0" w:color="auto"/>
                  <w:bottom w:val="single" w:sz="4" w:space="0" w:color="auto"/>
                  <w:right w:val="single" w:sz="4" w:space="0" w:color="auto"/>
                </w:tcBorders>
                <w:vAlign w:val="center"/>
              </w:tcPr>
              <w:p w:rsidR="00B637B2" w:rsidRPr="006715B4" w:rsidRDefault="008F04CF" w:rsidP="00B637B2">
                <w:pPr>
                  <w:jc w:val="right"/>
                </w:pPr>
                <w:r w:rsidRPr="006715B4">
                  <w:t>11,193,247</w:t>
                </w:r>
              </w:p>
            </w:tc>
          </w:tr>
          <w:tr w:rsidR="00B637B2" w:rsidTr="00B637B2">
            <w:sdt>
              <w:sdtPr>
                <w:tag w:val="_PLD_a5396281963e4191a16040ecc2da4b44"/>
                <w:id w:val="1117652590"/>
                <w:lock w:val="sdtLocked"/>
              </w:sdtPr>
              <w:sdtContent>
                <w:tc>
                  <w:tcPr>
                    <w:tcW w:w="1203" w:type="pct"/>
                    <w:tcBorders>
                      <w:top w:val="single" w:sz="4" w:space="0" w:color="auto"/>
                      <w:left w:val="single" w:sz="4" w:space="0" w:color="auto"/>
                      <w:bottom w:val="single" w:sz="4" w:space="0" w:color="auto"/>
                      <w:right w:val="single" w:sz="4" w:space="0" w:color="auto"/>
                    </w:tcBorders>
                  </w:tcPr>
                  <w:p w:rsidR="00B637B2" w:rsidRDefault="008F04CF" w:rsidP="00B637B2">
                    <w:pPr>
                      <w:ind w:firstLineChars="300" w:firstLine="630"/>
                      <w:rPr>
                        <w:szCs w:val="21"/>
                      </w:rPr>
                    </w:pPr>
                    <w:r>
                      <w:rPr>
                        <w:rFonts w:hint="eastAsia"/>
                        <w:szCs w:val="21"/>
                      </w:rPr>
                      <w:t>工伤保险费</w:t>
                    </w:r>
                  </w:p>
                </w:tc>
              </w:sdtContent>
            </w:sdt>
            <w:tc>
              <w:tcPr>
                <w:tcW w:w="963" w:type="pct"/>
                <w:tcBorders>
                  <w:top w:val="single" w:sz="4" w:space="0" w:color="auto"/>
                  <w:left w:val="single" w:sz="4" w:space="0" w:color="auto"/>
                  <w:bottom w:val="single" w:sz="4" w:space="0" w:color="auto"/>
                  <w:right w:val="single" w:sz="4" w:space="0" w:color="auto"/>
                </w:tcBorders>
                <w:vAlign w:val="center"/>
              </w:tcPr>
              <w:p w:rsidR="00B637B2" w:rsidRPr="002508D6" w:rsidRDefault="008F04CF" w:rsidP="00B637B2">
                <w:pPr>
                  <w:jc w:val="right"/>
                </w:pPr>
                <w:r w:rsidRPr="002508D6">
                  <w:t>346,399</w:t>
                </w:r>
              </w:p>
            </w:tc>
            <w:tc>
              <w:tcPr>
                <w:tcW w:w="965" w:type="pct"/>
                <w:tcBorders>
                  <w:top w:val="single" w:sz="4" w:space="0" w:color="auto"/>
                  <w:left w:val="single" w:sz="4" w:space="0" w:color="auto"/>
                  <w:bottom w:val="single" w:sz="4" w:space="0" w:color="auto"/>
                  <w:right w:val="single" w:sz="4" w:space="0" w:color="auto"/>
                </w:tcBorders>
                <w:vAlign w:val="center"/>
              </w:tcPr>
              <w:p w:rsidR="00B637B2" w:rsidRPr="00E91440" w:rsidRDefault="008F04CF" w:rsidP="00B637B2">
                <w:pPr>
                  <w:jc w:val="right"/>
                </w:pPr>
                <w:r w:rsidRPr="00E91440">
                  <w:t>1,944,058</w:t>
                </w:r>
              </w:p>
            </w:tc>
            <w:tc>
              <w:tcPr>
                <w:tcW w:w="963" w:type="pct"/>
                <w:tcBorders>
                  <w:top w:val="single" w:sz="4" w:space="0" w:color="auto"/>
                  <w:left w:val="single" w:sz="4" w:space="0" w:color="auto"/>
                  <w:bottom w:val="single" w:sz="4" w:space="0" w:color="auto"/>
                  <w:right w:val="single" w:sz="4" w:space="0" w:color="auto"/>
                </w:tcBorders>
                <w:vAlign w:val="center"/>
              </w:tcPr>
              <w:p w:rsidR="00B637B2" w:rsidRPr="002C33FC" w:rsidRDefault="008F04CF" w:rsidP="00B637B2">
                <w:pPr>
                  <w:jc w:val="right"/>
                </w:pPr>
                <w:r w:rsidRPr="002C33FC">
                  <w:t>1,857,169</w:t>
                </w:r>
              </w:p>
            </w:tc>
            <w:tc>
              <w:tcPr>
                <w:tcW w:w="906" w:type="pct"/>
                <w:tcBorders>
                  <w:top w:val="single" w:sz="4" w:space="0" w:color="auto"/>
                  <w:left w:val="single" w:sz="4" w:space="0" w:color="auto"/>
                  <w:bottom w:val="single" w:sz="4" w:space="0" w:color="auto"/>
                  <w:right w:val="single" w:sz="4" w:space="0" w:color="auto"/>
                </w:tcBorders>
                <w:vAlign w:val="center"/>
              </w:tcPr>
              <w:p w:rsidR="00B637B2" w:rsidRPr="006715B4" w:rsidRDefault="008F04CF" w:rsidP="00B637B2">
                <w:pPr>
                  <w:jc w:val="right"/>
                </w:pPr>
                <w:r w:rsidRPr="006715B4">
                  <w:t>433,288</w:t>
                </w:r>
              </w:p>
            </w:tc>
          </w:tr>
          <w:tr w:rsidR="00B637B2" w:rsidTr="00B637B2">
            <w:sdt>
              <w:sdtPr>
                <w:tag w:val="_PLD_804a3b1683d741ebb83bd99deed156d6"/>
                <w:id w:val="-140502849"/>
                <w:lock w:val="sdtLocked"/>
              </w:sdtPr>
              <w:sdtContent>
                <w:tc>
                  <w:tcPr>
                    <w:tcW w:w="1203" w:type="pct"/>
                    <w:tcBorders>
                      <w:top w:val="single" w:sz="4" w:space="0" w:color="auto"/>
                      <w:left w:val="single" w:sz="4" w:space="0" w:color="auto"/>
                      <w:bottom w:val="single" w:sz="4" w:space="0" w:color="auto"/>
                      <w:right w:val="single" w:sz="4" w:space="0" w:color="auto"/>
                    </w:tcBorders>
                  </w:tcPr>
                  <w:p w:rsidR="00B637B2" w:rsidRDefault="008F04CF" w:rsidP="00B637B2">
                    <w:pPr>
                      <w:ind w:firstLineChars="300" w:firstLine="630"/>
                      <w:rPr>
                        <w:szCs w:val="21"/>
                      </w:rPr>
                    </w:pPr>
                    <w:r>
                      <w:rPr>
                        <w:rFonts w:hint="eastAsia"/>
                        <w:szCs w:val="21"/>
                      </w:rPr>
                      <w:t>生育保险费</w:t>
                    </w:r>
                  </w:p>
                </w:tc>
              </w:sdtContent>
            </w:sdt>
            <w:tc>
              <w:tcPr>
                <w:tcW w:w="963" w:type="pct"/>
                <w:tcBorders>
                  <w:top w:val="single" w:sz="4" w:space="0" w:color="auto"/>
                  <w:left w:val="single" w:sz="4" w:space="0" w:color="auto"/>
                  <w:bottom w:val="single" w:sz="4" w:space="0" w:color="auto"/>
                  <w:right w:val="single" w:sz="4" w:space="0" w:color="auto"/>
                </w:tcBorders>
                <w:vAlign w:val="center"/>
              </w:tcPr>
              <w:p w:rsidR="00B637B2" w:rsidRPr="002508D6" w:rsidRDefault="008F04CF" w:rsidP="00B637B2">
                <w:pPr>
                  <w:jc w:val="right"/>
                </w:pPr>
                <w:r w:rsidRPr="002508D6">
                  <w:t>1,110,251</w:t>
                </w:r>
              </w:p>
            </w:tc>
            <w:tc>
              <w:tcPr>
                <w:tcW w:w="965" w:type="pct"/>
                <w:tcBorders>
                  <w:top w:val="single" w:sz="4" w:space="0" w:color="auto"/>
                  <w:left w:val="single" w:sz="4" w:space="0" w:color="auto"/>
                  <w:bottom w:val="single" w:sz="4" w:space="0" w:color="auto"/>
                  <w:right w:val="single" w:sz="4" w:space="0" w:color="auto"/>
                </w:tcBorders>
                <w:vAlign w:val="center"/>
              </w:tcPr>
              <w:p w:rsidR="00B637B2" w:rsidRPr="00E91440" w:rsidRDefault="008F04CF" w:rsidP="00B637B2">
                <w:pPr>
                  <w:jc w:val="right"/>
                </w:pPr>
                <w:r w:rsidRPr="00E91440">
                  <w:t>6,802,307</w:t>
                </w:r>
              </w:p>
            </w:tc>
            <w:tc>
              <w:tcPr>
                <w:tcW w:w="963" w:type="pct"/>
                <w:tcBorders>
                  <w:top w:val="single" w:sz="4" w:space="0" w:color="auto"/>
                  <w:left w:val="single" w:sz="4" w:space="0" w:color="auto"/>
                  <w:bottom w:val="single" w:sz="4" w:space="0" w:color="auto"/>
                  <w:right w:val="single" w:sz="4" w:space="0" w:color="auto"/>
                </w:tcBorders>
                <w:vAlign w:val="center"/>
              </w:tcPr>
              <w:p w:rsidR="00B637B2" w:rsidRPr="002C33FC" w:rsidRDefault="008F04CF" w:rsidP="00B637B2">
                <w:pPr>
                  <w:jc w:val="right"/>
                </w:pPr>
                <w:r w:rsidRPr="002C33FC">
                  <w:t>6,611,313</w:t>
                </w:r>
              </w:p>
            </w:tc>
            <w:tc>
              <w:tcPr>
                <w:tcW w:w="906" w:type="pct"/>
                <w:tcBorders>
                  <w:top w:val="single" w:sz="4" w:space="0" w:color="auto"/>
                  <w:left w:val="single" w:sz="4" w:space="0" w:color="auto"/>
                  <w:bottom w:val="single" w:sz="4" w:space="0" w:color="auto"/>
                  <w:right w:val="single" w:sz="4" w:space="0" w:color="auto"/>
                </w:tcBorders>
                <w:vAlign w:val="center"/>
              </w:tcPr>
              <w:p w:rsidR="00B637B2" w:rsidRPr="006715B4" w:rsidRDefault="008F04CF" w:rsidP="00B637B2">
                <w:pPr>
                  <w:jc w:val="right"/>
                </w:pPr>
                <w:r w:rsidRPr="006715B4">
                  <w:t>1,301,245</w:t>
                </w:r>
              </w:p>
            </w:tc>
          </w:tr>
          <w:tr w:rsidR="00B637B2" w:rsidTr="00B637B2">
            <w:sdt>
              <w:sdtPr>
                <w:tag w:val="_PLD_7cd8935ff2544a81820fdc14f7afe2b7"/>
                <w:id w:val="-1777013573"/>
                <w:lock w:val="sdtLocked"/>
              </w:sdtPr>
              <w:sdtContent>
                <w:tc>
                  <w:tcPr>
                    <w:tcW w:w="1203" w:type="pct"/>
                    <w:tcBorders>
                      <w:top w:val="single" w:sz="4" w:space="0" w:color="auto"/>
                      <w:left w:val="single" w:sz="4" w:space="0" w:color="auto"/>
                      <w:bottom w:val="single" w:sz="4" w:space="0" w:color="auto"/>
                      <w:right w:val="single" w:sz="4" w:space="0" w:color="auto"/>
                    </w:tcBorders>
                  </w:tcPr>
                  <w:p w:rsidR="00B637B2" w:rsidRDefault="008F04CF" w:rsidP="00B637B2">
                    <w:pPr>
                      <w:autoSpaceDE w:val="0"/>
                      <w:autoSpaceDN w:val="0"/>
                      <w:adjustRightInd w:val="0"/>
                      <w:rPr>
                        <w:szCs w:val="21"/>
                      </w:rPr>
                    </w:pPr>
                    <w:r>
                      <w:rPr>
                        <w:rFonts w:hint="eastAsia"/>
                        <w:szCs w:val="21"/>
                      </w:rPr>
                      <w:t>四、住房公积金</w:t>
                    </w:r>
                  </w:p>
                </w:tc>
              </w:sdtContent>
            </w:sdt>
            <w:tc>
              <w:tcPr>
                <w:tcW w:w="963" w:type="pct"/>
                <w:tcBorders>
                  <w:top w:val="single" w:sz="4" w:space="0" w:color="auto"/>
                  <w:left w:val="single" w:sz="4" w:space="0" w:color="auto"/>
                  <w:bottom w:val="single" w:sz="4" w:space="0" w:color="auto"/>
                  <w:right w:val="single" w:sz="4" w:space="0" w:color="auto"/>
                </w:tcBorders>
                <w:vAlign w:val="center"/>
              </w:tcPr>
              <w:p w:rsidR="00B637B2" w:rsidRPr="002508D6" w:rsidRDefault="008F04CF" w:rsidP="00B637B2">
                <w:pPr>
                  <w:jc w:val="right"/>
                </w:pPr>
                <w:r w:rsidRPr="002508D6">
                  <w:t>2,870,574</w:t>
                </w:r>
              </w:p>
            </w:tc>
            <w:tc>
              <w:tcPr>
                <w:tcW w:w="965" w:type="pct"/>
                <w:tcBorders>
                  <w:top w:val="single" w:sz="4" w:space="0" w:color="auto"/>
                  <w:left w:val="single" w:sz="4" w:space="0" w:color="auto"/>
                  <w:bottom w:val="single" w:sz="4" w:space="0" w:color="auto"/>
                  <w:right w:val="single" w:sz="4" w:space="0" w:color="auto"/>
                </w:tcBorders>
                <w:vAlign w:val="center"/>
              </w:tcPr>
              <w:p w:rsidR="00B637B2" w:rsidRPr="00E91440" w:rsidRDefault="008F04CF" w:rsidP="00B637B2">
                <w:pPr>
                  <w:jc w:val="right"/>
                </w:pPr>
                <w:r w:rsidRPr="00E91440">
                  <w:t>207,638,702</w:t>
                </w:r>
              </w:p>
            </w:tc>
            <w:tc>
              <w:tcPr>
                <w:tcW w:w="963" w:type="pct"/>
                <w:tcBorders>
                  <w:top w:val="single" w:sz="4" w:space="0" w:color="auto"/>
                  <w:left w:val="single" w:sz="4" w:space="0" w:color="auto"/>
                  <w:bottom w:val="single" w:sz="4" w:space="0" w:color="auto"/>
                  <w:right w:val="single" w:sz="4" w:space="0" w:color="auto"/>
                </w:tcBorders>
                <w:vAlign w:val="center"/>
              </w:tcPr>
              <w:p w:rsidR="00B637B2" w:rsidRPr="002C33FC" w:rsidRDefault="008F04CF" w:rsidP="00B637B2">
                <w:pPr>
                  <w:jc w:val="right"/>
                </w:pPr>
                <w:r w:rsidRPr="002C33FC">
                  <w:t>197,499,535</w:t>
                </w:r>
              </w:p>
            </w:tc>
            <w:tc>
              <w:tcPr>
                <w:tcW w:w="906" w:type="pct"/>
                <w:tcBorders>
                  <w:top w:val="single" w:sz="4" w:space="0" w:color="auto"/>
                  <w:left w:val="single" w:sz="4" w:space="0" w:color="auto"/>
                  <w:bottom w:val="single" w:sz="4" w:space="0" w:color="auto"/>
                  <w:right w:val="single" w:sz="4" w:space="0" w:color="auto"/>
                </w:tcBorders>
                <w:vAlign w:val="center"/>
              </w:tcPr>
              <w:p w:rsidR="00B637B2" w:rsidRPr="006715B4" w:rsidRDefault="008F04CF" w:rsidP="00B637B2">
                <w:pPr>
                  <w:jc w:val="right"/>
                </w:pPr>
                <w:r w:rsidRPr="006715B4">
                  <w:t>13,009,741</w:t>
                </w:r>
              </w:p>
            </w:tc>
          </w:tr>
          <w:tr w:rsidR="00B637B2" w:rsidTr="00B637B2">
            <w:sdt>
              <w:sdtPr>
                <w:tag w:val="_PLD_9a4d3040fb464e23a007dcea5588dfc0"/>
                <w:id w:val="626581142"/>
                <w:lock w:val="sdtLocked"/>
              </w:sdtPr>
              <w:sdtContent>
                <w:tc>
                  <w:tcPr>
                    <w:tcW w:w="1203" w:type="pct"/>
                    <w:tcBorders>
                      <w:top w:val="single" w:sz="4" w:space="0" w:color="auto"/>
                      <w:left w:val="single" w:sz="4" w:space="0" w:color="auto"/>
                      <w:bottom w:val="single" w:sz="4" w:space="0" w:color="auto"/>
                      <w:right w:val="single" w:sz="4" w:space="0" w:color="auto"/>
                    </w:tcBorders>
                  </w:tcPr>
                  <w:p w:rsidR="00B637B2" w:rsidRDefault="008F04CF" w:rsidP="00B637B2">
                    <w:pPr>
                      <w:autoSpaceDE w:val="0"/>
                      <w:autoSpaceDN w:val="0"/>
                      <w:adjustRightInd w:val="0"/>
                      <w:rPr>
                        <w:szCs w:val="21"/>
                      </w:rPr>
                    </w:pPr>
                    <w:r>
                      <w:rPr>
                        <w:rFonts w:hint="eastAsia"/>
                        <w:szCs w:val="21"/>
                      </w:rPr>
                      <w:t>五、工会经费和职工教育经费</w:t>
                    </w:r>
                  </w:p>
                </w:tc>
              </w:sdtContent>
            </w:sdt>
            <w:tc>
              <w:tcPr>
                <w:tcW w:w="963" w:type="pct"/>
                <w:tcBorders>
                  <w:top w:val="single" w:sz="4" w:space="0" w:color="auto"/>
                  <w:left w:val="single" w:sz="4" w:space="0" w:color="auto"/>
                  <w:bottom w:val="single" w:sz="4" w:space="0" w:color="auto"/>
                  <w:right w:val="single" w:sz="4" w:space="0" w:color="auto"/>
                </w:tcBorders>
                <w:vAlign w:val="center"/>
              </w:tcPr>
              <w:p w:rsidR="00B637B2" w:rsidRPr="002508D6" w:rsidRDefault="008F04CF" w:rsidP="00B637B2">
                <w:pPr>
                  <w:jc w:val="right"/>
                </w:pPr>
                <w:r w:rsidRPr="002508D6">
                  <w:t>6,101,120</w:t>
                </w:r>
              </w:p>
            </w:tc>
            <w:tc>
              <w:tcPr>
                <w:tcW w:w="965" w:type="pct"/>
                <w:tcBorders>
                  <w:top w:val="single" w:sz="4" w:space="0" w:color="auto"/>
                  <w:left w:val="single" w:sz="4" w:space="0" w:color="auto"/>
                  <w:bottom w:val="single" w:sz="4" w:space="0" w:color="auto"/>
                  <w:right w:val="single" w:sz="4" w:space="0" w:color="auto"/>
                </w:tcBorders>
                <w:vAlign w:val="center"/>
              </w:tcPr>
              <w:p w:rsidR="00B637B2" w:rsidRPr="00E91440" w:rsidRDefault="008F04CF" w:rsidP="00B637B2">
                <w:pPr>
                  <w:jc w:val="right"/>
                </w:pPr>
                <w:r w:rsidRPr="00E91440">
                  <w:t>1,511,703</w:t>
                </w:r>
              </w:p>
            </w:tc>
            <w:tc>
              <w:tcPr>
                <w:tcW w:w="963" w:type="pct"/>
                <w:tcBorders>
                  <w:top w:val="single" w:sz="4" w:space="0" w:color="auto"/>
                  <w:left w:val="single" w:sz="4" w:space="0" w:color="auto"/>
                  <w:bottom w:val="single" w:sz="4" w:space="0" w:color="auto"/>
                  <w:right w:val="single" w:sz="4" w:space="0" w:color="auto"/>
                </w:tcBorders>
                <w:vAlign w:val="center"/>
              </w:tcPr>
              <w:p w:rsidR="00B637B2" w:rsidRPr="002C33FC" w:rsidRDefault="008F04CF" w:rsidP="00B637B2">
                <w:pPr>
                  <w:jc w:val="right"/>
                </w:pPr>
                <w:r w:rsidRPr="002C33FC">
                  <w:t>2,115,252</w:t>
                </w:r>
              </w:p>
            </w:tc>
            <w:tc>
              <w:tcPr>
                <w:tcW w:w="906" w:type="pct"/>
                <w:tcBorders>
                  <w:top w:val="single" w:sz="4" w:space="0" w:color="auto"/>
                  <w:left w:val="single" w:sz="4" w:space="0" w:color="auto"/>
                  <w:bottom w:val="single" w:sz="4" w:space="0" w:color="auto"/>
                  <w:right w:val="single" w:sz="4" w:space="0" w:color="auto"/>
                </w:tcBorders>
                <w:vAlign w:val="center"/>
              </w:tcPr>
              <w:p w:rsidR="00B637B2" w:rsidRPr="006715B4" w:rsidRDefault="008F04CF" w:rsidP="00B637B2">
                <w:pPr>
                  <w:jc w:val="right"/>
                </w:pPr>
                <w:r w:rsidRPr="006715B4">
                  <w:t>5,497,571</w:t>
                </w:r>
              </w:p>
            </w:tc>
          </w:tr>
          <w:tr w:rsidR="00B637B2" w:rsidTr="00B637B2">
            <w:sdt>
              <w:sdtPr>
                <w:tag w:val="_PLD_bc842d3a1ac64d43805380b3757b59de"/>
                <w:id w:val="-1832822170"/>
                <w:lock w:val="sdtLocked"/>
              </w:sdtPr>
              <w:sdtContent>
                <w:tc>
                  <w:tcPr>
                    <w:tcW w:w="1203" w:type="pct"/>
                    <w:tcBorders>
                      <w:top w:val="single" w:sz="4" w:space="0" w:color="auto"/>
                      <w:left w:val="single" w:sz="4" w:space="0" w:color="auto"/>
                      <w:bottom w:val="single" w:sz="4" w:space="0" w:color="auto"/>
                      <w:right w:val="single" w:sz="4" w:space="0" w:color="auto"/>
                    </w:tcBorders>
                  </w:tcPr>
                  <w:p w:rsidR="00B637B2" w:rsidRDefault="008F04CF" w:rsidP="00B637B2">
                    <w:pPr>
                      <w:autoSpaceDE w:val="0"/>
                      <w:autoSpaceDN w:val="0"/>
                      <w:adjustRightInd w:val="0"/>
                      <w:rPr>
                        <w:szCs w:val="21"/>
                      </w:rPr>
                    </w:pPr>
                    <w:r w:rsidRPr="001A7E0F">
                      <w:rPr>
                        <w:rFonts w:hint="eastAsia"/>
                        <w:sz w:val="22"/>
                        <w:szCs w:val="21"/>
                      </w:rPr>
                      <w:t>六、</w:t>
                    </w:r>
                    <w:r w:rsidRPr="001A7E0F">
                      <w:rPr>
                        <w:rFonts w:cs="Arial" w:hint="eastAsia"/>
                        <w:snapToGrid w:val="0"/>
                      </w:rPr>
                      <w:t>短期</w:t>
                    </w:r>
                    <w:r>
                      <w:rPr>
                        <w:rFonts w:cs="Arial" w:hint="eastAsia"/>
                        <w:snapToGrid w:val="0"/>
                      </w:rPr>
                      <w:t>带薪缺勤</w:t>
                    </w:r>
                  </w:p>
                </w:tc>
              </w:sdtContent>
            </w:sdt>
            <w:tc>
              <w:tcPr>
                <w:tcW w:w="963" w:type="pct"/>
                <w:tcBorders>
                  <w:top w:val="single" w:sz="4" w:space="0" w:color="auto"/>
                  <w:left w:val="single" w:sz="4" w:space="0" w:color="auto"/>
                  <w:bottom w:val="single" w:sz="4" w:space="0" w:color="auto"/>
                  <w:right w:val="single" w:sz="4" w:space="0" w:color="auto"/>
                </w:tcBorders>
                <w:vAlign w:val="center"/>
              </w:tcPr>
              <w:p w:rsidR="00B637B2" w:rsidRDefault="00036BDC" w:rsidP="00B637B2">
                <w:pPr>
                  <w:jc w:val="right"/>
                </w:pPr>
                <w:r>
                  <w:rPr>
                    <w:rFonts w:hint="eastAsia"/>
                  </w:rPr>
                  <w:t>-</w:t>
                </w:r>
              </w:p>
            </w:tc>
            <w:tc>
              <w:tcPr>
                <w:tcW w:w="965" w:type="pct"/>
                <w:tcBorders>
                  <w:top w:val="single" w:sz="4" w:space="0" w:color="auto"/>
                  <w:left w:val="single" w:sz="4" w:space="0" w:color="auto"/>
                  <w:bottom w:val="single" w:sz="4" w:space="0" w:color="auto"/>
                  <w:right w:val="single" w:sz="4" w:space="0" w:color="auto"/>
                </w:tcBorders>
                <w:vAlign w:val="center"/>
              </w:tcPr>
              <w:p w:rsidR="00B637B2" w:rsidRDefault="00036BDC" w:rsidP="00B637B2">
                <w:pPr>
                  <w:jc w:val="right"/>
                </w:pPr>
                <w:r>
                  <w:rPr>
                    <w:rFonts w:hint="eastAsia"/>
                  </w:rPr>
                  <w:t>-</w:t>
                </w:r>
              </w:p>
            </w:tc>
            <w:tc>
              <w:tcPr>
                <w:tcW w:w="963" w:type="pct"/>
                <w:tcBorders>
                  <w:top w:val="single" w:sz="4" w:space="0" w:color="auto"/>
                  <w:left w:val="single" w:sz="4" w:space="0" w:color="auto"/>
                  <w:bottom w:val="single" w:sz="4" w:space="0" w:color="auto"/>
                  <w:right w:val="single" w:sz="4" w:space="0" w:color="auto"/>
                </w:tcBorders>
                <w:vAlign w:val="center"/>
              </w:tcPr>
              <w:p w:rsidR="00B637B2" w:rsidRDefault="00036BDC" w:rsidP="00B637B2">
                <w:pPr>
                  <w:jc w:val="right"/>
                </w:pPr>
                <w:r>
                  <w:rPr>
                    <w:rFonts w:hint="eastAsia"/>
                  </w:rPr>
                  <w:t>-</w:t>
                </w:r>
              </w:p>
            </w:tc>
            <w:tc>
              <w:tcPr>
                <w:tcW w:w="906" w:type="pct"/>
                <w:tcBorders>
                  <w:top w:val="single" w:sz="4" w:space="0" w:color="auto"/>
                  <w:left w:val="single" w:sz="4" w:space="0" w:color="auto"/>
                  <w:bottom w:val="single" w:sz="4" w:space="0" w:color="auto"/>
                  <w:right w:val="single" w:sz="4" w:space="0" w:color="auto"/>
                </w:tcBorders>
                <w:vAlign w:val="center"/>
              </w:tcPr>
              <w:p w:rsidR="00B637B2" w:rsidRDefault="00036BDC" w:rsidP="00B637B2">
                <w:pPr>
                  <w:jc w:val="right"/>
                </w:pPr>
                <w:r>
                  <w:rPr>
                    <w:rFonts w:hint="eastAsia"/>
                  </w:rPr>
                  <w:t>-</w:t>
                </w:r>
              </w:p>
            </w:tc>
          </w:tr>
          <w:sdt>
            <w:sdtPr>
              <w:rPr>
                <w:rFonts w:asciiTheme="minorHAnsi" w:eastAsiaTheme="minorEastAsia" w:hAnsiTheme="minorHAnsi" w:cstheme="minorBidi"/>
                <w:kern w:val="2"/>
                <w:szCs w:val="21"/>
              </w:rPr>
              <w:alias w:val="应付职工薪酬中的其他应付薪酬明细"/>
              <w:tag w:val="_GBC_68e70a06bfb74c23922ba3755003afbc"/>
              <w:id w:val="1367871752"/>
              <w:lock w:val="sdtLocked"/>
            </w:sdtPr>
            <w:sdtEndPr>
              <w:rPr>
                <w:color w:val="000000" w:themeColor="text1"/>
              </w:rPr>
            </w:sdtEndPr>
            <w:sdtContent>
              <w:tr w:rsidR="00B637B2" w:rsidTr="00B637B2">
                <w:tc>
                  <w:tcPr>
                    <w:tcW w:w="1203" w:type="pct"/>
                    <w:tcBorders>
                      <w:top w:val="single" w:sz="4" w:space="0" w:color="auto"/>
                      <w:left w:val="single" w:sz="4" w:space="0" w:color="auto"/>
                      <w:bottom w:val="single" w:sz="4" w:space="0" w:color="auto"/>
                      <w:right w:val="single" w:sz="4" w:space="0" w:color="auto"/>
                    </w:tcBorders>
                  </w:tcPr>
                  <w:p w:rsidR="00B637B2" w:rsidRDefault="008F04CF" w:rsidP="00B637B2">
                    <w:pPr>
                      <w:rPr>
                        <w:szCs w:val="21"/>
                      </w:rPr>
                    </w:pPr>
                    <w:r>
                      <w:rPr>
                        <w:rFonts w:asciiTheme="minorHAnsi" w:eastAsiaTheme="minorEastAsia" w:hAnsiTheme="minorHAnsi" w:cstheme="minorBidi" w:hint="eastAsia"/>
                        <w:kern w:val="2"/>
                        <w:szCs w:val="21"/>
                      </w:rPr>
                      <w:t>七、其他短期薪酬</w:t>
                    </w:r>
                  </w:p>
                </w:tc>
                <w:tc>
                  <w:tcPr>
                    <w:tcW w:w="963" w:type="pct"/>
                    <w:tcBorders>
                      <w:top w:val="single" w:sz="4" w:space="0" w:color="auto"/>
                      <w:left w:val="single" w:sz="4" w:space="0" w:color="auto"/>
                      <w:bottom w:val="single" w:sz="4" w:space="0" w:color="auto"/>
                      <w:right w:val="single" w:sz="4" w:space="0" w:color="auto"/>
                    </w:tcBorders>
                  </w:tcPr>
                  <w:p w:rsidR="00B637B2" w:rsidRDefault="008F04CF" w:rsidP="00B637B2">
                    <w:pPr>
                      <w:jc w:val="right"/>
                      <w:rPr>
                        <w:szCs w:val="21"/>
                      </w:rPr>
                    </w:pPr>
                    <w:r>
                      <w:t>3,387,869</w:t>
                    </w:r>
                  </w:p>
                </w:tc>
                <w:tc>
                  <w:tcPr>
                    <w:tcW w:w="965" w:type="pct"/>
                    <w:tcBorders>
                      <w:top w:val="single" w:sz="4" w:space="0" w:color="auto"/>
                      <w:left w:val="single" w:sz="4" w:space="0" w:color="auto"/>
                      <w:bottom w:val="single" w:sz="4" w:space="0" w:color="auto"/>
                      <w:right w:val="single" w:sz="4" w:space="0" w:color="auto"/>
                    </w:tcBorders>
                  </w:tcPr>
                  <w:p w:rsidR="00B637B2" w:rsidRDefault="008F04CF" w:rsidP="00B637B2">
                    <w:pPr>
                      <w:jc w:val="right"/>
                      <w:rPr>
                        <w:szCs w:val="21"/>
                      </w:rPr>
                    </w:pPr>
                    <w:r>
                      <w:t>368,303</w:t>
                    </w:r>
                  </w:p>
                </w:tc>
                <w:tc>
                  <w:tcPr>
                    <w:tcW w:w="963" w:type="pct"/>
                    <w:tcBorders>
                      <w:top w:val="single" w:sz="4" w:space="0" w:color="auto"/>
                      <w:left w:val="single" w:sz="4" w:space="0" w:color="auto"/>
                      <w:bottom w:val="single" w:sz="4" w:space="0" w:color="auto"/>
                      <w:right w:val="single" w:sz="4" w:space="0" w:color="auto"/>
                    </w:tcBorders>
                  </w:tcPr>
                  <w:p w:rsidR="00B637B2" w:rsidRDefault="008F04CF" w:rsidP="00B637B2">
                    <w:pPr>
                      <w:jc w:val="right"/>
                      <w:rPr>
                        <w:szCs w:val="21"/>
                      </w:rPr>
                    </w:pPr>
                    <w:r>
                      <w:t>1,006,113</w:t>
                    </w:r>
                  </w:p>
                </w:tc>
                <w:tc>
                  <w:tcPr>
                    <w:tcW w:w="906" w:type="pct"/>
                    <w:tcBorders>
                      <w:top w:val="single" w:sz="4" w:space="0" w:color="auto"/>
                      <w:left w:val="single" w:sz="4" w:space="0" w:color="auto"/>
                      <w:bottom w:val="single" w:sz="4" w:space="0" w:color="auto"/>
                      <w:right w:val="single" w:sz="4" w:space="0" w:color="auto"/>
                    </w:tcBorders>
                  </w:tcPr>
                  <w:p w:rsidR="00B637B2" w:rsidRDefault="008F04CF" w:rsidP="00B637B2">
                    <w:pPr>
                      <w:jc w:val="right"/>
                      <w:rPr>
                        <w:szCs w:val="21"/>
                      </w:rPr>
                    </w:pPr>
                    <w:r>
                      <w:t>2,750,059</w:t>
                    </w:r>
                  </w:p>
                </w:tc>
              </w:tr>
            </w:sdtContent>
          </w:sdt>
          <w:tr w:rsidR="00B637B2" w:rsidTr="00B637B2">
            <w:sdt>
              <w:sdtPr>
                <w:tag w:val="_PLD_9abbed23473c4b4bb51ec9b7d667e31c"/>
                <w:id w:val="-1222892466"/>
                <w:lock w:val="sdtLocked"/>
              </w:sdtPr>
              <w:sdtContent>
                <w:tc>
                  <w:tcPr>
                    <w:tcW w:w="1203" w:type="pct"/>
                    <w:tcBorders>
                      <w:top w:val="single" w:sz="4" w:space="0" w:color="auto"/>
                      <w:left w:val="single" w:sz="4" w:space="0" w:color="auto"/>
                      <w:bottom w:val="single" w:sz="4" w:space="0" w:color="auto"/>
                      <w:right w:val="single" w:sz="4" w:space="0" w:color="auto"/>
                    </w:tcBorders>
                    <w:vAlign w:val="center"/>
                  </w:tcPr>
                  <w:p w:rsidR="00B637B2" w:rsidRDefault="008F04CF" w:rsidP="00B637B2">
                    <w:pPr>
                      <w:autoSpaceDE w:val="0"/>
                      <w:autoSpaceDN w:val="0"/>
                      <w:adjustRightInd w:val="0"/>
                      <w:jc w:val="center"/>
                      <w:rPr>
                        <w:szCs w:val="21"/>
                      </w:rPr>
                    </w:pPr>
                    <w:r>
                      <w:rPr>
                        <w:rFonts w:hint="eastAsia"/>
                        <w:szCs w:val="21"/>
                      </w:rPr>
                      <w:t>合计</w:t>
                    </w:r>
                  </w:p>
                </w:tc>
              </w:sdtContent>
            </w:sdt>
            <w:tc>
              <w:tcPr>
                <w:tcW w:w="963" w:type="pct"/>
                <w:tcBorders>
                  <w:top w:val="single" w:sz="4" w:space="0" w:color="auto"/>
                  <w:left w:val="single" w:sz="4" w:space="0" w:color="auto"/>
                  <w:bottom w:val="single" w:sz="4" w:space="0" w:color="auto"/>
                  <w:right w:val="single" w:sz="4" w:space="0" w:color="auto"/>
                </w:tcBorders>
                <w:vAlign w:val="center"/>
              </w:tcPr>
              <w:p w:rsidR="00B637B2" w:rsidRDefault="008F04CF" w:rsidP="00B637B2">
                <w:pPr>
                  <w:jc w:val="right"/>
                  <w:rPr>
                    <w:szCs w:val="21"/>
                  </w:rPr>
                </w:pPr>
                <w:r w:rsidRPr="00EE0073">
                  <w:rPr>
                    <w:szCs w:val="21"/>
                  </w:rPr>
                  <w:t>1,137,730,866</w:t>
                </w:r>
              </w:p>
            </w:tc>
            <w:tc>
              <w:tcPr>
                <w:tcW w:w="965" w:type="pct"/>
                <w:tcBorders>
                  <w:top w:val="single" w:sz="4" w:space="0" w:color="auto"/>
                  <w:left w:val="single" w:sz="4" w:space="0" w:color="auto"/>
                  <w:bottom w:val="single" w:sz="4" w:space="0" w:color="auto"/>
                  <w:right w:val="single" w:sz="4" w:space="0" w:color="auto"/>
                </w:tcBorders>
                <w:vAlign w:val="center"/>
              </w:tcPr>
              <w:p w:rsidR="00B637B2" w:rsidRDefault="008F04CF" w:rsidP="00B637B2">
                <w:pPr>
                  <w:jc w:val="right"/>
                  <w:rPr>
                    <w:szCs w:val="21"/>
                  </w:rPr>
                </w:pPr>
                <w:r w:rsidRPr="00EE0073">
                  <w:rPr>
                    <w:szCs w:val="21"/>
                  </w:rPr>
                  <w:t>1,708,417,238</w:t>
                </w:r>
              </w:p>
            </w:tc>
            <w:tc>
              <w:tcPr>
                <w:tcW w:w="963" w:type="pct"/>
                <w:tcBorders>
                  <w:top w:val="single" w:sz="4" w:space="0" w:color="auto"/>
                  <w:left w:val="single" w:sz="4" w:space="0" w:color="auto"/>
                  <w:bottom w:val="single" w:sz="4" w:space="0" w:color="auto"/>
                  <w:right w:val="single" w:sz="4" w:space="0" w:color="auto"/>
                </w:tcBorders>
                <w:vAlign w:val="center"/>
              </w:tcPr>
              <w:p w:rsidR="00B637B2" w:rsidRDefault="008F04CF" w:rsidP="00B637B2">
                <w:pPr>
                  <w:jc w:val="right"/>
                  <w:rPr>
                    <w:szCs w:val="21"/>
                  </w:rPr>
                </w:pPr>
                <w:r w:rsidRPr="00EE0073">
                  <w:rPr>
                    <w:szCs w:val="21"/>
                  </w:rPr>
                  <w:t>2,369,951,955</w:t>
                </w:r>
              </w:p>
            </w:tc>
            <w:tc>
              <w:tcPr>
                <w:tcW w:w="906" w:type="pct"/>
                <w:tcBorders>
                  <w:top w:val="single" w:sz="4" w:space="0" w:color="auto"/>
                  <w:left w:val="single" w:sz="4" w:space="0" w:color="auto"/>
                  <w:bottom w:val="single" w:sz="4" w:space="0" w:color="auto"/>
                  <w:right w:val="single" w:sz="4" w:space="0" w:color="auto"/>
                </w:tcBorders>
                <w:vAlign w:val="center"/>
              </w:tcPr>
              <w:p w:rsidR="00B637B2" w:rsidRPr="006715B4" w:rsidRDefault="008F04CF" w:rsidP="00B637B2">
                <w:pPr>
                  <w:jc w:val="right"/>
                </w:pPr>
                <w:r w:rsidRPr="00965BF7">
                  <w:t>476,196,149</w:t>
                </w:r>
              </w:p>
            </w:tc>
          </w:tr>
        </w:tbl>
        <w:p w:rsidR="00B637B2" w:rsidRDefault="00B637B2"/>
        <w:p w:rsidR="00ED2DC7" w:rsidRDefault="000D0A99">
          <w:pPr>
            <w:rPr>
              <w:color w:val="000000" w:themeColor="text1"/>
              <w:szCs w:val="21"/>
            </w:rPr>
          </w:pPr>
        </w:p>
      </w:sdtContent>
    </w:sdt>
    <w:sdt>
      <w:sdtPr>
        <w:rPr>
          <w:rFonts w:ascii="宋体" w:hAnsi="宋体" w:cs="宋体" w:hint="eastAsia"/>
          <w:b w:val="0"/>
          <w:bCs w:val="0"/>
          <w:kern w:val="0"/>
          <w:szCs w:val="21"/>
        </w:rPr>
        <w:alias w:val="模块:设定提存计划列示"/>
        <w:tag w:val="_GBC_b98ebc9fce454755bd30d763bee0283a"/>
        <w:id w:val="-151531437"/>
        <w:lock w:val="sdtLocked"/>
        <w:placeholder>
          <w:docPart w:val="GBC22222222222222222222222222222"/>
        </w:placeholder>
      </w:sdtPr>
      <w:sdtContent>
        <w:p w:rsidR="00ED2DC7" w:rsidRDefault="00ED2DC7" w:rsidP="00036BDC">
          <w:pPr>
            <w:pStyle w:val="affffffffffffffffff2"/>
            <w:numPr>
              <w:ilvl w:val="0"/>
              <w:numId w:val="71"/>
            </w:numPr>
            <w:rPr>
              <w:szCs w:val="21"/>
            </w:rPr>
          </w:pPr>
          <w:r>
            <w:rPr>
              <w:rFonts w:hint="eastAsia"/>
              <w:szCs w:val="21"/>
            </w:rPr>
            <w:t>设定提存计划列示</w:t>
          </w:r>
        </w:p>
        <w:sdt>
          <w:sdtPr>
            <w:alias w:val="是否适用：设定提存计划列示[双击切换]"/>
            <w:tag w:val="_GBC_107b7eec6d75473e8809e93d01e00021"/>
            <w:id w:val="565462373"/>
            <w:lock w:val="sdtContentLocked"/>
            <w:placeholder>
              <w:docPart w:val="GBC22222222222222222222222222222"/>
            </w:placeholder>
          </w:sdtPr>
          <w:sdtContent>
            <w:p w:rsidR="00ED2DC7" w:rsidRDefault="00ED2DC7">
              <w:r>
                <w:fldChar w:fldCharType="begin"/>
              </w:r>
              <w:r w:rsidR="00BB09BF">
                <w:instrText xml:space="preserve"> MACROBUTTON  SnrToggleCheckbox √适用 </w:instrText>
              </w:r>
              <w:r>
                <w:fldChar w:fldCharType="end"/>
              </w:r>
              <w:r>
                <w:fldChar w:fldCharType="begin"/>
              </w:r>
              <w:r w:rsidR="00BB09BF">
                <w:instrText xml:space="preserve"> MACROBUTTON  SnrToggleCheckbox □不适用 </w:instrText>
              </w:r>
              <w:r>
                <w:fldChar w:fldCharType="end"/>
              </w:r>
            </w:p>
          </w:sdtContent>
        </w:sdt>
        <w:p w:rsidR="00ED2DC7" w:rsidRDefault="00ED2DC7">
          <w:pPr>
            <w:jc w:val="right"/>
          </w:pPr>
          <w:r>
            <w:rPr>
              <w:rFonts w:hint="eastAsia"/>
            </w:rPr>
            <w:t>单位：</w:t>
          </w:r>
          <w:sdt>
            <w:sdtPr>
              <w:rPr>
                <w:rFonts w:hint="eastAsia"/>
              </w:rPr>
              <w:alias w:val="单位：财务附注：设定提存计划列示"/>
              <w:tag w:val="_GBC_744d8f829e6040c78616ef1951ef7e59"/>
              <w:id w:val="-173146213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hint="eastAsia"/>
                </w:rPr>
                <w:t>元</w:t>
              </w:r>
            </w:sdtContent>
          </w:sdt>
          <w:r>
            <w:rPr>
              <w:rFonts w:hint="eastAsia"/>
            </w:rPr>
            <w:t xml:space="preserve">  币种：</w:t>
          </w:r>
          <w:sdt>
            <w:sdtPr>
              <w:rPr>
                <w:rFonts w:hint="eastAsia"/>
              </w:rPr>
              <w:alias w:val="币种：财务附注：设定提存计划列示"/>
              <w:tag w:val="_GBC_433e4a4ae9d648a2973673cbec959f23"/>
              <w:id w:val="-98106672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rPr>
                <w:t>人民币</w:t>
              </w:r>
            </w:sdtContent>
          </w:sdt>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9"/>
            <w:gridCol w:w="1582"/>
            <w:gridCol w:w="1568"/>
            <w:gridCol w:w="1596"/>
            <w:gridCol w:w="1552"/>
          </w:tblGrid>
          <w:tr w:rsidR="00ED2DC7" w:rsidTr="00965BF7">
            <w:sdt>
              <w:sdtPr>
                <w:tag w:val="_PLD_f8a9011ca6bd4cc895a50279da6547e9"/>
                <w:id w:val="-1626768724"/>
                <w:lock w:val="sdtLocked"/>
              </w:sdtPr>
              <w:sdtContent>
                <w:tc>
                  <w:tcPr>
                    <w:tcW w:w="1428" w:type="pct"/>
                    <w:tcBorders>
                      <w:top w:val="single" w:sz="6" w:space="0" w:color="auto"/>
                      <w:left w:val="single" w:sz="6" w:space="0" w:color="auto"/>
                      <w:bottom w:val="single" w:sz="6" w:space="0" w:color="auto"/>
                      <w:right w:val="single" w:sz="6" w:space="0" w:color="auto"/>
                    </w:tcBorders>
                    <w:shd w:val="clear" w:color="auto" w:fill="auto"/>
                    <w:vAlign w:val="center"/>
                  </w:tcPr>
                  <w:p w:rsidR="00ED2DC7" w:rsidRDefault="00ED2DC7">
                    <w:pPr>
                      <w:jc w:val="center"/>
                    </w:pPr>
                    <w:r>
                      <w:rPr>
                        <w:rFonts w:hint="eastAsia"/>
                      </w:rPr>
                      <w:t>项目</w:t>
                    </w:r>
                  </w:p>
                </w:tc>
              </w:sdtContent>
            </w:sdt>
            <w:sdt>
              <w:sdtPr>
                <w:tag w:val="_PLD_db9ecea0e08e4c1bb5fe2474183a8480"/>
                <w:id w:val="1669513938"/>
                <w:lock w:val="sdtLocked"/>
              </w:sdtPr>
              <w:sdtContent>
                <w:tc>
                  <w:tcPr>
                    <w:tcW w:w="897" w:type="pct"/>
                    <w:tcBorders>
                      <w:top w:val="single" w:sz="6" w:space="0" w:color="auto"/>
                      <w:left w:val="single" w:sz="6" w:space="0" w:color="auto"/>
                      <w:bottom w:val="single" w:sz="6" w:space="0" w:color="auto"/>
                      <w:right w:val="single" w:sz="6" w:space="0" w:color="auto"/>
                    </w:tcBorders>
                    <w:shd w:val="clear" w:color="auto" w:fill="auto"/>
                    <w:vAlign w:val="center"/>
                  </w:tcPr>
                  <w:p w:rsidR="00ED2DC7" w:rsidRDefault="00ED2DC7">
                    <w:pPr>
                      <w:jc w:val="center"/>
                    </w:pPr>
                    <w:r>
                      <w:rPr>
                        <w:rFonts w:hint="eastAsia"/>
                      </w:rPr>
                      <w:t>期初余额</w:t>
                    </w:r>
                  </w:p>
                </w:tc>
              </w:sdtContent>
            </w:sdt>
            <w:sdt>
              <w:sdtPr>
                <w:tag w:val="_PLD_11b6b53867b44c92b19ef791cad0c8c4"/>
                <w:id w:val="1548261871"/>
                <w:lock w:val="sdtLocked"/>
              </w:sdtPr>
              <w:sdtContent>
                <w:tc>
                  <w:tcPr>
                    <w:tcW w:w="889" w:type="pct"/>
                    <w:tcBorders>
                      <w:top w:val="single" w:sz="6" w:space="0" w:color="auto"/>
                      <w:left w:val="single" w:sz="6" w:space="0" w:color="auto"/>
                      <w:bottom w:val="single" w:sz="6" w:space="0" w:color="auto"/>
                      <w:right w:val="single" w:sz="6" w:space="0" w:color="auto"/>
                    </w:tcBorders>
                    <w:shd w:val="clear" w:color="auto" w:fill="auto"/>
                    <w:vAlign w:val="center"/>
                  </w:tcPr>
                  <w:p w:rsidR="00ED2DC7" w:rsidRDefault="00ED2DC7">
                    <w:pPr>
                      <w:jc w:val="center"/>
                    </w:pPr>
                    <w:r>
                      <w:rPr>
                        <w:rFonts w:hint="eastAsia"/>
                      </w:rPr>
                      <w:t>本期增加</w:t>
                    </w:r>
                  </w:p>
                </w:tc>
              </w:sdtContent>
            </w:sdt>
            <w:sdt>
              <w:sdtPr>
                <w:tag w:val="_PLD_c2cbd009dd4248ceb9040da5fc326084"/>
                <w:id w:val="-843086594"/>
                <w:lock w:val="sdtLocked"/>
              </w:sdtPr>
              <w:sdtContent>
                <w:tc>
                  <w:tcPr>
                    <w:tcW w:w="905" w:type="pct"/>
                    <w:tcBorders>
                      <w:top w:val="single" w:sz="6" w:space="0" w:color="auto"/>
                      <w:left w:val="single" w:sz="6" w:space="0" w:color="auto"/>
                      <w:bottom w:val="single" w:sz="6" w:space="0" w:color="auto"/>
                      <w:right w:val="single" w:sz="6" w:space="0" w:color="auto"/>
                    </w:tcBorders>
                    <w:shd w:val="clear" w:color="auto" w:fill="auto"/>
                    <w:vAlign w:val="center"/>
                  </w:tcPr>
                  <w:p w:rsidR="00ED2DC7" w:rsidRDefault="00ED2DC7">
                    <w:pPr>
                      <w:jc w:val="center"/>
                    </w:pPr>
                    <w:r>
                      <w:rPr>
                        <w:rFonts w:hint="eastAsia"/>
                      </w:rPr>
                      <w:t>本期减少</w:t>
                    </w:r>
                  </w:p>
                </w:tc>
              </w:sdtContent>
            </w:sdt>
            <w:sdt>
              <w:sdtPr>
                <w:tag w:val="_PLD_0ded00fbf217420ebfe8ace86c12086d"/>
                <w:id w:val="1738215493"/>
                <w:lock w:val="sdtLocked"/>
              </w:sdtPr>
              <w:sdtContent>
                <w:tc>
                  <w:tcPr>
                    <w:tcW w:w="880" w:type="pct"/>
                    <w:tcBorders>
                      <w:top w:val="single" w:sz="6" w:space="0" w:color="auto"/>
                      <w:left w:val="single" w:sz="6" w:space="0" w:color="auto"/>
                      <w:bottom w:val="single" w:sz="6" w:space="0" w:color="auto"/>
                      <w:right w:val="single" w:sz="6" w:space="0" w:color="auto"/>
                    </w:tcBorders>
                    <w:shd w:val="clear" w:color="auto" w:fill="auto"/>
                    <w:vAlign w:val="center"/>
                  </w:tcPr>
                  <w:p w:rsidR="00ED2DC7" w:rsidRDefault="00ED2DC7">
                    <w:pPr>
                      <w:jc w:val="center"/>
                    </w:pPr>
                    <w:r>
                      <w:rPr>
                        <w:rFonts w:hint="eastAsia"/>
                      </w:rPr>
                      <w:t>期末余额</w:t>
                    </w:r>
                  </w:p>
                </w:tc>
              </w:sdtContent>
            </w:sdt>
          </w:tr>
          <w:tr w:rsidR="00965BF7" w:rsidTr="00B637B2">
            <w:sdt>
              <w:sdtPr>
                <w:tag w:val="_PLD_b93c5842361145079010296748b2acbc"/>
                <w:id w:val="2076471701"/>
                <w:lock w:val="sdtLocked"/>
              </w:sdtPr>
              <w:sdtContent>
                <w:tc>
                  <w:tcPr>
                    <w:tcW w:w="1428" w:type="pct"/>
                    <w:tcBorders>
                      <w:top w:val="single" w:sz="6" w:space="0" w:color="auto"/>
                      <w:left w:val="single" w:sz="6" w:space="0" w:color="auto"/>
                      <w:bottom w:val="single" w:sz="6" w:space="0" w:color="auto"/>
                      <w:right w:val="single" w:sz="6" w:space="0" w:color="auto"/>
                    </w:tcBorders>
                    <w:shd w:val="clear" w:color="auto" w:fill="auto"/>
                  </w:tcPr>
                  <w:p w:rsidR="00965BF7" w:rsidRDefault="00965BF7" w:rsidP="00965BF7">
                    <w:r>
                      <w:rPr>
                        <w:rFonts w:hint="eastAsia"/>
                      </w:rPr>
                      <w:t>1、基本养老保险</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vAlign w:val="center"/>
              </w:tcPr>
              <w:p w:rsidR="00965BF7" w:rsidRPr="00510361" w:rsidRDefault="00965BF7" w:rsidP="00B637B2">
                <w:pPr>
                  <w:jc w:val="right"/>
                </w:pPr>
                <w:r w:rsidRPr="00510361">
                  <w:t>21,665,610</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rsidR="00965BF7" w:rsidRPr="002628A3" w:rsidRDefault="00965BF7" w:rsidP="00B637B2">
                <w:pPr>
                  <w:jc w:val="right"/>
                </w:pPr>
                <w:r w:rsidRPr="002628A3">
                  <w:t>216,094,405</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rsidR="00965BF7" w:rsidRPr="007508F1" w:rsidRDefault="00965BF7" w:rsidP="00B637B2">
                <w:pPr>
                  <w:jc w:val="right"/>
                </w:pPr>
                <w:r w:rsidRPr="007508F1">
                  <w:t>218,743,244</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965BF7" w:rsidRPr="00011061" w:rsidRDefault="00965BF7" w:rsidP="00B637B2">
                <w:pPr>
                  <w:jc w:val="right"/>
                </w:pPr>
                <w:r w:rsidRPr="00011061">
                  <w:t>19,016,771</w:t>
                </w:r>
              </w:p>
            </w:tc>
          </w:tr>
          <w:tr w:rsidR="00965BF7" w:rsidTr="00B637B2">
            <w:sdt>
              <w:sdtPr>
                <w:tag w:val="_PLD_909a72476f78427892237821bb7d583f"/>
                <w:id w:val="-974368886"/>
                <w:lock w:val="sdtLocked"/>
              </w:sdtPr>
              <w:sdtContent>
                <w:tc>
                  <w:tcPr>
                    <w:tcW w:w="1428" w:type="pct"/>
                    <w:tcBorders>
                      <w:top w:val="single" w:sz="6" w:space="0" w:color="auto"/>
                      <w:left w:val="single" w:sz="6" w:space="0" w:color="auto"/>
                      <w:bottom w:val="single" w:sz="6" w:space="0" w:color="auto"/>
                      <w:right w:val="single" w:sz="6" w:space="0" w:color="auto"/>
                    </w:tcBorders>
                    <w:shd w:val="clear" w:color="auto" w:fill="auto"/>
                  </w:tcPr>
                  <w:p w:rsidR="00965BF7" w:rsidRDefault="00965BF7" w:rsidP="00965BF7">
                    <w:r>
                      <w:rPr>
                        <w:rFonts w:hint="eastAsia"/>
                      </w:rPr>
                      <w:t>2、失业保险费</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vAlign w:val="center"/>
              </w:tcPr>
              <w:p w:rsidR="00965BF7" w:rsidRDefault="00965BF7" w:rsidP="00B637B2">
                <w:pPr>
                  <w:jc w:val="right"/>
                </w:pPr>
                <w:r w:rsidRPr="00510361">
                  <w:t>963,281</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rsidR="00965BF7" w:rsidRPr="002628A3" w:rsidRDefault="00965BF7" w:rsidP="00B637B2">
                <w:pPr>
                  <w:jc w:val="right"/>
                </w:pPr>
                <w:r w:rsidRPr="002628A3">
                  <w:t>7,961,931</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rsidR="00965BF7" w:rsidRDefault="00965BF7" w:rsidP="00B637B2">
                <w:pPr>
                  <w:jc w:val="right"/>
                </w:pPr>
                <w:r w:rsidRPr="007508F1">
                  <w:t>7,908,874</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965BF7" w:rsidRDefault="00965BF7" w:rsidP="00B637B2">
                <w:pPr>
                  <w:jc w:val="right"/>
                </w:pPr>
                <w:r w:rsidRPr="00011061">
                  <w:t>1,016,338</w:t>
                </w:r>
              </w:p>
            </w:tc>
          </w:tr>
          <w:tr w:rsidR="00965BF7" w:rsidTr="00B637B2">
            <w:sdt>
              <w:sdtPr>
                <w:tag w:val="_PLD_258ec0cea28b41718457ba73ff6955af"/>
                <w:id w:val="-1286277784"/>
                <w:lock w:val="sdtLocked"/>
              </w:sdtPr>
              <w:sdtContent>
                <w:tc>
                  <w:tcPr>
                    <w:tcW w:w="1428" w:type="pct"/>
                    <w:tcBorders>
                      <w:top w:val="single" w:sz="6" w:space="0" w:color="auto"/>
                      <w:left w:val="single" w:sz="6" w:space="0" w:color="auto"/>
                      <w:bottom w:val="single" w:sz="6" w:space="0" w:color="auto"/>
                      <w:right w:val="single" w:sz="6" w:space="0" w:color="auto"/>
                    </w:tcBorders>
                    <w:shd w:val="clear" w:color="auto" w:fill="auto"/>
                    <w:vAlign w:val="center"/>
                  </w:tcPr>
                  <w:p w:rsidR="00965BF7" w:rsidRDefault="00965BF7" w:rsidP="00965BF7">
                    <w:pPr>
                      <w:jc w:val="center"/>
                    </w:pPr>
                    <w:r>
                      <w:rPr>
                        <w:rFonts w:hint="eastAsia"/>
                      </w:rPr>
                      <w:t>合计</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vAlign w:val="center"/>
              </w:tcPr>
              <w:p w:rsidR="00965BF7" w:rsidRPr="002243E2" w:rsidRDefault="00965BF7" w:rsidP="00B637B2">
                <w:pPr>
                  <w:jc w:val="right"/>
                </w:pPr>
                <w:r w:rsidRPr="002243E2">
                  <w:t>22,628,891</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rsidR="00965BF7" w:rsidRPr="002243E2" w:rsidRDefault="00965BF7" w:rsidP="00B637B2">
                <w:pPr>
                  <w:jc w:val="right"/>
                </w:pPr>
                <w:r w:rsidRPr="002243E2">
                  <w:t>224,056,336</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rsidR="00965BF7" w:rsidRPr="002243E2" w:rsidRDefault="00965BF7" w:rsidP="00B637B2">
                <w:pPr>
                  <w:jc w:val="right"/>
                </w:pPr>
                <w:r w:rsidRPr="00965BF7">
                  <w:t>226,652,118</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965BF7" w:rsidRPr="002243E2" w:rsidRDefault="008F04CF" w:rsidP="00B637B2">
                <w:pPr>
                  <w:jc w:val="right"/>
                </w:pPr>
                <w:r>
                  <w:t>20,033,109</w:t>
                </w:r>
              </w:p>
            </w:tc>
          </w:tr>
        </w:tbl>
        <w:p w:rsidR="00ED2DC7" w:rsidRDefault="000D0A99">
          <w:pPr>
            <w:autoSpaceDE w:val="0"/>
            <w:autoSpaceDN w:val="0"/>
            <w:adjustRightInd w:val="0"/>
            <w:rPr>
              <w:szCs w:val="21"/>
            </w:rPr>
          </w:pPr>
        </w:p>
      </w:sdtContent>
    </w:sdt>
    <w:sdt>
      <w:sdtPr>
        <w:rPr>
          <w:rFonts w:hint="eastAsia"/>
          <w:szCs w:val="21"/>
        </w:rPr>
        <w:alias w:val="模块:应付职工薪酬说明"/>
        <w:tag w:val="_GBC_9173eff793e04226ba65f69088a27313"/>
        <w:id w:val="-751659049"/>
        <w:lock w:val="sdtLocked"/>
        <w:placeholder>
          <w:docPart w:val="GBC22222222222222222222222222222"/>
        </w:placeholder>
      </w:sdtPr>
      <w:sdtContent>
        <w:p w:rsidR="00ED2DC7" w:rsidRDefault="00ED2DC7">
          <w:pPr>
            <w:autoSpaceDE w:val="0"/>
            <w:autoSpaceDN w:val="0"/>
            <w:adjustRightInd w:val="0"/>
            <w:rPr>
              <w:szCs w:val="21"/>
            </w:rPr>
          </w:pPr>
          <w:r>
            <w:rPr>
              <w:rFonts w:hint="eastAsia"/>
              <w:szCs w:val="21"/>
            </w:rPr>
            <w:t>其他说明：</w:t>
          </w:r>
        </w:p>
        <w:sdt>
          <w:sdtPr>
            <w:rPr>
              <w:szCs w:val="21"/>
            </w:rPr>
            <w:alias w:val="是否适用：应付职工薪酬的说明[双击切换]"/>
            <w:tag w:val="_GBC_f41ecc08d4994ba99707111806caa376"/>
            <w:id w:val="2060666195"/>
            <w:lock w:val="sdtContentLocked"/>
            <w:placeholder>
              <w:docPart w:val="GBC22222222222222222222222222222"/>
            </w:placeholder>
          </w:sdtPr>
          <w:sdtContent>
            <w:p w:rsidR="00ED2DC7" w:rsidRDefault="00ED2DC7" w:rsidP="00BB09BF">
              <w:pPr>
                <w:autoSpaceDE w:val="0"/>
                <w:autoSpaceDN w:val="0"/>
                <w:adjustRightInd w:val="0"/>
                <w:rPr>
                  <w:szCs w:val="21"/>
                </w:rPr>
              </w:pPr>
              <w:r>
                <w:rPr>
                  <w:szCs w:val="21"/>
                </w:rPr>
                <w:fldChar w:fldCharType="begin"/>
              </w:r>
              <w:r w:rsidR="00BB09BF">
                <w:rPr>
                  <w:szCs w:val="21"/>
                </w:rPr>
                <w:instrText xml:space="preserve"> MACROBUTTON  SnrToggleCheckbox □适用 </w:instrText>
              </w:r>
              <w:r>
                <w:rPr>
                  <w:szCs w:val="21"/>
                </w:rPr>
                <w:fldChar w:fldCharType="end"/>
              </w:r>
              <w:r>
                <w:rPr>
                  <w:szCs w:val="21"/>
                </w:rPr>
                <w:fldChar w:fldCharType="begin"/>
              </w:r>
              <w:r w:rsidR="00BB09BF">
                <w:rPr>
                  <w:szCs w:val="21"/>
                </w:rPr>
                <w:instrText xml:space="preserve"> MACROBUTTON  SnrToggleCheckbox √不适用 </w:instrText>
              </w:r>
              <w:r>
                <w:rPr>
                  <w:szCs w:val="21"/>
                </w:rPr>
                <w:fldChar w:fldCharType="end"/>
              </w:r>
            </w:p>
          </w:sdtContent>
        </w:sdt>
      </w:sdtContent>
    </w:sdt>
    <w:p w:rsidR="00ED2DC7" w:rsidRDefault="00ED2DC7">
      <w:pPr>
        <w:autoSpaceDE w:val="0"/>
        <w:autoSpaceDN w:val="0"/>
        <w:adjustRightInd w:val="0"/>
        <w:rPr>
          <w:szCs w:val="21"/>
        </w:rPr>
      </w:pPr>
    </w:p>
    <w:sdt>
      <w:sdtPr>
        <w:rPr>
          <w:rFonts w:ascii="宋体" w:hAnsi="宋体" w:cs="宋体" w:hint="eastAsia"/>
          <w:b w:val="0"/>
          <w:bCs w:val="0"/>
          <w:kern w:val="0"/>
          <w:szCs w:val="21"/>
        </w:rPr>
        <w:alias w:val="模块:应交税费"/>
        <w:tag w:val="_GBC_50fc9ef51868432e98c401f69097dfc6"/>
        <w:id w:val="747150843"/>
        <w:lock w:val="sdtLocked"/>
        <w:placeholder>
          <w:docPart w:val="GBC22222222222222222222222222222"/>
        </w:placeholder>
      </w:sdtPr>
      <w:sdtEndPr>
        <w:rPr>
          <w:rFonts w:cstheme="minorBidi" w:hint="default"/>
          <w:color w:val="000000" w:themeColor="text1"/>
          <w:kern w:val="2"/>
        </w:rPr>
      </w:sdtEndPr>
      <w:sdtContent>
        <w:p w:rsidR="00ED2DC7" w:rsidRDefault="00ED2DC7" w:rsidP="00036BDC">
          <w:pPr>
            <w:pStyle w:val="affffffffffffffffff1"/>
            <w:numPr>
              <w:ilvl w:val="0"/>
              <w:numId w:val="49"/>
            </w:numPr>
            <w:tabs>
              <w:tab w:val="left" w:pos="504"/>
            </w:tabs>
            <w:rPr>
              <w:rFonts w:ascii="宋体" w:hAnsi="宋体"/>
              <w:szCs w:val="21"/>
            </w:rPr>
          </w:pPr>
          <w:r>
            <w:rPr>
              <w:rFonts w:ascii="宋体" w:hAnsi="宋体" w:hint="eastAsia"/>
              <w:szCs w:val="21"/>
            </w:rPr>
            <w:t>应交税费</w:t>
          </w:r>
        </w:p>
        <w:sdt>
          <w:sdtPr>
            <w:alias w:val="是否适用：应交税费[双击切换]"/>
            <w:tag w:val="_GBC_e7e2664720b9408384c5d3cd6d97c132"/>
            <w:id w:val="1843358879"/>
            <w:lock w:val="sdtContentLocked"/>
            <w:placeholder>
              <w:docPart w:val="GBC22222222222222222222222222222"/>
            </w:placeholder>
          </w:sdtPr>
          <w:sdtContent>
            <w:p w:rsidR="00ED2DC7" w:rsidRDefault="00ED2DC7">
              <w:r>
                <w:fldChar w:fldCharType="begin"/>
              </w:r>
              <w:r w:rsidR="00BB09BF">
                <w:instrText xml:space="preserve"> MACROBUTTON  SnrToggleCheckbox √适用 </w:instrText>
              </w:r>
              <w:r>
                <w:fldChar w:fldCharType="end"/>
              </w:r>
              <w:r>
                <w:fldChar w:fldCharType="begin"/>
              </w:r>
              <w:r w:rsidR="00BB09BF">
                <w:instrText xml:space="preserve"> MACROBUTTON  SnrToggleCheckbox □不适用 </w:instrText>
              </w:r>
              <w:r>
                <w:fldChar w:fldCharType="end"/>
              </w:r>
            </w:p>
          </w:sdtContent>
        </w:sdt>
        <w:p w:rsidR="00ED2DC7" w:rsidRDefault="00ED2DC7">
          <w:pPr>
            <w:jc w:val="right"/>
            <w:rPr>
              <w:szCs w:val="21"/>
            </w:rPr>
          </w:pPr>
          <w:r>
            <w:rPr>
              <w:rFonts w:hint="eastAsia"/>
              <w:szCs w:val="21"/>
            </w:rPr>
            <w:t>单位：</w:t>
          </w:r>
          <w:sdt>
            <w:sdtPr>
              <w:rPr>
                <w:rFonts w:hint="eastAsia"/>
                <w:szCs w:val="21"/>
              </w:rPr>
              <w:alias w:val="单位：财务附注：应交税费"/>
              <w:tag w:val="_GBC_a6162c9f021640929018406be611b834"/>
              <w:id w:val="166204080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hint="eastAsia"/>
                  <w:szCs w:val="21"/>
                </w:rPr>
                <w:t>元</w:t>
              </w:r>
            </w:sdtContent>
          </w:sdt>
          <w:r>
            <w:rPr>
              <w:rFonts w:hint="eastAsia"/>
              <w:szCs w:val="21"/>
            </w:rPr>
            <w:t xml:space="preserve">  币种：</w:t>
          </w:r>
          <w:sdt>
            <w:sdtPr>
              <w:rPr>
                <w:rFonts w:hint="eastAsia"/>
                <w:szCs w:val="21"/>
              </w:rPr>
              <w:alias w:val="币种：财务附注：应交税费"/>
              <w:tag w:val="_GBC_d787fa1c70604797889c69c4c364e711"/>
              <w:id w:val="-18679820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szCs w:val="21"/>
                </w:rPr>
                <w:t>人民币</w:t>
              </w:r>
            </w:sdtContent>
          </w:sdt>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2956"/>
            <w:gridCol w:w="2931"/>
            <w:gridCol w:w="2936"/>
          </w:tblGrid>
          <w:tr w:rsidR="0075586A" w:rsidTr="00CE2FA5">
            <w:trPr>
              <w:cantSplit/>
            </w:trPr>
            <w:sdt>
              <w:sdtPr>
                <w:tag w:val="_PLD_ab0019be2d10489d885d15626d85168f"/>
                <w:id w:val="-893035701"/>
                <w:lock w:val="sdtLocked"/>
              </w:sdtPr>
              <w:sdtContent>
                <w:tc>
                  <w:tcPr>
                    <w:tcW w:w="1675" w:type="pct"/>
                    <w:vAlign w:val="center"/>
                  </w:tcPr>
                  <w:p w:rsidR="0075586A" w:rsidRDefault="0075586A" w:rsidP="00CE2FA5">
                    <w:pPr>
                      <w:ind w:right="105"/>
                      <w:jc w:val="center"/>
                      <w:rPr>
                        <w:szCs w:val="21"/>
                      </w:rPr>
                    </w:pPr>
                    <w:r>
                      <w:rPr>
                        <w:rFonts w:hint="eastAsia"/>
                        <w:szCs w:val="21"/>
                      </w:rPr>
                      <w:t>项目</w:t>
                    </w:r>
                  </w:p>
                </w:tc>
              </w:sdtContent>
            </w:sdt>
            <w:sdt>
              <w:sdtPr>
                <w:tag w:val="_PLD_4d086e8f4e004ee3aa116a5d10a7ecbd"/>
                <w:id w:val="-1747559751"/>
                <w:lock w:val="sdtLocked"/>
              </w:sdtPr>
              <w:sdtContent>
                <w:tc>
                  <w:tcPr>
                    <w:tcW w:w="1661" w:type="pct"/>
                    <w:vAlign w:val="center"/>
                  </w:tcPr>
                  <w:p w:rsidR="0075586A" w:rsidRDefault="0075586A" w:rsidP="00CE2FA5">
                    <w:pPr>
                      <w:jc w:val="center"/>
                      <w:rPr>
                        <w:szCs w:val="21"/>
                      </w:rPr>
                    </w:pPr>
                    <w:r>
                      <w:rPr>
                        <w:rFonts w:hint="eastAsia"/>
                        <w:szCs w:val="21"/>
                      </w:rPr>
                      <w:t>期末余额</w:t>
                    </w:r>
                  </w:p>
                </w:tc>
              </w:sdtContent>
            </w:sdt>
            <w:sdt>
              <w:sdtPr>
                <w:tag w:val="_PLD_8b866f731e474c6ebfb67cd903ab95c8"/>
                <w:id w:val="-1098704614"/>
                <w:lock w:val="sdtLocked"/>
              </w:sdtPr>
              <w:sdtContent>
                <w:tc>
                  <w:tcPr>
                    <w:tcW w:w="1664" w:type="pct"/>
                    <w:vAlign w:val="center"/>
                  </w:tcPr>
                  <w:p w:rsidR="0075586A" w:rsidRDefault="0075586A" w:rsidP="00CE2FA5">
                    <w:pPr>
                      <w:jc w:val="center"/>
                      <w:rPr>
                        <w:szCs w:val="21"/>
                      </w:rPr>
                    </w:pPr>
                    <w:r>
                      <w:rPr>
                        <w:rFonts w:hint="eastAsia"/>
                        <w:szCs w:val="21"/>
                      </w:rPr>
                      <w:t>期初余额</w:t>
                    </w:r>
                  </w:p>
                </w:tc>
              </w:sdtContent>
            </w:sdt>
          </w:tr>
          <w:tr w:rsidR="0075586A" w:rsidTr="00B637B2">
            <w:trPr>
              <w:cantSplit/>
            </w:trPr>
            <w:sdt>
              <w:sdtPr>
                <w:tag w:val="_PLD_25992e1feab349b78cb44e1cc32b16bd"/>
                <w:id w:val="982974566"/>
                <w:lock w:val="sdtLocked"/>
              </w:sdtPr>
              <w:sdtContent>
                <w:tc>
                  <w:tcPr>
                    <w:tcW w:w="1675" w:type="pct"/>
                    <w:shd w:val="clear" w:color="auto" w:fill="auto"/>
                  </w:tcPr>
                  <w:p w:rsidR="0075586A" w:rsidRDefault="0075586A" w:rsidP="00CE2FA5">
                    <w:pPr>
                      <w:ind w:right="105"/>
                      <w:rPr>
                        <w:szCs w:val="21"/>
                      </w:rPr>
                    </w:pPr>
                    <w:r>
                      <w:rPr>
                        <w:rFonts w:hint="eastAsia"/>
                        <w:szCs w:val="21"/>
                      </w:rPr>
                      <w:t>增值税</w:t>
                    </w:r>
                  </w:p>
                </w:tc>
              </w:sdtContent>
            </w:sdt>
            <w:tc>
              <w:tcPr>
                <w:tcW w:w="1661" w:type="pct"/>
                <w:shd w:val="clear" w:color="auto" w:fill="auto"/>
                <w:vAlign w:val="center"/>
              </w:tcPr>
              <w:p w:rsidR="0075586A" w:rsidRPr="009F5EA1" w:rsidRDefault="008F04CF" w:rsidP="00B637B2">
                <w:pPr>
                  <w:jc w:val="right"/>
                </w:pPr>
                <w:r>
                  <w:t>80,167,941</w:t>
                </w:r>
              </w:p>
            </w:tc>
            <w:tc>
              <w:tcPr>
                <w:tcW w:w="1664" w:type="pct"/>
                <w:shd w:val="clear" w:color="auto" w:fill="auto"/>
                <w:vAlign w:val="center"/>
              </w:tcPr>
              <w:p w:rsidR="0075586A" w:rsidRDefault="0075586A" w:rsidP="00B637B2">
                <w:pPr>
                  <w:jc w:val="right"/>
                  <w:rPr>
                    <w:szCs w:val="21"/>
                  </w:rPr>
                </w:pPr>
                <w:r>
                  <w:t>166,476,643</w:t>
                </w:r>
              </w:p>
            </w:tc>
          </w:tr>
          <w:tr w:rsidR="0075586A" w:rsidTr="00B637B2">
            <w:trPr>
              <w:cantSplit/>
            </w:trPr>
            <w:sdt>
              <w:sdtPr>
                <w:tag w:val="_PLD_799e4fa122204cd899b6ef7435fc12c3"/>
                <w:id w:val="-1912532110"/>
                <w:lock w:val="sdtLocked"/>
              </w:sdtPr>
              <w:sdtContent>
                <w:tc>
                  <w:tcPr>
                    <w:tcW w:w="1675" w:type="pct"/>
                    <w:shd w:val="clear" w:color="auto" w:fill="auto"/>
                  </w:tcPr>
                  <w:p w:rsidR="0075586A" w:rsidRDefault="0075586A" w:rsidP="00CE2FA5">
                    <w:pPr>
                      <w:ind w:right="105"/>
                      <w:rPr>
                        <w:szCs w:val="21"/>
                      </w:rPr>
                    </w:pPr>
                    <w:r>
                      <w:rPr>
                        <w:rFonts w:hint="eastAsia"/>
                        <w:szCs w:val="21"/>
                      </w:rPr>
                      <w:t>营业税</w:t>
                    </w:r>
                  </w:p>
                </w:tc>
              </w:sdtContent>
            </w:sdt>
            <w:tc>
              <w:tcPr>
                <w:tcW w:w="1661" w:type="pct"/>
                <w:shd w:val="clear" w:color="auto" w:fill="auto"/>
                <w:vAlign w:val="center"/>
              </w:tcPr>
              <w:p w:rsidR="0075586A" w:rsidRPr="009F5EA1" w:rsidRDefault="0075586A" w:rsidP="00B637B2">
                <w:pPr>
                  <w:jc w:val="right"/>
                </w:pPr>
                <w:r w:rsidRPr="009F5EA1">
                  <w:t>12,240,642</w:t>
                </w:r>
              </w:p>
            </w:tc>
            <w:tc>
              <w:tcPr>
                <w:tcW w:w="1664" w:type="pct"/>
                <w:shd w:val="clear" w:color="auto" w:fill="auto"/>
                <w:vAlign w:val="center"/>
              </w:tcPr>
              <w:p w:rsidR="0075586A" w:rsidRDefault="0075586A" w:rsidP="00B637B2">
                <w:pPr>
                  <w:jc w:val="right"/>
                  <w:rPr>
                    <w:szCs w:val="21"/>
                  </w:rPr>
                </w:pPr>
                <w:r>
                  <w:t>12,240,642</w:t>
                </w:r>
              </w:p>
            </w:tc>
          </w:tr>
          <w:tr w:rsidR="0075586A" w:rsidTr="00B637B2">
            <w:trPr>
              <w:cantSplit/>
            </w:trPr>
            <w:sdt>
              <w:sdtPr>
                <w:tag w:val="_PLD_6069f9b576594e2eaf73c76c1080318c"/>
                <w:id w:val="1158810096"/>
                <w:lock w:val="sdtLocked"/>
              </w:sdtPr>
              <w:sdtContent>
                <w:tc>
                  <w:tcPr>
                    <w:tcW w:w="1675" w:type="pct"/>
                    <w:shd w:val="clear" w:color="auto" w:fill="auto"/>
                  </w:tcPr>
                  <w:p w:rsidR="0075586A" w:rsidRDefault="0075586A" w:rsidP="00CE2FA5">
                    <w:pPr>
                      <w:ind w:right="105"/>
                      <w:rPr>
                        <w:szCs w:val="21"/>
                      </w:rPr>
                    </w:pPr>
                    <w:r>
                      <w:rPr>
                        <w:rFonts w:hint="eastAsia"/>
                        <w:szCs w:val="21"/>
                      </w:rPr>
                      <w:t>企业所得税</w:t>
                    </w:r>
                  </w:p>
                </w:tc>
              </w:sdtContent>
            </w:sdt>
            <w:tc>
              <w:tcPr>
                <w:tcW w:w="1661" w:type="pct"/>
                <w:shd w:val="clear" w:color="auto" w:fill="auto"/>
                <w:vAlign w:val="center"/>
              </w:tcPr>
              <w:p w:rsidR="0075586A" w:rsidRPr="009F5EA1" w:rsidRDefault="008F04CF" w:rsidP="00B637B2">
                <w:pPr>
                  <w:jc w:val="right"/>
                </w:pPr>
                <w:r>
                  <w:t>38,556,480</w:t>
                </w:r>
              </w:p>
            </w:tc>
            <w:tc>
              <w:tcPr>
                <w:tcW w:w="1664" w:type="pct"/>
                <w:shd w:val="clear" w:color="auto" w:fill="auto"/>
                <w:vAlign w:val="center"/>
              </w:tcPr>
              <w:p w:rsidR="0075586A" w:rsidRDefault="0075586A" w:rsidP="00B637B2">
                <w:pPr>
                  <w:jc w:val="right"/>
                  <w:rPr>
                    <w:szCs w:val="21"/>
                  </w:rPr>
                </w:pPr>
                <w:r>
                  <w:t>97,073,967</w:t>
                </w:r>
              </w:p>
            </w:tc>
          </w:tr>
          <w:tr w:rsidR="0075586A" w:rsidTr="00B637B2">
            <w:trPr>
              <w:cantSplit/>
            </w:trPr>
            <w:sdt>
              <w:sdtPr>
                <w:tag w:val="_PLD_7034b2e69b80422baeee1441e6830886"/>
                <w:id w:val="-1885395641"/>
                <w:lock w:val="sdtLocked"/>
              </w:sdtPr>
              <w:sdtContent>
                <w:tc>
                  <w:tcPr>
                    <w:tcW w:w="1675" w:type="pct"/>
                    <w:shd w:val="clear" w:color="auto" w:fill="auto"/>
                  </w:tcPr>
                  <w:p w:rsidR="0075586A" w:rsidRDefault="0075586A" w:rsidP="00CE2FA5">
                    <w:pPr>
                      <w:ind w:right="105"/>
                      <w:rPr>
                        <w:szCs w:val="21"/>
                      </w:rPr>
                    </w:pPr>
                    <w:r>
                      <w:rPr>
                        <w:rFonts w:hint="eastAsia"/>
                        <w:szCs w:val="21"/>
                      </w:rPr>
                      <w:t>个人所得税</w:t>
                    </w:r>
                  </w:p>
                </w:tc>
              </w:sdtContent>
            </w:sdt>
            <w:tc>
              <w:tcPr>
                <w:tcW w:w="1661" w:type="pct"/>
                <w:shd w:val="clear" w:color="auto" w:fill="auto"/>
                <w:vAlign w:val="center"/>
              </w:tcPr>
              <w:p w:rsidR="0075586A" w:rsidRPr="009F5EA1" w:rsidRDefault="0075586A" w:rsidP="00B637B2">
                <w:pPr>
                  <w:jc w:val="right"/>
                </w:pPr>
                <w:r w:rsidRPr="009F5EA1">
                  <w:t>34,834,748</w:t>
                </w:r>
              </w:p>
            </w:tc>
            <w:tc>
              <w:tcPr>
                <w:tcW w:w="1664" w:type="pct"/>
                <w:shd w:val="clear" w:color="auto" w:fill="auto"/>
                <w:vAlign w:val="center"/>
              </w:tcPr>
              <w:p w:rsidR="0075586A" w:rsidRDefault="0075586A" w:rsidP="00B637B2">
                <w:pPr>
                  <w:jc w:val="right"/>
                  <w:rPr>
                    <w:szCs w:val="21"/>
                  </w:rPr>
                </w:pPr>
                <w:r>
                  <w:t>16,443,429</w:t>
                </w:r>
              </w:p>
            </w:tc>
          </w:tr>
          <w:tr w:rsidR="0075586A" w:rsidTr="00B637B2">
            <w:trPr>
              <w:cantSplit/>
            </w:trPr>
            <w:sdt>
              <w:sdtPr>
                <w:tag w:val="_PLD_76c030e64d064b19abe68ec0d74ffc7b"/>
                <w:id w:val="1358622453"/>
                <w:lock w:val="sdtLocked"/>
              </w:sdtPr>
              <w:sdtContent>
                <w:tc>
                  <w:tcPr>
                    <w:tcW w:w="1675" w:type="pct"/>
                    <w:shd w:val="clear" w:color="auto" w:fill="auto"/>
                  </w:tcPr>
                  <w:p w:rsidR="0075586A" w:rsidRDefault="0075586A" w:rsidP="00CE2FA5">
                    <w:pPr>
                      <w:ind w:right="105"/>
                      <w:rPr>
                        <w:szCs w:val="21"/>
                      </w:rPr>
                    </w:pPr>
                    <w:r>
                      <w:rPr>
                        <w:rFonts w:hint="eastAsia"/>
                        <w:szCs w:val="21"/>
                      </w:rPr>
                      <w:t>城市维护建设税</w:t>
                    </w:r>
                  </w:p>
                </w:tc>
              </w:sdtContent>
            </w:sdt>
            <w:tc>
              <w:tcPr>
                <w:tcW w:w="1661" w:type="pct"/>
                <w:shd w:val="clear" w:color="auto" w:fill="auto"/>
                <w:vAlign w:val="center"/>
              </w:tcPr>
              <w:p w:rsidR="0075586A" w:rsidRPr="009F5EA1" w:rsidRDefault="0075586A" w:rsidP="00B637B2">
                <w:pPr>
                  <w:jc w:val="right"/>
                </w:pPr>
                <w:r w:rsidRPr="009F5EA1">
                  <w:t>13,407,430</w:t>
                </w:r>
              </w:p>
            </w:tc>
            <w:tc>
              <w:tcPr>
                <w:tcW w:w="1664" w:type="pct"/>
                <w:shd w:val="clear" w:color="auto" w:fill="auto"/>
                <w:vAlign w:val="center"/>
              </w:tcPr>
              <w:p w:rsidR="0075586A" w:rsidRDefault="0075586A" w:rsidP="00B637B2">
                <w:pPr>
                  <w:jc w:val="right"/>
                  <w:rPr>
                    <w:szCs w:val="21"/>
                  </w:rPr>
                </w:pPr>
                <w:r>
                  <w:t>21,181,197</w:t>
                </w:r>
              </w:p>
            </w:tc>
          </w:tr>
          <w:sdt>
            <w:sdtPr>
              <w:rPr>
                <w:rFonts w:asciiTheme="minorHAnsi" w:eastAsiaTheme="minorEastAsia" w:hAnsiTheme="minorHAnsi" w:cstheme="minorBidi" w:hint="eastAsia"/>
                <w:kern w:val="2"/>
                <w:szCs w:val="21"/>
              </w:rPr>
              <w:alias w:val="应交税金明细"/>
              <w:tag w:val="_GBC_0480c028aa8b4cf2885f8f1d9b64c155"/>
              <w:id w:val="-1763530223"/>
              <w:lock w:val="sdtLocked"/>
            </w:sdtPr>
            <w:sdtContent>
              <w:tr w:rsidR="0075586A" w:rsidTr="00B637B2">
                <w:trPr>
                  <w:cantSplit/>
                </w:trPr>
                <w:tc>
                  <w:tcPr>
                    <w:tcW w:w="1675" w:type="pct"/>
                  </w:tcPr>
                  <w:p w:rsidR="0075586A" w:rsidRDefault="0075586A" w:rsidP="00CE2FA5">
                    <w:pPr>
                      <w:ind w:right="105"/>
                      <w:rPr>
                        <w:szCs w:val="21"/>
                      </w:rPr>
                    </w:pPr>
                    <w:r>
                      <w:rPr>
                        <w:rFonts w:hint="eastAsia"/>
                        <w:szCs w:val="21"/>
                      </w:rPr>
                      <w:t>其他</w:t>
                    </w:r>
                  </w:p>
                </w:tc>
                <w:tc>
                  <w:tcPr>
                    <w:tcW w:w="1661" w:type="pct"/>
                    <w:vAlign w:val="center"/>
                  </w:tcPr>
                  <w:p w:rsidR="0075586A" w:rsidRDefault="0075586A" w:rsidP="00B637B2">
                    <w:pPr>
                      <w:jc w:val="right"/>
                    </w:pPr>
                    <w:r w:rsidRPr="009F5EA1">
                      <w:t>1,634,866</w:t>
                    </w:r>
                  </w:p>
                </w:tc>
                <w:tc>
                  <w:tcPr>
                    <w:tcW w:w="1664" w:type="pct"/>
                    <w:vAlign w:val="center"/>
                  </w:tcPr>
                  <w:p w:rsidR="0075586A" w:rsidRDefault="0075586A" w:rsidP="00B637B2">
                    <w:pPr>
                      <w:jc w:val="right"/>
                      <w:rPr>
                        <w:szCs w:val="21"/>
                      </w:rPr>
                    </w:pPr>
                    <w:r>
                      <w:t>2,105,185</w:t>
                    </w:r>
                  </w:p>
                </w:tc>
              </w:tr>
            </w:sdtContent>
          </w:sdt>
          <w:tr w:rsidR="0075586A" w:rsidTr="00B637B2">
            <w:trPr>
              <w:cantSplit/>
            </w:trPr>
            <w:sdt>
              <w:sdtPr>
                <w:tag w:val="_PLD_ad567219cf614829af1a2928b1fa259b"/>
                <w:id w:val="-1216358264"/>
                <w:lock w:val="sdtLocked"/>
              </w:sdtPr>
              <w:sdtContent>
                <w:tc>
                  <w:tcPr>
                    <w:tcW w:w="1675" w:type="pct"/>
                    <w:vAlign w:val="center"/>
                  </w:tcPr>
                  <w:p w:rsidR="0075586A" w:rsidRDefault="0075586A" w:rsidP="00CE2FA5">
                    <w:pPr>
                      <w:ind w:right="105"/>
                      <w:jc w:val="center"/>
                      <w:rPr>
                        <w:szCs w:val="21"/>
                      </w:rPr>
                    </w:pPr>
                    <w:r>
                      <w:rPr>
                        <w:rFonts w:hint="eastAsia"/>
                        <w:szCs w:val="21"/>
                      </w:rPr>
                      <w:t>合计</w:t>
                    </w:r>
                  </w:p>
                </w:tc>
              </w:sdtContent>
            </w:sdt>
            <w:tc>
              <w:tcPr>
                <w:tcW w:w="1661" w:type="pct"/>
                <w:vAlign w:val="center"/>
              </w:tcPr>
              <w:p w:rsidR="0075586A" w:rsidRDefault="0075586A" w:rsidP="00B637B2">
                <w:pPr>
                  <w:jc w:val="right"/>
                  <w:rPr>
                    <w:szCs w:val="21"/>
                  </w:rPr>
                </w:pPr>
                <w:r w:rsidRPr="0075586A">
                  <w:rPr>
                    <w:szCs w:val="21"/>
                  </w:rPr>
                  <w:t>180,842,1</w:t>
                </w:r>
                <w:r w:rsidR="008F04CF">
                  <w:rPr>
                    <w:szCs w:val="21"/>
                  </w:rPr>
                  <w:t>07</w:t>
                </w:r>
              </w:p>
            </w:tc>
            <w:tc>
              <w:tcPr>
                <w:tcW w:w="1664" w:type="pct"/>
                <w:vAlign w:val="center"/>
              </w:tcPr>
              <w:p w:rsidR="0075586A" w:rsidRDefault="0075586A" w:rsidP="00B637B2">
                <w:pPr>
                  <w:jc w:val="right"/>
                  <w:rPr>
                    <w:szCs w:val="21"/>
                  </w:rPr>
                </w:pPr>
                <w:r w:rsidRPr="0075586A">
                  <w:rPr>
                    <w:szCs w:val="21"/>
                  </w:rPr>
                  <w:t>315,521,063</w:t>
                </w:r>
              </w:p>
            </w:tc>
          </w:tr>
        </w:tbl>
        <w:p w:rsidR="0075586A" w:rsidRDefault="0075586A"/>
        <w:p w:rsidR="00ED2DC7" w:rsidRDefault="00ED2DC7">
          <w:pPr>
            <w:rPr>
              <w:szCs w:val="21"/>
            </w:rPr>
          </w:pPr>
          <w:r>
            <w:rPr>
              <w:rFonts w:hint="eastAsia"/>
              <w:szCs w:val="21"/>
            </w:rPr>
            <w:t>其他说明：</w:t>
          </w:r>
        </w:p>
        <w:sdt>
          <w:sdtPr>
            <w:rPr>
              <w:szCs w:val="21"/>
            </w:rPr>
            <w:alias w:val="应交税金的说明"/>
            <w:tag w:val="_GBC_fb59f8f9de2d41c3aaf0dc3b0970dd91"/>
            <w:id w:val="1429620560"/>
            <w:lock w:val="sdtLocked"/>
            <w:placeholder>
              <w:docPart w:val="GBC22222222222222222222222222222"/>
            </w:placeholder>
          </w:sdtPr>
          <w:sdtContent>
            <w:p w:rsidR="00ED2DC7" w:rsidRDefault="00BB09BF">
              <w:pPr>
                <w:rPr>
                  <w:szCs w:val="21"/>
                </w:rPr>
              </w:pPr>
              <w:r>
                <w:rPr>
                  <w:rFonts w:hint="eastAsia"/>
                  <w:szCs w:val="21"/>
                </w:rPr>
                <w:t>无。</w:t>
              </w:r>
            </w:p>
          </w:sdtContent>
        </w:sdt>
      </w:sdtContent>
    </w:sdt>
    <w:p w:rsidR="00ED2DC7" w:rsidRDefault="00ED2DC7">
      <w:pPr>
        <w:rPr>
          <w:szCs w:val="21"/>
        </w:rPr>
      </w:pPr>
    </w:p>
    <w:p w:rsidR="00ED2DC7" w:rsidRDefault="00ED2DC7" w:rsidP="00036BDC">
      <w:pPr>
        <w:pStyle w:val="affffffffffffffffff1"/>
        <w:numPr>
          <w:ilvl w:val="0"/>
          <w:numId w:val="49"/>
        </w:numPr>
        <w:tabs>
          <w:tab w:val="left" w:pos="504"/>
        </w:tabs>
        <w:rPr>
          <w:szCs w:val="21"/>
        </w:rPr>
      </w:pPr>
      <w:r>
        <w:rPr>
          <w:rFonts w:hint="eastAsia"/>
          <w:szCs w:val="21"/>
        </w:rPr>
        <w:t>其他应付款</w:t>
      </w:r>
    </w:p>
    <w:bookmarkStart w:id="170" w:name="_Hlk10535943" w:displacedByCustomXml="next"/>
    <w:sdt>
      <w:sdtPr>
        <w:rPr>
          <w:rFonts w:ascii="宋体" w:hAnsi="宋体" w:cs="宋体" w:hint="eastAsia"/>
          <w:b w:val="0"/>
          <w:bCs w:val="0"/>
          <w:kern w:val="0"/>
          <w:szCs w:val="24"/>
        </w:rPr>
        <w:alias w:val="模块:项目列示"/>
        <w:tag w:val="_SEC_d4a31631d4c141d39fd547efdfcde484"/>
        <w:id w:val="516435644"/>
        <w:lock w:val="sdtLocked"/>
        <w:placeholder>
          <w:docPart w:val="GBC22222222222222222222222222222"/>
        </w:placeholder>
      </w:sdtPr>
      <w:sdtContent>
        <w:p w:rsidR="00ED2DC7" w:rsidRDefault="00ED2DC7">
          <w:pPr>
            <w:pStyle w:val="affffffffffffffffff2"/>
          </w:pPr>
          <w:r>
            <w:rPr>
              <w:rFonts w:hint="eastAsia"/>
            </w:rPr>
            <w:t>项目列示</w:t>
          </w:r>
        </w:p>
        <w:sdt>
          <w:sdtPr>
            <w:alias w:val="是否适用：其他应付款分类列示[双击切换]"/>
            <w:tag w:val="_GBC_8136b8c1140049519ac46075abed3220"/>
            <w:id w:val="327569989"/>
            <w:lock w:val="sdtContentLocked"/>
            <w:placeholder>
              <w:docPart w:val="GBC22222222222222222222222222222"/>
            </w:placeholder>
          </w:sdtPr>
          <w:sdtContent>
            <w:p w:rsidR="00ED2DC7" w:rsidRDefault="00ED2DC7">
              <w:r>
                <w:fldChar w:fldCharType="begin"/>
              </w:r>
              <w:r w:rsidR="0075586A">
                <w:instrText xml:space="preserve"> MACROBUTTON  SnrToggleCheckbox √适用 </w:instrText>
              </w:r>
              <w:r>
                <w:fldChar w:fldCharType="end"/>
              </w:r>
              <w:r>
                <w:fldChar w:fldCharType="begin"/>
              </w:r>
              <w:r w:rsidR="0075586A">
                <w:instrText xml:space="preserve"> MACROBUTTON  SnrToggleCheckbox □不适用 </w:instrText>
              </w:r>
              <w:r>
                <w:fldChar w:fldCharType="end"/>
              </w:r>
            </w:p>
          </w:sdtContent>
        </w:sdt>
        <w:p w:rsidR="00ED2DC7" w:rsidRDefault="00ED2DC7">
          <w:pPr>
            <w:jc w:val="right"/>
            <w:rPr>
              <w:szCs w:val="21"/>
            </w:rPr>
          </w:pPr>
          <w:r>
            <w:rPr>
              <w:rFonts w:hint="eastAsia"/>
              <w:szCs w:val="21"/>
            </w:rPr>
            <w:t>单位：</w:t>
          </w:r>
          <w:sdt>
            <w:sdtPr>
              <w:rPr>
                <w:rFonts w:hint="eastAsia"/>
                <w:szCs w:val="21"/>
              </w:rPr>
              <w:alias w:val="单位：其他应付款分类列示"/>
              <w:tag w:val="_GBC_f725af1ac18e4ea28ff0b171fd9076b1"/>
              <w:id w:val="-205113560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hint="eastAsia"/>
                  <w:szCs w:val="21"/>
                </w:rPr>
                <w:t>元</w:t>
              </w:r>
            </w:sdtContent>
          </w:sdt>
          <w:r>
            <w:rPr>
              <w:rFonts w:hint="eastAsia"/>
              <w:szCs w:val="21"/>
            </w:rPr>
            <w:t xml:space="preserve">  币种：</w:t>
          </w:r>
          <w:sdt>
            <w:sdtPr>
              <w:rPr>
                <w:rFonts w:hint="eastAsia"/>
                <w:szCs w:val="21"/>
              </w:rPr>
              <w:alias w:val="币种：其他应付款分类列示"/>
              <w:tag w:val="_GBC_9e26b8e601ae4c3b9b2f73c2946bed3c"/>
              <w:id w:val="-125003906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szCs w:val="21"/>
                </w:rPr>
                <w:t>人民币</w:t>
              </w:r>
            </w:sdtContent>
          </w:sdt>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5"/>
            <w:gridCol w:w="2792"/>
            <w:gridCol w:w="2806"/>
          </w:tblGrid>
          <w:tr w:rsidR="00ED2DC7" w:rsidTr="00D17AC2">
            <w:sdt>
              <w:sdtPr>
                <w:tag w:val="_PLD_d301d6d0c6f244d3b16ca7922fb1eae1"/>
                <w:id w:val="-1021698973"/>
                <w:lock w:val="sdtLocked"/>
              </w:sdtPr>
              <w:sdtContent>
                <w:tc>
                  <w:tcPr>
                    <w:tcW w:w="1828" w:type="pct"/>
                    <w:shd w:val="clear" w:color="auto" w:fill="auto"/>
                    <w:vAlign w:val="center"/>
                  </w:tcPr>
                  <w:p w:rsidR="00ED2DC7" w:rsidRDefault="00ED2DC7">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14a27299981b44e8a51ddedd6261c7cb"/>
                <w:id w:val="1430234571"/>
                <w:lock w:val="sdtLocked"/>
              </w:sdtPr>
              <w:sdtContent>
                <w:tc>
                  <w:tcPr>
                    <w:tcW w:w="1582" w:type="pct"/>
                    <w:shd w:val="clear" w:color="auto" w:fill="auto"/>
                    <w:vAlign w:val="center"/>
                  </w:tcPr>
                  <w:p w:rsidR="00ED2DC7" w:rsidRDefault="00ED2DC7">
                    <w:pPr>
                      <w:jc w:val="center"/>
                      <w:rPr>
                        <w:szCs w:val="21"/>
                      </w:rPr>
                    </w:pPr>
                    <w:r>
                      <w:rPr>
                        <w:rFonts w:hint="eastAsia"/>
                        <w:szCs w:val="21"/>
                      </w:rPr>
                      <w:t>期末余额</w:t>
                    </w:r>
                  </w:p>
                </w:tc>
              </w:sdtContent>
            </w:sdt>
            <w:sdt>
              <w:sdtPr>
                <w:tag w:val="_PLD_3ada436da03540938e5f25706fc839ab"/>
                <w:id w:val="-1220054689"/>
                <w:lock w:val="sdtLocked"/>
              </w:sdtPr>
              <w:sdtContent>
                <w:tc>
                  <w:tcPr>
                    <w:tcW w:w="1590" w:type="pct"/>
                    <w:shd w:val="clear" w:color="auto" w:fill="auto"/>
                    <w:vAlign w:val="center"/>
                  </w:tcPr>
                  <w:p w:rsidR="00ED2DC7" w:rsidRDefault="00ED2DC7">
                    <w:pPr>
                      <w:jc w:val="center"/>
                      <w:rPr>
                        <w:szCs w:val="21"/>
                      </w:rPr>
                    </w:pPr>
                    <w:r>
                      <w:rPr>
                        <w:rFonts w:hint="eastAsia"/>
                        <w:szCs w:val="21"/>
                      </w:rPr>
                      <w:t>期初余额</w:t>
                    </w:r>
                  </w:p>
                </w:tc>
              </w:sdtContent>
            </w:sdt>
          </w:tr>
          <w:tr w:rsidR="0075586A" w:rsidTr="00B637B2">
            <w:sdt>
              <w:sdtPr>
                <w:tag w:val="_PLD_f7c963c0ee7f4ae9a9ee01376e1c10a3"/>
                <w:id w:val="-1470430419"/>
                <w:lock w:val="sdtLocked"/>
              </w:sdtPr>
              <w:sdtContent>
                <w:tc>
                  <w:tcPr>
                    <w:tcW w:w="1828" w:type="pct"/>
                    <w:shd w:val="clear" w:color="auto" w:fill="auto"/>
                  </w:tcPr>
                  <w:p w:rsidR="0075586A" w:rsidRDefault="0075586A" w:rsidP="0075586A">
                    <w:pPr>
                      <w:tabs>
                        <w:tab w:val="right" w:pos="3690"/>
                        <w:tab w:val="right" w:pos="5130"/>
                        <w:tab w:val="right" w:pos="6030"/>
                        <w:tab w:val="right" w:pos="7650"/>
                        <w:tab w:val="right" w:pos="9270"/>
                      </w:tabs>
                      <w:adjustRightInd w:val="0"/>
                      <w:snapToGrid w:val="0"/>
                      <w:rPr>
                        <w:szCs w:val="21"/>
                      </w:rPr>
                    </w:pPr>
                    <w:r>
                      <w:rPr>
                        <w:rFonts w:hint="eastAsia"/>
                        <w:szCs w:val="21"/>
                      </w:rPr>
                      <w:t>应付股利</w:t>
                    </w:r>
                  </w:p>
                </w:tc>
              </w:sdtContent>
            </w:sdt>
            <w:tc>
              <w:tcPr>
                <w:tcW w:w="1582" w:type="pct"/>
                <w:shd w:val="clear" w:color="auto" w:fill="auto"/>
                <w:vAlign w:val="center"/>
              </w:tcPr>
              <w:p w:rsidR="0075586A" w:rsidRPr="00397848" w:rsidRDefault="0075586A" w:rsidP="00B637B2">
                <w:pPr>
                  <w:jc w:val="right"/>
                </w:pPr>
                <w:r w:rsidRPr="00397848">
                  <w:t>32,625,183</w:t>
                </w:r>
              </w:p>
            </w:tc>
            <w:tc>
              <w:tcPr>
                <w:tcW w:w="1590" w:type="pct"/>
                <w:shd w:val="clear" w:color="auto" w:fill="auto"/>
                <w:vAlign w:val="center"/>
              </w:tcPr>
              <w:p w:rsidR="0075586A" w:rsidRDefault="008F04CF" w:rsidP="00B637B2">
                <w:pPr>
                  <w:tabs>
                    <w:tab w:val="right" w:pos="3690"/>
                    <w:tab w:val="right" w:pos="5130"/>
                    <w:tab w:val="right" w:pos="6030"/>
                    <w:tab w:val="right" w:pos="7650"/>
                    <w:tab w:val="right" w:pos="9270"/>
                  </w:tabs>
                  <w:adjustRightInd w:val="0"/>
                  <w:snapToGrid w:val="0"/>
                  <w:jc w:val="right"/>
                  <w:rPr>
                    <w:szCs w:val="21"/>
                  </w:rPr>
                </w:pPr>
                <w:r>
                  <w:rPr>
                    <w:rFonts w:hint="eastAsia"/>
                    <w:szCs w:val="21"/>
                  </w:rPr>
                  <w:t>-</w:t>
                </w:r>
              </w:p>
            </w:tc>
          </w:tr>
          <w:tr w:rsidR="0075586A" w:rsidTr="00B637B2">
            <w:sdt>
              <w:sdtPr>
                <w:tag w:val="_PLD_bef380fd911e4f2a9e651243d4593795"/>
                <w:id w:val="716085470"/>
                <w:lock w:val="sdtLocked"/>
              </w:sdtPr>
              <w:sdtContent>
                <w:tc>
                  <w:tcPr>
                    <w:tcW w:w="1828" w:type="pct"/>
                    <w:shd w:val="clear" w:color="auto" w:fill="auto"/>
                  </w:tcPr>
                  <w:p w:rsidR="0075586A" w:rsidRDefault="0075586A" w:rsidP="0075586A">
                    <w:pPr>
                      <w:tabs>
                        <w:tab w:val="right" w:pos="3690"/>
                        <w:tab w:val="right" w:pos="5130"/>
                        <w:tab w:val="right" w:pos="6030"/>
                        <w:tab w:val="right" w:pos="7650"/>
                        <w:tab w:val="right" w:pos="9270"/>
                      </w:tabs>
                      <w:adjustRightInd w:val="0"/>
                      <w:snapToGrid w:val="0"/>
                      <w:rPr>
                        <w:szCs w:val="21"/>
                      </w:rPr>
                    </w:pPr>
                    <w:r>
                      <w:rPr>
                        <w:rFonts w:hint="eastAsia"/>
                        <w:szCs w:val="21"/>
                      </w:rPr>
                      <w:t>其他应付款</w:t>
                    </w:r>
                  </w:p>
                </w:tc>
              </w:sdtContent>
            </w:sdt>
            <w:tc>
              <w:tcPr>
                <w:tcW w:w="1582" w:type="pct"/>
                <w:shd w:val="clear" w:color="auto" w:fill="auto"/>
                <w:vAlign w:val="center"/>
              </w:tcPr>
              <w:p w:rsidR="0075586A" w:rsidRDefault="0075586A" w:rsidP="00B637B2">
                <w:pPr>
                  <w:jc w:val="right"/>
                </w:pPr>
                <w:r w:rsidRPr="00397848">
                  <w:t>708,920,648</w:t>
                </w:r>
              </w:p>
            </w:tc>
            <w:tc>
              <w:tcPr>
                <w:tcW w:w="1590" w:type="pct"/>
                <w:shd w:val="clear" w:color="auto" w:fill="auto"/>
                <w:vAlign w:val="center"/>
              </w:tcPr>
              <w:p w:rsidR="0075586A" w:rsidRDefault="008F04CF" w:rsidP="00B637B2">
                <w:pPr>
                  <w:tabs>
                    <w:tab w:val="right" w:pos="3690"/>
                    <w:tab w:val="right" w:pos="5130"/>
                    <w:tab w:val="right" w:pos="6030"/>
                    <w:tab w:val="right" w:pos="7650"/>
                    <w:tab w:val="right" w:pos="9270"/>
                  </w:tabs>
                  <w:adjustRightInd w:val="0"/>
                  <w:snapToGrid w:val="0"/>
                  <w:jc w:val="right"/>
                  <w:rPr>
                    <w:szCs w:val="21"/>
                  </w:rPr>
                </w:pPr>
                <w:r>
                  <w:rPr>
                    <w:szCs w:val="21"/>
                  </w:rPr>
                  <w:t>840,741,172</w:t>
                </w:r>
              </w:p>
            </w:tc>
          </w:tr>
          <w:tr w:rsidR="00ED2DC7" w:rsidTr="00B637B2">
            <w:sdt>
              <w:sdtPr>
                <w:tag w:val="_PLD_90dc33535197444a8eb7c8a4e477d9b7"/>
                <w:id w:val="-631092565"/>
                <w:lock w:val="sdtLocked"/>
              </w:sdtPr>
              <w:sdtContent>
                <w:tc>
                  <w:tcPr>
                    <w:tcW w:w="1828" w:type="pct"/>
                    <w:shd w:val="clear" w:color="auto" w:fill="auto"/>
                  </w:tcPr>
                  <w:p w:rsidR="00ED2DC7" w:rsidRDefault="00ED2DC7">
                    <w:pPr>
                      <w:tabs>
                        <w:tab w:val="right" w:pos="3690"/>
                        <w:tab w:val="right" w:pos="5130"/>
                        <w:tab w:val="right" w:pos="6030"/>
                        <w:tab w:val="right" w:pos="7650"/>
                        <w:tab w:val="right" w:pos="9270"/>
                      </w:tabs>
                      <w:adjustRightInd w:val="0"/>
                      <w:snapToGrid w:val="0"/>
                      <w:jc w:val="center"/>
                      <w:rPr>
                        <w:szCs w:val="21"/>
                      </w:rPr>
                    </w:pPr>
                    <w:r>
                      <w:rPr>
                        <w:rFonts w:hint="eastAsia"/>
                        <w:szCs w:val="21"/>
                      </w:rPr>
                      <w:t>合计</w:t>
                    </w:r>
                  </w:p>
                </w:tc>
              </w:sdtContent>
            </w:sdt>
            <w:tc>
              <w:tcPr>
                <w:tcW w:w="1582" w:type="pct"/>
                <w:shd w:val="clear" w:color="auto" w:fill="auto"/>
                <w:vAlign w:val="center"/>
              </w:tcPr>
              <w:p w:rsidR="00ED2DC7" w:rsidRDefault="008F04CF" w:rsidP="00B637B2">
                <w:pPr>
                  <w:tabs>
                    <w:tab w:val="right" w:pos="3690"/>
                    <w:tab w:val="right" w:pos="5130"/>
                    <w:tab w:val="right" w:pos="6030"/>
                    <w:tab w:val="right" w:pos="7650"/>
                    <w:tab w:val="right" w:pos="9270"/>
                  </w:tabs>
                  <w:adjustRightInd w:val="0"/>
                  <w:snapToGrid w:val="0"/>
                  <w:jc w:val="right"/>
                  <w:rPr>
                    <w:szCs w:val="21"/>
                  </w:rPr>
                </w:pPr>
                <w:r>
                  <w:rPr>
                    <w:szCs w:val="21"/>
                  </w:rPr>
                  <w:t>741,545,831</w:t>
                </w:r>
              </w:p>
            </w:tc>
            <w:tc>
              <w:tcPr>
                <w:tcW w:w="1590" w:type="pct"/>
                <w:shd w:val="clear" w:color="auto" w:fill="auto"/>
                <w:vAlign w:val="center"/>
              </w:tcPr>
              <w:p w:rsidR="00ED2DC7" w:rsidRDefault="008F04CF" w:rsidP="00B637B2">
                <w:pPr>
                  <w:tabs>
                    <w:tab w:val="right" w:pos="3690"/>
                    <w:tab w:val="right" w:pos="5130"/>
                    <w:tab w:val="right" w:pos="6030"/>
                    <w:tab w:val="right" w:pos="7650"/>
                    <w:tab w:val="right" w:pos="9270"/>
                  </w:tabs>
                  <w:adjustRightInd w:val="0"/>
                  <w:snapToGrid w:val="0"/>
                  <w:jc w:val="right"/>
                  <w:rPr>
                    <w:szCs w:val="21"/>
                  </w:rPr>
                </w:pPr>
                <w:r>
                  <w:rPr>
                    <w:szCs w:val="21"/>
                  </w:rPr>
                  <w:t>840,741,172</w:t>
                </w:r>
              </w:p>
            </w:tc>
          </w:tr>
        </w:tbl>
        <w:p w:rsidR="00ED2DC7" w:rsidRDefault="00ED2DC7">
          <w:pPr>
            <w:rPr>
              <w:szCs w:val="21"/>
            </w:rPr>
          </w:pPr>
          <w:r>
            <w:rPr>
              <w:rFonts w:hint="eastAsia"/>
              <w:szCs w:val="21"/>
            </w:rPr>
            <w:t>其他说明：</w:t>
          </w:r>
        </w:p>
        <w:sdt>
          <w:sdtPr>
            <w:alias w:val="其他应付款分类列示其他说明"/>
            <w:tag w:val="_GBC_8fa93aac828f4ed1ab8ba954856081f1"/>
            <w:id w:val="-651447380"/>
            <w:lock w:val="sdtLocked"/>
            <w:placeholder>
              <w:docPart w:val="GBC22222222222222222222222222222"/>
            </w:placeholder>
          </w:sdtPr>
          <w:sdtContent>
            <w:p w:rsidR="00ED2DC7" w:rsidRDefault="009423BC" w:rsidP="00FC78F7">
              <w:r>
                <w:rPr>
                  <w:rFonts w:hint="eastAsia"/>
                </w:rPr>
                <w:t>无。</w:t>
              </w:r>
            </w:p>
          </w:sdtContent>
        </w:sdt>
        <w:p w:rsidR="00ED2DC7" w:rsidRDefault="000D0A99"/>
      </w:sdtContent>
    </w:sdt>
    <w:bookmarkEnd w:id="170" w:displacedByCustomXml="prev"/>
    <w:bookmarkStart w:id="171" w:name="_Hlk10536047" w:displacedByCustomXml="next"/>
    <w:sdt>
      <w:sdtPr>
        <w:rPr>
          <w:rFonts w:ascii="宋体" w:hAnsi="宋体" w:cs="宋体" w:hint="eastAsia"/>
          <w:b w:val="0"/>
          <w:bCs w:val="0"/>
          <w:kern w:val="0"/>
          <w:szCs w:val="24"/>
        </w:rPr>
        <w:alias w:val="模块:应付利息"/>
        <w:tag w:val="_SEC_60feb8ef6f7c4655a263f50d12c222d8"/>
        <w:id w:val="-296837149"/>
        <w:lock w:val="sdtLocked"/>
        <w:placeholder>
          <w:docPart w:val="GBC22222222222222222222222222222"/>
        </w:placeholder>
      </w:sdtPr>
      <w:sdtContent>
        <w:p w:rsidR="00ED2DC7" w:rsidRDefault="00ED2DC7">
          <w:pPr>
            <w:pStyle w:val="affffffffffffffffff2"/>
          </w:pPr>
          <w:r>
            <w:rPr>
              <w:rFonts w:hint="eastAsia"/>
            </w:rPr>
            <w:t>应付利息</w:t>
          </w:r>
        </w:p>
        <w:sdt>
          <w:sdtPr>
            <w:alias w:val="是否适用：应付利息[双击切换]"/>
            <w:tag w:val="_GBC_9058c1c6b0a94f6a8c531ec2dbd35706"/>
            <w:id w:val="845442357"/>
            <w:lock w:val="sdtContentLocked"/>
            <w:placeholder>
              <w:docPart w:val="GBC22222222222222222222222222222"/>
            </w:placeholder>
          </w:sdtPr>
          <w:sdtContent>
            <w:p w:rsidR="00BB09BF" w:rsidRDefault="00ED2DC7" w:rsidP="00BB09BF">
              <w:pPr>
                <w:rPr>
                  <w:szCs w:val="21"/>
                </w:rPr>
              </w:pPr>
              <w:r>
                <w:fldChar w:fldCharType="begin"/>
              </w:r>
              <w:r w:rsidR="00BB09BF">
                <w:instrText xml:space="preserve">MACROBUTTON  SnrToggleCheckbox □适用 </w:instrText>
              </w:r>
              <w:r>
                <w:fldChar w:fldCharType="end"/>
              </w:r>
              <w:r>
                <w:fldChar w:fldCharType="begin"/>
              </w:r>
              <w:r w:rsidR="00BB09BF">
                <w:instrText xml:space="preserve"> MACROBUTTON  SnrToggleCheckbox √不适用 </w:instrText>
              </w:r>
              <w:r>
                <w:fldChar w:fldCharType="end"/>
              </w:r>
            </w:p>
          </w:sdtContent>
        </w:sdt>
        <w:p w:rsidR="00ED2DC7" w:rsidRDefault="00ED2DC7">
          <w:pPr>
            <w:rPr>
              <w:szCs w:val="21"/>
            </w:rPr>
          </w:pPr>
        </w:p>
        <w:p w:rsidR="00ED2DC7" w:rsidRDefault="000D0A99"/>
      </w:sdtContent>
    </w:sdt>
    <w:bookmarkEnd w:id="171" w:displacedByCustomXml="prev"/>
    <w:bookmarkStart w:id="172" w:name="_Hlk10536068" w:displacedByCustomXml="next"/>
    <w:bookmarkStart w:id="173" w:name="_Hlk10536082" w:displacedByCustomXml="next"/>
    <w:sdt>
      <w:sdtPr>
        <w:rPr>
          <w:rFonts w:ascii="宋体" w:hAnsi="宋体" w:cs="宋体" w:hint="eastAsia"/>
          <w:b w:val="0"/>
          <w:bCs w:val="0"/>
          <w:kern w:val="0"/>
          <w:szCs w:val="24"/>
        </w:rPr>
        <w:alias w:val="模块:应付股利"/>
        <w:tag w:val="_SEC_454db7ed64ca40e48e42eb6c38ae54ca"/>
        <w:id w:val="-1933655171"/>
        <w:lock w:val="sdtLocked"/>
        <w:placeholder>
          <w:docPart w:val="GBC22222222222222222222222222222"/>
        </w:placeholder>
      </w:sdtPr>
      <w:sdtEndPr>
        <w:rPr>
          <w:rFonts w:hint="default"/>
          <w:szCs w:val="21"/>
        </w:rPr>
      </w:sdtEndPr>
      <w:sdtContent>
        <w:p w:rsidR="00ED2DC7" w:rsidRDefault="00ED2DC7">
          <w:pPr>
            <w:pStyle w:val="affffffffffffffffff2"/>
          </w:pPr>
          <w:r>
            <w:rPr>
              <w:rFonts w:hint="eastAsia"/>
            </w:rPr>
            <w:t>应付股利</w:t>
          </w:r>
          <w:bookmarkEnd w:id="172"/>
        </w:p>
        <w:sdt>
          <w:sdtPr>
            <w:alias w:val="是否适用：应付股利[双击切换]"/>
            <w:tag w:val="_GBC_09dc75ba10d44acfb18b03320a40e4c5"/>
            <w:id w:val="801110543"/>
            <w:lock w:val="sdtContentLocked"/>
            <w:placeholder>
              <w:docPart w:val="GBC22222222222222222222222222222"/>
            </w:placeholder>
          </w:sdtPr>
          <w:sdtContent>
            <w:p w:rsidR="00ED2DC7" w:rsidRDefault="00ED2DC7">
              <w:r>
                <w:fldChar w:fldCharType="begin"/>
              </w:r>
              <w:r w:rsidR="00BB09BF">
                <w:instrText xml:space="preserve">MACROBUTTON  SnrToggleCheckbox √适用 </w:instrText>
              </w:r>
              <w:r>
                <w:fldChar w:fldCharType="end"/>
              </w:r>
              <w:r>
                <w:fldChar w:fldCharType="begin"/>
              </w:r>
              <w:r w:rsidR="00BB09BF">
                <w:instrText xml:space="preserve"> MACROBUTTON  SnrToggleCheckbox □不适用 </w:instrText>
              </w:r>
              <w:r>
                <w:fldChar w:fldCharType="end"/>
              </w:r>
            </w:p>
          </w:sdtContent>
        </w:sdt>
        <w:p w:rsidR="00ED2DC7" w:rsidRDefault="00ED2DC7">
          <w:pPr>
            <w:jc w:val="right"/>
            <w:rPr>
              <w:szCs w:val="21"/>
            </w:rPr>
          </w:pPr>
          <w:r>
            <w:rPr>
              <w:rFonts w:hint="eastAsia"/>
              <w:szCs w:val="21"/>
            </w:rPr>
            <w:t>单位：</w:t>
          </w:r>
          <w:sdt>
            <w:sdtPr>
              <w:rPr>
                <w:rFonts w:hint="eastAsia"/>
                <w:szCs w:val="21"/>
              </w:rPr>
              <w:alias w:val="单位：财务附注：应付股利"/>
              <w:tag w:val="_GBC_794436f63bf446c4b4d5d09922a87476"/>
              <w:id w:val="203661376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hint="eastAsia"/>
                  <w:szCs w:val="21"/>
                </w:rPr>
                <w:t>元</w:t>
              </w:r>
            </w:sdtContent>
          </w:sdt>
          <w:r>
            <w:rPr>
              <w:rFonts w:hint="eastAsia"/>
              <w:szCs w:val="21"/>
            </w:rPr>
            <w:t xml:space="preserve">  币种：</w:t>
          </w:r>
          <w:sdt>
            <w:sdtPr>
              <w:rPr>
                <w:rFonts w:hint="eastAsia"/>
                <w:szCs w:val="21"/>
              </w:rPr>
              <w:alias w:val="币种：财务附注：应付股利"/>
              <w:tag w:val="_GBC_3ac9f6019d6040e79214de869765e7c9"/>
              <w:id w:val="214059666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szCs w:val="21"/>
                </w:rPr>
                <w:t>人民币</w:t>
              </w:r>
            </w:sdtContent>
          </w:sdt>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2835"/>
            <w:gridCol w:w="2993"/>
            <w:gridCol w:w="2995"/>
          </w:tblGrid>
          <w:tr w:rsidR="00B637B2" w:rsidTr="00B637B2">
            <w:trPr>
              <w:cantSplit/>
            </w:trPr>
            <w:sdt>
              <w:sdtPr>
                <w:tag w:val="_PLD_9d58938574b04fdbb97abe896d2ae73a"/>
                <w:id w:val="459000533"/>
                <w:lock w:val="sdtLocked"/>
              </w:sdtPr>
              <w:sdtContent>
                <w:tc>
                  <w:tcPr>
                    <w:tcW w:w="1607" w:type="pct"/>
                  </w:tcPr>
                  <w:p w:rsidR="00B637B2" w:rsidRDefault="008F04CF" w:rsidP="00B637B2">
                    <w:pPr>
                      <w:ind w:right="105"/>
                      <w:jc w:val="center"/>
                      <w:rPr>
                        <w:szCs w:val="21"/>
                      </w:rPr>
                    </w:pPr>
                    <w:r>
                      <w:rPr>
                        <w:rFonts w:hint="eastAsia"/>
                        <w:szCs w:val="21"/>
                      </w:rPr>
                      <w:t>项目</w:t>
                    </w:r>
                  </w:p>
                </w:tc>
              </w:sdtContent>
            </w:sdt>
            <w:sdt>
              <w:sdtPr>
                <w:tag w:val="_PLD_464a3e2801194be5b8f549044d634880"/>
                <w:id w:val="-1036347011"/>
                <w:lock w:val="sdtLocked"/>
              </w:sdtPr>
              <w:sdtContent>
                <w:tc>
                  <w:tcPr>
                    <w:tcW w:w="1696" w:type="pct"/>
                  </w:tcPr>
                  <w:p w:rsidR="00B637B2" w:rsidRDefault="008F04CF" w:rsidP="00B637B2">
                    <w:pPr>
                      <w:jc w:val="center"/>
                      <w:rPr>
                        <w:szCs w:val="21"/>
                      </w:rPr>
                    </w:pPr>
                    <w:r>
                      <w:rPr>
                        <w:rFonts w:hint="eastAsia"/>
                        <w:szCs w:val="21"/>
                      </w:rPr>
                      <w:t>期末余额</w:t>
                    </w:r>
                  </w:p>
                </w:tc>
              </w:sdtContent>
            </w:sdt>
            <w:sdt>
              <w:sdtPr>
                <w:tag w:val="_PLD_b96a666c25174aeab9bab423f51ae94f"/>
                <w:id w:val="-2073100037"/>
                <w:lock w:val="sdtLocked"/>
              </w:sdtPr>
              <w:sdtContent>
                <w:tc>
                  <w:tcPr>
                    <w:tcW w:w="1697" w:type="pct"/>
                  </w:tcPr>
                  <w:p w:rsidR="00B637B2" w:rsidRDefault="008F04CF" w:rsidP="00B637B2">
                    <w:pPr>
                      <w:jc w:val="center"/>
                      <w:rPr>
                        <w:szCs w:val="21"/>
                      </w:rPr>
                    </w:pPr>
                    <w:r>
                      <w:rPr>
                        <w:rFonts w:hint="eastAsia"/>
                        <w:szCs w:val="21"/>
                      </w:rPr>
                      <w:t>期初余额</w:t>
                    </w:r>
                  </w:p>
                </w:tc>
              </w:sdtContent>
            </w:sdt>
          </w:tr>
          <w:tr w:rsidR="00B637B2" w:rsidTr="00B637B2">
            <w:trPr>
              <w:cantSplit/>
            </w:trPr>
            <w:sdt>
              <w:sdtPr>
                <w:tag w:val="_PLD_ccc30ab30e5a4b788d1af42d774d7b85"/>
                <w:id w:val="-131177546"/>
                <w:lock w:val="sdtLocked"/>
              </w:sdtPr>
              <w:sdtContent>
                <w:tc>
                  <w:tcPr>
                    <w:tcW w:w="1607" w:type="pct"/>
                  </w:tcPr>
                  <w:p w:rsidR="00B637B2" w:rsidRDefault="008F04CF" w:rsidP="00B637B2">
                    <w:pPr>
                      <w:ind w:right="105"/>
                      <w:rPr>
                        <w:szCs w:val="21"/>
                      </w:rPr>
                    </w:pPr>
                    <w:r>
                      <w:rPr>
                        <w:rFonts w:hint="eastAsia"/>
                      </w:rPr>
                      <w:t>普通股</w:t>
                    </w:r>
                    <w:r w:rsidRPr="009423BC">
                      <w:rPr>
                        <w:rFonts w:hint="eastAsia"/>
                        <w:szCs w:val="21"/>
                      </w:rPr>
                      <w:t>股利</w:t>
                    </w:r>
                  </w:p>
                </w:tc>
              </w:sdtContent>
            </w:sdt>
            <w:tc>
              <w:tcPr>
                <w:tcW w:w="1696" w:type="pct"/>
              </w:tcPr>
              <w:p w:rsidR="00B637B2" w:rsidRDefault="00B637B2" w:rsidP="00B637B2">
                <w:pPr>
                  <w:ind w:right="73"/>
                  <w:jc w:val="right"/>
                  <w:rPr>
                    <w:szCs w:val="21"/>
                  </w:rPr>
                </w:pPr>
              </w:p>
            </w:tc>
            <w:tc>
              <w:tcPr>
                <w:tcW w:w="1697" w:type="pct"/>
              </w:tcPr>
              <w:p w:rsidR="00B637B2" w:rsidRDefault="00B637B2" w:rsidP="00B637B2">
                <w:pPr>
                  <w:ind w:right="73"/>
                  <w:jc w:val="right"/>
                  <w:rPr>
                    <w:szCs w:val="21"/>
                  </w:rPr>
                </w:pPr>
              </w:p>
            </w:tc>
          </w:tr>
          <w:sdt>
            <w:sdtPr>
              <w:rPr>
                <w:rFonts w:asciiTheme="minorHAnsi" w:eastAsiaTheme="minorEastAsia" w:hAnsiTheme="minorHAnsi" w:cstheme="minorBidi" w:hint="eastAsia"/>
                <w:kern w:val="2"/>
                <w:szCs w:val="21"/>
              </w:rPr>
              <w:alias w:val="划分为权益工具的优先股或永续债股利明细"/>
              <w:tag w:val="_TUP_d6439173d6c4448487f407a2363e7581"/>
              <w:id w:val="-2040187755"/>
              <w:lock w:val="sdtLocked"/>
            </w:sdtPr>
            <w:sdtEndPr>
              <w:rPr>
                <w:rFonts w:hint="default"/>
                <w:color w:val="000000" w:themeColor="text1"/>
              </w:rPr>
            </w:sdtEndPr>
            <w:sdtContent>
              <w:tr w:rsidR="00B637B2" w:rsidTr="00D17AC2">
                <w:trPr>
                  <w:cantSplit/>
                </w:trPr>
                <w:tc>
                  <w:tcPr>
                    <w:tcW w:w="1607" w:type="pct"/>
                  </w:tcPr>
                  <w:p w:rsidR="00B637B2" w:rsidRDefault="008F04CF" w:rsidP="00B637B2">
                    <w:pPr>
                      <w:rPr>
                        <w:szCs w:val="21"/>
                      </w:rPr>
                    </w:pPr>
                    <w:r w:rsidRPr="009423BC">
                      <w:rPr>
                        <w:rFonts w:hint="eastAsia"/>
                        <w:szCs w:val="21"/>
                      </w:rPr>
                      <w:t>向少数股东支付的现金股利</w:t>
                    </w:r>
                  </w:p>
                </w:tc>
                <w:tc>
                  <w:tcPr>
                    <w:tcW w:w="1696" w:type="pct"/>
                  </w:tcPr>
                  <w:p w:rsidR="00B637B2" w:rsidRDefault="008F04CF">
                    <w:pPr>
                      <w:ind w:right="73"/>
                      <w:jc w:val="right"/>
                      <w:rPr>
                        <w:szCs w:val="21"/>
                      </w:rPr>
                    </w:pPr>
                    <w:r w:rsidRPr="009423BC">
                      <w:rPr>
                        <w:szCs w:val="21"/>
                      </w:rPr>
                      <w:t>32,625,183</w:t>
                    </w:r>
                  </w:p>
                </w:tc>
                <w:tc>
                  <w:tcPr>
                    <w:tcW w:w="1697" w:type="pct"/>
                  </w:tcPr>
                  <w:p w:rsidR="00B637B2" w:rsidRDefault="00B637B2">
                    <w:pPr>
                      <w:ind w:right="73"/>
                      <w:jc w:val="right"/>
                      <w:rPr>
                        <w:szCs w:val="21"/>
                      </w:rPr>
                    </w:pPr>
                  </w:p>
                </w:tc>
              </w:tr>
            </w:sdtContent>
          </w:sdt>
          <w:tr w:rsidR="00B637B2" w:rsidTr="00B637B2">
            <w:trPr>
              <w:cantSplit/>
            </w:trPr>
            <w:sdt>
              <w:sdtPr>
                <w:tag w:val="_PLD_2b0d3d581f184538a143c7836e38c7fd"/>
                <w:id w:val="-1959950134"/>
                <w:lock w:val="sdtLocked"/>
              </w:sdtPr>
              <w:sdtContent>
                <w:tc>
                  <w:tcPr>
                    <w:tcW w:w="1607" w:type="pct"/>
                  </w:tcPr>
                  <w:p w:rsidR="00B637B2" w:rsidRDefault="008F04CF" w:rsidP="00B637B2">
                    <w:pPr>
                      <w:ind w:right="105"/>
                      <w:jc w:val="center"/>
                      <w:rPr>
                        <w:color w:val="000000" w:themeColor="text1"/>
                        <w:szCs w:val="21"/>
                      </w:rPr>
                    </w:pPr>
                    <w:r>
                      <w:rPr>
                        <w:rFonts w:hint="eastAsia"/>
                        <w:color w:val="000000" w:themeColor="text1"/>
                        <w:szCs w:val="21"/>
                      </w:rPr>
                      <w:t>合计</w:t>
                    </w:r>
                  </w:p>
                </w:tc>
              </w:sdtContent>
            </w:sdt>
            <w:tc>
              <w:tcPr>
                <w:tcW w:w="1696" w:type="pct"/>
              </w:tcPr>
              <w:p w:rsidR="00B637B2" w:rsidRDefault="008F04CF" w:rsidP="00B637B2">
                <w:pPr>
                  <w:ind w:right="73"/>
                  <w:jc w:val="right"/>
                  <w:rPr>
                    <w:szCs w:val="21"/>
                  </w:rPr>
                </w:pPr>
                <w:r w:rsidRPr="009423BC">
                  <w:rPr>
                    <w:szCs w:val="21"/>
                  </w:rPr>
                  <w:t>32,625,183</w:t>
                </w:r>
              </w:p>
            </w:tc>
            <w:tc>
              <w:tcPr>
                <w:tcW w:w="1697" w:type="pct"/>
              </w:tcPr>
              <w:p w:rsidR="00B637B2" w:rsidRDefault="00B637B2" w:rsidP="00B637B2">
                <w:pPr>
                  <w:ind w:right="73"/>
                  <w:jc w:val="right"/>
                  <w:rPr>
                    <w:szCs w:val="21"/>
                  </w:rPr>
                </w:pPr>
              </w:p>
            </w:tc>
          </w:tr>
        </w:tbl>
        <w:p w:rsidR="00B637B2" w:rsidRDefault="00B637B2"/>
        <w:p w:rsidR="00ED2DC7" w:rsidRDefault="00ED2DC7">
          <w:pPr>
            <w:snapToGrid w:val="0"/>
            <w:rPr>
              <w:szCs w:val="21"/>
            </w:rPr>
          </w:pPr>
          <w:r>
            <w:rPr>
              <w:rFonts w:hint="eastAsia"/>
              <w:szCs w:val="21"/>
            </w:rPr>
            <w:t>其他说明，包括重要的超过</w:t>
          </w:r>
          <w:r>
            <w:rPr>
              <w:szCs w:val="21"/>
            </w:rPr>
            <w:t>1年未支付的应付股利，应披露未支付原因：</w:t>
          </w:r>
        </w:p>
        <w:p w:rsidR="00ED2DC7" w:rsidRDefault="000D0A99">
          <w:pPr>
            <w:snapToGrid w:val="0"/>
            <w:rPr>
              <w:szCs w:val="21"/>
            </w:rPr>
          </w:pPr>
          <w:sdt>
            <w:sdtPr>
              <w:rPr>
                <w:szCs w:val="21"/>
              </w:rPr>
              <w:alias w:val="应付股利的说明"/>
              <w:tag w:val="_GBC_44da1c5f7ab647d2891e8b1c5f5bd521"/>
              <w:id w:val="-66348963"/>
              <w:lock w:val="sdtLocked"/>
              <w:placeholder>
                <w:docPart w:val="GBC22222222222222222222222222222"/>
              </w:placeholder>
            </w:sdtPr>
            <w:sdtContent>
              <w:r w:rsidR="009423BC">
                <w:rPr>
                  <w:rFonts w:hint="eastAsia"/>
                  <w:szCs w:val="21"/>
                </w:rPr>
                <w:t>无。</w:t>
              </w:r>
            </w:sdtContent>
          </w:sdt>
        </w:p>
      </w:sdtContent>
    </w:sdt>
    <w:bookmarkEnd w:id="173" w:displacedByCustomXml="prev"/>
    <w:p w:rsidR="00ED2DC7" w:rsidRDefault="00ED2DC7">
      <w:pPr>
        <w:rPr>
          <w:szCs w:val="21"/>
        </w:rPr>
      </w:pPr>
    </w:p>
    <w:p w:rsidR="00ED2DC7" w:rsidRDefault="00ED2DC7">
      <w:pPr>
        <w:pStyle w:val="affffffffffffffffff2"/>
      </w:pPr>
      <w:bookmarkStart w:id="174" w:name="_Hlk10536163"/>
      <w:r>
        <w:rPr>
          <w:rFonts w:hint="eastAsia"/>
        </w:rPr>
        <w:t>其他应付款</w:t>
      </w:r>
    </w:p>
    <w:sdt>
      <w:sdtPr>
        <w:rPr>
          <w:rFonts w:ascii="宋体" w:hAnsi="宋体" w:cs="宋体" w:hint="eastAsia"/>
          <w:b w:val="0"/>
          <w:bCs w:val="0"/>
          <w:kern w:val="0"/>
          <w:szCs w:val="24"/>
        </w:rPr>
        <w:alias w:val="模块:按款项性质列示其他应付款"/>
        <w:tag w:val="_SEC_df361e68406f49208d47d08674984872"/>
        <w:id w:val="105551050"/>
        <w:lock w:val="sdtLocked"/>
        <w:placeholder>
          <w:docPart w:val="GBC22222222222222222222222222222"/>
        </w:placeholder>
      </w:sdtPr>
      <w:sdtContent>
        <w:p w:rsidR="00ED2DC7" w:rsidRDefault="00ED2DC7" w:rsidP="00036BDC">
          <w:pPr>
            <w:pStyle w:val="affffffffffffffffff2"/>
            <w:numPr>
              <w:ilvl w:val="3"/>
              <w:numId w:val="72"/>
            </w:numPr>
          </w:pPr>
          <w:r>
            <w:rPr>
              <w:rFonts w:hint="eastAsia"/>
            </w:rPr>
            <w:t>按款项性质列示其他应付款</w:t>
          </w:r>
        </w:p>
        <w:sdt>
          <w:sdtPr>
            <w:alias w:val="是否适用：按款项性质列示其他应付款[双击切换]"/>
            <w:tag w:val="_GBC_a099ebd596de4984814ff6b49af92e86"/>
            <w:id w:val="-45451326"/>
            <w:lock w:val="sdtContentLocked"/>
            <w:placeholder>
              <w:docPart w:val="GBC22222222222222222222222222222"/>
            </w:placeholder>
          </w:sdtPr>
          <w:sdtContent>
            <w:p w:rsidR="00ED2DC7" w:rsidRDefault="00ED2DC7">
              <w:r>
                <w:fldChar w:fldCharType="begin"/>
              </w:r>
              <w:r w:rsidR="007C10C7">
                <w:instrText xml:space="preserve">MACROBUTTON  SnrToggleCheckbox √适用 </w:instrText>
              </w:r>
              <w:r>
                <w:fldChar w:fldCharType="end"/>
              </w:r>
              <w:r>
                <w:fldChar w:fldCharType="begin"/>
              </w:r>
              <w:r w:rsidR="007C10C7">
                <w:instrText xml:space="preserve"> MACROBUTTON  SnrToggleCheckbox □不适用 </w:instrText>
              </w:r>
              <w:r>
                <w:fldChar w:fldCharType="end"/>
              </w:r>
            </w:p>
          </w:sdtContent>
        </w:sdt>
        <w:p w:rsidR="009423BC" w:rsidRDefault="00ED2DC7">
          <w:pPr>
            <w:jc w:val="right"/>
            <w:rPr>
              <w:szCs w:val="21"/>
            </w:rPr>
          </w:pPr>
          <w:r>
            <w:rPr>
              <w:rFonts w:hint="eastAsia"/>
              <w:szCs w:val="21"/>
            </w:rPr>
            <w:t>单位：</w:t>
          </w:r>
          <w:sdt>
            <w:sdtPr>
              <w:rPr>
                <w:rFonts w:hint="eastAsia"/>
                <w:szCs w:val="21"/>
              </w:rPr>
              <w:alias w:val="单位：财务附注：其他应付款情况"/>
              <w:tag w:val="_GBC_781a05c0c742470b88557fa8878adf9c"/>
              <w:id w:val="-15444395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hint="eastAsia"/>
                  <w:szCs w:val="21"/>
                </w:rPr>
                <w:t>元</w:t>
              </w:r>
            </w:sdtContent>
          </w:sdt>
          <w:r>
            <w:rPr>
              <w:rFonts w:hint="eastAsia"/>
              <w:szCs w:val="21"/>
            </w:rPr>
            <w:t xml:space="preserve">  币种：</w:t>
          </w:r>
          <w:sdt>
            <w:sdtPr>
              <w:rPr>
                <w:rFonts w:hint="eastAsia"/>
                <w:szCs w:val="21"/>
              </w:rPr>
              <w:alias w:val="币种：财务附注：其他应付款情况"/>
              <w:tag w:val="_GBC_19bba6af93f1445cbfdc13ddfb71a0ea"/>
              <w:id w:val="-10523127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szCs w:val="21"/>
                </w:rPr>
                <w:t>人民币</w:t>
              </w:r>
            </w:sdtContent>
          </w:sdt>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0"/>
            <w:gridCol w:w="2924"/>
            <w:gridCol w:w="3049"/>
          </w:tblGrid>
          <w:tr w:rsidR="00C02DA0" w:rsidTr="00CE2FA5">
            <w:sdt>
              <w:sdtPr>
                <w:tag w:val="_PLD_3991c4118c8d4069811e5f758978143f"/>
                <w:id w:val="-1423724908"/>
                <w:lock w:val="sdtLocked"/>
              </w:sdtPr>
              <w:sdtContent>
                <w:tc>
                  <w:tcPr>
                    <w:tcW w:w="1615" w:type="pct"/>
                    <w:shd w:val="clear" w:color="auto" w:fill="auto"/>
                  </w:tcPr>
                  <w:p w:rsidR="00C02DA0" w:rsidRDefault="00C02DA0" w:rsidP="00CE2FA5">
                    <w:pPr>
                      <w:jc w:val="center"/>
                      <w:rPr>
                        <w:szCs w:val="21"/>
                      </w:rPr>
                    </w:pPr>
                    <w:r>
                      <w:rPr>
                        <w:rFonts w:hint="eastAsia"/>
                        <w:szCs w:val="21"/>
                      </w:rPr>
                      <w:t>项目</w:t>
                    </w:r>
                  </w:p>
                </w:tc>
              </w:sdtContent>
            </w:sdt>
            <w:sdt>
              <w:sdtPr>
                <w:tag w:val="_PLD_c1bcea3523f040f08da3a1bd0d135ad5"/>
                <w:id w:val="-633711592"/>
                <w:lock w:val="sdtLocked"/>
              </w:sdtPr>
              <w:sdtContent>
                <w:tc>
                  <w:tcPr>
                    <w:tcW w:w="1657" w:type="pct"/>
                    <w:shd w:val="clear" w:color="auto" w:fill="auto"/>
                  </w:tcPr>
                  <w:p w:rsidR="00C02DA0" w:rsidRDefault="00C02DA0" w:rsidP="00CE2FA5">
                    <w:pPr>
                      <w:jc w:val="center"/>
                      <w:rPr>
                        <w:szCs w:val="21"/>
                      </w:rPr>
                    </w:pPr>
                    <w:r>
                      <w:rPr>
                        <w:rFonts w:hint="eastAsia"/>
                        <w:szCs w:val="21"/>
                      </w:rPr>
                      <w:t>期末余额</w:t>
                    </w:r>
                  </w:p>
                </w:tc>
              </w:sdtContent>
            </w:sdt>
            <w:sdt>
              <w:sdtPr>
                <w:tag w:val="_PLD_b89663858245498c995c58e2bab384aa"/>
                <w:id w:val="-2052149648"/>
                <w:lock w:val="sdtLocked"/>
              </w:sdtPr>
              <w:sdtContent>
                <w:tc>
                  <w:tcPr>
                    <w:tcW w:w="1728" w:type="pct"/>
                    <w:shd w:val="clear" w:color="auto" w:fill="auto"/>
                  </w:tcPr>
                  <w:p w:rsidR="00C02DA0" w:rsidRDefault="00C02DA0" w:rsidP="00CE2FA5">
                    <w:pPr>
                      <w:jc w:val="center"/>
                      <w:rPr>
                        <w:szCs w:val="21"/>
                      </w:rPr>
                    </w:pPr>
                    <w:r>
                      <w:rPr>
                        <w:rFonts w:hint="eastAsia"/>
                        <w:szCs w:val="21"/>
                      </w:rPr>
                      <w:t>期初余额</w:t>
                    </w:r>
                  </w:p>
                </w:tc>
              </w:sdtContent>
            </w:sdt>
          </w:tr>
          <w:sdt>
            <w:sdtPr>
              <w:rPr>
                <w:rFonts w:asciiTheme="minorHAnsi" w:eastAsiaTheme="minorEastAsia" w:hAnsiTheme="minorHAnsi" w:cstheme="minorBidi" w:hint="eastAsia"/>
                <w:kern w:val="2"/>
                <w:szCs w:val="21"/>
              </w:rPr>
              <w:alias w:val="其他应付款情况明细"/>
              <w:tag w:val="_TUP_d68cb62e22fc4f99ab4d25c145efcd43"/>
              <w:id w:val="1761643755"/>
              <w:lock w:val="sdtLocked"/>
            </w:sdtPr>
            <w:sdtEndPr>
              <w:rPr>
                <w:rFonts w:hint="default"/>
              </w:rPr>
            </w:sdtEndPr>
            <w:sdtContent>
              <w:tr w:rsidR="00C02DA0" w:rsidTr="00B637B2">
                <w:tc>
                  <w:tcPr>
                    <w:tcW w:w="1615" w:type="pct"/>
                    <w:shd w:val="clear" w:color="auto" w:fill="auto"/>
                  </w:tcPr>
                  <w:p w:rsidR="00C02DA0" w:rsidRDefault="00C02DA0" w:rsidP="00CE2FA5">
                    <w:pPr>
                      <w:rPr>
                        <w:szCs w:val="21"/>
                      </w:rPr>
                    </w:pPr>
                    <w:r>
                      <w:t>备付金款项(注1)</w:t>
                    </w:r>
                  </w:p>
                </w:tc>
                <w:tc>
                  <w:tcPr>
                    <w:tcW w:w="1657" w:type="pct"/>
                    <w:shd w:val="clear" w:color="auto" w:fill="auto"/>
                    <w:vAlign w:val="center"/>
                  </w:tcPr>
                  <w:p w:rsidR="00C02DA0" w:rsidRPr="008C265F" w:rsidRDefault="00C02DA0" w:rsidP="00B637B2">
                    <w:pPr>
                      <w:jc w:val="right"/>
                    </w:pPr>
                    <w:r w:rsidRPr="008C265F">
                      <w:t>45,086,749</w:t>
                    </w:r>
                  </w:p>
                </w:tc>
                <w:tc>
                  <w:tcPr>
                    <w:tcW w:w="1728" w:type="pct"/>
                    <w:shd w:val="clear" w:color="auto" w:fill="auto"/>
                    <w:vAlign w:val="center"/>
                  </w:tcPr>
                  <w:p w:rsidR="00C02DA0" w:rsidRDefault="00C02DA0" w:rsidP="00B637B2">
                    <w:pPr>
                      <w:jc w:val="right"/>
                      <w:rPr>
                        <w:szCs w:val="21"/>
                      </w:rPr>
                    </w:pPr>
                    <w:r>
                      <w:t>264,622,799</w:t>
                    </w:r>
                  </w:p>
                </w:tc>
              </w:tr>
            </w:sdtContent>
          </w:sdt>
          <w:sdt>
            <w:sdtPr>
              <w:rPr>
                <w:rFonts w:asciiTheme="minorHAnsi" w:eastAsiaTheme="minorEastAsia" w:hAnsiTheme="minorHAnsi" w:cstheme="minorBidi" w:hint="eastAsia"/>
                <w:kern w:val="2"/>
                <w:szCs w:val="21"/>
              </w:rPr>
              <w:alias w:val="其他应付款情况明细"/>
              <w:tag w:val="_TUP_d68cb62e22fc4f99ab4d25c145efcd43"/>
              <w:id w:val="2089259684"/>
              <w:lock w:val="sdtLocked"/>
            </w:sdtPr>
            <w:sdtEndPr>
              <w:rPr>
                <w:rFonts w:hint="default"/>
              </w:rPr>
            </w:sdtEndPr>
            <w:sdtContent>
              <w:tr w:rsidR="00C02DA0" w:rsidTr="00B637B2">
                <w:tc>
                  <w:tcPr>
                    <w:tcW w:w="1615" w:type="pct"/>
                    <w:shd w:val="clear" w:color="auto" w:fill="auto"/>
                  </w:tcPr>
                  <w:p w:rsidR="00C02DA0" w:rsidRDefault="00C02DA0" w:rsidP="00CE2FA5">
                    <w:pPr>
                      <w:rPr>
                        <w:szCs w:val="21"/>
                      </w:rPr>
                    </w:pPr>
                    <w:r>
                      <w:t>应付软件园建设款(注2)</w:t>
                    </w:r>
                  </w:p>
                </w:tc>
                <w:tc>
                  <w:tcPr>
                    <w:tcW w:w="1657" w:type="pct"/>
                    <w:shd w:val="clear" w:color="auto" w:fill="auto"/>
                    <w:vAlign w:val="center"/>
                  </w:tcPr>
                  <w:p w:rsidR="00C02DA0" w:rsidRPr="008C265F" w:rsidRDefault="00C02DA0" w:rsidP="00B637B2">
                    <w:pPr>
                      <w:jc w:val="right"/>
                    </w:pPr>
                    <w:r w:rsidRPr="008C265F">
                      <w:t>232,315,429</w:t>
                    </w:r>
                  </w:p>
                </w:tc>
                <w:tc>
                  <w:tcPr>
                    <w:tcW w:w="1728" w:type="pct"/>
                    <w:shd w:val="clear" w:color="auto" w:fill="auto"/>
                    <w:vAlign w:val="center"/>
                  </w:tcPr>
                  <w:p w:rsidR="00C02DA0" w:rsidRDefault="00C02DA0" w:rsidP="00B637B2">
                    <w:pPr>
                      <w:jc w:val="right"/>
                      <w:rPr>
                        <w:szCs w:val="21"/>
                      </w:rPr>
                    </w:pPr>
                    <w:r>
                      <w:t>129,150,823</w:t>
                    </w:r>
                  </w:p>
                </w:tc>
              </w:tr>
            </w:sdtContent>
          </w:sdt>
          <w:sdt>
            <w:sdtPr>
              <w:rPr>
                <w:rFonts w:asciiTheme="minorHAnsi" w:eastAsiaTheme="minorEastAsia" w:hAnsiTheme="minorHAnsi" w:cstheme="minorBidi" w:hint="eastAsia"/>
                <w:kern w:val="2"/>
                <w:szCs w:val="21"/>
              </w:rPr>
              <w:alias w:val="其他应付款情况明细"/>
              <w:tag w:val="_TUP_d68cb62e22fc4f99ab4d25c145efcd43"/>
              <w:id w:val="-100188476"/>
              <w:lock w:val="sdtLocked"/>
            </w:sdtPr>
            <w:sdtEndPr>
              <w:rPr>
                <w:rFonts w:hint="default"/>
              </w:rPr>
            </w:sdtEndPr>
            <w:sdtContent>
              <w:tr w:rsidR="00C02DA0" w:rsidTr="00B637B2">
                <w:tc>
                  <w:tcPr>
                    <w:tcW w:w="1615" w:type="pct"/>
                    <w:shd w:val="clear" w:color="auto" w:fill="auto"/>
                  </w:tcPr>
                  <w:p w:rsidR="00C02DA0" w:rsidRDefault="00C02DA0" w:rsidP="00CE2FA5">
                    <w:pPr>
                      <w:rPr>
                        <w:szCs w:val="21"/>
                      </w:rPr>
                    </w:pPr>
                    <w:r>
                      <w:t>押金</w:t>
                    </w:r>
                  </w:p>
                </w:tc>
                <w:tc>
                  <w:tcPr>
                    <w:tcW w:w="1657" w:type="pct"/>
                    <w:shd w:val="clear" w:color="auto" w:fill="auto"/>
                    <w:vAlign w:val="center"/>
                  </w:tcPr>
                  <w:p w:rsidR="00C02DA0" w:rsidRPr="008C265F" w:rsidRDefault="00C02DA0" w:rsidP="00B637B2">
                    <w:pPr>
                      <w:jc w:val="right"/>
                    </w:pPr>
                    <w:r w:rsidRPr="008C265F">
                      <w:t>107,179,964</w:t>
                    </w:r>
                  </w:p>
                </w:tc>
                <w:tc>
                  <w:tcPr>
                    <w:tcW w:w="1728" w:type="pct"/>
                    <w:shd w:val="clear" w:color="auto" w:fill="auto"/>
                    <w:vAlign w:val="center"/>
                  </w:tcPr>
                  <w:p w:rsidR="00C02DA0" w:rsidRDefault="00C02DA0" w:rsidP="00B637B2">
                    <w:pPr>
                      <w:jc w:val="right"/>
                      <w:rPr>
                        <w:szCs w:val="21"/>
                      </w:rPr>
                    </w:pPr>
                    <w:r>
                      <w:t>97,244,075</w:t>
                    </w:r>
                  </w:p>
                </w:tc>
              </w:tr>
            </w:sdtContent>
          </w:sdt>
          <w:sdt>
            <w:sdtPr>
              <w:rPr>
                <w:rFonts w:asciiTheme="minorHAnsi" w:eastAsiaTheme="minorEastAsia" w:hAnsiTheme="minorHAnsi" w:cstheme="minorBidi" w:hint="eastAsia"/>
                <w:kern w:val="2"/>
                <w:szCs w:val="21"/>
              </w:rPr>
              <w:alias w:val="其他应付款情况明细"/>
              <w:tag w:val="_TUP_d68cb62e22fc4f99ab4d25c145efcd43"/>
              <w:id w:val="1252626305"/>
              <w:lock w:val="sdtLocked"/>
            </w:sdtPr>
            <w:sdtEndPr>
              <w:rPr>
                <w:rFonts w:hint="default"/>
              </w:rPr>
            </w:sdtEndPr>
            <w:sdtContent>
              <w:tr w:rsidR="00C02DA0" w:rsidTr="00B637B2">
                <w:tc>
                  <w:tcPr>
                    <w:tcW w:w="1615" w:type="pct"/>
                    <w:shd w:val="clear" w:color="auto" w:fill="auto"/>
                  </w:tcPr>
                  <w:p w:rsidR="00C02DA0" w:rsidRDefault="00C02DA0" w:rsidP="00CE2FA5">
                    <w:pPr>
                      <w:rPr>
                        <w:szCs w:val="21"/>
                      </w:rPr>
                    </w:pPr>
                    <w:r>
                      <w:t>应付土地开发建设费</w:t>
                    </w:r>
                  </w:p>
                </w:tc>
                <w:tc>
                  <w:tcPr>
                    <w:tcW w:w="1657" w:type="pct"/>
                    <w:shd w:val="clear" w:color="auto" w:fill="auto"/>
                    <w:vAlign w:val="center"/>
                  </w:tcPr>
                  <w:p w:rsidR="00C02DA0" w:rsidRPr="008C265F" w:rsidRDefault="00C02DA0" w:rsidP="00B637B2">
                    <w:pPr>
                      <w:jc w:val="right"/>
                    </w:pPr>
                    <w:r w:rsidRPr="008C265F">
                      <w:t>52,342,500</w:t>
                    </w:r>
                  </w:p>
                </w:tc>
                <w:tc>
                  <w:tcPr>
                    <w:tcW w:w="1728" w:type="pct"/>
                    <w:shd w:val="clear" w:color="auto" w:fill="auto"/>
                    <w:vAlign w:val="center"/>
                  </w:tcPr>
                  <w:p w:rsidR="00C02DA0" w:rsidRDefault="00C02DA0" w:rsidP="00B637B2">
                    <w:pPr>
                      <w:jc w:val="right"/>
                      <w:rPr>
                        <w:szCs w:val="21"/>
                      </w:rPr>
                    </w:pPr>
                    <w:r>
                      <w:t>52,342,500</w:t>
                    </w:r>
                  </w:p>
                </w:tc>
              </w:tr>
            </w:sdtContent>
          </w:sdt>
          <w:sdt>
            <w:sdtPr>
              <w:rPr>
                <w:rFonts w:asciiTheme="minorHAnsi" w:eastAsiaTheme="minorEastAsia" w:hAnsiTheme="minorHAnsi" w:cstheme="minorBidi" w:hint="eastAsia"/>
                <w:kern w:val="2"/>
                <w:szCs w:val="21"/>
              </w:rPr>
              <w:alias w:val="其他应付款情况明细"/>
              <w:tag w:val="_TUP_d68cb62e22fc4f99ab4d25c145efcd43"/>
              <w:id w:val="-1303540621"/>
              <w:lock w:val="sdtLocked"/>
            </w:sdtPr>
            <w:sdtEndPr>
              <w:rPr>
                <w:rFonts w:hint="default"/>
              </w:rPr>
            </w:sdtEndPr>
            <w:sdtContent>
              <w:tr w:rsidR="00C02DA0" w:rsidTr="00B637B2">
                <w:tc>
                  <w:tcPr>
                    <w:tcW w:w="1615" w:type="pct"/>
                    <w:shd w:val="clear" w:color="auto" w:fill="auto"/>
                  </w:tcPr>
                  <w:p w:rsidR="00C02DA0" w:rsidRDefault="00C02DA0" w:rsidP="00CE2FA5">
                    <w:pPr>
                      <w:rPr>
                        <w:szCs w:val="21"/>
                      </w:rPr>
                    </w:pPr>
                    <w:r>
                      <w:t>股权及业务收购款(注3)</w:t>
                    </w:r>
                  </w:p>
                </w:tc>
                <w:tc>
                  <w:tcPr>
                    <w:tcW w:w="1657" w:type="pct"/>
                    <w:shd w:val="clear" w:color="auto" w:fill="auto"/>
                    <w:vAlign w:val="center"/>
                  </w:tcPr>
                  <w:p w:rsidR="00C02DA0" w:rsidRPr="008C265F" w:rsidRDefault="00C02DA0" w:rsidP="00B637B2">
                    <w:pPr>
                      <w:jc w:val="right"/>
                    </w:pPr>
                    <w:r w:rsidRPr="008C265F">
                      <w:t>3,900,000</w:t>
                    </w:r>
                  </w:p>
                </w:tc>
                <w:tc>
                  <w:tcPr>
                    <w:tcW w:w="1728" w:type="pct"/>
                    <w:shd w:val="clear" w:color="auto" w:fill="auto"/>
                    <w:vAlign w:val="center"/>
                  </w:tcPr>
                  <w:p w:rsidR="00C02DA0" w:rsidRDefault="00C02DA0" w:rsidP="00B637B2">
                    <w:pPr>
                      <w:jc w:val="right"/>
                      <w:rPr>
                        <w:szCs w:val="21"/>
                      </w:rPr>
                    </w:pPr>
                    <w:r>
                      <w:t>7,179,879</w:t>
                    </w:r>
                  </w:p>
                </w:tc>
              </w:tr>
            </w:sdtContent>
          </w:sdt>
          <w:sdt>
            <w:sdtPr>
              <w:rPr>
                <w:rFonts w:asciiTheme="minorHAnsi" w:eastAsiaTheme="minorEastAsia" w:hAnsiTheme="minorHAnsi" w:cstheme="minorBidi" w:hint="eastAsia"/>
                <w:kern w:val="2"/>
                <w:szCs w:val="21"/>
              </w:rPr>
              <w:alias w:val="其他应付款情况明细"/>
              <w:tag w:val="_TUP_d68cb62e22fc4f99ab4d25c145efcd43"/>
              <w:id w:val="2139290130"/>
              <w:lock w:val="sdtLocked"/>
            </w:sdtPr>
            <w:sdtEndPr>
              <w:rPr>
                <w:rFonts w:hint="default"/>
              </w:rPr>
            </w:sdtEndPr>
            <w:sdtContent>
              <w:tr w:rsidR="00C02DA0" w:rsidTr="00B637B2">
                <w:tc>
                  <w:tcPr>
                    <w:tcW w:w="1615" w:type="pct"/>
                    <w:shd w:val="clear" w:color="auto" w:fill="auto"/>
                  </w:tcPr>
                  <w:p w:rsidR="00C02DA0" w:rsidRDefault="00C02DA0" w:rsidP="00CE2FA5">
                    <w:pPr>
                      <w:rPr>
                        <w:szCs w:val="21"/>
                      </w:rPr>
                    </w:pPr>
                    <w:r>
                      <w:t>库存股回购义务(注4)</w:t>
                    </w:r>
                  </w:p>
                </w:tc>
                <w:tc>
                  <w:tcPr>
                    <w:tcW w:w="1657" w:type="pct"/>
                    <w:shd w:val="clear" w:color="auto" w:fill="auto"/>
                    <w:vAlign w:val="center"/>
                  </w:tcPr>
                  <w:p w:rsidR="00C02DA0" w:rsidRPr="008C265F" w:rsidRDefault="00C02DA0" w:rsidP="00B637B2">
                    <w:pPr>
                      <w:jc w:val="right"/>
                    </w:pPr>
                    <w:r w:rsidRPr="008C265F">
                      <w:t>49,282,003</w:t>
                    </w:r>
                  </w:p>
                </w:tc>
                <w:tc>
                  <w:tcPr>
                    <w:tcW w:w="1728" w:type="pct"/>
                    <w:shd w:val="clear" w:color="auto" w:fill="auto"/>
                    <w:vAlign w:val="center"/>
                  </w:tcPr>
                  <w:p w:rsidR="00C02DA0" w:rsidRDefault="00C02DA0" w:rsidP="00B637B2">
                    <w:pPr>
                      <w:jc w:val="right"/>
                      <w:rPr>
                        <w:szCs w:val="21"/>
                      </w:rPr>
                    </w:pPr>
                    <w:r>
                      <w:t>51,339,691</w:t>
                    </w:r>
                  </w:p>
                </w:tc>
              </w:tr>
            </w:sdtContent>
          </w:sdt>
          <w:sdt>
            <w:sdtPr>
              <w:rPr>
                <w:rFonts w:asciiTheme="minorHAnsi" w:eastAsiaTheme="minorEastAsia" w:hAnsiTheme="minorHAnsi" w:cstheme="minorBidi" w:hint="eastAsia"/>
                <w:kern w:val="2"/>
                <w:szCs w:val="21"/>
              </w:rPr>
              <w:alias w:val="其他应付款情况明细"/>
              <w:tag w:val="_TUP_d68cb62e22fc4f99ab4d25c145efcd43"/>
              <w:id w:val="-32957092"/>
              <w:lock w:val="sdtLocked"/>
            </w:sdtPr>
            <w:sdtEndPr>
              <w:rPr>
                <w:rFonts w:hint="default"/>
              </w:rPr>
            </w:sdtEndPr>
            <w:sdtContent>
              <w:tr w:rsidR="00C02DA0" w:rsidTr="00B637B2">
                <w:tc>
                  <w:tcPr>
                    <w:tcW w:w="1615" w:type="pct"/>
                    <w:shd w:val="clear" w:color="auto" w:fill="auto"/>
                  </w:tcPr>
                  <w:p w:rsidR="00C02DA0" w:rsidRDefault="00C02DA0" w:rsidP="00CE2FA5">
                    <w:pPr>
                      <w:rPr>
                        <w:szCs w:val="21"/>
                      </w:rPr>
                    </w:pPr>
                    <w:r>
                      <w:t>服务质量保障金</w:t>
                    </w:r>
                  </w:p>
                </w:tc>
                <w:tc>
                  <w:tcPr>
                    <w:tcW w:w="1657" w:type="pct"/>
                    <w:shd w:val="clear" w:color="auto" w:fill="auto"/>
                    <w:vAlign w:val="center"/>
                  </w:tcPr>
                  <w:p w:rsidR="00C02DA0" w:rsidRPr="008C265F" w:rsidRDefault="00C02DA0" w:rsidP="00B637B2">
                    <w:pPr>
                      <w:jc w:val="right"/>
                    </w:pPr>
                    <w:r w:rsidRPr="008C265F">
                      <w:t>55,541,034</w:t>
                    </w:r>
                  </w:p>
                </w:tc>
                <w:tc>
                  <w:tcPr>
                    <w:tcW w:w="1728" w:type="pct"/>
                    <w:shd w:val="clear" w:color="auto" w:fill="auto"/>
                    <w:vAlign w:val="center"/>
                  </w:tcPr>
                  <w:p w:rsidR="00C02DA0" w:rsidRDefault="00C02DA0" w:rsidP="00B637B2">
                    <w:pPr>
                      <w:jc w:val="right"/>
                      <w:rPr>
                        <w:szCs w:val="21"/>
                      </w:rPr>
                    </w:pPr>
                    <w:r>
                      <w:t>57,072,160</w:t>
                    </w:r>
                  </w:p>
                </w:tc>
              </w:tr>
            </w:sdtContent>
          </w:sdt>
          <w:sdt>
            <w:sdtPr>
              <w:rPr>
                <w:rFonts w:asciiTheme="minorHAnsi" w:eastAsiaTheme="minorEastAsia" w:hAnsiTheme="minorHAnsi" w:cstheme="minorBidi" w:hint="eastAsia"/>
                <w:kern w:val="2"/>
                <w:szCs w:val="21"/>
              </w:rPr>
              <w:alias w:val="其他应付款情况明细"/>
              <w:tag w:val="_TUP_d68cb62e22fc4f99ab4d25c145efcd43"/>
              <w:id w:val="-1431511521"/>
              <w:lock w:val="sdtLocked"/>
            </w:sdtPr>
            <w:sdtEndPr>
              <w:rPr>
                <w:rFonts w:hint="default"/>
              </w:rPr>
            </w:sdtEndPr>
            <w:sdtContent>
              <w:tr w:rsidR="00C02DA0" w:rsidTr="00B637B2">
                <w:tc>
                  <w:tcPr>
                    <w:tcW w:w="1615" w:type="pct"/>
                    <w:shd w:val="clear" w:color="auto" w:fill="auto"/>
                  </w:tcPr>
                  <w:p w:rsidR="00C02DA0" w:rsidRDefault="00C02DA0" w:rsidP="00CE2FA5">
                    <w:pPr>
                      <w:rPr>
                        <w:szCs w:val="21"/>
                      </w:rPr>
                    </w:pPr>
                    <w:r>
                      <w:t>股权转让款</w:t>
                    </w:r>
                  </w:p>
                </w:tc>
                <w:tc>
                  <w:tcPr>
                    <w:tcW w:w="1657" w:type="pct"/>
                    <w:shd w:val="clear" w:color="auto" w:fill="auto"/>
                    <w:vAlign w:val="center"/>
                  </w:tcPr>
                  <w:p w:rsidR="00C02DA0" w:rsidRPr="008C265F" w:rsidRDefault="00C02DA0" w:rsidP="00B637B2">
                    <w:pPr>
                      <w:jc w:val="right"/>
                    </w:pPr>
                    <w:r w:rsidRPr="008C265F">
                      <w:t>-</w:t>
                    </w:r>
                  </w:p>
                </w:tc>
                <w:tc>
                  <w:tcPr>
                    <w:tcW w:w="1728" w:type="pct"/>
                    <w:shd w:val="clear" w:color="auto" w:fill="auto"/>
                    <w:vAlign w:val="center"/>
                  </w:tcPr>
                  <w:p w:rsidR="00C02DA0" w:rsidRDefault="00C02DA0" w:rsidP="00B637B2">
                    <w:pPr>
                      <w:jc w:val="right"/>
                      <w:rPr>
                        <w:szCs w:val="21"/>
                      </w:rPr>
                    </w:pPr>
                    <w:r>
                      <w:t>30,200,000</w:t>
                    </w:r>
                  </w:p>
                </w:tc>
              </w:tr>
            </w:sdtContent>
          </w:sdt>
          <w:sdt>
            <w:sdtPr>
              <w:rPr>
                <w:rFonts w:asciiTheme="minorHAnsi" w:eastAsiaTheme="minorEastAsia" w:hAnsiTheme="minorHAnsi" w:cstheme="minorBidi" w:hint="eastAsia"/>
                <w:kern w:val="2"/>
                <w:szCs w:val="21"/>
              </w:rPr>
              <w:alias w:val="其他应付款情况明细"/>
              <w:tag w:val="_TUP_d68cb62e22fc4f99ab4d25c145efcd43"/>
              <w:id w:val="-1059015707"/>
              <w:lock w:val="sdtLocked"/>
            </w:sdtPr>
            <w:sdtEndPr>
              <w:rPr>
                <w:rFonts w:hint="default"/>
              </w:rPr>
            </w:sdtEndPr>
            <w:sdtContent>
              <w:tr w:rsidR="00C02DA0" w:rsidTr="00B637B2">
                <w:tc>
                  <w:tcPr>
                    <w:tcW w:w="1615" w:type="pct"/>
                    <w:shd w:val="clear" w:color="auto" w:fill="auto"/>
                  </w:tcPr>
                  <w:p w:rsidR="00C02DA0" w:rsidRDefault="00C02DA0" w:rsidP="00CE2FA5">
                    <w:pPr>
                      <w:rPr>
                        <w:szCs w:val="21"/>
                      </w:rPr>
                    </w:pPr>
                    <w:r>
                      <w:t>其他</w:t>
                    </w:r>
                  </w:p>
                </w:tc>
                <w:tc>
                  <w:tcPr>
                    <w:tcW w:w="1657" w:type="pct"/>
                    <w:shd w:val="clear" w:color="auto" w:fill="auto"/>
                    <w:vAlign w:val="center"/>
                  </w:tcPr>
                  <w:p w:rsidR="00C02DA0" w:rsidRDefault="00C02DA0" w:rsidP="00B637B2">
                    <w:pPr>
                      <w:jc w:val="right"/>
                    </w:pPr>
                    <w:r w:rsidRPr="008C265F">
                      <w:t>163,272,969</w:t>
                    </w:r>
                  </w:p>
                </w:tc>
                <w:tc>
                  <w:tcPr>
                    <w:tcW w:w="1728" w:type="pct"/>
                    <w:shd w:val="clear" w:color="auto" w:fill="auto"/>
                    <w:vAlign w:val="center"/>
                  </w:tcPr>
                  <w:p w:rsidR="00C02DA0" w:rsidRDefault="00C02DA0" w:rsidP="00B637B2">
                    <w:pPr>
                      <w:jc w:val="right"/>
                      <w:rPr>
                        <w:szCs w:val="21"/>
                      </w:rPr>
                    </w:pPr>
                    <w:r>
                      <w:t>151,589,245</w:t>
                    </w:r>
                  </w:p>
                </w:tc>
              </w:tr>
            </w:sdtContent>
          </w:sdt>
          <w:tr w:rsidR="00C02DA0" w:rsidRPr="009423BC" w:rsidTr="00B637B2">
            <w:sdt>
              <w:sdtPr>
                <w:tag w:val="_PLD_dc1df66b4e6549929c6b91b265854e4c"/>
                <w:id w:val="-1090452925"/>
                <w:lock w:val="sdtLocked"/>
              </w:sdtPr>
              <w:sdtContent>
                <w:tc>
                  <w:tcPr>
                    <w:tcW w:w="1615" w:type="pct"/>
                    <w:shd w:val="clear" w:color="auto" w:fill="auto"/>
                  </w:tcPr>
                  <w:p w:rsidR="00C02DA0" w:rsidRDefault="00C02DA0" w:rsidP="00CE2FA5">
                    <w:pPr>
                      <w:jc w:val="center"/>
                      <w:rPr>
                        <w:color w:val="000000" w:themeColor="text1"/>
                        <w:szCs w:val="21"/>
                      </w:rPr>
                    </w:pPr>
                    <w:r>
                      <w:rPr>
                        <w:rFonts w:hint="eastAsia"/>
                        <w:color w:val="000000" w:themeColor="text1"/>
                        <w:szCs w:val="21"/>
                      </w:rPr>
                      <w:t>合计</w:t>
                    </w:r>
                  </w:p>
                </w:tc>
              </w:sdtContent>
            </w:sdt>
            <w:tc>
              <w:tcPr>
                <w:tcW w:w="1657" w:type="pct"/>
                <w:shd w:val="clear" w:color="auto" w:fill="auto"/>
                <w:vAlign w:val="center"/>
              </w:tcPr>
              <w:p w:rsidR="00C02DA0" w:rsidRPr="009423BC" w:rsidRDefault="00C02DA0" w:rsidP="00B637B2">
                <w:pPr>
                  <w:jc w:val="right"/>
                </w:pPr>
                <w:r w:rsidRPr="00C02DA0">
                  <w:t>708,920,648</w:t>
                </w:r>
              </w:p>
            </w:tc>
            <w:tc>
              <w:tcPr>
                <w:tcW w:w="1728" w:type="pct"/>
                <w:shd w:val="clear" w:color="auto" w:fill="auto"/>
                <w:vAlign w:val="center"/>
              </w:tcPr>
              <w:p w:rsidR="00C02DA0" w:rsidRPr="009423BC" w:rsidRDefault="00C02DA0" w:rsidP="00B637B2">
                <w:pPr>
                  <w:jc w:val="right"/>
                </w:pPr>
                <w:r w:rsidRPr="00C02DA0">
                  <w:t>840,741,172</w:t>
                </w:r>
              </w:p>
            </w:tc>
          </w:tr>
        </w:tbl>
        <w:p w:rsidR="00C02DA0" w:rsidRDefault="00C02DA0"/>
        <w:p w:rsidR="009423BC" w:rsidRDefault="009423BC" w:rsidP="009423BC">
          <w:r>
            <w:rPr>
              <w:rFonts w:hint="eastAsia"/>
            </w:rPr>
            <w:t>注</w:t>
          </w:r>
          <w:r>
            <w:t>1. 备付金款项指畅捷通支付因提供支付业务收取的备付金，该款项将于次日转至收款方的自有账户中。</w:t>
          </w:r>
        </w:p>
        <w:p w:rsidR="009423BC" w:rsidRDefault="009423BC" w:rsidP="009423BC"/>
        <w:p w:rsidR="009423BC" w:rsidRDefault="009423BC" w:rsidP="009423BC">
          <w:r>
            <w:rPr>
              <w:rFonts w:hint="eastAsia"/>
            </w:rPr>
            <w:lastRenderedPageBreak/>
            <w:t>注</w:t>
          </w:r>
          <w:r>
            <w:t>2. 应付软件园建设款主要核算与南昌产业园、用友软件园及三亚软件园建设相关的建筑工程设计、工程招标咨询、工程建造等应付未付款项。</w:t>
          </w:r>
        </w:p>
        <w:p w:rsidR="009423BC" w:rsidRDefault="009423BC" w:rsidP="009423BC"/>
        <w:p w:rsidR="009423BC" w:rsidRDefault="009423BC" w:rsidP="009423BC">
          <w:r>
            <w:rPr>
              <w:rFonts w:hint="eastAsia"/>
            </w:rPr>
            <w:t>注</w:t>
          </w:r>
          <w:r>
            <w:t xml:space="preserve">3. </w:t>
          </w:r>
          <w:r w:rsidR="008F04CF">
            <w:t>股权及业务收购款</w:t>
          </w:r>
          <w:r>
            <w:t>为收购平强业务的应付收购款人民币3,900,000元。</w:t>
          </w:r>
        </w:p>
        <w:p w:rsidR="009423BC" w:rsidRDefault="009423BC" w:rsidP="009423BC"/>
        <w:p w:rsidR="00ED2DC7" w:rsidRPr="009423BC" w:rsidRDefault="009423BC" w:rsidP="009423BC">
          <w:r>
            <w:rPr>
              <w:rFonts w:hint="eastAsia"/>
            </w:rPr>
            <w:t>注</w:t>
          </w:r>
          <w:r>
            <w:t>4. 该款项为公司实施股权激励计划产生的库存股回购义务</w:t>
          </w:r>
        </w:p>
      </w:sdtContent>
    </w:sdt>
    <w:p w:rsidR="00ED2DC7" w:rsidRDefault="00ED2DC7">
      <w:pPr>
        <w:rPr>
          <w:szCs w:val="21"/>
        </w:rPr>
      </w:pPr>
    </w:p>
    <w:sdt>
      <w:sdtPr>
        <w:rPr>
          <w:rFonts w:ascii="宋体" w:hAnsi="宋体" w:cs="宋体" w:hint="eastAsia"/>
          <w:b w:val="0"/>
          <w:bCs w:val="0"/>
          <w:kern w:val="0"/>
          <w:szCs w:val="24"/>
        </w:rPr>
        <w:alias w:val="模块:账龄超过1年的重要其他应付款"/>
        <w:tag w:val="_SEC_83408720712d4902a68e6c9ddd4c67ae"/>
        <w:id w:val="514963336"/>
        <w:lock w:val="sdtLocked"/>
        <w:placeholder>
          <w:docPart w:val="GBC22222222222222222222222222222"/>
        </w:placeholder>
      </w:sdtPr>
      <w:sdtContent>
        <w:p w:rsidR="00ED2DC7" w:rsidRDefault="00ED2DC7" w:rsidP="00036BDC">
          <w:pPr>
            <w:pStyle w:val="affffffffffffffffff2"/>
            <w:numPr>
              <w:ilvl w:val="3"/>
              <w:numId w:val="72"/>
            </w:numPr>
          </w:pPr>
          <w:r>
            <w:rPr>
              <w:rFonts w:hint="eastAsia"/>
            </w:rPr>
            <w:t>账龄超过</w:t>
          </w:r>
          <w:r>
            <w:t>1</w:t>
          </w:r>
          <w:r>
            <w:t>年的重要其他应付款</w:t>
          </w:r>
        </w:p>
        <w:p w:rsidR="00ED2DC7" w:rsidRDefault="000D0A99">
          <w:sdt>
            <w:sdtPr>
              <w:alias w:val="是否适用：账龄超过1年的重要其他应付款[双击切换]"/>
              <w:tag w:val="_GBC_484cd63ee8b54a41978c822ae4ec5689"/>
              <w:id w:val="1625580281"/>
              <w:lock w:val="sdtContentLocked"/>
              <w:placeholder>
                <w:docPart w:val="GBC22222222222222222222222222222"/>
              </w:placeholder>
            </w:sdtPr>
            <w:sdtContent>
              <w:r w:rsidR="00ED2DC7">
                <w:fldChar w:fldCharType="begin"/>
              </w:r>
              <w:r w:rsidR="007C10C7">
                <w:instrText xml:space="preserve">MACROBUTTON  SnrToggleCheckbox √适用 </w:instrText>
              </w:r>
              <w:r w:rsidR="00ED2DC7">
                <w:fldChar w:fldCharType="end"/>
              </w:r>
              <w:r w:rsidR="00ED2DC7">
                <w:fldChar w:fldCharType="begin"/>
              </w:r>
              <w:r w:rsidR="007C10C7">
                <w:instrText xml:space="preserve"> MACROBUTTON  SnrToggleCheckbox □不适用 </w:instrText>
              </w:r>
              <w:r w:rsidR="00ED2DC7">
                <w:fldChar w:fldCharType="end"/>
              </w:r>
            </w:sdtContent>
          </w:sdt>
        </w:p>
        <w:p w:rsidR="00C02DA0" w:rsidRDefault="00ED2DC7">
          <w:pPr>
            <w:jc w:val="right"/>
          </w:pPr>
          <w:r>
            <w:rPr>
              <w:rFonts w:hint="eastAsia"/>
            </w:rPr>
            <w:t>单位：</w:t>
          </w:r>
          <w:sdt>
            <w:sdtPr>
              <w:rPr>
                <w:rFonts w:hint="eastAsia"/>
              </w:rPr>
              <w:alias w:val="单位：财务附注：账龄超过1年的重要其他应付款"/>
              <w:tag w:val="_GBC_70627db7610a4aaf857bc90322d6cdfe"/>
              <w:id w:val="98242394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hint="eastAsia"/>
                </w:rPr>
                <w:t>元</w:t>
              </w:r>
            </w:sdtContent>
          </w:sdt>
          <w:r>
            <w:rPr>
              <w:rFonts w:hint="eastAsia"/>
            </w:rPr>
            <w:t xml:space="preserve">  币种：</w:t>
          </w:r>
          <w:sdt>
            <w:sdtPr>
              <w:rPr>
                <w:rFonts w:hint="eastAsia"/>
              </w:rPr>
              <w:alias w:val="币种：财务附注：账龄超过1年的重要其他应付款"/>
              <w:tag w:val="_GBC_8ef8bcf4c1a64fecb8d1bc26dcf905d1"/>
              <w:id w:val="-11131362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rPr>
                <w:t>人民币</w:t>
              </w:r>
            </w:sdtContent>
          </w:sdt>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6"/>
            <w:gridCol w:w="2952"/>
            <w:gridCol w:w="3035"/>
          </w:tblGrid>
          <w:tr w:rsidR="00835BD7" w:rsidTr="00CE2FA5">
            <w:trPr>
              <w:trHeight w:val="269"/>
            </w:trPr>
            <w:sdt>
              <w:sdtPr>
                <w:tag w:val="_PLD_a2b3ff41455140df9be8564e6380c550"/>
                <w:id w:val="-680820107"/>
                <w:lock w:val="sdtLocked"/>
              </w:sdtPr>
              <w:sdtContent>
                <w:tc>
                  <w:tcPr>
                    <w:tcW w:w="1607" w:type="pct"/>
                    <w:shd w:val="clear" w:color="auto" w:fill="auto"/>
                    <w:vAlign w:val="center"/>
                  </w:tcPr>
                  <w:p w:rsidR="00835BD7" w:rsidRDefault="00835BD7" w:rsidP="00CE2FA5">
                    <w:pPr>
                      <w:jc w:val="center"/>
                      <w:rPr>
                        <w:szCs w:val="21"/>
                      </w:rPr>
                    </w:pPr>
                    <w:r>
                      <w:rPr>
                        <w:rFonts w:hint="eastAsia"/>
                        <w:szCs w:val="21"/>
                      </w:rPr>
                      <w:t>项目</w:t>
                    </w:r>
                  </w:p>
                </w:tc>
              </w:sdtContent>
            </w:sdt>
            <w:sdt>
              <w:sdtPr>
                <w:tag w:val="_PLD_e96da55b57ef4b128b17e8730df5f38e"/>
                <w:id w:val="256335800"/>
                <w:lock w:val="sdtLocked"/>
              </w:sdtPr>
              <w:sdtContent>
                <w:tc>
                  <w:tcPr>
                    <w:tcW w:w="1673" w:type="pct"/>
                    <w:shd w:val="clear" w:color="auto" w:fill="auto"/>
                    <w:vAlign w:val="center"/>
                  </w:tcPr>
                  <w:p w:rsidR="00835BD7" w:rsidRDefault="00835BD7" w:rsidP="00CE2FA5">
                    <w:pPr>
                      <w:jc w:val="center"/>
                      <w:rPr>
                        <w:szCs w:val="21"/>
                      </w:rPr>
                    </w:pPr>
                    <w:r>
                      <w:rPr>
                        <w:rFonts w:hint="eastAsia"/>
                        <w:szCs w:val="21"/>
                      </w:rPr>
                      <w:t>期末余额</w:t>
                    </w:r>
                  </w:p>
                </w:tc>
              </w:sdtContent>
            </w:sdt>
            <w:sdt>
              <w:sdtPr>
                <w:tag w:val="_PLD_a0a7c81595d2416d898e57939ff78dd7"/>
                <w:id w:val="2047641467"/>
                <w:lock w:val="sdtLocked"/>
              </w:sdtPr>
              <w:sdtContent>
                <w:tc>
                  <w:tcPr>
                    <w:tcW w:w="1720" w:type="pct"/>
                    <w:shd w:val="clear" w:color="auto" w:fill="auto"/>
                    <w:vAlign w:val="center"/>
                  </w:tcPr>
                  <w:p w:rsidR="00835BD7" w:rsidRDefault="00835BD7" w:rsidP="00CE2FA5">
                    <w:pPr>
                      <w:jc w:val="center"/>
                      <w:rPr>
                        <w:szCs w:val="21"/>
                      </w:rPr>
                    </w:pPr>
                    <w:r>
                      <w:rPr>
                        <w:rFonts w:hint="eastAsia"/>
                        <w:szCs w:val="21"/>
                      </w:rPr>
                      <w:t>未偿还或结转的原因</w:t>
                    </w:r>
                  </w:p>
                </w:tc>
              </w:sdtContent>
            </w:sdt>
          </w:tr>
          <w:sdt>
            <w:sdtPr>
              <w:rPr>
                <w:rFonts w:asciiTheme="minorHAnsi" w:eastAsiaTheme="minorEastAsia" w:hAnsiTheme="minorHAnsi" w:cstheme="minorBidi"/>
                <w:kern w:val="2"/>
                <w:szCs w:val="21"/>
              </w:rPr>
              <w:alias w:val="重要的账龄超过1年的其他应付款明细"/>
              <w:tag w:val="_TUP_107abfb893f149c8878e75d2528d9efe"/>
              <w:id w:val="-873695074"/>
              <w:lock w:val="sdtLocked"/>
            </w:sdtPr>
            <w:sdtContent>
              <w:tr w:rsidR="00835BD7" w:rsidTr="00B637B2">
                <w:tc>
                  <w:tcPr>
                    <w:tcW w:w="1607" w:type="pct"/>
                    <w:tcBorders>
                      <w:bottom w:val="single" w:sz="4" w:space="0" w:color="auto"/>
                    </w:tcBorders>
                    <w:shd w:val="clear" w:color="auto" w:fill="auto"/>
                  </w:tcPr>
                  <w:p w:rsidR="00835BD7" w:rsidRDefault="00835BD7" w:rsidP="00835BD7">
                    <w:pPr>
                      <w:rPr>
                        <w:szCs w:val="21"/>
                      </w:rPr>
                    </w:pPr>
                    <w:r>
                      <w:t>单位1</w:t>
                    </w:r>
                  </w:p>
                </w:tc>
                <w:tc>
                  <w:tcPr>
                    <w:tcW w:w="1673" w:type="pct"/>
                    <w:shd w:val="clear" w:color="auto" w:fill="auto"/>
                    <w:vAlign w:val="center"/>
                  </w:tcPr>
                  <w:p w:rsidR="00835BD7" w:rsidRPr="00711E36" w:rsidRDefault="00835BD7" w:rsidP="00B637B2">
                    <w:pPr>
                      <w:jc w:val="right"/>
                    </w:pPr>
                    <w:r w:rsidRPr="00711E36">
                      <w:t>52,342,500</w:t>
                    </w:r>
                  </w:p>
                </w:tc>
                <w:tc>
                  <w:tcPr>
                    <w:tcW w:w="1720" w:type="pct"/>
                    <w:shd w:val="clear" w:color="auto" w:fill="auto"/>
                  </w:tcPr>
                  <w:p w:rsidR="00835BD7" w:rsidRDefault="00835BD7" w:rsidP="00835BD7">
                    <w:pPr>
                      <w:rPr>
                        <w:szCs w:val="21"/>
                      </w:rPr>
                    </w:pPr>
                    <w:r w:rsidRPr="00835BD7">
                      <w:rPr>
                        <w:rFonts w:hint="eastAsia"/>
                        <w:szCs w:val="21"/>
                      </w:rPr>
                      <w:t>未到合同约定的付款日</w:t>
                    </w:r>
                  </w:p>
                </w:tc>
              </w:tr>
            </w:sdtContent>
          </w:sdt>
          <w:sdt>
            <w:sdtPr>
              <w:rPr>
                <w:rFonts w:asciiTheme="minorHAnsi" w:eastAsiaTheme="minorEastAsia" w:hAnsiTheme="minorHAnsi" w:cstheme="minorBidi"/>
                <w:kern w:val="2"/>
                <w:szCs w:val="21"/>
              </w:rPr>
              <w:alias w:val="重要的账龄超过1年的其他应付款明细"/>
              <w:tag w:val="_TUP_107abfb893f149c8878e75d2528d9efe"/>
              <w:id w:val="-1784334757"/>
              <w:lock w:val="sdtLocked"/>
            </w:sdtPr>
            <w:sdtContent>
              <w:tr w:rsidR="00835BD7" w:rsidTr="00B637B2">
                <w:tc>
                  <w:tcPr>
                    <w:tcW w:w="1607" w:type="pct"/>
                    <w:tcBorders>
                      <w:bottom w:val="single" w:sz="4" w:space="0" w:color="auto"/>
                    </w:tcBorders>
                    <w:shd w:val="clear" w:color="auto" w:fill="auto"/>
                  </w:tcPr>
                  <w:p w:rsidR="00835BD7" w:rsidRDefault="00835BD7" w:rsidP="00835BD7">
                    <w:pPr>
                      <w:rPr>
                        <w:szCs w:val="21"/>
                      </w:rPr>
                    </w:pPr>
                    <w:r>
                      <w:t>单位2</w:t>
                    </w:r>
                  </w:p>
                </w:tc>
                <w:tc>
                  <w:tcPr>
                    <w:tcW w:w="1673" w:type="pct"/>
                    <w:shd w:val="clear" w:color="auto" w:fill="auto"/>
                    <w:vAlign w:val="center"/>
                  </w:tcPr>
                  <w:p w:rsidR="00835BD7" w:rsidRPr="00711E36" w:rsidRDefault="00835BD7" w:rsidP="00B637B2">
                    <w:pPr>
                      <w:jc w:val="right"/>
                    </w:pPr>
                    <w:r w:rsidRPr="00711E36">
                      <w:t>3,900,000</w:t>
                    </w:r>
                  </w:p>
                </w:tc>
                <w:tc>
                  <w:tcPr>
                    <w:tcW w:w="1720" w:type="pct"/>
                    <w:shd w:val="clear" w:color="auto" w:fill="auto"/>
                  </w:tcPr>
                  <w:p w:rsidR="00835BD7" w:rsidRDefault="00835BD7" w:rsidP="00835BD7">
                    <w:pPr>
                      <w:rPr>
                        <w:szCs w:val="21"/>
                      </w:rPr>
                    </w:pPr>
                    <w:r w:rsidRPr="00835BD7">
                      <w:rPr>
                        <w:rFonts w:hint="eastAsia"/>
                        <w:szCs w:val="21"/>
                      </w:rPr>
                      <w:t>未到合同约定的付款日</w:t>
                    </w:r>
                  </w:p>
                </w:tc>
              </w:tr>
            </w:sdtContent>
          </w:sdt>
          <w:sdt>
            <w:sdtPr>
              <w:rPr>
                <w:rFonts w:asciiTheme="minorHAnsi" w:eastAsiaTheme="minorEastAsia" w:hAnsiTheme="minorHAnsi" w:cstheme="minorBidi"/>
                <w:kern w:val="2"/>
                <w:szCs w:val="21"/>
              </w:rPr>
              <w:alias w:val="重要的账龄超过1年的其他应付款明细"/>
              <w:tag w:val="_TUP_107abfb893f149c8878e75d2528d9efe"/>
              <w:id w:val="-1999563420"/>
              <w:lock w:val="sdtLocked"/>
            </w:sdtPr>
            <w:sdtContent>
              <w:tr w:rsidR="00835BD7" w:rsidTr="00B637B2">
                <w:tc>
                  <w:tcPr>
                    <w:tcW w:w="1607" w:type="pct"/>
                    <w:tcBorders>
                      <w:bottom w:val="single" w:sz="4" w:space="0" w:color="auto"/>
                    </w:tcBorders>
                    <w:shd w:val="clear" w:color="auto" w:fill="auto"/>
                  </w:tcPr>
                  <w:p w:rsidR="00835BD7" w:rsidRDefault="00835BD7" w:rsidP="00835BD7">
                    <w:pPr>
                      <w:rPr>
                        <w:szCs w:val="21"/>
                      </w:rPr>
                    </w:pPr>
                    <w:r>
                      <w:t>单位3</w:t>
                    </w:r>
                  </w:p>
                </w:tc>
                <w:tc>
                  <w:tcPr>
                    <w:tcW w:w="1673" w:type="pct"/>
                    <w:shd w:val="clear" w:color="auto" w:fill="auto"/>
                    <w:vAlign w:val="center"/>
                  </w:tcPr>
                  <w:p w:rsidR="00835BD7" w:rsidRPr="00711E36" w:rsidRDefault="00835BD7" w:rsidP="00B637B2">
                    <w:pPr>
                      <w:jc w:val="right"/>
                    </w:pPr>
                    <w:r w:rsidRPr="00711E36">
                      <w:t>2,986,000</w:t>
                    </w:r>
                  </w:p>
                </w:tc>
                <w:tc>
                  <w:tcPr>
                    <w:tcW w:w="1720" w:type="pct"/>
                    <w:shd w:val="clear" w:color="auto" w:fill="auto"/>
                  </w:tcPr>
                  <w:p w:rsidR="00835BD7" w:rsidRDefault="00835BD7" w:rsidP="00835BD7">
                    <w:pPr>
                      <w:rPr>
                        <w:szCs w:val="21"/>
                      </w:rPr>
                    </w:pPr>
                    <w:r w:rsidRPr="00835BD7">
                      <w:rPr>
                        <w:rFonts w:hint="eastAsia"/>
                        <w:szCs w:val="21"/>
                      </w:rPr>
                      <w:t>未到合同约定的付款日</w:t>
                    </w:r>
                  </w:p>
                </w:tc>
              </w:tr>
            </w:sdtContent>
          </w:sdt>
          <w:tr w:rsidR="00835BD7" w:rsidRPr="00C02DA0" w:rsidTr="00B637B2">
            <w:sdt>
              <w:sdtPr>
                <w:tag w:val="_PLD_ea766d57335d427393a67dd762f0167b"/>
                <w:id w:val="-396511660"/>
                <w:lock w:val="sdtLocked"/>
              </w:sdtPr>
              <w:sdtContent>
                <w:tc>
                  <w:tcPr>
                    <w:tcW w:w="1607" w:type="pct"/>
                    <w:shd w:val="clear" w:color="auto" w:fill="auto"/>
                    <w:vAlign w:val="center"/>
                  </w:tcPr>
                  <w:p w:rsidR="00835BD7" w:rsidRDefault="00835BD7" w:rsidP="00CE2FA5">
                    <w:pPr>
                      <w:jc w:val="center"/>
                      <w:rPr>
                        <w:szCs w:val="21"/>
                      </w:rPr>
                    </w:pPr>
                    <w:r>
                      <w:rPr>
                        <w:rFonts w:hint="eastAsia"/>
                        <w:szCs w:val="21"/>
                      </w:rPr>
                      <w:t>合计</w:t>
                    </w:r>
                  </w:p>
                </w:tc>
              </w:sdtContent>
            </w:sdt>
            <w:tc>
              <w:tcPr>
                <w:tcW w:w="1673" w:type="pct"/>
                <w:shd w:val="clear" w:color="auto" w:fill="auto"/>
                <w:vAlign w:val="center"/>
              </w:tcPr>
              <w:p w:rsidR="00835BD7" w:rsidRDefault="00835BD7" w:rsidP="00B637B2">
                <w:pPr>
                  <w:jc w:val="right"/>
                  <w:rPr>
                    <w:szCs w:val="21"/>
                  </w:rPr>
                </w:pPr>
                <w:r w:rsidRPr="00835BD7">
                  <w:rPr>
                    <w:szCs w:val="21"/>
                  </w:rPr>
                  <w:t>59,228,500</w:t>
                </w:r>
              </w:p>
            </w:tc>
            <w:tc>
              <w:tcPr>
                <w:tcW w:w="1720" w:type="pct"/>
                <w:shd w:val="clear" w:color="auto" w:fill="auto"/>
              </w:tcPr>
              <w:p w:rsidR="00835BD7" w:rsidRDefault="00835BD7" w:rsidP="00CE2FA5">
                <w:pPr>
                  <w:jc w:val="center"/>
                  <w:rPr>
                    <w:szCs w:val="21"/>
                  </w:rPr>
                </w:pPr>
                <w:r>
                  <w:rPr>
                    <w:rFonts w:hint="eastAsia"/>
                    <w:szCs w:val="21"/>
                  </w:rPr>
                  <w:t>/</w:t>
                </w:r>
              </w:p>
            </w:tc>
          </w:tr>
        </w:tbl>
        <w:p w:rsidR="00835BD7" w:rsidRDefault="00835BD7"/>
        <w:p w:rsidR="00ED2DC7" w:rsidRPr="00C02DA0" w:rsidRDefault="000D0A99" w:rsidP="00C02DA0"/>
      </w:sdtContent>
    </w:sdt>
    <w:p w:rsidR="00ED2DC7" w:rsidRDefault="00ED2DC7"/>
    <w:sdt>
      <w:sdtPr>
        <w:rPr>
          <w:rFonts w:hint="eastAsia"/>
        </w:rPr>
        <w:alias w:val="模块:其他说明"/>
        <w:tag w:val="_SEC_b03fcb02b4b747249703cbc2e0a127fd"/>
        <w:id w:val="1740435399"/>
        <w:lock w:val="sdtLocked"/>
        <w:placeholder>
          <w:docPart w:val="GBC22222222222222222222222222222"/>
        </w:placeholder>
      </w:sdtPr>
      <w:sdtEndPr>
        <w:rPr>
          <w:rFonts w:hint="default"/>
          <w:szCs w:val="21"/>
        </w:rPr>
      </w:sdtEndPr>
      <w:sdtContent>
        <w:p w:rsidR="00ED2DC7" w:rsidRDefault="00ED2DC7">
          <w:r>
            <w:rPr>
              <w:rFonts w:hint="eastAsia"/>
            </w:rPr>
            <w:t>其他说明：</w:t>
          </w:r>
        </w:p>
        <w:sdt>
          <w:sdtPr>
            <w:alias w:val="是否适用：其他应付款的其他说明[双击切换]"/>
            <w:tag w:val="_GBC_c968ec386e144657884a6b5b483acbfd"/>
            <w:id w:val="974339888"/>
            <w:lock w:val="sdtContentLocked"/>
            <w:placeholder>
              <w:docPart w:val="GBC22222222222222222222222222222"/>
            </w:placeholder>
          </w:sdtPr>
          <w:sdtContent>
            <w:p w:rsidR="00ED2DC7" w:rsidRDefault="00ED2DC7" w:rsidP="007C10C7">
              <w:pPr>
                <w:rPr>
                  <w:szCs w:val="21"/>
                </w:rPr>
              </w:pPr>
              <w:r>
                <w:fldChar w:fldCharType="begin"/>
              </w:r>
              <w:r w:rsidR="007C10C7">
                <w:instrText xml:space="preserve">MACROBUTTON  SnrToggleCheckbox □适用 </w:instrText>
              </w:r>
              <w:r>
                <w:fldChar w:fldCharType="end"/>
              </w:r>
              <w:r>
                <w:fldChar w:fldCharType="begin"/>
              </w:r>
              <w:r w:rsidR="007C10C7">
                <w:instrText xml:space="preserve"> MACROBUTTON  SnrToggleCheckbox √不适用 </w:instrText>
              </w:r>
              <w:r>
                <w:fldChar w:fldCharType="end"/>
              </w:r>
            </w:p>
          </w:sdtContent>
        </w:sdt>
      </w:sdtContent>
    </w:sdt>
    <w:bookmarkEnd w:id="174"/>
    <w:p w:rsidR="00ED2DC7" w:rsidRDefault="00ED2DC7">
      <w:pPr>
        <w:rPr>
          <w:szCs w:val="21"/>
        </w:rPr>
      </w:pPr>
    </w:p>
    <w:bookmarkStart w:id="175" w:name="_Hlk10535609" w:displacedByCustomXml="next"/>
    <w:sdt>
      <w:sdtPr>
        <w:rPr>
          <w:rFonts w:ascii="宋体" w:hAnsi="宋体" w:cs="宋体" w:hint="eastAsia"/>
          <w:b w:val="0"/>
          <w:bCs w:val="0"/>
          <w:kern w:val="0"/>
          <w:szCs w:val="21"/>
        </w:rPr>
        <w:alias w:val="模块:合同负债"/>
        <w:tag w:val="_SEC_c98a59ac0d184ea5b3b590c23bf7ff8d"/>
        <w:id w:val="-760603719"/>
        <w:lock w:val="sdtLocked"/>
        <w:placeholder>
          <w:docPart w:val="GBC22222222222222222222222222222"/>
        </w:placeholder>
      </w:sdtPr>
      <w:sdtEndPr>
        <w:rPr>
          <w:rFonts w:hint="default"/>
        </w:rPr>
      </w:sdtEndPr>
      <w:sdtContent>
        <w:p w:rsidR="00ED2DC7" w:rsidRDefault="00ED2DC7" w:rsidP="00036BDC">
          <w:pPr>
            <w:pStyle w:val="affffffffffffffffff1"/>
            <w:numPr>
              <w:ilvl w:val="0"/>
              <w:numId w:val="49"/>
            </w:numPr>
            <w:tabs>
              <w:tab w:val="left" w:pos="504"/>
            </w:tabs>
            <w:rPr>
              <w:szCs w:val="21"/>
            </w:rPr>
          </w:pPr>
          <w:r>
            <w:rPr>
              <w:rFonts w:hint="eastAsia"/>
              <w:szCs w:val="21"/>
            </w:rPr>
            <w:t>合同负债</w:t>
          </w:r>
        </w:p>
        <w:p w:rsidR="00ED2DC7" w:rsidRDefault="00ED2DC7" w:rsidP="00036BDC">
          <w:pPr>
            <w:pStyle w:val="affffffffffffffffff2"/>
            <w:numPr>
              <w:ilvl w:val="0"/>
              <w:numId w:val="73"/>
            </w:numPr>
          </w:pPr>
          <w:r>
            <w:rPr>
              <w:rFonts w:hint="eastAsia"/>
            </w:rPr>
            <w:t>合同负债情况</w:t>
          </w:r>
        </w:p>
        <w:sdt>
          <w:sdtPr>
            <w:alias w:val="是否适用：合同负债情况[双击切换]"/>
            <w:tag w:val="_GBC_2b6238a8ea00438eab947f83a5f6451d"/>
            <w:id w:val="409118509"/>
            <w:lock w:val="sdtContentLocked"/>
            <w:placeholder>
              <w:docPart w:val="GBC22222222222222222222222222222"/>
            </w:placeholder>
          </w:sdtPr>
          <w:sdtContent>
            <w:p w:rsidR="00ED2DC7" w:rsidRDefault="00ED2DC7" w:rsidP="00FC78F7">
              <w:pPr>
                <w:rPr>
                  <w:szCs w:val="21"/>
                </w:rPr>
              </w:pPr>
              <w:r>
                <w:fldChar w:fldCharType="begin"/>
              </w:r>
              <w:r w:rsidR="00FC78F7">
                <w:instrText xml:space="preserve"> MACROBUTTON  SnrToggleCheckbox □适用 </w:instrText>
              </w:r>
              <w:r>
                <w:fldChar w:fldCharType="end"/>
              </w:r>
              <w:r>
                <w:fldChar w:fldCharType="begin"/>
              </w:r>
              <w:r w:rsidR="00FC78F7">
                <w:instrText xml:space="preserve"> MACROBUTTON  SnrToggleCheckbox √不适用 </w:instrText>
              </w:r>
              <w:r>
                <w:fldChar w:fldCharType="end"/>
              </w:r>
            </w:p>
          </w:sdtContent>
        </w:sdt>
      </w:sdtContent>
    </w:sdt>
    <w:bookmarkEnd w:id="175" w:displacedByCustomXml="prev"/>
    <w:bookmarkStart w:id="176" w:name="_Hlk10535674" w:displacedByCustomXml="next"/>
    <w:sdt>
      <w:sdtPr>
        <w:rPr>
          <w:rFonts w:ascii="宋体" w:hAnsi="宋体" w:cs="宋体" w:hint="eastAsia"/>
          <w:b w:val="0"/>
          <w:bCs w:val="0"/>
          <w:kern w:val="0"/>
          <w:szCs w:val="21"/>
        </w:rPr>
        <w:alias w:val="模块:报告期内账面价值发生重大变动的金额和原因"/>
        <w:tag w:val="_SEC_c824c488dbc74824b379bb9187c7bdf0"/>
        <w:id w:val="-2072413116"/>
        <w:lock w:val="sdtLocked"/>
        <w:placeholder>
          <w:docPart w:val="GBC22222222222222222222222222222"/>
        </w:placeholder>
      </w:sdtPr>
      <w:sdtEndPr>
        <w:rPr>
          <w:rFonts w:hint="default"/>
        </w:rPr>
      </w:sdtEndPr>
      <w:sdtContent>
        <w:p w:rsidR="00ED2DC7" w:rsidRDefault="00ED2DC7" w:rsidP="00036BDC">
          <w:pPr>
            <w:pStyle w:val="affffffffffffffffff2"/>
            <w:numPr>
              <w:ilvl w:val="0"/>
              <w:numId w:val="73"/>
            </w:numPr>
            <w:rPr>
              <w:szCs w:val="21"/>
            </w:rPr>
          </w:pPr>
          <w:r>
            <w:rPr>
              <w:rFonts w:hint="eastAsia"/>
              <w:szCs w:val="21"/>
            </w:rPr>
            <w:t>报告期内账面价值发生重大变动的金额和原因</w:t>
          </w:r>
        </w:p>
        <w:sdt>
          <w:sdtPr>
            <w:rPr>
              <w:szCs w:val="21"/>
            </w:rPr>
            <w:alias w:val="是否适用：合同负债账面价值发生重大变动[双击切换]"/>
            <w:tag w:val="_GBC_18d9cdd7095d4bda8f22860c58746248"/>
            <w:id w:val="-505209642"/>
            <w:lock w:val="sdtContentLocked"/>
            <w:placeholder>
              <w:docPart w:val="GBC22222222222222222222222222222"/>
            </w:placeholder>
          </w:sdtPr>
          <w:sdtContent>
            <w:p w:rsidR="00ED2DC7" w:rsidRDefault="00ED2DC7" w:rsidP="00FC78F7">
              <w:pPr>
                <w:rPr>
                  <w:szCs w:val="21"/>
                </w:rPr>
              </w:pPr>
              <w:r>
                <w:rPr>
                  <w:szCs w:val="21"/>
                </w:rPr>
                <w:fldChar w:fldCharType="begin"/>
              </w:r>
              <w:r w:rsidR="00FC78F7">
                <w:rPr>
                  <w:szCs w:val="21"/>
                </w:rPr>
                <w:instrText xml:space="preserve"> MACROBUTTON  SnrToggleCheckbox □适用 </w:instrText>
              </w:r>
              <w:r>
                <w:rPr>
                  <w:szCs w:val="21"/>
                </w:rPr>
                <w:fldChar w:fldCharType="end"/>
              </w:r>
              <w:r>
                <w:rPr>
                  <w:szCs w:val="21"/>
                </w:rPr>
                <w:fldChar w:fldCharType="begin"/>
              </w:r>
              <w:r w:rsidR="00FC78F7">
                <w:rPr>
                  <w:szCs w:val="21"/>
                </w:rPr>
                <w:instrText xml:space="preserve"> MACROBUTTON  SnrToggleCheckbox √不适用 </w:instrText>
              </w:r>
              <w:r>
                <w:rPr>
                  <w:szCs w:val="21"/>
                </w:rPr>
                <w:fldChar w:fldCharType="end"/>
              </w:r>
            </w:p>
          </w:sdtContent>
        </w:sdt>
      </w:sdtContent>
    </w:sdt>
    <w:bookmarkEnd w:id="176" w:displacedByCustomXml="prev"/>
    <w:bookmarkStart w:id="177" w:name="_Hlk10535687" w:displacedByCustomXml="next"/>
    <w:bookmarkStart w:id="178" w:name="_Hlk10535696" w:displacedByCustomXml="next"/>
    <w:sdt>
      <w:sdtPr>
        <w:rPr>
          <w:rFonts w:hint="eastAsia"/>
          <w:szCs w:val="21"/>
        </w:rPr>
        <w:alias w:val="模块:其他说明："/>
        <w:tag w:val="_SEC_1910d69cccc04d3fb0422784d0b1dd58"/>
        <w:id w:val="1691258785"/>
        <w:lock w:val="sdtLocked"/>
        <w:placeholder>
          <w:docPart w:val="GBC22222222222222222222222222222"/>
        </w:placeholder>
      </w:sdtPr>
      <w:sdtEndPr>
        <w:rPr>
          <w:rFonts w:hint="default"/>
        </w:rPr>
      </w:sdtEndPr>
      <w:sdtContent>
        <w:p w:rsidR="00ED2DC7" w:rsidRDefault="00ED2DC7">
          <w:pPr>
            <w:rPr>
              <w:szCs w:val="21"/>
            </w:rPr>
          </w:pPr>
          <w:r>
            <w:rPr>
              <w:rFonts w:hint="eastAsia"/>
              <w:szCs w:val="21"/>
            </w:rPr>
            <w:t>其他说明：</w:t>
          </w:r>
          <w:bookmarkEnd w:id="177"/>
        </w:p>
        <w:sdt>
          <w:sdtPr>
            <w:rPr>
              <w:szCs w:val="21"/>
            </w:rPr>
            <w:alias w:val="是否适用：合同负债其他说明[双击切换]"/>
            <w:tag w:val="_GBC_f73cf097b72042508657c656d4dc0c08"/>
            <w:id w:val="-1728681915"/>
            <w:lock w:val="sdtContentLocked"/>
            <w:placeholder>
              <w:docPart w:val="GBC22222222222222222222222222222"/>
            </w:placeholder>
          </w:sdtPr>
          <w:sdtContent>
            <w:p w:rsidR="00ED2DC7" w:rsidRDefault="00ED2DC7" w:rsidP="00FC78F7">
              <w:r>
                <w:rPr>
                  <w:szCs w:val="21"/>
                </w:rPr>
                <w:fldChar w:fldCharType="begin"/>
              </w:r>
              <w:r w:rsidR="00FC78F7">
                <w:rPr>
                  <w:szCs w:val="21"/>
                </w:rPr>
                <w:instrText xml:space="preserve"> MACROBUTTON  SnrToggleCheckbox □适用 </w:instrText>
              </w:r>
              <w:r>
                <w:rPr>
                  <w:szCs w:val="21"/>
                </w:rPr>
                <w:fldChar w:fldCharType="end"/>
              </w:r>
              <w:r>
                <w:rPr>
                  <w:szCs w:val="21"/>
                </w:rPr>
                <w:fldChar w:fldCharType="begin"/>
              </w:r>
              <w:r w:rsidR="00FC78F7">
                <w:rPr>
                  <w:szCs w:val="21"/>
                </w:rPr>
                <w:instrText xml:space="preserve"> MACROBUTTON  SnrToggleCheckbox √不适用 </w:instrText>
              </w:r>
              <w:r>
                <w:rPr>
                  <w:szCs w:val="21"/>
                </w:rPr>
                <w:fldChar w:fldCharType="end"/>
              </w:r>
            </w:p>
          </w:sdtContent>
        </w:sdt>
      </w:sdtContent>
    </w:sdt>
    <w:bookmarkEnd w:id="178" w:displacedByCustomXml="prev"/>
    <w:p w:rsidR="00ED2DC7" w:rsidRDefault="00ED2DC7">
      <w:pPr>
        <w:rPr>
          <w:szCs w:val="21"/>
        </w:rPr>
      </w:pPr>
    </w:p>
    <w:sdt>
      <w:sdtPr>
        <w:rPr>
          <w:rFonts w:ascii="宋体" w:hAnsi="宋体" w:cs="宋体" w:hint="eastAsia"/>
          <w:b w:val="0"/>
          <w:bCs w:val="0"/>
          <w:kern w:val="0"/>
          <w:szCs w:val="21"/>
        </w:rPr>
        <w:alias w:val="模块:划分为持有待售的负债"/>
        <w:tag w:val="_GBC_b863defdccbc448695ee82953f3da273"/>
        <w:id w:val="-2065175981"/>
        <w:lock w:val="sdtLocked"/>
        <w:placeholder>
          <w:docPart w:val="GBC22222222222222222222222222222"/>
        </w:placeholder>
      </w:sdtPr>
      <w:sdtContent>
        <w:p w:rsidR="00ED2DC7" w:rsidRDefault="00ED2DC7" w:rsidP="00036BDC">
          <w:pPr>
            <w:pStyle w:val="affffffffffffffffff1"/>
            <w:numPr>
              <w:ilvl w:val="0"/>
              <w:numId w:val="49"/>
            </w:numPr>
            <w:tabs>
              <w:tab w:val="left" w:pos="504"/>
            </w:tabs>
            <w:rPr>
              <w:szCs w:val="21"/>
            </w:rPr>
          </w:pPr>
          <w:r>
            <w:rPr>
              <w:rFonts w:ascii="宋体" w:hAnsi="宋体" w:hint="eastAsia"/>
              <w:szCs w:val="21"/>
            </w:rPr>
            <w:t>持有</w:t>
          </w:r>
          <w:r>
            <w:rPr>
              <w:rFonts w:hint="eastAsia"/>
              <w:szCs w:val="21"/>
            </w:rPr>
            <w:t>待售负债</w:t>
          </w:r>
        </w:p>
        <w:sdt>
          <w:sdtPr>
            <w:alias w:val="是否适用：划分为持有待售的负债[双击切换]"/>
            <w:tag w:val="_GBC_039b9e06b132407a89f578be468d6ec8"/>
            <w:id w:val="1766030130"/>
            <w:lock w:val="sdtContentLocked"/>
            <w:placeholder>
              <w:docPart w:val="GBC22222222222222222222222222222"/>
            </w:placeholder>
          </w:sdtPr>
          <w:sdtContent>
            <w:p w:rsidR="007C10C7" w:rsidRDefault="00ED2DC7" w:rsidP="007C10C7">
              <w:r>
                <w:fldChar w:fldCharType="begin"/>
              </w:r>
              <w:r w:rsidR="007C10C7">
                <w:instrText xml:space="preserve"> MACROBUTTON  SnrToggleCheckbox □适用 </w:instrText>
              </w:r>
              <w:r>
                <w:fldChar w:fldCharType="end"/>
              </w:r>
              <w:r>
                <w:fldChar w:fldCharType="begin"/>
              </w:r>
              <w:r w:rsidR="007C10C7">
                <w:instrText xml:space="preserve"> MACROBUTTON  SnrToggleCheckbox √不适用 </w:instrText>
              </w:r>
              <w:r>
                <w:fldChar w:fldCharType="end"/>
              </w:r>
            </w:p>
          </w:sdtContent>
        </w:sdt>
        <w:p w:rsidR="00ED2DC7" w:rsidRDefault="000D0A99">
          <w:pPr>
            <w:rPr>
              <w:szCs w:val="21"/>
            </w:rPr>
          </w:pPr>
        </w:p>
      </w:sdtContent>
    </w:sdt>
    <w:p w:rsidR="00ED2DC7" w:rsidRDefault="00ED2DC7">
      <w:pPr>
        <w:rPr>
          <w:szCs w:val="21"/>
        </w:rPr>
      </w:pPr>
    </w:p>
    <w:sdt>
      <w:sdtPr>
        <w:rPr>
          <w:rFonts w:ascii="宋体" w:hAnsi="宋体" w:cs="宋体" w:hint="eastAsia"/>
          <w:b w:val="0"/>
          <w:bCs w:val="0"/>
          <w:kern w:val="0"/>
          <w:szCs w:val="21"/>
        </w:rPr>
        <w:alias w:val="模块:1年内到期的非流动负债"/>
        <w:tag w:val="_GBC_d5b7f9c02d494f85b85a36713895b9f8"/>
        <w:id w:val="-159086516"/>
        <w:lock w:val="sdtLocked"/>
        <w:placeholder>
          <w:docPart w:val="GBC22222222222222222222222222222"/>
        </w:placeholder>
      </w:sdtPr>
      <w:sdtEndPr>
        <w:rPr>
          <w:rFonts w:hint="default"/>
        </w:rPr>
      </w:sdtEndPr>
      <w:sdtContent>
        <w:p w:rsidR="00ED2DC7" w:rsidRDefault="00ED2DC7" w:rsidP="00036BDC">
          <w:pPr>
            <w:pStyle w:val="affffffffffffffffff1"/>
            <w:numPr>
              <w:ilvl w:val="0"/>
              <w:numId w:val="49"/>
            </w:numPr>
            <w:tabs>
              <w:tab w:val="left" w:pos="504"/>
            </w:tabs>
            <w:rPr>
              <w:rFonts w:ascii="宋体" w:hAnsi="宋体"/>
              <w:szCs w:val="21"/>
            </w:rPr>
          </w:pPr>
          <w:r>
            <w:rPr>
              <w:rFonts w:ascii="宋体" w:hAnsi="宋体" w:hint="eastAsia"/>
              <w:szCs w:val="21"/>
            </w:rPr>
            <w:t>1年内到期的非流动负债</w:t>
          </w:r>
        </w:p>
        <w:sdt>
          <w:sdtPr>
            <w:alias w:val="是否适用：1年内到期的非流动负债[双击切换]"/>
            <w:tag w:val="_GBC_9b606bc3f0cf4f77be9b0f299d212c73"/>
            <w:id w:val="-418945621"/>
            <w:lock w:val="sdtContentLocked"/>
            <w:placeholder>
              <w:docPart w:val="GBC22222222222222222222222222222"/>
            </w:placeholder>
          </w:sdtPr>
          <w:sdtContent>
            <w:p w:rsidR="00FC78F7" w:rsidRDefault="00ED2DC7" w:rsidP="00FC78F7">
              <w:r>
                <w:fldChar w:fldCharType="begin"/>
              </w:r>
              <w:r w:rsidR="008F04CF">
                <w:instrText xml:space="preserve"> MACROBUTTON  SnrToggleCheckbox √适用 </w:instrText>
              </w:r>
              <w:r>
                <w:fldChar w:fldCharType="end"/>
              </w:r>
              <w:r>
                <w:fldChar w:fldCharType="begin"/>
              </w:r>
              <w:r w:rsidR="008F04CF">
                <w:instrText xml:space="preserve"> MACROBUTTON  SnrToggleCheckbox □不适用 </w:instrText>
              </w:r>
              <w:r>
                <w:fldChar w:fldCharType="end"/>
              </w:r>
            </w:p>
          </w:sdtContent>
        </w:sdt>
        <w:p w:rsidR="00B637B2" w:rsidRDefault="008F04CF">
          <w:pPr>
            <w:jc w:val="right"/>
            <w:rPr>
              <w:szCs w:val="21"/>
            </w:rPr>
          </w:pPr>
          <w:r>
            <w:rPr>
              <w:rFonts w:hint="eastAsia"/>
              <w:szCs w:val="21"/>
            </w:rPr>
            <w:t>单位：</w:t>
          </w:r>
          <w:sdt>
            <w:sdtPr>
              <w:rPr>
                <w:rFonts w:hint="eastAsia"/>
                <w:szCs w:val="21"/>
              </w:rPr>
              <w:alias w:val="单位：1年内到期的非流动负债情况"/>
              <w:tag w:val="_GBC_7bad01766fa0485ea9c16109704ff32e"/>
              <w:id w:val="-1407907008"/>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1年内到期的非流动负债情况"/>
              <w:tag w:val="_GBC_25aa805434d340a6ade79870522c9640"/>
              <w:id w:val="-59886386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3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6"/>
            <w:gridCol w:w="2961"/>
            <w:gridCol w:w="3026"/>
          </w:tblGrid>
          <w:tr w:rsidR="00B637B2" w:rsidTr="00D17AF1">
            <w:sdt>
              <w:sdtPr>
                <w:tag w:val="_PLD_bf2815b84ebe4a1e94909ee96ec31ac1"/>
                <w:id w:val="949823562"/>
                <w:lock w:val="sdtLocked"/>
              </w:sdtPr>
              <w:sdtContent>
                <w:tc>
                  <w:tcPr>
                    <w:tcW w:w="1607" w:type="pct"/>
                    <w:shd w:val="clear" w:color="auto" w:fill="auto"/>
                  </w:tcPr>
                  <w:p w:rsidR="00B637B2" w:rsidRDefault="008F04CF">
                    <w:pPr>
                      <w:jc w:val="center"/>
                      <w:rPr>
                        <w:szCs w:val="21"/>
                      </w:rPr>
                    </w:pPr>
                    <w:r>
                      <w:rPr>
                        <w:rFonts w:hint="eastAsia"/>
                        <w:szCs w:val="21"/>
                      </w:rPr>
                      <w:t>项目</w:t>
                    </w:r>
                  </w:p>
                </w:tc>
              </w:sdtContent>
            </w:sdt>
            <w:sdt>
              <w:sdtPr>
                <w:tag w:val="_PLD_db7abcf611bc4296ad7bd9c8177202e0"/>
                <w:id w:val="-277952653"/>
                <w:lock w:val="sdtLocked"/>
              </w:sdtPr>
              <w:sdtContent>
                <w:tc>
                  <w:tcPr>
                    <w:tcW w:w="1678" w:type="pct"/>
                    <w:shd w:val="clear" w:color="auto" w:fill="auto"/>
                  </w:tcPr>
                  <w:p w:rsidR="00B637B2" w:rsidRDefault="008F04CF">
                    <w:pPr>
                      <w:jc w:val="center"/>
                      <w:rPr>
                        <w:szCs w:val="21"/>
                      </w:rPr>
                    </w:pPr>
                    <w:r>
                      <w:rPr>
                        <w:rFonts w:hint="eastAsia"/>
                        <w:szCs w:val="21"/>
                      </w:rPr>
                      <w:t>期末余额</w:t>
                    </w:r>
                  </w:p>
                </w:tc>
              </w:sdtContent>
            </w:sdt>
            <w:sdt>
              <w:sdtPr>
                <w:tag w:val="_PLD_371959274ef4493ca1fe426c930e0bf2"/>
                <w:id w:val="482335"/>
                <w:lock w:val="sdtLocked"/>
              </w:sdtPr>
              <w:sdtContent>
                <w:tc>
                  <w:tcPr>
                    <w:tcW w:w="1715" w:type="pct"/>
                    <w:shd w:val="clear" w:color="auto" w:fill="auto"/>
                  </w:tcPr>
                  <w:p w:rsidR="00B637B2" w:rsidRDefault="008F04CF">
                    <w:pPr>
                      <w:jc w:val="center"/>
                      <w:rPr>
                        <w:szCs w:val="21"/>
                      </w:rPr>
                    </w:pPr>
                    <w:r>
                      <w:rPr>
                        <w:rFonts w:hint="eastAsia"/>
                        <w:szCs w:val="21"/>
                      </w:rPr>
                      <w:t>期初余额</w:t>
                    </w:r>
                  </w:p>
                </w:tc>
              </w:sdtContent>
            </w:sdt>
          </w:tr>
          <w:tr w:rsidR="00B637B2" w:rsidTr="00D17AF1">
            <w:sdt>
              <w:sdtPr>
                <w:tag w:val="_PLD_d604ff944003432285ae67c4dffb978f"/>
                <w:id w:val="1982351730"/>
                <w:lock w:val="sdtLocked"/>
              </w:sdtPr>
              <w:sdtContent>
                <w:tc>
                  <w:tcPr>
                    <w:tcW w:w="1607" w:type="pct"/>
                    <w:shd w:val="clear" w:color="auto" w:fill="auto"/>
                  </w:tcPr>
                  <w:p w:rsidR="00B637B2" w:rsidRDefault="008F04CF">
                    <w:pPr>
                      <w:rPr>
                        <w:szCs w:val="21"/>
                      </w:rPr>
                    </w:pPr>
                    <w:r>
                      <w:rPr>
                        <w:rFonts w:hint="eastAsia"/>
                        <w:szCs w:val="21"/>
                      </w:rPr>
                      <w:t>1年内到期的长期借款</w:t>
                    </w:r>
                  </w:p>
                </w:tc>
              </w:sdtContent>
            </w:sdt>
            <w:tc>
              <w:tcPr>
                <w:tcW w:w="1678" w:type="pct"/>
                <w:shd w:val="clear" w:color="auto" w:fill="auto"/>
              </w:tcPr>
              <w:p w:rsidR="00B637B2" w:rsidRDefault="008F04CF">
                <w:pPr>
                  <w:jc w:val="right"/>
                  <w:rPr>
                    <w:szCs w:val="21"/>
                  </w:rPr>
                </w:pPr>
                <w:r w:rsidRPr="00AE078F">
                  <w:rPr>
                    <w:szCs w:val="21"/>
                  </w:rPr>
                  <w:t>90,000,000</w:t>
                </w:r>
              </w:p>
            </w:tc>
            <w:tc>
              <w:tcPr>
                <w:tcW w:w="1715" w:type="pct"/>
                <w:shd w:val="clear" w:color="auto" w:fill="auto"/>
              </w:tcPr>
              <w:p w:rsidR="00B637B2" w:rsidRDefault="008F04CF">
                <w:pPr>
                  <w:jc w:val="right"/>
                  <w:rPr>
                    <w:szCs w:val="21"/>
                  </w:rPr>
                </w:pPr>
                <w:r w:rsidRPr="00AE078F">
                  <w:rPr>
                    <w:szCs w:val="21"/>
                  </w:rPr>
                  <w:t>133,471,227</w:t>
                </w:r>
              </w:p>
            </w:tc>
          </w:tr>
          <w:tr w:rsidR="00B637B2" w:rsidTr="00D17AF1">
            <w:sdt>
              <w:sdtPr>
                <w:tag w:val="_PLD_f9405fec461a4b079f93c72be0490bbf"/>
                <w:id w:val="-365675100"/>
                <w:lock w:val="sdtLocked"/>
              </w:sdtPr>
              <w:sdtContent>
                <w:tc>
                  <w:tcPr>
                    <w:tcW w:w="1607" w:type="pct"/>
                    <w:shd w:val="clear" w:color="auto" w:fill="auto"/>
                  </w:tcPr>
                  <w:p w:rsidR="00B637B2" w:rsidRDefault="008F04CF">
                    <w:pPr>
                      <w:jc w:val="center"/>
                      <w:rPr>
                        <w:szCs w:val="21"/>
                      </w:rPr>
                    </w:pPr>
                    <w:r>
                      <w:rPr>
                        <w:rFonts w:hint="eastAsia"/>
                        <w:szCs w:val="21"/>
                      </w:rPr>
                      <w:t>合计</w:t>
                    </w:r>
                  </w:p>
                </w:tc>
              </w:sdtContent>
            </w:sdt>
            <w:tc>
              <w:tcPr>
                <w:tcW w:w="1678" w:type="pct"/>
                <w:shd w:val="clear" w:color="auto" w:fill="auto"/>
              </w:tcPr>
              <w:p w:rsidR="00B637B2" w:rsidRDefault="008F04CF">
                <w:pPr>
                  <w:jc w:val="right"/>
                  <w:rPr>
                    <w:szCs w:val="21"/>
                  </w:rPr>
                </w:pPr>
                <w:r w:rsidRPr="00AE078F">
                  <w:rPr>
                    <w:szCs w:val="21"/>
                  </w:rPr>
                  <w:t>90,000,000</w:t>
                </w:r>
              </w:p>
            </w:tc>
            <w:tc>
              <w:tcPr>
                <w:tcW w:w="1715" w:type="pct"/>
                <w:shd w:val="clear" w:color="auto" w:fill="auto"/>
              </w:tcPr>
              <w:p w:rsidR="00B637B2" w:rsidRDefault="00036BDC">
                <w:pPr>
                  <w:jc w:val="right"/>
                  <w:rPr>
                    <w:szCs w:val="21"/>
                  </w:rPr>
                </w:pPr>
                <w:r w:rsidRPr="00AE078F">
                  <w:rPr>
                    <w:szCs w:val="21"/>
                  </w:rPr>
                  <w:t>133,471,227</w:t>
                </w:r>
              </w:p>
            </w:tc>
          </w:tr>
        </w:tbl>
        <w:p w:rsidR="00B637B2" w:rsidRDefault="008F04CF">
          <w:pPr>
            <w:rPr>
              <w:szCs w:val="21"/>
            </w:rPr>
          </w:pPr>
          <w:r>
            <w:rPr>
              <w:rFonts w:hint="eastAsia"/>
              <w:szCs w:val="21"/>
            </w:rPr>
            <w:t>其他说明：</w:t>
          </w:r>
        </w:p>
        <w:sdt>
          <w:sdtPr>
            <w:rPr>
              <w:szCs w:val="21"/>
            </w:rPr>
            <w:alias w:val="1年内到期的非流动负债说明"/>
            <w:tag w:val="_GBC_ae2cc1bff1994660ac9e57279493bfe6"/>
            <w:id w:val="221799493"/>
            <w:lock w:val="sdtLocked"/>
          </w:sdtPr>
          <w:sdtContent>
            <w:p w:rsidR="00B637B2" w:rsidRDefault="008F04CF">
              <w:pPr>
                <w:rPr>
                  <w:szCs w:val="21"/>
                </w:rPr>
              </w:pPr>
              <w:r>
                <w:rPr>
                  <w:rFonts w:hint="eastAsia"/>
                  <w:szCs w:val="21"/>
                </w:rPr>
                <w:t>无。</w:t>
              </w:r>
            </w:p>
          </w:sdtContent>
        </w:sdt>
        <w:p w:rsidR="00ED2DC7" w:rsidRDefault="00ED2DC7">
          <w:pPr>
            <w:rPr>
              <w:szCs w:val="21"/>
            </w:rPr>
          </w:pPr>
        </w:p>
        <w:p w:rsidR="00ED2DC7" w:rsidRDefault="000D0A99">
          <w:pPr>
            <w:rPr>
              <w:szCs w:val="21"/>
            </w:rPr>
          </w:pPr>
        </w:p>
      </w:sdtContent>
    </w:sdt>
    <w:p w:rsidR="00ED2DC7" w:rsidRDefault="00ED2DC7" w:rsidP="00036BDC">
      <w:pPr>
        <w:pStyle w:val="affffffffffffffffff1"/>
        <w:numPr>
          <w:ilvl w:val="0"/>
          <w:numId w:val="49"/>
        </w:numPr>
        <w:tabs>
          <w:tab w:val="left" w:pos="504"/>
        </w:tabs>
        <w:rPr>
          <w:rFonts w:ascii="宋体" w:hAnsi="宋体"/>
          <w:szCs w:val="21"/>
        </w:rPr>
      </w:pPr>
      <w:r>
        <w:rPr>
          <w:rFonts w:ascii="宋体" w:hAnsi="宋体" w:hint="eastAsia"/>
          <w:szCs w:val="21"/>
        </w:rPr>
        <w:t>其他流动负债</w:t>
      </w:r>
      <w:bookmarkStart w:id="179" w:name="_Hlk10536328"/>
    </w:p>
    <w:sdt>
      <w:sdtPr>
        <w:rPr>
          <w:rFonts w:hint="eastAsia"/>
          <w:szCs w:val="21"/>
        </w:rPr>
        <w:alias w:val="是否适用：其他流动负债情况 [双击切换]"/>
        <w:tag w:val="_GBC_80907e3e53c44260b850f42646eb3d63"/>
        <w:id w:val="460394204"/>
        <w:lock w:val="sdtContentLocked"/>
        <w:placeholder>
          <w:docPart w:val="GBC22222222222222222222222222222"/>
        </w:placeholder>
      </w:sdtPr>
      <w:sdtContent>
        <w:p w:rsidR="00FC78F7" w:rsidRDefault="00ED2DC7" w:rsidP="00FC78F7">
          <w:pPr>
            <w:rPr>
              <w:szCs w:val="21"/>
            </w:rPr>
          </w:pPr>
          <w:r>
            <w:rPr>
              <w:szCs w:val="21"/>
            </w:rPr>
            <w:fldChar w:fldCharType="begin"/>
          </w:r>
          <w:r w:rsidR="008F04CF">
            <w:rPr>
              <w:szCs w:val="21"/>
            </w:rPr>
            <w:instrText xml:space="preserve"> MACROBUTTON  SnrToggleCheckbox √适用 </w:instrText>
          </w:r>
          <w:r>
            <w:rPr>
              <w:szCs w:val="21"/>
            </w:rPr>
            <w:fldChar w:fldCharType="end"/>
          </w:r>
          <w:r>
            <w:rPr>
              <w:szCs w:val="21"/>
            </w:rPr>
            <w:fldChar w:fldCharType="begin"/>
          </w:r>
          <w:r w:rsidR="008F04CF">
            <w:rPr>
              <w:szCs w:val="21"/>
            </w:rPr>
            <w:instrText xml:space="preserve"> MACROBUTTON  SnrToggleCheckbox □不适用 </w:instrText>
          </w:r>
          <w:r>
            <w:rPr>
              <w:szCs w:val="21"/>
            </w:rPr>
            <w:fldChar w:fldCharType="end"/>
          </w:r>
        </w:p>
      </w:sdtContent>
    </w:sdt>
    <w:bookmarkEnd w:id="179" w:displacedByCustomXml="prev"/>
    <w:sdt>
      <w:sdtPr>
        <w:rPr>
          <w:rFonts w:hint="eastAsia"/>
          <w:szCs w:val="21"/>
        </w:rPr>
        <w:alias w:val="模块:其他流动负债"/>
        <w:tag w:val="_SEC_56be6eded8da4d0d9ac5c3624a91cdc6"/>
        <w:id w:val="-764156398"/>
        <w:lock w:val="sdtLocked"/>
      </w:sdtPr>
      <w:sdtEndPr>
        <w:rPr>
          <w:szCs w:val="24"/>
        </w:rPr>
      </w:sdtEndPr>
      <w:sdtContent>
        <w:p w:rsidR="00B637B2" w:rsidRDefault="008F04CF">
          <w:pPr>
            <w:jc w:val="right"/>
            <w:rPr>
              <w:szCs w:val="21"/>
            </w:rPr>
          </w:pPr>
          <w:r>
            <w:rPr>
              <w:rFonts w:hint="eastAsia"/>
              <w:szCs w:val="21"/>
            </w:rPr>
            <w:t>单位：</w:t>
          </w:r>
          <w:sdt>
            <w:sdtPr>
              <w:rPr>
                <w:rFonts w:hint="eastAsia"/>
                <w:szCs w:val="21"/>
              </w:rPr>
              <w:alias w:val="单位：财务附注：其他流动负债"/>
              <w:tag w:val="_GBC_6d31349460124941a4929421727aab0e"/>
              <w:id w:val="1715925907"/>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其他流动负债"/>
              <w:tag w:val="_GBC_7d8c93066ac541859a45d371953d3cdc"/>
              <w:id w:val="-81880438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35"/>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31"/>
            <w:gridCol w:w="3041"/>
            <w:gridCol w:w="3051"/>
          </w:tblGrid>
          <w:tr w:rsidR="00B637B2" w:rsidTr="00B637B2">
            <w:trPr>
              <w:jc w:val="center"/>
            </w:trPr>
            <w:sdt>
              <w:sdtPr>
                <w:tag w:val="_PLD_8fb682e3d6ad4a60b648ec38137fbf9d"/>
                <w:id w:val="31082178"/>
                <w:lock w:val="sdtLocked"/>
              </w:sdtPr>
              <w:sdtContent>
                <w:tc>
                  <w:tcPr>
                    <w:tcW w:w="1547" w:type="pct"/>
                    <w:tcBorders>
                      <w:top w:val="single" w:sz="4" w:space="0" w:color="auto"/>
                      <w:left w:val="single" w:sz="4" w:space="0" w:color="auto"/>
                      <w:bottom w:val="single" w:sz="4" w:space="0" w:color="auto"/>
                      <w:right w:val="single" w:sz="4" w:space="0" w:color="auto"/>
                    </w:tcBorders>
                    <w:vAlign w:val="bottom"/>
                  </w:tcPr>
                  <w:p w:rsidR="00B637B2" w:rsidRDefault="008F04CF" w:rsidP="00B637B2">
                    <w:pPr>
                      <w:tabs>
                        <w:tab w:val="right" w:pos="3690"/>
                        <w:tab w:val="right" w:pos="5130"/>
                        <w:tab w:val="right" w:pos="6030"/>
                        <w:tab w:val="right" w:pos="7650"/>
                        <w:tab w:val="right" w:pos="9270"/>
                      </w:tabs>
                      <w:snapToGrid w:val="0"/>
                      <w:ind w:leftChars="-52" w:left="-109"/>
                      <w:jc w:val="center"/>
                      <w:rPr>
                        <w:szCs w:val="21"/>
                      </w:rPr>
                    </w:pPr>
                    <w:r>
                      <w:rPr>
                        <w:rFonts w:hint="eastAsia"/>
                        <w:szCs w:val="21"/>
                      </w:rPr>
                      <w:t>项目</w:t>
                    </w:r>
                  </w:p>
                </w:tc>
              </w:sdtContent>
            </w:sdt>
            <w:sdt>
              <w:sdtPr>
                <w:tag w:val="_PLD_0c0b762dc58f486f9f736b7ace21e9a0"/>
                <w:id w:val="-875238761"/>
                <w:lock w:val="sdtLocked"/>
              </w:sdtPr>
              <w:sdtContent>
                <w:tc>
                  <w:tcPr>
                    <w:tcW w:w="1723" w:type="pct"/>
                    <w:tcBorders>
                      <w:top w:val="single" w:sz="4" w:space="0" w:color="auto"/>
                      <w:left w:val="single" w:sz="4" w:space="0" w:color="auto"/>
                      <w:bottom w:val="single" w:sz="4" w:space="0" w:color="auto"/>
                      <w:right w:val="single" w:sz="4" w:space="0" w:color="auto"/>
                    </w:tcBorders>
                  </w:tcPr>
                  <w:p w:rsidR="00B637B2" w:rsidRDefault="008F04CF" w:rsidP="00B637B2">
                    <w:pPr>
                      <w:adjustRightInd w:val="0"/>
                      <w:snapToGrid w:val="0"/>
                      <w:jc w:val="center"/>
                      <w:rPr>
                        <w:szCs w:val="21"/>
                      </w:rPr>
                    </w:pPr>
                    <w:r>
                      <w:rPr>
                        <w:rFonts w:hint="eastAsia"/>
                        <w:szCs w:val="21"/>
                      </w:rPr>
                      <w:t>期末余额</w:t>
                    </w:r>
                  </w:p>
                </w:tc>
              </w:sdtContent>
            </w:sdt>
            <w:sdt>
              <w:sdtPr>
                <w:tag w:val="_PLD_942d693f41424f82b813e282a8210643"/>
                <w:id w:val="291172503"/>
                <w:lock w:val="sdtLocked"/>
              </w:sdtPr>
              <w:sdtContent>
                <w:tc>
                  <w:tcPr>
                    <w:tcW w:w="1729" w:type="pct"/>
                    <w:tcBorders>
                      <w:top w:val="single" w:sz="4" w:space="0" w:color="auto"/>
                      <w:left w:val="single" w:sz="4" w:space="0" w:color="auto"/>
                      <w:bottom w:val="single" w:sz="4" w:space="0" w:color="auto"/>
                      <w:right w:val="single" w:sz="4" w:space="0" w:color="auto"/>
                    </w:tcBorders>
                  </w:tcPr>
                  <w:p w:rsidR="00B637B2" w:rsidRDefault="008F04CF" w:rsidP="00B637B2">
                    <w:pPr>
                      <w:adjustRightInd w:val="0"/>
                      <w:snapToGrid w:val="0"/>
                      <w:jc w:val="center"/>
                      <w:rPr>
                        <w:szCs w:val="21"/>
                      </w:rPr>
                    </w:pPr>
                    <w:r>
                      <w:rPr>
                        <w:rFonts w:hint="eastAsia"/>
                        <w:szCs w:val="21"/>
                      </w:rPr>
                      <w:t>期初余额</w:t>
                    </w:r>
                  </w:p>
                </w:tc>
              </w:sdtContent>
            </w:sdt>
          </w:tr>
          <w:tr w:rsidR="00B637B2" w:rsidTr="00B637B2">
            <w:trPr>
              <w:jc w:val="center"/>
            </w:trPr>
            <w:sdt>
              <w:sdtPr>
                <w:tag w:val="_PLD_ded88bf4ef70481a9765df686ab4ec99"/>
                <w:id w:val="1099375291"/>
                <w:lock w:val="sdtLocked"/>
              </w:sdtPr>
              <w:sdtContent>
                <w:tc>
                  <w:tcPr>
                    <w:tcW w:w="1547" w:type="pct"/>
                    <w:tcBorders>
                      <w:top w:val="single" w:sz="4" w:space="0" w:color="auto"/>
                      <w:left w:val="single" w:sz="4" w:space="0" w:color="auto"/>
                      <w:bottom w:val="single" w:sz="4" w:space="0" w:color="auto"/>
                      <w:right w:val="single" w:sz="4" w:space="0" w:color="auto"/>
                    </w:tcBorders>
                  </w:tcPr>
                  <w:p w:rsidR="00B637B2" w:rsidRDefault="008F04CF" w:rsidP="00B637B2">
                    <w:pPr>
                      <w:rPr>
                        <w:color w:val="000000" w:themeColor="text1"/>
                        <w:szCs w:val="21"/>
                      </w:rPr>
                    </w:pPr>
                    <w:r>
                      <w:rPr>
                        <w:rFonts w:hint="eastAsia"/>
                        <w:szCs w:val="21"/>
                      </w:rPr>
                      <w:t>短期应付债券</w:t>
                    </w:r>
                  </w:p>
                </w:tc>
              </w:sdtContent>
            </w:sdt>
            <w:tc>
              <w:tcPr>
                <w:tcW w:w="1723" w:type="pct"/>
                <w:tcBorders>
                  <w:top w:val="single" w:sz="4" w:space="0" w:color="auto"/>
                  <w:left w:val="single" w:sz="4" w:space="0" w:color="auto"/>
                  <w:bottom w:val="single" w:sz="4" w:space="0" w:color="auto"/>
                  <w:right w:val="single" w:sz="4" w:space="0" w:color="auto"/>
                </w:tcBorders>
              </w:tcPr>
              <w:p w:rsidR="00B637B2" w:rsidRDefault="00B637B2" w:rsidP="00B637B2">
                <w:pPr>
                  <w:jc w:val="right"/>
                  <w:rPr>
                    <w:szCs w:val="21"/>
                  </w:rPr>
                </w:pPr>
              </w:p>
            </w:tc>
            <w:tc>
              <w:tcPr>
                <w:tcW w:w="1729" w:type="pct"/>
                <w:tcBorders>
                  <w:top w:val="single" w:sz="4" w:space="0" w:color="auto"/>
                  <w:left w:val="single" w:sz="4" w:space="0" w:color="auto"/>
                  <w:bottom w:val="single" w:sz="4" w:space="0" w:color="auto"/>
                  <w:right w:val="single" w:sz="4" w:space="0" w:color="auto"/>
                </w:tcBorders>
              </w:tcPr>
              <w:p w:rsidR="00B637B2" w:rsidRDefault="00B637B2" w:rsidP="00B637B2">
                <w:pPr>
                  <w:jc w:val="right"/>
                  <w:rPr>
                    <w:szCs w:val="21"/>
                  </w:rPr>
                </w:pPr>
              </w:p>
            </w:tc>
          </w:tr>
          <w:tr w:rsidR="00B637B2" w:rsidTr="00B637B2">
            <w:trPr>
              <w:jc w:val="center"/>
            </w:trPr>
            <w:sdt>
              <w:sdtPr>
                <w:tag w:val="_PLD_8a3ee9fb31a7471489501bd0334950d5"/>
                <w:id w:val="-1149127370"/>
                <w:lock w:val="sdtLocked"/>
              </w:sdtPr>
              <w:sdtContent>
                <w:tc>
                  <w:tcPr>
                    <w:tcW w:w="1547" w:type="pct"/>
                    <w:tcBorders>
                      <w:top w:val="single" w:sz="4" w:space="0" w:color="auto"/>
                      <w:left w:val="single" w:sz="4" w:space="0" w:color="auto"/>
                      <w:bottom w:val="single" w:sz="4" w:space="0" w:color="auto"/>
                      <w:right w:val="single" w:sz="4" w:space="0" w:color="auto"/>
                    </w:tcBorders>
                  </w:tcPr>
                  <w:p w:rsidR="00B637B2" w:rsidRDefault="008F04CF" w:rsidP="00B637B2">
                    <w:r>
                      <w:rPr>
                        <w:rFonts w:hint="eastAsia"/>
                      </w:rPr>
                      <w:t>应付退货款</w:t>
                    </w:r>
                  </w:p>
                </w:tc>
              </w:sdtContent>
            </w:sdt>
            <w:tc>
              <w:tcPr>
                <w:tcW w:w="1723" w:type="pct"/>
                <w:tcBorders>
                  <w:top w:val="single" w:sz="4" w:space="0" w:color="auto"/>
                  <w:left w:val="single" w:sz="4" w:space="0" w:color="auto"/>
                  <w:bottom w:val="single" w:sz="4" w:space="0" w:color="auto"/>
                  <w:right w:val="single" w:sz="4" w:space="0" w:color="auto"/>
                </w:tcBorders>
              </w:tcPr>
              <w:p w:rsidR="00B637B2" w:rsidRDefault="00B637B2" w:rsidP="00B637B2">
                <w:pPr>
                  <w:jc w:val="right"/>
                  <w:rPr>
                    <w:szCs w:val="21"/>
                  </w:rPr>
                </w:pPr>
              </w:p>
            </w:tc>
            <w:tc>
              <w:tcPr>
                <w:tcW w:w="1729" w:type="pct"/>
                <w:tcBorders>
                  <w:top w:val="single" w:sz="4" w:space="0" w:color="auto"/>
                  <w:left w:val="single" w:sz="4" w:space="0" w:color="auto"/>
                  <w:bottom w:val="single" w:sz="4" w:space="0" w:color="auto"/>
                  <w:right w:val="single" w:sz="4" w:space="0" w:color="auto"/>
                </w:tcBorders>
              </w:tcPr>
              <w:p w:rsidR="00B637B2" w:rsidRDefault="00B637B2" w:rsidP="00B637B2">
                <w:pPr>
                  <w:jc w:val="right"/>
                  <w:rPr>
                    <w:szCs w:val="21"/>
                  </w:rPr>
                </w:pPr>
              </w:p>
            </w:tc>
          </w:tr>
          <w:sdt>
            <w:sdtPr>
              <w:rPr>
                <w:rFonts w:hint="eastAsia"/>
                <w:szCs w:val="21"/>
              </w:rPr>
              <w:alias w:val="其他流动负债明细"/>
              <w:tag w:val="_GBC_6ad57a8cdfbd4161b9e29fe9e473fce8"/>
              <w:id w:val="931091676"/>
              <w:lock w:val="sdtLocked"/>
            </w:sdtPr>
            <w:sdtContent>
              <w:tr w:rsidR="00B637B2" w:rsidTr="00B637B2">
                <w:trPr>
                  <w:jc w:val="center"/>
                </w:trPr>
                <w:tc>
                  <w:tcPr>
                    <w:tcW w:w="1547" w:type="pct"/>
                    <w:tcBorders>
                      <w:top w:val="single" w:sz="4" w:space="0" w:color="auto"/>
                      <w:left w:val="single" w:sz="4" w:space="0" w:color="auto"/>
                      <w:bottom w:val="single" w:sz="4" w:space="0" w:color="auto"/>
                      <w:right w:val="single" w:sz="4" w:space="0" w:color="auto"/>
                    </w:tcBorders>
                  </w:tcPr>
                  <w:p w:rsidR="00B637B2" w:rsidRDefault="008F04CF" w:rsidP="00B637B2">
                    <w:pPr>
                      <w:rPr>
                        <w:szCs w:val="21"/>
                      </w:rPr>
                    </w:pPr>
                    <w:r>
                      <w:t>待转销项税</w:t>
                    </w:r>
                  </w:p>
                </w:tc>
                <w:tc>
                  <w:tcPr>
                    <w:tcW w:w="1723" w:type="pct"/>
                    <w:tcBorders>
                      <w:top w:val="single" w:sz="4" w:space="0" w:color="auto"/>
                      <w:left w:val="single" w:sz="4" w:space="0" w:color="auto"/>
                      <w:bottom w:val="single" w:sz="4" w:space="0" w:color="auto"/>
                      <w:right w:val="single" w:sz="4" w:space="0" w:color="auto"/>
                    </w:tcBorders>
                  </w:tcPr>
                  <w:p w:rsidR="00B637B2" w:rsidRDefault="008F04CF" w:rsidP="00B637B2">
                    <w:pPr>
                      <w:jc w:val="right"/>
                      <w:rPr>
                        <w:szCs w:val="21"/>
                      </w:rPr>
                    </w:pPr>
                    <w:r>
                      <w:t>108,035,348</w:t>
                    </w:r>
                  </w:p>
                </w:tc>
                <w:tc>
                  <w:tcPr>
                    <w:tcW w:w="1729" w:type="pct"/>
                    <w:tcBorders>
                      <w:top w:val="single" w:sz="4" w:space="0" w:color="auto"/>
                      <w:left w:val="single" w:sz="4" w:space="0" w:color="auto"/>
                      <w:bottom w:val="single" w:sz="4" w:space="0" w:color="auto"/>
                      <w:right w:val="single" w:sz="4" w:space="0" w:color="auto"/>
                    </w:tcBorders>
                  </w:tcPr>
                  <w:p w:rsidR="00B637B2" w:rsidRDefault="008F04CF" w:rsidP="00B637B2">
                    <w:pPr>
                      <w:jc w:val="right"/>
                      <w:rPr>
                        <w:szCs w:val="21"/>
                      </w:rPr>
                    </w:pPr>
                    <w:r>
                      <w:t>145,751,437</w:t>
                    </w:r>
                  </w:p>
                </w:tc>
              </w:tr>
            </w:sdtContent>
          </w:sdt>
          <w:sdt>
            <w:sdtPr>
              <w:rPr>
                <w:rFonts w:hint="eastAsia"/>
                <w:szCs w:val="21"/>
              </w:rPr>
              <w:alias w:val="其他流动负债明细"/>
              <w:tag w:val="_GBC_6ad57a8cdfbd4161b9e29fe9e473fce8"/>
              <w:id w:val="-620999420"/>
              <w:lock w:val="sdtLocked"/>
            </w:sdtPr>
            <w:sdtContent>
              <w:tr w:rsidR="00B637B2" w:rsidTr="00B637B2">
                <w:trPr>
                  <w:jc w:val="center"/>
                </w:trPr>
                <w:tc>
                  <w:tcPr>
                    <w:tcW w:w="1547" w:type="pct"/>
                    <w:tcBorders>
                      <w:top w:val="single" w:sz="4" w:space="0" w:color="auto"/>
                      <w:left w:val="single" w:sz="4" w:space="0" w:color="auto"/>
                      <w:bottom w:val="single" w:sz="4" w:space="0" w:color="auto"/>
                      <w:right w:val="single" w:sz="4" w:space="0" w:color="auto"/>
                    </w:tcBorders>
                  </w:tcPr>
                  <w:p w:rsidR="00B637B2" w:rsidRDefault="008F04CF" w:rsidP="00B637B2">
                    <w:pPr>
                      <w:rPr>
                        <w:szCs w:val="21"/>
                      </w:rPr>
                    </w:pPr>
                    <w:r>
                      <w:t>审计费</w:t>
                    </w:r>
                  </w:p>
                </w:tc>
                <w:tc>
                  <w:tcPr>
                    <w:tcW w:w="1723" w:type="pct"/>
                    <w:tcBorders>
                      <w:top w:val="single" w:sz="4" w:space="0" w:color="auto"/>
                      <w:left w:val="single" w:sz="4" w:space="0" w:color="auto"/>
                      <w:bottom w:val="single" w:sz="4" w:space="0" w:color="auto"/>
                      <w:right w:val="single" w:sz="4" w:space="0" w:color="auto"/>
                    </w:tcBorders>
                  </w:tcPr>
                  <w:p w:rsidR="00B637B2" w:rsidRDefault="008F04CF" w:rsidP="00B637B2">
                    <w:pPr>
                      <w:jc w:val="right"/>
                      <w:rPr>
                        <w:szCs w:val="21"/>
                      </w:rPr>
                    </w:pPr>
                    <w:r>
                      <w:t>-</w:t>
                    </w:r>
                  </w:p>
                </w:tc>
                <w:tc>
                  <w:tcPr>
                    <w:tcW w:w="1729" w:type="pct"/>
                    <w:tcBorders>
                      <w:top w:val="single" w:sz="4" w:space="0" w:color="auto"/>
                      <w:left w:val="single" w:sz="4" w:space="0" w:color="auto"/>
                      <w:bottom w:val="single" w:sz="4" w:space="0" w:color="auto"/>
                      <w:right w:val="single" w:sz="4" w:space="0" w:color="auto"/>
                    </w:tcBorders>
                  </w:tcPr>
                  <w:p w:rsidR="00B637B2" w:rsidRDefault="008F04CF" w:rsidP="00B637B2">
                    <w:pPr>
                      <w:jc w:val="right"/>
                      <w:rPr>
                        <w:szCs w:val="21"/>
                      </w:rPr>
                    </w:pPr>
                    <w:r>
                      <w:t>2,000,000</w:t>
                    </w:r>
                  </w:p>
                </w:tc>
              </w:tr>
            </w:sdtContent>
          </w:sdt>
          <w:sdt>
            <w:sdtPr>
              <w:rPr>
                <w:rFonts w:hint="eastAsia"/>
                <w:szCs w:val="21"/>
              </w:rPr>
              <w:alias w:val="其他流动负债明细"/>
              <w:tag w:val="_GBC_6ad57a8cdfbd4161b9e29fe9e473fce8"/>
              <w:id w:val="-165949724"/>
              <w:lock w:val="sdtLocked"/>
            </w:sdtPr>
            <w:sdtContent>
              <w:tr w:rsidR="00B637B2" w:rsidTr="00B637B2">
                <w:trPr>
                  <w:jc w:val="center"/>
                </w:trPr>
                <w:tc>
                  <w:tcPr>
                    <w:tcW w:w="1547" w:type="pct"/>
                    <w:tcBorders>
                      <w:top w:val="single" w:sz="4" w:space="0" w:color="auto"/>
                      <w:left w:val="single" w:sz="4" w:space="0" w:color="auto"/>
                      <w:bottom w:val="single" w:sz="4" w:space="0" w:color="auto"/>
                      <w:right w:val="single" w:sz="4" w:space="0" w:color="auto"/>
                    </w:tcBorders>
                  </w:tcPr>
                  <w:p w:rsidR="00B637B2" w:rsidRDefault="008F04CF" w:rsidP="00B637B2">
                    <w:pPr>
                      <w:rPr>
                        <w:szCs w:val="21"/>
                      </w:rPr>
                    </w:pPr>
                    <w:r>
                      <w:t>房租</w:t>
                    </w:r>
                  </w:p>
                </w:tc>
                <w:tc>
                  <w:tcPr>
                    <w:tcW w:w="1723" w:type="pct"/>
                    <w:tcBorders>
                      <w:top w:val="single" w:sz="4" w:space="0" w:color="auto"/>
                      <w:left w:val="single" w:sz="4" w:space="0" w:color="auto"/>
                      <w:bottom w:val="single" w:sz="4" w:space="0" w:color="auto"/>
                      <w:right w:val="single" w:sz="4" w:space="0" w:color="auto"/>
                    </w:tcBorders>
                  </w:tcPr>
                  <w:p w:rsidR="00B637B2" w:rsidRDefault="008F04CF" w:rsidP="00B637B2">
                    <w:pPr>
                      <w:jc w:val="right"/>
                      <w:rPr>
                        <w:szCs w:val="21"/>
                      </w:rPr>
                    </w:pPr>
                    <w:r>
                      <w:t>1,737,752</w:t>
                    </w:r>
                  </w:p>
                </w:tc>
                <w:tc>
                  <w:tcPr>
                    <w:tcW w:w="1729" w:type="pct"/>
                    <w:tcBorders>
                      <w:top w:val="single" w:sz="4" w:space="0" w:color="auto"/>
                      <w:left w:val="single" w:sz="4" w:space="0" w:color="auto"/>
                      <w:bottom w:val="single" w:sz="4" w:space="0" w:color="auto"/>
                      <w:right w:val="single" w:sz="4" w:space="0" w:color="auto"/>
                    </w:tcBorders>
                  </w:tcPr>
                  <w:p w:rsidR="00B637B2" w:rsidRDefault="008F04CF" w:rsidP="00B637B2">
                    <w:pPr>
                      <w:jc w:val="right"/>
                      <w:rPr>
                        <w:szCs w:val="21"/>
                      </w:rPr>
                    </w:pPr>
                    <w:r>
                      <w:t>431,350</w:t>
                    </w:r>
                  </w:p>
                </w:tc>
              </w:tr>
            </w:sdtContent>
          </w:sdt>
          <w:sdt>
            <w:sdtPr>
              <w:rPr>
                <w:rFonts w:hint="eastAsia"/>
                <w:szCs w:val="21"/>
              </w:rPr>
              <w:alias w:val="其他流动负债明细"/>
              <w:tag w:val="_GBC_6ad57a8cdfbd4161b9e29fe9e473fce8"/>
              <w:id w:val="2067450427"/>
              <w:lock w:val="sdtLocked"/>
            </w:sdtPr>
            <w:sdtContent>
              <w:tr w:rsidR="00B637B2" w:rsidTr="00B637B2">
                <w:trPr>
                  <w:jc w:val="center"/>
                </w:trPr>
                <w:tc>
                  <w:tcPr>
                    <w:tcW w:w="1547" w:type="pct"/>
                    <w:tcBorders>
                      <w:top w:val="single" w:sz="4" w:space="0" w:color="auto"/>
                      <w:left w:val="single" w:sz="4" w:space="0" w:color="auto"/>
                      <w:bottom w:val="single" w:sz="4" w:space="0" w:color="auto"/>
                      <w:right w:val="single" w:sz="4" w:space="0" w:color="auto"/>
                    </w:tcBorders>
                  </w:tcPr>
                  <w:p w:rsidR="00B637B2" w:rsidRDefault="008F04CF" w:rsidP="00B637B2">
                    <w:pPr>
                      <w:rPr>
                        <w:szCs w:val="21"/>
                      </w:rPr>
                    </w:pPr>
                    <w:r>
                      <w:t>其他</w:t>
                    </w:r>
                  </w:p>
                </w:tc>
                <w:tc>
                  <w:tcPr>
                    <w:tcW w:w="1723" w:type="pct"/>
                    <w:tcBorders>
                      <w:top w:val="single" w:sz="4" w:space="0" w:color="auto"/>
                      <w:left w:val="single" w:sz="4" w:space="0" w:color="auto"/>
                      <w:bottom w:val="single" w:sz="4" w:space="0" w:color="auto"/>
                      <w:right w:val="single" w:sz="4" w:space="0" w:color="auto"/>
                    </w:tcBorders>
                  </w:tcPr>
                  <w:p w:rsidR="00B637B2" w:rsidRDefault="008F04CF" w:rsidP="00B637B2">
                    <w:pPr>
                      <w:jc w:val="right"/>
                      <w:rPr>
                        <w:szCs w:val="21"/>
                      </w:rPr>
                    </w:pPr>
                    <w:r>
                      <w:t>29,897,369</w:t>
                    </w:r>
                  </w:p>
                </w:tc>
                <w:tc>
                  <w:tcPr>
                    <w:tcW w:w="1729" w:type="pct"/>
                    <w:tcBorders>
                      <w:top w:val="single" w:sz="4" w:space="0" w:color="auto"/>
                      <w:left w:val="single" w:sz="4" w:space="0" w:color="auto"/>
                      <w:bottom w:val="single" w:sz="4" w:space="0" w:color="auto"/>
                      <w:right w:val="single" w:sz="4" w:space="0" w:color="auto"/>
                    </w:tcBorders>
                  </w:tcPr>
                  <w:p w:rsidR="00B637B2" w:rsidRDefault="008F04CF" w:rsidP="00B637B2">
                    <w:pPr>
                      <w:jc w:val="right"/>
                      <w:rPr>
                        <w:szCs w:val="21"/>
                      </w:rPr>
                    </w:pPr>
                    <w:r>
                      <w:t>34,129,314</w:t>
                    </w:r>
                  </w:p>
                </w:tc>
              </w:tr>
            </w:sdtContent>
          </w:sdt>
          <w:tr w:rsidR="00B637B2" w:rsidRPr="00397364" w:rsidTr="00B637B2">
            <w:trPr>
              <w:jc w:val="center"/>
            </w:trPr>
            <w:sdt>
              <w:sdtPr>
                <w:tag w:val="_PLD_3835b041db764a298b09897ff76b9cf1"/>
                <w:id w:val="-1406058528"/>
                <w:lock w:val="sdtLocked"/>
              </w:sdtPr>
              <w:sdtContent>
                <w:tc>
                  <w:tcPr>
                    <w:tcW w:w="1547" w:type="pct"/>
                    <w:tcBorders>
                      <w:top w:val="single" w:sz="4" w:space="0" w:color="auto"/>
                      <w:left w:val="single" w:sz="4" w:space="0" w:color="auto"/>
                      <w:bottom w:val="single" w:sz="4" w:space="0" w:color="auto"/>
                      <w:right w:val="single" w:sz="4" w:space="0" w:color="auto"/>
                    </w:tcBorders>
                  </w:tcPr>
                  <w:p w:rsidR="00B637B2" w:rsidRDefault="008F04CF" w:rsidP="00B637B2">
                    <w:pPr>
                      <w:jc w:val="center"/>
                      <w:rPr>
                        <w:szCs w:val="21"/>
                      </w:rPr>
                    </w:pPr>
                    <w:r>
                      <w:rPr>
                        <w:rFonts w:hint="eastAsia"/>
                        <w:szCs w:val="21"/>
                      </w:rPr>
                      <w:t>合计</w:t>
                    </w:r>
                  </w:p>
                </w:tc>
              </w:sdtContent>
            </w:sdt>
            <w:tc>
              <w:tcPr>
                <w:tcW w:w="1723" w:type="pct"/>
                <w:tcBorders>
                  <w:top w:val="single" w:sz="4" w:space="0" w:color="auto"/>
                  <w:left w:val="single" w:sz="4" w:space="0" w:color="auto"/>
                  <w:bottom w:val="single" w:sz="4" w:space="0" w:color="auto"/>
                  <w:right w:val="single" w:sz="4" w:space="0" w:color="auto"/>
                </w:tcBorders>
                <w:vAlign w:val="center"/>
              </w:tcPr>
              <w:p w:rsidR="00B637B2" w:rsidRPr="00397364" w:rsidRDefault="008F04CF" w:rsidP="00B637B2">
                <w:pPr>
                  <w:jc w:val="right"/>
                </w:pPr>
                <w:r w:rsidRPr="00397364">
                  <w:t>139,670,469</w:t>
                </w:r>
              </w:p>
            </w:tc>
            <w:tc>
              <w:tcPr>
                <w:tcW w:w="1729" w:type="pct"/>
                <w:tcBorders>
                  <w:top w:val="single" w:sz="4" w:space="0" w:color="auto"/>
                  <w:left w:val="single" w:sz="4" w:space="0" w:color="auto"/>
                  <w:bottom w:val="single" w:sz="4" w:space="0" w:color="auto"/>
                  <w:right w:val="single" w:sz="4" w:space="0" w:color="auto"/>
                </w:tcBorders>
                <w:vAlign w:val="center"/>
              </w:tcPr>
              <w:p w:rsidR="00B637B2" w:rsidRPr="00397364" w:rsidRDefault="008F04CF" w:rsidP="00B637B2">
                <w:pPr>
                  <w:jc w:val="right"/>
                </w:pPr>
                <w:r w:rsidRPr="00397364">
                  <w:t>182,312,101</w:t>
                </w:r>
              </w:p>
            </w:tc>
          </w:tr>
        </w:tbl>
        <w:p w:rsidR="00B637B2" w:rsidRDefault="00B637B2"/>
        <w:p w:rsidR="00B637B2" w:rsidRPr="00397364" w:rsidRDefault="000D0A99" w:rsidP="00B637B2"/>
      </w:sdtContent>
    </w:sdt>
    <w:p w:rsidR="00B637B2" w:rsidRDefault="00B637B2">
      <w:pPr>
        <w:rPr>
          <w:szCs w:val="21"/>
        </w:rPr>
      </w:pPr>
    </w:p>
    <w:sdt>
      <w:sdtPr>
        <w:rPr>
          <w:rFonts w:asciiTheme="minorHAnsi" w:eastAsiaTheme="minorEastAsia" w:hAnsiTheme="minorHAnsi" w:hint="eastAsia"/>
          <w:bCs/>
          <w:szCs w:val="22"/>
        </w:rPr>
        <w:alias w:val="模块:短期应付债券的增减变动"/>
        <w:tag w:val="_GBC_4577b030bbab4faa991328e6acd5a589"/>
        <w:id w:val="-1466576461"/>
        <w:lock w:val="sdtLocked"/>
      </w:sdtPr>
      <w:sdtEndPr>
        <w:rPr>
          <w:rFonts w:ascii="宋体" w:eastAsia="宋体" w:hAnsi="宋体" w:cstheme="minorBidi" w:hint="default"/>
          <w:bCs w:val="0"/>
          <w:color w:val="000000" w:themeColor="text1"/>
          <w:kern w:val="2"/>
          <w:szCs w:val="21"/>
        </w:rPr>
      </w:sdtEndPr>
      <w:sdtContent>
        <w:p w:rsidR="00B637B2" w:rsidRDefault="008F04CF">
          <w:r>
            <w:rPr>
              <w:rFonts w:hint="eastAsia"/>
            </w:rPr>
            <w:t>短期</w:t>
          </w:r>
          <w:r>
            <w:t>应付债券的增减变动</w:t>
          </w:r>
          <w:r>
            <w:rPr>
              <w:rFonts w:hint="eastAsia"/>
            </w:rPr>
            <w:t>：</w:t>
          </w:r>
        </w:p>
        <w:sdt>
          <w:sdtPr>
            <w:alias w:val="是否适用：短期应付债券的增减变动[双击切换]"/>
            <w:tag w:val="_GBC_82d0c6ce58744d20918b6a0221dbac6b"/>
            <w:id w:val="-1521079080"/>
            <w:lock w:val="sdtContentLocked"/>
          </w:sdtPr>
          <w:sdtContent>
            <w:p w:rsidR="00B637B2" w:rsidRDefault="008F04CF" w:rsidP="00B637B2">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szCs w:val="21"/>
        </w:rPr>
        <w:alias w:val="模块:其他流动负债说明"/>
        <w:tag w:val="_GBC_b1cb6faf7bad41e4868a075c1a423566"/>
        <w:id w:val="-1869755534"/>
        <w:lock w:val="sdtLocked"/>
      </w:sdtPr>
      <w:sdtEndPr>
        <w:rPr>
          <w:rFonts w:hint="default"/>
          <w:color w:val="000000" w:themeColor="text1"/>
        </w:rPr>
      </w:sdtEndPr>
      <w:sdtContent>
        <w:p w:rsidR="00B637B2" w:rsidRDefault="008F04CF">
          <w:pPr>
            <w:spacing w:before="60" w:after="60"/>
            <w:rPr>
              <w:szCs w:val="21"/>
            </w:rPr>
          </w:pPr>
          <w:r>
            <w:rPr>
              <w:rFonts w:hint="eastAsia"/>
              <w:szCs w:val="21"/>
            </w:rPr>
            <w:t>其他说明：</w:t>
          </w:r>
        </w:p>
        <w:sdt>
          <w:sdtPr>
            <w:rPr>
              <w:szCs w:val="21"/>
            </w:rPr>
            <w:alias w:val="是否适用：其他流动负债说明[双击切换]"/>
            <w:tag w:val="_GBC_6ebc9e220fb04ea584ed56f756d92d59"/>
            <w:id w:val="752709309"/>
            <w:lock w:val="sdtContentLocked"/>
          </w:sdtPr>
          <w:sdtContent>
            <w:p w:rsidR="00B637B2" w:rsidRDefault="008F04CF" w:rsidP="00B637B2">
              <w:pPr>
                <w:spacing w:before="60" w:after="60"/>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ED2DC7" w:rsidRDefault="00ED2DC7">
      <w:pPr>
        <w:rPr>
          <w:szCs w:val="21"/>
        </w:rPr>
      </w:pPr>
    </w:p>
    <w:p w:rsidR="00ED2DC7" w:rsidRDefault="00ED2DC7" w:rsidP="00036BDC">
      <w:pPr>
        <w:pStyle w:val="affffffffffffffffff1"/>
        <w:numPr>
          <w:ilvl w:val="0"/>
          <w:numId w:val="49"/>
        </w:numPr>
        <w:tabs>
          <w:tab w:val="left" w:pos="504"/>
        </w:tabs>
        <w:rPr>
          <w:rFonts w:ascii="宋体" w:hAnsi="宋体"/>
          <w:szCs w:val="21"/>
        </w:rPr>
      </w:pPr>
      <w:r>
        <w:rPr>
          <w:rFonts w:ascii="宋体" w:hAnsi="宋体" w:hint="eastAsia"/>
          <w:szCs w:val="21"/>
        </w:rPr>
        <w:t>长期借款</w:t>
      </w:r>
    </w:p>
    <w:sdt>
      <w:sdtPr>
        <w:rPr>
          <w:rFonts w:ascii="宋体" w:hAnsi="宋体" w:cs="宋体" w:hint="eastAsia"/>
          <w:b w:val="0"/>
          <w:bCs w:val="0"/>
          <w:kern w:val="0"/>
          <w:szCs w:val="22"/>
        </w:rPr>
        <w:alias w:val="模块:长期借款分类 "/>
        <w:tag w:val="_GBC_8b6acb9acc4745f09cf8ff1a98787eb9"/>
        <w:id w:val="-1379545129"/>
        <w:lock w:val="sdtLocked"/>
        <w:placeholder>
          <w:docPart w:val="GBC22222222222222222222222222222"/>
        </w:placeholder>
      </w:sdtPr>
      <w:sdtEndPr>
        <w:rPr>
          <w:rFonts w:cstheme="minorBidi" w:hint="default"/>
          <w:color w:val="000000" w:themeColor="text1"/>
          <w:kern w:val="2"/>
          <w:szCs w:val="21"/>
        </w:rPr>
      </w:sdtEndPr>
      <w:sdtContent>
        <w:p w:rsidR="00ED2DC7" w:rsidRDefault="00ED2DC7" w:rsidP="00036BDC">
          <w:pPr>
            <w:pStyle w:val="affffffffffffffffff2"/>
            <w:numPr>
              <w:ilvl w:val="0"/>
              <w:numId w:val="74"/>
            </w:numPr>
            <w:tabs>
              <w:tab w:val="left" w:pos="630"/>
            </w:tabs>
            <w:ind w:left="420"/>
            <w:rPr>
              <w:rFonts w:ascii="宋体" w:hAnsi="宋体"/>
              <w:szCs w:val="21"/>
            </w:rPr>
          </w:pPr>
          <w:r>
            <w:rPr>
              <w:rFonts w:ascii="宋体" w:hAnsi="宋体" w:hint="eastAsia"/>
              <w:szCs w:val="21"/>
            </w:rPr>
            <w:t>长期借款分类</w:t>
          </w:r>
        </w:p>
        <w:sdt>
          <w:sdtPr>
            <w:alias w:val="是否适用：长期借款分类[双击切换]"/>
            <w:tag w:val="_GBC_6ef43a5268e7491db189883a31952469"/>
            <w:id w:val="928010725"/>
            <w:lock w:val="sdtContentLocked"/>
            <w:placeholder>
              <w:docPart w:val="GBC22222222222222222222222222222"/>
            </w:placeholder>
          </w:sdtPr>
          <w:sdtContent>
            <w:p w:rsidR="00ED2DC7" w:rsidRDefault="00ED2DC7">
              <w:r>
                <w:fldChar w:fldCharType="begin"/>
              </w:r>
              <w:r w:rsidR="00B659F8">
                <w:instrText xml:space="preserve"> MACROBUTTON  SnrToggleCheckbox √适用 </w:instrText>
              </w:r>
              <w:r>
                <w:fldChar w:fldCharType="end"/>
              </w:r>
              <w:r>
                <w:fldChar w:fldCharType="begin"/>
              </w:r>
              <w:r w:rsidR="00B659F8">
                <w:instrText xml:space="preserve"> MACROBUTTON  SnrToggleCheckbox □不适用 </w:instrText>
              </w:r>
              <w:r>
                <w:fldChar w:fldCharType="end"/>
              </w:r>
            </w:p>
          </w:sdtContent>
        </w:sdt>
        <w:p w:rsidR="00ED2DC7" w:rsidRDefault="00ED2DC7">
          <w:pPr>
            <w:jc w:val="right"/>
            <w:rPr>
              <w:szCs w:val="21"/>
            </w:rPr>
          </w:pPr>
          <w:r>
            <w:rPr>
              <w:rFonts w:hint="eastAsia"/>
              <w:szCs w:val="21"/>
            </w:rPr>
            <w:t>单位：</w:t>
          </w:r>
          <w:sdt>
            <w:sdtPr>
              <w:rPr>
                <w:rFonts w:hint="eastAsia"/>
                <w:szCs w:val="21"/>
              </w:rPr>
              <w:alias w:val="单位：财务附注：长期借款分类"/>
              <w:tag w:val="_GBC_146f044f7fd14a45bf9247f0af389a14"/>
              <w:id w:val="54611963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hint="eastAsia"/>
                  <w:szCs w:val="21"/>
                </w:rPr>
                <w:t>元</w:t>
              </w:r>
            </w:sdtContent>
          </w:sdt>
          <w:r>
            <w:rPr>
              <w:rFonts w:hint="eastAsia"/>
              <w:szCs w:val="21"/>
            </w:rPr>
            <w:t xml:space="preserve">  币种：</w:t>
          </w:r>
          <w:sdt>
            <w:sdtPr>
              <w:rPr>
                <w:rFonts w:hint="eastAsia"/>
                <w:szCs w:val="21"/>
              </w:rPr>
              <w:alias w:val="币种：财务附注：长期借款分类"/>
              <w:tag w:val="_GBC_7570ad6f1fd04c3d939be649ce4cfc30"/>
              <w:id w:val="18791986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szCs w:val="21"/>
                </w:rPr>
                <w:t>人民币</w:t>
              </w:r>
            </w:sdtContent>
          </w:sdt>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975"/>
            <w:gridCol w:w="2975"/>
            <w:gridCol w:w="2873"/>
          </w:tblGrid>
          <w:tr w:rsidR="00B637B2" w:rsidTr="00B637B2">
            <w:trPr>
              <w:cantSplit/>
            </w:trPr>
            <w:sdt>
              <w:sdtPr>
                <w:tag w:val="_PLD_3ee60507a6384334b819485e73faa1f4"/>
                <w:id w:val="-1762987766"/>
                <w:lock w:val="sdtLocked"/>
              </w:sdtPr>
              <w:sdtContent>
                <w:tc>
                  <w:tcPr>
                    <w:tcW w:w="1686" w:type="pct"/>
                  </w:tcPr>
                  <w:p w:rsidR="00B637B2" w:rsidRDefault="008F04CF" w:rsidP="00B637B2">
                    <w:pPr>
                      <w:autoSpaceDE w:val="0"/>
                      <w:autoSpaceDN w:val="0"/>
                      <w:adjustRightInd w:val="0"/>
                      <w:snapToGrid w:val="0"/>
                      <w:jc w:val="center"/>
                      <w:rPr>
                        <w:szCs w:val="21"/>
                      </w:rPr>
                    </w:pPr>
                    <w:r>
                      <w:rPr>
                        <w:rFonts w:hint="eastAsia"/>
                        <w:szCs w:val="21"/>
                      </w:rPr>
                      <w:t>项目</w:t>
                    </w:r>
                  </w:p>
                </w:tc>
              </w:sdtContent>
            </w:sdt>
            <w:sdt>
              <w:sdtPr>
                <w:tag w:val="_PLD_d2a4fabfb296457384b1523a60233642"/>
                <w:id w:val="2147002052"/>
                <w:lock w:val="sdtLocked"/>
              </w:sdtPr>
              <w:sdtContent>
                <w:tc>
                  <w:tcPr>
                    <w:tcW w:w="1686" w:type="pct"/>
                  </w:tcPr>
                  <w:p w:rsidR="00B637B2" w:rsidRDefault="008F04CF" w:rsidP="00B637B2">
                    <w:pPr>
                      <w:jc w:val="center"/>
                      <w:rPr>
                        <w:szCs w:val="21"/>
                      </w:rPr>
                    </w:pPr>
                    <w:r>
                      <w:rPr>
                        <w:rFonts w:hint="eastAsia"/>
                        <w:szCs w:val="21"/>
                      </w:rPr>
                      <w:t>期末余额</w:t>
                    </w:r>
                  </w:p>
                </w:tc>
              </w:sdtContent>
            </w:sdt>
            <w:sdt>
              <w:sdtPr>
                <w:tag w:val="_PLD_aab598d4b37f4953a2ee9b7475cb43e6"/>
                <w:id w:val="274134099"/>
                <w:lock w:val="sdtLocked"/>
              </w:sdtPr>
              <w:sdtContent>
                <w:tc>
                  <w:tcPr>
                    <w:tcW w:w="1628" w:type="pct"/>
                  </w:tcPr>
                  <w:p w:rsidR="00B637B2" w:rsidRDefault="008F04CF" w:rsidP="00B637B2">
                    <w:pPr>
                      <w:jc w:val="center"/>
                      <w:rPr>
                        <w:szCs w:val="21"/>
                      </w:rPr>
                    </w:pPr>
                    <w:r>
                      <w:rPr>
                        <w:rFonts w:hint="eastAsia"/>
                        <w:szCs w:val="21"/>
                      </w:rPr>
                      <w:t>期初余额</w:t>
                    </w:r>
                  </w:p>
                </w:tc>
              </w:sdtContent>
            </w:sdt>
          </w:tr>
          <w:tr w:rsidR="00B637B2" w:rsidTr="00B637B2">
            <w:trPr>
              <w:cantSplit/>
            </w:trPr>
            <w:sdt>
              <w:sdtPr>
                <w:tag w:val="_PLD_e89d9c6de3ff4da98f7949a63d0f927d"/>
                <w:id w:val="-1950234676"/>
                <w:lock w:val="sdtLocked"/>
              </w:sdtPr>
              <w:sdtContent>
                <w:tc>
                  <w:tcPr>
                    <w:tcW w:w="1686" w:type="pct"/>
                    <w:shd w:val="clear" w:color="auto" w:fill="auto"/>
                  </w:tcPr>
                  <w:p w:rsidR="00B637B2" w:rsidRDefault="008F04CF" w:rsidP="00B637B2">
                    <w:pPr>
                      <w:autoSpaceDE w:val="0"/>
                      <w:autoSpaceDN w:val="0"/>
                      <w:adjustRightInd w:val="0"/>
                      <w:snapToGrid w:val="0"/>
                      <w:rPr>
                        <w:szCs w:val="21"/>
                      </w:rPr>
                    </w:pPr>
                    <w:r>
                      <w:rPr>
                        <w:rFonts w:hint="eastAsia"/>
                        <w:szCs w:val="21"/>
                      </w:rPr>
                      <w:t>质押</w:t>
                    </w:r>
                    <w:r w:rsidRPr="00E968F2">
                      <w:rPr>
                        <w:rFonts w:hint="eastAsia"/>
                        <w:szCs w:val="21"/>
                      </w:rPr>
                      <w:t>借款</w:t>
                    </w:r>
                  </w:p>
                </w:tc>
              </w:sdtContent>
            </w:sdt>
            <w:tc>
              <w:tcPr>
                <w:tcW w:w="1686" w:type="pct"/>
                <w:shd w:val="clear" w:color="auto" w:fill="auto"/>
                <w:vAlign w:val="center"/>
              </w:tcPr>
              <w:p w:rsidR="00B637B2" w:rsidRPr="005653D1" w:rsidRDefault="008F04CF" w:rsidP="00B637B2">
                <w:pPr>
                  <w:jc w:val="right"/>
                </w:pPr>
                <w:r>
                  <w:rPr>
                    <w:rFonts w:hint="eastAsia"/>
                  </w:rPr>
                  <w:t>-</w:t>
                </w:r>
              </w:p>
            </w:tc>
            <w:tc>
              <w:tcPr>
                <w:tcW w:w="1628" w:type="pct"/>
                <w:shd w:val="clear" w:color="auto" w:fill="auto"/>
                <w:vAlign w:val="center"/>
              </w:tcPr>
              <w:p w:rsidR="00B637B2" w:rsidRDefault="008F04CF" w:rsidP="00B637B2">
                <w:pPr>
                  <w:jc w:val="right"/>
                  <w:rPr>
                    <w:szCs w:val="21"/>
                  </w:rPr>
                </w:pPr>
                <w:r>
                  <w:rPr>
                    <w:rFonts w:hint="eastAsia"/>
                    <w:szCs w:val="21"/>
                  </w:rPr>
                  <w:t>-</w:t>
                </w:r>
              </w:p>
            </w:tc>
          </w:tr>
          <w:tr w:rsidR="00B637B2" w:rsidTr="00B637B2">
            <w:trPr>
              <w:cantSplit/>
            </w:trPr>
            <w:sdt>
              <w:sdtPr>
                <w:tag w:val="_PLD_0b1001d1355e4c59a134f674ebe8204e"/>
                <w:id w:val="1448740318"/>
                <w:lock w:val="sdtLocked"/>
              </w:sdtPr>
              <w:sdtContent>
                <w:tc>
                  <w:tcPr>
                    <w:tcW w:w="1686" w:type="pct"/>
                    <w:shd w:val="clear" w:color="auto" w:fill="auto"/>
                  </w:tcPr>
                  <w:p w:rsidR="00B637B2" w:rsidRDefault="008F04CF" w:rsidP="00B637B2">
                    <w:pPr>
                      <w:autoSpaceDE w:val="0"/>
                      <w:autoSpaceDN w:val="0"/>
                      <w:adjustRightInd w:val="0"/>
                      <w:snapToGrid w:val="0"/>
                      <w:rPr>
                        <w:szCs w:val="21"/>
                      </w:rPr>
                    </w:pPr>
                    <w:r>
                      <w:rPr>
                        <w:rFonts w:hint="eastAsia"/>
                        <w:szCs w:val="21"/>
                      </w:rPr>
                      <w:t>抵押借款</w:t>
                    </w:r>
                  </w:p>
                </w:tc>
              </w:sdtContent>
            </w:sdt>
            <w:tc>
              <w:tcPr>
                <w:tcW w:w="1686" w:type="pct"/>
                <w:shd w:val="clear" w:color="auto" w:fill="auto"/>
                <w:vAlign w:val="center"/>
              </w:tcPr>
              <w:p w:rsidR="00B637B2" w:rsidRPr="005653D1" w:rsidRDefault="008F04CF" w:rsidP="00B637B2">
                <w:pPr>
                  <w:jc w:val="right"/>
                </w:pPr>
                <w:r w:rsidRPr="00C125A6">
                  <w:t>180,000,000</w:t>
                </w:r>
              </w:p>
            </w:tc>
            <w:tc>
              <w:tcPr>
                <w:tcW w:w="1628" w:type="pct"/>
                <w:shd w:val="clear" w:color="auto" w:fill="auto"/>
                <w:vAlign w:val="center"/>
              </w:tcPr>
              <w:p w:rsidR="00B637B2" w:rsidRDefault="008F04CF" w:rsidP="00B637B2">
                <w:pPr>
                  <w:jc w:val="right"/>
                  <w:rPr>
                    <w:szCs w:val="21"/>
                  </w:rPr>
                </w:pPr>
                <w:r>
                  <w:t>231,804,559</w:t>
                </w:r>
              </w:p>
            </w:tc>
          </w:tr>
          <w:sdt>
            <w:sdtPr>
              <w:rPr>
                <w:rFonts w:asciiTheme="minorHAnsi" w:eastAsiaTheme="minorEastAsia" w:hAnsiTheme="minorHAnsi" w:cstheme="minorBidi" w:hint="eastAsia"/>
                <w:kern w:val="2"/>
                <w:szCs w:val="21"/>
              </w:rPr>
              <w:alias w:val="其他长期借款"/>
              <w:tag w:val="_GBC_85f6347d2f774278af8459ee853b41e0"/>
              <w:id w:val="1348290827"/>
              <w:lock w:val="sdtLocked"/>
            </w:sdtPr>
            <w:sdtContent>
              <w:tr w:rsidR="00B637B2" w:rsidTr="00B637B2">
                <w:trPr>
                  <w:cantSplit/>
                </w:trPr>
                <w:tc>
                  <w:tcPr>
                    <w:tcW w:w="1686" w:type="pct"/>
                  </w:tcPr>
                  <w:p w:rsidR="00B637B2" w:rsidRDefault="008F04CF" w:rsidP="00B637B2">
                    <w:pPr>
                      <w:autoSpaceDE w:val="0"/>
                      <w:autoSpaceDN w:val="0"/>
                      <w:adjustRightInd w:val="0"/>
                      <w:snapToGrid w:val="0"/>
                      <w:rPr>
                        <w:szCs w:val="21"/>
                      </w:rPr>
                    </w:pPr>
                    <w:r>
                      <w:rPr>
                        <w:rFonts w:asciiTheme="minorHAnsi" w:eastAsiaTheme="minorEastAsia" w:hAnsiTheme="minorHAnsi" w:cstheme="minorBidi" w:hint="eastAsia"/>
                        <w:kern w:val="2"/>
                        <w:szCs w:val="21"/>
                      </w:rPr>
                      <w:t>信用借款</w:t>
                    </w:r>
                  </w:p>
                </w:tc>
                <w:tc>
                  <w:tcPr>
                    <w:tcW w:w="1686" w:type="pct"/>
                    <w:vAlign w:val="center"/>
                  </w:tcPr>
                  <w:p w:rsidR="00B637B2" w:rsidRDefault="008F04CF" w:rsidP="00B637B2">
                    <w:pPr>
                      <w:jc w:val="right"/>
                    </w:pPr>
                    <w:r>
                      <w:rPr>
                        <w:rFonts w:hint="eastAsia"/>
                      </w:rPr>
                      <w:t>-</w:t>
                    </w:r>
                  </w:p>
                </w:tc>
                <w:tc>
                  <w:tcPr>
                    <w:tcW w:w="1628" w:type="pct"/>
                    <w:vAlign w:val="center"/>
                  </w:tcPr>
                  <w:p w:rsidR="00B637B2" w:rsidRDefault="008F04CF" w:rsidP="00B637B2">
                    <w:pPr>
                      <w:jc w:val="right"/>
                      <w:rPr>
                        <w:szCs w:val="21"/>
                      </w:rPr>
                    </w:pPr>
                    <w:r>
                      <w:t>73,333,332</w:t>
                    </w:r>
                  </w:p>
                </w:tc>
              </w:tr>
            </w:sdtContent>
          </w:sdt>
          <w:sdt>
            <w:sdtPr>
              <w:rPr>
                <w:rFonts w:asciiTheme="minorHAnsi" w:eastAsiaTheme="minorEastAsia" w:hAnsiTheme="minorHAnsi" w:cstheme="minorBidi" w:hint="eastAsia"/>
                <w:kern w:val="2"/>
                <w:szCs w:val="21"/>
              </w:rPr>
              <w:alias w:val="其他长期借款"/>
              <w:tag w:val="_GBC_85f6347d2f774278af8459ee853b41e0"/>
              <w:id w:val="2088112956"/>
              <w:lock w:val="sdtLocked"/>
            </w:sdtPr>
            <w:sdtContent>
              <w:tr w:rsidR="00B637B2" w:rsidTr="00B637B2">
                <w:trPr>
                  <w:cantSplit/>
                </w:trPr>
                <w:tc>
                  <w:tcPr>
                    <w:tcW w:w="1686" w:type="pct"/>
                  </w:tcPr>
                  <w:p w:rsidR="00B637B2" w:rsidRDefault="008F04CF" w:rsidP="00B637B2">
                    <w:pPr>
                      <w:autoSpaceDE w:val="0"/>
                      <w:autoSpaceDN w:val="0"/>
                      <w:adjustRightInd w:val="0"/>
                      <w:snapToGrid w:val="0"/>
                      <w:rPr>
                        <w:szCs w:val="21"/>
                      </w:rPr>
                    </w:pPr>
                    <w:r w:rsidRPr="00E968F2">
                      <w:rPr>
                        <w:rFonts w:hint="eastAsia"/>
                        <w:szCs w:val="21"/>
                      </w:rPr>
                      <w:t>减：一年内到期的长期借款</w:t>
                    </w:r>
                  </w:p>
                </w:tc>
                <w:tc>
                  <w:tcPr>
                    <w:tcW w:w="1686" w:type="pct"/>
                    <w:vAlign w:val="center"/>
                  </w:tcPr>
                  <w:p w:rsidR="00B637B2" w:rsidRDefault="00036BDC" w:rsidP="00B637B2">
                    <w:pPr>
                      <w:jc w:val="right"/>
                    </w:pPr>
                    <w:r>
                      <w:rPr>
                        <w:rFonts w:hint="eastAsia"/>
                      </w:rPr>
                      <w:t>-</w:t>
                    </w:r>
                    <w:r w:rsidR="008F04CF" w:rsidRPr="005653D1">
                      <w:t>90,000,000</w:t>
                    </w:r>
                  </w:p>
                </w:tc>
                <w:tc>
                  <w:tcPr>
                    <w:tcW w:w="1628" w:type="pct"/>
                    <w:vAlign w:val="center"/>
                  </w:tcPr>
                  <w:p w:rsidR="00B637B2" w:rsidRDefault="00036BDC" w:rsidP="00B637B2">
                    <w:pPr>
                      <w:jc w:val="right"/>
                      <w:rPr>
                        <w:szCs w:val="21"/>
                      </w:rPr>
                    </w:pPr>
                    <w:r>
                      <w:rPr>
                        <w:rFonts w:hint="eastAsia"/>
                      </w:rPr>
                      <w:t>-</w:t>
                    </w:r>
                    <w:r w:rsidR="008F04CF">
                      <w:t>133,471,227</w:t>
                    </w:r>
                  </w:p>
                </w:tc>
              </w:tr>
            </w:sdtContent>
          </w:sdt>
          <w:tr w:rsidR="00B637B2" w:rsidTr="00B637B2">
            <w:trPr>
              <w:cantSplit/>
            </w:trPr>
            <w:sdt>
              <w:sdtPr>
                <w:tag w:val="_PLD_f7e631a83103405986891624f37b155a"/>
                <w:id w:val="829019046"/>
                <w:lock w:val="sdtLocked"/>
              </w:sdtPr>
              <w:sdtContent>
                <w:tc>
                  <w:tcPr>
                    <w:tcW w:w="1686" w:type="pct"/>
                    <w:vAlign w:val="center"/>
                  </w:tcPr>
                  <w:p w:rsidR="00B637B2" w:rsidRDefault="008F04CF" w:rsidP="00B637B2">
                    <w:pPr>
                      <w:autoSpaceDE w:val="0"/>
                      <w:autoSpaceDN w:val="0"/>
                      <w:adjustRightInd w:val="0"/>
                      <w:snapToGrid w:val="0"/>
                      <w:jc w:val="center"/>
                      <w:rPr>
                        <w:szCs w:val="21"/>
                      </w:rPr>
                    </w:pPr>
                    <w:r>
                      <w:rPr>
                        <w:rFonts w:hint="eastAsia"/>
                        <w:szCs w:val="21"/>
                      </w:rPr>
                      <w:t>合计</w:t>
                    </w:r>
                  </w:p>
                </w:tc>
              </w:sdtContent>
            </w:sdt>
            <w:tc>
              <w:tcPr>
                <w:tcW w:w="1686" w:type="pct"/>
                <w:vAlign w:val="center"/>
              </w:tcPr>
              <w:p w:rsidR="00B637B2" w:rsidRDefault="008F04CF" w:rsidP="00B637B2">
                <w:pPr>
                  <w:autoSpaceDE w:val="0"/>
                  <w:autoSpaceDN w:val="0"/>
                  <w:adjustRightInd w:val="0"/>
                  <w:snapToGrid w:val="0"/>
                  <w:jc w:val="right"/>
                  <w:rPr>
                    <w:szCs w:val="21"/>
                  </w:rPr>
                </w:pPr>
                <w:r w:rsidRPr="005653D1">
                  <w:t>90,000,000</w:t>
                </w:r>
              </w:p>
            </w:tc>
            <w:tc>
              <w:tcPr>
                <w:tcW w:w="1628" w:type="pct"/>
                <w:vAlign w:val="center"/>
              </w:tcPr>
              <w:p w:rsidR="00B637B2" w:rsidRDefault="008F04CF" w:rsidP="00B637B2">
                <w:pPr>
                  <w:jc w:val="right"/>
                  <w:rPr>
                    <w:szCs w:val="21"/>
                  </w:rPr>
                </w:pPr>
                <w:r w:rsidRPr="00E968F2">
                  <w:rPr>
                    <w:szCs w:val="21"/>
                  </w:rPr>
                  <w:t>171,666,664</w:t>
                </w:r>
              </w:p>
            </w:tc>
          </w:tr>
        </w:tbl>
        <w:p w:rsidR="00B637B2" w:rsidRDefault="00B637B2"/>
        <w:p w:rsidR="00ED2DC7" w:rsidRDefault="00ED2DC7">
          <w:pPr>
            <w:snapToGrid w:val="0"/>
            <w:spacing w:before="60" w:after="60" w:line="240" w:lineRule="atLeast"/>
            <w:rPr>
              <w:szCs w:val="21"/>
            </w:rPr>
          </w:pPr>
          <w:r>
            <w:rPr>
              <w:rFonts w:hint="eastAsia"/>
              <w:szCs w:val="21"/>
            </w:rPr>
            <w:t>长期借款分类的说明：</w:t>
          </w:r>
        </w:p>
        <w:sdt>
          <w:sdtPr>
            <w:rPr>
              <w:szCs w:val="21"/>
            </w:rPr>
            <w:alias w:val="长期借款分类的说明"/>
            <w:tag w:val="_GBC_c93626a5eade42f48eca926da85f3afb"/>
            <w:id w:val="-218371329"/>
            <w:lock w:val="sdtLocked"/>
            <w:placeholder>
              <w:docPart w:val="GBC22222222222222222222222222222"/>
            </w:placeholder>
          </w:sdtPr>
          <w:sdtContent>
            <w:p w:rsidR="00ED2DC7" w:rsidRDefault="00A14E7E">
              <w:pPr>
                <w:snapToGrid w:val="0"/>
                <w:rPr>
                  <w:rFonts w:cstheme="minorBidi"/>
                  <w:color w:val="000000" w:themeColor="text1"/>
                  <w:kern w:val="2"/>
                  <w:szCs w:val="21"/>
                </w:rPr>
              </w:pPr>
              <w:r>
                <w:rPr>
                  <w:rFonts w:hint="eastAsia"/>
                  <w:szCs w:val="21"/>
                </w:rPr>
                <w:t>无。</w:t>
              </w:r>
            </w:p>
          </w:sdtContent>
        </w:sdt>
      </w:sdtContent>
    </w:sdt>
    <w:p w:rsidR="00ED2DC7" w:rsidRDefault="00ED2DC7">
      <w:pPr>
        <w:snapToGrid w:val="0"/>
        <w:rPr>
          <w:rFonts w:cstheme="minorBidi"/>
          <w:color w:val="000000" w:themeColor="text1"/>
          <w:kern w:val="2"/>
          <w:szCs w:val="21"/>
        </w:rPr>
      </w:pPr>
    </w:p>
    <w:sdt>
      <w:sdtPr>
        <w:rPr>
          <w:rFonts w:hint="eastAsia"/>
          <w:color w:val="000000" w:themeColor="text1"/>
          <w:szCs w:val="21"/>
        </w:rPr>
        <w:alias w:val="模块:长期借款的说明"/>
        <w:tag w:val="_GBC_7195bfed3c6d4a6fb2b17f01aa73f311"/>
        <w:id w:val="439579765"/>
        <w:lock w:val="sdtLocked"/>
        <w:placeholder>
          <w:docPart w:val="GBC22222222222222222222222222222"/>
        </w:placeholder>
      </w:sdtPr>
      <w:sdtEndPr>
        <w:rPr>
          <w:rFonts w:hint="default"/>
          <w:color w:val="auto"/>
        </w:rPr>
      </w:sdtEndPr>
      <w:sdtContent>
        <w:p w:rsidR="00ED2DC7" w:rsidRDefault="00ED2DC7">
          <w:pPr>
            <w:snapToGrid w:val="0"/>
            <w:rPr>
              <w:color w:val="000000" w:themeColor="text1"/>
              <w:szCs w:val="21"/>
            </w:rPr>
          </w:pPr>
          <w:r>
            <w:rPr>
              <w:rFonts w:hint="eastAsia"/>
              <w:color w:val="000000" w:themeColor="text1"/>
              <w:szCs w:val="21"/>
            </w:rPr>
            <w:t>其他说明，包括利率区间：</w:t>
          </w:r>
        </w:p>
        <w:sdt>
          <w:sdtPr>
            <w:rPr>
              <w:color w:val="000000" w:themeColor="text1"/>
              <w:szCs w:val="21"/>
            </w:rPr>
            <w:alias w:val="是否适用：长期借款的说明[双击切换]"/>
            <w:tag w:val="_GBC_1dc67be6516c4de3956a80023674c75a"/>
            <w:id w:val="-1008827597"/>
            <w:lock w:val="sdtContentLocked"/>
            <w:placeholder>
              <w:docPart w:val="GBC22222222222222222222222222222"/>
            </w:placeholder>
          </w:sdtPr>
          <w:sdtContent>
            <w:p w:rsidR="00D36C99" w:rsidRDefault="00ED2DC7" w:rsidP="00A14E7E">
              <w:pPr>
                <w:snapToGrid w:val="0"/>
                <w:rPr>
                  <w:color w:val="000000" w:themeColor="text1"/>
                  <w:szCs w:val="21"/>
                </w:rPr>
              </w:pPr>
              <w:r>
                <w:rPr>
                  <w:color w:val="000000" w:themeColor="text1"/>
                  <w:szCs w:val="21"/>
                </w:rPr>
                <w:fldChar w:fldCharType="begin"/>
              </w:r>
              <w:r w:rsidR="00D36C99">
                <w:rPr>
                  <w:color w:val="000000" w:themeColor="text1"/>
                  <w:szCs w:val="21"/>
                </w:rPr>
                <w:instrText xml:space="preserve"> MACROBUTTON  SnrToggleCheckbox √适用 </w:instrText>
              </w:r>
              <w:r>
                <w:rPr>
                  <w:color w:val="000000" w:themeColor="text1"/>
                  <w:szCs w:val="21"/>
                </w:rPr>
                <w:fldChar w:fldCharType="end"/>
              </w:r>
              <w:r>
                <w:rPr>
                  <w:color w:val="000000" w:themeColor="text1"/>
                  <w:szCs w:val="21"/>
                </w:rPr>
                <w:fldChar w:fldCharType="begin"/>
              </w:r>
              <w:r w:rsidR="00D36C99">
                <w:rPr>
                  <w:color w:val="000000" w:themeColor="text1"/>
                  <w:szCs w:val="21"/>
                </w:rPr>
                <w:instrText xml:space="preserve"> MACROBUTTON  SnrToggleCheckbox □不适用 </w:instrText>
              </w:r>
              <w:r>
                <w:rPr>
                  <w:color w:val="000000" w:themeColor="text1"/>
                  <w:szCs w:val="21"/>
                </w:rPr>
                <w:fldChar w:fldCharType="end"/>
              </w:r>
            </w:p>
          </w:sdtContent>
        </w:sdt>
        <w:p w:rsidR="00D36C99" w:rsidRDefault="000D0A99" w:rsidP="00B637B2">
          <w:pPr>
            <w:snapToGrid w:val="0"/>
            <w:jc w:val="both"/>
            <w:rPr>
              <w:szCs w:val="21"/>
            </w:rPr>
          </w:pPr>
          <w:sdt>
            <w:sdtPr>
              <w:rPr>
                <w:szCs w:val="21"/>
              </w:rPr>
              <w:alias w:val="长期借款的说明"/>
              <w:tag w:val="_GBC_05c1a5b23bdb44ee812f7f625a395fd0"/>
              <w:id w:val="-1426807206"/>
              <w:lock w:val="sdtLocked"/>
            </w:sdtPr>
            <w:sdtContent>
              <w:r w:rsidR="00D36C99" w:rsidRPr="00D36C99">
                <w:rPr>
                  <w:rFonts w:hint="eastAsia"/>
                  <w:szCs w:val="21"/>
                </w:rPr>
                <w:t>注：于</w:t>
              </w:r>
              <w:r w:rsidR="00D36C99" w:rsidRPr="00D36C99">
                <w:rPr>
                  <w:szCs w:val="21"/>
                </w:rPr>
                <w:t>2019年6月30日，南昌基地以账面价值人民币619,016,810元的房产及账面价值为人民币30,790,486元的土地使用权为抵押物，取得北京银行南昌分行借款人民币180,000,000元。本公司作为保证人为该笔贷款提供担保。</w:t>
              </w:r>
            </w:sdtContent>
          </w:sdt>
        </w:p>
        <w:p w:rsidR="00ED2DC7" w:rsidRDefault="000D0A99" w:rsidP="00A14E7E">
          <w:pPr>
            <w:snapToGrid w:val="0"/>
            <w:rPr>
              <w:szCs w:val="21"/>
            </w:rPr>
          </w:pPr>
        </w:p>
      </w:sdtContent>
    </w:sdt>
    <w:p w:rsidR="00ED2DC7" w:rsidRDefault="00ED2DC7">
      <w:pPr>
        <w:rPr>
          <w:szCs w:val="21"/>
        </w:rPr>
      </w:pPr>
    </w:p>
    <w:p w:rsidR="00ED2DC7" w:rsidRDefault="00ED2DC7" w:rsidP="00036BDC">
      <w:pPr>
        <w:pStyle w:val="affffffffffffffffff1"/>
        <w:numPr>
          <w:ilvl w:val="0"/>
          <w:numId w:val="49"/>
        </w:numPr>
        <w:tabs>
          <w:tab w:val="left" w:pos="504"/>
        </w:tabs>
        <w:rPr>
          <w:rFonts w:ascii="宋体" w:hAnsi="宋体"/>
          <w:szCs w:val="21"/>
        </w:rPr>
      </w:pPr>
      <w:r>
        <w:rPr>
          <w:rFonts w:ascii="宋体" w:hAnsi="宋体" w:hint="eastAsia"/>
          <w:szCs w:val="21"/>
        </w:rPr>
        <w:t>应付债券</w:t>
      </w:r>
    </w:p>
    <w:sdt>
      <w:sdtPr>
        <w:rPr>
          <w:rFonts w:ascii="宋体" w:hAnsi="宋体" w:cs="宋体" w:hint="eastAsia"/>
          <w:b w:val="0"/>
          <w:bCs w:val="0"/>
          <w:kern w:val="0"/>
          <w:szCs w:val="24"/>
        </w:rPr>
        <w:alias w:val="模块:应付债券"/>
        <w:tag w:val="_GBC_cd8e29427b9b4eecb46188c744528e27"/>
        <w:id w:val="1637599530"/>
        <w:lock w:val="sdtLocked"/>
        <w:placeholder>
          <w:docPart w:val="GBC22222222222222222222222222222"/>
        </w:placeholder>
      </w:sdtPr>
      <w:sdtContent>
        <w:p w:rsidR="00ED2DC7" w:rsidRDefault="00ED2DC7" w:rsidP="00036BDC">
          <w:pPr>
            <w:pStyle w:val="affffffffffffffffff2"/>
            <w:numPr>
              <w:ilvl w:val="0"/>
              <w:numId w:val="75"/>
            </w:numPr>
            <w:tabs>
              <w:tab w:val="left" w:pos="672"/>
            </w:tabs>
          </w:pPr>
          <w:r>
            <w:rPr>
              <w:rFonts w:hint="eastAsia"/>
            </w:rPr>
            <w:t>应付</w:t>
          </w:r>
          <w:r>
            <w:rPr>
              <w:rFonts w:ascii="宋体" w:hAnsi="宋体" w:hint="eastAsia"/>
              <w:szCs w:val="21"/>
            </w:rPr>
            <w:t>债券</w:t>
          </w:r>
        </w:p>
        <w:sdt>
          <w:sdtPr>
            <w:rPr>
              <w:rFonts w:hint="eastAsia"/>
            </w:rPr>
            <w:alias w:val="是否适用：应付债券[双击切换]"/>
            <w:tag w:val="_GBC_b07c291c892844efaca56bc1d52b1566"/>
            <w:id w:val="-148061025"/>
            <w:lock w:val="sdtContentLocked"/>
            <w:placeholder>
              <w:docPart w:val="GBC22222222222222222222222222222"/>
            </w:placeholder>
          </w:sdtPr>
          <w:sdtContent>
            <w:p w:rsidR="00ED2DC7" w:rsidRDefault="00ED2DC7" w:rsidP="00A14E7E">
              <w:r>
                <w:fldChar w:fldCharType="begin"/>
              </w:r>
              <w:r w:rsidR="00A14E7E">
                <w:instrText xml:space="preserve"> MACROBUTTON  SnrToggleCheckbox □适用 </w:instrText>
              </w:r>
              <w:r>
                <w:fldChar w:fldCharType="end"/>
              </w:r>
              <w:r>
                <w:fldChar w:fldCharType="begin"/>
              </w:r>
              <w:r w:rsidR="00A14E7E">
                <w:instrText xml:space="preserve"> MACROBUTTON  SnrToggleCheckbox √不适用 </w:instrText>
              </w:r>
              <w:r>
                <w:fldChar w:fldCharType="end"/>
              </w:r>
            </w:p>
          </w:sdtContent>
        </w:sdt>
      </w:sdtContent>
    </w:sdt>
    <w:sdt>
      <w:sdtPr>
        <w:rPr>
          <w:rFonts w:asciiTheme="minorHAnsi" w:eastAsiaTheme="minorEastAsia" w:hAnsiTheme="minorHAnsi" w:cstheme="minorBidi"/>
          <w:b w:val="0"/>
          <w:bCs w:val="0"/>
          <w:kern w:val="0"/>
          <w:szCs w:val="22"/>
        </w:rPr>
        <w:alias w:val="模块:应付债券的增减变动"/>
        <w:tag w:val="_GBC_93c3424329ce41edbb49a50ffbdbc9d7"/>
        <w:id w:val="1986045664"/>
        <w:lock w:val="sdtLocked"/>
        <w:placeholder>
          <w:docPart w:val="GBC22222222222222222222222222222"/>
        </w:placeholder>
      </w:sdtPr>
      <w:sdtEndPr>
        <w:rPr>
          <w:rFonts w:ascii="宋体" w:eastAsia="宋体" w:hAnsi="宋体" w:hint="eastAsia"/>
          <w:b/>
          <w:bCs/>
          <w:color w:val="000000" w:themeColor="text1"/>
          <w:szCs w:val="21"/>
        </w:rPr>
      </w:sdtEndPr>
      <w:sdtContent>
        <w:p w:rsidR="00ED2DC7" w:rsidRDefault="00ED2DC7" w:rsidP="00036BDC">
          <w:pPr>
            <w:pStyle w:val="affffffffffffffffff2"/>
            <w:numPr>
              <w:ilvl w:val="0"/>
              <w:numId w:val="75"/>
            </w:numPr>
            <w:tabs>
              <w:tab w:val="left" w:pos="672"/>
            </w:tabs>
            <w:rPr>
              <w:rFonts w:ascii="宋体" w:hAnsi="宋体"/>
              <w:szCs w:val="21"/>
            </w:rPr>
          </w:pPr>
          <w:r>
            <w:rPr>
              <w:rFonts w:ascii="宋体" w:hAnsi="宋体"/>
              <w:szCs w:val="21"/>
            </w:rPr>
            <w:t>应付债券的增减变动</w:t>
          </w:r>
          <w:r>
            <w:rPr>
              <w:rFonts w:ascii="宋体" w:hAnsi="宋体" w:hint="eastAsia"/>
              <w:szCs w:val="21"/>
            </w:rPr>
            <w:t>（不包括划分为金融负债的优先股、永续债等其他金融工具）</w:t>
          </w:r>
        </w:p>
        <w:sdt>
          <w:sdtPr>
            <w:alias w:val="是否适用：应付债券的增减变动[双击切换]"/>
            <w:tag w:val="_GBC_4b9b2c6cc76845b79e52a5d821e1cf5a"/>
            <w:id w:val="-1320111153"/>
            <w:lock w:val="sdtContentLocked"/>
            <w:placeholder>
              <w:docPart w:val="GBC22222222222222222222222222222"/>
            </w:placeholder>
          </w:sdtPr>
          <w:sdtContent>
            <w:p w:rsidR="00ED2DC7" w:rsidRDefault="00ED2DC7" w:rsidP="00A14E7E">
              <w:r>
                <w:fldChar w:fldCharType="begin"/>
              </w:r>
              <w:r w:rsidR="00A14E7E">
                <w:instrText xml:space="preserve"> MACROBUTTON  SnrToggleCheckbox □适用 </w:instrText>
              </w:r>
              <w:r>
                <w:fldChar w:fldCharType="end"/>
              </w:r>
              <w:r>
                <w:fldChar w:fldCharType="begin"/>
              </w:r>
              <w:r w:rsidR="00A14E7E">
                <w:instrText xml:space="preserve"> MACROBUTTON  SnrToggleCheckbox √不适用 </w:instrText>
              </w:r>
              <w:r>
                <w:fldChar w:fldCharType="end"/>
              </w:r>
            </w:p>
          </w:sdtContent>
        </w:sdt>
      </w:sdtContent>
    </w:sdt>
    <w:bookmarkStart w:id="180" w:name="OLE_LINK18" w:displacedByCustomXml="prev"/>
    <w:bookmarkStart w:id="181" w:name="OLE_LINK16" w:displacedByCustomXml="prev"/>
    <w:sdt>
      <w:sdtPr>
        <w:rPr>
          <w:rFonts w:ascii="宋体" w:hAnsi="宋体" w:cs="宋体" w:hint="eastAsia"/>
          <w:b w:val="0"/>
          <w:bCs w:val="0"/>
          <w:kern w:val="0"/>
          <w:szCs w:val="21"/>
        </w:rPr>
        <w:alias w:val="模块:可转换公司债券的转股条件、转股时间说明："/>
        <w:tag w:val="_GBC_235b19ac1003437586dbfe1a48116b09"/>
        <w:id w:val="544332057"/>
        <w:lock w:val="sdtLocked"/>
        <w:placeholder>
          <w:docPart w:val="GBC22222222222222222222222222222"/>
        </w:placeholder>
      </w:sdtPr>
      <w:sdtContent>
        <w:p w:rsidR="00ED2DC7" w:rsidRDefault="00ED2DC7" w:rsidP="00036BDC">
          <w:pPr>
            <w:pStyle w:val="affffffffffffffffff2"/>
            <w:numPr>
              <w:ilvl w:val="0"/>
              <w:numId w:val="75"/>
            </w:numPr>
            <w:tabs>
              <w:tab w:val="left" w:pos="672"/>
            </w:tabs>
            <w:rPr>
              <w:szCs w:val="21"/>
            </w:rPr>
          </w:pPr>
          <w:r>
            <w:rPr>
              <w:rFonts w:hint="eastAsia"/>
              <w:szCs w:val="21"/>
            </w:rPr>
            <w:t>可</w:t>
          </w:r>
          <w:r>
            <w:rPr>
              <w:rFonts w:ascii="宋体" w:hAnsi="宋体" w:hint="eastAsia"/>
              <w:szCs w:val="21"/>
            </w:rPr>
            <w:t>转换公司债</w:t>
          </w:r>
          <w:r>
            <w:rPr>
              <w:rFonts w:hint="eastAsia"/>
              <w:szCs w:val="21"/>
            </w:rPr>
            <w:t>券的转股条件、转股时间说明</w:t>
          </w:r>
        </w:p>
        <w:sdt>
          <w:sdtPr>
            <w:alias w:val="是否适用：可转换公司债券的转股条件、转股时间说明[双击切换]"/>
            <w:tag w:val="_GBC_bdbcbf7db2194e929d8f2f4945774241"/>
            <w:id w:val="892625990"/>
            <w:lock w:val="sdtContentLocked"/>
            <w:placeholder>
              <w:docPart w:val="GBC22222222222222222222222222222"/>
            </w:placeholder>
          </w:sdtPr>
          <w:sdtContent>
            <w:p w:rsidR="00ED2DC7" w:rsidRDefault="00ED2DC7" w:rsidP="00A14E7E">
              <w:pPr>
                <w:rPr>
                  <w:szCs w:val="21"/>
                </w:rPr>
              </w:pPr>
              <w:r>
                <w:fldChar w:fldCharType="begin"/>
              </w:r>
              <w:r w:rsidR="00A14E7E">
                <w:instrText xml:space="preserve"> MACROBUTTON  SnrToggleCheckbox □适用 </w:instrText>
              </w:r>
              <w:r>
                <w:fldChar w:fldCharType="end"/>
              </w:r>
              <w:r>
                <w:fldChar w:fldCharType="begin"/>
              </w:r>
              <w:r w:rsidR="00A14E7E">
                <w:instrText xml:space="preserve"> MACROBUTTON  SnrToggleCheckbox √不适用 </w:instrText>
              </w:r>
              <w:r>
                <w:fldChar w:fldCharType="end"/>
              </w:r>
            </w:p>
          </w:sdtContent>
        </w:sdt>
      </w:sdtContent>
    </w:sdt>
    <w:p w:rsidR="00ED2DC7" w:rsidRDefault="00ED2DC7">
      <w:pPr>
        <w:rPr>
          <w:szCs w:val="21"/>
        </w:rPr>
      </w:pPr>
    </w:p>
    <w:sdt>
      <w:sdtPr>
        <w:rPr>
          <w:rFonts w:ascii="宋体" w:hAnsi="宋体" w:cs="宋体" w:hint="eastAsia"/>
          <w:b w:val="0"/>
          <w:bCs w:val="0"/>
          <w:kern w:val="0"/>
          <w:szCs w:val="21"/>
        </w:rPr>
        <w:alias w:val="模块:划分为金融负债的其他金融工具说明"/>
        <w:tag w:val="_GBC_d031ed2380884bb4aa3cb2efb2740308"/>
        <w:id w:val="-1974672199"/>
        <w:lock w:val="sdtLocked"/>
        <w:placeholder>
          <w:docPart w:val="GBC22222222222222222222222222222"/>
        </w:placeholder>
      </w:sdtPr>
      <w:sdtEndPr>
        <w:rPr>
          <w:rFonts w:hint="default"/>
        </w:rPr>
      </w:sdtEndPr>
      <w:sdtContent>
        <w:bookmarkEnd w:id="180" w:displacedByCustomXml="prev"/>
        <w:bookmarkEnd w:id="181" w:displacedByCustomXml="prev"/>
        <w:p w:rsidR="00ED2DC7" w:rsidRDefault="00ED2DC7" w:rsidP="00036BDC">
          <w:pPr>
            <w:pStyle w:val="affffffffffffffffff2"/>
            <w:numPr>
              <w:ilvl w:val="0"/>
              <w:numId w:val="75"/>
            </w:numPr>
            <w:tabs>
              <w:tab w:val="left" w:pos="672"/>
            </w:tabs>
            <w:rPr>
              <w:szCs w:val="21"/>
            </w:rPr>
          </w:pPr>
          <w:r>
            <w:rPr>
              <w:rFonts w:hint="eastAsia"/>
              <w:szCs w:val="21"/>
            </w:rPr>
            <w:t>划分为金融负债的其他金融工具说明</w:t>
          </w:r>
        </w:p>
        <w:p w:rsidR="00ED2DC7" w:rsidRDefault="00ED2DC7">
          <w:pPr>
            <w:rPr>
              <w:szCs w:val="21"/>
            </w:rPr>
          </w:pPr>
          <w:r>
            <w:rPr>
              <w:rFonts w:hint="eastAsia"/>
              <w:szCs w:val="21"/>
            </w:rPr>
            <w:t>期末发行在外的优先股、永续债等其他金融工具基本情况</w:t>
          </w:r>
        </w:p>
        <w:sdt>
          <w:sdtPr>
            <w:rPr>
              <w:szCs w:val="21"/>
            </w:rPr>
            <w:alias w:val="是否适用：划分为金融负债的其他金融工具说明[双击切换]"/>
            <w:tag w:val="_GBC_61542231aba54618ab4bd6d781bfab05"/>
            <w:id w:val="162978690"/>
            <w:lock w:val="sdtContentLocked"/>
            <w:placeholder>
              <w:docPart w:val="GBC22222222222222222222222222222"/>
            </w:placeholder>
          </w:sdtPr>
          <w:sdtContent>
            <w:p w:rsidR="00ED2DC7" w:rsidRDefault="00ED2DC7" w:rsidP="00A14E7E">
              <w:pPr>
                <w:rPr>
                  <w:szCs w:val="21"/>
                </w:rPr>
              </w:pPr>
              <w:r>
                <w:rPr>
                  <w:szCs w:val="21"/>
                </w:rPr>
                <w:fldChar w:fldCharType="begin"/>
              </w:r>
              <w:r w:rsidR="00A14E7E">
                <w:rPr>
                  <w:szCs w:val="21"/>
                </w:rPr>
                <w:instrText xml:space="preserve"> MACROBUTTON  SnrToggleCheckbox □适用 </w:instrText>
              </w:r>
              <w:r>
                <w:rPr>
                  <w:szCs w:val="21"/>
                </w:rPr>
                <w:fldChar w:fldCharType="end"/>
              </w:r>
              <w:r>
                <w:rPr>
                  <w:szCs w:val="21"/>
                </w:rPr>
                <w:fldChar w:fldCharType="begin"/>
              </w:r>
              <w:r w:rsidR="00A14E7E">
                <w:rPr>
                  <w:szCs w:val="21"/>
                </w:rPr>
                <w:instrText xml:space="preserve"> MACROBUTTON  SnrToggleCheckbox √不适用 </w:instrText>
              </w:r>
              <w:r>
                <w:rPr>
                  <w:szCs w:val="21"/>
                </w:rPr>
                <w:fldChar w:fldCharType="end"/>
              </w:r>
            </w:p>
          </w:sdtContent>
        </w:sdt>
        <w:p w:rsidR="00ED2DC7" w:rsidRDefault="00ED2DC7">
          <w:pPr>
            <w:rPr>
              <w:szCs w:val="21"/>
            </w:rPr>
          </w:pPr>
        </w:p>
        <w:p w:rsidR="00ED2DC7" w:rsidRDefault="00ED2DC7">
          <w:pPr>
            <w:rPr>
              <w:szCs w:val="21"/>
            </w:rPr>
          </w:pPr>
          <w:r>
            <w:rPr>
              <w:rFonts w:hint="eastAsia"/>
              <w:szCs w:val="21"/>
            </w:rPr>
            <w:t>期末发行在外的优先股、永续债等金融工具变动情况表</w:t>
          </w:r>
        </w:p>
        <w:sdt>
          <w:sdtPr>
            <w:rPr>
              <w:szCs w:val="21"/>
            </w:rPr>
            <w:alias w:val="是否适用：期末发行在外的优先股、永续债等金融工具变动情况表_应付债券[双击切换]"/>
            <w:tag w:val="_GBC_4cf6ed9dc37d42fc946f2268e90eee97"/>
            <w:id w:val="-2133474548"/>
            <w:lock w:val="sdtContentLocked"/>
            <w:placeholder>
              <w:docPart w:val="GBC22222222222222222222222222222"/>
            </w:placeholder>
          </w:sdtPr>
          <w:sdtContent>
            <w:p w:rsidR="00ED2DC7" w:rsidRDefault="00ED2DC7" w:rsidP="00A14E7E">
              <w:pPr>
                <w:rPr>
                  <w:szCs w:val="21"/>
                </w:rPr>
              </w:pPr>
              <w:r>
                <w:rPr>
                  <w:szCs w:val="21"/>
                </w:rPr>
                <w:fldChar w:fldCharType="begin"/>
              </w:r>
              <w:r w:rsidR="00A14E7E">
                <w:rPr>
                  <w:szCs w:val="21"/>
                </w:rPr>
                <w:instrText xml:space="preserve"> MACROBUTTON  SnrToggleCheckbox □适用 </w:instrText>
              </w:r>
              <w:r>
                <w:rPr>
                  <w:szCs w:val="21"/>
                </w:rPr>
                <w:fldChar w:fldCharType="end"/>
              </w:r>
              <w:r>
                <w:rPr>
                  <w:szCs w:val="21"/>
                </w:rPr>
                <w:fldChar w:fldCharType="begin"/>
              </w:r>
              <w:r w:rsidR="00A14E7E">
                <w:rPr>
                  <w:szCs w:val="21"/>
                </w:rPr>
                <w:instrText xml:space="preserve"> MACROBUTTON  SnrToggleCheckbox √不适用 </w:instrText>
              </w:r>
              <w:r>
                <w:rPr>
                  <w:szCs w:val="21"/>
                </w:rPr>
                <w:fldChar w:fldCharType="end"/>
              </w:r>
            </w:p>
          </w:sdtContent>
        </w:sdt>
        <w:p w:rsidR="00ED2DC7" w:rsidRDefault="00ED2DC7">
          <w:pPr>
            <w:spacing w:before="60" w:after="60"/>
            <w:rPr>
              <w:szCs w:val="21"/>
            </w:rPr>
          </w:pPr>
          <w:r>
            <w:rPr>
              <w:rFonts w:hint="eastAsia"/>
              <w:szCs w:val="21"/>
            </w:rPr>
            <w:t>其他金融工具划分为金融负债的依据说明</w:t>
          </w:r>
        </w:p>
        <w:sdt>
          <w:sdtPr>
            <w:rPr>
              <w:szCs w:val="21"/>
            </w:rPr>
            <w:alias w:val="是否适用：其他金融工具划分为金融负债的依据说明[双击切换]"/>
            <w:tag w:val="_GBC_aec0ba7f99624a559a5f92bcd8e57e4f"/>
            <w:id w:val="64464250"/>
            <w:lock w:val="sdtContentLocked"/>
            <w:placeholder>
              <w:docPart w:val="GBC22222222222222222222222222222"/>
            </w:placeholder>
          </w:sdtPr>
          <w:sdtContent>
            <w:p w:rsidR="00ED2DC7" w:rsidRDefault="00ED2DC7" w:rsidP="00A14E7E">
              <w:pPr>
                <w:spacing w:before="60" w:after="60"/>
                <w:rPr>
                  <w:szCs w:val="21"/>
                </w:rPr>
              </w:pPr>
              <w:r>
                <w:rPr>
                  <w:szCs w:val="21"/>
                </w:rPr>
                <w:fldChar w:fldCharType="begin"/>
              </w:r>
              <w:r w:rsidR="00A14E7E">
                <w:rPr>
                  <w:szCs w:val="21"/>
                </w:rPr>
                <w:instrText xml:space="preserve"> MACROBUTTON  SnrToggleCheckbox □适用 </w:instrText>
              </w:r>
              <w:r>
                <w:rPr>
                  <w:szCs w:val="21"/>
                </w:rPr>
                <w:fldChar w:fldCharType="end"/>
              </w:r>
              <w:r>
                <w:rPr>
                  <w:szCs w:val="21"/>
                </w:rPr>
                <w:fldChar w:fldCharType="begin"/>
              </w:r>
              <w:r w:rsidR="00A14E7E">
                <w:rPr>
                  <w:szCs w:val="21"/>
                </w:rPr>
                <w:instrText xml:space="preserve"> MACROBUTTON  SnrToggleCheckbox √不适用 </w:instrText>
              </w:r>
              <w:r>
                <w:rPr>
                  <w:szCs w:val="21"/>
                </w:rPr>
                <w:fldChar w:fldCharType="end"/>
              </w:r>
            </w:p>
          </w:sdtContent>
        </w:sdt>
        <w:p w:rsidR="00ED2DC7" w:rsidRDefault="000D0A99">
          <w:pPr>
            <w:rPr>
              <w:szCs w:val="21"/>
            </w:rPr>
          </w:pPr>
        </w:p>
      </w:sdtContent>
    </w:sdt>
    <w:sdt>
      <w:sdtPr>
        <w:rPr>
          <w:rFonts w:hint="eastAsia"/>
          <w:szCs w:val="21"/>
        </w:rPr>
        <w:alias w:val="模块:应付债券其他说明"/>
        <w:tag w:val="_GBC_32fb23173d7a4a4fa8cb056982254a59"/>
        <w:id w:val="-888496755"/>
        <w:lock w:val="sdtLocked"/>
        <w:placeholder>
          <w:docPart w:val="GBC22222222222222222222222222222"/>
        </w:placeholder>
      </w:sdtPr>
      <w:sdtContent>
        <w:p w:rsidR="00ED2DC7" w:rsidRDefault="00ED2DC7">
          <w:pPr>
            <w:spacing w:before="60" w:after="60"/>
            <w:rPr>
              <w:szCs w:val="21"/>
            </w:rPr>
          </w:pPr>
          <w:r>
            <w:rPr>
              <w:rFonts w:hint="eastAsia"/>
              <w:szCs w:val="21"/>
            </w:rPr>
            <w:t>其他说明：</w:t>
          </w:r>
        </w:p>
        <w:sdt>
          <w:sdtPr>
            <w:rPr>
              <w:szCs w:val="21"/>
            </w:rPr>
            <w:alias w:val="是否适用：应付债券的其他说明[双击切换]"/>
            <w:tag w:val="_GBC_34ea80305b6a4fafaf2943f684877d08"/>
            <w:id w:val="-77130043"/>
            <w:lock w:val="sdtContentLocked"/>
            <w:placeholder>
              <w:docPart w:val="GBC22222222222222222222222222222"/>
            </w:placeholder>
          </w:sdtPr>
          <w:sdtContent>
            <w:p w:rsidR="00ED2DC7" w:rsidRDefault="00ED2DC7" w:rsidP="00A14E7E">
              <w:pPr>
                <w:spacing w:before="60" w:after="60"/>
                <w:rPr>
                  <w:szCs w:val="21"/>
                </w:rPr>
              </w:pPr>
              <w:r>
                <w:rPr>
                  <w:szCs w:val="21"/>
                </w:rPr>
                <w:fldChar w:fldCharType="begin"/>
              </w:r>
              <w:r w:rsidR="00A14E7E">
                <w:rPr>
                  <w:szCs w:val="21"/>
                </w:rPr>
                <w:instrText xml:space="preserve"> MACROBUTTON  SnrToggleCheckbox □适用 </w:instrText>
              </w:r>
              <w:r>
                <w:rPr>
                  <w:szCs w:val="21"/>
                </w:rPr>
                <w:fldChar w:fldCharType="end"/>
              </w:r>
              <w:r>
                <w:rPr>
                  <w:szCs w:val="21"/>
                </w:rPr>
                <w:fldChar w:fldCharType="begin"/>
              </w:r>
              <w:r w:rsidR="00A14E7E">
                <w:rPr>
                  <w:szCs w:val="21"/>
                </w:rPr>
                <w:instrText xml:space="preserve"> MACROBUTTON  SnrToggleCheckbox √不适用 </w:instrText>
              </w:r>
              <w:r>
                <w:rPr>
                  <w:szCs w:val="21"/>
                </w:rPr>
                <w:fldChar w:fldCharType="end"/>
              </w:r>
            </w:p>
          </w:sdtContent>
        </w:sdt>
      </w:sdtContent>
    </w:sdt>
    <w:p w:rsidR="00ED2DC7" w:rsidRDefault="00ED2DC7">
      <w:pPr>
        <w:rPr>
          <w:szCs w:val="21"/>
        </w:rPr>
      </w:pPr>
    </w:p>
    <w:sdt>
      <w:sdtPr>
        <w:rPr>
          <w:rFonts w:ascii="宋体" w:hAnsi="宋体" w:cs="宋体" w:hint="eastAsia"/>
          <w:b w:val="0"/>
          <w:bCs w:val="0"/>
          <w:kern w:val="0"/>
          <w:szCs w:val="21"/>
        </w:rPr>
        <w:alias w:val="模块:租赁负债"/>
        <w:tag w:val="_SEC_6bd3f432494344eb8aaf6d133dbbfdc8"/>
        <w:id w:val="-1842539222"/>
        <w:lock w:val="sdtLocked"/>
        <w:placeholder>
          <w:docPart w:val="GBC22222222222222222222222222222"/>
        </w:placeholder>
      </w:sdtPr>
      <w:sdtEndPr>
        <w:rPr>
          <w:rFonts w:hint="default"/>
        </w:rPr>
      </w:sdtEndPr>
      <w:sdtContent>
        <w:p w:rsidR="00ED2DC7" w:rsidRDefault="00ED2DC7" w:rsidP="00036BDC">
          <w:pPr>
            <w:pStyle w:val="affffffffffffffffff1"/>
            <w:numPr>
              <w:ilvl w:val="0"/>
              <w:numId w:val="49"/>
            </w:numPr>
            <w:tabs>
              <w:tab w:val="left" w:pos="504"/>
            </w:tabs>
            <w:rPr>
              <w:szCs w:val="21"/>
            </w:rPr>
          </w:pPr>
          <w:r>
            <w:rPr>
              <w:rFonts w:hint="eastAsia"/>
              <w:szCs w:val="21"/>
            </w:rPr>
            <w:t>租赁负债</w:t>
          </w:r>
        </w:p>
        <w:sdt>
          <w:sdtPr>
            <w:rPr>
              <w:szCs w:val="21"/>
            </w:rPr>
            <w:alias w:val="是否适用：租赁负债[双击切换]"/>
            <w:tag w:val="_GBC_cec9aedf0aa8427d9bd5dbf17e698298"/>
            <w:id w:val="-2011669098"/>
            <w:lock w:val="sdtContentLocked"/>
            <w:placeholder>
              <w:docPart w:val="GBC22222222222222222222222222222"/>
            </w:placeholder>
          </w:sdtPr>
          <w:sdtContent>
            <w:p w:rsidR="00B735D2" w:rsidRDefault="00ED2DC7" w:rsidP="00B735D2">
              <w:r>
                <w:rPr>
                  <w:szCs w:val="21"/>
                </w:rPr>
                <w:fldChar w:fldCharType="begin"/>
              </w:r>
              <w:r w:rsidR="00B735D2">
                <w:rPr>
                  <w:szCs w:val="21"/>
                </w:rPr>
                <w:instrText xml:space="preserve"> MACROBUTTON  SnrToggleCheckbox □适用 </w:instrText>
              </w:r>
              <w:r>
                <w:rPr>
                  <w:szCs w:val="21"/>
                </w:rPr>
                <w:fldChar w:fldCharType="end"/>
              </w:r>
              <w:r>
                <w:rPr>
                  <w:szCs w:val="21"/>
                </w:rPr>
                <w:fldChar w:fldCharType="begin"/>
              </w:r>
              <w:r w:rsidR="00B735D2">
                <w:rPr>
                  <w:szCs w:val="21"/>
                </w:rPr>
                <w:instrText xml:space="preserve"> MACROBUTTON  SnrToggleCheckbox √不适用 </w:instrText>
              </w:r>
              <w:r>
                <w:rPr>
                  <w:szCs w:val="21"/>
                </w:rPr>
                <w:fldChar w:fldCharType="end"/>
              </w:r>
            </w:p>
          </w:sdtContent>
        </w:sdt>
        <w:p w:rsidR="00ED2DC7" w:rsidRDefault="000D0A99"/>
      </w:sdtContent>
    </w:sdt>
    <w:p w:rsidR="00ED2DC7" w:rsidRDefault="00ED2DC7">
      <w:pPr>
        <w:rPr>
          <w:szCs w:val="21"/>
        </w:rPr>
      </w:pPr>
    </w:p>
    <w:p w:rsidR="00ED2DC7" w:rsidRDefault="00ED2DC7" w:rsidP="00036BDC">
      <w:pPr>
        <w:pStyle w:val="affffffffffffffffff1"/>
        <w:numPr>
          <w:ilvl w:val="0"/>
          <w:numId w:val="49"/>
        </w:numPr>
        <w:tabs>
          <w:tab w:val="left" w:pos="504"/>
        </w:tabs>
        <w:rPr>
          <w:rFonts w:ascii="宋体" w:hAnsi="宋体"/>
          <w:szCs w:val="21"/>
        </w:rPr>
      </w:pPr>
      <w:r>
        <w:rPr>
          <w:rFonts w:ascii="宋体" w:hAnsi="宋体" w:hint="eastAsia"/>
          <w:szCs w:val="21"/>
        </w:rPr>
        <w:t>长期应付款</w:t>
      </w:r>
    </w:p>
    <w:bookmarkStart w:id="182" w:name="_Hlk10536746" w:displacedByCustomXml="next"/>
    <w:sdt>
      <w:sdtPr>
        <w:rPr>
          <w:rFonts w:ascii="宋体" w:hAnsi="宋体" w:cs="宋体" w:hint="eastAsia"/>
          <w:b w:val="0"/>
          <w:bCs w:val="0"/>
          <w:kern w:val="0"/>
          <w:szCs w:val="24"/>
        </w:rPr>
        <w:alias w:val="模块:项目列示"/>
        <w:tag w:val="_SEC_c0e96ee0f49e415f98873dfb1c798446"/>
        <w:id w:val="-1475678360"/>
        <w:lock w:val="sdtLocked"/>
        <w:placeholder>
          <w:docPart w:val="GBC22222222222222222222222222222"/>
        </w:placeholder>
      </w:sdtPr>
      <w:sdtContent>
        <w:bookmarkStart w:id="183" w:name="_Hlk532911057" w:displacedByCustomXml="prev"/>
        <w:p w:rsidR="00ED2DC7" w:rsidRDefault="00ED2DC7">
          <w:pPr>
            <w:pStyle w:val="affffffffffffffffff2"/>
          </w:pPr>
          <w:r>
            <w:rPr>
              <w:rFonts w:hint="eastAsia"/>
            </w:rPr>
            <w:t>项目列示</w:t>
          </w:r>
        </w:p>
        <w:sdt>
          <w:sdtPr>
            <w:alias w:val="是否适用：长期应付款分类列示[双击切换]"/>
            <w:tag w:val="_GBC_dc1496c33e4a4cabb259020dbf46be93"/>
            <w:id w:val="1229806231"/>
            <w:lock w:val="sdtContentLocked"/>
            <w:placeholder>
              <w:docPart w:val="GBC22222222222222222222222222222"/>
            </w:placeholder>
          </w:sdtPr>
          <w:sdtContent>
            <w:p w:rsidR="00A14E7E" w:rsidRDefault="00ED2DC7" w:rsidP="00A14E7E">
              <w:pPr>
                <w:rPr>
                  <w:szCs w:val="21"/>
                </w:rPr>
              </w:pPr>
              <w:r>
                <w:fldChar w:fldCharType="begin"/>
              </w:r>
              <w:r w:rsidR="00A14E7E">
                <w:instrText xml:space="preserve"> MACROBUTTON  SnrToggleCheckbox □适用 </w:instrText>
              </w:r>
              <w:r>
                <w:fldChar w:fldCharType="end"/>
              </w:r>
              <w:r>
                <w:fldChar w:fldCharType="begin"/>
              </w:r>
              <w:r w:rsidR="00A14E7E">
                <w:instrText xml:space="preserve"> MACROBUTTON  SnrToggleCheckbox √不适用 </w:instrText>
              </w:r>
              <w:r>
                <w:fldChar w:fldCharType="end"/>
              </w:r>
            </w:p>
          </w:sdtContent>
        </w:sdt>
        <w:p w:rsidR="00ED2DC7" w:rsidRDefault="00ED2DC7">
          <w:pPr>
            <w:rPr>
              <w:szCs w:val="21"/>
            </w:rPr>
          </w:pPr>
        </w:p>
        <w:p w:rsidR="00ED2DC7" w:rsidRDefault="000D0A99"/>
        <w:bookmarkEnd w:id="183" w:displacedByCustomXml="next"/>
      </w:sdtContent>
    </w:sdt>
    <w:bookmarkEnd w:id="182" w:displacedByCustomXml="prev"/>
    <w:bookmarkStart w:id="184" w:name="_Hlk10536806" w:displacedByCustomXml="next"/>
    <w:bookmarkStart w:id="185" w:name="_Hlk10536877" w:displacedByCustomXml="next"/>
    <w:sdt>
      <w:sdtPr>
        <w:rPr>
          <w:rFonts w:ascii="宋体" w:hAnsi="宋体" w:cs="宋体" w:hint="eastAsia"/>
          <w:b w:val="0"/>
          <w:bCs w:val="0"/>
          <w:kern w:val="0"/>
          <w:szCs w:val="24"/>
        </w:rPr>
        <w:alias w:val="模块:长期应付款"/>
        <w:tag w:val="_SEC_1ac73daea3484386b92787e79e677fbb"/>
        <w:id w:val="504328788"/>
        <w:lock w:val="sdtLocked"/>
        <w:placeholder>
          <w:docPart w:val="GBC22222222222222222222222222222"/>
        </w:placeholder>
      </w:sdtPr>
      <w:sdtEndPr>
        <w:rPr>
          <w:rFonts w:hint="default"/>
        </w:rPr>
      </w:sdtEndPr>
      <w:sdtContent>
        <w:p w:rsidR="00ED2DC7" w:rsidRDefault="00ED2DC7">
          <w:pPr>
            <w:pStyle w:val="affffffffffffffffff2"/>
            <w:ind w:left="360" w:hanging="360"/>
          </w:pPr>
          <w:r>
            <w:rPr>
              <w:rFonts w:hint="eastAsia"/>
            </w:rPr>
            <w:t>长期应付款</w:t>
          </w:r>
          <w:bookmarkEnd w:id="184"/>
        </w:p>
        <w:sdt>
          <w:sdtPr>
            <w:alias w:val="是否适用：按款项性质列示长期应付款[双击切换]"/>
            <w:tag w:val="_GBC_a9fa9a5286484f4bb853b1eff824e621"/>
            <w:id w:val="-505669304"/>
            <w:lock w:val="sdtContentLocked"/>
            <w:placeholder>
              <w:docPart w:val="GBC22222222222222222222222222222"/>
            </w:placeholder>
          </w:sdtPr>
          <w:sdtContent>
            <w:p w:rsidR="00B735D2" w:rsidRDefault="00ED2DC7" w:rsidP="00B735D2">
              <w:pPr>
                <w:rPr>
                  <w:szCs w:val="21"/>
                </w:rPr>
              </w:pPr>
              <w:r>
                <w:fldChar w:fldCharType="begin"/>
              </w:r>
              <w:r w:rsidR="00B735D2">
                <w:instrText xml:space="preserve">MACROBUTTON  SnrToggleCheckbox □适用 </w:instrText>
              </w:r>
              <w:r>
                <w:fldChar w:fldCharType="end"/>
              </w:r>
              <w:r>
                <w:fldChar w:fldCharType="begin"/>
              </w:r>
              <w:r w:rsidR="00B735D2">
                <w:instrText xml:space="preserve"> MACROBUTTON  SnrToggleCheckbox √不适用 </w:instrText>
              </w:r>
              <w:r>
                <w:fldChar w:fldCharType="end"/>
              </w:r>
            </w:p>
          </w:sdtContent>
        </w:sdt>
        <w:p w:rsidR="00ED2DC7" w:rsidRDefault="00ED2DC7">
          <w:pPr>
            <w:snapToGrid w:val="0"/>
            <w:spacing w:line="240" w:lineRule="atLeast"/>
            <w:rPr>
              <w:szCs w:val="21"/>
            </w:rPr>
          </w:pPr>
        </w:p>
        <w:p w:rsidR="00ED2DC7" w:rsidRDefault="000D0A99"/>
      </w:sdtContent>
    </w:sdt>
    <w:bookmarkEnd w:id="185" w:displacedByCustomXml="prev"/>
    <w:sdt>
      <w:sdtPr>
        <w:rPr>
          <w:rFonts w:ascii="宋体" w:hAnsi="宋体" w:cs="宋体" w:hint="eastAsia"/>
          <w:b w:val="0"/>
          <w:bCs w:val="0"/>
          <w:kern w:val="0"/>
          <w:szCs w:val="24"/>
        </w:rPr>
        <w:alias w:val="模块:专项应付款"/>
        <w:tag w:val="_GBC_6847689be8c1493eb5db4e6dbab0fdbe"/>
        <w:id w:val="-625004704"/>
        <w:lock w:val="sdtLocked"/>
        <w:placeholder>
          <w:docPart w:val="GBC22222222222222222222222222222"/>
        </w:placeholder>
      </w:sdtPr>
      <w:sdtEndPr>
        <w:rPr>
          <w:rFonts w:cstheme="minorBidi" w:hint="default"/>
          <w:color w:val="000000" w:themeColor="text1"/>
          <w:kern w:val="2"/>
          <w:szCs w:val="21"/>
        </w:rPr>
      </w:sdtEndPr>
      <w:sdtContent>
        <w:p w:rsidR="00ED2DC7" w:rsidRDefault="00ED2DC7">
          <w:pPr>
            <w:pStyle w:val="affffffffffffffffff2"/>
          </w:pPr>
          <w:r>
            <w:rPr>
              <w:rFonts w:hint="eastAsia"/>
            </w:rPr>
            <w:t>专项应付款</w:t>
          </w:r>
        </w:p>
        <w:sdt>
          <w:sdtPr>
            <w:alias w:val="是否适用：专项应付款[双击切换]"/>
            <w:tag w:val="_GBC_f70a824e87784429a75fa648d7634cf8"/>
            <w:id w:val="1259644244"/>
            <w:lock w:val="sdtContentLocked"/>
            <w:placeholder>
              <w:docPart w:val="GBC22222222222222222222222222222"/>
            </w:placeholder>
          </w:sdtPr>
          <w:sdtContent>
            <w:p w:rsidR="00B735D2" w:rsidRDefault="00ED2DC7" w:rsidP="00B735D2">
              <w:r>
                <w:fldChar w:fldCharType="begin"/>
              </w:r>
              <w:r w:rsidR="00B735D2">
                <w:instrText xml:space="preserve"> MACROBUTTON  SnrToggleCheckbox □适用 </w:instrText>
              </w:r>
              <w:r>
                <w:fldChar w:fldCharType="end"/>
              </w:r>
              <w:r>
                <w:fldChar w:fldCharType="begin"/>
              </w:r>
              <w:r w:rsidR="00B735D2">
                <w:instrText xml:space="preserve"> MACROBUTTON  SnrToggleCheckbox √不适用 </w:instrText>
              </w:r>
              <w:r>
                <w:fldChar w:fldCharType="end"/>
              </w:r>
            </w:p>
          </w:sdtContent>
        </w:sdt>
        <w:p w:rsidR="00ED2DC7" w:rsidRDefault="000D0A99">
          <w:pPr>
            <w:snapToGrid w:val="0"/>
            <w:rPr>
              <w:szCs w:val="21"/>
            </w:rPr>
          </w:pPr>
        </w:p>
      </w:sdtContent>
    </w:sdt>
    <w:p w:rsidR="00ED2DC7" w:rsidRDefault="00ED2DC7">
      <w:pPr>
        <w:rPr>
          <w:szCs w:val="21"/>
        </w:rPr>
      </w:pPr>
    </w:p>
    <w:p w:rsidR="00ED2DC7" w:rsidRDefault="00ED2DC7" w:rsidP="00036BDC">
      <w:pPr>
        <w:pStyle w:val="affffffffffffffffff1"/>
        <w:numPr>
          <w:ilvl w:val="0"/>
          <w:numId w:val="49"/>
        </w:numPr>
        <w:tabs>
          <w:tab w:val="left" w:pos="504"/>
        </w:tabs>
        <w:rPr>
          <w:szCs w:val="21"/>
        </w:rPr>
      </w:pPr>
      <w:r>
        <w:rPr>
          <w:rFonts w:hint="eastAsia"/>
          <w:szCs w:val="21"/>
        </w:rPr>
        <w:t>长期应付职工薪酬</w:t>
      </w:r>
    </w:p>
    <w:sdt>
      <w:sdtPr>
        <w:alias w:val="是否适用：长期应付职工薪酬[双击切换]"/>
        <w:tag w:val="_GBC_077559b601814bb38f16734f98e8c045"/>
        <w:id w:val="-969437566"/>
        <w:lock w:val="sdtContentLocked"/>
        <w:placeholder>
          <w:docPart w:val="GBC22222222222222222222222222222"/>
        </w:placeholder>
      </w:sdtPr>
      <w:sdtContent>
        <w:p w:rsidR="00A14E7E" w:rsidRDefault="00ED2DC7" w:rsidP="00A14E7E">
          <w:pPr>
            <w:rPr>
              <w:szCs w:val="21"/>
            </w:rPr>
          </w:pPr>
          <w:r>
            <w:fldChar w:fldCharType="begin"/>
          </w:r>
          <w:r w:rsidR="00A14E7E">
            <w:instrText xml:space="preserve"> MACROBUTTON  SnrToggleCheckbox □适用 </w:instrText>
          </w:r>
          <w:r>
            <w:fldChar w:fldCharType="end"/>
          </w:r>
          <w:r>
            <w:fldChar w:fldCharType="begin"/>
          </w:r>
          <w:r w:rsidR="00A14E7E">
            <w:instrText xml:space="preserve"> MACROBUTTON  SnrToggleCheckbox √不适用 </w:instrText>
          </w:r>
          <w:r>
            <w:fldChar w:fldCharType="end"/>
          </w:r>
        </w:p>
      </w:sdtContent>
    </w:sdt>
    <w:p w:rsidR="00ED2DC7" w:rsidRDefault="00ED2DC7">
      <w:pPr>
        <w:rPr>
          <w:szCs w:val="21"/>
        </w:rPr>
      </w:pPr>
    </w:p>
    <w:bookmarkStart w:id="186" w:name="_Hlk10537141" w:displacedByCustomXml="next"/>
    <w:sdt>
      <w:sdtPr>
        <w:rPr>
          <w:rFonts w:ascii="宋体" w:hAnsi="宋体" w:cs="宋体" w:hint="eastAsia"/>
          <w:b w:val="0"/>
          <w:bCs w:val="0"/>
          <w:kern w:val="0"/>
          <w:szCs w:val="21"/>
        </w:rPr>
        <w:alias w:val="模块:预计负债"/>
        <w:tag w:val="_GBC_6b41f75046264d5392c8786bf4fd2da4"/>
        <w:id w:val="243621715"/>
        <w:lock w:val="sdtLocked"/>
        <w:placeholder>
          <w:docPart w:val="GBC22222222222222222222222222222"/>
        </w:placeholder>
      </w:sdtPr>
      <w:sdtEndPr>
        <w:rPr>
          <w:rFonts w:cstheme="minorBidi" w:hint="default"/>
          <w:kern w:val="2"/>
        </w:rPr>
      </w:sdtEndPr>
      <w:sdtContent>
        <w:p w:rsidR="00ED2DC7" w:rsidRDefault="00ED2DC7" w:rsidP="00036BDC">
          <w:pPr>
            <w:pStyle w:val="affffffffffffffffff1"/>
            <w:numPr>
              <w:ilvl w:val="0"/>
              <w:numId w:val="49"/>
            </w:numPr>
            <w:tabs>
              <w:tab w:val="left" w:pos="504"/>
            </w:tabs>
            <w:rPr>
              <w:rFonts w:ascii="宋体" w:hAnsi="宋体"/>
              <w:szCs w:val="21"/>
            </w:rPr>
          </w:pPr>
          <w:r>
            <w:rPr>
              <w:rFonts w:ascii="宋体" w:hAnsi="宋体" w:hint="eastAsia"/>
              <w:szCs w:val="21"/>
            </w:rPr>
            <w:t>预计负债</w:t>
          </w:r>
        </w:p>
        <w:sdt>
          <w:sdtPr>
            <w:alias w:val="是否适用：预计负债[双击切换]"/>
            <w:tag w:val="_GBC_1687da235caf410f866f00240cee7fdb"/>
            <w:id w:val="1657792581"/>
            <w:lock w:val="sdtContentLocked"/>
            <w:placeholder>
              <w:docPart w:val="GBC22222222222222222222222222222"/>
            </w:placeholder>
          </w:sdtPr>
          <w:sdtContent>
            <w:p w:rsidR="00A14E7E" w:rsidRDefault="00ED2DC7" w:rsidP="00A14E7E">
              <w:r>
                <w:fldChar w:fldCharType="begin"/>
              </w:r>
              <w:r w:rsidR="00A14E7E">
                <w:instrText xml:space="preserve"> MACROBUTTON  SnrToggleCheckbox □适用 </w:instrText>
              </w:r>
              <w:r>
                <w:fldChar w:fldCharType="end"/>
              </w:r>
              <w:r>
                <w:fldChar w:fldCharType="begin"/>
              </w:r>
              <w:r w:rsidR="00A14E7E">
                <w:instrText xml:space="preserve"> MACROBUTTON  SnrToggleCheckbox √不适用 </w:instrText>
              </w:r>
              <w:r>
                <w:fldChar w:fldCharType="end"/>
              </w:r>
            </w:p>
          </w:sdtContent>
        </w:sdt>
        <w:p w:rsidR="00ED2DC7" w:rsidRDefault="000D0A99">
          <w:pPr>
            <w:autoSpaceDE w:val="0"/>
            <w:autoSpaceDN w:val="0"/>
            <w:adjustRightInd w:val="0"/>
            <w:rPr>
              <w:szCs w:val="21"/>
            </w:rPr>
          </w:pPr>
        </w:p>
      </w:sdtContent>
    </w:sdt>
    <w:bookmarkEnd w:id="186" w:displacedByCustomXml="prev"/>
    <w:p w:rsidR="00ED2DC7" w:rsidRDefault="00ED2DC7">
      <w:pPr>
        <w:rPr>
          <w:szCs w:val="21"/>
        </w:rPr>
      </w:pPr>
    </w:p>
    <w:p w:rsidR="00ED2DC7" w:rsidRDefault="00ED2DC7" w:rsidP="00036BDC">
      <w:pPr>
        <w:pStyle w:val="affffffffffffffffff1"/>
        <w:numPr>
          <w:ilvl w:val="0"/>
          <w:numId w:val="49"/>
        </w:numPr>
        <w:tabs>
          <w:tab w:val="left" w:pos="504"/>
        </w:tabs>
        <w:rPr>
          <w:rFonts w:ascii="宋体" w:hAnsi="宋体"/>
          <w:szCs w:val="21"/>
        </w:rPr>
      </w:pPr>
      <w:r>
        <w:rPr>
          <w:rFonts w:ascii="宋体" w:hAnsi="宋体" w:hint="eastAsia"/>
          <w:szCs w:val="21"/>
        </w:rPr>
        <w:t>递延收益</w:t>
      </w:r>
    </w:p>
    <w:sdt>
      <w:sdtPr>
        <w:rPr>
          <w:rFonts w:ascii="宋体" w:hAnsi="宋体" w:cs="宋体" w:hint="eastAsia"/>
          <w:kern w:val="0"/>
          <w:szCs w:val="21"/>
        </w:rPr>
        <w:alias w:val="模块:递延收益"/>
        <w:tag w:val="_GBC_8d74a4d69f6940c3968ca9c4cf2a1b4c"/>
        <w:id w:val="240444948"/>
        <w:lock w:val="sdtLocked"/>
        <w:placeholder>
          <w:docPart w:val="GBC22222222222222222222222222222"/>
        </w:placeholder>
      </w:sdtPr>
      <w:sdtEndPr>
        <w:rPr>
          <w:rFonts w:hint="default"/>
        </w:rPr>
      </w:sdtEndPr>
      <w:sdtContent>
        <w:p w:rsidR="00ED2DC7" w:rsidRDefault="00ED2DC7">
          <w:pPr>
            <w:pStyle w:val="afffffffffffffffffff3"/>
            <w:ind w:firstLineChars="0" w:firstLine="0"/>
            <w:jc w:val="left"/>
            <w:rPr>
              <w:rFonts w:ascii="宋体" w:hAnsi="宋体" w:cs="宋体"/>
              <w:kern w:val="0"/>
              <w:szCs w:val="21"/>
            </w:rPr>
          </w:pPr>
          <w:r>
            <w:rPr>
              <w:rFonts w:ascii="宋体" w:hAnsi="宋体" w:cs="宋体" w:hint="eastAsia"/>
              <w:kern w:val="0"/>
              <w:szCs w:val="21"/>
            </w:rPr>
            <w:t>递延收益情况</w:t>
          </w:r>
        </w:p>
        <w:sdt>
          <w:sdtPr>
            <w:rPr>
              <w:rFonts w:ascii="宋体" w:hAnsi="宋体" w:cs="宋体"/>
              <w:kern w:val="0"/>
              <w:szCs w:val="21"/>
            </w:rPr>
            <w:alias w:val="是否适用：递延收益情况 [双击切换]"/>
            <w:tag w:val="_GBC_2c1393684e764245824b2390014e92f1"/>
            <w:id w:val="1015582668"/>
            <w:lock w:val="sdtContentLocked"/>
            <w:placeholder>
              <w:docPart w:val="GBC22222222222222222222222222222"/>
            </w:placeholder>
          </w:sdtPr>
          <w:sdtContent>
            <w:p w:rsidR="00ED2DC7" w:rsidRDefault="00ED2DC7">
              <w:pPr>
                <w:pStyle w:val="afffffffffffffffffff3"/>
                <w:ind w:firstLineChars="0" w:firstLine="0"/>
                <w:jc w:val="left"/>
                <w:rPr>
                  <w:rFonts w:ascii="宋体" w:hAnsi="宋体" w:cs="宋体"/>
                  <w:kern w:val="0"/>
                  <w:szCs w:val="21"/>
                </w:rPr>
              </w:pPr>
              <w:r>
                <w:rPr>
                  <w:rFonts w:ascii="宋体" w:hAnsi="宋体" w:cs="宋体"/>
                  <w:kern w:val="0"/>
                  <w:szCs w:val="21"/>
                </w:rPr>
                <w:fldChar w:fldCharType="begin"/>
              </w:r>
              <w:r w:rsidR="00A14E7E">
                <w:rPr>
                  <w:rFonts w:ascii="宋体" w:hAnsi="宋体" w:cs="宋体"/>
                  <w:kern w:val="0"/>
                  <w:szCs w:val="21"/>
                </w:rPr>
                <w:instrText xml:space="preserve"> MACROBUTTON  SnrToggleCheckbox √适用 </w:instrText>
              </w:r>
              <w:r>
                <w:rPr>
                  <w:rFonts w:ascii="宋体" w:hAnsi="宋体" w:cs="宋体"/>
                  <w:kern w:val="0"/>
                  <w:szCs w:val="21"/>
                </w:rPr>
                <w:fldChar w:fldCharType="end"/>
              </w:r>
              <w:r>
                <w:rPr>
                  <w:rFonts w:ascii="宋体" w:hAnsi="宋体" w:cs="宋体"/>
                  <w:kern w:val="0"/>
                  <w:szCs w:val="21"/>
                </w:rPr>
                <w:fldChar w:fldCharType="begin"/>
              </w:r>
              <w:r w:rsidR="00A14E7E">
                <w:rPr>
                  <w:rFonts w:ascii="宋体" w:hAnsi="宋体" w:cs="宋体"/>
                  <w:kern w:val="0"/>
                  <w:szCs w:val="21"/>
                </w:rPr>
                <w:instrText xml:space="preserve"> MACROBUTTON  SnrToggleCheckbox □不适用 </w:instrText>
              </w:r>
              <w:r>
                <w:rPr>
                  <w:rFonts w:ascii="宋体" w:hAnsi="宋体" w:cs="宋体"/>
                  <w:kern w:val="0"/>
                  <w:szCs w:val="21"/>
                </w:rPr>
                <w:fldChar w:fldCharType="end"/>
              </w:r>
            </w:p>
          </w:sdtContent>
        </w:sdt>
        <w:p w:rsidR="00ED2DC7" w:rsidRDefault="00ED2DC7">
          <w:pPr>
            <w:pStyle w:val="afffffffffffffffffff3"/>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递延收益"/>
              <w:tag w:val="_GBC_cf9505178ef64cd8b1a42757a7aaf77d"/>
              <w:id w:val="-70603014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递延收益"/>
              <w:tag w:val="_GBC_b7ba9c3d835b413e83140a438bc5c413"/>
              <w:id w:val="-100450665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ascii="宋体" w:hAnsi="宋体" w:hint="eastAsia"/>
                  <w:szCs w:val="21"/>
                </w:rPr>
                <w:t>人民币</w:t>
              </w:r>
            </w:sdtContent>
          </w:sdt>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490"/>
            <w:gridCol w:w="1431"/>
            <w:gridCol w:w="1445"/>
            <w:gridCol w:w="1429"/>
            <w:gridCol w:w="1473"/>
            <w:gridCol w:w="1555"/>
          </w:tblGrid>
          <w:tr w:rsidR="00ED2DC7" w:rsidTr="00E968F2">
            <w:trPr>
              <w:cantSplit/>
              <w:trHeight w:val="335"/>
            </w:trPr>
            <w:bookmarkStart w:id="187" w:name="_Hlk16634830" w:displacedByCustomXml="next"/>
            <w:sdt>
              <w:sdtPr>
                <w:tag w:val="_PLD_eeb45564af314089916105a5217e0ff6"/>
                <w:id w:val="868962704"/>
                <w:lock w:val="sdtLocked"/>
              </w:sdtPr>
              <w:sdtContent>
                <w:tc>
                  <w:tcPr>
                    <w:tcW w:w="844" w:type="pct"/>
                    <w:shd w:val="clear" w:color="auto" w:fill="auto"/>
                    <w:vAlign w:val="center"/>
                  </w:tcPr>
                  <w:p w:rsidR="00ED2DC7" w:rsidRDefault="00ED2DC7">
                    <w:pPr>
                      <w:jc w:val="center"/>
                      <w:rPr>
                        <w:szCs w:val="21"/>
                      </w:rPr>
                    </w:pPr>
                    <w:r>
                      <w:rPr>
                        <w:rFonts w:hint="eastAsia"/>
                        <w:szCs w:val="21"/>
                      </w:rPr>
                      <w:t>项目</w:t>
                    </w:r>
                  </w:p>
                </w:tc>
              </w:sdtContent>
            </w:sdt>
            <w:sdt>
              <w:sdtPr>
                <w:tag w:val="_PLD_e0613743f99d4af58a75406a4e2ba5a1"/>
                <w:id w:val="1336572241"/>
                <w:lock w:val="sdtLocked"/>
              </w:sdtPr>
              <w:sdtContent>
                <w:tc>
                  <w:tcPr>
                    <w:tcW w:w="811" w:type="pct"/>
                    <w:shd w:val="clear" w:color="auto" w:fill="auto"/>
                    <w:vAlign w:val="center"/>
                  </w:tcPr>
                  <w:p w:rsidR="00ED2DC7" w:rsidRDefault="00ED2DC7">
                    <w:pPr>
                      <w:jc w:val="center"/>
                      <w:rPr>
                        <w:szCs w:val="21"/>
                      </w:rPr>
                    </w:pPr>
                    <w:r>
                      <w:rPr>
                        <w:rFonts w:hint="eastAsia"/>
                        <w:szCs w:val="21"/>
                      </w:rPr>
                      <w:t>期初余额</w:t>
                    </w:r>
                  </w:p>
                </w:tc>
              </w:sdtContent>
            </w:sdt>
            <w:sdt>
              <w:sdtPr>
                <w:tag w:val="_PLD_a27f928ad4574fe594e5f995d7a37059"/>
                <w:id w:val="1952278442"/>
                <w:lock w:val="sdtLocked"/>
              </w:sdtPr>
              <w:sdtContent>
                <w:tc>
                  <w:tcPr>
                    <w:tcW w:w="819" w:type="pct"/>
                    <w:shd w:val="clear" w:color="auto" w:fill="auto"/>
                    <w:vAlign w:val="center"/>
                  </w:tcPr>
                  <w:p w:rsidR="00ED2DC7" w:rsidRDefault="00ED2DC7">
                    <w:pPr>
                      <w:jc w:val="center"/>
                      <w:rPr>
                        <w:szCs w:val="21"/>
                      </w:rPr>
                    </w:pPr>
                    <w:r>
                      <w:rPr>
                        <w:rFonts w:hint="eastAsia"/>
                        <w:szCs w:val="21"/>
                      </w:rPr>
                      <w:t>本期增加</w:t>
                    </w:r>
                  </w:p>
                </w:tc>
              </w:sdtContent>
            </w:sdt>
            <w:sdt>
              <w:sdtPr>
                <w:tag w:val="_PLD_ed95bef3663d40fb90dd15d113f7f2c1"/>
                <w:id w:val="1187717765"/>
                <w:lock w:val="sdtLocked"/>
              </w:sdtPr>
              <w:sdtContent>
                <w:tc>
                  <w:tcPr>
                    <w:tcW w:w="810" w:type="pct"/>
                    <w:shd w:val="clear" w:color="auto" w:fill="auto"/>
                    <w:vAlign w:val="center"/>
                  </w:tcPr>
                  <w:p w:rsidR="00ED2DC7" w:rsidRDefault="00ED2DC7">
                    <w:pPr>
                      <w:jc w:val="center"/>
                      <w:rPr>
                        <w:szCs w:val="21"/>
                      </w:rPr>
                    </w:pPr>
                    <w:r>
                      <w:rPr>
                        <w:rFonts w:hint="eastAsia"/>
                        <w:szCs w:val="21"/>
                      </w:rPr>
                      <w:t>本期减少</w:t>
                    </w:r>
                  </w:p>
                </w:tc>
              </w:sdtContent>
            </w:sdt>
            <w:bookmarkStart w:id="188" w:name="OLE_LINK67" w:displacedByCustomXml="next"/>
            <w:bookmarkStart w:id="189" w:name="OLE_LINK66" w:displacedByCustomXml="next"/>
            <w:sdt>
              <w:sdtPr>
                <w:tag w:val="_PLD_367cd0591009413e93857494eaf8170a"/>
                <w:id w:val="-1616516212"/>
                <w:lock w:val="sdtLocked"/>
              </w:sdtPr>
              <w:sdtContent>
                <w:tc>
                  <w:tcPr>
                    <w:tcW w:w="835" w:type="pct"/>
                    <w:shd w:val="clear" w:color="auto" w:fill="auto"/>
                    <w:vAlign w:val="center"/>
                  </w:tcPr>
                  <w:p w:rsidR="00ED2DC7" w:rsidRDefault="00ED2DC7">
                    <w:pPr>
                      <w:jc w:val="center"/>
                      <w:rPr>
                        <w:szCs w:val="21"/>
                      </w:rPr>
                    </w:pPr>
                    <w:r>
                      <w:rPr>
                        <w:rFonts w:hint="eastAsia"/>
                        <w:szCs w:val="21"/>
                      </w:rPr>
                      <w:t>期末余额</w:t>
                    </w:r>
                  </w:p>
                </w:tc>
                <w:bookmarkEnd w:id="188" w:displacedByCustomXml="next"/>
                <w:bookmarkEnd w:id="189" w:displacedByCustomXml="next"/>
              </w:sdtContent>
            </w:sdt>
            <w:sdt>
              <w:sdtPr>
                <w:tag w:val="_PLD_d61ffc61194047d79611cccd8488aece"/>
                <w:id w:val="-838919190"/>
                <w:lock w:val="sdtLocked"/>
              </w:sdtPr>
              <w:sdtContent>
                <w:tc>
                  <w:tcPr>
                    <w:tcW w:w="881" w:type="pct"/>
                    <w:shd w:val="clear" w:color="auto" w:fill="auto"/>
                    <w:vAlign w:val="center"/>
                  </w:tcPr>
                  <w:p w:rsidR="00ED2DC7" w:rsidRDefault="00ED2DC7">
                    <w:pPr>
                      <w:jc w:val="center"/>
                      <w:rPr>
                        <w:szCs w:val="21"/>
                      </w:rPr>
                    </w:pPr>
                    <w:r>
                      <w:rPr>
                        <w:rFonts w:hint="eastAsia"/>
                        <w:szCs w:val="21"/>
                      </w:rPr>
                      <w:t>形成原因</w:t>
                    </w:r>
                  </w:p>
                </w:tc>
              </w:sdtContent>
            </w:sdt>
          </w:tr>
          <w:tr w:rsidR="00ED2DC7" w:rsidTr="00B637B2">
            <w:trPr>
              <w:cantSplit/>
            </w:trPr>
            <w:sdt>
              <w:sdtPr>
                <w:tag w:val="_PLD_c4ae7ac076814abda447ee2261fb9baa"/>
                <w:id w:val="1018811546"/>
                <w:lock w:val="sdtLocked"/>
              </w:sdtPr>
              <w:sdtContent>
                <w:tc>
                  <w:tcPr>
                    <w:tcW w:w="844" w:type="pct"/>
                    <w:shd w:val="clear" w:color="auto" w:fill="auto"/>
                    <w:vAlign w:val="center"/>
                  </w:tcPr>
                  <w:p w:rsidR="00ED2DC7" w:rsidRDefault="00ED2DC7">
                    <w:pPr>
                      <w:rPr>
                        <w:szCs w:val="21"/>
                      </w:rPr>
                    </w:pPr>
                    <w:r>
                      <w:rPr>
                        <w:rFonts w:hint="eastAsia"/>
                        <w:szCs w:val="21"/>
                      </w:rPr>
                      <w:t>政府补助</w:t>
                    </w:r>
                  </w:p>
                </w:tc>
              </w:sdtContent>
            </w:sdt>
            <w:tc>
              <w:tcPr>
                <w:tcW w:w="811" w:type="pct"/>
                <w:shd w:val="clear" w:color="auto" w:fill="auto"/>
                <w:vAlign w:val="center"/>
              </w:tcPr>
              <w:p w:rsidR="00ED2DC7" w:rsidRDefault="00E968F2" w:rsidP="00B637B2">
                <w:pPr>
                  <w:jc w:val="right"/>
                  <w:rPr>
                    <w:szCs w:val="21"/>
                  </w:rPr>
                </w:pPr>
                <w:r w:rsidRPr="00E968F2">
                  <w:rPr>
                    <w:szCs w:val="21"/>
                  </w:rPr>
                  <w:t>55,426,928</w:t>
                </w:r>
              </w:p>
            </w:tc>
            <w:tc>
              <w:tcPr>
                <w:tcW w:w="819" w:type="pct"/>
                <w:shd w:val="clear" w:color="auto" w:fill="auto"/>
                <w:vAlign w:val="center"/>
              </w:tcPr>
              <w:p w:rsidR="00ED2DC7" w:rsidRDefault="00C64605" w:rsidP="00B637B2">
                <w:pPr>
                  <w:jc w:val="right"/>
                  <w:rPr>
                    <w:szCs w:val="21"/>
                  </w:rPr>
                </w:pPr>
                <w:r w:rsidRPr="00C64605">
                  <w:rPr>
                    <w:szCs w:val="21"/>
                  </w:rPr>
                  <w:t>18,770,000</w:t>
                </w:r>
              </w:p>
            </w:tc>
            <w:tc>
              <w:tcPr>
                <w:tcW w:w="810" w:type="pct"/>
                <w:shd w:val="clear" w:color="auto" w:fill="auto"/>
                <w:vAlign w:val="center"/>
              </w:tcPr>
              <w:p w:rsidR="00ED2DC7" w:rsidRDefault="00C64605" w:rsidP="00B637B2">
                <w:pPr>
                  <w:jc w:val="right"/>
                  <w:rPr>
                    <w:szCs w:val="21"/>
                  </w:rPr>
                </w:pPr>
                <w:r w:rsidRPr="00C64605">
                  <w:rPr>
                    <w:szCs w:val="21"/>
                  </w:rPr>
                  <w:t>22,938,749</w:t>
                </w:r>
              </w:p>
            </w:tc>
            <w:tc>
              <w:tcPr>
                <w:tcW w:w="835" w:type="pct"/>
                <w:shd w:val="clear" w:color="auto" w:fill="auto"/>
                <w:vAlign w:val="center"/>
              </w:tcPr>
              <w:p w:rsidR="00ED2DC7" w:rsidRDefault="00C64605" w:rsidP="00B637B2">
                <w:pPr>
                  <w:jc w:val="right"/>
                  <w:rPr>
                    <w:szCs w:val="21"/>
                  </w:rPr>
                </w:pPr>
                <w:r w:rsidRPr="00C64605">
                  <w:rPr>
                    <w:szCs w:val="21"/>
                  </w:rPr>
                  <w:t>51,258,179</w:t>
                </w:r>
              </w:p>
            </w:tc>
            <w:tc>
              <w:tcPr>
                <w:tcW w:w="881" w:type="pct"/>
                <w:shd w:val="clear" w:color="auto" w:fill="auto"/>
              </w:tcPr>
              <w:p w:rsidR="00ED2DC7" w:rsidRDefault="00ED2DC7">
                <w:pPr>
                  <w:rPr>
                    <w:szCs w:val="21"/>
                  </w:rPr>
                </w:pPr>
              </w:p>
            </w:tc>
          </w:tr>
          <w:tr w:rsidR="004C5C83" w:rsidTr="00B637B2">
            <w:trPr>
              <w:cantSplit/>
            </w:trPr>
            <w:sdt>
              <w:sdtPr>
                <w:tag w:val="_PLD_dc5eff4e97a943cb9b913ed360e42749"/>
                <w:id w:val="1871880129"/>
                <w:lock w:val="sdtLocked"/>
              </w:sdtPr>
              <w:sdtContent>
                <w:tc>
                  <w:tcPr>
                    <w:tcW w:w="844" w:type="pct"/>
                    <w:shd w:val="clear" w:color="auto" w:fill="auto"/>
                    <w:vAlign w:val="center"/>
                  </w:tcPr>
                  <w:p w:rsidR="004C5C83" w:rsidRDefault="004C5C83" w:rsidP="004C5C83">
                    <w:pPr>
                      <w:jc w:val="center"/>
                      <w:rPr>
                        <w:szCs w:val="21"/>
                      </w:rPr>
                    </w:pPr>
                    <w:r>
                      <w:rPr>
                        <w:rFonts w:hint="eastAsia"/>
                        <w:szCs w:val="21"/>
                      </w:rPr>
                      <w:t>合计</w:t>
                    </w:r>
                  </w:p>
                </w:tc>
              </w:sdtContent>
            </w:sdt>
            <w:tc>
              <w:tcPr>
                <w:tcW w:w="811" w:type="pct"/>
                <w:shd w:val="clear" w:color="auto" w:fill="auto"/>
                <w:vAlign w:val="center"/>
              </w:tcPr>
              <w:p w:rsidR="004C5C83" w:rsidRPr="008C0673" w:rsidRDefault="004C5C83" w:rsidP="00B637B2">
                <w:pPr>
                  <w:jc w:val="right"/>
                </w:pPr>
                <w:r w:rsidRPr="008C0673">
                  <w:t>55,426,928</w:t>
                </w:r>
              </w:p>
            </w:tc>
            <w:tc>
              <w:tcPr>
                <w:tcW w:w="819" w:type="pct"/>
                <w:shd w:val="clear" w:color="auto" w:fill="auto"/>
                <w:vAlign w:val="center"/>
              </w:tcPr>
              <w:p w:rsidR="004C5C83" w:rsidRPr="008C0673" w:rsidRDefault="004C5C83" w:rsidP="00B637B2">
                <w:pPr>
                  <w:jc w:val="right"/>
                </w:pPr>
                <w:r w:rsidRPr="008C0673">
                  <w:t>18,770,000</w:t>
                </w:r>
              </w:p>
            </w:tc>
            <w:tc>
              <w:tcPr>
                <w:tcW w:w="810" w:type="pct"/>
                <w:shd w:val="clear" w:color="auto" w:fill="auto"/>
                <w:vAlign w:val="center"/>
              </w:tcPr>
              <w:p w:rsidR="004C5C83" w:rsidRPr="008C0673" w:rsidRDefault="008F04CF" w:rsidP="00B637B2">
                <w:pPr>
                  <w:jc w:val="right"/>
                </w:pPr>
                <w:r>
                  <w:rPr>
                    <w:szCs w:val="21"/>
                  </w:rPr>
                  <w:t>22,938,749</w:t>
                </w:r>
              </w:p>
            </w:tc>
            <w:tc>
              <w:tcPr>
                <w:tcW w:w="835" w:type="pct"/>
                <w:shd w:val="clear" w:color="auto" w:fill="auto"/>
                <w:vAlign w:val="center"/>
              </w:tcPr>
              <w:p w:rsidR="004C5C83" w:rsidRPr="008C0673" w:rsidRDefault="008F04CF" w:rsidP="00B637B2">
                <w:pPr>
                  <w:jc w:val="right"/>
                </w:pPr>
                <w:r>
                  <w:rPr>
                    <w:szCs w:val="21"/>
                  </w:rPr>
                  <w:t>51,258,179</w:t>
                </w:r>
              </w:p>
            </w:tc>
            <w:tc>
              <w:tcPr>
                <w:tcW w:w="881" w:type="pct"/>
                <w:shd w:val="clear" w:color="auto" w:fill="auto"/>
              </w:tcPr>
              <w:p w:rsidR="004C5C83" w:rsidRDefault="004C5C83" w:rsidP="004C5C83">
                <w:pPr>
                  <w:jc w:val="center"/>
                  <w:rPr>
                    <w:szCs w:val="21"/>
                  </w:rPr>
                </w:pPr>
                <w:r>
                  <w:rPr>
                    <w:rFonts w:hint="eastAsia"/>
                    <w:szCs w:val="21"/>
                  </w:rPr>
                  <w:t>/</w:t>
                </w:r>
              </w:p>
            </w:tc>
          </w:tr>
          <w:bookmarkEnd w:id="187"/>
        </w:tbl>
      </w:sdtContent>
    </w:sdt>
    <w:p w:rsidR="00ED2DC7" w:rsidRDefault="00ED2DC7">
      <w:pPr>
        <w:rPr>
          <w:szCs w:val="21"/>
        </w:rPr>
      </w:pPr>
    </w:p>
    <w:bookmarkStart w:id="190" w:name="_Hlk10537331" w:displacedByCustomXml="next"/>
    <w:sdt>
      <w:sdtPr>
        <w:rPr>
          <w:rFonts w:hint="eastAsia"/>
          <w:szCs w:val="21"/>
        </w:rPr>
        <w:alias w:val="模块:涉及政府补助的负债项目"/>
        <w:tag w:val="_GBC_e1594f7b2d3e4b13b3e32c6cde5b210a"/>
        <w:id w:val="1640218227"/>
        <w:lock w:val="sdtLocked"/>
        <w:placeholder>
          <w:docPart w:val="GBC22222222222222222222222222222"/>
        </w:placeholder>
      </w:sdtPr>
      <w:sdtEndPr>
        <w:rPr>
          <w:szCs w:val="24"/>
        </w:rPr>
      </w:sdtEndPr>
      <w:sdtContent>
        <w:p w:rsidR="00ED2DC7" w:rsidRDefault="00ED2DC7">
          <w:pPr>
            <w:rPr>
              <w:szCs w:val="21"/>
            </w:rPr>
          </w:pPr>
          <w:r>
            <w:rPr>
              <w:rFonts w:hint="eastAsia"/>
              <w:szCs w:val="21"/>
            </w:rPr>
            <w:t>涉及政府补助的项目：</w:t>
          </w:r>
        </w:p>
        <w:sdt>
          <w:sdtPr>
            <w:rPr>
              <w:szCs w:val="21"/>
            </w:rPr>
            <w:alias w:val="是否适用：涉及政府补助的项目_递延收益[双击切换]"/>
            <w:tag w:val="_GBC_4c2c8447eb53428b988a5a364f2b236d"/>
            <w:id w:val="-232624701"/>
            <w:lock w:val="sdtContentLocked"/>
            <w:placeholder>
              <w:docPart w:val="GBC22222222222222222222222222222"/>
            </w:placeholder>
          </w:sdtPr>
          <w:sdtContent>
            <w:p w:rsidR="00ED2DC7" w:rsidRDefault="00ED2DC7">
              <w:pPr>
                <w:rPr>
                  <w:szCs w:val="21"/>
                </w:rPr>
              </w:pPr>
              <w:r>
                <w:rPr>
                  <w:szCs w:val="21"/>
                </w:rPr>
                <w:fldChar w:fldCharType="begin"/>
              </w:r>
              <w:r w:rsidR="00A14E7E">
                <w:rPr>
                  <w:szCs w:val="21"/>
                </w:rPr>
                <w:instrText xml:space="preserve"> MACROBUTTON  SnrToggleCheckbox √适用 </w:instrText>
              </w:r>
              <w:r>
                <w:rPr>
                  <w:szCs w:val="21"/>
                </w:rPr>
                <w:fldChar w:fldCharType="end"/>
              </w:r>
              <w:r>
                <w:rPr>
                  <w:szCs w:val="21"/>
                </w:rPr>
                <w:fldChar w:fldCharType="begin"/>
              </w:r>
              <w:r w:rsidR="00A14E7E">
                <w:rPr>
                  <w:szCs w:val="21"/>
                </w:rPr>
                <w:instrText xml:space="preserve"> MACROBUTTON  SnrToggleCheckbox □不适用 </w:instrText>
              </w:r>
              <w:r>
                <w:rPr>
                  <w:szCs w:val="21"/>
                </w:rPr>
                <w:fldChar w:fldCharType="end"/>
              </w:r>
            </w:p>
          </w:sdtContent>
        </w:sdt>
        <w:p w:rsidR="00C64605" w:rsidRDefault="00ED2DC7">
          <w:pPr>
            <w:jc w:val="right"/>
            <w:rPr>
              <w:szCs w:val="21"/>
            </w:rPr>
          </w:pPr>
          <w:r>
            <w:rPr>
              <w:rFonts w:hint="eastAsia"/>
              <w:szCs w:val="21"/>
            </w:rPr>
            <w:t>单位：</w:t>
          </w:r>
          <w:sdt>
            <w:sdtPr>
              <w:rPr>
                <w:rFonts w:hint="eastAsia"/>
                <w:szCs w:val="21"/>
              </w:rPr>
              <w:alias w:val="单位：财务附注：涉及政府补助的负债项目"/>
              <w:tag w:val="_GBC_4f9266926e0c4363993dcb162380db9b"/>
              <w:id w:val="7519372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hint="eastAsia"/>
                  <w:szCs w:val="21"/>
                </w:rPr>
                <w:t>元</w:t>
              </w:r>
            </w:sdtContent>
          </w:sdt>
          <w:r>
            <w:rPr>
              <w:rFonts w:hint="eastAsia"/>
              <w:szCs w:val="21"/>
            </w:rPr>
            <w:t xml:space="preserve">  币种：</w:t>
          </w:r>
          <w:sdt>
            <w:sdtPr>
              <w:rPr>
                <w:rFonts w:hint="eastAsia"/>
                <w:szCs w:val="21"/>
              </w:rPr>
              <w:alias w:val="币种：财务附注：涉及政府补助的负债项目"/>
              <w:tag w:val="_GBC_f798b0de29de4c7da52adfc6a422901f"/>
              <w:id w:val="73867562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szCs w:val="21"/>
                </w:rPr>
                <w:t>人民币</w:t>
              </w:r>
            </w:sdtContent>
          </w:sdt>
        </w:p>
        <w:tbl>
          <w:tblPr>
            <w:tblStyle w:val="g38"/>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972"/>
            <w:gridCol w:w="1112"/>
            <w:gridCol w:w="1110"/>
            <w:gridCol w:w="912"/>
            <w:gridCol w:w="1375"/>
            <w:gridCol w:w="893"/>
            <w:gridCol w:w="1221"/>
            <w:gridCol w:w="1228"/>
          </w:tblGrid>
          <w:tr w:rsidR="00B637B2" w:rsidTr="00B637B2">
            <w:trPr>
              <w:jc w:val="center"/>
            </w:trPr>
            <w:sdt>
              <w:sdtPr>
                <w:tag w:val="_PLD_1bd0a5248adb4713bfd06318a3648ceb"/>
                <w:id w:val="-841075294"/>
                <w:lock w:val="sdtLocked"/>
              </w:sdtPr>
              <w:sdtContent>
                <w:tc>
                  <w:tcPr>
                    <w:tcW w:w="551" w:type="pct"/>
                    <w:tcBorders>
                      <w:top w:val="single" w:sz="4" w:space="0" w:color="auto"/>
                      <w:left w:val="single" w:sz="4" w:space="0" w:color="auto"/>
                      <w:bottom w:val="single" w:sz="4" w:space="0" w:color="auto"/>
                      <w:right w:val="single" w:sz="4" w:space="0" w:color="auto"/>
                    </w:tcBorders>
                    <w:vAlign w:val="center"/>
                  </w:tcPr>
                  <w:p w:rsidR="00B637B2" w:rsidRDefault="008F04CF" w:rsidP="00B637B2">
                    <w:pPr>
                      <w:jc w:val="center"/>
                      <w:rPr>
                        <w:szCs w:val="21"/>
                      </w:rPr>
                    </w:pPr>
                    <w:r>
                      <w:rPr>
                        <w:szCs w:val="21"/>
                      </w:rPr>
                      <w:t>负债项目</w:t>
                    </w:r>
                  </w:p>
                </w:tc>
              </w:sdtContent>
            </w:sdt>
            <w:sdt>
              <w:sdtPr>
                <w:tag w:val="_PLD_11c88b40e8554a8db9e52728554ced53"/>
                <w:id w:val="-452947814"/>
                <w:lock w:val="sdtLocked"/>
              </w:sdtPr>
              <w:sdtContent>
                <w:tc>
                  <w:tcPr>
                    <w:tcW w:w="630" w:type="pct"/>
                    <w:tcBorders>
                      <w:top w:val="single" w:sz="4" w:space="0" w:color="auto"/>
                      <w:left w:val="single" w:sz="4" w:space="0" w:color="auto"/>
                      <w:bottom w:val="single" w:sz="4" w:space="0" w:color="auto"/>
                      <w:right w:val="single" w:sz="4" w:space="0" w:color="auto"/>
                    </w:tcBorders>
                    <w:vAlign w:val="center"/>
                  </w:tcPr>
                  <w:p w:rsidR="00B637B2" w:rsidRDefault="008F04CF" w:rsidP="00B637B2">
                    <w:pPr>
                      <w:jc w:val="center"/>
                      <w:rPr>
                        <w:szCs w:val="21"/>
                      </w:rPr>
                    </w:pPr>
                    <w:r>
                      <w:rPr>
                        <w:szCs w:val="21"/>
                      </w:rPr>
                      <w:t>期初余额</w:t>
                    </w:r>
                  </w:p>
                </w:tc>
              </w:sdtContent>
            </w:sdt>
            <w:sdt>
              <w:sdtPr>
                <w:tag w:val="_PLD_7b99be0925d1402da7bf5455be12c194"/>
                <w:id w:val="-1189668093"/>
                <w:lock w:val="sdtLocked"/>
              </w:sdtPr>
              <w:sdtContent>
                <w:tc>
                  <w:tcPr>
                    <w:tcW w:w="629" w:type="pct"/>
                    <w:tcBorders>
                      <w:top w:val="single" w:sz="4" w:space="0" w:color="auto"/>
                      <w:left w:val="single" w:sz="4" w:space="0" w:color="auto"/>
                      <w:bottom w:val="single" w:sz="4" w:space="0" w:color="auto"/>
                      <w:right w:val="single" w:sz="4" w:space="0" w:color="auto"/>
                    </w:tcBorders>
                    <w:vAlign w:val="center"/>
                  </w:tcPr>
                  <w:p w:rsidR="00B637B2" w:rsidRDefault="008F04CF" w:rsidP="00B637B2">
                    <w:pPr>
                      <w:jc w:val="center"/>
                      <w:rPr>
                        <w:szCs w:val="21"/>
                      </w:rPr>
                    </w:pPr>
                    <w:r>
                      <w:rPr>
                        <w:szCs w:val="21"/>
                      </w:rPr>
                      <w:t>本期新增补助金额</w:t>
                    </w:r>
                  </w:p>
                </w:tc>
              </w:sdtContent>
            </w:sdt>
            <w:sdt>
              <w:sdtPr>
                <w:tag w:val="_PLD_d945d90b68594904a9453791791d4ffa"/>
                <w:id w:val="-1653285563"/>
                <w:lock w:val="sdtLocked"/>
              </w:sdtPr>
              <w:sdtContent>
                <w:tc>
                  <w:tcPr>
                    <w:tcW w:w="517" w:type="pct"/>
                    <w:tcBorders>
                      <w:top w:val="single" w:sz="4" w:space="0" w:color="auto"/>
                      <w:left w:val="single" w:sz="4" w:space="0" w:color="auto"/>
                      <w:bottom w:val="single" w:sz="4" w:space="0" w:color="auto"/>
                      <w:right w:val="single" w:sz="4" w:space="0" w:color="auto"/>
                    </w:tcBorders>
                    <w:vAlign w:val="center"/>
                  </w:tcPr>
                  <w:p w:rsidR="00B637B2" w:rsidRDefault="008F04CF" w:rsidP="00B637B2">
                    <w:pPr>
                      <w:jc w:val="center"/>
                      <w:rPr>
                        <w:szCs w:val="21"/>
                      </w:rPr>
                    </w:pPr>
                    <w:r w:rsidRPr="00397364">
                      <w:rPr>
                        <w:szCs w:val="21"/>
                      </w:rPr>
                      <w:t>本期计入营业外收入金额</w:t>
                    </w:r>
                  </w:p>
                </w:tc>
              </w:sdtContent>
            </w:sdt>
            <w:tc>
              <w:tcPr>
                <w:tcW w:w="779" w:type="pct"/>
                <w:tcBorders>
                  <w:top w:val="single" w:sz="4" w:space="0" w:color="auto"/>
                  <w:left w:val="single" w:sz="4" w:space="0" w:color="auto"/>
                  <w:bottom w:val="single" w:sz="4" w:space="0" w:color="auto"/>
                  <w:right w:val="single" w:sz="4" w:space="0" w:color="auto"/>
                </w:tcBorders>
                <w:vAlign w:val="center"/>
              </w:tcPr>
              <w:sdt>
                <w:sdtPr>
                  <w:rPr>
                    <w:rFonts w:hint="eastAsia"/>
                  </w:rPr>
                  <w:tag w:val="_PLD_ac6886b89ddd4b75abc97b3f03668943"/>
                  <w:id w:val="428016328"/>
                  <w:lock w:val="sdtLocked"/>
                </w:sdtPr>
                <w:sdtContent>
                  <w:p w:rsidR="00B637B2" w:rsidRDefault="008F04CF" w:rsidP="00B637B2">
                    <w:pPr>
                      <w:jc w:val="center"/>
                    </w:pPr>
                    <w:r w:rsidRPr="00397364">
                      <w:rPr>
                        <w:rFonts w:hint="eastAsia"/>
                      </w:rPr>
                      <w:t>本期计入其他收益金额</w:t>
                    </w:r>
                  </w:p>
                </w:sdtContent>
              </w:sdt>
            </w:tc>
            <w:sdt>
              <w:sdtPr>
                <w:tag w:val="_PLD_822d9fedb3374c6199e425909b88c066"/>
                <w:id w:val="-342858078"/>
                <w:lock w:val="sdtLocked"/>
              </w:sdtPr>
              <w:sdtContent>
                <w:tc>
                  <w:tcPr>
                    <w:tcW w:w="506" w:type="pct"/>
                    <w:tcBorders>
                      <w:top w:val="single" w:sz="4" w:space="0" w:color="auto"/>
                      <w:left w:val="single" w:sz="4" w:space="0" w:color="auto"/>
                      <w:bottom w:val="single" w:sz="4" w:space="0" w:color="auto"/>
                      <w:right w:val="single" w:sz="4" w:space="0" w:color="auto"/>
                    </w:tcBorders>
                    <w:vAlign w:val="center"/>
                  </w:tcPr>
                  <w:p w:rsidR="00B637B2" w:rsidRDefault="008F04CF" w:rsidP="00B637B2">
                    <w:pPr>
                      <w:jc w:val="center"/>
                      <w:rPr>
                        <w:szCs w:val="21"/>
                      </w:rPr>
                    </w:pPr>
                    <w:r>
                      <w:rPr>
                        <w:szCs w:val="21"/>
                      </w:rPr>
                      <w:t>其他变动</w:t>
                    </w:r>
                  </w:p>
                </w:tc>
              </w:sdtContent>
            </w:sdt>
            <w:sdt>
              <w:sdtPr>
                <w:tag w:val="_PLD_1a96043f63c146309b6472d84b4d7aa6"/>
                <w:id w:val="-1669778631"/>
                <w:lock w:val="sdtLocked"/>
              </w:sdtPr>
              <w:sdtContent>
                <w:tc>
                  <w:tcPr>
                    <w:tcW w:w="692" w:type="pct"/>
                    <w:tcBorders>
                      <w:top w:val="single" w:sz="4" w:space="0" w:color="auto"/>
                      <w:left w:val="single" w:sz="4" w:space="0" w:color="auto"/>
                      <w:bottom w:val="single" w:sz="4" w:space="0" w:color="auto"/>
                      <w:right w:val="single" w:sz="4" w:space="0" w:color="auto"/>
                    </w:tcBorders>
                    <w:vAlign w:val="center"/>
                  </w:tcPr>
                  <w:p w:rsidR="00B637B2" w:rsidRDefault="008F04CF" w:rsidP="00B637B2">
                    <w:pPr>
                      <w:jc w:val="center"/>
                      <w:rPr>
                        <w:szCs w:val="21"/>
                      </w:rPr>
                    </w:pPr>
                    <w:r>
                      <w:rPr>
                        <w:szCs w:val="21"/>
                      </w:rPr>
                      <w:t>期末余额</w:t>
                    </w:r>
                  </w:p>
                </w:tc>
              </w:sdtContent>
            </w:sdt>
            <w:sdt>
              <w:sdtPr>
                <w:tag w:val="_PLD_b9b21d1fe20343d597f3219a3532324a"/>
                <w:id w:val="1857772181"/>
                <w:lock w:val="sdtLocked"/>
              </w:sdtPr>
              <w:sdtContent>
                <w:tc>
                  <w:tcPr>
                    <w:tcW w:w="696" w:type="pct"/>
                    <w:tcBorders>
                      <w:top w:val="single" w:sz="4" w:space="0" w:color="auto"/>
                      <w:left w:val="single" w:sz="4" w:space="0" w:color="auto"/>
                      <w:bottom w:val="single" w:sz="4" w:space="0" w:color="auto"/>
                      <w:right w:val="single" w:sz="4" w:space="0" w:color="auto"/>
                    </w:tcBorders>
                    <w:vAlign w:val="center"/>
                  </w:tcPr>
                  <w:p w:rsidR="00B637B2" w:rsidRDefault="008F04CF" w:rsidP="00B637B2">
                    <w:pPr>
                      <w:jc w:val="center"/>
                      <w:rPr>
                        <w:szCs w:val="21"/>
                      </w:rPr>
                    </w:pPr>
                    <w:r>
                      <w:rPr>
                        <w:szCs w:val="21"/>
                      </w:rPr>
                      <w:t>与资产相关/与收益相关</w:t>
                    </w:r>
                  </w:p>
                </w:tc>
              </w:sdtContent>
            </w:sdt>
          </w:tr>
          <w:sdt>
            <w:sdtPr>
              <w:rPr>
                <w:rFonts w:asciiTheme="minorHAnsi" w:eastAsiaTheme="minorEastAsia" w:hAnsiTheme="minorHAnsi" w:cstheme="minorBidi"/>
                <w:kern w:val="2"/>
                <w:szCs w:val="21"/>
              </w:rPr>
              <w:alias w:val="涉及政府补助的负债项目明细"/>
              <w:tag w:val="_GBC_57fa178d03fa46a3befea9bbb3ebc131"/>
              <w:id w:val="1708147587"/>
              <w:lock w:val="sdtLocked"/>
            </w:sdtPr>
            <w:sdtContent>
              <w:tr w:rsidR="00B637B2" w:rsidTr="00B637B2">
                <w:trPr>
                  <w:jc w:val="center"/>
                </w:trPr>
                <w:tc>
                  <w:tcPr>
                    <w:tcW w:w="551" w:type="pct"/>
                    <w:tcBorders>
                      <w:top w:val="single" w:sz="4" w:space="0" w:color="auto"/>
                      <w:left w:val="single" w:sz="4" w:space="0" w:color="auto"/>
                      <w:bottom w:val="single" w:sz="4" w:space="0" w:color="auto"/>
                      <w:right w:val="single" w:sz="4" w:space="0" w:color="auto"/>
                    </w:tcBorders>
                    <w:vAlign w:val="center"/>
                  </w:tcPr>
                  <w:p w:rsidR="00B637B2" w:rsidRDefault="008F04CF" w:rsidP="00B637B2">
                    <w:pPr>
                      <w:rPr>
                        <w:szCs w:val="21"/>
                      </w:rPr>
                    </w:pPr>
                    <w:r>
                      <w:t>企业云平台与云ERP系统研发及推广应用</w:t>
                    </w:r>
                  </w:p>
                </w:tc>
                <w:tc>
                  <w:tcPr>
                    <w:tcW w:w="630" w:type="pct"/>
                    <w:tcBorders>
                      <w:top w:val="single" w:sz="4" w:space="0" w:color="auto"/>
                      <w:left w:val="single" w:sz="4" w:space="0" w:color="auto"/>
                      <w:bottom w:val="single" w:sz="4" w:space="0" w:color="auto"/>
                      <w:right w:val="single" w:sz="4" w:space="0" w:color="auto"/>
                    </w:tcBorders>
                    <w:vAlign w:val="center"/>
                  </w:tcPr>
                  <w:p w:rsidR="00B637B2" w:rsidRPr="001E34CA" w:rsidRDefault="008F04CF" w:rsidP="00B637B2">
                    <w:pPr>
                      <w:jc w:val="right"/>
                    </w:pPr>
                    <w:r w:rsidRPr="001E34CA">
                      <w:t>12,000,000</w:t>
                    </w:r>
                  </w:p>
                </w:tc>
                <w:tc>
                  <w:tcPr>
                    <w:tcW w:w="629" w:type="pct"/>
                    <w:tcBorders>
                      <w:top w:val="single" w:sz="4" w:space="0" w:color="auto"/>
                      <w:left w:val="single" w:sz="4" w:space="0" w:color="auto"/>
                      <w:bottom w:val="single" w:sz="4" w:space="0" w:color="auto"/>
                      <w:right w:val="single" w:sz="4" w:space="0" w:color="auto"/>
                    </w:tcBorders>
                    <w:vAlign w:val="center"/>
                  </w:tcPr>
                  <w:p w:rsidR="00B637B2" w:rsidRDefault="00B637B2" w:rsidP="00B637B2">
                    <w:pPr>
                      <w:jc w:val="right"/>
                      <w:rPr>
                        <w:szCs w:val="21"/>
                      </w:rPr>
                    </w:pPr>
                  </w:p>
                </w:tc>
                <w:tc>
                  <w:tcPr>
                    <w:tcW w:w="517" w:type="pct"/>
                    <w:tcBorders>
                      <w:top w:val="single" w:sz="4" w:space="0" w:color="auto"/>
                      <w:left w:val="single" w:sz="4" w:space="0" w:color="auto"/>
                      <w:bottom w:val="single" w:sz="4" w:space="0" w:color="auto"/>
                      <w:right w:val="single" w:sz="4" w:space="0" w:color="auto"/>
                    </w:tcBorders>
                    <w:vAlign w:val="center"/>
                  </w:tcPr>
                  <w:p w:rsidR="00B637B2" w:rsidRPr="00AC5E6E" w:rsidRDefault="00B637B2" w:rsidP="00B637B2">
                    <w:pPr>
                      <w:jc w:val="right"/>
                    </w:pPr>
                  </w:p>
                </w:tc>
                <w:tc>
                  <w:tcPr>
                    <w:tcW w:w="779" w:type="pct"/>
                    <w:tcBorders>
                      <w:top w:val="single" w:sz="4" w:space="0" w:color="auto"/>
                      <w:left w:val="single" w:sz="4" w:space="0" w:color="auto"/>
                      <w:bottom w:val="single" w:sz="4" w:space="0" w:color="auto"/>
                      <w:right w:val="single" w:sz="4" w:space="0" w:color="auto"/>
                    </w:tcBorders>
                    <w:vAlign w:val="center"/>
                  </w:tcPr>
                  <w:p w:rsidR="00B637B2" w:rsidRDefault="00B637B2" w:rsidP="00B637B2">
                    <w:pPr>
                      <w:jc w:val="right"/>
                      <w:rPr>
                        <w:szCs w:val="21"/>
                      </w:rPr>
                    </w:pPr>
                  </w:p>
                </w:tc>
                <w:tc>
                  <w:tcPr>
                    <w:tcW w:w="506" w:type="pct"/>
                    <w:tcBorders>
                      <w:top w:val="single" w:sz="4" w:space="0" w:color="auto"/>
                      <w:left w:val="single" w:sz="4" w:space="0" w:color="auto"/>
                      <w:bottom w:val="single" w:sz="4" w:space="0" w:color="auto"/>
                      <w:right w:val="single" w:sz="4" w:space="0" w:color="auto"/>
                    </w:tcBorders>
                    <w:vAlign w:val="center"/>
                  </w:tcPr>
                  <w:p w:rsidR="00B637B2" w:rsidRDefault="00B637B2" w:rsidP="00B637B2">
                    <w:pPr>
                      <w:jc w:val="right"/>
                      <w:rPr>
                        <w:szCs w:val="21"/>
                      </w:rPr>
                    </w:pPr>
                  </w:p>
                </w:tc>
                <w:tc>
                  <w:tcPr>
                    <w:tcW w:w="692" w:type="pct"/>
                    <w:tcBorders>
                      <w:top w:val="single" w:sz="4" w:space="0" w:color="auto"/>
                      <w:left w:val="single" w:sz="4" w:space="0" w:color="auto"/>
                      <w:bottom w:val="single" w:sz="4" w:space="0" w:color="auto"/>
                      <w:right w:val="single" w:sz="4" w:space="0" w:color="auto"/>
                    </w:tcBorders>
                    <w:vAlign w:val="center"/>
                  </w:tcPr>
                  <w:p w:rsidR="00B637B2" w:rsidRPr="00273BCB" w:rsidRDefault="008F04CF" w:rsidP="00B637B2">
                    <w:pPr>
                      <w:jc w:val="right"/>
                    </w:pPr>
                    <w:r w:rsidRPr="00273BCB">
                      <w:t>12,000,000</w:t>
                    </w:r>
                  </w:p>
                </w:tc>
                <w:tc>
                  <w:tcPr>
                    <w:tcW w:w="696" w:type="pct"/>
                    <w:tcBorders>
                      <w:top w:val="single" w:sz="4" w:space="0" w:color="auto"/>
                      <w:left w:val="single" w:sz="4" w:space="0" w:color="auto"/>
                      <w:bottom w:val="single" w:sz="4" w:space="0" w:color="auto"/>
                      <w:right w:val="single" w:sz="4" w:space="0" w:color="auto"/>
                    </w:tcBorders>
                    <w:vAlign w:val="center"/>
                  </w:tcPr>
                  <w:p w:rsidR="00B637B2" w:rsidRDefault="008F04CF" w:rsidP="00B637B2">
                    <w:pPr>
                      <w:jc w:val="center"/>
                      <w:rPr>
                        <w:szCs w:val="21"/>
                      </w:rPr>
                    </w:pPr>
                    <w:r>
                      <w:t>与收益相关</w:t>
                    </w:r>
                  </w:p>
                </w:tc>
              </w:tr>
            </w:sdtContent>
          </w:sdt>
          <w:sdt>
            <w:sdtPr>
              <w:rPr>
                <w:rFonts w:asciiTheme="minorHAnsi" w:eastAsiaTheme="minorEastAsia" w:hAnsiTheme="minorHAnsi" w:cstheme="minorBidi"/>
                <w:kern w:val="2"/>
                <w:szCs w:val="21"/>
              </w:rPr>
              <w:alias w:val="涉及政府补助的负债项目明细"/>
              <w:tag w:val="_GBC_57fa178d03fa46a3befea9bbb3ebc131"/>
              <w:id w:val="1303270881"/>
              <w:lock w:val="sdtLocked"/>
            </w:sdtPr>
            <w:sdtContent>
              <w:tr w:rsidR="00B637B2" w:rsidTr="00B637B2">
                <w:trPr>
                  <w:jc w:val="center"/>
                </w:trPr>
                <w:tc>
                  <w:tcPr>
                    <w:tcW w:w="551" w:type="pct"/>
                    <w:tcBorders>
                      <w:top w:val="single" w:sz="4" w:space="0" w:color="auto"/>
                      <w:left w:val="single" w:sz="4" w:space="0" w:color="auto"/>
                      <w:bottom w:val="single" w:sz="4" w:space="0" w:color="auto"/>
                      <w:right w:val="single" w:sz="4" w:space="0" w:color="auto"/>
                    </w:tcBorders>
                    <w:vAlign w:val="center"/>
                  </w:tcPr>
                  <w:p w:rsidR="00B637B2" w:rsidRDefault="008F04CF" w:rsidP="00B637B2">
                    <w:pPr>
                      <w:rPr>
                        <w:szCs w:val="21"/>
                      </w:rPr>
                    </w:pPr>
                    <w:r>
                      <w:t>用友精智工业互联网平台试验测试</w:t>
                    </w:r>
                  </w:p>
                </w:tc>
                <w:tc>
                  <w:tcPr>
                    <w:tcW w:w="630" w:type="pct"/>
                    <w:tcBorders>
                      <w:top w:val="single" w:sz="4" w:space="0" w:color="auto"/>
                      <w:left w:val="single" w:sz="4" w:space="0" w:color="auto"/>
                      <w:bottom w:val="single" w:sz="4" w:space="0" w:color="auto"/>
                      <w:right w:val="single" w:sz="4" w:space="0" w:color="auto"/>
                    </w:tcBorders>
                    <w:vAlign w:val="center"/>
                  </w:tcPr>
                  <w:p w:rsidR="00B637B2" w:rsidRPr="001E34CA" w:rsidRDefault="008F04CF" w:rsidP="00B637B2">
                    <w:pPr>
                      <w:jc w:val="right"/>
                    </w:pPr>
                    <w:r w:rsidRPr="001E34CA">
                      <w:t>25,000,000</w:t>
                    </w:r>
                  </w:p>
                </w:tc>
                <w:tc>
                  <w:tcPr>
                    <w:tcW w:w="629" w:type="pct"/>
                    <w:tcBorders>
                      <w:top w:val="single" w:sz="4" w:space="0" w:color="auto"/>
                      <w:left w:val="single" w:sz="4" w:space="0" w:color="auto"/>
                      <w:bottom w:val="single" w:sz="4" w:space="0" w:color="auto"/>
                      <w:right w:val="single" w:sz="4" w:space="0" w:color="auto"/>
                    </w:tcBorders>
                    <w:vAlign w:val="center"/>
                  </w:tcPr>
                  <w:p w:rsidR="00B637B2" w:rsidRDefault="00B637B2" w:rsidP="00B637B2">
                    <w:pPr>
                      <w:jc w:val="right"/>
                      <w:rPr>
                        <w:szCs w:val="21"/>
                      </w:rPr>
                    </w:pPr>
                  </w:p>
                </w:tc>
                <w:tc>
                  <w:tcPr>
                    <w:tcW w:w="517" w:type="pct"/>
                    <w:tcBorders>
                      <w:top w:val="single" w:sz="4" w:space="0" w:color="auto"/>
                      <w:left w:val="single" w:sz="4" w:space="0" w:color="auto"/>
                      <w:bottom w:val="single" w:sz="4" w:space="0" w:color="auto"/>
                      <w:right w:val="single" w:sz="4" w:space="0" w:color="auto"/>
                    </w:tcBorders>
                    <w:vAlign w:val="center"/>
                  </w:tcPr>
                  <w:p w:rsidR="00B637B2" w:rsidRPr="00AC5E6E" w:rsidRDefault="00B637B2" w:rsidP="00B637B2">
                    <w:pPr>
                      <w:jc w:val="right"/>
                    </w:pPr>
                  </w:p>
                </w:tc>
                <w:tc>
                  <w:tcPr>
                    <w:tcW w:w="779" w:type="pct"/>
                    <w:tcBorders>
                      <w:top w:val="single" w:sz="4" w:space="0" w:color="auto"/>
                      <w:left w:val="single" w:sz="4" w:space="0" w:color="auto"/>
                      <w:bottom w:val="single" w:sz="4" w:space="0" w:color="auto"/>
                      <w:right w:val="single" w:sz="4" w:space="0" w:color="auto"/>
                    </w:tcBorders>
                    <w:vAlign w:val="center"/>
                  </w:tcPr>
                  <w:p w:rsidR="00B637B2" w:rsidRDefault="00B637B2" w:rsidP="00B637B2">
                    <w:pPr>
                      <w:jc w:val="right"/>
                      <w:rPr>
                        <w:szCs w:val="21"/>
                      </w:rPr>
                    </w:pPr>
                  </w:p>
                </w:tc>
                <w:tc>
                  <w:tcPr>
                    <w:tcW w:w="506" w:type="pct"/>
                    <w:tcBorders>
                      <w:top w:val="single" w:sz="4" w:space="0" w:color="auto"/>
                      <w:left w:val="single" w:sz="4" w:space="0" w:color="auto"/>
                      <w:bottom w:val="single" w:sz="4" w:space="0" w:color="auto"/>
                      <w:right w:val="single" w:sz="4" w:space="0" w:color="auto"/>
                    </w:tcBorders>
                    <w:vAlign w:val="center"/>
                  </w:tcPr>
                  <w:p w:rsidR="00B637B2" w:rsidRDefault="00B637B2" w:rsidP="00B637B2">
                    <w:pPr>
                      <w:jc w:val="right"/>
                      <w:rPr>
                        <w:szCs w:val="21"/>
                      </w:rPr>
                    </w:pPr>
                  </w:p>
                </w:tc>
                <w:tc>
                  <w:tcPr>
                    <w:tcW w:w="692" w:type="pct"/>
                    <w:tcBorders>
                      <w:top w:val="single" w:sz="4" w:space="0" w:color="auto"/>
                      <w:left w:val="single" w:sz="4" w:space="0" w:color="auto"/>
                      <w:bottom w:val="single" w:sz="4" w:space="0" w:color="auto"/>
                      <w:right w:val="single" w:sz="4" w:space="0" w:color="auto"/>
                    </w:tcBorders>
                    <w:vAlign w:val="center"/>
                  </w:tcPr>
                  <w:p w:rsidR="00B637B2" w:rsidRPr="00273BCB" w:rsidRDefault="008F04CF" w:rsidP="00B637B2">
                    <w:pPr>
                      <w:jc w:val="right"/>
                    </w:pPr>
                    <w:r w:rsidRPr="00273BCB">
                      <w:t>25,000,000</w:t>
                    </w:r>
                  </w:p>
                </w:tc>
                <w:tc>
                  <w:tcPr>
                    <w:tcW w:w="696" w:type="pct"/>
                    <w:tcBorders>
                      <w:top w:val="single" w:sz="4" w:space="0" w:color="auto"/>
                      <w:left w:val="single" w:sz="4" w:space="0" w:color="auto"/>
                      <w:bottom w:val="single" w:sz="4" w:space="0" w:color="auto"/>
                      <w:right w:val="single" w:sz="4" w:space="0" w:color="auto"/>
                    </w:tcBorders>
                  </w:tcPr>
                  <w:p w:rsidR="00B637B2" w:rsidRDefault="008F04CF" w:rsidP="00B637B2">
                    <w:pPr>
                      <w:rPr>
                        <w:szCs w:val="21"/>
                      </w:rPr>
                    </w:pPr>
                    <w:r>
                      <w:t>与收益相关</w:t>
                    </w:r>
                  </w:p>
                </w:tc>
              </w:tr>
            </w:sdtContent>
          </w:sdt>
          <w:sdt>
            <w:sdtPr>
              <w:rPr>
                <w:rFonts w:asciiTheme="minorHAnsi" w:eastAsiaTheme="minorEastAsia" w:hAnsiTheme="minorHAnsi" w:cstheme="minorBidi"/>
                <w:kern w:val="2"/>
                <w:szCs w:val="21"/>
              </w:rPr>
              <w:alias w:val="涉及政府补助的负债项目明细"/>
              <w:tag w:val="_GBC_57fa178d03fa46a3befea9bbb3ebc131"/>
              <w:id w:val="-487243022"/>
              <w:lock w:val="sdtLocked"/>
            </w:sdtPr>
            <w:sdtContent>
              <w:tr w:rsidR="00B637B2" w:rsidTr="00B637B2">
                <w:trPr>
                  <w:jc w:val="center"/>
                </w:trPr>
                <w:tc>
                  <w:tcPr>
                    <w:tcW w:w="551" w:type="pct"/>
                    <w:tcBorders>
                      <w:top w:val="single" w:sz="4" w:space="0" w:color="auto"/>
                      <w:left w:val="single" w:sz="4" w:space="0" w:color="auto"/>
                      <w:bottom w:val="single" w:sz="4" w:space="0" w:color="auto"/>
                      <w:right w:val="single" w:sz="4" w:space="0" w:color="auto"/>
                    </w:tcBorders>
                    <w:vAlign w:val="center"/>
                  </w:tcPr>
                  <w:p w:rsidR="00B637B2" w:rsidRDefault="008F04CF" w:rsidP="00B637B2">
                    <w:pPr>
                      <w:rPr>
                        <w:szCs w:val="21"/>
                      </w:rPr>
                    </w:pPr>
                    <w:r>
                      <w:t>基于云平台的大型企业资源管理系统（ERP）解决方案应用推广</w:t>
                    </w:r>
                  </w:p>
                </w:tc>
                <w:tc>
                  <w:tcPr>
                    <w:tcW w:w="630" w:type="pct"/>
                    <w:tcBorders>
                      <w:top w:val="single" w:sz="4" w:space="0" w:color="auto"/>
                      <w:left w:val="single" w:sz="4" w:space="0" w:color="auto"/>
                      <w:bottom w:val="single" w:sz="4" w:space="0" w:color="auto"/>
                      <w:right w:val="single" w:sz="4" w:space="0" w:color="auto"/>
                    </w:tcBorders>
                    <w:vAlign w:val="center"/>
                  </w:tcPr>
                  <w:p w:rsidR="00B637B2" w:rsidRPr="001E34CA" w:rsidRDefault="008F04CF" w:rsidP="00B637B2">
                    <w:pPr>
                      <w:jc w:val="right"/>
                    </w:pPr>
                    <w:r w:rsidRPr="001E34CA">
                      <w:t>4,000,000</w:t>
                    </w:r>
                  </w:p>
                </w:tc>
                <w:tc>
                  <w:tcPr>
                    <w:tcW w:w="629" w:type="pct"/>
                    <w:tcBorders>
                      <w:top w:val="single" w:sz="4" w:space="0" w:color="auto"/>
                      <w:left w:val="single" w:sz="4" w:space="0" w:color="auto"/>
                      <w:bottom w:val="single" w:sz="4" w:space="0" w:color="auto"/>
                      <w:right w:val="single" w:sz="4" w:space="0" w:color="auto"/>
                    </w:tcBorders>
                    <w:vAlign w:val="center"/>
                  </w:tcPr>
                  <w:p w:rsidR="00B637B2" w:rsidRDefault="00B637B2" w:rsidP="00B637B2">
                    <w:pPr>
                      <w:jc w:val="right"/>
                      <w:rPr>
                        <w:szCs w:val="21"/>
                      </w:rPr>
                    </w:pPr>
                  </w:p>
                </w:tc>
                <w:tc>
                  <w:tcPr>
                    <w:tcW w:w="517" w:type="pct"/>
                    <w:tcBorders>
                      <w:top w:val="single" w:sz="4" w:space="0" w:color="auto"/>
                      <w:left w:val="single" w:sz="4" w:space="0" w:color="auto"/>
                      <w:bottom w:val="single" w:sz="4" w:space="0" w:color="auto"/>
                      <w:right w:val="single" w:sz="4" w:space="0" w:color="auto"/>
                    </w:tcBorders>
                    <w:vAlign w:val="center"/>
                  </w:tcPr>
                  <w:p w:rsidR="00B637B2" w:rsidRPr="00AC5E6E" w:rsidRDefault="00B637B2" w:rsidP="00B637B2">
                    <w:pPr>
                      <w:jc w:val="right"/>
                    </w:pPr>
                  </w:p>
                </w:tc>
                <w:tc>
                  <w:tcPr>
                    <w:tcW w:w="779" w:type="pct"/>
                    <w:tcBorders>
                      <w:top w:val="single" w:sz="4" w:space="0" w:color="auto"/>
                      <w:left w:val="single" w:sz="4" w:space="0" w:color="auto"/>
                      <w:bottom w:val="single" w:sz="4" w:space="0" w:color="auto"/>
                      <w:right w:val="single" w:sz="4" w:space="0" w:color="auto"/>
                    </w:tcBorders>
                    <w:vAlign w:val="center"/>
                  </w:tcPr>
                  <w:p w:rsidR="00B637B2" w:rsidRDefault="008F04CF" w:rsidP="00B637B2">
                    <w:pPr>
                      <w:jc w:val="right"/>
                      <w:rPr>
                        <w:szCs w:val="21"/>
                      </w:rPr>
                    </w:pPr>
                    <w:r w:rsidRPr="00AC5E6E">
                      <w:t>4,000,000</w:t>
                    </w:r>
                  </w:p>
                </w:tc>
                <w:tc>
                  <w:tcPr>
                    <w:tcW w:w="506" w:type="pct"/>
                    <w:tcBorders>
                      <w:top w:val="single" w:sz="4" w:space="0" w:color="auto"/>
                      <w:left w:val="single" w:sz="4" w:space="0" w:color="auto"/>
                      <w:bottom w:val="single" w:sz="4" w:space="0" w:color="auto"/>
                      <w:right w:val="single" w:sz="4" w:space="0" w:color="auto"/>
                    </w:tcBorders>
                    <w:vAlign w:val="center"/>
                  </w:tcPr>
                  <w:p w:rsidR="00B637B2" w:rsidRDefault="00B637B2" w:rsidP="00B637B2">
                    <w:pPr>
                      <w:jc w:val="right"/>
                      <w:rPr>
                        <w:szCs w:val="21"/>
                      </w:rPr>
                    </w:pPr>
                  </w:p>
                </w:tc>
                <w:tc>
                  <w:tcPr>
                    <w:tcW w:w="692" w:type="pct"/>
                    <w:tcBorders>
                      <w:top w:val="single" w:sz="4" w:space="0" w:color="auto"/>
                      <w:left w:val="single" w:sz="4" w:space="0" w:color="auto"/>
                      <w:bottom w:val="single" w:sz="4" w:space="0" w:color="auto"/>
                      <w:right w:val="single" w:sz="4" w:space="0" w:color="auto"/>
                    </w:tcBorders>
                    <w:vAlign w:val="center"/>
                  </w:tcPr>
                  <w:p w:rsidR="00B637B2" w:rsidRPr="00273BCB" w:rsidRDefault="008F04CF" w:rsidP="00B637B2">
                    <w:pPr>
                      <w:jc w:val="right"/>
                    </w:pPr>
                    <w:r w:rsidRPr="00273BCB">
                      <w:t>-</w:t>
                    </w:r>
                  </w:p>
                </w:tc>
                <w:tc>
                  <w:tcPr>
                    <w:tcW w:w="696" w:type="pct"/>
                    <w:tcBorders>
                      <w:top w:val="single" w:sz="4" w:space="0" w:color="auto"/>
                      <w:left w:val="single" w:sz="4" w:space="0" w:color="auto"/>
                      <w:bottom w:val="single" w:sz="4" w:space="0" w:color="auto"/>
                      <w:right w:val="single" w:sz="4" w:space="0" w:color="auto"/>
                    </w:tcBorders>
                  </w:tcPr>
                  <w:p w:rsidR="00B637B2" w:rsidRDefault="008F04CF" w:rsidP="00B637B2">
                    <w:pPr>
                      <w:rPr>
                        <w:szCs w:val="21"/>
                      </w:rPr>
                    </w:pPr>
                    <w:r>
                      <w:t>与收益相关</w:t>
                    </w:r>
                  </w:p>
                </w:tc>
              </w:tr>
            </w:sdtContent>
          </w:sdt>
          <w:sdt>
            <w:sdtPr>
              <w:rPr>
                <w:rFonts w:asciiTheme="minorHAnsi" w:eastAsiaTheme="minorEastAsia" w:hAnsiTheme="minorHAnsi" w:cstheme="minorBidi"/>
                <w:kern w:val="2"/>
                <w:szCs w:val="21"/>
              </w:rPr>
              <w:alias w:val="涉及政府补助的负债项目明细"/>
              <w:tag w:val="_GBC_57fa178d03fa46a3befea9bbb3ebc131"/>
              <w:id w:val="-1925336395"/>
              <w:lock w:val="sdtLocked"/>
            </w:sdtPr>
            <w:sdtContent>
              <w:tr w:rsidR="00B637B2" w:rsidTr="00B637B2">
                <w:trPr>
                  <w:jc w:val="center"/>
                </w:trPr>
                <w:tc>
                  <w:tcPr>
                    <w:tcW w:w="551" w:type="pct"/>
                    <w:tcBorders>
                      <w:top w:val="single" w:sz="4" w:space="0" w:color="auto"/>
                      <w:left w:val="single" w:sz="4" w:space="0" w:color="auto"/>
                      <w:bottom w:val="single" w:sz="4" w:space="0" w:color="auto"/>
                      <w:right w:val="single" w:sz="4" w:space="0" w:color="auto"/>
                    </w:tcBorders>
                    <w:vAlign w:val="center"/>
                  </w:tcPr>
                  <w:p w:rsidR="00B637B2" w:rsidRDefault="008F04CF" w:rsidP="00B637B2">
                    <w:pPr>
                      <w:rPr>
                        <w:szCs w:val="21"/>
                      </w:rPr>
                    </w:pPr>
                    <w:r>
                      <w:t>支撑互联网+新模式的企业互联网开放平台建设与运营</w:t>
                    </w:r>
                  </w:p>
                </w:tc>
                <w:tc>
                  <w:tcPr>
                    <w:tcW w:w="630" w:type="pct"/>
                    <w:tcBorders>
                      <w:top w:val="single" w:sz="4" w:space="0" w:color="auto"/>
                      <w:left w:val="single" w:sz="4" w:space="0" w:color="auto"/>
                      <w:bottom w:val="single" w:sz="4" w:space="0" w:color="auto"/>
                      <w:right w:val="single" w:sz="4" w:space="0" w:color="auto"/>
                    </w:tcBorders>
                    <w:vAlign w:val="center"/>
                  </w:tcPr>
                  <w:p w:rsidR="00B637B2" w:rsidRPr="001E34CA" w:rsidRDefault="008F04CF" w:rsidP="00B637B2">
                    <w:pPr>
                      <w:jc w:val="right"/>
                    </w:pPr>
                    <w:r w:rsidRPr="001E34CA">
                      <w:t>4,000,000</w:t>
                    </w:r>
                  </w:p>
                </w:tc>
                <w:tc>
                  <w:tcPr>
                    <w:tcW w:w="629" w:type="pct"/>
                    <w:tcBorders>
                      <w:top w:val="single" w:sz="4" w:space="0" w:color="auto"/>
                      <w:left w:val="single" w:sz="4" w:space="0" w:color="auto"/>
                      <w:bottom w:val="single" w:sz="4" w:space="0" w:color="auto"/>
                      <w:right w:val="single" w:sz="4" w:space="0" w:color="auto"/>
                    </w:tcBorders>
                    <w:vAlign w:val="center"/>
                  </w:tcPr>
                  <w:p w:rsidR="00B637B2" w:rsidRDefault="00B637B2" w:rsidP="00B637B2">
                    <w:pPr>
                      <w:jc w:val="right"/>
                      <w:rPr>
                        <w:szCs w:val="21"/>
                      </w:rPr>
                    </w:pPr>
                  </w:p>
                </w:tc>
                <w:tc>
                  <w:tcPr>
                    <w:tcW w:w="517" w:type="pct"/>
                    <w:tcBorders>
                      <w:top w:val="single" w:sz="4" w:space="0" w:color="auto"/>
                      <w:left w:val="single" w:sz="4" w:space="0" w:color="auto"/>
                      <w:bottom w:val="single" w:sz="4" w:space="0" w:color="auto"/>
                      <w:right w:val="single" w:sz="4" w:space="0" w:color="auto"/>
                    </w:tcBorders>
                    <w:vAlign w:val="center"/>
                  </w:tcPr>
                  <w:p w:rsidR="00B637B2" w:rsidRPr="00AC5E6E" w:rsidRDefault="00B637B2" w:rsidP="00B637B2">
                    <w:pPr>
                      <w:jc w:val="right"/>
                    </w:pPr>
                  </w:p>
                </w:tc>
                <w:tc>
                  <w:tcPr>
                    <w:tcW w:w="779" w:type="pct"/>
                    <w:tcBorders>
                      <w:top w:val="single" w:sz="4" w:space="0" w:color="auto"/>
                      <w:left w:val="single" w:sz="4" w:space="0" w:color="auto"/>
                      <w:bottom w:val="single" w:sz="4" w:space="0" w:color="auto"/>
                      <w:right w:val="single" w:sz="4" w:space="0" w:color="auto"/>
                    </w:tcBorders>
                    <w:vAlign w:val="center"/>
                  </w:tcPr>
                  <w:p w:rsidR="00B637B2" w:rsidRDefault="00B637B2" w:rsidP="00B637B2">
                    <w:pPr>
                      <w:jc w:val="right"/>
                      <w:rPr>
                        <w:szCs w:val="21"/>
                      </w:rPr>
                    </w:pPr>
                  </w:p>
                </w:tc>
                <w:tc>
                  <w:tcPr>
                    <w:tcW w:w="506" w:type="pct"/>
                    <w:tcBorders>
                      <w:top w:val="single" w:sz="4" w:space="0" w:color="auto"/>
                      <w:left w:val="single" w:sz="4" w:space="0" w:color="auto"/>
                      <w:bottom w:val="single" w:sz="4" w:space="0" w:color="auto"/>
                      <w:right w:val="single" w:sz="4" w:space="0" w:color="auto"/>
                    </w:tcBorders>
                    <w:vAlign w:val="center"/>
                  </w:tcPr>
                  <w:p w:rsidR="00B637B2" w:rsidRDefault="00B637B2" w:rsidP="00B637B2">
                    <w:pPr>
                      <w:jc w:val="right"/>
                      <w:rPr>
                        <w:szCs w:val="21"/>
                      </w:rPr>
                    </w:pPr>
                  </w:p>
                </w:tc>
                <w:tc>
                  <w:tcPr>
                    <w:tcW w:w="692" w:type="pct"/>
                    <w:tcBorders>
                      <w:top w:val="single" w:sz="4" w:space="0" w:color="auto"/>
                      <w:left w:val="single" w:sz="4" w:space="0" w:color="auto"/>
                      <w:bottom w:val="single" w:sz="4" w:space="0" w:color="auto"/>
                      <w:right w:val="single" w:sz="4" w:space="0" w:color="auto"/>
                    </w:tcBorders>
                    <w:vAlign w:val="center"/>
                  </w:tcPr>
                  <w:p w:rsidR="00B637B2" w:rsidRPr="00273BCB" w:rsidRDefault="008F04CF" w:rsidP="00B637B2">
                    <w:pPr>
                      <w:jc w:val="right"/>
                    </w:pPr>
                    <w:r w:rsidRPr="00273BCB">
                      <w:t>4,000,000</w:t>
                    </w:r>
                  </w:p>
                </w:tc>
                <w:tc>
                  <w:tcPr>
                    <w:tcW w:w="696" w:type="pct"/>
                    <w:tcBorders>
                      <w:top w:val="single" w:sz="4" w:space="0" w:color="auto"/>
                      <w:left w:val="single" w:sz="4" w:space="0" w:color="auto"/>
                      <w:bottom w:val="single" w:sz="4" w:space="0" w:color="auto"/>
                      <w:right w:val="single" w:sz="4" w:space="0" w:color="auto"/>
                    </w:tcBorders>
                  </w:tcPr>
                  <w:p w:rsidR="00B637B2" w:rsidRDefault="008F04CF" w:rsidP="00B637B2">
                    <w:pPr>
                      <w:rPr>
                        <w:szCs w:val="21"/>
                      </w:rPr>
                    </w:pPr>
                    <w:r>
                      <w:t>与收益相关</w:t>
                    </w:r>
                  </w:p>
                </w:tc>
              </w:tr>
            </w:sdtContent>
          </w:sdt>
          <w:sdt>
            <w:sdtPr>
              <w:rPr>
                <w:rFonts w:asciiTheme="minorHAnsi" w:eastAsiaTheme="minorEastAsia" w:hAnsiTheme="minorHAnsi" w:cstheme="minorBidi"/>
                <w:kern w:val="2"/>
                <w:szCs w:val="21"/>
              </w:rPr>
              <w:alias w:val="涉及政府补助的负债项目明细"/>
              <w:tag w:val="_GBC_57fa178d03fa46a3befea9bbb3ebc131"/>
              <w:id w:val="679240175"/>
              <w:lock w:val="sdtLocked"/>
            </w:sdtPr>
            <w:sdtContent>
              <w:tr w:rsidR="00B637B2" w:rsidTr="00B637B2">
                <w:trPr>
                  <w:jc w:val="center"/>
                </w:trPr>
                <w:tc>
                  <w:tcPr>
                    <w:tcW w:w="551" w:type="pct"/>
                    <w:tcBorders>
                      <w:top w:val="single" w:sz="4" w:space="0" w:color="auto"/>
                      <w:left w:val="single" w:sz="4" w:space="0" w:color="auto"/>
                      <w:bottom w:val="single" w:sz="4" w:space="0" w:color="auto"/>
                      <w:right w:val="single" w:sz="4" w:space="0" w:color="auto"/>
                    </w:tcBorders>
                    <w:vAlign w:val="center"/>
                  </w:tcPr>
                  <w:p w:rsidR="00B637B2" w:rsidRDefault="008F04CF" w:rsidP="00B637B2">
                    <w:pPr>
                      <w:rPr>
                        <w:szCs w:val="21"/>
                      </w:rPr>
                    </w:pPr>
                    <w:r>
                      <w:t>面向装备制造业的云平台建设及应用标准与试验验证</w:t>
                    </w:r>
                  </w:p>
                </w:tc>
                <w:tc>
                  <w:tcPr>
                    <w:tcW w:w="630" w:type="pct"/>
                    <w:tcBorders>
                      <w:top w:val="single" w:sz="4" w:space="0" w:color="auto"/>
                      <w:left w:val="single" w:sz="4" w:space="0" w:color="auto"/>
                      <w:bottom w:val="single" w:sz="4" w:space="0" w:color="auto"/>
                      <w:right w:val="single" w:sz="4" w:space="0" w:color="auto"/>
                    </w:tcBorders>
                    <w:vAlign w:val="center"/>
                  </w:tcPr>
                  <w:p w:rsidR="00B637B2" w:rsidRPr="001E34CA" w:rsidRDefault="008F04CF" w:rsidP="00B637B2">
                    <w:pPr>
                      <w:jc w:val="right"/>
                    </w:pPr>
                    <w:r w:rsidRPr="001E34CA">
                      <w:t>3,150,000</w:t>
                    </w:r>
                  </w:p>
                </w:tc>
                <w:tc>
                  <w:tcPr>
                    <w:tcW w:w="629" w:type="pct"/>
                    <w:tcBorders>
                      <w:top w:val="single" w:sz="4" w:space="0" w:color="auto"/>
                      <w:left w:val="single" w:sz="4" w:space="0" w:color="auto"/>
                      <w:bottom w:val="single" w:sz="4" w:space="0" w:color="auto"/>
                      <w:right w:val="single" w:sz="4" w:space="0" w:color="auto"/>
                    </w:tcBorders>
                    <w:vAlign w:val="center"/>
                  </w:tcPr>
                  <w:p w:rsidR="00B637B2" w:rsidRDefault="00B637B2" w:rsidP="00B637B2">
                    <w:pPr>
                      <w:jc w:val="right"/>
                      <w:rPr>
                        <w:szCs w:val="21"/>
                      </w:rPr>
                    </w:pPr>
                  </w:p>
                </w:tc>
                <w:tc>
                  <w:tcPr>
                    <w:tcW w:w="517" w:type="pct"/>
                    <w:tcBorders>
                      <w:top w:val="single" w:sz="4" w:space="0" w:color="auto"/>
                      <w:left w:val="single" w:sz="4" w:space="0" w:color="auto"/>
                      <w:bottom w:val="single" w:sz="4" w:space="0" w:color="auto"/>
                      <w:right w:val="single" w:sz="4" w:space="0" w:color="auto"/>
                    </w:tcBorders>
                    <w:vAlign w:val="center"/>
                  </w:tcPr>
                  <w:p w:rsidR="00B637B2" w:rsidRPr="00AC5E6E" w:rsidRDefault="00B637B2" w:rsidP="00B637B2">
                    <w:pPr>
                      <w:jc w:val="right"/>
                    </w:pPr>
                  </w:p>
                </w:tc>
                <w:tc>
                  <w:tcPr>
                    <w:tcW w:w="779" w:type="pct"/>
                    <w:tcBorders>
                      <w:top w:val="single" w:sz="4" w:space="0" w:color="auto"/>
                      <w:left w:val="single" w:sz="4" w:space="0" w:color="auto"/>
                      <w:bottom w:val="single" w:sz="4" w:space="0" w:color="auto"/>
                      <w:right w:val="single" w:sz="4" w:space="0" w:color="auto"/>
                    </w:tcBorders>
                    <w:vAlign w:val="center"/>
                  </w:tcPr>
                  <w:p w:rsidR="00B637B2" w:rsidRDefault="00B637B2" w:rsidP="00B637B2">
                    <w:pPr>
                      <w:jc w:val="right"/>
                      <w:rPr>
                        <w:szCs w:val="21"/>
                      </w:rPr>
                    </w:pPr>
                  </w:p>
                </w:tc>
                <w:tc>
                  <w:tcPr>
                    <w:tcW w:w="506" w:type="pct"/>
                    <w:tcBorders>
                      <w:top w:val="single" w:sz="4" w:space="0" w:color="auto"/>
                      <w:left w:val="single" w:sz="4" w:space="0" w:color="auto"/>
                      <w:bottom w:val="single" w:sz="4" w:space="0" w:color="auto"/>
                      <w:right w:val="single" w:sz="4" w:space="0" w:color="auto"/>
                    </w:tcBorders>
                    <w:vAlign w:val="center"/>
                  </w:tcPr>
                  <w:p w:rsidR="00B637B2" w:rsidRDefault="00B637B2" w:rsidP="00B637B2">
                    <w:pPr>
                      <w:jc w:val="right"/>
                      <w:rPr>
                        <w:szCs w:val="21"/>
                      </w:rPr>
                    </w:pPr>
                  </w:p>
                </w:tc>
                <w:tc>
                  <w:tcPr>
                    <w:tcW w:w="692" w:type="pct"/>
                    <w:tcBorders>
                      <w:top w:val="single" w:sz="4" w:space="0" w:color="auto"/>
                      <w:left w:val="single" w:sz="4" w:space="0" w:color="auto"/>
                      <w:bottom w:val="single" w:sz="4" w:space="0" w:color="auto"/>
                      <w:right w:val="single" w:sz="4" w:space="0" w:color="auto"/>
                    </w:tcBorders>
                    <w:vAlign w:val="center"/>
                  </w:tcPr>
                  <w:p w:rsidR="00B637B2" w:rsidRPr="00273BCB" w:rsidRDefault="008F04CF" w:rsidP="00B637B2">
                    <w:pPr>
                      <w:jc w:val="right"/>
                    </w:pPr>
                    <w:r w:rsidRPr="00273BCB">
                      <w:t>3,150,000</w:t>
                    </w:r>
                  </w:p>
                </w:tc>
                <w:tc>
                  <w:tcPr>
                    <w:tcW w:w="696" w:type="pct"/>
                    <w:tcBorders>
                      <w:top w:val="single" w:sz="4" w:space="0" w:color="auto"/>
                      <w:left w:val="single" w:sz="4" w:space="0" w:color="auto"/>
                      <w:bottom w:val="single" w:sz="4" w:space="0" w:color="auto"/>
                      <w:right w:val="single" w:sz="4" w:space="0" w:color="auto"/>
                    </w:tcBorders>
                  </w:tcPr>
                  <w:p w:rsidR="00B637B2" w:rsidRDefault="008F04CF" w:rsidP="00B637B2">
                    <w:pPr>
                      <w:rPr>
                        <w:szCs w:val="21"/>
                      </w:rPr>
                    </w:pPr>
                    <w:r>
                      <w:t>与收益相关</w:t>
                    </w:r>
                  </w:p>
                </w:tc>
              </w:tr>
            </w:sdtContent>
          </w:sdt>
          <w:sdt>
            <w:sdtPr>
              <w:rPr>
                <w:rFonts w:asciiTheme="minorHAnsi" w:eastAsiaTheme="minorEastAsia" w:hAnsiTheme="minorHAnsi" w:cstheme="minorBidi"/>
                <w:kern w:val="2"/>
                <w:szCs w:val="21"/>
              </w:rPr>
              <w:alias w:val="涉及政府补助的负债项目明细"/>
              <w:tag w:val="_GBC_57fa178d03fa46a3befea9bbb3ebc131"/>
              <w:id w:val="1772354946"/>
              <w:lock w:val="sdtLocked"/>
            </w:sdtPr>
            <w:sdtContent>
              <w:tr w:rsidR="00B637B2" w:rsidTr="00B637B2">
                <w:trPr>
                  <w:jc w:val="center"/>
                </w:trPr>
                <w:tc>
                  <w:tcPr>
                    <w:tcW w:w="551" w:type="pct"/>
                    <w:tcBorders>
                      <w:top w:val="single" w:sz="4" w:space="0" w:color="auto"/>
                      <w:left w:val="single" w:sz="4" w:space="0" w:color="auto"/>
                      <w:bottom w:val="single" w:sz="4" w:space="0" w:color="auto"/>
                      <w:right w:val="single" w:sz="4" w:space="0" w:color="auto"/>
                    </w:tcBorders>
                    <w:vAlign w:val="center"/>
                  </w:tcPr>
                  <w:p w:rsidR="00B637B2" w:rsidRDefault="008F04CF" w:rsidP="00B637B2">
                    <w:pPr>
                      <w:rPr>
                        <w:szCs w:val="21"/>
                      </w:rPr>
                    </w:pPr>
                    <w:r>
                      <w:t>用友精智工业互联网平台建设</w:t>
                    </w:r>
                  </w:p>
                </w:tc>
                <w:tc>
                  <w:tcPr>
                    <w:tcW w:w="630" w:type="pct"/>
                    <w:tcBorders>
                      <w:top w:val="single" w:sz="4" w:space="0" w:color="auto"/>
                      <w:left w:val="single" w:sz="4" w:space="0" w:color="auto"/>
                      <w:bottom w:val="single" w:sz="4" w:space="0" w:color="auto"/>
                      <w:right w:val="single" w:sz="4" w:space="0" w:color="auto"/>
                    </w:tcBorders>
                    <w:vAlign w:val="center"/>
                  </w:tcPr>
                  <w:p w:rsidR="00B637B2" w:rsidRPr="001E34CA" w:rsidRDefault="008F04CF" w:rsidP="00B637B2">
                    <w:pPr>
                      <w:jc w:val="right"/>
                    </w:pPr>
                    <w:r w:rsidRPr="001E34CA">
                      <w:t>3,266,667</w:t>
                    </w:r>
                  </w:p>
                </w:tc>
                <w:tc>
                  <w:tcPr>
                    <w:tcW w:w="629" w:type="pct"/>
                    <w:tcBorders>
                      <w:top w:val="single" w:sz="4" w:space="0" w:color="auto"/>
                      <w:left w:val="single" w:sz="4" w:space="0" w:color="auto"/>
                      <w:bottom w:val="single" w:sz="4" w:space="0" w:color="auto"/>
                      <w:right w:val="single" w:sz="4" w:space="0" w:color="auto"/>
                    </w:tcBorders>
                    <w:vAlign w:val="center"/>
                  </w:tcPr>
                  <w:p w:rsidR="00B637B2" w:rsidRDefault="00B637B2" w:rsidP="00B637B2">
                    <w:pPr>
                      <w:jc w:val="right"/>
                      <w:rPr>
                        <w:szCs w:val="21"/>
                      </w:rPr>
                    </w:pPr>
                  </w:p>
                </w:tc>
                <w:tc>
                  <w:tcPr>
                    <w:tcW w:w="517" w:type="pct"/>
                    <w:tcBorders>
                      <w:top w:val="single" w:sz="4" w:space="0" w:color="auto"/>
                      <w:left w:val="single" w:sz="4" w:space="0" w:color="auto"/>
                      <w:bottom w:val="single" w:sz="4" w:space="0" w:color="auto"/>
                      <w:right w:val="single" w:sz="4" w:space="0" w:color="auto"/>
                    </w:tcBorders>
                    <w:vAlign w:val="center"/>
                  </w:tcPr>
                  <w:p w:rsidR="00B637B2" w:rsidRPr="00AC5E6E" w:rsidRDefault="00B637B2" w:rsidP="00B637B2">
                    <w:pPr>
                      <w:jc w:val="right"/>
                    </w:pPr>
                  </w:p>
                </w:tc>
                <w:tc>
                  <w:tcPr>
                    <w:tcW w:w="779" w:type="pct"/>
                    <w:tcBorders>
                      <w:top w:val="single" w:sz="4" w:space="0" w:color="auto"/>
                      <w:left w:val="single" w:sz="4" w:space="0" w:color="auto"/>
                      <w:bottom w:val="single" w:sz="4" w:space="0" w:color="auto"/>
                      <w:right w:val="single" w:sz="4" w:space="0" w:color="auto"/>
                    </w:tcBorders>
                    <w:vAlign w:val="center"/>
                  </w:tcPr>
                  <w:p w:rsidR="00B637B2" w:rsidRDefault="00B637B2" w:rsidP="00B637B2">
                    <w:pPr>
                      <w:jc w:val="right"/>
                      <w:rPr>
                        <w:szCs w:val="21"/>
                      </w:rPr>
                    </w:pPr>
                  </w:p>
                </w:tc>
                <w:tc>
                  <w:tcPr>
                    <w:tcW w:w="506" w:type="pct"/>
                    <w:tcBorders>
                      <w:top w:val="single" w:sz="4" w:space="0" w:color="auto"/>
                      <w:left w:val="single" w:sz="4" w:space="0" w:color="auto"/>
                      <w:bottom w:val="single" w:sz="4" w:space="0" w:color="auto"/>
                      <w:right w:val="single" w:sz="4" w:space="0" w:color="auto"/>
                    </w:tcBorders>
                    <w:vAlign w:val="center"/>
                  </w:tcPr>
                  <w:p w:rsidR="00B637B2" w:rsidRDefault="00B637B2" w:rsidP="00B637B2">
                    <w:pPr>
                      <w:jc w:val="right"/>
                      <w:rPr>
                        <w:szCs w:val="21"/>
                      </w:rPr>
                    </w:pPr>
                  </w:p>
                </w:tc>
                <w:tc>
                  <w:tcPr>
                    <w:tcW w:w="692" w:type="pct"/>
                    <w:tcBorders>
                      <w:top w:val="single" w:sz="4" w:space="0" w:color="auto"/>
                      <w:left w:val="single" w:sz="4" w:space="0" w:color="auto"/>
                      <w:bottom w:val="single" w:sz="4" w:space="0" w:color="auto"/>
                      <w:right w:val="single" w:sz="4" w:space="0" w:color="auto"/>
                    </w:tcBorders>
                    <w:vAlign w:val="center"/>
                  </w:tcPr>
                  <w:p w:rsidR="00B637B2" w:rsidRPr="00273BCB" w:rsidRDefault="008F04CF" w:rsidP="00B637B2">
                    <w:pPr>
                      <w:jc w:val="right"/>
                    </w:pPr>
                    <w:r w:rsidRPr="00273BCB">
                      <w:t>3,266,667</w:t>
                    </w:r>
                  </w:p>
                </w:tc>
                <w:tc>
                  <w:tcPr>
                    <w:tcW w:w="696" w:type="pct"/>
                    <w:tcBorders>
                      <w:top w:val="single" w:sz="4" w:space="0" w:color="auto"/>
                      <w:left w:val="single" w:sz="4" w:space="0" w:color="auto"/>
                      <w:bottom w:val="single" w:sz="4" w:space="0" w:color="auto"/>
                      <w:right w:val="single" w:sz="4" w:space="0" w:color="auto"/>
                    </w:tcBorders>
                  </w:tcPr>
                  <w:p w:rsidR="00B637B2" w:rsidRDefault="008F04CF" w:rsidP="00B637B2">
                    <w:pPr>
                      <w:rPr>
                        <w:szCs w:val="21"/>
                      </w:rPr>
                    </w:pPr>
                    <w:r>
                      <w:t>与收益相关</w:t>
                    </w:r>
                  </w:p>
                </w:tc>
              </w:tr>
            </w:sdtContent>
          </w:sdt>
          <w:sdt>
            <w:sdtPr>
              <w:rPr>
                <w:rFonts w:asciiTheme="minorHAnsi" w:eastAsiaTheme="minorEastAsia" w:hAnsiTheme="minorHAnsi" w:cstheme="minorBidi"/>
                <w:kern w:val="2"/>
                <w:szCs w:val="21"/>
              </w:rPr>
              <w:alias w:val="涉及政府补助的负债项目明细"/>
              <w:tag w:val="_GBC_57fa178d03fa46a3befea9bbb3ebc131"/>
              <w:id w:val="-1014763109"/>
              <w:lock w:val="sdtLocked"/>
            </w:sdtPr>
            <w:sdtContent>
              <w:tr w:rsidR="00B637B2" w:rsidTr="00B637B2">
                <w:trPr>
                  <w:jc w:val="center"/>
                </w:trPr>
                <w:tc>
                  <w:tcPr>
                    <w:tcW w:w="551" w:type="pct"/>
                    <w:tcBorders>
                      <w:top w:val="single" w:sz="4" w:space="0" w:color="auto"/>
                      <w:left w:val="single" w:sz="4" w:space="0" w:color="auto"/>
                      <w:bottom w:val="single" w:sz="4" w:space="0" w:color="auto"/>
                      <w:right w:val="single" w:sz="4" w:space="0" w:color="auto"/>
                    </w:tcBorders>
                    <w:vAlign w:val="center"/>
                  </w:tcPr>
                  <w:p w:rsidR="00B637B2" w:rsidRDefault="008F04CF" w:rsidP="00B637B2">
                    <w:pPr>
                      <w:rPr>
                        <w:szCs w:val="21"/>
                      </w:rPr>
                    </w:pPr>
                    <w:r>
                      <w:t>再生能源节能补助</w:t>
                    </w:r>
                  </w:p>
                </w:tc>
                <w:tc>
                  <w:tcPr>
                    <w:tcW w:w="630" w:type="pct"/>
                    <w:tcBorders>
                      <w:top w:val="single" w:sz="4" w:space="0" w:color="auto"/>
                      <w:left w:val="single" w:sz="4" w:space="0" w:color="auto"/>
                      <w:bottom w:val="single" w:sz="4" w:space="0" w:color="auto"/>
                      <w:right w:val="single" w:sz="4" w:space="0" w:color="auto"/>
                    </w:tcBorders>
                    <w:vAlign w:val="center"/>
                  </w:tcPr>
                  <w:p w:rsidR="00B637B2" w:rsidRPr="001E34CA" w:rsidRDefault="008F04CF" w:rsidP="00B637B2">
                    <w:pPr>
                      <w:jc w:val="right"/>
                    </w:pPr>
                    <w:r w:rsidRPr="001E34CA">
                      <w:t>1,621,811</w:t>
                    </w:r>
                  </w:p>
                </w:tc>
                <w:tc>
                  <w:tcPr>
                    <w:tcW w:w="629" w:type="pct"/>
                    <w:tcBorders>
                      <w:top w:val="single" w:sz="4" w:space="0" w:color="auto"/>
                      <w:left w:val="single" w:sz="4" w:space="0" w:color="auto"/>
                      <w:bottom w:val="single" w:sz="4" w:space="0" w:color="auto"/>
                      <w:right w:val="single" w:sz="4" w:space="0" w:color="auto"/>
                    </w:tcBorders>
                    <w:vAlign w:val="center"/>
                  </w:tcPr>
                  <w:p w:rsidR="00B637B2" w:rsidRDefault="00B637B2" w:rsidP="00B637B2">
                    <w:pPr>
                      <w:jc w:val="right"/>
                      <w:rPr>
                        <w:szCs w:val="21"/>
                      </w:rPr>
                    </w:pPr>
                  </w:p>
                </w:tc>
                <w:tc>
                  <w:tcPr>
                    <w:tcW w:w="517" w:type="pct"/>
                    <w:tcBorders>
                      <w:top w:val="single" w:sz="4" w:space="0" w:color="auto"/>
                      <w:left w:val="single" w:sz="4" w:space="0" w:color="auto"/>
                      <w:bottom w:val="single" w:sz="4" w:space="0" w:color="auto"/>
                      <w:right w:val="single" w:sz="4" w:space="0" w:color="auto"/>
                    </w:tcBorders>
                    <w:vAlign w:val="center"/>
                  </w:tcPr>
                  <w:p w:rsidR="00B637B2" w:rsidRPr="00AC5E6E" w:rsidRDefault="00B637B2" w:rsidP="00B637B2">
                    <w:pPr>
                      <w:jc w:val="right"/>
                    </w:pPr>
                  </w:p>
                </w:tc>
                <w:tc>
                  <w:tcPr>
                    <w:tcW w:w="779" w:type="pct"/>
                    <w:tcBorders>
                      <w:top w:val="single" w:sz="4" w:space="0" w:color="auto"/>
                      <w:left w:val="single" w:sz="4" w:space="0" w:color="auto"/>
                      <w:bottom w:val="single" w:sz="4" w:space="0" w:color="auto"/>
                      <w:right w:val="single" w:sz="4" w:space="0" w:color="auto"/>
                    </w:tcBorders>
                    <w:vAlign w:val="center"/>
                  </w:tcPr>
                  <w:p w:rsidR="00B637B2" w:rsidRDefault="00B637B2" w:rsidP="00B637B2">
                    <w:pPr>
                      <w:jc w:val="right"/>
                      <w:rPr>
                        <w:szCs w:val="21"/>
                      </w:rPr>
                    </w:pPr>
                  </w:p>
                </w:tc>
                <w:tc>
                  <w:tcPr>
                    <w:tcW w:w="506" w:type="pct"/>
                    <w:tcBorders>
                      <w:top w:val="single" w:sz="4" w:space="0" w:color="auto"/>
                      <w:left w:val="single" w:sz="4" w:space="0" w:color="auto"/>
                      <w:bottom w:val="single" w:sz="4" w:space="0" w:color="auto"/>
                      <w:right w:val="single" w:sz="4" w:space="0" w:color="auto"/>
                    </w:tcBorders>
                    <w:vAlign w:val="center"/>
                  </w:tcPr>
                  <w:p w:rsidR="00B637B2" w:rsidRDefault="00B637B2" w:rsidP="00B637B2">
                    <w:pPr>
                      <w:jc w:val="right"/>
                      <w:rPr>
                        <w:szCs w:val="21"/>
                      </w:rPr>
                    </w:pPr>
                  </w:p>
                </w:tc>
                <w:tc>
                  <w:tcPr>
                    <w:tcW w:w="692" w:type="pct"/>
                    <w:tcBorders>
                      <w:top w:val="single" w:sz="4" w:space="0" w:color="auto"/>
                      <w:left w:val="single" w:sz="4" w:space="0" w:color="auto"/>
                      <w:bottom w:val="single" w:sz="4" w:space="0" w:color="auto"/>
                      <w:right w:val="single" w:sz="4" w:space="0" w:color="auto"/>
                    </w:tcBorders>
                    <w:vAlign w:val="center"/>
                  </w:tcPr>
                  <w:p w:rsidR="00B637B2" w:rsidRPr="00273BCB" w:rsidRDefault="008F04CF" w:rsidP="00B637B2">
                    <w:pPr>
                      <w:jc w:val="right"/>
                    </w:pPr>
                    <w:r w:rsidRPr="00273BCB">
                      <w:t>1,621,811</w:t>
                    </w:r>
                  </w:p>
                </w:tc>
                <w:tc>
                  <w:tcPr>
                    <w:tcW w:w="696" w:type="pct"/>
                    <w:tcBorders>
                      <w:top w:val="single" w:sz="4" w:space="0" w:color="auto"/>
                      <w:left w:val="single" w:sz="4" w:space="0" w:color="auto"/>
                      <w:bottom w:val="single" w:sz="4" w:space="0" w:color="auto"/>
                      <w:right w:val="single" w:sz="4" w:space="0" w:color="auto"/>
                    </w:tcBorders>
                  </w:tcPr>
                  <w:p w:rsidR="00B637B2" w:rsidRDefault="008F04CF" w:rsidP="00B637B2">
                    <w:pPr>
                      <w:rPr>
                        <w:szCs w:val="21"/>
                      </w:rPr>
                    </w:pPr>
                    <w:r>
                      <w:t>与收益相关</w:t>
                    </w:r>
                  </w:p>
                </w:tc>
              </w:tr>
            </w:sdtContent>
          </w:sdt>
          <w:sdt>
            <w:sdtPr>
              <w:rPr>
                <w:rFonts w:asciiTheme="minorHAnsi" w:eastAsiaTheme="minorEastAsia" w:hAnsiTheme="minorHAnsi" w:cstheme="minorBidi"/>
                <w:kern w:val="2"/>
                <w:szCs w:val="21"/>
              </w:rPr>
              <w:alias w:val="涉及政府补助的负债项目明细"/>
              <w:tag w:val="_GBC_57fa178d03fa46a3befea9bbb3ebc131"/>
              <w:id w:val="952211254"/>
              <w:lock w:val="sdtLocked"/>
            </w:sdtPr>
            <w:sdtContent>
              <w:tr w:rsidR="00B637B2" w:rsidTr="00B637B2">
                <w:trPr>
                  <w:jc w:val="center"/>
                </w:trPr>
                <w:tc>
                  <w:tcPr>
                    <w:tcW w:w="551" w:type="pct"/>
                    <w:tcBorders>
                      <w:top w:val="single" w:sz="4" w:space="0" w:color="auto"/>
                      <w:left w:val="single" w:sz="4" w:space="0" w:color="auto"/>
                      <w:bottom w:val="single" w:sz="4" w:space="0" w:color="auto"/>
                      <w:right w:val="single" w:sz="4" w:space="0" w:color="auto"/>
                    </w:tcBorders>
                    <w:vAlign w:val="center"/>
                  </w:tcPr>
                  <w:p w:rsidR="00B637B2" w:rsidRDefault="008F04CF" w:rsidP="00B637B2">
                    <w:pPr>
                      <w:rPr>
                        <w:szCs w:val="21"/>
                      </w:rPr>
                    </w:pPr>
                    <w:r>
                      <w:t>2019年北京市高精尖产业发展专项</w:t>
                    </w:r>
                  </w:p>
                </w:tc>
                <w:tc>
                  <w:tcPr>
                    <w:tcW w:w="630" w:type="pct"/>
                    <w:tcBorders>
                      <w:top w:val="single" w:sz="4" w:space="0" w:color="auto"/>
                      <w:left w:val="single" w:sz="4" w:space="0" w:color="auto"/>
                      <w:bottom w:val="single" w:sz="4" w:space="0" w:color="auto"/>
                      <w:right w:val="single" w:sz="4" w:space="0" w:color="auto"/>
                    </w:tcBorders>
                    <w:vAlign w:val="center"/>
                  </w:tcPr>
                  <w:p w:rsidR="00B637B2" w:rsidRPr="001E34CA" w:rsidRDefault="00B637B2" w:rsidP="00B637B2">
                    <w:pPr>
                      <w:jc w:val="right"/>
                    </w:pPr>
                  </w:p>
                </w:tc>
                <w:tc>
                  <w:tcPr>
                    <w:tcW w:w="629" w:type="pct"/>
                    <w:tcBorders>
                      <w:top w:val="single" w:sz="4" w:space="0" w:color="auto"/>
                      <w:left w:val="single" w:sz="4" w:space="0" w:color="auto"/>
                      <w:bottom w:val="single" w:sz="4" w:space="0" w:color="auto"/>
                      <w:right w:val="single" w:sz="4" w:space="0" w:color="auto"/>
                    </w:tcBorders>
                    <w:vAlign w:val="center"/>
                  </w:tcPr>
                  <w:p w:rsidR="00B637B2" w:rsidRPr="001968CC" w:rsidRDefault="008F04CF" w:rsidP="00B637B2">
                    <w:pPr>
                      <w:jc w:val="right"/>
                    </w:pPr>
                    <w:r w:rsidRPr="001968CC">
                      <w:t>8,770,000</w:t>
                    </w:r>
                  </w:p>
                </w:tc>
                <w:tc>
                  <w:tcPr>
                    <w:tcW w:w="517" w:type="pct"/>
                    <w:tcBorders>
                      <w:top w:val="single" w:sz="4" w:space="0" w:color="auto"/>
                      <w:left w:val="single" w:sz="4" w:space="0" w:color="auto"/>
                      <w:bottom w:val="single" w:sz="4" w:space="0" w:color="auto"/>
                      <w:right w:val="single" w:sz="4" w:space="0" w:color="auto"/>
                    </w:tcBorders>
                    <w:vAlign w:val="center"/>
                  </w:tcPr>
                  <w:p w:rsidR="00B637B2" w:rsidRPr="00AC5E6E" w:rsidRDefault="00B637B2" w:rsidP="00B637B2">
                    <w:pPr>
                      <w:jc w:val="right"/>
                    </w:pPr>
                  </w:p>
                </w:tc>
                <w:tc>
                  <w:tcPr>
                    <w:tcW w:w="779" w:type="pct"/>
                    <w:tcBorders>
                      <w:top w:val="single" w:sz="4" w:space="0" w:color="auto"/>
                      <w:left w:val="single" w:sz="4" w:space="0" w:color="auto"/>
                      <w:bottom w:val="single" w:sz="4" w:space="0" w:color="auto"/>
                      <w:right w:val="single" w:sz="4" w:space="0" w:color="auto"/>
                    </w:tcBorders>
                    <w:vAlign w:val="center"/>
                  </w:tcPr>
                  <w:p w:rsidR="00B637B2" w:rsidRDefault="008F04CF" w:rsidP="00B637B2">
                    <w:pPr>
                      <w:jc w:val="right"/>
                      <w:rPr>
                        <w:szCs w:val="21"/>
                      </w:rPr>
                    </w:pPr>
                    <w:r w:rsidRPr="00AC5E6E">
                      <w:t>8,770,000</w:t>
                    </w:r>
                  </w:p>
                </w:tc>
                <w:tc>
                  <w:tcPr>
                    <w:tcW w:w="506" w:type="pct"/>
                    <w:tcBorders>
                      <w:top w:val="single" w:sz="4" w:space="0" w:color="auto"/>
                      <w:left w:val="single" w:sz="4" w:space="0" w:color="auto"/>
                      <w:bottom w:val="single" w:sz="4" w:space="0" w:color="auto"/>
                      <w:right w:val="single" w:sz="4" w:space="0" w:color="auto"/>
                    </w:tcBorders>
                    <w:vAlign w:val="center"/>
                  </w:tcPr>
                  <w:p w:rsidR="00B637B2" w:rsidRDefault="00B637B2" w:rsidP="00B637B2">
                    <w:pPr>
                      <w:jc w:val="right"/>
                      <w:rPr>
                        <w:szCs w:val="21"/>
                      </w:rPr>
                    </w:pPr>
                  </w:p>
                </w:tc>
                <w:tc>
                  <w:tcPr>
                    <w:tcW w:w="692" w:type="pct"/>
                    <w:tcBorders>
                      <w:top w:val="single" w:sz="4" w:space="0" w:color="auto"/>
                      <w:left w:val="single" w:sz="4" w:space="0" w:color="auto"/>
                      <w:bottom w:val="single" w:sz="4" w:space="0" w:color="auto"/>
                      <w:right w:val="single" w:sz="4" w:space="0" w:color="auto"/>
                    </w:tcBorders>
                    <w:vAlign w:val="center"/>
                  </w:tcPr>
                  <w:p w:rsidR="00B637B2" w:rsidRPr="00273BCB" w:rsidRDefault="008F04CF" w:rsidP="00B637B2">
                    <w:pPr>
                      <w:jc w:val="right"/>
                    </w:pPr>
                    <w:r w:rsidRPr="00273BCB">
                      <w:t>-</w:t>
                    </w:r>
                  </w:p>
                </w:tc>
                <w:tc>
                  <w:tcPr>
                    <w:tcW w:w="696" w:type="pct"/>
                    <w:tcBorders>
                      <w:top w:val="single" w:sz="4" w:space="0" w:color="auto"/>
                      <w:left w:val="single" w:sz="4" w:space="0" w:color="auto"/>
                      <w:bottom w:val="single" w:sz="4" w:space="0" w:color="auto"/>
                      <w:right w:val="single" w:sz="4" w:space="0" w:color="auto"/>
                    </w:tcBorders>
                  </w:tcPr>
                  <w:p w:rsidR="00B637B2" w:rsidRDefault="008F04CF" w:rsidP="00B637B2">
                    <w:pPr>
                      <w:rPr>
                        <w:szCs w:val="21"/>
                      </w:rPr>
                    </w:pPr>
                    <w:r>
                      <w:t>与收益相关</w:t>
                    </w:r>
                  </w:p>
                </w:tc>
              </w:tr>
            </w:sdtContent>
          </w:sdt>
          <w:sdt>
            <w:sdtPr>
              <w:rPr>
                <w:rFonts w:asciiTheme="minorHAnsi" w:eastAsiaTheme="minorEastAsia" w:hAnsiTheme="minorHAnsi" w:cstheme="minorBidi"/>
                <w:kern w:val="2"/>
                <w:szCs w:val="21"/>
              </w:rPr>
              <w:alias w:val="涉及政府补助的负债项目明细"/>
              <w:tag w:val="_GBC_57fa178d03fa46a3befea9bbb3ebc131"/>
              <w:id w:val="1552114589"/>
              <w:lock w:val="sdtLocked"/>
            </w:sdtPr>
            <w:sdtContent>
              <w:tr w:rsidR="00B637B2" w:rsidTr="00B637B2">
                <w:trPr>
                  <w:jc w:val="center"/>
                </w:trPr>
                <w:tc>
                  <w:tcPr>
                    <w:tcW w:w="551" w:type="pct"/>
                    <w:tcBorders>
                      <w:top w:val="single" w:sz="4" w:space="0" w:color="auto"/>
                      <w:left w:val="single" w:sz="4" w:space="0" w:color="auto"/>
                      <w:bottom w:val="single" w:sz="4" w:space="0" w:color="auto"/>
                      <w:right w:val="single" w:sz="4" w:space="0" w:color="auto"/>
                    </w:tcBorders>
                    <w:vAlign w:val="center"/>
                  </w:tcPr>
                  <w:p w:rsidR="00B637B2" w:rsidRDefault="008F04CF" w:rsidP="00B637B2">
                    <w:pPr>
                      <w:rPr>
                        <w:szCs w:val="21"/>
                      </w:rPr>
                    </w:pPr>
                    <w:r>
                      <w:t>用友精智工业互联网平台研发与产业化推广</w:t>
                    </w:r>
                  </w:p>
                </w:tc>
                <w:tc>
                  <w:tcPr>
                    <w:tcW w:w="630" w:type="pct"/>
                    <w:tcBorders>
                      <w:top w:val="single" w:sz="4" w:space="0" w:color="auto"/>
                      <w:left w:val="single" w:sz="4" w:space="0" w:color="auto"/>
                      <w:bottom w:val="single" w:sz="4" w:space="0" w:color="auto"/>
                      <w:right w:val="single" w:sz="4" w:space="0" w:color="auto"/>
                    </w:tcBorders>
                    <w:vAlign w:val="center"/>
                  </w:tcPr>
                  <w:p w:rsidR="00B637B2" w:rsidRPr="001E34CA" w:rsidRDefault="00B637B2" w:rsidP="00B637B2">
                    <w:pPr>
                      <w:jc w:val="right"/>
                    </w:pPr>
                  </w:p>
                </w:tc>
                <w:tc>
                  <w:tcPr>
                    <w:tcW w:w="629" w:type="pct"/>
                    <w:tcBorders>
                      <w:top w:val="single" w:sz="4" w:space="0" w:color="auto"/>
                      <w:left w:val="single" w:sz="4" w:space="0" w:color="auto"/>
                      <w:bottom w:val="single" w:sz="4" w:space="0" w:color="auto"/>
                      <w:right w:val="single" w:sz="4" w:space="0" w:color="auto"/>
                    </w:tcBorders>
                    <w:vAlign w:val="center"/>
                  </w:tcPr>
                  <w:p w:rsidR="00B637B2" w:rsidRDefault="008F04CF" w:rsidP="00B637B2">
                    <w:pPr>
                      <w:jc w:val="right"/>
                    </w:pPr>
                    <w:r w:rsidRPr="001968CC">
                      <w:t>10,000,000</w:t>
                    </w:r>
                  </w:p>
                </w:tc>
                <w:tc>
                  <w:tcPr>
                    <w:tcW w:w="517" w:type="pct"/>
                    <w:tcBorders>
                      <w:top w:val="single" w:sz="4" w:space="0" w:color="auto"/>
                      <w:left w:val="single" w:sz="4" w:space="0" w:color="auto"/>
                      <w:bottom w:val="single" w:sz="4" w:space="0" w:color="auto"/>
                      <w:right w:val="single" w:sz="4" w:space="0" w:color="auto"/>
                    </w:tcBorders>
                    <w:vAlign w:val="center"/>
                  </w:tcPr>
                  <w:p w:rsidR="00B637B2" w:rsidRPr="00AC5E6E" w:rsidRDefault="00B637B2" w:rsidP="00B637B2">
                    <w:pPr>
                      <w:jc w:val="right"/>
                    </w:pPr>
                  </w:p>
                </w:tc>
                <w:tc>
                  <w:tcPr>
                    <w:tcW w:w="779" w:type="pct"/>
                    <w:tcBorders>
                      <w:top w:val="single" w:sz="4" w:space="0" w:color="auto"/>
                      <w:left w:val="single" w:sz="4" w:space="0" w:color="auto"/>
                      <w:bottom w:val="single" w:sz="4" w:space="0" w:color="auto"/>
                      <w:right w:val="single" w:sz="4" w:space="0" w:color="auto"/>
                    </w:tcBorders>
                    <w:vAlign w:val="center"/>
                  </w:tcPr>
                  <w:p w:rsidR="00B637B2" w:rsidRDefault="008F04CF" w:rsidP="00B637B2">
                    <w:pPr>
                      <w:jc w:val="right"/>
                      <w:rPr>
                        <w:szCs w:val="21"/>
                      </w:rPr>
                    </w:pPr>
                    <w:r w:rsidRPr="00AC5E6E">
                      <w:t>10,000,000</w:t>
                    </w:r>
                  </w:p>
                </w:tc>
                <w:tc>
                  <w:tcPr>
                    <w:tcW w:w="506" w:type="pct"/>
                    <w:tcBorders>
                      <w:top w:val="single" w:sz="4" w:space="0" w:color="auto"/>
                      <w:left w:val="single" w:sz="4" w:space="0" w:color="auto"/>
                      <w:bottom w:val="single" w:sz="4" w:space="0" w:color="auto"/>
                      <w:right w:val="single" w:sz="4" w:space="0" w:color="auto"/>
                    </w:tcBorders>
                    <w:vAlign w:val="center"/>
                  </w:tcPr>
                  <w:p w:rsidR="00B637B2" w:rsidRDefault="00B637B2" w:rsidP="00B637B2">
                    <w:pPr>
                      <w:jc w:val="right"/>
                      <w:rPr>
                        <w:szCs w:val="21"/>
                      </w:rPr>
                    </w:pPr>
                  </w:p>
                </w:tc>
                <w:tc>
                  <w:tcPr>
                    <w:tcW w:w="692" w:type="pct"/>
                    <w:tcBorders>
                      <w:top w:val="single" w:sz="4" w:space="0" w:color="auto"/>
                      <w:left w:val="single" w:sz="4" w:space="0" w:color="auto"/>
                      <w:bottom w:val="single" w:sz="4" w:space="0" w:color="auto"/>
                      <w:right w:val="single" w:sz="4" w:space="0" w:color="auto"/>
                    </w:tcBorders>
                    <w:vAlign w:val="center"/>
                  </w:tcPr>
                  <w:p w:rsidR="00B637B2" w:rsidRPr="00273BCB" w:rsidRDefault="008F04CF" w:rsidP="00B637B2">
                    <w:pPr>
                      <w:jc w:val="right"/>
                    </w:pPr>
                    <w:r w:rsidRPr="00273BCB">
                      <w:t>-</w:t>
                    </w:r>
                  </w:p>
                </w:tc>
                <w:tc>
                  <w:tcPr>
                    <w:tcW w:w="696" w:type="pct"/>
                    <w:tcBorders>
                      <w:top w:val="single" w:sz="4" w:space="0" w:color="auto"/>
                      <w:left w:val="single" w:sz="4" w:space="0" w:color="auto"/>
                      <w:bottom w:val="single" w:sz="4" w:space="0" w:color="auto"/>
                      <w:right w:val="single" w:sz="4" w:space="0" w:color="auto"/>
                    </w:tcBorders>
                  </w:tcPr>
                  <w:p w:rsidR="00B637B2" w:rsidRDefault="008F04CF" w:rsidP="00B637B2">
                    <w:pPr>
                      <w:rPr>
                        <w:szCs w:val="21"/>
                      </w:rPr>
                    </w:pPr>
                    <w:r>
                      <w:t>与收益相关</w:t>
                    </w:r>
                  </w:p>
                </w:tc>
              </w:tr>
            </w:sdtContent>
          </w:sdt>
          <w:sdt>
            <w:sdtPr>
              <w:rPr>
                <w:rFonts w:asciiTheme="minorHAnsi" w:eastAsiaTheme="minorEastAsia" w:hAnsiTheme="minorHAnsi" w:cstheme="minorBidi"/>
                <w:kern w:val="2"/>
                <w:szCs w:val="21"/>
              </w:rPr>
              <w:alias w:val="涉及政府补助的负债项目明细"/>
              <w:tag w:val="_GBC_57fa178d03fa46a3befea9bbb3ebc131"/>
              <w:id w:val="-585698470"/>
              <w:lock w:val="sdtLocked"/>
            </w:sdtPr>
            <w:sdtContent>
              <w:tr w:rsidR="00B637B2" w:rsidRPr="00C64605" w:rsidTr="00B637B2">
                <w:trPr>
                  <w:jc w:val="center"/>
                </w:trPr>
                <w:tc>
                  <w:tcPr>
                    <w:tcW w:w="551" w:type="pct"/>
                    <w:tcBorders>
                      <w:top w:val="single" w:sz="4" w:space="0" w:color="auto"/>
                      <w:left w:val="single" w:sz="4" w:space="0" w:color="auto"/>
                      <w:bottom w:val="single" w:sz="4" w:space="0" w:color="auto"/>
                      <w:right w:val="single" w:sz="4" w:space="0" w:color="auto"/>
                    </w:tcBorders>
                    <w:vAlign w:val="center"/>
                  </w:tcPr>
                  <w:p w:rsidR="00B637B2" w:rsidRDefault="008F04CF" w:rsidP="00B637B2">
                    <w:pPr>
                      <w:rPr>
                        <w:szCs w:val="21"/>
                      </w:rPr>
                    </w:pPr>
                    <w:r>
                      <w:t>其他</w:t>
                    </w:r>
                  </w:p>
                </w:tc>
                <w:tc>
                  <w:tcPr>
                    <w:tcW w:w="630" w:type="pct"/>
                    <w:tcBorders>
                      <w:top w:val="single" w:sz="4" w:space="0" w:color="auto"/>
                      <w:left w:val="single" w:sz="4" w:space="0" w:color="auto"/>
                      <w:bottom w:val="single" w:sz="4" w:space="0" w:color="auto"/>
                      <w:right w:val="single" w:sz="4" w:space="0" w:color="auto"/>
                    </w:tcBorders>
                    <w:vAlign w:val="center"/>
                  </w:tcPr>
                  <w:p w:rsidR="00B637B2" w:rsidRDefault="008F04CF" w:rsidP="00B637B2">
                    <w:pPr>
                      <w:jc w:val="right"/>
                      <w:rPr>
                        <w:szCs w:val="21"/>
                      </w:rPr>
                    </w:pPr>
                    <w:r w:rsidRPr="00CE2FA5">
                      <w:rPr>
                        <w:szCs w:val="21"/>
                      </w:rPr>
                      <w:t>2,388,450</w:t>
                    </w:r>
                  </w:p>
                </w:tc>
                <w:tc>
                  <w:tcPr>
                    <w:tcW w:w="629" w:type="pct"/>
                    <w:tcBorders>
                      <w:top w:val="single" w:sz="4" w:space="0" w:color="auto"/>
                      <w:left w:val="single" w:sz="4" w:space="0" w:color="auto"/>
                      <w:bottom w:val="single" w:sz="4" w:space="0" w:color="auto"/>
                      <w:right w:val="single" w:sz="4" w:space="0" w:color="auto"/>
                    </w:tcBorders>
                    <w:vAlign w:val="center"/>
                  </w:tcPr>
                  <w:p w:rsidR="00B637B2" w:rsidRDefault="00B637B2" w:rsidP="00B637B2">
                    <w:pPr>
                      <w:jc w:val="right"/>
                      <w:rPr>
                        <w:szCs w:val="21"/>
                      </w:rPr>
                    </w:pPr>
                  </w:p>
                </w:tc>
                <w:tc>
                  <w:tcPr>
                    <w:tcW w:w="517" w:type="pct"/>
                    <w:tcBorders>
                      <w:top w:val="single" w:sz="4" w:space="0" w:color="auto"/>
                      <w:left w:val="single" w:sz="4" w:space="0" w:color="auto"/>
                      <w:bottom w:val="single" w:sz="4" w:space="0" w:color="auto"/>
                      <w:right w:val="single" w:sz="4" w:space="0" w:color="auto"/>
                    </w:tcBorders>
                    <w:vAlign w:val="center"/>
                  </w:tcPr>
                  <w:p w:rsidR="00B637B2" w:rsidRDefault="00B637B2" w:rsidP="00B637B2">
                    <w:pPr>
                      <w:jc w:val="right"/>
                    </w:pPr>
                  </w:p>
                </w:tc>
                <w:tc>
                  <w:tcPr>
                    <w:tcW w:w="779" w:type="pct"/>
                    <w:tcBorders>
                      <w:top w:val="single" w:sz="4" w:space="0" w:color="auto"/>
                      <w:left w:val="single" w:sz="4" w:space="0" w:color="auto"/>
                      <w:bottom w:val="single" w:sz="4" w:space="0" w:color="auto"/>
                      <w:right w:val="single" w:sz="4" w:space="0" w:color="auto"/>
                    </w:tcBorders>
                    <w:vAlign w:val="center"/>
                  </w:tcPr>
                  <w:p w:rsidR="00B637B2" w:rsidRDefault="008F04CF" w:rsidP="00B637B2">
                    <w:pPr>
                      <w:jc w:val="right"/>
                      <w:rPr>
                        <w:szCs w:val="21"/>
                      </w:rPr>
                    </w:pPr>
                    <w:r w:rsidRPr="00AC5E6E">
                      <w:t>168,749</w:t>
                    </w:r>
                  </w:p>
                </w:tc>
                <w:tc>
                  <w:tcPr>
                    <w:tcW w:w="506" w:type="pct"/>
                    <w:tcBorders>
                      <w:top w:val="single" w:sz="4" w:space="0" w:color="auto"/>
                      <w:left w:val="single" w:sz="4" w:space="0" w:color="auto"/>
                      <w:bottom w:val="single" w:sz="4" w:space="0" w:color="auto"/>
                      <w:right w:val="single" w:sz="4" w:space="0" w:color="auto"/>
                    </w:tcBorders>
                    <w:vAlign w:val="center"/>
                  </w:tcPr>
                  <w:p w:rsidR="00B637B2" w:rsidRDefault="00B637B2" w:rsidP="00B637B2">
                    <w:pPr>
                      <w:jc w:val="right"/>
                      <w:rPr>
                        <w:szCs w:val="21"/>
                      </w:rPr>
                    </w:pPr>
                  </w:p>
                </w:tc>
                <w:tc>
                  <w:tcPr>
                    <w:tcW w:w="692" w:type="pct"/>
                    <w:tcBorders>
                      <w:top w:val="single" w:sz="4" w:space="0" w:color="auto"/>
                      <w:left w:val="single" w:sz="4" w:space="0" w:color="auto"/>
                      <w:bottom w:val="single" w:sz="4" w:space="0" w:color="auto"/>
                      <w:right w:val="single" w:sz="4" w:space="0" w:color="auto"/>
                    </w:tcBorders>
                    <w:vAlign w:val="center"/>
                  </w:tcPr>
                  <w:p w:rsidR="00B637B2" w:rsidRDefault="008F04CF" w:rsidP="00B637B2">
                    <w:pPr>
                      <w:jc w:val="right"/>
                    </w:pPr>
                    <w:r>
                      <w:t xml:space="preserve"> </w:t>
                    </w:r>
                    <w:r w:rsidRPr="00273BCB">
                      <w:t>2,219,701</w:t>
                    </w:r>
                  </w:p>
                </w:tc>
                <w:tc>
                  <w:tcPr>
                    <w:tcW w:w="696" w:type="pct"/>
                    <w:tcBorders>
                      <w:top w:val="single" w:sz="4" w:space="0" w:color="auto"/>
                      <w:left w:val="single" w:sz="4" w:space="0" w:color="auto"/>
                      <w:bottom w:val="single" w:sz="4" w:space="0" w:color="auto"/>
                      <w:right w:val="single" w:sz="4" w:space="0" w:color="auto"/>
                    </w:tcBorders>
                  </w:tcPr>
                  <w:p w:rsidR="00B637B2" w:rsidRDefault="008F04CF" w:rsidP="00B637B2">
                    <w:pPr>
                      <w:rPr>
                        <w:szCs w:val="21"/>
                      </w:rPr>
                    </w:pPr>
                    <w:r>
                      <w:t>与收益相关</w:t>
                    </w:r>
                  </w:p>
                </w:tc>
              </w:tr>
            </w:sdtContent>
          </w:sdt>
          <w:sdt>
            <w:sdtPr>
              <w:rPr>
                <w:rFonts w:asciiTheme="minorHAnsi" w:eastAsiaTheme="minorEastAsia" w:hAnsiTheme="minorHAnsi" w:cstheme="minorBidi"/>
                <w:kern w:val="2"/>
                <w:szCs w:val="21"/>
              </w:rPr>
              <w:alias w:val="涉及政府补助的负债项目明细"/>
              <w:tag w:val="_GBC_57fa178d03fa46a3befea9bbb3ebc131"/>
              <w:id w:val="897015035"/>
              <w:lock w:val="sdtLocked"/>
            </w:sdtPr>
            <w:sdtContent>
              <w:tr w:rsidR="00B637B2" w:rsidRPr="00C64605" w:rsidTr="00B637B2">
                <w:trPr>
                  <w:jc w:val="center"/>
                </w:trPr>
                <w:tc>
                  <w:tcPr>
                    <w:tcW w:w="551" w:type="pct"/>
                    <w:tcBorders>
                      <w:top w:val="single" w:sz="4" w:space="0" w:color="auto"/>
                      <w:left w:val="single" w:sz="4" w:space="0" w:color="auto"/>
                      <w:bottom w:val="single" w:sz="4" w:space="0" w:color="auto"/>
                      <w:right w:val="single" w:sz="4" w:space="0" w:color="auto"/>
                    </w:tcBorders>
                    <w:vAlign w:val="center"/>
                  </w:tcPr>
                  <w:p w:rsidR="00B637B2" w:rsidRDefault="008F04CF" w:rsidP="00B637B2">
                    <w:pPr>
                      <w:rPr>
                        <w:szCs w:val="21"/>
                      </w:rPr>
                    </w:pPr>
                    <w:r>
                      <w:rPr>
                        <w:rFonts w:asciiTheme="minorHAnsi" w:eastAsiaTheme="minorEastAsia" w:hAnsiTheme="minorHAnsi" w:cstheme="minorBidi" w:hint="eastAsia"/>
                        <w:kern w:val="2"/>
                        <w:szCs w:val="21"/>
                      </w:rPr>
                      <w:t>合计</w:t>
                    </w:r>
                  </w:p>
                </w:tc>
                <w:tc>
                  <w:tcPr>
                    <w:tcW w:w="630" w:type="pct"/>
                    <w:tcBorders>
                      <w:top w:val="single" w:sz="4" w:space="0" w:color="auto"/>
                      <w:left w:val="single" w:sz="4" w:space="0" w:color="auto"/>
                      <w:bottom w:val="single" w:sz="4" w:space="0" w:color="auto"/>
                      <w:right w:val="single" w:sz="4" w:space="0" w:color="auto"/>
                    </w:tcBorders>
                    <w:vAlign w:val="center"/>
                  </w:tcPr>
                  <w:p w:rsidR="00B637B2" w:rsidRDefault="008F04CF" w:rsidP="00B637B2">
                    <w:pPr>
                      <w:jc w:val="right"/>
                      <w:rPr>
                        <w:szCs w:val="21"/>
                      </w:rPr>
                    </w:pPr>
                    <w:r w:rsidRPr="0095019A">
                      <w:rPr>
                        <w:szCs w:val="21"/>
                      </w:rPr>
                      <w:t>55,426,928</w:t>
                    </w:r>
                  </w:p>
                </w:tc>
                <w:tc>
                  <w:tcPr>
                    <w:tcW w:w="629" w:type="pct"/>
                    <w:tcBorders>
                      <w:top w:val="single" w:sz="4" w:space="0" w:color="auto"/>
                      <w:left w:val="single" w:sz="4" w:space="0" w:color="auto"/>
                      <w:bottom w:val="single" w:sz="4" w:space="0" w:color="auto"/>
                      <w:right w:val="single" w:sz="4" w:space="0" w:color="auto"/>
                    </w:tcBorders>
                    <w:vAlign w:val="center"/>
                  </w:tcPr>
                  <w:p w:rsidR="00B637B2" w:rsidRDefault="008F04CF" w:rsidP="00B637B2">
                    <w:pPr>
                      <w:jc w:val="right"/>
                      <w:rPr>
                        <w:szCs w:val="21"/>
                      </w:rPr>
                    </w:pPr>
                    <w:r w:rsidRPr="0095019A">
                      <w:rPr>
                        <w:szCs w:val="21"/>
                      </w:rPr>
                      <w:t>18,770,000</w:t>
                    </w:r>
                  </w:p>
                </w:tc>
                <w:tc>
                  <w:tcPr>
                    <w:tcW w:w="517" w:type="pct"/>
                    <w:tcBorders>
                      <w:top w:val="single" w:sz="4" w:space="0" w:color="auto"/>
                      <w:left w:val="single" w:sz="4" w:space="0" w:color="auto"/>
                      <w:bottom w:val="single" w:sz="4" w:space="0" w:color="auto"/>
                      <w:right w:val="single" w:sz="4" w:space="0" w:color="auto"/>
                    </w:tcBorders>
                    <w:vAlign w:val="center"/>
                  </w:tcPr>
                  <w:p w:rsidR="00B637B2" w:rsidRDefault="008F04CF" w:rsidP="00B637B2">
                    <w:pPr>
                      <w:jc w:val="right"/>
                    </w:pPr>
                    <w:r>
                      <w:rPr>
                        <w:rFonts w:hint="eastAsia"/>
                      </w:rPr>
                      <w:t>-</w:t>
                    </w:r>
                  </w:p>
                </w:tc>
                <w:tc>
                  <w:tcPr>
                    <w:tcW w:w="779" w:type="pct"/>
                    <w:tcBorders>
                      <w:top w:val="single" w:sz="4" w:space="0" w:color="auto"/>
                      <w:left w:val="single" w:sz="4" w:space="0" w:color="auto"/>
                      <w:bottom w:val="single" w:sz="4" w:space="0" w:color="auto"/>
                      <w:right w:val="single" w:sz="4" w:space="0" w:color="auto"/>
                    </w:tcBorders>
                    <w:vAlign w:val="center"/>
                  </w:tcPr>
                  <w:p w:rsidR="00B637B2" w:rsidRDefault="008F04CF" w:rsidP="00B637B2">
                    <w:pPr>
                      <w:jc w:val="right"/>
                      <w:rPr>
                        <w:szCs w:val="21"/>
                      </w:rPr>
                    </w:pPr>
                    <w:r w:rsidRPr="0095019A">
                      <w:rPr>
                        <w:szCs w:val="21"/>
                      </w:rPr>
                      <w:t>22,938,749</w:t>
                    </w:r>
                  </w:p>
                </w:tc>
                <w:tc>
                  <w:tcPr>
                    <w:tcW w:w="506" w:type="pct"/>
                    <w:tcBorders>
                      <w:top w:val="single" w:sz="4" w:space="0" w:color="auto"/>
                      <w:left w:val="single" w:sz="4" w:space="0" w:color="auto"/>
                      <w:bottom w:val="single" w:sz="4" w:space="0" w:color="auto"/>
                      <w:right w:val="single" w:sz="4" w:space="0" w:color="auto"/>
                    </w:tcBorders>
                    <w:vAlign w:val="center"/>
                  </w:tcPr>
                  <w:p w:rsidR="00B637B2" w:rsidRDefault="008F04CF" w:rsidP="00B637B2">
                    <w:pPr>
                      <w:jc w:val="right"/>
                      <w:rPr>
                        <w:szCs w:val="21"/>
                      </w:rPr>
                    </w:pPr>
                    <w:r>
                      <w:rPr>
                        <w:rFonts w:hint="eastAsia"/>
                        <w:szCs w:val="21"/>
                      </w:rPr>
                      <w:t>-</w:t>
                    </w:r>
                  </w:p>
                </w:tc>
                <w:tc>
                  <w:tcPr>
                    <w:tcW w:w="692" w:type="pct"/>
                    <w:tcBorders>
                      <w:top w:val="single" w:sz="4" w:space="0" w:color="auto"/>
                      <w:left w:val="single" w:sz="4" w:space="0" w:color="auto"/>
                      <w:bottom w:val="single" w:sz="4" w:space="0" w:color="auto"/>
                      <w:right w:val="single" w:sz="4" w:space="0" w:color="auto"/>
                    </w:tcBorders>
                    <w:vAlign w:val="center"/>
                  </w:tcPr>
                  <w:p w:rsidR="00B637B2" w:rsidRDefault="008F04CF" w:rsidP="00B637B2">
                    <w:pPr>
                      <w:jc w:val="right"/>
                    </w:pPr>
                    <w:r w:rsidRPr="0095019A">
                      <w:t>51,258,179</w:t>
                    </w:r>
                  </w:p>
                </w:tc>
                <w:tc>
                  <w:tcPr>
                    <w:tcW w:w="696" w:type="pct"/>
                    <w:tcBorders>
                      <w:top w:val="single" w:sz="4" w:space="0" w:color="auto"/>
                      <w:left w:val="single" w:sz="4" w:space="0" w:color="auto"/>
                      <w:bottom w:val="single" w:sz="4" w:space="0" w:color="auto"/>
                      <w:right w:val="single" w:sz="4" w:space="0" w:color="auto"/>
                    </w:tcBorders>
                  </w:tcPr>
                  <w:p w:rsidR="00B637B2" w:rsidRDefault="00B637B2" w:rsidP="00B637B2">
                    <w:pPr>
                      <w:rPr>
                        <w:szCs w:val="21"/>
                      </w:rPr>
                    </w:pPr>
                  </w:p>
                </w:tc>
              </w:tr>
            </w:sdtContent>
          </w:sdt>
        </w:tbl>
        <w:p w:rsidR="00B637B2" w:rsidRDefault="00B637B2"/>
        <w:p w:rsidR="00ED2DC7" w:rsidRPr="00C64605" w:rsidRDefault="000D0A99" w:rsidP="00C64605"/>
      </w:sdtContent>
    </w:sdt>
    <w:bookmarkEnd w:id="190"/>
    <w:p w:rsidR="00ED2DC7" w:rsidRDefault="00ED2DC7">
      <w:pPr>
        <w:pStyle w:val="afffffffffffffffffff3"/>
        <w:ind w:left="704" w:firstLineChars="0" w:firstLine="0"/>
        <w:rPr>
          <w:rFonts w:ascii="宋体" w:hAnsi="宋体"/>
          <w:szCs w:val="21"/>
        </w:rPr>
      </w:pPr>
    </w:p>
    <w:bookmarkStart w:id="191" w:name="OLE_LINK85" w:displacedByCustomXml="next"/>
    <w:bookmarkStart w:id="192" w:name="OLE_LINK84" w:displacedByCustomXml="next"/>
    <w:sdt>
      <w:sdtPr>
        <w:rPr>
          <w:rFonts w:hint="eastAsia"/>
          <w:szCs w:val="21"/>
        </w:rPr>
        <w:alias w:val="模块:递延收益其他说明"/>
        <w:tag w:val="_GBC_3e5bdbca1c524ed19d397da3dfaf83a9"/>
        <w:id w:val="395869905"/>
        <w:lock w:val="sdtLocked"/>
        <w:placeholder>
          <w:docPart w:val="GBC22222222222222222222222222222"/>
        </w:placeholder>
      </w:sdtPr>
      <w:sdtEndPr>
        <w:rPr>
          <w:rFonts w:hint="default"/>
        </w:rPr>
      </w:sdtEndPr>
      <w:sdtContent>
        <w:p w:rsidR="00ED2DC7" w:rsidRDefault="00ED2DC7">
          <w:pPr>
            <w:spacing w:before="60" w:after="60"/>
            <w:rPr>
              <w:szCs w:val="21"/>
            </w:rPr>
          </w:pPr>
          <w:r>
            <w:rPr>
              <w:rFonts w:hint="eastAsia"/>
              <w:szCs w:val="21"/>
            </w:rPr>
            <w:t>其他说明：</w:t>
          </w:r>
        </w:p>
        <w:sdt>
          <w:sdtPr>
            <w:rPr>
              <w:szCs w:val="21"/>
            </w:rPr>
            <w:alias w:val="是否适用：递延收益的其他说明[双击切换]"/>
            <w:tag w:val="_GBC_da5e8f76ba934c9e8efb4ab4d41c9f8c"/>
            <w:id w:val="-1634856326"/>
            <w:lock w:val="sdtContentLocked"/>
            <w:placeholder>
              <w:docPart w:val="GBC22222222222222222222222222222"/>
            </w:placeholder>
          </w:sdtPr>
          <w:sdtContent>
            <w:p w:rsidR="00ED2DC7" w:rsidRDefault="00ED2DC7">
              <w:pPr>
                <w:spacing w:before="60" w:after="60"/>
                <w:rPr>
                  <w:szCs w:val="21"/>
                </w:rPr>
              </w:pPr>
              <w:r>
                <w:rPr>
                  <w:szCs w:val="21"/>
                </w:rPr>
                <w:fldChar w:fldCharType="begin"/>
              </w:r>
              <w:r w:rsidR="00A14E7E">
                <w:rPr>
                  <w:szCs w:val="21"/>
                </w:rPr>
                <w:instrText xml:space="preserve"> MACROBUTTON  SnrToggleCheckbox √适用 </w:instrText>
              </w:r>
              <w:r>
                <w:rPr>
                  <w:szCs w:val="21"/>
                </w:rPr>
                <w:fldChar w:fldCharType="end"/>
              </w:r>
              <w:r>
                <w:rPr>
                  <w:szCs w:val="21"/>
                </w:rPr>
                <w:fldChar w:fldCharType="begin"/>
              </w:r>
              <w:r w:rsidR="00A14E7E">
                <w:rPr>
                  <w:szCs w:val="21"/>
                </w:rPr>
                <w:instrText xml:space="preserve"> MACROBUTTON  SnrToggleCheckbox □不适用 </w:instrText>
              </w:r>
              <w:r>
                <w:rPr>
                  <w:szCs w:val="21"/>
                </w:rPr>
                <w:fldChar w:fldCharType="end"/>
              </w:r>
            </w:p>
          </w:sdtContent>
        </w:sdt>
        <w:sdt>
          <w:sdtPr>
            <w:rPr>
              <w:szCs w:val="21"/>
            </w:rPr>
            <w:alias w:val="递延收益的其他说明"/>
            <w:tag w:val="_GBC_e8c5cb3f7d5541eda9cccad5c92bc633"/>
            <w:id w:val="650338056"/>
            <w:lock w:val="sdtLocked"/>
            <w:placeholder>
              <w:docPart w:val="GBC22222222222222222222222222222"/>
            </w:placeholder>
          </w:sdtPr>
          <w:sdtContent>
            <w:p w:rsidR="00ED2DC7" w:rsidRDefault="00C64605">
              <w:pPr>
                <w:rPr>
                  <w:szCs w:val="21"/>
                </w:rPr>
              </w:pPr>
              <w:r w:rsidRPr="00C64605">
                <w:rPr>
                  <w:rFonts w:hint="eastAsia"/>
                  <w:szCs w:val="21"/>
                </w:rPr>
                <w:t>于</w:t>
              </w:r>
              <w:r w:rsidRPr="00C64605">
                <w:rPr>
                  <w:szCs w:val="21"/>
                </w:rPr>
                <w:t>2019年1-6月，本集团所获得的政府补助均为与收益相关。</w:t>
              </w:r>
            </w:p>
          </w:sdtContent>
        </w:sdt>
      </w:sdtContent>
    </w:sdt>
    <w:bookmarkEnd w:id="191" w:displacedByCustomXml="prev"/>
    <w:bookmarkEnd w:id="192" w:displacedByCustomXml="prev"/>
    <w:p w:rsidR="00ED2DC7" w:rsidRDefault="00ED2DC7">
      <w:pPr>
        <w:snapToGrid w:val="0"/>
        <w:spacing w:line="240" w:lineRule="atLeast"/>
        <w:rPr>
          <w:szCs w:val="21"/>
        </w:rPr>
      </w:pPr>
    </w:p>
    <w:bookmarkStart w:id="193" w:name="_Hlk10537430" w:displacedByCustomXml="next"/>
    <w:sdt>
      <w:sdtPr>
        <w:rPr>
          <w:rFonts w:ascii="宋体" w:hAnsi="宋体" w:cs="宋体" w:hint="eastAsia"/>
          <w:b w:val="0"/>
          <w:bCs w:val="0"/>
          <w:kern w:val="0"/>
          <w:szCs w:val="21"/>
        </w:rPr>
        <w:alias w:val="模块:其他非流动负债"/>
        <w:tag w:val="_GBC_ebdcd37ba77540d78079b1e51c20b6ce"/>
        <w:id w:val="1972087558"/>
        <w:lock w:val="sdtLocked"/>
        <w:placeholder>
          <w:docPart w:val="GBC22222222222222222222222222222"/>
        </w:placeholder>
      </w:sdtPr>
      <w:sdtEndPr>
        <w:rPr>
          <w:rFonts w:cstheme="minorBidi" w:hint="default"/>
          <w:color w:val="000000" w:themeColor="text1"/>
          <w:kern w:val="2"/>
        </w:rPr>
      </w:sdtEndPr>
      <w:sdtContent>
        <w:p w:rsidR="00ED2DC7" w:rsidRDefault="00ED2DC7" w:rsidP="00036BDC">
          <w:pPr>
            <w:pStyle w:val="affffffffffffffffff1"/>
            <w:numPr>
              <w:ilvl w:val="0"/>
              <w:numId w:val="49"/>
            </w:numPr>
            <w:tabs>
              <w:tab w:val="left" w:pos="504"/>
            </w:tabs>
            <w:rPr>
              <w:rFonts w:ascii="宋体" w:hAnsi="宋体"/>
              <w:szCs w:val="21"/>
            </w:rPr>
          </w:pPr>
          <w:r>
            <w:rPr>
              <w:rFonts w:ascii="宋体" w:hAnsi="宋体" w:hint="eastAsia"/>
              <w:szCs w:val="21"/>
            </w:rPr>
            <w:t>其他非流动负债</w:t>
          </w:r>
        </w:p>
        <w:sdt>
          <w:sdtPr>
            <w:alias w:val="是否适用：其他非流动负债[双击切换]"/>
            <w:tag w:val="_GBC_bb8a5c7236564ec0823cbced5ea78e62"/>
            <w:id w:val="1687548530"/>
            <w:lock w:val="sdtContentLocked"/>
            <w:placeholder>
              <w:docPart w:val="GBC22222222222222222222222222222"/>
            </w:placeholder>
          </w:sdtPr>
          <w:sdtContent>
            <w:p w:rsidR="00A14E7E" w:rsidRDefault="00ED2DC7" w:rsidP="00A14E7E">
              <w:r>
                <w:fldChar w:fldCharType="begin"/>
              </w:r>
              <w:r w:rsidR="00A14E7E">
                <w:instrText xml:space="preserve"> MACROBUTTON  SnrToggleCheckbox □适用 </w:instrText>
              </w:r>
              <w:r>
                <w:fldChar w:fldCharType="end"/>
              </w:r>
              <w:r>
                <w:fldChar w:fldCharType="begin"/>
              </w:r>
              <w:r w:rsidR="00A14E7E">
                <w:instrText xml:space="preserve"> MACROBUTTON  SnrToggleCheckbox √不适用 </w:instrText>
              </w:r>
              <w:r>
                <w:fldChar w:fldCharType="end"/>
              </w:r>
            </w:p>
          </w:sdtContent>
        </w:sdt>
        <w:p w:rsidR="00ED2DC7" w:rsidRDefault="000D0A99">
          <w:pPr>
            <w:rPr>
              <w:szCs w:val="21"/>
            </w:rPr>
          </w:pPr>
        </w:p>
      </w:sdtContent>
    </w:sdt>
    <w:bookmarkEnd w:id="193" w:displacedByCustomXml="prev"/>
    <w:p w:rsidR="00ED2DC7" w:rsidRDefault="00ED2DC7">
      <w:pPr>
        <w:rPr>
          <w:szCs w:val="21"/>
        </w:rPr>
      </w:pPr>
    </w:p>
    <w:sdt>
      <w:sdtPr>
        <w:rPr>
          <w:rFonts w:ascii="宋体" w:hAnsi="宋体" w:cs="宋体" w:hint="eastAsia"/>
          <w:b w:val="0"/>
          <w:bCs w:val="0"/>
          <w:kern w:val="0"/>
          <w:szCs w:val="21"/>
        </w:rPr>
        <w:alias w:val="模块:股本"/>
        <w:tag w:val="_GBC_7f4b2f9bba854132af4bbd6504a10383"/>
        <w:id w:val="519442086"/>
        <w:lock w:val="sdtLocked"/>
        <w:placeholder>
          <w:docPart w:val="GBC22222222222222222222222222222"/>
        </w:placeholder>
      </w:sdtPr>
      <w:sdtEndPr>
        <w:rPr>
          <w:rFonts w:cstheme="minorBidi" w:hint="default"/>
          <w:color w:val="000000" w:themeColor="text1"/>
        </w:rPr>
      </w:sdtEndPr>
      <w:sdtContent>
        <w:p w:rsidR="00ED2DC7" w:rsidRDefault="00ED2DC7" w:rsidP="00036BDC">
          <w:pPr>
            <w:pStyle w:val="affffffffffffffffff1"/>
            <w:numPr>
              <w:ilvl w:val="0"/>
              <w:numId w:val="49"/>
            </w:numPr>
            <w:tabs>
              <w:tab w:val="left" w:pos="504"/>
            </w:tabs>
            <w:rPr>
              <w:rFonts w:ascii="宋体" w:hAnsi="宋体"/>
              <w:szCs w:val="21"/>
            </w:rPr>
          </w:pPr>
          <w:r>
            <w:rPr>
              <w:rFonts w:ascii="宋体" w:hAnsi="宋体" w:hint="eastAsia"/>
              <w:szCs w:val="21"/>
            </w:rPr>
            <w:t>股本</w:t>
          </w:r>
        </w:p>
        <w:sdt>
          <w:sdtPr>
            <w:alias w:val="是否适用：股本[双击切换]"/>
            <w:tag w:val="_GBC_a88b08589cbb4302b29839808faa8a3b"/>
            <w:id w:val="1491758962"/>
            <w:lock w:val="sdtContentLocked"/>
            <w:placeholder>
              <w:docPart w:val="GBC22222222222222222222222222222"/>
            </w:placeholder>
          </w:sdtPr>
          <w:sdtContent>
            <w:p w:rsidR="00ED2DC7" w:rsidRDefault="00ED2DC7">
              <w:r>
                <w:fldChar w:fldCharType="begin"/>
              </w:r>
              <w:r w:rsidR="00A14E7E">
                <w:instrText xml:space="preserve"> MACROBUTTON  SnrToggleCheckbox √适用 </w:instrText>
              </w:r>
              <w:r>
                <w:fldChar w:fldCharType="end"/>
              </w:r>
              <w:r>
                <w:fldChar w:fldCharType="begin"/>
              </w:r>
              <w:r w:rsidR="00A14E7E">
                <w:instrText xml:space="preserve"> MACROBUTTON  SnrToggleCheckbox □不适用 </w:instrText>
              </w:r>
              <w:r>
                <w:fldChar w:fldCharType="end"/>
              </w:r>
            </w:p>
          </w:sdtContent>
        </w:sdt>
        <w:p w:rsidR="00ED2DC7" w:rsidRDefault="00ED2DC7">
          <w:pPr>
            <w:jc w:val="right"/>
            <w:rPr>
              <w:szCs w:val="21"/>
            </w:rPr>
          </w:pPr>
          <w:r>
            <w:rPr>
              <w:rFonts w:hint="eastAsia"/>
              <w:szCs w:val="21"/>
            </w:rPr>
            <w:t>单位：</w:t>
          </w:r>
          <w:sdt>
            <w:sdtPr>
              <w:rPr>
                <w:rFonts w:hint="eastAsia"/>
                <w:szCs w:val="21"/>
              </w:rPr>
              <w:alias w:val="单位：财务附注：股本"/>
              <w:tag w:val="_GBC_cf915ea45a234de2a2455824dedc3c82"/>
              <w:id w:val="-105600265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hint="eastAsia"/>
                  <w:szCs w:val="21"/>
                </w:rPr>
                <w:t>元</w:t>
              </w:r>
            </w:sdtContent>
          </w:sdt>
          <w:r>
            <w:rPr>
              <w:rFonts w:hint="eastAsia"/>
              <w:szCs w:val="21"/>
            </w:rPr>
            <w:t xml:space="preserve">  币种：</w:t>
          </w:r>
          <w:sdt>
            <w:sdtPr>
              <w:rPr>
                <w:rFonts w:hint="eastAsia"/>
                <w:szCs w:val="21"/>
              </w:rPr>
              <w:alias w:val="币种：财务附注：股本"/>
              <w:tag w:val="_GBC_2dcc7ff328cf480296bdddce64b88cf1"/>
              <w:id w:val="-12731596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szCs w:val="21"/>
                </w:rPr>
                <w:t>人民币</w:t>
              </w:r>
            </w:sdtContent>
          </w:sdt>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1"/>
            <w:gridCol w:w="1476"/>
            <w:gridCol w:w="661"/>
            <w:gridCol w:w="708"/>
            <w:gridCol w:w="1421"/>
            <w:gridCol w:w="1121"/>
            <w:gridCol w:w="1269"/>
            <w:gridCol w:w="1476"/>
          </w:tblGrid>
          <w:tr w:rsidR="00ED2DC7" w:rsidTr="00B637B2">
            <w:trPr>
              <w:cantSplit/>
              <w:trHeight w:val="270"/>
            </w:trPr>
            <w:tc>
              <w:tcPr>
                <w:tcW w:w="392" w:type="pct"/>
                <w:vMerge w:val="restart"/>
                <w:tcBorders>
                  <w:top w:val="single" w:sz="4" w:space="0" w:color="auto"/>
                  <w:left w:val="single" w:sz="4" w:space="0" w:color="auto"/>
                  <w:bottom w:val="single" w:sz="4" w:space="0" w:color="auto"/>
                  <w:right w:val="single" w:sz="4" w:space="0" w:color="auto"/>
                </w:tcBorders>
              </w:tcPr>
              <w:p w:rsidR="00ED2DC7" w:rsidRDefault="00ED2DC7">
                <w:pPr>
                  <w:jc w:val="center"/>
                  <w:rPr>
                    <w:szCs w:val="21"/>
                  </w:rPr>
                </w:pPr>
              </w:p>
            </w:tc>
            <w:sdt>
              <w:sdtPr>
                <w:tag w:val="_PLD_7ad9a0911e364e48bc565dc3ed809692"/>
                <w:id w:val="902794850"/>
                <w:lock w:val="sdtLocked"/>
              </w:sdtPr>
              <w:sdtContent>
                <w:tc>
                  <w:tcPr>
                    <w:tcW w:w="836" w:type="pct"/>
                    <w:vMerge w:val="restart"/>
                    <w:tcBorders>
                      <w:top w:val="single" w:sz="4" w:space="0" w:color="auto"/>
                      <w:left w:val="single" w:sz="4" w:space="0" w:color="auto"/>
                      <w:right w:val="single" w:sz="4" w:space="0" w:color="auto"/>
                    </w:tcBorders>
                    <w:vAlign w:val="center"/>
                  </w:tcPr>
                  <w:p w:rsidR="00ED2DC7" w:rsidRDefault="00ED2DC7">
                    <w:pPr>
                      <w:jc w:val="center"/>
                      <w:rPr>
                        <w:szCs w:val="21"/>
                      </w:rPr>
                    </w:pPr>
                    <w:r>
                      <w:rPr>
                        <w:rFonts w:hint="eastAsia"/>
                        <w:szCs w:val="21"/>
                      </w:rPr>
                      <w:t>期初余额</w:t>
                    </w:r>
                  </w:p>
                </w:tc>
              </w:sdtContent>
            </w:sdt>
            <w:sdt>
              <w:sdtPr>
                <w:tag w:val="_PLD_33945fdb28e344edaa7d118a9aa07d7d"/>
                <w:id w:val="-1441592624"/>
                <w:lock w:val="sdtLocked"/>
              </w:sdtPr>
              <w:sdtContent>
                <w:tc>
                  <w:tcPr>
                    <w:tcW w:w="2936" w:type="pct"/>
                    <w:gridSpan w:val="5"/>
                    <w:tcBorders>
                      <w:top w:val="single" w:sz="4" w:space="0" w:color="auto"/>
                      <w:left w:val="single" w:sz="4" w:space="0" w:color="auto"/>
                      <w:bottom w:val="single" w:sz="4" w:space="0" w:color="auto"/>
                      <w:right w:val="single" w:sz="4" w:space="0" w:color="auto"/>
                    </w:tcBorders>
                    <w:vAlign w:val="center"/>
                  </w:tcPr>
                  <w:p w:rsidR="00ED2DC7" w:rsidRDefault="00ED2DC7">
                    <w:pPr>
                      <w:jc w:val="center"/>
                      <w:rPr>
                        <w:szCs w:val="21"/>
                      </w:rPr>
                    </w:pPr>
                    <w:r>
                      <w:rPr>
                        <w:rFonts w:hint="eastAsia"/>
                        <w:szCs w:val="21"/>
                      </w:rPr>
                      <w:t>本次变动增减（+、一）</w:t>
                    </w:r>
                  </w:p>
                </w:tc>
              </w:sdtContent>
            </w:sdt>
            <w:sdt>
              <w:sdtPr>
                <w:tag w:val="_PLD_a0390714e323429ab6e793f9a610df70"/>
                <w:id w:val="437643534"/>
                <w:lock w:val="sdtLocked"/>
              </w:sdtPr>
              <w:sdtContent>
                <w:tc>
                  <w:tcPr>
                    <w:tcW w:w="836" w:type="pct"/>
                    <w:vMerge w:val="restart"/>
                    <w:tcBorders>
                      <w:top w:val="single" w:sz="4" w:space="0" w:color="auto"/>
                      <w:left w:val="single" w:sz="4" w:space="0" w:color="auto"/>
                      <w:right w:val="single" w:sz="4" w:space="0" w:color="auto"/>
                    </w:tcBorders>
                    <w:vAlign w:val="center"/>
                  </w:tcPr>
                  <w:p w:rsidR="00ED2DC7" w:rsidRDefault="00ED2DC7">
                    <w:pPr>
                      <w:jc w:val="center"/>
                      <w:rPr>
                        <w:szCs w:val="21"/>
                      </w:rPr>
                    </w:pPr>
                    <w:r>
                      <w:rPr>
                        <w:rFonts w:hint="eastAsia"/>
                        <w:szCs w:val="21"/>
                      </w:rPr>
                      <w:t>期末余额</w:t>
                    </w:r>
                  </w:p>
                </w:tc>
              </w:sdtContent>
            </w:sdt>
          </w:tr>
          <w:tr w:rsidR="00B637B2" w:rsidTr="00B637B2">
            <w:trPr>
              <w:cantSplit/>
              <w:trHeight w:val="312"/>
            </w:trPr>
            <w:tc>
              <w:tcPr>
                <w:tcW w:w="392" w:type="pct"/>
                <w:vMerge/>
                <w:tcBorders>
                  <w:top w:val="single" w:sz="4" w:space="0" w:color="auto"/>
                  <w:left w:val="single" w:sz="4" w:space="0" w:color="auto"/>
                  <w:bottom w:val="single" w:sz="4" w:space="0" w:color="auto"/>
                  <w:right w:val="single" w:sz="4" w:space="0" w:color="auto"/>
                </w:tcBorders>
              </w:tcPr>
              <w:p w:rsidR="00ED2DC7" w:rsidRDefault="00ED2DC7">
                <w:pPr>
                  <w:rPr>
                    <w:szCs w:val="21"/>
                  </w:rPr>
                </w:pPr>
              </w:p>
            </w:tc>
            <w:tc>
              <w:tcPr>
                <w:tcW w:w="836" w:type="pct"/>
                <w:vMerge/>
                <w:tcBorders>
                  <w:left w:val="single" w:sz="4" w:space="0" w:color="auto"/>
                  <w:bottom w:val="single" w:sz="4" w:space="0" w:color="auto"/>
                  <w:right w:val="single" w:sz="4" w:space="0" w:color="auto"/>
                </w:tcBorders>
              </w:tcPr>
              <w:p w:rsidR="00ED2DC7" w:rsidRDefault="00ED2DC7">
                <w:pPr>
                  <w:ind w:leftChars="-119" w:left="-250" w:firstLineChars="119" w:firstLine="250"/>
                  <w:rPr>
                    <w:szCs w:val="21"/>
                  </w:rPr>
                </w:pPr>
              </w:p>
            </w:tc>
            <w:sdt>
              <w:sdtPr>
                <w:tag w:val="_PLD_fe0b182c33854e5bb51d2d2a3cd1dd7f"/>
                <w:id w:val="612180212"/>
                <w:lock w:val="sdtLocked"/>
              </w:sdtPr>
              <w:sdtContent>
                <w:tc>
                  <w:tcPr>
                    <w:tcW w:w="375" w:type="pct"/>
                    <w:tcBorders>
                      <w:top w:val="single" w:sz="4" w:space="0" w:color="auto"/>
                      <w:left w:val="single" w:sz="4" w:space="0" w:color="auto"/>
                      <w:bottom w:val="single" w:sz="4" w:space="0" w:color="auto"/>
                      <w:right w:val="single" w:sz="4" w:space="0" w:color="auto"/>
                    </w:tcBorders>
                    <w:vAlign w:val="center"/>
                  </w:tcPr>
                  <w:p w:rsidR="00ED2DC7" w:rsidRDefault="00ED2DC7">
                    <w:pPr>
                      <w:jc w:val="center"/>
                      <w:rPr>
                        <w:szCs w:val="21"/>
                      </w:rPr>
                    </w:pPr>
                    <w:r>
                      <w:rPr>
                        <w:rFonts w:hint="eastAsia"/>
                        <w:szCs w:val="21"/>
                      </w:rPr>
                      <w:t>发行</w:t>
                    </w:r>
                  </w:p>
                  <w:p w:rsidR="00ED2DC7" w:rsidRDefault="00ED2DC7">
                    <w:pPr>
                      <w:jc w:val="center"/>
                      <w:rPr>
                        <w:szCs w:val="21"/>
                      </w:rPr>
                    </w:pPr>
                    <w:r>
                      <w:rPr>
                        <w:rFonts w:hint="eastAsia"/>
                        <w:szCs w:val="21"/>
                      </w:rPr>
                      <w:t>新股</w:t>
                    </w:r>
                  </w:p>
                </w:tc>
              </w:sdtContent>
            </w:sdt>
            <w:sdt>
              <w:sdtPr>
                <w:tag w:val="_PLD_80e7c94a1831488d89d22be722443897"/>
                <w:id w:val="1923369387"/>
                <w:lock w:val="sdtLocked"/>
              </w:sdtPr>
              <w:sdtContent>
                <w:tc>
                  <w:tcPr>
                    <w:tcW w:w="402" w:type="pct"/>
                    <w:tcBorders>
                      <w:top w:val="single" w:sz="4" w:space="0" w:color="auto"/>
                      <w:left w:val="single" w:sz="4" w:space="0" w:color="auto"/>
                      <w:bottom w:val="single" w:sz="4" w:space="0" w:color="auto"/>
                      <w:right w:val="single" w:sz="4" w:space="0" w:color="auto"/>
                    </w:tcBorders>
                    <w:vAlign w:val="center"/>
                  </w:tcPr>
                  <w:p w:rsidR="00ED2DC7" w:rsidRDefault="00ED2DC7">
                    <w:pPr>
                      <w:jc w:val="center"/>
                      <w:rPr>
                        <w:szCs w:val="21"/>
                      </w:rPr>
                    </w:pPr>
                    <w:r>
                      <w:rPr>
                        <w:rFonts w:hint="eastAsia"/>
                        <w:szCs w:val="21"/>
                      </w:rPr>
                      <w:t>送股</w:t>
                    </w:r>
                  </w:p>
                </w:tc>
              </w:sdtContent>
            </w:sdt>
            <w:sdt>
              <w:sdtPr>
                <w:tag w:val="_PLD_c1d7f04883eb4aaa9c52067f145ec081"/>
                <w:id w:val="-2053604344"/>
                <w:lock w:val="sdtLocked"/>
              </w:sdtPr>
              <w:sdtContent>
                <w:tc>
                  <w:tcPr>
                    <w:tcW w:w="805" w:type="pct"/>
                    <w:tcBorders>
                      <w:top w:val="single" w:sz="4" w:space="0" w:color="auto"/>
                      <w:left w:val="single" w:sz="4" w:space="0" w:color="auto"/>
                      <w:bottom w:val="single" w:sz="4" w:space="0" w:color="auto"/>
                      <w:right w:val="single" w:sz="4" w:space="0" w:color="auto"/>
                    </w:tcBorders>
                    <w:vAlign w:val="center"/>
                  </w:tcPr>
                  <w:p w:rsidR="00ED2DC7" w:rsidRDefault="00ED2DC7">
                    <w:pPr>
                      <w:jc w:val="center"/>
                      <w:rPr>
                        <w:szCs w:val="21"/>
                      </w:rPr>
                    </w:pPr>
                    <w:r>
                      <w:rPr>
                        <w:rFonts w:hint="eastAsia"/>
                        <w:szCs w:val="21"/>
                      </w:rPr>
                      <w:t>公积金</w:t>
                    </w:r>
                  </w:p>
                  <w:p w:rsidR="00ED2DC7" w:rsidRDefault="00ED2DC7">
                    <w:pPr>
                      <w:jc w:val="center"/>
                      <w:rPr>
                        <w:szCs w:val="21"/>
                      </w:rPr>
                    </w:pPr>
                    <w:r>
                      <w:rPr>
                        <w:rFonts w:hint="eastAsia"/>
                        <w:szCs w:val="21"/>
                      </w:rPr>
                      <w:t>转股</w:t>
                    </w:r>
                  </w:p>
                </w:tc>
              </w:sdtContent>
            </w:sdt>
            <w:sdt>
              <w:sdtPr>
                <w:tag w:val="_PLD_6e44c9cf090243e19b20f1e88e8231ef"/>
                <w:id w:val="-1657525901"/>
                <w:lock w:val="sdtLocked"/>
              </w:sdtPr>
              <w:sdtContent>
                <w:tc>
                  <w:tcPr>
                    <w:tcW w:w="635" w:type="pct"/>
                    <w:tcBorders>
                      <w:top w:val="single" w:sz="4" w:space="0" w:color="auto"/>
                      <w:left w:val="single" w:sz="4" w:space="0" w:color="auto"/>
                      <w:bottom w:val="single" w:sz="4" w:space="0" w:color="auto"/>
                      <w:right w:val="single" w:sz="4" w:space="0" w:color="auto"/>
                    </w:tcBorders>
                    <w:vAlign w:val="center"/>
                  </w:tcPr>
                  <w:p w:rsidR="00ED2DC7" w:rsidRDefault="00ED2DC7">
                    <w:pPr>
                      <w:jc w:val="center"/>
                      <w:rPr>
                        <w:szCs w:val="21"/>
                      </w:rPr>
                    </w:pPr>
                    <w:r>
                      <w:rPr>
                        <w:rFonts w:hint="eastAsia"/>
                        <w:szCs w:val="21"/>
                      </w:rPr>
                      <w:t>其他</w:t>
                    </w:r>
                  </w:p>
                </w:tc>
              </w:sdtContent>
            </w:sdt>
            <w:sdt>
              <w:sdtPr>
                <w:tag w:val="_PLD_0cee72421f954c94ba296c709c84ef52"/>
                <w:id w:val="1823474705"/>
                <w:lock w:val="sdtLocked"/>
              </w:sdtPr>
              <w:sdtContent>
                <w:tc>
                  <w:tcPr>
                    <w:tcW w:w="719" w:type="pct"/>
                    <w:tcBorders>
                      <w:top w:val="single" w:sz="4" w:space="0" w:color="auto"/>
                      <w:left w:val="single" w:sz="4" w:space="0" w:color="auto"/>
                      <w:bottom w:val="single" w:sz="4" w:space="0" w:color="auto"/>
                      <w:right w:val="single" w:sz="4" w:space="0" w:color="auto"/>
                    </w:tcBorders>
                    <w:vAlign w:val="center"/>
                  </w:tcPr>
                  <w:p w:rsidR="00ED2DC7" w:rsidRDefault="00ED2DC7">
                    <w:pPr>
                      <w:jc w:val="center"/>
                      <w:rPr>
                        <w:szCs w:val="21"/>
                      </w:rPr>
                    </w:pPr>
                    <w:r>
                      <w:rPr>
                        <w:rFonts w:hint="eastAsia"/>
                        <w:szCs w:val="21"/>
                      </w:rPr>
                      <w:t>小计</w:t>
                    </w:r>
                  </w:p>
                </w:tc>
              </w:sdtContent>
            </w:sdt>
            <w:tc>
              <w:tcPr>
                <w:tcW w:w="836" w:type="pct"/>
                <w:vMerge/>
                <w:tcBorders>
                  <w:left w:val="single" w:sz="4" w:space="0" w:color="auto"/>
                  <w:bottom w:val="single" w:sz="4" w:space="0" w:color="auto"/>
                  <w:right w:val="single" w:sz="4" w:space="0" w:color="auto"/>
                </w:tcBorders>
              </w:tcPr>
              <w:p w:rsidR="00ED2DC7" w:rsidRDefault="00ED2DC7">
                <w:pPr>
                  <w:rPr>
                    <w:szCs w:val="21"/>
                  </w:rPr>
                </w:pPr>
              </w:p>
            </w:tc>
          </w:tr>
          <w:tr w:rsidR="00B637B2" w:rsidTr="00B637B2">
            <w:trPr>
              <w:cantSplit/>
            </w:trPr>
            <w:sdt>
              <w:sdtPr>
                <w:tag w:val="_PLD_0c4dca616a0e4126a03d9e8b2ef3c6bc"/>
                <w:id w:val="1227958299"/>
                <w:lock w:val="sdtLocked"/>
              </w:sdtPr>
              <w:sdtContent>
                <w:tc>
                  <w:tcPr>
                    <w:tcW w:w="392" w:type="pct"/>
                    <w:tcBorders>
                      <w:top w:val="single" w:sz="4" w:space="0" w:color="auto"/>
                      <w:left w:val="single" w:sz="4" w:space="0" w:color="auto"/>
                      <w:bottom w:val="single" w:sz="4" w:space="0" w:color="auto"/>
                      <w:right w:val="single" w:sz="4" w:space="0" w:color="auto"/>
                    </w:tcBorders>
                  </w:tcPr>
                  <w:p w:rsidR="00ED2DC7" w:rsidRDefault="00ED2DC7">
                    <w:pPr>
                      <w:jc w:val="center"/>
                      <w:rPr>
                        <w:szCs w:val="21"/>
                      </w:rPr>
                    </w:pPr>
                    <w:r>
                      <w:rPr>
                        <w:rFonts w:hint="eastAsia"/>
                        <w:szCs w:val="21"/>
                      </w:rPr>
                      <w:t>股份总数</w:t>
                    </w:r>
                  </w:p>
                </w:tc>
              </w:sdtContent>
            </w:sdt>
            <w:tc>
              <w:tcPr>
                <w:tcW w:w="836" w:type="pct"/>
                <w:tcBorders>
                  <w:top w:val="single" w:sz="4" w:space="0" w:color="auto"/>
                  <w:left w:val="single" w:sz="4" w:space="0" w:color="auto"/>
                  <w:bottom w:val="single" w:sz="4" w:space="0" w:color="auto"/>
                  <w:right w:val="single" w:sz="4" w:space="0" w:color="auto"/>
                </w:tcBorders>
              </w:tcPr>
              <w:p w:rsidR="00ED2DC7" w:rsidRDefault="007A742C" w:rsidP="00B637B2">
                <w:pPr>
                  <w:ind w:leftChars="-50" w:left="-105" w:rightChars="-50" w:right="-105"/>
                  <w:jc w:val="right"/>
                  <w:rPr>
                    <w:szCs w:val="21"/>
                  </w:rPr>
                </w:pPr>
                <w:r w:rsidRPr="007A742C">
                  <w:rPr>
                    <w:szCs w:val="21"/>
                  </w:rPr>
                  <w:t>1,917,832,792</w:t>
                </w:r>
              </w:p>
            </w:tc>
            <w:tc>
              <w:tcPr>
                <w:tcW w:w="375" w:type="pct"/>
                <w:tcBorders>
                  <w:top w:val="single" w:sz="4" w:space="0" w:color="auto"/>
                  <w:left w:val="single" w:sz="4" w:space="0" w:color="auto"/>
                  <w:bottom w:val="single" w:sz="4" w:space="0" w:color="auto"/>
                  <w:right w:val="single" w:sz="4" w:space="0" w:color="auto"/>
                </w:tcBorders>
              </w:tcPr>
              <w:p w:rsidR="00ED2DC7" w:rsidRDefault="008F04CF" w:rsidP="00B637B2">
                <w:pPr>
                  <w:ind w:leftChars="-50" w:left="-105" w:rightChars="-50" w:right="-105"/>
                  <w:jc w:val="right"/>
                  <w:rPr>
                    <w:szCs w:val="21"/>
                  </w:rPr>
                </w:pPr>
                <w:r>
                  <w:rPr>
                    <w:rFonts w:hint="eastAsia"/>
                    <w:szCs w:val="21"/>
                  </w:rPr>
                  <w:t>-</w:t>
                </w:r>
              </w:p>
            </w:tc>
            <w:tc>
              <w:tcPr>
                <w:tcW w:w="402" w:type="pct"/>
                <w:tcBorders>
                  <w:top w:val="single" w:sz="4" w:space="0" w:color="auto"/>
                  <w:left w:val="single" w:sz="4" w:space="0" w:color="auto"/>
                  <w:bottom w:val="single" w:sz="4" w:space="0" w:color="auto"/>
                  <w:right w:val="single" w:sz="4" w:space="0" w:color="auto"/>
                </w:tcBorders>
              </w:tcPr>
              <w:p w:rsidR="00ED2DC7" w:rsidRDefault="008F04CF" w:rsidP="00B637B2">
                <w:pPr>
                  <w:ind w:leftChars="-50" w:left="-105" w:rightChars="-50" w:right="-105"/>
                  <w:jc w:val="right"/>
                  <w:rPr>
                    <w:szCs w:val="21"/>
                  </w:rPr>
                </w:pPr>
                <w:r>
                  <w:rPr>
                    <w:rFonts w:hint="eastAsia"/>
                    <w:szCs w:val="21"/>
                  </w:rPr>
                  <w:t>-</w:t>
                </w:r>
              </w:p>
            </w:tc>
            <w:tc>
              <w:tcPr>
                <w:tcW w:w="805" w:type="pct"/>
                <w:tcBorders>
                  <w:top w:val="single" w:sz="4" w:space="0" w:color="auto"/>
                  <w:left w:val="single" w:sz="4" w:space="0" w:color="auto"/>
                  <w:bottom w:val="single" w:sz="4" w:space="0" w:color="auto"/>
                  <w:right w:val="single" w:sz="4" w:space="0" w:color="auto"/>
                </w:tcBorders>
              </w:tcPr>
              <w:p w:rsidR="00ED2DC7" w:rsidRDefault="007A742C" w:rsidP="00B637B2">
                <w:pPr>
                  <w:ind w:leftChars="-50" w:left="-105" w:rightChars="-50" w:right="-105"/>
                  <w:jc w:val="right"/>
                  <w:rPr>
                    <w:szCs w:val="21"/>
                  </w:rPr>
                </w:pPr>
                <w:r w:rsidRPr="007A742C">
                  <w:rPr>
                    <w:szCs w:val="21"/>
                  </w:rPr>
                  <w:t>569,295,642</w:t>
                </w:r>
              </w:p>
            </w:tc>
            <w:tc>
              <w:tcPr>
                <w:tcW w:w="635" w:type="pct"/>
                <w:tcBorders>
                  <w:top w:val="single" w:sz="4" w:space="0" w:color="auto"/>
                  <w:left w:val="single" w:sz="4" w:space="0" w:color="auto"/>
                  <w:bottom w:val="single" w:sz="4" w:space="0" w:color="auto"/>
                  <w:right w:val="single" w:sz="4" w:space="0" w:color="auto"/>
                </w:tcBorders>
              </w:tcPr>
              <w:p w:rsidR="00ED2DC7" w:rsidRDefault="007A742C" w:rsidP="00B637B2">
                <w:pPr>
                  <w:ind w:leftChars="-50" w:left="-105" w:rightChars="-50" w:right="-105"/>
                  <w:jc w:val="right"/>
                  <w:rPr>
                    <w:szCs w:val="21"/>
                  </w:rPr>
                </w:pPr>
                <w:r w:rsidRPr="007A742C">
                  <w:rPr>
                    <w:szCs w:val="21"/>
                  </w:rPr>
                  <w:t>-993,859</w:t>
                </w:r>
              </w:p>
            </w:tc>
            <w:tc>
              <w:tcPr>
                <w:tcW w:w="719" w:type="pct"/>
                <w:tcBorders>
                  <w:top w:val="single" w:sz="4" w:space="0" w:color="auto"/>
                  <w:left w:val="single" w:sz="4" w:space="0" w:color="auto"/>
                  <w:bottom w:val="single" w:sz="4" w:space="0" w:color="auto"/>
                  <w:right w:val="single" w:sz="4" w:space="0" w:color="auto"/>
                </w:tcBorders>
              </w:tcPr>
              <w:p w:rsidR="00ED2DC7" w:rsidRDefault="007A742C" w:rsidP="00B637B2">
                <w:pPr>
                  <w:ind w:leftChars="-50" w:left="-105" w:rightChars="-50" w:right="-105"/>
                  <w:jc w:val="right"/>
                  <w:rPr>
                    <w:szCs w:val="21"/>
                  </w:rPr>
                </w:pPr>
                <w:r w:rsidRPr="007A742C">
                  <w:rPr>
                    <w:szCs w:val="21"/>
                  </w:rPr>
                  <w:t>568,301,783</w:t>
                </w:r>
              </w:p>
            </w:tc>
            <w:tc>
              <w:tcPr>
                <w:tcW w:w="836" w:type="pct"/>
                <w:tcBorders>
                  <w:top w:val="single" w:sz="4" w:space="0" w:color="auto"/>
                  <w:left w:val="single" w:sz="4" w:space="0" w:color="auto"/>
                  <w:bottom w:val="single" w:sz="4" w:space="0" w:color="auto"/>
                  <w:right w:val="single" w:sz="4" w:space="0" w:color="auto"/>
                </w:tcBorders>
              </w:tcPr>
              <w:p w:rsidR="00ED2DC7" w:rsidRDefault="007A742C" w:rsidP="00B637B2">
                <w:pPr>
                  <w:ind w:leftChars="-50" w:left="-105" w:rightChars="-50" w:right="-105"/>
                  <w:jc w:val="right"/>
                  <w:rPr>
                    <w:szCs w:val="21"/>
                  </w:rPr>
                </w:pPr>
                <w:r w:rsidRPr="007A742C">
                  <w:rPr>
                    <w:szCs w:val="21"/>
                  </w:rPr>
                  <w:t>2,486,134,575</w:t>
                </w:r>
              </w:p>
            </w:tc>
          </w:tr>
        </w:tbl>
        <w:p w:rsidR="00ED2DC7" w:rsidRDefault="00ED2DC7">
          <w:pPr>
            <w:spacing w:before="60" w:after="60"/>
            <w:rPr>
              <w:szCs w:val="21"/>
            </w:rPr>
          </w:pPr>
          <w:r>
            <w:rPr>
              <w:rFonts w:hint="eastAsia"/>
              <w:szCs w:val="21"/>
            </w:rPr>
            <w:t>其他说明：</w:t>
          </w:r>
        </w:p>
        <w:sdt>
          <w:sdtPr>
            <w:rPr>
              <w:szCs w:val="21"/>
            </w:rPr>
            <w:alias w:val="股本变动情况说明"/>
            <w:tag w:val="_GBC_752687f835754470ad7a125ef32391e4"/>
            <w:id w:val="-745029185"/>
            <w:lock w:val="sdtLocked"/>
            <w:placeholder>
              <w:docPart w:val="GBC22222222222222222222222222222"/>
            </w:placeholder>
          </w:sdtPr>
          <w:sdtContent>
            <w:p w:rsidR="00ED2DC7" w:rsidRDefault="00B735D2" w:rsidP="00B637B2">
              <w:pPr>
                <w:jc w:val="both"/>
                <w:rPr>
                  <w:szCs w:val="21"/>
                </w:rPr>
              </w:pPr>
              <w:r w:rsidRPr="00B735D2">
                <w:rPr>
                  <w:rFonts w:hint="eastAsia"/>
                  <w:szCs w:val="21"/>
                </w:rPr>
                <w:t>注</w:t>
              </w:r>
              <w:r w:rsidRPr="00B735D2">
                <w:rPr>
                  <w:szCs w:val="21"/>
                </w:rPr>
                <w:t>1．本公司2019年4月26日公告2018年年度权益分派实施方案，以利润分配实施公告确定的股权登记日的总股本，扣除回购的股份19,829,791股，即以1,897,652,142股为基数，每股派发现金红利0.25元（含税），以资本公积金转增股本，每股转增0.3股，共计派发现金红利474,413,036元，转增569,295,642股。</w:t>
              </w:r>
            </w:p>
          </w:sdtContent>
        </w:sdt>
      </w:sdtContent>
    </w:sdt>
    <w:p w:rsidR="00ED2DC7" w:rsidRDefault="00ED2DC7">
      <w:pPr>
        <w:rPr>
          <w:szCs w:val="21"/>
        </w:rPr>
      </w:pPr>
    </w:p>
    <w:p w:rsidR="00ED2DC7" w:rsidRDefault="00ED2DC7" w:rsidP="00036BDC">
      <w:pPr>
        <w:pStyle w:val="affffffffffffffffff1"/>
        <w:numPr>
          <w:ilvl w:val="0"/>
          <w:numId w:val="49"/>
        </w:numPr>
        <w:tabs>
          <w:tab w:val="left" w:pos="504"/>
        </w:tabs>
        <w:rPr>
          <w:rFonts w:ascii="宋体" w:hAnsi="宋体"/>
          <w:szCs w:val="21"/>
        </w:rPr>
      </w:pPr>
      <w:r>
        <w:rPr>
          <w:rFonts w:ascii="宋体" w:hAnsi="宋体" w:cs="宋体" w:hint="eastAsia"/>
          <w:bCs w:val="0"/>
          <w:kern w:val="0"/>
          <w:szCs w:val="21"/>
        </w:rPr>
        <w:t>其</w:t>
      </w:r>
      <w:r>
        <w:rPr>
          <w:rFonts w:ascii="宋体" w:hAnsi="宋体" w:hint="eastAsia"/>
          <w:szCs w:val="21"/>
        </w:rPr>
        <w:t>他权益工具</w:t>
      </w:r>
    </w:p>
    <w:sdt>
      <w:sdtPr>
        <w:rPr>
          <w:rFonts w:ascii="宋体" w:hAnsi="宋体" w:cs="宋体" w:hint="eastAsia"/>
          <w:b w:val="0"/>
          <w:bCs w:val="0"/>
          <w:kern w:val="0"/>
          <w:szCs w:val="24"/>
        </w:rPr>
        <w:alias w:val="模块:其他权益工具"/>
        <w:tag w:val="_GBC_4f862512b6914630932c1857df6db6e4"/>
        <w:id w:val="-1756825815"/>
        <w:lock w:val="sdtLocked"/>
        <w:placeholder>
          <w:docPart w:val="GBC22222222222222222222222222222"/>
        </w:placeholder>
      </w:sdtPr>
      <w:sdtEndPr>
        <w:rPr>
          <w:szCs w:val="21"/>
        </w:rPr>
      </w:sdtEndPr>
      <w:sdtContent>
        <w:p w:rsidR="00ED2DC7" w:rsidRDefault="00ED2DC7" w:rsidP="00036BDC">
          <w:pPr>
            <w:pStyle w:val="affffffffffffffffff2"/>
            <w:numPr>
              <w:ilvl w:val="0"/>
              <w:numId w:val="76"/>
            </w:numPr>
          </w:pPr>
          <w:r>
            <w:rPr>
              <w:rFonts w:hint="eastAsia"/>
            </w:rPr>
            <w:t>期末发行在外的优先股、永续债等其他金融工具基本情况</w:t>
          </w:r>
        </w:p>
        <w:sdt>
          <w:sdtPr>
            <w:alias w:val="是否适用：期末发行在外的优先股、永续债等其他金融工具基本情况[双击切换]"/>
            <w:tag w:val="_GBC_54d54ac45fe745e1aad9be61a846261f"/>
            <w:id w:val="948443410"/>
            <w:lock w:val="sdtContentLocked"/>
            <w:placeholder>
              <w:docPart w:val="GBC22222222222222222222222222222"/>
            </w:placeholder>
          </w:sdtPr>
          <w:sdtContent>
            <w:p w:rsidR="00ED2DC7" w:rsidRDefault="00ED2DC7" w:rsidP="00A14E7E">
              <w:r>
                <w:fldChar w:fldCharType="begin"/>
              </w:r>
              <w:r w:rsidR="00A14E7E">
                <w:instrText xml:space="preserve"> MACROBUTTON  SnrToggleCheckbox □适用 </w:instrText>
              </w:r>
              <w:r>
                <w:fldChar w:fldCharType="end"/>
              </w:r>
              <w:r>
                <w:fldChar w:fldCharType="begin"/>
              </w:r>
              <w:r w:rsidR="00A14E7E">
                <w:instrText xml:space="preserve"> MACROBUTTON  SnrToggleCheckbox √不适用 </w:instrText>
              </w:r>
              <w:r>
                <w:fldChar w:fldCharType="end"/>
              </w:r>
            </w:p>
          </w:sdtContent>
        </w:sdt>
        <w:p w:rsidR="00ED2DC7" w:rsidRDefault="00ED2DC7"/>
        <w:p w:rsidR="00ED2DC7" w:rsidRDefault="00ED2DC7" w:rsidP="00036BDC">
          <w:pPr>
            <w:pStyle w:val="affffffffffffffffff2"/>
            <w:numPr>
              <w:ilvl w:val="0"/>
              <w:numId w:val="76"/>
            </w:numPr>
            <w:rPr>
              <w:szCs w:val="21"/>
            </w:rPr>
          </w:pPr>
          <w:r>
            <w:rPr>
              <w:rFonts w:hint="eastAsia"/>
              <w:szCs w:val="21"/>
            </w:rPr>
            <w:t>期末</w:t>
          </w:r>
          <w:r>
            <w:rPr>
              <w:rFonts w:hint="eastAsia"/>
            </w:rPr>
            <w:t>发行</w:t>
          </w:r>
          <w:r>
            <w:rPr>
              <w:rFonts w:hint="eastAsia"/>
              <w:szCs w:val="21"/>
            </w:rPr>
            <w:t>在外的优先股、永续债等金融工具变动情况表</w:t>
          </w:r>
        </w:p>
        <w:sdt>
          <w:sdtPr>
            <w:alias w:val="是否适用：期末发行在外的优先股、永续债等金融工具变动情况表_其他权益工具[双击切换]"/>
            <w:tag w:val="_GBC_e8c53693e19e485cba80f7cd2a15ab4c"/>
            <w:id w:val="517969431"/>
            <w:lock w:val="sdtContentLocked"/>
            <w:placeholder>
              <w:docPart w:val="GBC22222222222222222222222222222"/>
            </w:placeholder>
          </w:sdtPr>
          <w:sdtContent>
            <w:p w:rsidR="00ED2DC7" w:rsidRDefault="00ED2DC7" w:rsidP="00A14E7E">
              <w:pPr>
                <w:rPr>
                  <w:szCs w:val="21"/>
                </w:rPr>
              </w:pPr>
              <w:r>
                <w:fldChar w:fldCharType="begin"/>
              </w:r>
              <w:r w:rsidR="00A14E7E">
                <w:instrText xml:space="preserve"> MACROBUTTON  SnrToggleCheckbox □适用 </w:instrText>
              </w:r>
              <w:r>
                <w:fldChar w:fldCharType="end"/>
              </w:r>
              <w:r>
                <w:fldChar w:fldCharType="begin"/>
              </w:r>
              <w:r w:rsidR="00A14E7E">
                <w:instrText xml:space="preserve"> MACROBUTTON  SnrToggleCheckbox √不适用 </w:instrText>
              </w:r>
              <w:r>
                <w:fldChar w:fldCharType="end"/>
              </w:r>
            </w:p>
          </w:sdtContent>
        </w:sdt>
        <w:p w:rsidR="00ED2DC7" w:rsidRDefault="00ED2DC7">
          <w:pPr>
            <w:rPr>
              <w:szCs w:val="21"/>
            </w:rPr>
          </w:pPr>
          <w:r>
            <w:rPr>
              <w:rFonts w:hint="eastAsia"/>
              <w:szCs w:val="21"/>
            </w:rPr>
            <w:t>其他权益工具本期增减变动情况、变动原因说明，以及相关会计处理的依据：</w:t>
          </w:r>
        </w:p>
        <w:sdt>
          <w:sdtPr>
            <w:rPr>
              <w:szCs w:val="21"/>
            </w:rPr>
            <w:alias w:val="是否适用：其他权益工具本期增减变动情况、变动原因说明，以及相关会计处理的依据[双击切换]"/>
            <w:tag w:val="_GBC_6229f0070f0a4c838e1e39f678f8a7bb"/>
            <w:id w:val="1295023607"/>
            <w:lock w:val="sdtContentLocked"/>
            <w:placeholder>
              <w:docPart w:val="GBC22222222222222222222222222222"/>
            </w:placeholder>
          </w:sdtPr>
          <w:sdtContent>
            <w:p w:rsidR="00ED2DC7" w:rsidRDefault="00ED2DC7" w:rsidP="00A14E7E">
              <w:pPr>
                <w:rPr>
                  <w:szCs w:val="21"/>
                </w:rPr>
              </w:pPr>
              <w:r>
                <w:rPr>
                  <w:szCs w:val="21"/>
                </w:rPr>
                <w:fldChar w:fldCharType="begin"/>
              </w:r>
              <w:r w:rsidR="00A14E7E">
                <w:rPr>
                  <w:szCs w:val="21"/>
                </w:rPr>
                <w:instrText xml:space="preserve"> MACROBUTTON  SnrToggleCheckbox □适用 </w:instrText>
              </w:r>
              <w:r>
                <w:rPr>
                  <w:szCs w:val="21"/>
                </w:rPr>
                <w:fldChar w:fldCharType="end"/>
              </w:r>
              <w:r>
                <w:rPr>
                  <w:szCs w:val="21"/>
                </w:rPr>
                <w:fldChar w:fldCharType="begin"/>
              </w:r>
              <w:r w:rsidR="00A14E7E">
                <w:rPr>
                  <w:szCs w:val="21"/>
                </w:rPr>
                <w:instrText xml:space="preserve"> MACROBUTTON  SnrToggleCheckbox √不适用 </w:instrText>
              </w:r>
              <w:r>
                <w:rPr>
                  <w:szCs w:val="21"/>
                </w:rPr>
                <w:fldChar w:fldCharType="end"/>
              </w:r>
            </w:p>
          </w:sdtContent>
        </w:sdt>
        <w:p w:rsidR="00ED2DC7" w:rsidRDefault="00ED2DC7">
          <w:pPr>
            <w:rPr>
              <w:szCs w:val="21"/>
            </w:rPr>
          </w:pPr>
        </w:p>
        <w:p w:rsidR="00ED2DC7" w:rsidRDefault="00ED2DC7">
          <w:pPr>
            <w:rPr>
              <w:szCs w:val="21"/>
            </w:rPr>
          </w:pPr>
          <w:r>
            <w:rPr>
              <w:rFonts w:hint="eastAsia"/>
              <w:szCs w:val="21"/>
            </w:rPr>
            <w:t>其他说明:</w:t>
          </w:r>
        </w:p>
        <w:sdt>
          <w:sdtPr>
            <w:rPr>
              <w:szCs w:val="21"/>
            </w:rPr>
            <w:alias w:val="是否适用：其他权益工具的其他说明[双击切换]"/>
            <w:tag w:val="_GBC_297d299126b041159b18d012f9a18c2e"/>
            <w:id w:val="-1139492935"/>
            <w:lock w:val="sdtContentLocked"/>
            <w:placeholder>
              <w:docPart w:val="GBC22222222222222222222222222222"/>
            </w:placeholder>
          </w:sdtPr>
          <w:sdtContent>
            <w:p w:rsidR="00ED2DC7" w:rsidRDefault="00ED2DC7" w:rsidP="00A14E7E">
              <w:pPr>
                <w:rPr>
                  <w:szCs w:val="21"/>
                </w:rPr>
              </w:pPr>
              <w:r>
                <w:rPr>
                  <w:szCs w:val="21"/>
                </w:rPr>
                <w:fldChar w:fldCharType="begin"/>
              </w:r>
              <w:r w:rsidR="00A14E7E">
                <w:rPr>
                  <w:szCs w:val="21"/>
                </w:rPr>
                <w:instrText xml:space="preserve"> MACROBUTTON  SnrToggleCheckbox □适用 </w:instrText>
              </w:r>
              <w:r>
                <w:rPr>
                  <w:szCs w:val="21"/>
                </w:rPr>
                <w:fldChar w:fldCharType="end"/>
              </w:r>
              <w:r>
                <w:rPr>
                  <w:szCs w:val="21"/>
                </w:rPr>
                <w:fldChar w:fldCharType="begin"/>
              </w:r>
              <w:r w:rsidR="00A14E7E">
                <w:rPr>
                  <w:szCs w:val="21"/>
                </w:rPr>
                <w:instrText xml:space="preserve"> MACROBUTTON  SnrToggleCheckbox √不适用 </w:instrText>
              </w:r>
              <w:r>
                <w:rPr>
                  <w:szCs w:val="21"/>
                </w:rPr>
                <w:fldChar w:fldCharType="end"/>
              </w:r>
            </w:p>
          </w:sdtContent>
        </w:sdt>
        <w:p w:rsidR="00ED2DC7" w:rsidRDefault="000D0A99">
          <w:pPr>
            <w:rPr>
              <w:szCs w:val="21"/>
            </w:rPr>
          </w:pPr>
        </w:p>
      </w:sdtContent>
    </w:sdt>
    <w:sdt>
      <w:sdtPr>
        <w:rPr>
          <w:rFonts w:ascii="宋体" w:hAnsi="宋体" w:cs="宋体" w:hint="eastAsia"/>
          <w:b w:val="0"/>
          <w:bCs w:val="0"/>
          <w:kern w:val="0"/>
          <w:szCs w:val="21"/>
        </w:rPr>
        <w:alias w:val="模块:资本公积"/>
        <w:tag w:val="_GBC_23fef1c643714b9f82710e33a1bef935"/>
        <w:id w:val="-142893358"/>
        <w:lock w:val="sdtLocked"/>
        <w:placeholder>
          <w:docPart w:val="GBC22222222222222222222222222222"/>
        </w:placeholder>
      </w:sdtPr>
      <w:sdtEndPr>
        <w:rPr>
          <w:rFonts w:cstheme="minorBidi" w:hint="default"/>
          <w:color w:val="000000" w:themeColor="text1"/>
          <w:kern w:val="2"/>
        </w:rPr>
      </w:sdtEndPr>
      <w:sdtContent>
        <w:p w:rsidR="00ED2DC7" w:rsidRDefault="00ED2DC7" w:rsidP="00036BDC">
          <w:pPr>
            <w:pStyle w:val="affffffffffffffffff1"/>
            <w:numPr>
              <w:ilvl w:val="0"/>
              <w:numId w:val="49"/>
            </w:numPr>
            <w:tabs>
              <w:tab w:val="left" w:pos="504"/>
            </w:tabs>
            <w:rPr>
              <w:rFonts w:ascii="宋体" w:hAnsi="宋体"/>
              <w:szCs w:val="21"/>
            </w:rPr>
          </w:pPr>
          <w:r>
            <w:rPr>
              <w:rFonts w:ascii="宋体" w:hAnsi="宋体" w:hint="eastAsia"/>
              <w:szCs w:val="21"/>
            </w:rPr>
            <w:t>资本公积</w:t>
          </w:r>
        </w:p>
        <w:sdt>
          <w:sdtPr>
            <w:alias w:val="是否适用：资本公积[双击切换]"/>
            <w:tag w:val="_GBC_70f32b67ce344a03adfc93d4ed72949a"/>
            <w:id w:val="1389845706"/>
            <w:lock w:val="sdtContentLocked"/>
            <w:placeholder>
              <w:docPart w:val="GBC22222222222222222222222222222"/>
            </w:placeholder>
          </w:sdtPr>
          <w:sdtContent>
            <w:p w:rsidR="00ED2DC7" w:rsidRDefault="00ED2DC7">
              <w:r>
                <w:fldChar w:fldCharType="begin"/>
              </w:r>
              <w:r w:rsidR="00A14E7E">
                <w:instrText xml:space="preserve"> MACROBUTTON  SnrToggleCheckbox √适用 </w:instrText>
              </w:r>
              <w:r>
                <w:fldChar w:fldCharType="end"/>
              </w:r>
              <w:r>
                <w:fldChar w:fldCharType="begin"/>
              </w:r>
              <w:r w:rsidR="00A14E7E">
                <w:instrText xml:space="preserve"> MACROBUTTON  SnrToggleCheckbox □不适用 </w:instrText>
              </w:r>
              <w:r>
                <w:fldChar w:fldCharType="end"/>
              </w:r>
            </w:p>
          </w:sdtContent>
        </w:sdt>
        <w:p w:rsidR="00ED2DC7" w:rsidRDefault="00ED2DC7">
          <w:pPr>
            <w:jc w:val="right"/>
            <w:rPr>
              <w:szCs w:val="21"/>
            </w:rPr>
          </w:pPr>
          <w:r>
            <w:rPr>
              <w:rFonts w:hint="eastAsia"/>
              <w:szCs w:val="21"/>
            </w:rPr>
            <w:t>单位：</w:t>
          </w:r>
          <w:sdt>
            <w:sdtPr>
              <w:rPr>
                <w:rFonts w:hint="eastAsia"/>
                <w:szCs w:val="21"/>
              </w:rPr>
              <w:alias w:val="单位：财务附注：资本公积"/>
              <w:tag w:val="_GBC_88633009fdc64f4e8238c38541b33615"/>
              <w:id w:val="21771378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hint="eastAsia"/>
                  <w:szCs w:val="21"/>
                </w:rPr>
                <w:t>元</w:t>
              </w:r>
            </w:sdtContent>
          </w:sdt>
          <w:r>
            <w:rPr>
              <w:rFonts w:hint="eastAsia"/>
              <w:szCs w:val="21"/>
            </w:rPr>
            <w:t xml:space="preserve">  币种：</w:t>
          </w:r>
          <w:sdt>
            <w:sdtPr>
              <w:rPr>
                <w:rFonts w:hint="eastAsia"/>
                <w:szCs w:val="21"/>
              </w:rPr>
              <w:alias w:val="币种：财务附注：资本公积"/>
              <w:tag w:val="_GBC_636aa96d47cb426abc64fc00b61c9353"/>
              <w:id w:val="4717917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szCs w:val="21"/>
                </w:rPr>
                <w:t>人民币</w:t>
              </w:r>
            </w:sdtContent>
          </w:sdt>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663"/>
            <w:gridCol w:w="1773"/>
            <w:gridCol w:w="1807"/>
            <w:gridCol w:w="1791"/>
            <w:gridCol w:w="1789"/>
          </w:tblGrid>
          <w:tr w:rsidR="00B637B2" w:rsidTr="00B637B2">
            <w:sdt>
              <w:sdtPr>
                <w:tag w:val="_PLD_177c011500e64862903c4c16dbb2f31f"/>
                <w:id w:val="-93321199"/>
                <w:lock w:val="sdtLocked"/>
              </w:sdtPr>
              <w:sdtContent>
                <w:tc>
                  <w:tcPr>
                    <w:tcW w:w="942" w:type="pct"/>
                    <w:vAlign w:val="center"/>
                  </w:tcPr>
                  <w:p w:rsidR="00B637B2" w:rsidRDefault="008F04CF" w:rsidP="00B637B2">
                    <w:pPr>
                      <w:autoSpaceDE w:val="0"/>
                      <w:autoSpaceDN w:val="0"/>
                      <w:adjustRightInd w:val="0"/>
                      <w:snapToGrid w:val="0"/>
                      <w:jc w:val="center"/>
                      <w:rPr>
                        <w:szCs w:val="21"/>
                      </w:rPr>
                    </w:pPr>
                    <w:r>
                      <w:rPr>
                        <w:rFonts w:hint="eastAsia"/>
                        <w:szCs w:val="21"/>
                      </w:rPr>
                      <w:t>项目</w:t>
                    </w:r>
                  </w:p>
                </w:tc>
              </w:sdtContent>
            </w:sdt>
            <w:sdt>
              <w:sdtPr>
                <w:tag w:val="_PLD_1519f0add67f49df9173f37c00215eef"/>
                <w:id w:val="-1040814623"/>
                <w:lock w:val="sdtLocked"/>
              </w:sdtPr>
              <w:sdtContent>
                <w:tc>
                  <w:tcPr>
                    <w:tcW w:w="1005" w:type="pct"/>
                    <w:vAlign w:val="center"/>
                  </w:tcPr>
                  <w:p w:rsidR="00B637B2" w:rsidRDefault="008F04CF" w:rsidP="00B637B2">
                    <w:pPr>
                      <w:autoSpaceDE w:val="0"/>
                      <w:autoSpaceDN w:val="0"/>
                      <w:adjustRightInd w:val="0"/>
                      <w:snapToGrid w:val="0"/>
                      <w:jc w:val="center"/>
                      <w:rPr>
                        <w:szCs w:val="21"/>
                      </w:rPr>
                    </w:pPr>
                    <w:r>
                      <w:rPr>
                        <w:rFonts w:hint="eastAsia"/>
                        <w:szCs w:val="21"/>
                      </w:rPr>
                      <w:t>期初余额</w:t>
                    </w:r>
                  </w:p>
                </w:tc>
              </w:sdtContent>
            </w:sdt>
            <w:sdt>
              <w:sdtPr>
                <w:tag w:val="_PLD_dcbf1fd9bcaa41fc8ff4def2d0e55143"/>
                <w:id w:val="-1547988517"/>
                <w:lock w:val="sdtLocked"/>
              </w:sdtPr>
              <w:sdtContent>
                <w:tc>
                  <w:tcPr>
                    <w:tcW w:w="1024" w:type="pct"/>
                    <w:vAlign w:val="center"/>
                  </w:tcPr>
                  <w:p w:rsidR="00B637B2" w:rsidRDefault="008F04CF" w:rsidP="00B637B2">
                    <w:pPr>
                      <w:autoSpaceDE w:val="0"/>
                      <w:autoSpaceDN w:val="0"/>
                      <w:adjustRightInd w:val="0"/>
                      <w:snapToGrid w:val="0"/>
                      <w:jc w:val="center"/>
                      <w:rPr>
                        <w:szCs w:val="21"/>
                      </w:rPr>
                    </w:pPr>
                    <w:r>
                      <w:rPr>
                        <w:rFonts w:hint="eastAsia"/>
                        <w:szCs w:val="21"/>
                      </w:rPr>
                      <w:t>本期增加</w:t>
                    </w:r>
                  </w:p>
                </w:tc>
              </w:sdtContent>
            </w:sdt>
            <w:sdt>
              <w:sdtPr>
                <w:tag w:val="_PLD_9d88d0ce99474d389c660c414306497d"/>
                <w:id w:val="-699164584"/>
                <w:lock w:val="sdtLocked"/>
              </w:sdtPr>
              <w:sdtContent>
                <w:tc>
                  <w:tcPr>
                    <w:tcW w:w="1015" w:type="pct"/>
                    <w:vAlign w:val="center"/>
                  </w:tcPr>
                  <w:p w:rsidR="00B637B2" w:rsidRDefault="008F04CF" w:rsidP="00B637B2">
                    <w:pPr>
                      <w:autoSpaceDE w:val="0"/>
                      <w:autoSpaceDN w:val="0"/>
                      <w:adjustRightInd w:val="0"/>
                      <w:snapToGrid w:val="0"/>
                      <w:jc w:val="center"/>
                      <w:rPr>
                        <w:szCs w:val="21"/>
                      </w:rPr>
                    </w:pPr>
                    <w:r>
                      <w:rPr>
                        <w:rFonts w:hint="eastAsia"/>
                        <w:szCs w:val="21"/>
                      </w:rPr>
                      <w:t>本期减少</w:t>
                    </w:r>
                  </w:p>
                </w:tc>
              </w:sdtContent>
            </w:sdt>
            <w:sdt>
              <w:sdtPr>
                <w:tag w:val="_PLD_4c3f2255a4a24c1cae63eb0cc7781f12"/>
                <w:id w:val="-835687884"/>
                <w:lock w:val="sdtLocked"/>
              </w:sdtPr>
              <w:sdtContent>
                <w:tc>
                  <w:tcPr>
                    <w:tcW w:w="1014" w:type="pct"/>
                    <w:vAlign w:val="center"/>
                  </w:tcPr>
                  <w:p w:rsidR="00B637B2" w:rsidRDefault="008F04CF" w:rsidP="00B637B2">
                    <w:pPr>
                      <w:autoSpaceDE w:val="0"/>
                      <w:autoSpaceDN w:val="0"/>
                      <w:adjustRightInd w:val="0"/>
                      <w:snapToGrid w:val="0"/>
                      <w:jc w:val="center"/>
                      <w:rPr>
                        <w:szCs w:val="21"/>
                      </w:rPr>
                    </w:pPr>
                    <w:r>
                      <w:rPr>
                        <w:rFonts w:hint="eastAsia"/>
                        <w:szCs w:val="21"/>
                      </w:rPr>
                      <w:t>期末余额</w:t>
                    </w:r>
                  </w:p>
                </w:tc>
              </w:sdtContent>
            </w:sdt>
          </w:tr>
          <w:tr w:rsidR="00B637B2" w:rsidTr="00B637B2">
            <w:sdt>
              <w:sdtPr>
                <w:tag w:val="_PLD_6f0c6094ea774cff87e6eacd4eb8ba12"/>
                <w:id w:val="-1192530800"/>
                <w:lock w:val="sdtLocked"/>
              </w:sdtPr>
              <w:sdtContent>
                <w:tc>
                  <w:tcPr>
                    <w:tcW w:w="942" w:type="pct"/>
                    <w:shd w:val="clear" w:color="auto" w:fill="auto"/>
                  </w:tcPr>
                  <w:p w:rsidR="00B637B2" w:rsidRDefault="008F04CF" w:rsidP="00B637B2">
                    <w:pPr>
                      <w:autoSpaceDE w:val="0"/>
                      <w:autoSpaceDN w:val="0"/>
                      <w:adjustRightInd w:val="0"/>
                      <w:snapToGrid w:val="0"/>
                      <w:rPr>
                        <w:szCs w:val="21"/>
                      </w:rPr>
                    </w:pPr>
                    <w:r>
                      <w:rPr>
                        <w:rFonts w:hint="eastAsia"/>
                        <w:szCs w:val="21"/>
                      </w:rPr>
                      <w:t>资本溢价（股本溢价</w:t>
                    </w:r>
                    <w:r w:rsidRPr="00C16A32">
                      <w:rPr>
                        <w:rFonts w:hint="eastAsia"/>
                        <w:szCs w:val="21"/>
                      </w:rPr>
                      <w:t>）</w:t>
                    </w:r>
                  </w:p>
                </w:tc>
              </w:sdtContent>
            </w:sdt>
            <w:tc>
              <w:tcPr>
                <w:tcW w:w="1005" w:type="pct"/>
                <w:shd w:val="clear" w:color="auto" w:fill="auto"/>
                <w:vAlign w:val="center"/>
              </w:tcPr>
              <w:p w:rsidR="00B637B2" w:rsidRPr="00327F18" w:rsidRDefault="008F04CF" w:rsidP="00B637B2">
                <w:pPr>
                  <w:jc w:val="right"/>
                </w:pPr>
                <w:r>
                  <w:t>1,780,523,167</w:t>
                </w:r>
              </w:p>
            </w:tc>
            <w:tc>
              <w:tcPr>
                <w:tcW w:w="1024" w:type="pct"/>
                <w:shd w:val="clear" w:color="auto" w:fill="auto"/>
                <w:vAlign w:val="center"/>
              </w:tcPr>
              <w:p w:rsidR="00B637B2" w:rsidRPr="00476AD3" w:rsidRDefault="008F04CF" w:rsidP="00B637B2">
                <w:pPr>
                  <w:jc w:val="right"/>
                </w:pPr>
                <w:r w:rsidRPr="00476AD3">
                  <w:t>-</w:t>
                </w:r>
              </w:p>
            </w:tc>
            <w:tc>
              <w:tcPr>
                <w:tcW w:w="1015" w:type="pct"/>
                <w:shd w:val="clear" w:color="auto" w:fill="auto"/>
                <w:vAlign w:val="center"/>
              </w:tcPr>
              <w:p w:rsidR="00B637B2" w:rsidRPr="007B759D" w:rsidRDefault="008F04CF" w:rsidP="00B637B2">
                <w:pPr>
                  <w:jc w:val="right"/>
                </w:pPr>
                <w:r w:rsidRPr="007B759D">
                  <w:t>577,547,144</w:t>
                </w:r>
              </w:p>
            </w:tc>
            <w:tc>
              <w:tcPr>
                <w:tcW w:w="1014" w:type="pct"/>
                <w:shd w:val="clear" w:color="auto" w:fill="auto"/>
                <w:vAlign w:val="center"/>
              </w:tcPr>
              <w:p w:rsidR="00B637B2" w:rsidRDefault="008F04CF" w:rsidP="00B637B2">
                <w:pPr>
                  <w:autoSpaceDE w:val="0"/>
                  <w:autoSpaceDN w:val="0"/>
                  <w:adjustRightInd w:val="0"/>
                  <w:snapToGrid w:val="0"/>
                  <w:jc w:val="right"/>
                  <w:rPr>
                    <w:szCs w:val="21"/>
                  </w:rPr>
                </w:pPr>
                <w:r>
                  <w:t>1,202,976,023</w:t>
                </w:r>
              </w:p>
            </w:tc>
          </w:tr>
          <w:tr w:rsidR="00B637B2" w:rsidTr="00B637B2">
            <w:sdt>
              <w:sdtPr>
                <w:tag w:val="_PLD_0d65c4a2c84c464d8e7b1cc66155d272"/>
                <w:id w:val="494846843"/>
                <w:lock w:val="sdtLocked"/>
              </w:sdtPr>
              <w:sdtContent>
                <w:tc>
                  <w:tcPr>
                    <w:tcW w:w="942" w:type="pct"/>
                    <w:shd w:val="clear" w:color="auto" w:fill="auto"/>
                  </w:tcPr>
                  <w:p w:rsidR="00B637B2" w:rsidRDefault="008F04CF" w:rsidP="00B637B2">
                    <w:pPr>
                      <w:autoSpaceDE w:val="0"/>
                      <w:autoSpaceDN w:val="0"/>
                      <w:adjustRightInd w:val="0"/>
                      <w:snapToGrid w:val="0"/>
                      <w:rPr>
                        <w:szCs w:val="21"/>
                      </w:rPr>
                    </w:pPr>
                    <w:r>
                      <w:rPr>
                        <w:rFonts w:hint="eastAsia"/>
                        <w:szCs w:val="21"/>
                      </w:rPr>
                      <w:t>其他资本公积</w:t>
                    </w:r>
                  </w:p>
                </w:tc>
              </w:sdtContent>
            </w:sdt>
            <w:tc>
              <w:tcPr>
                <w:tcW w:w="1005" w:type="pct"/>
                <w:shd w:val="clear" w:color="auto" w:fill="auto"/>
                <w:vAlign w:val="center"/>
              </w:tcPr>
              <w:p w:rsidR="00B637B2" w:rsidRPr="00327F18" w:rsidRDefault="008F04CF" w:rsidP="00B637B2">
                <w:pPr>
                  <w:jc w:val="right"/>
                </w:pPr>
                <w:r>
                  <w:rPr>
                    <w:rFonts w:hint="eastAsia"/>
                  </w:rPr>
                  <w:t>-</w:t>
                </w:r>
              </w:p>
            </w:tc>
            <w:tc>
              <w:tcPr>
                <w:tcW w:w="1024" w:type="pct"/>
                <w:shd w:val="clear" w:color="auto" w:fill="auto"/>
                <w:vAlign w:val="center"/>
              </w:tcPr>
              <w:p w:rsidR="00B637B2" w:rsidRPr="00476AD3" w:rsidRDefault="008F04CF" w:rsidP="00B637B2">
                <w:pPr>
                  <w:jc w:val="right"/>
                </w:pPr>
                <w:r>
                  <w:rPr>
                    <w:rFonts w:hint="eastAsia"/>
                  </w:rPr>
                  <w:t>-</w:t>
                </w:r>
              </w:p>
            </w:tc>
            <w:tc>
              <w:tcPr>
                <w:tcW w:w="1015" w:type="pct"/>
                <w:shd w:val="clear" w:color="auto" w:fill="auto"/>
                <w:vAlign w:val="center"/>
              </w:tcPr>
              <w:p w:rsidR="00B637B2" w:rsidRPr="007B759D" w:rsidRDefault="008F04CF" w:rsidP="00B637B2">
                <w:pPr>
                  <w:jc w:val="right"/>
                </w:pPr>
                <w:r w:rsidRPr="007B759D">
                  <w:t>-</w:t>
                </w:r>
              </w:p>
            </w:tc>
            <w:tc>
              <w:tcPr>
                <w:tcW w:w="1014" w:type="pct"/>
                <w:shd w:val="clear" w:color="auto" w:fill="auto"/>
                <w:vAlign w:val="center"/>
              </w:tcPr>
              <w:p w:rsidR="00B637B2" w:rsidRDefault="008F04CF" w:rsidP="00B637B2">
                <w:pPr>
                  <w:autoSpaceDE w:val="0"/>
                  <w:autoSpaceDN w:val="0"/>
                  <w:adjustRightInd w:val="0"/>
                  <w:snapToGrid w:val="0"/>
                  <w:jc w:val="right"/>
                  <w:rPr>
                    <w:szCs w:val="21"/>
                  </w:rPr>
                </w:pPr>
                <w:r>
                  <w:rPr>
                    <w:rFonts w:hint="eastAsia"/>
                    <w:szCs w:val="21"/>
                  </w:rPr>
                  <w:t>-</w:t>
                </w:r>
              </w:p>
            </w:tc>
          </w:tr>
          <w:sdt>
            <w:sdtPr>
              <w:rPr>
                <w:rFonts w:asciiTheme="minorHAnsi" w:eastAsiaTheme="minorEastAsia" w:hAnsiTheme="minorHAnsi" w:cstheme="minorBidi" w:hint="eastAsia"/>
                <w:kern w:val="2"/>
                <w:szCs w:val="21"/>
              </w:rPr>
              <w:alias w:val="资本公积列项明细"/>
              <w:tag w:val="_GBC_902bf873b0134f1f82fab45d702c1204"/>
              <w:id w:val="-1260364313"/>
              <w:lock w:val="sdtLocked"/>
            </w:sdtPr>
            <w:sdtContent>
              <w:tr w:rsidR="00B637B2" w:rsidTr="00B637B2">
                <w:tc>
                  <w:tcPr>
                    <w:tcW w:w="942" w:type="pct"/>
                  </w:tcPr>
                  <w:p w:rsidR="00B637B2" w:rsidRDefault="008F04CF" w:rsidP="00B637B2">
                    <w:pPr>
                      <w:rPr>
                        <w:szCs w:val="21"/>
                      </w:rPr>
                    </w:pPr>
                    <w:r>
                      <w:rPr>
                        <w:rFonts w:asciiTheme="minorHAnsi" w:eastAsiaTheme="minorEastAsia" w:hAnsiTheme="minorHAnsi" w:cstheme="minorBidi" w:hint="eastAsia"/>
                        <w:kern w:val="2"/>
                        <w:szCs w:val="21"/>
                      </w:rPr>
                      <w:t>股权激励成本</w:t>
                    </w:r>
                  </w:p>
                </w:tc>
                <w:tc>
                  <w:tcPr>
                    <w:tcW w:w="1005" w:type="pct"/>
                    <w:vAlign w:val="center"/>
                  </w:tcPr>
                  <w:p w:rsidR="00B637B2" w:rsidRPr="00327F18" w:rsidRDefault="008F04CF" w:rsidP="00B637B2">
                    <w:pPr>
                      <w:jc w:val="right"/>
                    </w:pPr>
                    <w:r>
                      <w:t>544,261,377</w:t>
                    </w:r>
                  </w:p>
                </w:tc>
                <w:tc>
                  <w:tcPr>
                    <w:tcW w:w="1024" w:type="pct"/>
                    <w:vAlign w:val="center"/>
                  </w:tcPr>
                  <w:p w:rsidR="00B637B2" w:rsidRPr="00476AD3" w:rsidRDefault="008F04CF" w:rsidP="00B637B2">
                    <w:pPr>
                      <w:jc w:val="right"/>
                    </w:pPr>
                    <w:r>
                      <w:t>56,277,999</w:t>
                    </w:r>
                  </w:p>
                </w:tc>
                <w:tc>
                  <w:tcPr>
                    <w:tcW w:w="1015" w:type="pct"/>
                    <w:vAlign w:val="center"/>
                  </w:tcPr>
                  <w:p w:rsidR="00B637B2" w:rsidRPr="007B759D" w:rsidRDefault="008F04CF" w:rsidP="00B637B2">
                    <w:pPr>
                      <w:jc w:val="right"/>
                    </w:pPr>
                    <w:r>
                      <w:t>-</w:t>
                    </w:r>
                  </w:p>
                </w:tc>
                <w:tc>
                  <w:tcPr>
                    <w:tcW w:w="1014" w:type="pct"/>
                    <w:vAlign w:val="center"/>
                  </w:tcPr>
                  <w:p w:rsidR="00B637B2" w:rsidRDefault="008F04CF" w:rsidP="00B637B2">
                    <w:pPr>
                      <w:jc w:val="right"/>
                      <w:rPr>
                        <w:szCs w:val="21"/>
                      </w:rPr>
                    </w:pPr>
                    <w:r>
                      <w:t>600,539,376</w:t>
                    </w:r>
                  </w:p>
                </w:tc>
              </w:tr>
            </w:sdtContent>
          </w:sdt>
          <w:sdt>
            <w:sdtPr>
              <w:rPr>
                <w:rFonts w:asciiTheme="minorHAnsi" w:eastAsiaTheme="minorEastAsia" w:hAnsiTheme="minorHAnsi" w:cstheme="minorBidi" w:hint="eastAsia"/>
                <w:kern w:val="2"/>
                <w:szCs w:val="21"/>
              </w:rPr>
              <w:alias w:val="资本公积列项明细"/>
              <w:tag w:val="_GBC_902bf873b0134f1f82fab45d702c1204"/>
              <w:id w:val="-994260775"/>
              <w:lock w:val="sdtLocked"/>
            </w:sdtPr>
            <w:sdtContent>
              <w:tr w:rsidR="00B637B2" w:rsidTr="00B637B2">
                <w:tc>
                  <w:tcPr>
                    <w:tcW w:w="942" w:type="pct"/>
                  </w:tcPr>
                  <w:p w:rsidR="00B637B2" w:rsidRDefault="008F04CF" w:rsidP="00B637B2">
                    <w:pPr>
                      <w:rPr>
                        <w:szCs w:val="21"/>
                      </w:rPr>
                    </w:pPr>
                    <w:r>
                      <w:t>新股申购冻结资金利息</w:t>
                    </w:r>
                  </w:p>
                </w:tc>
                <w:tc>
                  <w:tcPr>
                    <w:tcW w:w="1005" w:type="pct"/>
                    <w:vAlign w:val="center"/>
                  </w:tcPr>
                  <w:p w:rsidR="00B637B2" w:rsidRPr="00327F18" w:rsidRDefault="008F04CF" w:rsidP="00B637B2">
                    <w:pPr>
                      <w:jc w:val="right"/>
                    </w:pPr>
                    <w:r>
                      <w:t xml:space="preserve"> 20,148,153</w:t>
                    </w:r>
                  </w:p>
                </w:tc>
                <w:tc>
                  <w:tcPr>
                    <w:tcW w:w="1024" w:type="pct"/>
                    <w:vAlign w:val="center"/>
                  </w:tcPr>
                  <w:p w:rsidR="00B637B2" w:rsidRPr="00476AD3" w:rsidRDefault="008F04CF" w:rsidP="00B637B2">
                    <w:pPr>
                      <w:jc w:val="right"/>
                    </w:pPr>
                    <w:r w:rsidRPr="00476AD3">
                      <w:t>-</w:t>
                    </w:r>
                  </w:p>
                </w:tc>
                <w:tc>
                  <w:tcPr>
                    <w:tcW w:w="1015" w:type="pct"/>
                    <w:vAlign w:val="center"/>
                  </w:tcPr>
                  <w:p w:rsidR="00B637B2" w:rsidRPr="007B759D" w:rsidRDefault="008F04CF" w:rsidP="00B637B2">
                    <w:pPr>
                      <w:jc w:val="right"/>
                    </w:pPr>
                    <w:r w:rsidRPr="007B759D">
                      <w:t>-</w:t>
                    </w:r>
                  </w:p>
                </w:tc>
                <w:tc>
                  <w:tcPr>
                    <w:tcW w:w="1014" w:type="pct"/>
                    <w:vAlign w:val="center"/>
                  </w:tcPr>
                  <w:p w:rsidR="00B637B2" w:rsidRDefault="008F04CF" w:rsidP="00B637B2">
                    <w:pPr>
                      <w:jc w:val="right"/>
                      <w:rPr>
                        <w:szCs w:val="21"/>
                      </w:rPr>
                    </w:pPr>
                    <w:r>
                      <w:t>20,148,153</w:t>
                    </w:r>
                  </w:p>
                </w:tc>
              </w:tr>
            </w:sdtContent>
          </w:sdt>
          <w:sdt>
            <w:sdtPr>
              <w:rPr>
                <w:rFonts w:asciiTheme="minorHAnsi" w:eastAsiaTheme="minorEastAsia" w:hAnsiTheme="minorHAnsi" w:cstheme="minorBidi" w:hint="eastAsia"/>
                <w:kern w:val="2"/>
                <w:szCs w:val="21"/>
              </w:rPr>
              <w:alias w:val="资本公积列项明细"/>
              <w:tag w:val="_GBC_902bf873b0134f1f82fab45d702c1204"/>
              <w:id w:val="-1501503265"/>
              <w:lock w:val="sdtLocked"/>
            </w:sdtPr>
            <w:sdtContent>
              <w:tr w:rsidR="00B637B2" w:rsidTr="00B637B2">
                <w:tc>
                  <w:tcPr>
                    <w:tcW w:w="942" w:type="pct"/>
                  </w:tcPr>
                  <w:p w:rsidR="00B637B2" w:rsidRDefault="008F04CF" w:rsidP="00B637B2">
                    <w:pPr>
                      <w:rPr>
                        <w:szCs w:val="21"/>
                      </w:rPr>
                    </w:pPr>
                    <w:r>
                      <w:t>关联交易差价</w:t>
                    </w:r>
                  </w:p>
                </w:tc>
                <w:tc>
                  <w:tcPr>
                    <w:tcW w:w="1005" w:type="pct"/>
                    <w:vAlign w:val="center"/>
                  </w:tcPr>
                  <w:p w:rsidR="00B637B2" w:rsidRPr="00327F18" w:rsidRDefault="008F04CF" w:rsidP="00B637B2">
                    <w:pPr>
                      <w:jc w:val="right"/>
                    </w:pPr>
                    <w:r>
                      <w:t>17,969,348</w:t>
                    </w:r>
                  </w:p>
                </w:tc>
                <w:tc>
                  <w:tcPr>
                    <w:tcW w:w="1024" w:type="pct"/>
                    <w:vAlign w:val="center"/>
                  </w:tcPr>
                  <w:p w:rsidR="00B637B2" w:rsidRPr="00476AD3" w:rsidRDefault="008F04CF" w:rsidP="00B637B2">
                    <w:pPr>
                      <w:jc w:val="right"/>
                    </w:pPr>
                    <w:r w:rsidRPr="00476AD3">
                      <w:t>-</w:t>
                    </w:r>
                  </w:p>
                </w:tc>
                <w:tc>
                  <w:tcPr>
                    <w:tcW w:w="1015" w:type="pct"/>
                    <w:vAlign w:val="center"/>
                  </w:tcPr>
                  <w:p w:rsidR="00B637B2" w:rsidRPr="007B759D" w:rsidRDefault="008F04CF" w:rsidP="00B637B2">
                    <w:pPr>
                      <w:jc w:val="right"/>
                    </w:pPr>
                    <w:r w:rsidRPr="007B759D">
                      <w:t>-</w:t>
                    </w:r>
                  </w:p>
                </w:tc>
                <w:tc>
                  <w:tcPr>
                    <w:tcW w:w="1014" w:type="pct"/>
                    <w:vAlign w:val="center"/>
                  </w:tcPr>
                  <w:p w:rsidR="00B637B2" w:rsidRDefault="008F04CF" w:rsidP="00B637B2">
                    <w:pPr>
                      <w:jc w:val="right"/>
                      <w:rPr>
                        <w:szCs w:val="21"/>
                      </w:rPr>
                    </w:pPr>
                    <w:r>
                      <w:t>17,969,348</w:t>
                    </w:r>
                  </w:p>
                </w:tc>
              </w:tr>
            </w:sdtContent>
          </w:sdt>
          <w:sdt>
            <w:sdtPr>
              <w:rPr>
                <w:rFonts w:asciiTheme="minorHAnsi" w:eastAsiaTheme="minorEastAsia" w:hAnsiTheme="minorHAnsi" w:cstheme="minorBidi" w:hint="eastAsia"/>
                <w:kern w:val="2"/>
                <w:szCs w:val="21"/>
              </w:rPr>
              <w:alias w:val="资本公积列项明细"/>
              <w:tag w:val="_GBC_902bf873b0134f1f82fab45d702c1204"/>
              <w:id w:val="728505744"/>
              <w:lock w:val="sdtLocked"/>
            </w:sdtPr>
            <w:sdtContent>
              <w:tr w:rsidR="00B637B2" w:rsidTr="00B637B2">
                <w:tc>
                  <w:tcPr>
                    <w:tcW w:w="942" w:type="pct"/>
                  </w:tcPr>
                  <w:p w:rsidR="00B637B2" w:rsidRDefault="008F04CF" w:rsidP="00B637B2">
                    <w:pPr>
                      <w:rPr>
                        <w:szCs w:val="21"/>
                      </w:rPr>
                    </w:pPr>
                    <w:r>
                      <w:t>少数股东股权变动</w:t>
                    </w:r>
                  </w:p>
                </w:tc>
                <w:tc>
                  <w:tcPr>
                    <w:tcW w:w="1005" w:type="pct"/>
                    <w:vAlign w:val="center"/>
                  </w:tcPr>
                  <w:p w:rsidR="00B637B2" w:rsidRPr="00327F18" w:rsidRDefault="008F04CF" w:rsidP="00B637B2">
                    <w:pPr>
                      <w:jc w:val="right"/>
                    </w:pPr>
                    <w:r w:rsidRPr="00327F18">
                      <w:t>-156,978,355</w:t>
                    </w:r>
                  </w:p>
                </w:tc>
                <w:tc>
                  <w:tcPr>
                    <w:tcW w:w="1024" w:type="pct"/>
                    <w:vAlign w:val="center"/>
                  </w:tcPr>
                  <w:p w:rsidR="00B637B2" w:rsidRPr="00476AD3" w:rsidRDefault="008F04CF" w:rsidP="00B637B2">
                    <w:pPr>
                      <w:jc w:val="right"/>
                    </w:pPr>
                    <w:r w:rsidRPr="00476AD3">
                      <w:t>-</w:t>
                    </w:r>
                  </w:p>
                </w:tc>
                <w:tc>
                  <w:tcPr>
                    <w:tcW w:w="1015" w:type="pct"/>
                    <w:vAlign w:val="center"/>
                  </w:tcPr>
                  <w:p w:rsidR="00B637B2" w:rsidRPr="007B759D" w:rsidRDefault="008F04CF" w:rsidP="00B637B2">
                    <w:pPr>
                      <w:jc w:val="right"/>
                    </w:pPr>
                    <w:r w:rsidRPr="007B759D">
                      <w:t>1,886,466</w:t>
                    </w:r>
                  </w:p>
                </w:tc>
                <w:tc>
                  <w:tcPr>
                    <w:tcW w:w="1014" w:type="pct"/>
                    <w:vAlign w:val="center"/>
                  </w:tcPr>
                  <w:p w:rsidR="00B637B2" w:rsidRDefault="008F04CF" w:rsidP="00B637B2">
                    <w:pPr>
                      <w:jc w:val="right"/>
                      <w:rPr>
                        <w:szCs w:val="21"/>
                      </w:rPr>
                    </w:pPr>
                    <w:r>
                      <w:t>-158,864,821</w:t>
                    </w:r>
                  </w:p>
                </w:tc>
              </w:tr>
            </w:sdtContent>
          </w:sdt>
          <w:sdt>
            <w:sdtPr>
              <w:rPr>
                <w:rFonts w:asciiTheme="minorHAnsi" w:eastAsiaTheme="minorEastAsia" w:hAnsiTheme="minorHAnsi" w:cstheme="minorBidi" w:hint="eastAsia"/>
                <w:kern w:val="2"/>
                <w:szCs w:val="21"/>
              </w:rPr>
              <w:alias w:val="资本公积列项明细"/>
              <w:tag w:val="_GBC_902bf873b0134f1f82fab45d702c1204"/>
              <w:id w:val="1937481177"/>
              <w:lock w:val="sdtLocked"/>
            </w:sdtPr>
            <w:sdtContent>
              <w:tr w:rsidR="00B637B2" w:rsidTr="00B637B2">
                <w:tc>
                  <w:tcPr>
                    <w:tcW w:w="942" w:type="pct"/>
                  </w:tcPr>
                  <w:p w:rsidR="00B637B2" w:rsidRDefault="008F04CF" w:rsidP="00B637B2">
                    <w:pPr>
                      <w:rPr>
                        <w:szCs w:val="21"/>
                      </w:rPr>
                    </w:pPr>
                    <w:r>
                      <w:t>其他</w:t>
                    </w:r>
                  </w:p>
                </w:tc>
                <w:tc>
                  <w:tcPr>
                    <w:tcW w:w="1005" w:type="pct"/>
                    <w:vAlign w:val="center"/>
                  </w:tcPr>
                  <w:p w:rsidR="00B637B2" w:rsidRDefault="008F04CF" w:rsidP="00B637B2">
                    <w:pPr>
                      <w:jc w:val="right"/>
                    </w:pPr>
                    <w:r w:rsidRPr="00327F18">
                      <w:t>-85,164,900</w:t>
                    </w:r>
                  </w:p>
                </w:tc>
                <w:tc>
                  <w:tcPr>
                    <w:tcW w:w="1024" w:type="pct"/>
                    <w:vAlign w:val="center"/>
                  </w:tcPr>
                  <w:p w:rsidR="00B637B2" w:rsidRDefault="008F04CF" w:rsidP="00B637B2">
                    <w:pPr>
                      <w:jc w:val="right"/>
                    </w:pPr>
                    <w:r w:rsidRPr="00476AD3">
                      <w:t>1,104,646</w:t>
                    </w:r>
                  </w:p>
                </w:tc>
                <w:tc>
                  <w:tcPr>
                    <w:tcW w:w="1015" w:type="pct"/>
                    <w:vAlign w:val="center"/>
                  </w:tcPr>
                  <w:p w:rsidR="00B637B2" w:rsidRDefault="008F04CF" w:rsidP="00B637B2">
                    <w:pPr>
                      <w:jc w:val="right"/>
                    </w:pPr>
                    <w:r w:rsidRPr="007B759D">
                      <w:t>1,414,687</w:t>
                    </w:r>
                  </w:p>
                </w:tc>
                <w:tc>
                  <w:tcPr>
                    <w:tcW w:w="1014" w:type="pct"/>
                    <w:vAlign w:val="center"/>
                  </w:tcPr>
                  <w:p w:rsidR="00B637B2" w:rsidRDefault="008F04CF" w:rsidP="00B637B2">
                    <w:pPr>
                      <w:jc w:val="right"/>
                      <w:rPr>
                        <w:szCs w:val="21"/>
                      </w:rPr>
                    </w:pPr>
                    <w:r>
                      <w:t>-85,474,941</w:t>
                    </w:r>
                  </w:p>
                </w:tc>
              </w:tr>
            </w:sdtContent>
          </w:sdt>
          <w:tr w:rsidR="00B637B2" w:rsidTr="00B637B2">
            <w:sdt>
              <w:sdtPr>
                <w:tag w:val="_PLD_2d6988ed902d4f2a9c423d885cfc336e"/>
                <w:id w:val="-24633345"/>
                <w:lock w:val="sdtLocked"/>
              </w:sdtPr>
              <w:sdtContent>
                <w:tc>
                  <w:tcPr>
                    <w:tcW w:w="942" w:type="pct"/>
                    <w:vAlign w:val="center"/>
                  </w:tcPr>
                  <w:p w:rsidR="00B637B2" w:rsidRDefault="008F04CF" w:rsidP="00B637B2">
                    <w:pPr>
                      <w:autoSpaceDE w:val="0"/>
                      <w:autoSpaceDN w:val="0"/>
                      <w:adjustRightInd w:val="0"/>
                      <w:snapToGrid w:val="0"/>
                      <w:jc w:val="center"/>
                      <w:rPr>
                        <w:szCs w:val="21"/>
                      </w:rPr>
                    </w:pPr>
                    <w:r>
                      <w:rPr>
                        <w:rFonts w:hint="eastAsia"/>
                        <w:szCs w:val="21"/>
                      </w:rPr>
                      <w:t>合计</w:t>
                    </w:r>
                  </w:p>
                </w:tc>
              </w:sdtContent>
            </w:sdt>
            <w:tc>
              <w:tcPr>
                <w:tcW w:w="1005" w:type="pct"/>
                <w:vAlign w:val="center"/>
              </w:tcPr>
              <w:p w:rsidR="00B637B2" w:rsidRDefault="008F04CF" w:rsidP="00B637B2">
                <w:pPr>
                  <w:autoSpaceDE w:val="0"/>
                  <w:autoSpaceDN w:val="0"/>
                  <w:adjustRightInd w:val="0"/>
                  <w:snapToGrid w:val="0"/>
                  <w:jc w:val="right"/>
                  <w:rPr>
                    <w:szCs w:val="21"/>
                  </w:rPr>
                </w:pPr>
                <w:r w:rsidRPr="00931B11">
                  <w:rPr>
                    <w:szCs w:val="21"/>
                  </w:rPr>
                  <w:t>2,120,758,790</w:t>
                </w:r>
              </w:p>
            </w:tc>
            <w:tc>
              <w:tcPr>
                <w:tcW w:w="1024" w:type="pct"/>
                <w:vAlign w:val="center"/>
              </w:tcPr>
              <w:p w:rsidR="00B637B2" w:rsidRDefault="008F04CF" w:rsidP="00B637B2">
                <w:pPr>
                  <w:autoSpaceDE w:val="0"/>
                  <w:autoSpaceDN w:val="0"/>
                  <w:adjustRightInd w:val="0"/>
                  <w:snapToGrid w:val="0"/>
                  <w:jc w:val="right"/>
                  <w:rPr>
                    <w:szCs w:val="21"/>
                  </w:rPr>
                </w:pPr>
                <w:r w:rsidRPr="00931B11">
                  <w:rPr>
                    <w:szCs w:val="21"/>
                  </w:rPr>
                  <w:t>57,382,645</w:t>
                </w:r>
              </w:p>
            </w:tc>
            <w:tc>
              <w:tcPr>
                <w:tcW w:w="1015" w:type="pct"/>
                <w:vAlign w:val="center"/>
              </w:tcPr>
              <w:p w:rsidR="00B637B2" w:rsidRDefault="008F04CF" w:rsidP="00B637B2">
                <w:pPr>
                  <w:autoSpaceDE w:val="0"/>
                  <w:autoSpaceDN w:val="0"/>
                  <w:adjustRightInd w:val="0"/>
                  <w:snapToGrid w:val="0"/>
                  <w:jc w:val="right"/>
                  <w:rPr>
                    <w:szCs w:val="21"/>
                  </w:rPr>
                </w:pPr>
                <w:r w:rsidRPr="00931B11">
                  <w:rPr>
                    <w:szCs w:val="21"/>
                  </w:rPr>
                  <w:t>580,848,297</w:t>
                </w:r>
              </w:p>
            </w:tc>
            <w:tc>
              <w:tcPr>
                <w:tcW w:w="1014" w:type="pct"/>
                <w:vAlign w:val="center"/>
              </w:tcPr>
              <w:p w:rsidR="00B637B2" w:rsidRDefault="008F04CF" w:rsidP="00B637B2">
                <w:pPr>
                  <w:autoSpaceDE w:val="0"/>
                  <w:autoSpaceDN w:val="0"/>
                  <w:adjustRightInd w:val="0"/>
                  <w:snapToGrid w:val="0"/>
                  <w:jc w:val="right"/>
                  <w:rPr>
                    <w:szCs w:val="21"/>
                  </w:rPr>
                </w:pPr>
                <w:r w:rsidRPr="00371F0E">
                  <w:rPr>
                    <w:szCs w:val="21"/>
                  </w:rPr>
                  <w:t>1,597,293,138</w:t>
                </w:r>
              </w:p>
            </w:tc>
          </w:tr>
        </w:tbl>
        <w:p w:rsidR="00B637B2" w:rsidRDefault="00B637B2"/>
        <w:p w:rsidR="00ED2DC7" w:rsidRDefault="00ED2DC7">
          <w:pPr>
            <w:rPr>
              <w:szCs w:val="21"/>
            </w:rPr>
          </w:pPr>
          <w:r>
            <w:rPr>
              <w:rFonts w:hint="eastAsia"/>
              <w:szCs w:val="21"/>
            </w:rPr>
            <w:t>其他说明，包括本期增减变动情况、变动原因说明：</w:t>
          </w:r>
        </w:p>
        <w:sdt>
          <w:sdtPr>
            <w:rPr>
              <w:szCs w:val="21"/>
            </w:rPr>
            <w:alias w:val="资本公积说明"/>
            <w:tag w:val="_GBC_014f0762b4274266bec2aa5231aa0981"/>
            <w:id w:val="-1135098631"/>
            <w:lock w:val="sdtLocked"/>
            <w:placeholder>
              <w:docPart w:val="GBC22222222222222222222222222222"/>
            </w:placeholder>
          </w:sdtPr>
          <w:sdtContent>
            <w:p w:rsidR="00B735D2" w:rsidRPr="00B735D2" w:rsidRDefault="00B735D2" w:rsidP="00B735D2">
              <w:pPr>
                <w:rPr>
                  <w:szCs w:val="21"/>
                </w:rPr>
              </w:pPr>
              <w:r w:rsidRPr="00B735D2">
                <w:rPr>
                  <w:rFonts w:hint="eastAsia"/>
                  <w:szCs w:val="21"/>
                </w:rPr>
                <w:t>注</w:t>
              </w:r>
              <w:r w:rsidRPr="00B735D2">
                <w:rPr>
                  <w:szCs w:val="21"/>
                </w:rPr>
                <w:t>1．</w:t>
              </w:r>
              <w:r w:rsidRPr="00B735D2">
                <w:rPr>
                  <w:szCs w:val="21"/>
                </w:rPr>
                <w:tab/>
                <w:t>本期股本溢价减少主要是由本公司本期资本公积转增股本导致。</w:t>
              </w:r>
            </w:p>
            <w:p w:rsidR="00B735D2" w:rsidRPr="00B735D2" w:rsidRDefault="00B735D2" w:rsidP="00B735D2">
              <w:pPr>
                <w:rPr>
                  <w:szCs w:val="21"/>
                </w:rPr>
              </w:pPr>
            </w:p>
            <w:p w:rsidR="00B735D2" w:rsidRPr="00B735D2" w:rsidRDefault="00B735D2" w:rsidP="00B735D2">
              <w:pPr>
                <w:rPr>
                  <w:szCs w:val="21"/>
                </w:rPr>
              </w:pPr>
              <w:r w:rsidRPr="00B735D2">
                <w:rPr>
                  <w:rFonts w:hint="eastAsia"/>
                  <w:szCs w:val="21"/>
                </w:rPr>
                <w:t>注</w:t>
              </w:r>
              <w:r w:rsidRPr="00B735D2">
                <w:rPr>
                  <w:szCs w:val="21"/>
                </w:rPr>
                <w:t>2．</w:t>
              </w:r>
              <w:r w:rsidRPr="00B735D2">
                <w:rPr>
                  <w:szCs w:val="21"/>
                </w:rPr>
                <w:tab/>
                <w:t>本期股权激励成本主要由本公司及畅捷通的股份支付计划形成，参见附注十一。除此之外本年用友汽车、新道科技、用友金融对各自进行的股权激励确认了相应的股权激励成本。</w:t>
              </w:r>
            </w:p>
            <w:p w:rsidR="00B735D2" w:rsidRPr="00B735D2" w:rsidRDefault="00B735D2" w:rsidP="00B735D2">
              <w:pPr>
                <w:rPr>
                  <w:szCs w:val="21"/>
                </w:rPr>
              </w:pPr>
            </w:p>
            <w:p w:rsidR="00ED2DC7" w:rsidRDefault="00B735D2" w:rsidP="00B735D2">
              <w:pPr>
                <w:rPr>
                  <w:szCs w:val="21"/>
                </w:rPr>
              </w:pPr>
              <w:r w:rsidRPr="00B735D2">
                <w:rPr>
                  <w:rFonts w:hint="eastAsia"/>
                  <w:szCs w:val="21"/>
                </w:rPr>
                <w:t>注</w:t>
              </w:r>
              <w:r w:rsidRPr="00B735D2">
                <w:rPr>
                  <w:szCs w:val="21"/>
                </w:rPr>
                <w:t>3．</w:t>
              </w:r>
              <w:r w:rsidRPr="00B735D2">
                <w:rPr>
                  <w:szCs w:val="21"/>
                </w:rPr>
                <w:tab/>
                <w:t>本期少数股权变动引起的资本公积减少主要由本公司之子公司红火台少数股东增资导致。</w:t>
              </w:r>
            </w:p>
          </w:sdtContent>
        </w:sdt>
      </w:sdtContent>
    </w:sdt>
    <w:p w:rsidR="00ED2DC7" w:rsidRDefault="00ED2DC7">
      <w:pPr>
        <w:rPr>
          <w:szCs w:val="21"/>
        </w:rPr>
      </w:pPr>
    </w:p>
    <w:sdt>
      <w:sdtPr>
        <w:rPr>
          <w:rFonts w:ascii="宋体" w:hAnsi="宋体" w:cs="宋体" w:hint="eastAsia"/>
          <w:b w:val="0"/>
          <w:bCs w:val="0"/>
          <w:kern w:val="0"/>
          <w:szCs w:val="21"/>
        </w:rPr>
        <w:alias w:val="模块:库存股"/>
        <w:tag w:val="_GBC_02198eb4b89045c5af2f3bcd240e18af"/>
        <w:id w:val="-117830202"/>
        <w:lock w:val="sdtLocked"/>
        <w:placeholder>
          <w:docPart w:val="GBC22222222222222222222222222222"/>
        </w:placeholder>
      </w:sdtPr>
      <w:sdtEndPr>
        <w:rPr>
          <w:rFonts w:cstheme="minorBidi" w:hint="default"/>
          <w:color w:val="000000" w:themeColor="text1"/>
          <w:kern w:val="2"/>
        </w:rPr>
      </w:sdtEndPr>
      <w:sdtContent>
        <w:p w:rsidR="00ED2DC7" w:rsidRDefault="00ED2DC7" w:rsidP="00036BDC">
          <w:pPr>
            <w:pStyle w:val="affffffffffffffffff1"/>
            <w:numPr>
              <w:ilvl w:val="0"/>
              <w:numId w:val="49"/>
            </w:numPr>
            <w:tabs>
              <w:tab w:val="left" w:pos="504"/>
            </w:tabs>
            <w:rPr>
              <w:rFonts w:ascii="宋体" w:hAnsi="宋体"/>
              <w:szCs w:val="21"/>
            </w:rPr>
          </w:pPr>
          <w:r>
            <w:rPr>
              <w:rFonts w:ascii="宋体" w:hAnsi="宋体" w:hint="eastAsia"/>
              <w:szCs w:val="21"/>
            </w:rPr>
            <w:t>库存股</w:t>
          </w:r>
        </w:p>
        <w:sdt>
          <w:sdtPr>
            <w:alias w:val="是否适用：库存股[双击切换]"/>
            <w:tag w:val="_GBC_4aa47a6d9b1044aa8a049146d42c3e9c"/>
            <w:id w:val="1157338816"/>
            <w:lock w:val="sdtContentLocked"/>
            <w:placeholder>
              <w:docPart w:val="GBC22222222222222222222222222222"/>
            </w:placeholder>
          </w:sdtPr>
          <w:sdtContent>
            <w:p w:rsidR="00ED2DC7" w:rsidRDefault="00ED2DC7">
              <w:r>
                <w:fldChar w:fldCharType="begin"/>
              </w:r>
              <w:r w:rsidR="002472CA">
                <w:instrText xml:space="preserve"> MACROBUTTON  SnrToggleCheckbox √适用 </w:instrText>
              </w:r>
              <w:r>
                <w:fldChar w:fldCharType="end"/>
              </w:r>
              <w:r>
                <w:fldChar w:fldCharType="begin"/>
              </w:r>
              <w:r w:rsidR="002472CA">
                <w:instrText xml:space="preserve"> MACROBUTTON  SnrToggleCheckbox □不适用 </w:instrText>
              </w:r>
              <w:r>
                <w:fldChar w:fldCharType="end"/>
              </w:r>
            </w:p>
          </w:sdtContent>
        </w:sdt>
        <w:p w:rsidR="00ED2DC7" w:rsidRDefault="00ED2DC7">
          <w:pPr>
            <w:pStyle w:val="afffffffffffffffffff3"/>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库存股"/>
              <w:tag w:val="_GBC_2ec7280618184a6dbf8764020927134a"/>
              <w:id w:val="-16880554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库存股"/>
              <w:tag w:val="_GBC_bcf1b0dc9f44435981af64b6d69d6045"/>
              <w:id w:val="10312279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ascii="宋体" w:hAnsi="宋体" w:hint="eastAsia"/>
                  <w:szCs w:val="21"/>
                </w:rPr>
                <w:t>人民币</w:t>
              </w:r>
            </w:sdtContent>
          </w:sdt>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668"/>
            <w:gridCol w:w="1761"/>
            <w:gridCol w:w="1789"/>
            <w:gridCol w:w="1802"/>
            <w:gridCol w:w="1803"/>
          </w:tblGrid>
          <w:tr w:rsidR="00ED2DC7" w:rsidTr="00474A51">
            <w:sdt>
              <w:sdtPr>
                <w:tag w:val="_PLD_b46e14f0143b428d91ebe5e1885be6ac"/>
                <w:id w:val="1573161822"/>
                <w:lock w:val="sdtLocked"/>
              </w:sdtPr>
              <w:sdtContent>
                <w:tc>
                  <w:tcPr>
                    <w:tcW w:w="945" w:type="pct"/>
                    <w:shd w:val="clear" w:color="auto" w:fill="auto"/>
                    <w:vAlign w:val="center"/>
                  </w:tcPr>
                  <w:p w:rsidR="00ED2DC7" w:rsidRDefault="00ED2DC7">
                    <w:pPr>
                      <w:jc w:val="center"/>
                      <w:rPr>
                        <w:szCs w:val="21"/>
                      </w:rPr>
                    </w:pPr>
                    <w:r>
                      <w:rPr>
                        <w:rFonts w:hint="eastAsia"/>
                        <w:szCs w:val="21"/>
                      </w:rPr>
                      <w:t>项目</w:t>
                    </w:r>
                  </w:p>
                </w:tc>
              </w:sdtContent>
            </w:sdt>
            <w:sdt>
              <w:sdtPr>
                <w:tag w:val="_PLD_6db0262d3f8842b4a7eba04e09be9d8a"/>
                <w:id w:val="-253283830"/>
                <w:lock w:val="sdtLocked"/>
              </w:sdtPr>
              <w:sdtContent>
                <w:tc>
                  <w:tcPr>
                    <w:tcW w:w="998" w:type="pct"/>
                    <w:shd w:val="clear" w:color="auto" w:fill="auto"/>
                    <w:vAlign w:val="center"/>
                  </w:tcPr>
                  <w:p w:rsidR="00ED2DC7" w:rsidRDefault="00ED2DC7">
                    <w:pPr>
                      <w:jc w:val="center"/>
                      <w:rPr>
                        <w:szCs w:val="21"/>
                      </w:rPr>
                    </w:pPr>
                    <w:r>
                      <w:rPr>
                        <w:rFonts w:hint="eastAsia"/>
                        <w:szCs w:val="21"/>
                      </w:rPr>
                      <w:t>期初余额</w:t>
                    </w:r>
                  </w:p>
                </w:tc>
              </w:sdtContent>
            </w:sdt>
            <w:sdt>
              <w:sdtPr>
                <w:tag w:val="_PLD_6f585f2d8d254ed6a108b145b56ff7cc"/>
                <w:id w:val="-356978043"/>
                <w:lock w:val="sdtLocked"/>
              </w:sdtPr>
              <w:sdtContent>
                <w:tc>
                  <w:tcPr>
                    <w:tcW w:w="1014" w:type="pct"/>
                    <w:shd w:val="clear" w:color="auto" w:fill="auto"/>
                    <w:vAlign w:val="center"/>
                  </w:tcPr>
                  <w:p w:rsidR="00ED2DC7" w:rsidRDefault="00ED2DC7">
                    <w:pPr>
                      <w:jc w:val="center"/>
                      <w:rPr>
                        <w:szCs w:val="21"/>
                      </w:rPr>
                    </w:pPr>
                    <w:r>
                      <w:rPr>
                        <w:rFonts w:hint="eastAsia"/>
                        <w:szCs w:val="21"/>
                      </w:rPr>
                      <w:t>本期增加</w:t>
                    </w:r>
                  </w:p>
                </w:tc>
              </w:sdtContent>
            </w:sdt>
            <w:sdt>
              <w:sdtPr>
                <w:tag w:val="_PLD_20354e1f567449a9b9021901b2252d15"/>
                <w:id w:val="1494453412"/>
                <w:lock w:val="sdtLocked"/>
              </w:sdtPr>
              <w:sdtContent>
                <w:tc>
                  <w:tcPr>
                    <w:tcW w:w="1021" w:type="pct"/>
                    <w:shd w:val="clear" w:color="auto" w:fill="auto"/>
                    <w:vAlign w:val="center"/>
                  </w:tcPr>
                  <w:p w:rsidR="00ED2DC7" w:rsidRDefault="00ED2DC7">
                    <w:pPr>
                      <w:jc w:val="center"/>
                      <w:rPr>
                        <w:szCs w:val="21"/>
                      </w:rPr>
                    </w:pPr>
                    <w:r>
                      <w:rPr>
                        <w:rFonts w:hint="eastAsia"/>
                        <w:szCs w:val="21"/>
                      </w:rPr>
                      <w:t>本期减少</w:t>
                    </w:r>
                  </w:p>
                </w:tc>
              </w:sdtContent>
            </w:sdt>
            <w:sdt>
              <w:sdtPr>
                <w:tag w:val="_PLD_94daf05bbefc4d829f1bc3b83d11b6ca"/>
                <w:id w:val="-758898871"/>
                <w:lock w:val="sdtLocked"/>
              </w:sdtPr>
              <w:sdtContent>
                <w:tc>
                  <w:tcPr>
                    <w:tcW w:w="1022" w:type="pct"/>
                    <w:shd w:val="clear" w:color="auto" w:fill="auto"/>
                    <w:vAlign w:val="center"/>
                  </w:tcPr>
                  <w:p w:rsidR="00ED2DC7" w:rsidRDefault="00ED2DC7">
                    <w:pPr>
                      <w:jc w:val="center"/>
                      <w:rPr>
                        <w:szCs w:val="21"/>
                      </w:rPr>
                    </w:pPr>
                    <w:r>
                      <w:rPr>
                        <w:rFonts w:hint="eastAsia"/>
                        <w:szCs w:val="21"/>
                      </w:rPr>
                      <w:t>期末余额</w:t>
                    </w:r>
                  </w:p>
                </w:tc>
              </w:sdtContent>
            </w:sdt>
          </w:tr>
          <w:sdt>
            <w:sdtPr>
              <w:rPr>
                <w:szCs w:val="21"/>
              </w:rPr>
              <w:alias w:val="库存股明细"/>
              <w:tag w:val="_GBC_a5ebfe7fe0f34697935e4de42efcb598"/>
              <w:id w:val="1874500957"/>
              <w:lock w:val="sdtLocked"/>
              <w:placeholder>
                <w:docPart w:val="GBC11111111111111111111111111111"/>
              </w:placeholder>
            </w:sdtPr>
            <w:sdtEndPr>
              <w:rPr>
                <w:rFonts w:hint="eastAsia"/>
              </w:rPr>
            </w:sdtEndPr>
            <w:sdtContent>
              <w:tr w:rsidR="00ED2DC7" w:rsidTr="00B637B2">
                <w:tc>
                  <w:tcPr>
                    <w:tcW w:w="945" w:type="pct"/>
                    <w:shd w:val="clear" w:color="auto" w:fill="auto"/>
                  </w:tcPr>
                  <w:p w:rsidR="00ED2DC7" w:rsidRDefault="00371F0E">
                    <w:pPr>
                      <w:rPr>
                        <w:szCs w:val="21"/>
                      </w:rPr>
                    </w:pPr>
                    <w:r w:rsidRPr="00371F0E">
                      <w:rPr>
                        <w:rFonts w:hint="eastAsia"/>
                        <w:szCs w:val="21"/>
                      </w:rPr>
                      <w:t>库存股</w:t>
                    </w:r>
                  </w:p>
                </w:tc>
                <w:tc>
                  <w:tcPr>
                    <w:tcW w:w="998" w:type="pct"/>
                    <w:shd w:val="clear" w:color="auto" w:fill="auto"/>
                    <w:vAlign w:val="center"/>
                  </w:tcPr>
                  <w:p w:rsidR="00ED2DC7" w:rsidRDefault="00371F0E" w:rsidP="00B637B2">
                    <w:pPr>
                      <w:jc w:val="right"/>
                      <w:rPr>
                        <w:szCs w:val="21"/>
                      </w:rPr>
                    </w:pPr>
                    <w:r w:rsidRPr="00371F0E">
                      <w:rPr>
                        <w:szCs w:val="21"/>
                      </w:rPr>
                      <w:t>55,787,910</w:t>
                    </w:r>
                  </w:p>
                </w:tc>
                <w:tc>
                  <w:tcPr>
                    <w:tcW w:w="1014" w:type="pct"/>
                    <w:shd w:val="clear" w:color="auto" w:fill="auto"/>
                    <w:vAlign w:val="center"/>
                  </w:tcPr>
                  <w:p w:rsidR="00ED2DC7" w:rsidRDefault="00371F0E" w:rsidP="00B637B2">
                    <w:pPr>
                      <w:jc w:val="right"/>
                      <w:rPr>
                        <w:szCs w:val="21"/>
                      </w:rPr>
                    </w:pPr>
                    <w:r w:rsidRPr="00371F0E">
                      <w:rPr>
                        <w:szCs w:val="21"/>
                      </w:rPr>
                      <w:t>471,134,706</w:t>
                    </w:r>
                  </w:p>
                </w:tc>
                <w:tc>
                  <w:tcPr>
                    <w:tcW w:w="1021" w:type="pct"/>
                    <w:shd w:val="clear" w:color="auto" w:fill="auto"/>
                    <w:vAlign w:val="center"/>
                  </w:tcPr>
                  <w:p w:rsidR="00ED2DC7" w:rsidRDefault="00371F0E" w:rsidP="00B637B2">
                    <w:pPr>
                      <w:jc w:val="right"/>
                      <w:rPr>
                        <w:szCs w:val="21"/>
                      </w:rPr>
                    </w:pPr>
                    <w:r w:rsidRPr="00371F0E">
                      <w:rPr>
                        <w:szCs w:val="21"/>
                      </w:rPr>
                      <w:t>12,717,737</w:t>
                    </w:r>
                  </w:p>
                </w:tc>
                <w:tc>
                  <w:tcPr>
                    <w:tcW w:w="1022" w:type="pct"/>
                    <w:shd w:val="clear" w:color="auto" w:fill="auto"/>
                    <w:vAlign w:val="center"/>
                  </w:tcPr>
                  <w:p w:rsidR="00ED2DC7" w:rsidRDefault="00371F0E" w:rsidP="00B637B2">
                    <w:pPr>
                      <w:jc w:val="right"/>
                      <w:rPr>
                        <w:szCs w:val="21"/>
                      </w:rPr>
                    </w:pPr>
                    <w:r w:rsidRPr="00371F0E">
                      <w:rPr>
                        <w:szCs w:val="21"/>
                      </w:rPr>
                      <w:t>514,204,879</w:t>
                    </w:r>
                  </w:p>
                </w:tc>
              </w:tr>
            </w:sdtContent>
          </w:sdt>
          <w:tr w:rsidR="00371F0E" w:rsidTr="00B637B2">
            <w:sdt>
              <w:sdtPr>
                <w:tag w:val="_PLD_a82f645de2dc45b39a10692d00c40095"/>
                <w:id w:val="1349368084"/>
                <w:lock w:val="sdtLocked"/>
              </w:sdtPr>
              <w:sdtContent>
                <w:tc>
                  <w:tcPr>
                    <w:tcW w:w="945" w:type="pct"/>
                    <w:shd w:val="clear" w:color="auto" w:fill="auto"/>
                    <w:vAlign w:val="center"/>
                  </w:tcPr>
                  <w:p w:rsidR="00371F0E" w:rsidRDefault="00371F0E" w:rsidP="00371F0E">
                    <w:pPr>
                      <w:jc w:val="center"/>
                      <w:rPr>
                        <w:szCs w:val="21"/>
                      </w:rPr>
                    </w:pPr>
                    <w:r>
                      <w:rPr>
                        <w:rFonts w:hint="eastAsia"/>
                        <w:szCs w:val="21"/>
                      </w:rPr>
                      <w:t>合计</w:t>
                    </w:r>
                  </w:p>
                </w:tc>
              </w:sdtContent>
            </w:sdt>
            <w:tc>
              <w:tcPr>
                <w:tcW w:w="998" w:type="pct"/>
                <w:shd w:val="clear" w:color="auto" w:fill="auto"/>
                <w:vAlign w:val="center"/>
              </w:tcPr>
              <w:p w:rsidR="00371F0E" w:rsidRPr="00704EC8" w:rsidRDefault="00371F0E" w:rsidP="00B637B2">
                <w:pPr>
                  <w:jc w:val="right"/>
                </w:pPr>
                <w:r w:rsidRPr="00704EC8">
                  <w:t>55,787,910</w:t>
                </w:r>
              </w:p>
            </w:tc>
            <w:tc>
              <w:tcPr>
                <w:tcW w:w="1014" w:type="pct"/>
                <w:shd w:val="clear" w:color="auto" w:fill="auto"/>
                <w:vAlign w:val="center"/>
              </w:tcPr>
              <w:p w:rsidR="00371F0E" w:rsidRPr="00704EC8" w:rsidRDefault="00371F0E" w:rsidP="00B637B2">
                <w:pPr>
                  <w:jc w:val="right"/>
                </w:pPr>
                <w:r w:rsidRPr="00704EC8">
                  <w:t>471,134,706</w:t>
                </w:r>
              </w:p>
            </w:tc>
            <w:tc>
              <w:tcPr>
                <w:tcW w:w="1021" w:type="pct"/>
                <w:shd w:val="clear" w:color="auto" w:fill="auto"/>
                <w:vAlign w:val="center"/>
              </w:tcPr>
              <w:p w:rsidR="00371F0E" w:rsidRPr="00704EC8" w:rsidRDefault="00371F0E" w:rsidP="00B637B2">
                <w:pPr>
                  <w:jc w:val="right"/>
                </w:pPr>
                <w:r w:rsidRPr="00704EC8">
                  <w:t>12,717,737</w:t>
                </w:r>
              </w:p>
            </w:tc>
            <w:tc>
              <w:tcPr>
                <w:tcW w:w="1022" w:type="pct"/>
                <w:shd w:val="clear" w:color="auto" w:fill="auto"/>
                <w:vAlign w:val="center"/>
              </w:tcPr>
              <w:p w:rsidR="00371F0E" w:rsidRDefault="00371F0E" w:rsidP="00B637B2">
                <w:pPr>
                  <w:jc w:val="right"/>
                </w:pPr>
                <w:r w:rsidRPr="00704EC8">
                  <w:t>514,204,879</w:t>
                </w:r>
              </w:p>
            </w:tc>
          </w:tr>
        </w:tbl>
        <w:p w:rsidR="00ED2DC7" w:rsidRDefault="00ED2DC7">
          <w:pPr>
            <w:rPr>
              <w:szCs w:val="21"/>
            </w:rPr>
          </w:pPr>
          <w:r>
            <w:rPr>
              <w:rFonts w:hint="eastAsia"/>
              <w:szCs w:val="21"/>
            </w:rPr>
            <w:t>其他说明，包括本期增减变动情况、变动原因说明：</w:t>
          </w:r>
        </w:p>
        <w:sdt>
          <w:sdtPr>
            <w:rPr>
              <w:szCs w:val="21"/>
            </w:rPr>
            <w:alias w:val="库存股情况说明"/>
            <w:tag w:val="_GBC_aeb361adcbde44daaa852df07259812c"/>
            <w:id w:val="-2022538035"/>
            <w:lock w:val="sdtLocked"/>
            <w:placeholder>
              <w:docPart w:val="GBC22222222222222222222222222222"/>
            </w:placeholder>
          </w:sdtPr>
          <w:sdtContent>
            <w:p w:rsidR="00B735D2" w:rsidRPr="00B735D2" w:rsidRDefault="00B735D2" w:rsidP="00B735D2">
              <w:pPr>
                <w:rPr>
                  <w:szCs w:val="21"/>
                </w:rPr>
              </w:pPr>
              <w:r w:rsidRPr="00B735D2">
                <w:rPr>
                  <w:rFonts w:hint="eastAsia"/>
                  <w:szCs w:val="21"/>
                </w:rPr>
                <w:t>注</w:t>
              </w:r>
              <w:r w:rsidRPr="00B735D2">
                <w:rPr>
                  <w:szCs w:val="21"/>
                </w:rPr>
                <w:t>1. ：库存股增加主要是由于本公司本期进行股票回购，库存股增加469,077,018元以及回购失效的限制性股票，库存股增加2,057,688元。</w:t>
              </w:r>
            </w:p>
            <w:p w:rsidR="00B735D2" w:rsidRPr="00B735D2" w:rsidRDefault="00B735D2" w:rsidP="00B735D2">
              <w:pPr>
                <w:rPr>
                  <w:szCs w:val="21"/>
                </w:rPr>
              </w:pPr>
            </w:p>
            <w:p w:rsidR="00ED2DC7" w:rsidRDefault="00B735D2" w:rsidP="00B735D2">
              <w:pPr>
                <w:rPr>
                  <w:b/>
                  <w:szCs w:val="21"/>
                </w:rPr>
              </w:pPr>
              <w:r w:rsidRPr="00B735D2">
                <w:rPr>
                  <w:rFonts w:hint="eastAsia"/>
                  <w:szCs w:val="21"/>
                </w:rPr>
                <w:t>注</w:t>
              </w:r>
              <w:r w:rsidRPr="00B735D2">
                <w:rPr>
                  <w:szCs w:val="21"/>
                </w:rPr>
                <w:t>2. ：库存股减少主要是由于本公司本期注销失效的限制性股票，减少限制性股票回购义务导致库存股减少12,717,737元。</w:t>
              </w:r>
            </w:p>
          </w:sdtContent>
        </w:sdt>
      </w:sdtContent>
    </w:sdt>
    <w:p w:rsidR="00ED2DC7" w:rsidRDefault="00ED2DC7">
      <w:pPr>
        <w:rPr>
          <w:szCs w:val="21"/>
        </w:rPr>
      </w:pPr>
    </w:p>
    <w:bookmarkStart w:id="194" w:name="_Hlk10537776" w:displacedByCustomXml="next"/>
    <w:sdt>
      <w:sdtPr>
        <w:rPr>
          <w:rFonts w:ascii="宋体" w:hAnsi="宋体" w:cs="宋体" w:hint="eastAsia"/>
          <w:b w:val="0"/>
          <w:bCs w:val="0"/>
          <w:kern w:val="0"/>
          <w:szCs w:val="21"/>
        </w:rPr>
        <w:alias w:val="模块:其他综合收益"/>
        <w:tag w:val="_GBC_de162f89125c4dc8abd2331e6cce7184"/>
        <w:id w:val="-874233880"/>
        <w:lock w:val="sdtLocked"/>
        <w:placeholder>
          <w:docPart w:val="GBC22222222222222222222222222222"/>
        </w:placeholder>
      </w:sdtPr>
      <w:sdtContent>
        <w:p w:rsidR="00ED2DC7" w:rsidRPr="00C16A32" w:rsidRDefault="00ED2DC7" w:rsidP="00036BDC">
          <w:pPr>
            <w:pStyle w:val="affffffffffffffffff1"/>
            <w:numPr>
              <w:ilvl w:val="0"/>
              <w:numId w:val="49"/>
            </w:numPr>
            <w:tabs>
              <w:tab w:val="left" w:pos="504"/>
            </w:tabs>
            <w:rPr>
              <w:rFonts w:ascii="宋体" w:hAnsi="宋体"/>
              <w:szCs w:val="21"/>
            </w:rPr>
          </w:pPr>
          <w:r w:rsidRPr="00C16A32">
            <w:rPr>
              <w:rFonts w:ascii="宋体" w:hAnsi="宋体" w:hint="eastAsia"/>
              <w:szCs w:val="21"/>
            </w:rPr>
            <w:t>其他综合收益</w:t>
          </w:r>
        </w:p>
        <w:sdt>
          <w:sdtPr>
            <w:alias w:val="是否适用：其他综合收益[双击切换]"/>
            <w:tag w:val="_GBC_a53cc67f2be24dfbbe3af1b633d9bd6d"/>
            <w:id w:val="-2128770202"/>
            <w:lock w:val="sdtContentLocked"/>
            <w:placeholder>
              <w:docPart w:val="GBC22222222222222222222222222222"/>
            </w:placeholder>
          </w:sdtPr>
          <w:sdtContent>
            <w:p w:rsidR="00ED2DC7" w:rsidRDefault="00ED2DC7">
              <w:r>
                <w:fldChar w:fldCharType="begin"/>
              </w:r>
              <w:r w:rsidR="002472CA">
                <w:instrText xml:space="preserve"> MACROBUTTON  SnrToggleCheckbox √适用 </w:instrText>
              </w:r>
              <w:r>
                <w:fldChar w:fldCharType="end"/>
              </w:r>
              <w:r>
                <w:fldChar w:fldCharType="begin"/>
              </w:r>
              <w:r w:rsidR="002472CA">
                <w:instrText xml:space="preserve"> MACROBUTTON  SnrToggleCheckbox □不适用 </w:instrText>
              </w:r>
              <w:r>
                <w:fldChar w:fldCharType="end"/>
              </w:r>
            </w:p>
          </w:sdtContent>
        </w:sdt>
        <w:p w:rsidR="00ED2DC7" w:rsidRDefault="00ED2DC7">
          <w:pPr>
            <w:jc w:val="right"/>
            <w:rPr>
              <w:szCs w:val="21"/>
            </w:rPr>
          </w:pPr>
          <w:r>
            <w:rPr>
              <w:rFonts w:hint="eastAsia"/>
              <w:szCs w:val="21"/>
            </w:rPr>
            <w:t>单位：</w:t>
          </w:r>
          <w:sdt>
            <w:sdtPr>
              <w:rPr>
                <w:rFonts w:hint="eastAsia"/>
                <w:szCs w:val="21"/>
              </w:rPr>
              <w:alias w:val="单位：财务附注：其他综合收益情况"/>
              <w:tag w:val="_GBC_3fcad98da74248809a759048ca194814"/>
              <w:id w:val="64909989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hint="eastAsia"/>
                  <w:szCs w:val="21"/>
                </w:rPr>
                <w:t>元</w:t>
              </w:r>
            </w:sdtContent>
          </w:sdt>
          <w:r>
            <w:rPr>
              <w:rFonts w:hint="eastAsia"/>
              <w:szCs w:val="21"/>
            </w:rPr>
            <w:t xml:space="preserve">  币种：</w:t>
          </w:r>
          <w:sdt>
            <w:sdtPr>
              <w:rPr>
                <w:rFonts w:hint="eastAsia"/>
                <w:szCs w:val="21"/>
              </w:rPr>
              <w:alias w:val="币种：财务附注：其他综合收益情况"/>
              <w:tag w:val="_GBC_3909f37aa0cc4eda82ff1503a6abe503"/>
              <w:id w:val="-5002728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szCs w:val="21"/>
                </w:rPr>
                <w:t>人民币</w:t>
              </w:r>
            </w:sdtContent>
          </w:sdt>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7"/>
            <w:gridCol w:w="1026"/>
            <w:gridCol w:w="967"/>
            <w:gridCol w:w="967"/>
            <w:gridCol w:w="967"/>
            <w:gridCol w:w="967"/>
            <w:gridCol w:w="968"/>
            <w:gridCol w:w="968"/>
            <w:gridCol w:w="1026"/>
          </w:tblGrid>
          <w:tr w:rsidR="00ED2DC7" w:rsidTr="00091E44">
            <w:trPr>
              <w:trHeight w:val="215"/>
            </w:trPr>
            <w:sdt>
              <w:sdtPr>
                <w:rPr>
                  <w:sz w:val="18"/>
                  <w:szCs w:val="18"/>
                </w:rPr>
                <w:tag w:val="_PLD_965475dfd86e41c29d1b9f1fdff70ee0"/>
                <w:id w:val="1693102702"/>
                <w:lock w:val="sdtLocked"/>
              </w:sdtPr>
              <w:sdtContent>
                <w:tc>
                  <w:tcPr>
                    <w:tcW w:w="556" w:type="pct"/>
                    <w:vMerge w:val="restart"/>
                    <w:shd w:val="clear" w:color="auto" w:fill="auto"/>
                    <w:vAlign w:val="center"/>
                  </w:tcPr>
                  <w:p w:rsidR="00ED2DC7" w:rsidRPr="00C16A32" w:rsidRDefault="00ED2DC7">
                    <w:pPr>
                      <w:jc w:val="center"/>
                      <w:rPr>
                        <w:sz w:val="18"/>
                        <w:szCs w:val="18"/>
                      </w:rPr>
                    </w:pPr>
                    <w:r w:rsidRPr="00C16A32">
                      <w:rPr>
                        <w:rFonts w:hint="eastAsia"/>
                        <w:sz w:val="18"/>
                        <w:szCs w:val="18"/>
                      </w:rPr>
                      <w:t>项目</w:t>
                    </w:r>
                  </w:p>
                </w:tc>
              </w:sdtContent>
            </w:sdt>
            <w:sdt>
              <w:sdtPr>
                <w:rPr>
                  <w:sz w:val="18"/>
                  <w:szCs w:val="18"/>
                </w:rPr>
                <w:tag w:val="_PLD_8a675a3cac5041d29cfb92203b87e9a6"/>
                <w:id w:val="-2098781545"/>
                <w:lock w:val="sdtLocked"/>
              </w:sdtPr>
              <w:sdtContent>
                <w:tc>
                  <w:tcPr>
                    <w:tcW w:w="556" w:type="pct"/>
                    <w:vMerge w:val="restart"/>
                    <w:shd w:val="clear" w:color="auto" w:fill="auto"/>
                    <w:vAlign w:val="center"/>
                  </w:tcPr>
                  <w:p w:rsidR="00ED2DC7" w:rsidRPr="00C16A32" w:rsidRDefault="00ED2DC7">
                    <w:pPr>
                      <w:jc w:val="center"/>
                      <w:rPr>
                        <w:sz w:val="18"/>
                        <w:szCs w:val="18"/>
                      </w:rPr>
                    </w:pPr>
                    <w:r w:rsidRPr="00C16A32">
                      <w:rPr>
                        <w:rFonts w:hint="eastAsia"/>
                        <w:sz w:val="18"/>
                        <w:szCs w:val="18"/>
                      </w:rPr>
                      <w:t>期初</w:t>
                    </w:r>
                  </w:p>
                  <w:p w:rsidR="00ED2DC7" w:rsidRPr="00C16A32" w:rsidRDefault="00ED2DC7">
                    <w:pPr>
                      <w:jc w:val="center"/>
                      <w:rPr>
                        <w:sz w:val="18"/>
                        <w:szCs w:val="18"/>
                      </w:rPr>
                    </w:pPr>
                    <w:r w:rsidRPr="00C16A32">
                      <w:rPr>
                        <w:rFonts w:hint="eastAsia"/>
                        <w:sz w:val="18"/>
                        <w:szCs w:val="18"/>
                      </w:rPr>
                      <w:t>余额</w:t>
                    </w:r>
                  </w:p>
                </w:tc>
              </w:sdtContent>
            </w:sdt>
            <w:sdt>
              <w:sdtPr>
                <w:rPr>
                  <w:sz w:val="18"/>
                  <w:szCs w:val="18"/>
                </w:rPr>
                <w:tag w:val="_PLD_5ff455f3c2164019b5e694c1e00e4104"/>
                <w:id w:val="968632876"/>
                <w:lock w:val="sdtLocked"/>
              </w:sdtPr>
              <w:sdtContent>
                <w:tc>
                  <w:tcPr>
                    <w:tcW w:w="3333" w:type="pct"/>
                    <w:gridSpan w:val="6"/>
                    <w:shd w:val="clear" w:color="auto" w:fill="auto"/>
                    <w:vAlign w:val="center"/>
                  </w:tcPr>
                  <w:p w:rsidR="00ED2DC7" w:rsidRPr="00C16A32" w:rsidRDefault="00ED2DC7">
                    <w:pPr>
                      <w:jc w:val="center"/>
                      <w:rPr>
                        <w:sz w:val="18"/>
                        <w:szCs w:val="18"/>
                      </w:rPr>
                    </w:pPr>
                    <w:r w:rsidRPr="00C16A32">
                      <w:rPr>
                        <w:rFonts w:hint="eastAsia"/>
                        <w:sz w:val="18"/>
                        <w:szCs w:val="18"/>
                      </w:rPr>
                      <w:t>本期发生金额</w:t>
                    </w:r>
                  </w:p>
                </w:tc>
              </w:sdtContent>
            </w:sdt>
            <w:sdt>
              <w:sdtPr>
                <w:rPr>
                  <w:sz w:val="18"/>
                  <w:szCs w:val="18"/>
                </w:rPr>
                <w:tag w:val="_PLD_e74e1b8e6f7d453b8d88ebfc65c302f4"/>
                <w:id w:val="958224045"/>
                <w:lock w:val="sdtLocked"/>
              </w:sdtPr>
              <w:sdtContent>
                <w:tc>
                  <w:tcPr>
                    <w:tcW w:w="556" w:type="pct"/>
                    <w:vMerge w:val="restart"/>
                    <w:shd w:val="clear" w:color="auto" w:fill="auto"/>
                    <w:vAlign w:val="center"/>
                  </w:tcPr>
                  <w:p w:rsidR="00ED2DC7" w:rsidRPr="00C16A32" w:rsidRDefault="00ED2DC7">
                    <w:pPr>
                      <w:jc w:val="center"/>
                      <w:rPr>
                        <w:sz w:val="18"/>
                        <w:szCs w:val="18"/>
                      </w:rPr>
                    </w:pPr>
                    <w:r w:rsidRPr="00C16A32">
                      <w:rPr>
                        <w:rFonts w:hint="eastAsia"/>
                        <w:sz w:val="18"/>
                        <w:szCs w:val="18"/>
                      </w:rPr>
                      <w:t>期末</w:t>
                    </w:r>
                  </w:p>
                  <w:p w:rsidR="00ED2DC7" w:rsidRPr="00C16A32" w:rsidRDefault="00ED2DC7">
                    <w:pPr>
                      <w:jc w:val="center"/>
                      <w:rPr>
                        <w:sz w:val="18"/>
                        <w:szCs w:val="18"/>
                      </w:rPr>
                    </w:pPr>
                    <w:r w:rsidRPr="00C16A32">
                      <w:rPr>
                        <w:rFonts w:hint="eastAsia"/>
                        <w:sz w:val="18"/>
                        <w:szCs w:val="18"/>
                      </w:rPr>
                      <w:t>余额</w:t>
                    </w:r>
                  </w:p>
                </w:tc>
              </w:sdtContent>
            </w:sdt>
          </w:tr>
          <w:tr w:rsidR="00ED2DC7" w:rsidTr="00091E44">
            <w:tc>
              <w:tcPr>
                <w:tcW w:w="556" w:type="pct"/>
                <w:vMerge/>
                <w:shd w:val="clear" w:color="auto" w:fill="auto"/>
              </w:tcPr>
              <w:p w:rsidR="00ED2DC7" w:rsidRPr="00C16A32" w:rsidRDefault="00ED2DC7">
                <w:pPr>
                  <w:jc w:val="center"/>
                  <w:rPr>
                    <w:sz w:val="18"/>
                    <w:szCs w:val="18"/>
                  </w:rPr>
                </w:pPr>
              </w:p>
            </w:tc>
            <w:tc>
              <w:tcPr>
                <w:tcW w:w="556" w:type="pct"/>
                <w:vMerge/>
                <w:shd w:val="clear" w:color="auto" w:fill="auto"/>
              </w:tcPr>
              <w:p w:rsidR="00ED2DC7" w:rsidRPr="00C16A32" w:rsidRDefault="00ED2DC7">
                <w:pPr>
                  <w:jc w:val="center"/>
                  <w:rPr>
                    <w:sz w:val="18"/>
                    <w:szCs w:val="18"/>
                  </w:rPr>
                </w:pPr>
              </w:p>
            </w:tc>
            <w:sdt>
              <w:sdtPr>
                <w:rPr>
                  <w:sz w:val="18"/>
                  <w:szCs w:val="18"/>
                </w:rPr>
                <w:tag w:val="_PLD_17c016c4311444368218ab16d2bc7a4c"/>
                <w:id w:val="2102983931"/>
                <w:lock w:val="sdtLocked"/>
              </w:sdtPr>
              <w:sdtContent>
                <w:tc>
                  <w:tcPr>
                    <w:tcW w:w="556" w:type="pct"/>
                    <w:shd w:val="clear" w:color="auto" w:fill="auto"/>
                    <w:vAlign w:val="center"/>
                  </w:tcPr>
                  <w:p w:rsidR="00ED2DC7" w:rsidRPr="00C16A32" w:rsidRDefault="00ED2DC7">
                    <w:pPr>
                      <w:jc w:val="center"/>
                      <w:rPr>
                        <w:sz w:val="18"/>
                        <w:szCs w:val="18"/>
                      </w:rPr>
                    </w:pPr>
                    <w:r w:rsidRPr="00C16A32">
                      <w:rPr>
                        <w:rFonts w:hint="eastAsia"/>
                        <w:sz w:val="18"/>
                        <w:szCs w:val="18"/>
                      </w:rPr>
                      <w:t>本期所得税前发生额</w:t>
                    </w:r>
                  </w:p>
                </w:tc>
              </w:sdtContent>
            </w:sdt>
            <w:sdt>
              <w:sdtPr>
                <w:rPr>
                  <w:sz w:val="18"/>
                  <w:szCs w:val="18"/>
                </w:rPr>
                <w:tag w:val="_PLD_8f95da21a802457ea1d7d10d5c90efb0"/>
                <w:id w:val="-1473516523"/>
                <w:lock w:val="sdtLocked"/>
              </w:sdtPr>
              <w:sdtContent>
                <w:tc>
                  <w:tcPr>
                    <w:tcW w:w="556" w:type="pct"/>
                    <w:shd w:val="clear" w:color="auto" w:fill="auto"/>
                    <w:vAlign w:val="center"/>
                  </w:tcPr>
                  <w:p w:rsidR="00ED2DC7" w:rsidRPr="00C16A32" w:rsidRDefault="00ED2DC7">
                    <w:pPr>
                      <w:jc w:val="center"/>
                      <w:rPr>
                        <w:sz w:val="18"/>
                        <w:szCs w:val="18"/>
                      </w:rPr>
                    </w:pPr>
                    <w:r w:rsidRPr="00C16A32">
                      <w:rPr>
                        <w:rFonts w:hint="eastAsia"/>
                        <w:sz w:val="18"/>
                        <w:szCs w:val="18"/>
                      </w:rPr>
                      <w:t>减：前期计入其他综合收益当期转入损益</w:t>
                    </w:r>
                  </w:p>
                </w:tc>
              </w:sdtContent>
            </w:sdt>
            <w:tc>
              <w:tcPr>
                <w:tcW w:w="556" w:type="pct"/>
              </w:tcPr>
              <w:sdt>
                <w:sdtPr>
                  <w:rPr>
                    <w:rFonts w:hint="eastAsia"/>
                    <w:sz w:val="18"/>
                    <w:szCs w:val="18"/>
                  </w:rPr>
                  <w:tag w:val="_PLD_7f99e647a5874f909c48e6c0bbc8d50a"/>
                  <w:id w:val="1292643150"/>
                  <w:lock w:val="sdtLocked"/>
                </w:sdtPr>
                <w:sdtContent>
                  <w:p w:rsidR="00ED2DC7" w:rsidRPr="00C16A32" w:rsidRDefault="00ED2DC7">
                    <w:pPr>
                      <w:jc w:val="center"/>
                      <w:rPr>
                        <w:sz w:val="18"/>
                        <w:szCs w:val="18"/>
                      </w:rPr>
                    </w:pPr>
                    <w:r w:rsidRPr="00C16A32">
                      <w:rPr>
                        <w:rFonts w:hint="eastAsia"/>
                        <w:sz w:val="18"/>
                        <w:szCs w:val="18"/>
                      </w:rPr>
                      <w:t>减：前期计入其他综合收益当期转入留存收益</w:t>
                    </w:r>
                  </w:p>
                </w:sdtContent>
              </w:sdt>
            </w:tc>
            <w:sdt>
              <w:sdtPr>
                <w:rPr>
                  <w:sz w:val="18"/>
                  <w:szCs w:val="18"/>
                </w:rPr>
                <w:tag w:val="_PLD_6ee499a1144a462687fb064cc4588343"/>
                <w:id w:val="-1597324797"/>
                <w:lock w:val="sdtLocked"/>
              </w:sdtPr>
              <w:sdtContent>
                <w:tc>
                  <w:tcPr>
                    <w:tcW w:w="556" w:type="pct"/>
                    <w:shd w:val="clear" w:color="auto" w:fill="auto"/>
                    <w:vAlign w:val="center"/>
                  </w:tcPr>
                  <w:p w:rsidR="00ED2DC7" w:rsidRPr="00C16A32" w:rsidRDefault="00ED2DC7">
                    <w:pPr>
                      <w:jc w:val="center"/>
                      <w:rPr>
                        <w:sz w:val="18"/>
                        <w:szCs w:val="18"/>
                      </w:rPr>
                    </w:pPr>
                    <w:r w:rsidRPr="00C16A32">
                      <w:rPr>
                        <w:rFonts w:hint="eastAsia"/>
                        <w:sz w:val="18"/>
                        <w:szCs w:val="18"/>
                      </w:rPr>
                      <w:t>减：所得税费用</w:t>
                    </w:r>
                  </w:p>
                </w:tc>
              </w:sdtContent>
            </w:sdt>
            <w:sdt>
              <w:sdtPr>
                <w:rPr>
                  <w:sz w:val="18"/>
                  <w:szCs w:val="18"/>
                </w:rPr>
                <w:tag w:val="_PLD_97d686c5a0f042d49d097afc52b9ab56"/>
                <w:id w:val="1441880349"/>
                <w:lock w:val="sdtLocked"/>
              </w:sdtPr>
              <w:sdtContent>
                <w:tc>
                  <w:tcPr>
                    <w:tcW w:w="556" w:type="pct"/>
                    <w:shd w:val="clear" w:color="auto" w:fill="auto"/>
                    <w:vAlign w:val="center"/>
                  </w:tcPr>
                  <w:p w:rsidR="00ED2DC7" w:rsidRPr="00C16A32" w:rsidRDefault="00ED2DC7">
                    <w:pPr>
                      <w:jc w:val="center"/>
                      <w:rPr>
                        <w:sz w:val="18"/>
                        <w:szCs w:val="18"/>
                      </w:rPr>
                    </w:pPr>
                    <w:r w:rsidRPr="00C16A32">
                      <w:rPr>
                        <w:rFonts w:hint="eastAsia"/>
                        <w:sz w:val="18"/>
                        <w:szCs w:val="18"/>
                      </w:rPr>
                      <w:t>税后归属于母公司</w:t>
                    </w:r>
                  </w:p>
                </w:tc>
              </w:sdtContent>
            </w:sdt>
            <w:sdt>
              <w:sdtPr>
                <w:rPr>
                  <w:sz w:val="18"/>
                  <w:szCs w:val="18"/>
                </w:rPr>
                <w:tag w:val="_PLD_dc8c642f883f4ca1b1bbacf56198209b"/>
                <w:id w:val="299048163"/>
                <w:lock w:val="sdtLocked"/>
              </w:sdtPr>
              <w:sdtContent>
                <w:tc>
                  <w:tcPr>
                    <w:tcW w:w="556" w:type="pct"/>
                    <w:shd w:val="clear" w:color="auto" w:fill="auto"/>
                    <w:vAlign w:val="center"/>
                  </w:tcPr>
                  <w:p w:rsidR="00ED2DC7" w:rsidRPr="00C16A32" w:rsidRDefault="00ED2DC7">
                    <w:pPr>
                      <w:jc w:val="center"/>
                      <w:rPr>
                        <w:sz w:val="18"/>
                        <w:szCs w:val="18"/>
                      </w:rPr>
                    </w:pPr>
                    <w:r w:rsidRPr="00C16A32">
                      <w:rPr>
                        <w:rFonts w:hint="eastAsia"/>
                        <w:sz w:val="18"/>
                        <w:szCs w:val="18"/>
                      </w:rPr>
                      <w:t>税后归属于少数股东</w:t>
                    </w:r>
                  </w:p>
                </w:tc>
              </w:sdtContent>
            </w:sdt>
            <w:tc>
              <w:tcPr>
                <w:tcW w:w="556" w:type="pct"/>
                <w:vMerge/>
                <w:shd w:val="clear" w:color="auto" w:fill="auto"/>
              </w:tcPr>
              <w:p w:rsidR="00ED2DC7" w:rsidRPr="00C16A32" w:rsidRDefault="00ED2DC7">
                <w:pPr>
                  <w:jc w:val="center"/>
                  <w:rPr>
                    <w:sz w:val="18"/>
                    <w:szCs w:val="18"/>
                  </w:rPr>
                </w:pPr>
              </w:p>
            </w:tc>
          </w:tr>
          <w:tr w:rsidR="00ED2DC7" w:rsidTr="00091E44">
            <w:sdt>
              <w:sdtPr>
                <w:rPr>
                  <w:sz w:val="18"/>
                  <w:szCs w:val="18"/>
                </w:rPr>
                <w:tag w:val="_PLD_3f00f48c9230468fa9ebc3f871b6cb34"/>
                <w:id w:val="-1875071587"/>
                <w:lock w:val="sdtLocked"/>
              </w:sdtPr>
              <w:sdtContent>
                <w:tc>
                  <w:tcPr>
                    <w:tcW w:w="556" w:type="pct"/>
                    <w:shd w:val="clear" w:color="auto" w:fill="auto"/>
                    <w:vAlign w:val="center"/>
                  </w:tcPr>
                  <w:p w:rsidR="00ED2DC7" w:rsidRPr="00C16A32" w:rsidRDefault="00ED2DC7">
                    <w:pPr>
                      <w:rPr>
                        <w:sz w:val="18"/>
                        <w:szCs w:val="18"/>
                      </w:rPr>
                    </w:pPr>
                    <w:r w:rsidRPr="00C16A32">
                      <w:rPr>
                        <w:rFonts w:hint="eastAsia"/>
                        <w:sz w:val="18"/>
                        <w:szCs w:val="18"/>
                      </w:rPr>
                      <w:t>一、不能重分类进损益的其他综合收益</w:t>
                    </w:r>
                  </w:p>
                </w:tc>
              </w:sdtContent>
            </w:sdt>
            <w:tc>
              <w:tcPr>
                <w:tcW w:w="556" w:type="pct"/>
                <w:shd w:val="clear" w:color="auto" w:fill="auto"/>
              </w:tcPr>
              <w:p w:rsidR="00ED2DC7" w:rsidRPr="00C16A32" w:rsidRDefault="00ED2DC7">
                <w:pPr>
                  <w:jc w:val="right"/>
                  <w:rPr>
                    <w:sz w:val="18"/>
                    <w:szCs w:val="18"/>
                  </w:rPr>
                </w:pPr>
              </w:p>
            </w:tc>
            <w:tc>
              <w:tcPr>
                <w:tcW w:w="556" w:type="pct"/>
                <w:shd w:val="clear" w:color="auto" w:fill="auto"/>
              </w:tcPr>
              <w:p w:rsidR="00ED2DC7" w:rsidRPr="00C16A32" w:rsidRDefault="00ED2DC7">
                <w:pPr>
                  <w:jc w:val="right"/>
                  <w:rPr>
                    <w:sz w:val="18"/>
                    <w:szCs w:val="18"/>
                  </w:rPr>
                </w:pPr>
              </w:p>
            </w:tc>
            <w:tc>
              <w:tcPr>
                <w:tcW w:w="556" w:type="pct"/>
                <w:shd w:val="clear" w:color="auto" w:fill="auto"/>
              </w:tcPr>
              <w:p w:rsidR="00ED2DC7" w:rsidRPr="00C16A32" w:rsidRDefault="00ED2DC7">
                <w:pPr>
                  <w:jc w:val="right"/>
                  <w:rPr>
                    <w:sz w:val="18"/>
                    <w:szCs w:val="18"/>
                  </w:rPr>
                </w:pPr>
              </w:p>
            </w:tc>
            <w:tc>
              <w:tcPr>
                <w:tcW w:w="556" w:type="pct"/>
              </w:tcPr>
              <w:p w:rsidR="00ED2DC7" w:rsidRPr="00C16A32" w:rsidRDefault="00ED2DC7">
                <w:pPr>
                  <w:jc w:val="right"/>
                  <w:rPr>
                    <w:sz w:val="18"/>
                    <w:szCs w:val="18"/>
                  </w:rPr>
                </w:pPr>
              </w:p>
            </w:tc>
            <w:tc>
              <w:tcPr>
                <w:tcW w:w="556" w:type="pct"/>
                <w:shd w:val="clear" w:color="auto" w:fill="auto"/>
              </w:tcPr>
              <w:p w:rsidR="00ED2DC7" w:rsidRPr="00C16A32" w:rsidRDefault="00ED2DC7">
                <w:pPr>
                  <w:jc w:val="right"/>
                  <w:rPr>
                    <w:sz w:val="18"/>
                    <w:szCs w:val="18"/>
                  </w:rPr>
                </w:pPr>
              </w:p>
            </w:tc>
            <w:tc>
              <w:tcPr>
                <w:tcW w:w="556" w:type="pct"/>
                <w:shd w:val="clear" w:color="auto" w:fill="auto"/>
              </w:tcPr>
              <w:p w:rsidR="00ED2DC7" w:rsidRPr="00C16A32" w:rsidRDefault="00ED2DC7">
                <w:pPr>
                  <w:jc w:val="right"/>
                  <w:rPr>
                    <w:sz w:val="18"/>
                    <w:szCs w:val="18"/>
                  </w:rPr>
                </w:pPr>
              </w:p>
            </w:tc>
            <w:tc>
              <w:tcPr>
                <w:tcW w:w="556" w:type="pct"/>
                <w:shd w:val="clear" w:color="auto" w:fill="auto"/>
              </w:tcPr>
              <w:p w:rsidR="00ED2DC7" w:rsidRPr="00C16A32" w:rsidRDefault="00ED2DC7">
                <w:pPr>
                  <w:jc w:val="right"/>
                  <w:rPr>
                    <w:sz w:val="18"/>
                    <w:szCs w:val="18"/>
                  </w:rPr>
                </w:pPr>
              </w:p>
            </w:tc>
            <w:tc>
              <w:tcPr>
                <w:tcW w:w="556" w:type="pct"/>
                <w:shd w:val="clear" w:color="auto" w:fill="auto"/>
              </w:tcPr>
              <w:p w:rsidR="00ED2DC7" w:rsidRPr="00C16A32" w:rsidRDefault="00ED2DC7">
                <w:pPr>
                  <w:jc w:val="right"/>
                  <w:rPr>
                    <w:sz w:val="18"/>
                    <w:szCs w:val="18"/>
                  </w:rPr>
                </w:pPr>
              </w:p>
            </w:tc>
          </w:tr>
          <w:tr w:rsidR="00ED2DC7" w:rsidTr="00091E44">
            <w:sdt>
              <w:sdtPr>
                <w:rPr>
                  <w:sz w:val="18"/>
                  <w:szCs w:val="18"/>
                </w:rPr>
                <w:tag w:val="_PLD_aad1fbfb983445dfa58a193c37b83e24"/>
                <w:id w:val="-1192458020"/>
                <w:lock w:val="sdtLocked"/>
              </w:sdtPr>
              <w:sdtContent>
                <w:tc>
                  <w:tcPr>
                    <w:tcW w:w="556" w:type="pct"/>
                    <w:shd w:val="clear" w:color="auto" w:fill="auto"/>
                    <w:vAlign w:val="center"/>
                  </w:tcPr>
                  <w:p w:rsidR="00ED2DC7" w:rsidRPr="00C16A32" w:rsidRDefault="00ED2DC7">
                    <w:pPr>
                      <w:rPr>
                        <w:sz w:val="18"/>
                        <w:szCs w:val="18"/>
                      </w:rPr>
                    </w:pPr>
                    <w:r w:rsidRPr="00C16A32">
                      <w:rPr>
                        <w:rFonts w:hint="eastAsia"/>
                        <w:sz w:val="18"/>
                        <w:szCs w:val="18"/>
                      </w:rPr>
                      <w:t>其中：重新计量设定受益计划变动额</w:t>
                    </w:r>
                  </w:p>
                </w:tc>
              </w:sdtContent>
            </w:sdt>
            <w:tc>
              <w:tcPr>
                <w:tcW w:w="556" w:type="pct"/>
                <w:shd w:val="clear" w:color="auto" w:fill="auto"/>
              </w:tcPr>
              <w:p w:rsidR="00ED2DC7" w:rsidRPr="00C16A32" w:rsidRDefault="00ED2DC7">
                <w:pPr>
                  <w:jc w:val="right"/>
                  <w:rPr>
                    <w:sz w:val="18"/>
                    <w:szCs w:val="18"/>
                  </w:rPr>
                </w:pPr>
              </w:p>
            </w:tc>
            <w:tc>
              <w:tcPr>
                <w:tcW w:w="556" w:type="pct"/>
                <w:shd w:val="clear" w:color="auto" w:fill="auto"/>
              </w:tcPr>
              <w:p w:rsidR="00ED2DC7" w:rsidRPr="00C16A32" w:rsidRDefault="00ED2DC7">
                <w:pPr>
                  <w:jc w:val="right"/>
                  <w:rPr>
                    <w:sz w:val="18"/>
                    <w:szCs w:val="18"/>
                  </w:rPr>
                </w:pPr>
              </w:p>
            </w:tc>
            <w:tc>
              <w:tcPr>
                <w:tcW w:w="556" w:type="pct"/>
                <w:shd w:val="clear" w:color="auto" w:fill="auto"/>
              </w:tcPr>
              <w:p w:rsidR="00ED2DC7" w:rsidRPr="00C16A32" w:rsidRDefault="00ED2DC7">
                <w:pPr>
                  <w:jc w:val="right"/>
                  <w:rPr>
                    <w:sz w:val="18"/>
                    <w:szCs w:val="18"/>
                  </w:rPr>
                </w:pPr>
              </w:p>
            </w:tc>
            <w:tc>
              <w:tcPr>
                <w:tcW w:w="556" w:type="pct"/>
              </w:tcPr>
              <w:p w:rsidR="00ED2DC7" w:rsidRPr="00C16A32" w:rsidRDefault="00ED2DC7">
                <w:pPr>
                  <w:jc w:val="right"/>
                  <w:rPr>
                    <w:sz w:val="18"/>
                    <w:szCs w:val="18"/>
                  </w:rPr>
                </w:pPr>
              </w:p>
            </w:tc>
            <w:tc>
              <w:tcPr>
                <w:tcW w:w="556" w:type="pct"/>
                <w:shd w:val="clear" w:color="auto" w:fill="auto"/>
              </w:tcPr>
              <w:p w:rsidR="00ED2DC7" w:rsidRPr="00C16A32" w:rsidRDefault="00ED2DC7">
                <w:pPr>
                  <w:jc w:val="right"/>
                  <w:rPr>
                    <w:sz w:val="18"/>
                    <w:szCs w:val="18"/>
                  </w:rPr>
                </w:pPr>
              </w:p>
            </w:tc>
            <w:tc>
              <w:tcPr>
                <w:tcW w:w="556" w:type="pct"/>
                <w:shd w:val="clear" w:color="auto" w:fill="auto"/>
              </w:tcPr>
              <w:p w:rsidR="00ED2DC7" w:rsidRPr="00C16A32" w:rsidRDefault="00ED2DC7">
                <w:pPr>
                  <w:jc w:val="right"/>
                  <w:rPr>
                    <w:sz w:val="18"/>
                    <w:szCs w:val="18"/>
                  </w:rPr>
                </w:pPr>
              </w:p>
            </w:tc>
            <w:tc>
              <w:tcPr>
                <w:tcW w:w="556" w:type="pct"/>
                <w:shd w:val="clear" w:color="auto" w:fill="auto"/>
              </w:tcPr>
              <w:p w:rsidR="00ED2DC7" w:rsidRPr="00C16A32" w:rsidRDefault="00ED2DC7">
                <w:pPr>
                  <w:jc w:val="right"/>
                  <w:rPr>
                    <w:sz w:val="18"/>
                    <w:szCs w:val="18"/>
                  </w:rPr>
                </w:pPr>
              </w:p>
            </w:tc>
            <w:tc>
              <w:tcPr>
                <w:tcW w:w="556" w:type="pct"/>
                <w:shd w:val="clear" w:color="auto" w:fill="auto"/>
              </w:tcPr>
              <w:p w:rsidR="00ED2DC7" w:rsidRPr="00C16A32" w:rsidRDefault="00ED2DC7">
                <w:pPr>
                  <w:jc w:val="right"/>
                  <w:rPr>
                    <w:sz w:val="18"/>
                    <w:szCs w:val="18"/>
                  </w:rPr>
                </w:pPr>
              </w:p>
            </w:tc>
          </w:tr>
          <w:tr w:rsidR="00ED2DC7" w:rsidTr="00091E44">
            <w:sdt>
              <w:sdtPr>
                <w:rPr>
                  <w:sz w:val="18"/>
                  <w:szCs w:val="18"/>
                </w:rPr>
                <w:tag w:val="_PLD_00edb91bbb194fa5b7655c196b9adc24"/>
                <w:id w:val="-1017612238"/>
                <w:lock w:val="sdtLocked"/>
              </w:sdtPr>
              <w:sdtContent>
                <w:tc>
                  <w:tcPr>
                    <w:tcW w:w="556" w:type="pct"/>
                    <w:shd w:val="clear" w:color="auto" w:fill="auto"/>
                    <w:vAlign w:val="center"/>
                  </w:tcPr>
                  <w:p w:rsidR="00ED2DC7" w:rsidRPr="00C16A32" w:rsidRDefault="00ED2DC7">
                    <w:pPr>
                      <w:rPr>
                        <w:sz w:val="18"/>
                        <w:szCs w:val="18"/>
                      </w:rPr>
                    </w:pPr>
                    <w:r w:rsidRPr="00C16A32">
                      <w:rPr>
                        <w:rFonts w:hint="eastAsia"/>
                        <w:sz w:val="18"/>
                        <w:szCs w:val="18"/>
                      </w:rPr>
                      <w:t xml:space="preserve">  权益法下不能转损益的其他综合收益</w:t>
                    </w:r>
                  </w:p>
                </w:tc>
              </w:sdtContent>
            </w:sdt>
            <w:tc>
              <w:tcPr>
                <w:tcW w:w="556" w:type="pct"/>
                <w:shd w:val="clear" w:color="auto" w:fill="auto"/>
              </w:tcPr>
              <w:p w:rsidR="00ED2DC7" w:rsidRPr="00C16A32" w:rsidRDefault="00ED2DC7">
                <w:pPr>
                  <w:jc w:val="right"/>
                  <w:rPr>
                    <w:sz w:val="18"/>
                    <w:szCs w:val="18"/>
                  </w:rPr>
                </w:pPr>
              </w:p>
            </w:tc>
            <w:tc>
              <w:tcPr>
                <w:tcW w:w="556" w:type="pct"/>
                <w:shd w:val="clear" w:color="auto" w:fill="auto"/>
              </w:tcPr>
              <w:p w:rsidR="00ED2DC7" w:rsidRPr="00C16A32" w:rsidRDefault="00ED2DC7">
                <w:pPr>
                  <w:jc w:val="right"/>
                  <w:rPr>
                    <w:sz w:val="18"/>
                    <w:szCs w:val="18"/>
                  </w:rPr>
                </w:pPr>
              </w:p>
            </w:tc>
            <w:tc>
              <w:tcPr>
                <w:tcW w:w="556" w:type="pct"/>
                <w:shd w:val="clear" w:color="auto" w:fill="auto"/>
              </w:tcPr>
              <w:p w:rsidR="00ED2DC7" w:rsidRPr="00C16A32" w:rsidRDefault="00ED2DC7">
                <w:pPr>
                  <w:jc w:val="right"/>
                  <w:rPr>
                    <w:sz w:val="18"/>
                    <w:szCs w:val="18"/>
                  </w:rPr>
                </w:pPr>
              </w:p>
            </w:tc>
            <w:tc>
              <w:tcPr>
                <w:tcW w:w="556" w:type="pct"/>
              </w:tcPr>
              <w:p w:rsidR="00ED2DC7" w:rsidRPr="00C16A32" w:rsidRDefault="00ED2DC7">
                <w:pPr>
                  <w:jc w:val="right"/>
                  <w:rPr>
                    <w:sz w:val="18"/>
                    <w:szCs w:val="18"/>
                  </w:rPr>
                </w:pPr>
              </w:p>
            </w:tc>
            <w:tc>
              <w:tcPr>
                <w:tcW w:w="556" w:type="pct"/>
                <w:shd w:val="clear" w:color="auto" w:fill="auto"/>
              </w:tcPr>
              <w:p w:rsidR="00ED2DC7" w:rsidRPr="00C16A32" w:rsidRDefault="00ED2DC7">
                <w:pPr>
                  <w:jc w:val="right"/>
                  <w:rPr>
                    <w:sz w:val="18"/>
                    <w:szCs w:val="18"/>
                  </w:rPr>
                </w:pPr>
              </w:p>
            </w:tc>
            <w:tc>
              <w:tcPr>
                <w:tcW w:w="556" w:type="pct"/>
                <w:shd w:val="clear" w:color="auto" w:fill="auto"/>
              </w:tcPr>
              <w:p w:rsidR="00ED2DC7" w:rsidRPr="00C16A32" w:rsidRDefault="00ED2DC7">
                <w:pPr>
                  <w:jc w:val="right"/>
                  <w:rPr>
                    <w:sz w:val="18"/>
                    <w:szCs w:val="18"/>
                  </w:rPr>
                </w:pPr>
              </w:p>
            </w:tc>
            <w:tc>
              <w:tcPr>
                <w:tcW w:w="556" w:type="pct"/>
                <w:shd w:val="clear" w:color="auto" w:fill="auto"/>
              </w:tcPr>
              <w:p w:rsidR="00ED2DC7" w:rsidRPr="00C16A32" w:rsidRDefault="00ED2DC7">
                <w:pPr>
                  <w:jc w:val="right"/>
                  <w:rPr>
                    <w:sz w:val="18"/>
                    <w:szCs w:val="18"/>
                  </w:rPr>
                </w:pPr>
              </w:p>
            </w:tc>
            <w:tc>
              <w:tcPr>
                <w:tcW w:w="556" w:type="pct"/>
                <w:shd w:val="clear" w:color="auto" w:fill="auto"/>
              </w:tcPr>
              <w:p w:rsidR="00ED2DC7" w:rsidRPr="00C16A32" w:rsidRDefault="00ED2DC7">
                <w:pPr>
                  <w:jc w:val="right"/>
                  <w:rPr>
                    <w:sz w:val="18"/>
                    <w:szCs w:val="18"/>
                  </w:rPr>
                </w:pPr>
              </w:p>
            </w:tc>
          </w:tr>
          <w:tr w:rsidR="00ED2DC7" w:rsidTr="00091E44">
            <w:sdt>
              <w:sdtPr>
                <w:rPr>
                  <w:sz w:val="18"/>
                  <w:szCs w:val="18"/>
                </w:rPr>
                <w:tag w:val="_PLD_296624bab915467fb3ca81e8914cb225"/>
                <w:id w:val="2127658845"/>
                <w:lock w:val="sdtLocked"/>
              </w:sdtPr>
              <w:sdtContent>
                <w:tc>
                  <w:tcPr>
                    <w:tcW w:w="556" w:type="pct"/>
                    <w:shd w:val="clear" w:color="auto" w:fill="auto"/>
                    <w:vAlign w:val="center"/>
                  </w:tcPr>
                  <w:p w:rsidR="00ED2DC7" w:rsidRPr="00C16A32" w:rsidRDefault="00ED2DC7">
                    <w:pPr>
                      <w:ind w:firstLineChars="100" w:firstLine="180"/>
                      <w:rPr>
                        <w:sz w:val="18"/>
                        <w:szCs w:val="18"/>
                      </w:rPr>
                    </w:pPr>
                    <w:r w:rsidRPr="00C16A32">
                      <w:rPr>
                        <w:rFonts w:hint="eastAsia"/>
                        <w:sz w:val="18"/>
                        <w:szCs w:val="18"/>
                      </w:rPr>
                      <w:t>其他权益工具投</w:t>
                    </w:r>
                    <w:r w:rsidRPr="00C16A32">
                      <w:rPr>
                        <w:rFonts w:hint="eastAsia"/>
                        <w:sz w:val="18"/>
                        <w:szCs w:val="18"/>
                      </w:rPr>
                      <w:lastRenderedPageBreak/>
                      <w:t>资公允价值变动</w:t>
                    </w:r>
                  </w:p>
                </w:tc>
              </w:sdtContent>
            </w:sdt>
            <w:tc>
              <w:tcPr>
                <w:tcW w:w="556" w:type="pct"/>
                <w:shd w:val="clear" w:color="auto" w:fill="auto"/>
              </w:tcPr>
              <w:p w:rsidR="00ED2DC7" w:rsidRPr="00C16A32" w:rsidRDefault="00ED2DC7">
                <w:pPr>
                  <w:jc w:val="right"/>
                  <w:rPr>
                    <w:sz w:val="18"/>
                    <w:szCs w:val="18"/>
                  </w:rPr>
                </w:pPr>
              </w:p>
            </w:tc>
            <w:tc>
              <w:tcPr>
                <w:tcW w:w="556" w:type="pct"/>
                <w:shd w:val="clear" w:color="auto" w:fill="auto"/>
              </w:tcPr>
              <w:p w:rsidR="00ED2DC7" w:rsidRPr="00C16A32" w:rsidRDefault="00ED2DC7">
                <w:pPr>
                  <w:jc w:val="right"/>
                  <w:rPr>
                    <w:sz w:val="18"/>
                    <w:szCs w:val="18"/>
                  </w:rPr>
                </w:pPr>
              </w:p>
            </w:tc>
            <w:tc>
              <w:tcPr>
                <w:tcW w:w="556" w:type="pct"/>
                <w:shd w:val="clear" w:color="auto" w:fill="auto"/>
              </w:tcPr>
              <w:p w:rsidR="00ED2DC7" w:rsidRPr="00C16A32" w:rsidRDefault="00ED2DC7">
                <w:pPr>
                  <w:jc w:val="right"/>
                  <w:rPr>
                    <w:sz w:val="18"/>
                    <w:szCs w:val="18"/>
                  </w:rPr>
                </w:pPr>
              </w:p>
            </w:tc>
            <w:tc>
              <w:tcPr>
                <w:tcW w:w="556" w:type="pct"/>
              </w:tcPr>
              <w:p w:rsidR="00ED2DC7" w:rsidRPr="00C16A32" w:rsidRDefault="00ED2DC7">
                <w:pPr>
                  <w:jc w:val="right"/>
                  <w:rPr>
                    <w:sz w:val="18"/>
                    <w:szCs w:val="18"/>
                  </w:rPr>
                </w:pPr>
              </w:p>
            </w:tc>
            <w:tc>
              <w:tcPr>
                <w:tcW w:w="556" w:type="pct"/>
                <w:shd w:val="clear" w:color="auto" w:fill="auto"/>
              </w:tcPr>
              <w:p w:rsidR="00ED2DC7" w:rsidRPr="00C16A32" w:rsidRDefault="00ED2DC7">
                <w:pPr>
                  <w:jc w:val="right"/>
                  <w:rPr>
                    <w:sz w:val="18"/>
                    <w:szCs w:val="18"/>
                  </w:rPr>
                </w:pPr>
              </w:p>
            </w:tc>
            <w:tc>
              <w:tcPr>
                <w:tcW w:w="556" w:type="pct"/>
                <w:shd w:val="clear" w:color="auto" w:fill="auto"/>
              </w:tcPr>
              <w:p w:rsidR="00ED2DC7" w:rsidRPr="00C16A32" w:rsidRDefault="00ED2DC7">
                <w:pPr>
                  <w:jc w:val="right"/>
                  <w:rPr>
                    <w:sz w:val="18"/>
                    <w:szCs w:val="18"/>
                  </w:rPr>
                </w:pPr>
              </w:p>
            </w:tc>
            <w:tc>
              <w:tcPr>
                <w:tcW w:w="556" w:type="pct"/>
                <w:shd w:val="clear" w:color="auto" w:fill="auto"/>
              </w:tcPr>
              <w:p w:rsidR="00ED2DC7" w:rsidRPr="00C16A32" w:rsidRDefault="00ED2DC7">
                <w:pPr>
                  <w:jc w:val="right"/>
                  <w:rPr>
                    <w:sz w:val="18"/>
                    <w:szCs w:val="18"/>
                  </w:rPr>
                </w:pPr>
              </w:p>
            </w:tc>
            <w:tc>
              <w:tcPr>
                <w:tcW w:w="556" w:type="pct"/>
                <w:shd w:val="clear" w:color="auto" w:fill="auto"/>
              </w:tcPr>
              <w:p w:rsidR="00ED2DC7" w:rsidRPr="00C16A32" w:rsidRDefault="00ED2DC7">
                <w:pPr>
                  <w:jc w:val="right"/>
                  <w:rPr>
                    <w:sz w:val="18"/>
                    <w:szCs w:val="18"/>
                  </w:rPr>
                </w:pPr>
              </w:p>
            </w:tc>
          </w:tr>
          <w:tr w:rsidR="00ED2DC7" w:rsidTr="00091E44">
            <w:sdt>
              <w:sdtPr>
                <w:rPr>
                  <w:sz w:val="18"/>
                  <w:szCs w:val="18"/>
                </w:rPr>
                <w:tag w:val="_PLD_1ab24655d3604e7a8b8f0a20c2590d22"/>
                <w:id w:val="1963306331"/>
                <w:lock w:val="sdtLocked"/>
              </w:sdtPr>
              <w:sdtContent>
                <w:tc>
                  <w:tcPr>
                    <w:tcW w:w="556" w:type="pct"/>
                    <w:shd w:val="clear" w:color="auto" w:fill="auto"/>
                    <w:vAlign w:val="center"/>
                  </w:tcPr>
                  <w:p w:rsidR="00ED2DC7" w:rsidRPr="00C16A32" w:rsidRDefault="00ED2DC7">
                    <w:pPr>
                      <w:ind w:firstLineChars="100" w:firstLine="180"/>
                      <w:rPr>
                        <w:sz w:val="18"/>
                        <w:szCs w:val="18"/>
                      </w:rPr>
                    </w:pPr>
                    <w:r w:rsidRPr="00C16A32">
                      <w:rPr>
                        <w:rFonts w:hint="eastAsia"/>
                        <w:sz w:val="18"/>
                        <w:szCs w:val="18"/>
                      </w:rPr>
                      <w:t>企业自身信用风险公允价值变动</w:t>
                    </w:r>
                  </w:p>
                </w:tc>
              </w:sdtContent>
            </w:sdt>
            <w:tc>
              <w:tcPr>
                <w:tcW w:w="556" w:type="pct"/>
                <w:shd w:val="clear" w:color="auto" w:fill="auto"/>
              </w:tcPr>
              <w:p w:rsidR="00ED2DC7" w:rsidRPr="00C16A32" w:rsidRDefault="00ED2DC7">
                <w:pPr>
                  <w:jc w:val="right"/>
                  <w:rPr>
                    <w:sz w:val="18"/>
                    <w:szCs w:val="18"/>
                  </w:rPr>
                </w:pPr>
              </w:p>
            </w:tc>
            <w:tc>
              <w:tcPr>
                <w:tcW w:w="556" w:type="pct"/>
                <w:shd w:val="clear" w:color="auto" w:fill="auto"/>
              </w:tcPr>
              <w:p w:rsidR="00ED2DC7" w:rsidRPr="00C16A32" w:rsidRDefault="00ED2DC7">
                <w:pPr>
                  <w:jc w:val="right"/>
                  <w:rPr>
                    <w:sz w:val="18"/>
                    <w:szCs w:val="18"/>
                  </w:rPr>
                </w:pPr>
              </w:p>
            </w:tc>
            <w:tc>
              <w:tcPr>
                <w:tcW w:w="556" w:type="pct"/>
                <w:shd w:val="clear" w:color="auto" w:fill="auto"/>
              </w:tcPr>
              <w:p w:rsidR="00ED2DC7" w:rsidRPr="00C16A32" w:rsidRDefault="00ED2DC7">
                <w:pPr>
                  <w:jc w:val="right"/>
                  <w:rPr>
                    <w:sz w:val="18"/>
                    <w:szCs w:val="18"/>
                  </w:rPr>
                </w:pPr>
              </w:p>
            </w:tc>
            <w:tc>
              <w:tcPr>
                <w:tcW w:w="556" w:type="pct"/>
              </w:tcPr>
              <w:p w:rsidR="00ED2DC7" w:rsidRPr="00C16A32" w:rsidRDefault="00ED2DC7">
                <w:pPr>
                  <w:jc w:val="right"/>
                  <w:rPr>
                    <w:sz w:val="18"/>
                    <w:szCs w:val="18"/>
                  </w:rPr>
                </w:pPr>
              </w:p>
            </w:tc>
            <w:tc>
              <w:tcPr>
                <w:tcW w:w="556" w:type="pct"/>
                <w:shd w:val="clear" w:color="auto" w:fill="auto"/>
              </w:tcPr>
              <w:p w:rsidR="00ED2DC7" w:rsidRPr="00C16A32" w:rsidRDefault="00ED2DC7">
                <w:pPr>
                  <w:jc w:val="right"/>
                  <w:rPr>
                    <w:sz w:val="18"/>
                    <w:szCs w:val="18"/>
                  </w:rPr>
                </w:pPr>
              </w:p>
            </w:tc>
            <w:tc>
              <w:tcPr>
                <w:tcW w:w="556" w:type="pct"/>
                <w:shd w:val="clear" w:color="auto" w:fill="auto"/>
              </w:tcPr>
              <w:p w:rsidR="00ED2DC7" w:rsidRPr="00C16A32" w:rsidRDefault="00ED2DC7">
                <w:pPr>
                  <w:jc w:val="right"/>
                  <w:rPr>
                    <w:sz w:val="18"/>
                    <w:szCs w:val="18"/>
                  </w:rPr>
                </w:pPr>
              </w:p>
            </w:tc>
            <w:tc>
              <w:tcPr>
                <w:tcW w:w="556" w:type="pct"/>
                <w:shd w:val="clear" w:color="auto" w:fill="auto"/>
              </w:tcPr>
              <w:p w:rsidR="00ED2DC7" w:rsidRPr="00C16A32" w:rsidRDefault="00ED2DC7">
                <w:pPr>
                  <w:jc w:val="right"/>
                  <w:rPr>
                    <w:sz w:val="18"/>
                    <w:szCs w:val="18"/>
                  </w:rPr>
                </w:pPr>
              </w:p>
            </w:tc>
            <w:tc>
              <w:tcPr>
                <w:tcW w:w="556" w:type="pct"/>
                <w:shd w:val="clear" w:color="auto" w:fill="auto"/>
              </w:tcPr>
              <w:p w:rsidR="00ED2DC7" w:rsidRPr="00C16A32" w:rsidRDefault="00ED2DC7">
                <w:pPr>
                  <w:jc w:val="right"/>
                  <w:rPr>
                    <w:sz w:val="18"/>
                    <w:szCs w:val="18"/>
                  </w:rPr>
                </w:pPr>
              </w:p>
            </w:tc>
          </w:tr>
          <w:sdt>
            <w:sdtPr>
              <w:rPr>
                <w:rFonts w:hint="eastAsia"/>
                <w:sz w:val="18"/>
                <w:szCs w:val="18"/>
              </w:rPr>
              <w:alias w:val="以后不能重分类进损益的其他综合收益明细"/>
              <w:tag w:val="_TUP_6bc82a2204c3421d8f43f9411fd8c0fe"/>
              <w:id w:val="-513528332"/>
              <w:lock w:val="sdtLocked"/>
              <w:placeholder>
                <w:docPart w:val="GBC11111111111111111111111111111"/>
              </w:placeholder>
            </w:sdtPr>
            <w:sdtContent>
              <w:tr w:rsidR="00ED2DC7" w:rsidTr="00091E44">
                <w:tc>
                  <w:tcPr>
                    <w:tcW w:w="556" w:type="pct"/>
                    <w:shd w:val="clear" w:color="auto" w:fill="auto"/>
                  </w:tcPr>
                  <w:p w:rsidR="00ED2DC7" w:rsidRPr="00C16A32" w:rsidRDefault="00ED2DC7">
                    <w:pPr>
                      <w:rPr>
                        <w:sz w:val="18"/>
                        <w:szCs w:val="18"/>
                      </w:rPr>
                    </w:pPr>
                  </w:p>
                </w:tc>
                <w:tc>
                  <w:tcPr>
                    <w:tcW w:w="556" w:type="pct"/>
                    <w:shd w:val="clear" w:color="auto" w:fill="auto"/>
                  </w:tcPr>
                  <w:p w:rsidR="00ED2DC7" w:rsidRPr="00C16A32" w:rsidRDefault="00ED2DC7">
                    <w:pPr>
                      <w:jc w:val="right"/>
                      <w:rPr>
                        <w:sz w:val="18"/>
                        <w:szCs w:val="18"/>
                      </w:rPr>
                    </w:pPr>
                  </w:p>
                </w:tc>
                <w:tc>
                  <w:tcPr>
                    <w:tcW w:w="556" w:type="pct"/>
                    <w:shd w:val="clear" w:color="auto" w:fill="auto"/>
                  </w:tcPr>
                  <w:p w:rsidR="00ED2DC7" w:rsidRPr="00C16A32" w:rsidRDefault="00ED2DC7">
                    <w:pPr>
                      <w:jc w:val="right"/>
                      <w:rPr>
                        <w:sz w:val="18"/>
                        <w:szCs w:val="18"/>
                      </w:rPr>
                    </w:pPr>
                  </w:p>
                </w:tc>
                <w:tc>
                  <w:tcPr>
                    <w:tcW w:w="556" w:type="pct"/>
                    <w:shd w:val="clear" w:color="auto" w:fill="auto"/>
                  </w:tcPr>
                  <w:p w:rsidR="00ED2DC7" w:rsidRPr="00C16A32" w:rsidRDefault="00ED2DC7">
                    <w:pPr>
                      <w:jc w:val="right"/>
                      <w:rPr>
                        <w:sz w:val="18"/>
                        <w:szCs w:val="18"/>
                      </w:rPr>
                    </w:pPr>
                  </w:p>
                </w:tc>
                <w:tc>
                  <w:tcPr>
                    <w:tcW w:w="556" w:type="pct"/>
                  </w:tcPr>
                  <w:p w:rsidR="00ED2DC7" w:rsidRPr="00C16A32" w:rsidRDefault="00ED2DC7">
                    <w:pPr>
                      <w:jc w:val="right"/>
                      <w:rPr>
                        <w:sz w:val="18"/>
                        <w:szCs w:val="18"/>
                      </w:rPr>
                    </w:pPr>
                  </w:p>
                </w:tc>
                <w:tc>
                  <w:tcPr>
                    <w:tcW w:w="556" w:type="pct"/>
                    <w:shd w:val="clear" w:color="auto" w:fill="auto"/>
                  </w:tcPr>
                  <w:p w:rsidR="00ED2DC7" w:rsidRPr="00C16A32" w:rsidRDefault="00ED2DC7">
                    <w:pPr>
                      <w:jc w:val="right"/>
                      <w:rPr>
                        <w:sz w:val="18"/>
                        <w:szCs w:val="18"/>
                      </w:rPr>
                    </w:pPr>
                  </w:p>
                </w:tc>
                <w:tc>
                  <w:tcPr>
                    <w:tcW w:w="556" w:type="pct"/>
                    <w:shd w:val="clear" w:color="auto" w:fill="auto"/>
                  </w:tcPr>
                  <w:p w:rsidR="00ED2DC7" w:rsidRPr="00C16A32" w:rsidRDefault="00ED2DC7">
                    <w:pPr>
                      <w:jc w:val="right"/>
                      <w:rPr>
                        <w:sz w:val="18"/>
                        <w:szCs w:val="18"/>
                      </w:rPr>
                    </w:pPr>
                  </w:p>
                </w:tc>
                <w:tc>
                  <w:tcPr>
                    <w:tcW w:w="556" w:type="pct"/>
                    <w:shd w:val="clear" w:color="auto" w:fill="auto"/>
                  </w:tcPr>
                  <w:p w:rsidR="00ED2DC7" w:rsidRPr="00C16A32" w:rsidRDefault="00ED2DC7">
                    <w:pPr>
                      <w:jc w:val="right"/>
                      <w:rPr>
                        <w:sz w:val="18"/>
                        <w:szCs w:val="18"/>
                      </w:rPr>
                    </w:pPr>
                  </w:p>
                </w:tc>
                <w:tc>
                  <w:tcPr>
                    <w:tcW w:w="556" w:type="pct"/>
                    <w:shd w:val="clear" w:color="auto" w:fill="auto"/>
                  </w:tcPr>
                  <w:p w:rsidR="00ED2DC7" w:rsidRPr="00C16A32" w:rsidRDefault="00ED2DC7">
                    <w:pPr>
                      <w:jc w:val="right"/>
                      <w:rPr>
                        <w:sz w:val="18"/>
                        <w:szCs w:val="18"/>
                      </w:rPr>
                    </w:pPr>
                  </w:p>
                </w:tc>
              </w:tr>
            </w:sdtContent>
          </w:sdt>
          <w:sdt>
            <w:sdtPr>
              <w:rPr>
                <w:rFonts w:hint="eastAsia"/>
                <w:sz w:val="18"/>
                <w:szCs w:val="18"/>
              </w:rPr>
              <w:alias w:val="以后不能重分类进损益的其他综合收益明细"/>
              <w:tag w:val="_TUP_6bc82a2204c3421d8f43f9411fd8c0fe"/>
              <w:id w:val="953055519"/>
              <w:lock w:val="sdtLocked"/>
              <w:placeholder>
                <w:docPart w:val="GBC11111111111111111111111111111"/>
              </w:placeholder>
            </w:sdtPr>
            <w:sdtContent>
              <w:tr w:rsidR="00ED2DC7" w:rsidTr="00091E44">
                <w:tc>
                  <w:tcPr>
                    <w:tcW w:w="556" w:type="pct"/>
                    <w:shd w:val="clear" w:color="auto" w:fill="auto"/>
                  </w:tcPr>
                  <w:p w:rsidR="00ED2DC7" w:rsidRPr="00C16A32" w:rsidRDefault="00ED2DC7">
                    <w:pPr>
                      <w:rPr>
                        <w:sz w:val="18"/>
                        <w:szCs w:val="18"/>
                      </w:rPr>
                    </w:pPr>
                  </w:p>
                </w:tc>
                <w:tc>
                  <w:tcPr>
                    <w:tcW w:w="556" w:type="pct"/>
                    <w:shd w:val="clear" w:color="auto" w:fill="auto"/>
                  </w:tcPr>
                  <w:p w:rsidR="00ED2DC7" w:rsidRPr="00C16A32" w:rsidRDefault="00ED2DC7">
                    <w:pPr>
                      <w:jc w:val="right"/>
                      <w:rPr>
                        <w:sz w:val="18"/>
                        <w:szCs w:val="18"/>
                      </w:rPr>
                    </w:pPr>
                  </w:p>
                </w:tc>
                <w:tc>
                  <w:tcPr>
                    <w:tcW w:w="556" w:type="pct"/>
                    <w:shd w:val="clear" w:color="auto" w:fill="auto"/>
                  </w:tcPr>
                  <w:p w:rsidR="00ED2DC7" w:rsidRPr="00C16A32" w:rsidRDefault="00ED2DC7">
                    <w:pPr>
                      <w:jc w:val="right"/>
                      <w:rPr>
                        <w:sz w:val="18"/>
                        <w:szCs w:val="18"/>
                      </w:rPr>
                    </w:pPr>
                  </w:p>
                </w:tc>
                <w:tc>
                  <w:tcPr>
                    <w:tcW w:w="556" w:type="pct"/>
                    <w:shd w:val="clear" w:color="auto" w:fill="auto"/>
                  </w:tcPr>
                  <w:p w:rsidR="00ED2DC7" w:rsidRPr="00C16A32" w:rsidRDefault="00ED2DC7">
                    <w:pPr>
                      <w:jc w:val="right"/>
                      <w:rPr>
                        <w:sz w:val="18"/>
                        <w:szCs w:val="18"/>
                      </w:rPr>
                    </w:pPr>
                  </w:p>
                </w:tc>
                <w:tc>
                  <w:tcPr>
                    <w:tcW w:w="556" w:type="pct"/>
                  </w:tcPr>
                  <w:p w:rsidR="00ED2DC7" w:rsidRPr="00C16A32" w:rsidRDefault="00ED2DC7">
                    <w:pPr>
                      <w:jc w:val="right"/>
                      <w:rPr>
                        <w:sz w:val="18"/>
                        <w:szCs w:val="18"/>
                      </w:rPr>
                    </w:pPr>
                  </w:p>
                </w:tc>
                <w:tc>
                  <w:tcPr>
                    <w:tcW w:w="556" w:type="pct"/>
                    <w:shd w:val="clear" w:color="auto" w:fill="auto"/>
                  </w:tcPr>
                  <w:p w:rsidR="00ED2DC7" w:rsidRPr="00C16A32" w:rsidRDefault="00ED2DC7">
                    <w:pPr>
                      <w:jc w:val="right"/>
                      <w:rPr>
                        <w:sz w:val="18"/>
                        <w:szCs w:val="18"/>
                      </w:rPr>
                    </w:pPr>
                  </w:p>
                </w:tc>
                <w:tc>
                  <w:tcPr>
                    <w:tcW w:w="556" w:type="pct"/>
                    <w:shd w:val="clear" w:color="auto" w:fill="auto"/>
                  </w:tcPr>
                  <w:p w:rsidR="00ED2DC7" w:rsidRPr="00C16A32" w:rsidRDefault="00ED2DC7">
                    <w:pPr>
                      <w:jc w:val="right"/>
                      <w:rPr>
                        <w:sz w:val="18"/>
                        <w:szCs w:val="18"/>
                      </w:rPr>
                    </w:pPr>
                  </w:p>
                </w:tc>
                <w:tc>
                  <w:tcPr>
                    <w:tcW w:w="556" w:type="pct"/>
                    <w:shd w:val="clear" w:color="auto" w:fill="auto"/>
                  </w:tcPr>
                  <w:p w:rsidR="00ED2DC7" w:rsidRPr="00C16A32" w:rsidRDefault="00ED2DC7">
                    <w:pPr>
                      <w:jc w:val="right"/>
                      <w:rPr>
                        <w:sz w:val="18"/>
                        <w:szCs w:val="18"/>
                      </w:rPr>
                    </w:pPr>
                  </w:p>
                </w:tc>
                <w:tc>
                  <w:tcPr>
                    <w:tcW w:w="556" w:type="pct"/>
                    <w:shd w:val="clear" w:color="auto" w:fill="auto"/>
                  </w:tcPr>
                  <w:p w:rsidR="00ED2DC7" w:rsidRPr="00C16A32" w:rsidRDefault="00ED2DC7">
                    <w:pPr>
                      <w:jc w:val="right"/>
                      <w:rPr>
                        <w:sz w:val="18"/>
                        <w:szCs w:val="18"/>
                      </w:rPr>
                    </w:pPr>
                  </w:p>
                </w:tc>
              </w:tr>
            </w:sdtContent>
          </w:sdt>
          <w:tr w:rsidR="00ED2DC7" w:rsidTr="00091E44">
            <w:sdt>
              <w:sdtPr>
                <w:rPr>
                  <w:sz w:val="18"/>
                  <w:szCs w:val="18"/>
                </w:rPr>
                <w:tag w:val="_PLD_4316f8eb3def474d974d5bd228f05848"/>
                <w:id w:val="-32423078"/>
                <w:lock w:val="sdtLocked"/>
              </w:sdtPr>
              <w:sdtContent>
                <w:tc>
                  <w:tcPr>
                    <w:tcW w:w="556" w:type="pct"/>
                    <w:shd w:val="clear" w:color="auto" w:fill="auto"/>
                  </w:tcPr>
                  <w:p w:rsidR="00ED2DC7" w:rsidRPr="00C16A32" w:rsidRDefault="00ED2DC7">
                    <w:pPr>
                      <w:rPr>
                        <w:sz w:val="18"/>
                        <w:szCs w:val="18"/>
                      </w:rPr>
                    </w:pPr>
                    <w:r w:rsidRPr="00C16A32">
                      <w:rPr>
                        <w:rFonts w:hint="eastAsia"/>
                        <w:sz w:val="18"/>
                        <w:szCs w:val="18"/>
                      </w:rPr>
                      <w:t>二、将重分类进损益的其他综合收益</w:t>
                    </w:r>
                  </w:p>
                </w:tc>
              </w:sdtContent>
            </w:sdt>
            <w:tc>
              <w:tcPr>
                <w:tcW w:w="556" w:type="pct"/>
                <w:shd w:val="clear" w:color="auto" w:fill="auto"/>
              </w:tcPr>
              <w:p w:rsidR="00ED2DC7" w:rsidRPr="00C16A32" w:rsidRDefault="008F04CF">
                <w:pPr>
                  <w:jc w:val="right"/>
                  <w:rPr>
                    <w:sz w:val="18"/>
                    <w:szCs w:val="18"/>
                  </w:rPr>
                </w:pPr>
                <w:r w:rsidRPr="00C16A32">
                  <w:rPr>
                    <w:sz w:val="18"/>
                    <w:szCs w:val="18"/>
                  </w:rPr>
                  <w:t>4,427,272</w:t>
                </w:r>
              </w:p>
            </w:tc>
            <w:tc>
              <w:tcPr>
                <w:tcW w:w="556" w:type="pct"/>
                <w:shd w:val="clear" w:color="auto" w:fill="auto"/>
              </w:tcPr>
              <w:p w:rsidR="00ED2DC7" w:rsidRPr="00C16A32" w:rsidRDefault="008F04CF">
                <w:pPr>
                  <w:jc w:val="right"/>
                  <w:rPr>
                    <w:sz w:val="18"/>
                    <w:szCs w:val="18"/>
                  </w:rPr>
                </w:pPr>
                <w:r w:rsidRPr="00C16A32">
                  <w:rPr>
                    <w:sz w:val="18"/>
                    <w:szCs w:val="18"/>
                  </w:rPr>
                  <w:t>-481,523</w:t>
                </w:r>
              </w:p>
            </w:tc>
            <w:tc>
              <w:tcPr>
                <w:tcW w:w="556" w:type="pct"/>
                <w:shd w:val="clear" w:color="auto" w:fill="auto"/>
              </w:tcPr>
              <w:p w:rsidR="00ED2DC7" w:rsidRPr="00C16A32" w:rsidRDefault="00ED2DC7">
                <w:pPr>
                  <w:jc w:val="right"/>
                  <w:rPr>
                    <w:sz w:val="18"/>
                    <w:szCs w:val="18"/>
                  </w:rPr>
                </w:pPr>
              </w:p>
            </w:tc>
            <w:tc>
              <w:tcPr>
                <w:tcW w:w="556" w:type="pct"/>
              </w:tcPr>
              <w:p w:rsidR="00ED2DC7" w:rsidRPr="00C16A32" w:rsidRDefault="00ED2DC7">
                <w:pPr>
                  <w:jc w:val="right"/>
                  <w:rPr>
                    <w:sz w:val="18"/>
                    <w:szCs w:val="18"/>
                  </w:rPr>
                </w:pPr>
              </w:p>
            </w:tc>
            <w:tc>
              <w:tcPr>
                <w:tcW w:w="556" w:type="pct"/>
                <w:shd w:val="clear" w:color="auto" w:fill="auto"/>
              </w:tcPr>
              <w:p w:rsidR="00ED2DC7" w:rsidRPr="00C16A32" w:rsidRDefault="00ED2DC7">
                <w:pPr>
                  <w:jc w:val="right"/>
                  <w:rPr>
                    <w:sz w:val="18"/>
                    <w:szCs w:val="18"/>
                  </w:rPr>
                </w:pPr>
              </w:p>
            </w:tc>
            <w:tc>
              <w:tcPr>
                <w:tcW w:w="556" w:type="pct"/>
                <w:shd w:val="clear" w:color="auto" w:fill="auto"/>
              </w:tcPr>
              <w:p w:rsidR="00ED2DC7" w:rsidRPr="00C16A32" w:rsidRDefault="008F04CF">
                <w:pPr>
                  <w:jc w:val="right"/>
                  <w:rPr>
                    <w:sz w:val="18"/>
                    <w:szCs w:val="18"/>
                  </w:rPr>
                </w:pPr>
                <w:r w:rsidRPr="00C16A32">
                  <w:rPr>
                    <w:sz w:val="18"/>
                    <w:szCs w:val="18"/>
                  </w:rPr>
                  <w:t>-481,523</w:t>
                </w:r>
              </w:p>
            </w:tc>
            <w:tc>
              <w:tcPr>
                <w:tcW w:w="556" w:type="pct"/>
                <w:shd w:val="clear" w:color="auto" w:fill="auto"/>
              </w:tcPr>
              <w:p w:rsidR="00ED2DC7" w:rsidRPr="00C16A32" w:rsidRDefault="008F04CF">
                <w:pPr>
                  <w:jc w:val="right"/>
                  <w:rPr>
                    <w:sz w:val="18"/>
                    <w:szCs w:val="18"/>
                  </w:rPr>
                </w:pPr>
                <w:r w:rsidRPr="00C16A32">
                  <w:rPr>
                    <w:sz w:val="18"/>
                    <w:szCs w:val="18"/>
                  </w:rPr>
                  <w:t>-381,138</w:t>
                </w:r>
              </w:p>
            </w:tc>
            <w:tc>
              <w:tcPr>
                <w:tcW w:w="556" w:type="pct"/>
                <w:shd w:val="clear" w:color="auto" w:fill="auto"/>
              </w:tcPr>
              <w:p w:rsidR="00ED2DC7" w:rsidRPr="00C16A32" w:rsidRDefault="008F04CF">
                <w:pPr>
                  <w:jc w:val="right"/>
                  <w:rPr>
                    <w:sz w:val="18"/>
                    <w:szCs w:val="18"/>
                  </w:rPr>
                </w:pPr>
                <w:r w:rsidRPr="00C16A32">
                  <w:rPr>
                    <w:sz w:val="18"/>
                    <w:szCs w:val="18"/>
                  </w:rPr>
                  <w:t>3,945,749</w:t>
                </w:r>
              </w:p>
            </w:tc>
          </w:tr>
          <w:tr w:rsidR="00ED2DC7" w:rsidTr="00091E44">
            <w:sdt>
              <w:sdtPr>
                <w:rPr>
                  <w:sz w:val="18"/>
                  <w:szCs w:val="18"/>
                </w:rPr>
                <w:tag w:val="_PLD_c943cf2f4cb34d3c9fb95405c1a3062c"/>
                <w:id w:val="436416293"/>
                <w:lock w:val="sdtLocked"/>
              </w:sdtPr>
              <w:sdtContent>
                <w:tc>
                  <w:tcPr>
                    <w:tcW w:w="556" w:type="pct"/>
                    <w:shd w:val="clear" w:color="auto" w:fill="auto"/>
                  </w:tcPr>
                  <w:p w:rsidR="00ED2DC7" w:rsidRPr="00C16A32" w:rsidRDefault="00ED2DC7">
                    <w:pPr>
                      <w:rPr>
                        <w:sz w:val="18"/>
                        <w:szCs w:val="18"/>
                      </w:rPr>
                    </w:pPr>
                    <w:r w:rsidRPr="00C16A32">
                      <w:rPr>
                        <w:rFonts w:hint="eastAsia"/>
                        <w:sz w:val="18"/>
                        <w:szCs w:val="18"/>
                      </w:rPr>
                      <w:t>其中：权益法下可转损益的其他综合收益</w:t>
                    </w:r>
                  </w:p>
                </w:tc>
              </w:sdtContent>
            </w:sdt>
            <w:tc>
              <w:tcPr>
                <w:tcW w:w="556" w:type="pct"/>
                <w:shd w:val="clear" w:color="auto" w:fill="auto"/>
              </w:tcPr>
              <w:p w:rsidR="00ED2DC7" w:rsidRPr="00C16A32" w:rsidRDefault="00ED2DC7">
                <w:pPr>
                  <w:jc w:val="right"/>
                  <w:rPr>
                    <w:sz w:val="18"/>
                    <w:szCs w:val="18"/>
                  </w:rPr>
                </w:pPr>
              </w:p>
            </w:tc>
            <w:tc>
              <w:tcPr>
                <w:tcW w:w="556" w:type="pct"/>
                <w:shd w:val="clear" w:color="auto" w:fill="auto"/>
              </w:tcPr>
              <w:p w:rsidR="00ED2DC7" w:rsidRPr="00C16A32" w:rsidRDefault="00FA4F85">
                <w:pPr>
                  <w:jc w:val="right"/>
                  <w:rPr>
                    <w:sz w:val="18"/>
                    <w:szCs w:val="18"/>
                  </w:rPr>
                </w:pPr>
                <w:r w:rsidRPr="00C16A32">
                  <w:rPr>
                    <w:sz w:val="18"/>
                    <w:szCs w:val="18"/>
                  </w:rPr>
                  <w:t>188,747</w:t>
                </w:r>
              </w:p>
            </w:tc>
            <w:tc>
              <w:tcPr>
                <w:tcW w:w="556" w:type="pct"/>
                <w:shd w:val="clear" w:color="auto" w:fill="auto"/>
              </w:tcPr>
              <w:p w:rsidR="00ED2DC7" w:rsidRPr="00C16A32" w:rsidRDefault="00ED2DC7">
                <w:pPr>
                  <w:jc w:val="right"/>
                  <w:rPr>
                    <w:sz w:val="18"/>
                    <w:szCs w:val="18"/>
                  </w:rPr>
                </w:pPr>
              </w:p>
            </w:tc>
            <w:tc>
              <w:tcPr>
                <w:tcW w:w="556" w:type="pct"/>
              </w:tcPr>
              <w:p w:rsidR="00ED2DC7" w:rsidRPr="00C16A32" w:rsidRDefault="00ED2DC7">
                <w:pPr>
                  <w:jc w:val="right"/>
                  <w:rPr>
                    <w:sz w:val="18"/>
                    <w:szCs w:val="18"/>
                  </w:rPr>
                </w:pPr>
              </w:p>
            </w:tc>
            <w:tc>
              <w:tcPr>
                <w:tcW w:w="556" w:type="pct"/>
                <w:shd w:val="clear" w:color="auto" w:fill="auto"/>
              </w:tcPr>
              <w:p w:rsidR="00ED2DC7" w:rsidRPr="00C16A32" w:rsidRDefault="00ED2DC7">
                <w:pPr>
                  <w:jc w:val="right"/>
                  <w:rPr>
                    <w:sz w:val="18"/>
                    <w:szCs w:val="18"/>
                  </w:rPr>
                </w:pPr>
              </w:p>
            </w:tc>
            <w:tc>
              <w:tcPr>
                <w:tcW w:w="556" w:type="pct"/>
                <w:shd w:val="clear" w:color="auto" w:fill="auto"/>
              </w:tcPr>
              <w:p w:rsidR="00ED2DC7" w:rsidRPr="00C16A32" w:rsidRDefault="00FA4F85">
                <w:pPr>
                  <w:jc w:val="right"/>
                  <w:rPr>
                    <w:sz w:val="18"/>
                    <w:szCs w:val="18"/>
                  </w:rPr>
                </w:pPr>
                <w:r w:rsidRPr="00C16A32">
                  <w:rPr>
                    <w:sz w:val="18"/>
                    <w:szCs w:val="18"/>
                  </w:rPr>
                  <w:t>188,747</w:t>
                </w:r>
              </w:p>
            </w:tc>
            <w:tc>
              <w:tcPr>
                <w:tcW w:w="556" w:type="pct"/>
                <w:shd w:val="clear" w:color="auto" w:fill="auto"/>
              </w:tcPr>
              <w:p w:rsidR="00ED2DC7" w:rsidRPr="00C16A32" w:rsidRDefault="00ED2DC7">
                <w:pPr>
                  <w:jc w:val="right"/>
                  <w:rPr>
                    <w:sz w:val="18"/>
                    <w:szCs w:val="18"/>
                  </w:rPr>
                </w:pPr>
              </w:p>
            </w:tc>
            <w:tc>
              <w:tcPr>
                <w:tcW w:w="556" w:type="pct"/>
                <w:shd w:val="clear" w:color="auto" w:fill="auto"/>
              </w:tcPr>
              <w:p w:rsidR="00ED2DC7" w:rsidRPr="00C16A32" w:rsidRDefault="00FA4F85">
                <w:pPr>
                  <w:jc w:val="right"/>
                  <w:rPr>
                    <w:sz w:val="18"/>
                    <w:szCs w:val="18"/>
                  </w:rPr>
                </w:pPr>
                <w:r w:rsidRPr="00C16A32">
                  <w:rPr>
                    <w:sz w:val="18"/>
                    <w:szCs w:val="18"/>
                  </w:rPr>
                  <w:t>188,747</w:t>
                </w:r>
              </w:p>
            </w:tc>
          </w:tr>
          <w:tr w:rsidR="00ED2DC7" w:rsidTr="00091E44">
            <w:sdt>
              <w:sdtPr>
                <w:rPr>
                  <w:sz w:val="18"/>
                  <w:szCs w:val="18"/>
                </w:rPr>
                <w:tag w:val="_PLD_05c7e2483e664174af98c56352aea31b"/>
                <w:id w:val="-264846194"/>
                <w:lock w:val="sdtLocked"/>
              </w:sdtPr>
              <w:sdtContent>
                <w:tc>
                  <w:tcPr>
                    <w:tcW w:w="556" w:type="pct"/>
                    <w:shd w:val="clear" w:color="auto" w:fill="auto"/>
                  </w:tcPr>
                  <w:p w:rsidR="00ED2DC7" w:rsidRPr="00C16A32" w:rsidRDefault="00ED2DC7">
                    <w:pPr>
                      <w:ind w:firstLineChars="100" w:firstLine="180"/>
                      <w:rPr>
                        <w:sz w:val="18"/>
                        <w:szCs w:val="18"/>
                      </w:rPr>
                    </w:pPr>
                    <w:r w:rsidRPr="00C16A32">
                      <w:rPr>
                        <w:rFonts w:hint="eastAsia"/>
                        <w:sz w:val="18"/>
                        <w:szCs w:val="18"/>
                      </w:rPr>
                      <w:t>其他债权投资公允价值变动</w:t>
                    </w:r>
                  </w:p>
                </w:tc>
              </w:sdtContent>
            </w:sdt>
            <w:tc>
              <w:tcPr>
                <w:tcW w:w="556" w:type="pct"/>
                <w:shd w:val="clear" w:color="auto" w:fill="auto"/>
              </w:tcPr>
              <w:p w:rsidR="00ED2DC7" w:rsidRPr="00C16A32" w:rsidRDefault="00ED2DC7">
                <w:pPr>
                  <w:jc w:val="right"/>
                  <w:rPr>
                    <w:sz w:val="18"/>
                    <w:szCs w:val="18"/>
                  </w:rPr>
                </w:pPr>
              </w:p>
            </w:tc>
            <w:tc>
              <w:tcPr>
                <w:tcW w:w="556" w:type="pct"/>
                <w:shd w:val="clear" w:color="auto" w:fill="auto"/>
              </w:tcPr>
              <w:p w:rsidR="00ED2DC7" w:rsidRPr="00C16A32" w:rsidRDefault="00ED2DC7">
                <w:pPr>
                  <w:jc w:val="right"/>
                  <w:rPr>
                    <w:sz w:val="18"/>
                    <w:szCs w:val="18"/>
                  </w:rPr>
                </w:pPr>
              </w:p>
            </w:tc>
            <w:tc>
              <w:tcPr>
                <w:tcW w:w="556" w:type="pct"/>
                <w:shd w:val="clear" w:color="auto" w:fill="auto"/>
              </w:tcPr>
              <w:p w:rsidR="00ED2DC7" w:rsidRPr="00C16A32" w:rsidRDefault="00ED2DC7">
                <w:pPr>
                  <w:jc w:val="right"/>
                  <w:rPr>
                    <w:sz w:val="18"/>
                    <w:szCs w:val="18"/>
                  </w:rPr>
                </w:pPr>
              </w:p>
            </w:tc>
            <w:tc>
              <w:tcPr>
                <w:tcW w:w="556" w:type="pct"/>
              </w:tcPr>
              <w:p w:rsidR="00ED2DC7" w:rsidRPr="00C16A32" w:rsidRDefault="00ED2DC7">
                <w:pPr>
                  <w:jc w:val="right"/>
                  <w:rPr>
                    <w:sz w:val="18"/>
                    <w:szCs w:val="18"/>
                  </w:rPr>
                </w:pPr>
              </w:p>
            </w:tc>
            <w:tc>
              <w:tcPr>
                <w:tcW w:w="556" w:type="pct"/>
                <w:shd w:val="clear" w:color="auto" w:fill="auto"/>
              </w:tcPr>
              <w:p w:rsidR="00ED2DC7" w:rsidRPr="00C16A32" w:rsidRDefault="00ED2DC7">
                <w:pPr>
                  <w:jc w:val="right"/>
                  <w:rPr>
                    <w:sz w:val="18"/>
                    <w:szCs w:val="18"/>
                  </w:rPr>
                </w:pPr>
              </w:p>
            </w:tc>
            <w:tc>
              <w:tcPr>
                <w:tcW w:w="556" w:type="pct"/>
                <w:shd w:val="clear" w:color="auto" w:fill="auto"/>
              </w:tcPr>
              <w:p w:rsidR="00ED2DC7" w:rsidRPr="00C16A32" w:rsidRDefault="00ED2DC7">
                <w:pPr>
                  <w:jc w:val="right"/>
                  <w:rPr>
                    <w:sz w:val="18"/>
                    <w:szCs w:val="18"/>
                  </w:rPr>
                </w:pPr>
              </w:p>
            </w:tc>
            <w:tc>
              <w:tcPr>
                <w:tcW w:w="556" w:type="pct"/>
                <w:shd w:val="clear" w:color="auto" w:fill="auto"/>
              </w:tcPr>
              <w:p w:rsidR="00ED2DC7" w:rsidRPr="00C16A32" w:rsidRDefault="00ED2DC7">
                <w:pPr>
                  <w:jc w:val="right"/>
                  <w:rPr>
                    <w:sz w:val="18"/>
                    <w:szCs w:val="18"/>
                  </w:rPr>
                </w:pPr>
              </w:p>
            </w:tc>
            <w:tc>
              <w:tcPr>
                <w:tcW w:w="556" w:type="pct"/>
                <w:shd w:val="clear" w:color="auto" w:fill="auto"/>
              </w:tcPr>
              <w:p w:rsidR="00ED2DC7" w:rsidRPr="00C16A32" w:rsidRDefault="00ED2DC7">
                <w:pPr>
                  <w:jc w:val="right"/>
                  <w:rPr>
                    <w:sz w:val="18"/>
                    <w:szCs w:val="18"/>
                  </w:rPr>
                </w:pPr>
              </w:p>
            </w:tc>
          </w:tr>
          <w:tr w:rsidR="00ED2DC7" w:rsidTr="00091E44">
            <w:sdt>
              <w:sdtPr>
                <w:rPr>
                  <w:sz w:val="18"/>
                  <w:szCs w:val="18"/>
                </w:rPr>
                <w:tag w:val="_PLD_67d6f101a03d467d995419510214a616"/>
                <w:id w:val="-468358752"/>
                <w:lock w:val="sdtLocked"/>
              </w:sdtPr>
              <w:sdtContent>
                <w:tc>
                  <w:tcPr>
                    <w:tcW w:w="556" w:type="pct"/>
                    <w:shd w:val="clear" w:color="auto" w:fill="auto"/>
                  </w:tcPr>
                  <w:p w:rsidR="00ED2DC7" w:rsidRPr="00C16A32" w:rsidRDefault="00ED2DC7">
                    <w:pPr>
                      <w:ind w:firstLineChars="100" w:firstLine="180"/>
                      <w:rPr>
                        <w:sz w:val="18"/>
                        <w:szCs w:val="18"/>
                      </w:rPr>
                    </w:pPr>
                    <w:r w:rsidRPr="00C16A32">
                      <w:rPr>
                        <w:rFonts w:hint="eastAsia"/>
                        <w:sz w:val="18"/>
                        <w:szCs w:val="18"/>
                      </w:rPr>
                      <w:t>金融资产重分类计入其他综合收益的金额</w:t>
                    </w:r>
                  </w:p>
                </w:tc>
              </w:sdtContent>
            </w:sdt>
            <w:tc>
              <w:tcPr>
                <w:tcW w:w="556" w:type="pct"/>
                <w:shd w:val="clear" w:color="auto" w:fill="auto"/>
              </w:tcPr>
              <w:p w:rsidR="00ED2DC7" w:rsidRPr="00C16A32" w:rsidRDefault="00ED2DC7">
                <w:pPr>
                  <w:jc w:val="right"/>
                  <w:rPr>
                    <w:sz w:val="18"/>
                    <w:szCs w:val="18"/>
                  </w:rPr>
                </w:pPr>
              </w:p>
            </w:tc>
            <w:tc>
              <w:tcPr>
                <w:tcW w:w="556" w:type="pct"/>
                <w:shd w:val="clear" w:color="auto" w:fill="auto"/>
              </w:tcPr>
              <w:p w:rsidR="00ED2DC7" w:rsidRPr="00C16A32" w:rsidRDefault="00ED2DC7">
                <w:pPr>
                  <w:jc w:val="right"/>
                  <w:rPr>
                    <w:sz w:val="18"/>
                    <w:szCs w:val="18"/>
                  </w:rPr>
                </w:pPr>
              </w:p>
            </w:tc>
            <w:tc>
              <w:tcPr>
                <w:tcW w:w="556" w:type="pct"/>
                <w:shd w:val="clear" w:color="auto" w:fill="auto"/>
              </w:tcPr>
              <w:p w:rsidR="00ED2DC7" w:rsidRPr="00C16A32" w:rsidRDefault="00ED2DC7">
                <w:pPr>
                  <w:jc w:val="right"/>
                  <w:rPr>
                    <w:sz w:val="18"/>
                    <w:szCs w:val="18"/>
                  </w:rPr>
                </w:pPr>
              </w:p>
            </w:tc>
            <w:tc>
              <w:tcPr>
                <w:tcW w:w="556" w:type="pct"/>
              </w:tcPr>
              <w:p w:rsidR="00ED2DC7" w:rsidRPr="00C16A32" w:rsidRDefault="00ED2DC7">
                <w:pPr>
                  <w:jc w:val="right"/>
                  <w:rPr>
                    <w:sz w:val="18"/>
                    <w:szCs w:val="18"/>
                  </w:rPr>
                </w:pPr>
              </w:p>
            </w:tc>
            <w:tc>
              <w:tcPr>
                <w:tcW w:w="556" w:type="pct"/>
                <w:shd w:val="clear" w:color="auto" w:fill="auto"/>
              </w:tcPr>
              <w:p w:rsidR="00ED2DC7" w:rsidRPr="00C16A32" w:rsidRDefault="00ED2DC7">
                <w:pPr>
                  <w:jc w:val="right"/>
                  <w:rPr>
                    <w:sz w:val="18"/>
                    <w:szCs w:val="18"/>
                  </w:rPr>
                </w:pPr>
              </w:p>
            </w:tc>
            <w:tc>
              <w:tcPr>
                <w:tcW w:w="556" w:type="pct"/>
                <w:shd w:val="clear" w:color="auto" w:fill="auto"/>
              </w:tcPr>
              <w:p w:rsidR="00ED2DC7" w:rsidRPr="00C16A32" w:rsidRDefault="00ED2DC7">
                <w:pPr>
                  <w:jc w:val="right"/>
                  <w:rPr>
                    <w:sz w:val="18"/>
                    <w:szCs w:val="18"/>
                  </w:rPr>
                </w:pPr>
              </w:p>
            </w:tc>
            <w:tc>
              <w:tcPr>
                <w:tcW w:w="556" w:type="pct"/>
                <w:shd w:val="clear" w:color="auto" w:fill="auto"/>
              </w:tcPr>
              <w:p w:rsidR="00ED2DC7" w:rsidRPr="00C16A32" w:rsidRDefault="00ED2DC7">
                <w:pPr>
                  <w:jc w:val="right"/>
                  <w:rPr>
                    <w:sz w:val="18"/>
                    <w:szCs w:val="18"/>
                  </w:rPr>
                </w:pPr>
              </w:p>
            </w:tc>
            <w:tc>
              <w:tcPr>
                <w:tcW w:w="556" w:type="pct"/>
                <w:shd w:val="clear" w:color="auto" w:fill="auto"/>
              </w:tcPr>
              <w:p w:rsidR="00ED2DC7" w:rsidRPr="00C16A32" w:rsidRDefault="00ED2DC7">
                <w:pPr>
                  <w:jc w:val="right"/>
                  <w:rPr>
                    <w:sz w:val="18"/>
                    <w:szCs w:val="18"/>
                  </w:rPr>
                </w:pPr>
              </w:p>
            </w:tc>
          </w:tr>
          <w:tr w:rsidR="00ED2DC7" w:rsidTr="00091E44">
            <w:sdt>
              <w:sdtPr>
                <w:rPr>
                  <w:sz w:val="18"/>
                  <w:szCs w:val="18"/>
                </w:rPr>
                <w:tag w:val="_PLD_b7f5af5728364a0f8a18e5ed26751100"/>
                <w:id w:val="1787309642"/>
                <w:lock w:val="sdtLocked"/>
              </w:sdtPr>
              <w:sdtContent>
                <w:tc>
                  <w:tcPr>
                    <w:tcW w:w="556" w:type="pct"/>
                    <w:shd w:val="clear" w:color="auto" w:fill="auto"/>
                  </w:tcPr>
                  <w:p w:rsidR="00ED2DC7" w:rsidRPr="00C16A32" w:rsidRDefault="00ED2DC7">
                    <w:pPr>
                      <w:ind w:firstLineChars="100" w:firstLine="180"/>
                      <w:rPr>
                        <w:sz w:val="18"/>
                        <w:szCs w:val="18"/>
                      </w:rPr>
                    </w:pPr>
                    <w:r w:rsidRPr="00C16A32">
                      <w:rPr>
                        <w:rFonts w:hint="eastAsia"/>
                        <w:sz w:val="18"/>
                        <w:szCs w:val="18"/>
                      </w:rPr>
                      <w:t>其他债权投资信用减值准备</w:t>
                    </w:r>
                  </w:p>
                </w:tc>
              </w:sdtContent>
            </w:sdt>
            <w:tc>
              <w:tcPr>
                <w:tcW w:w="556" w:type="pct"/>
                <w:shd w:val="clear" w:color="auto" w:fill="auto"/>
              </w:tcPr>
              <w:p w:rsidR="00ED2DC7" w:rsidRPr="00C16A32" w:rsidRDefault="00ED2DC7">
                <w:pPr>
                  <w:jc w:val="right"/>
                  <w:rPr>
                    <w:sz w:val="18"/>
                    <w:szCs w:val="18"/>
                  </w:rPr>
                </w:pPr>
              </w:p>
            </w:tc>
            <w:tc>
              <w:tcPr>
                <w:tcW w:w="556" w:type="pct"/>
                <w:shd w:val="clear" w:color="auto" w:fill="auto"/>
              </w:tcPr>
              <w:p w:rsidR="00ED2DC7" w:rsidRPr="00C16A32" w:rsidRDefault="00ED2DC7">
                <w:pPr>
                  <w:jc w:val="right"/>
                  <w:rPr>
                    <w:sz w:val="18"/>
                    <w:szCs w:val="18"/>
                  </w:rPr>
                </w:pPr>
              </w:p>
            </w:tc>
            <w:tc>
              <w:tcPr>
                <w:tcW w:w="556" w:type="pct"/>
                <w:shd w:val="clear" w:color="auto" w:fill="auto"/>
              </w:tcPr>
              <w:p w:rsidR="00ED2DC7" w:rsidRPr="00C16A32" w:rsidRDefault="00ED2DC7">
                <w:pPr>
                  <w:jc w:val="right"/>
                  <w:rPr>
                    <w:sz w:val="18"/>
                    <w:szCs w:val="18"/>
                  </w:rPr>
                </w:pPr>
              </w:p>
            </w:tc>
            <w:tc>
              <w:tcPr>
                <w:tcW w:w="556" w:type="pct"/>
              </w:tcPr>
              <w:p w:rsidR="00ED2DC7" w:rsidRPr="00C16A32" w:rsidRDefault="00ED2DC7">
                <w:pPr>
                  <w:jc w:val="right"/>
                  <w:rPr>
                    <w:sz w:val="18"/>
                    <w:szCs w:val="18"/>
                  </w:rPr>
                </w:pPr>
              </w:p>
            </w:tc>
            <w:tc>
              <w:tcPr>
                <w:tcW w:w="556" w:type="pct"/>
                <w:shd w:val="clear" w:color="auto" w:fill="auto"/>
              </w:tcPr>
              <w:p w:rsidR="00ED2DC7" w:rsidRPr="00C16A32" w:rsidRDefault="00ED2DC7">
                <w:pPr>
                  <w:jc w:val="right"/>
                  <w:rPr>
                    <w:sz w:val="18"/>
                    <w:szCs w:val="18"/>
                  </w:rPr>
                </w:pPr>
              </w:p>
            </w:tc>
            <w:tc>
              <w:tcPr>
                <w:tcW w:w="556" w:type="pct"/>
                <w:shd w:val="clear" w:color="auto" w:fill="auto"/>
              </w:tcPr>
              <w:p w:rsidR="00ED2DC7" w:rsidRPr="00C16A32" w:rsidRDefault="00ED2DC7">
                <w:pPr>
                  <w:jc w:val="right"/>
                  <w:rPr>
                    <w:sz w:val="18"/>
                    <w:szCs w:val="18"/>
                  </w:rPr>
                </w:pPr>
              </w:p>
            </w:tc>
            <w:tc>
              <w:tcPr>
                <w:tcW w:w="556" w:type="pct"/>
                <w:shd w:val="clear" w:color="auto" w:fill="auto"/>
              </w:tcPr>
              <w:p w:rsidR="00ED2DC7" w:rsidRPr="00C16A32" w:rsidRDefault="00ED2DC7">
                <w:pPr>
                  <w:jc w:val="right"/>
                  <w:rPr>
                    <w:sz w:val="18"/>
                    <w:szCs w:val="18"/>
                  </w:rPr>
                </w:pPr>
              </w:p>
            </w:tc>
            <w:tc>
              <w:tcPr>
                <w:tcW w:w="556" w:type="pct"/>
                <w:shd w:val="clear" w:color="auto" w:fill="auto"/>
              </w:tcPr>
              <w:p w:rsidR="00ED2DC7" w:rsidRPr="00C16A32" w:rsidRDefault="00ED2DC7">
                <w:pPr>
                  <w:jc w:val="right"/>
                  <w:rPr>
                    <w:sz w:val="18"/>
                    <w:szCs w:val="18"/>
                  </w:rPr>
                </w:pPr>
              </w:p>
            </w:tc>
          </w:tr>
          <w:tr w:rsidR="00ED2DC7" w:rsidTr="00091E44">
            <w:sdt>
              <w:sdtPr>
                <w:rPr>
                  <w:sz w:val="18"/>
                  <w:szCs w:val="18"/>
                </w:rPr>
                <w:tag w:val="_PLD_87be35a6f331456eb4e213fe998f1437"/>
                <w:id w:val="508489966"/>
                <w:lock w:val="sdtLocked"/>
              </w:sdtPr>
              <w:sdtContent>
                <w:tc>
                  <w:tcPr>
                    <w:tcW w:w="556" w:type="pct"/>
                    <w:shd w:val="clear" w:color="auto" w:fill="auto"/>
                  </w:tcPr>
                  <w:p w:rsidR="00ED2DC7" w:rsidRPr="00C16A32" w:rsidRDefault="00ED2DC7">
                    <w:pPr>
                      <w:rPr>
                        <w:sz w:val="18"/>
                        <w:szCs w:val="18"/>
                      </w:rPr>
                    </w:pPr>
                    <w:r w:rsidRPr="00C16A32">
                      <w:rPr>
                        <w:rFonts w:hint="eastAsia"/>
                        <w:sz w:val="18"/>
                        <w:szCs w:val="18"/>
                      </w:rPr>
                      <w:t xml:space="preserve">  现金流量套期损益的有效部分</w:t>
                    </w:r>
                  </w:p>
                </w:tc>
              </w:sdtContent>
            </w:sdt>
            <w:tc>
              <w:tcPr>
                <w:tcW w:w="556" w:type="pct"/>
                <w:shd w:val="clear" w:color="auto" w:fill="auto"/>
              </w:tcPr>
              <w:p w:rsidR="00ED2DC7" w:rsidRPr="00C16A32" w:rsidRDefault="00ED2DC7">
                <w:pPr>
                  <w:jc w:val="right"/>
                  <w:rPr>
                    <w:sz w:val="18"/>
                    <w:szCs w:val="18"/>
                  </w:rPr>
                </w:pPr>
              </w:p>
            </w:tc>
            <w:tc>
              <w:tcPr>
                <w:tcW w:w="556" w:type="pct"/>
                <w:shd w:val="clear" w:color="auto" w:fill="auto"/>
              </w:tcPr>
              <w:p w:rsidR="00ED2DC7" w:rsidRPr="00C16A32" w:rsidRDefault="00ED2DC7">
                <w:pPr>
                  <w:jc w:val="right"/>
                  <w:rPr>
                    <w:sz w:val="18"/>
                    <w:szCs w:val="18"/>
                  </w:rPr>
                </w:pPr>
              </w:p>
            </w:tc>
            <w:tc>
              <w:tcPr>
                <w:tcW w:w="556" w:type="pct"/>
                <w:shd w:val="clear" w:color="auto" w:fill="auto"/>
              </w:tcPr>
              <w:p w:rsidR="00ED2DC7" w:rsidRPr="00C16A32" w:rsidRDefault="00ED2DC7">
                <w:pPr>
                  <w:jc w:val="right"/>
                  <w:rPr>
                    <w:sz w:val="18"/>
                    <w:szCs w:val="18"/>
                  </w:rPr>
                </w:pPr>
              </w:p>
            </w:tc>
            <w:tc>
              <w:tcPr>
                <w:tcW w:w="556" w:type="pct"/>
              </w:tcPr>
              <w:p w:rsidR="00ED2DC7" w:rsidRPr="00C16A32" w:rsidRDefault="00ED2DC7">
                <w:pPr>
                  <w:jc w:val="right"/>
                  <w:rPr>
                    <w:sz w:val="18"/>
                    <w:szCs w:val="18"/>
                  </w:rPr>
                </w:pPr>
              </w:p>
            </w:tc>
            <w:tc>
              <w:tcPr>
                <w:tcW w:w="556" w:type="pct"/>
                <w:shd w:val="clear" w:color="auto" w:fill="auto"/>
              </w:tcPr>
              <w:p w:rsidR="00ED2DC7" w:rsidRPr="00C16A32" w:rsidRDefault="00ED2DC7">
                <w:pPr>
                  <w:jc w:val="right"/>
                  <w:rPr>
                    <w:sz w:val="18"/>
                    <w:szCs w:val="18"/>
                  </w:rPr>
                </w:pPr>
              </w:p>
            </w:tc>
            <w:tc>
              <w:tcPr>
                <w:tcW w:w="556" w:type="pct"/>
                <w:shd w:val="clear" w:color="auto" w:fill="auto"/>
              </w:tcPr>
              <w:p w:rsidR="00ED2DC7" w:rsidRPr="00C16A32" w:rsidRDefault="00ED2DC7">
                <w:pPr>
                  <w:jc w:val="right"/>
                  <w:rPr>
                    <w:sz w:val="18"/>
                    <w:szCs w:val="18"/>
                  </w:rPr>
                </w:pPr>
              </w:p>
            </w:tc>
            <w:tc>
              <w:tcPr>
                <w:tcW w:w="556" w:type="pct"/>
                <w:shd w:val="clear" w:color="auto" w:fill="auto"/>
              </w:tcPr>
              <w:p w:rsidR="00ED2DC7" w:rsidRPr="00C16A32" w:rsidRDefault="00ED2DC7">
                <w:pPr>
                  <w:jc w:val="right"/>
                  <w:rPr>
                    <w:sz w:val="18"/>
                    <w:szCs w:val="18"/>
                  </w:rPr>
                </w:pPr>
              </w:p>
            </w:tc>
            <w:tc>
              <w:tcPr>
                <w:tcW w:w="556" w:type="pct"/>
                <w:shd w:val="clear" w:color="auto" w:fill="auto"/>
              </w:tcPr>
              <w:p w:rsidR="00ED2DC7" w:rsidRPr="00C16A32" w:rsidRDefault="00ED2DC7">
                <w:pPr>
                  <w:jc w:val="right"/>
                  <w:rPr>
                    <w:sz w:val="18"/>
                    <w:szCs w:val="18"/>
                  </w:rPr>
                </w:pPr>
              </w:p>
            </w:tc>
          </w:tr>
          <w:tr w:rsidR="00ED2DC7" w:rsidTr="00091E44">
            <w:sdt>
              <w:sdtPr>
                <w:rPr>
                  <w:sz w:val="18"/>
                  <w:szCs w:val="18"/>
                </w:rPr>
                <w:tag w:val="_PLD_7096ad729dde4fc1a4c67915bc5f19df"/>
                <w:id w:val="1225569525"/>
                <w:lock w:val="sdtLocked"/>
              </w:sdtPr>
              <w:sdtContent>
                <w:tc>
                  <w:tcPr>
                    <w:tcW w:w="556" w:type="pct"/>
                    <w:shd w:val="clear" w:color="auto" w:fill="auto"/>
                  </w:tcPr>
                  <w:p w:rsidR="00ED2DC7" w:rsidRPr="00C16A32" w:rsidRDefault="00ED2DC7">
                    <w:pPr>
                      <w:rPr>
                        <w:sz w:val="18"/>
                        <w:szCs w:val="18"/>
                      </w:rPr>
                    </w:pPr>
                    <w:r w:rsidRPr="00C16A32">
                      <w:rPr>
                        <w:rFonts w:hint="eastAsia"/>
                        <w:sz w:val="18"/>
                        <w:szCs w:val="18"/>
                      </w:rPr>
                      <w:t xml:space="preserve">  外币财务报表折算差额</w:t>
                    </w:r>
                  </w:p>
                </w:tc>
              </w:sdtContent>
            </w:sdt>
            <w:tc>
              <w:tcPr>
                <w:tcW w:w="556" w:type="pct"/>
                <w:shd w:val="clear" w:color="auto" w:fill="auto"/>
              </w:tcPr>
              <w:p w:rsidR="00ED2DC7" w:rsidRPr="00C16A32" w:rsidRDefault="008F04CF">
                <w:pPr>
                  <w:jc w:val="right"/>
                  <w:rPr>
                    <w:sz w:val="18"/>
                    <w:szCs w:val="18"/>
                  </w:rPr>
                </w:pPr>
                <w:r w:rsidRPr="00C16A32">
                  <w:rPr>
                    <w:sz w:val="18"/>
                    <w:szCs w:val="18"/>
                  </w:rPr>
                  <w:t>4,427,272</w:t>
                </w:r>
              </w:p>
            </w:tc>
            <w:tc>
              <w:tcPr>
                <w:tcW w:w="556" w:type="pct"/>
                <w:shd w:val="clear" w:color="auto" w:fill="auto"/>
              </w:tcPr>
              <w:p w:rsidR="00ED2DC7" w:rsidRPr="00C16A32" w:rsidRDefault="008F04CF">
                <w:pPr>
                  <w:jc w:val="right"/>
                  <w:rPr>
                    <w:sz w:val="18"/>
                    <w:szCs w:val="18"/>
                  </w:rPr>
                </w:pPr>
                <w:r w:rsidRPr="00C16A32">
                  <w:rPr>
                    <w:sz w:val="18"/>
                    <w:szCs w:val="18"/>
                  </w:rPr>
                  <w:t>-670,270</w:t>
                </w:r>
              </w:p>
            </w:tc>
            <w:tc>
              <w:tcPr>
                <w:tcW w:w="556" w:type="pct"/>
                <w:shd w:val="clear" w:color="auto" w:fill="auto"/>
              </w:tcPr>
              <w:p w:rsidR="00ED2DC7" w:rsidRPr="00C16A32" w:rsidRDefault="00ED2DC7">
                <w:pPr>
                  <w:jc w:val="right"/>
                  <w:rPr>
                    <w:sz w:val="18"/>
                    <w:szCs w:val="18"/>
                  </w:rPr>
                </w:pPr>
              </w:p>
            </w:tc>
            <w:tc>
              <w:tcPr>
                <w:tcW w:w="556" w:type="pct"/>
              </w:tcPr>
              <w:p w:rsidR="00ED2DC7" w:rsidRPr="00C16A32" w:rsidRDefault="00ED2DC7">
                <w:pPr>
                  <w:jc w:val="right"/>
                  <w:rPr>
                    <w:sz w:val="18"/>
                    <w:szCs w:val="18"/>
                  </w:rPr>
                </w:pPr>
              </w:p>
            </w:tc>
            <w:tc>
              <w:tcPr>
                <w:tcW w:w="556" w:type="pct"/>
                <w:shd w:val="clear" w:color="auto" w:fill="auto"/>
              </w:tcPr>
              <w:p w:rsidR="00ED2DC7" w:rsidRPr="00C16A32" w:rsidRDefault="00ED2DC7">
                <w:pPr>
                  <w:jc w:val="right"/>
                  <w:rPr>
                    <w:sz w:val="18"/>
                    <w:szCs w:val="18"/>
                  </w:rPr>
                </w:pPr>
              </w:p>
            </w:tc>
            <w:tc>
              <w:tcPr>
                <w:tcW w:w="556" w:type="pct"/>
                <w:shd w:val="clear" w:color="auto" w:fill="auto"/>
              </w:tcPr>
              <w:p w:rsidR="00ED2DC7" w:rsidRPr="00C16A32" w:rsidRDefault="008F04CF">
                <w:pPr>
                  <w:jc w:val="right"/>
                  <w:rPr>
                    <w:sz w:val="18"/>
                    <w:szCs w:val="18"/>
                  </w:rPr>
                </w:pPr>
                <w:r w:rsidRPr="00C16A32">
                  <w:rPr>
                    <w:sz w:val="18"/>
                    <w:szCs w:val="18"/>
                  </w:rPr>
                  <w:t>-670,270</w:t>
                </w:r>
              </w:p>
            </w:tc>
            <w:tc>
              <w:tcPr>
                <w:tcW w:w="556" w:type="pct"/>
                <w:shd w:val="clear" w:color="auto" w:fill="auto"/>
              </w:tcPr>
              <w:p w:rsidR="00ED2DC7" w:rsidRPr="00C16A32" w:rsidRDefault="008F04CF">
                <w:pPr>
                  <w:jc w:val="right"/>
                  <w:rPr>
                    <w:sz w:val="18"/>
                    <w:szCs w:val="18"/>
                  </w:rPr>
                </w:pPr>
                <w:r w:rsidRPr="00C16A32">
                  <w:rPr>
                    <w:sz w:val="18"/>
                    <w:szCs w:val="18"/>
                  </w:rPr>
                  <w:t>-381,138</w:t>
                </w:r>
              </w:p>
            </w:tc>
            <w:tc>
              <w:tcPr>
                <w:tcW w:w="556" w:type="pct"/>
                <w:shd w:val="clear" w:color="auto" w:fill="auto"/>
              </w:tcPr>
              <w:p w:rsidR="00ED2DC7" w:rsidRPr="00C16A32" w:rsidRDefault="008F04CF">
                <w:pPr>
                  <w:jc w:val="right"/>
                  <w:rPr>
                    <w:sz w:val="18"/>
                    <w:szCs w:val="18"/>
                  </w:rPr>
                </w:pPr>
                <w:r w:rsidRPr="00C16A32">
                  <w:rPr>
                    <w:sz w:val="18"/>
                    <w:szCs w:val="18"/>
                  </w:rPr>
                  <w:t>3,757,002</w:t>
                </w:r>
              </w:p>
            </w:tc>
          </w:tr>
          <w:sdt>
            <w:sdtPr>
              <w:rPr>
                <w:rFonts w:hint="eastAsia"/>
                <w:sz w:val="18"/>
                <w:szCs w:val="18"/>
              </w:rPr>
              <w:alias w:val="以后将重分类进损益的其他综合收益明细"/>
              <w:tag w:val="_TUP_56d4648d761a4a9a9f94fac2aeb735b6"/>
              <w:id w:val="-2105948839"/>
              <w:lock w:val="sdtLocked"/>
              <w:placeholder>
                <w:docPart w:val="GBC11111111111111111111111111111"/>
              </w:placeholder>
            </w:sdtPr>
            <w:sdtContent>
              <w:tr w:rsidR="00ED2DC7" w:rsidTr="00091E44">
                <w:tc>
                  <w:tcPr>
                    <w:tcW w:w="556" w:type="pct"/>
                    <w:tcBorders>
                      <w:bottom w:val="single" w:sz="4" w:space="0" w:color="auto"/>
                    </w:tcBorders>
                    <w:shd w:val="clear" w:color="auto" w:fill="auto"/>
                  </w:tcPr>
                  <w:p w:rsidR="00ED2DC7" w:rsidRPr="00C16A32" w:rsidRDefault="00ED2DC7">
                    <w:pPr>
                      <w:rPr>
                        <w:sz w:val="18"/>
                        <w:szCs w:val="18"/>
                      </w:rPr>
                    </w:pPr>
                  </w:p>
                </w:tc>
                <w:tc>
                  <w:tcPr>
                    <w:tcW w:w="556" w:type="pct"/>
                    <w:shd w:val="clear" w:color="auto" w:fill="auto"/>
                  </w:tcPr>
                  <w:p w:rsidR="00ED2DC7" w:rsidRPr="00C16A32" w:rsidRDefault="00ED2DC7">
                    <w:pPr>
                      <w:jc w:val="right"/>
                      <w:rPr>
                        <w:sz w:val="18"/>
                        <w:szCs w:val="18"/>
                      </w:rPr>
                    </w:pPr>
                  </w:p>
                </w:tc>
                <w:tc>
                  <w:tcPr>
                    <w:tcW w:w="556" w:type="pct"/>
                    <w:shd w:val="clear" w:color="auto" w:fill="auto"/>
                  </w:tcPr>
                  <w:p w:rsidR="00ED2DC7" w:rsidRPr="00C16A32" w:rsidRDefault="00ED2DC7">
                    <w:pPr>
                      <w:jc w:val="right"/>
                      <w:rPr>
                        <w:sz w:val="18"/>
                        <w:szCs w:val="18"/>
                      </w:rPr>
                    </w:pPr>
                  </w:p>
                </w:tc>
                <w:tc>
                  <w:tcPr>
                    <w:tcW w:w="556" w:type="pct"/>
                    <w:shd w:val="clear" w:color="auto" w:fill="auto"/>
                  </w:tcPr>
                  <w:p w:rsidR="00ED2DC7" w:rsidRPr="00C16A32" w:rsidRDefault="00ED2DC7">
                    <w:pPr>
                      <w:jc w:val="right"/>
                      <w:rPr>
                        <w:sz w:val="18"/>
                        <w:szCs w:val="18"/>
                      </w:rPr>
                    </w:pPr>
                  </w:p>
                </w:tc>
                <w:tc>
                  <w:tcPr>
                    <w:tcW w:w="556" w:type="pct"/>
                  </w:tcPr>
                  <w:p w:rsidR="00ED2DC7" w:rsidRPr="00C16A32" w:rsidRDefault="00ED2DC7">
                    <w:pPr>
                      <w:jc w:val="right"/>
                      <w:rPr>
                        <w:sz w:val="18"/>
                        <w:szCs w:val="18"/>
                      </w:rPr>
                    </w:pPr>
                  </w:p>
                </w:tc>
                <w:tc>
                  <w:tcPr>
                    <w:tcW w:w="556" w:type="pct"/>
                    <w:shd w:val="clear" w:color="auto" w:fill="auto"/>
                  </w:tcPr>
                  <w:p w:rsidR="00ED2DC7" w:rsidRPr="00C16A32" w:rsidRDefault="00ED2DC7">
                    <w:pPr>
                      <w:jc w:val="right"/>
                      <w:rPr>
                        <w:sz w:val="18"/>
                        <w:szCs w:val="18"/>
                      </w:rPr>
                    </w:pPr>
                  </w:p>
                </w:tc>
                <w:tc>
                  <w:tcPr>
                    <w:tcW w:w="556" w:type="pct"/>
                    <w:shd w:val="clear" w:color="auto" w:fill="auto"/>
                  </w:tcPr>
                  <w:p w:rsidR="00ED2DC7" w:rsidRPr="00C16A32" w:rsidRDefault="00ED2DC7">
                    <w:pPr>
                      <w:jc w:val="right"/>
                      <w:rPr>
                        <w:sz w:val="18"/>
                        <w:szCs w:val="18"/>
                      </w:rPr>
                    </w:pPr>
                  </w:p>
                </w:tc>
                <w:tc>
                  <w:tcPr>
                    <w:tcW w:w="556" w:type="pct"/>
                    <w:shd w:val="clear" w:color="auto" w:fill="auto"/>
                  </w:tcPr>
                  <w:p w:rsidR="00ED2DC7" w:rsidRPr="00C16A32" w:rsidRDefault="00ED2DC7">
                    <w:pPr>
                      <w:jc w:val="right"/>
                      <w:rPr>
                        <w:sz w:val="18"/>
                        <w:szCs w:val="18"/>
                      </w:rPr>
                    </w:pPr>
                  </w:p>
                </w:tc>
                <w:tc>
                  <w:tcPr>
                    <w:tcW w:w="556" w:type="pct"/>
                    <w:shd w:val="clear" w:color="auto" w:fill="auto"/>
                  </w:tcPr>
                  <w:p w:rsidR="00ED2DC7" w:rsidRPr="00C16A32" w:rsidRDefault="00ED2DC7">
                    <w:pPr>
                      <w:jc w:val="right"/>
                      <w:rPr>
                        <w:sz w:val="18"/>
                        <w:szCs w:val="18"/>
                      </w:rPr>
                    </w:pPr>
                  </w:p>
                </w:tc>
              </w:tr>
            </w:sdtContent>
          </w:sdt>
          <w:sdt>
            <w:sdtPr>
              <w:rPr>
                <w:rFonts w:hint="eastAsia"/>
                <w:sz w:val="18"/>
                <w:szCs w:val="18"/>
              </w:rPr>
              <w:alias w:val="以后将重分类进损益的其他综合收益明细"/>
              <w:tag w:val="_TUP_56d4648d761a4a9a9f94fac2aeb735b6"/>
              <w:id w:val="1162733723"/>
              <w:lock w:val="sdtLocked"/>
              <w:placeholder>
                <w:docPart w:val="GBC11111111111111111111111111111"/>
              </w:placeholder>
            </w:sdtPr>
            <w:sdtContent>
              <w:tr w:rsidR="00ED2DC7" w:rsidTr="00091E44">
                <w:tc>
                  <w:tcPr>
                    <w:tcW w:w="556" w:type="pct"/>
                    <w:tcBorders>
                      <w:bottom w:val="single" w:sz="4" w:space="0" w:color="auto"/>
                    </w:tcBorders>
                    <w:shd w:val="clear" w:color="auto" w:fill="auto"/>
                  </w:tcPr>
                  <w:p w:rsidR="00ED2DC7" w:rsidRPr="00C16A32" w:rsidRDefault="00ED2DC7">
                    <w:pPr>
                      <w:rPr>
                        <w:sz w:val="18"/>
                        <w:szCs w:val="18"/>
                      </w:rPr>
                    </w:pPr>
                  </w:p>
                </w:tc>
                <w:tc>
                  <w:tcPr>
                    <w:tcW w:w="556" w:type="pct"/>
                    <w:shd w:val="clear" w:color="auto" w:fill="auto"/>
                  </w:tcPr>
                  <w:p w:rsidR="00ED2DC7" w:rsidRPr="00C16A32" w:rsidRDefault="00ED2DC7">
                    <w:pPr>
                      <w:jc w:val="right"/>
                      <w:rPr>
                        <w:sz w:val="18"/>
                        <w:szCs w:val="18"/>
                      </w:rPr>
                    </w:pPr>
                  </w:p>
                </w:tc>
                <w:tc>
                  <w:tcPr>
                    <w:tcW w:w="556" w:type="pct"/>
                    <w:shd w:val="clear" w:color="auto" w:fill="auto"/>
                  </w:tcPr>
                  <w:p w:rsidR="00ED2DC7" w:rsidRPr="00C16A32" w:rsidRDefault="00ED2DC7">
                    <w:pPr>
                      <w:jc w:val="right"/>
                      <w:rPr>
                        <w:sz w:val="18"/>
                        <w:szCs w:val="18"/>
                      </w:rPr>
                    </w:pPr>
                  </w:p>
                </w:tc>
                <w:tc>
                  <w:tcPr>
                    <w:tcW w:w="556" w:type="pct"/>
                    <w:shd w:val="clear" w:color="auto" w:fill="auto"/>
                  </w:tcPr>
                  <w:p w:rsidR="00ED2DC7" w:rsidRPr="00C16A32" w:rsidRDefault="00ED2DC7">
                    <w:pPr>
                      <w:jc w:val="right"/>
                      <w:rPr>
                        <w:sz w:val="18"/>
                        <w:szCs w:val="18"/>
                      </w:rPr>
                    </w:pPr>
                  </w:p>
                </w:tc>
                <w:tc>
                  <w:tcPr>
                    <w:tcW w:w="556" w:type="pct"/>
                  </w:tcPr>
                  <w:p w:rsidR="00ED2DC7" w:rsidRPr="00C16A32" w:rsidRDefault="00ED2DC7">
                    <w:pPr>
                      <w:jc w:val="right"/>
                      <w:rPr>
                        <w:sz w:val="18"/>
                        <w:szCs w:val="18"/>
                      </w:rPr>
                    </w:pPr>
                  </w:p>
                </w:tc>
                <w:tc>
                  <w:tcPr>
                    <w:tcW w:w="556" w:type="pct"/>
                    <w:shd w:val="clear" w:color="auto" w:fill="auto"/>
                  </w:tcPr>
                  <w:p w:rsidR="00ED2DC7" w:rsidRPr="00C16A32" w:rsidRDefault="00ED2DC7">
                    <w:pPr>
                      <w:jc w:val="right"/>
                      <w:rPr>
                        <w:sz w:val="18"/>
                        <w:szCs w:val="18"/>
                      </w:rPr>
                    </w:pPr>
                  </w:p>
                </w:tc>
                <w:tc>
                  <w:tcPr>
                    <w:tcW w:w="556" w:type="pct"/>
                    <w:shd w:val="clear" w:color="auto" w:fill="auto"/>
                  </w:tcPr>
                  <w:p w:rsidR="00ED2DC7" w:rsidRPr="00C16A32" w:rsidRDefault="00ED2DC7">
                    <w:pPr>
                      <w:jc w:val="right"/>
                      <w:rPr>
                        <w:sz w:val="18"/>
                        <w:szCs w:val="18"/>
                      </w:rPr>
                    </w:pPr>
                  </w:p>
                </w:tc>
                <w:tc>
                  <w:tcPr>
                    <w:tcW w:w="556" w:type="pct"/>
                    <w:shd w:val="clear" w:color="auto" w:fill="auto"/>
                  </w:tcPr>
                  <w:p w:rsidR="00ED2DC7" w:rsidRPr="00C16A32" w:rsidRDefault="00ED2DC7">
                    <w:pPr>
                      <w:jc w:val="right"/>
                      <w:rPr>
                        <w:sz w:val="18"/>
                        <w:szCs w:val="18"/>
                      </w:rPr>
                    </w:pPr>
                  </w:p>
                </w:tc>
                <w:tc>
                  <w:tcPr>
                    <w:tcW w:w="556" w:type="pct"/>
                    <w:shd w:val="clear" w:color="auto" w:fill="auto"/>
                  </w:tcPr>
                  <w:p w:rsidR="00ED2DC7" w:rsidRPr="00C16A32" w:rsidRDefault="00ED2DC7">
                    <w:pPr>
                      <w:jc w:val="right"/>
                      <w:rPr>
                        <w:sz w:val="18"/>
                        <w:szCs w:val="18"/>
                      </w:rPr>
                    </w:pPr>
                  </w:p>
                </w:tc>
              </w:tr>
            </w:sdtContent>
          </w:sdt>
          <w:tr w:rsidR="00ED2DC7" w:rsidTr="00091E44">
            <w:sdt>
              <w:sdtPr>
                <w:rPr>
                  <w:sz w:val="18"/>
                  <w:szCs w:val="18"/>
                </w:rPr>
                <w:tag w:val="_PLD_da397a12577f4c5f8c92faa7b167ad8e"/>
                <w:id w:val="-294455509"/>
                <w:lock w:val="sdtLocked"/>
              </w:sdtPr>
              <w:sdtContent>
                <w:tc>
                  <w:tcPr>
                    <w:tcW w:w="556" w:type="pct"/>
                    <w:shd w:val="clear" w:color="auto" w:fill="auto"/>
                    <w:vAlign w:val="center"/>
                  </w:tcPr>
                  <w:p w:rsidR="00ED2DC7" w:rsidRPr="00C16A32" w:rsidRDefault="00ED2DC7">
                    <w:pPr>
                      <w:rPr>
                        <w:sz w:val="18"/>
                        <w:szCs w:val="18"/>
                      </w:rPr>
                    </w:pPr>
                    <w:r w:rsidRPr="00C16A32">
                      <w:rPr>
                        <w:rFonts w:hint="eastAsia"/>
                        <w:sz w:val="18"/>
                        <w:szCs w:val="18"/>
                      </w:rPr>
                      <w:t>其他综合收益合计</w:t>
                    </w:r>
                  </w:p>
                </w:tc>
              </w:sdtContent>
            </w:sdt>
            <w:tc>
              <w:tcPr>
                <w:tcW w:w="556" w:type="pct"/>
                <w:shd w:val="clear" w:color="auto" w:fill="auto"/>
              </w:tcPr>
              <w:p w:rsidR="00ED2DC7" w:rsidRPr="00C16A32" w:rsidRDefault="008F04CF">
                <w:pPr>
                  <w:jc w:val="right"/>
                  <w:rPr>
                    <w:sz w:val="18"/>
                    <w:szCs w:val="18"/>
                  </w:rPr>
                </w:pPr>
                <w:r w:rsidRPr="00C16A32">
                  <w:rPr>
                    <w:sz w:val="18"/>
                    <w:szCs w:val="18"/>
                  </w:rPr>
                  <w:t>4,427,272</w:t>
                </w:r>
              </w:p>
            </w:tc>
            <w:tc>
              <w:tcPr>
                <w:tcW w:w="556" w:type="pct"/>
                <w:shd w:val="clear" w:color="auto" w:fill="auto"/>
              </w:tcPr>
              <w:p w:rsidR="00ED2DC7" w:rsidRPr="00C16A32" w:rsidRDefault="008F04CF">
                <w:pPr>
                  <w:jc w:val="right"/>
                  <w:rPr>
                    <w:sz w:val="18"/>
                    <w:szCs w:val="18"/>
                  </w:rPr>
                </w:pPr>
                <w:r w:rsidRPr="00C16A32">
                  <w:rPr>
                    <w:sz w:val="18"/>
                    <w:szCs w:val="18"/>
                  </w:rPr>
                  <w:t>-481,523</w:t>
                </w:r>
              </w:p>
            </w:tc>
            <w:tc>
              <w:tcPr>
                <w:tcW w:w="556" w:type="pct"/>
                <w:shd w:val="clear" w:color="auto" w:fill="auto"/>
              </w:tcPr>
              <w:p w:rsidR="00ED2DC7" w:rsidRPr="00C16A32" w:rsidRDefault="00ED2DC7">
                <w:pPr>
                  <w:jc w:val="right"/>
                  <w:rPr>
                    <w:sz w:val="18"/>
                    <w:szCs w:val="18"/>
                  </w:rPr>
                </w:pPr>
              </w:p>
            </w:tc>
            <w:tc>
              <w:tcPr>
                <w:tcW w:w="556" w:type="pct"/>
              </w:tcPr>
              <w:p w:rsidR="00ED2DC7" w:rsidRPr="00C16A32" w:rsidRDefault="00ED2DC7">
                <w:pPr>
                  <w:jc w:val="right"/>
                  <w:rPr>
                    <w:sz w:val="18"/>
                    <w:szCs w:val="18"/>
                  </w:rPr>
                </w:pPr>
              </w:p>
            </w:tc>
            <w:tc>
              <w:tcPr>
                <w:tcW w:w="556" w:type="pct"/>
                <w:shd w:val="clear" w:color="auto" w:fill="auto"/>
              </w:tcPr>
              <w:p w:rsidR="00ED2DC7" w:rsidRPr="00C16A32" w:rsidRDefault="00ED2DC7">
                <w:pPr>
                  <w:jc w:val="right"/>
                  <w:rPr>
                    <w:sz w:val="18"/>
                    <w:szCs w:val="18"/>
                  </w:rPr>
                </w:pPr>
              </w:p>
            </w:tc>
            <w:tc>
              <w:tcPr>
                <w:tcW w:w="556" w:type="pct"/>
                <w:shd w:val="clear" w:color="auto" w:fill="auto"/>
              </w:tcPr>
              <w:p w:rsidR="00ED2DC7" w:rsidRPr="00C16A32" w:rsidRDefault="008F04CF">
                <w:pPr>
                  <w:jc w:val="right"/>
                  <w:rPr>
                    <w:sz w:val="18"/>
                    <w:szCs w:val="18"/>
                  </w:rPr>
                </w:pPr>
                <w:r w:rsidRPr="00C16A32">
                  <w:rPr>
                    <w:sz w:val="18"/>
                    <w:szCs w:val="18"/>
                  </w:rPr>
                  <w:t>-481,523</w:t>
                </w:r>
              </w:p>
            </w:tc>
            <w:tc>
              <w:tcPr>
                <w:tcW w:w="556" w:type="pct"/>
                <w:shd w:val="clear" w:color="auto" w:fill="auto"/>
              </w:tcPr>
              <w:p w:rsidR="00ED2DC7" w:rsidRPr="00C16A32" w:rsidRDefault="008F04CF">
                <w:pPr>
                  <w:jc w:val="right"/>
                  <w:rPr>
                    <w:sz w:val="18"/>
                    <w:szCs w:val="18"/>
                  </w:rPr>
                </w:pPr>
                <w:r w:rsidRPr="00C16A32">
                  <w:rPr>
                    <w:sz w:val="18"/>
                    <w:szCs w:val="18"/>
                  </w:rPr>
                  <w:t>-381,138</w:t>
                </w:r>
              </w:p>
            </w:tc>
            <w:tc>
              <w:tcPr>
                <w:tcW w:w="556" w:type="pct"/>
                <w:shd w:val="clear" w:color="auto" w:fill="auto"/>
              </w:tcPr>
              <w:p w:rsidR="00ED2DC7" w:rsidRPr="00C16A32" w:rsidRDefault="008F04CF">
                <w:pPr>
                  <w:jc w:val="right"/>
                  <w:rPr>
                    <w:sz w:val="18"/>
                    <w:szCs w:val="18"/>
                  </w:rPr>
                </w:pPr>
                <w:r w:rsidRPr="00C16A32">
                  <w:rPr>
                    <w:sz w:val="18"/>
                    <w:szCs w:val="18"/>
                  </w:rPr>
                  <w:t>3,945,749</w:t>
                </w:r>
              </w:p>
            </w:tc>
          </w:tr>
        </w:tbl>
        <w:p w:rsidR="00ED2DC7" w:rsidRDefault="00ED2DC7"/>
        <w:p w:rsidR="00ED2DC7" w:rsidRDefault="00ED2DC7">
          <w:pPr>
            <w:spacing w:before="60" w:after="60"/>
            <w:rPr>
              <w:b/>
              <w:szCs w:val="21"/>
            </w:rPr>
          </w:pPr>
          <w:r>
            <w:rPr>
              <w:rFonts w:hint="eastAsia"/>
              <w:szCs w:val="21"/>
            </w:rPr>
            <w:t>其他说明，包括对现金流量套期损益的有效部分转为被套期项目初始确认金额调整：</w:t>
          </w:r>
        </w:p>
        <w:sdt>
          <w:sdtPr>
            <w:rPr>
              <w:rFonts w:hint="eastAsia"/>
              <w:szCs w:val="21"/>
            </w:rPr>
            <w:alias w:val="综合收益情况"/>
            <w:tag w:val="_GBC_c389c92b3ef04746a88c157ed2e05698"/>
            <w:id w:val="-1757196812"/>
            <w:lock w:val="sdtLocked"/>
            <w:placeholder>
              <w:docPart w:val="GBC22222222222222222222222222222"/>
            </w:placeholder>
          </w:sdtPr>
          <w:sdtContent>
            <w:p w:rsidR="00ED2DC7" w:rsidRDefault="008F04CF">
              <w:pPr>
                <w:rPr>
                  <w:szCs w:val="21"/>
                </w:rPr>
              </w:pPr>
              <w:r>
                <w:rPr>
                  <w:rFonts w:hint="eastAsia"/>
                  <w:szCs w:val="21"/>
                </w:rPr>
                <w:t>无。</w:t>
              </w:r>
            </w:p>
          </w:sdtContent>
        </w:sdt>
      </w:sdtContent>
    </w:sdt>
    <w:bookmarkEnd w:id="194" w:displacedByCustomXml="prev"/>
    <w:p w:rsidR="00ED2DC7" w:rsidRDefault="00ED2DC7">
      <w:pPr>
        <w:rPr>
          <w:szCs w:val="21"/>
        </w:rPr>
      </w:pPr>
    </w:p>
    <w:sdt>
      <w:sdtPr>
        <w:rPr>
          <w:rFonts w:ascii="宋体" w:hAnsi="宋体" w:cs="宋体" w:hint="eastAsia"/>
          <w:b w:val="0"/>
          <w:bCs w:val="0"/>
          <w:kern w:val="0"/>
          <w:szCs w:val="21"/>
        </w:rPr>
        <w:alias w:val="模块:专项储备"/>
        <w:tag w:val="_GBC_8a08fa7a416e4e52a104ea9b06479f9e"/>
        <w:id w:val="-608885672"/>
        <w:lock w:val="sdtLocked"/>
        <w:placeholder>
          <w:docPart w:val="GBC22222222222222222222222222222"/>
        </w:placeholder>
      </w:sdtPr>
      <w:sdtEndPr>
        <w:rPr>
          <w:rFonts w:cstheme="minorBidi" w:hint="default"/>
          <w:color w:val="000000" w:themeColor="text1"/>
        </w:rPr>
      </w:sdtEndPr>
      <w:sdtContent>
        <w:p w:rsidR="00ED2DC7" w:rsidRDefault="00ED2DC7" w:rsidP="00036BDC">
          <w:pPr>
            <w:pStyle w:val="affffffffffffffffff1"/>
            <w:numPr>
              <w:ilvl w:val="0"/>
              <w:numId w:val="49"/>
            </w:numPr>
            <w:tabs>
              <w:tab w:val="left" w:pos="504"/>
            </w:tabs>
            <w:rPr>
              <w:rFonts w:ascii="宋体" w:hAnsi="宋体"/>
              <w:szCs w:val="21"/>
            </w:rPr>
          </w:pPr>
          <w:r>
            <w:rPr>
              <w:rFonts w:ascii="宋体" w:hAnsi="宋体" w:hint="eastAsia"/>
              <w:szCs w:val="21"/>
            </w:rPr>
            <w:t>专项储备</w:t>
          </w:r>
        </w:p>
        <w:sdt>
          <w:sdtPr>
            <w:alias w:val="是否适用：专项储备[双击切换]"/>
            <w:tag w:val="_GBC_291ec3c1c38144a3ac0bde67edb318cc"/>
            <w:id w:val="186106168"/>
            <w:lock w:val="sdtContentLocked"/>
            <w:placeholder>
              <w:docPart w:val="GBC22222222222222222222222222222"/>
            </w:placeholder>
          </w:sdtPr>
          <w:sdtContent>
            <w:p w:rsidR="002472CA" w:rsidRDefault="00ED2DC7" w:rsidP="002472CA">
              <w:r>
                <w:fldChar w:fldCharType="begin"/>
              </w:r>
              <w:r w:rsidR="002472CA">
                <w:instrText xml:space="preserve"> MACROBUTTON  SnrToggleCheckbox □适用 </w:instrText>
              </w:r>
              <w:r>
                <w:fldChar w:fldCharType="end"/>
              </w:r>
              <w:r>
                <w:fldChar w:fldCharType="begin"/>
              </w:r>
              <w:r w:rsidR="002472CA">
                <w:instrText xml:space="preserve"> MACROBUTTON  SnrToggleCheckbox √不适用 </w:instrText>
              </w:r>
              <w:r>
                <w:fldChar w:fldCharType="end"/>
              </w:r>
            </w:p>
          </w:sdtContent>
        </w:sdt>
        <w:p w:rsidR="00ED2DC7" w:rsidRDefault="000D0A99">
          <w:pPr>
            <w:rPr>
              <w:szCs w:val="21"/>
            </w:rPr>
          </w:pPr>
        </w:p>
      </w:sdtContent>
    </w:sdt>
    <w:p w:rsidR="00ED2DC7" w:rsidRDefault="00ED2DC7">
      <w:pPr>
        <w:rPr>
          <w:szCs w:val="21"/>
        </w:rPr>
      </w:pPr>
    </w:p>
    <w:sdt>
      <w:sdtPr>
        <w:rPr>
          <w:rFonts w:ascii="宋体" w:hAnsi="宋体" w:cs="宋体" w:hint="eastAsia"/>
          <w:b w:val="0"/>
          <w:bCs w:val="0"/>
          <w:kern w:val="0"/>
          <w:szCs w:val="21"/>
        </w:rPr>
        <w:alias w:val="模块:盈余公积"/>
        <w:tag w:val="_GBC_fc97b66d150f4d31ba9096ec58341715"/>
        <w:id w:val="897316515"/>
        <w:lock w:val="sdtLocked"/>
        <w:placeholder>
          <w:docPart w:val="GBC22222222222222222222222222222"/>
        </w:placeholder>
      </w:sdtPr>
      <w:sdtEndPr>
        <w:rPr>
          <w:rFonts w:cstheme="minorBidi" w:hint="default"/>
          <w:kern w:val="2"/>
        </w:rPr>
      </w:sdtEndPr>
      <w:sdtContent>
        <w:p w:rsidR="00ED2DC7" w:rsidRDefault="00ED2DC7" w:rsidP="00036BDC">
          <w:pPr>
            <w:pStyle w:val="affffffffffffffffff1"/>
            <w:numPr>
              <w:ilvl w:val="0"/>
              <w:numId w:val="49"/>
            </w:numPr>
            <w:tabs>
              <w:tab w:val="left" w:pos="504"/>
            </w:tabs>
            <w:rPr>
              <w:rFonts w:ascii="宋体" w:hAnsi="宋体"/>
              <w:szCs w:val="21"/>
            </w:rPr>
          </w:pPr>
          <w:r>
            <w:rPr>
              <w:rFonts w:ascii="宋体" w:hAnsi="宋体" w:hint="eastAsia"/>
              <w:szCs w:val="21"/>
            </w:rPr>
            <w:t>盈余公积</w:t>
          </w:r>
        </w:p>
        <w:sdt>
          <w:sdtPr>
            <w:alias w:val="是否适用：盈余公积[双击切换]"/>
            <w:tag w:val="_GBC_52b9917fb423490bb32a9d6648a07db9"/>
            <w:id w:val="-2115128123"/>
            <w:lock w:val="sdtContentLocked"/>
            <w:placeholder>
              <w:docPart w:val="GBC22222222222222222222222222222"/>
            </w:placeholder>
          </w:sdtPr>
          <w:sdtContent>
            <w:p w:rsidR="00ED2DC7" w:rsidRDefault="00ED2DC7">
              <w:r>
                <w:fldChar w:fldCharType="begin"/>
              </w:r>
              <w:r w:rsidR="002472CA">
                <w:instrText xml:space="preserve"> MACROBUTTON  SnrToggleCheckbox √适用 </w:instrText>
              </w:r>
              <w:r>
                <w:fldChar w:fldCharType="end"/>
              </w:r>
              <w:r>
                <w:fldChar w:fldCharType="begin"/>
              </w:r>
              <w:r w:rsidR="002472CA">
                <w:instrText xml:space="preserve"> MACROBUTTON  SnrToggleCheckbox □不适用 </w:instrText>
              </w:r>
              <w:r>
                <w:fldChar w:fldCharType="end"/>
              </w:r>
            </w:p>
          </w:sdtContent>
        </w:sdt>
        <w:p w:rsidR="00ED2DC7" w:rsidRDefault="00ED2DC7">
          <w:pPr>
            <w:jc w:val="right"/>
            <w:rPr>
              <w:szCs w:val="21"/>
            </w:rPr>
          </w:pPr>
          <w:r>
            <w:rPr>
              <w:rFonts w:hint="eastAsia"/>
              <w:szCs w:val="21"/>
            </w:rPr>
            <w:t>单位：</w:t>
          </w:r>
          <w:sdt>
            <w:sdtPr>
              <w:rPr>
                <w:rFonts w:hint="eastAsia"/>
                <w:szCs w:val="21"/>
              </w:rPr>
              <w:alias w:val="单位：财务附注：盈余公积"/>
              <w:tag w:val="_GBC_ea3204141ce3498eaccd14c833f64973"/>
              <w:id w:val="14443388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hint="eastAsia"/>
                  <w:szCs w:val="21"/>
                </w:rPr>
                <w:t>元</w:t>
              </w:r>
            </w:sdtContent>
          </w:sdt>
          <w:r>
            <w:rPr>
              <w:rFonts w:hint="eastAsia"/>
              <w:szCs w:val="21"/>
            </w:rPr>
            <w:t xml:space="preserve">  币种：</w:t>
          </w:r>
          <w:sdt>
            <w:sdtPr>
              <w:rPr>
                <w:rFonts w:hint="eastAsia"/>
                <w:szCs w:val="21"/>
              </w:rPr>
              <w:alias w:val="币种：财务附注：盈余公积"/>
              <w:tag w:val="_GBC_f5c6664d47b9454d919a38095dd3c48d"/>
              <w:id w:val="-95787863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szCs w:val="21"/>
                </w:rPr>
                <w:t>人民币</w:t>
              </w:r>
            </w:sdtContent>
          </w:sdt>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659"/>
            <w:gridCol w:w="1784"/>
            <w:gridCol w:w="1789"/>
            <w:gridCol w:w="1802"/>
            <w:gridCol w:w="1789"/>
          </w:tblGrid>
          <w:tr w:rsidR="00ED2DC7" w:rsidTr="00474A51">
            <w:sdt>
              <w:sdtPr>
                <w:tag w:val="_PLD_70f0cea3df9b4646bf8f9454719b4599"/>
                <w:id w:val="-130026196"/>
                <w:lock w:val="sdtLocked"/>
              </w:sdtPr>
              <w:sdtContent>
                <w:tc>
                  <w:tcPr>
                    <w:tcW w:w="940" w:type="pct"/>
                  </w:tcPr>
                  <w:p w:rsidR="00ED2DC7" w:rsidRDefault="00ED2DC7">
                    <w:pPr>
                      <w:autoSpaceDE w:val="0"/>
                      <w:autoSpaceDN w:val="0"/>
                      <w:adjustRightInd w:val="0"/>
                      <w:snapToGrid w:val="0"/>
                      <w:jc w:val="center"/>
                      <w:rPr>
                        <w:szCs w:val="21"/>
                      </w:rPr>
                    </w:pPr>
                    <w:r>
                      <w:rPr>
                        <w:rFonts w:hint="eastAsia"/>
                        <w:szCs w:val="21"/>
                      </w:rPr>
                      <w:t>项目</w:t>
                    </w:r>
                  </w:p>
                </w:tc>
              </w:sdtContent>
            </w:sdt>
            <w:sdt>
              <w:sdtPr>
                <w:tag w:val="_PLD_5466d5e3c2b64aeb9abc2e1a21f2e6c0"/>
                <w:id w:val="236975501"/>
                <w:lock w:val="sdtLocked"/>
              </w:sdtPr>
              <w:sdtContent>
                <w:tc>
                  <w:tcPr>
                    <w:tcW w:w="1011" w:type="pct"/>
                  </w:tcPr>
                  <w:p w:rsidR="00ED2DC7" w:rsidRDefault="00ED2DC7">
                    <w:pPr>
                      <w:autoSpaceDE w:val="0"/>
                      <w:autoSpaceDN w:val="0"/>
                      <w:adjustRightInd w:val="0"/>
                      <w:snapToGrid w:val="0"/>
                      <w:jc w:val="center"/>
                      <w:rPr>
                        <w:szCs w:val="21"/>
                      </w:rPr>
                    </w:pPr>
                    <w:r>
                      <w:rPr>
                        <w:rFonts w:hint="eastAsia"/>
                        <w:szCs w:val="21"/>
                      </w:rPr>
                      <w:t>期初余额</w:t>
                    </w:r>
                  </w:p>
                </w:tc>
              </w:sdtContent>
            </w:sdt>
            <w:sdt>
              <w:sdtPr>
                <w:tag w:val="_PLD_44b0c825c55949b98cff671f8777dd39"/>
                <w:id w:val="-1750344768"/>
                <w:lock w:val="sdtLocked"/>
              </w:sdtPr>
              <w:sdtContent>
                <w:tc>
                  <w:tcPr>
                    <w:tcW w:w="1014" w:type="pct"/>
                  </w:tcPr>
                  <w:p w:rsidR="00ED2DC7" w:rsidRDefault="00ED2DC7">
                    <w:pPr>
                      <w:autoSpaceDE w:val="0"/>
                      <w:autoSpaceDN w:val="0"/>
                      <w:adjustRightInd w:val="0"/>
                      <w:snapToGrid w:val="0"/>
                      <w:jc w:val="center"/>
                      <w:rPr>
                        <w:szCs w:val="21"/>
                      </w:rPr>
                    </w:pPr>
                    <w:r>
                      <w:rPr>
                        <w:rFonts w:hint="eastAsia"/>
                        <w:szCs w:val="21"/>
                      </w:rPr>
                      <w:t>本期增加</w:t>
                    </w:r>
                  </w:p>
                </w:tc>
              </w:sdtContent>
            </w:sdt>
            <w:sdt>
              <w:sdtPr>
                <w:tag w:val="_PLD_111b02bee52f4f1a879468aa2243106f"/>
                <w:id w:val="-791978330"/>
                <w:lock w:val="sdtLocked"/>
              </w:sdtPr>
              <w:sdtContent>
                <w:tc>
                  <w:tcPr>
                    <w:tcW w:w="1021" w:type="pct"/>
                  </w:tcPr>
                  <w:p w:rsidR="00ED2DC7" w:rsidRDefault="00ED2DC7">
                    <w:pPr>
                      <w:autoSpaceDE w:val="0"/>
                      <w:autoSpaceDN w:val="0"/>
                      <w:adjustRightInd w:val="0"/>
                      <w:snapToGrid w:val="0"/>
                      <w:jc w:val="center"/>
                      <w:rPr>
                        <w:szCs w:val="21"/>
                      </w:rPr>
                    </w:pPr>
                    <w:r>
                      <w:rPr>
                        <w:rFonts w:hint="eastAsia"/>
                        <w:szCs w:val="21"/>
                      </w:rPr>
                      <w:t>本期减少</w:t>
                    </w:r>
                  </w:p>
                </w:tc>
              </w:sdtContent>
            </w:sdt>
            <w:sdt>
              <w:sdtPr>
                <w:tag w:val="_PLD_e6d9dff1341d44c99d9c3f51d8fd2c2f"/>
                <w:id w:val="1344975807"/>
                <w:lock w:val="sdtLocked"/>
              </w:sdtPr>
              <w:sdtContent>
                <w:tc>
                  <w:tcPr>
                    <w:tcW w:w="1014" w:type="pct"/>
                  </w:tcPr>
                  <w:p w:rsidR="00ED2DC7" w:rsidRDefault="00ED2DC7">
                    <w:pPr>
                      <w:autoSpaceDE w:val="0"/>
                      <w:autoSpaceDN w:val="0"/>
                      <w:adjustRightInd w:val="0"/>
                      <w:snapToGrid w:val="0"/>
                      <w:jc w:val="center"/>
                      <w:rPr>
                        <w:szCs w:val="21"/>
                      </w:rPr>
                    </w:pPr>
                    <w:r>
                      <w:rPr>
                        <w:rFonts w:hint="eastAsia"/>
                        <w:szCs w:val="21"/>
                      </w:rPr>
                      <w:t>期末余额</w:t>
                    </w:r>
                  </w:p>
                </w:tc>
              </w:sdtContent>
            </w:sdt>
          </w:tr>
          <w:tr w:rsidR="00041884" w:rsidTr="00B637B2">
            <w:sdt>
              <w:sdtPr>
                <w:tag w:val="_PLD_fc05a7682db944fc88b1d5bf0888fab6"/>
                <w:id w:val="-52469708"/>
                <w:lock w:val="sdtLocked"/>
              </w:sdtPr>
              <w:sdtContent>
                <w:tc>
                  <w:tcPr>
                    <w:tcW w:w="940" w:type="pct"/>
                    <w:shd w:val="clear" w:color="auto" w:fill="auto"/>
                    <w:vAlign w:val="center"/>
                  </w:tcPr>
                  <w:p w:rsidR="00041884" w:rsidRDefault="00041884" w:rsidP="00041884">
                    <w:pPr>
                      <w:autoSpaceDE w:val="0"/>
                      <w:autoSpaceDN w:val="0"/>
                      <w:adjustRightInd w:val="0"/>
                      <w:snapToGrid w:val="0"/>
                      <w:jc w:val="both"/>
                      <w:rPr>
                        <w:szCs w:val="21"/>
                      </w:rPr>
                    </w:pPr>
                    <w:r>
                      <w:rPr>
                        <w:rFonts w:hint="eastAsia"/>
                        <w:szCs w:val="21"/>
                      </w:rPr>
                      <w:t>法定盈余公积</w:t>
                    </w:r>
                  </w:p>
                </w:tc>
              </w:sdtContent>
            </w:sdt>
            <w:tc>
              <w:tcPr>
                <w:tcW w:w="1011" w:type="pct"/>
                <w:shd w:val="clear" w:color="auto" w:fill="auto"/>
                <w:vAlign w:val="center"/>
              </w:tcPr>
              <w:p w:rsidR="00041884" w:rsidRPr="00DD063E" w:rsidRDefault="00041884" w:rsidP="00B637B2">
                <w:pPr>
                  <w:jc w:val="right"/>
                </w:pPr>
                <w:r w:rsidRPr="00DD063E">
                  <w:t>584,190,295</w:t>
                </w:r>
              </w:p>
            </w:tc>
            <w:tc>
              <w:tcPr>
                <w:tcW w:w="1014" w:type="pct"/>
                <w:shd w:val="clear" w:color="auto" w:fill="auto"/>
                <w:vAlign w:val="center"/>
              </w:tcPr>
              <w:p w:rsidR="00041884" w:rsidRDefault="00041884" w:rsidP="00B637B2">
                <w:pPr>
                  <w:autoSpaceDE w:val="0"/>
                  <w:autoSpaceDN w:val="0"/>
                  <w:adjustRightInd w:val="0"/>
                  <w:snapToGrid w:val="0"/>
                  <w:ind w:right="180"/>
                  <w:jc w:val="right"/>
                  <w:rPr>
                    <w:szCs w:val="21"/>
                  </w:rPr>
                </w:pPr>
              </w:p>
            </w:tc>
            <w:tc>
              <w:tcPr>
                <w:tcW w:w="1021" w:type="pct"/>
                <w:shd w:val="clear" w:color="auto" w:fill="auto"/>
                <w:vAlign w:val="center"/>
              </w:tcPr>
              <w:p w:rsidR="00041884" w:rsidRDefault="00041884" w:rsidP="00B637B2">
                <w:pPr>
                  <w:autoSpaceDE w:val="0"/>
                  <w:autoSpaceDN w:val="0"/>
                  <w:adjustRightInd w:val="0"/>
                  <w:snapToGrid w:val="0"/>
                  <w:ind w:right="180"/>
                  <w:jc w:val="right"/>
                  <w:rPr>
                    <w:szCs w:val="21"/>
                  </w:rPr>
                </w:pPr>
              </w:p>
            </w:tc>
            <w:tc>
              <w:tcPr>
                <w:tcW w:w="1014" w:type="pct"/>
                <w:shd w:val="clear" w:color="auto" w:fill="auto"/>
                <w:vAlign w:val="center"/>
              </w:tcPr>
              <w:p w:rsidR="00041884" w:rsidRPr="00CE2EA0" w:rsidRDefault="00041884" w:rsidP="00B637B2">
                <w:pPr>
                  <w:jc w:val="right"/>
                </w:pPr>
                <w:r w:rsidRPr="00CE2EA0">
                  <w:t>584,190,295</w:t>
                </w:r>
              </w:p>
            </w:tc>
          </w:tr>
          <w:tr w:rsidR="00041884" w:rsidTr="00B637B2">
            <w:sdt>
              <w:sdtPr>
                <w:tag w:val="_PLD_d129220e9acf4011b78a05d75624a2b7"/>
                <w:id w:val="236531166"/>
                <w:lock w:val="sdtLocked"/>
              </w:sdtPr>
              <w:sdtContent>
                <w:tc>
                  <w:tcPr>
                    <w:tcW w:w="940" w:type="pct"/>
                    <w:shd w:val="clear" w:color="auto" w:fill="auto"/>
                    <w:vAlign w:val="center"/>
                  </w:tcPr>
                  <w:p w:rsidR="00041884" w:rsidRDefault="00041884" w:rsidP="00041884">
                    <w:pPr>
                      <w:autoSpaceDE w:val="0"/>
                      <w:autoSpaceDN w:val="0"/>
                      <w:adjustRightInd w:val="0"/>
                      <w:snapToGrid w:val="0"/>
                      <w:jc w:val="both"/>
                      <w:rPr>
                        <w:szCs w:val="21"/>
                      </w:rPr>
                    </w:pPr>
                    <w:r>
                      <w:rPr>
                        <w:rFonts w:hint="eastAsia"/>
                        <w:szCs w:val="21"/>
                      </w:rPr>
                      <w:t>任意盈余公积</w:t>
                    </w:r>
                  </w:p>
                </w:tc>
              </w:sdtContent>
            </w:sdt>
            <w:tc>
              <w:tcPr>
                <w:tcW w:w="1011" w:type="pct"/>
                <w:shd w:val="clear" w:color="auto" w:fill="auto"/>
                <w:vAlign w:val="center"/>
              </w:tcPr>
              <w:p w:rsidR="00041884" w:rsidRDefault="00041884" w:rsidP="00B637B2">
                <w:pPr>
                  <w:jc w:val="right"/>
                </w:pPr>
                <w:r w:rsidRPr="00DD063E">
                  <w:t>247,793,146</w:t>
                </w:r>
              </w:p>
            </w:tc>
            <w:tc>
              <w:tcPr>
                <w:tcW w:w="1014" w:type="pct"/>
                <w:shd w:val="clear" w:color="auto" w:fill="auto"/>
                <w:vAlign w:val="center"/>
              </w:tcPr>
              <w:p w:rsidR="00041884" w:rsidRDefault="00041884" w:rsidP="00B637B2">
                <w:pPr>
                  <w:autoSpaceDE w:val="0"/>
                  <w:autoSpaceDN w:val="0"/>
                  <w:adjustRightInd w:val="0"/>
                  <w:snapToGrid w:val="0"/>
                  <w:ind w:right="180"/>
                  <w:jc w:val="right"/>
                  <w:rPr>
                    <w:szCs w:val="21"/>
                  </w:rPr>
                </w:pPr>
              </w:p>
            </w:tc>
            <w:tc>
              <w:tcPr>
                <w:tcW w:w="1021" w:type="pct"/>
                <w:shd w:val="clear" w:color="auto" w:fill="auto"/>
                <w:vAlign w:val="center"/>
              </w:tcPr>
              <w:p w:rsidR="00041884" w:rsidRDefault="00041884" w:rsidP="00B637B2">
                <w:pPr>
                  <w:autoSpaceDE w:val="0"/>
                  <w:autoSpaceDN w:val="0"/>
                  <w:adjustRightInd w:val="0"/>
                  <w:snapToGrid w:val="0"/>
                  <w:ind w:right="180"/>
                  <w:jc w:val="right"/>
                  <w:rPr>
                    <w:szCs w:val="21"/>
                  </w:rPr>
                </w:pPr>
              </w:p>
            </w:tc>
            <w:tc>
              <w:tcPr>
                <w:tcW w:w="1014" w:type="pct"/>
                <w:shd w:val="clear" w:color="auto" w:fill="auto"/>
                <w:vAlign w:val="center"/>
              </w:tcPr>
              <w:p w:rsidR="00041884" w:rsidRDefault="00041884" w:rsidP="00B637B2">
                <w:pPr>
                  <w:jc w:val="right"/>
                </w:pPr>
                <w:r w:rsidRPr="00CE2EA0">
                  <w:t>247,793,146</w:t>
                </w:r>
              </w:p>
            </w:tc>
          </w:tr>
          <w:tr w:rsidR="00ED2DC7" w:rsidTr="00B637B2">
            <w:sdt>
              <w:sdtPr>
                <w:tag w:val="_PLD_f8e1917adbcf4318b4ab05bf11aaef0c"/>
                <w:id w:val="-357974373"/>
                <w:lock w:val="sdtLocked"/>
              </w:sdtPr>
              <w:sdtContent>
                <w:tc>
                  <w:tcPr>
                    <w:tcW w:w="940" w:type="pct"/>
                  </w:tcPr>
                  <w:p w:rsidR="00ED2DC7" w:rsidRDefault="00ED2DC7">
                    <w:pPr>
                      <w:autoSpaceDE w:val="0"/>
                      <w:autoSpaceDN w:val="0"/>
                      <w:adjustRightInd w:val="0"/>
                      <w:snapToGrid w:val="0"/>
                      <w:jc w:val="center"/>
                      <w:rPr>
                        <w:szCs w:val="21"/>
                      </w:rPr>
                    </w:pPr>
                    <w:r>
                      <w:rPr>
                        <w:rFonts w:hint="eastAsia"/>
                        <w:szCs w:val="21"/>
                      </w:rPr>
                      <w:t>合计</w:t>
                    </w:r>
                  </w:p>
                </w:tc>
              </w:sdtContent>
            </w:sdt>
            <w:tc>
              <w:tcPr>
                <w:tcW w:w="1011" w:type="pct"/>
                <w:vAlign w:val="center"/>
              </w:tcPr>
              <w:p w:rsidR="00ED2DC7" w:rsidRDefault="00041884" w:rsidP="00B637B2">
                <w:pPr>
                  <w:autoSpaceDE w:val="0"/>
                  <w:autoSpaceDN w:val="0"/>
                  <w:adjustRightInd w:val="0"/>
                  <w:snapToGrid w:val="0"/>
                  <w:jc w:val="right"/>
                  <w:rPr>
                    <w:szCs w:val="21"/>
                  </w:rPr>
                </w:pPr>
                <w:r w:rsidRPr="00041884">
                  <w:rPr>
                    <w:szCs w:val="21"/>
                  </w:rPr>
                  <w:t>831,983,441</w:t>
                </w:r>
              </w:p>
            </w:tc>
            <w:tc>
              <w:tcPr>
                <w:tcW w:w="1014" w:type="pct"/>
                <w:vAlign w:val="center"/>
              </w:tcPr>
              <w:p w:rsidR="00ED2DC7" w:rsidRDefault="00ED2DC7" w:rsidP="00B637B2">
                <w:pPr>
                  <w:autoSpaceDE w:val="0"/>
                  <w:autoSpaceDN w:val="0"/>
                  <w:adjustRightInd w:val="0"/>
                  <w:snapToGrid w:val="0"/>
                  <w:ind w:right="180"/>
                  <w:jc w:val="right"/>
                  <w:rPr>
                    <w:szCs w:val="21"/>
                  </w:rPr>
                </w:pPr>
              </w:p>
            </w:tc>
            <w:tc>
              <w:tcPr>
                <w:tcW w:w="1021" w:type="pct"/>
                <w:vAlign w:val="center"/>
              </w:tcPr>
              <w:p w:rsidR="00ED2DC7" w:rsidRDefault="00ED2DC7" w:rsidP="00B637B2">
                <w:pPr>
                  <w:autoSpaceDE w:val="0"/>
                  <w:autoSpaceDN w:val="0"/>
                  <w:adjustRightInd w:val="0"/>
                  <w:snapToGrid w:val="0"/>
                  <w:ind w:right="180"/>
                  <w:jc w:val="right"/>
                  <w:rPr>
                    <w:szCs w:val="21"/>
                  </w:rPr>
                </w:pPr>
              </w:p>
            </w:tc>
            <w:tc>
              <w:tcPr>
                <w:tcW w:w="1014" w:type="pct"/>
                <w:vAlign w:val="center"/>
              </w:tcPr>
              <w:p w:rsidR="00ED2DC7" w:rsidRDefault="00041884" w:rsidP="00B637B2">
                <w:pPr>
                  <w:autoSpaceDE w:val="0"/>
                  <w:autoSpaceDN w:val="0"/>
                  <w:adjustRightInd w:val="0"/>
                  <w:snapToGrid w:val="0"/>
                  <w:jc w:val="right"/>
                  <w:rPr>
                    <w:szCs w:val="21"/>
                  </w:rPr>
                </w:pPr>
                <w:r w:rsidRPr="00041884">
                  <w:rPr>
                    <w:szCs w:val="21"/>
                  </w:rPr>
                  <w:t>831,983,441</w:t>
                </w:r>
              </w:p>
            </w:tc>
          </w:tr>
        </w:tbl>
        <w:p w:rsidR="00ED2DC7" w:rsidRDefault="00ED2DC7">
          <w:pPr>
            <w:spacing w:before="60" w:after="60"/>
            <w:rPr>
              <w:szCs w:val="21"/>
            </w:rPr>
          </w:pPr>
          <w:r>
            <w:rPr>
              <w:rFonts w:hint="eastAsia"/>
              <w:szCs w:val="21"/>
            </w:rPr>
            <w:t>盈余公积说明，包括本期增减变动情况、变动原因说明：</w:t>
          </w:r>
        </w:p>
        <w:sdt>
          <w:sdtPr>
            <w:rPr>
              <w:szCs w:val="21"/>
            </w:rPr>
            <w:alias w:val="盈余公积说明"/>
            <w:tag w:val="_GBC_33c5d1ed862f4b36950b5ea2188f5b09"/>
            <w:id w:val="-1366439962"/>
            <w:lock w:val="sdtLocked"/>
            <w:placeholder>
              <w:docPart w:val="GBC22222222222222222222222222222"/>
            </w:placeholder>
          </w:sdtPr>
          <w:sdtContent>
            <w:p w:rsidR="00221B01" w:rsidRPr="00221B01" w:rsidRDefault="00221B01" w:rsidP="00221B01">
              <w:pPr>
                <w:autoSpaceDE w:val="0"/>
                <w:autoSpaceDN w:val="0"/>
                <w:adjustRightInd w:val="0"/>
                <w:rPr>
                  <w:szCs w:val="21"/>
                </w:rPr>
              </w:pPr>
              <w:r w:rsidRPr="00221B01">
                <w:rPr>
                  <w:rFonts w:hint="eastAsia"/>
                  <w:szCs w:val="21"/>
                </w:rPr>
                <w:t>根据公司法、本公司章程的规定，本公司按净利润的</w:t>
              </w:r>
              <w:r w:rsidRPr="00221B01">
                <w:rPr>
                  <w:szCs w:val="21"/>
                </w:rPr>
                <w:t>10%提取法定盈余公积金。法定盈余公积累计额为本公司注册资本50%以上的，可不再提取。</w:t>
              </w:r>
            </w:p>
            <w:p w:rsidR="00221B01" w:rsidRPr="00221B01" w:rsidRDefault="00221B01" w:rsidP="00221B01">
              <w:pPr>
                <w:autoSpaceDE w:val="0"/>
                <w:autoSpaceDN w:val="0"/>
                <w:adjustRightInd w:val="0"/>
                <w:rPr>
                  <w:szCs w:val="21"/>
                </w:rPr>
              </w:pPr>
            </w:p>
            <w:p w:rsidR="00ED2DC7" w:rsidRDefault="00221B01" w:rsidP="00221B01">
              <w:pPr>
                <w:autoSpaceDE w:val="0"/>
                <w:autoSpaceDN w:val="0"/>
                <w:adjustRightInd w:val="0"/>
                <w:rPr>
                  <w:color w:val="000000" w:themeColor="text1"/>
                  <w:szCs w:val="21"/>
                </w:rPr>
              </w:pPr>
              <w:r w:rsidRPr="00221B01">
                <w:rPr>
                  <w:rFonts w:hint="eastAsia"/>
                  <w:szCs w:val="21"/>
                </w:rPr>
                <w:t>本公司在提取法定盈余公积后，可提取任意盈余公积。任意盈余公积的提取由董事会提议，并经股东大会批准。经批准，任意盈余公积可用于弥补以前年度亏损或增加股本。</w:t>
              </w:r>
            </w:p>
          </w:sdtContent>
        </w:sdt>
      </w:sdtContent>
    </w:sdt>
    <w:p w:rsidR="00ED2DC7" w:rsidRDefault="00ED2DC7" w:rsidP="00036BDC">
      <w:pPr>
        <w:pStyle w:val="affffffffffffffffff1"/>
        <w:numPr>
          <w:ilvl w:val="0"/>
          <w:numId w:val="49"/>
        </w:numPr>
        <w:tabs>
          <w:tab w:val="left" w:pos="504"/>
        </w:tabs>
        <w:rPr>
          <w:rFonts w:ascii="宋体" w:hAnsi="宋体"/>
          <w:szCs w:val="21"/>
        </w:rPr>
      </w:pPr>
      <w:r>
        <w:rPr>
          <w:rFonts w:ascii="宋体" w:hAnsi="宋体" w:hint="eastAsia"/>
          <w:szCs w:val="21"/>
        </w:rPr>
        <w:t>未分配利润</w:t>
      </w:r>
    </w:p>
    <w:p w:rsidR="00ED2DC7" w:rsidRDefault="000D0A99">
      <w:sdt>
        <w:sdtPr>
          <w:alias w:val="是否适用：未分配利润[双击切换]"/>
          <w:tag w:val="_GBC_32c558bdbb77445cabeee783e5ff910e"/>
          <w:id w:val="983887116"/>
          <w:lock w:val="sdtContentLocked"/>
          <w:placeholder>
            <w:docPart w:val="GBC22222222222222222222222222222"/>
          </w:placeholder>
        </w:sdtPr>
        <w:sdtContent>
          <w:r w:rsidR="00ED2DC7">
            <w:fldChar w:fldCharType="begin"/>
          </w:r>
          <w:r w:rsidR="002472CA">
            <w:instrText xml:space="preserve"> MACROBUTTON  SnrToggleCheckbox √适用 </w:instrText>
          </w:r>
          <w:r w:rsidR="00ED2DC7">
            <w:fldChar w:fldCharType="end"/>
          </w:r>
          <w:r w:rsidR="00ED2DC7">
            <w:fldChar w:fldCharType="begin"/>
          </w:r>
          <w:r w:rsidR="002472CA">
            <w:instrText xml:space="preserve"> MACROBUTTON  SnrToggleCheckbox □不适用 </w:instrText>
          </w:r>
          <w:r w:rsidR="00ED2DC7">
            <w:fldChar w:fldCharType="end"/>
          </w:r>
        </w:sdtContent>
      </w:sdt>
    </w:p>
    <w:sdt>
      <w:sdtPr>
        <w:rPr>
          <w:rFonts w:hint="eastAsia"/>
          <w:b/>
          <w:bCs/>
          <w:szCs w:val="21"/>
        </w:rPr>
        <w:alias w:val="模块:未分配利润"/>
        <w:tag w:val="_GBC_2cdd2861806d471aa767f92841b30fbf"/>
        <w:id w:val="749628491"/>
        <w:lock w:val="sdtLocked"/>
        <w:placeholder>
          <w:docPart w:val="GBC22222222222222222222222222222"/>
        </w:placeholder>
      </w:sdtPr>
      <w:sdtEndPr>
        <w:rPr>
          <w:b w:val="0"/>
          <w:bCs w:val="0"/>
        </w:rPr>
      </w:sdtEndPr>
      <w:sdtContent>
        <w:p w:rsidR="00ED2DC7" w:rsidRDefault="00ED2DC7">
          <w:pPr>
            <w:jc w:val="right"/>
            <w:rPr>
              <w:szCs w:val="21"/>
            </w:rPr>
          </w:pPr>
          <w:r>
            <w:rPr>
              <w:rFonts w:hint="eastAsia"/>
              <w:szCs w:val="21"/>
            </w:rPr>
            <w:t>单位：</w:t>
          </w:r>
          <w:sdt>
            <w:sdtPr>
              <w:rPr>
                <w:rFonts w:hint="eastAsia"/>
                <w:szCs w:val="21"/>
              </w:rPr>
              <w:alias w:val="单位：财务附注：未分配利润"/>
              <w:tag w:val="_GBC_cfb07ff3eded4b49916cfc42d821bab6"/>
              <w:id w:val="140263949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hint="eastAsia"/>
                  <w:szCs w:val="21"/>
                </w:rPr>
                <w:t>元</w:t>
              </w:r>
            </w:sdtContent>
          </w:sdt>
          <w:r>
            <w:rPr>
              <w:rFonts w:hint="eastAsia"/>
              <w:szCs w:val="21"/>
            </w:rPr>
            <w:t xml:space="preserve">  币种：</w:t>
          </w:r>
          <w:sdt>
            <w:sdtPr>
              <w:rPr>
                <w:rFonts w:hint="eastAsia"/>
                <w:szCs w:val="21"/>
              </w:rPr>
              <w:alias w:val="币种：财务附注：未分配利润"/>
              <w:tag w:val="_GBC_55c70fe731be4b84be72ea88afd989b8"/>
              <w:id w:val="-4752963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szCs w:val="21"/>
                </w:rPr>
                <w:t>人民币</w:t>
              </w:r>
            </w:sdtContent>
          </w:sdt>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3681"/>
            <w:gridCol w:w="2693"/>
            <w:gridCol w:w="2449"/>
          </w:tblGrid>
          <w:tr w:rsidR="00B637B2" w:rsidTr="00B637B2">
            <w:trPr>
              <w:cantSplit/>
            </w:trPr>
            <w:sdt>
              <w:sdtPr>
                <w:tag w:val="_PLD_b6dc2bd7eebb4e6d9f1ccea8d86e6f47"/>
                <w:id w:val="-110208375"/>
                <w:lock w:val="sdtLocked"/>
              </w:sdtPr>
              <w:sdtContent>
                <w:tc>
                  <w:tcPr>
                    <w:tcW w:w="2086" w:type="pct"/>
                    <w:vAlign w:val="center"/>
                  </w:tcPr>
                  <w:p w:rsidR="00B637B2" w:rsidRDefault="008F04CF" w:rsidP="00B637B2">
                    <w:pPr>
                      <w:jc w:val="center"/>
                      <w:rPr>
                        <w:szCs w:val="21"/>
                      </w:rPr>
                    </w:pPr>
                    <w:r>
                      <w:rPr>
                        <w:rFonts w:hint="eastAsia"/>
                        <w:szCs w:val="21"/>
                      </w:rPr>
                      <w:t>项目</w:t>
                    </w:r>
                  </w:p>
                </w:tc>
              </w:sdtContent>
            </w:sdt>
            <w:sdt>
              <w:sdtPr>
                <w:tag w:val="_PLD_6e60054e3c3747d1a0ffc87edacae2b6"/>
                <w:id w:val="-1959867409"/>
                <w:lock w:val="sdtLocked"/>
              </w:sdtPr>
              <w:sdtContent>
                <w:tc>
                  <w:tcPr>
                    <w:tcW w:w="1526" w:type="pct"/>
                    <w:vAlign w:val="center"/>
                  </w:tcPr>
                  <w:p w:rsidR="00B637B2" w:rsidRDefault="008F04CF" w:rsidP="00B637B2">
                    <w:pPr>
                      <w:jc w:val="center"/>
                      <w:rPr>
                        <w:szCs w:val="21"/>
                      </w:rPr>
                    </w:pPr>
                    <w:r>
                      <w:rPr>
                        <w:rFonts w:hint="eastAsia"/>
                        <w:szCs w:val="21"/>
                      </w:rPr>
                      <w:t>本期</w:t>
                    </w:r>
                  </w:p>
                </w:tc>
              </w:sdtContent>
            </w:sdt>
            <w:sdt>
              <w:sdtPr>
                <w:tag w:val="_PLD_9afd54e9959d4b22b00bfe92596a2a16"/>
                <w:id w:val="15123397"/>
                <w:lock w:val="sdtLocked"/>
              </w:sdtPr>
              <w:sdtContent>
                <w:tc>
                  <w:tcPr>
                    <w:tcW w:w="1388" w:type="pct"/>
                    <w:vAlign w:val="center"/>
                  </w:tcPr>
                  <w:p w:rsidR="00B637B2" w:rsidRDefault="008F04CF" w:rsidP="00B637B2">
                    <w:pPr>
                      <w:jc w:val="center"/>
                      <w:rPr>
                        <w:szCs w:val="21"/>
                      </w:rPr>
                    </w:pPr>
                    <w:r>
                      <w:rPr>
                        <w:rFonts w:hint="eastAsia"/>
                        <w:szCs w:val="21"/>
                      </w:rPr>
                      <w:t>上期</w:t>
                    </w:r>
                  </w:p>
                </w:tc>
              </w:sdtContent>
            </w:sdt>
          </w:tr>
          <w:tr w:rsidR="00B637B2" w:rsidTr="00B637B2">
            <w:trPr>
              <w:cantSplit/>
            </w:trPr>
            <w:sdt>
              <w:sdtPr>
                <w:tag w:val="_PLD_3790b8d7d129484381d1c2fa2fa8d23c"/>
                <w:id w:val="-946540175"/>
                <w:lock w:val="sdtLocked"/>
              </w:sdtPr>
              <w:sdtContent>
                <w:tc>
                  <w:tcPr>
                    <w:tcW w:w="2086" w:type="pct"/>
                  </w:tcPr>
                  <w:p w:rsidR="00B637B2" w:rsidRDefault="008F04CF" w:rsidP="00B637B2">
                    <w:pPr>
                      <w:rPr>
                        <w:szCs w:val="21"/>
                      </w:rPr>
                    </w:pPr>
                    <w:r>
                      <w:rPr>
                        <w:rFonts w:hint="eastAsia"/>
                        <w:szCs w:val="21"/>
                      </w:rPr>
                      <w:t>调整前上期末未分配利润</w:t>
                    </w:r>
                  </w:p>
                </w:tc>
              </w:sdtContent>
            </w:sdt>
            <w:tc>
              <w:tcPr>
                <w:tcW w:w="1526" w:type="pct"/>
              </w:tcPr>
              <w:p w:rsidR="00B637B2" w:rsidRDefault="008F04CF" w:rsidP="00B637B2">
                <w:pPr>
                  <w:ind w:right="6"/>
                  <w:jc w:val="right"/>
                  <w:rPr>
                    <w:szCs w:val="21"/>
                  </w:rPr>
                </w:pPr>
                <w:r w:rsidRPr="00FC792E">
                  <w:rPr>
                    <w:szCs w:val="21"/>
                  </w:rPr>
                  <w:t>1,785,975,033</w:t>
                </w:r>
              </w:p>
            </w:tc>
            <w:tc>
              <w:tcPr>
                <w:tcW w:w="1388" w:type="pct"/>
              </w:tcPr>
              <w:p w:rsidR="00B637B2" w:rsidRDefault="008F04CF" w:rsidP="00B637B2">
                <w:pPr>
                  <w:jc w:val="right"/>
                  <w:rPr>
                    <w:szCs w:val="21"/>
                  </w:rPr>
                </w:pPr>
                <w:r w:rsidRPr="0019143D">
                  <w:rPr>
                    <w:szCs w:val="21"/>
                  </w:rPr>
                  <w:t>1,495,033,934</w:t>
                </w:r>
              </w:p>
            </w:tc>
          </w:tr>
          <w:tr w:rsidR="00B637B2" w:rsidTr="00B637B2">
            <w:trPr>
              <w:cantSplit/>
            </w:trPr>
            <w:sdt>
              <w:sdtPr>
                <w:tag w:val="_PLD_99b1e9805f3e4b93aa362504b83793b1"/>
                <w:id w:val="-203408936"/>
                <w:lock w:val="sdtLocked"/>
              </w:sdtPr>
              <w:sdtContent>
                <w:tc>
                  <w:tcPr>
                    <w:tcW w:w="2086" w:type="pct"/>
                  </w:tcPr>
                  <w:p w:rsidR="00B637B2" w:rsidRDefault="008F04CF" w:rsidP="00B637B2">
                    <w:pPr>
                      <w:rPr>
                        <w:szCs w:val="21"/>
                      </w:rPr>
                    </w:pPr>
                    <w:r w:rsidRPr="00C16A32">
                      <w:rPr>
                        <w:rFonts w:hint="eastAsia"/>
                        <w:szCs w:val="21"/>
                      </w:rPr>
                      <w:t>调整期初未分配利润合计数（调增</w:t>
                    </w:r>
                    <w:r w:rsidRPr="00C16A32">
                      <w:rPr>
                        <w:szCs w:val="21"/>
                      </w:rPr>
                      <w:t>+</w:t>
                    </w:r>
                    <w:r w:rsidRPr="00C16A32">
                      <w:rPr>
                        <w:rFonts w:hint="eastAsia"/>
                        <w:szCs w:val="21"/>
                      </w:rPr>
                      <w:t>，调减－）</w:t>
                    </w:r>
                  </w:p>
                </w:tc>
              </w:sdtContent>
            </w:sdt>
            <w:tc>
              <w:tcPr>
                <w:tcW w:w="1526" w:type="pct"/>
              </w:tcPr>
              <w:p w:rsidR="00B637B2" w:rsidRDefault="008F04CF" w:rsidP="00B637B2">
                <w:pPr>
                  <w:ind w:right="6"/>
                  <w:jc w:val="right"/>
                  <w:rPr>
                    <w:szCs w:val="21"/>
                  </w:rPr>
                </w:pPr>
                <w:r w:rsidRPr="00FC792E">
                  <w:rPr>
                    <w:szCs w:val="21"/>
                  </w:rPr>
                  <w:t>65,279,400</w:t>
                </w:r>
              </w:p>
            </w:tc>
            <w:tc>
              <w:tcPr>
                <w:tcW w:w="1388" w:type="pct"/>
              </w:tcPr>
              <w:p w:rsidR="00B637B2" w:rsidRDefault="008F04CF" w:rsidP="00B637B2">
                <w:pPr>
                  <w:ind w:right="6"/>
                  <w:jc w:val="right"/>
                  <w:rPr>
                    <w:szCs w:val="21"/>
                  </w:rPr>
                </w:pPr>
                <w:r>
                  <w:rPr>
                    <w:rFonts w:hint="eastAsia"/>
                    <w:szCs w:val="21"/>
                  </w:rPr>
                  <w:t>-</w:t>
                </w:r>
              </w:p>
            </w:tc>
          </w:tr>
          <w:tr w:rsidR="00B637B2" w:rsidTr="00B637B2">
            <w:trPr>
              <w:cantSplit/>
            </w:trPr>
            <w:sdt>
              <w:sdtPr>
                <w:tag w:val="_PLD_7a98e2bc7c1b48d785851921473e7f5f"/>
                <w:id w:val="1655564036"/>
                <w:lock w:val="sdtLocked"/>
              </w:sdtPr>
              <w:sdtContent>
                <w:tc>
                  <w:tcPr>
                    <w:tcW w:w="2086" w:type="pct"/>
                  </w:tcPr>
                  <w:p w:rsidR="00B637B2" w:rsidRDefault="008F04CF" w:rsidP="00B637B2">
                    <w:pPr>
                      <w:rPr>
                        <w:szCs w:val="21"/>
                      </w:rPr>
                    </w:pPr>
                    <w:r>
                      <w:rPr>
                        <w:rFonts w:hint="eastAsia"/>
                        <w:szCs w:val="21"/>
                      </w:rPr>
                      <w:t>调整后期初未分配利润</w:t>
                    </w:r>
                  </w:p>
                </w:tc>
              </w:sdtContent>
            </w:sdt>
            <w:tc>
              <w:tcPr>
                <w:tcW w:w="1526" w:type="pct"/>
              </w:tcPr>
              <w:p w:rsidR="00B637B2" w:rsidRPr="009205E4" w:rsidRDefault="008F04CF" w:rsidP="00B637B2">
                <w:pPr>
                  <w:jc w:val="right"/>
                </w:pPr>
                <w:r w:rsidRPr="009205E4">
                  <w:t>1,851,254,433</w:t>
                </w:r>
              </w:p>
            </w:tc>
            <w:tc>
              <w:tcPr>
                <w:tcW w:w="1388" w:type="pct"/>
              </w:tcPr>
              <w:p w:rsidR="00B637B2" w:rsidRPr="00F84E69" w:rsidRDefault="008F04CF" w:rsidP="00B637B2">
                <w:pPr>
                  <w:jc w:val="right"/>
                </w:pPr>
                <w:r w:rsidRPr="00F84E69">
                  <w:t>1,495,033,934</w:t>
                </w:r>
              </w:p>
            </w:tc>
          </w:tr>
          <w:tr w:rsidR="00B637B2" w:rsidTr="00B637B2">
            <w:trPr>
              <w:cantSplit/>
            </w:trPr>
            <w:sdt>
              <w:sdtPr>
                <w:tag w:val="_PLD_2a8ba0dc26a946cbb60b0ff473f157c1"/>
                <w:id w:val="-289198802"/>
                <w:lock w:val="sdtLocked"/>
              </w:sdtPr>
              <w:sdtContent>
                <w:tc>
                  <w:tcPr>
                    <w:tcW w:w="2086" w:type="pct"/>
                  </w:tcPr>
                  <w:p w:rsidR="00B637B2" w:rsidRDefault="008F04CF" w:rsidP="00B637B2">
                    <w:pPr>
                      <w:ind w:right="6"/>
                      <w:rPr>
                        <w:szCs w:val="21"/>
                      </w:rPr>
                    </w:pPr>
                    <w:r>
                      <w:rPr>
                        <w:rFonts w:hint="eastAsia"/>
                        <w:szCs w:val="21"/>
                      </w:rPr>
                      <w:t>加：本期归属于母公司所有者的净利润</w:t>
                    </w:r>
                  </w:p>
                </w:tc>
              </w:sdtContent>
            </w:sdt>
            <w:tc>
              <w:tcPr>
                <w:tcW w:w="1526" w:type="pct"/>
              </w:tcPr>
              <w:p w:rsidR="00B637B2" w:rsidRPr="009205E4" w:rsidRDefault="008F04CF" w:rsidP="00B637B2">
                <w:pPr>
                  <w:jc w:val="right"/>
                </w:pPr>
                <w:r w:rsidRPr="009205E4">
                  <w:t>482,379,589</w:t>
                </w:r>
              </w:p>
            </w:tc>
            <w:tc>
              <w:tcPr>
                <w:tcW w:w="1388" w:type="pct"/>
              </w:tcPr>
              <w:p w:rsidR="00B637B2" w:rsidRPr="00F84E69" w:rsidRDefault="00036BDC" w:rsidP="00B637B2">
                <w:pPr>
                  <w:jc w:val="right"/>
                </w:pPr>
                <w:r w:rsidRPr="00AC4F23">
                  <w:t>123,656,504</w:t>
                </w:r>
              </w:p>
            </w:tc>
          </w:tr>
          <w:tr w:rsidR="00B637B2" w:rsidTr="00B637B2">
            <w:trPr>
              <w:cantSplit/>
            </w:trPr>
            <w:sdt>
              <w:sdtPr>
                <w:tag w:val="_PLD_97aab68ad9b74921a7946fa4d2999e51"/>
                <w:id w:val="-1998724931"/>
                <w:lock w:val="sdtLocked"/>
              </w:sdtPr>
              <w:sdtContent>
                <w:tc>
                  <w:tcPr>
                    <w:tcW w:w="2086" w:type="pct"/>
                  </w:tcPr>
                  <w:p w:rsidR="00B637B2" w:rsidRDefault="008F04CF" w:rsidP="00B637B2">
                    <w:pPr>
                      <w:autoSpaceDE w:val="0"/>
                      <w:autoSpaceDN w:val="0"/>
                      <w:adjustRightInd w:val="0"/>
                      <w:rPr>
                        <w:szCs w:val="21"/>
                      </w:rPr>
                    </w:pPr>
                    <w:r>
                      <w:rPr>
                        <w:rFonts w:hint="eastAsia"/>
                        <w:szCs w:val="21"/>
                      </w:rPr>
                      <w:t>减：提取法定盈余公积</w:t>
                    </w:r>
                  </w:p>
                </w:tc>
              </w:sdtContent>
            </w:sdt>
            <w:tc>
              <w:tcPr>
                <w:tcW w:w="1526" w:type="pct"/>
              </w:tcPr>
              <w:p w:rsidR="00B637B2" w:rsidRPr="009205E4" w:rsidRDefault="008F04CF" w:rsidP="00B637B2">
                <w:pPr>
                  <w:jc w:val="right"/>
                </w:pPr>
                <w:r w:rsidRPr="009205E4">
                  <w:t>-</w:t>
                </w:r>
              </w:p>
            </w:tc>
            <w:tc>
              <w:tcPr>
                <w:tcW w:w="1388" w:type="pct"/>
              </w:tcPr>
              <w:p w:rsidR="00B637B2" w:rsidRPr="00F84E69" w:rsidRDefault="00036BDC" w:rsidP="00B637B2">
                <w:pPr>
                  <w:jc w:val="right"/>
                </w:pPr>
                <w:r>
                  <w:rPr>
                    <w:rFonts w:hint="eastAsia"/>
                  </w:rPr>
                  <w:t>-</w:t>
                </w:r>
              </w:p>
            </w:tc>
          </w:tr>
          <w:tr w:rsidR="00B637B2" w:rsidTr="00B637B2">
            <w:trPr>
              <w:cantSplit/>
            </w:trPr>
            <w:sdt>
              <w:sdtPr>
                <w:tag w:val="_PLD_76ebcf558d244f77a28b1f8b843a2b3a"/>
                <w:id w:val="705069527"/>
                <w:lock w:val="sdtLocked"/>
              </w:sdtPr>
              <w:sdtContent>
                <w:tc>
                  <w:tcPr>
                    <w:tcW w:w="2086" w:type="pct"/>
                  </w:tcPr>
                  <w:p w:rsidR="00B637B2" w:rsidRDefault="008F04CF" w:rsidP="00B637B2">
                    <w:pPr>
                      <w:autoSpaceDE w:val="0"/>
                      <w:autoSpaceDN w:val="0"/>
                      <w:adjustRightInd w:val="0"/>
                      <w:ind w:firstLine="420"/>
                      <w:rPr>
                        <w:szCs w:val="21"/>
                      </w:rPr>
                    </w:pPr>
                    <w:r>
                      <w:rPr>
                        <w:rFonts w:hint="eastAsia"/>
                        <w:szCs w:val="21"/>
                      </w:rPr>
                      <w:t>提取任意盈余公积</w:t>
                    </w:r>
                  </w:p>
                </w:tc>
              </w:sdtContent>
            </w:sdt>
            <w:tc>
              <w:tcPr>
                <w:tcW w:w="1526" w:type="pct"/>
              </w:tcPr>
              <w:p w:rsidR="00B637B2" w:rsidRPr="009205E4" w:rsidRDefault="008F04CF" w:rsidP="00B637B2">
                <w:pPr>
                  <w:jc w:val="right"/>
                </w:pPr>
                <w:r w:rsidRPr="009205E4">
                  <w:t>-</w:t>
                </w:r>
              </w:p>
            </w:tc>
            <w:tc>
              <w:tcPr>
                <w:tcW w:w="1388" w:type="pct"/>
              </w:tcPr>
              <w:p w:rsidR="00B637B2" w:rsidRPr="00F84E69" w:rsidRDefault="00036BDC" w:rsidP="00B637B2">
                <w:pPr>
                  <w:jc w:val="right"/>
                </w:pPr>
                <w:r>
                  <w:rPr>
                    <w:rFonts w:hint="eastAsia"/>
                  </w:rPr>
                  <w:t>-</w:t>
                </w:r>
              </w:p>
            </w:tc>
          </w:tr>
          <w:tr w:rsidR="00B637B2" w:rsidTr="00B637B2">
            <w:trPr>
              <w:cantSplit/>
            </w:trPr>
            <w:sdt>
              <w:sdtPr>
                <w:tag w:val="_PLD_c773909db1b34f04acac84ec73864a3f"/>
                <w:id w:val="-2117661414"/>
                <w:lock w:val="sdtLocked"/>
              </w:sdtPr>
              <w:sdtContent>
                <w:tc>
                  <w:tcPr>
                    <w:tcW w:w="2086" w:type="pct"/>
                  </w:tcPr>
                  <w:p w:rsidR="00B637B2" w:rsidRDefault="008F04CF" w:rsidP="00B637B2">
                    <w:pPr>
                      <w:autoSpaceDE w:val="0"/>
                      <w:autoSpaceDN w:val="0"/>
                      <w:adjustRightInd w:val="0"/>
                      <w:ind w:firstLine="420"/>
                      <w:rPr>
                        <w:szCs w:val="21"/>
                      </w:rPr>
                    </w:pPr>
                    <w:r>
                      <w:rPr>
                        <w:rFonts w:hint="eastAsia"/>
                        <w:szCs w:val="21"/>
                      </w:rPr>
                      <w:t>提取一般风险准备</w:t>
                    </w:r>
                  </w:p>
                </w:tc>
              </w:sdtContent>
            </w:sdt>
            <w:tc>
              <w:tcPr>
                <w:tcW w:w="1526" w:type="pct"/>
              </w:tcPr>
              <w:p w:rsidR="00B637B2" w:rsidRDefault="008F04CF" w:rsidP="00B637B2">
                <w:pPr>
                  <w:jc w:val="right"/>
                </w:pPr>
                <w:r>
                  <w:rPr>
                    <w:rFonts w:hint="eastAsia"/>
                  </w:rPr>
                  <w:t>-</w:t>
                </w:r>
              </w:p>
            </w:tc>
            <w:tc>
              <w:tcPr>
                <w:tcW w:w="1388" w:type="pct"/>
              </w:tcPr>
              <w:p w:rsidR="00B637B2" w:rsidRDefault="008F04CF" w:rsidP="00B637B2">
                <w:pPr>
                  <w:jc w:val="right"/>
                </w:pPr>
                <w:r>
                  <w:rPr>
                    <w:rFonts w:hint="eastAsia"/>
                  </w:rPr>
                  <w:t>-</w:t>
                </w:r>
              </w:p>
            </w:tc>
          </w:tr>
          <w:sdt>
            <w:sdtPr>
              <w:rPr>
                <w:rFonts w:asciiTheme="minorHAnsi" w:eastAsiaTheme="minorEastAsia" w:hAnsiTheme="minorHAnsi" w:cstheme="minorBidi" w:hint="eastAsia"/>
                <w:kern w:val="2"/>
                <w:szCs w:val="21"/>
              </w:rPr>
              <w:alias w:val="本期其他利润分配"/>
              <w:tag w:val="_GBC_7def170558744ebdb1f4975e27e4042b"/>
              <w:id w:val="-384951073"/>
              <w:lock w:val="sdtLocked"/>
            </w:sdtPr>
            <w:sdtContent>
              <w:tr w:rsidR="00B637B2" w:rsidTr="00B637B2">
                <w:trPr>
                  <w:cantSplit/>
                </w:trPr>
                <w:tc>
                  <w:tcPr>
                    <w:tcW w:w="2086" w:type="pct"/>
                  </w:tcPr>
                  <w:p w:rsidR="00B637B2" w:rsidRDefault="008F04CF" w:rsidP="00B637B2">
                    <w:pPr>
                      <w:autoSpaceDE w:val="0"/>
                      <w:autoSpaceDN w:val="0"/>
                      <w:adjustRightInd w:val="0"/>
                      <w:rPr>
                        <w:szCs w:val="21"/>
                      </w:rPr>
                    </w:pPr>
                    <w:r w:rsidRPr="00FC792E">
                      <w:rPr>
                        <w:rFonts w:hint="eastAsia"/>
                        <w:szCs w:val="21"/>
                      </w:rPr>
                      <w:t>已派发之现金股利</w:t>
                    </w:r>
                    <w:r w:rsidRPr="00FC792E">
                      <w:rPr>
                        <w:szCs w:val="21"/>
                      </w:rPr>
                      <w:t>(注1)</w:t>
                    </w:r>
                  </w:p>
                </w:tc>
                <w:tc>
                  <w:tcPr>
                    <w:tcW w:w="1526" w:type="pct"/>
                  </w:tcPr>
                  <w:p w:rsidR="00B637B2" w:rsidRDefault="008F04CF" w:rsidP="00B637B2">
                    <w:pPr>
                      <w:ind w:right="6"/>
                      <w:jc w:val="right"/>
                      <w:rPr>
                        <w:szCs w:val="21"/>
                      </w:rPr>
                    </w:pPr>
                    <w:r>
                      <w:t>474,413,036</w:t>
                    </w:r>
                  </w:p>
                </w:tc>
                <w:tc>
                  <w:tcPr>
                    <w:tcW w:w="1388" w:type="pct"/>
                  </w:tcPr>
                  <w:p w:rsidR="00B637B2" w:rsidRDefault="008F04CF" w:rsidP="00B637B2">
                    <w:pPr>
                      <w:ind w:right="6"/>
                      <w:jc w:val="right"/>
                      <w:rPr>
                        <w:szCs w:val="21"/>
                      </w:rPr>
                    </w:pPr>
                    <w:r>
                      <w:t>219,183,934</w:t>
                    </w:r>
                  </w:p>
                </w:tc>
              </w:tr>
            </w:sdtContent>
          </w:sdt>
          <w:tr w:rsidR="00B637B2" w:rsidTr="00B637B2">
            <w:trPr>
              <w:cantSplit/>
            </w:trPr>
            <w:sdt>
              <w:sdtPr>
                <w:tag w:val="_PLD_0654c3e21e6d4aa0a63a12e93a24988a"/>
                <w:id w:val="-422647527"/>
                <w:lock w:val="sdtLocked"/>
              </w:sdtPr>
              <w:sdtContent>
                <w:tc>
                  <w:tcPr>
                    <w:tcW w:w="2086" w:type="pct"/>
                  </w:tcPr>
                  <w:p w:rsidR="00B637B2" w:rsidRDefault="008F04CF" w:rsidP="00B637B2">
                    <w:pPr>
                      <w:autoSpaceDE w:val="0"/>
                      <w:autoSpaceDN w:val="0"/>
                      <w:adjustRightInd w:val="0"/>
                      <w:rPr>
                        <w:szCs w:val="21"/>
                      </w:rPr>
                    </w:pPr>
                    <w:r>
                      <w:rPr>
                        <w:rFonts w:hint="eastAsia"/>
                        <w:szCs w:val="21"/>
                      </w:rPr>
                      <w:t>期末未分配利润</w:t>
                    </w:r>
                  </w:p>
                </w:tc>
              </w:sdtContent>
            </w:sdt>
            <w:tc>
              <w:tcPr>
                <w:tcW w:w="1526" w:type="pct"/>
              </w:tcPr>
              <w:p w:rsidR="00B637B2" w:rsidRDefault="008F04CF" w:rsidP="00B637B2">
                <w:pPr>
                  <w:jc w:val="right"/>
                  <w:rPr>
                    <w:szCs w:val="21"/>
                  </w:rPr>
                </w:pPr>
                <w:r w:rsidRPr="00FC792E">
                  <w:rPr>
                    <w:szCs w:val="21"/>
                  </w:rPr>
                  <w:t>1,859,220,986</w:t>
                </w:r>
              </w:p>
            </w:tc>
            <w:tc>
              <w:tcPr>
                <w:tcW w:w="1388" w:type="pct"/>
              </w:tcPr>
              <w:p w:rsidR="00B637B2" w:rsidRDefault="00036BDC" w:rsidP="00B637B2">
                <w:pPr>
                  <w:ind w:right="6"/>
                  <w:jc w:val="right"/>
                  <w:rPr>
                    <w:szCs w:val="21"/>
                  </w:rPr>
                </w:pPr>
                <w:r w:rsidRPr="00AC4F23">
                  <w:rPr>
                    <w:szCs w:val="21"/>
                  </w:rPr>
                  <w:t>1,399,506,504</w:t>
                </w:r>
              </w:p>
            </w:tc>
          </w:tr>
        </w:tbl>
        <w:p w:rsidR="00B637B2" w:rsidRDefault="00B637B2"/>
        <w:p w:rsidR="00ED2DC7" w:rsidRDefault="00ED2DC7">
          <w:pPr>
            <w:spacing w:before="60" w:after="60"/>
            <w:rPr>
              <w:color w:val="000000" w:themeColor="text1"/>
              <w:szCs w:val="21"/>
            </w:rPr>
          </w:pPr>
          <w:r w:rsidRPr="00C16A32">
            <w:rPr>
              <w:rFonts w:hint="eastAsia"/>
              <w:color w:val="000000" w:themeColor="text1"/>
              <w:szCs w:val="21"/>
            </w:rPr>
            <w:t>调整期初未分配利润明细：</w:t>
          </w:r>
        </w:p>
        <w:p w:rsidR="00ED2DC7" w:rsidRDefault="00ED2DC7">
          <w:pPr>
            <w:rPr>
              <w:szCs w:val="21"/>
            </w:rPr>
          </w:pPr>
          <w:r>
            <w:rPr>
              <w:rFonts w:hint="eastAsia"/>
              <w:szCs w:val="21"/>
            </w:rPr>
            <w:t>1、由于《企业会计准则》及其相关新规定进行追溯调整，影响期初未分配利润</w:t>
          </w:r>
          <w:sdt>
            <w:sdtPr>
              <w:rPr>
                <w:rFonts w:hint="eastAsia"/>
                <w:szCs w:val="21"/>
              </w:rPr>
              <w:alias w:val="依据《企业会计准则》及其相关规定进行追溯调整影响年初未分配利润合计"/>
              <w:tag w:val="_GBC_a54a245e74754754a6239606b5ebbb06"/>
              <w:id w:val="-937290385"/>
              <w:lock w:val="sdtLocked"/>
              <w:placeholder>
                <w:docPart w:val="GBC22222222222222222222222222222"/>
              </w:placeholder>
            </w:sdtPr>
            <w:sdtContent>
              <w:r w:rsidR="008F04CF">
                <w:rPr>
                  <w:szCs w:val="21"/>
                </w:rPr>
                <w:t>0</w:t>
              </w:r>
            </w:sdtContent>
          </w:sdt>
          <w:r>
            <w:rPr>
              <w:rFonts w:hint="eastAsia"/>
              <w:szCs w:val="21"/>
            </w:rPr>
            <w:t xml:space="preserve"> 元。</w:t>
          </w:r>
        </w:p>
        <w:p w:rsidR="00ED2DC7" w:rsidRDefault="00ED2DC7">
          <w:pPr>
            <w:rPr>
              <w:szCs w:val="21"/>
            </w:rPr>
          </w:pPr>
          <w:r>
            <w:rPr>
              <w:rFonts w:hint="eastAsia"/>
              <w:szCs w:val="21"/>
            </w:rPr>
            <w:t>2、由于会计政策变更，影响期初未分配利润</w:t>
          </w:r>
          <w:sdt>
            <w:sdtPr>
              <w:rPr>
                <w:rFonts w:hint="eastAsia"/>
                <w:szCs w:val="21"/>
              </w:rPr>
              <w:alias w:val="由于会计政策变更影响年初未分配利润"/>
              <w:tag w:val="_GBC_8295d6891c8842f58b58e4223b4e1700"/>
              <w:id w:val="-1646665861"/>
              <w:lock w:val="sdtLocked"/>
              <w:placeholder>
                <w:docPart w:val="GBC22222222222222222222222222222"/>
              </w:placeholder>
            </w:sdtPr>
            <w:sdtContent>
              <w:r w:rsidR="00FC792E">
                <w:rPr>
                  <w:szCs w:val="21"/>
                </w:rPr>
                <w:t>65,279,400</w:t>
              </w:r>
            </w:sdtContent>
          </w:sdt>
          <w:r>
            <w:rPr>
              <w:rFonts w:hint="eastAsia"/>
              <w:szCs w:val="21"/>
            </w:rPr>
            <w:t xml:space="preserve"> 元。</w:t>
          </w:r>
        </w:p>
        <w:p w:rsidR="00ED2DC7" w:rsidRDefault="00ED2DC7">
          <w:pPr>
            <w:rPr>
              <w:szCs w:val="21"/>
            </w:rPr>
          </w:pPr>
          <w:r>
            <w:rPr>
              <w:rFonts w:hint="eastAsia"/>
              <w:szCs w:val="21"/>
            </w:rPr>
            <w:t>3、由于重大会计差错更正，影响期初未分配利润</w:t>
          </w:r>
          <w:sdt>
            <w:sdtPr>
              <w:rPr>
                <w:rFonts w:hint="eastAsia"/>
                <w:szCs w:val="21"/>
              </w:rPr>
              <w:alias w:val="由于重大会计差错更正影响年初未分配利润"/>
              <w:tag w:val="_GBC_34728ea6faff41218abab9b8fede268c"/>
              <w:id w:val="-800454037"/>
              <w:lock w:val="sdtLocked"/>
              <w:placeholder>
                <w:docPart w:val="GBC22222222222222222222222222222"/>
              </w:placeholder>
            </w:sdtPr>
            <w:sdtContent>
              <w:r w:rsidR="008F04CF">
                <w:rPr>
                  <w:szCs w:val="21"/>
                </w:rPr>
                <w:t>0</w:t>
              </w:r>
            </w:sdtContent>
          </w:sdt>
          <w:r>
            <w:rPr>
              <w:rFonts w:hint="eastAsia"/>
              <w:szCs w:val="21"/>
            </w:rPr>
            <w:t xml:space="preserve"> 元。</w:t>
          </w:r>
        </w:p>
        <w:p w:rsidR="00ED2DC7" w:rsidRDefault="00ED2DC7">
          <w:pPr>
            <w:rPr>
              <w:szCs w:val="21"/>
            </w:rPr>
          </w:pPr>
          <w:r>
            <w:rPr>
              <w:rFonts w:hint="eastAsia"/>
              <w:szCs w:val="21"/>
            </w:rPr>
            <w:t>4、由于同一控制导致的合并范围变更，影响期初未分配利润</w:t>
          </w:r>
          <w:sdt>
            <w:sdtPr>
              <w:rPr>
                <w:rFonts w:hint="eastAsia"/>
                <w:szCs w:val="21"/>
              </w:rPr>
              <w:alias w:val="同一控制导致的合并范围变更影响年初未分配利润"/>
              <w:tag w:val="_GBC_4d9b7a873cb94aba9044210a45f81108"/>
              <w:id w:val="-465054406"/>
              <w:lock w:val="sdtLocked"/>
              <w:placeholder>
                <w:docPart w:val="GBC22222222222222222222222222222"/>
              </w:placeholder>
            </w:sdtPr>
            <w:sdtContent>
              <w:r w:rsidR="008F04CF">
                <w:rPr>
                  <w:szCs w:val="21"/>
                </w:rPr>
                <w:t>0</w:t>
              </w:r>
            </w:sdtContent>
          </w:sdt>
          <w:r>
            <w:rPr>
              <w:rFonts w:hint="eastAsia"/>
              <w:szCs w:val="21"/>
            </w:rPr>
            <w:t xml:space="preserve"> 元。</w:t>
          </w:r>
        </w:p>
        <w:p w:rsidR="00FC792E" w:rsidRDefault="00ED2DC7">
          <w:pPr>
            <w:rPr>
              <w:szCs w:val="21"/>
            </w:rPr>
          </w:pPr>
          <w:r>
            <w:rPr>
              <w:rFonts w:hint="eastAsia"/>
              <w:szCs w:val="21"/>
            </w:rPr>
            <w:t>5、其他调整合计影响期初未分配利润</w:t>
          </w:r>
          <w:sdt>
            <w:sdtPr>
              <w:rPr>
                <w:rFonts w:hint="eastAsia"/>
                <w:szCs w:val="21"/>
              </w:rPr>
              <w:alias w:val="其他调整合计影响年初未分配利润"/>
              <w:tag w:val="_GBC_ccd86b3788e04a70a2e6a2167027d7cb"/>
              <w:id w:val="-2109797913"/>
              <w:lock w:val="sdtLocked"/>
              <w:placeholder>
                <w:docPart w:val="GBC22222222222222222222222222222"/>
              </w:placeholder>
            </w:sdtPr>
            <w:sdtContent>
              <w:r w:rsidR="008F04CF">
                <w:rPr>
                  <w:szCs w:val="21"/>
                </w:rPr>
                <w:t>0</w:t>
              </w:r>
            </w:sdtContent>
          </w:sdt>
          <w:r>
            <w:rPr>
              <w:rFonts w:hint="eastAsia"/>
              <w:szCs w:val="21"/>
            </w:rPr>
            <w:t xml:space="preserve"> 元。</w:t>
          </w:r>
        </w:p>
        <w:p w:rsidR="00FC792E" w:rsidRDefault="00FC792E">
          <w:pPr>
            <w:rPr>
              <w:szCs w:val="21"/>
            </w:rPr>
          </w:pPr>
        </w:p>
        <w:p w:rsidR="00ED2DC7" w:rsidRDefault="00FC792E">
          <w:pPr>
            <w:rPr>
              <w:szCs w:val="21"/>
            </w:rPr>
          </w:pPr>
          <w:r w:rsidRPr="00FC792E">
            <w:rPr>
              <w:rFonts w:hint="eastAsia"/>
              <w:szCs w:val="21"/>
            </w:rPr>
            <w:t>注</w:t>
          </w:r>
          <w:r w:rsidRPr="00FC792E">
            <w:rPr>
              <w:szCs w:val="21"/>
            </w:rPr>
            <w:t>1. 本公司2019年4月26日公告2018年年度权益分派实施方案，以利润分配实施公告确定的股权登记日的总股本，扣除回购的股份19,829,791股，即以1,897,652,142股为基数，每股派发现金红利0.25元（含税），以资本公积金转增股本，每股转增0.3股，共计派发现金红利474,413,036元。</w:t>
          </w:r>
        </w:p>
      </w:sdtContent>
    </w:sdt>
    <w:p w:rsidR="00ED2DC7" w:rsidRDefault="00ED2DC7">
      <w:pPr>
        <w:rPr>
          <w:szCs w:val="21"/>
        </w:rPr>
      </w:pPr>
    </w:p>
    <w:sdt>
      <w:sdtPr>
        <w:rPr>
          <w:rFonts w:ascii="宋体" w:hAnsi="宋体" w:cs="宋体" w:hint="eastAsia"/>
          <w:b w:val="0"/>
          <w:bCs w:val="0"/>
          <w:kern w:val="0"/>
          <w:szCs w:val="21"/>
        </w:rPr>
        <w:alias w:val="模块:营业收入和营业成本"/>
        <w:tag w:val="_GBC_a3a22662ec3d4fb69e12845051ced996"/>
        <w:id w:val="1738364891"/>
        <w:lock w:val="sdtLocked"/>
        <w:placeholder>
          <w:docPart w:val="GBC22222222222222222222222222222"/>
        </w:placeholder>
      </w:sdtPr>
      <w:sdtEndPr>
        <w:rPr>
          <w:rFonts w:hint="default"/>
        </w:rPr>
      </w:sdtEndPr>
      <w:sdtContent>
        <w:p w:rsidR="00ED2DC7" w:rsidRDefault="00ED2DC7" w:rsidP="00036BDC">
          <w:pPr>
            <w:pStyle w:val="affffffffffffffffff1"/>
            <w:numPr>
              <w:ilvl w:val="0"/>
              <w:numId w:val="49"/>
            </w:numPr>
            <w:tabs>
              <w:tab w:val="left" w:pos="504"/>
            </w:tabs>
            <w:rPr>
              <w:szCs w:val="21"/>
            </w:rPr>
          </w:pPr>
          <w:r>
            <w:rPr>
              <w:szCs w:val="21"/>
            </w:rPr>
            <w:t>营业</w:t>
          </w:r>
          <w:r>
            <w:rPr>
              <w:rFonts w:ascii="宋体" w:hAnsi="宋体"/>
              <w:szCs w:val="21"/>
            </w:rPr>
            <w:t>收入</w:t>
          </w:r>
          <w:r>
            <w:rPr>
              <w:szCs w:val="21"/>
            </w:rPr>
            <w:t>和营业成本</w:t>
          </w:r>
        </w:p>
        <w:p w:rsidR="00ED2DC7" w:rsidRDefault="00ED2DC7" w:rsidP="00036BDC">
          <w:pPr>
            <w:pStyle w:val="affffffffffffffffff2"/>
            <w:numPr>
              <w:ilvl w:val="0"/>
              <w:numId w:val="77"/>
            </w:numPr>
            <w:ind w:left="426" w:hanging="426"/>
          </w:pPr>
          <w:r>
            <w:rPr>
              <w:rFonts w:hint="eastAsia"/>
            </w:rPr>
            <w:t>营业收入和营业成本情况</w:t>
          </w:r>
        </w:p>
        <w:sdt>
          <w:sdtPr>
            <w:alias w:val="是否适用：营业收入和营业成本[双击切换]"/>
            <w:tag w:val="_GBC_876680c4ba6b433896b625efff84d599"/>
            <w:id w:val="-1007210218"/>
            <w:lock w:val="sdtContentLocked"/>
            <w:placeholder>
              <w:docPart w:val="GBC22222222222222222222222222222"/>
            </w:placeholder>
          </w:sdtPr>
          <w:sdtContent>
            <w:p w:rsidR="00ED2DC7" w:rsidRDefault="00ED2DC7">
              <w:r>
                <w:fldChar w:fldCharType="begin"/>
              </w:r>
              <w:r w:rsidR="002472CA">
                <w:instrText xml:space="preserve"> MACROBUTTON  SnrToggleCheckbox √适用 </w:instrText>
              </w:r>
              <w:r>
                <w:fldChar w:fldCharType="end"/>
              </w:r>
              <w:r>
                <w:fldChar w:fldCharType="begin"/>
              </w:r>
              <w:r w:rsidR="002472CA">
                <w:instrText xml:space="preserve"> MACROBUTTON  SnrToggleCheckbox □不适用 </w:instrText>
              </w:r>
              <w:r>
                <w:fldChar w:fldCharType="end"/>
              </w:r>
            </w:p>
          </w:sdtContent>
        </w:sdt>
        <w:p w:rsidR="00ED2DC7" w:rsidRDefault="00ED2DC7">
          <w:pPr>
            <w:jc w:val="right"/>
            <w:rPr>
              <w:szCs w:val="21"/>
            </w:rPr>
          </w:pPr>
          <w:r>
            <w:rPr>
              <w:rFonts w:hint="eastAsia"/>
              <w:bCs/>
              <w:szCs w:val="21"/>
            </w:rPr>
            <w:t>单位：</w:t>
          </w:r>
          <w:sdt>
            <w:sdtPr>
              <w:rPr>
                <w:rFonts w:hint="eastAsia"/>
                <w:bCs/>
                <w:szCs w:val="21"/>
              </w:rPr>
              <w:alias w:val="单位：财务附注：营业收入"/>
              <w:tag w:val="_GBC_611ed6dd25a247cf86a0fb98cd86e68f"/>
              <w:id w:val="16302824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hint="eastAsia"/>
                  <w:bCs/>
                  <w:szCs w:val="21"/>
                </w:rPr>
                <w:t>元</w:t>
              </w:r>
            </w:sdtContent>
          </w:sdt>
          <w:r>
            <w:rPr>
              <w:rFonts w:hint="eastAsia"/>
              <w:bCs/>
              <w:szCs w:val="21"/>
            </w:rPr>
            <w:t xml:space="preserve">  币种：</w:t>
          </w:r>
          <w:sdt>
            <w:sdtPr>
              <w:rPr>
                <w:rFonts w:hint="eastAsia"/>
                <w:bCs/>
                <w:szCs w:val="21"/>
              </w:rPr>
              <w:alias w:val="币种：财务附注：营业收入"/>
              <w:tag w:val="_GBC_ba5cd3776b804cc291ae4c216c605f02"/>
              <w:id w:val="-20617080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bCs/>
                  <w:szCs w:val="21"/>
                </w:rPr>
                <w:t>人民币</w:t>
              </w:r>
            </w:sdtContent>
          </w:sdt>
        </w:p>
        <w:tbl>
          <w:tblPr>
            <w:tblStyle w:val="g38"/>
            <w:tblW w:w="4933"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1"/>
            <w:gridCol w:w="1818"/>
            <w:gridCol w:w="1830"/>
            <w:gridCol w:w="1828"/>
            <w:gridCol w:w="1828"/>
          </w:tblGrid>
          <w:tr w:rsidR="00ED2DC7" w:rsidTr="001A5C03">
            <w:sdt>
              <w:sdtPr>
                <w:tag w:val="_PLD_d41752618c6a4ee08ca01f5944b34b81"/>
                <w:id w:val="149955728"/>
                <w:lock w:val="sdtLocked"/>
              </w:sdtPr>
              <w:sdtContent>
                <w:tc>
                  <w:tcPr>
                    <w:tcW w:w="805" w:type="pct"/>
                    <w:vMerge w:val="restart"/>
                    <w:tcBorders>
                      <w:top w:val="single" w:sz="4" w:space="0" w:color="auto"/>
                      <w:left w:val="single" w:sz="4" w:space="0" w:color="auto"/>
                      <w:right w:val="single" w:sz="4" w:space="0" w:color="auto"/>
                    </w:tcBorders>
                    <w:shd w:val="clear" w:color="auto" w:fill="auto"/>
                    <w:vAlign w:val="center"/>
                  </w:tcPr>
                  <w:p w:rsidR="00ED2DC7" w:rsidRDefault="00ED2DC7">
                    <w:pPr>
                      <w:jc w:val="center"/>
                      <w:rPr>
                        <w:szCs w:val="21"/>
                      </w:rPr>
                    </w:pPr>
                    <w:r>
                      <w:rPr>
                        <w:rFonts w:hint="eastAsia"/>
                        <w:szCs w:val="21"/>
                      </w:rPr>
                      <w:t>项目</w:t>
                    </w:r>
                  </w:p>
                </w:tc>
              </w:sdtContent>
            </w:sdt>
            <w:sdt>
              <w:sdtPr>
                <w:tag w:val="_PLD_f88658ae6cb94ea390736e112b0d5ffc"/>
                <w:id w:val="108703138"/>
                <w:lock w:val="sdtLocked"/>
              </w:sdtPr>
              <w:sdtContent>
                <w:tc>
                  <w:tcPr>
                    <w:tcW w:w="20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D2DC7" w:rsidRDefault="00ED2DC7">
                    <w:pPr>
                      <w:jc w:val="center"/>
                      <w:rPr>
                        <w:szCs w:val="21"/>
                      </w:rPr>
                    </w:pPr>
                    <w:r>
                      <w:rPr>
                        <w:rFonts w:hint="eastAsia"/>
                        <w:szCs w:val="21"/>
                      </w:rPr>
                      <w:t>本期发生额</w:t>
                    </w:r>
                  </w:p>
                </w:tc>
              </w:sdtContent>
            </w:sdt>
            <w:sdt>
              <w:sdtPr>
                <w:tag w:val="_PLD_0840d72efce94f22bdf4d566046b2e87"/>
                <w:id w:val="1997540780"/>
                <w:lock w:val="sdtLocked"/>
              </w:sdtPr>
              <w:sdtContent>
                <w:tc>
                  <w:tcPr>
                    <w:tcW w:w="21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D2DC7" w:rsidRDefault="00ED2DC7">
                    <w:pPr>
                      <w:jc w:val="center"/>
                      <w:rPr>
                        <w:szCs w:val="21"/>
                      </w:rPr>
                    </w:pPr>
                    <w:r>
                      <w:rPr>
                        <w:rFonts w:hint="eastAsia"/>
                        <w:szCs w:val="21"/>
                      </w:rPr>
                      <w:t>上期发生额</w:t>
                    </w:r>
                  </w:p>
                </w:tc>
              </w:sdtContent>
            </w:sdt>
          </w:tr>
          <w:tr w:rsidR="00ED2DC7" w:rsidTr="001A5C03">
            <w:tc>
              <w:tcPr>
                <w:tcW w:w="805" w:type="pct"/>
                <w:vMerge/>
                <w:tcBorders>
                  <w:left w:val="single" w:sz="4" w:space="0" w:color="auto"/>
                  <w:bottom w:val="single" w:sz="4" w:space="0" w:color="auto"/>
                  <w:right w:val="single" w:sz="4" w:space="0" w:color="auto"/>
                </w:tcBorders>
                <w:shd w:val="clear" w:color="auto" w:fill="auto"/>
              </w:tcPr>
              <w:p w:rsidR="00ED2DC7" w:rsidRDefault="00ED2DC7">
                <w:pPr>
                  <w:jc w:val="center"/>
                  <w:rPr>
                    <w:szCs w:val="21"/>
                  </w:rPr>
                </w:pPr>
              </w:p>
            </w:tc>
            <w:sdt>
              <w:sdtPr>
                <w:tag w:val="_PLD_39942ac1f2654fa6bda80d7116d83859"/>
                <w:id w:val="-987475088"/>
                <w:lock w:val="sdtLocked"/>
              </w:sdtPr>
              <w:sdtConten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ED2DC7" w:rsidRDefault="00ED2DC7">
                    <w:pPr>
                      <w:jc w:val="center"/>
                      <w:rPr>
                        <w:szCs w:val="21"/>
                      </w:rPr>
                    </w:pPr>
                    <w:r>
                      <w:rPr>
                        <w:rFonts w:hint="eastAsia"/>
                        <w:szCs w:val="21"/>
                      </w:rPr>
                      <w:t>收入</w:t>
                    </w:r>
                  </w:p>
                </w:tc>
              </w:sdtContent>
            </w:sdt>
            <w:sdt>
              <w:sdtPr>
                <w:tag w:val="_PLD_5075262c52564bf09f90a67ee6a84b17"/>
                <w:id w:val="1468088883"/>
                <w:lock w:val="sdtLocked"/>
              </w:sdtPr>
              <w:sdtContent>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ED2DC7" w:rsidRDefault="00ED2DC7">
                    <w:pPr>
                      <w:jc w:val="center"/>
                      <w:rPr>
                        <w:szCs w:val="21"/>
                      </w:rPr>
                    </w:pPr>
                    <w:r>
                      <w:rPr>
                        <w:rFonts w:hint="eastAsia"/>
                        <w:szCs w:val="21"/>
                      </w:rPr>
                      <w:t>成本</w:t>
                    </w:r>
                  </w:p>
                </w:tc>
              </w:sdtContent>
            </w:sdt>
            <w:sdt>
              <w:sdtPr>
                <w:tag w:val="_PLD_33a1015c666d49cba108bce6aafea1f7"/>
                <w:id w:val="-429666044"/>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ED2DC7" w:rsidRDefault="00ED2DC7">
                    <w:pPr>
                      <w:jc w:val="center"/>
                      <w:rPr>
                        <w:szCs w:val="21"/>
                      </w:rPr>
                    </w:pPr>
                    <w:r>
                      <w:rPr>
                        <w:rFonts w:hint="eastAsia"/>
                        <w:szCs w:val="21"/>
                      </w:rPr>
                      <w:t>收入</w:t>
                    </w:r>
                  </w:p>
                </w:tc>
              </w:sdtContent>
            </w:sdt>
            <w:sdt>
              <w:sdtPr>
                <w:tag w:val="_PLD_d09deaa2e4d443459a3584a1d7e92203"/>
                <w:id w:val="-405149893"/>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ED2DC7" w:rsidRDefault="00ED2DC7">
                    <w:pPr>
                      <w:jc w:val="center"/>
                      <w:rPr>
                        <w:szCs w:val="21"/>
                      </w:rPr>
                    </w:pPr>
                    <w:r>
                      <w:rPr>
                        <w:rFonts w:hint="eastAsia"/>
                        <w:szCs w:val="21"/>
                      </w:rPr>
                      <w:t>成本</w:t>
                    </w:r>
                  </w:p>
                </w:tc>
              </w:sdtContent>
            </w:sdt>
          </w:tr>
          <w:tr w:rsidR="001A5C03" w:rsidTr="00B637B2">
            <w:sdt>
              <w:sdtPr>
                <w:tag w:val="_PLD_b7bfcd00fb124eaf81fd672b23a24a00"/>
                <w:id w:val="571008118"/>
                <w:lock w:val="sdtLocked"/>
              </w:sdtPr>
              <w:sdtContent>
                <w:tc>
                  <w:tcPr>
                    <w:tcW w:w="805" w:type="pct"/>
                    <w:tcBorders>
                      <w:top w:val="single" w:sz="4" w:space="0" w:color="auto"/>
                      <w:left w:val="single" w:sz="4" w:space="0" w:color="auto"/>
                      <w:bottom w:val="single" w:sz="4" w:space="0" w:color="auto"/>
                      <w:right w:val="single" w:sz="4" w:space="0" w:color="auto"/>
                    </w:tcBorders>
                    <w:shd w:val="clear" w:color="auto" w:fill="auto"/>
                  </w:tcPr>
                  <w:p w:rsidR="001A5C03" w:rsidRDefault="001A5C03" w:rsidP="001A5C03">
                    <w:pPr>
                      <w:rPr>
                        <w:szCs w:val="21"/>
                      </w:rPr>
                    </w:pPr>
                    <w:r>
                      <w:rPr>
                        <w:rFonts w:hint="eastAsia"/>
                        <w:szCs w:val="21"/>
                      </w:rPr>
                      <w:t>主营业务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1A5C03" w:rsidRPr="00C6554F" w:rsidRDefault="001A5C03" w:rsidP="00B637B2">
                <w:pPr>
                  <w:jc w:val="right"/>
                </w:pPr>
                <w:r w:rsidRPr="00C6554F">
                  <w:t>3,188,125,589</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1A5C03" w:rsidRPr="00FB5BE6" w:rsidRDefault="001A5C03" w:rsidP="00B637B2">
                <w:pPr>
                  <w:jc w:val="right"/>
                </w:pPr>
                <w:r w:rsidRPr="00FB5BE6">
                  <w:t>1,115,716,706</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1A5C03" w:rsidRPr="00206942" w:rsidRDefault="001A5C03" w:rsidP="00B637B2">
                <w:pPr>
                  <w:jc w:val="right"/>
                </w:pPr>
                <w:r w:rsidRPr="00206942">
                  <w:t>2,884,771,158</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1A5C03" w:rsidRPr="002F7C45" w:rsidRDefault="001A5C03" w:rsidP="00B637B2">
                <w:pPr>
                  <w:jc w:val="right"/>
                </w:pPr>
                <w:r w:rsidRPr="002F7C45">
                  <w:t>925,536,631</w:t>
                </w:r>
              </w:p>
            </w:tc>
          </w:tr>
          <w:tr w:rsidR="001A5C03" w:rsidTr="00B637B2">
            <w:sdt>
              <w:sdtPr>
                <w:tag w:val="_PLD_a17f3dcab1c140c8a4254ddfe38c4d7d"/>
                <w:id w:val="-243808087"/>
                <w:lock w:val="sdtLocked"/>
              </w:sdtPr>
              <w:sdtContent>
                <w:tc>
                  <w:tcPr>
                    <w:tcW w:w="805" w:type="pct"/>
                    <w:tcBorders>
                      <w:top w:val="single" w:sz="4" w:space="0" w:color="auto"/>
                      <w:left w:val="single" w:sz="4" w:space="0" w:color="auto"/>
                      <w:bottom w:val="single" w:sz="4" w:space="0" w:color="auto"/>
                      <w:right w:val="single" w:sz="4" w:space="0" w:color="auto"/>
                    </w:tcBorders>
                    <w:shd w:val="clear" w:color="auto" w:fill="auto"/>
                  </w:tcPr>
                  <w:p w:rsidR="001A5C03" w:rsidRDefault="001A5C03" w:rsidP="001A5C03">
                    <w:pPr>
                      <w:rPr>
                        <w:szCs w:val="21"/>
                      </w:rPr>
                    </w:pPr>
                    <w:r>
                      <w:rPr>
                        <w:rFonts w:hint="eastAsia"/>
                        <w:szCs w:val="21"/>
                      </w:rPr>
                      <w:t>其他业务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1A5C03" w:rsidRDefault="001A5C03" w:rsidP="00B637B2">
                <w:pPr>
                  <w:jc w:val="right"/>
                </w:pPr>
                <w:r w:rsidRPr="00C6554F">
                  <w:t>124,881,242</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1A5C03" w:rsidRDefault="001A5C03" w:rsidP="00B637B2">
                <w:pPr>
                  <w:jc w:val="right"/>
                </w:pPr>
                <w:r w:rsidRPr="00FB5BE6">
                  <w:t>10,731,714</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1A5C03" w:rsidRDefault="001A5C03" w:rsidP="00B637B2">
                <w:pPr>
                  <w:jc w:val="right"/>
                </w:pPr>
                <w:r w:rsidRPr="00206942">
                  <w:t>120,931,932</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1A5C03" w:rsidRDefault="001A5C03" w:rsidP="00B637B2">
                <w:pPr>
                  <w:jc w:val="right"/>
                </w:pPr>
                <w:r w:rsidRPr="002F7C45">
                  <w:t>9,104,322</w:t>
                </w:r>
              </w:p>
            </w:tc>
          </w:tr>
          <w:tr w:rsidR="00ED2DC7" w:rsidTr="00B637B2">
            <w:sdt>
              <w:sdtPr>
                <w:tag w:val="_PLD_d6cf597d82bf4ed089aa5592301f1642"/>
                <w:id w:val="1623423126"/>
                <w:lock w:val="sdtLocked"/>
              </w:sdtPr>
              <w:sdtContent>
                <w:tc>
                  <w:tcPr>
                    <w:tcW w:w="805" w:type="pct"/>
                    <w:tcBorders>
                      <w:top w:val="single" w:sz="4" w:space="0" w:color="auto"/>
                      <w:left w:val="single" w:sz="4" w:space="0" w:color="auto"/>
                      <w:bottom w:val="single" w:sz="4" w:space="0" w:color="auto"/>
                      <w:right w:val="single" w:sz="4" w:space="0" w:color="auto"/>
                    </w:tcBorders>
                    <w:shd w:val="clear" w:color="auto" w:fill="auto"/>
                    <w:vAlign w:val="center"/>
                  </w:tcPr>
                  <w:p w:rsidR="00ED2DC7" w:rsidRDefault="00ED2DC7">
                    <w:pPr>
                      <w:jc w:val="center"/>
                      <w:rPr>
                        <w:szCs w:val="21"/>
                      </w:rPr>
                    </w:pPr>
                    <w:r>
                      <w:rPr>
                        <w:rFonts w:hint="eastAsia"/>
                        <w:szCs w:val="21"/>
                      </w:rPr>
                      <w:t>合计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ED2DC7" w:rsidRDefault="008F04CF" w:rsidP="00B637B2">
                <w:pPr>
                  <w:jc w:val="right"/>
                  <w:rPr>
                    <w:szCs w:val="21"/>
                  </w:rPr>
                </w:pPr>
                <w:r>
                  <w:rPr>
                    <w:szCs w:val="21"/>
                  </w:rPr>
                  <w:t>3,313,006,831</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ED2DC7" w:rsidRDefault="001A5C03" w:rsidP="00B637B2">
                <w:pPr>
                  <w:jc w:val="right"/>
                  <w:rPr>
                    <w:szCs w:val="21"/>
                  </w:rPr>
                </w:pPr>
                <w:r w:rsidRPr="001A5C03">
                  <w:rPr>
                    <w:szCs w:val="21"/>
                  </w:rPr>
                  <w:t>1,126,448,420</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ED2DC7" w:rsidRDefault="008F04CF" w:rsidP="00B637B2">
                <w:pPr>
                  <w:jc w:val="right"/>
                  <w:rPr>
                    <w:szCs w:val="21"/>
                  </w:rPr>
                </w:pPr>
                <w:r>
                  <w:rPr>
                    <w:szCs w:val="21"/>
                  </w:rPr>
                  <w:t>3,005,703,090</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ED2DC7" w:rsidRDefault="008F04CF" w:rsidP="00B637B2">
                <w:pPr>
                  <w:jc w:val="right"/>
                  <w:rPr>
                    <w:szCs w:val="21"/>
                  </w:rPr>
                </w:pPr>
                <w:r>
                  <w:rPr>
                    <w:szCs w:val="21"/>
                  </w:rPr>
                  <w:t>934,640,953</w:t>
                </w:r>
              </w:p>
            </w:tc>
          </w:tr>
        </w:tbl>
        <w:p w:rsidR="00ED2DC7" w:rsidRDefault="000D0A99">
          <w:pPr>
            <w:rPr>
              <w:szCs w:val="21"/>
            </w:rPr>
          </w:pPr>
        </w:p>
      </w:sdtContent>
    </w:sdt>
    <w:bookmarkStart w:id="195" w:name="_Hlk10538044" w:displacedByCustomXml="next"/>
    <w:bookmarkStart w:id="196" w:name="_Hlk10538056" w:displacedByCustomXml="next"/>
    <w:sdt>
      <w:sdtPr>
        <w:rPr>
          <w:rFonts w:ascii="宋体" w:hAnsi="宋体" w:cs="宋体" w:hint="eastAsia"/>
          <w:b w:val="0"/>
          <w:bCs w:val="0"/>
          <w:kern w:val="0"/>
          <w:szCs w:val="24"/>
        </w:rPr>
        <w:alias w:val="模块:合同产生的收入的情况"/>
        <w:tag w:val="_SEC_a8e15093e1ef4b64a05aa66b1647502c"/>
        <w:id w:val="1071931739"/>
        <w:lock w:val="sdtLocked"/>
        <w:placeholder>
          <w:docPart w:val="GBC22222222222222222222222222222"/>
        </w:placeholder>
      </w:sdtPr>
      <w:sdtEndPr>
        <w:rPr>
          <w:rFonts w:hint="default"/>
          <w:szCs w:val="21"/>
        </w:rPr>
      </w:sdtEndPr>
      <w:sdtContent>
        <w:p w:rsidR="00ED2DC7" w:rsidRPr="00C16A32" w:rsidRDefault="00ED2DC7" w:rsidP="00036BDC">
          <w:pPr>
            <w:pStyle w:val="affffffffffffffffff2"/>
            <w:numPr>
              <w:ilvl w:val="0"/>
              <w:numId w:val="77"/>
            </w:numPr>
            <w:ind w:left="426" w:hanging="426"/>
          </w:pPr>
          <w:r w:rsidRPr="00C16A32">
            <w:rPr>
              <w:rFonts w:hint="eastAsia"/>
            </w:rPr>
            <w:t>合同产生的收入的情况</w:t>
          </w:r>
          <w:bookmarkEnd w:id="195"/>
        </w:p>
        <w:sdt>
          <w:sdtPr>
            <w:rPr>
              <w:rFonts w:ascii="宋体" w:hAnsi="宋体"/>
              <w:szCs w:val="21"/>
            </w:rPr>
            <w:alias w:val="是否适用：合同产生的收入[双击切换]"/>
            <w:tag w:val="_GBC_c21770085a2f4dd3922bd8eb4c58558c"/>
            <w:id w:val="-1276400711"/>
            <w:lock w:val="sdtContentLocked"/>
            <w:placeholder>
              <w:docPart w:val="GBC22222222222222222222222222222"/>
            </w:placeholder>
          </w:sdtPr>
          <w:sdtContent>
            <w:p w:rsidR="00B637B2" w:rsidRDefault="00ED2DC7" w:rsidP="00B637B2">
              <w:pPr>
                <w:pStyle w:val="afffffffffffffffffff3"/>
                <w:ind w:firstLineChars="0" w:firstLine="0"/>
                <w:jc w:val="left"/>
              </w:pPr>
              <w:r>
                <w:rPr>
                  <w:rFonts w:ascii="宋体" w:hAnsi="宋体"/>
                  <w:szCs w:val="21"/>
                </w:rPr>
                <w:fldChar w:fldCharType="begin"/>
              </w:r>
              <w:r w:rsidR="008F04CF">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8F04CF">
                <w:rPr>
                  <w:rFonts w:ascii="宋体" w:hAnsi="宋体"/>
                  <w:szCs w:val="21"/>
                </w:rPr>
                <w:instrText xml:space="preserve"> MACROBUTTON  SnrToggleCheckbox √不适用 </w:instrText>
              </w:r>
              <w:r>
                <w:rPr>
                  <w:rFonts w:ascii="宋体" w:hAnsi="宋体"/>
                  <w:szCs w:val="21"/>
                </w:rPr>
                <w:fldChar w:fldCharType="end"/>
              </w:r>
            </w:p>
          </w:sdtContent>
        </w:sdt>
        <w:p w:rsidR="00ED2DC7" w:rsidRDefault="00ED2DC7"/>
        <w:p w:rsidR="00ED2DC7" w:rsidRDefault="000D0A99">
          <w:pPr>
            <w:rPr>
              <w:szCs w:val="21"/>
            </w:rPr>
          </w:pPr>
        </w:p>
      </w:sdtContent>
    </w:sdt>
    <w:bookmarkEnd w:id="196" w:displacedByCustomXml="prev"/>
    <w:bookmarkStart w:id="197" w:name="_Hlk10538083" w:displacedByCustomXml="next"/>
    <w:bookmarkStart w:id="198" w:name="_Hlk10538092" w:displacedByCustomXml="next"/>
    <w:sdt>
      <w:sdtPr>
        <w:rPr>
          <w:rFonts w:ascii="宋体" w:hAnsi="宋体" w:cs="宋体" w:hint="eastAsia"/>
          <w:b w:val="0"/>
          <w:bCs w:val="0"/>
          <w:kern w:val="0"/>
          <w:szCs w:val="24"/>
        </w:rPr>
        <w:alias w:val="模块:履约义务的说明"/>
        <w:tag w:val="_SEC_c2d2612c37d449d6b1ff5194855fc52c"/>
        <w:id w:val="1305046526"/>
        <w:lock w:val="sdtLocked"/>
        <w:placeholder>
          <w:docPart w:val="GBC22222222222222222222222222222"/>
        </w:placeholder>
      </w:sdtPr>
      <w:sdtEndPr>
        <w:rPr>
          <w:rFonts w:hint="default"/>
          <w:szCs w:val="21"/>
        </w:rPr>
      </w:sdtEndPr>
      <w:sdtContent>
        <w:p w:rsidR="00ED2DC7" w:rsidRPr="00C16A32" w:rsidRDefault="00ED2DC7" w:rsidP="00036BDC">
          <w:pPr>
            <w:pStyle w:val="affffffffffffffffff2"/>
            <w:numPr>
              <w:ilvl w:val="0"/>
              <w:numId w:val="77"/>
            </w:numPr>
            <w:ind w:left="426" w:hanging="426"/>
          </w:pPr>
          <w:r w:rsidRPr="00C16A32">
            <w:rPr>
              <w:rFonts w:hint="eastAsia"/>
            </w:rPr>
            <w:t>履约义务的说明</w:t>
          </w:r>
          <w:bookmarkEnd w:id="197"/>
        </w:p>
        <w:sdt>
          <w:sdtPr>
            <w:alias w:val="是否适用：履约义务的说明[双击切换]"/>
            <w:tag w:val="_GBC_cb7f024e61b74dffae341dc41978348f"/>
            <w:id w:val="1236209886"/>
            <w:lock w:val="sdtContentLocked"/>
            <w:placeholder>
              <w:docPart w:val="GBC22222222222222222222222222222"/>
            </w:placeholder>
          </w:sdtPr>
          <w:sdtContent>
            <w:p w:rsidR="00ED2DC7" w:rsidRDefault="00ED2DC7" w:rsidP="00B637B2">
              <w:r>
                <w:fldChar w:fldCharType="begin"/>
              </w:r>
              <w:r w:rsidR="008F04CF">
                <w:instrText xml:space="preserve"> MACROBUTTON  SnrToggleCheckbox □适用 </w:instrText>
              </w:r>
              <w:r>
                <w:fldChar w:fldCharType="end"/>
              </w:r>
              <w:r>
                <w:fldChar w:fldCharType="begin"/>
              </w:r>
              <w:r w:rsidR="008F04CF">
                <w:instrText xml:space="preserve"> MACROBUTTON  SnrToggleCheckbox √不适用 </w:instrText>
              </w:r>
              <w:r>
                <w:fldChar w:fldCharType="end"/>
              </w:r>
            </w:p>
          </w:sdtContent>
        </w:sdt>
        <w:p w:rsidR="00ED2DC7" w:rsidRDefault="000D0A99">
          <w:pPr>
            <w:rPr>
              <w:szCs w:val="21"/>
            </w:rPr>
          </w:pPr>
        </w:p>
      </w:sdtContent>
    </w:sdt>
    <w:bookmarkEnd w:id="198" w:displacedByCustomXml="prev"/>
    <w:bookmarkStart w:id="199" w:name="_Hlk10538107" w:displacedByCustomXml="next"/>
    <w:bookmarkStart w:id="200" w:name="_Hlk10538117" w:displacedByCustomXml="next"/>
    <w:sdt>
      <w:sdtPr>
        <w:rPr>
          <w:rFonts w:ascii="宋体" w:hAnsi="宋体" w:cs="宋体" w:hint="eastAsia"/>
          <w:b w:val="0"/>
          <w:bCs w:val="0"/>
          <w:kern w:val="0"/>
          <w:szCs w:val="24"/>
        </w:rPr>
        <w:alias w:val="模块:分摊至剩余履约义务的说明"/>
        <w:tag w:val="_SEC_52c497559d5c4501875a7b175ab4b1eb"/>
        <w:id w:val="-1418706185"/>
        <w:lock w:val="sdtLocked"/>
        <w:placeholder>
          <w:docPart w:val="GBC22222222222222222222222222222"/>
        </w:placeholder>
      </w:sdtPr>
      <w:sdtEndPr>
        <w:rPr>
          <w:rFonts w:hint="default"/>
          <w:szCs w:val="21"/>
        </w:rPr>
      </w:sdtEndPr>
      <w:sdtContent>
        <w:p w:rsidR="00ED2DC7" w:rsidRPr="00C16A32" w:rsidRDefault="00ED2DC7" w:rsidP="00036BDC">
          <w:pPr>
            <w:pStyle w:val="affffffffffffffffff2"/>
            <w:numPr>
              <w:ilvl w:val="0"/>
              <w:numId w:val="77"/>
            </w:numPr>
            <w:ind w:left="426" w:hanging="426"/>
          </w:pPr>
          <w:r w:rsidRPr="00C16A32">
            <w:rPr>
              <w:rFonts w:hint="eastAsia"/>
            </w:rPr>
            <w:t>分摊至剩余履约义务的说明</w:t>
          </w:r>
          <w:bookmarkEnd w:id="199"/>
        </w:p>
        <w:sdt>
          <w:sdtPr>
            <w:alias w:val="是否适用：分摊至剩余履约义务的说明[双击切换]"/>
            <w:tag w:val="_GBC_3e12eb65fc9e4c7b80815a7392be58f2"/>
            <w:id w:val="220715834"/>
            <w:lock w:val="sdtContentLocked"/>
            <w:placeholder>
              <w:docPart w:val="GBC22222222222222222222222222222"/>
            </w:placeholder>
          </w:sdtPr>
          <w:sdtContent>
            <w:p w:rsidR="00B637B2" w:rsidRDefault="00ED2DC7" w:rsidP="00B637B2">
              <w:r>
                <w:fldChar w:fldCharType="begin"/>
              </w:r>
              <w:r w:rsidR="008F04CF">
                <w:instrText xml:space="preserve"> MACROBUTTON  SnrToggleCheckbox □适用 </w:instrText>
              </w:r>
              <w:r>
                <w:fldChar w:fldCharType="end"/>
              </w:r>
              <w:r>
                <w:fldChar w:fldCharType="begin"/>
              </w:r>
              <w:r w:rsidR="008F04CF">
                <w:instrText xml:space="preserve"> MACROBUTTON  SnrToggleCheckbox √不适用 </w:instrText>
              </w:r>
              <w:r>
                <w:fldChar w:fldCharType="end"/>
              </w:r>
            </w:p>
          </w:sdtContent>
        </w:sdt>
        <w:p w:rsidR="00ED2DC7" w:rsidRDefault="000D0A99">
          <w:pPr>
            <w:rPr>
              <w:szCs w:val="21"/>
            </w:rPr>
          </w:pPr>
        </w:p>
      </w:sdtContent>
    </w:sdt>
    <w:bookmarkEnd w:id="200" w:displacedByCustomXml="prev"/>
    <w:p w:rsidR="00ED2DC7" w:rsidRDefault="00ED2DC7">
      <w:pPr>
        <w:rPr>
          <w:szCs w:val="21"/>
        </w:rPr>
      </w:pPr>
    </w:p>
    <w:sdt>
      <w:sdtPr>
        <w:rPr>
          <w:rFonts w:ascii="宋体" w:hAnsi="宋体" w:cs="宋体" w:hint="eastAsia"/>
          <w:b w:val="0"/>
          <w:bCs w:val="0"/>
          <w:kern w:val="0"/>
          <w:szCs w:val="21"/>
        </w:rPr>
        <w:alias w:val="模块:税金及附加"/>
        <w:tag w:val="_GBC_38185835049143dd873ff3e7d0941647"/>
        <w:id w:val="-1911140929"/>
        <w:lock w:val="sdtLocked"/>
        <w:placeholder>
          <w:docPart w:val="GBC22222222222222222222222222222"/>
        </w:placeholder>
      </w:sdtPr>
      <w:sdtEndPr>
        <w:rPr>
          <w:rFonts w:cstheme="minorBidi"/>
          <w:kern w:val="2"/>
        </w:rPr>
      </w:sdtEndPr>
      <w:sdtContent>
        <w:p w:rsidR="00ED2DC7" w:rsidRDefault="00ED2DC7" w:rsidP="00036BDC">
          <w:pPr>
            <w:pStyle w:val="affffffffffffffffff1"/>
            <w:numPr>
              <w:ilvl w:val="0"/>
              <w:numId w:val="49"/>
            </w:numPr>
            <w:tabs>
              <w:tab w:val="left" w:pos="504"/>
            </w:tabs>
            <w:rPr>
              <w:rFonts w:ascii="宋体" w:hAnsi="宋体"/>
              <w:szCs w:val="21"/>
            </w:rPr>
          </w:pPr>
          <w:r>
            <w:rPr>
              <w:rFonts w:ascii="宋体" w:hAnsi="宋体" w:hint="eastAsia"/>
              <w:szCs w:val="21"/>
            </w:rPr>
            <w:t>税金及附加</w:t>
          </w:r>
        </w:p>
        <w:sdt>
          <w:sdtPr>
            <w:alias w:val="是否适用：税金及附加[双击切换]"/>
            <w:tag w:val="_GBC_e6e37ca7fd2a435e8e042586945bb4d2"/>
            <w:id w:val="1115179321"/>
            <w:lock w:val="sdtContentLocked"/>
            <w:placeholder>
              <w:docPart w:val="GBC22222222222222222222222222222"/>
            </w:placeholder>
          </w:sdtPr>
          <w:sdtContent>
            <w:p w:rsidR="00ED2DC7" w:rsidRDefault="00ED2DC7">
              <w:r>
                <w:fldChar w:fldCharType="begin"/>
              </w:r>
              <w:r w:rsidR="002472CA">
                <w:instrText xml:space="preserve"> MACROBUTTON  SnrToggleCheckbox √适用 </w:instrText>
              </w:r>
              <w:r>
                <w:fldChar w:fldCharType="end"/>
              </w:r>
              <w:r>
                <w:fldChar w:fldCharType="begin"/>
              </w:r>
              <w:r w:rsidR="002472CA">
                <w:instrText xml:space="preserve"> MACROBUTTON  SnrToggleCheckbox □不适用 </w:instrText>
              </w:r>
              <w:r>
                <w:fldChar w:fldCharType="end"/>
              </w:r>
            </w:p>
          </w:sdtContent>
        </w:sdt>
        <w:p w:rsidR="00ED2DC7" w:rsidRDefault="00ED2DC7">
          <w:pPr>
            <w:jc w:val="right"/>
            <w:rPr>
              <w:b/>
              <w:szCs w:val="21"/>
            </w:rPr>
          </w:pPr>
          <w:r>
            <w:rPr>
              <w:rFonts w:hint="eastAsia"/>
              <w:szCs w:val="21"/>
            </w:rPr>
            <w:t>单位：</w:t>
          </w:r>
          <w:sdt>
            <w:sdtPr>
              <w:rPr>
                <w:rFonts w:hint="eastAsia"/>
                <w:szCs w:val="21"/>
              </w:rPr>
              <w:alias w:val="单位：财务附注：税金及附加"/>
              <w:tag w:val="_GBC_bdd382ceb0b74413bcc8ce354afae4a8"/>
              <w:id w:val="13918431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hint="eastAsia"/>
                  <w:szCs w:val="21"/>
                </w:rPr>
                <w:t>元</w:t>
              </w:r>
            </w:sdtContent>
          </w:sdt>
          <w:r>
            <w:rPr>
              <w:rFonts w:hint="eastAsia"/>
              <w:szCs w:val="21"/>
            </w:rPr>
            <w:t xml:space="preserve">  币种：</w:t>
          </w:r>
          <w:sdt>
            <w:sdtPr>
              <w:rPr>
                <w:rFonts w:hint="eastAsia"/>
                <w:szCs w:val="21"/>
              </w:rPr>
              <w:alias w:val="币种：财务附注：税金及附加"/>
              <w:tag w:val="_GBC_ecf8b53c11ec4336b91007df3f6b5f78"/>
              <w:id w:val="15505831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szCs w:val="21"/>
                </w:rPr>
                <w:t>人民币</w:t>
              </w:r>
            </w:sdtContent>
          </w:sdt>
        </w:p>
        <w:tbl>
          <w:tblPr>
            <w:tblStyle w:val="g38"/>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834"/>
            <w:gridCol w:w="2992"/>
            <w:gridCol w:w="2991"/>
          </w:tblGrid>
          <w:tr w:rsidR="00EB3769" w:rsidTr="005908C1">
            <w:sdt>
              <w:sdtPr>
                <w:tag w:val="_PLD_444bcf5500dc4f7f9041afd20c147408"/>
                <w:id w:val="-2064479546"/>
                <w:lock w:val="sdtLocked"/>
              </w:sdtPr>
              <w:sdtContent>
                <w:tc>
                  <w:tcPr>
                    <w:tcW w:w="1607" w:type="pct"/>
                    <w:tcBorders>
                      <w:top w:val="single" w:sz="6" w:space="0" w:color="auto"/>
                      <w:left w:val="single" w:sz="6" w:space="0" w:color="auto"/>
                      <w:bottom w:val="single" w:sz="6" w:space="0" w:color="auto"/>
                      <w:right w:val="single" w:sz="6" w:space="0" w:color="auto"/>
                    </w:tcBorders>
                    <w:vAlign w:val="center"/>
                  </w:tcPr>
                  <w:p w:rsidR="00EB3769" w:rsidRDefault="00EB3769" w:rsidP="005908C1">
                    <w:pPr>
                      <w:autoSpaceDE w:val="0"/>
                      <w:autoSpaceDN w:val="0"/>
                      <w:adjustRightInd w:val="0"/>
                      <w:snapToGrid w:val="0"/>
                      <w:spacing w:line="240" w:lineRule="atLeast"/>
                      <w:jc w:val="center"/>
                      <w:rPr>
                        <w:szCs w:val="21"/>
                      </w:rPr>
                    </w:pPr>
                    <w:r>
                      <w:rPr>
                        <w:rFonts w:hint="eastAsia"/>
                        <w:szCs w:val="21"/>
                      </w:rPr>
                      <w:t>项目</w:t>
                    </w:r>
                  </w:p>
                </w:tc>
              </w:sdtContent>
            </w:sdt>
            <w:sdt>
              <w:sdtPr>
                <w:tag w:val="_PLD_986496e04f5841889074687e953bf8a9"/>
                <w:id w:val="983437127"/>
                <w:lock w:val="sdtLocked"/>
              </w:sdtPr>
              <w:sdtContent>
                <w:tc>
                  <w:tcPr>
                    <w:tcW w:w="1697" w:type="pct"/>
                    <w:tcBorders>
                      <w:top w:val="single" w:sz="6" w:space="0" w:color="auto"/>
                      <w:left w:val="single" w:sz="6" w:space="0" w:color="auto"/>
                      <w:bottom w:val="single" w:sz="6" w:space="0" w:color="auto"/>
                      <w:right w:val="single" w:sz="6" w:space="0" w:color="auto"/>
                    </w:tcBorders>
                  </w:tcPr>
                  <w:p w:rsidR="00EB3769" w:rsidRDefault="00EB3769" w:rsidP="005908C1">
                    <w:pPr>
                      <w:jc w:val="center"/>
                      <w:rPr>
                        <w:szCs w:val="21"/>
                      </w:rPr>
                    </w:pPr>
                    <w:r>
                      <w:rPr>
                        <w:rFonts w:hint="eastAsia"/>
                        <w:szCs w:val="21"/>
                      </w:rPr>
                      <w:t>本期发生额</w:t>
                    </w:r>
                  </w:p>
                </w:tc>
              </w:sdtContent>
            </w:sdt>
            <w:sdt>
              <w:sdtPr>
                <w:tag w:val="_PLD_4ab1376344dc484195a5459c78069a64"/>
                <w:id w:val="1938401066"/>
                <w:lock w:val="sdtLocked"/>
              </w:sdtPr>
              <w:sdtContent>
                <w:tc>
                  <w:tcPr>
                    <w:tcW w:w="1696" w:type="pct"/>
                    <w:tcBorders>
                      <w:top w:val="single" w:sz="6" w:space="0" w:color="auto"/>
                      <w:left w:val="single" w:sz="6" w:space="0" w:color="auto"/>
                      <w:bottom w:val="single" w:sz="6" w:space="0" w:color="auto"/>
                      <w:right w:val="single" w:sz="6" w:space="0" w:color="auto"/>
                    </w:tcBorders>
                    <w:vAlign w:val="center"/>
                  </w:tcPr>
                  <w:p w:rsidR="00EB3769" w:rsidRDefault="00EB3769" w:rsidP="005908C1">
                    <w:pPr>
                      <w:jc w:val="center"/>
                      <w:rPr>
                        <w:szCs w:val="21"/>
                      </w:rPr>
                    </w:pPr>
                    <w:r>
                      <w:rPr>
                        <w:rFonts w:hint="eastAsia"/>
                        <w:szCs w:val="21"/>
                      </w:rPr>
                      <w:t>上期发生额</w:t>
                    </w:r>
                  </w:p>
                </w:tc>
              </w:sdtContent>
            </w:sdt>
          </w:tr>
          <w:tr w:rsidR="00EB3769" w:rsidTr="00B637B2">
            <w:sdt>
              <w:sdtPr>
                <w:tag w:val="_PLD_8cf16cf7ff9548dc8b24e9b30e22cdcc"/>
                <w:id w:val="1797794838"/>
                <w:lock w:val="sdtLocked"/>
              </w:sdtPr>
              <w:sdtContent>
                <w:tc>
                  <w:tcPr>
                    <w:tcW w:w="1607" w:type="pct"/>
                    <w:tcBorders>
                      <w:top w:val="single" w:sz="6" w:space="0" w:color="auto"/>
                      <w:left w:val="single" w:sz="6" w:space="0" w:color="auto"/>
                      <w:bottom w:val="single" w:sz="6" w:space="0" w:color="auto"/>
                      <w:right w:val="single" w:sz="6" w:space="0" w:color="auto"/>
                    </w:tcBorders>
                    <w:vAlign w:val="center"/>
                  </w:tcPr>
                  <w:p w:rsidR="00EB3769" w:rsidRDefault="00EB3769" w:rsidP="005908C1">
                    <w:pPr>
                      <w:autoSpaceDE w:val="0"/>
                      <w:autoSpaceDN w:val="0"/>
                      <w:adjustRightInd w:val="0"/>
                      <w:snapToGrid w:val="0"/>
                      <w:spacing w:line="240" w:lineRule="atLeast"/>
                      <w:rPr>
                        <w:szCs w:val="21"/>
                      </w:rPr>
                    </w:pPr>
                    <w:r>
                      <w:rPr>
                        <w:rFonts w:hint="eastAsia"/>
                        <w:szCs w:val="21"/>
                      </w:rPr>
                      <w:t>城市维护建设税</w:t>
                    </w:r>
                  </w:p>
                </w:tc>
              </w:sdtContent>
            </w:sdt>
            <w:tc>
              <w:tcPr>
                <w:tcW w:w="1697" w:type="pct"/>
                <w:tcBorders>
                  <w:top w:val="single" w:sz="6" w:space="0" w:color="auto"/>
                  <w:left w:val="single" w:sz="6" w:space="0" w:color="auto"/>
                  <w:bottom w:val="single" w:sz="6" w:space="0" w:color="auto"/>
                  <w:right w:val="single" w:sz="6" w:space="0" w:color="auto"/>
                </w:tcBorders>
                <w:vAlign w:val="center"/>
              </w:tcPr>
              <w:p w:rsidR="00EB3769" w:rsidRPr="000372AE" w:rsidRDefault="00EB3769" w:rsidP="00B637B2">
                <w:pPr>
                  <w:jc w:val="right"/>
                </w:pPr>
                <w:r w:rsidRPr="000372AE">
                  <w:t>14,968,551</w:t>
                </w:r>
              </w:p>
            </w:tc>
            <w:tc>
              <w:tcPr>
                <w:tcW w:w="1696" w:type="pct"/>
                <w:tcBorders>
                  <w:top w:val="single" w:sz="6" w:space="0" w:color="auto"/>
                  <w:left w:val="single" w:sz="6" w:space="0" w:color="auto"/>
                  <w:bottom w:val="single" w:sz="6" w:space="0" w:color="auto"/>
                  <w:right w:val="single" w:sz="6" w:space="0" w:color="auto"/>
                </w:tcBorders>
                <w:vAlign w:val="center"/>
              </w:tcPr>
              <w:p w:rsidR="00EB3769" w:rsidRDefault="00EB3769" w:rsidP="00B637B2">
                <w:pPr>
                  <w:jc w:val="right"/>
                  <w:rPr>
                    <w:szCs w:val="21"/>
                  </w:rPr>
                </w:pPr>
                <w:r>
                  <w:t>15,214,950</w:t>
                </w:r>
              </w:p>
            </w:tc>
          </w:tr>
          <w:tr w:rsidR="00EB3769" w:rsidTr="00B637B2">
            <w:sdt>
              <w:sdtPr>
                <w:tag w:val="_PLD_a93da99d2b574d26b1c4d61b4ee79236"/>
                <w:id w:val="-1519928327"/>
                <w:lock w:val="sdtLocked"/>
              </w:sdtPr>
              <w:sdtContent>
                <w:tc>
                  <w:tcPr>
                    <w:tcW w:w="1607" w:type="pct"/>
                    <w:tcBorders>
                      <w:top w:val="single" w:sz="6" w:space="0" w:color="auto"/>
                      <w:left w:val="single" w:sz="6" w:space="0" w:color="auto"/>
                      <w:bottom w:val="single" w:sz="6" w:space="0" w:color="auto"/>
                      <w:right w:val="single" w:sz="6" w:space="0" w:color="auto"/>
                    </w:tcBorders>
                    <w:vAlign w:val="center"/>
                  </w:tcPr>
                  <w:p w:rsidR="00EB3769" w:rsidRDefault="00EB3769" w:rsidP="005908C1">
                    <w:pPr>
                      <w:autoSpaceDE w:val="0"/>
                      <w:autoSpaceDN w:val="0"/>
                      <w:adjustRightInd w:val="0"/>
                      <w:snapToGrid w:val="0"/>
                      <w:spacing w:line="240" w:lineRule="atLeast"/>
                      <w:rPr>
                        <w:szCs w:val="21"/>
                      </w:rPr>
                    </w:pPr>
                    <w:r>
                      <w:rPr>
                        <w:rFonts w:hint="eastAsia"/>
                        <w:szCs w:val="21"/>
                      </w:rPr>
                      <w:t>教育费附加</w:t>
                    </w:r>
                  </w:p>
                </w:tc>
              </w:sdtContent>
            </w:sdt>
            <w:tc>
              <w:tcPr>
                <w:tcW w:w="1697" w:type="pct"/>
                <w:tcBorders>
                  <w:top w:val="single" w:sz="6" w:space="0" w:color="auto"/>
                  <w:left w:val="single" w:sz="6" w:space="0" w:color="auto"/>
                  <w:bottom w:val="single" w:sz="6" w:space="0" w:color="auto"/>
                  <w:right w:val="single" w:sz="6" w:space="0" w:color="auto"/>
                </w:tcBorders>
                <w:vAlign w:val="center"/>
              </w:tcPr>
              <w:p w:rsidR="00EB3769" w:rsidRPr="000372AE" w:rsidRDefault="00EB3769" w:rsidP="00B637B2">
                <w:pPr>
                  <w:jc w:val="right"/>
                </w:pPr>
                <w:r w:rsidRPr="000372AE">
                  <w:t>11,552,074</w:t>
                </w:r>
              </w:p>
            </w:tc>
            <w:tc>
              <w:tcPr>
                <w:tcW w:w="1696" w:type="pct"/>
                <w:tcBorders>
                  <w:top w:val="single" w:sz="6" w:space="0" w:color="auto"/>
                  <w:left w:val="single" w:sz="6" w:space="0" w:color="auto"/>
                  <w:bottom w:val="single" w:sz="6" w:space="0" w:color="auto"/>
                  <w:right w:val="single" w:sz="6" w:space="0" w:color="auto"/>
                </w:tcBorders>
                <w:vAlign w:val="center"/>
              </w:tcPr>
              <w:p w:rsidR="00EB3769" w:rsidRDefault="00EB3769" w:rsidP="00B637B2">
                <w:pPr>
                  <w:jc w:val="right"/>
                  <w:rPr>
                    <w:szCs w:val="21"/>
                  </w:rPr>
                </w:pPr>
                <w:r>
                  <w:t>12,833,181</w:t>
                </w:r>
              </w:p>
            </w:tc>
          </w:tr>
          <w:tr w:rsidR="00EB3769" w:rsidTr="00B637B2">
            <w:sdt>
              <w:sdtPr>
                <w:tag w:val="_PLD_b9d06144a0444b1fa73f16e038275ef3"/>
                <w:id w:val="-1454016821"/>
                <w:lock w:val="sdtLocked"/>
              </w:sdtPr>
              <w:sdtContent>
                <w:tc>
                  <w:tcPr>
                    <w:tcW w:w="1607" w:type="pct"/>
                    <w:tcBorders>
                      <w:top w:val="single" w:sz="6" w:space="0" w:color="auto"/>
                      <w:left w:val="single" w:sz="6" w:space="0" w:color="auto"/>
                      <w:bottom w:val="single" w:sz="6" w:space="0" w:color="auto"/>
                      <w:right w:val="single" w:sz="6" w:space="0" w:color="auto"/>
                    </w:tcBorders>
                    <w:vAlign w:val="center"/>
                  </w:tcPr>
                  <w:p w:rsidR="00EB3769" w:rsidRDefault="00EB3769" w:rsidP="005908C1">
                    <w:pPr>
                      <w:autoSpaceDE w:val="0"/>
                      <w:autoSpaceDN w:val="0"/>
                      <w:adjustRightInd w:val="0"/>
                      <w:snapToGrid w:val="0"/>
                      <w:spacing w:line="240" w:lineRule="atLeast"/>
                      <w:rPr>
                        <w:szCs w:val="21"/>
                      </w:rPr>
                    </w:pPr>
                    <w:r>
                      <w:t>房产税</w:t>
                    </w:r>
                  </w:p>
                </w:tc>
              </w:sdtContent>
            </w:sdt>
            <w:tc>
              <w:tcPr>
                <w:tcW w:w="1697" w:type="pct"/>
                <w:tcBorders>
                  <w:top w:val="single" w:sz="6" w:space="0" w:color="auto"/>
                  <w:left w:val="single" w:sz="6" w:space="0" w:color="auto"/>
                  <w:bottom w:val="single" w:sz="6" w:space="0" w:color="auto"/>
                  <w:right w:val="single" w:sz="6" w:space="0" w:color="auto"/>
                </w:tcBorders>
                <w:vAlign w:val="center"/>
              </w:tcPr>
              <w:p w:rsidR="00EB3769" w:rsidRPr="000372AE" w:rsidRDefault="00EB3769" w:rsidP="00B637B2">
                <w:pPr>
                  <w:jc w:val="right"/>
                </w:pPr>
                <w:r w:rsidRPr="000372AE">
                  <w:t>18,558,591</w:t>
                </w:r>
              </w:p>
            </w:tc>
            <w:tc>
              <w:tcPr>
                <w:tcW w:w="1696" w:type="pct"/>
                <w:tcBorders>
                  <w:top w:val="single" w:sz="6" w:space="0" w:color="auto"/>
                  <w:left w:val="single" w:sz="6" w:space="0" w:color="auto"/>
                  <w:bottom w:val="single" w:sz="6" w:space="0" w:color="auto"/>
                  <w:right w:val="single" w:sz="6" w:space="0" w:color="auto"/>
                </w:tcBorders>
                <w:vAlign w:val="center"/>
              </w:tcPr>
              <w:p w:rsidR="00EB3769" w:rsidRDefault="00EB3769" w:rsidP="00B637B2">
                <w:pPr>
                  <w:jc w:val="right"/>
                  <w:rPr>
                    <w:szCs w:val="21"/>
                  </w:rPr>
                </w:pPr>
                <w:r>
                  <w:t>12,554,421</w:t>
                </w:r>
              </w:p>
            </w:tc>
          </w:tr>
          <w:tr w:rsidR="00EB3769" w:rsidTr="00B637B2">
            <w:sdt>
              <w:sdtPr>
                <w:tag w:val="_PLD_56542612dda549b3b872b8d74818af22"/>
                <w:id w:val="-1829892193"/>
                <w:lock w:val="sdtLocked"/>
              </w:sdtPr>
              <w:sdtContent>
                <w:tc>
                  <w:tcPr>
                    <w:tcW w:w="1607" w:type="pct"/>
                    <w:tcBorders>
                      <w:top w:val="single" w:sz="6" w:space="0" w:color="auto"/>
                      <w:left w:val="single" w:sz="6" w:space="0" w:color="auto"/>
                      <w:bottom w:val="single" w:sz="6" w:space="0" w:color="auto"/>
                      <w:right w:val="single" w:sz="6" w:space="0" w:color="auto"/>
                    </w:tcBorders>
                    <w:vAlign w:val="center"/>
                  </w:tcPr>
                  <w:p w:rsidR="00EB3769" w:rsidRDefault="00EB3769" w:rsidP="005908C1">
                    <w:pPr>
                      <w:autoSpaceDE w:val="0"/>
                      <w:autoSpaceDN w:val="0"/>
                      <w:adjustRightInd w:val="0"/>
                      <w:snapToGrid w:val="0"/>
                      <w:spacing w:line="240" w:lineRule="atLeast"/>
                      <w:rPr>
                        <w:szCs w:val="21"/>
                      </w:rPr>
                    </w:pPr>
                    <w:r>
                      <w:t>土地使用税</w:t>
                    </w:r>
                  </w:p>
                </w:tc>
              </w:sdtContent>
            </w:sdt>
            <w:tc>
              <w:tcPr>
                <w:tcW w:w="1697" w:type="pct"/>
                <w:tcBorders>
                  <w:top w:val="single" w:sz="6" w:space="0" w:color="auto"/>
                  <w:left w:val="single" w:sz="6" w:space="0" w:color="auto"/>
                  <w:bottom w:val="single" w:sz="6" w:space="0" w:color="auto"/>
                  <w:right w:val="single" w:sz="6" w:space="0" w:color="auto"/>
                </w:tcBorders>
                <w:vAlign w:val="center"/>
              </w:tcPr>
              <w:p w:rsidR="00EB3769" w:rsidRPr="000372AE" w:rsidRDefault="00EB3769" w:rsidP="00B637B2">
                <w:pPr>
                  <w:jc w:val="right"/>
                </w:pPr>
                <w:r w:rsidRPr="000372AE">
                  <w:t>1,885,462</w:t>
                </w:r>
              </w:p>
            </w:tc>
            <w:tc>
              <w:tcPr>
                <w:tcW w:w="1696" w:type="pct"/>
                <w:tcBorders>
                  <w:top w:val="single" w:sz="6" w:space="0" w:color="auto"/>
                  <w:left w:val="single" w:sz="6" w:space="0" w:color="auto"/>
                  <w:bottom w:val="single" w:sz="6" w:space="0" w:color="auto"/>
                  <w:right w:val="single" w:sz="6" w:space="0" w:color="auto"/>
                </w:tcBorders>
                <w:vAlign w:val="center"/>
              </w:tcPr>
              <w:p w:rsidR="00EB3769" w:rsidRDefault="00EB3769" w:rsidP="00B637B2">
                <w:pPr>
                  <w:jc w:val="right"/>
                  <w:rPr>
                    <w:szCs w:val="21"/>
                  </w:rPr>
                </w:pPr>
                <w:r>
                  <w:t>1,859,534</w:t>
                </w:r>
              </w:p>
            </w:tc>
          </w:tr>
          <w:tr w:rsidR="00EB3769" w:rsidTr="00B637B2">
            <w:sdt>
              <w:sdtPr>
                <w:tag w:val="_PLD_d9fbd1807768486db09587132cc0eacf"/>
                <w:id w:val="-1832508286"/>
                <w:lock w:val="sdtLocked"/>
              </w:sdtPr>
              <w:sdtContent>
                <w:tc>
                  <w:tcPr>
                    <w:tcW w:w="1607" w:type="pct"/>
                    <w:tcBorders>
                      <w:top w:val="single" w:sz="6" w:space="0" w:color="auto"/>
                      <w:left w:val="single" w:sz="6" w:space="0" w:color="auto"/>
                      <w:bottom w:val="single" w:sz="6" w:space="0" w:color="auto"/>
                      <w:right w:val="single" w:sz="6" w:space="0" w:color="auto"/>
                    </w:tcBorders>
                    <w:vAlign w:val="center"/>
                  </w:tcPr>
                  <w:p w:rsidR="00EB3769" w:rsidRDefault="00EB3769" w:rsidP="005908C1">
                    <w:pPr>
                      <w:autoSpaceDE w:val="0"/>
                      <w:autoSpaceDN w:val="0"/>
                      <w:adjustRightInd w:val="0"/>
                      <w:snapToGrid w:val="0"/>
                      <w:spacing w:line="240" w:lineRule="atLeast"/>
                      <w:rPr>
                        <w:szCs w:val="21"/>
                      </w:rPr>
                    </w:pPr>
                    <w:r>
                      <w:t>车船使用税</w:t>
                    </w:r>
                  </w:p>
                </w:tc>
              </w:sdtContent>
            </w:sdt>
            <w:tc>
              <w:tcPr>
                <w:tcW w:w="1697" w:type="pct"/>
                <w:tcBorders>
                  <w:top w:val="single" w:sz="6" w:space="0" w:color="auto"/>
                  <w:left w:val="single" w:sz="6" w:space="0" w:color="auto"/>
                  <w:bottom w:val="single" w:sz="6" w:space="0" w:color="auto"/>
                  <w:right w:val="single" w:sz="6" w:space="0" w:color="auto"/>
                </w:tcBorders>
                <w:vAlign w:val="center"/>
              </w:tcPr>
              <w:p w:rsidR="00EB3769" w:rsidRPr="000372AE" w:rsidRDefault="00EB3769" w:rsidP="00B637B2">
                <w:pPr>
                  <w:jc w:val="right"/>
                </w:pPr>
                <w:r w:rsidRPr="000372AE">
                  <w:t>22,670</w:t>
                </w:r>
              </w:p>
            </w:tc>
            <w:tc>
              <w:tcPr>
                <w:tcW w:w="1696" w:type="pct"/>
                <w:tcBorders>
                  <w:top w:val="single" w:sz="6" w:space="0" w:color="auto"/>
                  <w:left w:val="single" w:sz="6" w:space="0" w:color="auto"/>
                  <w:bottom w:val="single" w:sz="6" w:space="0" w:color="auto"/>
                  <w:right w:val="single" w:sz="6" w:space="0" w:color="auto"/>
                </w:tcBorders>
                <w:vAlign w:val="center"/>
              </w:tcPr>
              <w:p w:rsidR="00EB3769" w:rsidRDefault="00EB3769" w:rsidP="00B637B2">
                <w:pPr>
                  <w:jc w:val="right"/>
                  <w:rPr>
                    <w:szCs w:val="21"/>
                  </w:rPr>
                </w:pPr>
                <w:r>
                  <w:t>24,222</w:t>
                </w:r>
              </w:p>
            </w:tc>
          </w:tr>
          <w:tr w:rsidR="00EB3769" w:rsidTr="00B637B2">
            <w:sdt>
              <w:sdtPr>
                <w:tag w:val="_PLD_a0bc60e9b74b40a288471dbbe366af2d"/>
                <w:id w:val="-612983848"/>
                <w:lock w:val="sdtLocked"/>
              </w:sdtPr>
              <w:sdtContent>
                <w:tc>
                  <w:tcPr>
                    <w:tcW w:w="1607" w:type="pct"/>
                    <w:tcBorders>
                      <w:top w:val="single" w:sz="6" w:space="0" w:color="auto"/>
                      <w:left w:val="single" w:sz="6" w:space="0" w:color="auto"/>
                      <w:bottom w:val="single" w:sz="6" w:space="0" w:color="auto"/>
                      <w:right w:val="single" w:sz="6" w:space="0" w:color="auto"/>
                    </w:tcBorders>
                    <w:vAlign w:val="center"/>
                  </w:tcPr>
                  <w:p w:rsidR="00EB3769" w:rsidRDefault="00EB3769" w:rsidP="005908C1">
                    <w:pPr>
                      <w:autoSpaceDE w:val="0"/>
                      <w:autoSpaceDN w:val="0"/>
                      <w:adjustRightInd w:val="0"/>
                      <w:snapToGrid w:val="0"/>
                      <w:spacing w:line="240" w:lineRule="atLeast"/>
                      <w:rPr>
                        <w:szCs w:val="21"/>
                      </w:rPr>
                    </w:pPr>
                    <w:r>
                      <w:t>印花税</w:t>
                    </w:r>
                  </w:p>
                </w:tc>
              </w:sdtContent>
            </w:sdt>
            <w:tc>
              <w:tcPr>
                <w:tcW w:w="1697" w:type="pct"/>
                <w:tcBorders>
                  <w:top w:val="single" w:sz="6" w:space="0" w:color="auto"/>
                  <w:left w:val="single" w:sz="6" w:space="0" w:color="auto"/>
                  <w:bottom w:val="single" w:sz="6" w:space="0" w:color="auto"/>
                  <w:right w:val="single" w:sz="6" w:space="0" w:color="auto"/>
                </w:tcBorders>
                <w:vAlign w:val="center"/>
              </w:tcPr>
              <w:p w:rsidR="00EB3769" w:rsidRPr="000372AE" w:rsidRDefault="00EB3769" w:rsidP="00B637B2">
                <w:pPr>
                  <w:jc w:val="right"/>
                </w:pPr>
                <w:r w:rsidRPr="000372AE">
                  <w:t>1,107,497</w:t>
                </w:r>
              </w:p>
            </w:tc>
            <w:tc>
              <w:tcPr>
                <w:tcW w:w="1696" w:type="pct"/>
                <w:tcBorders>
                  <w:top w:val="single" w:sz="6" w:space="0" w:color="auto"/>
                  <w:left w:val="single" w:sz="6" w:space="0" w:color="auto"/>
                  <w:bottom w:val="single" w:sz="6" w:space="0" w:color="auto"/>
                  <w:right w:val="single" w:sz="6" w:space="0" w:color="auto"/>
                </w:tcBorders>
                <w:vAlign w:val="center"/>
              </w:tcPr>
              <w:p w:rsidR="00EB3769" w:rsidRDefault="00EB3769" w:rsidP="00B637B2">
                <w:pPr>
                  <w:jc w:val="right"/>
                  <w:rPr>
                    <w:szCs w:val="21"/>
                  </w:rPr>
                </w:pPr>
                <w:r>
                  <w:t>2,384,692</w:t>
                </w:r>
              </w:p>
            </w:tc>
          </w:tr>
          <w:sdt>
            <w:sdtPr>
              <w:rPr>
                <w:rFonts w:asciiTheme="minorHAnsi" w:eastAsiaTheme="minorEastAsia" w:hAnsiTheme="minorHAnsi" w:cstheme="minorBidi"/>
                <w:kern w:val="2"/>
                <w:szCs w:val="21"/>
              </w:rPr>
              <w:alias w:val="税金及附加明细"/>
              <w:tag w:val="_GBC_ec40da632a7e4b998c9f045c23f7af1b"/>
              <w:id w:val="-1290819098"/>
              <w:lock w:val="sdtLocked"/>
            </w:sdtPr>
            <w:sdtContent>
              <w:tr w:rsidR="00EB3769" w:rsidTr="00B637B2">
                <w:tc>
                  <w:tcPr>
                    <w:tcW w:w="1607" w:type="pct"/>
                    <w:tcBorders>
                      <w:top w:val="single" w:sz="6" w:space="0" w:color="auto"/>
                      <w:left w:val="single" w:sz="6" w:space="0" w:color="auto"/>
                      <w:bottom w:val="single" w:sz="6" w:space="0" w:color="auto"/>
                      <w:right w:val="single" w:sz="6" w:space="0" w:color="auto"/>
                    </w:tcBorders>
                    <w:vAlign w:val="center"/>
                  </w:tcPr>
                  <w:p w:rsidR="00EB3769" w:rsidRDefault="00EB3769" w:rsidP="005908C1">
                    <w:pPr>
                      <w:autoSpaceDE w:val="0"/>
                      <w:autoSpaceDN w:val="0"/>
                      <w:adjustRightInd w:val="0"/>
                      <w:snapToGrid w:val="0"/>
                      <w:spacing w:line="240" w:lineRule="atLeast"/>
                      <w:rPr>
                        <w:szCs w:val="21"/>
                      </w:rPr>
                    </w:pPr>
                    <w:r w:rsidRPr="00EB3769">
                      <w:rPr>
                        <w:rFonts w:hint="eastAsia"/>
                        <w:szCs w:val="21"/>
                      </w:rPr>
                      <w:t>其他</w:t>
                    </w:r>
                  </w:p>
                </w:tc>
                <w:tc>
                  <w:tcPr>
                    <w:tcW w:w="1697" w:type="pct"/>
                    <w:tcBorders>
                      <w:top w:val="single" w:sz="6" w:space="0" w:color="auto"/>
                      <w:left w:val="single" w:sz="6" w:space="0" w:color="auto"/>
                      <w:bottom w:val="single" w:sz="6" w:space="0" w:color="auto"/>
                      <w:right w:val="single" w:sz="6" w:space="0" w:color="auto"/>
                    </w:tcBorders>
                    <w:vAlign w:val="center"/>
                  </w:tcPr>
                  <w:p w:rsidR="00EB3769" w:rsidRPr="000372AE" w:rsidRDefault="00EB3769" w:rsidP="00B637B2">
                    <w:pPr>
                      <w:jc w:val="right"/>
                    </w:pPr>
                    <w:r w:rsidRPr="000372AE">
                      <w:t>2,350,266</w:t>
                    </w:r>
                  </w:p>
                </w:tc>
                <w:tc>
                  <w:tcPr>
                    <w:tcW w:w="1696" w:type="pct"/>
                    <w:tcBorders>
                      <w:top w:val="single" w:sz="6" w:space="0" w:color="auto"/>
                      <w:left w:val="single" w:sz="6" w:space="0" w:color="auto"/>
                      <w:bottom w:val="single" w:sz="6" w:space="0" w:color="auto"/>
                      <w:right w:val="single" w:sz="6" w:space="0" w:color="auto"/>
                    </w:tcBorders>
                    <w:vAlign w:val="center"/>
                  </w:tcPr>
                  <w:p w:rsidR="00EB3769" w:rsidRDefault="00EB3769" w:rsidP="00B637B2">
                    <w:pPr>
                      <w:jc w:val="right"/>
                      <w:rPr>
                        <w:szCs w:val="21"/>
                      </w:rPr>
                    </w:pPr>
                    <w:r>
                      <w:t>1,812,153</w:t>
                    </w:r>
                  </w:p>
                </w:tc>
              </w:tr>
            </w:sdtContent>
          </w:sdt>
          <w:tr w:rsidR="00EB3769" w:rsidTr="00B637B2">
            <w:sdt>
              <w:sdtPr>
                <w:tag w:val="_PLD_447085d4b34d4e7e8574b5b78f65bf27"/>
                <w:id w:val="1199442422"/>
                <w:lock w:val="sdtLocked"/>
              </w:sdtPr>
              <w:sdtContent>
                <w:tc>
                  <w:tcPr>
                    <w:tcW w:w="1607" w:type="pct"/>
                    <w:tcBorders>
                      <w:top w:val="single" w:sz="6" w:space="0" w:color="auto"/>
                      <w:left w:val="single" w:sz="6" w:space="0" w:color="auto"/>
                      <w:bottom w:val="single" w:sz="6" w:space="0" w:color="auto"/>
                      <w:right w:val="single" w:sz="6" w:space="0" w:color="auto"/>
                    </w:tcBorders>
                    <w:vAlign w:val="center"/>
                  </w:tcPr>
                  <w:p w:rsidR="00EB3769" w:rsidRDefault="00EB3769" w:rsidP="005908C1">
                    <w:pPr>
                      <w:autoSpaceDE w:val="0"/>
                      <w:autoSpaceDN w:val="0"/>
                      <w:adjustRightInd w:val="0"/>
                      <w:snapToGrid w:val="0"/>
                      <w:spacing w:line="240" w:lineRule="atLeast"/>
                      <w:jc w:val="center"/>
                      <w:rPr>
                        <w:szCs w:val="21"/>
                      </w:rPr>
                    </w:pPr>
                    <w:r>
                      <w:rPr>
                        <w:rFonts w:hint="eastAsia"/>
                        <w:szCs w:val="21"/>
                      </w:rPr>
                      <w:t>合计</w:t>
                    </w:r>
                  </w:p>
                </w:tc>
              </w:sdtContent>
            </w:sdt>
            <w:tc>
              <w:tcPr>
                <w:tcW w:w="1697" w:type="pct"/>
                <w:tcBorders>
                  <w:top w:val="single" w:sz="6" w:space="0" w:color="auto"/>
                  <w:left w:val="single" w:sz="6" w:space="0" w:color="auto"/>
                  <w:bottom w:val="single" w:sz="6" w:space="0" w:color="auto"/>
                  <w:right w:val="single" w:sz="6" w:space="0" w:color="auto"/>
                </w:tcBorders>
                <w:vAlign w:val="center"/>
              </w:tcPr>
              <w:p w:rsidR="00EB3769" w:rsidRDefault="00EB3769" w:rsidP="00B637B2">
                <w:pPr>
                  <w:autoSpaceDE w:val="0"/>
                  <w:autoSpaceDN w:val="0"/>
                  <w:adjustRightInd w:val="0"/>
                  <w:snapToGrid w:val="0"/>
                  <w:spacing w:line="240" w:lineRule="atLeast"/>
                  <w:jc w:val="right"/>
                  <w:rPr>
                    <w:szCs w:val="21"/>
                  </w:rPr>
                </w:pPr>
                <w:r w:rsidRPr="00EB3769">
                  <w:rPr>
                    <w:szCs w:val="21"/>
                  </w:rPr>
                  <w:t>50,445,111</w:t>
                </w:r>
              </w:p>
            </w:tc>
            <w:tc>
              <w:tcPr>
                <w:tcW w:w="1696" w:type="pct"/>
                <w:tcBorders>
                  <w:top w:val="single" w:sz="6" w:space="0" w:color="auto"/>
                  <w:left w:val="single" w:sz="6" w:space="0" w:color="auto"/>
                  <w:bottom w:val="single" w:sz="6" w:space="0" w:color="auto"/>
                  <w:right w:val="single" w:sz="6" w:space="0" w:color="auto"/>
                </w:tcBorders>
                <w:vAlign w:val="center"/>
              </w:tcPr>
              <w:p w:rsidR="00EB3769" w:rsidRDefault="008F04CF" w:rsidP="00B637B2">
                <w:pPr>
                  <w:jc w:val="right"/>
                  <w:rPr>
                    <w:szCs w:val="21"/>
                  </w:rPr>
                </w:pPr>
                <w:r>
                  <w:rPr>
                    <w:szCs w:val="21"/>
                  </w:rPr>
                  <w:t>46,683,153</w:t>
                </w:r>
              </w:p>
            </w:tc>
          </w:tr>
        </w:tbl>
        <w:p w:rsidR="00EB3769" w:rsidRDefault="00EB3769"/>
        <w:p w:rsidR="00ED2DC7" w:rsidRDefault="00ED2DC7">
          <w:pPr>
            <w:spacing w:before="60" w:after="60"/>
            <w:rPr>
              <w:szCs w:val="21"/>
            </w:rPr>
          </w:pPr>
          <w:r>
            <w:rPr>
              <w:rFonts w:hint="eastAsia"/>
              <w:szCs w:val="21"/>
            </w:rPr>
            <w:t>其他说明：</w:t>
          </w:r>
        </w:p>
        <w:sdt>
          <w:sdtPr>
            <w:rPr>
              <w:rFonts w:hint="eastAsia"/>
              <w:szCs w:val="21"/>
            </w:rPr>
            <w:alias w:val="税金及附加说明"/>
            <w:tag w:val="_GBC_f78e413320ad4d20a3dab91dff935491"/>
            <w:id w:val="1583789181"/>
            <w:lock w:val="sdtLocked"/>
            <w:placeholder>
              <w:docPart w:val="GBC22222222222222222222222222222"/>
            </w:placeholder>
          </w:sdtPr>
          <w:sdtContent>
            <w:p w:rsidR="00ED2DC7" w:rsidRDefault="00944836">
              <w:pPr>
                <w:rPr>
                  <w:szCs w:val="21"/>
                </w:rPr>
              </w:pPr>
              <w:r>
                <w:rPr>
                  <w:rFonts w:hint="eastAsia"/>
                  <w:szCs w:val="21"/>
                </w:rPr>
                <w:t>无。</w:t>
              </w:r>
            </w:p>
          </w:sdtContent>
        </w:sdt>
      </w:sdtContent>
    </w:sdt>
    <w:p w:rsidR="00ED2DC7" w:rsidRDefault="00ED2DC7">
      <w:pPr>
        <w:rPr>
          <w:szCs w:val="21"/>
        </w:rPr>
      </w:pPr>
    </w:p>
    <w:sdt>
      <w:sdtPr>
        <w:rPr>
          <w:rFonts w:ascii="宋体" w:hAnsi="宋体" w:cs="宋体" w:hint="eastAsia"/>
          <w:b w:val="0"/>
          <w:bCs w:val="0"/>
          <w:kern w:val="0"/>
          <w:szCs w:val="21"/>
        </w:rPr>
        <w:alias w:val="模块:成本费用"/>
        <w:tag w:val="_GBC_3faa14b862dd44e8a54b6137b70adace"/>
        <w:id w:val="2143219474"/>
        <w:lock w:val="sdtLocked"/>
        <w:placeholder>
          <w:docPart w:val="GBC22222222222222222222222222222"/>
        </w:placeholder>
      </w:sdtPr>
      <w:sdtEndPr>
        <w:rPr>
          <w:rFonts w:cstheme="minorBidi"/>
          <w:kern w:val="2"/>
        </w:rPr>
      </w:sdtEndPr>
      <w:sdtContent>
        <w:p w:rsidR="00ED2DC7" w:rsidRDefault="00ED2DC7" w:rsidP="00036BDC">
          <w:pPr>
            <w:pStyle w:val="affffffffffffffffff1"/>
            <w:numPr>
              <w:ilvl w:val="0"/>
              <w:numId w:val="49"/>
            </w:numPr>
            <w:tabs>
              <w:tab w:val="left" w:pos="504"/>
            </w:tabs>
            <w:rPr>
              <w:rFonts w:ascii="宋体" w:hAnsi="宋体" w:cs="宋体"/>
              <w:bCs w:val="0"/>
              <w:kern w:val="0"/>
              <w:szCs w:val="21"/>
            </w:rPr>
          </w:pPr>
          <w:r>
            <w:rPr>
              <w:rFonts w:ascii="宋体" w:hAnsi="宋体" w:cs="宋体" w:hint="eastAsia"/>
              <w:bCs w:val="0"/>
              <w:kern w:val="0"/>
              <w:szCs w:val="21"/>
            </w:rPr>
            <w:t>销售费用</w:t>
          </w:r>
        </w:p>
        <w:sdt>
          <w:sdtPr>
            <w:alias w:val="是否适用：销售费用[双击切换]"/>
            <w:tag w:val="_GBC_5302d6af48674660a2279c7c8a87bb8c"/>
            <w:id w:val="-366225623"/>
            <w:lock w:val="sdtContentLocked"/>
            <w:placeholder>
              <w:docPart w:val="GBC22222222222222222222222222222"/>
            </w:placeholder>
          </w:sdtPr>
          <w:sdtContent>
            <w:p w:rsidR="00ED2DC7" w:rsidRDefault="00ED2DC7">
              <w:r>
                <w:fldChar w:fldCharType="begin"/>
              </w:r>
              <w:r w:rsidR="00944836">
                <w:instrText xml:space="preserve"> MACROBUTTON  SnrToggleCheckbox √适用 </w:instrText>
              </w:r>
              <w:r>
                <w:fldChar w:fldCharType="end"/>
              </w:r>
              <w:r>
                <w:fldChar w:fldCharType="begin"/>
              </w:r>
              <w:r w:rsidR="00944836">
                <w:instrText xml:space="preserve"> MACROBUTTON  SnrToggleCheckbox □不适用 </w:instrText>
              </w:r>
              <w:r>
                <w:fldChar w:fldCharType="end"/>
              </w:r>
            </w:p>
          </w:sdtContent>
        </w:sdt>
        <w:p w:rsidR="00ED2DC7" w:rsidRDefault="00ED2DC7">
          <w:pPr>
            <w:pStyle w:val="afffffffffffffffffff3"/>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销售费用"/>
              <w:tag w:val="_GBC_893203a5a3df44649aef388407d22c68"/>
              <w:id w:val="-117078307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销售费用"/>
              <w:tag w:val="_GBC_4954a9fca98d4f279270fb28f987aa6f"/>
              <w:id w:val="16605050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ascii="宋体" w:hAnsi="宋体" w:hint="eastAsia"/>
                  <w:szCs w:val="21"/>
                </w:rPr>
                <w:t>人民币</w:t>
              </w:r>
            </w:sdtContent>
          </w:sdt>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38"/>
            <w:gridCol w:w="2626"/>
            <w:gridCol w:w="2359"/>
          </w:tblGrid>
          <w:tr w:rsidR="005D6056" w:rsidTr="005908C1">
            <w:sdt>
              <w:sdtPr>
                <w:tag w:val="_PLD_16c47970a3b145c98f438f3cb34ff636"/>
                <w:id w:val="309290642"/>
                <w:lock w:val="sdtLocked"/>
              </w:sdtPr>
              <w:sdtContent>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rsidR="005D6056" w:rsidRDefault="005D6056" w:rsidP="005908C1">
                    <w:pPr>
                      <w:jc w:val="center"/>
                      <w:rPr>
                        <w:szCs w:val="21"/>
                      </w:rPr>
                    </w:pPr>
                    <w:r>
                      <w:rPr>
                        <w:rFonts w:hint="eastAsia"/>
                        <w:szCs w:val="21"/>
                      </w:rPr>
                      <w:t>项目</w:t>
                    </w:r>
                  </w:p>
                </w:tc>
              </w:sdtContent>
            </w:sdt>
            <w:sdt>
              <w:sdtPr>
                <w:tag w:val="_PLD_b3ce435531054240b373e649bc9ae7a1"/>
                <w:id w:val="1066227543"/>
                <w:lock w:val="sdtLocked"/>
              </w:sdtPr>
              <w:sdtContent>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rsidR="005D6056" w:rsidRDefault="005D6056" w:rsidP="005908C1">
                    <w:pPr>
                      <w:jc w:val="center"/>
                      <w:rPr>
                        <w:szCs w:val="21"/>
                      </w:rPr>
                    </w:pPr>
                    <w:r>
                      <w:rPr>
                        <w:rFonts w:hint="eastAsia"/>
                        <w:szCs w:val="21"/>
                      </w:rPr>
                      <w:t>本期发生额</w:t>
                    </w:r>
                  </w:p>
                </w:tc>
              </w:sdtContent>
            </w:sdt>
            <w:sdt>
              <w:sdtPr>
                <w:tag w:val="_PLD_9480cd5806624557b975b5d0ce06575b"/>
                <w:id w:val="-165010357"/>
                <w:lock w:val="sdtLocked"/>
              </w:sdtPr>
              <w:sdtContent>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5D6056" w:rsidRDefault="005D6056" w:rsidP="005908C1">
                    <w:pPr>
                      <w:jc w:val="center"/>
                      <w:rPr>
                        <w:szCs w:val="21"/>
                      </w:rPr>
                    </w:pPr>
                    <w:r>
                      <w:rPr>
                        <w:rFonts w:hint="eastAsia"/>
                        <w:szCs w:val="21"/>
                      </w:rPr>
                      <w:t>上期发生额</w:t>
                    </w:r>
                  </w:p>
                </w:tc>
              </w:sdtContent>
            </w:sdt>
          </w:tr>
          <w:sdt>
            <w:sdtPr>
              <w:rPr>
                <w:rFonts w:asciiTheme="minorHAnsi" w:eastAsiaTheme="minorEastAsia" w:hAnsiTheme="minorHAnsi" w:cstheme="minorBidi"/>
                <w:kern w:val="2"/>
                <w:szCs w:val="21"/>
              </w:rPr>
              <w:alias w:val="销售费用明细"/>
              <w:tag w:val="_GBC_8b0e6f0534ed42879aaed18b46dbec7d"/>
              <w:id w:val="-1475132991"/>
              <w:lock w:val="sdtLocked"/>
            </w:sdtPr>
            <w:sdtContent>
              <w:tr w:rsidR="005D6056" w:rsidTr="00B637B2">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rsidR="005D6056" w:rsidRDefault="005D6056" w:rsidP="005908C1">
                    <w:pPr>
                      <w:rPr>
                        <w:szCs w:val="21"/>
                      </w:rPr>
                    </w:pPr>
                    <w:r>
                      <w:t>职工薪酬及福利</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rsidR="005D6056" w:rsidRPr="00605902" w:rsidRDefault="008F04CF" w:rsidP="00B637B2">
                    <w:pPr>
                      <w:jc w:val="right"/>
                    </w:pPr>
                    <w:r>
                      <w:t xml:space="preserve"> 410,622,395</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5D6056" w:rsidRDefault="005D6056" w:rsidP="00B637B2">
                    <w:pPr>
                      <w:jc w:val="right"/>
                      <w:rPr>
                        <w:szCs w:val="21"/>
                      </w:rPr>
                    </w:pPr>
                    <w:r>
                      <w:t>441,374,252</w:t>
                    </w:r>
                  </w:p>
                </w:tc>
              </w:tr>
            </w:sdtContent>
          </w:sdt>
          <w:sdt>
            <w:sdtPr>
              <w:rPr>
                <w:rFonts w:asciiTheme="minorHAnsi" w:eastAsiaTheme="minorEastAsia" w:hAnsiTheme="minorHAnsi" w:cstheme="minorBidi"/>
                <w:kern w:val="2"/>
                <w:szCs w:val="21"/>
              </w:rPr>
              <w:alias w:val="销售费用明细"/>
              <w:tag w:val="_GBC_8b0e6f0534ed42879aaed18b46dbec7d"/>
              <w:id w:val="-499037354"/>
              <w:lock w:val="sdtLocked"/>
            </w:sdtPr>
            <w:sdtContent>
              <w:tr w:rsidR="005D6056" w:rsidTr="00B637B2">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rsidR="005D6056" w:rsidRDefault="005D6056" w:rsidP="005908C1">
                    <w:pPr>
                      <w:rPr>
                        <w:szCs w:val="21"/>
                      </w:rPr>
                    </w:pPr>
                    <w:r>
                      <w:t>业务宣传费</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rsidR="005D6056" w:rsidRPr="00605902" w:rsidRDefault="008F04CF" w:rsidP="00B637B2">
                    <w:pPr>
                      <w:jc w:val="right"/>
                    </w:pPr>
                    <w:r>
                      <w:t xml:space="preserve"> 46,846,340</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5D6056" w:rsidRDefault="005D6056" w:rsidP="00B637B2">
                    <w:pPr>
                      <w:jc w:val="right"/>
                      <w:rPr>
                        <w:szCs w:val="21"/>
                      </w:rPr>
                    </w:pPr>
                    <w:r>
                      <w:t>45,180,631</w:t>
                    </w:r>
                  </w:p>
                </w:tc>
              </w:tr>
            </w:sdtContent>
          </w:sdt>
          <w:sdt>
            <w:sdtPr>
              <w:rPr>
                <w:rFonts w:asciiTheme="minorHAnsi" w:eastAsiaTheme="minorEastAsia" w:hAnsiTheme="minorHAnsi" w:cstheme="minorBidi"/>
                <w:kern w:val="2"/>
                <w:szCs w:val="21"/>
              </w:rPr>
              <w:alias w:val="销售费用明细"/>
              <w:tag w:val="_GBC_8b0e6f0534ed42879aaed18b46dbec7d"/>
              <w:id w:val="1981112948"/>
              <w:lock w:val="sdtLocked"/>
            </w:sdtPr>
            <w:sdtContent>
              <w:tr w:rsidR="005D6056" w:rsidTr="00B637B2">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rsidR="005D6056" w:rsidRDefault="005D6056" w:rsidP="005908C1">
                    <w:pPr>
                      <w:rPr>
                        <w:szCs w:val="21"/>
                      </w:rPr>
                    </w:pPr>
                    <w:r>
                      <w:t>业务招待费</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rsidR="005D6056" w:rsidRPr="00605902" w:rsidRDefault="008F04CF" w:rsidP="00B637B2">
                    <w:pPr>
                      <w:jc w:val="right"/>
                    </w:pPr>
                    <w:r>
                      <w:t xml:space="preserve"> 33,074,467</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5D6056" w:rsidRDefault="005D6056" w:rsidP="00B637B2">
                    <w:pPr>
                      <w:jc w:val="right"/>
                      <w:rPr>
                        <w:szCs w:val="21"/>
                      </w:rPr>
                    </w:pPr>
                    <w:r>
                      <w:t>28,797,278</w:t>
                    </w:r>
                  </w:p>
                </w:tc>
              </w:tr>
            </w:sdtContent>
          </w:sdt>
          <w:sdt>
            <w:sdtPr>
              <w:rPr>
                <w:rFonts w:asciiTheme="minorHAnsi" w:eastAsiaTheme="minorEastAsia" w:hAnsiTheme="minorHAnsi" w:cstheme="minorBidi"/>
                <w:kern w:val="2"/>
                <w:szCs w:val="21"/>
              </w:rPr>
              <w:alias w:val="销售费用明细"/>
              <w:tag w:val="_GBC_8b0e6f0534ed42879aaed18b46dbec7d"/>
              <w:id w:val="1094743509"/>
              <w:lock w:val="sdtLocked"/>
            </w:sdtPr>
            <w:sdtContent>
              <w:tr w:rsidR="005D6056" w:rsidTr="00B637B2">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rsidR="005D6056" w:rsidRDefault="005D6056" w:rsidP="005908C1">
                    <w:pPr>
                      <w:rPr>
                        <w:szCs w:val="21"/>
                      </w:rPr>
                    </w:pPr>
                    <w:r>
                      <w:t>差旅费</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rsidR="005D6056" w:rsidRPr="00605902" w:rsidRDefault="008F04CF" w:rsidP="00B637B2">
                    <w:pPr>
                      <w:jc w:val="right"/>
                    </w:pPr>
                    <w:r>
                      <w:t xml:space="preserve"> 40,061,258</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5D6056" w:rsidRDefault="005D6056" w:rsidP="00B637B2">
                    <w:pPr>
                      <w:jc w:val="right"/>
                      <w:rPr>
                        <w:szCs w:val="21"/>
                      </w:rPr>
                    </w:pPr>
                    <w:r>
                      <w:t>37,707,162</w:t>
                    </w:r>
                  </w:p>
                </w:tc>
              </w:tr>
            </w:sdtContent>
          </w:sdt>
          <w:sdt>
            <w:sdtPr>
              <w:rPr>
                <w:rFonts w:asciiTheme="minorHAnsi" w:eastAsiaTheme="minorEastAsia" w:hAnsiTheme="minorHAnsi" w:cstheme="minorBidi"/>
                <w:kern w:val="2"/>
                <w:szCs w:val="21"/>
              </w:rPr>
              <w:alias w:val="销售费用明细"/>
              <w:tag w:val="_GBC_8b0e6f0534ed42879aaed18b46dbec7d"/>
              <w:id w:val="-967198164"/>
              <w:lock w:val="sdtLocked"/>
            </w:sdtPr>
            <w:sdtContent>
              <w:tr w:rsidR="005D6056" w:rsidTr="00B637B2">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rsidR="005D6056" w:rsidRDefault="005D6056" w:rsidP="005908C1">
                    <w:pPr>
                      <w:rPr>
                        <w:szCs w:val="21"/>
                      </w:rPr>
                    </w:pPr>
                    <w:r>
                      <w:t>咨询服务费</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rsidR="005D6056" w:rsidRPr="00605902" w:rsidRDefault="008F04CF" w:rsidP="00B637B2">
                    <w:pPr>
                      <w:jc w:val="right"/>
                    </w:pPr>
                    <w:r>
                      <w:t xml:space="preserve"> 35,589,160</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5D6056" w:rsidRDefault="005D6056" w:rsidP="00B637B2">
                    <w:pPr>
                      <w:jc w:val="right"/>
                      <w:rPr>
                        <w:szCs w:val="21"/>
                      </w:rPr>
                    </w:pPr>
                    <w:r>
                      <w:t>22,619,456</w:t>
                    </w:r>
                  </w:p>
                </w:tc>
              </w:tr>
            </w:sdtContent>
          </w:sdt>
          <w:sdt>
            <w:sdtPr>
              <w:rPr>
                <w:rFonts w:asciiTheme="minorHAnsi" w:eastAsiaTheme="minorEastAsia" w:hAnsiTheme="minorHAnsi" w:cstheme="minorBidi"/>
                <w:kern w:val="2"/>
                <w:szCs w:val="21"/>
              </w:rPr>
              <w:alias w:val="销售费用明细"/>
              <w:tag w:val="_GBC_8b0e6f0534ed42879aaed18b46dbec7d"/>
              <w:id w:val="-1866207810"/>
              <w:lock w:val="sdtLocked"/>
            </w:sdtPr>
            <w:sdtContent>
              <w:tr w:rsidR="005D6056" w:rsidTr="00B637B2">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rsidR="005D6056" w:rsidRDefault="005D6056" w:rsidP="005908C1">
                    <w:pPr>
                      <w:rPr>
                        <w:szCs w:val="21"/>
                      </w:rPr>
                    </w:pPr>
                    <w:r>
                      <w:t>办公费</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rsidR="005D6056" w:rsidRPr="00605902" w:rsidRDefault="008F04CF" w:rsidP="00B637B2">
                    <w:pPr>
                      <w:jc w:val="right"/>
                    </w:pPr>
                    <w:r>
                      <w:t xml:space="preserve"> 4,985,223</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5D6056" w:rsidRDefault="005D6056" w:rsidP="00B637B2">
                    <w:pPr>
                      <w:jc w:val="right"/>
                      <w:rPr>
                        <w:szCs w:val="21"/>
                      </w:rPr>
                    </w:pPr>
                    <w:r>
                      <w:t>6,813,456</w:t>
                    </w:r>
                  </w:p>
                </w:tc>
              </w:tr>
            </w:sdtContent>
          </w:sdt>
          <w:sdt>
            <w:sdtPr>
              <w:rPr>
                <w:rFonts w:asciiTheme="minorHAnsi" w:eastAsiaTheme="minorEastAsia" w:hAnsiTheme="minorHAnsi" w:cstheme="minorBidi"/>
                <w:kern w:val="2"/>
                <w:szCs w:val="21"/>
              </w:rPr>
              <w:alias w:val="销售费用明细"/>
              <w:tag w:val="_GBC_8b0e6f0534ed42879aaed18b46dbec7d"/>
              <w:id w:val="-298766694"/>
              <w:lock w:val="sdtLocked"/>
            </w:sdtPr>
            <w:sdtContent>
              <w:tr w:rsidR="005D6056" w:rsidTr="00B637B2">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rsidR="005D6056" w:rsidRDefault="005D6056" w:rsidP="005908C1">
                    <w:pPr>
                      <w:rPr>
                        <w:szCs w:val="21"/>
                      </w:rPr>
                    </w:pPr>
                    <w:r>
                      <w:t>折旧及摊销</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rsidR="005D6056" w:rsidRPr="00605902" w:rsidRDefault="008F04CF" w:rsidP="00B637B2">
                    <w:pPr>
                      <w:jc w:val="right"/>
                    </w:pPr>
                    <w:r>
                      <w:t xml:space="preserve"> 1,615,646</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5D6056" w:rsidRDefault="005D6056" w:rsidP="00B637B2">
                    <w:pPr>
                      <w:jc w:val="right"/>
                      <w:rPr>
                        <w:szCs w:val="21"/>
                      </w:rPr>
                    </w:pPr>
                    <w:r>
                      <w:t>5,867,656</w:t>
                    </w:r>
                  </w:p>
                </w:tc>
              </w:tr>
            </w:sdtContent>
          </w:sdt>
          <w:sdt>
            <w:sdtPr>
              <w:rPr>
                <w:rFonts w:asciiTheme="minorHAnsi" w:eastAsiaTheme="minorEastAsia" w:hAnsiTheme="minorHAnsi" w:cstheme="minorBidi"/>
                <w:kern w:val="2"/>
                <w:szCs w:val="21"/>
              </w:rPr>
              <w:alias w:val="销售费用明细"/>
              <w:tag w:val="_GBC_8b0e6f0534ed42879aaed18b46dbec7d"/>
              <w:id w:val="310294182"/>
              <w:lock w:val="sdtLocked"/>
            </w:sdtPr>
            <w:sdtContent>
              <w:tr w:rsidR="005D6056" w:rsidTr="00B637B2">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rsidR="005D6056" w:rsidRDefault="005D6056" w:rsidP="005908C1">
                    <w:pPr>
                      <w:rPr>
                        <w:szCs w:val="21"/>
                      </w:rPr>
                    </w:pPr>
                    <w:r>
                      <w:t>租赁费及物业管理费</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rsidR="005D6056" w:rsidRPr="00605902" w:rsidRDefault="008F04CF" w:rsidP="00B637B2">
                    <w:pPr>
                      <w:jc w:val="right"/>
                    </w:pPr>
                    <w:r>
                      <w:t xml:space="preserve"> 10,468,625</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5D6056" w:rsidRDefault="005D6056" w:rsidP="00B637B2">
                    <w:pPr>
                      <w:jc w:val="right"/>
                      <w:rPr>
                        <w:szCs w:val="21"/>
                      </w:rPr>
                    </w:pPr>
                    <w:r>
                      <w:t>6,431,402</w:t>
                    </w:r>
                  </w:p>
                </w:tc>
              </w:tr>
            </w:sdtContent>
          </w:sdt>
          <w:sdt>
            <w:sdtPr>
              <w:rPr>
                <w:rFonts w:asciiTheme="minorHAnsi" w:eastAsiaTheme="minorEastAsia" w:hAnsiTheme="minorHAnsi" w:cstheme="minorBidi"/>
                <w:kern w:val="2"/>
                <w:szCs w:val="21"/>
              </w:rPr>
              <w:alias w:val="销售费用明细"/>
              <w:tag w:val="_GBC_8b0e6f0534ed42879aaed18b46dbec7d"/>
              <w:id w:val="1613632576"/>
              <w:lock w:val="sdtLocked"/>
            </w:sdtPr>
            <w:sdtContent>
              <w:tr w:rsidR="005D6056" w:rsidTr="00B637B2">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rsidR="005D6056" w:rsidRDefault="005D6056" w:rsidP="005908C1">
                    <w:pPr>
                      <w:rPr>
                        <w:szCs w:val="21"/>
                      </w:rPr>
                    </w:pPr>
                    <w:r>
                      <w:t>其他</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rsidR="005D6056" w:rsidRDefault="008F04CF" w:rsidP="00B637B2">
                    <w:pPr>
                      <w:jc w:val="right"/>
                    </w:pPr>
                    <w:r>
                      <w:t>898,348</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5D6056" w:rsidRDefault="005D6056" w:rsidP="00B637B2">
                    <w:pPr>
                      <w:jc w:val="right"/>
                      <w:rPr>
                        <w:szCs w:val="21"/>
                      </w:rPr>
                    </w:pPr>
                    <w:r>
                      <w:t>1,860,339</w:t>
                    </w:r>
                  </w:p>
                </w:tc>
              </w:tr>
            </w:sdtContent>
          </w:sdt>
          <w:tr w:rsidR="005D6056" w:rsidTr="00B637B2">
            <w:sdt>
              <w:sdtPr>
                <w:tag w:val="_PLD_bb83cc20a1fb4ed7973343e471dad9ef"/>
                <w:id w:val="984735503"/>
                <w:lock w:val="sdtLocked"/>
              </w:sdtPr>
              <w:sdtContent>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rsidR="005D6056" w:rsidRDefault="005D6056" w:rsidP="005908C1">
                    <w:pPr>
                      <w:jc w:val="center"/>
                      <w:rPr>
                        <w:szCs w:val="21"/>
                      </w:rPr>
                    </w:pPr>
                    <w:r>
                      <w:rPr>
                        <w:rFonts w:hint="eastAsia"/>
                        <w:szCs w:val="21"/>
                      </w:rPr>
                      <w:t>合计</w:t>
                    </w:r>
                  </w:p>
                </w:tc>
              </w:sdtContent>
            </w:sdt>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rsidR="005D6056" w:rsidRDefault="008F04CF" w:rsidP="00B637B2">
                <w:pPr>
                  <w:jc w:val="right"/>
                  <w:rPr>
                    <w:szCs w:val="21"/>
                  </w:rPr>
                </w:pPr>
                <w:r>
                  <w:rPr>
                    <w:szCs w:val="21"/>
                  </w:rPr>
                  <w:t>584,161,462</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5D6056" w:rsidRDefault="005D6056" w:rsidP="00B637B2">
                <w:pPr>
                  <w:jc w:val="right"/>
                  <w:rPr>
                    <w:szCs w:val="21"/>
                  </w:rPr>
                </w:pPr>
                <w:r w:rsidRPr="005D6056">
                  <w:rPr>
                    <w:szCs w:val="21"/>
                  </w:rPr>
                  <w:t>596,651,632</w:t>
                </w:r>
              </w:p>
            </w:tc>
          </w:tr>
        </w:tbl>
        <w:p w:rsidR="005D6056" w:rsidRDefault="005D6056"/>
        <w:p w:rsidR="00ED2DC7" w:rsidRDefault="00ED2DC7">
          <w:pPr>
            <w:spacing w:before="60" w:after="60"/>
            <w:rPr>
              <w:szCs w:val="21"/>
            </w:rPr>
          </w:pPr>
          <w:r>
            <w:rPr>
              <w:rFonts w:hint="eastAsia"/>
              <w:szCs w:val="21"/>
            </w:rPr>
            <w:t>其他说明：</w:t>
          </w:r>
        </w:p>
        <w:sdt>
          <w:sdtPr>
            <w:rPr>
              <w:szCs w:val="21"/>
            </w:rPr>
            <w:alias w:val="销售费用的其他说明事项"/>
            <w:tag w:val="_GBC_42921bca5478449e9dd3932a8303975a"/>
            <w:id w:val="-1456554275"/>
            <w:lock w:val="sdtLocked"/>
            <w:placeholder>
              <w:docPart w:val="GBC22222222222222222222222222222"/>
            </w:placeholder>
          </w:sdtPr>
          <w:sdtContent>
            <w:p w:rsidR="00ED2DC7" w:rsidRDefault="00944836">
              <w:pPr>
                <w:rPr>
                  <w:szCs w:val="21"/>
                </w:rPr>
              </w:pPr>
              <w:r>
                <w:rPr>
                  <w:rFonts w:hint="eastAsia"/>
                  <w:szCs w:val="21"/>
                </w:rPr>
                <w:t>无。</w:t>
              </w:r>
            </w:p>
          </w:sdtContent>
        </w:sdt>
      </w:sdtContent>
    </w:sdt>
    <w:p w:rsidR="00ED2DC7" w:rsidRDefault="00ED2DC7">
      <w:pPr>
        <w:rPr>
          <w:szCs w:val="21"/>
        </w:rPr>
      </w:pPr>
    </w:p>
    <w:sdt>
      <w:sdtPr>
        <w:rPr>
          <w:rFonts w:ascii="宋体" w:hAnsi="宋体" w:cs="宋体" w:hint="eastAsia"/>
          <w:b w:val="0"/>
          <w:bCs w:val="0"/>
          <w:kern w:val="0"/>
          <w:szCs w:val="21"/>
        </w:rPr>
        <w:alias w:val="模块:管理费用"/>
        <w:tag w:val="_GBC_d5a6283bdea64513980a0cc618e2ec60"/>
        <w:id w:val="408277556"/>
        <w:lock w:val="sdtLocked"/>
        <w:placeholder>
          <w:docPart w:val="GBC22222222222222222222222222222"/>
        </w:placeholder>
      </w:sdtPr>
      <w:sdtContent>
        <w:p w:rsidR="00ED2DC7" w:rsidRDefault="00ED2DC7" w:rsidP="00036BDC">
          <w:pPr>
            <w:pStyle w:val="affffffffffffffffff1"/>
            <w:numPr>
              <w:ilvl w:val="0"/>
              <w:numId w:val="49"/>
            </w:numPr>
            <w:tabs>
              <w:tab w:val="left" w:pos="504"/>
            </w:tabs>
            <w:rPr>
              <w:szCs w:val="21"/>
            </w:rPr>
          </w:pPr>
          <w:r>
            <w:rPr>
              <w:rFonts w:hint="eastAsia"/>
              <w:szCs w:val="21"/>
            </w:rPr>
            <w:t>管理费用</w:t>
          </w:r>
        </w:p>
        <w:sdt>
          <w:sdtPr>
            <w:alias w:val="是否适用：管理费用[双击切换]"/>
            <w:tag w:val="_GBC_864c9dd9adce435698261f1da02ab8fb"/>
            <w:id w:val="-516081121"/>
            <w:lock w:val="sdtContentLocked"/>
            <w:placeholder>
              <w:docPart w:val="GBC22222222222222222222222222222"/>
            </w:placeholder>
          </w:sdtPr>
          <w:sdtContent>
            <w:p w:rsidR="00ED2DC7" w:rsidRDefault="00ED2DC7">
              <w:r>
                <w:fldChar w:fldCharType="begin"/>
              </w:r>
              <w:r w:rsidR="00944836">
                <w:instrText xml:space="preserve"> MACROBUTTON  SnrToggleCheckbox √适用 </w:instrText>
              </w:r>
              <w:r>
                <w:fldChar w:fldCharType="end"/>
              </w:r>
              <w:r>
                <w:fldChar w:fldCharType="begin"/>
              </w:r>
              <w:r w:rsidR="00944836">
                <w:instrText xml:space="preserve"> MACROBUTTON  SnrToggleCheckbox □不适用 </w:instrText>
              </w:r>
              <w:r>
                <w:fldChar w:fldCharType="end"/>
              </w:r>
            </w:p>
          </w:sdtContent>
        </w:sdt>
        <w:p w:rsidR="00ED2DC7" w:rsidRDefault="00ED2DC7">
          <w:pPr>
            <w:jc w:val="right"/>
          </w:pPr>
          <w:r>
            <w:rPr>
              <w:rFonts w:hint="eastAsia"/>
            </w:rPr>
            <w:t>单位：</w:t>
          </w:r>
          <w:sdt>
            <w:sdtPr>
              <w:rPr>
                <w:rFonts w:hint="eastAsia"/>
              </w:rPr>
              <w:alias w:val="单位：管理费用"/>
              <w:tag w:val="_GBC_b8198aec3f7748d28785c1eebbf02df7"/>
              <w:id w:val="4619275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hint="eastAsia"/>
                </w:rPr>
                <w:t>元</w:t>
              </w:r>
            </w:sdtContent>
          </w:sdt>
          <w:r>
            <w:rPr>
              <w:rFonts w:hint="eastAsia"/>
            </w:rPr>
            <w:t xml:space="preserve">  币种：</w:t>
          </w:r>
          <w:sdt>
            <w:sdtPr>
              <w:rPr>
                <w:rFonts w:hint="eastAsia"/>
              </w:rPr>
              <w:alias w:val="币种：管理费用"/>
              <w:tag w:val="_GBC_f92af61f8b3b45ba9ec818ede9725428"/>
              <w:id w:val="-6936911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rPr>
                <w:t>人民币</w:t>
              </w:r>
            </w:sdtContent>
          </w:sdt>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5"/>
            <w:gridCol w:w="2539"/>
            <w:gridCol w:w="2379"/>
          </w:tblGrid>
          <w:tr w:rsidR="00A51E22" w:rsidTr="00A51E22">
            <w:trPr>
              <w:trHeight w:val="347"/>
            </w:trPr>
            <w:bookmarkStart w:id="201" w:name="_Hlk16634908" w:displacedByCustomXml="next"/>
            <w:sdt>
              <w:sdtPr>
                <w:tag w:val="_PLD_249fd0c096ba421285089a0fada9d43a"/>
                <w:id w:val="336656777"/>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A51E22" w:rsidRDefault="00A51E22" w:rsidP="005908C1">
                    <w:pPr>
                      <w:jc w:val="center"/>
                    </w:pPr>
                    <w:r>
                      <w:rPr>
                        <w:rFonts w:hint="eastAsia"/>
                      </w:rPr>
                      <w:t>项目</w:t>
                    </w:r>
                  </w:p>
                </w:tc>
              </w:sdtContent>
            </w:sdt>
            <w:sdt>
              <w:sdtPr>
                <w:tag w:val="_PLD_acf5bcbf929244268be56ad5d0f3ea18"/>
                <w:id w:val="1837878069"/>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A51E22" w:rsidRDefault="00A51E22" w:rsidP="005908C1">
                    <w:pPr>
                      <w:jc w:val="center"/>
                    </w:pPr>
                    <w:r>
                      <w:rPr>
                        <w:rFonts w:hint="eastAsia"/>
                      </w:rPr>
                      <w:t>本期发生额</w:t>
                    </w:r>
                  </w:p>
                </w:tc>
              </w:sdtContent>
            </w:sdt>
            <w:sdt>
              <w:sdtPr>
                <w:tag w:val="_PLD_d37d8a59d4d74c26ac22dc33983efa29"/>
                <w:id w:val="531613676"/>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A51E22" w:rsidRDefault="00A51E22" w:rsidP="005908C1">
                    <w:pPr>
                      <w:jc w:val="center"/>
                    </w:pPr>
                    <w:r>
                      <w:rPr>
                        <w:rFonts w:hint="eastAsia"/>
                      </w:rPr>
                      <w:t>上期发生额</w:t>
                    </w:r>
                  </w:p>
                </w:tc>
              </w:sdtContent>
            </w:sdt>
          </w:tr>
          <w:sdt>
            <w:sdtPr>
              <w:rPr>
                <w:rFonts w:asciiTheme="minorHAnsi" w:eastAsiaTheme="minorEastAsia" w:hAnsiTheme="minorHAnsi" w:cstheme="minorBidi" w:hint="eastAsia"/>
                <w:kern w:val="2"/>
                <w:szCs w:val="22"/>
              </w:rPr>
              <w:alias w:val="管理费用明细"/>
              <w:tag w:val="_GBC_1330575ab4a44e46920401d3d7599402"/>
              <w:id w:val="288323740"/>
              <w:lock w:val="sdtLocked"/>
            </w:sdtPr>
            <w:sdtContent>
              <w:tr w:rsidR="00A51E22" w:rsidTr="005908C1">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A51E22" w:rsidRDefault="00A51E22" w:rsidP="005908C1">
                    <w:r>
                      <w:t>职工薪酬及福利</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A51E22" w:rsidRPr="00E4341D" w:rsidRDefault="00A51E22" w:rsidP="00A51E22">
                    <w:pPr>
                      <w:jc w:val="right"/>
                    </w:pPr>
                    <w:r w:rsidRPr="00E4341D">
                      <w:t>247,129,007</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A51E22" w:rsidRDefault="00A51E22" w:rsidP="005908C1">
                    <w:pPr>
                      <w:jc w:val="right"/>
                    </w:pPr>
                    <w:r>
                      <w:t>363,884,805</w:t>
                    </w:r>
                  </w:p>
                </w:tc>
              </w:tr>
            </w:sdtContent>
          </w:sdt>
          <w:sdt>
            <w:sdtPr>
              <w:rPr>
                <w:rFonts w:asciiTheme="minorHAnsi" w:eastAsiaTheme="minorEastAsia" w:hAnsiTheme="minorHAnsi" w:cstheme="minorBidi" w:hint="eastAsia"/>
                <w:kern w:val="2"/>
                <w:szCs w:val="22"/>
              </w:rPr>
              <w:alias w:val="管理费用明细"/>
              <w:tag w:val="_GBC_1330575ab4a44e46920401d3d7599402"/>
              <w:id w:val="1204754476"/>
              <w:lock w:val="sdtLocked"/>
            </w:sdtPr>
            <w:sdtContent>
              <w:tr w:rsidR="00A51E22" w:rsidTr="005908C1">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A51E22" w:rsidRDefault="00A51E22" w:rsidP="005908C1">
                    <w:r>
                      <w:t>业务宣传费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A51E22" w:rsidRPr="00E4341D" w:rsidRDefault="00A51E22" w:rsidP="00A51E22">
                    <w:pPr>
                      <w:jc w:val="right"/>
                    </w:pPr>
                    <w:r w:rsidRPr="00E4341D">
                      <w:t>8,459,020</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A51E22" w:rsidRDefault="00A51E22" w:rsidP="005908C1">
                    <w:pPr>
                      <w:jc w:val="right"/>
                    </w:pPr>
                    <w:r>
                      <w:t>10,594,442</w:t>
                    </w:r>
                  </w:p>
                </w:tc>
              </w:tr>
            </w:sdtContent>
          </w:sdt>
          <w:sdt>
            <w:sdtPr>
              <w:rPr>
                <w:rFonts w:asciiTheme="minorHAnsi" w:eastAsiaTheme="minorEastAsia" w:hAnsiTheme="minorHAnsi" w:cstheme="minorBidi" w:hint="eastAsia"/>
                <w:kern w:val="2"/>
                <w:szCs w:val="22"/>
              </w:rPr>
              <w:alias w:val="管理费用明细"/>
              <w:tag w:val="_GBC_1330575ab4a44e46920401d3d7599402"/>
              <w:id w:val="-1873136124"/>
              <w:lock w:val="sdtLocked"/>
            </w:sdtPr>
            <w:sdtContent>
              <w:tr w:rsidR="00A51E22" w:rsidTr="005908C1">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A51E22" w:rsidRDefault="00A51E22" w:rsidP="005908C1">
                    <w:r>
                      <w:t>业务招待费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A51E22" w:rsidRPr="00E4341D" w:rsidRDefault="00A51E22" w:rsidP="00A51E22">
                    <w:pPr>
                      <w:jc w:val="right"/>
                    </w:pPr>
                    <w:r w:rsidRPr="00E4341D">
                      <w:t>8,246,341</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A51E22" w:rsidRDefault="00A51E22" w:rsidP="005908C1">
                    <w:pPr>
                      <w:jc w:val="right"/>
                    </w:pPr>
                    <w:r>
                      <w:t>8,146,083</w:t>
                    </w:r>
                  </w:p>
                </w:tc>
              </w:tr>
            </w:sdtContent>
          </w:sdt>
          <w:sdt>
            <w:sdtPr>
              <w:rPr>
                <w:rFonts w:asciiTheme="minorHAnsi" w:eastAsiaTheme="minorEastAsia" w:hAnsiTheme="minorHAnsi" w:cstheme="minorBidi" w:hint="eastAsia"/>
                <w:kern w:val="2"/>
                <w:szCs w:val="22"/>
              </w:rPr>
              <w:alias w:val="管理费用明细"/>
              <w:tag w:val="_GBC_1330575ab4a44e46920401d3d7599402"/>
              <w:id w:val="2002543151"/>
              <w:lock w:val="sdtLocked"/>
            </w:sdtPr>
            <w:sdtContent>
              <w:tr w:rsidR="00A51E22" w:rsidTr="005908C1">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A51E22" w:rsidRDefault="00A51E22" w:rsidP="005908C1">
                    <w:r>
                      <w:t>差旅费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A51E22" w:rsidRPr="00E4341D" w:rsidRDefault="00A51E22" w:rsidP="00A51E22">
                    <w:pPr>
                      <w:jc w:val="right"/>
                    </w:pPr>
                    <w:r w:rsidRPr="00E4341D">
                      <w:t>7,734,763</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A51E22" w:rsidRDefault="00A51E22" w:rsidP="005908C1">
                    <w:pPr>
                      <w:jc w:val="right"/>
                    </w:pPr>
                    <w:r>
                      <w:t>8,361,790</w:t>
                    </w:r>
                  </w:p>
                </w:tc>
              </w:tr>
            </w:sdtContent>
          </w:sdt>
          <w:sdt>
            <w:sdtPr>
              <w:rPr>
                <w:rFonts w:asciiTheme="minorHAnsi" w:eastAsiaTheme="minorEastAsia" w:hAnsiTheme="minorHAnsi" w:cstheme="minorBidi" w:hint="eastAsia"/>
                <w:kern w:val="2"/>
                <w:szCs w:val="22"/>
              </w:rPr>
              <w:alias w:val="管理费用明细"/>
              <w:tag w:val="_GBC_1330575ab4a44e46920401d3d7599402"/>
              <w:id w:val="-10916974"/>
              <w:lock w:val="sdtLocked"/>
            </w:sdtPr>
            <w:sdtContent>
              <w:tr w:rsidR="00A51E22" w:rsidTr="005908C1">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A51E22" w:rsidRDefault="00A51E22" w:rsidP="005908C1">
                    <w:r>
                      <w:t>咨询服务费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A51E22" w:rsidRPr="00E4341D" w:rsidRDefault="00A51E22" w:rsidP="00A51E22">
                    <w:pPr>
                      <w:jc w:val="right"/>
                    </w:pPr>
                    <w:r w:rsidRPr="00E4341D">
                      <w:t>19,364,824</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A51E22" w:rsidRDefault="00A51E22" w:rsidP="005908C1">
                    <w:pPr>
                      <w:jc w:val="right"/>
                    </w:pPr>
                    <w:r>
                      <w:t>20,397,255</w:t>
                    </w:r>
                  </w:p>
                </w:tc>
              </w:tr>
            </w:sdtContent>
          </w:sdt>
          <w:sdt>
            <w:sdtPr>
              <w:rPr>
                <w:rFonts w:asciiTheme="minorHAnsi" w:eastAsiaTheme="minorEastAsia" w:hAnsiTheme="minorHAnsi" w:cstheme="minorBidi" w:hint="eastAsia"/>
                <w:kern w:val="2"/>
                <w:szCs w:val="22"/>
              </w:rPr>
              <w:alias w:val="管理费用明细"/>
              <w:tag w:val="_GBC_1330575ab4a44e46920401d3d7599402"/>
              <w:id w:val="512574820"/>
              <w:lock w:val="sdtLocked"/>
            </w:sdtPr>
            <w:sdtContent>
              <w:tr w:rsidR="00A51E22" w:rsidTr="005908C1">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A51E22" w:rsidRDefault="00A51E22" w:rsidP="005908C1">
                    <w:r>
                      <w:t>办公费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A51E22" w:rsidRPr="00E4341D" w:rsidRDefault="00A51E22" w:rsidP="00A51E22">
                    <w:pPr>
                      <w:jc w:val="right"/>
                    </w:pPr>
                    <w:r w:rsidRPr="00E4341D">
                      <w:t>10,916,244</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A51E22" w:rsidRDefault="00A51E22" w:rsidP="005908C1">
                    <w:pPr>
                      <w:jc w:val="right"/>
                    </w:pPr>
                    <w:r>
                      <w:t>16,000,460</w:t>
                    </w:r>
                  </w:p>
                </w:tc>
              </w:tr>
            </w:sdtContent>
          </w:sdt>
          <w:sdt>
            <w:sdtPr>
              <w:rPr>
                <w:rFonts w:asciiTheme="minorHAnsi" w:eastAsiaTheme="minorEastAsia" w:hAnsiTheme="minorHAnsi" w:cstheme="minorBidi" w:hint="eastAsia"/>
                <w:kern w:val="2"/>
                <w:szCs w:val="22"/>
              </w:rPr>
              <w:alias w:val="管理费用明细"/>
              <w:tag w:val="_GBC_1330575ab4a44e46920401d3d7599402"/>
              <w:id w:val="1736978286"/>
              <w:lock w:val="sdtLocked"/>
            </w:sdtPr>
            <w:sdtContent>
              <w:tr w:rsidR="00A51E22" w:rsidTr="005908C1">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A51E22" w:rsidRDefault="00A51E22" w:rsidP="005908C1">
                    <w:r>
                      <w:t>折旧及摊销</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A51E22" w:rsidRPr="00E4341D" w:rsidRDefault="008F04CF" w:rsidP="00A51E22">
                    <w:pPr>
                      <w:jc w:val="right"/>
                    </w:pPr>
                    <w:r w:rsidRPr="00974307">
                      <w:t>33,515,603</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A51E22" w:rsidRDefault="008F04CF" w:rsidP="005908C1">
                    <w:pPr>
                      <w:jc w:val="right"/>
                    </w:pPr>
                    <w:r w:rsidRPr="00974307">
                      <w:t>50,401,157</w:t>
                    </w:r>
                  </w:p>
                </w:tc>
              </w:tr>
            </w:sdtContent>
          </w:sdt>
          <w:sdt>
            <w:sdtPr>
              <w:rPr>
                <w:rFonts w:asciiTheme="minorHAnsi" w:eastAsiaTheme="minorEastAsia" w:hAnsiTheme="minorHAnsi" w:cstheme="minorBidi" w:hint="eastAsia"/>
                <w:kern w:val="2"/>
                <w:szCs w:val="22"/>
              </w:rPr>
              <w:alias w:val="管理费用明细"/>
              <w:tag w:val="_GBC_1330575ab4a44e46920401d3d7599402"/>
              <w:id w:val="-631090192"/>
              <w:lock w:val="sdtLocked"/>
            </w:sdtPr>
            <w:sdtContent>
              <w:tr w:rsidR="00A51E22" w:rsidTr="005908C1">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A51E22" w:rsidRDefault="00A51E22" w:rsidP="005908C1">
                    <w:r>
                      <w:t>租赁费及物业管理费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A51E22" w:rsidRPr="00E4341D" w:rsidRDefault="00A51E22" w:rsidP="00A51E22">
                    <w:pPr>
                      <w:jc w:val="right"/>
                    </w:pPr>
                    <w:r w:rsidRPr="00E4341D">
                      <w:t>104,419,891</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A51E22" w:rsidRDefault="00A51E22" w:rsidP="005908C1">
                    <w:pPr>
                      <w:jc w:val="right"/>
                    </w:pPr>
                    <w:r>
                      <w:t>83,935,141</w:t>
                    </w:r>
                  </w:p>
                </w:tc>
              </w:tr>
            </w:sdtContent>
          </w:sdt>
          <w:sdt>
            <w:sdtPr>
              <w:rPr>
                <w:rFonts w:asciiTheme="minorHAnsi" w:eastAsiaTheme="minorEastAsia" w:hAnsiTheme="minorHAnsi" w:cstheme="minorBidi" w:hint="eastAsia"/>
                <w:kern w:val="2"/>
                <w:szCs w:val="22"/>
              </w:rPr>
              <w:alias w:val="管理费用明细"/>
              <w:tag w:val="_GBC_1330575ab4a44e46920401d3d7599402"/>
              <w:id w:val="1757324659"/>
              <w:lock w:val="sdtLocked"/>
            </w:sdtPr>
            <w:sdtContent>
              <w:tr w:rsidR="00A51E22" w:rsidTr="005908C1">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A51E22" w:rsidRDefault="00A51E22" w:rsidP="005908C1">
                    <w:r>
                      <w:t>服务质量保证金</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A51E22" w:rsidRPr="00E4341D" w:rsidRDefault="00A51E22" w:rsidP="00A51E22">
                    <w:pPr>
                      <w:jc w:val="right"/>
                    </w:pPr>
                    <w:r w:rsidRPr="00E4341D">
                      <w:t>88,757,639</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A51E22" w:rsidRDefault="00A51E22" w:rsidP="005908C1">
                    <w:pPr>
                      <w:jc w:val="right"/>
                    </w:pPr>
                    <w:r>
                      <w:t>-</w:t>
                    </w:r>
                  </w:p>
                </w:tc>
              </w:tr>
            </w:sdtContent>
          </w:sdt>
          <w:sdt>
            <w:sdtPr>
              <w:rPr>
                <w:rFonts w:asciiTheme="minorHAnsi" w:eastAsiaTheme="minorEastAsia" w:hAnsiTheme="minorHAnsi" w:cstheme="minorBidi" w:hint="eastAsia"/>
                <w:kern w:val="2"/>
                <w:szCs w:val="22"/>
              </w:rPr>
              <w:alias w:val="管理费用明细"/>
              <w:tag w:val="_GBC_1330575ab4a44e46920401d3d7599402"/>
              <w:id w:val="-2101930810"/>
              <w:lock w:val="sdtLocked"/>
            </w:sdtPr>
            <w:sdtContent>
              <w:tr w:rsidR="00A51E22" w:rsidTr="005908C1">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A51E22" w:rsidRDefault="00A51E22" w:rsidP="005908C1">
                    <w:r>
                      <w:t>其他</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A51E22" w:rsidRDefault="00A51E22" w:rsidP="00A51E22">
                    <w:pPr>
                      <w:jc w:val="right"/>
                    </w:pPr>
                    <w:r w:rsidRPr="00E4341D">
                      <w:t>11,363,139</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A51E22" w:rsidRDefault="00A51E22" w:rsidP="005908C1">
                    <w:pPr>
                      <w:jc w:val="right"/>
                    </w:pPr>
                    <w:r>
                      <w:t>8,862,62</w:t>
                    </w:r>
                    <w:r w:rsidR="004C5C83">
                      <w:t>3</w:t>
                    </w:r>
                  </w:p>
                </w:tc>
              </w:tr>
            </w:sdtContent>
          </w:sdt>
          <w:tr w:rsidR="00A51E22" w:rsidTr="005908C1">
            <w:sdt>
              <w:sdtPr>
                <w:tag w:val="_PLD_a1574943c0c74f868555494c72b6afa6"/>
                <w:id w:val="854159187"/>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A51E22" w:rsidRDefault="00A51E22" w:rsidP="005908C1">
                    <w:pPr>
                      <w:jc w:val="center"/>
                    </w:pPr>
                    <w:r>
                      <w:rPr>
                        <w:rFonts w:hint="eastAsia"/>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tcPr>
              <w:p w:rsidR="00A51E22" w:rsidRDefault="008F04CF" w:rsidP="005908C1">
                <w:pPr>
                  <w:jc w:val="right"/>
                </w:pPr>
                <w:r w:rsidRPr="00974307">
                  <w:t>539,906,471</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A51E22" w:rsidRDefault="008F04CF" w:rsidP="00B637B2">
                <w:pPr>
                  <w:jc w:val="right"/>
                </w:pPr>
                <w:r w:rsidRPr="00974307">
                  <w:t>570,583,756</w:t>
                </w:r>
              </w:p>
            </w:tc>
          </w:tr>
          <w:bookmarkEnd w:id="201"/>
        </w:tbl>
        <w:p w:rsidR="00A51E22" w:rsidRDefault="00A51E22"/>
        <w:p w:rsidR="00ED2DC7" w:rsidRDefault="00ED2DC7">
          <w:pPr>
            <w:rPr>
              <w:szCs w:val="21"/>
            </w:rPr>
          </w:pPr>
          <w:r>
            <w:rPr>
              <w:rFonts w:hint="eastAsia"/>
              <w:szCs w:val="21"/>
            </w:rPr>
            <w:t>其他说明：</w:t>
          </w:r>
        </w:p>
        <w:sdt>
          <w:sdtPr>
            <w:rPr>
              <w:szCs w:val="21"/>
            </w:rPr>
            <w:alias w:val="管理费用的其他说明事项"/>
            <w:tag w:val="_GBC_2ddba7c397f842b2a457e4f7fe020aca"/>
            <w:id w:val="513341797"/>
            <w:lock w:val="sdtLocked"/>
            <w:placeholder>
              <w:docPart w:val="GBC22222222222222222222222222222"/>
            </w:placeholder>
          </w:sdtPr>
          <w:sdtContent>
            <w:p w:rsidR="00ED2DC7" w:rsidRDefault="00944836">
              <w:pPr>
                <w:rPr>
                  <w:szCs w:val="21"/>
                </w:rPr>
              </w:pPr>
              <w:r>
                <w:rPr>
                  <w:rFonts w:hint="eastAsia"/>
                  <w:szCs w:val="21"/>
                </w:rPr>
                <w:t>无。</w:t>
              </w:r>
            </w:p>
          </w:sdtContent>
        </w:sdt>
      </w:sdtContent>
    </w:sdt>
    <w:p w:rsidR="00ED2DC7" w:rsidRDefault="00ED2DC7">
      <w:pPr>
        <w:rPr>
          <w:szCs w:val="21"/>
        </w:rPr>
      </w:pPr>
    </w:p>
    <w:bookmarkStart w:id="202" w:name="_Hlk10538261" w:displacedByCustomXml="next"/>
    <w:sdt>
      <w:sdtPr>
        <w:rPr>
          <w:rFonts w:ascii="宋体" w:hAnsi="宋体" w:cs="宋体" w:hint="eastAsia"/>
          <w:b w:val="0"/>
          <w:bCs w:val="0"/>
          <w:kern w:val="0"/>
          <w:szCs w:val="21"/>
        </w:rPr>
        <w:alias w:val="模块:研发费用"/>
        <w:tag w:val="_SEC_5070ecc0a0324b189a4ec7d6e218c5d7"/>
        <w:id w:val="1574244383"/>
        <w:lock w:val="sdtLocked"/>
        <w:placeholder>
          <w:docPart w:val="GBC22222222222222222222222222222"/>
        </w:placeholder>
      </w:sdtPr>
      <w:sdtEndPr>
        <w:rPr>
          <w:rFonts w:hint="default"/>
        </w:rPr>
      </w:sdtEndPr>
      <w:sdtContent>
        <w:p w:rsidR="00ED2DC7" w:rsidRDefault="00ED2DC7" w:rsidP="00036BDC">
          <w:pPr>
            <w:pStyle w:val="affffffffffffffffff1"/>
            <w:numPr>
              <w:ilvl w:val="0"/>
              <w:numId w:val="49"/>
            </w:numPr>
            <w:tabs>
              <w:tab w:val="left" w:pos="504"/>
            </w:tabs>
            <w:rPr>
              <w:szCs w:val="21"/>
            </w:rPr>
          </w:pPr>
          <w:r>
            <w:rPr>
              <w:rFonts w:hint="eastAsia"/>
              <w:szCs w:val="21"/>
            </w:rPr>
            <w:t>研发费用</w:t>
          </w:r>
        </w:p>
        <w:sdt>
          <w:sdtPr>
            <w:rPr>
              <w:szCs w:val="21"/>
            </w:rPr>
            <w:alias w:val="是否适用：研发费用[双击切换]"/>
            <w:tag w:val="_GBC_48b4a6beb6f54c3ba7c01af3727337bb"/>
            <w:id w:val="1913961489"/>
            <w:lock w:val="sdtContentLocked"/>
            <w:placeholder>
              <w:docPart w:val="GBC22222222222222222222222222222"/>
            </w:placeholder>
          </w:sdtPr>
          <w:sdtContent>
            <w:p w:rsidR="00ED2DC7" w:rsidRDefault="00ED2DC7">
              <w:pPr>
                <w:rPr>
                  <w:szCs w:val="21"/>
                </w:rPr>
              </w:pPr>
              <w:r>
                <w:rPr>
                  <w:szCs w:val="21"/>
                </w:rPr>
                <w:fldChar w:fldCharType="begin"/>
              </w:r>
              <w:r w:rsidR="00BB3393">
                <w:rPr>
                  <w:szCs w:val="21"/>
                </w:rPr>
                <w:instrText xml:space="preserve"> MACROBUTTON  SnrToggleCheckbox √适用 </w:instrText>
              </w:r>
              <w:r>
                <w:rPr>
                  <w:szCs w:val="21"/>
                </w:rPr>
                <w:fldChar w:fldCharType="end"/>
              </w:r>
              <w:r>
                <w:rPr>
                  <w:szCs w:val="21"/>
                </w:rPr>
                <w:fldChar w:fldCharType="begin"/>
              </w:r>
              <w:r w:rsidR="00BB3393">
                <w:rPr>
                  <w:szCs w:val="21"/>
                </w:rPr>
                <w:instrText xml:space="preserve"> MACROBUTTON  SnrToggleCheckbox □不适用 </w:instrText>
              </w:r>
              <w:r>
                <w:rPr>
                  <w:szCs w:val="21"/>
                </w:rPr>
                <w:fldChar w:fldCharType="end"/>
              </w:r>
            </w:p>
          </w:sdtContent>
        </w:sdt>
        <w:p w:rsidR="00ED2DC7" w:rsidRDefault="00ED2DC7">
          <w:pPr>
            <w:pStyle w:val="afffffffffffffffffff3"/>
            <w:ind w:left="420" w:firstLineChars="0" w:firstLine="0"/>
            <w:jc w:val="right"/>
            <w:rPr>
              <w:szCs w:val="21"/>
            </w:rPr>
          </w:pPr>
          <w:r>
            <w:rPr>
              <w:rFonts w:hint="eastAsia"/>
              <w:szCs w:val="21"/>
            </w:rPr>
            <w:t>单位：</w:t>
          </w:r>
          <w:sdt>
            <w:sdtPr>
              <w:rPr>
                <w:rFonts w:hint="eastAsia"/>
                <w:szCs w:val="21"/>
              </w:rPr>
              <w:alias w:val="单位：研发费用"/>
              <w:tag w:val="_GBC_a0292321d82f46b8823ab163b1084fea"/>
              <w:id w:val="80289157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研发费用"/>
              <w:tag w:val="_GBC_a0b2b92cacc24641a2d69fc025b920ea"/>
              <w:id w:val="-4965744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szCs w:val="21"/>
                </w:rPr>
                <w:t>人民币</w:t>
              </w:r>
            </w:sdtContent>
          </w:sdt>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5"/>
            <w:gridCol w:w="2539"/>
            <w:gridCol w:w="2379"/>
          </w:tblGrid>
          <w:tr w:rsidR="007D3571" w:rsidTr="005908C1">
            <w:sdt>
              <w:sdtPr>
                <w:tag w:val="_PLD_878c2bf88dff43e8bf48fe187921cf85"/>
                <w:id w:val="1786390242"/>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7D3571" w:rsidRDefault="007D3571" w:rsidP="005908C1">
                    <w:pPr>
                      <w:jc w:val="center"/>
                      <w:rPr>
                        <w:szCs w:val="21"/>
                      </w:rPr>
                    </w:pPr>
                    <w:r>
                      <w:rPr>
                        <w:rFonts w:hint="eastAsia"/>
                        <w:szCs w:val="21"/>
                      </w:rPr>
                      <w:t>项目</w:t>
                    </w:r>
                  </w:p>
                </w:tc>
              </w:sdtContent>
            </w:sdt>
            <w:sdt>
              <w:sdtPr>
                <w:tag w:val="_PLD_043e1c3ae76a497c9be9c1eef3db33c6"/>
                <w:id w:val="-336771875"/>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7D3571" w:rsidRDefault="007D3571" w:rsidP="005908C1">
                    <w:pPr>
                      <w:jc w:val="center"/>
                      <w:rPr>
                        <w:szCs w:val="21"/>
                      </w:rPr>
                    </w:pPr>
                    <w:r>
                      <w:rPr>
                        <w:rFonts w:hint="eastAsia"/>
                        <w:szCs w:val="21"/>
                      </w:rPr>
                      <w:t>本期发生额</w:t>
                    </w:r>
                  </w:p>
                </w:tc>
              </w:sdtContent>
            </w:sdt>
            <w:sdt>
              <w:sdtPr>
                <w:tag w:val="_PLD_d0588c88282b4dae9e42d7ffd38d27c6"/>
                <w:id w:val="790012151"/>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7D3571" w:rsidRDefault="007D3571" w:rsidP="005908C1">
                    <w:pPr>
                      <w:jc w:val="center"/>
                      <w:rPr>
                        <w:szCs w:val="21"/>
                      </w:rPr>
                    </w:pPr>
                    <w:r>
                      <w:rPr>
                        <w:rFonts w:hint="eastAsia"/>
                        <w:szCs w:val="21"/>
                      </w:rPr>
                      <w:t>上期发生额</w:t>
                    </w:r>
                  </w:p>
                </w:tc>
              </w:sdtContent>
            </w:sdt>
          </w:tr>
          <w:sdt>
            <w:sdtPr>
              <w:rPr>
                <w:rFonts w:asciiTheme="minorHAnsi" w:eastAsiaTheme="minorEastAsia" w:hAnsiTheme="minorHAnsi" w:cstheme="minorBidi"/>
                <w:kern w:val="2"/>
                <w:szCs w:val="21"/>
              </w:rPr>
              <w:alias w:val="研发费用明细"/>
              <w:tag w:val="_TUP_78c47ce77ce942a2a4c5b824fc4daeaa"/>
              <w:id w:val="-1979528318"/>
              <w:lock w:val="sdtLocked"/>
            </w:sdtPr>
            <w:sdtContent>
              <w:tr w:rsidR="007D3571" w:rsidTr="005908C1">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7D3571" w:rsidRDefault="007D3571" w:rsidP="005908C1">
                    <w:pPr>
                      <w:rPr>
                        <w:szCs w:val="21"/>
                      </w:rPr>
                    </w:pPr>
                    <w:r>
                      <w:t>职工薪酬及福利</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7D3571" w:rsidRPr="007B3F39" w:rsidRDefault="007D3571" w:rsidP="004C5C83">
                    <w:pPr>
                      <w:jc w:val="right"/>
                    </w:pPr>
                    <w:r w:rsidRPr="007B3F39">
                      <w:t>640,811,327</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7D3571" w:rsidRDefault="007D3571" w:rsidP="005908C1">
                    <w:pPr>
                      <w:jc w:val="right"/>
                      <w:rPr>
                        <w:szCs w:val="21"/>
                      </w:rPr>
                    </w:pPr>
                    <w:r>
                      <w:t>499,246,369</w:t>
                    </w:r>
                  </w:p>
                </w:tc>
              </w:tr>
            </w:sdtContent>
          </w:sdt>
          <w:sdt>
            <w:sdtPr>
              <w:rPr>
                <w:rFonts w:asciiTheme="minorHAnsi" w:eastAsiaTheme="minorEastAsia" w:hAnsiTheme="minorHAnsi" w:cstheme="minorBidi"/>
                <w:kern w:val="2"/>
                <w:szCs w:val="21"/>
              </w:rPr>
              <w:alias w:val="研发费用明细"/>
              <w:tag w:val="_TUP_78c47ce77ce942a2a4c5b824fc4daeaa"/>
              <w:id w:val="-1583296065"/>
              <w:lock w:val="sdtLocked"/>
            </w:sdtPr>
            <w:sdtContent>
              <w:tr w:rsidR="007D3571" w:rsidTr="005908C1">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7D3571" w:rsidRDefault="007D3571" w:rsidP="005908C1">
                    <w:pPr>
                      <w:rPr>
                        <w:szCs w:val="21"/>
                      </w:rPr>
                    </w:pPr>
                    <w:r>
                      <w:t>业务宣传费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7D3571" w:rsidRPr="007B3F39" w:rsidRDefault="007D3571" w:rsidP="004C5C83">
                    <w:pPr>
                      <w:jc w:val="right"/>
                    </w:pPr>
                    <w:r w:rsidRPr="007B3F39">
                      <w:t>1,055,819</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7D3571" w:rsidRDefault="007D3571" w:rsidP="005908C1">
                    <w:pPr>
                      <w:jc w:val="right"/>
                      <w:rPr>
                        <w:szCs w:val="21"/>
                      </w:rPr>
                    </w:pPr>
                    <w:r>
                      <w:t>784,539</w:t>
                    </w:r>
                  </w:p>
                </w:tc>
              </w:tr>
            </w:sdtContent>
          </w:sdt>
          <w:sdt>
            <w:sdtPr>
              <w:rPr>
                <w:rFonts w:asciiTheme="minorHAnsi" w:eastAsiaTheme="minorEastAsia" w:hAnsiTheme="minorHAnsi" w:cstheme="minorBidi"/>
                <w:kern w:val="2"/>
                <w:szCs w:val="21"/>
              </w:rPr>
              <w:alias w:val="研发费用明细"/>
              <w:tag w:val="_TUP_78c47ce77ce942a2a4c5b824fc4daeaa"/>
              <w:id w:val="-52703759"/>
              <w:lock w:val="sdtLocked"/>
            </w:sdtPr>
            <w:sdtContent>
              <w:tr w:rsidR="007D3571" w:rsidTr="005908C1">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7D3571" w:rsidRDefault="007D3571" w:rsidP="005908C1">
                    <w:pPr>
                      <w:rPr>
                        <w:szCs w:val="21"/>
                      </w:rPr>
                    </w:pPr>
                    <w:r>
                      <w:t>业务招待费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7D3571" w:rsidRPr="007B3F39" w:rsidRDefault="007D3571" w:rsidP="004C5C83">
                    <w:pPr>
                      <w:jc w:val="right"/>
                    </w:pPr>
                    <w:r w:rsidRPr="007B3F39">
                      <w:t>951,852</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7D3571" w:rsidRDefault="007D3571" w:rsidP="005908C1">
                    <w:pPr>
                      <w:jc w:val="right"/>
                      <w:rPr>
                        <w:szCs w:val="21"/>
                      </w:rPr>
                    </w:pPr>
                    <w:r>
                      <w:t>1,042,269</w:t>
                    </w:r>
                  </w:p>
                </w:tc>
              </w:tr>
            </w:sdtContent>
          </w:sdt>
          <w:sdt>
            <w:sdtPr>
              <w:rPr>
                <w:rFonts w:asciiTheme="minorHAnsi" w:eastAsiaTheme="minorEastAsia" w:hAnsiTheme="minorHAnsi" w:cstheme="minorBidi"/>
                <w:kern w:val="2"/>
                <w:szCs w:val="21"/>
              </w:rPr>
              <w:alias w:val="研发费用明细"/>
              <w:tag w:val="_TUP_78c47ce77ce942a2a4c5b824fc4daeaa"/>
              <w:id w:val="-36812964"/>
              <w:lock w:val="sdtLocked"/>
            </w:sdtPr>
            <w:sdtContent>
              <w:tr w:rsidR="007D3571" w:rsidTr="005908C1">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7D3571" w:rsidRDefault="007D3571" w:rsidP="005908C1">
                    <w:pPr>
                      <w:rPr>
                        <w:szCs w:val="21"/>
                      </w:rPr>
                    </w:pPr>
                    <w:r>
                      <w:t>差旅费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7D3571" w:rsidRPr="007B3F39" w:rsidRDefault="007D3571" w:rsidP="004C5C83">
                    <w:pPr>
                      <w:jc w:val="right"/>
                    </w:pPr>
                    <w:r w:rsidRPr="007B3F39">
                      <w:t>13,963,682</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7D3571" w:rsidRDefault="007D3571" w:rsidP="005908C1">
                    <w:pPr>
                      <w:jc w:val="right"/>
                      <w:rPr>
                        <w:szCs w:val="21"/>
                      </w:rPr>
                    </w:pPr>
                    <w:r>
                      <w:t>13,427,621</w:t>
                    </w:r>
                  </w:p>
                </w:tc>
              </w:tr>
            </w:sdtContent>
          </w:sdt>
          <w:sdt>
            <w:sdtPr>
              <w:rPr>
                <w:rFonts w:asciiTheme="minorHAnsi" w:eastAsiaTheme="minorEastAsia" w:hAnsiTheme="minorHAnsi" w:cstheme="minorBidi"/>
                <w:kern w:val="2"/>
                <w:szCs w:val="21"/>
              </w:rPr>
              <w:alias w:val="研发费用明细"/>
              <w:tag w:val="_TUP_78c47ce77ce942a2a4c5b824fc4daeaa"/>
              <w:id w:val="-431740083"/>
              <w:lock w:val="sdtLocked"/>
            </w:sdtPr>
            <w:sdtContent>
              <w:tr w:rsidR="007D3571" w:rsidTr="005908C1">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7D3571" w:rsidRDefault="007D3571" w:rsidP="005908C1">
                    <w:pPr>
                      <w:rPr>
                        <w:szCs w:val="21"/>
                      </w:rPr>
                    </w:pPr>
                    <w:r>
                      <w:t>咨询服务费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7D3571" w:rsidRPr="007B3F39" w:rsidRDefault="007D3571" w:rsidP="004C5C83">
                    <w:pPr>
                      <w:jc w:val="right"/>
                    </w:pPr>
                    <w:r w:rsidRPr="007B3F39">
                      <w:t>5,551,857</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7D3571" w:rsidRDefault="007D3571" w:rsidP="005908C1">
                    <w:pPr>
                      <w:jc w:val="right"/>
                      <w:rPr>
                        <w:szCs w:val="21"/>
                      </w:rPr>
                    </w:pPr>
                    <w:r>
                      <w:t>16,200,801</w:t>
                    </w:r>
                  </w:p>
                </w:tc>
              </w:tr>
            </w:sdtContent>
          </w:sdt>
          <w:sdt>
            <w:sdtPr>
              <w:rPr>
                <w:rFonts w:asciiTheme="minorHAnsi" w:eastAsiaTheme="minorEastAsia" w:hAnsiTheme="minorHAnsi" w:cstheme="minorBidi"/>
                <w:kern w:val="2"/>
                <w:szCs w:val="21"/>
              </w:rPr>
              <w:alias w:val="研发费用明细"/>
              <w:tag w:val="_TUP_78c47ce77ce942a2a4c5b824fc4daeaa"/>
              <w:id w:val="2081087723"/>
              <w:lock w:val="sdtLocked"/>
            </w:sdtPr>
            <w:sdtContent>
              <w:tr w:rsidR="007D3571" w:rsidTr="005908C1">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7D3571" w:rsidRDefault="007D3571" w:rsidP="005908C1">
                    <w:pPr>
                      <w:rPr>
                        <w:szCs w:val="21"/>
                      </w:rPr>
                    </w:pPr>
                    <w:r>
                      <w:t>办公费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7D3571" w:rsidRPr="007B3F39" w:rsidRDefault="007D3571" w:rsidP="004C5C83">
                    <w:pPr>
                      <w:jc w:val="right"/>
                    </w:pPr>
                    <w:r w:rsidRPr="007B3F39">
                      <w:t>2,485,571</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7D3571" w:rsidRDefault="007D3571" w:rsidP="005908C1">
                    <w:pPr>
                      <w:jc w:val="right"/>
                      <w:rPr>
                        <w:szCs w:val="21"/>
                      </w:rPr>
                    </w:pPr>
                    <w:r>
                      <w:t>3,131,185</w:t>
                    </w:r>
                  </w:p>
                </w:tc>
              </w:tr>
            </w:sdtContent>
          </w:sdt>
          <w:sdt>
            <w:sdtPr>
              <w:rPr>
                <w:rFonts w:asciiTheme="minorHAnsi" w:eastAsiaTheme="minorEastAsia" w:hAnsiTheme="minorHAnsi" w:cstheme="minorBidi"/>
                <w:kern w:val="2"/>
                <w:szCs w:val="21"/>
              </w:rPr>
              <w:alias w:val="研发费用明细"/>
              <w:tag w:val="_TUP_78c47ce77ce942a2a4c5b824fc4daeaa"/>
              <w:id w:val="161050224"/>
              <w:lock w:val="sdtLocked"/>
            </w:sdtPr>
            <w:sdtContent>
              <w:tr w:rsidR="007D3571" w:rsidTr="005908C1">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7D3571" w:rsidRDefault="007D3571" w:rsidP="005908C1">
                    <w:pPr>
                      <w:rPr>
                        <w:szCs w:val="21"/>
                      </w:rPr>
                    </w:pPr>
                    <w:r>
                      <w:t>折旧及摊销</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7D3571" w:rsidRPr="007B3F39" w:rsidRDefault="008F04CF" w:rsidP="004C5C83">
                    <w:pPr>
                      <w:jc w:val="right"/>
                    </w:pPr>
                    <w:r w:rsidRPr="00974307">
                      <w:t>67,915,550</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7D3571" w:rsidRDefault="008F04CF" w:rsidP="005908C1">
                    <w:pPr>
                      <w:jc w:val="right"/>
                      <w:rPr>
                        <w:szCs w:val="21"/>
                      </w:rPr>
                    </w:pPr>
                    <w:r w:rsidRPr="00974307">
                      <w:t>46,667,059</w:t>
                    </w:r>
                  </w:p>
                </w:tc>
              </w:tr>
            </w:sdtContent>
          </w:sdt>
          <w:sdt>
            <w:sdtPr>
              <w:rPr>
                <w:rFonts w:asciiTheme="minorHAnsi" w:eastAsiaTheme="minorEastAsia" w:hAnsiTheme="minorHAnsi" w:cstheme="minorBidi"/>
                <w:kern w:val="2"/>
                <w:szCs w:val="21"/>
              </w:rPr>
              <w:alias w:val="研发费用明细"/>
              <w:tag w:val="_TUP_78c47ce77ce942a2a4c5b824fc4daeaa"/>
              <w:id w:val="421690952"/>
              <w:lock w:val="sdtLocked"/>
            </w:sdtPr>
            <w:sdtContent>
              <w:tr w:rsidR="007D3571" w:rsidTr="005908C1">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7D3571" w:rsidRDefault="007D3571" w:rsidP="005908C1">
                    <w:pPr>
                      <w:rPr>
                        <w:szCs w:val="21"/>
                      </w:rPr>
                    </w:pPr>
                    <w:r>
                      <w:t>租赁费及物业管理费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7D3571" w:rsidRPr="007B3F39" w:rsidRDefault="007D3571" w:rsidP="004C5C83">
                    <w:pPr>
                      <w:jc w:val="right"/>
                    </w:pPr>
                    <w:r w:rsidRPr="007B3F39">
                      <w:t>5,526,370</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7D3571" w:rsidRDefault="007D3571" w:rsidP="005908C1">
                    <w:pPr>
                      <w:jc w:val="right"/>
                      <w:rPr>
                        <w:szCs w:val="21"/>
                      </w:rPr>
                    </w:pPr>
                    <w:r>
                      <w:t>4,801,291</w:t>
                    </w:r>
                  </w:p>
                </w:tc>
              </w:tr>
            </w:sdtContent>
          </w:sdt>
          <w:sdt>
            <w:sdtPr>
              <w:rPr>
                <w:rFonts w:asciiTheme="minorHAnsi" w:eastAsiaTheme="minorEastAsia" w:hAnsiTheme="minorHAnsi" w:cstheme="minorBidi"/>
                <w:kern w:val="2"/>
                <w:szCs w:val="21"/>
              </w:rPr>
              <w:alias w:val="研发费用明细"/>
              <w:tag w:val="_TUP_78c47ce77ce942a2a4c5b824fc4daeaa"/>
              <w:id w:val="-255528329"/>
              <w:lock w:val="sdtLocked"/>
            </w:sdtPr>
            <w:sdtContent>
              <w:tr w:rsidR="007D3571" w:rsidTr="005908C1">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7D3571" w:rsidRDefault="007D3571" w:rsidP="005908C1">
                    <w:pPr>
                      <w:rPr>
                        <w:szCs w:val="21"/>
                      </w:rPr>
                    </w:pPr>
                    <w:r>
                      <w:t>其他</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7D3571" w:rsidRPr="007B3F39" w:rsidRDefault="007D3571" w:rsidP="004C5C83">
                    <w:pPr>
                      <w:jc w:val="right"/>
                    </w:pPr>
                    <w:r w:rsidRPr="007B3F39">
                      <w:t>1,430,395</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7D3571" w:rsidRDefault="007D3571" w:rsidP="005908C1">
                    <w:pPr>
                      <w:jc w:val="right"/>
                      <w:rPr>
                        <w:szCs w:val="21"/>
                      </w:rPr>
                    </w:pPr>
                    <w:r>
                      <w:t>3,892,57</w:t>
                    </w:r>
                    <w:r w:rsidR="000D5F61">
                      <w:t>7</w:t>
                    </w:r>
                  </w:p>
                </w:tc>
              </w:tr>
            </w:sdtContent>
          </w:sdt>
          <w:tr w:rsidR="007D3571" w:rsidTr="005908C1">
            <w:sdt>
              <w:sdtPr>
                <w:tag w:val="_PLD_5a23b545f4d04be78e814a8fcf71e521"/>
                <w:id w:val="569392382"/>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7D3571" w:rsidRDefault="007D3571" w:rsidP="005908C1">
                    <w:pPr>
                      <w:jc w:val="center"/>
                      <w:rPr>
                        <w:szCs w:val="21"/>
                      </w:rPr>
                    </w:pPr>
                    <w:r>
                      <w:rPr>
                        <w:rFonts w:hint="eastAsia"/>
                        <w:szCs w:val="21"/>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tcPr>
              <w:p w:rsidR="007D3571" w:rsidRDefault="008F04CF" w:rsidP="005908C1">
                <w:pPr>
                  <w:jc w:val="right"/>
                  <w:rPr>
                    <w:szCs w:val="21"/>
                  </w:rPr>
                </w:pPr>
                <w:r w:rsidRPr="00974307">
                  <w:rPr>
                    <w:szCs w:val="21"/>
                  </w:rPr>
                  <w:t>739,692,423</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7D3571" w:rsidRDefault="008F04CF" w:rsidP="00B637B2">
                <w:pPr>
                  <w:jc w:val="right"/>
                  <w:rPr>
                    <w:szCs w:val="21"/>
                  </w:rPr>
                </w:pPr>
                <w:r w:rsidRPr="00974307">
                  <w:rPr>
                    <w:szCs w:val="21"/>
                  </w:rPr>
                  <w:t>589,193,711</w:t>
                </w:r>
              </w:p>
            </w:tc>
          </w:tr>
        </w:tbl>
        <w:p w:rsidR="007D3571" w:rsidRDefault="007D3571"/>
        <w:p w:rsidR="00ED2DC7" w:rsidRDefault="00ED2DC7">
          <w:pPr>
            <w:rPr>
              <w:szCs w:val="21"/>
            </w:rPr>
          </w:pPr>
          <w:r>
            <w:rPr>
              <w:rFonts w:hint="eastAsia"/>
              <w:szCs w:val="21"/>
            </w:rPr>
            <w:t>其他说明：</w:t>
          </w:r>
        </w:p>
        <w:sdt>
          <w:sdtPr>
            <w:alias w:val="研发费用其他说明"/>
            <w:tag w:val="_GBC_f09ad1e9748e43059f8db34f9454426c"/>
            <w:id w:val="787316379"/>
            <w:lock w:val="sdtLocked"/>
            <w:placeholder>
              <w:docPart w:val="GBC22222222222222222222222222222"/>
            </w:placeholder>
          </w:sdtPr>
          <w:sdtContent>
            <w:p w:rsidR="00ED2DC7" w:rsidRDefault="00221B01">
              <w:r>
                <w:rPr>
                  <w:rFonts w:hint="eastAsia"/>
                </w:rPr>
                <w:t>无。</w:t>
              </w:r>
            </w:p>
          </w:sdtContent>
        </w:sdt>
        <w:p w:rsidR="00ED2DC7" w:rsidRDefault="000D0A99">
          <w:pPr>
            <w:rPr>
              <w:szCs w:val="21"/>
            </w:rPr>
          </w:pPr>
        </w:p>
      </w:sdtContent>
    </w:sdt>
    <w:bookmarkEnd w:id="202" w:displacedByCustomXml="prev"/>
    <w:sdt>
      <w:sdtPr>
        <w:rPr>
          <w:rFonts w:ascii="宋体" w:hAnsi="宋体" w:cs="宋体" w:hint="eastAsia"/>
          <w:b w:val="0"/>
          <w:bCs w:val="0"/>
          <w:kern w:val="0"/>
          <w:szCs w:val="21"/>
        </w:rPr>
        <w:alias w:val="模块:财务费用"/>
        <w:tag w:val="_GBC_aeeadad5456b4097a79668e5a1cadb17"/>
        <w:id w:val="-52622376"/>
        <w:lock w:val="sdtLocked"/>
        <w:placeholder>
          <w:docPart w:val="GBC22222222222222222222222222222"/>
        </w:placeholder>
      </w:sdtPr>
      <w:sdtContent>
        <w:p w:rsidR="00ED2DC7" w:rsidRDefault="00ED2DC7" w:rsidP="00036BDC">
          <w:pPr>
            <w:pStyle w:val="affffffffffffffffff1"/>
            <w:numPr>
              <w:ilvl w:val="0"/>
              <w:numId w:val="49"/>
            </w:numPr>
            <w:tabs>
              <w:tab w:val="left" w:pos="504"/>
            </w:tabs>
            <w:rPr>
              <w:szCs w:val="21"/>
            </w:rPr>
          </w:pPr>
          <w:r>
            <w:rPr>
              <w:rFonts w:hint="eastAsia"/>
              <w:szCs w:val="21"/>
            </w:rPr>
            <w:t>财务费用</w:t>
          </w:r>
        </w:p>
        <w:sdt>
          <w:sdtPr>
            <w:alias w:val="是否适用：财务费用[双击切换]"/>
            <w:tag w:val="_GBC_699d8bdb2f1f4504a0ea4ccbc8889cfa"/>
            <w:id w:val="-752350369"/>
            <w:lock w:val="sdtContentLocked"/>
            <w:placeholder>
              <w:docPart w:val="GBC22222222222222222222222222222"/>
            </w:placeholder>
          </w:sdtPr>
          <w:sdtContent>
            <w:p w:rsidR="00ED2DC7" w:rsidRDefault="00ED2DC7">
              <w:r>
                <w:fldChar w:fldCharType="begin"/>
              </w:r>
              <w:r w:rsidR="00BB3393">
                <w:instrText xml:space="preserve"> MACROBUTTON  SnrToggleCheckbox √适用 </w:instrText>
              </w:r>
              <w:r>
                <w:fldChar w:fldCharType="end"/>
              </w:r>
              <w:r>
                <w:fldChar w:fldCharType="begin"/>
              </w:r>
              <w:r w:rsidR="00BB3393">
                <w:instrText xml:space="preserve"> MACROBUTTON  SnrToggleCheckbox □不适用 </w:instrText>
              </w:r>
              <w:r>
                <w:fldChar w:fldCharType="end"/>
              </w:r>
            </w:p>
          </w:sdtContent>
        </w:sdt>
        <w:p w:rsidR="00ED2DC7" w:rsidRDefault="00ED2DC7">
          <w:pPr>
            <w:jc w:val="right"/>
          </w:pPr>
          <w:r>
            <w:rPr>
              <w:rFonts w:hint="eastAsia"/>
            </w:rPr>
            <w:t>单位：</w:t>
          </w:r>
          <w:sdt>
            <w:sdtPr>
              <w:rPr>
                <w:rFonts w:hint="eastAsia"/>
              </w:rPr>
              <w:alias w:val="单位：财务费用"/>
              <w:tag w:val="_GBC_eb9e02dce68144759561a3427fb3099a"/>
              <w:id w:val="197926096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hint="eastAsia"/>
                </w:rPr>
                <w:t>元</w:t>
              </w:r>
            </w:sdtContent>
          </w:sdt>
          <w:r>
            <w:rPr>
              <w:rFonts w:hint="eastAsia"/>
            </w:rPr>
            <w:t xml:space="preserve">  币种：</w:t>
          </w:r>
          <w:sdt>
            <w:sdtPr>
              <w:rPr>
                <w:rFonts w:hint="eastAsia"/>
              </w:rPr>
              <w:alias w:val="币种：财务费用"/>
              <w:tag w:val="_GBC_8e992a76854b4bd0a3f5cd49b31a4604"/>
              <w:id w:val="109521002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rPr>
                <w:t>人民币</w:t>
              </w:r>
            </w:sdtContent>
          </w:sdt>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5"/>
            <w:gridCol w:w="2539"/>
            <w:gridCol w:w="2379"/>
          </w:tblGrid>
          <w:tr w:rsidR="00942E6E" w:rsidTr="005908C1">
            <w:sdt>
              <w:sdtPr>
                <w:tag w:val="_PLD_c57c227174f044c4bfa2c0fda1e37156"/>
                <w:id w:val="121347540"/>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942E6E" w:rsidRDefault="00942E6E" w:rsidP="005908C1">
                    <w:pPr>
                      <w:jc w:val="center"/>
                    </w:pPr>
                    <w:r>
                      <w:rPr>
                        <w:rFonts w:hint="eastAsia"/>
                      </w:rPr>
                      <w:t>项目</w:t>
                    </w:r>
                  </w:p>
                </w:tc>
              </w:sdtContent>
            </w:sdt>
            <w:sdt>
              <w:sdtPr>
                <w:tag w:val="_PLD_d7b23aa0bcb6433894875c858270ab7f"/>
                <w:id w:val="836886276"/>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942E6E" w:rsidRDefault="00942E6E" w:rsidP="005908C1">
                    <w:pPr>
                      <w:jc w:val="center"/>
                    </w:pPr>
                    <w:r>
                      <w:rPr>
                        <w:rFonts w:hint="eastAsia"/>
                      </w:rPr>
                      <w:t>本期发生额</w:t>
                    </w:r>
                  </w:p>
                </w:tc>
              </w:sdtContent>
            </w:sdt>
            <w:sdt>
              <w:sdtPr>
                <w:tag w:val="_PLD_d79245f93e3d475b953b3e44bb1c6425"/>
                <w:id w:val="82572623"/>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942E6E" w:rsidRDefault="00942E6E" w:rsidP="005908C1">
                    <w:pPr>
                      <w:jc w:val="center"/>
                    </w:pPr>
                    <w:r>
                      <w:rPr>
                        <w:rFonts w:hint="eastAsia"/>
                      </w:rPr>
                      <w:t>上期发生额</w:t>
                    </w:r>
                  </w:p>
                </w:tc>
              </w:sdtContent>
            </w:sdt>
          </w:tr>
          <w:sdt>
            <w:sdtPr>
              <w:rPr>
                <w:rFonts w:asciiTheme="minorHAnsi" w:eastAsiaTheme="minorEastAsia" w:hAnsiTheme="minorHAnsi" w:cstheme="minorBidi" w:hint="eastAsia"/>
                <w:kern w:val="2"/>
                <w:szCs w:val="22"/>
              </w:rPr>
              <w:alias w:val="财务费用明细"/>
              <w:tag w:val="_GBC_6315cf92135646dfa5694359777c36b0"/>
              <w:id w:val="1085419389"/>
              <w:lock w:val="sdtLocked"/>
            </w:sdtPr>
            <w:sdtContent>
              <w:tr w:rsidR="00942E6E" w:rsidTr="005908C1">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942E6E" w:rsidRDefault="00942E6E" w:rsidP="005908C1">
                    <w:r>
                      <w:t>利息支出</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942E6E" w:rsidRPr="00494DC0" w:rsidRDefault="00942E6E" w:rsidP="008649CE">
                    <w:pPr>
                      <w:jc w:val="right"/>
                    </w:pPr>
                    <w:r w:rsidRPr="00494DC0">
                      <w:t>91,393,243</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942E6E" w:rsidRDefault="00942E6E" w:rsidP="005908C1">
                    <w:pPr>
                      <w:jc w:val="right"/>
                    </w:pPr>
                    <w:r>
                      <w:t>96,364,196</w:t>
                    </w:r>
                  </w:p>
                </w:tc>
              </w:tr>
            </w:sdtContent>
          </w:sdt>
          <w:sdt>
            <w:sdtPr>
              <w:rPr>
                <w:rFonts w:asciiTheme="minorHAnsi" w:eastAsiaTheme="minorEastAsia" w:hAnsiTheme="minorHAnsi" w:cstheme="minorBidi" w:hint="eastAsia"/>
                <w:kern w:val="2"/>
                <w:szCs w:val="22"/>
              </w:rPr>
              <w:alias w:val="财务费用明细"/>
              <w:tag w:val="_GBC_6315cf92135646dfa5694359777c36b0"/>
              <w:id w:val="777604364"/>
              <w:lock w:val="sdtLocked"/>
            </w:sdtPr>
            <w:sdtContent>
              <w:tr w:rsidR="00942E6E" w:rsidTr="005908C1">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942E6E" w:rsidRDefault="00942E6E" w:rsidP="005908C1">
                    <w:r>
                      <w:t>减：利息收入</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942E6E" w:rsidRPr="00494DC0" w:rsidRDefault="00036BDC" w:rsidP="008649CE">
                    <w:pPr>
                      <w:jc w:val="right"/>
                    </w:pPr>
                    <w:r>
                      <w:rPr>
                        <w:rFonts w:hint="eastAsia"/>
                      </w:rPr>
                      <w:t>-</w:t>
                    </w:r>
                    <w:r w:rsidR="00942E6E" w:rsidRPr="00494DC0">
                      <w:t>32,777,</w:t>
                    </w:r>
                    <w:r w:rsidR="000D5F61">
                      <w:t>877</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942E6E" w:rsidRDefault="00036BDC" w:rsidP="005908C1">
                    <w:pPr>
                      <w:jc w:val="right"/>
                    </w:pPr>
                    <w:r>
                      <w:rPr>
                        <w:rFonts w:hint="eastAsia"/>
                      </w:rPr>
                      <w:t>-</w:t>
                    </w:r>
                    <w:r w:rsidR="00942E6E">
                      <w:t>32,740,131</w:t>
                    </w:r>
                  </w:p>
                </w:tc>
              </w:tr>
            </w:sdtContent>
          </w:sdt>
          <w:sdt>
            <w:sdtPr>
              <w:rPr>
                <w:rFonts w:asciiTheme="minorHAnsi" w:eastAsiaTheme="minorEastAsia" w:hAnsiTheme="minorHAnsi" w:cstheme="minorBidi" w:hint="eastAsia"/>
                <w:kern w:val="2"/>
                <w:szCs w:val="22"/>
              </w:rPr>
              <w:alias w:val="财务费用明细"/>
              <w:tag w:val="_GBC_6315cf92135646dfa5694359777c36b0"/>
              <w:id w:val="624277437"/>
              <w:lock w:val="sdtLocked"/>
            </w:sdtPr>
            <w:sdtContent>
              <w:tr w:rsidR="00942E6E" w:rsidTr="005908C1">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942E6E" w:rsidRDefault="00942E6E" w:rsidP="005908C1">
                    <w:r>
                      <w:t>减：利息资本化金额</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942E6E" w:rsidRPr="00494DC0" w:rsidRDefault="00036BDC" w:rsidP="008649CE">
                    <w:pPr>
                      <w:jc w:val="right"/>
                    </w:pPr>
                    <w:r>
                      <w:rPr>
                        <w:rFonts w:hint="eastAsia"/>
                      </w:rPr>
                      <w:t>-</w:t>
                    </w:r>
                    <w:r w:rsidR="00942E6E" w:rsidRPr="00494DC0">
                      <w:t>4,433,333</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942E6E" w:rsidRDefault="00036BDC" w:rsidP="005908C1">
                    <w:pPr>
                      <w:jc w:val="right"/>
                    </w:pPr>
                    <w:r>
                      <w:rPr>
                        <w:rFonts w:hint="eastAsia"/>
                      </w:rPr>
                      <w:t>-</w:t>
                    </w:r>
                    <w:r w:rsidR="00942E6E">
                      <w:t>5,874,166</w:t>
                    </w:r>
                  </w:p>
                </w:tc>
              </w:tr>
            </w:sdtContent>
          </w:sdt>
          <w:sdt>
            <w:sdtPr>
              <w:rPr>
                <w:rFonts w:asciiTheme="minorHAnsi" w:eastAsiaTheme="minorEastAsia" w:hAnsiTheme="minorHAnsi" w:cstheme="minorBidi" w:hint="eastAsia"/>
                <w:kern w:val="2"/>
                <w:szCs w:val="22"/>
              </w:rPr>
              <w:alias w:val="财务费用明细"/>
              <w:tag w:val="_GBC_6315cf92135646dfa5694359777c36b0"/>
              <w:id w:val="933090500"/>
              <w:lock w:val="sdtLocked"/>
            </w:sdtPr>
            <w:sdtContent>
              <w:tr w:rsidR="00942E6E" w:rsidTr="005908C1">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942E6E" w:rsidRDefault="00942E6E" w:rsidP="005908C1">
                    <w:r>
                      <w:t>汇兑损失</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942E6E" w:rsidRPr="00494DC0" w:rsidRDefault="00942E6E" w:rsidP="008649CE">
                    <w:pPr>
                      <w:jc w:val="right"/>
                    </w:pPr>
                    <w:r w:rsidRPr="00494DC0">
                      <w:t>-2,334,580</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942E6E" w:rsidRDefault="00942E6E" w:rsidP="005908C1">
                    <w:pPr>
                      <w:jc w:val="right"/>
                    </w:pPr>
                    <w:r>
                      <w:t>-1,079,243</w:t>
                    </w:r>
                  </w:p>
                </w:tc>
              </w:tr>
            </w:sdtContent>
          </w:sdt>
          <w:sdt>
            <w:sdtPr>
              <w:rPr>
                <w:rFonts w:asciiTheme="minorHAnsi" w:eastAsiaTheme="minorEastAsia" w:hAnsiTheme="minorHAnsi" w:cstheme="minorBidi" w:hint="eastAsia"/>
                <w:kern w:val="2"/>
                <w:szCs w:val="22"/>
              </w:rPr>
              <w:alias w:val="财务费用明细"/>
              <w:tag w:val="_GBC_6315cf92135646dfa5694359777c36b0"/>
              <w:id w:val="-547992450"/>
              <w:lock w:val="sdtLocked"/>
            </w:sdtPr>
            <w:sdtContent>
              <w:tr w:rsidR="00942E6E" w:rsidTr="005908C1">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942E6E" w:rsidRDefault="00942E6E" w:rsidP="005908C1">
                    <w:r>
                      <w:t>其他</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942E6E" w:rsidRDefault="00942E6E" w:rsidP="008649CE">
                    <w:pPr>
                      <w:jc w:val="right"/>
                    </w:pPr>
                    <w:r w:rsidRPr="00494DC0">
                      <w:t>5,136,</w:t>
                    </w:r>
                    <w:r w:rsidR="000D5F61">
                      <w:t>611</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942E6E" w:rsidRDefault="00942E6E" w:rsidP="005908C1">
                    <w:pPr>
                      <w:jc w:val="right"/>
                    </w:pPr>
                    <w:r>
                      <w:t>2,407,371</w:t>
                    </w:r>
                  </w:p>
                </w:tc>
              </w:tr>
            </w:sdtContent>
          </w:sdt>
          <w:tr w:rsidR="00942E6E" w:rsidTr="005908C1">
            <w:sdt>
              <w:sdtPr>
                <w:tag w:val="_PLD_27965316bcaf4972b01a6dd60323d7f4"/>
                <w:id w:val="-848945928"/>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942E6E" w:rsidRDefault="00942E6E" w:rsidP="005908C1">
                    <w:pPr>
                      <w:jc w:val="center"/>
                    </w:pPr>
                    <w:r>
                      <w:rPr>
                        <w:rFonts w:hint="eastAsia"/>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tcPr>
              <w:p w:rsidR="00942E6E" w:rsidRDefault="00942E6E" w:rsidP="005908C1">
                <w:pPr>
                  <w:jc w:val="right"/>
                </w:pPr>
                <w:r w:rsidRPr="00942E6E">
                  <w:t>56,984,064</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942E6E" w:rsidRDefault="00942E6E" w:rsidP="004C5C83">
                <w:pPr>
                  <w:jc w:val="right"/>
                </w:pPr>
                <w:r w:rsidRPr="00942E6E">
                  <w:t>59,078,027</w:t>
                </w:r>
              </w:p>
            </w:tc>
          </w:tr>
        </w:tbl>
        <w:p w:rsidR="00942E6E" w:rsidRDefault="00942E6E"/>
        <w:p w:rsidR="00ED2DC7" w:rsidRDefault="00ED2DC7">
          <w:pPr>
            <w:rPr>
              <w:szCs w:val="21"/>
            </w:rPr>
          </w:pPr>
          <w:r>
            <w:rPr>
              <w:rFonts w:hint="eastAsia"/>
              <w:szCs w:val="21"/>
            </w:rPr>
            <w:t>其他说明：</w:t>
          </w:r>
        </w:p>
        <w:sdt>
          <w:sdtPr>
            <w:rPr>
              <w:szCs w:val="21"/>
            </w:rPr>
            <w:alias w:val="财务费用的其他说明事项"/>
            <w:tag w:val="_GBC_5bd15645edcc4a51b94ddca48ee9be98"/>
            <w:id w:val="-1675103499"/>
            <w:lock w:val="sdtLocked"/>
            <w:placeholder>
              <w:docPart w:val="GBC22222222222222222222222222222"/>
            </w:placeholder>
          </w:sdtPr>
          <w:sdtContent>
            <w:p w:rsidR="00ED2DC7" w:rsidRDefault="00221B01">
              <w:pPr>
                <w:rPr>
                  <w:szCs w:val="21"/>
                </w:rPr>
              </w:pPr>
              <w:r w:rsidRPr="00221B01">
                <w:rPr>
                  <w:rFonts w:hint="eastAsia"/>
                  <w:szCs w:val="21"/>
                </w:rPr>
                <w:t>借款费用资本化金额已计入在建工程。参见附注</w:t>
              </w:r>
              <w:r w:rsidR="00150269">
                <w:rPr>
                  <w:rFonts w:hint="eastAsia"/>
                  <w:szCs w:val="21"/>
                </w:rPr>
                <w:t>七</w:t>
              </w:r>
              <w:r w:rsidRPr="00221B01">
                <w:rPr>
                  <w:rFonts w:hint="eastAsia"/>
                  <w:szCs w:val="21"/>
                </w:rPr>
                <w:t>、</w:t>
              </w:r>
              <w:r w:rsidR="00150269">
                <w:rPr>
                  <w:szCs w:val="21"/>
                </w:rPr>
                <w:t>22</w:t>
              </w:r>
              <w:r w:rsidRPr="00221B01">
                <w:rPr>
                  <w:szCs w:val="21"/>
                </w:rPr>
                <w:t>。</w:t>
              </w:r>
            </w:p>
          </w:sdtContent>
        </w:sdt>
      </w:sdtContent>
    </w:sdt>
    <w:p w:rsidR="00ED2DC7" w:rsidRDefault="00ED2DC7">
      <w:pPr>
        <w:rPr>
          <w:szCs w:val="21"/>
        </w:rPr>
      </w:pPr>
    </w:p>
    <w:sdt>
      <w:sdtPr>
        <w:rPr>
          <w:rFonts w:ascii="宋体" w:hAnsi="宋体" w:cs="宋体" w:hint="eastAsia"/>
          <w:b w:val="0"/>
          <w:bCs w:val="0"/>
          <w:kern w:val="0"/>
          <w:szCs w:val="24"/>
        </w:rPr>
        <w:alias w:val="模块:其他收益"/>
        <w:tag w:val="_SEC_b7dd1353107541ffa3a1d66fbb85a037"/>
        <w:id w:val="890001882"/>
        <w:lock w:val="sdtLocked"/>
        <w:placeholder>
          <w:docPart w:val="GBC22222222222222222222222222222"/>
        </w:placeholder>
      </w:sdtPr>
      <w:sdtEndPr>
        <w:rPr>
          <w:rFonts w:hint="default"/>
        </w:rPr>
      </w:sdtEndPr>
      <w:sdtContent>
        <w:p w:rsidR="00ED2DC7" w:rsidRDefault="00ED2DC7" w:rsidP="00036BDC">
          <w:pPr>
            <w:pStyle w:val="affffffffffffffffff1"/>
            <w:numPr>
              <w:ilvl w:val="0"/>
              <w:numId w:val="49"/>
            </w:numPr>
            <w:tabs>
              <w:tab w:val="left" w:pos="504"/>
            </w:tabs>
          </w:pPr>
          <w:r>
            <w:rPr>
              <w:rFonts w:hint="eastAsia"/>
            </w:rPr>
            <w:t>其他收益</w:t>
          </w:r>
        </w:p>
        <w:sdt>
          <w:sdtPr>
            <w:alias w:val="是否适用：财务报表其他收益[双击切换]"/>
            <w:tag w:val="_GBC_86fde94b0d4e4b1f997adc6f063babf7"/>
            <w:id w:val="-1625840287"/>
            <w:lock w:val="sdtContentLocked"/>
            <w:placeholder>
              <w:docPart w:val="GBC22222222222222222222222222222"/>
            </w:placeholder>
          </w:sdtPr>
          <w:sdtContent>
            <w:p w:rsidR="00ED2DC7" w:rsidRDefault="00ED2DC7">
              <w:r>
                <w:fldChar w:fldCharType="begin"/>
              </w:r>
              <w:r w:rsidR="00BB3393">
                <w:instrText xml:space="preserve"> MACROBUTTON  SnrToggleCheckbox √适用 </w:instrText>
              </w:r>
              <w:r>
                <w:fldChar w:fldCharType="end"/>
              </w:r>
              <w:r>
                <w:fldChar w:fldCharType="begin"/>
              </w:r>
              <w:r w:rsidR="00BB3393">
                <w:instrText xml:space="preserve"> MACROBUTTON  SnrToggleCheckbox □不适用 </w:instrText>
              </w:r>
              <w:r>
                <w:fldChar w:fldCharType="end"/>
              </w:r>
            </w:p>
          </w:sdtContent>
        </w:sdt>
        <w:p w:rsidR="00ED2DC7" w:rsidRDefault="00ED2DC7">
          <w:pPr>
            <w:jc w:val="right"/>
            <w:rPr>
              <w:rFonts w:cstheme="minorBidi"/>
              <w:bCs/>
              <w:szCs w:val="22"/>
            </w:rPr>
          </w:pPr>
          <w:r>
            <w:rPr>
              <w:rFonts w:cstheme="minorBidi"/>
              <w:bCs/>
              <w:szCs w:val="22"/>
            </w:rPr>
            <w:t>单位：</w:t>
          </w:r>
          <w:sdt>
            <w:sdtPr>
              <w:rPr>
                <w:rFonts w:cstheme="minorBidi"/>
                <w:bCs/>
                <w:szCs w:val="22"/>
              </w:rPr>
              <w:alias w:val="单位：财务报表其他收益明细"/>
              <w:tag w:val="_GBC_12755937dc3b48a489abda6cc5cda8d6"/>
              <w:id w:val="-59024405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8F04CF">
                <w:rPr>
                  <w:rFonts w:cstheme="minorBidi"/>
                  <w:bCs/>
                  <w:szCs w:val="22"/>
                </w:rPr>
                <w:t>元</w:t>
              </w:r>
            </w:sdtContent>
          </w:sdt>
          <w:r>
            <w:rPr>
              <w:rFonts w:cstheme="minorBidi"/>
              <w:bCs/>
              <w:szCs w:val="22"/>
            </w:rPr>
            <w:t xml:space="preserve">  币种：</w:t>
          </w:r>
          <w:sdt>
            <w:sdtPr>
              <w:rPr>
                <w:rFonts w:cstheme="minorBidi"/>
                <w:bCs/>
                <w:szCs w:val="22"/>
              </w:rPr>
              <w:alias w:val="币种：财务报表其他收益明细"/>
              <w:tag w:val="_GBC_3daaaf66c73e4201b067378f3d17e13f"/>
              <w:id w:val="-18044581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cstheme="minorBidi"/>
                  <w:bCs/>
                  <w:szCs w:val="22"/>
                </w:rPr>
                <w:t>人民币</w:t>
              </w:r>
            </w:sdtContent>
          </w:sdt>
        </w:p>
        <w:tbl>
          <w:tblPr>
            <w:tblStyle w:val="g39"/>
            <w:tblW w:w="0" w:type="auto"/>
            <w:tblLook w:val="04A0" w:firstRow="1" w:lastRow="0" w:firstColumn="1" w:lastColumn="0" w:noHBand="0" w:noVBand="1"/>
          </w:tblPr>
          <w:tblGrid>
            <w:gridCol w:w="3971"/>
            <w:gridCol w:w="2490"/>
            <w:gridCol w:w="2362"/>
          </w:tblGrid>
          <w:tr w:rsidR="00ED2DC7" w:rsidTr="003F6BA0">
            <w:tc>
              <w:tcPr>
                <w:tcW w:w="3971" w:type="dxa"/>
              </w:tcPr>
              <w:sdt>
                <w:sdtPr>
                  <w:rPr>
                    <w:rFonts w:hint="eastAsia"/>
                  </w:rPr>
                  <w:tag w:val="_PLD_92b33ced889140b7b84894c5f486f4e6"/>
                  <w:id w:val="885220244"/>
                  <w:lock w:val="sdtLocked"/>
                </w:sdtPr>
                <w:sdtContent>
                  <w:p w:rsidR="00ED2DC7" w:rsidRDefault="00ED2DC7">
                    <w:pPr>
                      <w:jc w:val="center"/>
                    </w:pPr>
                    <w:r>
                      <w:rPr>
                        <w:rFonts w:hint="eastAsia"/>
                      </w:rPr>
                      <w:t>项目</w:t>
                    </w:r>
                  </w:p>
                </w:sdtContent>
              </w:sdt>
            </w:tc>
            <w:tc>
              <w:tcPr>
                <w:tcW w:w="2490" w:type="dxa"/>
              </w:tcPr>
              <w:sdt>
                <w:sdtPr>
                  <w:rPr>
                    <w:rFonts w:hint="eastAsia"/>
                  </w:rPr>
                  <w:tag w:val="_PLD_73b3023fbaed423bbb8ca1ec42a2eaf9"/>
                  <w:id w:val="-2017996343"/>
                  <w:lock w:val="sdtLocked"/>
                </w:sdtPr>
                <w:sdtContent>
                  <w:p w:rsidR="00ED2DC7" w:rsidRDefault="00ED2DC7">
                    <w:pPr>
                      <w:jc w:val="center"/>
                    </w:pPr>
                    <w:r>
                      <w:rPr>
                        <w:rFonts w:hint="eastAsia"/>
                      </w:rPr>
                      <w:t>本期发生额</w:t>
                    </w:r>
                  </w:p>
                </w:sdtContent>
              </w:sdt>
            </w:tc>
            <w:tc>
              <w:tcPr>
                <w:tcW w:w="2362" w:type="dxa"/>
              </w:tcPr>
              <w:sdt>
                <w:sdtPr>
                  <w:rPr>
                    <w:rFonts w:hint="eastAsia"/>
                  </w:rPr>
                  <w:tag w:val="_PLD_9f39351a333c497da22a0955aff07b4c"/>
                  <w:id w:val="2039006320"/>
                  <w:lock w:val="sdtLocked"/>
                </w:sdtPr>
                <w:sdtContent>
                  <w:p w:rsidR="00ED2DC7" w:rsidRDefault="00ED2DC7">
                    <w:pPr>
                      <w:jc w:val="center"/>
                    </w:pPr>
                    <w:r>
                      <w:rPr>
                        <w:rFonts w:hint="eastAsia"/>
                      </w:rPr>
                      <w:t>上期发生额</w:t>
                    </w:r>
                  </w:p>
                </w:sdtContent>
              </w:sdt>
            </w:tc>
          </w:tr>
          <w:sdt>
            <w:sdtPr>
              <w:alias w:val="财务报表其他收益明细"/>
              <w:tag w:val="_TUP_6fbc2b9298bf4c818dfcc7c62d7fcd6c"/>
              <w:id w:val="1473705556"/>
              <w:lock w:val="sdtLocked"/>
              <w:placeholder>
                <w:docPart w:val="GBC11111111111111111111111111111"/>
              </w:placeholder>
            </w:sdtPr>
            <w:sdtContent>
              <w:tr w:rsidR="00ED2DC7" w:rsidTr="003F6BA0">
                <w:tc>
                  <w:tcPr>
                    <w:tcW w:w="3971" w:type="dxa"/>
                  </w:tcPr>
                  <w:p w:rsidR="00ED2DC7" w:rsidRDefault="003F6BA0">
                    <w:r w:rsidRPr="003F6BA0">
                      <w:rPr>
                        <w:rFonts w:hint="eastAsia"/>
                      </w:rPr>
                      <w:t>与日常活动相关的政府补助</w:t>
                    </w:r>
                  </w:p>
                </w:tc>
                <w:tc>
                  <w:tcPr>
                    <w:tcW w:w="2490" w:type="dxa"/>
                  </w:tcPr>
                  <w:p w:rsidR="00ED2DC7" w:rsidRDefault="003F6BA0">
                    <w:pPr>
                      <w:jc w:val="right"/>
                    </w:pPr>
                    <w:r w:rsidRPr="003F6BA0">
                      <w:t>215,774,740</w:t>
                    </w:r>
                  </w:p>
                </w:tc>
                <w:tc>
                  <w:tcPr>
                    <w:tcW w:w="2362" w:type="dxa"/>
                  </w:tcPr>
                  <w:p w:rsidR="00ED2DC7" w:rsidRDefault="003F6BA0" w:rsidP="00B637B2">
                    <w:pPr>
                      <w:jc w:val="right"/>
                    </w:pPr>
                    <w:r w:rsidRPr="003F6BA0">
                      <w:t>192,610,998</w:t>
                    </w:r>
                  </w:p>
                </w:tc>
              </w:tr>
            </w:sdtContent>
          </w:sdt>
          <w:tr w:rsidR="00ED2DC7" w:rsidTr="003F6BA0">
            <w:tc>
              <w:tcPr>
                <w:tcW w:w="3971" w:type="dxa"/>
              </w:tcPr>
              <w:sdt>
                <w:sdtPr>
                  <w:rPr>
                    <w:rFonts w:hint="eastAsia"/>
                  </w:rPr>
                  <w:tag w:val="_PLD_895bf64d897b4d94b2d45a7ce9849ec7"/>
                  <w:id w:val="1364704945"/>
                  <w:lock w:val="sdtLocked"/>
                </w:sdtPr>
                <w:sdtContent>
                  <w:p w:rsidR="00ED2DC7" w:rsidRDefault="00ED2DC7">
                    <w:pPr>
                      <w:jc w:val="center"/>
                    </w:pPr>
                    <w:r>
                      <w:rPr>
                        <w:rFonts w:hint="eastAsia"/>
                      </w:rPr>
                      <w:t>合计</w:t>
                    </w:r>
                  </w:p>
                </w:sdtContent>
              </w:sdt>
            </w:tc>
            <w:tc>
              <w:tcPr>
                <w:tcW w:w="2490" w:type="dxa"/>
              </w:tcPr>
              <w:p w:rsidR="00ED2DC7" w:rsidRDefault="003F6BA0">
                <w:pPr>
                  <w:jc w:val="right"/>
                </w:pPr>
                <w:r w:rsidRPr="003F6BA0">
                  <w:t>215,774,740</w:t>
                </w:r>
              </w:p>
            </w:tc>
            <w:tc>
              <w:tcPr>
                <w:tcW w:w="2362" w:type="dxa"/>
              </w:tcPr>
              <w:p w:rsidR="00ED2DC7" w:rsidRDefault="003F6BA0" w:rsidP="00B637B2">
                <w:pPr>
                  <w:jc w:val="right"/>
                </w:pPr>
                <w:r w:rsidRPr="003F6BA0">
                  <w:t>192,610,998</w:t>
                </w:r>
              </w:p>
            </w:tc>
          </w:tr>
        </w:tbl>
        <w:p w:rsidR="00ED2DC7" w:rsidRDefault="00ED2DC7">
          <w:r>
            <w:rPr>
              <w:rFonts w:hint="eastAsia"/>
            </w:rPr>
            <w:t>其他</w:t>
          </w:r>
          <w:r>
            <w:t>说明：</w:t>
          </w:r>
        </w:p>
        <w:sdt>
          <w:sdtPr>
            <w:alias w:val="财务报表其他收益其他说明"/>
            <w:tag w:val="_GBC_9489a93c45754a9ea78d3a872093a735"/>
            <w:id w:val="-309098393"/>
            <w:lock w:val="sdtLocked"/>
            <w:placeholder>
              <w:docPart w:val="GBC22222222222222222222222222222"/>
            </w:placeholder>
          </w:sdtPr>
          <w:sdtContent>
            <w:p w:rsidR="003F6BA0" w:rsidRPr="003F6BA0" w:rsidRDefault="003F6BA0" w:rsidP="003F6BA0">
              <w:pPr>
                <w:tabs>
                  <w:tab w:val="left" w:pos="2520"/>
                  <w:tab w:val="decimal" w:pos="5250"/>
                  <w:tab w:val="decimal" w:pos="6510"/>
                  <w:tab w:val="decimal" w:pos="7035"/>
                  <w:tab w:val="decimal" w:pos="8295"/>
                </w:tabs>
                <w:overflowPunct w:val="0"/>
                <w:autoSpaceDE w:val="0"/>
                <w:autoSpaceDN w:val="0"/>
                <w:adjustRightInd w:val="0"/>
                <w:snapToGrid w:val="0"/>
                <w:ind w:left="720" w:hanging="720"/>
                <w:jc w:val="both"/>
                <w:rPr>
                  <w:rFonts w:cs="Arial"/>
                  <w:snapToGrid w:val="0"/>
                  <w:sz w:val="20"/>
                  <w:szCs w:val="20"/>
                </w:rPr>
              </w:pPr>
              <w:r w:rsidRPr="003F6BA0">
                <w:rPr>
                  <w:rFonts w:cs="Arial" w:hint="eastAsia"/>
                  <w:snapToGrid w:val="0"/>
                  <w:sz w:val="20"/>
                  <w:szCs w:val="20"/>
                </w:rPr>
                <w:t>与日常活动相关的政府补助如下：</w:t>
              </w:r>
            </w:p>
            <w:p w:rsidR="003F6BA0" w:rsidRPr="003F6BA0" w:rsidRDefault="003F6BA0" w:rsidP="003F6BA0">
              <w:pPr>
                <w:tabs>
                  <w:tab w:val="left" w:pos="2520"/>
                  <w:tab w:val="decimal" w:pos="5250"/>
                  <w:tab w:val="decimal" w:pos="6510"/>
                  <w:tab w:val="decimal" w:pos="7035"/>
                  <w:tab w:val="decimal" w:pos="8295"/>
                </w:tabs>
                <w:overflowPunct w:val="0"/>
                <w:autoSpaceDE w:val="0"/>
                <w:autoSpaceDN w:val="0"/>
                <w:adjustRightInd w:val="0"/>
                <w:snapToGrid w:val="0"/>
                <w:ind w:left="720" w:hanging="720"/>
                <w:jc w:val="both"/>
                <w:rPr>
                  <w:rFonts w:cs="Arial"/>
                  <w:snapToGrid w:val="0"/>
                  <w:sz w:val="20"/>
                  <w:szCs w:val="20"/>
                </w:rPr>
              </w:pPr>
            </w:p>
            <w:tbl>
              <w:tblPr>
                <w:tblStyle w:val="g35"/>
                <w:tblW w:w="8400" w:type="dxa"/>
                <w:tblLayout w:type="fixed"/>
                <w:tblCellMar>
                  <w:left w:w="0" w:type="dxa"/>
                  <w:right w:w="0" w:type="dxa"/>
                </w:tblCellMar>
                <w:tblLook w:val="04A0" w:firstRow="1" w:lastRow="0" w:firstColumn="1" w:lastColumn="0" w:noHBand="0" w:noVBand="1"/>
                <w:tblCaption w:val="营业外收入"/>
              </w:tblPr>
              <w:tblGrid>
                <w:gridCol w:w="2948"/>
                <w:gridCol w:w="27"/>
                <w:gridCol w:w="1451"/>
                <w:gridCol w:w="93"/>
                <w:gridCol w:w="125"/>
                <w:gridCol w:w="1711"/>
                <w:gridCol w:w="93"/>
                <w:gridCol w:w="165"/>
                <w:gridCol w:w="1711"/>
                <w:gridCol w:w="76"/>
              </w:tblGrid>
              <w:tr w:rsidR="003F6BA0" w:rsidRPr="003F6BA0" w:rsidTr="003F6BA0">
                <w:tc>
                  <w:tcPr>
                    <w:tcW w:w="2950" w:type="dxa"/>
                    <w:noWrap/>
                    <w:vAlign w:val="center"/>
                    <w:hideMark/>
                  </w:tcPr>
                  <w:p w:rsidR="003F6BA0" w:rsidRPr="003F6BA0" w:rsidRDefault="003F6BA0">
                    <w:pPr>
                      <w:kinsoku w:val="0"/>
                      <w:overflowPunct w:val="0"/>
                      <w:autoSpaceDE w:val="0"/>
                      <w:autoSpaceDN w:val="0"/>
                      <w:adjustRightInd w:val="0"/>
                      <w:snapToGrid w:val="0"/>
                      <w:rPr>
                        <w:rFonts w:cs="Arial"/>
                        <w:sz w:val="20"/>
                        <w:szCs w:val="20"/>
                      </w:rPr>
                    </w:pPr>
                    <w:r w:rsidRPr="003F6BA0">
                      <w:rPr>
                        <w:rFonts w:cs="Arial"/>
                        <w:color w:val="000000"/>
                        <w:sz w:val="20"/>
                        <w:szCs w:val="20"/>
                      </w:rPr>
                      <w:t xml:space="preserve"> </w:t>
                    </w:r>
                  </w:p>
                </w:tc>
                <w:tc>
                  <w:tcPr>
                    <w:tcW w:w="27" w:type="dxa"/>
                    <w:noWrap/>
                    <w:vAlign w:val="center"/>
                    <w:hideMark/>
                  </w:tcPr>
                  <w:p w:rsidR="003F6BA0" w:rsidRPr="003F6BA0" w:rsidRDefault="003F6BA0">
                    <w:pPr>
                      <w:kinsoku w:val="0"/>
                      <w:overflowPunct w:val="0"/>
                      <w:autoSpaceDE w:val="0"/>
                      <w:autoSpaceDN w:val="0"/>
                      <w:adjustRightInd w:val="0"/>
                      <w:snapToGrid w:val="0"/>
                      <w:rPr>
                        <w:rFonts w:cs="Arial"/>
                        <w:sz w:val="20"/>
                        <w:szCs w:val="20"/>
                      </w:rPr>
                    </w:pPr>
                    <w:r w:rsidRPr="003F6BA0">
                      <w:rPr>
                        <w:rFonts w:cs="Arial"/>
                        <w:color w:val="000000"/>
                        <w:sz w:val="20"/>
                        <w:szCs w:val="20"/>
                      </w:rPr>
                      <w:t xml:space="preserve"> </w:t>
                    </w:r>
                  </w:p>
                </w:tc>
                <w:tc>
                  <w:tcPr>
                    <w:tcW w:w="1452" w:type="dxa"/>
                    <w:noWrap/>
                    <w:hideMark/>
                  </w:tcPr>
                  <w:p w:rsidR="003F6BA0" w:rsidRPr="003F6BA0" w:rsidRDefault="003F6BA0">
                    <w:pPr>
                      <w:kinsoku w:val="0"/>
                      <w:overflowPunct w:val="0"/>
                      <w:autoSpaceDE w:val="0"/>
                      <w:autoSpaceDN w:val="0"/>
                      <w:adjustRightInd w:val="0"/>
                      <w:snapToGrid w:val="0"/>
                      <w:jc w:val="right"/>
                      <w:rPr>
                        <w:rFonts w:cs="Arial"/>
                        <w:color w:val="000000"/>
                        <w:sz w:val="20"/>
                        <w:szCs w:val="20"/>
                      </w:rPr>
                    </w:pPr>
                    <w:r w:rsidRPr="003F6BA0">
                      <w:rPr>
                        <w:rFonts w:cs="Arial"/>
                        <w:color w:val="000000"/>
                        <w:sz w:val="20"/>
                        <w:szCs w:val="20"/>
                      </w:rPr>
                      <w:t>2019</w:t>
                    </w:r>
                    <w:r w:rsidRPr="003F6BA0">
                      <w:rPr>
                        <w:rFonts w:cs="Arial" w:hint="eastAsia"/>
                        <w:color w:val="000000"/>
                        <w:sz w:val="20"/>
                        <w:szCs w:val="20"/>
                      </w:rPr>
                      <w:t>年</w:t>
                    </w:r>
                    <w:r w:rsidRPr="003F6BA0">
                      <w:rPr>
                        <w:rFonts w:cs="Arial"/>
                        <w:color w:val="000000"/>
                        <w:sz w:val="20"/>
                        <w:szCs w:val="20"/>
                      </w:rPr>
                      <w:t>1-6</w:t>
                    </w:r>
                    <w:r w:rsidRPr="003F6BA0">
                      <w:rPr>
                        <w:rFonts w:cs="Arial" w:hint="eastAsia"/>
                        <w:color w:val="000000"/>
                        <w:sz w:val="20"/>
                        <w:szCs w:val="20"/>
                      </w:rPr>
                      <w:t>月</w:t>
                    </w:r>
                  </w:p>
                </w:tc>
                <w:tc>
                  <w:tcPr>
                    <w:tcW w:w="93" w:type="dxa"/>
                    <w:noWrap/>
                    <w:hideMark/>
                  </w:tcPr>
                  <w:p w:rsidR="003F6BA0" w:rsidRPr="003F6BA0" w:rsidRDefault="003F6BA0">
                    <w:pPr>
                      <w:kinsoku w:val="0"/>
                      <w:overflowPunct w:val="0"/>
                      <w:autoSpaceDE w:val="0"/>
                      <w:autoSpaceDN w:val="0"/>
                      <w:adjustRightInd w:val="0"/>
                      <w:snapToGrid w:val="0"/>
                      <w:jc w:val="right"/>
                      <w:rPr>
                        <w:rFonts w:cs="Arial"/>
                        <w:color w:val="000000"/>
                        <w:sz w:val="20"/>
                        <w:szCs w:val="20"/>
                      </w:rPr>
                    </w:pPr>
                    <w:r w:rsidRPr="003F6BA0">
                      <w:rPr>
                        <w:rFonts w:cs="Arial"/>
                        <w:color w:val="000000"/>
                        <w:sz w:val="20"/>
                        <w:szCs w:val="20"/>
                      </w:rPr>
                      <w:t xml:space="preserve"> </w:t>
                    </w:r>
                  </w:p>
                </w:tc>
                <w:tc>
                  <w:tcPr>
                    <w:tcW w:w="125" w:type="dxa"/>
                    <w:noWrap/>
                    <w:hideMark/>
                  </w:tcPr>
                  <w:p w:rsidR="003F6BA0" w:rsidRPr="003F6BA0" w:rsidRDefault="003F6BA0">
                    <w:pPr>
                      <w:kinsoku w:val="0"/>
                      <w:overflowPunct w:val="0"/>
                      <w:autoSpaceDE w:val="0"/>
                      <w:autoSpaceDN w:val="0"/>
                      <w:adjustRightInd w:val="0"/>
                      <w:snapToGrid w:val="0"/>
                      <w:jc w:val="right"/>
                      <w:rPr>
                        <w:rFonts w:cs="Arial"/>
                        <w:sz w:val="20"/>
                        <w:szCs w:val="20"/>
                      </w:rPr>
                    </w:pPr>
                    <w:r w:rsidRPr="003F6BA0">
                      <w:rPr>
                        <w:rFonts w:cs="Arial"/>
                        <w:color w:val="000000"/>
                        <w:sz w:val="20"/>
                        <w:szCs w:val="20"/>
                      </w:rPr>
                      <w:t xml:space="preserve"> </w:t>
                    </w:r>
                  </w:p>
                </w:tc>
                <w:tc>
                  <w:tcPr>
                    <w:tcW w:w="1712" w:type="dxa"/>
                    <w:noWrap/>
                    <w:hideMark/>
                  </w:tcPr>
                  <w:p w:rsidR="003F6BA0" w:rsidRPr="003F6BA0" w:rsidRDefault="003F6BA0">
                    <w:pPr>
                      <w:kinsoku w:val="0"/>
                      <w:overflowPunct w:val="0"/>
                      <w:autoSpaceDE w:val="0"/>
                      <w:autoSpaceDN w:val="0"/>
                      <w:adjustRightInd w:val="0"/>
                      <w:snapToGrid w:val="0"/>
                      <w:jc w:val="right"/>
                      <w:rPr>
                        <w:rFonts w:cs="Arial"/>
                        <w:color w:val="000000"/>
                        <w:sz w:val="20"/>
                        <w:szCs w:val="20"/>
                      </w:rPr>
                    </w:pPr>
                    <w:r w:rsidRPr="003F6BA0">
                      <w:rPr>
                        <w:rFonts w:cs="Arial"/>
                        <w:color w:val="000000"/>
                        <w:sz w:val="20"/>
                        <w:szCs w:val="20"/>
                      </w:rPr>
                      <w:t>2018</w:t>
                    </w:r>
                    <w:r w:rsidRPr="003F6BA0">
                      <w:rPr>
                        <w:rFonts w:cs="Arial" w:hint="eastAsia"/>
                        <w:color w:val="000000"/>
                        <w:sz w:val="20"/>
                        <w:szCs w:val="20"/>
                      </w:rPr>
                      <w:t>年</w:t>
                    </w:r>
                    <w:r w:rsidRPr="003F6BA0">
                      <w:rPr>
                        <w:rFonts w:cs="Arial"/>
                        <w:color w:val="000000"/>
                        <w:sz w:val="20"/>
                        <w:szCs w:val="20"/>
                      </w:rPr>
                      <w:t>1-6</w:t>
                    </w:r>
                    <w:r w:rsidRPr="003F6BA0">
                      <w:rPr>
                        <w:rFonts w:cs="Arial" w:hint="eastAsia"/>
                        <w:color w:val="000000"/>
                        <w:sz w:val="20"/>
                        <w:szCs w:val="20"/>
                      </w:rPr>
                      <w:t>月</w:t>
                    </w:r>
                  </w:p>
                </w:tc>
                <w:tc>
                  <w:tcPr>
                    <w:tcW w:w="93" w:type="dxa"/>
                    <w:noWrap/>
                    <w:vAlign w:val="center"/>
                    <w:hideMark/>
                  </w:tcPr>
                  <w:p w:rsidR="003F6BA0" w:rsidRPr="003F6BA0" w:rsidRDefault="003F6BA0">
                    <w:pPr>
                      <w:kinsoku w:val="0"/>
                      <w:overflowPunct w:val="0"/>
                      <w:autoSpaceDE w:val="0"/>
                      <w:autoSpaceDN w:val="0"/>
                      <w:adjustRightInd w:val="0"/>
                      <w:snapToGrid w:val="0"/>
                      <w:jc w:val="right"/>
                      <w:rPr>
                        <w:rFonts w:cs="Arial"/>
                        <w:color w:val="000000"/>
                        <w:sz w:val="20"/>
                        <w:szCs w:val="20"/>
                      </w:rPr>
                    </w:pPr>
                    <w:r w:rsidRPr="003F6BA0">
                      <w:rPr>
                        <w:rFonts w:cs="Arial"/>
                        <w:color w:val="000000"/>
                        <w:sz w:val="20"/>
                        <w:szCs w:val="20"/>
                      </w:rPr>
                      <w:t xml:space="preserve"> </w:t>
                    </w:r>
                  </w:p>
                </w:tc>
                <w:tc>
                  <w:tcPr>
                    <w:tcW w:w="165" w:type="dxa"/>
                    <w:noWrap/>
                    <w:vAlign w:val="center"/>
                    <w:hideMark/>
                  </w:tcPr>
                  <w:p w:rsidR="003F6BA0" w:rsidRPr="003F6BA0" w:rsidRDefault="003F6BA0">
                    <w:pPr>
                      <w:kinsoku w:val="0"/>
                      <w:overflowPunct w:val="0"/>
                      <w:autoSpaceDE w:val="0"/>
                      <w:autoSpaceDN w:val="0"/>
                      <w:adjustRightInd w:val="0"/>
                      <w:snapToGrid w:val="0"/>
                      <w:rPr>
                        <w:rFonts w:cs="Arial"/>
                        <w:sz w:val="20"/>
                        <w:szCs w:val="20"/>
                      </w:rPr>
                    </w:pPr>
                    <w:r w:rsidRPr="003F6BA0">
                      <w:rPr>
                        <w:rFonts w:cs="Arial"/>
                        <w:color w:val="000000"/>
                        <w:sz w:val="20"/>
                        <w:szCs w:val="20"/>
                      </w:rPr>
                      <w:t xml:space="preserve"> </w:t>
                    </w:r>
                  </w:p>
                </w:tc>
                <w:tc>
                  <w:tcPr>
                    <w:tcW w:w="1712" w:type="dxa"/>
                    <w:hideMark/>
                  </w:tcPr>
                  <w:p w:rsidR="003F6BA0" w:rsidRPr="003F6BA0" w:rsidRDefault="003F6BA0">
                    <w:pPr>
                      <w:kinsoku w:val="0"/>
                      <w:overflowPunct w:val="0"/>
                      <w:autoSpaceDE w:val="0"/>
                      <w:autoSpaceDN w:val="0"/>
                      <w:adjustRightInd w:val="0"/>
                      <w:snapToGrid w:val="0"/>
                      <w:jc w:val="right"/>
                      <w:rPr>
                        <w:rFonts w:cs="Arial"/>
                        <w:color w:val="000000"/>
                        <w:sz w:val="20"/>
                        <w:szCs w:val="20"/>
                      </w:rPr>
                    </w:pPr>
                    <w:r w:rsidRPr="003F6BA0">
                      <w:rPr>
                        <w:rFonts w:cs="Arial" w:hint="eastAsia"/>
                        <w:color w:val="000000"/>
                        <w:sz w:val="20"/>
                        <w:szCs w:val="20"/>
                      </w:rPr>
                      <w:t>与资产</w:t>
                    </w:r>
                    <w:r w:rsidRPr="003F6BA0">
                      <w:rPr>
                        <w:rFonts w:cs="Arial"/>
                        <w:color w:val="000000"/>
                        <w:sz w:val="20"/>
                        <w:szCs w:val="20"/>
                      </w:rPr>
                      <w:t>/</w:t>
                    </w:r>
                    <w:r w:rsidRPr="003F6BA0">
                      <w:rPr>
                        <w:rFonts w:cs="Arial" w:hint="eastAsia"/>
                        <w:color w:val="000000"/>
                        <w:sz w:val="20"/>
                        <w:szCs w:val="20"/>
                      </w:rPr>
                      <w:t>收益相关</w:t>
                    </w:r>
                  </w:p>
                </w:tc>
                <w:tc>
                  <w:tcPr>
                    <w:tcW w:w="76" w:type="dxa"/>
                    <w:noWrap/>
                    <w:vAlign w:val="center"/>
                    <w:hideMark/>
                  </w:tcPr>
                  <w:p w:rsidR="003F6BA0" w:rsidRPr="003F6BA0" w:rsidRDefault="003F6BA0">
                    <w:pPr>
                      <w:kinsoku w:val="0"/>
                      <w:overflowPunct w:val="0"/>
                      <w:autoSpaceDE w:val="0"/>
                      <w:autoSpaceDN w:val="0"/>
                      <w:adjustRightInd w:val="0"/>
                      <w:snapToGrid w:val="0"/>
                      <w:jc w:val="right"/>
                      <w:rPr>
                        <w:rFonts w:cs="Arial"/>
                        <w:color w:val="000000"/>
                        <w:sz w:val="20"/>
                        <w:szCs w:val="20"/>
                      </w:rPr>
                    </w:pPr>
                    <w:r w:rsidRPr="003F6BA0">
                      <w:rPr>
                        <w:rFonts w:cs="Arial"/>
                        <w:color w:val="000000"/>
                        <w:sz w:val="20"/>
                        <w:szCs w:val="20"/>
                      </w:rPr>
                      <w:t xml:space="preserve"> </w:t>
                    </w:r>
                  </w:p>
                </w:tc>
              </w:tr>
              <w:tr w:rsidR="003F6BA0" w:rsidRPr="003F6BA0" w:rsidTr="003F6BA0">
                <w:tc>
                  <w:tcPr>
                    <w:tcW w:w="2950" w:type="dxa"/>
                    <w:noWrap/>
                    <w:vAlign w:val="bottom"/>
                    <w:hideMark/>
                  </w:tcPr>
                  <w:p w:rsidR="003F6BA0" w:rsidRPr="003F6BA0" w:rsidRDefault="003F6BA0">
                    <w:pPr>
                      <w:kinsoku w:val="0"/>
                      <w:overflowPunct w:val="0"/>
                      <w:autoSpaceDE w:val="0"/>
                      <w:autoSpaceDN w:val="0"/>
                      <w:adjustRightInd w:val="0"/>
                      <w:snapToGrid w:val="0"/>
                      <w:rPr>
                        <w:rFonts w:cs="Arial"/>
                        <w:sz w:val="20"/>
                        <w:szCs w:val="20"/>
                      </w:rPr>
                    </w:pPr>
                    <w:r w:rsidRPr="003F6BA0">
                      <w:rPr>
                        <w:rFonts w:cs="Arial"/>
                        <w:color w:val="000000"/>
                        <w:sz w:val="20"/>
                        <w:szCs w:val="20"/>
                      </w:rPr>
                      <w:t xml:space="preserve"> </w:t>
                    </w:r>
                  </w:p>
                </w:tc>
                <w:tc>
                  <w:tcPr>
                    <w:tcW w:w="27" w:type="dxa"/>
                    <w:noWrap/>
                    <w:vAlign w:val="center"/>
                    <w:hideMark/>
                  </w:tcPr>
                  <w:p w:rsidR="003F6BA0" w:rsidRPr="003F6BA0" w:rsidRDefault="003F6BA0">
                    <w:pPr>
                      <w:kinsoku w:val="0"/>
                      <w:overflowPunct w:val="0"/>
                      <w:autoSpaceDE w:val="0"/>
                      <w:autoSpaceDN w:val="0"/>
                      <w:adjustRightInd w:val="0"/>
                      <w:snapToGrid w:val="0"/>
                      <w:rPr>
                        <w:rFonts w:cs="Arial"/>
                        <w:sz w:val="20"/>
                        <w:szCs w:val="20"/>
                      </w:rPr>
                    </w:pPr>
                    <w:r w:rsidRPr="003F6BA0">
                      <w:rPr>
                        <w:rFonts w:cs="Arial"/>
                        <w:color w:val="000000"/>
                        <w:sz w:val="20"/>
                        <w:szCs w:val="20"/>
                      </w:rPr>
                      <w:t xml:space="preserve"> </w:t>
                    </w:r>
                  </w:p>
                </w:tc>
                <w:tc>
                  <w:tcPr>
                    <w:tcW w:w="1452" w:type="dxa"/>
                    <w:noWrap/>
                    <w:vAlign w:val="bottom"/>
                    <w:hideMark/>
                  </w:tcPr>
                  <w:p w:rsidR="003F6BA0" w:rsidRPr="003F6BA0" w:rsidRDefault="003F6BA0">
                    <w:pPr>
                      <w:kinsoku w:val="0"/>
                      <w:overflowPunct w:val="0"/>
                      <w:autoSpaceDE w:val="0"/>
                      <w:autoSpaceDN w:val="0"/>
                      <w:adjustRightInd w:val="0"/>
                      <w:snapToGrid w:val="0"/>
                      <w:rPr>
                        <w:rFonts w:cs="Arial"/>
                        <w:sz w:val="20"/>
                        <w:szCs w:val="20"/>
                      </w:rPr>
                    </w:pPr>
                    <w:r w:rsidRPr="003F6BA0">
                      <w:rPr>
                        <w:rFonts w:cs="Arial"/>
                        <w:color w:val="000000"/>
                        <w:sz w:val="20"/>
                        <w:szCs w:val="20"/>
                      </w:rPr>
                      <w:t xml:space="preserve"> </w:t>
                    </w:r>
                  </w:p>
                </w:tc>
                <w:tc>
                  <w:tcPr>
                    <w:tcW w:w="93" w:type="dxa"/>
                    <w:noWrap/>
                    <w:vAlign w:val="bottom"/>
                    <w:hideMark/>
                  </w:tcPr>
                  <w:p w:rsidR="003F6BA0" w:rsidRPr="003F6BA0" w:rsidRDefault="003F6BA0">
                    <w:pPr>
                      <w:kinsoku w:val="0"/>
                      <w:overflowPunct w:val="0"/>
                      <w:autoSpaceDE w:val="0"/>
                      <w:autoSpaceDN w:val="0"/>
                      <w:adjustRightInd w:val="0"/>
                      <w:snapToGrid w:val="0"/>
                      <w:jc w:val="right"/>
                      <w:rPr>
                        <w:rFonts w:cs="Arial"/>
                        <w:sz w:val="20"/>
                        <w:szCs w:val="20"/>
                      </w:rPr>
                    </w:pPr>
                    <w:r w:rsidRPr="003F6BA0">
                      <w:rPr>
                        <w:rFonts w:cs="Arial"/>
                        <w:color w:val="000000"/>
                        <w:sz w:val="20"/>
                        <w:szCs w:val="20"/>
                      </w:rPr>
                      <w:t xml:space="preserve"> </w:t>
                    </w:r>
                  </w:p>
                </w:tc>
                <w:tc>
                  <w:tcPr>
                    <w:tcW w:w="125" w:type="dxa"/>
                    <w:noWrap/>
                    <w:vAlign w:val="bottom"/>
                    <w:hideMark/>
                  </w:tcPr>
                  <w:p w:rsidR="003F6BA0" w:rsidRPr="003F6BA0" w:rsidRDefault="003F6BA0">
                    <w:pPr>
                      <w:kinsoku w:val="0"/>
                      <w:overflowPunct w:val="0"/>
                      <w:autoSpaceDE w:val="0"/>
                      <w:autoSpaceDN w:val="0"/>
                      <w:adjustRightInd w:val="0"/>
                      <w:snapToGrid w:val="0"/>
                      <w:jc w:val="right"/>
                      <w:rPr>
                        <w:rFonts w:cs="Arial"/>
                        <w:sz w:val="20"/>
                        <w:szCs w:val="20"/>
                      </w:rPr>
                    </w:pPr>
                    <w:r w:rsidRPr="003F6BA0">
                      <w:rPr>
                        <w:rFonts w:cs="Arial"/>
                        <w:color w:val="000000"/>
                        <w:sz w:val="20"/>
                        <w:szCs w:val="20"/>
                      </w:rPr>
                      <w:t xml:space="preserve"> </w:t>
                    </w:r>
                  </w:p>
                </w:tc>
                <w:tc>
                  <w:tcPr>
                    <w:tcW w:w="1712" w:type="dxa"/>
                    <w:noWrap/>
                    <w:vAlign w:val="bottom"/>
                    <w:hideMark/>
                  </w:tcPr>
                  <w:p w:rsidR="003F6BA0" w:rsidRPr="003F6BA0" w:rsidRDefault="003F6BA0">
                    <w:pPr>
                      <w:kinsoku w:val="0"/>
                      <w:overflowPunct w:val="0"/>
                      <w:autoSpaceDE w:val="0"/>
                      <w:autoSpaceDN w:val="0"/>
                      <w:adjustRightInd w:val="0"/>
                      <w:snapToGrid w:val="0"/>
                      <w:jc w:val="right"/>
                      <w:rPr>
                        <w:rFonts w:cs="Arial"/>
                        <w:sz w:val="20"/>
                        <w:szCs w:val="20"/>
                      </w:rPr>
                    </w:pPr>
                    <w:r w:rsidRPr="003F6BA0">
                      <w:rPr>
                        <w:rFonts w:cs="Arial"/>
                        <w:color w:val="000000"/>
                        <w:sz w:val="20"/>
                        <w:szCs w:val="20"/>
                      </w:rPr>
                      <w:t xml:space="preserve"> </w:t>
                    </w:r>
                  </w:p>
                </w:tc>
                <w:tc>
                  <w:tcPr>
                    <w:tcW w:w="93" w:type="dxa"/>
                    <w:noWrap/>
                    <w:vAlign w:val="bottom"/>
                    <w:hideMark/>
                  </w:tcPr>
                  <w:p w:rsidR="003F6BA0" w:rsidRPr="003F6BA0" w:rsidRDefault="003F6BA0">
                    <w:pPr>
                      <w:kinsoku w:val="0"/>
                      <w:overflowPunct w:val="0"/>
                      <w:autoSpaceDE w:val="0"/>
                      <w:autoSpaceDN w:val="0"/>
                      <w:adjustRightInd w:val="0"/>
                      <w:snapToGrid w:val="0"/>
                      <w:jc w:val="right"/>
                      <w:rPr>
                        <w:rFonts w:cs="Arial"/>
                        <w:sz w:val="20"/>
                        <w:szCs w:val="20"/>
                      </w:rPr>
                    </w:pPr>
                    <w:r w:rsidRPr="003F6BA0">
                      <w:rPr>
                        <w:rFonts w:cs="Arial"/>
                        <w:color w:val="000000"/>
                        <w:sz w:val="20"/>
                        <w:szCs w:val="20"/>
                      </w:rPr>
                      <w:t xml:space="preserve"> </w:t>
                    </w:r>
                  </w:p>
                </w:tc>
                <w:tc>
                  <w:tcPr>
                    <w:tcW w:w="165" w:type="dxa"/>
                    <w:noWrap/>
                    <w:vAlign w:val="bottom"/>
                    <w:hideMark/>
                  </w:tcPr>
                  <w:p w:rsidR="003F6BA0" w:rsidRPr="003F6BA0" w:rsidRDefault="003F6BA0">
                    <w:pPr>
                      <w:kinsoku w:val="0"/>
                      <w:overflowPunct w:val="0"/>
                      <w:autoSpaceDE w:val="0"/>
                      <w:autoSpaceDN w:val="0"/>
                      <w:adjustRightInd w:val="0"/>
                      <w:snapToGrid w:val="0"/>
                      <w:rPr>
                        <w:rFonts w:cs="Arial"/>
                        <w:sz w:val="20"/>
                        <w:szCs w:val="20"/>
                      </w:rPr>
                    </w:pPr>
                    <w:r w:rsidRPr="003F6BA0">
                      <w:rPr>
                        <w:rFonts w:cs="Arial"/>
                        <w:color w:val="000000"/>
                        <w:sz w:val="20"/>
                        <w:szCs w:val="20"/>
                      </w:rPr>
                      <w:t xml:space="preserve"> </w:t>
                    </w:r>
                  </w:p>
                </w:tc>
                <w:tc>
                  <w:tcPr>
                    <w:tcW w:w="1712" w:type="dxa"/>
                    <w:noWrap/>
                    <w:vAlign w:val="bottom"/>
                    <w:hideMark/>
                  </w:tcPr>
                  <w:p w:rsidR="003F6BA0" w:rsidRPr="003F6BA0" w:rsidRDefault="003F6BA0">
                    <w:pPr>
                      <w:kinsoku w:val="0"/>
                      <w:overflowPunct w:val="0"/>
                      <w:autoSpaceDE w:val="0"/>
                      <w:autoSpaceDN w:val="0"/>
                      <w:adjustRightInd w:val="0"/>
                      <w:snapToGrid w:val="0"/>
                      <w:jc w:val="right"/>
                      <w:rPr>
                        <w:rFonts w:cs="Arial"/>
                        <w:sz w:val="20"/>
                        <w:szCs w:val="20"/>
                      </w:rPr>
                    </w:pPr>
                    <w:r w:rsidRPr="003F6BA0">
                      <w:rPr>
                        <w:rFonts w:cs="Arial"/>
                        <w:color w:val="000000"/>
                        <w:sz w:val="20"/>
                        <w:szCs w:val="20"/>
                      </w:rPr>
                      <w:t xml:space="preserve"> </w:t>
                    </w:r>
                  </w:p>
                </w:tc>
                <w:tc>
                  <w:tcPr>
                    <w:tcW w:w="76" w:type="dxa"/>
                    <w:noWrap/>
                    <w:vAlign w:val="center"/>
                    <w:hideMark/>
                  </w:tcPr>
                  <w:p w:rsidR="003F6BA0" w:rsidRPr="003F6BA0" w:rsidRDefault="003F6BA0">
                    <w:pPr>
                      <w:kinsoku w:val="0"/>
                      <w:overflowPunct w:val="0"/>
                      <w:autoSpaceDE w:val="0"/>
                      <w:autoSpaceDN w:val="0"/>
                      <w:adjustRightInd w:val="0"/>
                      <w:snapToGrid w:val="0"/>
                      <w:jc w:val="right"/>
                      <w:rPr>
                        <w:rFonts w:cs="Arial"/>
                        <w:sz w:val="20"/>
                        <w:szCs w:val="20"/>
                      </w:rPr>
                    </w:pPr>
                    <w:r w:rsidRPr="003F6BA0">
                      <w:rPr>
                        <w:rFonts w:cs="Arial"/>
                        <w:color w:val="000000"/>
                        <w:sz w:val="20"/>
                        <w:szCs w:val="20"/>
                      </w:rPr>
                      <w:t xml:space="preserve"> </w:t>
                    </w:r>
                  </w:p>
                </w:tc>
              </w:tr>
              <w:tr w:rsidR="003F6BA0" w:rsidRPr="003F6BA0" w:rsidTr="003F6BA0">
                <w:tc>
                  <w:tcPr>
                    <w:tcW w:w="2950" w:type="dxa"/>
                    <w:noWrap/>
                    <w:hideMark/>
                  </w:tcPr>
                  <w:p w:rsidR="003F6BA0" w:rsidRPr="003F6BA0" w:rsidRDefault="003F6BA0">
                    <w:pPr>
                      <w:kinsoku w:val="0"/>
                      <w:overflowPunct w:val="0"/>
                      <w:autoSpaceDE w:val="0"/>
                      <w:autoSpaceDN w:val="0"/>
                      <w:adjustRightInd w:val="0"/>
                      <w:snapToGrid w:val="0"/>
                      <w:rPr>
                        <w:rFonts w:cs="Arial"/>
                        <w:color w:val="000000"/>
                        <w:sz w:val="20"/>
                        <w:szCs w:val="20"/>
                      </w:rPr>
                    </w:pPr>
                    <w:r w:rsidRPr="003F6BA0">
                      <w:rPr>
                        <w:rFonts w:cs="Arial" w:hint="eastAsia"/>
                        <w:sz w:val="20"/>
                        <w:szCs w:val="20"/>
                      </w:rPr>
                      <w:t>增值税退税返还</w:t>
                    </w:r>
                  </w:p>
                </w:tc>
                <w:tc>
                  <w:tcPr>
                    <w:tcW w:w="27" w:type="dxa"/>
                    <w:noWrap/>
                    <w:vAlign w:val="center"/>
                    <w:hideMark/>
                  </w:tcPr>
                  <w:p w:rsidR="003F6BA0" w:rsidRPr="003F6BA0" w:rsidRDefault="003F6BA0">
                    <w:pPr>
                      <w:kinsoku w:val="0"/>
                      <w:overflowPunct w:val="0"/>
                      <w:autoSpaceDE w:val="0"/>
                      <w:autoSpaceDN w:val="0"/>
                      <w:adjustRightInd w:val="0"/>
                      <w:snapToGrid w:val="0"/>
                      <w:rPr>
                        <w:rFonts w:cs="Arial"/>
                        <w:color w:val="000000"/>
                        <w:sz w:val="20"/>
                        <w:szCs w:val="20"/>
                      </w:rPr>
                    </w:pPr>
                    <w:r w:rsidRPr="003F6BA0">
                      <w:rPr>
                        <w:rFonts w:cs="Arial"/>
                        <w:color w:val="000000"/>
                        <w:sz w:val="20"/>
                        <w:szCs w:val="20"/>
                      </w:rPr>
                      <w:t xml:space="preserve"> </w:t>
                    </w:r>
                  </w:p>
                </w:tc>
                <w:tc>
                  <w:tcPr>
                    <w:tcW w:w="1452" w:type="dxa"/>
                    <w:noWrap/>
                    <w:vAlign w:val="bottom"/>
                    <w:hideMark/>
                  </w:tcPr>
                  <w:p w:rsidR="003F6BA0" w:rsidRPr="003F6BA0" w:rsidRDefault="003F6BA0" w:rsidP="00B637B2">
                    <w:pPr>
                      <w:kinsoku w:val="0"/>
                      <w:overflowPunct w:val="0"/>
                      <w:autoSpaceDE w:val="0"/>
                      <w:autoSpaceDN w:val="0"/>
                      <w:adjustRightInd w:val="0"/>
                      <w:snapToGrid w:val="0"/>
                      <w:jc w:val="right"/>
                      <w:rPr>
                        <w:rFonts w:cs="Arial"/>
                        <w:color w:val="000000"/>
                        <w:sz w:val="20"/>
                        <w:szCs w:val="20"/>
                      </w:rPr>
                    </w:pPr>
                    <w:r w:rsidRPr="003F6BA0">
                      <w:rPr>
                        <w:rFonts w:cs="Arial"/>
                        <w:color w:val="000000"/>
                        <w:sz w:val="20"/>
                        <w:szCs w:val="20"/>
                      </w:rPr>
                      <w:t>183,792,166</w:t>
                    </w:r>
                  </w:p>
                </w:tc>
                <w:tc>
                  <w:tcPr>
                    <w:tcW w:w="93" w:type="dxa"/>
                    <w:noWrap/>
                    <w:vAlign w:val="bottom"/>
                  </w:tcPr>
                  <w:p w:rsidR="003F6BA0" w:rsidRPr="003F6BA0" w:rsidRDefault="003F6BA0" w:rsidP="00B637B2">
                    <w:pPr>
                      <w:kinsoku w:val="0"/>
                      <w:overflowPunct w:val="0"/>
                      <w:autoSpaceDE w:val="0"/>
                      <w:autoSpaceDN w:val="0"/>
                      <w:adjustRightInd w:val="0"/>
                      <w:snapToGrid w:val="0"/>
                      <w:jc w:val="right"/>
                      <w:rPr>
                        <w:rFonts w:cs="Arial"/>
                        <w:color w:val="000000"/>
                        <w:sz w:val="20"/>
                        <w:szCs w:val="20"/>
                      </w:rPr>
                    </w:pPr>
                  </w:p>
                </w:tc>
                <w:tc>
                  <w:tcPr>
                    <w:tcW w:w="125" w:type="dxa"/>
                    <w:noWrap/>
                    <w:vAlign w:val="bottom"/>
                  </w:tcPr>
                  <w:p w:rsidR="003F6BA0" w:rsidRPr="003F6BA0" w:rsidRDefault="003F6BA0" w:rsidP="00B637B2">
                    <w:pPr>
                      <w:kinsoku w:val="0"/>
                      <w:overflowPunct w:val="0"/>
                      <w:autoSpaceDE w:val="0"/>
                      <w:autoSpaceDN w:val="0"/>
                      <w:adjustRightInd w:val="0"/>
                      <w:snapToGrid w:val="0"/>
                      <w:jc w:val="right"/>
                      <w:rPr>
                        <w:rFonts w:cs="Arial"/>
                        <w:sz w:val="20"/>
                        <w:szCs w:val="20"/>
                      </w:rPr>
                    </w:pPr>
                  </w:p>
                </w:tc>
                <w:tc>
                  <w:tcPr>
                    <w:tcW w:w="1712" w:type="dxa"/>
                    <w:noWrap/>
                    <w:vAlign w:val="bottom"/>
                    <w:hideMark/>
                  </w:tcPr>
                  <w:p w:rsidR="003F6BA0" w:rsidRPr="003F6BA0" w:rsidRDefault="003F6BA0" w:rsidP="00B637B2">
                    <w:pPr>
                      <w:kinsoku w:val="0"/>
                      <w:overflowPunct w:val="0"/>
                      <w:autoSpaceDE w:val="0"/>
                      <w:autoSpaceDN w:val="0"/>
                      <w:adjustRightInd w:val="0"/>
                      <w:snapToGrid w:val="0"/>
                      <w:jc w:val="right"/>
                      <w:rPr>
                        <w:rFonts w:cs="Arial"/>
                        <w:color w:val="000000"/>
                        <w:sz w:val="20"/>
                        <w:szCs w:val="20"/>
                      </w:rPr>
                    </w:pPr>
                    <w:r w:rsidRPr="003F6BA0">
                      <w:rPr>
                        <w:rFonts w:cs="Arial"/>
                        <w:sz w:val="20"/>
                        <w:szCs w:val="18"/>
                      </w:rPr>
                      <w:t xml:space="preserve">172,670,793       </w:t>
                    </w:r>
                  </w:p>
                </w:tc>
                <w:tc>
                  <w:tcPr>
                    <w:tcW w:w="93" w:type="dxa"/>
                    <w:noWrap/>
                    <w:vAlign w:val="bottom"/>
                  </w:tcPr>
                  <w:p w:rsidR="003F6BA0" w:rsidRPr="003F6BA0" w:rsidRDefault="003F6BA0">
                    <w:pPr>
                      <w:kinsoku w:val="0"/>
                      <w:overflowPunct w:val="0"/>
                      <w:autoSpaceDE w:val="0"/>
                      <w:autoSpaceDN w:val="0"/>
                      <w:adjustRightInd w:val="0"/>
                      <w:snapToGrid w:val="0"/>
                      <w:jc w:val="right"/>
                      <w:rPr>
                        <w:rFonts w:cs="Arial"/>
                        <w:color w:val="000000"/>
                        <w:sz w:val="20"/>
                        <w:szCs w:val="20"/>
                      </w:rPr>
                    </w:pPr>
                  </w:p>
                </w:tc>
                <w:tc>
                  <w:tcPr>
                    <w:tcW w:w="165" w:type="dxa"/>
                    <w:noWrap/>
                    <w:vAlign w:val="bottom"/>
                  </w:tcPr>
                  <w:p w:rsidR="003F6BA0" w:rsidRPr="003F6BA0" w:rsidRDefault="003F6BA0">
                    <w:pPr>
                      <w:kinsoku w:val="0"/>
                      <w:overflowPunct w:val="0"/>
                      <w:autoSpaceDE w:val="0"/>
                      <w:autoSpaceDN w:val="0"/>
                      <w:adjustRightInd w:val="0"/>
                      <w:snapToGrid w:val="0"/>
                      <w:rPr>
                        <w:rFonts w:cs="Arial"/>
                        <w:sz w:val="20"/>
                        <w:szCs w:val="20"/>
                      </w:rPr>
                    </w:pPr>
                  </w:p>
                </w:tc>
                <w:tc>
                  <w:tcPr>
                    <w:tcW w:w="1712" w:type="dxa"/>
                    <w:noWrap/>
                    <w:vAlign w:val="bottom"/>
                    <w:hideMark/>
                  </w:tcPr>
                  <w:p w:rsidR="003F6BA0" w:rsidRPr="003F6BA0" w:rsidRDefault="003F6BA0">
                    <w:pPr>
                      <w:kinsoku w:val="0"/>
                      <w:overflowPunct w:val="0"/>
                      <w:autoSpaceDE w:val="0"/>
                      <w:autoSpaceDN w:val="0"/>
                      <w:adjustRightInd w:val="0"/>
                      <w:snapToGrid w:val="0"/>
                      <w:jc w:val="right"/>
                      <w:rPr>
                        <w:rFonts w:cs="Arial"/>
                        <w:color w:val="000000"/>
                        <w:sz w:val="20"/>
                        <w:szCs w:val="20"/>
                      </w:rPr>
                    </w:pPr>
                    <w:r w:rsidRPr="003F6BA0">
                      <w:rPr>
                        <w:rFonts w:cs="Arial" w:hint="eastAsia"/>
                        <w:color w:val="000000"/>
                        <w:sz w:val="20"/>
                        <w:szCs w:val="20"/>
                      </w:rPr>
                      <w:t>与收益相关</w:t>
                    </w:r>
                  </w:p>
                </w:tc>
                <w:tc>
                  <w:tcPr>
                    <w:tcW w:w="76" w:type="dxa"/>
                    <w:noWrap/>
                    <w:vAlign w:val="center"/>
                    <w:hideMark/>
                  </w:tcPr>
                  <w:p w:rsidR="003F6BA0" w:rsidRPr="003F6BA0" w:rsidRDefault="003F6BA0">
                    <w:pPr>
                      <w:kinsoku w:val="0"/>
                      <w:overflowPunct w:val="0"/>
                      <w:autoSpaceDE w:val="0"/>
                      <w:autoSpaceDN w:val="0"/>
                      <w:adjustRightInd w:val="0"/>
                      <w:snapToGrid w:val="0"/>
                      <w:jc w:val="right"/>
                      <w:rPr>
                        <w:rFonts w:cs="Arial"/>
                        <w:color w:val="000000"/>
                        <w:sz w:val="20"/>
                        <w:szCs w:val="20"/>
                      </w:rPr>
                    </w:pPr>
                    <w:r w:rsidRPr="003F6BA0">
                      <w:rPr>
                        <w:rFonts w:cs="Arial"/>
                        <w:color w:val="000000"/>
                        <w:sz w:val="20"/>
                        <w:szCs w:val="20"/>
                      </w:rPr>
                      <w:t xml:space="preserve"> </w:t>
                    </w:r>
                  </w:p>
                </w:tc>
              </w:tr>
              <w:tr w:rsidR="003F6BA0" w:rsidRPr="003F6BA0" w:rsidTr="003F6BA0">
                <w:tc>
                  <w:tcPr>
                    <w:tcW w:w="2950" w:type="dxa"/>
                    <w:noWrap/>
                    <w:hideMark/>
                  </w:tcPr>
                  <w:p w:rsidR="003F6BA0" w:rsidRPr="003F6BA0" w:rsidRDefault="003F6BA0">
                    <w:pPr>
                      <w:kinsoku w:val="0"/>
                      <w:overflowPunct w:val="0"/>
                      <w:autoSpaceDE w:val="0"/>
                      <w:autoSpaceDN w:val="0"/>
                      <w:adjustRightInd w:val="0"/>
                      <w:snapToGrid w:val="0"/>
                      <w:rPr>
                        <w:rFonts w:cs="Arial"/>
                        <w:snapToGrid w:val="0"/>
                        <w:sz w:val="20"/>
                        <w:szCs w:val="20"/>
                      </w:rPr>
                    </w:pPr>
                    <w:r w:rsidRPr="003F6BA0">
                      <w:rPr>
                        <w:rFonts w:cs="Arial" w:hint="eastAsia"/>
                        <w:sz w:val="20"/>
                        <w:szCs w:val="20"/>
                      </w:rPr>
                      <w:t>与日常经营活动相关的政府补助</w:t>
                    </w:r>
                  </w:p>
                </w:tc>
                <w:tc>
                  <w:tcPr>
                    <w:tcW w:w="27" w:type="dxa"/>
                    <w:noWrap/>
                    <w:vAlign w:val="center"/>
                  </w:tcPr>
                  <w:p w:rsidR="003F6BA0" w:rsidRPr="003F6BA0" w:rsidRDefault="003F6BA0">
                    <w:pPr>
                      <w:kinsoku w:val="0"/>
                      <w:overflowPunct w:val="0"/>
                      <w:autoSpaceDE w:val="0"/>
                      <w:autoSpaceDN w:val="0"/>
                      <w:adjustRightInd w:val="0"/>
                      <w:snapToGrid w:val="0"/>
                      <w:rPr>
                        <w:rFonts w:cs="Arial"/>
                        <w:color w:val="000000"/>
                        <w:sz w:val="20"/>
                        <w:szCs w:val="20"/>
                      </w:rPr>
                    </w:pPr>
                  </w:p>
                </w:tc>
                <w:tc>
                  <w:tcPr>
                    <w:tcW w:w="1452" w:type="dxa"/>
                    <w:noWrap/>
                    <w:vAlign w:val="bottom"/>
                    <w:hideMark/>
                  </w:tcPr>
                  <w:p w:rsidR="003F6BA0" w:rsidRPr="003F6BA0" w:rsidRDefault="003F6BA0" w:rsidP="00B637B2">
                    <w:pPr>
                      <w:kinsoku w:val="0"/>
                      <w:overflowPunct w:val="0"/>
                      <w:autoSpaceDE w:val="0"/>
                      <w:autoSpaceDN w:val="0"/>
                      <w:adjustRightInd w:val="0"/>
                      <w:snapToGrid w:val="0"/>
                      <w:jc w:val="right"/>
                      <w:rPr>
                        <w:rFonts w:cs="Arial"/>
                        <w:color w:val="000000"/>
                        <w:sz w:val="20"/>
                        <w:szCs w:val="20"/>
                      </w:rPr>
                    </w:pPr>
                    <w:r w:rsidRPr="003F6BA0">
                      <w:rPr>
                        <w:rFonts w:cs="Arial"/>
                        <w:color w:val="000000"/>
                        <w:sz w:val="20"/>
                        <w:szCs w:val="20"/>
                      </w:rPr>
                      <w:t>24,896,909</w:t>
                    </w:r>
                  </w:p>
                </w:tc>
                <w:tc>
                  <w:tcPr>
                    <w:tcW w:w="93" w:type="dxa"/>
                    <w:noWrap/>
                    <w:vAlign w:val="bottom"/>
                  </w:tcPr>
                  <w:p w:rsidR="003F6BA0" w:rsidRPr="003F6BA0" w:rsidRDefault="003F6BA0" w:rsidP="00B637B2">
                    <w:pPr>
                      <w:kinsoku w:val="0"/>
                      <w:overflowPunct w:val="0"/>
                      <w:autoSpaceDE w:val="0"/>
                      <w:autoSpaceDN w:val="0"/>
                      <w:adjustRightInd w:val="0"/>
                      <w:snapToGrid w:val="0"/>
                      <w:jc w:val="right"/>
                      <w:rPr>
                        <w:rFonts w:cs="Arial"/>
                        <w:color w:val="000000"/>
                        <w:sz w:val="20"/>
                        <w:szCs w:val="20"/>
                      </w:rPr>
                    </w:pPr>
                  </w:p>
                </w:tc>
                <w:tc>
                  <w:tcPr>
                    <w:tcW w:w="125" w:type="dxa"/>
                    <w:noWrap/>
                    <w:vAlign w:val="bottom"/>
                  </w:tcPr>
                  <w:p w:rsidR="003F6BA0" w:rsidRPr="003F6BA0" w:rsidRDefault="003F6BA0" w:rsidP="00B637B2">
                    <w:pPr>
                      <w:kinsoku w:val="0"/>
                      <w:overflowPunct w:val="0"/>
                      <w:autoSpaceDE w:val="0"/>
                      <w:autoSpaceDN w:val="0"/>
                      <w:adjustRightInd w:val="0"/>
                      <w:snapToGrid w:val="0"/>
                      <w:jc w:val="right"/>
                      <w:rPr>
                        <w:rFonts w:cs="Arial"/>
                        <w:sz w:val="20"/>
                        <w:szCs w:val="20"/>
                      </w:rPr>
                    </w:pPr>
                  </w:p>
                </w:tc>
                <w:tc>
                  <w:tcPr>
                    <w:tcW w:w="1712" w:type="dxa"/>
                    <w:noWrap/>
                    <w:vAlign w:val="bottom"/>
                    <w:hideMark/>
                  </w:tcPr>
                  <w:p w:rsidR="003F6BA0" w:rsidRPr="003F6BA0" w:rsidRDefault="003F6BA0" w:rsidP="00B637B2">
                    <w:pPr>
                      <w:kinsoku w:val="0"/>
                      <w:overflowPunct w:val="0"/>
                      <w:autoSpaceDE w:val="0"/>
                      <w:autoSpaceDN w:val="0"/>
                      <w:adjustRightInd w:val="0"/>
                      <w:snapToGrid w:val="0"/>
                      <w:jc w:val="right"/>
                      <w:rPr>
                        <w:rFonts w:cs="Arial"/>
                        <w:color w:val="000000"/>
                        <w:sz w:val="20"/>
                        <w:szCs w:val="20"/>
                      </w:rPr>
                    </w:pPr>
                    <w:r w:rsidRPr="003F6BA0">
                      <w:rPr>
                        <w:rFonts w:cs="Arial"/>
                        <w:sz w:val="20"/>
                        <w:szCs w:val="18"/>
                      </w:rPr>
                      <w:t xml:space="preserve">  17,388,955  </w:t>
                    </w:r>
                  </w:p>
                </w:tc>
                <w:tc>
                  <w:tcPr>
                    <w:tcW w:w="93" w:type="dxa"/>
                    <w:noWrap/>
                    <w:vAlign w:val="bottom"/>
                  </w:tcPr>
                  <w:p w:rsidR="003F6BA0" w:rsidRPr="003F6BA0" w:rsidRDefault="003F6BA0">
                    <w:pPr>
                      <w:kinsoku w:val="0"/>
                      <w:overflowPunct w:val="0"/>
                      <w:autoSpaceDE w:val="0"/>
                      <w:autoSpaceDN w:val="0"/>
                      <w:adjustRightInd w:val="0"/>
                      <w:snapToGrid w:val="0"/>
                      <w:jc w:val="right"/>
                      <w:rPr>
                        <w:rFonts w:cs="Arial"/>
                        <w:color w:val="000000"/>
                        <w:sz w:val="20"/>
                        <w:szCs w:val="20"/>
                      </w:rPr>
                    </w:pPr>
                  </w:p>
                </w:tc>
                <w:tc>
                  <w:tcPr>
                    <w:tcW w:w="165" w:type="dxa"/>
                    <w:noWrap/>
                    <w:vAlign w:val="bottom"/>
                  </w:tcPr>
                  <w:p w:rsidR="003F6BA0" w:rsidRPr="003F6BA0" w:rsidRDefault="003F6BA0">
                    <w:pPr>
                      <w:kinsoku w:val="0"/>
                      <w:overflowPunct w:val="0"/>
                      <w:autoSpaceDE w:val="0"/>
                      <w:autoSpaceDN w:val="0"/>
                      <w:adjustRightInd w:val="0"/>
                      <w:snapToGrid w:val="0"/>
                      <w:rPr>
                        <w:rFonts w:cs="Arial"/>
                        <w:sz w:val="20"/>
                        <w:szCs w:val="20"/>
                      </w:rPr>
                    </w:pPr>
                  </w:p>
                </w:tc>
                <w:tc>
                  <w:tcPr>
                    <w:tcW w:w="1712" w:type="dxa"/>
                    <w:noWrap/>
                    <w:vAlign w:val="bottom"/>
                    <w:hideMark/>
                  </w:tcPr>
                  <w:p w:rsidR="003F6BA0" w:rsidRPr="003F6BA0" w:rsidRDefault="003F6BA0">
                    <w:pPr>
                      <w:kinsoku w:val="0"/>
                      <w:overflowPunct w:val="0"/>
                      <w:autoSpaceDE w:val="0"/>
                      <w:autoSpaceDN w:val="0"/>
                      <w:adjustRightInd w:val="0"/>
                      <w:snapToGrid w:val="0"/>
                      <w:jc w:val="right"/>
                      <w:rPr>
                        <w:rFonts w:cs="Arial"/>
                        <w:color w:val="000000"/>
                        <w:sz w:val="20"/>
                        <w:szCs w:val="20"/>
                      </w:rPr>
                    </w:pPr>
                    <w:r w:rsidRPr="003F6BA0">
                      <w:rPr>
                        <w:rFonts w:cs="Arial" w:hint="eastAsia"/>
                        <w:color w:val="000000"/>
                        <w:sz w:val="20"/>
                        <w:szCs w:val="20"/>
                      </w:rPr>
                      <w:t>与收益相关</w:t>
                    </w:r>
                  </w:p>
                </w:tc>
                <w:tc>
                  <w:tcPr>
                    <w:tcW w:w="76" w:type="dxa"/>
                    <w:noWrap/>
                    <w:vAlign w:val="center"/>
                  </w:tcPr>
                  <w:p w:rsidR="003F6BA0" w:rsidRPr="003F6BA0" w:rsidRDefault="003F6BA0">
                    <w:pPr>
                      <w:kinsoku w:val="0"/>
                      <w:overflowPunct w:val="0"/>
                      <w:autoSpaceDE w:val="0"/>
                      <w:autoSpaceDN w:val="0"/>
                      <w:adjustRightInd w:val="0"/>
                      <w:snapToGrid w:val="0"/>
                      <w:jc w:val="right"/>
                      <w:rPr>
                        <w:rFonts w:cs="Arial"/>
                        <w:color w:val="000000"/>
                        <w:sz w:val="20"/>
                        <w:szCs w:val="20"/>
                      </w:rPr>
                    </w:pPr>
                  </w:p>
                </w:tc>
              </w:tr>
              <w:tr w:rsidR="003F6BA0" w:rsidRPr="003F6BA0" w:rsidTr="003F6BA0">
                <w:tc>
                  <w:tcPr>
                    <w:tcW w:w="2950" w:type="dxa"/>
                    <w:noWrap/>
                    <w:hideMark/>
                  </w:tcPr>
                  <w:p w:rsidR="003F6BA0" w:rsidRPr="003F6BA0" w:rsidRDefault="003F6BA0">
                    <w:pPr>
                      <w:kinsoku w:val="0"/>
                      <w:overflowPunct w:val="0"/>
                      <w:autoSpaceDE w:val="0"/>
                      <w:autoSpaceDN w:val="0"/>
                      <w:adjustRightInd w:val="0"/>
                      <w:snapToGrid w:val="0"/>
                      <w:rPr>
                        <w:rFonts w:cs="Arial"/>
                        <w:sz w:val="20"/>
                        <w:szCs w:val="20"/>
                      </w:rPr>
                    </w:pPr>
                    <w:r w:rsidRPr="003F6BA0">
                      <w:rPr>
                        <w:rFonts w:cs="Arial" w:hint="eastAsia"/>
                        <w:sz w:val="20"/>
                        <w:szCs w:val="20"/>
                      </w:rPr>
                      <w:t>其他补贴收入</w:t>
                    </w:r>
                    <w:r w:rsidRPr="003F6BA0">
                      <w:rPr>
                        <w:rFonts w:cs="Arial"/>
                        <w:sz w:val="20"/>
                        <w:szCs w:val="20"/>
                      </w:rPr>
                      <w:t xml:space="preserve"> </w:t>
                    </w:r>
                  </w:p>
                </w:tc>
                <w:tc>
                  <w:tcPr>
                    <w:tcW w:w="27" w:type="dxa"/>
                    <w:noWrap/>
                    <w:vAlign w:val="center"/>
                    <w:hideMark/>
                  </w:tcPr>
                  <w:p w:rsidR="003F6BA0" w:rsidRPr="003F6BA0" w:rsidRDefault="003F6BA0">
                    <w:pPr>
                      <w:kinsoku w:val="0"/>
                      <w:overflowPunct w:val="0"/>
                      <w:autoSpaceDE w:val="0"/>
                      <w:autoSpaceDN w:val="0"/>
                      <w:adjustRightInd w:val="0"/>
                      <w:snapToGrid w:val="0"/>
                      <w:rPr>
                        <w:rFonts w:cs="Arial"/>
                        <w:color w:val="000000"/>
                        <w:sz w:val="20"/>
                        <w:szCs w:val="20"/>
                      </w:rPr>
                    </w:pPr>
                    <w:r w:rsidRPr="003F6BA0">
                      <w:rPr>
                        <w:rFonts w:cs="Arial"/>
                        <w:color w:val="000000"/>
                        <w:sz w:val="20"/>
                        <w:szCs w:val="20"/>
                      </w:rPr>
                      <w:t xml:space="preserve"> </w:t>
                    </w:r>
                  </w:p>
                </w:tc>
                <w:tc>
                  <w:tcPr>
                    <w:tcW w:w="1452" w:type="dxa"/>
                    <w:noWrap/>
                    <w:vAlign w:val="bottom"/>
                    <w:hideMark/>
                  </w:tcPr>
                  <w:p w:rsidR="003F6BA0" w:rsidRPr="003F6BA0" w:rsidRDefault="003F6BA0" w:rsidP="00B637B2">
                    <w:pPr>
                      <w:kinsoku w:val="0"/>
                      <w:overflowPunct w:val="0"/>
                      <w:autoSpaceDE w:val="0"/>
                      <w:autoSpaceDN w:val="0"/>
                      <w:adjustRightInd w:val="0"/>
                      <w:snapToGrid w:val="0"/>
                      <w:jc w:val="right"/>
                      <w:rPr>
                        <w:rFonts w:cs="Arial"/>
                        <w:sz w:val="20"/>
                        <w:szCs w:val="20"/>
                        <w:u w:val="single"/>
                      </w:rPr>
                    </w:pPr>
                    <w:r w:rsidRPr="003F6BA0">
                      <w:rPr>
                        <w:rFonts w:cs="Arial"/>
                        <w:sz w:val="20"/>
                        <w:szCs w:val="20"/>
                        <w:u w:val="single"/>
                      </w:rPr>
                      <w:t xml:space="preserve">  7,085,665</w:t>
                    </w:r>
                  </w:p>
                </w:tc>
                <w:tc>
                  <w:tcPr>
                    <w:tcW w:w="93" w:type="dxa"/>
                    <w:noWrap/>
                    <w:vAlign w:val="bottom"/>
                  </w:tcPr>
                  <w:p w:rsidR="003F6BA0" w:rsidRPr="003F6BA0" w:rsidRDefault="003F6BA0" w:rsidP="00B637B2">
                    <w:pPr>
                      <w:kinsoku w:val="0"/>
                      <w:overflowPunct w:val="0"/>
                      <w:autoSpaceDE w:val="0"/>
                      <w:autoSpaceDN w:val="0"/>
                      <w:adjustRightInd w:val="0"/>
                      <w:snapToGrid w:val="0"/>
                      <w:jc w:val="right"/>
                      <w:rPr>
                        <w:rFonts w:cs="Arial"/>
                        <w:sz w:val="20"/>
                        <w:szCs w:val="20"/>
                        <w:u w:val="single"/>
                      </w:rPr>
                    </w:pPr>
                  </w:p>
                </w:tc>
                <w:tc>
                  <w:tcPr>
                    <w:tcW w:w="125" w:type="dxa"/>
                    <w:noWrap/>
                    <w:vAlign w:val="bottom"/>
                  </w:tcPr>
                  <w:p w:rsidR="003F6BA0" w:rsidRPr="003F6BA0" w:rsidRDefault="003F6BA0" w:rsidP="00B637B2">
                    <w:pPr>
                      <w:kinsoku w:val="0"/>
                      <w:overflowPunct w:val="0"/>
                      <w:autoSpaceDE w:val="0"/>
                      <w:autoSpaceDN w:val="0"/>
                      <w:adjustRightInd w:val="0"/>
                      <w:snapToGrid w:val="0"/>
                      <w:jc w:val="right"/>
                      <w:rPr>
                        <w:rFonts w:cs="Arial"/>
                        <w:sz w:val="20"/>
                        <w:szCs w:val="20"/>
                      </w:rPr>
                    </w:pPr>
                  </w:p>
                </w:tc>
                <w:tc>
                  <w:tcPr>
                    <w:tcW w:w="1712" w:type="dxa"/>
                    <w:noWrap/>
                    <w:vAlign w:val="bottom"/>
                    <w:hideMark/>
                  </w:tcPr>
                  <w:p w:rsidR="003F6BA0" w:rsidRPr="003F6BA0" w:rsidRDefault="003F6BA0" w:rsidP="00B637B2">
                    <w:pPr>
                      <w:kinsoku w:val="0"/>
                      <w:overflowPunct w:val="0"/>
                      <w:autoSpaceDE w:val="0"/>
                      <w:autoSpaceDN w:val="0"/>
                      <w:adjustRightInd w:val="0"/>
                      <w:snapToGrid w:val="0"/>
                      <w:jc w:val="right"/>
                      <w:rPr>
                        <w:rFonts w:cs="Arial"/>
                        <w:color w:val="000000"/>
                        <w:sz w:val="20"/>
                        <w:szCs w:val="20"/>
                        <w:u w:val="single"/>
                      </w:rPr>
                    </w:pPr>
                    <w:r w:rsidRPr="003F6BA0">
                      <w:rPr>
                        <w:rFonts w:cs="Arial"/>
                        <w:sz w:val="20"/>
                        <w:szCs w:val="18"/>
                        <w:u w:val="single"/>
                      </w:rPr>
                      <w:t xml:space="preserve">  2,551,250</w:t>
                    </w:r>
                  </w:p>
                </w:tc>
                <w:tc>
                  <w:tcPr>
                    <w:tcW w:w="93" w:type="dxa"/>
                    <w:noWrap/>
                    <w:vAlign w:val="bottom"/>
                  </w:tcPr>
                  <w:p w:rsidR="003F6BA0" w:rsidRPr="003F6BA0" w:rsidRDefault="003F6BA0">
                    <w:pPr>
                      <w:kinsoku w:val="0"/>
                      <w:overflowPunct w:val="0"/>
                      <w:autoSpaceDE w:val="0"/>
                      <w:autoSpaceDN w:val="0"/>
                      <w:adjustRightInd w:val="0"/>
                      <w:snapToGrid w:val="0"/>
                      <w:jc w:val="right"/>
                      <w:rPr>
                        <w:rFonts w:cs="Arial"/>
                        <w:color w:val="000000"/>
                        <w:sz w:val="20"/>
                        <w:szCs w:val="20"/>
                      </w:rPr>
                    </w:pPr>
                  </w:p>
                </w:tc>
                <w:tc>
                  <w:tcPr>
                    <w:tcW w:w="165" w:type="dxa"/>
                    <w:noWrap/>
                    <w:vAlign w:val="bottom"/>
                  </w:tcPr>
                  <w:p w:rsidR="003F6BA0" w:rsidRPr="003F6BA0" w:rsidRDefault="003F6BA0">
                    <w:pPr>
                      <w:kinsoku w:val="0"/>
                      <w:overflowPunct w:val="0"/>
                      <w:autoSpaceDE w:val="0"/>
                      <w:autoSpaceDN w:val="0"/>
                      <w:adjustRightInd w:val="0"/>
                      <w:snapToGrid w:val="0"/>
                      <w:rPr>
                        <w:rFonts w:cs="Arial"/>
                        <w:sz w:val="20"/>
                        <w:szCs w:val="20"/>
                      </w:rPr>
                    </w:pPr>
                  </w:p>
                </w:tc>
                <w:tc>
                  <w:tcPr>
                    <w:tcW w:w="1712" w:type="dxa"/>
                    <w:noWrap/>
                    <w:vAlign w:val="bottom"/>
                    <w:hideMark/>
                  </w:tcPr>
                  <w:p w:rsidR="003F6BA0" w:rsidRPr="003F6BA0" w:rsidRDefault="003F6BA0">
                    <w:pPr>
                      <w:kinsoku w:val="0"/>
                      <w:overflowPunct w:val="0"/>
                      <w:autoSpaceDE w:val="0"/>
                      <w:autoSpaceDN w:val="0"/>
                      <w:adjustRightInd w:val="0"/>
                      <w:snapToGrid w:val="0"/>
                      <w:jc w:val="right"/>
                      <w:rPr>
                        <w:rFonts w:cs="Arial"/>
                        <w:color w:val="000000"/>
                        <w:sz w:val="20"/>
                        <w:szCs w:val="20"/>
                      </w:rPr>
                    </w:pPr>
                    <w:r w:rsidRPr="003F6BA0">
                      <w:rPr>
                        <w:rFonts w:cs="Arial" w:hint="eastAsia"/>
                        <w:color w:val="000000"/>
                        <w:sz w:val="20"/>
                        <w:szCs w:val="20"/>
                      </w:rPr>
                      <w:t>与收益相关</w:t>
                    </w:r>
                  </w:p>
                </w:tc>
                <w:tc>
                  <w:tcPr>
                    <w:tcW w:w="76" w:type="dxa"/>
                    <w:noWrap/>
                    <w:vAlign w:val="center"/>
                    <w:hideMark/>
                  </w:tcPr>
                  <w:p w:rsidR="003F6BA0" w:rsidRPr="003F6BA0" w:rsidRDefault="003F6BA0">
                    <w:pPr>
                      <w:kinsoku w:val="0"/>
                      <w:overflowPunct w:val="0"/>
                      <w:autoSpaceDE w:val="0"/>
                      <w:autoSpaceDN w:val="0"/>
                      <w:adjustRightInd w:val="0"/>
                      <w:snapToGrid w:val="0"/>
                      <w:jc w:val="right"/>
                      <w:rPr>
                        <w:rFonts w:cs="Arial"/>
                        <w:color w:val="000000"/>
                        <w:sz w:val="20"/>
                        <w:szCs w:val="20"/>
                      </w:rPr>
                    </w:pPr>
                    <w:r w:rsidRPr="003F6BA0">
                      <w:rPr>
                        <w:rFonts w:cs="Arial"/>
                        <w:color w:val="000000"/>
                        <w:sz w:val="20"/>
                        <w:szCs w:val="20"/>
                      </w:rPr>
                      <w:t xml:space="preserve"> </w:t>
                    </w:r>
                  </w:p>
                </w:tc>
              </w:tr>
              <w:tr w:rsidR="003F6BA0" w:rsidRPr="003F6BA0" w:rsidTr="003F6BA0">
                <w:tc>
                  <w:tcPr>
                    <w:tcW w:w="2950" w:type="dxa"/>
                    <w:noWrap/>
                    <w:vAlign w:val="bottom"/>
                    <w:hideMark/>
                  </w:tcPr>
                  <w:p w:rsidR="003F6BA0" w:rsidRPr="003F6BA0" w:rsidRDefault="003F6BA0">
                    <w:pPr>
                      <w:kinsoku w:val="0"/>
                      <w:overflowPunct w:val="0"/>
                      <w:autoSpaceDE w:val="0"/>
                      <w:autoSpaceDN w:val="0"/>
                      <w:adjustRightInd w:val="0"/>
                      <w:snapToGrid w:val="0"/>
                      <w:rPr>
                        <w:rFonts w:cs="Arial"/>
                        <w:sz w:val="20"/>
                        <w:szCs w:val="20"/>
                      </w:rPr>
                    </w:pPr>
                    <w:r w:rsidRPr="003F6BA0">
                      <w:rPr>
                        <w:rFonts w:cs="Arial"/>
                        <w:color w:val="000000"/>
                        <w:sz w:val="20"/>
                        <w:szCs w:val="20"/>
                      </w:rPr>
                      <w:t xml:space="preserve"> </w:t>
                    </w:r>
                  </w:p>
                </w:tc>
                <w:tc>
                  <w:tcPr>
                    <w:tcW w:w="27" w:type="dxa"/>
                    <w:noWrap/>
                    <w:vAlign w:val="center"/>
                    <w:hideMark/>
                  </w:tcPr>
                  <w:p w:rsidR="003F6BA0" w:rsidRPr="003F6BA0" w:rsidRDefault="003F6BA0">
                    <w:pPr>
                      <w:kinsoku w:val="0"/>
                      <w:overflowPunct w:val="0"/>
                      <w:autoSpaceDE w:val="0"/>
                      <w:autoSpaceDN w:val="0"/>
                      <w:adjustRightInd w:val="0"/>
                      <w:snapToGrid w:val="0"/>
                      <w:rPr>
                        <w:rFonts w:cs="Arial"/>
                        <w:sz w:val="20"/>
                        <w:szCs w:val="20"/>
                      </w:rPr>
                    </w:pPr>
                    <w:r w:rsidRPr="003F6BA0">
                      <w:rPr>
                        <w:rFonts w:cs="Arial"/>
                        <w:color w:val="000000"/>
                        <w:sz w:val="20"/>
                        <w:szCs w:val="20"/>
                      </w:rPr>
                      <w:t xml:space="preserve"> </w:t>
                    </w:r>
                  </w:p>
                </w:tc>
                <w:tc>
                  <w:tcPr>
                    <w:tcW w:w="1452" w:type="dxa"/>
                    <w:noWrap/>
                    <w:vAlign w:val="bottom"/>
                  </w:tcPr>
                  <w:p w:rsidR="003F6BA0" w:rsidRPr="003F6BA0" w:rsidRDefault="003F6BA0" w:rsidP="00B637B2">
                    <w:pPr>
                      <w:kinsoku w:val="0"/>
                      <w:overflowPunct w:val="0"/>
                      <w:autoSpaceDE w:val="0"/>
                      <w:autoSpaceDN w:val="0"/>
                      <w:adjustRightInd w:val="0"/>
                      <w:snapToGrid w:val="0"/>
                      <w:rPr>
                        <w:rFonts w:cs="Arial"/>
                        <w:sz w:val="20"/>
                        <w:szCs w:val="20"/>
                      </w:rPr>
                    </w:pPr>
                  </w:p>
                </w:tc>
                <w:tc>
                  <w:tcPr>
                    <w:tcW w:w="93" w:type="dxa"/>
                    <w:noWrap/>
                    <w:vAlign w:val="bottom"/>
                  </w:tcPr>
                  <w:p w:rsidR="003F6BA0" w:rsidRPr="003F6BA0" w:rsidRDefault="003F6BA0" w:rsidP="00B637B2">
                    <w:pPr>
                      <w:kinsoku w:val="0"/>
                      <w:overflowPunct w:val="0"/>
                      <w:autoSpaceDE w:val="0"/>
                      <w:autoSpaceDN w:val="0"/>
                      <w:adjustRightInd w:val="0"/>
                      <w:snapToGrid w:val="0"/>
                      <w:jc w:val="right"/>
                      <w:rPr>
                        <w:rFonts w:cs="Arial"/>
                        <w:sz w:val="20"/>
                        <w:szCs w:val="20"/>
                      </w:rPr>
                    </w:pPr>
                  </w:p>
                </w:tc>
                <w:tc>
                  <w:tcPr>
                    <w:tcW w:w="125" w:type="dxa"/>
                    <w:noWrap/>
                    <w:vAlign w:val="bottom"/>
                  </w:tcPr>
                  <w:p w:rsidR="003F6BA0" w:rsidRPr="003F6BA0" w:rsidRDefault="003F6BA0" w:rsidP="00B637B2">
                    <w:pPr>
                      <w:kinsoku w:val="0"/>
                      <w:overflowPunct w:val="0"/>
                      <w:autoSpaceDE w:val="0"/>
                      <w:autoSpaceDN w:val="0"/>
                      <w:adjustRightInd w:val="0"/>
                      <w:snapToGrid w:val="0"/>
                      <w:jc w:val="right"/>
                      <w:rPr>
                        <w:rFonts w:cs="Arial"/>
                        <w:sz w:val="20"/>
                        <w:szCs w:val="20"/>
                      </w:rPr>
                    </w:pPr>
                  </w:p>
                </w:tc>
                <w:tc>
                  <w:tcPr>
                    <w:tcW w:w="1712" w:type="dxa"/>
                    <w:noWrap/>
                    <w:vAlign w:val="bottom"/>
                  </w:tcPr>
                  <w:p w:rsidR="003F6BA0" w:rsidRPr="003F6BA0" w:rsidRDefault="003F6BA0" w:rsidP="00B637B2">
                    <w:pPr>
                      <w:kinsoku w:val="0"/>
                      <w:overflowPunct w:val="0"/>
                      <w:autoSpaceDE w:val="0"/>
                      <w:autoSpaceDN w:val="0"/>
                      <w:adjustRightInd w:val="0"/>
                      <w:snapToGrid w:val="0"/>
                      <w:jc w:val="right"/>
                      <w:rPr>
                        <w:rFonts w:cs="Arial"/>
                        <w:sz w:val="20"/>
                        <w:szCs w:val="20"/>
                      </w:rPr>
                    </w:pPr>
                  </w:p>
                </w:tc>
                <w:tc>
                  <w:tcPr>
                    <w:tcW w:w="93" w:type="dxa"/>
                    <w:noWrap/>
                    <w:vAlign w:val="bottom"/>
                  </w:tcPr>
                  <w:p w:rsidR="003F6BA0" w:rsidRPr="003F6BA0" w:rsidRDefault="003F6BA0">
                    <w:pPr>
                      <w:kinsoku w:val="0"/>
                      <w:overflowPunct w:val="0"/>
                      <w:autoSpaceDE w:val="0"/>
                      <w:autoSpaceDN w:val="0"/>
                      <w:adjustRightInd w:val="0"/>
                      <w:snapToGrid w:val="0"/>
                      <w:jc w:val="right"/>
                      <w:rPr>
                        <w:rFonts w:cs="Arial"/>
                        <w:sz w:val="20"/>
                        <w:szCs w:val="20"/>
                      </w:rPr>
                    </w:pPr>
                  </w:p>
                </w:tc>
                <w:tc>
                  <w:tcPr>
                    <w:tcW w:w="165" w:type="dxa"/>
                    <w:noWrap/>
                    <w:vAlign w:val="bottom"/>
                  </w:tcPr>
                  <w:p w:rsidR="003F6BA0" w:rsidRPr="003F6BA0" w:rsidRDefault="003F6BA0">
                    <w:pPr>
                      <w:kinsoku w:val="0"/>
                      <w:overflowPunct w:val="0"/>
                      <w:autoSpaceDE w:val="0"/>
                      <w:autoSpaceDN w:val="0"/>
                      <w:adjustRightInd w:val="0"/>
                      <w:snapToGrid w:val="0"/>
                      <w:rPr>
                        <w:rFonts w:cs="Arial"/>
                        <w:sz w:val="20"/>
                        <w:szCs w:val="20"/>
                      </w:rPr>
                    </w:pPr>
                  </w:p>
                </w:tc>
                <w:tc>
                  <w:tcPr>
                    <w:tcW w:w="1712" w:type="dxa"/>
                    <w:noWrap/>
                    <w:vAlign w:val="bottom"/>
                  </w:tcPr>
                  <w:p w:rsidR="003F6BA0" w:rsidRPr="003F6BA0" w:rsidRDefault="003F6BA0">
                    <w:pPr>
                      <w:kinsoku w:val="0"/>
                      <w:overflowPunct w:val="0"/>
                      <w:autoSpaceDE w:val="0"/>
                      <w:autoSpaceDN w:val="0"/>
                      <w:adjustRightInd w:val="0"/>
                      <w:snapToGrid w:val="0"/>
                      <w:jc w:val="right"/>
                      <w:rPr>
                        <w:rFonts w:cs="Arial"/>
                        <w:sz w:val="20"/>
                        <w:szCs w:val="20"/>
                      </w:rPr>
                    </w:pPr>
                  </w:p>
                </w:tc>
                <w:tc>
                  <w:tcPr>
                    <w:tcW w:w="76" w:type="dxa"/>
                    <w:noWrap/>
                    <w:vAlign w:val="center"/>
                    <w:hideMark/>
                  </w:tcPr>
                  <w:p w:rsidR="003F6BA0" w:rsidRPr="003F6BA0" w:rsidRDefault="003F6BA0">
                    <w:pPr>
                      <w:kinsoku w:val="0"/>
                      <w:overflowPunct w:val="0"/>
                      <w:autoSpaceDE w:val="0"/>
                      <w:autoSpaceDN w:val="0"/>
                      <w:adjustRightInd w:val="0"/>
                      <w:snapToGrid w:val="0"/>
                      <w:jc w:val="right"/>
                      <w:rPr>
                        <w:rFonts w:cs="Arial"/>
                        <w:sz w:val="20"/>
                        <w:szCs w:val="20"/>
                      </w:rPr>
                    </w:pPr>
                    <w:r w:rsidRPr="003F6BA0">
                      <w:rPr>
                        <w:rFonts w:cs="Arial"/>
                        <w:color w:val="000000"/>
                        <w:sz w:val="20"/>
                        <w:szCs w:val="20"/>
                      </w:rPr>
                      <w:t xml:space="preserve"> </w:t>
                    </w:r>
                  </w:p>
                </w:tc>
              </w:tr>
              <w:tr w:rsidR="003F6BA0" w:rsidRPr="003F6BA0" w:rsidTr="003F6BA0">
                <w:tc>
                  <w:tcPr>
                    <w:tcW w:w="2950" w:type="dxa"/>
                    <w:noWrap/>
                    <w:vAlign w:val="bottom"/>
                    <w:hideMark/>
                  </w:tcPr>
                  <w:p w:rsidR="003F6BA0" w:rsidRPr="003F6BA0" w:rsidRDefault="003F6BA0">
                    <w:pPr>
                      <w:rPr>
                        <w:rFonts w:cs="Arial"/>
                        <w:sz w:val="20"/>
                        <w:szCs w:val="20"/>
                      </w:rPr>
                    </w:pPr>
                  </w:p>
                </w:tc>
                <w:tc>
                  <w:tcPr>
                    <w:tcW w:w="27" w:type="dxa"/>
                    <w:noWrap/>
                    <w:vAlign w:val="center"/>
                    <w:hideMark/>
                  </w:tcPr>
                  <w:p w:rsidR="003F6BA0" w:rsidRPr="003F6BA0" w:rsidRDefault="003F6BA0">
                    <w:pPr>
                      <w:kinsoku w:val="0"/>
                      <w:overflowPunct w:val="0"/>
                      <w:autoSpaceDE w:val="0"/>
                      <w:autoSpaceDN w:val="0"/>
                      <w:adjustRightInd w:val="0"/>
                      <w:snapToGrid w:val="0"/>
                      <w:rPr>
                        <w:rFonts w:cs="Arial"/>
                        <w:sz w:val="20"/>
                        <w:szCs w:val="20"/>
                      </w:rPr>
                    </w:pPr>
                    <w:r w:rsidRPr="003F6BA0">
                      <w:rPr>
                        <w:rFonts w:cs="Arial"/>
                        <w:color w:val="000000"/>
                        <w:sz w:val="20"/>
                        <w:szCs w:val="20"/>
                      </w:rPr>
                      <w:t xml:space="preserve"> </w:t>
                    </w:r>
                  </w:p>
                </w:tc>
                <w:tc>
                  <w:tcPr>
                    <w:tcW w:w="1452" w:type="dxa"/>
                    <w:noWrap/>
                    <w:vAlign w:val="bottom"/>
                    <w:hideMark/>
                  </w:tcPr>
                  <w:p w:rsidR="003F6BA0" w:rsidRPr="003F6BA0" w:rsidRDefault="003F6BA0" w:rsidP="00B637B2">
                    <w:pPr>
                      <w:kinsoku w:val="0"/>
                      <w:overflowPunct w:val="0"/>
                      <w:autoSpaceDE w:val="0"/>
                      <w:autoSpaceDN w:val="0"/>
                      <w:adjustRightInd w:val="0"/>
                      <w:snapToGrid w:val="0"/>
                      <w:jc w:val="right"/>
                      <w:rPr>
                        <w:rFonts w:cs="Arial"/>
                        <w:sz w:val="20"/>
                        <w:szCs w:val="20"/>
                        <w:u w:val="double"/>
                      </w:rPr>
                    </w:pPr>
                    <w:r w:rsidRPr="003F6BA0">
                      <w:rPr>
                        <w:rFonts w:cs="Arial"/>
                        <w:sz w:val="20"/>
                        <w:szCs w:val="20"/>
                        <w:u w:val="double"/>
                      </w:rPr>
                      <w:t>215,774,740</w:t>
                    </w:r>
                  </w:p>
                </w:tc>
                <w:tc>
                  <w:tcPr>
                    <w:tcW w:w="93" w:type="dxa"/>
                    <w:noWrap/>
                    <w:vAlign w:val="bottom"/>
                  </w:tcPr>
                  <w:p w:rsidR="003F6BA0" w:rsidRPr="003F6BA0" w:rsidRDefault="003F6BA0" w:rsidP="00B637B2">
                    <w:pPr>
                      <w:kinsoku w:val="0"/>
                      <w:overflowPunct w:val="0"/>
                      <w:autoSpaceDE w:val="0"/>
                      <w:autoSpaceDN w:val="0"/>
                      <w:adjustRightInd w:val="0"/>
                      <w:snapToGrid w:val="0"/>
                      <w:jc w:val="right"/>
                      <w:rPr>
                        <w:rFonts w:cs="Arial"/>
                        <w:sz w:val="20"/>
                        <w:szCs w:val="20"/>
                        <w:u w:val="double"/>
                      </w:rPr>
                    </w:pPr>
                  </w:p>
                </w:tc>
                <w:tc>
                  <w:tcPr>
                    <w:tcW w:w="125" w:type="dxa"/>
                    <w:noWrap/>
                    <w:vAlign w:val="bottom"/>
                  </w:tcPr>
                  <w:p w:rsidR="003F6BA0" w:rsidRPr="003F6BA0" w:rsidRDefault="003F6BA0" w:rsidP="00B637B2">
                    <w:pPr>
                      <w:kinsoku w:val="0"/>
                      <w:overflowPunct w:val="0"/>
                      <w:autoSpaceDE w:val="0"/>
                      <w:autoSpaceDN w:val="0"/>
                      <w:adjustRightInd w:val="0"/>
                      <w:snapToGrid w:val="0"/>
                      <w:jc w:val="right"/>
                      <w:rPr>
                        <w:rFonts w:cs="Arial"/>
                        <w:sz w:val="20"/>
                        <w:szCs w:val="20"/>
                      </w:rPr>
                    </w:pPr>
                  </w:p>
                </w:tc>
                <w:tc>
                  <w:tcPr>
                    <w:tcW w:w="1712" w:type="dxa"/>
                    <w:noWrap/>
                    <w:vAlign w:val="bottom"/>
                    <w:hideMark/>
                  </w:tcPr>
                  <w:p w:rsidR="003F6BA0" w:rsidRPr="003F6BA0" w:rsidRDefault="003F6BA0" w:rsidP="00B637B2">
                    <w:pPr>
                      <w:kinsoku w:val="0"/>
                      <w:overflowPunct w:val="0"/>
                      <w:autoSpaceDE w:val="0"/>
                      <w:autoSpaceDN w:val="0"/>
                      <w:adjustRightInd w:val="0"/>
                      <w:snapToGrid w:val="0"/>
                      <w:jc w:val="right"/>
                      <w:rPr>
                        <w:rFonts w:cs="Arial"/>
                        <w:sz w:val="20"/>
                        <w:szCs w:val="20"/>
                        <w:u w:val="double"/>
                      </w:rPr>
                    </w:pPr>
                    <w:r w:rsidRPr="003F6BA0">
                      <w:rPr>
                        <w:rFonts w:cs="Arial"/>
                        <w:sz w:val="20"/>
                        <w:szCs w:val="20"/>
                        <w:u w:val="double"/>
                      </w:rPr>
                      <w:t>192,610,998</w:t>
                    </w:r>
                  </w:p>
                </w:tc>
                <w:tc>
                  <w:tcPr>
                    <w:tcW w:w="93" w:type="dxa"/>
                    <w:noWrap/>
                    <w:vAlign w:val="bottom"/>
                  </w:tcPr>
                  <w:p w:rsidR="003F6BA0" w:rsidRPr="003F6BA0" w:rsidRDefault="003F6BA0">
                    <w:pPr>
                      <w:kinsoku w:val="0"/>
                      <w:overflowPunct w:val="0"/>
                      <w:autoSpaceDE w:val="0"/>
                      <w:autoSpaceDN w:val="0"/>
                      <w:adjustRightInd w:val="0"/>
                      <w:snapToGrid w:val="0"/>
                      <w:jc w:val="right"/>
                      <w:rPr>
                        <w:rFonts w:cs="Arial"/>
                        <w:color w:val="000000"/>
                        <w:sz w:val="20"/>
                        <w:szCs w:val="20"/>
                      </w:rPr>
                    </w:pPr>
                  </w:p>
                </w:tc>
                <w:tc>
                  <w:tcPr>
                    <w:tcW w:w="165" w:type="dxa"/>
                    <w:noWrap/>
                    <w:vAlign w:val="bottom"/>
                  </w:tcPr>
                  <w:p w:rsidR="003F6BA0" w:rsidRPr="003F6BA0" w:rsidRDefault="003F6BA0">
                    <w:pPr>
                      <w:kinsoku w:val="0"/>
                      <w:overflowPunct w:val="0"/>
                      <w:autoSpaceDE w:val="0"/>
                      <w:autoSpaceDN w:val="0"/>
                      <w:adjustRightInd w:val="0"/>
                      <w:snapToGrid w:val="0"/>
                      <w:rPr>
                        <w:rFonts w:cs="Arial"/>
                        <w:sz w:val="20"/>
                        <w:szCs w:val="20"/>
                      </w:rPr>
                    </w:pPr>
                  </w:p>
                </w:tc>
                <w:tc>
                  <w:tcPr>
                    <w:tcW w:w="1712" w:type="dxa"/>
                    <w:noWrap/>
                    <w:vAlign w:val="bottom"/>
                  </w:tcPr>
                  <w:p w:rsidR="003F6BA0" w:rsidRPr="003F6BA0" w:rsidRDefault="003F6BA0">
                    <w:pPr>
                      <w:kinsoku w:val="0"/>
                      <w:overflowPunct w:val="0"/>
                      <w:autoSpaceDE w:val="0"/>
                      <w:autoSpaceDN w:val="0"/>
                      <w:adjustRightInd w:val="0"/>
                      <w:snapToGrid w:val="0"/>
                      <w:jc w:val="right"/>
                      <w:rPr>
                        <w:rFonts w:cs="Arial"/>
                        <w:color w:val="000000"/>
                        <w:sz w:val="20"/>
                        <w:szCs w:val="20"/>
                      </w:rPr>
                    </w:pPr>
                  </w:p>
                </w:tc>
                <w:tc>
                  <w:tcPr>
                    <w:tcW w:w="76" w:type="dxa"/>
                    <w:noWrap/>
                    <w:vAlign w:val="center"/>
                    <w:hideMark/>
                  </w:tcPr>
                  <w:p w:rsidR="003F6BA0" w:rsidRPr="003F6BA0" w:rsidRDefault="003F6BA0">
                    <w:pPr>
                      <w:kinsoku w:val="0"/>
                      <w:overflowPunct w:val="0"/>
                      <w:autoSpaceDE w:val="0"/>
                      <w:autoSpaceDN w:val="0"/>
                      <w:adjustRightInd w:val="0"/>
                      <w:snapToGrid w:val="0"/>
                      <w:jc w:val="right"/>
                      <w:rPr>
                        <w:rFonts w:cs="Arial"/>
                        <w:color w:val="000000"/>
                        <w:sz w:val="20"/>
                        <w:szCs w:val="20"/>
                      </w:rPr>
                    </w:pPr>
                    <w:r w:rsidRPr="003F6BA0">
                      <w:rPr>
                        <w:rFonts w:cs="Arial"/>
                        <w:color w:val="000000"/>
                        <w:sz w:val="20"/>
                        <w:szCs w:val="20"/>
                      </w:rPr>
                      <w:t xml:space="preserve"> </w:t>
                    </w:r>
                  </w:p>
                </w:tc>
              </w:tr>
            </w:tbl>
            <w:p w:rsidR="003F6BA0" w:rsidRDefault="003F6BA0"/>
            <w:p w:rsidR="003F6BA0" w:rsidRPr="003F6BA0" w:rsidRDefault="003F6BA0" w:rsidP="003F6BA0">
              <w:pPr>
                <w:overflowPunct w:val="0"/>
                <w:autoSpaceDE w:val="0"/>
                <w:autoSpaceDN w:val="0"/>
                <w:adjustRightInd w:val="0"/>
                <w:snapToGrid w:val="0"/>
                <w:jc w:val="both"/>
                <w:textAlignment w:val="bottom"/>
                <w:rPr>
                  <w:rFonts w:cs="Arial"/>
                  <w:snapToGrid w:val="0"/>
                  <w:sz w:val="20"/>
                  <w:szCs w:val="20"/>
                </w:rPr>
              </w:pPr>
              <w:r w:rsidRPr="003F6BA0">
                <w:rPr>
                  <w:rFonts w:cs="Arial" w:hint="eastAsia"/>
                  <w:snapToGrid w:val="0"/>
                  <w:sz w:val="20"/>
                  <w:szCs w:val="20"/>
                </w:rPr>
                <w:t>计入其他收益的政府补助如下：</w:t>
              </w:r>
            </w:p>
            <w:p w:rsidR="003F6BA0" w:rsidRPr="003F6BA0" w:rsidRDefault="003F6BA0" w:rsidP="003F6BA0">
              <w:pPr>
                <w:overflowPunct w:val="0"/>
                <w:autoSpaceDE w:val="0"/>
                <w:autoSpaceDN w:val="0"/>
                <w:adjustRightInd w:val="0"/>
                <w:snapToGrid w:val="0"/>
                <w:jc w:val="both"/>
                <w:textAlignment w:val="bottom"/>
                <w:rPr>
                  <w:rFonts w:cs="Arial"/>
                  <w:snapToGrid w:val="0"/>
                  <w:sz w:val="20"/>
                  <w:szCs w:val="20"/>
                </w:rPr>
              </w:pPr>
            </w:p>
            <w:tbl>
              <w:tblPr>
                <w:tblStyle w:val="g35"/>
                <w:tblW w:w="8370" w:type="dxa"/>
                <w:tblLayout w:type="fixed"/>
                <w:tblCellMar>
                  <w:left w:w="0" w:type="dxa"/>
                  <w:right w:w="0" w:type="dxa"/>
                </w:tblCellMar>
                <w:tblLook w:val="04A0" w:firstRow="1" w:lastRow="0" w:firstColumn="1" w:lastColumn="0" w:noHBand="0" w:noVBand="1"/>
              </w:tblPr>
              <w:tblGrid>
                <w:gridCol w:w="5107"/>
                <w:gridCol w:w="115"/>
                <w:gridCol w:w="1446"/>
                <w:gridCol w:w="115"/>
                <w:gridCol w:w="26"/>
                <w:gridCol w:w="1561"/>
              </w:tblGrid>
              <w:tr w:rsidR="003F6BA0" w:rsidRPr="003F6BA0" w:rsidTr="003F6BA0">
                <w:tc>
                  <w:tcPr>
                    <w:tcW w:w="5103" w:type="dxa"/>
                    <w:noWrap/>
                    <w:vAlign w:val="center"/>
                    <w:hideMark/>
                  </w:tcPr>
                  <w:p w:rsidR="003F6BA0" w:rsidRPr="003F6BA0" w:rsidRDefault="003F6BA0">
                    <w:pPr>
                      <w:rPr>
                        <w:rFonts w:cs="Arial"/>
                        <w:snapToGrid w:val="0"/>
                        <w:sz w:val="20"/>
                        <w:szCs w:val="20"/>
                      </w:rPr>
                    </w:pPr>
                  </w:p>
                </w:tc>
                <w:tc>
                  <w:tcPr>
                    <w:tcW w:w="115" w:type="dxa"/>
                    <w:noWrap/>
                    <w:vAlign w:val="center"/>
                    <w:hideMark/>
                  </w:tcPr>
                  <w:p w:rsidR="003F6BA0" w:rsidRPr="003F6BA0" w:rsidRDefault="003F6BA0">
                    <w:pPr>
                      <w:kinsoku w:val="0"/>
                      <w:overflowPunct w:val="0"/>
                      <w:autoSpaceDE w:val="0"/>
                      <w:autoSpaceDN w:val="0"/>
                      <w:adjustRightInd w:val="0"/>
                      <w:snapToGrid w:val="0"/>
                      <w:rPr>
                        <w:rFonts w:cs="Arial"/>
                        <w:sz w:val="20"/>
                        <w:szCs w:val="20"/>
                      </w:rPr>
                    </w:pPr>
                    <w:r w:rsidRPr="003F6BA0">
                      <w:rPr>
                        <w:rFonts w:cs="Arial"/>
                        <w:color w:val="000000"/>
                        <w:sz w:val="20"/>
                        <w:szCs w:val="20"/>
                      </w:rPr>
                      <w:t xml:space="preserve"> </w:t>
                    </w:r>
                  </w:p>
                </w:tc>
                <w:tc>
                  <w:tcPr>
                    <w:tcW w:w="1445" w:type="dxa"/>
                    <w:noWrap/>
                    <w:hideMark/>
                  </w:tcPr>
                  <w:p w:rsidR="003F6BA0" w:rsidRPr="003F6BA0" w:rsidRDefault="003F6BA0">
                    <w:pPr>
                      <w:kinsoku w:val="0"/>
                      <w:overflowPunct w:val="0"/>
                      <w:autoSpaceDE w:val="0"/>
                      <w:autoSpaceDN w:val="0"/>
                      <w:adjustRightInd w:val="0"/>
                      <w:snapToGrid w:val="0"/>
                      <w:jc w:val="right"/>
                      <w:rPr>
                        <w:rFonts w:cs="Arial"/>
                        <w:color w:val="000000"/>
                        <w:sz w:val="20"/>
                        <w:szCs w:val="20"/>
                      </w:rPr>
                    </w:pPr>
                    <w:r w:rsidRPr="003F6BA0">
                      <w:rPr>
                        <w:rFonts w:cs="Arial"/>
                        <w:color w:val="000000"/>
                        <w:sz w:val="20"/>
                        <w:szCs w:val="20"/>
                      </w:rPr>
                      <w:t>2019</w:t>
                    </w:r>
                    <w:r w:rsidRPr="003F6BA0">
                      <w:rPr>
                        <w:rFonts w:cs="Arial" w:hint="eastAsia"/>
                        <w:color w:val="000000"/>
                        <w:sz w:val="20"/>
                        <w:szCs w:val="20"/>
                      </w:rPr>
                      <w:t>年</w:t>
                    </w:r>
                    <w:r w:rsidRPr="003F6BA0">
                      <w:rPr>
                        <w:rFonts w:cs="Arial"/>
                        <w:color w:val="000000"/>
                        <w:sz w:val="20"/>
                        <w:szCs w:val="20"/>
                      </w:rPr>
                      <w:t>1-6</w:t>
                    </w:r>
                    <w:r w:rsidRPr="003F6BA0">
                      <w:rPr>
                        <w:rFonts w:cs="Arial" w:hint="eastAsia"/>
                        <w:color w:val="000000"/>
                        <w:sz w:val="20"/>
                        <w:szCs w:val="20"/>
                      </w:rPr>
                      <w:t>月</w:t>
                    </w:r>
                  </w:p>
                </w:tc>
                <w:tc>
                  <w:tcPr>
                    <w:tcW w:w="115" w:type="dxa"/>
                    <w:hideMark/>
                  </w:tcPr>
                  <w:p w:rsidR="003F6BA0" w:rsidRPr="003F6BA0" w:rsidRDefault="003F6BA0">
                    <w:pPr>
                      <w:kinsoku w:val="0"/>
                      <w:overflowPunct w:val="0"/>
                      <w:autoSpaceDE w:val="0"/>
                      <w:autoSpaceDN w:val="0"/>
                      <w:adjustRightInd w:val="0"/>
                      <w:snapToGrid w:val="0"/>
                      <w:jc w:val="right"/>
                      <w:rPr>
                        <w:rFonts w:cs="Arial"/>
                        <w:color w:val="000000"/>
                        <w:sz w:val="20"/>
                        <w:szCs w:val="20"/>
                      </w:rPr>
                    </w:pPr>
                    <w:r w:rsidRPr="003F6BA0">
                      <w:rPr>
                        <w:rFonts w:cs="Arial"/>
                        <w:color w:val="000000"/>
                        <w:sz w:val="20"/>
                        <w:szCs w:val="20"/>
                      </w:rPr>
                      <w:t xml:space="preserve"> </w:t>
                    </w:r>
                  </w:p>
                </w:tc>
                <w:tc>
                  <w:tcPr>
                    <w:tcW w:w="26" w:type="dxa"/>
                    <w:hideMark/>
                  </w:tcPr>
                  <w:p w:rsidR="003F6BA0" w:rsidRPr="003F6BA0" w:rsidRDefault="003F6BA0">
                    <w:pPr>
                      <w:kinsoku w:val="0"/>
                      <w:overflowPunct w:val="0"/>
                      <w:autoSpaceDE w:val="0"/>
                      <w:autoSpaceDN w:val="0"/>
                      <w:adjustRightInd w:val="0"/>
                      <w:snapToGrid w:val="0"/>
                      <w:jc w:val="right"/>
                      <w:rPr>
                        <w:rFonts w:cs="Arial"/>
                        <w:sz w:val="20"/>
                        <w:szCs w:val="20"/>
                      </w:rPr>
                    </w:pPr>
                    <w:r w:rsidRPr="003F6BA0">
                      <w:rPr>
                        <w:rFonts w:cs="Arial"/>
                        <w:color w:val="000000"/>
                        <w:sz w:val="20"/>
                        <w:szCs w:val="20"/>
                      </w:rPr>
                      <w:t xml:space="preserve"> </w:t>
                    </w:r>
                  </w:p>
                </w:tc>
                <w:tc>
                  <w:tcPr>
                    <w:tcW w:w="1560" w:type="dxa"/>
                    <w:noWrap/>
                    <w:hideMark/>
                  </w:tcPr>
                  <w:p w:rsidR="003F6BA0" w:rsidRPr="003F6BA0" w:rsidRDefault="003F6BA0">
                    <w:pPr>
                      <w:kinsoku w:val="0"/>
                      <w:overflowPunct w:val="0"/>
                      <w:autoSpaceDE w:val="0"/>
                      <w:autoSpaceDN w:val="0"/>
                      <w:adjustRightInd w:val="0"/>
                      <w:snapToGrid w:val="0"/>
                      <w:jc w:val="right"/>
                      <w:rPr>
                        <w:rFonts w:cs="Arial"/>
                        <w:color w:val="000000"/>
                        <w:sz w:val="20"/>
                        <w:szCs w:val="20"/>
                      </w:rPr>
                    </w:pPr>
                    <w:r w:rsidRPr="003F6BA0">
                      <w:rPr>
                        <w:rFonts w:cs="Arial"/>
                        <w:color w:val="000000"/>
                        <w:sz w:val="20"/>
                        <w:szCs w:val="20"/>
                      </w:rPr>
                      <w:t>2018</w:t>
                    </w:r>
                    <w:r w:rsidRPr="003F6BA0">
                      <w:rPr>
                        <w:rFonts w:cs="Arial" w:hint="eastAsia"/>
                        <w:color w:val="000000"/>
                        <w:sz w:val="20"/>
                        <w:szCs w:val="20"/>
                      </w:rPr>
                      <w:t>年</w:t>
                    </w:r>
                    <w:r w:rsidRPr="003F6BA0">
                      <w:rPr>
                        <w:rFonts w:cs="Arial"/>
                        <w:color w:val="000000"/>
                        <w:sz w:val="20"/>
                        <w:szCs w:val="20"/>
                      </w:rPr>
                      <w:t>1-6</w:t>
                    </w:r>
                    <w:r w:rsidRPr="003F6BA0">
                      <w:rPr>
                        <w:rFonts w:cs="Arial" w:hint="eastAsia"/>
                        <w:color w:val="000000"/>
                        <w:sz w:val="20"/>
                        <w:szCs w:val="20"/>
                      </w:rPr>
                      <w:t>月</w:t>
                    </w:r>
                  </w:p>
                </w:tc>
              </w:tr>
              <w:tr w:rsidR="003F6BA0" w:rsidRPr="003F6BA0" w:rsidTr="003F6BA0">
                <w:tc>
                  <w:tcPr>
                    <w:tcW w:w="5103" w:type="dxa"/>
                  </w:tcPr>
                  <w:p w:rsidR="003F6BA0" w:rsidRPr="003F6BA0" w:rsidRDefault="003F6BA0">
                    <w:pPr>
                      <w:kinsoku w:val="0"/>
                      <w:overflowPunct w:val="0"/>
                      <w:autoSpaceDE w:val="0"/>
                      <w:autoSpaceDN w:val="0"/>
                      <w:adjustRightInd w:val="0"/>
                      <w:snapToGrid w:val="0"/>
                      <w:rPr>
                        <w:rFonts w:cs="Arial"/>
                        <w:sz w:val="20"/>
                        <w:szCs w:val="20"/>
                      </w:rPr>
                    </w:pPr>
                  </w:p>
                </w:tc>
                <w:tc>
                  <w:tcPr>
                    <w:tcW w:w="115" w:type="dxa"/>
                    <w:noWrap/>
                    <w:vAlign w:val="center"/>
                  </w:tcPr>
                  <w:p w:rsidR="003F6BA0" w:rsidRPr="003F6BA0" w:rsidRDefault="003F6BA0">
                    <w:pPr>
                      <w:kinsoku w:val="0"/>
                      <w:overflowPunct w:val="0"/>
                      <w:autoSpaceDE w:val="0"/>
                      <w:autoSpaceDN w:val="0"/>
                      <w:adjustRightInd w:val="0"/>
                      <w:snapToGrid w:val="0"/>
                      <w:rPr>
                        <w:rFonts w:cs="Arial"/>
                        <w:sz w:val="20"/>
                        <w:szCs w:val="20"/>
                      </w:rPr>
                    </w:pPr>
                  </w:p>
                </w:tc>
                <w:tc>
                  <w:tcPr>
                    <w:tcW w:w="1445" w:type="dxa"/>
                    <w:noWrap/>
                    <w:vAlign w:val="bottom"/>
                  </w:tcPr>
                  <w:p w:rsidR="003F6BA0" w:rsidRPr="003F6BA0" w:rsidRDefault="003F6BA0">
                    <w:pPr>
                      <w:kinsoku w:val="0"/>
                      <w:overflowPunct w:val="0"/>
                      <w:autoSpaceDE w:val="0"/>
                      <w:autoSpaceDN w:val="0"/>
                      <w:adjustRightInd w:val="0"/>
                      <w:snapToGrid w:val="0"/>
                      <w:jc w:val="right"/>
                      <w:rPr>
                        <w:rFonts w:cs="Arial"/>
                        <w:color w:val="000000"/>
                        <w:sz w:val="20"/>
                        <w:szCs w:val="20"/>
                      </w:rPr>
                    </w:pPr>
                  </w:p>
                </w:tc>
                <w:tc>
                  <w:tcPr>
                    <w:tcW w:w="115" w:type="dxa"/>
                    <w:noWrap/>
                    <w:vAlign w:val="bottom"/>
                  </w:tcPr>
                  <w:p w:rsidR="003F6BA0" w:rsidRPr="003F6BA0" w:rsidRDefault="003F6BA0">
                    <w:pPr>
                      <w:kinsoku w:val="0"/>
                      <w:overflowPunct w:val="0"/>
                      <w:autoSpaceDE w:val="0"/>
                      <w:autoSpaceDN w:val="0"/>
                      <w:adjustRightInd w:val="0"/>
                      <w:snapToGrid w:val="0"/>
                      <w:jc w:val="right"/>
                      <w:rPr>
                        <w:rFonts w:cs="Arial"/>
                        <w:sz w:val="20"/>
                        <w:szCs w:val="20"/>
                      </w:rPr>
                    </w:pPr>
                  </w:p>
                </w:tc>
                <w:tc>
                  <w:tcPr>
                    <w:tcW w:w="26" w:type="dxa"/>
                    <w:noWrap/>
                    <w:vAlign w:val="bottom"/>
                  </w:tcPr>
                  <w:p w:rsidR="003F6BA0" w:rsidRPr="003F6BA0" w:rsidRDefault="003F6BA0">
                    <w:pPr>
                      <w:kinsoku w:val="0"/>
                      <w:overflowPunct w:val="0"/>
                      <w:autoSpaceDE w:val="0"/>
                      <w:autoSpaceDN w:val="0"/>
                      <w:adjustRightInd w:val="0"/>
                      <w:snapToGrid w:val="0"/>
                      <w:jc w:val="right"/>
                      <w:rPr>
                        <w:rFonts w:cs="Arial"/>
                        <w:sz w:val="20"/>
                        <w:szCs w:val="20"/>
                      </w:rPr>
                    </w:pPr>
                  </w:p>
                </w:tc>
                <w:tc>
                  <w:tcPr>
                    <w:tcW w:w="1560" w:type="dxa"/>
                    <w:noWrap/>
                    <w:vAlign w:val="bottom"/>
                  </w:tcPr>
                  <w:p w:rsidR="003F6BA0" w:rsidRPr="003F6BA0" w:rsidRDefault="003F6BA0">
                    <w:pPr>
                      <w:kinsoku w:val="0"/>
                      <w:overflowPunct w:val="0"/>
                      <w:autoSpaceDE w:val="0"/>
                      <w:autoSpaceDN w:val="0"/>
                      <w:adjustRightInd w:val="0"/>
                      <w:snapToGrid w:val="0"/>
                      <w:jc w:val="right"/>
                      <w:rPr>
                        <w:rFonts w:cs="Arial"/>
                        <w:sz w:val="20"/>
                        <w:szCs w:val="20"/>
                      </w:rPr>
                    </w:pPr>
                  </w:p>
                </w:tc>
              </w:tr>
              <w:tr w:rsidR="003F6BA0" w:rsidRPr="003F6BA0" w:rsidTr="003F6BA0">
                <w:tc>
                  <w:tcPr>
                    <w:tcW w:w="5103" w:type="dxa"/>
                    <w:hideMark/>
                  </w:tcPr>
                  <w:p w:rsidR="003F6BA0" w:rsidRPr="003F6BA0" w:rsidRDefault="003F6BA0">
                    <w:pPr>
                      <w:kinsoku w:val="0"/>
                      <w:overflowPunct w:val="0"/>
                      <w:autoSpaceDE w:val="0"/>
                      <w:autoSpaceDN w:val="0"/>
                      <w:adjustRightInd w:val="0"/>
                      <w:snapToGrid w:val="0"/>
                      <w:rPr>
                        <w:rFonts w:cs="Arial"/>
                        <w:sz w:val="20"/>
                        <w:szCs w:val="20"/>
                      </w:rPr>
                    </w:pPr>
                    <w:r w:rsidRPr="003F6BA0">
                      <w:rPr>
                        <w:rFonts w:hint="eastAsia"/>
                        <w:color w:val="000000"/>
                        <w:sz w:val="20"/>
                        <w:szCs w:val="20"/>
                      </w:rPr>
                      <w:t>企业云平台与云ERP系统研发及推广应用</w:t>
                    </w:r>
                  </w:p>
                </w:tc>
                <w:tc>
                  <w:tcPr>
                    <w:tcW w:w="115" w:type="dxa"/>
                    <w:noWrap/>
                    <w:vAlign w:val="center"/>
                    <w:hideMark/>
                  </w:tcPr>
                  <w:p w:rsidR="003F6BA0" w:rsidRPr="003F6BA0" w:rsidRDefault="003F6BA0">
                    <w:pPr>
                      <w:rPr>
                        <w:rFonts w:cs="Arial"/>
                        <w:sz w:val="20"/>
                        <w:szCs w:val="20"/>
                      </w:rPr>
                    </w:pPr>
                  </w:p>
                </w:tc>
                <w:tc>
                  <w:tcPr>
                    <w:tcW w:w="1445" w:type="dxa"/>
                    <w:noWrap/>
                    <w:vAlign w:val="bottom"/>
                    <w:hideMark/>
                  </w:tcPr>
                  <w:p w:rsidR="003F6BA0" w:rsidRPr="003F6BA0" w:rsidRDefault="003F6BA0">
                    <w:pPr>
                      <w:kinsoku w:val="0"/>
                      <w:overflowPunct w:val="0"/>
                      <w:autoSpaceDE w:val="0"/>
                      <w:autoSpaceDN w:val="0"/>
                      <w:adjustRightInd w:val="0"/>
                      <w:snapToGrid w:val="0"/>
                      <w:jc w:val="right"/>
                      <w:rPr>
                        <w:rFonts w:cs="Arial"/>
                        <w:sz w:val="20"/>
                        <w:szCs w:val="20"/>
                      </w:rPr>
                    </w:pPr>
                    <w:r w:rsidRPr="003F6BA0">
                      <w:rPr>
                        <w:rFonts w:cs="Arial"/>
                        <w:sz w:val="20"/>
                        <w:szCs w:val="20"/>
                      </w:rPr>
                      <w:t>-</w:t>
                    </w:r>
                  </w:p>
                </w:tc>
                <w:tc>
                  <w:tcPr>
                    <w:tcW w:w="115" w:type="dxa"/>
                    <w:noWrap/>
                    <w:vAlign w:val="bottom"/>
                    <w:hideMark/>
                  </w:tcPr>
                  <w:p w:rsidR="003F6BA0" w:rsidRPr="003F6BA0" w:rsidRDefault="003F6BA0">
                    <w:pPr>
                      <w:rPr>
                        <w:rFonts w:cs="Arial"/>
                        <w:sz w:val="20"/>
                        <w:szCs w:val="20"/>
                      </w:rPr>
                    </w:pPr>
                  </w:p>
                </w:tc>
                <w:tc>
                  <w:tcPr>
                    <w:tcW w:w="26" w:type="dxa"/>
                    <w:noWrap/>
                    <w:vAlign w:val="bottom"/>
                    <w:hideMark/>
                  </w:tcPr>
                  <w:p w:rsidR="003F6BA0" w:rsidRPr="003F6BA0" w:rsidRDefault="003F6BA0">
                    <w:pPr>
                      <w:rPr>
                        <w:sz w:val="20"/>
                        <w:szCs w:val="20"/>
                      </w:rPr>
                    </w:pPr>
                  </w:p>
                </w:tc>
                <w:tc>
                  <w:tcPr>
                    <w:tcW w:w="1560" w:type="dxa"/>
                    <w:noWrap/>
                    <w:hideMark/>
                  </w:tcPr>
                  <w:p w:rsidR="003F6BA0" w:rsidRPr="003F6BA0" w:rsidRDefault="003F6BA0">
                    <w:pPr>
                      <w:kinsoku w:val="0"/>
                      <w:overflowPunct w:val="0"/>
                      <w:autoSpaceDE w:val="0"/>
                      <w:autoSpaceDN w:val="0"/>
                      <w:adjustRightInd w:val="0"/>
                      <w:snapToGrid w:val="0"/>
                      <w:jc w:val="right"/>
                      <w:rPr>
                        <w:rFonts w:cs="Arial"/>
                        <w:sz w:val="20"/>
                        <w:szCs w:val="20"/>
                      </w:rPr>
                    </w:pPr>
                    <w:r w:rsidRPr="003F6BA0">
                      <w:rPr>
                        <w:rFonts w:cs="Arial"/>
                        <w:sz w:val="20"/>
                        <w:szCs w:val="20"/>
                      </w:rPr>
                      <w:t>11,000,000</w:t>
                    </w:r>
                  </w:p>
                </w:tc>
              </w:tr>
              <w:tr w:rsidR="003F6BA0" w:rsidRPr="003F6BA0" w:rsidTr="003F6BA0">
                <w:tc>
                  <w:tcPr>
                    <w:tcW w:w="5103" w:type="dxa"/>
                    <w:hideMark/>
                  </w:tcPr>
                  <w:p w:rsidR="003F6BA0" w:rsidRPr="003F6BA0" w:rsidRDefault="003F6BA0">
                    <w:pPr>
                      <w:kinsoku w:val="0"/>
                      <w:overflowPunct w:val="0"/>
                      <w:autoSpaceDE w:val="0"/>
                      <w:autoSpaceDN w:val="0"/>
                      <w:adjustRightInd w:val="0"/>
                      <w:snapToGrid w:val="0"/>
                      <w:rPr>
                        <w:rFonts w:cs="Arial"/>
                        <w:color w:val="000000"/>
                        <w:sz w:val="20"/>
                        <w:szCs w:val="20"/>
                      </w:rPr>
                    </w:pPr>
                    <w:r w:rsidRPr="003F6BA0">
                      <w:rPr>
                        <w:rFonts w:hint="eastAsia"/>
                        <w:color w:val="000000"/>
                        <w:sz w:val="20"/>
                        <w:szCs w:val="20"/>
                      </w:rPr>
                      <w:t>支撑互联网+新模式的企业互联网开放平台建设与运营</w:t>
                    </w:r>
                  </w:p>
                </w:tc>
                <w:tc>
                  <w:tcPr>
                    <w:tcW w:w="115" w:type="dxa"/>
                    <w:noWrap/>
                    <w:vAlign w:val="center"/>
                  </w:tcPr>
                  <w:p w:rsidR="003F6BA0" w:rsidRPr="003F6BA0" w:rsidRDefault="003F6BA0">
                    <w:pPr>
                      <w:kinsoku w:val="0"/>
                      <w:overflowPunct w:val="0"/>
                      <w:autoSpaceDE w:val="0"/>
                      <w:autoSpaceDN w:val="0"/>
                      <w:adjustRightInd w:val="0"/>
                      <w:snapToGrid w:val="0"/>
                      <w:rPr>
                        <w:rFonts w:cs="Arial"/>
                        <w:color w:val="000000"/>
                        <w:sz w:val="20"/>
                        <w:szCs w:val="20"/>
                      </w:rPr>
                    </w:pPr>
                  </w:p>
                </w:tc>
                <w:tc>
                  <w:tcPr>
                    <w:tcW w:w="1445" w:type="dxa"/>
                    <w:noWrap/>
                    <w:vAlign w:val="bottom"/>
                    <w:hideMark/>
                  </w:tcPr>
                  <w:p w:rsidR="003F6BA0" w:rsidRPr="003F6BA0" w:rsidRDefault="003F6BA0">
                    <w:pPr>
                      <w:kinsoku w:val="0"/>
                      <w:overflowPunct w:val="0"/>
                      <w:autoSpaceDE w:val="0"/>
                      <w:autoSpaceDN w:val="0"/>
                      <w:adjustRightInd w:val="0"/>
                      <w:snapToGrid w:val="0"/>
                      <w:jc w:val="right"/>
                      <w:rPr>
                        <w:rFonts w:cs="Arial"/>
                        <w:sz w:val="20"/>
                        <w:szCs w:val="20"/>
                      </w:rPr>
                    </w:pPr>
                    <w:r w:rsidRPr="003F6BA0">
                      <w:rPr>
                        <w:rFonts w:cs="Arial"/>
                        <w:sz w:val="20"/>
                        <w:szCs w:val="20"/>
                      </w:rPr>
                      <w:t>-</w:t>
                    </w:r>
                  </w:p>
                </w:tc>
                <w:tc>
                  <w:tcPr>
                    <w:tcW w:w="115" w:type="dxa"/>
                    <w:noWrap/>
                    <w:vAlign w:val="bottom"/>
                  </w:tcPr>
                  <w:p w:rsidR="003F6BA0" w:rsidRPr="003F6BA0" w:rsidRDefault="003F6BA0">
                    <w:pPr>
                      <w:kinsoku w:val="0"/>
                      <w:overflowPunct w:val="0"/>
                      <w:autoSpaceDE w:val="0"/>
                      <w:autoSpaceDN w:val="0"/>
                      <w:adjustRightInd w:val="0"/>
                      <w:snapToGrid w:val="0"/>
                      <w:jc w:val="right"/>
                      <w:rPr>
                        <w:rFonts w:cs="Arial"/>
                        <w:color w:val="000000"/>
                        <w:sz w:val="20"/>
                        <w:szCs w:val="20"/>
                      </w:rPr>
                    </w:pPr>
                  </w:p>
                </w:tc>
                <w:tc>
                  <w:tcPr>
                    <w:tcW w:w="26" w:type="dxa"/>
                    <w:noWrap/>
                    <w:vAlign w:val="bottom"/>
                  </w:tcPr>
                  <w:p w:rsidR="003F6BA0" w:rsidRPr="003F6BA0" w:rsidRDefault="003F6BA0">
                    <w:pPr>
                      <w:kinsoku w:val="0"/>
                      <w:overflowPunct w:val="0"/>
                      <w:autoSpaceDE w:val="0"/>
                      <w:autoSpaceDN w:val="0"/>
                      <w:adjustRightInd w:val="0"/>
                      <w:snapToGrid w:val="0"/>
                      <w:jc w:val="right"/>
                      <w:rPr>
                        <w:rFonts w:cs="Arial"/>
                        <w:sz w:val="20"/>
                        <w:szCs w:val="20"/>
                      </w:rPr>
                    </w:pPr>
                  </w:p>
                </w:tc>
                <w:tc>
                  <w:tcPr>
                    <w:tcW w:w="1560" w:type="dxa"/>
                    <w:noWrap/>
                    <w:vAlign w:val="bottom"/>
                    <w:hideMark/>
                  </w:tcPr>
                  <w:p w:rsidR="003F6BA0" w:rsidRPr="003F6BA0" w:rsidRDefault="003F6BA0">
                    <w:pPr>
                      <w:kinsoku w:val="0"/>
                      <w:overflowPunct w:val="0"/>
                      <w:autoSpaceDE w:val="0"/>
                      <w:autoSpaceDN w:val="0"/>
                      <w:adjustRightInd w:val="0"/>
                      <w:snapToGrid w:val="0"/>
                      <w:jc w:val="right"/>
                      <w:rPr>
                        <w:rFonts w:cs="Arial"/>
                        <w:sz w:val="20"/>
                        <w:szCs w:val="20"/>
                      </w:rPr>
                    </w:pPr>
                    <w:r w:rsidRPr="003F6BA0">
                      <w:rPr>
                        <w:rFonts w:cs="Arial"/>
                        <w:sz w:val="20"/>
                        <w:szCs w:val="20"/>
                      </w:rPr>
                      <w:t>4,000,000</w:t>
                    </w:r>
                  </w:p>
                </w:tc>
              </w:tr>
              <w:tr w:rsidR="003F6BA0" w:rsidRPr="003F6BA0" w:rsidTr="003F6BA0">
                <w:tc>
                  <w:tcPr>
                    <w:tcW w:w="5103" w:type="dxa"/>
                    <w:hideMark/>
                  </w:tcPr>
                  <w:p w:rsidR="003F6BA0" w:rsidRPr="003F6BA0" w:rsidRDefault="003F6BA0">
                    <w:pPr>
                      <w:kinsoku w:val="0"/>
                      <w:overflowPunct w:val="0"/>
                      <w:autoSpaceDE w:val="0"/>
                      <w:autoSpaceDN w:val="0"/>
                      <w:adjustRightInd w:val="0"/>
                      <w:snapToGrid w:val="0"/>
                      <w:rPr>
                        <w:rFonts w:cs="Arial"/>
                        <w:sz w:val="20"/>
                        <w:szCs w:val="20"/>
                      </w:rPr>
                    </w:pPr>
                    <w:r w:rsidRPr="003F6BA0">
                      <w:rPr>
                        <w:rFonts w:hint="eastAsia"/>
                        <w:color w:val="000000"/>
                        <w:sz w:val="20"/>
                        <w:szCs w:val="20"/>
                      </w:rPr>
                      <w:t>汽车行业大数据智能分析应用示范</w:t>
                    </w:r>
                  </w:p>
                </w:tc>
                <w:tc>
                  <w:tcPr>
                    <w:tcW w:w="115" w:type="dxa"/>
                    <w:noWrap/>
                    <w:vAlign w:val="center"/>
                    <w:hideMark/>
                  </w:tcPr>
                  <w:p w:rsidR="003F6BA0" w:rsidRPr="003F6BA0" w:rsidRDefault="003F6BA0">
                    <w:pPr>
                      <w:kinsoku w:val="0"/>
                      <w:overflowPunct w:val="0"/>
                      <w:autoSpaceDE w:val="0"/>
                      <w:autoSpaceDN w:val="0"/>
                      <w:adjustRightInd w:val="0"/>
                      <w:snapToGrid w:val="0"/>
                      <w:rPr>
                        <w:rFonts w:cs="Arial"/>
                        <w:color w:val="000000"/>
                        <w:sz w:val="20"/>
                        <w:szCs w:val="20"/>
                      </w:rPr>
                    </w:pPr>
                    <w:r w:rsidRPr="003F6BA0">
                      <w:rPr>
                        <w:rFonts w:cs="Arial"/>
                        <w:color w:val="000000"/>
                        <w:sz w:val="20"/>
                        <w:szCs w:val="20"/>
                      </w:rPr>
                      <w:t xml:space="preserve"> </w:t>
                    </w:r>
                  </w:p>
                </w:tc>
                <w:tc>
                  <w:tcPr>
                    <w:tcW w:w="1445" w:type="dxa"/>
                    <w:noWrap/>
                    <w:vAlign w:val="bottom"/>
                    <w:hideMark/>
                  </w:tcPr>
                  <w:p w:rsidR="003F6BA0" w:rsidRPr="003F6BA0" w:rsidRDefault="003F6BA0">
                    <w:pPr>
                      <w:kinsoku w:val="0"/>
                      <w:overflowPunct w:val="0"/>
                      <w:autoSpaceDE w:val="0"/>
                      <w:autoSpaceDN w:val="0"/>
                      <w:adjustRightInd w:val="0"/>
                      <w:snapToGrid w:val="0"/>
                      <w:jc w:val="right"/>
                      <w:rPr>
                        <w:rFonts w:cs="Arial"/>
                        <w:sz w:val="20"/>
                        <w:szCs w:val="20"/>
                      </w:rPr>
                    </w:pPr>
                    <w:r w:rsidRPr="003F6BA0">
                      <w:rPr>
                        <w:rFonts w:cs="Arial"/>
                        <w:sz w:val="20"/>
                        <w:szCs w:val="20"/>
                      </w:rPr>
                      <w:t>-</w:t>
                    </w:r>
                  </w:p>
                </w:tc>
                <w:tc>
                  <w:tcPr>
                    <w:tcW w:w="115" w:type="dxa"/>
                    <w:noWrap/>
                    <w:vAlign w:val="bottom"/>
                  </w:tcPr>
                  <w:p w:rsidR="003F6BA0" w:rsidRPr="003F6BA0" w:rsidRDefault="003F6BA0">
                    <w:pPr>
                      <w:kinsoku w:val="0"/>
                      <w:overflowPunct w:val="0"/>
                      <w:autoSpaceDE w:val="0"/>
                      <w:autoSpaceDN w:val="0"/>
                      <w:adjustRightInd w:val="0"/>
                      <w:snapToGrid w:val="0"/>
                      <w:jc w:val="right"/>
                      <w:rPr>
                        <w:rFonts w:cs="Arial"/>
                        <w:color w:val="000000"/>
                        <w:sz w:val="20"/>
                        <w:szCs w:val="20"/>
                      </w:rPr>
                    </w:pPr>
                  </w:p>
                </w:tc>
                <w:tc>
                  <w:tcPr>
                    <w:tcW w:w="26" w:type="dxa"/>
                    <w:noWrap/>
                    <w:vAlign w:val="bottom"/>
                  </w:tcPr>
                  <w:p w:rsidR="003F6BA0" w:rsidRPr="003F6BA0" w:rsidRDefault="003F6BA0">
                    <w:pPr>
                      <w:kinsoku w:val="0"/>
                      <w:overflowPunct w:val="0"/>
                      <w:autoSpaceDE w:val="0"/>
                      <w:autoSpaceDN w:val="0"/>
                      <w:adjustRightInd w:val="0"/>
                      <w:snapToGrid w:val="0"/>
                      <w:jc w:val="right"/>
                      <w:rPr>
                        <w:rFonts w:cs="Arial"/>
                        <w:sz w:val="20"/>
                        <w:szCs w:val="20"/>
                      </w:rPr>
                    </w:pPr>
                  </w:p>
                </w:tc>
                <w:tc>
                  <w:tcPr>
                    <w:tcW w:w="1560" w:type="dxa"/>
                    <w:noWrap/>
                    <w:hideMark/>
                  </w:tcPr>
                  <w:p w:rsidR="003F6BA0" w:rsidRPr="003F6BA0" w:rsidRDefault="003F6BA0">
                    <w:pPr>
                      <w:kinsoku w:val="0"/>
                      <w:overflowPunct w:val="0"/>
                      <w:autoSpaceDE w:val="0"/>
                      <w:autoSpaceDN w:val="0"/>
                      <w:adjustRightInd w:val="0"/>
                      <w:snapToGrid w:val="0"/>
                      <w:jc w:val="right"/>
                      <w:rPr>
                        <w:rFonts w:cs="Arial"/>
                        <w:sz w:val="20"/>
                        <w:szCs w:val="20"/>
                      </w:rPr>
                    </w:pPr>
                    <w:r w:rsidRPr="003F6BA0">
                      <w:rPr>
                        <w:rFonts w:cs="Arial"/>
                        <w:sz w:val="20"/>
                        <w:szCs w:val="20"/>
                      </w:rPr>
                      <w:t>1,200,000</w:t>
                    </w:r>
                  </w:p>
                </w:tc>
              </w:tr>
              <w:tr w:rsidR="003F6BA0" w:rsidRPr="003F6BA0" w:rsidTr="003F6BA0">
                <w:tc>
                  <w:tcPr>
                    <w:tcW w:w="5103" w:type="dxa"/>
                    <w:vAlign w:val="bottom"/>
                    <w:hideMark/>
                  </w:tcPr>
                  <w:p w:rsidR="003F6BA0" w:rsidRPr="003F6BA0" w:rsidRDefault="003F6BA0">
                    <w:pPr>
                      <w:kinsoku w:val="0"/>
                      <w:overflowPunct w:val="0"/>
                      <w:autoSpaceDE w:val="0"/>
                      <w:autoSpaceDN w:val="0"/>
                      <w:adjustRightInd w:val="0"/>
                      <w:snapToGrid w:val="0"/>
                      <w:rPr>
                        <w:rFonts w:cs="Arial"/>
                        <w:sz w:val="20"/>
                        <w:szCs w:val="20"/>
                      </w:rPr>
                    </w:pPr>
                    <w:r w:rsidRPr="003F6BA0">
                      <w:rPr>
                        <w:rFonts w:cs="Arial" w:hint="eastAsia"/>
                        <w:sz w:val="20"/>
                        <w:szCs w:val="20"/>
                      </w:rPr>
                      <w:t>基于云平台的大型企业资源管理系统（</w:t>
                    </w:r>
                    <w:r w:rsidRPr="003F6BA0">
                      <w:rPr>
                        <w:rFonts w:cs="Arial"/>
                        <w:sz w:val="20"/>
                        <w:szCs w:val="20"/>
                      </w:rPr>
                      <w:t>ERP</w:t>
                    </w:r>
                    <w:r w:rsidRPr="003F6BA0">
                      <w:rPr>
                        <w:rFonts w:cs="Arial" w:hint="eastAsia"/>
                        <w:sz w:val="20"/>
                        <w:szCs w:val="20"/>
                      </w:rPr>
                      <w:t>）解决方案应用推广</w:t>
                    </w:r>
                  </w:p>
                </w:tc>
                <w:tc>
                  <w:tcPr>
                    <w:tcW w:w="115" w:type="dxa"/>
                    <w:noWrap/>
                    <w:vAlign w:val="center"/>
                  </w:tcPr>
                  <w:p w:rsidR="003F6BA0" w:rsidRPr="003F6BA0" w:rsidRDefault="003F6BA0">
                    <w:pPr>
                      <w:kinsoku w:val="0"/>
                      <w:overflowPunct w:val="0"/>
                      <w:autoSpaceDE w:val="0"/>
                      <w:autoSpaceDN w:val="0"/>
                      <w:adjustRightInd w:val="0"/>
                      <w:snapToGrid w:val="0"/>
                      <w:rPr>
                        <w:rFonts w:cs="Arial"/>
                        <w:color w:val="000000"/>
                        <w:sz w:val="20"/>
                        <w:szCs w:val="20"/>
                      </w:rPr>
                    </w:pPr>
                  </w:p>
                </w:tc>
                <w:tc>
                  <w:tcPr>
                    <w:tcW w:w="1445" w:type="dxa"/>
                    <w:noWrap/>
                    <w:vAlign w:val="bottom"/>
                    <w:hideMark/>
                  </w:tcPr>
                  <w:p w:rsidR="003F6BA0" w:rsidRPr="003F6BA0" w:rsidRDefault="003F6BA0">
                    <w:pPr>
                      <w:kinsoku w:val="0"/>
                      <w:overflowPunct w:val="0"/>
                      <w:autoSpaceDE w:val="0"/>
                      <w:autoSpaceDN w:val="0"/>
                      <w:adjustRightInd w:val="0"/>
                      <w:snapToGrid w:val="0"/>
                      <w:jc w:val="right"/>
                      <w:rPr>
                        <w:rFonts w:cs="Arial"/>
                        <w:color w:val="000000"/>
                        <w:sz w:val="20"/>
                        <w:szCs w:val="20"/>
                      </w:rPr>
                    </w:pPr>
                    <w:r w:rsidRPr="003F6BA0">
                      <w:rPr>
                        <w:rFonts w:cs="Arial"/>
                        <w:color w:val="000000"/>
                        <w:sz w:val="20"/>
                        <w:szCs w:val="20"/>
                      </w:rPr>
                      <w:t>4,000,000</w:t>
                    </w:r>
                  </w:p>
                </w:tc>
                <w:tc>
                  <w:tcPr>
                    <w:tcW w:w="115" w:type="dxa"/>
                    <w:noWrap/>
                    <w:vAlign w:val="bottom"/>
                  </w:tcPr>
                  <w:p w:rsidR="003F6BA0" w:rsidRPr="003F6BA0" w:rsidRDefault="003F6BA0">
                    <w:pPr>
                      <w:kinsoku w:val="0"/>
                      <w:overflowPunct w:val="0"/>
                      <w:autoSpaceDE w:val="0"/>
                      <w:autoSpaceDN w:val="0"/>
                      <w:adjustRightInd w:val="0"/>
                      <w:snapToGrid w:val="0"/>
                      <w:jc w:val="right"/>
                      <w:rPr>
                        <w:rFonts w:cs="Arial"/>
                        <w:color w:val="000000"/>
                        <w:sz w:val="20"/>
                        <w:szCs w:val="20"/>
                      </w:rPr>
                    </w:pPr>
                  </w:p>
                </w:tc>
                <w:tc>
                  <w:tcPr>
                    <w:tcW w:w="26" w:type="dxa"/>
                    <w:noWrap/>
                    <w:vAlign w:val="bottom"/>
                  </w:tcPr>
                  <w:p w:rsidR="003F6BA0" w:rsidRPr="003F6BA0" w:rsidRDefault="003F6BA0">
                    <w:pPr>
                      <w:kinsoku w:val="0"/>
                      <w:overflowPunct w:val="0"/>
                      <w:autoSpaceDE w:val="0"/>
                      <w:autoSpaceDN w:val="0"/>
                      <w:adjustRightInd w:val="0"/>
                      <w:snapToGrid w:val="0"/>
                      <w:jc w:val="right"/>
                      <w:rPr>
                        <w:rFonts w:cs="Arial"/>
                        <w:sz w:val="20"/>
                        <w:szCs w:val="20"/>
                      </w:rPr>
                    </w:pPr>
                  </w:p>
                </w:tc>
                <w:tc>
                  <w:tcPr>
                    <w:tcW w:w="1560" w:type="dxa"/>
                    <w:noWrap/>
                    <w:vAlign w:val="bottom"/>
                    <w:hideMark/>
                  </w:tcPr>
                  <w:p w:rsidR="003F6BA0" w:rsidRPr="003F6BA0" w:rsidRDefault="003F6BA0">
                    <w:pPr>
                      <w:kinsoku w:val="0"/>
                      <w:overflowPunct w:val="0"/>
                      <w:autoSpaceDE w:val="0"/>
                      <w:autoSpaceDN w:val="0"/>
                      <w:adjustRightInd w:val="0"/>
                      <w:snapToGrid w:val="0"/>
                      <w:jc w:val="right"/>
                      <w:rPr>
                        <w:rFonts w:cs="Arial"/>
                        <w:sz w:val="20"/>
                        <w:szCs w:val="20"/>
                      </w:rPr>
                    </w:pPr>
                    <w:r w:rsidRPr="003F6BA0">
                      <w:rPr>
                        <w:rFonts w:cs="Arial"/>
                        <w:sz w:val="20"/>
                        <w:szCs w:val="20"/>
                      </w:rPr>
                      <w:t>-</w:t>
                    </w:r>
                  </w:p>
                </w:tc>
              </w:tr>
              <w:tr w:rsidR="003F6BA0" w:rsidRPr="003F6BA0" w:rsidTr="003F6BA0">
                <w:tc>
                  <w:tcPr>
                    <w:tcW w:w="5103" w:type="dxa"/>
                    <w:hideMark/>
                  </w:tcPr>
                  <w:p w:rsidR="003F6BA0" w:rsidRPr="003F6BA0" w:rsidRDefault="003F6BA0">
                    <w:pPr>
                      <w:kinsoku w:val="0"/>
                      <w:overflowPunct w:val="0"/>
                      <w:autoSpaceDE w:val="0"/>
                      <w:autoSpaceDN w:val="0"/>
                      <w:adjustRightInd w:val="0"/>
                      <w:snapToGrid w:val="0"/>
                      <w:rPr>
                        <w:rFonts w:cs="Arial"/>
                        <w:sz w:val="20"/>
                        <w:szCs w:val="20"/>
                      </w:rPr>
                    </w:pPr>
                    <w:r w:rsidRPr="003F6BA0">
                      <w:rPr>
                        <w:rFonts w:cs="Arial"/>
                        <w:sz w:val="20"/>
                        <w:szCs w:val="20"/>
                      </w:rPr>
                      <w:t>2019</w:t>
                    </w:r>
                    <w:r w:rsidRPr="003F6BA0">
                      <w:rPr>
                        <w:rFonts w:cs="Arial" w:hint="eastAsia"/>
                        <w:sz w:val="20"/>
                        <w:szCs w:val="20"/>
                      </w:rPr>
                      <w:t>年北京市高精尖产业发展专项</w:t>
                    </w:r>
                  </w:p>
                </w:tc>
                <w:tc>
                  <w:tcPr>
                    <w:tcW w:w="115" w:type="dxa"/>
                    <w:noWrap/>
                    <w:vAlign w:val="center"/>
                  </w:tcPr>
                  <w:p w:rsidR="003F6BA0" w:rsidRPr="003F6BA0" w:rsidRDefault="003F6BA0">
                    <w:pPr>
                      <w:kinsoku w:val="0"/>
                      <w:overflowPunct w:val="0"/>
                      <w:autoSpaceDE w:val="0"/>
                      <w:autoSpaceDN w:val="0"/>
                      <w:adjustRightInd w:val="0"/>
                      <w:snapToGrid w:val="0"/>
                      <w:rPr>
                        <w:rFonts w:cs="Arial"/>
                        <w:color w:val="000000"/>
                        <w:sz w:val="20"/>
                        <w:szCs w:val="20"/>
                      </w:rPr>
                    </w:pPr>
                  </w:p>
                </w:tc>
                <w:tc>
                  <w:tcPr>
                    <w:tcW w:w="1445" w:type="dxa"/>
                    <w:noWrap/>
                    <w:vAlign w:val="bottom"/>
                    <w:hideMark/>
                  </w:tcPr>
                  <w:p w:rsidR="003F6BA0" w:rsidRPr="003F6BA0" w:rsidRDefault="003F6BA0">
                    <w:pPr>
                      <w:kinsoku w:val="0"/>
                      <w:overflowPunct w:val="0"/>
                      <w:autoSpaceDE w:val="0"/>
                      <w:autoSpaceDN w:val="0"/>
                      <w:adjustRightInd w:val="0"/>
                      <w:snapToGrid w:val="0"/>
                      <w:jc w:val="right"/>
                      <w:rPr>
                        <w:rFonts w:cs="Arial"/>
                        <w:color w:val="000000"/>
                        <w:sz w:val="20"/>
                        <w:szCs w:val="20"/>
                      </w:rPr>
                    </w:pPr>
                    <w:r w:rsidRPr="003F6BA0">
                      <w:rPr>
                        <w:rFonts w:cs="Arial"/>
                        <w:color w:val="000000"/>
                        <w:sz w:val="20"/>
                        <w:szCs w:val="20"/>
                      </w:rPr>
                      <w:t>8,770,000</w:t>
                    </w:r>
                  </w:p>
                </w:tc>
                <w:tc>
                  <w:tcPr>
                    <w:tcW w:w="115" w:type="dxa"/>
                    <w:noWrap/>
                    <w:vAlign w:val="bottom"/>
                  </w:tcPr>
                  <w:p w:rsidR="003F6BA0" w:rsidRPr="003F6BA0" w:rsidRDefault="003F6BA0">
                    <w:pPr>
                      <w:kinsoku w:val="0"/>
                      <w:overflowPunct w:val="0"/>
                      <w:autoSpaceDE w:val="0"/>
                      <w:autoSpaceDN w:val="0"/>
                      <w:adjustRightInd w:val="0"/>
                      <w:snapToGrid w:val="0"/>
                      <w:jc w:val="right"/>
                      <w:rPr>
                        <w:rFonts w:cs="Arial"/>
                        <w:color w:val="000000"/>
                        <w:sz w:val="20"/>
                        <w:szCs w:val="20"/>
                      </w:rPr>
                    </w:pPr>
                  </w:p>
                </w:tc>
                <w:tc>
                  <w:tcPr>
                    <w:tcW w:w="26" w:type="dxa"/>
                    <w:noWrap/>
                    <w:vAlign w:val="bottom"/>
                  </w:tcPr>
                  <w:p w:rsidR="003F6BA0" w:rsidRPr="003F6BA0" w:rsidRDefault="003F6BA0">
                    <w:pPr>
                      <w:kinsoku w:val="0"/>
                      <w:overflowPunct w:val="0"/>
                      <w:autoSpaceDE w:val="0"/>
                      <w:autoSpaceDN w:val="0"/>
                      <w:adjustRightInd w:val="0"/>
                      <w:snapToGrid w:val="0"/>
                      <w:jc w:val="right"/>
                      <w:rPr>
                        <w:rFonts w:cs="Arial"/>
                        <w:sz w:val="20"/>
                        <w:szCs w:val="20"/>
                      </w:rPr>
                    </w:pPr>
                  </w:p>
                </w:tc>
                <w:tc>
                  <w:tcPr>
                    <w:tcW w:w="1560" w:type="dxa"/>
                    <w:noWrap/>
                    <w:vAlign w:val="bottom"/>
                    <w:hideMark/>
                  </w:tcPr>
                  <w:p w:rsidR="003F6BA0" w:rsidRPr="003F6BA0" w:rsidRDefault="003F6BA0">
                    <w:pPr>
                      <w:kinsoku w:val="0"/>
                      <w:overflowPunct w:val="0"/>
                      <w:autoSpaceDE w:val="0"/>
                      <w:autoSpaceDN w:val="0"/>
                      <w:adjustRightInd w:val="0"/>
                      <w:snapToGrid w:val="0"/>
                      <w:jc w:val="right"/>
                      <w:rPr>
                        <w:rFonts w:cs="Arial"/>
                        <w:sz w:val="20"/>
                        <w:szCs w:val="20"/>
                      </w:rPr>
                    </w:pPr>
                    <w:r w:rsidRPr="003F6BA0">
                      <w:rPr>
                        <w:rFonts w:cs="Arial"/>
                        <w:sz w:val="20"/>
                        <w:szCs w:val="20"/>
                      </w:rPr>
                      <w:t>-</w:t>
                    </w:r>
                  </w:p>
                </w:tc>
              </w:tr>
              <w:tr w:rsidR="003F6BA0" w:rsidRPr="003F6BA0" w:rsidTr="003F6BA0">
                <w:tc>
                  <w:tcPr>
                    <w:tcW w:w="5103" w:type="dxa"/>
                    <w:hideMark/>
                  </w:tcPr>
                  <w:p w:rsidR="003F6BA0" w:rsidRPr="003F6BA0" w:rsidRDefault="003F6BA0">
                    <w:pPr>
                      <w:kinsoku w:val="0"/>
                      <w:overflowPunct w:val="0"/>
                      <w:autoSpaceDE w:val="0"/>
                      <w:autoSpaceDN w:val="0"/>
                      <w:adjustRightInd w:val="0"/>
                      <w:snapToGrid w:val="0"/>
                      <w:rPr>
                        <w:rFonts w:cs="Arial"/>
                        <w:sz w:val="20"/>
                        <w:szCs w:val="20"/>
                      </w:rPr>
                    </w:pPr>
                    <w:r w:rsidRPr="003F6BA0">
                      <w:rPr>
                        <w:rFonts w:cs="Arial" w:hint="eastAsia"/>
                        <w:sz w:val="20"/>
                        <w:szCs w:val="20"/>
                      </w:rPr>
                      <w:t>用友精智工业互联网平台研发与产业化推广</w:t>
                    </w:r>
                  </w:p>
                </w:tc>
                <w:tc>
                  <w:tcPr>
                    <w:tcW w:w="115" w:type="dxa"/>
                    <w:noWrap/>
                    <w:vAlign w:val="center"/>
                  </w:tcPr>
                  <w:p w:rsidR="003F6BA0" w:rsidRPr="003F6BA0" w:rsidRDefault="003F6BA0">
                    <w:pPr>
                      <w:kinsoku w:val="0"/>
                      <w:overflowPunct w:val="0"/>
                      <w:autoSpaceDE w:val="0"/>
                      <w:autoSpaceDN w:val="0"/>
                      <w:adjustRightInd w:val="0"/>
                      <w:snapToGrid w:val="0"/>
                      <w:rPr>
                        <w:rFonts w:cs="Arial"/>
                        <w:color w:val="000000"/>
                        <w:sz w:val="20"/>
                        <w:szCs w:val="20"/>
                      </w:rPr>
                    </w:pPr>
                  </w:p>
                </w:tc>
                <w:tc>
                  <w:tcPr>
                    <w:tcW w:w="1445" w:type="dxa"/>
                    <w:noWrap/>
                    <w:vAlign w:val="bottom"/>
                    <w:hideMark/>
                  </w:tcPr>
                  <w:p w:rsidR="003F6BA0" w:rsidRPr="003F6BA0" w:rsidRDefault="003F6BA0">
                    <w:pPr>
                      <w:kinsoku w:val="0"/>
                      <w:overflowPunct w:val="0"/>
                      <w:autoSpaceDE w:val="0"/>
                      <w:autoSpaceDN w:val="0"/>
                      <w:adjustRightInd w:val="0"/>
                      <w:snapToGrid w:val="0"/>
                      <w:jc w:val="right"/>
                      <w:rPr>
                        <w:rFonts w:cs="Arial"/>
                        <w:color w:val="000000"/>
                        <w:sz w:val="20"/>
                        <w:szCs w:val="20"/>
                      </w:rPr>
                    </w:pPr>
                    <w:r w:rsidRPr="003F6BA0">
                      <w:rPr>
                        <w:rFonts w:cs="Arial"/>
                        <w:color w:val="000000"/>
                        <w:sz w:val="20"/>
                        <w:szCs w:val="20"/>
                      </w:rPr>
                      <w:t>10,000,000</w:t>
                    </w:r>
                  </w:p>
                </w:tc>
                <w:tc>
                  <w:tcPr>
                    <w:tcW w:w="115" w:type="dxa"/>
                    <w:noWrap/>
                    <w:vAlign w:val="bottom"/>
                  </w:tcPr>
                  <w:p w:rsidR="003F6BA0" w:rsidRPr="003F6BA0" w:rsidRDefault="003F6BA0">
                    <w:pPr>
                      <w:kinsoku w:val="0"/>
                      <w:overflowPunct w:val="0"/>
                      <w:autoSpaceDE w:val="0"/>
                      <w:autoSpaceDN w:val="0"/>
                      <w:adjustRightInd w:val="0"/>
                      <w:snapToGrid w:val="0"/>
                      <w:jc w:val="right"/>
                      <w:rPr>
                        <w:rFonts w:cs="Arial"/>
                        <w:color w:val="000000"/>
                        <w:sz w:val="20"/>
                        <w:szCs w:val="20"/>
                      </w:rPr>
                    </w:pPr>
                  </w:p>
                </w:tc>
                <w:tc>
                  <w:tcPr>
                    <w:tcW w:w="26" w:type="dxa"/>
                    <w:noWrap/>
                    <w:vAlign w:val="bottom"/>
                  </w:tcPr>
                  <w:p w:rsidR="003F6BA0" w:rsidRPr="003F6BA0" w:rsidRDefault="003F6BA0">
                    <w:pPr>
                      <w:kinsoku w:val="0"/>
                      <w:overflowPunct w:val="0"/>
                      <w:autoSpaceDE w:val="0"/>
                      <w:autoSpaceDN w:val="0"/>
                      <w:adjustRightInd w:val="0"/>
                      <w:snapToGrid w:val="0"/>
                      <w:jc w:val="right"/>
                      <w:rPr>
                        <w:rFonts w:cs="Arial"/>
                        <w:sz w:val="20"/>
                        <w:szCs w:val="20"/>
                      </w:rPr>
                    </w:pPr>
                  </w:p>
                </w:tc>
                <w:tc>
                  <w:tcPr>
                    <w:tcW w:w="1560" w:type="dxa"/>
                    <w:noWrap/>
                    <w:vAlign w:val="bottom"/>
                    <w:hideMark/>
                  </w:tcPr>
                  <w:p w:rsidR="003F6BA0" w:rsidRPr="003F6BA0" w:rsidRDefault="003F6BA0">
                    <w:pPr>
                      <w:kinsoku w:val="0"/>
                      <w:overflowPunct w:val="0"/>
                      <w:autoSpaceDE w:val="0"/>
                      <w:autoSpaceDN w:val="0"/>
                      <w:adjustRightInd w:val="0"/>
                      <w:snapToGrid w:val="0"/>
                      <w:jc w:val="right"/>
                      <w:rPr>
                        <w:rFonts w:cs="Arial"/>
                        <w:sz w:val="20"/>
                        <w:szCs w:val="20"/>
                      </w:rPr>
                    </w:pPr>
                    <w:r w:rsidRPr="003F6BA0">
                      <w:rPr>
                        <w:rFonts w:cs="Arial"/>
                        <w:sz w:val="20"/>
                        <w:szCs w:val="20"/>
                      </w:rPr>
                      <w:t>-</w:t>
                    </w:r>
                  </w:p>
                </w:tc>
              </w:tr>
              <w:tr w:rsidR="003F6BA0" w:rsidRPr="003F6BA0" w:rsidTr="003F6BA0">
                <w:tc>
                  <w:tcPr>
                    <w:tcW w:w="5103" w:type="dxa"/>
                  </w:tcPr>
                  <w:p w:rsidR="003F6BA0" w:rsidRPr="003F6BA0" w:rsidRDefault="003F6BA0">
                    <w:pPr>
                      <w:kinsoku w:val="0"/>
                      <w:overflowPunct w:val="0"/>
                      <w:autoSpaceDE w:val="0"/>
                      <w:autoSpaceDN w:val="0"/>
                      <w:adjustRightInd w:val="0"/>
                      <w:snapToGrid w:val="0"/>
                      <w:rPr>
                        <w:rFonts w:cs="Arial"/>
                        <w:sz w:val="20"/>
                        <w:szCs w:val="20"/>
                      </w:rPr>
                    </w:pPr>
                  </w:p>
                </w:tc>
                <w:tc>
                  <w:tcPr>
                    <w:tcW w:w="115" w:type="dxa"/>
                    <w:noWrap/>
                    <w:vAlign w:val="center"/>
                  </w:tcPr>
                  <w:p w:rsidR="003F6BA0" w:rsidRPr="003F6BA0" w:rsidRDefault="003F6BA0">
                    <w:pPr>
                      <w:kinsoku w:val="0"/>
                      <w:overflowPunct w:val="0"/>
                      <w:autoSpaceDE w:val="0"/>
                      <w:autoSpaceDN w:val="0"/>
                      <w:adjustRightInd w:val="0"/>
                      <w:snapToGrid w:val="0"/>
                      <w:rPr>
                        <w:rFonts w:cs="Arial"/>
                        <w:color w:val="000000"/>
                        <w:sz w:val="20"/>
                        <w:szCs w:val="20"/>
                      </w:rPr>
                    </w:pPr>
                  </w:p>
                </w:tc>
                <w:tc>
                  <w:tcPr>
                    <w:tcW w:w="1445" w:type="dxa"/>
                    <w:noWrap/>
                    <w:vAlign w:val="bottom"/>
                  </w:tcPr>
                  <w:p w:rsidR="003F6BA0" w:rsidRPr="003F6BA0" w:rsidRDefault="003F6BA0">
                    <w:pPr>
                      <w:kinsoku w:val="0"/>
                      <w:overflowPunct w:val="0"/>
                      <w:autoSpaceDE w:val="0"/>
                      <w:autoSpaceDN w:val="0"/>
                      <w:adjustRightInd w:val="0"/>
                      <w:snapToGrid w:val="0"/>
                      <w:jc w:val="right"/>
                      <w:rPr>
                        <w:rFonts w:cs="Arial"/>
                        <w:color w:val="000000"/>
                        <w:sz w:val="20"/>
                        <w:szCs w:val="20"/>
                      </w:rPr>
                    </w:pPr>
                  </w:p>
                </w:tc>
                <w:tc>
                  <w:tcPr>
                    <w:tcW w:w="115" w:type="dxa"/>
                    <w:noWrap/>
                    <w:vAlign w:val="bottom"/>
                  </w:tcPr>
                  <w:p w:rsidR="003F6BA0" w:rsidRPr="003F6BA0" w:rsidRDefault="003F6BA0">
                    <w:pPr>
                      <w:kinsoku w:val="0"/>
                      <w:overflowPunct w:val="0"/>
                      <w:autoSpaceDE w:val="0"/>
                      <w:autoSpaceDN w:val="0"/>
                      <w:adjustRightInd w:val="0"/>
                      <w:snapToGrid w:val="0"/>
                      <w:jc w:val="right"/>
                      <w:rPr>
                        <w:rFonts w:cs="Arial"/>
                        <w:color w:val="000000"/>
                        <w:sz w:val="20"/>
                        <w:szCs w:val="20"/>
                      </w:rPr>
                    </w:pPr>
                  </w:p>
                </w:tc>
                <w:tc>
                  <w:tcPr>
                    <w:tcW w:w="26" w:type="dxa"/>
                    <w:noWrap/>
                    <w:vAlign w:val="bottom"/>
                  </w:tcPr>
                  <w:p w:rsidR="003F6BA0" w:rsidRPr="003F6BA0" w:rsidRDefault="003F6BA0">
                    <w:pPr>
                      <w:kinsoku w:val="0"/>
                      <w:overflowPunct w:val="0"/>
                      <w:autoSpaceDE w:val="0"/>
                      <w:autoSpaceDN w:val="0"/>
                      <w:adjustRightInd w:val="0"/>
                      <w:snapToGrid w:val="0"/>
                      <w:jc w:val="right"/>
                      <w:rPr>
                        <w:rFonts w:cs="Arial"/>
                        <w:sz w:val="20"/>
                        <w:szCs w:val="20"/>
                      </w:rPr>
                    </w:pPr>
                  </w:p>
                </w:tc>
                <w:tc>
                  <w:tcPr>
                    <w:tcW w:w="1560" w:type="dxa"/>
                    <w:noWrap/>
                    <w:vAlign w:val="bottom"/>
                  </w:tcPr>
                  <w:p w:rsidR="003F6BA0" w:rsidRPr="003F6BA0" w:rsidRDefault="003F6BA0">
                    <w:pPr>
                      <w:kinsoku w:val="0"/>
                      <w:overflowPunct w:val="0"/>
                      <w:autoSpaceDE w:val="0"/>
                      <w:autoSpaceDN w:val="0"/>
                      <w:adjustRightInd w:val="0"/>
                      <w:snapToGrid w:val="0"/>
                      <w:jc w:val="right"/>
                      <w:rPr>
                        <w:rFonts w:cs="Arial"/>
                        <w:sz w:val="20"/>
                        <w:szCs w:val="20"/>
                      </w:rPr>
                    </w:pPr>
                  </w:p>
                </w:tc>
              </w:tr>
              <w:tr w:rsidR="003F6BA0" w:rsidRPr="003F6BA0" w:rsidTr="003F6BA0">
                <w:tc>
                  <w:tcPr>
                    <w:tcW w:w="5103" w:type="dxa"/>
                    <w:hideMark/>
                  </w:tcPr>
                  <w:p w:rsidR="003F6BA0" w:rsidRPr="003F6BA0" w:rsidRDefault="003F6BA0">
                    <w:pPr>
                      <w:kinsoku w:val="0"/>
                      <w:overflowPunct w:val="0"/>
                      <w:autoSpaceDE w:val="0"/>
                      <w:autoSpaceDN w:val="0"/>
                      <w:adjustRightInd w:val="0"/>
                      <w:snapToGrid w:val="0"/>
                      <w:ind w:right="400"/>
                      <w:rPr>
                        <w:rFonts w:cs="Arial"/>
                        <w:color w:val="000000"/>
                        <w:sz w:val="20"/>
                        <w:szCs w:val="20"/>
                      </w:rPr>
                    </w:pPr>
                    <w:r w:rsidRPr="003F6BA0">
                      <w:rPr>
                        <w:rFonts w:cs="Arial" w:hint="eastAsia"/>
                        <w:sz w:val="20"/>
                        <w:szCs w:val="20"/>
                      </w:rPr>
                      <w:t>其他</w:t>
                    </w:r>
                  </w:p>
                </w:tc>
                <w:tc>
                  <w:tcPr>
                    <w:tcW w:w="115" w:type="dxa"/>
                    <w:noWrap/>
                    <w:vAlign w:val="center"/>
                    <w:hideMark/>
                  </w:tcPr>
                  <w:p w:rsidR="003F6BA0" w:rsidRPr="003F6BA0" w:rsidRDefault="003F6BA0">
                    <w:pPr>
                      <w:kinsoku w:val="0"/>
                      <w:overflowPunct w:val="0"/>
                      <w:autoSpaceDE w:val="0"/>
                      <w:autoSpaceDN w:val="0"/>
                      <w:adjustRightInd w:val="0"/>
                      <w:snapToGrid w:val="0"/>
                      <w:rPr>
                        <w:rFonts w:cs="Arial"/>
                        <w:color w:val="000000"/>
                        <w:sz w:val="20"/>
                        <w:szCs w:val="20"/>
                      </w:rPr>
                    </w:pPr>
                    <w:r w:rsidRPr="003F6BA0">
                      <w:rPr>
                        <w:rFonts w:cs="Arial"/>
                        <w:color w:val="000000"/>
                        <w:sz w:val="20"/>
                        <w:szCs w:val="20"/>
                      </w:rPr>
                      <w:t xml:space="preserve"> </w:t>
                    </w:r>
                  </w:p>
                </w:tc>
                <w:tc>
                  <w:tcPr>
                    <w:tcW w:w="1445" w:type="dxa"/>
                    <w:noWrap/>
                    <w:vAlign w:val="bottom"/>
                    <w:hideMark/>
                  </w:tcPr>
                  <w:p w:rsidR="003F6BA0" w:rsidRPr="003F6BA0" w:rsidRDefault="003F6BA0">
                    <w:pPr>
                      <w:kinsoku w:val="0"/>
                      <w:wordWrap w:val="0"/>
                      <w:overflowPunct w:val="0"/>
                      <w:autoSpaceDE w:val="0"/>
                      <w:autoSpaceDN w:val="0"/>
                      <w:adjustRightInd w:val="0"/>
                      <w:snapToGrid w:val="0"/>
                      <w:jc w:val="right"/>
                      <w:rPr>
                        <w:rFonts w:cs="Arial"/>
                        <w:sz w:val="20"/>
                        <w:szCs w:val="20"/>
                        <w:u w:val="single"/>
                      </w:rPr>
                    </w:pPr>
                    <w:r w:rsidRPr="003F6BA0">
                      <w:rPr>
                        <w:rFonts w:cs="Arial"/>
                        <w:sz w:val="20"/>
                        <w:szCs w:val="20"/>
                        <w:u w:val="single"/>
                      </w:rPr>
                      <w:t xml:space="preserve"> 2,126,909</w:t>
                    </w:r>
                  </w:p>
                </w:tc>
                <w:tc>
                  <w:tcPr>
                    <w:tcW w:w="115" w:type="dxa"/>
                    <w:noWrap/>
                    <w:vAlign w:val="bottom"/>
                  </w:tcPr>
                  <w:p w:rsidR="003F6BA0" w:rsidRPr="003F6BA0" w:rsidRDefault="003F6BA0">
                    <w:pPr>
                      <w:kinsoku w:val="0"/>
                      <w:overflowPunct w:val="0"/>
                      <w:autoSpaceDE w:val="0"/>
                      <w:autoSpaceDN w:val="0"/>
                      <w:adjustRightInd w:val="0"/>
                      <w:snapToGrid w:val="0"/>
                      <w:jc w:val="right"/>
                      <w:rPr>
                        <w:rFonts w:cs="Arial"/>
                        <w:sz w:val="20"/>
                        <w:szCs w:val="20"/>
                        <w:u w:val="single"/>
                      </w:rPr>
                    </w:pPr>
                  </w:p>
                </w:tc>
                <w:tc>
                  <w:tcPr>
                    <w:tcW w:w="26" w:type="dxa"/>
                    <w:noWrap/>
                    <w:vAlign w:val="bottom"/>
                  </w:tcPr>
                  <w:p w:rsidR="003F6BA0" w:rsidRPr="003F6BA0" w:rsidRDefault="003F6BA0">
                    <w:pPr>
                      <w:kinsoku w:val="0"/>
                      <w:overflowPunct w:val="0"/>
                      <w:autoSpaceDE w:val="0"/>
                      <w:autoSpaceDN w:val="0"/>
                      <w:adjustRightInd w:val="0"/>
                      <w:snapToGrid w:val="0"/>
                      <w:jc w:val="right"/>
                      <w:rPr>
                        <w:rFonts w:cs="Arial"/>
                        <w:sz w:val="20"/>
                        <w:szCs w:val="20"/>
                      </w:rPr>
                    </w:pPr>
                  </w:p>
                </w:tc>
                <w:tc>
                  <w:tcPr>
                    <w:tcW w:w="1560" w:type="dxa"/>
                    <w:noWrap/>
                    <w:vAlign w:val="bottom"/>
                    <w:hideMark/>
                  </w:tcPr>
                  <w:p w:rsidR="003F6BA0" w:rsidRPr="003F6BA0" w:rsidRDefault="003F6BA0">
                    <w:pPr>
                      <w:kinsoku w:val="0"/>
                      <w:overflowPunct w:val="0"/>
                      <w:autoSpaceDE w:val="0"/>
                      <w:autoSpaceDN w:val="0"/>
                      <w:adjustRightInd w:val="0"/>
                      <w:snapToGrid w:val="0"/>
                      <w:jc w:val="right"/>
                      <w:rPr>
                        <w:rFonts w:cs="Arial"/>
                        <w:sz w:val="20"/>
                        <w:szCs w:val="20"/>
                        <w:u w:val="single"/>
                      </w:rPr>
                    </w:pPr>
                    <w:r w:rsidRPr="003F6BA0">
                      <w:rPr>
                        <w:rFonts w:cs="Arial"/>
                        <w:sz w:val="20"/>
                        <w:szCs w:val="20"/>
                        <w:u w:val="single"/>
                      </w:rPr>
                      <w:t xml:space="preserve"> 1,188,955</w:t>
                    </w:r>
                  </w:p>
                </w:tc>
              </w:tr>
              <w:tr w:rsidR="003F6BA0" w:rsidRPr="003F6BA0" w:rsidTr="003F6BA0">
                <w:tc>
                  <w:tcPr>
                    <w:tcW w:w="5103" w:type="dxa"/>
                  </w:tcPr>
                  <w:p w:rsidR="003F6BA0" w:rsidRPr="003F6BA0" w:rsidRDefault="003F6BA0">
                    <w:pPr>
                      <w:kinsoku w:val="0"/>
                      <w:overflowPunct w:val="0"/>
                      <w:autoSpaceDE w:val="0"/>
                      <w:autoSpaceDN w:val="0"/>
                      <w:adjustRightInd w:val="0"/>
                      <w:snapToGrid w:val="0"/>
                      <w:rPr>
                        <w:rFonts w:cs="Arial"/>
                        <w:sz w:val="20"/>
                        <w:szCs w:val="20"/>
                      </w:rPr>
                    </w:pPr>
                  </w:p>
                </w:tc>
                <w:tc>
                  <w:tcPr>
                    <w:tcW w:w="115" w:type="dxa"/>
                    <w:noWrap/>
                    <w:vAlign w:val="center"/>
                  </w:tcPr>
                  <w:p w:rsidR="003F6BA0" w:rsidRPr="003F6BA0" w:rsidRDefault="003F6BA0">
                    <w:pPr>
                      <w:kinsoku w:val="0"/>
                      <w:overflowPunct w:val="0"/>
                      <w:autoSpaceDE w:val="0"/>
                      <w:autoSpaceDN w:val="0"/>
                      <w:adjustRightInd w:val="0"/>
                      <w:snapToGrid w:val="0"/>
                      <w:rPr>
                        <w:rFonts w:cs="Arial"/>
                        <w:color w:val="000000"/>
                        <w:sz w:val="20"/>
                        <w:szCs w:val="20"/>
                      </w:rPr>
                    </w:pPr>
                  </w:p>
                </w:tc>
                <w:tc>
                  <w:tcPr>
                    <w:tcW w:w="1445" w:type="dxa"/>
                    <w:noWrap/>
                    <w:vAlign w:val="bottom"/>
                  </w:tcPr>
                  <w:p w:rsidR="003F6BA0" w:rsidRPr="003F6BA0" w:rsidRDefault="003F6BA0">
                    <w:pPr>
                      <w:kinsoku w:val="0"/>
                      <w:overflowPunct w:val="0"/>
                      <w:autoSpaceDE w:val="0"/>
                      <w:autoSpaceDN w:val="0"/>
                      <w:adjustRightInd w:val="0"/>
                      <w:snapToGrid w:val="0"/>
                      <w:jc w:val="right"/>
                      <w:rPr>
                        <w:rFonts w:cs="Arial"/>
                        <w:color w:val="000000"/>
                        <w:sz w:val="20"/>
                        <w:szCs w:val="20"/>
                      </w:rPr>
                    </w:pPr>
                  </w:p>
                </w:tc>
                <w:tc>
                  <w:tcPr>
                    <w:tcW w:w="115" w:type="dxa"/>
                    <w:noWrap/>
                    <w:vAlign w:val="bottom"/>
                  </w:tcPr>
                  <w:p w:rsidR="003F6BA0" w:rsidRPr="003F6BA0" w:rsidRDefault="003F6BA0">
                    <w:pPr>
                      <w:kinsoku w:val="0"/>
                      <w:overflowPunct w:val="0"/>
                      <w:autoSpaceDE w:val="0"/>
                      <w:autoSpaceDN w:val="0"/>
                      <w:adjustRightInd w:val="0"/>
                      <w:snapToGrid w:val="0"/>
                      <w:jc w:val="right"/>
                      <w:rPr>
                        <w:rFonts w:cs="Arial"/>
                        <w:color w:val="000000"/>
                        <w:sz w:val="20"/>
                        <w:szCs w:val="20"/>
                      </w:rPr>
                    </w:pPr>
                  </w:p>
                </w:tc>
                <w:tc>
                  <w:tcPr>
                    <w:tcW w:w="26" w:type="dxa"/>
                    <w:noWrap/>
                    <w:vAlign w:val="bottom"/>
                  </w:tcPr>
                  <w:p w:rsidR="003F6BA0" w:rsidRPr="003F6BA0" w:rsidRDefault="003F6BA0">
                    <w:pPr>
                      <w:kinsoku w:val="0"/>
                      <w:overflowPunct w:val="0"/>
                      <w:autoSpaceDE w:val="0"/>
                      <w:autoSpaceDN w:val="0"/>
                      <w:adjustRightInd w:val="0"/>
                      <w:snapToGrid w:val="0"/>
                      <w:jc w:val="right"/>
                      <w:rPr>
                        <w:rFonts w:cs="Arial"/>
                        <w:sz w:val="20"/>
                        <w:szCs w:val="20"/>
                      </w:rPr>
                    </w:pPr>
                  </w:p>
                </w:tc>
                <w:tc>
                  <w:tcPr>
                    <w:tcW w:w="1560" w:type="dxa"/>
                    <w:noWrap/>
                    <w:vAlign w:val="bottom"/>
                  </w:tcPr>
                  <w:p w:rsidR="003F6BA0" w:rsidRPr="003F6BA0" w:rsidRDefault="003F6BA0">
                    <w:pPr>
                      <w:kinsoku w:val="0"/>
                      <w:overflowPunct w:val="0"/>
                      <w:autoSpaceDE w:val="0"/>
                      <w:autoSpaceDN w:val="0"/>
                      <w:adjustRightInd w:val="0"/>
                      <w:snapToGrid w:val="0"/>
                      <w:jc w:val="right"/>
                      <w:rPr>
                        <w:rFonts w:cs="Arial"/>
                        <w:sz w:val="20"/>
                        <w:szCs w:val="20"/>
                        <w:u w:val="single"/>
                      </w:rPr>
                    </w:pPr>
                  </w:p>
                </w:tc>
              </w:tr>
              <w:tr w:rsidR="003F6BA0" w:rsidRPr="003F6BA0" w:rsidTr="003F6BA0">
                <w:tc>
                  <w:tcPr>
                    <w:tcW w:w="5103" w:type="dxa"/>
                    <w:noWrap/>
                    <w:vAlign w:val="bottom"/>
                    <w:hideMark/>
                  </w:tcPr>
                  <w:p w:rsidR="003F6BA0" w:rsidRPr="003F6BA0" w:rsidRDefault="003F6BA0">
                    <w:pPr>
                      <w:rPr>
                        <w:rFonts w:cs="Arial"/>
                        <w:sz w:val="20"/>
                        <w:szCs w:val="20"/>
                        <w:u w:val="single"/>
                      </w:rPr>
                    </w:pPr>
                  </w:p>
                </w:tc>
                <w:tc>
                  <w:tcPr>
                    <w:tcW w:w="115" w:type="dxa"/>
                    <w:noWrap/>
                    <w:vAlign w:val="center"/>
                    <w:hideMark/>
                  </w:tcPr>
                  <w:p w:rsidR="003F6BA0" w:rsidRPr="003F6BA0" w:rsidRDefault="003F6BA0">
                    <w:pPr>
                      <w:kinsoku w:val="0"/>
                      <w:overflowPunct w:val="0"/>
                      <w:autoSpaceDE w:val="0"/>
                      <w:autoSpaceDN w:val="0"/>
                      <w:adjustRightInd w:val="0"/>
                      <w:snapToGrid w:val="0"/>
                      <w:rPr>
                        <w:rFonts w:cs="Arial"/>
                        <w:sz w:val="20"/>
                        <w:szCs w:val="20"/>
                      </w:rPr>
                    </w:pPr>
                    <w:r w:rsidRPr="003F6BA0">
                      <w:rPr>
                        <w:rFonts w:cs="Arial"/>
                        <w:color w:val="000000"/>
                        <w:sz w:val="20"/>
                        <w:szCs w:val="20"/>
                      </w:rPr>
                      <w:t xml:space="preserve"> </w:t>
                    </w:r>
                  </w:p>
                </w:tc>
                <w:tc>
                  <w:tcPr>
                    <w:tcW w:w="1445" w:type="dxa"/>
                    <w:noWrap/>
                    <w:vAlign w:val="bottom"/>
                    <w:hideMark/>
                  </w:tcPr>
                  <w:p w:rsidR="003F6BA0" w:rsidRPr="003F6BA0" w:rsidRDefault="003F6BA0">
                    <w:pPr>
                      <w:kinsoku w:val="0"/>
                      <w:overflowPunct w:val="0"/>
                      <w:autoSpaceDE w:val="0"/>
                      <w:autoSpaceDN w:val="0"/>
                      <w:adjustRightInd w:val="0"/>
                      <w:snapToGrid w:val="0"/>
                      <w:jc w:val="right"/>
                      <w:rPr>
                        <w:rFonts w:cs="Arial"/>
                        <w:color w:val="000000"/>
                        <w:sz w:val="20"/>
                        <w:szCs w:val="20"/>
                        <w:u w:val="double"/>
                      </w:rPr>
                    </w:pPr>
                    <w:r w:rsidRPr="003F6BA0">
                      <w:rPr>
                        <w:rFonts w:cs="Arial"/>
                        <w:color w:val="000000"/>
                        <w:sz w:val="20"/>
                        <w:szCs w:val="20"/>
                        <w:u w:val="double"/>
                      </w:rPr>
                      <w:t>24,896,909</w:t>
                    </w:r>
                  </w:p>
                </w:tc>
                <w:tc>
                  <w:tcPr>
                    <w:tcW w:w="115" w:type="dxa"/>
                    <w:noWrap/>
                    <w:vAlign w:val="bottom"/>
                  </w:tcPr>
                  <w:p w:rsidR="003F6BA0" w:rsidRPr="003F6BA0" w:rsidRDefault="003F6BA0">
                    <w:pPr>
                      <w:kinsoku w:val="0"/>
                      <w:overflowPunct w:val="0"/>
                      <w:autoSpaceDE w:val="0"/>
                      <w:autoSpaceDN w:val="0"/>
                      <w:adjustRightInd w:val="0"/>
                      <w:snapToGrid w:val="0"/>
                      <w:jc w:val="right"/>
                      <w:rPr>
                        <w:rFonts w:cs="Arial"/>
                        <w:color w:val="000000"/>
                        <w:sz w:val="20"/>
                        <w:szCs w:val="20"/>
                        <w:u w:val="double"/>
                      </w:rPr>
                    </w:pPr>
                  </w:p>
                </w:tc>
                <w:tc>
                  <w:tcPr>
                    <w:tcW w:w="26" w:type="dxa"/>
                    <w:noWrap/>
                    <w:vAlign w:val="bottom"/>
                  </w:tcPr>
                  <w:p w:rsidR="003F6BA0" w:rsidRPr="003F6BA0" w:rsidRDefault="003F6BA0">
                    <w:pPr>
                      <w:kinsoku w:val="0"/>
                      <w:overflowPunct w:val="0"/>
                      <w:autoSpaceDE w:val="0"/>
                      <w:autoSpaceDN w:val="0"/>
                      <w:adjustRightInd w:val="0"/>
                      <w:snapToGrid w:val="0"/>
                      <w:jc w:val="right"/>
                      <w:rPr>
                        <w:rFonts w:cs="Arial"/>
                        <w:color w:val="000000"/>
                        <w:sz w:val="20"/>
                        <w:szCs w:val="20"/>
                        <w:u w:val="double"/>
                      </w:rPr>
                    </w:pPr>
                  </w:p>
                </w:tc>
                <w:tc>
                  <w:tcPr>
                    <w:tcW w:w="1560" w:type="dxa"/>
                    <w:noWrap/>
                    <w:vAlign w:val="bottom"/>
                    <w:hideMark/>
                  </w:tcPr>
                  <w:p w:rsidR="003F6BA0" w:rsidRPr="003F6BA0" w:rsidRDefault="003F6BA0">
                    <w:pPr>
                      <w:kinsoku w:val="0"/>
                      <w:overflowPunct w:val="0"/>
                      <w:autoSpaceDE w:val="0"/>
                      <w:autoSpaceDN w:val="0"/>
                      <w:adjustRightInd w:val="0"/>
                      <w:snapToGrid w:val="0"/>
                      <w:jc w:val="right"/>
                      <w:rPr>
                        <w:rFonts w:cs="Arial"/>
                        <w:sz w:val="20"/>
                        <w:szCs w:val="20"/>
                        <w:u w:val="double"/>
                      </w:rPr>
                    </w:pPr>
                    <w:r w:rsidRPr="003F6BA0">
                      <w:rPr>
                        <w:rFonts w:cs="Arial"/>
                        <w:sz w:val="20"/>
                        <w:szCs w:val="20"/>
                        <w:u w:val="double"/>
                      </w:rPr>
                      <w:t>17,388,955</w:t>
                    </w:r>
                  </w:p>
                </w:tc>
              </w:tr>
            </w:tbl>
            <w:p w:rsidR="003F6BA0" w:rsidRPr="003F6BA0" w:rsidRDefault="003F6BA0" w:rsidP="003F6BA0">
              <w:pPr>
                <w:overflowPunct w:val="0"/>
                <w:autoSpaceDE w:val="0"/>
                <w:autoSpaceDN w:val="0"/>
                <w:adjustRightInd w:val="0"/>
                <w:snapToGrid w:val="0"/>
                <w:jc w:val="both"/>
                <w:textAlignment w:val="bottom"/>
                <w:rPr>
                  <w:rFonts w:cs="Arial"/>
                  <w:b/>
                  <w:bCs/>
                  <w:snapToGrid w:val="0"/>
                  <w:sz w:val="20"/>
                  <w:szCs w:val="20"/>
                </w:rPr>
              </w:pPr>
            </w:p>
            <w:p w:rsidR="00ED2DC7" w:rsidRDefault="000D0A99"/>
          </w:sdtContent>
        </w:sdt>
      </w:sdtContent>
    </w:sdt>
    <w:p w:rsidR="00ED2DC7" w:rsidRDefault="00ED2DC7">
      <w:pPr>
        <w:rPr>
          <w:szCs w:val="21"/>
        </w:rPr>
      </w:pPr>
    </w:p>
    <w:bookmarkStart w:id="203" w:name="_Hlk11857276" w:displacedByCustomXml="next"/>
    <w:sdt>
      <w:sdtPr>
        <w:rPr>
          <w:rFonts w:ascii="宋体" w:hAnsi="宋体" w:cs="宋体" w:hint="eastAsia"/>
          <w:b w:val="0"/>
          <w:bCs w:val="0"/>
          <w:kern w:val="0"/>
          <w:szCs w:val="21"/>
        </w:rPr>
        <w:alias w:val="模块:投资收益   单位：元币种：人民币项目本期发生额上期发..."/>
        <w:tag w:val="_SEC_56e74a133dff4dcebe7ed76c1a92a2e5"/>
        <w:id w:val="48033136"/>
        <w:lock w:val="sdtLocked"/>
        <w:placeholder>
          <w:docPart w:val="GBC22222222222222222222222222222"/>
        </w:placeholder>
      </w:sdtPr>
      <w:sdtContent>
        <w:p w:rsidR="00ED2DC7" w:rsidRPr="00974307" w:rsidRDefault="00ED2DC7" w:rsidP="00036BDC">
          <w:pPr>
            <w:pStyle w:val="affffffffffffffffff1"/>
            <w:numPr>
              <w:ilvl w:val="0"/>
              <w:numId w:val="49"/>
            </w:numPr>
            <w:tabs>
              <w:tab w:val="left" w:pos="504"/>
            </w:tabs>
            <w:rPr>
              <w:rFonts w:ascii="宋体" w:hAnsi="宋体"/>
              <w:szCs w:val="21"/>
            </w:rPr>
          </w:pPr>
          <w:r w:rsidRPr="00974307">
            <w:rPr>
              <w:rFonts w:ascii="宋体" w:hAnsi="宋体" w:hint="eastAsia"/>
              <w:szCs w:val="21"/>
            </w:rPr>
            <w:t>投资收益</w:t>
          </w:r>
        </w:p>
        <w:sdt>
          <w:sdtPr>
            <w:alias w:val="是否适用：投资收益[双击切换]"/>
            <w:tag w:val="_GBC_39356fd9dd9e4f5497d61d781210b2fe"/>
            <w:id w:val="1471943454"/>
            <w:lock w:val="sdtContentLocked"/>
            <w:placeholder>
              <w:docPart w:val="GBC22222222222222222222222222222"/>
            </w:placeholder>
          </w:sdtPr>
          <w:sdtContent>
            <w:p w:rsidR="00ED2DC7" w:rsidRDefault="00ED2DC7">
              <w:r>
                <w:fldChar w:fldCharType="begin"/>
              </w:r>
              <w:r w:rsidR="00BB3393">
                <w:instrText xml:space="preserve"> MACROBUTTON  SnrToggleCheckbox √适用 </w:instrText>
              </w:r>
              <w:r>
                <w:fldChar w:fldCharType="end"/>
              </w:r>
              <w:r>
                <w:fldChar w:fldCharType="begin"/>
              </w:r>
              <w:r w:rsidR="00BB3393">
                <w:instrText xml:space="preserve"> MACROBUTTON  SnrToggleCheckbox □不适用 </w:instrText>
              </w:r>
              <w:r>
                <w:fldChar w:fldCharType="end"/>
              </w:r>
            </w:p>
          </w:sdtContent>
        </w:sdt>
        <w:p w:rsidR="00ED2DC7" w:rsidRDefault="00ED2DC7">
          <w:pPr>
            <w:jc w:val="right"/>
            <w:rPr>
              <w:b/>
              <w:szCs w:val="21"/>
            </w:rPr>
          </w:pPr>
          <w:bookmarkStart w:id="204" w:name="_Hlk10538462"/>
          <w:r>
            <w:rPr>
              <w:szCs w:val="21"/>
            </w:rPr>
            <w:t>单位</w:t>
          </w:r>
          <w:r>
            <w:rPr>
              <w:rFonts w:hint="eastAsia"/>
              <w:szCs w:val="21"/>
            </w:rPr>
            <w:t>：</w:t>
          </w:r>
          <w:sdt>
            <w:sdtPr>
              <w:rPr>
                <w:rFonts w:hint="eastAsia"/>
                <w:szCs w:val="21"/>
              </w:rPr>
              <w:alias w:val="单位：财务附注：会计报表中的投资收益项目增加"/>
              <w:tag w:val="_GBC_8785b82a02ca4b0db1de3227128775b4"/>
              <w:id w:val="-153056260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hint="eastAsia"/>
                  <w:szCs w:val="21"/>
                </w:rPr>
                <w:t>元</w:t>
              </w:r>
            </w:sdtContent>
          </w:sdt>
          <w:r>
            <w:rPr>
              <w:szCs w:val="21"/>
            </w:rPr>
            <w:t xml:space="preserve">  币种</w:t>
          </w:r>
          <w:r>
            <w:rPr>
              <w:rFonts w:hint="eastAsia"/>
              <w:szCs w:val="21"/>
            </w:rPr>
            <w:t>：</w:t>
          </w:r>
          <w:sdt>
            <w:sdtPr>
              <w:rPr>
                <w:rFonts w:hint="eastAsia"/>
                <w:szCs w:val="21"/>
              </w:rPr>
              <w:alias w:val="币种：财务附注：会计报表中的投资收益项目增加"/>
              <w:tag w:val="_GBC_c4394dc445a94e9a8a4b83889c79fcb1"/>
              <w:id w:val="-17400113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szCs w:val="21"/>
                </w:rPr>
                <w:t>人民币</w:t>
              </w:r>
            </w:sdtContent>
          </w:sdt>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1"/>
            <w:gridCol w:w="2626"/>
            <w:gridCol w:w="2636"/>
          </w:tblGrid>
          <w:tr w:rsidR="00ED2DC7" w:rsidTr="00DC1550">
            <w:bookmarkStart w:id="205" w:name="_Hlk16622882" w:displacedByCustomXml="next"/>
            <w:sdt>
              <w:sdtPr>
                <w:tag w:val="_PLD_2fef67a5db2c453288257a2dfe03fd6e"/>
                <w:id w:val="-1239320157"/>
                <w:lock w:val="sdtLocked"/>
              </w:sdtPr>
              <w:sdtContent>
                <w:tc>
                  <w:tcPr>
                    <w:tcW w:w="2018" w:type="pct"/>
                    <w:vAlign w:val="center"/>
                  </w:tcPr>
                  <w:p w:rsidR="00ED2DC7" w:rsidRDefault="00ED2DC7">
                    <w:pPr>
                      <w:ind w:left="420" w:hanging="420"/>
                      <w:jc w:val="center"/>
                      <w:rPr>
                        <w:szCs w:val="21"/>
                      </w:rPr>
                    </w:pPr>
                    <w:r>
                      <w:rPr>
                        <w:rFonts w:hint="eastAsia"/>
                        <w:szCs w:val="21"/>
                      </w:rPr>
                      <w:t>项目</w:t>
                    </w:r>
                  </w:p>
                </w:tc>
              </w:sdtContent>
            </w:sdt>
            <w:sdt>
              <w:sdtPr>
                <w:tag w:val="_PLD_3f927d0ff25c47abb0f9b18794554af6"/>
                <w:id w:val="-1127535812"/>
                <w:lock w:val="sdtLocked"/>
              </w:sdtPr>
              <w:sdtContent>
                <w:tc>
                  <w:tcPr>
                    <w:tcW w:w="1488" w:type="pct"/>
                    <w:vAlign w:val="center"/>
                  </w:tcPr>
                  <w:p w:rsidR="00ED2DC7" w:rsidRDefault="00ED2DC7">
                    <w:pPr>
                      <w:jc w:val="center"/>
                      <w:rPr>
                        <w:szCs w:val="21"/>
                      </w:rPr>
                    </w:pPr>
                    <w:r>
                      <w:rPr>
                        <w:rFonts w:hint="eastAsia"/>
                        <w:szCs w:val="21"/>
                      </w:rPr>
                      <w:t>本期发生额</w:t>
                    </w:r>
                  </w:p>
                </w:tc>
              </w:sdtContent>
            </w:sdt>
            <w:sdt>
              <w:sdtPr>
                <w:tag w:val="_PLD_a6cbfed1438f48b7947079a5821a9eba"/>
                <w:id w:val="-357968897"/>
                <w:lock w:val="sdtLocked"/>
              </w:sdtPr>
              <w:sdtContent>
                <w:tc>
                  <w:tcPr>
                    <w:tcW w:w="1494" w:type="pct"/>
                    <w:vAlign w:val="center"/>
                  </w:tcPr>
                  <w:p w:rsidR="00ED2DC7" w:rsidRDefault="00ED2DC7">
                    <w:pPr>
                      <w:jc w:val="center"/>
                      <w:rPr>
                        <w:szCs w:val="21"/>
                      </w:rPr>
                    </w:pPr>
                    <w:r>
                      <w:rPr>
                        <w:rFonts w:hint="eastAsia"/>
                        <w:szCs w:val="21"/>
                      </w:rPr>
                      <w:t>上期发生额</w:t>
                    </w:r>
                  </w:p>
                </w:tc>
              </w:sdtContent>
            </w:sdt>
          </w:tr>
          <w:tr w:rsidR="00ED2DC7" w:rsidTr="00DC1550">
            <w:sdt>
              <w:sdtPr>
                <w:tag w:val="_PLD_095c5821555f4f22a6901c43ff8cf9ed"/>
                <w:id w:val="1447273783"/>
                <w:lock w:val="sdtLocked"/>
              </w:sdtPr>
              <w:sdtContent>
                <w:tc>
                  <w:tcPr>
                    <w:tcW w:w="2018" w:type="pct"/>
                  </w:tcPr>
                  <w:p w:rsidR="00ED2DC7" w:rsidRDefault="00ED2DC7">
                    <w:pPr>
                      <w:rPr>
                        <w:szCs w:val="21"/>
                      </w:rPr>
                    </w:pPr>
                    <w:r>
                      <w:rPr>
                        <w:rFonts w:hint="eastAsia"/>
                        <w:szCs w:val="21"/>
                      </w:rPr>
                      <w:t>权益法核算的长期股权投资收益</w:t>
                    </w:r>
                  </w:p>
                </w:tc>
              </w:sdtContent>
            </w:sdt>
            <w:tc>
              <w:tcPr>
                <w:tcW w:w="1488" w:type="pct"/>
              </w:tcPr>
              <w:p w:rsidR="00ED2DC7" w:rsidRDefault="005908C1" w:rsidP="00B637B2">
                <w:pPr>
                  <w:jc w:val="right"/>
                  <w:rPr>
                    <w:szCs w:val="21"/>
                  </w:rPr>
                </w:pPr>
                <w:r w:rsidRPr="005908C1">
                  <w:rPr>
                    <w:szCs w:val="21"/>
                  </w:rPr>
                  <w:t>2,742,845</w:t>
                </w:r>
              </w:p>
            </w:tc>
            <w:tc>
              <w:tcPr>
                <w:tcW w:w="1494" w:type="pct"/>
              </w:tcPr>
              <w:p w:rsidR="00ED2DC7" w:rsidRDefault="005908C1" w:rsidP="00B637B2">
                <w:pPr>
                  <w:jc w:val="right"/>
                  <w:rPr>
                    <w:szCs w:val="21"/>
                  </w:rPr>
                </w:pPr>
                <w:r w:rsidRPr="005908C1">
                  <w:rPr>
                    <w:szCs w:val="21"/>
                  </w:rPr>
                  <w:t>-2,629,877</w:t>
                </w:r>
              </w:p>
            </w:tc>
          </w:tr>
          <w:tr w:rsidR="00ED2DC7" w:rsidTr="00DC1550">
            <w:sdt>
              <w:sdtPr>
                <w:tag w:val="_PLD_bf1f8f83597a458db5a601500b855dc3"/>
                <w:id w:val="-2096468174"/>
                <w:lock w:val="sdtLocked"/>
              </w:sdtPr>
              <w:sdtContent>
                <w:tc>
                  <w:tcPr>
                    <w:tcW w:w="2018" w:type="pct"/>
                  </w:tcPr>
                  <w:p w:rsidR="00ED2DC7" w:rsidRDefault="00ED2DC7">
                    <w:pPr>
                      <w:rPr>
                        <w:szCs w:val="21"/>
                      </w:rPr>
                    </w:pPr>
                    <w:r>
                      <w:rPr>
                        <w:rFonts w:hint="eastAsia"/>
                        <w:szCs w:val="21"/>
                      </w:rPr>
                      <w:t>处置长期股权投资产生的投资收益</w:t>
                    </w:r>
                  </w:p>
                </w:tc>
              </w:sdtContent>
            </w:sdt>
            <w:tc>
              <w:tcPr>
                <w:tcW w:w="1488" w:type="pct"/>
              </w:tcPr>
              <w:p w:rsidR="00ED2DC7" w:rsidRDefault="008F04CF" w:rsidP="00B637B2">
                <w:pPr>
                  <w:jc w:val="right"/>
                  <w:rPr>
                    <w:szCs w:val="21"/>
                  </w:rPr>
                </w:pPr>
                <w:r w:rsidRPr="00974307">
                  <w:rPr>
                    <w:szCs w:val="21"/>
                  </w:rPr>
                  <w:t>140,300,332</w:t>
                </w:r>
              </w:p>
            </w:tc>
            <w:tc>
              <w:tcPr>
                <w:tcW w:w="1494" w:type="pct"/>
              </w:tcPr>
              <w:p w:rsidR="00ED2DC7" w:rsidRDefault="00ED2DC7">
                <w:pPr>
                  <w:jc w:val="right"/>
                  <w:rPr>
                    <w:szCs w:val="21"/>
                  </w:rPr>
                </w:pPr>
              </w:p>
            </w:tc>
          </w:tr>
          <w:tr w:rsidR="00ED2DC7" w:rsidTr="00DC1550">
            <w:sdt>
              <w:sdtPr>
                <w:tag w:val="_PLD_c852370c98624f96aed4f6b893edd713"/>
                <w:id w:val="454762094"/>
                <w:lock w:val="sdtLocked"/>
              </w:sdtPr>
              <w:sdtContent>
                <w:tc>
                  <w:tcPr>
                    <w:tcW w:w="2018" w:type="pct"/>
                  </w:tcPr>
                  <w:p w:rsidR="00ED2DC7" w:rsidRDefault="00ED2DC7">
                    <w:pPr>
                      <w:rPr>
                        <w:szCs w:val="21"/>
                      </w:rPr>
                    </w:pPr>
                    <w:r>
                      <w:rPr>
                        <w:rFonts w:hint="eastAsia"/>
                        <w:szCs w:val="21"/>
                      </w:rPr>
                      <w:t>以公允价值计量且其变动计入当期损益的金融资产在持有期间的投资收益</w:t>
                    </w:r>
                  </w:p>
                </w:tc>
              </w:sdtContent>
            </w:sdt>
            <w:tc>
              <w:tcPr>
                <w:tcW w:w="1488" w:type="pct"/>
              </w:tcPr>
              <w:p w:rsidR="00ED2DC7" w:rsidRDefault="008F04CF">
                <w:pPr>
                  <w:jc w:val="right"/>
                  <w:rPr>
                    <w:szCs w:val="21"/>
                  </w:rPr>
                </w:pPr>
                <w:r w:rsidRPr="00974307">
                  <w:rPr>
                    <w:szCs w:val="21"/>
                  </w:rPr>
                  <w:t>791,992</w:t>
                </w:r>
              </w:p>
            </w:tc>
            <w:tc>
              <w:tcPr>
                <w:tcW w:w="1494" w:type="pct"/>
              </w:tcPr>
              <w:p w:rsidR="00ED2DC7" w:rsidRDefault="00ED2DC7">
                <w:pPr>
                  <w:jc w:val="right"/>
                  <w:rPr>
                    <w:szCs w:val="21"/>
                  </w:rPr>
                </w:pPr>
              </w:p>
            </w:tc>
          </w:tr>
          <w:tr w:rsidR="00ED2DC7" w:rsidTr="00DC1550">
            <w:sdt>
              <w:sdtPr>
                <w:tag w:val="_PLD_50488409a4e146bd93bb8c1b77768718"/>
                <w:id w:val="-1558929760"/>
                <w:lock w:val="sdtLocked"/>
              </w:sdtPr>
              <w:sdtContent>
                <w:tc>
                  <w:tcPr>
                    <w:tcW w:w="2018" w:type="pct"/>
                  </w:tcPr>
                  <w:p w:rsidR="00ED2DC7" w:rsidRDefault="00ED2DC7">
                    <w:pPr>
                      <w:rPr>
                        <w:szCs w:val="21"/>
                      </w:rPr>
                    </w:pPr>
                    <w:r>
                      <w:rPr>
                        <w:rFonts w:hint="eastAsia"/>
                        <w:szCs w:val="21"/>
                      </w:rPr>
                      <w:t>处置以公允价值计量且其变动计入当期损益的金融资产取得的投资收益</w:t>
                    </w:r>
                  </w:p>
                </w:tc>
              </w:sdtContent>
            </w:sdt>
            <w:tc>
              <w:tcPr>
                <w:tcW w:w="1488" w:type="pct"/>
              </w:tcPr>
              <w:p w:rsidR="00ED2DC7" w:rsidRDefault="006670BD">
                <w:pPr>
                  <w:jc w:val="right"/>
                  <w:rPr>
                    <w:szCs w:val="21"/>
                  </w:rPr>
                </w:pPr>
                <w:r w:rsidRPr="006670BD">
                  <w:rPr>
                    <w:szCs w:val="21"/>
                  </w:rPr>
                  <w:t>5,952,822</w:t>
                </w:r>
              </w:p>
            </w:tc>
            <w:tc>
              <w:tcPr>
                <w:tcW w:w="1494" w:type="pct"/>
              </w:tcPr>
              <w:p w:rsidR="00ED2DC7" w:rsidRDefault="00ED2DC7">
                <w:pPr>
                  <w:jc w:val="right"/>
                  <w:rPr>
                    <w:szCs w:val="21"/>
                  </w:rPr>
                </w:pPr>
              </w:p>
            </w:tc>
          </w:tr>
          <w:tr w:rsidR="00ED2DC7" w:rsidTr="00DC1550">
            <w:sdt>
              <w:sdtPr>
                <w:tag w:val="_PLD_490d15f68487418c8d7db77aabb2d57e"/>
                <w:id w:val="-1029559894"/>
                <w:lock w:val="sdtLocked"/>
              </w:sdtPr>
              <w:sdtContent>
                <w:tc>
                  <w:tcPr>
                    <w:tcW w:w="2018" w:type="pct"/>
                  </w:tcPr>
                  <w:p w:rsidR="00ED2DC7" w:rsidRDefault="00ED2DC7">
                    <w:pPr>
                      <w:rPr>
                        <w:szCs w:val="21"/>
                      </w:rPr>
                    </w:pPr>
                    <w:r>
                      <w:rPr>
                        <w:rFonts w:hint="eastAsia"/>
                        <w:szCs w:val="21"/>
                      </w:rPr>
                      <w:t>持有至到期投资在持有期间的投资收益</w:t>
                    </w:r>
                  </w:p>
                </w:tc>
              </w:sdtContent>
            </w:sdt>
            <w:tc>
              <w:tcPr>
                <w:tcW w:w="1488" w:type="pct"/>
              </w:tcPr>
              <w:p w:rsidR="00ED2DC7" w:rsidRDefault="00ED2DC7">
                <w:pPr>
                  <w:jc w:val="right"/>
                  <w:rPr>
                    <w:szCs w:val="21"/>
                  </w:rPr>
                </w:pPr>
              </w:p>
            </w:tc>
            <w:tc>
              <w:tcPr>
                <w:tcW w:w="1494" w:type="pct"/>
              </w:tcPr>
              <w:p w:rsidR="00ED2DC7" w:rsidRDefault="00ED2DC7">
                <w:pPr>
                  <w:jc w:val="right"/>
                  <w:rPr>
                    <w:szCs w:val="21"/>
                  </w:rPr>
                </w:pPr>
              </w:p>
            </w:tc>
          </w:tr>
          <w:tr w:rsidR="00ED2DC7" w:rsidTr="00DC1550">
            <w:tc>
              <w:tcPr>
                <w:tcW w:w="2018" w:type="pct"/>
              </w:tcPr>
              <w:sdt>
                <w:sdtPr>
                  <w:rPr>
                    <w:rFonts w:hint="eastAsia"/>
                  </w:rPr>
                  <w:tag w:val="_PLD_30cdd05349544dd4814d227145d4dc62"/>
                  <w:id w:val="-1263759978"/>
                  <w:lock w:val="sdtLocked"/>
                </w:sdtPr>
                <w:sdtContent>
                  <w:p w:rsidR="00ED2DC7" w:rsidRDefault="00ED2DC7">
                    <w:r>
                      <w:rPr>
                        <w:rFonts w:hint="eastAsia"/>
                      </w:rPr>
                      <w:t>处置持有至到期投资取得的投资收益</w:t>
                    </w:r>
                  </w:p>
                </w:sdtContent>
              </w:sdt>
            </w:tc>
            <w:tc>
              <w:tcPr>
                <w:tcW w:w="1488" w:type="pct"/>
              </w:tcPr>
              <w:p w:rsidR="00ED2DC7" w:rsidRDefault="00ED2DC7">
                <w:pPr>
                  <w:jc w:val="right"/>
                  <w:rPr>
                    <w:szCs w:val="21"/>
                  </w:rPr>
                </w:pPr>
              </w:p>
            </w:tc>
            <w:tc>
              <w:tcPr>
                <w:tcW w:w="1494" w:type="pct"/>
              </w:tcPr>
              <w:p w:rsidR="00ED2DC7" w:rsidRDefault="00ED2DC7">
                <w:pPr>
                  <w:jc w:val="right"/>
                  <w:rPr>
                    <w:szCs w:val="21"/>
                  </w:rPr>
                </w:pPr>
              </w:p>
            </w:tc>
          </w:tr>
          <w:tr w:rsidR="00ED2DC7" w:rsidTr="00DC1550">
            <w:sdt>
              <w:sdtPr>
                <w:tag w:val="_PLD_9728bd050847452091bbcd6ac31fd2d8"/>
                <w:id w:val="393318731"/>
                <w:lock w:val="sdtLocked"/>
              </w:sdtPr>
              <w:sdtContent>
                <w:tc>
                  <w:tcPr>
                    <w:tcW w:w="2018" w:type="pct"/>
                  </w:tcPr>
                  <w:p w:rsidR="00ED2DC7" w:rsidRDefault="00ED2DC7">
                    <w:pPr>
                      <w:rPr>
                        <w:szCs w:val="21"/>
                      </w:rPr>
                    </w:pPr>
                    <w:r>
                      <w:rPr>
                        <w:rFonts w:hint="eastAsia"/>
                        <w:szCs w:val="21"/>
                      </w:rPr>
                      <w:t>可供出售金融资产等取得的投资收益</w:t>
                    </w:r>
                  </w:p>
                </w:tc>
              </w:sdtContent>
            </w:sdt>
            <w:tc>
              <w:tcPr>
                <w:tcW w:w="1488" w:type="pct"/>
              </w:tcPr>
              <w:p w:rsidR="00ED2DC7" w:rsidRDefault="00ED2DC7">
                <w:pPr>
                  <w:jc w:val="right"/>
                  <w:rPr>
                    <w:szCs w:val="21"/>
                  </w:rPr>
                </w:pPr>
              </w:p>
            </w:tc>
            <w:tc>
              <w:tcPr>
                <w:tcW w:w="1494" w:type="pct"/>
              </w:tcPr>
              <w:p w:rsidR="00ED2DC7" w:rsidRDefault="00EE5654">
                <w:pPr>
                  <w:jc w:val="right"/>
                  <w:rPr>
                    <w:szCs w:val="21"/>
                  </w:rPr>
                </w:pPr>
                <w:r w:rsidRPr="00EE5654">
                  <w:rPr>
                    <w:szCs w:val="21"/>
                  </w:rPr>
                  <w:t>307,087</w:t>
                </w:r>
              </w:p>
            </w:tc>
          </w:tr>
          <w:tr w:rsidR="00ED2DC7" w:rsidTr="00DC1550">
            <w:sdt>
              <w:sdtPr>
                <w:tag w:val="_PLD_f62311f7f09e45ceacda16762237b13d"/>
                <w:id w:val="1474185219"/>
                <w:lock w:val="sdtLocked"/>
              </w:sdtPr>
              <w:sdtContent>
                <w:tc>
                  <w:tcPr>
                    <w:tcW w:w="2018" w:type="pct"/>
                  </w:tcPr>
                  <w:p w:rsidR="00ED2DC7" w:rsidRDefault="00ED2DC7">
                    <w:pPr>
                      <w:rPr>
                        <w:szCs w:val="21"/>
                      </w:rPr>
                    </w:pPr>
                    <w:r>
                      <w:rPr>
                        <w:rFonts w:hint="eastAsia"/>
                        <w:szCs w:val="21"/>
                      </w:rPr>
                      <w:t>处置可供出售金融资产取得的投资收益</w:t>
                    </w:r>
                  </w:p>
                </w:tc>
              </w:sdtContent>
            </w:sdt>
            <w:tc>
              <w:tcPr>
                <w:tcW w:w="1488" w:type="pct"/>
              </w:tcPr>
              <w:p w:rsidR="00ED2DC7" w:rsidRDefault="00ED2DC7">
                <w:pPr>
                  <w:jc w:val="right"/>
                  <w:rPr>
                    <w:szCs w:val="21"/>
                  </w:rPr>
                </w:pPr>
              </w:p>
            </w:tc>
            <w:tc>
              <w:tcPr>
                <w:tcW w:w="1494" w:type="pct"/>
              </w:tcPr>
              <w:p w:rsidR="00ED2DC7" w:rsidRDefault="008F04CF">
                <w:pPr>
                  <w:jc w:val="right"/>
                  <w:rPr>
                    <w:szCs w:val="21"/>
                  </w:rPr>
                </w:pPr>
                <w:r w:rsidRPr="00974307">
                  <w:rPr>
                    <w:szCs w:val="21"/>
                  </w:rPr>
                  <w:t>3,235,294</w:t>
                </w:r>
              </w:p>
            </w:tc>
          </w:tr>
          <w:tr w:rsidR="00ED2DC7" w:rsidTr="00DC1550">
            <w:tc>
              <w:tcPr>
                <w:tcW w:w="2018" w:type="pct"/>
              </w:tcPr>
              <w:sdt>
                <w:sdtPr>
                  <w:rPr>
                    <w:rFonts w:hint="eastAsia"/>
                  </w:rPr>
                  <w:tag w:val="_PLD_6531b310ca654e5892cc88bec130b5fa"/>
                  <w:id w:val="-210660213"/>
                  <w:lock w:val="sdtLocked"/>
                </w:sdtPr>
                <w:sdtContent>
                  <w:p w:rsidR="00ED2DC7" w:rsidRDefault="00ED2DC7">
                    <w:r>
                      <w:rPr>
                        <w:rFonts w:hint="eastAsia"/>
                      </w:rPr>
                      <w:t>交易性金融资产在持有期间的投资收益</w:t>
                    </w:r>
                  </w:p>
                </w:sdtContent>
              </w:sdt>
            </w:tc>
            <w:tc>
              <w:tcPr>
                <w:tcW w:w="1488" w:type="pct"/>
              </w:tcPr>
              <w:p w:rsidR="00ED2DC7" w:rsidRDefault="008F04CF">
                <w:pPr>
                  <w:jc w:val="right"/>
                  <w:rPr>
                    <w:szCs w:val="21"/>
                  </w:rPr>
                </w:pPr>
                <w:r w:rsidRPr="00974307">
                  <w:rPr>
                    <w:szCs w:val="21"/>
                  </w:rPr>
                  <w:t>19,902,520</w:t>
                </w:r>
              </w:p>
            </w:tc>
            <w:tc>
              <w:tcPr>
                <w:tcW w:w="1494" w:type="pct"/>
              </w:tcPr>
              <w:p w:rsidR="00ED2DC7" w:rsidRDefault="008F04CF">
                <w:pPr>
                  <w:jc w:val="right"/>
                  <w:rPr>
                    <w:szCs w:val="21"/>
                  </w:rPr>
                </w:pPr>
                <w:r w:rsidRPr="00974307">
                  <w:rPr>
                    <w:szCs w:val="21"/>
                  </w:rPr>
                  <w:t>17,863,055</w:t>
                </w:r>
              </w:p>
            </w:tc>
          </w:tr>
          <w:tr w:rsidR="00ED2DC7" w:rsidTr="00DC1550">
            <w:tc>
              <w:tcPr>
                <w:tcW w:w="2018" w:type="pct"/>
              </w:tcPr>
              <w:sdt>
                <w:sdtPr>
                  <w:rPr>
                    <w:rFonts w:hint="eastAsia"/>
                  </w:rPr>
                  <w:tag w:val="_PLD_28dcbb5f7e914848bb4a21be0e982758"/>
                  <w:id w:val="-261533979"/>
                  <w:lock w:val="sdtLocked"/>
                </w:sdtPr>
                <w:sdtContent>
                  <w:p w:rsidR="00ED2DC7" w:rsidRDefault="00ED2DC7">
                    <w:r>
                      <w:rPr>
                        <w:rFonts w:hint="eastAsia"/>
                      </w:rPr>
                      <w:t>其他权益工具投资在持有期间取得的股利收入</w:t>
                    </w:r>
                  </w:p>
                </w:sdtContent>
              </w:sdt>
            </w:tc>
            <w:tc>
              <w:tcPr>
                <w:tcW w:w="1488" w:type="pct"/>
              </w:tcPr>
              <w:p w:rsidR="00ED2DC7" w:rsidRDefault="00ED2DC7">
                <w:pPr>
                  <w:jc w:val="right"/>
                  <w:rPr>
                    <w:szCs w:val="21"/>
                  </w:rPr>
                </w:pPr>
              </w:p>
            </w:tc>
            <w:tc>
              <w:tcPr>
                <w:tcW w:w="1494" w:type="pct"/>
              </w:tcPr>
              <w:p w:rsidR="00ED2DC7" w:rsidRDefault="00ED2DC7">
                <w:pPr>
                  <w:jc w:val="right"/>
                  <w:rPr>
                    <w:szCs w:val="21"/>
                  </w:rPr>
                </w:pPr>
              </w:p>
            </w:tc>
          </w:tr>
          <w:tr w:rsidR="00ED2DC7" w:rsidTr="00DC1550">
            <w:tc>
              <w:tcPr>
                <w:tcW w:w="2018" w:type="pct"/>
              </w:tcPr>
              <w:sdt>
                <w:sdtPr>
                  <w:rPr>
                    <w:rFonts w:hint="eastAsia"/>
                  </w:rPr>
                  <w:tag w:val="_PLD_b254e5b9458e464aa9729f2f2c372a99"/>
                  <w:id w:val="62227640"/>
                  <w:lock w:val="sdtLocked"/>
                </w:sdtPr>
                <w:sdtContent>
                  <w:p w:rsidR="00ED2DC7" w:rsidRDefault="00ED2DC7">
                    <w:r>
                      <w:rPr>
                        <w:rFonts w:hint="eastAsia"/>
                      </w:rPr>
                      <w:t>债权投资在持有期间取得的利息收入</w:t>
                    </w:r>
                  </w:p>
                </w:sdtContent>
              </w:sdt>
            </w:tc>
            <w:tc>
              <w:tcPr>
                <w:tcW w:w="1488" w:type="pct"/>
              </w:tcPr>
              <w:p w:rsidR="00ED2DC7" w:rsidRDefault="00ED2DC7">
                <w:pPr>
                  <w:jc w:val="right"/>
                  <w:rPr>
                    <w:szCs w:val="21"/>
                  </w:rPr>
                </w:pPr>
              </w:p>
            </w:tc>
            <w:tc>
              <w:tcPr>
                <w:tcW w:w="1494" w:type="pct"/>
              </w:tcPr>
              <w:p w:rsidR="00ED2DC7" w:rsidRDefault="00ED2DC7">
                <w:pPr>
                  <w:jc w:val="right"/>
                  <w:rPr>
                    <w:szCs w:val="21"/>
                  </w:rPr>
                </w:pPr>
              </w:p>
            </w:tc>
          </w:tr>
          <w:tr w:rsidR="00ED2DC7" w:rsidTr="00DC1550">
            <w:tc>
              <w:tcPr>
                <w:tcW w:w="2018" w:type="pct"/>
              </w:tcPr>
              <w:sdt>
                <w:sdtPr>
                  <w:rPr>
                    <w:rFonts w:hint="eastAsia"/>
                  </w:rPr>
                  <w:tag w:val="_PLD_ded52f1fb6684e51b89c9ed12a41c791"/>
                  <w:id w:val="912130246"/>
                  <w:lock w:val="sdtLocked"/>
                </w:sdtPr>
                <w:sdtContent>
                  <w:p w:rsidR="00ED2DC7" w:rsidRDefault="00ED2DC7">
                    <w:r>
                      <w:rPr>
                        <w:rFonts w:hint="eastAsia"/>
                      </w:rPr>
                      <w:t>其他债权投资在持有期间取得的利息收入</w:t>
                    </w:r>
                  </w:p>
                </w:sdtContent>
              </w:sdt>
            </w:tc>
            <w:tc>
              <w:tcPr>
                <w:tcW w:w="1488" w:type="pct"/>
              </w:tcPr>
              <w:p w:rsidR="00ED2DC7" w:rsidRDefault="00ED2DC7">
                <w:pPr>
                  <w:jc w:val="right"/>
                  <w:rPr>
                    <w:szCs w:val="21"/>
                  </w:rPr>
                </w:pPr>
              </w:p>
            </w:tc>
            <w:tc>
              <w:tcPr>
                <w:tcW w:w="1494" w:type="pct"/>
              </w:tcPr>
              <w:p w:rsidR="00ED2DC7" w:rsidRDefault="00ED2DC7">
                <w:pPr>
                  <w:jc w:val="right"/>
                  <w:rPr>
                    <w:szCs w:val="21"/>
                  </w:rPr>
                </w:pPr>
              </w:p>
            </w:tc>
          </w:tr>
          <w:tr w:rsidR="00ED2DC7" w:rsidTr="00DC1550">
            <w:tc>
              <w:tcPr>
                <w:tcW w:w="2018" w:type="pct"/>
              </w:tcPr>
              <w:sdt>
                <w:sdtPr>
                  <w:rPr>
                    <w:rFonts w:hint="eastAsia"/>
                  </w:rPr>
                  <w:tag w:val="_PLD_3fb066cc533f4905803faa53dcf2b7bb"/>
                  <w:id w:val="-328130267"/>
                  <w:lock w:val="sdtLocked"/>
                </w:sdtPr>
                <w:sdtContent>
                  <w:p w:rsidR="00ED2DC7" w:rsidRDefault="00ED2DC7">
                    <w:r>
                      <w:rPr>
                        <w:rFonts w:hint="eastAsia"/>
                      </w:rPr>
                      <w:t>处置交易性金融资产取得的投资收益</w:t>
                    </w:r>
                  </w:p>
                </w:sdtContent>
              </w:sdt>
            </w:tc>
            <w:tc>
              <w:tcPr>
                <w:tcW w:w="1488" w:type="pct"/>
              </w:tcPr>
              <w:p w:rsidR="00ED2DC7" w:rsidRDefault="00ED2DC7">
                <w:pPr>
                  <w:jc w:val="right"/>
                  <w:rPr>
                    <w:szCs w:val="21"/>
                  </w:rPr>
                </w:pPr>
              </w:p>
            </w:tc>
            <w:tc>
              <w:tcPr>
                <w:tcW w:w="1494" w:type="pct"/>
              </w:tcPr>
              <w:p w:rsidR="00ED2DC7" w:rsidRDefault="00ED2DC7">
                <w:pPr>
                  <w:jc w:val="right"/>
                  <w:rPr>
                    <w:szCs w:val="21"/>
                  </w:rPr>
                </w:pPr>
              </w:p>
            </w:tc>
          </w:tr>
          <w:tr w:rsidR="00ED2DC7" w:rsidTr="00DC1550">
            <w:tc>
              <w:tcPr>
                <w:tcW w:w="2018" w:type="pct"/>
              </w:tcPr>
              <w:sdt>
                <w:sdtPr>
                  <w:rPr>
                    <w:rFonts w:hint="eastAsia"/>
                  </w:rPr>
                  <w:tag w:val="_PLD_dcb9706cbed545dd9e65917962412de7"/>
                  <w:id w:val="-571045545"/>
                  <w:lock w:val="sdtLocked"/>
                </w:sdtPr>
                <w:sdtContent>
                  <w:p w:rsidR="00ED2DC7" w:rsidRDefault="00ED2DC7">
                    <w:r>
                      <w:rPr>
                        <w:rFonts w:hint="eastAsia"/>
                      </w:rPr>
                      <w:t>处置其他权益工具投资取得的投资收益</w:t>
                    </w:r>
                  </w:p>
                </w:sdtContent>
              </w:sdt>
            </w:tc>
            <w:tc>
              <w:tcPr>
                <w:tcW w:w="1488" w:type="pct"/>
              </w:tcPr>
              <w:p w:rsidR="00ED2DC7" w:rsidRDefault="00ED2DC7">
                <w:pPr>
                  <w:jc w:val="right"/>
                  <w:rPr>
                    <w:szCs w:val="21"/>
                  </w:rPr>
                </w:pPr>
              </w:p>
            </w:tc>
            <w:tc>
              <w:tcPr>
                <w:tcW w:w="1494" w:type="pct"/>
              </w:tcPr>
              <w:p w:rsidR="00ED2DC7" w:rsidRDefault="00ED2DC7">
                <w:pPr>
                  <w:jc w:val="right"/>
                  <w:rPr>
                    <w:szCs w:val="21"/>
                  </w:rPr>
                </w:pPr>
              </w:p>
            </w:tc>
          </w:tr>
          <w:tr w:rsidR="00ED2DC7" w:rsidTr="00DC1550">
            <w:tc>
              <w:tcPr>
                <w:tcW w:w="2018" w:type="pct"/>
              </w:tcPr>
              <w:sdt>
                <w:sdtPr>
                  <w:rPr>
                    <w:rFonts w:hint="eastAsia"/>
                  </w:rPr>
                  <w:tag w:val="_PLD_edb592df302047c68b5387ad8d561632"/>
                  <w:id w:val="1061372773"/>
                  <w:lock w:val="sdtLocked"/>
                </w:sdtPr>
                <w:sdtContent>
                  <w:p w:rsidR="00ED2DC7" w:rsidRDefault="00ED2DC7">
                    <w:r>
                      <w:rPr>
                        <w:rFonts w:hint="eastAsia"/>
                      </w:rPr>
                      <w:t>处置债权投资取得的投资收益</w:t>
                    </w:r>
                  </w:p>
                </w:sdtContent>
              </w:sdt>
            </w:tc>
            <w:tc>
              <w:tcPr>
                <w:tcW w:w="1488" w:type="pct"/>
              </w:tcPr>
              <w:p w:rsidR="00ED2DC7" w:rsidRDefault="00ED2DC7">
                <w:pPr>
                  <w:jc w:val="right"/>
                  <w:rPr>
                    <w:szCs w:val="21"/>
                  </w:rPr>
                </w:pPr>
              </w:p>
            </w:tc>
            <w:tc>
              <w:tcPr>
                <w:tcW w:w="1494" w:type="pct"/>
              </w:tcPr>
              <w:p w:rsidR="00ED2DC7" w:rsidRDefault="00ED2DC7">
                <w:pPr>
                  <w:jc w:val="right"/>
                  <w:rPr>
                    <w:szCs w:val="21"/>
                  </w:rPr>
                </w:pPr>
              </w:p>
            </w:tc>
          </w:tr>
          <w:tr w:rsidR="00ED2DC7" w:rsidTr="00DC1550">
            <w:tc>
              <w:tcPr>
                <w:tcW w:w="2018" w:type="pct"/>
              </w:tcPr>
              <w:sdt>
                <w:sdtPr>
                  <w:rPr>
                    <w:rFonts w:hint="eastAsia"/>
                  </w:rPr>
                  <w:tag w:val="_PLD_dc0f3709523f48178820977d785b7da6"/>
                  <w:id w:val="-625939784"/>
                  <w:lock w:val="sdtLocked"/>
                </w:sdtPr>
                <w:sdtContent>
                  <w:p w:rsidR="00ED2DC7" w:rsidRDefault="00ED2DC7">
                    <w:r>
                      <w:rPr>
                        <w:rFonts w:hint="eastAsia"/>
                      </w:rPr>
                      <w:t>处置其他债权投资取得的投资收益</w:t>
                    </w:r>
                  </w:p>
                </w:sdtContent>
              </w:sdt>
            </w:tc>
            <w:tc>
              <w:tcPr>
                <w:tcW w:w="1488" w:type="pct"/>
              </w:tcPr>
              <w:p w:rsidR="00ED2DC7" w:rsidRDefault="00ED2DC7">
                <w:pPr>
                  <w:jc w:val="right"/>
                  <w:rPr>
                    <w:szCs w:val="21"/>
                  </w:rPr>
                </w:pPr>
              </w:p>
            </w:tc>
            <w:tc>
              <w:tcPr>
                <w:tcW w:w="1494" w:type="pct"/>
              </w:tcPr>
              <w:p w:rsidR="00ED2DC7" w:rsidRDefault="00ED2DC7">
                <w:pPr>
                  <w:jc w:val="right"/>
                  <w:rPr>
                    <w:szCs w:val="21"/>
                  </w:rPr>
                </w:pPr>
              </w:p>
            </w:tc>
          </w:tr>
          <w:tr w:rsidR="00ED2DC7" w:rsidTr="00DC1550">
            <w:sdt>
              <w:sdtPr>
                <w:tag w:val="_PLD_11e45f17edee4a0fa17110849cf94fad"/>
                <w:id w:val="-239634854"/>
                <w:lock w:val="sdtLocked"/>
              </w:sdtPr>
              <w:sdtContent>
                <w:tc>
                  <w:tcPr>
                    <w:tcW w:w="2018" w:type="pct"/>
                    <w:vAlign w:val="center"/>
                  </w:tcPr>
                  <w:p w:rsidR="00ED2DC7" w:rsidRDefault="00ED2DC7">
                    <w:pPr>
                      <w:jc w:val="center"/>
                      <w:rPr>
                        <w:szCs w:val="21"/>
                      </w:rPr>
                    </w:pPr>
                    <w:r>
                      <w:rPr>
                        <w:rFonts w:hint="eastAsia"/>
                        <w:szCs w:val="21"/>
                      </w:rPr>
                      <w:t>合计</w:t>
                    </w:r>
                  </w:p>
                </w:tc>
              </w:sdtContent>
            </w:sdt>
            <w:tc>
              <w:tcPr>
                <w:tcW w:w="1488" w:type="pct"/>
              </w:tcPr>
              <w:p w:rsidR="00ED2DC7" w:rsidRDefault="006670BD" w:rsidP="00B637B2">
                <w:pPr>
                  <w:jc w:val="right"/>
                  <w:rPr>
                    <w:szCs w:val="21"/>
                  </w:rPr>
                </w:pPr>
                <w:r w:rsidRPr="006670BD">
                  <w:rPr>
                    <w:szCs w:val="21"/>
                  </w:rPr>
                  <w:t>169,690,511</w:t>
                </w:r>
              </w:p>
            </w:tc>
            <w:tc>
              <w:tcPr>
                <w:tcW w:w="1494" w:type="pct"/>
              </w:tcPr>
              <w:p w:rsidR="00ED2DC7" w:rsidRDefault="006670BD" w:rsidP="00B637B2">
                <w:pPr>
                  <w:jc w:val="right"/>
                  <w:rPr>
                    <w:szCs w:val="21"/>
                  </w:rPr>
                </w:pPr>
                <w:r w:rsidRPr="006670BD">
                  <w:rPr>
                    <w:szCs w:val="21"/>
                  </w:rPr>
                  <w:t>18,775,559</w:t>
                </w:r>
              </w:p>
            </w:tc>
          </w:tr>
        </w:tbl>
        <w:bookmarkEnd w:id="204"/>
        <w:bookmarkEnd w:id="205"/>
        <w:p w:rsidR="00ED2DC7" w:rsidRDefault="00ED2DC7">
          <w:pPr>
            <w:spacing w:before="60" w:after="60" w:line="360" w:lineRule="exact"/>
            <w:rPr>
              <w:szCs w:val="21"/>
            </w:rPr>
          </w:pPr>
          <w:r>
            <w:rPr>
              <w:rFonts w:hint="eastAsia"/>
              <w:szCs w:val="21"/>
            </w:rPr>
            <w:t>其他说明：</w:t>
          </w:r>
        </w:p>
        <w:sdt>
          <w:sdtPr>
            <w:rPr>
              <w:rFonts w:hint="eastAsia"/>
              <w:szCs w:val="21"/>
            </w:rPr>
            <w:alias w:val="投资收益说明"/>
            <w:tag w:val="_GBC_911712f239a14e98b4c6c89180ceef27"/>
            <w:id w:val="-1518990033"/>
            <w:lock w:val="sdtLocked"/>
            <w:placeholder>
              <w:docPart w:val="GBC22222222222222222222222222222"/>
            </w:placeholder>
          </w:sdtPr>
          <w:sdtContent>
            <w:p w:rsidR="00ED2DC7" w:rsidRDefault="00CF6208">
              <w:pPr>
                <w:autoSpaceDE w:val="0"/>
                <w:autoSpaceDN w:val="0"/>
                <w:adjustRightInd w:val="0"/>
                <w:rPr>
                  <w:szCs w:val="21"/>
                </w:rPr>
              </w:pPr>
              <w:r>
                <w:rPr>
                  <w:rFonts w:hint="eastAsia"/>
                  <w:szCs w:val="21"/>
                </w:rPr>
                <w:t>无。</w:t>
              </w:r>
            </w:p>
          </w:sdtContent>
        </w:sdt>
      </w:sdtContent>
    </w:sdt>
    <w:bookmarkEnd w:id="203" w:displacedByCustomXml="prev"/>
    <w:p w:rsidR="00ED2DC7" w:rsidRDefault="00ED2DC7">
      <w:pPr>
        <w:autoSpaceDE w:val="0"/>
        <w:autoSpaceDN w:val="0"/>
        <w:adjustRightInd w:val="0"/>
        <w:rPr>
          <w:szCs w:val="21"/>
        </w:rPr>
      </w:pPr>
    </w:p>
    <w:bookmarkStart w:id="206" w:name="_Hlk10538831" w:displacedByCustomXml="next"/>
    <w:sdt>
      <w:sdtPr>
        <w:rPr>
          <w:rFonts w:ascii="宋体" w:hAnsi="宋体" w:cs="宋体" w:hint="eastAsia"/>
          <w:b w:val="0"/>
          <w:bCs w:val="0"/>
          <w:kern w:val="0"/>
          <w:szCs w:val="21"/>
        </w:rPr>
        <w:alias w:val="模块:净敞口套期收益"/>
        <w:tag w:val="_SEC_cbd8186e9cf3452cab63fa24a69149bc"/>
        <w:id w:val="1839956211"/>
        <w:lock w:val="sdtLocked"/>
        <w:placeholder>
          <w:docPart w:val="GBC22222222222222222222222222222"/>
        </w:placeholder>
      </w:sdtPr>
      <w:sdtEndPr>
        <w:rPr>
          <w:rFonts w:hint="default"/>
          <w:szCs w:val="24"/>
        </w:rPr>
      </w:sdtEndPr>
      <w:sdtContent>
        <w:p w:rsidR="00ED2DC7" w:rsidRDefault="00ED2DC7" w:rsidP="00036BDC">
          <w:pPr>
            <w:pStyle w:val="affffffffffffffffff1"/>
            <w:numPr>
              <w:ilvl w:val="0"/>
              <w:numId w:val="49"/>
            </w:numPr>
            <w:tabs>
              <w:tab w:val="left" w:pos="504"/>
            </w:tabs>
            <w:rPr>
              <w:szCs w:val="21"/>
            </w:rPr>
          </w:pPr>
          <w:r>
            <w:rPr>
              <w:rFonts w:hint="eastAsia"/>
              <w:szCs w:val="21"/>
            </w:rPr>
            <w:t>净敞口套期收益</w:t>
          </w:r>
        </w:p>
        <w:sdt>
          <w:sdtPr>
            <w:alias w:val="是否适用：净敞口套期收益[双击切换]"/>
            <w:tag w:val="_GBC_33e106b71ec640cd9126570421557bda"/>
            <w:id w:val="1425230471"/>
            <w:lock w:val="sdtContentLocked"/>
            <w:placeholder>
              <w:docPart w:val="GBC22222222222222222222222222222"/>
            </w:placeholder>
          </w:sdtPr>
          <w:sdtContent>
            <w:p w:rsidR="00221B01" w:rsidRDefault="00ED2DC7" w:rsidP="00221B01">
              <w:r>
                <w:fldChar w:fldCharType="begin"/>
              </w:r>
              <w:r w:rsidR="00221B01">
                <w:instrText xml:space="preserve"> MACROBUTTON  SnrToggleCheckbox □适用 </w:instrText>
              </w:r>
              <w:r>
                <w:fldChar w:fldCharType="end"/>
              </w:r>
              <w:r>
                <w:fldChar w:fldCharType="begin"/>
              </w:r>
              <w:r w:rsidR="00221B01">
                <w:instrText xml:space="preserve"> MACROBUTTON  SnrToggleCheckbox √不适用 </w:instrText>
              </w:r>
              <w:r>
                <w:fldChar w:fldCharType="end"/>
              </w:r>
            </w:p>
          </w:sdtContent>
        </w:sdt>
        <w:p w:rsidR="00ED2DC7" w:rsidRDefault="000D0A99">
          <w:pPr>
            <w:autoSpaceDE w:val="0"/>
            <w:autoSpaceDN w:val="0"/>
            <w:adjustRightInd w:val="0"/>
            <w:rPr>
              <w:szCs w:val="21"/>
            </w:rPr>
          </w:pPr>
        </w:p>
      </w:sdtContent>
    </w:sdt>
    <w:bookmarkEnd w:id="206" w:displacedByCustomXml="prev"/>
    <w:p w:rsidR="00ED2DC7" w:rsidRDefault="00ED2DC7"/>
    <w:bookmarkStart w:id="207" w:name="_Hlk10538896" w:displacedByCustomXml="next"/>
    <w:sdt>
      <w:sdtPr>
        <w:rPr>
          <w:rFonts w:ascii="宋体" w:hAnsi="宋体" w:cs="宋体" w:hint="eastAsia"/>
          <w:b w:val="0"/>
          <w:bCs w:val="0"/>
          <w:kern w:val="0"/>
          <w:szCs w:val="21"/>
        </w:rPr>
        <w:alias w:val="模块:公允价值变动收益"/>
        <w:tag w:val="_GBC_66e6cb51ec7740408a31ff233ae3330d"/>
        <w:id w:val="-368075070"/>
        <w:lock w:val="sdtLocked"/>
        <w:placeholder>
          <w:docPart w:val="GBC22222222222222222222222222222"/>
        </w:placeholder>
      </w:sdtPr>
      <w:sdtEndPr>
        <w:rPr>
          <w:rFonts w:cstheme="minorBidi"/>
          <w:kern w:val="2"/>
        </w:rPr>
      </w:sdtEndPr>
      <w:sdtContent>
        <w:p w:rsidR="00ED2DC7" w:rsidRDefault="00ED2DC7" w:rsidP="00036BDC">
          <w:pPr>
            <w:pStyle w:val="affffffffffffffffff1"/>
            <w:numPr>
              <w:ilvl w:val="0"/>
              <w:numId w:val="49"/>
            </w:numPr>
            <w:tabs>
              <w:tab w:val="left" w:pos="504"/>
            </w:tabs>
            <w:rPr>
              <w:rFonts w:ascii="宋体" w:hAnsi="宋体"/>
              <w:szCs w:val="21"/>
            </w:rPr>
          </w:pPr>
          <w:r>
            <w:rPr>
              <w:rFonts w:ascii="宋体" w:hAnsi="宋体" w:hint="eastAsia"/>
              <w:szCs w:val="21"/>
            </w:rPr>
            <w:t>公允价值变动收益</w:t>
          </w:r>
        </w:p>
        <w:sdt>
          <w:sdtPr>
            <w:alias w:val="是否适用：公允价值变动收益[双击切换]"/>
            <w:tag w:val="_GBC_21669fdeb74c4273a55facece1a56109"/>
            <w:id w:val="974412454"/>
            <w:lock w:val="sdtContentLocked"/>
            <w:placeholder>
              <w:docPart w:val="GBC22222222222222222222222222222"/>
            </w:placeholder>
          </w:sdtPr>
          <w:sdtContent>
            <w:p w:rsidR="00ED2DC7" w:rsidRDefault="00ED2DC7">
              <w:r>
                <w:fldChar w:fldCharType="begin"/>
              </w:r>
              <w:r w:rsidR="00BB3393">
                <w:instrText xml:space="preserve"> MACROBUTTON  SnrToggleCheckbox √适用 </w:instrText>
              </w:r>
              <w:r>
                <w:fldChar w:fldCharType="end"/>
              </w:r>
              <w:r>
                <w:fldChar w:fldCharType="begin"/>
              </w:r>
              <w:r w:rsidR="00BB3393">
                <w:instrText xml:space="preserve"> MACROBUTTON  SnrToggleCheckbox □不适用 </w:instrText>
              </w:r>
              <w:r>
                <w:fldChar w:fldCharType="end"/>
              </w:r>
            </w:p>
          </w:sdtContent>
        </w:sdt>
        <w:p w:rsidR="00ED2DC7" w:rsidRDefault="00ED2DC7">
          <w:pPr>
            <w:jc w:val="right"/>
            <w:rPr>
              <w:szCs w:val="21"/>
            </w:rPr>
          </w:pPr>
          <w:r>
            <w:rPr>
              <w:rFonts w:hint="eastAsia"/>
              <w:szCs w:val="21"/>
            </w:rPr>
            <w:t>单位：</w:t>
          </w:r>
          <w:sdt>
            <w:sdtPr>
              <w:rPr>
                <w:rFonts w:hint="eastAsia"/>
                <w:szCs w:val="21"/>
              </w:rPr>
              <w:alias w:val="单位：财务附注：公允价值变动收益"/>
              <w:tag w:val="_GBC_a2b6fb2423244bbaa3600e1be3b4d548"/>
              <w:id w:val="-1057428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hint="eastAsia"/>
                  <w:szCs w:val="21"/>
                </w:rPr>
                <w:t>元</w:t>
              </w:r>
            </w:sdtContent>
          </w:sdt>
          <w:r>
            <w:rPr>
              <w:rFonts w:hint="eastAsia"/>
              <w:szCs w:val="21"/>
            </w:rPr>
            <w:t xml:space="preserve">  币种：</w:t>
          </w:r>
          <w:sdt>
            <w:sdtPr>
              <w:rPr>
                <w:rFonts w:hint="eastAsia"/>
                <w:szCs w:val="21"/>
              </w:rPr>
              <w:alias w:val="币种：财务附注：公允价值变动收益"/>
              <w:tag w:val="_GBC_0343c5436a0742acbf5d87cc18c51638"/>
              <w:id w:val="-71211333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szCs w:val="21"/>
                </w:rPr>
                <w:t>人民币</w:t>
              </w:r>
            </w:sdtContent>
          </w:sdt>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3"/>
            <w:gridCol w:w="2755"/>
            <w:gridCol w:w="2755"/>
          </w:tblGrid>
          <w:tr w:rsidR="00ED2DC7" w:rsidTr="00CF6208">
            <w:bookmarkStart w:id="208" w:name="_Hlk16622948" w:displacedByCustomXml="next"/>
            <w:sdt>
              <w:sdtPr>
                <w:tag w:val="_PLD_a07c0df95be549039f5bf24c4a595cbd"/>
                <w:id w:val="-1309169220"/>
                <w:lock w:val="sdtLocked"/>
              </w:sdtPr>
              <w:sdtContent>
                <w:tc>
                  <w:tcPr>
                    <w:tcW w:w="1877" w:type="pct"/>
                    <w:tcBorders>
                      <w:top w:val="single" w:sz="4" w:space="0" w:color="auto"/>
                      <w:left w:val="single" w:sz="4" w:space="0" w:color="auto"/>
                      <w:bottom w:val="single" w:sz="4" w:space="0" w:color="auto"/>
                      <w:right w:val="single" w:sz="4" w:space="0" w:color="auto"/>
                    </w:tcBorders>
                    <w:vAlign w:val="center"/>
                  </w:tcPr>
                  <w:p w:rsidR="00ED2DC7" w:rsidRDefault="00ED2DC7">
                    <w:pPr>
                      <w:autoSpaceDE w:val="0"/>
                      <w:autoSpaceDN w:val="0"/>
                      <w:adjustRightInd w:val="0"/>
                      <w:jc w:val="center"/>
                      <w:rPr>
                        <w:szCs w:val="21"/>
                      </w:rPr>
                    </w:pPr>
                    <w:r>
                      <w:rPr>
                        <w:rFonts w:hint="eastAsia"/>
                        <w:szCs w:val="21"/>
                      </w:rPr>
                      <w:t>产生公允价值变动收益的来源</w:t>
                    </w:r>
                  </w:p>
                </w:tc>
              </w:sdtContent>
            </w:sdt>
            <w:sdt>
              <w:sdtPr>
                <w:tag w:val="_PLD_b9803e3282e549d5b5e179588ec75dc3"/>
                <w:id w:val="-22950164"/>
                <w:lock w:val="sdtLocked"/>
              </w:sdtPr>
              <w:sdtContent>
                <w:tc>
                  <w:tcPr>
                    <w:tcW w:w="1561" w:type="pct"/>
                    <w:tcBorders>
                      <w:top w:val="single" w:sz="4" w:space="0" w:color="auto"/>
                      <w:left w:val="single" w:sz="4" w:space="0" w:color="auto"/>
                      <w:bottom w:val="single" w:sz="4" w:space="0" w:color="auto"/>
                      <w:right w:val="single" w:sz="4" w:space="0" w:color="auto"/>
                    </w:tcBorders>
                    <w:vAlign w:val="center"/>
                  </w:tcPr>
                  <w:p w:rsidR="00ED2DC7" w:rsidRDefault="00ED2DC7">
                    <w:pPr>
                      <w:autoSpaceDE w:val="0"/>
                      <w:autoSpaceDN w:val="0"/>
                      <w:adjustRightInd w:val="0"/>
                      <w:jc w:val="center"/>
                      <w:rPr>
                        <w:szCs w:val="21"/>
                      </w:rPr>
                    </w:pPr>
                    <w:r>
                      <w:rPr>
                        <w:rFonts w:hint="eastAsia"/>
                        <w:szCs w:val="21"/>
                      </w:rPr>
                      <w:t>本期发生额</w:t>
                    </w:r>
                  </w:p>
                </w:tc>
              </w:sdtContent>
            </w:sdt>
            <w:sdt>
              <w:sdtPr>
                <w:tag w:val="_PLD_943dd94af7be43cd9f57756acf9a8c19"/>
                <w:id w:val="-1641883678"/>
                <w:lock w:val="sdtLocked"/>
              </w:sdtPr>
              <w:sdtContent>
                <w:tc>
                  <w:tcPr>
                    <w:tcW w:w="1561" w:type="pct"/>
                    <w:tcBorders>
                      <w:top w:val="single" w:sz="4" w:space="0" w:color="auto"/>
                      <w:left w:val="single" w:sz="4" w:space="0" w:color="auto"/>
                      <w:bottom w:val="single" w:sz="4" w:space="0" w:color="auto"/>
                      <w:right w:val="single" w:sz="4" w:space="0" w:color="auto"/>
                    </w:tcBorders>
                    <w:vAlign w:val="center"/>
                  </w:tcPr>
                  <w:p w:rsidR="00ED2DC7" w:rsidRDefault="00ED2DC7">
                    <w:pPr>
                      <w:autoSpaceDE w:val="0"/>
                      <w:autoSpaceDN w:val="0"/>
                      <w:adjustRightInd w:val="0"/>
                      <w:jc w:val="center"/>
                      <w:rPr>
                        <w:szCs w:val="21"/>
                      </w:rPr>
                    </w:pPr>
                    <w:r>
                      <w:rPr>
                        <w:rFonts w:hint="eastAsia"/>
                        <w:szCs w:val="21"/>
                      </w:rPr>
                      <w:t>上期发生额</w:t>
                    </w:r>
                  </w:p>
                </w:tc>
              </w:sdtContent>
            </w:sdt>
          </w:tr>
          <w:tr w:rsidR="00ED2DC7" w:rsidTr="00CF6208">
            <w:sdt>
              <w:sdtPr>
                <w:tag w:val="_PLD_402b5413aaec4e358e056ca8d9f87b4c"/>
                <w:id w:val="1761400987"/>
                <w:lock w:val="sdtLocked"/>
              </w:sdtPr>
              <w:sdtContent>
                <w:tc>
                  <w:tcPr>
                    <w:tcW w:w="1877" w:type="pct"/>
                    <w:tcBorders>
                      <w:top w:val="single" w:sz="4" w:space="0" w:color="auto"/>
                      <w:left w:val="single" w:sz="4" w:space="0" w:color="auto"/>
                      <w:bottom w:val="single" w:sz="4" w:space="0" w:color="auto"/>
                      <w:right w:val="single" w:sz="4" w:space="0" w:color="auto"/>
                    </w:tcBorders>
                  </w:tcPr>
                  <w:p w:rsidR="00ED2DC7" w:rsidRDefault="00ED2DC7">
                    <w:pPr>
                      <w:rPr>
                        <w:szCs w:val="21"/>
                      </w:rPr>
                    </w:pPr>
                    <w:r>
                      <w:rPr>
                        <w:rFonts w:hint="eastAsia"/>
                        <w:szCs w:val="21"/>
                      </w:rPr>
                      <w:t>交易性金融资产</w:t>
                    </w:r>
                  </w:p>
                </w:tc>
              </w:sdtContent>
            </w:sdt>
            <w:tc>
              <w:tcPr>
                <w:tcW w:w="1561" w:type="pct"/>
                <w:tcBorders>
                  <w:top w:val="single" w:sz="4" w:space="0" w:color="auto"/>
                  <w:left w:val="single" w:sz="4" w:space="0" w:color="auto"/>
                  <w:bottom w:val="single" w:sz="4" w:space="0" w:color="auto"/>
                  <w:right w:val="single" w:sz="4" w:space="0" w:color="auto"/>
                </w:tcBorders>
              </w:tcPr>
              <w:p w:rsidR="00ED2DC7" w:rsidRDefault="00CF6208" w:rsidP="00B637B2">
                <w:pPr>
                  <w:autoSpaceDE w:val="0"/>
                  <w:autoSpaceDN w:val="0"/>
                  <w:adjustRightInd w:val="0"/>
                  <w:jc w:val="right"/>
                  <w:rPr>
                    <w:szCs w:val="21"/>
                  </w:rPr>
                </w:pPr>
                <w:r w:rsidRPr="00CF6208">
                  <w:rPr>
                    <w:szCs w:val="21"/>
                  </w:rPr>
                  <w:t>11,543,083</w:t>
                </w:r>
              </w:p>
            </w:tc>
            <w:tc>
              <w:tcPr>
                <w:tcW w:w="1561" w:type="pct"/>
                <w:tcBorders>
                  <w:top w:val="single" w:sz="4" w:space="0" w:color="auto"/>
                  <w:left w:val="single" w:sz="4" w:space="0" w:color="auto"/>
                  <w:bottom w:val="single" w:sz="4" w:space="0" w:color="auto"/>
                  <w:right w:val="single" w:sz="4" w:space="0" w:color="auto"/>
                </w:tcBorders>
              </w:tcPr>
              <w:p w:rsidR="00ED2DC7" w:rsidRDefault="00ED2DC7">
                <w:pPr>
                  <w:autoSpaceDE w:val="0"/>
                  <w:autoSpaceDN w:val="0"/>
                  <w:adjustRightInd w:val="0"/>
                  <w:jc w:val="right"/>
                  <w:rPr>
                    <w:szCs w:val="21"/>
                  </w:rPr>
                </w:pPr>
              </w:p>
            </w:tc>
          </w:tr>
          <w:sdt>
            <w:sdtPr>
              <w:rPr>
                <w:rFonts w:hint="eastAsia"/>
                <w:szCs w:val="21"/>
              </w:rPr>
              <w:alias w:val="产生公允价值变动收益的来源的明细"/>
              <w:tag w:val="_TUP_901043d70806435fbba28aa3c0d298b6"/>
              <w:id w:val="421998851"/>
              <w:lock w:val="sdtLocked"/>
              <w:placeholder>
                <w:docPart w:val="GBC11111111111111111111111111111"/>
              </w:placeholder>
            </w:sdtPr>
            <w:sdtContent>
              <w:tr w:rsidR="00ED2DC7" w:rsidTr="00CF6208">
                <w:tc>
                  <w:tcPr>
                    <w:tcW w:w="1877" w:type="pct"/>
                    <w:tcBorders>
                      <w:top w:val="single" w:sz="4" w:space="0" w:color="auto"/>
                      <w:left w:val="single" w:sz="4" w:space="0" w:color="auto"/>
                      <w:bottom w:val="single" w:sz="4" w:space="0" w:color="auto"/>
                      <w:right w:val="single" w:sz="4" w:space="0" w:color="auto"/>
                    </w:tcBorders>
                  </w:tcPr>
                  <w:p w:rsidR="00ED2DC7" w:rsidRDefault="00CF6208">
                    <w:pPr>
                      <w:rPr>
                        <w:szCs w:val="21"/>
                      </w:rPr>
                    </w:pPr>
                    <w:r w:rsidRPr="00CF6208">
                      <w:rPr>
                        <w:rFonts w:hint="eastAsia"/>
                        <w:szCs w:val="21"/>
                      </w:rPr>
                      <w:t>其他非流动金融资产</w:t>
                    </w:r>
                  </w:p>
                </w:tc>
                <w:tc>
                  <w:tcPr>
                    <w:tcW w:w="1561" w:type="pct"/>
                    <w:tcBorders>
                      <w:top w:val="single" w:sz="4" w:space="0" w:color="auto"/>
                      <w:left w:val="single" w:sz="4" w:space="0" w:color="auto"/>
                      <w:bottom w:val="single" w:sz="4" w:space="0" w:color="auto"/>
                      <w:right w:val="single" w:sz="4" w:space="0" w:color="auto"/>
                    </w:tcBorders>
                  </w:tcPr>
                  <w:p w:rsidR="00ED2DC7" w:rsidRDefault="00CF6208" w:rsidP="00B637B2">
                    <w:pPr>
                      <w:jc w:val="right"/>
                      <w:rPr>
                        <w:szCs w:val="21"/>
                      </w:rPr>
                    </w:pPr>
                    <w:r w:rsidRPr="00CF6208">
                      <w:rPr>
                        <w:szCs w:val="21"/>
                      </w:rPr>
                      <w:t>31,648,519</w:t>
                    </w:r>
                  </w:p>
                </w:tc>
                <w:tc>
                  <w:tcPr>
                    <w:tcW w:w="1561" w:type="pct"/>
                    <w:tcBorders>
                      <w:top w:val="single" w:sz="4" w:space="0" w:color="auto"/>
                      <w:left w:val="single" w:sz="4" w:space="0" w:color="auto"/>
                      <w:bottom w:val="single" w:sz="4" w:space="0" w:color="auto"/>
                      <w:right w:val="single" w:sz="4" w:space="0" w:color="auto"/>
                    </w:tcBorders>
                  </w:tcPr>
                  <w:p w:rsidR="00ED2DC7" w:rsidRDefault="00ED2DC7">
                    <w:pPr>
                      <w:autoSpaceDE w:val="0"/>
                      <w:autoSpaceDN w:val="0"/>
                      <w:adjustRightInd w:val="0"/>
                      <w:jc w:val="right"/>
                      <w:rPr>
                        <w:szCs w:val="21"/>
                      </w:rPr>
                    </w:pPr>
                  </w:p>
                </w:tc>
              </w:tr>
            </w:sdtContent>
          </w:sdt>
          <w:tr w:rsidR="00ED2DC7" w:rsidTr="00CF6208">
            <w:sdt>
              <w:sdtPr>
                <w:tag w:val="_PLD_5eb386e2c7144b76b7f1061a9d9942d9"/>
                <w:id w:val="-1739865116"/>
                <w:lock w:val="sdtLocked"/>
              </w:sdtPr>
              <w:sdtContent>
                <w:tc>
                  <w:tcPr>
                    <w:tcW w:w="1877" w:type="pct"/>
                    <w:tcBorders>
                      <w:top w:val="single" w:sz="4" w:space="0" w:color="auto"/>
                      <w:left w:val="single" w:sz="4" w:space="0" w:color="auto"/>
                      <w:bottom w:val="single" w:sz="4" w:space="0" w:color="auto"/>
                      <w:right w:val="single" w:sz="4" w:space="0" w:color="auto"/>
                    </w:tcBorders>
                    <w:vAlign w:val="center"/>
                  </w:tcPr>
                  <w:p w:rsidR="00ED2DC7" w:rsidRDefault="00ED2DC7">
                    <w:pPr>
                      <w:autoSpaceDE w:val="0"/>
                      <w:autoSpaceDN w:val="0"/>
                      <w:adjustRightInd w:val="0"/>
                      <w:jc w:val="center"/>
                      <w:rPr>
                        <w:szCs w:val="21"/>
                      </w:rPr>
                    </w:pPr>
                    <w:r>
                      <w:rPr>
                        <w:rFonts w:hint="eastAsia"/>
                        <w:szCs w:val="21"/>
                      </w:rPr>
                      <w:t>合计</w:t>
                    </w:r>
                  </w:p>
                </w:tc>
              </w:sdtContent>
            </w:sdt>
            <w:tc>
              <w:tcPr>
                <w:tcW w:w="1561" w:type="pct"/>
                <w:tcBorders>
                  <w:top w:val="single" w:sz="4" w:space="0" w:color="auto"/>
                  <w:left w:val="single" w:sz="4" w:space="0" w:color="auto"/>
                  <w:bottom w:val="single" w:sz="4" w:space="0" w:color="auto"/>
                  <w:right w:val="single" w:sz="4" w:space="0" w:color="auto"/>
                </w:tcBorders>
              </w:tcPr>
              <w:p w:rsidR="00ED2DC7" w:rsidRDefault="00CF6208" w:rsidP="00B637B2">
                <w:pPr>
                  <w:jc w:val="right"/>
                  <w:rPr>
                    <w:szCs w:val="21"/>
                  </w:rPr>
                </w:pPr>
                <w:r w:rsidRPr="00CF6208">
                  <w:rPr>
                    <w:szCs w:val="21"/>
                  </w:rPr>
                  <w:t>43,191,602</w:t>
                </w:r>
              </w:p>
            </w:tc>
            <w:tc>
              <w:tcPr>
                <w:tcW w:w="1561" w:type="pct"/>
                <w:tcBorders>
                  <w:top w:val="single" w:sz="4" w:space="0" w:color="auto"/>
                  <w:left w:val="single" w:sz="4" w:space="0" w:color="auto"/>
                  <w:bottom w:val="single" w:sz="4" w:space="0" w:color="auto"/>
                  <w:right w:val="single" w:sz="4" w:space="0" w:color="auto"/>
                </w:tcBorders>
              </w:tcPr>
              <w:p w:rsidR="00ED2DC7" w:rsidRDefault="00ED2DC7">
                <w:pPr>
                  <w:autoSpaceDE w:val="0"/>
                  <w:autoSpaceDN w:val="0"/>
                  <w:adjustRightInd w:val="0"/>
                  <w:jc w:val="right"/>
                  <w:rPr>
                    <w:szCs w:val="21"/>
                  </w:rPr>
                </w:pPr>
              </w:p>
            </w:tc>
          </w:tr>
        </w:tbl>
        <w:bookmarkEnd w:id="208"/>
        <w:p w:rsidR="00ED2DC7" w:rsidRDefault="00ED2DC7">
          <w:pPr>
            <w:spacing w:before="60" w:after="60"/>
            <w:rPr>
              <w:szCs w:val="21"/>
            </w:rPr>
          </w:pPr>
          <w:r>
            <w:rPr>
              <w:rFonts w:hint="eastAsia"/>
              <w:szCs w:val="21"/>
            </w:rPr>
            <w:t>其他说明：</w:t>
          </w:r>
        </w:p>
        <w:sdt>
          <w:sdtPr>
            <w:rPr>
              <w:rFonts w:hint="eastAsia"/>
              <w:szCs w:val="21"/>
            </w:rPr>
            <w:alias w:val="公允价值变动收益的说明"/>
            <w:tag w:val="_GBC_ca97bf4455704ba1b8c90a97a9d856f0"/>
            <w:id w:val="1860155076"/>
            <w:lock w:val="sdtLocked"/>
            <w:placeholder>
              <w:docPart w:val="GBC22222222222222222222222222222"/>
            </w:placeholder>
          </w:sdtPr>
          <w:sdtContent>
            <w:p w:rsidR="00ED2DC7" w:rsidRDefault="00CF6208">
              <w:pPr>
                <w:rPr>
                  <w:szCs w:val="21"/>
                </w:rPr>
              </w:pPr>
              <w:r>
                <w:rPr>
                  <w:rFonts w:hint="eastAsia"/>
                  <w:szCs w:val="21"/>
                </w:rPr>
                <w:t>无。</w:t>
              </w:r>
            </w:p>
          </w:sdtContent>
        </w:sdt>
      </w:sdtContent>
    </w:sdt>
    <w:bookmarkEnd w:id="207" w:displacedByCustomXml="prev"/>
    <w:p w:rsidR="00ED2DC7" w:rsidRDefault="00ED2DC7">
      <w:pPr>
        <w:rPr>
          <w:szCs w:val="21"/>
        </w:rPr>
      </w:pPr>
    </w:p>
    <w:bookmarkStart w:id="209" w:name="_Hlk10538951" w:displacedByCustomXml="next"/>
    <w:sdt>
      <w:sdtPr>
        <w:rPr>
          <w:rFonts w:ascii="宋体" w:hAnsi="宋体" w:cs="宋体" w:hint="eastAsia"/>
          <w:b w:val="0"/>
          <w:bCs w:val="0"/>
          <w:kern w:val="0"/>
          <w:szCs w:val="21"/>
        </w:rPr>
        <w:alias w:val="模块:信用减值损失"/>
        <w:tag w:val="_SEC_fd41a472facc446f858793a843aabc8f"/>
        <w:id w:val="1565911621"/>
        <w:lock w:val="sdtLocked"/>
        <w:placeholder>
          <w:docPart w:val="GBC22222222222222222222222222222"/>
        </w:placeholder>
      </w:sdtPr>
      <w:sdtEndPr>
        <w:rPr>
          <w:szCs w:val="24"/>
        </w:rPr>
      </w:sdtEndPr>
      <w:sdtContent>
        <w:p w:rsidR="00ED2DC7" w:rsidRDefault="00ED2DC7" w:rsidP="00036BDC">
          <w:pPr>
            <w:pStyle w:val="affffffffffffffffff1"/>
            <w:numPr>
              <w:ilvl w:val="0"/>
              <w:numId w:val="49"/>
            </w:numPr>
            <w:tabs>
              <w:tab w:val="left" w:pos="504"/>
            </w:tabs>
            <w:rPr>
              <w:szCs w:val="21"/>
            </w:rPr>
          </w:pPr>
          <w:r>
            <w:rPr>
              <w:rFonts w:hint="eastAsia"/>
              <w:szCs w:val="21"/>
            </w:rPr>
            <w:t>信用减值损失</w:t>
          </w:r>
        </w:p>
        <w:sdt>
          <w:sdtPr>
            <w:alias w:val="是否适用：信用减值损失[双击切换]"/>
            <w:tag w:val="_GBC_9279395626744d9f90977e31f76a35e0"/>
            <w:id w:val="-442309384"/>
            <w:lock w:val="sdtContentLocked"/>
            <w:placeholder>
              <w:docPart w:val="GBC22222222222222222222222222222"/>
            </w:placeholder>
          </w:sdtPr>
          <w:sdtContent>
            <w:p w:rsidR="00221B01" w:rsidRDefault="00ED2DC7" w:rsidP="00221B01">
              <w:r>
                <w:fldChar w:fldCharType="begin"/>
              </w:r>
              <w:r w:rsidR="00F33F8F">
                <w:instrText xml:space="preserve"> MACROBUTTON  SnrToggleCheckbox √适用 </w:instrText>
              </w:r>
              <w:r>
                <w:fldChar w:fldCharType="end"/>
              </w:r>
              <w:r>
                <w:fldChar w:fldCharType="begin"/>
              </w:r>
              <w:r w:rsidR="00F33F8F">
                <w:instrText xml:space="preserve"> MACROBUTTON  SnrToggleCheckbox □不适用 </w:instrText>
              </w:r>
              <w:r>
                <w:fldChar w:fldCharType="end"/>
              </w:r>
            </w:p>
          </w:sdtContent>
        </w:sdt>
        <w:p w:rsidR="00F33F8F" w:rsidRDefault="00F33F8F">
          <w:pPr>
            <w:pStyle w:val="af"/>
            <w:ind w:left="420" w:firstLineChars="0" w:firstLine="0"/>
            <w:jc w:val="right"/>
          </w:pPr>
          <w:r>
            <w:rPr>
              <w:rFonts w:hint="eastAsia"/>
            </w:rPr>
            <w:t>单位：</w:t>
          </w:r>
          <w:sdt>
            <w:sdtPr>
              <w:rPr>
                <w:rFonts w:hint="eastAsia"/>
              </w:rPr>
              <w:alias w:val="单位：信用减值损失"/>
              <w:tag w:val="_GBC_42448798b55a4d1d92e24e5ab3136a29"/>
              <w:id w:val="418832238"/>
              <w:lock w:val="sdtLocked"/>
              <w:placeholder>
                <w:docPart w:val="5C9F695FA7D04046B3544BC4BCAD6EC8"/>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信用减值损失"/>
              <w:tag w:val="_GBC_31b54790dc75480392cd62182753c8c5"/>
              <w:id w:val="253178164"/>
              <w:lock w:val="sdtLocked"/>
              <w:placeholder>
                <w:docPart w:val="5C9F695FA7D04046B3544BC4BCAD6EC8"/>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286"/>
            <w:gridCol w:w="2763"/>
            <w:gridCol w:w="2774"/>
          </w:tblGrid>
          <w:tr w:rsidR="00F33F8F" w:rsidTr="00B94F30">
            <w:sdt>
              <w:sdtPr>
                <w:tag w:val="_PLD_b50e02253d2943c0870f2a657c04ef0b"/>
                <w:id w:val="-1333447783"/>
                <w:lock w:val="sdtLocked"/>
              </w:sdtPr>
              <w:sdtContent>
                <w:tc>
                  <w:tcPr>
                    <w:tcW w:w="1862" w:type="pct"/>
                    <w:shd w:val="clear" w:color="auto" w:fill="auto"/>
                    <w:vAlign w:val="center"/>
                  </w:tcPr>
                  <w:p w:rsidR="00F33F8F" w:rsidRDefault="00F33F8F">
                    <w:pPr>
                      <w:jc w:val="center"/>
                      <w:rPr>
                        <w:szCs w:val="21"/>
                      </w:rPr>
                    </w:pPr>
                    <w:r>
                      <w:rPr>
                        <w:rFonts w:hint="eastAsia"/>
                        <w:szCs w:val="21"/>
                      </w:rPr>
                      <w:t>项目</w:t>
                    </w:r>
                  </w:p>
                </w:tc>
              </w:sdtContent>
            </w:sdt>
            <w:sdt>
              <w:sdtPr>
                <w:tag w:val="_PLD_c2af264cead046b0b75b0de0efb1f8e2"/>
                <w:id w:val="-797450037"/>
                <w:lock w:val="sdtLocked"/>
              </w:sdtPr>
              <w:sdtContent>
                <w:tc>
                  <w:tcPr>
                    <w:tcW w:w="1566" w:type="pct"/>
                    <w:tcBorders>
                      <w:bottom w:val="single" w:sz="6" w:space="0" w:color="auto"/>
                    </w:tcBorders>
                    <w:shd w:val="clear" w:color="auto" w:fill="auto"/>
                    <w:vAlign w:val="center"/>
                  </w:tcPr>
                  <w:p w:rsidR="00F33F8F" w:rsidRDefault="00F33F8F">
                    <w:pPr>
                      <w:jc w:val="center"/>
                      <w:rPr>
                        <w:szCs w:val="21"/>
                      </w:rPr>
                    </w:pPr>
                    <w:r>
                      <w:rPr>
                        <w:rFonts w:hint="eastAsia"/>
                        <w:szCs w:val="21"/>
                      </w:rPr>
                      <w:t>本期发生额</w:t>
                    </w:r>
                  </w:p>
                </w:tc>
              </w:sdtContent>
            </w:sdt>
            <w:sdt>
              <w:sdtPr>
                <w:tag w:val="_PLD_858072d6133741d69decf7506de616e0"/>
                <w:id w:val="1172536351"/>
                <w:lock w:val="sdtLocked"/>
              </w:sdtPr>
              <w:sdtContent>
                <w:tc>
                  <w:tcPr>
                    <w:tcW w:w="1572" w:type="pct"/>
                    <w:shd w:val="clear" w:color="auto" w:fill="auto"/>
                    <w:vAlign w:val="center"/>
                  </w:tcPr>
                  <w:p w:rsidR="00F33F8F" w:rsidRDefault="00F33F8F">
                    <w:pPr>
                      <w:jc w:val="center"/>
                      <w:rPr>
                        <w:szCs w:val="21"/>
                      </w:rPr>
                    </w:pPr>
                    <w:r>
                      <w:rPr>
                        <w:rFonts w:hint="eastAsia"/>
                        <w:szCs w:val="21"/>
                      </w:rPr>
                      <w:t>上期发生额</w:t>
                    </w:r>
                  </w:p>
                </w:tc>
              </w:sdtContent>
            </w:sdt>
          </w:tr>
          <w:tr w:rsidR="00F33F8F" w:rsidTr="00B94F30">
            <w:tc>
              <w:tcPr>
                <w:tcW w:w="1862" w:type="pct"/>
                <w:shd w:val="clear" w:color="auto" w:fill="auto"/>
                <w:vAlign w:val="center"/>
              </w:tcPr>
              <w:sdt>
                <w:sdtPr>
                  <w:rPr>
                    <w:rFonts w:hint="eastAsia"/>
                    <w:szCs w:val="21"/>
                  </w:rPr>
                  <w:tag w:val="_PLD_73ddaf0483074e9b91277ff71915660a"/>
                  <w:id w:val="-1222903562"/>
                  <w:lock w:val="sdtLocked"/>
                </w:sdtPr>
                <w:sdtContent>
                  <w:p w:rsidR="00F33F8F" w:rsidRDefault="00F33F8F">
                    <w:pPr>
                      <w:rPr>
                        <w:szCs w:val="21"/>
                      </w:rPr>
                    </w:pPr>
                    <w:r>
                      <w:rPr>
                        <w:rFonts w:hint="eastAsia"/>
                        <w:szCs w:val="21"/>
                      </w:rPr>
                      <w:t>应收账款坏账损失</w:t>
                    </w:r>
                  </w:p>
                </w:sdtContent>
              </w:sdt>
            </w:tc>
            <w:tc>
              <w:tcPr>
                <w:tcW w:w="1566" w:type="pct"/>
                <w:tcBorders>
                  <w:top w:val="single" w:sz="6" w:space="0" w:color="auto"/>
                  <w:bottom w:val="single" w:sz="6" w:space="0" w:color="auto"/>
                </w:tcBorders>
                <w:shd w:val="clear" w:color="auto" w:fill="auto"/>
              </w:tcPr>
              <w:p w:rsidR="00F33F8F" w:rsidRDefault="004E6292">
                <w:pPr>
                  <w:jc w:val="right"/>
                  <w:rPr>
                    <w:szCs w:val="21"/>
                  </w:rPr>
                </w:pPr>
                <w:r>
                  <w:rPr>
                    <w:rFonts w:hint="eastAsia"/>
                    <w:szCs w:val="21"/>
                  </w:rPr>
                  <w:t>-</w:t>
                </w:r>
                <w:r w:rsidR="00F33F8F" w:rsidRPr="00F33F8F">
                  <w:rPr>
                    <w:szCs w:val="21"/>
                  </w:rPr>
                  <w:t>43,916,710</w:t>
                </w:r>
              </w:p>
            </w:tc>
            <w:tc>
              <w:tcPr>
                <w:tcW w:w="1572" w:type="pct"/>
                <w:shd w:val="clear" w:color="auto" w:fill="auto"/>
              </w:tcPr>
              <w:p w:rsidR="00F33F8F" w:rsidRDefault="00F33F8F">
                <w:pPr>
                  <w:jc w:val="right"/>
                  <w:rPr>
                    <w:szCs w:val="21"/>
                  </w:rPr>
                </w:pPr>
              </w:p>
            </w:tc>
          </w:tr>
          <w:tr w:rsidR="00F33F8F" w:rsidTr="00B94F30">
            <w:tc>
              <w:tcPr>
                <w:tcW w:w="1862" w:type="pct"/>
                <w:shd w:val="clear" w:color="auto" w:fill="auto"/>
                <w:vAlign w:val="center"/>
              </w:tcPr>
              <w:sdt>
                <w:sdtPr>
                  <w:rPr>
                    <w:rFonts w:hint="eastAsia"/>
                    <w:szCs w:val="21"/>
                  </w:rPr>
                  <w:tag w:val="_PLD_3244954f72b74100bc8a1e9817db39de"/>
                  <w:id w:val="-293835235"/>
                  <w:lock w:val="sdtLocked"/>
                </w:sdtPr>
                <w:sdtContent>
                  <w:p w:rsidR="00F33F8F" w:rsidRDefault="00F33F8F">
                    <w:pPr>
                      <w:rPr>
                        <w:szCs w:val="21"/>
                      </w:rPr>
                    </w:pPr>
                    <w:r>
                      <w:rPr>
                        <w:rFonts w:hint="eastAsia"/>
                        <w:szCs w:val="21"/>
                      </w:rPr>
                      <w:t>其他应收款坏账损失</w:t>
                    </w:r>
                  </w:p>
                </w:sdtContent>
              </w:sdt>
            </w:tc>
            <w:tc>
              <w:tcPr>
                <w:tcW w:w="1566" w:type="pct"/>
                <w:tcBorders>
                  <w:top w:val="single" w:sz="6" w:space="0" w:color="auto"/>
                  <w:bottom w:val="single" w:sz="6" w:space="0" w:color="auto"/>
                </w:tcBorders>
                <w:shd w:val="clear" w:color="auto" w:fill="auto"/>
              </w:tcPr>
              <w:p w:rsidR="00F33F8F" w:rsidRDefault="004E6292">
                <w:pPr>
                  <w:jc w:val="right"/>
                  <w:rPr>
                    <w:szCs w:val="21"/>
                  </w:rPr>
                </w:pPr>
                <w:r>
                  <w:rPr>
                    <w:rFonts w:hint="eastAsia"/>
                    <w:szCs w:val="21"/>
                  </w:rPr>
                  <w:t>-</w:t>
                </w:r>
                <w:r w:rsidR="00F33F8F" w:rsidRPr="00F33F8F">
                  <w:rPr>
                    <w:szCs w:val="21"/>
                  </w:rPr>
                  <w:t>4,712,896</w:t>
                </w:r>
              </w:p>
            </w:tc>
            <w:tc>
              <w:tcPr>
                <w:tcW w:w="1572" w:type="pct"/>
                <w:shd w:val="clear" w:color="auto" w:fill="auto"/>
              </w:tcPr>
              <w:p w:rsidR="00F33F8F" w:rsidRDefault="00F33F8F">
                <w:pPr>
                  <w:jc w:val="right"/>
                  <w:rPr>
                    <w:szCs w:val="21"/>
                  </w:rPr>
                </w:pPr>
              </w:p>
            </w:tc>
          </w:tr>
          <w:tr w:rsidR="00F33F8F" w:rsidTr="00B94F30">
            <w:tc>
              <w:tcPr>
                <w:tcW w:w="1862" w:type="pct"/>
                <w:shd w:val="clear" w:color="auto" w:fill="auto"/>
                <w:vAlign w:val="center"/>
              </w:tcPr>
              <w:sdt>
                <w:sdtPr>
                  <w:rPr>
                    <w:rFonts w:hint="eastAsia"/>
                    <w:szCs w:val="21"/>
                  </w:rPr>
                  <w:tag w:val="_PLD_6b0b7c6a76bb4a20bbb84139ba9fc274"/>
                  <w:id w:val="-1319873418"/>
                  <w:lock w:val="sdtLocked"/>
                </w:sdtPr>
                <w:sdtContent>
                  <w:p w:rsidR="00F33F8F" w:rsidRDefault="00F33F8F">
                    <w:pPr>
                      <w:rPr>
                        <w:szCs w:val="21"/>
                      </w:rPr>
                    </w:pPr>
                    <w:r>
                      <w:rPr>
                        <w:rFonts w:hint="eastAsia"/>
                        <w:szCs w:val="21"/>
                      </w:rPr>
                      <w:t>债权投资减值损失</w:t>
                    </w:r>
                  </w:p>
                </w:sdtContent>
              </w:sdt>
            </w:tc>
            <w:tc>
              <w:tcPr>
                <w:tcW w:w="1566" w:type="pct"/>
                <w:tcBorders>
                  <w:top w:val="single" w:sz="6" w:space="0" w:color="auto"/>
                  <w:bottom w:val="single" w:sz="6" w:space="0" w:color="auto"/>
                </w:tcBorders>
                <w:shd w:val="clear" w:color="auto" w:fill="auto"/>
              </w:tcPr>
              <w:p w:rsidR="00F33F8F" w:rsidRDefault="00F33F8F">
                <w:pPr>
                  <w:jc w:val="right"/>
                  <w:rPr>
                    <w:szCs w:val="21"/>
                  </w:rPr>
                </w:pPr>
              </w:p>
            </w:tc>
            <w:tc>
              <w:tcPr>
                <w:tcW w:w="1572" w:type="pct"/>
                <w:shd w:val="clear" w:color="auto" w:fill="auto"/>
              </w:tcPr>
              <w:p w:rsidR="00F33F8F" w:rsidRDefault="00F33F8F">
                <w:pPr>
                  <w:jc w:val="right"/>
                  <w:rPr>
                    <w:szCs w:val="21"/>
                  </w:rPr>
                </w:pPr>
              </w:p>
            </w:tc>
          </w:tr>
          <w:tr w:rsidR="00F33F8F" w:rsidTr="00B94F30">
            <w:tc>
              <w:tcPr>
                <w:tcW w:w="1862" w:type="pct"/>
                <w:shd w:val="clear" w:color="auto" w:fill="auto"/>
                <w:vAlign w:val="center"/>
              </w:tcPr>
              <w:sdt>
                <w:sdtPr>
                  <w:rPr>
                    <w:rFonts w:hint="eastAsia"/>
                    <w:szCs w:val="21"/>
                  </w:rPr>
                  <w:tag w:val="_PLD_593e156a77f54216ab6901a40da92766"/>
                  <w:id w:val="2060896993"/>
                  <w:lock w:val="sdtLocked"/>
                </w:sdtPr>
                <w:sdtContent>
                  <w:p w:rsidR="00F33F8F" w:rsidRDefault="00F33F8F">
                    <w:pPr>
                      <w:rPr>
                        <w:szCs w:val="21"/>
                      </w:rPr>
                    </w:pPr>
                    <w:r>
                      <w:rPr>
                        <w:rFonts w:hint="eastAsia"/>
                        <w:szCs w:val="21"/>
                      </w:rPr>
                      <w:t>其他债权投资减值损失</w:t>
                    </w:r>
                  </w:p>
                </w:sdtContent>
              </w:sdt>
            </w:tc>
            <w:tc>
              <w:tcPr>
                <w:tcW w:w="1566" w:type="pct"/>
                <w:tcBorders>
                  <w:top w:val="single" w:sz="6" w:space="0" w:color="auto"/>
                  <w:bottom w:val="single" w:sz="6" w:space="0" w:color="auto"/>
                </w:tcBorders>
                <w:shd w:val="clear" w:color="auto" w:fill="auto"/>
              </w:tcPr>
              <w:p w:rsidR="00F33F8F" w:rsidRDefault="00F33F8F">
                <w:pPr>
                  <w:jc w:val="right"/>
                  <w:rPr>
                    <w:szCs w:val="21"/>
                  </w:rPr>
                </w:pPr>
              </w:p>
            </w:tc>
            <w:tc>
              <w:tcPr>
                <w:tcW w:w="1572" w:type="pct"/>
                <w:shd w:val="clear" w:color="auto" w:fill="auto"/>
              </w:tcPr>
              <w:p w:rsidR="00F33F8F" w:rsidRDefault="00F33F8F">
                <w:pPr>
                  <w:jc w:val="right"/>
                  <w:rPr>
                    <w:szCs w:val="21"/>
                  </w:rPr>
                </w:pPr>
              </w:p>
            </w:tc>
          </w:tr>
          <w:tr w:rsidR="00F33F8F" w:rsidTr="00B94F30">
            <w:tc>
              <w:tcPr>
                <w:tcW w:w="1862" w:type="pct"/>
                <w:shd w:val="clear" w:color="auto" w:fill="auto"/>
                <w:vAlign w:val="center"/>
              </w:tcPr>
              <w:sdt>
                <w:sdtPr>
                  <w:rPr>
                    <w:rFonts w:hint="eastAsia"/>
                    <w:szCs w:val="21"/>
                  </w:rPr>
                  <w:tag w:val="_PLD_18c573e9a35942eba2936fdf98e7e235"/>
                  <w:id w:val="1865249646"/>
                  <w:lock w:val="sdtLocked"/>
                </w:sdtPr>
                <w:sdtContent>
                  <w:p w:rsidR="00F33F8F" w:rsidRDefault="00F33F8F">
                    <w:pPr>
                      <w:rPr>
                        <w:szCs w:val="21"/>
                      </w:rPr>
                    </w:pPr>
                    <w:r>
                      <w:rPr>
                        <w:rFonts w:hint="eastAsia"/>
                        <w:szCs w:val="21"/>
                      </w:rPr>
                      <w:t>长期应收款坏账损失</w:t>
                    </w:r>
                  </w:p>
                </w:sdtContent>
              </w:sdt>
            </w:tc>
            <w:tc>
              <w:tcPr>
                <w:tcW w:w="1566" w:type="pct"/>
                <w:tcBorders>
                  <w:top w:val="single" w:sz="6" w:space="0" w:color="auto"/>
                  <w:bottom w:val="single" w:sz="6" w:space="0" w:color="auto"/>
                </w:tcBorders>
                <w:shd w:val="clear" w:color="auto" w:fill="auto"/>
              </w:tcPr>
              <w:p w:rsidR="00F33F8F" w:rsidRDefault="00F33F8F">
                <w:pPr>
                  <w:jc w:val="right"/>
                  <w:rPr>
                    <w:szCs w:val="21"/>
                  </w:rPr>
                </w:pPr>
              </w:p>
            </w:tc>
            <w:tc>
              <w:tcPr>
                <w:tcW w:w="1572" w:type="pct"/>
                <w:shd w:val="clear" w:color="auto" w:fill="auto"/>
              </w:tcPr>
              <w:p w:rsidR="00F33F8F" w:rsidRDefault="00F33F8F">
                <w:pPr>
                  <w:jc w:val="right"/>
                  <w:rPr>
                    <w:szCs w:val="21"/>
                  </w:rPr>
                </w:pPr>
              </w:p>
            </w:tc>
          </w:tr>
          <w:tr w:rsidR="00F33F8F" w:rsidTr="00B94F30">
            <w:tc>
              <w:tcPr>
                <w:tcW w:w="1862" w:type="pct"/>
                <w:shd w:val="clear" w:color="auto" w:fill="auto"/>
                <w:vAlign w:val="center"/>
              </w:tcPr>
              <w:sdt>
                <w:sdtPr>
                  <w:rPr>
                    <w:rFonts w:hint="eastAsia"/>
                    <w:szCs w:val="21"/>
                  </w:rPr>
                  <w:tag w:val="_PLD_96a54c391dff46c98c54fe9c8ec8889c"/>
                  <w:id w:val="-1419240950"/>
                  <w:lock w:val="sdtLocked"/>
                </w:sdtPr>
                <w:sdtContent>
                  <w:p w:rsidR="00F33F8F" w:rsidRDefault="00F33F8F">
                    <w:pPr>
                      <w:rPr>
                        <w:szCs w:val="21"/>
                      </w:rPr>
                    </w:pPr>
                    <w:r>
                      <w:rPr>
                        <w:rFonts w:hint="eastAsia"/>
                        <w:szCs w:val="21"/>
                      </w:rPr>
                      <w:t>合同资产减值损失</w:t>
                    </w:r>
                  </w:p>
                </w:sdtContent>
              </w:sdt>
            </w:tc>
            <w:tc>
              <w:tcPr>
                <w:tcW w:w="1566" w:type="pct"/>
                <w:tcBorders>
                  <w:top w:val="single" w:sz="6" w:space="0" w:color="auto"/>
                  <w:bottom w:val="single" w:sz="6" w:space="0" w:color="auto"/>
                </w:tcBorders>
                <w:shd w:val="clear" w:color="auto" w:fill="auto"/>
              </w:tcPr>
              <w:p w:rsidR="00F33F8F" w:rsidRDefault="00F33F8F">
                <w:pPr>
                  <w:jc w:val="right"/>
                  <w:rPr>
                    <w:szCs w:val="21"/>
                  </w:rPr>
                </w:pPr>
              </w:p>
            </w:tc>
            <w:tc>
              <w:tcPr>
                <w:tcW w:w="1572" w:type="pct"/>
                <w:shd w:val="clear" w:color="auto" w:fill="auto"/>
              </w:tcPr>
              <w:p w:rsidR="00F33F8F" w:rsidRDefault="00F33F8F">
                <w:pPr>
                  <w:jc w:val="right"/>
                  <w:rPr>
                    <w:szCs w:val="21"/>
                  </w:rPr>
                </w:pPr>
              </w:p>
            </w:tc>
          </w:tr>
          <w:sdt>
            <w:sdtPr>
              <w:rPr>
                <w:szCs w:val="21"/>
              </w:rPr>
              <w:alias w:val="信用减值损失明细"/>
              <w:tag w:val="_TUP_e8998a251e254d3b8e96e11174e00f97"/>
              <w:id w:val="-1337838890"/>
              <w:lock w:val="sdtLocked"/>
              <w:placeholder>
                <w:docPart w:val="263B06B9EB8D469983698D7D29F69B81"/>
              </w:placeholder>
            </w:sdtPr>
            <w:sdtContent>
              <w:tr w:rsidR="00F33F8F" w:rsidTr="00B94F30">
                <w:tc>
                  <w:tcPr>
                    <w:tcW w:w="1862" w:type="pct"/>
                    <w:shd w:val="clear" w:color="auto" w:fill="auto"/>
                    <w:vAlign w:val="center"/>
                  </w:tcPr>
                  <w:p w:rsidR="00F33F8F" w:rsidRDefault="00F33F8F">
                    <w:pPr>
                      <w:rPr>
                        <w:szCs w:val="21"/>
                      </w:rPr>
                    </w:pPr>
                    <w:r>
                      <w:rPr>
                        <w:rFonts w:hint="eastAsia"/>
                        <w:szCs w:val="21"/>
                      </w:rPr>
                      <w:t>应收票据坏账损失</w:t>
                    </w:r>
                  </w:p>
                </w:tc>
                <w:tc>
                  <w:tcPr>
                    <w:tcW w:w="1566" w:type="pct"/>
                    <w:tcBorders>
                      <w:top w:val="single" w:sz="6" w:space="0" w:color="auto"/>
                      <w:bottom w:val="single" w:sz="6" w:space="0" w:color="auto"/>
                    </w:tcBorders>
                    <w:shd w:val="clear" w:color="auto" w:fill="auto"/>
                  </w:tcPr>
                  <w:p w:rsidR="00F33F8F" w:rsidRDefault="004E6292">
                    <w:pPr>
                      <w:jc w:val="right"/>
                      <w:rPr>
                        <w:szCs w:val="21"/>
                      </w:rPr>
                    </w:pPr>
                    <w:r>
                      <w:rPr>
                        <w:rFonts w:hint="eastAsia"/>
                        <w:szCs w:val="21"/>
                      </w:rPr>
                      <w:t>-</w:t>
                    </w:r>
                    <w:r w:rsidR="00F33F8F" w:rsidRPr="00F33F8F">
                      <w:rPr>
                        <w:szCs w:val="21"/>
                      </w:rPr>
                      <w:t>201,778</w:t>
                    </w:r>
                  </w:p>
                </w:tc>
                <w:tc>
                  <w:tcPr>
                    <w:tcW w:w="1572" w:type="pct"/>
                    <w:shd w:val="clear" w:color="auto" w:fill="auto"/>
                  </w:tcPr>
                  <w:p w:rsidR="00F33F8F" w:rsidRDefault="00F33F8F">
                    <w:pPr>
                      <w:jc w:val="right"/>
                      <w:rPr>
                        <w:szCs w:val="21"/>
                      </w:rPr>
                    </w:pPr>
                  </w:p>
                </w:tc>
              </w:tr>
            </w:sdtContent>
          </w:sdt>
          <w:sdt>
            <w:sdtPr>
              <w:rPr>
                <w:szCs w:val="21"/>
              </w:rPr>
              <w:alias w:val="信用减值损失明细"/>
              <w:tag w:val="_TUP_e8998a251e254d3b8e96e11174e00f97"/>
              <w:id w:val="954607780"/>
              <w:lock w:val="sdtLocked"/>
              <w:placeholder>
                <w:docPart w:val="263B06B9EB8D469983698D7D29F69B81"/>
              </w:placeholder>
            </w:sdtPr>
            <w:sdtContent>
              <w:tr w:rsidR="00F33F8F" w:rsidTr="00B94F30">
                <w:tc>
                  <w:tcPr>
                    <w:tcW w:w="1862" w:type="pct"/>
                    <w:shd w:val="clear" w:color="auto" w:fill="auto"/>
                    <w:vAlign w:val="center"/>
                  </w:tcPr>
                  <w:p w:rsidR="00F33F8F" w:rsidRDefault="00F33F8F">
                    <w:pPr>
                      <w:rPr>
                        <w:szCs w:val="21"/>
                      </w:rPr>
                    </w:pPr>
                  </w:p>
                </w:tc>
                <w:tc>
                  <w:tcPr>
                    <w:tcW w:w="1566" w:type="pct"/>
                    <w:tcBorders>
                      <w:top w:val="single" w:sz="6" w:space="0" w:color="auto"/>
                      <w:bottom w:val="single" w:sz="6" w:space="0" w:color="auto"/>
                    </w:tcBorders>
                    <w:shd w:val="clear" w:color="auto" w:fill="auto"/>
                  </w:tcPr>
                  <w:p w:rsidR="00F33F8F" w:rsidRDefault="00F33F8F">
                    <w:pPr>
                      <w:jc w:val="right"/>
                      <w:rPr>
                        <w:szCs w:val="21"/>
                      </w:rPr>
                    </w:pPr>
                  </w:p>
                </w:tc>
                <w:tc>
                  <w:tcPr>
                    <w:tcW w:w="1572" w:type="pct"/>
                    <w:shd w:val="clear" w:color="auto" w:fill="auto"/>
                  </w:tcPr>
                  <w:p w:rsidR="00F33F8F" w:rsidRDefault="00F33F8F">
                    <w:pPr>
                      <w:jc w:val="right"/>
                      <w:rPr>
                        <w:szCs w:val="21"/>
                      </w:rPr>
                    </w:pPr>
                  </w:p>
                </w:tc>
              </w:tr>
            </w:sdtContent>
          </w:sdt>
          <w:tr w:rsidR="00F33F8F" w:rsidTr="00B94F30">
            <w:sdt>
              <w:sdtPr>
                <w:tag w:val="_PLD_c5fa5782f9c94d639447aaaa09122d97"/>
                <w:id w:val="8423916"/>
                <w:lock w:val="sdtLocked"/>
              </w:sdtPr>
              <w:sdtContent>
                <w:tc>
                  <w:tcPr>
                    <w:tcW w:w="1862" w:type="pct"/>
                    <w:shd w:val="clear" w:color="auto" w:fill="auto"/>
                    <w:vAlign w:val="center"/>
                  </w:tcPr>
                  <w:p w:rsidR="00F33F8F" w:rsidRDefault="00F33F8F">
                    <w:pPr>
                      <w:jc w:val="center"/>
                      <w:rPr>
                        <w:szCs w:val="21"/>
                      </w:rPr>
                    </w:pPr>
                    <w:r>
                      <w:rPr>
                        <w:rFonts w:hint="eastAsia"/>
                        <w:szCs w:val="21"/>
                      </w:rPr>
                      <w:t>合计</w:t>
                    </w:r>
                  </w:p>
                </w:tc>
              </w:sdtContent>
            </w:sdt>
            <w:tc>
              <w:tcPr>
                <w:tcW w:w="1566" w:type="pct"/>
                <w:tcBorders>
                  <w:top w:val="single" w:sz="6" w:space="0" w:color="auto"/>
                  <w:bottom w:val="single" w:sz="4" w:space="0" w:color="auto"/>
                </w:tcBorders>
                <w:shd w:val="clear" w:color="auto" w:fill="auto"/>
              </w:tcPr>
              <w:p w:rsidR="00F33F8F" w:rsidRDefault="004E6292">
                <w:pPr>
                  <w:jc w:val="right"/>
                  <w:rPr>
                    <w:szCs w:val="21"/>
                  </w:rPr>
                </w:pPr>
                <w:r>
                  <w:rPr>
                    <w:rFonts w:hint="eastAsia"/>
                    <w:szCs w:val="21"/>
                  </w:rPr>
                  <w:t>-</w:t>
                </w:r>
                <w:r w:rsidR="00F33F8F" w:rsidRPr="00F33F8F">
                  <w:rPr>
                    <w:szCs w:val="21"/>
                  </w:rPr>
                  <w:t>48,831,384</w:t>
                </w:r>
              </w:p>
            </w:tc>
            <w:tc>
              <w:tcPr>
                <w:tcW w:w="1572" w:type="pct"/>
                <w:shd w:val="clear" w:color="auto" w:fill="auto"/>
              </w:tcPr>
              <w:p w:rsidR="00F33F8F" w:rsidRDefault="00F33F8F">
                <w:pPr>
                  <w:jc w:val="right"/>
                  <w:rPr>
                    <w:szCs w:val="21"/>
                  </w:rPr>
                </w:pPr>
              </w:p>
            </w:tc>
          </w:tr>
        </w:tbl>
        <w:p w:rsidR="00F33F8F" w:rsidRDefault="00F33F8F">
          <w:r>
            <w:rPr>
              <w:rFonts w:hint="eastAsia"/>
            </w:rPr>
            <w:t>其他</w:t>
          </w:r>
          <w:r>
            <w:t>说明</w:t>
          </w:r>
          <w:r>
            <w:rPr>
              <w:rFonts w:hint="eastAsia"/>
            </w:rPr>
            <w:t>：</w:t>
          </w:r>
        </w:p>
        <w:sdt>
          <w:sdtPr>
            <w:alias w:val="信用减值损失其他说明"/>
            <w:tag w:val="_GBC_bb2ad27c65c74c9e943e9d9ed3aa8310"/>
            <w:id w:val="1085737098"/>
            <w:lock w:val="sdtLocked"/>
            <w:placeholder>
              <w:docPart w:val="5C9F695FA7D04046B3544BC4BCAD6EC8"/>
            </w:placeholder>
          </w:sdtPr>
          <w:sdtContent>
            <w:p w:rsidR="00F33F8F" w:rsidRDefault="004E6292">
              <w:r>
                <w:rPr>
                  <w:rFonts w:hint="eastAsia"/>
                </w:rPr>
                <w:t>无。</w:t>
              </w:r>
            </w:p>
          </w:sdtContent>
        </w:sdt>
        <w:p w:rsidR="00ED2DC7" w:rsidRDefault="000D0A99"/>
      </w:sdtContent>
    </w:sdt>
    <w:bookmarkEnd w:id="209" w:displacedByCustomXml="prev"/>
    <w:p w:rsidR="00ED2DC7" w:rsidRDefault="00ED2DC7">
      <w:pPr>
        <w:rPr>
          <w:szCs w:val="21"/>
        </w:rPr>
      </w:pPr>
    </w:p>
    <w:sdt>
      <w:sdtPr>
        <w:rPr>
          <w:rFonts w:ascii="宋体" w:hAnsi="宋体" w:cs="宋体" w:hint="eastAsia"/>
          <w:b w:val="0"/>
          <w:bCs w:val="0"/>
          <w:kern w:val="0"/>
          <w:szCs w:val="21"/>
        </w:rPr>
        <w:alias w:val="模块:资产减值损失"/>
        <w:tag w:val="_GBC_e0187e33fb024605af673daabe2f7861"/>
        <w:id w:val="864493578"/>
        <w:lock w:val="sdtLocked"/>
        <w:placeholder>
          <w:docPart w:val="GBC22222222222222222222222222222"/>
        </w:placeholder>
      </w:sdtPr>
      <w:sdtEndPr>
        <w:rPr>
          <w:rFonts w:asciiTheme="minorHAnsi" w:eastAsiaTheme="minorEastAsia" w:hAnsiTheme="minorHAnsi" w:hint="default"/>
          <w:szCs w:val="22"/>
        </w:rPr>
      </w:sdtEndPr>
      <w:sdtContent>
        <w:p w:rsidR="00ED2DC7" w:rsidRDefault="00ED2DC7" w:rsidP="00036BDC">
          <w:pPr>
            <w:pStyle w:val="affffffffffffffffff1"/>
            <w:numPr>
              <w:ilvl w:val="0"/>
              <w:numId w:val="49"/>
            </w:numPr>
            <w:tabs>
              <w:tab w:val="left" w:pos="504"/>
            </w:tabs>
            <w:rPr>
              <w:rFonts w:ascii="宋体" w:hAnsi="宋体"/>
              <w:szCs w:val="21"/>
            </w:rPr>
          </w:pPr>
          <w:r>
            <w:rPr>
              <w:rFonts w:ascii="宋体" w:hAnsi="宋体" w:hint="eastAsia"/>
              <w:bCs w:val="0"/>
              <w:szCs w:val="21"/>
            </w:rPr>
            <w:t>资</w:t>
          </w:r>
          <w:r>
            <w:rPr>
              <w:rFonts w:ascii="宋体" w:hAnsi="宋体" w:hint="eastAsia"/>
              <w:szCs w:val="21"/>
            </w:rPr>
            <w:t>产减值损失</w:t>
          </w:r>
        </w:p>
        <w:sdt>
          <w:sdtPr>
            <w:alias w:val="是否适用：资产减值损失[双击切换]"/>
            <w:tag w:val="_GBC_7fdc5881d69a48d59383942dbd2c2a3e"/>
            <w:id w:val="-807392463"/>
            <w:lock w:val="sdtContentLocked"/>
            <w:placeholder>
              <w:docPart w:val="GBC22222222222222222222222222222"/>
            </w:placeholder>
          </w:sdtPr>
          <w:sdtContent>
            <w:p w:rsidR="00221B01" w:rsidRDefault="00ED2DC7" w:rsidP="00221B01">
              <w:r>
                <w:fldChar w:fldCharType="begin"/>
              </w:r>
              <w:r w:rsidR="00F33F8F">
                <w:instrText xml:space="preserve"> MACROBUTTON  SnrToggleCheckbox √适用 </w:instrText>
              </w:r>
              <w:r>
                <w:fldChar w:fldCharType="end"/>
              </w:r>
              <w:r>
                <w:fldChar w:fldCharType="begin"/>
              </w:r>
              <w:r w:rsidR="00F33F8F">
                <w:instrText xml:space="preserve"> MACROBUTTON  SnrToggleCheckbox □不适用 </w:instrText>
              </w:r>
              <w:r>
                <w:fldChar w:fldCharType="end"/>
              </w:r>
            </w:p>
          </w:sdtContent>
        </w:sdt>
        <w:p w:rsidR="00F33F8F" w:rsidRDefault="00F33F8F">
          <w:pPr>
            <w:jc w:val="right"/>
            <w:rPr>
              <w:szCs w:val="21"/>
            </w:rPr>
          </w:pPr>
          <w:r>
            <w:rPr>
              <w:rFonts w:hint="eastAsia"/>
              <w:szCs w:val="21"/>
            </w:rPr>
            <w:t>单位：</w:t>
          </w:r>
          <w:sdt>
            <w:sdtPr>
              <w:rPr>
                <w:rFonts w:hint="eastAsia"/>
                <w:szCs w:val="21"/>
              </w:rPr>
              <w:alias w:val="单位：财务附注：资产减值损失"/>
              <w:tag w:val="_GBC_40ad6c56ceff460ca35db2135628d01d"/>
              <w:id w:val="-1273854940"/>
              <w:lock w:val="sdtLocked"/>
              <w:placeholder>
                <w:docPart w:val="26C21D037B464793B8CD8D08A3B36958"/>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资产减值损失"/>
              <w:tag w:val="_GBC_5e13b42cdca649359964ad50033ab01e"/>
              <w:id w:val="-980068329"/>
              <w:lock w:val="sdtLocked"/>
              <w:placeholder>
                <w:docPart w:val="26C21D037B464793B8CD8D08A3B36958"/>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4"/>
            <w:gridCol w:w="2509"/>
            <w:gridCol w:w="3000"/>
          </w:tblGrid>
          <w:tr w:rsidR="00F33F8F" w:rsidTr="00973D52">
            <w:sdt>
              <w:sdtPr>
                <w:tag w:val="_PLD_1c1b3ab4db9e4468a28086960eda425b"/>
                <w:id w:val="-1259587678"/>
                <w:lock w:val="sdtLocked"/>
              </w:sdtPr>
              <w:sdtContent>
                <w:tc>
                  <w:tcPr>
                    <w:tcW w:w="1878" w:type="pct"/>
                    <w:tcBorders>
                      <w:top w:val="single" w:sz="4" w:space="0" w:color="auto"/>
                      <w:left w:val="single" w:sz="4" w:space="0" w:color="auto"/>
                      <w:bottom w:val="single" w:sz="4" w:space="0" w:color="auto"/>
                      <w:right w:val="single" w:sz="4" w:space="0" w:color="auto"/>
                    </w:tcBorders>
                    <w:vAlign w:val="center"/>
                  </w:tcPr>
                  <w:p w:rsidR="00F33F8F" w:rsidRDefault="00F33F8F">
                    <w:pPr>
                      <w:autoSpaceDE w:val="0"/>
                      <w:autoSpaceDN w:val="0"/>
                      <w:adjustRightInd w:val="0"/>
                      <w:jc w:val="center"/>
                      <w:rPr>
                        <w:szCs w:val="21"/>
                      </w:rPr>
                    </w:pPr>
                    <w:r>
                      <w:rPr>
                        <w:rFonts w:hint="eastAsia"/>
                        <w:szCs w:val="21"/>
                      </w:rPr>
                      <w:t>项目</w:t>
                    </w:r>
                  </w:p>
                </w:tc>
              </w:sdtContent>
            </w:sdt>
            <w:sdt>
              <w:sdtPr>
                <w:tag w:val="_PLD_ab926936cf9d4fc39ab4c469d2ff3166"/>
                <w:id w:val="-1663390135"/>
                <w:lock w:val="sdtLocked"/>
              </w:sdtPr>
              <w:sdtContent>
                <w:tc>
                  <w:tcPr>
                    <w:tcW w:w="1422" w:type="pct"/>
                    <w:tcBorders>
                      <w:top w:val="single" w:sz="4" w:space="0" w:color="auto"/>
                      <w:left w:val="single" w:sz="4" w:space="0" w:color="auto"/>
                      <w:bottom w:val="single" w:sz="4" w:space="0" w:color="auto"/>
                      <w:right w:val="single" w:sz="4" w:space="0" w:color="auto"/>
                    </w:tcBorders>
                    <w:vAlign w:val="center"/>
                  </w:tcPr>
                  <w:p w:rsidR="00F33F8F" w:rsidRDefault="00F33F8F">
                    <w:pPr>
                      <w:autoSpaceDE w:val="0"/>
                      <w:autoSpaceDN w:val="0"/>
                      <w:adjustRightInd w:val="0"/>
                      <w:jc w:val="center"/>
                      <w:rPr>
                        <w:szCs w:val="21"/>
                      </w:rPr>
                    </w:pPr>
                    <w:r>
                      <w:rPr>
                        <w:rFonts w:hint="eastAsia"/>
                        <w:szCs w:val="21"/>
                      </w:rPr>
                      <w:t>本期发生额</w:t>
                    </w:r>
                  </w:p>
                </w:tc>
              </w:sdtContent>
            </w:sdt>
            <w:sdt>
              <w:sdtPr>
                <w:tag w:val="_PLD_8d4d7dadcc9944098ada8da3daaa7668"/>
                <w:id w:val="-1782332247"/>
                <w:lock w:val="sdtLocked"/>
              </w:sdtPr>
              <w:sdtContent>
                <w:tc>
                  <w:tcPr>
                    <w:tcW w:w="1700" w:type="pct"/>
                    <w:tcBorders>
                      <w:top w:val="single" w:sz="4" w:space="0" w:color="auto"/>
                      <w:left w:val="single" w:sz="4" w:space="0" w:color="auto"/>
                      <w:bottom w:val="single" w:sz="4" w:space="0" w:color="auto"/>
                      <w:right w:val="single" w:sz="4" w:space="0" w:color="auto"/>
                    </w:tcBorders>
                    <w:vAlign w:val="center"/>
                  </w:tcPr>
                  <w:p w:rsidR="00F33F8F" w:rsidRDefault="00F33F8F">
                    <w:pPr>
                      <w:autoSpaceDE w:val="0"/>
                      <w:autoSpaceDN w:val="0"/>
                      <w:adjustRightInd w:val="0"/>
                      <w:jc w:val="center"/>
                      <w:rPr>
                        <w:szCs w:val="21"/>
                      </w:rPr>
                    </w:pPr>
                    <w:r>
                      <w:rPr>
                        <w:rFonts w:hint="eastAsia"/>
                        <w:szCs w:val="21"/>
                      </w:rPr>
                      <w:t>上期发生额</w:t>
                    </w:r>
                  </w:p>
                </w:tc>
              </w:sdtContent>
            </w:sdt>
          </w:tr>
          <w:tr w:rsidR="00F33F8F" w:rsidTr="00973D52">
            <w:sdt>
              <w:sdtPr>
                <w:tag w:val="_PLD_9afc5aaccdc84a4391c2537866204dd5"/>
                <w:id w:val="-475908557"/>
                <w:lock w:val="sdtLocked"/>
              </w:sdtPr>
              <w:sdtContent>
                <w:tc>
                  <w:tcPr>
                    <w:tcW w:w="1878" w:type="pct"/>
                    <w:tcBorders>
                      <w:top w:val="single" w:sz="4" w:space="0" w:color="auto"/>
                      <w:left w:val="single" w:sz="4" w:space="0" w:color="auto"/>
                      <w:bottom w:val="single" w:sz="4" w:space="0" w:color="auto"/>
                      <w:right w:val="single" w:sz="4" w:space="0" w:color="auto"/>
                    </w:tcBorders>
                  </w:tcPr>
                  <w:p w:rsidR="00F33F8F" w:rsidRDefault="00F33F8F">
                    <w:pPr>
                      <w:autoSpaceDE w:val="0"/>
                      <w:autoSpaceDN w:val="0"/>
                      <w:adjustRightInd w:val="0"/>
                      <w:rPr>
                        <w:szCs w:val="21"/>
                      </w:rPr>
                    </w:pPr>
                    <w:r>
                      <w:rPr>
                        <w:rFonts w:hint="eastAsia"/>
                        <w:szCs w:val="21"/>
                      </w:rPr>
                      <w:t>一、坏账损失</w:t>
                    </w:r>
                  </w:p>
                </w:tc>
              </w:sdtContent>
            </w:sdt>
            <w:tc>
              <w:tcPr>
                <w:tcW w:w="1422" w:type="pct"/>
                <w:tcBorders>
                  <w:top w:val="single" w:sz="4" w:space="0" w:color="auto"/>
                  <w:left w:val="single" w:sz="4" w:space="0" w:color="auto"/>
                  <w:bottom w:val="single" w:sz="4" w:space="0" w:color="auto"/>
                  <w:right w:val="single" w:sz="4" w:space="0" w:color="auto"/>
                </w:tcBorders>
              </w:tcPr>
              <w:p w:rsidR="00F33F8F" w:rsidRDefault="00F33F8F">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F33F8F" w:rsidRDefault="004E6292">
                <w:pPr>
                  <w:jc w:val="right"/>
                  <w:rPr>
                    <w:szCs w:val="21"/>
                  </w:rPr>
                </w:pPr>
                <w:r>
                  <w:rPr>
                    <w:rFonts w:hint="eastAsia"/>
                    <w:szCs w:val="21"/>
                  </w:rPr>
                  <w:t>-</w:t>
                </w:r>
                <w:r w:rsidR="00F33F8F" w:rsidRPr="00F33F8F">
                  <w:rPr>
                    <w:szCs w:val="21"/>
                  </w:rPr>
                  <w:t>114,795,385</w:t>
                </w:r>
              </w:p>
            </w:tc>
          </w:tr>
          <w:tr w:rsidR="00F33F8F" w:rsidTr="00973D52">
            <w:sdt>
              <w:sdtPr>
                <w:tag w:val="_PLD_48506e29da6e4911867af71e75a78a82"/>
                <w:id w:val="-1722274093"/>
                <w:lock w:val="sdtLocked"/>
              </w:sdtPr>
              <w:sdtContent>
                <w:tc>
                  <w:tcPr>
                    <w:tcW w:w="1878" w:type="pct"/>
                    <w:tcBorders>
                      <w:top w:val="single" w:sz="4" w:space="0" w:color="auto"/>
                      <w:left w:val="single" w:sz="4" w:space="0" w:color="auto"/>
                      <w:bottom w:val="single" w:sz="4" w:space="0" w:color="auto"/>
                      <w:right w:val="single" w:sz="4" w:space="0" w:color="auto"/>
                    </w:tcBorders>
                  </w:tcPr>
                  <w:p w:rsidR="00F33F8F" w:rsidRDefault="00F33F8F">
                    <w:pPr>
                      <w:autoSpaceDE w:val="0"/>
                      <w:autoSpaceDN w:val="0"/>
                      <w:adjustRightInd w:val="0"/>
                      <w:rPr>
                        <w:szCs w:val="21"/>
                      </w:rPr>
                    </w:pPr>
                    <w:r>
                      <w:rPr>
                        <w:rFonts w:hint="eastAsia"/>
                        <w:szCs w:val="21"/>
                      </w:rPr>
                      <w:t>二、存货跌价损失及合同履约成本减值损失</w:t>
                    </w:r>
                  </w:p>
                </w:tc>
              </w:sdtContent>
            </w:sdt>
            <w:tc>
              <w:tcPr>
                <w:tcW w:w="1422" w:type="pct"/>
                <w:tcBorders>
                  <w:top w:val="single" w:sz="4" w:space="0" w:color="auto"/>
                  <w:left w:val="single" w:sz="4" w:space="0" w:color="auto"/>
                  <w:bottom w:val="single" w:sz="4" w:space="0" w:color="auto"/>
                  <w:right w:val="single" w:sz="4" w:space="0" w:color="auto"/>
                </w:tcBorders>
              </w:tcPr>
              <w:p w:rsidR="00F33F8F" w:rsidRDefault="00AD5445">
                <w:pPr>
                  <w:jc w:val="right"/>
                  <w:rPr>
                    <w:szCs w:val="21"/>
                  </w:rPr>
                </w:pPr>
                <w:r>
                  <w:rPr>
                    <w:rFonts w:hint="eastAsia"/>
                    <w:szCs w:val="21"/>
                  </w:rPr>
                  <w:t>-</w:t>
                </w:r>
                <w:r w:rsidRPr="00F33F8F">
                  <w:rPr>
                    <w:szCs w:val="21"/>
                  </w:rPr>
                  <w:t>873,355</w:t>
                </w:r>
              </w:p>
            </w:tc>
            <w:tc>
              <w:tcPr>
                <w:tcW w:w="1700" w:type="pct"/>
                <w:tcBorders>
                  <w:top w:val="single" w:sz="4" w:space="0" w:color="auto"/>
                  <w:left w:val="single" w:sz="4" w:space="0" w:color="auto"/>
                  <w:bottom w:val="single" w:sz="4" w:space="0" w:color="auto"/>
                  <w:right w:val="single" w:sz="4" w:space="0" w:color="auto"/>
                </w:tcBorders>
              </w:tcPr>
              <w:p w:rsidR="00F33F8F" w:rsidRDefault="00F33F8F">
                <w:pPr>
                  <w:jc w:val="right"/>
                  <w:rPr>
                    <w:szCs w:val="21"/>
                  </w:rPr>
                </w:pPr>
              </w:p>
            </w:tc>
          </w:tr>
          <w:tr w:rsidR="00F33F8F" w:rsidTr="00973D52">
            <w:tc>
              <w:tcPr>
                <w:tcW w:w="1878" w:type="pct"/>
                <w:tcBorders>
                  <w:top w:val="single" w:sz="4" w:space="0" w:color="auto"/>
                  <w:left w:val="single" w:sz="4" w:space="0" w:color="auto"/>
                  <w:bottom w:val="single" w:sz="4" w:space="0" w:color="auto"/>
                  <w:right w:val="single" w:sz="4" w:space="0" w:color="auto"/>
                </w:tcBorders>
              </w:tcPr>
              <w:sdt>
                <w:sdtPr>
                  <w:rPr>
                    <w:rFonts w:hint="eastAsia"/>
                  </w:rPr>
                  <w:tag w:val="_PLD_577a8fb01e904e298eae807058af1f1b"/>
                  <w:id w:val="-882088090"/>
                  <w:lock w:val="sdtLocked"/>
                </w:sdtPr>
                <w:sdtContent>
                  <w:p w:rsidR="00F33F8F" w:rsidRDefault="00F33F8F">
                    <w:pPr>
                      <w:autoSpaceDE w:val="0"/>
                      <w:autoSpaceDN w:val="0"/>
                      <w:adjustRightInd w:val="0"/>
                    </w:pPr>
                    <w:r>
                      <w:rPr>
                        <w:rFonts w:hint="eastAsia"/>
                      </w:rPr>
                      <w:t>二、存货跌价损失</w:t>
                    </w:r>
                  </w:p>
                </w:sdtContent>
              </w:sdt>
            </w:tc>
            <w:tc>
              <w:tcPr>
                <w:tcW w:w="1422" w:type="pct"/>
                <w:tcBorders>
                  <w:top w:val="single" w:sz="4" w:space="0" w:color="auto"/>
                  <w:left w:val="single" w:sz="4" w:space="0" w:color="auto"/>
                  <w:bottom w:val="single" w:sz="4" w:space="0" w:color="auto"/>
                  <w:right w:val="single" w:sz="4" w:space="0" w:color="auto"/>
                </w:tcBorders>
              </w:tcPr>
              <w:p w:rsidR="00F33F8F" w:rsidRDefault="00F33F8F">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F33F8F" w:rsidRDefault="004E6292">
                <w:pPr>
                  <w:jc w:val="right"/>
                  <w:rPr>
                    <w:szCs w:val="21"/>
                  </w:rPr>
                </w:pPr>
                <w:r>
                  <w:rPr>
                    <w:rFonts w:hint="eastAsia"/>
                    <w:szCs w:val="21"/>
                  </w:rPr>
                  <w:t>-</w:t>
                </w:r>
                <w:r w:rsidR="00F33F8F" w:rsidRPr="00F33F8F">
                  <w:rPr>
                    <w:szCs w:val="21"/>
                  </w:rPr>
                  <w:t>10,683,200</w:t>
                </w:r>
              </w:p>
            </w:tc>
          </w:tr>
          <w:tr w:rsidR="00F33F8F" w:rsidTr="00973D52">
            <w:sdt>
              <w:sdtPr>
                <w:tag w:val="_PLD_59bec7e35b92470cb0f07192ab23fa99"/>
                <w:id w:val="-1525315250"/>
                <w:lock w:val="sdtLocked"/>
              </w:sdtPr>
              <w:sdtContent>
                <w:tc>
                  <w:tcPr>
                    <w:tcW w:w="1878" w:type="pct"/>
                    <w:tcBorders>
                      <w:top w:val="single" w:sz="4" w:space="0" w:color="auto"/>
                      <w:left w:val="single" w:sz="4" w:space="0" w:color="auto"/>
                      <w:bottom w:val="single" w:sz="4" w:space="0" w:color="auto"/>
                      <w:right w:val="single" w:sz="4" w:space="0" w:color="auto"/>
                    </w:tcBorders>
                  </w:tcPr>
                  <w:p w:rsidR="00F33F8F" w:rsidRDefault="00F33F8F">
                    <w:pPr>
                      <w:autoSpaceDE w:val="0"/>
                      <w:autoSpaceDN w:val="0"/>
                      <w:adjustRightInd w:val="0"/>
                      <w:rPr>
                        <w:szCs w:val="21"/>
                      </w:rPr>
                    </w:pPr>
                    <w:r>
                      <w:rPr>
                        <w:rFonts w:hint="eastAsia"/>
                        <w:szCs w:val="21"/>
                      </w:rPr>
                      <w:t>三、可供出售金融资产减值损失</w:t>
                    </w:r>
                  </w:p>
                </w:tc>
              </w:sdtContent>
            </w:sdt>
            <w:tc>
              <w:tcPr>
                <w:tcW w:w="1422" w:type="pct"/>
                <w:tcBorders>
                  <w:top w:val="single" w:sz="4" w:space="0" w:color="auto"/>
                  <w:left w:val="single" w:sz="4" w:space="0" w:color="auto"/>
                  <w:bottom w:val="single" w:sz="4" w:space="0" w:color="auto"/>
                  <w:right w:val="single" w:sz="4" w:space="0" w:color="auto"/>
                </w:tcBorders>
              </w:tcPr>
              <w:p w:rsidR="00F33F8F" w:rsidRDefault="00F33F8F">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F33F8F" w:rsidRDefault="004E6292">
                <w:pPr>
                  <w:jc w:val="right"/>
                  <w:rPr>
                    <w:szCs w:val="21"/>
                  </w:rPr>
                </w:pPr>
                <w:r>
                  <w:rPr>
                    <w:rFonts w:hint="eastAsia"/>
                    <w:szCs w:val="21"/>
                  </w:rPr>
                  <w:t>-</w:t>
                </w:r>
                <w:r w:rsidR="00F33F8F" w:rsidRPr="00F33F8F">
                  <w:rPr>
                    <w:szCs w:val="21"/>
                  </w:rPr>
                  <w:t>1,000,000</w:t>
                </w:r>
              </w:p>
            </w:tc>
          </w:tr>
          <w:tr w:rsidR="00F33F8F" w:rsidTr="00973D52">
            <w:sdt>
              <w:sdtPr>
                <w:tag w:val="_PLD_da50af672c99486d8d12385480ba309c"/>
                <w:id w:val="-909073402"/>
                <w:lock w:val="sdtLocked"/>
              </w:sdtPr>
              <w:sdtContent>
                <w:tc>
                  <w:tcPr>
                    <w:tcW w:w="1878" w:type="pct"/>
                    <w:tcBorders>
                      <w:top w:val="single" w:sz="4" w:space="0" w:color="auto"/>
                      <w:left w:val="single" w:sz="4" w:space="0" w:color="auto"/>
                      <w:bottom w:val="single" w:sz="4" w:space="0" w:color="auto"/>
                      <w:right w:val="single" w:sz="4" w:space="0" w:color="auto"/>
                    </w:tcBorders>
                  </w:tcPr>
                  <w:p w:rsidR="00F33F8F" w:rsidRDefault="00F33F8F">
                    <w:pPr>
                      <w:autoSpaceDE w:val="0"/>
                      <w:autoSpaceDN w:val="0"/>
                      <w:adjustRightInd w:val="0"/>
                      <w:rPr>
                        <w:szCs w:val="21"/>
                      </w:rPr>
                    </w:pPr>
                    <w:r>
                      <w:rPr>
                        <w:rFonts w:hint="eastAsia"/>
                        <w:szCs w:val="21"/>
                      </w:rPr>
                      <w:t>四、持有至到期投资减值损失</w:t>
                    </w:r>
                  </w:p>
                </w:tc>
              </w:sdtContent>
            </w:sdt>
            <w:tc>
              <w:tcPr>
                <w:tcW w:w="1422" w:type="pct"/>
                <w:tcBorders>
                  <w:top w:val="single" w:sz="4" w:space="0" w:color="auto"/>
                  <w:left w:val="single" w:sz="4" w:space="0" w:color="auto"/>
                  <w:bottom w:val="single" w:sz="4" w:space="0" w:color="auto"/>
                  <w:right w:val="single" w:sz="4" w:space="0" w:color="auto"/>
                </w:tcBorders>
              </w:tcPr>
              <w:p w:rsidR="00F33F8F" w:rsidRDefault="00F33F8F">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F33F8F" w:rsidRDefault="00F33F8F">
                <w:pPr>
                  <w:jc w:val="right"/>
                  <w:rPr>
                    <w:szCs w:val="21"/>
                  </w:rPr>
                </w:pPr>
              </w:p>
            </w:tc>
          </w:tr>
          <w:tr w:rsidR="00F33F8F" w:rsidTr="00973D52">
            <w:sdt>
              <w:sdtPr>
                <w:tag w:val="_PLD_78eb61ed62e240ad81f4cf85c6ee48fc"/>
                <w:id w:val="-613204425"/>
                <w:lock w:val="sdtLocked"/>
              </w:sdtPr>
              <w:sdtContent>
                <w:tc>
                  <w:tcPr>
                    <w:tcW w:w="1878" w:type="pct"/>
                    <w:tcBorders>
                      <w:top w:val="single" w:sz="4" w:space="0" w:color="auto"/>
                      <w:left w:val="single" w:sz="4" w:space="0" w:color="auto"/>
                      <w:bottom w:val="single" w:sz="4" w:space="0" w:color="auto"/>
                      <w:right w:val="single" w:sz="4" w:space="0" w:color="auto"/>
                    </w:tcBorders>
                  </w:tcPr>
                  <w:p w:rsidR="00F33F8F" w:rsidRDefault="00F33F8F">
                    <w:pPr>
                      <w:autoSpaceDE w:val="0"/>
                      <w:autoSpaceDN w:val="0"/>
                      <w:adjustRightInd w:val="0"/>
                      <w:rPr>
                        <w:szCs w:val="21"/>
                      </w:rPr>
                    </w:pPr>
                    <w:r>
                      <w:rPr>
                        <w:rFonts w:hint="eastAsia"/>
                        <w:szCs w:val="21"/>
                      </w:rPr>
                      <w:t>五、长期股权投资减值损失</w:t>
                    </w:r>
                  </w:p>
                </w:tc>
              </w:sdtContent>
            </w:sdt>
            <w:tc>
              <w:tcPr>
                <w:tcW w:w="1422" w:type="pct"/>
                <w:tcBorders>
                  <w:top w:val="single" w:sz="4" w:space="0" w:color="auto"/>
                  <w:left w:val="single" w:sz="4" w:space="0" w:color="auto"/>
                  <w:bottom w:val="single" w:sz="4" w:space="0" w:color="auto"/>
                  <w:right w:val="single" w:sz="4" w:space="0" w:color="auto"/>
                </w:tcBorders>
              </w:tcPr>
              <w:p w:rsidR="00F33F8F" w:rsidRDefault="00F33F8F">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F33F8F" w:rsidRDefault="00F33F8F">
                <w:pPr>
                  <w:jc w:val="right"/>
                  <w:rPr>
                    <w:szCs w:val="21"/>
                  </w:rPr>
                </w:pPr>
              </w:p>
            </w:tc>
          </w:tr>
          <w:tr w:rsidR="00F33F8F" w:rsidTr="00973D52">
            <w:sdt>
              <w:sdtPr>
                <w:tag w:val="_PLD_e2e50e9f9bba445ebcfdf8fc0da4e0d0"/>
                <w:id w:val="539091553"/>
                <w:lock w:val="sdtLocked"/>
              </w:sdtPr>
              <w:sdtContent>
                <w:tc>
                  <w:tcPr>
                    <w:tcW w:w="1878" w:type="pct"/>
                    <w:tcBorders>
                      <w:top w:val="single" w:sz="4" w:space="0" w:color="auto"/>
                      <w:left w:val="single" w:sz="4" w:space="0" w:color="auto"/>
                      <w:bottom w:val="single" w:sz="4" w:space="0" w:color="auto"/>
                      <w:right w:val="single" w:sz="4" w:space="0" w:color="auto"/>
                    </w:tcBorders>
                  </w:tcPr>
                  <w:p w:rsidR="00F33F8F" w:rsidRDefault="00F33F8F">
                    <w:pPr>
                      <w:autoSpaceDE w:val="0"/>
                      <w:autoSpaceDN w:val="0"/>
                      <w:adjustRightInd w:val="0"/>
                      <w:rPr>
                        <w:szCs w:val="21"/>
                      </w:rPr>
                    </w:pPr>
                    <w:r>
                      <w:rPr>
                        <w:rFonts w:hint="eastAsia"/>
                        <w:szCs w:val="21"/>
                      </w:rPr>
                      <w:t>六、投资性房地产减值损失</w:t>
                    </w:r>
                  </w:p>
                </w:tc>
              </w:sdtContent>
            </w:sdt>
            <w:tc>
              <w:tcPr>
                <w:tcW w:w="1422" w:type="pct"/>
                <w:tcBorders>
                  <w:top w:val="single" w:sz="4" w:space="0" w:color="auto"/>
                  <w:left w:val="single" w:sz="4" w:space="0" w:color="auto"/>
                  <w:bottom w:val="single" w:sz="4" w:space="0" w:color="auto"/>
                  <w:right w:val="single" w:sz="4" w:space="0" w:color="auto"/>
                </w:tcBorders>
              </w:tcPr>
              <w:p w:rsidR="00F33F8F" w:rsidRDefault="00F33F8F">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F33F8F" w:rsidRDefault="00F33F8F">
                <w:pPr>
                  <w:jc w:val="right"/>
                  <w:rPr>
                    <w:szCs w:val="21"/>
                  </w:rPr>
                </w:pPr>
              </w:p>
            </w:tc>
          </w:tr>
          <w:tr w:rsidR="00F33F8F" w:rsidTr="00973D52">
            <w:sdt>
              <w:sdtPr>
                <w:tag w:val="_PLD_356b67cd490e4fa38300401350a416fb"/>
                <w:id w:val="541021163"/>
                <w:lock w:val="sdtLocked"/>
              </w:sdtPr>
              <w:sdtContent>
                <w:tc>
                  <w:tcPr>
                    <w:tcW w:w="1878" w:type="pct"/>
                    <w:tcBorders>
                      <w:top w:val="single" w:sz="4" w:space="0" w:color="auto"/>
                      <w:left w:val="single" w:sz="4" w:space="0" w:color="auto"/>
                      <w:bottom w:val="single" w:sz="4" w:space="0" w:color="auto"/>
                      <w:right w:val="single" w:sz="4" w:space="0" w:color="auto"/>
                    </w:tcBorders>
                  </w:tcPr>
                  <w:p w:rsidR="00F33F8F" w:rsidRDefault="00F33F8F">
                    <w:pPr>
                      <w:autoSpaceDE w:val="0"/>
                      <w:autoSpaceDN w:val="0"/>
                      <w:adjustRightInd w:val="0"/>
                      <w:rPr>
                        <w:szCs w:val="21"/>
                      </w:rPr>
                    </w:pPr>
                    <w:r>
                      <w:rPr>
                        <w:rFonts w:hint="eastAsia"/>
                        <w:szCs w:val="21"/>
                      </w:rPr>
                      <w:t>七、固定资产减值损失</w:t>
                    </w:r>
                  </w:p>
                </w:tc>
              </w:sdtContent>
            </w:sdt>
            <w:tc>
              <w:tcPr>
                <w:tcW w:w="1422" w:type="pct"/>
                <w:tcBorders>
                  <w:top w:val="single" w:sz="4" w:space="0" w:color="auto"/>
                  <w:left w:val="single" w:sz="4" w:space="0" w:color="auto"/>
                  <w:bottom w:val="single" w:sz="4" w:space="0" w:color="auto"/>
                  <w:right w:val="single" w:sz="4" w:space="0" w:color="auto"/>
                </w:tcBorders>
              </w:tcPr>
              <w:p w:rsidR="00F33F8F" w:rsidRDefault="00F33F8F">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F33F8F" w:rsidRDefault="00F33F8F">
                <w:pPr>
                  <w:jc w:val="right"/>
                  <w:rPr>
                    <w:szCs w:val="21"/>
                  </w:rPr>
                </w:pPr>
              </w:p>
            </w:tc>
          </w:tr>
          <w:tr w:rsidR="00F33F8F" w:rsidTr="00973D52">
            <w:sdt>
              <w:sdtPr>
                <w:tag w:val="_PLD_bf0e54d642dc47e5aba1659ff4189311"/>
                <w:id w:val="-1239246539"/>
                <w:lock w:val="sdtLocked"/>
              </w:sdtPr>
              <w:sdtContent>
                <w:tc>
                  <w:tcPr>
                    <w:tcW w:w="1878" w:type="pct"/>
                    <w:tcBorders>
                      <w:top w:val="single" w:sz="4" w:space="0" w:color="auto"/>
                      <w:left w:val="single" w:sz="4" w:space="0" w:color="auto"/>
                      <w:bottom w:val="single" w:sz="4" w:space="0" w:color="auto"/>
                      <w:right w:val="single" w:sz="4" w:space="0" w:color="auto"/>
                    </w:tcBorders>
                  </w:tcPr>
                  <w:p w:rsidR="00F33F8F" w:rsidRDefault="00F33F8F">
                    <w:pPr>
                      <w:autoSpaceDE w:val="0"/>
                      <w:autoSpaceDN w:val="0"/>
                      <w:adjustRightInd w:val="0"/>
                      <w:rPr>
                        <w:szCs w:val="21"/>
                      </w:rPr>
                    </w:pPr>
                    <w:r>
                      <w:rPr>
                        <w:rFonts w:hint="eastAsia"/>
                        <w:szCs w:val="21"/>
                      </w:rPr>
                      <w:t>八、工程物资减值损失</w:t>
                    </w:r>
                  </w:p>
                </w:tc>
              </w:sdtContent>
            </w:sdt>
            <w:tc>
              <w:tcPr>
                <w:tcW w:w="1422" w:type="pct"/>
                <w:tcBorders>
                  <w:top w:val="single" w:sz="4" w:space="0" w:color="auto"/>
                  <w:left w:val="single" w:sz="4" w:space="0" w:color="auto"/>
                  <w:bottom w:val="single" w:sz="4" w:space="0" w:color="auto"/>
                  <w:right w:val="single" w:sz="4" w:space="0" w:color="auto"/>
                </w:tcBorders>
              </w:tcPr>
              <w:p w:rsidR="00F33F8F" w:rsidRDefault="00F33F8F">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F33F8F" w:rsidRDefault="00F33F8F">
                <w:pPr>
                  <w:jc w:val="right"/>
                  <w:rPr>
                    <w:szCs w:val="21"/>
                  </w:rPr>
                </w:pPr>
              </w:p>
            </w:tc>
          </w:tr>
          <w:tr w:rsidR="00F33F8F" w:rsidTr="00973D52">
            <w:sdt>
              <w:sdtPr>
                <w:tag w:val="_PLD_97c5c4fa34ed42e7bb896abd5f14a2e2"/>
                <w:id w:val="-452404747"/>
                <w:lock w:val="sdtLocked"/>
              </w:sdtPr>
              <w:sdtContent>
                <w:tc>
                  <w:tcPr>
                    <w:tcW w:w="1878" w:type="pct"/>
                    <w:tcBorders>
                      <w:top w:val="single" w:sz="4" w:space="0" w:color="auto"/>
                      <w:left w:val="single" w:sz="4" w:space="0" w:color="auto"/>
                      <w:bottom w:val="single" w:sz="4" w:space="0" w:color="auto"/>
                      <w:right w:val="single" w:sz="4" w:space="0" w:color="auto"/>
                    </w:tcBorders>
                  </w:tcPr>
                  <w:p w:rsidR="00F33F8F" w:rsidRDefault="00F33F8F">
                    <w:pPr>
                      <w:autoSpaceDE w:val="0"/>
                      <w:autoSpaceDN w:val="0"/>
                      <w:adjustRightInd w:val="0"/>
                      <w:rPr>
                        <w:szCs w:val="21"/>
                      </w:rPr>
                    </w:pPr>
                    <w:r>
                      <w:rPr>
                        <w:rFonts w:hint="eastAsia"/>
                        <w:szCs w:val="21"/>
                      </w:rPr>
                      <w:t>九、在建工程减值损失</w:t>
                    </w:r>
                  </w:p>
                </w:tc>
              </w:sdtContent>
            </w:sdt>
            <w:tc>
              <w:tcPr>
                <w:tcW w:w="1422" w:type="pct"/>
                <w:tcBorders>
                  <w:top w:val="single" w:sz="4" w:space="0" w:color="auto"/>
                  <w:left w:val="single" w:sz="4" w:space="0" w:color="auto"/>
                  <w:bottom w:val="single" w:sz="4" w:space="0" w:color="auto"/>
                  <w:right w:val="single" w:sz="4" w:space="0" w:color="auto"/>
                </w:tcBorders>
              </w:tcPr>
              <w:p w:rsidR="00F33F8F" w:rsidRDefault="00F33F8F">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F33F8F" w:rsidRDefault="00F33F8F">
                <w:pPr>
                  <w:jc w:val="right"/>
                  <w:rPr>
                    <w:szCs w:val="21"/>
                  </w:rPr>
                </w:pPr>
              </w:p>
            </w:tc>
          </w:tr>
          <w:tr w:rsidR="00F33F8F" w:rsidTr="00973D52">
            <w:sdt>
              <w:sdtPr>
                <w:tag w:val="_PLD_8fcdd16d7558415a9069c7db5aa6154b"/>
                <w:id w:val="125978921"/>
                <w:lock w:val="sdtLocked"/>
              </w:sdtPr>
              <w:sdtContent>
                <w:tc>
                  <w:tcPr>
                    <w:tcW w:w="1878" w:type="pct"/>
                    <w:tcBorders>
                      <w:top w:val="single" w:sz="4" w:space="0" w:color="auto"/>
                      <w:left w:val="single" w:sz="4" w:space="0" w:color="auto"/>
                      <w:bottom w:val="single" w:sz="4" w:space="0" w:color="auto"/>
                      <w:right w:val="single" w:sz="4" w:space="0" w:color="auto"/>
                    </w:tcBorders>
                  </w:tcPr>
                  <w:p w:rsidR="00F33F8F" w:rsidRDefault="00F33F8F">
                    <w:pPr>
                      <w:autoSpaceDE w:val="0"/>
                      <w:autoSpaceDN w:val="0"/>
                      <w:adjustRightInd w:val="0"/>
                      <w:rPr>
                        <w:szCs w:val="21"/>
                      </w:rPr>
                    </w:pPr>
                    <w:r>
                      <w:rPr>
                        <w:rFonts w:hint="eastAsia"/>
                        <w:szCs w:val="21"/>
                      </w:rPr>
                      <w:t>十、生产性生物资产减值损失</w:t>
                    </w:r>
                  </w:p>
                </w:tc>
              </w:sdtContent>
            </w:sdt>
            <w:tc>
              <w:tcPr>
                <w:tcW w:w="1422" w:type="pct"/>
                <w:tcBorders>
                  <w:top w:val="single" w:sz="4" w:space="0" w:color="auto"/>
                  <w:left w:val="single" w:sz="4" w:space="0" w:color="auto"/>
                  <w:bottom w:val="single" w:sz="4" w:space="0" w:color="auto"/>
                  <w:right w:val="single" w:sz="4" w:space="0" w:color="auto"/>
                </w:tcBorders>
              </w:tcPr>
              <w:p w:rsidR="00F33F8F" w:rsidRDefault="00F33F8F">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F33F8F" w:rsidRDefault="00F33F8F">
                <w:pPr>
                  <w:jc w:val="right"/>
                  <w:rPr>
                    <w:szCs w:val="21"/>
                  </w:rPr>
                </w:pPr>
              </w:p>
            </w:tc>
          </w:tr>
          <w:tr w:rsidR="00F33F8F" w:rsidTr="00973D52">
            <w:sdt>
              <w:sdtPr>
                <w:tag w:val="_PLD_67bab86314224f8a9a8b90e4444a371d"/>
                <w:id w:val="-285821472"/>
                <w:lock w:val="sdtLocked"/>
              </w:sdtPr>
              <w:sdtContent>
                <w:tc>
                  <w:tcPr>
                    <w:tcW w:w="1878" w:type="pct"/>
                    <w:tcBorders>
                      <w:top w:val="single" w:sz="4" w:space="0" w:color="auto"/>
                      <w:left w:val="single" w:sz="4" w:space="0" w:color="auto"/>
                      <w:bottom w:val="single" w:sz="4" w:space="0" w:color="auto"/>
                      <w:right w:val="single" w:sz="4" w:space="0" w:color="auto"/>
                    </w:tcBorders>
                  </w:tcPr>
                  <w:p w:rsidR="00F33F8F" w:rsidRDefault="00F33F8F">
                    <w:pPr>
                      <w:autoSpaceDE w:val="0"/>
                      <w:autoSpaceDN w:val="0"/>
                      <w:adjustRightInd w:val="0"/>
                      <w:rPr>
                        <w:szCs w:val="21"/>
                      </w:rPr>
                    </w:pPr>
                    <w:r>
                      <w:rPr>
                        <w:rFonts w:hint="eastAsia"/>
                        <w:szCs w:val="21"/>
                      </w:rPr>
                      <w:t>十一、油气资产减值损失</w:t>
                    </w:r>
                  </w:p>
                </w:tc>
              </w:sdtContent>
            </w:sdt>
            <w:tc>
              <w:tcPr>
                <w:tcW w:w="1422" w:type="pct"/>
                <w:tcBorders>
                  <w:top w:val="single" w:sz="4" w:space="0" w:color="auto"/>
                  <w:left w:val="single" w:sz="4" w:space="0" w:color="auto"/>
                  <w:bottom w:val="single" w:sz="4" w:space="0" w:color="auto"/>
                  <w:right w:val="single" w:sz="4" w:space="0" w:color="auto"/>
                </w:tcBorders>
              </w:tcPr>
              <w:p w:rsidR="00F33F8F" w:rsidRDefault="00F33F8F">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F33F8F" w:rsidRDefault="00F33F8F">
                <w:pPr>
                  <w:jc w:val="right"/>
                  <w:rPr>
                    <w:szCs w:val="21"/>
                  </w:rPr>
                </w:pPr>
              </w:p>
            </w:tc>
          </w:tr>
          <w:tr w:rsidR="00F33F8F" w:rsidTr="00973D52">
            <w:sdt>
              <w:sdtPr>
                <w:tag w:val="_PLD_1c4eeb5f668546ea91f57116a27ec4fa"/>
                <w:id w:val="-917864489"/>
                <w:lock w:val="sdtLocked"/>
              </w:sdtPr>
              <w:sdtContent>
                <w:tc>
                  <w:tcPr>
                    <w:tcW w:w="1878" w:type="pct"/>
                    <w:tcBorders>
                      <w:top w:val="single" w:sz="4" w:space="0" w:color="auto"/>
                      <w:left w:val="single" w:sz="4" w:space="0" w:color="auto"/>
                      <w:bottom w:val="single" w:sz="4" w:space="0" w:color="auto"/>
                      <w:right w:val="single" w:sz="4" w:space="0" w:color="auto"/>
                    </w:tcBorders>
                  </w:tcPr>
                  <w:p w:rsidR="00F33F8F" w:rsidRDefault="00F33F8F">
                    <w:pPr>
                      <w:autoSpaceDE w:val="0"/>
                      <w:autoSpaceDN w:val="0"/>
                      <w:adjustRightInd w:val="0"/>
                      <w:rPr>
                        <w:szCs w:val="21"/>
                      </w:rPr>
                    </w:pPr>
                    <w:r>
                      <w:rPr>
                        <w:rFonts w:hint="eastAsia"/>
                        <w:szCs w:val="21"/>
                      </w:rPr>
                      <w:t>十二、无形资产减值损失</w:t>
                    </w:r>
                  </w:p>
                </w:tc>
              </w:sdtContent>
            </w:sdt>
            <w:tc>
              <w:tcPr>
                <w:tcW w:w="1422" w:type="pct"/>
                <w:tcBorders>
                  <w:top w:val="single" w:sz="4" w:space="0" w:color="auto"/>
                  <w:left w:val="single" w:sz="4" w:space="0" w:color="auto"/>
                  <w:bottom w:val="single" w:sz="4" w:space="0" w:color="auto"/>
                  <w:right w:val="single" w:sz="4" w:space="0" w:color="auto"/>
                </w:tcBorders>
              </w:tcPr>
              <w:p w:rsidR="00F33F8F" w:rsidRDefault="00F33F8F">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F33F8F" w:rsidRDefault="00F33F8F">
                <w:pPr>
                  <w:jc w:val="right"/>
                  <w:rPr>
                    <w:szCs w:val="21"/>
                  </w:rPr>
                </w:pPr>
              </w:p>
            </w:tc>
          </w:tr>
          <w:tr w:rsidR="00F33F8F" w:rsidTr="00973D52">
            <w:sdt>
              <w:sdtPr>
                <w:tag w:val="_PLD_5cd4d27b7e324eaa967681b9cf35a6e2"/>
                <w:id w:val="-926799160"/>
                <w:lock w:val="sdtLocked"/>
              </w:sdtPr>
              <w:sdtContent>
                <w:tc>
                  <w:tcPr>
                    <w:tcW w:w="1878" w:type="pct"/>
                    <w:tcBorders>
                      <w:top w:val="single" w:sz="4" w:space="0" w:color="auto"/>
                      <w:left w:val="single" w:sz="4" w:space="0" w:color="auto"/>
                      <w:bottom w:val="single" w:sz="4" w:space="0" w:color="auto"/>
                      <w:right w:val="single" w:sz="4" w:space="0" w:color="auto"/>
                    </w:tcBorders>
                  </w:tcPr>
                  <w:p w:rsidR="00F33F8F" w:rsidRDefault="00F33F8F">
                    <w:pPr>
                      <w:autoSpaceDE w:val="0"/>
                      <w:autoSpaceDN w:val="0"/>
                      <w:adjustRightInd w:val="0"/>
                      <w:rPr>
                        <w:szCs w:val="21"/>
                      </w:rPr>
                    </w:pPr>
                    <w:r>
                      <w:rPr>
                        <w:rFonts w:hint="eastAsia"/>
                        <w:szCs w:val="21"/>
                      </w:rPr>
                      <w:t>十三、商誉减值损失</w:t>
                    </w:r>
                  </w:p>
                </w:tc>
              </w:sdtContent>
            </w:sdt>
            <w:tc>
              <w:tcPr>
                <w:tcW w:w="1422" w:type="pct"/>
                <w:tcBorders>
                  <w:top w:val="single" w:sz="4" w:space="0" w:color="auto"/>
                  <w:left w:val="single" w:sz="4" w:space="0" w:color="auto"/>
                  <w:bottom w:val="single" w:sz="4" w:space="0" w:color="auto"/>
                  <w:right w:val="single" w:sz="4" w:space="0" w:color="auto"/>
                </w:tcBorders>
              </w:tcPr>
              <w:p w:rsidR="00F33F8F" w:rsidRDefault="00F33F8F">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F33F8F" w:rsidRDefault="00F33F8F">
                <w:pPr>
                  <w:jc w:val="right"/>
                  <w:rPr>
                    <w:szCs w:val="21"/>
                  </w:rPr>
                </w:pPr>
              </w:p>
            </w:tc>
          </w:tr>
          <w:tr w:rsidR="00F33F8F" w:rsidTr="00973D52">
            <w:sdt>
              <w:sdtPr>
                <w:tag w:val="_PLD_675608fc574f43ab99192f3e67e1ceba"/>
                <w:id w:val="-1934891129"/>
                <w:lock w:val="sdtLocked"/>
              </w:sdtPr>
              <w:sdtContent>
                <w:tc>
                  <w:tcPr>
                    <w:tcW w:w="1878" w:type="pct"/>
                    <w:tcBorders>
                      <w:top w:val="single" w:sz="4" w:space="0" w:color="auto"/>
                      <w:left w:val="single" w:sz="4" w:space="0" w:color="auto"/>
                      <w:bottom w:val="single" w:sz="4" w:space="0" w:color="auto"/>
                      <w:right w:val="single" w:sz="4" w:space="0" w:color="auto"/>
                    </w:tcBorders>
                  </w:tcPr>
                  <w:p w:rsidR="00F33F8F" w:rsidRDefault="00F33F8F">
                    <w:pPr>
                      <w:autoSpaceDE w:val="0"/>
                      <w:autoSpaceDN w:val="0"/>
                      <w:adjustRightInd w:val="0"/>
                      <w:rPr>
                        <w:szCs w:val="21"/>
                      </w:rPr>
                    </w:pPr>
                    <w:r>
                      <w:rPr>
                        <w:rFonts w:hint="eastAsia"/>
                        <w:szCs w:val="21"/>
                      </w:rPr>
                      <w:t>十四、其他</w:t>
                    </w:r>
                  </w:p>
                </w:tc>
              </w:sdtContent>
            </w:sdt>
            <w:tc>
              <w:tcPr>
                <w:tcW w:w="1422" w:type="pct"/>
                <w:tcBorders>
                  <w:top w:val="single" w:sz="4" w:space="0" w:color="auto"/>
                  <w:left w:val="single" w:sz="4" w:space="0" w:color="auto"/>
                  <w:bottom w:val="single" w:sz="4" w:space="0" w:color="auto"/>
                  <w:right w:val="single" w:sz="4" w:space="0" w:color="auto"/>
                </w:tcBorders>
              </w:tcPr>
              <w:p w:rsidR="00F33F8F" w:rsidRDefault="00F33F8F">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F33F8F" w:rsidRDefault="00F33F8F">
                <w:pPr>
                  <w:jc w:val="right"/>
                  <w:rPr>
                    <w:szCs w:val="21"/>
                  </w:rPr>
                </w:pPr>
              </w:p>
            </w:tc>
          </w:tr>
          <w:tr w:rsidR="00F33F8F" w:rsidTr="00973D52">
            <w:sdt>
              <w:sdtPr>
                <w:tag w:val="_PLD_28808946bb58470a9d59a4302a9117d5"/>
                <w:id w:val="-1725211818"/>
                <w:lock w:val="sdtLocked"/>
              </w:sdtPr>
              <w:sdtContent>
                <w:tc>
                  <w:tcPr>
                    <w:tcW w:w="1878" w:type="pct"/>
                    <w:tcBorders>
                      <w:top w:val="single" w:sz="4" w:space="0" w:color="auto"/>
                      <w:left w:val="single" w:sz="4" w:space="0" w:color="auto"/>
                      <w:bottom w:val="single" w:sz="4" w:space="0" w:color="auto"/>
                      <w:right w:val="single" w:sz="4" w:space="0" w:color="auto"/>
                    </w:tcBorders>
                  </w:tcPr>
                  <w:p w:rsidR="00F33F8F" w:rsidRDefault="00F33F8F">
                    <w:pPr>
                      <w:autoSpaceDE w:val="0"/>
                      <w:autoSpaceDN w:val="0"/>
                      <w:adjustRightInd w:val="0"/>
                      <w:jc w:val="center"/>
                      <w:rPr>
                        <w:szCs w:val="21"/>
                      </w:rPr>
                    </w:pPr>
                    <w:r>
                      <w:rPr>
                        <w:rFonts w:hint="eastAsia"/>
                        <w:szCs w:val="21"/>
                      </w:rPr>
                      <w:t>合计</w:t>
                    </w:r>
                  </w:p>
                </w:tc>
              </w:sdtContent>
            </w:sdt>
            <w:tc>
              <w:tcPr>
                <w:tcW w:w="1422" w:type="pct"/>
                <w:tcBorders>
                  <w:top w:val="single" w:sz="4" w:space="0" w:color="auto"/>
                  <w:left w:val="single" w:sz="4" w:space="0" w:color="auto"/>
                  <w:bottom w:val="single" w:sz="4" w:space="0" w:color="auto"/>
                  <w:right w:val="single" w:sz="4" w:space="0" w:color="auto"/>
                </w:tcBorders>
              </w:tcPr>
              <w:p w:rsidR="00F33F8F" w:rsidRDefault="004E6292">
                <w:pPr>
                  <w:jc w:val="right"/>
                  <w:rPr>
                    <w:szCs w:val="21"/>
                  </w:rPr>
                </w:pPr>
                <w:r>
                  <w:rPr>
                    <w:rFonts w:hint="eastAsia"/>
                    <w:szCs w:val="21"/>
                  </w:rPr>
                  <w:t>-</w:t>
                </w:r>
                <w:r w:rsidR="00F33F8F" w:rsidRPr="00F33F8F">
                  <w:rPr>
                    <w:szCs w:val="21"/>
                  </w:rPr>
                  <w:t>873,355</w:t>
                </w:r>
              </w:p>
            </w:tc>
            <w:tc>
              <w:tcPr>
                <w:tcW w:w="1700" w:type="pct"/>
                <w:tcBorders>
                  <w:top w:val="single" w:sz="4" w:space="0" w:color="auto"/>
                  <w:left w:val="single" w:sz="4" w:space="0" w:color="auto"/>
                  <w:bottom w:val="single" w:sz="4" w:space="0" w:color="auto"/>
                  <w:right w:val="single" w:sz="4" w:space="0" w:color="auto"/>
                </w:tcBorders>
              </w:tcPr>
              <w:p w:rsidR="00F33F8F" w:rsidRDefault="004E6292">
                <w:pPr>
                  <w:jc w:val="right"/>
                  <w:rPr>
                    <w:szCs w:val="21"/>
                  </w:rPr>
                </w:pPr>
                <w:r>
                  <w:rPr>
                    <w:rFonts w:hint="eastAsia"/>
                    <w:szCs w:val="21"/>
                  </w:rPr>
                  <w:t>-</w:t>
                </w:r>
                <w:r w:rsidR="00F33F8F" w:rsidRPr="00F33F8F">
                  <w:rPr>
                    <w:szCs w:val="21"/>
                  </w:rPr>
                  <w:t>126,478,585</w:t>
                </w:r>
              </w:p>
            </w:tc>
          </w:tr>
        </w:tbl>
        <w:p w:rsidR="00F33F8F" w:rsidRDefault="00F33F8F">
          <w:pPr>
            <w:spacing w:before="60" w:after="60"/>
            <w:rPr>
              <w:szCs w:val="21"/>
            </w:rPr>
          </w:pPr>
          <w:r>
            <w:rPr>
              <w:rFonts w:hint="eastAsia"/>
              <w:szCs w:val="21"/>
            </w:rPr>
            <w:t>其他说明：</w:t>
          </w:r>
        </w:p>
        <w:sdt>
          <w:sdtPr>
            <w:alias w:val="资产减值损失的说明"/>
            <w:tag w:val="_GBC_4ebd6f61adb041a3978de7dc7abec263"/>
            <w:id w:val="-1009827759"/>
            <w:lock w:val="sdtLocked"/>
            <w:placeholder>
              <w:docPart w:val="26C21D037B464793B8CD8D08A3B36958"/>
            </w:placeholder>
          </w:sdtPr>
          <w:sdtContent>
            <w:p w:rsidR="00F33F8F" w:rsidRDefault="004E6292">
              <w:r>
                <w:rPr>
                  <w:rFonts w:hint="eastAsia"/>
                </w:rPr>
                <w:t>无。</w:t>
              </w:r>
            </w:p>
          </w:sdtContent>
        </w:sdt>
        <w:p w:rsidR="00ED2DC7" w:rsidRDefault="000D0A99"/>
      </w:sdtContent>
    </w:sdt>
    <w:p w:rsidR="00ED2DC7" w:rsidRDefault="00ED2DC7"/>
    <w:sdt>
      <w:sdtPr>
        <w:rPr>
          <w:rFonts w:ascii="宋体" w:hAnsi="宋体" w:cs="宋体" w:hint="eastAsia"/>
          <w:b w:val="0"/>
          <w:bCs w:val="0"/>
          <w:kern w:val="0"/>
          <w:szCs w:val="21"/>
        </w:rPr>
        <w:alias w:val="模块:资产处置收益"/>
        <w:tag w:val="_SEC_32e84127ca0a46b8896ad8e149c91048"/>
        <w:id w:val="1809980685"/>
        <w:lock w:val="sdtLocked"/>
        <w:placeholder>
          <w:docPart w:val="GBC22222222222222222222222222222"/>
        </w:placeholder>
      </w:sdtPr>
      <w:sdtEndPr>
        <w:rPr>
          <w:rFonts w:hint="default"/>
          <w:szCs w:val="24"/>
        </w:rPr>
      </w:sdtEndPr>
      <w:sdtContent>
        <w:p w:rsidR="00ED2DC7" w:rsidRDefault="00ED2DC7" w:rsidP="00036BDC">
          <w:pPr>
            <w:pStyle w:val="affffffffffffffffff1"/>
            <w:numPr>
              <w:ilvl w:val="0"/>
              <w:numId w:val="49"/>
            </w:numPr>
            <w:tabs>
              <w:tab w:val="left" w:pos="504"/>
            </w:tabs>
            <w:rPr>
              <w:szCs w:val="21"/>
            </w:rPr>
          </w:pPr>
          <w:r>
            <w:rPr>
              <w:rFonts w:hint="eastAsia"/>
              <w:szCs w:val="21"/>
            </w:rPr>
            <w:t>资产处置收益</w:t>
          </w:r>
        </w:p>
        <w:sdt>
          <w:sdtPr>
            <w:rPr>
              <w:rFonts w:hint="eastAsia"/>
            </w:rPr>
            <w:alias w:val="是否适用：资产处置收益[双击切换]"/>
            <w:tag w:val="_GBC_9e584d6f46c648d195946caa434a4619"/>
            <w:id w:val="1691178017"/>
            <w:lock w:val="sdtContentLocked"/>
            <w:placeholder>
              <w:docPart w:val="GBC22222222222222222222222222222"/>
            </w:placeholder>
          </w:sdtPr>
          <w:sdtContent>
            <w:p w:rsidR="00221B01" w:rsidRDefault="00ED2DC7" w:rsidP="00221B01">
              <w:r>
                <w:fldChar w:fldCharType="begin"/>
              </w:r>
              <w:r w:rsidR="008F04CF">
                <w:instrText xml:space="preserve"> MACROBUTTON  SnrToggleCheckbox √适用 </w:instrText>
              </w:r>
              <w:r>
                <w:fldChar w:fldCharType="end"/>
              </w:r>
              <w:r>
                <w:fldChar w:fldCharType="begin"/>
              </w:r>
              <w:r w:rsidR="008F04CF">
                <w:instrText xml:space="preserve"> MACROBUTTON  SnrToggleCheckbox □不适用 </w:instrText>
              </w:r>
              <w:r>
                <w:fldChar w:fldCharType="end"/>
              </w:r>
            </w:p>
          </w:sdtContent>
        </w:sdt>
        <w:p w:rsidR="00B637B2" w:rsidRDefault="008F04CF">
          <w:pPr>
            <w:jc w:val="right"/>
            <w:rPr>
              <w:bCs/>
            </w:rPr>
          </w:pPr>
          <w:r>
            <w:rPr>
              <w:bCs/>
            </w:rPr>
            <w:t>单位：</w:t>
          </w:r>
          <w:sdt>
            <w:sdtPr>
              <w:rPr>
                <w:bCs/>
              </w:rPr>
              <w:alias w:val="单位：资产处置收益明细"/>
              <w:tag w:val="_GBC_72dc168499e249b988d6753a6df1ce44"/>
              <w:id w:val="-750119892"/>
              <w:lock w:val="sdtLocked"/>
              <w:comboBox>
                <w:listItem w:displayText="元" w:value="元"/>
                <w:listItem w:displayText="千元" w:value="千元"/>
                <w:listItem w:displayText="万元" w:value="万元"/>
                <w:listItem w:displayText="百万元" w:value="百万元"/>
                <w:listItem w:displayText="亿元" w:value="亿元"/>
              </w:comboBox>
            </w:sdtPr>
            <w:sdtContent>
              <w:r>
                <w:rPr>
                  <w:bCs/>
                </w:rPr>
                <w:t>元</w:t>
              </w:r>
            </w:sdtContent>
          </w:sdt>
          <w:r>
            <w:rPr>
              <w:bCs/>
            </w:rPr>
            <w:t xml:space="preserve">  币种：</w:t>
          </w:r>
          <w:sdt>
            <w:sdtPr>
              <w:rPr>
                <w:bCs/>
              </w:rPr>
              <w:alias w:val="币种：资产处置收益明细"/>
              <w:tag w:val="_GBC_d68880ec5b074fdc8846b703ead631e2"/>
              <w:id w:val="731124056"/>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bCs/>
                </w:rPr>
                <w:t>人民币</w:t>
              </w:r>
            </w:sdtContent>
          </w:sdt>
        </w:p>
        <w:tbl>
          <w:tblPr>
            <w:tblStyle w:val="g36"/>
            <w:tblW w:w="0" w:type="auto"/>
            <w:tblLook w:val="04A0" w:firstRow="1" w:lastRow="0" w:firstColumn="1" w:lastColumn="0" w:noHBand="0" w:noVBand="1"/>
          </w:tblPr>
          <w:tblGrid>
            <w:gridCol w:w="2928"/>
            <w:gridCol w:w="2947"/>
            <w:gridCol w:w="2948"/>
          </w:tblGrid>
          <w:tr w:rsidR="00B637B2" w:rsidTr="00B637B2">
            <w:tc>
              <w:tcPr>
                <w:tcW w:w="3016" w:type="dxa"/>
              </w:tcPr>
              <w:sdt>
                <w:sdtPr>
                  <w:rPr>
                    <w:rFonts w:hint="eastAsia"/>
                  </w:rPr>
                  <w:tag w:val="_PLD_5ae5d7d7d48342e7bc1da8d90a245459"/>
                  <w:id w:val="-1519306967"/>
                  <w:lock w:val="sdtLocked"/>
                </w:sdtPr>
                <w:sdtContent>
                  <w:p w:rsidR="00B637B2" w:rsidRDefault="008F04CF" w:rsidP="00B637B2">
                    <w:pPr>
                      <w:jc w:val="center"/>
                    </w:pPr>
                    <w:r>
                      <w:rPr>
                        <w:rFonts w:hint="eastAsia"/>
                      </w:rPr>
                      <w:t>项目</w:t>
                    </w:r>
                  </w:p>
                </w:sdtContent>
              </w:sdt>
            </w:tc>
            <w:tc>
              <w:tcPr>
                <w:tcW w:w="3016" w:type="dxa"/>
              </w:tcPr>
              <w:sdt>
                <w:sdtPr>
                  <w:rPr>
                    <w:rFonts w:hint="eastAsia"/>
                  </w:rPr>
                  <w:tag w:val="_PLD_879cf215b86c45c790218e646c831e7d"/>
                  <w:id w:val="1851218666"/>
                  <w:lock w:val="sdtLocked"/>
                </w:sdtPr>
                <w:sdtContent>
                  <w:p w:rsidR="00B637B2" w:rsidRDefault="008F04CF" w:rsidP="00B637B2">
                    <w:pPr>
                      <w:jc w:val="center"/>
                    </w:pPr>
                    <w:r>
                      <w:rPr>
                        <w:rFonts w:hint="eastAsia"/>
                      </w:rPr>
                      <w:t>本期发生额</w:t>
                    </w:r>
                  </w:p>
                </w:sdtContent>
              </w:sdt>
            </w:tc>
            <w:tc>
              <w:tcPr>
                <w:tcW w:w="3017" w:type="dxa"/>
              </w:tcPr>
              <w:sdt>
                <w:sdtPr>
                  <w:rPr>
                    <w:rFonts w:hint="eastAsia"/>
                  </w:rPr>
                  <w:tag w:val="_PLD_8860a002ccc44e14bf36aa3e10fb5d70"/>
                  <w:id w:val="462928840"/>
                  <w:lock w:val="sdtLocked"/>
                </w:sdtPr>
                <w:sdtContent>
                  <w:p w:rsidR="00B637B2" w:rsidRDefault="008F04CF" w:rsidP="00B637B2">
                    <w:pPr>
                      <w:jc w:val="center"/>
                    </w:pPr>
                    <w:r>
                      <w:rPr>
                        <w:rFonts w:hint="eastAsia"/>
                      </w:rPr>
                      <w:t>上期发生额</w:t>
                    </w:r>
                  </w:p>
                </w:sdtContent>
              </w:sdt>
            </w:tc>
          </w:tr>
          <w:sdt>
            <w:sdtPr>
              <w:rPr>
                <w:rFonts w:asciiTheme="minorHAnsi" w:eastAsiaTheme="minorEastAsia" w:hAnsiTheme="minorHAnsi" w:cstheme="minorBidi"/>
                <w:kern w:val="2"/>
                <w:szCs w:val="22"/>
              </w:rPr>
              <w:alias w:val="资产处置收益明细"/>
              <w:tag w:val="_TUP_4fb92e1c2e6d48c3ba0fd0e082ed3be0"/>
              <w:id w:val="1228496420"/>
              <w:lock w:val="sdtLocked"/>
            </w:sdtPr>
            <w:sdtContent>
              <w:tr w:rsidR="00B637B2" w:rsidTr="00B637B2">
                <w:tc>
                  <w:tcPr>
                    <w:tcW w:w="3016" w:type="dxa"/>
                  </w:tcPr>
                  <w:p w:rsidR="00B637B2" w:rsidRDefault="008F04CF" w:rsidP="00B637B2">
                    <w:r>
                      <w:t>固定资产处置收益</w:t>
                    </w:r>
                  </w:p>
                </w:tc>
                <w:tc>
                  <w:tcPr>
                    <w:tcW w:w="3016" w:type="dxa"/>
                    <w:vAlign w:val="center"/>
                  </w:tcPr>
                  <w:p w:rsidR="00B637B2" w:rsidRDefault="008F04CF" w:rsidP="00B637B2">
                    <w:pPr>
                      <w:jc w:val="right"/>
                    </w:pPr>
                    <w:r w:rsidRPr="00974307">
                      <w:t>111,872</w:t>
                    </w:r>
                  </w:p>
                </w:tc>
                <w:tc>
                  <w:tcPr>
                    <w:tcW w:w="3017" w:type="dxa"/>
                    <w:vAlign w:val="center"/>
                  </w:tcPr>
                  <w:p w:rsidR="00B637B2" w:rsidRDefault="008F04CF" w:rsidP="00B637B2">
                    <w:pPr>
                      <w:jc w:val="right"/>
                    </w:pPr>
                    <w:r w:rsidRPr="00974307">
                      <w:rPr>
                        <w:rFonts w:cs="Arial"/>
                      </w:rPr>
                      <w:t>259,800</w:t>
                    </w:r>
                  </w:p>
                </w:tc>
              </w:tr>
            </w:sdtContent>
          </w:sdt>
          <w:sdt>
            <w:sdtPr>
              <w:rPr>
                <w:rFonts w:asciiTheme="minorHAnsi" w:eastAsiaTheme="minorEastAsia" w:hAnsiTheme="minorHAnsi" w:cstheme="minorBidi"/>
                <w:kern w:val="2"/>
                <w:szCs w:val="22"/>
              </w:rPr>
              <w:alias w:val="资产处置收益明细"/>
              <w:tag w:val="_TUP_4fb92e1c2e6d48c3ba0fd0e082ed3be0"/>
              <w:id w:val="-583522774"/>
              <w:lock w:val="sdtLocked"/>
            </w:sdtPr>
            <w:sdtContent>
              <w:tr w:rsidR="00B637B2" w:rsidTr="00B637B2">
                <w:tc>
                  <w:tcPr>
                    <w:tcW w:w="3016" w:type="dxa"/>
                  </w:tcPr>
                  <w:p w:rsidR="00B637B2" w:rsidRDefault="008F04CF" w:rsidP="00B637B2">
                    <w:r>
                      <w:t>无形资产转让收益</w:t>
                    </w:r>
                  </w:p>
                </w:tc>
                <w:tc>
                  <w:tcPr>
                    <w:tcW w:w="3016" w:type="dxa"/>
                  </w:tcPr>
                  <w:p w:rsidR="00B637B2" w:rsidRDefault="00B637B2" w:rsidP="00B637B2">
                    <w:pPr>
                      <w:jc w:val="right"/>
                    </w:pPr>
                  </w:p>
                </w:tc>
                <w:tc>
                  <w:tcPr>
                    <w:tcW w:w="3017" w:type="dxa"/>
                  </w:tcPr>
                  <w:p w:rsidR="00B637B2" w:rsidRDefault="00B637B2" w:rsidP="00B637B2">
                    <w:pPr>
                      <w:jc w:val="right"/>
                    </w:pPr>
                  </w:p>
                </w:tc>
              </w:tr>
            </w:sdtContent>
          </w:sdt>
          <w:tr w:rsidR="00B637B2" w:rsidTr="00B637B2">
            <w:tc>
              <w:tcPr>
                <w:tcW w:w="3016" w:type="dxa"/>
              </w:tcPr>
              <w:sdt>
                <w:sdtPr>
                  <w:rPr>
                    <w:rFonts w:hint="eastAsia"/>
                  </w:rPr>
                  <w:tag w:val="_PLD_8313ddfe5809449c9ba5acf78ad5340a"/>
                  <w:id w:val="1511341425"/>
                  <w:lock w:val="sdtLocked"/>
                </w:sdtPr>
                <w:sdtContent>
                  <w:p w:rsidR="00B637B2" w:rsidRDefault="008F04CF" w:rsidP="00B637B2">
                    <w:pPr>
                      <w:jc w:val="center"/>
                    </w:pPr>
                    <w:r>
                      <w:rPr>
                        <w:rFonts w:hint="eastAsia"/>
                      </w:rPr>
                      <w:t>合计</w:t>
                    </w:r>
                  </w:p>
                </w:sdtContent>
              </w:sdt>
            </w:tc>
            <w:tc>
              <w:tcPr>
                <w:tcW w:w="3016" w:type="dxa"/>
              </w:tcPr>
              <w:p w:rsidR="00B637B2" w:rsidRDefault="008F04CF" w:rsidP="00B637B2">
                <w:pPr>
                  <w:jc w:val="right"/>
                </w:pPr>
                <w:r>
                  <w:t>111,872</w:t>
                </w:r>
              </w:p>
            </w:tc>
            <w:tc>
              <w:tcPr>
                <w:tcW w:w="3017" w:type="dxa"/>
              </w:tcPr>
              <w:p w:rsidR="00B637B2" w:rsidRDefault="008F04CF" w:rsidP="00B637B2">
                <w:pPr>
                  <w:jc w:val="right"/>
                </w:pPr>
                <w:r>
                  <w:t>259,800</w:t>
                </w:r>
              </w:p>
            </w:tc>
          </w:tr>
        </w:tbl>
        <w:p w:rsidR="00B637B2" w:rsidRDefault="00B637B2"/>
        <w:p w:rsidR="00B637B2" w:rsidRDefault="008F04CF">
          <w:r>
            <w:rPr>
              <w:rFonts w:hint="eastAsia"/>
            </w:rPr>
            <w:t>其他</w:t>
          </w:r>
          <w:r>
            <w:t>说明：</w:t>
          </w:r>
        </w:p>
        <w:sdt>
          <w:sdtPr>
            <w:rPr>
              <w:rFonts w:hint="eastAsia"/>
            </w:rPr>
            <w:alias w:val="是否适用：资产处置收益其他说明[双击切换]"/>
            <w:tag w:val="_GBC_15965d17bc0a4e6788b5c6faf8c51b58"/>
            <w:id w:val="1775890471"/>
            <w:lock w:val="sdtContentLocked"/>
          </w:sdtPr>
          <w:sdtContent>
            <w:p w:rsidR="00B637B2" w:rsidRDefault="008F04CF" w:rsidP="00B637B2">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ED2DC7" w:rsidRDefault="000D0A99"/>
      </w:sdtContent>
    </w:sdt>
    <w:p w:rsidR="00ED2DC7" w:rsidRDefault="00ED2DC7"/>
    <w:p w:rsidR="00ED2DC7" w:rsidRDefault="00ED2DC7" w:rsidP="00036BDC">
      <w:pPr>
        <w:pStyle w:val="affffffffffffffffff1"/>
        <w:numPr>
          <w:ilvl w:val="0"/>
          <w:numId w:val="49"/>
        </w:numPr>
        <w:tabs>
          <w:tab w:val="left" w:pos="504"/>
        </w:tabs>
        <w:rPr>
          <w:rFonts w:ascii="宋体" w:hAnsi="宋体"/>
          <w:szCs w:val="21"/>
        </w:rPr>
      </w:pPr>
      <w:r>
        <w:rPr>
          <w:rFonts w:ascii="宋体" w:hAnsi="宋体" w:hint="eastAsia"/>
          <w:szCs w:val="21"/>
        </w:rPr>
        <w:t>营业外收入</w:t>
      </w:r>
    </w:p>
    <w:sdt>
      <w:sdtPr>
        <w:rPr>
          <w:rFonts w:asciiTheme="minorHAnsi" w:eastAsiaTheme="minorEastAsia" w:hAnsiTheme="minorHAnsi" w:cstheme="minorBidi" w:hint="eastAsia"/>
          <w:bCs/>
          <w:szCs w:val="22"/>
        </w:rPr>
        <w:alias w:val="是否适用：营业外收入情况 [双击切换]"/>
        <w:tag w:val="_GBC_b6e9df1124844122abb2dde58392c605"/>
        <w:id w:val="-1056617805"/>
        <w:lock w:val="sdtContentLocked"/>
        <w:placeholder>
          <w:docPart w:val="GBC22222222222222222222222222222"/>
        </w:placeholder>
      </w:sdtPr>
      <w:sdtContent>
        <w:p w:rsidR="00ED2DC7" w:rsidRDefault="00ED2DC7">
          <w:pPr>
            <w:rPr>
              <w:rFonts w:asciiTheme="minorHAnsi" w:eastAsiaTheme="minorEastAsia" w:hAnsiTheme="minorHAnsi" w:cstheme="minorBidi"/>
              <w:bCs/>
              <w:szCs w:val="22"/>
            </w:rPr>
          </w:pPr>
          <w:r>
            <w:rPr>
              <w:rFonts w:cstheme="minorBidi"/>
              <w:bCs/>
              <w:szCs w:val="22"/>
            </w:rPr>
            <w:fldChar w:fldCharType="begin"/>
          </w:r>
          <w:r w:rsidR="00BB3393">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sidR="00BB3393">
            <w:rPr>
              <w:rFonts w:cstheme="minorBidi"/>
              <w:bCs/>
              <w:szCs w:val="22"/>
            </w:rPr>
            <w:instrText xml:space="preserve"> MACROBUTTON  SnrToggleCheckbox □不适用 </w:instrText>
          </w:r>
          <w:r>
            <w:rPr>
              <w:rFonts w:cstheme="minorBidi"/>
              <w:bCs/>
              <w:szCs w:val="22"/>
            </w:rPr>
            <w:fldChar w:fldCharType="end"/>
          </w:r>
        </w:p>
      </w:sdtContent>
    </w:sdt>
    <w:sdt>
      <w:sdtPr>
        <w:rPr>
          <w:rFonts w:hint="eastAsia"/>
        </w:rPr>
        <w:alias w:val="模块:单位：元 币种：人民币项目本期发生额上期发生额计入当期非经..."/>
        <w:tag w:val="_SEC_62e5cfd7609742dd8d0ae51a88918288"/>
        <w:id w:val="429943690"/>
        <w:lock w:val="sdtLocked"/>
        <w:placeholder>
          <w:docPart w:val="GBC22222222222222222222222222222"/>
        </w:placeholder>
      </w:sdtPr>
      <w:sdtContent>
        <w:p w:rsidR="008C59CB" w:rsidRDefault="00ED2DC7">
          <w:pPr>
            <w:jc w:val="right"/>
          </w:pPr>
          <w:r>
            <w:rPr>
              <w:rFonts w:hint="eastAsia"/>
            </w:rPr>
            <w:t>单位：</w:t>
          </w:r>
          <w:sdt>
            <w:sdtPr>
              <w:rPr>
                <w:rFonts w:hint="eastAsia"/>
              </w:rPr>
              <w:alias w:val="单位：财务附注：营业外收入"/>
              <w:tag w:val="_GBC_dd93a692e0c045038f9ddf46f86e7289"/>
              <w:id w:val="-12863042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hint="eastAsia"/>
                </w:rPr>
                <w:t>元</w:t>
              </w:r>
            </w:sdtContent>
          </w:sdt>
          <w:r>
            <w:rPr>
              <w:rFonts w:hint="eastAsia"/>
            </w:rPr>
            <w:t xml:space="preserve">  币种：</w:t>
          </w:r>
          <w:sdt>
            <w:sdtPr>
              <w:rPr>
                <w:rFonts w:hint="eastAsia"/>
              </w:rPr>
              <w:alias w:val="币种：财务附注：营业外收入"/>
              <w:tag w:val="_GBC_598cac7504eb4ef39ddc19fb969bdd53"/>
              <w:id w:val="-6611237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rPr>
                <w:t>人民币</w:t>
              </w:r>
            </w:sdtContent>
          </w:sdt>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9"/>
            <w:gridCol w:w="2248"/>
            <w:gridCol w:w="2257"/>
            <w:gridCol w:w="2259"/>
          </w:tblGrid>
          <w:tr w:rsidR="008C59CB" w:rsidTr="006A67C9">
            <w:bookmarkStart w:id="210" w:name="_Hlk16623126" w:displacedByCustomXml="next"/>
            <w:sdt>
              <w:sdtPr>
                <w:tag w:val="_PLD_d649e0d07dd047a497e69591bf3e322c"/>
                <w:id w:val="1596822759"/>
                <w:lock w:val="sdtLocked"/>
              </w:sdtPr>
              <w:sdtContent>
                <w:tc>
                  <w:tcPr>
                    <w:tcW w:w="1167" w:type="pct"/>
                    <w:tcBorders>
                      <w:top w:val="single" w:sz="4" w:space="0" w:color="auto"/>
                      <w:left w:val="single" w:sz="4" w:space="0" w:color="auto"/>
                      <w:bottom w:val="single" w:sz="4" w:space="0" w:color="auto"/>
                      <w:right w:val="single" w:sz="4" w:space="0" w:color="auto"/>
                    </w:tcBorders>
                    <w:vAlign w:val="center"/>
                  </w:tcPr>
                  <w:p w:rsidR="008C59CB" w:rsidRDefault="008C59CB" w:rsidP="006A67C9">
                    <w:pPr>
                      <w:autoSpaceDE w:val="0"/>
                      <w:autoSpaceDN w:val="0"/>
                      <w:adjustRightInd w:val="0"/>
                      <w:jc w:val="center"/>
                      <w:rPr>
                        <w:szCs w:val="21"/>
                      </w:rPr>
                    </w:pPr>
                    <w:r>
                      <w:rPr>
                        <w:rFonts w:hint="eastAsia"/>
                        <w:szCs w:val="21"/>
                      </w:rPr>
                      <w:t>项目</w:t>
                    </w:r>
                  </w:p>
                </w:tc>
              </w:sdtContent>
            </w:sdt>
            <w:sdt>
              <w:sdtPr>
                <w:tag w:val="_PLD_eabf358cb2c947a9b4e7bacb394074db"/>
                <w:id w:val="-1284030016"/>
                <w:lock w:val="sdtLocked"/>
              </w:sdtPr>
              <w:sdtContent>
                <w:tc>
                  <w:tcPr>
                    <w:tcW w:w="1274" w:type="pct"/>
                    <w:tcBorders>
                      <w:top w:val="single" w:sz="4" w:space="0" w:color="auto"/>
                      <w:left w:val="single" w:sz="4" w:space="0" w:color="auto"/>
                      <w:bottom w:val="single" w:sz="4" w:space="0" w:color="auto"/>
                      <w:right w:val="single" w:sz="4" w:space="0" w:color="auto"/>
                    </w:tcBorders>
                    <w:vAlign w:val="center"/>
                  </w:tcPr>
                  <w:p w:rsidR="008C59CB" w:rsidRDefault="008C59CB" w:rsidP="006A67C9">
                    <w:pPr>
                      <w:autoSpaceDE w:val="0"/>
                      <w:autoSpaceDN w:val="0"/>
                      <w:adjustRightInd w:val="0"/>
                      <w:jc w:val="center"/>
                      <w:rPr>
                        <w:szCs w:val="21"/>
                      </w:rPr>
                    </w:pPr>
                    <w:r>
                      <w:rPr>
                        <w:rFonts w:hint="eastAsia"/>
                        <w:szCs w:val="21"/>
                      </w:rPr>
                      <w:t>本期发生额</w:t>
                    </w:r>
                  </w:p>
                </w:tc>
              </w:sdtContent>
            </w:sdt>
            <w:sdt>
              <w:sdtPr>
                <w:tag w:val="_PLD_0469d808d7334ff0ab3460273b0c8f8f"/>
                <w:id w:val="-1248348257"/>
                <w:lock w:val="sdtLocked"/>
              </w:sdtPr>
              <w:sdtContent>
                <w:tc>
                  <w:tcPr>
                    <w:tcW w:w="1279" w:type="pct"/>
                    <w:tcBorders>
                      <w:top w:val="single" w:sz="4" w:space="0" w:color="auto"/>
                      <w:left w:val="single" w:sz="4" w:space="0" w:color="auto"/>
                      <w:bottom w:val="single" w:sz="4" w:space="0" w:color="auto"/>
                      <w:right w:val="single" w:sz="4" w:space="0" w:color="auto"/>
                    </w:tcBorders>
                    <w:vAlign w:val="center"/>
                  </w:tcPr>
                  <w:p w:rsidR="008C59CB" w:rsidRDefault="008C59CB" w:rsidP="006A67C9">
                    <w:pPr>
                      <w:autoSpaceDE w:val="0"/>
                      <w:autoSpaceDN w:val="0"/>
                      <w:adjustRightInd w:val="0"/>
                      <w:jc w:val="center"/>
                      <w:rPr>
                        <w:szCs w:val="21"/>
                      </w:rPr>
                    </w:pPr>
                    <w:r>
                      <w:rPr>
                        <w:rFonts w:hint="eastAsia"/>
                        <w:szCs w:val="21"/>
                      </w:rPr>
                      <w:t>上期发生额</w:t>
                    </w:r>
                  </w:p>
                </w:tc>
              </w:sdtContent>
            </w:sdt>
            <w:sdt>
              <w:sdtPr>
                <w:tag w:val="_PLD_121bda757dda46918753fabf9329298f"/>
                <w:id w:val="-1001808899"/>
                <w:lock w:val="sdtLocked"/>
              </w:sdtPr>
              <w:sdtContent>
                <w:tc>
                  <w:tcPr>
                    <w:tcW w:w="1280" w:type="pct"/>
                    <w:tcBorders>
                      <w:top w:val="single" w:sz="4" w:space="0" w:color="auto"/>
                      <w:left w:val="single" w:sz="4" w:space="0" w:color="auto"/>
                      <w:bottom w:val="single" w:sz="4" w:space="0" w:color="auto"/>
                      <w:right w:val="single" w:sz="4" w:space="0" w:color="auto"/>
                    </w:tcBorders>
                    <w:vAlign w:val="center"/>
                  </w:tcPr>
                  <w:p w:rsidR="008C59CB" w:rsidRDefault="008C59CB" w:rsidP="006A67C9">
                    <w:pPr>
                      <w:autoSpaceDE w:val="0"/>
                      <w:autoSpaceDN w:val="0"/>
                      <w:adjustRightInd w:val="0"/>
                      <w:jc w:val="center"/>
                      <w:rPr>
                        <w:color w:val="FF0000"/>
                        <w:szCs w:val="21"/>
                      </w:rPr>
                    </w:pPr>
                    <w:r>
                      <w:rPr>
                        <w:rFonts w:hint="eastAsia"/>
                        <w:szCs w:val="21"/>
                      </w:rPr>
                      <w:t>计入当期非经常性损益的金额</w:t>
                    </w:r>
                  </w:p>
                </w:tc>
              </w:sdtContent>
            </w:sdt>
          </w:tr>
          <w:sdt>
            <w:sdtPr>
              <w:rPr>
                <w:rFonts w:asciiTheme="minorHAnsi" w:eastAsiaTheme="minorEastAsia" w:hAnsiTheme="minorHAnsi" w:cstheme="minorBidi" w:hint="eastAsia"/>
                <w:kern w:val="2"/>
                <w:szCs w:val="21"/>
              </w:rPr>
              <w:alias w:val="营业外收入明细"/>
              <w:tag w:val="_GBC_fd02acc867064481b957560afa744c85"/>
              <w:id w:val="-1451237821"/>
              <w:lock w:val="sdtLocked"/>
            </w:sdtPr>
            <w:sdtContent>
              <w:tr w:rsidR="008C59CB" w:rsidTr="00B637B2">
                <w:tc>
                  <w:tcPr>
                    <w:tcW w:w="1167" w:type="pct"/>
                    <w:tcBorders>
                      <w:top w:val="single" w:sz="4" w:space="0" w:color="auto"/>
                      <w:left w:val="single" w:sz="4" w:space="0" w:color="auto"/>
                      <w:bottom w:val="single" w:sz="4" w:space="0" w:color="auto"/>
                      <w:right w:val="single" w:sz="4" w:space="0" w:color="auto"/>
                    </w:tcBorders>
                  </w:tcPr>
                  <w:p w:rsidR="008C59CB" w:rsidRDefault="008C59CB" w:rsidP="006A67C9">
                    <w:pPr>
                      <w:rPr>
                        <w:szCs w:val="21"/>
                      </w:rPr>
                    </w:pPr>
                    <w:r w:rsidRPr="008C59CB">
                      <w:rPr>
                        <w:rFonts w:hint="eastAsia"/>
                        <w:szCs w:val="21"/>
                      </w:rPr>
                      <w:t>与日常经营活动无关的政府补助</w:t>
                    </w:r>
                  </w:p>
                </w:tc>
                <w:tc>
                  <w:tcPr>
                    <w:tcW w:w="1274" w:type="pct"/>
                    <w:tcBorders>
                      <w:top w:val="single" w:sz="4" w:space="0" w:color="auto"/>
                      <w:left w:val="single" w:sz="4" w:space="0" w:color="auto"/>
                      <w:bottom w:val="single" w:sz="4" w:space="0" w:color="auto"/>
                      <w:right w:val="single" w:sz="4" w:space="0" w:color="auto"/>
                    </w:tcBorders>
                    <w:vAlign w:val="center"/>
                  </w:tcPr>
                  <w:p w:rsidR="008C59CB" w:rsidRDefault="008C59CB" w:rsidP="00B637B2">
                    <w:pPr>
                      <w:jc w:val="right"/>
                      <w:rPr>
                        <w:szCs w:val="21"/>
                      </w:rPr>
                    </w:pPr>
                    <w:r w:rsidRPr="008C59CB">
                      <w:rPr>
                        <w:szCs w:val="21"/>
                      </w:rPr>
                      <w:t>2,911,557</w:t>
                    </w:r>
                  </w:p>
                </w:tc>
                <w:tc>
                  <w:tcPr>
                    <w:tcW w:w="1279" w:type="pct"/>
                    <w:tcBorders>
                      <w:top w:val="single" w:sz="4" w:space="0" w:color="auto"/>
                      <w:left w:val="single" w:sz="4" w:space="0" w:color="auto"/>
                      <w:bottom w:val="single" w:sz="4" w:space="0" w:color="auto"/>
                      <w:right w:val="single" w:sz="4" w:space="0" w:color="auto"/>
                    </w:tcBorders>
                    <w:vAlign w:val="center"/>
                  </w:tcPr>
                  <w:p w:rsidR="008C59CB" w:rsidRDefault="008C59CB" w:rsidP="00B637B2">
                    <w:pPr>
                      <w:jc w:val="right"/>
                      <w:rPr>
                        <w:szCs w:val="21"/>
                      </w:rPr>
                    </w:pPr>
                    <w:r w:rsidRPr="008C59CB">
                      <w:rPr>
                        <w:szCs w:val="21"/>
                      </w:rPr>
                      <w:t>5,010,124</w:t>
                    </w:r>
                  </w:p>
                </w:tc>
                <w:tc>
                  <w:tcPr>
                    <w:tcW w:w="1280" w:type="pct"/>
                    <w:tcBorders>
                      <w:top w:val="single" w:sz="4" w:space="0" w:color="auto"/>
                      <w:left w:val="single" w:sz="4" w:space="0" w:color="auto"/>
                      <w:bottom w:val="single" w:sz="4" w:space="0" w:color="auto"/>
                      <w:right w:val="single" w:sz="4" w:space="0" w:color="auto"/>
                    </w:tcBorders>
                    <w:vAlign w:val="center"/>
                  </w:tcPr>
                  <w:p w:rsidR="008C59CB" w:rsidRDefault="008C59CB" w:rsidP="00B637B2">
                    <w:pPr>
                      <w:jc w:val="right"/>
                      <w:rPr>
                        <w:szCs w:val="21"/>
                      </w:rPr>
                    </w:pPr>
                    <w:r w:rsidRPr="008C59CB">
                      <w:rPr>
                        <w:szCs w:val="21"/>
                      </w:rPr>
                      <w:t>2,911,557</w:t>
                    </w:r>
                  </w:p>
                </w:tc>
              </w:tr>
            </w:sdtContent>
          </w:sdt>
          <w:sdt>
            <w:sdtPr>
              <w:rPr>
                <w:rFonts w:asciiTheme="minorHAnsi" w:eastAsiaTheme="minorEastAsia" w:hAnsiTheme="minorHAnsi" w:cstheme="minorBidi" w:hint="eastAsia"/>
                <w:kern w:val="2"/>
                <w:szCs w:val="21"/>
              </w:rPr>
              <w:alias w:val="营业外收入明细"/>
              <w:tag w:val="_GBC_fd02acc867064481b957560afa744c85"/>
              <w:id w:val="194359342"/>
              <w:lock w:val="sdtLocked"/>
            </w:sdtPr>
            <w:sdtContent>
              <w:tr w:rsidR="008C59CB" w:rsidTr="00B637B2">
                <w:tc>
                  <w:tcPr>
                    <w:tcW w:w="1167" w:type="pct"/>
                    <w:tcBorders>
                      <w:top w:val="single" w:sz="4" w:space="0" w:color="auto"/>
                      <w:left w:val="single" w:sz="4" w:space="0" w:color="auto"/>
                      <w:bottom w:val="single" w:sz="4" w:space="0" w:color="auto"/>
                      <w:right w:val="single" w:sz="4" w:space="0" w:color="auto"/>
                    </w:tcBorders>
                  </w:tcPr>
                  <w:p w:rsidR="008C59CB" w:rsidRDefault="008C59CB" w:rsidP="006A67C9">
                    <w:pPr>
                      <w:rPr>
                        <w:szCs w:val="21"/>
                      </w:rPr>
                    </w:pPr>
                    <w:r w:rsidRPr="008C59CB">
                      <w:rPr>
                        <w:rFonts w:asciiTheme="minorHAnsi" w:eastAsiaTheme="minorEastAsia" w:hAnsiTheme="minorHAnsi" w:cstheme="minorBidi" w:hint="eastAsia"/>
                        <w:kern w:val="2"/>
                        <w:szCs w:val="21"/>
                      </w:rPr>
                      <w:t>罚款净收入</w:t>
                    </w:r>
                  </w:p>
                </w:tc>
                <w:tc>
                  <w:tcPr>
                    <w:tcW w:w="1274" w:type="pct"/>
                    <w:tcBorders>
                      <w:top w:val="single" w:sz="4" w:space="0" w:color="auto"/>
                      <w:left w:val="single" w:sz="4" w:space="0" w:color="auto"/>
                      <w:bottom w:val="single" w:sz="4" w:space="0" w:color="auto"/>
                      <w:right w:val="single" w:sz="4" w:space="0" w:color="auto"/>
                    </w:tcBorders>
                    <w:vAlign w:val="center"/>
                  </w:tcPr>
                  <w:p w:rsidR="008C59CB" w:rsidRDefault="008C59CB" w:rsidP="00B637B2">
                    <w:pPr>
                      <w:jc w:val="right"/>
                      <w:rPr>
                        <w:szCs w:val="21"/>
                      </w:rPr>
                    </w:pPr>
                    <w:r w:rsidRPr="008C59CB">
                      <w:rPr>
                        <w:szCs w:val="21"/>
                      </w:rPr>
                      <w:t>23,675</w:t>
                    </w:r>
                  </w:p>
                </w:tc>
                <w:tc>
                  <w:tcPr>
                    <w:tcW w:w="1279" w:type="pct"/>
                    <w:tcBorders>
                      <w:top w:val="single" w:sz="4" w:space="0" w:color="auto"/>
                      <w:left w:val="single" w:sz="4" w:space="0" w:color="auto"/>
                      <w:bottom w:val="single" w:sz="4" w:space="0" w:color="auto"/>
                      <w:right w:val="single" w:sz="4" w:space="0" w:color="auto"/>
                    </w:tcBorders>
                    <w:vAlign w:val="center"/>
                  </w:tcPr>
                  <w:p w:rsidR="008C59CB" w:rsidRDefault="008C59CB" w:rsidP="00B637B2">
                    <w:pPr>
                      <w:jc w:val="right"/>
                      <w:rPr>
                        <w:szCs w:val="21"/>
                      </w:rPr>
                    </w:pPr>
                    <w:r w:rsidRPr="008C59CB">
                      <w:rPr>
                        <w:szCs w:val="21"/>
                      </w:rPr>
                      <w:t>9,900</w:t>
                    </w:r>
                  </w:p>
                </w:tc>
                <w:tc>
                  <w:tcPr>
                    <w:tcW w:w="1280" w:type="pct"/>
                    <w:tcBorders>
                      <w:top w:val="single" w:sz="4" w:space="0" w:color="auto"/>
                      <w:left w:val="single" w:sz="4" w:space="0" w:color="auto"/>
                      <w:bottom w:val="single" w:sz="4" w:space="0" w:color="auto"/>
                      <w:right w:val="single" w:sz="4" w:space="0" w:color="auto"/>
                    </w:tcBorders>
                    <w:vAlign w:val="center"/>
                  </w:tcPr>
                  <w:p w:rsidR="008C59CB" w:rsidRDefault="008C59CB" w:rsidP="00B637B2">
                    <w:pPr>
                      <w:jc w:val="right"/>
                      <w:rPr>
                        <w:szCs w:val="21"/>
                      </w:rPr>
                    </w:pPr>
                    <w:r w:rsidRPr="008C59CB">
                      <w:rPr>
                        <w:szCs w:val="21"/>
                      </w:rPr>
                      <w:t>23,675</w:t>
                    </w:r>
                  </w:p>
                </w:tc>
              </w:tr>
            </w:sdtContent>
          </w:sdt>
          <w:sdt>
            <w:sdtPr>
              <w:rPr>
                <w:rFonts w:asciiTheme="minorHAnsi" w:eastAsiaTheme="minorEastAsia" w:hAnsiTheme="minorHAnsi" w:cstheme="minorBidi" w:hint="eastAsia"/>
                <w:kern w:val="2"/>
                <w:szCs w:val="21"/>
              </w:rPr>
              <w:alias w:val="营业外收入明细"/>
              <w:tag w:val="_GBC_fd02acc867064481b957560afa744c85"/>
              <w:id w:val="960385514"/>
              <w:lock w:val="sdtLocked"/>
            </w:sdtPr>
            <w:sdtContent>
              <w:tr w:rsidR="008C59CB" w:rsidTr="00B637B2">
                <w:tc>
                  <w:tcPr>
                    <w:tcW w:w="1167" w:type="pct"/>
                    <w:tcBorders>
                      <w:top w:val="single" w:sz="4" w:space="0" w:color="auto"/>
                      <w:left w:val="single" w:sz="4" w:space="0" w:color="auto"/>
                      <w:bottom w:val="single" w:sz="4" w:space="0" w:color="auto"/>
                      <w:right w:val="single" w:sz="4" w:space="0" w:color="auto"/>
                    </w:tcBorders>
                  </w:tcPr>
                  <w:p w:rsidR="008C59CB" w:rsidRDefault="008C59CB" w:rsidP="008C59CB">
                    <w:pPr>
                      <w:rPr>
                        <w:szCs w:val="21"/>
                      </w:rPr>
                    </w:pPr>
                    <w:r>
                      <w:rPr>
                        <w:rFonts w:asciiTheme="minorHAnsi" w:eastAsiaTheme="minorEastAsia" w:hAnsiTheme="minorHAnsi" w:cstheme="minorBidi" w:hint="eastAsia"/>
                        <w:kern w:val="2"/>
                        <w:szCs w:val="21"/>
                      </w:rPr>
                      <w:t>其他</w:t>
                    </w:r>
                  </w:p>
                  <w:p w:rsidR="008C59CB" w:rsidRDefault="008C59CB" w:rsidP="008C59CB">
                    <w:pPr>
                      <w:rPr>
                        <w:szCs w:val="21"/>
                      </w:rPr>
                    </w:pPr>
                  </w:p>
                </w:tc>
                <w:tc>
                  <w:tcPr>
                    <w:tcW w:w="1274" w:type="pct"/>
                    <w:tcBorders>
                      <w:top w:val="single" w:sz="4" w:space="0" w:color="auto"/>
                      <w:left w:val="single" w:sz="4" w:space="0" w:color="auto"/>
                      <w:bottom w:val="single" w:sz="4" w:space="0" w:color="auto"/>
                      <w:right w:val="single" w:sz="4" w:space="0" w:color="auto"/>
                    </w:tcBorders>
                    <w:vAlign w:val="center"/>
                  </w:tcPr>
                  <w:p w:rsidR="008C59CB" w:rsidRDefault="008C59CB" w:rsidP="00B637B2">
                    <w:pPr>
                      <w:jc w:val="right"/>
                      <w:rPr>
                        <w:szCs w:val="21"/>
                      </w:rPr>
                    </w:pPr>
                    <w:r w:rsidRPr="008C59CB">
                      <w:rPr>
                        <w:szCs w:val="21"/>
                      </w:rPr>
                      <w:t>841,296</w:t>
                    </w:r>
                  </w:p>
                </w:tc>
                <w:tc>
                  <w:tcPr>
                    <w:tcW w:w="1279" w:type="pct"/>
                    <w:tcBorders>
                      <w:top w:val="single" w:sz="4" w:space="0" w:color="auto"/>
                      <w:left w:val="single" w:sz="4" w:space="0" w:color="auto"/>
                      <w:bottom w:val="single" w:sz="4" w:space="0" w:color="auto"/>
                      <w:right w:val="single" w:sz="4" w:space="0" w:color="auto"/>
                    </w:tcBorders>
                    <w:vAlign w:val="center"/>
                  </w:tcPr>
                  <w:p w:rsidR="008C59CB" w:rsidRDefault="008C59CB" w:rsidP="00B637B2">
                    <w:pPr>
                      <w:jc w:val="right"/>
                      <w:rPr>
                        <w:szCs w:val="21"/>
                      </w:rPr>
                    </w:pPr>
                    <w:r w:rsidRPr="008C59CB">
                      <w:rPr>
                        <w:szCs w:val="21"/>
                      </w:rPr>
                      <w:t>747,269</w:t>
                    </w:r>
                  </w:p>
                </w:tc>
                <w:tc>
                  <w:tcPr>
                    <w:tcW w:w="1280" w:type="pct"/>
                    <w:tcBorders>
                      <w:top w:val="single" w:sz="4" w:space="0" w:color="auto"/>
                      <w:left w:val="single" w:sz="4" w:space="0" w:color="auto"/>
                      <w:bottom w:val="single" w:sz="4" w:space="0" w:color="auto"/>
                      <w:right w:val="single" w:sz="4" w:space="0" w:color="auto"/>
                    </w:tcBorders>
                    <w:vAlign w:val="center"/>
                  </w:tcPr>
                  <w:p w:rsidR="008C59CB" w:rsidRDefault="008C59CB" w:rsidP="00B637B2">
                    <w:pPr>
                      <w:jc w:val="right"/>
                      <w:rPr>
                        <w:szCs w:val="21"/>
                      </w:rPr>
                    </w:pPr>
                    <w:r w:rsidRPr="008C59CB">
                      <w:rPr>
                        <w:szCs w:val="21"/>
                      </w:rPr>
                      <w:t>841,296</w:t>
                    </w:r>
                  </w:p>
                </w:tc>
              </w:tr>
            </w:sdtContent>
          </w:sdt>
          <w:tr w:rsidR="008C59CB" w:rsidRPr="008C59CB" w:rsidTr="00B637B2">
            <w:sdt>
              <w:sdtPr>
                <w:tag w:val="_PLD_25918db321f1404aaddb2a14d0bd05fc"/>
                <w:id w:val="-936905174"/>
                <w:lock w:val="sdtLocked"/>
              </w:sdtPr>
              <w:sdtContent>
                <w:tc>
                  <w:tcPr>
                    <w:tcW w:w="1167" w:type="pct"/>
                    <w:tcBorders>
                      <w:top w:val="single" w:sz="4" w:space="0" w:color="auto"/>
                      <w:left w:val="single" w:sz="4" w:space="0" w:color="auto"/>
                      <w:bottom w:val="single" w:sz="4" w:space="0" w:color="auto"/>
                      <w:right w:val="single" w:sz="4" w:space="0" w:color="auto"/>
                    </w:tcBorders>
                    <w:vAlign w:val="center"/>
                  </w:tcPr>
                  <w:p w:rsidR="008C59CB" w:rsidRDefault="008C59CB" w:rsidP="006A67C9">
                    <w:pPr>
                      <w:jc w:val="center"/>
                      <w:rPr>
                        <w:szCs w:val="21"/>
                      </w:rPr>
                    </w:pPr>
                    <w:r>
                      <w:rPr>
                        <w:rFonts w:hint="eastAsia"/>
                        <w:szCs w:val="21"/>
                      </w:rPr>
                      <w:t>合计</w:t>
                    </w:r>
                  </w:p>
                </w:tc>
              </w:sdtContent>
            </w:sdt>
            <w:tc>
              <w:tcPr>
                <w:tcW w:w="1274" w:type="pct"/>
                <w:tcBorders>
                  <w:top w:val="single" w:sz="4" w:space="0" w:color="auto"/>
                  <w:left w:val="single" w:sz="4" w:space="0" w:color="auto"/>
                  <w:bottom w:val="single" w:sz="4" w:space="0" w:color="auto"/>
                  <w:right w:val="single" w:sz="4" w:space="0" w:color="auto"/>
                </w:tcBorders>
                <w:vAlign w:val="center"/>
              </w:tcPr>
              <w:p w:rsidR="008C59CB" w:rsidRPr="008C59CB" w:rsidRDefault="008C59CB" w:rsidP="00B637B2">
                <w:pPr>
                  <w:jc w:val="right"/>
                </w:pPr>
                <w:r w:rsidRPr="008C59CB">
                  <w:t>3,776,528</w:t>
                </w:r>
              </w:p>
            </w:tc>
            <w:tc>
              <w:tcPr>
                <w:tcW w:w="1279" w:type="pct"/>
                <w:tcBorders>
                  <w:top w:val="single" w:sz="4" w:space="0" w:color="auto"/>
                  <w:left w:val="single" w:sz="4" w:space="0" w:color="auto"/>
                  <w:bottom w:val="single" w:sz="4" w:space="0" w:color="auto"/>
                  <w:right w:val="single" w:sz="4" w:space="0" w:color="auto"/>
                </w:tcBorders>
                <w:vAlign w:val="center"/>
              </w:tcPr>
              <w:p w:rsidR="008C59CB" w:rsidRPr="008C59CB" w:rsidRDefault="008C59CB" w:rsidP="00B637B2">
                <w:pPr>
                  <w:jc w:val="right"/>
                </w:pPr>
                <w:r w:rsidRPr="008C59CB">
                  <w:t>5,767,293</w:t>
                </w:r>
              </w:p>
            </w:tc>
            <w:tc>
              <w:tcPr>
                <w:tcW w:w="1280" w:type="pct"/>
                <w:tcBorders>
                  <w:top w:val="single" w:sz="4" w:space="0" w:color="auto"/>
                  <w:left w:val="single" w:sz="4" w:space="0" w:color="auto"/>
                  <w:bottom w:val="single" w:sz="4" w:space="0" w:color="auto"/>
                  <w:right w:val="single" w:sz="4" w:space="0" w:color="auto"/>
                </w:tcBorders>
                <w:vAlign w:val="center"/>
              </w:tcPr>
              <w:p w:rsidR="008C59CB" w:rsidRPr="008C59CB" w:rsidRDefault="008C59CB" w:rsidP="00B637B2">
                <w:pPr>
                  <w:jc w:val="right"/>
                </w:pPr>
                <w:r w:rsidRPr="008C59CB">
                  <w:t>3,776,528</w:t>
                </w:r>
              </w:p>
            </w:tc>
          </w:tr>
          <w:bookmarkEnd w:id="210"/>
        </w:tbl>
        <w:p w:rsidR="008C59CB" w:rsidRDefault="008C59CB"/>
        <w:p w:rsidR="00ED2DC7" w:rsidRPr="008C59CB" w:rsidRDefault="000D0A99" w:rsidP="008C59CB"/>
      </w:sdtContent>
    </w:sdt>
    <w:p w:rsidR="00ED2DC7" w:rsidRDefault="00ED2DC7">
      <w:pPr>
        <w:rPr>
          <w:szCs w:val="21"/>
        </w:rPr>
      </w:pPr>
    </w:p>
    <w:sdt>
      <w:sdtPr>
        <w:rPr>
          <w:rFonts w:hint="eastAsia"/>
          <w:b/>
        </w:rPr>
        <w:alias w:val="模块:计入当期损益的政府补助"/>
        <w:tag w:val="_GBC_941e4c9023f94b758b05afb87d550363"/>
        <w:id w:val="-1430964059"/>
        <w:lock w:val="sdtLocked"/>
        <w:placeholder>
          <w:docPart w:val="GBC22222222222222222222222222222"/>
        </w:placeholder>
      </w:sdtPr>
      <w:sdtEndPr>
        <w:rPr>
          <w:b w:val="0"/>
        </w:rPr>
      </w:sdtEndPr>
      <w:sdtContent>
        <w:p w:rsidR="00ED2DC7" w:rsidRDefault="00ED2DC7">
          <w:pPr>
            <w:rPr>
              <w:rStyle w:val="affffffffffffffffff8"/>
              <w:rFonts w:ascii="宋体" w:hAnsi="宋体"/>
              <w:b w:val="0"/>
              <w:szCs w:val="21"/>
            </w:rPr>
          </w:pPr>
          <w:r>
            <w:rPr>
              <w:rStyle w:val="affffffffffffffffff8"/>
              <w:rFonts w:ascii="宋体" w:hAnsi="宋体" w:hint="eastAsia"/>
              <w:b w:val="0"/>
              <w:szCs w:val="21"/>
            </w:rPr>
            <w:t>计入当期</w:t>
          </w:r>
          <w:r>
            <w:rPr>
              <w:rFonts w:hint="eastAsia"/>
            </w:rPr>
            <w:t>损益</w:t>
          </w:r>
          <w:r>
            <w:rPr>
              <w:rStyle w:val="affffffffffffffffff8"/>
              <w:rFonts w:ascii="宋体" w:hAnsi="宋体" w:hint="eastAsia"/>
              <w:b w:val="0"/>
              <w:szCs w:val="21"/>
            </w:rPr>
            <w:t>的政府补助</w:t>
          </w:r>
        </w:p>
        <w:sdt>
          <w:sdtPr>
            <w:rPr>
              <w:rStyle w:val="affffffffffffffffff8"/>
              <w:rFonts w:ascii="宋体" w:hAnsi="宋体"/>
              <w:b w:val="0"/>
              <w:szCs w:val="21"/>
            </w:rPr>
            <w:alias w:val="是否适用：计入当期损益的政府补助[双击切换]"/>
            <w:tag w:val="_GBC_c8882fe165a24797aca3c402f799f006"/>
            <w:id w:val="-179128581"/>
            <w:lock w:val="sdtContentLocked"/>
            <w:placeholder>
              <w:docPart w:val="GBC22222222222222222222222222222"/>
            </w:placeholder>
          </w:sdtPr>
          <w:sdtContent>
            <w:p w:rsidR="00ED2DC7" w:rsidRDefault="00ED2DC7">
              <w:pPr>
                <w:rPr>
                  <w:rStyle w:val="affffffffffffffffff8"/>
                  <w:rFonts w:ascii="宋体" w:hAnsi="宋体"/>
                  <w:b w:val="0"/>
                  <w:szCs w:val="21"/>
                </w:rPr>
              </w:pPr>
              <w:r>
                <w:rPr>
                  <w:rStyle w:val="affffffffffffffffff8"/>
                  <w:rFonts w:ascii="宋体" w:hAnsi="宋体"/>
                  <w:b w:val="0"/>
                  <w:szCs w:val="21"/>
                </w:rPr>
                <w:fldChar w:fldCharType="begin"/>
              </w:r>
              <w:r w:rsidR="00BB3393">
                <w:rPr>
                  <w:rStyle w:val="affffffffffffffffff8"/>
                  <w:rFonts w:ascii="宋体" w:hAnsi="宋体"/>
                  <w:b w:val="0"/>
                  <w:szCs w:val="21"/>
                </w:rPr>
                <w:instrText xml:space="preserve"> MACROBUTTON  SnrToggleCheckbox √适用 </w:instrText>
              </w:r>
              <w:r>
                <w:rPr>
                  <w:rStyle w:val="affffffffffffffffff8"/>
                  <w:rFonts w:ascii="宋体" w:hAnsi="宋体"/>
                  <w:b w:val="0"/>
                  <w:szCs w:val="21"/>
                </w:rPr>
                <w:fldChar w:fldCharType="end"/>
              </w:r>
              <w:r>
                <w:rPr>
                  <w:rStyle w:val="affffffffffffffffff8"/>
                  <w:rFonts w:ascii="宋体" w:hAnsi="宋体"/>
                  <w:b w:val="0"/>
                  <w:szCs w:val="21"/>
                </w:rPr>
                <w:fldChar w:fldCharType="begin"/>
              </w:r>
              <w:r w:rsidR="00BB3393">
                <w:rPr>
                  <w:rStyle w:val="affffffffffffffffff8"/>
                  <w:rFonts w:ascii="宋体" w:hAnsi="宋体"/>
                  <w:b w:val="0"/>
                  <w:szCs w:val="21"/>
                </w:rPr>
                <w:instrText xml:space="preserve"> MACROBUTTON  SnrToggleCheckbox □不适用 </w:instrText>
              </w:r>
              <w:r>
                <w:rPr>
                  <w:rStyle w:val="affffffffffffffffff8"/>
                  <w:rFonts w:ascii="宋体" w:hAnsi="宋体"/>
                  <w:b w:val="0"/>
                  <w:szCs w:val="21"/>
                </w:rPr>
                <w:fldChar w:fldCharType="end"/>
              </w:r>
            </w:p>
          </w:sdtContent>
        </w:sdt>
        <w:p w:rsidR="008C59CB" w:rsidRDefault="00ED2DC7">
          <w:pPr>
            <w:jc w:val="right"/>
            <w:rPr>
              <w:szCs w:val="21"/>
            </w:rPr>
          </w:pPr>
          <w:r>
            <w:rPr>
              <w:rFonts w:hint="eastAsia"/>
              <w:szCs w:val="21"/>
            </w:rPr>
            <w:t xml:space="preserve"> 单位：</w:t>
          </w:r>
          <w:sdt>
            <w:sdtPr>
              <w:rPr>
                <w:rFonts w:hint="eastAsia"/>
                <w:szCs w:val="21"/>
              </w:rPr>
              <w:alias w:val="单位：财务附注：计入当期损益的政府补助"/>
              <w:tag w:val="_GBC_bd00bad38c644e6fa63419d4034ebfd1"/>
              <w:id w:val="60917114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hint="eastAsia"/>
                  <w:szCs w:val="21"/>
                </w:rPr>
                <w:t>元</w:t>
              </w:r>
            </w:sdtContent>
          </w:sdt>
          <w:r>
            <w:rPr>
              <w:rFonts w:hint="eastAsia"/>
              <w:szCs w:val="21"/>
            </w:rPr>
            <w:t xml:space="preserve">  币种：</w:t>
          </w:r>
          <w:sdt>
            <w:sdtPr>
              <w:rPr>
                <w:rFonts w:hint="eastAsia"/>
                <w:szCs w:val="21"/>
              </w:rPr>
              <w:alias w:val="币种：财务附注：计入当期损益的政府补助"/>
              <w:tag w:val="_GBC_23bf9a9e0ac34ffd9e7e1d78597a87d0"/>
              <w:id w:val="-14312756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szCs w:val="21"/>
                </w:rPr>
                <w:t>人民币</w:t>
              </w:r>
            </w:sdtContent>
          </w:sdt>
        </w:p>
        <w:tbl>
          <w:tblPr>
            <w:tblStyle w:val="g38"/>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043"/>
            <w:gridCol w:w="2259"/>
            <w:gridCol w:w="2259"/>
            <w:gridCol w:w="2262"/>
          </w:tblGrid>
          <w:tr w:rsidR="00B637B2" w:rsidTr="00B637B2">
            <w:trPr>
              <w:trHeight w:val="556"/>
              <w:jc w:val="center"/>
            </w:trPr>
            <w:sdt>
              <w:sdtPr>
                <w:tag w:val="_PLD_921b2aed22db42759d12f127db945afe"/>
                <w:id w:val="1925994138"/>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B637B2" w:rsidRDefault="008F04CF" w:rsidP="00B637B2">
                    <w:pPr>
                      <w:jc w:val="center"/>
                      <w:rPr>
                        <w:szCs w:val="21"/>
                      </w:rPr>
                    </w:pPr>
                    <w:r>
                      <w:rPr>
                        <w:szCs w:val="21"/>
                      </w:rPr>
                      <w:t>补助项目</w:t>
                    </w:r>
                  </w:p>
                </w:tc>
              </w:sdtContent>
            </w:sdt>
            <w:sdt>
              <w:sdtPr>
                <w:tag w:val="_PLD_b153949e35ca47018467de6ef3800cf5"/>
                <w:id w:val="-1331600278"/>
                <w:lock w:val="sdtLocked"/>
              </w:sdtPr>
              <w:sdtContent>
                <w:tc>
                  <w:tcPr>
                    <w:tcW w:w="1280" w:type="pct"/>
                    <w:tcBorders>
                      <w:top w:val="single" w:sz="4" w:space="0" w:color="auto"/>
                      <w:left w:val="single" w:sz="4" w:space="0" w:color="auto"/>
                      <w:bottom w:val="single" w:sz="4" w:space="0" w:color="auto"/>
                      <w:right w:val="single" w:sz="4" w:space="0" w:color="auto"/>
                    </w:tcBorders>
                    <w:vAlign w:val="center"/>
                  </w:tcPr>
                  <w:p w:rsidR="00B637B2" w:rsidRDefault="008F04CF" w:rsidP="00B637B2">
                    <w:pPr>
                      <w:jc w:val="center"/>
                      <w:rPr>
                        <w:szCs w:val="21"/>
                      </w:rPr>
                    </w:pPr>
                    <w:r>
                      <w:rPr>
                        <w:szCs w:val="21"/>
                      </w:rPr>
                      <w:t>本期发生</w:t>
                    </w:r>
                    <w:r>
                      <w:rPr>
                        <w:rFonts w:hint="eastAsia"/>
                        <w:szCs w:val="21"/>
                      </w:rPr>
                      <w:t>金</w:t>
                    </w:r>
                    <w:r>
                      <w:rPr>
                        <w:szCs w:val="21"/>
                      </w:rPr>
                      <w:t>额</w:t>
                    </w:r>
                  </w:p>
                </w:tc>
              </w:sdtContent>
            </w:sdt>
            <w:sdt>
              <w:sdtPr>
                <w:tag w:val="_PLD_bf693dd17f244c38afd88855e4186d7d"/>
                <w:id w:val="-2139030563"/>
                <w:lock w:val="sdtLocked"/>
              </w:sdtPr>
              <w:sdtContent>
                <w:tc>
                  <w:tcPr>
                    <w:tcW w:w="1280" w:type="pct"/>
                    <w:tcBorders>
                      <w:top w:val="single" w:sz="4" w:space="0" w:color="auto"/>
                      <w:left w:val="single" w:sz="4" w:space="0" w:color="auto"/>
                      <w:bottom w:val="single" w:sz="4" w:space="0" w:color="auto"/>
                      <w:right w:val="single" w:sz="4" w:space="0" w:color="auto"/>
                    </w:tcBorders>
                    <w:vAlign w:val="center"/>
                  </w:tcPr>
                  <w:p w:rsidR="00B637B2" w:rsidRDefault="008F04CF" w:rsidP="00B637B2">
                    <w:pPr>
                      <w:jc w:val="center"/>
                      <w:rPr>
                        <w:szCs w:val="21"/>
                      </w:rPr>
                    </w:pPr>
                    <w:r>
                      <w:rPr>
                        <w:szCs w:val="21"/>
                      </w:rPr>
                      <w:t>上期发生</w:t>
                    </w:r>
                    <w:r>
                      <w:rPr>
                        <w:rFonts w:hint="eastAsia"/>
                        <w:szCs w:val="21"/>
                      </w:rPr>
                      <w:t>金</w:t>
                    </w:r>
                    <w:r>
                      <w:rPr>
                        <w:szCs w:val="21"/>
                      </w:rPr>
                      <w:t>额</w:t>
                    </w:r>
                  </w:p>
                </w:tc>
              </w:sdtContent>
            </w:sdt>
            <w:sdt>
              <w:sdtPr>
                <w:tag w:val="_PLD_532c78ae9a7849fe9994cace73120659"/>
                <w:id w:val="-860897165"/>
                <w:lock w:val="sdtLocked"/>
              </w:sdtPr>
              <w:sdtContent>
                <w:tc>
                  <w:tcPr>
                    <w:tcW w:w="1282" w:type="pct"/>
                    <w:tcBorders>
                      <w:top w:val="single" w:sz="4" w:space="0" w:color="auto"/>
                      <w:left w:val="single" w:sz="4" w:space="0" w:color="auto"/>
                      <w:bottom w:val="single" w:sz="4" w:space="0" w:color="auto"/>
                      <w:right w:val="single" w:sz="4" w:space="0" w:color="auto"/>
                    </w:tcBorders>
                    <w:vAlign w:val="center"/>
                  </w:tcPr>
                  <w:p w:rsidR="00B637B2" w:rsidRDefault="008F04CF" w:rsidP="00B637B2">
                    <w:pPr>
                      <w:jc w:val="center"/>
                      <w:rPr>
                        <w:szCs w:val="21"/>
                      </w:rPr>
                    </w:pPr>
                    <w:r>
                      <w:rPr>
                        <w:szCs w:val="21"/>
                      </w:rPr>
                      <w:t>与资产相关/与收益相关</w:t>
                    </w:r>
                  </w:p>
                </w:tc>
              </w:sdtContent>
            </w:sdt>
          </w:tr>
          <w:sdt>
            <w:sdtPr>
              <w:rPr>
                <w:rFonts w:asciiTheme="minorHAnsi" w:eastAsiaTheme="minorEastAsia" w:hAnsiTheme="minorHAnsi" w:cstheme="minorBidi"/>
                <w:kern w:val="2"/>
                <w:szCs w:val="21"/>
              </w:rPr>
              <w:alias w:val="计入当期损益的政府补助明细"/>
              <w:tag w:val="_GBC_8d8ea3026a664e94a38609c0bcec2101"/>
              <w:id w:val="1657881026"/>
              <w:lock w:val="sdtLocked"/>
            </w:sdtPr>
            <w:sdtContent>
              <w:tr w:rsidR="00B637B2" w:rsidTr="00B637B2">
                <w:trPr>
                  <w:jc w:val="center"/>
                </w:trPr>
                <w:tc>
                  <w:tcPr>
                    <w:tcW w:w="1158" w:type="pct"/>
                    <w:tcBorders>
                      <w:top w:val="single" w:sz="4" w:space="0" w:color="auto"/>
                      <w:left w:val="single" w:sz="4" w:space="0" w:color="auto"/>
                      <w:bottom w:val="single" w:sz="4" w:space="0" w:color="auto"/>
                      <w:right w:val="single" w:sz="4" w:space="0" w:color="auto"/>
                    </w:tcBorders>
                    <w:vAlign w:val="center"/>
                  </w:tcPr>
                  <w:p w:rsidR="00B637B2" w:rsidRDefault="008F04CF" w:rsidP="00B637B2">
                    <w:pPr>
                      <w:rPr>
                        <w:szCs w:val="21"/>
                      </w:rPr>
                    </w:pPr>
                    <w:r w:rsidRPr="008C59CB">
                      <w:rPr>
                        <w:rFonts w:asciiTheme="minorHAnsi" w:eastAsiaTheme="minorEastAsia" w:hAnsiTheme="minorHAnsi" w:cstheme="minorBidi" w:hint="eastAsia"/>
                        <w:kern w:val="2"/>
                        <w:szCs w:val="21"/>
                      </w:rPr>
                      <w:t>杭州市工业和科技重大创新项目（信息化项目）资助资金（市配套）</w:t>
                    </w:r>
                  </w:p>
                </w:tc>
                <w:tc>
                  <w:tcPr>
                    <w:tcW w:w="1280" w:type="pct"/>
                    <w:tcBorders>
                      <w:top w:val="single" w:sz="4" w:space="0" w:color="auto"/>
                      <w:left w:val="single" w:sz="4" w:space="0" w:color="auto"/>
                      <w:bottom w:val="single" w:sz="4" w:space="0" w:color="auto"/>
                      <w:right w:val="single" w:sz="4" w:space="0" w:color="auto"/>
                    </w:tcBorders>
                    <w:vAlign w:val="center"/>
                  </w:tcPr>
                  <w:p w:rsidR="00B637B2" w:rsidRPr="00F26AE9" w:rsidRDefault="008F04CF" w:rsidP="00B637B2">
                    <w:pPr>
                      <w:jc w:val="right"/>
                    </w:pPr>
                    <w:r w:rsidRPr="00F26AE9">
                      <w:t>-</w:t>
                    </w:r>
                  </w:p>
                </w:tc>
                <w:tc>
                  <w:tcPr>
                    <w:tcW w:w="1280" w:type="pct"/>
                    <w:tcBorders>
                      <w:top w:val="single" w:sz="4" w:space="0" w:color="auto"/>
                      <w:left w:val="single" w:sz="4" w:space="0" w:color="auto"/>
                      <w:bottom w:val="single" w:sz="4" w:space="0" w:color="auto"/>
                      <w:right w:val="single" w:sz="4" w:space="0" w:color="auto"/>
                    </w:tcBorders>
                    <w:vAlign w:val="center"/>
                  </w:tcPr>
                  <w:p w:rsidR="00B637B2" w:rsidRPr="0076169A" w:rsidRDefault="008F04CF" w:rsidP="00B637B2">
                    <w:pPr>
                      <w:jc w:val="right"/>
                    </w:pPr>
                    <w:r w:rsidRPr="0076169A">
                      <w:t>1,212,000</w:t>
                    </w:r>
                  </w:p>
                </w:tc>
                <w:tc>
                  <w:tcPr>
                    <w:tcW w:w="1282" w:type="pct"/>
                    <w:tcBorders>
                      <w:top w:val="single" w:sz="4" w:space="0" w:color="auto"/>
                      <w:left w:val="single" w:sz="4" w:space="0" w:color="auto"/>
                      <w:bottom w:val="single" w:sz="4" w:space="0" w:color="auto"/>
                      <w:right w:val="single" w:sz="4" w:space="0" w:color="auto"/>
                    </w:tcBorders>
                    <w:vAlign w:val="center"/>
                  </w:tcPr>
                  <w:p w:rsidR="00B637B2" w:rsidRDefault="008F04CF" w:rsidP="00B637B2">
                    <w:pPr>
                      <w:jc w:val="center"/>
                      <w:rPr>
                        <w:szCs w:val="21"/>
                      </w:rPr>
                    </w:pPr>
                    <w:r>
                      <w:rPr>
                        <w:rFonts w:hint="eastAsia"/>
                        <w:szCs w:val="21"/>
                      </w:rPr>
                      <w:t>与收益相关</w:t>
                    </w:r>
                  </w:p>
                </w:tc>
              </w:tr>
            </w:sdtContent>
          </w:sdt>
          <w:sdt>
            <w:sdtPr>
              <w:rPr>
                <w:rFonts w:asciiTheme="minorHAnsi" w:eastAsiaTheme="minorEastAsia" w:hAnsiTheme="minorHAnsi" w:cstheme="minorBidi"/>
                <w:kern w:val="2"/>
                <w:szCs w:val="21"/>
              </w:rPr>
              <w:alias w:val="计入当期损益的政府补助明细"/>
              <w:tag w:val="_GBC_8d8ea3026a664e94a38609c0bcec2101"/>
              <w:id w:val="57979880"/>
              <w:lock w:val="sdtLocked"/>
            </w:sdtPr>
            <w:sdtContent>
              <w:tr w:rsidR="00B637B2" w:rsidTr="00B637B2">
                <w:trPr>
                  <w:jc w:val="center"/>
                </w:trPr>
                <w:tc>
                  <w:tcPr>
                    <w:tcW w:w="1158" w:type="pct"/>
                    <w:tcBorders>
                      <w:top w:val="single" w:sz="4" w:space="0" w:color="auto"/>
                      <w:left w:val="single" w:sz="4" w:space="0" w:color="auto"/>
                      <w:bottom w:val="single" w:sz="4" w:space="0" w:color="auto"/>
                      <w:right w:val="single" w:sz="4" w:space="0" w:color="auto"/>
                    </w:tcBorders>
                    <w:vAlign w:val="center"/>
                  </w:tcPr>
                  <w:p w:rsidR="00B637B2" w:rsidRDefault="008F04CF" w:rsidP="00B637B2">
                    <w:pPr>
                      <w:rPr>
                        <w:szCs w:val="21"/>
                      </w:rPr>
                    </w:pPr>
                    <w:r w:rsidRPr="008C59CB">
                      <w:rPr>
                        <w:rFonts w:asciiTheme="minorHAnsi" w:eastAsiaTheme="minorEastAsia" w:hAnsiTheme="minorHAnsi" w:cstheme="minorBidi" w:hint="eastAsia"/>
                        <w:kern w:val="2"/>
                        <w:szCs w:val="21"/>
                      </w:rPr>
                      <w:t>厦门市科学技术局企业研发补助款</w:t>
                    </w:r>
                  </w:p>
                </w:tc>
                <w:tc>
                  <w:tcPr>
                    <w:tcW w:w="1280" w:type="pct"/>
                    <w:tcBorders>
                      <w:top w:val="single" w:sz="4" w:space="0" w:color="auto"/>
                      <w:left w:val="single" w:sz="4" w:space="0" w:color="auto"/>
                      <w:bottom w:val="single" w:sz="4" w:space="0" w:color="auto"/>
                      <w:right w:val="single" w:sz="4" w:space="0" w:color="auto"/>
                    </w:tcBorders>
                    <w:vAlign w:val="center"/>
                  </w:tcPr>
                  <w:p w:rsidR="00B637B2" w:rsidRPr="00F26AE9" w:rsidRDefault="008F04CF" w:rsidP="00B637B2">
                    <w:pPr>
                      <w:jc w:val="right"/>
                    </w:pPr>
                    <w:r w:rsidRPr="00F26AE9">
                      <w:t>1,227,200</w:t>
                    </w:r>
                  </w:p>
                </w:tc>
                <w:tc>
                  <w:tcPr>
                    <w:tcW w:w="1280" w:type="pct"/>
                    <w:tcBorders>
                      <w:top w:val="single" w:sz="4" w:space="0" w:color="auto"/>
                      <w:left w:val="single" w:sz="4" w:space="0" w:color="auto"/>
                      <w:bottom w:val="single" w:sz="4" w:space="0" w:color="auto"/>
                      <w:right w:val="single" w:sz="4" w:space="0" w:color="auto"/>
                    </w:tcBorders>
                    <w:vAlign w:val="center"/>
                  </w:tcPr>
                  <w:p w:rsidR="00B637B2" w:rsidRPr="0076169A" w:rsidRDefault="008F04CF" w:rsidP="00B637B2">
                    <w:pPr>
                      <w:jc w:val="right"/>
                    </w:pPr>
                    <w:r w:rsidRPr="0076169A">
                      <w:t>1,043,100</w:t>
                    </w:r>
                  </w:p>
                </w:tc>
                <w:tc>
                  <w:tcPr>
                    <w:tcW w:w="1282" w:type="pct"/>
                    <w:tcBorders>
                      <w:top w:val="single" w:sz="4" w:space="0" w:color="auto"/>
                      <w:left w:val="single" w:sz="4" w:space="0" w:color="auto"/>
                      <w:bottom w:val="single" w:sz="4" w:space="0" w:color="auto"/>
                      <w:right w:val="single" w:sz="4" w:space="0" w:color="auto"/>
                    </w:tcBorders>
                    <w:vAlign w:val="center"/>
                  </w:tcPr>
                  <w:p w:rsidR="00B637B2" w:rsidRDefault="008F04CF" w:rsidP="00B637B2">
                    <w:pPr>
                      <w:jc w:val="center"/>
                      <w:rPr>
                        <w:szCs w:val="21"/>
                      </w:rPr>
                    </w:pPr>
                    <w:r>
                      <w:rPr>
                        <w:rFonts w:hint="eastAsia"/>
                        <w:szCs w:val="21"/>
                      </w:rPr>
                      <w:t>与收益相关</w:t>
                    </w:r>
                  </w:p>
                </w:tc>
              </w:tr>
            </w:sdtContent>
          </w:sdt>
          <w:sdt>
            <w:sdtPr>
              <w:rPr>
                <w:rFonts w:asciiTheme="minorHAnsi" w:eastAsiaTheme="minorEastAsia" w:hAnsiTheme="minorHAnsi" w:cstheme="minorBidi"/>
                <w:kern w:val="2"/>
                <w:szCs w:val="21"/>
              </w:rPr>
              <w:alias w:val="计入当期损益的政府补助明细"/>
              <w:tag w:val="_GBC_8d8ea3026a664e94a38609c0bcec2101"/>
              <w:id w:val="894324675"/>
              <w:lock w:val="sdtLocked"/>
            </w:sdtPr>
            <w:sdtContent>
              <w:tr w:rsidR="00B637B2" w:rsidTr="00B637B2">
                <w:trPr>
                  <w:jc w:val="center"/>
                </w:trPr>
                <w:tc>
                  <w:tcPr>
                    <w:tcW w:w="1158" w:type="pct"/>
                    <w:tcBorders>
                      <w:top w:val="single" w:sz="4" w:space="0" w:color="auto"/>
                      <w:left w:val="single" w:sz="4" w:space="0" w:color="auto"/>
                      <w:bottom w:val="single" w:sz="4" w:space="0" w:color="auto"/>
                      <w:right w:val="single" w:sz="4" w:space="0" w:color="auto"/>
                    </w:tcBorders>
                    <w:vAlign w:val="center"/>
                  </w:tcPr>
                  <w:p w:rsidR="00B637B2" w:rsidRDefault="008F04CF" w:rsidP="00B637B2">
                    <w:pPr>
                      <w:rPr>
                        <w:szCs w:val="21"/>
                      </w:rPr>
                    </w:pPr>
                    <w:r w:rsidRPr="008C59CB">
                      <w:rPr>
                        <w:rFonts w:asciiTheme="minorHAnsi" w:eastAsiaTheme="minorEastAsia" w:hAnsiTheme="minorHAnsi" w:cstheme="minorBidi" w:hint="eastAsia"/>
                        <w:kern w:val="2"/>
                        <w:szCs w:val="21"/>
                      </w:rPr>
                      <w:t>三亚市科技工业信息化局补助</w:t>
                    </w:r>
                  </w:p>
                </w:tc>
                <w:tc>
                  <w:tcPr>
                    <w:tcW w:w="1280" w:type="pct"/>
                    <w:tcBorders>
                      <w:top w:val="single" w:sz="4" w:space="0" w:color="auto"/>
                      <w:left w:val="single" w:sz="4" w:space="0" w:color="auto"/>
                      <w:bottom w:val="single" w:sz="4" w:space="0" w:color="auto"/>
                      <w:right w:val="single" w:sz="4" w:space="0" w:color="auto"/>
                    </w:tcBorders>
                    <w:vAlign w:val="center"/>
                  </w:tcPr>
                  <w:p w:rsidR="00B637B2" w:rsidRPr="00F26AE9" w:rsidRDefault="008F04CF" w:rsidP="00B637B2">
                    <w:pPr>
                      <w:jc w:val="right"/>
                    </w:pPr>
                    <w:r>
                      <w:t xml:space="preserve">490,963 </w:t>
                    </w:r>
                  </w:p>
                </w:tc>
                <w:tc>
                  <w:tcPr>
                    <w:tcW w:w="1280" w:type="pct"/>
                    <w:tcBorders>
                      <w:top w:val="single" w:sz="4" w:space="0" w:color="auto"/>
                      <w:left w:val="single" w:sz="4" w:space="0" w:color="auto"/>
                      <w:bottom w:val="single" w:sz="4" w:space="0" w:color="auto"/>
                      <w:right w:val="single" w:sz="4" w:space="0" w:color="auto"/>
                    </w:tcBorders>
                    <w:vAlign w:val="center"/>
                  </w:tcPr>
                  <w:p w:rsidR="00B637B2" w:rsidRPr="0076169A" w:rsidRDefault="008F04CF" w:rsidP="00B637B2">
                    <w:pPr>
                      <w:jc w:val="right"/>
                    </w:pPr>
                    <w:r>
                      <w:rPr>
                        <w:rFonts w:hint="eastAsia"/>
                      </w:rPr>
                      <w:t>-</w:t>
                    </w:r>
                  </w:p>
                </w:tc>
                <w:tc>
                  <w:tcPr>
                    <w:tcW w:w="1282" w:type="pct"/>
                    <w:tcBorders>
                      <w:top w:val="single" w:sz="4" w:space="0" w:color="auto"/>
                      <w:left w:val="single" w:sz="4" w:space="0" w:color="auto"/>
                      <w:bottom w:val="single" w:sz="4" w:space="0" w:color="auto"/>
                      <w:right w:val="single" w:sz="4" w:space="0" w:color="auto"/>
                    </w:tcBorders>
                    <w:vAlign w:val="center"/>
                  </w:tcPr>
                  <w:p w:rsidR="00B637B2" w:rsidRDefault="008F04CF" w:rsidP="00B637B2">
                    <w:pPr>
                      <w:jc w:val="center"/>
                      <w:rPr>
                        <w:szCs w:val="21"/>
                      </w:rPr>
                    </w:pPr>
                    <w:r>
                      <w:rPr>
                        <w:rFonts w:hint="eastAsia"/>
                        <w:szCs w:val="21"/>
                      </w:rPr>
                      <w:t>与收益相关</w:t>
                    </w:r>
                  </w:p>
                </w:tc>
              </w:tr>
            </w:sdtContent>
          </w:sdt>
          <w:sdt>
            <w:sdtPr>
              <w:rPr>
                <w:rFonts w:asciiTheme="minorHAnsi" w:eastAsiaTheme="minorEastAsia" w:hAnsiTheme="minorHAnsi" w:cstheme="minorBidi"/>
                <w:kern w:val="2"/>
                <w:szCs w:val="21"/>
              </w:rPr>
              <w:alias w:val="计入当期损益的政府补助明细"/>
              <w:tag w:val="_GBC_8d8ea3026a664e94a38609c0bcec2101"/>
              <w:id w:val="1156033684"/>
              <w:lock w:val="sdtLocked"/>
            </w:sdtPr>
            <w:sdtContent>
              <w:tr w:rsidR="00B637B2" w:rsidRPr="008C59CB" w:rsidTr="00B637B2">
                <w:trPr>
                  <w:jc w:val="center"/>
                </w:trPr>
                <w:tc>
                  <w:tcPr>
                    <w:tcW w:w="1158" w:type="pct"/>
                    <w:tcBorders>
                      <w:top w:val="single" w:sz="4" w:space="0" w:color="auto"/>
                      <w:left w:val="single" w:sz="4" w:space="0" w:color="auto"/>
                      <w:bottom w:val="single" w:sz="4" w:space="0" w:color="auto"/>
                      <w:right w:val="single" w:sz="4" w:space="0" w:color="auto"/>
                    </w:tcBorders>
                    <w:vAlign w:val="center"/>
                  </w:tcPr>
                  <w:p w:rsidR="00B637B2" w:rsidRDefault="008F04CF" w:rsidP="00B637B2">
                    <w:pPr>
                      <w:rPr>
                        <w:szCs w:val="21"/>
                      </w:rPr>
                    </w:pPr>
                    <w:r w:rsidRPr="008C59CB">
                      <w:rPr>
                        <w:rFonts w:asciiTheme="minorHAnsi" w:eastAsiaTheme="minorEastAsia" w:hAnsiTheme="minorHAnsi" w:cstheme="minorBidi" w:hint="eastAsia"/>
                        <w:kern w:val="2"/>
                        <w:szCs w:val="21"/>
                      </w:rPr>
                      <w:t>其他</w:t>
                    </w:r>
                  </w:p>
                </w:tc>
                <w:tc>
                  <w:tcPr>
                    <w:tcW w:w="1280" w:type="pct"/>
                    <w:tcBorders>
                      <w:top w:val="single" w:sz="4" w:space="0" w:color="auto"/>
                      <w:left w:val="single" w:sz="4" w:space="0" w:color="auto"/>
                      <w:bottom w:val="single" w:sz="4" w:space="0" w:color="auto"/>
                      <w:right w:val="single" w:sz="4" w:space="0" w:color="auto"/>
                    </w:tcBorders>
                    <w:vAlign w:val="center"/>
                  </w:tcPr>
                  <w:p w:rsidR="00B637B2" w:rsidRDefault="008F04CF" w:rsidP="00B637B2">
                    <w:pPr>
                      <w:jc w:val="right"/>
                    </w:pPr>
                    <w:r w:rsidRPr="00F26AE9">
                      <w:t>1,193,394</w:t>
                    </w:r>
                  </w:p>
                </w:tc>
                <w:tc>
                  <w:tcPr>
                    <w:tcW w:w="1280" w:type="pct"/>
                    <w:tcBorders>
                      <w:top w:val="single" w:sz="4" w:space="0" w:color="auto"/>
                      <w:left w:val="single" w:sz="4" w:space="0" w:color="auto"/>
                      <w:bottom w:val="single" w:sz="4" w:space="0" w:color="auto"/>
                      <w:right w:val="single" w:sz="4" w:space="0" w:color="auto"/>
                    </w:tcBorders>
                    <w:vAlign w:val="center"/>
                  </w:tcPr>
                  <w:p w:rsidR="00B637B2" w:rsidRDefault="008F04CF" w:rsidP="00B637B2">
                    <w:pPr>
                      <w:jc w:val="right"/>
                    </w:pPr>
                    <w:r w:rsidRPr="0076169A">
                      <w:t>2,755,024</w:t>
                    </w:r>
                  </w:p>
                </w:tc>
                <w:tc>
                  <w:tcPr>
                    <w:tcW w:w="1282" w:type="pct"/>
                    <w:tcBorders>
                      <w:top w:val="single" w:sz="4" w:space="0" w:color="auto"/>
                      <w:left w:val="single" w:sz="4" w:space="0" w:color="auto"/>
                      <w:bottom w:val="single" w:sz="4" w:space="0" w:color="auto"/>
                      <w:right w:val="single" w:sz="4" w:space="0" w:color="auto"/>
                    </w:tcBorders>
                    <w:vAlign w:val="center"/>
                  </w:tcPr>
                  <w:p w:rsidR="00B637B2" w:rsidRDefault="008F04CF" w:rsidP="00B637B2">
                    <w:pPr>
                      <w:jc w:val="center"/>
                      <w:rPr>
                        <w:szCs w:val="21"/>
                      </w:rPr>
                    </w:pPr>
                    <w:r>
                      <w:rPr>
                        <w:rFonts w:hint="eastAsia"/>
                        <w:szCs w:val="21"/>
                      </w:rPr>
                      <w:t>与收益相关</w:t>
                    </w:r>
                  </w:p>
                </w:tc>
              </w:tr>
            </w:sdtContent>
          </w:sdt>
          <w:sdt>
            <w:sdtPr>
              <w:rPr>
                <w:rFonts w:asciiTheme="minorHAnsi" w:eastAsiaTheme="minorEastAsia" w:hAnsiTheme="minorHAnsi" w:cstheme="minorBidi"/>
                <w:kern w:val="2"/>
                <w:szCs w:val="21"/>
              </w:rPr>
              <w:alias w:val="计入当期损益的政府补助明细"/>
              <w:tag w:val="_GBC_8d8ea3026a664e94a38609c0bcec2101"/>
              <w:id w:val="54823178"/>
              <w:lock w:val="sdtLocked"/>
            </w:sdtPr>
            <w:sdtContent>
              <w:tr w:rsidR="00B637B2" w:rsidRPr="008C59CB" w:rsidTr="00B637B2">
                <w:trPr>
                  <w:jc w:val="center"/>
                </w:trPr>
                <w:tc>
                  <w:tcPr>
                    <w:tcW w:w="1158" w:type="pct"/>
                    <w:tcBorders>
                      <w:top w:val="single" w:sz="4" w:space="0" w:color="auto"/>
                      <w:left w:val="single" w:sz="4" w:space="0" w:color="auto"/>
                      <w:bottom w:val="single" w:sz="4" w:space="0" w:color="auto"/>
                      <w:right w:val="single" w:sz="4" w:space="0" w:color="auto"/>
                    </w:tcBorders>
                    <w:vAlign w:val="center"/>
                  </w:tcPr>
                  <w:p w:rsidR="00B637B2" w:rsidRDefault="008F04CF" w:rsidP="00B637B2">
                    <w:pPr>
                      <w:rPr>
                        <w:szCs w:val="21"/>
                      </w:rPr>
                    </w:pPr>
                    <w:r>
                      <w:rPr>
                        <w:rFonts w:asciiTheme="minorHAnsi" w:eastAsiaTheme="minorEastAsia" w:hAnsiTheme="minorHAnsi" w:cstheme="minorBidi" w:hint="eastAsia"/>
                        <w:kern w:val="2"/>
                        <w:szCs w:val="21"/>
                      </w:rPr>
                      <w:t>合计</w:t>
                    </w:r>
                  </w:p>
                </w:tc>
                <w:tc>
                  <w:tcPr>
                    <w:tcW w:w="1280" w:type="pct"/>
                    <w:tcBorders>
                      <w:top w:val="single" w:sz="4" w:space="0" w:color="auto"/>
                      <w:left w:val="single" w:sz="4" w:space="0" w:color="auto"/>
                      <w:bottom w:val="single" w:sz="4" w:space="0" w:color="auto"/>
                      <w:right w:val="single" w:sz="4" w:space="0" w:color="auto"/>
                    </w:tcBorders>
                    <w:vAlign w:val="center"/>
                  </w:tcPr>
                  <w:p w:rsidR="00B637B2" w:rsidRDefault="008F04CF" w:rsidP="00B637B2">
                    <w:pPr>
                      <w:jc w:val="right"/>
                    </w:pPr>
                    <w:r w:rsidRPr="00974307">
                      <w:t>2,911,557</w:t>
                    </w:r>
                  </w:p>
                </w:tc>
                <w:tc>
                  <w:tcPr>
                    <w:tcW w:w="1280" w:type="pct"/>
                    <w:tcBorders>
                      <w:top w:val="single" w:sz="4" w:space="0" w:color="auto"/>
                      <w:left w:val="single" w:sz="4" w:space="0" w:color="auto"/>
                      <w:bottom w:val="single" w:sz="4" w:space="0" w:color="auto"/>
                      <w:right w:val="single" w:sz="4" w:space="0" w:color="auto"/>
                    </w:tcBorders>
                    <w:vAlign w:val="center"/>
                  </w:tcPr>
                  <w:p w:rsidR="00B637B2" w:rsidRDefault="008F04CF" w:rsidP="00B637B2">
                    <w:pPr>
                      <w:jc w:val="right"/>
                    </w:pPr>
                    <w:r w:rsidRPr="00974307">
                      <w:t>5,010,124</w:t>
                    </w:r>
                  </w:p>
                </w:tc>
                <w:tc>
                  <w:tcPr>
                    <w:tcW w:w="1282" w:type="pct"/>
                    <w:tcBorders>
                      <w:top w:val="single" w:sz="4" w:space="0" w:color="auto"/>
                      <w:left w:val="single" w:sz="4" w:space="0" w:color="auto"/>
                      <w:bottom w:val="single" w:sz="4" w:space="0" w:color="auto"/>
                      <w:right w:val="single" w:sz="4" w:space="0" w:color="auto"/>
                    </w:tcBorders>
                  </w:tcPr>
                  <w:p w:rsidR="00B637B2" w:rsidRDefault="008F04CF" w:rsidP="00B637B2">
                    <w:pPr>
                      <w:rPr>
                        <w:szCs w:val="21"/>
                      </w:rPr>
                    </w:pPr>
                    <w:r>
                      <w:rPr>
                        <w:rFonts w:hint="eastAsia"/>
                        <w:szCs w:val="21"/>
                      </w:rPr>
                      <w:t>/</w:t>
                    </w:r>
                  </w:p>
                </w:tc>
              </w:tr>
            </w:sdtContent>
          </w:sdt>
        </w:tbl>
        <w:p w:rsidR="00B637B2" w:rsidRDefault="00B637B2"/>
        <w:p w:rsidR="00ED2DC7" w:rsidRPr="008C59CB" w:rsidRDefault="000D0A99" w:rsidP="008C59CB"/>
      </w:sdtContent>
    </w:sdt>
    <w:p w:rsidR="00ED2DC7" w:rsidRDefault="00ED2DC7">
      <w:pPr>
        <w:rPr>
          <w:szCs w:val="21"/>
        </w:rPr>
      </w:pPr>
    </w:p>
    <w:sdt>
      <w:sdtPr>
        <w:rPr>
          <w:rFonts w:hint="eastAsia"/>
          <w:szCs w:val="21"/>
        </w:rPr>
        <w:alias w:val="模块:营业外收入说明"/>
        <w:tag w:val="_GBC_613f834d57f34b828d1fb937ee139a13"/>
        <w:id w:val="580413788"/>
        <w:lock w:val="sdtLocked"/>
        <w:placeholder>
          <w:docPart w:val="GBC22222222222222222222222222222"/>
        </w:placeholder>
      </w:sdtPr>
      <w:sdtContent>
        <w:p w:rsidR="00ED2DC7" w:rsidRDefault="00ED2DC7">
          <w:pPr>
            <w:spacing w:line="360" w:lineRule="exact"/>
            <w:rPr>
              <w:szCs w:val="21"/>
            </w:rPr>
          </w:pPr>
          <w:r>
            <w:rPr>
              <w:rFonts w:hint="eastAsia"/>
              <w:szCs w:val="21"/>
            </w:rPr>
            <w:t>其他说明：</w:t>
          </w:r>
        </w:p>
        <w:sdt>
          <w:sdtPr>
            <w:rPr>
              <w:szCs w:val="21"/>
            </w:rPr>
            <w:alias w:val="是否适用：营业外收入说明[双击切换]"/>
            <w:tag w:val="_GBC_9bd4fc9f0fcc4e85bee85b3ce60c8b2c"/>
            <w:id w:val="1782455501"/>
            <w:lock w:val="sdtContentLocked"/>
            <w:placeholder>
              <w:docPart w:val="GBC22222222222222222222222222222"/>
            </w:placeholder>
          </w:sdtPr>
          <w:sdtContent>
            <w:p w:rsidR="00ED2DC7" w:rsidRDefault="00ED2DC7" w:rsidP="00BB3393">
              <w:pPr>
                <w:rPr>
                  <w:szCs w:val="21"/>
                </w:rPr>
              </w:pPr>
              <w:r>
                <w:rPr>
                  <w:szCs w:val="21"/>
                </w:rPr>
                <w:fldChar w:fldCharType="begin"/>
              </w:r>
              <w:r w:rsidR="00BB3393">
                <w:rPr>
                  <w:szCs w:val="21"/>
                </w:rPr>
                <w:instrText xml:space="preserve"> MACROBUTTON  SnrToggleCheckbox □适用 </w:instrText>
              </w:r>
              <w:r>
                <w:rPr>
                  <w:szCs w:val="21"/>
                </w:rPr>
                <w:fldChar w:fldCharType="end"/>
              </w:r>
              <w:r>
                <w:rPr>
                  <w:szCs w:val="21"/>
                </w:rPr>
                <w:fldChar w:fldCharType="begin"/>
              </w:r>
              <w:r w:rsidR="00BB3393">
                <w:rPr>
                  <w:szCs w:val="21"/>
                </w:rPr>
                <w:instrText xml:space="preserve"> MACROBUTTON  SnrToggleCheckbox √不适用 </w:instrText>
              </w:r>
              <w:r>
                <w:rPr>
                  <w:szCs w:val="21"/>
                </w:rPr>
                <w:fldChar w:fldCharType="end"/>
              </w:r>
            </w:p>
          </w:sdtContent>
        </w:sdt>
      </w:sdtContent>
    </w:sdt>
    <w:p w:rsidR="00ED2DC7" w:rsidRDefault="00ED2DC7"/>
    <w:sdt>
      <w:sdtPr>
        <w:rPr>
          <w:rFonts w:ascii="宋体" w:hAnsi="宋体" w:cs="宋体" w:hint="eastAsia"/>
          <w:b w:val="0"/>
          <w:bCs w:val="0"/>
          <w:kern w:val="0"/>
          <w:szCs w:val="21"/>
        </w:rPr>
        <w:alias w:val="模块:营业外支出"/>
        <w:tag w:val="_GBC_7c51aa70be1f405d954dc316ed26b5b4"/>
        <w:id w:val="1677079575"/>
        <w:lock w:val="sdtLocked"/>
        <w:placeholder>
          <w:docPart w:val="GBC22222222222222222222222222222"/>
        </w:placeholder>
      </w:sdtPr>
      <w:sdtEndPr>
        <w:rPr>
          <w:rFonts w:asciiTheme="minorHAnsi" w:hAnsiTheme="minorHAnsi" w:cstheme="minorBidi"/>
        </w:rPr>
      </w:sdtEndPr>
      <w:sdtContent>
        <w:p w:rsidR="00ED2DC7" w:rsidRDefault="00ED2DC7" w:rsidP="00036BDC">
          <w:pPr>
            <w:pStyle w:val="affffffffffffffffff1"/>
            <w:numPr>
              <w:ilvl w:val="0"/>
              <w:numId w:val="49"/>
            </w:numPr>
            <w:tabs>
              <w:tab w:val="left" w:pos="504"/>
            </w:tabs>
            <w:rPr>
              <w:rFonts w:ascii="宋体" w:hAnsi="宋体"/>
              <w:szCs w:val="21"/>
            </w:rPr>
          </w:pPr>
          <w:r>
            <w:rPr>
              <w:rFonts w:ascii="宋体" w:hAnsi="宋体" w:hint="eastAsia"/>
              <w:szCs w:val="21"/>
            </w:rPr>
            <w:t>营业外支出</w:t>
          </w:r>
        </w:p>
        <w:sdt>
          <w:sdtPr>
            <w:alias w:val="是否适用：营业外支出[双击切换]"/>
            <w:tag w:val="_GBC_6d4b8ac674ce425b8c798e92aa1fe455"/>
            <w:id w:val="1060519742"/>
            <w:lock w:val="sdtContentLocked"/>
            <w:placeholder>
              <w:docPart w:val="GBC22222222222222222222222222222"/>
            </w:placeholder>
          </w:sdtPr>
          <w:sdtContent>
            <w:p w:rsidR="00ED2DC7" w:rsidRDefault="00ED2DC7">
              <w:r>
                <w:fldChar w:fldCharType="begin"/>
              </w:r>
              <w:r w:rsidR="00BB3393">
                <w:instrText xml:space="preserve"> MACROBUTTON  SnrToggleCheckbox √适用 </w:instrText>
              </w:r>
              <w:r>
                <w:fldChar w:fldCharType="end"/>
              </w:r>
              <w:r>
                <w:fldChar w:fldCharType="begin"/>
              </w:r>
              <w:r w:rsidR="00BB3393">
                <w:instrText xml:space="preserve"> MACROBUTTON  SnrToggleCheckbox □不适用 </w:instrText>
              </w:r>
              <w:r>
                <w:fldChar w:fldCharType="end"/>
              </w:r>
            </w:p>
          </w:sdtContent>
        </w:sdt>
        <w:p w:rsidR="00ED2DC7" w:rsidRDefault="00ED2DC7">
          <w:pPr>
            <w:jc w:val="right"/>
            <w:rPr>
              <w:szCs w:val="21"/>
            </w:rPr>
          </w:pPr>
          <w:r>
            <w:rPr>
              <w:rFonts w:hint="eastAsia"/>
              <w:szCs w:val="21"/>
            </w:rPr>
            <w:t>单位：</w:t>
          </w:r>
          <w:sdt>
            <w:sdtPr>
              <w:rPr>
                <w:rFonts w:hint="eastAsia"/>
                <w:szCs w:val="21"/>
              </w:rPr>
              <w:alias w:val="单位：财务附注：营业外支出"/>
              <w:tag w:val="_GBC_f8678a9a1bbf4b0697744c5d21146839"/>
              <w:id w:val="-20943828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hint="eastAsia"/>
                  <w:szCs w:val="21"/>
                </w:rPr>
                <w:t>元</w:t>
              </w:r>
            </w:sdtContent>
          </w:sdt>
          <w:r>
            <w:rPr>
              <w:rFonts w:hint="eastAsia"/>
              <w:szCs w:val="21"/>
            </w:rPr>
            <w:t xml:space="preserve">  币种：</w:t>
          </w:r>
          <w:sdt>
            <w:sdtPr>
              <w:rPr>
                <w:rFonts w:hint="eastAsia"/>
                <w:szCs w:val="21"/>
              </w:rPr>
              <w:alias w:val="币种：财务附注：营业外支出"/>
              <w:tag w:val="_GBC_61e3e82ad5404a9987623525ac03d95e"/>
              <w:id w:val="-21774950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szCs w:val="21"/>
                </w:rPr>
                <w:t>人民币</w:t>
              </w:r>
            </w:sdtContent>
          </w:sdt>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6"/>
            <w:gridCol w:w="2317"/>
            <w:gridCol w:w="2271"/>
            <w:gridCol w:w="2259"/>
          </w:tblGrid>
          <w:tr w:rsidR="003A3CDA" w:rsidTr="006A67C9">
            <w:bookmarkStart w:id="211" w:name="_Hlk16623484" w:displacedByCustomXml="next"/>
            <w:sdt>
              <w:sdtPr>
                <w:tag w:val="_PLD_6abf292cb0a7463788e39d1bdabb85fc"/>
                <w:id w:val="1415513199"/>
                <w:lock w:val="sdtLocked"/>
              </w:sdtPr>
              <w:sdtContent>
                <w:tc>
                  <w:tcPr>
                    <w:tcW w:w="1120" w:type="pct"/>
                    <w:tcBorders>
                      <w:top w:val="single" w:sz="4" w:space="0" w:color="auto"/>
                      <w:left w:val="single" w:sz="4" w:space="0" w:color="auto"/>
                      <w:bottom w:val="single" w:sz="4" w:space="0" w:color="auto"/>
                      <w:right w:val="single" w:sz="4" w:space="0" w:color="auto"/>
                    </w:tcBorders>
                    <w:vAlign w:val="center"/>
                  </w:tcPr>
                  <w:p w:rsidR="003A3CDA" w:rsidRDefault="003A3CDA" w:rsidP="006A67C9">
                    <w:pPr>
                      <w:autoSpaceDE w:val="0"/>
                      <w:autoSpaceDN w:val="0"/>
                      <w:adjustRightInd w:val="0"/>
                      <w:jc w:val="center"/>
                      <w:rPr>
                        <w:szCs w:val="21"/>
                      </w:rPr>
                    </w:pPr>
                    <w:r>
                      <w:rPr>
                        <w:rFonts w:hint="eastAsia"/>
                        <w:szCs w:val="21"/>
                      </w:rPr>
                      <w:t>项目</w:t>
                    </w:r>
                  </w:p>
                </w:tc>
              </w:sdtContent>
            </w:sdt>
            <w:sdt>
              <w:sdtPr>
                <w:tag w:val="_PLD_36a30142728e41bb9c215b73cfe3204c"/>
                <w:id w:val="1492292166"/>
                <w:lock w:val="sdtLocked"/>
              </w:sdtPr>
              <w:sdtContent>
                <w:tc>
                  <w:tcPr>
                    <w:tcW w:w="1313" w:type="pct"/>
                    <w:tcBorders>
                      <w:top w:val="single" w:sz="4" w:space="0" w:color="auto"/>
                      <w:left w:val="single" w:sz="4" w:space="0" w:color="auto"/>
                      <w:bottom w:val="single" w:sz="4" w:space="0" w:color="auto"/>
                      <w:right w:val="single" w:sz="4" w:space="0" w:color="auto"/>
                    </w:tcBorders>
                    <w:vAlign w:val="center"/>
                  </w:tcPr>
                  <w:p w:rsidR="003A3CDA" w:rsidRDefault="003A3CDA" w:rsidP="006A67C9">
                    <w:pPr>
                      <w:autoSpaceDE w:val="0"/>
                      <w:autoSpaceDN w:val="0"/>
                      <w:adjustRightInd w:val="0"/>
                      <w:jc w:val="center"/>
                      <w:rPr>
                        <w:szCs w:val="21"/>
                      </w:rPr>
                    </w:pPr>
                    <w:r>
                      <w:rPr>
                        <w:rFonts w:hint="eastAsia"/>
                        <w:szCs w:val="21"/>
                      </w:rPr>
                      <w:t>本期发生额</w:t>
                    </w:r>
                  </w:p>
                </w:tc>
              </w:sdtContent>
            </w:sdt>
            <w:sdt>
              <w:sdtPr>
                <w:tag w:val="_PLD_16b0936bf8024bdf99cf883b1827419f"/>
                <w:id w:val="-497800961"/>
                <w:lock w:val="sdtLocked"/>
              </w:sdtPr>
              <w:sdtContent>
                <w:tc>
                  <w:tcPr>
                    <w:tcW w:w="1287" w:type="pct"/>
                    <w:tcBorders>
                      <w:top w:val="single" w:sz="4" w:space="0" w:color="auto"/>
                      <w:left w:val="single" w:sz="4" w:space="0" w:color="auto"/>
                      <w:bottom w:val="single" w:sz="4" w:space="0" w:color="auto"/>
                      <w:right w:val="single" w:sz="4" w:space="0" w:color="auto"/>
                    </w:tcBorders>
                    <w:vAlign w:val="center"/>
                  </w:tcPr>
                  <w:p w:rsidR="003A3CDA" w:rsidRDefault="003A3CDA" w:rsidP="006A67C9">
                    <w:pPr>
                      <w:autoSpaceDE w:val="0"/>
                      <w:autoSpaceDN w:val="0"/>
                      <w:adjustRightInd w:val="0"/>
                      <w:jc w:val="center"/>
                      <w:rPr>
                        <w:szCs w:val="21"/>
                      </w:rPr>
                    </w:pPr>
                    <w:r>
                      <w:rPr>
                        <w:rFonts w:hint="eastAsia"/>
                        <w:szCs w:val="21"/>
                      </w:rPr>
                      <w:t>上期发生额</w:t>
                    </w:r>
                  </w:p>
                </w:tc>
              </w:sdtContent>
            </w:sdt>
            <w:sdt>
              <w:sdtPr>
                <w:tag w:val="_PLD_92014506c2824f6fbe79731f91aa61bc"/>
                <w:id w:val="527605864"/>
                <w:lock w:val="sdtLocked"/>
              </w:sdtPr>
              <w:sdtContent>
                <w:tc>
                  <w:tcPr>
                    <w:tcW w:w="1280" w:type="pct"/>
                    <w:tcBorders>
                      <w:top w:val="single" w:sz="4" w:space="0" w:color="auto"/>
                      <w:left w:val="single" w:sz="4" w:space="0" w:color="auto"/>
                      <w:bottom w:val="single" w:sz="4" w:space="0" w:color="auto"/>
                      <w:right w:val="single" w:sz="4" w:space="0" w:color="auto"/>
                    </w:tcBorders>
                    <w:vAlign w:val="center"/>
                  </w:tcPr>
                  <w:p w:rsidR="003A3CDA" w:rsidRDefault="003A3CDA" w:rsidP="006A67C9">
                    <w:pPr>
                      <w:autoSpaceDE w:val="0"/>
                      <w:autoSpaceDN w:val="0"/>
                      <w:adjustRightInd w:val="0"/>
                      <w:jc w:val="center"/>
                      <w:rPr>
                        <w:szCs w:val="21"/>
                      </w:rPr>
                    </w:pPr>
                    <w:r>
                      <w:rPr>
                        <w:rFonts w:hint="eastAsia"/>
                        <w:szCs w:val="21"/>
                      </w:rPr>
                      <w:t>计入当期非经常性损益的金额</w:t>
                    </w:r>
                  </w:p>
                </w:tc>
              </w:sdtContent>
            </w:sdt>
          </w:tr>
          <w:sdt>
            <w:sdtPr>
              <w:rPr>
                <w:rFonts w:asciiTheme="minorHAnsi" w:eastAsiaTheme="minorEastAsia" w:hAnsiTheme="minorHAnsi" w:cstheme="minorBidi" w:hint="eastAsia"/>
                <w:kern w:val="2"/>
                <w:szCs w:val="21"/>
              </w:rPr>
              <w:alias w:val="营业外支出明细"/>
              <w:tag w:val="_GBC_5b9df89383994b599a7029fc70bb3881"/>
              <w:id w:val="379440668"/>
              <w:lock w:val="sdtLocked"/>
            </w:sdtPr>
            <w:sdtContent>
              <w:tr w:rsidR="003A3CDA" w:rsidTr="00B637B2">
                <w:tc>
                  <w:tcPr>
                    <w:tcW w:w="1120" w:type="pct"/>
                    <w:tcBorders>
                      <w:top w:val="single" w:sz="4" w:space="0" w:color="auto"/>
                      <w:left w:val="single" w:sz="4" w:space="0" w:color="auto"/>
                      <w:bottom w:val="single" w:sz="4" w:space="0" w:color="auto"/>
                      <w:right w:val="single" w:sz="4" w:space="0" w:color="auto"/>
                    </w:tcBorders>
                  </w:tcPr>
                  <w:p w:rsidR="003A3CDA" w:rsidRDefault="003A3CDA" w:rsidP="006A67C9">
                    <w:pPr>
                      <w:rPr>
                        <w:szCs w:val="21"/>
                      </w:rPr>
                    </w:pPr>
                    <w:r>
                      <w:t>罚款支出</w:t>
                    </w:r>
                  </w:p>
                </w:tc>
                <w:tc>
                  <w:tcPr>
                    <w:tcW w:w="1313" w:type="pct"/>
                    <w:tcBorders>
                      <w:top w:val="single" w:sz="4" w:space="0" w:color="auto"/>
                      <w:left w:val="single" w:sz="4" w:space="0" w:color="auto"/>
                      <w:bottom w:val="single" w:sz="4" w:space="0" w:color="auto"/>
                      <w:right w:val="single" w:sz="4" w:space="0" w:color="auto"/>
                    </w:tcBorders>
                    <w:vAlign w:val="center"/>
                  </w:tcPr>
                  <w:p w:rsidR="003A3CDA" w:rsidRPr="00211B0D" w:rsidRDefault="003A3CDA" w:rsidP="00B637B2">
                    <w:pPr>
                      <w:jc w:val="right"/>
                    </w:pPr>
                    <w:r w:rsidRPr="00211B0D">
                      <w:t>15,607</w:t>
                    </w:r>
                  </w:p>
                </w:tc>
                <w:tc>
                  <w:tcPr>
                    <w:tcW w:w="1287" w:type="pct"/>
                    <w:tcBorders>
                      <w:top w:val="single" w:sz="4" w:space="0" w:color="auto"/>
                      <w:left w:val="single" w:sz="4" w:space="0" w:color="auto"/>
                      <w:bottom w:val="single" w:sz="4" w:space="0" w:color="auto"/>
                      <w:right w:val="single" w:sz="4" w:space="0" w:color="auto"/>
                    </w:tcBorders>
                    <w:vAlign w:val="center"/>
                  </w:tcPr>
                  <w:p w:rsidR="003A3CDA" w:rsidRPr="0054371C" w:rsidRDefault="003A3CDA" w:rsidP="00B637B2">
                    <w:pPr>
                      <w:jc w:val="right"/>
                    </w:pPr>
                    <w:r w:rsidRPr="0054371C">
                      <w:t>11,226</w:t>
                    </w:r>
                  </w:p>
                </w:tc>
                <w:tc>
                  <w:tcPr>
                    <w:tcW w:w="1280" w:type="pct"/>
                    <w:tcBorders>
                      <w:top w:val="single" w:sz="4" w:space="0" w:color="auto"/>
                      <w:left w:val="single" w:sz="4" w:space="0" w:color="auto"/>
                      <w:bottom w:val="single" w:sz="4" w:space="0" w:color="auto"/>
                      <w:right w:val="single" w:sz="4" w:space="0" w:color="auto"/>
                    </w:tcBorders>
                    <w:vAlign w:val="center"/>
                  </w:tcPr>
                  <w:p w:rsidR="003A3CDA" w:rsidRDefault="003A3CDA" w:rsidP="00B637B2">
                    <w:pPr>
                      <w:jc w:val="right"/>
                      <w:rPr>
                        <w:szCs w:val="21"/>
                      </w:rPr>
                    </w:pPr>
                    <w:r>
                      <w:t>15,607</w:t>
                    </w:r>
                  </w:p>
                </w:tc>
              </w:tr>
            </w:sdtContent>
          </w:sdt>
          <w:sdt>
            <w:sdtPr>
              <w:rPr>
                <w:rFonts w:asciiTheme="minorHAnsi" w:eastAsiaTheme="minorEastAsia" w:hAnsiTheme="minorHAnsi" w:cstheme="minorBidi" w:hint="eastAsia"/>
                <w:kern w:val="2"/>
                <w:szCs w:val="21"/>
              </w:rPr>
              <w:alias w:val="营业外支出明细"/>
              <w:tag w:val="_GBC_5b9df89383994b599a7029fc70bb3881"/>
              <w:id w:val="1823072633"/>
              <w:lock w:val="sdtLocked"/>
            </w:sdtPr>
            <w:sdtContent>
              <w:tr w:rsidR="003A3CDA" w:rsidTr="00B637B2">
                <w:tc>
                  <w:tcPr>
                    <w:tcW w:w="1120" w:type="pct"/>
                    <w:tcBorders>
                      <w:top w:val="single" w:sz="4" w:space="0" w:color="auto"/>
                      <w:left w:val="single" w:sz="4" w:space="0" w:color="auto"/>
                      <w:bottom w:val="single" w:sz="4" w:space="0" w:color="auto"/>
                      <w:right w:val="single" w:sz="4" w:space="0" w:color="auto"/>
                    </w:tcBorders>
                  </w:tcPr>
                  <w:p w:rsidR="003A3CDA" w:rsidRDefault="003A3CDA" w:rsidP="006A67C9">
                    <w:pPr>
                      <w:rPr>
                        <w:szCs w:val="21"/>
                      </w:rPr>
                    </w:pPr>
                    <w:r>
                      <w:t>对外捐赠</w:t>
                    </w:r>
                  </w:p>
                </w:tc>
                <w:tc>
                  <w:tcPr>
                    <w:tcW w:w="1313" w:type="pct"/>
                    <w:tcBorders>
                      <w:top w:val="single" w:sz="4" w:space="0" w:color="auto"/>
                      <w:left w:val="single" w:sz="4" w:space="0" w:color="auto"/>
                      <w:bottom w:val="single" w:sz="4" w:space="0" w:color="auto"/>
                      <w:right w:val="single" w:sz="4" w:space="0" w:color="auto"/>
                    </w:tcBorders>
                    <w:vAlign w:val="center"/>
                  </w:tcPr>
                  <w:p w:rsidR="003A3CDA" w:rsidRPr="00211B0D" w:rsidRDefault="003A3CDA" w:rsidP="00B637B2">
                    <w:pPr>
                      <w:jc w:val="right"/>
                    </w:pPr>
                    <w:r w:rsidRPr="00211B0D">
                      <w:t>1,550,000</w:t>
                    </w:r>
                  </w:p>
                </w:tc>
                <w:tc>
                  <w:tcPr>
                    <w:tcW w:w="1287" w:type="pct"/>
                    <w:tcBorders>
                      <w:top w:val="single" w:sz="4" w:space="0" w:color="auto"/>
                      <w:left w:val="single" w:sz="4" w:space="0" w:color="auto"/>
                      <w:bottom w:val="single" w:sz="4" w:space="0" w:color="auto"/>
                      <w:right w:val="single" w:sz="4" w:space="0" w:color="auto"/>
                    </w:tcBorders>
                    <w:vAlign w:val="center"/>
                  </w:tcPr>
                  <w:p w:rsidR="003A3CDA" w:rsidRPr="0054371C" w:rsidRDefault="003A3CDA" w:rsidP="00B637B2">
                    <w:pPr>
                      <w:jc w:val="right"/>
                    </w:pPr>
                    <w:r w:rsidRPr="0054371C">
                      <w:t>1,502,600</w:t>
                    </w:r>
                  </w:p>
                </w:tc>
                <w:tc>
                  <w:tcPr>
                    <w:tcW w:w="1280" w:type="pct"/>
                    <w:tcBorders>
                      <w:top w:val="single" w:sz="4" w:space="0" w:color="auto"/>
                      <w:left w:val="single" w:sz="4" w:space="0" w:color="auto"/>
                      <w:bottom w:val="single" w:sz="4" w:space="0" w:color="auto"/>
                      <w:right w:val="single" w:sz="4" w:space="0" w:color="auto"/>
                    </w:tcBorders>
                    <w:vAlign w:val="center"/>
                  </w:tcPr>
                  <w:p w:rsidR="003A3CDA" w:rsidRDefault="003A3CDA" w:rsidP="00B637B2">
                    <w:pPr>
                      <w:jc w:val="right"/>
                      <w:rPr>
                        <w:szCs w:val="21"/>
                      </w:rPr>
                    </w:pPr>
                    <w:r>
                      <w:t>1,550,000</w:t>
                    </w:r>
                  </w:p>
                </w:tc>
              </w:tr>
            </w:sdtContent>
          </w:sdt>
          <w:sdt>
            <w:sdtPr>
              <w:rPr>
                <w:rFonts w:asciiTheme="minorHAnsi" w:eastAsiaTheme="minorEastAsia" w:hAnsiTheme="minorHAnsi" w:cstheme="minorBidi" w:hint="eastAsia"/>
                <w:kern w:val="2"/>
                <w:szCs w:val="21"/>
              </w:rPr>
              <w:alias w:val="营业外支出明细"/>
              <w:tag w:val="_GBC_5b9df89383994b599a7029fc70bb3881"/>
              <w:id w:val="1494064633"/>
              <w:lock w:val="sdtLocked"/>
            </w:sdtPr>
            <w:sdtContent>
              <w:tr w:rsidR="003A3CDA" w:rsidTr="00B637B2">
                <w:tc>
                  <w:tcPr>
                    <w:tcW w:w="1120" w:type="pct"/>
                    <w:tcBorders>
                      <w:top w:val="single" w:sz="4" w:space="0" w:color="auto"/>
                      <w:left w:val="single" w:sz="4" w:space="0" w:color="auto"/>
                      <w:bottom w:val="single" w:sz="4" w:space="0" w:color="auto"/>
                      <w:right w:val="single" w:sz="4" w:space="0" w:color="auto"/>
                    </w:tcBorders>
                  </w:tcPr>
                  <w:p w:rsidR="003A3CDA" w:rsidRDefault="003A3CDA" w:rsidP="006A67C9">
                    <w:pPr>
                      <w:rPr>
                        <w:szCs w:val="21"/>
                      </w:rPr>
                    </w:pPr>
                    <w:r>
                      <w:t>盘亏损失</w:t>
                    </w:r>
                  </w:p>
                </w:tc>
                <w:tc>
                  <w:tcPr>
                    <w:tcW w:w="1313" w:type="pct"/>
                    <w:tcBorders>
                      <w:top w:val="single" w:sz="4" w:space="0" w:color="auto"/>
                      <w:left w:val="single" w:sz="4" w:space="0" w:color="auto"/>
                      <w:bottom w:val="single" w:sz="4" w:space="0" w:color="auto"/>
                      <w:right w:val="single" w:sz="4" w:space="0" w:color="auto"/>
                    </w:tcBorders>
                    <w:vAlign w:val="center"/>
                  </w:tcPr>
                  <w:p w:rsidR="003A3CDA" w:rsidRPr="00211B0D" w:rsidRDefault="003A3CDA" w:rsidP="00B637B2">
                    <w:pPr>
                      <w:jc w:val="right"/>
                    </w:pPr>
                    <w:r w:rsidRPr="00211B0D">
                      <w:t>1,314</w:t>
                    </w:r>
                  </w:p>
                </w:tc>
                <w:tc>
                  <w:tcPr>
                    <w:tcW w:w="1287" w:type="pct"/>
                    <w:tcBorders>
                      <w:top w:val="single" w:sz="4" w:space="0" w:color="auto"/>
                      <w:left w:val="single" w:sz="4" w:space="0" w:color="auto"/>
                      <w:bottom w:val="single" w:sz="4" w:space="0" w:color="auto"/>
                      <w:right w:val="single" w:sz="4" w:space="0" w:color="auto"/>
                    </w:tcBorders>
                    <w:vAlign w:val="center"/>
                  </w:tcPr>
                  <w:p w:rsidR="003A3CDA" w:rsidRPr="0054371C" w:rsidRDefault="003A3CDA" w:rsidP="00B637B2">
                    <w:pPr>
                      <w:jc w:val="right"/>
                    </w:pPr>
                    <w:r w:rsidRPr="0054371C">
                      <w:t>2,443</w:t>
                    </w:r>
                  </w:p>
                </w:tc>
                <w:tc>
                  <w:tcPr>
                    <w:tcW w:w="1280" w:type="pct"/>
                    <w:tcBorders>
                      <w:top w:val="single" w:sz="4" w:space="0" w:color="auto"/>
                      <w:left w:val="single" w:sz="4" w:space="0" w:color="auto"/>
                      <w:bottom w:val="single" w:sz="4" w:space="0" w:color="auto"/>
                      <w:right w:val="single" w:sz="4" w:space="0" w:color="auto"/>
                    </w:tcBorders>
                    <w:vAlign w:val="center"/>
                  </w:tcPr>
                  <w:p w:rsidR="003A3CDA" w:rsidRDefault="003A3CDA" w:rsidP="00B637B2">
                    <w:pPr>
                      <w:jc w:val="right"/>
                      <w:rPr>
                        <w:szCs w:val="21"/>
                      </w:rPr>
                    </w:pPr>
                    <w:r>
                      <w:t>1,314</w:t>
                    </w:r>
                  </w:p>
                </w:tc>
              </w:tr>
            </w:sdtContent>
          </w:sdt>
          <w:sdt>
            <w:sdtPr>
              <w:rPr>
                <w:rFonts w:asciiTheme="minorHAnsi" w:eastAsiaTheme="minorEastAsia" w:hAnsiTheme="minorHAnsi" w:cstheme="minorBidi" w:hint="eastAsia"/>
                <w:kern w:val="2"/>
                <w:szCs w:val="21"/>
              </w:rPr>
              <w:alias w:val="营业外支出明细"/>
              <w:tag w:val="_GBC_5b9df89383994b599a7029fc70bb3881"/>
              <w:id w:val="-853338956"/>
              <w:lock w:val="sdtLocked"/>
            </w:sdtPr>
            <w:sdtContent>
              <w:tr w:rsidR="003A3CDA" w:rsidTr="00B637B2">
                <w:tc>
                  <w:tcPr>
                    <w:tcW w:w="1120" w:type="pct"/>
                    <w:tcBorders>
                      <w:top w:val="single" w:sz="4" w:space="0" w:color="auto"/>
                      <w:left w:val="single" w:sz="4" w:space="0" w:color="auto"/>
                      <w:bottom w:val="single" w:sz="4" w:space="0" w:color="auto"/>
                      <w:right w:val="single" w:sz="4" w:space="0" w:color="auto"/>
                    </w:tcBorders>
                  </w:tcPr>
                  <w:p w:rsidR="003A3CDA" w:rsidRDefault="003A3CDA" w:rsidP="006A67C9">
                    <w:pPr>
                      <w:rPr>
                        <w:szCs w:val="21"/>
                      </w:rPr>
                    </w:pPr>
                    <w:r>
                      <w:t>其他</w:t>
                    </w:r>
                  </w:p>
                </w:tc>
                <w:tc>
                  <w:tcPr>
                    <w:tcW w:w="1313" w:type="pct"/>
                    <w:tcBorders>
                      <w:top w:val="single" w:sz="4" w:space="0" w:color="auto"/>
                      <w:left w:val="single" w:sz="4" w:space="0" w:color="auto"/>
                      <w:bottom w:val="single" w:sz="4" w:space="0" w:color="auto"/>
                      <w:right w:val="single" w:sz="4" w:space="0" w:color="auto"/>
                    </w:tcBorders>
                    <w:vAlign w:val="center"/>
                  </w:tcPr>
                  <w:p w:rsidR="003A3CDA" w:rsidRDefault="003A3CDA" w:rsidP="00B637B2">
                    <w:pPr>
                      <w:jc w:val="right"/>
                    </w:pPr>
                    <w:r w:rsidRPr="00211B0D">
                      <w:t>1,117,887</w:t>
                    </w:r>
                  </w:p>
                </w:tc>
                <w:tc>
                  <w:tcPr>
                    <w:tcW w:w="1287" w:type="pct"/>
                    <w:tcBorders>
                      <w:top w:val="single" w:sz="4" w:space="0" w:color="auto"/>
                      <w:left w:val="single" w:sz="4" w:space="0" w:color="auto"/>
                      <w:bottom w:val="single" w:sz="4" w:space="0" w:color="auto"/>
                      <w:right w:val="single" w:sz="4" w:space="0" w:color="auto"/>
                    </w:tcBorders>
                    <w:vAlign w:val="center"/>
                  </w:tcPr>
                  <w:p w:rsidR="003A3CDA" w:rsidRDefault="003A3CDA" w:rsidP="00B637B2">
                    <w:pPr>
                      <w:jc w:val="right"/>
                    </w:pPr>
                    <w:r w:rsidRPr="0054371C">
                      <w:t>1,242,813</w:t>
                    </w:r>
                  </w:p>
                </w:tc>
                <w:tc>
                  <w:tcPr>
                    <w:tcW w:w="1280" w:type="pct"/>
                    <w:tcBorders>
                      <w:top w:val="single" w:sz="4" w:space="0" w:color="auto"/>
                      <w:left w:val="single" w:sz="4" w:space="0" w:color="auto"/>
                      <w:bottom w:val="single" w:sz="4" w:space="0" w:color="auto"/>
                      <w:right w:val="single" w:sz="4" w:space="0" w:color="auto"/>
                    </w:tcBorders>
                    <w:vAlign w:val="center"/>
                  </w:tcPr>
                  <w:p w:rsidR="003A3CDA" w:rsidRDefault="003A3CDA" w:rsidP="00B637B2">
                    <w:pPr>
                      <w:jc w:val="right"/>
                      <w:rPr>
                        <w:szCs w:val="21"/>
                      </w:rPr>
                    </w:pPr>
                    <w:r>
                      <w:t>1,117,887</w:t>
                    </w:r>
                  </w:p>
                </w:tc>
              </w:tr>
            </w:sdtContent>
          </w:sdt>
          <w:tr w:rsidR="003A3CDA" w:rsidTr="006A67C9">
            <w:sdt>
              <w:sdtPr>
                <w:tag w:val="_PLD_c2b9d5e76f4549198980f8ca24fe3112"/>
                <w:id w:val="-1948001800"/>
                <w:lock w:val="sdtLocked"/>
              </w:sdtPr>
              <w:sdtContent>
                <w:tc>
                  <w:tcPr>
                    <w:tcW w:w="1120" w:type="pct"/>
                    <w:tcBorders>
                      <w:top w:val="single" w:sz="4" w:space="0" w:color="auto"/>
                      <w:left w:val="single" w:sz="4" w:space="0" w:color="auto"/>
                      <w:bottom w:val="single" w:sz="4" w:space="0" w:color="auto"/>
                      <w:right w:val="single" w:sz="4" w:space="0" w:color="auto"/>
                    </w:tcBorders>
                  </w:tcPr>
                  <w:p w:rsidR="003A3CDA" w:rsidRDefault="003A3CDA" w:rsidP="006A67C9">
                    <w:pPr>
                      <w:ind w:right="6"/>
                      <w:jc w:val="center"/>
                      <w:rPr>
                        <w:szCs w:val="21"/>
                      </w:rPr>
                    </w:pPr>
                    <w:r>
                      <w:rPr>
                        <w:rFonts w:hint="eastAsia"/>
                        <w:szCs w:val="21"/>
                      </w:rPr>
                      <w:t>合计</w:t>
                    </w:r>
                  </w:p>
                </w:tc>
              </w:sdtContent>
            </w:sdt>
            <w:tc>
              <w:tcPr>
                <w:tcW w:w="1313" w:type="pct"/>
                <w:tcBorders>
                  <w:top w:val="single" w:sz="4" w:space="0" w:color="auto"/>
                  <w:left w:val="single" w:sz="4" w:space="0" w:color="auto"/>
                  <w:bottom w:val="single" w:sz="4" w:space="0" w:color="auto"/>
                  <w:right w:val="single" w:sz="4" w:space="0" w:color="auto"/>
                </w:tcBorders>
              </w:tcPr>
              <w:p w:rsidR="003A3CDA" w:rsidRDefault="003A3CDA" w:rsidP="006A67C9">
                <w:pPr>
                  <w:jc w:val="right"/>
                  <w:rPr>
                    <w:szCs w:val="21"/>
                  </w:rPr>
                </w:pPr>
                <w:r w:rsidRPr="003A3CDA">
                  <w:rPr>
                    <w:szCs w:val="21"/>
                  </w:rPr>
                  <w:t>2,684,808</w:t>
                </w:r>
              </w:p>
            </w:tc>
            <w:tc>
              <w:tcPr>
                <w:tcW w:w="1287" w:type="pct"/>
                <w:tcBorders>
                  <w:top w:val="single" w:sz="4" w:space="0" w:color="auto"/>
                  <w:left w:val="single" w:sz="4" w:space="0" w:color="auto"/>
                  <w:bottom w:val="single" w:sz="4" w:space="0" w:color="auto"/>
                  <w:right w:val="single" w:sz="4" w:space="0" w:color="auto"/>
                </w:tcBorders>
              </w:tcPr>
              <w:p w:rsidR="003A3CDA" w:rsidRDefault="003A3CDA" w:rsidP="00B637B2">
                <w:pPr>
                  <w:jc w:val="right"/>
                  <w:rPr>
                    <w:szCs w:val="21"/>
                  </w:rPr>
                </w:pPr>
                <w:r w:rsidRPr="003A3CDA">
                  <w:rPr>
                    <w:szCs w:val="21"/>
                  </w:rPr>
                  <w:t>2,759,082</w:t>
                </w:r>
              </w:p>
            </w:tc>
            <w:tc>
              <w:tcPr>
                <w:tcW w:w="1280" w:type="pct"/>
                <w:tcBorders>
                  <w:top w:val="single" w:sz="4" w:space="0" w:color="auto"/>
                  <w:left w:val="single" w:sz="4" w:space="0" w:color="auto"/>
                  <w:bottom w:val="single" w:sz="4" w:space="0" w:color="auto"/>
                  <w:right w:val="single" w:sz="4" w:space="0" w:color="auto"/>
                </w:tcBorders>
              </w:tcPr>
              <w:p w:rsidR="003A3CDA" w:rsidRDefault="003A3CDA" w:rsidP="00B637B2">
                <w:pPr>
                  <w:autoSpaceDE w:val="0"/>
                  <w:autoSpaceDN w:val="0"/>
                  <w:adjustRightInd w:val="0"/>
                  <w:jc w:val="right"/>
                  <w:rPr>
                    <w:szCs w:val="21"/>
                  </w:rPr>
                </w:pPr>
                <w:r w:rsidRPr="003A3CDA">
                  <w:rPr>
                    <w:szCs w:val="21"/>
                  </w:rPr>
                  <w:t>2,684,808</w:t>
                </w:r>
              </w:p>
            </w:tc>
          </w:tr>
          <w:bookmarkEnd w:id="211"/>
        </w:tbl>
        <w:p w:rsidR="003A3CDA" w:rsidRDefault="003A3CDA"/>
        <w:p w:rsidR="00ED2DC7" w:rsidRDefault="00ED2DC7">
          <w:pPr>
            <w:spacing w:before="60" w:after="60"/>
            <w:rPr>
              <w:szCs w:val="21"/>
            </w:rPr>
          </w:pPr>
          <w:r>
            <w:rPr>
              <w:rFonts w:hint="eastAsia"/>
              <w:szCs w:val="21"/>
            </w:rPr>
            <w:t>其他说明：</w:t>
          </w:r>
        </w:p>
        <w:sdt>
          <w:sdtPr>
            <w:rPr>
              <w:rFonts w:hint="eastAsia"/>
              <w:szCs w:val="21"/>
            </w:rPr>
            <w:alias w:val="营业外支出说明"/>
            <w:tag w:val="_GBC_948d4d2c5cfc43b999d968de3476bc75"/>
            <w:id w:val="1650015240"/>
            <w:lock w:val="sdtLocked"/>
            <w:placeholder>
              <w:docPart w:val="GBC22222222222222222222222222222"/>
            </w:placeholder>
          </w:sdtPr>
          <w:sdtEndPr>
            <w:rPr>
              <w:rFonts w:asciiTheme="minorHAnsi" w:eastAsiaTheme="minorEastAsia" w:hAnsiTheme="minorHAnsi"/>
            </w:rPr>
          </w:sdtEndPr>
          <w:sdtContent>
            <w:p w:rsidR="00ED2DC7" w:rsidRDefault="00221B01">
              <w:pPr>
                <w:rPr>
                  <w:szCs w:val="21"/>
                </w:rPr>
              </w:pPr>
              <w:r>
                <w:rPr>
                  <w:rFonts w:hint="eastAsia"/>
                  <w:szCs w:val="21"/>
                </w:rPr>
                <w:t>无。</w:t>
              </w:r>
            </w:p>
          </w:sdtContent>
        </w:sdt>
      </w:sdtContent>
    </w:sdt>
    <w:p w:rsidR="00ED2DC7" w:rsidRDefault="00ED2DC7"/>
    <w:sdt>
      <w:sdtPr>
        <w:rPr>
          <w:rFonts w:ascii="宋体" w:hAnsi="宋体" w:cs="宋体" w:hint="eastAsia"/>
          <w:b w:val="0"/>
          <w:bCs w:val="0"/>
          <w:kern w:val="0"/>
          <w:szCs w:val="21"/>
        </w:rPr>
        <w:alias w:val="模块:所得税费用"/>
        <w:tag w:val="_GBC_c8eb4731730a4ca395e992a85b3eafe1"/>
        <w:id w:val="-1597167805"/>
        <w:lock w:val="sdtLocked"/>
        <w:placeholder>
          <w:docPart w:val="GBC22222222222222222222222222222"/>
        </w:placeholder>
      </w:sdtPr>
      <w:sdtEndPr>
        <w:rPr>
          <w:rFonts w:asciiTheme="minorHAnsi" w:hAnsiTheme="minorHAnsi" w:cstheme="minorBidi" w:hint="default"/>
        </w:rPr>
      </w:sdtEndPr>
      <w:sdtContent>
        <w:p w:rsidR="00ED2DC7" w:rsidRDefault="00ED2DC7" w:rsidP="00036BDC">
          <w:pPr>
            <w:pStyle w:val="affffffffffffffffff1"/>
            <w:numPr>
              <w:ilvl w:val="0"/>
              <w:numId w:val="49"/>
            </w:numPr>
            <w:tabs>
              <w:tab w:val="left" w:pos="504"/>
            </w:tabs>
            <w:rPr>
              <w:rFonts w:ascii="宋体" w:hAnsi="宋体"/>
              <w:szCs w:val="21"/>
            </w:rPr>
          </w:pPr>
          <w:r>
            <w:rPr>
              <w:rFonts w:ascii="宋体" w:hAnsi="宋体" w:hint="eastAsia"/>
              <w:szCs w:val="21"/>
            </w:rPr>
            <w:t>所得税费用</w:t>
          </w:r>
        </w:p>
        <w:p w:rsidR="00ED2DC7" w:rsidRDefault="00ED2DC7" w:rsidP="00036BDC">
          <w:pPr>
            <w:pStyle w:val="affffffffffffffffff2"/>
            <w:numPr>
              <w:ilvl w:val="0"/>
              <w:numId w:val="78"/>
            </w:numPr>
          </w:pPr>
          <w:r>
            <w:rPr>
              <w:rFonts w:hint="eastAsia"/>
            </w:rPr>
            <w:t>所得税费用表</w:t>
          </w:r>
        </w:p>
        <w:sdt>
          <w:sdtPr>
            <w:alias w:val="是否适用：所得税费用表[双击切换]"/>
            <w:tag w:val="_GBC_61ff35087b014685a6e03347957ab922"/>
            <w:id w:val="-1205246959"/>
            <w:lock w:val="sdtContentLocked"/>
            <w:placeholder>
              <w:docPart w:val="GBC22222222222222222222222222222"/>
            </w:placeholder>
          </w:sdtPr>
          <w:sdtContent>
            <w:p w:rsidR="00ED2DC7" w:rsidRDefault="00ED2DC7">
              <w:r>
                <w:fldChar w:fldCharType="begin"/>
              </w:r>
              <w:r w:rsidR="00BB3393">
                <w:instrText xml:space="preserve"> MACROBUTTON  SnrToggleCheckbox √适用 </w:instrText>
              </w:r>
              <w:r>
                <w:fldChar w:fldCharType="end"/>
              </w:r>
              <w:r>
                <w:fldChar w:fldCharType="begin"/>
              </w:r>
              <w:r w:rsidR="00BB3393">
                <w:instrText xml:space="preserve"> MACROBUTTON  SnrToggleCheckbox □不适用 </w:instrText>
              </w:r>
              <w:r>
                <w:fldChar w:fldCharType="end"/>
              </w:r>
            </w:p>
          </w:sdtContent>
        </w:sdt>
        <w:p w:rsidR="00ED2DC7" w:rsidRDefault="00ED2DC7">
          <w:pPr>
            <w:wordWrap w:val="0"/>
            <w:jc w:val="right"/>
            <w:rPr>
              <w:szCs w:val="21"/>
            </w:rPr>
          </w:pPr>
          <w:r>
            <w:rPr>
              <w:rFonts w:hint="eastAsia"/>
              <w:szCs w:val="21"/>
            </w:rPr>
            <w:t>单位：</w:t>
          </w:r>
          <w:sdt>
            <w:sdtPr>
              <w:rPr>
                <w:rFonts w:hint="eastAsia"/>
                <w:szCs w:val="21"/>
              </w:rPr>
              <w:alias w:val="单位：财务附注：所得税费用"/>
              <w:tag w:val="_GBC_18ed8ed511fe4791a90ee25fc956bd2b"/>
              <w:id w:val="123119616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hint="eastAsia"/>
                  <w:szCs w:val="21"/>
                </w:rPr>
                <w:t>元</w:t>
              </w:r>
            </w:sdtContent>
          </w:sdt>
          <w:r>
            <w:rPr>
              <w:rFonts w:hint="eastAsia"/>
              <w:szCs w:val="21"/>
            </w:rPr>
            <w:t xml:space="preserve">  币种：</w:t>
          </w:r>
          <w:sdt>
            <w:sdtPr>
              <w:rPr>
                <w:rFonts w:hint="eastAsia"/>
                <w:szCs w:val="21"/>
              </w:rPr>
              <w:alias w:val="币种：财务附注：所得税费用"/>
              <w:tag w:val="_GBC_ecc6df02f1744ff084d6c0d30045219a"/>
              <w:id w:val="-16170560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szCs w:val="21"/>
                </w:rPr>
                <w:t>人民币</w:t>
              </w:r>
            </w:sdtContent>
          </w:sdt>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3131"/>
            <w:gridCol w:w="2854"/>
            <w:gridCol w:w="2838"/>
          </w:tblGrid>
          <w:tr w:rsidR="00ED2DC7" w:rsidTr="00534515">
            <w:trPr>
              <w:trHeight w:val="87"/>
            </w:trPr>
            <w:bookmarkStart w:id="212" w:name="_Hlk16623528" w:displacedByCustomXml="next"/>
            <w:sdt>
              <w:sdtPr>
                <w:tag w:val="_PLD_951f380ec376457cb80126c7d6018f65"/>
                <w:id w:val="-458259514"/>
                <w:lock w:val="sdtLocked"/>
              </w:sdtPr>
              <w:sdtContent>
                <w:tc>
                  <w:tcPr>
                    <w:tcW w:w="1774" w:type="pct"/>
                    <w:vAlign w:val="center"/>
                  </w:tcPr>
                  <w:p w:rsidR="00ED2DC7" w:rsidRDefault="00ED2DC7">
                    <w:pPr>
                      <w:ind w:right="6"/>
                      <w:jc w:val="center"/>
                      <w:rPr>
                        <w:szCs w:val="21"/>
                      </w:rPr>
                    </w:pPr>
                    <w:r>
                      <w:rPr>
                        <w:rFonts w:hint="eastAsia"/>
                        <w:szCs w:val="21"/>
                      </w:rPr>
                      <w:t>项目</w:t>
                    </w:r>
                  </w:p>
                </w:tc>
              </w:sdtContent>
            </w:sdt>
            <w:sdt>
              <w:sdtPr>
                <w:tag w:val="_PLD_1e59791ce9d340b7b60e63b833f13708"/>
                <w:id w:val="-1369214763"/>
                <w:lock w:val="sdtLocked"/>
              </w:sdtPr>
              <w:sdtContent>
                <w:tc>
                  <w:tcPr>
                    <w:tcW w:w="1617" w:type="pct"/>
                    <w:vAlign w:val="center"/>
                  </w:tcPr>
                  <w:p w:rsidR="00ED2DC7" w:rsidRDefault="00ED2DC7">
                    <w:pPr>
                      <w:ind w:right="6"/>
                      <w:jc w:val="center"/>
                      <w:rPr>
                        <w:szCs w:val="21"/>
                      </w:rPr>
                    </w:pPr>
                    <w:r>
                      <w:rPr>
                        <w:rFonts w:hint="eastAsia"/>
                        <w:szCs w:val="21"/>
                      </w:rPr>
                      <w:t>本期发生额</w:t>
                    </w:r>
                  </w:p>
                </w:tc>
              </w:sdtContent>
            </w:sdt>
            <w:sdt>
              <w:sdtPr>
                <w:tag w:val="_PLD_23c0825dcbc74481a17a7811dee40e02"/>
                <w:id w:val="-296763714"/>
                <w:lock w:val="sdtLocked"/>
              </w:sdtPr>
              <w:sdtContent>
                <w:tc>
                  <w:tcPr>
                    <w:tcW w:w="1608" w:type="pct"/>
                    <w:vAlign w:val="center"/>
                  </w:tcPr>
                  <w:p w:rsidR="00ED2DC7" w:rsidRDefault="00ED2DC7">
                    <w:pPr>
                      <w:ind w:right="6"/>
                      <w:jc w:val="center"/>
                      <w:rPr>
                        <w:szCs w:val="21"/>
                      </w:rPr>
                    </w:pPr>
                    <w:r>
                      <w:rPr>
                        <w:rFonts w:hint="eastAsia"/>
                        <w:szCs w:val="21"/>
                      </w:rPr>
                      <w:t>上期发生额</w:t>
                    </w:r>
                  </w:p>
                </w:tc>
              </w:sdtContent>
            </w:sdt>
          </w:tr>
          <w:tr w:rsidR="003A3CDA" w:rsidTr="00B637B2">
            <w:sdt>
              <w:sdtPr>
                <w:tag w:val="_PLD_b39e72286fda4bb1bc103f3a09099c07"/>
                <w:id w:val="-494644493"/>
                <w:lock w:val="sdtLocked"/>
              </w:sdtPr>
              <w:sdtContent>
                <w:tc>
                  <w:tcPr>
                    <w:tcW w:w="1774" w:type="pct"/>
                  </w:tcPr>
                  <w:p w:rsidR="003A3CDA" w:rsidRDefault="003A3CDA" w:rsidP="003A3CDA">
                    <w:pPr>
                      <w:ind w:right="6"/>
                      <w:rPr>
                        <w:b/>
                        <w:bCs/>
                        <w:szCs w:val="21"/>
                      </w:rPr>
                    </w:pPr>
                    <w:r>
                      <w:rPr>
                        <w:rFonts w:hint="eastAsia"/>
                        <w:szCs w:val="21"/>
                      </w:rPr>
                      <w:t>当期所得税费用</w:t>
                    </w:r>
                  </w:p>
                </w:tc>
              </w:sdtContent>
            </w:sdt>
            <w:tc>
              <w:tcPr>
                <w:tcW w:w="1617" w:type="pct"/>
                <w:vAlign w:val="center"/>
              </w:tcPr>
              <w:p w:rsidR="003A3CDA" w:rsidRPr="002C1809" w:rsidRDefault="003A3CDA" w:rsidP="00B637B2">
                <w:pPr>
                  <w:jc w:val="right"/>
                </w:pPr>
                <w:r w:rsidRPr="002C1809">
                  <w:t>55,268,400</w:t>
                </w:r>
              </w:p>
            </w:tc>
            <w:tc>
              <w:tcPr>
                <w:tcW w:w="1608" w:type="pct"/>
                <w:vAlign w:val="center"/>
              </w:tcPr>
              <w:p w:rsidR="003A3CDA" w:rsidRPr="000C6969" w:rsidRDefault="003A3CDA" w:rsidP="00B637B2">
                <w:pPr>
                  <w:jc w:val="right"/>
                </w:pPr>
                <w:r w:rsidRPr="000C6969">
                  <w:t>87,650,186</w:t>
                </w:r>
              </w:p>
            </w:tc>
          </w:tr>
          <w:tr w:rsidR="003A3CDA" w:rsidTr="00B637B2">
            <w:sdt>
              <w:sdtPr>
                <w:tag w:val="_PLD_50b3fec6faac445b9c252906a5bcf507"/>
                <w:id w:val="2113237871"/>
                <w:lock w:val="sdtLocked"/>
              </w:sdtPr>
              <w:sdtContent>
                <w:tc>
                  <w:tcPr>
                    <w:tcW w:w="1774" w:type="pct"/>
                  </w:tcPr>
                  <w:p w:rsidR="003A3CDA" w:rsidRDefault="003A3CDA" w:rsidP="003A3CDA">
                    <w:pPr>
                      <w:ind w:right="6"/>
                      <w:rPr>
                        <w:szCs w:val="21"/>
                      </w:rPr>
                    </w:pPr>
                    <w:r>
                      <w:rPr>
                        <w:rFonts w:hint="eastAsia"/>
                        <w:szCs w:val="21"/>
                      </w:rPr>
                      <w:t>递延所得税费用</w:t>
                    </w:r>
                  </w:p>
                </w:tc>
              </w:sdtContent>
            </w:sdt>
            <w:tc>
              <w:tcPr>
                <w:tcW w:w="1617" w:type="pct"/>
                <w:vAlign w:val="center"/>
              </w:tcPr>
              <w:p w:rsidR="003A3CDA" w:rsidRDefault="003A3CDA" w:rsidP="00B637B2">
                <w:pPr>
                  <w:jc w:val="right"/>
                </w:pPr>
                <w:r w:rsidRPr="002C1809">
                  <w:t>-19,568,390</w:t>
                </w:r>
              </w:p>
            </w:tc>
            <w:tc>
              <w:tcPr>
                <w:tcW w:w="1608" w:type="pct"/>
                <w:vAlign w:val="center"/>
              </w:tcPr>
              <w:p w:rsidR="003A3CDA" w:rsidRPr="000C6969" w:rsidRDefault="003A3CDA" w:rsidP="00B637B2">
                <w:pPr>
                  <w:jc w:val="right"/>
                </w:pPr>
                <w:r w:rsidRPr="000C6969">
                  <w:t>-15,294,780</w:t>
                </w:r>
              </w:p>
            </w:tc>
          </w:tr>
          <w:tr w:rsidR="00ED2DC7" w:rsidTr="00B637B2">
            <w:sdt>
              <w:sdtPr>
                <w:tag w:val="_PLD_10ad171e28bb4cf3957eba2cca611ce8"/>
                <w:id w:val="-836682874"/>
                <w:lock w:val="sdtLocked"/>
              </w:sdtPr>
              <w:sdtContent>
                <w:tc>
                  <w:tcPr>
                    <w:tcW w:w="1774" w:type="pct"/>
                  </w:tcPr>
                  <w:p w:rsidR="00ED2DC7" w:rsidRDefault="00ED2DC7">
                    <w:pPr>
                      <w:ind w:right="6"/>
                      <w:jc w:val="center"/>
                      <w:rPr>
                        <w:szCs w:val="21"/>
                      </w:rPr>
                    </w:pPr>
                    <w:r>
                      <w:rPr>
                        <w:rFonts w:hint="eastAsia"/>
                        <w:szCs w:val="21"/>
                      </w:rPr>
                      <w:t>合计</w:t>
                    </w:r>
                  </w:p>
                </w:tc>
              </w:sdtContent>
            </w:sdt>
            <w:tc>
              <w:tcPr>
                <w:tcW w:w="1617" w:type="pct"/>
                <w:vAlign w:val="center"/>
              </w:tcPr>
              <w:p w:rsidR="00ED2DC7" w:rsidRDefault="003A3CDA" w:rsidP="00B637B2">
                <w:pPr>
                  <w:ind w:right="6"/>
                  <w:jc w:val="right"/>
                  <w:rPr>
                    <w:szCs w:val="21"/>
                  </w:rPr>
                </w:pPr>
                <w:r w:rsidRPr="003A3CDA">
                  <w:rPr>
                    <w:szCs w:val="21"/>
                  </w:rPr>
                  <w:t>35,700,010</w:t>
                </w:r>
              </w:p>
            </w:tc>
            <w:tc>
              <w:tcPr>
                <w:tcW w:w="1608" w:type="pct"/>
                <w:vAlign w:val="center"/>
              </w:tcPr>
              <w:p w:rsidR="00ED2DC7" w:rsidRDefault="003A3CDA" w:rsidP="00B637B2">
                <w:pPr>
                  <w:ind w:right="6"/>
                  <w:jc w:val="right"/>
                  <w:rPr>
                    <w:szCs w:val="21"/>
                  </w:rPr>
                </w:pPr>
                <w:r w:rsidRPr="003A3CDA">
                  <w:rPr>
                    <w:szCs w:val="21"/>
                  </w:rPr>
                  <w:t>72,355,406</w:t>
                </w:r>
              </w:p>
            </w:tc>
          </w:tr>
          <w:bookmarkEnd w:id="212"/>
        </w:tbl>
        <w:p w:rsidR="00ED2DC7" w:rsidRDefault="00ED2DC7">
          <w:pPr>
            <w:rPr>
              <w:szCs w:val="21"/>
            </w:rPr>
          </w:pPr>
        </w:p>
        <w:p w:rsidR="00ED2DC7" w:rsidRDefault="00ED2DC7" w:rsidP="00036BDC">
          <w:pPr>
            <w:pStyle w:val="affffffffffffffffff2"/>
            <w:numPr>
              <w:ilvl w:val="0"/>
              <w:numId w:val="78"/>
            </w:numPr>
            <w:rPr>
              <w:szCs w:val="21"/>
            </w:rPr>
          </w:pPr>
          <w:r>
            <w:rPr>
              <w:rFonts w:hint="eastAsia"/>
              <w:szCs w:val="21"/>
            </w:rPr>
            <w:t>会计利润与</w:t>
          </w:r>
          <w:r>
            <w:rPr>
              <w:rFonts w:hint="eastAsia"/>
            </w:rPr>
            <w:t>所得税</w:t>
          </w:r>
          <w:r>
            <w:rPr>
              <w:rFonts w:hint="eastAsia"/>
              <w:szCs w:val="21"/>
            </w:rPr>
            <w:t>费用调整过程</w:t>
          </w:r>
        </w:p>
        <w:sdt>
          <w:sdtPr>
            <w:alias w:val="是否适用：会计利润与所得税费用调整过程[双击切换]"/>
            <w:tag w:val="_GBC_92a49ce6320645cc9101c809f426c9db"/>
            <w:id w:val="-559171296"/>
            <w:lock w:val="sdtContentLocked"/>
            <w:placeholder>
              <w:docPart w:val="GBC22222222222222222222222222222"/>
            </w:placeholder>
          </w:sdtPr>
          <w:sdtContent>
            <w:p w:rsidR="00ED2DC7" w:rsidRDefault="00ED2DC7" w:rsidP="00BB3393">
              <w:pPr>
                <w:rPr>
                  <w:szCs w:val="21"/>
                </w:rPr>
              </w:pPr>
              <w:r>
                <w:fldChar w:fldCharType="begin"/>
              </w:r>
              <w:r w:rsidR="00BB3393">
                <w:instrText xml:space="preserve"> MACROBUTTON  SnrToggleCheckbox □适用 </w:instrText>
              </w:r>
              <w:r>
                <w:fldChar w:fldCharType="end"/>
              </w:r>
              <w:r>
                <w:fldChar w:fldCharType="begin"/>
              </w:r>
              <w:r w:rsidR="00BB3393">
                <w:instrText xml:space="preserve"> MACROBUTTON  SnrToggleCheckbox √不适用 </w:instrText>
              </w:r>
              <w:r>
                <w:fldChar w:fldCharType="end"/>
              </w:r>
            </w:p>
          </w:sdtContent>
        </w:sdt>
        <w:p w:rsidR="00ED2DC7" w:rsidRDefault="00ED2DC7">
          <w:pPr>
            <w:spacing w:before="60" w:after="60"/>
            <w:rPr>
              <w:szCs w:val="21"/>
            </w:rPr>
          </w:pPr>
          <w:r>
            <w:rPr>
              <w:rFonts w:hint="eastAsia"/>
              <w:szCs w:val="21"/>
            </w:rPr>
            <w:t>其他说明：</w:t>
          </w:r>
        </w:p>
        <w:sdt>
          <w:sdtPr>
            <w:rPr>
              <w:szCs w:val="21"/>
            </w:rPr>
            <w:alias w:val="是否适用：所得税费用的说明[双击切换]"/>
            <w:tag w:val="_GBC_0363d79a647b4d96aa5d7b72c93b1e45"/>
            <w:id w:val="1505011560"/>
            <w:lock w:val="sdtContentLocked"/>
            <w:placeholder>
              <w:docPart w:val="GBC22222222222222222222222222222"/>
            </w:placeholder>
          </w:sdtPr>
          <w:sdtContent>
            <w:p w:rsidR="00ED2DC7" w:rsidRDefault="00ED2DC7" w:rsidP="00BB3393">
              <w:pPr>
                <w:spacing w:before="60" w:after="60"/>
                <w:rPr>
                  <w:szCs w:val="21"/>
                </w:rPr>
              </w:pPr>
              <w:r>
                <w:rPr>
                  <w:szCs w:val="21"/>
                </w:rPr>
                <w:fldChar w:fldCharType="begin"/>
              </w:r>
              <w:r w:rsidR="00BB3393">
                <w:rPr>
                  <w:szCs w:val="21"/>
                </w:rPr>
                <w:instrText xml:space="preserve"> MACROBUTTON  SnrToggleCheckbox □适用 </w:instrText>
              </w:r>
              <w:r>
                <w:rPr>
                  <w:szCs w:val="21"/>
                </w:rPr>
                <w:fldChar w:fldCharType="end"/>
              </w:r>
              <w:r>
                <w:rPr>
                  <w:szCs w:val="21"/>
                </w:rPr>
                <w:fldChar w:fldCharType="begin"/>
              </w:r>
              <w:r w:rsidR="00BB3393">
                <w:rPr>
                  <w:szCs w:val="21"/>
                </w:rPr>
                <w:instrText xml:space="preserve"> MACROBUTTON  SnrToggleCheckbox √不适用 </w:instrText>
              </w:r>
              <w:r>
                <w:rPr>
                  <w:szCs w:val="21"/>
                </w:rPr>
                <w:fldChar w:fldCharType="end"/>
              </w:r>
            </w:p>
          </w:sdtContent>
        </w:sdt>
      </w:sdtContent>
    </w:sdt>
    <w:p w:rsidR="00ED2DC7" w:rsidRDefault="00ED2DC7">
      <w:pPr>
        <w:rPr>
          <w:b/>
        </w:rPr>
      </w:pPr>
    </w:p>
    <w:sdt>
      <w:sdtPr>
        <w:rPr>
          <w:rFonts w:ascii="宋体" w:hAnsi="宋体" w:cs="宋体" w:hint="eastAsia"/>
          <w:b w:val="0"/>
          <w:bCs w:val="0"/>
          <w:kern w:val="0"/>
          <w:szCs w:val="21"/>
        </w:rPr>
        <w:alias w:val="模块:其他综合收益"/>
        <w:tag w:val="_GBC_a490950b62a146d9901e0aeb01787f97"/>
        <w:id w:val="-2047753378"/>
        <w:lock w:val="sdtLocked"/>
        <w:placeholder>
          <w:docPart w:val="GBC22222222222222222222222222222"/>
        </w:placeholder>
      </w:sdtPr>
      <w:sdtEndPr>
        <w:rPr>
          <w:rFonts w:asciiTheme="minorHAnsi" w:eastAsiaTheme="minorEastAsia" w:hAnsiTheme="minorHAnsi"/>
        </w:rPr>
      </w:sdtEndPr>
      <w:sdtContent>
        <w:p w:rsidR="00ED2DC7" w:rsidRDefault="00ED2DC7" w:rsidP="00036BDC">
          <w:pPr>
            <w:pStyle w:val="affffffffffffffffff1"/>
            <w:numPr>
              <w:ilvl w:val="0"/>
              <w:numId w:val="49"/>
            </w:numPr>
            <w:tabs>
              <w:tab w:val="left" w:pos="504"/>
            </w:tabs>
            <w:rPr>
              <w:rFonts w:ascii="宋体" w:hAnsi="宋体"/>
              <w:szCs w:val="21"/>
            </w:rPr>
          </w:pPr>
          <w:r>
            <w:rPr>
              <w:rFonts w:ascii="宋体" w:hAnsi="宋体" w:hint="eastAsia"/>
              <w:szCs w:val="21"/>
            </w:rPr>
            <w:t>其他综合收益</w:t>
          </w:r>
        </w:p>
        <w:sdt>
          <w:sdtPr>
            <w:alias w:val="是否适用：其他综合收益[双击切换]"/>
            <w:tag w:val="_GBC_bef6c47936994e5e94c77d5dd812be30"/>
            <w:id w:val="-1875072153"/>
            <w:lock w:val="sdtContentLocked"/>
            <w:placeholder>
              <w:docPart w:val="GBC22222222222222222222222222222"/>
            </w:placeholder>
          </w:sdtPr>
          <w:sdtContent>
            <w:p w:rsidR="00ED2DC7" w:rsidRDefault="00ED2DC7">
              <w:r>
                <w:fldChar w:fldCharType="begin"/>
              </w:r>
              <w:r w:rsidR="00BB3393">
                <w:instrText xml:space="preserve"> MACROBUTTON  SnrToggleCheckbox √适用 </w:instrText>
              </w:r>
              <w:r>
                <w:fldChar w:fldCharType="end"/>
              </w:r>
              <w:r>
                <w:fldChar w:fldCharType="begin"/>
              </w:r>
              <w:r w:rsidR="00BB3393">
                <w:instrText xml:space="preserve"> MACROBUTTON  SnrToggleCheckbox □不适用 </w:instrText>
              </w:r>
              <w:r>
                <w:fldChar w:fldCharType="end"/>
              </w:r>
            </w:p>
          </w:sdtContent>
        </w:sdt>
        <w:p w:rsidR="00ED2DC7" w:rsidRDefault="000D0A99">
          <w:sdt>
            <w:sdtPr>
              <w:rPr>
                <w:rFonts w:hint="eastAsia"/>
                <w:szCs w:val="21"/>
              </w:rPr>
              <w:alias w:val="其他综合收益详见附注"/>
              <w:tag w:val="_GBC_6f59ae7e2b78472ea4fa736cbb8f062d"/>
              <w:id w:val="-162319365"/>
              <w:lock w:val="sdtLocked"/>
              <w:placeholder>
                <w:docPart w:val="GBC22222222222222222222222222222"/>
              </w:placeholder>
            </w:sdtPr>
            <w:sdtContent>
              <w:r w:rsidR="00ED2DC7">
                <w:rPr>
                  <w:rFonts w:hint="eastAsia"/>
                  <w:szCs w:val="21"/>
                </w:rPr>
                <w:t>详见附注</w:t>
              </w:r>
              <w:r w:rsidR="00162175">
                <w:rPr>
                  <w:rFonts w:hint="eastAsia"/>
                  <w:szCs w:val="21"/>
                </w:rPr>
                <w:t>七、57</w:t>
              </w:r>
            </w:sdtContent>
          </w:sdt>
        </w:p>
      </w:sdtContent>
    </w:sdt>
    <w:p w:rsidR="00ED2DC7" w:rsidRDefault="00ED2DC7"/>
    <w:p w:rsidR="00ED2DC7" w:rsidRDefault="00ED2DC7" w:rsidP="00036BDC">
      <w:pPr>
        <w:pStyle w:val="affffffffffffffffff1"/>
        <w:numPr>
          <w:ilvl w:val="0"/>
          <w:numId w:val="49"/>
        </w:numPr>
        <w:tabs>
          <w:tab w:val="left" w:pos="504"/>
        </w:tabs>
        <w:rPr>
          <w:rFonts w:ascii="宋体" w:hAnsi="宋体"/>
          <w:szCs w:val="21"/>
        </w:rPr>
      </w:pPr>
      <w:r>
        <w:rPr>
          <w:rFonts w:ascii="宋体" w:hAnsi="宋体" w:hint="eastAsia"/>
          <w:szCs w:val="21"/>
        </w:rPr>
        <w:t>现金流量表项目</w:t>
      </w:r>
    </w:p>
    <w:sdt>
      <w:sdtPr>
        <w:rPr>
          <w:rFonts w:ascii="Calibri" w:eastAsiaTheme="minorEastAsia" w:hAnsi="Calibri" w:cs="宋体" w:hint="eastAsia"/>
          <w:b w:val="0"/>
          <w:bCs w:val="0"/>
          <w:kern w:val="0"/>
          <w:sz w:val="24"/>
          <w:szCs w:val="21"/>
        </w:rPr>
        <w:alias w:val="模块:收到的其他与经营活动有关的现金"/>
        <w:tag w:val="_GBC_aebbed0d25f14d50b64339a751dec4bd"/>
        <w:id w:val="-285973876"/>
        <w:lock w:val="sdtLocked"/>
        <w:placeholder>
          <w:docPart w:val="GBC22222222222222222222222222222"/>
        </w:placeholder>
      </w:sdtPr>
      <w:sdtEndPr>
        <w:rPr>
          <w:rFonts w:asciiTheme="minorHAnsi" w:hAnsiTheme="minorHAnsi" w:cstheme="minorBidi" w:hint="default"/>
          <w:kern w:val="2"/>
          <w:sz w:val="21"/>
        </w:rPr>
      </w:sdtEndPr>
      <w:sdtContent>
        <w:p w:rsidR="00ED2DC7" w:rsidRDefault="00ED2DC7" w:rsidP="00036BDC">
          <w:pPr>
            <w:pStyle w:val="affffffffffffffffff2"/>
            <w:numPr>
              <w:ilvl w:val="0"/>
              <w:numId w:val="79"/>
            </w:numPr>
            <w:tabs>
              <w:tab w:val="left" w:pos="700"/>
            </w:tabs>
            <w:rPr>
              <w:szCs w:val="21"/>
            </w:rPr>
          </w:pPr>
          <w:r>
            <w:rPr>
              <w:rFonts w:hint="eastAsia"/>
              <w:szCs w:val="21"/>
            </w:rPr>
            <w:t>收到的其他与经营活动有关的现金</w:t>
          </w:r>
        </w:p>
        <w:sdt>
          <w:sdtPr>
            <w:alias w:val="是否适用：收到的其他与经营活动有关的现金[双击切换]"/>
            <w:tag w:val="_GBC_c5c1fd7856fd40f88e814da378eb1220"/>
            <w:id w:val="1312289287"/>
            <w:lock w:val="sdtContentLocked"/>
            <w:placeholder>
              <w:docPart w:val="GBC22222222222222222222222222222"/>
            </w:placeholder>
          </w:sdtPr>
          <w:sdtContent>
            <w:p w:rsidR="00ED2DC7" w:rsidRDefault="00ED2DC7">
              <w:r>
                <w:fldChar w:fldCharType="begin"/>
              </w:r>
              <w:r w:rsidR="00BB3393">
                <w:instrText xml:space="preserve"> MACROBUTTON  SnrToggleCheckbox √适用 </w:instrText>
              </w:r>
              <w:r>
                <w:fldChar w:fldCharType="end"/>
              </w:r>
              <w:r>
                <w:fldChar w:fldCharType="begin"/>
              </w:r>
              <w:r w:rsidR="00BB3393">
                <w:instrText xml:space="preserve"> MACROBUTTON  SnrToggleCheckbox □不适用 </w:instrText>
              </w:r>
              <w:r>
                <w:fldChar w:fldCharType="end"/>
              </w:r>
            </w:p>
          </w:sdtContent>
        </w:sdt>
        <w:p w:rsidR="00ED2DC7" w:rsidRDefault="00ED2DC7">
          <w:pPr>
            <w:jc w:val="right"/>
            <w:rPr>
              <w:szCs w:val="21"/>
            </w:rPr>
          </w:pPr>
          <w:r>
            <w:rPr>
              <w:rFonts w:hint="eastAsia"/>
              <w:szCs w:val="21"/>
            </w:rPr>
            <w:t>单位：</w:t>
          </w:r>
          <w:sdt>
            <w:sdtPr>
              <w:rPr>
                <w:rFonts w:hint="eastAsia"/>
                <w:szCs w:val="21"/>
              </w:rPr>
              <w:alias w:val="单位：财务附注：收到的其他与经营活动有关的现金"/>
              <w:tag w:val="_GBC_5ccae82b68484e708f12fda90762616a"/>
              <w:id w:val="18469007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hint="eastAsia"/>
                  <w:szCs w:val="21"/>
                </w:rPr>
                <w:t>元</w:t>
              </w:r>
            </w:sdtContent>
          </w:sdt>
          <w:r>
            <w:rPr>
              <w:rFonts w:hint="eastAsia"/>
              <w:szCs w:val="21"/>
            </w:rPr>
            <w:t xml:space="preserve">  币种：</w:t>
          </w:r>
          <w:sdt>
            <w:sdtPr>
              <w:rPr>
                <w:rFonts w:hint="eastAsia"/>
                <w:szCs w:val="21"/>
              </w:rPr>
              <w:alias w:val="币种：财务附注：收到的其他与经营活动有关的现金"/>
              <w:tag w:val="_GBC_fab1e143b1314991a3aebb857ed68a09"/>
              <w:id w:val="18895375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szCs w:val="21"/>
                </w:rPr>
                <w:t>人民币</w:t>
              </w:r>
            </w:sdtContent>
          </w:sdt>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321"/>
            <w:gridCol w:w="2756"/>
            <w:gridCol w:w="2746"/>
          </w:tblGrid>
          <w:tr w:rsidR="00370E99" w:rsidTr="006A67C9">
            <w:bookmarkStart w:id="213" w:name="_Hlk16623671" w:displacedByCustomXml="next"/>
            <w:sdt>
              <w:sdtPr>
                <w:tag w:val="_PLD_37a08d49f8e14506929ae8c9544c259e"/>
                <w:id w:val="-877855517"/>
                <w:lock w:val="sdtLocked"/>
              </w:sdtPr>
              <w:sdtContent>
                <w:tc>
                  <w:tcPr>
                    <w:tcW w:w="1882" w:type="pct"/>
                  </w:tcPr>
                  <w:p w:rsidR="00370E99" w:rsidRDefault="00370E99" w:rsidP="006A67C9">
                    <w:pPr>
                      <w:autoSpaceDE w:val="0"/>
                      <w:autoSpaceDN w:val="0"/>
                      <w:adjustRightInd w:val="0"/>
                      <w:snapToGrid w:val="0"/>
                      <w:spacing w:line="240" w:lineRule="atLeast"/>
                      <w:jc w:val="center"/>
                      <w:rPr>
                        <w:szCs w:val="21"/>
                      </w:rPr>
                    </w:pPr>
                    <w:r>
                      <w:rPr>
                        <w:rFonts w:hint="eastAsia"/>
                        <w:szCs w:val="21"/>
                      </w:rPr>
                      <w:t>项目</w:t>
                    </w:r>
                  </w:p>
                </w:tc>
              </w:sdtContent>
            </w:sdt>
            <w:sdt>
              <w:sdtPr>
                <w:tag w:val="_PLD_f6cb8d17057e4de79000a7b7c263b07e"/>
                <w:id w:val="-212887837"/>
                <w:lock w:val="sdtLocked"/>
              </w:sdtPr>
              <w:sdtContent>
                <w:tc>
                  <w:tcPr>
                    <w:tcW w:w="1562" w:type="pct"/>
                  </w:tcPr>
                  <w:p w:rsidR="00370E99" w:rsidRDefault="00370E99" w:rsidP="006A67C9">
                    <w:pPr>
                      <w:autoSpaceDE w:val="0"/>
                      <w:autoSpaceDN w:val="0"/>
                      <w:adjustRightInd w:val="0"/>
                      <w:snapToGrid w:val="0"/>
                      <w:spacing w:line="240" w:lineRule="atLeast"/>
                      <w:jc w:val="center"/>
                      <w:rPr>
                        <w:szCs w:val="21"/>
                      </w:rPr>
                    </w:pPr>
                    <w:r>
                      <w:rPr>
                        <w:rFonts w:hint="eastAsia"/>
                      </w:rPr>
                      <w:t>本期发生额</w:t>
                    </w:r>
                  </w:p>
                </w:tc>
              </w:sdtContent>
            </w:sdt>
            <w:sdt>
              <w:sdtPr>
                <w:tag w:val="_PLD_28d6db3ec51c43eb8751b53e93c8f270"/>
                <w:id w:val="-613979441"/>
                <w:lock w:val="sdtLocked"/>
              </w:sdtPr>
              <w:sdtContent>
                <w:tc>
                  <w:tcPr>
                    <w:tcW w:w="1556" w:type="pct"/>
                  </w:tcPr>
                  <w:p w:rsidR="00370E99" w:rsidRDefault="00370E99" w:rsidP="006A67C9">
                    <w:pPr>
                      <w:autoSpaceDE w:val="0"/>
                      <w:autoSpaceDN w:val="0"/>
                      <w:adjustRightInd w:val="0"/>
                      <w:snapToGrid w:val="0"/>
                      <w:spacing w:line="240" w:lineRule="atLeast"/>
                      <w:jc w:val="center"/>
                      <w:rPr>
                        <w:szCs w:val="21"/>
                      </w:rPr>
                    </w:pPr>
                    <w:r>
                      <w:rPr>
                        <w:rFonts w:hint="eastAsia"/>
                      </w:rPr>
                      <w:t>上期发生额</w:t>
                    </w:r>
                  </w:p>
                </w:tc>
              </w:sdtContent>
            </w:sdt>
          </w:tr>
          <w:sdt>
            <w:sdtPr>
              <w:rPr>
                <w:rFonts w:asciiTheme="minorHAnsi" w:eastAsiaTheme="minorEastAsia" w:hAnsiTheme="minorHAnsi" w:cstheme="minorBidi" w:hint="eastAsia"/>
                <w:kern w:val="2"/>
                <w:szCs w:val="21"/>
              </w:rPr>
              <w:alias w:val="收到的其他与经营活动有关的现金明细"/>
              <w:tag w:val="_GBC_339bc885f058400ca0c6b375c3f5b0d5"/>
              <w:id w:val="-245806728"/>
              <w:lock w:val="sdtLocked"/>
            </w:sdtPr>
            <w:sdtContent>
              <w:tr w:rsidR="00370E99" w:rsidTr="00B637B2">
                <w:tc>
                  <w:tcPr>
                    <w:tcW w:w="1882" w:type="pct"/>
                  </w:tcPr>
                  <w:p w:rsidR="00370E99" w:rsidRDefault="00370E99" w:rsidP="006A67C9">
                    <w:pPr>
                      <w:autoSpaceDE w:val="0"/>
                      <w:autoSpaceDN w:val="0"/>
                      <w:adjustRightInd w:val="0"/>
                      <w:snapToGrid w:val="0"/>
                      <w:spacing w:line="240" w:lineRule="atLeast"/>
                      <w:rPr>
                        <w:szCs w:val="21"/>
                      </w:rPr>
                    </w:pPr>
                    <w:r>
                      <w:t>政府补贴款</w:t>
                    </w:r>
                  </w:p>
                </w:tc>
                <w:tc>
                  <w:tcPr>
                    <w:tcW w:w="1562" w:type="pct"/>
                    <w:vAlign w:val="center"/>
                  </w:tcPr>
                  <w:p w:rsidR="00370E99" w:rsidRPr="00DA1A62" w:rsidRDefault="00370E99" w:rsidP="00B637B2">
                    <w:pPr>
                      <w:jc w:val="right"/>
                    </w:pPr>
                    <w:r w:rsidRPr="00DA1A62">
                      <w:t>18,770,000</w:t>
                    </w:r>
                  </w:p>
                </w:tc>
                <w:tc>
                  <w:tcPr>
                    <w:tcW w:w="1556" w:type="pct"/>
                    <w:vAlign w:val="center"/>
                  </w:tcPr>
                  <w:p w:rsidR="00370E99" w:rsidRDefault="00370E99" w:rsidP="00B637B2">
                    <w:pPr>
                      <w:jc w:val="right"/>
                      <w:rPr>
                        <w:szCs w:val="21"/>
                      </w:rPr>
                    </w:pPr>
                    <w:r>
                      <w:t>5,299,079</w:t>
                    </w:r>
                  </w:p>
                </w:tc>
              </w:tr>
            </w:sdtContent>
          </w:sdt>
          <w:sdt>
            <w:sdtPr>
              <w:rPr>
                <w:rFonts w:asciiTheme="minorHAnsi" w:eastAsiaTheme="minorEastAsia" w:hAnsiTheme="minorHAnsi" w:cstheme="minorBidi" w:hint="eastAsia"/>
                <w:kern w:val="2"/>
                <w:szCs w:val="21"/>
              </w:rPr>
              <w:alias w:val="收到的其他与经营活动有关的现金明细"/>
              <w:tag w:val="_GBC_339bc885f058400ca0c6b375c3f5b0d5"/>
              <w:id w:val="-648751728"/>
              <w:lock w:val="sdtLocked"/>
            </w:sdtPr>
            <w:sdtContent>
              <w:tr w:rsidR="00370E99" w:rsidTr="00B637B2">
                <w:tc>
                  <w:tcPr>
                    <w:tcW w:w="1882" w:type="pct"/>
                  </w:tcPr>
                  <w:p w:rsidR="00370E99" w:rsidRDefault="00370E99" w:rsidP="006A67C9">
                    <w:pPr>
                      <w:autoSpaceDE w:val="0"/>
                      <w:autoSpaceDN w:val="0"/>
                      <w:adjustRightInd w:val="0"/>
                      <w:snapToGrid w:val="0"/>
                      <w:spacing w:line="240" w:lineRule="atLeast"/>
                      <w:rPr>
                        <w:szCs w:val="21"/>
                      </w:rPr>
                    </w:pPr>
                    <w:r>
                      <w:t>其他营业收入</w:t>
                    </w:r>
                  </w:p>
                </w:tc>
                <w:tc>
                  <w:tcPr>
                    <w:tcW w:w="1562" w:type="pct"/>
                    <w:vAlign w:val="center"/>
                  </w:tcPr>
                  <w:p w:rsidR="00370E99" w:rsidRPr="00DA1A62" w:rsidRDefault="00370E99" w:rsidP="00B637B2">
                    <w:pPr>
                      <w:jc w:val="right"/>
                    </w:pPr>
                    <w:r w:rsidRPr="00DA1A62">
                      <w:t>124,881,242</w:t>
                    </w:r>
                  </w:p>
                </w:tc>
                <w:tc>
                  <w:tcPr>
                    <w:tcW w:w="1556" w:type="pct"/>
                    <w:vAlign w:val="center"/>
                  </w:tcPr>
                  <w:p w:rsidR="00370E99" w:rsidRDefault="00370E99" w:rsidP="00B637B2">
                    <w:pPr>
                      <w:jc w:val="right"/>
                      <w:rPr>
                        <w:szCs w:val="21"/>
                      </w:rPr>
                    </w:pPr>
                    <w:r>
                      <w:t>120,931,932</w:t>
                    </w:r>
                  </w:p>
                </w:tc>
              </w:tr>
            </w:sdtContent>
          </w:sdt>
          <w:sdt>
            <w:sdtPr>
              <w:rPr>
                <w:rFonts w:asciiTheme="minorHAnsi" w:eastAsiaTheme="minorEastAsia" w:hAnsiTheme="minorHAnsi" w:cstheme="minorBidi" w:hint="eastAsia"/>
                <w:kern w:val="2"/>
                <w:szCs w:val="21"/>
              </w:rPr>
              <w:alias w:val="收到的其他与经营活动有关的现金明细"/>
              <w:tag w:val="_GBC_339bc885f058400ca0c6b375c3f5b0d5"/>
              <w:id w:val="-1256437837"/>
              <w:lock w:val="sdtLocked"/>
            </w:sdtPr>
            <w:sdtContent>
              <w:tr w:rsidR="00370E99" w:rsidTr="00B637B2">
                <w:tc>
                  <w:tcPr>
                    <w:tcW w:w="1882" w:type="pct"/>
                  </w:tcPr>
                  <w:p w:rsidR="00370E99" w:rsidRDefault="00370E99" w:rsidP="006A67C9">
                    <w:pPr>
                      <w:autoSpaceDE w:val="0"/>
                      <w:autoSpaceDN w:val="0"/>
                      <w:adjustRightInd w:val="0"/>
                      <w:snapToGrid w:val="0"/>
                      <w:spacing w:line="240" w:lineRule="atLeast"/>
                      <w:rPr>
                        <w:szCs w:val="21"/>
                      </w:rPr>
                    </w:pPr>
                    <w:r>
                      <w:t>其他</w:t>
                    </w:r>
                  </w:p>
                </w:tc>
                <w:tc>
                  <w:tcPr>
                    <w:tcW w:w="1562" w:type="pct"/>
                    <w:vAlign w:val="center"/>
                  </w:tcPr>
                  <w:p w:rsidR="00370E99" w:rsidRDefault="00370E99" w:rsidP="00B637B2">
                    <w:pPr>
                      <w:jc w:val="right"/>
                    </w:pPr>
                    <w:r w:rsidRPr="00DA1A62">
                      <w:t>54,547,101</w:t>
                    </w:r>
                  </w:p>
                </w:tc>
                <w:tc>
                  <w:tcPr>
                    <w:tcW w:w="1556" w:type="pct"/>
                    <w:vAlign w:val="center"/>
                  </w:tcPr>
                  <w:p w:rsidR="00370E99" w:rsidRDefault="00370E99" w:rsidP="00B637B2">
                    <w:pPr>
                      <w:jc w:val="right"/>
                      <w:rPr>
                        <w:szCs w:val="21"/>
                      </w:rPr>
                    </w:pPr>
                    <w:r>
                      <w:t>16,625,794</w:t>
                    </w:r>
                  </w:p>
                </w:tc>
              </w:tr>
            </w:sdtContent>
          </w:sdt>
          <w:tr w:rsidR="00370E99" w:rsidTr="00B637B2">
            <w:sdt>
              <w:sdtPr>
                <w:tag w:val="_PLD_68684c586fce4c6e95f718cded68b47c"/>
                <w:id w:val="-231389967"/>
                <w:lock w:val="sdtLocked"/>
              </w:sdtPr>
              <w:sdtContent>
                <w:tc>
                  <w:tcPr>
                    <w:tcW w:w="1882" w:type="pct"/>
                  </w:tcPr>
                  <w:p w:rsidR="00370E99" w:rsidRDefault="00370E99" w:rsidP="006A67C9">
                    <w:pPr>
                      <w:autoSpaceDE w:val="0"/>
                      <w:autoSpaceDN w:val="0"/>
                      <w:adjustRightInd w:val="0"/>
                      <w:snapToGrid w:val="0"/>
                      <w:spacing w:line="240" w:lineRule="atLeast"/>
                      <w:jc w:val="center"/>
                      <w:rPr>
                        <w:szCs w:val="21"/>
                      </w:rPr>
                    </w:pPr>
                    <w:r>
                      <w:rPr>
                        <w:rFonts w:hint="eastAsia"/>
                        <w:szCs w:val="21"/>
                      </w:rPr>
                      <w:t>合计</w:t>
                    </w:r>
                  </w:p>
                </w:tc>
              </w:sdtContent>
            </w:sdt>
            <w:tc>
              <w:tcPr>
                <w:tcW w:w="1562" w:type="pct"/>
                <w:vAlign w:val="center"/>
              </w:tcPr>
              <w:p w:rsidR="00370E99" w:rsidRPr="00731C20" w:rsidRDefault="00370E99" w:rsidP="00B637B2">
                <w:pPr>
                  <w:jc w:val="right"/>
                </w:pPr>
                <w:r w:rsidRPr="00370E99">
                  <w:t>198,198,343</w:t>
                </w:r>
              </w:p>
            </w:tc>
            <w:tc>
              <w:tcPr>
                <w:tcW w:w="1556" w:type="pct"/>
                <w:vAlign w:val="center"/>
              </w:tcPr>
              <w:p w:rsidR="00370E99" w:rsidRDefault="00370E99" w:rsidP="00B637B2">
                <w:pPr>
                  <w:jc w:val="right"/>
                  <w:rPr>
                    <w:szCs w:val="21"/>
                  </w:rPr>
                </w:pPr>
                <w:r w:rsidRPr="00370E99">
                  <w:rPr>
                    <w:szCs w:val="21"/>
                  </w:rPr>
                  <w:t>142,856,805</w:t>
                </w:r>
              </w:p>
            </w:tc>
          </w:tr>
        </w:tbl>
        <w:bookmarkEnd w:id="213"/>
        <w:p w:rsidR="00ED2DC7" w:rsidRDefault="00ED2DC7">
          <w:pPr>
            <w:snapToGrid w:val="0"/>
            <w:spacing w:before="60" w:after="60" w:line="240" w:lineRule="atLeast"/>
            <w:rPr>
              <w:szCs w:val="21"/>
            </w:rPr>
          </w:pPr>
          <w:r>
            <w:rPr>
              <w:rFonts w:hint="eastAsia"/>
              <w:szCs w:val="21"/>
            </w:rPr>
            <w:t>收到的其他与经营活动有关的现金说明：</w:t>
          </w:r>
        </w:p>
        <w:sdt>
          <w:sdtPr>
            <w:rPr>
              <w:szCs w:val="21"/>
            </w:rPr>
            <w:alias w:val="收到的其他与经营活动有关的现金说明"/>
            <w:tag w:val="_GBC_1204b17e37bf4cc187a1ffb6f9463f05"/>
            <w:id w:val="926995813"/>
            <w:lock w:val="sdtLocked"/>
            <w:placeholder>
              <w:docPart w:val="GBC22222222222222222222222222222"/>
            </w:placeholder>
          </w:sdtPr>
          <w:sdtContent>
            <w:p w:rsidR="00ED2DC7" w:rsidRDefault="00BB3393">
              <w:pPr>
                <w:rPr>
                  <w:szCs w:val="21"/>
                </w:rPr>
              </w:pPr>
              <w:r>
                <w:rPr>
                  <w:rFonts w:hint="eastAsia"/>
                  <w:szCs w:val="21"/>
                </w:rPr>
                <w:t>无。</w:t>
              </w:r>
            </w:p>
          </w:sdtContent>
        </w:sdt>
      </w:sdtContent>
    </w:sdt>
    <w:p w:rsidR="00ED2DC7" w:rsidRDefault="00ED2DC7">
      <w:pPr>
        <w:rPr>
          <w:szCs w:val="21"/>
        </w:rPr>
      </w:pPr>
    </w:p>
    <w:sdt>
      <w:sdtPr>
        <w:rPr>
          <w:rFonts w:ascii="宋体" w:eastAsiaTheme="minorEastAsia" w:hAnsi="宋体" w:cs="宋体" w:hint="eastAsia"/>
          <w:b w:val="0"/>
          <w:bCs w:val="0"/>
          <w:kern w:val="0"/>
          <w:sz w:val="24"/>
          <w:szCs w:val="21"/>
        </w:rPr>
        <w:alias w:val="模块:支付的其他与经营活动有关的现金"/>
        <w:tag w:val="_GBC_3c8453861c4b4e94956633ec6c228388"/>
        <w:id w:val="696282053"/>
        <w:lock w:val="sdtLocked"/>
        <w:placeholder>
          <w:docPart w:val="GBC22222222222222222222222222222"/>
        </w:placeholder>
      </w:sdtPr>
      <w:sdtEndPr>
        <w:rPr>
          <w:rFonts w:asciiTheme="minorHAnsi" w:hAnsiTheme="minorHAnsi" w:cstheme="minorBidi"/>
          <w:kern w:val="2"/>
          <w:sz w:val="21"/>
        </w:rPr>
      </w:sdtEndPr>
      <w:sdtContent>
        <w:p w:rsidR="00ED2DC7" w:rsidRDefault="00ED2DC7" w:rsidP="00036BDC">
          <w:pPr>
            <w:pStyle w:val="affffffffffffffffff2"/>
            <w:numPr>
              <w:ilvl w:val="0"/>
              <w:numId w:val="79"/>
            </w:numPr>
            <w:tabs>
              <w:tab w:val="left" w:pos="700"/>
            </w:tabs>
            <w:rPr>
              <w:szCs w:val="21"/>
            </w:rPr>
          </w:pPr>
          <w:r>
            <w:rPr>
              <w:rFonts w:hint="eastAsia"/>
              <w:szCs w:val="21"/>
            </w:rPr>
            <w:t>支付的其他与经营活动有关的现金</w:t>
          </w:r>
        </w:p>
        <w:sdt>
          <w:sdtPr>
            <w:alias w:val="是否适用：支付的其他与经营活动有关的现金[双击切换]"/>
            <w:tag w:val="_GBC_73331002c48743d9a4438c6eb4a07c95"/>
            <w:id w:val="-275563404"/>
            <w:lock w:val="sdtContentLocked"/>
            <w:placeholder>
              <w:docPart w:val="GBC22222222222222222222222222222"/>
            </w:placeholder>
          </w:sdtPr>
          <w:sdtContent>
            <w:p w:rsidR="00ED2DC7" w:rsidRDefault="00ED2DC7">
              <w:r>
                <w:fldChar w:fldCharType="begin"/>
              </w:r>
              <w:r w:rsidR="00BB3393">
                <w:instrText xml:space="preserve"> MACROBUTTON  SnrToggleCheckbox √适用 </w:instrText>
              </w:r>
              <w:r>
                <w:fldChar w:fldCharType="end"/>
              </w:r>
              <w:r>
                <w:fldChar w:fldCharType="begin"/>
              </w:r>
              <w:r w:rsidR="00BB3393">
                <w:instrText xml:space="preserve"> MACROBUTTON  SnrToggleCheckbox □不适用 </w:instrText>
              </w:r>
              <w:r>
                <w:fldChar w:fldCharType="end"/>
              </w:r>
            </w:p>
          </w:sdtContent>
        </w:sdt>
        <w:p w:rsidR="00ED2DC7" w:rsidRDefault="00ED2DC7">
          <w:pPr>
            <w:jc w:val="right"/>
            <w:rPr>
              <w:szCs w:val="21"/>
            </w:rPr>
          </w:pPr>
          <w:r>
            <w:rPr>
              <w:rFonts w:hint="eastAsia"/>
              <w:szCs w:val="21"/>
            </w:rPr>
            <w:t>单位：</w:t>
          </w:r>
          <w:sdt>
            <w:sdtPr>
              <w:rPr>
                <w:rFonts w:hint="eastAsia"/>
                <w:szCs w:val="21"/>
              </w:rPr>
              <w:alias w:val="单位：财务附注：支付的其他与经营活动有关的现金"/>
              <w:tag w:val="_GBC_8252d4ac9be64f04b08b1dc08e270310"/>
              <w:id w:val="19998508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hint="eastAsia"/>
                  <w:szCs w:val="21"/>
                </w:rPr>
                <w:t>元</w:t>
              </w:r>
            </w:sdtContent>
          </w:sdt>
          <w:r>
            <w:rPr>
              <w:rFonts w:hint="eastAsia"/>
              <w:szCs w:val="21"/>
            </w:rPr>
            <w:t xml:space="preserve">  币种：</w:t>
          </w:r>
          <w:sdt>
            <w:sdtPr>
              <w:rPr>
                <w:rFonts w:hint="eastAsia"/>
                <w:szCs w:val="21"/>
              </w:rPr>
              <w:alias w:val="币种：财务附注：支付的其他与经营活动有关的现金"/>
              <w:tag w:val="_GBC_37de812db19b41c8a01d10d8b0365268"/>
              <w:id w:val="-10998711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szCs w:val="21"/>
                </w:rPr>
                <w:t>人民币</w:t>
              </w:r>
            </w:sdtContent>
          </w:sdt>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321"/>
            <w:gridCol w:w="2737"/>
            <w:gridCol w:w="2765"/>
          </w:tblGrid>
          <w:tr w:rsidR="00370E99" w:rsidTr="006A67C9">
            <w:bookmarkStart w:id="214" w:name="_Hlk16623767" w:displacedByCustomXml="next"/>
            <w:sdt>
              <w:sdtPr>
                <w:tag w:val="_PLD_164da6d2b96e42688b06fe557d996ac2"/>
                <w:id w:val="160519492"/>
                <w:lock w:val="sdtLocked"/>
              </w:sdtPr>
              <w:sdtContent>
                <w:tc>
                  <w:tcPr>
                    <w:tcW w:w="1882" w:type="pct"/>
                  </w:tcPr>
                  <w:p w:rsidR="00370E99" w:rsidRDefault="00370E99" w:rsidP="006A67C9">
                    <w:pPr>
                      <w:autoSpaceDE w:val="0"/>
                      <w:autoSpaceDN w:val="0"/>
                      <w:adjustRightInd w:val="0"/>
                      <w:snapToGrid w:val="0"/>
                      <w:jc w:val="center"/>
                      <w:rPr>
                        <w:szCs w:val="21"/>
                      </w:rPr>
                    </w:pPr>
                    <w:r>
                      <w:rPr>
                        <w:rFonts w:hint="eastAsia"/>
                        <w:szCs w:val="21"/>
                      </w:rPr>
                      <w:t>项目</w:t>
                    </w:r>
                  </w:p>
                </w:tc>
              </w:sdtContent>
            </w:sdt>
            <w:sdt>
              <w:sdtPr>
                <w:tag w:val="_PLD_69d21b5f023448adbd8c69a7e96e585d"/>
                <w:id w:val="1826314537"/>
                <w:lock w:val="sdtLocked"/>
              </w:sdtPr>
              <w:sdtContent>
                <w:tc>
                  <w:tcPr>
                    <w:tcW w:w="1551" w:type="pct"/>
                  </w:tcPr>
                  <w:p w:rsidR="00370E99" w:rsidRDefault="00370E99" w:rsidP="006A67C9">
                    <w:pPr>
                      <w:autoSpaceDE w:val="0"/>
                      <w:autoSpaceDN w:val="0"/>
                      <w:adjustRightInd w:val="0"/>
                      <w:snapToGrid w:val="0"/>
                      <w:jc w:val="center"/>
                      <w:rPr>
                        <w:szCs w:val="21"/>
                      </w:rPr>
                    </w:pPr>
                    <w:r>
                      <w:rPr>
                        <w:rFonts w:hint="eastAsia"/>
                      </w:rPr>
                      <w:t>本期发生额</w:t>
                    </w:r>
                  </w:p>
                </w:tc>
              </w:sdtContent>
            </w:sdt>
            <w:sdt>
              <w:sdtPr>
                <w:tag w:val="_PLD_fccf4811cdbb443297a0ce875715525f"/>
                <w:id w:val="-896361540"/>
                <w:lock w:val="sdtLocked"/>
              </w:sdtPr>
              <w:sdtContent>
                <w:tc>
                  <w:tcPr>
                    <w:tcW w:w="1567" w:type="pct"/>
                  </w:tcPr>
                  <w:p w:rsidR="00370E99" w:rsidRDefault="00370E99" w:rsidP="006A67C9">
                    <w:pPr>
                      <w:autoSpaceDE w:val="0"/>
                      <w:autoSpaceDN w:val="0"/>
                      <w:adjustRightInd w:val="0"/>
                      <w:snapToGrid w:val="0"/>
                      <w:jc w:val="center"/>
                      <w:rPr>
                        <w:szCs w:val="21"/>
                      </w:rPr>
                    </w:pPr>
                    <w:r>
                      <w:rPr>
                        <w:rFonts w:hint="eastAsia"/>
                      </w:rPr>
                      <w:t>上期发生额</w:t>
                    </w:r>
                  </w:p>
                </w:tc>
              </w:sdtContent>
            </w:sdt>
          </w:tr>
          <w:sdt>
            <w:sdtPr>
              <w:rPr>
                <w:rFonts w:asciiTheme="minorHAnsi" w:eastAsiaTheme="minorEastAsia" w:hAnsiTheme="minorHAnsi" w:cstheme="minorBidi" w:hint="eastAsia"/>
                <w:kern w:val="2"/>
                <w:szCs w:val="21"/>
              </w:rPr>
              <w:alias w:val="支付的其他与经营活动有关的现金明细"/>
              <w:tag w:val="_GBC_9880266c0e6f4e6b92c7692ef64ec140"/>
              <w:id w:val="-853340926"/>
              <w:lock w:val="sdtLocked"/>
            </w:sdtPr>
            <w:sdtContent>
              <w:tr w:rsidR="00370E99" w:rsidTr="00B637B2">
                <w:tc>
                  <w:tcPr>
                    <w:tcW w:w="1882" w:type="pct"/>
                  </w:tcPr>
                  <w:p w:rsidR="00370E99" w:rsidRDefault="00370E99" w:rsidP="006A67C9">
                    <w:pPr>
                      <w:autoSpaceDE w:val="0"/>
                      <w:autoSpaceDN w:val="0"/>
                      <w:adjustRightInd w:val="0"/>
                      <w:snapToGrid w:val="0"/>
                      <w:rPr>
                        <w:szCs w:val="21"/>
                      </w:rPr>
                    </w:pPr>
                    <w:r>
                      <w:t>差旅费</w:t>
                    </w:r>
                  </w:p>
                </w:tc>
                <w:tc>
                  <w:tcPr>
                    <w:tcW w:w="1551" w:type="pct"/>
                    <w:vAlign w:val="center"/>
                  </w:tcPr>
                  <w:p w:rsidR="00370E99" w:rsidRPr="005308C0" w:rsidRDefault="00370E99" w:rsidP="00B637B2">
                    <w:pPr>
                      <w:jc w:val="right"/>
                    </w:pPr>
                    <w:r w:rsidRPr="005308C0">
                      <w:t>61,759,703</w:t>
                    </w:r>
                  </w:p>
                </w:tc>
                <w:tc>
                  <w:tcPr>
                    <w:tcW w:w="1567" w:type="pct"/>
                    <w:vAlign w:val="center"/>
                  </w:tcPr>
                  <w:p w:rsidR="00370E99" w:rsidRDefault="00370E99" w:rsidP="00B637B2">
                    <w:pPr>
                      <w:jc w:val="right"/>
                      <w:rPr>
                        <w:szCs w:val="21"/>
                      </w:rPr>
                    </w:pPr>
                    <w:r>
                      <w:t>59,496,573</w:t>
                    </w:r>
                  </w:p>
                </w:tc>
              </w:tr>
            </w:sdtContent>
          </w:sdt>
          <w:sdt>
            <w:sdtPr>
              <w:rPr>
                <w:rFonts w:asciiTheme="minorHAnsi" w:eastAsiaTheme="minorEastAsia" w:hAnsiTheme="minorHAnsi" w:cstheme="minorBidi" w:hint="eastAsia"/>
                <w:kern w:val="2"/>
                <w:szCs w:val="21"/>
              </w:rPr>
              <w:alias w:val="支付的其他与经营活动有关的现金明细"/>
              <w:tag w:val="_GBC_9880266c0e6f4e6b92c7692ef64ec140"/>
              <w:id w:val="1666359831"/>
              <w:lock w:val="sdtLocked"/>
            </w:sdtPr>
            <w:sdtContent>
              <w:tr w:rsidR="00370E99" w:rsidTr="00B637B2">
                <w:tc>
                  <w:tcPr>
                    <w:tcW w:w="1882" w:type="pct"/>
                  </w:tcPr>
                  <w:p w:rsidR="00370E99" w:rsidRDefault="00370E99" w:rsidP="006A67C9">
                    <w:pPr>
                      <w:autoSpaceDE w:val="0"/>
                      <w:autoSpaceDN w:val="0"/>
                      <w:adjustRightInd w:val="0"/>
                      <w:snapToGrid w:val="0"/>
                      <w:rPr>
                        <w:szCs w:val="21"/>
                      </w:rPr>
                    </w:pPr>
                    <w:r>
                      <w:t>业务宣传费</w:t>
                    </w:r>
                  </w:p>
                </w:tc>
                <w:tc>
                  <w:tcPr>
                    <w:tcW w:w="1551" w:type="pct"/>
                    <w:vAlign w:val="center"/>
                  </w:tcPr>
                  <w:p w:rsidR="00370E99" w:rsidRPr="005308C0" w:rsidRDefault="00370E99" w:rsidP="00B637B2">
                    <w:pPr>
                      <w:jc w:val="right"/>
                    </w:pPr>
                    <w:r w:rsidRPr="005308C0">
                      <w:t>56,361,179</w:t>
                    </w:r>
                  </w:p>
                </w:tc>
                <w:tc>
                  <w:tcPr>
                    <w:tcW w:w="1567" w:type="pct"/>
                    <w:vAlign w:val="center"/>
                  </w:tcPr>
                  <w:p w:rsidR="00370E99" w:rsidRDefault="00370E99" w:rsidP="00B637B2">
                    <w:pPr>
                      <w:jc w:val="right"/>
                      <w:rPr>
                        <w:szCs w:val="21"/>
                      </w:rPr>
                    </w:pPr>
                    <w:r>
                      <w:t>56,559,612</w:t>
                    </w:r>
                  </w:p>
                </w:tc>
              </w:tr>
            </w:sdtContent>
          </w:sdt>
          <w:sdt>
            <w:sdtPr>
              <w:rPr>
                <w:rFonts w:asciiTheme="minorHAnsi" w:eastAsiaTheme="minorEastAsia" w:hAnsiTheme="minorHAnsi" w:cstheme="minorBidi" w:hint="eastAsia"/>
                <w:kern w:val="2"/>
                <w:szCs w:val="21"/>
              </w:rPr>
              <w:alias w:val="支付的其他与经营活动有关的现金明细"/>
              <w:tag w:val="_GBC_9880266c0e6f4e6b92c7692ef64ec140"/>
              <w:id w:val="-1160614709"/>
              <w:lock w:val="sdtLocked"/>
            </w:sdtPr>
            <w:sdtContent>
              <w:tr w:rsidR="00370E99" w:rsidTr="00B637B2">
                <w:tc>
                  <w:tcPr>
                    <w:tcW w:w="1882" w:type="pct"/>
                  </w:tcPr>
                  <w:p w:rsidR="00370E99" w:rsidRDefault="00370E99" w:rsidP="006A67C9">
                    <w:pPr>
                      <w:autoSpaceDE w:val="0"/>
                      <w:autoSpaceDN w:val="0"/>
                      <w:adjustRightInd w:val="0"/>
                      <w:snapToGrid w:val="0"/>
                      <w:rPr>
                        <w:szCs w:val="21"/>
                      </w:rPr>
                    </w:pPr>
                    <w:r>
                      <w:t>租赁费及物业管理费</w:t>
                    </w:r>
                  </w:p>
                </w:tc>
                <w:tc>
                  <w:tcPr>
                    <w:tcW w:w="1551" w:type="pct"/>
                    <w:vAlign w:val="center"/>
                  </w:tcPr>
                  <w:p w:rsidR="00370E99" w:rsidRPr="005308C0" w:rsidRDefault="00370E99" w:rsidP="00B637B2">
                    <w:pPr>
                      <w:jc w:val="right"/>
                    </w:pPr>
                    <w:r w:rsidRPr="005308C0">
                      <w:t>120,414,886</w:t>
                    </w:r>
                  </w:p>
                </w:tc>
                <w:tc>
                  <w:tcPr>
                    <w:tcW w:w="1567" w:type="pct"/>
                    <w:vAlign w:val="center"/>
                  </w:tcPr>
                  <w:p w:rsidR="00370E99" w:rsidRDefault="00370E99" w:rsidP="00B637B2">
                    <w:pPr>
                      <w:jc w:val="right"/>
                      <w:rPr>
                        <w:szCs w:val="21"/>
                      </w:rPr>
                    </w:pPr>
                    <w:r>
                      <w:t>95,167,834</w:t>
                    </w:r>
                  </w:p>
                </w:tc>
              </w:tr>
            </w:sdtContent>
          </w:sdt>
          <w:sdt>
            <w:sdtPr>
              <w:rPr>
                <w:rFonts w:asciiTheme="minorHAnsi" w:eastAsiaTheme="minorEastAsia" w:hAnsiTheme="minorHAnsi" w:cstheme="minorBidi" w:hint="eastAsia"/>
                <w:kern w:val="2"/>
                <w:szCs w:val="21"/>
              </w:rPr>
              <w:alias w:val="支付的其他与经营活动有关的现金明细"/>
              <w:tag w:val="_GBC_9880266c0e6f4e6b92c7692ef64ec140"/>
              <w:id w:val="290407481"/>
              <w:lock w:val="sdtLocked"/>
            </w:sdtPr>
            <w:sdtContent>
              <w:tr w:rsidR="00370E99" w:rsidTr="00B637B2">
                <w:tc>
                  <w:tcPr>
                    <w:tcW w:w="1882" w:type="pct"/>
                  </w:tcPr>
                  <w:p w:rsidR="00370E99" w:rsidRDefault="00370E99" w:rsidP="006A67C9">
                    <w:pPr>
                      <w:autoSpaceDE w:val="0"/>
                      <w:autoSpaceDN w:val="0"/>
                      <w:adjustRightInd w:val="0"/>
                      <w:snapToGrid w:val="0"/>
                      <w:rPr>
                        <w:szCs w:val="21"/>
                      </w:rPr>
                    </w:pPr>
                    <w:r>
                      <w:t>业务招待费</w:t>
                    </w:r>
                  </w:p>
                </w:tc>
                <w:tc>
                  <w:tcPr>
                    <w:tcW w:w="1551" w:type="pct"/>
                    <w:vAlign w:val="center"/>
                  </w:tcPr>
                  <w:p w:rsidR="00370E99" w:rsidRPr="005308C0" w:rsidRDefault="00370E99" w:rsidP="00B637B2">
                    <w:pPr>
                      <w:jc w:val="right"/>
                    </w:pPr>
                    <w:r w:rsidRPr="005308C0">
                      <w:t>42,272,660</w:t>
                    </w:r>
                  </w:p>
                </w:tc>
                <w:tc>
                  <w:tcPr>
                    <w:tcW w:w="1567" w:type="pct"/>
                    <w:vAlign w:val="center"/>
                  </w:tcPr>
                  <w:p w:rsidR="00370E99" w:rsidRDefault="00370E99" w:rsidP="00B637B2">
                    <w:pPr>
                      <w:jc w:val="right"/>
                      <w:rPr>
                        <w:szCs w:val="21"/>
                      </w:rPr>
                    </w:pPr>
                    <w:r>
                      <w:t>37,985,630</w:t>
                    </w:r>
                  </w:p>
                </w:tc>
              </w:tr>
            </w:sdtContent>
          </w:sdt>
          <w:sdt>
            <w:sdtPr>
              <w:rPr>
                <w:rFonts w:asciiTheme="minorHAnsi" w:eastAsiaTheme="minorEastAsia" w:hAnsiTheme="minorHAnsi" w:cstheme="minorBidi" w:hint="eastAsia"/>
                <w:kern w:val="2"/>
                <w:szCs w:val="21"/>
              </w:rPr>
              <w:alias w:val="支付的其他与经营活动有关的现金明细"/>
              <w:tag w:val="_GBC_9880266c0e6f4e6b92c7692ef64ec140"/>
              <w:id w:val="-2016989960"/>
              <w:lock w:val="sdtLocked"/>
            </w:sdtPr>
            <w:sdtContent>
              <w:tr w:rsidR="00370E99" w:rsidTr="00B637B2">
                <w:tc>
                  <w:tcPr>
                    <w:tcW w:w="1882" w:type="pct"/>
                  </w:tcPr>
                  <w:p w:rsidR="00370E99" w:rsidRDefault="00370E99" w:rsidP="006A67C9">
                    <w:pPr>
                      <w:autoSpaceDE w:val="0"/>
                      <w:autoSpaceDN w:val="0"/>
                      <w:adjustRightInd w:val="0"/>
                      <w:snapToGrid w:val="0"/>
                      <w:rPr>
                        <w:szCs w:val="21"/>
                      </w:rPr>
                    </w:pPr>
                    <w:r>
                      <w:t>咨询服务费</w:t>
                    </w:r>
                  </w:p>
                </w:tc>
                <w:tc>
                  <w:tcPr>
                    <w:tcW w:w="1551" w:type="pct"/>
                    <w:vAlign w:val="center"/>
                  </w:tcPr>
                  <w:p w:rsidR="00370E99" w:rsidRPr="005308C0" w:rsidRDefault="00370E99" w:rsidP="00B637B2">
                    <w:pPr>
                      <w:jc w:val="right"/>
                    </w:pPr>
                    <w:r w:rsidRPr="005308C0">
                      <w:t>60,505,841</w:t>
                    </w:r>
                  </w:p>
                </w:tc>
                <w:tc>
                  <w:tcPr>
                    <w:tcW w:w="1567" w:type="pct"/>
                    <w:vAlign w:val="center"/>
                  </w:tcPr>
                  <w:p w:rsidR="00370E99" w:rsidRDefault="00370E99" w:rsidP="00B637B2">
                    <w:pPr>
                      <w:jc w:val="right"/>
                      <w:rPr>
                        <w:szCs w:val="21"/>
                      </w:rPr>
                    </w:pPr>
                    <w:r>
                      <w:t>59,217,512</w:t>
                    </w:r>
                  </w:p>
                </w:tc>
              </w:tr>
            </w:sdtContent>
          </w:sdt>
          <w:sdt>
            <w:sdtPr>
              <w:rPr>
                <w:rFonts w:asciiTheme="minorHAnsi" w:eastAsiaTheme="minorEastAsia" w:hAnsiTheme="minorHAnsi" w:cstheme="minorBidi" w:hint="eastAsia"/>
                <w:kern w:val="2"/>
                <w:szCs w:val="21"/>
              </w:rPr>
              <w:alias w:val="支付的其他与经营活动有关的现金明细"/>
              <w:tag w:val="_GBC_9880266c0e6f4e6b92c7692ef64ec140"/>
              <w:id w:val="-2013367186"/>
              <w:lock w:val="sdtLocked"/>
            </w:sdtPr>
            <w:sdtContent>
              <w:tr w:rsidR="00370E99" w:rsidTr="00B637B2">
                <w:tc>
                  <w:tcPr>
                    <w:tcW w:w="1882" w:type="pct"/>
                  </w:tcPr>
                  <w:p w:rsidR="00370E99" w:rsidRDefault="00370E99" w:rsidP="006A67C9">
                    <w:pPr>
                      <w:autoSpaceDE w:val="0"/>
                      <w:autoSpaceDN w:val="0"/>
                      <w:adjustRightInd w:val="0"/>
                      <w:snapToGrid w:val="0"/>
                      <w:rPr>
                        <w:szCs w:val="21"/>
                      </w:rPr>
                    </w:pPr>
                    <w:r>
                      <w:t>其他</w:t>
                    </w:r>
                  </w:p>
                </w:tc>
                <w:tc>
                  <w:tcPr>
                    <w:tcW w:w="1551" w:type="pct"/>
                    <w:vAlign w:val="center"/>
                  </w:tcPr>
                  <w:p w:rsidR="00370E99" w:rsidRDefault="00370E99" w:rsidP="00B637B2">
                    <w:pPr>
                      <w:jc w:val="right"/>
                    </w:pPr>
                    <w:r w:rsidRPr="005308C0">
                      <w:t>330,003,328</w:t>
                    </w:r>
                  </w:p>
                </w:tc>
                <w:tc>
                  <w:tcPr>
                    <w:tcW w:w="1567" w:type="pct"/>
                    <w:vAlign w:val="center"/>
                  </w:tcPr>
                  <w:p w:rsidR="00370E99" w:rsidRDefault="00370E99" w:rsidP="00B637B2">
                    <w:pPr>
                      <w:jc w:val="right"/>
                      <w:rPr>
                        <w:szCs w:val="21"/>
                      </w:rPr>
                    </w:pPr>
                    <w:r>
                      <w:t>178,043,095</w:t>
                    </w:r>
                  </w:p>
                </w:tc>
              </w:tr>
            </w:sdtContent>
          </w:sdt>
          <w:tr w:rsidR="00370E99" w:rsidTr="006A67C9">
            <w:sdt>
              <w:sdtPr>
                <w:tag w:val="_PLD_4b68c0729f8e49a4ac82fb1d64daa6dc"/>
                <w:id w:val="-195782604"/>
                <w:lock w:val="sdtLocked"/>
              </w:sdtPr>
              <w:sdtContent>
                <w:tc>
                  <w:tcPr>
                    <w:tcW w:w="1882" w:type="pct"/>
                  </w:tcPr>
                  <w:p w:rsidR="00370E99" w:rsidRDefault="00370E99" w:rsidP="006A67C9">
                    <w:pPr>
                      <w:autoSpaceDE w:val="0"/>
                      <w:autoSpaceDN w:val="0"/>
                      <w:adjustRightInd w:val="0"/>
                      <w:snapToGrid w:val="0"/>
                      <w:jc w:val="center"/>
                      <w:rPr>
                        <w:szCs w:val="21"/>
                      </w:rPr>
                    </w:pPr>
                    <w:r>
                      <w:rPr>
                        <w:rFonts w:hint="eastAsia"/>
                        <w:szCs w:val="21"/>
                      </w:rPr>
                      <w:t>合计</w:t>
                    </w:r>
                  </w:p>
                </w:tc>
              </w:sdtContent>
            </w:sdt>
            <w:tc>
              <w:tcPr>
                <w:tcW w:w="1551" w:type="pct"/>
              </w:tcPr>
              <w:p w:rsidR="00370E99" w:rsidRDefault="00370E99" w:rsidP="006A67C9">
                <w:pPr>
                  <w:jc w:val="right"/>
                  <w:rPr>
                    <w:szCs w:val="21"/>
                  </w:rPr>
                </w:pPr>
                <w:r w:rsidRPr="00370E99">
                  <w:rPr>
                    <w:szCs w:val="21"/>
                  </w:rPr>
                  <w:t>671,317,597</w:t>
                </w:r>
              </w:p>
            </w:tc>
            <w:tc>
              <w:tcPr>
                <w:tcW w:w="1567" w:type="pct"/>
              </w:tcPr>
              <w:p w:rsidR="00370E99" w:rsidRDefault="00370E99" w:rsidP="006A67C9">
                <w:pPr>
                  <w:jc w:val="right"/>
                  <w:rPr>
                    <w:szCs w:val="21"/>
                  </w:rPr>
                </w:pPr>
                <w:r w:rsidRPr="00370E99">
                  <w:rPr>
                    <w:szCs w:val="21"/>
                  </w:rPr>
                  <w:t>486,470,256</w:t>
                </w:r>
              </w:p>
            </w:tc>
          </w:tr>
          <w:bookmarkEnd w:id="214"/>
        </w:tbl>
        <w:p w:rsidR="00370E99" w:rsidRDefault="00370E99"/>
        <w:p w:rsidR="00ED2DC7" w:rsidRDefault="00ED2DC7">
          <w:pPr>
            <w:spacing w:before="60" w:after="60"/>
            <w:rPr>
              <w:szCs w:val="21"/>
            </w:rPr>
          </w:pPr>
          <w:r>
            <w:rPr>
              <w:rFonts w:hint="eastAsia"/>
              <w:szCs w:val="21"/>
            </w:rPr>
            <w:t>支付的其他与经营活动有关的现金说明：</w:t>
          </w:r>
        </w:p>
        <w:sdt>
          <w:sdtPr>
            <w:rPr>
              <w:rFonts w:hint="eastAsia"/>
              <w:szCs w:val="21"/>
            </w:rPr>
            <w:alias w:val="支付的其他与经营活动有关的现金说明"/>
            <w:tag w:val="_GBC_632dc3caefd547b5b57f9340a021af22"/>
            <w:id w:val="1556586420"/>
            <w:lock w:val="sdtLocked"/>
            <w:placeholder>
              <w:docPart w:val="GBC22222222222222222222222222222"/>
            </w:placeholder>
          </w:sdtPr>
          <w:sdtContent>
            <w:p w:rsidR="00ED2DC7" w:rsidRDefault="00BB3393">
              <w:pPr>
                <w:ind w:right="5"/>
                <w:rPr>
                  <w:szCs w:val="21"/>
                </w:rPr>
              </w:pPr>
              <w:r>
                <w:rPr>
                  <w:rFonts w:hint="eastAsia"/>
                  <w:szCs w:val="21"/>
                </w:rPr>
                <w:t>无。</w:t>
              </w:r>
            </w:p>
          </w:sdtContent>
        </w:sdt>
      </w:sdtContent>
    </w:sdt>
    <w:p w:rsidR="00ED2DC7" w:rsidRDefault="00ED2DC7">
      <w:pPr>
        <w:spacing w:line="360" w:lineRule="exact"/>
        <w:ind w:right="5"/>
        <w:rPr>
          <w:szCs w:val="21"/>
        </w:rPr>
      </w:pPr>
    </w:p>
    <w:sdt>
      <w:sdtPr>
        <w:rPr>
          <w:rFonts w:ascii="宋体" w:eastAsiaTheme="minorEastAsia" w:hAnsi="宋体" w:cs="宋体" w:hint="eastAsia"/>
          <w:b w:val="0"/>
          <w:bCs w:val="0"/>
          <w:kern w:val="0"/>
          <w:sz w:val="24"/>
          <w:szCs w:val="21"/>
        </w:rPr>
        <w:alias w:val="模块:收到的其他与投资活动有关的现金"/>
        <w:tag w:val="_GBC_7d29c8348da547cab82786074f1b3249"/>
        <w:id w:val="1548329628"/>
        <w:lock w:val="sdtLocked"/>
        <w:placeholder>
          <w:docPart w:val="GBC22222222222222222222222222222"/>
        </w:placeholder>
      </w:sdtPr>
      <w:sdtEndPr>
        <w:rPr>
          <w:rFonts w:asciiTheme="minorHAnsi" w:hAnsiTheme="minorHAnsi" w:cstheme="minorBidi" w:hint="default"/>
          <w:kern w:val="2"/>
          <w:sz w:val="21"/>
        </w:rPr>
      </w:sdtEndPr>
      <w:sdtContent>
        <w:p w:rsidR="00ED2DC7" w:rsidRDefault="00ED2DC7" w:rsidP="00036BDC">
          <w:pPr>
            <w:pStyle w:val="affffffffffffffffff2"/>
            <w:numPr>
              <w:ilvl w:val="0"/>
              <w:numId w:val="79"/>
            </w:numPr>
            <w:tabs>
              <w:tab w:val="left" w:pos="728"/>
            </w:tabs>
            <w:rPr>
              <w:rFonts w:ascii="宋体" w:hAnsi="宋体"/>
              <w:szCs w:val="21"/>
            </w:rPr>
          </w:pPr>
          <w:r>
            <w:rPr>
              <w:rFonts w:ascii="宋体" w:hAnsi="宋体" w:hint="eastAsia"/>
              <w:szCs w:val="21"/>
            </w:rPr>
            <w:t>收到的其他与投资活动有关的现金</w:t>
          </w:r>
        </w:p>
        <w:sdt>
          <w:sdtPr>
            <w:alias w:val="是否适用：收到的其他与投资活动有关的现金[双击切换]"/>
            <w:tag w:val="_GBC_ae3b1cf9e3aa408a8867e76d71769712"/>
            <w:id w:val="-1235161467"/>
            <w:lock w:val="sdtContentLocked"/>
            <w:placeholder>
              <w:docPart w:val="GBC22222222222222222222222222222"/>
            </w:placeholder>
          </w:sdtPr>
          <w:sdtContent>
            <w:p w:rsidR="00ED2DC7" w:rsidRDefault="00ED2DC7">
              <w:r>
                <w:fldChar w:fldCharType="begin"/>
              </w:r>
              <w:r w:rsidR="00BB3393">
                <w:instrText xml:space="preserve"> MACROBUTTON  SnrToggleCheckbox √适用 </w:instrText>
              </w:r>
              <w:r>
                <w:fldChar w:fldCharType="end"/>
              </w:r>
              <w:r>
                <w:fldChar w:fldCharType="begin"/>
              </w:r>
              <w:r w:rsidR="00BB3393">
                <w:instrText xml:space="preserve"> MACROBUTTON  SnrToggleCheckbox □不适用 </w:instrText>
              </w:r>
              <w:r>
                <w:fldChar w:fldCharType="end"/>
              </w:r>
            </w:p>
          </w:sdtContent>
        </w:sdt>
        <w:p w:rsidR="00ED2DC7" w:rsidRDefault="00ED2DC7">
          <w:pPr>
            <w:jc w:val="right"/>
            <w:rPr>
              <w:szCs w:val="21"/>
            </w:rPr>
          </w:pPr>
          <w:r>
            <w:rPr>
              <w:rFonts w:hint="eastAsia"/>
              <w:szCs w:val="21"/>
            </w:rPr>
            <w:t>单位：</w:t>
          </w:r>
          <w:sdt>
            <w:sdtPr>
              <w:rPr>
                <w:rFonts w:hint="eastAsia"/>
                <w:szCs w:val="21"/>
              </w:rPr>
              <w:alias w:val="单位：财务附注：收到的其他与投资活动有关的现金"/>
              <w:tag w:val="_GBC_864c08420ed74aa18dcf838d10153475"/>
              <w:id w:val="-90499300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hint="eastAsia"/>
                  <w:szCs w:val="21"/>
                </w:rPr>
                <w:t>元</w:t>
              </w:r>
            </w:sdtContent>
          </w:sdt>
          <w:r>
            <w:rPr>
              <w:rFonts w:hint="eastAsia"/>
              <w:szCs w:val="21"/>
            </w:rPr>
            <w:t xml:space="preserve">  币种:</w:t>
          </w:r>
          <w:sdt>
            <w:sdtPr>
              <w:rPr>
                <w:rFonts w:hint="eastAsia"/>
                <w:szCs w:val="21"/>
              </w:rPr>
              <w:alias w:val="币种：财务附注：收到的其他与投资活动有关的现金"/>
              <w:tag w:val="_GBC_557bfe9cc4b045ff8684fc828911efc1"/>
              <w:id w:val="169418912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szCs w:val="21"/>
                </w:rPr>
                <w:t>人民币</w:t>
              </w:r>
            </w:sdtContent>
          </w:sdt>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321"/>
            <w:gridCol w:w="2839"/>
            <w:gridCol w:w="2663"/>
          </w:tblGrid>
          <w:tr w:rsidR="00370E99" w:rsidTr="006A67C9">
            <w:bookmarkStart w:id="215" w:name="_Hlk16623831" w:displacedByCustomXml="next"/>
            <w:sdt>
              <w:sdtPr>
                <w:tag w:val="_PLD_fe329b3300fe449c869fda5c957ed9e6"/>
                <w:id w:val="1944876617"/>
                <w:lock w:val="sdtLocked"/>
              </w:sdtPr>
              <w:sdtContent>
                <w:tc>
                  <w:tcPr>
                    <w:tcW w:w="1882" w:type="pct"/>
                  </w:tcPr>
                  <w:p w:rsidR="00370E99" w:rsidRDefault="00370E99" w:rsidP="006A67C9">
                    <w:pPr>
                      <w:autoSpaceDE w:val="0"/>
                      <w:autoSpaceDN w:val="0"/>
                      <w:adjustRightInd w:val="0"/>
                      <w:snapToGrid w:val="0"/>
                      <w:spacing w:line="240" w:lineRule="atLeast"/>
                      <w:jc w:val="center"/>
                      <w:rPr>
                        <w:szCs w:val="21"/>
                      </w:rPr>
                    </w:pPr>
                    <w:r>
                      <w:rPr>
                        <w:rFonts w:hint="eastAsia"/>
                        <w:szCs w:val="21"/>
                      </w:rPr>
                      <w:t>项目</w:t>
                    </w:r>
                  </w:p>
                </w:tc>
              </w:sdtContent>
            </w:sdt>
            <w:sdt>
              <w:sdtPr>
                <w:tag w:val="_PLD_e828a524680d4faeb14e148b152d9982"/>
                <w:id w:val="963393612"/>
                <w:lock w:val="sdtLocked"/>
              </w:sdtPr>
              <w:sdtContent>
                <w:tc>
                  <w:tcPr>
                    <w:tcW w:w="1609" w:type="pct"/>
                  </w:tcPr>
                  <w:p w:rsidR="00370E99" w:rsidRDefault="00370E99" w:rsidP="006A67C9">
                    <w:pPr>
                      <w:autoSpaceDE w:val="0"/>
                      <w:autoSpaceDN w:val="0"/>
                      <w:adjustRightInd w:val="0"/>
                      <w:snapToGrid w:val="0"/>
                      <w:spacing w:line="240" w:lineRule="atLeast"/>
                      <w:jc w:val="center"/>
                      <w:rPr>
                        <w:szCs w:val="21"/>
                      </w:rPr>
                    </w:pPr>
                    <w:r>
                      <w:rPr>
                        <w:rFonts w:hint="eastAsia"/>
                      </w:rPr>
                      <w:t>本期发生额</w:t>
                    </w:r>
                  </w:p>
                </w:tc>
              </w:sdtContent>
            </w:sdt>
            <w:sdt>
              <w:sdtPr>
                <w:tag w:val="_PLD_a8eb20dbb1b143d399d3bde1f6e00fa3"/>
                <w:id w:val="-15087688"/>
                <w:lock w:val="sdtLocked"/>
              </w:sdtPr>
              <w:sdtContent>
                <w:tc>
                  <w:tcPr>
                    <w:tcW w:w="1509" w:type="pct"/>
                  </w:tcPr>
                  <w:p w:rsidR="00370E99" w:rsidRDefault="00370E99" w:rsidP="006A67C9">
                    <w:pPr>
                      <w:autoSpaceDE w:val="0"/>
                      <w:autoSpaceDN w:val="0"/>
                      <w:adjustRightInd w:val="0"/>
                      <w:snapToGrid w:val="0"/>
                      <w:spacing w:line="240" w:lineRule="atLeast"/>
                      <w:jc w:val="center"/>
                      <w:rPr>
                        <w:szCs w:val="21"/>
                      </w:rPr>
                    </w:pPr>
                    <w:r>
                      <w:rPr>
                        <w:rFonts w:hint="eastAsia"/>
                      </w:rPr>
                      <w:t>上期发生额</w:t>
                    </w:r>
                  </w:p>
                </w:tc>
              </w:sdtContent>
            </w:sdt>
          </w:tr>
          <w:sdt>
            <w:sdtPr>
              <w:rPr>
                <w:rFonts w:asciiTheme="minorHAnsi" w:eastAsiaTheme="minorEastAsia" w:hAnsiTheme="minorHAnsi" w:cstheme="minorBidi" w:hint="eastAsia"/>
                <w:kern w:val="2"/>
                <w:szCs w:val="21"/>
              </w:rPr>
              <w:alias w:val="收到的其他与投资活动有关的现金明细"/>
              <w:tag w:val="_GBC_e6aac5cfd8c841e780dd4702b059b16c"/>
              <w:id w:val="-1954237080"/>
              <w:lock w:val="sdtLocked"/>
            </w:sdtPr>
            <w:sdtContent>
              <w:tr w:rsidR="00370E99" w:rsidTr="00B637B2">
                <w:tc>
                  <w:tcPr>
                    <w:tcW w:w="1882" w:type="pct"/>
                  </w:tcPr>
                  <w:p w:rsidR="00370E99" w:rsidRDefault="00370E99" w:rsidP="006A67C9">
                    <w:pPr>
                      <w:autoSpaceDE w:val="0"/>
                      <w:autoSpaceDN w:val="0"/>
                      <w:adjustRightInd w:val="0"/>
                      <w:snapToGrid w:val="0"/>
                      <w:spacing w:line="240" w:lineRule="atLeast"/>
                      <w:rPr>
                        <w:szCs w:val="21"/>
                      </w:rPr>
                    </w:pPr>
                    <w:r>
                      <w:t>利息收入及金融资产的投资收益</w:t>
                    </w:r>
                  </w:p>
                </w:tc>
                <w:tc>
                  <w:tcPr>
                    <w:tcW w:w="1609" w:type="pct"/>
                    <w:vAlign w:val="center"/>
                  </w:tcPr>
                  <w:p w:rsidR="00370E99" w:rsidRDefault="00370E99" w:rsidP="00B637B2">
                    <w:pPr>
                      <w:jc w:val="right"/>
                    </w:pPr>
                    <w:r w:rsidRPr="0037403C">
                      <w:t>15,318,818</w:t>
                    </w:r>
                  </w:p>
                </w:tc>
                <w:tc>
                  <w:tcPr>
                    <w:tcW w:w="1509" w:type="pct"/>
                    <w:vAlign w:val="center"/>
                  </w:tcPr>
                  <w:p w:rsidR="00370E99" w:rsidRDefault="004307D9" w:rsidP="00B637B2">
                    <w:pPr>
                      <w:jc w:val="right"/>
                      <w:rPr>
                        <w:szCs w:val="21"/>
                      </w:rPr>
                    </w:pPr>
                    <w:r w:rsidRPr="00370E99">
                      <w:rPr>
                        <w:szCs w:val="21"/>
                      </w:rPr>
                      <w:t>51,763,492</w:t>
                    </w:r>
                  </w:p>
                </w:tc>
              </w:tr>
            </w:sdtContent>
          </w:sdt>
          <w:tr w:rsidR="00370E99" w:rsidTr="00B637B2">
            <w:sdt>
              <w:sdtPr>
                <w:tag w:val="_PLD_7a5b8e3355174a5f94c83cb81ed0821b"/>
                <w:id w:val="-1366447568"/>
                <w:lock w:val="sdtLocked"/>
              </w:sdtPr>
              <w:sdtContent>
                <w:tc>
                  <w:tcPr>
                    <w:tcW w:w="1882" w:type="pct"/>
                  </w:tcPr>
                  <w:p w:rsidR="00370E99" w:rsidRDefault="00370E99" w:rsidP="006A67C9">
                    <w:pPr>
                      <w:autoSpaceDE w:val="0"/>
                      <w:autoSpaceDN w:val="0"/>
                      <w:adjustRightInd w:val="0"/>
                      <w:snapToGrid w:val="0"/>
                      <w:spacing w:line="240" w:lineRule="atLeast"/>
                      <w:jc w:val="center"/>
                      <w:rPr>
                        <w:szCs w:val="21"/>
                      </w:rPr>
                    </w:pPr>
                    <w:r>
                      <w:rPr>
                        <w:rFonts w:hint="eastAsia"/>
                        <w:szCs w:val="21"/>
                      </w:rPr>
                      <w:t>合计</w:t>
                    </w:r>
                  </w:p>
                </w:tc>
              </w:sdtContent>
            </w:sdt>
            <w:tc>
              <w:tcPr>
                <w:tcW w:w="1609" w:type="pct"/>
                <w:vAlign w:val="center"/>
              </w:tcPr>
              <w:p w:rsidR="00370E99" w:rsidRDefault="00370E99" w:rsidP="00B637B2">
                <w:pPr>
                  <w:jc w:val="right"/>
                  <w:rPr>
                    <w:szCs w:val="21"/>
                  </w:rPr>
                </w:pPr>
                <w:r w:rsidRPr="00370E99">
                  <w:rPr>
                    <w:szCs w:val="21"/>
                  </w:rPr>
                  <w:t>15,318,818</w:t>
                </w:r>
              </w:p>
            </w:tc>
            <w:tc>
              <w:tcPr>
                <w:tcW w:w="1509" w:type="pct"/>
                <w:vAlign w:val="center"/>
              </w:tcPr>
              <w:p w:rsidR="00370E99" w:rsidRDefault="00370E99" w:rsidP="00B637B2">
                <w:pPr>
                  <w:jc w:val="right"/>
                  <w:rPr>
                    <w:szCs w:val="21"/>
                  </w:rPr>
                </w:pPr>
                <w:r w:rsidRPr="00370E99">
                  <w:rPr>
                    <w:szCs w:val="21"/>
                  </w:rPr>
                  <w:t>51,763,492</w:t>
                </w:r>
              </w:p>
            </w:tc>
          </w:tr>
          <w:bookmarkEnd w:id="215"/>
        </w:tbl>
        <w:p w:rsidR="00370E99" w:rsidRDefault="00370E99"/>
        <w:p w:rsidR="00ED2DC7" w:rsidRDefault="00ED2DC7">
          <w:pPr>
            <w:snapToGrid w:val="0"/>
            <w:spacing w:before="60" w:after="60"/>
            <w:rPr>
              <w:szCs w:val="21"/>
            </w:rPr>
          </w:pPr>
          <w:r>
            <w:rPr>
              <w:rFonts w:hint="eastAsia"/>
              <w:szCs w:val="21"/>
            </w:rPr>
            <w:t>收到的其他与投资活动有关的现金说明：</w:t>
          </w:r>
        </w:p>
        <w:sdt>
          <w:sdtPr>
            <w:rPr>
              <w:szCs w:val="21"/>
            </w:rPr>
            <w:alias w:val="收到的其他与投资活动有关的现金说明"/>
            <w:tag w:val="_GBC_10ad2bcf624d4c49924f65fcffdeebbc"/>
            <w:id w:val="1387759900"/>
            <w:lock w:val="sdtLocked"/>
            <w:placeholder>
              <w:docPart w:val="GBC22222222222222222222222222222"/>
            </w:placeholder>
          </w:sdtPr>
          <w:sdtContent>
            <w:p w:rsidR="00ED2DC7" w:rsidRDefault="00BB3393">
              <w:pPr>
                <w:snapToGrid w:val="0"/>
                <w:spacing w:line="240" w:lineRule="atLeast"/>
                <w:rPr>
                  <w:szCs w:val="21"/>
                </w:rPr>
              </w:pPr>
              <w:r>
                <w:rPr>
                  <w:rFonts w:hint="eastAsia"/>
                  <w:szCs w:val="21"/>
                </w:rPr>
                <w:t>无。</w:t>
              </w:r>
            </w:p>
          </w:sdtContent>
        </w:sdt>
      </w:sdtContent>
    </w:sdt>
    <w:p w:rsidR="00ED2DC7" w:rsidRDefault="00ED2DC7">
      <w:pPr>
        <w:rPr>
          <w:szCs w:val="21"/>
        </w:rPr>
      </w:pPr>
    </w:p>
    <w:sdt>
      <w:sdtPr>
        <w:rPr>
          <w:rFonts w:ascii="宋体" w:eastAsiaTheme="minorEastAsia" w:hAnsi="宋体" w:cs="宋体" w:hint="eastAsia"/>
          <w:b w:val="0"/>
          <w:bCs w:val="0"/>
          <w:kern w:val="0"/>
          <w:sz w:val="24"/>
          <w:szCs w:val="21"/>
        </w:rPr>
        <w:alias w:val="模块:支付的其他与投资活动有关的现金"/>
        <w:tag w:val="_GBC_fa501b3ede254af6bdfad826e328392a"/>
        <w:id w:val="630288094"/>
        <w:lock w:val="sdtLocked"/>
        <w:placeholder>
          <w:docPart w:val="GBC22222222222222222222222222222"/>
        </w:placeholder>
      </w:sdtPr>
      <w:sdtEndPr>
        <w:rPr>
          <w:rFonts w:asciiTheme="minorHAnsi" w:hAnsiTheme="minorHAnsi" w:cstheme="minorBidi"/>
          <w:kern w:val="2"/>
          <w:sz w:val="21"/>
        </w:rPr>
      </w:sdtEndPr>
      <w:sdtContent>
        <w:p w:rsidR="00ED2DC7" w:rsidRDefault="00ED2DC7" w:rsidP="00036BDC">
          <w:pPr>
            <w:pStyle w:val="affffffffffffffffff2"/>
            <w:numPr>
              <w:ilvl w:val="0"/>
              <w:numId w:val="79"/>
            </w:numPr>
            <w:tabs>
              <w:tab w:val="left" w:pos="728"/>
            </w:tabs>
            <w:rPr>
              <w:rFonts w:ascii="宋体" w:hAnsi="宋体"/>
              <w:szCs w:val="21"/>
            </w:rPr>
          </w:pPr>
          <w:r>
            <w:rPr>
              <w:rFonts w:ascii="宋体" w:hAnsi="宋体" w:hint="eastAsia"/>
              <w:szCs w:val="21"/>
            </w:rPr>
            <w:t>支付的其他与投资活动有关的现金</w:t>
          </w:r>
        </w:p>
        <w:sdt>
          <w:sdtPr>
            <w:alias w:val="是否适用：支付的其他与投资活动有关的现金[双击切换]"/>
            <w:tag w:val="_GBC_8862c0a38548482cb3b55a82757e3e33"/>
            <w:id w:val="-1982909414"/>
            <w:lock w:val="sdtContentLocked"/>
            <w:placeholder>
              <w:docPart w:val="GBC22222222222222222222222222222"/>
            </w:placeholder>
          </w:sdtPr>
          <w:sdtContent>
            <w:p w:rsidR="00BB3393" w:rsidRDefault="00ED2DC7" w:rsidP="00BB3393">
              <w:r>
                <w:fldChar w:fldCharType="begin"/>
              </w:r>
              <w:r w:rsidR="00BB3393">
                <w:instrText xml:space="preserve"> MACROBUTTON  SnrToggleCheckbox □适用 </w:instrText>
              </w:r>
              <w:r>
                <w:fldChar w:fldCharType="end"/>
              </w:r>
              <w:r>
                <w:fldChar w:fldCharType="begin"/>
              </w:r>
              <w:r w:rsidR="00BB3393">
                <w:instrText xml:space="preserve"> MACROBUTTON  SnrToggleCheckbox √不适用 </w:instrText>
              </w:r>
              <w:r>
                <w:fldChar w:fldCharType="end"/>
              </w:r>
            </w:p>
          </w:sdtContent>
        </w:sdt>
        <w:p w:rsidR="00ED2DC7" w:rsidRDefault="000D0A99">
          <w:pPr>
            <w:rPr>
              <w:szCs w:val="21"/>
            </w:rPr>
          </w:pPr>
        </w:p>
      </w:sdtContent>
    </w:sdt>
    <w:p w:rsidR="00ED2DC7" w:rsidRDefault="00ED2DC7">
      <w:pPr>
        <w:rPr>
          <w:szCs w:val="21"/>
        </w:rPr>
      </w:pPr>
    </w:p>
    <w:sdt>
      <w:sdtPr>
        <w:rPr>
          <w:rFonts w:ascii="宋体" w:eastAsiaTheme="minorEastAsia" w:hAnsi="宋体" w:cs="宋体" w:hint="eastAsia"/>
          <w:b w:val="0"/>
          <w:bCs w:val="0"/>
          <w:kern w:val="0"/>
          <w:sz w:val="24"/>
          <w:szCs w:val="21"/>
        </w:rPr>
        <w:alias w:val="模块:收到的其他与筹资活动有关的现金"/>
        <w:tag w:val="_GBC_6e57c618c25c498db37f205341e0c66a"/>
        <w:id w:val="1615784093"/>
        <w:lock w:val="sdtLocked"/>
        <w:placeholder>
          <w:docPart w:val="GBC22222222222222222222222222222"/>
        </w:placeholder>
      </w:sdtPr>
      <w:sdtEndPr>
        <w:rPr>
          <w:rFonts w:asciiTheme="minorHAnsi" w:hAnsiTheme="minorHAnsi" w:cstheme="minorBidi"/>
          <w:kern w:val="2"/>
          <w:sz w:val="21"/>
          <w:szCs w:val="22"/>
        </w:rPr>
      </w:sdtEndPr>
      <w:sdtContent>
        <w:p w:rsidR="00ED2DC7" w:rsidRDefault="00ED2DC7" w:rsidP="00036BDC">
          <w:pPr>
            <w:pStyle w:val="affffffffffffffffff2"/>
            <w:numPr>
              <w:ilvl w:val="0"/>
              <w:numId w:val="79"/>
            </w:numPr>
            <w:rPr>
              <w:szCs w:val="21"/>
            </w:rPr>
          </w:pPr>
          <w:r>
            <w:rPr>
              <w:rFonts w:hint="eastAsia"/>
              <w:szCs w:val="21"/>
            </w:rPr>
            <w:t>收到的</w:t>
          </w:r>
          <w:r>
            <w:rPr>
              <w:rFonts w:ascii="宋体" w:hAnsi="宋体" w:hint="eastAsia"/>
              <w:szCs w:val="21"/>
            </w:rPr>
            <w:t>其他</w:t>
          </w:r>
          <w:r>
            <w:rPr>
              <w:rFonts w:hint="eastAsia"/>
              <w:szCs w:val="21"/>
            </w:rPr>
            <w:t>与筹资活动有关的现金</w:t>
          </w:r>
        </w:p>
        <w:sdt>
          <w:sdtPr>
            <w:alias w:val="是否适用：收到的其他与筹资活动有关的现金[双击切换]"/>
            <w:tag w:val="_GBC_6e82da4b55134cf6aacd6132e71f2c27"/>
            <w:id w:val="-1744166055"/>
            <w:lock w:val="sdtContentLocked"/>
            <w:placeholder>
              <w:docPart w:val="GBC22222222222222222222222222222"/>
            </w:placeholder>
          </w:sdtPr>
          <w:sdtContent>
            <w:p w:rsidR="00BB3393" w:rsidRDefault="00ED2DC7" w:rsidP="00BB3393">
              <w:r>
                <w:fldChar w:fldCharType="begin"/>
              </w:r>
              <w:r w:rsidR="00BB3393">
                <w:instrText xml:space="preserve"> MACROBUTTON  SnrToggleCheckbox □适用 </w:instrText>
              </w:r>
              <w:r>
                <w:fldChar w:fldCharType="end"/>
              </w:r>
              <w:r>
                <w:fldChar w:fldCharType="begin"/>
              </w:r>
              <w:r w:rsidR="00BB3393">
                <w:instrText xml:space="preserve"> MACROBUTTON  SnrToggleCheckbox √不适用 </w:instrText>
              </w:r>
              <w:r>
                <w:fldChar w:fldCharType="end"/>
              </w:r>
            </w:p>
          </w:sdtContent>
        </w:sdt>
        <w:p w:rsidR="00ED2DC7" w:rsidRDefault="000D0A99"/>
      </w:sdtContent>
    </w:sdt>
    <w:p w:rsidR="00ED2DC7" w:rsidRDefault="00ED2DC7"/>
    <w:sdt>
      <w:sdtPr>
        <w:rPr>
          <w:rFonts w:ascii="宋体" w:eastAsiaTheme="minorEastAsia" w:hAnsi="宋体" w:cs="宋体" w:hint="eastAsia"/>
          <w:b w:val="0"/>
          <w:bCs w:val="0"/>
          <w:kern w:val="0"/>
          <w:sz w:val="24"/>
          <w:szCs w:val="22"/>
        </w:rPr>
        <w:alias w:val="模块:支付的其他与筹资活动有关的现金"/>
        <w:tag w:val="_GBC_96162aa406234e2485524876a03968e7"/>
        <w:id w:val="-667087275"/>
        <w:lock w:val="sdtLocked"/>
        <w:placeholder>
          <w:docPart w:val="GBC22222222222222222222222222222"/>
        </w:placeholder>
      </w:sdtPr>
      <w:sdtEndPr>
        <w:rPr>
          <w:rFonts w:asciiTheme="minorHAnsi" w:hAnsiTheme="minorHAnsi" w:cstheme="minorBidi"/>
          <w:kern w:val="2"/>
          <w:sz w:val="21"/>
        </w:rPr>
      </w:sdtEndPr>
      <w:sdtContent>
        <w:p w:rsidR="00ED2DC7" w:rsidRDefault="00ED2DC7" w:rsidP="00036BDC">
          <w:pPr>
            <w:pStyle w:val="affffffffffffffffff2"/>
            <w:numPr>
              <w:ilvl w:val="0"/>
              <w:numId w:val="79"/>
            </w:numPr>
            <w:rPr>
              <w:rFonts w:ascii="宋体" w:hAnsi="宋体"/>
              <w:szCs w:val="21"/>
            </w:rPr>
          </w:pPr>
          <w:r>
            <w:rPr>
              <w:rFonts w:ascii="宋体" w:hAnsi="宋体" w:hint="eastAsia"/>
              <w:szCs w:val="21"/>
            </w:rPr>
            <w:t>支付的其他与筹资活动有关的现金</w:t>
          </w:r>
        </w:p>
        <w:sdt>
          <w:sdtPr>
            <w:alias w:val="是否适用：支付的其他与筹资活动有关的现金[双击切换]"/>
            <w:tag w:val="_GBC_cf7fd4869f8d4d98a07243e22bf22793"/>
            <w:id w:val="959302662"/>
            <w:lock w:val="sdtContentLocked"/>
            <w:placeholder>
              <w:docPart w:val="GBC22222222222222222222222222222"/>
            </w:placeholder>
          </w:sdtPr>
          <w:sdtContent>
            <w:p w:rsidR="00ED2DC7" w:rsidRDefault="00ED2DC7">
              <w:r>
                <w:fldChar w:fldCharType="begin"/>
              </w:r>
              <w:r w:rsidR="00BB3393">
                <w:instrText xml:space="preserve"> MACROBUTTON  SnrToggleCheckbox √适用 </w:instrText>
              </w:r>
              <w:r>
                <w:fldChar w:fldCharType="end"/>
              </w:r>
              <w:r>
                <w:fldChar w:fldCharType="begin"/>
              </w:r>
              <w:r w:rsidR="00BB3393">
                <w:instrText xml:space="preserve"> MACROBUTTON  SnrToggleCheckbox □不适用 </w:instrText>
              </w:r>
              <w:r>
                <w:fldChar w:fldCharType="end"/>
              </w:r>
            </w:p>
          </w:sdtContent>
        </w:sdt>
        <w:p w:rsidR="00ED2DC7" w:rsidRDefault="00ED2DC7">
          <w:pPr>
            <w:jc w:val="right"/>
            <w:rPr>
              <w:szCs w:val="21"/>
            </w:rPr>
          </w:pPr>
          <w:r>
            <w:rPr>
              <w:rFonts w:hint="eastAsia"/>
              <w:szCs w:val="21"/>
            </w:rPr>
            <w:t>单位：</w:t>
          </w:r>
          <w:sdt>
            <w:sdtPr>
              <w:rPr>
                <w:rFonts w:hint="eastAsia"/>
                <w:szCs w:val="21"/>
              </w:rPr>
              <w:alias w:val="单位：财务附注：支付的其他与筹资活动有关的现金"/>
              <w:tag w:val="_GBC_323ca3d874214911880818d387e0c63b"/>
              <w:id w:val="156282442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hint="eastAsia"/>
                  <w:szCs w:val="21"/>
                </w:rPr>
                <w:t>元</w:t>
              </w:r>
            </w:sdtContent>
          </w:sdt>
          <w:r>
            <w:rPr>
              <w:rFonts w:hint="eastAsia"/>
              <w:szCs w:val="21"/>
            </w:rPr>
            <w:t xml:space="preserve">  币种：</w:t>
          </w:r>
          <w:sdt>
            <w:sdtPr>
              <w:rPr>
                <w:rFonts w:hint="eastAsia"/>
                <w:szCs w:val="21"/>
              </w:rPr>
              <w:alias w:val="币种：财务附注：支付的其他与筹资活动有关的现金"/>
              <w:tag w:val="_GBC_d6726952256941209f32bac8fffa568d"/>
              <w:id w:val="18924567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szCs w:val="21"/>
                </w:rPr>
                <w:t>人民币</w:t>
              </w:r>
            </w:sdtContent>
          </w:sdt>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321"/>
            <w:gridCol w:w="2841"/>
            <w:gridCol w:w="2661"/>
          </w:tblGrid>
          <w:tr w:rsidR="00ED2DC7" w:rsidTr="001A0C34">
            <w:bookmarkStart w:id="216" w:name="_Hlk16623860" w:displacedByCustomXml="next"/>
            <w:sdt>
              <w:sdtPr>
                <w:tag w:val="_PLD_2b9da6111f3f4cacb3afcfc0de00e1e9"/>
                <w:id w:val="616952758"/>
                <w:lock w:val="sdtLocked"/>
              </w:sdtPr>
              <w:sdtContent>
                <w:tc>
                  <w:tcPr>
                    <w:tcW w:w="1882" w:type="pct"/>
                  </w:tcPr>
                  <w:p w:rsidR="00ED2DC7" w:rsidRDefault="00ED2DC7">
                    <w:pPr>
                      <w:autoSpaceDE w:val="0"/>
                      <w:autoSpaceDN w:val="0"/>
                      <w:adjustRightInd w:val="0"/>
                      <w:snapToGrid w:val="0"/>
                      <w:jc w:val="center"/>
                    </w:pPr>
                    <w:r>
                      <w:rPr>
                        <w:rFonts w:hint="eastAsia"/>
                      </w:rPr>
                      <w:t>项目</w:t>
                    </w:r>
                  </w:p>
                </w:tc>
              </w:sdtContent>
            </w:sdt>
            <w:sdt>
              <w:sdtPr>
                <w:tag w:val="_PLD_b6791a7f5c234d80be8964d8fb7b3ce6"/>
                <w:id w:val="-360059438"/>
                <w:lock w:val="sdtLocked"/>
              </w:sdtPr>
              <w:sdtContent>
                <w:tc>
                  <w:tcPr>
                    <w:tcW w:w="1610" w:type="pct"/>
                  </w:tcPr>
                  <w:p w:rsidR="00ED2DC7" w:rsidRDefault="00ED2DC7">
                    <w:pPr>
                      <w:autoSpaceDE w:val="0"/>
                      <w:autoSpaceDN w:val="0"/>
                      <w:adjustRightInd w:val="0"/>
                      <w:snapToGrid w:val="0"/>
                      <w:jc w:val="center"/>
                    </w:pPr>
                    <w:r>
                      <w:rPr>
                        <w:rFonts w:hint="eastAsia"/>
                      </w:rPr>
                      <w:t>本期发生额</w:t>
                    </w:r>
                  </w:p>
                </w:tc>
              </w:sdtContent>
            </w:sdt>
            <w:sdt>
              <w:sdtPr>
                <w:tag w:val="_PLD_b4a33da4012d47bd8013a6c570bcad87"/>
                <w:id w:val="186489090"/>
                <w:lock w:val="sdtLocked"/>
              </w:sdtPr>
              <w:sdtContent>
                <w:tc>
                  <w:tcPr>
                    <w:tcW w:w="1508" w:type="pct"/>
                  </w:tcPr>
                  <w:p w:rsidR="00ED2DC7" w:rsidRDefault="00ED2DC7">
                    <w:pPr>
                      <w:autoSpaceDE w:val="0"/>
                      <w:autoSpaceDN w:val="0"/>
                      <w:adjustRightInd w:val="0"/>
                      <w:snapToGrid w:val="0"/>
                      <w:jc w:val="center"/>
                    </w:pPr>
                    <w:r>
                      <w:rPr>
                        <w:rFonts w:hint="eastAsia"/>
                      </w:rPr>
                      <w:t>上期发生额</w:t>
                    </w:r>
                  </w:p>
                </w:tc>
              </w:sdtContent>
            </w:sdt>
          </w:tr>
          <w:sdt>
            <w:sdtPr>
              <w:rPr>
                <w:rFonts w:hint="eastAsia"/>
              </w:rPr>
              <w:alias w:val="支付的其他与筹资活动有关的现金明细"/>
              <w:tag w:val="_GBC_67ad8c2e4b094cd980237b364226db90"/>
              <w:id w:val="1129511239"/>
              <w:lock w:val="sdtLocked"/>
              <w:placeholder>
                <w:docPart w:val="GBC11111111111111111111111111111"/>
              </w:placeholder>
            </w:sdtPr>
            <w:sdtContent>
              <w:tr w:rsidR="00ED2DC7" w:rsidTr="001A0C34">
                <w:tc>
                  <w:tcPr>
                    <w:tcW w:w="1882" w:type="pct"/>
                  </w:tcPr>
                  <w:p w:rsidR="00ED2DC7" w:rsidRDefault="00AA7231" w:rsidP="00B637B2">
                    <w:pPr>
                      <w:autoSpaceDE w:val="0"/>
                      <w:autoSpaceDN w:val="0"/>
                      <w:adjustRightInd w:val="0"/>
                      <w:snapToGrid w:val="0"/>
                    </w:pPr>
                    <w:r w:rsidRPr="00AA7231">
                      <w:rPr>
                        <w:rFonts w:hint="eastAsia"/>
                      </w:rPr>
                      <w:t>股票回购</w:t>
                    </w:r>
                  </w:p>
                </w:tc>
                <w:tc>
                  <w:tcPr>
                    <w:tcW w:w="1610" w:type="pct"/>
                    <w:vAlign w:val="bottom"/>
                  </w:tcPr>
                  <w:p w:rsidR="00ED2DC7" w:rsidRDefault="00AA7231">
                    <w:pPr>
                      <w:jc w:val="right"/>
                    </w:pPr>
                    <w:r w:rsidRPr="00AA7231">
                      <w:t>471,134,705</w:t>
                    </w:r>
                    <w:r w:rsidRPr="00AA7231">
                      <w:tab/>
                    </w:r>
                  </w:p>
                </w:tc>
                <w:tc>
                  <w:tcPr>
                    <w:tcW w:w="1508" w:type="pct"/>
                  </w:tcPr>
                  <w:p w:rsidR="00ED2DC7" w:rsidRDefault="008F04CF">
                    <w:pPr>
                      <w:jc w:val="right"/>
                    </w:pPr>
                    <w:r>
                      <w:rPr>
                        <w:rFonts w:hint="eastAsia"/>
                      </w:rPr>
                      <w:t>-</w:t>
                    </w:r>
                  </w:p>
                </w:tc>
              </w:tr>
            </w:sdtContent>
          </w:sdt>
          <w:tr w:rsidR="00ED2DC7" w:rsidTr="001A0C34">
            <w:sdt>
              <w:sdtPr>
                <w:tag w:val="_PLD_22dc5e1e835f424c922e14021ea4fcda"/>
                <w:id w:val="-1879392016"/>
                <w:lock w:val="sdtLocked"/>
              </w:sdtPr>
              <w:sdtContent>
                <w:tc>
                  <w:tcPr>
                    <w:tcW w:w="1882" w:type="pct"/>
                  </w:tcPr>
                  <w:p w:rsidR="00ED2DC7" w:rsidRDefault="00ED2DC7">
                    <w:pPr>
                      <w:autoSpaceDE w:val="0"/>
                      <w:autoSpaceDN w:val="0"/>
                      <w:adjustRightInd w:val="0"/>
                      <w:snapToGrid w:val="0"/>
                      <w:jc w:val="center"/>
                    </w:pPr>
                    <w:r>
                      <w:rPr>
                        <w:rFonts w:hint="eastAsia"/>
                      </w:rPr>
                      <w:t>合计</w:t>
                    </w:r>
                  </w:p>
                </w:tc>
              </w:sdtContent>
            </w:sdt>
            <w:tc>
              <w:tcPr>
                <w:tcW w:w="1610" w:type="pct"/>
                <w:vAlign w:val="bottom"/>
              </w:tcPr>
              <w:p w:rsidR="00ED2DC7" w:rsidRDefault="00AA7231">
                <w:pPr>
                  <w:jc w:val="right"/>
                </w:pPr>
                <w:r w:rsidRPr="00AA7231">
                  <w:t>471,134,705</w:t>
                </w:r>
                <w:r w:rsidRPr="00AA7231">
                  <w:tab/>
                </w:r>
              </w:p>
            </w:tc>
            <w:tc>
              <w:tcPr>
                <w:tcW w:w="1508" w:type="pct"/>
              </w:tcPr>
              <w:p w:rsidR="00ED2DC7" w:rsidRDefault="008F04CF">
                <w:pPr>
                  <w:jc w:val="right"/>
                </w:pPr>
                <w:r>
                  <w:rPr>
                    <w:rFonts w:hint="eastAsia"/>
                  </w:rPr>
                  <w:t>-</w:t>
                </w:r>
              </w:p>
            </w:tc>
          </w:tr>
        </w:tbl>
        <w:bookmarkEnd w:id="216"/>
        <w:p w:rsidR="00ED2DC7" w:rsidRDefault="00ED2DC7">
          <w:pPr>
            <w:spacing w:before="60" w:after="60"/>
          </w:pPr>
          <w:r>
            <w:rPr>
              <w:rFonts w:hint="eastAsia"/>
            </w:rPr>
            <w:t>支付的其他与筹资活动有关的现金说明：</w:t>
          </w:r>
        </w:p>
        <w:sdt>
          <w:sdtPr>
            <w:rPr>
              <w:rFonts w:hint="eastAsia"/>
            </w:rPr>
            <w:alias w:val="支付的其他与筹资活动有关的现金说明"/>
            <w:tag w:val="_GBC_7240a9be12a64ca5b011a2561db068a1"/>
            <w:id w:val="768741234"/>
            <w:lock w:val="sdtLocked"/>
            <w:placeholder>
              <w:docPart w:val="GBC22222222222222222222222222222"/>
            </w:placeholder>
          </w:sdtPr>
          <w:sdtContent>
            <w:p w:rsidR="00ED2DC7" w:rsidRDefault="00BB3393">
              <w:pPr>
                <w:ind w:right="5"/>
              </w:pPr>
              <w:r>
                <w:rPr>
                  <w:rFonts w:hint="eastAsia"/>
                </w:rPr>
                <w:t>无。</w:t>
              </w:r>
            </w:p>
          </w:sdtContent>
        </w:sdt>
        <w:p w:rsidR="00ED2DC7" w:rsidRDefault="000D0A99">
          <w:pPr>
            <w:ind w:right="5"/>
          </w:pPr>
        </w:p>
      </w:sdtContent>
    </w:sdt>
    <w:p w:rsidR="00ED2DC7" w:rsidRDefault="00ED2DC7" w:rsidP="00036BDC">
      <w:pPr>
        <w:pStyle w:val="affffffffffffffffff1"/>
        <w:numPr>
          <w:ilvl w:val="0"/>
          <w:numId w:val="49"/>
        </w:numPr>
        <w:tabs>
          <w:tab w:val="left" w:pos="504"/>
        </w:tabs>
      </w:pPr>
      <w:r>
        <w:rPr>
          <w:rFonts w:hint="eastAsia"/>
        </w:rPr>
        <w:t>现金流量表</w:t>
      </w:r>
      <w:r>
        <w:rPr>
          <w:rFonts w:ascii="宋体" w:hAnsi="宋体" w:hint="eastAsia"/>
          <w:szCs w:val="21"/>
        </w:rPr>
        <w:t>补充</w:t>
      </w:r>
      <w:r>
        <w:rPr>
          <w:rFonts w:hint="eastAsia"/>
        </w:rPr>
        <w:t>资料</w:t>
      </w:r>
    </w:p>
    <w:sdt>
      <w:sdtPr>
        <w:rPr>
          <w:rFonts w:ascii="宋体" w:hAnsi="宋体" w:cs="宋体" w:hint="eastAsia"/>
          <w:b w:val="0"/>
          <w:bCs w:val="0"/>
          <w:kern w:val="0"/>
          <w:szCs w:val="24"/>
        </w:rPr>
        <w:alias w:val="模块:现金流量表补充资料"/>
        <w:tag w:val="_GBC_7c9a174810ac4558be4e54f8019d5a1a"/>
        <w:id w:val="-1094239713"/>
        <w:lock w:val="sdtLocked"/>
        <w:placeholder>
          <w:docPart w:val="GBC22222222222222222222222222222"/>
        </w:placeholder>
      </w:sdtPr>
      <w:sdtContent>
        <w:p w:rsidR="00ED2DC7" w:rsidRPr="00731C20" w:rsidRDefault="00ED2DC7" w:rsidP="00036BDC">
          <w:pPr>
            <w:pStyle w:val="affffffffffffffffff2"/>
            <w:numPr>
              <w:ilvl w:val="0"/>
              <w:numId w:val="80"/>
            </w:numPr>
          </w:pPr>
          <w:r w:rsidRPr="00731C20">
            <w:rPr>
              <w:rFonts w:hint="eastAsia"/>
            </w:rPr>
            <w:t>现金流量表补充资料</w:t>
          </w:r>
        </w:p>
        <w:sdt>
          <w:sdtPr>
            <w:alias w:val="是否适用：现金流量表补充资料[双击切换]"/>
            <w:tag w:val="_GBC_3ee8e178479245ea907bff86e4dcd54a"/>
            <w:id w:val="532927069"/>
            <w:lock w:val="sdtContentLocked"/>
            <w:placeholder>
              <w:docPart w:val="GBC22222222222222222222222222222"/>
            </w:placeholder>
          </w:sdtPr>
          <w:sdtContent>
            <w:p w:rsidR="00ED2DC7" w:rsidRDefault="00ED2DC7">
              <w:r>
                <w:fldChar w:fldCharType="begin"/>
              </w:r>
              <w:r w:rsidR="00BB3393">
                <w:instrText xml:space="preserve"> MACROBUTTON  SnrToggleCheckbox √适用 </w:instrText>
              </w:r>
              <w:r>
                <w:fldChar w:fldCharType="end"/>
              </w:r>
              <w:r>
                <w:fldChar w:fldCharType="begin"/>
              </w:r>
              <w:r w:rsidR="00BB3393">
                <w:instrText xml:space="preserve"> MACROBUTTON  SnrToggleCheckbox □不适用 </w:instrText>
              </w:r>
              <w:r>
                <w:fldChar w:fldCharType="end"/>
              </w:r>
            </w:p>
          </w:sdtContent>
        </w:sdt>
        <w:p w:rsidR="00ED2DC7" w:rsidRDefault="00ED2DC7">
          <w:pPr>
            <w:jc w:val="right"/>
          </w:pPr>
          <w:r>
            <w:rPr>
              <w:rFonts w:hint="eastAsia"/>
            </w:rPr>
            <w:t>单位：</w:t>
          </w:r>
          <w:sdt>
            <w:sdtPr>
              <w:rPr>
                <w:rFonts w:hint="eastAsia"/>
              </w:rPr>
              <w:alias w:val="单位：财务附注：现金流量表补充资料"/>
              <w:tag w:val="_GBC_ba7cd13a54fa44929e0fd4c276876d0e"/>
              <w:id w:val="-128372429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hint="eastAsia"/>
                </w:rPr>
                <w:t>元</w:t>
              </w:r>
            </w:sdtContent>
          </w:sdt>
          <w:r>
            <w:rPr>
              <w:rFonts w:hint="eastAsia"/>
            </w:rPr>
            <w:t xml:space="preserve">  币种：</w:t>
          </w:r>
          <w:sdt>
            <w:sdtPr>
              <w:rPr>
                <w:rFonts w:hint="eastAsia"/>
              </w:rPr>
              <w:alias w:val="币种：财务附注：现金流量表补充资料"/>
              <w:tag w:val="_GBC_715164ef2f2b4f258a0908b254229361"/>
              <w:id w:val="3382751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rPr>
                <w:t>人民币</w:t>
              </w:r>
            </w:sdtContent>
          </w:sdt>
        </w:p>
        <w:tbl>
          <w:tblPr>
            <w:tblStyle w:val="g38"/>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95"/>
            <w:gridCol w:w="2730"/>
            <w:gridCol w:w="2698"/>
          </w:tblGrid>
          <w:tr w:rsidR="00ED2DC7" w:rsidTr="00C12DCE">
            <w:bookmarkStart w:id="217" w:name="_Hlk16623944" w:displacedByCustomXml="next"/>
            <w:sdt>
              <w:sdtPr>
                <w:tag w:val="_PLD_a6ea455751354381bc869d5865ef3d8f"/>
                <w:id w:val="-1081681223"/>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rsidR="00ED2DC7" w:rsidRDefault="00ED2DC7">
                    <w:pPr>
                      <w:jc w:val="center"/>
                      <w:rPr>
                        <w:bCs/>
                      </w:rPr>
                    </w:pPr>
                    <w:r>
                      <w:rPr>
                        <w:rFonts w:hint="eastAsia"/>
                        <w:bCs/>
                      </w:rPr>
                      <w:t>补充资料</w:t>
                    </w:r>
                  </w:p>
                </w:tc>
              </w:sdtContent>
            </w:sdt>
            <w:sdt>
              <w:sdtPr>
                <w:tag w:val="_PLD_0687e3743a4e4e2db7b08855f23641e8"/>
                <w:id w:val="1313525291"/>
                <w:lock w:val="sdtLocked"/>
              </w:sdtPr>
              <w:sdtContent>
                <w:tc>
                  <w:tcPr>
                    <w:tcW w:w="1547" w:type="pct"/>
                    <w:tcBorders>
                      <w:top w:val="single" w:sz="4" w:space="0" w:color="auto"/>
                      <w:left w:val="single" w:sz="4" w:space="0" w:color="auto"/>
                      <w:bottom w:val="single" w:sz="4" w:space="0" w:color="auto"/>
                      <w:right w:val="single" w:sz="4" w:space="0" w:color="auto"/>
                    </w:tcBorders>
                    <w:shd w:val="clear" w:color="auto" w:fill="auto"/>
                    <w:vAlign w:val="center"/>
                  </w:tcPr>
                  <w:p w:rsidR="00ED2DC7" w:rsidRDefault="00ED2DC7">
                    <w:pPr>
                      <w:jc w:val="center"/>
                    </w:pPr>
                    <w:r>
                      <w:rPr>
                        <w:rFonts w:hint="eastAsia"/>
                      </w:rPr>
                      <w:t>本期金额</w:t>
                    </w:r>
                  </w:p>
                </w:tc>
              </w:sdtContent>
            </w:sdt>
            <w:sdt>
              <w:sdtPr>
                <w:tag w:val="_PLD_f90342638d124edea40aa264bbe65e8e"/>
                <w:id w:val="-1415544727"/>
                <w:lock w:val="sdtLocked"/>
              </w:sdtPr>
              <w:sdtContent>
                <w:tc>
                  <w:tcPr>
                    <w:tcW w:w="1529" w:type="pct"/>
                    <w:tcBorders>
                      <w:top w:val="single" w:sz="4" w:space="0" w:color="auto"/>
                      <w:left w:val="single" w:sz="4" w:space="0" w:color="auto"/>
                      <w:bottom w:val="single" w:sz="4" w:space="0" w:color="auto"/>
                      <w:right w:val="single" w:sz="4" w:space="0" w:color="auto"/>
                    </w:tcBorders>
                    <w:shd w:val="clear" w:color="auto" w:fill="auto"/>
                    <w:vAlign w:val="center"/>
                  </w:tcPr>
                  <w:p w:rsidR="00ED2DC7" w:rsidRDefault="00ED2DC7">
                    <w:pPr>
                      <w:jc w:val="center"/>
                    </w:pPr>
                    <w:r>
                      <w:rPr>
                        <w:rFonts w:hint="eastAsia"/>
                      </w:rPr>
                      <w:t>上期金额</w:t>
                    </w:r>
                  </w:p>
                </w:tc>
              </w:sdtContent>
            </w:sdt>
          </w:tr>
          <w:tr w:rsidR="00ED2DC7" w:rsidTr="00C12DCE">
            <w:sdt>
              <w:sdtPr>
                <w:tag w:val="_PLD_0a799a1250f946df9181881c4b1f3829"/>
                <w:id w:val="-1675496425"/>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ED2DC7" w:rsidRDefault="00ED2DC7">
                    <w:pPr>
                      <w:rPr>
                        <w:b/>
                        <w:bCs/>
                      </w:rPr>
                    </w:pPr>
                    <w:r>
                      <w:rPr>
                        <w:b/>
                        <w:bCs/>
                      </w:rPr>
                      <w:t>1</w:t>
                    </w:r>
                    <w:r>
                      <w:rPr>
                        <w:rFonts w:hint="eastAsia"/>
                        <w:b/>
                        <w:bCs/>
                      </w:rPr>
                      <w:t>．将净利润调节为经营活动现金流量：</w:t>
                    </w:r>
                  </w:p>
                </w:tc>
              </w:sdtContent>
            </w:sdt>
            <w:tc>
              <w:tcPr>
                <w:tcW w:w="1547" w:type="pct"/>
                <w:tcBorders>
                  <w:top w:val="single" w:sz="4" w:space="0" w:color="auto"/>
                  <w:left w:val="single" w:sz="4" w:space="0" w:color="auto"/>
                  <w:bottom w:val="outset" w:sz="6" w:space="0" w:color="auto"/>
                  <w:right w:val="outset" w:sz="6" w:space="0" w:color="auto"/>
                </w:tcBorders>
                <w:shd w:val="clear" w:color="auto" w:fill="auto"/>
              </w:tcPr>
              <w:p w:rsidR="00ED2DC7" w:rsidRDefault="00ED2DC7">
                <w:pPr>
                  <w:jc w:val="both"/>
                </w:pPr>
              </w:p>
            </w:tc>
            <w:tc>
              <w:tcPr>
                <w:tcW w:w="1529" w:type="pct"/>
                <w:tcBorders>
                  <w:top w:val="single" w:sz="4" w:space="0" w:color="auto"/>
                  <w:left w:val="outset" w:sz="6" w:space="0" w:color="auto"/>
                  <w:bottom w:val="outset" w:sz="6" w:space="0" w:color="auto"/>
                  <w:right w:val="outset" w:sz="6" w:space="0" w:color="auto"/>
                </w:tcBorders>
                <w:shd w:val="clear" w:color="auto" w:fill="auto"/>
              </w:tcPr>
              <w:p w:rsidR="00ED2DC7" w:rsidRDefault="00ED2DC7">
                <w:pPr>
                  <w:jc w:val="both"/>
                  <w:rPr>
                    <w:b/>
                  </w:rPr>
                </w:pPr>
              </w:p>
            </w:tc>
          </w:tr>
          <w:tr w:rsidR="00ED2DC7" w:rsidTr="006409BE">
            <w:sdt>
              <w:sdtPr>
                <w:tag w:val="_PLD_e8ba8a255d384555b8eb4380916342fb"/>
                <w:id w:val="-2102167029"/>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ED2DC7" w:rsidRDefault="00ED2DC7">
                    <w:r>
                      <w:rPr>
                        <w:rFonts w:hint="eastAsia"/>
                      </w:rPr>
                      <w:t>净利润</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ED2DC7" w:rsidRDefault="004666E9" w:rsidP="00B637B2">
                <w:pPr>
                  <w:jc w:val="right"/>
                </w:pPr>
                <w:r w:rsidRPr="004666E9">
                  <w:t>559,824,576</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ED2DC7" w:rsidRDefault="004666E9" w:rsidP="00B637B2">
                <w:pPr>
                  <w:jc w:val="right"/>
                </w:pPr>
                <w:r w:rsidRPr="004666E9">
                  <w:t>224,692,435</w:t>
                </w:r>
              </w:p>
            </w:tc>
          </w:tr>
          <w:tr w:rsidR="00ED2DC7" w:rsidTr="006409BE">
            <w:sdt>
              <w:sdtPr>
                <w:tag w:val="_PLD_d7814036ec544a08a51db5a353f5adf0"/>
                <w:id w:val="1310975815"/>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ED2DC7" w:rsidRDefault="00ED2DC7">
                    <w:r>
                      <w:rPr>
                        <w:rFonts w:hint="eastAsia"/>
                      </w:rPr>
                      <w:t>加：资产减值准备</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ED2DC7" w:rsidRDefault="008F04CF">
                <w:pPr>
                  <w:jc w:val="right"/>
                </w:pPr>
                <w:r w:rsidRPr="0038753C">
                  <w:t>873,355</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ED2DC7" w:rsidRDefault="008F04CF">
                <w:pPr>
                  <w:jc w:val="right"/>
                </w:pPr>
                <w:r w:rsidRPr="0038753C">
                  <w:t>126,478,585</w:t>
                </w:r>
              </w:p>
            </w:tc>
          </w:tr>
          <w:tr w:rsidR="00ED2DC7" w:rsidTr="006409BE">
            <w:sdt>
              <w:sdtPr>
                <w:tag w:val="_PLD_874496ee98ed44629fd0638816a4a7d0"/>
                <w:id w:val="26228362"/>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ED2DC7" w:rsidRDefault="00ED2DC7">
                    <w:r>
                      <w:rPr>
                        <w:rFonts w:hint="eastAsia"/>
                      </w:rPr>
                      <w:t>固定资产折旧、油气资产折耗、生产性生物资产折旧</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ED2DC7" w:rsidRDefault="008F04CF">
                <w:pPr>
                  <w:jc w:val="right"/>
                </w:pPr>
                <w:r w:rsidRPr="0038753C">
                  <w:t>53,937,691</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ED2DC7" w:rsidRDefault="008F04CF">
                <w:pPr>
                  <w:jc w:val="right"/>
                </w:pPr>
                <w:r w:rsidRPr="0038753C">
                  <w:t>48,976,230</w:t>
                </w:r>
              </w:p>
            </w:tc>
          </w:tr>
          <w:tr w:rsidR="00ED2DC7" w:rsidTr="006409BE">
            <w:sdt>
              <w:sdtPr>
                <w:tag w:val="_PLD_7d21857dddff4f46b0472ee6fc927660"/>
                <w:id w:val="-1555240203"/>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ED2DC7" w:rsidRDefault="00ED2DC7">
                    <w:r>
                      <w:rPr>
                        <w:rFonts w:hint="eastAsia"/>
                      </w:rPr>
                      <w:t>无形资产摊销</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ED2DC7" w:rsidRDefault="008F04CF">
                <w:pPr>
                  <w:jc w:val="right"/>
                </w:pPr>
                <w:r w:rsidRPr="0038753C">
                  <w:t>78,274,143</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ED2DC7" w:rsidRDefault="008F04CF">
                <w:pPr>
                  <w:jc w:val="right"/>
                </w:pPr>
                <w:r w:rsidRPr="0038753C">
                  <w:t>49,164,044</w:t>
                </w:r>
              </w:p>
            </w:tc>
          </w:tr>
          <w:tr w:rsidR="00ED2DC7" w:rsidTr="006409BE">
            <w:sdt>
              <w:sdtPr>
                <w:tag w:val="_PLD_088800a12fe645aeab959c7549cf4ee3"/>
                <w:id w:val="720718282"/>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ED2DC7" w:rsidRDefault="00ED2DC7">
                    <w:r>
                      <w:rPr>
                        <w:rFonts w:hint="eastAsia"/>
                      </w:rPr>
                      <w:t>长期待摊费用摊销</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ED2DC7" w:rsidRDefault="008F04CF">
                <w:pPr>
                  <w:jc w:val="right"/>
                </w:pPr>
                <w:r w:rsidRPr="0038753C">
                  <w:t>11,739,797</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ED2DC7" w:rsidRDefault="008F04CF">
                <w:pPr>
                  <w:jc w:val="right"/>
                </w:pPr>
                <w:r w:rsidRPr="0038753C">
                  <w:t>9,091,237</w:t>
                </w:r>
              </w:p>
            </w:tc>
          </w:tr>
          <w:tr w:rsidR="00ED2DC7" w:rsidTr="006409BE">
            <w:sdt>
              <w:sdtPr>
                <w:tag w:val="_PLD_8d8cb21251d34ba1815e334e49c1f773"/>
                <w:id w:val="699904422"/>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ED2DC7" w:rsidRDefault="00ED2DC7">
                    <w:r>
                      <w:rPr>
                        <w:rFonts w:hint="eastAsia"/>
                      </w:rPr>
                      <w:t>处置固定资产、无形资产和其他长期资产的损失（收益以</w:t>
                    </w:r>
                    <w:r>
                      <w:t>“</w:t>
                    </w:r>
                    <w:r>
                      <w:rPr>
                        <w:rFonts w:hint="eastAsia"/>
                      </w:rPr>
                      <w:t>－</w:t>
                    </w:r>
                    <w:r>
                      <w:t>”</w:t>
                    </w:r>
                    <w:r>
                      <w:rPr>
                        <w:rFonts w:hint="eastAsia"/>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ED2DC7" w:rsidRDefault="008F04CF">
                <w:pPr>
                  <w:jc w:val="right"/>
                </w:pPr>
                <w:r w:rsidRPr="0038753C">
                  <w:t>-111,872</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ED2DC7" w:rsidRDefault="008F04CF">
                <w:pPr>
                  <w:jc w:val="right"/>
                </w:pPr>
                <w:r w:rsidRPr="0038753C">
                  <w:t>-259,800</w:t>
                </w:r>
              </w:p>
            </w:tc>
          </w:tr>
          <w:tr w:rsidR="00ED2DC7" w:rsidTr="006409BE">
            <w:sdt>
              <w:sdtPr>
                <w:tag w:val="_PLD_b85deb2045874a498f408bd31aa1c639"/>
                <w:id w:val="2119870849"/>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ED2DC7" w:rsidRDefault="00ED2DC7">
                    <w:r>
                      <w:rPr>
                        <w:rFonts w:hint="eastAsia"/>
                      </w:rPr>
                      <w:t>固定资产报废损失（收益以</w:t>
                    </w:r>
                    <w:r>
                      <w:t>“</w:t>
                    </w:r>
                    <w:r>
                      <w:rPr>
                        <w:rFonts w:hint="eastAsia"/>
                      </w:rPr>
                      <w:t>－</w:t>
                    </w:r>
                    <w:r>
                      <w:t>”</w:t>
                    </w:r>
                    <w:r>
                      <w:rPr>
                        <w:rFonts w:hint="eastAsia"/>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ED2DC7" w:rsidRDefault="00ED2DC7">
                <w:pPr>
                  <w:jc w:val="right"/>
                </w:pP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ED2DC7" w:rsidRDefault="00ED2DC7">
                <w:pPr>
                  <w:jc w:val="right"/>
                </w:pPr>
              </w:p>
            </w:tc>
          </w:tr>
          <w:tr w:rsidR="00ED2DC7" w:rsidTr="006409BE">
            <w:sdt>
              <w:sdtPr>
                <w:tag w:val="_PLD_f5daedcccfe54756bef02f32552a8b7b"/>
                <w:id w:val="290021064"/>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ED2DC7" w:rsidRDefault="00ED2DC7">
                    <w:r>
                      <w:rPr>
                        <w:rFonts w:hint="eastAsia"/>
                      </w:rPr>
                      <w:t>公允价值变动损失（收益以</w:t>
                    </w:r>
                    <w:r>
                      <w:t>“</w:t>
                    </w:r>
                    <w:r>
                      <w:rPr>
                        <w:rFonts w:hint="eastAsia"/>
                      </w:rPr>
                      <w:t>－</w:t>
                    </w:r>
                    <w:r>
                      <w:t>”</w:t>
                    </w:r>
                    <w:r>
                      <w:rPr>
                        <w:rFonts w:hint="eastAsia"/>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ED2DC7" w:rsidRDefault="00F33F8F">
                <w:pPr>
                  <w:jc w:val="right"/>
                </w:pPr>
                <w:r w:rsidRPr="0038753C">
                  <w:t>-43,191,602</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ED2DC7" w:rsidRDefault="00ED2DC7">
                <w:pPr>
                  <w:jc w:val="right"/>
                </w:pPr>
              </w:p>
            </w:tc>
          </w:tr>
          <w:tr w:rsidR="00ED2DC7" w:rsidTr="006409BE">
            <w:sdt>
              <w:sdtPr>
                <w:tag w:val="_PLD_1e4c1f4478ea4e41a213ed937b2d2949"/>
                <w:id w:val="-2079190161"/>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ED2DC7" w:rsidRDefault="00ED2DC7">
                    <w:r>
                      <w:rPr>
                        <w:rFonts w:hint="eastAsia"/>
                      </w:rPr>
                      <w:t>财务费用（收益以</w:t>
                    </w:r>
                    <w:r>
                      <w:t>“</w:t>
                    </w:r>
                    <w:r>
                      <w:rPr>
                        <w:rFonts w:hint="eastAsia"/>
                      </w:rPr>
                      <w:t>－</w:t>
                    </w:r>
                    <w:r>
                      <w:t>”</w:t>
                    </w:r>
                    <w:r>
                      <w:rPr>
                        <w:rFonts w:hint="eastAsia"/>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ED2DC7" w:rsidRDefault="008F04CF">
                <w:pPr>
                  <w:jc w:val="right"/>
                </w:pPr>
                <w:r w:rsidRPr="0038753C">
                  <w:t>54,182,076</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ED2DC7" w:rsidRDefault="008F04CF">
                <w:pPr>
                  <w:jc w:val="right"/>
                </w:pPr>
                <w:r w:rsidRPr="0038753C">
                  <w:t>57,749,899</w:t>
                </w:r>
              </w:p>
            </w:tc>
          </w:tr>
          <w:tr w:rsidR="00ED2DC7" w:rsidTr="006409BE">
            <w:sdt>
              <w:sdtPr>
                <w:tag w:val="_PLD_fbd860cf427540b4a431128ef763534d"/>
                <w:id w:val="-919099139"/>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ED2DC7" w:rsidRDefault="00ED2DC7">
                    <w:r>
                      <w:rPr>
                        <w:rFonts w:hint="eastAsia"/>
                      </w:rPr>
                      <w:t>投资损失（收益以</w:t>
                    </w:r>
                    <w:r>
                      <w:t>“</w:t>
                    </w:r>
                    <w:r>
                      <w:rPr>
                        <w:rFonts w:hint="eastAsia"/>
                      </w:rPr>
                      <w:t>－</w:t>
                    </w:r>
                    <w:r>
                      <w:t>”</w:t>
                    </w:r>
                    <w:r>
                      <w:rPr>
                        <w:rFonts w:hint="eastAsia"/>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ED2DC7" w:rsidRDefault="008F04CF">
                <w:pPr>
                  <w:jc w:val="right"/>
                </w:pPr>
                <w:r w:rsidRPr="0038753C">
                  <w:t>-169,690,511</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ED2DC7" w:rsidRDefault="008F04CF">
                <w:pPr>
                  <w:jc w:val="right"/>
                </w:pPr>
                <w:r w:rsidRPr="0038753C">
                  <w:t>-18,775,559</w:t>
                </w:r>
              </w:p>
            </w:tc>
          </w:tr>
          <w:tr w:rsidR="00ED2DC7" w:rsidTr="006409BE">
            <w:sdt>
              <w:sdtPr>
                <w:tag w:val="_PLD_03270151a6684c629b53007cc62dad45"/>
                <w:id w:val="1299489257"/>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ED2DC7" w:rsidRDefault="00ED2DC7">
                    <w:r>
                      <w:rPr>
                        <w:rFonts w:hint="eastAsia"/>
                      </w:rPr>
                      <w:t>递延所得税资产减少（增加以</w:t>
                    </w:r>
                    <w:r>
                      <w:t>“</w:t>
                    </w:r>
                    <w:r>
                      <w:rPr>
                        <w:rFonts w:hint="eastAsia"/>
                      </w:rPr>
                      <w:t>－</w:t>
                    </w:r>
                    <w:r>
                      <w:t>”</w:t>
                    </w:r>
                    <w:r>
                      <w:rPr>
                        <w:rFonts w:hint="eastAsia"/>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ED2DC7" w:rsidRDefault="008F04CF">
                <w:pPr>
                  <w:jc w:val="right"/>
                </w:pPr>
                <w:r w:rsidRPr="0038753C">
                  <w:t>-17,475,337</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ED2DC7" w:rsidRDefault="008F04CF">
                <w:pPr>
                  <w:jc w:val="right"/>
                </w:pPr>
                <w:r w:rsidRPr="0038753C">
                  <w:t>-15,939,722</w:t>
                </w:r>
              </w:p>
            </w:tc>
          </w:tr>
          <w:tr w:rsidR="00ED2DC7" w:rsidTr="006409BE">
            <w:sdt>
              <w:sdtPr>
                <w:tag w:val="_PLD_100ead502e934b2fbc5c4c2289a4d701"/>
                <w:id w:val="-644118779"/>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ED2DC7" w:rsidRDefault="00ED2DC7">
                    <w:r>
                      <w:rPr>
                        <w:rFonts w:hint="eastAsia"/>
                      </w:rPr>
                      <w:t>递延所得税负债增加（减少以</w:t>
                    </w:r>
                    <w:r>
                      <w:t>“</w:t>
                    </w:r>
                    <w:r>
                      <w:rPr>
                        <w:rFonts w:hint="eastAsia"/>
                      </w:rPr>
                      <w:t>－</w:t>
                    </w:r>
                    <w:r>
                      <w:t>”</w:t>
                    </w:r>
                    <w:r>
                      <w:rPr>
                        <w:rFonts w:hint="eastAsia"/>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ED2DC7" w:rsidRDefault="008F04CF">
                <w:pPr>
                  <w:jc w:val="right"/>
                </w:pPr>
                <w:r w:rsidRPr="0038753C">
                  <w:t>856,787</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ED2DC7" w:rsidRDefault="008F04CF">
                <w:pPr>
                  <w:jc w:val="right"/>
                </w:pPr>
                <w:r w:rsidRPr="0038753C">
                  <w:t>644,942</w:t>
                </w:r>
              </w:p>
            </w:tc>
          </w:tr>
          <w:tr w:rsidR="00ED2DC7" w:rsidTr="006409BE">
            <w:sdt>
              <w:sdtPr>
                <w:tag w:val="_PLD_75c37a3f209d4b1fb608b47efbf0f17b"/>
                <w:id w:val="898166090"/>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ED2DC7" w:rsidRDefault="00ED2DC7">
                    <w:r>
                      <w:rPr>
                        <w:rFonts w:hint="eastAsia"/>
                      </w:rPr>
                      <w:t>存货的减少（增加以</w:t>
                    </w:r>
                    <w:r>
                      <w:t>“</w:t>
                    </w:r>
                    <w:r>
                      <w:rPr>
                        <w:rFonts w:hint="eastAsia"/>
                      </w:rPr>
                      <w:t>－</w:t>
                    </w:r>
                    <w:r>
                      <w:t>”</w:t>
                    </w:r>
                    <w:r>
                      <w:rPr>
                        <w:rFonts w:hint="eastAsia"/>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ED2DC7" w:rsidRDefault="008F04CF">
                <w:pPr>
                  <w:jc w:val="right"/>
                </w:pPr>
                <w:r w:rsidRPr="0038753C">
                  <w:t>-2,028,375</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ED2DC7" w:rsidRDefault="008F04CF">
                <w:pPr>
                  <w:jc w:val="right"/>
                </w:pPr>
                <w:r w:rsidRPr="0038753C">
                  <w:t>-7,164,500</w:t>
                </w:r>
              </w:p>
            </w:tc>
          </w:tr>
          <w:tr w:rsidR="00ED2DC7" w:rsidTr="006409BE">
            <w:sdt>
              <w:sdtPr>
                <w:tag w:val="_PLD_6dd2e6fa25164f14ae03eb5c47cfeb92"/>
                <w:id w:val="-1708867495"/>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ED2DC7" w:rsidRDefault="00ED2DC7">
                    <w:r>
                      <w:rPr>
                        <w:rFonts w:hint="eastAsia"/>
                      </w:rPr>
                      <w:t>经营性应收项目的减少（增加以</w:t>
                    </w:r>
                    <w:r>
                      <w:t>“</w:t>
                    </w:r>
                    <w:r>
                      <w:rPr>
                        <w:rFonts w:hint="eastAsia"/>
                      </w:rPr>
                      <w:t>－</w:t>
                    </w:r>
                    <w:r>
                      <w:t>”</w:t>
                    </w:r>
                    <w:r>
                      <w:rPr>
                        <w:rFonts w:hint="eastAsia"/>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ED2DC7" w:rsidRDefault="008F04CF">
                <w:pPr>
                  <w:jc w:val="right"/>
                </w:pPr>
                <w:r w:rsidRPr="0038753C">
                  <w:t>31,822,098</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ED2DC7" w:rsidRPr="0038753C" w:rsidRDefault="008F04CF">
                <w:pPr>
                  <w:jc w:val="right"/>
                </w:pPr>
                <w:r w:rsidRPr="0038753C">
                  <w:t>-154,805,332</w:t>
                </w:r>
              </w:p>
            </w:tc>
          </w:tr>
          <w:tr w:rsidR="00ED2DC7" w:rsidTr="006409BE">
            <w:sdt>
              <w:sdtPr>
                <w:tag w:val="_PLD_b77e5d0637ca424ea3521e9194452268"/>
                <w:id w:val="-2089302457"/>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ED2DC7" w:rsidRDefault="00ED2DC7">
                    <w:r>
                      <w:rPr>
                        <w:rFonts w:hint="eastAsia"/>
                      </w:rPr>
                      <w:t>经营性应付项目的增加（减少以</w:t>
                    </w:r>
                    <w:r>
                      <w:t>“</w:t>
                    </w:r>
                    <w:r>
                      <w:rPr>
                        <w:rFonts w:hint="eastAsia"/>
                      </w:rPr>
                      <w:t>－</w:t>
                    </w:r>
                    <w:r>
                      <w:t>”</w:t>
                    </w:r>
                    <w:r>
                      <w:rPr>
                        <w:rFonts w:hint="eastAsia"/>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ED2DC7" w:rsidRDefault="008F04CF">
                <w:pPr>
                  <w:jc w:val="right"/>
                </w:pPr>
                <w:r w:rsidRPr="0038753C">
                  <w:t>-985,079,177</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ED2DC7" w:rsidRPr="0038753C" w:rsidRDefault="008F04CF">
                <w:pPr>
                  <w:jc w:val="right"/>
                </w:pPr>
                <w:r w:rsidRPr="0038753C">
                  <w:t>-480,126,136</w:t>
                </w:r>
              </w:p>
            </w:tc>
          </w:tr>
          <w:tr w:rsidR="00ED2DC7" w:rsidTr="006409BE">
            <w:sdt>
              <w:sdtPr>
                <w:tag w:val="_PLD_5e18d37458f0499f93803040a145120b"/>
                <w:id w:val="-274326437"/>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ED2DC7" w:rsidRDefault="00ED2DC7">
                    <w:r>
                      <w:rPr>
                        <w:rFonts w:hint="eastAsia"/>
                      </w:rPr>
                      <w:t>其他</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ED2DC7" w:rsidRDefault="00150646">
                <w:pPr>
                  <w:jc w:val="right"/>
                </w:pPr>
                <w:r w:rsidRPr="00150646">
                  <w:t>104,211,267</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ED2DC7" w:rsidRPr="0038753C" w:rsidRDefault="00150646">
                <w:pPr>
                  <w:jc w:val="right"/>
                </w:pPr>
                <w:r w:rsidRPr="0038753C">
                  <w:t>123,991,263</w:t>
                </w:r>
              </w:p>
            </w:tc>
          </w:tr>
          <w:tr w:rsidR="00ED2DC7" w:rsidTr="006409BE">
            <w:sdt>
              <w:sdtPr>
                <w:tag w:val="_PLD_cbbe2315982347e89e355315dde12742"/>
                <w:id w:val="234058555"/>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ED2DC7" w:rsidRDefault="00ED2DC7">
                    <w:r>
                      <w:rPr>
                        <w:rFonts w:hint="eastAsia"/>
                      </w:rPr>
                      <w:t>经营活动产生的现金流量净额</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ED2DC7" w:rsidRDefault="008F04CF">
                <w:pPr>
                  <w:jc w:val="right"/>
                </w:pPr>
                <w:r w:rsidRPr="0038753C">
                  <w:t>-321,855,084</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ED2DC7" w:rsidRDefault="008F04CF">
                <w:pPr>
                  <w:jc w:val="right"/>
                </w:pPr>
                <w:r w:rsidRPr="0038753C">
                  <w:t>-36,282,414</w:t>
                </w:r>
              </w:p>
            </w:tc>
          </w:tr>
          <w:tr w:rsidR="00ED2DC7" w:rsidTr="006409BE">
            <w:sdt>
              <w:sdtPr>
                <w:tag w:val="_PLD_db693429a97d44a2848da029ca6a724c"/>
                <w:id w:val="-360429822"/>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ED2DC7" w:rsidRDefault="00ED2DC7">
                    <w:pPr>
                      <w:rPr>
                        <w:b/>
                        <w:bCs/>
                      </w:rPr>
                    </w:pPr>
                    <w:r>
                      <w:rPr>
                        <w:b/>
                        <w:bCs/>
                      </w:rPr>
                      <w:t>2</w:t>
                    </w:r>
                    <w:r>
                      <w:rPr>
                        <w:rFonts w:hint="eastAsia"/>
                        <w:b/>
                        <w:bCs/>
                      </w:rPr>
                      <w:t>．不涉及现金收支的重大投资和筹资活动：</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ED2DC7" w:rsidRDefault="00ED2DC7">
                <w:pPr>
                  <w:jc w:val="right"/>
                </w:pP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ED2DC7" w:rsidRDefault="00ED2DC7">
                <w:pPr>
                  <w:jc w:val="right"/>
                </w:pPr>
              </w:p>
            </w:tc>
          </w:tr>
          <w:tr w:rsidR="00ED2DC7" w:rsidTr="006409BE">
            <w:sdt>
              <w:sdtPr>
                <w:tag w:val="_PLD_e0d4eb4cfadc41e79028384d476793f6"/>
                <w:id w:val="1536072507"/>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ED2DC7" w:rsidRDefault="00ED2DC7">
                    <w:r>
                      <w:rPr>
                        <w:rFonts w:hint="eastAsia"/>
                      </w:rPr>
                      <w:t>债务转为资本</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ED2DC7" w:rsidRDefault="00ED2DC7">
                <w:pPr>
                  <w:jc w:val="right"/>
                </w:pP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ED2DC7" w:rsidRDefault="00ED2DC7">
                <w:pPr>
                  <w:jc w:val="right"/>
                </w:pPr>
              </w:p>
            </w:tc>
          </w:tr>
          <w:tr w:rsidR="00ED2DC7" w:rsidTr="006409BE">
            <w:sdt>
              <w:sdtPr>
                <w:tag w:val="_PLD_4a6d0c6705c84302bf83bbc5e9c2e85e"/>
                <w:id w:val="-1826194801"/>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ED2DC7" w:rsidRDefault="00ED2DC7">
                    <w:r>
                      <w:rPr>
                        <w:rFonts w:hint="eastAsia"/>
                      </w:rPr>
                      <w:t>一年内到期的可转换公司债券</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ED2DC7" w:rsidRDefault="00ED2DC7">
                <w:pPr>
                  <w:jc w:val="right"/>
                </w:pP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ED2DC7" w:rsidRDefault="00ED2DC7">
                <w:pPr>
                  <w:jc w:val="right"/>
                </w:pPr>
              </w:p>
            </w:tc>
          </w:tr>
          <w:tr w:rsidR="00ED2DC7" w:rsidTr="006409BE">
            <w:sdt>
              <w:sdtPr>
                <w:tag w:val="_PLD_4eb4a0a5a3e944b293d87cc004adc11f"/>
                <w:id w:val="232901015"/>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ED2DC7" w:rsidRDefault="00ED2DC7">
                    <w:r>
                      <w:rPr>
                        <w:rFonts w:hint="eastAsia"/>
                      </w:rPr>
                      <w:t>融资租入固定资产</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ED2DC7" w:rsidRDefault="00ED2DC7">
                <w:pPr>
                  <w:jc w:val="right"/>
                </w:pP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ED2DC7" w:rsidRDefault="00ED2DC7">
                <w:pPr>
                  <w:jc w:val="right"/>
                </w:pPr>
              </w:p>
            </w:tc>
          </w:tr>
          <w:tr w:rsidR="00ED2DC7" w:rsidTr="006409BE">
            <w:sdt>
              <w:sdtPr>
                <w:tag w:val="_PLD_1294459fe7ee46638b8d4b78b8d8c436"/>
                <w:id w:val="97371365"/>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ED2DC7" w:rsidRDefault="00ED2DC7">
                    <w:pPr>
                      <w:rPr>
                        <w:b/>
                        <w:bCs/>
                      </w:rPr>
                    </w:pPr>
                    <w:r>
                      <w:rPr>
                        <w:b/>
                        <w:bCs/>
                      </w:rPr>
                      <w:t>3</w:t>
                    </w:r>
                    <w:r>
                      <w:rPr>
                        <w:rFonts w:hint="eastAsia"/>
                        <w:b/>
                        <w:bCs/>
                      </w:rPr>
                      <w:t>．现金及现金等价物净变动情况：</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ED2DC7" w:rsidRDefault="00ED2DC7">
                <w:pPr>
                  <w:jc w:val="right"/>
                </w:pP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ED2DC7" w:rsidRDefault="00ED2DC7">
                <w:pPr>
                  <w:jc w:val="right"/>
                </w:pPr>
              </w:p>
            </w:tc>
          </w:tr>
          <w:tr w:rsidR="00ED2DC7" w:rsidTr="006409BE">
            <w:sdt>
              <w:sdtPr>
                <w:tag w:val="_PLD_2082c840cddc45338520bd3516ed16c9"/>
                <w:id w:val="-107285640"/>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ED2DC7" w:rsidRDefault="00ED2DC7">
                    <w:r>
                      <w:rPr>
                        <w:rFonts w:hint="eastAsia"/>
                      </w:rPr>
                      <w:t>现金的期末余额</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ED2DC7" w:rsidRDefault="008F04CF">
                <w:pPr>
                  <w:jc w:val="right"/>
                </w:pPr>
                <w:r w:rsidRPr="0038753C">
                  <w:t>3,528,503,616</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ED2DC7" w:rsidRDefault="008F04CF">
                <w:pPr>
                  <w:jc w:val="right"/>
                </w:pPr>
                <w:r w:rsidRPr="0038753C">
                  <w:t>2,938,732,462</w:t>
                </w:r>
              </w:p>
            </w:tc>
          </w:tr>
          <w:tr w:rsidR="00ED2DC7" w:rsidTr="006409BE">
            <w:sdt>
              <w:sdtPr>
                <w:tag w:val="_PLD_a8039ff8828d402facebab3f2e19fcc0"/>
                <w:id w:val="-1178813551"/>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ED2DC7" w:rsidRDefault="00ED2DC7">
                    <w:r>
                      <w:rPr>
                        <w:rFonts w:hint="eastAsia"/>
                      </w:rPr>
                      <w:t>减：现金的期初余额</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ED2DC7" w:rsidRDefault="008F04CF">
                <w:pPr>
                  <w:jc w:val="right"/>
                  <w:rPr>
                    <w:bCs/>
                  </w:rPr>
                </w:pPr>
                <w:r w:rsidRPr="0038753C">
                  <w:rPr>
                    <w:bCs/>
                  </w:rPr>
                  <w:t>4,849,879,509</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ED2DC7" w:rsidRDefault="008F04CF">
                <w:pPr>
                  <w:jc w:val="right"/>
                  <w:rPr>
                    <w:bCs/>
                  </w:rPr>
                </w:pPr>
                <w:r w:rsidRPr="0038753C">
                  <w:rPr>
                    <w:bCs/>
                  </w:rPr>
                  <w:t>3,416,062,876</w:t>
                </w:r>
              </w:p>
            </w:tc>
          </w:tr>
          <w:tr w:rsidR="00ED2DC7" w:rsidTr="006409BE">
            <w:sdt>
              <w:sdtPr>
                <w:tag w:val="_PLD_2b870bd2bf7a4a1c8f0ef717c730f23e"/>
                <w:id w:val="281236305"/>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ED2DC7" w:rsidRDefault="00ED2DC7">
                    <w:r>
                      <w:rPr>
                        <w:rFonts w:hint="eastAsia"/>
                      </w:rPr>
                      <w:t>加：现金等价物的期末余额</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ED2DC7" w:rsidRDefault="00ED2DC7">
                <w:pPr>
                  <w:jc w:val="right"/>
                </w:pP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ED2DC7" w:rsidRDefault="00ED2DC7">
                <w:pPr>
                  <w:jc w:val="right"/>
                </w:pPr>
              </w:p>
            </w:tc>
          </w:tr>
          <w:tr w:rsidR="00ED2DC7" w:rsidTr="006409BE">
            <w:sdt>
              <w:sdtPr>
                <w:tag w:val="_PLD_ad568407cb3c454d95c72fc52ac36fe9"/>
                <w:id w:val="-1445071418"/>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ED2DC7" w:rsidRDefault="00ED2DC7">
                    <w:r>
                      <w:rPr>
                        <w:rFonts w:hint="eastAsia"/>
                      </w:rPr>
                      <w:t>减：现金等价物的期初余额</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ED2DC7" w:rsidRDefault="00ED2DC7">
                <w:pPr>
                  <w:jc w:val="right"/>
                  <w:rPr>
                    <w:bCs/>
                  </w:rPr>
                </w:pP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ED2DC7" w:rsidRDefault="00ED2DC7">
                <w:pPr>
                  <w:jc w:val="right"/>
                  <w:rPr>
                    <w:bCs/>
                  </w:rPr>
                </w:pPr>
              </w:p>
            </w:tc>
          </w:tr>
          <w:tr w:rsidR="00ED2DC7" w:rsidTr="006409BE">
            <w:sdt>
              <w:sdtPr>
                <w:tag w:val="_PLD_2dd0b4fbd20a49c1991e732523abf0b3"/>
                <w:id w:val="335428412"/>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ED2DC7" w:rsidRDefault="00ED2DC7">
                    <w:r>
                      <w:rPr>
                        <w:rFonts w:hint="eastAsia"/>
                      </w:rPr>
                      <w:t>现金及现金等价物净增加额</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ED2DC7" w:rsidRDefault="004666E9">
                <w:pPr>
                  <w:jc w:val="right"/>
                </w:pPr>
                <w:r w:rsidRPr="004666E9">
                  <w:t>-1,321,375,893</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ED2DC7" w:rsidRDefault="004666E9" w:rsidP="00B637B2">
                <w:pPr>
                  <w:jc w:val="right"/>
                  <w:rPr>
                    <w:bCs/>
                  </w:rPr>
                </w:pPr>
                <w:r w:rsidRPr="004666E9">
                  <w:rPr>
                    <w:bCs/>
                  </w:rPr>
                  <w:t>-477,330,414</w:t>
                </w:r>
              </w:p>
            </w:tc>
          </w:tr>
        </w:tbl>
        <w:p w:rsidR="00ED2DC7" w:rsidRDefault="000D0A99"/>
        <w:bookmarkEnd w:id="217" w:displacedByCustomXml="next"/>
      </w:sdtContent>
    </w:sdt>
    <w:sdt>
      <w:sdtPr>
        <w:rPr>
          <w:rFonts w:ascii="宋体" w:hAnsi="宋体" w:cs="宋体" w:hint="eastAsia"/>
          <w:b w:val="0"/>
          <w:bCs w:val="0"/>
          <w:kern w:val="0"/>
          <w:szCs w:val="21"/>
        </w:rPr>
        <w:alias w:val="模块:取得子公司支付的现金净额"/>
        <w:tag w:val="_GBC_4161b069f3a54b4a9ab95be67b841c16"/>
        <w:id w:val="-344868179"/>
        <w:lock w:val="sdtLocked"/>
        <w:placeholder>
          <w:docPart w:val="GBC22222222222222222222222222222"/>
        </w:placeholder>
      </w:sdtPr>
      <w:sdtContent>
        <w:p w:rsidR="00ED2DC7" w:rsidRPr="0038753C" w:rsidRDefault="00ED2DC7" w:rsidP="00036BDC">
          <w:pPr>
            <w:pStyle w:val="affffffffffffffffff2"/>
            <w:numPr>
              <w:ilvl w:val="0"/>
              <w:numId w:val="80"/>
            </w:numPr>
            <w:rPr>
              <w:szCs w:val="21"/>
            </w:rPr>
          </w:pPr>
          <w:r w:rsidRPr="0038753C">
            <w:rPr>
              <w:rFonts w:ascii="宋体" w:hAnsi="宋体" w:cs="宋体" w:hint="eastAsia"/>
              <w:bCs w:val="0"/>
              <w:kern w:val="0"/>
              <w:szCs w:val="21"/>
            </w:rPr>
            <w:t>本期支付的</w:t>
          </w:r>
          <w:r w:rsidRPr="0038753C">
            <w:rPr>
              <w:rFonts w:hint="eastAsia"/>
              <w:szCs w:val="21"/>
            </w:rPr>
            <w:t>取得子公司的现金净额</w:t>
          </w:r>
        </w:p>
        <w:sdt>
          <w:sdtPr>
            <w:alias w:val="是否适用：本期支付的取得子公司的现金净额[双击切换]"/>
            <w:tag w:val="_GBC_903abae67cad448caac446eb8c11fd79"/>
            <w:id w:val="382227924"/>
            <w:lock w:val="sdtContentLocked"/>
            <w:placeholder>
              <w:docPart w:val="GBC22222222222222222222222222222"/>
            </w:placeholder>
          </w:sdtPr>
          <w:sdtContent>
            <w:p w:rsidR="00B637B2" w:rsidRDefault="00ED2DC7" w:rsidP="00B637B2">
              <w:r>
                <w:fldChar w:fldCharType="begin"/>
              </w:r>
              <w:r w:rsidR="008F04CF">
                <w:instrText xml:space="preserve"> MACROBUTTON  SnrToggleCheckbox □适用 </w:instrText>
              </w:r>
              <w:r>
                <w:fldChar w:fldCharType="end"/>
              </w:r>
              <w:r>
                <w:fldChar w:fldCharType="begin"/>
              </w:r>
              <w:r w:rsidR="008F04CF">
                <w:instrText xml:space="preserve"> MACROBUTTON  SnrToggleCheckbox √不适用 </w:instrText>
              </w:r>
              <w:r>
                <w:fldChar w:fldCharType="end"/>
              </w:r>
            </w:p>
          </w:sdtContent>
        </w:sdt>
        <w:p w:rsidR="00ED2DC7" w:rsidRDefault="000D0A99"/>
      </w:sdtContent>
    </w:sdt>
    <w:p w:rsidR="00ED2DC7" w:rsidRDefault="00ED2DC7"/>
    <w:sdt>
      <w:sdtPr>
        <w:rPr>
          <w:rFonts w:ascii="宋体" w:hAnsi="宋体" w:cs="宋体" w:hint="eastAsia"/>
          <w:b w:val="0"/>
          <w:bCs w:val="0"/>
          <w:kern w:val="0"/>
          <w:szCs w:val="24"/>
        </w:rPr>
        <w:alias w:val="模块:处置子公司收到的现金净额"/>
        <w:tag w:val="_GBC_2b15b115b2104b8ba327581d943203fc"/>
        <w:id w:val="-461498379"/>
        <w:lock w:val="sdtLocked"/>
        <w:placeholder>
          <w:docPart w:val="GBC22222222222222222222222222222"/>
        </w:placeholder>
      </w:sdtPr>
      <w:sdtContent>
        <w:p w:rsidR="00ED2DC7" w:rsidRDefault="00ED2DC7" w:rsidP="00036BDC">
          <w:pPr>
            <w:pStyle w:val="affffffffffffffffff2"/>
            <w:numPr>
              <w:ilvl w:val="0"/>
              <w:numId w:val="80"/>
            </w:numPr>
          </w:pPr>
          <w:r>
            <w:rPr>
              <w:rFonts w:ascii="宋体" w:hAnsi="宋体" w:cs="宋体" w:hint="eastAsia"/>
              <w:bCs w:val="0"/>
              <w:kern w:val="0"/>
              <w:szCs w:val="24"/>
            </w:rPr>
            <w:t>本期收到的</w:t>
          </w:r>
          <w:r>
            <w:rPr>
              <w:rFonts w:hint="eastAsia"/>
            </w:rPr>
            <w:t>处置子公司的现金净额</w:t>
          </w:r>
        </w:p>
        <w:sdt>
          <w:sdtPr>
            <w:alias w:val="是否适用：本期收到的处置子公司的现金净额[双击切换]"/>
            <w:tag w:val="_GBC_2b4b13c85bb94d13bb7b7edebe0a9f5a"/>
            <w:id w:val="-652293751"/>
            <w:lock w:val="sdtContentLocked"/>
            <w:placeholder>
              <w:docPart w:val="GBC22222222222222222222222222222"/>
            </w:placeholder>
          </w:sdtPr>
          <w:sdtContent>
            <w:p w:rsidR="00BB3393" w:rsidRDefault="00ED2DC7" w:rsidP="00BB3393">
              <w:r>
                <w:fldChar w:fldCharType="begin"/>
              </w:r>
              <w:r w:rsidR="00BB3393">
                <w:instrText xml:space="preserve"> MACROBUTTON  SnrToggleCheckbox □适用 </w:instrText>
              </w:r>
              <w:r>
                <w:fldChar w:fldCharType="end"/>
              </w:r>
              <w:r>
                <w:fldChar w:fldCharType="begin"/>
              </w:r>
              <w:r w:rsidR="00BB3393">
                <w:instrText xml:space="preserve"> MACROBUTTON  SnrToggleCheckbox √不适用 </w:instrText>
              </w:r>
              <w:r>
                <w:fldChar w:fldCharType="end"/>
              </w:r>
            </w:p>
          </w:sdtContent>
        </w:sdt>
        <w:p w:rsidR="00ED2DC7" w:rsidRDefault="000D0A99"/>
      </w:sdtContent>
    </w:sdt>
    <w:sdt>
      <w:sdtPr>
        <w:rPr>
          <w:rFonts w:ascii="宋体" w:hAnsi="宋体" w:cs="宋体" w:hint="eastAsia"/>
          <w:b w:val="0"/>
          <w:bCs w:val="0"/>
          <w:kern w:val="0"/>
          <w:szCs w:val="21"/>
        </w:rPr>
        <w:alias w:val="模块:现金和现金等价物的构成"/>
        <w:tag w:val="_GBC_b19766ead83d4bb4825af61147af6138"/>
        <w:id w:val="-2111418978"/>
        <w:lock w:val="sdtLocked"/>
        <w:placeholder>
          <w:docPart w:val="GBC22222222222222222222222222222"/>
        </w:placeholder>
      </w:sdtPr>
      <w:sdtEndPr>
        <w:rPr>
          <w:rFonts w:hint="default"/>
          <w:szCs w:val="22"/>
        </w:rPr>
      </w:sdtEndPr>
      <w:sdtContent>
        <w:p w:rsidR="00ED2DC7" w:rsidRPr="0038753C" w:rsidRDefault="00ED2DC7" w:rsidP="00036BDC">
          <w:pPr>
            <w:pStyle w:val="affffffffffffffffff2"/>
            <w:numPr>
              <w:ilvl w:val="0"/>
              <w:numId w:val="80"/>
            </w:numPr>
            <w:rPr>
              <w:szCs w:val="21"/>
            </w:rPr>
          </w:pPr>
          <w:r w:rsidRPr="0038753C">
            <w:rPr>
              <w:rFonts w:ascii="宋体" w:hAnsi="宋体" w:hint="eastAsia"/>
              <w:szCs w:val="21"/>
            </w:rPr>
            <w:t>现金</w:t>
          </w:r>
          <w:r w:rsidRPr="0038753C">
            <w:rPr>
              <w:rFonts w:hint="eastAsia"/>
              <w:szCs w:val="21"/>
            </w:rPr>
            <w:t>和现金</w:t>
          </w:r>
          <w:r w:rsidRPr="0038753C">
            <w:rPr>
              <w:rFonts w:hint="eastAsia"/>
            </w:rPr>
            <w:t>等价物</w:t>
          </w:r>
          <w:r w:rsidRPr="0038753C">
            <w:rPr>
              <w:rFonts w:hint="eastAsia"/>
              <w:szCs w:val="21"/>
            </w:rPr>
            <w:t>的构成</w:t>
          </w:r>
        </w:p>
        <w:sdt>
          <w:sdtPr>
            <w:alias w:val="是否适用：现金和现金等价物的构成[双击切换]"/>
            <w:tag w:val="_GBC_4f1d477972634410a6ea7bdfaf766947"/>
            <w:id w:val="1596358981"/>
            <w:lock w:val="sdtContentLocked"/>
            <w:placeholder>
              <w:docPart w:val="GBC22222222222222222222222222222"/>
            </w:placeholder>
          </w:sdtPr>
          <w:sdtContent>
            <w:p w:rsidR="00ED2DC7" w:rsidRDefault="00ED2DC7">
              <w:r>
                <w:fldChar w:fldCharType="begin"/>
              </w:r>
              <w:r w:rsidR="00BB3393">
                <w:instrText xml:space="preserve"> MACROBUTTON  SnrToggleCheckbox √适用 </w:instrText>
              </w:r>
              <w:r>
                <w:fldChar w:fldCharType="end"/>
              </w:r>
              <w:r>
                <w:fldChar w:fldCharType="begin"/>
              </w:r>
              <w:r w:rsidR="00BB3393">
                <w:instrText xml:space="preserve"> MACROBUTTON  SnrToggleCheckbox □不适用 </w:instrText>
              </w:r>
              <w:r>
                <w:fldChar w:fldCharType="end"/>
              </w:r>
            </w:p>
          </w:sdtContent>
        </w:sdt>
        <w:p w:rsidR="00ED2DC7" w:rsidRDefault="00ED2DC7">
          <w:pPr>
            <w:jc w:val="right"/>
            <w:rPr>
              <w:b/>
              <w:szCs w:val="21"/>
            </w:rPr>
          </w:pPr>
          <w:r>
            <w:rPr>
              <w:rFonts w:hint="eastAsia"/>
            </w:rPr>
            <w:t>单位：</w:t>
          </w:r>
          <w:sdt>
            <w:sdtPr>
              <w:rPr>
                <w:rFonts w:hint="eastAsia"/>
              </w:rPr>
              <w:alias w:val="单位：财务附注：现金和现金等价物的构成"/>
              <w:tag w:val="_GBC_b65333ba6aec402382c4acbbb6696560"/>
              <w:id w:val="-21448798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hint="eastAsia"/>
                </w:rPr>
                <w:t>元</w:t>
              </w:r>
            </w:sdtContent>
          </w:sdt>
          <w:r>
            <w:rPr>
              <w:rFonts w:hint="eastAsia"/>
            </w:rPr>
            <w:t xml:space="preserve">  币种：</w:t>
          </w:r>
          <w:sdt>
            <w:sdtPr>
              <w:rPr>
                <w:rFonts w:hint="eastAsia"/>
              </w:rPr>
              <w:alias w:val="币种：财务附注：现金和现金等价物的构成"/>
              <w:tag w:val="_GBC_15cada3a52264083942ef83a40fa25a0"/>
              <w:id w:val="9497413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rPr>
                <w:t>人民币</w:t>
              </w:r>
            </w:sdtContent>
          </w:sdt>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9"/>
            <w:gridCol w:w="2848"/>
            <w:gridCol w:w="2666"/>
          </w:tblGrid>
          <w:tr w:rsidR="00ED2DC7" w:rsidTr="00D84D13">
            <w:trPr>
              <w:trHeight w:val="285"/>
            </w:trPr>
            <w:bookmarkStart w:id="218" w:name="_Hlk16624038" w:displacedByCustomXml="next"/>
            <w:sdt>
              <w:sdtPr>
                <w:tag w:val="_PLD_d5bf85e9303e4843a7623f09eae933c6"/>
                <w:id w:val="-1410456127"/>
                <w:lock w:val="sdtLocked"/>
              </w:sdtPr>
              <w:sdtContent>
                <w:tc>
                  <w:tcPr>
                    <w:tcW w:w="1875" w:type="pct"/>
                    <w:tcBorders>
                      <w:bottom w:val="single" w:sz="4" w:space="0" w:color="auto"/>
                    </w:tcBorders>
                    <w:shd w:val="clear" w:color="auto" w:fill="auto"/>
                    <w:vAlign w:val="center"/>
                  </w:tcPr>
                  <w:p w:rsidR="00ED2DC7" w:rsidRDefault="00ED2DC7">
                    <w:pPr>
                      <w:ind w:leftChars="-51" w:left="-107"/>
                      <w:jc w:val="center"/>
                      <w:rPr>
                        <w:szCs w:val="21"/>
                      </w:rPr>
                    </w:pPr>
                    <w:r>
                      <w:rPr>
                        <w:rFonts w:hint="eastAsia"/>
                        <w:szCs w:val="21"/>
                      </w:rPr>
                      <w:t>项目</w:t>
                    </w:r>
                  </w:p>
                </w:tc>
              </w:sdtContent>
            </w:sdt>
            <w:sdt>
              <w:sdtPr>
                <w:tag w:val="_PLD_e3a960d2f6474687b9cbaec3f1075e19"/>
                <w:id w:val="-1315095534"/>
                <w:lock w:val="sdtLocked"/>
              </w:sdtPr>
              <w:sdtContent>
                <w:tc>
                  <w:tcPr>
                    <w:tcW w:w="1614" w:type="pct"/>
                    <w:shd w:val="clear" w:color="auto" w:fill="auto"/>
                    <w:vAlign w:val="center"/>
                  </w:tcPr>
                  <w:p w:rsidR="00ED2DC7" w:rsidRDefault="00ED2DC7">
                    <w:pPr>
                      <w:jc w:val="center"/>
                      <w:rPr>
                        <w:szCs w:val="21"/>
                      </w:rPr>
                    </w:pPr>
                    <w:r>
                      <w:rPr>
                        <w:rFonts w:hint="eastAsia"/>
                        <w:szCs w:val="21"/>
                      </w:rPr>
                      <w:t>期末余额</w:t>
                    </w:r>
                  </w:p>
                </w:tc>
              </w:sdtContent>
            </w:sdt>
            <w:sdt>
              <w:sdtPr>
                <w:tag w:val="_PLD_0d0909eba9344c8ab96c7fb88f0b117a"/>
                <w:id w:val="-599180630"/>
                <w:lock w:val="sdtLocked"/>
              </w:sdtPr>
              <w:sdtContent>
                <w:tc>
                  <w:tcPr>
                    <w:tcW w:w="1511" w:type="pct"/>
                    <w:shd w:val="clear" w:color="auto" w:fill="auto"/>
                  </w:tcPr>
                  <w:p w:rsidR="00ED2DC7" w:rsidRDefault="00ED2DC7">
                    <w:pPr>
                      <w:jc w:val="center"/>
                      <w:rPr>
                        <w:szCs w:val="21"/>
                      </w:rPr>
                    </w:pPr>
                    <w:r>
                      <w:rPr>
                        <w:rFonts w:hint="eastAsia"/>
                        <w:szCs w:val="21"/>
                      </w:rPr>
                      <w:t>期初余额</w:t>
                    </w:r>
                  </w:p>
                </w:tc>
              </w:sdtContent>
            </w:sdt>
          </w:tr>
          <w:tr w:rsidR="00ED2DC7" w:rsidTr="00D84D13">
            <w:trPr>
              <w:trHeight w:val="285"/>
            </w:trPr>
            <w:sdt>
              <w:sdtPr>
                <w:tag w:val="_PLD_6a173ce99a864661a21d726eff0af5b3"/>
                <w:id w:val="-690139166"/>
                <w:lock w:val="sdtLocked"/>
              </w:sdtPr>
              <w:sdtContent>
                <w:tc>
                  <w:tcPr>
                    <w:tcW w:w="1875" w:type="pct"/>
                    <w:shd w:val="clear" w:color="auto" w:fill="auto"/>
                    <w:vAlign w:val="center"/>
                  </w:tcPr>
                  <w:p w:rsidR="00ED2DC7" w:rsidRDefault="00ED2DC7">
                    <w:pPr>
                      <w:rPr>
                        <w:szCs w:val="21"/>
                      </w:rPr>
                    </w:pPr>
                    <w:r>
                      <w:rPr>
                        <w:rFonts w:hint="eastAsia"/>
                        <w:szCs w:val="21"/>
                      </w:rPr>
                      <w:t>一、现金</w:t>
                    </w:r>
                  </w:p>
                </w:tc>
              </w:sdtContent>
            </w:sdt>
            <w:tc>
              <w:tcPr>
                <w:tcW w:w="1614" w:type="pct"/>
                <w:shd w:val="clear" w:color="auto" w:fill="auto"/>
              </w:tcPr>
              <w:p w:rsidR="00ED2DC7" w:rsidRDefault="00DA4C65">
                <w:pPr>
                  <w:jc w:val="right"/>
                  <w:rPr>
                    <w:szCs w:val="21"/>
                  </w:rPr>
                </w:pPr>
                <w:r w:rsidRPr="00DA4C65">
                  <w:rPr>
                    <w:szCs w:val="21"/>
                  </w:rPr>
                  <w:t>3,528,503,616</w:t>
                </w:r>
              </w:p>
            </w:tc>
            <w:tc>
              <w:tcPr>
                <w:tcW w:w="1511" w:type="pct"/>
                <w:shd w:val="clear" w:color="auto" w:fill="auto"/>
              </w:tcPr>
              <w:p w:rsidR="00ED2DC7" w:rsidRDefault="00036BDC" w:rsidP="00B637B2">
                <w:pPr>
                  <w:jc w:val="right"/>
                  <w:rPr>
                    <w:szCs w:val="21"/>
                  </w:rPr>
                </w:pPr>
                <w:r w:rsidRPr="004C1936">
                  <w:rPr>
                    <w:szCs w:val="21"/>
                  </w:rPr>
                  <w:t>4,849,879,509</w:t>
                </w:r>
              </w:p>
            </w:tc>
          </w:tr>
          <w:tr w:rsidR="00ED2DC7" w:rsidTr="00D84D13">
            <w:trPr>
              <w:trHeight w:val="285"/>
            </w:trPr>
            <w:sdt>
              <w:sdtPr>
                <w:tag w:val="_PLD_00026e2b0a3d4b39803714a078a9949d"/>
                <w:id w:val="-127857211"/>
                <w:lock w:val="sdtLocked"/>
              </w:sdtPr>
              <w:sdtContent>
                <w:tc>
                  <w:tcPr>
                    <w:tcW w:w="1875" w:type="pct"/>
                    <w:shd w:val="clear" w:color="auto" w:fill="auto"/>
                    <w:vAlign w:val="center"/>
                  </w:tcPr>
                  <w:p w:rsidR="00ED2DC7" w:rsidRDefault="00ED2DC7">
                    <w:pPr>
                      <w:rPr>
                        <w:szCs w:val="21"/>
                      </w:rPr>
                    </w:pPr>
                    <w:r>
                      <w:rPr>
                        <w:rFonts w:hint="eastAsia"/>
                        <w:szCs w:val="21"/>
                      </w:rPr>
                      <w:t>其中：库存现金</w:t>
                    </w:r>
                  </w:p>
                </w:tc>
              </w:sdtContent>
            </w:sdt>
            <w:tc>
              <w:tcPr>
                <w:tcW w:w="1614" w:type="pct"/>
                <w:shd w:val="clear" w:color="auto" w:fill="auto"/>
              </w:tcPr>
              <w:p w:rsidR="00ED2DC7" w:rsidRDefault="00DA4C65">
                <w:pPr>
                  <w:jc w:val="right"/>
                  <w:rPr>
                    <w:szCs w:val="21"/>
                  </w:rPr>
                </w:pPr>
                <w:r w:rsidRPr="00DA4C65">
                  <w:rPr>
                    <w:szCs w:val="21"/>
                  </w:rPr>
                  <w:t>311,738</w:t>
                </w:r>
              </w:p>
            </w:tc>
            <w:tc>
              <w:tcPr>
                <w:tcW w:w="1511" w:type="pct"/>
                <w:shd w:val="clear" w:color="auto" w:fill="auto"/>
              </w:tcPr>
              <w:p w:rsidR="00ED2DC7" w:rsidRDefault="00036BDC">
                <w:pPr>
                  <w:jc w:val="right"/>
                  <w:rPr>
                    <w:szCs w:val="21"/>
                  </w:rPr>
                </w:pPr>
                <w:r w:rsidRPr="004C1936">
                  <w:rPr>
                    <w:szCs w:val="21"/>
                  </w:rPr>
                  <w:t>462,130</w:t>
                </w:r>
              </w:p>
            </w:tc>
          </w:tr>
          <w:tr w:rsidR="00ED2DC7" w:rsidTr="00D84D13">
            <w:trPr>
              <w:trHeight w:val="285"/>
            </w:trPr>
            <w:sdt>
              <w:sdtPr>
                <w:tag w:val="_PLD_703c5ac82ddb4fd7bf9d7372c95ca92f"/>
                <w:id w:val="2100135602"/>
                <w:lock w:val="sdtLocked"/>
              </w:sdtPr>
              <w:sdtContent>
                <w:tc>
                  <w:tcPr>
                    <w:tcW w:w="1875" w:type="pct"/>
                    <w:shd w:val="clear" w:color="auto" w:fill="auto"/>
                    <w:vAlign w:val="center"/>
                  </w:tcPr>
                  <w:p w:rsidR="00ED2DC7" w:rsidRDefault="00ED2DC7">
                    <w:pPr>
                      <w:rPr>
                        <w:szCs w:val="21"/>
                      </w:rPr>
                    </w:pPr>
                    <w:r>
                      <w:rPr>
                        <w:rFonts w:hint="eastAsia"/>
                        <w:szCs w:val="21"/>
                      </w:rPr>
                      <w:t xml:space="preserve">　　可随时用于支付的银行存款</w:t>
                    </w:r>
                  </w:p>
                </w:tc>
              </w:sdtContent>
            </w:sdt>
            <w:tc>
              <w:tcPr>
                <w:tcW w:w="1614" w:type="pct"/>
                <w:shd w:val="clear" w:color="auto" w:fill="auto"/>
              </w:tcPr>
              <w:p w:rsidR="00ED2DC7" w:rsidRDefault="00DA4C65">
                <w:pPr>
                  <w:jc w:val="right"/>
                  <w:rPr>
                    <w:szCs w:val="21"/>
                  </w:rPr>
                </w:pPr>
                <w:r w:rsidRPr="00DA4C65">
                  <w:rPr>
                    <w:szCs w:val="21"/>
                  </w:rPr>
                  <w:t>3,464,517,095</w:t>
                </w:r>
              </w:p>
            </w:tc>
            <w:tc>
              <w:tcPr>
                <w:tcW w:w="1511" w:type="pct"/>
                <w:shd w:val="clear" w:color="auto" w:fill="auto"/>
              </w:tcPr>
              <w:p w:rsidR="00ED2DC7" w:rsidRDefault="00036BDC" w:rsidP="00B637B2">
                <w:pPr>
                  <w:jc w:val="right"/>
                  <w:rPr>
                    <w:szCs w:val="21"/>
                  </w:rPr>
                </w:pPr>
                <w:r w:rsidRPr="004C1936">
                  <w:rPr>
                    <w:szCs w:val="21"/>
                  </w:rPr>
                  <w:t>4,782,064,174</w:t>
                </w:r>
              </w:p>
            </w:tc>
          </w:tr>
          <w:tr w:rsidR="00ED2DC7" w:rsidTr="00D84D13">
            <w:trPr>
              <w:trHeight w:val="285"/>
            </w:trPr>
            <w:sdt>
              <w:sdtPr>
                <w:tag w:val="_PLD_39dc74346d4643c0b32e781621749a55"/>
                <w:id w:val="-1124763027"/>
                <w:lock w:val="sdtLocked"/>
              </w:sdtPr>
              <w:sdtContent>
                <w:tc>
                  <w:tcPr>
                    <w:tcW w:w="1875" w:type="pct"/>
                    <w:shd w:val="clear" w:color="auto" w:fill="auto"/>
                    <w:vAlign w:val="center"/>
                  </w:tcPr>
                  <w:p w:rsidR="00ED2DC7" w:rsidRDefault="00ED2DC7">
                    <w:pPr>
                      <w:rPr>
                        <w:szCs w:val="21"/>
                      </w:rPr>
                    </w:pPr>
                    <w:r>
                      <w:rPr>
                        <w:rFonts w:hint="eastAsia"/>
                        <w:szCs w:val="21"/>
                      </w:rPr>
                      <w:t xml:space="preserve">　　可随时用于支付的其他货币资金</w:t>
                    </w:r>
                  </w:p>
                </w:tc>
              </w:sdtContent>
            </w:sdt>
            <w:tc>
              <w:tcPr>
                <w:tcW w:w="1614" w:type="pct"/>
                <w:shd w:val="clear" w:color="auto" w:fill="auto"/>
              </w:tcPr>
              <w:p w:rsidR="00ED2DC7" w:rsidRDefault="00DA4C65" w:rsidP="00B637B2">
                <w:pPr>
                  <w:jc w:val="right"/>
                  <w:rPr>
                    <w:szCs w:val="21"/>
                  </w:rPr>
                </w:pPr>
                <w:r w:rsidRPr="00DA4C65">
                  <w:rPr>
                    <w:szCs w:val="21"/>
                  </w:rPr>
                  <w:t>63,674,783</w:t>
                </w:r>
              </w:p>
            </w:tc>
            <w:tc>
              <w:tcPr>
                <w:tcW w:w="1511" w:type="pct"/>
                <w:shd w:val="clear" w:color="auto" w:fill="auto"/>
              </w:tcPr>
              <w:p w:rsidR="00ED2DC7" w:rsidRDefault="00036BDC">
                <w:pPr>
                  <w:jc w:val="right"/>
                  <w:rPr>
                    <w:szCs w:val="21"/>
                  </w:rPr>
                </w:pPr>
                <w:r w:rsidRPr="004C1936">
                  <w:rPr>
                    <w:szCs w:val="21"/>
                  </w:rPr>
                  <w:t>67,353,205</w:t>
                </w:r>
              </w:p>
            </w:tc>
          </w:tr>
          <w:tr w:rsidR="00ED2DC7" w:rsidTr="00D84D13">
            <w:trPr>
              <w:trHeight w:val="285"/>
            </w:trPr>
            <w:sdt>
              <w:sdtPr>
                <w:tag w:val="_PLD_7097f486896a4d4b9e7684bc82f808ad"/>
                <w:id w:val="-188212871"/>
                <w:lock w:val="sdtLocked"/>
              </w:sdtPr>
              <w:sdtContent>
                <w:tc>
                  <w:tcPr>
                    <w:tcW w:w="1875" w:type="pct"/>
                    <w:shd w:val="clear" w:color="auto" w:fill="auto"/>
                    <w:vAlign w:val="center"/>
                  </w:tcPr>
                  <w:p w:rsidR="00ED2DC7" w:rsidRDefault="00ED2DC7">
                    <w:pPr>
                      <w:rPr>
                        <w:szCs w:val="21"/>
                      </w:rPr>
                    </w:pPr>
                    <w:r>
                      <w:rPr>
                        <w:rFonts w:hint="eastAsia"/>
                        <w:szCs w:val="21"/>
                      </w:rPr>
                      <w:t xml:space="preserve">　　可用于支付的存放中央银行款项</w:t>
                    </w:r>
                  </w:p>
                </w:tc>
              </w:sdtContent>
            </w:sdt>
            <w:tc>
              <w:tcPr>
                <w:tcW w:w="1614" w:type="pct"/>
                <w:shd w:val="clear" w:color="auto" w:fill="auto"/>
              </w:tcPr>
              <w:p w:rsidR="00ED2DC7" w:rsidRDefault="00ED2DC7">
                <w:pPr>
                  <w:jc w:val="right"/>
                  <w:rPr>
                    <w:szCs w:val="21"/>
                  </w:rPr>
                </w:pPr>
              </w:p>
            </w:tc>
            <w:tc>
              <w:tcPr>
                <w:tcW w:w="1511" w:type="pct"/>
                <w:shd w:val="clear" w:color="auto" w:fill="auto"/>
              </w:tcPr>
              <w:p w:rsidR="00ED2DC7" w:rsidRDefault="00ED2DC7">
                <w:pPr>
                  <w:jc w:val="right"/>
                  <w:rPr>
                    <w:szCs w:val="21"/>
                  </w:rPr>
                </w:pPr>
              </w:p>
            </w:tc>
          </w:tr>
          <w:tr w:rsidR="00ED2DC7" w:rsidTr="00D84D13">
            <w:trPr>
              <w:trHeight w:val="285"/>
            </w:trPr>
            <w:sdt>
              <w:sdtPr>
                <w:tag w:val="_PLD_8fe90894e50c435a91887b8f6baf82f7"/>
                <w:id w:val="1918438238"/>
                <w:lock w:val="sdtLocked"/>
              </w:sdtPr>
              <w:sdtContent>
                <w:tc>
                  <w:tcPr>
                    <w:tcW w:w="1875" w:type="pct"/>
                    <w:shd w:val="clear" w:color="auto" w:fill="auto"/>
                    <w:vAlign w:val="center"/>
                  </w:tcPr>
                  <w:p w:rsidR="00ED2DC7" w:rsidRDefault="00ED2DC7">
                    <w:pPr>
                      <w:rPr>
                        <w:szCs w:val="21"/>
                      </w:rPr>
                    </w:pPr>
                    <w:r>
                      <w:rPr>
                        <w:rFonts w:hint="eastAsia"/>
                        <w:szCs w:val="21"/>
                      </w:rPr>
                      <w:t xml:space="preserve">　　存放同业款项</w:t>
                    </w:r>
                  </w:p>
                </w:tc>
              </w:sdtContent>
            </w:sdt>
            <w:tc>
              <w:tcPr>
                <w:tcW w:w="1614" w:type="pct"/>
                <w:shd w:val="clear" w:color="auto" w:fill="auto"/>
              </w:tcPr>
              <w:p w:rsidR="00ED2DC7" w:rsidRDefault="00ED2DC7">
                <w:pPr>
                  <w:jc w:val="right"/>
                  <w:rPr>
                    <w:szCs w:val="21"/>
                  </w:rPr>
                </w:pPr>
              </w:p>
            </w:tc>
            <w:tc>
              <w:tcPr>
                <w:tcW w:w="1511" w:type="pct"/>
                <w:shd w:val="clear" w:color="auto" w:fill="auto"/>
              </w:tcPr>
              <w:p w:rsidR="00ED2DC7" w:rsidRDefault="00ED2DC7">
                <w:pPr>
                  <w:jc w:val="right"/>
                  <w:rPr>
                    <w:szCs w:val="21"/>
                  </w:rPr>
                </w:pPr>
              </w:p>
            </w:tc>
          </w:tr>
          <w:tr w:rsidR="00ED2DC7" w:rsidTr="00D84D13">
            <w:trPr>
              <w:trHeight w:val="285"/>
            </w:trPr>
            <w:sdt>
              <w:sdtPr>
                <w:tag w:val="_PLD_5808644810d54676897d0089359a83b2"/>
                <w:id w:val="1446730197"/>
                <w:lock w:val="sdtLocked"/>
              </w:sdtPr>
              <w:sdtContent>
                <w:tc>
                  <w:tcPr>
                    <w:tcW w:w="1875" w:type="pct"/>
                    <w:shd w:val="clear" w:color="auto" w:fill="auto"/>
                    <w:vAlign w:val="center"/>
                  </w:tcPr>
                  <w:p w:rsidR="00ED2DC7" w:rsidRDefault="00ED2DC7">
                    <w:pPr>
                      <w:rPr>
                        <w:szCs w:val="21"/>
                      </w:rPr>
                    </w:pPr>
                    <w:r>
                      <w:rPr>
                        <w:rFonts w:hint="eastAsia"/>
                        <w:szCs w:val="21"/>
                      </w:rPr>
                      <w:t xml:space="preserve">　　拆放同业款项</w:t>
                    </w:r>
                  </w:p>
                </w:tc>
              </w:sdtContent>
            </w:sdt>
            <w:tc>
              <w:tcPr>
                <w:tcW w:w="1614" w:type="pct"/>
                <w:shd w:val="clear" w:color="auto" w:fill="auto"/>
              </w:tcPr>
              <w:p w:rsidR="00ED2DC7" w:rsidRDefault="00ED2DC7">
                <w:pPr>
                  <w:jc w:val="right"/>
                  <w:rPr>
                    <w:szCs w:val="21"/>
                  </w:rPr>
                </w:pPr>
              </w:p>
            </w:tc>
            <w:tc>
              <w:tcPr>
                <w:tcW w:w="1511" w:type="pct"/>
                <w:shd w:val="clear" w:color="auto" w:fill="auto"/>
              </w:tcPr>
              <w:p w:rsidR="00ED2DC7" w:rsidRDefault="00ED2DC7">
                <w:pPr>
                  <w:jc w:val="right"/>
                  <w:rPr>
                    <w:szCs w:val="21"/>
                  </w:rPr>
                </w:pPr>
              </w:p>
            </w:tc>
          </w:tr>
          <w:tr w:rsidR="00ED2DC7" w:rsidTr="00D84D13">
            <w:trPr>
              <w:trHeight w:val="285"/>
            </w:trPr>
            <w:sdt>
              <w:sdtPr>
                <w:tag w:val="_PLD_908c5e073add4fa8a13ed054455379d9"/>
                <w:id w:val="-1464418163"/>
                <w:lock w:val="sdtLocked"/>
              </w:sdtPr>
              <w:sdtContent>
                <w:tc>
                  <w:tcPr>
                    <w:tcW w:w="1875" w:type="pct"/>
                    <w:shd w:val="clear" w:color="auto" w:fill="auto"/>
                    <w:vAlign w:val="center"/>
                  </w:tcPr>
                  <w:p w:rsidR="00ED2DC7" w:rsidRDefault="00ED2DC7">
                    <w:pPr>
                      <w:rPr>
                        <w:szCs w:val="21"/>
                      </w:rPr>
                    </w:pPr>
                    <w:r>
                      <w:rPr>
                        <w:rFonts w:hint="eastAsia"/>
                        <w:szCs w:val="21"/>
                      </w:rPr>
                      <w:t>二、现金等价物</w:t>
                    </w:r>
                  </w:p>
                </w:tc>
              </w:sdtContent>
            </w:sdt>
            <w:tc>
              <w:tcPr>
                <w:tcW w:w="1614" w:type="pct"/>
                <w:shd w:val="clear" w:color="auto" w:fill="auto"/>
              </w:tcPr>
              <w:p w:rsidR="00ED2DC7" w:rsidRDefault="00ED2DC7">
                <w:pPr>
                  <w:jc w:val="right"/>
                  <w:rPr>
                    <w:szCs w:val="21"/>
                  </w:rPr>
                </w:pPr>
              </w:p>
            </w:tc>
            <w:tc>
              <w:tcPr>
                <w:tcW w:w="1511" w:type="pct"/>
                <w:shd w:val="clear" w:color="auto" w:fill="auto"/>
              </w:tcPr>
              <w:p w:rsidR="00ED2DC7" w:rsidRDefault="00ED2DC7">
                <w:pPr>
                  <w:jc w:val="right"/>
                  <w:rPr>
                    <w:szCs w:val="21"/>
                  </w:rPr>
                </w:pPr>
              </w:p>
            </w:tc>
          </w:tr>
          <w:tr w:rsidR="00ED2DC7" w:rsidTr="00D84D13">
            <w:trPr>
              <w:trHeight w:val="285"/>
            </w:trPr>
            <w:sdt>
              <w:sdtPr>
                <w:tag w:val="_PLD_652a861f17ac4cdd9702ff63844d42cc"/>
                <w:id w:val="994686621"/>
                <w:lock w:val="sdtLocked"/>
              </w:sdtPr>
              <w:sdtContent>
                <w:tc>
                  <w:tcPr>
                    <w:tcW w:w="1875" w:type="pct"/>
                    <w:tcBorders>
                      <w:bottom w:val="single" w:sz="4" w:space="0" w:color="auto"/>
                    </w:tcBorders>
                    <w:shd w:val="clear" w:color="auto" w:fill="auto"/>
                    <w:vAlign w:val="center"/>
                  </w:tcPr>
                  <w:p w:rsidR="00ED2DC7" w:rsidRDefault="00ED2DC7">
                    <w:pPr>
                      <w:rPr>
                        <w:szCs w:val="21"/>
                      </w:rPr>
                    </w:pPr>
                    <w:r>
                      <w:rPr>
                        <w:rFonts w:hint="eastAsia"/>
                        <w:szCs w:val="21"/>
                      </w:rPr>
                      <w:t>其中：三个月内到期的债券投资</w:t>
                    </w:r>
                  </w:p>
                </w:tc>
              </w:sdtContent>
            </w:sdt>
            <w:tc>
              <w:tcPr>
                <w:tcW w:w="1614" w:type="pct"/>
                <w:tcBorders>
                  <w:bottom w:val="single" w:sz="4" w:space="0" w:color="auto"/>
                </w:tcBorders>
                <w:shd w:val="clear" w:color="auto" w:fill="auto"/>
              </w:tcPr>
              <w:p w:rsidR="00ED2DC7" w:rsidRDefault="00ED2DC7">
                <w:pPr>
                  <w:jc w:val="right"/>
                  <w:rPr>
                    <w:szCs w:val="21"/>
                  </w:rPr>
                </w:pPr>
              </w:p>
            </w:tc>
            <w:tc>
              <w:tcPr>
                <w:tcW w:w="1511" w:type="pct"/>
                <w:tcBorders>
                  <w:bottom w:val="single" w:sz="4" w:space="0" w:color="auto"/>
                </w:tcBorders>
                <w:shd w:val="clear" w:color="auto" w:fill="auto"/>
              </w:tcPr>
              <w:p w:rsidR="00ED2DC7" w:rsidRDefault="00ED2DC7">
                <w:pPr>
                  <w:jc w:val="right"/>
                  <w:rPr>
                    <w:szCs w:val="21"/>
                  </w:rPr>
                </w:pPr>
              </w:p>
            </w:tc>
          </w:tr>
          <w:sdt>
            <w:sdtPr>
              <w:rPr>
                <w:szCs w:val="21"/>
              </w:rPr>
              <w:alias w:val="现金等价物明细"/>
              <w:tag w:val="_GBC_bf462c693b1047ea944cb9d373647912"/>
              <w:id w:val="-149744314"/>
              <w:lock w:val="sdtLocked"/>
              <w:placeholder>
                <w:docPart w:val="GBC11111111111111111111111111111"/>
              </w:placeholder>
            </w:sdtPr>
            <w:sdtEndPr>
              <w:rPr>
                <w:rFonts w:hint="eastAsia"/>
              </w:rPr>
            </w:sdtEndPr>
            <w:sdtContent>
              <w:tr w:rsidR="00ED2DC7" w:rsidTr="00D84D13">
                <w:trPr>
                  <w:trHeight w:val="285"/>
                </w:trPr>
                <w:tc>
                  <w:tcPr>
                    <w:tcW w:w="1875" w:type="pct"/>
                    <w:shd w:val="clear" w:color="auto" w:fill="auto"/>
                    <w:vAlign w:val="center"/>
                  </w:tcPr>
                  <w:p w:rsidR="00ED2DC7" w:rsidRDefault="00ED2DC7">
                    <w:pPr>
                      <w:rPr>
                        <w:szCs w:val="21"/>
                      </w:rPr>
                    </w:pPr>
                  </w:p>
                </w:tc>
                <w:tc>
                  <w:tcPr>
                    <w:tcW w:w="1614" w:type="pct"/>
                    <w:shd w:val="clear" w:color="auto" w:fill="auto"/>
                  </w:tcPr>
                  <w:p w:rsidR="00ED2DC7" w:rsidRDefault="00ED2DC7">
                    <w:pPr>
                      <w:jc w:val="right"/>
                      <w:rPr>
                        <w:szCs w:val="21"/>
                      </w:rPr>
                    </w:pPr>
                  </w:p>
                </w:tc>
                <w:tc>
                  <w:tcPr>
                    <w:tcW w:w="1511" w:type="pct"/>
                    <w:shd w:val="clear" w:color="auto" w:fill="auto"/>
                  </w:tcPr>
                  <w:p w:rsidR="00ED2DC7" w:rsidRDefault="00ED2DC7">
                    <w:pPr>
                      <w:jc w:val="right"/>
                      <w:rPr>
                        <w:szCs w:val="21"/>
                      </w:rPr>
                    </w:pPr>
                  </w:p>
                </w:tc>
              </w:tr>
            </w:sdtContent>
          </w:sdt>
          <w:sdt>
            <w:sdtPr>
              <w:rPr>
                <w:szCs w:val="21"/>
              </w:rPr>
              <w:alias w:val="现金等价物明细"/>
              <w:tag w:val="_GBC_bf462c693b1047ea944cb9d373647912"/>
              <w:id w:val="1753319344"/>
              <w:lock w:val="sdtLocked"/>
              <w:placeholder>
                <w:docPart w:val="GBC11111111111111111111111111111"/>
              </w:placeholder>
            </w:sdtPr>
            <w:sdtEndPr>
              <w:rPr>
                <w:rFonts w:hint="eastAsia"/>
              </w:rPr>
            </w:sdtEndPr>
            <w:sdtContent>
              <w:tr w:rsidR="00ED2DC7" w:rsidTr="00D84D13">
                <w:trPr>
                  <w:trHeight w:val="285"/>
                </w:trPr>
                <w:tc>
                  <w:tcPr>
                    <w:tcW w:w="1875" w:type="pct"/>
                    <w:shd w:val="clear" w:color="auto" w:fill="auto"/>
                    <w:vAlign w:val="center"/>
                  </w:tcPr>
                  <w:p w:rsidR="00ED2DC7" w:rsidRDefault="00ED2DC7">
                    <w:pPr>
                      <w:rPr>
                        <w:szCs w:val="21"/>
                      </w:rPr>
                    </w:pPr>
                  </w:p>
                </w:tc>
                <w:tc>
                  <w:tcPr>
                    <w:tcW w:w="1614" w:type="pct"/>
                    <w:shd w:val="clear" w:color="auto" w:fill="auto"/>
                  </w:tcPr>
                  <w:p w:rsidR="00ED2DC7" w:rsidRDefault="00ED2DC7">
                    <w:pPr>
                      <w:jc w:val="right"/>
                      <w:rPr>
                        <w:szCs w:val="21"/>
                      </w:rPr>
                    </w:pPr>
                  </w:p>
                </w:tc>
                <w:tc>
                  <w:tcPr>
                    <w:tcW w:w="1511" w:type="pct"/>
                    <w:shd w:val="clear" w:color="auto" w:fill="auto"/>
                  </w:tcPr>
                  <w:p w:rsidR="00ED2DC7" w:rsidRDefault="00ED2DC7">
                    <w:pPr>
                      <w:jc w:val="right"/>
                      <w:rPr>
                        <w:szCs w:val="21"/>
                      </w:rPr>
                    </w:pPr>
                  </w:p>
                </w:tc>
              </w:tr>
            </w:sdtContent>
          </w:sdt>
          <w:tr w:rsidR="00ED2DC7" w:rsidTr="00D84D13">
            <w:trPr>
              <w:trHeight w:val="285"/>
            </w:trPr>
            <w:sdt>
              <w:sdtPr>
                <w:tag w:val="_PLD_4d07bfc591df4d5483e486621c246fa5"/>
                <w:id w:val="451444050"/>
                <w:lock w:val="sdtLocked"/>
              </w:sdtPr>
              <w:sdtContent>
                <w:tc>
                  <w:tcPr>
                    <w:tcW w:w="1875" w:type="pct"/>
                    <w:shd w:val="clear" w:color="auto" w:fill="auto"/>
                    <w:vAlign w:val="center"/>
                  </w:tcPr>
                  <w:p w:rsidR="00ED2DC7" w:rsidRDefault="00ED2DC7">
                    <w:pPr>
                      <w:rPr>
                        <w:szCs w:val="21"/>
                      </w:rPr>
                    </w:pPr>
                    <w:r>
                      <w:rPr>
                        <w:rFonts w:hint="eastAsia"/>
                        <w:szCs w:val="21"/>
                      </w:rPr>
                      <w:t>三、期末现金及现金等价物余额</w:t>
                    </w:r>
                  </w:p>
                </w:tc>
              </w:sdtContent>
            </w:sdt>
            <w:tc>
              <w:tcPr>
                <w:tcW w:w="1614" w:type="pct"/>
                <w:shd w:val="clear" w:color="auto" w:fill="auto"/>
              </w:tcPr>
              <w:p w:rsidR="00ED2DC7" w:rsidRDefault="00DA4C65" w:rsidP="00B637B2">
                <w:pPr>
                  <w:jc w:val="right"/>
                  <w:rPr>
                    <w:szCs w:val="21"/>
                  </w:rPr>
                </w:pPr>
                <w:r w:rsidRPr="00DA4C65">
                  <w:rPr>
                    <w:szCs w:val="21"/>
                  </w:rPr>
                  <w:t>3,528,503,616</w:t>
                </w:r>
              </w:p>
            </w:tc>
            <w:tc>
              <w:tcPr>
                <w:tcW w:w="1511" w:type="pct"/>
                <w:shd w:val="clear" w:color="auto" w:fill="auto"/>
              </w:tcPr>
              <w:p w:rsidR="00ED2DC7" w:rsidRDefault="00036BDC">
                <w:pPr>
                  <w:jc w:val="right"/>
                  <w:rPr>
                    <w:szCs w:val="21"/>
                  </w:rPr>
                </w:pPr>
                <w:r w:rsidRPr="004C1936">
                  <w:rPr>
                    <w:szCs w:val="21"/>
                  </w:rPr>
                  <w:t>4,849,879,509</w:t>
                </w:r>
              </w:p>
            </w:tc>
          </w:tr>
          <w:tr w:rsidR="00ED2DC7" w:rsidTr="00D84D13">
            <w:trPr>
              <w:trHeight w:val="285"/>
            </w:trPr>
            <w:sdt>
              <w:sdtPr>
                <w:tag w:val="_PLD_a7dfcdf890714f1c879ddf8d09d45801"/>
                <w:id w:val="313077148"/>
                <w:lock w:val="sdtLocked"/>
              </w:sdtPr>
              <w:sdtContent>
                <w:tc>
                  <w:tcPr>
                    <w:tcW w:w="1875" w:type="pct"/>
                    <w:shd w:val="clear" w:color="auto" w:fill="auto"/>
                    <w:vAlign w:val="center"/>
                  </w:tcPr>
                  <w:p w:rsidR="00ED2DC7" w:rsidRDefault="00ED2DC7">
                    <w:pPr>
                      <w:rPr>
                        <w:szCs w:val="21"/>
                      </w:rPr>
                    </w:pPr>
                    <w:r>
                      <w:rPr>
                        <w:rFonts w:hint="eastAsia"/>
                        <w:szCs w:val="21"/>
                      </w:rPr>
                      <w:t>其中：母公司或集团内子公司使用受限制的现金和现金等价物</w:t>
                    </w:r>
                  </w:p>
                </w:tc>
              </w:sdtContent>
            </w:sdt>
            <w:tc>
              <w:tcPr>
                <w:tcW w:w="1614" w:type="pct"/>
                <w:shd w:val="clear" w:color="auto" w:fill="auto"/>
              </w:tcPr>
              <w:p w:rsidR="00ED2DC7" w:rsidRDefault="00ED2DC7">
                <w:pPr>
                  <w:jc w:val="right"/>
                  <w:rPr>
                    <w:szCs w:val="21"/>
                  </w:rPr>
                </w:pPr>
              </w:p>
            </w:tc>
            <w:tc>
              <w:tcPr>
                <w:tcW w:w="1511" w:type="pct"/>
                <w:shd w:val="clear" w:color="auto" w:fill="auto"/>
              </w:tcPr>
              <w:p w:rsidR="00ED2DC7" w:rsidRDefault="00ED2DC7">
                <w:pPr>
                  <w:jc w:val="right"/>
                  <w:rPr>
                    <w:szCs w:val="21"/>
                  </w:rPr>
                </w:pPr>
              </w:p>
            </w:tc>
          </w:tr>
          <w:bookmarkEnd w:id="218"/>
        </w:tbl>
        <w:p w:rsidR="00ED2DC7" w:rsidRDefault="00ED2DC7">
          <w:pPr>
            <w:spacing w:before="60" w:after="60"/>
            <w:rPr>
              <w:szCs w:val="21"/>
            </w:rPr>
          </w:pPr>
        </w:p>
        <w:p w:rsidR="00ED2DC7" w:rsidRDefault="00ED2DC7">
          <w:pPr>
            <w:spacing w:before="60" w:after="60"/>
            <w:rPr>
              <w:szCs w:val="21"/>
            </w:rPr>
          </w:pPr>
          <w:r>
            <w:rPr>
              <w:rFonts w:hint="eastAsia"/>
              <w:szCs w:val="21"/>
            </w:rPr>
            <w:t>其他说明：</w:t>
          </w:r>
        </w:p>
        <w:sdt>
          <w:sdtPr>
            <w:rPr>
              <w:szCs w:val="21"/>
            </w:rPr>
            <w:alias w:val="是否适用：现金流量表补充资料的说明[双击切换]"/>
            <w:tag w:val="_GBC_2212775a699e4804b260767f3ce34d12"/>
            <w:id w:val="38565078"/>
            <w:lock w:val="sdtContentLocked"/>
            <w:placeholder>
              <w:docPart w:val="GBC22222222222222222222222222222"/>
            </w:placeholder>
          </w:sdtPr>
          <w:sdtContent>
            <w:p w:rsidR="00B637B2" w:rsidRDefault="00ED2DC7" w:rsidP="00BB3393">
              <w:pPr>
                <w:spacing w:before="60" w:after="60"/>
                <w:rPr>
                  <w:szCs w:val="21"/>
                </w:rPr>
              </w:pPr>
              <w:r>
                <w:rPr>
                  <w:szCs w:val="21"/>
                </w:rPr>
                <w:fldChar w:fldCharType="begin"/>
              </w:r>
              <w:r w:rsidR="008F04CF">
                <w:rPr>
                  <w:szCs w:val="21"/>
                </w:rPr>
                <w:instrText xml:space="preserve"> MACROBUTTON  SnrToggleCheckbox √适用 </w:instrText>
              </w:r>
              <w:r>
                <w:rPr>
                  <w:szCs w:val="21"/>
                </w:rPr>
                <w:fldChar w:fldCharType="end"/>
              </w:r>
              <w:r>
                <w:rPr>
                  <w:szCs w:val="21"/>
                </w:rPr>
                <w:fldChar w:fldCharType="begin"/>
              </w:r>
              <w:r w:rsidR="008F04CF">
                <w:rPr>
                  <w:szCs w:val="21"/>
                </w:rPr>
                <w:instrText xml:space="preserve"> MACROBUTTON  SnrToggleCheckbox □不适用 </w:instrText>
              </w:r>
              <w:r>
                <w:rPr>
                  <w:szCs w:val="21"/>
                </w:rPr>
                <w:fldChar w:fldCharType="end"/>
              </w:r>
            </w:p>
          </w:sdtContent>
        </w:sdt>
        <w:p w:rsidR="00B637B2" w:rsidRDefault="000D0A99">
          <w:sdt>
            <w:sdtPr>
              <w:alias w:val="现金流量表补充资料的说明"/>
              <w:tag w:val="_GBC_3debcbde5c274a28b3adc3b1d98dbe47"/>
              <w:id w:val="-1799908229"/>
              <w:lock w:val="sdtLocked"/>
            </w:sdtPr>
            <w:sdtContent>
              <w:r w:rsidR="008F04CF" w:rsidRPr="0038753C">
                <w:rPr>
                  <w:rFonts w:hint="eastAsia"/>
                </w:rPr>
                <w:t>注：可随时用于支付的银行存款不包括集团</w:t>
              </w:r>
              <w:r w:rsidR="008F04CF" w:rsidRPr="0038753C">
                <w:t>3个月及以上定期存款人民币884,758,882元，详情参见附注</w:t>
              </w:r>
              <w:r w:rsidR="00066A87">
                <w:rPr>
                  <w:rFonts w:hint="eastAsia"/>
                </w:rPr>
                <w:t>七</w:t>
              </w:r>
              <w:r w:rsidR="008F04CF" w:rsidRPr="0038753C">
                <w:t>、1、注1。</w:t>
              </w:r>
            </w:sdtContent>
          </w:sdt>
        </w:p>
        <w:p w:rsidR="00ED2DC7" w:rsidRDefault="000D0A99" w:rsidP="00BB3393">
          <w:pPr>
            <w:spacing w:before="60" w:after="60"/>
          </w:pPr>
        </w:p>
      </w:sdtContent>
    </w:sdt>
    <w:p w:rsidR="00ED2DC7" w:rsidRDefault="00ED2DC7"/>
    <w:sdt>
      <w:sdtPr>
        <w:rPr>
          <w:rFonts w:ascii="宋体" w:hAnsi="宋体" w:cs="宋体" w:hint="eastAsia"/>
          <w:b w:val="0"/>
          <w:bCs w:val="0"/>
          <w:kern w:val="0"/>
          <w:szCs w:val="21"/>
        </w:rPr>
        <w:alias w:val="模块:所有者权益变动表项目注释"/>
        <w:tag w:val="_GBC_f67b410d6123403caa2cee84fe191372"/>
        <w:id w:val="1770271919"/>
        <w:lock w:val="sdtLocked"/>
        <w:placeholder>
          <w:docPart w:val="GBC22222222222222222222222222222"/>
        </w:placeholder>
      </w:sdtPr>
      <w:sdtEndPr>
        <w:rPr>
          <w:rFonts w:cstheme="minorBidi" w:hint="default"/>
          <w:color w:val="FF00FF"/>
        </w:rPr>
      </w:sdtEndPr>
      <w:sdtContent>
        <w:p w:rsidR="00ED2DC7" w:rsidRDefault="00ED2DC7" w:rsidP="00036BDC">
          <w:pPr>
            <w:pStyle w:val="affffffffffffffffff1"/>
            <w:numPr>
              <w:ilvl w:val="0"/>
              <w:numId w:val="49"/>
            </w:numPr>
            <w:tabs>
              <w:tab w:val="left" w:pos="504"/>
            </w:tabs>
            <w:rPr>
              <w:rFonts w:ascii="宋体" w:hAnsi="宋体"/>
              <w:szCs w:val="21"/>
            </w:rPr>
          </w:pPr>
          <w:r>
            <w:rPr>
              <w:rFonts w:ascii="宋体" w:hAnsi="宋体" w:hint="eastAsia"/>
              <w:szCs w:val="21"/>
            </w:rPr>
            <w:t>所有者权益变动表项目注释</w:t>
          </w:r>
        </w:p>
        <w:p w:rsidR="00ED2DC7" w:rsidRDefault="00ED2DC7">
          <w:r>
            <w:rPr>
              <w:rFonts w:hint="eastAsia"/>
            </w:rPr>
            <w:t>说明对上年期末余额进行调整的“其他”项目名称及调整金额等事项：</w:t>
          </w:r>
        </w:p>
        <w:sdt>
          <w:sdtPr>
            <w:alias w:val="是否适用：所有者权益变动表项目注释[双击切换]"/>
            <w:tag w:val="_GBC_61e84760a3fd4a58bb2421e95114d9b8"/>
            <w:id w:val="126205660"/>
            <w:lock w:val="sdtContentLocked"/>
            <w:placeholder>
              <w:docPart w:val="GBC22222222222222222222222222222"/>
            </w:placeholder>
          </w:sdtPr>
          <w:sdtContent>
            <w:p w:rsidR="00ED2DC7" w:rsidRDefault="00ED2DC7" w:rsidP="00231A87">
              <w:pPr>
                <w:rPr>
                  <w:color w:val="FF00FF"/>
                  <w:szCs w:val="21"/>
                </w:rPr>
              </w:pPr>
              <w:r>
                <w:fldChar w:fldCharType="begin"/>
              </w:r>
              <w:r w:rsidR="00231A87">
                <w:instrText xml:space="preserve"> MACROBUTTON  SnrToggleCheckbox □适用 </w:instrText>
              </w:r>
              <w:r>
                <w:fldChar w:fldCharType="end"/>
              </w:r>
              <w:r>
                <w:fldChar w:fldCharType="begin"/>
              </w:r>
              <w:r w:rsidR="00231A87">
                <w:instrText xml:space="preserve"> MACROBUTTON  SnrToggleCheckbox √不适用 </w:instrText>
              </w:r>
              <w:r>
                <w:fldChar w:fldCharType="end"/>
              </w:r>
            </w:p>
          </w:sdtContent>
        </w:sdt>
      </w:sdtContent>
    </w:sdt>
    <w:p w:rsidR="00ED2DC7" w:rsidRDefault="00ED2DC7">
      <w:pPr>
        <w:rPr>
          <w:szCs w:val="21"/>
        </w:rPr>
      </w:pPr>
    </w:p>
    <w:sdt>
      <w:sdtPr>
        <w:rPr>
          <w:rFonts w:ascii="宋体" w:hAnsi="宋体" w:cs="宋体" w:hint="eastAsia"/>
          <w:b w:val="0"/>
          <w:bCs w:val="0"/>
          <w:kern w:val="0"/>
          <w:szCs w:val="21"/>
        </w:rPr>
        <w:alias w:val="模块:所有权或使用权受到限制的资产"/>
        <w:tag w:val="_GBC_5707fab016f94974bd447e81a88f0183"/>
        <w:id w:val="55523639"/>
        <w:lock w:val="sdtLocked"/>
        <w:placeholder>
          <w:docPart w:val="GBC22222222222222222222222222222"/>
        </w:placeholder>
      </w:sdtPr>
      <w:sdtContent>
        <w:p w:rsidR="00ED2DC7" w:rsidRDefault="00ED2DC7" w:rsidP="00036BDC">
          <w:pPr>
            <w:pStyle w:val="affffffffffffffffff1"/>
            <w:numPr>
              <w:ilvl w:val="0"/>
              <w:numId w:val="49"/>
            </w:numPr>
            <w:tabs>
              <w:tab w:val="left" w:pos="504"/>
            </w:tabs>
            <w:rPr>
              <w:rFonts w:ascii="宋体" w:hAnsi="宋体"/>
              <w:szCs w:val="21"/>
            </w:rPr>
          </w:pPr>
          <w:r>
            <w:rPr>
              <w:rFonts w:ascii="宋体" w:hAnsi="宋体" w:hint="eastAsia"/>
              <w:szCs w:val="21"/>
            </w:rPr>
            <w:t>所有权或使用权受到限制的资产</w:t>
          </w:r>
        </w:p>
        <w:sdt>
          <w:sdtPr>
            <w:alias w:val="是否适用：所有权或使用权受到限制的资产[双击切换]"/>
            <w:tag w:val="_GBC_52ae2d0e78d54772b7a0dc510205909b"/>
            <w:id w:val="1663040790"/>
            <w:lock w:val="sdtContentLocked"/>
            <w:placeholder>
              <w:docPart w:val="GBC22222222222222222222222222222"/>
            </w:placeholder>
          </w:sdtPr>
          <w:sdtContent>
            <w:p w:rsidR="00ED2DC7" w:rsidRDefault="00ED2DC7">
              <w:r>
                <w:fldChar w:fldCharType="begin"/>
              </w:r>
              <w:r w:rsidR="00231A87">
                <w:instrText xml:space="preserve"> MACROBUTTON  SnrToggleCheckbox √适用 </w:instrText>
              </w:r>
              <w:r>
                <w:fldChar w:fldCharType="end"/>
              </w:r>
              <w:r>
                <w:fldChar w:fldCharType="begin"/>
              </w:r>
              <w:r w:rsidR="00231A87">
                <w:instrText xml:space="preserve"> MACROBUTTON  SnrToggleCheckbox □不适用 </w:instrText>
              </w:r>
              <w:r>
                <w:fldChar w:fldCharType="end"/>
              </w:r>
            </w:p>
          </w:sdtContent>
        </w:sdt>
        <w:p w:rsidR="00ED2DC7" w:rsidRDefault="00ED2DC7">
          <w:pPr>
            <w:pStyle w:val="afffffffffffffffffff3"/>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所有权或使用权受到限制的资产"/>
              <w:tag w:val="_GBC_41b1006bd71a4064aa99aa2d8750f726"/>
              <w:id w:val="-123169506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所有权或使用权受到限制的资产"/>
              <w:tag w:val="_GBC_065bcf44f5b34330834a869f23aa83bc"/>
              <w:id w:val="12298090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ascii="宋体" w:hAnsi="宋体" w:hint="eastAsia"/>
                  <w:szCs w:val="21"/>
                </w:rPr>
                <w:t>人民币</w:t>
              </w:r>
            </w:sdtContent>
          </w:sdt>
        </w:p>
        <w:tbl>
          <w:tblPr>
            <w:tblStyle w:val="g38"/>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130"/>
            <w:gridCol w:w="3021"/>
            <w:gridCol w:w="2672"/>
          </w:tblGrid>
          <w:tr w:rsidR="00EB0665" w:rsidTr="006A67C9">
            <w:sdt>
              <w:sdtPr>
                <w:tag w:val="_PLD_e7174293a57c4a70b40b8a0fb698e34e"/>
                <w:id w:val="1121113401"/>
                <w:lock w:val="sdtLocked"/>
              </w:sdtPr>
              <w:sdtContent>
                <w:tc>
                  <w:tcPr>
                    <w:tcW w:w="1774" w:type="pct"/>
                    <w:tcBorders>
                      <w:top w:val="single" w:sz="4" w:space="0" w:color="auto"/>
                      <w:left w:val="single" w:sz="4" w:space="0" w:color="auto"/>
                      <w:bottom w:val="single" w:sz="4" w:space="0" w:color="auto"/>
                      <w:right w:val="single" w:sz="4" w:space="0" w:color="auto"/>
                    </w:tcBorders>
                    <w:shd w:val="clear" w:color="auto" w:fill="auto"/>
                  </w:tcPr>
                  <w:p w:rsidR="00EB0665" w:rsidRDefault="00EB0665" w:rsidP="006A67C9">
                    <w:pPr>
                      <w:jc w:val="center"/>
                      <w:rPr>
                        <w:szCs w:val="21"/>
                      </w:rPr>
                    </w:pPr>
                    <w:r>
                      <w:rPr>
                        <w:rFonts w:hint="eastAsia"/>
                        <w:szCs w:val="21"/>
                      </w:rPr>
                      <w:t>项目</w:t>
                    </w:r>
                  </w:p>
                </w:tc>
              </w:sdtContent>
            </w:sdt>
            <w:sdt>
              <w:sdtPr>
                <w:tag w:val="_PLD_67814dca9df1416c87e0ce7ca03c3bf6"/>
                <w:id w:val="1325855605"/>
                <w:lock w:val="sdtLocked"/>
              </w:sdt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rsidR="00EB0665" w:rsidRDefault="00EB0665" w:rsidP="006A67C9">
                    <w:pPr>
                      <w:jc w:val="center"/>
                      <w:rPr>
                        <w:szCs w:val="21"/>
                      </w:rPr>
                    </w:pPr>
                    <w:r>
                      <w:rPr>
                        <w:rFonts w:hint="eastAsia"/>
                        <w:szCs w:val="21"/>
                      </w:rPr>
                      <w:t>期末账面价值</w:t>
                    </w:r>
                  </w:p>
                </w:tc>
              </w:sdtContent>
            </w:sdt>
            <w:sdt>
              <w:sdtPr>
                <w:tag w:val="_PLD_874205b57d36493284671995a440c448"/>
                <w:id w:val="1028684277"/>
                <w:lock w:val="sdtLocked"/>
              </w:sdt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rsidR="00EB0665" w:rsidRDefault="00EB0665" w:rsidP="006A67C9">
                    <w:pPr>
                      <w:jc w:val="center"/>
                      <w:rPr>
                        <w:szCs w:val="21"/>
                      </w:rPr>
                    </w:pPr>
                    <w:r>
                      <w:rPr>
                        <w:rFonts w:hint="eastAsia"/>
                        <w:szCs w:val="21"/>
                      </w:rPr>
                      <w:t>受限原因</w:t>
                    </w:r>
                  </w:p>
                </w:tc>
              </w:sdtContent>
            </w:sdt>
          </w:tr>
          <w:tr w:rsidR="00EB0665" w:rsidTr="006A67C9">
            <w:sdt>
              <w:sdtPr>
                <w:tag w:val="_PLD_ea504ac4c8814083a63e01e1e73c7bb1"/>
                <w:id w:val="281079988"/>
                <w:lock w:val="sdtLocked"/>
              </w:sdtPr>
              <w:sdtContent>
                <w:tc>
                  <w:tcPr>
                    <w:tcW w:w="1774" w:type="pct"/>
                    <w:tcBorders>
                      <w:top w:val="single" w:sz="4" w:space="0" w:color="auto"/>
                      <w:left w:val="single" w:sz="4" w:space="0" w:color="auto"/>
                      <w:bottom w:val="single" w:sz="4" w:space="0" w:color="auto"/>
                      <w:right w:val="single" w:sz="4" w:space="0" w:color="auto"/>
                    </w:tcBorders>
                    <w:shd w:val="clear" w:color="auto" w:fill="auto"/>
                  </w:tcPr>
                  <w:p w:rsidR="00EB0665" w:rsidRDefault="00EB0665" w:rsidP="006A67C9">
                    <w:pPr>
                      <w:rPr>
                        <w:szCs w:val="21"/>
                      </w:rPr>
                    </w:pPr>
                    <w:r>
                      <w:rPr>
                        <w:rFonts w:hint="eastAsia"/>
                        <w:szCs w:val="21"/>
                      </w:rPr>
                      <w:t>货币资金</w:t>
                    </w:r>
                  </w:p>
                </w:tc>
              </w:sdtContent>
            </w:sdt>
            <w:tc>
              <w:tcPr>
                <w:tcW w:w="1712" w:type="pct"/>
                <w:tcBorders>
                  <w:top w:val="single" w:sz="4" w:space="0" w:color="auto"/>
                  <w:left w:val="single" w:sz="4" w:space="0" w:color="auto"/>
                  <w:bottom w:val="single" w:sz="4" w:space="0" w:color="auto"/>
                  <w:right w:val="single" w:sz="4" w:space="0" w:color="auto"/>
                </w:tcBorders>
                <w:shd w:val="clear" w:color="auto" w:fill="auto"/>
              </w:tcPr>
              <w:p w:rsidR="00EB0665" w:rsidRDefault="00EB0665" w:rsidP="00B637B2">
                <w:pPr>
                  <w:jc w:val="right"/>
                  <w:rPr>
                    <w:szCs w:val="21"/>
                  </w:rPr>
                </w:pPr>
                <w:r w:rsidRPr="008D7A62">
                  <w:rPr>
                    <w:szCs w:val="21"/>
                  </w:rPr>
                  <w:t>27,439,950</w:t>
                </w: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EB0665" w:rsidRDefault="00EB0665" w:rsidP="006A67C9">
                <w:pPr>
                  <w:rPr>
                    <w:szCs w:val="21"/>
                  </w:rPr>
                </w:pPr>
                <w:r w:rsidRPr="00FA797E">
                  <w:rPr>
                    <w:szCs w:val="21"/>
                  </w:rPr>
                  <w:t>履约保证金</w:t>
                </w:r>
              </w:p>
            </w:tc>
          </w:tr>
          <w:tr w:rsidR="00EB0665" w:rsidTr="006A67C9">
            <w:sdt>
              <w:sdtPr>
                <w:tag w:val="_PLD_3eaf386fa309448faa19910851d581a5"/>
                <w:id w:val="-1593933128"/>
                <w:lock w:val="sdtLocked"/>
              </w:sdtPr>
              <w:sdtContent>
                <w:tc>
                  <w:tcPr>
                    <w:tcW w:w="1774" w:type="pct"/>
                    <w:tcBorders>
                      <w:top w:val="single" w:sz="4" w:space="0" w:color="auto"/>
                      <w:left w:val="single" w:sz="4" w:space="0" w:color="auto"/>
                      <w:bottom w:val="single" w:sz="4" w:space="0" w:color="auto"/>
                      <w:right w:val="single" w:sz="4" w:space="0" w:color="auto"/>
                    </w:tcBorders>
                    <w:shd w:val="clear" w:color="auto" w:fill="auto"/>
                  </w:tcPr>
                  <w:p w:rsidR="00EB0665" w:rsidRDefault="00EB0665" w:rsidP="006A67C9">
                    <w:pPr>
                      <w:rPr>
                        <w:szCs w:val="21"/>
                      </w:rPr>
                    </w:pPr>
                    <w:r>
                      <w:rPr>
                        <w:rFonts w:hint="eastAsia"/>
                        <w:szCs w:val="21"/>
                      </w:rPr>
                      <w:t>无形资产</w:t>
                    </w:r>
                  </w:p>
                </w:tc>
              </w:sdtContent>
            </w:sdt>
            <w:tc>
              <w:tcPr>
                <w:tcW w:w="1712" w:type="pct"/>
                <w:tcBorders>
                  <w:top w:val="single" w:sz="4" w:space="0" w:color="auto"/>
                  <w:left w:val="single" w:sz="4" w:space="0" w:color="auto"/>
                  <w:bottom w:val="single" w:sz="4" w:space="0" w:color="auto"/>
                  <w:right w:val="single" w:sz="4" w:space="0" w:color="auto"/>
                </w:tcBorders>
                <w:shd w:val="clear" w:color="auto" w:fill="auto"/>
              </w:tcPr>
              <w:p w:rsidR="00EB0665" w:rsidRDefault="00EB0665" w:rsidP="00B637B2">
                <w:pPr>
                  <w:jc w:val="right"/>
                  <w:rPr>
                    <w:szCs w:val="21"/>
                  </w:rPr>
                </w:pPr>
                <w:r w:rsidRPr="008D7A62">
                  <w:rPr>
                    <w:szCs w:val="21"/>
                  </w:rPr>
                  <w:t>30,790,486</w:t>
                </w: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EB0665" w:rsidRDefault="00EB0665" w:rsidP="006A67C9">
                <w:pPr>
                  <w:rPr>
                    <w:szCs w:val="21"/>
                  </w:rPr>
                </w:pPr>
                <w:r w:rsidRPr="00FA797E">
                  <w:rPr>
                    <w:szCs w:val="21"/>
                  </w:rPr>
                  <w:t>取得银行借款抵押。</w:t>
                </w:r>
              </w:p>
            </w:tc>
          </w:tr>
          <w:sdt>
            <w:sdtPr>
              <w:rPr>
                <w:rFonts w:asciiTheme="minorHAnsi" w:eastAsiaTheme="minorEastAsia" w:hAnsiTheme="minorHAnsi" w:cstheme="minorBidi"/>
                <w:kern w:val="2"/>
                <w:szCs w:val="21"/>
              </w:rPr>
              <w:alias w:val="所有权或使用权受到限制的资产明细"/>
              <w:tag w:val="_GBC_b386bbb44d7a46daaa4b82f327a68c3f"/>
              <w:id w:val="-1792355787"/>
              <w:lock w:val="sdtLocked"/>
            </w:sdtPr>
            <w:sdtEndPr>
              <w:rPr>
                <w:rFonts w:hint="eastAsia"/>
              </w:rPr>
            </w:sdtEndPr>
            <w:sdtContent>
              <w:tr w:rsidR="00EB0665" w:rsidTr="006A67C9">
                <w:tc>
                  <w:tcPr>
                    <w:tcW w:w="1774" w:type="pct"/>
                    <w:tcBorders>
                      <w:top w:val="single" w:sz="6" w:space="0" w:color="auto"/>
                      <w:left w:val="single" w:sz="6" w:space="0" w:color="auto"/>
                      <w:bottom w:val="single" w:sz="4" w:space="0" w:color="auto"/>
                      <w:right w:val="single" w:sz="6" w:space="0" w:color="auto"/>
                    </w:tcBorders>
                    <w:shd w:val="clear" w:color="auto" w:fill="auto"/>
                  </w:tcPr>
                  <w:p w:rsidR="00EB0665" w:rsidRDefault="00EB0665" w:rsidP="006A67C9">
                    <w:pPr>
                      <w:rPr>
                        <w:szCs w:val="21"/>
                      </w:rPr>
                    </w:pPr>
                    <w:r>
                      <w:t>房屋建筑物</w:t>
                    </w:r>
                  </w:p>
                </w:tc>
                <w:tc>
                  <w:tcPr>
                    <w:tcW w:w="1712" w:type="pct"/>
                    <w:tcBorders>
                      <w:top w:val="single" w:sz="6" w:space="0" w:color="auto"/>
                      <w:left w:val="single" w:sz="6" w:space="0" w:color="auto"/>
                      <w:bottom w:val="single" w:sz="6" w:space="0" w:color="auto"/>
                      <w:right w:val="single" w:sz="6" w:space="0" w:color="auto"/>
                    </w:tcBorders>
                    <w:shd w:val="clear" w:color="auto" w:fill="auto"/>
                  </w:tcPr>
                  <w:p w:rsidR="00EB0665" w:rsidRDefault="00EB0665" w:rsidP="00B637B2">
                    <w:pPr>
                      <w:jc w:val="right"/>
                      <w:rPr>
                        <w:szCs w:val="21"/>
                      </w:rPr>
                    </w:pPr>
                    <w:r w:rsidRPr="00EB0665">
                      <w:rPr>
                        <w:szCs w:val="21"/>
                      </w:rPr>
                      <w:t>619,016,810</w:t>
                    </w:r>
                  </w:p>
                </w:tc>
                <w:tc>
                  <w:tcPr>
                    <w:tcW w:w="1514" w:type="pct"/>
                    <w:tcBorders>
                      <w:top w:val="single" w:sz="6" w:space="0" w:color="auto"/>
                      <w:left w:val="single" w:sz="6" w:space="0" w:color="auto"/>
                      <w:bottom w:val="single" w:sz="6" w:space="0" w:color="auto"/>
                      <w:right w:val="single" w:sz="6" w:space="0" w:color="auto"/>
                    </w:tcBorders>
                    <w:shd w:val="clear" w:color="auto" w:fill="auto"/>
                  </w:tcPr>
                  <w:p w:rsidR="00EB0665" w:rsidRDefault="00EB0665" w:rsidP="00B637B2">
                    <w:pPr>
                      <w:rPr>
                        <w:szCs w:val="21"/>
                      </w:rPr>
                    </w:pPr>
                    <w:r w:rsidRPr="00FA797E">
                      <w:rPr>
                        <w:szCs w:val="21"/>
                      </w:rPr>
                      <w:t>取得银行借款抵押。</w:t>
                    </w:r>
                  </w:p>
                </w:tc>
              </w:tr>
            </w:sdtContent>
          </w:sdt>
          <w:tr w:rsidR="00EB0665" w:rsidTr="006A67C9">
            <w:sdt>
              <w:sdtPr>
                <w:tag w:val="_PLD_82f734ac5ef74ac0a808bf747f7a4e5a"/>
                <w:id w:val="-1518455424"/>
                <w:lock w:val="sdtLocked"/>
              </w:sdtPr>
              <w:sdtContent>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rsidR="00EB0665" w:rsidRDefault="00EB0665" w:rsidP="006A67C9">
                    <w:pPr>
                      <w:jc w:val="center"/>
                      <w:rPr>
                        <w:szCs w:val="21"/>
                      </w:rPr>
                    </w:pPr>
                    <w:r>
                      <w:rPr>
                        <w:rFonts w:hint="eastAsia"/>
                        <w:szCs w:val="21"/>
                      </w:rPr>
                      <w:t>合计</w:t>
                    </w:r>
                  </w:p>
                </w:tc>
              </w:sdtContent>
            </w:sdt>
            <w:tc>
              <w:tcPr>
                <w:tcW w:w="1712" w:type="pct"/>
                <w:tcBorders>
                  <w:top w:val="single" w:sz="6" w:space="0" w:color="auto"/>
                  <w:left w:val="single" w:sz="4" w:space="0" w:color="auto"/>
                  <w:bottom w:val="single" w:sz="6" w:space="0" w:color="auto"/>
                  <w:right w:val="single" w:sz="4" w:space="0" w:color="auto"/>
                </w:tcBorders>
                <w:shd w:val="clear" w:color="auto" w:fill="auto"/>
              </w:tcPr>
              <w:p w:rsidR="00EB0665" w:rsidRDefault="00EB0665" w:rsidP="006A67C9">
                <w:pPr>
                  <w:jc w:val="right"/>
                  <w:rPr>
                    <w:szCs w:val="21"/>
                  </w:rPr>
                </w:pPr>
                <w:r w:rsidRPr="00EB0665">
                  <w:rPr>
                    <w:szCs w:val="21"/>
                  </w:rPr>
                  <w:t>677,247,246</w:t>
                </w:r>
              </w:p>
            </w:tc>
            <w:tc>
              <w:tcPr>
                <w:tcW w:w="1514" w:type="pct"/>
                <w:tcBorders>
                  <w:top w:val="single" w:sz="6" w:space="0" w:color="auto"/>
                  <w:left w:val="single" w:sz="4" w:space="0" w:color="auto"/>
                  <w:bottom w:val="single" w:sz="6" w:space="0" w:color="auto"/>
                  <w:right w:val="single" w:sz="4" w:space="0" w:color="auto"/>
                </w:tcBorders>
                <w:shd w:val="clear" w:color="auto" w:fill="auto"/>
              </w:tcPr>
              <w:p w:rsidR="00EB0665" w:rsidRDefault="00EB0665" w:rsidP="006A67C9">
                <w:pPr>
                  <w:jc w:val="center"/>
                  <w:rPr>
                    <w:szCs w:val="21"/>
                  </w:rPr>
                </w:pPr>
                <w:r>
                  <w:rPr>
                    <w:rFonts w:hint="eastAsia"/>
                    <w:szCs w:val="21"/>
                  </w:rPr>
                  <w:t>/</w:t>
                </w:r>
              </w:p>
            </w:tc>
          </w:tr>
        </w:tbl>
        <w:p w:rsidR="00EB0665" w:rsidRDefault="00EB0665"/>
        <w:sdt>
          <w:sdtPr>
            <w:rPr>
              <w:szCs w:val="21"/>
            </w:rPr>
            <w:alias w:val="所有权或使用权受到限制的资产的其他说明"/>
            <w:tag w:val="_GBC_8c900f9a43384e3baa58823305552176"/>
            <w:id w:val="-1125006754"/>
            <w:lock w:val="sdtLocked"/>
            <w:placeholder>
              <w:docPart w:val="GBC22222222222222222222222222222"/>
            </w:placeholder>
          </w:sdtPr>
          <w:sdtContent>
            <w:p w:rsidR="00ED2DC7" w:rsidRDefault="008F04CF" w:rsidP="00EB0665">
              <w:pPr>
                <w:rPr>
                  <w:szCs w:val="21"/>
                </w:rPr>
              </w:pPr>
              <w:r>
                <w:rPr>
                  <w:rFonts w:hint="eastAsia"/>
                  <w:szCs w:val="21"/>
                </w:rPr>
                <w:t>无。</w:t>
              </w:r>
            </w:p>
          </w:sdtContent>
        </w:sdt>
      </w:sdtContent>
    </w:sdt>
    <w:p w:rsidR="00ED2DC7" w:rsidRDefault="00ED2DC7">
      <w:pPr>
        <w:rPr>
          <w:szCs w:val="21"/>
        </w:rPr>
      </w:pPr>
    </w:p>
    <w:sdt>
      <w:sdtPr>
        <w:rPr>
          <w:rFonts w:ascii="宋体" w:hAnsi="宋体" w:cs="宋体" w:hint="eastAsia"/>
          <w:b w:val="0"/>
          <w:bCs w:val="0"/>
          <w:kern w:val="0"/>
          <w:szCs w:val="21"/>
        </w:rPr>
        <w:alias w:val="模块:外币货币性项目"/>
        <w:tag w:val="_GBC_7a80c9b78caf4e6686905c555fe61f9a"/>
        <w:id w:val="72709263"/>
        <w:lock w:val="sdtLocked"/>
        <w:placeholder>
          <w:docPart w:val="GBC22222222222222222222222222222"/>
        </w:placeholder>
      </w:sdtPr>
      <w:sdtEndPr>
        <w:rPr>
          <w:rFonts w:hint="default"/>
        </w:rPr>
      </w:sdtEndPr>
      <w:sdtContent>
        <w:p w:rsidR="00ED2DC7" w:rsidRDefault="00ED2DC7" w:rsidP="00036BDC">
          <w:pPr>
            <w:pStyle w:val="affffffffffffffffff1"/>
            <w:numPr>
              <w:ilvl w:val="0"/>
              <w:numId w:val="49"/>
            </w:numPr>
            <w:tabs>
              <w:tab w:val="left" w:pos="504"/>
            </w:tabs>
            <w:rPr>
              <w:rFonts w:ascii="宋体" w:hAnsi="宋体"/>
              <w:szCs w:val="21"/>
            </w:rPr>
          </w:pPr>
          <w:r>
            <w:rPr>
              <w:rFonts w:ascii="宋体" w:hAnsi="宋体" w:hint="eastAsia"/>
              <w:szCs w:val="21"/>
            </w:rPr>
            <w:t>外币货币性项目</w:t>
          </w:r>
        </w:p>
        <w:p w:rsidR="00ED2DC7" w:rsidRDefault="00ED2DC7" w:rsidP="00036BDC">
          <w:pPr>
            <w:pStyle w:val="afffffffffffffffffff3"/>
            <w:numPr>
              <w:ilvl w:val="0"/>
              <w:numId w:val="81"/>
            </w:numPr>
            <w:tabs>
              <w:tab w:val="left" w:pos="700"/>
            </w:tabs>
            <w:spacing w:before="60" w:after="60"/>
            <w:ind w:firstLineChars="0"/>
            <w:jc w:val="left"/>
            <w:rPr>
              <w:rFonts w:ascii="宋体" w:hAnsi="宋体"/>
              <w:szCs w:val="21"/>
            </w:rPr>
          </w:pPr>
          <w:r>
            <w:rPr>
              <w:rStyle w:val="affffffffffffffffff8"/>
              <w:rFonts w:ascii="宋体" w:hAnsi="宋体" w:hint="eastAsia"/>
              <w:szCs w:val="21"/>
            </w:rPr>
            <w:t>外币货币性项目</w:t>
          </w:r>
        </w:p>
        <w:sdt>
          <w:sdtPr>
            <w:alias w:val="是否适用：外币货币性项目[双击切换]"/>
            <w:tag w:val="_GBC_7b0870ec262840d78495babcff3639aa"/>
            <w:id w:val="997846299"/>
            <w:lock w:val="sdtContentLocked"/>
            <w:placeholder>
              <w:docPart w:val="GBC22222222222222222222222222222"/>
            </w:placeholder>
          </w:sdtPr>
          <w:sdtContent>
            <w:p w:rsidR="00ED2DC7" w:rsidRDefault="00ED2DC7">
              <w:r>
                <w:fldChar w:fldCharType="begin"/>
              </w:r>
              <w:r w:rsidR="00231A87">
                <w:instrText xml:space="preserve"> MACROBUTTON  SnrToggleCheckbox √适用 </w:instrText>
              </w:r>
              <w:r>
                <w:fldChar w:fldCharType="end"/>
              </w:r>
              <w:r>
                <w:fldChar w:fldCharType="begin"/>
              </w:r>
              <w:r w:rsidR="00231A87">
                <w:instrText xml:space="preserve"> MACROBUTTON  SnrToggleCheckbox □不适用 </w:instrText>
              </w:r>
              <w:r>
                <w:fldChar w:fldCharType="end"/>
              </w:r>
            </w:p>
          </w:sdtContent>
        </w:sdt>
        <w:p w:rsidR="00ED2DC7" w:rsidRDefault="00ED2DC7">
          <w:pPr>
            <w:pStyle w:val="afffffffffffffffffff3"/>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外币货币性项目"/>
              <w:tag w:val="_GBC_52ed5330bd884651892991446f0f1ae0"/>
              <w:id w:val="-18894853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ascii="宋体" w:hAnsi="宋体" w:hint="eastAsia"/>
                  <w:szCs w:val="21"/>
                </w:rPr>
                <w:t>元</w:t>
              </w:r>
            </w:sdtContent>
          </w:sdt>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25"/>
            <w:gridCol w:w="1998"/>
            <w:gridCol w:w="2006"/>
            <w:gridCol w:w="1994"/>
          </w:tblGrid>
          <w:tr w:rsidR="00B637B2" w:rsidTr="00B637B2">
            <w:sdt>
              <w:sdtPr>
                <w:tag w:val="_PLD_923fb635896a412a90a7037a1d8d2e08"/>
                <w:id w:val="749628678"/>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Default="008F04CF" w:rsidP="00B637B2">
                    <w:pPr>
                      <w:jc w:val="center"/>
                      <w:rPr>
                        <w:szCs w:val="21"/>
                      </w:rPr>
                    </w:pPr>
                    <w:r>
                      <w:rPr>
                        <w:rFonts w:hint="eastAsia"/>
                        <w:szCs w:val="21"/>
                      </w:rPr>
                      <w:t>项目</w:t>
                    </w:r>
                  </w:p>
                </w:tc>
              </w:sdtContent>
            </w:sdt>
            <w:sdt>
              <w:sdtPr>
                <w:tag w:val="_PLD_5b1451530c274f108ee07f4be42eeef3"/>
                <w:id w:val="-695615636"/>
                <w:lock w:val="sdtLocked"/>
              </w:sdtPr>
              <w:sdtContent>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Default="008F04CF" w:rsidP="00B637B2">
                    <w:pPr>
                      <w:jc w:val="center"/>
                      <w:rPr>
                        <w:szCs w:val="21"/>
                      </w:rPr>
                    </w:pPr>
                    <w:r>
                      <w:rPr>
                        <w:rFonts w:hint="eastAsia"/>
                        <w:szCs w:val="21"/>
                      </w:rPr>
                      <w:t>期末外币余额</w:t>
                    </w:r>
                  </w:p>
                </w:tc>
              </w:sdtContent>
            </w:sdt>
            <w:sdt>
              <w:sdtPr>
                <w:tag w:val="_PLD_62f11507bcfe4a0283337f57be987305"/>
                <w:id w:val="56140010"/>
                <w:lock w:val="sdtLocked"/>
              </w:sdtPr>
              <w:sdtContent>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Default="008F04CF" w:rsidP="00B637B2">
                    <w:pPr>
                      <w:jc w:val="center"/>
                      <w:rPr>
                        <w:szCs w:val="21"/>
                      </w:rPr>
                    </w:pPr>
                    <w:r>
                      <w:rPr>
                        <w:rFonts w:hint="eastAsia"/>
                        <w:szCs w:val="21"/>
                      </w:rPr>
                      <w:t>折算汇率</w:t>
                    </w:r>
                  </w:p>
                </w:tc>
              </w:sdtContent>
            </w:sdt>
            <w:sdt>
              <w:sdtPr>
                <w:tag w:val="_PLD_e4c6faa92b2247778c531d46b085aa36"/>
                <w:id w:val="-2096698289"/>
                <w:lock w:val="sdtLocked"/>
              </w:sdtPr>
              <w:sdtContent>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Default="008F04CF" w:rsidP="00B637B2">
                    <w:pPr>
                      <w:jc w:val="center"/>
                      <w:rPr>
                        <w:szCs w:val="21"/>
                      </w:rPr>
                    </w:pPr>
                    <w:r>
                      <w:rPr>
                        <w:rFonts w:hint="eastAsia"/>
                        <w:szCs w:val="21"/>
                      </w:rPr>
                      <w:t>期末折算人民币</w:t>
                    </w:r>
                  </w:p>
                  <w:p w:rsidR="00B637B2" w:rsidRDefault="008F04CF" w:rsidP="00B637B2">
                    <w:pPr>
                      <w:jc w:val="center"/>
                      <w:rPr>
                        <w:szCs w:val="21"/>
                      </w:rPr>
                    </w:pPr>
                    <w:r>
                      <w:rPr>
                        <w:rFonts w:hint="eastAsia"/>
                        <w:szCs w:val="21"/>
                      </w:rPr>
                      <w:t>余额</w:t>
                    </w:r>
                  </w:p>
                </w:tc>
              </w:sdtContent>
            </w:sdt>
          </w:tr>
          <w:tr w:rsidR="00B637B2" w:rsidTr="00B637B2">
            <w:sdt>
              <w:sdtPr>
                <w:tag w:val="_PLD_7fca4698e7864d208d0143ab1e4b50a2"/>
                <w:id w:val="-39829184"/>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B637B2" w:rsidRDefault="008F04CF" w:rsidP="00B637B2">
                    <w:pPr>
                      <w:rPr>
                        <w:szCs w:val="21"/>
                      </w:rPr>
                    </w:pPr>
                    <w:r>
                      <w:rPr>
                        <w:rFonts w:hint="eastAsia"/>
                        <w:szCs w:val="21"/>
                      </w:rPr>
                      <w:t>货币资金</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B637B2" w:rsidRDefault="00B637B2" w:rsidP="00B637B2">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B637B2" w:rsidRDefault="00B637B2" w:rsidP="00B637B2">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B637B2" w:rsidRDefault="00B637B2" w:rsidP="00B637B2">
                <w:pPr>
                  <w:jc w:val="right"/>
                  <w:rPr>
                    <w:szCs w:val="21"/>
                  </w:rPr>
                </w:pPr>
              </w:p>
            </w:tc>
          </w:tr>
          <w:tr w:rsidR="00B637B2" w:rsidTr="00B637B2">
            <w:sdt>
              <w:sdtPr>
                <w:tag w:val="_PLD_fa8779a7bb8f4b21b86116b2664c7e41"/>
                <w:id w:val="-1840387107"/>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B637B2" w:rsidRPr="008C2320" w:rsidRDefault="008F04CF" w:rsidP="00B637B2">
                    <w:pPr>
                      <w:rPr>
                        <w:szCs w:val="21"/>
                      </w:rPr>
                    </w:pPr>
                    <w:r w:rsidRPr="008C2320">
                      <w:rPr>
                        <w:rFonts w:hint="eastAsia"/>
                        <w:szCs w:val="21"/>
                      </w:rPr>
                      <w:t>其中：</w:t>
                    </w:r>
                    <w:r>
                      <w:rPr>
                        <w:rFonts w:cs="Arial" w:hint="eastAsia"/>
                      </w:rPr>
                      <w:t>美元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D147F7" w:rsidRDefault="008F04CF" w:rsidP="00B637B2">
                <w:pPr>
                  <w:jc w:val="right"/>
                </w:pPr>
                <w:r>
                  <w:t xml:space="preserve"> </w:t>
                </w:r>
                <w:r>
                  <w:rPr>
                    <w:rFonts w:hint="eastAsia"/>
                  </w:rPr>
                  <w:t>-</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140A0" w:rsidRDefault="008F04CF" w:rsidP="00B637B2">
                <w:pPr>
                  <w:jc w:val="right"/>
                </w:pPr>
                <w:r>
                  <w:rPr>
                    <w:rFonts w:hint="eastAsia"/>
                  </w:rPr>
                  <w:t>-</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Default="008F04CF" w:rsidP="00B637B2">
                <w:pPr>
                  <w:jc w:val="right"/>
                  <w:rPr>
                    <w:szCs w:val="21"/>
                  </w:rPr>
                </w:pPr>
                <w:r>
                  <w:rPr>
                    <w:rFonts w:hint="eastAsia"/>
                    <w:szCs w:val="21"/>
                  </w:rPr>
                  <w:t>-</w:t>
                </w:r>
              </w:p>
            </w:tc>
          </w:tr>
          <w:tr w:rsidR="00B637B2" w:rsidTr="00B637B2">
            <w:sdt>
              <w:sdtPr>
                <w:tag w:val="_PLD_93c17e8cf68541fd9370b6a00fb7bb37"/>
                <w:id w:val="-673108425"/>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B637B2" w:rsidRPr="008C2320" w:rsidRDefault="008F04CF" w:rsidP="00B637B2">
                    <w:pPr>
                      <w:ind w:firstLineChars="300" w:firstLine="630"/>
                      <w:rPr>
                        <w:szCs w:val="21"/>
                      </w:rPr>
                    </w:pPr>
                    <w:r>
                      <w:rPr>
                        <w:rFonts w:cs="Arial" w:hint="eastAsia"/>
                      </w:rPr>
                      <w:t>欧元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D147F7" w:rsidRDefault="008F04CF" w:rsidP="00B637B2">
                <w:pPr>
                  <w:jc w:val="right"/>
                </w:pPr>
                <w:r>
                  <w:rPr>
                    <w:rFonts w:hint="eastAsia"/>
                  </w:rPr>
                  <w:t>-</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140A0" w:rsidRDefault="008F04CF" w:rsidP="00B637B2">
                <w:pPr>
                  <w:jc w:val="right"/>
                </w:pPr>
                <w:r>
                  <w:rPr>
                    <w:rFonts w:hint="eastAsia"/>
                  </w:rPr>
                  <w:t>-</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Default="008F04CF" w:rsidP="00B637B2">
                <w:pPr>
                  <w:jc w:val="right"/>
                  <w:rPr>
                    <w:szCs w:val="21"/>
                  </w:rPr>
                </w:pPr>
                <w:r>
                  <w:rPr>
                    <w:rFonts w:hint="eastAsia"/>
                    <w:szCs w:val="21"/>
                  </w:rPr>
                  <w:t>-</w:t>
                </w:r>
              </w:p>
            </w:tc>
          </w:tr>
          <w:sdt>
            <w:sdtPr>
              <w:rPr>
                <w:rFonts w:asciiTheme="minorHAnsi" w:eastAsiaTheme="minorEastAsia" w:hAnsiTheme="minorHAnsi" w:cstheme="minorBidi"/>
                <w:kern w:val="2"/>
                <w:szCs w:val="21"/>
              </w:rPr>
              <w:alias w:val="以外币核算的货币资金明细"/>
              <w:tag w:val="_GBC_3ad40d767ac343a89a10b2d364262e51"/>
              <w:id w:val="201145765"/>
              <w:lock w:val="sdtLocked"/>
            </w:sdtPr>
            <w:sdtEndPr>
              <w:rPr>
                <w:rFonts w:hint="eastAsia"/>
              </w:rPr>
            </w:sdtEndPr>
            <w:sdtContent>
              <w:tr w:rsidR="00B637B2" w:rsidTr="00B637B2">
                <w:sdt>
                  <w:sdtPr>
                    <w:rPr>
                      <w:rFonts w:asciiTheme="minorHAnsi" w:eastAsiaTheme="minorEastAsia" w:hAnsiTheme="minorHAnsi" w:cstheme="minorBidi"/>
                      <w:kern w:val="2"/>
                      <w:szCs w:val="21"/>
                    </w:rPr>
                    <w:alias w:val="以外币核算的货币资金明细-币种"/>
                    <w:tag w:val="_GBC_2b5a3172ce8940569e61aef5d3a82583"/>
                    <w:id w:val="121862871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Calibri" w:eastAsia="宋体" w:hAnsi="Calibri" w:cs="Times New Roman" w:hint="eastAsia"/>
                      <w:kern w:val="0"/>
                      <w:sz w:val="20"/>
                    </w:r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B637B2" w:rsidRDefault="008F04CF" w:rsidP="00B637B2">
                        <w:pPr>
                          <w:ind w:firstLineChars="300" w:firstLine="630"/>
                          <w:rPr>
                            <w:szCs w:val="21"/>
                          </w:rPr>
                        </w:pPr>
                        <w:r>
                          <w:rPr>
                            <w:rFonts w:hint="eastAsia"/>
                            <w:szCs w:val="21"/>
                          </w:rPr>
                          <w:t>泰国铢</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Default="008F04CF" w:rsidP="00B637B2">
                    <w:pPr>
                      <w:jc w:val="right"/>
                    </w:pPr>
                    <w:r>
                      <w:t>5</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140A0" w:rsidRDefault="008F04CF" w:rsidP="00B637B2">
                    <w:pPr>
                      <w:jc w:val="right"/>
                    </w:pPr>
                    <w:r>
                      <w:t>0.2234</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Default="008F04CF" w:rsidP="00B637B2">
                    <w:pPr>
                      <w:jc w:val="right"/>
                      <w:rPr>
                        <w:szCs w:val="21"/>
                      </w:rPr>
                    </w:pPr>
                    <w:r>
                      <w:t>1</w:t>
                    </w:r>
                  </w:p>
                </w:tc>
              </w:tr>
            </w:sdtContent>
          </w:sdt>
          <w:sdt>
            <w:sdtPr>
              <w:rPr>
                <w:rFonts w:asciiTheme="minorHAnsi" w:eastAsiaTheme="minorEastAsia" w:hAnsiTheme="minorHAnsi" w:cstheme="minorBidi"/>
                <w:kern w:val="2"/>
                <w:szCs w:val="21"/>
              </w:rPr>
              <w:alias w:val="以外币核算的货币资金明细"/>
              <w:tag w:val="_GBC_3ad40d767ac343a89a10b2d364262e51"/>
              <w:id w:val="-629248697"/>
              <w:lock w:val="sdtLocked"/>
            </w:sdtPr>
            <w:sdtEndPr>
              <w:rPr>
                <w:rFonts w:hint="eastAsia"/>
              </w:rPr>
            </w:sdtEndPr>
            <w:sdtContent>
              <w:tr w:rsidR="00B637B2" w:rsidTr="00B637B2">
                <w:sdt>
                  <w:sdtPr>
                    <w:rPr>
                      <w:rFonts w:asciiTheme="minorHAnsi" w:eastAsiaTheme="minorEastAsia" w:hAnsiTheme="minorHAnsi" w:cstheme="minorBidi"/>
                      <w:kern w:val="2"/>
                      <w:szCs w:val="21"/>
                    </w:rPr>
                    <w:alias w:val="以外币核算的货币资金明细-币种"/>
                    <w:tag w:val="_GBC_2b5a3172ce8940569e61aef5d3a82583"/>
                    <w:id w:val="72448648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Calibri" w:eastAsia="宋体" w:hAnsi="Calibri" w:cs="Times New Roman"/>
                      <w:kern w:val="0"/>
                      <w:sz w:val="20"/>
                    </w:r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B637B2" w:rsidRDefault="008F04CF" w:rsidP="00B637B2">
                        <w:pPr>
                          <w:ind w:firstLineChars="300" w:firstLine="630"/>
                          <w:rPr>
                            <w:szCs w:val="21"/>
                          </w:rPr>
                        </w:pPr>
                        <w:r>
                          <w:rPr>
                            <w:rFonts w:asciiTheme="minorHAnsi" w:eastAsiaTheme="minorEastAsia" w:hAnsiTheme="minorHAnsi" w:cstheme="minorBidi"/>
                            <w:kern w:val="2"/>
                            <w:szCs w:val="21"/>
                          </w:rPr>
                          <w:t>澳门元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Default="008F04CF" w:rsidP="00B637B2">
                    <w:pPr>
                      <w:jc w:val="right"/>
                    </w:pPr>
                    <w:r>
                      <w:t>25</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140A0" w:rsidRDefault="008F04CF" w:rsidP="00B637B2">
                    <w:pPr>
                      <w:jc w:val="right"/>
                    </w:pPr>
                    <w:r w:rsidRPr="001140A0">
                      <w:t>0.8840</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Default="008F04CF" w:rsidP="00B637B2">
                    <w:pPr>
                      <w:jc w:val="right"/>
                      <w:rPr>
                        <w:szCs w:val="21"/>
                      </w:rPr>
                    </w:pPr>
                    <w:r>
                      <w:t>22</w:t>
                    </w:r>
                  </w:p>
                </w:tc>
              </w:tr>
            </w:sdtContent>
          </w:sdt>
          <w:sdt>
            <w:sdtPr>
              <w:rPr>
                <w:rFonts w:asciiTheme="minorHAnsi" w:eastAsiaTheme="minorEastAsia" w:hAnsiTheme="minorHAnsi" w:cstheme="minorBidi"/>
                <w:kern w:val="2"/>
                <w:szCs w:val="21"/>
              </w:rPr>
              <w:alias w:val="以外币核算的货币资金明细"/>
              <w:tag w:val="_GBC_3ad40d767ac343a89a10b2d364262e51"/>
              <w:id w:val="1123809784"/>
              <w:lock w:val="sdtLocked"/>
            </w:sdtPr>
            <w:sdtEndPr>
              <w:rPr>
                <w:rFonts w:hint="eastAsia"/>
              </w:rPr>
            </w:sdtEndPr>
            <w:sdtContent>
              <w:tr w:rsidR="00B637B2" w:rsidTr="00B637B2">
                <w:sdt>
                  <w:sdtPr>
                    <w:rPr>
                      <w:rFonts w:asciiTheme="minorHAnsi" w:eastAsiaTheme="minorEastAsia" w:hAnsiTheme="minorHAnsi" w:cstheme="minorBidi"/>
                      <w:kern w:val="2"/>
                      <w:szCs w:val="21"/>
                    </w:rPr>
                    <w:alias w:val="以外币核算的货币资金明细-币种"/>
                    <w:tag w:val="_GBC_2b5a3172ce8940569e61aef5d3a82583"/>
                    <w:id w:val="-161343037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Calibri" w:eastAsia="宋体" w:hAnsi="Calibri" w:cs="Times New Roman"/>
                      <w:kern w:val="0"/>
                      <w:sz w:val="20"/>
                    </w:r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B637B2" w:rsidRDefault="008F04CF" w:rsidP="00B637B2">
                        <w:pPr>
                          <w:ind w:firstLineChars="300" w:firstLine="630"/>
                          <w:rPr>
                            <w:szCs w:val="21"/>
                          </w:rPr>
                        </w:pPr>
                        <w:r>
                          <w:rPr>
                            <w:rFonts w:asciiTheme="minorHAnsi" w:eastAsiaTheme="minorEastAsia" w:hAnsiTheme="minorHAnsi" w:cstheme="minorBidi"/>
                            <w:kern w:val="2"/>
                            <w:szCs w:val="21"/>
                          </w:rPr>
                          <w:t>日元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D147F7" w:rsidRDefault="008F04CF" w:rsidP="00B637B2">
                    <w:pPr>
                      <w:jc w:val="right"/>
                    </w:pPr>
                    <w:r w:rsidRPr="00D147F7">
                      <w:t xml:space="preserve"> </w:t>
                    </w:r>
                    <w:r w:rsidRPr="00745CA7">
                      <w:t>7,761</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Default="008F04CF" w:rsidP="00B637B2">
                    <w:pPr>
                      <w:jc w:val="right"/>
                    </w:pPr>
                    <w:r w:rsidRPr="001140A0">
                      <w:t>0.0638</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Default="008F04CF" w:rsidP="00B637B2">
                    <w:pPr>
                      <w:jc w:val="right"/>
                      <w:rPr>
                        <w:szCs w:val="21"/>
                      </w:rPr>
                    </w:pPr>
                    <w:r>
                      <w:t>495</w:t>
                    </w:r>
                  </w:p>
                </w:tc>
              </w:tr>
            </w:sdtContent>
          </w:sdt>
          <w:sdt>
            <w:sdtPr>
              <w:rPr>
                <w:rFonts w:asciiTheme="minorHAnsi" w:eastAsiaTheme="minorEastAsia" w:hAnsiTheme="minorHAnsi" w:cstheme="minorBidi"/>
                <w:kern w:val="2"/>
                <w:szCs w:val="21"/>
              </w:rPr>
              <w:alias w:val="以外币核算的货币资金明细"/>
              <w:tag w:val="_GBC_3ad40d767ac343a89a10b2d364262e51"/>
              <w:id w:val="-955333430"/>
              <w:lock w:val="sdtLocked"/>
            </w:sdtPr>
            <w:sdtEndPr>
              <w:rPr>
                <w:rFonts w:hint="eastAsia"/>
              </w:rPr>
            </w:sdtEndPr>
            <w:sdtContent>
              <w:tr w:rsidR="00B637B2" w:rsidTr="00B637B2">
                <w:sdt>
                  <w:sdtPr>
                    <w:rPr>
                      <w:rFonts w:asciiTheme="minorHAnsi" w:eastAsiaTheme="minorEastAsia" w:hAnsiTheme="minorHAnsi" w:cstheme="minorBidi"/>
                      <w:kern w:val="2"/>
                      <w:szCs w:val="21"/>
                    </w:rPr>
                    <w:alias w:val="以外币核算的货币资金明细-币种"/>
                    <w:tag w:val="_GBC_2b5a3172ce8940569e61aef5d3a82583"/>
                    <w:id w:val="38128815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Calibri" w:eastAsia="宋体" w:hAnsi="Calibri" w:cs="Times New Roman"/>
                      <w:kern w:val="0"/>
                      <w:sz w:val="20"/>
                    </w:r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B637B2" w:rsidRDefault="008F04CF" w:rsidP="00B637B2">
                        <w:pPr>
                          <w:ind w:firstLineChars="300" w:firstLine="630"/>
                          <w:rPr>
                            <w:szCs w:val="21"/>
                          </w:rPr>
                        </w:pPr>
                        <w:r>
                          <w:rPr>
                            <w:rFonts w:hint="eastAsia"/>
                            <w:szCs w:val="21"/>
                          </w:rPr>
                          <w:t>港币</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D147F7" w:rsidRDefault="008F04CF" w:rsidP="00B637B2">
                    <w:pPr>
                      <w:jc w:val="right"/>
                    </w:pPr>
                    <w:r>
                      <w:t>1,569</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Default="008F04CF" w:rsidP="00B637B2">
                    <w:pPr>
                      <w:jc w:val="right"/>
                    </w:pPr>
                    <w:r>
                      <w:t>0.8797</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Default="008F04CF" w:rsidP="00B637B2">
                    <w:pPr>
                      <w:jc w:val="right"/>
                      <w:rPr>
                        <w:szCs w:val="21"/>
                      </w:rPr>
                    </w:pPr>
                    <w:r>
                      <w:t>1,380</w:t>
                    </w:r>
                  </w:p>
                </w:tc>
              </w:tr>
            </w:sdtContent>
          </w:sdt>
          <w:tr w:rsidR="00B637B2" w:rsidTr="00B637B2">
            <w:tc>
              <w:tcPr>
                <w:tcW w:w="1601" w:type="pct"/>
                <w:tcBorders>
                  <w:top w:val="single" w:sz="4" w:space="0" w:color="auto"/>
                  <w:left w:val="single" w:sz="4" w:space="0" w:color="auto"/>
                  <w:bottom w:val="single" w:sz="4" w:space="0" w:color="auto"/>
                  <w:right w:val="single" w:sz="4" w:space="0" w:color="auto"/>
                </w:tcBorders>
                <w:shd w:val="clear" w:color="auto" w:fill="auto"/>
              </w:tcPr>
              <w:p w:rsidR="00B637B2" w:rsidRDefault="00B637B2" w:rsidP="00B637B2"/>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Default="00B637B2" w:rsidP="00B637B2">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Default="00B637B2" w:rsidP="00B637B2">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Default="00B637B2" w:rsidP="00B637B2">
                <w:pPr>
                  <w:jc w:val="right"/>
                  <w:rPr>
                    <w:szCs w:val="21"/>
                  </w:rPr>
                </w:pPr>
              </w:p>
            </w:tc>
          </w:tr>
          <w:tr w:rsidR="00B637B2" w:rsidTr="00B637B2">
            <w:tc>
              <w:tcPr>
                <w:tcW w:w="1601" w:type="pct"/>
                <w:tcBorders>
                  <w:top w:val="single" w:sz="4" w:space="0" w:color="auto"/>
                  <w:left w:val="single" w:sz="4" w:space="0" w:color="auto"/>
                  <w:bottom w:val="single" w:sz="4" w:space="0" w:color="auto"/>
                  <w:right w:val="single" w:sz="4" w:space="0" w:color="auto"/>
                </w:tcBorders>
                <w:shd w:val="clear" w:color="auto" w:fill="auto"/>
              </w:tcPr>
              <w:p w:rsidR="00B637B2" w:rsidRDefault="008F04CF" w:rsidP="00B637B2">
                <w:r>
                  <w:rPr>
                    <w:rFonts w:hint="eastAsia"/>
                  </w:rPr>
                  <w:t>银行存款</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Default="00B637B2" w:rsidP="00B637B2">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Default="00B637B2" w:rsidP="00B637B2">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Default="00B637B2" w:rsidP="00B637B2">
                <w:pPr>
                  <w:jc w:val="right"/>
                  <w:rPr>
                    <w:szCs w:val="21"/>
                  </w:rPr>
                </w:pPr>
              </w:p>
            </w:tc>
          </w:tr>
          <w:tr w:rsidR="00B637B2" w:rsidTr="00B637B2">
            <w:tc>
              <w:tcPr>
                <w:tcW w:w="1601" w:type="pct"/>
                <w:tcBorders>
                  <w:top w:val="single" w:sz="4" w:space="0" w:color="auto"/>
                  <w:left w:val="single" w:sz="4" w:space="0" w:color="auto"/>
                  <w:bottom w:val="single" w:sz="4" w:space="0" w:color="auto"/>
                  <w:right w:val="single" w:sz="4" w:space="0" w:color="auto"/>
                </w:tcBorders>
                <w:shd w:val="clear" w:color="auto" w:fill="auto"/>
              </w:tcPr>
              <w:p w:rsidR="00B637B2" w:rsidRDefault="008F04CF" w:rsidP="00B637B2">
                <w:r>
                  <w:t>其中：美元</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Default="008F04CF" w:rsidP="00B637B2">
                <w:pPr>
                  <w:jc w:val="right"/>
                  <w:rPr>
                    <w:szCs w:val="21"/>
                  </w:rPr>
                </w:pPr>
                <w:r>
                  <w:t> 2,003,624</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Default="008F04CF" w:rsidP="00B637B2">
                <w:pPr>
                  <w:jc w:val="right"/>
                  <w:rPr>
                    <w:szCs w:val="21"/>
                  </w:rPr>
                </w:pPr>
                <w:r>
                  <w:t>6.8747</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Default="008F04CF" w:rsidP="00B637B2">
                <w:pPr>
                  <w:jc w:val="right"/>
                  <w:rPr>
                    <w:szCs w:val="21"/>
                  </w:rPr>
                </w:pPr>
                <w:r>
                  <w:t>13,774,314</w:t>
                </w:r>
              </w:p>
            </w:tc>
          </w:tr>
          <w:tr w:rsidR="00B637B2" w:rsidTr="00B637B2">
            <w:tc>
              <w:tcPr>
                <w:tcW w:w="1601" w:type="pct"/>
                <w:tcBorders>
                  <w:top w:val="single" w:sz="4" w:space="0" w:color="auto"/>
                  <w:left w:val="single" w:sz="4" w:space="0" w:color="auto"/>
                  <w:bottom w:val="single" w:sz="4" w:space="0" w:color="auto"/>
                  <w:right w:val="single" w:sz="4" w:space="0" w:color="auto"/>
                </w:tcBorders>
                <w:shd w:val="clear" w:color="auto" w:fill="auto"/>
              </w:tcPr>
              <w:p w:rsidR="00B637B2" w:rsidRDefault="008F04CF" w:rsidP="00B637B2">
                <w:pPr>
                  <w:ind w:firstLineChars="300" w:firstLine="630"/>
                </w:pPr>
                <w:r>
                  <w:t>新加坡元</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Default="008F04CF" w:rsidP="00B637B2">
                <w:pPr>
                  <w:jc w:val="right"/>
                  <w:rPr>
                    <w:szCs w:val="21"/>
                  </w:rPr>
                </w:pPr>
                <w:r>
                  <w:t> 1,558,800</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Default="008F04CF" w:rsidP="00B637B2">
                <w:pPr>
                  <w:jc w:val="right"/>
                  <w:rPr>
                    <w:szCs w:val="21"/>
                  </w:rPr>
                </w:pPr>
                <w:r>
                  <w:t>5.0805</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Default="008F04CF" w:rsidP="00B637B2">
                <w:pPr>
                  <w:jc w:val="right"/>
                  <w:rPr>
                    <w:szCs w:val="21"/>
                  </w:rPr>
                </w:pPr>
                <w:r>
                  <w:t>7,919,483</w:t>
                </w:r>
              </w:p>
            </w:tc>
          </w:tr>
          <w:tr w:rsidR="00B637B2" w:rsidTr="00B637B2">
            <w:tc>
              <w:tcPr>
                <w:tcW w:w="1601" w:type="pct"/>
                <w:tcBorders>
                  <w:top w:val="single" w:sz="4" w:space="0" w:color="auto"/>
                  <w:left w:val="single" w:sz="4" w:space="0" w:color="auto"/>
                  <w:bottom w:val="single" w:sz="4" w:space="0" w:color="auto"/>
                  <w:right w:val="single" w:sz="4" w:space="0" w:color="auto"/>
                </w:tcBorders>
                <w:shd w:val="clear" w:color="auto" w:fill="auto"/>
              </w:tcPr>
              <w:p w:rsidR="00B637B2" w:rsidRDefault="008F04CF" w:rsidP="00B637B2">
                <w:pPr>
                  <w:ind w:firstLineChars="300" w:firstLine="630"/>
                </w:pPr>
                <w:r>
                  <w:t>港币</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Default="008F04CF" w:rsidP="00B637B2">
                <w:pPr>
                  <w:jc w:val="right"/>
                  <w:rPr>
                    <w:szCs w:val="21"/>
                  </w:rPr>
                </w:pPr>
                <w:r>
                  <w:t>11,945,425</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Default="008F04CF" w:rsidP="00B637B2">
                <w:pPr>
                  <w:jc w:val="right"/>
                  <w:rPr>
                    <w:szCs w:val="21"/>
                  </w:rPr>
                </w:pPr>
                <w:r>
                  <w:t>0.8797</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Default="008F04CF" w:rsidP="00B637B2">
                <w:pPr>
                  <w:jc w:val="right"/>
                  <w:rPr>
                    <w:szCs w:val="21"/>
                  </w:rPr>
                </w:pPr>
                <w:r>
                  <w:t>10,508,390</w:t>
                </w:r>
              </w:p>
            </w:tc>
          </w:tr>
          <w:tr w:rsidR="00B637B2" w:rsidTr="00B637B2">
            <w:tc>
              <w:tcPr>
                <w:tcW w:w="1601" w:type="pct"/>
                <w:tcBorders>
                  <w:top w:val="single" w:sz="4" w:space="0" w:color="auto"/>
                  <w:left w:val="single" w:sz="4" w:space="0" w:color="auto"/>
                  <w:bottom w:val="single" w:sz="4" w:space="0" w:color="auto"/>
                  <w:right w:val="single" w:sz="4" w:space="0" w:color="auto"/>
                </w:tcBorders>
                <w:shd w:val="clear" w:color="auto" w:fill="auto"/>
              </w:tcPr>
              <w:p w:rsidR="00B637B2" w:rsidRDefault="008F04CF" w:rsidP="00B637B2">
                <w:pPr>
                  <w:ind w:firstLineChars="300" w:firstLine="630"/>
                </w:pPr>
                <w:r>
                  <w:t>马来西亚林吉特</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Default="008F04CF" w:rsidP="00B637B2">
                <w:pPr>
                  <w:jc w:val="right"/>
                  <w:rPr>
                    <w:szCs w:val="21"/>
                  </w:rPr>
                </w:pPr>
                <w:r>
                  <w:t> 2,087,442</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Default="008F04CF" w:rsidP="00B637B2">
                <w:pPr>
                  <w:jc w:val="right"/>
                  <w:rPr>
                    <w:szCs w:val="21"/>
                  </w:rPr>
                </w:pPr>
                <w:r>
                  <w:t>1.6593</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Default="008F04CF" w:rsidP="00B637B2">
                <w:pPr>
                  <w:jc w:val="right"/>
                  <w:rPr>
                    <w:szCs w:val="21"/>
                  </w:rPr>
                </w:pPr>
                <w:r>
                  <w:t>3,463,693</w:t>
                </w:r>
              </w:p>
            </w:tc>
          </w:tr>
          <w:tr w:rsidR="00B637B2" w:rsidTr="00B637B2">
            <w:tc>
              <w:tcPr>
                <w:tcW w:w="1601" w:type="pct"/>
                <w:tcBorders>
                  <w:top w:val="single" w:sz="4" w:space="0" w:color="auto"/>
                  <w:left w:val="single" w:sz="4" w:space="0" w:color="auto"/>
                  <w:bottom w:val="single" w:sz="4" w:space="0" w:color="auto"/>
                  <w:right w:val="single" w:sz="4" w:space="0" w:color="auto"/>
                </w:tcBorders>
                <w:shd w:val="clear" w:color="auto" w:fill="auto"/>
              </w:tcPr>
              <w:p w:rsidR="00B637B2" w:rsidRDefault="008F04CF" w:rsidP="00B637B2">
                <w:pPr>
                  <w:ind w:firstLineChars="300" w:firstLine="630"/>
                </w:pPr>
                <w:r>
                  <w:t>泰国铢</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Default="008F04CF" w:rsidP="00B637B2">
                <w:pPr>
                  <w:jc w:val="right"/>
                  <w:rPr>
                    <w:szCs w:val="21"/>
                  </w:rPr>
                </w:pPr>
                <w:r>
                  <w:t> 3,730</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Default="008F04CF" w:rsidP="00B637B2">
                <w:pPr>
                  <w:jc w:val="right"/>
                  <w:rPr>
                    <w:szCs w:val="21"/>
                  </w:rPr>
                </w:pPr>
                <w:r>
                  <w:t>0.2234</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Default="008F04CF" w:rsidP="00B637B2">
                <w:pPr>
                  <w:jc w:val="right"/>
                  <w:rPr>
                    <w:szCs w:val="21"/>
                  </w:rPr>
                </w:pPr>
                <w:r>
                  <w:t>833</w:t>
                </w:r>
              </w:p>
            </w:tc>
          </w:tr>
          <w:tr w:rsidR="00B637B2" w:rsidTr="00B637B2">
            <w:tc>
              <w:tcPr>
                <w:tcW w:w="1601" w:type="pct"/>
                <w:tcBorders>
                  <w:top w:val="single" w:sz="4" w:space="0" w:color="auto"/>
                  <w:left w:val="single" w:sz="4" w:space="0" w:color="auto"/>
                  <w:bottom w:val="single" w:sz="4" w:space="0" w:color="auto"/>
                  <w:right w:val="single" w:sz="4" w:space="0" w:color="auto"/>
                </w:tcBorders>
                <w:shd w:val="clear" w:color="auto" w:fill="auto"/>
              </w:tcPr>
              <w:p w:rsidR="00B637B2" w:rsidRDefault="008F04CF" w:rsidP="00B637B2">
                <w:pPr>
                  <w:ind w:firstLineChars="300" w:firstLine="630"/>
                </w:pPr>
                <w:r>
                  <w:t>新台币</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Default="008F04CF" w:rsidP="00B637B2">
                <w:pPr>
                  <w:jc w:val="right"/>
                  <w:rPr>
                    <w:szCs w:val="21"/>
                  </w:rPr>
                </w:pPr>
                <w:r>
                  <w:t>29,846,142</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Default="008F04CF" w:rsidP="00B637B2">
                <w:pPr>
                  <w:jc w:val="right"/>
                  <w:rPr>
                    <w:szCs w:val="21"/>
                  </w:rPr>
                </w:pPr>
                <w:r>
                  <w:t>0.2220</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Default="008F04CF" w:rsidP="00B637B2">
                <w:pPr>
                  <w:jc w:val="right"/>
                  <w:rPr>
                    <w:szCs w:val="21"/>
                  </w:rPr>
                </w:pPr>
                <w:r>
                  <w:t>6,625,844</w:t>
                </w:r>
              </w:p>
            </w:tc>
          </w:tr>
          <w:tr w:rsidR="00B637B2" w:rsidTr="00B637B2">
            <w:tc>
              <w:tcPr>
                <w:tcW w:w="1601" w:type="pct"/>
                <w:tcBorders>
                  <w:top w:val="single" w:sz="4" w:space="0" w:color="auto"/>
                  <w:left w:val="single" w:sz="4" w:space="0" w:color="auto"/>
                  <w:bottom w:val="single" w:sz="4" w:space="0" w:color="auto"/>
                  <w:right w:val="single" w:sz="4" w:space="0" w:color="auto"/>
                </w:tcBorders>
                <w:shd w:val="clear" w:color="auto" w:fill="auto"/>
              </w:tcPr>
              <w:p w:rsidR="00B637B2" w:rsidRDefault="008F04CF" w:rsidP="00B637B2">
                <w:pPr>
                  <w:ind w:firstLineChars="300" w:firstLine="630"/>
                </w:pPr>
                <w:r>
                  <w:lastRenderedPageBreak/>
                  <w:t>澳门元</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Default="008F04CF" w:rsidP="00B637B2">
                <w:pPr>
                  <w:jc w:val="right"/>
                  <w:rPr>
                    <w:szCs w:val="21"/>
                  </w:rPr>
                </w:pPr>
                <w:r>
                  <w:t>2,262,862</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Default="008F04CF" w:rsidP="00B637B2">
                <w:pPr>
                  <w:jc w:val="right"/>
                  <w:rPr>
                    <w:szCs w:val="21"/>
                  </w:rPr>
                </w:pPr>
                <w:r>
                  <w:t>0.8840</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Default="008F04CF" w:rsidP="00B637B2">
                <w:pPr>
                  <w:jc w:val="right"/>
                  <w:rPr>
                    <w:szCs w:val="21"/>
                  </w:rPr>
                </w:pPr>
                <w:r>
                  <w:t>2,000,370</w:t>
                </w:r>
              </w:p>
            </w:tc>
          </w:tr>
          <w:tr w:rsidR="00B637B2" w:rsidTr="00B637B2">
            <w:tc>
              <w:tcPr>
                <w:tcW w:w="1601" w:type="pct"/>
                <w:tcBorders>
                  <w:top w:val="single" w:sz="4" w:space="0" w:color="auto"/>
                  <w:left w:val="single" w:sz="4" w:space="0" w:color="auto"/>
                  <w:bottom w:val="single" w:sz="4" w:space="0" w:color="auto"/>
                  <w:right w:val="single" w:sz="4" w:space="0" w:color="auto"/>
                </w:tcBorders>
                <w:shd w:val="clear" w:color="auto" w:fill="auto"/>
              </w:tcPr>
              <w:p w:rsidR="00B637B2" w:rsidRDefault="008F04CF" w:rsidP="00B637B2">
                <w:pPr>
                  <w:ind w:firstLineChars="300" w:firstLine="630"/>
                </w:pPr>
                <w:r>
                  <w:t>日元</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Default="008F04CF" w:rsidP="00B637B2">
                <w:pPr>
                  <w:jc w:val="right"/>
                  <w:rPr>
                    <w:szCs w:val="21"/>
                  </w:rPr>
                </w:pPr>
                <w:r>
                  <w:t>1,430,736</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Default="008F04CF" w:rsidP="00B637B2">
                <w:pPr>
                  <w:jc w:val="right"/>
                  <w:rPr>
                    <w:szCs w:val="21"/>
                  </w:rPr>
                </w:pPr>
                <w:r>
                  <w:t>0.0638</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Default="008F04CF" w:rsidP="00B637B2">
                <w:pPr>
                  <w:jc w:val="right"/>
                  <w:rPr>
                    <w:szCs w:val="21"/>
                  </w:rPr>
                </w:pPr>
                <w:r>
                  <w:t>91,281</w:t>
                </w:r>
              </w:p>
            </w:tc>
          </w:tr>
          <w:tr w:rsidR="00B637B2" w:rsidTr="00B637B2">
            <w:tc>
              <w:tcPr>
                <w:tcW w:w="1601" w:type="pct"/>
                <w:tcBorders>
                  <w:top w:val="single" w:sz="4" w:space="0" w:color="auto"/>
                  <w:left w:val="single" w:sz="4" w:space="0" w:color="auto"/>
                  <w:bottom w:val="single" w:sz="4" w:space="0" w:color="auto"/>
                  <w:right w:val="single" w:sz="4" w:space="0" w:color="auto"/>
                </w:tcBorders>
                <w:shd w:val="clear" w:color="auto" w:fill="auto"/>
              </w:tcPr>
              <w:p w:rsidR="00B637B2" w:rsidRDefault="00B637B2" w:rsidP="00B637B2"/>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Default="00B637B2" w:rsidP="00B637B2">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Default="00B637B2" w:rsidP="00B637B2">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Default="00B637B2" w:rsidP="00B637B2">
                <w:pPr>
                  <w:jc w:val="right"/>
                  <w:rPr>
                    <w:szCs w:val="21"/>
                  </w:rPr>
                </w:pPr>
              </w:p>
            </w:tc>
          </w:tr>
          <w:tr w:rsidR="00B637B2" w:rsidTr="00B637B2">
            <w:sdt>
              <w:sdtPr>
                <w:tag w:val="_PLD_86c964b2ca5e4d96b89b592f766adf56"/>
                <w:id w:val="-300146789"/>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B637B2" w:rsidRDefault="008F04CF" w:rsidP="00B637B2">
                    <w:pPr>
                      <w:rPr>
                        <w:szCs w:val="21"/>
                      </w:rPr>
                    </w:pPr>
                    <w:r>
                      <w:rPr>
                        <w:rFonts w:hint="eastAsia"/>
                      </w:rPr>
                      <w:t>应收账款</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Default="00B637B2" w:rsidP="00B637B2">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Default="00B637B2" w:rsidP="00B637B2">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Default="00B637B2" w:rsidP="00B637B2">
                <w:pPr>
                  <w:jc w:val="right"/>
                  <w:rPr>
                    <w:szCs w:val="21"/>
                  </w:rPr>
                </w:pPr>
              </w:p>
            </w:tc>
          </w:tr>
          <w:tr w:rsidR="00B637B2" w:rsidTr="00B637B2">
            <w:sdt>
              <w:sdtPr>
                <w:tag w:val="_PLD_2b1a25b4fca9480aa2f8c1f78f1185a2"/>
                <w:id w:val="-1040747134"/>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B637B2" w:rsidRDefault="008F04CF" w:rsidP="00B637B2">
                    <w:pPr>
                      <w:rPr>
                        <w:szCs w:val="21"/>
                      </w:rPr>
                    </w:pPr>
                    <w:r>
                      <w:rPr>
                        <w:rFonts w:hint="eastAsia"/>
                        <w:szCs w:val="21"/>
                      </w:rPr>
                      <w:t>其中：美元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661DF0" w:rsidRDefault="008F04CF" w:rsidP="00B637B2">
                <w:pPr>
                  <w:jc w:val="right"/>
                </w:pPr>
                <w:r>
                  <w:t xml:space="preserve"> </w:t>
                </w:r>
                <w:r>
                  <w:rPr>
                    <w:rFonts w:hint="eastAsia"/>
                  </w:rPr>
                  <w:t>-</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217CE0" w:rsidRDefault="008F04CF" w:rsidP="00B637B2">
                <w:pPr>
                  <w:jc w:val="right"/>
                </w:pPr>
                <w:r>
                  <w:rPr>
                    <w:rFonts w:hint="eastAsia"/>
                  </w:rPr>
                  <w:t>-</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Default="008F04CF" w:rsidP="00B637B2">
                <w:pPr>
                  <w:jc w:val="right"/>
                  <w:rPr>
                    <w:szCs w:val="21"/>
                  </w:rPr>
                </w:pPr>
                <w:r>
                  <w:rPr>
                    <w:rFonts w:hint="eastAsia"/>
                    <w:szCs w:val="21"/>
                  </w:rPr>
                  <w:t>-</w:t>
                </w:r>
              </w:p>
            </w:tc>
          </w:tr>
          <w:tr w:rsidR="00B637B2" w:rsidTr="00B637B2">
            <w:sdt>
              <w:sdtPr>
                <w:tag w:val="_PLD_72cc7ee4592c46e3b1230356475fca7f"/>
                <w:id w:val="1672670581"/>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B637B2" w:rsidRDefault="008F04CF" w:rsidP="00B637B2">
                    <w:pPr>
                      <w:ind w:firstLineChars="300" w:firstLine="630"/>
                      <w:rPr>
                        <w:szCs w:val="21"/>
                      </w:rPr>
                    </w:pPr>
                    <w:r>
                      <w:rPr>
                        <w:rFonts w:hint="eastAsia"/>
                        <w:szCs w:val="21"/>
                      </w:rPr>
                      <w:t>欧元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661DF0" w:rsidRDefault="008F04CF" w:rsidP="00B637B2">
                <w:pPr>
                  <w:jc w:val="right"/>
                </w:pPr>
                <w:r>
                  <w:t xml:space="preserve"> </w:t>
                </w:r>
                <w:r>
                  <w:rPr>
                    <w:rFonts w:hint="eastAsia"/>
                  </w:rPr>
                  <w:t>-</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217CE0" w:rsidRDefault="008F04CF" w:rsidP="00B637B2">
                <w:pPr>
                  <w:jc w:val="right"/>
                </w:pPr>
                <w:r>
                  <w:rPr>
                    <w:rFonts w:hint="eastAsia"/>
                  </w:rPr>
                  <w:t>-</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Default="008F04CF" w:rsidP="00B637B2">
                <w:pPr>
                  <w:jc w:val="right"/>
                  <w:rPr>
                    <w:szCs w:val="21"/>
                  </w:rPr>
                </w:pPr>
                <w:r>
                  <w:rPr>
                    <w:rFonts w:hint="eastAsia"/>
                    <w:szCs w:val="21"/>
                  </w:rPr>
                  <w:t>-</w:t>
                </w:r>
              </w:p>
            </w:tc>
          </w:tr>
          <w:sdt>
            <w:sdtPr>
              <w:rPr>
                <w:rFonts w:asciiTheme="minorHAnsi" w:eastAsiaTheme="minorEastAsia" w:hAnsiTheme="minorHAnsi" w:cstheme="minorBidi"/>
                <w:kern w:val="2"/>
                <w:szCs w:val="21"/>
              </w:rPr>
              <w:alias w:val="以外币核算的应收账款明细"/>
              <w:tag w:val="_GBC_794f4e5fa10748d4ad9f9d4eedd0905f"/>
              <w:id w:val="-520004246"/>
              <w:lock w:val="sdtLocked"/>
            </w:sdtPr>
            <w:sdtEndPr>
              <w:rPr>
                <w:rFonts w:hint="eastAsia"/>
              </w:rPr>
            </w:sdtEndPr>
            <w:sdtContent>
              <w:tr w:rsidR="00B637B2" w:rsidTr="00B637B2">
                <w:sdt>
                  <w:sdtPr>
                    <w:rPr>
                      <w:rFonts w:asciiTheme="minorHAnsi" w:eastAsiaTheme="minorEastAsia" w:hAnsiTheme="minorHAnsi" w:cstheme="minorBidi"/>
                      <w:kern w:val="2"/>
                      <w:szCs w:val="21"/>
                    </w:rPr>
                    <w:alias w:val="以外币核算的应收账款明细-币种"/>
                    <w:tag w:val="_GBC_ceb4d1567ae443e8b76e6026fe28a2b5"/>
                    <w:id w:val="10161916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Calibri" w:eastAsia="宋体" w:hAnsi="Calibri" w:cs="Times New Roman" w:hint="eastAsia"/>
                      <w:kern w:val="0"/>
                      <w:sz w:val="20"/>
                    </w:r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B637B2" w:rsidRDefault="008F04CF" w:rsidP="00B637B2">
                        <w:pPr>
                          <w:ind w:firstLineChars="300" w:firstLine="630"/>
                          <w:rPr>
                            <w:szCs w:val="21"/>
                          </w:rPr>
                        </w:pPr>
                        <w:r>
                          <w:rPr>
                            <w:rFonts w:asciiTheme="minorHAnsi" w:eastAsiaTheme="minorEastAsia" w:hAnsiTheme="minorHAnsi" w:cstheme="minorBidi" w:hint="eastAsia"/>
                            <w:kern w:val="2"/>
                            <w:szCs w:val="21"/>
                          </w:rPr>
                          <w:t>新加坡元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661DF0" w:rsidRDefault="008F04CF" w:rsidP="00B637B2">
                    <w:pPr>
                      <w:jc w:val="right"/>
                    </w:pPr>
                    <w:r>
                      <w:rPr>
                        <w:rFonts w:hint="eastAsia"/>
                      </w:rPr>
                      <w:t>-</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217CE0" w:rsidRDefault="008F04CF" w:rsidP="00B637B2">
                    <w:pPr>
                      <w:jc w:val="right"/>
                    </w:pPr>
                    <w:r>
                      <w:rPr>
                        <w:rFonts w:hint="eastAsia"/>
                      </w:rPr>
                      <w:t>-</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Default="008F04CF" w:rsidP="00B637B2">
                    <w:pPr>
                      <w:jc w:val="right"/>
                      <w:rPr>
                        <w:szCs w:val="21"/>
                      </w:rPr>
                    </w:pPr>
                    <w:r>
                      <w:rPr>
                        <w:rFonts w:hint="eastAsia"/>
                        <w:szCs w:val="21"/>
                      </w:rPr>
                      <w:t>-</w:t>
                    </w:r>
                  </w:p>
                </w:tc>
              </w:tr>
            </w:sdtContent>
          </w:sdt>
          <w:tr w:rsidR="00B637B2" w:rsidTr="00B637B2">
            <w:sdt>
              <w:sdtPr>
                <w:tag w:val="_PLD_563cc54d71764c93b62292ea00115909"/>
                <w:id w:val="86972770"/>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B637B2" w:rsidRDefault="008F04CF" w:rsidP="00B637B2">
                    <w:pPr>
                      <w:ind w:firstLineChars="300" w:firstLine="630"/>
                      <w:rPr>
                        <w:szCs w:val="21"/>
                      </w:rPr>
                    </w:pPr>
                    <w:r>
                      <w:rPr>
                        <w:rFonts w:hint="eastAsia"/>
                        <w:szCs w:val="21"/>
                      </w:rPr>
                      <w:t>港币</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661DF0" w:rsidRDefault="008F04CF" w:rsidP="00B637B2">
                <w:pPr>
                  <w:jc w:val="right"/>
                </w:pPr>
                <w:r>
                  <w:rPr>
                    <w:rFonts w:hint="eastAsia"/>
                  </w:rPr>
                  <w:t>-</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217CE0" w:rsidRDefault="008F04CF" w:rsidP="00B637B2">
                <w:pPr>
                  <w:jc w:val="right"/>
                </w:pPr>
                <w:r>
                  <w:rPr>
                    <w:rFonts w:hint="eastAsia"/>
                  </w:rPr>
                  <w:t>-</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Default="008F04CF" w:rsidP="00B637B2">
                <w:pPr>
                  <w:jc w:val="right"/>
                  <w:rPr>
                    <w:szCs w:val="21"/>
                  </w:rPr>
                </w:pPr>
                <w:r>
                  <w:rPr>
                    <w:rFonts w:hint="eastAsia"/>
                    <w:szCs w:val="21"/>
                  </w:rPr>
                  <w:t>-</w:t>
                </w:r>
              </w:p>
            </w:tc>
          </w:tr>
          <w:sdt>
            <w:sdtPr>
              <w:rPr>
                <w:rFonts w:asciiTheme="minorHAnsi" w:eastAsiaTheme="minorEastAsia" w:hAnsiTheme="minorHAnsi" w:cstheme="minorBidi"/>
                <w:kern w:val="2"/>
                <w:szCs w:val="21"/>
              </w:rPr>
              <w:alias w:val="以外币核算的长期借款明细"/>
              <w:tag w:val="_GBC_a405332bd92c4b2197e4126c4e908ba9"/>
              <w:id w:val="-949777671"/>
              <w:lock w:val="sdtLocked"/>
            </w:sdtPr>
            <w:sdtEndPr>
              <w:rPr>
                <w:rFonts w:hint="eastAsia"/>
              </w:rPr>
            </w:sdtEndPr>
            <w:sdtContent>
              <w:tr w:rsidR="00B637B2" w:rsidTr="00B637B2">
                <w:sdt>
                  <w:sdtPr>
                    <w:rPr>
                      <w:rFonts w:asciiTheme="minorHAnsi" w:eastAsiaTheme="minorEastAsia" w:hAnsiTheme="minorHAnsi" w:cstheme="minorBidi"/>
                      <w:kern w:val="2"/>
                      <w:szCs w:val="21"/>
                    </w:rPr>
                    <w:alias w:val="以外币核算的长期借款明细-币种"/>
                    <w:tag w:val="_GBC_08681a11ebb643d584d1d6e7ec7e4759"/>
                    <w:id w:val="7987664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Calibri" w:eastAsia="宋体" w:hAnsi="Calibri" w:cs="Times New Roman" w:hint="eastAsia"/>
                      <w:kern w:val="0"/>
                      <w:sz w:val="20"/>
                    </w:r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Default="008F04CF" w:rsidP="00B637B2">
                        <w:pPr>
                          <w:ind w:firstLineChars="300" w:firstLine="630"/>
                          <w:rPr>
                            <w:szCs w:val="21"/>
                          </w:rPr>
                        </w:pPr>
                        <w:r>
                          <w:rPr>
                            <w:rFonts w:asciiTheme="minorHAnsi" w:eastAsiaTheme="minorEastAsia" w:hAnsiTheme="minorHAnsi" w:cstheme="minorBidi" w:hint="eastAsia"/>
                            <w:kern w:val="2"/>
                            <w:szCs w:val="21"/>
                          </w:rPr>
                          <w:t>马来西亚林吉特</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661DF0" w:rsidRDefault="008F04CF" w:rsidP="00B637B2">
                    <w:pPr>
                      <w:jc w:val="right"/>
                    </w:pPr>
                    <w:r>
                      <w:rPr>
                        <w:rFonts w:hint="eastAsia"/>
                      </w:rPr>
                      <w:t>-</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217CE0" w:rsidRDefault="008F04CF" w:rsidP="00B637B2">
                    <w:pPr>
                      <w:jc w:val="right"/>
                    </w:pPr>
                    <w:r>
                      <w:rPr>
                        <w:rFonts w:hint="eastAsia"/>
                      </w:rPr>
                      <w:t>-</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Default="008F04CF" w:rsidP="00B637B2">
                    <w:pPr>
                      <w:jc w:val="right"/>
                      <w:rPr>
                        <w:szCs w:val="21"/>
                      </w:rPr>
                    </w:pPr>
                    <w:r>
                      <w:rPr>
                        <w:rFonts w:hint="eastAsia"/>
                        <w:szCs w:val="21"/>
                      </w:rPr>
                      <w:t>-</w:t>
                    </w:r>
                  </w:p>
                </w:tc>
              </w:tr>
            </w:sdtContent>
          </w:sdt>
          <w:sdt>
            <w:sdtPr>
              <w:rPr>
                <w:rFonts w:asciiTheme="minorHAnsi" w:eastAsiaTheme="minorEastAsia" w:hAnsiTheme="minorHAnsi" w:cstheme="minorBidi"/>
                <w:kern w:val="2"/>
                <w:szCs w:val="21"/>
              </w:rPr>
              <w:alias w:val="以外币核算的长期借款明细"/>
              <w:tag w:val="_GBC_a405332bd92c4b2197e4126c4e908ba9"/>
              <w:id w:val="-2010743845"/>
              <w:lock w:val="sdtLocked"/>
            </w:sdtPr>
            <w:sdtEndPr>
              <w:rPr>
                <w:rFonts w:hint="eastAsia"/>
              </w:rPr>
            </w:sdtEndPr>
            <w:sdtContent>
              <w:tr w:rsidR="00B637B2" w:rsidTr="00B637B2">
                <w:sdt>
                  <w:sdtPr>
                    <w:rPr>
                      <w:rFonts w:asciiTheme="minorHAnsi" w:eastAsiaTheme="minorEastAsia" w:hAnsiTheme="minorHAnsi" w:cstheme="minorBidi"/>
                      <w:kern w:val="2"/>
                      <w:szCs w:val="21"/>
                    </w:rPr>
                    <w:alias w:val="以外币核算的长期借款明细-币种"/>
                    <w:tag w:val="_GBC_08681a11ebb643d584d1d6e7ec7e4759"/>
                    <w:id w:val="-105338763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Calibri" w:eastAsia="宋体" w:hAnsi="Calibri" w:cs="Times New Roman" w:hint="eastAsia"/>
                      <w:kern w:val="0"/>
                      <w:sz w:val="20"/>
                    </w:r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Default="008F04CF" w:rsidP="00B637B2">
                        <w:pPr>
                          <w:ind w:firstLineChars="300" w:firstLine="630"/>
                          <w:rPr>
                            <w:szCs w:val="21"/>
                          </w:rPr>
                        </w:pPr>
                        <w:r>
                          <w:rPr>
                            <w:rFonts w:asciiTheme="minorHAnsi" w:eastAsiaTheme="minorEastAsia" w:hAnsiTheme="minorHAnsi" w:cstheme="minorBidi" w:hint="eastAsia"/>
                            <w:kern w:val="2"/>
                            <w:szCs w:val="21"/>
                          </w:rPr>
                          <w:t>泰国铢</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661DF0" w:rsidRDefault="008F04CF" w:rsidP="00B637B2">
                    <w:pPr>
                      <w:jc w:val="right"/>
                    </w:pPr>
                    <w:r>
                      <w:rPr>
                        <w:rFonts w:hint="eastAsia"/>
                      </w:rPr>
                      <w:t>-</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217CE0" w:rsidRDefault="008F04CF" w:rsidP="00B637B2">
                    <w:pPr>
                      <w:jc w:val="right"/>
                    </w:pPr>
                    <w:r>
                      <w:rPr>
                        <w:rFonts w:hint="eastAsia"/>
                      </w:rPr>
                      <w:t>-</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Default="008F04CF" w:rsidP="00B637B2">
                    <w:pPr>
                      <w:jc w:val="right"/>
                      <w:rPr>
                        <w:szCs w:val="21"/>
                      </w:rPr>
                    </w:pPr>
                    <w:r>
                      <w:rPr>
                        <w:rFonts w:hint="eastAsia"/>
                        <w:szCs w:val="21"/>
                      </w:rPr>
                      <w:t>-</w:t>
                    </w:r>
                  </w:p>
                </w:tc>
              </w:tr>
            </w:sdtContent>
          </w:sdt>
          <w:sdt>
            <w:sdtPr>
              <w:rPr>
                <w:rFonts w:asciiTheme="minorHAnsi" w:eastAsiaTheme="minorEastAsia" w:hAnsiTheme="minorHAnsi" w:cstheme="minorBidi"/>
                <w:kern w:val="2"/>
                <w:szCs w:val="21"/>
              </w:rPr>
              <w:alias w:val="以外币核算的币种明细"/>
              <w:tag w:val="_TUP_614d97239c3e47d5820e007eddb625ae"/>
              <w:id w:val="-1057783668"/>
              <w:lock w:val="sdtLocked"/>
            </w:sdtPr>
            <w:sdtContent>
              <w:tr w:rsidR="00B637B2" w:rsidTr="00B637B2">
                <w:sdt>
                  <w:sdtPr>
                    <w:rPr>
                      <w:rFonts w:asciiTheme="minorHAnsi" w:eastAsiaTheme="minorEastAsia" w:hAnsiTheme="minorHAnsi" w:cstheme="minorBidi"/>
                      <w:kern w:val="2"/>
                      <w:szCs w:val="21"/>
                    </w:rPr>
                    <w:alias w:val="以外币核算的币种明细-币种名称"/>
                    <w:tag w:val="_GBC_e121085e91dd448ab578965a0ebfb3e7"/>
                    <w:id w:val="-91193429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Arial" w:eastAsia="黑体" w:hAnsi="Arial" w:cs="Arial" w:hint="eastAsia"/>
                      <w:kern w:val="0"/>
                      <w:sz w:val="20"/>
                      <w:szCs w:val="20"/>
                    </w:r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B637B2" w:rsidRDefault="008F04CF" w:rsidP="00B637B2">
                        <w:pPr>
                          <w:ind w:firstLineChars="300" w:firstLine="630"/>
                          <w:rPr>
                            <w:szCs w:val="21"/>
                          </w:rPr>
                        </w:pPr>
                        <w:r>
                          <w:rPr>
                            <w:rFonts w:asciiTheme="minorHAnsi" w:eastAsiaTheme="minorEastAsia" w:hAnsiTheme="minorHAnsi" w:cstheme="minorBidi" w:hint="eastAsia"/>
                            <w:kern w:val="2"/>
                            <w:szCs w:val="21"/>
                          </w:rPr>
                          <w:t>新台币</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Default="008F04CF" w:rsidP="00B637B2">
                    <w:pPr>
                      <w:jc w:val="right"/>
                    </w:pPr>
                    <w:r>
                      <w:rPr>
                        <w:rFonts w:hint="eastAsia"/>
                      </w:rPr>
                      <w:t>-</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Default="008F04CF" w:rsidP="00B637B2">
                    <w:pPr>
                      <w:jc w:val="right"/>
                    </w:pPr>
                    <w:r>
                      <w:rPr>
                        <w:rFonts w:hint="eastAsia"/>
                      </w:rPr>
                      <w:t>-</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Default="008F04CF" w:rsidP="00B637B2">
                    <w:pPr>
                      <w:jc w:val="right"/>
                      <w:rPr>
                        <w:szCs w:val="21"/>
                      </w:rPr>
                    </w:pPr>
                    <w:r>
                      <w:rPr>
                        <w:rFonts w:hint="eastAsia"/>
                        <w:szCs w:val="21"/>
                      </w:rPr>
                      <w:t>-</w:t>
                    </w:r>
                  </w:p>
                </w:tc>
              </w:tr>
            </w:sdtContent>
          </w:sdt>
          <w:sdt>
            <w:sdtPr>
              <w:rPr>
                <w:rFonts w:asciiTheme="minorHAnsi" w:eastAsiaTheme="minorEastAsia" w:hAnsiTheme="minorHAnsi" w:cstheme="minorBidi"/>
                <w:kern w:val="2"/>
                <w:szCs w:val="21"/>
              </w:rPr>
              <w:alias w:val="以外币核算的币种明细"/>
              <w:tag w:val="_TUP_614d97239c3e47d5820e007eddb625ae"/>
              <w:id w:val="320480625"/>
              <w:lock w:val="sdtLocked"/>
            </w:sdtPr>
            <w:sdtContent>
              <w:tr w:rsidR="00B637B2" w:rsidTr="00B637B2">
                <w:sdt>
                  <w:sdtPr>
                    <w:rPr>
                      <w:rFonts w:asciiTheme="minorHAnsi" w:eastAsiaTheme="minorEastAsia" w:hAnsiTheme="minorHAnsi" w:cstheme="minorBidi"/>
                      <w:kern w:val="2"/>
                      <w:szCs w:val="21"/>
                    </w:rPr>
                    <w:alias w:val="以外币核算的币种明细-币种名称"/>
                    <w:tag w:val="_GBC_e121085e91dd448ab578965a0ebfb3e7"/>
                    <w:id w:val="-70116687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Arial" w:eastAsia="黑体" w:hAnsi="Arial" w:cs="Arial" w:hint="eastAsia"/>
                      <w:kern w:val="0"/>
                      <w:sz w:val="20"/>
                      <w:szCs w:val="20"/>
                    </w:r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B637B2" w:rsidRDefault="008F04CF" w:rsidP="00B637B2">
                        <w:pPr>
                          <w:ind w:firstLineChars="300" w:firstLine="630"/>
                          <w:rPr>
                            <w:szCs w:val="21"/>
                          </w:rPr>
                        </w:pPr>
                        <w:r>
                          <w:rPr>
                            <w:rFonts w:asciiTheme="minorHAnsi" w:eastAsiaTheme="minorEastAsia" w:hAnsiTheme="minorHAnsi" w:cstheme="minorBidi" w:hint="eastAsia"/>
                            <w:kern w:val="2"/>
                            <w:szCs w:val="21"/>
                          </w:rPr>
                          <w:t>澳门元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Default="008F04CF" w:rsidP="00B637B2">
                    <w:pPr>
                      <w:jc w:val="right"/>
                    </w:pPr>
                    <w:r>
                      <w:rPr>
                        <w:rFonts w:hint="eastAsia"/>
                      </w:rPr>
                      <w:t>-</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Default="008F04CF" w:rsidP="00B637B2">
                    <w:pPr>
                      <w:jc w:val="right"/>
                    </w:pPr>
                    <w:r>
                      <w:rPr>
                        <w:rFonts w:hint="eastAsia"/>
                      </w:rPr>
                      <w:t>-</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Default="008F04CF" w:rsidP="00B637B2">
                    <w:pPr>
                      <w:jc w:val="right"/>
                      <w:rPr>
                        <w:szCs w:val="21"/>
                      </w:rPr>
                    </w:pPr>
                    <w:r>
                      <w:rPr>
                        <w:rFonts w:hint="eastAsia"/>
                        <w:szCs w:val="21"/>
                      </w:rPr>
                      <w:t>-</w:t>
                    </w:r>
                  </w:p>
                </w:tc>
              </w:tr>
            </w:sdtContent>
          </w:sdt>
          <w:sdt>
            <w:sdtPr>
              <w:rPr>
                <w:rFonts w:asciiTheme="minorHAnsi" w:eastAsiaTheme="minorEastAsia" w:hAnsiTheme="minorHAnsi" w:cstheme="minorBidi"/>
                <w:kern w:val="2"/>
                <w:szCs w:val="21"/>
              </w:rPr>
              <w:alias w:val="以外币核算的币种明细"/>
              <w:tag w:val="_TUP_614d97239c3e47d5820e007eddb625ae"/>
              <w:id w:val="1446352111"/>
              <w:lock w:val="sdtLocked"/>
            </w:sdtPr>
            <w:sdtContent>
              <w:tr w:rsidR="00B637B2" w:rsidTr="00B637B2">
                <w:sdt>
                  <w:sdtPr>
                    <w:rPr>
                      <w:rFonts w:asciiTheme="minorHAnsi" w:eastAsiaTheme="minorEastAsia" w:hAnsiTheme="minorHAnsi" w:cstheme="minorBidi"/>
                      <w:kern w:val="2"/>
                      <w:szCs w:val="21"/>
                    </w:rPr>
                    <w:alias w:val="以外币核算的币种明细-币种名称"/>
                    <w:tag w:val="_GBC_e121085e91dd448ab578965a0ebfb3e7"/>
                    <w:id w:val="-143142718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Arial" w:eastAsia="黑体" w:hAnsi="Arial" w:cs="Arial" w:hint="eastAsia"/>
                      <w:kern w:val="0"/>
                      <w:sz w:val="20"/>
                      <w:szCs w:val="20"/>
                    </w:r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B637B2" w:rsidRDefault="008F04CF" w:rsidP="00B637B2">
                        <w:pPr>
                          <w:ind w:firstLineChars="300" w:firstLine="630"/>
                          <w:rPr>
                            <w:szCs w:val="21"/>
                          </w:rPr>
                        </w:pPr>
                        <w:r>
                          <w:rPr>
                            <w:rFonts w:asciiTheme="minorHAnsi" w:eastAsiaTheme="minorEastAsia" w:hAnsiTheme="minorHAnsi" w:cstheme="minorBidi" w:hint="eastAsia"/>
                            <w:kern w:val="2"/>
                            <w:szCs w:val="21"/>
                          </w:rPr>
                          <w:t>日元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Default="008F04CF" w:rsidP="00B637B2">
                    <w:pPr>
                      <w:jc w:val="right"/>
                    </w:pPr>
                    <w:r>
                      <w:rPr>
                        <w:rFonts w:hint="eastAsia"/>
                      </w:rPr>
                      <w:t>-</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Default="008F04CF" w:rsidP="00B637B2">
                    <w:pPr>
                      <w:jc w:val="right"/>
                    </w:pPr>
                    <w:r>
                      <w:rPr>
                        <w:rFonts w:hint="eastAsia"/>
                      </w:rPr>
                      <w:t>-</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Default="008F04CF" w:rsidP="00B637B2">
                    <w:pPr>
                      <w:jc w:val="right"/>
                      <w:rPr>
                        <w:szCs w:val="21"/>
                      </w:rPr>
                    </w:pPr>
                    <w:r>
                      <w:rPr>
                        <w:rFonts w:hint="eastAsia"/>
                        <w:szCs w:val="21"/>
                      </w:rPr>
                      <w:t>-</w:t>
                    </w:r>
                  </w:p>
                </w:tc>
              </w:tr>
            </w:sdtContent>
          </w:sdt>
          <w:sdt>
            <w:sdtPr>
              <w:rPr>
                <w:rFonts w:asciiTheme="minorHAnsi" w:eastAsiaTheme="minorEastAsia" w:hAnsiTheme="minorHAnsi" w:cstheme="minorBidi"/>
                <w:kern w:val="2"/>
                <w:szCs w:val="21"/>
              </w:rPr>
              <w:alias w:val="以外币核算的币种明细"/>
              <w:tag w:val="_TUP_614d97239c3e47d5820e007eddb625ae"/>
              <w:id w:val="-1066807341"/>
              <w:lock w:val="sdtLocked"/>
            </w:sdtPr>
            <w:sdtContent>
              <w:tr w:rsidR="00B637B2" w:rsidTr="00B637B2">
                <w:sdt>
                  <w:sdtPr>
                    <w:rPr>
                      <w:rFonts w:asciiTheme="minorHAnsi" w:eastAsiaTheme="minorEastAsia" w:hAnsiTheme="minorHAnsi" w:cstheme="minorBidi"/>
                      <w:kern w:val="2"/>
                      <w:szCs w:val="21"/>
                    </w:rPr>
                    <w:alias w:val="以外币核算的币种明细-币种名称"/>
                    <w:tag w:val="_GBC_e121085e91dd448ab578965a0ebfb3e7"/>
                    <w:id w:val="-262226884"/>
                    <w:lock w:val="sdtLocked"/>
                    <w:showingPlcHd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Arial" w:eastAsia="黑体" w:hAnsi="Arial" w:cs="Arial" w:hint="eastAsia"/>
                      <w:kern w:val="0"/>
                      <w:sz w:val="20"/>
                      <w:szCs w:val="20"/>
                    </w:r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B637B2" w:rsidRDefault="008F04CF" w:rsidP="00B637B2">
                        <w:pPr>
                          <w:ind w:firstLineChars="300" w:firstLine="630"/>
                          <w:rPr>
                            <w:szCs w:val="21"/>
                          </w:rPr>
                        </w:pPr>
                        <w:r>
                          <w:rPr>
                            <w:szCs w:val="21"/>
                          </w:rPr>
                          <w:t xml:space="preserve">     </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Default="00B637B2" w:rsidP="00B637B2">
                    <w:pPr>
                      <w:jc w:val="right"/>
                    </w:pP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Default="00B637B2" w:rsidP="00B637B2">
                    <w:pPr>
                      <w:jc w:val="right"/>
                    </w:pP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Default="00B637B2" w:rsidP="00B637B2">
                    <w:pPr>
                      <w:jc w:val="right"/>
                      <w:rPr>
                        <w:szCs w:val="21"/>
                      </w:rPr>
                    </w:pPr>
                  </w:p>
                </w:tc>
              </w:tr>
            </w:sdtContent>
          </w:sdt>
          <w:sdt>
            <w:sdtPr>
              <w:rPr>
                <w:rFonts w:asciiTheme="minorHAnsi" w:eastAsiaTheme="minorEastAsia" w:hAnsiTheme="minorHAnsi" w:cstheme="minorBidi"/>
                <w:kern w:val="2"/>
                <w:szCs w:val="21"/>
              </w:rPr>
              <w:alias w:val="以外币核算的币种明细"/>
              <w:tag w:val="_TUP_614d97239c3e47d5820e007eddb625ae"/>
              <w:id w:val="-393739627"/>
              <w:lock w:val="sdtLocked"/>
            </w:sdtPr>
            <w:sdtContent>
              <w:tr w:rsidR="00B637B2" w:rsidTr="00B637B2">
                <w:sdt>
                  <w:sdtPr>
                    <w:rPr>
                      <w:rFonts w:asciiTheme="minorHAnsi" w:eastAsiaTheme="minorEastAsia" w:hAnsiTheme="minorHAnsi" w:cstheme="minorBidi"/>
                      <w:kern w:val="2"/>
                      <w:szCs w:val="21"/>
                    </w:rPr>
                    <w:alias w:val="以外币核算的币种明细-币种名称"/>
                    <w:tag w:val="_GBC_e121085e91dd448ab578965a0ebfb3e7"/>
                    <w:id w:val="826632297"/>
                    <w:lock w:val="sdtLocked"/>
                    <w:showingPlcHd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Calibri" w:eastAsia="宋体" w:hAnsi="Calibri" w:cs="Times New Roman" w:hint="eastAsia"/>
                      <w:kern w:val="0"/>
                      <w:sz w:val="20"/>
                    </w:r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B637B2" w:rsidRDefault="008F04CF" w:rsidP="00B637B2">
                        <w:pPr>
                          <w:ind w:firstLineChars="300" w:firstLine="630"/>
                          <w:rPr>
                            <w:szCs w:val="21"/>
                          </w:rPr>
                        </w:pPr>
                        <w:r>
                          <w:rPr>
                            <w:szCs w:val="21"/>
                          </w:rPr>
                          <w:t xml:space="preserve">     </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661DF0" w:rsidRDefault="00B637B2" w:rsidP="00B637B2">
                    <w:pPr>
                      <w:jc w:val="right"/>
                    </w:pP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217CE0" w:rsidRDefault="00B637B2" w:rsidP="00B637B2">
                    <w:pPr>
                      <w:jc w:val="right"/>
                    </w:pP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Default="00B637B2" w:rsidP="00B637B2">
                    <w:pPr>
                      <w:jc w:val="right"/>
                      <w:rPr>
                        <w:szCs w:val="21"/>
                      </w:rPr>
                    </w:pPr>
                  </w:p>
                </w:tc>
              </w:tr>
            </w:sdtContent>
          </w:sdt>
        </w:tbl>
        <w:p w:rsidR="00B637B2" w:rsidRDefault="00B637B2"/>
        <w:p w:rsidR="00ED2DC7" w:rsidRDefault="00ED2DC7">
          <w:pPr>
            <w:spacing w:before="60" w:after="60"/>
            <w:rPr>
              <w:szCs w:val="21"/>
            </w:rPr>
          </w:pPr>
          <w:r>
            <w:rPr>
              <w:rFonts w:hint="eastAsia"/>
              <w:szCs w:val="21"/>
            </w:rPr>
            <w:t>其他说明：</w:t>
          </w:r>
        </w:p>
        <w:sdt>
          <w:sdtPr>
            <w:rPr>
              <w:szCs w:val="21"/>
            </w:rPr>
            <w:alias w:val="外币货币性项目的其他说明"/>
            <w:tag w:val="_GBC_a16b850d98e24762adbee5a1d5628893"/>
            <w:id w:val="1356547474"/>
            <w:lock w:val="sdtLocked"/>
            <w:placeholder>
              <w:docPart w:val="GBC22222222222222222222222222222"/>
            </w:placeholder>
          </w:sdtPr>
          <w:sdtContent>
            <w:p w:rsidR="00ED2DC7" w:rsidRDefault="0079135C">
              <w:pPr>
                <w:rPr>
                  <w:szCs w:val="21"/>
                </w:rPr>
              </w:pPr>
              <w:r>
                <w:rPr>
                  <w:rFonts w:hint="eastAsia"/>
                  <w:szCs w:val="21"/>
                </w:rPr>
                <w:t>无。</w:t>
              </w:r>
            </w:p>
          </w:sdtContent>
        </w:sdt>
        <w:p w:rsidR="00ED2DC7" w:rsidRDefault="00ED2DC7">
          <w:pPr>
            <w:rPr>
              <w:szCs w:val="21"/>
            </w:rPr>
          </w:pPr>
        </w:p>
        <w:p w:rsidR="00ED2DC7" w:rsidRDefault="00ED2DC7" w:rsidP="00036BDC">
          <w:pPr>
            <w:pStyle w:val="afffffffffffffffffff3"/>
            <w:numPr>
              <w:ilvl w:val="0"/>
              <w:numId w:val="81"/>
            </w:numPr>
            <w:tabs>
              <w:tab w:val="left" w:pos="700"/>
            </w:tabs>
            <w:spacing w:before="60" w:after="60"/>
            <w:ind w:firstLineChars="0"/>
            <w:jc w:val="left"/>
            <w:rPr>
              <w:b/>
              <w:szCs w:val="21"/>
            </w:rPr>
          </w:pPr>
          <w:r>
            <w:rPr>
              <w:rStyle w:val="affffffffffffffffff8"/>
              <w:rFonts w:ascii="宋体" w:hAnsi="宋体" w:hint="eastAsia"/>
              <w:szCs w:val="21"/>
            </w:rPr>
            <w:t>境外</w:t>
          </w:r>
          <w:r>
            <w:rPr>
              <w:rFonts w:hint="eastAsia"/>
              <w:b/>
              <w:szCs w:val="21"/>
            </w:rPr>
            <w:t>经营实体说明，包括对于重要的境外经营实体，应披露其境外主要经营地、记账本位币及选择依据，记账本位币发生变化的还应披露原因</w:t>
          </w:r>
        </w:p>
        <w:p w:rsidR="00ED2DC7" w:rsidRDefault="000D0A99" w:rsidP="0079135C">
          <w:pPr>
            <w:rPr>
              <w:szCs w:val="21"/>
            </w:rPr>
          </w:pPr>
          <w:sdt>
            <w:sdtPr>
              <w:rPr>
                <w:szCs w:val="21"/>
              </w:rPr>
              <w:alias w:val="是否适用：境外经营实体主要报表项目的折算汇率[双击切换]"/>
              <w:tag w:val="_GBC_4ad16f5c306d4c6ead144dfd007fb925"/>
              <w:id w:val="1151797781"/>
              <w:lock w:val="sdtContentLocked"/>
              <w:placeholder>
                <w:docPart w:val="GBC22222222222222222222222222222"/>
              </w:placeholder>
            </w:sdtPr>
            <w:sdtContent>
              <w:r w:rsidR="00ED2DC7">
                <w:rPr>
                  <w:szCs w:val="21"/>
                </w:rPr>
                <w:fldChar w:fldCharType="begin"/>
              </w:r>
              <w:r w:rsidR="0079135C">
                <w:rPr>
                  <w:szCs w:val="21"/>
                </w:rPr>
                <w:instrText xml:space="preserve"> MACROBUTTON  SnrToggleCheckbox □适用 </w:instrText>
              </w:r>
              <w:r w:rsidR="00ED2DC7">
                <w:rPr>
                  <w:szCs w:val="21"/>
                </w:rPr>
                <w:fldChar w:fldCharType="end"/>
              </w:r>
              <w:r w:rsidR="00ED2DC7">
                <w:rPr>
                  <w:szCs w:val="21"/>
                </w:rPr>
                <w:fldChar w:fldCharType="begin"/>
              </w:r>
              <w:r w:rsidR="0079135C">
                <w:rPr>
                  <w:szCs w:val="21"/>
                </w:rPr>
                <w:instrText xml:space="preserve"> MACROBUTTON  SnrToggleCheckbox √不适用 </w:instrText>
              </w:r>
              <w:r w:rsidR="00ED2DC7">
                <w:rPr>
                  <w:szCs w:val="21"/>
                </w:rPr>
                <w:fldChar w:fldCharType="end"/>
              </w:r>
            </w:sdtContent>
          </w:sdt>
        </w:p>
      </w:sdtContent>
    </w:sdt>
    <w:p w:rsidR="00ED2DC7" w:rsidRDefault="00ED2DC7"/>
    <w:sdt>
      <w:sdtPr>
        <w:rPr>
          <w:rFonts w:ascii="宋体" w:hAnsi="宋体" w:cs="宋体" w:hint="eastAsia"/>
          <w:b w:val="0"/>
          <w:bCs w:val="0"/>
          <w:kern w:val="0"/>
          <w:szCs w:val="24"/>
        </w:rPr>
        <w:alias w:val="模块:按照套期类别披露套期及相关套期工具、被套期风险的相关的定性定"/>
        <w:tag w:val="_GBC_e37f7bfcfa2f4a9e92bdd5e8593a6fd8"/>
        <w:id w:val="1518816086"/>
        <w:lock w:val="sdtLocked"/>
        <w:placeholder>
          <w:docPart w:val="GBC22222222222222222222222222222"/>
        </w:placeholder>
      </w:sdtPr>
      <w:sdtEndPr>
        <w:rPr>
          <w:rFonts w:hint="default"/>
        </w:rPr>
      </w:sdtEndPr>
      <w:sdtContent>
        <w:p w:rsidR="00ED2DC7" w:rsidRDefault="00ED2DC7" w:rsidP="00036BDC">
          <w:pPr>
            <w:pStyle w:val="affffffffffffffffff1"/>
            <w:numPr>
              <w:ilvl w:val="0"/>
              <w:numId w:val="49"/>
            </w:numPr>
            <w:tabs>
              <w:tab w:val="left" w:pos="504"/>
            </w:tabs>
            <w:rPr>
              <w:rFonts w:ascii="宋体" w:hAnsi="宋体" w:cs="宋体"/>
              <w:bCs w:val="0"/>
              <w:kern w:val="0"/>
              <w:szCs w:val="24"/>
            </w:rPr>
          </w:pPr>
          <w:r>
            <w:rPr>
              <w:rFonts w:ascii="宋体" w:hAnsi="宋体" w:cs="宋体" w:hint="eastAsia"/>
              <w:bCs w:val="0"/>
              <w:kern w:val="0"/>
              <w:szCs w:val="24"/>
            </w:rPr>
            <w:t>套期</w:t>
          </w:r>
        </w:p>
        <w:sdt>
          <w:sdtPr>
            <w:alias w:val="是否适用：套期[双击切换]"/>
            <w:tag w:val="_GBC_bca8fe779ada470c87241e7b3e12387a"/>
            <w:id w:val="-97174067"/>
            <w:lock w:val="sdtContentLocked"/>
            <w:placeholder>
              <w:docPart w:val="GBC22222222222222222222222222222"/>
            </w:placeholder>
          </w:sdtPr>
          <w:sdtContent>
            <w:p w:rsidR="00ED2DC7" w:rsidRDefault="00ED2DC7">
              <w:r>
                <w:fldChar w:fldCharType="begin"/>
              </w:r>
              <w:r w:rsidR="0079135C">
                <w:instrText xml:space="preserve"> MACROBUTTON  SnrToggleCheckbox √适用 </w:instrText>
              </w:r>
              <w:r>
                <w:fldChar w:fldCharType="end"/>
              </w:r>
              <w:r>
                <w:fldChar w:fldCharType="begin"/>
              </w:r>
              <w:r w:rsidR="0079135C">
                <w:instrText xml:space="preserve"> MACROBUTTON  SnrToggleCheckbox □不适用 </w:instrText>
              </w:r>
              <w:r>
                <w:fldChar w:fldCharType="end"/>
              </w:r>
            </w:p>
          </w:sdtContent>
        </w:sdt>
        <w:p w:rsidR="00ED2DC7" w:rsidRDefault="00ED2DC7">
          <w:pPr>
            <w:rPr>
              <w:rFonts w:ascii="Calibri" w:hAnsi="Calibri" w:cs="Times New Roman"/>
              <w:kern w:val="2"/>
              <w:szCs w:val="22"/>
            </w:rPr>
          </w:pPr>
          <w:r>
            <w:rPr>
              <w:rFonts w:hint="eastAsia"/>
            </w:rPr>
            <w:t>按照套期类别披露套期项目及相关套期工具、被套期风险的相关的定性和定量信息：</w:t>
          </w:r>
        </w:p>
        <w:sdt>
          <w:sdtPr>
            <w:alias w:val="按照套期类别披露套期及相关套期工具、被套期风险的相关的定性定量信息"/>
            <w:tag w:val="_GBC_8ef0bd7ba6d74bcda07e9f5021f37fbb"/>
            <w:id w:val="827320898"/>
            <w:lock w:val="sdtLocked"/>
            <w:placeholder>
              <w:docPart w:val="GBC22222222222222222222222222222"/>
            </w:placeholder>
          </w:sdtPr>
          <w:sdtContent>
            <w:p w:rsidR="00FA797E" w:rsidRDefault="00FA797E" w:rsidP="00FA797E">
              <w:r>
                <w:rPr>
                  <w:rFonts w:hint="eastAsia"/>
                </w:rPr>
                <w:t>本集团通过货币互换与利率互换协议来降低外汇波动、市场利率变动对本集团的影响。本集团签订的货币互换与利率互换协议，全部为套期工具，符合现金流量套期的核算范围。</w:t>
              </w:r>
            </w:p>
            <w:p w:rsidR="00FA797E" w:rsidRDefault="00FA797E" w:rsidP="00FA797E"/>
            <w:tbl>
              <w:tblPr>
                <w:tblStyle w:val="g35"/>
                <w:tblW w:w="0" w:type="dxa"/>
                <w:tblLayout w:type="fixed"/>
                <w:tblCellMar>
                  <w:left w:w="0" w:type="dxa"/>
                  <w:right w:w="0" w:type="dxa"/>
                </w:tblCellMar>
                <w:tblLook w:val="04A0" w:firstRow="1" w:lastRow="0" w:firstColumn="1" w:lastColumn="0" w:noHBand="0" w:noVBand="1"/>
                <w:tblCaption w:val="预付款项-5列"/>
              </w:tblPr>
              <w:tblGrid>
                <w:gridCol w:w="1729"/>
                <w:gridCol w:w="113"/>
                <w:gridCol w:w="1474"/>
                <w:gridCol w:w="85"/>
                <w:gridCol w:w="113"/>
                <w:gridCol w:w="1474"/>
                <w:gridCol w:w="85"/>
                <w:gridCol w:w="113"/>
                <w:gridCol w:w="1474"/>
                <w:gridCol w:w="85"/>
                <w:gridCol w:w="113"/>
                <w:gridCol w:w="1474"/>
                <w:gridCol w:w="113"/>
              </w:tblGrid>
              <w:tr w:rsidR="00B637B2" w:rsidRPr="008C2320" w:rsidTr="00B637B2">
                <w:trPr>
                  <w:trHeight w:val="20"/>
                </w:trPr>
                <w:tc>
                  <w:tcPr>
                    <w:tcW w:w="1729" w:type="dxa"/>
                    <w:noWrap/>
                    <w:vAlign w:val="center"/>
                  </w:tcPr>
                  <w:p w:rsidR="00B637B2" w:rsidRPr="008C2320" w:rsidRDefault="00B637B2">
                    <w:pPr>
                      <w:kinsoku w:val="0"/>
                      <w:overflowPunct w:val="0"/>
                      <w:autoSpaceDE w:val="0"/>
                      <w:autoSpaceDN w:val="0"/>
                      <w:adjustRightInd w:val="0"/>
                      <w:snapToGrid w:val="0"/>
                      <w:jc w:val="right"/>
                      <w:rPr>
                        <w:rFonts w:cs="Arial"/>
                        <w:color w:val="000000"/>
                        <w:sz w:val="20"/>
                        <w:szCs w:val="20"/>
                      </w:rPr>
                    </w:pPr>
                  </w:p>
                </w:tc>
                <w:tc>
                  <w:tcPr>
                    <w:tcW w:w="113" w:type="dxa"/>
                    <w:noWrap/>
                    <w:vAlign w:val="center"/>
                  </w:tcPr>
                  <w:p w:rsidR="00B637B2" w:rsidRPr="008C2320" w:rsidRDefault="00B637B2">
                    <w:pPr>
                      <w:kinsoku w:val="0"/>
                      <w:overflowPunct w:val="0"/>
                      <w:autoSpaceDE w:val="0"/>
                      <w:autoSpaceDN w:val="0"/>
                      <w:adjustRightInd w:val="0"/>
                      <w:snapToGrid w:val="0"/>
                      <w:jc w:val="right"/>
                      <w:rPr>
                        <w:rFonts w:cs="Arial"/>
                        <w:color w:val="000000"/>
                        <w:sz w:val="20"/>
                        <w:szCs w:val="20"/>
                      </w:rPr>
                    </w:pPr>
                  </w:p>
                </w:tc>
                <w:tc>
                  <w:tcPr>
                    <w:tcW w:w="3146" w:type="dxa"/>
                    <w:gridSpan w:val="4"/>
                    <w:tcBorders>
                      <w:top w:val="nil"/>
                      <w:left w:val="nil"/>
                      <w:bottom w:val="single" w:sz="4" w:space="0" w:color="auto"/>
                      <w:right w:val="nil"/>
                    </w:tcBorders>
                    <w:vAlign w:val="bottom"/>
                    <w:hideMark/>
                  </w:tcPr>
                  <w:p w:rsidR="00B637B2" w:rsidRPr="008C2320" w:rsidRDefault="008F04CF">
                    <w:pPr>
                      <w:kinsoku w:val="0"/>
                      <w:overflowPunct w:val="0"/>
                      <w:autoSpaceDE w:val="0"/>
                      <w:autoSpaceDN w:val="0"/>
                      <w:adjustRightInd w:val="0"/>
                      <w:snapToGrid w:val="0"/>
                      <w:jc w:val="center"/>
                      <w:rPr>
                        <w:rFonts w:cs="Arial"/>
                        <w:color w:val="000000"/>
                        <w:sz w:val="20"/>
                        <w:szCs w:val="20"/>
                      </w:rPr>
                    </w:pPr>
                    <w:r w:rsidRPr="008C2320">
                      <w:rPr>
                        <w:rFonts w:cs="Arial"/>
                        <w:color w:val="000000"/>
                        <w:sz w:val="20"/>
                        <w:szCs w:val="20"/>
                      </w:rPr>
                      <w:t>2019</w:t>
                    </w:r>
                    <w:r w:rsidRPr="008C2320">
                      <w:rPr>
                        <w:rFonts w:cs="Arial" w:hint="eastAsia"/>
                        <w:color w:val="000000"/>
                        <w:sz w:val="20"/>
                        <w:szCs w:val="20"/>
                      </w:rPr>
                      <w:t>年</w:t>
                    </w:r>
                    <w:r w:rsidRPr="008C2320">
                      <w:rPr>
                        <w:rFonts w:cs="Arial"/>
                        <w:color w:val="000000"/>
                        <w:sz w:val="20"/>
                        <w:szCs w:val="20"/>
                      </w:rPr>
                      <w:t>6</w:t>
                    </w:r>
                    <w:r w:rsidRPr="008C2320">
                      <w:rPr>
                        <w:rFonts w:cs="Arial" w:hint="eastAsia"/>
                        <w:color w:val="000000"/>
                        <w:sz w:val="20"/>
                        <w:szCs w:val="20"/>
                      </w:rPr>
                      <w:t>月</w:t>
                    </w:r>
                    <w:r w:rsidRPr="008C2320">
                      <w:rPr>
                        <w:rFonts w:cs="Arial"/>
                        <w:color w:val="000000"/>
                        <w:sz w:val="20"/>
                        <w:szCs w:val="20"/>
                      </w:rPr>
                      <w:t>30</w:t>
                    </w:r>
                    <w:r w:rsidRPr="008C2320">
                      <w:rPr>
                        <w:rFonts w:cs="Arial" w:hint="eastAsia"/>
                        <w:color w:val="000000"/>
                        <w:sz w:val="20"/>
                        <w:szCs w:val="20"/>
                      </w:rPr>
                      <w:t>日</w:t>
                    </w:r>
                  </w:p>
                </w:tc>
                <w:tc>
                  <w:tcPr>
                    <w:tcW w:w="85" w:type="dxa"/>
                    <w:noWrap/>
                    <w:vAlign w:val="bottom"/>
                  </w:tcPr>
                  <w:p w:rsidR="00B637B2" w:rsidRPr="008C2320" w:rsidRDefault="00B637B2">
                    <w:pPr>
                      <w:kinsoku w:val="0"/>
                      <w:overflowPunct w:val="0"/>
                      <w:autoSpaceDE w:val="0"/>
                      <w:autoSpaceDN w:val="0"/>
                      <w:adjustRightInd w:val="0"/>
                      <w:snapToGrid w:val="0"/>
                      <w:jc w:val="center"/>
                      <w:rPr>
                        <w:rFonts w:cs="Arial"/>
                        <w:color w:val="000000"/>
                        <w:sz w:val="20"/>
                        <w:szCs w:val="20"/>
                      </w:rPr>
                    </w:pPr>
                  </w:p>
                </w:tc>
                <w:tc>
                  <w:tcPr>
                    <w:tcW w:w="113" w:type="dxa"/>
                    <w:noWrap/>
                    <w:vAlign w:val="bottom"/>
                  </w:tcPr>
                  <w:p w:rsidR="00B637B2" w:rsidRPr="008C2320" w:rsidRDefault="00B637B2">
                    <w:pPr>
                      <w:kinsoku w:val="0"/>
                      <w:overflowPunct w:val="0"/>
                      <w:autoSpaceDE w:val="0"/>
                      <w:autoSpaceDN w:val="0"/>
                      <w:adjustRightInd w:val="0"/>
                      <w:snapToGrid w:val="0"/>
                      <w:jc w:val="center"/>
                      <w:rPr>
                        <w:rFonts w:cs="Arial"/>
                        <w:color w:val="000000"/>
                        <w:sz w:val="20"/>
                        <w:szCs w:val="20"/>
                      </w:rPr>
                    </w:pPr>
                  </w:p>
                </w:tc>
                <w:tc>
                  <w:tcPr>
                    <w:tcW w:w="3146" w:type="dxa"/>
                    <w:gridSpan w:val="4"/>
                    <w:tcBorders>
                      <w:top w:val="nil"/>
                      <w:left w:val="nil"/>
                      <w:bottom w:val="single" w:sz="4" w:space="0" w:color="auto"/>
                      <w:right w:val="nil"/>
                    </w:tcBorders>
                    <w:vAlign w:val="bottom"/>
                    <w:hideMark/>
                  </w:tcPr>
                  <w:p w:rsidR="00B637B2" w:rsidRPr="008C2320" w:rsidRDefault="008F04CF">
                    <w:pPr>
                      <w:kinsoku w:val="0"/>
                      <w:overflowPunct w:val="0"/>
                      <w:autoSpaceDE w:val="0"/>
                      <w:autoSpaceDN w:val="0"/>
                      <w:adjustRightInd w:val="0"/>
                      <w:snapToGrid w:val="0"/>
                      <w:jc w:val="center"/>
                      <w:rPr>
                        <w:rFonts w:cs="Arial"/>
                        <w:color w:val="000000"/>
                        <w:sz w:val="20"/>
                        <w:szCs w:val="20"/>
                      </w:rPr>
                    </w:pPr>
                    <w:r w:rsidRPr="008C2320">
                      <w:rPr>
                        <w:rFonts w:cs="Arial"/>
                        <w:color w:val="000000"/>
                        <w:sz w:val="20"/>
                        <w:szCs w:val="20"/>
                      </w:rPr>
                      <w:t>2018</w:t>
                    </w:r>
                    <w:r w:rsidRPr="008C2320">
                      <w:rPr>
                        <w:rFonts w:cs="Arial" w:hint="eastAsia"/>
                        <w:color w:val="000000"/>
                        <w:sz w:val="20"/>
                        <w:szCs w:val="20"/>
                      </w:rPr>
                      <w:t>年</w:t>
                    </w:r>
                    <w:r w:rsidRPr="008C2320">
                      <w:rPr>
                        <w:rFonts w:cs="Arial"/>
                        <w:color w:val="000000"/>
                        <w:sz w:val="20"/>
                        <w:szCs w:val="20"/>
                      </w:rPr>
                      <w:t>12</w:t>
                    </w:r>
                    <w:r w:rsidRPr="008C2320">
                      <w:rPr>
                        <w:rFonts w:cs="Arial" w:hint="eastAsia"/>
                        <w:color w:val="000000"/>
                        <w:sz w:val="20"/>
                        <w:szCs w:val="20"/>
                      </w:rPr>
                      <w:t>月</w:t>
                    </w:r>
                    <w:r w:rsidRPr="008C2320">
                      <w:rPr>
                        <w:rFonts w:cs="Arial"/>
                        <w:color w:val="000000"/>
                        <w:sz w:val="20"/>
                        <w:szCs w:val="20"/>
                      </w:rPr>
                      <w:t>31</w:t>
                    </w:r>
                    <w:r w:rsidRPr="008C2320">
                      <w:rPr>
                        <w:rFonts w:cs="Arial" w:hint="eastAsia"/>
                        <w:color w:val="000000"/>
                        <w:sz w:val="20"/>
                        <w:szCs w:val="20"/>
                      </w:rPr>
                      <w:t>日</w:t>
                    </w:r>
                  </w:p>
                </w:tc>
                <w:tc>
                  <w:tcPr>
                    <w:tcW w:w="113" w:type="dxa"/>
                    <w:noWrap/>
                    <w:vAlign w:val="center"/>
                  </w:tcPr>
                  <w:p w:rsidR="00B637B2" w:rsidRPr="008C2320" w:rsidRDefault="00B637B2">
                    <w:pPr>
                      <w:kinsoku w:val="0"/>
                      <w:overflowPunct w:val="0"/>
                      <w:autoSpaceDE w:val="0"/>
                      <w:autoSpaceDN w:val="0"/>
                      <w:adjustRightInd w:val="0"/>
                      <w:snapToGrid w:val="0"/>
                      <w:jc w:val="right"/>
                      <w:rPr>
                        <w:rFonts w:cs="Arial"/>
                        <w:color w:val="000000"/>
                        <w:sz w:val="20"/>
                        <w:szCs w:val="20"/>
                      </w:rPr>
                    </w:pPr>
                  </w:p>
                </w:tc>
              </w:tr>
              <w:tr w:rsidR="00B637B2" w:rsidRPr="008C2320" w:rsidTr="00B637B2">
                <w:trPr>
                  <w:trHeight w:val="20"/>
                </w:trPr>
                <w:tc>
                  <w:tcPr>
                    <w:tcW w:w="1729" w:type="dxa"/>
                    <w:noWrap/>
                    <w:vAlign w:val="center"/>
                    <w:hideMark/>
                  </w:tcPr>
                  <w:p w:rsidR="00B637B2" w:rsidRPr="008C2320" w:rsidRDefault="00B637B2">
                    <w:pPr>
                      <w:rPr>
                        <w:rFonts w:cs="Arial"/>
                        <w:color w:val="000000"/>
                        <w:sz w:val="20"/>
                        <w:szCs w:val="20"/>
                      </w:rPr>
                    </w:pPr>
                  </w:p>
                </w:tc>
                <w:tc>
                  <w:tcPr>
                    <w:tcW w:w="113" w:type="dxa"/>
                    <w:noWrap/>
                    <w:vAlign w:val="center"/>
                    <w:hideMark/>
                  </w:tcPr>
                  <w:p w:rsidR="00B637B2" w:rsidRPr="008C2320" w:rsidRDefault="00B637B2">
                    <w:pPr>
                      <w:rPr>
                        <w:sz w:val="20"/>
                        <w:szCs w:val="20"/>
                      </w:rPr>
                    </w:pPr>
                  </w:p>
                </w:tc>
                <w:tc>
                  <w:tcPr>
                    <w:tcW w:w="1474" w:type="dxa"/>
                    <w:tcBorders>
                      <w:top w:val="single" w:sz="4" w:space="0" w:color="auto"/>
                      <w:left w:val="nil"/>
                      <w:bottom w:val="nil"/>
                      <w:right w:val="nil"/>
                    </w:tcBorders>
                    <w:vAlign w:val="bottom"/>
                    <w:hideMark/>
                  </w:tcPr>
                  <w:p w:rsidR="00B637B2" w:rsidRPr="008C2320" w:rsidRDefault="008F04CF">
                    <w:pPr>
                      <w:kinsoku w:val="0"/>
                      <w:overflowPunct w:val="0"/>
                      <w:autoSpaceDE w:val="0"/>
                      <w:autoSpaceDN w:val="0"/>
                      <w:adjustRightInd w:val="0"/>
                      <w:snapToGrid w:val="0"/>
                      <w:jc w:val="right"/>
                      <w:rPr>
                        <w:rFonts w:cs="Arial"/>
                        <w:color w:val="000000"/>
                        <w:sz w:val="20"/>
                        <w:szCs w:val="20"/>
                      </w:rPr>
                    </w:pPr>
                    <w:r w:rsidRPr="008C2320">
                      <w:rPr>
                        <w:rFonts w:cs="Arial" w:hint="eastAsia"/>
                        <w:color w:val="000000"/>
                        <w:sz w:val="20"/>
                        <w:szCs w:val="20"/>
                      </w:rPr>
                      <w:t>资产</w:t>
                    </w:r>
                  </w:p>
                </w:tc>
                <w:tc>
                  <w:tcPr>
                    <w:tcW w:w="85" w:type="dxa"/>
                    <w:tcBorders>
                      <w:top w:val="single" w:sz="4" w:space="0" w:color="auto"/>
                      <w:left w:val="nil"/>
                      <w:bottom w:val="nil"/>
                      <w:right w:val="nil"/>
                    </w:tcBorders>
                    <w:vAlign w:val="bottom"/>
                    <w:hideMark/>
                  </w:tcPr>
                  <w:p w:rsidR="00B637B2" w:rsidRPr="008C2320" w:rsidRDefault="00B637B2">
                    <w:pPr>
                      <w:rPr>
                        <w:rFonts w:cs="Arial"/>
                        <w:color w:val="000000"/>
                        <w:sz w:val="20"/>
                        <w:szCs w:val="20"/>
                      </w:rPr>
                    </w:pPr>
                  </w:p>
                </w:tc>
                <w:tc>
                  <w:tcPr>
                    <w:tcW w:w="113" w:type="dxa"/>
                    <w:tcBorders>
                      <w:top w:val="single" w:sz="4" w:space="0" w:color="auto"/>
                      <w:left w:val="nil"/>
                      <w:bottom w:val="nil"/>
                      <w:right w:val="nil"/>
                    </w:tcBorders>
                    <w:vAlign w:val="bottom"/>
                    <w:hideMark/>
                  </w:tcPr>
                  <w:p w:rsidR="00B637B2" w:rsidRPr="008C2320" w:rsidRDefault="00B637B2">
                    <w:pPr>
                      <w:rPr>
                        <w:sz w:val="20"/>
                        <w:szCs w:val="20"/>
                      </w:rPr>
                    </w:pPr>
                  </w:p>
                </w:tc>
                <w:tc>
                  <w:tcPr>
                    <w:tcW w:w="1474" w:type="dxa"/>
                    <w:tcBorders>
                      <w:top w:val="single" w:sz="4" w:space="0" w:color="auto"/>
                      <w:left w:val="nil"/>
                      <w:bottom w:val="nil"/>
                      <w:right w:val="nil"/>
                    </w:tcBorders>
                    <w:vAlign w:val="bottom"/>
                    <w:hideMark/>
                  </w:tcPr>
                  <w:p w:rsidR="00B637B2" w:rsidRPr="008C2320" w:rsidRDefault="008F04CF">
                    <w:pPr>
                      <w:kinsoku w:val="0"/>
                      <w:overflowPunct w:val="0"/>
                      <w:autoSpaceDE w:val="0"/>
                      <w:autoSpaceDN w:val="0"/>
                      <w:adjustRightInd w:val="0"/>
                      <w:snapToGrid w:val="0"/>
                      <w:jc w:val="right"/>
                      <w:rPr>
                        <w:rFonts w:cs="Arial"/>
                        <w:color w:val="000000"/>
                        <w:sz w:val="20"/>
                        <w:szCs w:val="20"/>
                      </w:rPr>
                    </w:pPr>
                    <w:r w:rsidRPr="008C2320">
                      <w:rPr>
                        <w:rFonts w:cs="Arial" w:hint="eastAsia"/>
                        <w:color w:val="000000"/>
                        <w:sz w:val="20"/>
                        <w:szCs w:val="20"/>
                      </w:rPr>
                      <w:t>负债</w:t>
                    </w:r>
                  </w:p>
                </w:tc>
                <w:tc>
                  <w:tcPr>
                    <w:tcW w:w="85" w:type="dxa"/>
                    <w:noWrap/>
                    <w:vAlign w:val="bottom"/>
                    <w:hideMark/>
                  </w:tcPr>
                  <w:p w:rsidR="00B637B2" w:rsidRPr="008C2320" w:rsidRDefault="00B637B2">
                    <w:pPr>
                      <w:rPr>
                        <w:rFonts w:cs="Arial"/>
                        <w:color w:val="000000"/>
                        <w:sz w:val="20"/>
                        <w:szCs w:val="20"/>
                      </w:rPr>
                    </w:pPr>
                  </w:p>
                </w:tc>
                <w:tc>
                  <w:tcPr>
                    <w:tcW w:w="113" w:type="dxa"/>
                    <w:noWrap/>
                    <w:vAlign w:val="bottom"/>
                    <w:hideMark/>
                  </w:tcPr>
                  <w:p w:rsidR="00B637B2" w:rsidRPr="008C2320" w:rsidRDefault="00B637B2">
                    <w:pPr>
                      <w:rPr>
                        <w:sz w:val="20"/>
                        <w:szCs w:val="20"/>
                      </w:rPr>
                    </w:pPr>
                  </w:p>
                </w:tc>
                <w:tc>
                  <w:tcPr>
                    <w:tcW w:w="1474" w:type="dxa"/>
                    <w:tcBorders>
                      <w:top w:val="single" w:sz="4" w:space="0" w:color="auto"/>
                      <w:left w:val="nil"/>
                      <w:bottom w:val="nil"/>
                      <w:right w:val="nil"/>
                    </w:tcBorders>
                    <w:vAlign w:val="bottom"/>
                    <w:hideMark/>
                  </w:tcPr>
                  <w:p w:rsidR="00B637B2" w:rsidRPr="008C2320" w:rsidRDefault="008F04CF">
                    <w:pPr>
                      <w:kinsoku w:val="0"/>
                      <w:overflowPunct w:val="0"/>
                      <w:autoSpaceDE w:val="0"/>
                      <w:autoSpaceDN w:val="0"/>
                      <w:adjustRightInd w:val="0"/>
                      <w:snapToGrid w:val="0"/>
                      <w:jc w:val="right"/>
                      <w:rPr>
                        <w:rFonts w:cs="Arial"/>
                        <w:color w:val="000000"/>
                        <w:sz w:val="20"/>
                        <w:szCs w:val="20"/>
                      </w:rPr>
                    </w:pPr>
                    <w:r w:rsidRPr="008C2320">
                      <w:rPr>
                        <w:rFonts w:cs="Arial" w:hint="eastAsia"/>
                        <w:color w:val="000000"/>
                        <w:sz w:val="20"/>
                        <w:szCs w:val="20"/>
                      </w:rPr>
                      <w:t>资产</w:t>
                    </w:r>
                  </w:p>
                </w:tc>
                <w:tc>
                  <w:tcPr>
                    <w:tcW w:w="85" w:type="dxa"/>
                    <w:tcBorders>
                      <w:top w:val="single" w:sz="4" w:space="0" w:color="auto"/>
                      <w:left w:val="nil"/>
                      <w:bottom w:val="nil"/>
                      <w:right w:val="nil"/>
                    </w:tcBorders>
                    <w:vAlign w:val="bottom"/>
                    <w:hideMark/>
                  </w:tcPr>
                  <w:p w:rsidR="00B637B2" w:rsidRPr="008C2320" w:rsidRDefault="00B637B2">
                    <w:pPr>
                      <w:rPr>
                        <w:rFonts w:cs="Arial"/>
                        <w:color w:val="000000"/>
                        <w:sz w:val="20"/>
                        <w:szCs w:val="20"/>
                      </w:rPr>
                    </w:pPr>
                  </w:p>
                </w:tc>
                <w:tc>
                  <w:tcPr>
                    <w:tcW w:w="113" w:type="dxa"/>
                    <w:tcBorders>
                      <w:top w:val="single" w:sz="4" w:space="0" w:color="auto"/>
                      <w:left w:val="nil"/>
                      <w:bottom w:val="nil"/>
                      <w:right w:val="nil"/>
                    </w:tcBorders>
                    <w:vAlign w:val="bottom"/>
                    <w:hideMark/>
                  </w:tcPr>
                  <w:p w:rsidR="00B637B2" w:rsidRPr="008C2320" w:rsidRDefault="00B637B2">
                    <w:pPr>
                      <w:rPr>
                        <w:sz w:val="20"/>
                        <w:szCs w:val="20"/>
                      </w:rPr>
                    </w:pPr>
                  </w:p>
                </w:tc>
                <w:tc>
                  <w:tcPr>
                    <w:tcW w:w="1474" w:type="dxa"/>
                    <w:tcBorders>
                      <w:top w:val="single" w:sz="4" w:space="0" w:color="auto"/>
                      <w:left w:val="nil"/>
                      <w:bottom w:val="nil"/>
                      <w:right w:val="nil"/>
                    </w:tcBorders>
                    <w:vAlign w:val="bottom"/>
                    <w:hideMark/>
                  </w:tcPr>
                  <w:p w:rsidR="00B637B2" w:rsidRPr="008C2320" w:rsidRDefault="008F04CF">
                    <w:pPr>
                      <w:kinsoku w:val="0"/>
                      <w:overflowPunct w:val="0"/>
                      <w:autoSpaceDE w:val="0"/>
                      <w:autoSpaceDN w:val="0"/>
                      <w:adjustRightInd w:val="0"/>
                      <w:snapToGrid w:val="0"/>
                      <w:jc w:val="right"/>
                      <w:rPr>
                        <w:rFonts w:cs="Arial"/>
                        <w:color w:val="000000"/>
                        <w:sz w:val="20"/>
                        <w:szCs w:val="20"/>
                      </w:rPr>
                    </w:pPr>
                    <w:r w:rsidRPr="008C2320">
                      <w:rPr>
                        <w:rFonts w:cs="Arial" w:hint="eastAsia"/>
                        <w:color w:val="000000"/>
                        <w:sz w:val="20"/>
                        <w:szCs w:val="20"/>
                      </w:rPr>
                      <w:t>负债</w:t>
                    </w:r>
                  </w:p>
                </w:tc>
                <w:tc>
                  <w:tcPr>
                    <w:tcW w:w="113" w:type="dxa"/>
                    <w:noWrap/>
                    <w:vAlign w:val="center"/>
                    <w:hideMark/>
                  </w:tcPr>
                  <w:p w:rsidR="00B637B2" w:rsidRPr="008C2320" w:rsidRDefault="00B637B2">
                    <w:pPr>
                      <w:rPr>
                        <w:rFonts w:cs="Arial"/>
                        <w:color w:val="000000"/>
                        <w:sz w:val="20"/>
                        <w:szCs w:val="20"/>
                      </w:rPr>
                    </w:pPr>
                  </w:p>
                </w:tc>
              </w:tr>
              <w:tr w:rsidR="00B637B2" w:rsidRPr="008C2320" w:rsidTr="00B637B2">
                <w:trPr>
                  <w:trHeight w:val="20"/>
                </w:trPr>
                <w:tc>
                  <w:tcPr>
                    <w:tcW w:w="1729" w:type="dxa"/>
                    <w:noWrap/>
                    <w:vAlign w:val="bottom"/>
                    <w:hideMark/>
                  </w:tcPr>
                  <w:p w:rsidR="00B637B2" w:rsidRPr="008C2320" w:rsidRDefault="00B637B2">
                    <w:pPr>
                      <w:rPr>
                        <w:sz w:val="20"/>
                        <w:szCs w:val="20"/>
                      </w:rPr>
                    </w:pPr>
                  </w:p>
                </w:tc>
                <w:tc>
                  <w:tcPr>
                    <w:tcW w:w="113" w:type="dxa"/>
                    <w:noWrap/>
                    <w:vAlign w:val="center"/>
                    <w:hideMark/>
                  </w:tcPr>
                  <w:p w:rsidR="00B637B2" w:rsidRPr="008C2320" w:rsidRDefault="00B637B2">
                    <w:pPr>
                      <w:rPr>
                        <w:sz w:val="20"/>
                        <w:szCs w:val="20"/>
                      </w:rPr>
                    </w:pPr>
                  </w:p>
                </w:tc>
                <w:tc>
                  <w:tcPr>
                    <w:tcW w:w="1474" w:type="dxa"/>
                    <w:noWrap/>
                    <w:vAlign w:val="bottom"/>
                    <w:hideMark/>
                  </w:tcPr>
                  <w:p w:rsidR="00B637B2" w:rsidRPr="008C2320" w:rsidRDefault="00B637B2">
                    <w:pPr>
                      <w:rPr>
                        <w:sz w:val="20"/>
                        <w:szCs w:val="20"/>
                      </w:rPr>
                    </w:pPr>
                  </w:p>
                </w:tc>
                <w:tc>
                  <w:tcPr>
                    <w:tcW w:w="85" w:type="dxa"/>
                    <w:noWrap/>
                    <w:vAlign w:val="bottom"/>
                    <w:hideMark/>
                  </w:tcPr>
                  <w:p w:rsidR="00B637B2" w:rsidRPr="008C2320" w:rsidRDefault="00B637B2">
                    <w:pPr>
                      <w:rPr>
                        <w:sz w:val="20"/>
                        <w:szCs w:val="20"/>
                      </w:rPr>
                    </w:pPr>
                  </w:p>
                </w:tc>
                <w:tc>
                  <w:tcPr>
                    <w:tcW w:w="113" w:type="dxa"/>
                    <w:noWrap/>
                    <w:vAlign w:val="bottom"/>
                    <w:hideMark/>
                  </w:tcPr>
                  <w:p w:rsidR="00B637B2" w:rsidRPr="008C2320" w:rsidRDefault="00B637B2">
                    <w:pPr>
                      <w:rPr>
                        <w:sz w:val="20"/>
                        <w:szCs w:val="20"/>
                      </w:rPr>
                    </w:pPr>
                  </w:p>
                </w:tc>
                <w:tc>
                  <w:tcPr>
                    <w:tcW w:w="1474" w:type="dxa"/>
                    <w:noWrap/>
                    <w:vAlign w:val="bottom"/>
                    <w:hideMark/>
                  </w:tcPr>
                  <w:p w:rsidR="00B637B2" w:rsidRPr="008C2320" w:rsidRDefault="00B637B2">
                    <w:pPr>
                      <w:rPr>
                        <w:sz w:val="20"/>
                        <w:szCs w:val="20"/>
                      </w:rPr>
                    </w:pPr>
                  </w:p>
                </w:tc>
                <w:tc>
                  <w:tcPr>
                    <w:tcW w:w="85" w:type="dxa"/>
                    <w:noWrap/>
                    <w:vAlign w:val="bottom"/>
                    <w:hideMark/>
                  </w:tcPr>
                  <w:p w:rsidR="00B637B2" w:rsidRPr="008C2320" w:rsidRDefault="00B637B2">
                    <w:pPr>
                      <w:rPr>
                        <w:sz w:val="20"/>
                        <w:szCs w:val="20"/>
                      </w:rPr>
                    </w:pPr>
                  </w:p>
                </w:tc>
                <w:tc>
                  <w:tcPr>
                    <w:tcW w:w="113" w:type="dxa"/>
                    <w:noWrap/>
                    <w:vAlign w:val="bottom"/>
                    <w:hideMark/>
                  </w:tcPr>
                  <w:p w:rsidR="00B637B2" w:rsidRPr="008C2320" w:rsidRDefault="00B637B2">
                    <w:pPr>
                      <w:rPr>
                        <w:sz w:val="20"/>
                        <w:szCs w:val="20"/>
                      </w:rPr>
                    </w:pPr>
                  </w:p>
                </w:tc>
                <w:tc>
                  <w:tcPr>
                    <w:tcW w:w="1474" w:type="dxa"/>
                    <w:noWrap/>
                    <w:vAlign w:val="bottom"/>
                    <w:hideMark/>
                  </w:tcPr>
                  <w:p w:rsidR="00B637B2" w:rsidRPr="008C2320" w:rsidRDefault="00B637B2">
                    <w:pPr>
                      <w:rPr>
                        <w:sz w:val="20"/>
                        <w:szCs w:val="20"/>
                      </w:rPr>
                    </w:pPr>
                  </w:p>
                </w:tc>
                <w:tc>
                  <w:tcPr>
                    <w:tcW w:w="85" w:type="dxa"/>
                    <w:noWrap/>
                    <w:vAlign w:val="bottom"/>
                    <w:hideMark/>
                  </w:tcPr>
                  <w:p w:rsidR="00B637B2" w:rsidRPr="008C2320" w:rsidRDefault="00B637B2">
                    <w:pPr>
                      <w:rPr>
                        <w:sz w:val="20"/>
                        <w:szCs w:val="20"/>
                      </w:rPr>
                    </w:pPr>
                  </w:p>
                </w:tc>
                <w:tc>
                  <w:tcPr>
                    <w:tcW w:w="113" w:type="dxa"/>
                    <w:noWrap/>
                    <w:vAlign w:val="bottom"/>
                    <w:hideMark/>
                  </w:tcPr>
                  <w:p w:rsidR="00B637B2" w:rsidRPr="008C2320" w:rsidRDefault="00B637B2">
                    <w:pPr>
                      <w:rPr>
                        <w:sz w:val="20"/>
                        <w:szCs w:val="20"/>
                      </w:rPr>
                    </w:pPr>
                  </w:p>
                </w:tc>
                <w:tc>
                  <w:tcPr>
                    <w:tcW w:w="1474" w:type="dxa"/>
                    <w:noWrap/>
                    <w:vAlign w:val="bottom"/>
                    <w:hideMark/>
                  </w:tcPr>
                  <w:p w:rsidR="00B637B2" w:rsidRPr="008C2320" w:rsidRDefault="00B637B2">
                    <w:pPr>
                      <w:rPr>
                        <w:sz w:val="20"/>
                        <w:szCs w:val="20"/>
                      </w:rPr>
                    </w:pPr>
                  </w:p>
                </w:tc>
                <w:tc>
                  <w:tcPr>
                    <w:tcW w:w="113" w:type="dxa"/>
                    <w:noWrap/>
                    <w:vAlign w:val="center"/>
                    <w:hideMark/>
                  </w:tcPr>
                  <w:p w:rsidR="00B637B2" w:rsidRPr="008C2320" w:rsidRDefault="00B637B2">
                    <w:pPr>
                      <w:rPr>
                        <w:sz w:val="20"/>
                        <w:szCs w:val="20"/>
                      </w:rPr>
                    </w:pPr>
                  </w:p>
                </w:tc>
              </w:tr>
              <w:tr w:rsidR="00B637B2" w:rsidRPr="008C2320" w:rsidTr="00B637B2">
                <w:trPr>
                  <w:trHeight w:val="20"/>
                </w:trPr>
                <w:tc>
                  <w:tcPr>
                    <w:tcW w:w="1729" w:type="dxa"/>
                    <w:noWrap/>
                    <w:vAlign w:val="bottom"/>
                    <w:hideMark/>
                  </w:tcPr>
                  <w:p w:rsidR="00B637B2" w:rsidRPr="008C2320" w:rsidRDefault="008F04CF">
                    <w:pPr>
                      <w:kinsoku w:val="0"/>
                      <w:overflowPunct w:val="0"/>
                      <w:autoSpaceDE w:val="0"/>
                      <w:autoSpaceDN w:val="0"/>
                      <w:adjustRightInd w:val="0"/>
                      <w:snapToGrid w:val="0"/>
                      <w:rPr>
                        <w:rFonts w:cs="Arial"/>
                        <w:color w:val="000000"/>
                        <w:sz w:val="20"/>
                        <w:szCs w:val="20"/>
                      </w:rPr>
                    </w:pPr>
                    <w:r w:rsidRPr="008C2320">
                      <w:rPr>
                        <w:rFonts w:cs="Arial" w:hint="eastAsia"/>
                        <w:color w:val="000000"/>
                        <w:sz w:val="20"/>
                        <w:szCs w:val="20"/>
                      </w:rPr>
                      <w:t>套期工具</w:t>
                    </w:r>
                  </w:p>
                </w:tc>
                <w:tc>
                  <w:tcPr>
                    <w:tcW w:w="113" w:type="dxa"/>
                    <w:noWrap/>
                    <w:vAlign w:val="center"/>
                    <w:hideMark/>
                  </w:tcPr>
                  <w:p w:rsidR="00B637B2" w:rsidRPr="008C2320" w:rsidRDefault="00B637B2">
                    <w:pPr>
                      <w:rPr>
                        <w:rFonts w:cs="Arial"/>
                        <w:color w:val="000000"/>
                        <w:sz w:val="20"/>
                        <w:szCs w:val="20"/>
                      </w:rPr>
                    </w:pPr>
                  </w:p>
                </w:tc>
                <w:tc>
                  <w:tcPr>
                    <w:tcW w:w="1474" w:type="dxa"/>
                    <w:noWrap/>
                    <w:vAlign w:val="center"/>
                    <w:hideMark/>
                  </w:tcPr>
                  <w:p w:rsidR="00B637B2" w:rsidRPr="008C2320" w:rsidRDefault="008F04CF">
                    <w:pPr>
                      <w:kinsoku w:val="0"/>
                      <w:wordWrap w:val="0"/>
                      <w:overflowPunct w:val="0"/>
                      <w:autoSpaceDE w:val="0"/>
                      <w:autoSpaceDN w:val="0"/>
                      <w:adjustRightInd w:val="0"/>
                      <w:snapToGrid w:val="0"/>
                      <w:jc w:val="right"/>
                      <w:rPr>
                        <w:rFonts w:cs="Arial"/>
                        <w:color w:val="000000"/>
                        <w:sz w:val="20"/>
                        <w:szCs w:val="20"/>
                        <w:u w:val="double"/>
                      </w:rPr>
                    </w:pPr>
                    <w:r w:rsidRPr="008C2320">
                      <w:rPr>
                        <w:rFonts w:cs="Arial"/>
                        <w:color w:val="000000"/>
                        <w:sz w:val="20"/>
                        <w:szCs w:val="20"/>
                        <w:u w:val="double"/>
                      </w:rPr>
                      <w:t xml:space="preserve">         -</w:t>
                    </w:r>
                  </w:p>
                </w:tc>
                <w:tc>
                  <w:tcPr>
                    <w:tcW w:w="85" w:type="dxa"/>
                    <w:noWrap/>
                    <w:vAlign w:val="center"/>
                    <w:hideMark/>
                  </w:tcPr>
                  <w:p w:rsidR="00B637B2" w:rsidRPr="008C2320" w:rsidRDefault="00B637B2">
                    <w:pPr>
                      <w:rPr>
                        <w:rFonts w:cs="Arial"/>
                        <w:color w:val="000000"/>
                        <w:sz w:val="20"/>
                        <w:szCs w:val="20"/>
                        <w:u w:val="double"/>
                      </w:rPr>
                    </w:pPr>
                  </w:p>
                </w:tc>
                <w:tc>
                  <w:tcPr>
                    <w:tcW w:w="113" w:type="dxa"/>
                    <w:noWrap/>
                    <w:vAlign w:val="center"/>
                    <w:hideMark/>
                  </w:tcPr>
                  <w:p w:rsidR="00B637B2" w:rsidRPr="008C2320" w:rsidRDefault="00B637B2">
                    <w:pPr>
                      <w:rPr>
                        <w:sz w:val="20"/>
                        <w:szCs w:val="20"/>
                      </w:rPr>
                    </w:pPr>
                  </w:p>
                </w:tc>
                <w:tc>
                  <w:tcPr>
                    <w:tcW w:w="1474" w:type="dxa"/>
                    <w:noWrap/>
                    <w:vAlign w:val="center"/>
                    <w:hideMark/>
                  </w:tcPr>
                  <w:p w:rsidR="00B637B2" w:rsidRPr="008C2320" w:rsidRDefault="008F04CF" w:rsidP="00B637B2">
                    <w:pPr>
                      <w:kinsoku w:val="0"/>
                      <w:wordWrap w:val="0"/>
                      <w:overflowPunct w:val="0"/>
                      <w:autoSpaceDE w:val="0"/>
                      <w:autoSpaceDN w:val="0"/>
                      <w:adjustRightInd w:val="0"/>
                      <w:snapToGrid w:val="0"/>
                      <w:jc w:val="right"/>
                      <w:rPr>
                        <w:rFonts w:cs="Arial"/>
                        <w:color w:val="000000"/>
                        <w:sz w:val="20"/>
                        <w:szCs w:val="20"/>
                        <w:u w:val="double"/>
                      </w:rPr>
                    </w:pPr>
                    <w:r w:rsidRPr="008C2320">
                      <w:rPr>
                        <w:rFonts w:cs="Arial"/>
                        <w:color w:val="000000"/>
                        <w:sz w:val="20"/>
                        <w:szCs w:val="20"/>
                        <w:u w:val="double"/>
                      </w:rPr>
                      <w:t xml:space="preserve">  968,641</w:t>
                    </w:r>
                  </w:p>
                </w:tc>
                <w:tc>
                  <w:tcPr>
                    <w:tcW w:w="85" w:type="dxa"/>
                    <w:noWrap/>
                    <w:vAlign w:val="center"/>
                    <w:hideMark/>
                  </w:tcPr>
                  <w:p w:rsidR="00B637B2" w:rsidRPr="008C2320" w:rsidRDefault="00B637B2">
                    <w:pPr>
                      <w:rPr>
                        <w:rFonts w:cs="Arial"/>
                        <w:color w:val="000000"/>
                        <w:sz w:val="20"/>
                        <w:szCs w:val="20"/>
                        <w:u w:val="double"/>
                      </w:rPr>
                    </w:pPr>
                  </w:p>
                </w:tc>
                <w:tc>
                  <w:tcPr>
                    <w:tcW w:w="113" w:type="dxa"/>
                    <w:noWrap/>
                    <w:vAlign w:val="center"/>
                    <w:hideMark/>
                  </w:tcPr>
                  <w:p w:rsidR="00B637B2" w:rsidRPr="008C2320" w:rsidRDefault="00B637B2">
                    <w:pPr>
                      <w:rPr>
                        <w:sz w:val="20"/>
                        <w:szCs w:val="20"/>
                      </w:rPr>
                    </w:pPr>
                  </w:p>
                </w:tc>
                <w:tc>
                  <w:tcPr>
                    <w:tcW w:w="1474" w:type="dxa"/>
                    <w:noWrap/>
                    <w:vAlign w:val="center"/>
                    <w:hideMark/>
                  </w:tcPr>
                  <w:p w:rsidR="00B637B2" w:rsidRPr="008C2320" w:rsidRDefault="008F04CF">
                    <w:pPr>
                      <w:kinsoku w:val="0"/>
                      <w:overflowPunct w:val="0"/>
                      <w:autoSpaceDE w:val="0"/>
                      <w:autoSpaceDN w:val="0"/>
                      <w:adjustRightInd w:val="0"/>
                      <w:snapToGrid w:val="0"/>
                      <w:jc w:val="right"/>
                      <w:rPr>
                        <w:rFonts w:cs="Arial"/>
                        <w:color w:val="000000"/>
                        <w:sz w:val="20"/>
                        <w:szCs w:val="20"/>
                        <w:u w:val="double"/>
                      </w:rPr>
                    </w:pPr>
                    <w:r w:rsidRPr="008C2320">
                      <w:rPr>
                        <w:rFonts w:cs="Arial"/>
                        <w:color w:val="000000"/>
                        <w:sz w:val="20"/>
                        <w:szCs w:val="20"/>
                        <w:u w:val="double"/>
                      </w:rPr>
                      <w:t>9,549,542</w:t>
                    </w:r>
                  </w:p>
                </w:tc>
                <w:tc>
                  <w:tcPr>
                    <w:tcW w:w="85" w:type="dxa"/>
                    <w:noWrap/>
                    <w:vAlign w:val="center"/>
                    <w:hideMark/>
                  </w:tcPr>
                  <w:p w:rsidR="00B637B2" w:rsidRPr="008C2320" w:rsidRDefault="00B637B2">
                    <w:pPr>
                      <w:rPr>
                        <w:rFonts w:cs="Arial"/>
                        <w:color w:val="000000"/>
                        <w:sz w:val="20"/>
                        <w:szCs w:val="20"/>
                        <w:u w:val="double"/>
                      </w:rPr>
                    </w:pPr>
                  </w:p>
                </w:tc>
                <w:tc>
                  <w:tcPr>
                    <w:tcW w:w="113" w:type="dxa"/>
                    <w:noWrap/>
                    <w:vAlign w:val="center"/>
                    <w:hideMark/>
                  </w:tcPr>
                  <w:p w:rsidR="00B637B2" w:rsidRPr="008C2320" w:rsidRDefault="00B637B2">
                    <w:pPr>
                      <w:rPr>
                        <w:sz w:val="20"/>
                        <w:szCs w:val="20"/>
                      </w:rPr>
                    </w:pPr>
                  </w:p>
                </w:tc>
                <w:tc>
                  <w:tcPr>
                    <w:tcW w:w="1474" w:type="dxa"/>
                    <w:noWrap/>
                    <w:vAlign w:val="center"/>
                    <w:hideMark/>
                  </w:tcPr>
                  <w:p w:rsidR="00B637B2" w:rsidRPr="008C2320" w:rsidRDefault="008F04CF">
                    <w:pPr>
                      <w:kinsoku w:val="0"/>
                      <w:wordWrap w:val="0"/>
                      <w:overflowPunct w:val="0"/>
                      <w:autoSpaceDE w:val="0"/>
                      <w:autoSpaceDN w:val="0"/>
                      <w:adjustRightInd w:val="0"/>
                      <w:snapToGrid w:val="0"/>
                      <w:jc w:val="right"/>
                      <w:rPr>
                        <w:rFonts w:cs="Arial"/>
                        <w:color w:val="000000"/>
                        <w:sz w:val="20"/>
                        <w:szCs w:val="20"/>
                        <w:u w:val="double"/>
                      </w:rPr>
                    </w:pPr>
                    <w:r w:rsidRPr="008C2320">
                      <w:rPr>
                        <w:rFonts w:cs="Arial"/>
                        <w:color w:val="000000"/>
                        <w:sz w:val="20"/>
                        <w:szCs w:val="20"/>
                        <w:u w:val="double"/>
                      </w:rPr>
                      <w:t xml:space="preserve">        -</w:t>
                    </w:r>
                  </w:p>
                </w:tc>
                <w:tc>
                  <w:tcPr>
                    <w:tcW w:w="113" w:type="dxa"/>
                    <w:noWrap/>
                    <w:vAlign w:val="center"/>
                    <w:hideMark/>
                  </w:tcPr>
                  <w:p w:rsidR="00B637B2" w:rsidRPr="008C2320" w:rsidRDefault="00B637B2">
                    <w:pPr>
                      <w:rPr>
                        <w:rFonts w:cs="Arial"/>
                        <w:color w:val="000000"/>
                        <w:sz w:val="20"/>
                        <w:szCs w:val="20"/>
                        <w:u w:val="double"/>
                      </w:rPr>
                    </w:pPr>
                  </w:p>
                </w:tc>
              </w:tr>
            </w:tbl>
            <w:p w:rsidR="00B637B2" w:rsidRDefault="00B637B2" w:rsidP="00FA797E"/>
            <w:p w:rsidR="00B637B2" w:rsidRDefault="00B637B2" w:rsidP="00FA797E"/>
            <w:p w:rsidR="00ED2DC7" w:rsidRDefault="00FA797E" w:rsidP="00FA797E">
              <w:r>
                <w:rPr>
                  <w:rFonts w:hint="eastAsia"/>
                </w:rPr>
                <w:t>上述合同于</w:t>
              </w:r>
              <w:r>
                <w:t>2019年1-6月的公允价值变动中，属于现金流量套期有效部分的公允价值变动而产生的净损失共计人民币-10,518,183元。</w:t>
              </w:r>
            </w:p>
          </w:sdtContent>
        </w:sdt>
      </w:sdtContent>
    </w:sdt>
    <w:p w:rsidR="00ED2DC7" w:rsidRDefault="00ED2DC7"/>
    <w:sdt>
      <w:sdtPr>
        <w:rPr>
          <w:rFonts w:ascii="宋体" w:hAnsi="宋体" w:cs="宋体" w:hint="eastAsia"/>
          <w:b w:val="0"/>
          <w:bCs w:val="0"/>
          <w:kern w:val="0"/>
          <w:szCs w:val="24"/>
        </w:rPr>
        <w:alias w:val="模块:政府补助"/>
        <w:tag w:val="_SEC_8b247fe8025b433290c47017eb23d965"/>
        <w:id w:val="1075708897"/>
        <w:lock w:val="sdtLocked"/>
        <w:placeholder>
          <w:docPart w:val="GBC22222222222222222222222222222"/>
        </w:placeholder>
      </w:sdtPr>
      <w:sdtContent>
        <w:p w:rsidR="00ED2DC7" w:rsidRDefault="00ED2DC7" w:rsidP="00036BDC">
          <w:pPr>
            <w:pStyle w:val="affffffffffffffffff1"/>
            <w:numPr>
              <w:ilvl w:val="0"/>
              <w:numId w:val="49"/>
            </w:numPr>
            <w:tabs>
              <w:tab w:val="left" w:pos="504"/>
            </w:tabs>
          </w:pPr>
          <w:r>
            <w:rPr>
              <w:rFonts w:hint="eastAsia"/>
            </w:rPr>
            <w:t>政府</w:t>
          </w:r>
          <w:r>
            <w:rPr>
              <w:rFonts w:ascii="宋体" w:hAnsi="宋体" w:cs="宋体" w:hint="eastAsia"/>
              <w:bCs w:val="0"/>
              <w:kern w:val="0"/>
              <w:szCs w:val="24"/>
            </w:rPr>
            <w:t>补助</w:t>
          </w:r>
        </w:p>
        <w:p w:rsidR="00ED2DC7" w:rsidRDefault="00ED2DC7" w:rsidP="00036BDC">
          <w:pPr>
            <w:pStyle w:val="affffffffffffffffff2"/>
            <w:numPr>
              <w:ilvl w:val="0"/>
              <w:numId w:val="82"/>
            </w:numPr>
          </w:pPr>
          <w:r>
            <w:rPr>
              <w:rFonts w:hint="eastAsia"/>
            </w:rPr>
            <w:t>政府补助基本情况</w:t>
          </w:r>
        </w:p>
        <w:sdt>
          <w:sdtPr>
            <w:rPr>
              <w:rFonts w:hint="eastAsia"/>
            </w:rPr>
            <w:alias w:val="是否适用：政府补助基本情况[双击切换]"/>
            <w:tag w:val="_GBC_8a025998848a4a4d930f199d57736e15"/>
            <w:id w:val="1759483844"/>
            <w:lock w:val="sdtContentLocked"/>
            <w:placeholder>
              <w:docPart w:val="GBC22222222222222222222222222222"/>
            </w:placeholder>
          </w:sdtPr>
          <w:sdtContent>
            <w:p w:rsidR="00ED2DC7" w:rsidRDefault="00ED2DC7" w:rsidP="0079135C">
              <w:r>
                <w:fldChar w:fldCharType="begin"/>
              </w:r>
              <w:r w:rsidR="0079135C">
                <w:instrText xml:space="preserve"> MACROBUTTON  SnrToggleCheckbox □适用 </w:instrText>
              </w:r>
              <w:r>
                <w:fldChar w:fldCharType="end"/>
              </w:r>
              <w:r>
                <w:fldChar w:fldCharType="begin"/>
              </w:r>
              <w:r w:rsidR="0079135C">
                <w:instrText xml:space="preserve"> MACROBUTTON  SnrToggleCheckbox √不适用 </w:instrText>
              </w:r>
              <w:r>
                <w:fldChar w:fldCharType="end"/>
              </w:r>
            </w:p>
          </w:sdtContent>
        </w:sdt>
        <w:p w:rsidR="00ED2DC7" w:rsidRDefault="00ED2DC7" w:rsidP="00036BDC">
          <w:pPr>
            <w:pStyle w:val="affffffffffffffffff2"/>
            <w:numPr>
              <w:ilvl w:val="0"/>
              <w:numId w:val="82"/>
            </w:numPr>
          </w:pPr>
          <w:r>
            <w:rPr>
              <w:rFonts w:hint="eastAsia"/>
            </w:rPr>
            <w:t>政府补助退回情况</w:t>
          </w:r>
        </w:p>
        <w:sdt>
          <w:sdtPr>
            <w:alias w:val="是否适用：政府补助退回情况[双击切换]"/>
            <w:tag w:val="_GBC_d6d1c427ffcb427184f1234527bb5b16"/>
            <w:id w:val="-1644648725"/>
            <w:lock w:val="sdtContentLocked"/>
            <w:placeholder>
              <w:docPart w:val="GBC22222222222222222222222222222"/>
            </w:placeholder>
          </w:sdtPr>
          <w:sdtContent>
            <w:p w:rsidR="00ED2DC7" w:rsidRDefault="00ED2DC7" w:rsidP="0079135C">
              <w:r>
                <w:fldChar w:fldCharType="begin"/>
              </w:r>
              <w:r w:rsidR="0079135C">
                <w:instrText xml:space="preserve"> MACROBUTTON  SnrToggleCheckbox □适用 </w:instrText>
              </w:r>
              <w:r>
                <w:fldChar w:fldCharType="end"/>
              </w:r>
              <w:r>
                <w:fldChar w:fldCharType="begin"/>
              </w:r>
              <w:r w:rsidR="0079135C">
                <w:instrText xml:space="preserve"> MACROBUTTON  SnrToggleCheckbox √不适用 </w:instrText>
              </w:r>
              <w:r>
                <w:fldChar w:fldCharType="end"/>
              </w:r>
            </w:p>
          </w:sdtContent>
        </w:sdt>
        <w:p w:rsidR="00ED2DC7" w:rsidRDefault="00ED2DC7">
          <w:r>
            <w:rPr>
              <w:rFonts w:hint="eastAsia"/>
            </w:rPr>
            <w:t>其他说明</w:t>
          </w:r>
        </w:p>
        <w:sdt>
          <w:sdtPr>
            <w:alias w:val="政府补助说明"/>
            <w:tag w:val="_GBC_f71d7a3695a84c0c9e67640c00a61dad"/>
            <w:id w:val="-626166192"/>
            <w:lock w:val="sdtLocked"/>
            <w:placeholder>
              <w:docPart w:val="GBC22222222222222222222222222222"/>
            </w:placeholder>
          </w:sdtPr>
          <w:sdtContent>
            <w:p w:rsidR="00ED2DC7" w:rsidRDefault="0079135C">
              <w:r>
                <w:rPr>
                  <w:rFonts w:hint="eastAsia"/>
                </w:rPr>
                <w:t>无。</w:t>
              </w:r>
            </w:p>
          </w:sdtContent>
        </w:sdt>
      </w:sdtContent>
    </w:sdt>
    <w:sdt>
      <w:sdtPr>
        <w:rPr>
          <w:rFonts w:ascii="宋体" w:hAnsi="宋体" w:cs="宋体"/>
          <w:b w:val="0"/>
          <w:bCs w:val="0"/>
          <w:kern w:val="0"/>
          <w:szCs w:val="24"/>
        </w:rPr>
        <w:alias w:val="模块:合并财务报表项目注释其他需要说明的事项"/>
        <w:tag w:val="_GBC_f027b70d30154df58ffdc310123f3e1f"/>
        <w:id w:val="1903566963"/>
        <w:lock w:val="sdtLocked"/>
        <w:placeholder>
          <w:docPart w:val="GBC22222222222222222222222222222"/>
        </w:placeholder>
      </w:sdtPr>
      <w:sdtContent>
        <w:p w:rsidR="00ED2DC7" w:rsidRDefault="00ED2DC7" w:rsidP="00036BDC">
          <w:pPr>
            <w:pStyle w:val="affffffffffffffffff1"/>
            <w:numPr>
              <w:ilvl w:val="0"/>
              <w:numId w:val="49"/>
            </w:numPr>
            <w:tabs>
              <w:tab w:val="left" w:pos="504"/>
            </w:tabs>
          </w:pPr>
          <w:r>
            <w:rPr>
              <w:rFonts w:hint="eastAsia"/>
            </w:rPr>
            <w:t>其他</w:t>
          </w:r>
        </w:p>
        <w:sdt>
          <w:sdtPr>
            <w:alias w:val="是否适用：合并财务报表项目注释其他需要说明的事项[双击切换]"/>
            <w:tag w:val="_GBC_d9335575f6594653aa8718dc633c644c"/>
            <w:id w:val="140787911"/>
            <w:lock w:val="sdtContentLocked"/>
            <w:placeholder>
              <w:docPart w:val="GBC22222222222222222222222222222"/>
            </w:placeholder>
          </w:sdtPr>
          <w:sdtContent>
            <w:p w:rsidR="00ED2DC7" w:rsidRDefault="00ED2DC7" w:rsidP="0079135C">
              <w:r>
                <w:fldChar w:fldCharType="begin"/>
              </w:r>
              <w:r w:rsidR="0079135C">
                <w:instrText xml:space="preserve"> MACROBUTTON  SnrToggleCheckbox □适用 </w:instrText>
              </w:r>
              <w:r>
                <w:fldChar w:fldCharType="end"/>
              </w:r>
              <w:r>
                <w:fldChar w:fldCharType="begin"/>
              </w:r>
              <w:r w:rsidR="0079135C">
                <w:instrText xml:space="preserve"> MACROBUTTON  SnrToggleCheckbox √不适用 </w:instrText>
              </w:r>
              <w:r>
                <w:fldChar w:fldCharType="end"/>
              </w:r>
            </w:p>
          </w:sdtContent>
        </w:sdt>
        <w:p w:rsidR="00ED2DC7" w:rsidRDefault="000D0A99"/>
      </w:sdtContent>
    </w:sdt>
    <w:p w:rsidR="00ED2DC7" w:rsidRDefault="00ED2DC7" w:rsidP="00036BDC">
      <w:pPr>
        <w:pStyle w:val="affffffffffffffffff0"/>
        <w:numPr>
          <w:ilvl w:val="0"/>
          <w:numId w:val="35"/>
        </w:numPr>
      </w:pPr>
      <w:r>
        <w:rPr>
          <w:rFonts w:hint="eastAsia"/>
        </w:rPr>
        <w:lastRenderedPageBreak/>
        <w:t>合并范围的变更</w:t>
      </w:r>
    </w:p>
    <w:p w:rsidR="00ED2DC7" w:rsidRDefault="00ED2DC7" w:rsidP="00036BDC">
      <w:pPr>
        <w:pStyle w:val="affffffffffffffffff1"/>
        <w:numPr>
          <w:ilvl w:val="0"/>
          <w:numId w:val="83"/>
        </w:numPr>
        <w:rPr>
          <w:rFonts w:ascii="宋体" w:hAnsi="宋体" w:cs="Arial"/>
          <w:szCs w:val="21"/>
        </w:rPr>
      </w:pPr>
      <w:r>
        <w:rPr>
          <w:rFonts w:ascii="宋体" w:hAnsi="宋体" w:cs="Arial" w:hint="eastAsia"/>
          <w:szCs w:val="21"/>
        </w:rPr>
        <w:t>非同一控制下企业合并</w:t>
      </w:r>
    </w:p>
    <w:sdt>
      <w:sdtPr>
        <w:alias w:val="是否适用：非同一控制下企业合并[双击切换]"/>
        <w:tag w:val="_GBC_2f9a65b0b4644b14ab5af1407e6467f1"/>
        <w:id w:val="478343336"/>
        <w:lock w:val="sdtContentLocked"/>
        <w:placeholder>
          <w:docPart w:val="GBC22222222222222222222222222222"/>
        </w:placeholder>
      </w:sdtPr>
      <w:sdtContent>
        <w:p w:rsidR="000D61B2" w:rsidRDefault="00ED2DC7" w:rsidP="000D61B2">
          <w:pPr>
            <w:rPr>
              <w:rFonts w:cstheme="minorBidi"/>
              <w:szCs w:val="21"/>
            </w:rPr>
          </w:pPr>
          <w:r>
            <w:fldChar w:fldCharType="begin"/>
          </w:r>
          <w:r w:rsidR="000D61B2">
            <w:instrText xml:space="preserve"> MACROBUTTON  SnrToggleCheckbox □适用 </w:instrText>
          </w:r>
          <w:r>
            <w:fldChar w:fldCharType="end"/>
          </w:r>
          <w:r>
            <w:fldChar w:fldCharType="begin"/>
          </w:r>
          <w:r w:rsidR="000D61B2">
            <w:instrText xml:space="preserve"> MACROBUTTON  SnrToggleCheckbox √不适用 </w:instrText>
          </w:r>
          <w:r>
            <w:fldChar w:fldCharType="end"/>
          </w:r>
        </w:p>
      </w:sdtContent>
    </w:sdt>
    <w:p w:rsidR="00ED2DC7" w:rsidRDefault="00ED2DC7">
      <w:pPr>
        <w:rPr>
          <w:szCs w:val="21"/>
        </w:rPr>
      </w:pPr>
    </w:p>
    <w:p w:rsidR="00ED2DC7" w:rsidRDefault="00ED2DC7" w:rsidP="00036BDC">
      <w:pPr>
        <w:pStyle w:val="affffffffffffffffff1"/>
        <w:numPr>
          <w:ilvl w:val="0"/>
          <w:numId w:val="83"/>
        </w:numPr>
        <w:rPr>
          <w:rFonts w:ascii="宋体" w:hAnsi="宋体" w:cs="Arial"/>
          <w:szCs w:val="21"/>
        </w:rPr>
      </w:pPr>
      <w:r>
        <w:rPr>
          <w:rFonts w:ascii="宋体" w:hAnsi="宋体" w:cs="Arial" w:hint="eastAsia"/>
          <w:szCs w:val="21"/>
        </w:rPr>
        <w:t>同一控制下企业合并</w:t>
      </w:r>
    </w:p>
    <w:sdt>
      <w:sdtPr>
        <w:alias w:val="是否适用：同一控制下企业合并[双击切换]"/>
        <w:tag w:val="_GBC_cde296136a1d4f2094eb79d21291eae2"/>
        <w:id w:val="-1071731289"/>
        <w:lock w:val="sdtContentLocked"/>
        <w:placeholder>
          <w:docPart w:val="GBC22222222222222222222222222222"/>
        </w:placeholder>
      </w:sdtPr>
      <w:sdtContent>
        <w:p w:rsidR="00775FAA" w:rsidRDefault="00ED2DC7" w:rsidP="00775FAA">
          <w:pPr>
            <w:rPr>
              <w:rFonts w:cs="Arial"/>
              <w:szCs w:val="21"/>
            </w:rPr>
          </w:pPr>
          <w:r>
            <w:fldChar w:fldCharType="begin"/>
          </w:r>
          <w:r w:rsidR="00775FAA">
            <w:instrText xml:space="preserve"> MACROBUTTON  SnrToggleCheckbox □适用 </w:instrText>
          </w:r>
          <w:r>
            <w:fldChar w:fldCharType="end"/>
          </w:r>
          <w:r>
            <w:fldChar w:fldCharType="begin"/>
          </w:r>
          <w:r w:rsidR="00775FAA">
            <w:instrText xml:space="preserve"> MACROBUTTON  SnrToggleCheckbox √不适用 </w:instrText>
          </w:r>
          <w:r>
            <w:fldChar w:fldCharType="end"/>
          </w:r>
        </w:p>
      </w:sdtContent>
    </w:sdt>
    <w:p w:rsidR="00ED2DC7" w:rsidRDefault="00ED2DC7">
      <w:pPr>
        <w:rPr>
          <w:szCs w:val="21"/>
        </w:rPr>
      </w:pPr>
    </w:p>
    <w:sdt>
      <w:sdtPr>
        <w:rPr>
          <w:rFonts w:ascii="宋体" w:hAnsi="宋体" w:cs="Arial" w:hint="eastAsia"/>
          <w:b w:val="0"/>
          <w:bCs w:val="0"/>
          <w:kern w:val="0"/>
          <w:szCs w:val="21"/>
        </w:rPr>
        <w:alias w:val="模块:反向购买"/>
        <w:tag w:val="_SEC_e0818786830d42ce99957d3ef113691a"/>
        <w:id w:val="-225461163"/>
        <w:lock w:val="sdtLocked"/>
        <w:placeholder>
          <w:docPart w:val="GBC22222222222222222222222222222"/>
        </w:placeholder>
      </w:sdtPr>
      <w:sdtEndPr>
        <w:rPr>
          <w:rFonts w:hint="default"/>
        </w:rPr>
      </w:sdtEndPr>
      <w:sdtContent>
        <w:p w:rsidR="00ED2DC7" w:rsidRDefault="00ED2DC7" w:rsidP="00036BDC">
          <w:pPr>
            <w:pStyle w:val="affffffffffffffffff1"/>
            <w:numPr>
              <w:ilvl w:val="0"/>
              <w:numId w:val="83"/>
            </w:numPr>
            <w:rPr>
              <w:rFonts w:ascii="宋体" w:hAnsi="宋体" w:cs="Arial"/>
              <w:szCs w:val="21"/>
            </w:rPr>
          </w:pPr>
          <w:r>
            <w:rPr>
              <w:rFonts w:ascii="宋体" w:hAnsi="宋体" w:cs="Arial" w:hint="eastAsia"/>
              <w:szCs w:val="21"/>
            </w:rPr>
            <w:t>反向购买</w:t>
          </w:r>
        </w:p>
        <w:sdt>
          <w:sdtPr>
            <w:alias w:val="是否适用：反向购买[双击切换]"/>
            <w:tag w:val="_GBC_973cde3cea5d460790de47cc49169bde"/>
            <w:id w:val="921766287"/>
            <w:lock w:val="sdtContentLocked"/>
            <w:placeholder>
              <w:docPart w:val="GBC22222222222222222222222222222"/>
            </w:placeholder>
          </w:sdtPr>
          <w:sdtContent>
            <w:p w:rsidR="000D61B2" w:rsidRDefault="00ED2DC7" w:rsidP="000D61B2">
              <w:r>
                <w:fldChar w:fldCharType="begin"/>
              </w:r>
              <w:r w:rsidR="000D61B2">
                <w:instrText xml:space="preserve"> MACROBUTTON  SnrToggleCheckbox □适用 </w:instrText>
              </w:r>
              <w:r>
                <w:fldChar w:fldCharType="end"/>
              </w:r>
              <w:r>
                <w:fldChar w:fldCharType="begin"/>
              </w:r>
              <w:r w:rsidR="000D61B2">
                <w:instrText xml:space="preserve"> MACROBUTTON  SnrToggleCheckbox √不适用 </w:instrText>
              </w:r>
              <w:r>
                <w:fldChar w:fldCharType="end"/>
              </w:r>
            </w:p>
          </w:sdtContent>
        </w:sdt>
        <w:p w:rsidR="00ED2DC7" w:rsidRDefault="000D0A99">
          <w:pPr>
            <w:rPr>
              <w:rFonts w:cs="Arial"/>
              <w:szCs w:val="21"/>
            </w:rPr>
          </w:pPr>
        </w:p>
      </w:sdtContent>
    </w:sdt>
    <w:p w:rsidR="00ED2DC7" w:rsidRDefault="00ED2DC7">
      <w:pPr>
        <w:rPr>
          <w:rFonts w:cs="Arial"/>
          <w:color w:val="808080"/>
          <w:szCs w:val="21"/>
          <w:lang w:val="en-GB"/>
        </w:rPr>
        <w:sectPr w:rsidR="00ED2DC7" w:rsidSect="00770E20">
          <w:pgSz w:w="11906" w:h="16838"/>
          <w:pgMar w:top="1525" w:right="1276" w:bottom="1440" w:left="1797" w:header="856" w:footer="992" w:gutter="0"/>
          <w:cols w:space="425"/>
          <w:docGrid w:linePitch="312"/>
        </w:sectPr>
      </w:pPr>
    </w:p>
    <w:sdt>
      <w:sdtPr>
        <w:rPr>
          <w:rFonts w:ascii="宋体" w:hAnsi="宋体" w:cs="Arial" w:hint="eastAsia"/>
          <w:b w:val="0"/>
          <w:bCs w:val="0"/>
          <w:kern w:val="0"/>
          <w:szCs w:val="21"/>
        </w:rPr>
        <w:alias w:val="模块:处置子公司"/>
        <w:tag w:val="_GBC_cc6d41993eca4369a3cdb3c33d4f3299"/>
        <w:id w:val="-804842377"/>
        <w:lock w:val="sdtLocked"/>
        <w:placeholder>
          <w:docPart w:val="GBC22222222222222222222222222222"/>
        </w:placeholder>
      </w:sdtPr>
      <w:sdtEndPr>
        <w:rPr>
          <w:rFonts w:cs="宋体"/>
          <w:color w:val="000000"/>
        </w:rPr>
      </w:sdtEndPr>
      <w:sdtContent>
        <w:p w:rsidR="00ED2DC7" w:rsidRDefault="00ED2DC7" w:rsidP="00036BDC">
          <w:pPr>
            <w:pStyle w:val="affffffffffffffffff1"/>
            <w:numPr>
              <w:ilvl w:val="0"/>
              <w:numId w:val="83"/>
            </w:numPr>
            <w:rPr>
              <w:rFonts w:ascii="宋体" w:hAnsi="宋体" w:cs="Arial"/>
              <w:szCs w:val="21"/>
            </w:rPr>
          </w:pPr>
          <w:r>
            <w:rPr>
              <w:rFonts w:ascii="宋体" w:hAnsi="宋体" w:cs="Arial" w:hint="eastAsia"/>
              <w:szCs w:val="21"/>
            </w:rPr>
            <w:t>处置子公司</w:t>
          </w:r>
        </w:p>
        <w:p w:rsidR="00ED2DC7" w:rsidRDefault="00ED2DC7">
          <w:r>
            <w:rPr>
              <w:rFonts w:hint="eastAsia"/>
            </w:rPr>
            <w:t>是否存在单次处置</w:t>
          </w:r>
          <w:r>
            <w:t>对子公司投资即丧失控制权的情形</w:t>
          </w:r>
        </w:p>
        <w:sdt>
          <w:sdtPr>
            <w:rPr>
              <w:rFonts w:cs="Arial" w:hint="eastAsia"/>
              <w:szCs w:val="21"/>
            </w:rPr>
            <w:alias w:val="是否存在单次交易处置对子公司投资即丧失控制权的情形[双击切换]"/>
            <w:tag w:val="_GBC_a2b81d1c138141d5bea164d8b7f9ce19"/>
            <w:id w:val="1584881670"/>
            <w:lock w:val="sdtContentLocked"/>
            <w:placeholder>
              <w:docPart w:val="GBC22222222222222222222222222222"/>
            </w:placeholder>
          </w:sdtPr>
          <w:sdtContent>
            <w:p w:rsidR="00ED2DC7" w:rsidRDefault="00ED2DC7" w:rsidP="000D61B2">
              <w:pPr>
                <w:rPr>
                  <w:rFonts w:cs="Arial"/>
                  <w:color w:val="000000"/>
                  <w:szCs w:val="21"/>
                </w:rPr>
              </w:pPr>
              <w:r>
                <w:rPr>
                  <w:rFonts w:cs="Arial"/>
                  <w:szCs w:val="21"/>
                </w:rPr>
                <w:fldChar w:fldCharType="begin"/>
              </w:r>
              <w:r w:rsidR="000D61B2">
                <w:rPr>
                  <w:rFonts w:cs="Arial"/>
                  <w:szCs w:val="21"/>
                </w:rPr>
                <w:instrText>MACROBUTTON  SnrToggleCheckbox □适用</w:instrText>
              </w:r>
              <w:r>
                <w:rPr>
                  <w:rFonts w:cs="Arial"/>
                  <w:szCs w:val="21"/>
                </w:rPr>
                <w:fldChar w:fldCharType="end"/>
              </w:r>
              <w:r>
                <w:rPr>
                  <w:rFonts w:cs="Arial"/>
                  <w:szCs w:val="21"/>
                </w:rPr>
                <w:fldChar w:fldCharType="begin"/>
              </w:r>
              <w:r w:rsidR="000D61B2">
                <w:rPr>
                  <w:rFonts w:cs="Arial"/>
                  <w:szCs w:val="21"/>
                </w:rPr>
                <w:instrText xml:space="preserve"> MACROBUTTON  SnrToggleCheckbox √不适用 </w:instrText>
              </w:r>
              <w:r>
                <w:rPr>
                  <w:rFonts w:cs="Arial"/>
                  <w:szCs w:val="21"/>
                </w:rPr>
                <w:fldChar w:fldCharType="end"/>
              </w:r>
            </w:p>
          </w:sdtContent>
        </w:sdt>
        <w:p w:rsidR="00ED2DC7" w:rsidRDefault="00ED2DC7">
          <w:pPr>
            <w:rPr>
              <w:rFonts w:cs="Arial"/>
              <w:color w:val="000000"/>
              <w:szCs w:val="21"/>
            </w:rPr>
          </w:pPr>
          <w:r>
            <w:rPr>
              <w:rFonts w:cs="Arial" w:hint="eastAsia"/>
              <w:color w:val="000000"/>
              <w:szCs w:val="21"/>
            </w:rPr>
            <w:t>其他说明：</w:t>
          </w:r>
        </w:p>
        <w:sdt>
          <w:sdtPr>
            <w:rPr>
              <w:rFonts w:cs="Arial"/>
              <w:color w:val="000000"/>
              <w:szCs w:val="21"/>
            </w:rPr>
            <w:alias w:val="是否适用：单次交易处置对子公司投资即丧失控制权的情形的说明[双击切换]"/>
            <w:tag w:val="_GBC_28bcdbd3ff45497eb8fc02428c0c76e4"/>
            <w:id w:val="325559308"/>
            <w:lock w:val="sdtContentLocked"/>
            <w:placeholder>
              <w:docPart w:val="GBC22222222222222222222222222222"/>
            </w:placeholder>
          </w:sdtPr>
          <w:sdtContent>
            <w:p w:rsidR="00ED2DC7" w:rsidRDefault="00ED2DC7" w:rsidP="000D61B2">
              <w:pPr>
                <w:rPr>
                  <w:color w:val="000000"/>
                  <w:szCs w:val="21"/>
                </w:rPr>
              </w:pPr>
              <w:r>
                <w:rPr>
                  <w:rFonts w:cs="Arial"/>
                  <w:color w:val="000000"/>
                  <w:szCs w:val="21"/>
                </w:rPr>
                <w:fldChar w:fldCharType="begin"/>
              </w:r>
              <w:r w:rsidR="000D61B2">
                <w:rPr>
                  <w:rFonts w:cs="Arial"/>
                  <w:color w:val="000000"/>
                  <w:szCs w:val="21"/>
                </w:rPr>
                <w:instrText xml:space="preserve"> MACROBUTTON  SnrToggleCheckbox □适用 </w:instrText>
              </w:r>
              <w:r>
                <w:rPr>
                  <w:rFonts w:cs="Arial"/>
                  <w:color w:val="000000"/>
                  <w:szCs w:val="21"/>
                </w:rPr>
                <w:fldChar w:fldCharType="end"/>
              </w:r>
              <w:r>
                <w:rPr>
                  <w:rFonts w:cs="Arial"/>
                  <w:color w:val="000000"/>
                  <w:szCs w:val="21"/>
                </w:rPr>
                <w:fldChar w:fldCharType="begin"/>
              </w:r>
              <w:r w:rsidR="000D61B2">
                <w:rPr>
                  <w:rFonts w:cs="Arial"/>
                  <w:color w:val="000000"/>
                  <w:szCs w:val="21"/>
                </w:rPr>
                <w:instrText xml:space="preserve"> MACROBUTTON  SnrToggleCheckbox √不适用 </w:instrText>
              </w:r>
              <w:r>
                <w:rPr>
                  <w:rFonts w:cs="Arial"/>
                  <w:color w:val="000000"/>
                  <w:szCs w:val="21"/>
                </w:rPr>
                <w:fldChar w:fldCharType="end"/>
              </w:r>
            </w:p>
          </w:sdtContent>
        </w:sdt>
      </w:sdtContent>
    </w:sdt>
    <w:p w:rsidR="00ED2DC7" w:rsidRDefault="00ED2DC7">
      <w:pPr>
        <w:rPr>
          <w:rFonts w:cs="Arial"/>
          <w:color w:val="000000"/>
          <w:szCs w:val="21"/>
        </w:rPr>
      </w:pPr>
    </w:p>
    <w:sdt>
      <w:sdtPr>
        <w:rPr>
          <w:rFonts w:ascii="Times New Roman" w:hAnsi="Times New Roman" w:cs="Arial" w:hint="eastAsia"/>
          <w:kern w:val="2"/>
          <w:sz w:val="20"/>
          <w:szCs w:val="21"/>
        </w:rPr>
        <w:alias w:val="模块:是否存在通过多次交易分步处置对子公司投资且在本期丧失控制权的"/>
        <w:tag w:val="_GBC_4d8df8ad82924ee296922a66106c2fad"/>
        <w:id w:val="-611595535"/>
        <w:lock w:val="sdtLocked"/>
        <w:placeholder>
          <w:docPart w:val="GBC22222222222222222222222222222"/>
        </w:placeholder>
      </w:sdtPr>
      <w:sdtEndPr>
        <w:rPr>
          <w:rFonts w:cs="Times New Roman" w:hint="default"/>
          <w:color w:val="000000"/>
        </w:rPr>
      </w:sdtEndPr>
      <w:sdtContent>
        <w:p w:rsidR="00ED2DC7" w:rsidRDefault="00ED2DC7">
          <w:pPr>
            <w:rPr>
              <w:rFonts w:cs="Arial"/>
              <w:szCs w:val="21"/>
            </w:rPr>
          </w:pPr>
          <w:r>
            <w:rPr>
              <w:rFonts w:cs="Arial" w:hint="eastAsia"/>
              <w:szCs w:val="21"/>
            </w:rPr>
            <w:t>是否存在通过多次交易分步处置对子公司投资且在本期丧失控制权的情形</w:t>
          </w:r>
        </w:p>
        <w:sdt>
          <w:sdtPr>
            <w:rPr>
              <w:rFonts w:hint="eastAsia"/>
            </w:rPr>
            <w:alias w:val="是否存在通过多次交易分步处置对子公司投资且在本期丧失控制权的情形[双击切换]"/>
            <w:tag w:val="_GBC_af0bdb782b8c4c81b7d0f6f588b3cf6b"/>
            <w:id w:val="1505634805"/>
            <w:lock w:val="sdtContentLocked"/>
            <w:placeholder>
              <w:docPart w:val="GBC22222222222222222222222222222"/>
            </w:placeholder>
          </w:sdtPr>
          <w:sdtContent>
            <w:p w:rsidR="00ED2DC7" w:rsidRDefault="00ED2DC7">
              <w:pPr>
                <w:pStyle w:val="afffffffffffffffffff1"/>
                <w:rPr>
                  <w:color w:val="000000"/>
                </w:rPr>
              </w:pPr>
              <w:r>
                <w:rPr>
                  <w:color w:val="000000"/>
                </w:rPr>
                <w:fldChar w:fldCharType="begin"/>
              </w:r>
              <w:r w:rsidR="000D61B2">
                <w:rPr>
                  <w:rFonts w:hint="eastAsia"/>
                  <w:color w:val="000000"/>
                </w:rPr>
                <w:instrText xml:space="preserve">MACROBUTTON  SnrToggleCheckbox </w:instrText>
              </w:r>
              <w:r w:rsidR="000D61B2">
                <w:rPr>
                  <w:rFonts w:hint="eastAsia"/>
                  <w:color w:val="000000"/>
                </w:rPr>
                <w:instrText>□适用</w:instrText>
              </w:r>
              <w:r>
                <w:rPr>
                  <w:color w:val="000000"/>
                </w:rPr>
                <w:fldChar w:fldCharType="end"/>
              </w:r>
              <w:r>
                <w:rPr>
                  <w:rFonts w:ascii="宋体" w:hAnsi="宋体"/>
                  <w:color w:val="000000"/>
                </w:rPr>
                <w:fldChar w:fldCharType="begin"/>
              </w:r>
              <w:r w:rsidR="000D61B2">
                <w:rPr>
                  <w:rFonts w:ascii="宋体" w:hAnsi="宋体"/>
                  <w:color w:val="000000"/>
                </w:rPr>
                <w:instrText xml:space="preserve"> MACROBUTTON  SnrToggleCheckbox √不适用 </w:instrText>
              </w:r>
              <w:r>
                <w:rPr>
                  <w:rFonts w:ascii="宋体" w:hAnsi="宋体"/>
                  <w:color w:val="000000"/>
                </w:rPr>
                <w:fldChar w:fldCharType="end"/>
              </w:r>
            </w:p>
          </w:sdtContent>
        </w:sdt>
        <w:p w:rsidR="000D61B2" w:rsidRDefault="000D0A99" w:rsidP="000D61B2">
          <w:pPr>
            <w:pStyle w:val="afffffffffffffffffff1"/>
            <w:rPr>
              <w:rFonts w:asciiTheme="minorHAnsi" w:eastAsiaTheme="minorEastAsia" w:hAnsiTheme="minorHAnsi" w:cs="Arial"/>
              <w:color w:val="000000"/>
            </w:rPr>
          </w:pPr>
        </w:p>
      </w:sdtContent>
    </w:sdt>
    <w:sdt>
      <w:sdtPr>
        <w:rPr>
          <w:rFonts w:asciiTheme="minorHAnsi" w:eastAsiaTheme="minorEastAsia" w:hAnsiTheme="minorHAnsi" w:cs="Arial" w:hint="eastAsia"/>
          <w:b w:val="0"/>
          <w:bCs w:val="0"/>
          <w:color w:val="000000"/>
          <w:kern w:val="0"/>
          <w:szCs w:val="24"/>
        </w:rPr>
        <w:alias w:val="模块:其他原因的合并范围变动"/>
        <w:tag w:val="_GBC_c61d869cb31c439992bb2118c8eaac1e"/>
        <w:id w:val="670379927"/>
        <w:lock w:val="sdtLocked"/>
        <w:placeholder>
          <w:docPart w:val="GBC22222222222222222222222222222"/>
        </w:placeholder>
      </w:sdtPr>
      <w:sdtContent>
        <w:p w:rsidR="00ED2DC7" w:rsidRDefault="00ED2DC7" w:rsidP="00036BDC">
          <w:pPr>
            <w:pStyle w:val="affffffffffffffffff1"/>
            <w:numPr>
              <w:ilvl w:val="0"/>
              <w:numId w:val="83"/>
            </w:numPr>
            <w:rPr>
              <w:rFonts w:asciiTheme="minorHAnsi" w:eastAsiaTheme="minorEastAsia" w:hAnsiTheme="minorHAnsi" w:cs="Arial"/>
              <w:color w:val="000000"/>
            </w:rPr>
          </w:pPr>
          <w:r>
            <w:rPr>
              <w:rFonts w:asciiTheme="minorHAnsi" w:eastAsiaTheme="minorEastAsia" w:hAnsiTheme="minorHAnsi" w:cs="Arial" w:hint="eastAsia"/>
              <w:color w:val="000000"/>
            </w:rPr>
            <w:t>其他原因的合并范围变动</w:t>
          </w:r>
        </w:p>
        <w:p w:rsidR="00ED2DC7" w:rsidRDefault="00ED2DC7">
          <w:r>
            <w:rPr>
              <w:rFonts w:hint="eastAsia"/>
            </w:rPr>
            <w:t>说明其他原因导致的合并范围变动（如，新设子公司、清算子公司等）及其相关情况：</w:t>
          </w:r>
        </w:p>
        <w:sdt>
          <w:sdtPr>
            <w:alias w:val="是否适用：其他原因导致的合并范围变动及其相关情况[双击切换]"/>
            <w:tag w:val="_GBC_55cbf4f78793498cb1532f08bfbb61f4"/>
            <w:id w:val="-603188244"/>
            <w:lock w:val="sdtContentLocked"/>
            <w:placeholder>
              <w:docPart w:val="GBC22222222222222222222222222222"/>
            </w:placeholder>
          </w:sdtPr>
          <w:sdtContent>
            <w:p w:rsidR="00ED2DC7" w:rsidRDefault="00ED2DC7">
              <w:r>
                <w:fldChar w:fldCharType="begin"/>
              </w:r>
              <w:r w:rsidR="000D61B2">
                <w:instrText xml:space="preserve"> MACROBUTTON  SnrToggleCheckbox √适用 </w:instrText>
              </w:r>
              <w:r>
                <w:fldChar w:fldCharType="end"/>
              </w:r>
              <w:r>
                <w:fldChar w:fldCharType="begin"/>
              </w:r>
              <w:r w:rsidR="000D61B2">
                <w:instrText xml:space="preserve"> MACROBUTTON  SnrToggleCheckbox □不适用 </w:instrText>
              </w:r>
              <w:r>
                <w:fldChar w:fldCharType="end"/>
              </w:r>
            </w:p>
          </w:sdtContent>
        </w:sdt>
        <w:sdt>
          <w:sdtPr>
            <w:rPr>
              <w:rFonts w:cs="Arial"/>
              <w:color w:val="000000"/>
            </w:rPr>
            <w:alias w:val="其他原因的合并范围变动"/>
            <w:tag w:val="_GBC_c83a0d19a27e42c0927cf85c8c6221e2"/>
            <w:id w:val="-1762829463"/>
            <w:lock w:val="sdtLocked"/>
            <w:placeholder>
              <w:docPart w:val="GBC22222222222222222222222222222"/>
            </w:placeholder>
          </w:sdtPr>
          <w:sdtEndPr>
            <w:rPr>
              <w:rFonts w:asciiTheme="minorHAnsi" w:eastAsiaTheme="minorEastAsia" w:hAnsiTheme="minorHAnsi"/>
            </w:rPr>
          </w:sdtEndPr>
          <w:sdtContent>
            <w:p w:rsidR="00775FAA" w:rsidRDefault="00775FAA">
              <w:pPr>
                <w:rPr>
                  <w:rFonts w:cs="Arial"/>
                  <w:color w:val="000000"/>
                </w:rPr>
              </w:pPr>
              <w:r w:rsidRPr="00775FAA">
                <w:rPr>
                  <w:rFonts w:cs="Arial" w:hint="eastAsia"/>
                  <w:color w:val="000000"/>
                </w:rPr>
                <w:t>本集团通过新设方式成立子公司，详见附注七、</w:t>
              </w:r>
              <w:r w:rsidRPr="00775FAA">
                <w:rPr>
                  <w:rFonts w:cs="Arial"/>
                  <w:color w:val="000000"/>
                </w:rPr>
                <w:t>1。</w:t>
              </w:r>
            </w:p>
            <w:p w:rsidR="00ED2DC7" w:rsidRDefault="00775FAA">
              <w:pPr>
                <w:rPr>
                  <w:rFonts w:asciiTheme="minorHAnsi" w:eastAsiaTheme="minorEastAsia" w:hAnsiTheme="minorHAnsi" w:cs="Arial"/>
                  <w:color w:val="000000"/>
                </w:rPr>
              </w:pPr>
              <w:r w:rsidRPr="00775FAA">
                <w:rPr>
                  <w:rFonts w:asciiTheme="minorHAnsi" w:eastAsiaTheme="minorEastAsia" w:hAnsiTheme="minorHAnsi" w:cs="Arial" w:hint="eastAsia"/>
                  <w:color w:val="000000"/>
                </w:rPr>
                <w:t>本集团之子公司天津滨海用友软件有限公司</w:t>
              </w:r>
              <w:r w:rsidRPr="00775FAA">
                <w:rPr>
                  <w:rFonts w:asciiTheme="minorHAnsi" w:eastAsiaTheme="minorEastAsia" w:hAnsiTheme="minorHAnsi" w:cs="Arial"/>
                  <w:color w:val="000000"/>
                </w:rPr>
                <w:t>(</w:t>
              </w:r>
              <w:r w:rsidRPr="00775FAA">
                <w:rPr>
                  <w:rFonts w:asciiTheme="minorHAnsi" w:eastAsiaTheme="minorEastAsia" w:hAnsiTheme="minorHAnsi" w:cs="Arial"/>
                  <w:color w:val="000000"/>
                </w:rPr>
                <w:t>以下简称</w:t>
              </w:r>
              <w:r w:rsidRPr="00775FAA">
                <w:rPr>
                  <w:rFonts w:asciiTheme="minorHAnsi" w:eastAsiaTheme="minorEastAsia" w:hAnsiTheme="minorHAnsi" w:cs="Arial"/>
                  <w:color w:val="000000"/>
                </w:rPr>
                <w:t>"</w:t>
              </w:r>
              <w:r w:rsidRPr="00775FAA">
                <w:rPr>
                  <w:rFonts w:asciiTheme="minorHAnsi" w:eastAsiaTheme="minorEastAsia" w:hAnsiTheme="minorHAnsi" w:cs="Arial"/>
                  <w:color w:val="000000"/>
                </w:rPr>
                <w:t>滨海用友</w:t>
              </w:r>
              <w:r w:rsidRPr="00775FAA">
                <w:rPr>
                  <w:rFonts w:asciiTheme="minorHAnsi" w:eastAsiaTheme="minorEastAsia" w:hAnsiTheme="minorHAnsi" w:cs="Arial"/>
                  <w:color w:val="000000"/>
                </w:rPr>
                <w:t>")</w:t>
              </w:r>
              <w:r w:rsidRPr="00775FAA">
                <w:rPr>
                  <w:rFonts w:asciiTheme="minorHAnsi" w:eastAsiaTheme="minorEastAsia" w:hAnsiTheme="minorHAnsi" w:cs="Arial"/>
                  <w:color w:val="000000"/>
                </w:rPr>
                <w:t>于本期注销。</w:t>
              </w:r>
            </w:p>
          </w:sdtContent>
        </w:sdt>
      </w:sdtContent>
    </w:sdt>
    <w:p w:rsidR="00ED2DC7" w:rsidRDefault="00ED2DC7">
      <w:pPr>
        <w:rPr>
          <w:rFonts w:asciiTheme="minorHAnsi" w:eastAsiaTheme="minorEastAsia" w:hAnsiTheme="minorHAnsi" w:cs="Arial"/>
          <w:color w:val="000000"/>
        </w:rPr>
      </w:pPr>
    </w:p>
    <w:sdt>
      <w:sdtPr>
        <w:rPr>
          <w:rFonts w:asciiTheme="minorHAnsi" w:eastAsiaTheme="minorEastAsia" w:hAnsiTheme="minorHAnsi" w:cs="Arial" w:hint="eastAsia"/>
          <w:b w:val="0"/>
          <w:bCs w:val="0"/>
          <w:color w:val="000000"/>
          <w:kern w:val="0"/>
          <w:szCs w:val="24"/>
        </w:rPr>
        <w:alias w:val="模块:同一控制下企业合并其他"/>
        <w:tag w:val="_GBC_8ddcb59af8af49d295c61727d65b8301"/>
        <w:id w:val="2060517609"/>
        <w:lock w:val="sdtLocked"/>
        <w:placeholder>
          <w:docPart w:val="GBC22222222222222222222222222222"/>
        </w:placeholder>
      </w:sdtPr>
      <w:sdtContent>
        <w:p w:rsidR="00ED2DC7" w:rsidRDefault="00ED2DC7" w:rsidP="00036BDC">
          <w:pPr>
            <w:pStyle w:val="affffffffffffffffff1"/>
            <w:numPr>
              <w:ilvl w:val="0"/>
              <w:numId w:val="83"/>
            </w:numPr>
            <w:rPr>
              <w:rFonts w:ascii="宋体" w:hAnsi="宋体" w:cs="Arial"/>
              <w:color w:val="000000"/>
            </w:rPr>
          </w:pPr>
          <w:r>
            <w:rPr>
              <w:rFonts w:ascii="宋体" w:hAnsi="宋体" w:cs="Arial" w:hint="eastAsia"/>
              <w:color w:val="000000"/>
            </w:rPr>
            <w:t>其他</w:t>
          </w:r>
        </w:p>
        <w:sdt>
          <w:sdtPr>
            <w:alias w:val="是否适用：合并范围的变更-其他说明[双击切换]"/>
            <w:tag w:val="_GBC_cca0ea12df6c44878cdcbeced06ed993"/>
            <w:id w:val="309520269"/>
            <w:lock w:val="sdtContentLocked"/>
            <w:placeholder>
              <w:docPart w:val="GBC22222222222222222222222222222"/>
            </w:placeholder>
          </w:sdtPr>
          <w:sdtContent>
            <w:p w:rsidR="00ED2DC7" w:rsidRDefault="00ED2DC7" w:rsidP="000D61B2">
              <w:pPr>
                <w:rPr>
                  <w:rFonts w:asciiTheme="minorHAnsi" w:eastAsiaTheme="minorEastAsia" w:hAnsiTheme="minorHAnsi" w:cs="Arial"/>
                  <w:color w:val="000000"/>
                </w:rPr>
              </w:pPr>
              <w:r>
                <w:fldChar w:fldCharType="begin"/>
              </w:r>
              <w:r w:rsidR="000D61B2">
                <w:instrText xml:space="preserve"> MACROBUTTON  SnrToggleCheckbox □适用 </w:instrText>
              </w:r>
              <w:r>
                <w:fldChar w:fldCharType="end"/>
              </w:r>
              <w:r>
                <w:fldChar w:fldCharType="begin"/>
              </w:r>
              <w:r w:rsidR="000D61B2">
                <w:instrText xml:space="preserve"> MACROBUTTON  SnrToggleCheckbox √不适用 </w:instrText>
              </w:r>
              <w:r>
                <w:fldChar w:fldCharType="end"/>
              </w:r>
            </w:p>
          </w:sdtContent>
        </w:sdt>
      </w:sdtContent>
    </w:sdt>
    <w:p w:rsidR="00ED2DC7" w:rsidRDefault="00ED2DC7">
      <w:pPr>
        <w:sectPr w:rsidR="00ED2DC7" w:rsidSect="00221B01">
          <w:pgSz w:w="11906" w:h="16838"/>
          <w:pgMar w:top="1525" w:right="1276" w:bottom="1440" w:left="1797" w:header="856" w:footer="992" w:gutter="0"/>
          <w:cols w:space="425"/>
          <w:docGrid w:linePitch="312"/>
        </w:sectPr>
      </w:pPr>
    </w:p>
    <w:p w:rsidR="00ED2DC7" w:rsidRDefault="00ED2DC7" w:rsidP="00036BDC">
      <w:pPr>
        <w:pStyle w:val="affffffffffffffffff0"/>
        <w:numPr>
          <w:ilvl w:val="0"/>
          <w:numId w:val="35"/>
        </w:numPr>
        <w:rPr>
          <w:rFonts w:ascii="宋体" w:hAnsi="宋体"/>
        </w:rPr>
      </w:pPr>
      <w:r>
        <w:rPr>
          <w:rFonts w:ascii="宋体" w:hAnsi="宋体" w:hint="eastAsia"/>
        </w:rPr>
        <w:lastRenderedPageBreak/>
        <w:t>在</w:t>
      </w:r>
      <w:r>
        <w:rPr>
          <w:rFonts w:hint="eastAsia"/>
        </w:rPr>
        <w:t>其他</w:t>
      </w:r>
      <w:r>
        <w:rPr>
          <w:rFonts w:ascii="宋体" w:hAnsi="宋体" w:hint="eastAsia"/>
        </w:rPr>
        <w:t>主体中的权益</w:t>
      </w:r>
    </w:p>
    <w:p w:rsidR="00ED2DC7" w:rsidRDefault="00ED2DC7" w:rsidP="00036BDC">
      <w:pPr>
        <w:pStyle w:val="affffffffffffffffff1"/>
        <w:numPr>
          <w:ilvl w:val="2"/>
          <w:numId w:val="84"/>
        </w:numPr>
      </w:pPr>
      <w:r>
        <w:rPr>
          <w:rFonts w:hint="eastAsia"/>
        </w:rPr>
        <w:t>在子公司中的权益</w:t>
      </w:r>
    </w:p>
    <w:sdt>
      <w:sdtPr>
        <w:rPr>
          <w:rFonts w:ascii="宋体" w:hAnsi="宋体" w:cs="宋体" w:hint="eastAsia"/>
          <w:b w:val="0"/>
          <w:bCs w:val="0"/>
          <w:kern w:val="0"/>
          <w:szCs w:val="24"/>
        </w:rPr>
        <w:alias w:val="模块:企业集团的构成"/>
        <w:tag w:val="_GBC_47f8b786d9024ebb977349f022d18c1c"/>
        <w:id w:val="822775433"/>
        <w:lock w:val="sdtLocked"/>
        <w:placeholder>
          <w:docPart w:val="GBC22222222222222222222222222222"/>
        </w:placeholder>
      </w:sdtPr>
      <w:sdtEndPr>
        <w:rPr>
          <w:rFonts w:cstheme="minorBidi" w:hint="default"/>
          <w:szCs w:val="21"/>
        </w:rPr>
      </w:sdtEndPr>
      <w:sdtContent>
        <w:p w:rsidR="00ED2DC7" w:rsidRDefault="00ED2DC7" w:rsidP="00036BDC">
          <w:pPr>
            <w:pStyle w:val="affffffffffffffffff2"/>
            <w:numPr>
              <w:ilvl w:val="3"/>
              <w:numId w:val="85"/>
            </w:numPr>
            <w:tabs>
              <w:tab w:val="left" w:pos="644"/>
            </w:tabs>
          </w:pPr>
          <w:r>
            <w:rPr>
              <w:rFonts w:hint="eastAsia"/>
            </w:rPr>
            <w:t>企业集团的构成</w:t>
          </w:r>
        </w:p>
        <w:sdt>
          <w:sdtPr>
            <w:alias w:val="是否适用：企业集团的构成[双击切换]"/>
            <w:tag w:val="_GBC_34a27c9c622e483cb4651d6ff3bc0d5a"/>
            <w:id w:val="956532604"/>
            <w:lock w:val="sdtContentLocked"/>
            <w:placeholder>
              <w:docPart w:val="GBC22222222222222222222222222222"/>
            </w:placeholder>
          </w:sdtPr>
          <w:sdtContent>
            <w:p w:rsidR="00ED2DC7" w:rsidRDefault="00ED2DC7">
              <w:r>
                <w:fldChar w:fldCharType="begin"/>
              </w:r>
              <w:r w:rsidR="000D61B2">
                <w:instrText xml:space="preserve"> MACROBUTTON  SnrToggleCheckbox √适用 </w:instrText>
              </w:r>
              <w:r>
                <w:fldChar w:fldCharType="end"/>
              </w:r>
              <w:r>
                <w:fldChar w:fldCharType="begin"/>
              </w:r>
              <w:r w:rsidR="000D61B2">
                <w:instrText xml:space="preserve"> MACROBUTTON  SnrToggleCheckbox □不适用 </w:instrText>
              </w:r>
              <w:r>
                <w:fldChar w:fldCharType="end"/>
              </w:r>
            </w:p>
          </w:sdtContent>
        </w:sdt>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5"/>
            <w:gridCol w:w="1031"/>
            <w:gridCol w:w="1016"/>
            <w:gridCol w:w="1046"/>
            <w:gridCol w:w="1031"/>
            <w:gridCol w:w="1033"/>
            <w:gridCol w:w="1141"/>
          </w:tblGrid>
          <w:tr w:rsidR="00302BC9" w:rsidTr="00302BC9">
            <w:trPr>
              <w:trHeight w:val="247"/>
            </w:trPr>
            <w:sdt>
              <w:sdtPr>
                <w:tag w:val="_PLD_e6e24505838941c88a7f70e573a1261c"/>
                <w:id w:val="-1902664062"/>
                <w:lock w:val="sdtLocked"/>
              </w:sdtPr>
              <w:sdtContent>
                <w:tc>
                  <w:tcPr>
                    <w:tcW w:w="1207" w:type="pct"/>
                    <w:vMerge w:val="restart"/>
                    <w:shd w:val="clear" w:color="auto" w:fill="auto"/>
                    <w:vAlign w:val="center"/>
                  </w:tcPr>
                  <w:p w:rsidR="00302BC9" w:rsidRDefault="00302BC9" w:rsidP="00302BC9">
                    <w:pPr>
                      <w:jc w:val="center"/>
                      <w:rPr>
                        <w:rFonts w:cs="Arial"/>
                        <w:szCs w:val="21"/>
                        <w:lang w:val="en-GB"/>
                      </w:rPr>
                    </w:pPr>
                    <w:r>
                      <w:rPr>
                        <w:rFonts w:cs="Arial" w:hint="eastAsia"/>
                        <w:szCs w:val="21"/>
                        <w:lang w:val="en-GB"/>
                      </w:rPr>
                      <w:t>子公司</w:t>
                    </w:r>
                  </w:p>
                  <w:p w:rsidR="00302BC9" w:rsidRDefault="00302BC9" w:rsidP="00302BC9">
                    <w:pPr>
                      <w:jc w:val="center"/>
                      <w:rPr>
                        <w:rFonts w:cs="Arial"/>
                        <w:szCs w:val="21"/>
                      </w:rPr>
                    </w:pPr>
                    <w:r>
                      <w:rPr>
                        <w:rFonts w:cs="Arial" w:hint="eastAsia"/>
                        <w:szCs w:val="21"/>
                        <w:lang w:val="en-GB"/>
                      </w:rPr>
                      <w:t>名称</w:t>
                    </w:r>
                  </w:p>
                </w:tc>
              </w:sdtContent>
            </w:sdt>
            <w:sdt>
              <w:sdtPr>
                <w:tag w:val="_PLD_056e18f052024978add90fe8aacf887d"/>
                <w:id w:val="451448511"/>
                <w:lock w:val="sdtLocked"/>
              </w:sdtPr>
              <w:sdtContent>
                <w:tc>
                  <w:tcPr>
                    <w:tcW w:w="621" w:type="pct"/>
                    <w:vMerge w:val="restart"/>
                    <w:shd w:val="clear" w:color="auto" w:fill="auto"/>
                    <w:vAlign w:val="center"/>
                  </w:tcPr>
                  <w:p w:rsidR="00302BC9" w:rsidRDefault="00302BC9" w:rsidP="00302BC9">
                    <w:pPr>
                      <w:jc w:val="center"/>
                      <w:rPr>
                        <w:rFonts w:cs="Arial"/>
                        <w:szCs w:val="21"/>
                      </w:rPr>
                    </w:pPr>
                    <w:r>
                      <w:rPr>
                        <w:rFonts w:cs="Arial" w:hint="eastAsia"/>
                        <w:szCs w:val="21"/>
                        <w:lang w:val="en-GB"/>
                      </w:rPr>
                      <w:t>主要经营地</w:t>
                    </w:r>
                  </w:p>
                </w:tc>
              </w:sdtContent>
            </w:sdt>
            <w:sdt>
              <w:sdtPr>
                <w:tag w:val="_PLD_591af8ff23104790a7ac5dbb3278e185"/>
                <w:id w:val="-1588917216"/>
                <w:lock w:val="sdtLocked"/>
              </w:sdtPr>
              <w:sdtContent>
                <w:tc>
                  <w:tcPr>
                    <w:tcW w:w="612" w:type="pct"/>
                    <w:vMerge w:val="restart"/>
                    <w:shd w:val="clear" w:color="auto" w:fill="auto"/>
                    <w:vAlign w:val="center"/>
                  </w:tcPr>
                  <w:p w:rsidR="00302BC9" w:rsidRDefault="00302BC9" w:rsidP="00302BC9">
                    <w:pPr>
                      <w:jc w:val="center"/>
                      <w:rPr>
                        <w:rFonts w:cs="Arial"/>
                        <w:szCs w:val="21"/>
                      </w:rPr>
                    </w:pPr>
                    <w:r>
                      <w:rPr>
                        <w:rFonts w:cs="Arial" w:hint="eastAsia"/>
                        <w:szCs w:val="21"/>
                        <w:lang w:val="en-GB"/>
                      </w:rPr>
                      <w:t>注册地</w:t>
                    </w:r>
                  </w:p>
                </w:tc>
              </w:sdtContent>
            </w:sdt>
            <w:sdt>
              <w:sdtPr>
                <w:tag w:val="_PLD_00f166f7d07d4fab80fa91c95fb5d089"/>
                <w:id w:val="2130052773"/>
                <w:lock w:val="sdtLocked"/>
              </w:sdtPr>
              <w:sdtContent>
                <w:tc>
                  <w:tcPr>
                    <w:tcW w:w="630" w:type="pct"/>
                    <w:vMerge w:val="restart"/>
                    <w:shd w:val="clear" w:color="auto" w:fill="auto"/>
                    <w:vAlign w:val="center"/>
                  </w:tcPr>
                  <w:p w:rsidR="00302BC9" w:rsidRDefault="00302BC9" w:rsidP="00302BC9">
                    <w:pPr>
                      <w:jc w:val="center"/>
                      <w:rPr>
                        <w:rFonts w:cs="Arial"/>
                        <w:szCs w:val="21"/>
                      </w:rPr>
                    </w:pPr>
                    <w:r>
                      <w:rPr>
                        <w:rFonts w:cs="Arial" w:hint="eastAsia"/>
                        <w:szCs w:val="21"/>
                        <w:lang w:val="en-GB"/>
                      </w:rPr>
                      <w:t>业务性质</w:t>
                    </w:r>
                  </w:p>
                </w:tc>
              </w:sdtContent>
            </w:sdt>
            <w:sdt>
              <w:sdtPr>
                <w:tag w:val="_PLD_312b40f444994b628fc2b8c3e4c90fdc"/>
                <w:id w:val="938490006"/>
                <w:lock w:val="sdtLocked"/>
              </w:sdtPr>
              <w:sdtContent>
                <w:tc>
                  <w:tcPr>
                    <w:tcW w:w="1243" w:type="pct"/>
                    <w:gridSpan w:val="2"/>
                    <w:shd w:val="clear" w:color="auto" w:fill="auto"/>
                    <w:vAlign w:val="center"/>
                  </w:tcPr>
                  <w:p w:rsidR="00302BC9" w:rsidRDefault="00302BC9" w:rsidP="00302BC9">
                    <w:pPr>
                      <w:jc w:val="center"/>
                      <w:rPr>
                        <w:rFonts w:cs="Arial"/>
                        <w:szCs w:val="21"/>
                      </w:rPr>
                    </w:pPr>
                    <w:r>
                      <w:rPr>
                        <w:rFonts w:cs="Arial" w:hint="eastAsia"/>
                        <w:szCs w:val="21"/>
                        <w:lang w:val="en-GB"/>
                      </w:rPr>
                      <w:t>持股比例</w:t>
                    </w:r>
                    <w:r>
                      <w:rPr>
                        <w:rFonts w:cs="Arial"/>
                        <w:szCs w:val="21"/>
                      </w:rPr>
                      <w:t>(%)</w:t>
                    </w:r>
                  </w:p>
                </w:tc>
              </w:sdtContent>
            </w:sdt>
            <w:sdt>
              <w:sdtPr>
                <w:tag w:val="_PLD_7955b51c085a48948cb5518baa55ee50"/>
                <w:id w:val="542945812"/>
                <w:lock w:val="sdtLocked"/>
              </w:sdtPr>
              <w:sdtContent>
                <w:tc>
                  <w:tcPr>
                    <w:tcW w:w="687" w:type="pct"/>
                    <w:vMerge w:val="restart"/>
                    <w:shd w:val="clear" w:color="auto" w:fill="auto"/>
                    <w:vAlign w:val="center"/>
                  </w:tcPr>
                  <w:p w:rsidR="00302BC9" w:rsidRDefault="00302BC9" w:rsidP="00302BC9">
                    <w:pPr>
                      <w:jc w:val="center"/>
                      <w:rPr>
                        <w:rFonts w:cs="Arial"/>
                        <w:szCs w:val="21"/>
                        <w:lang w:val="en-GB"/>
                      </w:rPr>
                    </w:pPr>
                    <w:r>
                      <w:rPr>
                        <w:rFonts w:cs="Arial" w:hint="eastAsia"/>
                        <w:szCs w:val="21"/>
                        <w:lang w:val="en-GB"/>
                      </w:rPr>
                      <w:t>取得</w:t>
                    </w:r>
                  </w:p>
                  <w:p w:rsidR="00302BC9" w:rsidRDefault="00302BC9" w:rsidP="00302BC9">
                    <w:pPr>
                      <w:jc w:val="center"/>
                      <w:rPr>
                        <w:rFonts w:cs="Arial"/>
                        <w:szCs w:val="21"/>
                        <w:lang w:val="en-GB"/>
                      </w:rPr>
                    </w:pPr>
                    <w:r>
                      <w:rPr>
                        <w:rFonts w:cs="Arial" w:hint="eastAsia"/>
                        <w:szCs w:val="21"/>
                        <w:lang w:val="en-GB"/>
                      </w:rPr>
                      <w:t>方式</w:t>
                    </w:r>
                  </w:p>
                </w:tc>
              </w:sdtContent>
            </w:sdt>
          </w:tr>
          <w:tr w:rsidR="00302BC9" w:rsidTr="00302BC9">
            <w:trPr>
              <w:trHeight w:val="278"/>
            </w:trPr>
            <w:tc>
              <w:tcPr>
                <w:tcW w:w="1207" w:type="pct"/>
                <w:vMerge/>
                <w:shd w:val="clear" w:color="auto" w:fill="auto"/>
                <w:vAlign w:val="center"/>
              </w:tcPr>
              <w:p w:rsidR="00302BC9" w:rsidRDefault="00302BC9" w:rsidP="00302BC9">
                <w:pPr>
                  <w:rPr>
                    <w:rFonts w:cs="Arial"/>
                    <w:szCs w:val="21"/>
                  </w:rPr>
                </w:pPr>
              </w:p>
            </w:tc>
            <w:tc>
              <w:tcPr>
                <w:tcW w:w="621" w:type="pct"/>
                <w:vMerge/>
                <w:shd w:val="clear" w:color="auto" w:fill="auto"/>
                <w:vAlign w:val="center"/>
              </w:tcPr>
              <w:p w:rsidR="00302BC9" w:rsidRDefault="00302BC9" w:rsidP="00302BC9">
                <w:pPr>
                  <w:rPr>
                    <w:rFonts w:cs="Arial"/>
                    <w:szCs w:val="21"/>
                  </w:rPr>
                </w:pPr>
              </w:p>
            </w:tc>
            <w:tc>
              <w:tcPr>
                <w:tcW w:w="612" w:type="pct"/>
                <w:vMerge/>
                <w:shd w:val="clear" w:color="auto" w:fill="auto"/>
                <w:vAlign w:val="center"/>
              </w:tcPr>
              <w:p w:rsidR="00302BC9" w:rsidRDefault="00302BC9" w:rsidP="00302BC9">
                <w:pPr>
                  <w:rPr>
                    <w:rFonts w:cs="Arial"/>
                    <w:szCs w:val="21"/>
                  </w:rPr>
                </w:pPr>
              </w:p>
            </w:tc>
            <w:tc>
              <w:tcPr>
                <w:tcW w:w="630" w:type="pct"/>
                <w:vMerge/>
                <w:shd w:val="clear" w:color="auto" w:fill="auto"/>
                <w:vAlign w:val="center"/>
              </w:tcPr>
              <w:p w:rsidR="00302BC9" w:rsidRDefault="00302BC9" w:rsidP="00302BC9">
                <w:pPr>
                  <w:rPr>
                    <w:rFonts w:cs="Arial"/>
                    <w:szCs w:val="21"/>
                  </w:rPr>
                </w:pPr>
              </w:p>
            </w:tc>
            <w:sdt>
              <w:sdtPr>
                <w:tag w:val="_PLD_ab045acafe9d4890848568705ddd5475"/>
                <w:id w:val="54517730"/>
                <w:lock w:val="sdtLocked"/>
              </w:sdtPr>
              <w:sdtContent>
                <w:tc>
                  <w:tcPr>
                    <w:tcW w:w="621" w:type="pct"/>
                    <w:shd w:val="clear" w:color="auto" w:fill="auto"/>
                    <w:vAlign w:val="center"/>
                  </w:tcPr>
                  <w:p w:rsidR="00302BC9" w:rsidRDefault="00302BC9" w:rsidP="00302BC9">
                    <w:pPr>
                      <w:jc w:val="center"/>
                      <w:rPr>
                        <w:rFonts w:cs="Arial"/>
                        <w:szCs w:val="21"/>
                      </w:rPr>
                    </w:pPr>
                    <w:r>
                      <w:rPr>
                        <w:rFonts w:cs="Arial" w:hint="eastAsia"/>
                        <w:szCs w:val="21"/>
                        <w:lang w:val="en-GB"/>
                      </w:rPr>
                      <w:t>直接</w:t>
                    </w:r>
                  </w:p>
                </w:tc>
              </w:sdtContent>
            </w:sdt>
            <w:sdt>
              <w:sdtPr>
                <w:tag w:val="_PLD_78e5db032e5044cba22bc40c16ee940a"/>
                <w:id w:val="1311982936"/>
                <w:lock w:val="sdtLocked"/>
              </w:sdtPr>
              <w:sdtContent>
                <w:tc>
                  <w:tcPr>
                    <w:tcW w:w="622" w:type="pct"/>
                    <w:shd w:val="clear" w:color="auto" w:fill="auto"/>
                    <w:vAlign w:val="center"/>
                  </w:tcPr>
                  <w:p w:rsidR="00302BC9" w:rsidRDefault="00302BC9" w:rsidP="00302BC9">
                    <w:pPr>
                      <w:jc w:val="center"/>
                      <w:rPr>
                        <w:rFonts w:cs="Arial"/>
                        <w:szCs w:val="21"/>
                      </w:rPr>
                    </w:pPr>
                    <w:r>
                      <w:rPr>
                        <w:rFonts w:cs="Arial" w:hint="eastAsia"/>
                        <w:szCs w:val="21"/>
                        <w:lang w:val="en-GB"/>
                      </w:rPr>
                      <w:t>间接</w:t>
                    </w:r>
                  </w:p>
                </w:tc>
              </w:sdtContent>
            </w:sdt>
            <w:tc>
              <w:tcPr>
                <w:tcW w:w="687" w:type="pct"/>
                <w:vMerge/>
              </w:tcPr>
              <w:p w:rsidR="00302BC9" w:rsidRDefault="00302BC9" w:rsidP="00302BC9">
                <w:pPr>
                  <w:rPr>
                    <w:rFonts w:cs="Arial"/>
                    <w:szCs w:val="21"/>
                  </w:rPr>
                </w:pPr>
              </w:p>
            </w:tc>
          </w:tr>
          <w:sdt>
            <w:sdtPr>
              <w:rPr>
                <w:rFonts w:asciiTheme="minorHAnsi" w:eastAsiaTheme="minorEastAsia" w:hAnsiTheme="minorHAnsi" w:cstheme="minorBidi"/>
                <w:kern w:val="2"/>
                <w:szCs w:val="21"/>
              </w:rPr>
              <w:alias w:val="企业合并及合并财务报表明细"/>
              <w:tag w:val="_GBC_986bfe326d834fea9d2920637e286f21"/>
              <w:id w:val="-1913462091"/>
              <w:lock w:val="sdtLocked"/>
            </w:sdtPr>
            <w:sdtContent>
              <w:tr w:rsidR="00302BC9" w:rsidTr="00302BC9">
                <w:tc>
                  <w:tcPr>
                    <w:tcW w:w="1207" w:type="pct"/>
                  </w:tcPr>
                  <w:p w:rsidR="00302BC9" w:rsidRPr="008C2320" w:rsidRDefault="00302BC9" w:rsidP="00302BC9">
                    <w:pPr>
                      <w:kinsoku w:val="0"/>
                      <w:overflowPunct w:val="0"/>
                      <w:autoSpaceDE w:val="0"/>
                      <w:autoSpaceDN w:val="0"/>
                      <w:adjustRightInd w:val="0"/>
                      <w:snapToGrid w:val="0"/>
                      <w:rPr>
                        <w:rFonts w:cs="Arial"/>
                      </w:rPr>
                    </w:pPr>
                    <w:r w:rsidRPr="008C2320">
                      <w:rPr>
                        <w:rFonts w:cs="Arial"/>
                      </w:rPr>
                      <w:t>重庆用友软件有限公司(以下简称“重庆用友”)</w:t>
                    </w:r>
                  </w:p>
                </w:tc>
                <w:tc>
                  <w:tcPr>
                    <w:tcW w:w="621" w:type="pct"/>
                  </w:tcPr>
                  <w:p w:rsidR="00302BC9" w:rsidRPr="008C2320" w:rsidRDefault="00302BC9" w:rsidP="00302BC9">
                    <w:pPr>
                      <w:rPr>
                        <w:szCs w:val="21"/>
                      </w:rPr>
                    </w:pPr>
                    <w:r w:rsidRPr="008C2320">
                      <w:rPr>
                        <w:rFonts w:cs="Arial"/>
                      </w:rPr>
                      <w:t>重庆市</w:t>
                    </w:r>
                  </w:p>
                </w:tc>
                <w:tc>
                  <w:tcPr>
                    <w:tcW w:w="612" w:type="pct"/>
                  </w:tcPr>
                  <w:p w:rsidR="00302BC9" w:rsidRPr="008C2320" w:rsidRDefault="00302BC9" w:rsidP="00302BC9">
                    <w:pPr>
                      <w:rPr>
                        <w:szCs w:val="21"/>
                      </w:rPr>
                    </w:pPr>
                    <w:r w:rsidRPr="008C2320">
                      <w:rPr>
                        <w:rFonts w:cs="Arial"/>
                      </w:rPr>
                      <w:t>重庆市</w:t>
                    </w:r>
                  </w:p>
                </w:tc>
                <w:tc>
                  <w:tcPr>
                    <w:tcW w:w="630" w:type="pct"/>
                  </w:tcPr>
                  <w:p w:rsidR="00302BC9" w:rsidRPr="008C2320" w:rsidRDefault="00302BC9" w:rsidP="00302BC9">
                    <w:pPr>
                      <w:kinsoku w:val="0"/>
                      <w:overflowPunct w:val="0"/>
                      <w:autoSpaceDE w:val="0"/>
                      <w:autoSpaceDN w:val="0"/>
                      <w:adjustRightInd w:val="0"/>
                      <w:snapToGrid w:val="0"/>
                      <w:jc w:val="center"/>
                      <w:rPr>
                        <w:rFonts w:cs="Arial"/>
                      </w:rPr>
                    </w:pPr>
                    <w:r w:rsidRPr="008C2320">
                      <w:rPr>
                        <w:rFonts w:cs="Arial"/>
                      </w:rPr>
                      <w:t>计算机软、硬件</w:t>
                    </w:r>
                  </w:p>
                  <w:p w:rsidR="00302BC9" w:rsidRPr="008C2320" w:rsidRDefault="00302BC9" w:rsidP="00302BC9">
                    <w:pPr>
                      <w:rPr>
                        <w:szCs w:val="21"/>
                      </w:rPr>
                    </w:pPr>
                    <w:r w:rsidRPr="008C2320">
                      <w:rPr>
                        <w:rFonts w:cs="Arial"/>
                      </w:rPr>
                      <w:t>行业</w:t>
                    </w:r>
                  </w:p>
                </w:tc>
                <w:tc>
                  <w:tcPr>
                    <w:tcW w:w="621" w:type="pct"/>
                  </w:tcPr>
                  <w:p w:rsidR="00302BC9" w:rsidRPr="008C2320" w:rsidRDefault="00302BC9" w:rsidP="00302BC9">
                    <w:pPr>
                      <w:jc w:val="right"/>
                      <w:rPr>
                        <w:szCs w:val="21"/>
                      </w:rPr>
                    </w:pPr>
                    <w:r w:rsidRPr="008C2320">
                      <w:t>81.88</w:t>
                    </w:r>
                  </w:p>
                </w:tc>
                <w:tc>
                  <w:tcPr>
                    <w:tcW w:w="622" w:type="pct"/>
                  </w:tcPr>
                  <w:p w:rsidR="00302BC9" w:rsidRPr="008C2320" w:rsidRDefault="00302BC9" w:rsidP="00302BC9">
                    <w:pPr>
                      <w:jc w:val="right"/>
                      <w:rPr>
                        <w:szCs w:val="21"/>
                      </w:rPr>
                    </w:pPr>
                    <w:r w:rsidRPr="008C2320">
                      <w:rPr>
                        <w:szCs w:val="21"/>
                      </w:rPr>
                      <w:t>18.12</w:t>
                    </w:r>
                  </w:p>
                </w:tc>
                <w:tc>
                  <w:tcPr>
                    <w:tcW w:w="687" w:type="pct"/>
                  </w:tcPr>
                  <w:p w:rsidR="00302BC9" w:rsidRPr="008C2320" w:rsidRDefault="00302BC9" w:rsidP="00302BC9">
                    <w:pPr>
                      <w:rPr>
                        <w:szCs w:val="21"/>
                      </w:rPr>
                    </w:pPr>
                    <w:r w:rsidRPr="008C2320">
                      <w:t> </w:t>
                    </w:r>
                    <w:r w:rsidRPr="008C2320">
                      <w:rPr>
                        <w:rFonts w:hint="eastAsia"/>
                      </w:rPr>
                      <w:t>计算机软、硬件及外围设备的开发、销售和技术服务；财会电算化管理服务</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1838221993"/>
              <w:lock w:val="sdtLocked"/>
            </w:sdtPr>
            <w:sdtContent>
              <w:tr w:rsidR="00302BC9" w:rsidTr="00302BC9">
                <w:tc>
                  <w:tcPr>
                    <w:tcW w:w="1207" w:type="pct"/>
                  </w:tcPr>
                  <w:p w:rsidR="00302BC9" w:rsidRPr="008C2320" w:rsidRDefault="00302BC9" w:rsidP="00302BC9">
                    <w:pPr>
                      <w:kinsoku w:val="0"/>
                      <w:overflowPunct w:val="0"/>
                      <w:autoSpaceDE w:val="0"/>
                      <w:autoSpaceDN w:val="0"/>
                      <w:adjustRightInd w:val="0"/>
                      <w:snapToGrid w:val="0"/>
                      <w:ind w:hanging="10"/>
                      <w:rPr>
                        <w:rFonts w:cs="Arial"/>
                      </w:rPr>
                    </w:pPr>
                    <w:r w:rsidRPr="008C2320">
                      <w:rPr>
                        <w:rFonts w:cs="Arial"/>
                      </w:rPr>
                      <w:t>深圳巿灏麓梵科技有限公司(以下简称“灏麓梵</w:t>
                    </w:r>
                    <w:r w:rsidRPr="008C2320">
                      <w:rPr>
                        <w:rFonts w:cs="Arial" w:hint="eastAsia"/>
                      </w:rPr>
                      <w:t>科技</w:t>
                    </w:r>
                    <w:r w:rsidRPr="008C2320">
                      <w:rPr>
                        <w:rFonts w:cs="Arial"/>
                      </w:rPr>
                      <w:t>”)</w:t>
                    </w:r>
                  </w:p>
                  <w:p w:rsidR="00302BC9" w:rsidRPr="008C2320" w:rsidRDefault="00302BC9" w:rsidP="00302BC9">
                    <w:pPr>
                      <w:rPr>
                        <w:szCs w:val="21"/>
                      </w:rPr>
                    </w:pPr>
                  </w:p>
                </w:tc>
                <w:tc>
                  <w:tcPr>
                    <w:tcW w:w="621" w:type="pct"/>
                  </w:tcPr>
                  <w:p w:rsidR="00302BC9" w:rsidRPr="008C2320" w:rsidRDefault="00302BC9" w:rsidP="00302BC9">
                    <w:pPr>
                      <w:rPr>
                        <w:szCs w:val="21"/>
                      </w:rPr>
                    </w:pPr>
                    <w:r w:rsidRPr="008C2320">
                      <w:rPr>
                        <w:rFonts w:hint="eastAsia"/>
                        <w:szCs w:val="21"/>
                      </w:rPr>
                      <w:t>深圳市</w:t>
                    </w:r>
                  </w:p>
                </w:tc>
                <w:tc>
                  <w:tcPr>
                    <w:tcW w:w="612" w:type="pct"/>
                  </w:tcPr>
                  <w:p w:rsidR="00302BC9" w:rsidRPr="008C2320" w:rsidRDefault="00302BC9" w:rsidP="00302BC9">
                    <w:pPr>
                      <w:rPr>
                        <w:szCs w:val="21"/>
                      </w:rPr>
                    </w:pPr>
                    <w:r w:rsidRPr="008C2320">
                      <w:rPr>
                        <w:rFonts w:hint="eastAsia"/>
                        <w:szCs w:val="21"/>
                      </w:rPr>
                      <w:t>深圳市</w:t>
                    </w:r>
                  </w:p>
                </w:tc>
                <w:tc>
                  <w:tcPr>
                    <w:tcW w:w="630" w:type="pct"/>
                  </w:tcPr>
                  <w:p w:rsidR="00302BC9" w:rsidRPr="008C2320" w:rsidRDefault="00302BC9" w:rsidP="00302BC9">
                    <w:pPr>
                      <w:rPr>
                        <w:szCs w:val="21"/>
                      </w:rPr>
                    </w:pPr>
                    <w:r w:rsidRPr="008C2320">
                      <w:rPr>
                        <w:rFonts w:hint="eastAsia"/>
                        <w:szCs w:val="21"/>
                      </w:rPr>
                      <w:t>计算机软件行业</w:t>
                    </w:r>
                  </w:p>
                </w:tc>
                <w:tc>
                  <w:tcPr>
                    <w:tcW w:w="621" w:type="pct"/>
                  </w:tcPr>
                  <w:p w:rsidR="00302BC9" w:rsidRPr="008C2320" w:rsidRDefault="00302BC9" w:rsidP="00302BC9">
                    <w:pPr>
                      <w:jc w:val="right"/>
                      <w:rPr>
                        <w:szCs w:val="21"/>
                      </w:rPr>
                    </w:pPr>
                    <w:r w:rsidRPr="008C2320">
                      <w:rPr>
                        <w:szCs w:val="21"/>
                      </w:rPr>
                      <w:t>100</w:t>
                    </w:r>
                  </w:p>
                </w:tc>
                <w:tc>
                  <w:tcPr>
                    <w:tcW w:w="622" w:type="pct"/>
                  </w:tcPr>
                  <w:p w:rsidR="00302BC9" w:rsidRPr="008C2320" w:rsidRDefault="00302BC9" w:rsidP="00302BC9">
                    <w:pPr>
                      <w:jc w:val="right"/>
                      <w:rPr>
                        <w:szCs w:val="21"/>
                      </w:rPr>
                    </w:pPr>
                  </w:p>
                </w:tc>
                <w:tc>
                  <w:tcPr>
                    <w:tcW w:w="687" w:type="pct"/>
                  </w:tcPr>
                  <w:p w:rsidR="00302BC9" w:rsidRPr="008C2320" w:rsidRDefault="00302BC9" w:rsidP="00302BC9">
                    <w:pPr>
                      <w:rPr>
                        <w:szCs w:val="21"/>
                      </w:rPr>
                    </w:pPr>
                    <w:r w:rsidRPr="008C2320">
                      <w:rPr>
                        <w:rFonts w:hint="eastAsia"/>
                        <w:szCs w:val="21"/>
                      </w:rPr>
                      <w:t>电脑软件的技术开发及销售</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2124414149"/>
              <w:lock w:val="sdtLocked"/>
            </w:sdtPr>
            <w:sdtContent>
              <w:tr w:rsidR="00302BC9" w:rsidTr="00302BC9">
                <w:tc>
                  <w:tcPr>
                    <w:tcW w:w="1207" w:type="pct"/>
                  </w:tcPr>
                  <w:p w:rsidR="00302BC9" w:rsidRPr="008C2320" w:rsidRDefault="00302BC9" w:rsidP="00302BC9">
                    <w:pPr>
                      <w:autoSpaceDE w:val="0"/>
                      <w:autoSpaceDN w:val="0"/>
                      <w:ind w:right="113"/>
                      <w:textAlignment w:val="bottom"/>
                      <w:rPr>
                        <w:rFonts w:cs="Arial"/>
                      </w:rPr>
                    </w:pPr>
                    <w:r w:rsidRPr="008C2320">
                      <w:rPr>
                        <w:rFonts w:cs="Arial"/>
                      </w:rPr>
                      <w:t>广东用友软件有限公司(以下简称”广东用友”)</w:t>
                    </w:r>
                  </w:p>
                </w:tc>
                <w:tc>
                  <w:tcPr>
                    <w:tcW w:w="621" w:type="pct"/>
                  </w:tcPr>
                  <w:p w:rsidR="00302BC9" w:rsidRPr="008C2320" w:rsidRDefault="00302BC9" w:rsidP="00302BC9">
                    <w:pPr>
                      <w:rPr>
                        <w:szCs w:val="21"/>
                      </w:rPr>
                    </w:pPr>
                    <w:r w:rsidRPr="008C2320">
                      <w:rPr>
                        <w:rFonts w:cs="Arial"/>
                      </w:rPr>
                      <w:t>广州市</w:t>
                    </w:r>
                  </w:p>
                </w:tc>
                <w:tc>
                  <w:tcPr>
                    <w:tcW w:w="612" w:type="pct"/>
                  </w:tcPr>
                  <w:p w:rsidR="00302BC9" w:rsidRPr="008C2320" w:rsidRDefault="00302BC9" w:rsidP="00302BC9">
                    <w:pPr>
                      <w:rPr>
                        <w:szCs w:val="21"/>
                      </w:rPr>
                    </w:pPr>
                    <w:r w:rsidRPr="008C2320">
                      <w:rPr>
                        <w:rFonts w:cs="Arial"/>
                      </w:rPr>
                      <w:t>广州市</w:t>
                    </w:r>
                  </w:p>
                </w:tc>
                <w:tc>
                  <w:tcPr>
                    <w:tcW w:w="630" w:type="pct"/>
                  </w:tcPr>
                  <w:p w:rsidR="00302BC9" w:rsidRPr="008C2320" w:rsidRDefault="00302BC9" w:rsidP="00302BC9">
                    <w:pPr>
                      <w:rPr>
                        <w:szCs w:val="21"/>
                      </w:rPr>
                    </w:pPr>
                    <w:r w:rsidRPr="008C2320">
                      <w:rPr>
                        <w:rFonts w:hint="eastAsia"/>
                        <w:szCs w:val="21"/>
                      </w:rPr>
                      <w:t>计算机软</w:t>
                    </w:r>
                    <w:r w:rsidRPr="008C2320">
                      <w:rPr>
                        <w:szCs w:val="21"/>
                      </w:rPr>
                      <w:t>/硬件/网络、技术咨询及电子行业</w:t>
                    </w:r>
                  </w:p>
                </w:tc>
                <w:tc>
                  <w:tcPr>
                    <w:tcW w:w="621" w:type="pct"/>
                  </w:tcPr>
                  <w:p w:rsidR="00302BC9" w:rsidRPr="008C2320" w:rsidRDefault="00302BC9" w:rsidP="00302BC9">
                    <w:pPr>
                      <w:jc w:val="right"/>
                      <w:rPr>
                        <w:szCs w:val="21"/>
                      </w:rPr>
                    </w:pPr>
                    <w:r w:rsidRPr="008C2320">
                      <w:t>90</w:t>
                    </w:r>
                  </w:p>
                </w:tc>
                <w:tc>
                  <w:tcPr>
                    <w:tcW w:w="622" w:type="pct"/>
                  </w:tcPr>
                  <w:p w:rsidR="00302BC9" w:rsidRPr="008C2320" w:rsidRDefault="00302BC9" w:rsidP="00302BC9">
                    <w:pPr>
                      <w:jc w:val="right"/>
                      <w:rPr>
                        <w:szCs w:val="21"/>
                      </w:rPr>
                    </w:pPr>
                    <w:r w:rsidRPr="008C2320">
                      <w:rPr>
                        <w:rFonts w:hint="eastAsia"/>
                        <w:szCs w:val="21"/>
                      </w:rPr>
                      <w:t>1</w:t>
                    </w:r>
                    <w:r w:rsidRPr="008C2320">
                      <w:rPr>
                        <w:szCs w:val="21"/>
                      </w:rPr>
                      <w:t>0</w:t>
                    </w:r>
                  </w:p>
                </w:tc>
                <w:tc>
                  <w:tcPr>
                    <w:tcW w:w="687" w:type="pct"/>
                  </w:tcPr>
                  <w:p w:rsidR="00302BC9" w:rsidRPr="008C2320" w:rsidRDefault="00302BC9" w:rsidP="00302BC9">
                    <w:pPr>
                      <w:rPr>
                        <w:szCs w:val="21"/>
                      </w:rPr>
                    </w:pPr>
                    <w:r w:rsidRPr="008C2320">
                      <w:rPr>
                        <w:rFonts w:hint="eastAsia"/>
                        <w:szCs w:val="21"/>
                      </w:rPr>
                      <w:t>电子计算机硬件、网络工程的技术服务、技术转让、信息咨询、技术培训，数据库服务；销售电子计算机及配件、办公设备、电子产品及通讯设备（不含广播、电视接收、发射设备）；企业管理咨询。</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2123108958"/>
              <w:lock w:val="sdtLocked"/>
            </w:sdtPr>
            <w:sdtContent>
              <w:tr w:rsidR="00302BC9" w:rsidTr="00302BC9">
                <w:tc>
                  <w:tcPr>
                    <w:tcW w:w="1207" w:type="pct"/>
                  </w:tcPr>
                  <w:p w:rsidR="00302BC9" w:rsidRPr="008C2320" w:rsidRDefault="00302BC9" w:rsidP="00302BC9">
                    <w:pPr>
                      <w:autoSpaceDE w:val="0"/>
                      <w:autoSpaceDN w:val="0"/>
                      <w:ind w:right="113"/>
                      <w:textAlignment w:val="bottom"/>
                      <w:rPr>
                        <w:rFonts w:cs="Arial"/>
                      </w:rPr>
                    </w:pPr>
                    <w:r w:rsidRPr="008C2320">
                      <w:rPr>
                        <w:rFonts w:cs="Arial"/>
                      </w:rPr>
                      <w:t>天津用友软件技术有限公司(以下简称“天津用友”)</w:t>
                    </w:r>
                  </w:p>
                </w:tc>
                <w:tc>
                  <w:tcPr>
                    <w:tcW w:w="621" w:type="pct"/>
                  </w:tcPr>
                  <w:p w:rsidR="00302BC9" w:rsidRPr="008C2320" w:rsidRDefault="00302BC9" w:rsidP="00302BC9">
                    <w:pPr>
                      <w:rPr>
                        <w:szCs w:val="21"/>
                      </w:rPr>
                    </w:pPr>
                    <w:r w:rsidRPr="008C2320">
                      <w:rPr>
                        <w:rFonts w:hint="eastAsia"/>
                        <w:szCs w:val="21"/>
                      </w:rPr>
                      <w:t>天津市</w:t>
                    </w:r>
                  </w:p>
                </w:tc>
                <w:tc>
                  <w:tcPr>
                    <w:tcW w:w="612" w:type="pct"/>
                  </w:tcPr>
                  <w:p w:rsidR="00302BC9" w:rsidRPr="008C2320" w:rsidRDefault="00302BC9" w:rsidP="00302BC9">
                    <w:pPr>
                      <w:rPr>
                        <w:szCs w:val="21"/>
                      </w:rPr>
                    </w:pPr>
                    <w:r w:rsidRPr="008C2320">
                      <w:rPr>
                        <w:rFonts w:hint="eastAsia"/>
                        <w:szCs w:val="21"/>
                      </w:rPr>
                      <w:t>天津市</w:t>
                    </w:r>
                  </w:p>
                </w:tc>
                <w:tc>
                  <w:tcPr>
                    <w:tcW w:w="630" w:type="pct"/>
                  </w:tcPr>
                  <w:p w:rsidR="00302BC9" w:rsidRPr="008C2320" w:rsidRDefault="00302BC9" w:rsidP="00302BC9">
                    <w:pPr>
                      <w:rPr>
                        <w:szCs w:val="21"/>
                      </w:rPr>
                    </w:pPr>
                    <w:r w:rsidRPr="008C2320">
                      <w:rPr>
                        <w:rFonts w:hint="eastAsia"/>
                        <w:szCs w:val="21"/>
                      </w:rPr>
                      <w:t>计算机软</w:t>
                    </w:r>
                    <w:r w:rsidRPr="008C2320">
                      <w:rPr>
                        <w:szCs w:val="21"/>
                      </w:rPr>
                      <w:t>/硬件、技术咨询及电子行业</w:t>
                    </w:r>
                    <w:r w:rsidRPr="008C2320">
                      <w:rPr>
                        <w:szCs w:val="21"/>
                      </w:rPr>
                      <w:tab/>
                    </w:r>
                  </w:p>
                </w:tc>
                <w:tc>
                  <w:tcPr>
                    <w:tcW w:w="621" w:type="pct"/>
                  </w:tcPr>
                  <w:p w:rsidR="00302BC9" w:rsidRPr="008C2320" w:rsidRDefault="00302BC9" w:rsidP="00302BC9">
                    <w:pPr>
                      <w:jc w:val="right"/>
                      <w:rPr>
                        <w:szCs w:val="21"/>
                      </w:rPr>
                    </w:pPr>
                    <w:r w:rsidRPr="008C2320">
                      <w:rPr>
                        <w:szCs w:val="21"/>
                      </w:rPr>
                      <w:t>90</w:t>
                    </w:r>
                  </w:p>
                </w:tc>
                <w:tc>
                  <w:tcPr>
                    <w:tcW w:w="622" w:type="pct"/>
                  </w:tcPr>
                  <w:p w:rsidR="00302BC9" w:rsidRPr="008C2320" w:rsidRDefault="00302BC9" w:rsidP="00302BC9">
                    <w:pPr>
                      <w:jc w:val="right"/>
                      <w:rPr>
                        <w:szCs w:val="21"/>
                      </w:rPr>
                    </w:pPr>
                    <w:r w:rsidRPr="008C2320">
                      <w:rPr>
                        <w:szCs w:val="21"/>
                      </w:rPr>
                      <w:t>10</w:t>
                    </w:r>
                  </w:p>
                </w:tc>
                <w:tc>
                  <w:tcPr>
                    <w:tcW w:w="687" w:type="pct"/>
                  </w:tcPr>
                  <w:p w:rsidR="00302BC9" w:rsidRPr="008C2320" w:rsidRDefault="00302BC9" w:rsidP="00302BC9">
                    <w:pPr>
                      <w:rPr>
                        <w:szCs w:val="21"/>
                      </w:rPr>
                    </w:pPr>
                    <w:r w:rsidRPr="008C2320">
                      <w:rPr>
                        <w:rFonts w:hint="eastAsia"/>
                        <w:szCs w:val="21"/>
                      </w:rPr>
                      <w:t>技术开发、咨询、服务、转让、培训</w:t>
                    </w:r>
                    <w:r w:rsidRPr="008C2320">
                      <w:rPr>
                        <w:szCs w:val="21"/>
                      </w:rPr>
                      <w:t>(电子与信息、机电一体化</w:t>
                    </w:r>
                    <w:r w:rsidRPr="008C2320">
                      <w:rPr>
                        <w:szCs w:val="21"/>
                      </w:rPr>
                      <w:lastRenderedPageBreak/>
                      <w:t>的技术及产品)；计算机软件、文化办公用机械批发兼零售</w:t>
                    </w:r>
                    <w:r w:rsidRPr="008C2320">
                      <w:rPr>
                        <w:szCs w:val="21"/>
                      </w:rPr>
                      <w:tab/>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227071487"/>
              <w:lock w:val="sdtLocked"/>
            </w:sdtPr>
            <w:sdtContent>
              <w:tr w:rsidR="00302BC9" w:rsidTr="00302BC9">
                <w:tc>
                  <w:tcPr>
                    <w:tcW w:w="1207" w:type="pct"/>
                  </w:tcPr>
                  <w:p w:rsidR="00302BC9" w:rsidRPr="008C2320" w:rsidRDefault="00302BC9" w:rsidP="00302BC9">
                    <w:pPr>
                      <w:rPr>
                        <w:rFonts w:cstheme="minorBidi"/>
                        <w:kern w:val="2"/>
                        <w:szCs w:val="21"/>
                      </w:rPr>
                    </w:pPr>
                    <w:r w:rsidRPr="008C2320">
                      <w:rPr>
                        <w:rFonts w:cstheme="minorBidi" w:hint="eastAsia"/>
                        <w:kern w:val="2"/>
                        <w:szCs w:val="21"/>
                      </w:rPr>
                      <w:t>安徽用友软件有限公司</w:t>
                    </w:r>
                    <w:r w:rsidRPr="008C2320">
                      <w:rPr>
                        <w:rFonts w:cstheme="minorBidi"/>
                        <w:kern w:val="2"/>
                        <w:szCs w:val="21"/>
                      </w:rPr>
                      <w:t>(以下简称“安徽用友”)</w:t>
                    </w:r>
                  </w:p>
                </w:tc>
                <w:tc>
                  <w:tcPr>
                    <w:tcW w:w="621" w:type="pct"/>
                  </w:tcPr>
                  <w:p w:rsidR="00302BC9" w:rsidRPr="008C2320" w:rsidRDefault="00302BC9" w:rsidP="00302BC9">
                    <w:pPr>
                      <w:rPr>
                        <w:szCs w:val="21"/>
                      </w:rPr>
                    </w:pPr>
                    <w:r w:rsidRPr="008C2320">
                      <w:rPr>
                        <w:rFonts w:cs="Arial"/>
                      </w:rPr>
                      <w:t>合肥市</w:t>
                    </w:r>
                  </w:p>
                </w:tc>
                <w:tc>
                  <w:tcPr>
                    <w:tcW w:w="612" w:type="pct"/>
                  </w:tcPr>
                  <w:p w:rsidR="00302BC9" w:rsidRPr="008C2320" w:rsidRDefault="00302BC9" w:rsidP="00302BC9">
                    <w:pPr>
                      <w:rPr>
                        <w:szCs w:val="21"/>
                      </w:rPr>
                    </w:pPr>
                    <w:r w:rsidRPr="008C2320">
                      <w:rPr>
                        <w:rFonts w:cs="Arial"/>
                      </w:rPr>
                      <w:t>合肥市</w:t>
                    </w:r>
                  </w:p>
                </w:tc>
                <w:tc>
                  <w:tcPr>
                    <w:tcW w:w="630" w:type="pct"/>
                  </w:tcPr>
                  <w:p w:rsidR="00302BC9" w:rsidRPr="008C2320" w:rsidRDefault="00302BC9" w:rsidP="00302BC9">
                    <w:pPr>
                      <w:kinsoku w:val="0"/>
                      <w:overflowPunct w:val="0"/>
                      <w:autoSpaceDE w:val="0"/>
                      <w:autoSpaceDN w:val="0"/>
                      <w:adjustRightInd w:val="0"/>
                      <w:snapToGrid w:val="0"/>
                      <w:jc w:val="center"/>
                      <w:rPr>
                        <w:rFonts w:cs="Arial"/>
                      </w:rPr>
                    </w:pPr>
                    <w:r w:rsidRPr="008C2320">
                      <w:rPr>
                        <w:rFonts w:cs="Arial"/>
                      </w:rPr>
                      <w:t>计算机软/硬件、技术咨询及电子</w:t>
                    </w:r>
                  </w:p>
                  <w:p w:rsidR="00302BC9" w:rsidRPr="008C2320" w:rsidRDefault="00302BC9" w:rsidP="00302BC9">
                    <w:pPr>
                      <w:rPr>
                        <w:szCs w:val="21"/>
                      </w:rPr>
                    </w:pPr>
                    <w:r w:rsidRPr="008C2320">
                      <w:rPr>
                        <w:rFonts w:cs="Arial"/>
                      </w:rPr>
                      <w:t>行业</w:t>
                    </w:r>
                  </w:p>
                </w:tc>
                <w:tc>
                  <w:tcPr>
                    <w:tcW w:w="621" w:type="pct"/>
                  </w:tcPr>
                  <w:p w:rsidR="00302BC9" w:rsidRPr="008C2320" w:rsidRDefault="00302BC9" w:rsidP="00302BC9">
                    <w:pPr>
                      <w:jc w:val="right"/>
                      <w:rPr>
                        <w:szCs w:val="21"/>
                      </w:rPr>
                    </w:pPr>
                    <w:r w:rsidRPr="008C2320">
                      <w:t>82</w:t>
                    </w:r>
                  </w:p>
                </w:tc>
                <w:tc>
                  <w:tcPr>
                    <w:tcW w:w="622" w:type="pct"/>
                  </w:tcPr>
                  <w:p w:rsidR="00302BC9" w:rsidRPr="008C2320" w:rsidRDefault="00302BC9" w:rsidP="00302BC9">
                    <w:pPr>
                      <w:jc w:val="right"/>
                      <w:rPr>
                        <w:szCs w:val="21"/>
                      </w:rPr>
                    </w:pPr>
                    <w:r>
                      <w:rPr>
                        <w:szCs w:val="21"/>
                      </w:rPr>
                      <w:t>18</w:t>
                    </w:r>
                  </w:p>
                </w:tc>
                <w:tc>
                  <w:tcPr>
                    <w:tcW w:w="687" w:type="pct"/>
                  </w:tcPr>
                  <w:p w:rsidR="00302BC9" w:rsidRPr="008C2320" w:rsidRDefault="00302BC9" w:rsidP="00302BC9">
                    <w:pPr>
                      <w:rPr>
                        <w:szCs w:val="21"/>
                      </w:rPr>
                    </w:pPr>
                    <w:r w:rsidRPr="008C2320">
                      <w:rPr>
                        <w:rFonts w:hint="eastAsia"/>
                        <w:szCs w:val="21"/>
                      </w:rPr>
                      <w:t>会计电算化、电子化推广与技术服务、计算机软件开发及网络工程施工、电子计算机及软件销售、培训</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1480762965"/>
              <w:lock w:val="sdtLocked"/>
            </w:sdtPr>
            <w:sdtContent>
              <w:tr w:rsidR="00302BC9" w:rsidTr="00302BC9">
                <w:tc>
                  <w:tcPr>
                    <w:tcW w:w="1207" w:type="pct"/>
                  </w:tcPr>
                  <w:p w:rsidR="00302BC9" w:rsidRPr="008C2320" w:rsidRDefault="00302BC9" w:rsidP="00302BC9">
                    <w:pPr>
                      <w:rPr>
                        <w:rFonts w:cstheme="minorBidi"/>
                        <w:kern w:val="2"/>
                        <w:szCs w:val="21"/>
                      </w:rPr>
                    </w:pPr>
                    <w:r w:rsidRPr="008C2320">
                      <w:rPr>
                        <w:rFonts w:cstheme="minorBidi"/>
                        <w:kern w:val="2"/>
                        <w:szCs w:val="21"/>
                      </w:rPr>
                      <w:t>YONY</w:t>
                    </w:r>
                    <w:r>
                      <w:rPr>
                        <w:rFonts w:cstheme="minorBidi"/>
                        <w:kern w:val="2"/>
                        <w:szCs w:val="21"/>
                      </w:rPr>
                      <w:t>OU INTERNATIONAL HOLDINGS.,LTD.</w:t>
                    </w:r>
                    <w:r w:rsidRPr="008C2320">
                      <w:rPr>
                        <w:rFonts w:cstheme="minorBidi"/>
                        <w:kern w:val="2"/>
                        <w:szCs w:val="21"/>
                      </w:rPr>
                      <w:t>(以下简称“YONYOU INTERNATIONAL”)</w:t>
                    </w:r>
                  </w:p>
                </w:tc>
                <w:tc>
                  <w:tcPr>
                    <w:tcW w:w="621" w:type="pct"/>
                  </w:tcPr>
                  <w:p w:rsidR="00302BC9" w:rsidRPr="008C2320" w:rsidRDefault="00302BC9" w:rsidP="00302BC9">
                    <w:pPr>
                      <w:rPr>
                        <w:szCs w:val="21"/>
                      </w:rPr>
                    </w:pPr>
                    <w:r w:rsidRPr="008C2320">
                      <w:rPr>
                        <w:rFonts w:hint="eastAsia"/>
                        <w:szCs w:val="21"/>
                      </w:rPr>
                      <w:t>英属维尔京群岛</w:t>
                    </w:r>
                  </w:p>
                </w:tc>
                <w:tc>
                  <w:tcPr>
                    <w:tcW w:w="612" w:type="pct"/>
                  </w:tcPr>
                  <w:p w:rsidR="00302BC9" w:rsidRPr="008C2320" w:rsidRDefault="00302BC9" w:rsidP="00302BC9">
                    <w:pPr>
                      <w:rPr>
                        <w:szCs w:val="21"/>
                      </w:rPr>
                    </w:pPr>
                    <w:r w:rsidRPr="008C2320">
                      <w:rPr>
                        <w:rFonts w:hint="eastAsia"/>
                        <w:szCs w:val="21"/>
                      </w:rPr>
                      <w:t>英属维尔京群岛</w:t>
                    </w:r>
                  </w:p>
                </w:tc>
                <w:tc>
                  <w:tcPr>
                    <w:tcW w:w="630" w:type="pct"/>
                  </w:tcPr>
                  <w:p w:rsidR="00302BC9" w:rsidRPr="008C2320" w:rsidRDefault="00302BC9" w:rsidP="00302BC9">
                    <w:pPr>
                      <w:rPr>
                        <w:szCs w:val="21"/>
                      </w:rPr>
                    </w:pPr>
                    <w:r w:rsidRPr="008C2320">
                      <w:rPr>
                        <w:rFonts w:hint="eastAsia"/>
                        <w:szCs w:val="21"/>
                      </w:rPr>
                      <w:t>投资控股、计算机软件开发及</w:t>
                    </w:r>
                  </w:p>
                  <w:p w:rsidR="00302BC9" w:rsidRPr="008C2320" w:rsidRDefault="00302BC9" w:rsidP="00302BC9">
                    <w:pPr>
                      <w:rPr>
                        <w:szCs w:val="21"/>
                      </w:rPr>
                    </w:pPr>
                    <w:r w:rsidRPr="008C2320">
                      <w:rPr>
                        <w:rFonts w:hint="eastAsia"/>
                        <w:szCs w:val="21"/>
                      </w:rPr>
                      <w:t>技术咨询</w:t>
                    </w:r>
                  </w:p>
                </w:tc>
                <w:tc>
                  <w:tcPr>
                    <w:tcW w:w="621" w:type="pct"/>
                  </w:tcPr>
                  <w:p w:rsidR="00302BC9" w:rsidRPr="008C2320" w:rsidRDefault="00302BC9" w:rsidP="00302BC9">
                    <w:pPr>
                      <w:jc w:val="right"/>
                      <w:rPr>
                        <w:szCs w:val="21"/>
                      </w:rPr>
                    </w:pPr>
                    <w:r w:rsidRPr="008C2320">
                      <w:rPr>
                        <w:szCs w:val="21"/>
                      </w:rPr>
                      <w:t>100</w:t>
                    </w:r>
                  </w:p>
                </w:tc>
                <w:tc>
                  <w:tcPr>
                    <w:tcW w:w="622" w:type="pct"/>
                  </w:tcPr>
                  <w:p w:rsidR="00302BC9" w:rsidRPr="008C2320" w:rsidRDefault="00302BC9" w:rsidP="00302BC9">
                    <w:pPr>
                      <w:jc w:val="right"/>
                      <w:rPr>
                        <w:szCs w:val="21"/>
                      </w:rPr>
                    </w:pPr>
                  </w:p>
                </w:tc>
                <w:tc>
                  <w:tcPr>
                    <w:tcW w:w="687" w:type="pct"/>
                  </w:tcPr>
                  <w:p w:rsidR="00302BC9" w:rsidRPr="008C2320" w:rsidRDefault="00302BC9" w:rsidP="00302BC9">
                    <w:pPr>
                      <w:rPr>
                        <w:szCs w:val="21"/>
                      </w:rPr>
                    </w:pPr>
                    <w:r w:rsidRPr="008C2320">
                      <w:rPr>
                        <w:rFonts w:hint="eastAsia"/>
                        <w:szCs w:val="21"/>
                      </w:rPr>
                      <w:t>投资控股、计算机软件开发及技术咨询</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1051663777"/>
              <w:lock w:val="sdtLocked"/>
            </w:sdtPr>
            <w:sdtContent>
              <w:tr w:rsidR="00302BC9" w:rsidTr="00302BC9">
                <w:tc>
                  <w:tcPr>
                    <w:tcW w:w="1207" w:type="pct"/>
                  </w:tcPr>
                  <w:p w:rsidR="00302BC9" w:rsidRPr="008C2320" w:rsidRDefault="00302BC9" w:rsidP="00302BC9">
                    <w:pPr>
                      <w:rPr>
                        <w:rFonts w:cstheme="minorBidi"/>
                        <w:kern w:val="2"/>
                        <w:szCs w:val="21"/>
                      </w:rPr>
                    </w:pPr>
                    <w:r w:rsidRPr="008C2320">
                      <w:rPr>
                        <w:rFonts w:cstheme="minorBidi" w:hint="eastAsia"/>
                        <w:kern w:val="2"/>
                        <w:szCs w:val="21"/>
                      </w:rPr>
                      <w:t>内蒙古用友软件技术有限公司</w:t>
                    </w:r>
                    <w:r w:rsidRPr="008C2320">
                      <w:rPr>
                        <w:rFonts w:cstheme="minorBidi"/>
                        <w:kern w:val="2"/>
                        <w:szCs w:val="21"/>
                      </w:rPr>
                      <w:t>(以下简称“内蒙古用友”)</w:t>
                    </w:r>
                  </w:p>
                </w:tc>
                <w:tc>
                  <w:tcPr>
                    <w:tcW w:w="621" w:type="pct"/>
                  </w:tcPr>
                  <w:p w:rsidR="00302BC9" w:rsidRPr="008C2320" w:rsidRDefault="00302BC9" w:rsidP="00302BC9">
                    <w:pPr>
                      <w:rPr>
                        <w:szCs w:val="21"/>
                      </w:rPr>
                    </w:pPr>
                    <w:r w:rsidRPr="008C2320">
                      <w:rPr>
                        <w:rFonts w:hint="eastAsia"/>
                        <w:szCs w:val="21"/>
                      </w:rPr>
                      <w:t>呼和浩特市</w:t>
                    </w:r>
                  </w:p>
                </w:tc>
                <w:tc>
                  <w:tcPr>
                    <w:tcW w:w="612" w:type="pct"/>
                  </w:tcPr>
                  <w:p w:rsidR="00302BC9" w:rsidRPr="008C2320" w:rsidRDefault="00302BC9" w:rsidP="00302BC9">
                    <w:pPr>
                      <w:rPr>
                        <w:szCs w:val="21"/>
                      </w:rPr>
                    </w:pPr>
                    <w:r w:rsidRPr="008C2320">
                      <w:rPr>
                        <w:rFonts w:hint="eastAsia"/>
                        <w:szCs w:val="21"/>
                      </w:rPr>
                      <w:t>呼和浩特市</w:t>
                    </w:r>
                  </w:p>
                </w:tc>
                <w:tc>
                  <w:tcPr>
                    <w:tcW w:w="630" w:type="pct"/>
                  </w:tcPr>
                  <w:p w:rsidR="00302BC9" w:rsidRPr="008C2320" w:rsidRDefault="00302BC9" w:rsidP="00302BC9">
                    <w:pPr>
                      <w:rPr>
                        <w:szCs w:val="21"/>
                      </w:rPr>
                    </w:pPr>
                    <w:r w:rsidRPr="008C2320">
                      <w:rPr>
                        <w:szCs w:val="21"/>
                      </w:rPr>
                      <w:tab/>
                      <w:t>计算机软/硬件/咨询行业</w:t>
                    </w:r>
                  </w:p>
                </w:tc>
                <w:tc>
                  <w:tcPr>
                    <w:tcW w:w="621" w:type="pct"/>
                  </w:tcPr>
                  <w:p w:rsidR="00302BC9" w:rsidRPr="008C2320" w:rsidRDefault="00302BC9" w:rsidP="00302BC9">
                    <w:pPr>
                      <w:jc w:val="right"/>
                      <w:rPr>
                        <w:szCs w:val="21"/>
                      </w:rPr>
                    </w:pPr>
                    <w:r w:rsidRPr="008C2320">
                      <w:rPr>
                        <w:szCs w:val="21"/>
                      </w:rPr>
                      <w:t>90</w:t>
                    </w:r>
                  </w:p>
                </w:tc>
                <w:tc>
                  <w:tcPr>
                    <w:tcW w:w="622" w:type="pct"/>
                  </w:tcPr>
                  <w:p w:rsidR="00302BC9" w:rsidRPr="008C2320" w:rsidRDefault="00302BC9" w:rsidP="00302BC9">
                    <w:pPr>
                      <w:jc w:val="right"/>
                      <w:rPr>
                        <w:szCs w:val="21"/>
                      </w:rPr>
                    </w:pPr>
                    <w:r w:rsidRPr="008C2320">
                      <w:rPr>
                        <w:rFonts w:hint="eastAsia"/>
                        <w:szCs w:val="21"/>
                      </w:rPr>
                      <w:t>1</w:t>
                    </w:r>
                    <w:r w:rsidRPr="008C2320">
                      <w:rPr>
                        <w:szCs w:val="21"/>
                      </w:rPr>
                      <w:t>0</w:t>
                    </w:r>
                  </w:p>
                </w:tc>
                <w:tc>
                  <w:tcPr>
                    <w:tcW w:w="687" w:type="pct"/>
                  </w:tcPr>
                  <w:p w:rsidR="00302BC9" w:rsidRPr="008C2320" w:rsidRDefault="00302BC9" w:rsidP="00302BC9">
                    <w:pPr>
                      <w:rPr>
                        <w:szCs w:val="21"/>
                      </w:rPr>
                    </w:pPr>
                    <w:r w:rsidRPr="008C2320">
                      <w:rPr>
                        <w:rFonts w:hint="eastAsia"/>
                        <w:szCs w:val="21"/>
                      </w:rPr>
                      <w:t>软件及辅助设备销售；企业管理咨询</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209424585"/>
              <w:lock w:val="sdtLocked"/>
            </w:sdtPr>
            <w:sdtContent>
              <w:tr w:rsidR="00302BC9" w:rsidTr="00302BC9">
                <w:tc>
                  <w:tcPr>
                    <w:tcW w:w="1207" w:type="pct"/>
                  </w:tcPr>
                  <w:p w:rsidR="00302BC9" w:rsidRPr="008C2320" w:rsidRDefault="00302BC9" w:rsidP="00302BC9">
                    <w:pPr>
                      <w:rPr>
                        <w:szCs w:val="21"/>
                      </w:rPr>
                    </w:pPr>
                    <w:r w:rsidRPr="008C2320">
                      <w:rPr>
                        <w:rFonts w:cstheme="minorBidi" w:hint="eastAsia"/>
                        <w:kern w:val="2"/>
                        <w:szCs w:val="21"/>
                      </w:rPr>
                      <w:t>用友艾福斯</w:t>
                    </w:r>
                  </w:p>
                </w:tc>
                <w:tc>
                  <w:tcPr>
                    <w:tcW w:w="621" w:type="pct"/>
                  </w:tcPr>
                  <w:p w:rsidR="00302BC9" w:rsidRPr="008C2320" w:rsidRDefault="00302BC9" w:rsidP="00302BC9">
                    <w:pPr>
                      <w:rPr>
                        <w:szCs w:val="21"/>
                      </w:rPr>
                    </w:pPr>
                    <w:r w:rsidRPr="008C2320">
                      <w:rPr>
                        <w:rFonts w:hint="eastAsia"/>
                        <w:szCs w:val="21"/>
                      </w:rPr>
                      <w:t>北京市</w:t>
                    </w:r>
                  </w:p>
                </w:tc>
                <w:tc>
                  <w:tcPr>
                    <w:tcW w:w="612" w:type="pct"/>
                  </w:tcPr>
                  <w:p w:rsidR="00302BC9" w:rsidRPr="008C2320" w:rsidRDefault="00302BC9" w:rsidP="00302BC9">
                    <w:pPr>
                      <w:rPr>
                        <w:szCs w:val="21"/>
                      </w:rPr>
                    </w:pPr>
                    <w:r w:rsidRPr="008C2320">
                      <w:rPr>
                        <w:rFonts w:cs="Arial"/>
                      </w:rPr>
                      <w:t>北京市</w:t>
                    </w:r>
                  </w:p>
                </w:tc>
                <w:tc>
                  <w:tcPr>
                    <w:tcW w:w="630" w:type="pct"/>
                  </w:tcPr>
                  <w:p w:rsidR="00302BC9" w:rsidRPr="008C2320" w:rsidRDefault="00302BC9" w:rsidP="00302BC9">
                    <w:pPr>
                      <w:rPr>
                        <w:szCs w:val="21"/>
                      </w:rPr>
                    </w:pPr>
                    <w:r w:rsidRPr="008C2320">
                      <w:rPr>
                        <w:rFonts w:hint="eastAsia"/>
                        <w:szCs w:val="21"/>
                      </w:rPr>
                      <w:t>计算机软</w:t>
                    </w:r>
                    <w:r w:rsidRPr="008C2320">
                      <w:rPr>
                        <w:szCs w:val="21"/>
                      </w:rPr>
                      <w:t>/硬件、技术咨询及电子行业</w:t>
                    </w:r>
                  </w:p>
                </w:tc>
                <w:tc>
                  <w:tcPr>
                    <w:tcW w:w="621" w:type="pct"/>
                  </w:tcPr>
                  <w:p w:rsidR="00302BC9" w:rsidRPr="008C2320" w:rsidRDefault="00302BC9" w:rsidP="00302BC9">
                    <w:pPr>
                      <w:jc w:val="right"/>
                      <w:rPr>
                        <w:szCs w:val="21"/>
                      </w:rPr>
                    </w:pPr>
                    <w:r w:rsidRPr="008C2320">
                      <w:rPr>
                        <w:rFonts w:cs="Arial"/>
                      </w:rPr>
                      <w:t>100</w:t>
                    </w:r>
                  </w:p>
                </w:tc>
                <w:tc>
                  <w:tcPr>
                    <w:tcW w:w="622" w:type="pct"/>
                  </w:tcPr>
                  <w:p w:rsidR="00302BC9" w:rsidRPr="008C2320" w:rsidRDefault="00302BC9" w:rsidP="00302BC9">
                    <w:pPr>
                      <w:jc w:val="right"/>
                      <w:rPr>
                        <w:szCs w:val="21"/>
                      </w:rPr>
                    </w:pPr>
                  </w:p>
                </w:tc>
                <w:tc>
                  <w:tcPr>
                    <w:tcW w:w="687" w:type="pct"/>
                  </w:tcPr>
                  <w:p w:rsidR="00302BC9" w:rsidRPr="008C2320" w:rsidRDefault="00302BC9" w:rsidP="00302BC9">
                    <w:pPr>
                      <w:rPr>
                        <w:szCs w:val="21"/>
                      </w:rPr>
                    </w:pPr>
                    <w:r w:rsidRPr="008C2320">
                      <w:rPr>
                        <w:szCs w:val="21"/>
                      </w:rPr>
                      <w:tab/>
                      <w:t>应用软件服务、基础软件服务、技术开发、技术咨询；销售自行开发后的产品</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615912629"/>
              <w:lock w:val="sdtLocked"/>
            </w:sdtPr>
            <w:sdtContent>
              <w:tr w:rsidR="00302BC9" w:rsidTr="00302BC9">
                <w:tc>
                  <w:tcPr>
                    <w:tcW w:w="1207" w:type="pct"/>
                  </w:tcPr>
                  <w:p w:rsidR="00302BC9" w:rsidRPr="008C2320" w:rsidRDefault="00302BC9" w:rsidP="00302BC9">
                    <w:pPr>
                      <w:rPr>
                        <w:szCs w:val="21"/>
                      </w:rPr>
                    </w:pPr>
                    <w:r w:rsidRPr="008C2320">
                      <w:rPr>
                        <w:rFonts w:cstheme="minorBidi" w:hint="eastAsia"/>
                        <w:kern w:val="2"/>
                        <w:szCs w:val="21"/>
                      </w:rPr>
                      <w:t>用友政务</w:t>
                    </w:r>
                  </w:p>
                </w:tc>
                <w:tc>
                  <w:tcPr>
                    <w:tcW w:w="621" w:type="pct"/>
                  </w:tcPr>
                  <w:p w:rsidR="00302BC9" w:rsidRPr="008C2320" w:rsidRDefault="00302BC9" w:rsidP="00302BC9">
                    <w:pPr>
                      <w:rPr>
                        <w:szCs w:val="21"/>
                      </w:rPr>
                    </w:pPr>
                    <w:r w:rsidRPr="008C2320">
                      <w:rPr>
                        <w:rFonts w:hint="eastAsia"/>
                        <w:szCs w:val="21"/>
                      </w:rPr>
                      <w:t>北京市</w:t>
                    </w:r>
                  </w:p>
                </w:tc>
                <w:tc>
                  <w:tcPr>
                    <w:tcW w:w="612" w:type="pct"/>
                  </w:tcPr>
                  <w:p w:rsidR="00302BC9" w:rsidRPr="008C2320" w:rsidRDefault="00302BC9" w:rsidP="00302BC9">
                    <w:pPr>
                      <w:rPr>
                        <w:szCs w:val="21"/>
                      </w:rPr>
                    </w:pPr>
                    <w:r w:rsidRPr="008C2320">
                      <w:rPr>
                        <w:rFonts w:hint="eastAsia"/>
                        <w:szCs w:val="21"/>
                      </w:rPr>
                      <w:t>北京市</w:t>
                    </w:r>
                  </w:p>
                </w:tc>
                <w:tc>
                  <w:tcPr>
                    <w:tcW w:w="630" w:type="pct"/>
                  </w:tcPr>
                  <w:p w:rsidR="00302BC9" w:rsidRPr="008C2320" w:rsidRDefault="00302BC9" w:rsidP="00302BC9">
                    <w:pPr>
                      <w:rPr>
                        <w:szCs w:val="21"/>
                      </w:rPr>
                    </w:pPr>
                    <w:r w:rsidRPr="008C2320">
                      <w:rPr>
                        <w:rFonts w:hint="eastAsia"/>
                        <w:szCs w:val="21"/>
                      </w:rPr>
                      <w:t>计算机软</w:t>
                    </w:r>
                    <w:r w:rsidRPr="008C2320">
                      <w:rPr>
                        <w:szCs w:val="21"/>
                      </w:rPr>
                      <w:t>/硬件、技术咨询及电子行业</w:t>
                    </w:r>
                  </w:p>
                </w:tc>
                <w:tc>
                  <w:tcPr>
                    <w:tcW w:w="621" w:type="pct"/>
                  </w:tcPr>
                  <w:p w:rsidR="00302BC9" w:rsidRPr="008C2320" w:rsidRDefault="00302BC9" w:rsidP="00302BC9">
                    <w:pPr>
                      <w:jc w:val="right"/>
                      <w:rPr>
                        <w:szCs w:val="21"/>
                      </w:rPr>
                    </w:pPr>
                    <w:r w:rsidRPr="008C2320">
                      <w:rPr>
                        <w:szCs w:val="21"/>
                      </w:rPr>
                      <w:t>77.49</w:t>
                    </w:r>
                    <w:r w:rsidRPr="008C2320">
                      <w:rPr>
                        <w:szCs w:val="21"/>
                      </w:rPr>
                      <w:tab/>
                    </w:r>
                  </w:p>
                </w:tc>
                <w:tc>
                  <w:tcPr>
                    <w:tcW w:w="622" w:type="pct"/>
                  </w:tcPr>
                  <w:p w:rsidR="00302BC9" w:rsidRPr="008C2320" w:rsidRDefault="00302BC9" w:rsidP="00302BC9">
                    <w:pPr>
                      <w:jc w:val="right"/>
                      <w:rPr>
                        <w:szCs w:val="21"/>
                      </w:rPr>
                    </w:pPr>
                  </w:p>
                </w:tc>
                <w:tc>
                  <w:tcPr>
                    <w:tcW w:w="687" w:type="pct"/>
                  </w:tcPr>
                  <w:p w:rsidR="00302BC9" w:rsidRPr="008C2320" w:rsidRDefault="00302BC9" w:rsidP="00302BC9">
                    <w:pPr>
                      <w:rPr>
                        <w:szCs w:val="21"/>
                      </w:rPr>
                    </w:pPr>
                    <w:r w:rsidRPr="008C2320">
                      <w:rPr>
                        <w:rFonts w:hint="eastAsia"/>
                        <w:szCs w:val="21"/>
                      </w:rPr>
                      <w:t>基础软件服务；应用软件服务；销售计算机、软件及辅助设备、通讯设备、电子产品、家用电器、</w:t>
                    </w:r>
                    <w:r w:rsidRPr="008C2320">
                      <w:rPr>
                        <w:rFonts w:hint="eastAsia"/>
                        <w:szCs w:val="21"/>
                      </w:rPr>
                      <w:lastRenderedPageBreak/>
                      <w:t>办公用品；电子计算机软件、硬件及外部设备的技术开发、技术咨询、技术培训、技术转让、技术服务；数据处理（数据处理中的银行卡中心、</w:t>
                    </w:r>
                    <w:r w:rsidRPr="008C2320">
                      <w:rPr>
                        <w:szCs w:val="21"/>
                      </w:rPr>
                      <w:t>PUE值在1.5以上的云计算数据中心除外）；会议服务；设计、制作、代理、发布广告；销售经国家密码管理局审批并通过指定检测机构产品质量检测的商用密码产品（有效期至2020年07月30日）。</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146127140"/>
              <w:lock w:val="sdtLocked"/>
            </w:sdtPr>
            <w:sdtContent>
              <w:tr w:rsidR="00302BC9" w:rsidTr="00302BC9">
                <w:tc>
                  <w:tcPr>
                    <w:tcW w:w="1207" w:type="pct"/>
                  </w:tcPr>
                  <w:p w:rsidR="00302BC9" w:rsidRPr="008C2320" w:rsidRDefault="00302BC9" w:rsidP="00302BC9">
                    <w:pPr>
                      <w:rPr>
                        <w:szCs w:val="21"/>
                      </w:rPr>
                    </w:pPr>
                    <w:r w:rsidRPr="008C2320">
                      <w:rPr>
                        <w:rFonts w:cstheme="minorBidi" w:hint="eastAsia"/>
                        <w:kern w:val="2"/>
                        <w:szCs w:val="21"/>
                      </w:rPr>
                      <w:t>用友金融</w:t>
                    </w:r>
                  </w:p>
                </w:tc>
                <w:tc>
                  <w:tcPr>
                    <w:tcW w:w="621" w:type="pct"/>
                  </w:tcPr>
                  <w:p w:rsidR="00302BC9" w:rsidRPr="008C2320" w:rsidRDefault="00302BC9" w:rsidP="00302BC9">
                    <w:pPr>
                      <w:rPr>
                        <w:szCs w:val="21"/>
                      </w:rPr>
                    </w:pPr>
                    <w:r w:rsidRPr="008C2320">
                      <w:rPr>
                        <w:rFonts w:hint="eastAsia"/>
                        <w:szCs w:val="21"/>
                      </w:rPr>
                      <w:t>北京市</w:t>
                    </w:r>
                  </w:p>
                </w:tc>
                <w:tc>
                  <w:tcPr>
                    <w:tcW w:w="612" w:type="pct"/>
                  </w:tcPr>
                  <w:p w:rsidR="00302BC9" w:rsidRPr="008C2320" w:rsidRDefault="00302BC9" w:rsidP="00302BC9">
                    <w:pPr>
                      <w:rPr>
                        <w:szCs w:val="21"/>
                      </w:rPr>
                    </w:pPr>
                    <w:r w:rsidRPr="008C2320">
                      <w:t>北京市</w:t>
                    </w:r>
                  </w:p>
                </w:tc>
                <w:tc>
                  <w:tcPr>
                    <w:tcW w:w="630" w:type="pct"/>
                  </w:tcPr>
                  <w:p w:rsidR="00302BC9" w:rsidRPr="008C2320" w:rsidRDefault="00302BC9" w:rsidP="00302BC9">
                    <w:pPr>
                      <w:rPr>
                        <w:szCs w:val="21"/>
                      </w:rPr>
                    </w:pPr>
                    <w:r w:rsidRPr="008C2320">
                      <w:t>计算机软/硬件/网络、技术咨询及电子行业</w:t>
                    </w:r>
                  </w:p>
                </w:tc>
                <w:tc>
                  <w:tcPr>
                    <w:tcW w:w="621" w:type="pct"/>
                  </w:tcPr>
                  <w:p w:rsidR="00302BC9" w:rsidRPr="008C2320" w:rsidRDefault="00302BC9" w:rsidP="00302BC9">
                    <w:pPr>
                      <w:jc w:val="right"/>
                      <w:rPr>
                        <w:szCs w:val="21"/>
                      </w:rPr>
                    </w:pPr>
                    <w:r w:rsidRPr="008C2320">
                      <w:rPr>
                        <w:rFonts w:cs="Arial"/>
                      </w:rPr>
                      <w:t>78.43</w:t>
                    </w:r>
                  </w:p>
                </w:tc>
                <w:tc>
                  <w:tcPr>
                    <w:tcW w:w="622" w:type="pct"/>
                  </w:tcPr>
                  <w:p w:rsidR="00302BC9" w:rsidRPr="008C2320" w:rsidRDefault="00302BC9" w:rsidP="00302BC9">
                    <w:pPr>
                      <w:jc w:val="right"/>
                      <w:rPr>
                        <w:szCs w:val="21"/>
                      </w:rPr>
                    </w:pPr>
                  </w:p>
                </w:tc>
                <w:tc>
                  <w:tcPr>
                    <w:tcW w:w="687" w:type="pct"/>
                  </w:tcPr>
                  <w:p w:rsidR="00302BC9" w:rsidRPr="008C2320" w:rsidRDefault="00302BC9" w:rsidP="00302BC9">
                    <w:pPr>
                      <w:rPr>
                        <w:szCs w:val="21"/>
                      </w:rPr>
                    </w:pPr>
                    <w:r w:rsidRPr="008C2320">
                      <w:rPr>
                        <w:rFonts w:cs="Arial"/>
                      </w:rPr>
                      <w:t>软件开发；金融软件及计算机网络技术开发；销售计算机软、硬件；计算机系统集成；技术咨询、技</w:t>
                    </w:r>
                    <w:r w:rsidRPr="008C2320">
                      <w:rPr>
                        <w:rFonts w:cs="Arial"/>
                      </w:rPr>
                      <w:lastRenderedPageBreak/>
                      <w:t>术服务、技术培训；货物进出口、技术进出口、代理进出口</w:t>
                    </w:r>
                    <w:r w:rsidRPr="008C2320">
                      <w:t> </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1252735516"/>
              <w:lock w:val="sdtLocked"/>
            </w:sdtPr>
            <w:sdtContent>
              <w:tr w:rsidR="00302BC9" w:rsidTr="00302BC9">
                <w:tc>
                  <w:tcPr>
                    <w:tcW w:w="1207" w:type="pct"/>
                  </w:tcPr>
                  <w:p w:rsidR="00302BC9" w:rsidRPr="008C2320" w:rsidRDefault="00302BC9" w:rsidP="00302BC9">
                    <w:pPr>
                      <w:autoSpaceDE w:val="0"/>
                      <w:autoSpaceDN w:val="0"/>
                      <w:textAlignment w:val="bottom"/>
                      <w:rPr>
                        <w:rFonts w:cs="Arial"/>
                      </w:rPr>
                    </w:pPr>
                    <w:r w:rsidRPr="008C2320">
                      <w:rPr>
                        <w:rFonts w:cs="Arial"/>
                      </w:rPr>
                      <w:t>浙江用友软件有限公司(以下简称“浙江用友”)</w:t>
                    </w:r>
                  </w:p>
                </w:tc>
                <w:tc>
                  <w:tcPr>
                    <w:tcW w:w="621" w:type="pct"/>
                  </w:tcPr>
                  <w:p w:rsidR="00302BC9" w:rsidRPr="008C2320" w:rsidRDefault="00302BC9" w:rsidP="00302BC9">
                    <w:pPr>
                      <w:rPr>
                        <w:szCs w:val="21"/>
                      </w:rPr>
                    </w:pPr>
                    <w:r w:rsidRPr="008C2320">
                      <w:rPr>
                        <w:rFonts w:cs="Arial"/>
                      </w:rPr>
                      <w:t>杭州市</w:t>
                    </w:r>
                  </w:p>
                </w:tc>
                <w:tc>
                  <w:tcPr>
                    <w:tcW w:w="612" w:type="pct"/>
                  </w:tcPr>
                  <w:p w:rsidR="00302BC9" w:rsidRPr="008C2320" w:rsidRDefault="00302BC9" w:rsidP="00302BC9">
                    <w:pPr>
                      <w:rPr>
                        <w:szCs w:val="21"/>
                      </w:rPr>
                    </w:pPr>
                    <w:r w:rsidRPr="008C2320">
                      <w:rPr>
                        <w:rFonts w:cs="Arial"/>
                      </w:rPr>
                      <w:t>杭州市</w:t>
                    </w:r>
                  </w:p>
                </w:tc>
                <w:tc>
                  <w:tcPr>
                    <w:tcW w:w="630" w:type="pct"/>
                  </w:tcPr>
                  <w:p w:rsidR="00302BC9" w:rsidRPr="008C2320" w:rsidRDefault="00302BC9" w:rsidP="00302BC9">
                    <w:pPr>
                      <w:rPr>
                        <w:szCs w:val="21"/>
                      </w:rPr>
                    </w:pPr>
                    <w:r w:rsidRPr="008C2320">
                      <w:rPr>
                        <w:rFonts w:hint="eastAsia"/>
                        <w:szCs w:val="21"/>
                      </w:rPr>
                      <w:t>计算机软</w:t>
                    </w:r>
                    <w:r w:rsidRPr="008C2320">
                      <w:rPr>
                        <w:szCs w:val="21"/>
                      </w:rPr>
                      <w:t>/硬件/网络、技术咨询及电子行业</w:t>
                    </w:r>
                  </w:p>
                </w:tc>
                <w:tc>
                  <w:tcPr>
                    <w:tcW w:w="621" w:type="pct"/>
                  </w:tcPr>
                  <w:p w:rsidR="00302BC9" w:rsidRPr="008C2320" w:rsidRDefault="00302BC9" w:rsidP="00302BC9">
                    <w:pPr>
                      <w:jc w:val="right"/>
                      <w:rPr>
                        <w:szCs w:val="21"/>
                      </w:rPr>
                    </w:pPr>
                    <w:r w:rsidRPr="008C2320">
                      <w:rPr>
                        <w:szCs w:val="21"/>
                      </w:rPr>
                      <w:t>90</w:t>
                    </w:r>
                  </w:p>
                </w:tc>
                <w:tc>
                  <w:tcPr>
                    <w:tcW w:w="622" w:type="pct"/>
                  </w:tcPr>
                  <w:p w:rsidR="00302BC9" w:rsidRPr="008C2320" w:rsidRDefault="00302BC9" w:rsidP="00302BC9">
                    <w:pPr>
                      <w:jc w:val="right"/>
                      <w:rPr>
                        <w:szCs w:val="21"/>
                      </w:rPr>
                    </w:pPr>
                    <w:r w:rsidRPr="008C2320">
                      <w:rPr>
                        <w:szCs w:val="21"/>
                      </w:rPr>
                      <w:t>10</w:t>
                    </w:r>
                  </w:p>
                </w:tc>
                <w:tc>
                  <w:tcPr>
                    <w:tcW w:w="687" w:type="pct"/>
                  </w:tcPr>
                  <w:p w:rsidR="00302BC9" w:rsidRPr="008C2320" w:rsidRDefault="00302BC9" w:rsidP="00302BC9">
                    <w:pPr>
                      <w:rPr>
                        <w:szCs w:val="21"/>
                      </w:rPr>
                    </w:pPr>
                    <w:r w:rsidRPr="008C2320">
                      <w:rPr>
                        <w:rFonts w:hint="eastAsia"/>
                        <w:szCs w:val="21"/>
                      </w:rPr>
                      <w:t>技术开发、技术咨询、技术服务、技术培训、成果转让；计算机软件、硬件及外部设备；批发、零售；电子计算机软、硬件及外部设备，打印纸，计算机耗材；企业管理咨询</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855544156"/>
              <w:lock w:val="sdtLocked"/>
            </w:sdtPr>
            <w:sdtContent>
              <w:tr w:rsidR="00302BC9" w:rsidTr="00302BC9">
                <w:tc>
                  <w:tcPr>
                    <w:tcW w:w="1207" w:type="pct"/>
                  </w:tcPr>
                  <w:p w:rsidR="00302BC9" w:rsidRPr="008C2320" w:rsidRDefault="00302BC9" w:rsidP="00302BC9">
                    <w:pPr>
                      <w:rPr>
                        <w:rFonts w:cstheme="minorBidi"/>
                        <w:kern w:val="2"/>
                        <w:szCs w:val="21"/>
                      </w:rPr>
                    </w:pPr>
                    <w:r w:rsidRPr="008C2320">
                      <w:rPr>
                        <w:rFonts w:cstheme="minorBidi" w:hint="eastAsia"/>
                        <w:kern w:val="2"/>
                        <w:szCs w:val="21"/>
                      </w:rPr>
                      <w:t>沈阳用友软件有限公司</w:t>
                    </w:r>
                    <w:r w:rsidRPr="008C2320">
                      <w:rPr>
                        <w:rFonts w:cstheme="minorBidi"/>
                        <w:kern w:val="2"/>
                        <w:szCs w:val="21"/>
                      </w:rPr>
                      <w:t>(以下简称“沈阳用友”)</w:t>
                    </w:r>
                  </w:p>
                </w:tc>
                <w:tc>
                  <w:tcPr>
                    <w:tcW w:w="621" w:type="pct"/>
                  </w:tcPr>
                  <w:p w:rsidR="00302BC9" w:rsidRPr="008C2320" w:rsidRDefault="00302BC9" w:rsidP="00302BC9">
                    <w:pPr>
                      <w:rPr>
                        <w:szCs w:val="21"/>
                      </w:rPr>
                    </w:pPr>
                    <w:r w:rsidRPr="008C2320">
                      <w:rPr>
                        <w:rFonts w:hint="eastAsia"/>
                        <w:szCs w:val="21"/>
                      </w:rPr>
                      <w:t>沈阳市</w:t>
                    </w:r>
                  </w:p>
                </w:tc>
                <w:tc>
                  <w:tcPr>
                    <w:tcW w:w="612" w:type="pct"/>
                  </w:tcPr>
                  <w:p w:rsidR="00302BC9" w:rsidRPr="008C2320" w:rsidRDefault="00302BC9" w:rsidP="00302BC9">
                    <w:pPr>
                      <w:rPr>
                        <w:szCs w:val="21"/>
                      </w:rPr>
                    </w:pPr>
                    <w:r w:rsidRPr="008C2320">
                      <w:rPr>
                        <w:rFonts w:cs="Arial"/>
                      </w:rPr>
                      <w:t>沈阳市</w:t>
                    </w:r>
                  </w:p>
                </w:tc>
                <w:tc>
                  <w:tcPr>
                    <w:tcW w:w="630" w:type="pct"/>
                  </w:tcPr>
                  <w:p w:rsidR="00302BC9" w:rsidRPr="008C2320" w:rsidRDefault="00302BC9" w:rsidP="00302BC9">
                    <w:pPr>
                      <w:rPr>
                        <w:szCs w:val="21"/>
                      </w:rPr>
                    </w:pPr>
                    <w:r w:rsidRPr="008C2320">
                      <w:rPr>
                        <w:rFonts w:cs="Arial"/>
                      </w:rPr>
                      <w:t>计算机软/硬件/技术咨询及电子行业</w:t>
                    </w:r>
                  </w:p>
                </w:tc>
                <w:tc>
                  <w:tcPr>
                    <w:tcW w:w="621" w:type="pct"/>
                  </w:tcPr>
                  <w:p w:rsidR="00302BC9" w:rsidRPr="008C2320" w:rsidRDefault="00302BC9" w:rsidP="00302BC9">
                    <w:pPr>
                      <w:jc w:val="right"/>
                      <w:rPr>
                        <w:szCs w:val="21"/>
                      </w:rPr>
                    </w:pPr>
                    <w:r w:rsidRPr="008C2320">
                      <w:t>90</w:t>
                    </w:r>
                  </w:p>
                </w:tc>
                <w:tc>
                  <w:tcPr>
                    <w:tcW w:w="622" w:type="pct"/>
                  </w:tcPr>
                  <w:p w:rsidR="00302BC9" w:rsidRPr="008C2320" w:rsidRDefault="00302BC9" w:rsidP="00302BC9">
                    <w:pPr>
                      <w:jc w:val="right"/>
                      <w:rPr>
                        <w:szCs w:val="21"/>
                      </w:rPr>
                    </w:pPr>
                    <w:r w:rsidRPr="008C2320">
                      <w:rPr>
                        <w:szCs w:val="21"/>
                      </w:rPr>
                      <w:t>10</w:t>
                    </w:r>
                  </w:p>
                </w:tc>
                <w:tc>
                  <w:tcPr>
                    <w:tcW w:w="687" w:type="pct"/>
                  </w:tcPr>
                  <w:p w:rsidR="00302BC9" w:rsidRPr="008C2320" w:rsidRDefault="00302BC9" w:rsidP="00302BC9">
                    <w:pPr>
                      <w:rPr>
                        <w:szCs w:val="21"/>
                      </w:rPr>
                    </w:pPr>
                    <w:r w:rsidRPr="008C2320">
                      <w:rPr>
                        <w:rFonts w:hint="eastAsia"/>
                        <w:szCs w:val="21"/>
                      </w:rPr>
                      <w:t>电子计算机软件、硬件及外部设备的技术开发、技术咨询、技术转让、技术服务、技术培训；电子计算机软硬件及外部设备、计算机耗材、打印纸销售；企业管理咨询；数据库服务</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715970738"/>
              <w:lock w:val="sdtLocked"/>
            </w:sdtPr>
            <w:sdtContent>
              <w:tr w:rsidR="00302BC9" w:rsidTr="00302BC9">
                <w:tc>
                  <w:tcPr>
                    <w:tcW w:w="1207" w:type="pct"/>
                  </w:tcPr>
                  <w:p w:rsidR="00302BC9" w:rsidRPr="008C2320" w:rsidRDefault="00302BC9" w:rsidP="00302BC9">
                    <w:pPr>
                      <w:rPr>
                        <w:szCs w:val="21"/>
                      </w:rPr>
                    </w:pPr>
                    <w:r w:rsidRPr="008C2320">
                      <w:rPr>
                        <w:rFonts w:cstheme="minorBidi" w:hint="eastAsia"/>
                        <w:kern w:val="2"/>
                        <w:szCs w:val="21"/>
                      </w:rPr>
                      <w:t>大连用友软件有限公司</w:t>
                    </w:r>
                    <w:r w:rsidRPr="008C2320">
                      <w:rPr>
                        <w:rFonts w:cstheme="minorBidi"/>
                        <w:kern w:val="2"/>
                        <w:szCs w:val="21"/>
                      </w:rPr>
                      <w:t>(以下简称“大连用友”)</w:t>
                    </w:r>
                  </w:p>
                </w:tc>
                <w:tc>
                  <w:tcPr>
                    <w:tcW w:w="621" w:type="pct"/>
                  </w:tcPr>
                  <w:p w:rsidR="00302BC9" w:rsidRPr="008C2320" w:rsidRDefault="00302BC9" w:rsidP="00302BC9">
                    <w:pPr>
                      <w:rPr>
                        <w:szCs w:val="21"/>
                      </w:rPr>
                    </w:pPr>
                    <w:r w:rsidRPr="008C2320">
                      <w:t>大连市</w:t>
                    </w:r>
                  </w:p>
                </w:tc>
                <w:tc>
                  <w:tcPr>
                    <w:tcW w:w="612" w:type="pct"/>
                  </w:tcPr>
                  <w:p w:rsidR="00302BC9" w:rsidRPr="008C2320" w:rsidRDefault="00302BC9" w:rsidP="00302BC9">
                    <w:pPr>
                      <w:rPr>
                        <w:szCs w:val="21"/>
                      </w:rPr>
                    </w:pPr>
                    <w:r w:rsidRPr="008C2320">
                      <w:t>大连市</w:t>
                    </w:r>
                  </w:p>
                </w:tc>
                <w:tc>
                  <w:tcPr>
                    <w:tcW w:w="630" w:type="pct"/>
                  </w:tcPr>
                  <w:p w:rsidR="00302BC9" w:rsidRPr="008C2320" w:rsidRDefault="00302BC9" w:rsidP="00302BC9">
                    <w:pPr>
                      <w:rPr>
                        <w:szCs w:val="21"/>
                      </w:rPr>
                    </w:pPr>
                    <w:r w:rsidRPr="008C2320">
                      <w:t>计算机软/硬件/技术咨询及电子行业</w:t>
                    </w:r>
                  </w:p>
                </w:tc>
                <w:tc>
                  <w:tcPr>
                    <w:tcW w:w="621" w:type="pct"/>
                  </w:tcPr>
                  <w:p w:rsidR="00302BC9" w:rsidRPr="008C2320" w:rsidRDefault="00302BC9" w:rsidP="00302BC9">
                    <w:pPr>
                      <w:jc w:val="right"/>
                      <w:rPr>
                        <w:szCs w:val="21"/>
                      </w:rPr>
                    </w:pPr>
                    <w:r w:rsidRPr="008C2320">
                      <w:t>90</w:t>
                    </w:r>
                  </w:p>
                </w:tc>
                <w:tc>
                  <w:tcPr>
                    <w:tcW w:w="622" w:type="pct"/>
                  </w:tcPr>
                  <w:p w:rsidR="00302BC9" w:rsidRPr="008C2320" w:rsidRDefault="00302BC9" w:rsidP="00302BC9">
                    <w:pPr>
                      <w:jc w:val="right"/>
                      <w:rPr>
                        <w:szCs w:val="21"/>
                      </w:rPr>
                    </w:pPr>
                    <w:r w:rsidRPr="008C2320">
                      <w:t>10</w:t>
                    </w:r>
                  </w:p>
                </w:tc>
                <w:tc>
                  <w:tcPr>
                    <w:tcW w:w="687" w:type="pct"/>
                  </w:tcPr>
                  <w:p w:rsidR="00302BC9" w:rsidRPr="008C2320" w:rsidRDefault="00302BC9" w:rsidP="00302BC9">
                    <w:pPr>
                      <w:rPr>
                        <w:szCs w:val="21"/>
                      </w:rPr>
                    </w:pPr>
                    <w:r w:rsidRPr="008C2320">
                      <w:t>电子计算机软件、硬件的技术开发，技术咨询、技术转让、技术服务；企业管理咨询；电子计算机软硬件及外围设备、打印纸的销售；</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783384708"/>
              <w:lock w:val="sdtLocked"/>
            </w:sdtPr>
            <w:sdtContent>
              <w:tr w:rsidR="00302BC9" w:rsidTr="00302BC9">
                <w:tc>
                  <w:tcPr>
                    <w:tcW w:w="1207" w:type="pct"/>
                  </w:tcPr>
                  <w:p w:rsidR="00302BC9" w:rsidRPr="008C2320" w:rsidRDefault="00302BC9" w:rsidP="00302BC9">
                    <w:pPr>
                      <w:rPr>
                        <w:szCs w:val="21"/>
                      </w:rPr>
                    </w:pPr>
                    <w:r w:rsidRPr="008C2320">
                      <w:rPr>
                        <w:rFonts w:cstheme="minorBidi" w:hint="eastAsia"/>
                        <w:kern w:val="2"/>
                        <w:szCs w:val="21"/>
                      </w:rPr>
                      <w:t>广西用友软件有限公司</w:t>
                    </w:r>
                    <w:r w:rsidRPr="008C2320">
                      <w:rPr>
                        <w:rFonts w:cstheme="minorBidi"/>
                        <w:kern w:val="2"/>
                        <w:szCs w:val="21"/>
                      </w:rPr>
                      <w:t>(以下简称“广西用友”)</w:t>
                    </w:r>
                  </w:p>
                </w:tc>
                <w:tc>
                  <w:tcPr>
                    <w:tcW w:w="621" w:type="pct"/>
                  </w:tcPr>
                  <w:p w:rsidR="00302BC9" w:rsidRPr="008C2320" w:rsidRDefault="00302BC9" w:rsidP="00302BC9">
                    <w:pPr>
                      <w:rPr>
                        <w:szCs w:val="21"/>
                      </w:rPr>
                    </w:pPr>
                    <w:r w:rsidRPr="008C2320">
                      <w:t>南宁市</w:t>
                    </w:r>
                  </w:p>
                </w:tc>
                <w:tc>
                  <w:tcPr>
                    <w:tcW w:w="612" w:type="pct"/>
                  </w:tcPr>
                  <w:p w:rsidR="00302BC9" w:rsidRPr="008C2320" w:rsidRDefault="00302BC9" w:rsidP="00302BC9">
                    <w:pPr>
                      <w:rPr>
                        <w:szCs w:val="21"/>
                      </w:rPr>
                    </w:pPr>
                    <w:r w:rsidRPr="008C2320">
                      <w:t>南宁市</w:t>
                    </w:r>
                  </w:p>
                </w:tc>
                <w:tc>
                  <w:tcPr>
                    <w:tcW w:w="630" w:type="pct"/>
                  </w:tcPr>
                  <w:p w:rsidR="00302BC9" w:rsidRPr="008C2320" w:rsidRDefault="00302BC9" w:rsidP="00302BC9">
                    <w:pPr>
                      <w:rPr>
                        <w:szCs w:val="21"/>
                      </w:rPr>
                    </w:pPr>
                    <w:r w:rsidRPr="008C2320">
                      <w:t>计算机软/硬件/咨询及电子行业</w:t>
                    </w:r>
                  </w:p>
                </w:tc>
                <w:tc>
                  <w:tcPr>
                    <w:tcW w:w="621" w:type="pct"/>
                  </w:tcPr>
                  <w:p w:rsidR="00302BC9" w:rsidRPr="008C2320" w:rsidRDefault="00302BC9" w:rsidP="00302BC9">
                    <w:pPr>
                      <w:jc w:val="right"/>
                      <w:rPr>
                        <w:szCs w:val="21"/>
                      </w:rPr>
                    </w:pPr>
                    <w:r w:rsidRPr="008C2320">
                      <w:t>90</w:t>
                    </w:r>
                  </w:p>
                </w:tc>
                <w:tc>
                  <w:tcPr>
                    <w:tcW w:w="622" w:type="pct"/>
                  </w:tcPr>
                  <w:p w:rsidR="00302BC9" w:rsidRPr="008C2320" w:rsidRDefault="00302BC9" w:rsidP="00302BC9">
                    <w:pPr>
                      <w:jc w:val="right"/>
                      <w:rPr>
                        <w:szCs w:val="21"/>
                      </w:rPr>
                    </w:pPr>
                    <w:r w:rsidRPr="008C2320">
                      <w:t>10</w:t>
                    </w:r>
                  </w:p>
                </w:tc>
                <w:tc>
                  <w:tcPr>
                    <w:tcW w:w="687" w:type="pct"/>
                  </w:tcPr>
                  <w:p w:rsidR="00302BC9" w:rsidRPr="008C2320" w:rsidRDefault="00302BC9" w:rsidP="00302BC9">
                    <w:pPr>
                      <w:rPr>
                        <w:szCs w:val="21"/>
                      </w:rPr>
                    </w:pPr>
                    <w:r w:rsidRPr="008C2320">
                      <w:t>计算机软件、硬件及外部设备的技术开发、技术咨询、技术转让、技术服务；数据库服务；企业管理咨询；计算机硬件及外部设备、打印纸及耗材的销售。 </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1464649506"/>
              <w:lock w:val="sdtLocked"/>
            </w:sdtPr>
            <w:sdtContent>
              <w:tr w:rsidR="00302BC9" w:rsidTr="00302BC9">
                <w:tc>
                  <w:tcPr>
                    <w:tcW w:w="1207" w:type="pct"/>
                  </w:tcPr>
                  <w:p w:rsidR="00302BC9" w:rsidRPr="008C2320" w:rsidRDefault="00302BC9" w:rsidP="00302BC9">
                    <w:pPr>
                      <w:ind w:left="176" w:right="130" w:hanging="176"/>
                      <w:rPr>
                        <w:rFonts w:cs="Arial"/>
                      </w:rPr>
                    </w:pPr>
                    <w:r w:rsidRPr="008C2320">
                      <w:rPr>
                        <w:rFonts w:cs="Arial"/>
                      </w:rPr>
                      <w:t>厦门烟草</w:t>
                    </w:r>
                  </w:p>
                </w:tc>
                <w:tc>
                  <w:tcPr>
                    <w:tcW w:w="621" w:type="pct"/>
                  </w:tcPr>
                  <w:p w:rsidR="00302BC9" w:rsidRPr="008C2320" w:rsidRDefault="00302BC9" w:rsidP="00302BC9">
                    <w:pPr>
                      <w:rPr>
                        <w:szCs w:val="21"/>
                      </w:rPr>
                    </w:pPr>
                    <w:r w:rsidRPr="008C2320">
                      <w:t>厦门市</w:t>
                    </w:r>
                  </w:p>
                </w:tc>
                <w:tc>
                  <w:tcPr>
                    <w:tcW w:w="612" w:type="pct"/>
                  </w:tcPr>
                  <w:p w:rsidR="00302BC9" w:rsidRPr="008C2320" w:rsidRDefault="00302BC9" w:rsidP="00302BC9">
                    <w:pPr>
                      <w:rPr>
                        <w:szCs w:val="21"/>
                      </w:rPr>
                    </w:pPr>
                    <w:r w:rsidRPr="008C2320">
                      <w:t>厦门市</w:t>
                    </w:r>
                  </w:p>
                </w:tc>
                <w:tc>
                  <w:tcPr>
                    <w:tcW w:w="630" w:type="pct"/>
                  </w:tcPr>
                  <w:p w:rsidR="00302BC9" w:rsidRPr="008C2320" w:rsidRDefault="00302BC9" w:rsidP="00302BC9">
                    <w:pPr>
                      <w:rPr>
                        <w:szCs w:val="21"/>
                      </w:rPr>
                    </w:pPr>
                    <w:r w:rsidRPr="008C2320">
                      <w:t>计算机软/硬件/电子行业</w:t>
                    </w:r>
                  </w:p>
                </w:tc>
                <w:tc>
                  <w:tcPr>
                    <w:tcW w:w="621" w:type="pct"/>
                  </w:tcPr>
                  <w:p w:rsidR="00302BC9" w:rsidRPr="008C2320" w:rsidRDefault="00302BC9" w:rsidP="00302BC9">
                    <w:pPr>
                      <w:jc w:val="right"/>
                      <w:rPr>
                        <w:szCs w:val="21"/>
                      </w:rPr>
                    </w:pPr>
                    <w:r w:rsidRPr="008C2320">
                      <w:t>73</w:t>
                    </w:r>
                  </w:p>
                </w:tc>
                <w:tc>
                  <w:tcPr>
                    <w:tcW w:w="622" w:type="pct"/>
                  </w:tcPr>
                  <w:p w:rsidR="00302BC9" w:rsidRPr="008C2320" w:rsidRDefault="00302BC9" w:rsidP="00302BC9">
                    <w:pPr>
                      <w:jc w:val="right"/>
                      <w:rPr>
                        <w:szCs w:val="21"/>
                      </w:rPr>
                    </w:pPr>
                    <w:r w:rsidRPr="008C2320">
                      <w:t>-</w:t>
                    </w:r>
                  </w:p>
                </w:tc>
                <w:tc>
                  <w:tcPr>
                    <w:tcW w:w="687" w:type="pct"/>
                  </w:tcPr>
                  <w:p w:rsidR="00302BC9" w:rsidRPr="008C2320" w:rsidRDefault="00302BC9" w:rsidP="00302BC9">
                    <w:pPr>
                      <w:rPr>
                        <w:szCs w:val="21"/>
                      </w:rPr>
                    </w:pPr>
                    <w:r w:rsidRPr="008C2320">
                      <w:t>烟草软件及其它相关软件开发、设计,硬件制造、销售,并提供烟草行业信息化咨询服务。 </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278490900"/>
              <w:lock w:val="sdtLocked"/>
            </w:sdtPr>
            <w:sdtContent>
              <w:tr w:rsidR="00302BC9" w:rsidTr="00302BC9">
                <w:tc>
                  <w:tcPr>
                    <w:tcW w:w="1207" w:type="pct"/>
                  </w:tcPr>
                  <w:p w:rsidR="00302BC9" w:rsidRPr="008C2320" w:rsidRDefault="00302BC9" w:rsidP="00302BC9">
                    <w:pPr>
                      <w:rPr>
                        <w:rFonts w:cstheme="minorBidi"/>
                        <w:kern w:val="2"/>
                        <w:szCs w:val="21"/>
                      </w:rPr>
                    </w:pPr>
                    <w:r w:rsidRPr="008C2320">
                      <w:rPr>
                        <w:rFonts w:cstheme="minorBidi" w:hint="eastAsia"/>
                        <w:kern w:val="2"/>
                        <w:szCs w:val="21"/>
                      </w:rPr>
                      <w:t>深圳用友软件有限公司</w:t>
                    </w:r>
                    <w:r w:rsidRPr="008C2320">
                      <w:rPr>
                        <w:rFonts w:cstheme="minorBidi"/>
                        <w:kern w:val="2"/>
                        <w:szCs w:val="21"/>
                      </w:rPr>
                      <w:t>(以下简称“深圳用友”)</w:t>
                    </w:r>
                  </w:p>
                </w:tc>
                <w:tc>
                  <w:tcPr>
                    <w:tcW w:w="621" w:type="pct"/>
                  </w:tcPr>
                  <w:p w:rsidR="00302BC9" w:rsidRPr="008C2320" w:rsidRDefault="00302BC9" w:rsidP="00302BC9">
                    <w:pPr>
                      <w:rPr>
                        <w:szCs w:val="21"/>
                      </w:rPr>
                    </w:pPr>
                    <w:r w:rsidRPr="008C2320">
                      <w:t>深圳市</w:t>
                    </w:r>
                  </w:p>
                </w:tc>
                <w:tc>
                  <w:tcPr>
                    <w:tcW w:w="612" w:type="pct"/>
                  </w:tcPr>
                  <w:p w:rsidR="00302BC9" w:rsidRPr="008C2320" w:rsidRDefault="00302BC9" w:rsidP="00302BC9">
                    <w:pPr>
                      <w:rPr>
                        <w:szCs w:val="21"/>
                      </w:rPr>
                    </w:pPr>
                    <w:r w:rsidRPr="008C2320">
                      <w:t>深圳市</w:t>
                    </w:r>
                  </w:p>
                </w:tc>
                <w:tc>
                  <w:tcPr>
                    <w:tcW w:w="630" w:type="pct"/>
                  </w:tcPr>
                  <w:p w:rsidR="00302BC9" w:rsidRPr="008C2320" w:rsidRDefault="00302BC9" w:rsidP="00302BC9">
                    <w:pPr>
                      <w:rPr>
                        <w:szCs w:val="21"/>
                      </w:rPr>
                    </w:pPr>
                    <w:r w:rsidRPr="008C2320">
                      <w:t>计算机软/硬件/耗材、电子行业</w:t>
                    </w:r>
                  </w:p>
                </w:tc>
                <w:tc>
                  <w:tcPr>
                    <w:tcW w:w="621" w:type="pct"/>
                  </w:tcPr>
                  <w:p w:rsidR="00302BC9" w:rsidRPr="008C2320" w:rsidRDefault="00302BC9" w:rsidP="00302BC9">
                    <w:pPr>
                      <w:jc w:val="right"/>
                      <w:rPr>
                        <w:szCs w:val="21"/>
                      </w:rPr>
                    </w:pPr>
                    <w:r w:rsidRPr="008C2320">
                      <w:t>90</w:t>
                    </w:r>
                  </w:p>
                </w:tc>
                <w:tc>
                  <w:tcPr>
                    <w:tcW w:w="622" w:type="pct"/>
                  </w:tcPr>
                  <w:p w:rsidR="00302BC9" w:rsidRPr="008C2320" w:rsidRDefault="00302BC9" w:rsidP="00302BC9">
                    <w:pPr>
                      <w:jc w:val="right"/>
                      <w:rPr>
                        <w:szCs w:val="21"/>
                      </w:rPr>
                    </w:pPr>
                    <w:r w:rsidRPr="008C2320">
                      <w:t>10</w:t>
                    </w:r>
                  </w:p>
                </w:tc>
                <w:tc>
                  <w:tcPr>
                    <w:tcW w:w="687" w:type="pct"/>
                  </w:tcPr>
                  <w:p w:rsidR="00302BC9" w:rsidRPr="008C2320" w:rsidRDefault="00302BC9" w:rsidP="00302BC9">
                    <w:pPr>
                      <w:rPr>
                        <w:szCs w:val="21"/>
                      </w:rPr>
                    </w:pPr>
                    <w:r w:rsidRPr="008C2320">
                      <w:t>计算机软件硬件及外部设备的技术开发、技术</w:t>
                    </w:r>
                    <w:r w:rsidRPr="008C2320">
                      <w:lastRenderedPageBreak/>
                      <w:t>咨询及购销；打印纸、计算机耗材的购销；企业管理咨询</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462076420"/>
              <w:lock w:val="sdtLocked"/>
            </w:sdtPr>
            <w:sdtContent>
              <w:tr w:rsidR="00302BC9" w:rsidTr="00302BC9">
                <w:tc>
                  <w:tcPr>
                    <w:tcW w:w="1207" w:type="pct"/>
                  </w:tcPr>
                  <w:p w:rsidR="00302BC9" w:rsidRPr="008C2320" w:rsidRDefault="00302BC9" w:rsidP="00302BC9">
                    <w:pPr>
                      <w:rPr>
                        <w:szCs w:val="21"/>
                      </w:rPr>
                    </w:pPr>
                    <w:r w:rsidRPr="008C2320">
                      <w:t>山东用友软件技术有限公司(以下简称“山东用友”)</w:t>
                    </w:r>
                  </w:p>
                </w:tc>
                <w:tc>
                  <w:tcPr>
                    <w:tcW w:w="621" w:type="pct"/>
                  </w:tcPr>
                  <w:p w:rsidR="00302BC9" w:rsidRPr="008C2320" w:rsidRDefault="00302BC9" w:rsidP="00302BC9">
                    <w:pPr>
                      <w:rPr>
                        <w:szCs w:val="21"/>
                      </w:rPr>
                    </w:pPr>
                    <w:r w:rsidRPr="008C2320">
                      <w:t>济南市</w:t>
                    </w:r>
                  </w:p>
                </w:tc>
                <w:tc>
                  <w:tcPr>
                    <w:tcW w:w="612" w:type="pct"/>
                  </w:tcPr>
                  <w:p w:rsidR="00302BC9" w:rsidRPr="008C2320" w:rsidRDefault="00302BC9" w:rsidP="00302BC9">
                    <w:pPr>
                      <w:rPr>
                        <w:szCs w:val="21"/>
                      </w:rPr>
                    </w:pPr>
                    <w:r w:rsidRPr="008C2320">
                      <w:t>济南市</w:t>
                    </w:r>
                  </w:p>
                </w:tc>
                <w:tc>
                  <w:tcPr>
                    <w:tcW w:w="630" w:type="pct"/>
                  </w:tcPr>
                  <w:p w:rsidR="00302BC9" w:rsidRPr="008C2320" w:rsidRDefault="00302BC9" w:rsidP="00302BC9">
                    <w:pPr>
                      <w:rPr>
                        <w:szCs w:val="21"/>
                      </w:rPr>
                    </w:pPr>
                    <w:r w:rsidRPr="008C2320">
                      <w:t>计算机软/硬件/耗材、技术咨询、电子行业</w:t>
                    </w:r>
                  </w:p>
                </w:tc>
                <w:tc>
                  <w:tcPr>
                    <w:tcW w:w="621" w:type="pct"/>
                  </w:tcPr>
                  <w:p w:rsidR="00302BC9" w:rsidRPr="008C2320" w:rsidRDefault="00302BC9" w:rsidP="00302BC9">
                    <w:pPr>
                      <w:jc w:val="right"/>
                      <w:rPr>
                        <w:szCs w:val="21"/>
                      </w:rPr>
                    </w:pPr>
                    <w:r w:rsidRPr="008C2320">
                      <w:t>90</w:t>
                    </w:r>
                  </w:p>
                </w:tc>
                <w:tc>
                  <w:tcPr>
                    <w:tcW w:w="622" w:type="pct"/>
                  </w:tcPr>
                  <w:p w:rsidR="00302BC9" w:rsidRPr="008C2320" w:rsidRDefault="00302BC9" w:rsidP="00302BC9">
                    <w:pPr>
                      <w:jc w:val="right"/>
                      <w:rPr>
                        <w:szCs w:val="21"/>
                      </w:rPr>
                    </w:pPr>
                    <w:r w:rsidRPr="008C2320">
                      <w:t>10</w:t>
                    </w:r>
                  </w:p>
                </w:tc>
                <w:tc>
                  <w:tcPr>
                    <w:tcW w:w="687" w:type="pct"/>
                  </w:tcPr>
                  <w:p w:rsidR="00302BC9" w:rsidRPr="008C2320" w:rsidRDefault="00302BC9" w:rsidP="00302BC9">
                    <w:pPr>
                      <w:rPr>
                        <w:szCs w:val="21"/>
                      </w:rPr>
                    </w:pPr>
                    <w:r w:rsidRPr="008C2320">
                      <w:t>计算机软、硬件及外部设备技术开发、咨询服务、技术转让、技术培训及数据库服务；企业管理咨询；进出口业务；计算机软硬件及外部设备、耗材、打印纸销售； </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1868368781"/>
              <w:lock w:val="sdtLocked"/>
            </w:sdtPr>
            <w:sdtContent>
              <w:tr w:rsidR="00302BC9" w:rsidTr="00302BC9">
                <w:tc>
                  <w:tcPr>
                    <w:tcW w:w="1207" w:type="pct"/>
                  </w:tcPr>
                  <w:p w:rsidR="00302BC9" w:rsidRPr="008C2320" w:rsidRDefault="00302BC9" w:rsidP="00302BC9">
                    <w:pPr>
                      <w:rPr>
                        <w:szCs w:val="21"/>
                      </w:rPr>
                    </w:pPr>
                    <w:r w:rsidRPr="008C2320">
                      <w:t>江西用友软件有限责任公司(以下简称“江西用友”)</w:t>
                    </w:r>
                  </w:p>
                </w:tc>
                <w:tc>
                  <w:tcPr>
                    <w:tcW w:w="621" w:type="pct"/>
                  </w:tcPr>
                  <w:p w:rsidR="00302BC9" w:rsidRPr="008C2320" w:rsidRDefault="00302BC9" w:rsidP="00302BC9">
                    <w:pPr>
                      <w:rPr>
                        <w:szCs w:val="21"/>
                      </w:rPr>
                    </w:pPr>
                    <w:r w:rsidRPr="008C2320">
                      <w:t>南昌市</w:t>
                    </w:r>
                  </w:p>
                </w:tc>
                <w:tc>
                  <w:tcPr>
                    <w:tcW w:w="612" w:type="pct"/>
                  </w:tcPr>
                  <w:p w:rsidR="00302BC9" w:rsidRPr="008C2320" w:rsidRDefault="00302BC9" w:rsidP="00302BC9">
                    <w:pPr>
                      <w:rPr>
                        <w:szCs w:val="21"/>
                      </w:rPr>
                    </w:pPr>
                    <w:r w:rsidRPr="008C2320">
                      <w:t>南昌市</w:t>
                    </w:r>
                  </w:p>
                </w:tc>
                <w:tc>
                  <w:tcPr>
                    <w:tcW w:w="630" w:type="pct"/>
                  </w:tcPr>
                  <w:p w:rsidR="00302BC9" w:rsidRPr="008C2320" w:rsidRDefault="00302BC9" w:rsidP="00302BC9">
                    <w:pPr>
                      <w:rPr>
                        <w:szCs w:val="21"/>
                      </w:rPr>
                    </w:pPr>
                    <w:r w:rsidRPr="008C2320">
                      <w:t>计算机软/硬件/耗材、电子行业</w:t>
                    </w:r>
                  </w:p>
                </w:tc>
                <w:tc>
                  <w:tcPr>
                    <w:tcW w:w="621" w:type="pct"/>
                  </w:tcPr>
                  <w:p w:rsidR="00302BC9" w:rsidRPr="008C2320" w:rsidRDefault="00302BC9" w:rsidP="00302BC9">
                    <w:pPr>
                      <w:jc w:val="right"/>
                      <w:rPr>
                        <w:szCs w:val="21"/>
                      </w:rPr>
                    </w:pPr>
                    <w:r w:rsidRPr="008C2320">
                      <w:t>100</w:t>
                    </w:r>
                  </w:p>
                </w:tc>
                <w:tc>
                  <w:tcPr>
                    <w:tcW w:w="622" w:type="pct"/>
                  </w:tcPr>
                  <w:p w:rsidR="00302BC9" w:rsidRPr="008C2320" w:rsidRDefault="00302BC9" w:rsidP="00302BC9">
                    <w:pPr>
                      <w:jc w:val="right"/>
                      <w:rPr>
                        <w:szCs w:val="21"/>
                      </w:rPr>
                    </w:pPr>
                    <w:r w:rsidRPr="008C2320">
                      <w:t>-</w:t>
                    </w:r>
                  </w:p>
                </w:tc>
                <w:tc>
                  <w:tcPr>
                    <w:tcW w:w="687" w:type="pct"/>
                  </w:tcPr>
                  <w:p w:rsidR="00302BC9" w:rsidRPr="008C2320" w:rsidRDefault="00302BC9" w:rsidP="00302BC9">
                    <w:pPr>
                      <w:rPr>
                        <w:szCs w:val="21"/>
                      </w:rPr>
                    </w:pPr>
                    <w:r w:rsidRPr="008C2320">
                      <w:t>计算机软件、硬件及外部设备的技术开发、技术咨询、技术转让、技术服务；企业管理咨询；数据库服务；系统集成；计算机软硬件及外部设备、打印纸、计算机耗材销售</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1173601254"/>
              <w:lock w:val="sdtLocked"/>
            </w:sdtPr>
            <w:sdtContent>
              <w:tr w:rsidR="00302BC9" w:rsidTr="00302BC9">
                <w:tc>
                  <w:tcPr>
                    <w:tcW w:w="1207" w:type="pct"/>
                  </w:tcPr>
                  <w:p w:rsidR="00302BC9" w:rsidRPr="008C2320" w:rsidRDefault="00302BC9" w:rsidP="00302BC9">
                    <w:pPr>
                      <w:rPr>
                        <w:szCs w:val="21"/>
                      </w:rPr>
                    </w:pPr>
                    <w:r w:rsidRPr="008C2320">
                      <w:t>湖南用友软件有限公司(以下简称“湖南用友”)</w:t>
                    </w:r>
                  </w:p>
                </w:tc>
                <w:tc>
                  <w:tcPr>
                    <w:tcW w:w="621" w:type="pct"/>
                  </w:tcPr>
                  <w:p w:rsidR="00302BC9" w:rsidRPr="008C2320" w:rsidRDefault="00302BC9" w:rsidP="00302BC9">
                    <w:pPr>
                      <w:rPr>
                        <w:szCs w:val="21"/>
                      </w:rPr>
                    </w:pPr>
                    <w:r w:rsidRPr="008C2320">
                      <w:t>长沙市</w:t>
                    </w:r>
                  </w:p>
                </w:tc>
                <w:tc>
                  <w:tcPr>
                    <w:tcW w:w="612" w:type="pct"/>
                  </w:tcPr>
                  <w:p w:rsidR="00302BC9" w:rsidRPr="008C2320" w:rsidRDefault="00302BC9" w:rsidP="00302BC9">
                    <w:pPr>
                      <w:rPr>
                        <w:szCs w:val="21"/>
                      </w:rPr>
                    </w:pPr>
                    <w:r w:rsidRPr="008C2320">
                      <w:t>长沙市</w:t>
                    </w:r>
                  </w:p>
                </w:tc>
                <w:tc>
                  <w:tcPr>
                    <w:tcW w:w="630" w:type="pct"/>
                  </w:tcPr>
                  <w:p w:rsidR="00302BC9" w:rsidRPr="008C2320" w:rsidRDefault="00302BC9" w:rsidP="00302BC9">
                    <w:pPr>
                      <w:rPr>
                        <w:szCs w:val="21"/>
                      </w:rPr>
                    </w:pPr>
                    <w:r w:rsidRPr="008C2320">
                      <w:t>计算机软/硬件/咨询行业</w:t>
                    </w:r>
                  </w:p>
                </w:tc>
                <w:tc>
                  <w:tcPr>
                    <w:tcW w:w="621" w:type="pct"/>
                  </w:tcPr>
                  <w:p w:rsidR="00302BC9" w:rsidRPr="008C2320" w:rsidRDefault="00302BC9" w:rsidP="00302BC9">
                    <w:pPr>
                      <w:jc w:val="right"/>
                      <w:rPr>
                        <w:szCs w:val="21"/>
                      </w:rPr>
                    </w:pPr>
                    <w:r w:rsidRPr="008C2320">
                      <w:t>90</w:t>
                    </w:r>
                  </w:p>
                </w:tc>
                <w:tc>
                  <w:tcPr>
                    <w:tcW w:w="622" w:type="pct"/>
                  </w:tcPr>
                  <w:p w:rsidR="00302BC9" w:rsidRPr="008C2320" w:rsidRDefault="00302BC9" w:rsidP="00302BC9">
                    <w:pPr>
                      <w:jc w:val="right"/>
                      <w:rPr>
                        <w:szCs w:val="21"/>
                      </w:rPr>
                    </w:pPr>
                    <w:r w:rsidRPr="008C2320">
                      <w:t>10</w:t>
                    </w:r>
                  </w:p>
                </w:tc>
                <w:tc>
                  <w:tcPr>
                    <w:tcW w:w="687" w:type="pct"/>
                  </w:tcPr>
                  <w:p w:rsidR="00302BC9" w:rsidRPr="008C2320" w:rsidRDefault="00302BC9" w:rsidP="00302BC9">
                    <w:pPr>
                      <w:rPr>
                        <w:szCs w:val="21"/>
                      </w:rPr>
                    </w:pPr>
                    <w:r w:rsidRPr="008C2320">
                      <w:t>计算机软硬件及配件的技术开发,技术咨询,</w:t>
                    </w:r>
                    <w:r w:rsidRPr="008C2320">
                      <w:lastRenderedPageBreak/>
                      <w:t>技术转让及销售；数据库服务；企业管理咨询</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601884702"/>
              <w:lock w:val="sdtLocked"/>
            </w:sdtPr>
            <w:sdtContent>
              <w:tr w:rsidR="00302BC9" w:rsidTr="00302BC9">
                <w:tc>
                  <w:tcPr>
                    <w:tcW w:w="1207" w:type="pct"/>
                  </w:tcPr>
                  <w:p w:rsidR="00302BC9" w:rsidRPr="008C2320" w:rsidRDefault="00302BC9" w:rsidP="00302BC9">
                    <w:pPr>
                      <w:rPr>
                        <w:szCs w:val="21"/>
                      </w:rPr>
                    </w:pPr>
                    <w:r w:rsidRPr="008C2320">
                      <w:t>用友医疗</w:t>
                    </w:r>
                  </w:p>
                </w:tc>
                <w:tc>
                  <w:tcPr>
                    <w:tcW w:w="621" w:type="pct"/>
                  </w:tcPr>
                  <w:p w:rsidR="00302BC9" w:rsidRPr="008C2320" w:rsidRDefault="00302BC9" w:rsidP="00302BC9">
                    <w:pPr>
                      <w:rPr>
                        <w:szCs w:val="21"/>
                      </w:rPr>
                    </w:pPr>
                    <w:r w:rsidRPr="008C2320">
                      <w:t>北京市</w:t>
                    </w:r>
                  </w:p>
                </w:tc>
                <w:tc>
                  <w:tcPr>
                    <w:tcW w:w="612" w:type="pct"/>
                  </w:tcPr>
                  <w:p w:rsidR="00302BC9" w:rsidRPr="008C2320" w:rsidRDefault="00302BC9" w:rsidP="00302BC9">
                    <w:pPr>
                      <w:rPr>
                        <w:szCs w:val="21"/>
                      </w:rPr>
                    </w:pPr>
                    <w:r w:rsidRPr="008C2320">
                      <w:t>北京市</w:t>
                    </w:r>
                  </w:p>
                </w:tc>
                <w:tc>
                  <w:tcPr>
                    <w:tcW w:w="630" w:type="pct"/>
                  </w:tcPr>
                  <w:p w:rsidR="00302BC9" w:rsidRPr="008C2320" w:rsidRDefault="00302BC9" w:rsidP="00302BC9">
                    <w:pPr>
                      <w:rPr>
                        <w:szCs w:val="21"/>
                      </w:rPr>
                    </w:pPr>
                    <w:r w:rsidRPr="008C2320">
                      <w:t>计算机软件/系统集成/咨询行业</w:t>
                    </w:r>
                  </w:p>
                </w:tc>
                <w:tc>
                  <w:tcPr>
                    <w:tcW w:w="621" w:type="pct"/>
                  </w:tcPr>
                  <w:p w:rsidR="00302BC9" w:rsidRPr="008C2320" w:rsidRDefault="00302BC9" w:rsidP="00302BC9">
                    <w:pPr>
                      <w:jc w:val="right"/>
                      <w:rPr>
                        <w:szCs w:val="21"/>
                      </w:rPr>
                    </w:pPr>
                    <w:r w:rsidRPr="008C2320">
                      <w:t>80</w:t>
                    </w:r>
                  </w:p>
                </w:tc>
                <w:tc>
                  <w:tcPr>
                    <w:tcW w:w="622" w:type="pct"/>
                  </w:tcPr>
                  <w:p w:rsidR="00302BC9" w:rsidRPr="008C2320" w:rsidRDefault="00302BC9" w:rsidP="00302BC9">
                    <w:pPr>
                      <w:jc w:val="right"/>
                      <w:rPr>
                        <w:szCs w:val="21"/>
                      </w:rPr>
                    </w:pPr>
                  </w:p>
                </w:tc>
                <w:tc>
                  <w:tcPr>
                    <w:tcW w:w="687" w:type="pct"/>
                  </w:tcPr>
                  <w:p w:rsidR="00302BC9" w:rsidRPr="008C2320" w:rsidRDefault="00302BC9" w:rsidP="00302BC9">
                    <w:pPr>
                      <w:rPr>
                        <w:szCs w:val="21"/>
                      </w:rPr>
                    </w:pPr>
                    <w:r w:rsidRPr="008C2320">
                      <w:t>第二类增值电信业务中的信息服务业务（仅限互联网信息服务）（不含信息搜索查询服务、信息即时交互服务）（互联网信息服务增值电信业务经营许可证有效期至2022年10月23日）；开发、销售医疗软件；医疗软件的技术培训、系统集成。</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144980160"/>
              <w:lock w:val="sdtLocked"/>
            </w:sdtPr>
            <w:sdtContent>
              <w:tr w:rsidR="00302BC9" w:rsidTr="00302BC9">
                <w:tc>
                  <w:tcPr>
                    <w:tcW w:w="1207" w:type="pct"/>
                  </w:tcPr>
                  <w:p w:rsidR="00302BC9" w:rsidRPr="008C2320" w:rsidRDefault="00302BC9" w:rsidP="00302BC9">
                    <w:pPr>
                      <w:rPr>
                        <w:szCs w:val="21"/>
                      </w:rPr>
                    </w:pPr>
                    <w:r w:rsidRPr="008C2320">
                      <w:t>用友(南昌)产业基地发展有限公司(以下简称“用友(南昌)”)</w:t>
                    </w:r>
                  </w:p>
                </w:tc>
                <w:tc>
                  <w:tcPr>
                    <w:tcW w:w="621" w:type="pct"/>
                  </w:tcPr>
                  <w:p w:rsidR="00302BC9" w:rsidRPr="008C2320" w:rsidRDefault="00302BC9" w:rsidP="00302BC9">
                    <w:pPr>
                      <w:rPr>
                        <w:szCs w:val="21"/>
                      </w:rPr>
                    </w:pPr>
                    <w:r w:rsidRPr="008C2320">
                      <w:t>南昌市</w:t>
                    </w:r>
                  </w:p>
                </w:tc>
                <w:tc>
                  <w:tcPr>
                    <w:tcW w:w="612" w:type="pct"/>
                  </w:tcPr>
                  <w:p w:rsidR="00302BC9" w:rsidRPr="008C2320" w:rsidRDefault="00302BC9" w:rsidP="00302BC9">
                    <w:pPr>
                      <w:rPr>
                        <w:szCs w:val="21"/>
                      </w:rPr>
                    </w:pPr>
                    <w:r w:rsidRPr="008C2320">
                      <w:t>南昌市</w:t>
                    </w:r>
                  </w:p>
                </w:tc>
                <w:tc>
                  <w:tcPr>
                    <w:tcW w:w="630" w:type="pct"/>
                  </w:tcPr>
                  <w:p w:rsidR="00302BC9" w:rsidRPr="008C2320" w:rsidRDefault="00302BC9" w:rsidP="00302BC9">
                    <w:pPr>
                      <w:rPr>
                        <w:szCs w:val="21"/>
                      </w:rPr>
                    </w:pPr>
                    <w:r w:rsidRPr="008C2320">
                      <w:t>房地产业/金融投资业/计算机软、硬件和耗材、电子行业</w:t>
                    </w:r>
                  </w:p>
                </w:tc>
                <w:tc>
                  <w:tcPr>
                    <w:tcW w:w="621" w:type="pct"/>
                  </w:tcPr>
                  <w:p w:rsidR="00302BC9" w:rsidRPr="008C2320" w:rsidRDefault="00302BC9" w:rsidP="00302BC9">
                    <w:pPr>
                      <w:jc w:val="right"/>
                      <w:rPr>
                        <w:szCs w:val="21"/>
                      </w:rPr>
                    </w:pPr>
                    <w:r w:rsidRPr="008C2320">
                      <w:t>100</w:t>
                    </w:r>
                  </w:p>
                </w:tc>
                <w:tc>
                  <w:tcPr>
                    <w:tcW w:w="622" w:type="pct"/>
                  </w:tcPr>
                  <w:p w:rsidR="00302BC9" w:rsidRPr="008C2320" w:rsidRDefault="00302BC9" w:rsidP="00302BC9">
                    <w:pPr>
                      <w:jc w:val="right"/>
                      <w:rPr>
                        <w:szCs w:val="21"/>
                      </w:rPr>
                    </w:pPr>
                  </w:p>
                </w:tc>
                <w:tc>
                  <w:tcPr>
                    <w:tcW w:w="687" w:type="pct"/>
                  </w:tcPr>
                  <w:p w:rsidR="00302BC9" w:rsidRPr="008C2320" w:rsidRDefault="00302BC9" w:rsidP="00302BC9">
                    <w:pPr>
                      <w:rPr>
                        <w:szCs w:val="21"/>
                      </w:rPr>
                    </w:pPr>
                    <w:r w:rsidRPr="008C2320">
                      <w:t>实业投资（金融、期货、保险、证券除外）；自有房租赁；电子计算机软件、硬件及外部设备的技术开发、技术咨询、技术转让、技术服务；企业管理咨询；数据</w:t>
                    </w:r>
                    <w:r w:rsidRPr="008C2320">
                      <w:lastRenderedPageBreak/>
                      <w:t>库服务；打印纸、计算机耗材、电子计算机软硬件及外部设备销售；系统集成；物业管理。 </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1001786251"/>
              <w:lock w:val="sdtLocked"/>
            </w:sdtPr>
            <w:sdtContent>
              <w:tr w:rsidR="00302BC9" w:rsidTr="00302BC9">
                <w:tc>
                  <w:tcPr>
                    <w:tcW w:w="1207" w:type="pct"/>
                  </w:tcPr>
                  <w:p w:rsidR="00302BC9" w:rsidRPr="008C2320" w:rsidRDefault="00302BC9" w:rsidP="00302BC9">
                    <w:pPr>
                      <w:rPr>
                        <w:szCs w:val="21"/>
                      </w:rPr>
                    </w:pPr>
                    <w:r w:rsidRPr="008C2320">
                      <w:t>三亚用友软件科技有限公司(以下简称“三亚用友”)</w:t>
                    </w:r>
                  </w:p>
                </w:tc>
                <w:tc>
                  <w:tcPr>
                    <w:tcW w:w="621" w:type="pct"/>
                  </w:tcPr>
                  <w:p w:rsidR="00302BC9" w:rsidRPr="008C2320" w:rsidRDefault="00302BC9" w:rsidP="00302BC9">
                    <w:pPr>
                      <w:rPr>
                        <w:szCs w:val="21"/>
                      </w:rPr>
                    </w:pPr>
                    <w:r w:rsidRPr="008C2320">
                      <w:t>三亚市</w:t>
                    </w:r>
                  </w:p>
                </w:tc>
                <w:tc>
                  <w:tcPr>
                    <w:tcW w:w="612" w:type="pct"/>
                  </w:tcPr>
                  <w:p w:rsidR="00302BC9" w:rsidRPr="008C2320" w:rsidRDefault="00302BC9" w:rsidP="00302BC9">
                    <w:pPr>
                      <w:rPr>
                        <w:szCs w:val="21"/>
                      </w:rPr>
                    </w:pPr>
                    <w:r w:rsidRPr="008C2320">
                      <w:t>三亚市</w:t>
                    </w:r>
                  </w:p>
                </w:tc>
                <w:tc>
                  <w:tcPr>
                    <w:tcW w:w="630" w:type="pct"/>
                  </w:tcPr>
                  <w:p w:rsidR="00302BC9" w:rsidRPr="008C2320" w:rsidRDefault="00302BC9" w:rsidP="00302BC9">
                    <w:pPr>
                      <w:rPr>
                        <w:szCs w:val="21"/>
                      </w:rPr>
                    </w:pPr>
                    <w:r w:rsidRPr="008C2320">
                      <w:t>软件研发和销售，IT服务，技术交流和培训</w:t>
                    </w:r>
                  </w:p>
                </w:tc>
                <w:tc>
                  <w:tcPr>
                    <w:tcW w:w="621" w:type="pct"/>
                  </w:tcPr>
                  <w:p w:rsidR="00302BC9" w:rsidRPr="008C2320" w:rsidRDefault="00302BC9" w:rsidP="00302BC9">
                    <w:pPr>
                      <w:jc w:val="right"/>
                      <w:rPr>
                        <w:szCs w:val="21"/>
                      </w:rPr>
                    </w:pPr>
                    <w:r w:rsidRPr="008C2320">
                      <w:t>100</w:t>
                    </w:r>
                  </w:p>
                </w:tc>
                <w:tc>
                  <w:tcPr>
                    <w:tcW w:w="622" w:type="pct"/>
                  </w:tcPr>
                  <w:p w:rsidR="00302BC9" w:rsidRPr="008C2320" w:rsidRDefault="00302BC9" w:rsidP="00302BC9">
                    <w:pPr>
                      <w:jc w:val="right"/>
                      <w:rPr>
                        <w:szCs w:val="21"/>
                      </w:rPr>
                    </w:pPr>
                  </w:p>
                </w:tc>
                <w:tc>
                  <w:tcPr>
                    <w:tcW w:w="687" w:type="pct"/>
                  </w:tcPr>
                  <w:p w:rsidR="00302BC9" w:rsidRPr="008C2320" w:rsidRDefault="00302BC9" w:rsidP="00302BC9">
                    <w:pPr>
                      <w:rPr>
                        <w:szCs w:val="21"/>
                      </w:rPr>
                    </w:pPr>
                    <w:r w:rsidRPr="008C2320">
                      <w:t>软件研发和销售，IT服务，技术交流和培训，物流管理，房屋租赁。</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522598926"/>
              <w:lock w:val="sdtLocked"/>
            </w:sdtPr>
            <w:sdtContent>
              <w:tr w:rsidR="00302BC9" w:rsidTr="00302BC9">
                <w:tc>
                  <w:tcPr>
                    <w:tcW w:w="1207" w:type="pct"/>
                  </w:tcPr>
                  <w:p w:rsidR="00302BC9" w:rsidRPr="008C2320" w:rsidRDefault="00302BC9" w:rsidP="00302BC9">
                    <w:pPr>
                      <w:rPr>
                        <w:szCs w:val="21"/>
                      </w:rPr>
                    </w:pPr>
                    <w:r w:rsidRPr="008C2320">
                      <w:t>北京用友幸福投资管理有限公司(以下简称“幸福投资”)</w:t>
                    </w:r>
                  </w:p>
                </w:tc>
                <w:tc>
                  <w:tcPr>
                    <w:tcW w:w="621" w:type="pct"/>
                  </w:tcPr>
                  <w:p w:rsidR="00302BC9" w:rsidRPr="008C2320" w:rsidRDefault="00302BC9" w:rsidP="00302BC9">
                    <w:pPr>
                      <w:rPr>
                        <w:szCs w:val="21"/>
                      </w:rPr>
                    </w:pPr>
                    <w:r w:rsidRPr="008C2320">
                      <w:t>北京市</w:t>
                    </w:r>
                  </w:p>
                </w:tc>
                <w:tc>
                  <w:tcPr>
                    <w:tcW w:w="612" w:type="pct"/>
                  </w:tcPr>
                  <w:p w:rsidR="00302BC9" w:rsidRPr="008C2320" w:rsidRDefault="00302BC9" w:rsidP="00302BC9">
                    <w:pPr>
                      <w:rPr>
                        <w:szCs w:val="21"/>
                      </w:rPr>
                    </w:pPr>
                    <w:r w:rsidRPr="008C2320">
                      <w:t>北京市</w:t>
                    </w:r>
                  </w:p>
                </w:tc>
                <w:tc>
                  <w:tcPr>
                    <w:tcW w:w="630" w:type="pct"/>
                  </w:tcPr>
                  <w:p w:rsidR="00302BC9" w:rsidRPr="008C2320" w:rsidRDefault="00302BC9" w:rsidP="00302BC9">
                    <w:pPr>
                      <w:rPr>
                        <w:szCs w:val="21"/>
                      </w:rPr>
                    </w:pPr>
                    <w:r w:rsidRPr="008C2320">
                      <w:t>投资管理</w:t>
                    </w:r>
                  </w:p>
                </w:tc>
                <w:tc>
                  <w:tcPr>
                    <w:tcW w:w="621" w:type="pct"/>
                  </w:tcPr>
                  <w:p w:rsidR="00302BC9" w:rsidRPr="008C2320" w:rsidRDefault="00302BC9" w:rsidP="00302BC9">
                    <w:pPr>
                      <w:jc w:val="right"/>
                      <w:rPr>
                        <w:szCs w:val="21"/>
                      </w:rPr>
                    </w:pPr>
                    <w:r w:rsidRPr="008C2320">
                      <w:t>60</w:t>
                    </w:r>
                  </w:p>
                </w:tc>
                <w:tc>
                  <w:tcPr>
                    <w:tcW w:w="622" w:type="pct"/>
                  </w:tcPr>
                  <w:p w:rsidR="00302BC9" w:rsidRPr="008C2320" w:rsidRDefault="00302BC9" w:rsidP="00302BC9">
                    <w:pPr>
                      <w:jc w:val="right"/>
                      <w:rPr>
                        <w:szCs w:val="21"/>
                      </w:rPr>
                    </w:pPr>
                    <w:r w:rsidRPr="008C2320">
                      <w:t>-</w:t>
                    </w:r>
                  </w:p>
                </w:tc>
                <w:tc>
                  <w:tcPr>
                    <w:tcW w:w="687" w:type="pct"/>
                  </w:tcPr>
                  <w:p w:rsidR="00302BC9" w:rsidRPr="008C2320" w:rsidRDefault="00302BC9" w:rsidP="00302BC9">
                    <w:pPr>
                      <w:rPr>
                        <w:szCs w:val="21"/>
                      </w:rPr>
                    </w:pPr>
                    <w:r w:rsidRPr="008C2320">
                      <w:t>投资管理</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1777288631"/>
              <w:lock w:val="sdtLocked"/>
            </w:sdtPr>
            <w:sdtContent>
              <w:tr w:rsidR="00302BC9" w:rsidTr="00302BC9">
                <w:tc>
                  <w:tcPr>
                    <w:tcW w:w="1207" w:type="pct"/>
                  </w:tcPr>
                  <w:p w:rsidR="00302BC9" w:rsidRPr="008C2320" w:rsidRDefault="00302BC9" w:rsidP="00302BC9">
                    <w:pPr>
                      <w:rPr>
                        <w:szCs w:val="21"/>
                      </w:rPr>
                    </w:pPr>
                    <w:r w:rsidRPr="008C2320">
                      <w:t>北京用友创新投资中心(有限合伙)(以下简称“创新投资”)</w:t>
                    </w:r>
                  </w:p>
                </w:tc>
                <w:tc>
                  <w:tcPr>
                    <w:tcW w:w="621" w:type="pct"/>
                  </w:tcPr>
                  <w:p w:rsidR="00302BC9" w:rsidRPr="008C2320" w:rsidRDefault="00302BC9" w:rsidP="00302BC9">
                    <w:pPr>
                      <w:rPr>
                        <w:szCs w:val="21"/>
                      </w:rPr>
                    </w:pPr>
                    <w:r w:rsidRPr="008C2320">
                      <w:t>北京市</w:t>
                    </w:r>
                  </w:p>
                </w:tc>
                <w:tc>
                  <w:tcPr>
                    <w:tcW w:w="612" w:type="pct"/>
                  </w:tcPr>
                  <w:p w:rsidR="00302BC9" w:rsidRPr="008C2320" w:rsidRDefault="00302BC9" w:rsidP="00302BC9">
                    <w:pPr>
                      <w:rPr>
                        <w:szCs w:val="21"/>
                      </w:rPr>
                    </w:pPr>
                    <w:r w:rsidRPr="008C2320">
                      <w:t>北京市</w:t>
                    </w:r>
                  </w:p>
                </w:tc>
                <w:tc>
                  <w:tcPr>
                    <w:tcW w:w="630" w:type="pct"/>
                  </w:tcPr>
                  <w:p w:rsidR="00302BC9" w:rsidRPr="008C2320" w:rsidRDefault="00302BC9" w:rsidP="00302BC9">
                    <w:pPr>
                      <w:rPr>
                        <w:szCs w:val="21"/>
                      </w:rPr>
                    </w:pPr>
                    <w:r w:rsidRPr="008C2320">
                      <w:t>投资管理</w:t>
                    </w:r>
                  </w:p>
                </w:tc>
                <w:tc>
                  <w:tcPr>
                    <w:tcW w:w="621" w:type="pct"/>
                  </w:tcPr>
                  <w:p w:rsidR="00302BC9" w:rsidRPr="008C2320" w:rsidRDefault="00302BC9" w:rsidP="00302BC9">
                    <w:pPr>
                      <w:jc w:val="right"/>
                      <w:rPr>
                        <w:szCs w:val="21"/>
                      </w:rPr>
                    </w:pPr>
                    <w:r w:rsidRPr="008C2320">
                      <w:t>99</w:t>
                    </w:r>
                  </w:p>
                </w:tc>
                <w:tc>
                  <w:tcPr>
                    <w:tcW w:w="622" w:type="pct"/>
                  </w:tcPr>
                  <w:p w:rsidR="00302BC9" w:rsidRPr="008C2320" w:rsidRDefault="00302BC9" w:rsidP="00302BC9">
                    <w:pPr>
                      <w:jc w:val="right"/>
                      <w:rPr>
                        <w:szCs w:val="21"/>
                      </w:rPr>
                    </w:pPr>
                    <w:r w:rsidRPr="008C2320">
                      <w:t>1</w:t>
                    </w:r>
                  </w:p>
                </w:tc>
                <w:tc>
                  <w:tcPr>
                    <w:tcW w:w="687" w:type="pct"/>
                  </w:tcPr>
                  <w:p w:rsidR="00302BC9" w:rsidRPr="008C2320" w:rsidRDefault="00302BC9" w:rsidP="00302BC9">
                    <w:pPr>
                      <w:rPr>
                        <w:szCs w:val="21"/>
                      </w:rPr>
                    </w:pPr>
                    <w:r w:rsidRPr="008C2320">
                      <w:t>投资管理。</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598717899"/>
              <w:lock w:val="sdtLocked"/>
            </w:sdtPr>
            <w:sdtContent>
              <w:tr w:rsidR="00302BC9" w:rsidTr="00302BC9">
                <w:tc>
                  <w:tcPr>
                    <w:tcW w:w="1207" w:type="pct"/>
                  </w:tcPr>
                  <w:p w:rsidR="00302BC9" w:rsidRPr="008C2320" w:rsidRDefault="00302BC9" w:rsidP="00302BC9">
                    <w:pPr>
                      <w:rPr>
                        <w:szCs w:val="21"/>
                      </w:rPr>
                    </w:pPr>
                    <w:r w:rsidRPr="008C2320">
                      <w:t>畅捷通</w:t>
                    </w:r>
                  </w:p>
                </w:tc>
                <w:tc>
                  <w:tcPr>
                    <w:tcW w:w="621" w:type="pct"/>
                  </w:tcPr>
                  <w:p w:rsidR="00302BC9" w:rsidRPr="008C2320" w:rsidRDefault="00302BC9" w:rsidP="00302BC9">
                    <w:pPr>
                      <w:rPr>
                        <w:szCs w:val="21"/>
                      </w:rPr>
                    </w:pPr>
                    <w:r w:rsidRPr="008C2320">
                      <w:t>北京市</w:t>
                    </w:r>
                  </w:p>
                </w:tc>
                <w:tc>
                  <w:tcPr>
                    <w:tcW w:w="612" w:type="pct"/>
                  </w:tcPr>
                  <w:p w:rsidR="00302BC9" w:rsidRPr="008C2320" w:rsidRDefault="00302BC9" w:rsidP="00302BC9">
                    <w:pPr>
                      <w:rPr>
                        <w:szCs w:val="21"/>
                      </w:rPr>
                    </w:pPr>
                    <w:r w:rsidRPr="008C2320">
                      <w:t>北京市</w:t>
                    </w:r>
                  </w:p>
                </w:tc>
                <w:tc>
                  <w:tcPr>
                    <w:tcW w:w="630" w:type="pct"/>
                  </w:tcPr>
                  <w:p w:rsidR="00302BC9" w:rsidRPr="008C2320" w:rsidRDefault="00302BC9" w:rsidP="00302BC9">
                    <w:pPr>
                      <w:rPr>
                        <w:szCs w:val="21"/>
                      </w:rPr>
                    </w:pPr>
                    <w:r w:rsidRPr="008C2320">
                      <w:t>计算机软/硬件/耗材、电子行业</w:t>
                    </w:r>
                  </w:p>
                </w:tc>
                <w:tc>
                  <w:tcPr>
                    <w:tcW w:w="621" w:type="pct"/>
                  </w:tcPr>
                  <w:p w:rsidR="00302BC9" w:rsidRPr="008C2320" w:rsidRDefault="00302BC9" w:rsidP="00302BC9">
                    <w:pPr>
                      <w:jc w:val="right"/>
                      <w:rPr>
                        <w:szCs w:val="21"/>
                      </w:rPr>
                    </w:pPr>
                    <w:r w:rsidRPr="008C2320">
                      <w:t>68.94</w:t>
                    </w:r>
                  </w:p>
                </w:tc>
                <w:tc>
                  <w:tcPr>
                    <w:tcW w:w="622" w:type="pct"/>
                  </w:tcPr>
                  <w:p w:rsidR="00302BC9" w:rsidRPr="008C2320" w:rsidRDefault="00302BC9" w:rsidP="00302BC9">
                    <w:pPr>
                      <w:jc w:val="right"/>
                      <w:rPr>
                        <w:szCs w:val="21"/>
                      </w:rPr>
                    </w:pPr>
                    <w:r w:rsidRPr="008C2320">
                      <w:t>2.9</w:t>
                    </w:r>
                  </w:p>
                </w:tc>
                <w:tc>
                  <w:tcPr>
                    <w:tcW w:w="687" w:type="pct"/>
                  </w:tcPr>
                  <w:p w:rsidR="00302BC9" w:rsidRPr="008C2320" w:rsidRDefault="00302BC9" w:rsidP="00302BC9">
                    <w:pPr>
                      <w:rPr>
                        <w:szCs w:val="21"/>
                      </w:rPr>
                    </w:pPr>
                    <w:r w:rsidRPr="008C2320">
                      <w:t>电子计算机软件、硬件及外部设备的技术开发、技术咨询、技术转让、技术服务、技术培训；销售打印纸和计算机耗材、电子计算机软硬件及外部设备；数据库服务；设计、制作、代理、发布广告；第二类增值电信业务</w:t>
                    </w:r>
                    <w:r w:rsidRPr="008C2320">
                      <w:lastRenderedPageBreak/>
                      <w:t>中的信息服务业务。（仅限互联网信息服务）(电信与信息服务业业务经营许可证有效期至2018年5月31日)。</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373271274"/>
              <w:lock w:val="sdtLocked"/>
            </w:sdtPr>
            <w:sdtContent>
              <w:tr w:rsidR="00302BC9" w:rsidTr="00302BC9">
                <w:tc>
                  <w:tcPr>
                    <w:tcW w:w="1207" w:type="pct"/>
                  </w:tcPr>
                  <w:p w:rsidR="00302BC9" w:rsidRPr="008C2320" w:rsidRDefault="00302BC9" w:rsidP="00302BC9">
                    <w:pPr>
                      <w:rPr>
                        <w:szCs w:val="21"/>
                      </w:rPr>
                    </w:pPr>
                    <w:r w:rsidRPr="008C2320">
                      <w:t>用友长伴管理咨询(上海)有限公司(以下简称“长伴咨询”)</w:t>
                    </w:r>
                  </w:p>
                </w:tc>
                <w:tc>
                  <w:tcPr>
                    <w:tcW w:w="621" w:type="pct"/>
                  </w:tcPr>
                  <w:p w:rsidR="00302BC9" w:rsidRPr="008C2320" w:rsidRDefault="00302BC9" w:rsidP="00302BC9">
                    <w:pPr>
                      <w:rPr>
                        <w:szCs w:val="21"/>
                      </w:rPr>
                    </w:pPr>
                    <w:r w:rsidRPr="008C2320">
                      <w:t>上海市</w:t>
                    </w:r>
                  </w:p>
                </w:tc>
                <w:tc>
                  <w:tcPr>
                    <w:tcW w:w="612" w:type="pct"/>
                  </w:tcPr>
                  <w:p w:rsidR="00302BC9" w:rsidRPr="008C2320" w:rsidRDefault="00302BC9" w:rsidP="00302BC9">
                    <w:pPr>
                      <w:rPr>
                        <w:szCs w:val="21"/>
                      </w:rPr>
                    </w:pPr>
                    <w:r w:rsidRPr="008C2320">
                      <w:t>上海市</w:t>
                    </w:r>
                  </w:p>
                </w:tc>
                <w:tc>
                  <w:tcPr>
                    <w:tcW w:w="630" w:type="pct"/>
                  </w:tcPr>
                  <w:p w:rsidR="00302BC9" w:rsidRPr="008C2320" w:rsidRDefault="00302BC9" w:rsidP="00302BC9">
                    <w:pPr>
                      <w:rPr>
                        <w:szCs w:val="21"/>
                      </w:rPr>
                    </w:pPr>
                    <w:r w:rsidRPr="008C2320">
                      <w:t>企业管理咨询/计算机应用系统的规划、集成和开发</w:t>
                    </w:r>
                  </w:p>
                </w:tc>
                <w:tc>
                  <w:tcPr>
                    <w:tcW w:w="621" w:type="pct"/>
                  </w:tcPr>
                  <w:p w:rsidR="00302BC9" w:rsidRPr="008C2320" w:rsidRDefault="00302BC9" w:rsidP="00302BC9">
                    <w:pPr>
                      <w:jc w:val="right"/>
                      <w:rPr>
                        <w:szCs w:val="21"/>
                      </w:rPr>
                    </w:pPr>
                    <w:r w:rsidRPr="008C2320">
                      <w:t>100</w:t>
                    </w:r>
                  </w:p>
                </w:tc>
                <w:tc>
                  <w:tcPr>
                    <w:tcW w:w="622" w:type="pct"/>
                  </w:tcPr>
                  <w:p w:rsidR="00302BC9" w:rsidRPr="008C2320" w:rsidRDefault="00302BC9" w:rsidP="00302BC9">
                    <w:pPr>
                      <w:jc w:val="right"/>
                      <w:rPr>
                        <w:szCs w:val="21"/>
                      </w:rPr>
                    </w:pPr>
                    <w:r w:rsidRPr="008C2320">
                      <w:t>-</w:t>
                    </w:r>
                  </w:p>
                </w:tc>
                <w:tc>
                  <w:tcPr>
                    <w:tcW w:w="687" w:type="pct"/>
                  </w:tcPr>
                  <w:p w:rsidR="00302BC9" w:rsidRPr="008C2320" w:rsidRDefault="00302BC9" w:rsidP="00302BC9">
                    <w:pPr>
                      <w:rPr>
                        <w:szCs w:val="21"/>
                      </w:rPr>
                    </w:pPr>
                    <w:r w:rsidRPr="008C2320">
                      <w:t>企业管理服务，计算机应用系统的规划、集成和开发、相关技术支持服务，商务信息咨询，财务咨询(除代理记账)。</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908665785"/>
              <w:lock w:val="sdtLocked"/>
            </w:sdtPr>
            <w:sdtContent>
              <w:tr w:rsidR="00302BC9" w:rsidTr="00302BC9">
                <w:tc>
                  <w:tcPr>
                    <w:tcW w:w="1207" w:type="pct"/>
                  </w:tcPr>
                  <w:p w:rsidR="00302BC9" w:rsidRPr="008C2320" w:rsidRDefault="00302BC9" w:rsidP="00302BC9">
                    <w:pPr>
                      <w:rPr>
                        <w:szCs w:val="21"/>
                      </w:rPr>
                    </w:pPr>
                    <w:r w:rsidRPr="008C2320">
                      <w:t>新道科技</w:t>
                    </w:r>
                  </w:p>
                </w:tc>
                <w:tc>
                  <w:tcPr>
                    <w:tcW w:w="621" w:type="pct"/>
                  </w:tcPr>
                  <w:p w:rsidR="00302BC9" w:rsidRPr="008C2320" w:rsidRDefault="00302BC9" w:rsidP="00302BC9">
                    <w:pPr>
                      <w:rPr>
                        <w:szCs w:val="21"/>
                      </w:rPr>
                    </w:pPr>
                    <w:r w:rsidRPr="008C2320">
                      <w:t>三亚市</w:t>
                    </w:r>
                  </w:p>
                </w:tc>
                <w:tc>
                  <w:tcPr>
                    <w:tcW w:w="612" w:type="pct"/>
                  </w:tcPr>
                  <w:p w:rsidR="00302BC9" w:rsidRPr="008C2320" w:rsidRDefault="00302BC9" w:rsidP="00302BC9">
                    <w:pPr>
                      <w:rPr>
                        <w:szCs w:val="21"/>
                      </w:rPr>
                    </w:pPr>
                    <w:r w:rsidRPr="008C2320">
                      <w:t>三亚市</w:t>
                    </w:r>
                  </w:p>
                </w:tc>
                <w:tc>
                  <w:tcPr>
                    <w:tcW w:w="630" w:type="pct"/>
                  </w:tcPr>
                  <w:p w:rsidR="00302BC9" w:rsidRPr="008C2320" w:rsidRDefault="00302BC9" w:rsidP="00302BC9">
                    <w:pPr>
                      <w:rPr>
                        <w:szCs w:val="21"/>
                      </w:rPr>
                    </w:pPr>
                    <w:r w:rsidRPr="008C2320">
                      <w:t>计算机软件/管理培训</w:t>
                    </w:r>
                  </w:p>
                </w:tc>
                <w:tc>
                  <w:tcPr>
                    <w:tcW w:w="621" w:type="pct"/>
                  </w:tcPr>
                  <w:p w:rsidR="00302BC9" w:rsidRPr="008C2320" w:rsidRDefault="00302BC9" w:rsidP="00302BC9">
                    <w:pPr>
                      <w:jc w:val="right"/>
                      <w:rPr>
                        <w:szCs w:val="21"/>
                      </w:rPr>
                    </w:pPr>
                    <w:r w:rsidRPr="008C2320">
                      <w:t>57.42</w:t>
                    </w:r>
                  </w:p>
                </w:tc>
                <w:tc>
                  <w:tcPr>
                    <w:tcW w:w="622" w:type="pct"/>
                  </w:tcPr>
                  <w:p w:rsidR="00302BC9" w:rsidRPr="008C2320" w:rsidRDefault="00302BC9" w:rsidP="00302BC9">
                    <w:pPr>
                      <w:jc w:val="right"/>
                      <w:rPr>
                        <w:szCs w:val="21"/>
                      </w:rPr>
                    </w:pPr>
                    <w:r w:rsidRPr="008C2320">
                      <w:t>-</w:t>
                    </w:r>
                  </w:p>
                </w:tc>
                <w:tc>
                  <w:tcPr>
                    <w:tcW w:w="687" w:type="pct"/>
                  </w:tcPr>
                  <w:p w:rsidR="00302BC9" w:rsidRPr="008C2320" w:rsidRDefault="00302BC9" w:rsidP="00302BC9">
                    <w:pPr>
                      <w:rPr>
                        <w:szCs w:val="21"/>
                      </w:rPr>
                    </w:pPr>
                    <w:r w:rsidRPr="008C2320">
                      <w:t>电子计算机软件、硬件及外部设备的技术开发、技术咨询、技术转让、技术服务、技术培训；管理课程开发与培训、销售打印纸和计算机耗材；管理咨询与服务；数据库服务；人才中介服务；销售电子计算机软件</w:t>
                    </w:r>
                    <w:r w:rsidRPr="008C2320">
                      <w:lastRenderedPageBreak/>
                      <w:t>硬件及外部设备；在线学习；大赛与活动的策划与执行；自营和代理各类商品和技术进出口</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476584812"/>
              <w:lock w:val="sdtLocked"/>
            </w:sdtPr>
            <w:sdtContent>
              <w:tr w:rsidR="00302BC9" w:rsidTr="00302BC9">
                <w:tc>
                  <w:tcPr>
                    <w:tcW w:w="1207" w:type="pct"/>
                  </w:tcPr>
                  <w:p w:rsidR="00302BC9" w:rsidRPr="008C2320" w:rsidRDefault="00302BC9" w:rsidP="00302BC9">
                    <w:pPr>
                      <w:rPr>
                        <w:szCs w:val="21"/>
                      </w:rPr>
                    </w:pPr>
                    <w:r w:rsidRPr="008C2320">
                      <w:t>用友云达信息技术服务（南昌）有限公司(以下简称”用友云达”)</w:t>
                    </w:r>
                  </w:p>
                </w:tc>
                <w:tc>
                  <w:tcPr>
                    <w:tcW w:w="621" w:type="pct"/>
                  </w:tcPr>
                  <w:p w:rsidR="00302BC9" w:rsidRPr="008C2320" w:rsidRDefault="00302BC9" w:rsidP="00302BC9">
                    <w:pPr>
                      <w:rPr>
                        <w:szCs w:val="21"/>
                      </w:rPr>
                    </w:pPr>
                    <w:r w:rsidRPr="008C2320">
                      <w:t>南昌市</w:t>
                    </w:r>
                  </w:p>
                </w:tc>
                <w:tc>
                  <w:tcPr>
                    <w:tcW w:w="612" w:type="pct"/>
                  </w:tcPr>
                  <w:p w:rsidR="00302BC9" w:rsidRPr="008C2320" w:rsidRDefault="00302BC9" w:rsidP="00302BC9">
                    <w:pPr>
                      <w:rPr>
                        <w:szCs w:val="21"/>
                      </w:rPr>
                    </w:pPr>
                    <w:r w:rsidRPr="008C2320">
                      <w:t>南昌市</w:t>
                    </w:r>
                  </w:p>
                </w:tc>
                <w:tc>
                  <w:tcPr>
                    <w:tcW w:w="630" w:type="pct"/>
                  </w:tcPr>
                  <w:p w:rsidR="00302BC9" w:rsidRPr="008C2320" w:rsidRDefault="00302BC9" w:rsidP="00302BC9">
                    <w:pPr>
                      <w:rPr>
                        <w:szCs w:val="21"/>
                      </w:rPr>
                    </w:pPr>
                    <w:r w:rsidRPr="008C2320">
                      <w:t>计算机软件/系统集成/咨询行业</w:t>
                    </w:r>
                  </w:p>
                </w:tc>
                <w:tc>
                  <w:tcPr>
                    <w:tcW w:w="621" w:type="pct"/>
                  </w:tcPr>
                  <w:p w:rsidR="00302BC9" w:rsidRPr="008C2320" w:rsidRDefault="00302BC9" w:rsidP="00302BC9">
                    <w:pPr>
                      <w:jc w:val="right"/>
                      <w:rPr>
                        <w:szCs w:val="21"/>
                      </w:rPr>
                    </w:pPr>
                    <w:r w:rsidRPr="008C2320">
                      <w:t>100</w:t>
                    </w:r>
                  </w:p>
                </w:tc>
                <w:tc>
                  <w:tcPr>
                    <w:tcW w:w="622" w:type="pct"/>
                  </w:tcPr>
                  <w:p w:rsidR="00302BC9" w:rsidRPr="008C2320" w:rsidRDefault="00302BC9" w:rsidP="00302BC9">
                    <w:pPr>
                      <w:jc w:val="right"/>
                      <w:rPr>
                        <w:szCs w:val="21"/>
                      </w:rPr>
                    </w:pPr>
                    <w:r w:rsidRPr="008C2320">
                      <w:t>-</w:t>
                    </w:r>
                  </w:p>
                </w:tc>
                <w:tc>
                  <w:tcPr>
                    <w:tcW w:w="687" w:type="pct"/>
                  </w:tcPr>
                  <w:p w:rsidR="00302BC9" w:rsidRPr="008C2320" w:rsidRDefault="00302BC9" w:rsidP="00302BC9">
                    <w:pPr>
                      <w:rPr>
                        <w:szCs w:val="21"/>
                      </w:rPr>
                    </w:pPr>
                    <w:r w:rsidRPr="008C2320">
                      <w:t>计算机软件、硬件及外部设备的技术开发、技术咨询、技术转让、技术服务；企业管理咨询；数据库服务；系统集成；计算机软硬件及外部设备、打印纸、计算机耗材销售。</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1380898723"/>
              <w:lock w:val="sdtLocked"/>
            </w:sdtPr>
            <w:sdtContent>
              <w:tr w:rsidR="00302BC9" w:rsidTr="00302BC9">
                <w:tc>
                  <w:tcPr>
                    <w:tcW w:w="1207" w:type="pct"/>
                  </w:tcPr>
                  <w:p w:rsidR="00302BC9" w:rsidRPr="008C2320" w:rsidRDefault="00302BC9" w:rsidP="00302BC9">
                    <w:pPr>
                      <w:rPr>
                        <w:szCs w:val="21"/>
                      </w:rPr>
                    </w:pPr>
                    <w:r w:rsidRPr="008C2320">
                      <w:t>用友优普</w:t>
                    </w:r>
                  </w:p>
                </w:tc>
                <w:tc>
                  <w:tcPr>
                    <w:tcW w:w="621" w:type="pct"/>
                  </w:tcPr>
                  <w:p w:rsidR="00302BC9" w:rsidRPr="008C2320" w:rsidRDefault="00302BC9" w:rsidP="00302BC9">
                    <w:pPr>
                      <w:rPr>
                        <w:szCs w:val="21"/>
                      </w:rPr>
                    </w:pPr>
                    <w:r w:rsidRPr="008C2320">
                      <w:t>北京市</w:t>
                    </w:r>
                  </w:p>
                </w:tc>
                <w:tc>
                  <w:tcPr>
                    <w:tcW w:w="612" w:type="pct"/>
                  </w:tcPr>
                  <w:p w:rsidR="00302BC9" w:rsidRPr="008C2320" w:rsidRDefault="00302BC9" w:rsidP="00302BC9">
                    <w:pPr>
                      <w:rPr>
                        <w:szCs w:val="21"/>
                      </w:rPr>
                    </w:pPr>
                    <w:r w:rsidRPr="008C2320">
                      <w:t>北京市</w:t>
                    </w:r>
                  </w:p>
                </w:tc>
                <w:tc>
                  <w:tcPr>
                    <w:tcW w:w="630" w:type="pct"/>
                  </w:tcPr>
                  <w:p w:rsidR="00302BC9" w:rsidRPr="008C2320" w:rsidRDefault="00302BC9" w:rsidP="00302BC9">
                    <w:pPr>
                      <w:rPr>
                        <w:szCs w:val="21"/>
                      </w:rPr>
                    </w:pPr>
                    <w:r w:rsidRPr="008C2320">
                      <w:t>计算软件/系统集成/咨询行业</w:t>
                    </w:r>
                  </w:p>
                </w:tc>
                <w:tc>
                  <w:tcPr>
                    <w:tcW w:w="621" w:type="pct"/>
                  </w:tcPr>
                  <w:p w:rsidR="00302BC9" w:rsidRPr="008C2320" w:rsidRDefault="00302BC9" w:rsidP="00302BC9">
                    <w:pPr>
                      <w:jc w:val="right"/>
                      <w:rPr>
                        <w:szCs w:val="21"/>
                      </w:rPr>
                    </w:pPr>
                    <w:r w:rsidRPr="008C2320">
                      <w:t>100</w:t>
                    </w:r>
                  </w:p>
                </w:tc>
                <w:tc>
                  <w:tcPr>
                    <w:tcW w:w="622" w:type="pct"/>
                  </w:tcPr>
                  <w:p w:rsidR="00302BC9" w:rsidRPr="008C2320" w:rsidRDefault="00302BC9" w:rsidP="00302BC9">
                    <w:pPr>
                      <w:jc w:val="right"/>
                      <w:rPr>
                        <w:szCs w:val="21"/>
                      </w:rPr>
                    </w:pPr>
                  </w:p>
                </w:tc>
                <w:tc>
                  <w:tcPr>
                    <w:tcW w:w="687" w:type="pct"/>
                  </w:tcPr>
                  <w:p w:rsidR="00302BC9" w:rsidRPr="008C2320" w:rsidRDefault="00302BC9" w:rsidP="00302BC9">
                    <w:pPr>
                      <w:rPr>
                        <w:szCs w:val="21"/>
                      </w:rPr>
                    </w:pPr>
                    <w:r w:rsidRPr="008C2320">
                      <w:rPr>
                        <w:rFonts w:hint="eastAsia"/>
                      </w:rPr>
                      <w:t>电子计算机软件、硬件及辅助设备的技术开发、技术咨询、技术转让、技术服务、技术培训；企业管理咨询；数据库服务；销售计算机、软件及辅助设备；设计、制作、代</w:t>
                    </w:r>
                    <w:r w:rsidRPr="008C2320">
                      <w:rPr>
                        <w:rFonts w:hint="eastAsia"/>
                      </w:rPr>
                      <w:lastRenderedPageBreak/>
                      <w:t>理、发布广告；技术进出口、货物进出口、代理进出口。</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377393150"/>
              <w:lock w:val="sdtLocked"/>
            </w:sdtPr>
            <w:sdtContent>
              <w:tr w:rsidR="00302BC9" w:rsidTr="00302BC9">
                <w:tc>
                  <w:tcPr>
                    <w:tcW w:w="1207" w:type="pct"/>
                  </w:tcPr>
                  <w:p w:rsidR="00302BC9" w:rsidRPr="008C2320" w:rsidRDefault="00302BC9" w:rsidP="00302BC9">
                    <w:pPr>
                      <w:rPr>
                        <w:rFonts w:cstheme="minorBidi"/>
                        <w:kern w:val="2"/>
                        <w:szCs w:val="21"/>
                      </w:rPr>
                    </w:pPr>
                    <w:r w:rsidRPr="008C2320">
                      <w:rPr>
                        <w:rFonts w:cstheme="minorBidi" w:hint="eastAsia"/>
                        <w:kern w:val="2"/>
                        <w:szCs w:val="21"/>
                      </w:rPr>
                      <w:t>深圳前海用友力合金融服务有限公司</w:t>
                    </w:r>
                    <w:r w:rsidRPr="008C2320">
                      <w:rPr>
                        <w:rFonts w:cstheme="minorBidi"/>
                        <w:kern w:val="2"/>
                        <w:szCs w:val="21"/>
                      </w:rPr>
                      <w:t xml:space="preserve"> (以下简称</w:t>
                    </w:r>
                    <w:r w:rsidRPr="008C2320">
                      <w:rPr>
                        <w:rFonts w:cstheme="minorBidi" w:hint="eastAsia"/>
                        <w:kern w:val="2"/>
                        <w:szCs w:val="21"/>
                      </w:rPr>
                      <w:t>“友金所”</w:t>
                    </w:r>
                    <w:r w:rsidRPr="008C2320">
                      <w:rPr>
                        <w:rFonts w:cstheme="minorBidi"/>
                        <w:kern w:val="2"/>
                        <w:szCs w:val="21"/>
                      </w:rPr>
                      <w:t>)</w:t>
                    </w:r>
                  </w:p>
                </w:tc>
                <w:tc>
                  <w:tcPr>
                    <w:tcW w:w="621" w:type="pct"/>
                  </w:tcPr>
                  <w:p w:rsidR="00302BC9" w:rsidRPr="008C2320" w:rsidRDefault="00302BC9" w:rsidP="00302BC9">
                    <w:pPr>
                      <w:rPr>
                        <w:szCs w:val="21"/>
                      </w:rPr>
                    </w:pPr>
                    <w:r w:rsidRPr="008C2320">
                      <w:t>深圳市</w:t>
                    </w:r>
                  </w:p>
                </w:tc>
                <w:tc>
                  <w:tcPr>
                    <w:tcW w:w="612" w:type="pct"/>
                  </w:tcPr>
                  <w:p w:rsidR="00302BC9" w:rsidRPr="008C2320" w:rsidRDefault="00302BC9" w:rsidP="00302BC9">
                    <w:pPr>
                      <w:rPr>
                        <w:szCs w:val="21"/>
                      </w:rPr>
                    </w:pPr>
                    <w:r w:rsidRPr="008C2320">
                      <w:rPr>
                        <w:rFonts w:hint="eastAsia"/>
                        <w:szCs w:val="21"/>
                      </w:rPr>
                      <w:t>深圳市</w:t>
                    </w:r>
                  </w:p>
                  <w:p w:rsidR="00302BC9" w:rsidRPr="008C2320" w:rsidRDefault="00302BC9" w:rsidP="00302BC9">
                    <w:pPr>
                      <w:rPr>
                        <w:szCs w:val="21"/>
                      </w:rPr>
                    </w:pPr>
                  </w:p>
                  <w:p w:rsidR="00302BC9" w:rsidRPr="008C2320" w:rsidRDefault="00302BC9" w:rsidP="00302BC9">
                    <w:pPr>
                      <w:rPr>
                        <w:szCs w:val="21"/>
                      </w:rPr>
                    </w:pPr>
                  </w:p>
                  <w:p w:rsidR="00302BC9" w:rsidRPr="008C2320" w:rsidRDefault="00302BC9" w:rsidP="00302BC9">
                    <w:pPr>
                      <w:rPr>
                        <w:szCs w:val="21"/>
                      </w:rPr>
                    </w:pPr>
                  </w:p>
                </w:tc>
                <w:tc>
                  <w:tcPr>
                    <w:tcW w:w="630" w:type="pct"/>
                  </w:tcPr>
                  <w:p w:rsidR="00302BC9" w:rsidRPr="008C2320" w:rsidRDefault="00302BC9" w:rsidP="00302BC9">
                    <w:pPr>
                      <w:rPr>
                        <w:szCs w:val="21"/>
                      </w:rPr>
                    </w:pPr>
                    <w:r w:rsidRPr="008C2320">
                      <w:rPr>
                        <w:rFonts w:hint="eastAsia"/>
                        <w:szCs w:val="21"/>
                      </w:rPr>
                      <w:t>咨询管理</w:t>
                    </w:r>
                    <w:r w:rsidRPr="008C2320">
                      <w:rPr>
                        <w:szCs w:val="21"/>
                      </w:rPr>
                      <w:t>/计算机软件</w:t>
                    </w:r>
                  </w:p>
                </w:tc>
                <w:tc>
                  <w:tcPr>
                    <w:tcW w:w="621" w:type="pct"/>
                  </w:tcPr>
                  <w:p w:rsidR="00302BC9" w:rsidRPr="008C2320" w:rsidRDefault="00302BC9" w:rsidP="00302BC9">
                    <w:pPr>
                      <w:jc w:val="right"/>
                      <w:rPr>
                        <w:szCs w:val="21"/>
                      </w:rPr>
                    </w:pPr>
                    <w:r w:rsidRPr="008C2320">
                      <w:rPr>
                        <w:szCs w:val="21"/>
                      </w:rPr>
                      <w:t>51.13</w:t>
                    </w:r>
                  </w:p>
                  <w:p w:rsidR="00302BC9" w:rsidRPr="008C2320" w:rsidRDefault="00302BC9" w:rsidP="00302BC9">
                    <w:pPr>
                      <w:jc w:val="right"/>
                      <w:rPr>
                        <w:szCs w:val="21"/>
                      </w:rPr>
                    </w:pPr>
                  </w:p>
                  <w:p w:rsidR="00302BC9" w:rsidRPr="008C2320" w:rsidRDefault="00302BC9" w:rsidP="00302BC9">
                    <w:pPr>
                      <w:jc w:val="right"/>
                      <w:rPr>
                        <w:szCs w:val="21"/>
                      </w:rPr>
                    </w:pPr>
                  </w:p>
                  <w:p w:rsidR="00302BC9" w:rsidRPr="008C2320" w:rsidRDefault="00302BC9" w:rsidP="00302BC9">
                    <w:pPr>
                      <w:jc w:val="right"/>
                      <w:rPr>
                        <w:szCs w:val="21"/>
                      </w:rPr>
                    </w:pPr>
                  </w:p>
                </w:tc>
                <w:tc>
                  <w:tcPr>
                    <w:tcW w:w="622" w:type="pct"/>
                  </w:tcPr>
                  <w:p w:rsidR="00302BC9" w:rsidRPr="008C2320" w:rsidRDefault="00302BC9" w:rsidP="00302BC9">
                    <w:pPr>
                      <w:jc w:val="right"/>
                      <w:rPr>
                        <w:szCs w:val="21"/>
                      </w:rPr>
                    </w:pPr>
                  </w:p>
                </w:tc>
                <w:tc>
                  <w:tcPr>
                    <w:tcW w:w="687" w:type="pct"/>
                  </w:tcPr>
                  <w:p w:rsidR="00302BC9" w:rsidRPr="008C2320" w:rsidRDefault="00302BC9" w:rsidP="00302BC9">
                    <w:pPr>
                      <w:rPr>
                        <w:szCs w:val="21"/>
                      </w:rPr>
                    </w:pPr>
                    <w:r w:rsidRPr="008C2320">
                      <w:rPr>
                        <w:rFonts w:hint="eastAsia"/>
                        <w:szCs w:val="21"/>
                      </w:rPr>
                      <w:t>金融信息咨询，投资管理（不含限制项目）；投资咨询（不含限制项目）；投资顾问（不含限制项目）；计算机编程；计算机软件设计；商务信息咨询、商业信息咨询、企业管理咨询、投资信息咨询、投资项目策划、财务管理咨询、经济信息咨询（以上法律、行政法规、国务院决定禁止的项目除外，限制的项目须取得许可后方可经营）。</w:t>
                    </w:r>
                  </w:p>
                  <w:p w:rsidR="00302BC9" w:rsidRPr="008C2320" w:rsidRDefault="00302BC9" w:rsidP="00302BC9">
                    <w:pPr>
                      <w:rPr>
                        <w:szCs w:val="21"/>
                      </w:rPr>
                    </w:pPr>
                  </w:p>
                  <w:p w:rsidR="00302BC9" w:rsidRPr="008C2320" w:rsidRDefault="00302BC9" w:rsidP="00302BC9">
                    <w:pPr>
                      <w:rPr>
                        <w:szCs w:val="21"/>
                      </w:rPr>
                    </w:pPr>
                  </w:p>
                  <w:p w:rsidR="00302BC9" w:rsidRPr="008C2320" w:rsidRDefault="00302BC9" w:rsidP="00302BC9">
                    <w:pPr>
                      <w:rPr>
                        <w:szCs w:val="21"/>
                      </w:rPr>
                    </w:pP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1329413477"/>
              <w:lock w:val="sdtLocked"/>
            </w:sdtPr>
            <w:sdtContent>
              <w:tr w:rsidR="00302BC9" w:rsidTr="00302BC9">
                <w:tc>
                  <w:tcPr>
                    <w:tcW w:w="1207" w:type="pct"/>
                  </w:tcPr>
                  <w:p w:rsidR="00302BC9" w:rsidRPr="008C2320" w:rsidRDefault="00302BC9" w:rsidP="00302BC9">
                    <w:pPr>
                      <w:rPr>
                        <w:szCs w:val="21"/>
                      </w:rPr>
                    </w:pPr>
                    <w:r w:rsidRPr="008C2320">
                      <w:t>用友移动</w:t>
                    </w:r>
                  </w:p>
                </w:tc>
                <w:tc>
                  <w:tcPr>
                    <w:tcW w:w="621" w:type="pct"/>
                  </w:tcPr>
                  <w:p w:rsidR="00302BC9" w:rsidRPr="008C2320" w:rsidRDefault="00302BC9" w:rsidP="00302BC9">
                    <w:pPr>
                      <w:rPr>
                        <w:szCs w:val="21"/>
                      </w:rPr>
                    </w:pPr>
                    <w:r w:rsidRPr="008C2320">
                      <w:t>北京市</w:t>
                    </w:r>
                  </w:p>
                </w:tc>
                <w:tc>
                  <w:tcPr>
                    <w:tcW w:w="612" w:type="pct"/>
                  </w:tcPr>
                  <w:p w:rsidR="00302BC9" w:rsidRPr="008C2320" w:rsidRDefault="00302BC9" w:rsidP="00302BC9">
                    <w:pPr>
                      <w:rPr>
                        <w:szCs w:val="21"/>
                      </w:rPr>
                    </w:pPr>
                    <w:r w:rsidRPr="008C2320">
                      <w:t>北京市</w:t>
                    </w:r>
                  </w:p>
                </w:tc>
                <w:tc>
                  <w:tcPr>
                    <w:tcW w:w="630" w:type="pct"/>
                  </w:tcPr>
                  <w:p w:rsidR="00302BC9" w:rsidRPr="008C2320" w:rsidRDefault="00302BC9" w:rsidP="00302BC9">
                    <w:pPr>
                      <w:rPr>
                        <w:szCs w:val="21"/>
                      </w:rPr>
                    </w:pPr>
                    <w:r w:rsidRPr="008C2320">
                      <w:t>计算机软硬件及设备行业</w:t>
                    </w:r>
                  </w:p>
                </w:tc>
                <w:tc>
                  <w:tcPr>
                    <w:tcW w:w="621" w:type="pct"/>
                  </w:tcPr>
                  <w:p w:rsidR="00302BC9" w:rsidRPr="008C2320" w:rsidRDefault="00302BC9" w:rsidP="00302BC9">
                    <w:pPr>
                      <w:jc w:val="right"/>
                      <w:rPr>
                        <w:szCs w:val="21"/>
                      </w:rPr>
                    </w:pPr>
                    <w:r w:rsidRPr="008C2320">
                      <w:t>30.2</w:t>
                    </w:r>
                  </w:p>
                </w:tc>
                <w:tc>
                  <w:tcPr>
                    <w:tcW w:w="622" w:type="pct"/>
                  </w:tcPr>
                  <w:p w:rsidR="00302BC9" w:rsidRPr="008C2320" w:rsidRDefault="00302BC9" w:rsidP="00302BC9">
                    <w:pPr>
                      <w:jc w:val="right"/>
                      <w:rPr>
                        <w:szCs w:val="21"/>
                      </w:rPr>
                    </w:pPr>
                    <w:r w:rsidRPr="008C2320">
                      <w:t>69.8</w:t>
                    </w:r>
                  </w:p>
                </w:tc>
                <w:tc>
                  <w:tcPr>
                    <w:tcW w:w="687" w:type="pct"/>
                  </w:tcPr>
                  <w:p w:rsidR="00302BC9" w:rsidRPr="008C2320" w:rsidRDefault="00302BC9" w:rsidP="00302BC9">
                    <w:pPr>
                      <w:rPr>
                        <w:szCs w:val="21"/>
                      </w:rPr>
                    </w:pPr>
                    <w:r w:rsidRPr="008C2320">
                      <w:t>工程和技术研究与试验发展；计算机的技术开发、技术咨询、技术转让、技术服务、技术培训；数据处理；租赁计算机、通讯设备；销售通讯设备、计算机、软件及辅助设备、文化用品；开展移动通讯转售业务试点（不包含预付费业务）；第二类增值电信业务中的国内多方通信服务业务；第二类增值电信业务中的存储转发类业务；第二类增值电信业务中的信息服务业务（不含互联网信息服务）。</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1540658606"/>
              <w:lock w:val="sdtLocked"/>
            </w:sdtPr>
            <w:sdtContent>
              <w:tr w:rsidR="00302BC9" w:rsidTr="00302BC9">
                <w:tc>
                  <w:tcPr>
                    <w:tcW w:w="1207" w:type="pct"/>
                  </w:tcPr>
                  <w:p w:rsidR="00302BC9" w:rsidRPr="008C2320" w:rsidRDefault="00302BC9" w:rsidP="00302BC9">
                    <w:pPr>
                      <w:rPr>
                        <w:szCs w:val="21"/>
                      </w:rPr>
                    </w:pPr>
                    <w:r w:rsidRPr="008C2320">
                      <w:t>用友能源</w:t>
                    </w:r>
                  </w:p>
                </w:tc>
                <w:tc>
                  <w:tcPr>
                    <w:tcW w:w="621" w:type="pct"/>
                  </w:tcPr>
                  <w:p w:rsidR="00302BC9" w:rsidRPr="008C2320" w:rsidRDefault="00302BC9" w:rsidP="00302BC9">
                    <w:pPr>
                      <w:rPr>
                        <w:szCs w:val="21"/>
                      </w:rPr>
                    </w:pPr>
                    <w:r w:rsidRPr="008C2320">
                      <w:t>北京市</w:t>
                    </w:r>
                  </w:p>
                </w:tc>
                <w:tc>
                  <w:tcPr>
                    <w:tcW w:w="612" w:type="pct"/>
                  </w:tcPr>
                  <w:p w:rsidR="00302BC9" w:rsidRPr="008C2320" w:rsidRDefault="00302BC9" w:rsidP="00302BC9">
                    <w:pPr>
                      <w:rPr>
                        <w:szCs w:val="21"/>
                      </w:rPr>
                    </w:pPr>
                    <w:r w:rsidRPr="008C2320">
                      <w:t>北京市</w:t>
                    </w:r>
                  </w:p>
                </w:tc>
                <w:tc>
                  <w:tcPr>
                    <w:tcW w:w="630" w:type="pct"/>
                  </w:tcPr>
                  <w:p w:rsidR="00302BC9" w:rsidRPr="008C2320" w:rsidRDefault="00302BC9" w:rsidP="00302BC9">
                    <w:pPr>
                      <w:rPr>
                        <w:szCs w:val="21"/>
                      </w:rPr>
                    </w:pPr>
                    <w:r w:rsidRPr="008C2320">
                      <w:t>计算机技术及产品/咨询</w:t>
                    </w:r>
                  </w:p>
                </w:tc>
                <w:tc>
                  <w:tcPr>
                    <w:tcW w:w="621" w:type="pct"/>
                  </w:tcPr>
                  <w:p w:rsidR="00302BC9" w:rsidRPr="008C2320" w:rsidRDefault="00302BC9" w:rsidP="00302BC9">
                    <w:pPr>
                      <w:jc w:val="right"/>
                      <w:rPr>
                        <w:szCs w:val="21"/>
                      </w:rPr>
                    </w:pPr>
                    <w:r w:rsidRPr="008C2320">
                      <w:t>100</w:t>
                    </w:r>
                  </w:p>
                </w:tc>
                <w:tc>
                  <w:tcPr>
                    <w:tcW w:w="622" w:type="pct"/>
                  </w:tcPr>
                  <w:p w:rsidR="00302BC9" w:rsidRPr="008C2320" w:rsidRDefault="00302BC9" w:rsidP="00302BC9">
                    <w:pPr>
                      <w:jc w:val="right"/>
                      <w:rPr>
                        <w:szCs w:val="21"/>
                      </w:rPr>
                    </w:pPr>
                  </w:p>
                </w:tc>
                <w:tc>
                  <w:tcPr>
                    <w:tcW w:w="687" w:type="pct"/>
                  </w:tcPr>
                  <w:p w:rsidR="00302BC9" w:rsidRPr="008C2320" w:rsidRDefault="00302BC9" w:rsidP="00302BC9">
                    <w:pPr>
                      <w:rPr>
                        <w:szCs w:val="21"/>
                      </w:rPr>
                    </w:pPr>
                    <w:r w:rsidRPr="008C2320">
                      <w:rPr>
                        <w:rFonts w:hint="eastAsia"/>
                        <w:szCs w:val="21"/>
                      </w:rPr>
                      <w:t>技术开发、技术咨询、技术转让、</w:t>
                    </w:r>
                    <w:r w:rsidRPr="008C2320">
                      <w:rPr>
                        <w:rFonts w:hint="eastAsia"/>
                        <w:szCs w:val="21"/>
                      </w:rPr>
                      <w:lastRenderedPageBreak/>
                      <w:t>技术服务、技术培训、技术推广；企业管理咨询；销售计算机、软件及辅助设备；技术进出口、货物进出口、代理进出口；第二类增值电信业务中的信息服务业务（仅限互联网信息服务）不含信息搜索查询服务、信息即时交互服务（增值电信业务经营许可证有效期至</w:t>
                    </w:r>
                    <w:r w:rsidRPr="008C2320">
                      <w:rPr>
                        <w:szCs w:val="21"/>
                      </w:rPr>
                      <w:t>2023年07月25日）；电力供应。</w:t>
                    </w:r>
                  </w:p>
                  <w:p w:rsidR="00302BC9" w:rsidRPr="008C2320" w:rsidRDefault="00302BC9" w:rsidP="00302BC9">
                    <w:pPr>
                      <w:rPr>
                        <w:szCs w:val="21"/>
                      </w:rPr>
                    </w:pP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591903269"/>
              <w:lock w:val="sdtLocked"/>
            </w:sdtPr>
            <w:sdtContent>
              <w:tr w:rsidR="00302BC9" w:rsidTr="00302BC9">
                <w:tc>
                  <w:tcPr>
                    <w:tcW w:w="1207" w:type="pct"/>
                  </w:tcPr>
                  <w:p w:rsidR="00302BC9" w:rsidRPr="008C2320" w:rsidRDefault="00302BC9" w:rsidP="00302BC9">
                    <w:pPr>
                      <w:rPr>
                        <w:szCs w:val="21"/>
                      </w:rPr>
                    </w:pPr>
                    <w:r w:rsidRPr="008C2320">
                      <w:t>用友广信</w:t>
                    </w:r>
                  </w:p>
                </w:tc>
                <w:tc>
                  <w:tcPr>
                    <w:tcW w:w="621" w:type="pct"/>
                  </w:tcPr>
                  <w:p w:rsidR="00302BC9" w:rsidRPr="008C2320" w:rsidRDefault="00302BC9" w:rsidP="00302BC9">
                    <w:pPr>
                      <w:rPr>
                        <w:szCs w:val="21"/>
                      </w:rPr>
                    </w:pPr>
                    <w:r w:rsidRPr="008C2320">
                      <w:t>北京市</w:t>
                    </w:r>
                  </w:p>
                </w:tc>
                <w:tc>
                  <w:tcPr>
                    <w:tcW w:w="612" w:type="pct"/>
                  </w:tcPr>
                  <w:p w:rsidR="00302BC9" w:rsidRPr="008C2320" w:rsidRDefault="00302BC9" w:rsidP="00302BC9">
                    <w:pPr>
                      <w:rPr>
                        <w:szCs w:val="21"/>
                      </w:rPr>
                    </w:pPr>
                    <w:r w:rsidRPr="008C2320">
                      <w:t>北京市</w:t>
                    </w:r>
                  </w:p>
                </w:tc>
                <w:tc>
                  <w:tcPr>
                    <w:tcW w:w="630" w:type="pct"/>
                  </w:tcPr>
                  <w:p w:rsidR="00302BC9" w:rsidRPr="008C2320" w:rsidRDefault="00302BC9" w:rsidP="00302BC9">
                    <w:pPr>
                      <w:rPr>
                        <w:szCs w:val="21"/>
                      </w:rPr>
                    </w:pPr>
                    <w:r w:rsidRPr="008C2320">
                      <w:t>计算机技术及产品/咨询行业</w:t>
                    </w:r>
                  </w:p>
                </w:tc>
                <w:tc>
                  <w:tcPr>
                    <w:tcW w:w="621" w:type="pct"/>
                  </w:tcPr>
                  <w:p w:rsidR="00302BC9" w:rsidRPr="008C2320" w:rsidRDefault="00302BC9" w:rsidP="00302BC9">
                    <w:pPr>
                      <w:jc w:val="right"/>
                      <w:rPr>
                        <w:szCs w:val="21"/>
                      </w:rPr>
                    </w:pPr>
                    <w:r w:rsidRPr="008C2320">
                      <w:t>75</w:t>
                    </w:r>
                  </w:p>
                </w:tc>
                <w:tc>
                  <w:tcPr>
                    <w:tcW w:w="622" w:type="pct"/>
                  </w:tcPr>
                  <w:p w:rsidR="00302BC9" w:rsidRPr="008C2320" w:rsidRDefault="00302BC9" w:rsidP="00302BC9">
                    <w:pPr>
                      <w:jc w:val="right"/>
                      <w:rPr>
                        <w:szCs w:val="21"/>
                      </w:rPr>
                    </w:pPr>
                  </w:p>
                </w:tc>
                <w:tc>
                  <w:tcPr>
                    <w:tcW w:w="687" w:type="pct"/>
                  </w:tcPr>
                  <w:p w:rsidR="00302BC9" w:rsidRPr="008C2320" w:rsidRDefault="00302BC9" w:rsidP="00302BC9">
                    <w:pPr>
                      <w:rPr>
                        <w:szCs w:val="21"/>
                      </w:rPr>
                    </w:pPr>
                    <w:r w:rsidRPr="008C2320">
                      <w:rPr>
                        <w:rFonts w:hint="eastAsia"/>
                        <w:szCs w:val="21"/>
                      </w:rPr>
                      <w:t>技术开发、技术咨询、技术转让、技术服务、技术培训、技术推广；企业管理咨询；销售计算机、软件及外部设备；技术进出口、货物进出</w:t>
                    </w:r>
                    <w:r w:rsidRPr="008C2320">
                      <w:rPr>
                        <w:rFonts w:hint="eastAsia"/>
                        <w:szCs w:val="21"/>
                      </w:rPr>
                      <w:lastRenderedPageBreak/>
                      <w:t>口、代理进出口；软件开发；计算机系统服务。</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2064554972"/>
              <w:lock w:val="sdtLocked"/>
            </w:sdtPr>
            <w:sdtContent>
              <w:tr w:rsidR="00302BC9" w:rsidTr="00302BC9">
                <w:tc>
                  <w:tcPr>
                    <w:tcW w:w="1207" w:type="pct"/>
                  </w:tcPr>
                  <w:p w:rsidR="00302BC9" w:rsidRPr="008C2320" w:rsidRDefault="00302BC9" w:rsidP="00302BC9">
                    <w:pPr>
                      <w:rPr>
                        <w:rFonts w:cstheme="minorBidi"/>
                        <w:kern w:val="2"/>
                        <w:szCs w:val="21"/>
                      </w:rPr>
                    </w:pPr>
                    <w:r w:rsidRPr="008C2320">
                      <w:rPr>
                        <w:rFonts w:cstheme="minorBidi" w:hint="eastAsia"/>
                        <w:kern w:val="2"/>
                        <w:szCs w:val="21"/>
                      </w:rPr>
                      <w:t>红火台餐饮云服务有限公司（以下简称“红火台”</w:t>
                    </w:r>
                    <w:r w:rsidRPr="008C2320">
                      <w:rPr>
                        <w:rFonts w:cstheme="minorBidi"/>
                        <w:kern w:val="2"/>
                        <w:szCs w:val="21"/>
                      </w:rPr>
                      <w:t xml:space="preserve"> ）</w:t>
                    </w:r>
                  </w:p>
                </w:tc>
                <w:tc>
                  <w:tcPr>
                    <w:tcW w:w="621" w:type="pct"/>
                  </w:tcPr>
                  <w:p w:rsidR="00302BC9" w:rsidRPr="008C2320" w:rsidRDefault="00302BC9" w:rsidP="00302BC9">
                    <w:r w:rsidRPr="008C2320">
                      <w:rPr>
                        <w:rFonts w:hint="eastAsia"/>
                      </w:rPr>
                      <w:t>北京市</w:t>
                    </w:r>
                  </w:p>
                </w:tc>
                <w:tc>
                  <w:tcPr>
                    <w:tcW w:w="612" w:type="pct"/>
                  </w:tcPr>
                  <w:p w:rsidR="00302BC9" w:rsidRPr="008C2320" w:rsidRDefault="00302BC9" w:rsidP="00302BC9">
                    <w:r w:rsidRPr="008C2320">
                      <w:t>北京市</w:t>
                    </w:r>
                  </w:p>
                </w:tc>
                <w:tc>
                  <w:tcPr>
                    <w:tcW w:w="630" w:type="pct"/>
                  </w:tcPr>
                  <w:p w:rsidR="00302BC9" w:rsidRPr="008C2320" w:rsidRDefault="00302BC9" w:rsidP="00302BC9">
                    <w:pPr>
                      <w:rPr>
                        <w:szCs w:val="21"/>
                      </w:rPr>
                    </w:pPr>
                    <w:r w:rsidRPr="008C2320">
                      <w:rPr>
                        <w:rFonts w:hint="eastAsia"/>
                        <w:szCs w:val="21"/>
                      </w:rPr>
                      <w:t>计算机技术及产品</w:t>
                    </w:r>
                    <w:r w:rsidRPr="008C2320">
                      <w:rPr>
                        <w:szCs w:val="21"/>
                      </w:rPr>
                      <w:t>/咨询行业</w:t>
                    </w:r>
                  </w:p>
                  <w:p w:rsidR="00302BC9" w:rsidRPr="008C2320" w:rsidRDefault="00302BC9" w:rsidP="00302BC9">
                    <w:pPr>
                      <w:rPr>
                        <w:szCs w:val="21"/>
                      </w:rPr>
                    </w:pPr>
                  </w:p>
                  <w:p w:rsidR="00302BC9" w:rsidRPr="008C2320" w:rsidRDefault="00302BC9" w:rsidP="00302BC9">
                    <w:pPr>
                      <w:rPr>
                        <w:szCs w:val="21"/>
                      </w:rPr>
                    </w:pPr>
                  </w:p>
                </w:tc>
                <w:tc>
                  <w:tcPr>
                    <w:tcW w:w="621" w:type="pct"/>
                  </w:tcPr>
                  <w:p w:rsidR="00302BC9" w:rsidRPr="008C2320" w:rsidRDefault="00302BC9" w:rsidP="00302BC9">
                    <w:pPr>
                      <w:jc w:val="right"/>
                      <w:rPr>
                        <w:szCs w:val="21"/>
                      </w:rPr>
                    </w:pPr>
                    <w:r w:rsidRPr="008C2320">
                      <w:rPr>
                        <w:szCs w:val="21"/>
                      </w:rPr>
                      <w:t>51.07</w:t>
                    </w:r>
                  </w:p>
                  <w:p w:rsidR="00302BC9" w:rsidRPr="008C2320" w:rsidRDefault="00302BC9" w:rsidP="00302BC9">
                    <w:pPr>
                      <w:jc w:val="right"/>
                      <w:rPr>
                        <w:szCs w:val="21"/>
                      </w:rPr>
                    </w:pPr>
                  </w:p>
                  <w:p w:rsidR="00302BC9" w:rsidRPr="008C2320" w:rsidRDefault="00302BC9" w:rsidP="00302BC9">
                    <w:pPr>
                      <w:jc w:val="right"/>
                      <w:rPr>
                        <w:szCs w:val="21"/>
                      </w:rPr>
                    </w:pPr>
                  </w:p>
                </w:tc>
                <w:tc>
                  <w:tcPr>
                    <w:tcW w:w="622" w:type="pct"/>
                  </w:tcPr>
                  <w:p w:rsidR="00302BC9" w:rsidRPr="008C2320" w:rsidRDefault="00302BC9" w:rsidP="00302BC9">
                    <w:pPr>
                      <w:jc w:val="right"/>
                      <w:rPr>
                        <w:szCs w:val="21"/>
                      </w:rPr>
                    </w:pPr>
                  </w:p>
                </w:tc>
                <w:tc>
                  <w:tcPr>
                    <w:tcW w:w="687" w:type="pct"/>
                  </w:tcPr>
                  <w:p w:rsidR="00302BC9" w:rsidRPr="008C2320" w:rsidRDefault="00302BC9" w:rsidP="00302BC9">
                    <w:pPr>
                      <w:rPr>
                        <w:szCs w:val="21"/>
                      </w:rPr>
                    </w:pPr>
                    <w:r w:rsidRPr="008C2320">
                      <w:rPr>
                        <w:rFonts w:hint="eastAsia"/>
                        <w:szCs w:val="21"/>
                      </w:rPr>
                      <w:t>技术服务、技术转让、技术开发、技术推广、技术咨询；数据处理（数据处理中的银行卡中心、</w:t>
                    </w:r>
                    <w:r w:rsidRPr="008C2320">
                      <w:rPr>
                        <w:szCs w:val="21"/>
                      </w:rPr>
                      <w:t>PUE值在1.5以上的云计算数据中心除外）；计算机系统服务；基础软件服务、应用软件服务；软件开发；销售电子产品、通讯设备。</w:t>
                    </w:r>
                  </w:p>
                  <w:p w:rsidR="00302BC9" w:rsidRPr="008C2320" w:rsidRDefault="00302BC9" w:rsidP="00302BC9">
                    <w:pPr>
                      <w:rPr>
                        <w:szCs w:val="21"/>
                      </w:rPr>
                    </w:pPr>
                  </w:p>
                  <w:p w:rsidR="00302BC9" w:rsidRPr="008C2320" w:rsidRDefault="00302BC9" w:rsidP="00302BC9">
                    <w:pPr>
                      <w:rPr>
                        <w:szCs w:val="21"/>
                      </w:rPr>
                    </w:pP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44264778"/>
              <w:lock w:val="sdtLocked"/>
            </w:sdtPr>
            <w:sdtContent>
              <w:tr w:rsidR="00302BC9" w:rsidTr="00302BC9">
                <w:tc>
                  <w:tcPr>
                    <w:tcW w:w="1207" w:type="pct"/>
                  </w:tcPr>
                  <w:p w:rsidR="00302BC9" w:rsidRPr="008C2320" w:rsidRDefault="00302BC9" w:rsidP="00302BC9">
                    <w:pPr>
                      <w:rPr>
                        <w:szCs w:val="21"/>
                      </w:rPr>
                    </w:pPr>
                    <w:r w:rsidRPr="008C2320">
                      <w:t>用友超客网络科技有限公司（以下简称“用友超客”）</w:t>
                    </w:r>
                  </w:p>
                </w:tc>
                <w:tc>
                  <w:tcPr>
                    <w:tcW w:w="621" w:type="pct"/>
                  </w:tcPr>
                  <w:p w:rsidR="00302BC9" w:rsidRPr="008C2320" w:rsidRDefault="00302BC9" w:rsidP="00302BC9">
                    <w:pPr>
                      <w:rPr>
                        <w:szCs w:val="21"/>
                      </w:rPr>
                    </w:pPr>
                    <w:r w:rsidRPr="008C2320">
                      <w:t>北京市</w:t>
                    </w:r>
                  </w:p>
                </w:tc>
                <w:tc>
                  <w:tcPr>
                    <w:tcW w:w="612" w:type="pct"/>
                  </w:tcPr>
                  <w:p w:rsidR="00302BC9" w:rsidRPr="008C2320" w:rsidRDefault="00302BC9" w:rsidP="00302BC9">
                    <w:pPr>
                      <w:rPr>
                        <w:szCs w:val="21"/>
                      </w:rPr>
                    </w:pPr>
                    <w:r w:rsidRPr="008C2320">
                      <w:t>北京市</w:t>
                    </w:r>
                  </w:p>
                </w:tc>
                <w:tc>
                  <w:tcPr>
                    <w:tcW w:w="630" w:type="pct"/>
                  </w:tcPr>
                  <w:p w:rsidR="00302BC9" w:rsidRPr="008C2320" w:rsidRDefault="00302BC9" w:rsidP="00302BC9">
                    <w:pPr>
                      <w:rPr>
                        <w:szCs w:val="21"/>
                      </w:rPr>
                    </w:pPr>
                    <w:r w:rsidRPr="008C2320">
                      <w:t>计算机技术及产品/咨询行业</w:t>
                    </w:r>
                  </w:p>
                </w:tc>
                <w:tc>
                  <w:tcPr>
                    <w:tcW w:w="621" w:type="pct"/>
                  </w:tcPr>
                  <w:p w:rsidR="00302BC9" w:rsidRPr="008C2320" w:rsidRDefault="00302BC9" w:rsidP="00302BC9">
                    <w:pPr>
                      <w:jc w:val="right"/>
                      <w:rPr>
                        <w:szCs w:val="21"/>
                      </w:rPr>
                    </w:pPr>
                    <w:r w:rsidRPr="008C2320">
                      <w:t>65.45</w:t>
                    </w:r>
                  </w:p>
                </w:tc>
                <w:tc>
                  <w:tcPr>
                    <w:tcW w:w="622" w:type="pct"/>
                  </w:tcPr>
                  <w:p w:rsidR="00302BC9" w:rsidRPr="008C2320" w:rsidRDefault="00302BC9" w:rsidP="00302BC9">
                    <w:pPr>
                      <w:jc w:val="right"/>
                      <w:rPr>
                        <w:szCs w:val="21"/>
                      </w:rPr>
                    </w:pPr>
                    <w:r w:rsidRPr="008C2320">
                      <w:t>34.55</w:t>
                    </w:r>
                  </w:p>
                </w:tc>
                <w:tc>
                  <w:tcPr>
                    <w:tcW w:w="687" w:type="pct"/>
                  </w:tcPr>
                  <w:p w:rsidR="00302BC9" w:rsidRPr="008C2320" w:rsidRDefault="00302BC9" w:rsidP="00302BC9">
                    <w:pPr>
                      <w:rPr>
                        <w:szCs w:val="21"/>
                      </w:rPr>
                    </w:pPr>
                    <w:r w:rsidRPr="008C2320">
                      <w:t>计算机技术开发、技术咨询、技术转让、技术服务、技术培训；企业管理咨询；销售计算机、软件及辅助设备；技术进出口、货物进出口、</w:t>
                    </w:r>
                    <w:r w:rsidRPr="008C2320">
                      <w:lastRenderedPageBreak/>
                      <w:t>代理进出口；软件开发、软件咨询；基础软件服务；应用软件服务。</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415835125"/>
              <w:lock w:val="sdtLocked"/>
            </w:sdtPr>
            <w:sdtContent>
              <w:tr w:rsidR="00302BC9" w:rsidTr="00302BC9">
                <w:tc>
                  <w:tcPr>
                    <w:tcW w:w="1207" w:type="pct"/>
                  </w:tcPr>
                  <w:p w:rsidR="00302BC9" w:rsidRPr="008C2320" w:rsidRDefault="00302BC9" w:rsidP="00302BC9">
                    <w:pPr>
                      <w:rPr>
                        <w:szCs w:val="21"/>
                      </w:rPr>
                    </w:pPr>
                    <w:r w:rsidRPr="008C2320">
                      <w:t>北京用友薪福社云科技有限公司（以下简称“薪福社”）</w:t>
                    </w:r>
                  </w:p>
                </w:tc>
                <w:tc>
                  <w:tcPr>
                    <w:tcW w:w="621" w:type="pct"/>
                  </w:tcPr>
                  <w:p w:rsidR="00302BC9" w:rsidRPr="008C2320" w:rsidRDefault="00302BC9" w:rsidP="00302BC9">
                    <w:pPr>
                      <w:rPr>
                        <w:szCs w:val="21"/>
                      </w:rPr>
                    </w:pPr>
                    <w:r w:rsidRPr="008C2320">
                      <w:t>北京市</w:t>
                    </w:r>
                  </w:p>
                </w:tc>
                <w:tc>
                  <w:tcPr>
                    <w:tcW w:w="612" w:type="pct"/>
                  </w:tcPr>
                  <w:p w:rsidR="00302BC9" w:rsidRPr="008C2320" w:rsidRDefault="00302BC9" w:rsidP="00302BC9">
                    <w:pPr>
                      <w:rPr>
                        <w:szCs w:val="21"/>
                      </w:rPr>
                    </w:pPr>
                    <w:r w:rsidRPr="008C2320">
                      <w:t>北京市</w:t>
                    </w:r>
                  </w:p>
                </w:tc>
                <w:tc>
                  <w:tcPr>
                    <w:tcW w:w="630" w:type="pct"/>
                  </w:tcPr>
                  <w:p w:rsidR="00302BC9" w:rsidRPr="008C2320" w:rsidRDefault="00302BC9" w:rsidP="00302BC9">
                    <w:pPr>
                      <w:rPr>
                        <w:szCs w:val="21"/>
                      </w:rPr>
                    </w:pPr>
                    <w:r w:rsidRPr="008C2320">
                      <w:t>计算机技术及产品/咨询行业</w:t>
                    </w:r>
                  </w:p>
                </w:tc>
                <w:tc>
                  <w:tcPr>
                    <w:tcW w:w="621" w:type="pct"/>
                  </w:tcPr>
                  <w:p w:rsidR="00302BC9" w:rsidRPr="008C2320" w:rsidRDefault="00302BC9" w:rsidP="00302BC9">
                    <w:pPr>
                      <w:jc w:val="right"/>
                      <w:rPr>
                        <w:szCs w:val="21"/>
                      </w:rPr>
                    </w:pPr>
                    <w:r w:rsidRPr="008C2320">
                      <w:t>60</w:t>
                    </w:r>
                  </w:p>
                </w:tc>
                <w:tc>
                  <w:tcPr>
                    <w:tcW w:w="622" w:type="pct"/>
                  </w:tcPr>
                  <w:p w:rsidR="00302BC9" w:rsidRPr="008C2320" w:rsidRDefault="00302BC9" w:rsidP="00302BC9">
                    <w:pPr>
                      <w:jc w:val="right"/>
                      <w:rPr>
                        <w:szCs w:val="21"/>
                      </w:rPr>
                    </w:pPr>
                    <w:r w:rsidRPr="008C2320">
                      <w:t>31.67</w:t>
                    </w:r>
                  </w:p>
                </w:tc>
                <w:tc>
                  <w:tcPr>
                    <w:tcW w:w="687" w:type="pct"/>
                  </w:tcPr>
                  <w:p w:rsidR="00302BC9" w:rsidRPr="008C2320" w:rsidRDefault="00302BC9" w:rsidP="00302BC9">
                    <w:pPr>
                      <w:rPr>
                        <w:szCs w:val="21"/>
                      </w:rPr>
                    </w:pPr>
                    <w:r w:rsidRPr="008C2320">
                      <w:t>技术开发、技术咨询、技术推广、技术服务；企业管理咨询；基础软件服务；应用软件服务；计算机系统服务；计算机维修；销售计算机、软件及辅助设备；人才中介服务；销售食品。</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2014596816"/>
              <w:lock w:val="sdtLocked"/>
            </w:sdtPr>
            <w:sdtContent>
              <w:tr w:rsidR="00302BC9" w:rsidTr="00302BC9">
                <w:tc>
                  <w:tcPr>
                    <w:tcW w:w="1207" w:type="pct"/>
                  </w:tcPr>
                  <w:p w:rsidR="00302BC9" w:rsidRPr="008C2320" w:rsidRDefault="00302BC9" w:rsidP="00302BC9">
                    <w:pPr>
                      <w:rPr>
                        <w:szCs w:val="21"/>
                      </w:rPr>
                    </w:pPr>
                    <w:r w:rsidRPr="00302BC9">
                      <w:rPr>
                        <w:rFonts w:asciiTheme="minorHAnsi" w:eastAsiaTheme="minorEastAsia" w:hAnsiTheme="minorHAnsi" w:cstheme="minorBidi" w:hint="eastAsia"/>
                        <w:kern w:val="2"/>
                        <w:szCs w:val="21"/>
                      </w:rPr>
                      <w:t>用友建筑云服务有限公司（以下简称“用友建筑”）</w:t>
                    </w:r>
                  </w:p>
                </w:tc>
                <w:tc>
                  <w:tcPr>
                    <w:tcW w:w="621" w:type="pct"/>
                  </w:tcPr>
                  <w:p w:rsidR="00302BC9" w:rsidRPr="008C2320" w:rsidRDefault="00302BC9" w:rsidP="00302BC9">
                    <w:pPr>
                      <w:rPr>
                        <w:szCs w:val="21"/>
                      </w:rPr>
                    </w:pPr>
                    <w:r>
                      <w:rPr>
                        <w:rFonts w:hint="eastAsia"/>
                        <w:szCs w:val="21"/>
                      </w:rPr>
                      <w:t>北京市</w:t>
                    </w:r>
                  </w:p>
                </w:tc>
                <w:tc>
                  <w:tcPr>
                    <w:tcW w:w="612" w:type="pct"/>
                  </w:tcPr>
                  <w:p w:rsidR="00302BC9" w:rsidRPr="008C2320" w:rsidRDefault="00302BC9" w:rsidP="00302BC9">
                    <w:pPr>
                      <w:rPr>
                        <w:szCs w:val="21"/>
                      </w:rPr>
                    </w:pPr>
                    <w:r>
                      <w:rPr>
                        <w:rFonts w:hint="eastAsia"/>
                        <w:szCs w:val="21"/>
                      </w:rPr>
                      <w:t>北京市</w:t>
                    </w:r>
                  </w:p>
                </w:tc>
                <w:tc>
                  <w:tcPr>
                    <w:tcW w:w="630" w:type="pct"/>
                  </w:tcPr>
                  <w:p w:rsidR="00302BC9" w:rsidRPr="008C2320" w:rsidRDefault="00302BC9" w:rsidP="00302BC9">
                    <w:pPr>
                      <w:rPr>
                        <w:szCs w:val="21"/>
                      </w:rPr>
                    </w:pPr>
                    <w:r w:rsidRPr="00302BC9">
                      <w:rPr>
                        <w:rFonts w:hint="eastAsia"/>
                        <w:szCs w:val="21"/>
                      </w:rPr>
                      <w:t>计算机技术及产品</w:t>
                    </w:r>
                    <w:r w:rsidRPr="00302BC9">
                      <w:rPr>
                        <w:szCs w:val="21"/>
                      </w:rPr>
                      <w:t>/咨询行业</w:t>
                    </w:r>
                  </w:p>
                </w:tc>
                <w:tc>
                  <w:tcPr>
                    <w:tcW w:w="621" w:type="pct"/>
                  </w:tcPr>
                  <w:p w:rsidR="00302BC9" w:rsidRPr="008C2320" w:rsidRDefault="00302BC9" w:rsidP="00302BC9">
                    <w:pPr>
                      <w:jc w:val="right"/>
                      <w:rPr>
                        <w:szCs w:val="21"/>
                      </w:rPr>
                    </w:pPr>
                    <w:r>
                      <w:rPr>
                        <w:rFonts w:hint="eastAsia"/>
                        <w:szCs w:val="21"/>
                      </w:rPr>
                      <w:t>55</w:t>
                    </w:r>
                  </w:p>
                </w:tc>
                <w:tc>
                  <w:tcPr>
                    <w:tcW w:w="622" w:type="pct"/>
                  </w:tcPr>
                  <w:p w:rsidR="00302BC9" w:rsidRPr="008C2320" w:rsidRDefault="00302BC9" w:rsidP="00302BC9">
                    <w:pPr>
                      <w:jc w:val="right"/>
                      <w:rPr>
                        <w:szCs w:val="21"/>
                      </w:rPr>
                    </w:pPr>
                  </w:p>
                </w:tc>
                <w:tc>
                  <w:tcPr>
                    <w:tcW w:w="687" w:type="pct"/>
                  </w:tcPr>
                  <w:p w:rsidR="00302BC9" w:rsidRPr="008C2320" w:rsidRDefault="00302BC9" w:rsidP="00302BC9">
                    <w:pPr>
                      <w:rPr>
                        <w:szCs w:val="21"/>
                      </w:rPr>
                    </w:pPr>
                    <w:r w:rsidRPr="00302BC9">
                      <w:rPr>
                        <w:rFonts w:hint="eastAsia"/>
                        <w:szCs w:val="21"/>
                      </w:rPr>
                      <w:t>数据处理（数据处理中的银行卡中心、</w:t>
                    </w:r>
                    <w:r w:rsidRPr="00302BC9">
                      <w:rPr>
                        <w:szCs w:val="21"/>
                      </w:rPr>
                      <w:t>PUE值在1.5以上的云计算数据中心除外）；技术开发、技术推广、技术转让、技术咨询、技术服务；销售自行开发的产品；计算机系统服务；</w:t>
                    </w:r>
                    <w:r w:rsidRPr="00302BC9">
                      <w:rPr>
                        <w:szCs w:val="21"/>
                      </w:rPr>
                      <w:lastRenderedPageBreak/>
                      <w:t>基础软件服务、应用软件服务；软件开发。</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408388568"/>
              <w:lock w:val="sdtLocked"/>
            </w:sdtPr>
            <w:sdtContent>
              <w:tr w:rsidR="00302BC9" w:rsidTr="00302BC9">
                <w:tc>
                  <w:tcPr>
                    <w:tcW w:w="1207" w:type="pct"/>
                  </w:tcPr>
                  <w:p w:rsidR="00302BC9" w:rsidRPr="008C2320" w:rsidRDefault="00302BC9" w:rsidP="00302BC9">
                    <w:pPr>
                      <w:rPr>
                        <w:szCs w:val="21"/>
                      </w:rPr>
                    </w:pPr>
                    <w:r w:rsidRPr="008C2320">
                      <w:t>北京畅捷通支付技术有限公司(以下简称”畅捷支付”)</w:t>
                    </w:r>
                  </w:p>
                </w:tc>
                <w:tc>
                  <w:tcPr>
                    <w:tcW w:w="621" w:type="pct"/>
                  </w:tcPr>
                  <w:p w:rsidR="00302BC9" w:rsidRPr="008C2320" w:rsidRDefault="00302BC9" w:rsidP="00302BC9">
                    <w:pPr>
                      <w:rPr>
                        <w:szCs w:val="21"/>
                      </w:rPr>
                    </w:pPr>
                    <w:r w:rsidRPr="008C2320">
                      <w:t>北京市</w:t>
                    </w:r>
                  </w:p>
                </w:tc>
                <w:tc>
                  <w:tcPr>
                    <w:tcW w:w="612" w:type="pct"/>
                  </w:tcPr>
                  <w:p w:rsidR="00302BC9" w:rsidRPr="008C2320" w:rsidRDefault="00302BC9" w:rsidP="00302BC9">
                    <w:pPr>
                      <w:rPr>
                        <w:szCs w:val="21"/>
                      </w:rPr>
                    </w:pPr>
                    <w:r w:rsidRPr="008C2320">
                      <w:t>北京市</w:t>
                    </w:r>
                  </w:p>
                </w:tc>
                <w:tc>
                  <w:tcPr>
                    <w:tcW w:w="630" w:type="pct"/>
                  </w:tcPr>
                  <w:p w:rsidR="00302BC9" w:rsidRPr="008C2320" w:rsidRDefault="00302BC9" w:rsidP="00302BC9">
                    <w:pPr>
                      <w:rPr>
                        <w:szCs w:val="21"/>
                      </w:rPr>
                    </w:pPr>
                    <w:r w:rsidRPr="008C2320">
                      <w:t>互联网支付、银行卡收单</w:t>
                    </w:r>
                  </w:p>
                </w:tc>
                <w:tc>
                  <w:tcPr>
                    <w:tcW w:w="621" w:type="pct"/>
                  </w:tcPr>
                  <w:p w:rsidR="00302BC9" w:rsidRPr="008C2320" w:rsidRDefault="00302BC9" w:rsidP="00302BC9">
                    <w:pPr>
                      <w:jc w:val="right"/>
                      <w:rPr>
                        <w:szCs w:val="21"/>
                      </w:rPr>
                    </w:pPr>
                    <w:r w:rsidRPr="008C2320">
                      <w:t>80.72</w:t>
                    </w:r>
                  </w:p>
                </w:tc>
                <w:tc>
                  <w:tcPr>
                    <w:tcW w:w="622" w:type="pct"/>
                  </w:tcPr>
                  <w:p w:rsidR="00302BC9" w:rsidRPr="008C2320" w:rsidRDefault="00302BC9" w:rsidP="00302BC9">
                    <w:pPr>
                      <w:jc w:val="right"/>
                      <w:rPr>
                        <w:szCs w:val="21"/>
                      </w:rPr>
                    </w:pPr>
                    <w:r w:rsidRPr="008C2320">
                      <w:t>19.28</w:t>
                    </w:r>
                  </w:p>
                </w:tc>
                <w:tc>
                  <w:tcPr>
                    <w:tcW w:w="687" w:type="pct"/>
                  </w:tcPr>
                  <w:p w:rsidR="00302BC9" w:rsidRPr="008C2320" w:rsidRDefault="00302BC9" w:rsidP="00302BC9">
                    <w:pPr>
                      <w:rPr>
                        <w:szCs w:val="21"/>
                      </w:rPr>
                    </w:pPr>
                    <w:r w:rsidRPr="008C2320">
                      <w:t>互联网支付、银行卡收单（支付业务许可证有效期至2019年07月09日）；技术开发；软件开发；设计、制作、代理、发布广告；计算机系统服务；销售文化用品、电子产品、通讯设备、计算机、软件及辅助设备。（依法须经批准的项目，经相关部门批准后依批准的内容开展经营活动。）</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1747388170"/>
              <w:lock w:val="sdtLocked"/>
            </w:sdtPr>
            <w:sdtContent>
              <w:tr w:rsidR="00302BC9" w:rsidTr="00302BC9">
                <w:tc>
                  <w:tcPr>
                    <w:tcW w:w="1207" w:type="pct"/>
                  </w:tcPr>
                  <w:p w:rsidR="00302BC9" w:rsidRPr="008C2320" w:rsidRDefault="00302BC9" w:rsidP="00302BC9">
                    <w:pPr>
                      <w:rPr>
                        <w:szCs w:val="21"/>
                      </w:rPr>
                    </w:pPr>
                    <w:r w:rsidRPr="008C2320">
                      <w:t>用友审计</w:t>
                    </w:r>
                  </w:p>
                </w:tc>
                <w:tc>
                  <w:tcPr>
                    <w:tcW w:w="621" w:type="pct"/>
                  </w:tcPr>
                  <w:p w:rsidR="00302BC9" w:rsidRPr="008C2320" w:rsidRDefault="00302BC9" w:rsidP="00302BC9">
                    <w:pPr>
                      <w:rPr>
                        <w:szCs w:val="21"/>
                      </w:rPr>
                    </w:pPr>
                    <w:r w:rsidRPr="008C2320">
                      <w:t>北京市</w:t>
                    </w:r>
                  </w:p>
                </w:tc>
                <w:tc>
                  <w:tcPr>
                    <w:tcW w:w="612" w:type="pct"/>
                  </w:tcPr>
                  <w:p w:rsidR="00302BC9" w:rsidRPr="008C2320" w:rsidRDefault="00302BC9" w:rsidP="00302BC9">
                    <w:pPr>
                      <w:rPr>
                        <w:szCs w:val="21"/>
                      </w:rPr>
                    </w:pPr>
                    <w:r w:rsidRPr="008C2320">
                      <w:t>北京市</w:t>
                    </w:r>
                  </w:p>
                </w:tc>
                <w:tc>
                  <w:tcPr>
                    <w:tcW w:w="630" w:type="pct"/>
                  </w:tcPr>
                  <w:p w:rsidR="00302BC9" w:rsidRPr="008C2320" w:rsidRDefault="00302BC9" w:rsidP="00302BC9">
                    <w:pPr>
                      <w:rPr>
                        <w:szCs w:val="21"/>
                      </w:rPr>
                    </w:pPr>
                    <w:r w:rsidRPr="008C2320">
                      <w:t>计算机软、硬件/系统集成行业</w:t>
                    </w:r>
                  </w:p>
                </w:tc>
                <w:tc>
                  <w:tcPr>
                    <w:tcW w:w="621" w:type="pct"/>
                  </w:tcPr>
                  <w:p w:rsidR="00302BC9" w:rsidRPr="008C2320" w:rsidRDefault="00302BC9" w:rsidP="00302BC9">
                    <w:pPr>
                      <w:jc w:val="right"/>
                      <w:rPr>
                        <w:szCs w:val="21"/>
                      </w:rPr>
                    </w:pPr>
                    <w:r w:rsidRPr="008C2320">
                      <w:t>73.8</w:t>
                    </w:r>
                  </w:p>
                </w:tc>
                <w:tc>
                  <w:tcPr>
                    <w:tcW w:w="622" w:type="pct"/>
                  </w:tcPr>
                  <w:p w:rsidR="00302BC9" w:rsidRPr="008C2320" w:rsidRDefault="00302BC9" w:rsidP="00302BC9">
                    <w:pPr>
                      <w:jc w:val="right"/>
                      <w:rPr>
                        <w:szCs w:val="21"/>
                      </w:rPr>
                    </w:pPr>
                    <w:r w:rsidRPr="008C2320">
                      <w:t>-</w:t>
                    </w:r>
                  </w:p>
                </w:tc>
                <w:tc>
                  <w:tcPr>
                    <w:tcW w:w="687" w:type="pct"/>
                  </w:tcPr>
                  <w:p w:rsidR="00302BC9" w:rsidRPr="008C2320" w:rsidRDefault="00302BC9" w:rsidP="00302BC9">
                    <w:pPr>
                      <w:rPr>
                        <w:szCs w:val="21"/>
                      </w:rPr>
                    </w:pPr>
                    <w:r w:rsidRPr="008C2320">
                      <w:t>基础软件服务；应用软件服务；技术开发、技术推广、技术转让、技术咨询、技术服务；计算机系统服务；</w:t>
                    </w:r>
                    <w:r w:rsidRPr="008C2320">
                      <w:lastRenderedPageBreak/>
                      <w:t>计算机维修；销售计算机、软件及辅助设备、电子产品、机械设备、通讯设备</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1495987713"/>
              <w:lock w:val="sdtLocked"/>
            </w:sdtPr>
            <w:sdtContent>
              <w:tr w:rsidR="00302BC9" w:rsidTr="00302BC9">
                <w:tc>
                  <w:tcPr>
                    <w:tcW w:w="1207" w:type="pct"/>
                  </w:tcPr>
                  <w:p w:rsidR="00302BC9" w:rsidRPr="008C2320" w:rsidRDefault="00302BC9" w:rsidP="00302BC9">
                    <w:pPr>
                      <w:rPr>
                        <w:szCs w:val="21"/>
                      </w:rPr>
                    </w:pPr>
                    <w:r w:rsidRPr="008C2320">
                      <w:t>用友汽车</w:t>
                    </w:r>
                  </w:p>
                </w:tc>
                <w:tc>
                  <w:tcPr>
                    <w:tcW w:w="621" w:type="pct"/>
                  </w:tcPr>
                  <w:p w:rsidR="00302BC9" w:rsidRPr="008C2320" w:rsidRDefault="00302BC9" w:rsidP="00302BC9">
                    <w:pPr>
                      <w:rPr>
                        <w:szCs w:val="21"/>
                      </w:rPr>
                    </w:pPr>
                    <w:r w:rsidRPr="008C2320">
                      <w:t>上海市</w:t>
                    </w:r>
                  </w:p>
                </w:tc>
                <w:tc>
                  <w:tcPr>
                    <w:tcW w:w="612" w:type="pct"/>
                  </w:tcPr>
                  <w:p w:rsidR="00302BC9" w:rsidRPr="008C2320" w:rsidRDefault="00302BC9" w:rsidP="00302BC9">
                    <w:pPr>
                      <w:rPr>
                        <w:szCs w:val="21"/>
                      </w:rPr>
                    </w:pPr>
                    <w:r w:rsidRPr="008C2320">
                      <w:t>上海市</w:t>
                    </w:r>
                  </w:p>
                </w:tc>
                <w:tc>
                  <w:tcPr>
                    <w:tcW w:w="630" w:type="pct"/>
                  </w:tcPr>
                  <w:p w:rsidR="00302BC9" w:rsidRPr="008C2320" w:rsidRDefault="00302BC9" w:rsidP="00302BC9">
                    <w:pPr>
                      <w:rPr>
                        <w:szCs w:val="21"/>
                      </w:rPr>
                    </w:pPr>
                    <w:r w:rsidRPr="008C2320">
                      <w:t>计算机软件/系统集成/咨询行业</w:t>
                    </w:r>
                  </w:p>
                </w:tc>
                <w:tc>
                  <w:tcPr>
                    <w:tcW w:w="621" w:type="pct"/>
                  </w:tcPr>
                  <w:p w:rsidR="00302BC9" w:rsidRPr="008C2320" w:rsidRDefault="00302BC9" w:rsidP="00302BC9">
                    <w:pPr>
                      <w:jc w:val="right"/>
                      <w:rPr>
                        <w:szCs w:val="21"/>
                      </w:rPr>
                    </w:pPr>
                    <w:r w:rsidRPr="008C2320">
                      <w:t>79.59</w:t>
                    </w:r>
                  </w:p>
                </w:tc>
                <w:tc>
                  <w:tcPr>
                    <w:tcW w:w="622" w:type="pct"/>
                  </w:tcPr>
                  <w:p w:rsidR="00302BC9" w:rsidRPr="008C2320" w:rsidRDefault="00302BC9" w:rsidP="00302BC9">
                    <w:pPr>
                      <w:jc w:val="right"/>
                      <w:rPr>
                        <w:szCs w:val="21"/>
                      </w:rPr>
                    </w:pPr>
                    <w:r w:rsidRPr="008C2320">
                      <w:t>0.8</w:t>
                    </w:r>
                  </w:p>
                </w:tc>
                <w:tc>
                  <w:tcPr>
                    <w:tcW w:w="687" w:type="pct"/>
                  </w:tcPr>
                  <w:p w:rsidR="00302BC9" w:rsidRPr="008C2320" w:rsidRDefault="00302BC9" w:rsidP="00302BC9">
                    <w:pPr>
                      <w:rPr>
                        <w:szCs w:val="21"/>
                      </w:rPr>
                    </w:pPr>
                    <w:r w:rsidRPr="008C2320">
                      <w:t>计算机软硬件及网络设备、产品及系统集成的技术开发、转让、服务、咨询；网络布线、办公自动化产品、电子产品、通讯设备的销售；企业管理咨询；从事货物进出口及技术进出口业务</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248121726"/>
              <w:lock w:val="sdtLocked"/>
            </w:sdtPr>
            <w:sdtContent>
              <w:tr w:rsidR="00302BC9" w:rsidTr="00302BC9">
                <w:tc>
                  <w:tcPr>
                    <w:tcW w:w="1207" w:type="pct"/>
                  </w:tcPr>
                  <w:p w:rsidR="00302BC9" w:rsidRPr="008C2320" w:rsidRDefault="00302BC9" w:rsidP="00302BC9">
                    <w:pPr>
                      <w:rPr>
                        <w:szCs w:val="21"/>
                      </w:rPr>
                    </w:pPr>
                    <w:r w:rsidRPr="008C2320">
                      <w:t>秉钧网络</w:t>
                    </w:r>
                  </w:p>
                </w:tc>
                <w:tc>
                  <w:tcPr>
                    <w:tcW w:w="621" w:type="pct"/>
                  </w:tcPr>
                  <w:p w:rsidR="00302BC9" w:rsidRPr="008C2320" w:rsidRDefault="00302BC9" w:rsidP="00302BC9">
                    <w:pPr>
                      <w:rPr>
                        <w:szCs w:val="21"/>
                      </w:rPr>
                    </w:pPr>
                    <w:r w:rsidRPr="008C2320">
                      <w:t>上海市</w:t>
                    </w:r>
                  </w:p>
                </w:tc>
                <w:tc>
                  <w:tcPr>
                    <w:tcW w:w="612" w:type="pct"/>
                  </w:tcPr>
                  <w:p w:rsidR="00302BC9" w:rsidRPr="008C2320" w:rsidRDefault="00302BC9" w:rsidP="00302BC9">
                    <w:pPr>
                      <w:rPr>
                        <w:szCs w:val="21"/>
                      </w:rPr>
                    </w:pPr>
                    <w:r w:rsidRPr="008C2320">
                      <w:t>上海市</w:t>
                    </w:r>
                  </w:p>
                </w:tc>
                <w:tc>
                  <w:tcPr>
                    <w:tcW w:w="630" w:type="pct"/>
                  </w:tcPr>
                  <w:p w:rsidR="00302BC9" w:rsidRPr="008C2320" w:rsidRDefault="00302BC9" w:rsidP="00302BC9">
                    <w:pPr>
                      <w:rPr>
                        <w:szCs w:val="21"/>
                      </w:rPr>
                    </w:pPr>
                    <w:r w:rsidRPr="008C2320">
                      <w:t>计算机软件/系统集成/咨询行业</w:t>
                    </w:r>
                  </w:p>
                </w:tc>
                <w:tc>
                  <w:tcPr>
                    <w:tcW w:w="621" w:type="pct"/>
                  </w:tcPr>
                  <w:p w:rsidR="00302BC9" w:rsidRPr="008C2320" w:rsidRDefault="00302BC9" w:rsidP="00302BC9">
                    <w:pPr>
                      <w:jc w:val="right"/>
                      <w:rPr>
                        <w:szCs w:val="21"/>
                      </w:rPr>
                    </w:pPr>
                    <w:r w:rsidRPr="008C2320">
                      <w:t>70</w:t>
                    </w:r>
                  </w:p>
                </w:tc>
                <w:tc>
                  <w:tcPr>
                    <w:tcW w:w="622" w:type="pct"/>
                  </w:tcPr>
                  <w:p w:rsidR="00302BC9" w:rsidRPr="008C2320" w:rsidRDefault="00302BC9" w:rsidP="00302BC9">
                    <w:pPr>
                      <w:jc w:val="right"/>
                      <w:rPr>
                        <w:szCs w:val="21"/>
                      </w:rPr>
                    </w:pPr>
                    <w:r w:rsidRPr="008C2320">
                      <w:t>-</w:t>
                    </w:r>
                  </w:p>
                </w:tc>
                <w:tc>
                  <w:tcPr>
                    <w:tcW w:w="687" w:type="pct"/>
                  </w:tcPr>
                  <w:p w:rsidR="00302BC9" w:rsidRPr="008C2320" w:rsidRDefault="00302BC9" w:rsidP="00302BC9">
                    <w:pPr>
                      <w:rPr>
                        <w:szCs w:val="21"/>
                      </w:rPr>
                    </w:pPr>
                    <w:r w:rsidRPr="008C2320">
                      <w:t>计算机、网络科技领域内的技术开发、技术服务、技术转让、技术咨询，设计、制作各类广告，利用自有媒体发布广告，电脑图文设计、制作，市场营销策划，计算</w:t>
                    </w:r>
                    <w:r w:rsidRPr="008C2320">
                      <w:lastRenderedPageBreak/>
                      <w:t>机硬件设备的开发、销售</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1320078142"/>
              <w:lock w:val="sdtLocked"/>
            </w:sdtPr>
            <w:sdtContent>
              <w:tr w:rsidR="00302BC9" w:rsidTr="00302BC9">
                <w:tc>
                  <w:tcPr>
                    <w:tcW w:w="1207" w:type="pct"/>
                  </w:tcPr>
                  <w:p w:rsidR="00302BC9" w:rsidRPr="008C2320" w:rsidRDefault="00302BC9" w:rsidP="00302BC9">
                    <w:pPr>
                      <w:rPr>
                        <w:szCs w:val="21"/>
                      </w:rPr>
                    </w:pPr>
                    <w:r w:rsidRPr="008C2320">
                      <w:t>友太安保险经纪有限公司(以下简称“友太安”)</w:t>
                    </w:r>
                  </w:p>
                </w:tc>
                <w:tc>
                  <w:tcPr>
                    <w:tcW w:w="621" w:type="pct"/>
                  </w:tcPr>
                  <w:p w:rsidR="00302BC9" w:rsidRPr="008C2320" w:rsidRDefault="00302BC9" w:rsidP="00302BC9">
                    <w:pPr>
                      <w:rPr>
                        <w:szCs w:val="21"/>
                      </w:rPr>
                    </w:pPr>
                    <w:r w:rsidRPr="008C2320">
                      <w:t>深圳市</w:t>
                    </w:r>
                  </w:p>
                </w:tc>
                <w:tc>
                  <w:tcPr>
                    <w:tcW w:w="612" w:type="pct"/>
                  </w:tcPr>
                  <w:p w:rsidR="00302BC9" w:rsidRPr="008C2320" w:rsidRDefault="00302BC9" w:rsidP="00302BC9">
                    <w:pPr>
                      <w:rPr>
                        <w:szCs w:val="21"/>
                      </w:rPr>
                    </w:pPr>
                    <w:r w:rsidRPr="008C2320">
                      <w:t>深圳市</w:t>
                    </w:r>
                  </w:p>
                </w:tc>
                <w:tc>
                  <w:tcPr>
                    <w:tcW w:w="630" w:type="pct"/>
                  </w:tcPr>
                  <w:p w:rsidR="00302BC9" w:rsidRPr="008C2320" w:rsidRDefault="00302BC9" w:rsidP="00302BC9">
                    <w:pPr>
                      <w:rPr>
                        <w:szCs w:val="21"/>
                      </w:rPr>
                    </w:pPr>
                    <w:r w:rsidRPr="008C2320">
                      <w:t>保险、咨询</w:t>
                    </w:r>
                  </w:p>
                </w:tc>
                <w:tc>
                  <w:tcPr>
                    <w:tcW w:w="621" w:type="pct"/>
                  </w:tcPr>
                  <w:p w:rsidR="00302BC9" w:rsidRPr="008C2320" w:rsidRDefault="00302BC9" w:rsidP="00302BC9">
                    <w:pPr>
                      <w:jc w:val="right"/>
                      <w:rPr>
                        <w:szCs w:val="21"/>
                      </w:rPr>
                    </w:pPr>
                    <w:r w:rsidRPr="008C2320">
                      <w:t>80</w:t>
                    </w:r>
                  </w:p>
                </w:tc>
                <w:tc>
                  <w:tcPr>
                    <w:tcW w:w="622" w:type="pct"/>
                  </w:tcPr>
                  <w:p w:rsidR="00302BC9" w:rsidRPr="008C2320" w:rsidRDefault="00302BC9" w:rsidP="00302BC9">
                    <w:pPr>
                      <w:jc w:val="right"/>
                      <w:rPr>
                        <w:szCs w:val="21"/>
                      </w:rPr>
                    </w:pPr>
                    <w:r w:rsidRPr="008C2320">
                      <w:t>-</w:t>
                    </w:r>
                  </w:p>
                </w:tc>
                <w:tc>
                  <w:tcPr>
                    <w:tcW w:w="687" w:type="pct"/>
                  </w:tcPr>
                  <w:p w:rsidR="00302BC9" w:rsidRPr="008C2320" w:rsidRDefault="00302BC9" w:rsidP="00302BC9">
                    <w:pPr>
                      <w:rPr>
                        <w:szCs w:val="21"/>
                      </w:rPr>
                    </w:pPr>
                    <w:r w:rsidRPr="008C2320">
                      <w:t>在全国区域内（港、澳、台除外）为投保人拟订投保方案、选择保险人、办理投保手续；协助被保险人或受益人进行索赔；再保险经纪业务；为委托人提供防灾、防损或风险评估、风险管理咨询服务；中国保监会批准的其他业务。</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2069987658"/>
              <w:lock w:val="sdtLocked"/>
            </w:sdtPr>
            <w:sdtContent>
              <w:tr w:rsidR="00302BC9" w:rsidTr="00302BC9">
                <w:tc>
                  <w:tcPr>
                    <w:tcW w:w="1207" w:type="pct"/>
                  </w:tcPr>
                  <w:p w:rsidR="00302BC9" w:rsidRPr="008C2320" w:rsidRDefault="00302BC9" w:rsidP="00302BC9">
                    <w:pPr>
                      <w:rPr>
                        <w:szCs w:val="21"/>
                      </w:rPr>
                    </w:pPr>
                    <w:r w:rsidRPr="008C2320">
                      <w:t>宁波用友网络科技有限公司(以下简称“宁波用友”)</w:t>
                    </w:r>
                  </w:p>
                </w:tc>
                <w:tc>
                  <w:tcPr>
                    <w:tcW w:w="621" w:type="pct"/>
                  </w:tcPr>
                  <w:p w:rsidR="00302BC9" w:rsidRPr="008C2320" w:rsidRDefault="00302BC9" w:rsidP="00302BC9">
                    <w:pPr>
                      <w:rPr>
                        <w:szCs w:val="21"/>
                      </w:rPr>
                    </w:pPr>
                    <w:r w:rsidRPr="008C2320">
                      <w:t>宁波市</w:t>
                    </w:r>
                  </w:p>
                </w:tc>
                <w:tc>
                  <w:tcPr>
                    <w:tcW w:w="612" w:type="pct"/>
                  </w:tcPr>
                  <w:p w:rsidR="00302BC9" w:rsidRPr="008C2320" w:rsidRDefault="00302BC9" w:rsidP="00302BC9">
                    <w:pPr>
                      <w:rPr>
                        <w:szCs w:val="21"/>
                      </w:rPr>
                    </w:pPr>
                    <w:r w:rsidRPr="008C2320">
                      <w:t>宁波市</w:t>
                    </w:r>
                  </w:p>
                </w:tc>
                <w:tc>
                  <w:tcPr>
                    <w:tcW w:w="630" w:type="pct"/>
                  </w:tcPr>
                  <w:p w:rsidR="00302BC9" w:rsidRPr="008C2320" w:rsidRDefault="00302BC9" w:rsidP="00302BC9">
                    <w:pPr>
                      <w:rPr>
                        <w:szCs w:val="21"/>
                      </w:rPr>
                    </w:pPr>
                    <w:r w:rsidRPr="008C2320">
                      <w:t>软件研发和销售，IT服务，技术交流和培训</w:t>
                    </w:r>
                  </w:p>
                </w:tc>
                <w:tc>
                  <w:tcPr>
                    <w:tcW w:w="621" w:type="pct"/>
                  </w:tcPr>
                  <w:p w:rsidR="00302BC9" w:rsidRPr="008C2320" w:rsidRDefault="00302BC9" w:rsidP="00302BC9">
                    <w:pPr>
                      <w:jc w:val="right"/>
                      <w:rPr>
                        <w:szCs w:val="21"/>
                      </w:rPr>
                    </w:pPr>
                    <w:r w:rsidRPr="008C2320">
                      <w:t>100</w:t>
                    </w:r>
                  </w:p>
                </w:tc>
                <w:tc>
                  <w:tcPr>
                    <w:tcW w:w="622" w:type="pct"/>
                  </w:tcPr>
                  <w:p w:rsidR="00302BC9" w:rsidRPr="008C2320" w:rsidRDefault="00302BC9" w:rsidP="00302BC9">
                    <w:pPr>
                      <w:jc w:val="right"/>
                      <w:rPr>
                        <w:szCs w:val="21"/>
                      </w:rPr>
                    </w:pPr>
                    <w:r w:rsidRPr="008C2320">
                      <w:t>-</w:t>
                    </w:r>
                  </w:p>
                </w:tc>
                <w:tc>
                  <w:tcPr>
                    <w:tcW w:w="687" w:type="pct"/>
                  </w:tcPr>
                  <w:p w:rsidR="00302BC9" w:rsidRPr="008C2320" w:rsidRDefault="00302BC9" w:rsidP="00302BC9">
                    <w:pPr>
                      <w:rPr>
                        <w:szCs w:val="21"/>
                      </w:rPr>
                    </w:pPr>
                    <w:r w:rsidRPr="008C2320">
                      <w:t>网络、信息、电子产品、计算机软硬件及配件的技术开发、技术咨询、技术转让、技术服务；企业管理咨询；数据处理和存储服务；计算机软硬件及配件的批发、零售。</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1073078463"/>
              <w:lock w:val="sdtLocked"/>
            </w:sdtPr>
            <w:sdtContent>
              <w:tr w:rsidR="00302BC9" w:rsidTr="00302BC9">
                <w:tc>
                  <w:tcPr>
                    <w:tcW w:w="1207" w:type="pct"/>
                  </w:tcPr>
                  <w:p w:rsidR="00302BC9" w:rsidRPr="008C2320" w:rsidRDefault="00302BC9" w:rsidP="00302BC9">
                    <w:pPr>
                      <w:rPr>
                        <w:szCs w:val="21"/>
                      </w:rPr>
                    </w:pPr>
                    <w:r w:rsidRPr="008C2320">
                      <w:t>用友（上海）工业互联科技发展有限公司(以下简称“用友工业互联”)</w:t>
                    </w:r>
                  </w:p>
                </w:tc>
                <w:tc>
                  <w:tcPr>
                    <w:tcW w:w="621" w:type="pct"/>
                  </w:tcPr>
                  <w:p w:rsidR="00302BC9" w:rsidRPr="008C2320" w:rsidRDefault="00302BC9" w:rsidP="00302BC9">
                    <w:pPr>
                      <w:rPr>
                        <w:szCs w:val="21"/>
                      </w:rPr>
                    </w:pPr>
                    <w:r w:rsidRPr="008C2320">
                      <w:t>上海市</w:t>
                    </w:r>
                  </w:p>
                </w:tc>
                <w:tc>
                  <w:tcPr>
                    <w:tcW w:w="612" w:type="pct"/>
                  </w:tcPr>
                  <w:p w:rsidR="00302BC9" w:rsidRPr="008C2320" w:rsidRDefault="00302BC9" w:rsidP="00302BC9">
                    <w:pPr>
                      <w:rPr>
                        <w:szCs w:val="21"/>
                      </w:rPr>
                    </w:pPr>
                    <w:r w:rsidRPr="008C2320">
                      <w:t>上海市</w:t>
                    </w:r>
                  </w:p>
                </w:tc>
                <w:tc>
                  <w:tcPr>
                    <w:tcW w:w="630" w:type="pct"/>
                  </w:tcPr>
                  <w:p w:rsidR="00302BC9" w:rsidRPr="008C2320" w:rsidRDefault="00302BC9" w:rsidP="00302BC9">
                    <w:pPr>
                      <w:rPr>
                        <w:szCs w:val="21"/>
                      </w:rPr>
                    </w:pPr>
                    <w:r w:rsidRPr="008C2320">
                      <w:t>互联网/计算机软件</w:t>
                    </w:r>
                  </w:p>
                </w:tc>
                <w:tc>
                  <w:tcPr>
                    <w:tcW w:w="621" w:type="pct"/>
                  </w:tcPr>
                  <w:p w:rsidR="00302BC9" w:rsidRPr="008C2320" w:rsidRDefault="00302BC9" w:rsidP="00302BC9">
                    <w:pPr>
                      <w:jc w:val="right"/>
                      <w:rPr>
                        <w:szCs w:val="21"/>
                      </w:rPr>
                    </w:pPr>
                    <w:r w:rsidRPr="008C2320">
                      <w:t>100</w:t>
                    </w:r>
                  </w:p>
                </w:tc>
                <w:tc>
                  <w:tcPr>
                    <w:tcW w:w="622" w:type="pct"/>
                  </w:tcPr>
                  <w:p w:rsidR="00302BC9" w:rsidRPr="008C2320" w:rsidRDefault="00302BC9" w:rsidP="00302BC9">
                    <w:pPr>
                      <w:jc w:val="right"/>
                      <w:rPr>
                        <w:szCs w:val="21"/>
                      </w:rPr>
                    </w:pPr>
                    <w:r w:rsidRPr="008C2320">
                      <w:t>-</w:t>
                    </w:r>
                  </w:p>
                </w:tc>
                <w:tc>
                  <w:tcPr>
                    <w:tcW w:w="687" w:type="pct"/>
                  </w:tcPr>
                  <w:p w:rsidR="00302BC9" w:rsidRPr="008C2320" w:rsidRDefault="00302BC9" w:rsidP="00302BC9">
                    <w:pPr>
                      <w:rPr>
                        <w:szCs w:val="21"/>
                      </w:rPr>
                    </w:pPr>
                    <w:r w:rsidRPr="008C2320">
                      <w:t>从事互联网科技、信息科技、电子科技、计算机科技领域内的技术开发、技术咨询、技术服务、技术转让；企业管理咨询；会议及展览服务；数字作品的数据库管理；电子设备、计算机软硬件及配件的销售。</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1543095722"/>
              <w:lock w:val="sdtLocked"/>
            </w:sdtPr>
            <w:sdtContent>
              <w:tr w:rsidR="00302BC9" w:rsidTr="00302BC9">
                <w:tc>
                  <w:tcPr>
                    <w:tcW w:w="1207" w:type="pct"/>
                  </w:tcPr>
                  <w:p w:rsidR="00302BC9" w:rsidRPr="008C2320" w:rsidRDefault="00302BC9" w:rsidP="00302BC9">
                    <w:pPr>
                      <w:rPr>
                        <w:szCs w:val="21"/>
                      </w:rPr>
                    </w:pPr>
                    <w:r w:rsidRPr="008C2320">
                      <w:t>上海用友云服务创业投资合伙企业（有限合伙）(以下简称“用友云创投”)(注2)</w:t>
                    </w:r>
                  </w:p>
                </w:tc>
                <w:tc>
                  <w:tcPr>
                    <w:tcW w:w="621" w:type="pct"/>
                  </w:tcPr>
                  <w:p w:rsidR="00302BC9" w:rsidRPr="008C2320" w:rsidRDefault="00302BC9" w:rsidP="00302BC9">
                    <w:pPr>
                      <w:rPr>
                        <w:szCs w:val="21"/>
                      </w:rPr>
                    </w:pPr>
                    <w:r w:rsidRPr="008C2320">
                      <w:t>上海市</w:t>
                    </w:r>
                  </w:p>
                </w:tc>
                <w:tc>
                  <w:tcPr>
                    <w:tcW w:w="612" w:type="pct"/>
                  </w:tcPr>
                  <w:p w:rsidR="00302BC9" w:rsidRPr="008C2320" w:rsidRDefault="00302BC9" w:rsidP="00302BC9">
                    <w:pPr>
                      <w:rPr>
                        <w:szCs w:val="21"/>
                      </w:rPr>
                    </w:pPr>
                    <w:r w:rsidRPr="008C2320">
                      <w:t>上海市</w:t>
                    </w:r>
                  </w:p>
                </w:tc>
                <w:tc>
                  <w:tcPr>
                    <w:tcW w:w="630" w:type="pct"/>
                  </w:tcPr>
                  <w:p w:rsidR="00302BC9" w:rsidRPr="008C2320" w:rsidRDefault="00302BC9" w:rsidP="00302BC9">
                    <w:pPr>
                      <w:rPr>
                        <w:szCs w:val="21"/>
                      </w:rPr>
                    </w:pPr>
                    <w:r w:rsidRPr="008C2320">
                      <w:t>投资/咨询</w:t>
                    </w:r>
                  </w:p>
                </w:tc>
                <w:tc>
                  <w:tcPr>
                    <w:tcW w:w="621" w:type="pct"/>
                  </w:tcPr>
                  <w:p w:rsidR="00302BC9" w:rsidRPr="008C2320" w:rsidRDefault="00302BC9" w:rsidP="00302BC9">
                    <w:pPr>
                      <w:jc w:val="right"/>
                      <w:rPr>
                        <w:szCs w:val="21"/>
                      </w:rPr>
                    </w:pPr>
                    <w:r w:rsidRPr="008C2320">
                      <w:t>99.5</w:t>
                    </w:r>
                  </w:p>
                </w:tc>
                <w:tc>
                  <w:tcPr>
                    <w:tcW w:w="622" w:type="pct"/>
                  </w:tcPr>
                  <w:p w:rsidR="00302BC9" w:rsidRPr="008C2320" w:rsidRDefault="00302BC9" w:rsidP="00302BC9">
                    <w:pPr>
                      <w:jc w:val="right"/>
                      <w:rPr>
                        <w:szCs w:val="21"/>
                      </w:rPr>
                    </w:pPr>
                    <w:r w:rsidRPr="008C2320">
                      <w:t>0.5</w:t>
                    </w:r>
                  </w:p>
                </w:tc>
                <w:tc>
                  <w:tcPr>
                    <w:tcW w:w="687" w:type="pct"/>
                  </w:tcPr>
                  <w:p w:rsidR="00302BC9" w:rsidRPr="008C2320" w:rsidRDefault="00302BC9" w:rsidP="00302BC9">
                    <w:pPr>
                      <w:rPr>
                        <w:szCs w:val="21"/>
                      </w:rPr>
                    </w:pPr>
                    <w:r w:rsidRPr="008C2320">
                      <w:t>创业投资，股权投资，投资管理，产业投资，资产管理，投资咨询。</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1928307799"/>
              <w:lock w:val="sdtLocked"/>
            </w:sdtPr>
            <w:sdtContent>
              <w:tr w:rsidR="00302BC9" w:rsidTr="00302BC9">
                <w:tc>
                  <w:tcPr>
                    <w:tcW w:w="1207" w:type="pct"/>
                  </w:tcPr>
                  <w:p w:rsidR="00302BC9" w:rsidRPr="008C2320" w:rsidRDefault="00302BC9" w:rsidP="00302BC9">
                    <w:pPr>
                      <w:rPr>
                        <w:szCs w:val="21"/>
                      </w:rPr>
                    </w:pPr>
                    <w:r w:rsidRPr="008C2320">
                      <w:t>北京点点亮科技有限公司(以下简称“点点亮科技”) </w:t>
                    </w:r>
                  </w:p>
                </w:tc>
                <w:tc>
                  <w:tcPr>
                    <w:tcW w:w="621" w:type="pct"/>
                  </w:tcPr>
                  <w:p w:rsidR="00302BC9" w:rsidRPr="008C2320" w:rsidRDefault="00302BC9" w:rsidP="00302BC9">
                    <w:pPr>
                      <w:rPr>
                        <w:szCs w:val="21"/>
                      </w:rPr>
                    </w:pPr>
                    <w:r w:rsidRPr="008C2320">
                      <w:t>北京市</w:t>
                    </w:r>
                  </w:p>
                </w:tc>
                <w:tc>
                  <w:tcPr>
                    <w:tcW w:w="612" w:type="pct"/>
                  </w:tcPr>
                  <w:p w:rsidR="00302BC9" w:rsidRPr="008C2320" w:rsidRDefault="00302BC9" w:rsidP="00302BC9">
                    <w:pPr>
                      <w:rPr>
                        <w:szCs w:val="21"/>
                      </w:rPr>
                    </w:pPr>
                    <w:r w:rsidRPr="008C2320">
                      <w:t>北京市</w:t>
                    </w:r>
                  </w:p>
                </w:tc>
                <w:tc>
                  <w:tcPr>
                    <w:tcW w:w="630" w:type="pct"/>
                  </w:tcPr>
                  <w:p w:rsidR="00302BC9" w:rsidRPr="008C2320" w:rsidRDefault="00302BC9" w:rsidP="00302BC9">
                    <w:pPr>
                      <w:rPr>
                        <w:szCs w:val="21"/>
                      </w:rPr>
                    </w:pPr>
                    <w:r w:rsidRPr="008C2320">
                      <w:t>计算机软件/咨询行业</w:t>
                    </w:r>
                  </w:p>
                </w:tc>
                <w:tc>
                  <w:tcPr>
                    <w:tcW w:w="621" w:type="pct"/>
                  </w:tcPr>
                  <w:p w:rsidR="00302BC9" w:rsidRPr="008C2320" w:rsidRDefault="00302BC9" w:rsidP="00302BC9">
                    <w:pPr>
                      <w:jc w:val="right"/>
                      <w:rPr>
                        <w:szCs w:val="21"/>
                      </w:rPr>
                    </w:pPr>
                    <w:r w:rsidRPr="008C2320">
                      <w:t>100</w:t>
                    </w:r>
                  </w:p>
                </w:tc>
                <w:tc>
                  <w:tcPr>
                    <w:tcW w:w="622" w:type="pct"/>
                  </w:tcPr>
                  <w:p w:rsidR="00302BC9" w:rsidRPr="008C2320" w:rsidRDefault="00302BC9" w:rsidP="00302BC9">
                    <w:pPr>
                      <w:jc w:val="right"/>
                      <w:rPr>
                        <w:szCs w:val="21"/>
                      </w:rPr>
                    </w:pPr>
                    <w:r w:rsidRPr="008C2320">
                      <w:t>-</w:t>
                    </w:r>
                  </w:p>
                </w:tc>
                <w:tc>
                  <w:tcPr>
                    <w:tcW w:w="687" w:type="pct"/>
                  </w:tcPr>
                  <w:p w:rsidR="00302BC9" w:rsidRPr="008C2320" w:rsidRDefault="00302BC9" w:rsidP="00302BC9">
                    <w:pPr>
                      <w:rPr>
                        <w:szCs w:val="21"/>
                      </w:rPr>
                    </w:pPr>
                    <w:r w:rsidRPr="008C2320">
                      <w:t>技术开发、技术咨询、技术推广、技术服务；企业管理咨询；基础软件服务；应用软件服务；计算机系统服务；数据处理（数据处理中的银行卡中心、PUE值在</w:t>
                    </w:r>
                    <w:r w:rsidRPr="008C2320">
                      <w:lastRenderedPageBreak/>
                      <w:t>1.5以上的云计算数据中心除外）；航空机票销售代理；会议服务；企业管理咨询；企业策划、设计；市场调查；经济贸易咨询；文化咨询；设计、制作、代理、发布广告；计算机维修；销售计算机、软件及辅助设备、日用杂货、家用电器、体育用品、针纺织品、服装、家具(不从事实体店铺经营）、珠宝首饰、工艺品、钟表眼镜、玩具、汽车、摩托车零配件、花、草及观赏植物、通讯设备。</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304974961"/>
              <w:lock w:val="sdtLocked"/>
            </w:sdtPr>
            <w:sdtContent>
              <w:tr w:rsidR="00302BC9" w:rsidTr="00302BC9">
                <w:tc>
                  <w:tcPr>
                    <w:tcW w:w="1207" w:type="pct"/>
                  </w:tcPr>
                  <w:p w:rsidR="00302BC9" w:rsidRPr="008C2320" w:rsidRDefault="00302BC9" w:rsidP="00302BC9">
                    <w:pPr>
                      <w:rPr>
                        <w:szCs w:val="21"/>
                      </w:rPr>
                    </w:pPr>
                    <w:r w:rsidRPr="008C2320">
                      <w:t>上海用友产业投资管理有限公司(以下简称“以下简称用友产投”) </w:t>
                    </w:r>
                  </w:p>
                </w:tc>
                <w:tc>
                  <w:tcPr>
                    <w:tcW w:w="621" w:type="pct"/>
                  </w:tcPr>
                  <w:p w:rsidR="00302BC9" w:rsidRPr="008C2320" w:rsidRDefault="00302BC9" w:rsidP="00302BC9">
                    <w:pPr>
                      <w:rPr>
                        <w:szCs w:val="21"/>
                      </w:rPr>
                    </w:pPr>
                    <w:r w:rsidRPr="008C2320">
                      <w:t>上海市</w:t>
                    </w:r>
                  </w:p>
                </w:tc>
                <w:tc>
                  <w:tcPr>
                    <w:tcW w:w="612" w:type="pct"/>
                  </w:tcPr>
                  <w:p w:rsidR="00302BC9" w:rsidRPr="008C2320" w:rsidRDefault="00302BC9" w:rsidP="00302BC9">
                    <w:pPr>
                      <w:rPr>
                        <w:szCs w:val="21"/>
                      </w:rPr>
                    </w:pPr>
                    <w:r w:rsidRPr="008C2320">
                      <w:t>上海市</w:t>
                    </w:r>
                  </w:p>
                </w:tc>
                <w:tc>
                  <w:tcPr>
                    <w:tcW w:w="630" w:type="pct"/>
                  </w:tcPr>
                  <w:p w:rsidR="00302BC9" w:rsidRPr="008C2320" w:rsidRDefault="00302BC9" w:rsidP="00302BC9">
                    <w:pPr>
                      <w:rPr>
                        <w:szCs w:val="21"/>
                      </w:rPr>
                    </w:pPr>
                    <w:r w:rsidRPr="008C2320">
                      <w:t>投资、咨询</w:t>
                    </w:r>
                  </w:p>
                </w:tc>
                <w:tc>
                  <w:tcPr>
                    <w:tcW w:w="621" w:type="pct"/>
                  </w:tcPr>
                  <w:p w:rsidR="00302BC9" w:rsidRPr="008C2320" w:rsidRDefault="00302BC9" w:rsidP="00302BC9">
                    <w:pPr>
                      <w:jc w:val="right"/>
                      <w:rPr>
                        <w:szCs w:val="21"/>
                      </w:rPr>
                    </w:pPr>
                    <w:r w:rsidRPr="008C2320">
                      <w:t>70</w:t>
                    </w:r>
                  </w:p>
                </w:tc>
                <w:tc>
                  <w:tcPr>
                    <w:tcW w:w="622" w:type="pct"/>
                  </w:tcPr>
                  <w:p w:rsidR="00302BC9" w:rsidRPr="008C2320" w:rsidRDefault="00302BC9" w:rsidP="00302BC9">
                    <w:pPr>
                      <w:jc w:val="right"/>
                      <w:rPr>
                        <w:szCs w:val="21"/>
                      </w:rPr>
                    </w:pPr>
                    <w:r w:rsidRPr="008C2320">
                      <w:t>-</w:t>
                    </w:r>
                  </w:p>
                </w:tc>
                <w:tc>
                  <w:tcPr>
                    <w:tcW w:w="687" w:type="pct"/>
                  </w:tcPr>
                  <w:p w:rsidR="00302BC9" w:rsidRPr="008C2320" w:rsidRDefault="00302BC9" w:rsidP="00302BC9">
                    <w:pPr>
                      <w:rPr>
                        <w:szCs w:val="21"/>
                      </w:rPr>
                    </w:pPr>
                    <w:r w:rsidRPr="008C2320">
                      <w:t>创业投资，股权投资，投资管理，资产管</w:t>
                    </w:r>
                    <w:r w:rsidRPr="008C2320">
                      <w:lastRenderedPageBreak/>
                      <w:t>理，投资咨询。</w:t>
                    </w:r>
                  </w:p>
                </w:tc>
              </w:tr>
            </w:sdtContent>
          </w:sdt>
        </w:tbl>
        <w:p w:rsidR="00302BC9" w:rsidRDefault="00302BC9"/>
        <w:p w:rsidR="00ED2DC7" w:rsidRDefault="00ED2DC7">
          <w:pPr>
            <w:rPr>
              <w:rFonts w:cs="Arial"/>
              <w:szCs w:val="21"/>
            </w:rPr>
          </w:pPr>
          <w:r>
            <w:rPr>
              <w:rFonts w:cs="Arial" w:hint="eastAsia"/>
              <w:szCs w:val="21"/>
            </w:rPr>
            <w:t>在子公司的持股比例不同于表决权比例的说明：</w:t>
          </w:r>
        </w:p>
        <w:p w:rsidR="00ED2DC7" w:rsidRDefault="000D0A99">
          <w:pPr>
            <w:rPr>
              <w:rFonts w:cs="Arial"/>
              <w:szCs w:val="21"/>
            </w:rPr>
          </w:pPr>
          <w:sdt>
            <w:sdtPr>
              <w:rPr>
                <w:rFonts w:cs="Arial"/>
                <w:szCs w:val="21"/>
              </w:rPr>
              <w:alias w:val="在子公司的持股比例不同于表决权比例的说明"/>
              <w:tag w:val="_GBC_b7be591163dc47e4b00f98006e6fbb0b"/>
              <w:id w:val="2125109177"/>
              <w:lock w:val="sdtLocked"/>
              <w:placeholder>
                <w:docPart w:val="GBC22222222222222222222222222222"/>
              </w:placeholder>
            </w:sdtPr>
            <w:sdtContent>
              <w:r w:rsidR="000D61B2">
                <w:rPr>
                  <w:rFonts w:cs="Arial" w:hint="eastAsia"/>
                  <w:szCs w:val="21"/>
                </w:rPr>
                <w:t>无。</w:t>
              </w:r>
            </w:sdtContent>
          </w:sdt>
        </w:p>
        <w:p w:rsidR="00ED2DC7" w:rsidRDefault="00ED2DC7">
          <w:pPr>
            <w:rPr>
              <w:rFonts w:cs="Arial"/>
              <w:szCs w:val="21"/>
            </w:rPr>
          </w:pPr>
        </w:p>
        <w:p w:rsidR="00ED2DC7" w:rsidRDefault="00ED2DC7">
          <w:pPr>
            <w:rPr>
              <w:rFonts w:cs="Arial"/>
              <w:szCs w:val="21"/>
            </w:rPr>
          </w:pPr>
          <w:r>
            <w:rPr>
              <w:rFonts w:cs="Arial" w:hint="eastAsia"/>
              <w:szCs w:val="21"/>
            </w:rPr>
            <w:t>持有半数或以下表决权但仍控制被投资单位、以及持有半数以上表决权但不控制被投资单位的依据：</w:t>
          </w:r>
        </w:p>
        <w:sdt>
          <w:sdtPr>
            <w:rPr>
              <w:rFonts w:cs="Arial"/>
              <w:szCs w:val="21"/>
            </w:rPr>
            <w:alias w:val="持有半数或以下表决权但仍控制被投资单位、以及持有半数以上表决权但不控制被投资单位的依据"/>
            <w:tag w:val="_GBC_e9c6ba07b58c4f8e9e3004170d14542b"/>
            <w:id w:val="-428585280"/>
            <w:lock w:val="sdtLocked"/>
            <w:placeholder>
              <w:docPart w:val="GBC22222222222222222222222222222"/>
            </w:placeholder>
          </w:sdtPr>
          <w:sdtContent>
            <w:p w:rsidR="00ED2DC7" w:rsidRDefault="000D61B2">
              <w:pPr>
                <w:rPr>
                  <w:rFonts w:cs="Arial"/>
                  <w:szCs w:val="21"/>
                </w:rPr>
              </w:pPr>
              <w:r w:rsidRPr="000D61B2">
                <w:rPr>
                  <w:rFonts w:cs="Arial" w:hint="eastAsia"/>
                  <w:szCs w:val="21"/>
                </w:rPr>
                <w:t>无。</w:t>
              </w:r>
            </w:p>
          </w:sdtContent>
        </w:sdt>
        <w:p w:rsidR="00ED2DC7" w:rsidRDefault="00ED2DC7">
          <w:pPr>
            <w:rPr>
              <w:rFonts w:cs="Arial"/>
              <w:szCs w:val="21"/>
            </w:rPr>
          </w:pPr>
        </w:p>
        <w:p w:rsidR="00ED2DC7" w:rsidRDefault="00ED2DC7">
          <w:pPr>
            <w:rPr>
              <w:rFonts w:cs="Arial"/>
              <w:szCs w:val="21"/>
            </w:rPr>
          </w:pPr>
          <w:r>
            <w:rPr>
              <w:rFonts w:cs="Arial" w:hint="eastAsia"/>
              <w:szCs w:val="21"/>
            </w:rPr>
            <w:t>对于纳入合并范围的重要的结构化主体，控制的依据：</w:t>
          </w:r>
        </w:p>
        <w:sdt>
          <w:sdtPr>
            <w:rPr>
              <w:rFonts w:cs="Arial" w:hint="eastAsia"/>
              <w:szCs w:val="21"/>
            </w:rPr>
            <w:alias w:val="对于纳入合并范围的重要的结构化主体，控制的依据"/>
            <w:tag w:val="_GBC_254d83ec47cd4003902f2d0f6017d432"/>
            <w:id w:val="1763873885"/>
            <w:lock w:val="sdtLocked"/>
            <w:placeholder>
              <w:docPart w:val="GBC22222222222222222222222222222"/>
            </w:placeholder>
          </w:sdtPr>
          <w:sdtContent>
            <w:p w:rsidR="00ED2DC7" w:rsidRDefault="000D61B2">
              <w:pPr>
                <w:rPr>
                  <w:rFonts w:cs="Arial"/>
                  <w:szCs w:val="21"/>
                </w:rPr>
              </w:pPr>
              <w:r w:rsidRPr="000D61B2">
                <w:rPr>
                  <w:rFonts w:cs="Arial" w:hint="eastAsia"/>
                  <w:szCs w:val="21"/>
                </w:rPr>
                <w:t>无。</w:t>
              </w:r>
            </w:p>
          </w:sdtContent>
        </w:sdt>
        <w:p w:rsidR="00ED2DC7" w:rsidRDefault="00ED2DC7">
          <w:pPr>
            <w:rPr>
              <w:rFonts w:cs="Arial"/>
              <w:szCs w:val="21"/>
            </w:rPr>
          </w:pPr>
        </w:p>
        <w:p w:rsidR="00ED2DC7" w:rsidRDefault="00ED2DC7">
          <w:pPr>
            <w:rPr>
              <w:rFonts w:cs="Arial"/>
              <w:szCs w:val="21"/>
            </w:rPr>
          </w:pPr>
          <w:r>
            <w:rPr>
              <w:rFonts w:cs="Arial" w:hint="eastAsia"/>
              <w:szCs w:val="21"/>
            </w:rPr>
            <w:t>确定公司是代理人还是委托人的依据：</w:t>
          </w:r>
        </w:p>
        <w:sdt>
          <w:sdtPr>
            <w:rPr>
              <w:rFonts w:cs="Arial" w:hint="eastAsia"/>
              <w:szCs w:val="21"/>
            </w:rPr>
            <w:alias w:val="确定公司是代理人还是委托人的依据"/>
            <w:tag w:val="_GBC_f515cb0c8a654271b5991b0accabe800"/>
            <w:id w:val="152191796"/>
            <w:lock w:val="sdtLocked"/>
            <w:placeholder>
              <w:docPart w:val="GBC22222222222222222222222222222"/>
            </w:placeholder>
          </w:sdtPr>
          <w:sdtContent>
            <w:p w:rsidR="00ED2DC7" w:rsidRDefault="000D61B2">
              <w:pPr>
                <w:rPr>
                  <w:rFonts w:cs="Arial"/>
                  <w:szCs w:val="21"/>
                </w:rPr>
              </w:pPr>
              <w:r w:rsidRPr="000D61B2">
                <w:rPr>
                  <w:rFonts w:cs="Arial" w:hint="eastAsia"/>
                  <w:szCs w:val="21"/>
                </w:rPr>
                <w:t>无。</w:t>
              </w:r>
            </w:p>
          </w:sdtContent>
        </w:sdt>
        <w:p w:rsidR="00ED2DC7" w:rsidRDefault="00ED2DC7">
          <w:pPr>
            <w:rPr>
              <w:rFonts w:cs="Arial"/>
              <w:szCs w:val="21"/>
            </w:rPr>
          </w:pPr>
        </w:p>
        <w:p w:rsidR="00ED2DC7" w:rsidRDefault="00ED2DC7">
          <w:pPr>
            <w:rPr>
              <w:rFonts w:cs="Arial"/>
              <w:szCs w:val="21"/>
            </w:rPr>
          </w:pPr>
          <w:r>
            <w:rPr>
              <w:rFonts w:cs="Arial" w:hint="eastAsia"/>
              <w:szCs w:val="21"/>
            </w:rPr>
            <w:t>其他说明：</w:t>
          </w:r>
        </w:p>
        <w:sdt>
          <w:sdtPr>
            <w:rPr>
              <w:rFonts w:cs="Arial"/>
              <w:szCs w:val="21"/>
            </w:rPr>
            <w:alias w:val="企业集团的构成的其他需要说明的事项"/>
            <w:tag w:val="_GBC_7dc3099f920f4546b2a983c0eb4c2ce0"/>
            <w:id w:val="-2088297421"/>
            <w:lock w:val="sdtLocked"/>
            <w:placeholder>
              <w:docPart w:val="GBC22222222222222222222222222222"/>
            </w:placeholder>
          </w:sdtPr>
          <w:sdtContent>
            <w:p w:rsidR="00B637B2" w:rsidRPr="00F12EE7" w:rsidRDefault="008F04CF" w:rsidP="00B637B2">
              <w:pPr>
                <w:rPr>
                  <w:rFonts w:cs="Arial"/>
                  <w:szCs w:val="21"/>
                </w:rPr>
              </w:pPr>
              <w:r w:rsidRPr="00F12EE7">
                <w:rPr>
                  <w:rFonts w:cs="Arial" w:hint="eastAsia"/>
                  <w:szCs w:val="21"/>
                </w:rPr>
                <w:t>注</w:t>
              </w:r>
              <w:r w:rsidRPr="00F12EE7">
                <w:rPr>
                  <w:rFonts w:cs="Arial"/>
                  <w:szCs w:val="21"/>
                </w:rPr>
                <w:t>1．</w:t>
              </w:r>
              <w:r w:rsidRPr="00F12EE7">
                <w:rPr>
                  <w:rFonts w:cs="Arial"/>
                  <w:szCs w:val="21"/>
                </w:rPr>
                <w:tab/>
                <w:t>本公司与上海海悦投资管理有限公司、邵志东和北京烽火台管理咨询中心签订投资协议，本公司以现金1,100万元人民币增资红火台。本集团对红火台的持股比例变为51.07%。</w:t>
              </w:r>
            </w:p>
            <w:p w:rsidR="00B637B2" w:rsidRPr="00F12EE7" w:rsidRDefault="00B637B2" w:rsidP="00B637B2">
              <w:pPr>
                <w:rPr>
                  <w:rFonts w:cs="Arial"/>
                  <w:szCs w:val="21"/>
                </w:rPr>
              </w:pPr>
            </w:p>
            <w:p w:rsidR="00B637B2" w:rsidRPr="00F12EE7" w:rsidRDefault="008F04CF" w:rsidP="00B637B2">
              <w:pPr>
                <w:rPr>
                  <w:rFonts w:cs="Arial"/>
                  <w:szCs w:val="21"/>
                </w:rPr>
              </w:pPr>
              <w:r w:rsidRPr="00F12EE7">
                <w:rPr>
                  <w:rFonts w:cs="Arial" w:hint="eastAsia"/>
                  <w:szCs w:val="21"/>
                </w:rPr>
                <w:t>注</w:t>
              </w:r>
              <w:r w:rsidRPr="00F12EE7">
                <w:rPr>
                  <w:rFonts w:cs="Arial"/>
                  <w:szCs w:val="21"/>
                </w:rPr>
                <w:t>2．</w:t>
              </w:r>
              <w:r w:rsidRPr="00F12EE7">
                <w:rPr>
                  <w:rFonts w:cs="Arial"/>
                  <w:szCs w:val="21"/>
                </w:rPr>
                <w:tab/>
                <w:t>本公司与用友产投共同出资设立用友云创投，注册资本人民币201,000,000元，本公司出资比例为99.5%，截至2019年6月30日，本公司已实缴出资人民币110,000,000元。</w:t>
              </w:r>
            </w:p>
            <w:p w:rsidR="00B637B2" w:rsidRPr="00F12EE7" w:rsidRDefault="00B637B2" w:rsidP="00B637B2">
              <w:pPr>
                <w:rPr>
                  <w:rFonts w:cs="Arial"/>
                  <w:szCs w:val="21"/>
                </w:rPr>
              </w:pPr>
            </w:p>
            <w:p w:rsidR="00ED2DC7" w:rsidRDefault="008F04CF" w:rsidP="00B637B2">
              <w:pPr>
                <w:rPr>
                  <w:rFonts w:cstheme="minorBidi"/>
                  <w:szCs w:val="21"/>
                </w:rPr>
              </w:pPr>
              <w:r w:rsidRPr="00F12EE7">
                <w:rPr>
                  <w:rFonts w:cs="Arial" w:hint="eastAsia"/>
                  <w:szCs w:val="21"/>
                </w:rPr>
                <w:t>注</w:t>
              </w:r>
              <w:r w:rsidRPr="00F12EE7">
                <w:rPr>
                  <w:rFonts w:cs="Arial"/>
                  <w:szCs w:val="21"/>
                </w:rPr>
                <w:t>2．</w:t>
              </w:r>
              <w:r w:rsidRPr="00F12EE7">
                <w:rPr>
                  <w:rFonts w:cs="Arial"/>
                  <w:szCs w:val="21"/>
                </w:rPr>
                <w:tab/>
                <w:t>本期本公司注销子公司滨海用友。</w:t>
              </w:r>
            </w:p>
          </w:sdtContent>
        </w:sdt>
      </w:sdtContent>
    </w:sdt>
    <w:p w:rsidR="00ED2DC7" w:rsidRDefault="00ED2DC7">
      <w:pPr>
        <w:rPr>
          <w:rFonts w:cs="Arial"/>
          <w:szCs w:val="21"/>
        </w:rPr>
      </w:pPr>
    </w:p>
    <w:sdt>
      <w:sdtPr>
        <w:rPr>
          <w:rFonts w:ascii="宋体" w:hAnsi="宋体" w:cs="Arial" w:hint="eastAsia"/>
          <w:b w:val="0"/>
          <w:bCs w:val="0"/>
          <w:kern w:val="0"/>
          <w:szCs w:val="21"/>
        </w:rPr>
        <w:alias w:val="模块:重要的非全资子公司"/>
        <w:tag w:val="_GBC_a2ec6e05ebd34d2fa14b1ba6b3ba8eb1"/>
        <w:id w:val="-1616668937"/>
        <w:lock w:val="sdtLocked"/>
        <w:placeholder>
          <w:docPart w:val="GBC22222222222222222222222222222"/>
        </w:placeholder>
      </w:sdtPr>
      <w:sdtEndPr>
        <w:rPr>
          <w:rFonts w:hint="default"/>
        </w:rPr>
      </w:sdtEndPr>
      <w:sdtContent>
        <w:p w:rsidR="00ED2DC7" w:rsidRDefault="00ED2DC7" w:rsidP="00036BDC">
          <w:pPr>
            <w:pStyle w:val="affffffffffffffffff2"/>
            <w:numPr>
              <w:ilvl w:val="3"/>
              <w:numId w:val="85"/>
            </w:numPr>
            <w:tabs>
              <w:tab w:val="left" w:pos="644"/>
            </w:tabs>
            <w:rPr>
              <w:rFonts w:ascii="宋体" w:hAnsi="宋体" w:cs="Arial"/>
              <w:szCs w:val="21"/>
            </w:rPr>
          </w:pPr>
          <w:r>
            <w:rPr>
              <w:rFonts w:ascii="宋体" w:hAnsi="宋体" w:cs="Arial" w:hint="eastAsia"/>
              <w:szCs w:val="21"/>
            </w:rPr>
            <w:t>重要的非全资子公司</w:t>
          </w:r>
        </w:p>
        <w:sdt>
          <w:sdtPr>
            <w:alias w:val="是否适用：重要的非全资子公司[双击切换]"/>
            <w:tag w:val="_GBC_b83f349d0d754e2d93b12d2112b4c3ec"/>
            <w:id w:val="2091582737"/>
            <w:lock w:val="sdtContentLocked"/>
            <w:placeholder>
              <w:docPart w:val="GBC22222222222222222222222222222"/>
            </w:placeholder>
          </w:sdtPr>
          <w:sdtContent>
            <w:p w:rsidR="00ED2DC7" w:rsidRDefault="00ED2DC7">
              <w:r>
                <w:fldChar w:fldCharType="begin"/>
              </w:r>
              <w:r w:rsidR="000D61B2">
                <w:instrText xml:space="preserve"> MACROBUTTON  SnrToggleCheckbox √适用 </w:instrText>
              </w:r>
              <w:r>
                <w:fldChar w:fldCharType="end"/>
              </w:r>
              <w:r>
                <w:fldChar w:fldCharType="begin"/>
              </w:r>
              <w:r w:rsidR="000D61B2">
                <w:instrText xml:space="preserve"> MACROBUTTON  SnrToggleCheckbox □不适用 </w:instrText>
              </w:r>
              <w:r>
                <w:fldChar w:fldCharType="end"/>
              </w:r>
            </w:p>
          </w:sdtContent>
        </w:sdt>
        <w:p w:rsidR="00ED2DC7" w:rsidRDefault="00ED2DC7">
          <w:pPr>
            <w:jc w:val="right"/>
          </w:pPr>
          <w:r>
            <w:rPr>
              <w:rFonts w:hint="eastAsia"/>
            </w:rPr>
            <w:t>单位:</w:t>
          </w:r>
          <w:sdt>
            <w:sdtPr>
              <w:rPr>
                <w:rFonts w:hint="eastAsia"/>
              </w:rPr>
              <w:alias w:val="单位：财务附注：重要的非全资子公司"/>
              <w:tag w:val="_GBC_e5936e9952394755bacf71d437afcd44"/>
              <w:id w:val="-15904612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hint="eastAsia"/>
                </w:rPr>
                <w:t>元</w:t>
              </w:r>
            </w:sdtContent>
          </w:sdt>
          <w:r>
            <w:rPr>
              <w:rFonts w:hint="eastAsia"/>
            </w:rPr>
            <w:t xml:space="preserve">  币种:</w:t>
          </w:r>
          <w:sdt>
            <w:sdtPr>
              <w:rPr>
                <w:rFonts w:hint="eastAsia"/>
              </w:rPr>
              <w:alias w:val="币种：财务附注：重要的非全资子公司"/>
              <w:tag w:val="_GBC_5ffac6aa0e464031b94de604fccc76c7"/>
              <w:id w:val="2843995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rPr>
                <w:t>人民币</w:t>
              </w:r>
            </w:sdtContent>
          </w:sdt>
        </w:p>
        <w:tbl>
          <w:tblPr>
            <w:tblStyle w:val="g38"/>
            <w:tblW w:w="5191"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480"/>
            <w:gridCol w:w="1665"/>
            <w:gridCol w:w="2096"/>
            <w:gridCol w:w="1783"/>
            <w:gridCol w:w="1596"/>
          </w:tblGrid>
          <w:tr w:rsidR="001D4069" w:rsidTr="005210A3">
            <w:trPr>
              <w:trHeight w:val="241"/>
            </w:trPr>
            <w:sdt>
              <w:sdtPr>
                <w:tag w:val="_PLD_214f5d23d0ff4cd08577f444026e3bf2"/>
                <w:id w:val="-214972090"/>
                <w:lock w:val="sdtLocked"/>
              </w:sdtPr>
              <w:sdtContent>
                <w:tc>
                  <w:tcPr>
                    <w:tcW w:w="858" w:type="pct"/>
                    <w:tcBorders>
                      <w:top w:val="single" w:sz="4" w:space="0" w:color="auto"/>
                      <w:left w:val="single" w:sz="4" w:space="0" w:color="auto"/>
                      <w:bottom w:val="single" w:sz="6" w:space="0" w:color="auto"/>
                      <w:right w:val="single" w:sz="6" w:space="0" w:color="auto"/>
                    </w:tcBorders>
                    <w:shd w:val="clear" w:color="auto" w:fill="auto"/>
                    <w:vAlign w:val="center"/>
                  </w:tcPr>
                  <w:p w:rsidR="001D4069" w:rsidRDefault="001D4069" w:rsidP="005210A3">
                    <w:pPr>
                      <w:jc w:val="center"/>
                      <w:rPr>
                        <w:rFonts w:cs="Arial"/>
                        <w:szCs w:val="21"/>
                      </w:rPr>
                    </w:pPr>
                    <w:r>
                      <w:rPr>
                        <w:rFonts w:cs="Arial" w:hint="eastAsia"/>
                        <w:szCs w:val="21"/>
                        <w:lang w:val="en-GB"/>
                      </w:rPr>
                      <w:t>子公司名称</w:t>
                    </w:r>
                  </w:p>
                </w:tc>
              </w:sdtContent>
            </w:sdt>
            <w:sdt>
              <w:sdtPr>
                <w:tag w:val="_PLD_8f337a5f047e4f5eb2e03caf3b5ce2bb"/>
                <w:id w:val="-626315839"/>
                <w:lock w:val="sdtLocked"/>
              </w:sdtPr>
              <w:sdtContent>
                <w:tc>
                  <w:tcPr>
                    <w:tcW w:w="966" w:type="pct"/>
                    <w:tcBorders>
                      <w:top w:val="single" w:sz="4" w:space="0" w:color="auto"/>
                      <w:left w:val="single" w:sz="6" w:space="0" w:color="auto"/>
                      <w:bottom w:val="single" w:sz="6" w:space="0" w:color="auto"/>
                      <w:right w:val="single" w:sz="6" w:space="0" w:color="auto"/>
                    </w:tcBorders>
                    <w:shd w:val="clear" w:color="auto" w:fill="auto"/>
                    <w:vAlign w:val="center"/>
                  </w:tcPr>
                  <w:p w:rsidR="001D4069" w:rsidRDefault="001D4069" w:rsidP="005210A3">
                    <w:pPr>
                      <w:jc w:val="center"/>
                      <w:rPr>
                        <w:rFonts w:cs="Arial"/>
                        <w:bCs/>
                        <w:szCs w:val="21"/>
                        <w:lang w:val="en-GB"/>
                      </w:rPr>
                    </w:pPr>
                    <w:r>
                      <w:rPr>
                        <w:rFonts w:cs="Arial" w:hint="eastAsia"/>
                        <w:bCs/>
                        <w:szCs w:val="21"/>
                        <w:lang w:val="en-GB"/>
                      </w:rPr>
                      <w:t>少数股东持股</w:t>
                    </w:r>
                  </w:p>
                  <w:p w:rsidR="001D4069" w:rsidRDefault="001D4069" w:rsidP="005210A3">
                    <w:pPr>
                      <w:jc w:val="center"/>
                      <w:rPr>
                        <w:rFonts w:cs="Arial"/>
                        <w:szCs w:val="21"/>
                      </w:rPr>
                    </w:pPr>
                    <w:r>
                      <w:rPr>
                        <w:rFonts w:cs="Arial" w:hint="eastAsia"/>
                        <w:bCs/>
                        <w:szCs w:val="21"/>
                        <w:lang w:val="en-GB"/>
                      </w:rPr>
                      <w:t>比例</w:t>
                    </w:r>
                    <w:r>
                      <w:rPr>
                        <w:rFonts w:hint="eastAsia"/>
                      </w:rPr>
                      <w:t>（%）</w:t>
                    </w:r>
                  </w:p>
                </w:tc>
              </w:sdtContent>
            </w:sdt>
            <w:sdt>
              <w:sdtPr>
                <w:tag w:val="_PLD_70aca7c8f09a4a579e632e06c25a6ab5"/>
                <w:id w:val="-1543043161"/>
                <w:lock w:val="sdtLocked"/>
              </w:sdtPr>
              <w:sdtContent>
                <w:tc>
                  <w:tcPr>
                    <w:tcW w:w="1216" w:type="pct"/>
                    <w:tcBorders>
                      <w:top w:val="single" w:sz="4" w:space="0" w:color="auto"/>
                      <w:left w:val="single" w:sz="6" w:space="0" w:color="auto"/>
                      <w:bottom w:val="single" w:sz="6" w:space="0" w:color="auto"/>
                      <w:right w:val="single" w:sz="6" w:space="0" w:color="auto"/>
                    </w:tcBorders>
                    <w:shd w:val="clear" w:color="auto" w:fill="auto"/>
                    <w:vAlign w:val="center"/>
                  </w:tcPr>
                  <w:p w:rsidR="001D4069" w:rsidRDefault="001D4069" w:rsidP="005210A3">
                    <w:pPr>
                      <w:jc w:val="center"/>
                      <w:rPr>
                        <w:rFonts w:cs="Arial"/>
                        <w:szCs w:val="21"/>
                      </w:rPr>
                    </w:pPr>
                    <w:r>
                      <w:rPr>
                        <w:rFonts w:cs="Arial" w:hint="eastAsia"/>
                        <w:bCs/>
                        <w:szCs w:val="21"/>
                        <w:lang w:val="en-GB"/>
                      </w:rPr>
                      <w:t>本期归属于少数股东的损益</w:t>
                    </w:r>
                  </w:p>
                </w:tc>
              </w:sdtContent>
            </w:sdt>
            <w:sdt>
              <w:sdtPr>
                <w:tag w:val="_PLD_4154a89239e54416bb4c7ab182b0ae5a"/>
                <w:id w:val="-414624866"/>
                <w:lock w:val="sdtLocked"/>
              </w:sdtPr>
              <w:sdtContent>
                <w:tc>
                  <w:tcPr>
                    <w:tcW w:w="1034" w:type="pct"/>
                    <w:tcBorders>
                      <w:top w:val="single" w:sz="4" w:space="0" w:color="auto"/>
                      <w:left w:val="single" w:sz="6" w:space="0" w:color="auto"/>
                      <w:bottom w:val="single" w:sz="6" w:space="0" w:color="auto"/>
                      <w:right w:val="single" w:sz="6" w:space="0" w:color="auto"/>
                    </w:tcBorders>
                    <w:shd w:val="clear" w:color="auto" w:fill="auto"/>
                    <w:vAlign w:val="center"/>
                  </w:tcPr>
                  <w:p w:rsidR="001D4069" w:rsidRDefault="001D4069" w:rsidP="005210A3">
                    <w:pPr>
                      <w:jc w:val="center"/>
                      <w:rPr>
                        <w:rFonts w:cs="Arial"/>
                        <w:szCs w:val="21"/>
                      </w:rPr>
                    </w:pPr>
                    <w:r>
                      <w:rPr>
                        <w:rFonts w:cs="Arial" w:hint="eastAsia"/>
                        <w:bCs/>
                        <w:szCs w:val="21"/>
                        <w:lang w:val="en-GB"/>
                      </w:rPr>
                      <w:t>本期向少数股东宣告分派的股利</w:t>
                    </w:r>
                  </w:p>
                </w:tc>
              </w:sdtContent>
            </w:sdt>
            <w:sdt>
              <w:sdtPr>
                <w:tag w:val="_PLD_cea34ef7af164cc8816d90890b528f36"/>
                <w:id w:val="450521180"/>
                <w:lock w:val="sdtLocked"/>
              </w:sdtPr>
              <w:sdtContent>
                <w:tc>
                  <w:tcPr>
                    <w:tcW w:w="927" w:type="pct"/>
                    <w:tcBorders>
                      <w:top w:val="single" w:sz="4" w:space="0" w:color="auto"/>
                      <w:left w:val="single" w:sz="6" w:space="0" w:color="auto"/>
                      <w:bottom w:val="single" w:sz="6" w:space="0" w:color="auto"/>
                      <w:right w:val="single" w:sz="4" w:space="0" w:color="auto"/>
                    </w:tcBorders>
                    <w:shd w:val="clear" w:color="auto" w:fill="auto"/>
                    <w:vAlign w:val="center"/>
                  </w:tcPr>
                  <w:p w:rsidR="001D4069" w:rsidRDefault="001D4069" w:rsidP="005210A3">
                    <w:pPr>
                      <w:ind w:right="-16"/>
                      <w:jc w:val="center"/>
                      <w:rPr>
                        <w:rFonts w:cs="Arial"/>
                        <w:bCs/>
                        <w:szCs w:val="21"/>
                      </w:rPr>
                    </w:pPr>
                    <w:r>
                      <w:rPr>
                        <w:rFonts w:cs="Arial" w:hint="eastAsia"/>
                        <w:bCs/>
                        <w:szCs w:val="21"/>
                        <w:lang w:val="en-GB"/>
                      </w:rPr>
                      <w:t>期末少数股东权益余额</w:t>
                    </w:r>
                  </w:p>
                </w:tc>
              </w:sdtContent>
            </w:sdt>
          </w:tr>
          <w:sdt>
            <w:sdtPr>
              <w:rPr>
                <w:rFonts w:asciiTheme="minorHAnsi" w:eastAsiaTheme="minorEastAsia" w:hAnsiTheme="minorHAnsi" w:cstheme="minorBidi"/>
                <w:kern w:val="2"/>
                <w:szCs w:val="21"/>
              </w:rPr>
              <w:alias w:val="重要的非全资子公司明细"/>
              <w:tag w:val="_GBC_786318b12f804986888adc0492796ebd"/>
              <w:id w:val="-135641975"/>
              <w:lock w:val="sdtLocked"/>
            </w:sdtPr>
            <w:sdtContent>
              <w:tr w:rsidR="001D4069" w:rsidTr="005210A3">
                <w:tc>
                  <w:tcPr>
                    <w:tcW w:w="858" w:type="pct"/>
                    <w:tcBorders>
                      <w:top w:val="single" w:sz="6" w:space="0" w:color="auto"/>
                      <w:left w:val="single" w:sz="4" w:space="0" w:color="auto"/>
                      <w:bottom w:val="single" w:sz="4" w:space="0" w:color="auto"/>
                      <w:right w:val="single" w:sz="6" w:space="0" w:color="auto"/>
                    </w:tcBorders>
                  </w:tcPr>
                  <w:p w:rsidR="001D4069" w:rsidRDefault="001D4069" w:rsidP="005210A3">
                    <w:pPr>
                      <w:rPr>
                        <w:szCs w:val="21"/>
                      </w:rPr>
                    </w:pPr>
                    <w:r>
                      <w:t>畅捷通</w:t>
                    </w:r>
                  </w:p>
                </w:tc>
                <w:tc>
                  <w:tcPr>
                    <w:tcW w:w="966" w:type="pct"/>
                    <w:tcBorders>
                      <w:top w:val="single" w:sz="6" w:space="0" w:color="auto"/>
                      <w:left w:val="single" w:sz="6" w:space="0" w:color="auto"/>
                      <w:bottom w:val="single" w:sz="4" w:space="0" w:color="auto"/>
                      <w:right w:val="single" w:sz="6" w:space="0" w:color="auto"/>
                    </w:tcBorders>
                  </w:tcPr>
                  <w:p w:rsidR="001D4069" w:rsidRDefault="001D4069" w:rsidP="005210A3">
                    <w:pPr>
                      <w:jc w:val="right"/>
                      <w:rPr>
                        <w:szCs w:val="21"/>
                      </w:rPr>
                    </w:pPr>
                    <w:r>
                      <w:t>28.16%</w:t>
                    </w:r>
                  </w:p>
                </w:tc>
                <w:tc>
                  <w:tcPr>
                    <w:tcW w:w="1216" w:type="pct"/>
                    <w:tcBorders>
                      <w:top w:val="single" w:sz="6" w:space="0" w:color="auto"/>
                      <w:left w:val="single" w:sz="6" w:space="0" w:color="auto"/>
                      <w:bottom w:val="single" w:sz="4" w:space="0" w:color="auto"/>
                      <w:right w:val="single" w:sz="6" w:space="0" w:color="auto"/>
                    </w:tcBorders>
                  </w:tcPr>
                  <w:p w:rsidR="001D4069" w:rsidRDefault="001D4069" w:rsidP="005210A3">
                    <w:pPr>
                      <w:jc w:val="right"/>
                      <w:rPr>
                        <w:szCs w:val="21"/>
                      </w:rPr>
                    </w:pPr>
                    <w:r>
                      <w:t>25,875,428</w:t>
                    </w:r>
                  </w:p>
                </w:tc>
                <w:tc>
                  <w:tcPr>
                    <w:tcW w:w="1034" w:type="pct"/>
                    <w:tcBorders>
                      <w:top w:val="single" w:sz="6" w:space="0" w:color="auto"/>
                      <w:left w:val="single" w:sz="6" w:space="0" w:color="auto"/>
                      <w:bottom w:val="single" w:sz="4" w:space="0" w:color="auto"/>
                      <w:right w:val="single" w:sz="6" w:space="0" w:color="auto"/>
                    </w:tcBorders>
                  </w:tcPr>
                  <w:p w:rsidR="001D4069" w:rsidRDefault="001D4069" w:rsidP="005210A3">
                    <w:pPr>
                      <w:jc w:val="right"/>
                      <w:rPr>
                        <w:szCs w:val="21"/>
                      </w:rPr>
                    </w:pPr>
                    <w:r>
                      <w:t>28,129,210</w:t>
                    </w:r>
                  </w:p>
                </w:tc>
                <w:tc>
                  <w:tcPr>
                    <w:tcW w:w="927" w:type="pct"/>
                    <w:tcBorders>
                      <w:top w:val="single" w:sz="6" w:space="0" w:color="auto"/>
                      <w:left w:val="single" w:sz="6" w:space="0" w:color="auto"/>
                      <w:bottom w:val="single" w:sz="4" w:space="0" w:color="auto"/>
                      <w:right w:val="single" w:sz="4" w:space="0" w:color="auto"/>
                    </w:tcBorders>
                  </w:tcPr>
                  <w:p w:rsidR="001D4069" w:rsidRDefault="001D4069" w:rsidP="005210A3">
                    <w:pPr>
                      <w:jc w:val="right"/>
                      <w:rPr>
                        <w:szCs w:val="21"/>
                      </w:rPr>
                    </w:pPr>
                    <w:r>
                      <w:t>349,928,199</w:t>
                    </w:r>
                  </w:p>
                </w:tc>
              </w:tr>
            </w:sdtContent>
          </w:sdt>
          <w:sdt>
            <w:sdtPr>
              <w:rPr>
                <w:rFonts w:asciiTheme="minorHAnsi" w:eastAsiaTheme="minorEastAsia" w:hAnsiTheme="minorHAnsi" w:cstheme="minorBidi"/>
                <w:kern w:val="2"/>
                <w:szCs w:val="21"/>
              </w:rPr>
              <w:alias w:val="重要的非全资子公司明细"/>
              <w:tag w:val="_GBC_786318b12f804986888adc0492796ebd"/>
              <w:id w:val="-1672020110"/>
              <w:lock w:val="sdtLocked"/>
            </w:sdtPr>
            <w:sdtContent>
              <w:tr w:rsidR="001D4069" w:rsidTr="005210A3">
                <w:tc>
                  <w:tcPr>
                    <w:tcW w:w="858" w:type="pct"/>
                    <w:tcBorders>
                      <w:top w:val="single" w:sz="6" w:space="0" w:color="auto"/>
                      <w:left w:val="single" w:sz="4" w:space="0" w:color="auto"/>
                      <w:bottom w:val="single" w:sz="4" w:space="0" w:color="auto"/>
                      <w:right w:val="single" w:sz="6" w:space="0" w:color="auto"/>
                    </w:tcBorders>
                  </w:tcPr>
                  <w:p w:rsidR="001D4069" w:rsidRDefault="001D4069" w:rsidP="005210A3">
                    <w:pPr>
                      <w:rPr>
                        <w:szCs w:val="21"/>
                      </w:rPr>
                    </w:pPr>
                    <w:r>
                      <w:t>用友政务</w:t>
                    </w:r>
                  </w:p>
                </w:tc>
                <w:tc>
                  <w:tcPr>
                    <w:tcW w:w="966" w:type="pct"/>
                    <w:tcBorders>
                      <w:top w:val="single" w:sz="6" w:space="0" w:color="auto"/>
                      <w:left w:val="single" w:sz="6" w:space="0" w:color="auto"/>
                      <w:bottom w:val="single" w:sz="4" w:space="0" w:color="auto"/>
                      <w:right w:val="single" w:sz="6" w:space="0" w:color="auto"/>
                    </w:tcBorders>
                  </w:tcPr>
                  <w:p w:rsidR="001D4069" w:rsidRDefault="001D4069" w:rsidP="005210A3">
                    <w:pPr>
                      <w:jc w:val="right"/>
                      <w:rPr>
                        <w:szCs w:val="21"/>
                      </w:rPr>
                    </w:pPr>
                    <w:r>
                      <w:t>22.51%</w:t>
                    </w:r>
                  </w:p>
                </w:tc>
                <w:tc>
                  <w:tcPr>
                    <w:tcW w:w="1216" w:type="pct"/>
                    <w:tcBorders>
                      <w:top w:val="single" w:sz="6" w:space="0" w:color="auto"/>
                      <w:left w:val="single" w:sz="6" w:space="0" w:color="auto"/>
                      <w:bottom w:val="single" w:sz="4" w:space="0" w:color="auto"/>
                      <w:right w:val="single" w:sz="6" w:space="0" w:color="auto"/>
                    </w:tcBorders>
                  </w:tcPr>
                  <w:p w:rsidR="001D4069" w:rsidRDefault="001D4069" w:rsidP="005210A3">
                    <w:pPr>
                      <w:jc w:val="right"/>
                      <w:rPr>
                        <w:szCs w:val="21"/>
                      </w:rPr>
                    </w:pPr>
                    <w:r>
                      <w:t>24,631,002</w:t>
                    </w:r>
                  </w:p>
                </w:tc>
                <w:tc>
                  <w:tcPr>
                    <w:tcW w:w="1034" w:type="pct"/>
                    <w:tcBorders>
                      <w:top w:val="single" w:sz="6" w:space="0" w:color="auto"/>
                      <w:left w:val="single" w:sz="6" w:space="0" w:color="auto"/>
                      <w:bottom w:val="single" w:sz="4" w:space="0" w:color="auto"/>
                      <w:right w:val="single" w:sz="6" w:space="0" w:color="auto"/>
                    </w:tcBorders>
                  </w:tcPr>
                  <w:p w:rsidR="001D4069" w:rsidRDefault="001D4069" w:rsidP="005210A3">
                    <w:pPr>
                      <w:jc w:val="right"/>
                      <w:rPr>
                        <w:szCs w:val="21"/>
                      </w:rPr>
                    </w:pPr>
                    <w:r>
                      <w:t>31,738,937</w:t>
                    </w:r>
                  </w:p>
                </w:tc>
                <w:tc>
                  <w:tcPr>
                    <w:tcW w:w="927" w:type="pct"/>
                    <w:tcBorders>
                      <w:top w:val="single" w:sz="6" w:space="0" w:color="auto"/>
                      <w:left w:val="single" w:sz="6" w:space="0" w:color="auto"/>
                      <w:bottom w:val="single" w:sz="4" w:space="0" w:color="auto"/>
                      <w:right w:val="single" w:sz="4" w:space="0" w:color="auto"/>
                    </w:tcBorders>
                  </w:tcPr>
                  <w:p w:rsidR="001D4069" w:rsidRDefault="001D4069" w:rsidP="005210A3">
                    <w:pPr>
                      <w:jc w:val="right"/>
                      <w:rPr>
                        <w:szCs w:val="21"/>
                      </w:rPr>
                    </w:pPr>
                    <w:r>
                      <w:t>162,852,393</w:t>
                    </w:r>
                  </w:p>
                </w:tc>
              </w:tr>
            </w:sdtContent>
          </w:sdt>
          <w:sdt>
            <w:sdtPr>
              <w:rPr>
                <w:rFonts w:asciiTheme="minorHAnsi" w:eastAsiaTheme="minorEastAsia" w:hAnsiTheme="minorHAnsi" w:cstheme="minorBidi"/>
                <w:kern w:val="2"/>
                <w:szCs w:val="21"/>
              </w:rPr>
              <w:alias w:val="重要的非全资子公司明细"/>
              <w:tag w:val="_GBC_786318b12f804986888adc0492796ebd"/>
              <w:id w:val="553969995"/>
              <w:lock w:val="sdtLocked"/>
            </w:sdtPr>
            <w:sdtContent>
              <w:tr w:rsidR="001D4069" w:rsidTr="005210A3">
                <w:tc>
                  <w:tcPr>
                    <w:tcW w:w="858" w:type="pct"/>
                    <w:tcBorders>
                      <w:top w:val="single" w:sz="6" w:space="0" w:color="auto"/>
                      <w:left w:val="single" w:sz="4" w:space="0" w:color="auto"/>
                      <w:bottom w:val="single" w:sz="4" w:space="0" w:color="auto"/>
                      <w:right w:val="single" w:sz="6" w:space="0" w:color="auto"/>
                    </w:tcBorders>
                  </w:tcPr>
                  <w:p w:rsidR="001D4069" w:rsidRDefault="001D4069" w:rsidP="005210A3">
                    <w:pPr>
                      <w:rPr>
                        <w:szCs w:val="21"/>
                      </w:rPr>
                    </w:pPr>
                    <w:r>
                      <w:t>用友汽车</w:t>
                    </w:r>
                  </w:p>
                </w:tc>
                <w:tc>
                  <w:tcPr>
                    <w:tcW w:w="966" w:type="pct"/>
                    <w:tcBorders>
                      <w:top w:val="single" w:sz="6" w:space="0" w:color="auto"/>
                      <w:left w:val="single" w:sz="6" w:space="0" w:color="auto"/>
                      <w:bottom w:val="single" w:sz="4" w:space="0" w:color="auto"/>
                      <w:right w:val="single" w:sz="6" w:space="0" w:color="auto"/>
                    </w:tcBorders>
                  </w:tcPr>
                  <w:p w:rsidR="001D4069" w:rsidRDefault="001D4069" w:rsidP="005210A3">
                    <w:pPr>
                      <w:jc w:val="right"/>
                      <w:rPr>
                        <w:szCs w:val="21"/>
                      </w:rPr>
                    </w:pPr>
                    <w:r>
                      <w:t>19.61%</w:t>
                    </w:r>
                  </w:p>
                </w:tc>
                <w:tc>
                  <w:tcPr>
                    <w:tcW w:w="1216" w:type="pct"/>
                    <w:tcBorders>
                      <w:top w:val="single" w:sz="6" w:space="0" w:color="auto"/>
                      <w:left w:val="single" w:sz="6" w:space="0" w:color="auto"/>
                      <w:bottom w:val="single" w:sz="4" w:space="0" w:color="auto"/>
                      <w:right w:val="single" w:sz="6" w:space="0" w:color="auto"/>
                    </w:tcBorders>
                  </w:tcPr>
                  <w:p w:rsidR="001D4069" w:rsidRDefault="001D4069" w:rsidP="005210A3">
                    <w:pPr>
                      <w:jc w:val="right"/>
                      <w:rPr>
                        <w:szCs w:val="21"/>
                      </w:rPr>
                    </w:pPr>
                    <w:r>
                      <w:t>8,535,646</w:t>
                    </w:r>
                  </w:p>
                </w:tc>
                <w:tc>
                  <w:tcPr>
                    <w:tcW w:w="1034" w:type="pct"/>
                    <w:tcBorders>
                      <w:top w:val="single" w:sz="6" w:space="0" w:color="auto"/>
                      <w:left w:val="single" w:sz="6" w:space="0" w:color="auto"/>
                      <w:bottom w:val="single" w:sz="4" w:space="0" w:color="auto"/>
                      <w:right w:val="single" w:sz="6" w:space="0" w:color="auto"/>
                    </w:tcBorders>
                  </w:tcPr>
                  <w:p w:rsidR="001D4069" w:rsidRDefault="001D4069" w:rsidP="005210A3">
                    <w:pPr>
                      <w:jc w:val="right"/>
                      <w:rPr>
                        <w:szCs w:val="21"/>
                      </w:rPr>
                    </w:pPr>
                    <w:r>
                      <w:t>15,000,000</w:t>
                    </w:r>
                  </w:p>
                </w:tc>
                <w:tc>
                  <w:tcPr>
                    <w:tcW w:w="927" w:type="pct"/>
                    <w:tcBorders>
                      <w:top w:val="single" w:sz="6" w:space="0" w:color="auto"/>
                      <w:left w:val="single" w:sz="6" w:space="0" w:color="auto"/>
                      <w:bottom w:val="single" w:sz="4" w:space="0" w:color="auto"/>
                      <w:right w:val="single" w:sz="4" w:space="0" w:color="auto"/>
                    </w:tcBorders>
                  </w:tcPr>
                  <w:p w:rsidR="001D4069" w:rsidRDefault="001D4069" w:rsidP="005210A3">
                    <w:pPr>
                      <w:jc w:val="right"/>
                      <w:rPr>
                        <w:szCs w:val="21"/>
                      </w:rPr>
                    </w:pPr>
                    <w:r>
                      <w:t>75,861,616</w:t>
                    </w:r>
                  </w:p>
                </w:tc>
              </w:tr>
            </w:sdtContent>
          </w:sdt>
          <w:sdt>
            <w:sdtPr>
              <w:rPr>
                <w:rFonts w:asciiTheme="minorHAnsi" w:eastAsiaTheme="minorEastAsia" w:hAnsiTheme="minorHAnsi" w:cstheme="minorBidi"/>
                <w:kern w:val="2"/>
                <w:szCs w:val="21"/>
              </w:rPr>
              <w:alias w:val="重要的非全资子公司明细"/>
              <w:tag w:val="_GBC_786318b12f804986888adc0492796ebd"/>
              <w:id w:val="1544936470"/>
              <w:lock w:val="sdtLocked"/>
            </w:sdtPr>
            <w:sdtContent>
              <w:tr w:rsidR="001D4069" w:rsidTr="005210A3">
                <w:tc>
                  <w:tcPr>
                    <w:tcW w:w="858" w:type="pct"/>
                    <w:tcBorders>
                      <w:top w:val="single" w:sz="6" w:space="0" w:color="auto"/>
                      <w:left w:val="single" w:sz="4" w:space="0" w:color="auto"/>
                      <w:bottom w:val="single" w:sz="4" w:space="0" w:color="auto"/>
                      <w:right w:val="single" w:sz="6" w:space="0" w:color="auto"/>
                    </w:tcBorders>
                  </w:tcPr>
                  <w:p w:rsidR="001D4069" w:rsidRDefault="001D4069" w:rsidP="005210A3">
                    <w:pPr>
                      <w:rPr>
                        <w:szCs w:val="21"/>
                      </w:rPr>
                    </w:pPr>
                    <w:r>
                      <w:t>用友金融</w:t>
                    </w:r>
                  </w:p>
                </w:tc>
                <w:tc>
                  <w:tcPr>
                    <w:tcW w:w="966" w:type="pct"/>
                    <w:tcBorders>
                      <w:top w:val="single" w:sz="6" w:space="0" w:color="auto"/>
                      <w:left w:val="single" w:sz="6" w:space="0" w:color="auto"/>
                      <w:bottom w:val="single" w:sz="4" w:space="0" w:color="auto"/>
                      <w:right w:val="single" w:sz="6" w:space="0" w:color="auto"/>
                    </w:tcBorders>
                  </w:tcPr>
                  <w:p w:rsidR="001D4069" w:rsidRDefault="001D4069" w:rsidP="005210A3">
                    <w:pPr>
                      <w:jc w:val="right"/>
                      <w:rPr>
                        <w:szCs w:val="21"/>
                      </w:rPr>
                    </w:pPr>
                    <w:r>
                      <w:t>21.57%</w:t>
                    </w:r>
                  </w:p>
                </w:tc>
                <w:tc>
                  <w:tcPr>
                    <w:tcW w:w="1216" w:type="pct"/>
                    <w:tcBorders>
                      <w:top w:val="single" w:sz="6" w:space="0" w:color="auto"/>
                      <w:left w:val="single" w:sz="6" w:space="0" w:color="auto"/>
                      <w:bottom w:val="single" w:sz="4" w:space="0" w:color="auto"/>
                      <w:right w:val="single" w:sz="6" w:space="0" w:color="auto"/>
                    </w:tcBorders>
                  </w:tcPr>
                  <w:p w:rsidR="001D4069" w:rsidRDefault="001D4069" w:rsidP="005210A3">
                    <w:pPr>
                      <w:jc w:val="right"/>
                      <w:rPr>
                        <w:szCs w:val="21"/>
                      </w:rPr>
                    </w:pPr>
                    <w:r>
                      <w:t>-5,671,918</w:t>
                    </w:r>
                  </w:p>
                </w:tc>
                <w:tc>
                  <w:tcPr>
                    <w:tcW w:w="1034" w:type="pct"/>
                    <w:tcBorders>
                      <w:top w:val="single" w:sz="6" w:space="0" w:color="auto"/>
                      <w:left w:val="single" w:sz="6" w:space="0" w:color="auto"/>
                      <w:bottom w:val="single" w:sz="4" w:space="0" w:color="auto"/>
                      <w:right w:val="single" w:sz="6" w:space="0" w:color="auto"/>
                    </w:tcBorders>
                  </w:tcPr>
                  <w:p w:rsidR="001D4069" w:rsidRDefault="008F04CF" w:rsidP="005210A3">
                    <w:pPr>
                      <w:jc w:val="right"/>
                      <w:rPr>
                        <w:szCs w:val="21"/>
                      </w:rPr>
                    </w:pPr>
                    <w:r>
                      <w:rPr>
                        <w:rFonts w:hint="eastAsia"/>
                        <w:szCs w:val="21"/>
                      </w:rPr>
                      <w:t>-</w:t>
                    </w:r>
                  </w:p>
                </w:tc>
                <w:tc>
                  <w:tcPr>
                    <w:tcW w:w="927" w:type="pct"/>
                    <w:tcBorders>
                      <w:top w:val="single" w:sz="6" w:space="0" w:color="auto"/>
                      <w:left w:val="single" w:sz="6" w:space="0" w:color="auto"/>
                      <w:bottom w:val="single" w:sz="4" w:space="0" w:color="auto"/>
                      <w:right w:val="single" w:sz="4" w:space="0" w:color="auto"/>
                    </w:tcBorders>
                  </w:tcPr>
                  <w:p w:rsidR="001D4069" w:rsidRDefault="001D4069" w:rsidP="005210A3">
                    <w:pPr>
                      <w:jc w:val="right"/>
                      <w:rPr>
                        <w:szCs w:val="21"/>
                      </w:rPr>
                    </w:pPr>
                    <w:r>
                      <w:t>41,830,199</w:t>
                    </w:r>
                  </w:p>
                </w:tc>
              </w:tr>
            </w:sdtContent>
          </w:sdt>
          <w:sdt>
            <w:sdtPr>
              <w:rPr>
                <w:rFonts w:asciiTheme="minorHAnsi" w:eastAsiaTheme="minorEastAsia" w:hAnsiTheme="minorHAnsi" w:cstheme="minorBidi"/>
                <w:kern w:val="2"/>
                <w:szCs w:val="21"/>
              </w:rPr>
              <w:alias w:val="重要的非全资子公司明细"/>
              <w:tag w:val="_GBC_786318b12f804986888adc0492796ebd"/>
              <w:id w:val="-1610582654"/>
              <w:lock w:val="sdtLocked"/>
            </w:sdtPr>
            <w:sdtContent>
              <w:tr w:rsidR="001D4069" w:rsidTr="005210A3">
                <w:tc>
                  <w:tcPr>
                    <w:tcW w:w="858" w:type="pct"/>
                    <w:tcBorders>
                      <w:top w:val="single" w:sz="6" w:space="0" w:color="auto"/>
                      <w:left w:val="single" w:sz="4" w:space="0" w:color="auto"/>
                      <w:bottom w:val="single" w:sz="4" w:space="0" w:color="auto"/>
                      <w:right w:val="single" w:sz="6" w:space="0" w:color="auto"/>
                    </w:tcBorders>
                  </w:tcPr>
                  <w:p w:rsidR="001D4069" w:rsidRDefault="001D4069" w:rsidP="005210A3">
                    <w:pPr>
                      <w:rPr>
                        <w:szCs w:val="21"/>
                      </w:rPr>
                    </w:pPr>
                    <w:r>
                      <w:t>新道科技</w:t>
                    </w:r>
                  </w:p>
                </w:tc>
                <w:tc>
                  <w:tcPr>
                    <w:tcW w:w="966" w:type="pct"/>
                    <w:tcBorders>
                      <w:top w:val="single" w:sz="6" w:space="0" w:color="auto"/>
                      <w:left w:val="single" w:sz="6" w:space="0" w:color="auto"/>
                      <w:bottom w:val="single" w:sz="4" w:space="0" w:color="auto"/>
                      <w:right w:val="single" w:sz="6" w:space="0" w:color="auto"/>
                    </w:tcBorders>
                  </w:tcPr>
                  <w:p w:rsidR="001D4069" w:rsidRDefault="001D4069" w:rsidP="005210A3">
                    <w:pPr>
                      <w:jc w:val="right"/>
                      <w:rPr>
                        <w:szCs w:val="21"/>
                      </w:rPr>
                    </w:pPr>
                    <w:r>
                      <w:t>42.58%</w:t>
                    </w:r>
                  </w:p>
                </w:tc>
                <w:tc>
                  <w:tcPr>
                    <w:tcW w:w="1216" w:type="pct"/>
                    <w:tcBorders>
                      <w:top w:val="single" w:sz="6" w:space="0" w:color="auto"/>
                      <w:left w:val="single" w:sz="6" w:space="0" w:color="auto"/>
                      <w:bottom w:val="single" w:sz="4" w:space="0" w:color="auto"/>
                      <w:right w:val="single" w:sz="6" w:space="0" w:color="auto"/>
                    </w:tcBorders>
                  </w:tcPr>
                  <w:p w:rsidR="001D4069" w:rsidRDefault="001D4069" w:rsidP="005210A3">
                    <w:pPr>
                      <w:jc w:val="right"/>
                      <w:rPr>
                        <w:szCs w:val="21"/>
                      </w:rPr>
                    </w:pPr>
                    <w:r>
                      <w:t>6,578,364</w:t>
                    </w:r>
                  </w:p>
                </w:tc>
                <w:tc>
                  <w:tcPr>
                    <w:tcW w:w="1034" w:type="pct"/>
                    <w:tcBorders>
                      <w:top w:val="single" w:sz="6" w:space="0" w:color="auto"/>
                      <w:left w:val="single" w:sz="6" w:space="0" w:color="auto"/>
                      <w:bottom w:val="single" w:sz="4" w:space="0" w:color="auto"/>
                      <w:right w:val="single" w:sz="6" w:space="0" w:color="auto"/>
                    </w:tcBorders>
                  </w:tcPr>
                  <w:p w:rsidR="001D4069" w:rsidRDefault="001D4069" w:rsidP="005210A3">
                    <w:pPr>
                      <w:jc w:val="right"/>
                      <w:rPr>
                        <w:szCs w:val="21"/>
                      </w:rPr>
                    </w:pPr>
                    <w:r>
                      <w:t>35,339,450</w:t>
                    </w:r>
                  </w:p>
                </w:tc>
                <w:tc>
                  <w:tcPr>
                    <w:tcW w:w="927" w:type="pct"/>
                    <w:tcBorders>
                      <w:top w:val="single" w:sz="6" w:space="0" w:color="auto"/>
                      <w:left w:val="single" w:sz="6" w:space="0" w:color="auto"/>
                      <w:bottom w:val="single" w:sz="4" w:space="0" w:color="auto"/>
                      <w:right w:val="single" w:sz="4" w:space="0" w:color="auto"/>
                    </w:tcBorders>
                  </w:tcPr>
                  <w:p w:rsidR="001D4069" w:rsidRDefault="001D4069" w:rsidP="005210A3">
                    <w:pPr>
                      <w:jc w:val="right"/>
                      <w:rPr>
                        <w:szCs w:val="21"/>
                      </w:rPr>
                    </w:pPr>
                    <w:r>
                      <w:t>174,068,336</w:t>
                    </w:r>
                  </w:p>
                </w:tc>
              </w:tr>
            </w:sdtContent>
          </w:sdt>
        </w:tbl>
        <w:p w:rsidR="001D4069" w:rsidRDefault="001D4069"/>
        <w:p w:rsidR="00ED2DC7" w:rsidRDefault="00ED2DC7">
          <w:pPr>
            <w:rPr>
              <w:rFonts w:cs="Arial"/>
              <w:szCs w:val="21"/>
            </w:rPr>
          </w:pPr>
          <w:r>
            <w:rPr>
              <w:rFonts w:cs="Arial" w:hint="eastAsia"/>
              <w:szCs w:val="21"/>
            </w:rPr>
            <w:t>子公司少数股东的持股比例不同于表决权比例的说明：</w:t>
          </w:r>
        </w:p>
        <w:sdt>
          <w:sdtPr>
            <w:rPr>
              <w:rFonts w:cs="Arial"/>
              <w:szCs w:val="21"/>
            </w:rPr>
            <w:alias w:val="是否适用：子公司少数股东的持股比例不同于表决权比例的说明[双击切换]"/>
            <w:tag w:val="_GBC_8bf91d6e05c644d1b37f5d88e434cb9e"/>
            <w:id w:val="1325554078"/>
            <w:lock w:val="sdtContentLocked"/>
            <w:placeholder>
              <w:docPart w:val="GBC22222222222222222222222222222"/>
            </w:placeholder>
          </w:sdtPr>
          <w:sdtContent>
            <w:p w:rsidR="00ED2DC7" w:rsidRDefault="00ED2DC7" w:rsidP="000D61B2">
              <w:pPr>
                <w:rPr>
                  <w:rFonts w:cs="Arial"/>
                  <w:szCs w:val="21"/>
                </w:rPr>
              </w:pPr>
              <w:r>
                <w:rPr>
                  <w:rFonts w:cs="Arial"/>
                  <w:szCs w:val="21"/>
                </w:rPr>
                <w:fldChar w:fldCharType="begin"/>
              </w:r>
              <w:r w:rsidR="000D61B2">
                <w:rPr>
                  <w:rFonts w:cs="Arial"/>
                  <w:szCs w:val="21"/>
                </w:rPr>
                <w:instrText xml:space="preserve"> MACROBUTTON  SnrToggleCheckbox □适用 </w:instrText>
              </w:r>
              <w:r>
                <w:rPr>
                  <w:rFonts w:cs="Arial"/>
                  <w:szCs w:val="21"/>
                </w:rPr>
                <w:fldChar w:fldCharType="end"/>
              </w:r>
              <w:r>
                <w:rPr>
                  <w:rFonts w:cs="Arial"/>
                  <w:szCs w:val="21"/>
                </w:rPr>
                <w:fldChar w:fldCharType="begin"/>
              </w:r>
              <w:r w:rsidR="000D61B2">
                <w:rPr>
                  <w:rFonts w:cs="Arial"/>
                  <w:szCs w:val="21"/>
                </w:rPr>
                <w:instrText xml:space="preserve"> MACROBUTTON  SnrToggleCheckbox √不适用 </w:instrText>
              </w:r>
              <w:r>
                <w:rPr>
                  <w:rFonts w:cs="Arial"/>
                  <w:szCs w:val="21"/>
                </w:rPr>
                <w:fldChar w:fldCharType="end"/>
              </w:r>
            </w:p>
          </w:sdtContent>
        </w:sdt>
        <w:p w:rsidR="00ED2DC7" w:rsidRDefault="00ED2DC7">
          <w:pPr>
            <w:rPr>
              <w:rFonts w:cs="Arial"/>
              <w:szCs w:val="21"/>
            </w:rPr>
          </w:pPr>
        </w:p>
        <w:p w:rsidR="00ED2DC7" w:rsidRDefault="00ED2DC7">
          <w:pPr>
            <w:rPr>
              <w:rFonts w:cs="Arial"/>
              <w:szCs w:val="21"/>
            </w:rPr>
          </w:pPr>
          <w:r>
            <w:rPr>
              <w:rFonts w:cs="Arial" w:hint="eastAsia"/>
              <w:szCs w:val="21"/>
            </w:rPr>
            <w:t>其他说明：</w:t>
          </w:r>
        </w:p>
        <w:sdt>
          <w:sdtPr>
            <w:rPr>
              <w:rFonts w:cs="Arial"/>
              <w:szCs w:val="21"/>
            </w:rPr>
            <w:alias w:val="是否适用：重要的非全资子公司其他说明[双击切换]"/>
            <w:tag w:val="_GBC_c511ac7f8f1f42bfa9130e28b68d1f19"/>
            <w:id w:val="1339123075"/>
            <w:lock w:val="sdtContentLocked"/>
            <w:placeholder>
              <w:docPart w:val="GBC22222222222222222222222222222"/>
            </w:placeholder>
          </w:sdtPr>
          <w:sdtContent>
            <w:p w:rsidR="00ED2DC7" w:rsidRDefault="00ED2DC7" w:rsidP="000D61B2">
              <w:pPr>
                <w:rPr>
                  <w:rFonts w:cs="Arial"/>
                  <w:szCs w:val="21"/>
                </w:rPr>
              </w:pPr>
              <w:r>
                <w:rPr>
                  <w:rFonts w:cs="Arial"/>
                  <w:szCs w:val="21"/>
                </w:rPr>
                <w:fldChar w:fldCharType="begin"/>
              </w:r>
              <w:r w:rsidR="000D61B2">
                <w:rPr>
                  <w:rFonts w:cs="Arial"/>
                  <w:szCs w:val="21"/>
                </w:rPr>
                <w:instrText xml:space="preserve"> MACROBUTTON  SnrToggleCheckbox □适用 </w:instrText>
              </w:r>
              <w:r>
                <w:rPr>
                  <w:rFonts w:cs="Arial"/>
                  <w:szCs w:val="21"/>
                </w:rPr>
                <w:fldChar w:fldCharType="end"/>
              </w:r>
              <w:r>
                <w:rPr>
                  <w:rFonts w:cs="Arial"/>
                  <w:szCs w:val="21"/>
                </w:rPr>
                <w:fldChar w:fldCharType="begin"/>
              </w:r>
              <w:r w:rsidR="000D61B2">
                <w:rPr>
                  <w:rFonts w:cs="Arial"/>
                  <w:szCs w:val="21"/>
                </w:rPr>
                <w:instrText xml:space="preserve"> MACROBUTTON  SnrToggleCheckbox √不适用 </w:instrText>
              </w:r>
              <w:r>
                <w:rPr>
                  <w:rFonts w:cs="Arial"/>
                  <w:szCs w:val="21"/>
                </w:rPr>
                <w:fldChar w:fldCharType="end"/>
              </w:r>
            </w:p>
          </w:sdtContent>
        </w:sdt>
      </w:sdtContent>
    </w:sdt>
    <w:p w:rsidR="00ED2DC7" w:rsidRDefault="00ED2DC7">
      <w:pPr>
        <w:rPr>
          <w:rFonts w:cs="Arial"/>
          <w:szCs w:val="21"/>
        </w:rPr>
      </w:pPr>
    </w:p>
    <w:sdt>
      <w:sdtPr>
        <w:rPr>
          <w:rFonts w:ascii="宋体" w:hAnsi="宋体" w:cs="Arial" w:hint="eastAsia"/>
          <w:b w:val="0"/>
          <w:bCs w:val="0"/>
          <w:kern w:val="0"/>
          <w:szCs w:val="21"/>
        </w:rPr>
        <w:alias w:val="模块:重要非全资子公司的主要财务信息"/>
        <w:tag w:val="_GBC_501222dd8f884fabbdeaec6fe7e79709"/>
        <w:id w:val="1950808210"/>
        <w:lock w:val="sdtLocked"/>
        <w:placeholder>
          <w:docPart w:val="GBC22222222222222222222222222222"/>
        </w:placeholder>
      </w:sdtPr>
      <w:sdtEndPr>
        <w:rPr>
          <w:rFonts w:hint="default"/>
        </w:rPr>
      </w:sdtEndPr>
      <w:sdtContent>
        <w:p w:rsidR="00ED2DC7" w:rsidRDefault="00ED2DC7" w:rsidP="00036BDC">
          <w:pPr>
            <w:pStyle w:val="affffffffffffffffff2"/>
            <w:numPr>
              <w:ilvl w:val="3"/>
              <w:numId w:val="85"/>
            </w:numPr>
            <w:tabs>
              <w:tab w:val="left" w:pos="644"/>
            </w:tabs>
            <w:rPr>
              <w:rFonts w:ascii="宋体" w:hAnsi="宋体" w:cs="Arial"/>
              <w:szCs w:val="21"/>
            </w:rPr>
          </w:pPr>
          <w:r>
            <w:rPr>
              <w:rFonts w:ascii="宋体" w:hAnsi="宋体" w:cs="Arial" w:hint="eastAsia"/>
              <w:szCs w:val="21"/>
            </w:rPr>
            <w:t>重要非全资子公司的主要财务信息</w:t>
          </w:r>
        </w:p>
        <w:sdt>
          <w:sdtPr>
            <w:alias w:val="是否适用：重要非全资子公司的主要财务信息[双击切换]"/>
            <w:tag w:val="_GBC_c10a7c42e39b4ac9a711e2e9d367799e"/>
            <w:id w:val="-702092400"/>
            <w:lock w:val="sdtContentLocked"/>
            <w:placeholder>
              <w:docPart w:val="GBC22222222222222222222222222222"/>
            </w:placeholder>
          </w:sdtPr>
          <w:sdtContent>
            <w:p w:rsidR="00ED2DC7" w:rsidRDefault="00ED2DC7">
              <w:r>
                <w:fldChar w:fldCharType="begin"/>
              </w:r>
              <w:r w:rsidR="000D61B2">
                <w:instrText xml:space="preserve"> MACROBUTTON  SnrToggleCheckbox √适用 </w:instrText>
              </w:r>
              <w:r>
                <w:fldChar w:fldCharType="end"/>
              </w:r>
              <w:r>
                <w:fldChar w:fldCharType="begin"/>
              </w:r>
              <w:r w:rsidR="000D61B2">
                <w:instrText xml:space="preserve"> MACROBUTTON  SnrToggleCheckbox □不适用 </w:instrText>
              </w:r>
              <w:r>
                <w:fldChar w:fldCharType="end"/>
              </w:r>
            </w:p>
          </w:sdtContent>
        </w:sdt>
        <w:p w:rsidR="00ED2DC7" w:rsidRDefault="00ED2DC7">
          <w:pPr>
            <w:jc w:val="right"/>
          </w:pPr>
          <w:r>
            <w:rPr>
              <w:rFonts w:hint="eastAsia"/>
            </w:rPr>
            <w:t>单位:</w:t>
          </w:r>
          <w:sdt>
            <w:sdtPr>
              <w:rPr>
                <w:rFonts w:hint="eastAsia"/>
              </w:rPr>
              <w:alias w:val="单位：财务附注：重要非全资子公司的主要财务信息"/>
              <w:tag w:val="_GBC_ba918360b15748859fb63cacad1f617d"/>
              <w:id w:val="159073311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hint="eastAsia"/>
                </w:rPr>
                <w:t>元</w:t>
              </w:r>
            </w:sdtContent>
          </w:sdt>
          <w:r>
            <w:rPr>
              <w:rFonts w:hint="eastAsia"/>
            </w:rPr>
            <w:t xml:space="preserve">  币种:</w:t>
          </w:r>
          <w:sdt>
            <w:sdtPr>
              <w:rPr>
                <w:rFonts w:hint="eastAsia"/>
              </w:rPr>
              <w:alias w:val="币种：财务附注：重要非全资子公司的主要财务信息"/>
              <w:tag w:val="_GBC_af5cc4f1e7a74e3d8f9c9fea25fdf05f"/>
              <w:id w:val="-21111337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rPr>
                <w:t>人民币</w:t>
              </w:r>
            </w:sdtContent>
          </w:sdt>
        </w:p>
        <w:tbl>
          <w:tblPr>
            <w:tblStyle w:val="g38"/>
            <w:tblW w:w="5601" w:type="pct"/>
            <w:tblInd w:w="-99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09"/>
            <w:gridCol w:w="827"/>
            <w:gridCol w:w="733"/>
            <w:gridCol w:w="828"/>
            <w:gridCol w:w="734"/>
            <w:gridCol w:w="639"/>
            <w:gridCol w:w="734"/>
            <w:gridCol w:w="828"/>
            <w:gridCol w:w="734"/>
            <w:gridCol w:w="828"/>
            <w:gridCol w:w="734"/>
            <w:gridCol w:w="639"/>
            <w:gridCol w:w="734"/>
          </w:tblGrid>
          <w:tr w:rsidR="00720204" w:rsidTr="00B637B2">
            <w:trPr>
              <w:trHeight w:val="241"/>
            </w:trPr>
            <w:sdt>
              <w:sdtPr>
                <w:rPr>
                  <w:sz w:val="16"/>
                  <w:szCs w:val="16"/>
                </w:rPr>
                <w:tag w:val="_PLD_e65ae60c1beb4e5aa4e9c5250ffb188a"/>
                <w:id w:val="29700720"/>
                <w:lock w:val="sdtLocked"/>
              </w:sdtPr>
              <w:sdtContent>
                <w:tc>
                  <w:tcPr>
                    <w:tcW w:w="392"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720204" w:rsidRPr="00F12EE7" w:rsidRDefault="00720204" w:rsidP="005210A3">
                    <w:pPr>
                      <w:ind w:right="-16"/>
                      <w:jc w:val="center"/>
                      <w:rPr>
                        <w:rFonts w:cs="Arial"/>
                        <w:bCs/>
                        <w:sz w:val="16"/>
                        <w:szCs w:val="16"/>
                      </w:rPr>
                    </w:pPr>
                    <w:r w:rsidRPr="00F12EE7">
                      <w:rPr>
                        <w:rFonts w:cs="Arial" w:hint="eastAsia"/>
                        <w:bCs/>
                        <w:sz w:val="16"/>
                        <w:szCs w:val="16"/>
                        <w:lang w:val="en-GB"/>
                      </w:rPr>
                      <w:t>子公司</w:t>
                    </w:r>
                    <w:r w:rsidRPr="00F12EE7">
                      <w:rPr>
                        <w:rFonts w:cs="Arial" w:hint="eastAsia"/>
                        <w:bCs/>
                        <w:sz w:val="16"/>
                        <w:szCs w:val="16"/>
                        <w:lang w:val="en-GB"/>
                      </w:rPr>
                      <w:lastRenderedPageBreak/>
                      <w:t>名称</w:t>
                    </w:r>
                  </w:p>
                </w:tc>
              </w:sdtContent>
            </w:sdt>
            <w:sdt>
              <w:sdtPr>
                <w:rPr>
                  <w:sz w:val="16"/>
                  <w:szCs w:val="16"/>
                </w:rPr>
                <w:tag w:val="_PLD_878e21e6ce5e466eb427e7200cc9e5bb"/>
                <w:id w:val="872432521"/>
                <w:lock w:val="sdtLocked"/>
              </w:sdtPr>
              <w:sdtContent>
                <w:tc>
                  <w:tcPr>
                    <w:tcW w:w="2303" w:type="pct"/>
                    <w:gridSpan w:val="6"/>
                    <w:tcBorders>
                      <w:top w:val="single" w:sz="4" w:space="0" w:color="auto"/>
                      <w:left w:val="single" w:sz="6" w:space="0" w:color="auto"/>
                      <w:bottom w:val="single" w:sz="6" w:space="0" w:color="auto"/>
                      <w:right w:val="single" w:sz="6" w:space="0" w:color="auto"/>
                    </w:tcBorders>
                    <w:shd w:val="clear" w:color="auto" w:fill="auto"/>
                    <w:vAlign w:val="center"/>
                  </w:tcPr>
                  <w:p w:rsidR="00720204" w:rsidRPr="00F12EE7" w:rsidRDefault="00720204" w:rsidP="005210A3">
                    <w:pPr>
                      <w:ind w:right="-16"/>
                      <w:jc w:val="center"/>
                      <w:rPr>
                        <w:rFonts w:cs="Arial"/>
                        <w:bCs/>
                        <w:sz w:val="16"/>
                        <w:szCs w:val="16"/>
                      </w:rPr>
                    </w:pPr>
                    <w:r w:rsidRPr="00F12EE7">
                      <w:rPr>
                        <w:rFonts w:cs="Arial" w:hint="eastAsia"/>
                        <w:bCs/>
                        <w:sz w:val="16"/>
                        <w:szCs w:val="16"/>
                        <w:lang w:val="en-GB"/>
                      </w:rPr>
                      <w:t>期末余额</w:t>
                    </w:r>
                  </w:p>
                </w:tc>
              </w:sdtContent>
            </w:sdt>
            <w:sdt>
              <w:sdtPr>
                <w:rPr>
                  <w:sz w:val="16"/>
                  <w:szCs w:val="16"/>
                </w:rPr>
                <w:tag w:val="_PLD_86b93e4e78424106874bd84d54fb24df"/>
                <w:id w:val="893862310"/>
                <w:lock w:val="sdtLocked"/>
              </w:sdtPr>
              <w:sdtContent>
                <w:tc>
                  <w:tcPr>
                    <w:tcW w:w="2305" w:type="pct"/>
                    <w:gridSpan w:val="6"/>
                    <w:tcBorders>
                      <w:top w:val="single" w:sz="4" w:space="0" w:color="auto"/>
                      <w:left w:val="single" w:sz="6" w:space="0" w:color="auto"/>
                      <w:bottom w:val="single" w:sz="6" w:space="0" w:color="auto"/>
                      <w:right w:val="single" w:sz="4" w:space="0" w:color="auto"/>
                    </w:tcBorders>
                    <w:shd w:val="clear" w:color="auto" w:fill="auto"/>
                    <w:vAlign w:val="center"/>
                  </w:tcPr>
                  <w:p w:rsidR="00720204" w:rsidRPr="00F12EE7" w:rsidRDefault="00720204" w:rsidP="005210A3">
                    <w:pPr>
                      <w:ind w:right="-16"/>
                      <w:jc w:val="center"/>
                      <w:rPr>
                        <w:rFonts w:cs="Arial"/>
                        <w:bCs/>
                        <w:sz w:val="16"/>
                        <w:szCs w:val="16"/>
                      </w:rPr>
                    </w:pPr>
                    <w:r w:rsidRPr="00F12EE7">
                      <w:rPr>
                        <w:rFonts w:cs="Arial" w:hint="eastAsia"/>
                        <w:bCs/>
                        <w:sz w:val="16"/>
                        <w:szCs w:val="16"/>
                        <w:lang w:val="en-GB"/>
                      </w:rPr>
                      <w:t>期初余额</w:t>
                    </w:r>
                  </w:p>
                </w:tc>
              </w:sdtContent>
            </w:sdt>
          </w:tr>
          <w:tr w:rsidR="00B637B2" w:rsidTr="00B637B2">
            <w:trPr>
              <w:trHeight w:val="241"/>
            </w:trPr>
            <w:tc>
              <w:tcPr>
                <w:tcW w:w="392" w:type="pct"/>
                <w:vMerge/>
                <w:tcBorders>
                  <w:top w:val="single" w:sz="4" w:space="0" w:color="auto"/>
                  <w:left w:val="single" w:sz="4" w:space="0" w:color="auto"/>
                  <w:bottom w:val="single" w:sz="6" w:space="0" w:color="auto"/>
                  <w:right w:val="single" w:sz="6" w:space="0" w:color="auto"/>
                </w:tcBorders>
                <w:shd w:val="clear" w:color="auto" w:fill="auto"/>
                <w:vAlign w:val="center"/>
              </w:tcPr>
              <w:p w:rsidR="00720204" w:rsidRPr="00F12EE7" w:rsidRDefault="00720204" w:rsidP="005210A3">
                <w:pPr>
                  <w:rPr>
                    <w:rFonts w:cs="Arial"/>
                    <w:bCs/>
                    <w:sz w:val="16"/>
                    <w:szCs w:val="16"/>
                  </w:rPr>
                </w:pPr>
              </w:p>
            </w:tc>
            <w:sdt>
              <w:sdtPr>
                <w:rPr>
                  <w:sz w:val="16"/>
                  <w:szCs w:val="16"/>
                </w:rPr>
                <w:tag w:val="_PLD_0154d63f3f2c482ebe0cf00460d87fbd"/>
                <w:id w:val="-480687572"/>
                <w:lock w:val="sdtLocked"/>
              </w:sdtPr>
              <w:sdtContent>
                <w:tc>
                  <w:tcPr>
                    <w:tcW w:w="423" w:type="pct"/>
                    <w:tcBorders>
                      <w:top w:val="single" w:sz="6" w:space="0" w:color="auto"/>
                      <w:left w:val="single" w:sz="6" w:space="0" w:color="auto"/>
                      <w:bottom w:val="single" w:sz="6" w:space="0" w:color="auto"/>
                      <w:right w:val="single" w:sz="6" w:space="0" w:color="auto"/>
                    </w:tcBorders>
                    <w:shd w:val="clear" w:color="auto" w:fill="auto"/>
                    <w:vAlign w:val="center"/>
                  </w:tcPr>
                  <w:p w:rsidR="00720204" w:rsidRPr="00F12EE7" w:rsidRDefault="00720204" w:rsidP="005210A3">
                    <w:pPr>
                      <w:jc w:val="center"/>
                      <w:rPr>
                        <w:rFonts w:cs="Arial"/>
                        <w:sz w:val="16"/>
                        <w:szCs w:val="16"/>
                      </w:rPr>
                    </w:pPr>
                    <w:r w:rsidRPr="00F12EE7">
                      <w:rPr>
                        <w:rFonts w:cs="Arial" w:hint="eastAsia"/>
                        <w:sz w:val="16"/>
                        <w:szCs w:val="16"/>
                        <w:lang w:val="en-GB"/>
                      </w:rPr>
                      <w:t>流动资产</w:t>
                    </w:r>
                  </w:p>
                </w:tc>
              </w:sdtContent>
            </w:sdt>
            <w:sdt>
              <w:sdtPr>
                <w:rPr>
                  <w:sz w:val="16"/>
                  <w:szCs w:val="16"/>
                </w:rPr>
                <w:tag w:val="_PLD_0f817c02730447aca042c6a931d447e8"/>
                <w:id w:val="-679432028"/>
                <w:lock w:val="sdtLocked"/>
              </w:sdtPr>
              <w:sdtContent>
                <w:tc>
                  <w:tcPr>
                    <w:tcW w:w="376" w:type="pct"/>
                    <w:tcBorders>
                      <w:top w:val="single" w:sz="6" w:space="0" w:color="auto"/>
                      <w:left w:val="single" w:sz="6" w:space="0" w:color="auto"/>
                      <w:bottom w:val="single" w:sz="6" w:space="0" w:color="auto"/>
                      <w:right w:val="single" w:sz="6" w:space="0" w:color="auto"/>
                    </w:tcBorders>
                    <w:shd w:val="clear" w:color="auto" w:fill="auto"/>
                    <w:vAlign w:val="center"/>
                  </w:tcPr>
                  <w:p w:rsidR="00720204" w:rsidRPr="00F12EE7" w:rsidRDefault="00720204" w:rsidP="005210A3">
                    <w:pPr>
                      <w:ind w:left="-40" w:right="-97"/>
                      <w:jc w:val="center"/>
                      <w:rPr>
                        <w:rFonts w:cs="Arial"/>
                        <w:sz w:val="16"/>
                        <w:szCs w:val="16"/>
                      </w:rPr>
                    </w:pPr>
                    <w:r w:rsidRPr="00F12EE7">
                      <w:rPr>
                        <w:rFonts w:cs="Arial" w:hint="eastAsia"/>
                        <w:sz w:val="16"/>
                        <w:szCs w:val="16"/>
                        <w:lang w:val="en-GB"/>
                      </w:rPr>
                      <w:t>非流动资产</w:t>
                    </w:r>
                  </w:p>
                </w:tc>
              </w:sdtContent>
            </w:sdt>
            <w:sdt>
              <w:sdtPr>
                <w:rPr>
                  <w:sz w:val="16"/>
                  <w:szCs w:val="16"/>
                </w:rPr>
                <w:tag w:val="_PLD_553e0814e94f491784b88cc5aa7d6adb"/>
                <w:id w:val="-390422680"/>
                <w:lock w:val="sdtLocked"/>
              </w:sdtPr>
              <w:sdtContent>
                <w:tc>
                  <w:tcPr>
                    <w:tcW w:w="423" w:type="pct"/>
                    <w:tcBorders>
                      <w:top w:val="single" w:sz="6" w:space="0" w:color="auto"/>
                      <w:left w:val="single" w:sz="6" w:space="0" w:color="auto"/>
                      <w:bottom w:val="single" w:sz="6" w:space="0" w:color="auto"/>
                      <w:right w:val="single" w:sz="6" w:space="0" w:color="auto"/>
                    </w:tcBorders>
                    <w:shd w:val="clear" w:color="auto" w:fill="auto"/>
                    <w:vAlign w:val="center"/>
                  </w:tcPr>
                  <w:p w:rsidR="00720204" w:rsidRPr="00F12EE7" w:rsidRDefault="00720204" w:rsidP="005210A3">
                    <w:pPr>
                      <w:jc w:val="center"/>
                      <w:rPr>
                        <w:rFonts w:cs="Arial"/>
                        <w:sz w:val="16"/>
                        <w:szCs w:val="16"/>
                      </w:rPr>
                    </w:pPr>
                    <w:r w:rsidRPr="00F12EE7">
                      <w:rPr>
                        <w:rFonts w:cs="Arial" w:hint="eastAsia"/>
                        <w:sz w:val="16"/>
                        <w:szCs w:val="16"/>
                        <w:lang w:val="en-GB"/>
                      </w:rPr>
                      <w:t>资产合计</w:t>
                    </w:r>
                  </w:p>
                </w:tc>
              </w:sdtContent>
            </w:sdt>
            <w:sdt>
              <w:sdtPr>
                <w:rPr>
                  <w:sz w:val="16"/>
                  <w:szCs w:val="16"/>
                </w:rPr>
                <w:tag w:val="_PLD_3db84901ffa544afb174531f0384a82f"/>
                <w:id w:val="-1009291957"/>
                <w:lock w:val="sdtLocked"/>
              </w:sdtPr>
              <w:sdtContent>
                <w:tc>
                  <w:tcPr>
                    <w:tcW w:w="376" w:type="pct"/>
                    <w:tcBorders>
                      <w:top w:val="single" w:sz="6" w:space="0" w:color="auto"/>
                      <w:left w:val="single" w:sz="6" w:space="0" w:color="auto"/>
                      <w:bottom w:val="single" w:sz="6" w:space="0" w:color="auto"/>
                      <w:right w:val="single" w:sz="6" w:space="0" w:color="auto"/>
                    </w:tcBorders>
                    <w:shd w:val="clear" w:color="auto" w:fill="auto"/>
                    <w:vAlign w:val="center"/>
                  </w:tcPr>
                  <w:p w:rsidR="00720204" w:rsidRPr="00F12EE7" w:rsidRDefault="00720204" w:rsidP="005210A3">
                    <w:pPr>
                      <w:jc w:val="center"/>
                      <w:rPr>
                        <w:rFonts w:cs="Arial"/>
                        <w:sz w:val="16"/>
                        <w:szCs w:val="16"/>
                      </w:rPr>
                    </w:pPr>
                    <w:r w:rsidRPr="00F12EE7">
                      <w:rPr>
                        <w:rFonts w:cs="Arial" w:hint="eastAsia"/>
                        <w:sz w:val="16"/>
                        <w:szCs w:val="16"/>
                        <w:lang w:val="en-GB"/>
                      </w:rPr>
                      <w:t>流动负债</w:t>
                    </w:r>
                  </w:p>
                </w:tc>
              </w:sdtContent>
            </w:sdt>
            <w:sdt>
              <w:sdtPr>
                <w:rPr>
                  <w:sz w:val="16"/>
                  <w:szCs w:val="16"/>
                </w:rPr>
                <w:tag w:val="_PLD_50c217cc437b4c3496e1aab622fba053"/>
                <w:id w:val="917445962"/>
                <w:lock w:val="sdtLocked"/>
              </w:sdtPr>
              <w:sdtContent>
                <w:tc>
                  <w:tcPr>
                    <w:tcW w:w="329" w:type="pct"/>
                    <w:tcBorders>
                      <w:top w:val="single" w:sz="6" w:space="0" w:color="auto"/>
                      <w:left w:val="single" w:sz="6" w:space="0" w:color="auto"/>
                      <w:bottom w:val="single" w:sz="6" w:space="0" w:color="auto"/>
                      <w:right w:val="single" w:sz="6" w:space="0" w:color="auto"/>
                    </w:tcBorders>
                    <w:shd w:val="clear" w:color="auto" w:fill="auto"/>
                    <w:vAlign w:val="center"/>
                  </w:tcPr>
                  <w:p w:rsidR="00720204" w:rsidRPr="00F12EE7" w:rsidRDefault="00720204" w:rsidP="005210A3">
                    <w:pPr>
                      <w:ind w:left="-40" w:right="-97"/>
                      <w:jc w:val="center"/>
                      <w:rPr>
                        <w:rFonts w:cs="Arial"/>
                        <w:sz w:val="16"/>
                        <w:szCs w:val="16"/>
                      </w:rPr>
                    </w:pPr>
                    <w:r w:rsidRPr="00F12EE7">
                      <w:rPr>
                        <w:rFonts w:cs="Arial" w:hint="eastAsia"/>
                        <w:sz w:val="16"/>
                        <w:szCs w:val="16"/>
                        <w:lang w:val="en-GB"/>
                      </w:rPr>
                      <w:t>非流动负债</w:t>
                    </w:r>
                  </w:p>
                </w:tc>
              </w:sdtContent>
            </w:sdt>
            <w:sdt>
              <w:sdtPr>
                <w:rPr>
                  <w:sz w:val="16"/>
                  <w:szCs w:val="16"/>
                </w:rPr>
                <w:tag w:val="_PLD_ccd9a8d3652e4485a763cfb37eb6fa37"/>
                <w:id w:val="-263393375"/>
                <w:lock w:val="sdtLocked"/>
              </w:sdtPr>
              <w:sdtContent>
                <w:tc>
                  <w:tcPr>
                    <w:tcW w:w="376" w:type="pct"/>
                    <w:tcBorders>
                      <w:top w:val="single" w:sz="6" w:space="0" w:color="auto"/>
                      <w:left w:val="single" w:sz="6" w:space="0" w:color="auto"/>
                      <w:bottom w:val="single" w:sz="6" w:space="0" w:color="auto"/>
                      <w:right w:val="single" w:sz="6" w:space="0" w:color="auto"/>
                    </w:tcBorders>
                    <w:shd w:val="clear" w:color="auto" w:fill="auto"/>
                    <w:vAlign w:val="center"/>
                  </w:tcPr>
                  <w:p w:rsidR="00720204" w:rsidRPr="00F12EE7" w:rsidRDefault="00720204" w:rsidP="005210A3">
                    <w:pPr>
                      <w:jc w:val="center"/>
                      <w:rPr>
                        <w:rFonts w:cs="Arial"/>
                        <w:sz w:val="16"/>
                        <w:szCs w:val="16"/>
                      </w:rPr>
                    </w:pPr>
                    <w:r w:rsidRPr="00F12EE7">
                      <w:rPr>
                        <w:rFonts w:cs="Arial" w:hint="eastAsia"/>
                        <w:sz w:val="16"/>
                        <w:szCs w:val="16"/>
                        <w:lang w:val="en-GB"/>
                      </w:rPr>
                      <w:t>负债合计</w:t>
                    </w:r>
                  </w:p>
                </w:tc>
              </w:sdtContent>
            </w:sdt>
            <w:sdt>
              <w:sdtPr>
                <w:rPr>
                  <w:sz w:val="16"/>
                  <w:szCs w:val="16"/>
                </w:rPr>
                <w:tag w:val="_PLD_ec07cd6513b74d49b586125d4b66dd0a"/>
                <w:id w:val="1479812311"/>
                <w:lock w:val="sdtLocked"/>
              </w:sdtPr>
              <w:sdtContent>
                <w:tc>
                  <w:tcPr>
                    <w:tcW w:w="424" w:type="pct"/>
                    <w:tcBorders>
                      <w:top w:val="single" w:sz="6" w:space="0" w:color="auto"/>
                      <w:left w:val="single" w:sz="6" w:space="0" w:color="auto"/>
                      <w:bottom w:val="single" w:sz="6" w:space="0" w:color="auto"/>
                      <w:right w:val="single" w:sz="6" w:space="0" w:color="auto"/>
                    </w:tcBorders>
                    <w:shd w:val="clear" w:color="auto" w:fill="auto"/>
                    <w:vAlign w:val="center"/>
                  </w:tcPr>
                  <w:p w:rsidR="00720204" w:rsidRPr="00F12EE7" w:rsidRDefault="00720204" w:rsidP="005210A3">
                    <w:pPr>
                      <w:jc w:val="center"/>
                      <w:rPr>
                        <w:rFonts w:cs="Arial"/>
                        <w:sz w:val="16"/>
                        <w:szCs w:val="16"/>
                      </w:rPr>
                    </w:pPr>
                    <w:r w:rsidRPr="00F12EE7">
                      <w:rPr>
                        <w:rFonts w:cs="Arial" w:hint="eastAsia"/>
                        <w:sz w:val="16"/>
                        <w:szCs w:val="16"/>
                        <w:lang w:val="en-GB"/>
                      </w:rPr>
                      <w:t>流动资产</w:t>
                    </w:r>
                  </w:p>
                </w:tc>
              </w:sdtContent>
            </w:sdt>
            <w:sdt>
              <w:sdtPr>
                <w:rPr>
                  <w:sz w:val="16"/>
                  <w:szCs w:val="16"/>
                </w:rPr>
                <w:tag w:val="_PLD_fb97ce65ab144768b4fb9978546fce37"/>
                <w:id w:val="-1498183559"/>
                <w:lock w:val="sdtLocked"/>
              </w:sdtPr>
              <w:sdtContent>
                <w:tc>
                  <w:tcPr>
                    <w:tcW w:w="376" w:type="pct"/>
                    <w:tcBorders>
                      <w:top w:val="single" w:sz="6" w:space="0" w:color="auto"/>
                      <w:left w:val="single" w:sz="6" w:space="0" w:color="auto"/>
                      <w:bottom w:val="single" w:sz="6" w:space="0" w:color="auto"/>
                      <w:right w:val="single" w:sz="6" w:space="0" w:color="auto"/>
                    </w:tcBorders>
                    <w:shd w:val="clear" w:color="auto" w:fill="auto"/>
                    <w:vAlign w:val="center"/>
                  </w:tcPr>
                  <w:p w:rsidR="00720204" w:rsidRPr="00F12EE7" w:rsidRDefault="00720204" w:rsidP="005210A3">
                    <w:pPr>
                      <w:ind w:left="-40" w:right="-97"/>
                      <w:jc w:val="center"/>
                      <w:rPr>
                        <w:rFonts w:cs="Arial"/>
                        <w:sz w:val="16"/>
                        <w:szCs w:val="16"/>
                      </w:rPr>
                    </w:pPr>
                    <w:r w:rsidRPr="00F12EE7">
                      <w:rPr>
                        <w:rFonts w:cs="Arial" w:hint="eastAsia"/>
                        <w:sz w:val="16"/>
                        <w:szCs w:val="16"/>
                        <w:lang w:val="en-GB"/>
                      </w:rPr>
                      <w:t>非流动资产</w:t>
                    </w:r>
                  </w:p>
                </w:tc>
              </w:sdtContent>
            </w:sdt>
            <w:sdt>
              <w:sdtPr>
                <w:rPr>
                  <w:sz w:val="16"/>
                  <w:szCs w:val="16"/>
                </w:rPr>
                <w:tag w:val="_PLD_412845ecfd2e45e8ae03b43cf8ca32f4"/>
                <w:id w:val="-424426059"/>
                <w:lock w:val="sdtLocked"/>
              </w:sdtPr>
              <w:sdtContent>
                <w:tc>
                  <w:tcPr>
                    <w:tcW w:w="424" w:type="pct"/>
                    <w:tcBorders>
                      <w:top w:val="single" w:sz="6" w:space="0" w:color="auto"/>
                      <w:left w:val="single" w:sz="6" w:space="0" w:color="auto"/>
                      <w:bottom w:val="single" w:sz="6" w:space="0" w:color="auto"/>
                      <w:right w:val="single" w:sz="6" w:space="0" w:color="auto"/>
                    </w:tcBorders>
                    <w:shd w:val="clear" w:color="auto" w:fill="auto"/>
                    <w:vAlign w:val="center"/>
                  </w:tcPr>
                  <w:p w:rsidR="00720204" w:rsidRPr="00F12EE7" w:rsidRDefault="00720204" w:rsidP="005210A3">
                    <w:pPr>
                      <w:jc w:val="center"/>
                      <w:rPr>
                        <w:rFonts w:cs="Arial"/>
                        <w:sz w:val="16"/>
                        <w:szCs w:val="16"/>
                      </w:rPr>
                    </w:pPr>
                    <w:r w:rsidRPr="00F12EE7">
                      <w:rPr>
                        <w:rFonts w:cs="Arial" w:hint="eastAsia"/>
                        <w:sz w:val="16"/>
                        <w:szCs w:val="16"/>
                        <w:lang w:val="en-GB"/>
                      </w:rPr>
                      <w:t>资产合计</w:t>
                    </w:r>
                  </w:p>
                </w:tc>
              </w:sdtContent>
            </w:sdt>
            <w:sdt>
              <w:sdtPr>
                <w:rPr>
                  <w:sz w:val="16"/>
                  <w:szCs w:val="16"/>
                </w:rPr>
                <w:tag w:val="_PLD_2a24724c66b442e994f401266a55d5df"/>
                <w:id w:val="436950029"/>
                <w:lock w:val="sdtLocked"/>
              </w:sdtPr>
              <w:sdtContent>
                <w:tc>
                  <w:tcPr>
                    <w:tcW w:w="376" w:type="pct"/>
                    <w:tcBorders>
                      <w:top w:val="single" w:sz="6" w:space="0" w:color="auto"/>
                      <w:left w:val="single" w:sz="6" w:space="0" w:color="auto"/>
                      <w:bottom w:val="single" w:sz="6" w:space="0" w:color="auto"/>
                      <w:right w:val="single" w:sz="6" w:space="0" w:color="auto"/>
                    </w:tcBorders>
                    <w:shd w:val="clear" w:color="auto" w:fill="auto"/>
                    <w:vAlign w:val="center"/>
                  </w:tcPr>
                  <w:p w:rsidR="00720204" w:rsidRPr="00F12EE7" w:rsidRDefault="00720204" w:rsidP="005210A3">
                    <w:pPr>
                      <w:jc w:val="center"/>
                      <w:rPr>
                        <w:rFonts w:cs="Arial"/>
                        <w:sz w:val="16"/>
                        <w:szCs w:val="16"/>
                      </w:rPr>
                    </w:pPr>
                    <w:r w:rsidRPr="00F12EE7">
                      <w:rPr>
                        <w:rFonts w:cs="Arial" w:hint="eastAsia"/>
                        <w:sz w:val="16"/>
                        <w:szCs w:val="16"/>
                        <w:lang w:val="en-GB"/>
                      </w:rPr>
                      <w:t>流动负债</w:t>
                    </w:r>
                  </w:p>
                </w:tc>
              </w:sdtContent>
            </w:sdt>
            <w:sdt>
              <w:sdtPr>
                <w:rPr>
                  <w:sz w:val="16"/>
                  <w:szCs w:val="16"/>
                </w:rPr>
                <w:tag w:val="_PLD_937f557a5cdb4ea99a0a914e755f781f"/>
                <w:id w:val="-1063871114"/>
                <w:lock w:val="sdtLocked"/>
              </w:sdtPr>
              <w:sdtContent>
                <w:tc>
                  <w:tcPr>
                    <w:tcW w:w="329" w:type="pct"/>
                    <w:tcBorders>
                      <w:top w:val="single" w:sz="6" w:space="0" w:color="auto"/>
                      <w:left w:val="single" w:sz="6" w:space="0" w:color="auto"/>
                      <w:bottom w:val="single" w:sz="6" w:space="0" w:color="auto"/>
                      <w:right w:val="single" w:sz="6" w:space="0" w:color="auto"/>
                    </w:tcBorders>
                    <w:shd w:val="clear" w:color="auto" w:fill="auto"/>
                    <w:vAlign w:val="center"/>
                  </w:tcPr>
                  <w:p w:rsidR="00720204" w:rsidRPr="00F12EE7" w:rsidRDefault="00720204" w:rsidP="005210A3">
                    <w:pPr>
                      <w:ind w:left="-40" w:right="-97"/>
                      <w:jc w:val="center"/>
                      <w:rPr>
                        <w:rFonts w:cs="Arial"/>
                        <w:sz w:val="16"/>
                        <w:szCs w:val="16"/>
                      </w:rPr>
                    </w:pPr>
                    <w:r w:rsidRPr="00F12EE7">
                      <w:rPr>
                        <w:rFonts w:cs="Arial" w:hint="eastAsia"/>
                        <w:sz w:val="16"/>
                        <w:szCs w:val="16"/>
                        <w:lang w:val="en-GB"/>
                      </w:rPr>
                      <w:t>非流动负债</w:t>
                    </w:r>
                  </w:p>
                </w:tc>
              </w:sdtContent>
            </w:sdt>
            <w:sdt>
              <w:sdtPr>
                <w:rPr>
                  <w:sz w:val="16"/>
                  <w:szCs w:val="16"/>
                </w:rPr>
                <w:tag w:val="_PLD_c4b998a44f394e1eb0924a4f19409ff8"/>
                <w:id w:val="274609414"/>
                <w:lock w:val="sdtLocked"/>
              </w:sdtPr>
              <w:sdtContent>
                <w:tc>
                  <w:tcPr>
                    <w:tcW w:w="376" w:type="pct"/>
                    <w:tcBorders>
                      <w:top w:val="single" w:sz="6" w:space="0" w:color="auto"/>
                      <w:left w:val="single" w:sz="6" w:space="0" w:color="auto"/>
                      <w:bottom w:val="single" w:sz="6" w:space="0" w:color="auto"/>
                      <w:right w:val="single" w:sz="4" w:space="0" w:color="auto"/>
                    </w:tcBorders>
                    <w:shd w:val="clear" w:color="auto" w:fill="auto"/>
                    <w:vAlign w:val="center"/>
                  </w:tcPr>
                  <w:p w:rsidR="00720204" w:rsidRPr="00F12EE7" w:rsidRDefault="00720204" w:rsidP="005210A3">
                    <w:pPr>
                      <w:jc w:val="center"/>
                      <w:rPr>
                        <w:rFonts w:cs="Arial"/>
                        <w:sz w:val="16"/>
                        <w:szCs w:val="16"/>
                      </w:rPr>
                    </w:pPr>
                    <w:r w:rsidRPr="00F12EE7">
                      <w:rPr>
                        <w:rFonts w:cs="Arial" w:hint="eastAsia"/>
                        <w:sz w:val="16"/>
                        <w:szCs w:val="16"/>
                        <w:lang w:val="en-GB"/>
                      </w:rPr>
                      <w:t>负债合计</w:t>
                    </w:r>
                  </w:p>
                </w:tc>
              </w:sdtContent>
            </w:sdt>
          </w:tr>
          <w:sdt>
            <w:sdtPr>
              <w:rPr>
                <w:rFonts w:asciiTheme="minorHAnsi" w:eastAsiaTheme="minorEastAsia" w:hAnsiTheme="minorHAnsi" w:cstheme="minorBidi"/>
                <w:kern w:val="2"/>
                <w:sz w:val="16"/>
                <w:szCs w:val="16"/>
              </w:rPr>
              <w:alias w:val="重要非全资子公司的主要财务信息明细"/>
              <w:tag w:val="_GBC_feef0d2d67a84217a9099e634bb2d3df"/>
              <w:id w:val="-2088825204"/>
              <w:lock w:val="sdtLocked"/>
            </w:sdtPr>
            <w:sdtEndPr>
              <w:rPr>
                <w:rFonts w:ascii="宋体" w:eastAsia="宋体" w:hAnsi="宋体"/>
              </w:rPr>
            </w:sdtEndPr>
            <w:sdtContent>
              <w:tr w:rsidR="00B637B2" w:rsidRPr="008F2D31" w:rsidTr="00B637B2">
                <w:tc>
                  <w:tcPr>
                    <w:tcW w:w="392" w:type="pct"/>
                    <w:tcBorders>
                      <w:top w:val="single" w:sz="6" w:space="0" w:color="auto"/>
                      <w:left w:val="single" w:sz="4" w:space="0" w:color="auto"/>
                      <w:bottom w:val="single" w:sz="4" w:space="0" w:color="auto"/>
                      <w:right w:val="single" w:sz="6" w:space="0" w:color="auto"/>
                    </w:tcBorders>
                  </w:tcPr>
                  <w:p w:rsidR="00864E04" w:rsidRPr="00F12EE7" w:rsidRDefault="00864E04" w:rsidP="00864E04">
                    <w:pPr>
                      <w:rPr>
                        <w:sz w:val="16"/>
                        <w:szCs w:val="16"/>
                      </w:rPr>
                    </w:pPr>
                    <w:r w:rsidRPr="00F12EE7">
                      <w:rPr>
                        <w:sz w:val="16"/>
                        <w:szCs w:val="16"/>
                      </w:rPr>
                      <w:t>畅捷通</w:t>
                    </w:r>
                  </w:p>
                </w:tc>
                <w:tc>
                  <w:tcPr>
                    <w:tcW w:w="423" w:type="pct"/>
                    <w:tcBorders>
                      <w:top w:val="single" w:sz="6" w:space="0" w:color="auto"/>
                      <w:left w:val="single" w:sz="6" w:space="0" w:color="auto"/>
                      <w:bottom w:val="single" w:sz="4" w:space="0" w:color="auto"/>
                      <w:right w:val="single" w:sz="6" w:space="0" w:color="auto"/>
                    </w:tcBorders>
                  </w:tcPr>
                  <w:p w:rsidR="00864E04" w:rsidRPr="00F12EE7" w:rsidRDefault="00864E04" w:rsidP="00864E04">
                    <w:pPr>
                      <w:rPr>
                        <w:sz w:val="16"/>
                        <w:szCs w:val="16"/>
                      </w:rPr>
                    </w:pPr>
                    <w:r w:rsidRPr="00F12EE7">
                      <w:rPr>
                        <w:sz w:val="16"/>
                        <w:szCs w:val="16"/>
                      </w:rPr>
                      <w:t>1,442,831,020</w:t>
                    </w:r>
                  </w:p>
                </w:tc>
                <w:tc>
                  <w:tcPr>
                    <w:tcW w:w="376" w:type="pct"/>
                    <w:tcBorders>
                      <w:top w:val="single" w:sz="6" w:space="0" w:color="auto"/>
                      <w:left w:val="single" w:sz="6" w:space="0" w:color="auto"/>
                      <w:bottom w:val="single" w:sz="4" w:space="0" w:color="auto"/>
                      <w:right w:val="single" w:sz="6" w:space="0" w:color="auto"/>
                    </w:tcBorders>
                  </w:tcPr>
                  <w:p w:rsidR="00864E04" w:rsidRPr="00F12EE7" w:rsidRDefault="00864E04" w:rsidP="00864E04">
                    <w:pPr>
                      <w:jc w:val="right"/>
                      <w:rPr>
                        <w:sz w:val="16"/>
                        <w:szCs w:val="16"/>
                      </w:rPr>
                    </w:pPr>
                    <w:r w:rsidRPr="00F12EE7">
                      <w:rPr>
                        <w:sz w:val="16"/>
                        <w:szCs w:val="16"/>
                      </w:rPr>
                      <w:t>184,808,640</w:t>
                    </w:r>
                  </w:p>
                </w:tc>
                <w:tc>
                  <w:tcPr>
                    <w:tcW w:w="423" w:type="pct"/>
                    <w:tcBorders>
                      <w:top w:val="single" w:sz="6" w:space="0" w:color="auto"/>
                      <w:left w:val="single" w:sz="6" w:space="0" w:color="auto"/>
                      <w:bottom w:val="single" w:sz="4" w:space="0" w:color="auto"/>
                      <w:right w:val="single" w:sz="6" w:space="0" w:color="auto"/>
                    </w:tcBorders>
                  </w:tcPr>
                  <w:p w:rsidR="00864E04" w:rsidRPr="00F12EE7" w:rsidRDefault="00864E04" w:rsidP="00864E04">
                    <w:pPr>
                      <w:jc w:val="right"/>
                      <w:rPr>
                        <w:sz w:val="16"/>
                        <w:szCs w:val="16"/>
                      </w:rPr>
                    </w:pPr>
                    <w:r w:rsidRPr="00F12EE7">
                      <w:rPr>
                        <w:sz w:val="16"/>
                        <w:szCs w:val="16"/>
                      </w:rPr>
                      <w:t>1,627,639,660</w:t>
                    </w:r>
                  </w:p>
                </w:tc>
                <w:tc>
                  <w:tcPr>
                    <w:tcW w:w="376" w:type="pct"/>
                    <w:tcBorders>
                      <w:top w:val="single" w:sz="6" w:space="0" w:color="auto"/>
                      <w:left w:val="single" w:sz="6" w:space="0" w:color="auto"/>
                      <w:bottom w:val="single" w:sz="4" w:space="0" w:color="auto"/>
                      <w:right w:val="single" w:sz="6" w:space="0" w:color="auto"/>
                    </w:tcBorders>
                  </w:tcPr>
                  <w:p w:rsidR="00864E04" w:rsidRPr="00F12EE7" w:rsidRDefault="00864E04" w:rsidP="00864E04">
                    <w:pPr>
                      <w:jc w:val="right"/>
                      <w:rPr>
                        <w:sz w:val="16"/>
                        <w:szCs w:val="16"/>
                      </w:rPr>
                    </w:pPr>
                    <w:r w:rsidRPr="00F12EE7">
                      <w:rPr>
                        <w:sz w:val="16"/>
                        <w:szCs w:val="16"/>
                      </w:rPr>
                      <w:t>304,772,188</w:t>
                    </w:r>
                  </w:p>
                </w:tc>
                <w:tc>
                  <w:tcPr>
                    <w:tcW w:w="329" w:type="pct"/>
                    <w:tcBorders>
                      <w:top w:val="single" w:sz="6" w:space="0" w:color="auto"/>
                      <w:left w:val="single" w:sz="6" w:space="0" w:color="auto"/>
                      <w:bottom w:val="single" w:sz="4" w:space="0" w:color="auto"/>
                      <w:right w:val="single" w:sz="6" w:space="0" w:color="auto"/>
                    </w:tcBorders>
                  </w:tcPr>
                  <w:p w:rsidR="00864E04" w:rsidRPr="00F12EE7" w:rsidRDefault="00864E04" w:rsidP="00864E04">
                    <w:pPr>
                      <w:jc w:val="right"/>
                      <w:rPr>
                        <w:sz w:val="16"/>
                        <w:szCs w:val="16"/>
                      </w:rPr>
                    </w:pPr>
                    <w:r w:rsidRPr="00F12EE7">
                      <w:rPr>
                        <w:sz w:val="16"/>
                        <w:szCs w:val="16"/>
                      </w:rPr>
                      <w:t>9,448,213</w:t>
                    </w:r>
                  </w:p>
                </w:tc>
                <w:tc>
                  <w:tcPr>
                    <w:tcW w:w="376" w:type="pct"/>
                    <w:tcBorders>
                      <w:top w:val="single" w:sz="6" w:space="0" w:color="auto"/>
                      <w:left w:val="single" w:sz="6" w:space="0" w:color="auto"/>
                      <w:bottom w:val="single" w:sz="4" w:space="0" w:color="auto"/>
                      <w:right w:val="single" w:sz="6" w:space="0" w:color="auto"/>
                    </w:tcBorders>
                  </w:tcPr>
                  <w:p w:rsidR="00864E04" w:rsidRPr="00F12EE7" w:rsidRDefault="00864E04" w:rsidP="00864E04">
                    <w:pPr>
                      <w:jc w:val="right"/>
                      <w:rPr>
                        <w:sz w:val="16"/>
                        <w:szCs w:val="16"/>
                      </w:rPr>
                    </w:pPr>
                    <w:r w:rsidRPr="00F12EE7">
                      <w:rPr>
                        <w:sz w:val="16"/>
                        <w:szCs w:val="16"/>
                      </w:rPr>
                      <w:t>314,220,401</w:t>
                    </w:r>
                  </w:p>
                </w:tc>
                <w:tc>
                  <w:tcPr>
                    <w:tcW w:w="424" w:type="pct"/>
                    <w:tcBorders>
                      <w:top w:val="single" w:sz="6" w:space="0" w:color="auto"/>
                      <w:left w:val="single" w:sz="6" w:space="0" w:color="auto"/>
                      <w:bottom w:val="single" w:sz="4" w:space="0" w:color="auto"/>
                      <w:right w:val="single" w:sz="6" w:space="0" w:color="auto"/>
                    </w:tcBorders>
                  </w:tcPr>
                  <w:p w:rsidR="00864E04" w:rsidRPr="00F12EE7" w:rsidRDefault="008F04CF" w:rsidP="00B637B2">
                    <w:pPr>
                      <w:jc w:val="right"/>
                      <w:rPr>
                        <w:rFonts w:cs="Arial"/>
                        <w:color w:val="000000"/>
                        <w:sz w:val="16"/>
                        <w:szCs w:val="16"/>
                      </w:rPr>
                    </w:pPr>
                    <w:r>
                      <w:rPr>
                        <w:rFonts w:cs="Arial"/>
                        <w:color w:val="000000"/>
                        <w:sz w:val="16"/>
                        <w:szCs w:val="16"/>
                      </w:rPr>
                      <w:t>1,318,181,032</w:t>
                    </w:r>
                  </w:p>
                </w:tc>
                <w:tc>
                  <w:tcPr>
                    <w:tcW w:w="376" w:type="pct"/>
                    <w:tcBorders>
                      <w:top w:val="single" w:sz="6" w:space="0" w:color="auto"/>
                      <w:left w:val="single" w:sz="6" w:space="0" w:color="auto"/>
                      <w:bottom w:val="single" w:sz="4" w:space="0" w:color="auto"/>
                      <w:right w:val="single" w:sz="6" w:space="0" w:color="auto"/>
                    </w:tcBorders>
                  </w:tcPr>
                  <w:p w:rsidR="00864E04" w:rsidRPr="00F12EE7" w:rsidRDefault="008F04CF" w:rsidP="00B637B2">
                    <w:pPr>
                      <w:jc w:val="right"/>
                      <w:rPr>
                        <w:rFonts w:cs="Arial"/>
                        <w:color w:val="000000"/>
                        <w:sz w:val="16"/>
                        <w:szCs w:val="16"/>
                      </w:rPr>
                    </w:pPr>
                    <w:r>
                      <w:rPr>
                        <w:rFonts w:cs="Arial"/>
                        <w:color w:val="000000"/>
                        <w:sz w:val="16"/>
                        <w:szCs w:val="16"/>
                      </w:rPr>
                      <w:t>159,513,349</w:t>
                    </w:r>
                  </w:p>
                </w:tc>
                <w:tc>
                  <w:tcPr>
                    <w:tcW w:w="424" w:type="pct"/>
                    <w:tcBorders>
                      <w:top w:val="single" w:sz="6" w:space="0" w:color="auto"/>
                      <w:left w:val="single" w:sz="6" w:space="0" w:color="auto"/>
                      <w:bottom w:val="single" w:sz="4" w:space="0" w:color="auto"/>
                      <w:right w:val="single" w:sz="6" w:space="0" w:color="auto"/>
                    </w:tcBorders>
                  </w:tcPr>
                  <w:p w:rsidR="00864E04" w:rsidRPr="00F12EE7" w:rsidRDefault="008F04CF" w:rsidP="00B637B2">
                    <w:pPr>
                      <w:jc w:val="right"/>
                      <w:rPr>
                        <w:rFonts w:cs="Arial"/>
                        <w:color w:val="000000"/>
                        <w:sz w:val="16"/>
                        <w:szCs w:val="16"/>
                      </w:rPr>
                    </w:pPr>
                    <w:r>
                      <w:rPr>
                        <w:rFonts w:cs="Arial"/>
                        <w:color w:val="000000"/>
                        <w:sz w:val="16"/>
                        <w:szCs w:val="16"/>
                      </w:rPr>
                      <w:t>1,477,694,381</w:t>
                    </w:r>
                  </w:p>
                </w:tc>
                <w:tc>
                  <w:tcPr>
                    <w:tcW w:w="376" w:type="pct"/>
                    <w:tcBorders>
                      <w:top w:val="single" w:sz="6" w:space="0" w:color="auto"/>
                      <w:left w:val="single" w:sz="6" w:space="0" w:color="auto"/>
                      <w:bottom w:val="single" w:sz="4" w:space="0" w:color="auto"/>
                      <w:right w:val="single" w:sz="6" w:space="0" w:color="auto"/>
                    </w:tcBorders>
                  </w:tcPr>
                  <w:p w:rsidR="00864E04" w:rsidRPr="00F12EE7" w:rsidRDefault="008F04CF" w:rsidP="00B637B2">
                    <w:pPr>
                      <w:jc w:val="right"/>
                      <w:rPr>
                        <w:rFonts w:cs="Arial"/>
                        <w:color w:val="000000"/>
                        <w:sz w:val="16"/>
                        <w:szCs w:val="16"/>
                      </w:rPr>
                    </w:pPr>
                    <w:r>
                      <w:rPr>
                        <w:rFonts w:cs="Arial"/>
                        <w:color w:val="000000"/>
                        <w:sz w:val="16"/>
                        <w:szCs w:val="16"/>
                      </w:rPr>
                      <w:t>200,098,278</w:t>
                    </w:r>
                  </w:p>
                </w:tc>
                <w:tc>
                  <w:tcPr>
                    <w:tcW w:w="329" w:type="pct"/>
                    <w:tcBorders>
                      <w:top w:val="single" w:sz="6" w:space="0" w:color="auto"/>
                      <w:left w:val="single" w:sz="6" w:space="0" w:color="auto"/>
                      <w:bottom w:val="single" w:sz="4" w:space="0" w:color="auto"/>
                      <w:right w:val="single" w:sz="6" w:space="0" w:color="auto"/>
                    </w:tcBorders>
                  </w:tcPr>
                  <w:p w:rsidR="00864E04" w:rsidRPr="00F12EE7" w:rsidRDefault="00864E04" w:rsidP="00864E04">
                    <w:pPr>
                      <w:jc w:val="right"/>
                      <w:rPr>
                        <w:sz w:val="16"/>
                        <w:szCs w:val="16"/>
                      </w:rPr>
                    </w:pPr>
                  </w:p>
                </w:tc>
                <w:tc>
                  <w:tcPr>
                    <w:tcW w:w="376" w:type="pct"/>
                    <w:tcBorders>
                      <w:top w:val="single" w:sz="6" w:space="0" w:color="auto"/>
                      <w:left w:val="single" w:sz="6" w:space="0" w:color="auto"/>
                      <w:bottom w:val="single" w:sz="4" w:space="0" w:color="auto"/>
                      <w:right w:val="single" w:sz="4" w:space="0" w:color="auto"/>
                    </w:tcBorders>
                  </w:tcPr>
                  <w:p w:rsidR="00864E04" w:rsidRPr="00F12EE7" w:rsidRDefault="008F04CF" w:rsidP="00B637B2">
                    <w:pPr>
                      <w:jc w:val="right"/>
                      <w:rPr>
                        <w:rFonts w:cs="Arial"/>
                        <w:color w:val="000000"/>
                        <w:sz w:val="16"/>
                        <w:szCs w:val="16"/>
                      </w:rPr>
                    </w:pPr>
                    <w:r>
                      <w:rPr>
                        <w:rFonts w:cs="Arial"/>
                        <w:color w:val="000000"/>
                        <w:sz w:val="16"/>
                        <w:szCs w:val="16"/>
                      </w:rPr>
                      <w:t>200,098,278</w:t>
                    </w:r>
                  </w:p>
                </w:tc>
              </w:tr>
            </w:sdtContent>
          </w:sdt>
          <w:sdt>
            <w:sdtPr>
              <w:rPr>
                <w:rFonts w:asciiTheme="minorHAnsi" w:eastAsiaTheme="minorEastAsia" w:hAnsiTheme="minorHAnsi" w:cstheme="minorBidi"/>
                <w:kern w:val="2"/>
                <w:sz w:val="16"/>
                <w:szCs w:val="16"/>
              </w:rPr>
              <w:alias w:val="重要非全资子公司的主要财务信息明细"/>
              <w:tag w:val="_GBC_feef0d2d67a84217a9099e634bb2d3df"/>
              <w:id w:val="1663658534"/>
              <w:lock w:val="sdtLocked"/>
            </w:sdtPr>
            <w:sdtEndPr>
              <w:rPr>
                <w:rFonts w:ascii="宋体" w:eastAsia="宋体" w:hAnsi="宋体"/>
              </w:rPr>
            </w:sdtEndPr>
            <w:sdtContent>
              <w:tr w:rsidR="00B637B2" w:rsidRPr="008F2D31" w:rsidTr="00B637B2">
                <w:tc>
                  <w:tcPr>
                    <w:tcW w:w="392" w:type="pct"/>
                    <w:tcBorders>
                      <w:top w:val="single" w:sz="6" w:space="0" w:color="auto"/>
                      <w:left w:val="single" w:sz="4" w:space="0" w:color="auto"/>
                      <w:bottom w:val="single" w:sz="4" w:space="0" w:color="auto"/>
                      <w:right w:val="single" w:sz="6" w:space="0" w:color="auto"/>
                    </w:tcBorders>
                  </w:tcPr>
                  <w:p w:rsidR="00864E04" w:rsidRPr="00F12EE7" w:rsidRDefault="00864E04" w:rsidP="00864E04">
                    <w:pPr>
                      <w:rPr>
                        <w:sz w:val="16"/>
                        <w:szCs w:val="16"/>
                      </w:rPr>
                    </w:pPr>
                    <w:r w:rsidRPr="00F12EE7">
                      <w:rPr>
                        <w:sz w:val="16"/>
                        <w:szCs w:val="16"/>
                      </w:rPr>
                      <w:t>用友政务</w:t>
                    </w:r>
                  </w:p>
                </w:tc>
                <w:tc>
                  <w:tcPr>
                    <w:tcW w:w="423" w:type="pct"/>
                    <w:tcBorders>
                      <w:top w:val="single" w:sz="6" w:space="0" w:color="auto"/>
                      <w:left w:val="single" w:sz="6" w:space="0" w:color="auto"/>
                      <w:bottom w:val="single" w:sz="4" w:space="0" w:color="auto"/>
                      <w:right w:val="single" w:sz="6" w:space="0" w:color="auto"/>
                    </w:tcBorders>
                  </w:tcPr>
                  <w:p w:rsidR="00864E04" w:rsidRPr="00F12EE7" w:rsidRDefault="00864E04" w:rsidP="00864E04">
                    <w:pPr>
                      <w:rPr>
                        <w:sz w:val="16"/>
                        <w:szCs w:val="16"/>
                      </w:rPr>
                    </w:pPr>
                    <w:r w:rsidRPr="00F12EE7">
                      <w:rPr>
                        <w:sz w:val="16"/>
                        <w:szCs w:val="16"/>
                      </w:rPr>
                      <w:t>867,225,558</w:t>
                    </w:r>
                  </w:p>
                </w:tc>
                <w:tc>
                  <w:tcPr>
                    <w:tcW w:w="376" w:type="pct"/>
                    <w:tcBorders>
                      <w:top w:val="single" w:sz="6" w:space="0" w:color="auto"/>
                      <w:left w:val="single" w:sz="6" w:space="0" w:color="auto"/>
                      <w:bottom w:val="single" w:sz="4" w:space="0" w:color="auto"/>
                      <w:right w:val="single" w:sz="6" w:space="0" w:color="auto"/>
                    </w:tcBorders>
                  </w:tcPr>
                  <w:p w:rsidR="00864E04" w:rsidRPr="00F12EE7" w:rsidRDefault="00864E04" w:rsidP="00864E04">
                    <w:pPr>
                      <w:jc w:val="right"/>
                      <w:rPr>
                        <w:sz w:val="16"/>
                        <w:szCs w:val="16"/>
                      </w:rPr>
                    </w:pPr>
                    <w:r w:rsidRPr="00F12EE7">
                      <w:rPr>
                        <w:sz w:val="16"/>
                        <w:szCs w:val="16"/>
                      </w:rPr>
                      <w:t>355,714,951</w:t>
                    </w:r>
                  </w:p>
                </w:tc>
                <w:tc>
                  <w:tcPr>
                    <w:tcW w:w="423" w:type="pct"/>
                    <w:tcBorders>
                      <w:top w:val="single" w:sz="6" w:space="0" w:color="auto"/>
                      <w:left w:val="single" w:sz="6" w:space="0" w:color="auto"/>
                      <w:bottom w:val="single" w:sz="4" w:space="0" w:color="auto"/>
                      <w:right w:val="single" w:sz="6" w:space="0" w:color="auto"/>
                    </w:tcBorders>
                  </w:tcPr>
                  <w:p w:rsidR="00864E04" w:rsidRPr="00F12EE7" w:rsidRDefault="00864E04" w:rsidP="00864E04">
                    <w:pPr>
                      <w:jc w:val="right"/>
                      <w:rPr>
                        <w:sz w:val="16"/>
                        <w:szCs w:val="16"/>
                      </w:rPr>
                    </w:pPr>
                    <w:r w:rsidRPr="00F12EE7">
                      <w:rPr>
                        <w:sz w:val="16"/>
                        <w:szCs w:val="16"/>
                      </w:rPr>
                      <w:t>1,222,940,509</w:t>
                    </w:r>
                  </w:p>
                </w:tc>
                <w:tc>
                  <w:tcPr>
                    <w:tcW w:w="376" w:type="pct"/>
                    <w:tcBorders>
                      <w:top w:val="single" w:sz="6" w:space="0" w:color="auto"/>
                      <w:left w:val="single" w:sz="6" w:space="0" w:color="auto"/>
                      <w:bottom w:val="single" w:sz="4" w:space="0" w:color="auto"/>
                      <w:right w:val="single" w:sz="6" w:space="0" w:color="auto"/>
                    </w:tcBorders>
                  </w:tcPr>
                  <w:p w:rsidR="00864E04" w:rsidRPr="00F12EE7" w:rsidRDefault="00864E04" w:rsidP="00864E04">
                    <w:pPr>
                      <w:jc w:val="right"/>
                      <w:rPr>
                        <w:sz w:val="16"/>
                        <w:szCs w:val="16"/>
                      </w:rPr>
                    </w:pPr>
                    <w:r w:rsidRPr="00F12EE7">
                      <w:rPr>
                        <w:sz w:val="16"/>
                        <w:szCs w:val="16"/>
                      </w:rPr>
                      <w:t>472,610,701</w:t>
                    </w:r>
                  </w:p>
                </w:tc>
                <w:tc>
                  <w:tcPr>
                    <w:tcW w:w="329" w:type="pct"/>
                    <w:tcBorders>
                      <w:top w:val="single" w:sz="6" w:space="0" w:color="auto"/>
                      <w:left w:val="single" w:sz="6" w:space="0" w:color="auto"/>
                      <w:bottom w:val="single" w:sz="4" w:space="0" w:color="auto"/>
                      <w:right w:val="single" w:sz="6" w:space="0" w:color="auto"/>
                    </w:tcBorders>
                  </w:tcPr>
                  <w:p w:rsidR="00864E04" w:rsidRPr="00F12EE7" w:rsidRDefault="00864E04" w:rsidP="00864E04">
                    <w:pPr>
                      <w:jc w:val="right"/>
                      <w:rPr>
                        <w:sz w:val="16"/>
                        <w:szCs w:val="16"/>
                      </w:rPr>
                    </w:pPr>
                    <w:r w:rsidRPr="00F12EE7">
                      <w:rPr>
                        <w:sz w:val="16"/>
                        <w:szCs w:val="16"/>
                      </w:rPr>
                      <w:t>1,155,800</w:t>
                    </w:r>
                  </w:p>
                </w:tc>
                <w:tc>
                  <w:tcPr>
                    <w:tcW w:w="376" w:type="pct"/>
                    <w:tcBorders>
                      <w:top w:val="single" w:sz="6" w:space="0" w:color="auto"/>
                      <w:left w:val="single" w:sz="6" w:space="0" w:color="auto"/>
                      <w:bottom w:val="single" w:sz="4" w:space="0" w:color="auto"/>
                      <w:right w:val="single" w:sz="6" w:space="0" w:color="auto"/>
                    </w:tcBorders>
                  </w:tcPr>
                  <w:p w:rsidR="00864E04" w:rsidRPr="00F12EE7" w:rsidRDefault="00864E04" w:rsidP="00864E04">
                    <w:pPr>
                      <w:jc w:val="right"/>
                      <w:rPr>
                        <w:sz w:val="16"/>
                        <w:szCs w:val="16"/>
                      </w:rPr>
                    </w:pPr>
                    <w:r w:rsidRPr="00F12EE7">
                      <w:rPr>
                        <w:sz w:val="16"/>
                        <w:szCs w:val="16"/>
                      </w:rPr>
                      <w:t>473,766,501</w:t>
                    </w:r>
                  </w:p>
                </w:tc>
                <w:tc>
                  <w:tcPr>
                    <w:tcW w:w="424" w:type="pct"/>
                    <w:tcBorders>
                      <w:top w:val="single" w:sz="6" w:space="0" w:color="auto"/>
                      <w:left w:val="single" w:sz="6" w:space="0" w:color="auto"/>
                      <w:bottom w:val="single" w:sz="4" w:space="0" w:color="auto"/>
                      <w:right w:val="single" w:sz="6" w:space="0" w:color="auto"/>
                    </w:tcBorders>
                  </w:tcPr>
                  <w:p w:rsidR="005E5CD1" w:rsidRPr="00F12EE7" w:rsidRDefault="005E5CD1" w:rsidP="005E5CD1">
                    <w:pPr>
                      <w:jc w:val="right"/>
                      <w:rPr>
                        <w:rFonts w:cs="Arial"/>
                        <w:color w:val="000000"/>
                        <w:sz w:val="16"/>
                        <w:szCs w:val="16"/>
                      </w:rPr>
                    </w:pPr>
                    <w:r w:rsidRPr="00F12EE7">
                      <w:rPr>
                        <w:rFonts w:cs="Arial"/>
                        <w:color w:val="000000"/>
                        <w:sz w:val="16"/>
                        <w:szCs w:val="16"/>
                      </w:rPr>
                      <w:t>894,850,822</w:t>
                    </w:r>
                  </w:p>
                  <w:p w:rsidR="00864E04" w:rsidRPr="00F12EE7" w:rsidRDefault="00864E04" w:rsidP="00864E04">
                    <w:pPr>
                      <w:jc w:val="right"/>
                      <w:rPr>
                        <w:sz w:val="16"/>
                        <w:szCs w:val="16"/>
                      </w:rPr>
                    </w:pPr>
                  </w:p>
                </w:tc>
                <w:tc>
                  <w:tcPr>
                    <w:tcW w:w="376" w:type="pct"/>
                    <w:tcBorders>
                      <w:top w:val="single" w:sz="6" w:space="0" w:color="auto"/>
                      <w:left w:val="single" w:sz="6" w:space="0" w:color="auto"/>
                      <w:bottom w:val="single" w:sz="4" w:space="0" w:color="auto"/>
                      <w:right w:val="single" w:sz="6" w:space="0" w:color="auto"/>
                    </w:tcBorders>
                  </w:tcPr>
                  <w:p w:rsidR="00864E04" w:rsidRPr="00F12EE7" w:rsidRDefault="008F04CF" w:rsidP="00B637B2">
                    <w:pPr>
                      <w:jc w:val="right"/>
                      <w:rPr>
                        <w:rFonts w:cs="Arial"/>
                        <w:color w:val="000000"/>
                        <w:sz w:val="16"/>
                        <w:szCs w:val="16"/>
                      </w:rPr>
                    </w:pPr>
                    <w:r>
                      <w:rPr>
                        <w:rFonts w:cs="Arial"/>
                        <w:color w:val="000000"/>
                        <w:sz w:val="16"/>
                        <w:szCs w:val="16"/>
                      </w:rPr>
                      <w:t>358,984,618</w:t>
                    </w:r>
                  </w:p>
                </w:tc>
                <w:tc>
                  <w:tcPr>
                    <w:tcW w:w="424" w:type="pct"/>
                    <w:tcBorders>
                      <w:top w:val="single" w:sz="6" w:space="0" w:color="auto"/>
                      <w:left w:val="single" w:sz="6" w:space="0" w:color="auto"/>
                      <w:bottom w:val="single" w:sz="4" w:space="0" w:color="auto"/>
                      <w:right w:val="single" w:sz="6" w:space="0" w:color="auto"/>
                    </w:tcBorders>
                  </w:tcPr>
                  <w:p w:rsidR="00864E04" w:rsidRPr="00F12EE7" w:rsidRDefault="008F04CF" w:rsidP="00B637B2">
                    <w:pPr>
                      <w:jc w:val="right"/>
                      <w:rPr>
                        <w:rFonts w:cs="Arial"/>
                        <w:color w:val="000000"/>
                        <w:sz w:val="16"/>
                        <w:szCs w:val="16"/>
                      </w:rPr>
                    </w:pPr>
                    <w:r>
                      <w:rPr>
                        <w:rFonts w:cs="Arial"/>
                        <w:color w:val="000000"/>
                        <w:sz w:val="16"/>
                        <w:szCs w:val="16"/>
                      </w:rPr>
                      <w:t>1,253,835,440</w:t>
                    </w:r>
                  </w:p>
                </w:tc>
                <w:tc>
                  <w:tcPr>
                    <w:tcW w:w="376" w:type="pct"/>
                    <w:tcBorders>
                      <w:top w:val="single" w:sz="6" w:space="0" w:color="auto"/>
                      <w:left w:val="single" w:sz="6" w:space="0" w:color="auto"/>
                      <w:bottom w:val="single" w:sz="4" w:space="0" w:color="auto"/>
                      <w:right w:val="single" w:sz="6" w:space="0" w:color="auto"/>
                    </w:tcBorders>
                  </w:tcPr>
                  <w:p w:rsidR="00864E04" w:rsidRPr="00F12EE7" w:rsidRDefault="008F04CF" w:rsidP="00B637B2">
                    <w:pPr>
                      <w:jc w:val="right"/>
                      <w:rPr>
                        <w:rFonts w:cs="Arial"/>
                        <w:color w:val="000000"/>
                        <w:sz w:val="16"/>
                        <w:szCs w:val="16"/>
                      </w:rPr>
                    </w:pPr>
                    <w:r>
                      <w:rPr>
                        <w:rFonts w:cs="Arial"/>
                        <w:color w:val="000000"/>
                        <w:sz w:val="16"/>
                        <w:szCs w:val="16"/>
                      </w:rPr>
                      <w:t>497,635,979</w:t>
                    </w:r>
                  </w:p>
                </w:tc>
                <w:tc>
                  <w:tcPr>
                    <w:tcW w:w="329" w:type="pct"/>
                    <w:tcBorders>
                      <w:top w:val="single" w:sz="6" w:space="0" w:color="auto"/>
                      <w:left w:val="single" w:sz="6" w:space="0" w:color="auto"/>
                      <w:bottom w:val="single" w:sz="4" w:space="0" w:color="auto"/>
                      <w:right w:val="single" w:sz="6" w:space="0" w:color="auto"/>
                    </w:tcBorders>
                  </w:tcPr>
                  <w:p w:rsidR="00864E04" w:rsidRPr="00F12EE7" w:rsidRDefault="008F04CF" w:rsidP="00B637B2">
                    <w:pPr>
                      <w:jc w:val="right"/>
                      <w:rPr>
                        <w:rFonts w:cs="Arial"/>
                        <w:color w:val="000000"/>
                        <w:sz w:val="16"/>
                        <w:szCs w:val="16"/>
                      </w:rPr>
                    </w:pPr>
                    <w:r>
                      <w:rPr>
                        <w:rFonts w:cs="Arial"/>
                        <w:color w:val="000000"/>
                        <w:sz w:val="16"/>
                        <w:szCs w:val="16"/>
                      </w:rPr>
                      <w:t>1,155,800</w:t>
                    </w:r>
                  </w:p>
                </w:tc>
                <w:tc>
                  <w:tcPr>
                    <w:tcW w:w="376" w:type="pct"/>
                    <w:tcBorders>
                      <w:top w:val="single" w:sz="6" w:space="0" w:color="auto"/>
                      <w:left w:val="single" w:sz="6" w:space="0" w:color="auto"/>
                      <w:bottom w:val="single" w:sz="4" w:space="0" w:color="auto"/>
                      <w:right w:val="single" w:sz="4" w:space="0" w:color="auto"/>
                    </w:tcBorders>
                  </w:tcPr>
                  <w:p w:rsidR="00864E04" w:rsidRPr="00F12EE7" w:rsidRDefault="008F04CF" w:rsidP="00B637B2">
                    <w:pPr>
                      <w:jc w:val="right"/>
                      <w:rPr>
                        <w:rFonts w:cs="Arial"/>
                        <w:color w:val="000000"/>
                        <w:sz w:val="16"/>
                        <w:szCs w:val="16"/>
                      </w:rPr>
                    </w:pPr>
                    <w:r>
                      <w:rPr>
                        <w:rFonts w:cs="Arial"/>
                        <w:color w:val="000000"/>
                        <w:sz w:val="16"/>
                        <w:szCs w:val="16"/>
                      </w:rPr>
                      <w:t>498,791,779</w:t>
                    </w:r>
                  </w:p>
                </w:tc>
              </w:tr>
            </w:sdtContent>
          </w:sdt>
          <w:sdt>
            <w:sdtPr>
              <w:rPr>
                <w:rFonts w:asciiTheme="minorHAnsi" w:eastAsiaTheme="minorEastAsia" w:hAnsiTheme="minorHAnsi" w:cstheme="minorBidi"/>
                <w:kern w:val="2"/>
                <w:sz w:val="16"/>
                <w:szCs w:val="16"/>
              </w:rPr>
              <w:alias w:val="重要非全资子公司的主要财务信息明细"/>
              <w:tag w:val="_GBC_feef0d2d67a84217a9099e634bb2d3df"/>
              <w:id w:val="-1759448011"/>
              <w:lock w:val="sdtLocked"/>
            </w:sdtPr>
            <w:sdtEndPr>
              <w:rPr>
                <w:rFonts w:ascii="宋体" w:eastAsia="宋体" w:hAnsi="宋体"/>
              </w:rPr>
            </w:sdtEndPr>
            <w:sdtContent>
              <w:tr w:rsidR="00B637B2" w:rsidRPr="008F2D31" w:rsidTr="00B637B2">
                <w:tc>
                  <w:tcPr>
                    <w:tcW w:w="392" w:type="pct"/>
                    <w:tcBorders>
                      <w:top w:val="single" w:sz="6" w:space="0" w:color="auto"/>
                      <w:left w:val="single" w:sz="4" w:space="0" w:color="auto"/>
                      <w:bottom w:val="single" w:sz="4" w:space="0" w:color="auto"/>
                      <w:right w:val="single" w:sz="6" w:space="0" w:color="auto"/>
                    </w:tcBorders>
                  </w:tcPr>
                  <w:p w:rsidR="00864E04" w:rsidRPr="00F12EE7" w:rsidRDefault="00864E04" w:rsidP="00864E04">
                    <w:pPr>
                      <w:rPr>
                        <w:sz w:val="16"/>
                        <w:szCs w:val="16"/>
                      </w:rPr>
                    </w:pPr>
                    <w:r w:rsidRPr="00F12EE7">
                      <w:rPr>
                        <w:sz w:val="16"/>
                        <w:szCs w:val="16"/>
                      </w:rPr>
                      <w:t>用友汽车</w:t>
                    </w:r>
                  </w:p>
                </w:tc>
                <w:tc>
                  <w:tcPr>
                    <w:tcW w:w="423" w:type="pct"/>
                    <w:tcBorders>
                      <w:top w:val="single" w:sz="6" w:space="0" w:color="auto"/>
                      <w:left w:val="single" w:sz="6" w:space="0" w:color="auto"/>
                      <w:bottom w:val="single" w:sz="4" w:space="0" w:color="auto"/>
                      <w:right w:val="single" w:sz="6" w:space="0" w:color="auto"/>
                    </w:tcBorders>
                  </w:tcPr>
                  <w:p w:rsidR="00864E04" w:rsidRPr="00F12EE7" w:rsidRDefault="00864E04" w:rsidP="00864E04">
                    <w:pPr>
                      <w:rPr>
                        <w:sz w:val="16"/>
                        <w:szCs w:val="16"/>
                      </w:rPr>
                    </w:pPr>
                    <w:r w:rsidRPr="00F12EE7">
                      <w:rPr>
                        <w:sz w:val="16"/>
                        <w:szCs w:val="16"/>
                      </w:rPr>
                      <w:t>499,535,555</w:t>
                    </w:r>
                  </w:p>
                </w:tc>
                <w:tc>
                  <w:tcPr>
                    <w:tcW w:w="376" w:type="pct"/>
                    <w:tcBorders>
                      <w:top w:val="single" w:sz="6" w:space="0" w:color="auto"/>
                      <w:left w:val="single" w:sz="6" w:space="0" w:color="auto"/>
                      <w:bottom w:val="single" w:sz="4" w:space="0" w:color="auto"/>
                      <w:right w:val="single" w:sz="6" w:space="0" w:color="auto"/>
                    </w:tcBorders>
                  </w:tcPr>
                  <w:p w:rsidR="00864E04" w:rsidRPr="00F12EE7" w:rsidRDefault="00864E04" w:rsidP="00864E04">
                    <w:pPr>
                      <w:jc w:val="right"/>
                      <w:rPr>
                        <w:sz w:val="16"/>
                        <w:szCs w:val="16"/>
                      </w:rPr>
                    </w:pPr>
                    <w:r w:rsidRPr="00F12EE7">
                      <w:rPr>
                        <w:sz w:val="16"/>
                        <w:szCs w:val="16"/>
                      </w:rPr>
                      <w:t>19,998,650</w:t>
                    </w:r>
                  </w:p>
                </w:tc>
                <w:tc>
                  <w:tcPr>
                    <w:tcW w:w="423" w:type="pct"/>
                    <w:tcBorders>
                      <w:top w:val="single" w:sz="6" w:space="0" w:color="auto"/>
                      <w:left w:val="single" w:sz="6" w:space="0" w:color="auto"/>
                      <w:bottom w:val="single" w:sz="4" w:space="0" w:color="auto"/>
                      <w:right w:val="single" w:sz="6" w:space="0" w:color="auto"/>
                    </w:tcBorders>
                  </w:tcPr>
                  <w:p w:rsidR="00864E04" w:rsidRPr="00F12EE7" w:rsidRDefault="00864E04" w:rsidP="00B637B2">
                    <w:pPr>
                      <w:jc w:val="right"/>
                      <w:rPr>
                        <w:color w:val="000000"/>
                        <w:sz w:val="16"/>
                        <w:szCs w:val="16"/>
                      </w:rPr>
                    </w:pPr>
                    <w:r w:rsidRPr="00F12EE7">
                      <w:rPr>
                        <w:rFonts w:hint="eastAsia"/>
                        <w:color w:val="000000"/>
                        <w:sz w:val="16"/>
                        <w:szCs w:val="16"/>
                      </w:rPr>
                      <w:t>519,534,205</w:t>
                    </w:r>
                  </w:p>
                </w:tc>
                <w:tc>
                  <w:tcPr>
                    <w:tcW w:w="376" w:type="pct"/>
                    <w:tcBorders>
                      <w:top w:val="single" w:sz="6" w:space="0" w:color="auto"/>
                      <w:left w:val="single" w:sz="6" w:space="0" w:color="auto"/>
                      <w:bottom w:val="single" w:sz="4" w:space="0" w:color="auto"/>
                      <w:right w:val="single" w:sz="6" w:space="0" w:color="auto"/>
                    </w:tcBorders>
                  </w:tcPr>
                  <w:p w:rsidR="00864E04" w:rsidRPr="00F12EE7" w:rsidRDefault="00864E04" w:rsidP="00B637B2">
                    <w:pPr>
                      <w:jc w:val="right"/>
                      <w:rPr>
                        <w:color w:val="000000"/>
                        <w:sz w:val="16"/>
                        <w:szCs w:val="16"/>
                      </w:rPr>
                    </w:pPr>
                    <w:r w:rsidRPr="00F12EE7">
                      <w:rPr>
                        <w:rFonts w:hint="eastAsia"/>
                        <w:color w:val="000000"/>
                        <w:sz w:val="16"/>
                        <w:szCs w:val="16"/>
                      </w:rPr>
                      <w:t>127,761,938</w:t>
                    </w:r>
                  </w:p>
                </w:tc>
                <w:tc>
                  <w:tcPr>
                    <w:tcW w:w="329" w:type="pct"/>
                    <w:tcBorders>
                      <w:top w:val="single" w:sz="6" w:space="0" w:color="auto"/>
                      <w:left w:val="single" w:sz="6" w:space="0" w:color="auto"/>
                      <w:bottom w:val="single" w:sz="4" w:space="0" w:color="auto"/>
                      <w:right w:val="single" w:sz="6" w:space="0" w:color="auto"/>
                    </w:tcBorders>
                  </w:tcPr>
                  <w:p w:rsidR="00864E04" w:rsidRPr="00F12EE7" w:rsidRDefault="00F9503D" w:rsidP="00B637B2">
                    <w:pPr>
                      <w:jc w:val="right"/>
                      <w:rPr>
                        <w:color w:val="000000"/>
                        <w:sz w:val="16"/>
                        <w:szCs w:val="16"/>
                      </w:rPr>
                    </w:pPr>
                    <w:r w:rsidRPr="00F12EE7">
                      <w:rPr>
                        <w:rFonts w:hint="eastAsia"/>
                        <w:color w:val="000000"/>
                        <w:sz w:val="16"/>
                        <w:szCs w:val="16"/>
                      </w:rPr>
                      <w:t>1,538,812</w:t>
                    </w:r>
                  </w:p>
                </w:tc>
                <w:tc>
                  <w:tcPr>
                    <w:tcW w:w="376" w:type="pct"/>
                    <w:tcBorders>
                      <w:top w:val="single" w:sz="6" w:space="0" w:color="auto"/>
                      <w:left w:val="single" w:sz="6" w:space="0" w:color="auto"/>
                      <w:bottom w:val="single" w:sz="4" w:space="0" w:color="auto"/>
                      <w:right w:val="single" w:sz="6" w:space="0" w:color="auto"/>
                    </w:tcBorders>
                  </w:tcPr>
                  <w:p w:rsidR="00864E04" w:rsidRPr="00F12EE7" w:rsidRDefault="00F9503D" w:rsidP="00B637B2">
                    <w:pPr>
                      <w:jc w:val="right"/>
                      <w:rPr>
                        <w:color w:val="000000"/>
                        <w:sz w:val="16"/>
                        <w:szCs w:val="16"/>
                      </w:rPr>
                    </w:pPr>
                    <w:r w:rsidRPr="00F12EE7">
                      <w:rPr>
                        <w:rFonts w:hint="eastAsia"/>
                        <w:color w:val="000000"/>
                        <w:sz w:val="16"/>
                        <w:szCs w:val="16"/>
                      </w:rPr>
                      <w:t>129,300,750</w:t>
                    </w:r>
                  </w:p>
                </w:tc>
                <w:tc>
                  <w:tcPr>
                    <w:tcW w:w="424" w:type="pct"/>
                    <w:tcBorders>
                      <w:top w:val="single" w:sz="6" w:space="0" w:color="auto"/>
                      <w:left w:val="single" w:sz="6" w:space="0" w:color="auto"/>
                      <w:bottom w:val="single" w:sz="4" w:space="0" w:color="auto"/>
                      <w:right w:val="single" w:sz="6" w:space="0" w:color="auto"/>
                    </w:tcBorders>
                  </w:tcPr>
                  <w:p w:rsidR="00864E04" w:rsidRPr="00F12EE7" w:rsidRDefault="008F04CF" w:rsidP="00B637B2">
                    <w:pPr>
                      <w:jc w:val="right"/>
                      <w:rPr>
                        <w:rFonts w:cs="Arial"/>
                        <w:color w:val="000000"/>
                        <w:sz w:val="16"/>
                        <w:szCs w:val="16"/>
                      </w:rPr>
                    </w:pPr>
                    <w:r>
                      <w:rPr>
                        <w:rFonts w:cs="Arial"/>
                        <w:color w:val="000000"/>
                        <w:sz w:val="16"/>
                        <w:szCs w:val="16"/>
                      </w:rPr>
                      <w:t>542,713,892</w:t>
                    </w:r>
                  </w:p>
                </w:tc>
                <w:tc>
                  <w:tcPr>
                    <w:tcW w:w="376" w:type="pct"/>
                    <w:tcBorders>
                      <w:top w:val="single" w:sz="6" w:space="0" w:color="auto"/>
                      <w:left w:val="single" w:sz="6" w:space="0" w:color="auto"/>
                      <w:bottom w:val="single" w:sz="4" w:space="0" w:color="auto"/>
                      <w:right w:val="single" w:sz="6" w:space="0" w:color="auto"/>
                    </w:tcBorders>
                  </w:tcPr>
                  <w:p w:rsidR="00864E04" w:rsidRPr="00F12EE7" w:rsidRDefault="008F04CF" w:rsidP="00B637B2">
                    <w:pPr>
                      <w:jc w:val="right"/>
                      <w:rPr>
                        <w:rFonts w:cs="Arial"/>
                        <w:color w:val="000000"/>
                        <w:sz w:val="16"/>
                        <w:szCs w:val="16"/>
                      </w:rPr>
                    </w:pPr>
                    <w:r>
                      <w:rPr>
                        <w:rFonts w:cs="Arial"/>
                        <w:color w:val="000000"/>
                        <w:sz w:val="16"/>
                        <w:szCs w:val="16"/>
                      </w:rPr>
                      <w:t>17,753,407</w:t>
                    </w:r>
                  </w:p>
                </w:tc>
                <w:tc>
                  <w:tcPr>
                    <w:tcW w:w="424" w:type="pct"/>
                    <w:tcBorders>
                      <w:top w:val="single" w:sz="6" w:space="0" w:color="auto"/>
                      <w:left w:val="single" w:sz="6" w:space="0" w:color="auto"/>
                      <w:bottom w:val="single" w:sz="4" w:space="0" w:color="auto"/>
                      <w:right w:val="single" w:sz="6" w:space="0" w:color="auto"/>
                    </w:tcBorders>
                  </w:tcPr>
                  <w:p w:rsidR="00864E04" w:rsidRPr="00F12EE7" w:rsidRDefault="008F04CF" w:rsidP="00B637B2">
                    <w:pPr>
                      <w:jc w:val="right"/>
                      <w:rPr>
                        <w:rFonts w:cs="Arial"/>
                        <w:color w:val="000000"/>
                        <w:sz w:val="16"/>
                        <w:szCs w:val="16"/>
                      </w:rPr>
                    </w:pPr>
                    <w:r>
                      <w:rPr>
                        <w:rFonts w:cs="Arial"/>
                        <w:color w:val="000000"/>
                        <w:sz w:val="16"/>
                        <w:szCs w:val="16"/>
                      </w:rPr>
                      <w:t>560,467,299</w:t>
                    </w:r>
                  </w:p>
                </w:tc>
                <w:tc>
                  <w:tcPr>
                    <w:tcW w:w="376" w:type="pct"/>
                    <w:tcBorders>
                      <w:top w:val="single" w:sz="6" w:space="0" w:color="auto"/>
                      <w:left w:val="single" w:sz="6" w:space="0" w:color="auto"/>
                      <w:bottom w:val="single" w:sz="4" w:space="0" w:color="auto"/>
                      <w:right w:val="single" w:sz="6" w:space="0" w:color="auto"/>
                    </w:tcBorders>
                  </w:tcPr>
                  <w:p w:rsidR="00864E04" w:rsidRPr="00F12EE7" w:rsidRDefault="008F04CF" w:rsidP="00B637B2">
                    <w:pPr>
                      <w:jc w:val="right"/>
                      <w:rPr>
                        <w:rFonts w:cs="Arial"/>
                        <w:color w:val="000000"/>
                        <w:sz w:val="16"/>
                        <w:szCs w:val="16"/>
                      </w:rPr>
                    </w:pPr>
                    <w:r>
                      <w:rPr>
                        <w:rFonts w:cs="Arial"/>
                        <w:color w:val="000000"/>
                        <w:sz w:val="16"/>
                        <w:szCs w:val="16"/>
                      </w:rPr>
                      <w:t>139,931,031</w:t>
                    </w:r>
                  </w:p>
                </w:tc>
                <w:tc>
                  <w:tcPr>
                    <w:tcW w:w="329" w:type="pct"/>
                    <w:tcBorders>
                      <w:top w:val="single" w:sz="6" w:space="0" w:color="auto"/>
                      <w:left w:val="single" w:sz="6" w:space="0" w:color="auto"/>
                      <w:bottom w:val="single" w:sz="4" w:space="0" w:color="auto"/>
                      <w:right w:val="single" w:sz="6" w:space="0" w:color="auto"/>
                    </w:tcBorders>
                  </w:tcPr>
                  <w:p w:rsidR="00864E04" w:rsidRPr="00F12EE7" w:rsidRDefault="008F04CF" w:rsidP="00B637B2">
                    <w:pPr>
                      <w:jc w:val="right"/>
                      <w:rPr>
                        <w:rFonts w:cs="Arial"/>
                        <w:color w:val="000000"/>
                        <w:sz w:val="16"/>
                        <w:szCs w:val="16"/>
                      </w:rPr>
                    </w:pPr>
                    <w:r>
                      <w:rPr>
                        <w:rFonts w:cs="Arial"/>
                        <w:color w:val="000000"/>
                        <w:sz w:val="16"/>
                        <w:szCs w:val="16"/>
                      </w:rPr>
                      <w:t>720,000</w:t>
                    </w:r>
                  </w:p>
                </w:tc>
                <w:tc>
                  <w:tcPr>
                    <w:tcW w:w="376" w:type="pct"/>
                    <w:tcBorders>
                      <w:top w:val="single" w:sz="6" w:space="0" w:color="auto"/>
                      <w:left w:val="single" w:sz="6" w:space="0" w:color="auto"/>
                      <w:bottom w:val="single" w:sz="4" w:space="0" w:color="auto"/>
                      <w:right w:val="single" w:sz="4" w:space="0" w:color="auto"/>
                    </w:tcBorders>
                  </w:tcPr>
                  <w:p w:rsidR="00864E04" w:rsidRPr="00F12EE7" w:rsidRDefault="008F2D31" w:rsidP="00B637B2">
                    <w:pPr>
                      <w:jc w:val="right"/>
                      <w:rPr>
                        <w:rFonts w:cs="Arial"/>
                        <w:color w:val="000000"/>
                        <w:sz w:val="16"/>
                        <w:szCs w:val="16"/>
                      </w:rPr>
                    </w:pPr>
                    <w:r w:rsidRPr="00F12EE7">
                      <w:rPr>
                        <w:rFonts w:cs="Arial"/>
                        <w:color w:val="000000"/>
                        <w:sz w:val="16"/>
                        <w:szCs w:val="16"/>
                      </w:rPr>
                      <w:t>140</w:t>
                    </w:r>
                    <w:r w:rsidR="008F04CF">
                      <w:rPr>
                        <w:rFonts w:cs="Arial"/>
                        <w:color w:val="000000"/>
                        <w:sz w:val="16"/>
                        <w:szCs w:val="16"/>
                      </w:rPr>
                      <w:t>,651,031</w:t>
                    </w:r>
                  </w:p>
                </w:tc>
              </w:tr>
            </w:sdtContent>
          </w:sdt>
          <w:sdt>
            <w:sdtPr>
              <w:rPr>
                <w:rFonts w:asciiTheme="minorHAnsi" w:eastAsiaTheme="minorEastAsia" w:hAnsiTheme="minorHAnsi" w:cstheme="minorBidi"/>
                <w:kern w:val="2"/>
                <w:sz w:val="16"/>
                <w:szCs w:val="16"/>
              </w:rPr>
              <w:alias w:val="重要非全资子公司的主要财务信息明细"/>
              <w:tag w:val="_GBC_feef0d2d67a84217a9099e634bb2d3df"/>
              <w:id w:val="112713190"/>
              <w:lock w:val="sdtLocked"/>
            </w:sdtPr>
            <w:sdtEndPr>
              <w:rPr>
                <w:rFonts w:ascii="宋体" w:eastAsia="宋体" w:hAnsi="宋体"/>
              </w:rPr>
            </w:sdtEndPr>
            <w:sdtContent>
              <w:tr w:rsidR="00B637B2" w:rsidRPr="008F2D31" w:rsidTr="00B637B2">
                <w:tc>
                  <w:tcPr>
                    <w:tcW w:w="392" w:type="pct"/>
                    <w:tcBorders>
                      <w:top w:val="single" w:sz="6" w:space="0" w:color="auto"/>
                      <w:left w:val="single" w:sz="4" w:space="0" w:color="auto"/>
                      <w:bottom w:val="single" w:sz="4" w:space="0" w:color="auto"/>
                      <w:right w:val="single" w:sz="6" w:space="0" w:color="auto"/>
                    </w:tcBorders>
                  </w:tcPr>
                  <w:p w:rsidR="00864E04" w:rsidRPr="00F12EE7" w:rsidRDefault="00864E04" w:rsidP="00864E04">
                    <w:pPr>
                      <w:rPr>
                        <w:sz w:val="16"/>
                        <w:szCs w:val="16"/>
                      </w:rPr>
                    </w:pPr>
                    <w:r w:rsidRPr="00F12EE7">
                      <w:rPr>
                        <w:sz w:val="16"/>
                        <w:szCs w:val="16"/>
                      </w:rPr>
                      <w:t>用友金融</w:t>
                    </w:r>
                  </w:p>
                </w:tc>
                <w:tc>
                  <w:tcPr>
                    <w:tcW w:w="423" w:type="pct"/>
                    <w:tcBorders>
                      <w:top w:val="single" w:sz="6" w:space="0" w:color="auto"/>
                      <w:left w:val="single" w:sz="6" w:space="0" w:color="auto"/>
                      <w:bottom w:val="single" w:sz="4" w:space="0" w:color="auto"/>
                      <w:right w:val="single" w:sz="6" w:space="0" w:color="auto"/>
                    </w:tcBorders>
                  </w:tcPr>
                  <w:p w:rsidR="00864E04" w:rsidRPr="00F12EE7" w:rsidRDefault="00F9503D" w:rsidP="00864E04">
                    <w:pPr>
                      <w:rPr>
                        <w:color w:val="000000"/>
                        <w:sz w:val="16"/>
                        <w:szCs w:val="16"/>
                      </w:rPr>
                    </w:pPr>
                    <w:r w:rsidRPr="00F12EE7">
                      <w:rPr>
                        <w:rFonts w:hint="eastAsia"/>
                        <w:color w:val="000000"/>
                        <w:sz w:val="16"/>
                        <w:szCs w:val="16"/>
                      </w:rPr>
                      <w:t>180,046,932</w:t>
                    </w:r>
                  </w:p>
                </w:tc>
                <w:tc>
                  <w:tcPr>
                    <w:tcW w:w="376" w:type="pct"/>
                    <w:tcBorders>
                      <w:top w:val="single" w:sz="6" w:space="0" w:color="auto"/>
                      <w:left w:val="single" w:sz="6" w:space="0" w:color="auto"/>
                      <w:bottom w:val="single" w:sz="4" w:space="0" w:color="auto"/>
                      <w:right w:val="single" w:sz="6" w:space="0" w:color="auto"/>
                    </w:tcBorders>
                  </w:tcPr>
                  <w:p w:rsidR="00864E04" w:rsidRPr="00F12EE7" w:rsidRDefault="00F9503D" w:rsidP="00B637B2">
                    <w:pPr>
                      <w:jc w:val="right"/>
                      <w:rPr>
                        <w:color w:val="000000"/>
                        <w:sz w:val="16"/>
                        <w:szCs w:val="16"/>
                      </w:rPr>
                    </w:pPr>
                    <w:r w:rsidRPr="00F12EE7">
                      <w:rPr>
                        <w:rFonts w:hint="eastAsia"/>
                        <w:color w:val="000000"/>
                        <w:sz w:val="16"/>
                        <w:szCs w:val="16"/>
                      </w:rPr>
                      <w:t>86,619,889</w:t>
                    </w:r>
                  </w:p>
                </w:tc>
                <w:tc>
                  <w:tcPr>
                    <w:tcW w:w="423" w:type="pct"/>
                    <w:tcBorders>
                      <w:top w:val="single" w:sz="6" w:space="0" w:color="auto"/>
                      <w:left w:val="single" w:sz="6" w:space="0" w:color="auto"/>
                      <w:bottom w:val="single" w:sz="4" w:space="0" w:color="auto"/>
                      <w:right w:val="single" w:sz="6" w:space="0" w:color="auto"/>
                    </w:tcBorders>
                  </w:tcPr>
                  <w:p w:rsidR="00864E04" w:rsidRPr="00F12EE7" w:rsidRDefault="00F9503D" w:rsidP="00B637B2">
                    <w:pPr>
                      <w:jc w:val="right"/>
                      <w:rPr>
                        <w:color w:val="000000"/>
                        <w:sz w:val="16"/>
                        <w:szCs w:val="16"/>
                      </w:rPr>
                    </w:pPr>
                    <w:r w:rsidRPr="00F12EE7">
                      <w:rPr>
                        <w:rFonts w:hint="eastAsia"/>
                        <w:color w:val="000000"/>
                        <w:sz w:val="16"/>
                        <w:szCs w:val="16"/>
                      </w:rPr>
                      <w:t>266,666,821</w:t>
                    </w:r>
                  </w:p>
                </w:tc>
                <w:tc>
                  <w:tcPr>
                    <w:tcW w:w="376" w:type="pct"/>
                    <w:tcBorders>
                      <w:top w:val="single" w:sz="6" w:space="0" w:color="auto"/>
                      <w:left w:val="single" w:sz="6" w:space="0" w:color="auto"/>
                      <w:bottom w:val="single" w:sz="4" w:space="0" w:color="auto"/>
                      <w:right w:val="single" w:sz="6" w:space="0" w:color="auto"/>
                    </w:tcBorders>
                  </w:tcPr>
                  <w:p w:rsidR="00864E04" w:rsidRPr="00F12EE7" w:rsidRDefault="00F9503D" w:rsidP="00B637B2">
                    <w:pPr>
                      <w:jc w:val="right"/>
                      <w:rPr>
                        <w:color w:val="000000"/>
                        <w:sz w:val="16"/>
                        <w:szCs w:val="16"/>
                      </w:rPr>
                    </w:pPr>
                    <w:r w:rsidRPr="00F12EE7">
                      <w:rPr>
                        <w:rFonts w:hint="eastAsia"/>
                        <w:color w:val="000000"/>
                        <w:sz w:val="16"/>
                        <w:szCs w:val="16"/>
                      </w:rPr>
                      <w:t>82,350,876</w:t>
                    </w:r>
                  </w:p>
                </w:tc>
                <w:tc>
                  <w:tcPr>
                    <w:tcW w:w="329" w:type="pct"/>
                    <w:tcBorders>
                      <w:top w:val="single" w:sz="6" w:space="0" w:color="auto"/>
                      <w:left w:val="single" w:sz="6" w:space="0" w:color="auto"/>
                      <w:bottom w:val="single" w:sz="4" w:space="0" w:color="auto"/>
                      <w:right w:val="single" w:sz="6" w:space="0" w:color="auto"/>
                    </w:tcBorders>
                  </w:tcPr>
                  <w:p w:rsidR="00864E04" w:rsidRPr="00F12EE7" w:rsidRDefault="00F9503D" w:rsidP="00B637B2">
                    <w:pPr>
                      <w:jc w:val="right"/>
                      <w:rPr>
                        <w:color w:val="000000"/>
                        <w:sz w:val="16"/>
                        <w:szCs w:val="16"/>
                      </w:rPr>
                    </w:pPr>
                    <w:r w:rsidRPr="00F12EE7">
                      <w:rPr>
                        <w:rFonts w:hint="eastAsia"/>
                        <w:color w:val="000000"/>
                        <w:sz w:val="16"/>
                        <w:szCs w:val="16"/>
                      </w:rPr>
                      <w:t>257,793</w:t>
                    </w:r>
                  </w:p>
                </w:tc>
                <w:tc>
                  <w:tcPr>
                    <w:tcW w:w="376" w:type="pct"/>
                    <w:tcBorders>
                      <w:top w:val="single" w:sz="6" w:space="0" w:color="auto"/>
                      <w:left w:val="single" w:sz="6" w:space="0" w:color="auto"/>
                      <w:bottom w:val="single" w:sz="4" w:space="0" w:color="auto"/>
                      <w:right w:val="single" w:sz="6" w:space="0" w:color="auto"/>
                    </w:tcBorders>
                  </w:tcPr>
                  <w:p w:rsidR="00864E04" w:rsidRPr="00F12EE7" w:rsidRDefault="00F9503D" w:rsidP="00B637B2">
                    <w:pPr>
                      <w:jc w:val="right"/>
                      <w:rPr>
                        <w:color w:val="000000"/>
                        <w:sz w:val="16"/>
                        <w:szCs w:val="16"/>
                      </w:rPr>
                    </w:pPr>
                    <w:r w:rsidRPr="00F12EE7">
                      <w:rPr>
                        <w:rFonts w:hint="eastAsia"/>
                        <w:color w:val="000000"/>
                        <w:sz w:val="16"/>
                        <w:szCs w:val="16"/>
                      </w:rPr>
                      <w:t>82,608,669</w:t>
                    </w:r>
                  </w:p>
                </w:tc>
                <w:tc>
                  <w:tcPr>
                    <w:tcW w:w="424" w:type="pct"/>
                    <w:tcBorders>
                      <w:top w:val="single" w:sz="6" w:space="0" w:color="auto"/>
                      <w:left w:val="single" w:sz="6" w:space="0" w:color="auto"/>
                      <w:bottom w:val="single" w:sz="4" w:space="0" w:color="auto"/>
                      <w:right w:val="single" w:sz="6" w:space="0" w:color="auto"/>
                    </w:tcBorders>
                  </w:tcPr>
                  <w:p w:rsidR="00864E04" w:rsidRPr="00F12EE7" w:rsidRDefault="008F04CF" w:rsidP="00B637B2">
                    <w:pPr>
                      <w:jc w:val="right"/>
                      <w:rPr>
                        <w:rFonts w:cs="Arial"/>
                        <w:color w:val="000000"/>
                        <w:sz w:val="16"/>
                        <w:szCs w:val="16"/>
                      </w:rPr>
                    </w:pPr>
                    <w:r>
                      <w:rPr>
                        <w:rFonts w:cs="Arial"/>
                        <w:color w:val="000000"/>
                        <w:sz w:val="16"/>
                        <w:szCs w:val="16"/>
                      </w:rPr>
                      <w:t>213,364,525</w:t>
                    </w:r>
                  </w:p>
                </w:tc>
                <w:tc>
                  <w:tcPr>
                    <w:tcW w:w="376" w:type="pct"/>
                    <w:tcBorders>
                      <w:top w:val="single" w:sz="6" w:space="0" w:color="auto"/>
                      <w:left w:val="single" w:sz="6" w:space="0" w:color="auto"/>
                      <w:bottom w:val="single" w:sz="4" w:space="0" w:color="auto"/>
                      <w:right w:val="single" w:sz="6" w:space="0" w:color="auto"/>
                    </w:tcBorders>
                  </w:tcPr>
                  <w:p w:rsidR="00864E04" w:rsidRPr="00F12EE7" w:rsidRDefault="008F04CF" w:rsidP="00B637B2">
                    <w:pPr>
                      <w:jc w:val="right"/>
                      <w:rPr>
                        <w:rFonts w:cs="Arial"/>
                        <w:color w:val="000000"/>
                        <w:sz w:val="16"/>
                        <w:szCs w:val="16"/>
                      </w:rPr>
                    </w:pPr>
                    <w:r>
                      <w:rPr>
                        <w:rFonts w:cs="Arial"/>
                        <w:color w:val="000000"/>
                        <w:sz w:val="16"/>
                        <w:szCs w:val="16"/>
                      </w:rPr>
                      <w:t>89,145,804</w:t>
                    </w:r>
                  </w:p>
                </w:tc>
                <w:tc>
                  <w:tcPr>
                    <w:tcW w:w="424" w:type="pct"/>
                    <w:tcBorders>
                      <w:top w:val="single" w:sz="6" w:space="0" w:color="auto"/>
                      <w:left w:val="single" w:sz="6" w:space="0" w:color="auto"/>
                      <w:bottom w:val="single" w:sz="4" w:space="0" w:color="auto"/>
                      <w:right w:val="single" w:sz="6" w:space="0" w:color="auto"/>
                    </w:tcBorders>
                  </w:tcPr>
                  <w:p w:rsidR="00864E04" w:rsidRPr="00F12EE7" w:rsidRDefault="008F04CF" w:rsidP="00B637B2">
                    <w:pPr>
                      <w:jc w:val="right"/>
                      <w:rPr>
                        <w:rFonts w:cs="Arial"/>
                        <w:color w:val="000000"/>
                        <w:sz w:val="16"/>
                        <w:szCs w:val="16"/>
                      </w:rPr>
                    </w:pPr>
                    <w:r>
                      <w:rPr>
                        <w:rFonts w:cs="Arial"/>
                        <w:color w:val="000000"/>
                        <w:sz w:val="16"/>
                        <w:szCs w:val="16"/>
                      </w:rPr>
                      <w:t>302,510,329</w:t>
                    </w:r>
                  </w:p>
                </w:tc>
                <w:tc>
                  <w:tcPr>
                    <w:tcW w:w="376" w:type="pct"/>
                    <w:tcBorders>
                      <w:top w:val="single" w:sz="6" w:space="0" w:color="auto"/>
                      <w:left w:val="single" w:sz="6" w:space="0" w:color="auto"/>
                      <w:bottom w:val="single" w:sz="4" w:space="0" w:color="auto"/>
                      <w:right w:val="single" w:sz="6" w:space="0" w:color="auto"/>
                    </w:tcBorders>
                  </w:tcPr>
                  <w:p w:rsidR="00864E04" w:rsidRPr="00F12EE7" w:rsidRDefault="008F04CF" w:rsidP="00B637B2">
                    <w:pPr>
                      <w:jc w:val="right"/>
                      <w:rPr>
                        <w:rFonts w:cs="Arial"/>
                        <w:color w:val="000000"/>
                        <w:sz w:val="16"/>
                        <w:szCs w:val="16"/>
                      </w:rPr>
                    </w:pPr>
                    <w:r>
                      <w:rPr>
                        <w:rFonts w:cs="Arial"/>
                        <w:color w:val="000000"/>
                        <w:sz w:val="16"/>
                        <w:szCs w:val="16"/>
                      </w:rPr>
                      <w:t>82,287,256</w:t>
                    </w:r>
                  </w:p>
                </w:tc>
                <w:tc>
                  <w:tcPr>
                    <w:tcW w:w="329" w:type="pct"/>
                    <w:tcBorders>
                      <w:top w:val="single" w:sz="6" w:space="0" w:color="auto"/>
                      <w:left w:val="single" w:sz="6" w:space="0" w:color="auto"/>
                      <w:bottom w:val="single" w:sz="4" w:space="0" w:color="auto"/>
                      <w:right w:val="single" w:sz="6" w:space="0" w:color="auto"/>
                    </w:tcBorders>
                  </w:tcPr>
                  <w:p w:rsidR="00864E04" w:rsidRPr="00F12EE7" w:rsidRDefault="00864E04" w:rsidP="00864E04">
                    <w:pPr>
                      <w:jc w:val="right"/>
                      <w:rPr>
                        <w:sz w:val="16"/>
                        <w:szCs w:val="16"/>
                      </w:rPr>
                    </w:pPr>
                  </w:p>
                </w:tc>
                <w:tc>
                  <w:tcPr>
                    <w:tcW w:w="376" w:type="pct"/>
                    <w:tcBorders>
                      <w:top w:val="single" w:sz="6" w:space="0" w:color="auto"/>
                      <w:left w:val="single" w:sz="6" w:space="0" w:color="auto"/>
                      <w:bottom w:val="single" w:sz="4" w:space="0" w:color="auto"/>
                      <w:right w:val="single" w:sz="4" w:space="0" w:color="auto"/>
                    </w:tcBorders>
                  </w:tcPr>
                  <w:p w:rsidR="00864E04" w:rsidRPr="00F12EE7" w:rsidRDefault="008F04CF" w:rsidP="00B637B2">
                    <w:pPr>
                      <w:jc w:val="right"/>
                      <w:rPr>
                        <w:rFonts w:cs="Arial"/>
                        <w:color w:val="000000"/>
                        <w:sz w:val="16"/>
                        <w:szCs w:val="16"/>
                      </w:rPr>
                    </w:pPr>
                    <w:r>
                      <w:rPr>
                        <w:rFonts w:cs="Arial"/>
                        <w:color w:val="000000"/>
                        <w:sz w:val="16"/>
                        <w:szCs w:val="16"/>
                      </w:rPr>
                      <w:t>82,287,256</w:t>
                    </w:r>
                  </w:p>
                </w:tc>
              </w:tr>
            </w:sdtContent>
          </w:sdt>
          <w:sdt>
            <w:sdtPr>
              <w:rPr>
                <w:rFonts w:asciiTheme="minorHAnsi" w:eastAsiaTheme="minorEastAsia" w:hAnsiTheme="minorHAnsi" w:cstheme="minorBidi"/>
                <w:kern w:val="2"/>
                <w:sz w:val="16"/>
                <w:szCs w:val="16"/>
              </w:rPr>
              <w:alias w:val="重要非全资子公司的主要财务信息明细"/>
              <w:tag w:val="_GBC_feef0d2d67a84217a9099e634bb2d3df"/>
              <w:id w:val="745695632"/>
              <w:lock w:val="sdtLocked"/>
            </w:sdtPr>
            <w:sdtEndPr>
              <w:rPr>
                <w:rFonts w:ascii="宋体" w:eastAsia="宋体" w:hAnsi="宋体"/>
              </w:rPr>
            </w:sdtEndPr>
            <w:sdtContent>
              <w:tr w:rsidR="00B637B2" w:rsidRPr="008F2D31" w:rsidTr="00B637B2">
                <w:tc>
                  <w:tcPr>
                    <w:tcW w:w="392" w:type="pct"/>
                    <w:tcBorders>
                      <w:top w:val="single" w:sz="6" w:space="0" w:color="auto"/>
                      <w:left w:val="single" w:sz="4" w:space="0" w:color="auto"/>
                      <w:bottom w:val="single" w:sz="4" w:space="0" w:color="auto"/>
                      <w:right w:val="single" w:sz="6" w:space="0" w:color="auto"/>
                    </w:tcBorders>
                  </w:tcPr>
                  <w:p w:rsidR="00864E04" w:rsidRPr="00F12EE7" w:rsidRDefault="00864E04" w:rsidP="00864E04">
                    <w:pPr>
                      <w:rPr>
                        <w:sz w:val="16"/>
                        <w:szCs w:val="16"/>
                      </w:rPr>
                    </w:pPr>
                    <w:r w:rsidRPr="00F12EE7">
                      <w:rPr>
                        <w:sz w:val="16"/>
                        <w:szCs w:val="16"/>
                      </w:rPr>
                      <w:t>新道科技</w:t>
                    </w:r>
                  </w:p>
                </w:tc>
                <w:tc>
                  <w:tcPr>
                    <w:tcW w:w="423" w:type="pct"/>
                    <w:tcBorders>
                      <w:top w:val="single" w:sz="6" w:space="0" w:color="auto"/>
                      <w:left w:val="single" w:sz="6" w:space="0" w:color="auto"/>
                      <w:bottom w:val="single" w:sz="4" w:space="0" w:color="auto"/>
                      <w:right w:val="single" w:sz="6" w:space="0" w:color="auto"/>
                    </w:tcBorders>
                  </w:tcPr>
                  <w:p w:rsidR="00864E04" w:rsidRPr="00F12EE7" w:rsidRDefault="00F9503D" w:rsidP="00864E04">
                    <w:pPr>
                      <w:rPr>
                        <w:color w:val="000000"/>
                        <w:sz w:val="16"/>
                        <w:szCs w:val="16"/>
                      </w:rPr>
                    </w:pPr>
                    <w:r w:rsidRPr="00F12EE7">
                      <w:rPr>
                        <w:rFonts w:hint="eastAsia"/>
                        <w:color w:val="000000"/>
                        <w:sz w:val="16"/>
                        <w:szCs w:val="16"/>
                      </w:rPr>
                      <w:t>454,869,309</w:t>
                    </w:r>
                  </w:p>
                </w:tc>
                <w:tc>
                  <w:tcPr>
                    <w:tcW w:w="376" w:type="pct"/>
                    <w:tcBorders>
                      <w:top w:val="single" w:sz="6" w:space="0" w:color="auto"/>
                      <w:left w:val="single" w:sz="6" w:space="0" w:color="auto"/>
                      <w:bottom w:val="single" w:sz="4" w:space="0" w:color="auto"/>
                      <w:right w:val="single" w:sz="6" w:space="0" w:color="auto"/>
                    </w:tcBorders>
                  </w:tcPr>
                  <w:p w:rsidR="00864E04" w:rsidRPr="00F12EE7" w:rsidRDefault="00F9503D" w:rsidP="00B637B2">
                    <w:pPr>
                      <w:jc w:val="right"/>
                      <w:rPr>
                        <w:color w:val="000000"/>
                        <w:sz w:val="16"/>
                        <w:szCs w:val="16"/>
                      </w:rPr>
                    </w:pPr>
                    <w:r w:rsidRPr="00F12EE7">
                      <w:rPr>
                        <w:rFonts w:hint="eastAsia"/>
                        <w:color w:val="000000"/>
                        <w:sz w:val="16"/>
                        <w:szCs w:val="16"/>
                      </w:rPr>
                      <w:t>73, 417,759</w:t>
                    </w:r>
                  </w:p>
                </w:tc>
                <w:tc>
                  <w:tcPr>
                    <w:tcW w:w="423" w:type="pct"/>
                    <w:tcBorders>
                      <w:top w:val="single" w:sz="6" w:space="0" w:color="auto"/>
                      <w:left w:val="single" w:sz="6" w:space="0" w:color="auto"/>
                      <w:bottom w:val="single" w:sz="4" w:space="0" w:color="auto"/>
                      <w:right w:val="single" w:sz="6" w:space="0" w:color="auto"/>
                    </w:tcBorders>
                  </w:tcPr>
                  <w:p w:rsidR="00864E04" w:rsidRPr="00F12EE7" w:rsidRDefault="00F9503D" w:rsidP="00B637B2">
                    <w:pPr>
                      <w:jc w:val="right"/>
                      <w:rPr>
                        <w:color w:val="000000"/>
                        <w:sz w:val="16"/>
                        <w:szCs w:val="16"/>
                      </w:rPr>
                    </w:pPr>
                    <w:r w:rsidRPr="00F12EE7">
                      <w:rPr>
                        <w:rFonts w:hint="eastAsia"/>
                        <w:color w:val="000000"/>
                        <w:sz w:val="16"/>
                        <w:szCs w:val="16"/>
                      </w:rPr>
                      <w:t>528,287,068</w:t>
                    </w:r>
                  </w:p>
                </w:tc>
                <w:tc>
                  <w:tcPr>
                    <w:tcW w:w="376" w:type="pct"/>
                    <w:tcBorders>
                      <w:top w:val="single" w:sz="6" w:space="0" w:color="auto"/>
                      <w:left w:val="single" w:sz="6" w:space="0" w:color="auto"/>
                      <w:bottom w:val="single" w:sz="4" w:space="0" w:color="auto"/>
                      <w:right w:val="single" w:sz="6" w:space="0" w:color="auto"/>
                    </w:tcBorders>
                  </w:tcPr>
                  <w:p w:rsidR="00864E04" w:rsidRPr="00F12EE7" w:rsidRDefault="00F9503D" w:rsidP="00B637B2">
                    <w:pPr>
                      <w:jc w:val="right"/>
                      <w:rPr>
                        <w:color w:val="000000"/>
                        <w:sz w:val="16"/>
                        <w:szCs w:val="16"/>
                      </w:rPr>
                    </w:pPr>
                    <w:r w:rsidRPr="00F12EE7">
                      <w:rPr>
                        <w:rFonts w:hint="eastAsia"/>
                        <w:color w:val="000000"/>
                        <w:sz w:val="16"/>
                        <w:szCs w:val="16"/>
                      </w:rPr>
                      <w:t>117,953,618</w:t>
                    </w:r>
                  </w:p>
                </w:tc>
                <w:tc>
                  <w:tcPr>
                    <w:tcW w:w="329" w:type="pct"/>
                    <w:tcBorders>
                      <w:top w:val="single" w:sz="6" w:space="0" w:color="auto"/>
                      <w:left w:val="single" w:sz="6" w:space="0" w:color="auto"/>
                      <w:bottom w:val="single" w:sz="4" w:space="0" w:color="auto"/>
                      <w:right w:val="single" w:sz="6" w:space="0" w:color="auto"/>
                    </w:tcBorders>
                  </w:tcPr>
                  <w:p w:rsidR="00864E04" w:rsidRPr="00F12EE7" w:rsidRDefault="00F9503D" w:rsidP="00B637B2">
                    <w:pPr>
                      <w:jc w:val="right"/>
                      <w:rPr>
                        <w:color w:val="000000"/>
                        <w:sz w:val="16"/>
                        <w:szCs w:val="16"/>
                      </w:rPr>
                    </w:pPr>
                    <w:r w:rsidRPr="00F12EE7">
                      <w:rPr>
                        <w:rFonts w:hint="eastAsia"/>
                        <w:color w:val="000000"/>
                        <w:sz w:val="16"/>
                        <w:szCs w:val="16"/>
                      </w:rPr>
                      <w:t>1,624,659</w:t>
                    </w:r>
                  </w:p>
                </w:tc>
                <w:tc>
                  <w:tcPr>
                    <w:tcW w:w="376" w:type="pct"/>
                    <w:tcBorders>
                      <w:top w:val="single" w:sz="6" w:space="0" w:color="auto"/>
                      <w:left w:val="single" w:sz="6" w:space="0" w:color="auto"/>
                      <w:bottom w:val="single" w:sz="4" w:space="0" w:color="auto"/>
                      <w:right w:val="single" w:sz="6" w:space="0" w:color="auto"/>
                    </w:tcBorders>
                  </w:tcPr>
                  <w:p w:rsidR="00864E04" w:rsidRPr="00F12EE7" w:rsidRDefault="00F9503D" w:rsidP="00B637B2">
                    <w:pPr>
                      <w:jc w:val="right"/>
                      <w:rPr>
                        <w:color w:val="000000"/>
                        <w:sz w:val="16"/>
                        <w:szCs w:val="16"/>
                      </w:rPr>
                    </w:pPr>
                    <w:r w:rsidRPr="00F12EE7">
                      <w:rPr>
                        <w:rFonts w:hint="eastAsia"/>
                        <w:color w:val="000000"/>
                        <w:sz w:val="16"/>
                        <w:szCs w:val="16"/>
                      </w:rPr>
                      <w:t>119,578,277</w:t>
                    </w:r>
                  </w:p>
                </w:tc>
                <w:tc>
                  <w:tcPr>
                    <w:tcW w:w="424" w:type="pct"/>
                    <w:tcBorders>
                      <w:top w:val="single" w:sz="6" w:space="0" w:color="auto"/>
                      <w:left w:val="single" w:sz="6" w:space="0" w:color="auto"/>
                      <w:bottom w:val="single" w:sz="4" w:space="0" w:color="auto"/>
                      <w:right w:val="single" w:sz="6" w:space="0" w:color="auto"/>
                    </w:tcBorders>
                  </w:tcPr>
                  <w:p w:rsidR="00864E04" w:rsidRPr="00F12EE7" w:rsidRDefault="008F04CF" w:rsidP="00B637B2">
                    <w:pPr>
                      <w:jc w:val="right"/>
                      <w:rPr>
                        <w:rFonts w:cs="Arial"/>
                        <w:color w:val="000000"/>
                        <w:sz w:val="16"/>
                        <w:szCs w:val="16"/>
                      </w:rPr>
                    </w:pPr>
                    <w:r>
                      <w:rPr>
                        <w:rFonts w:cs="Arial"/>
                        <w:color w:val="000000"/>
                        <w:sz w:val="16"/>
                        <w:szCs w:val="16"/>
                      </w:rPr>
                      <w:t>586,045,059</w:t>
                    </w:r>
                  </w:p>
                </w:tc>
                <w:tc>
                  <w:tcPr>
                    <w:tcW w:w="376" w:type="pct"/>
                    <w:tcBorders>
                      <w:top w:val="single" w:sz="6" w:space="0" w:color="auto"/>
                      <w:left w:val="single" w:sz="6" w:space="0" w:color="auto"/>
                      <w:bottom w:val="single" w:sz="4" w:space="0" w:color="auto"/>
                      <w:right w:val="single" w:sz="6" w:space="0" w:color="auto"/>
                    </w:tcBorders>
                  </w:tcPr>
                  <w:p w:rsidR="00864E04" w:rsidRPr="00F12EE7" w:rsidRDefault="008F2D31" w:rsidP="00B637B2">
                    <w:pPr>
                      <w:jc w:val="right"/>
                      <w:rPr>
                        <w:rFonts w:cs="Arial"/>
                        <w:color w:val="000000"/>
                        <w:sz w:val="16"/>
                        <w:szCs w:val="16"/>
                      </w:rPr>
                    </w:pPr>
                    <w:r w:rsidRPr="00F12EE7">
                      <w:rPr>
                        <w:rFonts w:cs="Arial"/>
                        <w:color w:val="000000"/>
                        <w:sz w:val="16"/>
                        <w:szCs w:val="16"/>
                      </w:rPr>
                      <w:t>65,98</w:t>
                    </w:r>
                    <w:r w:rsidR="008F04CF">
                      <w:rPr>
                        <w:rFonts w:cs="Arial"/>
                        <w:color w:val="000000"/>
                        <w:sz w:val="16"/>
                        <w:szCs w:val="16"/>
                      </w:rPr>
                      <w:t>3,967</w:t>
                    </w:r>
                  </w:p>
                </w:tc>
                <w:tc>
                  <w:tcPr>
                    <w:tcW w:w="424" w:type="pct"/>
                    <w:tcBorders>
                      <w:top w:val="single" w:sz="6" w:space="0" w:color="auto"/>
                      <w:left w:val="single" w:sz="6" w:space="0" w:color="auto"/>
                      <w:bottom w:val="single" w:sz="4" w:space="0" w:color="auto"/>
                      <w:right w:val="single" w:sz="6" w:space="0" w:color="auto"/>
                    </w:tcBorders>
                  </w:tcPr>
                  <w:p w:rsidR="00864E04" w:rsidRPr="00F12EE7" w:rsidRDefault="008F04CF" w:rsidP="00B637B2">
                    <w:pPr>
                      <w:jc w:val="right"/>
                      <w:rPr>
                        <w:rFonts w:cs="Arial"/>
                        <w:color w:val="000000"/>
                        <w:sz w:val="16"/>
                        <w:szCs w:val="16"/>
                      </w:rPr>
                    </w:pPr>
                    <w:r>
                      <w:rPr>
                        <w:rFonts w:cs="Arial"/>
                        <w:color w:val="000000"/>
                        <w:sz w:val="16"/>
                        <w:szCs w:val="16"/>
                      </w:rPr>
                      <w:t>652,029,026</w:t>
                    </w:r>
                  </w:p>
                </w:tc>
                <w:tc>
                  <w:tcPr>
                    <w:tcW w:w="376" w:type="pct"/>
                    <w:tcBorders>
                      <w:top w:val="single" w:sz="6" w:space="0" w:color="auto"/>
                      <w:left w:val="single" w:sz="6" w:space="0" w:color="auto"/>
                      <w:bottom w:val="single" w:sz="4" w:space="0" w:color="auto"/>
                      <w:right w:val="single" w:sz="6" w:space="0" w:color="auto"/>
                    </w:tcBorders>
                  </w:tcPr>
                  <w:p w:rsidR="00864E04" w:rsidRPr="00F12EE7" w:rsidRDefault="008F04CF" w:rsidP="00B637B2">
                    <w:pPr>
                      <w:jc w:val="right"/>
                      <w:rPr>
                        <w:rFonts w:cs="Arial"/>
                        <w:color w:val="000000"/>
                        <w:sz w:val="16"/>
                        <w:szCs w:val="16"/>
                      </w:rPr>
                    </w:pPr>
                    <w:r>
                      <w:rPr>
                        <w:rFonts w:cs="Arial"/>
                        <w:color w:val="000000"/>
                        <w:sz w:val="16"/>
                        <w:szCs w:val="16"/>
                      </w:rPr>
                      <w:t>175,469,567</w:t>
                    </w:r>
                  </w:p>
                </w:tc>
                <w:tc>
                  <w:tcPr>
                    <w:tcW w:w="329" w:type="pct"/>
                    <w:tcBorders>
                      <w:top w:val="single" w:sz="6" w:space="0" w:color="auto"/>
                      <w:left w:val="single" w:sz="6" w:space="0" w:color="auto"/>
                      <w:bottom w:val="single" w:sz="4" w:space="0" w:color="auto"/>
                      <w:right w:val="single" w:sz="6" w:space="0" w:color="auto"/>
                    </w:tcBorders>
                  </w:tcPr>
                  <w:p w:rsidR="00864E04" w:rsidRPr="00F12EE7" w:rsidRDefault="008F04CF" w:rsidP="00B637B2">
                    <w:pPr>
                      <w:jc w:val="right"/>
                      <w:rPr>
                        <w:rFonts w:cs="Arial"/>
                        <w:color w:val="000000"/>
                        <w:sz w:val="16"/>
                        <w:szCs w:val="16"/>
                      </w:rPr>
                    </w:pPr>
                    <w:r>
                      <w:rPr>
                        <w:rFonts w:cs="Arial"/>
                        <w:color w:val="000000"/>
                        <w:sz w:val="16"/>
                        <w:szCs w:val="16"/>
                      </w:rPr>
                      <w:t>210,417</w:t>
                    </w:r>
                  </w:p>
                </w:tc>
                <w:tc>
                  <w:tcPr>
                    <w:tcW w:w="376" w:type="pct"/>
                    <w:tcBorders>
                      <w:top w:val="single" w:sz="6" w:space="0" w:color="auto"/>
                      <w:left w:val="single" w:sz="6" w:space="0" w:color="auto"/>
                      <w:bottom w:val="single" w:sz="4" w:space="0" w:color="auto"/>
                      <w:right w:val="single" w:sz="4" w:space="0" w:color="auto"/>
                    </w:tcBorders>
                  </w:tcPr>
                  <w:p w:rsidR="00864E04" w:rsidRPr="00F12EE7" w:rsidRDefault="008F04CF" w:rsidP="00B637B2">
                    <w:pPr>
                      <w:jc w:val="right"/>
                      <w:rPr>
                        <w:rFonts w:cs="Arial"/>
                        <w:color w:val="000000"/>
                        <w:sz w:val="16"/>
                        <w:szCs w:val="16"/>
                      </w:rPr>
                    </w:pPr>
                    <w:r>
                      <w:rPr>
                        <w:rFonts w:cs="Arial"/>
                        <w:color w:val="000000"/>
                        <w:sz w:val="16"/>
                        <w:szCs w:val="16"/>
                      </w:rPr>
                      <w:t>175,679,984</w:t>
                    </w:r>
                  </w:p>
                </w:tc>
              </w:tr>
            </w:sdtContent>
          </w:sdt>
        </w:tbl>
        <w:p w:rsidR="00720204" w:rsidRDefault="00720204"/>
        <w:p w:rsidR="00720204" w:rsidRDefault="00720204">
          <w:pPr>
            <w:rPr>
              <w:rFonts w:cs="Arial"/>
              <w:szCs w:val="21"/>
            </w:rPr>
          </w:pPr>
        </w:p>
        <w:tbl>
          <w:tblPr>
            <w:tblStyle w:val="g38"/>
            <w:tblW w:w="5601" w:type="pct"/>
            <w:tblInd w:w="-99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866"/>
            <w:gridCol w:w="1096"/>
            <w:gridCol w:w="1096"/>
            <w:gridCol w:w="1096"/>
            <w:gridCol w:w="923"/>
            <w:gridCol w:w="1096"/>
            <w:gridCol w:w="1016"/>
            <w:gridCol w:w="1016"/>
            <w:gridCol w:w="1096"/>
          </w:tblGrid>
          <w:tr w:rsidR="00915FEB" w:rsidTr="00B637B2">
            <w:trPr>
              <w:trHeight w:val="241"/>
            </w:trPr>
            <w:sdt>
              <w:sdtPr>
                <w:rPr>
                  <w:sz w:val="16"/>
                  <w:szCs w:val="16"/>
                </w:rPr>
                <w:tag w:val="_PLD_87ab97227e5642b988e110c5a28abb39"/>
                <w:id w:val="358559771"/>
                <w:lock w:val="sdtLocked"/>
              </w:sdtPr>
              <w:sdtContent>
                <w:tc>
                  <w:tcPr>
                    <w:tcW w:w="731"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915FEB" w:rsidRPr="00F12EE7" w:rsidRDefault="00915FEB" w:rsidP="005210A3">
                    <w:pPr>
                      <w:spacing w:line="276" w:lineRule="auto"/>
                      <w:ind w:right="-16"/>
                      <w:jc w:val="center"/>
                      <w:rPr>
                        <w:rFonts w:cs="Arial"/>
                        <w:bCs/>
                        <w:sz w:val="16"/>
                        <w:szCs w:val="16"/>
                      </w:rPr>
                    </w:pPr>
                    <w:r w:rsidRPr="00F12EE7">
                      <w:rPr>
                        <w:rFonts w:cs="Arial" w:hint="eastAsia"/>
                        <w:bCs/>
                        <w:sz w:val="16"/>
                        <w:szCs w:val="16"/>
                        <w:lang w:val="en-GB"/>
                      </w:rPr>
                      <w:t>子公司名称</w:t>
                    </w:r>
                  </w:p>
                </w:tc>
              </w:sdtContent>
            </w:sdt>
            <w:sdt>
              <w:sdtPr>
                <w:rPr>
                  <w:sz w:val="16"/>
                  <w:szCs w:val="16"/>
                </w:rPr>
                <w:tag w:val="_PLD_85f8737cebf641b2aa266052f4118ba8"/>
                <w:id w:val="-861361714"/>
                <w:lock w:val="sdtLocked"/>
              </w:sdtPr>
              <w:sdtContent>
                <w:tc>
                  <w:tcPr>
                    <w:tcW w:w="2154" w:type="pct"/>
                    <w:gridSpan w:val="4"/>
                    <w:tcBorders>
                      <w:top w:val="single" w:sz="4" w:space="0" w:color="auto"/>
                      <w:left w:val="single" w:sz="6" w:space="0" w:color="auto"/>
                      <w:bottom w:val="single" w:sz="6" w:space="0" w:color="auto"/>
                      <w:right w:val="single" w:sz="6" w:space="0" w:color="auto"/>
                    </w:tcBorders>
                    <w:shd w:val="clear" w:color="auto" w:fill="auto"/>
                    <w:vAlign w:val="center"/>
                  </w:tcPr>
                  <w:p w:rsidR="00915FEB" w:rsidRPr="00F12EE7" w:rsidRDefault="00915FEB" w:rsidP="005210A3">
                    <w:pPr>
                      <w:spacing w:line="276" w:lineRule="auto"/>
                      <w:ind w:right="-16"/>
                      <w:jc w:val="center"/>
                      <w:rPr>
                        <w:rFonts w:cs="Arial"/>
                        <w:bCs/>
                        <w:sz w:val="16"/>
                        <w:szCs w:val="16"/>
                      </w:rPr>
                    </w:pPr>
                    <w:r w:rsidRPr="00F12EE7">
                      <w:rPr>
                        <w:rFonts w:cs="Arial" w:hint="eastAsia"/>
                        <w:bCs/>
                        <w:sz w:val="16"/>
                        <w:szCs w:val="16"/>
                        <w:lang w:val="en-GB"/>
                      </w:rPr>
                      <w:t>本期发生额</w:t>
                    </w:r>
                  </w:p>
                </w:tc>
              </w:sdtContent>
            </w:sdt>
            <w:sdt>
              <w:sdtPr>
                <w:rPr>
                  <w:sz w:val="16"/>
                  <w:szCs w:val="16"/>
                </w:rPr>
                <w:tag w:val="_PLD_32dac50c80854f268b3afdebef20332e"/>
                <w:id w:val="-1498879898"/>
                <w:lock w:val="sdtLocked"/>
              </w:sdtPr>
              <w:sdtContent>
                <w:tc>
                  <w:tcPr>
                    <w:tcW w:w="2115" w:type="pct"/>
                    <w:gridSpan w:val="4"/>
                    <w:tcBorders>
                      <w:top w:val="single" w:sz="4" w:space="0" w:color="auto"/>
                      <w:left w:val="single" w:sz="6" w:space="0" w:color="auto"/>
                      <w:bottom w:val="single" w:sz="6" w:space="0" w:color="auto"/>
                      <w:right w:val="single" w:sz="4" w:space="0" w:color="auto"/>
                    </w:tcBorders>
                    <w:shd w:val="clear" w:color="auto" w:fill="auto"/>
                    <w:vAlign w:val="center"/>
                  </w:tcPr>
                  <w:p w:rsidR="00915FEB" w:rsidRPr="00F12EE7" w:rsidRDefault="00915FEB" w:rsidP="005210A3">
                    <w:pPr>
                      <w:spacing w:line="276" w:lineRule="auto"/>
                      <w:ind w:right="-16"/>
                      <w:jc w:val="center"/>
                      <w:rPr>
                        <w:rFonts w:cs="Arial"/>
                        <w:bCs/>
                        <w:sz w:val="16"/>
                        <w:szCs w:val="16"/>
                      </w:rPr>
                    </w:pPr>
                    <w:r w:rsidRPr="00F12EE7">
                      <w:rPr>
                        <w:rFonts w:cs="Arial" w:hint="eastAsia"/>
                        <w:bCs/>
                        <w:sz w:val="16"/>
                        <w:szCs w:val="16"/>
                        <w:lang w:val="en-GB"/>
                      </w:rPr>
                      <w:t>上期发生额</w:t>
                    </w:r>
                  </w:p>
                </w:tc>
              </w:sdtContent>
            </w:sdt>
          </w:tr>
          <w:tr w:rsidR="00915FEB" w:rsidTr="00B637B2">
            <w:trPr>
              <w:trHeight w:val="241"/>
            </w:trPr>
            <w:tc>
              <w:tcPr>
                <w:tcW w:w="731" w:type="pct"/>
                <w:vMerge/>
                <w:tcBorders>
                  <w:top w:val="single" w:sz="4" w:space="0" w:color="auto"/>
                  <w:left w:val="single" w:sz="4" w:space="0" w:color="auto"/>
                  <w:bottom w:val="single" w:sz="6" w:space="0" w:color="auto"/>
                  <w:right w:val="single" w:sz="6" w:space="0" w:color="auto"/>
                </w:tcBorders>
                <w:shd w:val="clear" w:color="auto" w:fill="auto"/>
                <w:vAlign w:val="center"/>
              </w:tcPr>
              <w:p w:rsidR="00915FEB" w:rsidRPr="00F12EE7" w:rsidRDefault="00915FEB" w:rsidP="005210A3">
                <w:pPr>
                  <w:jc w:val="center"/>
                  <w:rPr>
                    <w:rFonts w:cs="Arial"/>
                    <w:bCs/>
                    <w:sz w:val="16"/>
                    <w:szCs w:val="16"/>
                  </w:rPr>
                </w:pPr>
              </w:p>
            </w:tc>
            <w:sdt>
              <w:sdtPr>
                <w:rPr>
                  <w:sz w:val="16"/>
                  <w:szCs w:val="16"/>
                </w:rPr>
                <w:tag w:val="_PLD_29407a86c6924579a6442f5b24e6decd"/>
                <w:id w:val="201441771"/>
                <w:lock w:val="sdtLocked"/>
              </w:sdtPr>
              <w:sdtContent>
                <w:tc>
                  <w:tcPr>
                    <w:tcW w:w="548" w:type="pct"/>
                    <w:tcBorders>
                      <w:top w:val="single" w:sz="6" w:space="0" w:color="auto"/>
                      <w:left w:val="single" w:sz="6" w:space="0" w:color="auto"/>
                      <w:bottom w:val="single" w:sz="6" w:space="0" w:color="auto"/>
                      <w:right w:val="single" w:sz="6" w:space="0" w:color="auto"/>
                    </w:tcBorders>
                    <w:shd w:val="clear" w:color="auto" w:fill="auto"/>
                    <w:vAlign w:val="center"/>
                  </w:tcPr>
                  <w:p w:rsidR="00915FEB" w:rsidRPr="00F12EE7" w:rsidRDefault="00915FEB" w:rsidP="005210A3">
                    <w:pPr>
                      <w:spacing w:line="276" w:lineRule="auto"/>
                      <w:jc w:val="center"/>
                      <w:rPr>
                        <w:rFonts w:cs="Arial"/>
                        <w:sz w:val="16"/>
                        <w:szCs w:val="16"/>
                      </w:rPr>
                    </w:pPr>
                    <w:r w:rsidRPr="00F12EE7">
                      <w:rPr>
                        <w:rFonts w:cs="Arial" w:hint="eastAsia"/>
                        <w:sz w:val="16"/>
                        <w:szCs w:val="16"/>
                        <w:lang w:val="en-GB"/>
                      </w:rPr>
                      <w:t>营业收入</w:t>
                    </w:r>
                  </w:p>
                </w:tc>
              </w:sdtContent>
            </w:sdt>
            <w:sdt>
              <w:sdtPr>
                <w:rPr>
                  <w:sz w:val="16"/>
                  <w:szCs w:val="16"/>
                </w:rPr>
                <w:tag w:val="_PLD_bc59f1076f2243f8984efa8df921ad2c"/>
                <w:id w:val="-1403528670"/>
                <w:lock w:val="sdtLocked"/>
              </w:sdtPr>
              <w:sdtContent>
                <w:tc>
                  <w:tcPr>
                    <w:tcW w:w="548" w:type="pct"/>
                    <w:tcBorders>
                      <w:top w:val="single" w:sz="6" w:space="0" w:color="auto"/>
                      <w:left w:val="single" w:sz="6" w:space="0" w:color="auto"/>
                      <w:bottom w:val="single" w:sz="6" w:space="0" w:color="auto"/>
                      <w:right w:val="single" w:sz="6" w:space="0" w:color="auto"/>
                    </w:tcBorders>
                    <w:shd w:val="clear" w:color="auto" w:fill="auto"/>
                    <w:vAlign w:val="center"/>
                  </w:tcPr>
                  <w:p w:rsidR="00915FEB" w:rsidRPr="00F12EE7" w:rsidRDefault="00915FEB" w:rsidP="005210A3">
                    <w:pPr>
                      <w:spacing w:line="276" w:lineRule="auto"/>
                      <w:jc w:val="center"/>
                      <w:rPr>
                        <w:rFonts w:cs="Arial"/>
                        <w:sz w:val="16"/>
                        <w:szCs w:val="16"/>
                      </w:rPr>
                    </w:pPr>
                    <w:r w:rsidRPr="00F12EE7">
                      <w:rPr>
                        <w:rFonts w:cs="Arial" w:hint="eastAsia"/>
                        <w:sz w:val="16"/>
                        <w:szCs w:val="16"/>
                        <w:lang w:val="en-GB"/>
                      </w:rPr>
                      <w:t>净利润</w:t>
                    </w:r>
                  </w:p>
                </w:tc>
              </w:sdtContent>
            </w:sdt>
            <w:sdt>
              <w:sdtPr>
                <w:rPr>
                  <w:sz w:val="16"/>
                  <w:szCs w:val="16"/>
                </w:rPr>
                <w:tag w:val="_PLD_90f87c27e3fb4843892cceb85599a3b1"/>
                <w:id w:val="-1028252847"/>
                <w:lock w:val="sdtLocked"/>
              </w:sdtPr>
              <w:sdtContent>
                <w:tc>
                  <w:tcPr>
                    <w:tcW w:w="548" w:type="pct"/>
                    <w:tcBorders>
                      <w:top w:val="single" w:sz="6" w:space="0" w:color="auto"/>
                      <w:left w:val="single" w:sz="6" w:space="0" w:color="auto"/>
                      <w:bottom w:val="single" w:sz="6" w:space="0" w:color="auto"/>
                      <w:right w:val="single" w:sz="6" w:space="0" w:color="auto"/>
                    </w:tcBorders>
                    <w:shd w:val="clear" w:color="auto" w:fill="auto"/>
                    <w:vAlign w:val="center"/>
                  </w:tcPr>
                  <w:p w:rsidR="00915FEB" w:rsidRPr="00F12EE7" w:rsidRDefault="00915FEB" w:rsidP="005210A3">
                    <w:pPr>
                      <w:spacing w:line="276" w:lineRule="auto"/>
                      <w:jc w:val="center"/>
                      <w:rPr>
                        <w:rFonts w:cs="Arial"/>
                        <w:sz w:val="16"/>
                        <w:szCs w:val="16"/>
                      </w:rPr>
                    </w:pPr>
                    <w:r w:rsidRPr="00F12EE7">
                      <w:rPr>
                        <w:rFonts w:cs="Arial" w:hint="eastAsia"/>
                        <w:sz w:val="16"/>
                        <w:szCs w:val="16"/>
                        <w:lang w:val="en-GB"/>
                      </w:rPr>
                      <w:t>综合收益总额</w:t>
                    </w:r>
                  </w:p>
                </w:tc>
              </w:sdtContent>
            </w:sdt>
            <w:sdt>
              <w:sdtPr>
                <w:rPr>
                  <w:sz w:val="16"/>
                  <w:szCs w:val="16"/>
                </w:rPr>
                <w:tag w:val="_PLD_3126fb1798f346de95a39458603c4301"/>
                <w:id w:val="1306818395"/>
                <w:lock w:val="sdtLocked"/>
              </w:sdtPr>
              <w:sdtContent>
                <w:tc>
                  <w:tcPr>
                    <w:tcW w:w="509" w:type="pct"/>
                    <w:tcBorders>
                      <w:top w:val="single" w:sz="6" w:space="0" w:color="auto"/>
                      <w:left w:val="single" w:sz="6" w:space="0" w:color="auto"/>
                      <w:bottom w:val="single" w:sz="6" w:space="0" w:color="auto"/>
                      <w:right w:val="single" w:sz="6" w:space="0" w:color="auto"/>
                    </w:tcBorders>
                    <w:shd w:val="clear" w:color="auto" w:fill="auto"/>
                    <w:vAlign w:val="center"/>
                  </w:tcPr>
                  <w:p w:rsidR="00915FEB" w:rsidRPr="00F12EE7" w:rsidRDefault="00915FEB" w:rsidP="005210A3">
                    <w:pPr>
                      <w:spacing w:line="276" w:lineRule="auto"/>
                      <w:jc w:val="center"/>
                      <w:rPr>
                        <w:rFonts w:cs="Arial"/>
                        <w:sz w:val="16"/>
                        <w:szCs w:val="16"/>
                      </w:rPr>
                    </w:pPr>
                    <w:r w:rsidRPr="00F12EE7">
                      <w:rPr>
                        <w:rFonts w:cs="Arial" w:hint="eastAsia"/>
                        <w:sz w:val="16"/>
                        <w:szCs w:val="16"/>
                        <w:lang w:val="en-GB"/>
                      </w:rPr>
                      <w:t>经营活动现金流量</w:t>
                    </w:r>
                  </w:p>
                </w:tc>
              </w:sdtContent>
            </w:sdt>
            <w:sdt>
              <w:sdtPr>
                <w:rPr>
                  <w:sz w:val="16"/>
                  <w:szCs w:val="16"/>
                </w:rPr>
                <w:tag w:val="_PLD_44ccfb27fc6943ac84654ba7c7bef20e"/>
                <w:id w:val="986052237"/>
                <w:lock w:val="sdtLocked"/>
              </w:sdtPr>
              <w:sdtContent>
                <w:tc>
                  <w:tcPr>
                    <w:tcW w:w="548" w:type="pct"/>
                    <w:tcBorders>
                      <w:top w:val="single" w:sz="6" w:space="0" w:color="auto"/>
                      <w:left w:val="single" w:sz="6" w:space="0" w:color="auto"/>
                      <w:bottom w:val="single" w:sz="6" w:space="0" w:color="auto"/>
                      <w:right w:val="single" w:sz="6" w:space="0" w:color="auto"/>
                    </w:tcBorders>
                    <w:shd w:val="clear" w:color="auto" w:fill="auto"/>
                    <w:vAlign w:val="center"/>
                  </w:tcPr>
                  <w:p w:rsidR="00915FEB" w:rsidRPr="00F12EE7" w:rsidRDefault="00915FEB" w:rsidP="005210A3">
                    <w:pPr>
                      <w:spacing w:line="276" w:lineRule="auto"/>
                      <w:jc w:val="center"/>
                      <w:rPr>
                        <w:rFonts w:cs="Arial"/>
                        <w:sz w:val="16"/>
                        <w:szCs w:val="16"/>
                      </w:rPr>
                    </w:pPr>
                    <w:r w:rsidRPr="00F12EE7">
                      <w:rPr>
                        <w:rFonts w:cs="Arial" w:hint="eastAsia"/>
                        <w:sz w:val="16"/>
                        <w:szCs w:val="16"/>
                        <w:lang w:val="en-GB"/>
                      </w:rPr>
                      <w:t>营业收入</w:t>
                    </w:r>
                  </w:p>
                </w:tc>
              </w:sdtContent>
            </w:sdt>
            <w:sdt>
              <w:sdtPr>
                <w:rPr>
                  <w:sz w:val="16"/>
                  <w:szCs w:val="16"/>
                </w:rPr>
                <w:tag w:val="_PLD_c08aebbf24fa4b1aa2c4f79232c7c630"/>
                <w:id w:val="-352805513"/>
                <w:lock w:val="sdtLocked"/>
              </w:sdtPr>
              <w:sdtContent>
                <w:tc>
                  <w:tcPr>
                    <w:tcW w:w="509" w:type="pct"/>
                    <w:tcBorders>
                      <w:top w:val="single" w:sz="6" w:space="0" w:color="auto"/>
                      <w:left w:val="single" w:sz="6" w:space="0" w:color="auto"/>
                      <w:bottom w:val="single" w:sz="6" w:space="0" w:color="auto"/>
                      <w:right w:val="single" w:sz="6" w:space="0" w:color="auto"/>
                    </w:tcBorders>
                    <w:shd w:val="clear" w:color="auto" w:fill="auto"/>
                    <w:vAlign w:val="center"/>
                  </w:tcPr>
                  <w:p w:rsidR="00915FEB" w:rsidRPr="00F12EE7" w:rsidRDefault="00915FEB" w:rsidP="005210A3">
                    <w:pPr>
                      <w:spacing w:line="276" w:lineRule="auto"/>
                      <w:jc w:val="center"/>
                      <w:rPr>
                        <w:rFonts w:cs="Arial"/>
                        <w:sz w:val="16"/>
                        <w:szCs w:val="16"/>
                      </w:rPr>
                    </w:pPr>
                    <w:r w:rsidRPr="00F12EE7">
                      <w:rPr>
                        <w:rFonts w:cs="Arial" w:hint="eastAsia"/>
                        <w:sz w:val="16"/>
                        <w:szCs w:val="16"/>
                        <w:lang w:val="en-GB"/>
                      </w:rPr>
                      <w:t>净利润</w:t>
                    </w:r>
                  </w:p>
                </w:tc>
              </w:sdtContent>
            </w:sdt>
            <w:sdt>
              <w:sdtPr>
                <w:rPr>
                  <w:sz w:val="16"/>
                  <w:szCs w:val="16"/>
                </w:rPr>
                <w:tag w:val="_PLD_0a377a03553f4d909179190a153a31b7"/>
                <w:id w:val="802345762"/>
                <w:lock w:val="sdtLocked"/>
              </w:sdtPr>
              <w:sdtContent>
                <w:tc>
                  <w:tcPr>
                    <w:tcW w:w="509" w:type="pct"/>
                    <w:tcBorders>
                      <w:top w:val="single" w:sz="6" w:space="0" w:color="auto"/>
                      <w:left w:val="single" w:sz="6" w:space="0" w:color="auto"/>
                      <w:bottom w:val="single" w:sz="6" w:space="0" w:color="auto"/>
                      <w:right w:val="single" w:sz="6" w:space="0" w:color="auto"/>
                    </w:tcBorders>
                    <w:shd w:val="clear" w:color="auto" w:fill="auto"/>
                    <w:vAlign w:val="center"/>
                  </w:tcPr>
                  <w:p w:rsidR="00915FEB" w:rsidRPr="00F12EE7" w:rsidRDefault="00915FEB" w:rsidP="005210A3">
                    <w:pPr>
                      <w:spacing w:line="276" w:lineRule="auto"/>
                      <w:jc w:val="center"/>
                      <w:rPr>
                        <w:rFonts w:cs="Arial"/>
                        <w:sz w:val="16"/>
                        <w:szCs w:val="16"/>
                      </w:rPr>
                    </w:pPr>
                    <w:r w:rsidRPr="00F12EE7">
                      <w:rPr>
                        <w:rFonts w:cs="Arial" w:hint="eastAsia"/>
                        <w:sz w:val="16"/>
                        <w:szCs w:val="16"/>
                        <w:lang w:val="en-GB"/>
                      </w:rPr>
                      <w:t>综合收益总额</w:t>
                    </w:r>
                  </w:p>
                </w:tc>
              </w:sdtContent>
            </w:sdt>
            <w:sdt>
              <w:sdtPr>
                <w:rPr>
                  <w:sz w:val="16"/>
                  <w:szCs w:val="16"/>
                </w:rPr>
                <w:tag w:val="_PLD_400ec1e5e2cf42e5a9eea23ddbdbd572"/>
                <w:id w:val="851757250"/>
                <w:lock w:val="sdtLocked"/>
              </w:sdtPr>
              <w:sdtContent>
                <w:tc>
                  <w:tcPr>
                    <w:tcW w:w="548" w:type="pct"/>
                    <w:tcBorders>
                      <w:top w:val="single" w:sz="6" w:space="0" w:color="auto"/>
                      <w:left w:val="single" w:sz="6" w:space="0" w:color="auto"/>
                      <w:bottom w:val="single" w:sz="6" w:space="0" w:color="auto"/>
                      <w:right w:val="single" w:sz="4" w:space="0" w:color="auto"/>
                    </w:tcBorders>
                    <w:shd w:val="clear" w:color="auto" w:fill="auto"/>
                    <w:vAlign w:val="center"/>
                  </w:tcPr>
                  <w:p w:rsidR="00915FEB" w:rsidRPr="00F12EE7" w:rsidRDefault="00915FEB" w:rsidP="005210A3">
                    <w:pPr>
                      <w:spacing w:line="276" w:lineRule="auto"/>
                      <w:jc w:val="center"/>
                      <w:rPr>
                        <w:rFonts w:cs="Arial"/>
                        <w:sz w:val="16"/>
                        <w:szCs w:val="16"/>
                      </w:rPr>
                    </w:pPr>
                    <w:r w:rsidRPr="00F12EE7">
                      <w:rPr>
                        <w:rFonts w:cs="Arial" w:hint="eastAsia"/>
                        <w:sz w:val="16"/>
                        <w:szCs w:val="16"/>
                        <w:lang w:val="en-GB"/>
                      </w:rPr>
                      <w:t>经营活动现金流量</w:t>
                    </w:r>
                  </w:p>
                </w:tc>
              </w:sdtContent>
            </w:sdt>
          </w:tr>
          <w:sdt>
            <w:sdtPr>
              <w:rPr>
                <w:rFonts w:asciiTheme="minorHAnsi" w:eastAsiaTheme="minorEastAsia" w:hAnsiTheme="minorHAnsi" w:cstheme="minorBidi"/>
                <w:kern w:val="2"/>
                <w:sz w:val="16"/>
                <w:szCs w:val="16"/>
              </w:rPr>
              <w:alias w:val="重要非全资子公司的主要财务信息明细"/>
              <w:tag w:val="_GBC_330f4405d49345f7b8f69770f6eb8b4a"/>
              <w:id w:val="435017505"/>
              <w:lock w:val="sdtLocked"/>
            </w:sdtPr>
            <w:sdtContent>
              <w:tr w:rsidR="00915FEB" w:rsidTr="00B637B2">
                <w:tc>
                  <w:tcPr>
                    <w:tcW w:w="731" w:type="pct"/>
                    <w:tcBorders>
                      <w:top w:val="single" w:sz="6" w:space="0" w:color="auto"/>
                      <w:left w:val="single" w:sz="4" w:space="0" w:color="auto"/>
                      <w:bottom w:val="single" w:sz="4" w:space="0" w:color="auto"/>
                      <w:right w:val="single" w:sz="6" w:space="0" w:color="auto"/>
                    </w:tcBorders>
                  </w:tcPr>
                  <w:p w:rsidR="00915FEB" w:rsidRPr="00F12EE7" w:rsidRDefault="00915FEB" w:rsidP="005210A3">
                    <w:pPr>
                      <w:spacing w:line="276" w:lineRule="auto"/>
                      <w:rPr>
                        <w:sz w:val="16"/>
                        <w:szCs w:val="16"/>
                      </w:rPr>
                    </w:pPr>
                    <w:r w:rsidRPr="00F12EE7">
                      <w:rPr>
                        <w:sz w:val="16"/>
                        <w:szCs w:val="16"/>
                      </w:rPr>
                      <w:t>畅捷通</w:t>
                    </w:r>
                  </w:p>
                </w:tc>
                <w:tc>
                  <w:tcPr>
                    <w:tcW w:w="548" w:type="pct"/>
                    <w:tcBorders>
                      <w:top w:val="single" w:sz="6" w:space="0" w:color="auto"/>
                      <w:left w:val="single" w:sz="6" w:space="0" w:color="auto"/>
                      <w:bottom w:val="single" w:sz="4" w:space="0" w:color="auto"/>
                      <w:right w:val="single" w:sz="6" w:space="0" w:color="auto"/>
                    </w:tcBorders>
                  </w:tcPr>
                  <w:p w:rsidR="00915FEB" w:rsidRPr="00F12EE7" w:rsidRDefault="00915FEB" w:rsidP="005210A3">
                    <w:pPr>
                      <w:spacing w:line="276" w:lineRule="auto"/>
                      <w:jc w:val="right"/>
                      <w:rPr>
                        <w:sz w:val="16"/>
                        <w:szCs w:val="16"/>
                      </w:rPr>
                    </w:pPr>
                    <w:r w:rsidRPr="00F12EE7">
                      <w:rPr>
                        <w:sz w:val="16"/>
                        <w:szCs w:val="16"/>
                      </w:rPr>
                      <w:t>262,541,356</w:t>
                    </w:r>
                  </w:p>
                </w:tc>
                <w:tc>
                  <w:tcPr>
                    <w:tcW w:w="548" w:type="pct"/>
                    <w:tcBorders>
                      <w:top w:val="single" w:sz="6" w:space="0" w:color="auto"/>
                      <w:left w:val="single" w:sz="6" w:space="0" w:color="auto"/>
                      <w:bottom w:val="single" w:sz="4" w:space="0" w:color="auto"/>
                      <w:right w:val="single" w:sz="6" w:space="0" w:color="auto"/>
                    </w:tcBorders>
                  </w:tcPr>
                  <w:p w:rsidR="00915FEB" w:rsidRPr="00F12EE7" w:rsidRDefault="00915FEB" w:rsidP="005210A3">
                    <w:pPr>
                      <w:spacing w:line="276" w:lineRule="auto"/>
                      <w:jc w:val="right"/>
                      <w:rPr>
                        <w:sz w:val="16"/>
                        <w:szCs w:val="16"/>
                      </w:rPr>
                    </w:pPr>
                    <w:r w:rsidRPr="00F12EE7">
                      <w:rPr>
                        <w:sz w:val="16"/>
                        <w:szCs w:val="16"/>
                      </w:rPr>
                      <w:t>91,887,174</w:t>
                    </w:r>
                  </w:p>
                </w:tc>
                <w:tc>
                  <w:tcPr>
                    <w:tcW w:w="548" w:type="pct"/>
                    <w:tcBorders>
                      <w:top w:val="single" w:sz="6" w:space="0" w:color="auto"/>
                      <w:left w:val="single" w:sz="6" w:space="0" w:color="auto"/>
                      <w:bottom w:val="single" w:sz="4" w:space="0" w:color="auto"/>
                      <w:right w:val="single" w:sz="6" w:space="0" w:color="auto"/>
                    </w:tcBorders>
                  </w:tcPr>
                  <w:p w:rsidR="00915FEB" w:rsidRPr="00F12EE7" w:rsidRDefault="00915FEB" w:rsidP="005210A3">
                    <w:pPr>
                      <w:spacing w:line="276" w:lineRule="auto"/>
                      <w:jc w:val="right"/>
                      <w:rPr>
                        <w:sz w:val="16"/>
                        <w:szCs w:val="16"/>
                      </w:rPr>
                    </w:pPr>
                    <w:r w:rsidRPr="00F12EE7">
                      <w:rPr>
                        <w:sz w:val="16"/>
                        <w:szCs w:val="16"/>
                      </w:rPr>
                      <w:t>91,887,174</w:t>
                    </w:r>
                  </w:p>
                </w:tc>
                <w:tc>
                  <w:tcPr>
                    <w:tcW w:w="509" w:type="pct"/>
                    <w:tcBorders>
                      <w:top w:val="single" w:sz="6" w:space="0" w:color="auto"/>
                      <w:left w:val="single" w:sz="6" w:space="0" w:color="auto"/>
                      <w:bottom w:val="single" w:sz="4" w:space="0" w:color="auto"/>
                      <w:right w:val="single" w:sz="6" w:space="0" w:color="auto"/>
                    </w:tcBorders>
                  </w:tcPr>
                  <w:p w:rsidR="00915FEB" w:rsidRPr="00F12EE7" w:rsidRDefault="00915FEB" w:rsidP="00B637B2">
                    <w:pPr>
                      <w:spacing w:line="276" w:lineRule="auto"/>
                      <w:ind w:leftChars="-45" w:left="-94" w:rightChars="-45" w:right="-94"/>
                      <w:jc w:val="right"/>
                      <w:rPr>
                        <w:sz w:val="16"/>
                        <w:szCs w:val="16"/>
                      </w:rPr>
                    </w:pPr>
                    <w:r w:rsidRPr="00F12EE7">
                      <w:rPr>
                        <w:sz w:val="16"/>
                        <w:szCs w:val="16"/>
                      </w:rPr>
                      <w:t>90,546,000</w:t>
                    </w:r>
                  </w:p>
                </w:tc>
                <w:tc>
                  <w:tcPr>
                    <w:tcW w:w="548" w:type="pct"/>
                    <w:tcBorders>
                      <w:top w:val="single" w:sz="6" w:space="0" w:color="auto"/>
                      <w:left w:val="single" w:sz="6" w:space="0" w:color="auto"/>
                      <w:bottom w:val="single" w:sz="4" w:space="0" w:color="auto"/>
                      <w:right w:val="single" w:sz="6" w:space="0" w:color="auto"/>
                    </w:tcBorders>
                  </w:tcPr>
                  <w:p w:rsidR="00915FEB" w:rsidRPr="00F12EE7" w:rsidRDefault="00915FEB" w:rsidP="005210A3">
                    <w:pPr>
                      <w:spacing w:line="276" w:lineRule="auto"/>
                      <w:jc w:val="right"/>
                      <w:rPr>
                        <w:sz w:val="16"/>
                        <w:szCs w:val="16"/>
                      </w:rPr>
                    </w:pPr>
                    <w:r w:rsidRPr="00F12EE7">
                      <w:rPr>
                        <w:sz w:val="16"/>
                        <w:szCs w:val="16"/>
                      </w:rPr>
                      <w:t>250,234,219</w:t>
                    </w:r>
                  </w:p>
                </w:tc>
                <w:tc>
                  <w:tcPr>
                    <w:tcW w:w="509" w:type="pct"/>
                    <w:tcBorders>
                      <w:top w:val="single" w:sz="6" w:space="0" w:color="auto"/>
                      <w:left w:val="single" w:sz="6" w:space="0" w:color="auto"/>
                      <w:bottom w:val="single" w:sz="4" w:space="0" w:color="auto"/>
                      <w:right w:val="single" w:sz="6" w:space="0" w:color="auto"/>
                    </w:tcBorders>
                  </w:tcPr>
                  <w:p w:rsidR="00915FEB" w:rsidRPr="00F12EE7" w:rsidRDefault="00915FEB" w:rsidP="005210A3">
                    <w:pPr>
                      <w:spacing w:line="276" w:lineRule="auto"/>
                      <w:jc w:val="right"/>
                      <w:rPr>
                        <w:sz w:val="16"/>
                        <w:szCs w:val="16"/>
                      </w:rPr>
                    </w:pPr>
                    <w:r w:rsidRPr="00F12EE7">
                      <w:rPr>
                        <w:sz w:val="16"/>
                        <w:szCs w:val="16"/>
                      </w:rPr>
                      <w:t>81,854,871</w:t>
                    </w:r>
                  </w:p>
                </w:tc>
                <w:tc>
                  <w:tcPr>
                    <w:tcW w:w="509" w:type="pct"/>
                    <w:tcBorders>
                      <w:top w:val="single" w:sz="6" w:space="0" w:color="auto"/>
                      <w:left w:val="single" w:sz="6" w:space="0" w:color="auto"/>
                      <w:bottom w:val="single" w:sz="4" w:space="0" w:color="auto"/>
                      <w:right w:val="single" w:sz="6" w:space="0" w:color="auto"/>
                    </w:tcBorders>
                  </w:tcPr>
                  <w:p w:rsidR="00915FEB" w:rsidRPr="00F12EE7" w:rsidRDefault="00915FEB" w:rsidP="005210A3">
                    <w:pPr>
                      <w:spacing w:line="276" w:lineRule="auto"/>
                      <w:jc w:val="right"/>
                      <w:rPr>
                        <w:sz w:val="16"/>
                        <w:szCs w:val="16"/>
                      </w:rPr>
                    </w:pPr>
                    <w:r w:rsidRPr="00F12EE7">
                      <w:rPr>
                        <w:sz w:val="16"/>
                        <w:szCs w:val="16"/>
                      </w:rPr>
                      <w:t>83,001,885</w:t>
                    </w:r>
                  </w:p>
                </w:tc>
                <w:tc>
                  <w:tcPr>
                    <w:tcW w:w="548" w:type="pct"/>
                    <w:tcBorders>
                      <w:top w:val="single" w:sz="6" w:space="0" w:color="auto"/>
                      <w:left w:val="single" w:sz="6" w:space="0" w:color="auto"/>
                      <w:bottom w:val="single" w:sz="4" w:space="0" w:color="auto"/>
                      <w:right w:val="single" w:sz="4" w:space="0" w:color="auto"/>
                    </w:tcBorders>
                  </w:tcPr>
                  <w:p w:rsidR="00915FEB" w:rsidRPr="00F12EE7" w:rsidRDefault="00915FEB" w:rsidP="005210A3">
                    <w:pPr>
                      <w:spacing w:line="276" w:lineRule="auto"/>
                      <w:jc w:val="right"/>
                      <w:rPr>
                        <w:sz w:val="16"/>
                        <w:szCs w:val="16"/>
                      </w:rPr>
                    </w:pPr>
                    <w:r w:rsidRPr="00F12EE7">
                      <w:rPr>
                        <w:sz w:val="16"/>
                        <w:szCs w:val="16"/>
                      </w:rPr>
                      <w:t>118,462,000</w:t>
                    </w:r>
                  </w:p>
                </w:tc>
              </w:tr>
            </w:sdtContent>
          </w:sdt>
          <w:sdt>
            <w:sdtPr>
              <w:rPr>
                <w:rFonts w:asciiTheme="minorHAnsi" w:eastAsiaTheme="minorEastAsia" w:hAnsiTheme="minorHAnsi" w:cstheme="minorBidi"/>
                <w:kern w:val="2"/>
                <w:sz w:val="16"/>
                <w:szCs w:val="16"/>
              </w:rPr>
              <w:alias w:val="重要非全资子公司的主要财务信息明细"/>
              <w:tag w:val="_GBC_330f4405d49345f7b8f69770f6eb8b4a"/>
              <w:id w:val="1903325256"/>
              <w:lock w:val="sdtLocked"/>
            </w:sdtPr>
            <w:sdtContent>
              <w:tr w:rsidR="00915FEB" w:rsidTr="00B637B2">
                <w:tc>
                  <w:tcPr>
                    <w:tcW w:w="731" w:type="pct"/>
                    <w:tcBorders>
                      <w:top w:val="single" w:sz="6" w:space="0" w:color="auto"/>
                      <w:left w:val="single" w:sz="4" w:space="0" w:color="auto"/>
                      <w:bottom w:val="single" w:sz="4" w:space="0" w:color="auto"/>
                      <w:right w:val="single" w:sz="6" w:space="0" w:color="auto"/>
                    </w:tcBorders>
                  </w:tcPr>
                  <w:p w:rsidR="00915FEB" w:rsidRPr="00F12EE7" w:rsidRDefault="00915FEB" w:rsidP="005210A3">
                    <w:pPr>
                      <w:spacing w:line="276" w:lineRule="auto"/>
                      <w:rPr>
                        <w:sz w:val="16"/>
                        <w:szCs w:val="16"/>
                      </w:rPr>
                    </w:pPr>
                    <w:r w:rsidRPr="00F12EE7">
                      <w:rPr>
                        <w:sz w:val="16"/>
                        <w:szCs w:val="16"/>
                      </w:rPr>
                      <w:t>用友政务</w:t>
                    </w:r>
                  </w:p>
                </w:tc>
                <w:tc>
                  <w:tcPr>
                    <w:tcW w:w="548" w:type="pct"/>
                    <w:tcBorders>
                      <w:top w:val="single" w:sz="6" w:space="0" w:color="auto"/>
                      <w:left w:val="single" w:sz="6" w:space="0" w:color="auto"/>
                      <w:bottom w:val="single" w:sz="4" w:space="0" w:color="auto"/>
                      <w:right w:val="single" w:sz="6" w:space="0" w:color="auto"/>
                    </w:tcBorders>
                  </w:tcPr>
                  <w:p w:rsidR="00915FEB" w:rsidRPr="00F12EE7" w:rsidRDefault="00915FEB" w:rsidP="005210A3">
                    <w:pPr>
                      <w:spacing w:line="276" w:lineRule="auto"/>
                      <w:jc w:val="right"/>
                      <w:rPr>
                        <w:sz w:val="16"/>
                        <w:szCs w:val="16"/>
                      </w:rPr>
                    </w:pPr>
                    <w:r w:rsidRPr="00F12EE7">
                      <w:rPr>
                        <w:sz w:val="16"/>
                        <w:szCs w:val="16"/>
                      </w:rPr>
                      <w:t>351,617,253</w:t>
                    </w:r>
                  </w:p>
                </w:tc>
                <w:tc>
                  <w:tcPr>
                    <w:tcW w:w="548" w:type="pct"/>
                    <w:tcBorders>
                      <w:top w:val="single" w:sz="6" w:space="0" w:color="auto"/>
                      <w:left w:val="single" w:sz="6" w:space="0" w:color="auto"/>
                      <w:bottom w:val="single" w:sz="4" w:space="0" w:color="auto"/>
                      <w:right w:val="single" w:sz="6" w:space="0" w:color="auto"/>
                    </w:tcBorders>
                  </w:tcPr>
                  <w:p w:rsidR="00915FEB" w:rsidRPr="00F12EE7" w:rsidRDefault="00915FEB" w:rsidP="005210A3">
                    <w:pPr>
                      <w:spacing w:line="276" w:lineRule="auto"/>
                      <w:jc w:val="right"/>
                      <w:rPr>
                        <w:sz w:val="16"/>
                        <w:szCs w:val="16"/>
                      </w:rPr>
                    </w:pPr>
                    <w:r w:rsidRPr="00F12EE7">
                      <w:rPr>
                        <w:sz w:val="16"/>
                        <w:szCs w:val="16"/>
                      </w:rPr>
                      <w:t>109,422,487</w:t>
                    </w:r>
                  </w:p>
                </w:tc>
                <w:tc>
                  <w:tcPr>
                    <w:tcW w:w="548" w:type="pct"/>
                    <w:tcBorders>
                      <w:top w:val="single" w:sz="6" w:space="0" w:color="auto"/>
                      <w:left w:val="single" w:sz="6" w:space="0" w:color="auto"/>
                      <w:bottom w:val="single" w:sz="4" w:space="0" w:color="auto"/>
                      <w:right w:val="single" w:sz="6" w:space="0" w:color="auto"/>
                    </w:tcBorders>
                  </w:tcPr>
                  <w:p w:rsidR="00915FEB" w:rsidRPr="00F12EE7" w:rsidRDefault="00915FEB" w:rsidP="005210A3">
                    <w:pPr>
                      <w:spacing w:line="276" w:lineRule="auto"/>
                      <w:jc w:val="right"/>
                      <w:rPr>
                        <w:sz w:val="16"/>
                        <w:szCs w:val="16"/>
                      </w:rPr>
                    </w:pPr>
                    <w:r w:rsidRPr="00F12EE7">
                      <w:rPr>
                        <w:sz w:val="16"/>
                        <w:szCs w:val="16"/>
                      </w:rPr>
                      <w:t>109,422,487</w:t>
                    </w:r>
                  </w:p>
                </w:tc>
                <w:tc>
                  <w:tcPr>
                    <w:tcW w:w="509" w:type="pct"/>
                    <w:tcBorders>
                      <w:top w:val="single" w:sz="6" w:space="0" w:color="auto"/>
                      <w:left w:val="single" w:sz="6" w:space="0" w:color="auto"/>
                      <w:bottom w:val="single" w:sz="4" w:space="0" w:color="auto"/>
                      <w:right w:val="single" w:sz="6" w:space="0" w:color="auto"/>
                    </w:tcBorders>
                  </w:tcPr>
                  <w:p w:rsidR="00915FEB" w:rsidRPr="00F12EE7" w:rsidRDefault="00915FEB" w:rsidP="00B637B2">
                    <w:pPr>
                      <w:spacing w:line="276" w:lineRule="auto"/>
                      <w:ind w:leftChars="-45" w:left="-94" w:rightChars="-45" w:right="-94"/>
                      <w:jc w:val="right"/>
                      <w:rPr>
                        <w:sz w:val="16"/>
                        <w:szCs w:val="16"/>
                      </w:rPr>
                    </w:pPr>
                    <w:r w:rsidRPr="00F12EE7">
                      <w:rPr>
                        <w:sz w:val="16"/>
                        <w:szCs w:val="16"/>
                      </w:rPr>
                      <w:t>-22,043,559</w:t>
                    </w:r>
                  </w:p>
                </w:tc>
                <w:tc>
                  <w:tcPr>
                    <w:tcW w:w="548" w:type="pct"/>
                    <w:tcBorders>
                      <w:top w:val="single" w:sz="6" w:space="0" w:color="auto"/>
                      <w:left w:val="single" w:sz="6" w:space="0" w:color="auto"/>
                      <w:bottom w:val="single" w:sz="4" w:space="0" w:color="auto"/>
                      <w:right w:val="single" w:sz="6" w:space="0" w:color="auto"/>
                    </w:tcBorders>
                  </w:tcPr>
                  <w:p w:rsidR="00915FEB" w:rsidRPr="00F12EE7" w:rsidRDefault="00915FEB" w:rsidP="005210A3">
                    <w:pPr>
                      <w:spacing w:line="276" w:lineRule="auto"/>
                      <w:jc w:val="right"/>
                      <w:rPr>
                        <w:sz w:val="16"/>
                        <w:szCs w:val="16"/>
                      </w:rPr>
                    </w:pPr>
                    <w:r w:rsidRPr="00F12EE7">
                      <w:rPr>
                        <w:sz w:val="16"/>
                        <w:szCs w:val="16"/>
                      </w:rPr>
                      <w:t>218,977,382</w:t>
                    </w:r>
                  </w:p>
                </w:tc>
                <w:tc>
                  <w:tcPr>
                    <w:tcW w:w="509" w:type="pct"/>
                    <w:tcBorders>
                      <w:top w:val="single" w:sz="6" w:space="0" w:color="auto"/>
                      <w:left w:val="single" w:sz="6" w:space="0" w:color="auto"/>
                      <w:bottom w:val="single" w:sz="4" w:space="0" w:color="auto"/>
                      <w:right w:val="single" w:sz="6" w:space="0" w:color="auto"/>
                    </w:tcBorders>
                  </w:tcPr>
                  <w:p w:rsidR="00915FEB" w:rsidRPr="00F12EE7" w:rsidRDefault="00915FEB" w:rsidP="005210A3">
                    <w:pPr>
                      <w:spacing w:line="276" w:lineRule="auto"/>
                      <w:jc w:val="right"/>
                      <w:rPr>
                        <w:sz w:val="16"/>
                        <w:szCs w:val="16"/>
                      </w:rPr>
                    </w:pPr>
                    <w:r w:rsidRPr="00F12EE7">
                      <w:rPr>
                        <w:sz w:val="16"/>
                        <w:szCs w:val="16"/>
                      </w:rPr>
                      <w:t>17,638,893</w:t>
                    </w:r>
                  </w:p>
                </w:tc>
                <w:tc>
                  <w:tcPr>
                    <w:tcW w:w="509" w:type="pct"/>
                    <w:tcBorders>
                      <w:top w:val="single" w:sz="6" w:space="0" w:color="auto"/>
                      <w:left w:val="single" w:sz="6" w:space="0" w:color="auto"/>
                      <w:bottom w:val="single" w:sz="4" w:space="0" w:color="auto"/>
                      <w:right w:val="single" w:sz="6" w:space="0" w:color="auto"/>
                    </w:tcBorders>
                  </w:tcPr>
                  <w:p w:rsidR="00915FEB" w:rsidRPr="00F12EE7" w:rsidRDefault="00915FEB" w:rsidP="005210A3">
                    <w:pPr>
                      <w:spacing w:line="276" w:lineRule="auto"/>
                      <w:jc w:val="right"/>
                      <w:rPr>
                        <w:sz w:val="16"/>
                        <w:szCs w:val="16"/>
                      </w:rPr>
                    </w:pPr>
                    <w:r w:rsidRPr="00F12EE7">
                      <w:rPr>
                        <w:sz w:val="16"/>
                        <w:szCs w:val="16"/>
                      </w:rPr>
                      <w:t>17,638,893</w:t>
                    </w:r>
                  </w:p>
                </w:tc>
                <w:tc>
                  <w:tcPr>
                    <w:tcW w:w="548" w:type="pct"/>
                    <w:tcBorders>
                      <w:top w:val="single" w:sz="6" w:space="0" w:color="auto"/>
                      <w:left w:val="single" w:sz="6" w:space="0" w:color="auto"/>
                      <w:bottom w:val="single" w:sz="4" w:space="0" w:color="auto"/>
                      <w:right w:val="single" w:sz="4" w:space="0" w:color="auto"/>
                    </w:tcBorders>
                  </w:tcPr>
                  <w:p w:rsidR="00915FEB" w:rsidRPr="00F12EE7" w:rsidRDefault="00036BDC" w:rsidP="005210A3">
                    <w:pPr>
                      <w:spacing w:line="276" w:lineRule="auto"/>
                      <w:jc w:val="right"/>
                      <w:rPr>
                        <w:sz w:val="16"/>
                        <w:szCs w:val="16"/>
                      </w:rPr>
                    </w:pPr>
                    <w:r>
                      <w:rPr>
                        <w:rFonts w:hint="eastAsia"/>
                        <w:sz w:val="16"/>
                        <w:szCs w:val="16"/>
                      </w:rPr>
                      <w:t>-</w:t>
                    </w:r>
                    <w:r w:rsidR="00915FEB" w:rsidRPr="00F12EE7">
                      <w:rPr>
                        <w:sz w:val="16"/>
                        <w:szCs w:val="16"/>
                      </w:rPr>
                      <w:t>62,971,558</w:t>
                    </w:r>
                  </w:p>
                </w:tc>
              </w:tr>
            </w:sdtContent>
          </w:sdt>
          <w:sdt>
            <w:sdtPr>
              <w:rPr>
                <w:rFonts w:asciiTheme="minorHAnsi" w:eastAsiaTheme="minorEastAsia" w:hAnsiTheme="minorHAnsi" w:cstheme="minorBidi"/>
                <w:kern w:val="2"/>
                <w:sz w:val="16"/>
                <w:szCs w:val="16"/>
              </w:rPr>
              <w:alias w:val="重要非全资子公司的主要财务信息明细"/>
              <w:tag w:val="_GBC_330f4405d49345f7b8f69770f6eb8b4a"/>
              <w:id w:val="-520166686"/>
              <w:lock w:val="sdtLocked"/>
            </w:sdtPr>
            <w:sdtContent>
              <w:tr w:rsidR="00915FEB" w:rsidTr="00B637B2">
                <w:tc>
                  <w:tcPr>
                    <w:tcW w:w="731" w:type="pct"/>
                    <w:tcBorders>
                      <w:top w:val="single" w:sz="6" w:space="0" w:color="auto"/>
                      <w:left w:val="single" w:sz="4" w:space="0" w:color="auto"/>
                      <w:bottom w:val="single" w:sz="4" w:space="0" w:color="auto"/>
                      <w:right w:val="single" w:sz="6" w:space="0" w:color="auto"/>
                    </w:tcBorders>
                  </w:tcPr>
                  <w:p w:rsidR="00915FEB" w:rsidRPr="00F12EE7" w:rsidRDefault="00915FEB" w:rsidP="005210A3">
                    <w:pPr>
                      <w:spacing w:line="276" w:lineRule="auto"/>
                      <w:rPr>
                        <w:sz w:val="16"/>
                        <w:szCs w:val="16"/>
                      </w:rPr>
                    </w:pPr>
                    <w:r w:rsidRPr="00F12EE7">
                      <w:rPr>
                        <w:sz w:val="16"/>
                        <w:szCs w:val="16"/>
                      </w:rPr>
                      <w:t>用友汽车</w:t>
                    </w:r>
                  </w:p>
                </w:tc>
                <w:tc>
                  <w:tcPr>
                    <w:tcW w:w="548" w:type="pct"/>
                    <w:tcBorders>
                      <w:top w:val="single" w:sz="6" w:space="0" w:color="auto"/>
                      <w:left w:val="single" w:sz="6" w:space="0" w:color="auto"/>
                      <w:bottom w:val="single" w:sz="4" w:space="0" w:color="auto"/>
                      <w:right w:val="single" w:sz="6" w:space="0" w:color="auto"/>
                    </w:tcBorders>
                  </w:tcPr>
                  <w:p w:rsidR="00915FEB" w:rsidRPr="00F12EE7" w:rsidRDefault="00915FEB" w:rsidP="005210A3">
                    <w:pPr>
                      <w:spacing w:line="276" w:lineRule="auto"/>
                      <w:jc w:val="right"/>
                      <w:rPr>
                        <w:sz w:val="16"/>
                        <w:szCs w:val="16"/>
                      </w:rPr>
                    </w:pPr>
                    <w:r w:rsidRPr="00F12EE7">
                      <w:rPr>
                        <w:sz w:val="16"/>
                        <w:szCs w:val="16"/>
                      </w:rPr>
                      <w:t>217,430,633</w:t>
                    </w:r>
                  </w:p>
                </w:tc>
                <w:tc>
                  <w:tcPr>
                    <w:tcW w:w="548" w:type="pct"/>
                    <w:tcBorders>
                      <w:top w:val="single" w:sz="6" w:space="0" w:color="auto"/>
                      <w:left w:val="single" w:sz="6" w:space="0" w:color="auto"/>
                      <w:bottom w:val="single" w:sz="4" w:space="0" w:color="auto"/>
                      <w:right w:val="single" w:sz="6" w:space="0" w:color="auto"/>
                    </w:tcBorders>
                  </w:tcPr>
                  <w:p w:rsidR="00915FEB" w:rsidRPr="00F12EE7" w:rsidRDefault="00915FEB" w:rsidP="005210A3">
                    <w:pPr>
                      <w:spacing w:line="276" w:lineRule="auto"/>
                      <w:jc w:val="right"/>
                      <w:rPr>
                        <w:sz w:val="16"/>
                        <w:szCs w:val="16"/>
                      </w:rPr>
                    </w:pPr>
                    <w:r w:rsidRPr="00F12EE7">
                      <w:rPr>
                        <w:sz w:val="16"/>
                        <w:szCs w:val="16"/>
                      </w:rPr>
                      <w:t>43,527,007</w:t>
                    </w:r>
                  </w:p>
                </w:tc>
                <w:tc>
                  <w:tcPr>
                    <w:tcW w:w="548" w:type="pct"/>
                    <w:tcBorders>
                      <w:top w:val="single" w:sz="6" w:space="0" w:color="auto"/>
                      <w:left w:val="single" w:sz="6" w:space="0" w:color="auto"/>
                      <w:bottom w:val="single" w:sz="4" w:space="0" w:color="auto"/>
                      <w:right w:val="single" w:sz="6" w:space="0" w:color="auto"/>
                    </w:tcBorders>
                  </w:tcPr>
                  <w:p w:rsidR="00915FEB" w:rsidRPr="00F12EE7" w:rsidRDefault="00915FEB" w:rsidP="005210A3">
                    <w:pPr>
                      <w:spacing w:line="276" w:lineRule="auto"/>
                      <w:jc w:val="right"/>
                      <w:rPr>
                        <w:sz w:val="16"/>
                        <w:szCs w:val="16"/>
                      </w:rPr>
                    </w:pPr>
                    <w:r w:rsidRPr="00F12EE7">
                      <w:rPr>
                        <w:sz w:val="16"/>
                        <w:szCs w:val="16"/>
                      </w:rPr>
                      <w:t>43,527,007</w:t>
                    </w:r>
                  </w:p>
                </w:tc>
                <w:tc>
                  <w:tcPr>
                    <w:tcW w:w="509" w:type="pct"/>
                    <w:tcBorders>
                      <w:top w:val="single" w:sz="6" w:space="0" w:color="auto"/>
                      <w:left w:val="single" w:sz="6" w:space="0" w:color="auto"/>
                      <w:bottom w:val="single" w:sz="4" w:space="0" w:color="auto"/>
                      <w:right w:val="single" w:sz="6" w:space="0" w:color="auto"/>
                    </w:tcBorders>
                  </w:tcPr>
                  <w:p w:rsidR="00915FEB" w:rsidRPr="00F12EE7" w:rsidRDefault="00915FEB" w:rsidP="00B637B2">
                    <w:pPr>
                      <w:spacing w:line="276" w:lineRule="auto"/>
                      <w:ind w:leftChars="-45" w:left="-94" w:rightChars="-45" w:right="-94"/>
                      <w:jc w:val="right"/>
                      <w:rPr>
                        <w:sz w:val="16"/>
                        <w:szCs w:val="16"/>
                      </w:rPr>
                    </w:pPr>
                    <w:r w:rsidRPr="00F12EE7">
                      <w:rPr>
                        <w:sz w:val="16"/>
                        <w:szCs w:val="16"/>
                      </w:rPr>
                      <w:t>-8,963,278</w:t>
                    </w:r>
                  </w:p>
                </w:tc>
                <w:tc>
                  <w:tcPr>
                    <w:tcW w:w="548" w:type="pct"/>
                    <w:tcBorders>
                      <w:top w:val="single" w:sz="6" w:space="0" w:color="auto"/>
                      <w:left w:val="single" w:sz="6" w:space="0" w:color="auto"/>
                      <w:bottom w:val="single" w:sz="4" w:space="0" w:color="auto"/>
                      <w:right w:val="single" w:sz="6" w:space="0" w:color="auto"/>
                    </w:tcBorders>
                  </w:tcPr>
                  <w:p w:rsidR="00915FEB" w:rsidRPr="00F12EE7" w:rsidRDefault="00915FEB" w:rsidP="005210A3">
                    <w:pPr>
                      <w:spacing w:line="276" w:lineRule="auto"/>
                      <w:jc w:val="right"/>
                      <w:rPr>
                        <w:sz w:val="16"/>
                        <w:szCs w:val="16"/>
                      </w:rPr>
                    </w:pPr>
                    <w:r w:rsidRPr="00F12EE7">
                      <w:rPr>
                        <w:sz w:val="16"/>
                        <w:szCs w:val="16"/>
                      </w:rPr>
                      <w:t>221,701,159</w:t>
                    </w:r>
                  </w:p>
                </w:tc>
                <w:tc>
                  <w:tcPr>
                    <w:tcW w:w="509" w:type="pct"/>
                    <w:tcBorders>
                      <w:top w:val="single" w:sz="6" w:space="0" w:color="auto"/>
                      <w:left w:val="single" w:sz="6" w:space="0" w:color="auto"/>
                      <w:bottom w:val="single" w:sz="4" w:space="0" w:color="auto"/>
                      <w:right w:val="single" w:sz="6" w:space="0" w:color="auto"/>
                    </w:tcBorders>
                  </w:tcPr>
                  <w:p w:rsidR="00915FEB" w:rsidRPr="00F12EE7" w:rsidRDefault="00915FEB" w:rsidP="005210A3">
                    <w:pPr>
                      <w:spacing w:line="276" w:lineRule="auto"/>
                      <w:jc w:val="right"/>
                      <w:rPr>
                        <w:sz w:val="16"/>
                        <w:szCs w:val="16"/>
                      </w:rPr>
                    </w:pPr>
                    <w:r w:rsidRPr="00F12EE7">
                      <w:rPr>
                        <w:sz w:val="16"/>
                        <w:szCs w:val="16"/>
                      </w:rPr>
                      <w:t>40,669,844</w:t>
                    </w:r>
                  </w:p>
                </w:tc>
                <w:tc>
                  <w:tcPr>
                    <w:tcW w:w="509" w:type="pct"/>
                    <w:tcBorders>
                      <w:top w:val="single" w:sz="6" w:space="0" w:color="auto"/>
                      <w:left w:val="single" w:sz="6" w:space="0" w:color="auto"/>
                      <w:bottom w:val="single" w:sz="4" w:space="0" w:color="auto"/>
                      <w:right w:val="single" w:sz="6" w:space="0" w:color="auto"/>
                    </w:tcBorders>
                  </w:tcPr>
                  <w:p w:rsidR="00915FEB" w:rsidRPr="00F12EE7" w:rsidRDefault="00915FEB" w:rsidP="005210A3">
                    <w:pPr>
                      <w:spacing w:line="276" w:lineRule="auto"/>
                      <w:jc w:val="right"/>
                      <w:rPr>
                        <w:sz w:val="16"/>
                        <w:szCs w:val="16"/>
                      </w:rPr>
                    </w:pPr>
                    <w:r w:rsidRPr="00F12EE7">
                      <w:rPr>
                        <w:sz w:val="16"/>
                        <w:szCs w:val="16"/>
                      </w:rPr>
                      <w:t>40,669,844</w:t>
                    </w:r>
                  </w:p>
                </w:tc>
                <w:tc>
                  <w:tcPr>
                    <w:tcW w:w="548" w:type="pct"/>
                    <w:tcBorders>
                      <w:top w:val="single" w:sz="6" w:space="0" w:color="auto"/>
                      <w:left w:val="single" w:sz="6" w:space="0" w:color="auto"/>
                      <w:bottom w:val="single" w:sz="4" w:space="0" w:color="auto"/>
                      <w:right w:val="single" w:sz="4" w:space="0" w:color="auto"/>
                    </w:tcBorders>
                  </w:tcPr>
                  <w:p w:rsidR="00915FEB" w:rsidRPr="00F12EE7" w:rsidRDefault="00915FEB" w:rsidP="005210A3">
                    <w:pPr>
                      <w:spacing w:line="276" w:lineRule="auto"/>
                      <w:jc w:val="right"/>
                      <w:rPr>
                        <w:sz w:val="16"/>
                        <w:szCs w:val="16"/>
                      </w:rPr>
                    </w:pPr>
                    <w:r w:rsidRPr="00F12EE7">
                      <w:rPr>
                        <w:sz w:val="16"/>
                        <w:szCs w:val="16"/>
                      </w:rPr>
                      <w:t>16,043,556</w:t>
                    </w:r>
                  </w:p>
                </w:tc>
              </w:tr>
            </w:sdtContent>
          </w:sdt>
          <w:sdt>
            <w:sdtPr>
              <w:rPr>
                <w:rFonts w:asciiTheme="minorHAnsi" w:eastAsiaTheme="minorEastAsia" w:hAnsiTheme="minorHAnsi" w:cstheme="minorBidi"/>
                <w:kern w:val="2"/>
                <w:sz w:val="16"/>
                <w:szCs w:val="16"/>
              </w:rPr>
              <w:alias w:val="重要非全资子公司的主要财务信息明细"/>
              <w:tag w:val="_GBC_330f4405d49345f7b8f69770f6eb8b4a"/>
              <w:id w:val="1892227770"/>
              <w:lock w:val="sdtLocked"/>
            </w:sdtPr>
            <w:sdtContent>
              <w:tr w:rsidR="00915FEB" w:rsidTr="00B637B2">
                <w:tc>
                  <w:tcPr>
                    <w:tcW w:w="731" w:type="pct"/>
                    <w:tcBorders>
                      <w:top w:val="single" w:sz="6" w:space="0" w:color="auto"/>
                      <w:left w:val="single" w:sz="4" w:space="0" w:color="auto"/>
                      <w:bottom w:val="single" w:sz="4" w:space="0" w:color="auto"/>
                      <w:right w:val="single" w:sz="6" w:space="0" w:color="auto"/>
                    </w:tcBorders>
                  </w:tcPr>
                  <w:p w:rsidR="00915FEB" w:rsidRPr="00F12EE7" w:rsidRDefault="00915FEB" w:rsidP="005210A3">
                    <w:pPr>
                      <w:spacing w:line="276" w:lineRule="auto"/>
                      <w:rPr>
                        <w:sz w:val="16"/>
                        <w:szCs w:val="16"/>
                      </w:rPr>
                    </w:pPr>
                    <w:r w:rsidRPr="00F12EE7">
                      <w:rPr>
                        <w:sz w:val="16"/>
                        <w:szCs w:val="16"/>
                      </w:rPr>
                      <w:t>用友金融</w:t>
                    </w:r>
                  </w:p>
                </w:tc>
                <w:tc>
                  <w:tcPr>
                    <w:tcW w:w="548" w:type="pct"/>
                    <w:tcBorders>
                      <w:top w:val="single" w:sz="6" w:space="0" w:color="auto"/>
                      <w:left w:val="single" w:sz="6" w:space="0" w:color="auto"/>
                      <w:bottom w:val="single" w:sz="4" w:space="0" w:color="auto"/>
                      <w:right w:val="single" w:sz="6" w:space="0" w:color="auto"/>
                    </w:tcBorders>
                  </w:tcPr>
                  <w:p w:rsidR="00915FEB" w:rsidRPr="00F12EE7" w:rsidRDefault="00915FEB" w:rsidP="005210A3">
                    <w:pPr>
                      <w:spacing w:line="276" w:lineRule="auto"/>
                      <w:jc w:val="right"/>
                      <w:rPr>
                        <w:sz w:val="16"/>
                        <w:szCs w:val="16"/>
                      </w:rPr>
                    </w:pPr>
                    <w:r w:rsidRPr="00F12EE7">
                      <w:rPr>
                        <w:sz w:val="16"/>
                        <w:szCs w:val="16"/>
                      </w:rPr>
                      <w:t>100,087,984</w:t>
                    </w:r>
                  </w:p>
                </w:tc>
                <w:tc>
                  <w:tcPr>
                    <w:tcW w:w="548" w:type="pct"/>
                    <w:tcBorders>
                      <w:top w:val="single" w:sz="6" w:space="0" w:color="auto"/>
                      <w:left w:val="single" w:sz="6" w:space="0" w:color="auto"/>
                      <w:bottom w:val="single" w:sz="4" w:space="0" w:color="auto"/>
                      <w:right w:val="single" w:sz="6" w:space="0" w:color="auto"/>
                    </w:tcBorders>
                  </w:tcPr>
                  <w:p w:rsidR="00915FEB" w:rsidRPr="00F12EE7" w:rsidRDefault="00915FEB" w:rsidP="005210A3">
                    <w:pPr>
                      <w:spacing w:line="276" w:lineRule="auto"/>
                      <w:jc w:val="right"/>
                      <w:rPr>
                        <w:sz w:val="16"/>
                        <w:szCs w:val="16"/>
                      </w:rPr>
                    </w:pPr>
                    <w:r w:rsidRPr="00F12EE7">
                      <w:rPr>
                        <w:sz w:val="16"/>
                        <w:szCs w:val="16"/>
                      </w:rPr>
                      <w:t>-26,295,400</w:t>
                    </w:r>
                  </w:p>
                </w:tc>
                <w:tc>
                  <w:tcPr>
                    <w:tcW w:w="548" w:type="pct"/>
                    <w:tcBorders>
                      <w:top w:val="single" w:sz="6" w:space="0" w:color="auto"/>
                      <w:left w:val="single" w:sz="6" w:space="0" w:color="auto"/>
                      <w:bottom w:val="single" w:sz="4" w:space="0" w:color="auto"/>
                      <w:right w:val="single" w:sz="6" w:space="0" w:color="auto"/>
                    </w:tcBorders>
                  </w:tcPr>
                  <w:p w:rsidR="00915FEB" w:rsidRPr="00F12EE7" w:rsidRDefault="00915FEB" w:rsidP="005210A3">
                    <w:pPr>
                      <w:spacing w:line="276" w:lineRule="auto"/>
                      <w:jc w:val="right"/>
                      <w:rPr>
                        <w:sz w:val="16"/>
                        <w:szCs w:val="16"/>
                      </w:rPr>
                    </w:pPr>
                    <w:r w:rsidRPr="00F12EE7">
                      <w:rPr>
                        <w:sz w:val="16"/>
                        <w:szCs w:val="16"/>
                      </w:rPr>
                      <w:t>-26,295,400</w:t>
                    </w:r>
                  </w:p>
                </w:tc>
                <w:tc>
                  <w:tcPr>
                    <w:tcW w:w="509" w:type="pct"/>
                    <w:tcBorders>
                      <w:top w:val="single" w:sz="6" w:space="0" w:color="auto"/>
                      <w:left w:val="single" w:sz="6" w:space="0" w:color="auto"/>
                      <w:bottom w:val="single" w:sz="4" w:space="0" w:color="auto"/>
                      <w:right w:val="single" w:sz="6" w:space="0" w:color="auto"/>
                    </w:tcBorders>
                  </w:tcPr>
                  <w:p w:rsidR="00915FEB" w:rsidRPr="00F12EE7" w:rsidRDefault="00915FEB" w:rsidP="00B637B2">
                    <w:pPr>
                      <w:spacing w:line="276" w:lineRule="auto"/>
                      <w:ind w:leftChars="-45" w:left="-94" w:rightChars="-45" w:right="-94"/>
                      <w:jc w:val="right"/>
                      <w:rPr>
                        <w:sz w:val="16"/>
                        <w:szCs w:val="16"/>
                      </w:rPr>
                    </w:pPr>
                    <w:r w:rsidRPr="00F12EE7">
                      <w:rPr>
                        <w:sz w:val="16"/>
                        <w:szCs w:val="16"/>
                      </w:rPr>
                      <w:t>-61,264,343</w:t>
                    </w:r>
                  </w:p>
                </w:tc>
                <w:tc>
                  <w:tcPr>
                    <w:tcW w:w="548" w:type="pct"/>
                    <w:tcBorders>
                      <w:top w:val="single" w:sz="6" w:space="0" w:color="auto"/>
                      <w:left w:val="single" w:sz="6" w:space="0" w:color="auto"/>
                      <w:bottom w:val="single" w:sz="4" w:space="0" w:color="auto"/>
                      <w:right w:val="single" w:sz="6" w:space="0" w:color="auto"/>
                    </w:tcBorders>
                  </w:tcPr>
                  <w:p w:rsidR="00915FEB" w:rsidRPr="00F12EE7" w:rsidRDefault="00915FEB" w:rsidP="005210A3">
                    <w:pPr>
                      <w:spacing w:line="276" w:lineRule="auto"/>
                      <w:jc w:val="right"/>
                      <w:rPr>
                        <w:sz w:val="16"/>
                        <w:szCs w:val="16"/>
                      </w:rPr>
                    </w:pPr>
                    <w:r w:rsidRPr="00F12EE7">
                      <w:rPr>
                        <w:sz w:val="16"/>
                        <w:szCs w:val="16"/>
                      </w:rPr>
                      <w:t>129,610,574</w:t>
                    </w:r>
                  </w:p>
                </w:tc>
                <w:tc>
                  <w:tcPr>
                    <w:tcW w:w="509" w:type="pct"/>
                    <w:tcBorders>
                      <w:top w:val="single" w:sz="6" w:space="0" w:color="auto"/>
                      <w:left w:val="single" w:sz="6" w:space="0" w:color="auto"/>
                      <w:bottom w:val="single" w:sz="4" w:space="0" w:color="auto"/>
                      <w:right w:val="single" w:sz="6" w:space="0" w:color="auto"/>
                    </w:tcBorders>
                  </w:tcPr>
                  <w:p w:rsidR="00915FEB" w:rsidRPr="00F12EE7" w:rsidRDefault="00915FEB" w:rsidP="005210A3">
                    <w:pPr>
                      <w:spacing w:line="276" w:lineRule="auto"/>
                      <w:jc w:val="right"/>
                      <w:rPr>
                        <w:sz w:val="16"/>
                        <w:szCs w:val="16"/>
                      </w:rPr>
                    </w:pPr>
                    <w:r w:rsidRPr="00F12EE7">
                      <w:rPr>
                        <w:sz w:val="16"/>
                        <w:szCs w:val="16"/>
                      </w:rPr>
                      <w:t>2,681,640</w:t>
                    </w:r>
                  </w:p>
                </w:tc>
                <w:tc>
                  <w:tcPr>
                    <w:tcW w:w="509" w:type="pct"/>
                    <w:tcBorders>
                      <w:top w:val="single" w:sz="6" w:space="0" w:color="auto"/>
                      <w:left w:val="single" w:sz="6" w:space="0" w:color="auto"/>
                      <w:bottom w:val="single" w:sz="4" w:space="0" w:color="auto"/>
                      <w:right w:val="single" w:sz="6" w:space="0" w:color="auto"/>
                    </w:tcBorders>
                  </w:tcPr>
                  <w:p w:rsidR="00915FEB" w:rsidRPr="00F12EE7" w:rsidRDefault="00915FEB" w:rsidP="005210A3">
                    <w:pPr>
                      <w:spacing w:line="276" w:lineRule="auto"/>
                      <w:jc w:val="right"/>
                      <w:rPr>
                        <w:sz w:val="16"/>
                        <w:szCs w:val="16"/>
                      </w:rPr>
                    </w:pPr>
                    <w:r w:rsidRPr="00F12EE7">
                      <w:rPr>
                        <w:sz w:val="16"/>
                        <w:szCs w:val="16"/>
                      </w:rPr>
                      <w:t>2,681,640</w:t>
                    </w:r>
                  </w:p>
                </w:tc>
                <w:tc>
                  <w:tcPr>
                    <w:tcW w:w="548" w:type="pct"/>
                    <w:tcBorders>
                      <w:top w:val="single" w:sz="6" w:space="0" w:color="auto"/>
                      <w:left w:val="single" w:sz="6" w:space="0" w:color="auto"/>
                      <w:bottom w:val="single" w:sz="4" w:space="0" w:color="auto"/>
                      <w:right w:val="single" w:sz="4" w:space="0" w:color="auto"/>
                    </w:tcBorders>
                  </w:tcPr>
                  <w:p w:rsidR="00915FEB" w:rsidRPr="00F12EE7" w:rsidRDefault="008F04CF" w:rsidP="005210A3">
                    <w:pPr>
                      <w:spacing w:line="276" w:lineRule="auto"/>
                      <w:jc w:val="right"/>
                      <w:rPr>
                        <w:sz w:val="16"/>
                        <w:szCs w:val="16"/>
                      </w:rPr>
                    </w:pPr>
                    <w:r>
                      <w:rPr>
                        <w:rFonts w:hint="eastAsia"/>
                        <w:sz w:val="16"/>
                        <w:szCs w:val="16"/>
                      </w:rPr>
                      <w:t>-</w:t>
                    </w:r>
                    <w:r w:rsidR="00915FEB" w:rsidRPr="00F12EE7">
                      <w:rPr>
                        <w:sz w:val="16"/>
                        <w:szCs w:val="16"/>
                      </w:rPr>
                      <w:t>68,472,906</w:t>
                    </w:r>
                  </w:p>
                </w:tc>
              </w:tr>
            </w:sdtContent>
          </w:sdt>
          <w:sdt>
            <w:sdtPr>
              <w:rPr>
                <w:rFonts w:asciiTheme="minorHAnsi" w:eastAsiaTheme="minorEastAsia" w:hAnsiTheme="minorHAnsi" w:cstheme="minorBidi"/>
                <w:kern w:val="2"/>
                <w:sz w:val="16"/>
                <w:szCs w:val="16"/>
              </w:rPr>
              <w:alias w:val="重要非全资子公司的主要财务信息明细"/>
              <w:tag w:val="_GBC_330f4405d49345f7b8f69770f6eb8b4a"/>
              <w:id w:val="-1591454326"/>
              <w:lock w:val="sdtLocked"/>
            </w:sdtPr>
            <w:sdtContent>
              <w:tr w:rsidR="00915FEB" w:rsidTr="00B637B2">
                <w:tc>
                  <w:tcPr>
                    <w:tcW w:w="731" w:type="pct"/>
                    <w:tcBorders>
                      <w:top w:val="single" w:sz="6" w:space="0" w:color="auto"/>
                      <w:left w:val="single" w:sz="4" w:space="0" w:color="auto"/>
                      <w:bottom w:val="single" w:sz="4" w:space="0" w:color="auto"/>
                      <w:right w:val="single" w:sz="6" w:space="0" w:color="auto"/>
                    </w:tcBorders>
                  </w:tcPr>
                  <w:p w:rsidR="00915FEB" w:rsidRPr="00F12EE7" w:rsidRDefault="00915FEB" w:rsidP="005210A3">
                    <w:pPr>
                      <w:spacing w:line="276" w:lineRule="auto"/>
                      <w:rPr>
                        <w:sz w:val="16"/>
                        <w:szCs w:val="16"/>
                      </w:rPr>
                    </w:pPr>
                    <w:r w:rsidRPr="00F12EE7">
                      <w:rPr>
                        <w:sz w:val="16"/>
                        <w:szCs w:val="16"/>
                      </w:rPr>
                      <w:t>新道科技</w:t>
                    </w:r>
                  </w:p>
                </w:tc>
                <w:tc>
                  <w:tcPr>
                    <w:tcW w:w="548" w:type="pct"/>
                    <w:tcBorders>
                      <w:top w:val="single" w:sz="6" w:space="0" w:color="auto"/>
                      <w:left w:val="single" w:sz="6" w:space="0" w:color="auto"/>
                      <w:bottom w:val="single" w:sz="4" w:space="0" w:color="auto"/>
                      <w:right w:val="single" w:sz="6" w:space="0" w:color="auto"/>
                    </w:tcBorders>
                  </w:tcPr>
                  <w:p w:rsidR="00915FEB" w:rsidRPr="00F12EE7" w:rsidRDefault="00915FEB" w:rsidP="005210A3">
                    <w:pPr>
                      <w:spacing w:line="276" w:lineRule="auto"/>
                      <w:jc w:val="right"/>
                      <w:rPr>
                        <w:sz w:val="16"/>
                        <w:szCs w:val="16"/>
                      </w:rPr>
                    </w:pPr>
                    <w:r w:rsidRPr="00F12EE7">
                      <w:rPr>
                        <w:sz w:val="16"/>
                        <w:szCs w:val="16"/>
                      </w:rPr>
                      <w:t>78,632,541</w:t>
                    </w:r>
                  </w:p>
                </w:tc>
                <w:tc>
                  <w:tcPr>
                    <w:tcW w:w="548" w:type="pct"/>
                    <w:tcBorders>
                      <w:top w:val="single" w:sz="6" w:space="0" w:color="auto"/>
                      <w:left w:val="single" w:sz="6" w:space="0" w:color="auto"/>
                      <w:bottom w:val="single" w:sz="4" w:space="0" w:color="auto"/>
                      <w:right w:val="single" w:sz="6" w:space="0" w:color="auto"/>
                    </w:tcBorders>
                  </w:tcPr>
                  <w:p w:rsidR="00915FEB" w:rsidRPr="00F12EE7" w:rsidRDefault="00915FEB" w:rsidP="005210A3">
                    <w:pPr>
                      <w:spacing w:line="276" w:lineRule="auto"/>
                      <w:jc w:val="right"/>
                      <w:rPr>
                        <w:sz w:val="16"/>
                        <w:szCs w:val="16"/>
                      </w:rPr>
                    </w:pPr>
                    <w:r w:rsidRPr="00F12EE7">
                      <w:rPr>
                        <w:sz w:val="16"/>
                        <w:szCs w:val="16"/>
                      </w:rPr>
                      <w:t>15,449,423</w:t>
                    </w:r>
                  </w:p>
                </w:tc>
                <w:tc>
                  <w:tcPr>
                    <w:tcW w:w="548" w:type="pct"/>
                    <w:tcBorders>
                      <w:top w:val="single" w:sz="6" w:space="0" w:color="auto"/>
                      <w:left w:val="single" w:sz="6" w:space="0" w:color="auto"/>
                      <w:bottom w:val="single" w:sz="4" w:space="0" w:color="auto"/>
                      <w:right w:val="single" w:sz="6" w:space="0" w:color="auto"/>
                    </w:tcBorders>
                  </w:tcPr>
                  <w:p w:rsidR="00915FEB" w:rsidRPr="00F12EE7" w:rsidRDefault="00915FEB" w:rsidP="005210A3">
                    <w:pPr>
                      <w:spacing w:line="276" w:lineRule="auto"/>
                      <w:jc w:val="right"/>
                      <w:rPr>
                        <w:sz w:val="16"/>
                        <w:szCs w:val="16"/>
                      </w:rPr>
                    </w:pPr>
                    <w:r w:rsidRPr="00F12EE7">
                      <w:rPr>
                        <w:sz w:val="16"/>
                        <w:szCs w:val="16"/>
                      </w:rPr>
                      <w:t>15,449,423</w:t>
                    </w:r>
                  </w:p>
                </w:tc>
                <w:tc>
                  <w:tcPr>
                    <w:tcW w:w="509" w:type="pct"/>
                    <w:tcBorders>
                      <w:top w:val="single" w:sz="6" w:space="0" w:color="auto"/>
                      <w:left w:val="single" w:sz="6" w:space="0" w:color="auto"/>
                      <w:bottom w:val="single" w:sz="4" w:space="0" w:color="auto"/>
                      <w:right w:val="single" w:sz="6" w:space="0" w:color="auto"/>
                    </w:tcBorders>
                  </w:tcPr>
                  <w:p w:rsidR="00915FEB" w:rsidRPr="00F12EE7" w:rsidRDefault="00915FEB" w:rsidP="00B637B2">
                    <w:pPr>
                      <w:spacing w:line="276" w:lineRule="auto"/>
                      <w:ind w:leftChars="-45" w:left="-94" w:rightChars="-45" w:right="-94"/>
                      <w:jc w:val="right"/>
                      <w:rPr>
                        <w:sz w:val="16"/>
                        <w:szCs w:val="16"/>
                      </w:rPr>
                    </w:pPr>
                    <w:r w:rsidRPr="00F12EE7">
                      <w:rPr>
                        <w:sz w:val="16"/>
                        <w:szCs w:val="16"/>
                      </w:rPr>
                      <w:t>-68,976,953</w:t>
                    </w:r>
                  </w:p>
                </w:tc>
                <w:tc>
                  <w:tcPr>
                    <w:tcW w:w="548" w:type="pct"/>
                    <w:tcBorders>
                      <w:top w:val="single" w:sz="6" w:space="0" w:color="auto"/>
                      <w:left w:val="single" w:sz="6" w:space="0" w:color="auto"/>
                      <w:bottom w:val="single" w:sz="4" w:space="0" w:color="auto"/>
                      <w:right w:val="single" w:sz="6" w:space="0" w:color="auto"/>
                    </w:tcBorders>
                  </w:tcPr>
                  <w:p w:rsidR="00915FEB" w:rsidRPr="00F12EE7" w:rsidRDefault="00915FEB" w:rsidP="005210A3">
                    <w:pPr>
                      <w:spacing w:line="276" w:lineRule="auto"/>
                      <w:jc w:val="right"/>
                      <w:rPr>
                        <w:sz w:val="16"/>
                        <w:szCs w:val="16"/>
                      </w:rPr>
                    </w:pPr>
                    <w:r w:rsidRPr="00F12EE7">
                      <w:rPr>
                        <w:sz w:val="16"/>
                        <w:szCs w:val="16"/>
                      </w:rPr>
                      <w:t>96,328,339</w:t>
                    </w:r>
                  </w:p>
                </w:tc>
                <w:tc>
                  <w:tcPr>
                    <w:tcW w:w="509" w:type="pct"/>
                    <w:tcBorders>
                      <w:top w:val="single" w:sz="6" w:space="0" w:color="auto"/>
                      <w:left w:val="single" w:sz="6" w:space="0" w:color="auto"/>
                      <w:bottom w:val="single" w:sz="4" w:space="0" w:color="auto"/>
                      <w:right w:val="single" w:sz="6" w:space="0" w:color="auto"/>
                    </w:tcBorders>
                  </w:tcPr>
                  <w:p w:rsidR="00915FEB" w:rsidRPr="00F12EE7" w:rsidRDefault="00915FEB" w:rsidP="005210A3">
                    <w:pPr>
                      <w:spacing w:line="276" w:lineRule="auto"/>
                      <w:jc w:val="right"/>
                      <w:rPr>
                        <w:sz w:val="16"/>
                        <w:szCs w:val="16"/>
                      </w:rPr>
                    </w:pPr>
                    <w:r w:rsidRPr="00F12EE7">
                      <w:rPr>
                        <w:sz w:val="16"/>
                        <w:szCs w:val="16"/>
                      </w:rPr>
                      <w:t>25,741,821</w:t>
                    </w:r>
                  </w:p>
                </w:tc>
                <w:tc>
                  <w:tcPr>
                    <w:tcW w:w="509" w:type="pct"/>
                    <w:tcBorders>
                      <w:top w:val="single" w:sz="6" w:space="0" w:color="auto"/>
                      <w:left w:val="single" w:sz="6" w:space="0" w:color="auto"/>
                      <w:bottom w:val="single" w:sz="4" w:space="0" w:color="auto"/>
                      <w:right w:val="single" w:sz="6" w:space="0" w:color="auto"/>
                    </w:tcBorders>
                  </w:tcPr>
                  <w:p w:rsidR="00915FEB" w:rsidRPr="00F12EE7" w:rsidRDefault="00915FEB" w:rsidP="005210A3">
                    <w:pPr>
                      <w:spacing w:line="276" w:lineRule="auto"/>
                      <w:jc w:val="right"/>
                      <w:rPr>
                        <w:sz w:val="16"/>
                        <w:szCs w:val="16"/>
                      </w:rPr>
                    </w:pPr>
                    <w:r w:rsidRPr="00F12EE7">
                      <w:rPr>
                        <w:sz w:val="16"/>
                        <w:szCs w:val="16"/>
                      </w:rPr>
                      <w:t>25,741,821</w:t>
                    </w:r>
                  </w:p>
                </w:tc>
                <w:tc>
                  <w:tcPr>
                    <w:tcW w:w="548" w:type="pct"/>
                    <w:tcBorders>
                      <w:top w:val="single" w:sz="6" w:space="0" w:color="auto"/>
                      <w:left w:val="single" w:sz="6" w:space="0" w:color="auto"/>
                      <w:bottom w:val="single" w:sz="4" w:space="0" w:color="auto"/>
                      <w:right w:val="single" w:sz="4" w:space="0" w:color="auto"/>
                    </w:tcBorders>
                  </w:tcPr>
                  <w:p w:rsidR="00915FEB" w:rsidRPr="00F12EE7" w:rsidRDefault="00036BDC" w:rsidP="005210A3">
                    <w:pPr>
                      <w:spacing w:line="276" w:lineRule="auto"/>
                      <w:jc w:val="right"/>
                      <w:rPr>
                        <w:sz w:val="16"/>
                        <w:szCs w:val="16"/>
                      </w:rPr>
                    </w:pPr>
                    <w:r>
                      <w:rPr>
                        <w:rFonts w:hint="eastAsia"/>
                        <w:sz w:val="16"/>
                        <w:szCs w:val="16"/>
                      </w:rPr>
                      <w:t>-</w:t>
                    </w:r>
                    <w:r w:rsidR="00915FEB" w:rsidRPr="00F12EE7">
                      <w:rPr>
                        <w:sz w:val="16"/>
                        <w:szCs w:val="16"/>
                      </w:rPr>
                      <w:t>18,866,364</w:t>
                    </w:r>
                  </w:p>
                </w:tc>
              </w:tr>
            </w:sdtContent>
          </w:sdt>
        </w:tbl>
        <w:p w:rsidR="00915FEB" w:rsidRDefault="00915FEB"/>
        <w:p w:rsidR="00ED2DC7" w:rsidRDefault="00ED2DC7">
          <w:pPr>
            <w:rPr>
              <w:rFonts w:cs="Arial"/>
              <w:szCs w:val="21"/>
            </w:rPr>
          </w:pPr>
          <w:r>
            <w:rPr>
              <w:rFonts w:cs="Arial" w:hint="eastAsia"/>
              <w:szCs w:val="21"/>
            </w:rPr>
            <w:t>其他说明：</w:t>
          </w:r>
        </w:p>
        <w:sdt>
          <w:sdtPr>
            <w:rPr>
              <w:rFonts w:cs="Arial"/>
              <w:szCs w:val="21"/>
            </w:rPr>
            <w:alias w:val="重要非全资子公司的主要财务信息的其他说明"/>
            <w:tag w:val="_GBC_c6413d961dad488aae6fcf0fda2bf33a"/>
            <w:id w:val="-197237523"/>
            <w:lock w:val="sdtLocked"/>
            <w:placeholder>
              <w:docPart w:val="GBC22222222222222222222222222222"/>
            </w:placeholder>
          </w:sdtPr>
          <w:sdtContent>
            <w:p w:rsidR="00ED2DC7" w:rsidRDefault="000D61B2">
              <w:pPr>
                <w:rPr>
                  <w:rFonts w:cs="Arial"/>
                  <w:szCs w:val="21"/>
                </w:rPr>
              </w:pPr>
              <w:r>
                <w:rPr>
                  <w:rFonts w:cs="Arial" w:hint="eastAsia"/>
                  <w:szCs w:val="21"/>
                </w:rPr>
                <w:t>无。</w:t>
              </w:r>
            </w:p>
          </w:sdtContent>
        </w:sdt>
      </w:sdtContent>
    </w:sdt>
    <w:p w:rsidR="00ED2DC7" w:rsidRDefault="00ED2DC7">
      <w:pPr>
        <w:rPr>
          <w:rFonts w:cs="Arial"/>
          <w:szCs w:val="21"/>
        </w:rPr>
      </w:pPr>
    </w:p>
    <w:sdt>
      <w:sdtPr>
        <w:rPr>
          <w:rFonts w:ascii="宋体" w:hAnsi="宋体" w:cs="Arial" w:hint="eastAsia"/>
          <w:b w:val="0"/>
          <w:bCs w:val="0"/>
          <w:kern w:val="0"/>
          <w:szCs w:val="21"/>
        </w:rPr>
        <w:alias w:val="模块:使用企业集团资产和清偿企业集团债务的重大限制"/>
        <w:tag w:val="_GBC_573fe5c9daf0401da00d8fc5198daf66"/>
        <w:id w:val="795108587"/>
        <w:lock w:val="sdtLocked"/>
        <w:placeholder>
          <w:docPart w:val="GBC22222222222222222222222222222"/>
        </w:placeholder>
      </w:sdtPr>
      <w:sdtEndPr>
        <w:rPr>
          <w:b/>
        </w:rPr>
      </w:sdtEndPr>
      <w:sdtContent>
        <w:p w:rsidR="00ED2DC7" w:rsidRDefault="00ED2DC7" w:rsidP="00036BDC">
          <w:pPr>
            <w:pStyle w:val="affffffffffffffffff2"/>
            <w:numPr>
              <w:ilvl w:val="3"/>
              <w:numId w:val="85"/>
            </w:numPr>
            <w:tabs>
              <w:tab w:val="left" w:pos="644"/>
            </w:tabs>
            <w:rPr>
              <w:rFonts w:ascii="宋体" w:hAnsi="宋体" w:cs="Arial"/>
              <w:szCs w:val="21"/>
            </w:rPr>
          </w:pPr>
          <w:r>
            <w:rPr>
              <w:rFonts w:ascii="宋体" w:hAnsi="宋体" w:cs="Arial" w:hint="eastAsia"/>
              <w:szCs w:val="21"/>
            </w:rPr>
            <w:t>使用企业集团资产和清偿企业集团债务的重大限制：</w:t>
          </w:r>
        </w:p>
        <w:sdt>
          <w:sdtPr>
            <w:alias w:val="是否适用：使用企业集团资产和清偿企业集团债务的重大限制[双击切换]"/>
            <w:tag w:val="_GBC_d4aaeca51c634ffea892b86812441771"/>
            <w:id w:val="1848363689"/>
            <w:lock w:val="sdtContentLocked"/>
            <w:placeholder>
              <w:docPart w:val="GBC22222222222222222222222222222"/>
            </w:placeholder>
          </w:sdtPr>
          <w:sdtContent>
            <w:p w:rsidR="00ED2DC7" w:rsidRDefault="00ED2DC7" w:rsidP="000D61B2">
              <w:pPr>
                <w:rPr>
                  <w:rFonts w:cs="Arial"/>
                  <w:b/>
                  <w:szCs w:val="21"/>
                </w:rPr>
              </w:pPr>
              <w:r>
                <w:fldChar w:fldCharType="begin"/>
              </w:r>
              <w:r w:rsidR="000D61B2">
                <w:instrText xml:space="preserve"> MACROBUTTON  SnrToggleCheckbox □适用 </w:instrText>
              </w:r>
              <w:r>
                <w:fldChar w:fldCharType="end"/>
              </w:r>
              <w:r>
                <w:fldChar w:fldCharType="begin"/>
              </w:r>
              <w:r w:rsidR="000D61B2">
                <w:instrText xml:space="preserve"> MACROBUTTON  SnrToggleCheckbox √不适用 </w:instrText>
              </w:r>
              <w:r>
                <w:fldChar w:fldCharType="end"/>
              </w:r>
            </w:p>
          </w:sdtContent>
        </w:sdt>
      </w:sdtContent>
    </w:sdt>
    <w:p w:rsidR="00ED2DC7" w:rsidRDefault="00ED2DC7">
      <w:pPr>
        <w:rPr>
          <w:rFonts w:cs="Arial"/>
          <w:szCs w:val="21"/>
        </w:rPr>
      </w:pPr>
    </w:p>
    <w:sdt>
      <w:sdtPr>
        <w:rPr>
          <w:rFonts w:ascii="宋体" w:hAnsi="宋体" w:cs="Arial" w:hint="eastAsia"/>
          <w:b w:val="0"/>
          <w:bCs w:val="0"/>
          <w:kern w:val="0"/>
          <w:szCs w:val="21"/>
        </w:rPr>
        <w:alias w:val="模块:向纳入合并财务报表范围的结构化主体提供的财务支持或其他支持"/>
        <w:tag w:val="_GBC_114877d69a2e4b56b15fb618155127e3"/>
        <w:id w:val="-1802067171"/>
        <w:lock w:val="sdtLocked"/>
        <w:placeholder>
          <w:docPart w:val="GBC22222222222222222222222222222"/>
        </w:placeholder>
      </w:sdtPr>
      <w:sdtContent>
        <w:p w:rsidR="00ED2DC7" w:rsidRDefault="00ED2DC7" w:rsidP="00036BDC">
          <w:pPr>
            <w:pStyle w:val="affffffffffffffffff2"/>
            <w:numPr>
              <w:ilvl w:val="3"/>
              <w:numId w:val="85"/>
            </w:numPr>
            <w:tabs>
              <w:tab w:val="left" w:pos="644"/>
            </w:tabs>
            <w:rPr>
              <w:rFonts w:ascii="宋体" w:hAnsi="宋体" w:cs="Arial"/>
              <w:szCs w:val="21"/>
            </w:rPr>
          </w:pPr>
          <w:r>
            <w:rPr>
              <w:rFonts w:ascii="宋体" w:hAnsi="宋体" w:cs="Arial" w:hint="eastAsia"/>
              <w:szCs w:val="21"/>
            </w:rPr>
            <w:t>向纳入合并财务报表范围的结构化主体提供的财务支持或其他支持：</w:t>
          </w:r>
        </w:p>
        <w:sdt>
          <w:sdtPr>
            <w:alias w:val="是否适用：向纳入合并财务报表范围的结构化主体提供的财务支持或其他支持[双击切换]"/>
            <w:tag w:val="_GBC_3ee0b326ed544ace8060843f29d4cd3a"/>
            <w:id w:val="-383337820"/>
            <w:lock w:val="sdtContentLocked"/>
            <w:placeholder>
              <w:docPart w:val="GBC22222222222222222222222222222"/>
            </w:placeholder>
          </w:sdtPr>
          <w:sdtContent>
            <w:p w:rsidR="00ED2DC7" w:rsidRDefault="00ED2DC7" w:rsidP="000D61B2">
              <w:pPr>
                <w:rPr>
                  <w:rFonts w:cs="Arial"/>
                  <w:szCs w:val="21"/>
                </w:rPr>
              </w:pPr>
              <w:r>
                <w:fldChar w:fldCharType="begin"/>
              </w:r>
              <w:r w:rsidR="000D61B2">
                <w:instrText xml:space="preserve"> MACROBUTTON  SnrToggleCheckbox □适用 </w:instrText>
              </w:r>
              <w:r>
                <w:fldChar w:fldCharType="end"/>
              </w:r>
              <w:r>
                <w:fldChar w:fldCharType="begin"/>
              </w:r>
              <w:r w:rsidR="000D61B2">
                <w:instrText xml:space="preserve"> MACROBUTTON  SnrToggleCheckbox √不适用 </w:instrText>
              </w:r>
              <w:r>
                <w:fldChar w:fldCharType="end"/>
              </w:r>
            </w:p>
          </w:sdtContent>
        </w:sdt>
      </w:sdtContent>
    </w:sdt>
    <w:p w:rsidR="00ED2DC7" w:rsidRDefault="00ED2DC7">
      <w:pPr>
        <w:rPr>
          <w:rFonts w:cs="Arial"/>
          <w:b/>
          <w:szCs w:val="21"/>
        </w:rPr>
      </w:pPr>
    </w:p>
    <w:sdt>
      <w:sdtPr>
        <w:rPr>
          <w:szCs w:val="21"/>
        </w:rPr>
        <w:alias w:val="模块:在子公司中的权益其他说明"/>
        <w:tag w:val="_GBC_a0f68dc0a3a24efaa431a8c8d768eb0f"/>
        <w:id w:val="-560252959"/>
        <w:lock w:val="sdtLocked"/>
        <w:placeholder>
          <w:docPart w:val="GBC22222222222222222222222222222"/>
        </w:placeholder>
      </w:sdtPr>
      <w:sdtContent>
        <w:p w:rsidR="00ED2DC7" w:rsidRDefault="00ED2DC7">
          <w:pPr>
            <w:rPr>
              <w:szCs w:val="21"/>
            </w:rPr>
          </w:pPr>
          <w:r>
            <w:rPr>
              <w:rFonts w:hint="eastAsia"/>
              <w:szCs w:val="21"/>
            </w:rPr>
            <w:t>其他说明：</w:t>
          </w:r>
        </w:p>
        <w:sdt>
          <w:sdtPr>
            <w:rPr>
              <w:szCs w:val="21"/>
            </w:rPr>
            <w:alias w:val="是否适用：在子公司中的权益其他说明[双击切换]"/>
            <w:tag w:val="_GBC_e4c33fb40d7a42bc88681a9facbf5ba5"/>
            <w:id w:val="-121386015"/>
            <w:lock w:val="sdtContentLocked"/>
            <w:placeholder>
              <w:docPart w:val="GBC22222222222222222222222222222"/>
            </w:placeholder>
          </w:sdtPr>
          <w:sdtContent>
            <w:p w:rsidR="00ED2DC7" w:rsidRDefault="00ED2DC7" w:rsidP="000D61B2">
              <w:pPr>
                <w:rPr>
                  <w:szCs w:val="21"/>
                </w:rPr>
              </w:pPr>
              <w:r>
                <w:rPr>
                  <w:szCs w:val="21"/>
                </w:rPr>
                <w:fldChar w:fldCharType="begin"/>
              </w:r>
              <w:r w:rsidR="000D61B2">
                <w:rPr>
                  <w:szCs w:val="21"/>
                </w:rPr>
                <w:instrText xml:space="preserve"> MACROBUTTON  SnrToggleCheckbox □适用 </w:instrText>
              </w:r>
              <w:r>
                <w:rPr>
                  <w:szCs w:val="21"/>
                </w:rPr>
                <w:fldChar w:fldCharType="end"/>
              </w:r>
              <w:r>
                <w:rPr>
                  <w:szCs w:val="21"/>
                </w:rPr>
                <w:fldChar w:fldCharType="begin"/>
              </w:r>
              <w:r w:rsidR="000D61B2">
                <w:rPr>
                  <w:szCs w:val="21"/>
                </w:rPr>
                <w:instrText xml:space="preserve"> MACROBUTTON  SnrToggleCheckbox √不适用 </w:instrText>
              </w:r>
              <w:r>
                <w:rPr>
                  <w:szCs w:val="21"/>
                </w:rPr>
                <w:fldChar w:fldCharType="end"/>
              </w:r>
            </w:p>
          </w:sdtContent>
        </w:sdt>
      </w:sdtContent>
    </w:sdt>
    <w:p w:rsidR="00ED2DC7" w:rsidRDefault="00ED2DC7">
      <w:pPr>
        <w:rPr>
          <w:szCs w:val="21"/>
        </w:rPr>
      </w:pPr>
    </w:p>
    <w:p w:rsidR="00ED2DC7" w:rsidRDefault="00ED2DC7" w:rsidP="00036BDC">
      <w:pPr>
        <w:pStyle w:val="affffffffffffffffff1"/>
        <w:numPr>
          <w:ilvl w:val="2"/>
          <w:numId w:val="84"/>
        </w:numPr>
        <w:rPr>
          <w:rFonts w:ascii="宋体" w:hAnsi="宋体" w:cs="Arial"/>
          <w:szCs w:val="21"/>
        </w:rPr>
      </w:pPr>
      <w:r>
        <w:rPr>
          <w:rFonts w:ascii="宋体" w:hAnsi="宋体" w:cs="Arial" w:hint="eastAsia"/>
          <w:szCs w:val="21"/>
        </w:rPr>
        <w:t>在子公司的所有者权益份额发生变化且仍控制子公司的交易</w:t>
      </w:r>
    </w:p>
    <w:sdt>
      <w:sdtPr>
        <w:alias w:val="是否适用：在子公司的所有者权益份额发生变化且仍控制子公司的交易[双击切换]"/>
        <w:tag w:val="_GBC_51b903d8f50944dc91e91048eba723cd"/>
        <w:id w:val="-41298539"/>
        <w:lock w:val="sdtContentLocked"/>
        <w:placeholder>
          <w:docPart w:val="GBC22222222222222222222222222222"/>
        </w:placeholder>
      </w:sdtPr>
      <w:sdtContent>
        <w:p w:rsidR="00B637B2" w:rsidRDefault="00ED2DC7" w:rsidP="00B637B2">
          <w:pPr>
            <w:rPr>
              <w:szCs w:val="21"/>
            </w:rPr>
          </w:pPr>
          <w:r>
            <w:fldChar w:fldCharType="begin"/>
          </w:r>
          <w:r w:rsidR="008F04CF">
            <w:instrText xml:space="preserve"> MACROBUTTON  SnrToggleCheckbox □适用 </w:instrText>
          </w:r>
          <w:r>
            <w:fldChar w:fldCharType="end"/>
          </w:r>
          <w:r>
            <w:fldChar w:fldCharType="begin"/>
          </w:r>
          <w:r w:rsidR="008F04CF">
            <w:instrText xml:space="preserve"> MACROBUTTON  SnrToggleCheckbox √不适用 </w:instrText>
          </w:r>
          <w:r>
            <w:fldChar w:fldCharType="end"/>
          </w:r>
        </w:p>
      </w:sdtContent>
    </w:sdt>
    <w:p w:rsidR="00ED2DC7" w:rsidRDefault="00ED2DC7" w:rsidP="00036BDC">
      <w:pPr>
        <w:pStyle w:val="affffffffffffffffff1"/>
        <w:numPr>
          <w:ilvl w:val="2"/>
          <w:numId w:val="84"/>
        </w:numPr>
        <w:rPr>
          <w:rFonts w:ascii="宋体" w:hAnsi="宋体" w:cs="Arial"/>
          <w:szCs w:val="21"/>
        </w:rPr>
      </w:pPr>
      <w:r>
        <w:rPr>
          <w:rFonts w:ascii="宋体" w:hAnsi="宋体" w:cs="Arial" w:hint="eastAsia"/>
          <w:szCs w:val="21"/>
        </w:rPr>
        <w:t>在合营企业或联营企业中的权益</w:t>
      </w:r>
    </w:p>
    <w:sdt>
      <w:sdtPr>
        <w:alias w:val="是否适用：在合营企业或联营企业中的权益[双击切换]"/>
        <w:tag w:val="_GBC_31c0fe2068fd4a898e4269df4925aa76"/>
        <w:id w:val="810524665"/>
        <w:lock w:val="sdtContentLocked"/>
        <w:placeholder>
          <w:docPart w:val="GBC22222222222222222222222222222"/>
        </w:placeholder>
      </w:sdtPr>
      <w:sdtContent>
        <w:p w:rsidR="00ED2DC7" w:rsidRDefault="00ED2DC7">
          <w:r>
            <w:fldChar w:fldCharType="begin"/>
          </w:r>
          <w:r w:rsidR="009E469C">
            <w:instrText xml:space="preserve"> MACROBUTTON  SnrToggleCheckbox √适用 </w:instrText>
          </w:r>
          <w:r>
            <w:fldChar w:fldCharType="end"/>
          </w:r>
          <w:r>
            <w:fldChar w:fldCharType="begin"/>
          </w:r>
          <w:r w:rsidR="009E469C">
            <w:instrText xml:space="preserve"> MACROBUTTON  SnrToggleCheckbox □不适用 </w:instrText>
          </w:r>
          <w:r>
            <w:fldChar w:fldCharType="end"/>
          </w:r>
        </w:p>
      </w:sdtContent>
    </w:sdt>
    <w:sdt>
      <w:sdtPr>
        <w:rPr>
          <w:rFonts w:ascii="宋体" w:hAnsi="宋体" w:cs="宋体" w:hint="eastAsia"/>
          <w:b w:val="0"/>
          <w:bCs w:val="0"/>
          <w:kern w:val="0"/>
          <w:szCs w:val="24"/>
        </w:rPr>
        <w:alias w:val="模块:重要的合营企业或联营企业"/>
        <w:tag w:val="_GBC_49e4a749316a464e89485cda5774fc07"/>
        <w:id w:val="-1713340196"/>
        <w:lock w:val="sdtLocked"/>
        <w:placeholder>
          <w:docPart w:val="GBC22222222222222222222222222222"/>
        </w:placeholder>
      </w:sdtPr>
      <w:sdtEndPr>
        <w:rPr>
          <w:rFonts w:cstheme="minorBidi" w:hint="default"/>
          <w:szCs w:val="21"/>
        </w:rPr>
      </w:sdtEndPr>
      <w:sdtContent>
        <w:p w:rsidR="00ED2DC7" w:rsidRDefault="00ED2DC7" w:rsidP="00036BDC">
          <w:pPr>
            <w:pStyle w:val="affffffffffffffffff2"/>
            <w:numPr>
              <w:ilvl w:val="3"/>
              <w:numId w:val="86"/>
            </w:numPr>
            <w:tabs>
              <w:tab w:val="left" w:pos="630"/>
            </w:tabs>
          </w:pPr>
          <w:r>
            <w:rPr>
              <w:rFonts w:hint="eastAsia"/>
            </w:rPr>
            <w:t>重要的合营企业或联营企业</w:t>
          </w:r>
        </w:p>
        <w:sdt>
          <w:sdtPr>
            <w:alias w:val="是否适用：重要的合营企业或联营企业[双击切换]"/>
            <w:tag w:val="_GBC_9973f58b324442d5879a5d16db0cd410"/>
            <w:id w:val="1969472117"/>
            <w:lock w:val="sdtContentLocked"/>
            <w:placeholder>
              <w:docPart w:val="GBC22222222222222222222222222222"/>
            </w:placeholder>
          </w:sdtPr>
          <w:sdtContent>
            <w:p w:rsidR="00ED2DC7" w:rsidRDefault="00ED2DC7">
              <w:r>
                <w:fldChar w:fldCharType="begin"/>
              </w:r>
              <w:r w:rsidR="009E469C">
                <w:instrText xml:space="preserve"> MACROBUTTON  SnrToggleCheckbox √适用 </w:instrText>
              </w:r>
              <w:r>
                <w:fldChar w:fldCharType="end"/>
              </w:r>
              <w:r>
                <w:fldChar w:fldCharType="begin"/>
              </w:r>
              <w:r w:rsidR="009E469C">
                <w:instrText xml:space="preserve"> MACROBUTTON  SnrToggleCheckbox □不适用 </w:instrText>
              </w:r>
              <w:r>
                <w:fldChar w:fldCharType="end"/>
              </w:r>
            </w:p>
          </w:sdtContent>
        </w:sdt>
        <w:p w:rsidR="00ED2DC7" w:rsidRDefault="00ED2DC7">
          <w:pPr>
            <w:jc w:val="right"/>
          </w:pPr>
          <w:r>
            <w:rPr>
              <w:rFonts w:hint="eastAsia"/>
            </w:rPr>
            <w:t>单位:</w:t>
          </w:r>
          <w:sdt>
            <w:sdtPr>
              <w:rPr>
                <w:rFonts w:hint="eastAsia"/>
              </w:rPr>
              <w:alias w:val="单位：财务附注：重要的合营企业或联营企业"/>
              <w:tag w:val="_GBC_fc95ad35f9984b0c84fb2b12ebeb41db"/>
              <w:id w:val="185454176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hint="eastAsia"/>
                </w:rPr>
                <w:t>元</w:t>
              </w:r>
            </w:sdtContent>
          </w:sdt>
          <w:r>
            <w:rPr>
              <w:rFonts w:hint="eastAsia"/>
            </w:rPr>
            <w:t xml:space="preserve">  币种:</w:t>
          </w:r>
          <w:sdt>
            <w:sdtPr>
              <w:rPr>
                <w:rFonts w:hint="eastAsia"/>
              </w:rPr>
              <w:alias w:val="币种：财务附注：重要的合营企业或联营企业"/>
              <w:tag w:val="_GBC_95704750d12047c58739551fa2558d6f"/>
              <w:id w:val="-19520846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rPr>
                <w:t>人民币</w:t>
              </w:r>
            </w:sdtContent>
          </w:sdt>
        </w:p>
        <w:tbl>
          <w:tblPr>
            <w:tblStyle w:val="g38"/>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122"/>
            <w:gridCol w:w="859"/>
            <w:gridCol w:w="991"/>
            <w:gridCol w:w="1744"/>
            <w:gridCol w:w="1021"/>
            <w:gridCol w:w="1015"/>
            <w:gridCol w:w="1551"/>
          </w:tblGrid>
          <w:tr w:rsidR="00D1559D" w:rsidTr="00D1559D">
            <w:trPr>
              <w:trHeight w:val="451"/>
            </w:trPr>
            <w:bookmarkStart w:id="219" w:name="_Hlk16634632" w:displacedByCustomXml="next"/>
            <w:sdt>
              <w:sdtPr>
                <w:tag w:val="_PLD_bb6c91c88e754a5da79068d0b040e152"/>
                <w:id w:val="1434167054"/>
                <w:lock w:val="sdtLocked"/>
              </w:sdtPr>
              <w:sdtContent>
                <w:tc>
                  <w:tcPr>
                    <w:tcW w:w="676"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D1559D" w:rsidRDefault="00D1559D" w:rsidP="005210A3">
                    <w:pPr>
                      <w:jc w:val="center"/>
                      <w:rPr>
                        <w:rFonts w:cs="Arial"/>
                        <w:szCs w:val="21"/>
                      </w:rPr>
                    </w:pPr>
                    <w:r>
                      <w:rPr>
                        <w:rFonts w:cs="Arial" w:hint="eastAsia"/>
                        <w:szCs w:val="21"/>
                        <w:lang w:val="en-GB"/>
                      </w:rPr>
                      <w:t>合营企业或联营企业名称</w:t>
                    </w:r>
                  </w:p>
                </w:tc>
              </w:sdtContent>
            </w:sdt>
            <w:sdt>
              <w:sdtPr>
                <w:tag w:val="_PLD_4c91d89257574ee1a96260d900b3fdde"/>
                <w:id w:val="353854672"/>
                <w:lock w:val="sdtLocked"/>
              </w:sdtPr>
              <w:sdtContent>
                <w:tc>
                  <w:tcPr>
                    <w:tcW w:w="517"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D1559D" w:rsidRDefault="00D1559D" w:rsidP="005210A3">
                    <w:pPr>
                      <w:jc w:val="center"/>
                      <w:rPr>
                        <w:rFonts w:cs="Arial"/>
                        <w:szCs w:val="21"/>
                      </w:rPr>
                    </w:pPr>
                    <w:r>
                      <w:rPr>
                        <w:rFonts w:cs="Arial" w:hint="eastAsia"/>
                        <w:szCs w:val="21"/>
                        <w:lang w:val="en-GB"/>
                      </w:rPr>
                      <w:t>主要经营地</w:t>
                    </w:r>
                  </w:p>
                </w:tc>
              </w:sdtContent>
            </w:sdt>
            <w:sdt>
              <w:sdtPr>
                <w:tag w:val="_PLD_4a3c73442b1947fdae2c0b554e7271a4"/>
                <w:id w:val="-400760178"/>
                <w:lock w:val="sdtLocked"/>
              </w:sdtPr>
              <w:sdtContent>
                <w:tc>
                  <w:tcPr>
                    <w:tcW w:w="597"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D1559D" w:rsidRDefault="00D1559D" w:rsidP="005210A3">
                    <w:pPr>
                      <w:jc w:val="center"/>
                      <w:rPr>
                        <w:rFonts w:cs="Arial"/>
                        <w:szCs w:val="21"/>
                      </w:rPr>
                    </w:pPr>
                    <w:r>
                      <w:rPr>
                        <w:rFonts w:cs="Arial" w:hint="eastAsia"/>
                        <w:szCs w:val="21"/>
                        <w:lang w:val="en-GB"/>
                      </w:rPr>
                      <w:t>注册地</w:t>
                    </w:r>
                  </w:p>
                </w:tc>
              </w:sdtContent>
            </w:sdt>
            <w:sdt>
              <w:sdtPr>
                <w:tag w:val="_PLD_07a3d19678c44b0db85c15fb74bf76d2"/>
                <w:id w:val="-971436443"/>
                <w:lock w:val="sdtLocked"/>
              </w:sdtPr>
              <w:sdtContent>
                <w:tc>
                  <w:tcPr>
                    <w:tcW w:w="1050"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D1559D" w:rsidRDefault="00D1559D" w:rsidP="005210A3">
                    <w:pPr>
                      <w:jc w:val="center"/>
                      <w:rPr>
                        <w:rFonts w:cs="Arial"/>
                        <w:szCs w:val="21"/>
                      </w:rPr>
                    </w:pPr>
                    <w:r>
                      <w:rPr>
                        <w:rFonts w:cs="Arial" w:hint="eastAsia"/>
                        <w:szCs w:val="21"/>
                        <w:lang w:val="en-GB"/>
                      </w:rPr>
                      <w:t>业务性质</w:t>
                    </w:r>
                  </w:p>
                </w:tc>
              </w:sdtContent>
            </w:sdt>
            <w:sdt>
              <w:sdtPr>
                <w:tag w:val="_PLD_cb67afe7283245a29754ca96c69b89fc"/>
                <w:id w:val="-1965187880"/>
                <w:lock w:val="sdtLocked"/>
              </w:sdtPr>
              <w:sdtContent>
                <w:tc>
                  <w:tcPr>
                    <w:tcW w:w="1226" w:type="pct"/>
                    <w:gridSpan w:val="2"/>
                    <w:tcBorders>
                      <w:top w:val="single" w:sz="4" w:space="0" w:color="auto"/>
                      <w:left w:val="single" w:sz="6" w:space="0" w:color="auto"/>
                      <w:bottom w:val="single" w:sz="6" w:space="0" w:color="auto"/>
                      <w:right w:val="single" w:sz="6" w:space="0" w:color="auto"/>
                    </w:tcBorders>
                    <w:shd w:val="clear" w:color="auto" w:fill="auto"/>
                    <w:vAlign w:val="center"/>
                  </w:tcPr>
                  <w:p w:rsidR="00D1559D" w:rsidRDefault="00D1559D" w:rsidP="005210A3">
                    <w:pPr>
                      <w:jc w:val="center"/>
                      <w:rPr>
                        <w:rFonts w:cs="Arial"/>
                        <w:szCs w:val="21"/>
                      </w:rPr>
                    </w:pPr>
                    <w:r>
                      <w:rPr>
                        <w:rFonts w:cs="Arial" w:hint="eastAsia"/>
                        <w:szCs w:val="21"/>
                        <w:lang w:val="en-GB"/>
                      </w:rPr>
                      <w:t>持股比例</w:t>
                    </w:r>
                    <w:r>
                      <w:rPr>
                        <w:rFonts w:cs="Arial"/>
                        <w:szCs w:val="21"/>
                      </w:rPr>
                      <w:t>(%)</w:t>
                    </w:r>
                  </w:p>
                </w:tc>
              </w:sdtContent>
            </w:sdt>
            <w:sdt>
              <w:sdtPr>
                <w:tag w:val="_PLD_0fddec4e9b2a4b3aa0f9a08859cf498e"/>
                <w:id w:val="1561591578"/>
                <w:lock w:val="sdtLocked"/>
              </w:sdtPr>
              <w:sdtContent>
                <w:tc>
                  <w:tcPr>
                    <w:tcW w:w="934" w:type="pct"/>
                    <w:vMerge w:val="restart"/>
                    <w:tcBorders>
                      <w:top w:val="single" w:sz="4" w:space="0" w:color="auto"/>
                      <w:left w:val="single" w:sz="6" w:space="0" w:color="auto"/>
                      <w:bottom w:val="single" w:sz="6" w:space="0" w:color="auto"/>
                      <w:right w:val="single" w:sz="4" w:space="0" w:color="auto"/>
                    </w:tcBorders>
                    <w:shd w:val="clear" w:color="auto" w:fill="auto"/>
                    <w:vAlign w:val="center"/>
                  </w:tcPr>
                  <w:p w:rsidR="00D1559D" w:rsidRDefault="00D1559D" w:rsidP="005210A3">
                    <w:pPr>
                      <w:jc w:val="center"/>
                      <w:rPr>
                        <w:rFonts w:cs="Arial"/>
                        <w:szCs w:val="21"/>
                      </w:rPr>
                    </w:pPr>
                    <w:r>
                      <w:rPr>
                        <w:rFonts w:cs="Arial" w:hint="eastAsia"/>
                        <w:szCs w:val="21"/>
                        <w:lang w:val="en-GB"/>
                      </w:rPr>
                      <w:t>对合营企业或联营企业投资</w:t>
                    </w:r>
                    <w:r>
                      <w:rPr>
                        <w:rFonts w:cs="Arial" w:hint="eastAsia"/>
                        <w:szCs w:val="21"/>
                        <w:lang w:val="en-GB"/>
                      </w:rPr>
                      <w:lastRenderedPageBreak/>
                      <w:t>的会计处理方法</w:t>
                    </w:r>
                  </w:p>
                </w:tc>
              </w:sdtContent>
            </w:sdt>
          </w:tr>
          <w:tr w:rsidR="00D1559D" w:rsidTr="00D1559D">
            <w:trPr>
              <w:trHeight w:val="278"/>
            </w:trPr>
            <w:tc>
              <w:tcPr>
                <w:tcW w:w="676" w:type="pct"/>
                <w:vMerge/>
                <w:tcBorders>
                  <w:top w:val="single" w:sz="4" w:space="0" w:color="auto"/>
                  <w:left w:val="single" w:sz="4" w:space="0" w:color="auto"/>
                  <w:bottom w:val="single" w:sz="6" w:space="0" w:color="auto"/>
                  <w:right w:val="single" w:sz="6" w:space="0" w:color="auto"/>
                </w:tcBorders>
                <w:shd w:val="clear" w:color="auto" w:fill="auto"/>
                <w:vAlign w:val="center"/>
              </w:tcPr>
              <w:p w:rsidR="00D1559D" w:rsidRDefault="00D1559D" w:rsidP="005210A3">
                <w:pPr>
                  <w:rPr>
                    <w:rFonts w:cs="Arial"/>
                    <w:szCs w:val="21"/>
                  </w:rPr>
                </w:pPr>
              </w:p>
            </w:tc>
            <w:tc>
              <w:tcPr>
                <w:tcW w:w="517" w:type="pct"/>
                <w:vMerge/>
                <w:tcBorders>
                  <w:top w:val="single" w:sz="4" w:space="0" w:color="auto"/>
                  <w:left w:val="single" w:sz="6" w:space="0" w:color="auto"/>
                  <w:bottom w:val="single" w:sz="6" w:space="0" w:color="auto"/>
                  <w:right w:val="single" w:sz="6" w:space="0" w:color="auto"/>
                </w:tcBorders>
                <w:shd w:val="clear" w:color="auto" w:fill="auto"/>
                <w:vAlign w:val="center"/>
              </w:tcPr>
              <w:p w:rsidR="00D1559D" w:rsidRDefault="00D1559D" w:rsidP="005210A3">
                <w:pPr>
                  <w:rPr>
                    <w:rFonts w:cs="Arial"/>
                    <w:szCs w:val="21"/>
                  </w:rPr>
                </w:pPr>
              </w:p>
            </w:tc>
            <w:tc>
              <w:tcPr>
                <w:tcW w:w="597" w:type="pct"/>
                <w:vMerge/>
                <w:tcBorders>
                  <w:top w:val="single" w:sz="4" w:space="0" w:color="auto"/>
                  <w:left w:val="single" w:sz="6" w:space="0" w:color="auto"/>
                  <w:bottom w:val="single" w:sz="6" w:space="0" w:color="auto"/>
                  <w:right w:val="single" w:sz="6" w:space="0" w:color="auto"/>
                </w:tcBorders>
                <w:shd w:val="clear" w:color="auto" w:fill="auto"/>
                <w:vAlign w:val="center"/>
              </w:tcPr>
              <w:p w:rsidR="00D1559D" w:rsidRDefault="00D1559D" w:rsidP="005210A3">
                <w:pPr>
                  <w:rPr>
                    <w:rFonts w:cs="Arial"/>
                    <w:szCs w:val="21"/>
                  </w:rPr>
                </w:pPr>
              </w:p>
            </w:tc>
            <w:tc>
              <w:tcPr>
                <w:tcW w:w="1050" w:type="pct"/>
                <w:vMerge/>
                <w:tcBorders>
                  <w:top w:val="single" w:sz="4" w:space="0" w:color="auto"/>
                  <w:left w:val="single" w:sz="6" w:space="0" w:color="auto"/>
                  <w:bottom w:val="single" w:sz="6" w:space="0" w:color="auto"/>
                  <w:right w:val="single" w:sz="6" w:space="0" w:color="auto"/>
                </w:tcBorders>
                <w:shd w:val="clear" w:color="auto" w:fill="auto"/>
                <w:vAlign w:val="center"/>
              </w:tcPr>
              <w:p w:rsidR="00D1559D" w:rsidRDefault="00D1559D" w:rsidP="005210A3">
                <w:pPr>
                  <w:rPr>
                    <w:rFonts w:cs="Arial"/>
                    <w:szCs w:val="21"/>
                  </w:rPr>
                </w:pPr>
              </w:p>
            </w:tc>
            <w:sdt>
              <w:sdtPr>
                <w:tag w:val="_PLD_42f14f52720a4c87819c9bd5211ded18"/>
                <w:id w:val="-49993506"/>
                <w:lock w:val="sdtLocked"/>
              </w:sdtPr>
              <w:sdtContent>
                <w:tc>
                  <w:tcPr>
                    <w:tcW w:w="615" w:type="pct"/>
                    <w:tcBorders>
                      <w:top w:val="single" w:sz="4" w:space="0" w:color="auto"/>
                      <w:left w:val="single" w:sz="6" w:space="0" w:color="auto"/>
                      <w:bottom w:val="single" w:sz="6" w:space="0" w:color="auto"/>
                      <w:right w:val="single" w:sz="6" w:space="0" w:color="auto"/>
                    </w:tcBorders>
                    <w:shd w:val="clear" w:color="auto" w:fill="auto"/>
                    <w:vAlign w:val="center"/>
                  </w:tcPr>
                  <w:p w:rsidR="00D1559D" w:rsidRDefault="00D1559D" w:rsidP="005210A3">
                    <w:pPr>
                      <w:jc w:val="center"/>
                      <w:rPr>
                        <w:rFonts w:cs="Arial"/>
                        <w:szCs w:val="21"/>
                      </w:rPr>
                    </w:pPr>
                    <w:r>
                      <w:rPr>
                        <w:rFonts w:cs="Arial" w:hint="eastAsia"/>
                        <w:szCs w:val="21"/>
                        <w:lang w:val="en-GB"/>
                      </w:rPr>
                      <w:t>直接</w:t>
                    </w:r>
                  </w:p>
                </w:tc>
              </w:sdtContent>
            </w:sdt>
            <w:sdt>
              <w:sdtPr>
                <w:tag w:val="_PLD_e87318e11f6c4411aa17083e3a10cd90"/>
                <w:id w:val="243545547"/>
                <w:lock w:val="sdtLocked"/>
              </w:sdtPr>
              <w:sdtContent>
                <w:tc>
                  <w:tcPr>
                    <w:tcW w:w="611" w:type="pct"/>
                    <w:tcBorders>
                      <w:top w:val="single" w:sz="4" w:space="0" w:color="auto"/>
                      <w:left w:val="single" w:sz="6" w:space="0" w:color="auto"/>
                      <w:bottom w:val="single" w:sz="6" w:space="0" w:color="auto"/>
                      <w:right w:val="single" w:sz="6" w:space="0" w:color="auto"/>
                    </w:tcBorders>
                    <w:shd w:val="clear" w:color="auto" w:fill="auto"/>
                    <w:vAlign w:val="center"/>
                  </w:tcPr>
                  <w:p w:rsidR="00D1559D" w:rsidRDefault="00D1559D" w:rsidP="005210A3">
                    <w:pPr>
                      <w:jc w:val="center"/>
                      <w:rPr>
                        <w:rFonts w:cs="Arial"/>
                        <w:szCs w:val="21"/>
                      </w:rPr>
                    </w:pPr>
                    <w:r>
                      <w:rPr>
                        <w:rFonts w:cs="Arial" w:hint="eastAsia"/>
                        <w:szCs w:val="21"/>
                        <w:lang w:val="en-GB"/>
                      </w:rPr>
                      <w:t>间接</w:t>
                    </w:r>
                  </w:p>
                </w:tc>
              </w:sdtContent>
            </w:sdt>
            <w:tc>
              <w:tcPr>
                <w:tcW w:w="934" w:type="pct"/>
                <w:vMerge/>
                <w:tcBorders>
                  <w:top w:val="single" w:sz="4" w:space="0" w:color="auto"/>
                  <w:left w:val="single" w:sz="6" w:space="0" w:color="auto"/>
                  <w:bottom w:val="single" w:sz="6" w:space="0" w:color="auto"/>
                  <w:right w:val="single" w:sz="4" w:space="0" w:color="auto"/>
                </w:tcBorders>
                <w:vAlign w:val="center"/>
              </w:tcPr>
              <w:p w:rsidR="00D1559D" w:rsidRDefault="00D1559D" w:rsidP="005210A3">
                <w:pPr>
                  <w:rPr>
                    <w:rFonts w:cs="Arial"/>
                    <w:szCs w:val="21"/>
                  </w:rPr>
                </w:pPr>
              </w:p>
            </w:tc>
          </w:tr>
          <w:sdt>
            <w:sdtPr>
              <w:rPr>
                <w:rFonts w:asciiTheme="minorHAnsi" w:eastAsiaTheme="minorEastAsia" w:hAnsiTheme="minorHAnsi" w:cstheme="minorBidi"/>
                <w:kern w:val="2"/>
                <w:szCs w:val="21"/>
              </w:rPr>
              <w:alias w:val="重要的合营企业或联营企业明细"/>
              <w:tag w:val="_GBC_a1baed559822472c8c78b05cadceb35a"/>
              <w:id w:val="160825737"/>
              <w:lock w:val="sdtLocked"/>
            </w:sdtPr>
            <w:sdtContent>
              <w:tr w:rsidR="00D1559D" w:rsidTr="00D1559D">
                <w:tc>
                  <w:tcPr>
                    <w:tcW w:w="676" w:type="pct"/>
                    <w:tcBorders>
                      <w:top w:val="single" w:sz="6" w:space="0" w:color="auto"/>
                      <w:left w:val="single" w:sz="4" w:space="0" w:color="auto"/>
                      <w:bottom w:val="single" w:sz="4" w:space="0" w:color="auto"/>
                      <w:right w:val="single" w:sz="6" w:space="0" w:color="auto"/>
                    </w:tcBorders>
                  </w:tcPr>
                  <w:p w:rsidR="00D1559D" w:rsidRDefault="00D1559D" w:rsidP="005210A3">
                    <w:pPr>
                      <w:rPr>
                        <w:szCs w:val="21"/>
                      </w:rPr>
                    </w:pPr>
                    <w:r>
                      <w:t>中关村银行</w:t>
                    </w:r>
                  </w:p>
                </w:tc>
                <w:tc>
                  <w:tcPr>
                    <w:tcW w:w="517" w:type="pct"/>
                    <w:tcBorders>
                      <w:top w:val="single" w:sz="6" w:space="0" w:color="auto"/>
                      <w:left w:val="single" w:sz="6" w:space="0" w:color="auto"/>
                      <w:bottom w:val="single" w:sz="4" w:space="0" w:color="auto"/>
                      <w:right w:val="single" w:sz="6" w:space="0" w:color="auto"/>
                    </w:tcBorders>
                  </w:tcPr>
                  <w:p w:rsidR="00D1559D" w:rsidRDefault="00D1559D" w:rsidP="005210A3">
                    <w:pPr>
                      <w:rPr>
                        <w:szCs w:val="21"/>
                      </w:rPr>
                    </w:pPr>
                    <w:r>
                      <w:t>北京市</w:t>
                    </w:r>
                  </w:p>
                </w:tc>
                <w:tc>
                  <w:tcPr>
                    <w:tcW w:w="597" w:type="pct"/>
                    <w:tcBorders>
                      <w:top w:val="single" w:sz="6" w:space="0" w:color="auto"/>
                      <w:left w:val="single" w:sz="6" w:space="0" w:color="auto"/>
                      <w:bottom w:val="single" w:sz="4" w:space="0" w:color="auto"/>
                      <w:right w:val="single" w:sz="6" w:space="0" w:color="auto"/>
                    </w:tcBorders>
                  </w:tcPr>
                  <w:p w:rsidR="00D1559D" w:rsidRDefault="00D1559D" w:rsidP="005210A3">
                    <w:pPr>
                      <w:rPr>
                        <w:szCs w:val="21"/>
                      </w:rPr>
                    </w:pPr>
                    <w:r>
                      <w:t>北京市</w:t>
                    </w:r>
                  </w:p>
                </w:tc>
                <w:tc>
                  <w:tcPr>
                    <w:tcW w:w="1050" w:type="pct"/>
                    <w:tcBorders>
                      <w:top w:val="single" w:sz="6" w:space="0" w:color="auto"/>
                      <w:left w:val="single" w:sz="6" w:space="0" w:color="auto"/>
                      <w:bottom w:val="single" w:sz="4" w:space="0" w:color="auto"/>
                      <w:right w:val="single" w:sz="6" w:space="0" w:color="auto"/>
                    </w:tcBorders>
                  </w:tcPr>
                  <w:p w:rsidR="00D1559D" w:rsidRDefault="00D1559D" w:rsidP="005210A3">
                    <w:pPr>
                      <w:rPr>
                        <w:szCs w:val="21"/>
                      </w:rPr>
                    </w:pPr>
                    <w:r>
                      <w:t>吸收公众存款；发放短期、中期和长期贷款；办理国内外结算；办理票据承兑与贴现；发行金融债券；代理发行、代理兑付、承销政府债券；买卖政府债券、金融债券；从事同业拆借；买卖、代理买卖外汇；从事银行卡业务；提供信用证服务及担保；代理收付款项及代理保险业务；提供保管箱服务；经银行业监督管理机构批准的其他业务。</w:t>
                    </w:r>
                  </w:p>
                </w:tc>
                <w:tc>
                  <w:tcPr>
                    <w:tcW w:w="615" w:type="pct"/>
                    <w:tcBorders>
                      <w:top w:val="single" w:sz="6" w:space="0" w:color="auto"/>
                      <w:left w:val="single" w:sz="6" w:space="0" w:color="auto"/>
                      <w:bottom w:val="single" w:sz="4" w:space="0" w:color="auto"/>
                      <w:right w:val="single" w:sz="6" w:space="0" w:color="auto"/>
                    </w:tcBorders>
                  </w:tcPr>
                  <w:p w:rsidR="00D1559D" w:rsidRDefault="00D1559D" w:rsidP="005210A3">
                    <w:pPr>
                      <w:jc w:val="right"/>
                      <w:rPr>
                        <w:szCs w:val="21"/>
                      </w:rPr>
                    </w:pPr>
                    <w:r>
                      <w:t>29.8</w:t>
                    </w:r>
                  </w:p>
                </w:tc>
                <w:tc>
                  <w:tcPr>
                    <w:tcW w:w="611" w:type="pct"/>
                    <w:tcBorders>
                      <w:top w:val="single" w:sz="6" w:space="0" w:color="auto"/>
                      <w:left w:val="single" w:sz="6" w:space="0" w:color="auto"/>
                      <w:bottom w:val="single" w:sz="4" w:space="0" w:color="auto"/>
                      <w:right w:val="single" w:sz="6" w:space="0" w:color="auto"/>
                    </w:tcBorders>
                  </w:tcPr>
                  <w:p w:rsidR="00D1559D" w:rsidRDefault="00D1559D" w:rsidP="005210A3">
                    <w:pPr>
                      <w:jc w:val="right"/>
                      <w:rPr>
                        <w:szCs w:val="21"/>
                      </w:rPr>
                    </w:pPr>
                    <w:r>
                      <w:t>-</w:t>
                    </w:r>
                  </w:p>
                </w:tc>
                <w:tc>
                  <w:tcPr>
                    <w:tcW w:w="934" w:type="pct"/>
                    <w:tcBorders>
                      <w:top w:val="single" w:sz="6" w:space="0" w:color="auto"/>
                      <w:left w:val="single" w:sz="6" w:space="0" w:color="auto"/>
                      <w:bottom w:val="single" w:sz="4" w:space="0" w:color="auto"/>
                      <w:right w:val="single" w:sz="4" w:space="0" w:color="auto"/>
                    </w:tcBorders>
                  </w:tcPr>
                  <w:p w:rsidR="00D1559D" w:rsidRDefault="00D1559D" w:rsidP="005210A3">
                    <w:pPr>
                      <w:rPr>
                        <w:szCs w:val="21"/>
                      </w:rPr>
                    </w:pPr>
                    <w:r>
                      <w:t>权益法</w:t>
                    </w:r>
                  </w:p>
                </w:tc>
              </w:tr>
            </w:sdtContent>
          </w:sdt>
          <w:sdt>
            <w:sdtPr>
              <w:rPr>
                <w:rFonts w:asciiTheme="minorHAnsi" w:eastAsiaTheme="minorEastAsia" w:hAnsiTheme="minorHAnsi" w:cstheme="minorBidi"/>
                <w:kern w:val="2"/>
                <w:szCs w:val="21"/>
              </w:rPr>
              <w:alias w:val="重要的合营企业或联营企业明细"/>
              <w:tag w:val="_GBC_a1baed559822472c8c78b05cadceb35a"/>
              <w:id w:val="-75817253"/>
              <w:lock w:val="sdtLocked"/>
            </w:sdtPr>
            <w:sdtContent>
              <w:tr w:rsidR="00D1559D" w:rsidTr="00D1559D">
                <w:tc>
                  <w:tcPr>
                    <w:tcW w:w="676" w:type="pct"/>
                    <w:tcBorders>
                      <w:top w:val="single" w:sz="6" w:space="0" w:color="auto"/>
                      <w:left w:val="single" w:sz="4" w:space="0" w:color="auto"/>
                      <w:bottom w:val="single" w:sz="4" w:space="0" w:color="auto"/>
                      <w:right w:val="single" w:sz="6" w:space="0" w:color="auto"/>
                    </w:tcBorders>
                  </w:tcPr>
                  <w:p w:rsidR="00D1559D" w:rsidRDefault="00D1559D" w:rsidP="005210A3">
                    <w:pPr>
                      <w:rPr>
                        <w:szCs w:val="21"/>
                      </w:rPr>
                    </w:pPr>
                  </w:p>
                </w:tc>
                <w:tc>
                  <w:tcPr>
                    <w:tcW w:w="517" w:type="pct"/>
                    <w:tcBorders>
                      <w:top w:val="single" w:sz="6" w:space="0" w:color="auto"/>
                      <w:left w:val="single" w:sz="6" w:space="0" w:color="auto"/>
                      <w:bottom w:val="single" w:sz="4" w:space="0" w:color="auto"/>
                      <w:right w:val="single" w:sz="6" w:space="0" w:color="auto"/>
                    </w:tcBorders>
                  </w:tcPr>
                  <w:p w:rsidR="00D1559D" w:rsidRDefault="00D1559D" w:rsidP="005210A3">
                    <w:pPr>
                      <w:rPr>
                        <w:szCs w:val="21"/>
                      </w:rPr>
                    </w:pPr>
                  </w:p>
                </w:tc>
                <w:tc>
                  <w:tcPr>
                    <w:tcW w:w="597" w:type="pct"/>
                    <w:tcBorders>
                      <w:top w:val="single" w:sz="6" w:space="0" w:color="auto"/>
                      <w:left w:val="single" w:sz="6" w:space="0" w:color="auto"/>
                      <w:bottom w:val="single" w:sz="4" w:space="0" w:color="auto"/>
                      <w:right w:val="single" w:sz="6" w:space="0" w:color="auto"/>
                    </w:tcBorders>
                  </w:tcPr>
                  <w:p w:rsidR="00D1559D" w:rsidRDefault="00D1559D" w:rsidP="005210A3">
                    <w:pPr>
                      <w:rPr>
                        <w:szCs w:val="21"/>
                      </w:rPr>
                    </w:pPr>
                  </w:p>
                </w:tc>
                <w:tc>
                  <w:tcPr>
                    <w:tcW w:w="1050" w:type="pct"/>
                    <w:tcBorders>
                      <w:top w:val="single" w:sz="6" w:space="0" w:color="auto"/>
                      <w:left w:val="single" w:sz="6" w:space="0" w:color="auto"/>
                      <w:bottom w:val="single" w:sz="4" w:space="0" w:color="auto"/>
                      <w:right w:val="single" w:sz="6" w:space="0" w:color="auto"/>
                    </w:tcBorders>
                  </w:tcPr>
                  <w:p w:rsidR="00D1559D" w:rsidRDefault="00D1559D" w:rsidP="005210A3">
                    <w:pPr>
                      <w:rPr>
                        <w:szCs w:val="21"/>
                      </w:rPr>
                    </w:pPr>
                  </w:p>
                </w:tc>
                <w:tc>
                  <w:tcPr>
                    <w:tcW w:w="615" w:type="pct"/>
                    <w:tcBorders>
                      <w:top w:val="single" w:sz="6" w:space="0" w:color="auto"/>
                      <w:left w:val="single" w:sz="6" w:space="0" w:color="auto"/>
                      <w:bottom w:val="single" w:sz="4" w:space="0" w:color="auto"/>
                      <w:right w:val="single" w:sz="6" w:space="0" w:color="auto"/>
                    </w:tcBorders>
                  </w:tcPr>
                  <w:p w:rsidR="00D1559D" w:rsidRDefault="00D1559D" w:rsidP="005210A3">
                    <w:pPr>
                      <w:jc w:val="right"/>
                      <w:rPr>
                        <w:szCs w:val="21"/>
                      </w:rPr>
                    </w:pPr>
                  </w:p>
                </w:tc>
                <w:tc>
                  <w:tcPr>
                    <w:tcW w:w="611" w:type="pct"/>
                    <w:tcBorders>
                      <w:top w:val="single" w:sz="6" w:space="0" w:color="auto"/>
                      <w:left w:val="single" w:sz="6" w:space="0" w:color="auto"/>
                      <w:bottom w:val="single" w:sz="4" w:space="0" w:color="auto"/>
                      <w:right w:val="single" w:sz="6" w:space="0" w:color="auto"/>
                    </w:tcBorders>
                  </w:tcPr>
                  <w:p w:rsidR="00D1559D" w:rsidRDefault="00D1559D" w:rsidP="005210A3">
                    <w:pPr>
                      <w:jc w:val="right"/>
                      <w:rPr>
                        <w:szCs w:val="21"/>
                      </w:rPr>
                    </w:pPr>
                  </w:p>
                </w:tc>
                <w:tc>
                  <w:tcPr>
                    <w:tcW w:w="934" w:type="pct"/>
                    <w:tcBorders>
                      <w:top w:val="single" w:sz="6" w:space="0" w:color="auto"/>
                      <w:left w:val="single" w:sz="6" w:space="0" w:color="auto"/>
                      <w:bottom w:val="single" w:sz="4" w:space="0" w:color="auto"/>
                      <w:right w:val="single" w:sz="4" w:space="0" w:color="auto"/>
                    </w:tcBorders>
                  </w:tcPr>
                  <w:p w:rsidR="00D1559D" w:rsidRDefault="00D1559D" w:rsidP="005210A3">
                    <w:pPr>
                      <w:rPr>
                        <w:szCs w:val="21"/>
                      </w:rPr>
                    </w:pPr>
                  </w:p>
                </w:tc>
              </w:tr>
            </w:sdtContent>
          </w:sdt>
          <w:bookmarkEnd w:id="219"/>
        </w:tbl>
        <w:p w:rsidR="00D1559D" w:rsidRDefault="00D1559D"/>
        <w:p w:rsidR="00ED2DC7" w:rsidRDefault="00ED2DC7">
          <w:pPr>
            <w:rPr>
              <w:rFonts w:cs="Arial"/>
              <w:szCs w:val="21"/>
            </w:rPr>
          </w:pPr>
          <w:r>
            <w:rPr>
              <w:rFonts w:cs="Arial" w:hint="eastAsia"/>
              <w:szCs w:val="21"/>
            </w:rPr>
            <w:t>在合营企业或联营企业的持股比例不同于表决权比例的说明：</w:t>
          </w:r>
        </w:p>
        <w:p w:rsidR="00ED2DC7" w:rsidRDefault="000D0A99">
          <w:pPr>
            <w:rPr>
              <w:rFonts w:cs="Arial"/>
              <w:szCs w:val="21"/>
            </w:rPr>
          </w:pPr>
          <w:sdt>
            <w:sdtPr>
              <w:rPr>
                <w:rFonts w:cs="Arial"/>
                <w:szCs w:val="21"/>
              </w:rPr>
              <w:alias w:val="在合营企业或联营企业的持股比例不同于表决权比例的说明"/>
              <w:tag w:val="_GBC_b18385c11aff4424b360bd0cb4f81376"/>
              <w:id w:val="332738361"/>
              <w:lock w:val="sdtLocked"/>
              <w:placeholder>
                <w:docPart w:val="GBC22222222222222222222222222222"/>
              </w:placeholder>
            </w:sdtPr>
            <w:sdtContent>
              <w:r w:rsidR="00665D69">
                <w:rPr>
                  <w:rFonts w:cs="Arial" w:hint="eastAsia"/>
                  <w:szCs w:val="21"/>
                </w:rPr>
                <w:t>无。</w:t>
              </w:r>
            </w:sdtContent>
          </w:sdt>
        </w:p>
        <w:p w:rsidR="00ED2DC7" w:rsidRDefault="00ED2DC7">
          <w:pPr>
            <w:rPr>
              <w:rFonts w:cs="Arial"/>
              <w:szCs w:val="21"/>
            </w:rPr>
          </w:pPr>
        </w:p>
        <w:p w:rsidR="00ED2DC7" w:rsidRDefault="00ED2DC7">
          <w:pPr>
            <w:rPr>
              <w:rFonts w:cs="Arial"/>
              <w:szCs w:val="21"/>
            </w:rPr>
          </w:pPr>
          <w:r>
            <w:rPr>
              <w:rFonts w:cs="Arial" w:hint="eastAsia"/>
              <w:szCs w:val="21"/>
            </w:rPr>
            <w:t>持有</w:t>
          </w:r>
          <w:r>
            <w:rPr>
              <w:rFonts w:cs="Arial"/>
              <w:szCs w:val="21"/>
            </w:rPr>
            <w:t>20%以下表决权但具有重大影响，或者持有20%或以上表决权但不具有重大影响的依据：</w:t>
          </w:r>
        </w:p>
        <w:p w:rsidR="00ED2DC7" w:rsidRDefault="000D0A99">
          <w:pPr>
            <w:rPr>
              <w:rFonts w:cs="Arial"/>
              <w:szCs w:val="21"/>
            </w:rPr>
          </w:pPr>
          <w:sdt>
            <w:sdtPr>
              <w:rPr>
                <w:rFonts w:cs="Arial"/>
                <w:szCs w:val="21"/>
              </w:rPr>
              <w:alias w:val="持有20%以下表决权但具有重大影响，或者持有20%或以上表决权但不具有重大影响的依据"/>
              <w:tag w:val="_GBC_08a71a8c491f4c758da0748f7570fb28"/>
              <w:id w:val="-61569065"/>
              <w:lock w:val="sdtLocked"/>
              <w:placeholder>
                <w:docPart w:val="GBC22222222222222222222222222222"/>
              </w:placeholder>
            </w:sdtPr>
            <w:sdtContent>
              <w:r w:rsidR="008C237D">
                <w:rPr>
                  <w:rFonts w:cs="Arial" w:hint="eastAsia"/>
                  <w:szCs w:val="21"/>
                </w:rPr>
                <w:t>无</w:t>
              </w:r>
              <w:r w:rsidR="00594D04" w:rsidRPr="00594D04">
                <w:rPr>
                  <w:rFonts w:cs="Arial"/>
                  <w:szCs w:val="21"/>
                </w:rPr>
                <w:t>。</w:t>
              </w:r>
            </w:sdtContent>
          </w:sdt>
        </w:p>
        <w:p w:rsidR="00ED2DC7" w:rsidRDefault="000D0A99">
          <w:pPr>
            <w:rPr>
              <w:rFonts w:cstheme="minorBidi"/>
              <w:szCs w:val="21"/>
            </w:rPr>
          </w:pPr>
        </w:p>
      </w:sdtContent>
    </w:sdt>
    <w:p w:rsidR="00ED2DC7" w:rsidRDefault="00ED2DC7" w:rsidP="00036BDC">
      <w:pPr>
        <w:pStyle w:val="affffffffffffffffff2"/>
        <w:numPr>
          <w:ilvl w:val="3"/>
          <w:numId w:val="86"/>
        </w:numPr>
        <w:tabs>
          <w:tab w:val="left" w:pos="630"/>
        </w:tabs>
        <w:rPr>
          <w:rFonts w:ascii="宋体" w:hAnsi="宋体" w:cs="Arial"/>
          <w:szCs w:val="21"/>
        </w:rPr>
      </w:pPr>
      <w:r>
        <w:rPr>
          <w:rFonts w:ascii="宋体" w:hAnsi="宋体" w:cs="Arial" w:hint="eastAsia"/>
          <w:szCs w:val="21"/>
        </w:rPr>
        <w:t>重要合营企业的主要财务信息</w:t>
      </w:r>
    </w:p>
    <w:p w:rsidR="00665D69" w:rsidRDefault="000D0A99" w:rsidP="00665D69">
      <w:pPr>
        <w:rPr>
          <w:rFonts w:cstheme="minorBidi"/>
          <w:szCs w:val="21"/>
        </w:rPr>
      </w:pPr>
      <w:sdt>
        <w:sdtPr>
          <w:rPr>
            <w:rFonts w:hint="eastAsia"/>
            <w:b/>
          </w:rPr>
          <w:alias w:val="是否适用：重要合营企业的主要财务信息[双击切换]"/>
          <w:tag w:val="_GBC_6241cde567c342139ae6186afeea9fb4"/>
          <w:id w:val="-673950120"/>
          <w:lock w:val="sdtContentLocked"/>
          <w:placeholder>
            <w:docPart w:val="GBC22222222222222222222222222222"/>
          </w:placeholder>
        </w:sdtPr>
        <w:sdtEndPr>
          <w:rPr>
            <w:b w:val="0"/>
          </w:rPr>
        </w:sdtEndPr>
        <w:sdtContent>
          <w:r w:rsidR="00ED2DC7">
            <w:fldChar w:fldCharType="begin"/>
          </w:r>
          <w:r w:rsidR="00665D69">
            <w:instrText xml:space="preserve"> MACROBUTTON  SnrToggleCheckbox □适用 </w:instrText>
          </w:r>
          <w:r w:rsidR="00ED2DC7">
            <w:fldChar w:fldCharType="end"/>
          </w:r>
          <w:r w:rsidR="00ED2DC7">
            <w:fldChar w:fldCharType="begin"/>
          </w:r>
          <w:r w:rsidR="00665D69">
            <w:instrText xml:space="preserve"> MACROBUTTON  SnrToggleCheckbox √不适用 </w:instrText>
          </w:r>
          <w:r w:rsidR="00ED2DC7">
            <w:fldChar w:fldCharType="end"/>
          </w:r>
        </w:sdtContent>
      </w:sdt>
    </w:p>
    <w:p w:rsidR="00ED2DC7" w:rsidRPr="007C4692" w:rsidRDefault="00ED2DC7" w:rsidP="00036BDC">
      <w:pPr>
        <w:pStyle w:val="affffffffffffffffff2"/>
        <w:numPr>
          <w:ilvl w:val="3"/>
          <w:numId w:val="86"/>
        </w:numPr>
        <w:tabs>
          <w:tab w:val="left" w:pos="630"/>
        </w:tabs>
        <w:rPr>
          <w:rFonts w:ascii="宋体" w:hAnsi="宋体" w:cs="Arial"/>
          <w:szCs w:val="21"/>
        </w:rPr>
      </w:pPr>
      <w:r w:rsidRPr="007C4692">
        <w:rPr>
          <w:rFonts w:ascii="宋体" w:hAnsi="宋体" w:cs="Arial" w:hint="eastAsia"/>
          <w:szCs w:val="21"/>
        </w:rPr>
        <w:t>重要联营企业的主要财务信息</w:t>
      </w:r>
    </w:p>
    <w:p w:rsidR="00ED2DC7" w:rsidRDefault="000D0A99">
      <w:sdt>
        <w:sdtPr>
          <w:rPr>
            <w:rFonts w:hint="eastAsia"/>
            <w:b/>
          </w:rPr>
          <w:alias w:val="是否适用：重要联营企业的主要财务信息[双击切换]"/>
          <w:tag w:val="_GBC_e304b69adb6f449495c3916754024763"/>
          <w:id w:val="-748044087"/>
          <w:lock w:val="sdtContentLocked"/>
          <w:placeholder>
            <w:docPart w:val="GBC22222222222222222222222222222"/>
          </w:placeholder>
        </w:sdtPr>
        <w:sdtEndPr>
          <w:rPr>
            <w:b w:val="0"/>
          </w:rPr>
        </w:sdtEndPr>
        <w:sdtContent>
          <w:r w:rsidR="00ED2DC7">
            <w:fldChar w:fldCharType="begin"/>
          </w:r>
          <w:r w:rsidR="00665D69">
            <w:instrText xml:space="preserve"> MACROBUTTON  SnrToggleCheckbox √适用 </w:instrText>
          </w:r>
          <w:r w:rsidR="00ED2DC7">
            <w:fldChar w:fldCharType="end"/>
          </w:r>
          <w:r w:rsidR="00ED2DC7">
            <w:fldChar w:fldCharType="begin"/>
          </w:r>
          <w:r w:rsidR="00665D69">
            <w:instrText xml:space="preserve"> MACROBUTTON  SnrToggleCheckbox □不适用 </w:instrText>
          </w:r>
          <w:r w:rsidR="00ED2DC7">
            <w:fldChar w:fldCharType="end"/>
          </w:r>
        </w:sdtContent>
      </w:sdt>
    </w:p>
    <w:p w:rsidR="00ED2DC7" w:rsidRDefault="00ED2DC7">
      <w:pPr>
        <w:jc w:val="right"/>
      </w:pPr>
      <w:r>
        <w:rPr>
          <w:rFonts w:hint="eastAsia"/>
        </w:rPr>
        <w:t>单位：</w:t>
      </w:r>
      <w:sdt>
        <w:sdtPr>
          <w:rPr>
            <w:rFonts w:hint="eastAsia"/>
          </w:rPr>
          <w:alias w:val="单位：财务附注：重要联营企业的主要财务信息"/>
          <w:tag w:val="_GBC_0306b30be35040cd86d2b964142011d4"/>
          <w:id w:val="106838939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hint="eastAsia"/>
            </w:rPr>
            <w:t>元</w:t>
          </w:r>
        </w:sdtContent>
      </w:sdt>
      <w:r>
        <w:rPr>
          <w:rFonts w:hint="eastAsia"/>
        </w:rPr>
        <w:t xml:space="preserve">  币种：</w:t>
      </w:r>
      <w:sdt>
        <w:sdtPr>
          <w:rPr>
            <w:rFonts w:hint="eastAsia"/>
          </w:rPr>
          <w:alias w:val="币种：财务附注：重要联营企业的主要财务信息"/>
          <w:tag w:val="_GBC_a2e655bae21746219bfd958c6f5b8be9"/>
          <w:id w:val="13194654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rPr>
            <w:t>人民币</w:t>
          </w:r>
        </w:sdtContent>
      </w:sdt>
    </w:p>
    <w:sdt>
      <w:sdtPr>
        <w:alias w:val="模块:重要联营企业的主要财务信息"/>
        <w:tag w:val="_GBC_ac3eed998bbd4658ab651a88daefefb1"/>
        <w:id w:val="-2009900420"/>
        <w:lock w:val="sdtLocked"/>
        <w:placeholder>
          <w:docPart w:val="GBC22222222222222222222222222222"/>
        </w:placeholder>
      </w:sdtPr>
      <w:sdtContent>
        <w:tbl>
          <w:tblPr>
            <w:tblStyle w:val="g38"/>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531"/>
            <w:gridCol w:w="1581"/>
            <w:gridCol w:w="1251"/>
            <w:gridCol w:w="1687"/>
            <w:gridCol w:w="1250"/>
          </w:tblGrid>
          <w:tr w:rsidR="00321199" w:rsidTr="006C0381">
            <w:trPr>
              <w:trHeight w:val="120"/>
            </w:trPr>
            <w:tc>
              <w:tcPr>
                <w:tcW w:w="1525" w:type="pct"/>
                <w:vMerge w:val="restart"/>
                <w:tcBorders>
                  <w:top w:val="single" w:sz="4" w:space="0" w:color="auto"/>
                  <w:left w:val="single" w:sz="4" w:space="0" w:color="auto"/>
                  <w:bottom w:val="single" w:sz="6" w:space="0" w:color="auto"/>
                  <w:right w:val="single" w:sz="6" w:space="0" w:color="auto"/>
                </w:tcBorders>
                <w:shd w:val="clear" w:color="auto" w:fill="auto"/>
              </w:tcPr>
              <w:p w:rsidR="00321199" w:rsidRDefault="00321199" w:rsidP="006C0381">
                <w:pPr>
                  <w:jc w:val="center"/>
                  <w:rPr>
                    <w:rFonts w:cs="Arial"/>
                    <w:szCs w:val="21"/>
                  </w:rPr>
                </w:pPr>
              </w:p>
            </w:tc>
            <w:sdt>
              <w:sdtPr>
                <w:rPr>
                  <w:rFonts w:cs="Arial" w:hint="eastAsia"/>
                  <w:szCs w:val="21"/>
                  <w:lang w:val="en-GB"/>
                </w:rPr>
                <w:alias w:val="重要联营企业的主要财务信息-发生期间"/>
                <w:tag w:val="_GBC_3985273c74d84e5d9e0004348ff54fc3"/>
                <w:id w:val="652797916"/>
                <w:lock w:val="sdtLocked"/>
              </w:sdtPr>
              <w:sdtContent>
                <w:tc>
                  <w:tcPr>
                    <w:tcW w:w="1706" w:type="pct"/>
                    <w:gridSpan w:val="2"/>
                    <w:tcBorders>
                      <w:top w:val="single" w:sz="4" w:space="0" w:color="auto"/>
                      <w:left w:val="single" w:sz="6" w:space="0" w:color="auto"/>
                      <w:bottom w:val="single" w:sz="6" w:space="0" w:color="auto"/>
                      <w:right w:val="single" w:sz="6" w:space="0" w:color="auto"/>
                    </w:tcBorders>
                    <w:shd w:val="clear" w:color="auto" w:fill="auto"/>
                    <w:vAlign w:val="center"/>
                  </w:tcPr>
                  <w:p w:rsidR="00321199" w:rsidRDefault="00321199" w:rsidP="006C0381">
                    <w:pPr>
                      <w:jc w:val="center"/>
                      <w:rPr>
                        <w:rFonts w:cs="Arial"/>
                        <w:szCs w:val="21"/>
                      </w:rPr>
                    </w:pPr>
                    <w:r>
                      <w:rPr>
                        <w:rFonts w:cs="Arial" w:hint="eastAsia"/>
                        <w:szCs w:val="21"/>
                        <w:lang w:val="en-GB"/>
                      </w:rPr>
                      <w:t>期末余额</w:t>
                    </w:r>
                    <w:r>
                      <w:rPr>
                        <w:rFonts w:cs="Arial"/>
                        <w:szCs w:val="21"/>
                      </w:rPr>
                      <w:t xml:space="preserve">/ </w:t>
                    </w:r>
                    <w:r>
                      <w:rPr>
                        <w:rFonts w:cs="Arial" w:hint="eastAsia"/>
                        <w:szCs w:val="21"/>
                        <w:lang w:val="en-GB"/>
                      </w:rPr>
                      <w:t>本期发生额</w:t>
                    </w:r>
                  </w:p>
                </w:tc>
              </w:sdtContent>
            </w:sdt>
            <w:sdt>
              <w:sdtPr>
                <w:rPr>
                  <w:rFonts w:cs="Arial" w:hint="eastAsia"/>
                  <w:szCs w:val="21"/>
                  <w:lang w:val="en-GB"/>
                </w:rPr>
                <w:alias w:val="重要联营企业的主要财务信息-发生期间"/>
                <w:tag w:val="_GBC_c59f213bf9cc43468db35ae8e45286d0"/>
                <w:id w:val="1622796640"/>
                <w:lock w:val="sdtLocked"/>
              </w:sdtPr>
              <w:sdtContent>
                <w:tc>
                  <w:tcPr>
                    <w:tcW w:w="1769" w:type="pct"/>
                    <w:gridSpan w:val="2"/>
                    <w:tcBorders>
                      <w:top w:val="single" w:sz="4" w:space="0" w:color="auto"/>
                      <w:left w:val="single" w:sz="6" w:space="0" w:color="auto"/>
                      <w:bottom w:val="single" w:sz="6" w:space="0" w:color="auto"/>
                      <w:right w:val="single" w:sz="6" w:space="0" w:color="auto"/>
                    </w:tcBorders>
                    <w:shd w:val="clear" w:color="auto" w:fill="auto"/>
                    <w:vAlign w:val="center"/>
                  </w:tcPr>
                  <w:p w:rsidR="00321199" w:rsidRDefault="00321199" w:rsidP="006C0381">
                    <w:pPr>
                      <w:jc w:val="center"/>
                      <w:rPr>
                        <w:rFonts w:cs="Arial"/>
                        <w:szCs w:val="21"/>
                        <w:lang w:val="en-GB"/>
                      </w:rPr>
                    </w:pPr>
                    <w:r>
                      <w:rPr>
                        <w:rFonts w:cs="Arial" w:hint="eastAsia"/>
                        <w:szCs w:val="21"/>
                        <w:lang w:val="en-GB"/>
                      </w:rPr>
                      <w:t>期初余额</w:t>
                    </w:r>
                    <w:r>
                      <w:rPr>
                        <w:rFonts w:cs="Arial"/>
                        <w:szCs w:val="21"/>
                      </w:rPr>
                      <w:t xml:space="preserve">/ </w:t>
                    </w:r>
                    <w:r>
                      <w:rPr>
                        <w:rFonts w:cs="Arial" w:hint="eastAsia"/>
                        <w:szCs w:val="21"/>
                        <w:lang w:val="en-GB"/>
                      </w:rPr>
                      <w:t>上期发生额</w:t>
                    </w:r>
                  </w:p>
                </w:tc>
              </w:sdtContent>
            </w:sdt>
          </w:tr>
          <w:tr w:rsidR="00321199" w:rsidTr="006C0381">
            <w:trPr>
              <w:trHeight w:val="120"/>
            </w:trPr>
            <w:tc>
              <w:tcPr>
                <w:tcW w:w="1525" w:type="pct"/>
                <w:vMerge/>
                <w:tcBorders>
                  <w:top w:val="single" w:sz="4" w:space="0" w:color="auto"/>
                  <w:left w:val="single" w:sz="4" w:space="0" w:color="auto"/>
                  <w:bottom w:val="single" w:sz="6" w:space="0" w:color="auto"/>
                  <w:right w:val="single" w:sz="6" w:space="0" w:color="auto"/>
                </w:tcBorders>
                <w:shd w:val="clear" w:color="auto" w:fill="auto"/>
                <w:vAlign w:val="center"/>
              </w:tcPr>
              <w:p w:rsidR="00321199" w:rsidRDefault="00321199" w:rsidP="006C0381">
                <w:pPr>
                  <w:rPr>
                    <w:rFonts w:cs="Arial"/>
                    <w:szCs w:val="21"/>
                  </w:rPr>
                </w:pPr>
              </w:p>
            </w:tc>
            <w:sdt>
              <w:sdtPr>
                <w:rPr>
                  <w:rFonts w:hint="eastAsia"/>
                  <w:szCs w:val="21"/>
                </w:rPr>
                <w:alias w:val="重要联营企业的主要财务信息明细-企业名称"/>
                <w:tag w:val="_GBC_0cae03adb6fc417da51f1e06cc077a6b"/>
                <w:id w:val="1946814665"/>
                <w:lock w:val="sdtLocked"/>
              </w:sdtPr>
              <w:sdtContent>
                <w:tc>
                  <w:tcPr>
                    <w:tcW w:w="952" w:type="pct"/>
                    <w:tcBorders>
                      <w:top w:val="single" w:sz="6" w:space="0" w:color="auto"/>
                      <w:left w:val="single" w:sz="6" w:space="0" w:color="auto"/>
                      <w:right w:val="single" w:sz="6" w:space="0" w:color="auto"/>
                    </w:tcBorders>
                    <w:shd w:val="clear" w:color="auto" w:fill="auto"/>
                  </w:tcPr>
                  <w:p w:rsidR="00321199" w:rsidRDefault="00321199" w:rsidP="006C0381">
                    <w:pPr>
                      <w:jc w:val="center"/>
                      <w:rPr>
                        <w:szCs w:val="21"/>
                      </w:rPr>
                    </w:pPr>
                    <w:r>
                      <w:rPr>
                        <w:rFonts w:hint="eastAsia"/>
                        <w:szCs w:val="21"/>
                      </w:rPr>
                      <w:t>中关村银行</w:t>
                    </w:r>
                  </w:p>
                </w:tc>
              </w:sdtContent>
            </w:sdt>
            <w:sdt>
              <w:sdtPr>
                <w:rPr>
                  <w:rFonts w:hint="eastAsia"/>
                  <w:szCs w:val="21"/>
                </w:rPr>
                <w:alias w:val="重要联营企业的主要财务信息明细-企业名称"/>
                <w:tag w:val="_GBC_0cae03adb6fc417da51f1e06cc077a6b"/>
                <w:id w:val="1401863119"/>
                <w:lock w:val="sdtLocked"/>
                <w:showingPlcHdr/>
              </w:sdtPr>
              <w:sdtContent>
                <w:tc>
                  <w:tcPr>
                    <w:tcW w:w="754" w:type="pct"/>
                    <w:tcBorders>
                      <w:top w:val="single" w:sz="6" w:space="0" w:color="auto"/>
                      <w:left w:val="single" w:sz="6" w:space="0" w:color="auto"/>
                      <w:right w:val="single" w:sz="6" w:space="0" w:color="auto"/>
                    </w:tcBorders>
                    <w:shd w:val="clear" w:color="auto" w:fill="auto"/>
                  </w:tcPr>
                  <w:p w:rsidR="00321199" w:rsidRDefault="008F04CF" w:rsidP="00B637B2">
                    <w:pPr>
                      <w:jc w:val="center"/>
                      <w:rPr>
                        <w:szCs w:val="21"/>
                      </w:rPr>
                    </w:pPr>
                    <w:r>
                      <w:rPr>
                        <w:szCs w:val="21"/>
                      </w:rPr>
                      <w:t xml:space="preserve">     </w:t>
                    </w:r>
                  </w:p>
                </w:tc>
              </w:sdtContent>
            </w:sdt>
            <w:sdt>
              <w:sdtPr>
                <w:rPr>
                  <w:rFonts w:hint="eastAsia"/>
                  <w:szCs w:val="21"/>
                </w:rPr>
                <w:alias w:val="重要联营企业的主要财务信息明细-企业名称"/>
                <w:tag w:val="_GBC_dabfa87f0eff42149952cca99a0db3a2"/>
                <w:id w:val="1381820048"/>
                <w:lock w:val="sdtLocked"/>
              </w:sdtPr>
              <w:sdtContent>
                <w:tc>
                  <w:tcPr>
                    <w:tcW w:w="1016" w:type="pct"/>
                    <w:tcBorders>
                      <w:top w:val="single" w:sz="6" w:space="0" w:color="auto"/>
                      <w:left w:val="single" w:sz="6" w:space="0" w:color="auto"/>
                      <w:bottom w:val="single" w:sz="6" w:space="0" w:color="auto"/>
                      <w:right w:val="single" w:sz="6" w:space="0" w:color="auto"/>
                    </w:tcBorders>
                    <w:shd w:val="clear" w:color="auto" w:fill="auto"/>
                  </w:tcPr>
                  <w:p w:rsidR="00321199" w:rsidRDefault="00321199" w:rsidP="006C0381">
                    <w:pPr>
                      <w:jc w:val="center"/>
                      <w:rPr>
                        <w:szCs w:val="21"/>
                      </w:rPr>
                    </w:pPr>
                    <w:r>
                      <w:rPr>
                        <w:rFonts w:hint="eastAsia"/>
                        <w:szCs w:val="21"/>
                      </w:rPr>
                      <w:t>中关村银行</w:t>
                    </w:r>
                  </w:p>
                </w:tc>
              </w:sdtContent>
            </w:sdt>
            <w:sdt>
              <w:sdtPr>
                <w:rPr>
                  <w:rFonts w:hint="eastAsia"/>
                  <w:szCs w:val="21"/>
                </w:rPr>
                <w:alias w:val="重要联营企业的主要财务信息明细-企业名称"/>
                <w:tag w:val="_GBC_dabfa87f0eff42149952cca99a0db3a2"/>
                <w:id w:val="-1790194820"/>
                <w:lock w:val="sdtLocked"/>
                <w:showingPlcHdr/>
              </w:sdtPr>
              <w:sdtContent>
                <w:tc>
                  <w:tcPr>
                    <w:tcW w:w="753" w:type="pct"/>
                    <w:tcBorders>
                      <w:top w:val="single" w:sz="6" w:space="0" w:color="auto"/>
                      <w:left w:val="single" w:sz="6" w:space="0" w:color="auto"/>
                      <w:bottom w:val="single" w:sz="6" w:space="0" w:color="auto"/>
                      <w:right w:val="single" w:sz="6" w:space="0" w:color="auto"/>
                    </w:tcBorders>
                    <w:shd w:val="clear" w:color="auto" w:fill="auto"/>
                  </w:tcPr>
                  <w:p w:rsidR="00321199" w:rsidRDefault="008F04CF" w:rsidP="00B637B2">
                    <w:pPr>
                      <w:jc w:val="center"/>
                      <w:rPr>
                        <w:szCs w:val="21"/>
                      </w:rPr>
                    </w:pPr>
                    <w:r>
                      <w:rPr>
                        <w:szCs w:val="21"/>
                      </w:rPr>
                      <w:t xml:space="preserve">     </w:t>
                    </w:r>
                  </w:p>
                </w:tc>
              </w:sdtContent>
            </w:sdt>
          </w:tr>
          <w:tr w:rsidR="00321199" w:rsidTr="006C0381">
            <w:sdt>
              <w:sdtPr>
                <w:tag w:val="_PLD_fef15ffbfdea4cb5a3d708c5ea8068c9"/>
                <w:id w:val="-1102561762"/>
                <w:lock w:val="sdtLocked"/>
              </w:sdtPr>
              <w:sdtContent>
                <w:tc>
                  <w:tcPr>
                    <w:tcW w:w="1525" w:type="pct"/>
                    <w:tcBorders>
                      <w:top w:val="single" w:sz="6" w:space="0" w:color="auto"/>
                      <w:left w:val="single" w:sz="4" w:space="0" w:color="auto"/>
                      <w:bottom w:val="single" w:sz="6" w:space="0" w:color="auto"/>
                      <w:right w:val="single" w:sz="6" w:space="0" w:color="auto"/>
                    </w:tcBorders>
                    <w:shd w:val="clear" w:color="auto" w:fill="auto"/>
                    <w:vAlign w:val="bottom"/>
                  </w:tcPr>
                  <w:p w:rsidR="00321199" w:rsidRDefault="00321199" w:rsidP="006C0381">
                    <w:pPr>
                      <w:rPr>
                        <w:rFonts w:cs="Arial"/>
                        <w:color w:val="000000"/>
                        <w:szCs w:val="21"/>
                      </w:rPr>
                    </w:pPr>
                    <w:r>
                      <w:rPr>
                        <w:rFonts w:cs="Arial" w:hint="eastAsia"/>
                        <w:color w:val="000000"/>
                        <w:szCs w:val="21"/>
                        <w:lang w:val="en-GB"/>
                      </w:rPr>
                      <w:t>流动资产</w:t>
                    </w:r>
                  </w:p>
                </w:tc>
              </w:sdtContent>
            </w:sdt>
            <w:tc>
              <w:tcPr>
                <w:tcW w:w="952" w:type="pct"/>
                <w:tcBorders>
                  <w:left w:val="single" w:sz="6" w:space="0" w:color="auto"/>
                  <w:right w:val="single" w:sz="6" w:space="0" w:color="auto"/>
                </w:tcBorders>
                <w:shd w:val="clear" w:color="auto" w:fill="auto"/>
              </w:tcPr>
              <w:p w:rsidR="00321199" w:rsidRDefault="00321199" w:rsidP="006C0381">
                <w:pPr>
                  <w:jc w:val="right"/>
                  <w:rPr>
                    <w:szCs w:val="21"/>
                  </w:rPr>
                </w:pPr>
              </w:p>
            </w:tc>
            <w:tc>
              <w:tcPr>
                <w:tcW w:w="754" w:type="pct"/>
                <w:tcBorders>
                  <w:left w:val="single" w:sz="6" w:space="0" w:color="auto"/>
                  <w:right w:val="single" w:sz="6" w:space="0" w:color="auto"/>
                </w:tcBorders>
                <w:shd w:val="clear" w:color="auto" w:fill="auto"/>
              </w:tcPr>
              <w:p w:rsidR="00321199" w:rsidRDefault="00321199" w:rsidP="006C0381">
                <w:pPr>
                  <w:jc w:val="right"/>
                  <w:rPr>
                    <w:szCs w:val="21"/>
                  </w:rPr>
                </w:pPr>
              </w:p>
            </w:tc>
            <w:tc>
              <w:tcPr>
                <w:tcW w:w="1016" w:type="pct"/>
                <w:tcBorders>
                  <w:top w:val="single" w:sz="6" w:space="0" w:color="auto"/>
                  <w:left w:val="single" w:sz="6" w:space="0" w:color="auto"/>
                  <w:bottom w:val="single" w:sz="6" w:space="0" w:color="auto"/>
                  <w:right w:val="single" w:sz="6" w:space="0" w:color="auto"/>
                </w:tcBorders>
              </w:tcPr>
              <w:p w:rsidR="00321199" w:rsidRDefault="00321199" w:rsidP="006C0381">
                <w:pPr>
                  <w:jc w:val="right"/>
                  <w:rPr>
                    <w:szCs w:val="21"/>
                  </w:rPr>
                </w:pPr>
              </w:p>
            </w:tc>
            <w:tc>
              <w:tcPr>
                <w:tcW w:w="753" w:type="pct"/>
                <w:tcBorders>
                  <w:top w:val="single" w:sz="6" w:space="0" w:color="auto"/>
                  <w:left w:val="single" w:sz="6" w:space="0" w:color="auto"/>
                  <w:bottom w:val="single" w:sz="6" w:space="0" w:color="auto"/>
                  <w:right w:val="single" w:sz="6" w:space="0" w:color="auto"/>
                </w:tcBorders>
              </w:tcPr>
              <w:p w:rsidR="00321199" w:rsidRDefault="00321199" w:rsidP="006C0381">
                <w:pPr>
                  <w:jc w:val="right"/>
                  <w:rPr>
                    <w:szCs w:val="21"/>
                  </w:rPr>
                </w:pPr>
              </w:p>
            </w:tc>
          </w:tr>
          <w:tr w:rsidR="00321199" w:rsidTr="006C0381">
            <w:sdt>
              <w:sdtPr>
                <w:tag w:val="_PLD_f31bdbdda3c24ef0ad64c4480cfaf1eb"/>
                <w:id w:val="1523430944"/>
                <w:lock w:val="sdtLocked"/>
              </w:sdtPr>
              <w:sdtContent>
                <w:tc>
                  <w:tcPr>
                    <w:tcW w:w="1525" w:type="pct"/>
                    <w:tcBorders>
                      <w:top w:val="single" w:sz="6" w:space="0" w:color="auto"/>
                      <w:left w:val="single" w:sz="4" w:space="0" w:color="auto"/>
                      <w:bottom w:val="single" w:sz="6" w:space="0" w:color="auto"/>
                      <w:right w:val="single" w:sz="6" w:space="0" w:color="auto"/>
                    </w:tcBorders>
                    <w:shd w:val="clear" w:color="auto" w:fill="auto"/>
                    <w:vAlign w:val="bottom"/>
                  </w:tcPr>
                  <w:p w:rsidR="00321199" w:rsidRDefault="00321199" w:rsidP="006C0381">
                    <w:pPr>
                      <w:rPr>
                        <w:rFonts w:cs="Arial"/>
                        <w:color w:val="000000"/>
                        <w:szCs w:val="21"/>
                      </w:rPr>
                    </w:pPr>
                    <w:r>
                      <w:rPr>
                        <w:rFonts w:cs="Arial" w:hint="eastAsia"/>
                        <w:color w:val="000000"/>
                        <w:szCs w:val="21"/>
                        <w:lang w:val="en-GB"/>
                      </w:rPr>
                      <w:t>非流动资产</w:t>
                    </w:r>
                  </w:p>
                </w:tc>
              </w:sdtContent>
            </w:sdt>
            <w:tc>
              <w:tcPr>
                <w:tcW w:w="952" w:type="pct"/>
                <w:tcBorders>
                  <w:left w:val="single" w:sz="6" w:space="0" w:color="auto"/>
                  <w:right w:val="single" w:sz="6" w:space="0" w:color="auto"/>
                </w:tcBorders>
                <w:shd w:val="clear" w:color="auto" w:fill="auto"/>
              </w:tcPr>
              <w:p w:rsidR="00321199" w:rsidRDefault="00321199" w:rsidP="006C0381">
                <w:pPr>
                  <w:jc w:val="right"/>
                  <w:rPr>
                    <w:szCs w:val="21"/>
                  </w:rPr>
                </w:pPr>
              </w:p>
            </w:tc>
            <w:tc>
              <w:tcPr>
                <w:tcW w:w="754" w:type="pct"/>
                <w:tcBorders>
                  <w:left w:val="single" w:sz="6" w:space="0" w:color="auto"/>
                  <w:right w:val="single" w:sz="6" w:space="0" w:color="auto"/>
                </w:tcBorders>
                <w:shd w:val="clear" w:color="auto" w:fill="auto"/>
              </w:tcPr>
              <w:p w:rsidR="00321199" w:rsidRDefault="00321199" w:rsidP="006C0381">
                <w:pPr>
                  <w:jc w:val="right"/>
                  <w:rPr>
                    <w:szCs w:val="21"/>
                  </w:rPr>
                </w:pPr>
              </w:p>
            </w:tc>
            <w:tc>
              <w:tcPr>
                <w:tcW w:w="1016" w:type="pct"/>
                <w:tcBorders>
                  <w:top w:val="single" w:sz="6" w:space="0" w:color="auto"/>
                  <w:left w:val="single" w:sz="6" w:space="0" w:color="auto"/>
                  <w:bottom w:val="single" w:sz="6" w:space="0" w:color="auto"/>
                  <w:right w:val="single" w:sz="6" w:space="0" w:color="auto"/>
                </w:tcBorders>
              </w:tcPr>
              <w:p w:rsidR="00321199" w:rsidRDefault="00321199" w:rsidP="006C0381">
                <w:pPr>
                  <w:jc w:val="right"/>
                  <w:rPr>
                    <w:szCs w:val="21"/>
                  </w:rPr>
                </w:pPr>
              </w:p>
            </w:tc>
            <w:tc>
              <w:tcPr>
                <w:tcW w:w="753" w:type="pct"/>
                <w:tcBorders>
                  <w:top w:val="single" w:sz="6" w:space="0" w:color="auto"/>
                  <w:left w:val="single" w:sz="6" w:space="0" w:color="auto"/>
                  <w:bottom w:val="single" w:sz="6" w:space="0" w:color="auto"/>
                  <w:right w:val="single" w:sz="6" w:space="0" w:color="auto"/>
                </w:tcBorders>
              </w:tcPr>
              <w:p w:rsidR="00321199" w:rsidRDefault="00321199" w:rsidP="006C0381">
                <w:pPr>
                  <w:jc w:val="right"/>
                  <w:rPr>
                    <w:szCs w:val="21"/>
                  </w:rPr>
                </w:pPr>
              </w:p>
            </w:tc>
          </w:tr>
          <w:tr w:rsidR="00321199" w:rsidTr="00B637B2">
            <w:sdt>
              <w:sdtPr>
                <w:tag w:val="_PLD_d1755220e8944b638b853a5090d054ac"/>
                <w:id w:val="1612315662"/>
                <w:lock w:val="sdtLocked"/>
              </w:sdtPr>
              <w:sdtContent>
                <w:tc>
                  <w:tcPr>
                    <w:tcW w:w="1525" w:type="pct"/>
                    <w:tcBorders>
                      <w:top w:val="single" w:sz="6" w:space="0" w:color="auto"/>
                      <w:left w:val="single" w:sz="4" w:space="0" w:color="auto"/>
                      <w:bottom w:val="single" w:sz="6" w:space="0" w:color="auto"/>
                      <w:right w:val="single" w:sz="6" w:space="0" w:color="auto"/>
                    </w:tcBorders>
                    <w:shd w:val="clear" w:color="auto" w:fill="auto"/>
                    <w:vAlign w:val="bottom"/>
                  </w:tcPr>
                  <w:p w:rsidR="00321199" w:rsidRDefault="00321199" w:rsidP="006C0381">
                    <w:pPr>
                      <w:rPr>
                        <w:rFonts w:cs="Arial"/>
                        <w:color w:val="000000"/>
                        <w:szCs w:val="21"/>
                      </w:rPr>
                    </w:pPr>
                    <w:r>
                      <w:rPr>
                        <w:rFonts w:cs="Arial" w:hint="eastAsia"/>
                        <w:color w:val="000000"/>
                        <w:szCs w:val="21"/>
                        <w:lang w:val="en-GB"/>
                      </w:rPr>
                      <w:t>资产合计</w:t>
                    </w:r>
                  </w:p>
                </w:tc>
              </w:sdtContent>
            </w:sdt>
            <w:tc>
              <w:tcPr>
                <w:tcW w:w="952" w:type="pct"/>
                <w:tcBorders>
                  <w:left w:val="single" w:sz="6" w:space="0" w:color="auto"/>
                  <w:right w:val="single" w:sz="6" w:space="0" w:color="auto"/>
                </w:tcBorders>
                <w:shd w:val="clear" w:color="auto" w:fill="auto"/>
                <w:vAlign w:val="center"/>
              </w:tcPr>
              <w:p w:rsidR="00321199" w:rsidRDefault="00321199" w:rsidP="00B637B2">
                <w:pPr>
                  <w:jc w:val="right"/>
                  <w:rPr>
                    <w:szCs w:val="21"/>
                  </w:rPr>
                </w:pPr>
                <w:r w:rsidRPr="005210A3">
                  <w:rPr>
                    <w:szCs w:val="21"/>
                  </w:rPr>
                  <w:t>9,696,928,135</w:t>
                </w:r>
              </w:p>
            </w:tc>
            <w:tc>
              <w:tcPr>
                <w:tcW w:w="754" w:type="pct"/>
                <w:tcBorders>
                  <w:left w:val="single" w:sz="6" w:space="0" w:color="auto"/>
                  <w:right w:val="single" w:sz="6" w:space="0" w:color="auto"/>
                </w:tcBorders>
                <w:shd w:val="clear" w:color="auto" w:fill="auto"/>
                <w:vAlign w:val="center"/>
              </w:tcPr>
              <w:p w:rsidR="00321199" w:rsidRDefault="00321199" w:rsidP="00B637B2">
                <w:pPr>
                  <w:jc w:val="right"/>
                  <w:rPr>
                    <w:szCs w:val="21"/>
                  </w:rPr>
                </w:pPr>
              </w:p>
            </w:tc>
            <w:tc>
              <w:tcPr>
                <w:tcW w:w="1016" w:type="pct"/>
                <w:tcBorders>
                  <w:top w:val="single" w:sz="6" w:space="0" w:color="auto"/>
                  <w:left w:val="single" w:sz="6" w:space="0" w:color="auto"/>
                  <w:bottom w:val="single" w:sz="6" w:space="0" w:color="auto"/>
                  <w:right w:val="single" w:sz="6" w:space="0" w:color="auto"/>
                </w:tcBorders>
                <w:vAlign w:val="center"/>
              </w:tcPr>
              <w:p w:rsidR="00321199" w:rsidRDefault="00321199" w:rsidP="00B637B2">
                <w:pPr>
                  <w:jc w:val="right"/>
                  <w:rPr>
                    <w:szCs w:val="21"/>
                  </w:rPr>
                </w:pPr>
                <w:r w:rsidRPr="005210A3">
                  <w:rPr>
                    <w:szCs w:val="21"/>
                  </w:rPr>
                  <w:t>13,154,860,391</w:t>
                </w:r>
              </w:p>
            </w:tc>
            <w:tc>
              <w:tcPr>
                <w:tcW w:w="753" w:type="pct"/>
                <w:tcBorders>
                  <w:top w:val="single" w:sz="6" w:space="0" w:color="auto"/>
                  <w:left w:val="single" w:sz="6" w:space="0" w:color="auto"/>
                  <w:bottom w:val="single" w:sz="6" w:space="0" w:color="auto"/>
                  <w:right w:val="single" w:sz="6" w:space="0" w:color="auto"/>
                </w:tcBorders>
              </w:tcPr>
              <w:p w:rsidR="00321199" w:rsidRDefault="00321199" w:rsidP="006C0381">
                <w:pPr>
                  <w:jc w:val="right"/>
                  <w:rPr>
                    <w:szCs w:val="21"/>
                  </w:rPr>
                </w:pPr>
              </w:p>
            </w:tc>
          </w:tr>
          <w:tr w:rsidR="00321199" w:rsidTr="00B637B2">
            <w:tc>
              <w:tcPr>
                <w:tcW w:w="1525" w:type="pct"/>
                <w:tcBorders>
                  <w:top w:val="single" w:sz="6" w:space="0" w:color="auto"/>
                  <w:left w:val="single" w:sz="4" w:space="0" w:color="auto"/>
                  <w:bottom w:val="single" w:sz="6" w:space="0" w:color="auto"/>
                  <w:right w:val="single" w:sz="6" w:space="0" w:color="auto"/>
                </w:tcBorders>
                <w:shd w:val="clear" w:color="auto" w:fill="auto"/>
                <w:vAlign w:val="bottom"/>
              </w:tcPr>
              <w:p w:rsidR="00321199" w:rsidRDefault="00321199" w:rsidP="006C0381">
                <w:pPr>
                  <w:rPr>
                    <w:rFonts w:cs="Arial"/>
                    <w:color w:val="000000"/>
                    <w:szCs w:val="21"/>
                    <w:lang w:val="en-GB"/>
                  </w:rPr>
                </w:pPr>
              </w:p>
            </w:tc>
            <w:tc>
              <w:tcPr>
                <w:tcW w:w="952" w:type="pct"/>
                <w:tcBorders>
                  <w:left w:val="single" w:sz="6" w:space="0" w:color="auto"/>
                  <w:right w:val="single" w:sz="6" w:space="0" w:color="auto"/>
                </w:tcBorders>
                <w:shd w:val="clear" w:color="auto" w:fill="auto"/>
                <w:vAlign w:val="center"/>
              </w:tcPr>
              <w:p w:rsidR="00321199" w:rsidRDefault="00321199" w:rsidP="00B637B2">
                <w:pPr>
                  <w:jc w:val="right"/>
                  <w:rPr>
                    <w:szCs w:val="21"/>
                  </w:rPr>
                </w:pPr>
              </w:p>
            </w:tc>
            <w:tc>
              <w:tcPr>
                <w:tcW w:w="754" w:type="pct"/>
                <w:tcBorders>
                  <w:left w:val="single" w:sz="6" w:space="0" w:color="auto"/>
                  <w:right w:val="single" w:sz="6" w:space="0" w:color="auto"/>
                </w:tcBorders>
                <w:shd w:val="clear" w:color="auto" w:fill="auto"/>
                <w:vAlign w:val="center"/>
              </w:tcPr>
              <w:p w:rsidR="00321199" w:rsidRDefault="00321199" w:rsidP="00B637B2">
                <w:pPr>
                  <w:jc w:val="right"/>
                  <w:rPr>
                    <w:szCs w:val="21"/>
                  </w:rPr>
                </w:pPr>
              </w:p>
            </w:tc>
            <w:tc>
              <w:tcPr>
                <w:tcW w:w="1016" w:type="pct"/>
                <w:tcBorders>
                  <w:top w:val="single" w:sz="6" w:space="0" w:color="auto"/>
                  <w:left w:val="single" w:sz="6" w:space="0" w:color="auto"/>
                  <w:bottom w:val="single" w:sz="6" w:space="0" w:color="auto"/>
                  <w:right w:val="single" w:sz="6" w:space="0" w:color="auto"/>
                </w:tcBorders>
                <w:vAlign w:val="center"/>
              </w:tcPr>
              <w:p w:rsidR="00321199" w:rsidRDefault="00321199" w:rsidP="00B637B2">
                <w:pPr>
                  <w:jc w:val="right"/>
                  <w:rPr>
                    <w:szCs w:val="21"/>
                  </w:rPr>
                </w:pPr>
              </w:p>
            </w:tc>
            <w:tc>
              <w:tcPr>
                <w:tcW w:w="753" w:type="pct"/>
                <w:tcBorders>
                  <w:top w:val="single" w:sz="6" w:space="0" w:color="auto"/>
                  <w:left w:val="single" w:sz="6" w:space="0" w:color="auto"/>
                  <w:bottom w:val="single" w:sz="6" w:space="0" w:color="auto"/>
                  <w:right w:val="single" w:sz="6" w:space="0" w:color="auto"/>
                </w:tcBorders>
              </w:tcPr>
              <w:p w:rsidR="00321199" w:rsidRDefault="00321199" w:rsidP="006C0381">
                <w:pPr>
                  <w:jc w:val="right"/>
                  <w:rPr>
                    <w:szCs w:val="21"/>
                  </w:rPr>
                </w:pPr>
              </w:p>
            </w:tc>
          </w:tr>
          <w:tr w:rsidR="00321199" w:rsidTr="00B637B2">
            <w:sdt>
              <w:sdtPr>
                <w:tag w:val="_PLD_da177c33d2a4452285f3e4329499be2b"/>
                <w:id w:val="58144467"/>
                <w:lock w:val="sdtLocked"/>
              </w:sdtPr>
              <w:sdtContent>
                <w:tc>
                  <w:tcPr>
                    <w:tcW w:w="1525" w:type="pct"/>
                    <w:tcBorders>
                      <w:top w:val="single" w:sz="6" w:space="0" w:color="auto"/>
                      <w:left w:val="single" w:sz="4" w:space="0" w:color="auto"/>
                      <w:bottom w:val="single" w:sz="6" w:space="0" w:color="auto"/>
                      <w:right w:val="single" w:sz="6" w:space="0" w:color="auto"/>
                    </w:tcBorders>
                    <w:shd w:val="clear" w:color="auto" w:fill="auto"/>
                    <w:vAlign w:val="bottom"/>
                  </w:tcPr>
                  <w:p w:rsidR="00321199" w:rsidRDefault="00321199" w:rsidP="006C0381">
                    <w:pPr>
                      <w:rPr>
                        <w:rFonts w:cs="Arial"/>
                        <w:color w:val="000000"/>
                        <w:szCs w:val="21"/>
                      </w:rPr>
                    </w:pPr>
                    <w:r>
                      <w:rPr>
                        <w:rFonts w:cs="Arial" w:hint="eastAsia"/>
                        <w:color w:val="000000"/>
                        <w:szCs w:val="21"/>
                        <w:lang w:val="en-GB"/>
                      </w:rPr>
                      <w:t>流动负债</w:t>
                    </w:r>
                  </w:p>
                </w:tc>
              </w:sdtContent>
            </w:sdt>
            <w:tc>
              <w:tcPr>
                <w:tcW w:w="952" w:type="pct"/>
                <w:tcBorders>
                  <w:left w:val="single" w:sz="6" w:space="0" w:color="auto"/>
                  <w:right w:val="single" w:sz="6" w:space="0" w:color="auto"/>
                </w:tcBorders>
                <w:shd w:val="clear" w:color="auto" w:fill="auto"/>
                <w:vAlign w:val="center"/>
              </w:tcPr>
              <w:p w:rsidR="00321199" w:rsidRDefault="00321199" w:rsidP="00B637B2">
                <w:pPr>
                  <w:jc w:val="right"/>
                  <w:rPr>
                    <w:szCs w:val="21"/>
                  </w:rPr>
                </w:pPr>
              </w:p>
            </w:tc>
            <w:tc>
              <w:tcPr>
                <w:tcW w:w="754" w:type="pct"/>
                <w:tcBorders>
                  <w:left w:val="single" w:sz="6" w:space="0" w:color="auto"/>
                  <w:right w:val="single" w:sz="6" w:space="0" w:color="auto"/>
                </w:tcBorders>
                <w:shd w:val="clear" w:color="auto" w:fill="auto"/>
                <w:vAlign w:val="center"/>
              </w:tcPr>
              <w:p w:rsidR="00321199" w:rsidRDefault="00321199" w:rsidP="00B637B2">
                <w:pPr>
                  <w:jc w:val="right"/>
                  <w:rPr>
                    <w:szCs w:val="21"/>
                  </w:rPr>
                </w:pPr>
              </w:p>
            </w:tc>
            <w:tc>
              <w:tcPr>
                <w:tcW w:w="1016" w:type="pct"/>
                <w:tcBorders>
                  <w:top w:val="single" w:sz="6" w:space="0" w:color="auto"/>
                  <w:left w:val="single" w:sz="6" w:space="0" w:color="auto"/>
                  <w:bottom w:val="single" w:sz="6" w:space="0" w:color="auto"/>
                  <w:right w:val="single" w:sz="6" w:space="0" w:color="auto"/>
                </w:tcBorders>
                <w:vAlign w:val="center"/>
              </w:tcPr>
              <w:p w:rsidR="00321199" w:rsidRDefault="00321199" w:rsidP="00B637B2">
                <w:pPr>
                  <w:jc w:val="right"/>
                  <w:rPr>
                    <w:szCs w:val="21"/>
                  </w:rPr>
                </w:pPr>
              </w:p>
            </w:tc>
            <w:tc>
              <w:tcPr>
                <w:tcW w:w="753" w:type="pct"/>
                <w:tcBorders>
                  <w:top w:val="single" w:sz="6" w:space="0" w:color="auto"/>
                  <w:left w:val="single" w:sz="6" w:space="0" w:color="auto"/>
                  <w:bottom w:val="single" w:sz="6" w:space="0" w:color="auto"/>
                  <w:right w:val="single" w:sz="6" w:space="0" w:color="auto"/>
                </w:tcBorders>
              </w:tcPr>
              <w:p w:rsidR="00321199" w:rsidRDefault="00321199" w:rsidP="006C0381">
                <w:pPr>
                  <w:jc w:val="right"/>
                  <w:rPr>
                    <w:szCs w:val="21"/>
                  </w:rPr>
                </w:pPr>
              </w:p>
            </w:tc>
          </w:tr>
          <w:tr w:rsidR="00321199" w:rsidTr="00B637B2">
            <w:sdt>
              <w:sdtPr>
                <w:tag w:val="_PLD_69db2a7507214ff988c587702b84292a"/>
                <w:id w:val="2128656387"/>
                <w:lock w:val="sdtLocked"/>
              </w:sdtPr>
              <w:sdtContent>
                <w:tc>
                  <w:tcPr>
                    <w:tcW w:w="1525" w:type="pct"/>
                    <w:tcBorders>
                      <w:top w:val="single" w:sz="6" w:space="0" w:color="auto"/>
                      <w:left w:val="single" w:sz="4" w:space="0" w:color="auto"/>
                      <w:bottom w:val="single" w:sz="6" w:space="0" w:color="auto"/>
                      <w:right w:val="single" w:sz="6" w:space="0" w:color="auto"/>
                    </w:tcBorders>
                    <w:shd w:val="clear" w:color="auto" w:fill="auto"/>
                    <w:vAlign w:val="bottom"/>
                  </w:tcPr>
                  <w:p w:rsidR="00321199" w:rsidRDefault="00321199" w:rsidP="006C0381">
                    <w:pPr>
                      <w:rPr>
                        <w:rFonts w:cs="Arial"/>
                        <w:color w:val="000000"/>
                        <w:szCs w:val="21"/>
                      </w:rPr>
                    </w:pPr>
                    <w:r>
                      <w:rPr>
                        <w:rFonts w:cs="Arial" w:hint="eastAsia"/>
                        <w:color w:val="000000"/>
                        <w:szCs w:val="21"/>
                        <w:lang w:val="en-GB"/>
                      </w:rPr>
                      <w:t>非流动负债</w:t>
                    </w:r>
                  </w:p>
                </w:tc>
              </w:sdtContent>
            </w:sdt>
            <w:tc>
              <w:tcPr>
                <w:tcW w:w="952" w:type="pct"/>
                <w:tcBorders>
                  <w:left w:val="single" w:sz="6" w:space="0" w:color="auto"/>
                  <w:right w:val="single" w:sz="6" w:space="0" w:color="auto"/>
                </w:tcBorders>
                <w:shd w:val="clear" w:color="auto" w:fill="auto"/>
                <w:vAlign w:val="center"/>
              </w:tcPr>
              <w:p w:rsidR="00321199" w:rsidRDefault="00321199" w:rsidP="00B637B2">
                <w:pPr>
                  <w:jc w:val="right"/>
                  <w:rPr>
                    <w:szCs w:val="21"/>
                  </w:rPr>
                </w:pPr>
              </w:p>
            </w:tc>
            <w:tc>
              <w:tcPr>
                <w:tcW w:w="754" w:type="pct"/>
                <w:tcBorders>
                  <w:left w:val="single" w:sz="6" w:space="0" w:color="auto"/>
                  <w:right w:val="single" w:sz="6" w:space="0" w:color="auto"/>
                </w:tcBorders>
                <w:shd w:val="clear" w:color="auto" w:fill="auto"/>
                <w:vAlign w:val="center"/>
              </w:tcPr>
              <w:p w:rsidR="00321199" w:rsidRDefault="00321199" w:rsidP="00B637B2">
                <w:pPr>
                  <w:jc w:val="right"/>
                  <w:rPr>
                    <w:szCs w:val="21"/>
                  </w:rPr>
                </w:pPr>
              </w:p>
            </w:tc>
            <w:tc>
              <w:tcPr>
                <w:tcW w:w="1016" w:type="pct"/>
                <w:tcBorders>
                  <w:top w:val="single" w:sz="6" w:space="0" w:color="auto"/>
                  <w:left w:val="single" w:sz="6" w:space="0" w:color="auto"/>
                  <w:bottom w:val="single" w:sz="6" w:space="0" w:color="auto"/>
                  <w:right w:val="single" w:sz="6" w:space="0" w:color="auto"/>
                </w:tcBorders>
                <w:vAlign w:val="center"/>
              </w:tcPr>
              <w:p w:rsidR="00321199" w:rsidRDefault="00321199" w:rsidP="00B637B2">
                <w:pPr>
                  <w:jc w:val="right"/>
                  <w:rPr>
                    <w:szCs w:val="21"/>
                  </w:rPr>
                </w:pPr>
              </w:p>
            </w:tc>
            <w:tc>
              <w:tcPr>
                <w:tcW w:w="753" w:type="pct"/>
                <w:tcBorders>
                  <w:top w:val="single" w:sz="6" w:space="0" w:color="auto"/>
                  <w:left w:val="single" w:sz="6" w:space="0" w:color="auto"/>
                  <w:bottom w:val="single" w:sz="6" w:space="0" w:color="auto"/>
                  <w:right w:val="single" w:sz="6" w:space="0" w:color="auto"/>
                </w:tcBorders>
              </w:tcPr>
              <w:p w:rsidR="00321199" w:rsidRDefault="00321199" w:rsidP="006C0381">
                <w:pPr>
                  <w:jc w:val="right"/>
                  <w:rPr>
                    <w:szCs w:val="21"/>
                  </w:rPr>
                </w:pPr>
              </w:p>
            </w:tc>
          </w:tr>
          <w:tr w:rsidR="00321199" w:rsidTr="00B637B2">
            <w:sdt>
              <w:sdtPr>
                <w:tag w:val="_PLD_93196651961549cc968f034a6735b70d"/>
                <w:id w:val="-1497951221"/>
                <w:lock w:val="sdtLocked"/>
              </w:sdtPr>
              <w:sdtContent>
                <w:tc>
                  <w:tcPr>
                    <w:tcW w:w="1525" w:type="pct"/>
                    <w:tcBorders>
                      <w:top w:val="single" w:sz="6" w:space="0" w:color="auto"/>
                      <w:left w:val="single" w:sz="4" w:space="0" w:color="auto"/>
                      <w:bottom w:val="single" w:sz="6" w:space="0" w:color="auto"/>
                      <w:right w:val="single" w:sz="6" w:space="0" w:color="auto"/>
                    </w:tcBorders>
                    <w:shd w:val="clear" w:color="auto" w:fill="auto"/>
                    <w:vAlign w:val="bottom"/>
                  </w:tcPr>
                  <w:p w:rsidR="00321199" w:rsidRDefault="00321199" w:rsidP="006C0381">
                    <w:pPr>
                      <w:rPr>
                        <w:rFonts w:cs="Arial"/>
                        <w:color w:val="000000"/>
                        <w:szCs w:val="21"/>
                      </w:rPr>
                    </w:pPr>
                    <w:r>
                      <w:rPr>
                        <w:rFonts w:cs="Arial" w:hint="eastAsia"/>
                        <w:color w:val="000000"/>
                        <w:szCs w:val="21"/>
                        <w:lang w:val="en-GB"/>
                      </w:rPr>
                      <w:t>负债合计</w:t>
                    </w:r>
                  </w:p>
                </w:tc>
              </w:sdtContent>
            </w:sdt>
            <w:tc>
              <w:tcPr>
                <w:tcW w:w="952" w:type="pct"/>
                <w:tcBorders>
                  <w:left w:val="single" w:sz="6" w:space="0" w:color="auto"/>
                  <w:right w:val="single" w:sz="6" w:space="0" w:color="auto"/>
                </w:tcBorders>
                <w:shd w:val="clear" w:color="auto" w:fill="auto"/>
                <w:vAlign w:val="center"/>
              </w:tcPr>
              <w:p w:rsidR="00321199" w:rsidRDefault="008F04CF" w:rsidP="00B637B2">
                <w:pPr>
                  <w:jc w:val="right"/>
                  <w:rPr>
                    <w:szCs w:val="21"/>
                  </w:rPr>
                </w:pPr>
                <w:r>
                  <w:rPr>
                    <w:szCs w:val="21"/>
                  </w:rPr>
                  <w:t>5,576,863,209</w:t>
                </w:r>
              </w:p>
            </w:tc>
            <w:tc>
              <w:tcPr>
                <w:tcW w:w="754" w:type="pct"/>
                <w:tcBorders>
                  <w:left w:val="single" w:sz="6" w:space="0" w:color="auto"/>
                  <w:right w:val="single" w:sz="6" w:space="0" w:color="auto"/>
                </w:tcBorders>
                <w:shd w:val="clear" w:color="auto" w:fill="auto"/>
                <w:vAlign w:val="center"/>
              </w:tcPr>
              <w:p w:rsidR="00321199" w:rsidRDefault="00321199" w:rsidP="00B637B2">
                <w:pPr>
                  <w:jc w:val="right"/>
                  <w:rPr>
                    <w:szCs w:val="21"/>
                  </w:rPr>
                </w:pPr>
              </w:p>
            </w:tc>
            <w:tc>
              <w:tcPr>
                <w:tcW w:w="1016" w:type="pct"/>
                <w:tcBorders>
                  <w:top w:val="single" w:sz="6" w:space="0" w:color="auto"/>
                  <w:left w:val="single" w:sz="6" w:space="0" w:color="auto"/>
                  <w:bottom w:val="single" w:sz="6" w:space="0" w:color="auto"/>
                  <w:right w:val="single" w:sz="6" w:space="0" w:color="auto"/>
                </w:tcBorders>
                <w:vAlign w:val="center"/>
              </w:tcPr>
              <w:p w:rsidR="00321199" w:rsidRDefault="00321199" w:rsidP="00B637B2">
                <w:pPr>
                  <w:jc w:val="right"/>
                  <w:rPr>
                    <w:szCs w:val="21"/>
                  </w:rPr>
                </w:pPr>
                <w:r w:rsidRPr="005210A3">
                  <w:rPr>
                    <w:szCs w:val="21"/>
                  </w:rPr>
                  <w:t>9,058,610,234</w:t>
                </w:r>
              </w:p>
            </w:tc>
            <w:tc>
              <w:tcPr>
                <w:tcW w:w="753" w:type="pct"/>
                <w:tcBorders>
                  <w:top w:val="single" w:sz="6" w:space="0" w:color="auto"/>
                  <w:left w:val="single" w:sz="6" w:space="0" w:color="auto"/>
                  <w:bottom w:val="single" w:sz="6" w:space="0" w:color="auto"/>
                  <w:right w:val="single" w:sz="6" w:space="0" w:color="auto"/>
                </w:tcBorders>
              </w:tcPr>
              <w:p w:rsidR="00321199" w:rsidRDefault="00321199" w:rsidP="006C0381">
                <w:pPr>
                  <w:jc w:val="right"/>
                  <w:rPr>
                    <w:szCs w:val="21"/>
                  </w:rPr>
                </w:pPr>
              </w:p>
            </w:tc>
          </w:tr>
          <w:tr w:rsidR="00321199" w:rsidTr="00B637B2">
            <w:tc>
              <w:tcPr>
                <w:tcW w:w="1525" w:type="pct"/>
                <w:tcBorders>
                  <w:top w:val="single" w:sz="6" w:space="0" w:color="auto"/>
                  <w:left w:val="single" w:sz="4" w:space="0" w:color="auto"/>
                  <w:bottom w:val="single" w:sz="6" w:space="0" w:color="auto"/>
                  <w:right w:val="single" w:sz="6" w:space="0" w:color="auto"/>
                </w:tcBorders>
                <w:shd w:val="clear" w:color="auto" w:fill="auto"/>
                <w:vAlign w:val="bottom"/>
              </w:tcPr>
              <w:p w:rsidR="00321199" w:rsidRDefault="00321199" w:rsidP="006C0381">
                <w:pPr>
                  <w:rPr>
                    <w:rFonts w:cs="Arial"/>
                    <w:color w:val="000000"/>
                    <w:szCs w:val="21"/>
                    <w:lang w:val="en-GB"/>
                  </w:rPr>
                </w:pPr>
              </w:p>
            </w:tc>
            <w:tc>
              <w:tcPr>
                <w:tcW w:w="952" w:type="pct"/>
                <w:tcBorders>
                  <w:left w:val="single" w:sz="6" w:space="0" w:color="auto"/>
                  <w:right w:val="single" w:sz="6" w:space="0" w:color="auto"/>
                </w:tcBorders>
                <w:shd w:val="clear" w:color="auto" w:fill="auto"/>
                <w:vAlign w:val="center"/>
              </w:tcPr>
              <w:p w:rsidR="00321199" w:rsidRDefault="00321199" w:rsidP="00B637B2">
                <w:pPr>
                  <w:jc w:val="right"/>
                  <w:rPr>
                    <w:szCs w:val="21"/>
                  </w:rPr>
                </w:pPr>
              </w:p>
            </w:tc>
            <w:tc>
              <w:tcPr>
                <w:tcW w:w="754" w:type="pct"/>
                <w:tcBorders>
                  <w:left w:val="single" w:sz="6" w:space="0" w:color="auto"/>
                  <w:right w:val="single" w:sz="6" w:space="0" w:color="auto"/>
                </w:tcBorders>
                <w:shd w:val="clear" w:color="auto" w:fill="auto"/>
                <w:vAlign w:val="center"/>
              </w:tcPr>
              <w:p w:rsidR="00321199" w:rsidRDefault="00321199" w:rsidP="00B637B2">
                <w:pPr>
                  <w:jc w:val="right"/>
                  <w:rPr>
                    <w:szCs w:val="21"/>
                  </w:rPr>
                </w:pPr>
              </w:p>
            </w:tc>
            <w:tc>
              <w:tcPr>
                <w:tcW w:w="1016" w:type="pct"/>
                <w:tcBorders>
                  <w:top w:val="single" w:sz="6" w:space="0" w:color="auto"/>
                  <w:left w:val="single" w:sz="6" w:space="0" w:color="auto"/>
                  <w:bottom w:val="single" w:sz="6" w:space="0" w:color="auto"/>
                  <w:right w:val="single" w:sz="6" w:space="0" w:color="auto"/>
                </w:tcBorders>
                <w:vAlign w:val="center"/>
              </w:tcPr>
              <w:p w:rsidR="00321199" w:rsidRDefault="00321199" w:rsidP="00B637B2">
                <w:pPr>
                  <w:jc w:val="right"/>
                  <w:rPr>
                    <w:szCs w:val="21"/>
                  </w:rPr>
                </w:pPr>
              </w:p>
            </w:tc>
            <w:tc>
              <w:tcPr>
                <w:tcW w:w="753" w:type="pct"/>
                <w:tcBorders>
                  <w:top w:val="single" w:sz="6" w:space="0" w:color="auto"/>
                  <w:left w:val="single" w:sz="6" w:space="0" w:color="auto"/>
                  <w:bottom w:val="single" w:sz="6" w:space="0" w:color="auto"/>
                  <w:right w:val="single" w:sz="6" w:space="0" w:color="auto"/>
                </w:tcBorders>
              </w:tcPr>
              <w:p w:rsidR="00321199" w:rsidRDefault="00321199" w:rsidP="006C0381">
                <w:pPr>
                  <w:jc w:val="right"/>
                  <w:rPr>
                    <w:szCs w:val="21"/>
                  </w:rPr>
                </w:pPr>
              </w:p>
            </w:tc>
          </w:tr>
          <w:tr w:rsidR="00321199" w:rsidTr="00B637B2">
            <w:sdt>
              <w:sdtPr>
                <w:tag w:val="_PLD_f8ce7c22e39a4e18a87552ab1793dbb8"/>
                <w:id w:val="1001397742"/>
                <w:lock w:val="sdtLocked"/>
              </w:sdtPr>
              <w:sdtContent>
                <w:tc>
                  <w:tcPr>
                    <w:tcW w:w="1525" w:type="pct"/>
                    <w:tcBorders>
                      <w:top w:val="single" w:sz="6" w:space="0" w:color="auto"/>
                      <w:left w:val="single" w:sz="4" w:space="0" w:color="auto"/>
                      <w:bottom w:val="single" w:sz="6" w:space="0" w:color="auto"/>
                      <w:right w:val="single" w:sz="6" w:space="0" w:color="auto"/>
                    </w:tcBorders>
                    <w:shd w:val="clear" w:color="auto" w:fill="auto"/>
                    <w:vAlign w:val="bottom"/>
                  </w:tcPr>
                  <w:p w:rsidR="00321199" w:rsidRDefault="00321199" w:rsidP="006C0381">
                    <w:pPr>
                      <w:rPr>
                        <w:rFonts w:cs="Arial"/>
                        <w:color w:val="000000"/>
                        <w:szCs w:val="21"/>
                      </w:rPr>
                    </w:pPr>
                    <w:r>
                      <w:rPr>
                        <w:rFonts w:cs="Arial" w:hint="eastAsia"/>
                        <w:color w:val="000000"/>
                        <w:szCs w:val="21"/>
                        <w:lang w:val="en-GB"/>
                      </w:rPr>
                      <w:t>少数股东权益</w:t>
                    </w:r>
                  </w:p>
                </w:tc>
              </w:sdtContent>
            </w:sdt>
            <w:tc>
              <w:tcPr>
                <w:tcW w:w="952" w:type="pct"/>
                <w:tcBorders>
                  <w:left w:val="single" w:sz="6" w:space="0" w:color="auto"/>
                  <w:right w:val="single" w:sz="6" w:space="0" w:color="auto"/>
                </w:tcBorders>
                <w:shd w:val="clear" w:color="auto" w:fill="auto"/>
                <w:vAlign w:val="center"/>
              </w:tcPr>
              <w:p w:rsidR="00321199" w:rsidRDefault="00321199" w:rsidP="00B637B2">
                <w:pPr>
                  <w:jc w:val="right"/>
                  <w:rPr>
                    <w:szCs w:val="21"/>
                  </w:rPr>
                </w:pPr>
              </w:p>
            </w:tc>
            <w:tc>
              <w:tcPr>
                <w:tcW w:w="754" w:type="pct"/>
                <w:tcBorders>
                  <w:left w:val="single" w:sz="6" w:space="0" w:color="auto"/>
                  <w:right w:val="single" w:sz="6" w:space="0" w:color="auto"/>
                </w:tcBorders>
                <w:shd w:val="clear" w:color="auto" w:fill="auto"/>
                <w:vAlign w:val="center"/>
              </w:tcPr>
              <w:p w:rsidR="00321199" w:rsidRDefault="00321199" w:rsidP="00B637B2">
                <w:pPr>
                  <w:jc w:val="right"/>
                  <w:rPr>
                    <w:szCs w:val="21"/>
                  </w:rPr>
                </w:pPr>
              </w:p>
            </w:tc>
            <w:tc>
              <w:tcPr>
                <w:tcW w:w="1016" w:type="pct"/>
                <w:tcBorders>
                  <w:top w:val="single" w:sz="6" w:space="0" w:color="auto"/>
                  <w:left w:val="single" w:sz="6" w:space="0" w:color="auto"/>
                  <w:bottom w:val="single" w:sz="6" w:space="0" w:color="auto"/>
                  <w:right w:val="single" w:sz="6" w:space="0" w:color="auto"/>
                </w:tcBorders>
                <w:vAlign w:val="center"/>
              </w:tcPr>
              <w:p w:rsidR="00321199" w:rsidRDefault="00321199" w:rsidP="00B637B2">
                <w:pPr>
                  <w:jc w:val="right"/>
                  <w:rPr>
                    <w:szCs w:val="21"/>
                  </w:rPr>
                </w:pPr>
              </w:p>
            </w:tc>
            <w:tc>
              <w:tcPr>
                <w:tcW w:w="753" w:type="pct"/>
                <w:tcBorders>
                  <w:top w:val="single" w:sz="6" w:space="0" w:color="auto"/>
                  <w:left w:val="single" w:sz="6" w:space="0" w:color="auto"/>
                  <w:bottom w:val="single" w:sz="6" w:space="0" w:color="auto"/>
                  <w:right w:val="single" w:sz="6" w:space="0" w:color="auto"/>
                </w:tcBorders>
              </w:tcPr>
              <w:p w:rsidR="00321199" w:rsidRDefault="00321199" w:rsidP="006C0381">
                <w:pPr>
                  <w:jc w:val="right"/>
                  <w:rPr>
                    <w:szCs w:val="21"/>
                  </w:rPr>
                </w:pPr>
              </w:p>
            </w:tc>
          </w:tr>
          <w:tr w:rsidR="00321199" w:rsidTr="00B637B2">
            <w:sdt>
              <w:sdtPr>
                <w:tag w:val="_PLD_5a7b4c15f9cc46f796db15ddf6bdcb12"/>
                <w:id w:val="-1944140317"/>
                <w:lock w:val="sdtLocked"/>
              </w:sdtPr>
              <w:sdtContent>
                <w:tc>
                  <w:tcPr>
                    <w:tcW w:w="1525" w:type="pct"/>
                    <w:tcBorders>
                      <w:top w:val="single" w:sz="6" w:space="0" w:color="auto"/>
                      <w:left w:val="single" w:sz="4" w:space="0" w:color="auto"/>
                      <w:bottom w:val="single" w:sz="6" w:space="0" w:color="auto"/>
                      <w:right w:val="single" w:sz="6" w:space="0" w:color="auto"/>
                    </w:tcBorders>
                    <w:shd w:val="clear" w:color="auto" w:fill="auto"/>
                    <w:vAlign w:val="bottom"/>
                  </w:tcPr>
                  <w:p w:rsidR="00321199" w:rsidRDefault="00321199" w:rsidP="006C0381">
                    <w:pPr>
                      <w:rPr>
                        <w:rFonts w:cs="Arial"/>
                        <w:color w:val="000000"/>
                        <w:szCs w:val="21"/>
                      </w:rPr>
                    </w:pPr>
                    <w:r w:rsidRPr="007C4692">
                      <w:rPr>
                        <w:rFonts w:cs="Arial" w:hint="eastAsia"/>
                        <w:color w:val="000000"/>
                        <w:szCs w:val="21"/>
                        <w:lang w:val="en-GB"/>
                      </w:rPr>
                      <w:t>归属于母公司股东权益</w:t>
                    </w:r>
                  </w:p>
                </w:tc>
              </w:sdtContent>
            </w:sdt>
            <w:tc>
              <w:tcPr>
                <w:tcW w:w="952" w:type="pct"/>
                <w:tcBorders>
                  <w:left w:val="single" w:sz="6" w:space="0" w:color="auto"/>
                  <w:right w:val="single" w:sz="6" w:space="0" w:color="auto"/>
                </w:tcBorders>
                <w:shd w:val="clear" w:color="auto" w:fill="auto"/>
                <w:vAlign w:val="center"/>
              </w:tcPr>
              <w:p w:rsidR="00321199" w:rsidRDefault="00321199" w:rsidP="00B637B2">
                <w:pPr>
                  <w:jc w:val="right"/>
                  <w:rPr>
                    <w:szCs w:val="21"/>
                  </w:rPr>
                </w:pPr>
              </w:p>
            </w:tc>
            <w:tc>
              <w:tcPr>
                <w:tcW w:w="754" w:type="pct"/>
                <w:tcBorders>
                  <w:left w:val="single" w:sz="6" w:space="0" w:color="auto"/>
                  <w:right w:val="single" w:sz="6" w:space="0" w:color="auto"/>
                </w:tcBorders>
                <w:shd w:val="clear" w:color="auto" w:fill="auto"/>
                <w:vAlign w:val="center"/>
              </w:tcPr>
              <w:p w:rsidR="00321199" w:rsidRDefault="00321199" w:rsidP="00B637B2">
                <w:pPr>
                  <w:jc w:val="right"/>
                  <w:rPr>
                    <w:szCs w:val="21"/>
                  </w:rPr>
                </w:pPr>
              </w:p>
            </w:tc>
            <w:tc>
              <w:tcPr>
                <w:tcW w:w="1016" w:type="pct"/>
                <w:tcBorders>
                  <w:top w:val="single" w:sz="6" w:space="0" w:color="auto"/>
                  <w:left w:val="single" w:sz="6" w:space="0" w:color="auto"/>
                  <w:bottom w:val="single" w:sz="6" w:space="0" w:color="auto"/>
                  <w:right w:val="single" w:sz="6" w:space="0" w:color="auto"/>
                </w:tcBorders>
                <w:vAlign w:val="center"/>
              </w:tcPr>
              <w:p w:rsidR="00321199" w:rsidRDefault="00321199" w:rsidP="00B637B2">
                <w:pPr>
                  <w:jc w:val="right"/>
                  <w:rPr>
                    <w:szCs w:val="21"/>
                  </w:rPr>
                </w:pPr>
              </w:p>
            </w:tc>
            <w:tc>
              <w:tcPr>
                <w:tcW w:w="753" w:type="pct"/>
                <w:tcBorders>
                  <w:top w:val="single" w:sz="6" w:space="0" w:color="auto"/>
                  <w:left w:val="single" w:sz="6" w:space="0" w:color="auto"/>
                  <w:bottom w:val="single" w:sz="6" w:space="0" w:color="auto"/>
                  <w:right w:val="single" w:sz="6" w:space="0" w:color="auto"/>
                </w:tcBorders>
              </w:tcPr>
              <w:p w:rsidR="00321199" w:rsidRDefault="00321199" w:rsidP="006C0381">
                <w:pPr>
                  <w:jc w:val="right"/>
                  <w:rPr>
                    <w:szCs w:val="21"/>
                  </w:rPr>
                </w:pPr>
              </w:p>
            </w:tc>
          </w:tr>
          <w:tr w:rsidR="00321199" w:rsidTr="00B637B2">
            <w:tc>
              <w:tcPr>
                <w:tcW w:w="1525" w:type="pct"/>
                <w:tcBorders>
                  <w:top w:val="single" w:sz="6" w:space="0" w:color="auto"/>
                  <w:left w:val="single" w:sz="4" w:space="0" w:color="auto"/>
                  <w:bottom w:val="single" w:sz="6" w:space="0" w:color="auto"/>
                  <w:right w:val="single" w:sz="6" w:space="0" w:color="auto"/>
                </w:tcBorders>
                <w:shd w:val="clear" w:color="auto" w:fill="auto"/>
                <w:vAlign w:val="bottom"/>
              </w:tcPr>
              <w:p w:rsidR="00321199" w:rsidRDefault="00321199" w:rsidP="006C0381">
                <w:pPr>
                  <w:rPr>
                    <w:rFonts w:cs="Arial"/>
                    <w:color w:val="000000"/>
                    <w:szCs w:val="21"/>
                    <w:lang w:val="en-GB"/>
                  </w:rPr>
                </w:pPr>
              </w:p>
            </w:tc>
            <w:tc>
              <w:tcPr>
                <w:tcW w:w="952" w:type="pct"/>
                <w:tcBorders>
                  <w:left w:val="single" w:sz="6" w:space="0" w:color="auto"/>
                  <w:right w:val="single" w:sz="6" w:space="0" w:color="auto"/>
                </w:tcBorders>
                <w:shd w:val="clear" w:color="auto" w:fill="auto"/>
                <w:vAlign w:val="center"/>
              </w:tcPr>
              <w:p w:rsidR="00321199" w:rsidRDefault="00321199" w:rsidP="00B637B2">
                <w:pPr>
                  <w:jc w:val="right"/>
                  <w:rPr>
                    <w:szCs w:val="21"/>
                  </w:rPr>
                </w:pPr>
              </w:p>
            </w:tc>
            <w:tc>
              <w:tcPr>
                <w:tcW w:w="754" w:type="pct"/>
                <w:tcBorders>
                  <w:left w:val="single" w:sz="6" w:space="0" w:color="auto"/>
                  <w:right w:val="single" w:sz="6" w:space="0" w:color="auto"/>
                </w:tcBorders>
                <w:shd w:val="clear" w:color="auto" w:fill="auto"/>
                <w:vAlign w:val="center"/>
              </w:tcPr>
              <w:p w:rsidR="00321199" w:rsidRDefault="00321199" w:rsidP="00B637B2">
                <w:pPr>
                  <w:jc w:val="right"/>
                  <w:rPr>
                    <w:szCs w:val="21"/>
                  </w:rPr>
                </w:pPr>
              </w:p>
            </w:tc>
            <w:tc>
              <w:tcPr>
                <w:tcW w:w="1016" w:type="pct"/>
                <w:tcBorders>
                  <w:top w:val="single" w:sz="6" w:space="0" w:color="auto"/>
                  <w:left w:val="single" w:sz="6" w:space="0" w:color="auto"/>
                  <w:bottom w:val="single" w:sz="6" w:space="0" w:color="auto"/>
                  <w:right w:val="single" w:sz="6" w:space="0" w:color="auto"/>
                </w:tcBorders>
                <w:vAlign w:val="center"/>
              </w:tcPr>
              <w:p w:rsidR="00321199" w:rsidRDefault="00321199" w:rsidP="00B637B2">
                <w:pPr>
                  <w:jc w:val="right"/>
                  <w:rPr>
                    <w:szCs w:val="21"/>
                  </w:rPr>
                </w:pPr>
              </w:p>
            </w:tc>
            <w:tc>
              <w:tcPr>
                <w:tcW w:w="753" w:type="pct"/>
                <w:tcBorders>
                  <w:top w:val="single" w:sz="6" w:space="0" w:color="auto"/>
                  <w:left w:val="single" w:sz="6" w:space="0" w:color="auto"/>
                  <w:bottom w:val="single" w:sz="6" w:space="0" w:color="auto"/>
                  <w:right w:val="single" w:sz="6" w:space="0" w:color="auto"/>
                </w:tcBorders>
              </w:tcPr>
              <w:p w:rsidR="00321199" w:rsidRDefault="00321199" w:rsidP="006C0381">
                <w:pPr>
                  <w:jc w:val="right"/>
                  <w:rPr>
                    <w:szCs w:val="21"/>
                  </w:rPr>
                </w:pPr>
              </w:p>
            </w:tc>
          </w:tr>
          <w:tr w:rsidR="00321199" w:rsidTr="00B637B2">
            <w:sdt>
              <w:sdtPr>
                <w:tag w:val="_PLD_8582e33fffa94878a3ba47a9591f38b8"/>
                <w:id w:val="209004116"/>
                <w:lock w:val="sdtLocked"/>
              </w:sdtPr>
              <w:sdtContent>
                <w:tc>
                  <w:tcPr>
                    <w:tcW w:w="1525" w:type="pct"/>
                    <w:tcBorders>
                      <w:top w:val="single" w:sz="6" w:space="0" w:color="auto"/>
                      <w:left w:val="single" w:sz="4" w:space="0" w:color="auto"/>
                      <w:bottom w:val="single" w:sz="6" w:space="0" w:color="auto"/>
                      <w:right w:val="single" w:sz="6" w:space="0" w:color="auto"/>
                    </w:tcBorders>
                    <w:shd w:val="clear" w:color="auto" w:fill="auto"/>
                    <w:vAlign w:val="bottom"/>
                  </w:tcPr>
                  <w:p w:rsidR="00321199" w:rsidRDefault="00321199" w:rsidP="006C0381">
                    <w:pPr>
                      <w:rPr>
                        <w:rFonts w:cs="Arial"/>
                        <w:color w:val="000000"/>
                        <w:szCs w:val="21"/>
                      </w:rPr>
                    </w:pPr>
                    <w:r>
                      <w:rPr>
                        <w:rFonts w:cs="Arial" w:hint="eastAsia"/>
                        <w:color w:val="000000"/>
                        <w:szCs w:val="21"/>
                        <w:lang w:val="en-GB"/>
                      </w:rPr>
                      <w:t>按持股比例计算的净资产份额</w:t>
                    </w:r>
                  </w:p>
                </w:tc>
              </w:sdtContent>
            </w:sdt>
            <w:tc>
              <w:tcPr>
                <w:tcW w:w="952" w:type="pct"/>
                <w:tcBorders>
                  <w:left w:val="single" w:sz="6" w:space="0" w:color="auto"/>
                  <w:right w:val="single" w:sz="6" w:space="0" w:color="auto"/>
                </w:tcBorders>
                <w:shd w:val="clear" w:color="auto" w:fill="auto"/>
                <w:vAlign w:val="center"/>
              </w:tcPr>
              <w:p w:rsidR="00321199" w:rsidRPr="00613E9F" w:rsidRDefault="00321199" w:rsidP="00B637B2">
                <w:pPr>
                  <w:jc w:val="right"/>
                </w:pPr>
                <w:r w:rsidRPr="00613E9F">
                  <w:t>1,227,779,348</w:t>
                </w:r>
              </w:p>
            </w:tc>
            <w:tc>
              <w:tcPr>
                <w:tcW w:w="754" w:type="pct"/>
                <w:tcBorders>
                  <w:left w:val="single" w:sz="6" w:space="0" w:color="auto"/>
                  <w:right w:val="single" w:sz="6" w:space="0" w:color="auto"/>
                </w:tcBorders>
                <w:shd w:val="clear" w:color="auto" w:fill="auto"/>
                <w:vAlign w:val="center"/>
              </w:tcPr>
              <w:p w:rsidR="00321199" w:rsidRPr="00613E9F" w:rsidRDefault="00321199" w:rsidP="00B637B2">
                <w:pPr>
                  <w:jc w:val="right"/>
                </w:pPr>
              </w:p>
            </w:tc>
            <w:tc>
              <w:tcPr>
                <w:tcW w:w="1016" w:type="pct"/>
                <w:tcBorders>
                  <w:top w:val="single" w:sz="6" w:space="0" w:color="auto"/>
                  <w:left w:val="single" w:sz="6" w:space="0" w:color="auto"/>
                  <w:bottom w:val="single" w:sz="6" w:space="0" w:color="auto"/>
                  <w:right w:val="single" w:sz="6" w:space="0" w:color="auto"/>
                </w:tcBorders>
                <w:vAlign w:val="center"/>
              </w:tcPr>
              <w:p w:rsidR="00321199" w:rsidRDefault="00321199" w:rsidP="00B637B2">
                <w:pPr>
                  <w:jc w:val="right"/>
                </w:pPr>
                <w:r w:rsidRPr="00613E9F">
                  <w:t>1,220,682,547</w:t>
                </w:r>
              </w:p>
            </w:tc>
            <w:tc>
              <w:tcPr>
                <w:tcW w:w="753" w:type="pct"/>
                <w:tcBorders>
                  <w:top w:val="single" w:sz="6" w:space="0" w:color="auto"/>
                  <w:left w:val="single" w:sz="6" w:space="0" w:color="auto"/>
                  <w:bottom w:val="single" w:sz="6" w:space="0" w:color="auto"/>
                  <w:right w:val="single" w:sz="6" w:space="0" w:color="auto"/>
                </w:tcBorders>
              </w:tcPr>
              <w:p w:rsidR="00321199" w:rsidRDefault="00321199" w:rsidP="006C0381">
                <w:pPr>
                  <w:jc w:val="right"/>
                  <w:rPr>
                    <w:szCs w:val="21"/>
                  </w:rPr>
                </w:pPr>
              </w:p>
            </w:tc>
          </w:tr>
          <w:tr w:rsidR="00321199" w:rsidTr="00B637B2">
            <w:sdt>
              <w:sdtPr>
                <w:tag w:val="_PLD_4155423a13664f79a1deecda99eb64f1"/>
                <w:id w:val="-1080517198"/>
                <w:lock w:val="sdtLocked"/>
              </w:sdtPr>
              <w:sdtContent>
                <w:tc>
                  <w:tcPr>
                    <w:tcW w:w="1525" w:type="pct"/>
                    <w:tcBorders>
                      <w:top w:val="single" w:sz="6" w:space="0" w:color="auto"/>
                      <w:left w:val="single" w:sz="4" w:space="0" w:color="auto"/>
                      <w:bottom w:val="single" w:sz="6" w:space="0" w:color="auto"/>
                      <w:right w:val="single" w:sz="6" w:space="0" w:color="auto"/>
                    </w:tcBorders>
                    <w:shd w:val="clear" w:color="auto" w:fill="auto"/>
                    <w:vAlign w:val="bottom"/>
                  </w:tcPr>
                  <w:p w:rsidR="00321199" w:rsidRDefault="00321199" w:rsidP="006C0381">
                    <w:pPr>
                      <w:rPr>
                        <w:rFonts w:cs="Arial"/>
                        <w:color w:val="000000"/>
                        <w:szCs w:val="21"/>
                      </w:rPr>
                    </w:pPr>
                    <w:r>
                      <w:rPr>
                        <w:rFonts w:cs="Arial" w:hint="eastAsia"/>
                        <w:color w:val="000000"/>
                        <w:szCs w:val="21"/>
                        <w:lang w:val="en-GB"/>
                      </w:rPr>
                      <w:t>调整事项</w:t>
                    </w:r>
                  </w:p>
                </w:tc>
              </w:sdtContent>
            </w:sdt>
            <w:tc>
              <w:tcPr>
                <w:tcW w:w="952" w:type="pct"/>
                <w:tcBorders>
                  <w:left w:val="single" w:sz="6" w:space="0" w:color="auto"/>
                  <w:right w:val="single" w:sz="6" w:space="0" w:color="auto"/>
                </w:tcBorders>
                <w:shd w:val="clear" w:color="auto" w:fill="auto"/>
                <w:vAlign w:val="center"/>
              </w:tcPr>
              <w:p w:rsidR="00321199" w:rsidRPr="00E758B9" w:rsidRDefault="00321199" w:rsidP="00B637B2">
                <w:pPr>
                  <w:jc w:val="right"/>
                </w:pPr>
                <w:r w:rsidRPr="00E758B9">
                  <w:t>-753,641</w:t>
                </w:r>
              </w:p>
            </w:tc>
            <w:tc>
              <w:tcPr>
                <w:tcW w:w="754" w:type="pct"/>
                <w:tcBorders>
                  <w:left w:val="single" w:sz="6" w:space="0" w:color="auto"/>
                  <w:right w:val="single" w:sz="6" w:space="0" w:color="auto"/>
                </w:tcBorders>
                <w:shd w:val="clear" w:color="auto" w:fill="auto"/>
                <w:vAlign w:val="center"/>
              </w:tcPr>
              <w:p w:rsidR="00321199" w:rsidRPr="00E758B9" w:rsidRDefault="00321199" w:rsidP="00B637B2">
                <w:pPr>
                  <w:jc w:val="right"/>
                </w:pPr>
              </w:p>
            </w:tc>
            <w:tc>
              <w:tcPr>
                <w:tcW w:w="1016" w:type="pct"/>
                <w:tcBorders>
                  <w:top w:val="single" w:sz="6" w:space="0" w:color="auto"/>
                  <w:left w:val="single" w:sz="6" w:space="0" w:color="auto"/>
                  <w:bottom w:val="single" w:sz="6" w:space="0" w:color="auto"/>
                  <w:right w:val="single" w:sz="6" w:space="0" w:color="auto"/>
                </w:tcBorders>
                <w:vAlign w:val="center"/>
              </w:tcPr>
              <w:p w:rsidR="00321199" w:rsidRDefault="00321199" w:rsidP="00B637B2">
                <w:pPr>
                  <w:jc w:val="right"/>
                </w:pPr>
                <w:r w:rsidRPr="00E758B9">
                  <w:t>-753,641</w:t>
                </w:r>
              </w:p>
            </w:tc>
            <w:tc>
              <w:tcPr>
                <w:tcW w:w="753" w:type="pct"/>
                <w:tcBorders>
                  <w:top w:val="single" w:sz="6" w:space="0" w:color="auto"/>
                  <w:left w:val="single" w:sz="6" w:space="0" w:color="auto"/>
                  <w:bottom w:val="single" w:sz="6" w:space="0" w:color="auto"/>
                  <w:right w:val="single" w:sz="6" w:space="0" w:color="auto"/>
                </w:tcBorders>
              </w:tcPr>
              <w:p w:rsidR="00321199" w:rsidRDefault="00321199" w:rsidP="006C0381">
                <w:pPr>
                  <w:jc w:val="right"/>
                  <w:rPr>
                    <w:szCs w:val="21"/>
                  </w:rPr>
                </w:pPr>
              </w:p>
            </w:tc>
          </w:tr>
          <w:tr w:rsidR="00321199" w:rsidTr="00B637B2">
            <w:sdt>
              <w:sdtPr>
                <w:tag w:val="_PLD_bac24ebdbd9b48db9964fa3d371a3d1a"/>
                <w:id w:val="428091715"/>
                <w:lock w:val="sdtLocked"/>
              </w:sdtPr>
              <w:sdtContent>
                <w:tc>
                  <w:tcPr>
                    <w:tcW w:w="1525" w:type="pct"/>
                    <w:tcBorders>
                      <w:top w:val="single" w:sz="6" w:space="0" w:color="auto"/>
                      <w:left w:val="single" w:sz="4" w:space="0" w:color="auto"/>
                      <w:bottom w:val="single" w:sz="6" w:space="0" w:color="auto"/>
                      <w:right w:val="single" w:sz="6" w:space="0" w:color="auto"/>
                    </w:tcBorders>
                    <w:shd w:val="clear" w:color="auto" w:fill="auto"/>
                    <w:vAlign w:val="bottom"/>
                  </w:tcPr>
                  <w:p w:rsidR="00321199" w:rsidRDefault="00321199" w:rsidP="006C0381">
                    <w:pPr>
                      <w:rPr>
                        <w:rFonts w:cs="Arial"/>
                        <w:color w:val="000000"/>
                        <w:szCs w:val="21"/>
                      </w:rPr>
                    </w:pPr>
                    <w:r>
                      <w:rPr>
                        <w:rFonts w:cs="Arial"/>
                        <w:color w:val="000000"/>
                        <w:szCs w:val="21"/>
                      </w:rPr>
                      <w:t>--</w:t>
                    </w:r>
                    <w:r>
                      <w:rPr>
                        <w:rFonts w:cs="Arial" w:hint="eastAsia"/>
                        <w:color w:val="000000"/>
                        <w:szCs w:val="21"/>
                        <w:lang w:val="en-GB"/>
                      </w:rPr>
                      <w:t>商誉</w:t>
                    </w:r>
                  </w:p>
                </w:tc>
              </w:sdtContent>
            </w:sdt>
            <w:tc>
              <w:tcPr>
                <w:tcW w:w="952" w:type="pct"/>
                <w:tcBorders>
                  <w:left w:val="single" w:sz="6" w:space="0" w:color="auto"/>
                  <w:right w:val="single" w:sz="6" w:space="0" w:color="auto"/>
                </w:tcBorders>
                <w:shd w:val="clear" w:color="auto" w:fill="auto"/>
                <w:vAlign w:val="center"/>
              </w:tcPr>
              <w:p w:rsidR="00321199" w:rsidRDefault="00321199" w:rsidP="00B637B2">
                <w:pPr>
                  <w:jc w:val="right"/>
                  <w:rPr>
                    <w:szCs w:val="21"/>
                  </w:rPr>
                </w:pPr>
              </w:p>
            </w:tc>
            <w:tc>
              <w:tcPr>
                <w:tcW w:w="754" w:type="pct"/>
                <w:tcBorders>
                  <w:left w:val="single" w:sz="6" w:space="0" w:color="auto"/>
                  <w:right w:val="single" w:sz="6" w:space="0" w:color="auto"/>
                </w:tcBorders>
                <w:shd w:val="clear" w:color="auto" w:fill="auto"/>
                <w:vAlign w:val="center"/>
              </w:tcPr>
              <w:p w:rsidR="00321199" w:rsidRDefault="00321199" w:rsidP="00B637B2">
                <w:pPr>
                  <w:jc w:val="right"/>
                  <w:rPr>
                    <w:szCs w:val="21"/>
                  </w:rPr>
                </w:pPr>
              </w:p>
            </w:tc>
            <w:tc>
              <w:tcPr>
                <w:tcW w:w="1016" w:type="pct"/>
                <w:tcBorders>
                  <w:top w:val="single" w:sz="6" w:space="0" w:color="auto"/>
                  <w:left w:val="single" w:sz="6" w:space="0" w:color="auto"/>
                  <w:bottom w:val="single" w:sz="6" w:space="0" w:color="auto"/>
                  <w:right w:val="single" w:sz="6" w:space="0" w:color="auto"/>
                </w:tcBorders>
                <w:vAlign w:val="center"/>
              </w:tcPr>
              <w:p w:rsidR="00321199" w:rsidRDefault="00321199" w:rsidP="00B637B2">
                <w:pPr>
                  <w:jc w:val="right"/>
                  <w:rPr>
                    <w:szCs w:val="21"/>
                  </w:rPr>
                </w:pPr>
              </w:p>
            </w:tc>
            <w:tc>
              <w:tcPr>
                <w:tcW w:w="753" w:type="pct"/>
                <w:tcBorders>
                  <w:top w:val="single" w:sz="6" w:space="0" w:color="auto"/>
                  <w:left w:val="single" w:sz="6" w:space="0" w:color="auto"/>
                  <w:bottom w:val="single" w:sz="6" w:space="0" w:color="auto"/>
                  <w:right w:val="single" w:sz="6" w:space="0" w:color="auto"/>
                </w:tcBorders>
              </w:tcPr>
              <w:p w:rsidR="00321199" w:rsidRDefault="00321199" w:rsidP="006C0381">
                <w:pPr>
                  <w:jc w:val="right"/>
                  <w:rPr>
                    <w:szCs w:val="21"/>
                  </w:rPr>
                </w:pPr>
              </w:p>
            </w:tc>
          </w:tr>
          <w:tr w:rsidR="00321199" w:rsidTr="00B637B2">
            <w:sdt>
              <w:sdtPr>
                <w:tag w:val="_PLD_975fd21cf7f04f898ba9a18af77d6240"/>
                <w:id w:val="1187649333"/>
                <w:lock w:val="sdtLocked"/>
              </w:sdtPr>
              <w:sdtContent>
                <w:tc>
                  <w:tcPr>
                    <w:tcW w:w="1525" w:type="pct"/>
                    <w:tcBorders>
                      <w:top w:val="single" w:sz="6" w:space="0" w:color="auto"/>
                      <w:left w:val="single" w:sz="4" w:space="0" w:color="auto"/>
                      <w:bottom w:val="single" w:sz="6" w:space="0" w:color="auto"/>
                      <w:right w:val="single" w:sz="6" w:space="0" w:color="auto"/>
                    </w:tcBorders>
                    <w:shd w:val="clear" w:color="auto" w:fill="auto"/>
                    <w:vAlign w:val="bottom"/>
                  </w:tcPr>
                  <w:p w:rsidR="00321199" w:rsidRDefault="00321199" w:rsidP="006C0381">
                    <w:pPr>
                      <w:rPr>
                        <w:rFonts w:cs="Arial"/>
                        <w:color w:val="000000"/>
                        <w:szCs w:val="21"/>
                      </w:rPr>
                    </w:pPr>
                    <w:r>
                      <w:rPr>
                        <w:rFonts w:cs="Arial"/>
                        <w:color w:val="000000"/>
                        <w:szCs w:val="21"/>
                      </w:rPr>
                      <w:t>--</w:t>
                    </w:r>
                    <w:r>
                      <w:rPr>
                        <w:rFonts w:cs="Arial" w:hint="eastAsia"/>
                        <w:color w:val="000000"/>
                        <w:szCs w:val="21"/>
                        <w:lang w:val="en-GB"/>
                      </w:rPr>
                      <w:t>内部交易未实现利润</w:t>
                    </w:r>
                  </w:p>
                </w:tc>
              </w:sdtContent>
            </w:sdt>
            <w:tc>
              <w:tcPr>
                <w:tcW w:w="952" w:type="pct"/>
                <w:tcBorders>
                  <w:left w:val="single" w:sz="6" w:space="0" w:color="auto"/>
                  <w:right w:val="single" w:sz="6" w:space="0" w:color="auto"/>
                </w:tcBorders>
                <w:shd w:val="clear" w:color="auto" w:fill="auto"/>
                <w:vAlign w:val="center"/>
              </w:tcPr>
              <w:p w:rsidR="00321199" w:rsidRDefault="008F04CF" w:rsidP="00B637B2">
                <w:pPr>
                  <w:jc w:val="right"/>
                  <w:rPr>
                    <w:szCs w:val="21"/>
                  </w:rPr>
                </w:pPr>
                <w:r w:rsidRPr="00E758B9">
                  <w:t>-753,641</w:t>
                </w:r>
              </w:p>
            </w:tc>
            <w:tc>
              <w:tcPr>
                <w:tcW w:w="754" w:type="pct"/>
                <w:tcBorders>
                  <w:left w:val="single" w:sz="6" w:space="0" w:color="auto"/>
                  <w:right w:val="single" w:sz="6" w:space="0" w:color="auto"/>
                </w:tcBorders>
                <w:shd w:val="clear" w:color="auto" w:fill="auto"/>
                <w:vAlign w:val="center"/>
              </w:tcPr>
              <w:p w:rsidR="00321199" w:rsidRDefault="00321199" w:rsidP="00B637B2">
                <w:pPr>
                  <w:jc w:val="right"/>
                  <w:rPr>
                    <w:szCs w:val="21"/>
                  </w:rPr>
                </w:pPr>
              </w:p>
            </w:tc>
            <w:tc>
              <w:tcPr>
                <w:tcW w:w="1016" w:type="pct"/>
                <w:tcBorders>
                  <w:top w:val="single" w:sz="6" w:space="0" w:color="auto"/>
                  <w:left w:val="single" w:sz="6" w:space="0" w:color="auto"/>
                  <w:bottom w:val="single" w:sz="6" w:space="0" w:color="auto"/>
                  <w:right w:val="single" w:sz="6" w:space="0" w:color="auto"/>
                </w:tcBorders>
                <w:vAlign w:val="center"/>
              </w:tcPr>
              <w:p w:rsidR="00321199" w:rsidRDefault="008F04CF" w:rsidP="00B637B2">
                <w:pPr>
                  <w:jc w:val="right"/>
                  <w:rPr>
                    <w:szCs w:val="21"/>
                  </w:rPr>
                </w:pPr>
                <w:r w:rsidRPr="00E758B9">
                  <w:t>-753,641</w:t>
                </w:r>
              </w:p>
            </w:tc>
            <w:tc>
              <w:tcPr>
                <w:tcW w:w="753" w:type="pct"/>
                <w:tcBorders>
                  <w:top w:val="single" w:sz="6" w:space="0" w:color="auto"/>
                  <w:left w:val="single" w:sz="6" w:space="0" w:color="auto"/>
                  <w:bottom w:val="single" w:sz="6" w:space="0" w:color="auto"/>
                  <w:right w:val="single" w:sz="6" w:space="0" w:color="auto"/>
                </w:tcBorders>
              </w:tcPr>
              <w:p w:rsidR="00321199" w:rsidRDefault="00321199" w:rsidP="006C0381">
                <w:pPr>
                  <w:jc w:val="right"/>
                  <w:rPr>
                    <w:szCs w:val="21"/>
                  </w:rPr>
                </w:pPr>
              </w:p>
            </w:tc>
          </w:tr>
          <w:tr w:rsidR="00321199" w:rsidTr="00B637B2">
            <w:sdt>
              <w:sdtPr>
                <w:tag w:val="_PLD_24a86660be95444c9447cafd3bbfe1ca"/>
                <w:id w:val="-1884933198"/>
                <w:lock w:val="sdtLocked"/>
              </w:sdtPr>
              <w:sdtContent>
                <w:tc>
                  <w:tcPr>
                    <w:tcW w:w="1525" w:type="pct"/>
                    <w:tcBorders>
                      <w:top w:val="single" w:sz="6" w:space="0" w:color="auto"/>
                      <w:left w:val="single" w:sz="4" w:space="0" w:color="auto"/>
                      <w:bottom w:val="single" w:sz="6" w:space="0" w:color="auto"/>
                      <w:right w:val="single" w:sz="6" w:space="0" w:color="auto"/>
                    </w:tcBorders>
                    <w:shd w:val="clear" w:color="auto" w:fill="auto"/>
                    <w:vAlign w:val="bottom"/>
                  </w:tcPr>
                  <w:p w:rsidR="00321199" w:rsidRDefault="00321199" w:rsidP="006C0381">
                    <w:pPr>
                      <w:rPr>
                        <w:rFonts w:cs="Arial"/>
                        <w:color w:val="000000"/>
                        <w:szCs w:val="21"/>
                      </w:rPr>
                    </w:pPr>
                    <w:r>
                      <w:rPr>
                        <w:rFonts w:cs="Arial"/>
                        <w:color w:val="000000"/>
                        <w:szCs w:val="21"/>
                      </w:rPr>
                      <w:t>--</w:t>
                    </w:r>
                    <w:r>
                      <w:rPr>
                        <w:rFonts w:cs="Arial" w:hint="eastAsia"/>
                        <w:color w:val="000000"/>
                        <w:szCs w:val="21"/>
                        <w:lang w:val="en-GB"/>
                      </w:rPr>
                      <w:t>其他</w:t>
                    </w:r>
                  </w:p>
                </w:tc>
              </w:sdtContent>
            </w:sdt>
            <w:tc>
              <w:tcPr>
                <w:tcW w:w="952" w:type="pct"/>
                <w:tcBorders>
                  <w:left w:val="single" w:sz="6" w:space="0" w:color="auto"/>
                  <w:right w:val="single" w:sz="6" w:space="0" w:color="auto"/>
                </w:tcBorders>
                <w:shd w:val="clear" w:color="auto" w:fill="auto"/>
                <w:vAlign w:val="center"/>
              </w:tcPr>
              <w:p w:rsidR="00321199" w:rsidRDefault="00321199" w:rsidP="00B637B2">
                <w:pPr>
                  <w:jc w:val="right"/>
                  <w:rPr>
                    <w:szCs w:val="21"/>
                  </w:rPr>
                </w:pPr>
              </w:p>
            </w:tc>
            <w:tc>
              <w:tcPr>
                <w:tcW w:w="754" w:type="pct"/>
                <w:tcBorders>
                  <w:left w:val="single" w:sz="6" w:space="0" w:color="auto"/>
                  <w:right w:val="single" w:sz="6" w:space="0" w:color="auto"/>
                </w:tcBorders>
                <w:shd w:val="clear" w:color="auto" w:fill="auto"/>
                <w:vAlign w:val="center"/>
              </w:tcPr>
              <w:p w:rsidR="00321199" w:rsidRDefault="00321199" w:rsidP="00B637B2">
                <w:pPr>
                  <w:jc w:val="right"/>
                  <w:rPr>
                    <w:szCs w:val="21"/>
                  </w:rPr>
                </w:pPr>
              </w:p>
            </w:tc>
            <w:tc>
              <w:tcPr>
                <w:tcW w:w="1016" w:type="pct"/>
                <w:tcBorders>
                  <w:top w:val="single" w:sz="6" w:space="0" w:color="auto"/>
                  <w:left w:val="single" w:sz="6" w:space="0" w:color="auto"/>
                  <w:bottom w:val="single" w:sz="6" w:space="0" w:color="auto"/>
                  <w:right w:val="single" w:sz="6" w:space="0" w:color="auto"/>
                </w:tcBorders>
                <w:vAlign w:val="center"/>
              </w:tcPr>
              <w:p w:rsidR="00321199" w:rsidRDefault="00321199" w:rsidP="00B637B2">
                <w:pPr>
                  <w:jc w:val="right"/>
                  <w:rPr>
                    <w:szCs w:val="21"/>
                  </w:rPr>
                </w:pPr>
              </w:p>
            </w:tc>
            <w:tc>
              <w:tcPr>
                <w:tcW w:w="753" w:type="pct"/>
                <w:tcBorders>
                  <w:top w:val="single" w:sz="6" w:space="0" w:color="auto"/>
                  <w:left w:val="single" w:sz="6" w:space="0" w:color="auto"/>
                  <w:bottom w:val="single" w:sz="6" w:space="0" w:color="auto"/>
                  <w:right w:val="single" w:sz="6" w:space="0" w:color="auto"/>
                </w:tcBorders>
              </w:tcPr>
              <w:p w:rsidR="00321199" w:rsidRDefault="00321199" w:rsidP="006C0381">
                <w:pPr>
                  <w:jc w:val="right"/>
                  <w:rPr>
                    <w:szCs w:val="21"/>
                  </w:rPr>
                </w:pPr>
              </w:p>
            </w:tc>
          </w:tr>
          <w:tr w:rsidR="00321199" w:rsidTr="00B637B2">
            <w:sdt>
              <w:sdtPr>
                <w:tag w:val="_PLD_2be4185c2e6a44dfb7339347b64720df"/>
                <w:id w:val="1942483434"/>
                <w:lock w:val="sdtLocked"/>
              </w:sdtPr>
              <w:sdtContent>
                <w:tc>
                  <w:tcPr>
                    <w:tcW w:w="1525" w:type="pct"/>
                    <w:tcBorders>
                      <w:top w:val="single" w:sz="6" w:space="0" w:color="auto"/>
                      <w:left w:val="single" w:sz="4" w:space="0" w:color="auto"/>
                      <w:bottom w:val="single" w:sz="6" w:space="0" w:color="auto"/>
                      <w:right w:val="single" w:sz="6" w:space="0" w:color="auto"/>
                    </w:tcBorders>
                    <w:shd w:val="clear" w:color="auto" w:fill="auto"/>
                    <w:vAlign w:val="bottom"/>
                  </w:tcPr>
                  <w:p w:rsidR="00321199" w:rsidRDefault="00321199" w:rsidP="006C0381">
                    <w:pPr>
                      <w:rPr>
                        <w:rFonts w:cs="Arial"/>
                        <w:color w:val="000000"/>
                        <w:szCs w:val="21"/>
                      </w:rPr>
                    </w:pPr>
                    <w:r>
                      <w:rPr>
                        <w:rFonts w:cs="Arial" w:hint="eastAsia"/>
                        <w:color w:val="000000"/>
                        <w:szCs w:val="21"/>
                        <w:lang w:val="en-GB"/>
                      </w:rPr>
                      <w:t>对联营企业权益投资的账面价值</w:t>
                    </w:r>
                  </w:p>
                </w:tc>
              </w:sdtContent>
            </w:sdt>
            <w:tc>
              <w:tcPr>
                <w:tcW w:w="952" w:type="pct"/>
                <w:tcBorders>
                  <w:left w:val="single" w:sz="6" w:space="0" w:color="auto"/>
                  <w:right w:val="single" w:sz="6" w:space="0" w:color="auto"/>
                </w:tcBorders>
                <w:shd w:val="clear" w:color="auto" w:fill="auto"/>
                <w:vAlign w:val="center"/>
              </w:tcPr>
              <w:p w:rsidR="00321199" w:rsidRPr="00461754" w:rsidRDefault="00321199" w:rsidP="00B637B2">
                <w:pPr>
                  <w:jc w:val="right"/>
                </w:pPr>
                <w:r w:rsidRPr="00461754">
                  <w:t>1,227,025,707</w:t>
                </w:r>
              </w:p>
            </w:tc>
            <w:tc>
              <w:tcPr>
                <w:tcW w:w="754" w:type="pct"/>
                <w:tcBorders>
                  <w:left w:val="single" w:sz="6" w:space="0" w:color="auto"/>
                  <w:right w:val="single" w:sz="6" w:space="0" w:color="auto"/>
                </w:tcBorders>
                <w:shd w:val="clear" w:color="auto" w:fill="auto"/>
                <w:vAlign w:val="center"/>
              </w:tcPr>
              <w:p w:rsidR="00321199" w:rsidRPr="00461754" w:rsidRDefault="00321199" w:rsidP="00B637B2">
                <w:pPr>
                  <w:jc w:val="right"/>
                </w:pPr>
              </w:p>
            </w:tc>
            <w:tc>
              <w:tcPr>
                <w:tcW w:w="1016" w:type="pct"/>
                <w:tcBorders>
                  <w:top w:val="single" w:sz="6" w:space="0" w:color="auto"/>
                  <w:left w:val="single" w:sz="6" w:space="0" w:color="auto"/>
                  <w:bottom w:val="single" w:sz="6" w:space="0" w:color="auto"/>
                  <w:right w:val="single" w:sz="6" w:space="0" w:color="auto"/>
                </w:tcBorders>
                <w:vAlign w:val="center"/>
              </w:tcPr>
              <w:p w:rsidR="00321199" w:rsidRDefault="00321199" w:rsidP="00B637B2">
                <w:pPr>
                  <w:jc w:val="right"/>
                </w:pPr>
                <w:r w:rsidRPr="00461754">
                  <w:t>1,219,928,906</w:t>
                </w:r>
              </w:p>
            </w:tc>
            <w:tc>
              <w:tcPr>
                <w:tcW w:w="753" w:type="pct"/>
                <w:tcBorders>
                  <w:top w:val="single" w:sz="6" w:space="0" w:color="auto"/>
                  <w:left w:val="single" w:sz="6" w:space="0" w:color="auto"/>
                  <w:bottom w:val="single" w:sz="6" w:space="0" w:color="auto"/>
                  <w:right w:val="single" w:sz="6" w:space="0" w:color="auto"/>
                </w:tcBorders>
              </w:tcPr>
              <w:p w:rsidR="00321199" w:rsidRDefault="00321199" w:rsidP="006C0381">
                <w:pPr>
                  <w:jc w:val="right"/>
                  <w:rPr>
                    <w:szCs w:val="21"/>
                  </w:rPr>
                </w:pPr>
              </w:p>
            </w:tc>
          </w:tr>
          <w:tr w:rsidR="00321199" w:rsidTr="00B637B2">
            <w:sdt>
              <w:sdtPr>
                <w:tag w:val="_PLD_89f7288bf5124b4794da7c1329ad7dff"/>
                <w:id w:val="-127171117"/>
                <w:lock w:val="sdtLocked"/>
              </w:sdtPr>
              <w:sdtContent>
                <w:tc>
                  <w:tcPr>
                    <w:tcW w:w="1525" w:type="pct"/>
                    <w:tcBorders>
                      <w:top w:val="single" w:sz="6" w:space="0" w:color="auto"/>
                      <w:left w:val="single" w:sz="4" w:space="0" w:color="auto"/>
                      <w:bottom w:val="single" w:sz="6" w:space="0" w:color="auto"/>
                      <w:right w:val="single" w:sz="6" w:space="0" w:color="auto"/>
                    </w:tcBorders>
                    <w:shd w:val="clear" w:color="auto" w:fill="auto"/>
                    <w:vAlign w:val="bottom"/>
                  </w:tcPr>
                  <w:p w:rsidR="00321199" w:rsidRDefault="00321199" w:rsidP="006C0381">
                    <w:pPr>
                      <w:rPr>
                        <w:rFonts w:cs="Arial"/>
                        <w:color w:val="000000"/>
                        <w:szCs w:val="21"/>
                      </w:rPr>
                    </w:pPr>
                    <w:r>
                      <w:rPr>
                        <w:rFonts w:cs="Arial" w:hint="eastAsia"/>
                        <w:color w:val="000000"/>
                        <w:szCs w:val="21"/>
                        <w:lang w:val="en-GB"/>
                      </w:rPr>
                      <w:t>存在公开报价的联营企业权益投资的公允价值</w:t>
                    </w:r>
                  </w:p>
                </w:tc>
              </w:sdtContent>
            </w:sdt>
            <w:tc>
              <w:tcPr>
                <w:tcW w:w="952" w:type="pct"/>
                <w:tcBorders>
                  <w:left w:val="single" w:sz="6" w:space="0" w:color="auto"/>
                  <w:right w:val="single" w:sz="6" w:space="0" w:color="auto"/>
                </w:tcBorders>
                <w:shd w:val="clear" w:color="auto" w:fill="auto"/>
                <w:vAlign w:val="center"/>
              </w:tcPr>
              <w:p w:rsidR="00321199" w:rsidRDefault="00321199" w:rsidP="00B637B2">
                <w:pPr>
                  <w:jc w:val="right"/>
                  <w:rPr>
                    <w:szCs w:val="21"/>
                  </w:rPr>
                </w:pPr>
              </w:p>
            </w:tc>
            <w:tc>
              <w:tcPr>
                <w:tcW w:w="754" w:type="pct"/>
                <w:tcBorders>
                  <w:left w:val="single" w:sz="6" w:space="0" w:color="auto"/>
                  <w:right w:val="single" w:sz="6" w:space="0" w:color="auto"/>
                </w:tcBorders>
                <w:shd w:val="clear" w:color="auto" w:fill="auto"/>
                <w:vAlign w:val="center"/>
              </w:tcPr>
              <w:p w:rsidR="00321199" w:rsidRDefault="00321199" w:rsidP="00B637B2">
                <w:pPr>
                  <w:jc w:val="right"/>
                  <w:rPr>
                    <w:szCs w:val="21"/>
                  </w:rPr>
                </w:pPr>
              </w:p>
            </w:tc>
            <w:tc>
              <w:tcPr>
                <w:tcW w:w="1016" w:type="pct"/>
                <w:tcBorders>
                  <w:top w:val="single" w:sz="6" w:space="0" w:color="auto"/>
                  <w:left w:val="single" w:sz="6" w:space="0" w:color="auto"/>
                  <w:bottom w:val="single" w:sz="6" w:space="0" w:color="auto"/>
                  <w:right w:val="single" w:sz="6" w:space="0" w:color="auto"/>
                </w:tcBorders>
                <w:vAlign w:val="center"/>
              </w:tcPr>
              <w:p w:rsidR="00321199" w:rsidRDefault="00321199" w:rsidP="00B637B2">
                <w:pPr>
                  <w:jc w:val="right"/>
                  <w:rPr>
                    <w:szCs w:val="21"/>
                  </w:rPr>
                </w:pPr>
              </w:p>
            </w:tc>
            <w:tc>
              <w:tcPr>
                <w:tcW w:w="753" w:type="pct"/>
                <w:tcBorders>
                  <w:top w:val="single" w:sz="6" w:space="0" w:color="auto"/>
                  <w:left w:val="single" w:sz="6" w:space="0" w:color="auto"/>
                  <w:bottom w:val="single" w:sz="6" w:space="0" w:color="auto"/>
                  <w:right w:val="single" w:sz="6" w:space="0" w:color="auto"/>
                </w:tcBorders>
              </w:tcPr>
              <w:p w:rsidR="00321199" w:rsidRDefault="00321199" w:rsidP="006C0381">
                <w:pPr>
                  <w:jc w:val="right"/>
                  <w:rPr>
                    <w:szCs w:val="21"/>
                  </w:rPr>
                </w:pPr>
              </w:p>
            </w:tc>
          </w:tr>
          <w:tr w:rsidR="00321199" w:rsidTr="00B637B2">
            <w:tc>
              <w:tcPr>
                <w:tcW w:w="1525" w:type="pct"/>
                <w:tcBorders>
                  <w:top w:val="single" w:sz="6" w:space="0" w:color="auto"/>
                  <w:left w:val="single" w:sz="4" w:space="0" w:color="auto"/>
                  <w:bottom w:val="single" w:sz="6" w:space="0" w:color="auto"/>
                  <w:right w:val="single" w:sz="6" w:space="0" w:color="auto"/>
                </w:tcBorders>
                <w:shd w:val="clear" w:color="auto" w:fill="auto"/>
                <w:vAlign w:val="bottom"/>
              </w:tcPr>
              <w:p w:rsidR="00321199" w:rsidRDefault="00321199" w:rsidP="006C0381">
                <w:pPr>
                  <w:rPr>
                    <w:rFonts w:cs="Arial"/>
                    <w:color w:val="000000"/>
                    <w:szCs w:val="21"/>
                    <w:lang w:val="en-GB"/>
                  </w:rPr>
                </w:pPr>
              </w:p>
            </w:tc>
            <w:tc>
              <w:tcPr>
                <w:tcW w:w="952" w:type="pct"/>
                <w:tcBorders>
                  <w:left w:val="single" w:sz="6" w:space="0" w:color="auto"/>
                  <w:right w:val="single" w:sz="6" w:space="0" w:color="auto"/>
                </w:tcBorders>
                <w:shd w:val="clear" w:color="auto" w:fill="auto"/>
                <w:vAlign w:val="center"/>
              </w:tcPr>
              <w:p w:rsidR="00321199" w:rsidRDefault="00321199" w:rsidP="00B637B2">
                <w:pPr>
                  <w:jc w:val="right"/>
                  <w:rPr>
                    <w:szCs w:val="21"/>
                  </w:rPr>
                </w:pPr>
              </w:p>
            </w:tc>
            <w:tc>
              <w:tcPr>
                <w:tcW w:w="754" w:type="pct"/>
                <w:tcBorders>
                  <w:left w:val="single" w:sz="6" w:space="0" w:color="auto"/>
                  <w:right w:val="single" w:sz="6" w:space="0" w:color="auto"/>
                </w:tcBorders>
                <w:shd w:val="clear" w:color="auto" w:fill="auto"/>
                <w:vAlign w:val="center"/>
              </w:tcPr>
              <w:p w:rsidR="00321199" w:rsidRDefault="00321199" w:rsidP="00B637B2">
                <w:pPr>
                  <w:jc w:val="right"/>
                  <w:rPr>
                    <w:szCs w:val="21"/>
                  </w:rPr>
                </w:pPr>
              </w:p>
            </w:tc>
            <w:tc>
              <w:tcPr>
                <w:tcW w:w="1016" w:type="pct"/>
                <w:tcBorders>
                  <w:top w:val="single" w:sz="6" w:space="0" w:color="auto"/>
                  <w:left w:val="single" w:sz="6" w:space="0" w:color="auto"/>
                  <w:bottom w:val="single" w:sz="6" w:space="0" w:color="auto"/>
                  <w:right w:val="single" w:sz="6" w:space="0" w:color="auto"/>
                </w:tcBorders>
                <w:vAlign w:val="center"/>
              </w:tcPr>
              <w:p w:rsidR="00321199" w:rsidRDefault="00321199" w:rsidP="00B637B2">
                <w:pPr>
                  <w:jc w:val="right"/>
                  <w:rPr>
                    <w:szCs w:val="21"/>
                  </w:rPr>
                </w:pPr>
              </w:p>
            </w:tc>
            <w:tc>
              <w:tcPr>
                <w:tcW w:w="753" w:type="pct"/>
                <w:tcBorders>
                  <w:top w:val="single" w:sz="6" w:space="0" w:color="auto"/>
                  <w:left w:val="single" w:sz="6" w:space="0" w:color="auto"/>
                  <w:bottom w:val="single" w:sz="6" w:space="0" w:color="auto"/>
                  <w:right w:val="single" w:sz="6" w:space="0" w:color="auto"/>
                </w:tcBorders>
              </w:tcPr>
              <w:p w:rsidR="00321199" w:rsidRDefault="00321199" w:rsidP="006C0381">
                <w:pPr>
                  <w:jc w:val="right"/>
                  <w:rPr>
                    <w:szCs w:val="21"/>
                  </w:rPr>
                </w:pPr>
              </w:p>
            </w:tc>
          </w:tr>
          <w:tr w:rsidR="00321199" w:rsidTr="00B637B2">
            <w:sdt>
              <w:sdtPr>
                <w:tag w:val="_PLD_3dda32d2f0f749c2b0d95dc4c3753c29"/>
                <w:id w:val="1593511657"/>
                <w:lock w:val="sdtLocked"/>
              </w:sdtPr>
              <w:sdtContent>
                <w:tc>
                  <w:tcPr>
                    <w:tcW w:w="1525" w:type="pct"/>
                    <w:tcBorders>
                      <w:top w:val="single" w:sz="6" w:space="0" w:color="auto"/>
                      <w:left w:val="single" w:sz="4" w:space="0" w:color="auto"/>
                      <w:bottom w:val="single" w:sz="6" w:space="0" w:color="auto"/>
                      <w:right w:val="single" w:sz="6" w:space="0" w:color="auto"/>
                    </w:tcBorders>
                    <w:shd w:val="clear" w:color="auto" w:fill="auto"/>
                    <w:vAlign w:val="bottom"/>
                  </w:tcPr>
                  <w:p w:rsidR="00321199" w:rsidRDefault="00321199" w:rsidP="006C0381">
                    <w:pPr>
                      <w:rPr>
                        <w:rFonts w:cs="Arial"/>
                        <w:color w:val="000000"/>
                        <w:szCs w:val="21"/>
                      </w:rPr>
                    </w:pPr>
                    <w:r>
                      <w:rPr>
                        <w:rFonts w:cs="Arial" w:hint="eastAsia"/>
                        <w:color w:val="000000"/>
                        <w:szCs w:val="21"/>
                        <w:lang w:val="en-GB"/>
                      </w:rPr>
                      <w:t>营业收入</w:t>
                    </w:r>
                  </w:p>
                </w:tc>
              </w:sdtContent>
            </w:sdt>
            <w:tc>
              <w:tcPr>
                <w:tcW w:w="952" w:type="pct"/>
                <w:tcBorders>
                  <w:left w:val="single" w:sz="6" w:space="0" w:color="auto"/>
                  <w:right w:val="single" w:sz="6" w:space="0" w:color="auto"/>
                </w:tcBorders>
                <w:shd w:val="clear" w:color="auto" w:fill="auto"/>
                <w:vAlign w:val="center"/>
              </w:tcPr>
              <w:p w:rsidR="00321199" w:rsidRDefault="00321199" w:rsidP="00B637B2">
                <w:pPr>
                  <w:jc w:val="right"/>
                  <w:rPr>
                    <w:szCs w:val="21"/>
                  </w:rPr>
                </w:pPr>
                <w:r>
                  <w:t>217,761,571</w:t>
                </w:r>
              </w:p>
            </w:tc>
            <w:tc>
              <w:tcPr>
                <w:tcW w:w="754" w:type="pct"/>
                <w:tcBorders>
                  <w:left w:val="single" w:sz="6" w:space="0" w:color="auto"/>
                  <w:right w:val="single" w:sz="6" w:space="0" w:color="auto"/>
                </w:tcBorders>
                <w:shd w:val="clear" w:color="auto" w:fill="auto"/>
                <w:vAlign w:val="center"/>
              </w:tcPr>
              <w:p w:rsidR="00321199" w:rsidRDefault="00321199" w:rsidP="00B637B2">
                <w:pPr>
                  <w:jc w:val="right"/>
                  <w:rPr>
                    <w:szCs w:val="21"/>
                  </w:rPr>
                </w:pPr>
              </w:p>
            </w:tc>
            <w:tc>
              <w:tcPr>
                <w:tcW w:w="1016" w:type="pct"/>
                <w:tcBorders>
                  <w:top w:val="single" w:sz="6" w:space="0" w:color="auto"/>
                  <w:left w:val="single" w:sz="6" w:space="0" w:color="auto"/>
                  <w:bottom w:val="single" w:sz="6" w:space="0" w:color="auto"/>
                  <w:right w:val="single" w:sz="6" w:space="0" w:color="auto"/>
                </w:tcBorders>
                <w:vAlign w:val="center"/>
              </w:tcPr>
              <w:p w:rsidR="00321199" w:rsidRDefault="00036BDC" w:rsidP="00B637B2">
                <w:pPr>
                  <w:jc w:val="right"/>
                  <w:rPr>
                    <w:szCs w:val="21"/>
                  </w:rPr>
                </w:pPr>
                <w:r>
                  <w:t>195,009,200</w:t>
                </w:r>
              </w:p>
            </w:tc>
            <w:tc>
              <w:tcPr>
                <w:tcW w:w="753" w:type="pct"/>
                <w:tcBorders>
                  <w:top w:val="single" w:sz="6" w:space="0" w:color="auto"/>
                  <w:left w:val="single" w:sz="6" w:space="0" w:color="auto"/>
                  <w:bottom w:val="single" w:sz="6" w:space="0" w:color="auto"/>
                  <w:right w:val="single" w:sz="6" w:space="0" w:color="auto"/>
                </w:tcBorders>
              </w:tcPr>
              <w:p w:rsidR="00321199" w:rsidRDefault="00321199" w:rsidP="006C0381">
                <w:pPr>
                  <w:jc w:val="right"/>
                  <w:rPr>
                    <w:szCs w:val="21"/>
                  </w:rPr>
                </w:pPr>
              </w:p>
            </w:tc>
          </w:tr>
          <w:tr w:rsidR="00321199" w:rsidTr="00B637B2">
            <w:sdt>
              <w:sdtPr>
                <w:tag w:val="_PLD_2700e40e30734ccda4fc19f6731bfd23"/>
                <w:id w:val="1511417094"/>
                <w:lock w:val="sdtLocked"/>
              </w:sdtPr>
              <w:sdtContent>
                <w:tc>
                  <w:tcPr>
                    <w:tcW w:w="1525" w:type="pct"/>
                    <w:tcBorders>
                      <w:top w:val="single" w:sz="6" w:space="0" w:color="auto"/>
                      <w:left w:val="single" w:sz="4" w:space="0" w:color="auto"/>
                      <w:bottom w:val="single" w:sz="6" w:space="0" w:color="auto"/>
                      <w:right w:val="single" w:sz="6" w:space="0" w:color="auto"/>
                    </w:tcBorders>
                    <w:shd w:val="clear" w:color="auto" w:fill="auto"/>
                    <w:vAlign w:val="bottom"/>
                  </w:tcPr>
                  <w:p w:rsidR="00321199" w:rsidRDefault="00321199" w:rsidP="006C0381">
                    <w:pPr>
                      <w:rPr>
                        <w:rFonts w:cs="Arial"/>
                        <w:color w:val="000000"/>
                        <w:szCs w:val="21"/>
                      </w:rPr>
                    </w:pPr>
                    <w:r>
                      <w:rPr>
                        <w:rFonts w:cs="Arial" w:hint="eastAsia"/>
                        <w:color w:val="000000"/>
                        <w:szCs w:val="21"/>
                        <w:lang w:val="en-GB"/>
                      </w:rPr>
                      <w:t>净利润</w:t>
                    </w:r>
                  </w:p>
                </w:tc>
              </w:sdtContent>
            </w:sdt>
            <w:tc>
              <w:tcPr>
                <w:tcW w:w="952" w:type="pct"/>
                <w:tcBorders>
                  <w:left w:val="single" w:sz="6" w:space="0" w:color="auto"/>
                  <w:right w:val="single" w:sz="6" w:space="0" w:color="auto"/>
                </w:tcBorders>
                <w:shd w:val="clear" w:color="auto" w:fill="auto"/>
                <w:vAlign w:val="center"/>
              </w:tcPr>
              <w:p w:rsidR="00321199" w:rsidRDefault="00321199" w:rsidP="00B637B2">
                <w:pPr>
                  <w:jc w:val="right"/>
                  <w:rPr>
                    <w:szCs w:val="21"/>
                  </w:rPr>
                </w:pPr>
                <w:r>
                  <w:t>23,181,390</w:t>
                </w:r>
              </w:p>
            </w:tc>
            <w:tc>
              <w:tcPr>
                <w:tcW w:w="754" w:type="pct"/>
                <w:tcBorders>
                  <w:left w:val="single" w:sz="6" w:space="0" w:color="auto"/>
                  <w:right w:val="single" w:sz="6" w:space="0" w:color="auto"/>
                </w:tcBorders>
                <w:shd w:val="clear" w:color="auto" w:fill="auto"/>
                <w:vAlign w:val="center"/>
              </w:tcPr>
              <w:p w:rsidR="00321199" w:rsidRDefault="00321199" w:rsidP="00B637B2">
                <w:pPr>
                  <w:jc w:val="right"/>
                  <w:rPr>
                    <w:szCs w:val="21"/>
                  </w:rPr>
                </w:pPr>
              </w:p>
            </w:tc>
            <w:tc>
              <w:tcPr>
                <w:tcW w:w="1016" w:type="pct"/>
                <w:tcBorders>
                  <w:top w:val="single" w:sz="6" w:space="0" w:color="auto"/>
                  <w:left w:val="single" w:sz="6" w:space="0" w:color="auto"/>
                  <w:bottom w:val="single" w:sz="6" w:space="0" w:color="auto"/>
                  <w:right w:val="single" w:sz="6" w:space="0" w:color="auto"/>
                </w:tcBorders>
                <w:vAlign w:val="center"/>
              </w:tcPr>
              <w:p w:rsidR="00321199" w:rsidRDefault="00036BDC" w:rsidP="00B637B2">
                <w:pPr>
                  <w:jc w:val="right"/>
                  <w:rPr>
                    <w:szCs w:val="21"/>
                  </w:rPr>
                </w:pPr>
                <w:r>
                  <w:t>24</w:t>
                </w:r>
                <w:r w:rsidR="00321199">
                  <w:t>,</w:t>
                </w:r>
                <w:r>
                  <w:t>233</w:t>
                </w:r>
                <w:r w:rsidR="00321199">
                  <w:t>,37</w:t>
                </w:r>
                <w:r>
                  <w:t>8</w:t>
                </w:r>
              </w:p>
            </w:tc>
            <w:tc>
              <w:tcPr>
                <w:tcW w:w="753" w:type="pct"/>
                <w:tcBorders>
                  <w:top w:val="single" w:sz="6" w:space="0" w:color="auto"/>
                  <w:left w:val="single" w:sz="6" w:space="0" w:color="auto"/>
                  <w:bottom w:val="single" w:sz="6" w:space="0" w:color="auto"/>
                  <w:right w:val="single" w:sz="6" w:space="0" w:color="auto"/>
                </w:tcBorders>
              </w:tcPr>
              <w:p w:rsidR="00321199" w:rsidRDefault="00321199" w:rsidP="006C0381">
                <w:pPr>
                  <w:jc w:val="right"/>
                  <w:rPr>
                    <w:szCs w:val="21"/>
                  </w:rPr>
                </w:pPr>
              </w:p>
            </w:tc>
          </w:tr>
          <w:tr w:rsidR="00321199" w:rsidTr="006C0381">
            <w:sdt>
              <w:sdtPr>
                <w:tag w:val="_PLD_7123283d145f4e83a026dd1ab301c96a"/>
                <w:id w:val="-242961795"/>
                <w:lock w:val="sdtLocked"/>
              </w:sdtPr>
              <w:sdtContent>
                <w:tc>
                  <w:tcPr>
                    <w:tcW w:w="1525" w:type="pct"/>
                    <w:tcBorders>
                      <w:top w:val="single" w:sz="6" w:space="0" w:color="auto"/>
                      <w:left w:val="single" w:sz="4" w:space="0" w:color="auto"/>
                      <w:bottom w:val="single" w:sz="6" w:space="0" w:color="auto"/>
                      <w:right w:val="single" w:sz="6" w:space="0" w:color="auto"/>
                    </w:tcBorders>
                    <w:shd w:val="clear" w:color="auto" w:fill="auto"/>
                    <w:vAlign w:val="bottom"/>
                  </w:tcPr>
                  <w:p w:rsidR="00321199" w:rsidRDefault="00321199" w:rsidP="006C0381">
                    <w:pPr>
                      <w:rPr>
                        <w:rFonts w:cs="Arial"/>
                        <w:color w:val="000000"/>
                        <w:szCs w:val="21"/>
                        <w:lang w:val="en-GB"/>
                      </w:rPr>
                    </w:pPr>
                    <w:r>
                      <w:rPr>
                        <w:rFonts w:cs="Arial" w:hint="eastAsia"/>
                        <w:color w:val="000000"/>
                        <w:szCs w:val="21"/>
                        <w:lang w:val="en-GB"/>
                      </w:rPr>
                      <w:t>终止经营的净利润</w:t>
                    </w:r>
                  </w:p>
                </w:tc>
              </w:sdtContent>
            </w:sdt>
            <w:tc>
              <w:tcPr>
                <w:tcW w:w="952" w:type="pct"/>
                <w:tcBorders>
                  <w:left w:val="single" w:sz="6" w:space="0" w:color="auto"/>
                  <w:right w:val="single" w:sz="6" w:space="0" w:color="auto"/>
                </w:tcBorders>
                <w:shd w:val="clear" w:color="auto" w:fill="auto"/>
              </w:tcPr>
              <w:p w:rsidR="00321199" w:rsidRDefault="00321199" w:rsidP="006C0381">
                <w:pPr>
                  <w:jc w:val="right"/>
                  <w:rPr>
                    <w:szCs w:val="21"/>
                  </w:rPr>
                </w:pPr>
              </w:p>
            </w:tc>
            <w:tc>
              <w:tcPr>
                <w:tcW w:w="754" w:type="pct"/>
                <w:tcBorders>
                  <w:left w:val="single" w:sz="6" w:space="0" w:color="auto"/>
                  <w:right w:val="single" w:sz="6" w:space="0" w:color="auto"/>
                </w:tcBorders>
                <w:shd w:val="clear" w:color="auto" w:fill="auto"/>
              </w:tcPr>
              <w:p w:rsidR="00321199" w:rsidRDefault="00321199" w:rsidP="006C0381">
                <w:pPr>
                  <w:jc w:val="right"/>
                  <w:rPr>
                    <w:szCs w:val="21"/>
                  </w:rPr>
                </w:pPr>
              </w:p>
            </w:tc>
            <w:tc>
              <w:tcPr>
                <w:tcW w:w="1016" w:type="pct"/>
                <w:tcBorders>
                  <w:top w:val="single" w:sz="6" w:space="0" w:color="auto"/>
                  <w:left w:val="single" w:sz="6" w:space="0" w:color="auto"/>
                  <w:bottom w:val="single" w:sz="6" w:space="0" w:color="auto"/>
                  <w:right w:val="single" w:sz="6" w:space="0" w:color="auto"/>
                </w:tcBorders>
              </w:tcPr>
              <w:p w:rsidR="00321199" w:rsidRDefault="00321199" w:rsidP="006C0381">
                <w:pPr>
                  <w:jc w:val="right"/>
                  <w:rPr>
                    <w:szCs w:val="21"/>
                  </w:rPr>
                </w:pPr>
              </w:p>
            </w:tc>
            <w:tc>
              <w:tcPr>
                <w:tcW w:w="753" w:type="pct"/>
                <w:tcBorders>
                  <w:top w:val="single" w:sz="6" w:space="0" w:color="auto"/>
                  <w:left w:val="single" w:sz="6" w:space="0" w:color="auto"/>
                  <w:bottom w:val="single" w:sz="6" w:space="0" w:color="auto"/>
                  <w:right w:val="single" w:sz="6" w:space="0" w:color="auto"/>
                </w:tcBorders>
              </w:tcPr>
              <w:p w:rsidR="00321199" w:rsidRDefault="00321199" w:rsidP="006C0381">
                <w:pPr>
                  <w:jc w:val="right"/>
                  <w:rPr>
                    <w:szCs w:val="21"/>
                  </w:rPr>
                </w:pPr>
              </w:p>
            </w:tc>
          </w:tr>
          <w:tr w:rsidR="00321199" w:rsidTr="006C0381">
            <w:sdt>
              <w:sdtPr>
                <w:tag w:val="_PLD_45e6a45abde34643910c58dce10e37dd"/>
                <w:id w:val="-644047854"/>
                <w:lock w:val="sdtLocked"/>
              </w:sdtPr>
              <w:sdtContent>
                <w:tc>
                  <w:tcPr>
                    <w:tcW w:w="1525" w:type="pct"/>
                    <w:tcBorders>
                      <w:top w:val="single" w:sz="6" w:space="0" w:color="auto"/>
                      <w:left w:val="single" w:sz="4" w:space="0" w:color="auto"/>
                      <w:bottom w:val="single" w:sz="6" w:space="0" w:color="auto"/>
                      <w:right w:val="single" w:sz="6" w:space="0" w:color="auto"/>
                    </w:tcBorders>
                    <w:shd w:val="clear" w:color="auto" w:fill="auto"/>
                    <w:vAlign w:val="bottom"/>
                  </w:tcPr>
                  <w:p w:rsidR="00321199" w:rsidRDefault="00321199" w:rsidP="006C0381">
                    <w:pPr>
                      <w:rPr>
                        <w:rFonts w:cs="Arial"/>
                        <w:color w:val="000000"/>
                        <w:szCs w:val="21"/>
                      </w:rPr>
                    </w:pPr>
                    <w:r>
                      <w:rPr>
                        <w:rFonts w:cs="Arial" w:hint="eastAsia"/>
                        <w:color w:val="000000"/>
                        <w:szCs w:val="21"/>
                        <w:lang w:val="en-GB"/>
                      </w:rPr>
                      <w:t>其他综合收益</w:t>
                    </w:r>
                  </w:p>
                </w:tc>
              </w:sdtContent>
            </w:sdt>
            <w:tc>
              <w:tcPr>
                <w:tcW w:w="952" w:type="pct"/>
                <w:tcBorders>
                  <w:left w:val="single" w:sz="6" w:space="0" w:color="auto"/>
                  <w:right w:val="single" w:sz="6" w:space="0" w:color="auto"/>
                </w:tcBorders>
                <w:shd w:val="clear" w:color="auto" w:fill="auto"/>
              </w:tcPr>
              <w:p w:rsidR="00321199" w:rsidRDefault="00321199" w:rsidP="006C0381">
                <w:pPr>
                  <w:jc w:val="right"/>
                  <w:rPr>
                    <w:szCs w:val="21"/>
                  </w:rPr>
                </w:pPr>
              </w:p>
            </w:tc>
            <w:tc>
              <w:tcPr>
                <w:tcW w:w="754" w:type="pct"/>
                <w:tcBorders>
                  <w:left w:val="single" w:sz="6" w:space="0" w:color="auto"/>
                  <w:right w:val="single" w:sz="6" w:space="0" w:color="auto"/>
                </w:tcBorders>
                <w:shd w:val="clear" w:color="auto" w:fill="auto"/>
              </w:tcPr>
              <w:p w:rsidR="00321199" w:rsidRDefault="00321199" w:rsidP="006C0381">
                <w:pPr>
                  <w:jc w:val="right"/>
                  <w:rPr>
                    <w:szCs w:val="21"/>
                  </w:rPr>
                </w:pPr>
              </w:p>
            </w:tc>
            <w:tc>
              <w:tcPr>
                <w:tcW w:w="1016" w:type="pct"/>
                <w:tcBorders>
                  <w:top w:val="single" w:sz="6" w:space="0" w:color="auto"/>
                  <w:left w:val="single" w:sz="6" w:space="0" w:color="auto"/>
                  <w:bottom w:val="single" w:sz="6" w:space="0" w:color="auto"/>
                  <w:right w:val="single" w:sz="6" w:space="0" w:color="auto"/>
                </w:tcBorders>
              </w:tcPr>
              <w:p w:rsidR="00321199" w:rsidRDefault="00321199" w:rsidP="006C0381">
                <w:pPr>
                  <w:jc w:val="right"/>
                  <w:rPr>
                    <w:szCs w:val="21"/>
                  </w:rPr>
                </w:pPr>
              </w:p>
            </w:tc>
            <w:tc>
              <w:tcPr>
                <w:tcW w:w="753" w:type="pct"/>
                <w:tcBorders>
                  <w:top w:val="single" w:sz="6" w:space="0" w:color="auto"/>
                  <w:left w:val="single" w:sz="6" w:space="0" w:color="auto"/>
                  <w:bottom w:val="single" w:sz="6" w:space="0" w:color="auto"/>
                  <w:right w:val="single" w:sz="6" w:space="0" w:color="auto"/>
                </w:tcBorders>
              </w:tcPr>
              <w:p w:rsidR="00321199" w:rsidRDefault="00321199" w:rsidP="006C0381">
                <w:pPr>
                  <w:jc w:val="right"/>
                  <w:rPr>
                    <w:szCs w:val="21"/>
                  </w:rPr>
                </w:pPr>
              </w:p>
            </w:tc>
          </w:tr>
          <w:tr w:rsidR="00321199" w:rsidTr="006C0381">
            <w:sdt>
              <w:sdtPr>
                <w:tag w:val="_PLD_46271de88b51495b853f579968062473"/>
                <w:id w:val="-1218659312"/>
                <w:lock w:val="sdtLocked"/>
              </w:sdtPr>
              <w:sdtContent>
                <w:tc>
                  <w:tcPr>
                    <w:tcW w:w="1525" w:type="pct"/>
                    <w:tcBorders>
                      <w:top w:val="single" w:sz="6" w:space="0" w:color="auto"/>
                      <w:left w:val="single" w:sz="4" w:space="0" w:color="auto"/>
                      <w:bottom w:val="single" w:sz="6" w:space="0" w:color="auto"/>
                      <w:right w:val="single" w:sz="6" w:space="0" w:color="auto"/>
                    </w:tcBorders>
                    <w:shd w:val="clear" w:color="auto" w:fill="auto"/>
                    <w:vAlign w:val="bottom"/>
                  </w:tcPr>
                  <w:p w:rsidR="00321199" w:rsidRDefault="00321199" w:rsidP="006C0381">
                    <w:pPr>
                      <w:rPr>
                        <w:rFonts w:cs="Arial"/>
                        <w:color w:val="000000"/>
                        <w:szCs w:val="21"/>
                      </w:rPr>
                    </w:pPr>
                    <w:r>
                      <w:rPr>
                        <w:rFonts w:cs="Arial" w:hint="eastAsia"/>
                        <w:color w:val="000000"/>
                        <w:szCs w:val="21"/>
                        <w:lang w:val="en-GB"/>
                      </w:rPr>
                      <w:t>综合收益总额</w:t>
                    </w:r>
                  </w:p>
                </w:tc>
              </w:sdtContent>
            </w:sdt>
            <w:tc>
              <w:tcPr>
                <w:tcW w:w="952" w:type="pct"/>
                <w:tcBorders>
                  <w:left w:val="single" w:sz="6" w:space="0" w:color="auto"/>
                  <w:right w:val="single" w:sz="6" w:space="0" w:color="auto"/>
                </w:tcBorders>
                <w:shd w:val="clear" w:color="auto" w:fill="auto"/>
              </w:tcPr>
              <w:p w:rsidR="00321199" w:rsidRDefault="00321199" w:rsidP="006C0381">
                <w:pPr>
                  <w:jc w:val="right"/>
                  <w:rPr>
                    <w:szCs w:val="21"/>
                  </w:rPr>
                </w:pPr>
              </w:p>
            </w:tc>
            <w:tc>
              <w:tcPr>
                <w:tcW w:w="754" w:type="pct"/>
                <w:tcBorders>
                  <w:left w:val="single" w:sz="6" w:space="0" w:color="auto"/>
                  <w:right w:val="single" w:sz="6" w:space="0" w:color="auto"/>
                </w:tcBorders>
                <w:shd w:val="clear" w:color="auto" w:fill="auto"/>
              </w:tcPr>
              <w:p w:rsidR="00321199" w:rsidRDefault="00321199" w:rsidP="006C0381">
                <w:pPr>
                  <w:jc w:val="right"/>
                  <w:rPr>
                    <w:szCs w:val="21"/>
                  </w:rPr>
                </w:pPr>
              </w:p>
            </w:tc>
            <w:tc>
              <w:tcPr>
                <w:tcW w:w="1016" w:type="pct"/>
                <w:tcBorders>
                  <w:top w:val="single" w:sz="6" w:space="0" w:color="auto"/>
                  <w:left w:val="single" w:sz="6" w:space="0" w:color="auto"/>
                  <w:bottom w:val="single" w:sz="6" w:space="0" w:color="auto"/>
                  <w:right w:val="single" w:sz="6" w:space="0" w:color="auto"/>
                </w:tcBorders>
              </w:tcPr>
              <w:p w:rsidR="00321199" w:rsidRDefault="00321199" w:rsidP="006C0381">
                <w:pPr>
                  <w:jc w:val="right"/>
                  <w:rPr>
                    <w:szCs w:val="21"/>
                  </w:rPr>
                </w:pPr>
              </w:p>
            </w:tc>
            <w:tc>
              <w:tcPr>
                <w:tcW w:w="753" w:type="pct"/>
                <w:tcBorders>
                  <w:top w:val="single" w:sz="6" w:space="0" w:color="auto"/>
                  <w:left w:val="single" w:sz="6" w:space="0" w:color="auto"/>
                  <w:bottom w:val="single" w:sz="6" w:space="0" w:color="auto"/>
                  <w:right w:val="single" w:sz="6" w:space="0" w:color="auto"/>
                </w:tcBorders>
              </w:tcPr>
              <w:p w:rsidR="00321199" w:rsidRDefault="00321199" w:rsidP="006C0381">
                <w:pPr>
                  <w:jc w:val="right"/>
                  <w:rPr>
                    <w:szCs w:val="21"/>
                  </w:rPr>
                </w:pPr>
              </w:p>
            </w:tc>
          </w:tr>
          <w:tr w:rsidR="00321199" w:rsidTr="006C0381">
            <w:tc>
              <w:tcPr>
                <w:tcW w:w="1525" w:type="pct"/>
                <w:tcBorders>
                  <w:top w:val="single" w:sz="6" w:space="0" w:color="auto"/>
                  <w:left w:val="single" w:sz="4" w:space="0" w:color="auto"/>
                  <w:bottom w:val="single" w:sz="4" w:space="0" w:color="auto"/>
                  <w:right w:val="single" w:sz="6" w:space="0" w:color="auto"/>
                </w:tcBorders>
                <w:shd w:val="clear" w:color="auto" w:fill="auto"/>
                <w:vAlign w:val="bottom"/>
              </w:tcPr>
              <w:p w:rsidR="00321199" w:rsidRDefault="00321199" w:rsidP="006C0381">
                <w:pPr>
                  <w:rPr>
                    <w:rFonts w:cs="Arial"/>
                    <w:color w:val="000000"/>
                    <w:szCs w:val="21"/>
                    <w:lang w:val="en-GB"/>
                  </w:rPr>
                </w:pPr>
              </w:p>
            </w:tc>
            <w:tc>
              <w:tcPr>
                <w:tcW w:w="952" w:type="pct"/>
                <w:tcBorders>
                  <w:left w:val="single" w:sz="6" w:space="0" w:color="auto"/>
                  <w:bottom w:val="single" w:sz="4" w:space="0" w:color="auto"/>
                  <w:right w:val="single" w:sz="6" w:space="0" w:color="auto"/>
                </w:tcBorders>
                <w:shd w:val="clear" w:color="auto" w:fill="auto"/>
              </w:tcPr>
              <w:p w:rsidR="00321199" w:rsidRDefault="00321199" w:rsidP="006C0381">
                <w:pPr>
                  <w:jc w:val="right"/>
                  <w:rPr>
                    <w:szCs w:val="21"/>
                  </w:rPr>
                </w:pPr>
              </w:p>
            </w:tc>
            <w:tc>
              <w:tcPr>
                <w:tcW w:w="754" w:type="pct"/>
                <w:tcBorders>
                  <w:left w:val="single" w:sz="6" w:space="0" w:color="auto"/>
                  <w:bottom w:val="single" w:sz="4" w:space="0" w:color="auto"/>
                  <w:right w:val="single" w:sz="6" w:space="0" w:color="auto"/>
                </w:tcBorders>
                <w:shd w:val="clear" w:color="auto" w:fill="auto"/>
              </w:tcPr>
              <w:p w:rsidR="00321199" w:rsidRDefault="00321199" w:rsidP="006C0381">
                <w:pPr>
                  <w:jc w:val="right"/>
                  <w:rPr>
                    <w:szCs w:val="21"/>
                  </w:rPr>
                </w:pPr>
              </w:p>
            </w:tc>
            <w:tc>
              <w:tcPr>
                <w:tcW w:w="1016" w:type="pct"/>
                <w:tcBorders>
                  <w:top w:val="single" w:sz="6" w:space="0" w:color="auto"/>
                  <w:left w:val="single" w:sz="6" w:space="0" w:color="auto"/>
                  <w:bottom w:val="single" w:sz="4" w:space="0" w:color="auto"/>
                  <w:right w:val="single" w:sz="6" w:space="0" w:color="auto"/>
                </w:tcBorders>
              </w:tcPr>
              <w:p w:rsidR="00321199" w:rsidRDefault="00321199" w:rsidP="006C0381">
                <w:pPr>
                  <w:jc w:val="right"/>
                  <w:rPr>
                    <w:szCs w:val="21"/>
                  </w:rPr>
                </w:pPr>
              </w:p>
            </w:tc>
            <w:tc>
              <w:tcPr>
                <w:tcW w:w="753" w:type="pct"/>
                <w:tcBorders>
                  <w:top w:val="single" w:sz="6" w:space="0" w:color="auto"/>
                  <w:left w:val="single" w:sz="6" w:space="0" w:color="auto"/>
                  <w:bottom w:val="single" w:sz="4" w:space="0" w:color="auto"/>
                  <w:right w:val="single" w:sz="6" w:space="0" w:color="auto"/>
                </w:tcBorders>
              </w:tcPr>
              <w:p w:rsidR="00321199" w:rsidRDefault="00321199" w:rsidP="006C0381">
                <w:pPr>
                  <w:jc w:val="right"/>
                  <w:rPr>
                    <w:szCs w:val="21"/>
                  </w:rPr>
                </w:pPr>
              </w:p>
            </w:tc>
          </w:tr>
          <w:tr w:rsidR="00321199" w:rsidRPr="00321199" w:rsidTr="006C0381">
            <w:sdt>
              <w:sdtPr>
                <w:tag w:val="_PLD_45708a7f3d4a4100b1e84bcc428b4104"/>
                <w:id w:val="645322229"/>
                <w:lock w:val="sdtLocked"/>
              </w:sdtPr>
              <w:sdtContent>
                <w:tc>
                  <w:tcPr>
                    <w:tcW w:w="1525" w:type="pct"/>
                    <w:tcBorders>
                      <w:top w:val="single" w:sz="6" w:space="0" w:color="auto"/>
                      <w:left w:val="single" w:sz="4" w:space="0" w:color="auto"/>
                      <w:bottom w:val="single" w:sz="4" w:space="0" w:color="auto"/>
                      <w:right w:val="single" w:sz="6" w:space="0" w:color="auto"/>
                    </w:tcBorders>
                    <w:shd w:val="clear" w:color="auto" w:fill="auto"/>
                    <w:vAlign w:val="bottom"/>
                  </w:tcPr>
                  <w:p w:rsidR="00321199" w:rsidRDefault="00321199" w:rsidP="006C0381">
                    <w:pPr>
                      <w:rPr>
                        <w:rFonts w:cs="Arial"/>
                        <w:color w:val="000000"/>
                        <w:szCs w:val="21"/>
                      </w:rPr>
                    </w:pPr>
                    <w:r>
                      <w:rPr>
                        <w:rFonts w:cs="Arial" w:hint="eastAsia"/>
                        <w:color w:val="000000"/>
                        <w:szCs w:val="21"/>
                        <w:lang w:val="en-GB"/>
                      </w:rPr>
                      <w:t>本年度收到的来自联营企业的股利</w:t>
                    </w:r>
                  </w:p>
                </w:tc>
              </w:sdtContent>
            </w:sdt>
            <w:tc>
              <w:tcPr>
                <w:tcW w:w="952" w:type="pct"/>
                <w:tcBorders>
                  <w:left w:val="single" w:sz="6" w:space="0" w:color="auto"/>
                  <w:bottom w:val="single" w:sz="4" w:space="0" w:color="auto"/>
                  <w:right w:val="single" w:sz="6" w:space="0" w:color="auto"/>
                </w:tcBorders>
                <w:shd w:val="clear" w:color="auto" w:fill="auto"/>
              </w:tcPr>
              <w:p w:rsidR="00321199" w:rsidRPr="00321199" w:rsidRDefault="00321199" w:rsidP="00321199"/>
            </w:tc>
            <w:tc>
              <w:tcPr>
                <w:tcW w:w="754" w:type="pct"/>
                <w:tcBorders>
                  <w:left w:val="single" w:sz="6" w:space="0" w:color="auto"/>
                  <w:bottom w:val="single" w:sz="4" w:space="0" w:color="auto"/>
                  <w:right w:val="single" w:sz="6" w:space="0" w:color="auto"/>
                </w:tcBorders>
                <w:shd w:val="clear" w:color="auto" w:fill="auto"/>
              </w:tcPr>
              <w:p w:rsidR="00321199" w:rsidRPr="00321199" w:rsidRDefault="00321199" w:rsidP="00321199"/>
            </w:tc>
            <w:tc>
              <w:tcPr>
                <w:tcW w:w="1016" w:type="pct"/>
                <w:tcBorders>
                  <w:top w:val="single" w:sz="6" w:space="0" w:color="auto"/>
                  <w:left w:val="single" w:sz="6" w:space="0" w:color="auto"/>
                  <w:bottom w:val="single" w:sz="4" w:space="0" w:color="auto"/>
                  <w:right w:val="single" w:sz="6" w:space="0" w:color="auto"/>
                </w:tcBorders>
              </w:tcPr>
              <w:p w:rsidR="00321199" w:rsidRPr="00321199" w:rsidRDefault="00321199" w:rsidP="00321199"/>
            </w:tc>
            <w:tc>
              <w:tcPr>
                <w:tcW w:w="753" w:type="pct"/>
                <w:tcBorders>
                  <w:top w:val="single" w:sz="6" w:space="0" w:color="auto"/>
                  <w:left w:val="single" w:sz="6" w:space="0" w:color="auto"/>
                  <w:bottom w:val="single" w:sz="4" w:space="0" w:color="auto"/>
                  <w:right w:val="single" w:sz="6" w:space="0" w:color="auto"/>
                </w:tcBorders>
              </w:tcPr>
              <w:p w:rsidR="00321199" w:rsidRPr="00321199" w:rsidRDefault="00321199" w:rsidP="00321199"/>
            </w:tc>
          </w:tr>
        </w:tbl>
        <w:p w:rsidR="00ED2DC7" w:rsidRPr="00321199" w:rsidRDefault="000D0A99" w:rsidP="00321199"/>
      </w:sdtContent>
    </w:sdt>
    <w:p w:rsidR="00ED2DC7" w:rsidRDefault="00ED2DC7">
      <w:pPr>
        <w:rPr>
          <w:rFonts w:cs="Arial"/>
          <w:szCs w:val="21"/>
        </w:rPr>
      </w:pPr>
    </w:p>
    <w:sdt>
      <w:sdtPr>
        <w:rPr>
          <w:rFonts w:cs="Arial"/>
          <w:szCs w:val="21"/>
        </w:rPr>
        <w:alias w:val="模块:重要联营企业的主要财务信息其他说明的方法"/>
        <w:tag w:val="_SEC_3191928276884aa0be18ac148aa436b7"/>
        <w:id w:val="-967513659"/>
        <w:lock w:val="sdtLocked"/>
        <w:placeholder>
          <w:docPart w:val="GBC22222222222222222222222222222"/>
        </w:placeholder>
      </w:sdtPr>
      <w:sdtContent>
        <w:p w:rsidR="00ED2DC7" w:rsidRDefault="00ED2DC7">
          <w:pPr>
            <w:rPr>
              <w:rFonts w:cs="Arial"/>
              <w:szCs w:val="21"/>
            </w:rPr>
          </w:pPr>
          <w:r>
            <w:rPr>
              <w:rFonts w:cs="Arial" w:hint="eastAsia"/>
              <w:szCs w:val="21"/>
            </w:rPr>
            <w:t>其他说明</w:t>
          </w:r>
        </w:p>
        <w:sdt>
          <w:sdtPr>
            <w:rPr>
              <w:rFonts w:cs="Arial" w:hint="eastAsia"/>
              <w:szCs w:val="21"/>
            </w:rPr>
            <w:alias w:val="重要联营企业的主要财务信息其他说明的方法"/>
            <w:tag w:val="_GBC_49602fee37fb4c848eee594868d16caa"/>
            <w:id w:val="-1454857698"/>
            <w:lock w:val="sdtLocked"/>
            <w:placeholder>
              <w:docPart w:val="GBC22222222222222222222222222222"/>
            </w:placeholder>
          </w:sdtPr>
          <w:sdtContent>
            <w:p w:rsidR="00ED2DC7" w:rsidRDefault="00E85F91">
              <w:pPr>
                <w:rPr>
                  <w:rFonts w:cs="Arial"/>
                  <w:szCs w:val="21"/>
                </w:rPr>
              </w:pPr>
              <w:r>
                <w:rPr>
                  <w:rFonts w:cs="Arial" w:hint="eastAsia"/>
                  <w:szCs w:val="21"/>
                </w:rPr>
                <w:t>无。</w:t>
              </w:r>
            </w:p>
          </w:sdtContent>
        </w:sdt>
        <w:p w:rsidR="00ED2DC7" w:rsidRDefault="000D0A99">
          <w:pPr>
            <w:rPr>
              <w:rFonts w:cs="Arial"/>
              <w:szCs w:val="21"/>
            </w:rPr>
          </w:pPr>
        </w:p>
      </w:sdtContent>
    </w:sdt>
    <w:sdt>
      <w:sdtPr>
        <w:rPr>
          <w:rFonts w:ascii="宋体" w:hAnsi="宋体" w:cs="Arial" w:hint="eastAsia"/>
          <w:b w:val="0"/>
          <w:bCs w:val="0"/>
          <w:kern w:val="0"/>
          <w:szCs w:val="21"/>
        </w:rPr>
        <w:alias w:val="模块:不重要的合营企业和联营企业的汇总财务信息"/>
        <w:tag w:val="_GBC_7592afe8201c4b36a34fa177ca124037"/>
        <w:id w:val="1763182228"/>
        <w:lock w:val="sdtLocked"/>
        <w:placeholder>
          <w:docPart w:val="GBC22222222222222222222222222222"/>
        </w:placeholder>
      </w:sdtPr>
      <w:sdtEndPr>
        <w:rPr>
          <w:rFonts w:hint="default"/>
        </w:rPr>
      </w:sdtEndPr>
      <w:sdtContent>
        <w:p w:rsidR="00ED2DC7" w:rsidRDefault="00ED2DC7" w:rsidP="00036BDC">
          <w:pPr>
            <w:pStyle w:val="affffffffffffffffff2"/>
            <w:numPr>
              <w:ilvl w:val="3"/>
              <w:numId w:val="86"/>
            </w:numPr>
            <w:tabs>
              <w:tab w:val="left" w:pos="630"/>
            </w:tabs>
            <w:rPr>
              <w:rFonts w:ascii="宋体" w:hAnsi="宋体" w:cs="Arial"/>
              <w:szCs w:val="21"/>
            </w:rPr>
          </w:pPr>
          <w:r>
            <w:rPr>
              <w:rFonts w:ascii="宋体" w:hAnsi="宋体" w:cs="Arial" w:hint="eastAsia"/>
              <w:szCs w:val="21"/>
            </w:rPr>
            <w:t>不重要的合营企业和联营企业的汇总财务信息</w:t>
          </w:r>
        </w:p>
        <w:sdt>
          <w:sdtPr>
            <w:alias w:val="是否适用：不重要的合营企业和联营企业的汇总财务信息[双击切换]"/>
            <w:tag w:val="_GBC_eb809f81680b42f794ba04df499e52dc"/>
            <w:id w:val="-1478372450"/>
            <w:lock w:val="sdtContentLocked"/>
            <w:placeholder>
              <w:docPart w:val="GBC22222222222222222222222222222"/>
            </w:placeholder>
          </w:sdtPr>
          <w:sdtContent>
            <w:p w:rsidR="00ED2DC7" w:rsidRDefault="00ED2DC7">
              <w:r>
                <w:fldChar w:fldCharType="begin"/>
              </w:r>
              <w:r w:rsidR="00E85F91">
                <w:instrText xml:space="preserve"> MACROBUTTON  SnrToggleCheckbox √适用 </w:instrText>
              </w:r>
              <w:r>
                <w:fldChar w:fldCharType="end"/>
              </w:r>
              <w:r>
                <w:fldChar w:fldCharType="begin"/>
              </w:r>
              <w:r w:rsidR="00E85F91">
                <w:instrText xml:space="preserve"> MACROBUTTON  SnrToggleCheckbox □不适用 </w:instrText>
              </w:r>
              <w:r>
                <w:fldChar w:fldCharType="end"/>
              </w:r>
            </w:p>
          </w:sdtContent>
        </w:sdt>
        <w:p w:rsidR="00ED2DC7" w:rsidRDefault="00ED2DC7">
          <w:pPr>
            <w:jc w:val="right"/>
          </w:pPr>
          <w:r>
            <w:rPr>
              <w:rFonts w:hint="eastAsia"/>
            </w:rPr>
            <w:t>单位：</w:t>
          </w:r>
          <w:sdt>
            <w:sdtPr>
              <w:rPr>
                <w:rFonts w:hint="eastAsia"/>
              </w:rPr>
              <w:alias w:val="单位：财务附注：不重要的合营企业和联营企业的汇总财务信息"/>
              <w:tag w:val="_GBC_d02efd9c85904b029b5a51b02d9519e8"/>
              <w:id w:val="-13678255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hint="eastAsia"/>
                </w:rPr>
                <w:t>元</w:t>
              </w:r>
            </w:sdtContent>
          </w:sdt>
          <w:r>
            <w:rPr>
              <w:rFonts w:hint="eastAsia"/>
            </w:rPr>
            <w:t xml:space="preserve">  币种：</w:t>
          </w:r>
          <w:sdt>
            <w:sdtPr>
              <w:rPr>
                <w:rFonts w:hint="eastAsia"/>
              </w:rPr>
              <w:alias w:val="币种：财务附注：不重要的合营企业和联营企业的汇总财务信息"/>
              <w:tag w:val="_GBC_a6fa35df627e4d9584fb9c311eb6a4b5"/>
              <w:id w:val="-2743243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rPr>
                <w:t>人民币</w:t>
              </w:r>
            </w:sdtContent>
          </w:sdt>
        </w:p>
        <w:tbl>
          <w:tblPr>
            <w:tblStyle w:val="g38"/>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664"/>
            <w:gridCol w:w="2818"/>
            <w:gridCol w:w="2821"/>
          </w:tblGrid>
          <w:tr w:rsidR="00DD1F82" w:rsidTr="006C0381">
            <w:trPr>
              <w:trHeight w:val="241"/>
              <w:jc w:val="center"/>
            </w:trPr>
            <w:tc>
              <w:tcPr>
                <w:tcW w:w="1604" w:type="pct"/>
                <w:tcBorders>
                  <w:top w:val="single" w:sz="4" w:space="0" w:color="auto"/>
                  <w:left w:val="single" w:sz="4" w:space="0" w:color="auto"/>
                  <w:bottom w:val="single" w:sz="6" w:space="0" w:color="auto"/>
                  <w:right w:val="single" w:sz="6" w:space="0" w:color="auto"/>
                </w:tcBorders>
                <w:shd w:val="clear" w:color="auto" w:fill="auto"/>
              </w:tcPr>
              <w:p w:rsidR="00DD1F82" w:rsidRDefault="00DD1F82" w:rsidP="006C0381">
                <w:pPr>
                  <w:jc w:val="center"/>
                  <w:rPr>
                    <w:rFonts w:cs="Arial"/>
                    <w:szCs w:val="21"/>
                  </w:rPr>
                </w:pPr>
              </w:p>
            </w:tc>
            <w:sdt>
              <w:sdtPr>
                <w:tag w:val="_PLD_7dc69fc7f68243e6b4f46db3a94dd47f"/>
                <w:id w:val="29614934"/>
                <w:lock w:val="sdtLocked"/>
              </w:sdtPr>
              <w:sdtContent>
                <w:tc>
                  <w:tcPr>
                    <w:tcW w:w="1697" w:type="pct"/>
                    <w:tcBorders>
                      <w:top w:val="single" w:sz="4" w:space="0" w:color="auto"/>
                      <w:left w:val="single" w:sz="6" w:space="0" w:color="auto"/>
                      <w:bottom w:val="single" w:sz="6" w:space="0" w:color="auto"/>
                      <w:right w:val="single" w:sz="6" w:space="0" w:color="auto"/>
                    </w:tcBorders>
                    <w:shd w:val="clear" w:color="auto" w:fill="auto"/>
                  </w:tcPr>
                  <w:p w:rsidR="00DD1F82" w:rsidRDefault="00DD1F82" w:rsidP="006C0381">
                    <w:pPr>
                      <w:jc w:val="center"/>
                      <w:rPr>
                        <w:rFonts w:cs="Arial"/>
                        <w:szCs w:val="21"/>
                      </w:rPr>
                    </w:pPr>
                    <w:r>
                      <w:rPr>
                        <w:rFonts w:cs="Arial" w:hint="eastAsia"/>
                        <w:szCs w:val="21"/>
                        <w:lang w:val="en-GB"/>
                      </w:rPr>
                      <w:t>期末余额</w:t>
                    </w:r>
                    <w:r>
                      <w:rPr>
                        <w:rFonts w:cs="Arial"/>
                        <w:szCs w:val="21"/>
                      </w:rPr>
                      <w:t xml:space="preserve">/ </w:t>
                    </w:r>
                    <w:r>
                      <w:rPr>
                        <w:rFonts w:cs="Arial" w:hint="eastAsia"/>
                        <w:szCs w:val="21"/>
                        <w:lang w:val="en-GB"/>
                      </w:rPr>
                      <w:t>本期发生额</w:t>
                    </w:r>
                  </w:p>
                </w:tc>
              </w:sdtContent>
            </w:sdt>
            <w:sdt>
              <w:sdtPr>
                <w:tag w:val="_PLD_ffe9f9922ada461388adfb92ed1e3072"/>
                <w:id w:val="-1130393777"/>
                <w:lock w:val="sdtLocked"/>
              </w:sdtPr>
              <w:sdtContent>
                <w:tc>
                  <w:tcPr>
                    <w:tcW w:w="1699" w:type="pct"/>
                    <w:tcBorders>
                      <w:top w:val="single" w:sz="4" w:space="0" w:color="auto"/>
                      <w:left w:val="single" w:sz="6" w:space="0" w:color="auto"/>
                      <w:bottom w:val="single" w:sz="6" w:space="0" w:color="auto"/>
                      <w:right w:val="single" w:sz="4" w:space="0" w:color="auto"/>
                    </w:tcBorders>
                    <w:shd w:val="clear" w:color="auto" w:fill="auto"/>
                  </w:tcPr>
                  <w:p w:rsidR="00DD1F82" w:rsidRDefault="00DD1F82" w:rsidP="006C0381">
                    <w:pPr>
                      <w:jc w:val="center"/>
                      <w:rPr>
                        <w:rFonts w:cs="Arial"/>
                        <w:szCs w:val="21"/>
                      </w:rPr>
                    </w:pPr>
                    <w:r>
                      <w:rPr>
                        <w:rFonts w:cs="Arial" w:hint="eastAsia"/>
                        <w:szCs w:val="21"/>
                        <w:lang w:val="en-GB"/>
                      </w:rPr>
                      <w:t>期初余额</w:t>
                    </w:r>
                    <w:r>
                      <w:rPr>
                        <w:rFonts w:cs="Arial"/>
                        <w:szCs w:val="21"/>
                      </w:rPr>
                      <w:t xml:space="preserve">/ </w:t>
                    </w:r>
                    <w:r>
                      <w:rPr>
                        <w:rFonts w:cs="Arial" w:hint="eastAsia"/>
                        <w:szCs w:val="21"/>
                        <w:lang w:val="en-GB"/>
                      </w:rPr>
                      <w:t>上期发生额</w:t>
                    </w:r>
                  </w:p>
                </w:tc>
              </w:sdtContent>
            </w:sdt>
          </w:tr>
          <w:tr w:rsidR="00DD1F82" w:rsidTr="006C0381">
            <w:trPr>
              <w:jc w:val="center"/>
            </w:trPr>
            <w:sdt>
              <w:sdtPr>
                <w:tag w:val="_PLD_01c0860c93244a3f94a1c91bec25150e"/>
                <w:id w:val="688494145"/>
                <w:lock w:val="sdtLocked"/>
              </w:sdtPr>
              <w:sdtContent>
                <w:tc>
                  <w:tcPr>
                    <w:tcW w:w="1604" w:type="pct"/>
                    <w:tcBorders>
                      <w:top w:val="single" w:sz="6" w:space="0" w:color="auto"/>
                      <w:left w:val="single" w:sz="4" w:space="0" w:color="auto"/>
                      <w:bottom w:val="single" w:sz="6" w:space="0" w:color="auto"/>
                      <w:right w:val="single" w:sz="6" w:space="0" w:color="auto"/>
                    </w:tcBorders>
                    <w:shd w:val="clear" w:color="auto" w:fill="auto"/>
                  </w:tcPr>
                  <w:p w:rsidR="00DD1F82" w:rsidRDefault="00DD1F82" w:rsidP="006C0381">
                    <w:pPr>
                      <w:rPr>
                        <w:rFonts w:cs="Arial"/>
                        <w:szCs w:val="21"/>
                      </w:rPr>
                    </w:pPr>
                    <w:r w:rsidRPr="007C4692">
                      <w:rPr>
                        <w:rFonts w:cs="Arial" w:hint="eastAsia"/>
                        <w:szCs w:val="21"/>
                        <w:lang w:val="en-GB"/>
                      </w:rPr>
                      <w:t>合营企业：</w:t>
                    </w:r>
                  </w:p>
                </w:tc>
              </w:sdtContent>
            </w:sdt>
            <w:tc>
              <w:tcPr>
                <w:tcW w:w="1697" w:type="pct"/>
                <w:tcBorders>
                  <w:top w:val="single" w:sz="6" w:space="0" w:color="auto"/>
                  <w:left w:val="single" w:sz="6" w:space="0" w:color="auto"/>
                  <w:bottom w:val="single" w:sz="6" w:space="0" w:color="auto"/>
                  <w:right w:val="single" w:sz="6" w:space="0" w:color="auto"/>
                </w:tcBorders>
              </w:tcPr>
              <w:p w:rsidR="00DD1F82" w:rsidRDefault="00DD1F82" w:rsidP="006C0381">
                <w:pPr>
                  <w:jc w:val="right"/>
                  <w:rPr>
                    <w:szCs w:val="21"/>
                  </w:rPr>
                </w:pPr>
              </w:p>
            </w:tc>
            <w:tc>
              <w:tcPr>
                <w:tcW w:w="1699" w:type="pct"/>
                <w:tcBorders>
                  <w:top w:val="single" w:sz="6" w:space="0" w:color="auto"/>
                  <w:left w:val="single" w:sz="6" w:space="0" w:color="auto"/>
                  <w:bottom w:val="single" w:sz="6" w:space="0" w:color="auto"/>
                  <w:right w:val="single" w:sz="4" w:space="0" w:color="auto"/>
                </w:tcBorders>
              </w:tcPr>
              <w:p w:rsidR="00DD1F82" w:rsidRDefault="00DD1F82" w:rsidP="006C0381">
                <w:pPr>
                  <w:jc w:val="right"/>
                  <w:rPr>
                    <w:szCs w:val="21"/>
                  </w:rPr>
                </w:pPr>
              </w:p>
            </w:tc>
          </w:tr>
          <w:tr w:rsidR="00DD1F82" w:rsidTr="006C0381">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DD1F82" w:rsidRDefault="00DD1F82" w:rsidP="006C0381">
                <w:pPr>
                  <w:rPr>
                    <w:rFonts w:cs="Arial"/>
                    <w:color w:val="000000"/>
                    <w:szCs w:val="21"/>
                    <w:lang w:val="en-GB"/>
                  </w:rPr>
                </w:pPr>
              </w:p>
            </w:tc>
            <w:tc>
              <w:tcPr>
                <w:tcW w:w="1697" w:type="pct"/>
                <w:tcBorders>
                  <w:top w:val="single" w:sz="6" w:space="0" w:color="auto"/>
                  <w:left w:val="single" w:sz="6" w:space="0" w:color="auto"/>
                  <w:bottom w:val="single" w:sz="6" w:space="0" w:color="auto"/>
                  <w:right w:val="single" w:sz="6" w:space="0" w:color="auto"/>
                </w:tcBorders>
              </w:tcPr>
              <w:p w:rsidR="00DD1F82" w:rsidRDefault="00DD1F82" w:rsidP="006C0381">
                <w:pPr>
                  <w:jc w:val="right"/>
                  <w:rPr>
                    <w:szCs w:val="21"/>
                  </w:rPr>
                </w:pPr>
              </w:p>
            </w:tc>
            <w:tc>
              <w:tcPr>
                <w:tcW w:w="1699" w:type="pct"/>
                <w:tcBorders>
                  <w:top w:val="single" w:sz="6" w:space="0" w:color="auto"/>
                  <w:left w:val="single" w:sz="6" w:space="0" w:color="auto"/>
                  <w:bottom w:val="single" w:sz="6" w:space="0" w:color="auto"/>
                  <w:right w:val="single" w:sz="4" w:space="0" w:color="auto"/>
                </w:tcBorders>
              </w:tcPr>
              <w:p w:rsidR="00DD1F82" w:rsidRDefault="00DD1F82" w:rsidP="006C0381">
                <w:pPr>
                  <w:jc w:val="right"/>
                  <w:rPr>
                    <w:szCs w:val="21"/>
                  </w:rPr>
                </w:pPr>
              </w:p>
            </w:tc>
          </w:tr>
          <w:tr w:rsidR="00DD1F82" w:rsidTr="006C0381">
            <w:trPr>
              <w:jc w:val="center"/>
            </w:trPr>
            <w:sdt>
              <w:sdtPr>
                <w:tag w:val="_PLD_01912ad1144f412393cdaeb8d4f1f35b"/>
                <w:id w:val="-1521774752"/>
                <w:lock w:val="sdtLocked"/>
              </w:sdtPr>
              <w:sdtContent>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DD1F82" w:rsidRDefault="00DD1F82" w:rsidP="006C0381">
                    <w:pPr>
                      <w:rPr>
                        <w:rFonts w:cs="Arial"/>
                        <w:color w:val="000000"/>
                        <w:szCs w:val="21"/>
                      </w:rPr>
                    </w:pPr>
                    <w:r>
                      <w:rPr>
                        <w:rFonts w:cs="Arial" w:hint="eastAsia"/>
                        <w:color w:val="000000"/>
                        <w:szCs w:val="21"/>
                        <w:lang w:val="en-GB"/>
                      </w:rPr>
                      <w:t>投资账面价值合计</w:t>
                    </w:r>
                  </w:p>
                </w:tc>
              </w:sdtContent>
            </w:sdt>
            <w:tc>
              <w:tcPr>
                <w:tcW w:w="1697" w:type="pct"/>
                <w:tcBorders>
                  <w:top w:val="single" w:sz="6" w:space="0" w:color="auto"/>
                  <w:left w:val="single" w:sz="6" w:space="0" w:color="auto"/>
                  <w:bottom w:val="single" w:sz="6" w:space="0" w:color="auto"/>
                  <w:right w:val="single" w:sz="6" w:space="0" w:color="auto"/>
                </w:tcBorders>
              </w:tcPr>
              <w:p w:rsidR="00DD1F82" w:rsidRDefault="00DD1F82" w:rsidP="006C0381">
                <w:pPr>
                  <w:jc w:val="right"/>
                  <w:rPr>
                    <w:szCs w:val="21"/>
                  </w:rPr>
                </w:pPr>
              </w:p>
            </w:tc>
            <w:tc>
              <w:tcPr>
                <w:tcW w:w="1699" w:type="pct"/>
                <w:tcBorders>
                  <w:top w:val="single" w:sz="6" w:space="0" w:color="auto"/>
                  <w:left w:val="single" w:sz="6" w:space="0" w:color="auto"/>
                  <w:bottom w:val="single" w:sz="6" w:space="0" w:color="auto"/>
                  <w:right w:val="single" w:sz="4" w:space="0" w:color="auto"/>
                </w:tcBorders>
              </w:tcPr>
              <w:p w:rsidR="00DD1F82" w:rsidRDefault="00DD1F82" w:rsidP="006C0381">
                <w:pPr>
                  <w:jc w:val="right"/>
                  <w:rPr>
                    <w:szCs w:val="21"/>
                  </w:rPr>
                </w:pPr>
              </w:p>
            </w:tc>
          </w:tr>
          <w:tr w:rsidR="00DD1F82" w:rsidTr="006C0381">
            <w:trPr>
              <w:jc w:val="center"/>
            </w:trPr>
            <w:sdt>
              <w:sdtPr>
                <w:tag w:val="_PLD_d574603998c340988b76ed4abbb39d0f"/>
                <w:id w:val="-1304532348"/>
                <w:lock w:val="sdtLocked"/>
              </w:sdtPr>
              <w:sdtContent>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DD1F82" w:rsidRDefault="00DD1F82" w:rsidP="006C0381">
                    <w:pPr>
                      <w:rPr>
                        <w:rFonts w:cs="Arial"/>
                        <w:color w:val="000000"/>
                        <w:szCs w:val="21"/>
                      </w:rPr>
                    </w:pPr>
                    <w:r>
                      <w:rPr>
                        <w:rFonts w:cs="Arial" w:hint="eastAsia"/>
                        <w:color w:val="000000"/>
                        <w:szCs w:val="21"/>
                        <w:lang w:val="en-GB"/>
                      </w:rPr>
                      <w:t>下列各项按持股比例计算的合计数</w:t>
                    </w:r>
                  </w:p>
                </w:tc>
              </w:sdtContent>
            </w:sdt>
            <w:tc>
              <w:tcPr>
                <w:tcW w:w="1697" w:type="pct"/>
                <w:tcBorders>
                  <w:top w:val="single" w:sz="6" w:space="0" w:color="auto"/>
                  <w:left w:val="single" w:sz="6" w:space="0" w:color="auto"/>
                  <w:bottom w:val="single" w:sz="6" w:space="0" w:color="auto"/>
                  <w:right w:val="single" w:sz="6" w:space="0" w:color="auto"/>
                </w:tcBorders>
              </w:tcPr>
              <w:p w:rsidR="00DD1F82" w:rsidRDefault="00DD1F82" w:rsidP="006C0381">
                <w:pPr>
                  <w:jc w:val="right"/>
                  <w:rPr>
                    <w:szCs w:val="21"/>
                  </w:rPr>
                </w:pPr>
              </w:p>
            </w:tc>
            <w:tc>
              <w:tcPr>
                <w:tcW w:w="1699" w:type="pct"/>
                <w:tcBorders>
                  <w:top w:val="single" w:sz="6" w:space="0" w:color="auto"/>
                  <w:left w:val="single" w:sz="6" w:space="0" w:color="auto"/>
                  <w:bottom w:val="single" w:sz="6" w:space="0" w:color="auto"/>
                  <w:right w:val="single" w:sz="4" w:space="0" w:color="auto"/>
                </w:tcBorders>
              </w:tcPr>
              <w:p w:rsidR="00DD1F82" w:rsidRDefault="00DD1F82" w:rsidP="006C0381">
                <w:pPr>
                  <w:jc w:val="right"/>
                  <w:rPr>
                    <w:szCs w:val="21"/>
                  </w:rPr>
                </w:pPr>
              </w:p>
            </w:tc>
          </w:tr>
          <w:tr w:rsidR="00DD1F82" w:rsidTr="006C0381">
            <w:trPr>
              <w:jc w:val="center"/>
            </w:trPr>
            <w:sdt>
              <w:sdtPr>
                <w:tag w:val="_PLD_6a9719a93a5947a99f4faab9ddfeb484"/>
                <w:id w:val="-1663227733"/>
                <w:lock w:val="sdtLocked"/>
              </w:sdtPr>
              <w:sdtContent>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DD1F82" w:rsidRDefault="00DD1F82" w:rsidP="006C0381">
                    <w:pPr>
                      <w:rPr>
                        <w:rFonts w:cs="Arial"/>
                        <w:color w:val="000000"/>
                        <w:szCs w:val="21"/>
                      </w:rPr>
                    </w:pPr>
                    <w:r>
                      <w:rPr>
                        <w:rFonts w:cs="Arial"/>
                        <w:color w:val="000000"/>
                        <w:szCs w:val="21"/>
                      </w:rPr>
                      <w:t>--</w:t>
                    </w:r>
                    <w:r>
                      <w:rPr>
                        <w:rFonts w:cs="Arial" w:hint="eastAsia"/>
                        <w:color w:val="000000"/>
                        <w:szCs w:val="21"/>
                        <w:lang w:val="en-GB"/>
                      </w:rPr>
                      <w:t>净利润</w:t>
                    </w:r>
                  </w:p>
                </w:tc>
              </w:sdtContent>
            </w:sdt>
            <w:tc>
              <w:tcPr>
                <w:tcW w:w="1697" w:type="pct"/>
                <w:tcBorders>
                  <w:top w:val="single" w:sz="6" w:space="0" w:color="auto"/>
                  <w:left w:val="single" w:sz="6" w:space="0" w:color="auto"/>
                  <w:bottom w:val="single" w:sz="6" w:space="0" w:color="auto"/>
                  <w:right w:val="single" w:sz="6" w:space="0" w:color="auto"/>
                </w:tcBorders>
              </w:tcPr>
              <w:p w:rsidR="00DD1F82" w:rsidRDefault="00DD1F82" w:rsidP="006C0381">
                <w:pPr>
                  <w:jc w:val="right"/>
                  <w:rPr>
                    <w:szCs w:val="21"/>
                  </w:rPr>
                </w:pPr>
              </w:p>
            </w:tc>
            <w:tc>
              <w:tcPr>
                <w:tcW w:w="1699" w:type="pct"/>
                <w:tcBorders>
                  <w:top w:val="single" w:sz="6" w:space="0" w:color="auto"/>
                  <w:left w:val="single" w:sz="6" w:space="0" w:color="auto"/>
                  <w:bottom w:val="single" w:sz="6" w:space="0" w:color="auto"/>
                  <w:right w:val="single" w:sz="4" w:space="0" w:color="auto"/>
                </w:tcBorders>
              </w:tcPr>
              <w:p w:rsidR="00DD1F82" w:rsidRDefault="00DD1F82" w:rsidP="006C0381">
                <w:pPr>
                  <w:jc w:val="right"/>
                  <w:rPr>
                    <w:szCs w:val="21"/>
                  </w:rPr>
                </w:pPr>
              </w:p>
            </w:tc>
          </w:tr>
          <w:tr w:rsidR="00DD1F82" w:rsidTr="006C0381">
            <w:trPr>
              <w:jc w:val="center"/>
            </w:trPr>
            <w:sdt>
              <w:sdtPr>
                <w:tag w:val="_PLD_cee08c7e01b746408c5d373112665e6e"/>
                <w:id w:val="-2104103059"/>
                <w:lock w:val="sdtLocked"/>
              </w:sdtPr>
              <w:sdtContent>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DD1F82" w:rsidRDefault="00DD1F82" w:rsidP="006C0381">
                    <w:pPr>
                      <w:rPr>
                        <w:rFonts w:cs="Arial"/>
                        <w:color w:val="000000"/>
                        <w:szCs w:val="21"/>
                      </w:rPr>
                    </w:pPr>
                    <w:r>
                      <w:rPr>
                        <w:rFonts w:cs="Arial"/>
                        <w:color w:val="000000"/>
                        <w:szCs w:val="21"/>
                      </w:rPr>
                      <w:t>--</w:t>
                    </w:r>
                    <w:r>
                      <w:rPr>
                        <w:rFonts w:cs="Arial" w:hint="eastAsia"/>
                        <w:color w:val="000000"/>
                        <w:szCs w:val="21"/>
                        <w:lang w:val="en-GB"/>
                      </w:rPr>
                      <w:t>其他综合收益</w:t>
                    </w:r>
                  </w:p>
                </w:tc>
              </w:sdtContent>
            </w:sdt>
            <w:tc>
              <w:tcPr>
                <w:tcW w:w="1697" w:type="pct"/>
                <w:tcBorders>
                  <w:top w:val="single" w:sz="6" w:space="0" w:color="auto"/>
                  <w:left w:val="single" w:sz="6" w:space="0" w:color="auto"/>
                  <w:bottom w:val="single" w:sz="6" w:space="0" w:color="auto"/>
                  <w:right w:val="single" w:sz="6" w:space="0" w:color="auto"/>
                </w:tcBorders>
              </w:tcPr>
              <w:p w:rsidR="00DD1F82" w:rsidRDefault="00DD1F82" w:rsidP="006C0381">
                <w:pPr>
                  <w:jc w:val="right"/>
                  <w:rPr>
                    <w:szCs w:val="21"/>
                  </w:rPr>
                </w:pPr>
              </w:p>
            </w:tc>
            <w:tc>
              <w:tcPr>
                <w:tcW w:w="1699" w:type="pct"/>
                <w:tcBorders>
                  <w:top w:val="single" w:sz="6" w:space="0" w:color="auto"/>
                  <w:left w:val="single" w:sz="6" w:space="0" w:color="auto"/>
                  <w:bottom w:val="single" w:sz="6" w:space="0" w:color="auto"/>
                  <w:right w:val="single" w:sz="4" w:space="0" w:color="auto"/>
                </w:tcBorders>
              </w:tcPr>
              <w:p w:rsidR="00DD1F82" w:rsidRDefault="00DD1F82" w:rsidP="006C0381">
                <w:pPr>
                  <w:jc w:val="right"/>
                  <w:rPr>
                    <w:szCs w:val="21"/>
                  </w:rPr>
                </w:pPr>
              </w:p>
            </w:tc>
          </w:tr>
          <w:tr w:rsidR="00DD1F82" w:rsidTr="006C0381">
            <w:trPr>
              <w:jc w:val="center"/>
            </w:trPr>
            <w:sdt>
              <w:sdtPr>
                <w:tag w:val="_PLD_f3f65d3b731f4b4ca71b1e3491b1154d"/>
                <w:id w:val="-964655725"/>
                <w:lock w:val="sdtLocked"/>
              </w:sdtPr>
              <w:sdtContent>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DD1F82" w:rsidRDefault="00DD1F82" w:rsidP="006C0381">
                    <w:pPr>
                      <w:rPr>
                        <w:rFonts w:cs="Arial"/>
                        <w:color w:val="000000"/>
                        <w:szCs w:val="21"/>
                      </w:rPr>
                    </w:pPr>
                    <w:r>
                      <w:rPr>
                        <w:rFonts w:cs="Arial"/>
                        <w:color w:val="000000"/>
                        <w:szCs w:val="21"/>
                      </w:rPr>
                      <w:t>--</w:t>
                    </w:r>
                    <w:r>
                      <w:rPr>
                        <w:rFonts w:cs="Arial" w:hint="eastAsia"/>
                        <w:color w:val="000000"/>
                        <w:szCs w:val="21"/>
                        <w:lang w:val="en-GB"/>
                      </w:rPr>
                      <w:t>综合收益总额</w:t>
                    </w:r>
                  </w:p>
                </w:tc>
              </w:sdtContent>
            </w:sdt>
            <w:tc>
              <w:tcPr>
                <w:tcW w:w="1697" w:type="pct"/>
                <w:tcBorders>
                  <w:top w:val="single" w:sz="6" w:space="0" w:color="auto"/>
                  <w:left w:val="single" w:sz="6" w:space="0" w:color="auto"/>
                  <w:bottom w:val="single" w:sz="6" w:space="0" w:color="auto"/>
                  <w:right w:val="single" w:sz="6" w:space="0" w:color="auto"/>
                </w:tcBorders>
              </w:tcPr>
              <w:p w:rsidR="00DD1F82" w:rsidRDefault="00DD1F82" w:rsidP="006C0381">
                <w:pPr>
                  <w:jc w:val="right"/>
                  <w:rPr>
                    <w:szCs w:val="21"/>
                  </w:rPr>
                </w:pPr>
              </w:p>
            </w:tc>
            <w:tc>
              <w:tcPr>
                <w:tcW w:w="1699" w:type="pct"/>
                <w:tcBorders>
                  <w:top w:val="single" w:sz="6" w:space="0" w:color="auto"/>
                  <w:left w:val="single" w:sz="6" w:space="0" w:color="auto"/>
                  <w:bottom w:val="single" w:sz="6" w:space="0" w:color="auto"/>
                  <w:right w:val="single" w:sz="4" w:space="0" w:color="auto"/>
                </w:tcBorders>
              </w:tcPr>
              <w:p w:rsidR="00DD1F82" w:rsidRDefault="00DD1F82" w:rsidP="006C0381">
                <w:pPr>
                  <w:jc w:val="right"/>
                  <w:rPr>
                    <w:szCs w:val="21"/>
                  </w:rPr>
                </w:pPr>
              </w:p>
            </w:tc>
          </w:tr>
          <w:tr w:rsidR="00DD1F82" w:rsidTr="006C0381">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tcPr>
              <w:p w:rsidR="00DD1F82" w:rsidRDefault="00DD1F82" w:rsidP="006C0381">
                <w:pPr>
                  <w:rPr>
                    <w:rFonts w:cs="Arial"/>
                    <w:szCs w:val="21"/>
                    <w:lang w:val="en-GB"/>
                  </w:rPr>
                </w:pPr>
              </w:p>
            </w:tc>
            <w:tc>
              <w:tcPr>
                <w:tcW w:w="1697" w:type="pct"/>
                <w:tcBorders>
                  <w:top w:val="single" w:sz="6" w:space="0" w:color="auto"/>
                  <w:left w:val="single" w:sz="6" w:space="0" w:color="auto"/>
                  <w:bottom w:val="single" w:sz="6" w:space="0" w:color="auto"/>
                  <w:right w:val="single" w:sz="6" w:space="0" w:color="auto"/>
                </w:tcBorders>
              </w:tcPr>
              <w:p w:rsidR="00DD1F82" w:rsidRDefault="00DD1F82" w:rsidP="006C0381">
                <w:pPr>
                  <w:jc w:val="right"/>
                  <w:rPr>
                    <w:szCs w:val="21"/>
                  </w:rPr>
                </w:pPr>
              </w:p>
            </w:tc>
            <w:tc>
              <w:tcPr>
                <w:tcW w:w="1699" w:type="pct"/>
                <w:tcBorders>
                  <w:top w:val="single" w:sz="6" w:space="0" w:color="auto"/>
                  <w:left w:val="single" w:sz="6" w:space="0" w:color="auto"/>
                  <w:bottom w:val="single" w:sz="6" w:space="0" w:color="auto"/>
                  <w:right w:val="single" w:sz="4" w:space="0" w:color="auto"/>
                </w:tcBorders>
              </w:tcPr>
              <w:p w:rsidR="00DD1F82" w:rsidRDefault="00DD1F82" w:rsidP="006C0381">
                <w:pPr>
                  <w:jc w:val="right"/>
                  <w:rPr>
                    <w:szCs w:val="21"/>
                  </w:rPr>
                </w:pPr>
              </w:p>
            </w:tc>
          </w:tr>
          <w:tr w:rsidR="00DD1F82" w:rsidTr="006C0381">
            <w:trPr>
              <w:jc w:val="center"/>
            </w:trPr>
            <w:sdt>
              <w:sdtPr>
                <w:tag w:val="_PLD_1bd24e2b6e8f4bddad27bea53e1b1b0a"/>
                <w:id w:val="-1421641446"/>
                <w:lock w:val="sdtLocked"/>
              </w:sdtPr>
              <w:sdtContent>
                <w:tc>
                  <w:tcPr>
                    <w:tcW w:w="1604" w:type="pct"/>
                    <w:tcBorders>
                      <w:top w:val="single" w:sz="6" w:space="0" w:color="auto"/>
                      <w:left w:val="single" w:sz="4" w:space="0" w:color="auto"/>
                      <w:bottom w:val="single" w:sz="6" w:space="0" w:color="auto"/>
                      <w:right w:val="single" w:sz="6" w:space="0" w:color="auto"/>
                    </w:tcBorders>
                    <w:shd w:val="clear" w:color="auto" w:fill="auto"/>
                  </w:tcPr>
                  <w:p w:rsidR="00DD1F82" w:rsidRDefault="00DD1F82" w:rsidP="006C0381">
                    <w:pPr>
                      <w:rPr>
                        <w:rFonts w:cs="Arial"/>
                        <w:szCs w:val="21"/>
                      </w:rPr>
                    </w:pPr>
                    <w:r>
                      <w:rPr>
                        <w:rFonts w:cs="Arial" w:hint="eastAsia"/>
                        <w:szCs w:val="21"/>
                        <w:lang w:val="en-GB"/>
                      </w:rPr>
                      <w:t>联营企业：</w:t>
                    </w:r>
                  </w:p>
                </w:tc>
              </w:sdtContent>
            </w:sdt>
            <w:tc>
              <w:tcPr>
                <w:tcW w:w="1697" w:type="pct"/>
                <w:tcBorders>
                  <w:top w:val="single" w:sz="6" w:space="0" w:color="auto"/>
                  <w:left w:val="single" w:sz="6" w:space="0" w:color="auto"/>
                  <w:bottom w:val="single" w:sz="6" w:space="0" w:color="auto"/>
                  <w:right w:val="single" w:sz="6" w:space="0" w:color="auto"/>
                </w:tcBorders>
              </w:tcPr>
              <w:p w:rsidR="00DD1F82" w:rsidRDefault="00DD1F82" w:rsidP="006C0381">
                <w:pPr>
                  <w:jc w:val="right"/>
                  <w:rPr>
                    <w:szCs w:val="21"/>
                  </w:rPr>
                </w:pPr>
              </w:p>
            </w:tc>
            <w:tc>
              <w:tcPr>
                <w:tcW w:w="1699" w:type="pct"/>
                <w:tcBorders>
                  <w:top w:val="single" w:sz="6" w:space="0" w:color="auto"/>
                  <w:left w:val="single" w:sz="6" w:space="0" w:color="auto"/>
                  <w:bottom w:val="single" w:sz="6" w:space="0" w:color="auto"/>
                  <w:right w:val="single" w:sz="4" w:space="0" w:color="auto"/>
                </w:tcBorders>
              </w:tcPr>
              <w:p w:rsidR="00DD1F82" w:rsidRDefault="00DD1F82" w:rsidP="006C0381">
                <w:pPr>
                  <w:jc w:val="right"/>
                  <w:rPr>
                    <w:szCs w:val="21"/>
                  </w:rPr>
                </w:pPr>
              </w:p>
            </w:tc>
          </w:tr>
          <w:tr w:rsidR="00DD1F82" w:rsidTr="006C0381">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DD1F82" w:rsidRDefault="00DD1F82" w:rsidP="006C0381">
                <w:pPr>
                  <w:rPr>
                    <w:rFonts w:cs="Arial"/>
                    <w:color w:val="000000"/>
                    <w:szCs w:val="21"/>
                    <w:lang w:val="en-GB"/>
                  </w:rPr>
                </w:pPr>
              </w:p>
            </w:tc>
            <w:tc>
              <w:tcPr>
                <w:tcW w:w="1697" w:type="pct"/>
                <w:tcBorders>
                  <w:top w:val="single" w:sz="6" w:space="0" w:color="auto"/>
                  <w:left w:val="single" w:sz="6" w:space="0" w:color="auto"/>
                  <w:bottom w:val="single" w:sz="6" w:space="0" w:color="auto"/>
                  <w:right w:val="single" w:sz="6" w:space="0" w:color="auto"/>
                </w:tcBorders>
              </w:tcPr>
              <w:p w:rsidR="00DD1F82" w:rsidRDefault="00DD1F82" w:rsidP="006C0381">
                <w:pPr>
                  <w:jc w:val="right"/>
                  <w:rPr>
                    <w:szCs w:val="21"/>
                  </w:rPr>
                </w:pPr>
              </w:p>
            </w:tc>
            <w:tc>
              <w:tcPr>
                <w:tcW w:w="1699" w:type="pct"/>
                <w:tcBorders>
                  <w:top w:val="single" w:sz="6" w:space="0" w:color="auto"/>
                  <w:left w:val="single" w:sz="6" w:space="0" w:color="auto"/>
                  <w:bottom w:val="single" w:sz="6" w:space="0" w:color="auto"/>
                  <w:right w:val="single" w:sz="4" w:space="0" w:color="auto"/>
                </w:tcBorders>
              </w:tcPr>
              <w:p w:rsidR="00DD1F82" w:rsidRDefault="00DD1F82" w:rsidP="006C0381">
                <w:pPr>
                  <w:jc w:val="right"/>
                  <w:rPr>
                    <w:szCs w:val="21"/>
                  </w:rPr>
                </w:pPr>
              </w:p>
            </w:tc>
          </w:tr>
          <w:tr w:rsidR="00DD1F82" w:rsidTr="00B637B2">
            <w:trPr>
              <w:jc w:val="center"/>
            </w:trPr>
            <w:sdt>
              <w:sdtPr>
                <w:tag w:val="_PLD_96f92a97765344699f3fe74a7c29502b"/>
                <w:id w:val="788402481"/>
                <w:lock w:val="sdtLocked"/>
              </w:sdtPr>
              <w:sdtContent>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DD1F82" w:rsidRDefault="00DD1F82" w:rsidP="006C0381">
                    <w:pPr>
                      <w:rPr>
                        <w:rFonts w:cs="Arial"/>
                        <w:color w:val="000000"/>
                        <w:szCs w:val="21"/>
                      </w:rPr>
                    </w:pPr>
                    <w:r>
                      <w:rPr>
                        <w:rFonts w:cs="Arial" w:hint="eastAsia"/>
                        <w:color w:val="000000"/>
                        <w:szCs w:val="21"/>
                        <w:lang w:val="en-GB"/>
                      </w:rPr>
                      <w:t>投资账面价值合计</w:t>
                    </w:r>
                  </w:p>
                </w:tc>
              </w:sdtContent>
            </w:sdt>
            <w:tc>
              <w:tcPr>
                <w:tcW w:w="1697" w:type="pct"/>
                <w:tcBorders>
                  <w:top w:val="single" w:sz="6" w:space="0" w:color="auto"/>
                  <w:left w:val="single" w:sz="6" w:space="0" w:color="auto"/>
                  <w:bottom w:val="single" w:sz="6" w:space="0" w:color="auto"/>
                  <w:right w:val="single" w:sz="6" w:space="0" w:color="auto"/>
                </w:tcBorders>
                <w:vAlign w:val="center"/>
              </w:tcPr>
              <w:p w:rsidR="00DD1F82" w:rsidRPr="002B0FF8" w:rsidRDefault="00DD1F82" w:rsidP="00B637B2">
                <w:pPr>
                  <w:jc w:val="right"/>
                </w:pPr>
                <w:r w:rsidRPr="002B0FF8">
                  <w:t>501,224,111</w:t>
                </w:r>
              </w:p>
            </w:tc>
            <w:tc>
              <w:tcPr>
                <w:tcW w:w="1699" w:type="pct"/>
                <w:tcBorders>
                  <w:top w:val="single" w:sz="6" w:space="0" w:color="auto"/>
                  <w:left w:val="single" w:sz="6" w:space="0" w:color="auto"/>
                  <w:bottom w:val="single" w:sz="6" w:space="0" w:color="auto"/>
                  <w:right w:val="single" w:sz="4" w:space="0" w:color="auto"/>
                </w:tcBorders>
                <w:vAlign w:val="center"/>
              </w:tcPr>
              <w:p w:rsidR="00DD1F82" w:rsidRPr="007C4692" w:rsidRDefault="008F04CF" w:rsidP="00B637B2">
                <w:pPr>
                  <w:jc w:val="right"/>
                  <w:rPr>
                    <w:rFonts w:cs="Arial"/>
                    <w:color w:val="000000"/>
                  </w:rPr>
                </w:pPr>
                <w:r w:rsidRPr="007C4692">
                  <w:rPr>
                    <w:rFonts w:cs="Arial"/>
                    <w:color w:val="000000"/>
                  </w:rPr>
                  <w:t>482,963,553</w:t>
                </w:r>
              </w:p>
            </w:tc>
          </w:tr>
          <w:tr w:rsidR="00DD1F82" w:rsidTr="00B637B2">
            <w:trPr>
              <w:jc w:val="center"/>
            </w:trPr>
            <w:sdt>
              <w:sdtPr>
                <w:tag w:val="_PLD_31587dee61f14709a752f002668255e6"/>
                <w:id w:val="-591863782"/>
                <w:lock w:val="sdtLocked"/>
              </w:sdtPr>
              <w:sdtContent>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DD1F82" w:rsidRDefault="00DD1F82" w:rsidP="006C0381">
                    <w:pPr>
                      <w:rPr>
                        <w:rFonts w:cs="Arial"/>
                        <w:color w:val="000000"/>
                        <w:szCs w:val="21"/>
                      </w:rPr>
                    </w:pPr>
                    <w:r>
                      <w:rPr>
                        <w:rFonts w:cs="Arial" w:hint="eastAsia"/>
                        <w:color w:val="000000"/>
                        <w:szCs w:val="21"/>
                        <w:lang w:val="en-GB"/>
                      </w:rPr>
                      <w:t>下列各项按持股比例计算的合计数</w:t>
                    </w:r>
                  </w:p>
                </w:tc>
              </w:sdtContent>
            </w:sdt>
            <w:tc>
              <w:tcPr>
                <w:tcW w:w="1697" w:type="pct"/>
                <w:tcBorders>
                  <w:top w:val="single" w:sz="6" w:space="0" w:color="auto"/>
                  <w:left w:val="single" w:sz="6" w:space="0" w:color="auto"/>
                  <w:bottom w:val="single" w:sz="6" w:space="0" w:color="auto"/>
                  <w:right w:val="single" w:sz="6" w:space="0" w:color="auto"/>
                </w:tcBorders>
                <w:vAlign w:val="center"/>
              </w:tcPr>
              <w:p w:rsidR="00DD1F82" w:rsidRDefault="00DD1F82" w:rsidP="00B637B2">
                <w:pPr>
                  <w:jc w:val="right"/>
                  <w:rPr>
                    <w:szCs w:val="21"/>
                  </w:rPr>
                </w:pPr>
              </w:p>
            </w:tc>
            <w:tc>
              <w:tcPr>
                <w:tcW w:w="1699" w:type="pct"/>
                <w:tcBorders>
                  <w:top w:val="single" w:sz="6" w:space="0" w:color="auto"/>
                  <w:left w:val="single" w:sz="6" w:space="0" w:color="auto"/>
                  <w:bottom w:val="single" w:sz="6" w:space="0" w:color="auto"/>
                  <w:right w:val="single" w:sz="4" w:space="0" w:color="auto"/>
                </w:tcBorders>
                <w:vAlign w:val="center"/>
              </w:tcPr>
              <w:p w:rsidR="00DD1F82" w:rsidRDefault="00DD1F82" w:rsidP="00B637B2">
                <w:pPr>
                  <w:jc w:val="right"/>
                  <w:rPr>
                    <w:szCs w:val="21"/>
                  </w:rPr>
                </w:pPr>
              </w:p>
            </w:tc>
          </w:tr>
          <w:tr w:rsidR="00DD1F82" w:rsidTr="00B637B2">
            <w:trPr>
              <w:jc w:val="center"/>
            </w:trPr>
            <w:sdt>
              <w:sdtPr>
                <w:tag w:val="_PLD_4bb9c04db78d44db8ec834da9e330d51"/>
                <w:id w:val="-1036426969"/>
                <w:lock w:val="sdtLocked"/>
              </w:sdtPr>
              <w:sdtContent>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DD1F82" w:rsidRDefault="00DD1F82" w:rsidP="006C0381">
                    <w:pPr>
                      <w:rPr>
                        <w:rFonts w:cs="Arial"/>
                        <w:color w:val="000000"/>
                        <w:szCs w:val="21"/>
                      </w:rPr>
                    </w:pPr>
                    <w:r>
                      <w:rPr>
                        <w:rFonts w:cs="Arial"/>
                        <w:color w:val="000000"/>
                        <w:szCs w:val="21"/>
                      </w:rPr>
                      <w:t>--</w:t>
                    </w:r>
                    <w:r>
                      <w:rPr>
                        <w:rFonts w:cs="Arial" w:hint="eastAsia"/>
                        <w:color w:val="000000"/>
                        <w:szCs w:val="21"/>
                        <w:lang w:val="en-GB"/>
                      </w:rPr>
                      <w:t>净利润</w:t>
                    </w:r>
                  </w:p>
                </w:tc>
              </w:sdtContent>
            </w:sdt>
            <w:tc>
              <w:tcPr>
                <w:tcW w:w="1697" w:type="pct"/>
                <w:tcBorders>
                  <w:top w:val="single" w:sz="6" w:space="0" w:color="auto"/>
                  <w:left w:val="single" w:sz="6" w:space="0" w:color="auto"/>
                  <w:bottom w:val="single" w:sz="6" w:space="0" w:color="auto"/>
                  <w:right w:val="single" w:sz="6" w:space="0" w:color="auto"/>
                </w:tcBorders>
                <w:vAlign w:val="center"/>
              </w:tcPr>
              <w:p w:rsidR="00DD1F82" w:rsidRPr="00B802D8" w:rsidRDefault="00DD1F82" w:rsidP="00B637B2">
                <w:pPr>
                  <w:jc w:val="right"/>
                </w:pPr>
                <w:r w:rsidRPr="00B802D8">
                  <w:t>-69,871,268</w:t>
                </w:r>
              </w:p>
            </w:tc>
            <w:tc>
              <w:tcPr>
                <w:tcW w:w="1699" w:type="pct"/>
                <w:tcBorders>
                  <w:top w:val="single" w:sz="6" w:space="0" w:color="auto"/>
                  <w:left w:val="single" w:sz="6" w:space="0" w:color="auto"/>
                  <w:bottom w:val="single" w:sz="6" w:space="0" w:color="auto"/>
                  <w:right w:val="single" w:sz="4" w:space="0" w:color="auto"/>
                </w:tcBorders>
                <w:vAlign w:val="center"/>
              </w:tcPr>
              <w:p w:rsidR="00DD1F82" w:rsidRDefault="00DD1F82" w:rsidP="00B637B2">
                <w:pPr>
                  <w:jc w:val="right"/>
                </w:pPr>
                <w:r w:rsidRPr="00B802D8">
                  <w:t>847,020</w:t>
                </w:r>
              </w:p>
            </w:tc>
          </w:tr>
          <w:tr w:rsidR="00DD1F82" w:rsidTr="00B637B2">
            <w:trPr>
              <w:jc w:val="center"/>
            </w:trPr>
            <w:sdt>
              <w:sdtPr>
                <w:tag w:val="_PLD_861ee8b21c034bf6a2fe80950a41eead"/>
                <w:id w:val="1950046306"/>
                <w:lock w:val="sdtLocked"/>
              </w:sdtPr>
              <w:sdtContent>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DD1F82" w:rsidRDefault="00DD1F82" w:rsidP="006C0381">
                    <w:pPr>
                      <w:rPr>
                        <w:rFonts w:cs="Arial"/>
                        <w:color w:val="000000"/>
                        <w:szCs w:val="21"/>
                      </w:rPr>
                    </w:pPr>
                    <w:r>
                      <w:rPr>
                        <w:rFonts w:cs="Arial"/>
                        <w:color w:val="000000"/>
                        <w:szCs w:val="21"/>
                      </w:rPr>
                      <w:t>--</w:t>
                    </w:r>
                    <w:r>
                      <w:rPr>
                        <w:rFonts w:cs="Arial" w:hint="eastAsia"/>
                        <w:color w:val="000000"/>
                        <w:szCs w:val="21"/>
                        <w:lang w:val="en-GB"/>
                      </w:rPr>
                      <w:t>其他综合收益</w:t>
                    </w:r>
                  </w:p>
                </w:tc>
              </w:sdtContent>
            </w:sdt>
            <w:tc>
              <w:tcPr>
                <w:tcW w:w="1697" w:type="pct"/>
                <w:tcBorders>
                  <w:top w:val="single" w:sz="6" w:space="0" w:color="auto"/>
                  <w:left w:val="single" w:sz="6" w:space="0" w:color="auto"/>
                  <w:bottom w:val="single" w:sz="6" w:space="0" w:color="auto"/>
                  <w:right w:val="single" w:sz="6" w:space="0" w:color="auto"/>
                </w:tcBorders>
                <w:vAlign w:val="center"/>
              </w:tcPr>
              <w:p w:rsidR="00DD1F82" w:rsidRDefault="00DD1F82" w:rsidP="00B637B2">
                <w:pPr>
                  <w:jc w:val="right"/>
                  <w:rPr>
                    <w:szCs w:val="21"/>
                  </w:rPr>
                </w:pPr>
              </w:p>
            </w:tc>
            <w:tc>
              <w:tcPr>
                <w:tcW w:w="1699" w:type="pct"/>
                <w:tcBorders>
                  <w:top w:val="single" w:sz="6" w:space="0" w:color="auto"/>
                  <w:left w:val="single" w:sz="6" w:space="0" w:color="auto"/>
                  <w:bottom w:val="single" w:sz="6" w:space="0" w:color="auto"/>
                  <w:right w:val="single" w:sz="4" w:space="0" w:color="auto"/>
                </w:tcBorders>
                <w:vAlign w:val="center"/>
              </w:tcPr>
              <w:p w:rsidR="00DD1F82" w:rsidRDefault="00DD1F82" w:rsidP="00B637B2">
                <w:pPr>
                  <w:jc w:val="right"/>
                  <w:rPr>
                    <w:szCs w:val="21"/>
                  </w:rPr>
                </w:pPr>
              </w:p>
            </w:tc>
          </w:tr>
          <w:tr w:rsidR="00DD1F82" w:rsidTr="00B637B2">
            <w:trPr>
              <w:jc w:val="center"/>
            </w:trPr>
            <w:sdt>
              <w:sdtPr>
                <w:tag w:val="_PLD_53750ad8db9448d19b3096748652d9bc"/>
                <w:id w:val="30232211"/>
                <w:lock w:val="sdtLocked"/>
              </w:sdtPr>
              <w:sdtContent>
                <w:tc>
                  <w:tcPr>
                    <w:tcW w:w="1604" w:type="pct"/>
                    <w:tcBorders>
                      <w:top w:val="single" w:sz="6" w:space="0" w:color="auto"/>
                      <w:left w:val="single" w:sz="4" w:space="0" w:color="auto"/>
                      <w:bottom w:val="single" w:sz="4" w:space="0" w:color="auto"/>
                      <w:right w:val="single" w:sz="6" w:space="0" w:color="auto"/>
                    </w:tcBorders>
                    <w:shd w:val="clear" w:color="auto" w:fill="auto"/>
                    <w:vAlign w:val="center"/>
                  </w:tcPr>
                  <w:p w:rsidR="00DD1F82" w:rsidRDefault="00DD1F82" w:rsidP="006C0381">
                    <w:pPr>
                      <w:rPr>
                        <w:rFonts w:cs="Arial"/>
                        <w:color w:val="000000"/>
                        <w:szCs w:val="21"/>
                      </w:rPr>
                    </w:pPr>
                    <w:r>
                      <w:rPr>
                        <w:rFonts w:cs="Arial"/>
                        <w:color w:val="000000"/>
                        <w:szCs w:val="21"/>
                      </w:rPr>
                      <w:t>--</w:t>
                    </w:r>
                    <w:r>
                      <w:rPr>
                        <w:rFonts w:cs="Arial" w:hint="eastAsia"/>
                        <w:color w:val="000000"/>
                        <w:szCs w:val="21"/>
                        <w:lang w:val="en-GB"/>
                      </w:rPr>
                      <w:t>综合收益总额</w:t>
                    </w:r>
                  </w:p>
                </w:tc>
              </w:sdtContent>
            </w:sdt>
            <w:tc>
              <w:tcPr>
                <w:tcW w:w="1697" w:type="pct"/>
                <w:tcBorders>
                  <w:top w:val="single" w:sz="6" w:space="0" w:color="auto"/>
                  <w:left w:val="single" w:sz="6" w:space="0" w:color="auto"/>
                  <w:bottom w:val="single" w:sz="4" w:space="0" w:color="auto"/>
                  <w:right w:val="single" w:sz="6" w:space="0" w:color="auto"/>
                </w:tcBorders>
                <w:vAlign w:val="center"/>
              </w:tcPr>
              <w:p w:rsidR="00DD1F82" w:rsidRDefault="00DD1F82" w:rsidP="00B637B2">
                <w:pPr>
                  <w:jc w:val="right"/>
                  <w:rPr>
                    <w:szCs w:val="21"/>
                  </w:rPr>
                </w:pPr>
                <w:r>
                  <w:t>-69,871,268</w:t>
                </w:r>
              </w:p>
            </w:tc>
            <w:tc>
              <w:tcPr>
                <w:tcW w:w="1699" w:type="pct"/>
                <w:tcBorders>
                  <w:top w:val="single" w:sz="6" w:space="0" w:color="auto"/>
                  <w:left w:val="single" w:sz="6" w:space="0" w:color="auto"/>
                  <w:bottom w:val="single" w:sz="4" w:space="0" w:color="auto"/>
                  <w:right w:val="single" w:sz="4" w:space="0" w:color="auto"/>
                </w:tcBorders>
                <w:vAlign w:val="center"/>
              </w:tcPr>
              <w:p w:rsidR="00DD1F82" w:rsidRDefault="00DD1F82" w:rsidP="00B637B2">
                <w:pPr>
                  <w:jc w:val="right"/>
                  <w:rPr>
                    <w:szCs w:val="21"/>
                  </w:rPr>
                </w:pPr>
                <w:r>
                  <w:t>847,020</w:t>
                </w:r>
              </w:p>
            </w:tc>
          </w:tr>
        </w:tbl>
        <w:p w:rsidR="00DD1F82" w:rsidRDefault="00DD1F82"/>
        <w:p w:rsidR="00ED2DC7" w:rsidRDefault="00ED2DC7">
          <w:pPr>
            <w:rPr>
              <w:rFonts w:cs="Arial"/>
              <w:szCs w:val="21"/>
            </w:rPr>
          </w:pPr>
          <w:r>
            <w:rPr>
              <w:rFonts w:cs="Arial" w:hint="eastAsia"/>
              <w:szCs w:val="21"/>
            </w:rPr>
            <w:lastRenderedPageBreak/>
            <w:t>其他说明</w:t>
          </w:r>
        </w:p>
        <w:p w:rsidR="00ED2DC7" w:rsidRDefault="000D0A99">
          <w:pPr>
            <w:rPr>
              <w:rFonts w:cs="Arial"/>
              <w:szCs w:val="21"/>
            </w:rPr>
          </w:pPr>
          <w:sdt>
            <w:sdtPr>
              <w:rPr>
                <w:szCs w:val="21"/>
              </w:rPr>
              <w:alias w:val="不重要的合营企业和联营企业的汇总财务信息其他说明"/>
              <w:tag w:val="_GBC_78096995ca9848409e6780ab5f1386f8"/>
              <w:id w:val="-1229461019"/>
              <w:lock w:val="sdtLocked"/>
              <w:placeholder>
                <w:docPart w:val="GBC22222222222222222222222222222"/>
              </w:placeholder>
            </w:sdtPr>
            <w:sdtContent>
              <w:r w:rsidR="00E85F91">
                <w:rPr>
                  <w:rFonts w:hint="eastAsia"/>
                  <w:szCs w:val="21"/>
                </w:rPr>
                <w:t>无。</w:t>
              </w:r>
            </w:sdtContent>
          </w:sdt>
        </w:p>
      </w:sdtContent>
    </w:sdt>
    <w:p w:rsidR="00ED2DC7" w:rsidRDefault="00ED2DC7">
      <w:pPr>
        <w:rPr>
          <w:rFonts w:cs="Arial"/>
          <w:szCs w:val="21"/>
        </w:rPr>
      </w:pPr>
    </w:p>
    <w:sdt>
      <w:sdtPr>
        <w:rPr>
          <w:rFonts w:ascii="宋体" w:hAnsi="宋体" w:cs="Arial" w:hint="eastAsia"/>
          <w:b w:val="0"/>
          <w:bCs w:val="0"/>
          <w:kern w:val="0"/>
          <w:szCs w:val="21"/>
        </w:rPr>
        <w:alias w:val="模块:合营企业或联营企业向公司转移资金的能力存在重大限制的说明"/>
        <w:tag w:val="_GBC_2874973c28b34357bf81a60947721baa"/>
        <w:id w:val="-1348945979"/>
        <w:lock w:val="sdtLocked"/>
        <w:placeholder>
          <w:docPart w:val="GBC22222222222222222222222222222"/>
        </w:placeholder>
      </w:sdtPr>
      <w:sdtContent>
        <w:p w:rsidR="00ED2DC7" w:rsidRDefault="00ED2DC7" w:rsidP="00036BDC">
          <w:pPr>
            <w:pStyle w:val="affffffffffffffffff2"/>
            <w:numPr>
              <w:ilvl w:val="3"/>
              <w:numId w:val="86"/>
            </w:numPr>
            <w:tabs>
              <w:tab w:val="left" w:pos="630"/>
            </w:tabs>
            <w:rPr>
              <w:rFonts w:ascii="宋体" w:hAnsi="宋体" w:cs="Arial"/>
              <w:szCs w:val="21"/>
            </w:rPr>
          </w:pPr>
          <w:r>
            <w:rPr>
              <w:rFonts w:ascii="宋体" w:hAnsi="宋体" w:cs="Arial" w:hint="eastAsia"/>
              <w:szCs w:val="21"/>
            </w:rPr>
            <w:t>合营企业或联营企业向本公司转移资金的能力存在重大限制的说明</w:t>
          </w:r>
        </w:p>
        <w:sdt>
          <w:sdtPr>
            <w:alias w:val="是否适用：合营企业或联营企业向本公司转移资金的能力存在重大限制的说明[双击切换]"/>
            <w:tag w:val="_GBC_73dfba3df3e24fc2a5b5ede5fa8d6f09"/>
            <w:id w:val="-1194763038"/>
            <w:lock w:val="sdtContentLocked"/>
            <w:placeholder>
              <w:docPart w:val="GBC22222222222222222222222222222"/>
            </w:placeholder>
          </w:sdtPr>
          <w:sdtContent>
            <w:p w:rsidR="00ED2DC7" w:rsidRDefault="00ED2DC7" w:rsidP="00E85F91">
              <w:r>
                <w:fldChar w:fldCharType="begin"/>
              </w:r>
              <w:r w:rsidR="00E85F91">
                <w:instrText xml:space="preserve"> MACROBUTTON  SnrToggleCheckbox □适用 </w:instrText>
              </w:r>
              <w:r>
                <w:fldChar w:fldCharType="end"/>
              </w:r>
              <w:r>
                <w:fldChar w:fldCharType="begin"/>
              </w:r>
              <w:r w:rsidR="00E85F91">
                <w:instrText xml:space="preserve"> MACROBUTTON  SnrToggleCheckbox √不适用 </w:instrText>
              </w:r>
              <w:r>
                <w:fldChar w:fldCharType="end"/>
              </w:r>
            </w:p>
          </w:sdtContent>
        </w:sdt>
        <w:p w:rsidR="00ED2DC7" w:rsidRDefault="000D0A99">
          <w:pPr>
            <w:rPr>
              <w:rFonts w:cs="Arial"/>
              <w:szCs w:val="21"/>
            </w:rPr>
          </w:pPr>
        </w:p>
      </w:sdtContent>
    </w:sdt>
    <w:sdt>
      <w:sdtPr>
        <w:rPr>
          <w:rFonts w:ascii="宋体" w:hAnsi="宋体" w:cs="Arial" w:hint="eastAsia"/>
          <w:b w:val="0"/>
          <w:bCs w:val="0"/>
          <w:kern w:val="0"/>
          <w:szCs w:val="21"/>
        </w:rPr>
        <w:alias w:val="模块:合营企业或联营企业发生的超额亏损"/>
        <w:tag w:val="_GBC_a9980062c82d44acae24fae7368ea42f"/>
        <w:id w:val="-2124988266"/>
        <w:lock w:val="sdtLocked"/>
        <w:placeholder>
          <w:docPart w:val="GBC22222222222222222222222222222"/>
        </w:placeholder>
      </w:sdtPr>
      <w:sdtEndPr>
        <w:rPr>
          <w:rFonts w:cstheme="minorBidi" w:hint="default"/>
        </w:rPr>
      </w:sdtEndPr>
      <w:sdtContent>
        <w:p w:rsidR="00ED2DC7" w:rsidRDefault="00ED2DC7" w:rsidP="00036BDC">
          <w:pPr>
            <w:pStyle w:val="affffffffffffffffff2"/>
            <w:numPr>
              <w:ilvl w:val="3"/>
              <w:numId w:val="86"/>
            </w:numPr>
            <w:tabs>
              <w:tab w:val="left" w:pos="630"/>
            </w:tabs>
            <w:rPr>
              <w:rFonts w:ascii="宋体" w:hAnsi="宋体" w:cs="Arial"/>
              <w:szCs w:val="21"/>
            </w:rPr>
          </w:pPr>
          <w:r>
            <w:rPr>
              <w:rFonts w:ascii="宋体" w:hAnsi="宋体" w:cs="Arial" w:hint="eastAsia"/>
              <w:szCs w:val="21"/>
            </w:rPr>
            <w:t>合营企业或联营企业发生的超额亏损</w:t>
          </w:r>
        </w:p>
        <w:sdt>
          <w:sdtPr>
            <w:alias w:val="是否适用：合营企业或联营企业发生的超额亏损[双击切换]"/>
            <w:tag w:val="_GBC_c30af0beca864d788c2fe12f47f13428"/>
            <w:id w:val="1995525811"/>
            <w:lock w:val="sdtContentLocked"/>
            <w:placeholder>
              <w:docPart w:val="GBC22222222222222222222222222222"/>
            </w:placeholder>
          </w:sdtPr>
          <w:sdtContent>
            <w:p w:rsidR="00DD1F82" w:rsidRDefault="00ED2DC7" w:rsidP="00DD1F82">
              <w:r>
                <w:fldChar w:fldCharType="begin"/>
              </w:r>
              <w:r w:rsidR="00DD1F82">
                <w:instrText xml:space="preserve"> MACROBUTTON  SnrToggleCheckbox □适用 </w:instrText>
              </w:r>
              <w:r>
                <w:fldChar w:fldCharType="end"/>
              </w:r>
              <w:r>
                <w:fldChar w:fldCharType="begin"/>
              </w:r>
              <w:r w:rsidR="00DD1F82">
                <w:instrText xml:space="preserve"> MACROBUTTON  SnrToggleCheckbox √不适用 </w:instrText>
              </w:r>
              <w:r>
                <w:fldChar w:fldCharType="end"/>
              </w:r>
            </w:p>
          </w:sdtContent>
        </w:sdt>
        <w:p w:rsidR="00ED2DC7" w:rsidRDefault="000D0A99">
          <w:pPr>
            <w:rPr>
              <w:rFonts w:cs="Arial"/>
              <w:szCs w:val="21"/>
            </w:rPr>
          </w:pPr>
        </w:p>
      </w:sdtContent>
    </w:sdt>
    <w:p w:rsidR="00ED2DC7" w:rsidRDefault="00ED2DC7">
      <w:pPr>
        <w:rPr>
          <w:rFonts w:cs="Arial"/>
          <w:szCs w:val="21"/>
        </w:rPr>
      </w:pPr>
    </w:p>
    <w:sdt>
      <w:sdtPr>
        <w:rPr>
          <w:rFonts w:ascii="宋体" w:hAnsi="宋体" w:cs="Arial" w:hint="eastAsia"/>
          <w:b w:val="0"/>
          <w:bCs w:val="0"/>
          <w:kern w:val="0"/>
          <w:szCs w:val="21"/>
        </w:rPr>
        <w:alias w:val="模块:与合营企业投资相关的未确认承诺"/>
        <w:tag w:val="_GBC_da055842bf8c4e9598b87bd760d969ec"/>
        <w:id w:val="-1259213264"/>
        <w:lock w:val="sdtLocked"/>
        <w:placeholder>
          <w:docPart w:val="GBC22222222222222222222222222222"/>
        </w:placeholder>
      </w:sdtPr>
      <w:sdtContent>
        <w:p w:rsidR="00ED2DC7" w:rsidRDefault="00ED2DC7" w:rsidP="00036BDC">
          <w:pPr>
            <w:pStyle w:val="affffffffffffffffff2"/>
            <w:numPr>
              <w:ilvl w:val="3"/>
              <w:numId w:val="86"/>
            </w:numPr>
            <w:tabs>
              <w:tab w:val="left" w:pos="630"/>
            </w:tabs>
            <w:rPr>
              <w:rFonts w:cs="Arial"/>
              <w:szCs w:val="21"/>
            </w:rPr>
          </w:pPr>
          <w:r>
            <w:rPr>
              <w:rFonts w:cs="Arial" w:hint="eastAsia"/>
              <w:szCs w:val="21"/>
            </w:rPr>
            <w:t>与合营企业</w:t>
          </w:r>
          <w:r>
            <w:rPr>
              <w:rFonts w:ascii="宋体" w:hAnsi="宋体" w:cs="Arial" w:hint="eastAsia"/>
              <w:szCs w:val="21"/>
            </w:rPr>
            <w:t>投资</w:t>
          </w:r>
          <w:r>
            <w:rPr>
              <w:rFonts w:cs="Arial" w:hint="eastAsia"/>
              <w:szCs w:val="21"/>
            </w:rPr>
            <w:t>相关的未确认承诺</w:t>
          </w:r>
        </w:p>
        <w:sdt>
          <w:sdtPr>
            <w:alias w:val="是否适用：与合营企业投资相关的未确认承诺[双击切换]"/>
            <w:tag w:val="_GBC_9d014d8b476148b59476808a5cda81d8"/>
            <w:id w:val="-36815908"/>
            <w:lock w:val="sdtContentLocked"/>
            <w:placeholder>
              <w:docPart w:val="GBC22222222222222222222222222222"/>
            </w:placeholder>
          </w:sdtPr>
          <w:sdtContent>
            <w:p w:rsidR="00ED2DC7" w:rsidRDefault="00ED2DC7" w:rsidP="00E85F91">
              <w:pPr>
                <w:rPr>
                  <w:rFonts w:cs="Arial"/>
                  <w:szCs w:val="21"/>
                </w:rPr>
              </w:pPr>
              <w:r>
                <w:fldChar w:fldCharType="begin"/>
              </w:r>
              <w:r w:rsidR="00E85F91">
                <w:instrText xml:space="preserve"> MACROBUTTON  SnrToggleCheckbox □适用 </w:instrText>
              </w:r>
              <w:r>
                <w:fldChar w:fldCharType="end"/>
              </w:r>
              <w:r>
                <w:fldChar w:fldCharType="begin"/>
              </w:r>
              <w:r w:rsidR="00E85F91">
                <w:instrText xml:space="preserve"> MACROBUTTON  SnrToggleCheckbox √不适用 </w:instrText>
              </w:r>
              <w:r>
                <w:fldChar w:fldCharType="end"/>
              </w:r>
            </w:p>
          </w:sdtContent>
        </w:sdt>
      </w:sdtContent>
    </w:sdt>
    <w:p w:rsidR="00ED2DC7" w:rsidRDefault="00ED2DC7">
      <w:pPr>
        <w:rPr>
          <w:rFonts w:cs="Arial"/>
          <w:szCs w:val="21"/>
        </w:rPr>
      </w:pPr>
    </w:p>
    <w:sdt>
      <w:sdtPr>
        <w:rPr>
          <w:rFonts w:ascii="宋体" w:hAnsi="宋体" w:cs="Arial" w:hint="eastAsia"/>
          <w:b w:val="0"/>
          <w:bCs w:val="0"/>
          <w:kern w:val="0"/>
          <w:szCs w:val="21"/>
        </w:rPr>
        <w:alias w:val="模块:与合营企业或联营企业投资相关的或有负债"/>
        <w:tag w:val="_GBC_1f803def681a42ba91cdde709a067b3f"/>
        <w:id w:val="-1192141151"/>
        <w:lock w:val="sdtLocked"/>
        <w:placeholder>
          <w:docPart w:val="GBC22222222222222222222222222222"/>
        </w:placeholder>
      </w:sdtPr>
      <w:sdtContent>
        <w:p w:rsidR="00ED2DC7" w:rsidRDefault="00ED2DC7" w:rsidP="00036BDC">
          <w:pPr>
            <w:pStyle w:val="affffffffffffffffff2"/>
            <w:numPr>
              <w:ilvl w:val="3"/>
              <w:numId w:val="86"/>
            </w:numPr>
            <w:tabs>
              <w:tab w:val="left" w:pos="630"/>
            </w:tabs>
            <w:rPr>
              <w:rFonts w:cs="Arial"/>
              <w:szCs w:val="21"/>
            </w:rPr>
          </w:pPr>
          <w:r>
            <w:rPr>
              <w:rFonts w:cs="Arial" w:hint="eastAsia"/>
              <w:szCs w:val="21"/>
            </w:rPr>
            <w:t>与合营企业或联营企业投资相关的或有负债</w:t>
          </w:r>
        </w:p>
        <w:sdt>
          <w:sdtPr>
            <w:alias w:val="是否适用：与合营企业或联营企业投资相关的或有负债[双击切换]"/>
            <w:tag w:val="_GBC_caba618be81b4cb1acf89073549a456a"/>
            <w:id w:val="388998710"/>
            <w:lock w:val="sdtContentLocked"/>
            <w:placeholder>
              <w:docPart w:val="GBC22222222222222222222222222222"/>
            </w:placeholder>
          </w:sdtPr>
          <w:sdtContent>
            <w:p w:rsidR="00ED2DC7" w:rsidRDefault="00ED2DC7" w:rsidP="00E85F91">
              <w:pPr>
                <w:rPr>
                  <w:rFonts w:cs="Arial"/>
                  <w:szCs w:val="21"/>
                </w:rPr>
              </w:pPr>
              <w:r>
                <w:fldChar w:fldCharType="begin"/>
              </w:r>
              <w:r w:rsidR="00E85F91">
                <w:instrText xml:space="preserve"> MACROBUTTON  SnrToggleCheckbox □适用 </w:instrText>
              </w:r>
              <w:r>
                <w:fldChar w:fldCharType="end"/>
              </w:r>
              <w:r>
                <w:fldChar w:fldCharType="begin"/>
              </w:r>
              <w:r w:rsidR="00E85F91">
                <w:instrText xml:space="preserve"> MACROBUTTON  SnrToggleCheckbox √不适用 </w:instrText>
              </w:r>
              <w:r>
                <w:fldChar w:fldCharType="end"/>
              </w:r>
            </w:p>
          </w:sdtContent>
        </w:sdt>
      </w:sdtContent>
    </w:sdt>
    <w:p w:rsidR="00ED2DC7" w:rsidRDefault="00ED2DC7">
      <w:pPr>
        <w:rPr>
          <w:rFonts w:cs="Arial"/>
          <w:szCs w:val="21"/>
        </w:rPr>
      </w:pPr>
    </w:p>
    <w:sdt>
      <w:sdtPr>
        <w:rPr>
          <w:rFonts w:ascii="宋体" w:hAnsi="宋体" w:cs="Arial" w:hint="eastAsia"/>
          <w:b w:val="0"/>
          <w:bCs w:val="0"/>
          <w:kern w:val="0"/>
          <w:szCs w:val="21"/>
        </w:rPr>
        <w:alias w:val="模块:重要的共同经营"/>
        <w:tag w:val="_GBC_90d44eb1222944759107483908112493"/>
        <w:id w:val="434560667"/>
        <w:lock w:val="sdtLocked"/>
        <w:placeholder>
          <w:docPart w:val="GBC22222222222222222222222222222"/>
        </w:placeholder>
      </w:sdtPr>
      <w:sdtEndPr>
        <w:rPr>
          <w:rFonts w:cstheme="minorBidi" w:hint="default"/>
        </w:rPr>
      </w:sdtEndPr>
      <w:sdtContent>
        <w:p w:rsidR="00ED2DC7" w:rsidRDefault="00ED2DC7" w:rsidP="00036BDC">
          <w:pPr>
            <w:pStyle w:val="affffffffffffffffff1"/>
            <w:numPr>
              <w:ilvl w:val="2"/>
              <w:numId w:val="84"/>
            </w:numPr>
            <w:rPr>
              <w:rFonts w:ascii="宋体" w:hAnsi="宋体" w:cs="Arial"/>
              <w:szCs w:val="21"/>
            </w:rPr>
          </w:pPr>
          <w:r>
            <w:rPr>
              <w:rFonts w:ascii="宋体" w:hAnsi="宋体" w:cs="Arial" w:hint="eastAsia"/>
              <w:szCs w:val="21"/>
            </w:rPr>
            <w:t>重要的共同经营</w:t>
          </w:r>
        </w:p>
        <w:sdt>
          <w:sdtPr>
            <w:alias w:val="是否适用：重要的共同经营[双击切换]"/>
            <w:tag w:val="_GBC_7911b1c8195d4c20b2800b1c5ac94a93"/>
            <w:id w:val="-1875684097"/>
            <w:lock w:val="sdtContentLocked"/>
            <w:placeholder>
              <w:docPart w:val="GBC22222222222222222222222222222"/>
            </w:placeholder>
          </w:sdtPr>
          <w:sdtContent>
            <w:p w:rsidR="00E85F91" w:rsidRDefault="00ED2DC7" w:rsidP="00E85F91">
              <w:r>
                <w:fldChar w:fldCharType="begin"/>
              </w:r>
              <w:r w:rsidR="00E85F91">
                <w:instrText xml:space="preserve"> MACROBUTTON  SnrToggleCheckbox □适用 </w:instrText>
              </w:r>
              <w:r>
                <w:fldChar w:fldCharType="end"/>
              </w:r>
              <w:r>
                <w:fldChar w:fldCharType="begin"/>
              </w:r>
              <w:r w:rsidR="00E85F91">
                <w:instrText xml:space="preserve"> MACROBUTTON  SnrToggleCheckbox √不适用 </w:instrText>
              </w:r>
              <w:r>
                <w:fldChar w:fldCharType="end"/>
              </w:r>
            </w:p>
          </w:sdtContent>
        </w:sdt>
        <w:p w:rsidR="00ED2DC7" w:rsidRDefault="000D0A99">
          <w:pPr>
            <w:rPr>
              <w:rFonts w:cs="Arial"/>
              <w:szCs w:val="21"/>
            </w:rPr>
          </w:pPr>
        </w:p>
      </w:sdtContent>
    </w:sdt>
    <w:p w:rsidR="00ED2DC7" w:rsidRDefault="00ED2DC7">
      <w:pPr>
        <w:rPr>
          <w:rFonts w:cs="Arial"/>
          <w:szCs w:val="21"/>
        </w:rPr>
      </w:pPr>
    </w:p>
    <w:sdt>
      <w:sdtPr>
        <w:rPr>
          <w:rFonts w:ascii="宋体" w:hAnsi="宋体" w:cs="Arial" w:hint="eastAsia"/>
          <w:b w:val="0"/>
          <w:bCs w:val="0"/>
          <w:kern w:val="0"/>
          <w:szCs w:val="21"/>
        </w:rPr>
        <w:alias w:val="模块:在未纳入合并财务报表范围的结构化主体中的权益"/>
        <w:tag w:val="_GBC_5cfea65e45c44f1b9fdec762be35880d"/>
        <w:id w:val="-2136394842"/>
        <w:lock w:val="sdtLocked"/>
        <w:placeholder>
          <w:docPart w:val="GBC22222222222222222222222222222"/>
        </w:placeholder>
      </w:sdtPr>
      <w:sdtContent>
        <w:p w:rsidR="00ED2DC7" w:rsidRDefault="00ED2DC7" w:rsidP="00036BDC">
          <w:pPr>
            <w:pStyle w:val="affffffffffffffffff1"/>
            <w:numPr>
              <w:ilvl w:val="2"/>
              <w:numId w:val="84"/>
            </w:numPr>
            <w:rPr>
              <w:rFonts w:ascii="宋体" w:hAnsi="宋体" w:cs="Arial"/>
              <w:szCs w:val="21"/>
            </w:rPr>
          </w:pPr>
          <w:r>
            <w:rPr>
              <w:rFonts w:ascii="宋体" w:hAnsi="宋体" w:cs="Arial" w:hint="eastAsia"/>
              <w:szCs w:val="21"/>
            </w:rPr>
            <w:t>在未纳入合并财务报表范围的结构化主体中的权益</w:t>
          </w:r>
        </w:p>
        <w:p w:rsidR="00ED2DC7" w:rsidRDefault="00ED2DC7">
          <w:pPr>
            <w:rPr>
              <w:rFonts w:cs="Arial"/>
              <w:szCs w:val="21"/>
            </w:rPr>
          </w:pPr>
          <w:r>
            <w:rPr>
              <w:rFonts w:cs="Arial" w:hint="eastAsia"/>
              <w:szCs w:val="21"/>
            </w:rPr>
            <w:t>未纳入合并财务报表范围的结构化主体的相关说明：</w:t>
          </w:r>
        </w:p>
        <w:sdt>
          <w:sdtPr>
            <w:rPr>
              <w:rFonts w:cs="Arial"/>
              <w:szCs w:val="21"/>
            </w:rPr>
            <w:alias w:val="是否适用：未纳入合并财务报表范围的结构化主体的相关说明[双击切换]"/>
            <w:tag w:val="_GBC_48eb6d215e5341c694f98d18f5889902"/>
            <w:id w:val="958767945"/>
            <w:lock w:val="sdtContentLocked"/>
            <w:placeholder>
              <w:docPart w:val="GBC22222222222222222222222222222"/>
            </w:placeholder>
          </w:sdtPr>
          <w:sdtContent>
            <w:p w:rsidR="00ED2DC7" w:rsidRDefault="00ED2DC7" w:rsidP="00E85F91">
              <w:pPr>
                <w:rPr>
                  <w:rFonts w:cs="Arial"/>
                  <w:szCs w:val="21"/>
                </w:rPr>
              </w:pPr>
              <w:r>
                <w:rPr>
                  <w:rFonts w:cs="Arial"/>
                  <w:szCs w:val="21"/>
                </w:rPr>
                <w:fldChar w:fldCharType="begin"/>
              </w:r>
              <w:r w:rsidR="00E85F91">
                <w:rPr>
                  <w:rFonts w:cs="Arial"/>
                  <w:szCs w:val="21"/>
                </w:rPr>
                <w:instrText xml:space="preserve"> MACROBUTTON  SnrToggleCheckbox □适用 </w:instrText>
              </w:r>
              <w:r>
                <w:rPr>
                  <w:rFonts w:cs="Arial"/>
                  <w:szCs w:val="21"/>
                </w:rPr>
                <w:fldChar w:fldCharType="end"/>
              </w:r>
              <w:r>
                <w:rPr>
                  <w:rFonts w:cs="Arial"/>
                  <w:szCs w:val="21"/>
                </w:rPr>
                <w:fldChar w:fldCharType="begin"/>
              </w:r>
              <w:r w:rsidR="00E85F91">
                <w:rPr>
                  <w:rFonts w:cs="Arial"/>
                  <w:szCs w:val="21"/>
                </w:rPr>
                <w:instrText xml:space="preserve"> MACROBUTTON  SnrToggleCheckbox √不适用 </w:instrText>
              </w:r>
              <w:r>
                <w:rPr>
                  <w:rFonts w:cs="Arial"/>
                  <w:szCs w:val="21"/>
                </w:rPr>
                <w:fldChar w:fldCharType="end"/>
              </w:r>
            </w:p>
          </w:sdtContent>
        </w:sdt>
        <w:p w:rsidR="00ED2DC7" w:rsidRDefault="000D0A99">
          <w:pPr>
            <w:rPr>
              <w:rFonts w:cs="Arial"/>
              <w:szCs w:val="21"/>
            </w:rPr>
          </w:pPr>
        </w:p>
      </w:sdtContent>
    </w:sdt>
    <w:sdt>
      <w:sdtPr>
        <w:rPr>
          <w:rFonts w:ascii="宋体" w:hAnsi="宋体" w:cs="Arial" w:hint="eastAsia"/>
          <w:b w:val="0"/>
          <w:bCs w:val="0"/>
          <w:kern w:val="0"/>
          <w:szCs w:val="21"/>
        </w:rPr>
        <w:alias w:val="模块:在其他主体中的权益其他需要说明的事项"/>
        <w:tag w:val="_GBC_b24eb633f5244c748225389f3b3cedd1"/>
        <w:id w:val="-2035017868"/>
        <w:lock w:val="sdtLocked"/>
        <w:placeholder>
          <w:docPart w:val="GBC22222222222222222222222222222"/>
        </w:placeholder>
      </w:sdtPr>
      <w:sdtContent>
        <w:p w:rsidR="00ED2DC7" w:rsidRDefault="00ED2DC7" w:rsidP="00036BDC">
          <w:pPr>
            <w:pStyle w:val="affffffffffffffffff1"/>
            <w:numPr>
              <w:ilvl w:val="2"/>
              <w:numId w:val="84"/>
            </w:numPr>
            <w:rPr>
              <w:rFonts w:ascii="宋体" w:hAnsi="宋体" w:cs="Arial"/>
              <w:szCs w:val="21"/>
            </w:rPr>
          </w:pPr>
          <w:r>
            <w:rPr>
              <w:rFonts w:ascii="宋体" w:hAnsi="宋体" w:cs="Arial" w:hint="eastAsia"/>
              <w:szCs w:val="21"/>
            </w:rPr>
            <w:t>其他</w:t>
          </w:r>
        </w:p>
        <w:sdt>
          <w:sdtPr>
            <w:alias w:val="是否适用：在其他主体中的权益其他需要说明的事项[双击切换]"/>
            <w:tag w:val="_GBC_ad8b7a7df0724efaa681a931c91befff"/>
            <w:id w:val="-1395891308"/>
            <w:lock w:val="sdtContentLocked"/>
            <w:placeholder>
              <w:docPart w:val="GBC22222222222222222222222222222"/>
            </w:placeholder>
          </w:sdtPr>
          <w:sdtContent>
            <w:p w:rsidR="00ED2DC7" w:rsidRDefault="00ED2DC7" w:rsidP="00E85F91">
              <w:r>
                <w:fldChar w:fldCharType="begin"/>
              </w:r>
              <w:r w:rsidR="00E85F91">
                <w:instrText xml:space="preserve"> MACROBUTTON  SnrToggleCheckbox □适用 </w:instrText>
              </w:r>
              <w:r>
                <w:fldChar w:fldCharType="end"/>
              </w:r>
              <w:r>
                <w:fldChar w:fldCharType="begin"/>
              </w:r>
              <w:r w:rsidR="00E85F91">
                <w:instrText xml:space="preserve"> MACROBUTTON  SnrToggleCheckbox √不适用 </w:instrText>
              </w:r>
              <w:r>
                <w:fldChar w:fldCharType="end"/>
              </w:r>
            </w:p>
          </w:sdtContent>
        </w:sdt>
      </w:sdtContent>
    </w:sdt>
    <w:p w:rsidR="00ED2DC7" w:rsidRDefault="00ED2DC7"/>
    <w:sdt>
      <w:sdtPr>
        <w:rPr>
          <w:rFonts w:ascii="宋体" w:hAnsi="宋体" w:cs="宋体" w:hint="eastAsia"/>
          <w:b w:val="0"/>
          <w:bCs w:val="0"/>
          <w:kern w:val="0"/>
          <w:szCs w:val="24"/>
        </w:rPr>
        <w:alias w:val="模块:与金融工具相关的风险"/>
        <w:tag w:val="_GBC_815d628fea814e7191d23a3fcbe2783c"/>
        <w:id w:val="420300513"/>
        <w:lock w:val="sdtLocked"/>
        <w:placeholder>
          <w:docPart w:val="GBC22222222222222222222222222222"/>
        </w:placeholder>
      </w:sdtPr>
      <w:sdtContent>
        <w:p w:rsidR="00ED2DC7" w:rsidRDefault="00ED2DC7" w:rsidP="00036BDC">
          <w:pPr>
            <w:pStyle w:val="affffffffffffffffff0"/>
            <w:numPr>
              <w:ilvl w:val="0"/>
              <w:numId w:val="35"/>
            </w:numPr>
            <w:rPr>
              <w:rFonts w:ascii="宋体" w:hAnsi="宋体"/>
            </w:rPr>
          </w:pPr>
          <w:r>
            <w:rPr>
              <w:rFonts w:ascii="宋体" w:hAnsi="宋体" w:hint="eastAsia"/>
            </w:rPr>
            <w:t>与金融工具相关的风险</w:t>
          </w:r>
        </w:p>
        <w:sdt>
          <w:sdtPr>
            <w:alias w:val="是否适用：与金融工具相关的风险[双击切换]"/>
            <w:tag w:val="_GBC_c64d1e82474c4f20aebea3bef4cc2f0f"/>
            <w:id w:val="267740295"/>
            <w:lock w:val="sdtContentLocked"/>
            <w:placeholder>
              <w:docPart w:val="GBC22222222222222222222222222222"/>
            </w:placeholder>
          </w:sdtPr>
          <w:sdtContent>
            <w:p w:rsidR="00ED2DC7" w:rsidRDefault="00ED2DC7">
              <w:r>
                <w:fldChar w:fldCharType="begin"/>
              </w:r>
              <w:r w:rsidR="00E85F91">
                <w:instrText xml:space="preserve"> MACROBUTTON  SnrToggleCheckbox √适用 </w:instrText>
              </w:r>
              <w:r>
                <w:fldChar w:fldCharType="end"/>
              </w:r>
              <w:r>
                <w:fldChar w:fldCharType="begin"/>
              </w:r>
              <w:r w:rsidR="00E85F91">
                <w:instrText xml:space="preserve"> MACROBUTTON  SnrToggleCheckbox □不适用 </w:instrText>
              </w:r>
              <w:r>
                <w:fldChar w:fldCharType="end"/>
              </w:r>
            </w:p>
          </w:sdtContent>
        </w:sdt>
        <w:sdt>
          <w:sdtPr>
            <w:rPr>
              <w:rFonts w:ascii="宋体" w:hAnsi="宋体" w:cs="宋体"/>
              <w:b w:val="0"/>
              <w:bCs w:val="0"/>
              <w:kern w:val="0"/>
              <w:sz w:val="21"/>
              <w:szCs w:val="21"/>
            </w:rPr>
            <w:alias w:val="与金融工具相关的风险"/>
            <w:tag w:val="_GBC_f6714dfdbb554edeb7e7fde71c65346d"/>
            <w:id w:val="-353492037"/>
            <w:lock w:val="sdtLocked"/>
            <w:placeholder>
              <w:docPart w:val="GBC22222222222222222222222222222"/>
            </w:placeholder>
          </w:sdtPr>
          <w:sdtContent>
            <w:p w:rsidR="00B637B2" w:rsidRPr="0003585B" w:rsidRDefault="008F04CF" w:rsidP="00B637B2">
              <w:pPr>
                <w:pStyle w:val="affffffffffffffff7"/>
                <w:jc w:val="left"/>
                <w:outlineLvl w:val="9"/>
                <w:rPr>
                  <w:rFonts w:ascii="宋体" w:hAnsi="宋体" w:cs="Arial"/>
                  <w:sz w:val="20"/>
                  <w:szCs w:val="20"/>
                </w:rPr>
              </w:pPr>
              <w:r w:rsidRPr="0003585B">
                <w:rPr>
                  <w:rFonts w:ascii="宋体" w:hAnsi="宋体"/>
                  <w:bCs w:val="0"/>
                  <w:sz w:val="20"/>
                  <w:szCs w:val="20"/>
                </w:rPr>
                <w:t>1.</w:t>
              </w:r>
              <w:r w:rsidRPr="0003585B">
                <w:rPr>
                  <w:rFonts w:ascii="宋体" w:hAnsi="宋体"/>
                  <w:bCs w:val="0"/>
                  <w:sz w:val="20"/>
                  <w:szCs w:val="20"/>
                </w:rPr>
                <w:tab/>
              </w:r>
              <w:r w:rsidRPr="0003585B">
                <w:rPr>
                  <w:rFonts w:ascii="宋体" w:hAnsi="宋体" w:hint="eastAsia"/>
                  <w:sz w:val="20"/>
                  <w:szCs w:val="20"/>
                </w:rPr>
                <w:t>金融工具分类</w:t>
              </w:r>
            </w:p>
            <w:p w:rsidR="00B637B2" w:rsidRPr="0003585B" w:rsidRDefault="00B637B2" w:rsidP="00B637B2">
              <w:pPr>
                <w:overflowPunct w:val="0"/>
                <w:autoSpaceDE w:val="0"/>
                <w:autoSpaceDN w:val="0"/>
                <w:adjustRightInd w:val="0"/>
                <w:snapToGrid w:val="0"/>
                <w:ind w:left="720" w:hanging="720"/>
                <w:jc w:val="both"/>
                <w:rPr>
                  <w:rFonts w:cs="Arial"/>
                  <w:snapToGrid w:val="0"/>
                  <w:sz w:val="20"/>
                  <w:szCs w:val="20"/>
                </w:rPr>
              </w:pPr>
            </w:p>
            <w:p w:rsidR="00B637B2" w:rsidRPr="0003585B" w:rsidRDefault="008F04CF" w:rsidP="00B637B2">
              <w:pPr>
                <w:tabs>
                  <w:tab w:val="left" w:pos="2520"/>
                  <w:tab w:val="decimal" w:pos="5250"/>
                  <w:tab w:val="decimal" w:pos="6510"/>
                  <w:tab w:val="decimal" w:pos="7035"/>
                  <w:tab w:val="decimal" w:pos="8295"/>
                </w:tabs>
                <w:overflowPunct w:val="0"/>
                <w:autoSpaceDE w:val="0"/>
                <w:autoSpaceDN w:val="0"/>
                <w:adjustRightInd w:val="0"/>
                <w:snapToGrid w:val="0"/>
                <w:ind w:left="720" w:hanging="720"/>
                <w:jc w:val="both"/>
                <w:rPr>
                  <w:rFonts w:cs="Arial"/>
                  <w:snapToGrid w:val="0"/>
                  <w:sz w:val="20"/>
                  <w:szCs w:val="20"/>
                </w:rPr>
              </w:pPr>
              <w:r w:rsidRPr="0003585B">
                <w:rPr>
                  <w:rFonts w:cs="Arial" w:hint="eastAsia"/>
                  <w:snapToGrid w:val="0"/>
                  <w:sz w:val="20"/>
                  <w:szCs w:val="20"/>
                </w:rPr>
                <w:t>资产负债表日的各类金融工具的账面价值如下：</w:t>
              </w:r>
            </w:p>
            <w:p w:rsidR="00B637B2" w:rsidRPr="0003585B" w:rsidRDefault="00B637B2" w:rsidP="00B637B2">
              <w:pPr>
                <w:overflowPunct w:val="0"/>
                <w:autoSpaceDE w:val="0"/>
                <w:autoSpaceDN w:val="0"/>
                <w:adjustRightInd w:val="0"/>
                <w:snapToGrid w:val="0"/>
                <w:ind w:left="720" w:hanging="720"/>
                <w:jc w:val="both"/>
                <w:rPr>
                  <w:rFonts w:cs="Arial"/>
                  <w:snapToGrid w:val="0"/>
                  <w:sz w:val="20"/>
                  <w:szCs w:val="20"/>
                </w:rPr>
              </w:pPr>
            </w:p>
            <w:p w:rsidR="00B637B2" w:rsidRPr="0003585B" w:rsidRDefault="008F04CF" w:rsidP="00B637B2">
              <w:pPr>
                <w:tabs>
                  <w:tab w:val="right" w:pos="4200"/>
                  <w:tab w:val="decimal" w:pos="4560"/>
                  <w:tab w:val="decimal" w:pos="6240"/>
                  <w:tab w:val="decimal" w:pos="6600"/>
                  <w:tab w:val="decimal" w:pos="8280"/>
                </w:tabs>
                <w:overflowPunct w:val="0"/>
                <w:autoSpaceDE w:val="0"/>
                <w:autoSpaceDN w:val="0"/>
                <w:ind w:left="720" w:hanging="720"/>
                <w:rPr>
                  <w:rFonts w:cs="Arial"/>
                  <w:sz w:val="20"/>
                  <w:szCs w:val="20"/>
                </w:rPr>
              </w:pPr>
              <w:r w:rsidRPr="0003585B">
                <w:rPr>
                  <w:rFonts w:cs="Arial"/>
                  <w:sz w:val="20"/>
                  <w:szCs w:val="20"/>
                </w:rPr>
                <w:t>2019</w:t>
              </w:r>
              <w:r w:rsidRPr="0003585B">
                <w:rPr>
                  <w:rFonts w:cs="Arial" w:hint="eastAsia"/>
                  <w:sz w:val="20"/>
                  <w:szCs w:val="20"/>
                </w:rPr>
                <w:t>年</w:t>
              </w:r>
              <w:r w:rsidRPr="0003585B">
                <w:rPr>
                  <w:rFonts w:cs="Arial"/>
                  <w:sz w:val="20"/>
                  <w:szCs w:val="20"/>
                </w:rPr>
                <w:t>6</w:t>
              </w:r>
              <w:r w:rsidRPr="0003585B">
                <w:rPr>
                  <w:rFonts w:cs="Arial" w:hint="eastAsia"/>
                  <w:sz w:val="20"/>
                  <w:szCs w:val="20"/>
                </w:rPr>
                <w:t>月</w:t>
              </w:r>
              <w:r w:rsidRPr="0003585B">
                <w:rPr>
                  <w:rFonts w:cs="Arial"/>
                  <w:sz w:val="20"/>
                  <w:szCs w:val="20"/>
                </w:rPr>
                <w:t>30</w:t>
              </w:r>
              <w:r w:rsidRPr="0003585B">
                <w:rPr>
                  <w:rFonts w:cs="Arial" w:hint="eastAsia"/>
                  <w:sz w:val="20"/>
                  <w:szCs w:val="20"/>
                </w:rPr>
                <w:t>日</w:t>
              </w:r>
            </w:p>
            <w:p w:rsidR="00B637B2" w:rsidRPr="0003585B" w:rsidRDefault="00B637B2" w:rsidP="00B637B2">
              <w:pPr>
                <w:overflowPunct w:val="0"/>
                <w:autoSpaceDE w:val="0"/>
                <w:autoSpaceDN w:val="0"/>
                <w:adjustRightInd w:val="0"/>
                <w:snapToGrid w:val="0"/>
                <w:ind w:left="720" w:hanging="720"/>
                <w:jc w:val="both"/>
                <w:rPr>
                  <w:rFonts w:cs="Arial"/>
                  <w:snapToGrid w:val="0"/>
                  <w:sz w:val="20"/>
                  <w:szCs w:val="20"/>
                </w:rPr>
              </w:pPr>
            </w:p>
            <w:p w:rsidR="00B637B2" w:rsidRPr="0003585B" w:rsidRDefault="008F04CF" w:rsidP="00B637B2">
              <w:pPr>
                <w:tabs>
                  <w:tab w:val="left" w:pos="2520"/>
                  <w:tab w:val="decimal" w:pos="5250"/>
                  <w:tab w:val="decimal" w:pos="6510"/>
                  <w:tab w:val="decimal" w:pos="7035"/>
                  <w:tab w:val="decimal" w:pos="8295"/>
                </w:tabs>
                <w:overflowPunct w:val="0"/>
                <w:autoSpaceDE w:val="0"/>
                <w:autoSpaceDN w:val="0"/>
                <w:adjustRightInd w:val="0"/>
                <w:snapToGrid w:val="0"/>
                <w:ind w:left="720" w:hanging="720"/>
                <w:jc w:val="both"/>
                <w:rPr>
                  <w:rFonts w:cs="Arial"/>
                  <w:snapToGrid w:val="0"/>
                  <w:sz w:val="20"/>
                  <w:szCs w:val="20"/>
                </w:rPr>
              </w:pPr>
              <w:r w:rsidRPr="0003585B">
                <w:rPr>
                  <w:rFonts w:cs="Arial" w:hint="eastAsia"/>
                  <w:snapToGrid w:val="0"/>
                  <w:sz w:val="20"/>
                  <w:szCs w:val="20"/>
                </w:rPr>
                <w:t>金融资产</w:t>
              </w:r>
            </w:p>
            <w:p w:rsidR="00B637B2" w:rsidRPr="0003585B" w:rsidRDefault="00B637B2" w:rsidP="00B637B2">
              <w:pPr>
                <w:tabs>
                  <w:tab w:val="left" w:pos="2520"/>
                  <w:tab w:val="decimal" w:pos="5250"/>
                  <w:tab w:val="decimal" w:pos="6510"/>
                  <w:tab w:val="decimal" w:pos="7035"/>
                  <w:tab w:val="decimal" w:pos="8295"/>
                </w:tabs>
                <w:overflowPunct w:val="0"/>
                <w:autoSpaceDE w:val="0"/>
                <w:autoSpaceDN w:val="0"/>
                <w:adjustRightInd w:val="0"/>
                <w:snapToGrid w:val="0"/>
                <w:rPr>
                  <w:rFonts w:cs="Arial"/>
                  <w:snapToGrid w:val="0"/>
                  <w:sz w:val="20"/>
                  <w:szCs w:val="20"/>
                </w:rPr>
              </w:pPr>
            </w:p>
            <w:tbl>
              <w:tblPr>
                <w:tblStyle w:val="g35"/>
                <w:tblW w:w="5000" w:type="pct"/>
                <w:tblCellMar>
                  <w:left w:w="0" w:type="dxa"/>
                  <w:right w:w="0" w:type="dxa"/>
                </w:tblCellMar>
                <w:tblLook w:val="04A0" w:firstRow="1" w:lastRow="0" w:firstColumn="1" w:lastColumn="0" w:noHBand="0" w:noVBand="1"/>
                <w:tblCaption w:val="金融工具分类_金融资产PY"/>
              </w:tblPr>
              <w:tblGrid>
                <w:gridCol w:w="2846"/>
                <w:gridCol w:w="1957"/>
                <w:gridCol w:w="1716"/>
                <w:gridCol w:w="1794"/>
              </w:tblGrid>
              <w:tr w:rsidR="00B637B2" w:rsidRPr="0003585B" w:rsidTr="00B637B2">
                <w:tc>
                  <w:tcPr>
                    <w:tcW w:w="1712" w:type="pct"/>
                    <w:noWrap/>
                    <w:vAlign w:val="bottom"/>
                    <w:hideMark/>
                  </w:tcPr>
                  <w:p w:rsidR="00B637B2" w:rsidRPr="0003585B" w:rsidRDefault="00B637B2" w:rsidP="00B637B2">
                    <w:pPr>
                      <w:rPr>
                        <w:rFonts w:cs="Arial"/>
                        <w:snapToGrid w:val="0"/>
                        <w:sz w:val="20"/>
                        <w:szCs w:val="20"/>
                      </w:rPr>
                    </w:pPr>
                  </w:p>
                </w:tc>
                <w:tc>
                  <w:tcPr>
                    <w:tcW w:w="1177" w:type="pct"/>
                    <w:hideMark/>
                  </w:tcPr>
                  <w:p w:rsidR="00B637B2" w:rsidRPr="0003585B" w:rsidRDefault="008F04CF" w:rsidP="00B637B2">
                    <w:pPr>
                      <w:kinsoku w:val="0"/>
                      <w:overflowPunct w:val="0"/>
                      <w:autoSpaceDE w:val="0"/>
                      <w:autoSpaceDN w:val="0"/>
                      <w:adjustRightInd w:val="0"/>
                      <w:snapToGrid w:val="0"/>
                      <w:jc w:val="right"/>
                      <w:rPr>
                        <w:rFonts w:cs="Arial"/>
                        <w:color w:val="000000"/>
                        <w:sz w:val="20"/>
                        <w:szCs w:val="20"/>
                      </w:rPr>
                    </w:pPr>
                    <w:r w:rsidRPr="0003585B">
                      <w:rPr>
                        <w:rFonts w:cs="Arial" w:hint="eastAsia"/>
                        <w:color w:val="000000"/>
                        <w:sz w:val="20"/>
                        <w:szCs w:val="20"/>
                      </w:rPr>
                      <w:t>以公允价值计量且</w:t>
                    </w:r>
                  </w:p>
                </w:tc>
                <w:tc>
                  <w:tcPr>
                    <w:tcW w:w="1032" w:type="pct"/>
                    <w:noWrap/>
                    <w:vAlign w:val="bottom"/>
                    <w:hideMark/>
                  </w:tcPr>
                  <w:p w:rsidR="00B637B2" w:rsidRPr="0003585B" w:rsidRDefault="008F04CF" w:rsidP="00B637B2">
                    <w:pPr>
                      <w:kinsoku w:val="0"/>
                      <w:overflowPunct w:val="0"/>
                      <w:autoSpaceDE w:val="0"/>
                      <w:autoSpaceDN w:val="0"/>
                      <w:adjustRightInd w:val="0"/>
                      <w:snapToGrid w:val="0"/>
                      <w:jc w:val="right"/>
                      <w:rPr>
                        <w:rFonts w:cs="Arial"/>
                        <w:color w:val="000000"/>
                        <w:sz w:val="20"/>
                        <w:szCs w:val="20"/>
                      </w:rPr>
                    </w:pPr>
                    <w:r w:rsidRPr="0003585B">
                      <w:rPr>
                        <w:rFonts w:cs="Arial" w:hint="eastAsia"/>
                        <w:color w:val="000000"/>
                        <w:sz w:val="20"/>
                        <w:szCs w:val="20"/>
                      </w:rPr>
                      <w:t>以摊余成本计量</w:t>
                    </w:r>
                  </w:p>
                </w:tc>
                <w:tc>
                  <w:tcPr>
                    <w:tcW w:w="1079" w:type="pct"/>
                    <w:noWrap/>
                    <w:vAlign w:val="bottom"/>
                    <w:hideMark/>
                  </w:tcPr>
                  <w:p w:rsidR="00B637B2" w:rsidRPr="0003585B" w:rsidRDefault="008F04CF" w:rsidP="00B637B2">
                    <w:pPr>
                      <w:kinsoku w:val="0"/>
                      <w:overflowPunct w:val="0"/>
                      <w:autoSpaceDE w:val="0"/>
                      <w:autoSpaceDN w:val="0"/>
                      <w:adjustRightInd w:val="0"/>
                      <w:snapToGrid w:val="0"/>
                      <w:jc w:val="right"/>
                      <w:rPr>
                        <w:rFonts w:cs="Arial"/>
                        <w:color w:val="000000"/>
                        <w:sz w:val="20"/>
                        <w:szCs w:val="20"/>
                      </w:rPr>
                    </w:pPr>
                    <w:r w:rsidRPr="0003585B">
                      <w:rPr>
                        <w:rFonts w:cs="Arial" w:hint="eastAsia"/>
                        <w:color w:val="000000"/>
                        <w:sz w:val="20"/>
                        <w:szCs w:val="20"/>
                      </w:rPr>
                      <w:t>合计</w:t>
                    </w:r>
                  </w:p>
                </w:tc>
              </w:tr>
              <w:tr w:rsidR="00B637B2" w:rsidRPr="0003585B" w:rsidTr="00B637B2">
                <w:tc>
                  <w:tcPr>
                    <w:tcW w:w="1712" w:type="pct"/>
                    <w:noWrap/>
                    <w:vAlign w:val="bottom"/>
                    <w:hideMark/>
                  </w:tcPr>
                  <w:p w:rsidR="00B637B2" w:rsidRPr="0003585B" w:rsidRDefault="008F04CF" w:rsidP="00B637B2">
                    <w:pPr>
                      <w:kinsoku w:val="0"/>
                      <w:overflowPunct w:val="0"/>
                      <w:autoSpaceDE w:val="0"/>
                      <w:autoSpaceDN w:val="0"/>
                      <w:adjustRightInd w:val="0"/>
                      <w:snapToGrid w:val="0"/>
                      <w:jc w:val="right"/>
                      <w:rPr>
                        <w:rFonts w:cs="Arial"/>
                        <w:sz w:val="20"/>
                        <w:szCs w:val="20"/>
                      </w:rPr>
                    </w:pPr>
                    <w:r w:rsidRPr="0003585B">
                      <w:rPr>
                        <w:rFonts w:cs="Arial"/>
                        <w:sz w:val="20"/>
                        <w:szCs w:val="20"/>
                      </w:rPr>
                      <w:t xml:space="preserve"> </w:t>
                    </w:r>
                  </w:p>
                </w:tc>
                <w:tc>
                  <w:tcPr>
                    <w:tcW w:w="1177" w:type="pct"/>
                    <w:hideMark/>
                  </w:tcPr>
                  <w:p w:rsidR="00B637B2" w:rsidRPr="0003585B" w:rsidRDefault="008F04CF" w:rsidP="00B637B2">
                    <w:pPr>
                      <w:kinsoku w:val="0"/>
                      <w:overflowPunct w:val="0"/>
                      <w:autoSpaceDE w:val="0"/>
                      <w:autoSpaceDN w:val="0"/>
                      <w:adjustRightInd w:val="0"/>
                      <w:snapToGrid w:val="0"/>
                      <w:jc w:val="right"/>
                      <w:rPr>
                        <w:rFonts w:cs="Arial"/>
                        <w:color w:val="000000"/>
                        <w:sz w:val="20"/>
                        <w:szCs w:val="20"/>
                      </w:rPr>
                    </w:pPr>
                    <w:r w:rsidRPr="0003585B">
                      <w:rPr>
                        <w:rFonts w:cs="Arial" w:hint="eastAsia"/>
                        <w:color w:val="000000"/>
                        <w:sz w:val="20"/>
                        <w:szCs w:val="20"/>
                      </w:rPr>
                      <w:t>其变动计入当期损</w:t>
                    </w:r>
                  </w:p>
                </w:tc>
                <w:tc>
                  <w:tcPr>
                    <w:tcW w:w="1032" w:type="pct"/>
                    <w:noWrap/>
                    <w:vAlign w:val="bottom"/>
                    <w:hideMark/>
                  </w:tcPr>
                  <w:p w:rsidR="00B637B2" w:rsidRPr="0003585B" w:rsidRDefault="008F04CF" w:rsidP="00B637B2">
                    <w:pPr>
                      <w:kinsoku w:val="0"/>
                      <w:overflowPunct w:val="0"/>
                      <w:autoSpaceDE w:val="0"/>
                      <w:autoSpaceDN w:val="0"/>
                      <w:adjustRightInd w:val="0"/>
                      <w:snapToGrid w:val="0"/>
                      <w:jc w:val="right"/>
                      <w:rPr>
                        <w:rFonts w:cs="Arial"/>
                        <w:color w:val="000000"/>
                        <w:sz w:val="20"/>
                        <w:szCs w:val="20"/>
                      </w:rPr>
                    </w:pPr>
                    <w:r w:rsidRPr="0003585B">
                      <w:rPr>
                        <w:rFonts w:cs="Arial" w:hint="eastAsia"/>
                        <w:color w:val="000000"/>
                        <w:sz w:val="20"/>
                        <w:szCs w:val="20"/>
                      </w:rPr>
                      <w:t>的金融资产</w:t>
                    </w:r>
                  </w:p>
                </w:tc>
                <w:tc>
                  <w:tcPr>
                    <w:tcW w:w="1079" w:type="pct"/>
                    <w:noWrap/>
                    <w:vAlign w:val="bottom"/>
                    <w:hideMark/>
                  </w:tcPr>
                  <w:p w:rsidR="00B637B2" w:rsidRPr="0003585B" w:rsidRDefault="008F04CF" w:rsidP="00B637B2">
                    <w:pPr>
                      <w:kinsoku w:val="0"/>
                      <w:overflowPunct w:val="0"/>
                      <w:autoSpaceDE w:val="0"/>
                      <w:autoSpaceDN w:val="0"/>
                      <w:adjustRightInd w:val="0"/>
                      <w:snapToGrid w:val="0"/>
                      <w:jc w:val="right"/>
                      <w:rPr>
                        <w:rFonts w:cs="Arial"/>
                        <w:color w:val="000000"/>
                        <w:sz w:val="20"/>
                        <w:szCs w:val="20"/>
                      </w:rPr>
                    </w:pPr>
                    <w:r w:rsidRPr="0003585B">
                      <w:rPr>
                        <w:rFonts w:cs="Arial"/>
                        <w:color w:val="000000"/>
                        <w:sz w:val="20"/>
                        <w:szCs w:val="20"/>
                      </w:rPr>
                      <w:t xml:space="preserve"> </w:t>
                    </w:r>
                  </w:p>
                </w:tc>
              </w:tr>
              <w:tr w:rsidR="00B637B2" w:rsidRPr="0003585B" w:rsidTr="00B637B2">
                <w:tc>
                  <w:tcPr>
                    <w:tcW w:w="1712" w:type="pct"/>
                    <w:noWrap/>
                    <w:vAlign w:val="bottom"/>
                    <w:hideMark/>
                  </w:tcPr>
                  <w:p w:rsidR="00B637B2" w:rsidRPr="0003585B" w:rsidRDefault="008F04CF" w:rsidP="00B637B2">
                    <w:pPr>
                      <w:kinsoku w:val="0"/>
                      <w:overflowPunct w:val="0"/>
                      <w:autoSpaceDE w:val="0"/>
                      <w:autoSpaceDN w:val="0"/>
                      <w:adjustRightInd w:val="0"/>
                      <w:snapToGrid w:val="0"/>
                      <w:jc w:val="right"/>
                      <w:rPr>
                        <w:rFonts w:cs="Arial"/>
                        <w:sz w:val="20"/>
                        <w:szCs w:val="20"/>
                      </w:rPr>
                    </w:pPr>
                    <w:r w:rsidRPr="0003585B">
                      <w:rPr>
                        <w:rFonts w:cs="Arial"/>
                        <w:sz w:val="20"/>
                        <w:szCs w:val="20"/>
                      </w:rPr>
                      <w:t xml:space="preserve"> </w:t>
                    </w:r>
                  </w:p>
                </w:tc>
                <w:tc>
                  <w:tcPr>
                    <w:tcW w:w="1177" w:type="pct"/>
                    <w:hideMark/>
                  </w:tcPr>
                  <w:p w:rsidR="00B637B2" w:rsidRPr="0003585B" w:rsidRDefault="008F04CF" w:rsidP="00B637B2">
                    <w:pPr>
                      <w:kinsoku w:val="0"/>
                      <w:overflowPunct w:val="0"/>
                      <w:autoSpaceDE w:val="0"/>
                      <w:autoSpaceDN w:val="0"/>
                      <w:adjustRightInd w:val="0"/>
                      <w:snapToGrid w:val="0"/>
                      <w:jc w:val="right"/>
                      <w:rPr>
                        <w:rFonts w:cs="Arial"/>
                        <w:color w:val="000000"/>
                        <w:sz w:val="20"/>
                        <w:szCs w:val="20"/>
                      </w:rPr>
                    </w:pPr>
                    <w:r w:rsidRPr="0003585B">
                      <w:rPr>
                        <w:rFonts w:cs="Arial" w:hint="eastAsia"/>
                        <w:color w:val="000000"/>
                        <w:sz w:val="20"/>
                        <w:szCs w:val="20"/>
                      </w:rPr>
                      <w:t>益的金融资产</w:t>
                    </w:r>
                  </w:p>
                </w:tc>
                <w:tc>
                  <w:tcPr>
                    <w:tcW w:w="1032" w:type="pct"/>
                    <w:noWrap/>
                    <w:vAlign w:val="bottom"/>
                  </w:tcPr>
                  <w:p w:rsidR="00B637B2" w:rsidRPr="0003585B" w:rsidRDefault="00B637B2" w:rsidP="00B637B2">
                    <w:pPr>
                      <w:kinsoku w:val="0"/>
                      <w:overflowPunct w:val="0"/>
                      <w:autoSpaceDE w:val="0"/>
                      <w:autoSpaceDN w:val="0"/>
                      <w:adjustRightInd w:val="0"/>
                      <w:snapToGrid w:val="0"/>
                      <w:jc w:val="right"/>
                      <w:rPr>
                        <w:rFonts w:cs="Arial"/>
                        <w:color w:val="000000"/>
                        <w:sz w:val="20"/>
                        <w:szCs w:val="20"/>
                      </w:rPr>
                    </w:pPr>
                  </w:p>
                </w:tc>
                <w:tc>
                  <w:tcPr>
                    <w:tcW w:w="1079" w:type="pct"/>
                    <w:noWrap/>
                    <w:vAlign w:val="bottom"/>
                  </w:tcPr>
                  <w:p w:rsidR="00B637B2" w:rsidRPr="0003585B" w:rsidRDefault="00B637B2" w:rsidP="00B637B2">
                    <w:pPr>
                      <w:kinsoku w:val="0"/>
                      <w:overflowPunct w:val="0"/>
                      <w:autoSpaceDE w:val="0"/>
                      <w:autoSpaceDN w:val="0"/>
                      <w:adjustRightInd w:val="0"/>
                      <w:snapToGrid w:val="0"/>
                      <w:jc w:val="right"/>
                      <w:rPr>
                        <w:rFonts w:cs="Arial"/>
                        <w:color w:val="000000"/>
                        <w:sz w:val="20"/>
                        <w:szCs w:val="20"/>
                      </w:rPr>
                    </w:pPr>
                  </w:p>
                </w:tc>
              </w:tr>
              <w:tr w:rsidR="00B637B2" w:rsidRPr="0003585B" w:rsidTr="00B637B2">
                <w:tc>
                  <w:tcPr>
                    <w:tcW w:w="1712" w:type="pct"/>
                    <w:noWrap/>
                    <w:vAlign w:val="bottom"/>
                  </w:tcPr>
                  <w:p w:rsidR="00B637B2" w:rsidRPr="0003585B" w:rsidRDefault="00B637B2" w:rsidP="00B637B2">
                    <w:pPr>
                      <w:kinsoku w:val="0"/>
                      <w:overflowPunct w:val="0"/>
                      <w:autoSpaceDE w:val="0"/>
                      <w:autoSpaceDN w:val="0"/>
                      <w:adjustRightInd w:val="0"/>
                      <w:snapToGrid w:val="0"/>
                      <w:jc w:val="right"/>
                      <w:rPr>
                        <w:rFonts w:cs="Arial"/>
                        <w:sz w:val="20"/>
                        <w:szCs w:val="20"/>
                      </w:rPr>
                    </w:pPr>
                  </w:p>
                </w:tc>
                <w:tc>
                  <w:tcPr>
                    <w:tcW w:w="1177" w:type="pct"/>
                  </w:tcPr>
                  <w:p w:rsidR="00B637B2" w:rsidRPr="0003585B" w:rsidRDefault="00B637B2" w:rsidP="00B637B2">
                    <w:pPr>
                      <w:kinsoku w:val="0"/>
                      <w:overflowPunct w:val="0"/>
                      <w:autoSpaceDE w:val="0"/>
                      <w:autoSpaceDN w:val="0"/>
                      <w:adjustRightInd w:val="0"/>
                      <w:snapToGrid w:val="0"/>
                      <w:jc w:val="right"/>
                      <w:rPr>
                        <w:rFonts w:cs="Arial"/>
                        <w:color w:val="000000"/>
                        <w:sz w:val="20"/>
                        <w:szCs w:val="20"/>
                      </w:rPr>
                    </w:pPr>
                  </w:p>
                </w:tc>
                <w:tc>
                  <w:tcPr>
                    <w:tcW w:w="1032" w:type="pct"/>
                    <w:noWrap/>
                    <w:vAlign w:val="bottom"/>
                  </w:tcPr>
                  <w:p w:rsidR="00B637B2" w:rsidRPr="0003585B" w:rsidRDefault="00B637B2" w:rsidP="00B637B2">
                    <w:pPr>
                      <w:kinsoku w:val="0"/>
                      <w:overflowPunct w:val="0"/>
                      <w:autoSpaceDE w:val="0"/>
                      <w:autoSpaceDN w:val="0"/>
                      <w:adjustRightInd w:val="0"/>
                      <w:snapToGrid w:val="0"/>
                      <w:jc w:val="right"/>
                      <w:rPr>
                        <w:rFonts w:cs="Arial"/>
                        <w:color w:val="000000"/>
                        <w:sz w:val="20"/>
                        <w:szCs w:val="20"/>
                      </w:rPr>
                    </w:pPr>
                  </w:p>
                </w:tc>
                <w:tc>
                  <w:tcPr>
                    <w:tcW w:w="1079" w:type="pct"/>
                    <w:noWrap/>
                    <w:vAlign w:val="bottom"/>
                  </w:tcPr>
                  <w:p w:rsidR="00B637B2" w:rsidRPr="0003585B" w:rsidRDefault="00B637B2" w:rsidP="00B637B2">
                    <w:pPr>
                      <w:kinsoku w:val="0"/>
                      <w:overflowPunct w:val="0"/>
                      <w:autoSpaceDE w:val="0"/>
                      <w:autoSpaceDN w:val="0"/>
                      <w:adjustRightInd w:val="0"/>
                      <w:snapToGrid w:val="0"/>
                      <w:jc w:val="right"/>
                      <w:rPr>
                        <w:rFonts w:cs="Arial"/>
                        <w:color w:val="000000"/>
                        <w:sz w:val="20"/>
                        <w:szCs w:val="20"/>
                      </w:rPr>
                    </w:pPr>
                  </w:p>
                </w:tc>
              </w:tr>
              <w:tr w:rsidR="00B637B2" w:rsidRPr="0003585B" w:rsidTr="00B637B2">
                <w:tc>
                  <w:tcPr>
                    <w:tcW w:w="1712" w:type="pct"/>
                    <w:noWrap/>
                    <w:vAlign w:val="bottom"/>
                    <w:hideMark/>
                  </w:tcPr>
                  <w:p w:rsidR="00B637B2" w:rsidRPr="0003585B" w:rsidRDefault="008F04CF" w:rsidP="00B637B2">
                    <w:pPr>
                      <w:kinsoku w:val="0"/>
                      <w:overflowPunct w:val="0"/>
                      <w:autoSpaceDE w:val="0"/>
                      <w:autoSpaceDN w:val="0"/>
                      <w:adjustRightInd w:val="0"/>
                      <w:snapToGrid w:val="0"/>
                      <w:jc w:val="right"/>
                      <w:rPr>
                        <w:rFonts w:cs="Arial"/>
                        <w:sz w:val="20"/>
                        <w:szCs w:val="20"/>
                      </w:rPr>
                    </w:pPr>
                    <w:r w:rsidRPr="0003585B">
                      <w:rPr>
                        <w:rFonts w:cs="Arial"/>
                        <w:sz w:val="20"/>
                        <w:szCs w:val="20"/>
                      </w:rPr>
                      <w:t xml:space="preserve"> </w:t>
                    </w:r>
                  </w:p>
                </w:tc>
                <w:tc>
                  <w:tcPr>
                    <w:tcW w:w="1177" w:type="pct"/>
                  </w:tcPr>
                  <w:p w:rsidR="00B637B2" w:rsidRPr="0003585B" w:rsidRDefault="00B637B2" w:rsidP="00B637B2">
                    <w:pPr>
                      <w:kinsoku w:val="0"/>
                      <w:overflowPunct w:val="0"/>
                      <w:autoSpaceDE w:val="0"/>
                      <w:autoSpaceDN w:val="0"/>
                      <w:adjustRightInd w:val="0"/>
                      <w:snapToGrid w:val="0"/>
                      <w:jc w:val="right"/>
                      <w:rPr>
                        <w:rFonts w:cs="Arial"/>
                        <w:color w:val="000000"/>
                        <w:sz w:val="20"/>
                        <w:szCs w:val="20"/>
                      </w:rPr>
                    </w:pPr>
                  </w:p>
                </w:tc>
                <w:tc>
                  <w:tcPr>
                    <w:tcW w:w="1032" w:type="pct"/>
                    <w:noWrap/>
                    <w:vAlign w:val="bottom"/>
                  </w:tcPr>
                  <w:p w:rsidR="00B637B2" w:rsidRPr="0003585B" w:rsidRDefault="00B637B2" w:rsidP="00B637B2">
                    <w:pPr>
                      <w:kinsoku w:val="0"/>
                      <w:overflowPunct w:val="0"/>
                      <w:autoSpaceDE w:val="0"/>
                      <w:autoSpaceDN w:val="0"/>
                      <w:adjustRightInd w:val="0"/>
                      <w:snapToGrid w:val="0"/>
                      <w:jc w:val="right"/>
                      <w:rPr>
                        <w:rFonts w:cs="Arial"/>
                        <w:color w:val="000000"/>
                        <w:sz w:val="20"/>
                        <w:szCs w:val="20"/>
                      </w:rPr>
                    </w:pPr>
                  </w:p>
                </w:tc>
                <w:tc>
                  <w:tcPr>
                    <w:tcW w:w="1079" w:type="pct"/>
                    <w:noWrap/>
                    <w:vAlign w:val="bottom"/>
                  </w:tcPr>
                  <w:p w:rsidR="00B637B2" w:rsidRPr="0003585B" w:rsidRDefault="00B637B2" w:rsidP="00B637B2">
                    <w:pPr>
                      <w:kinsoku w:val="0"/>
                      <w:overflowPunct w:val="0"/>
                      <w:autoSpaceDE w:val="0"/>
                      <w:autoSpaceDN w:val="0"/>
                      <w:adjustRightInd w:val="0"/>
                      <w:snapToGrid w:val="0"/>
                      <w:jc w:val="right"/>
                      <w:rPr>
                        <w:rFonts w:cs="Arial"/>
                        <w:color w:val="000000"/>
                        <w:sz w:val="20"/>
                        <w:szCs w:val="20"/>
                      </w:rPr>
                    </w:pPr>
                  </w:p>
                </w:tc>
              </w:tr>
              <w:tr w:rsidR="00B637B2" w:rsidRPr="0003585B" w:rsidTr="00B637B2">
                <w:tc>
                  <w:tcPr>
                    <w:tcW w:w="1712" w:type="pct"/>
                    <w:noWrap/>
                    <w:vAlign w:val="bottom"/>
                    <w:hideMark/>
                  </w:tcPr>
                  <w:p w:rsidR="00B637B2" w:rsidRPr="0003585B" w:rsidRDefault="008F04CF" w:rsidP="00B637B2">
                    <w:pPr>
                      <w:kinsoku w:val="0"/>
                      <w:overflowPunct w:val="0"/>
                      <w:autoSpaceDE w:val="0"/>
                      <w:autoSpaceDN w:val="0"/>
                      <w:adjustRightInd w:val="0"/>
                      <w:snapToGrid w:val="0"/>
                      <w:rPr>
                        <w:rFonts w:cs="Arial"/>
                        <w:sz w:val="20"/>
                        <w:szCs w:val="20"/>
                      </w:rPr>
                    </w:pPr>
                    <w:r w:rsidRPr="0003585B">
                      <w:rPr>
                        <w:rFonts w:cs="Arial" w:hint="eastAsia"/>
                        <w:sz w:val="20"/>
                        <w:szCs w:val="20"/>
                      </w:rPr>
                      <w:t>货币资金</w:t>
                    </w:r>
                  </w:p>
                </w:tc>
                <w:tc>
                  <w:tcPr>
                    <w:tcW w:w="1177" w:type="pct"/>
                    <w:vAlign w:val="bottom"/>
                    <w:hideMark/>
                  </w:tcPr>
                  <w:p w:rsidR="00B637B2" w:rsidRPr="0003585B" w:rsidRDefault="008F04CF" w:rsidP="00B637B2">
                    <w:pPr>
                      <w:kinsoku w:val="0"/>
                      <w:overflowPunct w:val="0"/>
                      <w:autoSpaceDE w:val="0"/>
                      <w:autoSpaceDN w:val="0"/>
                      <w:adjustRightInd w:val="0"/>
                      <w:snapToGrid w:val="0"/>
                      <w:jc w:val="right"/>
                      <w:rPr>
                        <w:rFonts w:cs="Arial"/>
                        <w:color w:val="000000"/>
                        <w:sz w:val="20"/>
                        <w:szCs w:val="20"/>
                      </w:rPr>
                    </w:pPr>
                    <w:r w:rsidRPr="0003585B">
                      <w:rPr>
                        <w:rFonts w:cs="Arial"/>
                        <w:color w:val="000000"/>
                        <w:sz w:val="20"/>
                        <w:szCs w:val="20"/>
                      </w:rPr>
                      <w:t>-</w:t>
                    </w:r>
                  </w:p>
                </w:tc>
                <w:tc>
                  <w:tcPr>
                    <w:tcW w:w="1032" w:type="pct"/>
                    <w:noWrap/>
                    <w:vAlign w:val="bottom"/>
                    <w:hideMark/>
                  </w:tcPr>
                  <w:p w:rsidR="00B637B2" w:rsidRPr="0003585B" w:rsidRDefault="008F04CF" w:rsidP="00B637B2">
                    <w:pPr>
                      <w:kinsoku w:val="0"/>
                      <w:overflowPunct w:val="0"/>
                      <w:autoSpaceDE w:val="0"/>
                      <w:autoSpaceDN w:val="0"/>
                      <w:adjustRightInd w:val="0"/>
                      <w:snapToGrid w:val="0"/>
                      <w:jc w:val="right"/>
                      <w:rPr>
                        <w:rFonts w:cs="Arial"/>
                        <w:color w:val="000000"/>
                        <w:sz w:val="20"/>
                        <w:szCs w:val="20"/>
                      </w:rPr>
                    </w:pPr>
                    <w:r w:rsidRPr="0003585B">
                      <w:rPr>
                        <w:rFonts w:cs="Arial"/>
                        <w:color w:val="000000"/>
                        <w:sz w:val="20"/>
                        <w:szCs w:val="20"/>
                      </w:rPr>
                      <w:t>4,440,702,448</w:t>
                    </w:r>
                  </w:p>
                </w:tc>
                <w:tc>
                  <w:tcPr>
                    <w:tcW w:w="1079" w:type="pct"/>
                    <w:noWrap/>
                    <w:vAlign w:val="bottom"/>
                    <w:hideMark/>
                  </w:tcPr>
                  <w:p w:rsidR="00B637B2" w:rsidRPr="0003585B" w:rsidRDefault="008F04CF" w:rsidP="00B637B2">
                    <w:pPr>
                      <w:kinsoku w:val="0"/>
                      <w:overflowPunct w:val="0"/>
                      <w:autoSpaceDE w:val="0"/>
                      <w:autoSpaceDN w:val="0"/>
                      <w:adjustRightInd w:val="0"/>
                      <w:snapToGrid w:val="0"/>
                      <w:jc w:val="right"/>
                      <w:rPr>
                        <w:rFonts w:cs="Arial"/>
                        <w:color w:val="000000"/>
                        <w:sz w:val="20"/>
                        <w:szCs w:val="20"/>
                      </w:rPr>
                    </w:pPr>
                    <w:r w:rsidRPr="0003585B">
                      <w:rPr>
                        <w:rFonts w:cs="Arial"/>
                        <w:color w:val="000000"/>
                        <w:sz w:val="20"/>
                        <w:szCs w:val="20"/>
                      </w:rPr>
                      <w:t>4,440,702,448</w:t>
                    </w:r>
                  </w:p>
                </w:tc>
              </w:tr>
              <w:tr w:rsidR="00B637B2" w:rsidRPr="0003585B" w:rsidTr="00B637B2">
                <w:tc>
                  <w:tcPr>
                    <w:tcW w:w="1712" w:type="pct"/>
                    <w:noWrap/>
                    <w:vAlign w:val="bottom"/>
                    <w:hideMark/>
                  </w:tcPr>
                  <w:p w:rsidR="00B637B2" w:rsidRPr="0003585B" w:rsidRDefault="008F04CF" w:rsidP="00B637B2">
                    <w:pPr>
                      <w:kinsoku w:val="0"/>
                      <w:overflowPunct w:val="0"/>
                      <w:autoSpaceDE w:val="0"/>
                      <w:autoSpaceDN w:val="0"/>
                      <w:adjustRightInd w:val="0"/>
                      <w:snapToGrid w:val="0"/>
                      <w:rPr>
                        <w:rFonts w:cs="Arial"/>
                        <w:sz w:val="20"/>
                        <w:szCs w:val="20"/>
                      </w:rPr>
                    </w:pPr>
                    <w:r w:rsidRPr="0003585B">
                      <w:rPr>
                        <w:rFonts w:cs="Arial" w:hint="eastAsia"/>
                        <w:sz w:val="20"/>
                        <w:szCs w:val="20"/>
                      </w:rPr>
                      <w:t>应收票据</w:t>
                    </w:r>
                  </w:p>
                </w:tc>
                <w:tc>
                  <w:tcPr>
                    <w:tcW w:w="1177" w:type="pct"/>
                    <w:vAlign w:val="bottom"/>
                    <w:hideMark/>
                  </w:tcPr>
                  <w:p w:rsidR="00B637B2" w:rsidRPr="0003585B" w:rsidRDefault="008F04CF" w:rsidP="00B637B2">
                    <w:pPr>
                      <w:kinsoku w:val="0"/>
                      <w:overflowPunct w:val="0"/>
                      <w:autoSpaceDE w:val="0"/>
                      <w:autoSpaceDN w:val="0"/>
                      <w:adjustRightInd w:val="0"/>
                      <w:snapToGrid w:val="0"/>
                      <w:jc w:val="right"/>
                      <w:rPr>
                        <w:rFonts w:cs="Arial"/>
                        <w:color w:val="000000"/>
                        <w:sz w:val="20"/>
                        <w:szCs w:val="20"/>
                      </w:rPr>
                    </w:pPr>
                    <w:r w:rsidRPr="0003585B">
                      <w:rPr>
                        <w:rFonts w:cs="Arial"/>
                        <w:color w:val="000000"/>
                        <w:sz w:val="20"/>
                        <w:szCs w:val="20"/>
                      </w:rPr>
                      <w:t>-</w:t>
                    </w:r>
                  </w:p>
                </w:tc>
                <w:tc>
                  <w:tcPr>
                    <w:tcW w:w="1032" w:type="pct"/>
                    <w:noWrap/>
                    <w:vAlign w:val="bottom"/>
                    <w:hideMark/>
                  </w:tcPr>
                  <w:p w:rsidR="00B637B2" w:rsidRPr="0003585B" w:rsidRDefault="008F04CF" w:rsidP="00B637B2">
                    <w:pPr>
                      <w:kinsoku w:val="0"/>
                      <w:overflowPunct w:val="0"/>
                      <w:autoSpaceDE w:val="0"/>
                      <w:autoSpaceDN w:val="0"/>
                      <w:adjustRightInd w:val="0"/>
                      <w:snapToGrid w:val="0"/>
                      <w:jc w:val="right"/>
                      <w:rPr>
                        <w:rFonts w:cs="Arial"/>
                        <w:color w:val="000000"/>
                        <w:sz w:val="20"/>
                        <w:szCs w:val="20"/>
                      </w:rPr>
                    </w:pPr>
                    <w:r w:rsidRPr="0003585B">
                      <w:rPr>
                        <w:rFonts w:cs="Arial"/>
                        <w:color w:val="000000"/>
                        <w:sz w:val="20"/>
                        <w:szCs w:val="20"/>
                      </w:rPr>
                      <w:t>87,418,428</w:t>
                    </w:r>
                  </w:p>
                </w:tc>
                <w:tc>
                  <w:tcPr>
                    <w:tcW w:w="1079" w:type="pct"/>
                    <w:noWrap/>
                    <w:vAlign w:val="bottom"/>
                    <w:hideMark/>
                  </w:tcPr>
                  <w:p w:rsidR="00B637B2" w:rsidRPr="0003585B" w:rsidRDefault="008F04CF" w:rsidP="00B637B2">
                    <w:pPr>
                      <w:kinsoku w:val="0"/>
                      <w:overflowPunct w:val="0"/>
                      <w:autoSpaceDE w:val="0"/>
                      <w:autoSpaceDN w:val="0"/>
                      <w:adjustRightInd w:val="0"/>
                      <w:snapToGrid w:val="0"/>
                      <w:jc w:val="right"/>
                      <w:rPr>
                        <w:rFonts w:cs="Arial"/>
                        <w:color w:val="000000"/>
                        <w:sz w:val="20"/>
                        <w:szCs w:val="20"/>
                      </w:rPr>
                    </w:pPr>
                    <w:r w:rsidRPr="0003585B">
                      <w:rPr>
                        <w:rFonts w:cs="Arial"/>
                        <w:color w:val="000000"/>
                        <w:sz w:val="20"/>
                        <w:szCs w:val="20"/>
                      </w:rPr>
                      <w:t>87,418,428</w:t>
                    </w:r>
                  </w:p>
                </w:tc>
              </w:tr>
              <w:tr w:rsidR="00B637B2" w:rsidRPr="0003585B" w:rsidTr="00B637B2">
                <w:tc>
                  <w:tcPr>
                    <w:tcW w:w="1712" w:type="pct"/>
                    <w:noWrap/>
                    <w:vAlign w:val="bottom"/>
                    <w:hideMark/>
                  </w:tcPr>
                  <w:p w:rsidR="00B637B2" w:rsidRPr="0003585B" w:rsidRDefault="008F04CF" w:rsidP="00B637B2">
                    <w:pPr>
                      <w:kinsoku w:val="0"/>
                      <w:overflowPunct w:val="0"/>
                      <w:autoSpaceDE w:val="0"/>
                      <w:autoSpaceDN w:val="0"/>
                      <w:adjustRightInd w:val="0"/>
                      <w:snapToGrid w:val="0"/>
                      <w:rPr>
                        <w:rFonts w:cs="Arial"/>
                        <w:sz w:val="20"/>
                        <w:szCs w:val="20"/>
                      </w:rPr>
                    </w:pPr>
                    <w:r w:rsidRPr="0003585B">
                      <w:rPr>
                        <w:rFonts w:cs="Arial" w:hint="eastAsia"/>
                        <w:sz w:val="20"/>
                        <w:szCs w:val="20"/>
                      </w:rPr>
                      <w:t>应收账款</w:t>
                    </w:r>
                  </w:p>
                </w:tc>
                <w:tc>
                  <w:tcPr>
                    <w:tcW w:w="1177" w:type="pct"/>
                    <w:vAlign w:val="bottom"/>
                    <w:hideMark/>
                  </w:tcPr>
                  <w:p w:rsidR="00B637B2" w:rsidRPr="0003585B" w:rsidRDefault="008F04CF" w:rsidP="00B637B2">
                    <w:pPr>
                      <w:kinsoku w:val="0"/>
                      <w:overflowPunct w:val="0"/>
                      <w:autoSpaceDE w:val="0"/>
                      <w:autoSpaceDN w:val="0"/>
                      <w:adjustRightInd w:val="0"/>
                      <w:snapToGrid w:val="0"/>
                      <w:jc w:val="right"/>
                      <w:rPr>
                        <w:rFonts w:cs="Arial"/>
                        <w:color w:val="000000"/>
                        <w:sz w:val="20"/>
                        <w:szCs w:val="20"/>
                      </w:rPr>
                    </w:pPr>
                    <w:r w:rsidRPr="0003585B">
                      <w:rPr>
                        <w:rFonts w:cs="Arial"/>
                        <w:color w:val="000000"/>
                        <w:sz w:val="20"/>
                        <w:szCs w:val="20"/>
                      </w:rPr>
                      <w:t>-</w:t>
                    </w:r>
                  </w:p>
                </w:tc>
                <w:tc>
                  <w:tcPr>
                    <w:tcW w:w="1032" w:type="pct"/>
                    <w:noWrap/>
                    <w:vAlign w:val="bottom"/>
                    <w:hideMark/>
                  </w:tcPr>
                  <w:p w:rsidR="00B637B2" w:rsidRPr="0003585B" w:rsidRDefault="008F04CF" w:rsidP="00B637B2">
                    <w:pPr>
                      <w:kinsoku w:val="0"/>
                      <w:overflowPunct w:val="0"/>
                      <w:autoSpaceDE w:val="0"/>
                      <w:autoSpaceDN w:val="0"/>
                      <w:adjustRightInd w:val="0"/>
                      <w:snapToGrid w:val="0"/>
                      <w:jc w:val="right"/>
                      <w:rPr>
                        <w:rFonts w:cs="Arial"/>
                        <w:color w:val="000000"/>
                        <w:sz w:val="20"/>
                        <w:szCs w:val="20"/>
                      </w:rPr>
                    </w:pPr>
                    <w:r w:rsidRPr="0003585B">
                      <w:rPr>
                        <w:rFonts w:cs="Arial"/>
                        <w:color w:val="000000"/>
                        <w:sz w:val="20"/>
                        <w:szCs w:val="20"/>
                      </w:rPr>
                      <w:t>1,292,507,917</w:t>
                    </w:r>
                  </w:p>
                </w:tc>
                <w:tc>
                  <w:tcPr>
                    <w:tcW w:w="1079" w:type="pct"/>
                    <w:noWrap/>
                    <w:vAlign w:val="bottom"/>
                    <w:hideMark/>
                  </w:tcPr>
                  <w:p w:rsidR="00B637B2" w:rsidRPr="0003585B" w:rsidRDefault="008F04CF" w:rsidP="00B637B2">
                    <w:pPr>
                      <w:kinsoku w:val="0"/>
                      <w:overflowPunct w:val="0"/>
                      <w:autoSpaceDE w:val="0"/>
                      <w:autoSpaceDN w:val="0"/>
                      <w:adjustRightInd w:val="0"/>
                      <w:snapToGrid w:val="0"/>
                      <w:jc w:val="right"/>
                      <w:rPr>
                        <w:rFonts w:cs="Arial"/>
                        <w:color w:val="000000"/>
                        <w:sz w:val="20"/>
                        <w:szCs w:val="20"/>
                      </w:rPr>
                    </w:pPr>
                    <w:r w:rsidRPr="0003585B">
                      <w:rPr>
                        <w:rFonts w:cs="Arial"/>
                        <w:color w:val="000000"/>
                        <w:sz w:val="20"/>
                        <w:szCs w:val="20"/>
                      </w:rPr>
                      <w:t>1,292,507,917</w:t>
                    </w:r>
                  </w:p>
                </w:tc>
              </w:tr>
              <w:tr w:rsidR="00B637B2" w:rsidRPr="0003585B" w:rsidTr="00B637B2">
                <w:tc>
                  <w:tcPr>
                    <w:tcW w:w="1712" w:type="pct"/>
                    <w:noWrap/>
                    <w:vAlign w:val="bottom"/>
                    <w:hideMark/>
                  </w:tcPr>
                  <w:p w:rsidR="00B637B2" w:rsidRPr="0003585B" w:rsidRDefault="008F04CF" w:rsidP="00B637B2">
                    <w:pPr>
                      <w:kinsoku w:val="0"/>
                      <w:overflowPunct w:val="0"/>
                      <w:autoSpaceDE w:val="0"/>
                      <w:autoSpaceDN w:val="0"/>
                      <w:adjustRightInd w:val="0"/>
                      <w:snapToGrid w:val="0"/>
                      <w:rPr>
                        <w:rFonts w:cs="Arial"/>
                        <w:sz w:val="20"/>
                        <w:szCs w:val="20"/>
                      </w:rPr>
                    </w:pPr>
                    <w:r w:rsidRPr="0003585B">
                      <w:rPr>
                        <w:rFonts w:cs="Arial" w:hint="eastAsia"/>
                        <w:sz w:val="20"/>
                        <w:szCs w:val="20"/>
                      </w:rPr>
                      <w:t>其他应收款</w:t>
                    </w:r>
                  </w:p>
                </w:tc>
                <w:tc>
                  <w:tcPr>
                    <w:tcW w:w="1177" w:type="pct"/>
                    <w:vAlign w:val="bottom"/>
                    <w:hideMark/>
                  </w:tcPr>
                  <w:p w:rsidR="00B637B2" w:rsidRPr="0003585B" w:rsidRDefault="008F04CF" w:rsidP="00B637B2">
                    <w:pPr>
                      <w:kinsoku w:val="0"/>
                      <w:overflowPunct w:val="0"/>
                      <w:autoSpaceDE w:val="0"/>
                      <w:autoSpaceDN w:val="0"/>
                      <w:adjustRightInd w:val="0"/>
                      <w:snapToGrid w:val="0"/>
                      <w:jc w:val="right"/>
                      <w:rPr>
                        <w:rFonts w:cs="Arial"/>
                        <w:color w:val="000000"/>
                        <w:sz w:val="20"/>
                        <w:szCs w:val="20"/>
                      </w:rPr>
                    </w:pPr>
                    <w:r w:rsidRPr="0003585B">
                      <w:rPr>
                        <w:rFonts w:cs="Arial"/>
                        <w:color w:val="000000"/>
                        <w:sz w:val="20"/>
                        <w:szCs w:val="20"/>
                      </w:rPr>
                      <w:t>-</w:t>
                    </w:r>
                  </w:p>
                </w:tc>
                <w:tc>
                  <w:tcPr>
                    <w:tcW w:w="1032" w:type="pct"/>
                    <w:noWrap/>
                    <w:vAlign w:val="bottom"/>
                    <w:hideMark/>
                  </w:tcPr>
                  <w:p w:rsidR="00B637B2" w:rsidRPr="0003585B" w:rsidRDefault="008F04CF" w:rsidP="00B637B2">
                    <w:pPr>
                      <w:kinsoku w:val="0"/>
                      <w:overflowPunct w:val="0"/>
                      <w:autoSpaceDE w:val="0"/>
                      <w:autoSpaceDN w:val="0"/>
                      <w:adjustRightInd w:val="0"/>
                      <w:snapToGrid w:val="0"/>
                      <w:jc w:val="right"/>
                      <w:rPr>
                        <w:rFonts w:cs="Arial"/>
                        <w:color w:val="000000"/>
                        <w:sz w:val="20"/>
                        <w:szCs w:val="20"/>
                      </w:rPr>
                    </w:pPr>
                    <w:r w:rsidRPr="0003585B">
                      <w:rPr>
                        <w:rFonts w:cs="Arial"/>
                        <w:color w:val="000000"/>
                        <w:sz w:val="20"/>
                        <w:szCs w:val="20"/>
                      </w:rPr>
                      <w:t>493,431,071</w:t>
                    </w:r>
                  </w:p>
                </w:tc>
                <w:tc>
                  <w:tcPr>
                    <w:tcW w:w="1079" w:type="pct"/>
                    <w:noWrap/>
                    <w:vAlign w:val="bottom"/>
                    <w:hideMark/>
                  </w:tcPr>
                  <w:p w:rsidR="00B637B2" w:rsidRPr="0003585B" w:rsidRDefault="008F04CF" w:rsidP="00B637B2">
                    <w:pPr>
                      <w:kinsoku w:val="0"/>
                      <w:overflowPunct w:val="0"/>
                      <w:autoSpaceDE w:val="0"/>
                      <w:autoSpaceDN w:val="0"/>
                      <w:adjustRightInd w:val="0"/>
                      <w:snapToGrid w:val="0"/>
                      <w:jc w:val="right"/>
                      <w:rPr>
                        <w:rFonts w:cs="Arial"/>
                        <w:color w:val="000000"/>
                        <w:sz w:val="20"/>
                        <w:szCs w:val="20"/>
                      </w:rPr>
                    </w:pPr>
                    <w:r w:rsidRPr="0003585B">
                      <w:rPr>
                        <w:rFonts w:cs="Arial"/>
                        <w:color w:val="000000"/>
                        <w:sz w:val="20"/>
                        <w:szCs w:val="20"/>
                      </w:rPr>
                      <w:t>493,431,071</w:t>
                    </w:r>
                  </w:p>
                </w:tc>
              </w:tr>
              <w:tr w:rsidR="00B637B2" w:rsidRPr="0003585B" w:rsidTr="00B637B2">
                <w:tc>
                  <w:tcPr>
                    <w:tcW w:w="1712" w:type="pct"/>
                    <w:noWrap/>
                    <w:vAlign w:val="bottom"/>
                    <w:hideMark/>
                  </w:tcPr>
                  <w:p w:rsidR="00B637B2" w:rsidRPr="0003585B" w:rsidRDefault="008F04CF" w:rsidP="00B637B2">
                    <w:pPr>
                      <w:kinsoku w:val="0"/>
                      <w:overflowPunct w:val="0"/>
                      <w:autoSpaceDE w:val="0"/>
                      <w:autoSpaceDN w:val="0"/>
                      <w:adjustRightInd w:val="0"/>
                      <w:snapToGrid w:val="0"/>
                      <w:rPr>
                        <w:rFonts w:cs="Arial"/>
                        <w:sz w:val="20"/>
                        <w:szCs w:val="20"/>
                      </w:rPr>
                    </w:pPr>
                    <w:r w:rsidRPr="0003585B">
                      <w:rPr>
                        <w:rFonts w:cs="Arial" w:hint="eastAsia"/>
                        <w:sz w:val="20"/>
                        <w:szCs w:val="20"/>
                      </w:rPr>
                      <w:t>交易性金融资产</w:t>
                    </w:r>
                  </w:p>
                </w:tc>
                <w:tc>
                  <w:tcPr>
                    <w:tcW w:w="1177" w:type="pct"/>
                    <w:vAlign w:val="bottom"/>
                    <w:hideMark/>
                  </w:tcPr>
                  <w:p w:rsidR="00B637B2" w:rsidRPr="0003585B" w:rsidRDefault="008F04CF" w:rsidP="00B637B2">
                    <w:pPr>
                      <w:kinsoku w:val="0"/>
                      <w:overflowPunct w:val="0"/>
                      <w:autoSpaceDE w:val="0"/>
                      <w:autoSpaceDN w:val="0"/>
                      <w:adjustRightInd w:val="0"/>
                      <w:snapToGrid w:val="0"/>
                      <w:jc w:val="right"/>
                      <w:rPr>
                        <w:rFonts w:cs="Arial"/>
                        <w:color w:val="000000"/>
                        <w:sz w:val="20"/>
                        <w:szCs w:val="20"/>
                      </w:rPr>
                    </w:pPr>
                    <w:r w:rsidRPr="0003585B">
                      <w:rPr>
                        <w:rFonts w:cs="Arial"/>
                        <w:color w:val="000000"/>
                        <w:sz w:val="20"/>
                        <w:szCs w:val="20"/>
                      </w:rPr>
                      <w:t>1,221,635,881</w:t>
                    </w:r>
                  </w:p>
                </w:tc>
                <w:tc>
                  <w:tcPr>
                    <w:tcW w:w="1032" w:type="pct"/>
                    <w:noWrap/>
                    <w:vAlign w:val="bottom"/>
                    <w:hideMark/>
                  </w:tcPr>
                  <w:p w:rsidR="00B637B2" w:rsidRPr="0003585B" w:rsidRDefault="008F04CF" w:rsidP="00B637B2">
                    <w:pPr>
                      <w:kinsoku w:val="0"/>
                      <w:overflowPunct w:val="0"/>
                      <w:autoSpaceDE w:val="0"/>
                      <w:autoSpaceDN w:val="0"/>
                      <w:adjustRightInd w:val="0"/>
                      <w:snapToGrid w:val="0"/>
                      <w:jc w:val="right"/>
                      <w:rPr>
                        <w:rFonts w:cs="Arial"/>
                        <w:color w:val="000000"/>
                        <w:sz w:val="20"/>
                        <w:szCs w:val="20"/>
                      </w:rPr>
                    </w:pPr>
                    <w:r w:rsidRPr="0003585B">
                      <w:rPr>
                        <w:rFonts w:cs="Arial"/>
                        <w:color w:val="000000"/>
                        <w:sz w:val="20"/>
                        <w:szCs w:val="20"/>
                      </w:rPr>
                      <w:t>-</w:t>
                    </w:r>
                  </w:p>
                </w:tc>
                <w:tc>
                  <w:tcPr>
                    <w:tcW w:w="1079" w:type="pct"/>
                    <w:noWrap/>
                    <w:vAlign w:val="bottom"/>
                    <w:hideMark/>
                  </w:tcPr>
                  <w:p w:rsidR="00B637B2" w:rsidRPr="0003585B" w:rsidRDefault="008F04CF" w:rsidP="00B637B2">
                    <w:pPr>
                      <w:kinsoku w:val="0"/>
                      <w:overflowPunct w:val="0"/>
                      <w:autoSpaceDE w:val="0"/>
                      <w:autoSpaceDN w:val="0"/>
                      <w:adjustRightInd w:val="0"/>
                      <w:snapToGrid w:val="0"/>
                      <w:jc w:val="right"/>
                      <w:rPr>
                        <w:rFonts w:cs="Arial"/>
                        <w:color w:val="000000"/>
                        <w:sz w:val="20"/>
                        <w:szCs w:val="20"/>
                      </w:rPr>
                    </w:pPr>
                    <w:r w:rsidRPr="0003585B">
                      <w:rPr>
                        <w:rFonts w:cs="Arial"/>
                        <w:color w:val="000000"/>
                        <w:sz w:val="20"/>
                        <w:szCs w:val="20"/>
                      </w:rPr>
                      <w:t>1,221,635,881</w:t>
                    </w:r>
                  </w:p>
                </w:tc>
              </w:tr>
              <w:tr w:rsidR="00B637B2" w:rsidRPr="0003585B" w:rsidTr="00B637B2">
                <w:tc>
                  <w:tcPr>
                    <w:tcW w:w="1712" w:type="pct"/>
                    <w:noWrap/>
                    <w:vAlign w:val="bottom"/>
                    <w:hideMark/>
                  </w:tcPr>
                  <w:p w:rsidR="00B637B2" w:rsidRPr="0003585B" w:rsidRDefault="008F04CF" w:rsidP="00B637B2">
                    <w:pPr>
                      <w:kinsoku w:val="0"/>
                      <w:overflowPunct w:val="0"/>
                      <w:autoSpaceDE w:val="0"/>
                      <w:autoSpaceDN w:val="0"/>
                      <w:adjustRightInd w:val="0"/>
                      <w:snapToGrid w:val="0"/>
                      <w:rPr>
                        <w:rFonts w:cs="Arial"/>
                        <w:sz w:val="20"/>
                        <w:szCs w:val="20"/>
                      </w:rPr>
                    </w:pPr>
                    <w:r w:rsidRPr="0003585B">
                      <w:rPr>
                        <w:rFonts w:cs="Arial" w:hint="eastAsia"/>
                        <w:sz w:val="20"/>
                        <w:szCs w:val="20"/>
                      </w:rPr>
                      <w:lastRenderedPageBreak/>
                      <w:t>其他非流动金融资产</w:t>
                    </w:r>
                  </w:p>
                </w:tc>
                <w:tc>
                  <w:tcPr>
                    <w:tcW w:w="1177" w:type="pct"/>
                    <w:vAlign w:val="bottom"/>
                    <w:hideMark/>
                  </w:tcPr>
                  <w:p w:rsidR="00B637B2" w:rsidRPr="0003585B" w:rsidRDefault="008F04CF" w:rsidP="00B637B2">
                    <w:pPr>
                      <w:kinsoku w:val="0"/>
                      <w:overflowPunct w:val="0"/>
                      <w:autoSpaceDE w:val="0"/>
                      <w:autoSpaceDN w:val="0"/>
                      <w:adjustRightInd w:val="0"/>
                      <w:snapToGrid w:val="0"/>
                      <w:jc w:val="right"/>
                      <w:rPr>
                        <w:rFonts w:cs="Arial"/>
                        <w:color w:val="000000"/>
                        <w:sz w:val="20"/>
                        <w:szCs w:val="20"/>
                        <w:u w:val="single"/>
                      </w:rPr>
                    </w:pPr>
                    <w:r w:rsidRPr="0003585B">
                      <w:rPr>
                        <w:rFonts w:cs="Arial"/>
                        <w:color w:val="000000"/>
                        <w:sz w:val="20"/>
                        <w:szCs w:val="20"/>
                        <w:u w:val="single"/>
                      </w:rPr>
                      <w:t xml:space="preserve">  931,572,507</w:t>
                    </w:r>
                  </w:p>
                </w:tc>
                <w:tc>
                  <w:tcPr>
                    <w:tcW w:w="1032" w:type="pct"/>
                    <w:noWrap/>
                    <w:vAlign w:val="bottom"/>
                    <w:hideMark/>
                  </w:tcPr>
                  <w:p w:rsidR="00B637B2" w:rsidRPr="0003585B" w:rsidRDefault="008F04CF" w:rsidP="00B637B2">
                    <w:pPr>
                      <w:kinsoku w:val="0"/>
                      <w:overflowPunct w:val="0"/>
                      <w:autoSpaceDE w:val="0"/>
                      <w:autoSpaceDN w:val="0"/>
                      <w:adjustRightInd w:val="0"/>
                      <w:snapToGrid w:val="0"/>
                      <w:jc w:val="right"/>
                      <w:rPr>
                        <w:rFonts w:cs="Arial"/>
                        <w:color w:val="000000"/>
                        <w:sz w:val="20"/>
                        <w:szCs w:val="20"/>
                        <w:u w:val="single"/>
                      </w:rPr>
                    </w:pPr>
                    <w:r w:rsidRPr="0003585B">
                      <w:rPr>
                        <w:rFonts w:cs="Arial"/>
                        <w:color w:val="000000"/>
                        <w:sz w:val="20"/>
                        <w:szCs w:val="20"/>
                        <w:u w:val="single"/>
                      </w:rPr>
                      <w:t xml:space="preserve">            -</w:t>
                    </w:r>
                  </w:p>
                </w:tc>
                <w:tc>
                  <w:tcPr>
                    <w:tcW w:w="1079" w:type="pct"/>
                    <w:noWrap/>
                    <w:vAlign w:val="bottom"/>
                    <w:hideMark/>
                  </w:tcPr>
                  <w:p w:rsidR="00B637B2" w:rsidRPr="0003585B" w:rsidRDefault="008F04CF" w:rsidP="00B637B2">
                    <w:pPr>
                      <w:kinsoku w:val="0"/>
                      <w:overflowPunct w:val="0"/>
                      <w:autoSpaceDE w:val="0"/>
                      <w:autoSpaceDN w:val="0"/>
                      <w:adjustRightInd w:val="0"/>
                      <w:snapToGrid w:val="0"/>
                      <w:jc w:val="right"/>
                      <w:rPr>
                        <w:rFonts w:cs="Arial"/>
                        <w:color w:val="000000"/>
                        <w:sz w:val="20"/>
                        <w:szCs w:val="20"/>
                        <w:u w:val="single"/>
                      </w:rPr>
                    </w:pPr>
                    <w:r w:rsidRPr="0003585B">
                      <w:rPr>
                        <w:rFonts w:cs="Arial"/>
                        <w:color w:val="000000"/>
                        <w:sz w:val="20"/>
                        <w:szCs w:val="20"/>
                        <w:u w:val="single"/>
                      </w:rPr>
                      <w:t xml:space="preserve">  931,572,507</w:t>
                    </w:r>
                  </w:p>
                </w:tc>
              </w:tr>
              <w:tr w:rsidR="00B637B2" w:rsidRPr="0003585B" w:rsidTr="00B637B2">
                <w:tc>
                  <w:tcPr>
                    <w:tcW w:w="1712" w:type="pct"/>
                    <w:noWrap/>
                    <w:vAlign w:val="bottom"/>
                  </w:tcPr>
                  <w:p w:rsidR="00B637B2" w:rsidRPr="0003585B" w:rsidRDefault="00B637B2" w:rsidP="00B637B2">
                    <w:pPr>
                      <w:kinsoku w:val="0"/>
                      <w:overflowPunct w:val="0"/>
                      <w:autoSpaceDE w:val="0"/>
                      <w:autoSpaceDN w:val="0"/>
                      <w:adjustRightInd w:val="0"/>
                      <w:snapToGrid w:val="0"/>
                      <w:ind w:right="800"/>
                      <w:jc w:val="right"/>
                      <w:rPr>
                        <w:rFonts w:cs="Arial"/>
                        <w:sz w:val="20"/>
                        <w:szCs w:val="20"/>
                      </w:rPr>
                    </w:pPr>
                  </w:p>
                </w:tc>
                <w:tc>
                  <w:tcPr>
                    <w:tcW w:w="1177" w:type="pct"/>
                    <w:vAlign w:val="bottom"/>
                  </w:tcPr>
                  <w:p w:rsidR="00B637B2" w:rsidRPr="0003585B" w:rsidRDefault="00B637B2" w:rsidP="00B637B2">
                    <w:pPr>
                      <w:kinsoku w:val="0"/>
                      <w:overflowPunct w:val="0"/>
                      <w:autoSpaceDE w:val="0"/>
                      <w:autoSpaceDN w:val="0"/>
                      <w:adjustRightInd w:val="0"/>
                      <w:snapToGrid w:val="0"/>
                      <w:jc w:val="right"/>
                      <w:rPr>
                        <w:rFonts w:cs="Arial"/>
                        <w:color w:val="000000"/>
                        <w:sz w:val="20"/>
                        <w:szCs w:val="20"/>
                      </w:rPr>
                    </w:pPr>
                  </w:p>
                </w:tc>
                <w:tc>
                  <w:tcPr>
                    <w:tcW w:w="1032" w:type="pct"/>
                    <w:noWrap/>
                    <w:vAlign w:val="bottom"/>
                  </w:tcPr>
                  <w:p w:rsidR="00B637B2" w:rsidRPr="0003585B" w:rsidRDefault="00B637B2" w:rsidP="00B637B2">
                    <w:pPr>
                      <w:kinsoku w:val="0"/>
                      <w:overflowPunct w:val="0"/>
                      <w:autoSpaceDE w:val="0"/>
                      <w:autoSpaceDN w:val="0"/>
                      <w:adjustRightInd w:val="0"/>
                      <w:snapToGrid w:val="0"/>
                      <w:jc w:val="right"/>
                      <w:rPr>
                        <w:rFonts w:cs="Arial"/>
                        <w:color w:val="000000"/>
                        <w:sz w:val="20"/>
                        <w:szCs w:val="20"/>
                      </w:rPr>
                    </w:pPr>
                  </w:p>
                </w:tc>
                <w:tc>
                  <w:tcPr>
                    <w:tcW w:w="1079" w:type="pct"/>
                    <w:noWrap/>
                    <w:vAlign w:val="bottom"/>
                  </w:tcPr>
                  <w:p w:rsidR="00B637B2" w:rsidRPr="0003585B" w:rsidRDefault="00B637B2" w:rsidP="00B637B2">
                    <w:pPr>
                      <w:kinsoku w:val="0"/>
                      <w:overflowPunct w:val="0"/>
                      <w:autoSpaceDE w:val="0"/>
                      <w:autoSpaceDN w:val="0"/>
                      <w:adjustRightInd w:val="0"/>
                      <w:snapToGrid w:val="0"/>
                      <w:jc w:val="right"/>
                      <w:rPr>
                        <w:rFonts w:cs="Arial"/>
                        <w:color w:val="000000"/>
                        <w:sz w:val="20"/>
                        <w:szCs w:val="20"/>
                      </w:rPr>
                    </w:pPr>
                  </w:p>
                </w:tc>
              </w:tr>
              <w:tr w:rsidR="00B637B2" w:rsidRPr="0003585B" w:rsidTr="00B637B2">
                <w:tc>
                  <w:tcPr>
                    <w:tcW w:w="1712" w:type="pct"/>
                    <w:noWrap/>
                    <w:vAlign w:val="bottom"/>
                    <w:hideMark/>
                  </w:tcPr>
                  <w:p w:rsidR="00B637B2" w:rsidRPr="0003585B" w:rsidRDefault="00B637B2" w:rsidP="00B637B2">
                    <w:pPr>
                      <w:rPr>
                        <w:rFonts w:cs="Arial"/>
                        <w:color w:val="000000"/>
                        <w:sz w:val="20"/>
                        <w:szCs w:val="20"/>
                      </w:rPr>
                    </w:pPr>
                  </w:p>
                </w:tc>
                <w:tc>
                  <w:tcPr>
                    <w:tcW w:w="1177" w:type="pct"/>
                    <w:vAlign w:val="bottom"/>
                    <w:hideMark/>
                  </w:tcPr>
                  <w:p w:rsidR="00B637B2" w:rsidRPr="0003585B" w:rsidRDefault="008F04CF" w:rsidP="00B637B2">
                    <w:pPr>
                      <w:kinsoku w:val="0"/>
                      <w:overflowPunct w:val="0"/>
                      <w:autoSpaceDE w:val="0"/>
                      <w:autoSpaceDN w:val="0"/>
                      <w:adjustRightInd w:val="0"/>
                      <w:snapToGrid w:val="0"/>
                      <w:jc w:val="right"/>
                      <w:rPr>
                        <w:rFonts w:cs="Arial"/>
                        <w:color w:val="000000"/>
                        <w:sz w:val="20"/>
                        <w:szCs w:val="20"/>
                        <w:u w:val="double"/>
                      </w:rPr>
                    </w:pPr>
                    <w:r w:rsidRPr="0003585B">
                      <w:rPr>
                        <w:rFonts w:cs="Arial"/>
                        <w:color w:val="000000"/>
                        <w:sz w:val="20"/>
                        <w:szCs w:val="20"/>
                        <w:u w:val="double"/>
                      </w:rPr>
                      <w:t>2,153,208,388</w:t>
                    </w:r>
                  </w:p>
                </w:tc>
                <w:tc>
                  <w:tcPr>
                    <w:tcW w:w="1032" w:type="pct"/>
                    <w:noWrap/>
                    <w:vAlign w:val="bottom"/>
                    <w:hideMark/>
                  </w:tcPr>
                  <w:p w:rsidR="00B637B2" w:rsidRPr="0003585B" w:rsidRDefault="008F04CF" w:rsidP="00B637B2">
                    <w:pPr>
                      <w:kinsoku w:val="0"/>
                      <w:overflowPunct w:val="0"/>
                      <w:autoSpaceDE w:val="0"/>
                      <w:autoSpaceDN w:val="0"/>
                      <w:adjustRightInd w:val="0"/>
                      <w:snapToGrid w:val="0"/>
                      <w:jc w:val="right"/>
                      <w:rPr>
                        <w:rFonts w:cs="Arial"/>
                        <w:color w:val="000000"/>
                        <w:sz w:val="20"/>
                        <w:szCs w:val="20"/>
                        <w:u w:val="double"/>
                      </w:rPr>
                    </w:pPr>
                    <w:r w:rsidRPr="0003585B">
                      <w:rPr>
                        <w:rFonts w:cs="Arial"/>
                        <w:color w:val="000000"/>
                        <w:sz w:val="20"/>
                        <w:szCs w:val="20"/>
                        <w:u w:val="double"/>
                      </w:rPr>
                      <w:t>6,314,059,864</w:t>
                    </w:r>
                  </w:p>
                </w:tc>
                <w:tc>
                  <w:tcPr>
                    <w:tcW w:w="1079" w:type="pct"/>
                    <w:noWrap/>
                    <w:vAlign w:val="bottom"/>
                    <w:hideMark/>
                  </w:tcPr>
                  <w:p w:rsidR="00B637B2" w:rsidRPr="0003585B" w:rsidRDefault="008F04CF" w:rsidP="00B637B2">
                    <w:pPr>
                      <w:kinsoku w:val="0"/>
                      <w:overflowPunct w:val="0"/>
                      <w:autoSpaceDE w:val="0"/>
                      <w:autoSpaceDN w:val="0"/>
                      <w:adjustRightInd w:val="0"/>
                      <w:snapToGrid w:val="0"/>
                      <w:jc w:val="right"/>
                      <w:rPr>
                        <w:rFonts w:cs="Arial"/>
                        <w:color w:val="000000"/>
                        <w:sz w:val="20"/>
                        <w:szCs w:val="20"/>
                        <w:u w:val="double"/>
                      </w:rPr>
                    </w:pPr>
                    <w:r w:rsidRPr="0003585B">
                      <w:rPr>
                        <w:rFonts w:cs="Arial"/>
                        <w:color w:val="000000"/>
                        <w:sz w:val="20"/>
                        <w:szCs w:val="20"/>
                        <w:u w:val="double"/>
                      </w:rPr>
                      <w:t>8,467,268,252</w:t>
                    </w:r>
                  </w:p>
                </w:tc>
              </w:tr>
              <w:tr w:rsidR="00B637B2" w:rsidRPr="0003585B" w:rsidTr="00B637B2">
                <w:tc>
                  <w:tcPr>
                    <w:tcW w:w="1712" w:type="pct"/>
                    <w:noWrap/>
                    <w:vAlign w:val="bottom"/>
                    <w:hideMark/>
                  </w:tcPr>
                  <w:p w:rsidR="00B637B2" w:rsidRPr="0003585B" w:rsidRDefault="00B637B2" w:rsidP="00B637B2">
                    <w:pPr>
                      <w:rPr>
                        <w:rFonts w:cs="Arial"/>
                        <w:color w:val="000000"/>
                        <w:sz w:val="20"/>
                        <w:szCs w:val="20"/>
                        <w:u w:val="double"/>
                      </w:rPr>
                    </w:pPr>
                  </w:p>
                </w:tc>
                <w:tc>
                  <w:tcPr>
                    <w:tcW w:w="1177" w:type="pct"/>
                  </w:tcPr>
                  <w:p w:rsidR="00B637B2" w:rsidRPr="0003585B" w:rsidRDefault="00B637B2" w:rsidP="00B637B2">
                    <w:pPr>
                      <w:kinsoku w:val="0"/>
                      <w:overflowPunct w:val="0"/>
                      <w:autoSpaceDE w:val="0"/>
                      <w:autoSpaceDN w:val="0"/>
                      <w:adjustRightInd w:val="0"/>
                      <w:snapToGrid w:val="0"/>
                      <w:jc w:val="right"/>
                      <w:rPr>
                        <w:rFonts w:cs="Arial"/>
                        <w:color w:val="000000"/>
                        <w:sz w:val="20"/>
                        <w:szCs w:val="20"/>
                      </w:rPr>
                    </w:pPr>
                  </w:p>
                </w:tc>
                <w:tc>
                  <w:tcPr>
                    <w:tcW w:w="1032" w:type="pct"/>
                    <w:noWrap/>
                    <w:vAlign w:val="bottom"/>
                  </w:tcPr>
                  <w:p w:rsidR="00B637B2" w:rsidRPr="0003585B" w:rsidRDefault="00B637B2" w:rsidP="00B637B2">
                    <w:pPr>
                      <w:kinsoku w:val="0"/>
                      <w:overflowPunct w:val="0"/>
                      <w:autoSpaceDE w:val="0"/>
                      <w:autoSpaceDN w:val="0"/>
                      <w:adjustRightInd w:val="0"/>
                      <w:snapToGrid w:val="0"/>
                      <w:jc w:val="right"/>
                      <w:rPr>
                        <w:rFonts w:cs="Arial"/>
                        <w:color w:val="000000"/>
                        <w:sz w:val="20"/>
                        <w:szCs w:val="20"/>
                      </w:rPr>
                    </w:pPr>
                  </w:p>
                </w:tc>
                <w:tc>
                  <w:tcPr>
                    <w:tcW w:w="1079" w:type="pct"/>
                    <w:noWrap/>
                    <w:vAlign w:val="bottom"/>
                  </w:tcPr>
                  <w:p w:rsidR="00B637B2" w:rsidRPr="0003585B" w:rsidRDefault="00B637B2" w:rsidP="00B637B2">
                    <w:pPr>
                      <w:kinsoku w:val="0"/>
                      <w:overflowPunct w:val="0"/>
                      <w:autoSpaceDE w:val="0"/>
                      <w:autoSpaceDN w:val="0"/>
                      <w:adjustRightInd w:val="0"/>
                      <w:snapToGrid w:val="0"/>
                      <w:jc w:val="right"/>
                      <w:rPr>
                        <w:rFonts w:cs="Arial"/>
                        <w:color w:val="000000"/>
                        <w:sz w:val="20"/>
                        <w:szCs w:val="20"/>
                      </w:rPr>
                    </w:pPr>
                  </w:p>
                </w:tc>
              </w:tr>
            </w:tbl>
            <w:p w:rsidR="00B637B2" w:rsidRPr="0003585B" w:rsidRDefault="008F04CF" w:rsidP="00B637B2">
              <w:pPr>
                <w:tabs>
                  <w:tab w:val="left" w:pos="2520"/>
                  <w:tab w:val="decimal" w:pos="5250"/>
                  <w:tab w:val="decimal" w:pos="6510"/>
                  <w:tab w:val="decimal" w:pos="7035"/>
                  <w:tab w:val="decimal" w:pos="8295"/>
                </w:tabs>
                <w:overflowPunct w:val="0"/>
                <w:autoSpaceDE w:val="0"/>
                <w:autoSpaceDN w:val="0"/>
                <w:adjustRightInd w:val="0"/>
                <w:snapToGrid w:val="0"/>
                <w:jc w:val="both"/>
                <w:rPr>
                  <w:rFonts w:cs="Arial"/>
                  <w:snapToGrid w:val="0"/>
                  <w:sz w:val="20"/>
                  <w:szCs w:val="20"/>
                </w:rPr>
              </w:pPr>
              <w:r w:rsidRPr="0003585B">
                <w:rPr>
                  <w:rFonts w:cs="Arial"/>
                  <w:snapToGrid w:val="0"/>
                  <w:sz w:val="20"/>
                  <w:szCs w:val="20"/>
                </w:rPr>
                <w:tab/>
              </w:r>
            </w:p>
            <w:p w:rsidR="00B637B2" w:rsidRPr="0003585B" w:rsidRDefault="008F04CF" w:rsidP="00B637B2">
              <w:pPr>
                <w:kinsoku w:val="0"/>
                <w:overflowPunct w:val="0"/>
                <w:autoSpaceDE w:val="0"/>
                <w:autoSpaceDN w:val="0"/>
                <w:adjustRightInd w:val="0"/>
                <w:snapToGrid w:val="0"/>
                <w:ind w:right="480"/>
                <w:rPr>
                  <w:rFonts w:cs="Arial"/>
                  <w:snapToGrid w:val="0"/>
                  <w:sz w:val="20"/>
                  <w:szCs w:val="20"/>
                </w:rPr>
              </w:pPr>
              <w:r w:rsidRPr="0003585B">
                <w:rPr>
                  <w:rFonts w:cs="Arial" w:hint="eastAsia"/>
                  <w:snapToGrid w:val="0"/>
                  <w:sz w:val="20"/>
                  <w:szCs w:val="20"/>
                </w:rPr>
                <w:t>金融负债</w:t>
              </w:r>
            </w:p>
            <w:p w:rsidR="00B637B2" w:rsidRPr="0003585B" w:rsidRDefault="00B637B2" w:rsidP="00B637B2">
              <w:pPr>
                <w:tabs>
                  <w:tab w:val="right" w:pos="2835"/>
                  <w:tab w:val="right" w:pos="4111"/>
                  <w:tab w:val="right" w:pos="4395"/>
                  <w:tab w:val="right" w:pos="5529"/>
                  <w:tab w:val="right" w:pos="5812"/>
                  <w:tab w:val="right" w:pos="6946"/>
                  <w:tab w:val="right" w:pos="7230"/>
                  <w:tab w:val="right" w:pos="8313"/>
                </w:tabs>
                <w:overflowPunct w:val="0"/>
                <w:autoSpaceDE w:val="0"/>
                <w:autoSpaceDN w:val="0"/>
                <w:adjustRightInd w:val="0"/>
                <w:snapToGrid w:val="0"/>
                <w:rPr>
                  <w:rFonts w:cs="Arial"/>
                  <w:snapToGrid w:val="0"/>
                  <w:sz w:val="20"/>
                  <w:szCs w:val="20"/>
                </w:rPr>
              </w:pPr>
            </w:p>
            <w:tbl>
              <w:tblPr>
                <w:tblStyle w:val="g35"/>
                <w:tblW w:w="5000" w:type="pct"/>
                <w:tblCellMar>
                  <w:left w:w="0" w:type="dxa"/>
                  <w:right w:w="0" w:type="dxa"/>
                </w:tblCellMar>
                <w:tblLook w:val="04A0" w:firstRow="1" w:lastRow="0" w:firstColumn="1" w:lastColumn="0" w:noHBand="0" w:noVBand="1"/>
                <w:tblCaption w:val="20金融工具分类_金融负债CY"/>
              </w:tblPr>
              <w:tblGrid>
                <w:gridCol w:w="3097"/>
                <w:gridCol w:w="1740"/>
                <w:gridCol w:w="1739"/>
                <w:gridCol w:w="1737"/>
              </w:tblGrid>
              <w:tr w:rsidR="00B637B2" w:rsidRPr="0003585B" w:rsidTr="00B637B2">
                <w:trPr>
                  <w:cantSplit/>
                </w:trPr>
                <w:tc>
                  <w:tcPr>
                    <w:tcW w:w="1862" w:type="pct"/>
                    <w:noWrap/>
                    <w:vAlign w:val="center"/>
                    <w:hideMark/>
                  </w:tcPr>
                  <w:p w:rsidR="00B637B2" w:rsidRPr="0003585B" w:rsidRDefault="008F04CF" w:rsidP="00B637B2">
                    <w:pPr>
                      <w:kinsoku w:val="0"/>
                      <w:overflowPunct w:val="0"/>
                      <w:autoSpaceDE w:val="0"/>
                      <w:autoSpaceDN w:val="0"/>
                      <w:adjustRightInd w:val="0"/>
                      <w:snapToGrid w:val="0"/>
                      <w:rPr>
                        <w:rFonts w:cs="Arial"/>
                        <w:sz w:val="20"/>
                        <w:szCs w:val="20"/>
                      </w:rPr>
                    </w:pPr>
                    <w:r w:rsidRPr="0003585B">
                      <w:rPr>
                        <w:rFonts w:cs="Arial"/>
                        <w:color w:val="000000"/>
                        <w:sz w:val="20"/>
                        <w:szCs w:val="20"/>
                      </w:rPr>
                      <w:t xml:space="preserve"> </w:t>
                    </w:r>
                  </w:p>
                </w:tc>
                <w:tc>
                  <w:tcPr>
                    <w:tcW w:w="1046" w:type="pct"/>
                    <w:noWrap/>
                    <w:vAlign w:val="center"/>
                    <w:hideMark/>
                  </w:tcPr>
                  <w:p w:rsidR="00B637B2" w:rsidRPr="0003585B" w:rsidRDefault="008F04CF" w:rsidP="00B637B2">
                    <w:pPr>
                      <w:kinsoku w:val="0"/>
                      <w:overflowPunct w:val="0"/>
                      <w:autoSpaceDE w:val="0"/>
                      <w:autoSpaceDN w:val="0"/>
                      <w:adjustRightInd w:val="0"/>
                      <w:snapToGrid w:val="0"/>
                      <w:jc w:val="right"/>
                      <w:rPr>
                        <w:rFonts w:cs="Arial"/>
                        <w:color w:val="000000"/>
                        <w:sz w:val="20"/>
                        <w:szCs w:val="20"/>
                      </w:rPr>
                    </w:pPr>
                    <w:r w:rsidRPr="0003585B">
                      <w:rPr>
                        <w:rFonts w:cs="Arial" w:hint="eastAsia"/>
                        <w:color w:val="000000"/>
                        <w:sz w:val="20"/>
                        <w:szCs w:val="20"/>
                      </w:rPr>
                      <w:t>以公允价值计量且</w:t>
                    </w:r>
                  </w:p>
                </w:tc>
                <w:tc>
                  <w:tcPr>
                    <w:tcW w:w="1046" w:type="pct"/>
                    <w:vAlign w:val="center"/>
                    <w:hideMark/>
                  </w:tcPr>
                  <w:p w:rsidR="00B637B2" w:rsidRPr="0003585B" w:rsidRDefault="008F04CF" w:rsidP="00B637B2">
                    <w:pPr>
                      <w:kinsoku w:val="0"/>
                      <w:overflowPunct w:val="0"/>
                      <w:autoSpaceDE w:val="0"/>
                      <w:autoSpaceDN w:val="0"/>
                      <w:adjustRightInd w:val="0"/>
                      <w:snapToGrid w:val="0"/>
                      <w:jc w:val="right"/>
                      <w:rPr>
                        <w:rFonts w:cs="Arial"/>
                        <w:sz w:val="20"/>
                        <w:szCs w:val="20"/>
                      </w:rPr>
                    </w:pPr>
                    <w:r w:rsidRPr="0003585B">
                      <w:rPr>
                        <w:rFonts w:cs="Arial" w:hint="eastAsia"/>
                        <w:color w:val="000000"/>
                        <w:sz w:val="20"/>
                        <w:szCs w:val="20"/>
                      </w:rPr>
                      <w:t>以摊余成本计量</w:t>
                    </w:r>
                  </w:p>
                </w:tc>
                <w:tc>
                  <w:tcPr>
                    <w:tcW w:w="1045" w:type="pct"/>
                    <w:noWrap/>
                    <w:vAlign w:val="center"/>
                    <w:hideMark/>
                  </w:tcPr>
                  <w:p w:rsidR="00B637B2" w:rsidRPr="0003585B" w:rsidRDefault="008F04CF" w:rsidP="00B637B2">
                    <w:pPr>
                      <w:kinsoku w:val="0"/>
                      <w:overflowPunct w:val="0"/>
                      <w:autoSpaceDE w:val="0"/>
                      <w:autoSpaceDN w:val="0"/>
                      <w:adjustRightInd w:val="0"/>
                      <w:snapToGrid w:val="0"/>
                      <w:jc w:val="right"/>
                      <w:rPr>
                        <w:rFonts w:cs="Arial"/>
                        <w:color w:val="000000"/>
                        <w:sz w:val="20"/>
                        <w:szCs w:val="20"/>
                      </w:rPr>
                    </w:pPr>
                    <w:r w:rsidRPr="0003585B">
                      <w:rPr>
                        <w:rFonts w:cs="Arial" w:hint="eastAsia"/>
                        <w:color w:val="000000"/>
                        <w:sz w:val="20"/>
                        <w:szCs w:val="20"/>
                      </w:rPr>
                      <w:t>合计</w:t>
                    </w:r>
                  </w:p>
                </w:tc>
              </w:tr>
              <w:tr w:rsidR="00B637B2" w:rsidRPr="0003585B" w:rsidTr="00B637B2">
                <w:trPr>
                  <w:cantSplit/>
                </w:trPr>
                <w:tc>
                  <w:tcPr>
                    <w:tcW w:w="1862" w:type="pct"/>
                    <w:noWrap/>
                    <w:vAlign w:val="center"/>
                    <w:hideMark/>
                  </w:tcPr>
                  <w:p w:rsidR="00B637B2" w:rsidRPr="0003585B" w:rsidRDefault="008F04CF" w:rsidP="00B637B2">
                    <w:pPr>
                      <w:kinsoku w:val="0"/>
                      <w:overflowPunct w:val="0"/>
                      <w:autoSpaceDE w:val="0"/>
                      <w:autoSpaceDN w:val="0"/>
                      <w:adjustRightInd w:val="0"/>
                      <w:snapToGrid w:val="0"/>
                      <w:rPr>
                        <w:rFonts w:cs="Arial"/>
                        <w:sz w:val="20"/>
                        <w:szCs w:val="20"/>
                      </w:rPr>
                    </w:pPr>
                    <w:r w:rsidRPr="0003585B">
                      <w:rPr>
                        <w:rFonts w:cs="Arial"/>
                        <w:color w:val="000000"/>
                        <w:sz w:val="20"/>
                        <w:szCs w:val="20"/>
                      </w:rPr>
                      <w:t xml:space="preserve"> </w:t>
                    </w:r>
                  </w:p>
                </w:tc>
                <w:tc>
                  <w:tcPr>
                    <w:tcW w:w="1046" w:type="pct"/>
                    <w:vAlign w:val="center"/>
                    <w:hideMark/>
                  </w:tcPr>
                  <w:p w:rsidR="00B637B2" w:rsidRPr="0003585B" w:rsidRDefault="008F04CF" w:rsidP="00B637B2">
                    <w:pPr>
                      <w:kinsoku w:val="0"/>
                      <w:overflowPunct w:val="0"/>
                      <w:autoSpaceDE w:val="0"/>
                      <w:autoSpaceDN w:val="0"/>
                      <w:adjustRightInd w:val="0"/>
                      <w:snapToGrid w:val="0"/>
                      <w:jc w:val="right"/>
                      <w:rPr>
                        <w:rFonts w:cs="Arial"/>
                        <w:color w:val="000000"/>
                        <w:sz w:val="20"/>
                        <w:szCs w:val="20"/>
                      </w:rPr>
                    </w:pPr>
                    <w:r w:rsidRPr="0003585B">
                      <w:rPr>
                        <w:rFonts w:cs="Arial" w:hint="eastAsia"/>
                        <w:color w:val="000000"/>
                        <w:sz w:val="20"/>
                        <w:szCs w:val="20"/>
                      </w:rPr>
                      <w:t>其变动计入当期损</w:t>
                    </w:r>
                  </w:p>
                </w:tc>
                <w:tc>
                  <w:tcPr>
                    <w:tcW w:w="1046" w:type="pct"/>
                    <w:vAlign w:val="center"/>
                    <w:hideMark/>
                  </w:tcPr>
                  <w:p w:rsidR="00B637B2" w:rsidRPr="0003585B" w:rsidRDefault="008F04CF" w:rsidP="00B637B2">
                    <w:pPr>
                      <w:kinsoku w:val="0"/>
                      <w:overflowPunct w:val="0"/>
                      <w:autoSpaceDE w:val="0"/>
                      <w:autoSpaceDN w:val="0"/>
                      <w:adjustRightInd w:val="0"/>
                      <w:snapToGrid w:val="0"/>
                      <w:jc w:val="right"/>
                      <w:rPr>
                        <w:rFonts w:cs="Arial"/>
                        <w:sz w:val="20"/>
                        <w:szCs w:val="20"/>
                      </w:rPr>
                    </w:pPr>
                    <w:r w:rsidRPr="0003585B">
                      <w:rPr>
                        <w:rFonts w:cs="Arial" w:hint="eastAsia"/>
                        <w:color w:val="000000"/>
                        <w:sz w:val="20"/>
                        <w:szCs w:val="20"/>
                      </w:rPr>
                      <w:t>的金融负债</w:t>
                    </w:r>
                  </w:p>
                </w:tc>
                <w:tc>
                  <w:tcPr>
                    <w:tcW w:w="1045" w:type="pct"/>
                    <w:vAlign w:val="center"/>
                    <w:hideMark/>
                  </w:tcPr>
                  <w:p w:rsidR="00B637B2" w:rsidRPr="0003585B" w:rsidRDefault="008F04CF" w:rsidP="00B637B2">
                    <w:pPr>
                      <w:kinsoku w:val="0"/>
                      <w:overflowPunct w:val="0"/>
                      <w:autoSpaceDE w:val="0"/>
                      <w:autoSpaceDN w:val="0"/>
                      <w:adjustRightInd w:val="0"/>
                      <w:snapToGrid w:val="0"/>
                      <w:jc w:val="right"/>
                      <w:rPr>
                        <w:rFonts w:cs="Arial"/>
                        <w:sz w:val="20"/>
                        <w:szCs w:val="20"/>
                      </w:rPr>
                    </w:pPr>
                    <w:r w:rsidRPr="0003585B">
                      <w:rPr>
                        <w:rFonts w:cs="Arial"/>
                        <w:color w:val="000000"/>
                        <w:sz w:val="20"/>
                        <w:szCs w:val="20"/>
                      </w:rPr>
                      <w:t xml:space="preserve"> </w:t>
                    </w:r>
                  </w:p>
                </w:tc>
              </w:tr>
              <w:tr w:rsidR="00B637B2" w:rsidRPr="0003585B" w:rsidTr="00B637B2">
                <w:trPr>
                  <w:cantSplit/>
                </w:trPr>
                <w:tc>
                  <w:tcPr>
                    <w:tcW w:w="1862" w:type="pct"/>
                    <w:noWrap/>
                    <w:vAlign w:val="center"/>
                  </w:tcPr>
                  <w:p w:rsidR="00B637B2" w:rsidRPr="0003585B" w:rsidRDefault="00B637B2" w:rsidP="00B637B2">
                    <w:pPr>
                      <w:kinsoku w:val="0"/>
                      <w:overflowPunct w:val="0"/>
                      <w:autoSpaceDE w:val="0"/>
                      <w:autoSpaceDN w:val="0"/>
                      <w:adjustRightInd w:val="0"/>
                      <w:snapToGrid w:val="0"/>
                      <w:rPr>
                        <w:rFonts w:cs="Arial"/>
                        <w:color w:val="000000"/>
                        <w:sz w:val="20"/>
                        <w:szCs w:val="20"/>
                      </w:rPr>
                    </w:pPr>
                  </w:p>
                </w:tc>
                <w:tc>
                  <w:tcPr>
                    <w:tcW w:w="1046" w:type="pct"/>
                    <w:vAlign w:val="center"/>
                    <w:hideMark/>
                  </w:tcPr>
                  <w:p w:rsidR="00B637B2" w:rsidRPr="0003585B" w:rsidRDefault="008F04CF" w:rsidP="00B637B2">
                    <w:pPr>
                      <w:kinsoku w:val="0"/>
                      <w:overflowPunct w:val="0"/>
                      <w:autoSpaceDE w:val="0"/>
                      <w:autoSpaceDN w:val="0"/>
                      <w:adjustRightInd w:val="0"/>
                      <w:snapToGrid w:val="0"/>
                      <w:jc w:val="right"/>
                      <w:rPr>
                        <w:rFonts w:cs="Arial"/>
                        <w:color w:val="000000"/>
                        <w:sz w:val="20"/>
                        <w:szCs w:val="20"/>
                      </w:rPr>
                    </w:pPr>
                    <w:r w:rsidRPr="0003585B">
                      <w:rPr>
                        <w:rFonts w:cs="Arial" w:hint="eastAsia"/>
                        <w:color w:val="000000"/>
                        <w:sz w:val="20"/>
                        <w:szCs w:val="20"/>
                      </w:rPr>
                      <w:t>益的金融负债</w:t>
                    </w:r>
                  </w:p>
                </w:tc>
                <w:tc>
                  <w:tcPr>
                    <w:tcW w:w="1046" w:type="pct"/>
                    <w:vAlign w:val="center"/>
                  </w:tcPr>
                  <w:p w:rsidR="00B637B2" w:rsidRPr="0003585B" w:rsidRDefault="00B637B2" w:rsidP="00B637B2">
                    <w:pPr>
                      <w:kinsoku w:val="0"/>
                      <w:overflowPunct w:val="0"/>
                      <w:autoSpaceDE w:val="0"/>
                      <w:autoSpaceDN w:val="0"/>
                      <w:adjustRightInd w:val="0"/>
                      <w:snapToGrid w:val="0"/>
                      <w:jc w:val="right"/>
                      <w:rPr>
                        <w:rFonts w:cs="Arial"/>
                        <w:color w:val="000000"/>
                        <w:sz w:val="20"/>
                        <w:szCs w:val="20"/>
                      </w:rPr>
                    </w:pPr>
                  </w:p>
                </w:tc>
                <w:tc>
                  <w:tcPr>
                    <w:tcW w:w="1045" w:type="pct"/>
                    <w:vAlign w:val="center"/>
                  </w:tcPr>
                  <w:p w:rsidR="00B637B2" w:rsidRPr="0003585B" w:rsidRDefault="00B637B2" w:rsidP="00B637B2">
                    <w:pPr>
                      <w:kinsoku w:val="0"/>
                      <w:overflowPunct w:val="0"/>
                      <w:autoSpaceDE w:val="0"/>
                      <w:autoSpaceDN w:val="0"/>
                      <w:adjustRightInd w:val="0"/>
                      <w:snapToGrid w:val="0"/>
                      <w:jc w:val="right"/>
                      <w:rPr>
                        <w:rFonts w:cs="Arial"/>
                        <w:color w:val="000000"/>
                        <w:sz w:val="20"/>
                        <w:szCs w:val="20"/>
                      </w:rPr>
                    </w:pPr>
                  </w:p>
                </w:tc>
              </w:tr>
              <w:tr w:rsidR="00B637B2" w:rsidRPr="0003585B" w:rsidTr="00B637B2">
                <w:trPr>
                  <w:cantSplit/>
                </w:trPr>
                <w:tc>
                  <w:tcPr>
                    <w:tcW w:w="1862" w:type="pct"/>
                    <w:noWrap/>
                    <w:vAlign w:val="bottom"/>
                    <w:hideMark/>
                  </w:tcPr>
                  <w:p w:rsidR="00B637B2" w:rsidRPr="0003585B" w:rsidRDefault="008F04CF" w:rsidP="00B637B2">
                    <w:pPr>
                      <w:kinsoku w:val="0"/>
                      <w:overflowPunct w:val="0"/>
                      <w:autoSpaceDE w:val="0"/>
                      <w:autoSpaceDN w:val="0"/>
                      <w:adjustRightInd w:val="0"/>
                      <w:snapToGrid w:val="0"/>
                      <w:rPr>
                        <w:rFonts w:cs="Arial"/>
                        <w:sz w:val="20"/>
                        <w:szCs w:val="20"/>
                      </w:rPr>
                    </w:pPr>
                    <w:r w:rsidRPr="0003585B">
                      <w:rPr>
                        <w:rFonts w:cs="Arial"/>
                        <w:color w:val="000000"/>
                        <w:sz w:val="20"/>
                        <w:szCs w:val="20"/>
                      </w:rPr>
                      <w:t xml:space="preserve"> </w:t>
                    </w:r>
                  </w:p>
                </w:tc>
                <w:tc>
                  <w:tcPr>
                    <w:tcW w:w="1046" w:type="pct"/>
                    <w:noWrap/>
                    <w:vAlign w:val="bottom"/>
                    <w:hideMark/>
                  </w:tcPr>
                  <w:p w:rsidR="00B637B2" w:rsidRPr="0003585B" w:rsidRDefault="008F04CF" w:rsidP="00B637B2">
                    <w:pPr>
                      <w:kinsoku w:val="0"/>
                      <w:overflowPunct w:val="0"/>
                      <w:autoSpaceDE w:val="0"/>
                      <w:autoSpaceDN w:val="0"/>
                      <w:adjustRightInd w:val="0"/>
                      <w:snapToGrid w:val="0"/>
                      <w:jc w:val="right"/>
                      <w:rPr>
                        <w:rFonts w:cs="Arial"/>
                        <w:sz w:val="20"/>
                        <w:szCs w:val="20"/>
                      </w:rPr>
                    </w:pPr>
                    <w:r w:rsidRPr="0003585B">
                      <w:rPr>
                        <w:rFonts w:cs="Arial"/>
                        <w:color w:val="000000"/>
                        <w:sz w:val="20"/>
                        <w:szCs w:val="20"/>
                      </w:rPr>
                      <w:t xml:space="preserve"> </w:t>
                    </w:r>
                  </w:p>
                </w:tc>
                <w:tc>
                  <w:tcPr>
                    <w:tcW w:w="1046" w:type="pct"/>
                    <w:vAlign w:val="bottom"/>
                    <w:hideMark/>
                  </w:tcPr>
                  <w:p w:rsidR="00B637B2" w:rsidRPr="0003585B" w:rsidRDefault="008F04CF" w:rsidP="00B637B2">
                    <w:pPr>
                      <w:kinsoku w:val="0"/>
                      <w:overflowPunct w:val="0"/>
                      <w:autoSpaceDE w:val="0"/>
                      <w:autoSpaceDN w:val="0"/>
                      <w:adjustRightInd w:val="0"/>
                      <w:snapToGrid w:val="0"/>
                      <w:jc w:val="right"/>
                      <w:rPr>
                        <w:rFonts w:cs="Arial"/>
                        <w:sz w:val="20"/>
                        <w:szCs w:val="20"/>
                      </w:rPr>
                    </w:pPr>
                    <w:r w:rsidRPr="0003585B">
                      <w:rPr>
                        <w:rFonts w:cs="Arial"/>
                        <w:color w:val="000000"/>
                        <w:sz w:val="20"/>
                        <w:szCs w:val="20"/>
                      </w:rPr>
                      <w:t xml:space="preserve"> </w:t>
                    </w:r>
                  </w:p>
                </w:tc>
                <w:tc>
                  <w:tcPr>
                    <w:tcW w:w="1045" w:type="pct"/>
                    <w:noWrap/>
                    <w:vAlign w:val="bottom"/>
                    <w:hideMark/>
                  </w:tcPr>
                  <w:p w:rsidR="00B637B2" w:rsidRPr="0003585B" w:rsidRDefault="008F04CF" w:rsidP="00B637B2">
                    <w:pPr>
                      <w:kinsoku w:val="0"/>
                      <w:overflowPunct w:val="0"/>
                      <w:autoSpaceDE w:val="0"/>
                      <w:autoSpaceDN w:val="0"/>
                      <w:adjustRightInd w:val="0"/>
                      <w:snapToGrid w:val="0"/>
                      <w:jc w:val="right"/>
                      <w:rPr>
                        <w:rFonts w:cs="Arial"/>
                        <w:sz w:val="20"/>
                        <w:szCs w:val="20"/>
                      </w:rPr>
                    </w:pPr>
                    <w:r w:rsidRPr="0003585B">
                      <w:rPr>
                        <w:rFonts w:cs="Arial"/>
                        <w:color w:val="000000"/>
                        <w:sz w:val="20"/>
                        <w:szCs w:val="20"/>
                      </w:rPr>
                      <w:t xml:space="preserve"> </w:t>
                    </w:r>
                  </w:p>
                </w:tc>
              </w:tr>
              <w:tr w:rsidR="00B637B2" w:rsidRPr="0003585B" w:rsidTr="00B637B2">
                <w:trPr>
                  <w:cantSplit/>
                  <w:trHeight w:val="60"/>
                </w:trPr>
                <w:tc>
                  <w:tcPr>
                    <w:tcW w:w="1862" w:type="pct"/>
                    <w:noWrap/>
                    <w:hideMark/>
                  </w:tcPr>
                  <w:p w:rsidR="00B637B2" w:rsidRPr="0003585B" w:rsidRDefault="008F04CF" w:rsidP="00B637B2">
                    <w:pPr>
                      <w:kinsoku w:val="0"/>
                      <w:overflowPunct w:val="0"/>
                      <w:autoSpaceDE w:val="0"/>
                      <w:autoSpaceDN w:val="0"/>
                      <w:adjustRightInd w:val="0"/>
                      <w:snapToGrid w:val="0"/>
                      <w:rPr>
                        <w:rFonts w:cs="Arial"/>
                        <w:color w:val="000000"/>
                        <w:sz w:val="20"/>
                        <w:szCs w:val="20"/>
                      </w:rPr>
                    </w:pPr>
                    <w:r w:rsidRPr="0003585B">
                      <w:rPr>
                        <w:rFonts w:cs="Arial" w:hint="eastAsia"/>
                        <w:snapToGrid w:val="0"/>
                        <w:sz w:val="20"/>
                        <w:szCs w:val="20"/>
                      </w:rPr>
                      <w:t>短期借款</w:t>
                    </w:r>
                  </w:p>
                </w:tc>
                <w:tc>
                  <w:tcPr>
                    <w:tcW w:w="1046" w:type="pct"/>
                    <w:noWrap/>
                    <w:vAlign w:val="center"/>
                    <w:hideMark/>
                  </w:tcPr>
                  <w:p w:rsidR="00B637B2" w:rsidRPr="0003585B" w:rsidRDefault="008F04CF" w:rsidP="00B637B2">
                    <w:pPr>
                      <w:kinsoku w:val="0"/>
                      <w:overflowPunct w:val="0"/>
                      <w:autoSpaceDE w:val="0"/>
                      <w:autoSpaceDN w:val="0"/>
                      <w:adjustRightInd w:val="0"/>
                      <w:snapToGrid w:val="0"/>
                      <w:jc w:val="right"/>
                      <w:rPr>
                        <w:rFonts w:cs="Arial"/>
                        <w:color w:val="000000"/>
                        <w:sz w:val="20"/>
                        <w:szCs w:val="20"/>
                      </w:rPr>
                    </w:pPr>
                    <w:r w:rsidRPr="0003585B">
                      <w:rPr>
                        <w:rFonts w:cs="Arial"/>
                        <w:color w:val="000000"/>
                        <w:sz w:val="20"/>
                        <w:szCs w:val="20"/>
                      </w:rPr>
                      <w:t>-</w:t>
                    </w:r>
                  </w:p>
                </w:tc>
                <w:tc>
                  <w:tcPr>
                    <w:tcW w:w="1046" w:type="pct"/>
                    <w:vAlign w:val="center"/>
                    <w:hideMark/>
                  </w:tcPr>
                  <w:p w:rsidR="00B637B2" w:rsidRPr="0003585B" w:rsidRDefault="008F04CF" w:rsidP="00B637B2">
                    <w:pPr>
                      <w:kinsoku w:val="0"/>
                      <w:overflowPunct w:val="0"/>
                      <w:autoSpaceDE w:val="0"/>
                      <w:autoSpaceDN w:val="0"/>
                      <w:adjustRightInd w:val="0"/>
                      <w:snapToGrid w:val="0"/>
                      <w:jc w:val="right"/>
                      <w:rPr>
                        <w:rFonts w:cs="Arial"/>
                        <w:sz w:val="20"/>
                        <w:szCs w:val="20"/>
                      </w:rPr>
                    </w:pPr>
                    <w:r w:rsidRPr="0003585B">
                      <w:rPr>
                        <w:rFonts w:cs="Arial"/>
                        <w:sz w:val="20"/>
                        <w:szCs w:val="20"/>
                      </w:rPr>
                      <w:t>4,330,976,000</w:t>
                    </w:r>
                  </w:p>
                </w:tc>
                <w:tc>
                  <w:tcPr>
                    <w:tcW w:w="1045" w:type="pct"/>
                    <w:noWrap/>
                    <w:vAlign w:val="center"/>
                    <w:hideMark/>
                  </w:tcPr>
                  <w:p w:rsidR="00B637B2" w:rsidRPr="0003585B" w:rsidRDefault="008F04CF" w:rsidP="00B637B2">
                    <w:pPr>
                      <w:kinsoku w:val="0"/>
                      <w:overflowPunct w:val="0"/>
                      <w:autoSpaceDE w:val="0"/>
                      <w:autoSpaceDN w:val="0"/>
                      <w:adjustRightInd w:val="0"/>
                      <w:snapToGrid w:val="0"/>
                      <w:jc w:val="right"/>
                      <w:rPr>
                        <w:rFonts w:cs="Arial"/>
                        <w:color w:val="000000"/>
                        <w:sz w:val="20"/>
                        <w:szCs w:val="20"/>
                      </w:rPr>
                    </w:pPr>
                    <w:r w:rsidRPr="0003585B">
                      <w:rPr>
                        <w:rFonts w:cs="Arial"/>
                        <w:sz w:val="20"/>
                        <w:szCs w:val="20"/>
                      </w:rPr>
                      <w:t>4,330,976,000</w:t>
                    </w:r>
                  </w:p>
                </w:tc>
              </w:tr>
              <w:tr w:rsidR="00B637B2" w:rsidRPr="0003585B" w:rsidTr="00B637B2">
                <w:trPr>
                  <w:cantSplit/>
                </w:trPr>
                <w:tc>
                  <w:tcPr>
                    <w:tcW w:w="1862" w:type="pct"/>
                    <w:vAlign w:val="bottom"/>
                    <w:hideMark/>
                  </w:tcPr>
                  <w:p w:rsidR="00B637B2" w:rsidRPr="0003585B" w:rsidRDefault="008F04CF" w:rsidP="00B637B2">
                    <w:pPr>
                      <w:kinsoku w:val="0"/>
                      <w:overflowPunct w:val="0"/>
                      <w:autoSpaceDE w:val="0"/>
                      <w:autoSpaceDN w:val="0"/>
                      <w:adjustRightInd w:val="0"/>
                      <w:snapToGrid w:val="0"/>
                      <w:rPr>
                        <w:rFonts w:cs="Arial"/>
                        <w:color w:val="000000"/>
                        <w:sz w:val="20"/>
                        <w:szCs w:val="20"/>
                      </w:rPr>
                    </w:pPr>
                    <w:r w:rsidRPr="0003585B">
                      <w:rPr>
                        <w:rFonts w:cs="Arial" w:hint="eastAsia"/>
                        <w:color w:val="000000"/>
                        <w:sz w:val="20"/>
                        <w:szCs w:val="20"/>
                      </w:rPr>
                      <w:t>应付票据及应付账款</w:t>
                    </w:r>
                  </w:p>
                </w:tc>
                <w:tc>
                  <w:tcPr>
                    <w:tcW w:w="1046" w:type="pct"/>
                    <w:noWrap/>
                    <w:vAlign w:val="center"/>
                    <w:hideMark/>
                  </w:tcPr>
                  <w:p w:rsidR="00B637B2" w:rsidRPr="0003585B" w:rsidRDefault="008F04CF" w:rsidP="00B637B2">
                    <w:pPr>
                      <w:kinsoku w:val="0"/>
                      <w:overflowPunct w:val="0"/>
                      <w:autoSpaceDE w:val="0"/>
                      <w:autoSpaceDN w:val="0"/>
                      <w:adjustRightInd w:val="0"/>
                      <w:snapToGrid w:val="0"/>
                      <w:jc w:val="right"/>
                      <w:rPr>
                        <w:rFonts w:cs="Arial"/>
                        <w:color w:val="000000"/>
                        <w:sz w:val="20"/>
                        <w:szCs w:val="20"/>
                      </w:rPr>
                    </w:pPr>
                    <w:r w:rsidRPr="0003585B">
                      <w:rPr>
                        <w:rFonts w:cs="Arial"/>
                        <w:color w:val="000000"/>
                        <w:sz w:val="20"/>
                        <w:szCs w:val="20"/>
                      </w:rPr>
                      <w:t>-</w:t>
                    </w:r>
                  </w:p>
                </w:tc>
                <w:tc>
                  <w:tcPr>
                    <w:tcW w:w="1046" w:type="pct"/>
                    <w:vAlign w:val="center"/>
                    <w:hideMark/>
                  </w:tcPr>
                  <w:p w:rsidR="00B637B2" w:rsidRPr="0003585B" w:rsidRDefault="008F04CF" w:rsidP="00B637B2">
                    <w:pPr>
                      <w:kinsoku w:val="0"/>
                      <w:overflowPunct w:val="0"/>
                      <w:autoSpaceDE w:val="0"/>
                      <w:autoSpaceDN w:val="0"/>
                      <w:adjustRightInd w:val="0"/>
                      <w:snapToGrid w:val="0"/>
                      <w:jc w:val="right"/>
                      <w:rPr>
                        <w:rFonts w:cs="Arial"/>
                        <w:sz w:val="20"/>
                        <w:szCs w:val="20"/>
                      </w:rPr>
                    </w:pPr>
                    <w:r w:rsidRPr="0003585B">
                      <w:rPr>
                        <w:rFonts w:cs="Arial"/>
                        <w:sz w:val="20"/>
                        <w:szCs w:val="20"/>
                      </w:rPr>
                      <w:t>460,055,944</w:t>
                    </w:r>
                  </w:p>
                </w:tc>
                <w:tc>
                  <w:tcPr>
                    <w:tcW w:w="1045" w:type="pct"/>
                    <w:noWrap/>
                    <w:vAlign w:val="center"/>
                    <w:hideMark/>
                  </w:tcPr>
                  <w:p w:rsidR="00B637B2" w:rsidRPr="0003585B" w:rsidRDefault="008F04CF" w:rsidP="00B637B2">
                    <w:pPr>
                      <w:kinsoku w:val="0"/>
                      <w:overflowPunct w:val="0"/>
                      <w:autoSpaceDE w:val="0"/>
                      <w:autoSpaceDN w:val="0"/>
                      <w:adjustRightInd w:val="0"/>
                      <w:snapToGrid w:val="0"/>
                      <w:jc w:val="right"/>
                      <w:rPr>
                        <w:rFonts w:cs="Arial"/>
                        <w:color w:val="000000"/>
                        <w:sz w:val="20"/>
                        <w:szCs w:val="20"/>
                      </w:rPr>
                    </w:pPr>
                    <w:r w:rsidRPr="0003585B">
                      <w:rPr>
                        <w:rFonts w:cs="Arial"/>
                        <w:sz w:val="20"/>
                        <w:szCs w:val="20"/>
                      </w:rPr>
                      <w:t>460,055,944</w:t>
                    </w:r>
                  </w:p>
                </w:tc>
              </w:tr>
              <w:tr w:rsidR="00B637B2" w:rsidRPr="0003585B" w:rsidTr="00B637B2">
                <w:trPr>
                  <w:cantSplit/>
                </w:trPr>
                <w:tc>
                  <w:tcPr>
                    <w:tcW w:w="1862" w:type="pct"/>
                    <w:noWrap/>
                    <w:hideMark/>
                  </w:tcPr>
                  <w:p w:rsidR="00B637B2" w:rsidRPr="0003585B" w:rsidRDefault="008F04CF" w:rsidP="00B637B2">
                    <w:pPr>
                      <w:kinsoku w:val="0"/>
                      <w:overflowPunct w:val="0"/>
                      <w:autoSpaceDE w:val="0"/>
                      <w:autoSpaceDN w:val="0"/>
                      <w:adjustRightInd w:val="0"/>
                      <w:snapToGrid w:val="0"/>
                      <w:rPr>
                        <w:rFonts w:cs="Arial"/>
                        <w:color w:val="000000"/>
                        <w:sz w:val="20"/>
                        <w:szCs w:val="20"/>
                      </w:rPr>
                    </w:pPr>
                    <w:r w:rsidRPr="0003585B">
                      <w:rPr>
                        <w:rFonts w:cs="Arial" w:hint="eastAsia"/>
                        <w:snapToGrid w:val="0"/>
                        <w:sz w:val="20"/>
                        <w:szCs w:val="20"/>
                      </w:rPr>
                      <w:t>其他应付款</w:t>
                    </w:r>
                  </w:p>
                </w:tc>
                <w:tc>
                  <w:tcPr>
                    <w:tcW w:w="1046" w:type="pct"/>
                    <w:noWrap/>
                    <w:vAlign w:val="center"/>
                    <w:hideMark/>
                  </w:tcPr>
                  <w:p w:rsidR="00B637B2" w:rsidRPr="0003585B" w:rsidRDefault="008F04CF" w:rsidP="00B637B2">
                    <w:pPr>
                      <w:kinsoku w:val="0"/>
                      <w:overflowPunct w:val="0"/>
                      <w:autoSpaceDE w:val="0"/>
                      <w:autoSpaceDN w:val="0"/>
                      <w:adjustRightInd w:val="0"/>
                      <w:snapToGrid w:val="0"/>
                      <w:jc w:val="right"/>
                      <w:rPr>
                        <w:rFonts w:cs="Arial"/>
                        <w:color w:val="000000"/>
                        <w:sz w:val="20"/>
                        <w:szCs w:val="20"/>
                      </w:rPr>
                    </w:pPr>
                    <w:r w:rsidRPr="0003585B">
                      <w:rPr>
                        <w:rFonts w:cs="Arial"/>
                        <w:color w:val="000000"/>
                        <w:sz w:val="20"/>
                        <w:szCs w:val="20"/>
                      </w:rPr>
                      <w:t>-</w:t>
                    </w:r>
                  </w:p>
                </w:tc>
                <w:tc>
                  <w:tcPr>
                    <w:tcW w:w="1046" w:type="pct"/>
                    <w:vAlign w:val="center"/>
                    <w:hideMark/>
                  </w:tcPr>
                  <w:p w:rsidR="00B637B2" w:rsidRPr="0003585B" w:rsidRDefault="008F04CF" w:rsidP="00B637B2">
                    <w:pPr>
                      <w:kinsoku w:val="0"/>
                      <w:overflowPunct w:val="0"/>
                      <w:autoSpaceDE w:val="0"/>
                      <w:autoSpaceDN w:val="0"/>
                      <w:adjustRightInd w:val="0"/>
                      <w:snapToGrid w:val="0"/>
                      <w:jc w:val="right"/>
                      <w:rPr>
                        <w:rFonts w:cs="Arial"/>
                        <w:sz w:val="20"/>
                        <w:szCs w:val="20"/>
                      </w:rPr>
                    </w:pPr>
                    <w:r w:rsidRPr="0003585B">
                      <w:rPr>
                        <w:rFonts w:cs="Arial"/>
                        <w:sz w:val="20"/>
                        <w:szCs w:val="20"/>
                      </w:rPr>
                      <w:t>741,545,831</w:t>
                    </w:r>
                  </w:p>
                </w:tc>
                <w:tc>
                  <w:tcPr>
                    <w:tcW w:w="1045" w:type="pct"/>
                    <w:noWrap/>
                    <w:vAlign w:val="center"/>
                    <w:hideMark/>
                  </w:tcPr>
                  <w:p w:rsidR="00B637B2" w:rsidRPr="0003585B" w:rsidRDefault="008F04CF" w:rsidP="00B637B2">
                    <w:pPr>
                      <w:kinsoku w:val="0"/>
                      <w:overflowPunct w:val="0"/>
                      <w:autoSpaceDE w:val="0"/>
                      <w:autoSpaceDN w:val="0"/>
                      <w:adjustRightInd w:val="0"/>
                      <w:snapToGrid w:val="0"/>
                      <w:jc w:val="right"/>
                      <w:rPr>
                        <w:rFonts w:cs="Arial"/>
                        <w:color w:val="000000"/>
                        <w:sz w:val="20"/>
                        <w:szCs w:val="20"/>
                      </w:rPr>
                    </w:pPr>
                    <w:r w:rsidRPr="0003585B">
                      <w:rPr>
                        <w:rFonts w:cs="Arial"/>
                        <w:sz w:val="20"/>
                        <w:szCs w:val="20"/>
                      </w:rPr>
                      <w:t>741,545,831</w:t>
                    </w:r>
                  </w:p>
                </w:tc>
              </w:tr>
              <w:tr w:rsidR="00B637B2" w:rsidRPr="0003585B" w:rsidTr="00B637B2">
                <w:trPr>
                  <w:cantSplit/>
                </w:trPr>
                <w:tc>
                  <w:tcPr>
                    <w:tcW w:w="1862" w:type="pct"/>
                    <w:noWrap/>
                    <w:hideMark/>
                  </w:tcPr>
                  <w:p w:rsidR="00B637B2" w:rsidRPr="0003585B" w:rsidRDefault="008F04CF" w:rsidP="00B637B2">
                    <w:pPr>
                      <w:kinsoku w:val="0"/>
                      <w:overflowPunct w:val="0"/>
                      <w:autoSpaceDE w:val="0"/>
                      <w:autoSpaceDN w:val="0"/>
                      <w:adjustRightInd w:val="0"/>
                      <w:snapToGrid w:val="0"/>
                      <w:rPr>
                        <w:rFonts w:cs="Arial"/>
                        <w:color w:val="000000"/>
                        <w:sz w:val="20"/>
                        <w:szCs w:val="20"/>
                      </w:rPr>
                    </w:pPr>
                    <w:r w:rsidRPr="0003585B">
                      <w:rPr>
                        <w:rFonts w:cs="Arial" w:hint="eastAsia"/>
                        <w:snapToGrid w:val="0"/>
                        <w:sz w:val="20"/>
                        <w:szCs w:val="20"/>
                      </w:rPr>
                      <w:t>一年内到期的长期借款</w:t>
                    </w:r>
                  </w:p>
                </w:tc>
                <w:tc>
                  <w:tcPr>
                    <w:tcW w:w="1046" w:type="pct"/>
                    <w:noWrap/>
                    <w:vAlign w:val="center"/>
                    <w:hideMark/>
                  </w:tcPr>
                  <w:p w:rsidR="00B637B2" w:rsidRPr="0003585B" w:rsidRDefault="008F04CF" w:rsidP="00B637B2">
                    <w:pPr>
                      <w:kinsoku w:val="0"/>
                      <w:overflowPunct w:val="0"/>
                      <w:autoSpaceDE w:val="0"/>
                      <w:autoSpaceDN w:val="0"/>
                      <w:adjustRightInd w:val="0"/>
                      <w:snapToGrid w:val="0"/>
                      <w:jc w:val="right"/>
                      <w:rPr>
                        <w:rFonts w:cs="Arial"/>
                        <w:color w:val="000000"/>
                        <w:sz w:val="20"/>
                        <w:szCs w:val="20"/>
                      </w:rPr>
                    </w:pPr>
                    <w:r w:rsidRPr="0003585B">
                      <w:rPr>
                        <w:rFonts w:cs="Arial"/>
                        <w:color w:val="000000"/>
                        <w:sz w:val="20"/>
                        <w:szCs w:val="20"/>
                      </w:rPr>
                      <w:t>-</w:t>
                    </w:r>
                  </w:p>
                </w:tc>
                <w:tc>
                  <w:tcPr>
                    <w:tcW w:w="1046" w:type="pct"/>
                    <w:vAlign w:val="center"/>
                    <w:hideMark/>
                  </w:tcPr>
                  <w:p w:rsidR="00B637B2" w:rsidRPr="0003585B" w:rsidRDefault="008F04CF" w:rsidP="00B637B2">
                    <w:pPr>
                      <w:kinsoku w:val="0"/>
                      <w:overflowPunct w:val="0"/>
                      <w:autoSpaceDE w:val="0"/>
                      <w:autoSpaceDN w:val="0"/>
                      <w:adjustRightInd w:val="0"/>
                      <w:snapToGrid w:val="0"/>
                      <w:jc w:val="right"/>
                      <w:rPr>
                        <w:rFonts w:cs="Arial"/>
                        <w:sz w:val="20"/>
                        <w:szCs w:val="20"/>
                      </w:rPr>
                    </w:pPr>
                    <w:r w:rsidRPr="0003585B">
                      <w:rPr>
                        <w:rFonts w:cs="Arial"/>
                        <w:sz w:val="20"/>
                        <w:szCs w:val="20"/>
                      </w:rPr>
                      <w:t>90,000,000</w:t>
                    </w:r>
                  </w:p>
                </w:tc>
                <w:tc>
                  <w:tcPr>
                    <w:tcW w:w="1045" w:type="pct"/>
                    <w:noWrap/>
                    <w:vAlign w:val="center"/>
                    <w:hideMark/>
                  </w:tcPr>
                  <w:p w:rsidR="00B637B2" w:rsidRPr="0003585B" w:rsidRDefault="008F04CF" w:rsidP="00B637B2">
                    <w:pPr>
                      <w:kinsoku w:val="0"/>
                      <w:overflowPunct w:val="0"/>
                      <w:autoSpaceDE w:val="0"/>
                      <w:autoSpaceDN w:val="0"/>
                      <w:adjustRightInd w:val="0"/>
                      <w:snapToGrid w:val="0"/>
                      <w:jc w:val="right"/>
                      <w:rPr>
                        <w:rFonts w:cs="Arial"/>
                        <w:color w:val="000000"/>
                        <w:sz w:val="20"/>
                        <w:szCs w:val="20"/>
                      </w:rPr>
                    </w:pPr>
                    <w:r w:rsidRPr="0003585B">
                      <w:rPr>
                        <w:rFonts w:cs="Arial"/>
                        <w:sz w:val="20"/>
                        <w:szCs w:val="20"/>
                      </w:rPr>
                      <w:t>90,000,000</w:t>
                    </w:r>
                  </w:p>
                </w:tc>
              </w:tr>
              <w:tr w:rsidR="00B637B2" w:rsidRPr="0003585B" w:rsidTr="00B637B2">
                <w:trPr>
                  <w:cantSplit/>
                </w:trPr>
                <w:tc>
                  <w:tcPr>
                    <w:tcW w:w="1862" w:type="pct"/>
                    <w:noWrap/>
                    <w:hideMark/>
                  </w:tcPr>
                  <w:p w:rsidR="00B637B2" w:rsidRPr="0003585B" w:rsidRDefault="008F04CF" w:rsidP="00B637B2">
                    <w:pPr>
                      <w:kinsoku w:val="0"/>
                      <w:overflowPunct w:val="0"/>
                      <w:autoSpaceDE w:val="0"/>
                      <w:autoSpaceDN w:val="0"/>
                      <w:adjustRightInd w:val="0"/>
                      <w:snapToGrid w:val="0"/>
                      <w:rPr>
                        <w:rFonts w:cs="Arial"/>
                        <w:sz w:val="20"/>
                        <w:szCs w:val="20"/>
                      </w:rPr>
                    </w:pPr>
                    <w:r w:rsidRPr="0003585B">
                      <w:rPr>
                        <w:rFonts w:cs="Arial" w:hint="eastAsia"/>
                        <w:snapToGrid w:val="0"/>
                        <w:sz w:val="20"/>
                        <w:szCs w:val="20"/>
                      </w:rPr>
                      <w:t>长期借款</w:t>
                    </w:r>
                  </w:p>
                </w:tc>
                <w:tc>
                  <w:tcPr>
                    <w:tcW w:w="1046" w:type="pct"/>
                    <w:noWrap/>
                    <w:vAlign w:val="center"/>
                    <w:hideMark/>
                  </w:tcPr>
                  <w:p w:rsidR="00B637B2" w:rsidRPr="0003585B" w:rsidRDefault="008F04CF" w:rsidP="00B637B2">
                    <w:pPr>
                      <w:kinsoku w:val="0"/>
                      <w:overflowPunct w:val="0"/>
                      <w:autoSpaceDE w:val="0"/>
                      <w:autoSpaceDN w:val="0"/>
                      <w:adjustRightInd w:val="0"/>
                      <w:snapToGrid w:val="0"/>
                      <w:jc w:val="right"/>
                      <w:rPr>
                        <w:rFonts w:cs="Arial"/>
                        <w:sz w:val="20"/>
                        <w:szCs w:val="20"/>
                      </w:rPr>
                    </w:pPr>
                    <w:r w:rsidRPr="0003585B">
                      <w:rPr>
                        <w:rFonts w:cs="Arial"/>
                        <w:sz w:val="20"/>
                        <w:szCs w:val="20"/>
                      </w:rPr>
                      <w:t>-</w:t>
                    </w:r>
                  </w:p>
                </w:tc>
                <w:tc>
                  <w:tcPr>
                    <w:tcW w:w="1046" w:type="pct"/>
                    <w:vAlign w:val="center"/>
                    <w:hideMark/>
                  </w:tcPr>
                  <w:p w:rsidR="00B637B2" w:rsidRPr="0003585B" w:rsidRDefault="008F04CF" w:rsidP="00B637B2">
                    <w:pPr>
                      <w:kinsoku w:val="0"/>
                      <w:overflowPunct w:val="0"/>
                      <w:autoSpaceDE w:val="0"/>
                      <w:autoSpaceDN w:val="0"/>
                      <w:adjustRightInd w:val="0"/>
                      <w:snapToGrid w:val="0"/>
                      <w:jc w:val="right"/>
                      <w:rPr>
                        <w:rFonts w:cs="Arial"/>
                        <w:sz w:val="20"/>
                        <w:szCs w:val="20"/>
                      </w:rPr>
                    </w:pPr>
                    <w:r w:rsidRPr="0003585B">
                      <w:rPr>
                        <w:rFonts w:cs="Arial"/>
                        <w:sz w:val="20"/>
                        <w:szCs w:val="20"/>
                      </w:rPr>
                      <w:t>90,000,000</w:t>
                    </w:r>
                  </w:p>
                </w:tc>
                <w:tc>
                  <w:tcPr>
                    <w:tcW w:w="1045" w:type="pct"/>
                    <w:noWrap/>
                    <w:vAlign w:val="center"/>
                    <w:hideMark/>
                  </w:tcPr>
                  <w:p w:rsidR="00B637B2" w:rsidRPr="0003585B" w:rsidRDefault="008F04CF" w:rsidP="00B637B2">
                    <w:pPr>
                      <w:kinsoku w:val="0"/>
                      <w:overflowPunct w:val="0"/>
                      <w:autoSpaceDE w:val="0"/>
                      <w:autoSpaceDN w:val="0"/>
                      <w:adjustRightInd w:val="0"/>
                      <w:snapToGrid w:val="0"/>
                      <w:jc w:val="right"/>
                      <w:rPr>
                        <w:rFonts w:cs="Arial"/>
                        <w:sz w:val="20"/>
                        <w:szCs w:val="20"/>
                      </w:rPr>
                    </w:pPr>
                    <w:r w:rsidRPr="0003585B">
                      <w:rPr>
                        <w:rFonts w:cs="Arial"/>
                        <w:sz w:val="20"/>
                        <w:szCs w:val="20"/>
                      </w:rPr>
                      <w:t>90,000,000</w:t>
                    </w:r>
                  </w:p>
                </w:tc>
              </w:tr>
              <w:tr w:rsidR="00B637B2" w:rsidRPr="0003585B" w:rsidTr="00B637B2">
                <w:trPr>
                  <w:cantSplit/>
                </w:trPr>
                <w:tc>
                  <w:tcPr>
                    <w:tcW w:w="1862" w:type="pct"/>
                    <w:noWrap/>
                    <w:hideMark/>
                  </w:tcPr>
                  <w:p w:rsidR="00B637B2" w:rsidRPr="0003585B" w:rsidRDefault="008F04CF" w:rsidP="00B637B2">
                    <w:pPr>
                      <w:kinsoku w:val="0"/>
                      <w:overflowPunct w:val="0"/>
                      <w:autoSpaceDE w:val="0"/>
                      <w:autoSpaceDN w:val="0"/>
                      <w:adjustRightInd w:val="0"/>
                      <w:snapToGrid w:val="0"/>
                      <w:rPr>
                        <w:rFonts w:cs="Arial"/>
                        <w:snapToGrid w:val="0"/>
                        <w:sz w:val="20"/>
                        <w:szCs w:val="20"/>
                      </w:rPr>
                    </w:pPr>
                    <w:r w:rsidRPr="0003585B">
                      <w:rPr>
                        <w:rFonts w:cs="Arial" w:hint="eastAsia"/>
                        <w:snapToGrid w:val="0"/>
                        <w:sz w:val="20"/>
                        <w:szCs w:val="20"/>
                      </w:rPr>
                      <w:t>其他流动负债</w:t>
                    </w:r>
                    <w:r w:rsidRPr="0003585B">
                      <w:rPr>
                        <w:rFonts w:cs="Arial"/>
                        <w:snapToGrid w:val="0"/>
                        <w:sz w:val="20"/>
                        <w:szCs w:val="20"/>
                      </w:rPr>
                      <w:t>(</w:t>
                    </w:r>
                    <w:r w:rsidRPr="0003585B">
                      <w:rPr>
                        <w:rFonts w:cs="Arial" w:hint="eastAsia"/>
                        <w:snapToGrid w:val="0"/>
                        <w:sz w:val="20"/>
                        <w:szCs w:val="20"/>
                      </w:rPr>
                      <w:t>审计费和房租</w:t>
                    </w:r>
                    <w:r w:rsidRPr="0003585B">
                      <w:rPr>
                        <w:rFonts w:cs="Arial"/>
                        <w:snapToGrid w:val="0"/>
                        <w:sz w:val="20"/>
                        <w:szCs w:val="20"/>
                      </w:rPr>
                      <w:t>)</w:t>
                    </w:r>
                  </w:p>
                </w:tc>
                <w:tc>
                  <w:tcPr>
                    <w:tcW w:w="1046" w:type="pct"/>
                    <w:noWrap/>
                    <w:vAlign w:val="center"/>
                    <w:hideMark/>
                  </w:tcPr>
                  <w:p w:rsidR="00B637B2" w:rsidRPr="0003585B" w:rsidRDefault="008F04CF" w:rsidP="00B637B2">
                    <w:pPr>
                      <w:kinsoku w:val="0"/>
                      <w:overflowPunct w:val="0"/>
                      <w:autoSpaceDE w:val="0"/>
                      <w:autoSpaceDN w:val="0"/>
                      <w:adjustRightInd w:val="0"/>
                      <w:snapToGrid w:val="0"/>
                      <w:jc w:val="right"/>
                      <w:rPr>
                        <w:rFonts w:cs="Arial"/>
                        <w:color w:val="000000"/>
                        <w:sz w:val="20"/>
                        <w:szCs w:val="20"/>
                      </w:rPr>
                    </w:pPr>
                    <w:r w:rsidRPr="0003585B">
                      <w:rPr>
                        <w:rFonts w:cs="Arial"/>
                        <w:color w:val="000000"/>
                        <w:sz w:val="20"/>
                        <w:szCs w:val="20"/>
                      </w:rPr>
                      <w:t xml:space="preserve">   -  </w:t>
                    </w:r>
                  </w:p>
                </w:tc>
                <w:tc>
                  <w:tcPr>
                    <w:tcW w:w="1046" w:type="pct"/>
                    <w:vAlign w:val="center"/>
                    <w:hideMark/>
                  </w:tcPr>
                  <w:p w:rsidR="00B637B2" w:rsidRPr="0003585B" w:rsidRDefault="008F04CF" w:rsidP="00B637B2">
                    <w:pPr>
                      <w:kinsoku w:val="0"/>
                      <w:overflowPunct w:val="0"/>
                      <w:autoSpaceDE w:val="0"/>
                      <w:autoSpaceDN w:val="0"/>
                      <w:adjustRightInd w:val="0"/>
                      <w:snapToGrid w:val="0"/>
                      <w:jc w:val="right"/>
                      <w:rPr>
                        <w:rFonts w:cs="Arial"/>
                        <w:sz w:val="20"/>
                        <w:szCs w:val="20"/>
                      </w:rPr>
                    </w:pPr>
                    <w:r w:rsidRPr="0003585B">
                      <w:rPr>
                        <w:rFonts w:cs="Arial"/>
                        <w:color w:val="000000"/>
                        <w:sz w:val="20"/>
                        <w:szCs w:val="20"/>
                      </w:rPr>
                      <w:t xml:space="preserve">1,737,752 </w:t>
                    </w:r>
                  </w:p>
                </w:tc>
                <w:tc>
                  <w:tcPr>
                    <w:tcW w:w="1045" w:type="pct"/>
                    <w:noWrap/>
                    <w:vAlign w:val="center"/>
                    <w:hideMark/>
                  </w:tcPr>
                  <w:p w:rsidR="00B637B2" w:rsidRPr="0003585B" w:rsidRDefault="008F04CF" w:rsidP="00B637B2">
                    <w:pPr>
                      <w:kinsoku w:val="0"/>
                      <w:overflowPunct w:val="0"/>
                      <w:autoSpaceDE w:val="0"/>
                      <w:autoSpaceDN w:val="0"/>
                      <w:adjustRightInd w:val="0"/>
                      <w:snapToGrid w:val="0"/>
                      <w:jc w:val="right"/>
                      <w:rPr>
                        <w:rFonts w:cs="Arial"/>
                        <w:color w:val="000000"/>
                        <w:sz w:val="20"/>
                        <w:szCs w:val="20"/>
                      </w:rPr>
                    </w:pPr>
                    <w:r w:rsidRPr="0003585B">
                      <w:rPr>
                        <w:rFonts w:cs="Arial"/>
                        <w:color w:val="000000"/>
                        <w:sz w:val="20"/>
                        <w:szCs w:val="20"/>
                      </w:rPr>
                      <w:t xml:space="preserve">1,737,752 </w:t>
                    </w:r>
                  </w:p>
                </w:tc>
              </w:tr>
              <w:tr w:rsidR="00B637B2" w:rsidRPr="0003585B" w:rsidTr="00B637B2">
                <w:trPr>
                  <w:cantSplit/>
                </w:trPr>
                <w:tc>
                  <w:tcPr>
                    <w:tcW w:w="1862" w:type="pct"/>
                    <w:noWrap/>
                    <w:hideMark/>
                  </w:tcPr>
                  <w:p w:rsidR="00B637B2" w:rsidRPr="0003585B" w:rsidRDefault="008F04CF" w:rsidP="00B637B2">
                    <w:pPr>
                      <w:kinsoku w:val="0"/>
                      <w:overflowPunct w:val="0"/>
                      <w:autoSpaceDE w:val="0"/>
                      <w:autoSpaceDN w:val="0"/>
                      <w:adjustRightInd w:val="0"/>
                      <w:snapToGrid w:val="0"/>
                      <w:rPr>
                        <w:rFonts w:cs="Arial"/>
                        <w:snapToGrid w:val="0"/>
                        <w:sz w:val="20"/>
                        <w:szCs w:val="20"/>
                      </w:rPr>
                    </w:pPr>
                    <w:r w:rsidRPr="0003585B">
                      <w:rPr>
                        <w:rFonts w:cs="Arial" w:hint="eastAsia"/>
                        <w:snapToGrid w:val="0"/>
                        <w:sz w:val="20"/>
                        <w:szCs w:val="20"/>
                      </w:rPr>
                      <w:t>衍生金融负债</w:t>
                    </w:r>
                  </w:p>
                </w:tc>
                <w:tc>
                  <w:tcPr>
                    <w:tcW w:w="1046" w:type="pct"/>
                    <w:noWrap/>
                    <w:vAlign w:val="center"/>
                    <w:hideMark/>
                  </w:tcPr>
                  <w:p w:rsidR="00B637B2" w:rsidRPr="0003585B" w:rsidRDefault="008F04CF" w:rsidP="00B637B2">
                    <w:pPr>
                      <w:kinsoku w:val="0"/>
                      <w:overflowPunct w:val="0"/>
                      <w:autoSpaceDE w:val="0"/>
                      <w:autoSpaceDN w:val="0"/>
                      <w:adjustRightInd w:val="0"/>
                      <w:snapToGrid w:val="0"/>
                      <w:jc w:val="right"/>
                      <w:rPr>
                        <w:rFonts w:cs="Arial"/>
                        <w:color w:val="000000"/>
                        <w:sz w:val="20"/>
                        <w:szCs w:val="20"/>
                        <w:u w:val="single"/>
                      </w:rPr>
                    </w:pPr>
                    <w:r w:rsidRPr="0003585B">
                      <w:rPr>
                        <w:rFonts w:cs="Arial"/>
                        <w:color w:val="000000"/>
                        <w:sz w:val="20"/>
                        <w:szCs w:val="20"/>
                        <w:u w:val="single"/>
                      </w:rPr>
                      <w:t xml:space="preserve">          968,641</w:t>
                    </w:r>
                  </w:p>
                </w:tc>
                <w:tc>
                  <w:tcPr>
                    <w:tcW w:w="1046" w:type="pct"/>
                    <w:vAlign w:val="center"/>
                    <w:hideMark/>
                  </w:tcPr>
                  <w:p w:rsidR="00B637B2" w:rsidRPr="0003585B" w:rsidRDefault="008F04CF" w:rsidP="00B637B2">
                    <w:pPr>
                      <w:kinsoku w:val="0"/>
                      <w:overflowPunct w:val="0"/>
                      <w:autoSpaceDE w:val="0"/>
                      <w:autoSpaceDN w:val="0"/>
                      <w:adjustRightInd w:val="0"/>
                      <w:snapToGrid w:val="0"/>
                      <w:jc w:val="right"/>
                      <w:rPr>
                        <w:rFonts w:cs="Arial"/>
                        <w:color w:val="000000"/>
                        <w:sz w:val="20"/>
                        <w:szCs w:val="20"/>
                        <w:u w:val="single"/>
                      </w:rPr>
                    </w:pPr>
                    <w:r w:rsidRPr="0003585B">
                      <w:rPr>
                        <w:rFonts w:cs="Arial"/>
                        <w:color w:val="000000"/>
                        <w:sz w:val="20"/>
                        <w:szCs w:val="20"/>
                        <w:u w:val="single"/>
                      </w:rPr>
                      <w:t xml:space="preserve">            -</w:t>
                    </w:r>
                  </w:p>
                </w:tc>
                <w:tc>
                  <w:tcPr>
                    <w:tcW w:w="1045" w:type="pct"/>
                    <w:noWrap/>
                    <w:vAlign w:val="center"/>
                    <w:hideMark/>
                  </w:tcPr>
                  <w:p w:rsidR="00B637B2" w:rsidRPr="0003585B" w:rsidRDefault="008F04CF" w:rsidP="00B637B2">
                    <w:pPr>
                      <w:kinsoku w:val="0"/>
                      <w:overflowPunct w:val="0"/>
                      <w:autoSpaceDE w:val="0"/>
                      <w:autoSpaceDN w:val="0"/>
                      <w:adjustRightInd w:val="0"/>
                      <w:snapToGrid w:val="0"/>
                      <w:jc w:val="right"/>
                      <w:rPr>
                        <w:rFonts w:cs="Arial"/>
                        <w:color w:val="000000"/>
                        <w:sz w:val="20"/>
                        <w:szCs w:val="20"/>
                        <w:u w:val="single"/>
                      </w:rPr>
                    </w:pPr>
                    <w:r w:rsidRPr="0003585B">
                      <w:rPr>
                        <w:rFonts w:cs="Arial"/>
                        <w:color w:val="000000"/>
                        <w:sz w:val="20"/>
                        <w:szCs w:val="20"/>
                        <w:u w:val="single"/>
                      </w:rPr>
                      <w:t xml:space="preserve">      968,641</w:t>
                    </w:r>
                  </w:p>
                </w:tc>
              </w:tr>
              <w:tr w:rsidR="00B637B2" w:rsidRPr="0003585B" w:rsidTr="00B637B2">
                <w:trPr>
                  <w:cantSplit/>
                </w:trPr>
                <w:tc>
                  <w:tcPr>
                    <w:tcW w:w="1862" w:type="pct"/>
                    <w:noWrap/>
                  </w:tcPr>
                  <w:p w:rsidR="00B637B2" w:rsidRPr="0003585B" w:rsidRDefault="00B637B2" w:rsidP="00B637B2">
                    <w:pPr>
                      <w:kinsoku w:val="0"/>
                      <w:overflowPunct w:val="0"/>
                      <w:autoSpaceDE w:val="0"/>
                      <w:autoSpaceDN w:val="0"/>
                      <w:adjustRightInd w:val="0"/>
                      <w:snapToGrid w:val="0"/>
                      <w:rPr>
                        <w:rFonts w:cs="Arial"/>
                        <w:snapToGrid w:val="0"/>
                        <w:sz w:val="20"/>
                        <w:szCs w:val="20"/>
                      </w:rPr>
                    </w:pPr>
                  </w:p>
                </w:tc>
                <w:tc>
                  <w:tcPr>
                    <w:tcW w:w="1046" w:type="pct"/>
                    <w:noWrap/>
                    <w:vAlign w:val="center"/>
                  </w:tcPr>
                  <w:p w:rsidR="00B637B2" w:rsidRPr="0003585B" w:rsidRDefault="00B637B2" w:rsidP="00B637B2">
                    <w:pPr>
                      <w:kinsoku w:val="0"/>
                      <w:overflowPunct w:val="0"/>
                      <w:autoSpaceDE w:val="0"/>
                      <w:autoSpaceDN w:val="0"/>
                      <w:adjustRightInd w:val="0"/>
                      <w:snapToGrid w:val="0"/>
                      <w:jc w:val="right"/>
                      <w:rPr>
                        <w:rFonts w:cs="Arial"/>
                        <w:color w:val="000000"/>
                        <w:sz w:val="20"/>
                        <w:szCs w:val="20"/>
                      </w:rPr>
                    </w:pPr>
                  </w:p>
                </w:tc>
                <w:tc>
                  <w:tcPr>
                    <w:tcW w:w="1046" w:type="pct"/>
                    <w:vAlign w:val="center"/>
                  </w:tcPr>
                  <w:p w:rsidR="00B637B2" w:rsidRPr="0003585B" w:rsidRDefault="00B637B2" w:rsidP="00B637B2">
                    <w:pPr>
                      <w:kinsoku w:val="0"/>
                      <w:overflowPunct w:val="0"/>
                      <w:autoSpaceDE w:val="0"/>
                      <w:autoSpaceDN w:val="0"/>
                      <w:adjustRightInd w:val="0"/>
                      <w:snapToGrid w:val="0"/>
                      <w:jc w:val="right"/>
                      <w:rPr>
                        <w:rFonts w:cs="Arial"/>
                        <w:color w:val="000000"/>
                        <w:sz w:val="20"/>
                        <w:szCs w:val="20"/>
                      </w:rPr>
                    </w:pPr>
                  </w:p>
                </w:tc>
                <w:tc>
                  <w:tcPr>
                    <w:tcW w:w="1045" w:type="pct"/>
                    <w:noWrap/>
                    <w:vAlign w:val="center"/>
                  </w:tcPr>
                  <w:p w:rsidR="00B637B2" w:rsidRPr="0003585B" w:rsidRDefault="00B637B2" w:rsidP="00B637B2">
                    <w:pPr>
                      <w:kinsoku w:val="0"/>
                      <w:overflowPunct w:val="0"/>
                      <w:autoSpaceDE w:val="0"/>
                      <w:autoSpaceDN w:val="0"/>
                      <w:adjustRightInd w:val="0"/>
                      <w:snapToGrid w:val="0"/>
                      <w:jc w:val="right"/>
                      <w:rPr>
                        <w:rFonts w:cs="Arial"/>
                        <w:color w:val="000000"/>
                        <w:sz w:val="20"/>
                        <w:szCs w:val="20"/>
                      </w:rPr>
                    </w:pPr>
                  </w:p>
                </w:tc>
              </w:tr>
              <w:tr w:rsidR="00B637B2" w:rsidRPr="0003585B" w:rsidTr="00B637B2">
                <w:trPr>
                  <w:cantSplit/>
                </w:trPr>
                <w:tc>
                  <w:tcPr>
                    <w:tcW w:w="1862" w:type="pct"/>
                    <w:noWrap/>
                    <w:hideMark/>
                  </w:tcPr>
                  <w:p w:rsidR="00B637B2" w:rsidRPr="0003585B" w:rsidRDefault="00B637B2" w:rsidP="00B637B2">
                    <w:pPr>
                      <w:rPr>
                        <w:rFonts w:cs="Arial"/>
                        <w:color w:val="000000"/>
                        <w:sz w:val="20"/>
                        <w:szCs w:val="20"/>
                      </w:rPr>
                    </w:pPr>
                  </w:p>
                </w:tc>
                <w:tc>
                  <w:tcPr>
                    <w:tcW w:w="1046" w:type="pct"/>
                    <w:noWrap/>
                    <w:vAlign w:val="center"/>
                    <w:hideMark/>
                  </w:tcPr>
                  <w:p w:rsidR="00B637B2" w:rsidRPr="0003585B" w:rsidRDefault="00B637B2" w:rsidP="00B637B2">
                    <w:pPr>
                      <w:rPr>
                        <w:sz w:val="20"/>
                        <w:szCs w:val="20"/>
                      </w:rPr>
                    </w:pPr>
                  </w:p>
                </w:tc>
                <w:tc>
                  <w:tcPr>
                    <w:tcW w:w="1046" w:type="pct"/>
                    <w:noWrap/>
                    <w:vAlign w:val="center"/>
                    <w:hideMark/>
                  </w:tcPr>
                  <w:p w:rsidR="00B637B2" w:rsidRPr="0003585B" w:rsidRDefault="00B637B2" w:rsidP="00B637B2">
                    <w:pPr>
                      <w:rPr>
                        <w:sz w:val="20"/>
                        <w:szCs w:val="20"/>
                      </w:rPr>
                    </w:pPr>
                  </w:p>
                </w:tc>
                <w:tc>
                  <w:tcPr>
                    <w:tcW w:w="1045" w:type="pct"/>
                    <w:noWrap/>
                    <w:vAlign w:val="center"/>
                    <w:hideMark/>
                  </w:tcPr>
                  <w:p w:rsidR="00B637B2" w:rsidRPr="0003585B" w:rsidRDefault="00B637B2" w:rsidP="00B637B2">
                    <w:pPr>
                      <w:rPr>
                        <w:sz w:val="20"/>
                        <w:szCs w:val="20"/>
                      </w:rPr>
                    </w:pPr>
                  </w:p>
                </w:tc>
              </w:tr>
              <w:tr w:rsidR="00B637B2" w:rsidRPr="0003585B" w:rsidTr="00B637B2">
                <w:trPr>
                  <w:cantSplit/>
                </w:trPr>
                <w:tc>
                  <w:tcPr>
                    <w:tcW w:w="1862" w:type="pct"/>
                    <w:noWrap/>
                  </w:tcPr>
                  <w:p w:rsidR="00B637B2" w:rsidRPr="0003585B" w:rsidRDefault="00B637B2" w:rsidP="00B637B2">
                    <w:pPr>
                      <w:kinsoku w:val="0"/>
                      <w:overflowPunct w:val="0"/>
                      <w:autoSpaceDE w:val="0"/>
                      <w:autoSpaceDN w:val="0"/>
                      <w:adjustRightInd w:val="0"/>
                      <w:snapToGrid w:val="0"/>
                      <w:rPr>
                        <w:rFonts w:cs="Arial"/>
                        <w:snapToGrid w:val="0"/>
                        <w:sz w:val="20"/>
                        <w:szCs w:val="20"/>
                      </w:rPr>
                    </w:pPr>
                  </w:p>
                </w:tc>
                <w:tc>
                  <w:tcPr>
                    <w:tcW w:w="1046" w:type="pct"/>
                    <w:noWrap/>
                    <w:vAlign w:val="center"/>
                    <w:hideMark/>
                  </w:tcPr>
                  <w:p w:rsidR="00B637B2" w:rsidRPr="0003585B" w:rsidRDefault="008F04CF" w:rsidP="00B637B2">
                    <w:pPr>
                      <w:kinsoku w:val="0"/>
                      <w:overflowPunct w:val="0"/>
                      <w:autoSpaceDE w:val="0"/>
                      <w:autoSpaceDN w:val="0"/>
                      <w:adjustRightInd w:val="0"/>
                      <w:snapToGrid w:val="0"/>
                      <w:jc w:val="right"/>
                      <w:rPr>
                        <w:rFonts w:cs="Arial"/>
                        <w:color w:val="000000"/>
                        <w:sz w:val="20"/>
                        <w:szCs w:val="20"/>
                        <w:u w:val="double"/>
                      </w:rPr>
                    </w:pPr>
                    <w:r w:rsidRPr="0003585B">
                      <w:rPr>
                        <w:rFonts w:cs="Arial"/>
                        <w:color w:val="000000"/>
                        <w:sz w:val="20"/>
                        <w:szCs w:val="20"/>
                        <w:u w:val="double"/>
                      </w:rPr>
                      <w:t xml:space="preserve">          968,641</w:t>
                    </w:r>
                  </w:p>
                </w:tc>
                <w:tc>
                  <w:tcPr>
                    <w:tcW w:w="1046" w:type="pct"/>
                    <w:noWrap/>
                    <w:vAlign w:val="center"/>
                    <w:hideMark/>
                  </w:tcPr>
                  <w:p w:rsidR="00B637B2" w:rsidRPr="0003585B" w:rsidRDefault="008F04CF" w:rsidP="00B637B2">
                    <w:pPr>
                      <w:kinsoku w:val="0"/>
                      <w:overflowPunct w:val="0"/>
                      <w:autoSpaceDE w:val="0"/>
                      <w:autoSpaceDN w:val="0"/>
                      <w:adjustRightInd w:val="0"/>
                      <w:snapToGrid w:val="0"/>
                      <w:jc w:val="right"/>
                      <w:rPr>
                        <w:rFonts w:cs="Arial"/>
                        <w:color w:val="000000"/>
                        <w:sz w:val="20"/>
                        <w:szCs w:val="20"/>
                        <w:u w:val="double"/>
                      </w:rPr>
                    </w:pPr>
                    <w:r w:rsidRPr="0003585B">
                      <w:rPr>
                        <w:rFonts w:cs="Arial"/>
                        <w:color w:val="000000"/>
                        <w:sz w:val="20"/>
                        <w:szCs w:val="20"/>
                        <w:u w:val="double"/>
                      </w:rPr>
                      <w:t>5,714,315,527</w:t>
                    </w:r>
                  </w:p>
                </w:tc>
                <w:tc>
                  <w:tcPr>
                    <w:tcW w:w="1045" w:type="pct"/>
                    <w:noWrap/>
                    <w:vAlign w:val="center"/>
                    <w:hideMark/>
                  </w:tcPr>
                  <w:p w:rsidR="00B637B2" w:rsidRPr="0003585B" w:rsidRDefault="008F04CF" w:rsidP="00B637B2">
                    <w:pPr>
                      <w:kinsoku w:val="0"/>
                      <w:overflowPunct w:val="0"/>
                      <w:autoSpaceDE w:val="0"/>
                      <w:autoSpaceDN w:val="0"/>
                      <w:adjustRightInd w:val="0"/>
                      <w:snapToGrid w:val="0"/>
                      <w:jc w:val="right"/>
                      <w:rPr>
                        <w:rFonts w:cs="Arial"/>
                        <w:color w:val="000000"/>
                        <w:sz w:val="20"/>
                        <w:szCs w:val="20"/>
                        <w:u w:val="double"/>
                      </w:rPr>
                    </w:pPr>
                    <w:r w:rsidRPr="0003585B">
                      <w:rPr>
                        <w:rFonts w:cs="Arial"/>
                        <w:color w:val="000000"/>
                        <w:sz w:val="20"/>
                        <w:szCs w:val="20"/>
                        <w:u w:val="double"/>
                      </w:rPr>
                      <w:t>5,715,284,168</w:t>
                    </w:r>
                  </w:p>
                </w:tc>
              </w:tr>
            </w:tbl>
            <w:p w:rsidR="00B637B2" w:rsidRPr="0003585B" w:rsidRDefault="00B637B2" w:rsidP="00B637B2">
              <w:pPr>
                <w:rPr>
                  <w:rFonts w:cs="Times New Roman"/>
                  <w:sz w:val="24"/>
                </w:rPr>
              </w:pPr>
            </w:p>
            <w:p w:rsidR="00B637B2" w:rsidRPr="0003585B" w:rsidRDefault="008F04CF" w:rsidP="00B637B2">
              <w:pPr>
                <w:tabs>
                  <w:tab w:val="right" w:pos="4200"/>
                  <w:tab w:val="decimal" w:pos="4560"/>
                  <w:tab w:val="decimal" w:pos="6240"/>
                  <w:tab w:val="decimal" w:pos="6600"/>
                  <w:tab w:val="decimal" w:pos="8280"/>
                </w:tabs>
                <w:overflowPunct w:val="0"/>
                <w:autoSpaceDE w:val="0"/>
                <w:autoSpaceDN w:val="0"/>
                <w:ind w:left="720" w:hanging="720"/>
                <w:rPr>
                  <w:rFonts w:cs="Arial"/>
                  <w:sz w:val="20"/>
                  <w:szCs w:val="20"/>
                </w:rPr>
              </w:pPr>
              <w:r w:rsidRPr="0003585B">
                <w:rPr>
                  <w:rFonts w:cs="Arial"/>
                  <w:sz w:val="20"/>
                  <w:szCs w:val="20"/>
                </w:rPr>
                <w:t>2018</w:t>
              </w:r>
              <w:r w:rsidRPr="0003585B">
                <w:rPr>
                  <w:rFonts w:cs="Arial" w:hint="eastAsia"/>
                  <w:sz w:val="20"/>
                  <w:szCs w:val="20"/>
                </w:rPr>
                <w:t>年</w:t>
              </w:r>
              <w:r w:rsidRPr="0003585B">
                <w:rPr>
                  <w:rFonts w:cs="Arial"/>
                  <w:sz w:val="20"/>
                  <w:szCs w:val="20"/>
                </w:rPr>
                <w:t>12</w:t>
              </w:r>
              <w:r w:rsidRPr="0003585B">
                <w:rPr>
                  <w:rFonts w:cs="Arial" w:hint="eastAsia"/>
                  <w:sz w:val="20"/>
                  <w:szCs w:val="20"/>
                </w:rPr>
                <w:t>月</w:t>
              </w:r>
              <w:r w:rsidRPr="0003585B">
                <w:rPr>
                  <w:rFonts w:cs="Arial"/>
                  <w:sz w:val="20"/>
                  <w:szCs w:val="20"/>
                </w:rPr>
                <w:t>31</w:t>
              </w:r>
              <w:r w:rsidRPr="0003585B">
                <w:rPr>
                  <w:rFonts w:cs="Arial" w:hint="eastAsia"/>
                  <w:sz w:val="20"/>
                  <w:szCs w:val="20"/>
                </w:rPr>
                <w:t>日</w:t>
              </w:r>
            </w:p>
            <w:p w:rsidR="00B637B2" w:rsidRPr="0003585B" w:rsidRDefault="00B637B2" w:rsidP="00B637B2">
              <w:pPr>
                <w:tabs>
                  <w:tab w:val="left" w:pos="2520"/>
                  <w:tab w:val="decimal" w:pos="5250"/>
                  <w:tab w:val="decimal" w:pos="6510"/>
                  <w:tab w:val="decimal" w:pos="7035"/>
                  <w:tab w:val="decimal" w:pos="8295"/>
                </w:tabs>
                <w:overflowPunct w:val="0"/>
                <w:autoSpaceDE w:val="0"/>
                <w:autoSpaceDN w:val="0"/>
                <w:adjustRightInd w:val="0"/>
                <w:snapToGrid w:val="0"/>
                <w:ind w:left="720" w:hanging="720"/>
                <w:jc w:val="both"/>
                <w:rPr>
                  <w:rFonts w:cs="Arial"/>
                  <w:snapToGrid w:val="0"/>
                  <w:sz w:val="20"/>
                  <w:szCs w:val="20"/>
                </w:rPr>
              </w:pPr>
            </w:p>
            <w:p w:rsidR="00B637B2" w:rsidRPr="0003585B" w:rsidRDefault="008F04CF" w:rsidP="00B637B2">
              <w:pPr>
                <w:tabs>
                  <w:tab w:val="left" w:pos="2520"/>
                  <w:tab w:val="decimal" w:pos="5250"/>
                  <w:tab w:val="decimal" w:pos="6510"/>
                  <w:tab w:val="decimal" w:pos="7035"/>
                  <w:tab w:val="decimal" w:pos="8295"/>
                </w:tabs>
                <w:overflowPunct w:val="0"/>
                <w:autoSpaceDE w:val="0"/>
                <w:autoSpaceDN w:val="0"/>
                <w:adjustRightInd w:val="0"/>
                <w:snapToGrid w:val="0"/>
                <w:ind w:left="720" w:hanging="720"/>
                <w:jc w:val="both"/>
                <w:rPr>
                  <w:rFonts w:cs="Arial"/>
                  <w:snapToGrid w:val="0"/>
                  <w:sz w:val="20"/>
                  <w:szCs w:val="20"/>
                </w:rPr>
              </w:pPr>
              <w:r w:rsidRPr="0003585B">
                <w:rPr>
                  <w:rFonts w:cs="Arial" w:hint="eastAsia"/>
                  <w:snapToGrid w:val="0"/>
                  <w:sz w:val="20"/>
                  <w:szCs w:val="20"/>
                </w:rPr>
                <w:t>金融资产</w:t>
              </w:r>
            </w:p>
            <w:p w:rsidR="00B637B2" w:rsidRPr="0003585B" w:rsidRDefault="00B637B2" w:rsidP="00B637B2">
              <w:pPr>
                <w:tabs>
                  <w:tab w:val="left" w:pos="2520"/>
                  <w:tab w:val="decimal" w:pos="5250"/>
                  <w:tab w:val="decimal" w:pos="6510"/>
                  <w:tab w:val="decimal" w:pos="7035"/>
                  <w:tab w:val="decimal" w:pos="8295"/>
                </w:tabs>
                <w:overflowPunct w:val="0"/>
                <w:autoSpaceDE w:val="0"/>
                <w:autoSpaceDN w:val="0"/>
                <w:adjustRightInd w:val="0"/>
                <w:snapToGrid w:val="0"/>
                <w:jc w:val="both"/>
                <w:rPr>
                  <w:rFonts w:cs="Arial"/>
                  <w:snapToGrid w:val="0"/>
                  <w:sz w:val="20"/>
                  <w:szCs w:val="20"/>
                </w:rPr>
              </w:pPr>
            </w:p>
            <w:tbl>
              <w:tblPr>
                <w:tblStyle w:val="g35"/>
                <w:tblW w:w="8745" w:type="dxa"/>
                <w:tblLayout w:type="fixed"/>
                <w:tblCellMar>
                  <w:left w:w="0" w:type="dxa"/>
                  <w:right w:w="0" w:type="dxa"/>
                </w:tblCellMar>
                <w:tblLook w:val="04A0" w:firstRow="1" w:lastRow="0" w:firstColumn="1" w:lastColumn="0" w:noHBand="0" w:noVBand="1"/>
                <w:tblCaption w:val="金融工具分类_金融资产PY"/>
              </w:tblPr>
              <w:tblGrid>
                <w:gridCol w:w="2323"/>
                <w:gridCol w:w="1613"/>
                <w:gridCol w:w="1472"/>
                <w:gridCol w:w="102"/>
                <w:gridCol w:w="1530"/>
                <w:gridCol w:w="84"/>
                <w:gridCol w:w="1470"/>
                <w:gridCol w:w="151"/>
              </w:tblGrid>
              <w:tr w:rsidR="00B637B2" w:rsidRPr="0003585B" w:rsidTr="00B637B2">
                <w:tc>
                  <w:tcPr>
                    <w:tcW w:w="2321" w:type="dxa"/>
                    <w:noWrap/>
                    <w:vAlign w:val="center"/>
                    <w:hideMark/>
                  </w:tcPr>
                  <w:p w:rsidR="00B637B2" w:rsidRPr="0003585B" w:rsidRDefault="00B637B2" w:rsidP="00B637B2">
                    <w:pPr>
                      <w:rPr>
                        <w:rFonts w:cs="Arial"/>
                        <w:snapToGrid w:val="0"/>
                        <w:sz w:val="20"/>
                        <w:szCs w:val="20"/>
                      </w:rPr>
                    </w:pPr>
                  </w:p>
                </w:tc>
                <w:tc>
                  <w:tcPr>
                    <w:tcW w:w="1613" w:type="dxa"/>
                    <w:noWrap/>
                    <w:hideMark/>
                  </w:tcPr>
                  <w:p w:rsidR="00B637B2" w:rsidRPr="0003585B" w:rsidRDefault="008F04CF" w:rsidP="00B637B2">
                    <w:pPr>
                      <w:kinsoku w:val="0"/>
                      <w:overflowPunct w:val="0"/>
                      <w:autoSpaceDE w:val="0"/>
                      <w:autoSpaceDN w:val="0"/>
                      <w:adjustRightInd w:val="0"/>
                      <w:snapToGrid w:val="0"/>
                      <w:jc w:val="right"/>
                      <w:rPr>
                        <w:rFonts w:cs="Arial"/>
                        <w:sz w:val="20"/>
                        <w:szCs w:val="20"/>
                      </w:rPr>
                    </w:pPr>
                    <w:r>
                      <w:rPr>
                        <w:rFonts w:cs="Arial" w:hint="eastAsia"/>
                        <w:color w:val="000000"/>
                        <w:sz w:val="20"/>
                        <w:szCs w:val="20"/>
                      </w:rPr>
                      <w:t>以公允价值计量</w:t>
                    </w:r>
                    <w:r w:rsidRPr="0003585B">
                      <w:rPr>
                        <w:rFonts w:cs="Arial" w:hint="eastAsia"/>
                        <w:color w:val="000000"/>
                        <w:sz w:val="20"/>
                        <w:szCs w:val="20"/>
                      </w:rPr>
                      <w:t>且</w:t>
                    </w:r>
                  </w:p>
                </w:tc>
                <w:tc>
                  <w:tcPr>
                    <w:tcW w:w="1472" w:type="dxa"/>
                    <w:noWrap/>
                    <w:vAlign w:val="bottom"/>
                    <w:hideMark/>
                  </w:tcPr>
                  <w:p w:rsidR="00B637B2" w:rsidRPr="0003585B" w:rsidRDefault="008F04CF" w:rsidP="00B637B2">
                    <w:pPr>
                      <w:kinsoku w:val="0"/>
                      <w:overflowPunct w:val="0"/>
                      <w:autoSpaceDE w:val="0"/>
                      <w:autoSpaceDN w:val="0"/>
                      <w:adjustRightInd w:val="0"/>
                      <w:snapToGrid w:val="0"/>
                      <w:jc w:val="right"/>
                      <w:rPr>
                        <w:rFonts w:cs="Arial"/>
                        <w:color w:val="000000"/>
                        <w:sz w:val="20"/>
                        <w:szCs w:val="20"/>
                      </w:rPr>
                    </w:pPr>
                    <w:r w:rsidRPr="0003585B">
                      <w:rPr>
                        <w:rFonts w:cs="Arial" w:hint="eastAsia"/>
                        <w:color w:val="000000"/>
                        <w:sz w:val="20"/>
                        <w:szCs w:val="20"/>
                      </w:rPr>
                      <w:t>贷款和</w:t>
                    </w:r>
                  </w:p>
                </w:tc>
                <w:tc>
                  <w:tcPr>
                    <w:tcW w:w="102" w:type="dxa"/>
                    <w:noWrap/>
                    <w:hideMark/>
                  </w:tcPr>
                  <w:p w:rsidR="00B637B2" w:rsidRPr="0003585B" w:rsidRDefault="008F04CF" w:rsidP="00B637B2">
                    <w:pPr>
                      <w:kinsoku w:val="0"/>
                      <w:overflowPunct w:val="0"/>
                      <w:autoSpaceDE w:val="0"/>
                      <w:autoSpaceDN w:val="0"/>
                      <w:adjustRightInd w:val="0"/>
                      <w:snapToGrid w:val="0"/>
                      <w:rPr>
                        <w:rFonts w:cs="Arial"/>
                        <w:sz w:val="20"/>
                        <w:szCs w:val="20"/>
                      </w:rPr>
                    </w:pPr>
                    <w:r w:rsidRPr="0003585B">
                      <w:rPr>
                        <w:rFonts w:cs="Arial"/>
                        <w:color w:val="000000"/>
                        <w:sz w:val="20"/>
                        <w:szCs w:val="20"/>
                      </w:rPr>
                      <w:t xml:space="preserve"> </w:t>
                    </w:r>
                  </w:p>
                </w:tc>
                <w:tc>
                  <w:tcPr>
                    <w:tcW w:w="1530" w:type="dxa"/>
                    <w:noWrap/>
                    <w:vAlign w:val="bottom"/>
                    <w:hideMark/>
                  </w:tcPr>
                  <w:p w:rsidR="00B637B2" w:rsidRPr="0003585B" w:rsidRDefault="008F04CF" w:rsidP="00B637B2">
                    <w:pPr>
                      <w:kinsoku w:val="0"/>
                      <w:overflowPunct w:val="0"/>
                      <w:autoSpaceDE w:val="0"/>
                      <w:autoSpaceDN w:val="0"/>
                      <w:adjustRightInd w:val="0"/>
                      <w:snapToGrid w:val="0"/>
                      <w:jc w:val="right"/>
                      <w:rPr>
                        <w:rFonts w:cs="Arial"/>
                        <w:color w:val="000000"/>
                        <w:sz w:val="20"/>
                        <w:szCs w:val="20"/>
                      </w:rPr>
                    </w:pPr>
                    <w:r w:rsidRPr="0003585B">
                      <w:rPr>
                        <w:rFonts w:cs="Arial" w:hint="eastAsia"/>
                        <w:snapToGrid w:val="0"/>
                        <w:sz w:val="20"/>
                        <w:szCs w:val="20"/>
                      </w:rPr>
                      <w:t>可供出售</w:t>
                    </w:r>
                  </w:p>
                </w:tc>
                <w:tc>
                  <w:tcPr>
                    <w:tcW w:w="84" w:type="dxa"/>
                    <w:noWrap/>
                    <w:vAlign w:val="bottom"/>
                    <w:hideMark/>
                  </w:tcPr>
                  <w:p w:rsidR="00B637B2" w:rsidRPr="0003585B" w:rsidRDefault="008F04CF" w:rsidP="00B637B2">
                    <w:pPr>
                      <w:kinsoku w:val="0"/>
                      <w:overflowPunct w:val="0"/>
                      <w:autoSpaceDE w:val="0"/>
                      <w:autoSpaceDN w:val="0"/>
                      <w:adjustRightInd w:val="0"/>
                      <w:snapToGrid w:val="0"/>
                      <w:rPr>
                        <w:rFonts w:cs="Arial"/>
                        <w:color w:val="000000"/>
                        <w:sz w:val="20"/>
                        <w:szCs w:val="20"/>
                      </w:rPr>
                    </w:pPr>
                    <w:r w:rsidRPr="0003585B">
                      <w:rPr>
                        <w:rFonts w:cs="Arial"/>
                        <w:color w:val="000000"/>
                        <w:sz w:val="20"/>
                        <w:szCs w:val="20"/>
                      </w:rPr>
                      <w:t xml:space="preserve"> </w:t>
                    </w:r>
                  </w:p>
                </w:tc>
                <w:tc>
                  <w:tcPr>
                    <w:tcW w:w="1470" w:type="dxa"/>
                    <w:noWrap/>
                    <w:vAlign w:val="bottom"/>
                    <w:hideMark/>
                  </w:tcPr>
                  <w:p w:rsidR="00B637B2" w:rsidRPr="0003585B" w:rsidRDefault="008F04CF" w:rsidP="00B637B2">
                    <w:pPr>
                      <w:kinsoku w:val="0"/>
                      <w:overflowPunct w:val="0"/>
                      <w:autoSpaceDE w:val="0"/>
                      <w:autoSpaceDN w:val="0"/>
                      <w:adjustRightInd w:val="0"/>
                      <w:snapToGrid w:val="0"/>
                      <w:jc w:val="right"/>
                      <w:rPr>
                        <w:rFonts w:cs="Arial"/>
                        <w:sz w:val="20"/>
                        <w:szCs w:val="20"/>
                      </w:rPr>
                    </w:pPr>
                    <w:r w:rsidRPr="0003585B">
                      <w:rPr>
                        <w:rFonts w:cs="Arial" w:hint="eastAsia"/>
                        <w:color w:val="000000"/>
                        <w:sz w:val="20"/>
                        <w:szCs w:val="20"/>
                      </w:rPr>
                      <w:t>合计</w:t>
                    </w:r>
                  </w:p>
                </w:tc>
                <w:tc>
                  <w:tcPr>
                    <w:tcW w:w="151" w:type="dxa"/>
                    <w:noWrap/>
                    <w:vAlign w:val="bottom"/>
                    <w:hideMark/>
                  </w:tcPr>
                  <w:p w:rsidR="00B637B2" w:rsidRPr="0003585B" w:rsidRDefault="008F04CF" w:rsidP="00B637B2">
                    <w:pPr>
                      <w:kinsoku w:val="0"/>
                      <w:overflowPunct w:val="0"/>
                      <w:autoSpaceDE w:val="0"/>
                      <w:autoSpaceDN w:val="0"/>
                      <w:adjustRightInd w:val="0"/>
                      <w:snapToGrid w:val="0"/>
                      <w:rPr>
                        <w:rFonts w:cs="Arial"/>
                        <w:sz w:val="20"/>
                        <w:szCs w:val="20"/>
                      </w:rPr>
                    </w:pPr>
                    <w:r w:rsidRPr="0003585B">
                      <w:rPr>
                        <w:rFonts w:cs="Arial"/>
                        <w:color w:val="000000"/>
                        <w:sz w:val="20"/>
                        <w:szCs w:val="20"/>
                      </w:rPr>
                      <w:t xml:space="preserve"> </w:t>
                    </w:r>
                  </w:p>
                </w:tc>
              </w:tr>
              <w:tr w:rsidR="00B637B2" w:rsidRPr="0003585B" w:rsidTr="00B637B2">
                <w:tc>
                  <w:tcPr>
                    <w:tcW w:w="2321" w:type="dxa"/>
                    <w:noWrap/>
                    <w:vAlign w:val="center"/>
                    <w:hideMark/>
                  </w:tcPr>
                  <w:p w:rsidR="00B637B2" w:rsidRPr="0003585B" w:rsidRDefault="008F04CF" w:rsidP="00B637B2">
                    <w:pPr>
                      <w:kinsoku w:val="0"/>
                      <w:overflowPunct w:val="0"/>
                      <w:autoSpaceDE w:val="0"/>
                      <w:autoSpaceDN w:val="0"/>
                      <w:adjustRightInd w:val="0"/>
                      <w:snapToGrid w:val="0"/>
                      <w:jc w:val="right"/>
                      <w:rPr>
                        <w:rFonts w:cs="Arial"/>
                        <w:sz w:val="20"/>
                        <w:szCs w:val="20"/>
                      </w:rPr>
                    </w:pPr>
                    <w:r w:rsidRPr="0003585B">
                      <w:rPr>
                        <w:rFonts w:cs="Arial"/>
                        <w:color w:val="000000"/>
                        <w:sz w:val="20"/>
                        <w:szCs w:val="20"/>
                      </w:rPr>
                      <w:t xml:space="preserve"> </w:t>
                    </w:r>
                  </w:p>
                </w:tc>
                <w:tc>
                  <w:tcPr>
                    <w:tcW w:w="1613" w:type="dxa"/>
                    <w:noWrap/>
                    <w:hideMark/>
                  </w:tcPr>
                  <w:p w:rsidR="00B637B2" w:rsidRPr="0003585B" w:rsidRDefault="008F04CF" w:rsidP="00B637B2">
                    <w:pPr>
                      <w:kinsoku w:val="0"/>
                      <w:overflowPunct w:val="0"/>
                      <w:autoSpaceDE w:val="0"/>
                      <w:autoSpaceDN w:val="0"/>
                      <w:adjustRightInd w:val="0"/>
                      <w:snapToGrid w:val="0"/>
                      <w:jc w:val="right"/>
                      <w:rPr>
                        <w:rFonts w:cs="Arial"/>
                        <w:sz w:val="20"/>
                        <w:szCs w:val="20"/>
                      </w:rPr>
                    </w:pPr>
                    <w:r w:rsidRPr="0003585B">
                      <w:rPr>
                        <w:rFonts w:cs="Arial" w:hint="eastAsia"/>
                        <w:color w:val="000000"/>
                        <w:sz w:val="20"/>
                        <w:szCs w:val="20"/>
                      </w:rPr>
                      <w:t>其变动计入当期损</w:t>
                    </w:r>
                  </w:p>
                </w:tc>
                <w:tc>
                  <w:tcPr>
                    <w:tcW w:w="1472" w:type="dxa"/>
                    <w:noWrap/>
                    <w:vAlign w:val="bottom"/>
                    <w:hideMark/>
                  </w:tcPr>
                  <w:p w:rsidR="00B637B2" w:rsidRPr="0003585B" w:rsidRDefault="008F04CF" w:rsidP="00B637B2">
                    <w:pPr>
                      <w:kinsoku w:val="0"/>
                      <w:overflowPunct w:val="0"/>
                      <w:autoSpaceDE w:val="0"/>
                      <w:autoSpaceDN w:val="0"/>
                      <w:adjustRightInd w:val="0"/>
                      <w:snapToGrid w:val="0"/>
                      <w:jc w:val="right"/>
                      <w:rPr>
                        <w:rFonts w:cs="Arial"/>
                        <w:sz w:val="20"/>
                        <w:szCs w:val="20"/>
                      </w:rPr>
                    </w:pPr>
                    <w:r w:rsidRPr="0003585B">
                      <w:rPr>
                        <w:rFonts w:cs="Arial" w:hint="eastAsia"/>
                        <w:color w:val="000000"/>
                        <w:sz w:val="20"/>
                        <w:szCs w:val="20"/>
                      </w:rPr>
                      <w:t>应收款项</w:t>
                    </w:r>
                  </w:p>
                </w:tc>
                <w:tc>
                  <w:tcPr>
                    <w:tcW w:w="102" w:type="dxa"/>
                    <w:noWrap/>
                    <w:hideMark/>
                  </w:tcPr>
                  <w:p w:rsidR="00B637B2" w:rsidRPr="0003585B" w:rsidRDefault="008F04CF" w:rsidP="00B637B2">
                    <w:pPr>
                      <w:kinsoku w:val="0"/>
                      <w:overflowPunct w:val="0"/>
                      <w:autoSpaceDE w:val="0"/>
                      <w:autoSpaceDN w:val="0"/>
                      <w:adjustRightInd w:val="0"/>
                      <w:snapToGrid w:val="0"/>
                      <w:jc w:val="right"/>
                      <w:rPr>
                        <w:rFonts w:cs="Arial"/>
                        <w:sz w:val="20"/>
                        <w:szCs w:val="20"/>
                      </w:rPr>
                    </w:pPr>
                    <w:r w:rsidRPr="0003585B">
                      <w:rPr>
                        <w:rFonts w:cs="Arial"/>
                        <w:color w:val="000000"/>
                        <w:sz w:val="20"/>
                        <w:szCs w:val="20"/>
                      </w:rPr>
                      <w:t xml:space="preserve"> </w:t>
                    </w:r>
                  </w:p>
                </w:tc>
                <w:tc>
                  <w:tcPr>
                    <w:tcW w:w="1530" w:type="dxa"/>
                    <w:noWrap/>
                    <w:vAlign w:val="bottom"/>
                    <w:hideMark/>
                  </w:tcPr>
                  <w:p w:rsidR="00B637B2" w:rsidRPr="0003585B" w:rsidRDefault="008F04CF" w:rsidP="00B637B2">
                    <w:pPr>
                      <w:kinsoku w:val="0"/>
                      <w:overflowPunct w:val="0"/>
                      <w:autoSpaceDE w:val="0"/>
                      <w:autoSpaceDN w:val="0"/>
                      <w:adjustRightInd w:val="0"/>
                      <w:snapToGrid w:val="0"/>
                      <w:jc w:val="right"/>
                      <w:rPr>
                        <w:rFonts w:cs="Arial"/>
                        <w:sz w:val="20"/>
                        <w:szCs w:val="20"/>
                      </w:rPr>
                    </w:pPr>
                    <w:r w:rsidRPr="0003585B">
                      <w:rPr>
                        <w:rFonts w:cs="Arial" w:hint="eastAsia"/>
                        <w:snapToGrid w:val="0"/>
                        <w:sz w:val="20"/>
                        <w:szCs w:val="20"/>
                      </w:rPr>
                      <w:t>金融资产</w:t>
                    </w:r>
                  </w:p>
                </w:tc>
                <w:tc>
                  <w:tcPr>
                    <w:tcW w:w="84" w:type="dxa"/>
                    <w:noWrap/>
                    <w:vAlign w:val="bottom"/>
                    <w:hideMark/>
                  </w:tcPr>
                  <w:p w:rsidR="00B637B2" w:rsidRPr="0003585B" w:rsidRDefault="008F04CF" w:rsidP="00B637B2">
                    <w:pPr>
                      <w:kinsoku w:val="0"/>
                      <w:overflowPunct w:val="0"/>
                      <w:autoSpaceDE w:val="0"/>
                      <w:autoSpaceDN w:val="0"/>
                      <w:adjustRightInd w:val="0"/>
                      <w:snapToGrid w:val="0"/>
                      <w:rPr>
                        <w:rFonts w:cs="Arial"/>
                        <w:sz w:val="20"/>
                        <w:szCs w:val="20"/>
                      </w:rPr>
                    </w:pPr>
                    <w:r w:rsidRPr="0003585B">
                      <w:rPr>
                        <w:rFonts w:cs="Arial"/>
                        <w:color w:val="000000"/>
                        <w:sz w:val="20"/>
                        <w:szCs w:val="20"/>
                      </w:rPr>
                      <w:t xml:space="preserve"> </w:t>
                    </w:r>
                  </w:p>
                </w:tc>
                <w:tc>
                  <w:tcPr>
                    <w:tcW w:w="1470" w:type="dxa"/>
                    <w:noWrap/>
                    <w:vAlign w:val="bottom"/>
                    <w:hideMark/>
                  </w:tcPr>
                  <w:p w:rsidR="00B637B2" w:rsidRPr="0003585B" w:rsidRDefault="008F04CF" w:rsidP="00B637B2">
                    <w:pPr>
                      <w:kinsoku w:val="0"/>
                      <w:overflowPunct w:val="0"/>
                      <w:autoSpaceDE w:val="0"/>
                      <w:autoSpaceDN w:val="0"/>
                      <w:adjustRightInd w:val="0"/>
                      <w:snapToGrid w:val="0"/>
                      <w:jc w:val="right"/>
                      <w:rPr>
                        <w:rFonts w:cs="Arial"/>
                        <w:sz w:val="20"/>
                        <w:szCs w:val="20"/>
                      </w:rPr>
                    </w:pPr>
                    <w:r w:rsidRPr="0003585B">
                      <w:rPr>
                        <w:rFonts w:cs="Arial"/>
                        <w:color w:val="000000"/>
                        <w:sz w:val="20"/>
                        <w:szCs w:val="20"/>
                      </w:rPr>
                      <w:t xml:space="preserve"> </w:t>
                    </w:r>
                  </w:p>
                </w:tc>
                <w:tc>
                  <w:tcPr>
                    <w:tcW w:w="151" w:type="dxa"/>
                    <w:noWrap/>
                    <w:vAlign w:val="bottom"/>
                    <w:hideMark/>
                  </w:tcPr>
                  <w:p w:rsidR="00B637B2" w:rsidRPr="0003585B" w:rsidRDefault="008F04CF" w:rsidP="00B637B2">
                    <w:pPr>
                      <w:kinsoku w:val="0"/>
                      <w:overflowPunct w:val="0"/>
                      <w:autoSpaceDE w:val="0"/>
                      <w:autoSpaceDN w:val="0"/>
                      <w:adjustRightInd w:val="0"/>
                      <w:snapToGrid w:val="0"/>
                      <w:rPr>
                        <w:rFonts w:cs="Arial"/>
                        <w:sz w:val="20"/>
                        <w:szCs w:val="20"/>
                      </w:rPr>
                    </w:pPr>
                    <w:r w:rsidRPr="0003585B">
                      <w:rPr>
                        <w:rFonts w:cs="Arial"/>
                        <w:color w:val="000000"/>
                        <w:sz w:val="20"/>
                        <w:szCs w:val="20"/>
                      </w:rPr>
                      <w:t xml:space="preserve"> </w:t>
                    </w:r>
                  </w:p>
                </w:tc>
              </w:tr>
              <w:tr w:rsidR="00B637B2" w:rsidRPr="0003585B" w:rsidTr="00B637B2">
                <w:tc>
                  <w:tcPr>
                    <w:tcW w:w="2321" w:type="dxa"/>
                    <w:noWrap/>
                    <w:vAlign w:val="center"/>
                    <w:hideMark/>
                  </w:tcPr>
                  <w:p w:rsidR="00B637B2" w:rsidRPr="0003585B" w:rsidRDefault="008F04CF" w:rsidP="00B637B2">
                    <w:pPr>
                      <w:kinsoku w:val="0"/>
                      <w:overflowPunct w:val="0"/>
                      <w:autoSpaceDE w:val="0"/>
                      <w:autoSpaceDN w:val="0"/>
                      <w:adjustRightInd w:val="0"/>
                      <w:snapToGrid w:val="0"/>
                      <w:rPr>
                        <w:rFonts w:cs="Arial"/>
                        <w:sz w:val="20"/>
                        <w:szCs w:val="20"/>
                      </w:rPr>
                    </w:pPr>
                    <w:r w:rsidRPr="0003585B">
                      <w:rPr>
                        <w:rFonts w:cs="Arial"/>
                        <w:color w:val="000000"/>
                        <w:sz w:val="20"/>
                        <w:szCs w:val="20"/>
                      </w:rPr>
                      <w:t xml:space="preserve"> </w:t>
                    </w:r>
                  </w:p>
                </w:tc>
                <w:tc>
                  <w:tcPr>
                    <w:tcW w:w="1613" w:type="dxa"/>
                    <w:noWrap/>
                    <w:hideMark/>
                  </w:tcPr>
                  <w:p w:rsidR="00B637B2" w:rsidRPr="0003585B" w:rsidRDefault="008F04CF" w:rsidP="00B637B2">
                    <w:pPr>
                      <w:kinsoku w:val="0"/>
                      <w:overflowPunct w:val="0"/>
                      <w:autoSpaceDE w:val="0"/>
                      <w:autoSpaceDN w:val="0"/>
                      <w:adjustRightInd w:val="0"/>
                      <w:snapToGrid w:val="0"/>
                      <w:jc w:val="right"/>
                      <w:rPr>
                        <w:rFonts w:cs="Arial"/>
                        <w:sz w:val="20"/>
                        <w:szCs w:val="20"/>
                      </w:rPr>
                    </w:pPr>
                    <w:r w:rsidRPr="0003585B">
                      <w:rPr>
                        <w:rFonts w:cs="Arial" w:hint="eastAsia"/>
                        <w:color w:val="000000"/>
                        <w:sz w:val="20"/>
                        <w:szCs w:val="20"/>
                      </w:rPr>
                      <w:t>益的金融资产</w:t>
                    </w:r>
                  </w:p>
                </w:tc>
                <w:tc>
                  <w:tcPr>
                    <w:tcW w:w="1472" w:type="dxa"/>
                    <w:vAlign w:val="bottom"/>
                  </w:tcPr>
                  <w:p w:rsidR="00B637B2" w:rsidRPr="0003585B" w:rsidRDefault="00B637B2" w:rsidP="00B637B2">
                    <w:pPr>
                      <w:kinsoku w:val="0"/>
                      <w:overflowPunct w:val="0"/>
                      <w:autoSpaceDE w:val="0"/>
                      <w:autoSpaceDN w:val="0"/>
                      <w:adjustRightInd w:val="0"/>
                      <w:snapToGrid w:val="0"/>
                      <w:jc w:val="right"/>
                      <w:rPr>
                        <w:rFonts w:cs="Arial"/>
                        <w:color w:val="000000"/>
                        <w:sz w:val="20"/>
                        <w:szCs w:val="20"/>
                      </w:rPr>
                    </w:pPr>
                  </w:p>
                </w:tc>
                <w:tc>
                  <w:tcPr>
                    <w:tcW w:w="102" w:type="dxa"/>
                    <w:noWrap/>
                  </w:tcPr>
                  <w:p w:rsidR="00B637B2" w:rsidRPr="0003585B" w:rsidRDefault="00B637B2" w:rsidP="00B637B2">
                    <w:pPr>
                      <w:kinsoku w:val="0"/>
                      <w:overflowPunct w:val="0"/>
                      <w:autoSpaceDE w:val="0"/>
                      <w:autoSpaceDN w:val="0"/>
                      <w:adjustRightInd w:val="0"/>
                      <w:snapToGrid w:val="0"/>
                      <w:rPr>
                        <w:rFonts w:cs="Arial"/>
                        <w:sz w:val="20"/>
                        <w:szCs w:val="20"/>
                      </w:rPr>
                    </w:pPr>
                  </w:p>
                </w:tc>
                <w:tc>
                  <w:tcPr>
                    <w:tcW w:w="1530" w:type="dxa"/>
                    <w:vAlign w:val="bottom"/>
                  </w:tcPr>
                  <w:p w:rsidR="00B637B2" w:rsidRPr="0003585B" w:rsidRDefault="00B637B2" w:rsidP="00B637B2">
                    <w:pPr>
                      <w:kinsoku w:val="0"/>
                      <w:overflowPunct w:val="0"/>
                      <w:autoSpaceDE w:val="0"/>
                      <w:autoSpaceDN w:val="0"/>
                      <w:adjustRightInd w:val="0"/>
                      <w:snapToGrid w:val="0"/>
                      <w:jc w:val="right"/>
                      <w:rPr>
                        <w:rFonts w:cs="Arial"/>
                        <w:color w:val="000000"/>
                        <w:sz w:val="20"/>
                        <w:szCs w:val="20"/>
                      </w:rPr>
                    </w:pPr>
                  </w:p>
                </w:tc>
                <w:tc>
                  <w:tcPr>
                    <w:tcW w:w="84" w:type="dxa"/>
                    <w:noWrap/>
                    <w:vAlign w:val="bottom"/>
                  </w:tcPr>
                  <w:p w:rsidR="00B637B2" w:rsidRPr="0003585B" w:rsidRDefault="00B637B2" w:rsidP="00B637B2">
                    <w:pPr>
                      <w:kinsoku w:val="0"/>
                      <w:overflowPunct w:val="0"/>
                      <w:autoSpaceDE w:val="0"/>
                      <w:autoSpaceDN w:val="0"/>
                      <w:adjustRightInd w:val="0"/>
                      <w:snapToGrid w:val="0"/>
                      <w:rPr>
                        <w:rFonts w:cs="Arial"/>
                        <w:color w:val="000000"/>
                        <w:sz w:val="20"/>
                        <w:szCs w:val="20"/>
                      </w:rPr>
                    </w:pPr>
                  </w:p>
                </w:tc>
                <w:tc>
                  <w:tcPr>
                    <w:tcW w:w="1470" w:type="dxa"/>
                    <w:vAlign w:val="bottom"/>
                  </w:tcPr>
                  <w:p w:rsidR="00B637B2" w:rsidRPr="0003585B" w:rsidRDefault="00B637B2" w:rsidP="00B637B2">
                    <w:pPr>
                      <w:kinsoku w:val="0"/>
                      <w:overflowPunct w:val="0"/>
                      <w:autoSpaceDE w:val="0"/>
                      <w:autoSpaceDN w:val="0"/>
                      <w:adjustRightInd w:val="0"/>
                      <w:snapToGrid w:val="0"/>
                      <w:jc w:val="right"/>
                      <w:rPr>
                        <w:rFonts w:cs="Arial"/>
                        <w:color w:val="000000"/>
                        <w:sz w:val="20"/>
                        <w:szCs w:val="20"/>
                      </w:rPr>
                    </w:pPr>
                  </w:p>
                </w:tc>
                <w:tc>
                  <w:tcPr>
                    <w:tcW w:w="151" w:type="dxa"/>
                    <w:noWrap/>
                    <w:vAlign w:val="bottom"/>
                  </w:tcPr>
                  <w:p w:rsidR="00B637B2" w:rsidRPr="0003585B" w:rsidRDefault="00B637B2" w:rsidP="00B637B2">
                    <w:pPr>
                      <w:kinsoku w:val="0"/>
                      <w:overflowPunct w:val="0"/>
                      <w:autoSpaceDE w:val="0"/>
                      <w:autoSpaceDN w:val="0"/>
                      <w:adjustRightInd w:val="0"/>
                      <w:snapToGrid w:val="0"/>
                      <w:rPr>
                        <w:rFonts w:cs="Arial"/>
                        <w:color w:val="000000"/>
                        <w:sz w:val="20"/>
                        <w:szCs w:val="20"/>
                      </w:rPr>
                    </w:pPr>
                  </w:p>
                </w:tc>
              </w:tr>
              <w:tr w:rsidR="00B637B2" w:rsidRPr="0003585B" w:rsidTr="00B637B2">
                <w:tc>
                  <w:tcPr>
                    <w:tcW w:w="2321" w:type="dxa"/>
                    <w:noWrap/>
                    <w:vAlign w:val="bottom"/>
                    <w:hideMark/>
                  </w:tcPr>
                  <w:p w:rsidR="00B637B2" w:rsidRPr="0003585B" w:rsidRDefault="008F04CF" w:rsidP="00B637B2">
                    <w:pPr>
                      <w:kinsoku w:val="0"/>
                      <w:overflowPunct w:val="0"/>
                      <w:autoSpaceDE w:val="0"/>
                      <w:autoSpaceDN w:val="0"/>
                      <w:adjustRightInd w:val="0"/>
                      <w:snapToGrid w:val="0"/>
                      <w:rPr>
                        <w:rFonts w:cs="Arial"/>
                        <w:sz w:val="20"/>
                        <w:szCs w:val="20"/>
                      </w:rPr>
                    </w:pPr>
                    <w:r w:rsidRPr="0003585B">
                      <w:rPr>
                        <w:rFonts w:cs="Arial"/>
                        <w:color w:val="000000"/>
                        <w:sz w:val="20"/>
                        <w:szCs w:val="20"/>
                      </w:rPr>
                      <w:t xml:space="preserve"> </w:t>
                    </w:r>
                  </w:p>
                </w:tc>
                <w:tc>
                  <w:tcPr>
                    <w:tcW w:w="1613" w:type="dxa"/>
                    <w:noWrap/>
                    <w:hideMark/>
                  </w:tcPr>
                  <w:p w:rsidR="00B637B2" w:rsidRPr="0003585B" w:rsidRDefault="00B637B2" w:rsidP="00B637B2">
                    <w:pPr>
                      <w:rPr>
                        <w:rFonts w:cs="Arial"/>
                        <w:sz w:val="20"/>
                        <w:szCs w:val="20"/>
                      </w:rPr>
                    </w:pPr>
                  </w:p>
                </w:tc>
                <w:tc>
                  <w:tcPr>
                    <w:tcW w:w="1472" w:type="dxa"/>
                    <w:noWrap/>
                    <w:vAlign w:val="bottom"/>
                  </w:tcPr>
                  <w:p w:rsidR="00B637B2" w:rsidRPr="0003585B" w:rsidRDefault="00B637B2" w:rsidP="00B637B2">
                    <w:pPr>
                      <w:kinsoku w:val="0"/>
                      <w:overflowPunct w:val="0"/>
                      <w:autoSpaceDE w:val="0"/>
                      <w:autoSpaceDN w:val="0"/>
                      <w:adjustRightInd w:val="0"/>
                      <w:snapToGrid w:val="0"/>
                      <w:jc w:val="right"/>
                      <w:rPr>
                        <w:rFonts w:cs="Arial"/>
                        <w:sz w:val="20"/>
                        <w:szCs w:val="20"/>
                      </w:rPr>
                    </w:pPr>
                  </w:p>
                </w:tc>
                <w:tc>
                  <w:tcPr>
                    <w:tcW w:w="102" w:type="dxa"/>
                    <w:noWrap/>
                    <w:vAlign w:val="bottom"/>
                  </w:tcPr>
                  <w:p w:rsidR="00B637B2" w:rsidRPr="0003585B" w:rsidRDefault="00B637B2" w:rsidP="00B637B2">
                    <w:pPr>
                      <w:kinsoku w:val="0"/>
                      <w:overflowPunct w:val="0"/>
                      <w:autoSpaceDE w:val="0"/>
                      <w:autoSpaceDN w:val="0"/>
                      <w:adjustRightInd w:val="0"/>
                      <w:snapToGrid w:val="0"/>
                      <w:jc w:val="right"/>
                      <w:rPr>
                        <w:rFonts w:cs="Arial"/>
                        <w:sz w:val="20"/>
                        <w:szCs w:val="20"/>
                      </w:rPr>
                    </w:pPr>
                  </w:p>
                </w:tc>
                <w:tc>
                  <w:tcPr>
                    <w:tcW w:w="1530" w:type="dxa"/>
                    <w:noWrap/>
                    <w:vAlign w:val="bottom"/>
                  </w:tcPr>
                  <w:p w:rsidR="00B637B2" w:rsidRPr="0003585B" w:rsidRDefault="00B637B2" w:rsidP="00B637B2">
                    <w:pPr>
                      <w:kinsoku w:val="0"/>
                      <w:overflowPunct w:val="0"/>
                      <w:autoSpaceDE w:val="0"/>
                      <w:autoSpaceDN w:val="0"/>
                      <w:adjustRightInd w:val="0"/>
                      <w:snapToGrid w:val="0"/>
                      <w:jc w:val="right"/>
                      <w:rPr>
                        <w:rFonts w:cs="Arial"/>
                        <w:sz w:val="20"/>
                        <w:szCs w:val="20"/>
                      </w:rPr>
                    </w:pPr>
                  </w:p>
                </w:tc>
                <w:tc>
                  <w:tcPr>
                    <w:tcW w:w="84" w:type="dxa"/>
                    <w:noWrap/>
                    <w:vAlign w:val="bottom"/>
                  </w:tcPr>
                  <w:p w:rsidR="00B637B2" w:rsidRPr="0003585B" w:rsidRDefault="00B637B2" w:rsidP="00B637B2">
                    <w:pPr>
                      <w:kinsoku w:val="0"/>
                      <w:overflowPunct w:val="0"/>
                      <w:autoSpaceDE w:val="0"/>
                      <w:autoSpaceDN w:val="0"/>
                      <w:adjustRightInd w:val="0"/>
                      <w:snapToGrid w:val="0"/>
                      <w:rPr>
                        <w:rFonts w:cs="Arial"/>
                        <w:sz w:val="20"/>
                        <w:szCs w:val="20"/>
                      </w:rPr>
                    </w:pPr>
                  </w:p>
                </w:tc>
                <w:tc>
                  <w:tcPr>
                    <w:tcW w:w="1470" w:type="dxa"/>
                    <w:noWrap/>
                    <w:vAlign w:val="bottom"/>
                  </w:tcPr>
                  <w:p w:rsidR="00B637B2" w:rsidRPr="0003585B" w:rsidRDefault="00B637B2" w:rsidP="00B637B2">
                    <w:pPr>
                      <w:kinsoku w:val="0"/>
                      <w:overflowPunct w:val="0"/>
                      <w:autoSpaceDE w:val="0"/>
                      <w:autoSpaceDN w:val="0"/>
                      <w:adjustRightInd w:val="0"/>
                      <w:snapToGrid w:val="0"/>
                      <w:jc w:val="right"/>
                      <w:rPr>
                        <w:rFonts w:cs="Arial"/>
                        <w:sz w:val="20"/>
                        <w:szCs w:val="20"/>
                      </w:rPr>
                    </w:pPr>
                  </w:p>
                </w:tc>
                <w:tc>
                  <w:tcPr>
                    <w:tcW w:w="151" w:type="dxa"/>
                    <w:noWrap/>
                    <w:vAlign w:val="bottom"/>
                  </w:tcPr>
                  <w:p w:rsidR="00B637B2" w:rsidRPr="0003585B" w:rsidRDefault="00B637B2" w:rsidP="00B637B2">
                    <w:pPr>
                      <w:kinsoku w:val="0"/>
                      <w:overflowPunct w:val="0"/>
                      <w:autoSpaceDE w:val="0"/>
                      <w:autoSpaceDN w:val="0"/>
                      <w:adjustRightInd w:val="0"/>
                      <w:snapToGrid w:val="0"/>
                      <w:rPr>
                        <w:rFonts w:cs="Arial"/>
                        <w:sz w:val="20"/>
                        <w:szCs w:val="20"/>
                      </w:rPr>
                    </w:pPr>
                  </w:p>
                </w:tc>
              </w:tr>
              <w:tr w:rsidR="00B637B2" w:rsidRPr="0003585B" w:rsidTr="00B637B2">
                <w:tc>
                  <w:tcPr>
                    <w:tcW w:w="2321" w:type="dxa"/>
                    <w:noWrap/>
                    <w:vAlign w:val="bottom"/>
                  </w:tcPr>
                  <w:p w:rsidR="00B637B2" w:rsidRPr="0003585B" w:rsidRDefault="00B637B2" w:rsidP="00B637B2">
                    <w:pPr>
                      <w:kinsoku w:val="0"/>
                      <w:overflowPunct w:val="0"/>
                      <w:autoSpaceDE w:val="0"/>
                      <w:autoSpaceDN w:val="0"/>
                      <w:adjustRightInd w:val="0"/>
                      <w:snapToGrid w:val="0"/>
                      <w:rPr>
                        <w:rFonts w:cs="Arial"/>
                        <w:color w:val="000000"/>
                        <w:sz w:val="20"/>
                        <w:szCs w:val="20"/>
                      </w:rPr>
                    </w:pPr>
                  </w:p>
                </w:tc>
                <w:tc>
                  <w:tcPr>
                    <w:tcW w:w="1613" w:type="dxa"/>
                    <w:noWrap/>
                  </w:tcPr>
                  <w:p w:rsidR="00B637B2" w:rsidRPr="0003585B" w:rsidRDefault="00B637B2" w:rsidP="00B637B2">
                    <w:pPr>
                      <w:kinsoku w:val="0"/>
                      <w:overflowPunct w:val="0"/>
                      <w:autoSpaceDE w:val="0"/>
                      <w:autoSpaceDN w:val="0"/>
                      <w:adjustRightInd w:val="0"/>
                      <w:snapToGrid w:val="0"/>
                      <w:jc w:val="right"/>
                      <w:rPr>
                        <w:rFonts w:cs="Arial"/>
                        <w:color w:val="000000"/>
                        <w:sz w:val="20"/>
                        <w:szCs w:val="20"/>
                      </w:rPr>
                    </w:pPr>
                  </w:p>
                </w:tc>
                <w:tc>
                  <w:tcPr>
                    <w:tcW w:w="1472" w:type="dxa"/>
                    <w:noWrap/>
                    <w:vAlign w:val="bottom"/>
                  </w:tcPr>
                  <w:p w:rsidR="00B637B2" w:rsidRPr="0003585B" w:rsidRDefault="00B637B2" w:rsidP="00B637B2">
                    <w:pPr>
                      <w:kinsoku w:val="0"/>
                      <w:overflowPunct w:val="0"/>
                      <w:autoSpaceDE w:val="0"/>
                      <w:autoSpaceDN w:val="0"/>
                      <w:adjustRightInd w:val="0"/>
                      <w:snapToGrid w:val="0"/>
                      <w:jc w:val="right"/>
                      <w:rPr>
                        <w:rFonts w:cs="Arial"/>
                        <w:sz w:val="20"/>
                        <w:szCs w:val="20"/>
                      </w:rPr>
                    </w:pPr>
                  </w:p>
                </w:tc>
                <w:tc>
                  <w:tcPr>
                    <w:tcW w:w="102" w:type="dxa"/>
                    <w:noWrap/>
                    <w:vAlign w:val="bottom"/>
                  </w:tcPr>
                  <w:p w:rsidR="00B637B2" w:rsidRPr="0003585B" w:rsidRDefault="00B637B2" w:rsidP="00B637B2">
                    <w:pPr>
                      <w:kinsoku w:val="0"/>
                      <w:overflowPunct w:val="0"/>
                      <w:autoSpaceDE w:val="0"/>
                      <w:autoSpaceDN w:val="0"/>
                      <w:adjustRightInd w:val="0"/>
                      <w:snapToGrid w:val="0"/>
                      <w:jc w:val="right"/>
                      <w:rPr>
                        <w:rFonts w:cs="Arial"/>
                        <w:sz w:val="20"/>
                        <w:szCs w:val="20"/>
                      </w:rPr>
                    </w:pPr>
                  </w:p>
                </w:tc>
                <w:tc>
                  <w:tcPr>
                    <w:tcW w:w="1530" w:type="dxa"/>
                    <w:noWrap/>
                    <w:vAlign w:val="bottom"/>
                  </w:tcPr>
                  <w:p w:rsidR="00B637B2" w:rsidRPr="0003585B" w:rsidRDefault="00B637B2" w:rsidP="00B637B2">
                    <w:pPr>
                      <w:kinsoku w:val="0"/>
                      <w:overflowPunct w:val="0"/>
                      <w:autoSpaceDE w:val="0"/>
                      <w:autoSpaceDN w:val="0"/>
                      <w:adjustRightInd w:val="0"/>
                      <w:snapToGrid w:val="0"/>
                      <w:jc w:val="right"/>
                      <w:rPr>
                        <w:rFonts w:cs="Arial"/>
                        <w:sz w:val="20"/>
                        <w:szCs w:val="20"/>
                      </w:rPr>
                    </w:pPr>
                  </w:p>
                </w:tc>
                <w:tc>
                  <w:tcPr>
                    <w:tcW w:w="84" w:type="dxa"/>
                    <w:noWrap/>
                    <w:vAlign w:val="bottom"/>
                  </w:tcPr>
                  <w:p w:rsidR="00B637B2" w:rsidRPr="0003585B" w:rsidRDefault="00B637B2" w:rsidP="00B637B2">
                    <w:pPr>
                      <w:kinsoku w:val="0"/>
                      <w:overflowPunct w:val="0"/>
                      <w:autoSpaceDE w:val="0"/>
                      <w:autoSpaceDN w:val="0"/>
                      <w:adjustRightInd w:val="0"/>
                      <w:snapToGrid w:val="0"/>
                      <w:rPr>
                        <w:rFonts w:cs="Arial"/>
                        <w:sz w:val="20"/>
                        <w:szCs w:val="20"/>
                      </w:rPr>
                    </w:pPr>
                  </w:p>
                </w:tc>
                <w:tc>
                  <w:tcPr>
                    <w:tcW w:w="1470" w:type="dxa"/>
                    <w:noWrap/>
                    <w:vAlign w:val="bottom"/>
                  </w:tcPr>
                  <w:p w:rsidR="00B637B2" w:rsidRPr="0003585B" w:rsidRDefault="00B637B2" w:rsidP="00B637B2">
                    <w:pPr>
                      <w:kinsoku w:val="0"/>
                      <w:overflowPunct w:val="0"/>
                      <w:autoSpaceDE w:val="0"/>
                      <w:autoSpaceDN w:val="0"/>
                      <w:adjustRightInd w:val="0"/>
                      <w:snapToGrid w:val="0"/>
                      <w:jc w:val="right"/>
                      <w:rPr>
                        <w:rFonts w:cs="Arial"/>
                        <w:sz w:val="20"/>
                        <w:szCs w:val="20"/>
                      </w:rPr>
                    </w:pPr>
                  </w:p>
                </w:tc>
                <w:tc>
                  <w:tcPr>
                    <w:tcW w:w="151" w:type="dxa"/>
                    <w:noWrap/>
                    <w:vAlign w:val="bottom"/>
                  </w:tcPr>
                  <w:p w:rsidR="00B637B2" w:rsidRPr="0003585B" w:rsidRDefault="00B637B2" w:rsidP="00B637B2">
                    <w:pPr>
                      <w:kinsoku w:val="0"/>
                      <w:overflowPunct w:val="0"/>
                      <w:autoSpaceDE w:val="0"/>
                      <w:autoSpaceDN w:val="0"/>
                      <w:adjustRightInd w:val="0"/>
                      <w:snapToGrid w:val="0"/>
                      <w:rPr>
                        <w:rFonts w:cs="Arial"/>
                        <w:sz w:val="20"/>
                        <w:szCs w:val="20"/>
                      </w:rPr>
                    </w:pPr>
                  </w:p>
                </w:tc>
              </w:tr>
              <w:tr w:rsidR="00B637B2" w:rsidRPr="0003585B" w:rsidTr="00B637B2">
                <w:tc>
                  <w:tcPr>
                    <w:tcW w:w="2321" w:type="dxa"/>
                    <w:noWrap/>
                    <w:vAlign w:val="bottom"/>
                    <w:hideMark/>
                  </w:tcPr>
                  <w:p w:rsidR="00B637B2" w:rsidRPr="0003585B" w:rsidRDefault="008F04CF" w:rsidP="00B637B2">
                    <w:pPr>
                      <w:kinsoku w:val="0"/>
                      <w:overflowPunct w:val="0"/>
                      <w:autoSpaceDE w:val="0"/>
                      <w:autoSpaceDN w:val="0"/>
                      <w:adjustRightInd w:val="0"/>
                      <w:snapToGrid w:val="0"/>
                      <w:rPr>
                        <w:rFonts w:cs="Arial"/>
                        <w:color w:val="000000"/>
                        <w:sz w:val="20"/>
                        <w:szCs w:val="20"/>
                      </w:rPr>
                    </w:pPr>
                    <w:r w:rsidRPr="0003585B">
                      <w:rPr>
                        <w:rFonts w:cs="Arial" w:hint="eastAsia"/>
                        <w:color w:val="000000"/>
                        <w:sz w:val="20"/>
                        <w:szCs w:val="20"/>
                      </w:rPr>
                      <w:t>货币资金</w:t>
                    </w:r>
                  </w:p>
                </w:tc>
                <w:tc>
                  <w:tcPr>
                    <w:tcW w:w="1613" w:type="dxa"/>
                    <w:noWrap/>
                    <w:hideMark/>
                  </w:tcPr>
                  <w:p w:rsidR="00B637B2" w:rsidRPr="0003585B" w:rsidRDefault="008F04CF" w:rsidP="00B637B2">
                    <w:pPr>
                      <w:kinsoku w:val="0"/>
                      <w:overflowPunct w:val="0"/>
                      <w:autoSpaceDE w:val="0"/>
                      <w:autoSpaceDN w:val="0"/>
                      <w:adjustRightInd w:val="0"/>
                      <w:snapToGrid w:val="0"/>
                      <w:jc w:val="right"/>
                      <w:rPr>
                        <w:rFonts w:cs="Arial"/>
                        <w:color w:val="000000"/>
                        <w:sz w:val="20"/>
                        <w:szCs w:val="20"/>
                      </w:rPr>
                    </w:pPr>
                    <w:r w:rsidRPr="0003585B">
                      <w:rPr>
                        <w:rFonts w:cs="Arial"/>
                        <w:color w:val="000000"/>
                        <w:sz w:val="20"/>
                        <w:szCs w:val="20"/>
                      </w:rPr>
                      <w:t>-</w:t>
                    </w:r>
                  </w:p>
                </w:tc>
                <w:tc>
                  <w:tcPr>
                    <w:tcW w:w="1472" w:type="dxa"/>
                    <w:noWrap/>
                    <w:vAlign w:val="bottom"/>
                    <w:hideMark/>
                  </w:tcPr>
                  <w:p w:rsidR="00B637B2" w:rsidRPr="0003585B" w:rsidRDefault="008F04CF" w:rsidP="00B637B2">
                    <w:pPr>
                      <w:kinsoku w:val="0"/>
                      <w:overflowPunct w:val="0"/>
                      <w:autoSpaceDE w:val="0"/>
                      <w:autoSpaceDN w:val="0"/>
                      <w:adjustRightInd w:val="0"/>
                      <w:snapToGrid w:val="0"/>
                      <w:jc w:val="right"/>
                      <w:rPr>
                        <w:rFonts w:cs="Arial"/>
                        <w:color w:val="000000"/>
                        <w:sz w:val="20"/>
                        <w:szCs w:val="20"/>
                      </w:rPr>
                    </w:pPr>
                    <w:r w:rsidRPr="0003585B">
                      <w:rPr>
                        <w:rFonts w:cs="Arial"/>
                        <w:color w:val="000000"/>
                        <w:sz w:val="20"/>
                        <w:szCs w:val="20"/>
                      </w:rPr>
                      <w:t>5,530,811,375</w:t>
                    </w:r>
                  </w:p>
                </w:tc>
                <w:tc>
                  <w:tcPr>
                    <w:tcW w:w="102" w:type="dxa"/>
                    <w:noWrap/>
                    <w:vAlign w:val="bottom"/>
                  </w:tcPr>
                  <w:p w:rsidR="00B637B2" w:rsidRPr="0003585B" w:rsidRDefault="00B637B2" w:rsidP="00B637B2">
                    <w:pPr>
                      <w:kinsoku w:val="0"/>
                      <w:overflowPunct w:val="0"/>
                      <w:autoSpaceDE w:val="0"/>
                      <w:autoSpaceDN w:val="0"/>
                      <w:adjustRightInd w:val="0"/>
                      <w:snapToGrid w:val="0"/>
                      <w:jc w:val="right"/>
                      <w:rPr>
                        <w:rFonts w:cs="Arial"/>
                        <w:sz w:val="20"/>
                        <w:szCs w:val="20"/>
                      </w:rPr>
                    </w:pPr>
                  </w:p>
                </w:tc>
                <w:tc>
                  <w:tcPr>
                    <w:tcW w:w="1530" w:type="dxa"/>
                    <w:noWrap/>
                    <w:vAlign w:val="bottom"/>
                    <w:hideMark/>
                  </w:tcPr>
                  <w:p w:rsidR="00B637B2" w:rsidRPr="0003585B" w:rsidRDefault="008F04CF" w:rsidP="00B637B2">
                    <w:pPr>
                      <w:kinsoku w:val="0"/>
                      <w:overflowPunct w:val="0"/>
                      <w:autoSpaceDE w:val="0"/>
                      <w:autoSpaceDN w:val="0"/>
                      <w:adjustRightInd w:val="0"/>
                      <w:snapToGrid w:val="0"/>
                      <w:jc w:val="right"/>
                      <w:rPr>
                        <w:rFonts w:cs="Arial"/>
                        <w:color w:val="000000"/>
                        <w:sz w:val="20"/>
                        <w:szCs w:val="20"/>
                      </w:rPr>
                    </w:pPr>
                    <w:r w:rsidRPr="0003585B">
                      <w:rPr>
                        <w:rFonts w:cs="Arial"/>
                        <w:snapToGrid w:val="0"/>
                        <w:sz w:val="20"/>
                        <w:szCs w:val="20"/>
                      </w:rPr>
                      <w:t>-</w:t>
                    </w:r>
                  </w:p>
                </w:tc>
                <w:tc>
                  <w:tcPr>
                    <w:tcW w:w="84" w:type="dxa"/>
                    <w:noWrap/>
                    <w:vAlign w:val="bottom"/>
                  </w:tcPr>
                  <w:p w:rsidR="00B637B2" w:rsidRPr="0003585B" w:rsidRDefault="00B637B2" w:rsidP="00B637B2">
                    <w:pPr>
                      <w:kinsoku w:val="0"/>
                      <w:overflowPunct w:val="0"/>
                      <w:autoSpaceDE w:val="0"/>
                      <w:autoSpaceDN w:val="0"/>
                      <w:adjustRightInd w:val="0"/>
                      <w:snapToGrid w:val="0"/>
                      <w:rPr>
                        <w:rFonts w:cs="Arial"/>
                        <w:color w:val="000000"/>
                        <w:sz w:val="20"/>
                        <w:szCs w:val="20"/>
                      </w:rPr>
                    </w:pPr>
                  </w:p>
                </w:tc>
                <w:tc>
                  <w:tcPr>
                    <w:tcW w:w="1470" w:type="dxa"/>
                    <w:noWrap/>
                    <w:vAlign w:val="bottom"/>
                    <w:hideMark/>
                  </w:tcPr>
                  <w:p w:rsidR="00B637B2" w:rsidRPr="0003585B" w:rsidRDefault="008F04CF" w:rsidP="00B637B2">
                    <w:pPr>
                      <w:kinsoku w:val="0"/>
                      <w:overflowPunct w:val="0"/>
                      <w:autoSpaceDE w:val="0"/>
                      <w:autoSpaceDN w:val="0"/>
                      <w:adjustRightInd w:val="0"/>
                      <w:snapToGrid w:val="0"/>
                      <w:jc w:val="right"/>
                      <w:rPr>
                        <w:rFonts w:cs="Arial"/>
                        <w:color w:val="000000"/>
                        <w:sz w:val="20"/>
                        <w:szCs w:val="20"/>
                      </w:rPr>
                    </w:pPr>
                    <w:r w:rsidRPr="0003585B">
                      <w:rPr>
                        <w:rFonts w:cs="Arial"/>
                        <w:color w:val="000000"/>
                        <w:sz w:val="20"/>
                        <w:szCs w:val="20"/>
                      </w:rPr>
                      <w:t>5,530,811,375</w:t>
                    </w:r>
                  </w:p>
                </w:tc>
                <w:tc>
                  <w:tcPr>
                    <w:tcW w:w="151" w:type="dxa"/>
                    <w:noWrap/>
                    <w:vAlign w:val="bottom"/>
                  </w:tcPr>
                  <w:p w:rsidR="00B637B2" w:rsidRPr="0003585B" w:rsidRDefault="00B637B2" w:rsidP="00B637B2">
                    <w:pPr>
                      <w:kinsoku w:val="0"/>
                      <w:overflowPunct w:val="0"/>
                      <w:autoSpaceDE w:val="0"/>
                      <w:autoSpaceDN w:val="0"/>
                      <w:adjustRightInd w:val="0"/>
                      <w:snapToGrid w:val="0"/>
                      <w:rPr>
                        <w:rFonts w:cs="Arial"/>
                        <w:color w:val="000000"/>
                        <w:sz w:val="20"/>
                        <w:szCs w:val="20"/>
                      </w:rPr>
                    </w:pPr>
                  </w:p>
                </w:tc>
              </w:tr>
              <w:tr w:rsidR="00B637B2" w:rsidRPr="0003585B" w:rsidTr="00B637B2">
                <w:tc>
                  <w:tcPr>
                    <w:tcW w:w="2321" w:type="dxa"/>
                    <w:noWrap/>
                    <w:vAlign w:val="bottom"/>
                    <w:hideMark/>
                  </w:tcPr>
                  <w:p w:rsidR="00B637B2" w:rsidRPr="0003585B" w:rsidRDefault="008F04CF" w:rsidP="00B637B2">
                    <w:pPr>
                      <w:kinsoku w:val="0"/>
                      <w:overflowPunct w:val="0"/>
                      <w:autoSpaceDE w:val="0"/>
                      <w:autoSpaceDN w:val="0"/>
                      <w:adjustRightInd w:val="0"/>
                      <w:snapToGrid w:val="0"/>
                      <w:ind w:left="266" w:right="-63" w:hanging="266"/>
                      <w:rPr>
                        <w:rFonts w:cs="Arial"/>
                        <w:color w:val="000000"/>
                        <w:sz w:val="20"/>
                        <w:szCs w:val="20"/>
                      </w:rPr>
                    </w:pPr>
                    <w:r w:rsidRPr="0003585B">
                      <w:rPr>
                        <w:rFonts w:cs="Arial" w:hint="eastAsia"/>
                        <w:color w:val="000000"/>
                        <w:sz w:val="20"/>
                        <w:szCs w:val="20"/>
                      </w:rPr>
                      <w:t>应收票据及应收账款</w:t>
                    </w:r>
                  </w:p>
                </w:tc>
                <w:tc>
                  <w:tcPr>
                    <w:tcW w:w="1613" w:type="dxa"/>
                    <w:noWrap/>
                    <w:hideMark/>
                  </w:tcPr>
                  <w:p w:rsidR="00B637B2" w:rsidRPr="0003585B" w:rsidRDefault="008F04CF" w:rsidP="00B637B2">
                    <w:pPr>
                      <w:kinsoku w:val="0"/>
                      <w:overflowPunct w:val="0"/>
                      <w:autoSpaceDE w:val="0"/>
                      <w:autoSpaceDN w:val="0"/>
                      <w:adjustRightInd w:val="0"/>
                      <w:snapToGrid w:val="0"/>
                      <w:ind w:hanging="266"/>
                      <w:jc w:val="right"/>
                      <w:rPr>
                        <w:rFonts w:cs="Arial"/>
                        <w:color w:val="000000"/>
                        <w:sz w:val="20"/>
                        <w:szCs w:val="20"/>
                      </w:rPr>
                    </w:pPr>
                    <w:r w:rsidRPr="0003585B">
                      <w:rPr>
                        <w:rFonts w:cs="Arial"/>
                        <w:color w:val="000000"/>
                        <w:sz w:val="20"/>
                        <w:szCs w:val="20"/>
                      </w:rPr>
                      <w:t>-</w:t>
                    </w:r>
                  </w:p>
                </w:tc>
                <w:tc>
                  <w:tcPr>
                    <w:tcW w:w="1472" w:type="dxa"/>
                    <w:noWrap/>
                    <w:vAlign w:val="bottom"/>
                    <w:hideMark/>
                  </w:tcPr>
                  <w:p w:rsidR="00B637B2" w:rsidRPr="0003585B" w:rsidRDefault="008F04CF" w:rsidP="00B637B2">
                    <w:pPr>
                      <w:kinsoku w:val="0"/>
                      <w:overflowPunct w:val="0"/>
                      <w:autoSpaceDE w:val="0"/>
                      <w:autoSpaceDN w:val="0"/>
                      <w:adjustRightInd w:val="0"/>
                      <w:snapToGrid w:val="0"/>
                      <w:jc w:val="right"/>
                      <w:rPr>
                        <w:rFonts w:cs="Arial"/>
                        <w:snapToGrid w:val="0"/>
                        <w:sz w:val="20"/>
                        <w:szCs w:val="20"/>
                      </w:rPr>
                    </w:pPr>
                    <w:r w:rsidRPr="0003585B">
                      <w:rPr>
                        <w:rFonts w:cs="Arial"/>
                        <w:color w:val="000000"/>
                        <w:sz w:val="20"/>
                        <w:szCs w:val="20"/>
                      </w:rPr>
                      <w:t>1,505,233,097</w:t>
                    </w:r>
                  </w:p>
                </w:tc>
                <w:tc>
                  <w:tcPr>
                    <w:tcW w:w="102" w:type="dxa"/>
                    <w:noWrap/>
                    <w:vAlign w:val="bottom"/>
                  </w:tcPr>
                  <w:p w:rsidR="00B637B2" w:rsidRPr="0003585B" w:rsidRDefault="00B637B2" w:rsidP="00B637B2">
                    <w:pPr>
                      <w:kinsoku w:val="0"/>
                      <w:overflowPunct w:val="0"/>
                      <w:autoSpaceDE w:val="0"/>
                      <w:autoSpaceDN w:val="0"/>
                      <w:adjustRightInd w:val="0"/>
                      <w:snapToGrid w:val="0"/>
                      <w:ind w:left="266" w:right="-63" w:hanging="266"/>
                      <w:jc w:val="right"/>
                      <w:rPr>
                        <w:rFonts w:cs="Arial"/>
                        <w:color w:val="000000"/>
                        <w:sz w:val="20"/>
                        <w:szCs w:val="20"/>
                      </w:rPr>
                    </w:pPr>
                  </w:p>
                </w:tc>
                <w:tc>
                  <w:tcPr>
                    <w:tcW w:w="1530" w:type="dxa"/>
                    <w:noWrap/>
                    <w:vAlign w:val="bottom"/>
                    <w:hideMark/>
                  </w:tcPr>
                  <w:p w:rsidR="00B637B2" w:rsidRPr="0003585B" w:rsidRDefault="008F04CF" w:rsidP="00B637B2">
                    <w:pPr>
                      <w:kinsoku w:val="0"/>
                      <w:overflowPunct w:val="0"/>
                      <w:autoSpaceDE w:val="0"/>
                      <w:autoSpaceDN w:val="0"/>
                      <w:adjustRightInd w:val="0"/>
                      <w:snapToGrid w:val="0"/>
                      <w:jc w:val="right"/>
                      <w:rPr>
                        <w:rFonts w:cs="Arial"/>
                        <w:snapToGrid w:val="0"/>
                        <w:sz w:val="20"/>
                        <w:szCs w:val="20"/>
                      </w:rPr>
                    </w:pPr>
                    <w:r w:rsidRPr="0003585B">
                      <w:rPr>
                        <w:rFonts w:cs="Arial"/>
                        <w:snapToGrid w:val="0"/>
                        <w:sz w:val="20"/>
                        <w:szCs w:val="20"/>
                      </w:rPr>
                      <w:t>-</w:t>
                    </w:r>
                  </w:p>
                </w:tc>
                <w:tc>
                  <w:tcPr>
                    <w:tcW w:w="84" w:type="dxa"/>
                    <w:noWrap/>
                    <w:vAlign w:val="bottom"/>
                  </w:tcPr>
                  <w:p w:rsidR="00B637B2" w:rsidRPr="0003585B" w:rsidRDefault="00B637B2" w:rsidP="00B637B2">
                    <w:pPr>
                      <w:kinsoku w:val="0"/>
                      <w:overflowPunct w:val="0"/>
                      <w:autoSpaceDE w:val="0"/>
                      <w:autoSpaceDN w:val="0"/>
                      <w:adjustRightInd w:val="0"/>
                      <w:snapToGrid w:val="0"/>
                      <w:jc w:val="right"/>
                      <w:rPr>
                        <w:rFonts w:cs="Arial"/>
                        <w:snapToGrid w:val="0"/>
                        <w:sz w:val="20"/>
                        <w:szCs w:val="20"/>
                      </w:rPr>
                    </w:pPr>
                  </w:p>
                </w:tc>
                <w:tc>
                  <w:tcPr>
                    <w:tcW w:w="1470" w:type="dxa"/>
                    <w:noWrap/>
                    <w:vAlign w:val="bottom"/>
                    <w:hideMark/>
                  </w:tcPr>
                  <w:p w:rsidR="00B637B2" w:rsidRPr="0003585B" w:rsidRDefault="008F04CF" w:rsidP="00B637B2">
                    <w:pPr>
                      <w:kinsoku w:val="0"/>
                      <w:overflowPunct w:val="0"/>
                      <w:autoSpaceDE w:val="0"/>
                      <w:autoSpaceDN w:val="0"/>
                      <w:adjustRightInd w:val="0"/>
                      <w:snapToGrid w:val="0"/>
                      <w:ind w:left="266" w:hanging="266"/>
                      <w:jc w:val="right"/>
                      <w:rPr>
                        <w:rFonts w:cs="Arial"/>
                        <w:color w:val="000000"/>
                        <w:sz w:val="20"/>
                        <w:szCs w:val="20"/>
                      </w:rPr>
                    </w:pPr>
                    <w:r w:rsidRPr="0003585B">
                      <w:rPr>
                        <w:rFonts w:cs="Arial"/>
                        <w:color w:val="000000"/>
                        <w:sz w:val="20"/>
                        <w:szCs w:val="20"/>
                      </w:rPr>
                      <w:t>1,505,233,097</w:t>
                    </w:r>
                  </w:p>
                </w:tc>
                <w:tc>
                  <w:tcPr>
                    <w:tcW w:w="151" w:type="dxa"/>
                    <w:noWrap/>
                    <w:vAlign w:val="bottom"/>
                  </w:tcPr>
                  <w:p w:rsidR="00B637B2" w:rsidRPr="0003585B" w:rsidRDefault="00B637B2" w:rsidP="00B637B2">
                    <w:pPr>
                      <w:kinsoku w:val="0"/>
                      <w:overflowPunct w:val="0"/>
                      <w:autoSpaceDE w:val="0"/>
                      <w:autoSpaceDN w:val="0"/>
                      <w:adjustRightInd w:val="0"/>
                      <w:snapToGrid w:val="0"/>
                      <w:ind w:left="266" w:right="-63" w:hanging="266"/>
                      <w:rPr>
                        <w:rFonts w:cs="Arial"/>
                        <w:color w:val="000000"/>
                        <w:sz w:val="20"/>
                        <w:szCs w:val="20"/>
                      </w:rPr>
                    </w:pPr>
                  </w:p>
                </w:tc>
              </w:tr>
              <w:tr w:rsidR="00B637B2" w:rsidRPr="0003585B" w:rsidTr="00B637B2">
                <w:tc>
                  <w:tcPr>
                    <w:tcW w:w="2321" w:type="dxa"/>
                    <w:noWrap/>
                    <w:vAlign w:val="bottom"/>
                    <w:hideMark/>
                  </w:tcPr>
                  <w:p w:rsidR="00B637B2" w:rsidRPr="0003585B" w:rsidRDefault="008F04CF" w:rsidP="00B637B2">
                    <w:pPr>
                      <w:kinsoku w:val="0"/>
                      <w:overflowPunct w:val="0"/>
                      <w:autoSpaceDE w:val="0"/>
                      <w:autoSpaceDN w:val="0"/>
                      <w:adjustRightInd w:val="0"/>
                      <w:snapToGrid w:val="0"/>
                      <w:ind w:left="266" w:right="-63" w:hanging="266"/>
                      <w:rPr>
                        <w:rFonts w:cs="Arial"/>
                        <w:color w:val="000000"/>
                        <w:sz w:val="20"/>
                        <w:szCs w:val="20"/>
                      </w:rPr>
                    </w:pPr>
                    <w:r w:rsidRPr="0003585B">
                      <w:rPr>
                        <w:rFonts w:cs="Arial" w:hint="eastAsia"/>
                        <w:snapToGrid w:val="0"/>
                        <w:sz w:val="20"/>
                        <w:szCs w:val="20"/>
                      </w:rPr>
                      <w:t>其他应收款</w:t>
                    </w:r>
                  </w:p>
                </w:tc>
                <w:tc>
                  <w:tcPr>
                    <w:tcW w:w="1613" w:type="dxa"/>
                    <w:noWrap/>
                    <w:hideMark/>
                  </w:tcPr>
                  <w:p w:rsidR="00B637B2" w:rsidRPr="0003585B" w:rsidRDefault="008F04CF" w:rsidP="00B637B2">
                    <w:pPr>
                      <w:kinsoku w:val="0"/>
                      <w:overflowPunct w:val="0"/>
                      <w:autoSpaceDE w:val="0"/>
                      <w:autoSpaceDN w:val="0"/>
                      <w:adjustRightInd w:val="0"/>
                      <w:snapToGrid w:val="0"/>
                      <w:ind w:hanging="266"/>
                      <w:jc w:val="right"/>
                      <w:rPr>
                        <w:rFonts w:cs="Arial"/>
                        <w:color w:val="000000"/>
                        <w:sz w:val="20"/>
                        <w:szCs w:val="20"/>
                      </w:rPr>
                    </w:pPr>
                    <w:r w:rsidRPr="0003585B">
                      <w:rPr>
                        <w:rFonts w:cs="Arial"/>
                        <w:color w:val="000000"/>
                        <w:sz w:val="20"/>
                        <w:szCs w:val="20"/>
                      </w:rPr>
                      <w:t>-</w:t>
                    </w:r>
                  </w:p>
                </w:tc>
                <w:tc>
                  <w:tcPr>
                    <w:tcW w:w="1472" w:type="dxa"/>
                    <w:noWrap/>
                    <w:vAlign w:val="bottom"/>
                    <w:hideMark/>
                  </w:tcPr>
                  <w:p w:rsidR="00B637B2" w:rsidRPr="0003585B" w:rsidRDefault="008F04CF" w:rsidP="00B637B2">
                    <w:pPr>
                      <w:kinsoku w:val="0"/>
                      <w:overflowPunct w:val="0"/>
                      <w:autoSpaceDE w:val="0"/>
                      <w:autoSpaceDN w:val="0"/>
                      <w:adjustRightInd w:val="0"/>
                      <w:snapToGrid w:val="0"/>
                      <w:jc w:val="right"/>
                      <w:rPr>
                        <w:rFonts w:cs="Arial"/>
                        <w:snapToGrid w:val="0"/>
                        <w:sz w:val="20"/>
                        <w:szCs w:val="20"/>
                      </w:rPr>
                    </w:pPr>
                    <w:r w:rsidRPr="0003585B">
                      <w:rPr>
                        <w:rFonts w:cs="Arial"/>
                        <w:color w:val="000000"/>
                        <w:sz w:val="20"/>
                        <w:szCs w:val="20"/>
                      </w:rPr>
                      <w:t>374,566,515</w:t>
                    </w:r>
                  </w:p>
                </w:tc>
                <w:tc>
                  <w:tcPr>
                    <w:tcW w:w="102" w:type="dxa"/>
                    <w:noWrap/>
                    <w:vAlign w:val="bottom"/>
                  </w:tcPr>
                  <w:p w:rsidR="00B637B2" w:rsidRPr="0003585B" w:rsidRDefault="00B637B2" w:rsidP="00B637B2">
                    <w:pPr>
                      <w:kinsoku w:val="0"/>
                      <w:overflowPunct w:val="0"/>
                      <w:autoSpaceDE w:val="0"/>
                      <w:autoSpaceDN w:val="0"/>
                      <w:adjustRightInd w:val="0"/>
                      <w:snapToGrid w:val="0"/>
                      <w:ind w:left="266" w:right="-63" w:hanging="266"/>
                      <w:jc w:val="right"/>
                      <w:rPr>
                        <w:rFonts w:cs="Arial"/>
                        <w:color w:val="000000"/>
                        <w:sz w:val="20"/>
                        <w:szCs w:val="20"/>
                      </w:rPr>
                    </w:pPr>
                  </w:p>
                </w:tc>
                <w:tc>
                  <w:tcPr>
                    <w:tcW w:w="1530" w:type="dxa"/>
                    <w:noWrap/>
                    <w:vAlign w:val="bottom"/>
                    <w:hideMark/>
                  </w:tcPr>
                  <w:p w:rsidR="00B637B2" w:rsidRPr="0003585B" w:rsidRDefault="008F04CF" w:rsidP="00B637B2">
                    <w:pPr>
                      <w:kinsoku w:val="0"/>
                      <w:overflowPunct w:val="0"/>
                      <w:autoSpaceDE w:val="0"/>
                      <w:autoSpaceDN w:val="0"/>
                      <w:adjustRightInd w:val="0"/>
                      <w:snapToGrid w:val="0"/>
                      <w:jc w:val="right"/>
                      <w:rPr>
                        <w:rFonts w:cs="Arial"/>
                        <w:snapToGrid w:val="0"/>
                        <w:sz w:val="20"/>
                        <w:szCs w:val="20"/>
                      </w:rPr>
                    </w:pPr>
                    <w:r w:rsidRPr="0003585B">
                      <w:rPr>
                        <w:rFonts w:cs="Arial"/>
                        <w:snapToGrid w:val="0"/>
                        <w:sz w:val="20"/>
                        <w:szCs w:val="20"/>
                      </w:rPr>
                      <w:t>-</w:t>
                    </w:r>
                  </w:p>
                </w:tc>
                <w:tc>
                  <w:tcPr>
                    <w:tcW w:w="84" w:type="dxa"/>
                    <w:noWrap/>
                    <w:vAlign w:val="bottom"/>
                  </w:tcPr>
                  <w:p w:rsidR="00B637B2" w:rsidRPr="0003585B" w:rsidRDefault="00B637B2" w:rsidP="00B637B2">
                    <w:pPr>
                      <w:kinsoku w:val="0"/>
                      <w:overflowPunct w:val="0"/>
                      <w:autoSpaceDE w:val="0"/>
                      <w:autoSpaceDN w:val="0"/>
                      <w:adjustRightInd w:val="0"/>
                      <w:snapToGrid w:val="0"/>
                      <w:jc w:val="right"/>
                      <w:rPr>
                        <w:rFonts w:cs="Arial"/>
                        <w:snapToGrid w:val="0"/>
                        <w:sz w:val="20"/>
                        <w:szCs w:val="20"/>
                      </w:rPr>
                    </w:pPr>
                  </w:p>
                </w:tc>
                <w:tc>
                  <w:tcPr>
                    <w:tcW w:w="1470" w:type="dxa"/>
                    <w:noWrap/>
                    <w:vAlign w:val="bottom"/>
                    <w:hideMark/>
                  </w:tcPr>
                  <w:p w:rsidR="00B637B2" w:rsidRPr="0003585B" w:rsidRDefault="008F04CF" w:rsidP="00B637B2">
                    <w:pPr>
                      <w:kinsoku w:val="0"/>
                      <w:overflowPunct w:val="0"/>
                      <w:autoSpaceDE w:val="0"/>
                      <w:autoSpaceDN w:val="0"/>
                      <w:adjustRightInd w:val="0"/>
                      <w:snapToGrid w:val="0"/>
                      <w:ind w:left="266" w:right="-2" w:hanging="266"/>
                      <w:jc w:val="right"/>
                      <w:rPr>
                        <w:rFonts w:cs="Arial"/>
                        <w:color w:val="000000"/>
                        <w:sz w:val="20"/>
                        <w:szCs w:val="20"/>
                      </w:rPr>
                    </w:pPr>
                    <w:r w:rsidRPr="0003585B">
                      <w:rPr>
                        <w:rFonts w:cs="Arial"/>
                        <w:color w:val="000000"/>
                        <w:sz w:val="20"/>
                        <w:szCs w:val="20"/>
                      </w:rPr>
                      <w:t>374,566,515</w:t>
                    </w:r>
                  </w:p>
                </w:tc>
                <w:tc>
                  <w:tcPr>
                    <w:tcW w:w="151" w:type="dxa"/>
                    <w:noWrap/>
                    <w:vAlign w:val="bottom"/>
                  </w:tcPr>
                  <w:p w:rsidR="00B637B2" w:rsidRPr="0003585B" w:rsidRDefault="00B637B2" w:rsidP="00B637B2">
                    <w:pPr>
                      <w:kinsoku w:val="0"/>
                      <w:overflowPunct w:val="0"/>
                      <w:autoSpaceDE w:val="0"/>
                      <w:autoSpaceDN w:val="0"/>
                      <w:adjustRightInd w:val="0"/>
                      <w:snapToGrid w:val="0"/>
                      <w:ind w:left="266" w:right="-63" w:hanging="266"/>
                      <w:rPr>
                        <w:rFonts w:cs="Arial"/>
                        <w:color w:val="000000"/>
                        <w:sz w:val="20"/>
                        <w:szCs w:val="20"/>
                      </w:rPr>
                    </w:pPr>
                  </w:p>
                </w:tc>
              </w:tr>
              <w:tr w:rsidR="00B637B2" w:rsidRPr="0003585B" w:rsidTr="00B637B2">
                <w:tc>
                  <w:tcPr>
                    <w:tcW w:w="2321" w:type="dxa"/>
                    <w:noWrap/>
                    <w:vAlign w:val="bottom"/>
                    <w:hideMark/>
                  </w:tcPr>
                  <w:p w:rsidR="00B637B2" w:rsidRPr="0003585B" w:rsidRDefault="008F04CF" w:rsidP="00B637B2">
                    <w:pPr>
                      <w:kinsoku w:val="0"/>
                      <w:overflowPunct w:val="0"/>
                      <w:autoSpaceDE w:val="0"/>
                      <w:autoSpaceDN w:val="0"/>
                      <w:adjustRightInd w:val="0"/>
                      <w:snapToGrid w:val="0"/>
                      <w:ind w:left="266" w:right="-63" w:hanging="266"/>
                      <w:rPr>
                        <w:rFonts w:cs="Arial"/>
                        <w:color w:val="000000"/>
                        <w:sz w:val="20"/>
                        <w:szCs w:val="20"/>
                      </w:rPr>
                    </w:pPr>
                    <w:r w:rsidRPr="0003585B">
                      <w:rPr>
                        <w:rFonts w:cs="Arial" w:hint="eastAsia"/>
                        <w:snapToGrid w:val="0"/>
                        <w:sz w:val="20"/>
                        <w:szCs w:val="20"/>
                      </w:rPr>
                      <w:t>其他流动资产</w:t>
                    </w:r>
                    <w:r w:rsidRPr="0003585B">
                      <w:rPr>
                        <w:rFonts w:cs="Arial"/>
                        <w:snapToGrid w:val="0"/>
                        <w:sz w:val="20"/>
                        <w:szCs w:val="20"/>
                      </w:rPr>
                      <w:t>(</w:t>
                    </w:r>
                    <w:r w:rsidRPr="0003585B">
                      <w:rPr>
                        <w:rFonts w:cs="Arial" w:hint="eastAsia"/>
                        <w:snapToGrid w:val="0"/>
                        <w:sz w:val="20"/>
                        <w:szCs w:val="20"/>
                      </w:rPr>
                      <w:t>理财产品</w:t>
                    </w:r>
                    <w:r w:rsidRPr="0003585B">
                      <w:rPr>
                        <w:rFonts w:cs="Arial"/>
                        <w:snapToGrid w:val="0"/>
                        <w:sz w:val="20"/>
                        <w:szCs w:val="20"/>
                      </w:rPr>
                      <w:t>)</w:t>
                    </w:r>
                  </w:p>
                </w:tc>
                <w:tc>
                  <w:tcPr>
                    <w:tcW w:w="1613" w:type="dxa"/>
                    <w:noWrap/>
                    <w:hideMark/>
                  </w:tcPr>
                  <w:p w:rsidR="00B637B2" w:rsidRPr="0003585B" w:rsidRDefault="008F04CF" w:rsidP="00B637B2">
                    <w:pPr>
                      <w:kinsoku w:val="0"/>
                      <w:overflowPunct w:val="0"/>
                      <w:autoSpaceDE w:val="0"/>
                      <w:autoSpaceDN w:val="0"/>
                      <w:adjustRightInd w:val="0"/>
                      <w:snapToGrid w:val="0"/>
                      <w:ind w:hanging="266"/>
                      <w:jc w:val="right"/>
                      <w:rPr>
                        <w:rFonts w:cs="Arial"/>
                        <w:color w:val="000000"/>
                        <w:sz w:val="20"/>
                        <w:szCs w:val="20"/>
                      </w:rPr>
                    </w:pPr>
                    <w:r w:rsidRPr="0003585B">
                      <w:rPr>
                        <w:rFonts w:cs="Arial"/>
                        <w:color w:val="000000"/>
                        <w:sz w:val="20"/>
                        <w:szCs w:val="20"/>
                      </w:rPr>
                      <w:t>9,549,542</w:t>
                    </w:r>
                  </w:p>
                </w:tc>
                <w:tc>
                  <w:tcPr>
                    <w:tcW w:w="1472" w:type="dxa"/>
                    <w:noWrap/>
                    <w:vAlign w:val="bottom"/>
                    <w:hideMark/>
                  </w:tcPr>
                  <w:p w:rsidR="00B637B2" w:rsidRPr="0003585B" w:rsidRDefault="008F04CF" w:rsidP="00B637B2">
                    <w:pPr>
                      <w:kinsoku w:val="0"/>
                      <w:overflowPunct w:val="0"/>
                      <w:autoSpaceDE w:val="0"/>
                      <w:autoSpaceDN w:val="0"/>
                      <w:adjustRightInd w:val="0"/>
                      <w:snapToGrid w:val="0"/>
                      <w:jc w:val="right"/>
                      <w:rPr>
                        <w:rFonts w:cs="Arial"/>
                        <w:snapToGrid w:val="0"/>
                        <w:sz w:val="20"/>
                        <w:szCs w:val="20"/>
                      </w:rPr>
                    </w:pPr>
                    <w:r w:rsidRPr="0003585B">
                      <w:rPr>
                        <w:rFonts w:cs="Arial"/>
                        <w:color w:val="000000"/>
                        <w:sz w:val="20"/>
                        <w:szCs w:val="20"/>
                      </w:rPr>
                      <w:t>-</w:t>
                    </w:r>
                  </w:p>
                </w:tc>
                <w:tc>
                  <w:tcPr>
                    <w:tcW w:w="102" w:type="dxa"/>
                    <w:noWrap/>
                    <w:vAlign w:val="bottom"/>
                  </w:tcPr>
                  <w:p w:rsidR="00B637B2" w:rsidRPr="0003585B" w:rsidRDefault="00B637B2" w:rsidP="00B637B2">
                    <w:pPr>
                      <w:kinsoku w:val="0"/>
                      <w:overflowPunct w:val="0"/>
                      <w:autoSpaceDE w:val="0"/>
                      <w:autoSpaceDN w:val="0"/>
                      <w:adjustRightInd w:val="0"/>
                      <w:snapToGrid w:val="0"/>
                      <w:ind w:left="266" w:right="-63" w:hanging="266"/>
                      <w:jc w:val="right"/>
                      <w:rPr>
                        <w:rFonts w:cs="Arial"/>
                        <w:color w:val="000000"/>
                        <w:sz w:val="20"/>
                        <w:szCs w:val="20"/>
                      </w:rPr>
                    </w:pPr>
                  </w:p>
                </w:tc>
                <w:tc>
                  <w:tcPr>
                    <w:tcW w:w="1530" w:type="dxa"/>
                    <w:noWrap/>
                    <w:vAlign w:val="bottom"/>
                    <w:hideMark/>
                  </w:tcPr>
                  <w:p w:rsidR="00B637B2" w:rsidRPr="0003585B" w:rsidRDefault="008F04CF" w:rsidP="00B637B2">
                    <w:pPr>
                      <w:kinsoku w:val="0"/>
                      <w:overflowPunct w:val="0"/>
                      <w:autoSpaceDE w:val="0"/>
                      <w:autoSpaceDN w:val="0"/>
                      <w:adjustRightInd w:val="0"/>
                      <w:snapToGrid w:val="0"/>
                      <w:jc w:val="right"/>
                      <w:rPr>
                        <w:rFonts w:cs="Arial"/>
                        <w:snapToGrid w:val="0"/>
                        <w:sz w:val="20"/>
                        <w:szCs w:val="20"/>
                      </w:rPr>
                    </w:pPr>
                    <w:r w:rsidRPr="0003585B">
                      <w:rPr>
                        <w:rFonts w:cs="Arial"/>
                        <w:snapToGrid w:val="0"/>
                        <w:sz w:val="20"/>
                        <w:szCs w:val="20"/>
                      </w:rPr>
                      <w:t>531,143,000</w:t>
                    </w:r>
                  </w:p>
                </w:tc>
                <w:tc>
                  <w:tcPr>
                    <w:tcW w:w="84" w:type="dxa"/>
                    <w:noWrap/>
                    <w:vAlign w:val="bottom"/>
                  </w:tcPr>
                  <w:p w:rsidR="00B637B2" w:rsidRPr="0003585B" w:rsidRDefault="00B637B2" w:rsidP="00B637B2">
                    <w:pPr>
                      <w:kinsoku w:val="0"/>
                      <w:overflowPunct w:val="0"/>
                      <w:autoSpaceDE w:val="0"/>
                      <w:autoSpaceDN w:val="0"/>
                      <w:adjustRightInd w:val="0"/>
                      <w:snapToGrid w:val="0"/>
                      <w:jc w:val="right"/>
                      <w:rPr>
                        <w:rFonts w:cs="Arial"/>
                        <w:snapToGrid w:val="0"/>
                        <w:sz w:val="20"/>
                        <w:szCs w:val="20"/>
                      </w:rPr>
                    </w:pPr>
                  </w:p>
                </w:tc>
                <w:tc>
                  <w:tcPr>
                    <w:tcW w:w="1470" w:type="dxa"/>
                    <w:noWrap/>
                    <w:vAlign w:val="bottom"/>
                    <w:hideMark/>
                  </w:tcPr>
                  <w:p w:rsidR="00B637B2" w:rsidRPr="0003585B" w:rsidRDefault="008F04CF" w:rsidP="00B637B2">
                    <w:pPr>
                      <w:kinsoku w:val="0"/>
                      <w:overflowPunct w:val="0"/>
                      <w:autoSpaceDE w:val="0"/>
                      <w:autoSpaceDN w:val="0"/>
                      <w:adjustRightInd w:val="0"/>
                      <w:snapToGrid w:val="0"/>
                      <w:ind w:left="266" w:hanging="266"/>
                      <w:jc w:val="right"/>
                      <w:rPr>
                        <w:rFonts w:cs="Arial"/>
                        <w:color w:val="000000"/>
                        <w:sz w:val="20"/>
                        <w:szCs w:val="20"/>
                      </w:rPr>
                    </w:pPr>
                    <w:r w:rsidRPr="0003585B">
                      <w:rPr>
                        <w:rFonts w:cs="Arial"/>
                        <w:color w:val="000000"/>
                        <w:sz w:val="20"/>
                        <w:szCs w:val="20"/>
                      </w:rPr>
                      <w:t>540,692,542</w:t>
                    </w:r>
                  </w:p>
                </w:tc>
                <w:tc>
                  <w:tcPr>
                    <w:tcW w:w="151" w:type="dxa"/>
                    <w:noWrap/>
                    <w:vAlign w:val="bottom"/>
                  </w:tcPr>
                  <w:p w:rsidR="00B637B2" w:rsidRPr="0003585B" w:rsidRDefault="00B637B2" w:rsidP="00B637B2">
                    <w:pPr>
                      <w:kinsoku w:val="0"/>
                      <w:overflowPunct w:val="0"/>
                      <w:autoSpaceDE w:val="0"/>
                      <w:autoSpaceDN w:val="0"/>
                      <w:adjustRightInd w:val="0"/>
                      <w:snapToGrid w:val="0"/>
                      <w:ind w:left="266" w:right="-63" w:hanging="266"/>
                      <w:rPr>
                        <w:rFonts w:cs="Arial"/>
                        <w:color w:val="000000"/>
                        <w:sz w:val="20"/>
                        <w:szCs w:val="20"/>
                      </w:rPr>
                    </w:pPr>
                  </w:p>
                </w:tc>
              </w:tr>
              <w:tr w:rsidR="00B637B2" w:rsidRPr="0003585B" w:rsidTr="00B637B2">
                <w:tc>
                  <w:tcPr>
                    <w:tcW w:w="2321" w:type="dxa"/>
                    <w:noWrap/>
                    <w:vAlign w:val="bottom"/>
                    <w:hideMark/>
                  </w:tcPr>
                  <w:p w:rsidR="00B637B2" w:rsidRPr="0003585B" w:rsidRDefault="008F04CF" w:rsidP="00B637B2">
                    <w:pPr>
                      <w:kinsoku w:val="0"/>
                      <w:overflowPunct w:val="0"/>
                      <w:autoSpaceDE w:val="0"/>
                      <w:autoSpaceDN w:val="0"/>
                      <w:adjustRightInd w:val="0"/>
                      <w:snapToGrid w:val="0"/>
                      <w:ind w:left="266" w:right="-63" w:hanging="266"/>
                      <w:rPr>
                        <w:rFonts w:cs="Arial"/>
                        <w:color w:val="000000"/>
                        <w:sz w:val="20"/>
                        <w:szCs w:val="20"/>
                      </w:rPr>
                    </w:pPr>
                    <w:r w:rsidRPr="0003585B">
                      <w:rPr>
                        <w:rFonts w:cs="Arial" w:hint="eastAsia"/>
                        <w:snapToGrid w:val="0"/>
                        <w:sz w:val="20"/>
                        <w:szCs w:val="20"/>
                      </w:rPr>
                      <w:t>可供出售金融资产</w:t>
                    </w:r>
                  </w:p>
                </w:tc>
                <w:tc>
                  <w:tcPr>
                    <w:tcW w:w="1613" w:type="dxa"/>
                    <w:noWrap/>
                    <w:vAlign w:val="bottom"/>
                    <w:hideMark/>
                  </w:tcPr>
                  <w:p w:rsidR="00B637B2" w:rsidRPr="0003585B" w:rsidRDefault="008F04CF" w:rsidP="00B637B2">
                    <w:pPr>
                      <w:kinsoku w:val="0"/>
                      <w:overflowPunct w:val="0"/>
                      <w:autoSpaceDE w:val="0"/>
                      <w:autoSpaceDN w:val="0"/>
                      <w:adjustRightInd w:val="0"/>
                      <w:snapToGrid w:val="0"/>
                      <w:ind w:hanging="266"/>
                      <w:jc w:val="right"/>
                      <w:rPr>
                        <w:rFonts w:cs="Arial"/>
                        <w:color w:val="000000"/>
                        <w:sz w:val="20"/>
                        <w:szCs w:val="20"/>
                      </w:rPr>
                    </w:pPr>
                    <w:r w:rsidRPr="0003585B">
                      <w:rPr>
                        <w:rFonts w:cs="Arial"/>
                        <w:color w:val="000000"/>
                        <w:sz w:val="20"/>
                        <w:szCs w:val="20"/>
                        <w:u w:val="single"/>
                      </w:rPr>
                      <w:t xml:space="preserve">        -</w:t>
                    </w:r>
                  </w:p>
                </w:tc>
                <w:tc>
                  <w:tcPr>
                    <w:tcW w:w="1472" w:type="dxa"/>
                    <w:noWrap/>
                    <w:vAlign w:val="bottom"/>
                    <w:hideMark/>
                  </w:tcPr>
                  <w:p w:rsidR="00B637B2" w:rsidRPr="0003585B" w:rsidRDefault="008F04CF" w:rsidP="00B637B2">
                    <w:pPr>
                      <w:kinsoku w:val="0"/>
                      <w:overflowPunct w:val="0"/>
                      <w:autoSpaceDE w:val="0"/>
                      <w:autoSpaceDN w:val="0"/>
                      <w:adjustRightInd w:val="0"/>
                      <w:snapToGrid w:val="0"/>
                      <w:jc w:val="right"/>
                      <w:rPr>
                        <w:rFonts w:cs="Arial"/>
                        <w:snapToGrid w:val="0"/>
                        <w:sz w:val="20"/>
                        <w:szCs w:val="20"/>
                      </w:rPr>
                    </w:pPr>
                    <w:r>
                      <w:rPr>
                        <w:rFonts w:cs="Arial"/>
                        <w:color w:val="000000"/>
                        <w:sz w:val="20"/>
                        <w:szCs w:val="20"/>
                        <w:u w:val="single"/>
                      </w:rPr>
                      <w:t xml:space="preserve">            </w:t>
                    </w:r>
                    <w:r w:rsidRPr="0003585B">
                      <w:rPr>
                        <w:rFonts w:cs="Arial"/>
                        <w:color w:val="000000"/>
                        <w:sz w:val="20"/>
                        <w:szCs w:val="20"/>
                        <w:u w:val="single"/>
                      </w:rPr>
                      <w:t>-</w:t>
                    </w:r>
                  </w:p>
                </w:tc>
                <w:tc>
                  <w:tcPr>
                    <w:tcW w:w="102" w:type="dxa"/>
                    <w:noWrap/>
                    <w:vAlign w:val="bottom"/>
                  </w:tcPr>
                  <w:p w:rsidR="00B637B2" w:rsidRPr="0003585B" w:rsidRDefault="00B637B2" w:rsidP="00B637B2">
                    <w:pPr>
                      <w:kinsoku w:val="0"/>
                      <w:overflowPunct w:val="0"/>
                      <w:autoSpaceDE w:val="0"/>
                      <w:autoSpaceDN w:val="0"/>
                      <w:adjustRightInd w:val="0"/>
                      <w:snapToGrid w:val="0"/>
                      <w:ind w:left="266" w:right="-63" w:hanging="266"/>
                      <w:jc w:val="right"/>
                      <w:rPr>
                        <w:rFonts w:cs="Arial"/>
                        <w:color w:val="000000"/>
                        <w:sz w:val="20"/>
                        <w:szCs w:val="20"/>
                      </w:rPr>
                    </w:pPr>
                  </w:p>
                </w:tc>
                <w:tc>
                  <w:tcPr>
                    <w:tcW w:w="1530" w:type="dxa"/>
                    <w:noWrap/>
                    <w:vAlign w:val="bottom"/>
                    <w:hideMark/>
                  </w:tcPr>
                  <w:p w:rsidR="00B637B2" w:rsidRPr="0003585B" w:rsidRDefault="008F04CF" w:rsidP="00B637B2">
                    <w:pPr>
                      <w:kinsoku w:val="0"/>
                      <w:overflowPunct w:val="0"/>
                      <w:autoSpaceDE w:val="0"/>
                      <w:autoSpaceDN w:val="0"/>
                      <w:adjustRightInd w:val="0"/>
                      <w:snapToGrid w:val="0"/>
                      <w:jc w:val="right"/>
                      <w:rPr>
                        <w:rFonts w:cs="Arial"/>
                        <w:snapToGrid w:val="0"/>
                        <w:sz w:val="20"/>
                        <w:szCs w:val="20"/>
                      </w:rPr>
                    </w:pPr>
                    <w:r w:rsidRPr="0003585B">
                      <w:rPr>
                        <w:rFonts w:cs="Arial"/>
                        <w:color w:val="000000"/>
                        <w:sz w:val="20"/>
                        <w:szCs w:val="20"/>
                        <w:u w:val="single"/>
                      </w:rPr>
                      <w:t xml:space="preserve">  677,081,266</w:t>
                    </w:r>
                  </w:p>
                </w:tc>
                <w:tc>
                  <w:tcPr>
                    <w:tcW w:w="84" w:type="dxa"/>
                    <w:noWrap/>
                    <w:vAlign w:val="bottom"/>
                  </w:tcPr>
                  <w:p w:rsidR="00B637B2" w:rsidRPr="0003585B" w:rsidRDefault="00B637B2" w:rsidP="00B637B2">
                    <w:pPr>
                      <w:kinsoku w:val="0"/>
                      <w:overflowPunct w:val="0"/>
                      <w:autoSpaceDE w:val="0"/>
                      <w:autoSpaceDN w:val="0"/>
                      <w:adjustRightInd w:val="0"/>
                      <w:snapToGrid w:val="0"/>
                      <w:jc w:val="right"/>
                      <w:rPr>
                        <w:rFonts w:cs="Arial"/>
                        <w:snapToGrid w:val="0"/>
                        <w:sz w:val="20"/>
                        <w:szCs w:val="20"/>
                      </w:rPr>
                    </w:pPr>
                  </w:p>
                </w:tc>
                <w:tc>
                  <w:tcPr>
                    <w:tcW w:w="1470" w:type="dxa"/>
                    <w:noWrap/>
                    <w:vAlign w:val="bottom"/>
                    <w:hideMark/>
                  </w:tcPr>
                  <w:p w:rsidR="00B637B2" w:rsidRPr="0003585B" w:rsidRDefault="008F04CF" w:rsidP="00B637B2">
                    <w:pPr>
                      <w:kinsoku w:val="0"/>
                      <w:overflowPunct w:val="0"/>
                      <w:autoSpaceDE w:val="0"/>
                      <w:autoSpaceDN w:val="0"/>
                      <w:adjustRightInd w:val="0"/>
                      <w:snapToGrid w:val="0"/>
                      <w:ind w:left="266" w:right="-2" w:hanging="266"/>
                      <w:jc w:val="right"/>
                      <w:rPr>
                        <w:rFonts w:cs="Arial"/>
                        <w:color w:val="000000"/>
                        <w:sz w:val="20"/>
                        <w:szCs w:val="20"/>
                      </w:rPr>
                    </w:pPr>
                    <w:r w:rsidRPr="0003585B">
                      <w:rPr>
                        <w:rFonts w:cs="Arial"/>
                        <w:color w:val="000000"/>
                        <w:sz w:val="20"/>
                        <w:szCs w:val="20"/>
                      </w:rPr>
                      <w:t xml:space="preserve"> </w:t>
                    </w:r>
                    <w:r>
                      <w:rPr>
                        <w:rFonts w:cs="Arial"/>
                        <w:color w:val="000000"/>
                        <w:sz w:val="20"/>
                        <w:szCs w:val="20"/>
                        <w:u w:val="single"/>
                      </w:rPr>
                      <w:t xml:space="preserve">  </w:t>
                    </w:r>
                    <w:r w:rsidRPr="0003585B">
                      <w:rPr>
                        <w:rFonts w:cs="Arial"/>
                        <w:color w:val="000000"/>
                        <w:sz w:val="20"/>
                        <w:szCs w:val="20"/>
                        <w:u w:val="single"/>
                      </w:rPr>
                      <w:t>677,081,266</w:t>
                    </w:r>
                  </w:p>
                </w:tc>
                <w:tc>
                  <w:tcPr>
                    <w:tcW w:w="151" w:type="dxa"/>
                    <w:noWrap/>
                    <w:vAlign w:val="bottom"/>
                  </w:tcPr>
                  <w:p w:rsidR="00B637B2" w:rsidRPr="0003585B" w:rsidRDefault="00B637B2" w:rsidP="00B637B2">
                    <w:pPr>
                      <w:kinsoku w:val="0"/>
                      <w:overflowPunct w:val="0"/>
                      <w:autoSpaceDE w:val="0"/>
                      <w:autoSpaceDN w:val="0"/>
                      <w:adjustRightInd w:val="0"/>
                      <w:snapToGrid w:val="0"/>
                      <w:ind w:left="266" w:right="-63" w:hanging="266"/>
                      <w:rPr>
                        <w:rFonts w:cs="Arial"/>
                        <w:color w:val="000000"/>
                        <w:sz w:val="20"/>
                        <w:szCs w:val="20"/>
                      </w:rPr>
                    </w:pPr>
                  </w:p>
                </w:tc>
              </w:tr>
              <w:tr w:rsidR="00B637B2" w:rsidRPr="0003585B" w:rsidTr="00B637B2">
                <w:tc>
                  <w:tcPr>
                    <w:tcW w:w="2321" w:type="dxa"/>
                    <w:noWrap/>
                    <w:vAlign w:val="bottom"/>
                    <w:hideMark/>
                  </w:tcPr>
                  <w:p w:rsidR="00B637B2" w:rsidRPr="0003585B" w:rsidRDefault="008F04CF" w:rsidP="00B637B2">
                    <w:pPr>
                      <w:kinsoku w:val="0"/>
                      <w:overflowPunct w:val="0"/>
                      <w:autoSpaceDE w:val="0"/>
                      <w:autoSpaceDN w:val="0"/>
                      <w:adjustRightInd w:val="0"/>
                      <w:snapToGrid w:val="0"/>
                      <w:ind w:left="266" w:right="-63" w:hanging="266"/>
                      <w:rPr>
                        <w:rFonts w:cs="Arial"/>
                        <w:color w:val="000000"/>
                        <w:sz w:val="20"/>
                        <w:szCs w:val="20"/>
                      </w:rPr>
                    </w:pPr>
                    <w:r w:rsidRPr="0003585B">
                      <w:rPr>
                        <w:rFonts w:cs="Arial"/>
                        <w:color w:val="000000"/>
                        <w:sz w:val="20"/>
                        <w:szCs w:val="20"/>
                      </w:rPr>
                      <w:t xml:space="preserve"> </w:t>
                    </w:r>
                  </w:p>
                </w:tc>
                <w:tc>
                  <w:tcPr>
                    <w:tcW w:w="1613" w:type="dxa"/>
                    <w:noWrap/>
                  </w:tcPr>
                  <w:p w:rsidR="00B637B2" w:rsidRPr="0003585B" w:rsidRDefault="00B637B2" w:rsidP="00B637B2">
                    <w:pPr>
                      <w:kinsoku w:val="0"/>
                      <w:overflowPunct w:val="0"/>
                      <w:autoSpaceDE w:val="0"/>
                      <w:autoSpaceDN w:val="0"/>
                      <w:adjustRightInd w:val="0"/>
                      <w:snapToGrid w:val="0"/>
                      <w:ind w:hanging="266"/>
                      <w:jc w:val="right"/>
                      <w:rPr>
                        <w:rFonts w:cs="Arial"/>
                        <w:color w:val="000000"/>
                        <w:sz w:val="20"/>
                        <w:szCs w:val="20"/>
                      </w:rPr>
                    </w:pPr>
                  </w:p>
                </w:tc>
                <w:tc>
                  <w:tcPr>
                    <w:tcW w:w="1472" w:type="dxa"/>
                    <w:noWrap/>
                    <w:vAlign w:val="bottom"/>
                  </w:tcPr>
                  <w:p w:rsidR="00B637B2" w:rsidRPr="0003585B" w:rsidRDefault="00B637B2" w:rsidP="00B637B2">
                    <w:pPr>
                      <w:kinsoku w:val="0"/>
                      <w:overflowPunct w:val="0"/>
                      <w:autoSpaceDE w:val="0"/>
                      <w:autoSpaceDN w:val="0"/>
                      <w:adjustRightInd w:val="0"/>
                      <w:snapToGrid w:val="0"/>
                      <w:jc w:val="right"/>
                      <w:rPr>
                        <w:rFonts w:cs="Arial"/>
                        <w:snapToGrid w:val="0"/>
                        <w:sz w:val="20"/>
                        <w:szCs w:val="20"/>
                        <w:u w:val="single"/>
                      </w:rPr>
                    </w:pPr>
                  </w:p>
                </w:tc>
                <w:tc>
                  <w:tcPr>
                    <w:tcW w:w="102" w:type="dxa"/>
                    <w:noWrap/>
                    <w:vAlign w:val="bottom"/>
                  </w:tcPr>
                  <w:p w:rsidR="00B637B2" w:rsidRPr="0003585B" w:rsidRDefault="00B637B2" w:rsidP="00B637B2">
                    <w:pPr>
                      <w:kinsoku w:val="0"/>
                      <w:overflowPunct w:val="0"/>
                      <w:autoSpaceDE w:val="0"/>
                      <w:autoSpaceDN w:val="0"/>
                      <w:adjustRightInd w:val="0"/>
                      <w:snapToGrid w:val="0"/>
                      <w:ind w:left="266" w:right="-63" w:hanging="266"/>
                      <w:jc w:val="right"/>
                      <w:rPr>
                        <w:rFonts w:cs="Arial"/>
                        <w:color w:val="000000"/>
                        <w:sz w:val="20"/>
                        <w:szCs w:val="20"/>
                      </w:rPr>
                    </w:pPr>
                  </w:p>
                </w:tc>
                <w:tc>
                  <w:tcPr>
                    <w:tcW w:w="1530" w:type="dxa"/>
                    <w:noWrap/>
                    <w:vAlign w:val="bottom"/>
                  </w:tcPr>
                  <w:p w:rsidR="00B637B2" w:rsidRPr="0003585B" w:rsidRDefault="00B637B2" w:rsidP="00B637B2">
                    <w:pPr>
                      <w:kinsoku w:val="0"/>
                      <w:overflowPunct w:val="0"/>
                      <w:autoSpaceDE w:val="0"/>
                      <w:autoSpaceDN w:val="0"/>
                      <w:adjustRightInd w:val="0"/>
                      <w:snapToGrid w:val="0"/>
                      <w:jc w:val="right"/>
                      <w:rPr>
                        <w:rFonts w:cs="Arial"/>
                        <w:snapToGrid w:val="0"/>
                        <w:sz w:val="20"/>
                        <w:szCs w:val="20"/>
                        <w:u w:val="single"/>
                      </w:rPr>
                    </w:pPr>
                  </w:p>
                </w:tc>
                <w:tc>
                  <w:tcPr>
                    <w:tcW w:w="84" w:type="dxa"/>
                    <w:noWrap/>
                    <w:vAlign w:val="bottom"/>
                  </w:tcPr>
                  <w:p w:rsidR="00B637B2" w:rsidRPr="0003585B" w:rsidRDefault="00B637B2" w:rsidP="00B637B2">
                    <w:pPr>
                      <w:kinsoku w:val="0"/>
                      <w:overflowPunct w:val="0"/>
                      <w:autoSpaceDE w:val="0"/>
                      <w:autoSpaceDN w:val="0"/>
                      <w:adjustRightInd w:val="0"/>
                      <w:snapToGrid w:val="0"/>
                      <w:jc w:val="right"/>
                      <w:rPr>
                        <w:rFonts w:cs="Arial"/>
                        <w:snapToGrid w:val="0"/>
                        <w:sz w:val="20"/>
                        <w:szCs w:val="20"/>
                      </w:rPr>
                    </w:pPr>
                  </w:p>
                </w:tc>
                <w:tc>
                  <w:tcPr>
                    <w:tcW w:w="1470" w:type="dxa"/>
                    <w:noWrap/>
                    <w:vAlign w:val="bottom"/>
                  </w:tcPr>
                  <w:p w:rsidR="00B637B2" w:rsidRPr="0003585B" w:rsidRDefault="00B637B2" w:rsidP="00B637B2">
                    <w:pPr>
                      <w:kinsoku w:val="0"/>
                      <w:overflowPunct w:val="0"/>
                      <w:autoSpaceDE w:val="0"/>
                      <w:autoSpaceDN w:val="0"/>
                      <w:adjustRightInd w:val="0"/>
                      <w:snapToGrid w:val="0"/>
                      <w:ind w:left="266" w:right="-2" w:hanging="266"/>
                      <w:jc w:val="right"/>
                      <w:rPr>
                        <w:rFonts w:cs="Arial"/>
                        <w:color w:val="000000"/>
                        <w:sz w:val="20"/>
                        <w:szCs w:val="20"/>
                      </w:rPr>
                    </w:pPr>
                  </w:p>
                </w:tc>
                <w:tc>
                  <w:tcPr>
                    <w:tcW w:w="151" w:type="dxa"/>
                    <w:noWrap/>
                    <w:vAlign w:val="bottom"/>
                  </w:tcPr>
                  <w:p w:rsidR="00B637B2" w:rsidRPr="0003585B" w:rsidRDefault="00B637B2" w:rsidP="00B637B2">
                    <w:pPr>
                      <w:kinsoku w:val="0"/>
                      <w:overflowPunct w:val="0"/>
                      <w:autoSpaceDE w:val="0"/>
                      <w:autoSpaceDN w:val="0"/>
                      <w:adjustRightInd w:val="0"/>
                      <w:snapToGrid w:val="0"/>
                      <w:ind w:left="266" w:right="-63" w:hanging="266"/>
                      <w:rPr>
                        <w:rFonts w:cs="Arial"/>
                        <w:color w:val="000000"/>
                        <w:sz w:val="20"/>
                        <w:szCs w:val="20"/>
                      </w:rPr>
                    </w:pPr>
                  </w:p>
                </w:tc>
              </w:tr>
              <w:tr w:rsidR="00B637B2" w:rsidRPr="0003585B" w:rsidTr="00B637B2">
                <w:tc>
                  <w:tcPr>
                    <w:tcW w:w="2321" w:type="dxa"/>
                    <w:noWrap/>
                    <w:vAlign w:val="bottom"/>
                    <w:hideMark/>
                  </w:tcPr>
                  <w:p w:rsidR="00B637B2" w:rsidRPr="0003585B" w:rsidRDefault="00B637B2" w:rsidP="00B637B2">
                    <w:pPr>
                      <w:rPr>
                        <w:rFonts w:cs="Arial"/>
                        <w:color w:val="000000"/>
                        <w:sz w:val="20"/>
                        <w:szCs w:val="20"/>
                      </w:rPr>
                    </w:pPr>
                  </w:p>
                </w:tc>
                <w:tc>
                  <w:tcPr>
                    <w:tcW w:w="1613" w:type="dxa"/>
                    <w:noWrap/>
                    <w:hideMark/>
                  </w:tcPr>
                  <w:p w:rsidR="00B637B2" w:rsidRPr="0003585B" w:rsidRDefault="008F04CF" w:rsidP="00B637B2">
                    <w:pPr>
                      <w:kinsoku w:val="0"/>
                      <w:overflowPunct w:val="0"/>
                      <w:autoSpaceDE w:val="0"/>
                      <w:autoSpaceDN w:val="0"/>
                      <w:adjustRightInd w:val="0"/>
                      <w:snapToGrid w:val="0"/>
                      <w:jc w:val="right"/>
                      <w:rPr>
                        <w:rFonts w:cs="Arial"/>
                        <w:sz w:val="20"/>
                        <w:szCs w:val="20"/>
                      </w:rPr>
                    </w:pPr>
                    <w:r w:rsidRPr="0003585B">
                      <w:rPr>
                        <w:rFonts w:cs="Arial"/>
                        <w:color w:val="000000"/>
                        <w:sz w:val="20"/>
                        <w:szCs w:val="20"/>
                        <w:u w:val="double"/>
                      </w:rPr>
                      <w:t>9,549,542</w:t>
                    </w:r>
                  </w:p>
                </w:tc>
                <w:tc>
                  <w:tcPr>
                    <w:tcW w:w="1472" w:type="dxa"/>
                    <w:noWrap/>
                    <w:vAlign w:val="bottom"/>
                    <w:hideMark/>
                  </w:tcPr>
                  <w:p w:rsidR="00B637B2" w:rsidRPr="0003585B" w:rsidRDefault="008F04CF" w:rsidP="00B637B2">
                    <w:pPr>
                      <w:kinsoku w:val="0"/>
                      <w:overflowPunct w:val="0"/>
                      <w:autoSpaceDE w:val="0"/>
                      <w:autoSpaceDN w:val="0"/>
                      <w:adjustRightInd w:val="0"/>
                      <w:snapToGrid w:val="0"/>
                      <w:jc w:val="right"/>
                      <w:rPr>
                        <w:rFonts w:cs="Arial"/>
                        <w:sz w:val="20"/>
                        <w:szCs w:val="20"/>
                      </w:rPr>
                    </w:pPr>
                    <w:r w:rsidRPr="0003585B">
                      <w:rPr>
                        <w:rFonts w:cs="Arial"/>
                        <w:color w:val="000000"/>
                        <w:sz w:val="20"/>
                        <w:szCs w:val="20"/>
                        <w:u w:val="double"/>
                      </w:rPr>
                      <w:t>7,410,610,987</w:t>
                    </w:r>
                  </w:p>
                </w:tc>
                <w:tc>
                  <w:tcPr>
                    <w:tcW w:w="102" w:type="dxa"/>
                    <w:noWrap/>
                    <w:vAlign w:val="bottom"/>
                  </w:tcPr>
                  <w:p w:rsidR="00B637B2" w:rsidRPr="0003585B" w:rsidRDefault="00B637B2" w:rsidP="00B637B2">
                    <w:pPr>
                      <w:kinsoku w:val="0"/>
                      <w:overflowPunct w:val="0"/>
                      <w:autoSpaceDE w:val="0"/>
                      <w:autoSpaceDN w:val="0"/>
                      <w:adjustRightInd w:val="0"/>
                      <w:snapToGrid w:val="0"/>
                      <w:jc w:val="right"/>
                      <w:rPr>
                        <w:rFonts w:cs="Arial"/>
                        <w:sz w:val="20"/>
                        <w:szCs w:val="20"/>
                      </w:rPr>
                    </w:pPr>
                  </w:p>
                </w:tc>
                <w:tc>
                  <w:tcPr>
                    <w:tcW w:w="1530" w:type="dxa"/>
                    <w:noWrap/>
                    <w:vAlign w:val="bottom"/>
                    <w:hideMark/>
                  </w:tcPr>
                  <w:p w:rsidR="00B637B2" w:rsidRPr="0003585B" w:rsidRDefault="008F04CF" w:rsidP="00B637B2">
                    <w:pPr>
                      <w:kinsoku w:val="0"/>
                      <w:overflowPunct w:val="0"/>
                      <w:autoSpaceDE w:val="0"/>
                      <w:autoSpaceDN w:val="0"/>
                      <w:adjustRightInd w:val="0"/>
                      <w:snapToGrid w:val="0"/>
                      <w:jc w:val="right"/>
                      <w:rPr>
                        <w:rFonts w:cs="Arial"/>
                        <w:snapToGrid w:val="0"/>
                        <w:sz w:val="20"/>
                        <w:szCs w:val="20"/>
                      </w:rPr>
                    </w:pPr>
                    <w:r w:rsidRPr="0003585B">
                      <w:rPr>
                        <w:rFonts w:cs="Arial"/>
                        <w:snapToGrid w:val="0"/>
                        <w:sz w:val="20"/>
                        <w:szCs w:val="20"/>
                        <w:u w:val="double"/>
                      </w:rPr>
                      <w:t>1,208,224,266</w:t>
                    </w:r>
                  </w:p>
                </w:tc>
                <w:tc>
                  <w:tcPr>
                    <w:tcW w:w="84" w:type="dxa"/>
                    <w:vAlign w:val="bottom"/>
                  </w:tcPr>
                  <w:p w:rsidR="00B637B2" w:rsidRPr="0003585B" w:rsidRDefault="00B637B2" w:rsidP="00B637B2">
                    <w:pPr>
                      <w:kinsoku w:val="0"/>
                      <w:overflowPunct w:val="0"/>
                      <w:autoSpaceDE w:val="0"/>
                      <w:autoSpaceDN w:val="0"/>
                      <w:adjustRightInd w:val="0"/>
                      <w:snapToGrid w:val="0"/>
                      <w:jc w:val="right"/>
                      <w:rPr>
                        <w:rFonts w:cs="Arial"/>
                        <w:snapToGrid w:val="0"/>
                        <w:sz w:val="20"/>
                        <w:szCs w:val="20"/>
                      </w:rPr>
                    </w:pPr>
                  </w:p>
                </w:tc>
                <w:tc>
                  <w:tcPr>
                    <w:tcW w:w="1470" w:type="dxa"/>
                    <w:noWrap/>
                    <w:vAlign w:val="bottom"/>
                    <w:hideMark/>
                  </w:tcPr>
                  <w:p w:rsidR="00B637B2" w:rsidRPr="0003585B" w:rsidRDefault="008F04CF" w:rsidP="00B637B2">
                    <w:pPr>
                      <w:kinsoku w:val="0"/>
                      <w:overflowPunct w:val="0"/>
                      <w:autoSpaceDE w:val="0"/>
                      <w:autoSpaceDN w:val="0"/>
                      <w:adjustRightInd w:val="0"/>
                      <w:snapToGrid w:val="0"/>
                      <w:jc w:val="right"/>
                      <w:rPr>
                        <w:rFonts w:cs="Arial"/>
                        <w:sz w:val="20"/>
                        <w:szCs w:val="20"/>
                      </w:rPr>
                    </w:pPr>
                    <w:r w:rsidRPr="0003585B">
                      <w:rPr>
                        <w:rFonts w:cs="Arial"/>
                        <w:color w:val="000000"/>
                        <w:sz w:val="20"/>
                        <w:szCs w:val="20"/>
                        <w:u w:val="double"/>
                      </w:rPr>
                      <w:t>8,628,384,795</w:t>
                    </w:r>
                  </w:p>
                </w:tc>
                <w:tc>
                  <w:tcPr>
                    <w:tcW w:w="151" w:type="dxa"/>
                    <w:vAlign w:val="bottom"/>
                  </w:tcPr>
                  <w:p w:rsidR="00B637B2" w:rsidRPr="0003585B" w:rsidRDefault="00B637B2" w:rsidP="00B637B2">
                    <w:pPr>
                      <w:kinsoku w:val="0"/>
                      <w:overflowPunct w:val="0"/>
                      <w:autoSpaceDE w:val="0"/>
                      <w:autoSpaceDN w:val="0"/>
                      <w:adjustRightInd w:val="0"/>
                      <w:snapToGrid w:val="0"/>
                      <w:rPr>
                        <w:rFonts w:cs="Arial"/>
                        <w:sz w:val="20"/>
                        <w:szCs w:val="20"/>
                      </w:rPr>
                    </w:pPr>
                  </w:p>
                </w:tc>
              </w:tr>
              <w:tr w:rsidR="00B637B2" w:rsidRPr="0003585B" w:rsidTr="00B637B2">
                <w:tc>
                  <w:tcPr>
                    <w:tcW w:w="2321" w:type="dxa"/>
                    <w:noWrap/>
                    <w:vAlign w:val="bottom"/>
                    <w:hideMark/>
                  </w:tcPr>
                  <w:p w:rsidR="00B637B2" w:rsidRPr="0003585B" w:rsidRDefault="00B637B2" w:rsidP="00B637B2">
                    <w:pPr>
                      <w:rPr>
                        <w:rFonts w:cs="Arial"/>
                        <w:sz w:val="20"/>
                        <w:szCs w:val="20"/>
                      </w:rPr>
                    </w:pPr>
                  </w:p>
                </w:tc>
                <w:tc>
                  <w:tcPr>
                    <w:tcW w:w="1613" w:type="dxa"/>
                    <w:noWrap/>
                    <w:vAlign w:val="center"/>
                    <w:hideMark/>
                  </w:tcPr>
                  <w:p w:rsidR="00B637B2" w:rsidRPr="0003585B" w:rsidRDefault="00B637B2" w:rsidP="00B637B2">
                    <w:pPr>
                      <w:rPr>
                        <w:sz w:val="20"/>
                        <w:szCs w:val="20"/>
                      </w:rPr>
                    </w:pPr>
                  </w:p>
                </w:tc>
                <w:tc>
                  <w:tcPr>
                    <w:tcW w:w="1472" w:type="dxa"/>
                    <w:noWrap/>
                    <w:vAlign w:val="bottom"/>
                  </w:tcPr>
                  <w:p w:rsidR="00B637B2" w:rsidRPr="0003585B" w:rsidRDefault="00B637B2" w:rsidP="00B637B2">
                    <w:pPr>
                      <w:kinsoku w:val="0"/>
                      <w:overflowPunct w:val="0"/>
                      <w:autoSpaceDE w:val="0"/>
                      <w:autoSpaceDN w:val="0"/>
                      <w:adjustRightInd w:val="0"/>
                      <w:snapToGrid w:val="0"/>
                      <w:jc w:val="right"/>
                      <w:rPr>
                        <w:rFonts w:cs="Arial"/>
                        <w:color w:val="000000"/>
                        <w:sz w:val="20"/>
                        <w:szCs w:val="20"/>
                        <w:u w:val="double"/>
                      </w:rPr>
                    </w:pPr>
                  </w:p>
                </w:tc>
                <w:tc>
                  <w:tcPr>
                    <w:tcW w:w="102" w:type="dxa"/>
                    <w:vAlign w:val="bottom"/>
                  </w:tcPr>
                  <w:p w:rsidR="00B637B2" w:rsidRPr="0003585B" w:rsidRDefault="00B637B2" w:rsidP="00B637B2">
                    <w:pPr>
                      <w:kinsoku w:val="0"/>
                      <w:overflowPunct w:val="0"/>
                      <w:autoSpaceDE w:val="0"/>
                      <w:autoSpaceDN w:val="0"/>
                      <w:adjustRightInd w:val="0"/>
                      <w:snapToGrid w:val="0"/>
                      <w:jc w:val="right"/>
                      <w:rPr>
                        <w:rFonts w:cs="Arial"/>
                        <w:sz w:val="20"/>
                        <w:szCs w:val="20"/>
                        <w:u w:val="double"/>
                      </w:rPr>
                    </w:pPr>
                  </w:p>
                </w:tc>
                <w:tc>
                  <w:tcPr>
                    <w:tcW w:w="1530" w:type="dxa"/>
                    <w:noWrap/>
                    <w:vAlign w:val="bottom"/>
                  </w:tcPr>
                  <w:p w:rsidR="00B637B2" w:rsidRPr="0003585B" w:rsidRDefault="00B637B2" w:rsidP="00B637B2">
                    <w:pPr>
                      <w:kinsoku w:val="0"/>
                      <w:overflowPunct w:val="0"/>
                      <w:autoSpaceDE w:val="0"/>
                      <w:autoSpaceDN w:val="0"/>
                      <w:adjustRightInd w:val="0"/>
                      <w:snapToGrid w:val="0"/>
                      <w:jc w:val="right"/>
                      <w:rPr>
                        <w:rFonts w:cs="Arial"/>
                        <w:snapToGrid w:val="0"/>
                        <w:sz w:val="20"/>
                        <w:szCs w:val="20"/>
                        <w:u w:val="double"/>
                      </w:rPr>
                    </w:pPr>
                  </w:p>
                </w:tc>
                <w:tc>
                  <w:tcPr>
                    <w:tcW w:w="84" w:type="dxa"/>
                    <w:vAlign w:val="bottom"/>
                  </w:tcPr>
                  <w:p w:rsidR="00B637B2" w:rsidRPr="0003585B" w:rsidRDefault="00B637B2" w:rsidP="00B637B2">
                    <w:pPr>
                      <w:kinsoku w:val="0"/>
                      <w:overflowPunct w:val="0"/>
                      <w:autoSpaceDE w:val="0"/>
                      <w:autoSpaceDN w:val="0"/>
                      <w:adjustRightInd w:val="0"/>
                      <w:snapToGrid w:val="0"/>
                      <w:jc w:val="right"/>
                      <w:rPr>
                        <w:rFonts w:cs="Arial"/>
                        <w:snapToGrid w:val="0"/>
                        <w:sz w:val="20"/>
                        <w:szCs w:val="20"/>
                        <w:u w:val="double"/>
                      </w:rPr>
                    </w:pPr>
                  </w:p>
                </w:tc>
                <w:tc>
                  <w:tcPr>
                    <w:tcW w:w="1470" w:type="dxa"/>
                    <w:noWrap/>
                    <w:vAlign w:val="bottom"/>
                  </w:tcPr>
                  <w:p w:rsidR="00B637B2" w:rsidRPr="0003585B" w:rsidRDefault="00B637B2" w:rsidP="00B637B2">
                    <w:pPr>
                      <w:kinsoku w:val="0"/>
                      <w:overflowPunct w:val="0"/>
                      <w:autoSpaceDE w:val="0"/>
                      <w:autoSpaceDN w:val="0"/>
                      <w:adjustRightInd w:val="0"/>
                      <w:snapToGrid w:val="0"/>
                      <w:jc w:val="right"/>
                      <w:rPr>
                        <w:rFonts w:cs="Arial"/>
                        <w:color w:val="000000"/>
                        <w:sz w:val="20"/>
                        <w:szCs w:val="20"/>
                        <w:u w:val="double"/>
                      </w:rPr>
                    </w:pPr>
                  </w:p>
                </w:tc>
                <w:tc>
                  <w:tcPr>
                    <w:tcW w:w="151" w:type="dxa"/>
                    <w:vAlign w:val="bottom"/>
                  </w:tcPr>
                  <w:p w:rsidR="00B637B2" w:rsidRPr="0003585B" w:rsidRDefault="00B637B2" w:rsidP="00B637B2">
                    <w:pPr>
                      <w:kinsoku w:val="0"/>
                      <w:overflowPunct w:val="0"/>
                      <w:autoSpaceDE w:val="0"/>
                      <w:autoSpaceDN w:val="0"/>
                      <w:adjustRightInd w:val="0"/>
                      <w:snapToGrid w:val="0"/>
                      <w:rPr>
                        <w:rFonts w:cs="Arial"/>
                        <w:color w:val="000000"/>
                        <w:sz w:val="20"/>
                        <w:szCs w:val="20"/>
                      </w:rPr>
                    </w:pPr>
                  </w:p>
                </w:tc>
              </w:tr>
            </w:tbl>
            <w:p w:rsidR="00B637B2" w:rsidRDefault="00B637B2" w:rsidP="00B637B2"/>
            <w:p w:rsidR="00B637B2" w:rsidRPr="0003585B" w:rsidRDefault="008F04CF" w:rsidP="00B637B2">
              <w:pPr>
                <w:tabs>
                  <w:tab w:val="left" w:pos="2520"/>
                  <w:tab w:val="decimal" w:pos="5250"/>
                  <w:tab w:val="decimal" w:pos="6510"/>
                  <w:tab w:val="decimal" w:pos="7035"/>
                  <w:tab w:val="decimal" w:pos="8295"/>
                </w:tabs>
                <w:overflowPunct w:val="0"/>
                <w:autoSpaceDE w:val="0"/>
                <w:autoSpaceDN w:val="0"/>
                <w:adjustRightInd w:val="0"/>
                <w:snapToGrid w:val="0"/>
                <w:ind w:left="720" w:hanging="720"/>
                <w:jc w:val="both"/>
                <w:rPr>
                  <w:rFonts w:cs="Arial"/>
                  <w:snapToGrid w:val="0"/>
                  <w:sz w:val="20"/>
                  <w:szCs w:val="20"/>
                </w:rPr>
              </w:pPr>
              <w:r w:rsidRPr="0003585B">
                <w:rPr>
                  <w:rFonts w:cs="Arial" w:hint="eastAsia"/>
                  <w:snapToGrid w:val="0"/>
                  <w:sz w:val="20"/>
                  <w:szCs w:val="20"/>
                </w:rPr>
                <w:t>金融负债</w:t>
              </w:r>
            </w:p>
            <w:p w:rsidR="00B637B2" w:rsidRPr="0003585B" w:rsidRDefault="00B637B2" w:rsidP="00B637B2">
              <w:pPr>
                <w:rPr>
                  <w:rFonts w:cs="Times New Roman"/>
                  <w:sz w:val="24"/>
                </w:rPr>
              </w:pPr>
            </w:p>
            <w:tbl>
              <w:tblPr>
                <w:tblStyle w:val="g35"/>
                <w:tblW w:w="0" w:type="dxa"/>
                <w:tblLayout w:type="fixed"/>
                <w:tblCellMar>
                  <w:left w:w="0" w:type="dxa"/>
                  <w:right w:w="0" w:type="dxa"/>
                </w:tblCellMar>
                <w:tblLook w:val="04A0" w:firstRow="1" w:lastRow="0" w:firstColumn="1" w:lastColumn="0" w:noHBand="0" w:noVBand="1"/>
                <w:tblCaption w:val="22金融工具分类_金融负债CY (2)"/>
              </w:tblPr>
              <w:tblGrid>
                <w:gridCol w:w="3828"/>
                <w:gridCol w:w="113"/>
                <w:gridCol w:w="2013"/>
                <w:gridCol w:w="85"/>
                <w:gridCol w:w="113"/>
                <w:gridCol w:w="2495"/>
                <w:gridCol w:w="113"/>
              </w:tblGrid>
              <w:tr w:rsidR="00B637B2" w:rsidRPr="0003585B" w:rsidTr="00B637B2">
                <w:tc>
                  <w:tcPr>
                    <w:tcW w:w="3828" w:type="dxa"/>
                    <w:noWrap/>
                    <w:vAlign w:val="center"/>
                    <w:hideMark/>
                  </w:tcPr>
                  <w:p w:rsidR="00B637B2" w:rsidRPr="0003585B" w:rsidRDefault="00B637B2" w:rsidP="00B637B2"/>
                </w:tc>
                <w:tc>
                  <w:tcPr>
                    <w:tcW w:w="113" w:type="dxa"/>
                    <w:vAlign w:val="center"/>
                    <w:hideMark/>
                  </w:tcPr>
                  <w:p w:rsidR="00B637B2" w:rsidRPr="0003585B" w:rsidRDefault="008F04CF" w:rsidP="00B637B2">
                    <w:pPr>
                      <w:kinsoku w:val="0"/>
                      <w:overflowPunct w:val="0"/>
                      <w:autoSpaceDE w:val="0"/>
                      <w:autoSpaceDN w:val="0"/>
                      <w:adjustRightInd w:val="0"/>
                      <w:snapToGrid w:val="0"/>
                      <w:rPr>
                        <w:rFonts w:cs="Arial"/>
                        <w:sz w:val="20"/>
                        <w:szCs w:val="20"/>
                      </w:rPr>
                    </w:pPr>
                    <w:r w:rsidRPr="0003585B">
                      <w:rPr>
                        <w:rFonts w:cs="Arial"/>
                        <w:color w:val="000000"/>
                        <w:sz w:val="20"/>
                        <w:szCs w:val="20"/>
                      </w:rPr>
                      <w:t xml:space="preserve"> </w:t>
                    </w:r>
                  </w:p>
                </w:tc>
                <w:tc>
                  <w:tcPr>
                    <w:tcW w:w="2013" w:type="dxa"/>
                    <w:noWrap/>
                    <w:vAlign w:val="bottom"/>
                    <w:hideMark/>
                  </w:tcPr>
                  <w:p w:rsidR="00B637B2" w:rsidRPr="0003585B" w:rsidRDefault="008F04CF" w:rsidP="00B637B2">
                    <w:pPr>
                      <w:kinsoku w:val="0"/>
                      <w:overflowPunct w:val="0"/>
                      <w:autoSpaceDE w:val="0"/>
                      <w:autoSpaceDN w:val="0"/>
                      <w:adjustRightInd w:val="0"/>
                      <w:snapToGrid w:val="0"/>
                      <w:jc w:val="right"/>
                      <w:rPr>
                        <w:rFonts w:cs="Arial"/>
                        <w:color w:val="000000"/>
                        <w:sz w:val="20"/>
                        <w:szCs w:val="20"/>
                      </w:rPr>
                    </w:pPr>
                    <w:r w:rsidRPr="0003585B">
                      <w:rPr>
                        <w:rFonts w:cs="Arial" w:hint="eastAsia"/>
                        <w:color w:val="000000"/>
                        <w:sz w:val="20"/>
                        <w:szCs w:val="20"/>
                      </w:rPr>
                      <w:t>其他</w:t>
                    </w:r>
                  </w:p>
                </w:tc>
                <w:tc>
                  <w:tcPr>
                    <w:tcW w:w="85" w:type="dxa"/>
                    <w:noWrap/>
                    <w:vAlign w:val="center"/>
                    <w:hideMark/>
                  </w:tcPr>
                  <w:p w:rsidR="00B637B2" w:rsidRPr="0003585B" w:rsidRDefault="008F04CF" w:rsidP="00B637B2">
                    <w:pPr>
                      <w:kinsoku w:val="0"/>
                      <w:overflowPunct w:val="0"/>
                      <w:autoSpaceDE w:val="0"/>
                      <w:autoSpaceDN w:val="0"/>
                      <w:adjustRightInd w:val="0"/>
                      <w:snapToGrid w:val="0"/>
                      <w:jc w:val="right"/>
                      <w:rPr>
                        <w:rFonts w:cs="Arial"/>
                        <w:color w:val="000000"/>
                        <w:sz w:val="20"/>
                        <w:szCs w:val="20"/>
                      </w:rPr>
                    </w:pPr>
                    <w:r w:rsidRPr="0003585B">
                      <w:rPr>
                        <w:rFonts w:cs="Arial"/>
                        <w:color w:val="000000"/>
                        <w:sz w:val="20"/>
                        <w:szCs w:val="20"/>
                      </w:rPr>
                      <w:t xml:space="preserve"> </w:t>
                    </w:r>
                  </w:p>
                </w:tc>
                <w:tc>
                  <w:tcPr>
                    <w:tcW w:w="113" w:type="dxa"/>
                    <w:vAlign w:val="center"/>
                    <w:hideMark/>
                  </w:tcPr>
                  <w:p w:rsidR="00B637B2" w:rsidRPr="0003585B" w:rsidRDefault="008F04CF" w:rsidP="00B637B2">
                    <w:pPr>
                      <w:kinsoku w:val="0"/>
                      <w:overflowPunct w:val="0"/>
                      <w:autoSpaceDE w:val="0"/>
                      <w:autoSpaceDN w:val="0"/>
                      <w:adjustRightInd w:val="0"/>
                      <w:snapToGrid w:val="0"/>
                      <w:rPr>
                        <w:rFonts w:cs="Arial"/>
                        <w:sz w:val="20"/>
                        <w:szCs w:val="20"/>
                      </w:rPr>
                    </w:pPr>
                    <w:r w:rsidRPr="0003585B">
                      <w:rPr>
                        <w:rFonts w:cs="Arial"/>
                        <w:color w:val="000000"/>
                        <w:sz w:val="20"/>
                        <w:szCs w:val="20"/>
                      </w:rPr>
                      <w:t xml:space="preserve"> </w:t>
                    </w:r>
                  </w:p>
                </w:tc>
                <w:tc>
                  <w:tcPr>
                    <w:tcW w:w="2495" w:type="dxa"/>
                    <w:noWrap/>
                    <w:vAlign w:val="bottom"/>
                    <w:hideMark/>
                  </w:tcPr>
                  <w:p w:rsidR="00B637B2" w:rsidRPr="0003585B" w:rsidRDefault="008F04CF" w:rsidP="00B637B2">
                    <w:pPr>
                      <w:kinsoku w:val="0"/>
                      <w:overflowPunct w:val="0"/>
                      <w:autoSpaceDE w:val="0"/>
                      <w:autoSpaceDN w:val="0"/>
                      <w:adjustRightInd w:val="0"/>
                      <w:snapToGrid w:val="0"/>
                      <w:jc w:val="right"/>
                      <w:rPr>
                        <w:rFonts w:cs="Arial"/>
                        <w:color w:val="000000"/>
                        <w:sz w:val="20"/>
                        <w:szCs w:val="20"/>
                      </w:rPr>
                    </w:pPr>
                    <w:r w:rsidRPr="0003585B">
                      <w:rPr>
                        <w:rFonts w:cs="Arial" w:hint="eastAsia"/>
                        <w:color w:val="000000"/>
                        <w:sz w:val="20"/>
                        <w:szCs w:val="20"/>
                      </w:rPr>
                      <w:t>合计</w:t>
                    </w:r>
                  </w:p>
                </w:tc>
                <w:tc>
                  <w:tcPr>
                    <w:tcW w:w="113" w:type="dxa"/>
                    <w:vAlign w:val="center"/>
                    <w:hideMark/>
                  </w:tcPr>
                  <w:p w:rsidR="00B637B2" w:rsidRPr="0003585B" w:rsidRDefault="008F04CF" w:rsidP="00B637B2">
                    <w:pPr>
                      <w:kinsoku w:val="0"/>
                      <w:overflowPunct w:val="0"/>
                      <w:autoSpaceDE w:val="0"/>
                      <w:autoSpaceDN w:val="0"/>
                      <w:adjustRightInd w:val="0"/>
                      <w:snapToGrid w:val="0"/>
                      <w:jc w:val="right"/>
                      <w:rPr>
                        <w:rFonts w:cs="Arial"/>
                        <w:color w:val="000000"/>
                        <w:sz w:val="20"/>
                        <w:szCs w:val="20"/>
                      </w:rPr>
                    </w:pPr>
                    <w:r w:rsidRPr="0003585B">
                      <w:rPr>
                        <w:rFonts w:cs="Arial"/>
                        <w:color w:val="000000"/>
                        <w:sz w:val="20"/>
                        <w:szCs w:val="20"/>
                      </w:rPr>
                      <w:t xml:space="preserve"> </w:t>
                    </w:r>
                  </w:p>
                </w:tc>
              </w:tr>
              <w:tr w:rsidR="00B637B2" w:rsidRPr="0003585B" w:rsidTr="00B637B2">
                <w:tc>
                  <w:tcPr>
                    <w:tcW w:w="3828" w:type="dxa"/>
                    <w:noWrap/>
                    <w:vAlign w:val="center"/>
                    <w:hideMark/>
                  </w:tcPr>
                  <w:p w:rsidR="00B637B2" w:rsidRPr="0003585B" w:rsidRDefault="008F04CF" w:rsidP="00B637B2">
                    <w:pPr>
                      <w:kinsoku w:val="0"/>
                      <w:overflowPunct w:val="0"/>
                      <w:autoSpaceDE w:val="0"/>
                      <w:autoSpaceDN w:val="0"/>
                      <w:adjustRightInd w:val="0"/>
                      <w:snapToGrid w:val="0"/>
                      <w:rPr>
                        <w:rFonts w:cs="Arial"/>
                        <w:sz w:val="20"/>
                        <w:szCs w:val="20"/>
                      </w:rPr>
                    </w:pPr>
                    <w:r w:rsidRPr="0003585B">
                      <w:rPr>
                        <w:rFonts w:cs="Arial"/>
                        <w:color w:val="000000"/>
                        <w:sz w:val="20"/>
                        <w:szCs w:val="20"/>
                      </w:rPr>
                      <w:t xml:space="preserve"> </w:t>
                    </w:r>
                  </w:p>
                </w:tc>
                <w:tc>
                  <w:tcPr>
                    <w:tcW w:w="113" w:type="dxa"/>
                    <w:vAlign w:val="center"/>
                    <w:hideMark/>
                  </w:tcPr>
                  <w:p w:rsidR="00B637B2" w:rsidRPr="0003585B" w:rsidRDefault="008F04CF" w:rsidP="00B637B2">
                    <w:pPr>
                      <w:kinsoku w:val="0"/>
                      <w:overflowPunct w:val="0"/>
                      <w:autoSpaceDE w:val="0"/>
                      <w:autoSpaceDN w:val="0"/>
                      <w:adjustRightInd w:val="0"/>
                      <w:snapToGrid w:val="0"/>
                      <w:rPr>
                        <w:rFonts w:cs="Arial"/>
                        <w:sz w:val="20"/>
                        <w:szCs w:val="20"/>
                      </w:rPr>
                    </w:pPr>
                    <w:r w:rsidRPr="0003585B">
                      <w:rPr>
                        <w:rFonts w:cs="Arial"/>
                        <w:color w:val="000000"/>
                        <w:sz w:val="20"/>
                        <w:szCs w:val="20"/>
                      </w:rPr>
                      <w:t xml:space="preserve"> </w:t>
                    </w:r>
                  </w:p>
                </w:tc>
                <w:tc>
                  <w:tcPr>
                    <w:tcW w:w="2013" w:type="dxa"/>
                    <w:hideMark/>
                  </w:tcPr>
                  <w:p w:rsidR="00B637B2" w:rsidRPr="0003585B" w:rsidRDefault="008F04CF" w:rsidP="00B637B2">
                    <w:pPr>
                      <w:kinsoku w:val="0"/>
                      <w:overflowPunct w:val="0"/>
                      <w:autoSpaceDE w:val="0"/>
                      <w:autoSpaceDN w:val="0"/>
                      <w:adjustRightInd w:val="0"/>
                      <w:snapToGrid w:val="0"/>
                      <w:jc w:val="right"/>
                      <w:rPr>
                        <w:rFonts w:cs="Arial"/>
                        <w:color w:val="000000"/>
                        <w:sz w:val="20"/>
                        <w:szCs w:val="20"/>
                      </w:rPr>
                    </w:pPr>
                    <w:r w:rsidRPr="0003585B">
                      <w:rPr>
                        <w:rFonts w:cs="Arial" w:hint="eastAsia"/>
                        <w:color w:val="000000"/>
                        <w:sz w:val="20"/>
                        <w:szCs w:val="20"/>
                      </w:rPr>
                      <w:t>金融负债</w:t>
                    </w:r>
                  </w:p>
                </w:tc>
                <w:tc>
                  <w:tcPr>
                    <w:tcW w:w="85" w:type="dxa"/>
                    <w:noWrap/>
                    <w:hideMark/>
                  </w:tcPr>
                  <w:p w:rsidR="00B637B2" w:rsidRPr="0003585B" w:rsidRDefault="008F04CF" w:rsidP="00B637B2">
                    <w:pPr>
                      <w:kinsoku w:val="0"/>
                      <w:overflowPunct w:val="0"/>
                      <w:autoSpaceDE w:val="0"/>
                      <w:autoSpaceDN w:val="0"/>
                      <w:adjustRightInd w:val="0"/>
                      <w:snapToGrid w:val="0"/>
                      <w:jc w:val="right"/>
                      <w:rPr>
                        <w:rFonts w:cs="Arial"/>
                        <w:color w:val="000000"/>
                        <w:sz w:val="20"/>
                        <w:szCs w:val="20"/>
                      </w:rPr>
                    </w:pPr>
                    <w:r w:rsidRPr="0003585B">
                      <w:rPr>
                        <w:rFonts w:cs="Arial"/>
                        <w:color w:val="000000"/>
                        <w:sz w:val="20"/>
                        <w:szCs w:val="20"/>
                      </w:rPr>
                      <w:t xml:space="preserve"> </w:t>
                    </w:r>
                  </w:p>
                </w:tc>
                <w:tc>
                  <w:tcPr>
                    <w:tcW w:w="113" w:type="dxa"/>
                    <w:hideMark/>
                  </w:tcPr>
                  <w:p w:rsidR="00B637B2" w:rsidRPr="0003585B" w:rsidRDefault="008F04CF" w:rsidP="00B637B2">
                    <w:pPr>
                      <w:kinsoku w:val="0"/>
                      <w:overflowPunct w:val="0"/>
                      <w:autoSpaceDE w:val="0"/>
                      <w:autoSpaceDN w:val="0"/>
                      <w:adjustRightInd w:val="0"/>
                      <w:snapToGrid w:val="0"/>
                      <w:jc w:val="right"/>
                      <w:rPr>
                        <w:rFonts w:cs="Arial"/>
                        <w:sz w:val="20"/>
                        <w:szCs w:val="20"/>
                      </w:rPr>
                    </w:pPr>
                    <w:r w:rsidRPr="0003585B">
                      <w:rPr>
                        <w:rFonts w:cs="Arial"/>
                        <w:color w:val="000000"/>
                        <w:sz w:val="20"/>
                        <w:szCs w:val="20"/>
                      </w:rPr>
                      <w:t xml:space="preserve"> </w:t>
                    </w:r>
                  </w:p>
                </w:tc>
                <w:tc>
                  <w:tcPr>
                    <w:tcW w:w="2495" w:type="dxa"/>
                    <w:hideMark/>
                  </w:tcPr>
                  <w:p w:rsidR="00B637B2" w:rsidRPr="0003585B" w:rsidRDefault="008F04CF" w:rsidP="00B637B2">
                    <w:pPr>
                      <w:kinsoku w:val="0"/>
                      <w:overflowPunct w:val="0"/>
                      <w:autoSpaceDE w:val="0"/>
                      <w:autoSpaceDN w:val="0"/>
                      <w:adjustRightInd w:val="0"/>
                      <w:snapToGrid w:val="0"/>
                      <w:jc w:val="right"/>
                      <w:rPr>
                        <w:rFonts w:cs="Arial"/>
                        <w:sz w:val="20"/>
                        <w:szCs w:val="20"/>
                      </w:rPr>
                    </w:pPr>
                    <w:r w:rsidRPr="0003585B">
                      <w:rPr>
                        <w:rFonts w:cs="Arial"/>
                        <w:color w:val="000000"/>
                        <w:sz w:val="20"/>
                        <w:szCs w:val="20"/>
                      </w:rPr>
                      <w:t xml:space="preserve"> </w:t>
                    </w:r>
                  </w:p>
                </w:tc>
                <w:tc>
                  <w:tcPr>
                    <w:tcW w:w="113" w:type="dxa"/>
                    <w:vAlign w:val="center"/>
                    <w:hideMark/>
                  </w:tcPr>
                  <w:p w:rsidR="00B637B2" w:rsidRPr="0003585B" w:rsidRDefault="008F04CF" w:rsidP="00B637B2">
                    <w:pPr>
                      <w:kinsoku w:val="0"/>
                      <w:overflowPunct w:val="0"/>
                      <w:autoSpaceDE w:val="0"/>
                      <w:autoSpaceDN w:val="0"/>
                      <w:adjustRightInd w:val="0"/>
                      <w:snapToGrid w:val="0"/>
                      <w:jc w:val="right"/>
                      <w:rPr>
                        <w:rFonts w:cs="Arial"/>
                        <w:sz w:val="20"/>
                        <w:szCs w:val="20"/>
                      </w:rPr>
                    </w:pPr>
                    <w:r w:rsidRPr="0003585B">
                      <w:rPr>
                        <w:rFonts w:cs="Arial"/>
                        <w:color w:val="000000"/>
                        <w:sz w:val="20"/>
                        <w:szCs w:val="20"/>
                      </w:rPr>
                      <w:t xml:space="preserve"> </w:t>
                    </w:r>
                  </w:p>
                </w:tc>
              </w:tr>
              <w:tr w:rsidR="00B637B2" w:rsidRPr="0003585B" w:rsidTr="00B637B2">
                <w:tc>
                  <w:tcPr>
                    <w:tcW w:w="3828" w:type="dxa"/>
                    <w:noWrap/>
                    <w:vAlign w:val="bottom"/>
                    <w:hideMark/>
                  </w:tcPr>
                  <w:p w:rsidR="00B637B2" w:rsidRPr="0003585B" w:rsidRDefault="008F04CF" w:rsidP="00B637B2">
                    <w:pPr>
                      <w:kinsoku w:val="0"/>
                      <w:overflowPunct w:val="0"/>
                      <w:autoSpaceDE w:val="0"/>
                      <w:autoSpaceDN w:val="0"/>
                      <w:adjustRightInd w:val="0"/>
                      <w:snapToGrid w:val="0"/>
                      <w:rPr>
                        <w:rFonts w:cs="Arial"/>
                        <w:sz w:val="20"/>
                        <w:szCs w:val="20"/>
                      </w:rPr>
                    </w:pPr>
                    <w:r w:rsidRPr="0003585B">
                      <w:rPr>
                        <w:rFonts w:cs="Arial"/>
                        <w:color w:val="000000"/>
                        <w:sz w:val="20"/>
                        <w:szCs w:val="20"/>
                      </w:rPr>
                      <w:t xml:space="preserve"> </w:t>
                    </w:r>
                  </w:p>
                </w:tc>
                <w:tc>
                  <w:tcPr>
                    <w:tcW w:w="113" w:type="dxa"/>
                    <w:vAlign w:val="center"/>
                    <w:hideMark/>
                  </w:tcPr>
                  <w:p w:rsidR="00B637B2" w:rsidRPr="0003585B" w:rsidRDefault="008F04CF" w:rsidP="00B637B2">
                    <w:pPr>
                      <w:kinsoku w:val="0"/>
                      <w:overflowPunct w:val="0"/>
                      <w:autoSpaceDE w:val="0"/>
                      <w:autoSpaceDN w:val="0"/>
                      <w:adjustRightInd w:val="0"/>
                      <w:snapToGrid w:val="0"/>
                      <w:rPr>
                        <w:rFonts w:cs="Arial"/>
                        <w:sz w:val="20"/>
                        <w:szCs w:val="20"/>
                      </w:rPr>
                    </w:pPr>
                    <w:r w:rsidRPr="0003585B">
                      <w:rPr>
                        <w:rFonts w:cs="Arial"/>
                        <w:color w:val="000000"/>
                        <w:sz w:val="20"/>
                        <w:szCs w:val="20"/>
                      </w:rPr>
                      <w:t xml:space="preserve"> </w:t>
                    </w:r>
                  </w:p>
                </w:tc>
                <w:tc>
                  <w:tcPr>
                    <w:tcW w:w="2013" w:type="dxa"/>
                    <w:noWrap/>
                    <w:vAlign w:val="bottom"/>
                    <w:hideMark/>
                  </w:tcPr>
                  <w:p w:rsidR="00B637B2" w:rsidRPr="0003585B" w:rsidRDefault="008F04CF" w:rsidP="00B637B2">
                    <w:pPr>
                      <w:kinsoku w:val="0"/>
                      <w:overflowPunct w:val="0"/>
                      <w:autoSpaceDE w:val="0"/>
                      <w:autoSpaceDN w:val="0"/>
                      <w:adjustRightInd w:val="0"/>
                      <w:snapToGrid w:val="0"/>
                      <w:jc w:val="right"/>
                      <w:rPr>
                        <w:rFonts w:cs="Arial"/>
                        <w:sz w:val="20"/>
                        <w:szCs w:val="20"/>
                      </w:rPr>
                    </w:pPr>
                    <w:r w:rsidRPr="0003585B">
                      <w:rPr>
                        <w:rFonts w:cs="Arial"/>
                        <w:color w:val="000000"/>
                        <w:sz w:val="20"/>
                        <w:szCs w:val="20"/>
                      </w:rPr>
                      <w:t xml:space="preserve"> </w:t>
                    </w:r>
                  </w:p>
                </w:tc>
                <w:tc>
                  <w:tcPr>
                    <w:tcW w:w="85" w:type="dxa"/>
                    <w:vAlign w:val="bottom"/>
                    <w:hideMark/>
                  </w:tcPr>
                  <w:p w:rsidR="00B637B2" w:rsidRPr="0003585B" w:rsidRDefault="008F04CF" w:rsidP="00B637B2">
                    <w:pPr>
                      <w:kinsoku w:val="0"/>
                      <w:overflowPunct w:val="0"/>
                      <w:autoSpaceDE w:val="0"/>
                      <w:autoSpaceDN w:val="0"/>
                      <w:adjustRightInd w:val="0"/>
                      <w:snapToGrid w:val="0"/>
                      <w:jc w:val="right"/>
                      <w:rPr>
                        <w:rFonts w:cs="Arial"/>
                        <w:sz w:val="20"/>
                        <w:szCs w:val="20"/>
                      </w:rPr>
                    </w:pPr>
                    <w:r w:rsidRPr="0003585B">
                      <w:rPr>
                        <w:rFonts w:cs="Arial"/>
                        <w:color w:val="000000"/>
                        <w:sz w:val="20"/>
                        <w:szCs w:val="20"/>
                      </w:rPr>
                      <w:t xml:space="preserve"> </w:t>
                    </w:r>
                  </w:p>
                </w:tc>
                <w:tc>
                  <w:tcPr>
                    <w:tcW w:w="113" w:type="dxa"/>
                    <w:vAlign w:val="bottom"/>
                    <w:hideMark/>
                  </w:tcPr>
                  <w:p w:rsidR="00B637B2" w:rsidRPr="0003585B" w:rsidRDefault="008F04CF" w:rsidP="00B637B2">
                    <w:pPr>
                      <w:kinsoku w:val="0"/>
                      <w:overflowPunct w:val="0"/>
                      <w:autoSpaceDE w:val="0"/>
                      <w:autoSpaceDN w:val="0"/>
                      <w:adjustRightInd w:val="0"/>
                      <w:snapToGrid w:val="0"/>
                      <w:jc w:val="right"/>
                      <w:rPr>
                        <w:rFonts w:cs="Arial"/>
                        <w:sz w:val="20"/>
                        <w:szCs w:val="20"/>
                      </w:rPr>
                    </w:pPr>
                    <w:r w:rsidRPr="0003585B">
                      <w:rPr>
                        <w:rFonts w:cs="Arial"/>
                        <w:color w:val="000000"/>
                        <w:sz w:val="20"/>
                        <w:szCs w:val="20"/>
                      </w:rPr>
                      <w:t xml:space="preserve"> </w:t>
                    </w:r>
                  </w:p>
                </w:tc>
                <w:tc>
                  <w:tcPr>
                    <w:tcW w:w="2495" w:type="dxa"/>
                    <w:noWrap/>
                    <w:vAlign w:val="bottom"/>
                    <w:hideMark/>
                  </w:tcPr>
                  <w:p w:rsidR="00B637B2" w:rsidRPr="0003585B" w:rsidRDefault="008F04CF" w:rsidP="00B637B2">
                    <w:pPr>
                      <w:kinsoku w:val="0"/>
                      <w:overflowPunct w:val="0"/>
                      <w:autoSpaceDE w:val="0"/>
                      <w:autoSpaceDN w:val="0"/>
                      <w:adjustRightInd w:val="0"/>
                      <w:snapToGrid w:val="0"/>
                      <w:jc w:val="right"/>
                      <w:rPr>
                        <w:rFonts w:cs="Arial"/>
                        <w:sz w:val="20"/>
                        <w:szCs w:val="20"/>
                      </w:rPr>
                    </w:pPr>
                    <w:r w:rsidRPr="0003585B">
                      <w:rPr>
                        <w:rFonts w:cs="Arial"/>
                        <w:color w:val="000000"/>
                        <w:sz w:val="20"/>
                        <w:szCs w:val="20"/>
                      </w:rPr>
                      <w:t xml:space="preserve"> </w:t>
                    </w:r>
                  </w:p>
                </w:tc>
                <w:tc>
                  <w:tcPr>
                    <w:tcW w:w="113" w:type="dxa"/>
                    <w:vAlign w:val="center"/>
                    <w:hideMark/>
                  </w:tcPr>
                  <w:p w:rsidR="00B637B2" w:rsidRPr="0003585B" w:rsidRDefault="008F04CF" w:rsidP="00B637B2">
                    <w:pPr>
                      <w:kinsoku w:val="0"/>
                      <w:overflowPunct w:val="0"/>
                      <w:autoSpaceDE w:val="0"/>
                      <w:autoSpaceDN w:val="0"/>
                      <w:adjustRightInd w:val="0"/>
                      <w:snapToGrid w:val="0"/>
                      <w:jc w:val="right"/>
                      <w:rPr>
                        <w:rFonts w:cs="Arial"/>
                        <w:sz w:val="20"/>
                        <w:szCs w:val="20"/>
                      </w:rPr>
                    </w:pPr>
                    <w:r w:rsidRPr="0003585B">
                      <w:rPr>
                        <w:rFonts w:cs="Arial"/>
                        <w:color w:val="000000"/>
                        <w:sz w:val="20"/>
                        <w:szCs w:val="20"/>
                      </w:rPr>
                      <w:t xml:space="preserve"> </w:t>
                    </w:r>
                  </w:p>
                </w:tc>
              </w:tr>
              <w:tr w:rsidR="00B637B2" w:rsidRPr="0003585B" w:rsidTr="00B637B2">
                <w:tc>
                  <w:tcPr>
                    <w:tcW w:w="3828" w:type="dxa"/>
                    <w:noWrap/>
                    <w:hideMark/>
                  </w:tcPr>
                  <w:p w:rsidR="00B637B2" w:rsidRPr="0003585B" w:rsidRDefault="008F04CF" w:rsidP="00B637B2">
                    <w:pPr>
                      <w:kinsoku w:val="0"/>
                      <w:overflowPunct w:val="0"/>
                      <w:autoSpaceDE w:val="0"/>
                      <w:autoSpaceDN w:val="0"/>
                      <w:adjustRightInd w:val="0"/>
                      <w:snapToGrid w:val="0"/>
                      <w:rPr>
                        <w:rFonts w:cs="Arial"/>
                        <w:color w:val="000000"/>
                        <w:sz w:val="20"/>
                        <w:szCs w:val="20"/>
                      </w:rPr>
                    </w:pPr>
                    <w:r w:rsidRPr="0003585B">
                      <w:rPr>
                        <w:rFonts w:cs="Arial" w:hint="eastAsia"/>
                        <w:snapToGrid w:val="0"/>
                        <w:sz w:val="20"/>
                        <w:szCs w:val="20"/>
                      </w:rPr>
                      <w:t>短期借款</w:t>
                    </w:r>
                  </w:p>
                </w:tc>
                <w:tc>
                  <w:tcPr>
                    <w:tcW w:w="113" w:type="dxa"/>
                    <w:vAlign w:val="center"/>
                    <w:hideMark/>
                  </w:tcPr>
                  <w:p w:rsidR="00B637B2" w:rsidRPr="0003585B" w:rsidRDefault="008F04CF" w:rsidP="00B637B2">
                    <w:pPr>
                      <w:kinsoku w:val="0"/>
                      <w:overflowPunct w:val="0"/>
                      <w:autoSpaceDE w:val="0"/>
                      <w:autoSpaceDN w:val="0"/>
                      <w:adjustRightInd w:val="0"/>
                      <w:snapToGrid w:val="0"/>
                      <w:rPr>
                        <w:rFonts w:cs="Arial"/>
                        <w:color w:val="000000"/>
                        <w:sz w:val="20"/>
                        <w:szCs w:val="20"/>
                      </w:rPr>
                    </w:pPr>
                    <w:r w:rsidRPr="0003585B">
                      <w:rPr>
                        <w:rFonts w:cs="Arial"/>
                        <w:color w:val="000000"/>
                        <w:sz w:val="20"/>
                        <w:szCs w:val="20"/>
                      </w:rPr>
                      <w:t xml:space="preserve"> </w:t>
                    </w:r>
                  </w:p>
                </w:tc>
                <w:tc>
                  <w:tcPr>
                    <w:tcW w:w="2013" w:type="dxa"/>
                    <w:noWrap/>
                    <w:vAlign w:val="bottom"/>
                    <w:hideMark/>
                  </w:tcPr>
                  <w:p w:rsidR="00B637B2" w:rsidRPr="0003585B" w:rsidRDefault="008F04CF" w:rsidP="00B637B2">
                    <w:pPr>
                      <w:kinsoku w:val="0"/>
                      <w:overflowPunct w:val="0"/>
                      <w:autoSpaceDE w:val="0"/>
                      <w:autoSpaceDN w:val="0"/>
                      <w:adjustRightInd w:val="0"/>
                      <w:snapToGrid w:val="0"/>
                      <w:jc w:val="right"/>
                      <w:rPr>
                        <w:rFonts w:cs="Arial"/>
                        <w:color w:val="000000"/>
                        <w:sz w:val="20"/>
                        <w:szCs w:val="20"/>
                      </w:rPr>
                    </w:pPr>
                    <w:r w:rsidRPr="0003585B">
                      <w:rPr>
                        <w:rFonts w:cs="Arial"/>
                        <w:color w:val="000000"/>
                        <w:sz w:val="20"/>
                        <w:szCs w:val="20"/>
                      </w:rPr>
                      <w:t>3,156,404,000</w:t>
                    </w:r>
                  </w:p>
                </w:tc>
                <w:tc>
                  <w:tcPr>
                    <w:tcW w:w="85" w:type="dxa"/>
                    <w:vAlign w:val="bottom"/>
                  </w:tcPr>
                  <w:p w:rsidR="00B637B2" w:rsidRPr="0003585B" w:rsidRDefault="00B637B2" w:rsidP="00B637B2">
                    <w:pPr>
                      <w:kinsoku w:val="0"/>
                      <w:overflowPunct w:val="0"/>
                      <w:autoSpaceDE w:val="0"/>
                      <w:autoSpaceDN w:val="0"/>
                      <w:adjustRightInd w:val="0"/>
                      <w:snapToGrid w:val="0"/>
                      <w:jc w:val="right"/>
                      <w:rPr>
                        <w:rFonts w:cs="Arial"/>
                        <w:color w:val="000000"/>
                        <w:sz w:val="20"/>
                        <w:szCs w:val="20"/>
                      </w:rPr>
                    </w:pPr>
                  </w:p>
                </w:tc>
                <w:tc>
                  <w:tcPr>
                    <w:tcW w:w="113" w:type="dxa"/>
                    <w:vAlign w:val="bottom"/>
                  </w:tcPr>
                  <w:p w:rsidR="00B637B2" w:rsidRPr="0003585B" w:rsidRDefault="00B637B2" w:rsidP="00B637B2">
                    <w:pPr>
                      <w:kinsoku w:val="0"/>
                      <w:overflowPunct w:val="0"/>
                      <w:autoSpaceDE w:val="0"/>
                      <w:autoSpaceDN w:val="0"/>
                      <w:adjustRightInd w:val="0"/>
                      <w:snapToGrid w:val="0"/>
                      <w:jc w:val="right"/>
                      <w:rPr>
                        <w:rFonts w:cs="Arial"/>
                        <w:sz w:val="20"/>
                        <w:szCs w:val="20"/>
                      </w:rPr>
                    </w:pPr>
                  </w:p>
                </w:tc>
                <w:tc>
                  <w:tcPr>
                    <w:tcW w:w="2495" w:type="dxa"/>
                    <w:noWrap/>
                    <w:vAlign w:val="bottom"/>
                    <w:hideMark/>
                  </w:tcPr>
                  <w:p w:rsidR="00B637B2" w:rsidRPr="0003585B" w:rsidRDefault="008F04CF" w:rsidP="00B637B2">
                    <w:pPr>
                      <w:kinsoku w:val="0"/>
                      <w:overflowPunct w:val="0"/>
                      <w:autoSpaceDE w:val="0"/>
                      <w:autoSpaceDN w:val="0"/>
                      <w:adjustRightInd w:val="0"/>
                      <w:snapToGrid w:val="0"/>
                      <w:jc w:val="right"/>
                      <w:rPr>
                        <w:rFonts w:cs="Arial"/>
                        <w:color w:val="000000"/>
                        <w:sz w:val="20"/>
                        <w:szCs w:val="20"/>
                      </w:rPr>
                    </w:pPr>
                    <w:r w:rsidRPr="0003585B">
                      <w:rPr>
                        <w:rFonts w:cs="Arial"/>
                        <w:color w:val="000000"/>
                        <w:sz w:val="20"/>
                        <w:szCs w:val="20"/>
                      </w:rPr>
                      <w:t>3,156,404,000</w:t>
                    </w:r>
                  </w:p>
                </w:tc>
                <w:tc>
                  <w:tcPr>
                    <w:tcW w:w="113" w:type="dxa"/>
                    <w:vAlign w:val="center"/>
                    <w:hideMark/>
                  </w:tcPr>
                  <w:p w:rsidR="00B637B2" w:rsidRPr="0003585B" w:rsidRDefault="008F04CF" w:rsidP="00B637B2">
                    <w:pPr>
                      <w:kinsoku w:val="0"/>
                      <w:overflowPunct w:val="0"/>
                      <w:autoSpaceDE w:val="0"/>
                      <w:autoSpaceDN w:val="0"/>
                      <w:adjustRightInd w:val="0"/>
                      <w:snapToGrid w:val="0"/>
                      <w:jc w:val="right"/>
                      <w:rPr>
                        <w:rFonts w:cs="Arial"/>
                        <w:color w:val="000000"/>
                        <w:sz w:val="20"/>
                        <w:szCs w:val="20"/>
                      </w:rPr>
                    </w:pPr>
                    <w:r w:rsidRPr="0003585B">
                      <w:rPr>
                        <w:rFonts w:cs="Arial"/>
                        <w:color w:val="000000"/>
                        <w:sz w:val="20"/>
                        <w:szCs w:val="20"/>
                      </w:rPr>
                      <w:t xml:space="preserve"> </w:t>
                    </w:r>
                  </w:p>
                </w:tc>
              </w:tr>
              <w:tr w:rsidR="00B637B2" w:rsidRPr="0003585B" w:rsidTr="00B637B2">
                <w:tc>
                  <w:tcPr>
                    <w:tcW w:w="3828" w:type="dxa"/>
                    <w:hideMark/>
                  </w:tcPr>
                  <w:p w:rsidR="00B637B2" w:rsidRPr="0003585B" w:rsidRDefault="008F04CF" w:rsidP="00B637B2">
                    <w:pPr>
                      <w:kinsoku w:val="0"/>
                      <w:overflowPunct w:val="0"/>
                      <w:autoSpaceDE w:val="0"/>
                      <w:autoSpaceDN w:val="0"/>
                      <w:adjustRightInd w:val="0"/>
                      <w:snapToGrid w:val="0"/>
                      <w:ind w:left="260" w:hanging="260"/>
                      <w:rPr>
                        <w:rFonts w:cs="Arial"/>
                        <w:color w:val="000000"/>
                        <w:sz w:val="20"/>
                        <w:szCs w:val="20"/>
                      </w:rPr>
                    </w:pPr>
                    <w:r w:rsidRPr="0003585B">
                      <w:rPr>
                        <w:rFonts w:cs="Arial" w:hint="eastAsia"/>
                        <w:snapToGrid w:val="0"/>
                        <w:sz w:val="20"/>
                        <w:szCs w:val="20"/>
                      </w:rPr>
                      <w:t>应付账款及应付票据</w:t>
                    </w:r>
                  </w:p>
                </w:tc>
                <w:tc>
                  <w:tcPr>
                    <w:tcW w:w="113" w:type="dxa"/>
                    <w:vAlign w:val="center"/>
                  </w:tcPr>
                  <w:p w:rsidR="00B637B2" w:rsidRPr="0003585B" w:rsidRDefault="00B637B2" w:rsidP="00B637B2">
                    <w:pPr>
                      <w:kinsoku w:val="0"/>
                      <w:overflowPunct w:val="0"/>
                      <w:autoSpaceDE w:val="0"/>
                      <w:autoSpaceDN w:val="0"/>
                      <w:adjustRightInd w:val="0"/>
                      <w:snapToGrid w:val="0"/>
                      <w:rPr>
                        <w:rFonts w:cs="Arial"/>
                        <w:color w:val="000000"/>
                        <w:sz w:val="20"/>
                        <w:szCs w:val="20"/>
                      </w:rPr>
                    </w:pPr>
                  </w:p>
                </w:tc>
                <w:tc>
                  <w:tcPr>
                    <w:tcW w:w="2013" w:type="dxa"/>
                    <w:noWrap/>
                    <w:vAlign w:val="bottom"/>
                    <w:hideMark/>
                  </w:tcPr>
                  <w:p w:rsidR="00B637B2" w:rsidRPr="0003585B" w:rsidRDefault="008F04CF" w:rsidP="00B637B2">
                    <w:pPr>
                      <w:kinsoku w:val="0"/>
                      <w:overflowPunct w:val="0"/>
                      <w:autoSpaceDE w:val="0"/>
                      <w:autoSpaceDN w:val="0"/>
                      <w:adjustRightInd w:val="0"/>
                      <w:snapToGrid w:val="0"/>
                      <w:jc w:val="right"/>
                      <w:rPr>
                        <w:rFonts w:cs="Arial"/>
                        <w:color w:val="000000"/>
                        <w:sz w:val="20"/>
                        <w:szCs w:val="20"/>
                      </w:rPr>
                    </w:pPr>
                    <w:r w:rsidRPr="0003585B">
                      <w:rPr>
                        <w:rFonts w:cs="Arial"/>
                        <w:color w:val="000000"/>
                        <w:sz w:val="20"/>
                        <w:szCs w:val="20"/>
                      </w:rPr>
                      <w:t>455,622,484</w:t>
                    </w:r>
                  </w:p>
                </w:tc>
                <w:tc>
                  <w:tcPr>
                    <w:tcW w:w="85" w:type="dxa"/>
                    <w:vAlign w:val="bottom"/>
                  </w:tcPr>
                  <w:p w:rsidR="00B637B2" w:rsidRPr="0003585B" w:rsidRDefault="00B637B2" w:rsidP="00B637B2">
                    <w:pPr>
                      <w:kinsoku w:val="0"/>
                      <w:overflowPunct w:val="0"/>
                      <w:autoSpaceDE w:val="0"/>
                      <w:autoSpaceDN w:val="0"/>
                      <w:adjustRightInd w:val="0"/>
                      <w:snapToGrid w:val="0"/>
                      <w:jc w:val="right"/>
                      <w:rPr>
                        <w:rFonts w:cs="Arial"/>
                        <w:color w:val="000000"/>
                        <w:sz w:val="20"/>
                        <w:szCs w:val="20"/>
                      </w:rPr>
                    </w:pPr>
                  </w:p>
                </w:tc>
                <w:tc>
                  <w:tcPr>
                    <w:tcW w:w="113" w:type="dxa"/>
                    <w:vAlign w:val="bottom"/>
                  </w:tcPr>
                  <w:p w:rsidR="00B637B2" w:rsidRPr="0003585B" w:rsidRDefault="00B637B2" w:rsidP="00B637B2">
                    <w:pPr>
                      <w:kinsoku w:val="0"/>
                      <w:overflowPunct w:val="0"/>
                      <w:autoSpaceDE w:val="0"/>
                      <w:autoSpaceDN w:val="0"/>
                      <w:adjustRightInd w:val="0"/>
                      <w:snapToGrid w:val="0"/>
                      <w:jc w:val="right"/>
                      <w:rPr>
                        <w:rFonts w:cs="Arial"/>
                        <w:sz w:val="20"/>
                        <w:szCs w:val="20"/>
                      </w:rPr>
                    </w:pPr>
                  </w:p>
                </w:tc>
                <w:tc>
                  <w:tcPr>
                    <w:tcW w:w="2495" w:type="dxa"/>
                    <w:noWrap/>
                    <w:vAlign w:val="bottom"/>
                    <w:hideMark/>
                  </w:tcPr>
                  <w:p w:rsidR="00B637B2" w:rsidRPr="0003585B" w:rsidRDefault="008F04CF" w:rsidP="00B637B2">
                    <w:pPr>
                      <w:kinsoku w:val="0"/>
                      <w:overflowPunct w:val="0"/>
                      <w:autoSpaceDE w:val="0"/>
                      <w:autoSpaceDN w:val="0"/>
                      <w:adjustRightInd w:val="0"/>
                      <w:snapToGrid w:val="0"/>
                      <w:jc w:val="right"/>
                      <w:rPr>
                        <w:rFonts w:cs="Arial"/>
                        <w:color w:val="000000"/>
                        <w:sz w:val="20"/>
                        <w:szCs w:val="20"/>
                      </w:rPr>
                    </w:pPr>
                    <w:r w:rsidRPr="0003585B">
                      <w:rPr>
                        <w:rFonts w:cs="Arial"/>
                        <w:color w:val="000000"/>
                        <w:sz w:val="20"/>
                        <w:szCs w:val="20"/>
                      </w:rPr>
                      <w:t>455,622,484</w:t>
                    </w:r>
                  </w:p>
                </w:tc>
                <w:tc>
                  <w:tcPr>
                    <w:tcW w:w="113" w:type="dxa"/>
                    <w:vAlign w:val="center"/>
                  </w:tcPr>
                  <w:p w:rsidR="00B637B2" w:rsidRPr="0003585B" w:rsidRDefault="00B637B2" w:rsidP="00B637B2">
                    <w:pPr>
                      <w:kinsoku w:val="0"/>
                      <w:overflowPunct w:val="0"/>
                      <w:autoSpaceDE w:val="0"/>
                      <w:autoSpaceDN w:val="0"/>
                      <w:adjustRightInd w:val="0"/>
                      <w:snapToGrid w:val="0"/>
                      <w:jc w:val="right"/>
                      <w:rPr>
                        <w:rFonts w:cs="Arial"/>
                        <w:color w:val="000000"/>
                        <w:sz w:val="20"/>
                        <w:szCs w:val="20"/>
                      </w:rPr>
                    </w:pPr>
                  </w:p>
                </w:tc>
              </w:tr>
              <w:tr w:rsidR="00B637B2" w:rsidRPr="0003585B" w:rsidTr="00B637B2">
                <w:tc>
                  <w:tcPr>
                    <w:tcW w:w="3828" w:type="dxa"/>
                    <w:hideMark/>
                  </w:tcPr>
                  <w:p w:rsidR="00B637B2" w:rsidRPr="0003585B" w:rsidRDefault="008F04CF" w:rsidP="00B637B2">
                    <w:pPr>
                      <w:kinsoku w:val="0"/>
                      <w:overflowPunct w:val="0"/>
                      <w:autoSpaceDE w:val="0"/>
                      <w:autoSpaceDN w:val="0"/>
                      <w:adjustRightInd w:val="0"/>
                      <w:snapToGrid w:val="0"/>
                      <w:ind w:left="260" w:hanging="260"/>
                      <w:rPr>
                        <w:rFonts w:cs="Arial"/>
                        <w:color w:val="000000"/>
                        <w:sz w:val="20"/>
                        <w:szCs w:val="20"/>
                      </w:rPr>
                    </w:pPr>
                    <w:r w:rsidRPr="0003585B">
                      <w:rPr>
                        <w:rFonts w:cs="Arial" w:hint="eastAsia"/>
                        <w:snapToGrid w:val="0"/>
                        <w:sz w:val="20"/>
                        <w:szCs w:val="20"/>
                      </w:rPr>
                      <w:t>其他应付款</w:t>
                    </w:r>
                  </w:p>
                </w:tc>
                <w:tc>
                  <w:tcPr>
                    <w:tcW w:w="113" w:type="dxa"/>
                    <w:vAlign w:val="center"/>
                  </w:tcPr>
                  <w:p w:rsidR="00B637B2" w:rsidRPr="0003585B" w:rsidRDefault="00B637B2" w:rsidP="00B637B2">
                    <w:pPr>
                      <w:kinsoku w:val="0"/>
                      <w:overflowPunct w:val="0"/>
                      <w:autoSpaceDE w:val="0"/>
                      <w:autoSpaceDN w:val="0"/>
                      <w:adjustRightInd w:val="0"/>
                      <w:snapToGrid w:val="0"/>
                      <w:rPr>
                        <w:rFonts w:cs="Arial"/>
                        <w:color w:val="000000"/>
                        <w:sz w:val="20"/>
                        <w:szCs w:val="20"/>
                      </w:rPr>
                    </w:pPr>
                  </w:p>
                </w:tc>
                <w:tc>
                  <w:tcPr>
                    <w:tcW w:w="2013" w:type="dxa"/>
                    <w:noWrap/>
                    <w:vAlign w:val="bottom"/>
                    <w:hideMark/>
                  </w:tcPr>
                  <w:p w:rsidR="00B637B2" w:rsidRPr="0003585B" w:rsidRDefault="008F04CF" w:rsidP="00B637B2">
                    <w:pPr>
                      <w:kinsoku w:val="0"/>
                      <w:overflowPunct w:val="0"/>
                      <w:autoSpaceDE w:val="0"/>
                      <w:autoSpaceDN w:val="0"/>
                      <w:adjustRightInd w:val="0"/>
                      <w:snapToGrid w:val="0"/>
                      <w:jc w:val="right"/>
                      <w:rPr>
                        <w:rFonts w:cs="Arial"/>
                        <w:color w:val="000000"/>
                        <w:sz w:val="20"/>
                        <w:szCs w:val="20"/>
                      </w:rPr>
                    </w:pPr>
                    <w:r w:rsidRPr="0003585B">
                      <w:rPr>
                        <w:rFonts w:cs="Arial"/>
                        <w:color w:val="000000"/>
                        <w:sz w:val="20"/>
                        <w:szCs w:val="20"/>
                      </w:rPr>
                      <w:t>840,741,172</w:t>
                    </w:r>
                  </w:p>
                </w:tc>
                <w:tc>
                  <w:tcPr>
                    <w:tcW w:w="85" w:type="dxa"/>
                    <w:vAlign w:val="bottom"/>
                  </w:tcPr>
                  <w:p w:rsidR="00B637B2" w:rsidRPr="0003585B" w:rsidRDefault="00B637B2" w:rsidP="00B637B2">
                    <w:pPr>
                      <w:kinsoku w:val="0"/>
                      <w:overflowPunct w:val="0"/>
                      <w:autoSpaceDE w:val="0"/>
                      <w:autoSpaceDN w:val="0"/>
                      <w:adjustRightInd w:val="0"/>
                      <w:snapToGrid w:val="0"/>
                      <w:jc w:val="right"/>
                      <w:rPr>
                        <w:rFonts w:cs="Arial"/>
                        <w:color w:val="000000"/>
                        <w:sz w:val="20"/>
                        <w:szCs w:val="20"/>
                      </w:rPr>
                    </w:pPr>
                  </w:p>
                </w:tc>
                <w:tc>
                  <w:tcPr>
                    <w:tcW w:w="113" w:type="dxa"/>
                    <w:vAlign w:val="bottom"/>
                  </w:tcPr>
                  <w:p w:rsidR="00B637B2" w:rsidRPr="0003585B" w:rsidRDefault="00B637B2" w:rsidP="00B637B2">
                    <w:pPr>
                      <w:kinsoku w:val="0"/>
                      <w:overflowPunct w:val="0"/>
                      <w:autoSpaceDE w:val="0"/>
                      <w:autoSpaceDN w:val="0"/>
                      <w:adjustRightInd w:val="0"/>
                      <w:snapToGrid w:val="0"/>
                      <w:jc w:val="right"/>
                      <w:rPr>
                        <w:rFonts w:cs="Arial"/>
                        <w:sz w:val="20"/>
                        <w:szCs w:val="20"/>
                      </w:rPr>
                    </w:pPr>
                  </w:p>
                </w:tc>
                <w:tc>
                  <w:tcPr>
                    <w:tcW w:w="2495" w:type="dxa"/>
                    <w:noWrap/>
                    <w:vAlign w:val="bottom"/>
                    <w:hideMark/>
                  </w:tcPr>
                  <w:p w:rsidR="00B637B2" w:rsidRPr="0003585B" w:rsidRDefault="008F04CF" w:rsidP="00B637B2">
                    <w:pPr>
                      <w:kinsoku w:val="0"/>
                      <w:overflowPunct w:val="0"/>
                      <w:autoSpaceDE w:val="0"/>
                      <w:autoSpaceDN w:val="0"/>
                      <w:adjustRightInd w:val="0"/>
                      <w:snapToGrid w:val="0"/>
                      <w:jc w:val="right"/>
                      <w:rPr>
                        <w:rFonts w:cs="Arial"/>
                        <w:color w:val="000000"/>
                        <w:sz w:val="20"/>
                        <w:szCs w:val="20"/>
                      </w:rPr>
                    </w:pPr>
                    <w:r w:rsidRPr="0003585B">
                      <w:rPr>
                        <w:rFonts w:cs="Arial"/>
                        <w:color w:val="000000"/>
                        <w:sz w:val="20"/>
                        <w:szCs w:val="20"/>
                      </w:rPr>
                      <w:t>840,741,172</w:t>
                    </w:r>
                  </w:p>
                </w:tc>
                <w:tc>
                  <w:tcPr>
                    <w:tcW w:w="113" w:type="dxa"/>
                    <w:vAlign w:val="center"/>
                  </w:tcPr>
                  <w:p w:rsidR="00B637B2" w:rsidRPr="0003585B" w:rsidRDefault="00B637B2" w:rsidP="00B637B2">
                    <w:pPr>
                      <w:kinsoku w:val="0"/>
                      <w:overflowPunct w:val="0"/>
                      <w:autoSpaceDE w:val="0"/>
                      <w:autoSpaceDN w:val="0"/>
                      <w:adjustRightInd w:val="0"/>
                      <w:snapToGrid w:val="0"/>
                      <w:jc w:val="right"/>
                      <w:rPr>
                        <w:rFonts w:cs="Arial"/>
                        <w:color w:val="000000"/>
                        <w:sz w:val="20"/>
                        <w:szCs w:val="20"/>
                      </w:rPr>
                    </w:pPr>
                  </w:p>
                </w:tc>
              </w:tr>
              <w:tr w:rsidR="00B637B2" w:rsidRPr="0003585B" w:rsidTr="00B637B2">
                <w:tc>
                  <w:tcPr>
                    <w:tcW w:w="3828" w:type="dxa"/>
                    <w:hideMark/>
                  </w:tcPr>
                  <w:p w:rsidR="00B637B2" w:rsidRPr="0003585B" w:rsidRDefault="008F04CF" w:rsidP="00B637B2">
                    <w:pPr>
                      <w:kinsoku w:val="0"/>
                      <w:overflowPunct w:val="0"/>
                      <w:autoSpaceDE w:val="0"/>
                      <w:autoSpaceDN w:val="0"/>
                      <w:adjustRightInd w:val="0"/>
                      <w:snapToGrid w:val="0"/>
                      <w:ind w:left="260" w:hanging="260"/>
                      <w:rPr>
                        <w:rFonts w:cs="Arial"/>
                        <w:color w:val="000000"/>
                        <w:sz w:val="20"/>
                        <w:szCs w:val="20"/>
                      </w:rPr>
                    </w:pPr>
                    <w:r w:rsidRPr="0003585B">
                      <w:rPr>
                        <w:rFonts w:cs="Arial" w:hint="eastAsia"/>
                        <w:snapToGrid w:val="0"/>
                        <w:sz w:val="20"/>
                        <w:szCs w:val="20"/>
                      </w:rPr>
                      <w:t>一年内到期的长期借款</w:t>
                    </w:r>
                  </w:p>
                </w:tc>
                <w:tc>
                  <w:tcPr>
                    <w:tcW w:w="113" w:type="dxa"/>
                    <w:vAlign w:val="center"/>
                  </w:tcPr>
                  <w:p w:rsidR="00B637B2" w:rsidRPr="0003585B" w:rsidRDefault="00B637B2" w:rsidP="00B637B2">
                    <w:pPr>
                      <w:kinsoku w:val="0"/>
                      <w:overflowPunct w:val="0"/>
                      <w:autoSpaceDE w:val="0"/>
                      <w:autoSpaceDN w:val="0"/>
                      <w:adjustRightInd w:val="0"/>
                      <w:snapToGrid w:val="0"/>
                      <w:rPr>
                        <w:rFonts w:cs="Arial"/>
                        <w:color w:val="000000"/>
                        <w:sz w:val="20"/>
                        <w:szCs w:val="20"/>
                      </w:rPr>
                    </w:pPr>
                  </w:p>
                </w:tc>
                <w:tc>
                  <w:tcPr>
                    <w:tcW w:w="2013" w:type="dxa"/>
                    <w:noWrap/>
                    <w:vAlign w:val="bottom"/>
                    <w:hideMark/>
                  </w:tcPr>
                  <w:p w:rsidR="00B637B2" w:rsidRPr="0003585B" w:rsidRDefault="008F04CF" w:rsidP="00B637B2">
                    <w:pPr>
                      <w:kinsoku w:val="0"/>
                      <w:overflowPunct w:val="0"/>
                      <w:autoSpaceDE w:val="0"/>
                      <w:autoSpaceDN w:val="0"/>
                      <w:adjustRightInd w:val="0"/>
                      <w:snapToGrid w:val="0"/>
                      <w:jc w:val="right"/>
                      <w:rPr>
                        <w:rFonts w:cs="Arial"/>
                        <w:color w:val="000000"/>
                        <w:sz w:val="20"/>
                        <w:szCs w:val="20"/>
                      </w:rPr>
                    </w:pPr>
                    <w:r w:rsidRPr="0003585B">
                      <w:rPr>
                        <w:rFonts w:cs="Arial"/>
                        <w:sz w:val="20"/>
                        <w:szCs w:val="20"/>
                      </w:rPr>
                      <w:t>133,471,227</w:t>
                    </w:r>
                  </w:p>
                </w:tc>
                <w:tc>
                  <w:tcPr>
                    <w:tcW w:w="85" w:type="dxa"/>
                    <w:vAlign w:val="bottom"/>
                  </w:tcPr>
                  <w:p w:rsidR="00B637B2" w:rsidRPr="0003585B" w:rsidRDefault="00B637B2" w:rsidP="00B637B2">
                    <w:pPr>
                      <w:kinsoku w:val="0"/>
                      <w:overflowPunct w:val="0"/>
                      <w:autoSpaceDE w:val="0"/>
                      <w:autoSpaceDN w:val="0"/>
                      <w:adjustRightInd w:val="0"/>
                      <w:snapToGrid w:val="0"/>
                      <w:jc w:val="right"/>
                      <w:rPr>
                        <w:rFonts w:cs="Arial"/>
                        <w:color w:val="000000"/>
                        <w:sz w:val="20"/>
                        <w:szCs w:val="20"/>
                      </w:rPr>
                    </w:pPr>
                  </w:p>
                </w:tc>
                <w:tc>
                  <w:tcPr>
                    <w:tcW w:w="113" w:type="dxa"/>
                    <w:vAlign w:val="bottom"/>
                  </w:tcPr>
                  <w:p w:rsidR="00B637B2" w:rsidRPr="0003585B" w:rsidRDefault="00B637B2" w:rsidP="00B637B2">
                    <w:pPr>
                      <w:kinsoku w:val="0"/>
                      <w:overflowPunct w:val="0"/>
                      <w:autoSpaceDE w:val="0"/>
                      <w:autoSpaceDN w:val="0"/>
                      <w:adjustRightInd w:val="0"/>
                      <w:snapToGrid w:val="0"/>
                      <w:jc w:val="right"/>
                      <w:rPr>
                        <w:rFonts w:cs="Arial"/>
                        <w:sz w:val="20"/>
                        <w:szCs w:val="20"/>
                      </w:rPr>
                    </w:pPr>
                  </w:p>
                </w:tc>
                <w:tc>
                  <w:tcPr>
                    <w:tcW w:w="2495" w:type="dxa"/>
                    <w:noWrap/>
                    <w:vAlign w:val="bottom"/>
                    <w:hideMark/>
                  </w:tcPr>
                  <w:p w:rsidR="00B637B2" w:rsidRPr="0003585B" w:rsidRDefault="008F04CF" w:rsidP="00B637B2">
                    <w:pPr>
                      <w:kinsoku w:val="0"/>
                      <w:overflowPunct w:val="0"/>
                      <w:autoSpaceDE w:val="0"/>
                      <w:autoSpaceDN w:val="0"/>
                      <w:adjustRightInd w:val="0"/>
                      <w:snapToGrid w:val="0"/>
                      <w:jc w:val="right"/>
                      <w:rPr>
                        <w:rFonts w:cs="Arial"/>
                        <w:color w:val="000000"/>
                        <w:sz w:val="20"/>
                        <w:szCs w:val="20"/>
                      </w:rPr>
                    </w:pPr>
                    <w:r w:rsidRPr="0003585B">
                      <w:rPr>
                        <w:rFonts w:cs="Arial"/>
                        <w:sz w:val="20"/>
                        <w:szCs w:val="20"/>
                      </w:rPr>
                      <w:t>133,471,227</w:t>
                    </w:r>
                  </w:p>
                </w:tc>
                <w:tc>
                  <w:tcPr>
                    <w:tcW w:w="113" w:type="dxa"/>
                    <w:vAlign w:val="center"/>
                  </w:tcPr>
                  <w:p w:rsidR="00B637B2" w:rsidRPr="0003585B" w:rsidRDefault="00B637B2" w:rsidP="00B637B2">
                    <w:pPr>
                      <w:kinsoku w:val="0"/>
                      <w:overflowPunct w:val="0"/>
                      <w:autoSpaceDE w:val="0"/>
                      <w:autoSpaceDN w:val="0"/>
                      <w:adjustRightInd w:val="0"/>
                      <w:snapToGrid w:val="0"/>
                      <w:jc w:val="right"/>
                      <w:rPr>
                        <w:rFonts w:cs="Arial"/>
                        <w:color w:val="000000"/>
                        <w:sz w:val="20"/>
                        <w:szCs w:val="20"/>
                      </w:rPr>
                    </w:pPr>
                  </w:p>
                </w:tc>
              </w:tr>
              <w:tr w:rsidR="00B637B2" w:rsidRPr="0003585B" w:rsidTr="00B637B2">
                <w:tc>
                  <w:tcPr>
                    <w:tcW w:w="3828" w:type="dxa"/>
                    <w:hideMark/>
                  </w:tcPr>
                  <w:p w:rsidR="00B637B2" w:rsidRPr="0003585B" w:rsidRDefault="008F04CF" w:rsidP="00B637B2">
                    <w:pPr>
                      <w:kinsoku w:val="0"/>
                      <w:overflowPunct w:val="0"/>
                      <w:autoSpaceDE w:val="0"/>
                      <w:autoSpaceDN w:val="0"/>
                      <w:adjustRightInd w:val="0"/>
                      <w:snapToGrid w:val="0"/>
                      <w:ind w:left="260" w:hanging="260"/>
                      <w:rPr>
                        <w:rFonts w:cs="Arial"/>
                        <w:color w:val="000000"/>
                        <w:sz w:val="20"/>
                        <w:szCs w:val="20"/>
                      </w:rPr>
                    </w:pPr>
                    <w:r w:rsidRPr="0003585B">
                      <w:rPr>
                        <w:rFonts w:cs="Arial" w:hint="eastAsia"/>
                        <w:snapToGrid w:val="0"/>
                        <w:sz w:val="20"/>
                        <w:szCs w:val="20"/>
                      </w:rPr>
                      <w:t>长期借款</w:t>
                    </w:r>
                  </w:p>
                </w:tc>
                <w:tc>
                  <w:tcPr>
                    <w:tcW w:w="113" w:type="dxa"/>
                    <w:vAlign w:val="center"/>
                    <w:hideMark/>
                  </w:tcPr>
                  <w:p w:rsidR="00B637B2" w:rsidRPr="0003585B" w:rsidRDefault="008F04CF" w:rsidP="00B637B2">
                    <w:pPr>
                      <w:kinsoku w:val="0"/>
                      <w:overflowPunct w:val="0"/>
                      <w:autoSpaceDE w:val="0"/>
                      <w:autoSpaceDN w:val="0"/>
                      <w:adjustRightInd w:val="0"/>
                      <w:snapToGrid w:val="0"/>
                      <w:rPr>
                        <w:rFonts w:cs="Arial"/>
                        <w:color w:val="000000"/>
                        <w:sz w:val="20"/>
                        <w:szCs w:val="20"/>
                      </w:rPr>
                    </w:pPr>
                    <w:r w:rsidRPr="0003585B">
                      <w:rPr>
                        <w:rFonts w:cs="Arial"/>
                        <w:color w:val="000000"/>
                        <w:sz w:val="20"/>
                        <w:szCs w:val="20"/>
                      </w:rPr>
                      <w:t xml:space="preserve"> </w:t>
                    </w:r>
                  </w:p>
                </w:tc>
                <w:tc>
                  <w:tcPr>
                    <w:tcW w:w="2013" w:type="dxa"/>
                    <w:noWrap/>
                    <w:vAlign w:val="bottom"/>
                    <w:hideMark/>
                  </w:tcPr>
                  <w:p w:rsidR="00B637B2" w:rsidRPr="0003585B" w:rsidRDefault="008F04CF" w:rsidP="00B637B2">
                    <w:pPr>
                      <w:kinsoku w:val="0"/>
                      <w:overflowPunct w:val="0"/>
                      <w:autoSpaceDE w:val="0"/>
                      <w:autoSpaceDN w:val="0"/>
                      <w:adjustRightInd w:val="0"/>
                      <w:snapToGrid w:val="0"/>
                      <w:jc w:val="right"/>
                      <w:rPr>
                        <w:rFonts w:cs="Arial"/>
                        <w:color w:val="000000"/>
                        <w:sz w:val="20"/>
                        <w:szCs w:val="20"/>
                      </w:rPr>
                    </w:pPr>
                    <w:r w:rsidRPr="0003585B">
                      <w:rPr>
                        <w:rFonts w:cs="Arial"/>
                        <w:color w:val="000000"/>
                        <w:sz w:val="20"/>
                        <w:szCs w:val="20"/>
                      </w:rPr>
                      <w:t>171,666,664</w:t>
                    </w:r>
                  </w:p>
                </w:tc>
                <w:tc>
                  <w:tcPr>
                    <w:tcW w:w="85" w:type="dxa"/>
                    <w:vAlign w:val="bottom"/>
                  </w:tcPr>
                  <w:p w:rsidR="00B637B2" w:rsidRPr="0003585B" w:rsidRDefault="00B637B2" w:rsidP="00B637B2">
                    <w:pPr>
                      <w:kinsoku w:val="0"/>
                      <w:overflowPunct w:val="0"/>
                      <w:autoSpaceDE w:val="0"/>
                      <w:autoSpaceDN w:val="0"/>
                      <w:adjustRightInd w:val="0"/>
                      <w:snapToGrid w:val="0"/>
                      <w:jc w:val="right"/>
                      <w:rPr>
                        <w:rFonts w:cs="Arial"/>
                        <w:color w:val="000000"/>
                        <w:sz w:val="20"/>
                        <w:szCs w:val="20"/>
                      </w:rPr>
                    </w:pPr>
                  </w:p>
                </w:tc>
                <w:tc>
                  <w:tcPr>
                    <w:tcW w:w="113" w:type="dxa"/>
                    <w:vAlign w:val="bottom"/>
                  </w:tcPr>
                  <w:p w:rsidR="00B637B2" w:rsidRPr="0003585B" w:rsidRDefault="00B637B2" w:rsidP="00B637B2">
                    <w:pPr>
                      <w:kinsoku w:val="0"/>
                      <w:overflowPunct w:val="0"/>
                      <w:autoSpaceDE w:val="0"/>
                      <w:autoSpaceDN w:val="0"/>
                      <w:adjustRightInd w:val="0"/>
                      <w:snapToGrid w:val="0"/>
                      <w:jc w:val="right"/>
                      <w:rPr>
                        <w:rFonts w:cs="Arial"/>
                        <w:sz w:val="20"/>
                        <w:szCs w:val="20"/>
                      </w:rPr>
                    </w:pPr>
                  </w:p>
                </w:tc>
                <w:tc>
                  <w:tcPr>
                    <w:tcW w:w="2495" w:type="dxa"/>
                    <w:noWrap/>
                    <w:vAlign w:val="bottom"/>
                    <w:hideMark/>
                  </w:tcPr>
                  <w:p w:rsidR="00B637B2" w:rsidRPr="0003585B" w:rsidRDefault="008F04CF" w:rsidP="00B637B2">
                    <w:pPr>
                      <w:kinsoku w:val="0"/>
                      <w:overflowPunct w:val="0"/>
                      <w:autoSpaceDE w:val="0"/>
                      <w:autoSpaceDN w:val="0"/>
                      <w:adjustRightInd w:val="0"/>
                      <w:snapToGrid w:val="0"/>
                      <w:jc w:val="right"/>
                      <w:rPr>
                        <w:rFonts w:cs="Arial"/>
                        <w:color w:val="000000"/>
                        <w:sz w:val="20"/>
                        <w:szCs w:val="20"/>
                      </w:rPr>
                    </w:pPr>
                    <w:r w:rsidRPr="0003585B">
                      <w:rPr>
                        <w:rFonts w:cs="Arial"/>
                        <w:color w:val="000000"/>
                        <w:sz w:val="20"/>
                        <w:szCs w:val="20"/>
                      </w:rPr>
                      <w:t>171,666,664</w:t>
                    </w:r>
                  </w:p>
                </w:tc>
                <w:tc>
                  <w:tcPr>
                    <w:tcW w:w="113" w:type="dxa"/>
                    <w:vAlign w:val="center"/>
                    <w:hideMark/>
                  </w:tcPr>
                  <w:p w:rsidR="00B637B2" w:rsidRPr="0003585B" w:rsidRDefault="008F04CF" w:rsidP="00B637B2">
                    <w:pPr>
                      <w:kinsoku w:val="0"/>
                      <w:overflowPunct w:val="0"/>
                      <w:autoSpaceDE w:val="0"/>
                      <w:autoSpaceDN w:val="0"/>
                      <w:adjustRightInd w:val="0"/>
                      <w:snapToGrid w:val="0"/>
                      <w:jc w:val="right"/>
                      <w:rPr>
                        <w:rFonts w:cs="Arial"/>
                        <w:color w:val="000000"/>
                        <w:sz w:val="20"/>
                        <w:szCs w:val="20"/>
                      </w:rPr>
                    </w:pPr>
                    <w:r w:rsidRPr="0003585B">
                      <w:rPr>
                        <w:rFonts w:cs="Arial"/>
                        <w:color w:val="000000"/>
                        <w:sz w:val="20"/>
                        <w:szCs w:val="20"/>
                      </w:rPr>
                      <w:t xml:space="preserve"> </w:t>
                    </w:r>
                  </w:p>
                </w:tc>
              </w:tr>
              <w:tr w:rsidR="00B637B2" w:rsidRPr="0003585B" w:rsidTr="00B637B2">
                <w:tc>
                  <w:tcPr>
                    <w:tcW w:w="3828" w:type="dxa"/>
                    <w:noWrap/>
                    <w:hideMark/>
                  </w:tcPr>
                  <w:p w:rsidR="00B637B2" w:rsidRPr="0003585B" w:rsidRDefault="008F04CF" w:rsidP="00B637B2">
                    <w:pPr>
                      <w:kinsoku w:val="0"/>
                      <w:overflowPunct w:val="0"/>
                      <w:autoSpaceDE w:val="0"/>
                      <w:autoSpaceDN w:val="0"/>
                      <w:adjustRightInd w:val="0"/>
                      <w:snapToGrid w:val="0"/>
                      <w:rPr>
                        <w:rFonts w:cs="Arial"/>
                        <w:color w:val="000000"/>
                        <w:sz w:val="20"/>
                        <w:szCs w:val="20"/>
                      </w:rPr>
                    </w:pPr>
                    <w:r w:rsidRPr="0003585B">
                      <w:rPr>
                        <w:rFonts w:cs="Arial" w:hint="eastAsia"/>
                        <w:snapToGrid w:val="0"/>
                        <w:sz w:val="20"/>
                        <w:szCs w:val="20"/>
                      </w:rPr>
                      <w:t>其他流动负债</w:t>
                    </w:r>
                    <w:r w:rsidRPr="0003585B">
                      <w:rPr>
                        <w:rFonts w:cs="Arial"/>
                        <w:snapToGrid w:val="0"/>
                        <w:sz w:val="20"/>
                        <w:szCs w:val="20"/>
                      </w:rPr>
                      <w:t>(</w:t>
                    </w:r>
                    <w:r w:rsidRPr="0003585B">
                      <w:rPr>
                        <w:rFonts w:cs="Arial" w:hint="eastAsia"/>
                        <w:snapToGrid w:val="0"/>
                        <w:sz w:val="20"/>
                        <w:szCs w:val="20"/>
                      </w:rPr>
                      <w:t>审计费和房租</w:t>
                    </w:r>
                    <w:r w:rsidRPr="0003585B">
                      <w:rPr>
                        <w:rFonts w:cs="Arial"/>
                        <w:snapToGrid w:val="0"/>
                        <w:sz w:val="20"/>
                        <w:szCs w:val="20"/>
                      </w:rPr>
                      <w:t>)</w:t>
                    </w:r>
                  </w:p>
                </w:tc>
                <w:tc>
                  <w:tcPr>
                    <w:tcW w:w="113" w:type="dxa"/>
                    <w:vAlign w:val="center"/>
                    <w:hideMark/>
                  </w:tcPr>
                  <w:p w:rsidR="00B637B2" w:rsidRPr="0003585B" w:rsidRDefault="008F04CF" w:rsidP="00B637B2">
                    <w:pPr>
                      <w:kinsoku w:val="0"/>
                      <w:overflowPunct w:val="0"/>
                      <w:autoSpaceDE w:val="0"/>
                      <w:autoSpaceDN w:val="0"/>
                      <w:adjustRightInd w:val="0"/>
                      <w:snapToGrid w:val="0"/>
                      <w:rPr>
                        <w:rFonts w:cs="Arial"/>
                        <w:color w:val="000000"/>
                        <w:sz w:val="20"/>
                        <w:szCs w:val="20"/>
                      </w:rPr>
                    </w:pPr>
                    <w:r w:rsidRPr="0003585B">
                      <w:rPr>
                        <w:rFonts w:cs="Arial"/>
                        <w:color w:val="000000"/>
                        <w:sz w:val="20"/>
                        <w:szCs w:val="20"/>
                      </w:rPr>
                      <w:t xml:space="preserve"> </w:t>
                    </w:r>
                  </w:p>
                </w:tc>
                <w:tc>
                  <w:tcPr>
                    <w:tcW w:w="2013" w:type="dxa"/>
                    <w:noWrap/>
                    <w:vAlign w:val="bottom"/>
                    <w:hideMark/>
                  </w:tcPr>
                  <w:p w:rsidR="00B637B2" w:rsidRPr="0003585B" w:rsidRDefault="008F04CF" w:rsidP="00B637B2">
                    <w:pPr>
                      <w:kinsoku w:val="0"/>
                      <w:overflowPunct w:val="0"/>
                      <w:autoSpaceDE w:val="0"/>
                      <w:autoSpaceDN w:val="0"/>
                      <w:adjustRightInd w:val="0"/>
                      <w:snapToGrid w:val="0"/>
                      <w:jc w:val="right"/>
                      <w:rPr>
                        <w:rFonts w:cs="Arial"/>
                        <w:color w:val="000000"/>
                        <w:sz w:val="20"/>
                        <w:szCs w:val="20"/>
                      </w:rPr>
                    </w:pPr>
                    <w:r w:rsidRPr="0003585B">
                      <w:rPr>
                        <w:rFonts w:cs="Arial"/>
                        <w:color w:val="000000"/>
                        <w:sz w:val="20"/>
                        <w:szCs w:val="20"/>
                      </w:rPr>
                      <w:t xml:space="preserve">   </w:t>
                    </w:r>
                    <w:r w:rsidRPr="0003585B">
                      <w:rPr>
                        <w:rFonts w:cs="Arial"/>
                        <w:color w:val="000000"/>
                        <w:sz w:val="20"/>
                        <w:szCs w:val="20"/>
                        <w:u w:val="single"/>
                      </w:rPr>
                      <w:t xml:space="preserve">    2,431,350  </w:t>
                    </w:r>
                  </w:p>
                </w:tc>
                <w:tc>
                  <w:tcPr>
                    <w:tcW w:w="85" w:type="dxa"/>
                    <w:vAlign w:val="bottom"/>
                  </w:tcPr>
                  <w:p w:rsidR="00B637B2" w:rsidRPr="0003585B" w:rsidRDefault="00B637B2" w:rsidP="00B637B2">
                    <w:pPr>
                      <w:kinsoku w:val="0"/>
                      <w:overflowPunct w:val="0"/>
                      <w:autoSpaceDE w:val="0"/>
                      <w:autoSpaceDN w:val="0"/>
                      <w:adjustRightInd w:val="0"/>
                      <w:snapToGrid w:val="0"/>
                      <w:jc w:val="right"/>
                      <w:rPr>
                        <w:rFonts w:cs="Arial"/>
                        <w:color w:val="000000"/>
                        <w:sz w:val="20"/>
                        <w:szCs w:val="20"/>
                      </w:rPr>
                    </w:pPr>
                  </w:p>
                </w:tc>
                <w:tc>
                  <w:tcPr>
                    <w:tcW w:w="113" w:type="dxa"/>
                    <w:vAlign w:val="bottom"/>
                  </w:tcPr>
                  <w:p w:rsidR="00B637B2" w:rsidRPr="0003585B" w:rsidRDefault="00B637B2" w:rsidP="00B637B2">
                    <w:pPr>
                      <w:kinsoku w:val="0"/>
                      <w:overflowPunct w:val="0"/>
                      <w:autoSpaceDE w:val="0"/>
                      <w:autoSpaceDN w:val="0"/>
                      <w:adjustRightInd w:val="0"/>
                      <w:snapToGrid w:val="0"/>
                      <w:jc w:val="right"/>
                      <w:rPr>
                        <w:rFonts w:cs="Arial"/>
                        <w:sz w:val="20"/>
                        <w:szCs w:val="20"/>
                      </w:rPr>
                    </w:pPr>
                  </w:p>
                </w:tc>
                <w:tc>
                  <w:tcPr>
                    <w:tcW w:w="2495" w:type="dxa"/>
                    <w:noWrap/>
                    <w:vAlign w:val="bottom"/>
                    <w:hideMark/>
                  </w:tcPr>
                  <w:p w:rsidR="00B637B2" w:rsidRPr="0003585B" w:rsidRDefault="008F04CF" w:rsidP="00B637B2">
                    <w:pPr>
                      <w:kinsoku w:val="0"/>
                      <w:overflowPunct w:val="0"/>
                      <w:autoSpaceDE w:val="0"/>
                      <w:autoSpaceDN w:val="0"/>
                      <w:adjustRightInd w:val="0"/>
                      <w:snapToGrid w:val="0"/>
                      <w:jc w:val="right"/>
                      <w:rPr>
                        <w:rFonts w:cs="Arial"/>
                        <w:color w:val="000000"/>
                        <w:sz w:val="20"/>
                        <w:szCs w:val="20"/>
                        <w:u w:val="single"/>
                      </w:rPr>
                    </w:pPr>
                    <w:r w:rsidRPr="0003585B">
                      <w:rPr>
                        <w:rFonts w:cs="Arial"/>
                        <w:color w:val="000000"/>
                        <w:sz w:val="20"/>
                        <w:szCs w:val="20"/>
                      </w:rPr>
                      <w:t xml:space="preserve">   </w:t>
                    </w:r>
                    <w:r w:rsidRPr="0003585B">
                      <w:rPr>
                        <w:rFonts w:cs="Arial"/>
                        <w:color w:val="000000"/>
                        <w:sz w:val="20"/>
                        <w:szCs w:val="20"/>
                        <w:u w:val="single"/>
                      </w:rPr>
                      <w:t xml:space="preserve">    2,431,350 </w:t>
                    </w:r>
                  </w:p>
                </w:tc>
                <w:tc>
                  <w:tcPr>
                    <w:tcW w:w="113" w:type="dxa"/>
                    <w:vAlign w:val="center"/>
                    <w:hideMark/>
                  </w:tcPr>
                  <w:p w:rsidR="00B637B2" w:rsidRPr="0003585B" w:rsidRDefault="008F04CF" w:rsidP="00B637B2">
                    <w:pPr>
                      <w:kinsoku w:val="0"/>
                      <w:overflowPunct w:val="0"/>
                      <w:autoSpaceDE w:val="0"/>
                      <w:autoSpaceDN w:val="0"/>
                      <w:adjustRightInd w:val="0"/>
                      <w:snapToGrid w:val="0"/>
                      <w:jc w:val="right"/>
                      <w:rPr>
                        <w:rFonts w:cs="Arial"/>
                        <w:color w:val="000000"/>
                        <w:sz w:val="20"/>
                        <w:szCs w:val="20"/>
                      </w:rPr>
                    </w:pPr>
                    <w:r w:rsidRPr="0003585B">
                      <w:rPr>
                        <w:rFonts w:cs="Arial"/>
                        <w:color w:val="000000"/>
                        <w:sz w:val="20"/>
                        <w:szCs w:val="20"/>
                      </w:rPr>
                      <w:t xml:space="preserve"> </w:t>
                    </w:r>
                  </w:p>
                </w:tc>
              </w:tr>
              <w:tr w:rsidR="00B637B2" w:rsidRPr="0003585B" w:rsidTr="00B637B2">
                <w:tc>
                  <w:tcPr>
                    <w:tcW w:w="3828" w:type="dxa"/>
                    <w:noWrap/>
                    <w:vAlign w:val="bottom"/>
                    <w:hideMark/>
                  </w:tcPr>
                  <w:p w:rsidR="00B637B2" w:rsidRPr="0003585B" w:rsidRDefault="008F04CF" w:rsidP="00B637B2">
                    <w:pPr>
                      <w:kinsoku w:val="0"/>
                      <w:overflowPunct w:val="0"/>
                      <w:autoSpaceDE w:val="0"/>
                      <w:autoSpaceDN w:val="0"/>
                      <w:adjustRightInd w:val="0"/>
                      <w:snapToGrid w:val="0"/>
                      <w:rPr>
                        <w:rFonts w:cs="Arial"/>
                        <w:sz w:val="20"/>
                        <w:szCs w:val="20"/>
                      </w:rPr>
                    </w:pPr>
                    <w:r w:rsidRPr="0003585B">
                      <w:rPr>
                        <w:rFonts w:cs="Arial"/>
                        <w:color w:val="000000"/>
                        <w:sz w:val="20"/>
                        <w:szCs w:val="20"/>
                      </w:rPr>
                      <w:t xml:space="preserve"> </w:t>
                    </w:r>
                  </w:p>
                </w:tc>
                <w:tc>
                  <w:tcPr>
                    <w:tcW w:w="113" w:type="dxa"/>
                    <w:vAlign w:val="center"/>
                    <w:hideMark/>
                  </w:tcPr>
                  <w:p w:rsidR="00B637B2" w:rsidRPr="0003585B" w:rsidRDefault="008F04CF" w:rsidP="00B637B2">
                    <w:pPr>
                      <w:kinsoku w:val="0"/>
                      <w:overflowPunct w:val="0"/>
                      <w:autoSpaceDE w:val="0"/>
                      <w:autoSpaceDN w:val="0"/>
                      <w:adjustRightInd w:val="0"/>
                      <w:snapToGrid w:val="0"/>
                      <w:rPr>
                        <w:rFonts w:cs="Arial"/>
                        <w:sz w:val="20"/>
                        <w:szCs w:val="20"/>
                      </w:rPr>
                    </w:pPr>
                    <w:r w:rsidRPr="0003585B">
                      <w:rPr>
                        <w:rFonts w:cs="Arial"/>
                        <w:color w:val="000000"/>
                        <w:sz w:val="20"/>
                        <w:szCs w:val="20"/>
                      </w:rPr>
                      <w:t xml:space="preserve"> </w:t>
                    </w:r>
                  </w:p>
                </w:tc>
                <w:tc>
                  <w:tcPr>
                    <w:tcW w:w="2013" w:type="dxa"/>
                    <w:noWrap/>
                    <w:vAlign w:val="bottom"/>
                  </w:tcPr>
                  <w:p w:rsidR="00B637B2" w:rsidRPr="0003585B" w:rsidRDefault="00B637B2" w:rsidP="00B637B2">
                    <w:pPr>
                      <w:kinsoku w:val="0"/>
                      <w:overflowPunct w:val="0"/>
                      <w:autoSpaceDE w:val="0"/>
                      <w:autoSpaceDN w:val="0"/>
                      <w:adjustRightInd w:val="0"/>
                      <w:snapToGrid w:val="0"/>
                      <w:jc w:val="right"/>
                      <w:rPr>
                        <w:rFonts w:cs="Arial"/>
                        <w:sz w:val="20"/>
                        <w:szCs w:val="20"/>
                      </w:rPr>
                    </w:pPr>
                  </w:p>
                </w:tc>
                <w:tc>
                  <w:tcPr>
                    <w:tcW w:w="85" w:type="dxa"/>
                    <w:vAlign w:val="bottom"/>
                  </w:tcPr>
                  <w:p w:rsidR="00B637B2" w:rsidRPr="0003585B" w:rsidRDefault="00B637B2" w:rsidP="00B637B2">
                    <w:pPr>
                      <w:kinsoku w:val="0"/>
                      <w:overflowPunct w:val="0"/>
                      <w:autoSpaceDE w:val="0"/>
                      <w:autoSpaceDN w:val="0"/>
                      <w:adjustRightInd w:val="0"/>
                      <w:snapToGrid w:val="0"/>
                      <w:jc w:val="right"/>
                      <w:rPr>
                        <w:rFonts w:cs="Arial"/>
                        <w:sz w:val="20"/>
                        <w:szCs w:val="20"/>
                      </w:rPr>
                    </w:pPr>
                  </w:p>
                </w:tc>
                <w:tc>
                  <w:tcPr>
                    <w:tcW w:w="113" w:type="dxa"/>
                    <w:vAlign w:val="bottom"/>
                  </w:tcPr>
                  <w:p w:rsidR="00B637B2" w:rsidRPr="0003585B" w:rsidRDefault="00B637B2" w:rsidP="00B637B2">
                    <w:pPr>
                      <w:kinsoku w:val="0"/>
                      <w:overflowPunct w:val="0"/>
                      <w:autoSpaceDE w:val="0"/>
                      <w:autoSpaceDN w:val="0"/>
                      <w:adjustRightInd w:val="0"/>
                      <w:snapToGrid w:val="0"/>
                      <w:jc w:val="right"/>
                      <w:rPr>
                        <w:rFonts w:cs="Arial"/>
                        <w:sz w:val="20"/>
                        <w:szCs w:val="20"/>
                      </w:rPr>
                    </w:pPr>
                  </w:p>
                </w:tc>
                <w:tc>
                  <w:tcPr>
                    <w:tcW w:w="2495" w:type="dxa"/>
                    <w:noWrap/>
                    <w:vAlign w:val="bottom"/>
                  </w:tcPr>
                  <w:p w:rsidR="00B637B2" w:rsidRPr="0003585B" w:rsidRDefault="00B637B2" w:rsidP="00B637B2">
                    <w:pPr>
                      <w:kinsoku w:val="0"/>
                      <w:overflowPunct w:val="0"/>
                      <w:autoSpaceDE w:val="0"/>
                      <w:autoSpaceDN w:val="0"/>
                      <w:adjustRightInd w:val="0"/>
                      <w:snapToGrid w:val="0"/>
                      <w:jc w:val="right"/>
                      <w:rPr>
                        <w:rFonts w:cs="Arial"/>
                        <w:sz w:val="20"/>
                        <w:szCs w:val="20"/>
                      </w:rPr>
                    </w:pPr>
                  </w:p>
                </w:tc>
                <w:tc>
                  <w:tcPr>
                    <w:tcW w:w="113" w:type="dxa"/>
                    <w:vAlign w:val="center"/>
                    <w:hideMark/>
                  </w:tcPr>
                  <w:p w:rsidR="00B637B2" w:rsidRPr="0003585B" w:rsidRDefault="008F04CF" w:rsidP="00B637B2">
                    <w:pPr>
                      <w:kinsoku w:val="0"/>
                      <w:overflowPunct w:val="0"/>
                      <w:autoSpaceDE w:val="0"/>
                      <w:autoSpaceDN w:val="0"/>
                      <w:adjustRightInd w:val="0"/>
                      <w:snapToGrid w:val="0"/>
                      <w:jc w:val="right"/>
                      <w:rPr>
                        <w:rFonts w:cs="Arial"/>
                        <w:sz w:val="20"/>
                        <w:szCs w:val="20"/>
                      </w:rPr>
                    </w:pPr>
                    <w:r w:rsidRPr="0003585B">
                      <w:rPr>
                        <w:rFonts w:cs="Arial"/>
                        <w:color w:val="000000"/>
                        <w:sz w:val="20"/>
                        <w:szCs w:val="20"/>
                      </w:rPr>
                      <w:t xml:space="preserve"> </w:t>
                    </w:r>
                  </w:p>
                </w:tc>
              </w:tr>
              <w:tr w:rsidR="00B637B2" w:rsidRPr="0003585B" w:rsidTr="00B637B2">
                <w:tc>
                  <w:tcPr>
                    <w:tcW w:w="3828" w:type="dxa"/>
                    <w:noWrap/>
                    <w:vAlign w:val="bottom"/>
                    <w:hideMark/>
                  </w:tcPr>
                  <w:p w:rsidR="00B637B2" w:rsidRPr="0003585B" w:rsidRDefault="00B637B2" w:rsidP="00B637B2">
                    <w:pPr>
                      <w:rPr>
                        <w:rFonts w:cs="Arial"/>
                        <w:sz w:val="20"/>
                        <w:szCs w:val="20"/>
                      </w:rPr>
                    </w:pPr>
                  </w:p>
                </w:tc>
                <w:tc>
                  <w:tcPr>
                    <w:tcW w:w="113" w:type="dxa"/>
                    <w:vAlign w:val="center"/>
                    <w:hideMark/>
                  </w:tcPr>
                  <w:p w:rsidR="00B637B2" w:rsidRPr="0003585B" w:rsidRDefault="008F04CF" w:rsidP="00B637B2">
                    <w:pPr>
                      <w:kinsoku w:val="0"/>
                      <w:overflowPunct w:val="0"/>
                      <w:autoSpaceDE w:val="0"/>
                      <w:autoSpaceDN w:val="0"/>
                      <w:adjustRightInd w:val="0"/>
                      <w:snapToGrid w:val="0"/>
                      <w:rPr>
                        <w:rFonts w:cs="Arial"/>
                        <w:sz w:val="20"/>
                        <w:szCs w:val="20"/>
                      </w:rPr>
                    </w:pPr>
                    <w:r w:rsidRPr="0003585B">
                      <w:rPr>
                        <w:rFonts w:cs="Arial"/>
                        <w:color w:val="000000"/>
                        <w:sz w:val="20"/>
                        <w:szCs w:val="20"/>
                      </w:rPr>
                      <w:t xml:space="preserve"> </w:t>
                    </w:r>
                  </w:p>
                </w:tc>
                <w:tc>
                  <w:tcPr>
                    <w:tcW w:w="2013" w:type="dxa"/>
                    <w:noWrap/>
                    <w:vAlign w:val="bottom"/>
                    <w:hideMark/>
                  </w:tcPr>
                  <w:p w:rsidR="00B637B2" w:rsidRPr="0003585B" w:rsidRDefault="008F04CF" w:rsidP="00B637B2">
                    <w:pPr>
                      <w:kinsoku w:val="0"/>
                      <w:overflowPunct w:val="0"/>
                      <w:autoSpaceDE w:val="0"/>
                      <w:autoSpaceDN w:val="0"/>
                      <w:adjustRightInd w:val="0"/>
                      <w:snapToGrid w:val="0"/>
                      <w:jc w:val="right"/>
                      <w:rPr>
                        <w:rFonts w:cs="Arial"/>
                        <w:color w:val="000000"/>
                        <w:sz w:val="20"/>
                        <w:szCs w:val="20"/>
                        <w:u w:val="double"/>
                      </w:rPr>
                    </w:pPr>
                    <w:r w:rsidRPr="0003585B">
                      <w:rPr>
                        <w:rFonts w:cs="Arial"/>
                        <w:color w:val="000000"/>
                        <w:sz w:val="20"/>
                        <w:szCs w:val="20"/>
                        <w:u w:val="double"/>
                      </w:rPr>
                      <w:t>4,760,336,897</w:t>
                    </w:r>
                  </w:p>
                </w:tc>
                <w:tc>
                  <w:tcPr>
                    <w:tcW w:w="85" w:type="dxa"/>
                    <w:vAlign w:val="bottom"/>
                  </w:tcPr>
                  <w:p w:rsidR="00B637B2" w:rsidRPr="0003585B" w:rsidRDefault="00B637B2" w:rsidP="00B637B2">
                    <w:pPr>
                      <w:kinsoku w:val="0"/>
                      <w:overflowPunct w:val="0"/>
                      <w:autoSpaceDE w:val="0"/>
                      <w:autoSpaceDN w:val="0"/>
                      <w:adjustRightInd w:val="0"/>
                      <w:snapToGrid w:val="0"/>
                      <w:jc w:val="right"/>
                      <w:rPr>
                        <w:rFonts w:cs="Arial"/>
                        <w:color w:val="000000"/>
                        <w:sz w:val="20"/>
                        <w:szCs w:val="20"/>
                        <w:u w:val="double"/>
                      </w:rPr>
                    </w:pPr>
                  </w:p>
                </w:tc>
                <w:tc>
                  <w:tcPr>
                    <w:tcW w:w="113" w:type="dxa"/>
                    <w:vAlign w:val="bottom"/>
                  </w:tcPr>
                  <w:p w:rsidR="00B637B2" w:rsidRPr="0003585B" w:rsidRDefault="00B637B2" w:rsidP="00B637B2">
                    <w:pPr>
                      <w:kinsoku w:val="0"/>
                      <w:overflowPunct w:val="0"/>
                      <w:autoSpaceDE w:val="0"/>
                      <w:autoSpaceDN w:val="0"/>
                      <w:adjustRightInd w:val="0"/>
                      <w:snapToGrid w:val="0"/>
                      <w:jc w:val="right"/>
                      <w:rPr>
                        <w:rFonts w:cs="Arial"/>
                        <w:sz w:val="20"/>
                        <w:szCs w:val="20"/>
                        <w:u w:val="double"/>
                      </w:rPr>
                    </w:pPr>
                  </w:p>
                </w:tc>
                <w:tc>
                  <w:tcPr>
                    <w:tcW w:w="2495" w:type="dxa"/>
                    <w:noWrap/>
                    <w:vAlign w:val="bottom"/>
                    <w:hideMark/>
                  </w:tcPr>
                  <w:p w:rsidR="00B637B2" w:rsidRPr="0003585B" w:rsidRDefault="008F04CF" w:rsidP="00B637B2">
                    <w:pPr>
                      <w:kinsoku w:val="0"/>
                      <w:overflowPunct w:val="0"/>
                      <w:autoSpaceDE w:val="0"/>
                      <w:autoSpaceDN w:val="0"/>
                      <w:adjustRightInd w:val="0"/>
                      <w:snapToGrid w:val="0"/>
                      <w:jc w:val="right"/>
                      <w:rPr>
                        <w:rFonts w:cs="Arial"/>
                        <w:color w:val="000000"/>
                        <w:sz w:val="20"/>
                        <w:szCs w:val="20"/>
                        <w:u w:val="double"/>
                      </w:rPr>
                    </w:pPr>
                    <w:r w:rsidRPr="0003585B">
                      <w:rPr>
                        <w:rFonts w:cs="Arial"/>
                        <w:color w:val="000000"/>
                        <w:sz w:val="20"/>
                        <w:szCs w:val="20"/>
                        <w:u w:val="double"/>
                      </w:rPr>
                      <w:t>4,760,336,897</w:t>
                    </w:r>
                  </w:p>
                </w:tc>
                <w:tc>
                  <w:tcPr>
                    <w:tcW w:w="113" w:type="dxa"/>
                    <w:vAlign w:val="center"/>
                    <w:hideMark/>
                  </w:tcPr>
                  <w:p w:rsidR="00B637B2" w:rsidRPr="0003585B" w:rsidRDefault="008F04CF" w:rsidP="00B637B2">
                    <w:pPr>
                      <w:kinsoku w:val="0"/>
                      <w:overflowPunct w:val="0"/>
                      <w:autoSpaceDE w:val="0"/>
                      <w:autoSpaceDN w:val="0"/>
                      <w:adjustRightInd w:val="0"/>
                      <w:snapToGrid w:val="0"/>
                      <w:jc w:val="right"/>
                      <w:rPr>
                        <w:rFonts w:cs="Arial"/>
                        <w:color w:val="000000"/>
                        <w:sz w:val="20"/>
                        <w:szCs w:val="20"/>
                      </w:rPr>
                    </w:pPr>
                    <w:r w:rsidRPr="0003585B">
                      <w:rPr>
                        <w:rFonts w:cs="Arial"/>
                        <w:color w:val="000000"/>
                        <w:sz w:val="20"/>
                        <w:szCs w:val="20"/>
                      </w:rPr>
                      <w:t xml:space="preserve"> </w:t>
                    </w:r>
                  </w:p>
                </w:tc>
              </w:tr>
            </w:tbl>
            <w:p w:rsidR="00B637B2" w:rsidRDefault="00B637B2" w:rsidP="00B637B2">
              <w:pPr>
                <w:rPr>
                  <w:rFonts w:ascii="Times New Roman" w:hAnsi="Times New Roman" w:cs="Times New Roman"/>
                  <w:sz w:val="24"/>
                </w:rPr>
              </w:pPr>
            </w:p>
            <w:p w:rsidR="00775FAA" w:rsidRPr="0003585B" w:rsidRDefault="00775FAA" w:rsidP="00B637B2">
              <w:pPr>
                <w:tabs>
                  <w:tab w:val="left" w:pos="2520"/>
                  <w:tab w:val="decimal" w:pos="5250"/>
                  <w:tab w:val="decimal" w:pos="6510"/>
                  <w:tab w:val="decimal" w:pos="7035"/>
                  <w:tab w:val="decimal" w:pos="8295"/>
                </w:tabs>
                <w:overflowPunct w:val="0"/>
                <w:autoSpaceDE w:val="0"/>
                <w:autoSpaceDN w:val="0"/>
                <w:adjustRightInd w:val="0"/>
                <w:snapToGrid w:val="0"/>
                <w:jc w:val="both"/>
                <w:rPr>
                  <w:rFonts w:cs="Arial"/>
                  <w:snapToGrid w:val="0"/>
                  <w:sz w:val="20"/>
                  <w:szCs w:val="20"/>
                </w:rPr>
              </w:pPr>
              <w:r w:rsidRPr="0003585B">
                <w:rPr>
                  <w:rFonts w:cs="Arial"/>
                  <w:snapToGrid w:val="0"/>
                  <w:sz w:val="20"/>
                  <w:szCs w:val="20"/>
                </w:rPr>
                <w:lastRenderedPageBreak/>
                <w:t>本集团的主要金融工具除衍生工具外，包括货币资金、</w:t>
              </w:r>
              <w:r w:rsidRPr="0003585B">
                <w:rPr>
                  <w:rFonts w:cs="Arial" w:hint="eastAsia"/>
                  <w:snapToGrid w:val="0"/>
                  <w:sz w:val="20"/>
                  <w:szCs w:val="20"/>
                </w:rPr>
                <w:t>其他非流动</w:t>
              </w:r>
              <w:r w:rsidRPr="0003585B">
                <w:rPr>
                  <w:rFonts w:cs="Arial"/>
                  <w:snapToGrid w:val="0"/>
                  <w:sz w:val="20"/>
                  <w:szCs w:val="20"/>
                </w:rPr>
                <w:t>金融资产、理财产品、银行借款等。这些金融工具的主要目的在于为本集团的运营融资。本集团具有多种因经营而直接产生的其他金融资产和负债，如</w:t>
              </w:r>
              <w:r w:rsidRPr="0003585B">
                <w:rPr>
                  <w:rFonts w:cs="Arial" w:hint="eastAsia"/>
                  <w:snapToGrid w:val="0"/>
                  <w:sz w:val="20"/>
                  <w:szCs w:val="20"/>
                </w:rPr>
                <w:t>应收票据及应收账款</w:t>
              </w:r>
              <w:r w:rsidRPr="0003585B">
                <w:rPr>
                  <w:rFonts w:cs="Arial"/>
                  <w:snapToGrid w:val="0"/>
                  <w:sz w:val="20"/>
                  <w:szCs w:val="20"/>
                </w:rPr>
                <w:t>、应付账款、其他应收款和其他应付款等。</w:t>
              </w:r>
            </w:p>
            <w:p w:rsidR="00775FAA" w:rsidRPr="0003585B" w:rsidRDefault="00775FAA" w:rsidP="00B637B2">
              <w:pPr>
                <w:tabs>
                  <w:tab w:val="left" w:pos="2520"/>
                  <w:tab w:val="decimal" w:pos="5250"/>
                  <w:tab w:val="decimal" w:pos="6510"/>
                  <w:tab w:val="decimal" w:pos="7035"/>
                  <w:tab w:val="decimal" w:pos="8295"/>
                </w:tabs>
                <w:overflowPunct w:val="0"/>
                <w:autoSpaceDE w:val="0"/>
                <w:autoSpaceDN w:val="0"/>
                <w:adjustRightInd w:val="0"/>
                <w:snapToGrid w:val="0"/>
                <w:jc w:val="both"/>
                <w:rPr>
                  <w:rFonts w:cs="Arial"/>
                  <w:sz w:val="20"/>
                  <w:szCs w:val="20"/>
                </w:rPr>
              </w:pPr>
            </w:p>
            <w:p w:rsidR="00775FAA" w:rsidRPr="0003585B" w:rsidRDefault="00775FAA" w:rsidP="00B637B2">
              <w:pPr>
                <w:overflowPunct w:val="0"/>
                <w:autoSpaceDE w:val="0"/>
                <w:autoSpaceDN w:val="0"/>
                <w:ind w:left="28" w:hanging="14"/>
                <w:jc w:val="both"/>
                <w:rPr>
                  <w:rFonts w:cs="Arial"/>
                  <w:snapToGrid w:val="0"/>
                  <w:sz w:val="20"/>
                  <w:szCs w:val="20"/>
                </w:rPr>
              </w:pPr>
              <w:r w:rsidRPr="0003585B">
                <w:rPr>
                  <w:rFonts w:cs="Arial"/>
                  <w:snapToGrid w:val="0"/>
                  <w:sz w:val="20"/>
                  <w:szCs w:val="20"/>
                </w:rPr>
                <w:t>本集团的金融工具导致的主要风险是信用风险和流动性风险。本集团对此的风险管理政策概述如下。</w:t>
              </w:r>
            </w:p>
            <w:p w:rsidR="00775FAA" w:rsidRPr="0003585B" w:rsidRDefault="00775FAA" w:rsidP="00B637B2">
              <w:pPr>
                <w:overflowPunct w:val="0"/>
                <w:autoSpaceDE w:val="0"/>
                <w:autoSpaceDN w:val="0"/>
                <w:rPr>
                  <w:rFonts w:cs="Arial"/>
                  <w:sz w:val="20"/>
                  <w:szCs w:val="20"/>
                </w:rPr>
              </w:pPr>
            </w:p>
            <w:p w:rsidR="00775FAA" w:rsidRPr="00775FAA" w:rsidRDefault="00775FAA" w:rsidP="00B637B2">
              <w:pPr>
                <w:pStyle w:val="Style1"/>
                <w:outlineLvl w:val="9"/>
                <w:rPr>
                  <w:rFonts w:asciiTheme="minorEastAsia" w:eastAsiaTheme="minorEastAsia" w:hAnsiTheme="minorEastAsia"/>
                  <w:sz w:val="20"/>
                  <w:szCs w:val="20"/>
                </w:rPr>
              </w:pPr>
              <w:r w:rsidRPr="00775FAA">
                <w:rPr>
                  <w:rFonts w:asciiTheme="minorEastAsia" w:eastAsiaTheme="minorEastAsia" w:hAnsiTheme="minorEastAsia"/>
                  <w:sz w:val="20"/>
                  <w:szCs w:val="20"/>
                </w:rPr>
                <w:t>信用风险</w:t>
              </w:r>
            </w:p>
            <w:p w:rsidR="00775FAA" w:rsidRPr="00775FAA" w:rsidRDefault="00775FAA" w:rsidP="00B637B2">
              <w:pPr>
                <w:overflowPunct w:val="0"/>
                <w:autoSpaceDE w:val="0"/>
                <w:autoSpaceDN w:val="0"/>
                <w:ind w:left="720" w:hanging="720"/>
                <w:rPr>
                  <w:rFonts w:asciiTheme="minorEastAsia" w:eastAsiaTheme="minorEastAsia" w:hAnsiTheme="minorEastAsia" w:cs="Arial"/>
                  <w:sz w:val="20"/>
                  <w:szCs w:val="20"/>
                </w:rPr>
              </w:pPr>
            </w:p>
            <w:p w:rsidR="00775FAA" w:rsidRPr="00775FAA" w:rsidRDefault="00775FAA" w:rsidP="00B637B2">
              <w:pPr>
                <w:tabs>
                  <w:tab w:val="left" w:pos="2520"/>
                  <w:tab w:val="decimal" w:pos="5250"/>
                  <w:tab w:val="decimal" w:pos="6510"/>
                  <w:tab w:val="decimal" w:pos="7035"/>
                  <w:tab w:val="decimal" w:pos="8295"/>
                </w:tabs>
                <w:overflowPunct w:val="0"/>
                <w:autoSpaceDE w:val="0"/>
                <w:autoSpaceDN w:val="0"/>
                <w:adjustRightInd w:val="0"/>
                <w:snapToGrid w:val="0"/>
                <w:jc w:val="both"/>
                <w:rPr>
                  <w:rFonts w:asciiTheme="minorEastAsia" w:eastAsiaTheme="minorEastAsia" w:hAnsiTheme="minorEastAsia" w:cs="Arial"/>
                  <w:snapToGrid w:val="0"/>
                  <w:sz w:val="20"/>
                  <w:szCs w:val="20"/>
                </w:rPr>
              </w:pPr>
              <w:r w:rsidRPr="00775FAA">
                <w:rPr>
                  <w:rFonts w:asciiTheme="minorEastAsia" w:eastAsiaTheme="minorEastAsia" w:hAnsiTheme="minorEastAsia" w:cs="Arial"/>
                  <w:snapToGrid w:val="0"/>
                  <w:sz w:val="20"/>
                  <w:szCs w:val="20"/>
                </w:rPr>
                <w:t>本集团仅与经认可的、信誉良好的第三方进行交易。按照本集团的政策，需对所有要求采用信用方式进行交易的客户进行信用审核。另外，本集团对应收账款及其他应收款余额进行持续监控，以确保本集团不致面临重大坏账风险。对于未采用相关经营单位的记账本位币结算的交易，除非本集团信用控制部门特别批准，否则本集团不提供信用交易条件。</w:t>
              </w:r>
            </w:p>
            <w:p w:rsidR="00775FAA" w:rsidRPr="00775FAA" w:rsidRDefault="00775FAA" w:rsidP="00B637B2">
              <w:pPr>
                <w:tabs>
                  <w:tab w:val="left" w:pos="2520"/>
                  <w:tab w:val="decimal" w:pos="5250"/>
                  <w:tab w:val="decimal" w:pos="6510"/>
                  <w:tab w:val="decimal" w:pos="7035"/>
                  <w:tab w:val="decimal" w:pos="8295"/>
                </w:tabs>
                <w:overflowPunct w:val="0"/>
                <w:autoSpaceDE w:val="0"/>
                <w:autoSpaceDN w:val="0"/>
                <w:adjustRightInd w:val="0"/>
                <w:snapToGrid w:val="0"/>
                <w:jc w:val="both"/>
                <w:rPr>
                  <w:rFonts w:asciiTheme="minorEastAsia" w:eastAsiaTheme="minorEastAsia" w:hAnsiTheme="minorEastAsia" w:cs="Arial"/>
                  <w:snapToGrid w:val="0"/>
                  <w:sz w:val="20"/>
                  <w:szCs w:val="20"/>
                </w:rPr>
              </w:pPr>
            </w:p>
            <w:p w:rsidR="00775FAA" w:rsidRPr="00775FAA" w:rsidRDefault="00775FAA" w:rsidP="00B637B2">
              <w:pPr>
                <w:tabs>
                  <w:tab w:val="left" w:pos="2520"/>
                  <w:tab w:val="decimal" w:pos="5250"/>
                  <w:tab w:val="decimal" w:pos="6510"/>
                  <w:tab w:val="decimal" w:pos="7035"/>
                  <w:tab w:val="decimal" w:pos="8295"/>
                </w:tabs>
                <w:overflowPunct w:val="0"/>
                <w:autoSpaceDE w:val="0"/>
                <w:autoSpaceDN w:val="0"/>
                <w:adjustRightInd w:val="0"/>
                <w:snapToGrid w:val="0"/>
                <w:jc w:val="both"/>
                <w:rPr>
                  <w:rFonts w:asciiTheme="minorEastAsia" w:eastAsiaTheme="minorEastAsia" w:hAnsiTheme="minorEastAsia" w:cs="Arial"/>
                  <w:snapToGrid w:val="0"/>
                  <w:sz w:val="20"/>
                  <w:szCs w:val="20"/>
                </w:rPr>
              </w:pPr>
              <w:r w:rsidRPr="00775FAA">
                <w:rPr>
                  <w:rFonts w:asciiTheme="minorEastAsia" w:eastAsiaTheme="minorEastAsia" w:hAnsiTheme="minorEastAsia" w:cs="Arial"/>
                  <w:snapToGrid w:val="0"/>
                  <w:sz w:val="20"/>
                  <w:szCs w:val="20"/>
                </w:rPr>
                <w:t>本集团其他金融资产包括货币资金和</w:t>
              </w:r>
              <w:r w:rsidRPr="00775FAA">
                <w:rPr>
                  <w:rFonts w:asciiTheme="minorEastAsia" w:eastAsiaTheme="minorEastAsia" w:hAnsiTheme="minorEastAsia" w:cs="Arial" w:hint="eastAsia"/>
                  <w:snapToGrid w:val="0"/>
                  <w:sz w:val="20"/>
                  <w:szCs w:val="20"/>
                </w:rPr>
                <w:t>其他非流动</w:t>
              </w:r>
              <w:r w:rsidRPr="00775FAA">
                <w:rPr>
                  <w:rFonts w:asciiTheme="minorEastAsia" w:eastAsiaTheme="minorEastAsia" w:hAnsiTheme="minorEastAsia" w:cs="Arial"/>
                  <w:snapToGrid w:val="0"/>
                  <w:sz w:val="20"/>
                  <w:szCs w:val="20"/>
                </w:rPr>
                <w:t>金融资产等，这些金融资产的信用风险源自交易对手违约，最大风险敞口等于这些工具的账面金额。</w:t>
              </w:r>
            </w:p>
            <w:p w:rsidR="00775FAA" w:rsidRPr="00775FAA" w:rsidRDefault="00775FAA" w:rsidP="00B637B2">
              <w:pPr>
                <w:tabs>
                  <w:tab w:val="left" w:pos="2520"/>
                  <w:tab w:val="decimal" w:pos="5250"/>
                  <w:tab w:val="decimal" w:pos="6510"/>
                  <w:tab w:val="decimal" w:pos="7035"/>
                  <w:tab w:val="decimal" w:pos="8295"/>
                </w:tabs>
                <w:overflowPunct w:val="0"/>
                <w:autoSpaceDE w:val="0"/>
                <w:autoSpaceDN w:val="0"/>
                <w:adjustRightInd w:val="0"/>
                <w:snapToGrid w:val="0"/>
                <w:jc w:val="both"/>
                <w:rPr>
                  <w:rFonts w:asciiTheme="minorEastAsia" w:eastAsiaTheme="minorEastAsia" w:hAnsiTheme="minorEastAsia" w:cs="Arial"/>
                  <w:snapToGrid w:val="0"/>
                  <w:sz w:val="20"/>
                  <w:szCs w:val="20"/>
                </w:rPr>
              </w:pPr>
            </w:p>
            <w:p w:rsidR="00775FAA" w:rsidRPr="00775FAA" w:rsidRDefault="00775FAA" w:rsidP="00B637B2">
              <w:pPr>
                <w:tabs>
                  <w:tab w:val="left" w:pos="2520"/>
                  <w:tab w:val="decimal" w:pos="5250"/>
                  <w:tab w:val="decimal" w:pos="6510"/>
                  <w:tab w:val="decimal" w:pos="7035"/>
                  <w:tab w:val="decimal" w:pos="8295"/>
                </w:tabs>
                <w:overflowPunct w:val="0"/>
                <w:autoSpaceDE w:val="0"/>
                <w:autoSpaceDN w:val="0"/>
                <w:adjustRightInd w:val="0"/>
                <w:snapToGrid w:val="0"/>
                <w:jc w:val="both"/>
                <w:rPr>
                  <w:rFonts w:asciiTheme="minorEastAsia" w:eastAsiaTheme="minorEastAsia" w:hAnsiTheme="minorEastAsia" w:cs="Arial"/>
                  <w:snapToGrid w:val="0"/>
                  <w:sz w:val="20"/>
                  <w:szCs w:val="20"/>
                </w:rPr>
              </w:pPr>
              <w:r w:rsidRPr="00775FAA">
                <w:rPr>
                  <w:rFonts w:asciiTheme="minorEastAsia" w:eastAsiaTheme="minorEastAsia" w:hAnsiTheme="minorEastAsia" w:cs="Arial"/>
                  <w:snapToGrid w:val="0"/>
                  <w:sz w:val="20"/>
                  <w:szCs w:val="20"/>
                </w:rPr>
                <w:t>由于本集团仅与经认可的且信誉良好的第三方进行交易，所以无需担保物。由于本集团的应收账款客户群广泛地分散于不同的部门和行业中，因此在本集团内部不存在重大信用风险集中。本集团对应收账款余额未持有任何担保物或其他信用增级。</w:t>
              </w:r>
            </w:p>
            <w:p w:rsidR="00775FAA" w:rsidRPr="00775FAA" w:rsidRDefault="00775FAA" w:rsidP="00B637B2">
              <w:pPr>
                <w:tabs>
                  <w:tab w:val="left" w:pos="2520"/>
                  <w:tab w:val="decimal" w:pos="5250"/>
                  <w:tab w:val="decimal" w:pos="6510"/>
                  <w:tab w:val="decimal" w:pos="7035"/>
                  <w:tab w:val="decimal" w:pos="8295"/>
                </w:tabs>
                <w:overflowPunct w:val="0"/>
                <w:autoSpaceDE w:val="0"/>
                <w:autoSpaceDN w:val="0"/>
                <w:adjustRightInd w:val="0"/>
                <w:snapToGrid w:val="0"/>
                <w:jc w:val="both"/>
                <w:rPr>
                  <w:rFonts w:asciiTheme="minorEastAsia" w:eastAsiaTheme="minorEastAsia" w:hAnsiTheme="minorEastAsia" w:cs="Arial"/>
                  <w:snapToGrid w:val="0"/>
                  <w:sz w:val="20"/>
                  <w:szCs w:val="20"/>
                </w:rPr>
              </w:pPr>
            </w:p>
            <w:p w:rsidR="00775FAA" w:rsidRPr="00775FAA" w:rsidRDefault="00775FAA" w:rsidP="00B637B2">
              <w:pPr>
                <w:tabs>
                  <w:tab w:val="left" w:pos="2520"/>
                  <w:tab w:val="decimal" w:pos="5250"/>
                  <w:tab w:val="decimal" w:pos="6510"/>
                  <w:tab w:val="decimal" w:pos="7035"/>
                  <w:tab w:val="decimal" w:pos="8295"/>
                </w:tabs>
                <w:overflowPunct w:val="0"/>
                <w:autoSpaceDE w:val="0"/>
                <w:autoSpaceDN w:val="0"/>
                <w:adjustRightInd w:val="0"/>
                <w:snapToGrid w:val="0"/>
                <w:jc w:val="both"/>
                <w:rPr>
                  <w:rFonts w:asciiTheme="minorEastAsia" w:eastAsiaTheme="minorEastAsia" w:hAnsiTheme="minorEastAsia" w:cs="Arial"/>
                  <w:snapToGrid w:val="0"/>
                  <w:sz w:val="20"/>
                  <w:szCs w:val="20"/>
                </w:rPr>
              </w:pPr>
              <w:r w:rsidRPr="00775FAA">
                <w:rPr>
                  <w:rFonts w:asciiTheme="minorEastAsia" w:eastAsiaTheme="minorEastAsia" w:hAnsiTheme="minorEastAsia" w:cs="Arial"/>
                  <w:snapToGrid w:val="0"/>
                  <w:sz w:val="20"/>
                  <w:szCs w:val="20"/>
                </w:rPr>
                <w:t>于2019年6月30日，本集团金融资产中无尚未逾期但已发生减值的金额，不存在已逾期已减值但未计提减值准备的重大金融资产。本集团未逾期未减值及已逾期未减值的金融资产主要为账龄为1年以内的应收账款及其他应收款。于2019年6月30日，尚未逾期和发生减值的应收账款与大量的近期无违约记录的分散化的客户有关。</w:t>
              </w:r>
            </w:p>
            <w:p w:rsidR="00775FAA" w:rsidRPr="00775FAA" w:rsidRDefault="00775FAA" w:rsidP="00B637B2">
              <w:pPr>
                <w:overflowPunct w:val="0"/>
                <w:autoSpaceDE w:val="0"/>
                <w:autoSpaceDN w:val="0"/>
                <w:adjustRightInd w:val="0"/>
                <w:snapToGrid w:val="0"/>
                <w:ind w:left="720" w:hanging="720"/>
                <w:jc w:val="both"/>
                <w:textAlignment w:val="bottom"/>
                <w:rPr>
                  <w:rFonts w:asciiTheme="minorEastAsia" w:eastAsiaTheme="minorEastAsia" w:hAnsiTheme="minorEastAsia" w:cs="Arial"/>
                  <w:snapToGrid w:val="0"/>
                  <w:sz w:val="20"/>
                  <w:szCs w:val="20"/>
                </w:rPr>
              </w:pPr>
            </w:p>
            <w:p w:rsidR="00775FAA" w:rsidRPr="00775FAA" w:rsidRDefault="00775FAA" w:rsidP="00B637B2">
              <w:pPr>
                <w:pStyle w:val="Style1"/>
                <w:outlineLvl w:val="9"/>
                <w:rPr>
                  <w:rFonts w:asciiTheme="minorEastAsia" w:eastAsiaTheme="minorEastAsia" w:hAnsiTheme="minorEastAsia"/>
                  <w:sz w:val="20"/>
                  <w:szCs w:val="20"/>
                </w:rPr>
              </w:pPr>
              <w:r w:rsidRPr="00775FAA">
                <w:rPr>
                  <w:rFonts w:asciiTheme="minorEastAsia" w:eastAsiaTheme="minorEastAsia" w:hAnsiTheme="minorEastAsia"/>
                  <w:sz w:val="20"/>
                  <w:szCs w:val="20"/>
                </w:rPr>
                <w:t>流动性风险</w:t>
              </w:r>
            </w:p>
            <w:p w:rsidR="00775FAA" w:rsidRPr="00775FAA" w:rsidRDefault="00775FAA" w:rsidP="00B637B2">
              <w:pPr>
                <w:overflowPunct w:val="0"/>
                <w:autoSpaceDE w:val="0"/>
                <w:autoSpaceDN w:val="0"/>
                <w:adjustRightInd w:val="0"/>
                <w:snapToGrid w:val="0"/>
                <w:ind w:left="720" w:hanging="720"/>
                <w:jc w:val="both"/>
                <w:textAlignment w:val="bottom"/>
                <w:rPr>
                  <w:rFonts w:asciiTheme="minorEastAsia" w:eastAsiaTheme="minorEastAsia" w:hAnsiTheme="minorEastAsia" w:cs="Arial"/>
                  <w:snapToGrid w:val="0"/>
                  <w:sz w:val="20"/>
                  <w:szCs w:val="20"/>
                </w:rPr>
              </w:pPr>
            </w:p>
            <w:p w:rsidR="00775FAA" w:rsidRPr="00775FAA" w:rsidRDefault="00775FAA" w:rsidP="00B637B2">
              <w:pPr>
                <w:overflowPunct w:val="0"/>
                <w:autoSpaceDE w:val="0"/>
                <w:autoSpaceDN w:val="0"/>
                <w:adjustRightInd w:val="0"/>
                <w:snapToGrid w:val="0"/>
                <w:jc w:val="both"/>
                <w:textAlignment w:val="bottom"/>
                <w:rPr>
                  <w:rFonts w:asciiTheme="minorEastAsia" w:eastAsiaTheme="minorEastAsia" w:hAnsiTheme="minorEastAsia" w:cs="Arial"/>
                  <w:snapToGrid w:val="0"/>
                  <w:sz w:val="20"/>
                  <w:szCs w:val="20"/>
                </w:rPr>
              </w:pPr>
              <w:r w:rsidRPr="00775FAA">
                <w:rPr>
                  <w:rFonts w:asciiTheme="minorEastAsia" w:eastAsiaTheme="minorEastAsia" w:hAnsiTheme="minorEastAsia" w:cs="Arial"/>
                  <w:snapToGrid w:val="0"/>
                  <w:sz w:val="20"/>
                  <w:szCs w:val="20"/>
                </w:rPr>
                <w:t>本集团采用循环流动性计划工具管理资金短缺风险。该工具既考虑其金融工具的到期日，也考虑本集团运营产生的预计现金流量。</w:t>
              </w:r>
            </w:p>
            <w:p w:rsidR="00775FAA" w:rsidRPr="00775FAA" w:rsidRDefault="00775FAA" w:rsidP="00B637B2">
              <w:pPr>
                <w:overflowPunct w:val="0"/>
                <w:autoSpaceDE w:val="0"/>
                <w:autoSpaceDN w:val="0"/>
                <w:adjustRightInd w:val="0"/>
                <w:snapToGrid w:val="0"/>
                <w:ind w:left="14" w:hanging="14"/>
                <w:jc w:val="both"/>
                <w:textAlignment w:val="bottom"/>
                <w:rPr>
                  <w:rFonts w:asciiTheme="minorEastAsia" w:eastAsiaTheme="minorEastAsia" w:hAnsiTheme="minorEastAsia" w:cs="Arial"/>
                  <w:snapToGrid w:val="0"/>
                  <w:sz w:val="20"/>
                  <w:szCs w:val="20"/>
                </w:rPr>
              </w:pPr>
            </w:p>
            <w:p w:rsidR="00775FAA" w:rsidRPr="00775FAA" w:rsidRDefault="00775FAA" w:rsidP="00B637B2">
              <w:pPr>
                <w:overflowPunct w:val="0"/>
                <w:autoSpaceDE w:val="0"/>
                <w:autoSpaceDN w:val="0"/>
                <w:adjustRightInd w:val="0"/>
                <w:snapToGrid w:val="0"/>
                <w:jc w:val="both"/>
                <w:textAlignment w:val="bottom"/>
                <w:rPr>
                  <w:rFonts w:asciiTheme="minorEastAsia" w:eastAsiaTheme="minorEastAsia" w:hAnsiTheme="minorEastAsia" w:cs="Arial"/>
                  <w:snapToGrid w:val="0"/>
                  <w:sz w:val="20"/>
                  <w:szCs w:val="20"/>
                </w:rPr>
              </w:pPr>
              <w:r w:rsidRPr="00775FAA">
                <w:rPr>
                  <w:rFonts w:asciiTheme="minorEastAsia" w:eastAsiaTheme="minorEastAsia" w:hAnsiTheme="minorEastAsia" w:cs="Arial"/>
                  <w:snapToGrid w:val="0"/>
                  <w:sz w:val="20"/>
                  <w:szCs w:val="20"/>
                </w:rPr>
                <w:t>本集团的目标是运用银行借款、应付债券、增发股本等多种融资手段以保持融资的持续性与灵活性的平衡。</w:t>
              </w:r>
            </w:p>
            <w:p w:rsidR="00775FAA" w:rsidRPr="00775FAA" w:rsidRDefault="00775FAA" w:rsidP="00B637B2">
              <w:pPr>
                <w:overflowPunct w:val="0"/>
                <w:autoSpaceDE w:val="0"/>
                <w:autoSpaceDN w:val="0"/>
                <w:adjustRightInd w:val="0"/>
                <w:snapToGrid w:val="0"/>
                <w:ind w:left="14" w:hanging="14"/>
                <w:jc w:val="both"/>
                <w:textAlignment w:val="bottom"/>
                <w:rPr>
                  <w:rFonts w:asciiTheme="minorEastAsia" w:eastAsiaTheme="minorEastAsia" w:hAnsiTheme="minorEastAsia" w:cs="Arial"/>
                  <w:snapToGrid w:val="0"/>
                  <w:sz w:val="20"/>
                  <w:szCs w:val="20"/>
                </w:rPr>
              </w:pPr>
            </w:p>
            <w:p w:rsidR="00775FAA" w:rsidRPr="00775FAA" w:rsidRDefault="00775FAA" w:rsidP="00B637B2">
              <w:pPr>
                <w:overflowPunct w:val="0"/>
                <w:autoSpaceDE w:val="0"/>
                <w:autoSpaceDN w:val="0"/>
                <w:adjustRightInd w:val="0"/>
                <w:snapToGrid w:val="0"/>
                <w:jc w:val="both"/>
                <w:textAlignment w:val="bottom"/>
                <w:rPr>
                  <w:rFonts w:asciiTheme="minorEastAsia" w:eastAsiaTheme="minorEastAsia" w:hAnsiTheme="minorEastAsia" w:cs="Arial"/>
                  <w:sz w:val="20"/>
                  <w:szCs w:val="20"/>
                </w:rPr>
              </w:pPr>
              <w:r w:rsidRPr="00775FAA">
                <w:rPr>
                  <w:rFonts w:asciiTheme="minorEastAsia" w:eastAsiaTheme="minorEastAsia" w:hAnsiTheme="minorEastAsia" w:cs="Arial"/>
                  <w:snapToGrid w:val="0"/>
                  <w:sz w:val="20"/>
                  <w:szCs w:val="20"/>
                </w:rPr>
                <w:t>下表概括了金融负债按未折现的合同现金流量所作的到期期限分析</w:t>
              </w:r>
              <w:r w:rsidRPr="00775FAA">
                <w:rPr>
                  <w:rFonts w:asciiTheme="minorEastAsia" w:eastAsiaTheme="minorEastAsia" w:hAnsiTheme="minorEastAsia" w:cs="Arial"/>
                  <w:sz w:val="20"/>
                  <w:szCs w:val="20"/>
                </w:rPr>
                <w:t>：</w:t>
              </w:r>
            </w:p>
            <w:p w:rsidR="00775FAA" w:rsidRPr="00775FAA" w:rsidRDefault="00775FAA" w:rsidP="00B637B2">
              <w:pPr>
                <w:overflowPunct w:val="0"/>
                <w:autoSpaceDE w:val="0"/>
                <w:autoSpaceDN w:val="0"/>
                <w:adjustRightInd w:val="0"/>
                <w:snapToGrid w:val="0"/>
                <w:ind w:left="720" w:hanging="720"/>
                <w:jc w:val="both"/>
                <w:textAlignment w:val="bottom"/>
                <w:rPr>
                  <w:rFonts w:asciiTheme="minorEastAsia" w:eastAsiaTheme="minorEastAsia" w:hAnsiTheme="minorEastAsia" w:cs="Arial"/>
                  <w:snapToGrid w:val="0"/>
                  <w:sz w:val="20"/>
                  <w:szCs w:val="20"/>
                </w:rPr>
              </w:pPr>
            </w:p>
            <w:p w:rsidR="00775FAA" w:rsidRPr="00775FAA" w:rsidRDefault="00775FAA" w:rsidP="00B637B2">
              <w:pPr>
                <w:overflowPunct w:val="0"/>
                <w:autoSpaceDE w:val="0"/>
                <w:autoSpaceDN w:val="0"/>
                <w:adjustRightInd w:val="0"/>
                <w:snapToGrid w:val="0"/>
                <w:ind w:left="720" w:hanging="720"/>
                <w:textAlignment w:val="bottom"/>
                <w:rPr>
                  <w:rFonts w:asciiTheme="minorEastAsia" w:eastAsiaTheme="minorEastAsia" w:hAnsiTheme="minorEastAsia" w:cs="Arial"/>
                  <w:snapToGrid w:val="0"/>
                  <w:sz w:val="20"/>
                  <w:szCs w:val="20"/>
                </w:rPr>
              </w:pPr>
              <w:r w:rsidRPr="00775FAA">
                <w:rPr>
                  <w:rFonts w:asciiTheme="minorEastAsia" w:eastAsiaTheme="minorEastAsia" w:hAnsiTheme="minorEastAsia" w:cs="Arial"/>
                  <w:sz w:val="20"/>
                  <w:szCs w:val="20"/>
                </w:rPr>
                <w:t>2019年</w:t>
              </w:r>
              <w:r w:rsidRPr="00775FAA">
                <w:rPr>
                  <w:rFonts w:asciiTheme="minorEastAsia" w:eastAsiaTheme="minorEastAsia" w:hAnsiTheme="minorEastAsia" w:cs="Arial"/>
                  <w:snapToGrid w:val="0"/>
                  <w:sz w:val="20"/>
                  <w:szCs w:val="20"/>
                </w:rPr>
                <w:t>6</w:t>
              </w:r>
              <w:r w:rsidRPr="00775FAA">
                <w:rPr>
                  <w:rFonts w:asciiTheme="minorEastAsia" w:eastAsiaTheme="minorEastAsia" w:hAnsiTheme="minorEastAsia" w:cs="Arial" w:hint="eastAsia"/>
                  <w:snapToGrid w:val="0"/>
                  <w:sz w:val="20"/>
                  <w:szCs w:val="20"/>
                </w:rPr>
                <w:t>月3</w:t>
              </w:r>
              <w:r w:rsidRPr="00775FAA">
                <w:rPr>
                  <w:rFonts w:asciiTheme="minorEastAsia" w:eastAsiaTheme="minorEastAsia" w:hAnsiTheme="minorEastAsia" w:cs="Arial"/>
                  <w:snapToGrid w:val="0"/>
                  <w:sz w:val="20"/>
                  <w:szCs w:val="20"/>
                </w:rPr>
                <w:t>0</w:t>
              </w:r>
              <w:r w:rsidRPr="00775FAA">
                <w:rPr>
                  <w:rFonts w:asciiTheme="minorEastAsia" w:eastAsiaTheme="minorEastAsia" w:hAnsiTheme="minorEastAsia" w:cs="Arial" w:hint="eastAsia"/>
                  <w:snapToGrid w:val="0"/>
                  <w:sz w:val="20"/>
                  <w:szCs w:val="20"/>
                </w:rPr>
                <w:t>日</w:t>
              </w:r>
            </w:p>
            <w:p w:rsidR="00775FAA" w:rsidRPr="00775FAA" w:rsidRDefault="00775FAA" w:rsidP="00B637B2">
              <w:pPr>
                <w:overflowPunct w:val="0"/>
                <w:autoSpaceDE w:val="0"/>
                <w:autoSpaceDN w:val="0"/>
                <w:adjustRightInd w:val="0"/>
                <w:snapToGrid w:val="0"/>
                <w:textAlignment w:val="bottom"/>
                <w:rPr>
                  <w:rFonts w:asciiTheme="minorEastAsia" w:eastAsiaTheme="minorEastAsia" w:hAnsiTheme="minorEastAsia" w:cs="Arial"/>
                  <w:snapToGrid w:val="0"/>
                  <w:sz w:val="20"/>
                  <w:szCs w:val="20"/>
                </w:rPr>
              </w:pPr>
            </w:p>
            <w:tbl>
              <w:tblPr>
                <w:tblStyle w:val="g35"/>
                <w:tblW w:w="8480" w:type="dxa"/>
                <w:tblInd w:w="14" w:type="dxa"/>
                <w:tblLayout w:type="fixed"/>
                <w:tblCellMar>
                  <w:left w:w="0" w:type="dxa"/>
                  <w:right w:w="0" w:type="dxa"/>
                </w:tblCellMar>
                <w:tblLook w:val="04A0" w:firstRow="1" w:lastRow="0" w:firstColumn="1" w:lastColumn="0" w:noHBand="0" w:noVBand="1"/>
                <w:tblCaption w:val="金融资产的风险_流动性风险CY"/>
              </w:tblPr>
              <w:tblGrid>
                <w:gridCol w:w="1262"/>
                <w:gridCol w:w="35"/>
                <w:gridCol w:w="1241"/>
                <w:gridCol w:w="95"/>
                <w:gridCol w:w="1039"/>
                <w:gridCol w:w="94"/>
                <w:gridCol w:w="1182"/>
                <w:gridCol w:w="94"/>
                <w:gridCol w:w="1159"/>
                <w:gridCol w:w="22"/>
                <w:gridCol w:w="825"/>
                <w:gridCol w:w="94"/>
                <w:gridCol w:w="1208"/>
                <w:gridCol w:w="130"/>
              </w:tblGrid>
              <w:tr w:rsidR="00775FAA" w:rsidRPr="00775FAA" w:rsidTr="00182B92">
                <w:tc>
                  <w:tcPr>
                    <w:tcW w:w="1262" w:type="dxa"/>
                    <w:shd w:val="clear" w:color="auto" w:fill="auto"/>
                    <w:noWrap/>
                    <w:vAlign w:val="bottom"/>
                    <w:hideMark/>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35" w:type="dxa"/>
                    <w:shd w:val="clear" w:color="auto" w:fill="auto"/>
                    <w:noWrap/>
                    <w:vAlign w:val="bottom"/>
                    <w:hideMark/>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r w:rsidRPr="00775FAA">
                      <w:rPr>
                        <w:rFonts w:asciiTheme="minorEastAsia" w:eastAsiaTheme="minorEastAsia" w:hAnsiTheme="minorEastAsia" w:cs="Arial"/>
                        <w:color w:val="000000"/>
                        <w:sz w:val="18"/>
                        <w:szCs w:val="18"/>
                      </w:rPr>
                      <w:t xml:space="preserve"> </w:t>
                    </w:r>
                  </w:p>
                </w:tc>
                <w:tc>
                  <w:tcPr>
                    <w:tcW w:w="1241" w:type="dxa"/>
                    <w:shd w:val="clear" w:color="auto" w:fill="auto"/>
                    <w:noWrap/>
                    <w:vAlign w:val="bottom"/>
                    <w:hideMark/>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r w:rsidRPr="00775FAA">
                      <w:rPr>
                        <w:rFonts w:asciiTheme="minorEastAsia" w:eastAsiaTheme="minorEastAsia" w:hAnsiTheme="minorEastAsia" w:cs="Arial"/>
                        <w:color w:val="000000"/>
                        <w:sz w:val="18"/>
                        <w:szCs w:val="18"/>
                      </w:rPr>
                      <w:t>1个月</w:t>
                    </w:r>
                  </w:p>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r w:rsidRPr="00775FAA">
                      <w:rPr>
                        <w:rFonts w:asciiTheme="minorEastAsia" w:eastAsiaTheme="minorEastAsia" w:hAnsiTheme="minorEastAsia" w:cs="Arial"/>
                        <w:color w:val="000000"/>
                        <w:sz w:val="18"/>
                        <w:szCs w:val="18"/>
                      </w:rPr>
                      <w:t>以内</w:t>
                    </w:r>
                  </w:p>
                </w:tc>
                <w:tc>
                  <w:tcPr>
                    <w:tcW w:w="95" w:type="dxa"/>
                    <w:shd w:val="clear" w:color="auto" w:fill="auto"/>
                    <w:noWrap/>
                    <w:vAlign w:val="bottom"/>
                    <w:hideMark/>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r w:rsidRPr="00775FAA">
                      <w:rPr>
                        <w:rFonts w:asciiTheme="minorEastAsia" w:eastAsiaTheme="minorEastAsia" w:hAnsiTheme="minorEastAsia" w:cs="Arial"/>
                        <w:color w:val="000000"/>
                        <w:sz w:val="18"/>
                        <w:szCs w:val="18"/>
                      </w:rPr>
                      <w:t xml:space="preserve"> </w:t>
                    </w:r>
                  </w:p>
                </w:tc>
                <w:tc>
                  <w:tcPr>
                    <w:tcW w:w="1039" w:type="dxa"/>
                    <w:shd w:val="clear" w:color="auto" w:fill="auto"/>
                    <w:noWrap/>
                    <w:vAlign w:val="bottom"/>
                    <w:hideMark/>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r w:rsidRPr="00775FAA">
                      <w:rPr>
                        <w:rFonts w:asciiTheme="minorEastAsia" w:eastAsiaTheme="minorEastAsia" w:hAnsiTheme="minorEastAsia" w:cs="Arial"/>
                        <w:color w:val="000000"/>
                        <w:sz w:val="18"/>
                        <w:szCs w:val="18"/>
                      </w:rPr>
                      <w:t>1至</w:t>
                    </w:r>
                  </w:p>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r w:rsidRPr="00775FAA">
                      <w:rPr>
                        <w:rFonts w:asciiTheme="minorEastAsia" w:eastAsiaTheme="minorEastAsia" w:hAnsiTheme="minorEastAsia" w:cs="Arial"/>
                        <w:color w:val="000000"/>
                        <w:sz w:val="18"/>
                        <w:szCs w:val="18"/>
                      </w:rPr>
                      <w:t>3个月</w:t>
                    </w:r>
                  </w:p>
                </w:tc>
                <w:tc>
                  <w:tcPr>
                    <w:tcW w:w="94" w:type="dxa"/>
                    <w:shd w:val="clear" w:color="auto" w:fill="auto"/>
                    <w:noWrap/>
                    <w:vAlign w:val="bottom"/>
                    <w:hideMark/>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r w:rsidRPr="00775FAA">
                      <w:rPr>
                        <w:rFonts w:asciiTheme="minorEastAsia" w:eastAsiaTheme="minorEastAsia" w:hAnsiTheme="minorEastAsia" w:cs="Arial"/>
                        <w:color w:val="000000"/>
                        <w:sz w:val="18"/>
                        <w:szCs w:val="18"/>
                      </w:rPr>
                      <w:t xml:space="preserve"> </w:t>
                    </w:r>
                  </w:p>
                </w:tc>
                <w:tc>
                  <w:tcPr>
                    <w:tcW w:w="1182" w:type="dxa"/>
                    <w:shd w:val="clear" w:color="auto" w:fill="auto"/>
                    <w:noWrap/>
                    <w:vAlign w:val="bottom"/>
                    <w:hideMark/>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r w:rsidRPr="00775FAA">
                      <w:rPr>
                        <w:rFonts w:asciiTheme="minorEastAsia" w:eastAsiaTheme="minorEastAsia" w:hAnsiTheme="minorEastAsia" w:cs="Arial"/>
                        <w:color w:val="000000"/>
                        <w:sz w:val="18"/>
                        <w:szCs w:val="18"/>
                      </w:rPr>
                      <w:t>3个月</w:t>
                    </w:r>
                  </w:p>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r w:rsidRPr="00775FAA">
                      <w:rPr>
                        <w:rFonts w:asciiTheme="minorEastAsia" w:eastAsiaTheme="minorEastAsia" w:hAnsiTheme="minorEastAsia" w:cs="Arial"/>
                        <w:color w:val="000000"/>
                        <w:sz w:val="18"/>
                        <w:szCs w:val="18"/>
                      </w:rPr>
                      <w:t>至1年</w:t>
                    </w:r>
                  </w:p>
                </w:tc>
                <w:tc>
                  <w:tcPr>
                    <w:tcW w:w="94" w:type="dxa"/>
                    <w:shd w:val="clear" w:color="auto" w:fill="auto"/>
                    <w:noWrap/>
                    <w:vAlign w:val="bottom"/>
                    <w:hideMark/>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r w:rsidRPr="00775FAA">
                      <w:rPr>
                        <w:rFonts w:asciiTheme="minorEastAsia" w:eastAsiaTheme="minorEastAsia" w:hAnsiTheme="minorEastAsia" w:cs="Arial"/>
                        <w:color w:val="000000"/>
                        <w:sz w:val="18"/>
                        <w:szCs w:val="18"/>
                      </w:rPr>
                      <w:t xml:space="preserve"> </w:t>
                    </w:r>
                  </w:p>
                </w:tc>
                <w:tc>
                  <w:tcPr>
                    <w:tcW w:w="1159" w:type="dxa"/>
                    <w:shd w:val="clear" w:color="auto" w:fill="auto"/>
                    <w:noWrap/>
                    <w:vAlign w:val="bottom"/>
                    <w:hideMark/>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r w:rsidRPr="00775FAA">
                      <w:rPr>
                        <w:rFonts w:asciiTheme="minorEastAsia" w:eastAsiaTheme="minorEastAsia" w:hAnsiTheme="minorEastAsia" w:cs="Arial"/>
                        <w:color w:val="000000"/>
                        <w:sz w:val="18"/>
                        <w:szCs w:val="18"/>
                      </w:rPr>
                      <w:t>1年</w:t>
                    </w:r>
                  </w:p>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r w:rsidRPr="00775FAA">
                      <w:rPr>
                        <w:rFonts w:asciiTheme="minorEastAsia" w:eastAsiaTheme="minorEastAsia" w:hAnsiTheme="minorEastAsia" w:cs="Arial"/>
                        <w:color w:val="000000"/>
                        <w:sz w:val="18"/>
                        <w:szCs w:val="18"/>
                      </w:rPr>
                      <w:t>至5年</w:t>
                    </w:r>
                  </w:p>
                </w:tc>
                <w:tc>
                  <w:tcPr>
                    <w:tcW w:w="22" w:type="dxa"/>
                    <w:shd w:val="clear" w:color="auto" w:fill="auto"/>
                    <w:noWrap/>
                    <w:vAlign w:val="bottom"/>
                    <w:hideMark/>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r w:rsidRPr="00775FAA">
                      <w:rPr>
                        <w:rFonts w:asciiTheme="minorEastAsia" w:eastAsiaTheme="minorEastAsia" w:hAnsiTheme="minorEastAsia" w:cs="Arial"/>
                        <w:color w:val="000000"/>
                        <w:sz w:val="18"/>
                        <w:szCs w:val="18"/>
                      </w:rPr>
                      <w:t xml:space="preserve"> </w:t>
                    </w:r>
                  </w:p>
                </w:tc>
                <w:tc>
                  <w:tcPr>
                    <w:tcW w:w="825" w:type="dxa"/>
                    <w:shd w:val="clear" w:color="auto" w:fill="auto"/>
                    <w:noWrap/>
                    <w:vAlign w:val="bottom"/>
                    <w:hideMark/>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r w:rsidRPr="00775FAA">
                      <w:rPr>
                        <w:rFonts w:asciiTheme="minorEastAsia" w:eastAsiaTheme="minorEastAsia" w:hAnsiTheme="minorEastAsia" w:cs="Arial"/>
                        <w:color w:val="000000"/>
                        <w:sz w:val="18"/>
                        <w:szCs w:val="18"/>
                      </w:rPr>
                      <w:t>5年</w:t>
                    </w:r>
                  </w:p>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r w:rsidRPr="00775FAA">
                      <w:rPr>
                        <w:rFonts w:asciiTheme="minorEastAsia" w:eastAsiaTheme="minorEastAsia" w:hAnsiTheme="minorEastAsia" w:cs="Arial"/>
                        <w:color w:val="000000"/>
                        <w:sz w:val="18"/>
                        <w:szCs w:val="18"/>
                      </w:rPr>
                      <w:t>以上</w:t>
                    </w:r>
                  </w:p>
                </w:tc>
                <w:tc>
                  <w:tcPr>
                    <w:tcW w:w="94" w:type="dxa"/>
                    <w:shd w:val="clear" w:color="auto" w:fill="auto"/>
                    <w:noWrap/>
                    <w:vAlign w:val="bottom"/>
                    <w:hideMark/>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r w:rsidRPr="00775FAA">
                      <w:rPr>
                        <w:rFonts w:asciiTheme="minorEastAsia" w:eastAsiaTheme="minorEastAsia" w:hAnsiTheme="minorEastAsia" w:cs="Arial"/>
                        <w:color w:val="000000"/>
                        <w:sz w:val="18"/>
                        <w:szCs w:val="18"/>
                      </w:rPr>
                      <w:t xml:space="preserve"> </w:t>
                    </w:r>
                  </w:p>
                </w:tc>
                <w:tc>
                  <w:tcPr>
                    <w:tcW w:w="1208" w:type="dxa"/>
                    <w:shd w:val="clear" w:color="auto" w:fill="auto"/>
                    <w:noWrap/>
                    <w:vAlign w:val="bottom"/>
                    <w:hideMark/>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r w:rsidRPr="00775FAA">
                      <w:rPr>
                        <w:rFonts w:asciiTheme="minorEastAsia" w:eastAsiaTheme="minorEastAsia" w:hAnsiTheme="minorEastAsia" w:cs="Arial"/>
                        <w:color w:val="000000"/>
                        <w:sz w:val="18"/>
                        <w:szCs w:val="18"/>
                      </w:rPr>
                      <w:t xml:space="preserve"> 合计 </w:t>
                    </w:r>
                  </w:p>
                </w:tc>
                <w:tc>
                  <w:tcPr>
                    <w:tcW w:w="130" w:type="dxa"/>
                    <w:shd w:val="clear" w:color="auto" w:fill="auto"/>
                    <w:noWrap/>
                    <w:vAlign w:val="bottom"/>
                    <w:hideMark/>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strike/>
                        <w:color w:val="000000"/>
                        <w:sz w:val="18"/>
                        <w:szCs w:val="18"/>
                      </w:rPr>
                    </w:pPr>
                  </w:p>
                </w:tc>
              </w:tr>
              <w:tr w:rsidR="00775FAA" w:rsidRPr="00775FAA" w:rsidTr="00182B92">
                <w:tc>
                  <w:tcPr>
                    <w:tcW w:w="1262" w:type="dxa"/>
                    <w:shd w:val="clear" w:color="auto" w:fill="auto"/>
                    <w:noWrap/>
                    <w:vAlign w:val="bottom"/>
                    <w:hideMark/>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sz w:val="18"/>
                        <w:szCs w:val="18"/>
                      </w:rPr>
                    </w:pPr>
                    <w:r w:rsidRPr="00775FAA">
                      <w:rPr>
                        <w:rFonts w:asciiTheme="minorEastAsia" w:eastAsiaTheme="minorEastAsia" w:hAnsiTheme="minorEastAsia" w:cs="Arial"/>
                        <w:color w:val="000000"/>
                        <w:sz w:val="18"/>
                        <w:szCs w:val="18"/>
                      </w:rPr>
                      <w:t xml:space="preserve"> </w:t>
                    </w:r>
                  </w:p>
                </w:tc>
                <w:tc>
                  <w:tcPr>
                    <w:tcW w:w="35" w:type="dxa"/>
                    <w:shd w:val="clear" w:color="auto" w:fill="auto"/>
                    <w:noWrap/>
                    <w:vAlign w:val="bottom"/>
                    <w:hideMark/>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sz w:val="18"/>
                        <w:szCs w:val="18"/>
                      </w:rPr>
                    </w:pPr>
                    <w:r w:rsidRPr="00775FAA">
                      <w:rPr>
                        <w:rFonts w:asciiTheme="minorEastAsia" w:eastAsiaTheme="minorEastAsia" w:hAnsiTheme="minorEastAsia" w:cs="Arial"/>
                        <w:color w:val="000000"/>
                        <w:sz w:val="18"/>
                        <w:szCs w:val="18"/>
                      </w:rPr>
                      <w:t xml:space="preserve"> </w:t>
                    </w:r>
                  </w:p>
                </w:tc>
                <w:tc>
                  <w:tcPr>
                    <w:tcW w:w="1241" w:type="dxa"/>
                    <w:shd w:val="clear" w:color="auto" w:fill="auto"/>
                    <w:noWrap/>
                    <w:vAlign w:val="bottom"/>
                    <w:hideMark/>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sz w:val="18"/>
                        <w:szCs w:val="18"/>
                      </w:rPr>
                    </w:pPr>
                    <w:r w:rsidRPr="00775FAA">
                      <w:rPr>
                        <w:rFonts w:asciiTheme="minorEastAsia" w:eastAsiaTheme="minorEastAsia" w:hAnsiTheme="minorEastAsia" w:cs="Arial"/>
                        <w:color w:val="000000"/>
                        <w:sz w:val="18"/>
                        <w:szCs w:val="18"/>
                      </w:rPr>
                      <w:t xml:space="preserve"> </w:t>
                    </w:r>
                  </w:p>
                </w:tc>
                <w:tc>
                  <w:tcPr>
                    <w:tcW w:w="95" w:type="dxa"/>
                    <w:shd w:val="clear" w:color="auto" w:fill="auto"/>
                    <w:noWrap/>
                    <w:vAlign w:val="bottom"/>
                    <w:hideMark/>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sz w:val="18"/>
                        <w:szCs w:val="18"/>
                      </w:rPr>
                    </w:pPr>
                    <w:r w:rsidRPr="00775FAA">
                      <w:rPr>
                        <w:rFonts w:asciiTheme="minorEastAsia" w:eastAsiaTheme="minorEastAsia" w:hAnsiTheme="minorEastAsia" w:cs="Arial"/>
                        <w:color w:val="000000"/>
                        <w:sz w:val="18"/>
                        <w:szCs w:val="18"/>
                      </w:rPr>
                      <w:t xml:space="preserve"> </w:t>
                    </w:r>
                  </w:p>
                </w:tc>
                <w:tc>
                  <w:tcPr>
                    <w:tcW w:w="1039" w:type="dxa"/>
                    <w:shd w:val="clear" w:color="auto" w:fill="auto"/>
                    <w:noWrap/>
                    <w:vAlign w:val="bottom"/>
                    <w:hideMark/>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sz w:val="18"/>
                        <w:szCs w:val="18"/>
                      </w:rPr>
                    </w:pPr>
                    <w:r w:rsidRPr="00775FAA">
                      <w:rPr>
                        <w:rFonts w:asciiTheme="minorEastAsia" w:eastAsiaTheme="minorEastAsia" w:hAnsiTheme="minorEastAsia" w:cs="Arial"/>
                        <w:color w:val="000000"/>
                        <w:sz w:val="18"/>
                        <w:szCs w:val="18"/>
                      </w:rPr>
                      <w:t xml:space="preserve"> </w:t>
                    </w:r>
                  </w:p>
                </w:tc>
                <w:tc>
                  <w:tcPr>
                    <w:tcW w:w="94" w:type="dxa"/>
                    <w:shd w:val="clear" w:color="auto" w:fill="auto"/>
                    <w:noWrap/>
                    <w:vAlign w:val="bottom"/>
                    <w:hideMark/>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sz w:val="18"/>
                        <w:szCs w:val="18"/>
                      </w:rPr>
                    </w:pPr>
                    <w:r w:rsidRPr="00775FAA">
                      <w:rPr>
                        <w:rFonts w:asciiTheme="minorEastAsia" w:eastAsiaTheme="minorEastAsia" w:hAnsiTheme="minorEastAsia" w:cs="Arial"/>
                        <w:color w:val="000000"/>
                        <w:sz w:val="18"/>
                        <w:szCs w:val="18"/>
                      </w:rPr>
                      <w:t xml:space="preserve"> </w:t>
                    </w:r>
                  </w:p>
                </w:tc>
                <w:tc>
                  <w:tcPr>
                    <w:tcW w:w="1182" w:type="dxa"/>
                    <w:shd w:val="clear" w:color="auto" w:fill="auto"/>
                    <w:noWrap/>
                    <w:vAlign w:val="bottom"/>
                    <w:hideMark/>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sz w:val="18"/>
                        <w:szCs w:val="18"/>
                      </w:rPr>
                    </w:pPr>
                    <w:r w:rsidRPr="00775FAA">
                      <w:rPr>
                        <w:rFonts w:asciiTheme="minorEastAsia" w:eastAsiaTheme="minorEastAsia" w:hAnsiTheme="minorEastAsia" w:cs="Arial"/>
                        <w:color w:val="000000"/>
                        <w:sz w:val="18"/>
                        <w:szCs w:val="18"/>
                      </w:rPr>
                      <w:t xml:space="preserve"> </w:t>
                    </w:r>
                  </w:p>
                </w:tc>
                <w:tc>
                  <w:tcPr>
                    <w:tcW w:w="94" w:type="dxa"/>
                    <w:shd w:val="clear" w:color="auto" w:fill="auto"/>
                    <w:noWrap/>
                    <w:vAlign w:val="bottom"/>
                    <w:hideMark/>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sz w:val="18"/>
                        <w:szCs w:val="18"/>
                      </w:rPr>
                    </w:pPr>
                    <w:r w:rsidRPr="00775FAA">
                      <w:rPr>
                        <w:rFonts w:asciiTheme="minorEastAsia" w:eastAsiaTheme="minorEastAsia" w:hAnsiTheme="minorEastAsia" w:cs="Arial"/>
                        <w:color w:val="000000"/>
                        <w:sz w:val="18"/>
                        <w:szCs w:val="18"/>
                      </w:rPr>
                      <w:t xml:space="preserve"> </w:t>
                    </w:r>
                  </w:p>
                </w:tc>
                <w:tc>
                  <w:tcPr>
                    <w:tcW w:w="1159" w:type="dxa"/>
                    <w:shd w:val="clear" w:color="auto" w:fill="auto"/>
                    <w:noWrap/>
                    <w:vAlign w:val="bottom"/>
                    <w:hideMark/>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sz w:val="18"/>
                        <w:szCs w:val="18"/>
                      </w:rPr>
                    </w:pPr>
                    <w:r w:rsidRPr="00775FAA">
                      <w:rPr>
                        <w:rFonts w:asciiTheme="minorEastAsia" w:eastAsiaTheme="minorEastAsia" w:hAnsiTheme="minorEastAsia" w:cs="Arial"/>
                        <w:color w:val="000000"/>
                        <w:sz w:val="18"/>
                        <w:szCs w:val="18"/>
                      </w:rPr>
                      <w:t xml:space="preserve"> </w:t>
                    </w:r>
                  </w:p>
                </w:tc>
                <w:tc>
                  <w:tcPr>
                    <w:tcW w:w="22" w:type="dxa"/>
                    <w:shd w:val="clear" w:color="auto" w:fill="auto"/>
                    <w:noWrap/>
                    <w:vAlign w:val="bottom"/>
                    <w:hideMark/>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sz w:val="18"/>
                        <w:szCs w:val="18"/>
                      </w:rPr>
                    </w:pPr>
                    <w:r w:rsidRPr="00775FAA">
                      <w:rPr>
                        <w:rFonts w:asciiTheme="minorEastAsia" w:eastAsiaTheme="minorEastAsia" w:hAnsiTheme="minorEastAsia" w:cs="Arial"/>
                        <w:color w:val="000000"/>
                        <w:sz w:val="18"/>
                        <w:szCs w:val="18"/>
                      </w:rPr>
                      <w:t xml:space="preserve"> </w:t>
                    </w:r>
                  </w:p>
                </w:tc>
                <w:tc>
                  <w:tcPr>
                    <w:tcW w:w="825" w:type="dxa"/>
                    <w:shd w:val="clear" w:color="auto" w:fill="auto"/>
                    <w:noWrap/>
                    <w:vAlign w:val="bottom"/>
                    <w:hideMark/>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sz w:val="18"/>
                        <w:szCs w:val="18"/>
                      </w:rPr>
                    </w:pPr>
                    <w:r w:rsidRPr="00775FAA">
                      <w:rPr>
                        <w:rFonts w:asciiTheme="minorEastAsia" w:eastAsiaTheme="minorEastAsia" w:hAnsiTheme="minorEastAsia" w:cs="Arial"/>
                        <w:color w:val="000000"/>
                        <w:sz w:val="18"/>
                        <w:szCs w:val="18"/>
                      </w:rPr>
                      <w:t xml:space="preserve"> </w:t>
                    </w:r>
                  </w:p>
                </w:tc>
                <w:tc>
                  <w:tcPr>
                    <w:tcW w:w="94" w:type="dxa"/>
                    <w:shd w:val="clear" w:color="auto" w:fill="auto"/>
                    <w:noWrap/>
                    <w:vAlign w:val="bottom"/>
                    <w:hideMark/>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sz w:val="18"/>
                        <w:szCs w:val="18"/>
                      </w:rPr>
                    </w:pPr>
                    <w:r w:rsidRPr="00775FAA">
                      <w:rPr>
                        <w:rFonts w:asciiTheme="minorEastAsia" w:eastAsiaTheme="minorEastAsia" w:hAnsiTheme="minorEastAsia" w:cs="Arial"/>
                        <w:color w:val="000000"/>
                        <w:sz w:val="18"/>
                        <w:szCs w:val="18"/>
                      </w:rPr>
                      <w:t xml:space="preserve"> </w:t>
                    </w:r>
                  </w:p>
                </w:tc>
                <w:tc>
                  <w:tcPr>
                    <w:tcW w:w="1208" w:type="dxa"/>
                    <w:shd w:val="clear" w:color="auto" w:fill="auto"/>
                    <w:noWrap/>
                    <w:vAlign w:val="bottom"/>
                    <w:hideMark/>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sz w:val="18"/>
                        <w:szCs w:val="18"/>
                      </w:rPr>
                    </w:pPr>
                    <w:r w:rsidRPr="00775FAA">
                      <w:rPr>
                        <w:rFonts w:asciiTheme="minorEastAsia" w:eastAsiaTheme="minorEastAsia" w:hAnsiTheme="minorEastAsia" w:cs="Arial"/>
                        <w:color w:val="000000"/>
                        <w:sz w:val="18"/>
                        <w:szCs w:val="18"/>
                      </w:rPr>
                      <w:t xml:space="preserve"> </w:t>
                    </w:r>
                  </w:p>
                </w:tc>
                <w:tc>
                  <w:tcPr>
                    <w:tcW w:w="130" w:type="dxa"/>
                    <w:shd w:val="clear" w:color="auto" w:fill="auto"/>
                    <w:noWrap/>
                    <w:vAlign w:val="bottom"/>
                    <w:hideMark/>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sz w:val="18"/>
                        <w:szCs w:val="18"/>
                      </w:rPr>
                    </w:pPr>
                    <w:r w:rsidRPr="00775FAA">
                      <w:rPr>
                        <w:rFonts w:asciiTheme="minorEastAsia" w:eastAsiaTheme="minorEastAsia" w:hAnsiTheme="minorEastAsia" w:cs="Arial"/>
                        <w:color w:val="000000"/>
                        <w:sz w:val="18"/>
                        <w:szCs w:val="18"/>
                      </w:rPr>
                      <w:t xml:space="preserve"> </w:t>
                    </w:r>
                  </w:p>
                </w:tc>
              </w:tr>
              <w:tr w:rsidR="00775FAA" w:rsidRPr="00775FAA" w:rsidTr="00182B92">
                <w:tc>
                  <w:tcPr>
                    <w:tcW w:w="1262" w:type="dxa"/>
                    <w:shd w:val="clear" w:color="000000" w:fill="auto"/>
                    <w:noWrap/>
                    <w:vAlign w:val="bottom"/>
                    <w:hideMark/>
                  </w:tcPr>
                  <w:p w:rsidR="00775FAA" w:rsidRPr="00775FAA" w:rsidRDefault="00775FAA" w:rsidP="00B637B2">
                    <w:pPr>
                      <w:kinsoku w:val="0"/>
                      <w:overflowPunct w:val="0"/>
                      <w:autoSpaceDE w:val="0"/>
                      <w:autoSpaceDN w:val="0"/>
                      <w:adjustRightInd w:val="0"/>
                      <w:snapToGrid w:val="0"/>
                      <w:rPr>
                        <w:rFonts w:asciiTheme="minorEastAsia" w:eastAsiaTheme="minorEastAsia" w:hAnsiTheme="minorEastAsia" w:cs="Arial"/>
                        <w:color w:val="000000"/>
                        <w:sz w:val="18"/>
                        <w:szCs w:val="18"/>
                      </w:rPr>
                    </w:pPr>
                    <w:r w:rsidRPr="00775FAA">
                      <w:rPr>
                        <w:rFonts w:asciiTheme="minorEastAsia" w:eastAsiaTheme="minorEastAsia" w:hAnsiTheme="minorEastAsia" w:cs="Arial"/>
                        <w:sz w:val="18"/>
                        <w:szCs w:val="18"/>
                      </w:rPr>
                      <w:t>短期借款</w:t>
                    </w:r>
                  </w:p>
                </w:tc>
                <w:tc>
                  <w:tcPr>
                    <w:tcW w:w="35" w:type="dxa"/>
                    <w:shd w:val="clear" w:color="auto" w:fill="auto"/>
                    <w:noWrap/>
                    <w:vAlign w:val="bottom"/>
                    <w:hideMark/>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r w:rsidRPr="00775FAA">
                      <w:rPr>
                        <w:rFonts w:asciiTheme="minorEastAsia" w:eastAsiaTheme="minorEastAsia" w:hAnsiTheme="minorEastAsia" w:cs="Arial"/>
                        <w:color w:val="000000"/>
                        <w:sz w:val="18"/>
                        <w:szCs w:val="18"/>
                      </w:rPr>
                      <w:t xml:space="preserve"> </w:t>
                    </w:r>
                  </w:p>
                </w:tc>
                <w:tc>
                  <w:tcPr>
                    <w:tcW w:w="1241" w:type="dxa"/>
                    <w:shd w:val="clear" w:color="000000"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95"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1039" w:type="dxa"/>
                    <w:shd w:val="clear" w:color="000000"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r w:rsidRPr="00775FAA">
                      <w:rPr>
                        <w:rFonts w:asciiTheme="minorEastAsia" w:eastAsiaTheme="minorEastAsia" w:hAnsiTheme="minorEastAsia" w:cs="Arial"/>
                        <w:color w:val="000000"/>
                        <w:sz w:val="18"/>
                        <w:szCs w:val="18"/>
                      </w:rPr>
                      <w:t>754,777,132</w:t>
                    </w:r>
                  </w:p>
                </w:tc>
                <w:tc>
                  <w:tcPr>
                    <w:tcW w:w="94"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1182" w:type="dxa"/>
                    <w:shd w:val="clear" w:color="000000"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r w:rsidRPr="00775FAA">
                      <w:rPr>
                        <w:rFonts w:asciiTheme="minorEastAsia" w:eastAsiaTheme="minorEastAsia" w:hAnsiTheme="minorEastAsia" w:cs="Arial"/>
                        <w:color w:val="000000"/>
                        <w:sz w:val="18"/>
                        <w:szCs w:val="18"/>
                      </w:rPr>
                      <w:t>3,701,155,273</w:t>
                    </w:r>
                  </w:p>
                </w:tc>
                <w:tc>
                  <w:tcPr>
                    <w:tcW w:w="94"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1159" w:type="dxa"/>
                    <w:shd w:val="clear" w:color="000000"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22"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825" w:type="dxa"/>
                    <w:shd w:val="clear" w:color="000000"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r w:rsidRPr="00775FAA">
                      <w:rPr>
                        <w:rFonts w:asciiTheme="minorEastAsia" w:eastAsiaTheme="minorEastAsia" w:hAnsiTheme="minorEastAsia" w:cs="Arial" w:hint="eastAsia"/>
                        <w:color w:val="000000"/>
                        <w:sz w:val="18"/>
                        <w:szCs w:val="18"/>
                      </w:rPr>
                      <w:t>-</w:t>
                    </w:r>
                  </w:p>
                </w:tc>
                <w:tc>
                  <w:tcPr>
                    <w:tcW w:w="94"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1208" w:type="dxa"/>
                    <w:shd w:val="clear" w:color="000000"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r w:rsidRPr="00775FAA">
                      <w:rPr>
                        <w:rFonts w:asciiTheme="minorEastAsia" w:eastAsiaTheme="minorEastAsia" w:hAnsiTheme="minorEastAsia" w:cs="Arial"/>
                        <w:color w:val="000000"/>
                        <w:sz w:val="18"/>
                        <w:szCs w:val="18"/>
                      </w:rPr>
                      <w:t>4,455,932,405</w:t>
                    </w:r>
                  </w:p>
                </w:tc>
                <w:tc>
                  <w:tcPr>
                    <w:tcW w:w="130"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r>
              <w:tr w:rsidR="00775FAA" w:rsidRPr="00775FAA" w:rsidTr="00182B92">
                <w:tc>
                  <w:tcPr>
                    <w:tcW w:w="1262" w:type="dxa"/>
                    <w:shd w:val="clear" w:color="000000" w:fill="auto"/>
                    <w:noWrap/>
                    <w:vAlign w:val="bottom"/>
                    <w:hideMark/>
                  </w:tcPr>
                  <w:p w:rsidR="00775FAA" w:rsidRPr="00775FAA" w:rsidRDefault="00775FAA" w:rsidP="00B637B2">
                    <w:pPr>
                      <w:kinsoku w:val="0"/>
                      <w:overflowPunct w:val="0"/>
                      <w:autoSpaceDE w:val="0"/>
                      <w:autoSpaceDN w:val="0"/>
                      <w:adjustRightInd w:val="0"/>
                      <w:snapToGrid w:val="0"/>
                      <w:rPr>
                        <w:rFonts w:asciiTheme="minorEastAsia" w:eastAsiaTheme="minorEastAsia" w:hAnsiTheme="minorEastAsia" w:cs="Arial"/>
                        <w:color w:val="000000"/>
                        <w:sz w:val="18"/>
                        <w:szCs w:val="18"/>
                      </w:rPr>
                    </w:pPr>
                    <w:r w:rsidRPr="00775FAA">
                      <w:rPr>
                        <w:rFonts w:asciiTheme="minorEastAsia" w:eastAsiaTheme="minorEastAsia" w:hAnsiTheme="minorEastAsia" w:cs="Arial"/>
                        <w:sz w:val="18"/>
                        <w:szCs w:val="18"/>
                      </w:rPr>
                      <w:t>应付账款</w:t>
                    </w:r>
                  </w:p>
                </w:tc>
                <w:tc>
                  <w:tcPr>
                    <w:tcW w:w="35" w:type="dxa"/>
                    <w:shd w:val="clear" w:color="auto" w:fill="auto"/>
                    <w:noWrap/>
                    <w:vAlign w:val="bottom"/>
                    <w:hideMark/>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r w:rsidRPr="00775FAA">
                      <w:rPr>
                        <w:rFonts w:asciiTheme="minorEastAsia" w:eastAsiaTheme="minorEastAsia" w:hAnsiTheme="minorEastAsia" w:cs="Arial"/>
                        <w:color w:val="000000"/>
                        <w:sz w:val="18"/>
                        <w:szCs w:val="18"/>
                      </w:rPr>
                      <w:t xml:space="preserve"> </w:t>
                    </w:r>
                  </w:p>
                </w:tc>
                <w:tc>
                  <w:tcPr>
                    <w:tcW w:w="1241" w:type="dxa"/>
                    <w:shd w:val="clear" w:color="000000"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r w:rsidRPr="00775FAA">
                      <w:rPr>
                        <w:rFonts w:asciiTheme="minorEastAsia" w:eastAsiaTheme="minorEastAsia" w:hAnsiTheme="minorEastAsia" w:cs="Arial"/>
                        <w:color w:val="000000"/>
                        <w:sz w:val="18"/>
                        <w:szCs w:val="18"/>
                      </w:rPr>
                      <w:t>460,055,944</w:t>
                    </w:r>
                  </w:p>
                </w:tc>
                <w:tc>
                  <w:tcPr>
                    <w:tcW w:w="95"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1039" w:type="dxa"/>
                    <w:shd w:val="clear" w:color="000000"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94"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1182" w:type="dxa"/>
                    <w:shd w:val="clear" w:color="000000"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94"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1159" w:type="dxa"/>
                    <w:shd w:val="clear" w:color="000000"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22"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825" w:type="dxa"/>
                    <w:shd w:val="clear" w:color="000000"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94"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1208" w:type="dxa"/>
                    <w:shd w:val="clear" w:color="000000"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r w:rsidRPr="00775FAA">
                      <w:rPr>
                        <w:rFonts w:asciiTheme="minorEastAsia" w:eastAsiaTheme="minorEastAsia" w:hAnsiTheme="minorEastAsia" w:cs="Arial"/>
                        <w:color w:val="000000"/>
                        <w:sz w:val="18"/>
                        <w:szCs w:val="18"/>
                      </w:rPr>
                      <w:t>460,055,944</w:t>
                    </w:r>
                  </w:p>
                </w:tc>
                <w:tc>
                  <w:tcPr>
                    <w:tcW w:w="130"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r>
              <w:tr w:rsidR="00775FAA" w:rsidRPr="00775FAA" w:rsidTr="00182B92">
                <w:tc>
                  <w:tcPr>
                    <w:tcW w:w="1262" w:type="dxa"/>
                    <w:shd w:val="clear" w:color="000000" w:fill="auto"/>
                    <w:vAlign w:val="bottom"/>
                    <w:hideMark/>
                  </w:tcPr>
                  <w:p w:rsidR="00775FAA" w:rsidRPr="00775FAA" w:rsidRDefault="00775FAA" w:rsidP="00B637B2">
                    <w:pPr>
                      <w:kinsoku w:val="0"/>
                      <w:overflowPunct w:val="0"/>
                      <w:autoSpaceDE w:val="0"/>
                      <w:autoSpaceDN w:val="0"/>
                      <w:adjustRightInd w:val="0"/>
                      <w:snapToGrid w:val="0"/>
                      <w:rPr>
                        <w:rFonts w:asciiTheme="minorEastAsia" w:eastAsiaTheme="minorEastAsia" w:hAnsiTheme="minorEastAsia" w:cs="Arial"/>
                        <w:color w:val="000000"/>
                        <w:sz w:val="18"/>
                        <w:szCs w:val="18"/>
                      </w:rPr>
                    </w:pPr>
                    <w:r w:rsidRPr="00775FAA">
                      <w:rPr>
                        <w:rFonts w:asciiTheme="minorEastAsia" w:eastAsiaTheme="minorEastAsia" w:hAnsiTheme="minorEastAsia" w:cs="Arial"/>
                        <w:sz w:val="18"/>
                        <w:szCs w:val="18"/>
                      </w:rPr>
                      <w:t>其他应付款</w:t>
                    </w:r>
                  </w:p>
                </w:tc>
                <w:tc>
                  <w:tcPr>
                    <w:tcW w:w="35" w:type="dxa"/>
                    <w:shd w:val="clear" w:color="auto" w:fill="auto"/>
                    <w:noWrap/>
                    <w:vAlign w:val="bottom"/>
                    <w:hideMark/>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r w:rsidRPr="00775FAA">
                      <w:rPr>
                        <w:rFonts w:asciiTheme="minorEastAsia" w:eastAsiaTheme="minorEastAsia" w:hAnsiTheme="minorEastAsia" w:cs="Arial"/>
                        <w:color w:val="000000"/>
                        <w:sz w:val="18"/>
                        <w:szCs w:val="18"/>
                      </w:rPr>
                      <w:t xml:space="preserve"> </w:t>
                    </w:r>
                  </w:p>
                </w:tc>
                <w:tc>
                  <w:tcPr>
                    <w:tcW w:w="1241" w:type="dxa"/>
                    <w:shd w:val="clear" w:color="000000"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r w:rsidRPr="00775FAA">
                      <w:rPr>
                        <w:rFonts w:asciiTheme="minorEastAsia" w:eastAsiaTheme="minorEastAsia" w:hAnsiTheme="minorEastAsia" w:cs="Arial"/>
                        <w:color w:val="000000"/>
                        <w:sz w:val="18"/>
                        <w:szCs w:val="18"/>
                      </w:rPr>
                      <w:t>152,266,713</w:t>
                    </w:r>
                  </w:p>
                </w:tc>
                <w:tc>
                  <w:tcPr>
                    <w:tcW w:w="95"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1039" w:type="dxa"/>
                    <w:shd w:val="clear" w:color="000000"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r w:rsidRPr="00775FAA">
                      <w:rPr>
                        <w:rFonts w:asciiTheme="minorEastAsia" w:eastAsiaTheme="minorEastAsia" w:hAnsiTheme="minorEastAsia" w:cs="Arial"/>
                        <w:color w:val="000000"/>
                        <w:sz w:val="18"/>
                        <w:szCs w:val="18"/>
                      </w:rPr>
                      <w:t>32,625,183</w:t>
                    </w:r>
                  </w:p>
                </w:tc>
                <w:tc>
                  <w:tcPr>
                    <w:tcW w:w="94"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1182" w:type="dxa"/>
                    <w:shd w:val="clear" w:color="000000"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r w:rsidRPr="00775FAA">
                      <w:rPr>
                        <w:rFonts w:asciiTheme="minorEastAsia" w:eastAsiaTheme="minorEastAsia" w:hAnsiTheme="minorEastAsia" w:cs="Arial"/>
                        <w:color w:val="000000"/>
                        <w:sz w:val="18"/>
                        <w:szCs w:val="18"/>
                      </w:rPr>
                      <w:t>504,311,435</w:t>
                    </w:r>
                  </w:p>
                </w:tc>
                <w:tc>
                  <w:tcPr>
                    <w:tcW w:w="94"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1159" w:type="dxa"/>
                    <w:shd w:val="clear" w:color="000000"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r w:rsidRPr="00775FAA">
                      <w:rPr>
                        <w:rFonts w:asciiTheme="minorEastAsia" w:eastAsiaTheme="minorEastAsia" w:hAnsiTheme="minorEastAsia" w:cs="Arial"/>
                        <w:color w:val="000000"/>
                        <w:sz w:val="18"/>
                        <w:szCs w:val="18"/>
                      </w:rPr>
                      <w:t>52,342,500</w:t>
                    </w:r>
                  </w:p>
                </w:tc>
                <w:tc>
                  <w:tcPr>
                    <w:tcW w:w="22"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825" w:type="dxa"/>
                    <w:shd w:val="clear" w:color="000000"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r w:rsidRPr="00775FAA">
                      <w:rPr>
                        <w:rFonts w:asciiTheme="minorEastAsia" w:eastAsiaTheme="minorEastAsia" w:hAnsiTheme="minorEastAsia" w:cs="Arial" w:hint="eastAsia"/>
                        <w:color w:val="000000"/>
                        <w:sz w:val="18"/>
                        <w:szCs w:val="18"/>
                      </w:rPr>
                      <w:t>-</w:t>
                    </w:r>
                  </w:p>
                </w:tc>
                <w:tc>
                  <w:tcPr>
                    <w:tcW w:w="94"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1208" w:type="dxa"/>
                    <w:shd w:val="clear" w:color="000000"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r w:rsidRPr="00775FAA">
                      <w:rPr>
                        <w:rFonts w:asciiTheme="minorEastAsia" w:eastAsiaTheme="minorEastAsia" w:hAnsiTheme="minorEastAsia" w:cs="Arial"/>
                        <w:color w:val="000000"/>
                        <w:sz w:val="18"/>
                        <w:szCs w:val="18"/>
                      </w:rPr>
                      <w:t>741,545,831</w:t>
                    </w:r>
                  </w:p>
                </w:tc>
                <w:tc>
                  <w:tcPr>
                    <w:tcW w:w="130"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r>
              <w:tr w:rsidR="00775FAA" w:rsidRPr="00775FAA" w:rsidTr="00182B92">
                <w:tc>
                  <w:tcPr>
                    <w:tcW w:w="1262" w:type="dxa"/>
                    <w:shd w:val="clear" w:color="000000" w:fill="auto"/>
                    <w:noWrap/>
                    <w:vAlign w:val="bottom"/>
                  </w:tcPr>
                  <w:p w:rsidR="00775FAA" w:rsidRPr="00775FAA" w:rsidRDefault="00775FAA" w:rsidP="00B637B2">
                    <w:pPr>
                      <w:kinsoku w:val="0"/>
                      <w:overflowPunct w:val="0"/>
                      <w:autoSpaceDE w:val="0"/>
                      <w:autoSpaceDN w:val="0"/>
                      <w:adjustRightInd w:val="0"/>
                      <w:snapToGrid w:val="0"/>
                      <w:rPr>
                        <w:rFonts w:asciiTheme="minorEastAsia" w:eastAsiaTheme="minorEastAsia" w:hAnsiTheme="minorEastAsia" w:cs="Arial"/>
                        <w:sz w:val="18"/>
                        <w:szCs w:val="18"/>
                      </w:rPr>
                    </w:pPr>
                    <w:r w:rsidRPr="00775FAA">
                      <w:rPr>
                        <w:rFonts w:asciiTheme="minorEastAsia" w:eastAsiaTheme="minorEastAsia" w:hAnsiTheme="minorEastAsia" w:cs="Arial" w:hint="eastAsia"/>
                        <w:sz w:val="18"/>
                        <w:szCs w:val="18"/>
                      </w:rPr>
                      <w:t>其他流动负债</w:t>
                    </w:r>
                  </w:p>
                </w:tc>
                <w:tc>
                  <w:tcPr>
                    <w:tcW w:w="35"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1241" w:type="dxa"/>
                    <w:shd w:val="clear" w:color="000000"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95"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1039" w:type="dxa"/>
                    <w:shd w:val="clear" w:color="000000"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94"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1182" w:type="dxa"/>
                    <w:shd w:val="clear" w:color="000000"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94"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1159" w:type="dxa"/>
                    <w:shd w:val="clear" w:color="000000"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22"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825" w:type="dxa"/>
                    <w:shd w:val="clear" w:color="000000"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94"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1208" w:type="dxa"/>
                    <w:shd w:val="clear" w:color="000000"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130"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r>
              <w:tr w:rsidR="00775FAA" w:rsidRPr="00775FAA" w:rsidTr="00182B92">
                <w:tc>
                  <w:tcPr>
                    <w:tcW w:w="1262" w:type="dxa"/>
                    <w:shd w:val="clear" w:color="000000" w:fill="auto"/>
                    <w:noWrap/>
                    <w:vAlign w:val="bottom"/>
                  </w:tcPr>
                  <w:p w:rsidR="00775FAA" w:rsidRPr="00775FAA" w:rsidRDefault="00775FAA" w:rsidP="00B637B2">
                    <w:pPr>
                      <w:kinsoku w:val="0"/>
                      <w:overflowPunct w:val="0"/>
                      <w:autoSpaceDE w:val="0"/>
                      <w:autoSpaceDN w:val="0"/>
                      <w:adjustRightInd w:val="0"/>
                      <w:snapToGrid w:val="0"/>
                      <w:rPr>
                        <w:rFonts w:asciiTheme="minorEastAsia" w:eastAsiaTheme="minorEastAsia" w:hAnsiTheme="minorEastAsia" w:cs="Arial"/>
                        <w:sz w:val="18"/>
                        <w:szCs w:val="18"/>
                      </w:rPr>
                    </w:pPr>
                    <w:r w:rsidRPr="00775FAA">
                      <w:rPr>
                        <w:rFonts w:asciiTheme="minorEastAsia" w:eastAsiaTheme="minorEastAsia" w:hAnsiTheme="minorEastAsia" w:cs="Arial" w:hint="eastAsia"/>
                        <w:sz w:val="18"/>
                        <w:szCs w:val="18"/>
                      </w:rPr>
                      <w:t>(房租和审计费)</w:t>
                    </w:r>
                  </w:p>
                </w:tc>
                <w:tc>
                  <w:tcPr>
                    <w:tcW w:w="35"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1241" w:type="dxa"/>
                    <w:shd w:val="clear" w:color="000000"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r w:rsidRPr="00775FAA">
                      <w:rPr>
                        <w:rFonts w:asciiTheme="minorEastAsia" w:eastAsiaTheme="minorEastAsia" w:hAnsiTheme="minorEastAsia" w:cs="Arial" w:hint="eastAsia"/>
                        <w:color w:val="000000"/>
                        <w:sz w:val="18"/>
                        <w:szCs w:val="18"/>
                      </w:rPr>
                      <w:t>-</w:t>
                    </w:r>
                  </w:p>
                </w:tc>
                <w:tc>
                  <w:tcPr>
                    <w:tcW w:w="95"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1039" w:type="dxa"/>
                    <w:shd w:val="clear" w:color="000000"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r w:rsidRPr="00775FAA">
                      <w:rPr>
                        <w:rFonts w:asciiTheme="minorEastAsia" w:eastAsiaTheme="minorEastAsia" w:hAnsiTheme="minorEastAsia" w:cs="Arial"/>
                        <w:color w:val="000000"/>
                        <w:sz w:val="18"/>
                        <w:szCs w:val="18"/>
                      </w:rPr>
                      <w:t>1,737,752</w:t>
                    </w:r>
                  </w:p>
                </w:tc>
                <w:tc>
                  <w:tcPr>
                    <w:tcW w:w="94"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1182" w:type="dxa"/>
                    <w:shd w:val="clear" w:color="000000"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r w:rsidRPr="00775FAA">
                      <w:rPr>
                        <w:rFonts w:asciiTheme="minorEastAsia" w:eastAsiaTheme="minorEastAsia" w:hAnsiTheme="minorEastAsia" w:cs="Arial" w:hint="eastAsia"/>
                        <w:color w:val="000000"/>
                        <w:sz w:val="18"/>
                        <w:szCs w:val="18"/>
                      </w:rPr>
                      <w:t>-</w:t>
                    </w:r>
                  </w:p>
                </w:tc>
                <w:tc>
                  <w:tcPr>
                    <w:tcW w:w="94"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1159" w:type="dxa"/>
                    <w:shd w:val="clear" w:color="000000"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r w:rsidRPr="00775FAA">
                      <w:rPr>
                        <w:rFonts w:asciiTheme="minorEastAsia" w:eastAsiaTheme="minorEastAsia" w:hAnsiTheme="minorEastAsia" w:cs="Arial" w:hint="eastAsia"/>
                        <w:color w:val="000000"/>
                        <w:sz w:val="18"/>
                        <w:szCs w:val="18"/>
                      </w:rPr>
                      <w:t>-</w:t>
                    </w:r>
                  </w:p>
                </w:tc>
                <w:tc>
                  <w:tcPr>
                    <w:tcW w:w="22"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825" w:type="dxa"/>
                    <w:shd w:val="clear" w:color="000000"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r w:rsidRPr="00775FAA">
                      <w:rPr>
                        <w:rFonts w:asciiTheme="minorEastAsia" w:eastAsiaTheme="minorEastAsia" w:hAnsiTheme="minorEastAsia" w:cs="Arial" w:hint="eastAsia"/>
                        <w:color w:val="000000"/>
                        <w:sz w:val="18"/>
                        <w:szCs w:val="18"/>
                      </w:rPr>
                      <w:t>-</w:t>
                    </w:r>
                  </w:p>
                </w:tc>
                <w:tc>
                  <w:tcPr>
                    <w:tcW w:w="94"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1208" w:type="dxa"/>
                    <w:shd w:val="clear" w:color="000000"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r w:rsidRPr="00775FAA">
                      <w:rPr>
                        <w:rFonts w:asciiTheme="minorEastAsia" w:eastAsiaTheme="minorEastAsia" w:hAnsiTheme="minorEastAsia" w:cs="Arial"/>
                        <w:color w:val="000000"/>
                        <w:sz w:val="18"/>
                        <w:szCs w:val="18"/>
                      </w:rPr>
                      <w:t>1,737,752</w:t>
                    </w:r>
                  </w:p>
                </w:tc>
                <w:tc>
                  <w:tcPr>
                    <w:tcW w:w="130"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r>
              <w:tr w:rsidR="00775FAA" w:rsidRPr="00775FAA" w:rsidTr="00182B92">
                <w:tc>
                  <w:tcPr>
                    <w:tcW w:w="1262" w:type="dxa"/>
                    <w:shd w:val="clear" w:color="000000" w:fill="auto"/>
                    <w:noWrap/>
                    <w:vAlign w:val="bottom"/>
                    <w:hideMark/>
                  </w:tcPr>
                  <w:p w:rsidR="00775FAA" w:rsidRPr="00775FAA" w:rsidRDefault="00775FAA" w:rsidP="00B637B2">
                    <w:pPr>
                      <w:kinsoku w:val="0"/>
                      <w:overflowPunct w:val="0"/>
                      <w:autoSpaceDE w:val="0"/>
                      <w:autoSpaceDN w:val="0"/>
                      <w:adjustRightInd w:val="0"/>
                      <w:snapToGrid w:val="0"/>
                      <w:rPr>
                        <w:rFonts w:asciiTheme="minorEastAsia" w:eastAsiaTheme="minorEastAsia" w:hAnsiTheme="minorEastAsia" w:cs="Arial"/>
                        <w:sz w:val="18"/>
                        <w:szCs w:val="18"/>
                      </w:rPr>
                    </w:pPr>
                    <w:r w:rsidRPr="00775FAA">
                      <w:rPr>
                        <w:rFonts w:asciiTheme="minorEastAsia" w:eastAsiaTheme="minorEastAsia" w:hAnsiTheme="minorEastAsia" w:cs="Arial"/>
                        <w:sz w:val="18"/>
                        <w:szCs w:val="18"/>
                      </w:rPr>
                      <w:t>一年内到期的</w:t>
                    </w:r>
                  </w:p>
                  <w:p w:rsidR="00775FAA" w:rsidRPr="00775FAA" w:rsidRDefault="00775FAA" w:rsidP="00B637B2">
                    <w:pPr>
                      <w:kinsoku w:val="0"/>
                      <w:overflowPunct w:val="0"/>
                      <w:autoSpaceDE w:val="0"/>
                      <w:autoSpaceDN w:val="0"/>
                      <w:adjustRightInd w:val="0"/>
                      <w:snapToGrid w:val="0"/>
                      <w:rPr>
                        <w:rFonts w:asciiTheme="minorEastAsia" w:eastAsiaTheme="minorEastAsia" w:hAnsiTheme="minorEastAsia" w:cs="Arial"/>
                        <w:color w:val="000000"/>
                        <w:sz w:val="18"/>
                        <w:szCs w:val="18"/>
                      </w:rPr>
                    </w:pPr>
                    <w:r w:rsidRPr="00775FAA">
                      <w:rPr>
                        <w:rFonts w:asciiTheme="minorEastAsia" w:eastAsiaTheme="minorEastAsia" w:hAnsiTheme="minorEastAsia" w:cs="Arial"/>
                        <w:sz w:val="18"/>
                        <w:szCs w:val="18"/>
                      </w:rPr>
                      <w:t>长期借款</w:t>
                    </w:r>
                  </w:p>
                </w:tc>
                <w:tc>
                  <w:tcPr>
                    <w:tcW w:w="35" w:type="dxa"/>
                    <w:shd w:val="clear" w:color="auto" w:fill="auto"/>
                    <w:noWrap/>
                    <w:vAlign w:val="bottom"/>
                    <w:hideMark/>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r w:rsidRPr="00775FAA">
                      <w:rPr>
                        <w:rFonts w:asciiTheme="minorEastAsia" w:eastAsiaTheme="minorEastAsia" w:hAnsiTheme="minorEastAsia" w:cs="Arial"/>
                        <w:color w:val="000000"/>
                        <w:sz w:val="18"/>
                        <w:szCs w:val="18"/>
                      </w:rPr>
                      <w:t xml:space="preserve"> </w:t>
                    </w:r>
                  </w:p>
                </w:tc>
                <w:tc>
                  <w:tcPr>
                    <w:tcW w:w="1241" w:type="dxa"/>
                    <w:shd w:val="clear" w:color="000000"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r w:rsidRPr="00775FAA">
                      <w:rPr>
                        <w:rFonts w:asciiTheme="minorEastAsia" w:eastAsiaTheme="minorEastAsia" w:hAnsiTheme="minorEastAsia" w:cs="Arial"/>
                        <w:color w:val="000000"/>
                        <w:sz w:val="18"/>
                        <w:szCs w:val="18"/>
                      </w:rPr>
                      <w:t>45,000,000</w:t>
                    </w:r>
                  </w:p>
                </w:tc>
                <w:tc>
                  <w:tcPr>
                    <w:tcW w:w="95"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1039" w:type="dxa"/>
                    <w:shd w:val="clear" w:color="000000"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r w:rsidRPr="00775FAA">
                      <w:rPr>
                        <w:rFonts w:asciiTheme="minorEastAsia" w:eastAsiaTheme="minorEastAsia" w:hAnsiTheme="minorEastAsia" w:cs="Arial"/>
                        <w:color w:val="000000"/>
                        <w:sz w:val="18"/>
                        <w:szCs w:val="18"/>
                      </w:rPr>
                      <w:t>1,799,063</w:t>
                    </w:r>
                  </w:p>
                </w:tc>
                <w:tc>
                  <w:tcPr>
                    <w:tcW w:w="94"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1182" w:type="dxa"/>
                    <w:shd w:val="clear" w:color="000000"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r w:rsidRPr="00775FAA">
                      <w:rPr>
                        <w:rFonts w:asciiTheme="minorEastAsia" w:eastAsiaTheme="minorEastAsia" w:hAnsiTheme="minorEastAsia" w:cs="Arial"/>
                        <w:color w:val="000000"/>
                        <w:sz w:val="18"/>
                        <w:szCs w:val="18"/>
                      </w:rPr>
                      <w:t>48,954,375</w:t>
                    </w:r>
                  </w:p>
                </w:tc>
                <w:tc>
                  <w:tcPr>
                    <w:tcW w:w="94"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1159" w:type="dxa"/>
                    <w:shd w:val="clear" w:color="000000"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r w:rsidRPr="00775FAA">
                      <w:rPr>
                        <w:rFonts w:asciiTheme="minorEastAsia" w:eastAsiaTheme="minorEastAsia" w:hAnsiTheme="minorEastAsia" w:cs="Arial" w:hint="eastAsia"/>
                        <w:color w:val="000000"/>
                        <w:sz w:val="18"/>
                        <w:szCs w:val="18"/>
                      </w:rPr>
                      <w:t>-</w:t>
                    </w:r>
                  </w:p>
                </w:tc>
                <w:tc>
                  <w:tcPr>
                    <w:tcW w:w="22"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825" w:type="dxa"/>
                    <w:shd w:val="clear" w:color="000000"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r w:rsidRPr="00775FAA">
                      <w:rPr>
                        <w:rFonts w:asciiTheme="minorEastAsia" w:eastAsiaTheme="minorEastAsia" w:hAnsiTheme="minorEastAsia" w:cs="Arial" w:hint="eastAsia"/>
                        <w:color w:val="000000"/>
                        <w:sz w:val="18"/>
                        <w:szCs w:val="18"/>
                      </w:rPr>
                      <w:t>-</w:t>
                    </w:r>
                  </w:p>
                </w:tc>
                <w:tc>
                  <w:tcPr>
                    <w:tcW w:w="94"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1208" w:type="dxa"/>
                    <w:shd w:val="clear" w:color="000000"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r w:rsidRPr="00775FAA">
                      <w:rPr>
                        <w:rFonts w:asciiTheme="minorEastAsia" w:eastAsiaTheme="minorEastAsia" w:hAnsiTheme="minorEastAsia" w:cs="Arial"/>
                        <w:color w:val="000000"/>
                        <w:sz w:val="18"/>
                        <w:szCs w:val="18"/>
                      </w:rPr>
                      <w:t>95,753,438</w:t>
                    </w:r>
                  </w:p>
                </w:tc>
                <w:tc>
                  <w:tcPr>
                    <w:tcW w:w="130"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r>
              <w:tr w:rsidR="00775FAA" w:rsidRPr="00775FAA" w:rsidTr="00182B92">
                <w:tc>
                  <w:tcPr>
                    <w:tcW w:w="1262" w:type="dxa"/>
                    <w:shd w:val="clear" w:color="000000" w:fill="auto"/>
                    <w:noWrap/>
                    <w:vAlign w:val="bottom"/>
                  </w:tcPr>
                  <w:p w:rsidR="00775FAA" w:rsidRPr="00775FAA" w:rsidRDefault="00775FAA" w:rsidP="00B637B2">
                    <w:pPr>
                      <w:kinsoku w:val="0"/>
                      <w:overflowPunct w:val="0"/>
                      <w:autoSpaceDE w:val="0"/>
                      <w:autoSpaceDN w:val="0"/>
                      <w:adjustRightInd w:val="0"/>
                      <w:snapToGrid w:val="0"/>
                      <w:rPr>
                        <w:rFonts w:asciiTheme="minorEastAsia" w:eastAsiaTheme="minorEastAsia" w:hAnsiTheme="minorEastAsia" w:cs="Arial"/>
                        <w:sz w:val="18"/>
                        <w:szCs w:val="18"/>
                      </w:rPr>
                    </w:pPr>
                    <w:r w:rsidRPr="00775FAA">
                      <w:rPr>
                        <w:rFonts w:asciiTheme="minorEastAsia" w:eastAsiaTheme="minorEastAsia" w:hAnsiTheme="minorEastAsia" w:cs="Arial" w:hint="eastAsia"/>
                        <w:sz w:val="18"/>
                        <w:szCs w:val="18"/>
                      </w:rPr>
                      <w:t>长期借款</w:t>
                    </w:r>
                  </w:p>
                </w:tc>
                <w:tc>
                  <w:tcPr>
                    <w:tcW w:w="35"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1241" w:type="dxa"/>
                    <w:shd w:val="clear" w:color="000000" w:fill="auto"/>
                    <w:noWrap/>
                    <w:vAlign w:val="bottom"/>
                  </w:tcPr>
                  <w:p w:rsidR="00775FAA" w:rsidRPr="00775FAA" w:rsidRDefault="008F04CF"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u w:val="single"/>
                      </w:rPr>
                    </w:pPr>
                    <w:r>
                      <w:rPr>
                        <w:rFonts w:asciiTheme="minorEastAsia" w:eastAsiaTheme="minorEastAsia" w:hAnsiTheme="minorEastAsia" w:cs="Arial"/>
                        <w:color w:val="000000"/>
                        <w:sz w:val="18"/>
                        <w:szCs w:val="18"/>
                        <w:u w:val="single"/>
                      </w:rPr>
                      <w:t xml:space="preserve">    </w:t>
                    </w:r>
                    <w:r w:rsidR="00775FAA" w:rsidRPr="00775FAA">
                      <w:rPr>
                        <w:rFonts w:asciiTheme="minorEastAsia" w:eastAsiaTheme="minorEastAsia" w:hAnsiTheme="minorEastAsia" w:cs="Arial"/>
                        <w:color w:val="000000"/>
                        <w:sz w:val="18"/>
                        <w:szCs w:val="18"/>
                        <w:u w:val="single"/>
                      </w:rPr>
                      <w:t xml:space="preserve">      </w:t>
                    </w:r>
                    <w:r w:rsidR="00775FAA" w:rsidRPr="00775FAA">
                      <w:rPr>
                        <w:rFonts w:asciiTheme="minorEastAsia" w:eastAsiaTheme="minorEastAsia" w:hAnsiTheme="minorEastAsia" w:cs="Arial" w:hint="eastAsia"/>
                        <w:color w:val="000000"/>
                        <w:sz w:val="18"/>
                        <w:szCs w:val="18"/>
                        <w:u w:val="single"/>
                      </w:rPr>
                      <w:t>-</w:t>
                    </w:r>
                  </w:p>
                </w:tc>
                <w:tc>
                  <w:tcPr>
                    <w:tcW w:w="95"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1039" w:type="dxa"/>
                    <w:shd w:val="clear" w:color="000000"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u w:val="single"/>
                      </w:rPr>
                    </w:pPr>
                    <w:r w:rsidRPr="00775FAA">
                      <w:rPr>
                        <w:rFonts w:asciiTheme="minorEastAsia" w:eastAsiaTheme="minorEastAsia" w:hAnsiTheme="minorEastAsia" w:cs="Arial"/>
                        <w:color w:val="000000"/>
                        <w:sz w:val="18"/>
                        <w:szCs w:val="18"/>
                        <w:u w:val="single"/>
                      </w:rPr>
                      <w:t xml:space="preserve">          </w:t>
                    </w:r>
                    <w:r w:rsidRPr="00775FAA">
                      <w:rPr>
                        <w:rFonts w:asciiTheme="minorEastAsia" w:eastAsiaTheme="minorEastAsia" w:hAnsiTheme="minorEastAsia" w:cs="Arial" w:hint="eastAsia"/>
                        <w:color w:val="000000"/>
                        <w:sz w:val="18"/>
                        <w:szCs w:val="18"/>
                        <w:u w:val="single"/>
                      </w:rPr>
                      <w:t>-</w:t>
                    </w:r>
                  </w:p>
                </w:tc>
                <w:tc>
                  <w:tcPr>
                    <w:tcW w:w="94"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1182" w:type="dxa"/>
                    <w:shd w:val="clear" w:color="000000" w:fill="auto"/>
                    <w:noWrap/>
                    <w:vAlign w:val="bottom"/>
                  </w:tcPr>
                  <w:p w:rsidR="00775FAA" w:rsidRPr="00775FAA" w:rsidRDefault="008F04CF"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u w:val="single"/>
                      </w:rPr>
                    </w:pPr>
                    <w:r>
                      <w:rPr>
                        <w:rFonts w:asciiTheme="minorEastAsia" w:eastAsiaTheme="minorEastAsia" w:hAnsiTheme="minorEastAsia" w:cs="Arial"/>
                        <w:color w:val="000000"/>
                        <w:sz w:val="18"/>
                        <w:szCs w:val="18"/>
                        <w:u w:val="single"/>
                      </w:rPr>
                      <w:t xml:space="preserve">       </w:t>
                    </w:r>
                    <w:r w:rsidR="00775FAA" w:rsidRPr="00775FAA">
                      <w:rPr>
                        <w:rFonts w:asciiTheme="minorEastAsia" w:eastAsiaTheme="minorEastAsia" w:hAnsiTheme="minorEastAsia" w:cs="Arial"/>
                        <w:color w:val="000000"/>
                        <w:sz w:val="18"/>
                        <w:szCs w:val="18"/>
                        <w:u w:val="single"/>
                      </w:rPr>
                      <w:t xml:space="preserve">     </w:t>
                    </w:r>
                    <w:r w:rsidR="00775FAA" w:rsidRPr="00775FAA">
                      <w:rPr>
                        <w:rFonts w:asciiTheme="minorEastAsia" w:eastAsiaTheme="minorEastAsia" w:hAnsiTheme="minorEastAsia" w:cs="Arial" w:hint="eastAsia"/>
                        <w:color w:val="000000"/>
                        <w:sz w:val="18"/>
                        <w:szCs w:val="18"/>
                        <w:u w:val="single"/>
                      </w:rPr>
                      <w:t>-</w:t>
                    </w:r>
                  </w:p>
                </w:tc>
                <w:tc>
                  <w:tcPr>
                    <w:tcW w:w="94"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1159" w:type="dxa"/>
                    <w:shd w:val="clear" w:color="000000"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u w:val="single"/>
                      </w:rPr>
                    </w:pPr>
                    <w:r w:rsidRPr="00775FAA">
                      <w:rPr>
                        <w:rFonts w:asciiTheme="minorEastAsia" w:eastAsiaTheme="minorEastAsia" w:hAnsiTheme="minorEastAsia" w:cs="Arial"/>
                        <w:color w:val="000000"/>
                        <w:sz w:val="18"/>
                        <w:szCs w:val="18"/>
                        <w:u w:val="single"/>
                      </w:rPr>
                      <w:t xml:space="preserve">  91,407,188</w:t>
                    </w:r>
                  </w:p>
                </w:tc>
                <w:tc>
                  <w:tcPr>
                    <w:tcW w:w="22"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825" w:type="dxa"/>
                    <w:shd w:val="clear" w:color="000000"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u w:val="single"/>
                      </w:rPr>
                    </w:pPr>
                    <w:r w:rsidRPr="00775FAA">
                      <w:rPr>
                        <w:rFonts w:asciiTheme="minorEastAsia" w:eastAsiaTheme="minorEastAsia" w:hAnsiTheme="minorEastAsia" w:cs="Arial"/>
                        <w:color w:val="000000"/>
                        <w:sz w:val="18"/>
                        <w:szCs w:val="18"/>
                        <w:u w:val="single"/>
                      </w:rPr>
                      <w:t xml:space="preserve">        </w:t>
                    </w:r>
                    <w:r w:rsidRPr="00775FAA">
                      <w:rPr>
                        <w:rFonts w:asciiTheme="minorEastAsia" w:eastAsiaTheme="minorEastAsia" w:hAnsiTheme="minorEastAsia" w:cs="Arial" w:hint="eastAsia"/>
                        <w:color w:val="000000"/>
                        <w:sz w:val="18"/>
                        <w:szCs w:val="18"/>
                        <w:u w:val="single"/>
                      </w:rPr>
                      <w:t>-</w:t>
                    </w:r>
                  </w:p>
                </w:tc>
                <w:tc>
                  <w:tcPr>
                    <w:tcW w:w="94"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1208" w:type="dxa"/>
                    <w:shd w:val="clear" w:color="000000"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u w:val="single"/>
                      </w:rPr>
                    </w:pPr>
                    <w:r w:rsidRPr="00775FAA">
                      <w:rPr>
                        <w:rFonts w:asciiTheme="minorEastAsia" w:eastAsiaTheme="minorEastAsia" w:hAnsiTheme="minorEastAsia" w:cs="Arial"/>
                        <w:color w:val="000000"/>
                        <w:sz w:val="18"/>
                        <w:szCs w:val="18"/>
                        <w:u w:val="single"/>
                      </w:rPr>
                      <w:t>91,407,188</w:t>
                    </w:r>
                  </w:p>
                </w:tc>
                <w:tc>
                  <w:tcPr>
                    <w:tcW w:w="130"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r>
              <w:tr w:rsidR="00775FAA" w:rsidRPr="00775FAA" w:rsidTr="00182B92">
                <w:tc>
                  <w:tcPr>
                    <w:tcW w:w="1262" w:type="dxa"/>
                    <w:shd w:val="clear" w:color="000000" w:fill="auto"/>
                    <w:noWrap/>
                    <w:vAlign w:val="bottom"/>
                  </w:tcPr>
                  <w:p w:rsidR="00775FAA" w:rsidRPr="00775FAA" w:rsidRDefault="00775FAA" w:rsidP="00B637B2">
                    <w:pPr>
                      <w:kinsoku w:val="0"/>
                      <w:overflowPunct w:val="0"/>
                      <w:autoSpaceDE w:val="0"/>
                      <w:autoSpaceDN w:val="0"/>
                      <w:adjustRightInd w:val="0"/>
                      <w:snapToGrid w:val="0"/>
                      <w:rPr>
                        <w:rFonts w:asciiTheme="minorEastAsia" w:eastAsiaTheme="minorEastAsia" w:hAnsiTheme="minorEastAsia" w:cs="Arial"/>
                        <w:sz w:val="18"/>
                        <w:szCs w:val="18"/>
                      </w:rPr>
                    </w:pPr>
                  </w:p>
                </w:tc>
                <w:tc>
                  <w:tcPr>
                    <w:tcW w:w="35"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1241" w:type="dxa"/>
                    <w:shd w:val="clear" w:color="000000"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95"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1039" w:type="dxa"/>
                    <w:shd w:val="clear" w:color="000000"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94"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1182" w:type="dxa"/>
                    <w:shd w:val="clear" w:color="000000"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94"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1159" w:type="dxa"/>
                    <w:shd w:val="clear" w:color="000000"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22"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825" w:type="dxa"/>
                    <w:shd w:val="clear" w:color="000000"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94"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1208" w:type="dxa"/>
                    <w:shd w:val="clear" w:color="000000"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130"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r>
              <w:tr w:rsidR="00775FAA" w:rsidRPr="00775FAA" w:rsidTr="00182B92">
                <w:tc>
                  <w:tcPr>
                    <w:tcW w:w="1262" w:type="dxa"/>
                    <w:shd w:val="clear" w:color="auto" w:fill="auto"/>
                    <w:noWrap/>
                    <w:vAlign w:val="bottom"/>
                    <w:hideMark/>
                  </w:tcPr>
                  <w:p w:rsidR="00775FAA" w:rsidRPr="00775FAA" w:rsidRDefault="00775FAA" w:rsidP="00B637B2">
                    <w:pPr>
                      <w:kinsoku w:val="0"/>
                      <w:overflowPunct w:val="0"/>
                      <w:autoSpaceDE w:val="0"/>
                      <w:autoSpaceDN w:val="0"/>
                      <w:adjustRightInd w:val="0"/>
                      <w:snapToGrid w:val="0"/>
                      <w:rPr>
                        <w:rFonts w:asciiTheme="minorEastAsia" w:eastAsiaTheme="minorEastAsia" w:hAnsiTheme="minorEastAsia" w:cs="Arial"/>
                        <w:sz w:val="18"/>
                        <w:szCs w:val="18"/>
                      </w:rPr>
                    </w:pPr>
                  </w:p>
                </w:tc>
                <w:tc>
                  <w:tcPr>
                    <w:tcW w:w="35" w:type="dxa"/>
                    <w:shd w:val="clear" w:color="auto" w:fill="auto"/>
                    <w:noWrap/>
                    <w:vAlign w:val="bottom"/>
                    <w:hideMark/>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sz w:val="18"/>
                        <w:szCs w:val="18"/>
                      </w:rPr>
                    </w:pPr>
                    <w:r w:rsidRPr="00775FAA">
                      <w:rPr>
                        <w:rFonts w:asciiTheme="minorEastAsia" w:eastAsiaTheme="minorEastAsia" w:hAnsiTheme="minorEastAsia" w:cs="Arial"/>
                        <w:color w:val="000000"/>
                        <w:sz w:val="18"/>
                        <w:szCs w:val="18"/>
                      </w:rPr>
                      <w:t xml:space="preserve"> </w:t>
                    </w:r>
                  </w:p>
                </w:tc>
                <w:tc>
                  <w:tcPr>
                    <w:tcW w:w="1241" w:type="dxa"/>
                    <w:shd w:val="clear" w:color="000000"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u w:val="double"/>
                      </w:rPr>
                    </w:pPr>
                    <w:r w:rsidRPr="00775FAA">
                      <w:rPr>
                        <w:rFonts w:asciiTheme="minorEastAsia" w:eastAsiaTheme="minorEastAsia" w:hAnsiTheme="minorEastAsia" w:cs="Arial"/>
                        <w:color w:val="000000"/>
                        <w:sz w:val="18"/>
                        <w:szCs w:val="18"/>
                        <w:u w:val="double"/>
                      </w:rPr>
                      <w:t>657,322,657</w:t>
                    </w:r>
                  </w:p>
                </w:tc>
                <w:tc>
                  <w:tcPr>
                    <w:tcW w:w="95"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u w:val="double"/>
                      </w:rPr>
                    </w:pPr>
                  </w:p>
                </w:tc>
                <w:tc>
                  <w:tcPr>
                    <w:tcW w:w="1039" w:type="dxa"/>
                    <w:shd w:val="clear" w:color="000000"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u w:val="double"/>
                      </w:rPr>
                    </w:pPr>
                    <w:r w:rsidRPr="00775FAA">
                      <w:rPr>
                        <w:rFonts w:asciiTheme="minorEastAsia" w:eastAsiaTheme="minorEastAsia" w:hAnsiTheme="minorEastAsia" w:cs="Arial"/>
                        <w:color w:val="000000"/>
                        <w:sz w:val="18"/>
                        <w:szCs w:val="18"/>
                        <w:u w:val="double"/>
                      </w:rPr>
                      <w:t>790,939,130</w:t>
                    </w:r>
                  </w:p>
                </w:tc>
                <w:tc>
                  <w:tcPr>
                    <w:tcW w:w="94"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u w:val="double"/>
                      </w:rPr>
                    </w:pPr>
                  </w:p>
                </w:tc>
                <w:tc>
                  <w:tcPr>
                    <w:tcW w:w="1182" w:type="dxa"/>
                    <w:shd w:val="clear" w:color="000000"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u w:val="double"/>
                      </w:rPr>
                    </w:pPr>
                    <w:r w:rsidRPr="00775FAA">
                      <w:rPr>
                        <w:rFonts w:asciiTheme="minorEastAsia" w:eastAsiaTheme="minorEastAsia" w:hAnsiTheme="minorEastAsia" w:cs="Arial"/>
                        <w:color w:val="000000"/>
                        <w:sz w:val="18"/>
                        <w:szCs w:val="18"/>
                        <w:u w:val="double"/>
                      </w:rPr>
                      <w:t>4,254,421,083</w:t>
                    </w:r>
                  </w:p>
                </w:tc>
                <w:tc>
                  <w:tcPr>
                    <w:tcW w:w="94"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u w:val="double"/>
                      </w:rPr>
                    </w:pPr>
                  </w:p>
                </w:tc>
                <w:tc>
                  <w:tcPr>
                    <w:tcW w:w="1159" w:type="dxa"/>
                    <w:shd w:val="clear" w:color="000000"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u w:val="double"/>
                      </w:rPr>
                    </w:pPr>
                    <w:r w:rsidRPr="00775FAA">
                      <w:rPr>
                        <w:rFonts w:asciiTheme="minorEastAsia" w:eastAsiaTheme="minorEastAsia" w:hAnsiTheme="minorEastAsia" w:cs="Arial"/>
                        <w:color w:val="000000"/>
                        <w:sz w:val="18"/>
                        <w:szCs w:val="18"/>
                        <w:u w:val="double"/>
                      </w:rPr>
                      <w:t>143,749,688</w:t>
                    </w:r>
                  </w:p>
                </w:tc>
                <w:tc>
                  <w:tcPr>
                    <w:tcW w:w="22"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u w:val="double"/>
                      </w:rPr>
                    </w:pPr>
                  </w:p>
                </w:tc>
                <w:tc>
                  <w:tcPr>
                    <w:tcW w:w="825" w:type="dxa"/>
                    <w:shd w:val="clear" w:color="000000"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u w:val="double"/>
                      </w:rPr>
                    </w:pPr>
                    <w:r w:rsidRPr="00775FAA">
                      <w:rPr>
                        <w:rFonts w:asciiTheme="minorEastAsia" w:eastAsiaTheme="minorEastAsia" w:hAnsiTheme="minorEastAsia" w:cs="Arial"/>
                        <w:color w:val="000000"/>
                        <w:sz w:val="18"/>
                        <w:szCs w:val="18"/>
                        <w:u w:val="double"/>
                      </w:rPr>
                      <w:t xml:space="preserve">        </w:t>
                    </w:r>
                    <w:r w:rsidRPr="00775FAA">
                      <w:rPr>
                        <w:rFonts w:asciiTheme="minorEastAsia" w:eastAsiaTheme="minorEastAsia" w:hAnsiTheme="minorEastAsia" w:cs="Arial" w:hint="eastAsia"/>
                        <w:color w:val="000000"/>
                        <w:sz w:val="18"/>
                        <w:szCs w:val="18"/>
                        <w:u w:val="double"/>
                      </w:rPr>
                      <w:t>-</w:t>
                    </w:r>
                  </w:p>
                </w:tc>
                <w:tc>
                  <w:tcPr>
                    <w:tcW w:w="94"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u w:val="double"/>
                      </w:rPr>
                    </w:pPr>
                  </w:p>
                </w:tc>
                <w:tc>
                  <w:tcPr>
                    <w:tcW w:w="1208" w:type="dxa"/>
                    <w:shd w:val="clear" w:color="000000"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u w:val="double"/>
                      </w:rPr>
                    </w:pPr>
                    <w:r w:rsidRPr="00775FAA">
                      <w:rPr>
                        <w:rFonts w:asciiTheme="minorEastAsia" w:eastAsiaTheme="minorEastAsia" w:hAnsiTheme="minorEastAsia" w:cs="Arial"/>
                        <w:color w:val="000000"/>
                        <w:sz w:val="18"/>
                        <w:szCs w:val="18"/>
                        <w:u w:val="double"/>
                      </w:rPr>
                      <w:t>5,846,432,558</w:t>
                    </w:r>
                  </w:p>
                </w:tc>
                <w:tc>
                  <w:tcPr>
                    <w:tcW w:w="130"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u w:val="double"/>
                      </w:rPr>
                    </w:pPr>
                  </w:p>
                </w:tc>
              </w:tr>
            </w:tbl>
            <w:p w:rsidR="00775FAA" w:rsidRPr="00775FAA" w:rsidRDefault="00775FAA" w:rsidP="00B637B2">
              <w:pPr>
                <w:overflowPunct w:val="0"/>
                <w:autoSpaceDE w:val="0"/>
                <w:autoSpaceDN w:val="0"/>
                <w:adjustRightInd w:val="0"/>
                <w:snapToGrid w:val="0"/>
                <w:textAlignment w:val="bottom"/>
                <w:rPr>
                  <w:rFonts w:asciiTheme="minorEastAsia" w:eastAsiaTheme="minorEastAsia" w:hAnsiTheme="minorEastAsia" w:cs="Arial"/>
                  <w:snapToGrid w:val="0"/>
                  <w:sz w:val="20"/>
                  <w:szCs w:val="20"/>
                </w:rPr>
              </w:pPr>
            </w:p>
            <w:p w:rsidR="00775FAA" w:rsidRPr="00775FAA" w:rsidRDefault="00775FAA" w:rsidP="00B637B2">
              <w:pPr>
                <w:overflowPunct w:val="0"/>
                <w:autoSpaceDE w:val="0"/>
                <w:autoSpaceDN w:val="0"/>
                <w:adjustRightInd w:val="0"/>
                <w:snapToGrid w:val="0"/>
                <w:ind w:left="720" w:hanging="720"/>
                <w:textAlignment w:val="bottom"/>
                <w:rPr>
                  <w:rFonts w:asciiTheme="minorEastAsia" w:eastAsiaTheme="minorEastAsia" w:hAnsiTheme="minorEastAsia" w:cs="Arial"/>
                  <w:sz w:val="20"/>
                  <w:szCs w:val="20"/>
                </w:rPr>
              </w:pPr>
              <w:r w:rsidRPr="00775FAA">
                <w:rPr>
                  <w:rFonts w:asciiTheme="minorEastAsia" w:eastAsiaTheme="minorEastAsia" w:hAnsiTheme="minorEastAsia" w:cs="Arial"/>
                  <w:sz w:val="20"/>
                  <w:szCs w:val="20"/>
                </w:rPr>
                <w:t>2018年</w:t>
              </w:r>
              <w:r w:rsidRPr="00775FAA">
                <w:rPr>
                  <w:rFonts w:asciiTheme="minorEastAsia" w:eastAsiaTheme="minorEastAsia" w:hAnsiTheme="minorEastAsia" w:cs="Arial" w:hint="eastAsia"/>
                  <w:sz w:val="20"/>
                  <w:szCs w:val="20"/>
                </w:rPr>
                <w:t>1</w:t>
              </w:r>
              <w:r w:rsidRPr="00775FAA">
                <w:rPr>
                  <w:rFonts w:asciiTheme="minorEastAsia" w:eastAsiaTheme="minorEastAsia" w:hAnsiTheme="minorEastAsia" w:cs="Arial"/>
                  <w:sz w:val="20"/>
                  <w:szCs w:val="20"/>
                </w:rPr>
                <w:t>2</w:t>
              </w:r>
              <w:r w:rsidRPr="00775FAA">
                <w:rPr>
                  <w:rFonts w:asciiTheme="minorEastAsia" w:eastAsiaTheme="minorEastAsia" w:hAnsiTheme="minorEastAsia" w:cs="Arial" w:hint="eastAsia"/>
                  <w:sz w:val="20"/>
                  <w:szCs w:val="20"/>
                </w:rPr>
                <w:t>月3</w:t>
              </w:r>
              <w:r w:rsidRPr="00775FAA">
                <w:rPr>
                  <w:rFonts w:asciiTheme="minorEastAsia" w:eastAsiaTheme="minorEastAsia" w:hAnsiTheme="minorEastAsia" w:cs="Arial"/>
                  <w:sz w:val="20"/>
                  <w:szCs w:val="20"/>
                </w:rPr>
                <w:t>1</w:t>
              </w:r>
              <w:r w:rsidRPr="00775FAA">
                <w:rPr>
                  <w:rFonts w:asciiTheme="minorEastAsia" w:eastAsiaTheme="minorEastAsia" w:hAnsiTheme="minorEastAsia" w:cs="Arial" w:hint="eastAsia"/>
                  <w:sz w:val="20"/>
                  <w:szCs w:val="20"/>
                </w:rPr>
                <w:t>日</w:t>
              </w:r>
            </w:p>
            <w:p w:rsidR="00775FAA" w:rsidRPr="00775FAA" w:rsidRDefault="00775FAA" w:rsidP="00B637B2">
              <w:pPr>
                <w:overflowPunct w:val="0"/>
                <w:autoSpaceDE w:val="0"/>
                <w:autoSpaceDN w:val="0"/>
                <w:adjustRightInd w:val="0"/>
                <w:snapToGrid w:val="0"/>
                <w:textAlignment w:val="bottom"/>
                <w:rPr>
                  <w:rFonts w:asciiTheme="minorEastAsia" w:eastAsiaTheme="minorEastAsia" w:hAnsiTheme="minorEastAsia" w:cs="Arial"/>
                  <w:snapToGrid w:val="0"/>
                  <w:sz w:val="20"/>
                  <w:szCs w:val="20"/>
                </w:rPr>
              </w:pPr>
            </w:p>
            <w:tbl>
              <w:tblPr>
                <w:tblStyle w:val="g35"/>
                <w:tblW w:w="8479" w:type="dxa"/>
                <w:tblInd w:w="14" w:type="dxa"/>
                <w:tblLayout w:type="fixed"/>
                <w:tblCellMar>
                  <w:left w:w="0" w:type="dxa"/>
                  <w:right w:w="0" w:type="dxa"/>
                </w:tblCellMar>
                <w:tblLook w:val="04A0" w:firstRow="1" w:lastRow="0" w:firstColumn="1" w:lastColumn="0" w:noHBand="0" w:noVBand="1"/>
                <w:tblCaption w:val="金融资产的风险_流动性风险CY"/>
              </w:tblPr>
              <w:tblGrid>
                <w:gridCol w:w="1262"/>
                <w:gridCol w:w="35"/>
                <w:gridCol w:w="1241"/>
                <w:gridCol w:w="95"/>
                <w:gridCol w:w="1039"/>
                <w:gridCol w:w="94"/>
                <w:gridCol w:w="1181"/>
                <w:gridCol w:w="94"/>
                <w:gridCol w:w="1040"/>
                <w:gridCol w:w="94"/>
                <w:gridCol w:w="872"/>
                <w:gridCol w:w="94"/>
                <w:gridCol w:w="1208"/>
                <w:gridCol w:w="130"/>
              </w:tblGrid>
              <w:tr w:rsidR="00775FAA" w:rsidRPr="00775FAA" w:rsidTr="00B637B2">
                <w:trPr>
                  <w:cantSplit/>
                </w:trPr>
                <w:tc>
                  <w:tcPr>
                    <w:tcW w:w="1262" w:type="dxa"/>
                    <w:shd w:val="clear" w:color="auto" w:fill="auto"/>
                    <w:noWrap/>
                    <w:vAlign w:val="bottom"/>
                    <w:hideMark/>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35" w:type="dxa"/>
                    <w:shd w:val="clear" w:color="auto" w:fill="auto"/>
                    <w:noWrap/>
                    <w:vAlign w:val="bottom"/>
                    <w:hideMark/>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r w:rsidRPr="00775FAA">
                      <w:rPr>
                        <w:rFonts w:asciiTheme="minorEastAsia" w:eastAsiaTheme="minorEastAsia" w:hAnsiTheme="minorEastAsia" w:cs="Arial"/>
                        <w:color w:val="000000"/>
                        <w:sz w:val="18"/>
                        <w:szCs w:val="18"/>
                      </w:rPr>
                      <w:t xml:space="preserve"> </w:t>
                    </w:r>
                  </w:p>
                </w:tc>
                <w:tc>
                  <w:tcPr>
                    <w:tcW w:w="1241" w:type="dxa"/>
                    <w:shd w:val="clear" w:color="auto" w:fill="auto"/>
                    <w:noWrap/>
                    <w:vAlign w:val="bottom"/>
                    <w:hideMark/>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r w:rsidRPr="00775FAA">
                      <w:rPr>
                        <w:rFonts w:asciiTheme="minorEastAsia" w:eastAsiaTheme="minorEastAsia" w:hAnsiTheme="minorEastAsia" w:cs="Arial"/>
                        <w:color w:val="000000"/>
                        <w:sz w:val="18"/>
                        <w:szCs w:val="18"/>
                      </w:rPr>
                      <w:t>1个月</w:t>
                    </w:r>
                  </w:p>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r w:rsidRPr="00775FAA">
                      <w:rPr>
                        <w:rFonts w:asciiTheme="minorEastAsia" w:eastAsiaTheme="minorEastAsia" w:hAnsiTheme="minorEastAsia" w:cs="Arial"/>
                        <w:color w:val="000000"/>
                        <w:sz w:val="18"/>
                        <w:szCs w:val="18"/>
                      </w:rPr>
                      <w:t>以内</w:t>
                    </w:r>
                  </w:p>
                </w:tc>
                <w:tc>
                  <w:tcPr>
                    <w:tcW w:w="95" w:type="dxa"/>
                    <w:shd w:val="clear" w:color="auto" w:fill="auto"/>
                    <w:noWrap/>
                    <w:vAlign w:val="bottom"/>
                    <w:hideMark/>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r w:rsidRPr="00775FAA">
                      <w:rPr>
                        <w:rFonts w:asciiTheme="minorEastAsia" w:eastAsiaTheme="minorEastAsia" w:hAnsiTheme="minorEastAsia" w:cs="Arial"/>
                        <w:color w:val="000000"/>
                        <w:sz w:val="18"/>
                        <w:szCs w:val="18"/>
                      </w:rPr>
                      <w:t xml:space="preserve"> </w:t>
                    </w:r>
                  </w:p>
                </w:tc>
                <w:tc>
                  <w:tcPr>
                    <w:tcW w:w="1039" w:type="dxa"/>
                    <w:shd w:val="clear" w:color="auto" w:fill="auto"/>
                    <w:noWrap/>
                    <w:vAlign w:val="bottom"/>
                    <w:hideMark/>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r w:rsidRPr="00775FAA">
                      <w:rPr>
                        <w:rFonts w:asciiTheme="minorEastAsia" w:eastAsiaTheme="minorEastAsia" w:hAnsiTheme="minorEastAsia" w:cs="Arial"/>
                        <w:color w:val="000000"/>
                        <w:sz w:val="18"/>
                        <w:szCs w:val="18"/>
                      </w:rPr>
                      <w:t>1至</w:t>
                    </w:r>
                  </w:p>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r w:rsidRPr="00775FAA">
                      <w:rPr>
                        <w:rFonts w:asciiTheme="minorEastAsia" w:eastAsiaTheme="minorEastAsia" w:hAnsiTheme="minorEastAsia" w:cs="Arial"/>
                        <w:color w:val="000000"/>
                        <w:sz w:val="18"/>
                        <w:szCs w:val="18"/>
                      </w:rPr>
                      <w:t>3个月</w:t>
                    </w:r>
                  </w:p>
                </w:tc>
                <w:tc>
                  <w:tcPr>
                    <w:tcW w:w="94" w:type="dxa"/>
                    <w:shd w:val="clear" w:color="auto" w:fill="auto"/>
                    <w:noWrap/>
                    <w:vAlign w:val="bottom"/>
                    <w:hideMark/>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r w:rsidRPr="00775FAA">
                      <w:rPr>
                        <w:rFonts w:asciiTheme="minorEastAsia" w:eastAsiaTheme="minorEastAsia" w:hAnsiTheme="minorEastAsia" w:cs="Arial"/>
                        <w:color w:val="000000"/>
                        <w:sz w:val="18"/>
                        <w:szCs w:val="18"/>
                      </w:rPr>
                      <w:t xml:space="preserve"> </w:t>
                    </w:r>
                  </w:p>
                </w:tc>
                <w:tc>
                  <w:tcPr>
                    <w:tcW w:w="1181" w:type="dxa"/>
                    <w:shd w:val="clear" w:color="auto" w:fill="auto"/>
                    <w:noWrap/>
                    <w:vAlign w:val="bottom"/>
                    <w:hideMark/>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r w:rsidRPr="00775FAA">
                      <w:rPr>
                        <w:rFonts w:asciiTheme="minorEastAsia" w:eastAsiaTheme="minorEastAsia" w:hAnsiTheme="minorEastAsia" w:cs="Arial"/>
                        <w:color w:val="000000"/>
                        <w:sz w:val="18"/>
                        <w:szCs w:val="18"/>
                      </w:rPr>
                      <w:t>3个月</w:t>
                    </w:r>
                  </w:p>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r w:rsidRPr="00775FAA">
                      <w:rPr>
                        <w:rFonts w:asciiTheme="minorEastAsia" w:eastAsiaTheme="minorEastAsia" w:hAnsiTheme="minorEastAsia" w:cs="Arial"/>
                        <w:color w:val="000000"/>
                        <w:sz w:val="18"/>
                        <w:szCs w:val="18"/>
                      </w:rPr>
                      <w:t>至1年</w:t>
                    </w:r>
                  </w:p>
                </w:tc>
                <w:tc>
                  <w:tcPr>
                    <w:tcW w:w="94" w:type="dxa"/>
                    <w:shd w:val="clear" w:color="auto" w:fill="auto"/>
                    <w:noWrap/>
                    <w:vAlign w:val="bottom"/>
                    <w:hideMark/>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r w:rsidRPr="00775FAA">
                      <w:rPr>
                        <w:rFonts w:asciiTheme="minorEastAsia" w:eastAsiaTheme="minorEastAsia" w:hAnsiTheme="minorEastAsia" w:cs="Arial"/>
                        <w:color w:val="000000"/>
                        <w:sz w:val="18"/>
                        <w:szCs w:val="18"/>
                      </w:rPr>
                      <w:t xml:space="preserve"> </w:t>
                    </w:r>
                  </w:p>
                </w:tc>
                <w:tc>
                  <w:tcPr>
                    <w:tcW w:w="1040" w:type="dxa"/>
                    <w:shd w:val="clear" w:color="auto" w:fill="auto"/>
                    <w:noWrap/>
                    <w:vAlign w:val="bottom"/>
                    <w:hideMark/>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r w:rsidRPr="00775FAA">
                      <w:rPr>
                        <w:rFonts w:asciiTheme="minorEastAsia" w:eastAsiaTheme="minorEastAsia" w:hAnsiTheme="minorEastAsia" w:cs="Arial"/>
                        <w:color w:val="000000"/>
                        <w:sz w:val="18"/>
                        <w:szCs w:val="18"/>
                      </w:rPr>
                      <w:t>1年</w:t>
                    </w:r>
                  </w:p>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r w:rsidRPr="00775FAA">
                      <w:rPr>
                        <w:rFonts w:asciiTheme="minorEastAsia" w:eastAsiaTheme="minorEastAsia" w:hAnsiTheme="minorEastAsia" w:cs="Arial"/>
                        <w:color w:val="000000"/>
                        <w:sz w:val="18"/>
                        <w:szCs w:val="18"/>
                      </w:rPr>
                      <w:t>至5年</w:t>
                    </w:r>
                  </w:p>
                </w:tc>
                <w:tc>
                  <w:tcPr>
                    <w:tcW w:w="94" w:type="dxa"/>
                    <w:shd w:val="clear" w:color="auto" w:fill="auto"/>
                    <w:noWrap/>
                    <w:vAlign w:val="bottom"/>
                    <w:hideMark/>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r w:rsidRPr="00775FAA">
                      <w:rPr>
                        <w:rFonts w:asciiTheme="minorEastAsia" w:eastAsiaTheme="minorEastAsia" w:hAnsiTheme="minorEastAsia" w:cs="Arial"/>
                        <w:color w:val="000000"/>
                        <w:sz w:val="18"/>
                        <w:szCs w:val="18"/>
                      </w:rPr>
                      <w:t xml:space="preserve"> </w:t>
                    </w:r>
                  </w:p>
                </w:tc>
                <w:tc>
                  <w:tcPr>
                    <w:tcW w:w="872" w:type="dxa"/>
                    <w:shd w:val="clear" w:color="auto" w:fill="auto"/>
                    <w:noWrap/>
                    <w:vAlign w:val="bottom"/>
                    <w:hideMark/>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r w:rsidRPr="00775FAA">
                      <w:rPr>
                        <w:rFonts w:asciiTheme="minorEastAsia" w:eastAsiaTheme="minorEastAsia" w:hAnsiTheme="minorEastAsia" w:cs="Arial"/>
                        <w:color w:val="000000"/>
                        <w:sz w:val="18"/>
                        <w:szCs w:val="18"/>
                      </w:rPr>
                      <w:t>5年</w:t>
                    </w:r>
                  </w:p>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r w:rsidRPr="00775FAA">
                      <w:rPr>
                        <w:rFonts w:asciiTheme="minorEastAsia" w:eastAsiaTheme="minorEastAsia" w:hAnsiTheme="minorEastAsia" w:cs="Arial"/>
                        <w:color w:val="000000"/>
                        <w:sz w:val="18"/>
                        <w:szCs w:val="18"/>
                      </w:rPr>
                      <w:t>以上</w:t>
                    </w:r>
                  </w:p>
                </w:tc>
                <w:tc>
                  <w:tcPr>
                    <w:tcW w:w="94" w:type="dxa"/>
                    <w:shd w:val="clear" w:color="auto" w:fill="auto"/>
                    <w:noWrap/>
                    <w:vAlign w:val="bottom"/>
                    <w:hideMark/>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r w:rsidRPr="00775FAA">
                      <w:rPr>
                        <w:rFonts w:asciiTheme="minorEastAsia" w:eastAsiaTheme="minorEastAsia" w:hAnsiTheme="minorEastAsia" w:cs="Arial"/>
                        <w:color w:val="000000"/>
                        <w:sz w:val="18"/>
                        <w:szCs w:val="18"/>
                      </w:rPr>
                      <w:t xml:space="preserve"> </w:t>
                    </w:r>
                  </w:p>
                </w:tc>
                <w:tc>
                  <w:tcPr>
                    <w:tcW w:w="1208" w:type="dxa"/>
                    <w:shd w:val="clear" w:color="auto" w:fill="auto"/>
                    <w:noWrap/>
                    <w:vAlign w:val="bottom"/>
                    <w:hideMark/>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r w:rsidRPr="00775FAA">
                      <w:rPr>
                        <w:rFonts w:asciiTheme="minorEastAsia" w:eastAsiaTheme="minorEastAsia" w:hAnsiTheme="minorEastAsia" w:cs="Arial"/>
                        <w:color w:val="000000"/>
                        <w:sz w:val="18"/>
                        <w:szCs w:val="18"/>
                      </w:rPr>
                      <w:t xml:space="preserve"> 合计 </w:t>
                    </w:r>
                  </w:p>
                </w:tc>
                <w:tc>
                  <w:tcPr>
                    <w:tcW w:w="130" w:type="dxa"/>
                    <w:shd w:val="clear" w:color="auto" w:fill="auto"/>
                    <w:noWrap/>
                    <w:vAlign w:val="bottom"/>
                    <w:hideMark/>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strike/>
                        <w:color w:val="000000"/>
                        <w:sz w:val="18"/>
                        <w:szCs w:val="18"/>
                      </w:rPr>
                    </w:pPr>
                  </w:p>
                </w:tc>
              </w:tr>
              <w:tr w:rsidR="00775FAA" w:rsidRPr="00775FAA" w:rsidTr="00B637B2">
                <w:trPr>
                  <w:cantSplit/>
                </w:trPr>
                <w:tc>
                  <w:tcPr>
                    <w:tcW w:w="1262" w:type="dxa"/>
                    <w:shd w:val="clear" w:color="auto" w:fill="auto"/>
                    <w:noWrap/>
                    <w:vAlign w:val="bottom"/>
                    <w:hideMark/>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sz w:val="18"/>
                        <w:szCs w:val="18"/>
                      </w:rPr>
                    </w:pPr>
                    <w:r w:rsidRPr="00775FAA">
                      <w:rPr>
                        <w:rFonts w:asciiTheme="minorEastAsia" w:eastAsiaTheme="minorEastAsia" w:hAnsiTheme="minorEastAsia" w:cs="Arial"/>
                        <w:color w:val="000000"/>
                        <w:sz w:val="18"/>
                        <w:szCs w:val="18"/>
                      </w:rPr>
                      <w:t xml:space="preserve"> </w:t>
                    </w:r>
                  </w:p>
                </w:tc>
                <w:tc>
                  <w:tcPr>
                    <w:tcW w:w="35" w:type="dxa"/>
                    <w:shd w:val="clear" w:color="auto" w:fill="auto"/>
                    <w:noWrap/>
                    <w:vAlign w:val="bottom"/>
                    <w:hideMark/>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sz w:val="18"/>
                        <w:szCs w:val="18"/>
                      </w:rPr>
                    </w:pPr>
                    <w:r w:rsidRPr="00775FAA">
                      <w:rPr>
                        <w:rFonts w:asciiTheme="minorEastAsia" w:eastAsiaTheme="minorEastAsia" w:hAnsiTheme="minorEastAsia" w:cs="Arial"/>
                        <w:color w:val="000000"/>
                        <w:sz w:val="18"/>
                        <w:szCs w:val="18"/>
                      </w:rPr>
                      <w:t xml:space="preserve"> </w:t>
                    </w:r>
                  </w:p>
                </w:tc>
                <w:tc>
                  <w:tcPr>
                    <w:tcW w:w="1241" w:type="dxa"/>
                    <w:shd w:val="clear" w:color="auto" w:fill="auto"/>
                    <w:noWrap/>
                    <w:vAlign w:val="bottom"/>
                    <w:hideMark/>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sz w:val="18"/>
                        <w:szCs w:val="18"/>
                      </w:rPr>
                    </w:pPr>
                    <w:r w:rsidRPr="00775FAA">
                      <w:rPr>
                        <w:rFonts w:asciiTheme="minorEastAsia" w:eastAsiaTheme="minorEastAsia" w:hAnsiTheme="minorEastAsia" w:cs="Arial"/>
                        <w:color w:val="000000"/>
                        <w:sz w:val="18"/>
                        <w:szCs w:val="18"/>
                      </w:rPr>
                      <w:t xml:space="preserve"> </w:t>
                    </w:r>
                  </w:p>
                </w:tc>
                <w:tc>
                  <w:tcPr>
                    <w:tcW w:w="95" w:type="dxa"/>
                    <w:shd w:val="clear" w:color="auto" w:fill="auto"/>
                    <w:noWrap/>
                    <w:vAlign w:val="bottom"/>
                    <w:hideMark/>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sz w:val="18"/>
                        <w:szCs w:val="18"/>
                      </w:rPr>
                    </w:pPr>
                    <w:r w:rsidRPr="00775FAA">
                      <w:rPr>
                        <w:rFonts w:asciiTheme="minorEastAsia" w:eastAsiaTheme="minorEastAsia" w:hAnsiTheme="minorEastAsia" w:cs="Arial"/>
                        <w:color w:val="000000"/>
                        <w:sz w:val="18"/>
                        <w:szCs w:val="18"/>
                      </w:rPr>
                      <w:t xml:space="preserve"> </w:t>
                    </w:r>
                  </w:p>
                </w:tc>
                <w:tc>
                  <w:tcPr>
                    <w:tcW w:w="1039" w:type="dxa"/>
                    <w:shd w:val="clear" w:color="auto" w:fill="auto"/>
                    <w:noWrap/>
                    <w:vAlign w:val="bottom"/>
                    <w:hideMark/>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sz w:val="18"/>
                        <w:szCs w:val="18"/>
                      </w:rPr>
                    </w:pPr>
                    <w:r w:rsidRPr="00775FAA">
                      <w:rPr>
                        <w:rFonts w:asciiTheme="minorEastAsia" w:eastAsiaTheme="minorEastAsia" w:hAnsiTheme="minorEastAsia" w:cs="Arial"/>
                        <w:color w:val="000000"/>
                        <w:sz w:val="18"/>
                        <w:szCs w:val="18"/>
                      </w:rPr>
                      <w:t xml:space="preserve"> </w:t>
                    </w:r>
                  </w:p>
                </w:tc>
                <w:tc>
                  <w:tcPr>
                    <w:tcW w:w="94" w:type="dxa"/>
                    <w:shd w:val="clear" w:color="auto" w:fill="auto"/>
                    <w:noWrap/>
                    <w:vAlign w:val="bottom"/>
                    <w:hideMark/>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sz w:val="18"/>
                        <w:szCs w:val="18"/>
                      </w:rPr>
                    </w:pPr>
                    <w:r w:rsidRPr="00775FAA">
                      <w:rPr>
                        <w:rFonts w:asciiTheme="minorEastAsia" w:eastAsiaTheme="minorEastAsia" w:hAnsiTheme="minorEastAsia" w:cs="Arial"/>
                        <w:color w:val="000000"/>
                        <w:sz w:val="18"/>
                        <w:szCs w:val="18"/>
                      </w:rPr>
                      <w:t xml:space="preserve"> </w:t>
                    </w:r>
                  </w:p>
                </w:tc>
                <w:tc>
                  <w:tcPr>
                    <w:tcW w:w="1181" w:type="dxa"/>
                    <w:shd w:val="clear" w:color="auto" w:fill="auto"/>
                    <w:noWrap/>
                    <w:vAlign w:val="bottom"/>
                    <w:hideMark/>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sz w:val="18"/>
                        <w:szCs w:val="18"/>
                      </w:rPr>
                    </w:pPr>
                    <w:r w:rsidRPr="00775FAA">
                      <w:rPr>
                        <w:rFonts w:asciiTheme="minorEastAsia" w:eastAsiaTheme="minorEastAsia" w:hAnsiTheme="minorEastAsia" w:cs="Arial"/>
                        <w:color w:val="000000"/>
                        <w:sz w:val="18"/>
                        <w:szCs w:val="18"/>
                      </w:rPr>
                      <w:t xml:space="preserve"> </w:t>
                    </w:r>
                  </w:p>
                </w:tc>
                <w:tc>
                  <w:tcPr>
                    <w:tcW w:w="94" w:type="dxa"/>
                    <w:shd w:val="clear" w:color="auto" w:fill="auto"/>
                    <w:noWrap/>
                    <w:vAlign w:val="bottom"/>
                    <w:hideMark/>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sz w:val="18"/>
                        <w:szCs w:val="18"/>
                      </w:rPr>
                    </w:pPr>
                    <w:r w:rsidRPr="00775FAA">
                      <w:rPr>
                        <w:rFonts w:asciiTheme="minorEastAsia" w:eastAsiaTheme="minorEastAsia" w:hAnsiTheme="minorEastAsia" w:cs="Arial"/>
                        <w:color w:val="000000"/>
                        <w:sz w:val="18"/>
                        <w:szCs w:val="18"/>
                      </w:rPr>
                      <w:t xml:space="preserve"> </w:t>
                    </w:r>
                  </w:p>
                </w:tc>
                <w:tc>
                  <w:tcPr>
                    <w:tcW w:w="1040" w:type="dxa"/>
                    <w:shd w:val="clear" w:color="auto" w:fill="auto"/>
                    <w:noWrap/>
                    <w:vAlign w:val="bottom"/>
                    <w:hideMark/>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sz w:val="18"/>
                        <w:szCs w:val="18"/>
                      </w:rPr>
                    </w:pPr>
                    <w:r w:rsidRPr="00775FAA">
                      <w:rPr>
                        <w:rFonts w:asciiTheme="minorEastAsia" w:eastAsiaTheme="minorEastAsia" w:hAnsiTheme="minorEastAsia" w:cs="Arial"/>
                        <w:color w:val="000000"/>
                        <w:sz w:val="18"/>
                        <w:szCs w:val="18"/>
                      </w:rPr>
                      <w:t xml:space="preserve"> </w:t>
                    </w:r>
                  </w:p>
                </w:tc>
                <w:tc>
                  <w:tcPr>
                    <w:tcW w:w="94" w:type="dxa"/>
                    <w:shd w:val="clear" w:color="auto" w:fill="auto"/>
                    <w:noWrap/>
                    <w:vAlign w:val="bottom"/>
                    <w:hideMark/>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sz w:val="18"/>
                        <w:szCs w:val="18"/>
                      </w:rPr>
                    </w:pPr>
                    <w:r w:rsidRPr="00775FAA">
                      <w:rPr>
                        <w:rFonts w:asciiTheme="minorEastAsia" w:eastAsiaTheme="minorEastAsia" w:hAnsiTheme="minorEastAsia" w:cs="Arial"/>
                        <w:color w:val="000000"/>
                        <w:sz w:val="18"/>
                        <w:szCs w:val="18"/>
                      </w:rPr>
                      <w:t xml:space="preserve"> </w:t>
                    </w:r>
                  </w:p>
                </w:tc>
                <w:tc>
                  <w:tcPr>
                    <w:tcW w:w="872" w:type="dxa"/>
                    <w:shd w:val="clear" w:color="auto" w:fill="auto"/>
                    <w:noWrap/>
                    <w:vAlign w:val="bottom"/>
                    <w:hideMark/>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sz w:val="18"/>
                        <w:szCs w:val="18"/>
                      </w:rPr>
                    </w:pPr>
                    <w:r w:rsidRPr="00775FAA">
                      <w:rPr>
                        <w:rFonts w:asciiTheme="minorEastAsia" w:eastAsiaTheme="minorEastAsia" w:hAnsiTheme="minorEastAsia" w:cs="Arial"/>
                        <w:color w:val="000000"/>
                        <w:sz w:val="18"/>
                        <w:szCs w:val="18"/>
                      </w:rPr>
                      <w:t xml:space="preserve"> </w:t>
                    </w:r>
                  </w:p>
                </w:tc>
                <w:tc>
                  <w:tcPr>
                    <w:tcW w:w="94" w:type="dxa"/>
                    <w:shd w:val="clear" w:color="auto" w:fill="auto"/>
                    <w:noWrap/>
                    <w:vAlign w:val="bottom"/>
                    <w:hideMark/>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sz w:val="18"/>
                        <w:szCs w:val="18"/>
                      </w:rPr>
                    </w:pPr>
                    <w:r w:rsidRPr="00775FAA">
                      <w:rPr>
                        <w:rFonts w:asciiTheme="minorEastAsia" w:eastAsiaTheme="minorEastAsia" w:hAnsiTheme="minorEastAsia" w:cs="Arial"/>
                        <w:color w:val="000000"/>
                        <w:sz w:val="18"/>
                        <w:szCs w:val="18"/>
                      </w:rPr>
                      <w:t xml:space="preserve"> </w:t>
                    </w:r>
                  </w:p>
                </w:tc>
                <w:tc>
                  <w:tcPr>
                    <w:tcW w:w="1208" w:type="dxa"/>
                    <w:shd w:val="clear" w:color="auto" w:fill="auto"/>
                    <w:noWrap/>
                    <w:vAlign w:val="bottom"/>
                    <w:hideMark/>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sz w:val="18"/>
                        <w:szCs w:val="18"/>
                      </w:rPr>
                    </w:pPr>
                    <w:r w:rsidRPr="00775FAA">
                      <w:rPr>
                        <w:rFonts w:asciiTheme="minorEastAsia" w:eastAsiaTheme="minorEastAsia" w:hAnsiTheme="minorEastAsia" w:cs="Arial"/>
                        <w:color w:val="000000"/>
                        <w:sz w:val="18"/>
                        <w:szCs w:val="18"/>
                      </w:rPr>
                      <w:t xml:space="preserve"> </w:t>
                    </w:r>
                  </w:p>
                </w:tc>
                <w:tc>
                  <w:tcPr>
                    <w:tcW w:w="130" w:type="dxa"/>
                    <w:shd w:val="clear" w:color="auto" w:fill="auto"/>
                    <w:noWrap/>
                    <w:vAlign w:val="bottom"/>
                    <w:hideMark/>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sz w:val="18"/>
                        <w:szCs w:val="18"/>
                      </w:rPr>
                    </w:pPr>
                    <w:r w:rsidRPr="00775FAA">
                      <w:rPr>
                        <w:rFonts w:asciiTheme="minorEastAsia" w:eastAsiaTheme="minorEastAsia" w:hAnsiTheme="minorEastAsia" w:cs="Arial"/>
                        <w:color w:val="000000"/>
                        <w:sz w:val="18"/>
                        <w:szCs w:val="18"/>
                      </w:rPr>
                      <w:t xml:space="preserve"> </w:t>
                    </w:r>
                  </w:p>
                </w:tc>
              </w:tr>
              <w:tr w:rsidR="00775FAA" w:rsidRPr="00775FAA" w:rsidTr="00B637B2">
                <w:trPr>
                  <w:cantSplit/>
                </w:trPr>
                <w:tc>
                  <w:tcPr>
                    <w:tcW w:w="1262" w:type="dxa"/>
                    <w:shd w:val="clear" w:color="000000" w:fill="auto"/>
                    <w:noWrap/>
                    <w:vAlign w:val="bottom"/>
                    <w:hideMark/>
                  </w:tcPr>
                  <w:p w:rsidR="00775FAA" w:rsidRPr="00775FAA" w:rsidRDefault="00775FAA" w:rsidP="00B637B2">
                    <w:pPr>
                      <w:kinsoku w:val="0"/>
                      <w:overflowPunct w:val="0"/>
                      <w:autoSpaceDE w:val="0"/>
                      <w:autoSpaceDN w:val="0"/>
                      <w:adjustRightInd w:val="0"/>
                      <w:snapToGrid w:val="0"/>
                      <w:rPr>
                        <w:rFonts w:asciiTheme="minorEastAsia" w:eastAsiaTheme="minorEastAsia" w:hAnsiTheme="minorEastAsia" w:cs="Arial"/>
                        <w:color w:val="000000"/>
                        <w:sz w:val="18"/>
                        <w:szCs w:val="18"/>
                      </w:rPr>
                    </w:pPr>
                    <w:r w:rsidRPr="00775FAA">
                      <w:rPr>
                        <w:rFonts w:asciiTheme="minorEastAsia" w:eastAsiaTheme="minorEastAsia" w:hAnsiTheme="minorEastAsia" w:cs="Arial"/>
                        <w:sz w:val="18"/>
                        <w:szCs w:val="18"/>
                      </w:rPr>
                      <w:t>短期借款</w:t>
                    </w:r>
                  </w:p>
                </w:tc>
                <w:tc>
                  <w:tcPr>
                    <w:tcW w:w="35" w:type="dxa"/>
                    <w:shd w:val="clear" w:color="auto" w:fill="auto"/>
                    <w:noWrap/>
                    <w:vAlign w:val="bottom"/>
                    <w:hideMark/>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r w:rsidRPr="00775FAA">
                      <w:rPr>
                        <w:rFonts w:asciiTheme="minorEastAsia" w:eastAsiaTheme="minorEastAsia" w:hAnsiTheme="minorEastAsia" w:cs="Arial"/>
                        <w:color w:val="000000"/>
                        <w:sz w:val="18"/>
                        <w:szCs w:val="18"/>
                      </w:rPr>
                      <w:t xml:space="preserve"> </w:t>
                    </w:r>
                  </w:p>
                </w:tc>
                <w:tc>
                  <w:tcPr>
                    <w:tcW w:w="1241" w:type="dxa"/>
                    <w:shd w:val="clear" w:color="000000"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r w:rsidRPr="00775FAA">
                      <w:rPr>
                        <w:rFonts w:asciiTheme="minorEastAsia" w:eastAsiaTheme="minorEastAsia" w:hAnsiTheme="minorEastAsia" w:cs="Arial"/>
                        <w:color w:val="000000"/>
                        <w:sz w:val="18"/>
                        <w:szCs w:val="18"/>
                      </w:rPr>
                      <w:t>100,334,652</w:t>
                    </w:r>
                  </w:p>
                </w:tc>
                <w:tc>
                  <w:tcPr>
                    <w:tcW w:w="95"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1039" w:type="dxa"/>
                    <w:shd w:val="clear" w:color="000000"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r w:rsidRPr="00775FAA">
                      <w:rPr>
                        <w:rFonts w:asciiTheme="minorEastAsia" w:eastAsiaTheme="minorEastAsia" w:hAnsiTheme="minorEastAsia" w:cs="Arial"/>
                        <w:color w:val="000000"/>
                        <w:sz w:val="18"/>
                        <w:szCs w:val="18"/>
                      </w:rPr>
                      <w:t>302,723,934</w:t>
                    </w:r>
                  </w:p>
                </w:tc>
                <w:tc>
                  <w:tcPr>
                    <w:tcW w:w="94"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1181" w:type="dxa"/>
                    <w:shd w:val="clear" w:color="000000"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r w:rsidRPr="00775FAA">
                      <w:rPr>
                        <w:rFonts w:asciiTheme="minorEastAsia" w:eastAsiaTheme="minorEastAsia" w:hAnsiTheme="minorEastAsia" w:cs="Arial"/>
                        <w:color w:val="000000"/>
                        <w:sz w:val="18"/>
                        <w:szCs w:val="18"/>
                      </w:rPr>
                      <w:t>2,887,053,734</w:t>
                    </w:r>
                  </w:p>
                </w:tc>
                <w:tc>
                  <w:tcPr>
                    <w:tcW w:w="94"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1040" w:type="dxa"/>
                    <w:shd w:val="clear" w:color="000000"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r w:rsidRPr="00775FAA">
                      <w:rPr>
                        <w:rFonts w:asciiTheme="minorEastAsia" w:eastAsiaTheme="minorEastAsia" w:hAnsiTheme="minorEastAsia" w:cs="Arial" w:hint="eastAsia"/>
                        <w:color w:val="000000"/>
                        <w:sz w:val="18"/>
                        <w:szCs w:val="18"/>
                      </w:rPr>
                      <w:t>-</w:t>
                    </w:r>
                  </w:p>
                </w:tc>
                <w:tc>
                  <w:tcPr>
                    <w:tcW w:w="94"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872" w:type="dxa"/>
                    <w:shd w:val="clear" w:color="000000"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r w:rsidRPr="00775FAA">
                      <w:rPr>
                        <w:rFonts w:asciiTheme="minorEastAsia" w:eastAsiaTheme="minorEastAsia" w:hAnsiTheme="minorEastAsia" w:cs="Arial" w:hint="eastAsia"/>
                        <w:color w:val="000000"/>
                        <w:sz w:val="18"/>
                        <w:szCs w:val="18"/>
                      </w:rPr>
                      <w:t>-</w:t>
                    </w:r>
                  </w:p>
                </w:tc>
                <w:tc>
                  <w:tcPr>
                    <w:tcW w:w="94"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1208" w:type="dxa"/>
                    <w:shd w:val="clear" w:color="000000"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r w:rsidRPr="00775FAA">
                      <w:rPr>
                        <w:rFonts w:asciiTheme="minorEastAsia" w:eastAsiaTheme="minorEastAsia" w:hAnsiTheme="minorEastAsia" w:cs="Arial"/>
                        <w:color w:val="000000"/>
                        <w:sz w:val="18"/>
                        <w:szCs w:val="18"/>
                      </w:rPr>
                      <w:t>3,290,112,320</w:t>
                    </w:r>
                  </w:p>
                </w:tc>
                <w:tc>
                  <w:tcPr>
                    <w:tcW w:w="130"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r>
              <w:tr w:rsidR="00775FAA" w:rsidRPr="00775FAA" w:rsidTr="00B637B2">
                <w:trPr>
                  <w:cantSplit/>
                </w:trPr>
                <w:tc>
                  <w:tcPr>
                    <w:tcW w:w="1262" w:type="dxa"/>
                    <w:shd w:val="clear" w:color="000000" w:fill="auto"/>
                    <w:noWrap/>
                    <w:vAlign w:val="bottom"/>
                    <w:hideMark/>
                  </w:tcPr>
                  <w:p w:rsidR="00775FAA" w:rsidRPr="00775FAA" w:rsidRDefault="00775FAA" w:rsidP="00B637B2">
                    <w:pPr>
                      <w:kinsoku w:val="0"/>
                      <w:overflowPunct w:val="0"/>
                      <w:autoSpaceDE w:val="0"/>
                      <w:autoSpaceDN w:val="0"/>
                      <w:adjustRightInd w:val="0"/>
                      <w:snapToGrid w:val="0"/>
                      <w:rPr>
                        <w:rFonts w:asciiTheme="minorEastAsia" w:eastAsiaTheme="minorEastAsia" w:hAnsiTheme="minorEastAsia" w:cs="Arial"/>
                        <w:color w:val="000000"/>
                        <w:sz w:val="18"/>
                        <w:szCs w:val="18"/>
                      </w:rPr>
                    </w:pPr>
                    <w:r w:rsidRPr="00775FAA">
                      <w:rPr>
                        <w:rFonts w:asciiTheme="minorEastAsia" w:eastAsiaTheme="minorEastAsia" w:hAnsiTheme="minorEastAsia" w:cs="Arial"/>
                        <w:sz w:val="18"/>
                        <w:szCs w:val="18"/>
                      </w:rPr>
                      <w:t>应付账款</w:t>
                    </w:r>
                  </w:p>
                </w:tc>
                <w:tc>
                  <w:tcPr>
                    <w:tcW w:w="35" w:type="dxa"/>
                    <w:shd w:val="clear" w:color="auto" w:fill="auto"/>
                    <w:noWrap/>
                    <w:vAlign w:val="bottom"/>
                    <w:hideMark/>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r w:rsidRPr="00775FAA">
                      <w:rPr>
                        <w:rFonts w:asciiTheme="minorEastAsia" w:eastAsiaTheme="minorEastAsia" w:hAnsiTheme="minorEastAsia" w:cs="Arial"/>
                        <w:color w:val="000000"/>
                        <w:sz w:val="18"/>
                        <w:szCs w:val="18"/>
                      </w:rPr>
                      <w:t xml:space="preserve"> </w:t>
                    </w:r>
                  </w:p>
                </w:tc>
                <w:tc>
                  <w:tcPr>
                    <w:tcW w:w="1241" w:type="dxa"/>
                    <w:shd w:val="clear" w:color="000000"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r w:rsidRPr="00775FAA">
                      <w:rPr>
                        <w:rFonts w:asciiTheme="minorEastAsia" w:eastAsiaTheme="minorEastAsia" w:hAnsiTheme="minorEastAsia" w:cs="Arial"/>
                        <w:color w:val="000000"/>
                        <w:sz w:val="18"/>
                        <w:szCs w:val="18"/>
                      </w:rPr>
                      <w:t>398,612,126</w:t>
                    </w:r>
                  </w:p>
                </w:tc>
                <w:tc>
                  <w:tcPr>
                    <w:tcW w:w="95"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1039" w:type="dxa"/>
                    <w:shd w:val="clear" w:color="000000"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r w:rsidRPr="00775FAA">
                      <w:rPr>
                        <w:rFonts w:asciiTheme="minorEastAsia" w:eastAsiaTheme="minorEastAsia" w:hAnsiTheme="minorEastAsia" w:cs="Arial"/>
                        <w:color w:val="000000"/>
                        <w:sz w:val="18"/>
                        <w:szCs w:val="18"/>
                      </w:rPr>
                      <w:t>57,010,358</w:t>
                    </w:r>
                  </w:p>
                </w:tc>
                <w:tc>
                  <w:tcPr>
                    <w:tcW w:w="94"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1181" w:type="dxa"/>
                    <w:shd w:val="clear" w:color="000000"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r w:rsidRPr="00775FAA">
                      <w:rPr>
                        <w:rFonts w:asciiTheme="minorEastAsia" w:eastAsiaTheme="minorEastAsia" w:hAnsiTheme="minorEastAsia" w:cs="Arial" w:hint="eastAsia"/>
                        <w:color w:val="000000"/>
                        <w:sz w:val="18"/>
                        <w:szCs w:val="18"/>
                      </w:rPr>
                      <w:t>-</w:t>
                    </w:r>
                  </w:p>
                </w:tc>
                <w:tc>
                  <w:tcPr>
                    <w:tcW w:w="94"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1040" w:type="dxa"/>
                    <w:shd w:val="clear" w:color="000000"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r w:rsidRPr="00775FAA">
                      <w:rPr>
                        <w:rFonts w:asciiTheme="minorEastAsia" w:eastAsiaTheme="minorEastAsia" w:hAnsiTheme="minorEastAsia" w:cs="Arial" w:hint="eastAsia"/>
                        <w:color w:val="000000"/>
                        <w:sz w:val="18"/>
                        <w:szCs w:val="18"/>
                      </w:rPr>
                      <w:t>-</w:t>
                    </w:r>
                  </w:p>
                </w:tc>
                <w:tc>
                  <w:tcPr>
                    <w:tcW w:w="94"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872" w:type="dxa"/>
                    <w:shd w:val="clear" w:color="000000"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r w:rsidRPr="00775FAA">
                      <w:rPr>
                        <w:rFonts w:asciiTheme="minorEastAsia" w:eastAsiaTheme="minorEastAsia" w:hAnsiTheme="minorEastAsia" w:cs="Arial" w:hint="eastAsia"/>
                        <w:color w:val="000000"/>
                        <w:sz w:val="18"/>
                        <w:szCs w:val="18"/>
                      </w:rPr>
                      <w:t>-</w:t>
                    </w:r>
                  </w:p>
                </w:tc>
                <w:tc>
                  <w:tcPr>
                    <w:tcW w:w="94"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1208" w:type="dxa"/>
                    <w:shd w:val="clear" w:color="000000"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r w:rsidRPr="00775FAA">
                      <w:rPr>
                        <w:rFonts w:asciiTheme="minorEastAsia" w:eastAsiaTheme="minorEastAsia" w:hAnsiTheme="minorEastAsia" w:cs="Arial"/>
                        <w:color w:val="000000"/>
                        <w:sz w:val="18"/>
                        <w:szCs w:val="18"/>
                      </w:rPr>
                      <w:t>455,622,484</w:t>
                    </w:r>
                  </w:p>
                </w:tc>
                <w:tc>
                  <w:tcPr>
                    <w:tcW w:w="130"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r>
              <w:tr w:rsidR="00775FAA" w:rsidRPr="00775FAA" w:rsidTr="00B637B2">
                <w:trPr>
                  <w:cantSplit/>
                </w:trPr>
                <w:tc>
                  <w:tcPr>
                    <w:tcW w:w="1262" w:type="dxa"/>
                    <w:shd w:val="clear" w:color="000000" w:fill="auto"/>
                    <w:vAlign w:val="bottom"/>
                    <w:hideMark/>
                  </w:tcPr>
                  <w:p w:rsidR="00775FAA" w:rsidRPr="00775FAA" w:rsidRDefault="00775FAA" w:rsidP="00B637B2">
                    <w:pPr>
                      <w:kinsoku w:val="0"/>
                      <w:overflowPunct w:val="0"/>
                      <w:autoSpaceDE w:val="0"/>
                      <w:autoSpaceDN w:val="0"/>
                      <w:adjustRightInd w:val="0"/>
                      <w:snapToGrid w:val="0"/>
                      <w:rPr>
                        <w:rFonts w:asciiTheme="minorEastAsia" w:eastAsiaTheme="minorEastAsia" w:hAnsiTheme="minorEastAsia" w:cs="Arial"/>
                        <w:color w:val="000000"/>
                        <w:sz w:val="18"/>
                        <w:szCs w:val="18"/>
                      </w:rPr>
                    </w:pPr>
                    <w:r w:rsidRPr="00775FAA">
                      <w:rPr>
                        <w:rFonts w:asciiTheme="minorEastAsia" w:eastAsiaTheme="minorEastAsia" w:hAnsiTheme="minorEastAsia" w:cs="Arial"/>
                        <w:sz w:val="18"/>
                        <w:szCs w:val="18"/>
                      </w:rPr>
                      <w:t>其他应付款</w:t>
                    </w:r>
                  </w:p>
                </w:tc>
                <w:tc>
                  <w:tcPr>
                    <w:tcW w:w="35" w:type="dxa"/>
                    <w:shd w:val="clear" w:color="auto" w:fill="auto"/>
                    <w:noWrap/>
                    <w:vAlign w:val="bottom"/>
                    <w:hideMark/>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r w:rsidRPr="00775FAA">
                      <w:rPr>
                        <w:rFonts w:asciiTheme="minorEastAsia" w:eastAsiaTheme="minorEastAsia" w:hAnsiTheme="minorEastAsia" w:cs="Arial"/>
                        <w:color w:val="000000"/>
                        <w:sz w:val="18"/>
                        <w:szCs w:val="18"/>
                      </w:rPr>
                      <w:t xml:space="preserve"> </w:t>
                    </w:r>
                  </w:p>
                </w:tc>
                <w:tc>
                  <w:tcPr>
                    <w:tcW w:w="1241" w:type="dxa"/>
                    <w:shd w:val="clear" w:color="000000"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r w:rsidRPr="00775FAA">
                      <w:rPr>
                        <w:rFonts w:asciiTheme="minorEastAsia" w:eastAsiaTheme="minorEastAsia" w:hAnsiTheme="minorEastAsia" w:cs="Arial"/>
                        <w:color w:val="000000"/>
                        <w:sz w:val="18"/>
                        <w:szCs w:val="18"/>
                      </w:rPr>
                      <w:t xml:space="preserve">100,139,630 </w:t>
                    </w:r>
                  </w:p>
                </w:tc>
                <w:tc>
                  <w:tcPr>
                    <w:tcW w:w="95"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1039" w:type="dxa"/>
                    <w:shd w:val="clear" w:color="000000"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r w:rsidRPr="00775FAA">
                      <w:rPr>
                        <w:rFonts w:asciiTheme="minorEastAsia" w:eastAsiaTheme="minorEastAsia" w:hAnsiTheme="minorEastAsia" w:cs="Arial"/>
                        <w:color w:val="000000"/>
                        <w:sz w:val="18"/>
                        <w:szCs w:val="18"/>
                      </w:rPr>
                      <w:t xml:space="preserve">1,950,000 </w:t>
                    </w:r>
                  </w:p>
                </w:tc>
                <w:tc>
                  <w:tcPr>
                    <w:tcW w:w="94"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1181" w:type="dxa"/>
                    <w:shd w:val="clear" w:color="000000"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r w:rsidRPr="00775FAA">
                      <w:rPr>
                        <w:rFonts w:asciiTheme="minorEastAsia" w:eastAsiaTheme="minorEastAsia" w:hAnsiTheme="minorEastAsia" w:cs="Arial"/>
                        <w:color w:val="000000"/>
                        <w:sz w:val="18"/>
                        <w:szCs w:val="18"/>
                      </w:rPr>
                      <w:t>738</w:t>
                    </w:r>
                    <w:r w:rsidRPr="00775FAA">
                      <w:rPr>
                        <w:rFonts w:asciiTheme="minorEastAsia" w:eastAsiaTheme="minorEastAsia" w:hAnsiTheme="minorEastAsia" w:cs="Arial" w:hint="eastAsia"/>
                        <w:color w:val="000000"/>
                        <w:sz w:val="18"/>
                        <w:szCs w:val="18"/>
                      </w:rPr>
                      <w:t>,</w:t>
                    </w:r>
                    <w:r w:rsidRPr="00775FAA">
                      <w:rPr>
                        <w:rFonts w:asciiTheme="minorEastAsia" w:eastAsiaTheme="minorEastAsia" w:hAnsiTheme="minorEastAsia" w:cs="Arial"/>
                        <w:color w:val="000000"/>
                        <w:sz w:val="18"/>
                        <w:szCs w:val="18"/>
                      </w:rPr>
                      <w:t>651</w:t>
                    </w:r>
                    <w:r w:rsidRPr="00775FAA">
                      <w:rPr>
                        <w:rFonts w:asciiTheme="minorEastAsia" w:eastAsiaTheme="minorEastAsia" w:hAnsiTheme="minorEastAsia" w:cs="Arial" w:hint="eastAsia"/>
                        <w:color w:val="000000"/>
                        <w:sz w:val="18"/>
                        <w:szCs w:val="18"/>
                      </w:rPr>
                      <w:t>,</w:t>
                    </w:r>
                    <w:r w:rsidRPr="00775FAA">
                      <w:rPr>
                        <w:rFonts w:asciiTheme="minorEastAsia" w:eastAsiaTheme="minorEastAsia" w:hAnsiTheme="minorEastAsia" w:cs="Arial"/>
                        <w:color w:val="000000"/>
                        <w:sz w:val="18"/>
                        <w:szCs w:val="18"/>
                      </w:rPr>
                      <w:t xml:space="preserve">542 </w:t>
                    </w:r>
                  </w:p>
                </w:tc>
                <w:tc>
                  <w:tcPr>
                    <w:tcW w:w="94"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1040" w:type="dxa"/>
                    <w:shd w:val="clear" w:color="000000"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r w:rsidRPr="00775FAA">
                      <w:rPr>
                        <w:rFonts w:asciiTheme="minorEastAsia" w:eastAsiaTheme="minorEastAsia" w:hAnsiTheme="minorEastAsia" w:cs="Arial"/>
                        <w:color w:val="000000"/>
                        <w:sz w:val="18"/>
                        <w:szCs w:val="18"/>
                      </w:rPr>
                      <w:t>-</w:t>
                    </w:r>
                  </w:p>
                </w:tc>
                <w:tc>
                  <w:tcPr>
                    <w:tcW w:w="94"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872" w:type="dxa"/>
                    <w:shd w:val="clear" w:color="000000"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r w:rsidRPr="00775FAA">
                      <w:rPr>
                        <w:rFonts w:asciiTheme="minorEastAsia" w:eastAsiaTheme="minorEastAsia" w:hAnsiTheme="minorEastAsia" w:cs="Arial" w:hint="eastAsia"/>
                        <w:color w:val="000000"/>
                        <w:sz w:val="18"/>
                        <w:szCs w:val="18"/>
                      </w:rPr>
                      <w:t>-</w:t>
                    </w:r>
                    <w:r w:rsidRPr="00775FAA">
                      <w:rPr>
                        <w:rFonts w:asciiTheme="minorEastAsia" w:eastAsiaTheme="minorEastAsia" w:hAnsiTheme="minorEastAsia" w:cs="Arial"/>
                        <w:color w:val="000000"/>
                        <w:sz w:val="18"/>
                        <w:szCs w:val="18"/>
                      </w:rPr>
                      <w:t xml:space="preserve"> </w:t>
                    </w:r>
                  </w:p>
                </w:tc>
                <w:tc>
                  <w:tcPr>
                    <w:tcW w:w="94"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1208" w:type="dxa"/>
                    <w:shd w:val="clear" w:color="000000"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r w:rsidRPr="00775FAA">
                      <w:rPr>
                        <w:rFonts w:asciiTheme="minorEastAsia" w:eastAsiaTheme="minorEastAsia" w:hAnsiTheme="minorEastAsia" w:cs="Arial"/>
                        <w:color w:val="000000"/>
                        <w:sz w:val="18"/>
                        <w:szCs w:val="18"/>
                      </w:rPr>
                      <w:t>840,741,172</w:t>
                    </w:r>
                  </w:p>
                </w:tc>
                <w:tc>
                  <w:tcPr>
                    <w:tcW w:w="130"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r>
              <w:tr w:rsidR="00775FAA" w:rsidRPr="00775FAA" w:rsidTr="00B637B2">
                <w:trPr>
                  <w:cantSplit/>
                </w:trPr>
                <w:tc>
                  <w:tcPr>
                    <w:tcW w:w="1262" w:type="dxa"/>
                    <w:shd w:val="clear" w:color="000000" w:fill="auto"/>
                    <w:noWrap/>
                    <w:vAlign w:val="bottom"/>
                  </w:tcPr>
                  <w:p w:rsidR="00775FAA" w:rsidRPr="00775FAA" w:rsidRDefault="00775FAA" w:rsidP="00B637B2">
                    <w:pPr>
                      <w:kinsoku w:val="0"/>
                      <w:overflowPunct w:val="0"/>
                      <w:autoSpaceDE w:val="0"/>
                      <w:autoSpaceDN w:val="0"/>
                      <w:adjustRightInd w:val="0"/>
                      <w:snapToGrid w:val="0"/>
                      <w:rPr>
                        <w:rFonts w:asciiTheme="minorEastAsia" w:eastAsiaTheme="minorEastAsia" w:hAnsiTheme="minorEastAsia" w:cs="Arial"/>
                        <w:sz w:val="18"/>
                        <w:szCs w:val="18"/>
                      </w:rPr>
                    </w:pPr>
                    <w:r w:rsidRPr="00775FAA">
                      <w:rPr>
                        <w:rFonts w:asciiTheme="minorEastAsia" w:eastAsiaTheme="minorEastAsia" w:hAnsiTheme="minorEastAsia" w:cs="Arial" w:hint="eastAsia"/>
                        <w:sz w:val="18"/>
                        <w:szCs w:val="18"/>
                      </w:rPr>
                      <w:t>其他流动负债</w:t>
                    </w:r>
                  </w:p>
                </w:tc>
                <w:tc>
                  <w:tcPr>
                    <w:tcW w:w="35"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1241" w:type="dxa"/>
                    <w:shd w:val="clear" w:color="000000"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sz w:val="18"/>
                        <w:szCs w:val="18"/>
                      </w:rPr>
                    </w:pPr>
                  </w:p>
                </w:tc>
                <w:tc>
                  <w:tcPr>
                    <w:tcW w:w="95"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1039" w:type="dxa"/>
                    <w:shd w:val="clear" w:color="000000"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sz w:val="18"/>
                        <w:szCs w:val="18"/>
                      </w:rPr>
                    </w:pPr>
                  </w:p>
                </w:tc>
                <w:tc>
                  <w:tcPr>
                    <w:tcW w:w="94"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1181" w:type="dxa"/>
                    <w:shd w:val="clear" w:color="000000"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sz w:val="18"/>
                        <w:szCs w:val="18"/>
                      </w:rPr>
                    </w:pPr>
                  </w:p>
                </w:tc>
                <w:tc>
                  <w:tcPr>
                    <w:tcW w:w="94"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1040" w:type="dxa"/>
                    <w:shd w:val="clear" w:color="000000"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sz w:val="18"/>
                        <w:szCs w:val="18"/>
                      </w:rPr>
                    </w:pPr>
                  </w:p>
                </w:tc>
                <w:tc>
                  <w:tcPr>
                    <w:tcW w:w="94"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872" w:type="dxa"/>
                    <w:shd w:val="clear" w:color="000000"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sz w:val="18"/>
                        <w:szCs w:val="18"/>
                      </w:rPr>
                    </w:pPr>
                  </w:p>
                </w:tc>
                <w:tc>
                  <w:tcPr>
                    <w:tcW w:w="94"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1208" w:type="dxa"/>
                    <w:shd w:val="clear" w:color="000000"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sz w:val="18"/>
                        <w:szCs w:val="18"/>
                      </w:rPr>
                    </w:pPr>
                  </w:p>
                </w:tc>
                <w:tc>
                  <w:tcPr>
                    <w:tcW w:w="130"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r>
              <w:tr w:rsidR="00775FAA" w:rsidRPr="00775FAA" w:rsidTr="00B637B2">
                <w:trPr>
                  <w:cantSplit/>
                </w:trPr>
                <w:tc>
                  <w:tcPr>
                    <w:tcW w:w="1262" w:type="dxa"/>
                    <w:shd w:val="clear" w:color="000000" w:fill="auto"/>
                    <w:noWrap/>
                    <w:vAlign w:val="bottom"/>
                  </w:tcPr>
                  <w:p w:rsidR="00775FAA" w:rsidRPr="00775FAA" w:rsidRDefault="00775FAA" w:rsidP="00B637B2">
                    <w:pPr>
                      <w:kinsoku w:val="0"/>
                      <w:overflowPunct w:val="0"/>
                      <w:autoSpaceDE w:val="0"/>
                      <w:autoSpaceDN w:val="0"/>
                      <w:adjustRightInd w:val="0"/>
                      <w:snapToGrid w:val="0"/>
                      <w:rPr>
                        <w:rFonts w:asciiTheme="minorEastAsia" w:eastAsiaTheme="minorEastAsia" w:hAnsiTheme="minorEastAsia" w:cs="Arial"/>
                        <w:sz w:val="18"/>
                        <w:szCs w:val="18"/>
                      </w:rPr>
                    </w:pPr>
                    <w:r w:rsidRPr="00775FAA">
                      <w:rPr>
                        <w:rFonts w:asciiTheme="minorEastAsia" w:eastAsiaTheme="minorEastAsia" w:hAnsiTheme="minorEastAsia" w:cs="Arial" w:hint="eastAsia"/>
                        <w:sz w:val="18"/>
                        <w:szCs w:val="18"/>
                      </w:rPr>
                      <w:t>(房租和审计费)</w:t>
                    </w:r>
                  </w:p>
                </w:tc>
                <w:tc>
                  <w:tcPr>
                    <w:tcW w:w="35"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1241" w:type="dxa"/>
                    <w:shd w:val="clear" w:color="000000"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sz w:val="18"/>
                        <w:szCs w:val="18"/>
                      </w:rPr>
                    </w:pPr>
                    <w:r w:rsidRPr="00775FAA">
                      <w:rPr>
                        <w:rFonts w:asciiTheme="minorEastAsia" w:eastAsiaTheme="minorEastAsia" w:hAnsiTheme="minorEastAsia" w:cs="Arial" w:hint="eastAsia"/>
                        <w:color w:val="000000"/>
                        <w:sz w:val="18"/>
                        <w:szCs w:val="18"/>
                      </w:rPr>
                      <w:t>-</w:t>
                    </w:r>
                  </w:p>
                </w:tc>
                <w:tc>
                  <w:tcPr>
                    <w:tcW w:w="95"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1039" w:type="dxa"/>
                    <w:shd w:val="clear" w:color="000000"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sz w:val="18"/>
                        <w:szCs w:val="18"/>
                      </w:rPr>
                    </w:pPr>
                    <w:r w:rsidRPr="00775FAA">
                      <w:rPr>
                        <w:rFonts w:asciiTheme="minorEastAsia" w:eastAsiaTheme="minorEastAsia" w:hAnsiTheme="minorEastAsia" w:cs="Arial" w:hint="eastAsia"/>
                        <w:color w:val="000000"/>
                        <w:sz w:val="18"/>
                        <w:szCs w:val="18"/>
                      </w:rPr>
                      <w:t>2</w:t>
                    </w:r>
                    <w:r w:rsidRPr="00775FAA">
                      <w:rPr>
                        <w:rFonts w:asciiTheme="minorEastAsia" w:eastAsiaTheme="minorEastAsia" w:hAnsiTheme="minorEastAsia" w:cs="Arial"/>
                        <w:color w:val="000000"/>
                        <w:sz w:val="18"/>
                        <w:szCs w:val="18"/>
                      </w:rPr>
                      <w:t>,</w:t>
                    </w:r>
                    <w:r w:rsidRPr="00775FAA">
                      <w:rPr>
                        <w:rFonts w:asciiTheme="minorEastAsia" w:eastAsiaTheme="minorEastAsia" w:hAnsiTheme="minorEastAsia" w:cs="Arial" w:hint="eastAsia"/>
                        <w:color w:val="000000"/>
                        <w:sz w:val="18"/>
                        <w:szCs w:val="18"/>
                      </w:rPr>
                      <w:t>431</w:t>
                    </w:r>
                    <w:r w:rsidRPr="00775FAA">
                      <w:rPr>
                        <w:rFonts w:asciiTheme="minorEastAsia" w:eastAsiaTheme="minorEastAsia" w:hAnsiTheme="minorEastAsia" w:cs="Arial"/>
                        <w:color w:val="000000"/>
                        <w:sz w:val="18"/>
                        <w:szCs w:val="18"/>
                      </w:rPr>
                      <w:t>,</w:t>
                    </w:r>
                    <w:r w:rsidRPr="00775FAA">
                      <w:rPr>
                        <w:rFonts w:asciiTheme="minorEastAsia" w:eastAsiaTheme="minorEastAsia" w:hAnsiTheme="minorEastAsia" w:cs="Arial" w:hint="eastAsia"/>
                        <w:color w:val="000000"/>
                        <w:sz w:val="18"/>
                        <w:szCs w:val="18"/>
                      </w:rPr>
                      <w:t>350</w:t>
                    </w:r>
                  </w:p>
                </w:tc>
                <w:tc>
                  <w:tcPr>
                    <w:tcW w:w="94"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1181" w:type="dxa"/>
                    <w:shd w:val="clear" w:color="000000"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sz w:val="18"/>
                        <w:szCs w:val="18"/>
                      </w:rPr>
                    </w:pPr>
                    <w:r w:rsidRPr="00775FAA">
                      <w:rPr>
                        <w:rFonts w:asciiTheme="minorEastAsia" w:eastAsiaTheme="minorEastAsia" w:hAnsiTheme="minorEastAsia" w:cs="Arial" w:hint="eastAsia"/>
                        <w:color w:val="000000"/>
                        <w:sz w:val="18"/>
                        <w:szCs w:val="18"/>
                      </w:rPr>
                      <w:t>-</w:t>
                    </w:r>
                  </w:p>
                </w:tc>
                <w:tc>
                  <w:tcPr>
                    <w:tcW w:w="94"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1040" w:type="dxa"/>
                    <w:shd w:val="clear" w:color="000000"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sz w:val="18"/>
                        <w:szCs w:val="18"/>
                      </w:rPr>
                    </w:pPr>
                    <w:r w:rsidRPr="00775FAA">
                      <w:rPr>
                        <w:rFonts w:asciiTheme="minorEastAsia" w:eastAsiaTheme="minorEastAsia" w:hAnsiTheme="minorEastAsia" w:cs="Arial" w:hint="eastAsia"/>
                        <w:color w:val="000000"/>
                        <w:sz w:val="18"/>
                        <w:szCs w:val="18"/>
                      </w:rPr>
                      <w:t>-</w:t>
                    </w:r>
                  </w:p>
                </w:tc>
                <w:tc>
                  <w:tcPr>
                    <w:tcW w:w="94"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872" w:type="dxa"/>
                    <w:shd w:val="clear" w:color="000000"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sz w:val="18"/>
                        <w:szCs w:val="18"/>
                      </w:rPr>
                    </w:pPr>
                    <w:r w:rsidRPr="00775FAA">
                      <w:rPr>
                        <w:rFonts w:asciiTheme="minorEastAsia" w:eastAsiaTheme="minorEastAsia" w:hAnsiTheme="minorEastAsia" w:cs="Arial" w:hint="eastAsia"/>
                        <w:color w:val="000000"/>
                        <w:sz w:val="18"/>
                        <w:szCs w:val="18"/>
                      </w:rPr>
                      <w:t>-</w:t>
                    </w:r>
                  </w:p>
                </w:tc>
                <w:tc>
                  <w:tcPr>
                    <w:tcW w:w="94"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1208" w:type="dxa"/>
                    <w:shd w:val="clear" w:color="000000"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sz w:val="18"/>
                        <w:szCs w:val="18"/>
                      </w:rPr>
                    </w:pPr>
                    <w:r w:rsidRPr="00775FAA">
                      <w:rPr>
                        <w:rFonts w:asciiTheme="minorEastAsia" w:eastAsiaTheme="minorEastAsia" w:hAnsiTheme="minorEastAsia" w:cs="Arial" w:hint="eastAsia"/>
                        <w:color w:val="000000"/>
                        <w:sz w:val="18"/>
                        <w:szCs w:val="18"/>
                      </w:rPr>
                      <w:t>2</w:t>
                    </w:r>
                    <w:r w:rsidRPr="00775FAA">
                      <w:rPr>
                        <w:rFonts w:asciiTheme="minorEastAsia" w:eastAsiaTheme="minorEastAsia" w:hAnsiTheme="minorEastAsia" w:cs="Arial"/>
                        <w:color w:val="000000"/>
                        <w:sz w:val="18"/>
                        <w:szCs w:val="18"/>
                      </w:rPr>
                      <w:t>,</w:t>
                    </w:r>
                    <w:r w:rsidRPr="00775FAA">
                      <w:rPr>
                        <w:rFonts w:asciiTheme="minorEastAsia" w:eastAsiaTheme="minorEastAsia" w:hAnsiTheme="minorEastAsia" w:cs="Arial" w:hint="eastAsia"/>
                        <w:color w:val="000000"/>
                        <w:sz w:val="18"/>
                        <w:szCs w:val="18"/>
                      </w:rPr>
                      <w:t>431</w:t>
                    </w:r>
                    <w:r w:rsidRPr="00775FAA">
                      <w:rPr>
                        <w:rFonts w:asciiTheme="minorEastAsia" w:eastAsiaTheme="minorEastAsia" w:hAnsiTheme="minorEastAsia" w:cs="Arial"/>
                        <w:color w:val="000000"/>
                        <w:sz w:val="18"/>
                        <w:szCs w:val="18"/>
                      </w:rPr>
                      <w:t>,</w:t>
                    </w:r>
                    <w:r w:rsidRPr="00775FAA">
                      <w:rPr>
                        <w:rFonts w:asciiTheme="minorEastAsia" w:eastAsiaTheme="minorEastAsia" w:hAnsiTheme="minorEastAsia" w:cs="Arial" w:hint="eastAsia"/>
                        <w:color w:val="000000"/>
                        <w:sz w:val="18"/>
                        <w:szCs w:val="18"/>
                      </w:rPr>
                      <w:t>350</w:t>
                    </w:r>
                  </w:p>
                </w:tc>
                <w:tc>
                  <w:tcPr>
                    <w:tcW w:w="130"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r>
              <w:tr w:rsidR="00775FAA" w:rsidRPr="00775FAA" w:rsidTr="00B637B2">
                <w:trPr>
                  <w:cantSplit/>
                </w:trPr>
                <w:tc>
                  <w:tcPr>
                    <w:tcW w:w="1262" w:type="dxa"/>
                    <w:shd w:val="clear" w:color="000000" w:fill="auto"/>
                    <w:noWrap/>
                    <w:vAlign w:val="bottom"/>
                    <w:hideMark/>
                  </w:tcPr>
                  <w:p w:rsidR="00775FAA" w:rsidRPr="00775FAA" w:rsidRDefault="00775FAA" w:rsidP="00B637B2">
                    <w:pPr>
                      <w:kinsoku w:val="0"/>
                      <w:overflowPunct w:val="0"/>
                      <w:autoSpaceDE w:val="0"/>
                      <w:autoSpaceDN w:val="0"/>
                      <w:adjustRightInd w:val="0"/>
                      <w:snapToGrid w:val="0"/>
                      <w:rPr>
                        <w:rFonts w:asciiTheme="minorEastAsia" w:eastAsiaTheme="minorEastAsia" w:hAnsiTheme="minorEastAsia" w:cs="Arial"/>
                        <w:sz w:val="18"/>
                        <w:szCs w:val="18"/>
                      </w:rPr>
                    </w:pPr>
                    <w:r w:rsidRPr="00775FAA">
                      <w:rPr>
                        <w:rFonts w:asciiTheme="minorEastAsia" w:eastAsiaTheme="minorEastAsia" w:hAnsiTheme="minorEastAsia" w:cs="Arial"/>
                        <w:sz w:val="18"/>
                        <w:szCs w:val="18"/>
                      </w:rPr>
                      <w:t>一年内到期的</w:t>
                    </w:r>
                  </w:p>
                  <w:p w:rsidR="00775FAA" w:rsidRPr="00775FAA" w:rsidRDefault="00775FAA" w:rsidP="00B637B2">
                    <w:pPr>
                      <w:kinsoku w:val="0"/>
                      <w:overflowPunct w:val="0"/>
                      <w:autoSpaceDE w:val="0"/>
                      <w:autoSpaceDN w:val="0"/>
                      <w:adjustRightInd w:val="0"/>
                      <w:snapToGrid w:val="0"/>
                      <w:ind w:firstLineChars="100" w:firstLine="180"/>
                      <w:rPr>
                        <w:rFonts w:asciiTheme="minorEastAsia" w:eastAsiaTheme="minorEastAsia" w:hAnsiTheme="minorEastAsia" w:cs="Arial"/>
                        <w:color w:val="000000"/>
                        <w:sz w:val="18"/>
                        <w:szCs w:val="18"/>
                      </w:rPr>
                    </w:pPr>
                    <w:r w:rsidRPr="00775FAA">
                      <w:rPr>
                        <w:rFonts w:asciiTheme="minorEastAsia" w:eastAsiaTheme="minorEastAsia" w:hAnsiTheme="minorEastAsia" w:cs="Arial"/>
                        <w:sz w:val="18"/>
                        <w:szCs w:val="18"/>
                      </w:rPr>
                      <w:t>长期借款</w:t>
                    </w:r>
                  </w:p>
                </w:tc>
                <w:tc>
                  <w:tcPr>
                    <w:tcW w:w="35" w:type="dxa"/>
                    <w:shd w:val="clear" w:color="auto" w:fill="auto"/>
                    <w:noWrap/>
                    <w:vAlign w:val="bottom"/>
                    <w:hideMark/>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r w:rsidRPr="00775FAA">
                      <w:rPr>
                        <w:rFonts w:asciiTheme="minorEastAsia" w:eastAsiaTheme="minorEastAsia" w:hAnsiTheme="minorEastAsia" w:cs="Arial"/>
                        <w:color w:val="000000"/>
                        <w:sz w:val="18"/>
                        <w:szCs w:val="18"/>
                      </w:rPr>
                      <w:t xml:space="preserve"> </w:t>
                    </w:r>
                  </w:p>
                </w:tc>
                <w:tc>
                  <w:tcPr>
                    <w:tcW w:w="1241" w:type="dxa"/>
                    <w:shd w:val="clear" w:color="000000"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r w:rsidRPr="00775FAA">
                      <w:rPr>
                        <w:rFonts w:asciiTheme="minorEastAsia" w:eastAsiaTheme="minorEastAsia" w:hAnsiTheme="minorEastAsia" w:cs="Arial"/>
                        <w:color w:val="000000"/>
                        <w:sz w:val="18"/>
                        <w:szCs w:val="18"/>
                      </w:rPr>
                      <w:t>30,000,000</w:t>
                    </w:r>
                  </w:p>
                </w:tc>
                <w:tc>
                  <w:tcPr>
                    <w:tcW w:w="95"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1039" w:type="dxa"/>
                    <w:shd w:val="clear" w:color="000000"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r w:rsidRPr="00775FAA">
                      <w:rPr>
                        <w:rFonts w:asciiTheme="minorEastAsia" w:eastAsiaTheme="minorEastAsia" w:hAnsiTheme="minorEastAsia" w:cs="Arial"/>
                        <w:color w:val="000000"/>
                        <w:sz w:val="18"/>
                        <w:szCs w:val="18"/>
                      </w:rPr>
                      <w:t>14,183,042</w:t>
                    </w:r>
                  </w:p>
                </w:tc>
                <w:tc>
                  <w:tcPr>
                    <w:tcW w:w="94"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1181" w:type="dxa"/>
                    <w:shd w:val="clear" w:color="000000"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r w:rsidRPr="00775FAA">
                      <w:rPr>
                        <w:rFonts w:asciiTheme="minorEastAsia" w:eastAsiaTheme="minorEastAsia" w:hAnsiTheme="minorEastAsia" w:cs="Arial"/>
                        <w:color w:val="000000"/>
                        <w:sz w:val="18"/>
                        <w:szCs w:val="18"/>
                      </w:rPr>
                      <w:t>124,379,370</w:t>
                    </w:r>
                  </w:p>
                </w:tc>
                <w:tc>
                  <w:tcPr>
                    <w:tcW w:w="94"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1040" w:type="dxa"/>
                    <w:shd w:val="clear" w:color="000000"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r w:rsidRPr="00775FAA">
                      <w:rPr>
                        <w:rFonts w:asciiTheme="minorEastAsia" w:eastAsiaTheme="minorEastAsia" w:hAnsiTheme="minorEastAsia" w:cs="Arial" w:hint="eastAsia"/>
                        <w:color w:val="000000"/>
                        <w:sz w:val="18"/>
                        <w:szCs w:val="18"/>
                      </w:rPr>
                      <w:t>-</w:t>
                    </w:r>
                  </w:p>
                </w:tc>
                <w:tc>
                  <w:tcPr>
                    <w:tcW w:w="94"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872" w:type="dxa"/>
                    <w:shd w:val="clear" w:color="000000"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r w:rsidRPr="00775FAA">
                      <w:rPr>
                        <w:rFonts w:asciiTheme="minorEastAsia" w:eastAsiaTheme="minorEastAsia" w:hAnsiTheme="minorEastAsia" w:cs="Arial" w:hint="eastAsia"/>
                        <w:color w:val="000000"/>
                        <w:sz w:val="18"/>
                        <w:szCs w:val="18"/>
                      </w:rPr>
                      <w:t>-</w:t>
                    </w:r>
                  </w:p>
                </w:tc>
                <w:tc>
                  <w:tcPr>
                    <w:tcW w:w="94"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1208" w:type="dxa"/>
                    <w:shd w:val="clear" w:color="000000"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r w:rsidRPr="00775FAA">
                      <w:rPr>
                        <w:rFonts w:asciiTheme="minorEastAsia" w:eastAsiaTheme="minorEastAsia" w:hAnsiTheme="minorEastAsia" w:cs="Arial"/>
                        <w:color w:val="000000"/>
                        <w:sz w:val="18"/>
                        <w:szCs w:val="18"/>
                      </w:rPr>
                      <w:t>168,562,412</w:t>
                    </w:r>
                  </w:p>
                </w:tc>
                <w:tc>
                  <w:tcPr>
                    <w:tcW w:w="130"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r>
              <w:tr w:rsidR="00775FAA" w:rsidRPr="00775FAA" w:rsidTr="00B637B2">
                <w:trPr>
                  <w:cantSplit/>
                  <w:trHeight w:val="265"/>
                </w:trPr>
                <w:tc>
                  <w:tcPr>
                    <w:tcW w:w="1262" w:type="dxa"/>
                    <w:shd w:val="clear" w:color="auto" w:fill="auto"/>
                    <w:noWrap/>
                    <w:vAlign w:val="bottom"/>
                    <w:hideMark/>
                  </w:tcPr>
                  <w:p w:rsidR="00775FAA" w:rsidRPr="00775FAA" w:rsidRDefault="00775FAA" w:rsidP="00B637B2">
                    <w:pPr>
                      <w:kinsoku w:val="0"/>
                      <w:overflowPunct w:val="0"/>
                      <w:autoSpaceDE w:val="0"/>
                      <w:autoSpaceDN w:val="0"/>
                      <w:adjustRightInd w:val="0"/>
                      <w:snapToGrid w:val="0"/>
                      <w:rPr>
                        <w:rFonts w:asciiTheme="minorEastAsia" w:eastAsiaTheme="minorEastAsia" w:hAnsiTheme="minorEastAsia" w:cs="Arial"/>
                        <w:sz w:val="18"/>
                        <w:szCs w:val="18"/>
                      </w:rPr>
                    </w:pPr>
                    <w:r w:rsidRPr="00775FAA">
                      <w:rPr>
                        <w:rFonts w:asciiTheme="minorEastAsia" w:eastAsiaTheme="minorEastAsia" w:hAnsiTheme="minorEastAsia" w:cs="Arial" w:hint="eastAsia"/>
                        <w:color w:val="000000"/>
                        <w:sz w:val="18"/>
                        <w:szCs w:val="18"/>
                      </w:rPr>
                      <w:t>长期借款</w:t>
                    </w:r>
                  </w:p>
                </w:tc>
                <w:tc>
                  <w:tcPr>
                    <w:tcW w:w="35" w:type="dxa"/>
                    <w:shd w:val="clear" w:color="auto" w:fill="auto"/>
                    <w:noWrap/>
                    <w:vAlign w:val="bottom"/>
                    <w:hideMark/>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sz w:val="18"/>
                        <w:szCs w:val="18"/>
                      </w:rPr>
                    </w:pPr>
                    <w:r w:rsidRPr="00775FAA">
                      <w:rPr>
                        <w:rFonts w:asciiTheme="minorEastAsia" w:eastAsiaTheme="minorEastAsia" w:hAnsiTheme="minorEastAsia" w:cs="Arial"/>
                        <w:color w:val="000000"/>
                        <w:sz w:val="18"/>
                        <w:szCs w:val="18"/>
                      </w:rPr>
                      <w:t xml:space="preserve"> </w:t>
                    </w:r>
                  </w:p>
                </w:tc>
                <w:tc>
                  <w:tcPr>
                    <w:tcW w:w="1241" w:type="dxa"/>
                    <w:shd w:val="clear" w:color="auto" w:fill="auto"/>
                    <w:noWrap/>
                    <w:vAlign w:val="bottom"/>
                  </w:tcPr>
                  <w:p w:rsidR="00775FAA" w:rsidRPr="00775FAA" w:rsidRDefault="008F04CF" w:rsidP="00B637B2">
                    <w:pPr>
                      <w:kinsoku w:val="0"/>
                      <w:overflowPunct w:val="0"/>
                      <w:autoSpaceDE w:val="0"/>
                      <w:autoSpaceDN w:val="0"/>
                      <w:adjustRightInd w:val="0"/>
                      <w:snapToGrid w:val="0"/>
                      <w:jc w:val="right"/>
                      <w:rPr>
                        <w:rFonts w:asciiTheme="minorEastAsia" w:eastAsiaTheme="minorEastAsia" w:hAnsiTheme="minorEastAsia" w:cs="Arial"/>
                        <w:sz w:val="18"/>
                        <w:szCs w:val="18"/>
                        <w:u w:val="single"/>
                      </w:rPr>
                    </w:pPr>
                    <w:r>
                      <w:rPr>
                        <w:rFonts w:asciiTheme="minorEastAsia" w:eastAsiaTheme="minorEastAsia" w:hAnsiTheme="minorEastAsia" w:cs="Arial"/>
                        <w:color w:val="000000"/>
                        <w:sz w:val="18"/>
                        <w:szCs w:val="18"/>
                        <w:u w:val="single"/>
                      </w:rPr>
                      <w:t xml:space="preserve">  </w:t>
                    </w:r>
                    <w:r w:rsidR="00775FAA" w:rsidRPr="00775FAA">
                      <w:rPr>
                        <w:rFonts w:asciiTheme="minorEastAsia" w:eastAsiaTheme="minorEastAsia" w:hAnsiTheme="minorEastAsia" w:cs="Arial"/>
                        <w:color w:val="000000"/>
                        <w:sz w:val="18"/>
                        <w:szCs w:val="18"/>
                        <w:u w:val="single"/>
                      </w:rPr>
                      <w:t xml:space="preserve">        </w:t>
                    </w:r>
                    <w:r w:rsidR="00775FAA" w:rsidRPr="00775FAA">
                      <w:rPr>
                        <w:rFonts w:asciiTheme="minorEastAsia" w:eastAsiaTheme="minorEastAsia" w:hAnsiTheme="minorEastAsia" w:cs="Arial" w:hint="eastAsia"/>
                        <w:color w:val="000000"/>
                        <w:sz w:val="18"/>
                        <w:szCs w:val="18"/>
                        <w:u w:val="single"/>
                      </w:rPr>
                      <w:t>-</w:t>
                    </w:r>
                  </w:p>
                </w:tc>
                <w:tc>
                  <w:tcPr>
                    <w:tcW w:w="95"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sz w:val="18"/>
                        <w:szCs w:val="18"/>
                      </w:rPr>
                    </w:pPr>
                  </w:p>
                </w:tc>
                <w:tc>
                  <w:tcPr>
                    <w:tcW w:w="1039"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sz w:val="18"/>
                        <w:szCs w:val="18"/>
                        <w:u w:val="single"/>
                      </w:rPr>
                    </w:pPr>
                    <w:r w:rsidRPr="00775FAA">
                      <w:rPr>
                        <w:rFonts w:asciiTheme="minorEastAsia" w:eastAsiaTheme="minorEastAsia" w:hAnsiTheme="minorEastAsia" w:cs="Arial"/>
                        <w:color w:val="000000"/>
                        <w:sz w:val="18"/>
                        <w:szCs w:val="18"/>
                        <w:u w:val="single"/>
                      </w:rPr>
                      <w:t xml:space="preserve">     </w:t>
                    </w:r>
                    <w:r w:rsidR="008F04CF">
                      <w:rPr>
                        <w:rFonts w:asciiTheme="minorEastAsia" w:eastAsiaTheme="minorEastAsia" w:hAnsiTheme="minorEastAsia" w:cs="Arial"/>
                        <w:color w:val="000000"/>
                        <w:sz w:val="18"/>
                        <w:szCs w:val="18"/>
                        <w:u w:val="single"/>
                      </w:rPr>
                      <w:t xml:space="preserve"> </w:t>
                    </w:r>
                    <w:r w:rsidRPr="00775FAA">
                      <w:rPr>
                        <w:rFonts w:asciiTheme="minorEastAsia" w:eastAsiaTheme="minorEastAsia" w:hAnsiTheme="minorEastAsia" w:cs="Arial"/>
                        <w:color w:val="000000"/>
                        <w:sz w:val="18"/>
                        <w:szCs w:val="18"/>
                        <w:u w:val="single"/>
                      </w:rPr>
                      <w:t xml:space="preserve">    </w:t>
                    </w:r>
                    <w:r w:rsidRPr="00775FAA">
                      <w:rPr>
                        <w:rFonts w:asciiTheme="minorEastAsia" w:eastAsiaTheme="minorEastAsia" w:hAnsiTheme="minorEastAsia" w:cs="Arial" w:hint="eastAsia"/>
                        <w:color w:val="000000"/>
                        <w:sz w:val="18"/>
                        <w:szCs w:val="18"/>
                        <w:u w:val="single"/>
                      </w:rPr>
                      <w:t>-</w:t>
                    </w:r>
                  </w:p>
                </w:tc>
                <w:tc>
                  <w:tcPr>
                    <w:tcW w:w="94"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sz w:val="18"/>
                        <w:szCs w:val="18"/>
                      </w:rPr>
                    </w:pPr>
                  </w:p>
                </w:tc>
                <w:tc>
                  <w:tcPr>
                    <w:tcW w:w="1181"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sz w:val="18"/>
                        <w:szCs w:val="18"/>
                        <w:u w:val="single"/>
                      </w:rPr>
                    </w:pPr>
                    <w:r w:rsidRPr="00775FAA">
                      <w:rPr>
                        <w:rFonts w:asciiTheme="minorEastAsia" w:eastAsiaTheme="minorEastAsia" w:hAnsiTheme="minorEastAsia" w:cs="Arial"/>
                        <w:color w:val="000000"/>
                        <w:sz w:val="18"/>
                        <w:szCs w:val="18"/>
                        <w:u w:val="single"/>
                      </w:rPr>
                      <w:t xml:space="preserve">            </w:t>
                    </w:r>
                    <w:r w:rsidRPr="00775FAA">
                      <w:rPr>
                        <w:rFonts w:asciiTheme="minorEastAsia" w:eastAsiaTheme="minorEastAsia" w:hAnsiTheme="minorEastAsia" w:cs="Arial" w:hint="eastAsia"/>
                        <w:color w:val="000000"/>
                        <w:sz w:val="18"/>
                        <w:szCs w:val="18"/>
                        <w:u w:val="single"/>
                      </w:rPr>
                      <w:t>-</w:t>
                    </w:r>
                  </w:p>
                </w:tc>
                <w:tc>
                  <w:tcPr>
                    <w:tcW w:w="94"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sz w:val="18"/>
                        <w:szCs w:val="18"/>
                      </w:rPr>
                    </w:pPr>
                  </w:p>
                </w:tc>
                <w:tc>
                  <w:tcPr>
                    <w:tcW w:w="1040"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sz w:val="18"/>
                        <w:szCs w:val="18"/>
                        <w:u w:val="single"/>
                      </w:rPr>
                    </w:pPr>
                    <w:r w:rsidRPr="00775FAA">
                      <w:rPr>
                        <w:rFonts w:asciiTheme="minorEastAsia" w:eastAsiaTheme="minorEastAsia" w:hAnsiTheme="minorEastAsia" w:cs="Arial"/>
                        <w:color w:val="000000"/>
                        <w:sz w:val="18"/>
                        <w:szCs w:val="18"/>
                        <w:u w:val="single"/>
                      </w:rPr>
                      <w:t>198,643,170</w:t>
                    </w:r>
                  </w:p>
                </w:tc>
                <w:tc>
                  <w:tcPr>
                    <w:tcW w:w="94"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sz w:val="18"/>
                        <w:szCs w:val="18"/>
                      </w:rPr>
                    </w:pPr>
                  </w:p>
                </w:tc>
                <w:tc>
                  <w:tcPr>
                    <w:tcW w:w="872"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sz w:val="18"/>
                        <w:szCs w:val="18"/>
                        <w:u w:val="single"/>
                      </w:rPr>
                    </w:pPr>
                    <w:r w:rsidRPr="00775FAA">
                      <w:rPr>
                        <w:rFonts w:asciiTheme="minorEastAsia" w:eastAsiaTheme="minorEastAsia" w:hAnsiTheme="minorEastAsia" w:cs="Arial"/>
                        <w:color w:val="000000"/>
                        <w:sz w:val="18"/>
                        <w:szCs w:val="18"/>
                        <w:u w:val="single"/>
                      </w:rPr>
                      <w:t xml:space="preserve">        </w:t>
                    </w:r>
                    <w:r w:rsidRPr="00775FAA">
                      <w:rPr>
                        <w:rFonts w:asciiTheme="minorEastAsia" w:eastAsiaTheme="minorEastAsia" w:hAnsiTheme="minorEastAsia" w:cs="Arial" w:hint="eastAsia"/>
                        <w:color w:val="000000"/>
                        <w:sz w:val="18"/>
                        <w:szCs w:val="18"/>
                        <w:u w:val="single"/>
                      </w:rPr>
                      <w:t>-</w:t>
                    </w:r>
                  </w:p>
                </w:tc>
                <w:tc>
                  <w:tcPr>
                    <w:tcW w:w="94"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sz w:val="18"/>
                        <w:szCs w:val="18"/>
                      </w:rPr>
                    </w:pPr>
                  </w:p>
                </w:tc>
                <w:tc>
                  <w:tcPr>
                    <w:tcW w:w="1208" w:type="dxa"/>
                    <w:shd w:val="clear" w:color="auto" w:fill="auto"/>
                    <w:noWrap/>
                    <w:vAlign w:val="bottom"/>
                  </w:tcPr>
                  <w:p w:rsidR="00775FAA" w:rsidRPr="00775FAA" w:rsidRDefault="008F04CF" w:rsidP="00B637B2">
                    <w:pPr>
                      <w:kinsoku w:val="0"/>
                      <w:overflowPunct w:val="0"/>
                      <w:autoSpaceDE w:val="0"/>
                      <w:autoSpaceDN w:val="0"/>
                      <w:adjustRightInd w:val="0"/>
                      <w:snapToGrid w:val="0"/>
                      <w:jc w:val="right"/>
                      <w:rPr>
                        <w:rFonts w:asciiTheme="minorEastAsia" w:eastAsiaTheme="minorEastAsia" w:hAnsiTheme="minorEastAsia" w:cs="Arial"/>
                        <w:sz w:val="18"/>
                        <w:szCs w:val="18"/>
                        <w:u w:val="single"/>
                      </w:rPr>
                    </w:pPr>
                    <w:r>
                      <w:rPr>
                        <w:rFonts w:asciiTheme="minorEastAsia" w:eastAsiaTheme="minorEastAsia" w:hAnsiTheme="minorEastAsia" w:cs="Arial"/>
                        <w:color w:val="000000"/>
                        <w:sz w:val="18"/>
                        <w:szCs w:val="18"/>
                        <w:u w:val="single"/>
                      </w:rPr>
                      <w:t xml:space="preserve"> </w:t>
                    </w:r>
                    <w:r w:rsidR="00775FAA" w:rsidRPr="00775FAA">
                      <w:rPr>
                        <w:rFonts w:asciiTheme="minorEastAsia" w:eastAsiaTheme="minorEastAsia" w:hAnsiTheme="minorEastAsia" w:cs="Arial"/>
                        <w:color w:val="000000"/>
                        <w:sz w:val="18"/>
                        <w:szCs w:val="18"/>
                        <w:u w:val="single"/>
                      </w:rPr>
                      <w:t xml:space="preserve"> 198,643,170</w:t>
                    </w:r>
                  </w:p>
                </w:tc>
                <w:tc>
                  <w:tcPr>
                    <w:tcW w:w="130"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sz w:val="18"/>
                        <w:szCs w:val="18"/>
                      </w:rPr>
                    </w:pPr>
                  </w:p>
                </w:tc>
              </w:tr>
              <w:tr w:rsidR="00775FAA" w:rsidRPr="00775FAA" w:rsidTr="00B637B2">
                <w:trPr>
                  <w:cantSplit/>
                  <w:trHeight w:val="265"/>
                </w:trPr>
                <w:tc>
                  <w:tcPr>
                    <w:tcW w:w="1262" w:type="dxa"/>
                    <w:shd w:val="clear" w:color="auto" w:fill="auto"/>
                    <w:noWrap/>
                    <w:vAlign w:val="bottom"/>
                  </w:tcPr>
                  <w:p w:rsidR="00775FAA" w:rsidRPr="00775FAA" w:rsidRDefault="00775FAA" w:rsidP="00B637B2">
                    <w:pPr>
                      <w:kinsoku w:val="0"/>
                      <w:overflowPunct w:val="0"/>
                      <w:autoSpaceDE w:val="0"/>
                      <w:autoSpaceDN w:val="0"/>
                      <w:adjustRightInd w:val="0"/>
                      <w:snapToGrid w:val="0"/>
                      <w:rPr>
                        <w:rFonts w:asciiTheme="minorEastAsia" w:eastAsiaTheme="minorEastAsia" w:hAnsiTheme="minorEastAsia" w:cs="Arial"/>
                        <w:color w:val="000000"/>
                        <w:sz w:val="18"/>
                        <w:szCs w:val="18"/>
                      </w:rPr>
                    </w:pPr>
                  </w:p>
                </w:tc>
                <w:tc>
                  <w:tcPr>
                    <w:tcW w:w="35"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1241"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sz w:val="18"/>
                        <w:szCs w:val="18"/>
                      </w:rPr>
                    </w:pPr>
                  </w:p>
                </w:tc>
                <w:tc>
                  <w:tcPr>
                    <w:tcW w:w="95"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sz w:val="18"/>
                        <w:szCs w:val="18"/>
                      </w:rPr>
                    </w:pPr>
                  </w:p>
                </w:tc>
                <w:tc>
                  <w:tcPr>
                    <w:tcW w:w="1039"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sz w:val="18"/>
                        <w:szCs w:val="18"/>
                      </w:rPr>
                    </w:pPr>
                  </w:p>
                </w:tc>
                <w:tc>
                  <w:tcPr>
                    <w:tcW w:w="94"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sz w:val="18"/>
                        <w:szCs w:val="18"/>
                      </w:rPr>
                    </w:pPr>
                  </w:p>
                </w:tc>
                <w:tc>
                  <w:tcPr>
                    <w:tcW w:w="1181"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sz w:val="18"/>
                        <w:szCs w:val="18"/>
                      </w:rPr>
                    </w:pPr>
                  </w:p>
                </w:tc>
                <w:tc>
                  <w:tcPr>
                    <w:tcW w:w="94"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sz w:val="18"/>
                        <w:szCs w:val="18"/>
                      </w:rPr>
                    </w:pPr>
                  </w:p>
                </w:tc>
                <w:tc>
                  <w:tcPr>
                    <w:tcW w:w="1040"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sz w:val="18"/>
                        <w:szCs w:val="18"/>
                      </w:rPr>
                    </w:pPr>
                  </w:p>
                </w:tc>
                <w:tc>
                  <w:tcPr>
                    <w:tcW w:w="94"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sz w:val="18"/>
                        <w:szCs w:val="18"/>
                      </w:rPr>
                    </w:pPr>
                  </w:p>
                </w:tc>
                <w:tc>
                  <w:tcPr>
                    <w:tcW w:w="872"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sz w:val="18"/>
                        <w:szCs w:val="18"/>
                      </w:rPr>
                    </w:pPr>
                  </w:p>
                </w:tc>
                <w:tc>
                  <w:tcPr>
                    <w:tcW w:w="94"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sz w:val="18"/>
                        <w:szCs w:val="18"/>
                      </w:rPr>
                    </w:pPr>
                  </w:p>
                </w:tc>
                <w:tc>
                  <w:tcPr>
                    <w:tcW w:w="1208"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sz w:val="18"/>
                        <w:szCs w:val="18"/>
                      </w:rPr>
                    </w:pPr>
                  </w:p>
                </w:tc>
                <w:tc>
                  <w:tcPr>
                    <w:tcW w:w="130"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sz w:val="18"/>
                        <w:szCs w:val="18"/>
                      </w:rPr>
                    </w:pPr>
                  </w:p>
                </w:tc>
              </w:tr>
              <w:tr w:rsidR="00775FAA" w:rsidRPr="00775FAA" w:rsidTr="00B637B2">
                <w:trPr>
                  <w:cantSplit/>
                  <w:trHeight w:val="80"/>
                </w:trPr>
                <w:tc>
                  <w:tcPr>
                    <w:tcW w:w="1262" w:type="dxa"/>
                    <w:shd w:val="clear" w:color="auto" w:fill="auto"/>
                    <w:noWrap/>
                    <w:vAlign w:val="bottom"/>
                  </w:tcPr>
                  <w:p w:rsidR="00775FAA" w:rsidRPr="00775FAA" w:rsidRDefault="00775FAA" w:rsidP="00B637B2">
                    <w:pPr>
                      <w:kinsoku w:val="0"/>
                      <w:overflowPunct w:val="0"/>
                      <w:autoSpaceDE w:val="0"/>
                      <w:autoSpaceDN w:val="0"/>
                      <w:adjustRightInd w:val="0"/>
                      <w:snapToGrid w:val="0"/>
                      <w:rPr>
                        <w:rFonts w:asciiTheme="minorEastAsia" w:eastAsiaTheme="minorEastAsia" w:hAnsiTheme="minorEastAsia" w:cs="Arial"/>
                        <w:sz w:val="18"/>
                        <w:szCs w:val="18"/>
                      </w:rPr>
                    </w:pPr>
                  </w:p>
                </w:tc>
                <w:tc>
                  <w:tcPr>
                    <w:tcW w:w="35"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rPr>
                    </w:pPr>
                  </w:p>
                </w:tc>
                <w:tc>
                  <w:tcPr>
                    <w:tcW w:w="1241" w:type="dxa"/>
                    <w:shd w:val="clear" w:color="000000"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sz w:val="18"/>
                        <w:szCs w:val="18"/>
                        <w:u w:val="double"/>
                      </w:rPr>
                    </w:pPr>
                    <w:r w:rsidRPr="00775FAA">
                      <w:rPr>
                        <w:rFonts w:asciiTheme="minorEastAsia" w:eastAsiaTheme="minorEastAsia" w:hAnsiTheme="minorEastAsia" w:cs="Arial"/>
                        <w:color w:val="000000"/>
                        <w:sz w:val="18"/>
                        <w:szCs w:val="18"/>
                        <w:u w:val="double"/>
                      </w:rPr>
                      <w:t>629,086,408</w:t>
                    </w:r>
                  </w:p>
                </w:tc>
                <w:tc>
                  <w:tcPr>
                    <w:tcW w:w="95"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u w:val="double"/>
                      </w:rPr>
                    </w:pPr>
                  </w:p>
                </w:tc>
                <w:tc>
                  <w:tcPr>
                    <w:tcW w:w="1039" w:type="dxa"/>
                    <w:shd w:val="clear" w:color="000000"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sz w:val="18"/>
                        <w:szCs w:val="18"/>
                        <w:u w:val="double"/>
                      </w:rPr>
                    </w:pPr>
                    <w:r w:rsidRPr="00775FAA">
                      <w:rPr>
                        <w:rFonts w:asciiTheme="minorEastAsia" w:eastAsiaTheme="minorEastAsia" w:hAnsiTheme="minorEastAsia" w:cs="Arial"/>
                        <w:color w:val="000000"/>
                        <w:sz w:val="18"/>
                        <w:szCs w:val="18"/>
                        <w:u w:val="double"/>
                      </w:rPr>
                      <w:t>378,298,684</w:t>
                    </w:r>
                  </w:p>
                </w:tc>
                <w:tc>
                  <w:tcPr>
                    <w:tcW w:w="94"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u w:val="double"/>
                      </w:rPr>
                    </w:pPr>
                  </w:p>
                </w:tc>
                <w:tc>
                  <w:tcPr>
                    <w:tcW w:w="1181" w:type="dxa"/>
                    <w:shd w:val="clear" w:color="000000"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sz w:val="18"/>
                        <w:szCs w:val="18"/>
                        <w:u w:val="double"/>
                      </w:rPr>
                    </w:pPr>
                    <w:r w:rsidRPr="00775FAA">
                      <w:rPr>
                        <w:rFonts w:asciiTheme="minorEastAsia" w:eastAsiaTheme="minorEastAsia" w:hAnsiTheme="minorEastAsia" w:cs="Arial"/>
                        <w:color w:val="000000"/>
                        <w:sz w:val="18"/>
                        <w:szCs w:val="18"/>
                        <w:u w:val="double"/>
                      </w:rPr>
                      <w:t>3,750,084,646</w:t>
                    </w:r>
                  </w:p>
                </w:tc>
                <w:tc>
                  <w:tcPr>
                    <w:tcW w:w="94"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u w:val="double"/>
                      </w:rPr>
                    </w:pPr>
                  </w:p>
                </w:tc>
                <w:tc>
                  <w:tcPr>
                    <w:tcW w:w="1040" w:type="dxa"/>
                    <w:shd w:val="clear" w:color="000000"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sz w:val="18"/>
                        <w:szCs w:val="18"/>
                        <w:u w:val="double"/>
                      </w:rPr>
                    </w:pPr>
                    <w:r w:rsidRPr="00775FAA">
                      <w:rPr>
                        <w:rFonts w:asciiTheme="minorEastAsia" w:eastAsiaTheme="minorEastAsia" w:hAnsiTheme="minorEastAsia" w:cs="Arial"/>
                        <w:color w:val="000000"/>
                        <w:sz w:val="18"/>
                        <w:szCs w:val="18"/>
                        <w:u w:val="double"/>
                      </w:rPr>
                      <w:t>198,643,170</w:t>
                    </w:r>
                  </w:p>
                </w:tc>
                <w:tc>
                  <w:tcPr>
                    <w:tcW w:w="94"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u w:val="double"/>
                      </w:rPr>
                    </w:pPr>
                  </w:p>
                </w:tc>
                <w:tc>
                  <w:tcPr>
                    <w:tcW w:w="872" w:type="dxa"/>
                    <w:shd w:val="clear" w:color="000000"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u w:val="double"/>
                      </w:rPr>
                    </w:pPr>
                    <w:r w:rsidRPr="00775FAA">
                      <w:rPr>
                        <w:rFonts w:asciiTheme="minorEastAsia" w:eastAsiaTheme="minorEastAsia" w:hAnsiTheme="minorEastAsia" w:cs="Arial"/>
                        <w:color w:val="000000"/>
                        <w:sz w:val="18"/>
                        <w:szCs w:val="18"/>
                        <w:u w:val="double"/>
                      </w:rPr>
                      <w:t xml:space="preserve">        </w:t>
                    </w:r>
                    <w:r w:rsidRPr="00775FAA">
                      <w:rPr>
                        <w:rFonts w:asciiTheme="minorEastAsia" w:eastAsiaTheme="minorEastAsia" w:hAnsiTheme="minorEastAsia" w:cs="Arial" w:hint="eastAsia"/>
                        <w:color w:val="000000"/>
                        <w:sz w:val="18"/>
                        <w:szCs w:val="18"/>
                        <w:u w:val="double"/>
                      </w:rPr>
                      <w:t>-</w:t>
                    </w:r>
                  </w:p>
                </w:tc>
                <w:tc>
                  <w:tcPr>
                    <w:tcW w:w="94"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u w:val="double"/>
                      </w:rPr>
                    </w:pPr>
                  </w:p>
                </w:tc>
                <w:tc>
                  <w:tcPr>
                    <w:tcW w:w="1208" w:type="dxa"/>
                    <w:shd w:val="clear" w:color="000000"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sz w:val="18"/>
                        <w:szCs w:val="18"/>
                        <w:u w:val="double"/>
                      </w:rPr>
                    </w:pPr>
                    <w:r w:rsidRPr="00775FAA">
                      <w:rPr>
                        <w:rFonts w:asciiTheme="minorEastAsia" w:eastAsiaTheme="minorEastAsia" w:hAnsiTheme="minorEastAsia" w:cs="Arial"/>
                        <w:color w:val="000000"/>
                        <w:sz w:val="18"/>
                        <w:szCs w:val="18"/>
                        <w:u w:val="double"/>
                      </w:rPr>
                      <w:t>4,956,112,908</w:t>
                    </w:r>
                  </w:p>
                </w:tc>
                <w:tc>
                  <w:tcPr>
                    <w:tcW w:w="130" w:type="dxa"/>
                    <w:shd w:val="clear" w:color="auto" w:fill="auto"/>
                    <w:noWrap/>
                    <w:vAlign w:val="bottom"/>
                  </w:tcPr>
                  <w:p w:rsidR="00775FAA" w:rsidRPr="00775FAA" w:rsidRDefault="00775FAA" w:rsidP="00B637B2">
                    <w:pPr>
                      <w:kinsoku w:val="0"/>
                      <w:overflowPunct w:val="0"/>
                      <w:autoSpaceDE w:val="0"/>
                      <w:autoSpaceDN w:val="0"/>
                      <w:adjustRightInd w:val="0"/>
                      <w:snapToGrid w:val="0"/>
                      <w:jc w:val="right"/>
                      <w:rPr>
                        <w:rFonts w:asciiTheme="minorEastAsia" w:eastAsiaTheme="minorEastAsia" w:hAnsiTheme="minorEastAsia" w:cs="Arial"/>
                        <w:color w:val="000000"/>
                        <w:sz w:val="18"/>
                        <w:szCs w:val="18"/>
                        <w:u w:val="double"/>
                      </w:rPr>
                    </w:pPr>
                  </w:p>
                </w:tc>
              </w:tr>
            </w:tbl>
            <w:p w:rsidR="00775FAA" w:rsidRDefault="00775FAA" w:rsidP="00B637B2">
              <w:pPr>
                <w:overflowPunct w:val="0"/>
                <w:autoSpaceDE w:val="0"/>
                <w:autoSpaceDN w:val="0"/>
                <w:adjustRightInd w:val="0"/>
                <w:snapToGrid w:val="0"/>
                <w:jc w:val="both"/>
                <w:textAlignment w:val="bottom"/>
                <w:rPr>
                  <w:rFonts w:asciiTheme="minorEastAsia" w:eastAsiaTheme="minorEastAsia" w:hAnsiTheme="minorEastAsia" w:cs="Arial"/>
                  <w:snapToGrid w:val="0"/>
                  <w:sz w:val="20"/>
                  <w:szCs w:val="20"/>
                </w:rPr>
              </w:pPr>
            </w:p>
            <w:p w:rsidR="00B637B2" w:rsidRPr="00415C2A" w:rsidRDefault="008F04CF" w:rsidP="00B637B2">
              <w:pPr>
                <w:pStyle w:val="affffffffffffffff7"/>
                <w:spacing w:before="120"/>
                <w:jc w:val="left"/>
                <w:outlineLvl w:val="9"/>
                <w:rPr>
                  <w:rFonts w:ascii="宋体" w:hAnsi="宋体" w:cs="Arial"/>
                  <w:sz w:val="20"/>
                  <w:szCs w:val="20"/>
                </w:rPr>
              </w:pPr>
              <w:r w:rsidRPr="00415C2A">
                <w:rPr>
                  <w:rFonts w:ascii="宋体" w:hAnsi="宋体" w:hint="eastAsia"/>
                  <w:bCs w:val="0"/>
                  <w:sz w:val="20"/>
                  <w:szCs w:val="20"/>
                </w:rPr>
                <w:t>资本管理</w:t>
              </w:r>
            </w:p>
            <w:p w:rsidR="00B637B2" w:rsidRPr="00415C2A" w:rsidRDefault="00B637B2" w:rsidP="00B637B2">
              <w:pPr>
                <w:overflowPunct w:val="0"/>
                <w:autoSpaceDE w:val="0"/>
                <w:autoSpaceDN w:val="0"/>
                <w:adjustRightInd w:val="0"/>
                <w:snapToGrid w:val="0"/>
                <w:ind w:left="720" w:hanging="720"/>
                <w:jc w:val="both"/>
                <w:rPr>
                  <w:rFonts w:cs="Arial"/>
                  <w:snapToGrid w:val="0"/>
                  <w:sz w:val="20"/>
                  <w:szCs w:val="20"/>
                </w:rPr>
              </w:pPr>
            </w:p>
            <w:p w:rsidR="00B637B2" w:rsidRPr="00415C2A" w:rsidRDefault="008F04CF" w:rsidP="00B637B2">
              <w:pPr>
                <w:overflowPunct w:val="0"/>
                <w:autoSpaceDE w:val="0"/>
                <w:autoSpaceDN w:val="0"/>
                <w:adjustRightInd w:val="0"/>
                <w:snapToGrid w:val="0"/>
                <w:jc w:val="both"/>
                <w:rPr>
                  <w:rFonts w:cs="Arial"/>
                  <w:snapToGrid w:val="0"/>
                  <w:sz w:val="20"/>
                  <w:szCs w:val="20"/>
                </w:rPr>
              </w:pPr>
              <w:r w:rsidRPr="00415C2A">
                <w:rPr>
                  <w:rFonts w:cs="Arial" w:hint="eastAsia"/>
                  <w:snapToGrid w:val="0"/>
                  <w:sz w:val="20"/>
                  <w:szCs w:val="20"/>
                </w:rPr>
                <w:t>本集团资本管理的主要目标是确保本集团持续经营的能力，并保持健康的资本比率，以支持业务发展并使股东价值最大化。</w:t>
              </w:r>
            </w:p>
            <w:p w:rsidR="00B637B2" w:rsidRPr="00415C2A" w:rsidRDefault="00B637B2" w:rsidP="00B637B2">
              <w:pPr>
                <w:overflowPunct w:val="0"/>
                <w:autoSpaceDE w:val="0"/>
                <w:autoSpaceDN w:val="0"/>
                <w:adjustRightInd w:val="0"/>
                <w:snapToGrid w:val="0"/>
                <w:jc w:val="both"/>
                <w:rPr>
                  <w:rFonts w:cs="Arial"/>
                  <w:snapToGrid w:val="0"/>
                  <w:sz w:val="20"/>
                  <w:szCs w:val="20"/>
                </w:rPr>
              </w:pPr>
            </w:p>
            <w:p w:rsidR="00B637B2" w:rsidRPr="00415C2A" w:rsidRDefault="008F04CF" w:rsidP="00B637B2">
              <w:pPr>
                <w:overflowPunct w:val="0"/>
                <w:autoSpaceDE w:val="0"/>
                <w:autoSpaceDN w:val="0"/>
                <w:adjustRightInd w:val="0"/>
                <w:snapToGrid w:val="0"/>
                <w:jc w:val="both"/>
                <w:rPr>
                  <w:rFonts w:cs="Arial"/>
                  <w:snapToGrid w:val="0"/>
                  <w:sz w:val="20"/>
                  <w:szCs w:val="20"/>
                </w:rPr>
              </w:pPr>
              <w:r w:rsidRPr="00415C2A">
                <w:rPr>
                  <w:rFonts w:cs="Arial" w:hint="eastAsia"/>
                  <w:snapToGrid w:val="0"/>
                  <w:sz w:val="20"/>
                  <w:szCs w:val="20"/>
                </w:rPr>
                <w:t>本集团管理资本结构并根据经济形势以及相关资产的风险特征的变化对其进行调整。为维持或调整资本结构，本集团可以调整对股东的利润分配、向股东归还资本或发行新股。本集团不受外部强制性资本要求约束。</w:t>
              </w:r>
              <w:r w:rsidRPr="00415C2A">
                <w:rPr>
                  <w:rFonts w:cs="Arial"/>
                  <w:snapToGrid w:val="0"/>
                  <w:sz w:val="20"/>
                  <w:szCs w:val="20"/>
                </w:rPr>
                <w:t>2019</w:t>
              </w:r>
              <w:r w:rsidRPr="00415C2A">
                <w:rPr>
                  <w:rFonts w:cs="Arial" w:hint="eastAsia"/>
                  <w:snapToGrid w:val="0"/>
                  <w:sz w:val="20"/>
                  <w:szCs w:val="20"/>
                </w:rPr>
                <w:t>年</w:t>
              </w:r>
              <w:r w:rsidRPr="00415C2A">
                <w:rPr>
                  <w:rFonts w:cs="Arial"/>
                  <w:snapToGrid w:val="0"/>
                  <w:sz w:val="20"/>
                  <w:szCs w:val="20"/>
                </w:rPr>
                <w:t>1-6</w:t>
              </w:r>
              <w:r w:rsidRPr="00415C2A">
                <w:rPr>
                  <w:rFonts w:cs="Arial" w:hint="eastAsia"/>
                  <w:snapToGrid w:val="0"/>
                  <w:sz w:val="20"/>
                  <w:szCs w:val="20"/>
                </w:rPr>
                <w:t>月和</w:t>
              </w:r>
              <w:r w:rsidRPr="00415C2A">
                <w:rPr>
                  <w:rFonts w:cs="Arial"/>
                  <w:snapToGrid w:val="0"/>
                  <w:sz w:val="20"/>
                  <w:szCs w:val="20"/>
                </w:rPr>
                <w:t>2018</w:t>
              </w:r>
              <w:r w:rsidRPr="00415C2A">
                <w:rPr>
                  <w:rFonts w:cs="Arial" w:hint="eastAsia"/>
                  <w:snapToGrid w:val="0"/>
                  <w:sz w:val="20"/>
                  <w:szCs w:val="20"/>
                </w:rPr>
                <w:t>年度，资本管理目标、政策或程序未发生变化。</w:t>
              </w:r>
            </w:p>
            <w:p w:rsidR="00B637B2" w:rsidRPr="00415C2A" w:rsidRDefault="00B637B2" w:rsidP="00B637B2">
              <w:pPr>
                <w:overflowPunct w:val="0"/>
                <w:autoSpaceDE w:val="0"/>
                <w:autoSpaceDN w:val="0"/>
                <w:adjustRightInd w:val="0"/>
                <w:snapToGrid w:val="0"/>
                <w:jc w:val="both"/>
                <w:rPr>
                  <w:rFonts w:cs="Arial"/>
                  <w:snapToGrid w:val="0"/>
                  <w:sz w:val="20"/>
                  <w:szCs w:val="20"/>
                </w:rPr>
              </w:pPr>
            </w:p>
            <w:p w:rsidR="00B637B2" w:rsidRPr="00415C2A" w:rsidRDefault="008F04CF" w:rsidP="00B637B2">
              <w:pPr>
                <w:overflowPunct w:val="0"/>
                <w:autoSpaceDE w:val="0"/>
                <w:autoSpaceDN w:val="0"/>
                <w:adjustRightInd w:val="0"/>
                <w:snapToGrid w:val="0"/>
                <w:jc w:val="both"/>
                <w:rPr>
                  <w:rFonts w:cs="Arial"/>
                  <w:snapToGrid w:val="0"/>
                  <w:sz w:val="20"/>
                  <w:szCs w:val="20"/>
                </w:rPr>
              </w:pPr>
              <w:r w:rsidRPr="00415C2A">
                <w:rPr>
                  <w:rFonts w:cs="Arial" w:hint="eastAsia"/>
                  <w:snapToGrid w:val="0"/>
                  <w:sz w:val="20"/>
                  <w:szCs w:val="20"/>
                </w:rPr>
                <w:t>本集团采用杠杆比率来管理资本，杠杆比率是指净负债和调整后资本加净负债的比率。净负债包括所有借款款项、应付账款、其他应付款及应付债券减现金和现金等价物后的净额。资本包括归属于母公司股东权益，本集团于资产负债表日的杠杆比率如下：</w:t>
              </w:r>
            </w:p>
            <w:p w:rsidR="00B637B2" w:rsidRPr="00415C2A" w:rsidRDefault="00B637B2" w:rsidP="00B637B2">
              <w:pPr>
                <w:autoSpaceDE w:val="0"/>
                <w:autoSpaceDN w:val="0"/>
                <w:rPr>
                  <w:rFonts w:cs="Arial"/>
                  <w:b/>
                  <w:bCs/>
                  <w:snapToGrid w:val="0"/>
                  <w:sz w:val="20"/>
                  <w:szCs w:val="20"/>
                </w:rPr>
              </w:pPr>
            </w:p>
            <w:tbl>
              <w:tblPr>
                <w:tblStyle w:val="g35"/>
                <w:tblW w:w="0" w:type="dxa"/>
                <w:tblInd w:w="56" w:type="dxa"/>
                <w:tblLayout w:type="fixed"/>
                <w:tblCellMar>
                  <w:left w:w="0" w:type="dxa"/>
                  <w:right w:w="0" w:type="dxa"/>
                </w:tblCellMar>
                <w:tblLook w:val="04A0" w:firstRow="1" w:lastRow="0" w:firstColumn="1" w:lastColumn="0" w:noHBand="0" w:noVBand="1"/>
                <w:tblCaption w:val="资本管理"/>
              </w:tblPr>
              <w:tblGrid>
                <w:gridCol w:w="4286"/>
                <w:gridCol w:w="114"/>
                <w:gridCol w:w="1814"/>
                <w:gridCol w:w="114"/>
                <w:gridCol w:w="114"/>
                <w:gridCol w:w="1814"/>
                <w:gridCol w:w="189"/>
              </w:tblGrid>
              <w:tr w:rsidR="00B637B2" w:rsidRPr="00415C2A" w:rsidTr="00B637B2">
                <w:tc>
                  <w:tcPr>
                    <w:tcW w:w="4286" w:type="dxa"/>
                    <w:noWrap/>
                    <w:vAlign w:val="center"/>
                    <w:hideMark/>
                  </w:tcPr>
                  <w:p w:rsidR="00B637B2" w:rsidRPr="00415C2A" w:rsidRDefault="00B637B2" w:rsidP="00B637B2">
                    <w:pPr>
                      <w:rPr>
                        <w:rFonts w:cs="Arial"/>
                        <w:b/>
                        <w:bCs/>
                        <w:snapToGrid w:val="0"/>
                        <w:sz w:val="20"/>
                        <w:szCs w:val="20"/>
                      </w:rPr>
                    </w:pPr>
                  </w:p>
                </w:tc>
                <w:tc>
                  <w:tcPr>
                    <w:tcW w:w="114" w:type="dxa"/>
                    <w:noWrap/>
                    <w:vAlign w:val="center"/>
                    <w:hideMark/>
                  </w:tcPr>
                  <w:p w:rsidR="00B637B2" w:rsidRPr="00415C2A" w:rsidRDefault="008F04CF" w:rsidP="00B637B2">
                    <w:pPr>
                      <w:kinsoku w:val="0"/>
                      <w:overflowPunct w:val="0"/>
                      <w:autoSpaceDE w:val="0"/>
                      <w:autoSpaceDN w:val="0"/>
                      <w:adjustRightInd w:val="0"/>
                      <w:snapToGrid w:val="0"/>
                      <w:rPr>
                        <w:rFonts w:cs="Arial"/>
                        <w:sz w:val="20"/>
                        <w:szCs w:val="20"/>
                      </w:rPr>
                    </w:pPr>
                    <w:r w:rsidRPr="00415C2A">
                      <w:rPr>
                        <w:rFonts w:cs="Arial"/>
                        <w:color w:val="000000"/>
                        <w:sz w:val="20"/>
                        <w:szCs w:val="20"/>
                      </w:rPr>
                      <w:t xml:space="preserve"> </w:t>
                    </w:r>
                  </w:p>
                </w:tc>
                <w:tc>
                  <w:tcPr>
                    <w:tcW w:w="1814" w:type="dxa"/>
                    <w:noWrap/>
                    <w:hideMark/>
                  </w:tcPr>
                  <w:p w:rsidR="00B637B2" w:rsidRPr="00415C2A" w:rsidRDefault="008F04CF" w:rsidP="00B637B2">
                    <w:pPr>
                      <w:kinsoku w:val="0"/>
                      <w:overflowPunct w:val="0"/>
                      <w:autoSpaceDE w:val="0"/>
                      <w:autoSpaceDN w:val="0"/>
                      <w:adjustRightInd w:val="0"/>
                      <w:snapToGrid w:val="0"/>
                      <w:jc w:val="right"/>
                      <w:rPr>
                        <w:rFonts w:cs="Arial"/>
                        <w:color w:val="000000"/>
                        <w:sz w:val="20"/>
                        <w:szCs w:val="20"/>
                      </w:rPr>
                    </w:pPr>
                    <w:r w:rsidRPr="00415C2A">
                      <w:rPr>
                        <w:rFonts w:cs="Arial"/>
                        <w:color w:val="000000"/>
                        <w:sz w:val="20"/>
                        <w:szCs w:val="20"/>
                      </w:rPr>
                      <w:t>2019</w:t>
                    </w:r>
                    <w:r w:rsidRPr="00415C2A">
                      <w:rPr>
                        <w:rFonts w:cs="Arial" w:hint="eastAsia"/>
                        <w:color w:val="000000"/>
                        <w:sz w:val="20"/>
                        <w:szCs w:val="20"/>
                      </w:rPr>
                      <w:t>年</w:t>
                    </w:r>
                    <w:r w:rsidRPr="00415C2A">
                      <w:rPr>
                        <w:rFonts w:cs="Arial"/>
                        <w:color w:val="000000"/>
                        <w:sz w:val="20"/>
                        <w:szCs w:val="20"/>
                      </w:rPr>
                      <w:t>6</w:t>
                    </w:r>
                    <w:r w:rsidRPr="00415C2A">
                      <w:rPr>
                        <w:rFonts w:cs="Arial" w:hint="eastAsia"/>
                        <w:color w:val="000000"/>
                        <w:sz w:val="20"/>
                        <w:szCs w:val="20"/>
                      </w:rPr>
                      <w:t>月</w:t>
                    </w:r>
                    <w:r w:rsidRPr="00415C2A">
                      <w:rPr>
                        <w:rFonts w:cs="Arial"/>
                        <w:color w:val="000000"/>
                        <w:sz w:val="20"/>
                        <w:szCs w:val="20"/>
                      </w:rPr>
                      <w:t>30</w:t>
                    </w:r>
                    <w:r w:rsidRPr="00415C2A">
                      <w:rPr>
                        <w:rFonts w:cs="Arial" w:hint="eastAsia"/>
                        <w:color w:val="000000"/>
                        <w:sz w:val="20"/>
                        <w:szCs w:val="20"/>
                      </w:rPr>
                      <w:t>日</w:t>
                    </w:r>
                  </w:p>
                </w:tc>
                <w:tc>
                  <w:tcPr>
                    <w:tcW w:w="114" w:type="dxa"/>
                    <w:noWrap/>
                    <w:vAlign w:val="bottom"/>
                    <w:hideMark/>
                  </w:tcPr>
                  <w:p w:rsidR="00B637B2" w:rsidRPr="00415C2A" w:rsidRDefault="008F04CF" w:rsidP="00B637B2">
                    <w:pPr>
                      <w:kinsoku w:val="0"/>
                      <w:overflowPunct w:val="0"/>
                      <w:autoSpaceDE w:val="0"/>
                      <w:autoSpaceDN w:val="0"/>
                      <w:adjustRightInd w:val="0"/>
                      <w:snapToGrid w:val="0"/>
                      <w:rPr>
                        <w:rFonts w:cs="Arial"/>
                        <w:color w:val="000000"/>
                        <w:sz w:val="20"/>
                        <w:szCs w:val="20"/>
                      </w:rPr>
                    </w:pPr>
                    <w:r w:rsidRPr="00415C2A">
                      <w:rPr>
                        <w:rFonts w:cs="Arial"/>
                        <w:color w:val="000000"/>
                        <w:sz w:val="20"/>
                        <w:szCs w:val="20"/>
                      </w:rPr>
                      <w:t xml:space="preserve"> </w:t>
                    </w:r>
                  </w:p>
                </w:tc>
                <w:tc>
                  <w:tcPr>
                    <w:tcW w:w="114" w:type="dxa"/>
                    <w:noWrap/>
                    <w:hideMark/>
                  </w:tcPr>
                  <w:p w:rsidR="00B637B2" w:rsidRPr="00415C2A" w:rsidRDefault="008F04CF" w:rsidP="00B637B2">
                    <w:pPr>
                      <w:kinsoku w:val="0"/>
                      <w:overflowPunct w:val="0"/>
                      <w:autoSpaceDE w:val="0"/>
                      <w:autoSpaceDN w:val="0"/>
                      <w:adjustRightInd w:val="0"/>
                      <w:snapToGrid w:val="0"/>
                      <w:jc w:val="right"/>
                      <w:rPr>
                        <w:rFonts w:cs="Arial"/>
                        <w:sz w:val="20"/>
                        <w:szCs w:val="20"/>
                      </w:rPr>
                    </w:pPr>
                    <w:r w:rsidRPr="00415C2A">
                      <w:rPr>
                        <w:rFonts w:cs="Arial"/>
                        <w:color w:val="000000"/>
                        <w:sz w:val="20"/>
                        <w:szCs w:val="20"/>
                      </w:rPr>
                      <w:t xml:space="preserve"> </w:t>
                    </w:r>
                  </w:p>
                </w:tc>
                <w:tc>
                  <w:tcPr>
                    <w:tcW w:w="1814" w:type="dxa"/>
                    <w:noWrap/>
                    <w:hideMark/>
                  </w:tcPr>
                  <w:p w:rsidR="00B637B2" w:rsidRPr="00415C2A" w:rsidRDefault="008F04CF" w:rsidP="00B637B2">
                    <w:pPr>
                      <w:kinsoku w:val="0"/>
                      <w:overflowPunct w:val="0"/>
                      <w:autoSpaceDE w:val="0"/>
                      <w:autoSpaceDN w:val="0"/>
                      <w:adjustRightInd w:val="0"/>
                      <w:snapToGrid w:val="0"/>
                      <w:jc w:val="right"/>
                      <w:rPr>
                        <w:rFonts w:cs="Arial"/>
                        <w:color w:val="000000"/>
                        <w:sz w:val="20"/>
                        <w:szCs w:val="20"/>
                      </w:rPr>
                    </w:pPr>
                    <w:r w:rsidRPr="00415C2A">
                      <w:rPr>
                        <w:rFonts w:cs="Arial"/>
                        <w:color w:val="000000"/>
                        <w:sz w:val="20"/>
                        <w:szCs w:val="20"/>
                      </w:rPr>
                      <w:t>2018</w:t>
                    </w:r>
                    <w:r w:rsidRPr="00415C2A">
                      <w:rPr>
                        <w:rFonts w:cs="Arial" w:hint="eastAsia"/>
                        <w:color w:val="000000"/>
                        <w:sz w:val="20"/>
                        <w:szCs w:val="20"/>
                      </w:rPr>
                      <w:t>年</w:t>
                    </w:r>
                    <w:r w:rsidRPr="00415C2A">
                      <w:rPr>
                        <w:rFonts w:cs="Arial"/>
                        <w:color w:val="000000"/>
                        <w:sz w:val="20"/>
                        <w:szCs w:val="20"/>
                      </w:rPr>
                      <w:t>12</w:t>
                    </w:r>
                    <w:r w:rsidRPr="00415C2A">
                      <w:rPr>
                        <w:rFonts w:cs="Arial" w:hint="eastAsia"/>
                        <w:color w:val="000000"/>
                        <w:sz w:val="20"/>
                        <w:szCs w:val="20"/>
                      </w:rPr>
                      <w:t>月</w:t>
                    </w:r>
                    <w:r w:rsidRPr="00415C2A">
                      <w:rPr>
                        <w:rFonts w:cs="Arial"/>
                        <w:color w:val="000000"/>
                        <w:sz w:val="20"/>
                        <w:szCs w:val="20"/>
                      </w:rPr>
                      <w:t>31</w:t>
                    </w:r>
                    <w:r w:rsidRPr="00415C2A">
                      <w:rPr>
                        <w:rFonts w:cs="Arial" w:hint="eastAsia"/>
                        <w:color w:val="000000"/>
                        <w:sz w:val="20"/>
                        <w:szCs w:val="20"/>
                      </w:rPr>
                      <w:t>日</w:t>
                    </w:r>
                  </w:p>
                </w:tc>
                <w:tc>
                  <w:tcPr>
                    <w:tcW w:w="189" w:type="dxa"/>
                    <w:noWrap/>
                    <w:vAlign w:val="bottom"/>
                    <w:hideMark/>
                  </w:tcPr>
                  <w:p w:rsidR="00B637B2" w:rsidRPr="00415C2A" w:rsidRDefault="008F04CF" w:rsidP="00B637B2">
                    <w:pPr>
                      <w:kinsoku w:val="0"/>
                      <w:overflowPunct w:val="0"/>
                      <w:autoSpaceDE w:val="0"/>
                      <w:autoSpaceDN w:val="0"/>
                      <w:adjustRightInd w:val="0"/>
                      <w:snapToGrid w:val="0"/>
                      <w:rPr>
                        <w:rFonts w:cs="Arial"/>
                        <w:color w:val="000000"/>
                        <w:sz w:val="20"/>
                        <w:szCs w:val="20"/>
                      </w:rPr>
                    </w:pPr>
                    <w:r w:rsidRPr="00415C2A">
                      <w:rPr>
                        <w:rFonts w:cs="Arial"/>
                        <w:color w:val="000000"/>
                        <w:sz w:val="20"/>
                        <w:szCs w:val="20"/>
                      </w:rPr>
                      <w:t xml:space="preserve"> </w:t>
                    </w:r>
                  </w:p>
                </w:tc>
              </w:tr>
              <w:tr w:rsidR="00B637B2" w:rsidRPr="00415C2A" w:rsidTr="00B637B2">
                <w:tc>
                  <w:tcPr>
                    <w:tcW w:w="4286" w:type="dxa"/>
                    <w:noWrap/>
                    <w:vAlign w:val="bottom"/>
                    <w:hideMark/>
                  </w:tcPr>
                  <w:p w:rsidR="00B637B2" w:rsidRPr="00415C2A" w:rsidRDefault="008F04CF" w:rsidP="00B637B2">
                    <w:pPr>
                      <w:kinsoku w:val="0"/>
                      <w:overflowPunct w:val="0"/>
                      <w:autoSpaceDE w:val="0"/>
                      <w:autoSpaceDN w:val="0"/>
                      <w:adjustRightInd w:val="0"/>
                      <w:snapToGrid w:val="0"/>
                      <w:rPr>
                        <w:rFonts w:cs="Arial"/>
                        <w:sz w:val="20"/>
                        <w:szCs w:val="20"/>
                      </w:rPr>
                    </w:pPr>
                    <w:r w:rsidRPr="00415C2A">
                      <w:rPr>
                        <w:rFonts w:cs="Arial"/>
                        <w:color w:val="000000"/>
                        <w:sz w:val="20"/>
                        <w:szCs w:val="20"/>
                      </w:rPr>
                      <w:t xml:space="preserve"> </w:t>
                    </w:r>
                  </w:p>
                </w:tc>
                <w:tc>
                  <w:tcPr>
                    <w:tcW w:w="114" w:type="dxa"/>
                    <w:noWrap/>
                    <w:vAlign w:val="center"/>
                    <w:hideMark/>
                  </w:tcPr>
                  <w:p w:rsidR="00B637B2" w:rsidRPr="00415C2A" w:rsidRDefault="008F04CF" w:rsidP="00B637B2">
                    <w:pPr>
                      <w:kinsoku w:val="0"/>
                      <w:overflowPunct w:val="0"/>
                      <w:autoSpaceDE w:val="0"/>
                      <w:autoSpaceDN w:val="0"/>
                      <w:adjustRightInd w:val="0"/>
                      <w:snapToGrid w:val="0"/>
                      <w:rPr>
                        <w:rFonts w:cs="Arial"/>
                        <w:sz w:val="20"/>
                        <w:szCs w:val="20"/>
                      </w:rPr>
                    </w:pPr>
                    <w:r w:rsidRPr="00415C2A">
                      <w:rPr>
                        <w:rFonts w:cs="Arial"/>
                        <w:color w:val="000000"/>
                        <w:sz w:val="20"/>
                        <w:szCs w:val="20"/>
                      </w:rPr>
                      <w:t xml:space="preserve"> </w:t>
                    </w:r>
                  </w:p>
                </w:tc>
                <w:tc>
                  <w:tcPr>
                    <w:tcW w:w="1814" w:type="dxa"/>
                    <w:noWrap/>
                    <w:vAlign w:val="bottom"/>
                  </w:tcPr>
                  <w:p w:rsidR="00B637B2" w:rsidRPr="00415C2A" w:rsidRDefault="00B637B2" w:rsidP="00B637B2">
                    <w:pPr>
                      <w:kinsoku w:val="0"/>
                      <w:overflowPunct w:val="0"/>
                      <w:autoSpaceDE w:val="0"/>
                      <w:autoSpaceDN w:val="0"/>
                      <w:adjustRightInd w:val="0"/>
                      <w:snapToGrid w:val="0"/>
                      <w:jc w:val="right"/>
                      <w:rPr>
                        <w:rFonts w:cs="Arial"/>
                        <w:sz w:val="20"/>
                        <w:szCs w:val="20"/>
                      </w:rPr>
                    </w:pPr>
                  </w:p>
                </w:tc>
                <w:tc>
                  <w:tcPr>
                    <w:tcW w:w="114" w:type="dxa"/>
                    <w:noWrap/>
                    <w:vAlign w:val="bottom"/>
                  </w:tcPr>
                  <w:p w:rsidR="00B637B2" w:rsidRPr="00415C2A" w:rsidRDefault="00B637B2" w:rsidP="00B637B2">
                    <w:pPr>
                      <w:kinsoku w:val="0"/>
                      <w:overflowPunct w:val="0"/>
                      <w:autoSpaceDE w:val="0"/>
                      <w:autoSpaceDN w:val="0"/>
                      <w:adjustRightInd w:val="0"/>
                      <w:snapToGrid w:val="0"/>
                      <w:rPr>
                        <w:rFonts w:cs="Arial"/>
                        <w:sz w:val="20"/>
                        <w:szCs w:val="20"/>
                      </w:rPr>
                    </w:pPr>
                  </w:p>
                </w:tc>
                <w:tc>
                  <w:tcPr>
                    <w:tcW w:w="114" w:type="dxa"/>
                    <w:noWrap/>
                    <w:vAlign w:val="bottom"/>
                  </w:tcPr>
                  <w:p w:rsidR="00B637B2" w:rsidRPr="00415C2A" w:rsidRDefault="00B637B2" w:rsidP="00B637B2">
                    <w:pPr>
                      <w:kinsoku w:val="0"/>
                      <w:overflowPunct w:val="0"/>
                      <w:autoSpaceDE w:val="0"/>
                      <w:autoSpaceDN w:val="0"/>
                      <w:adjustRightInd w:val="0"/>
                      <w:snapToGrid w:val="0"/>
                      <w:jc w:val="right"/>
                      <w:rPr>
                        <w:rFonts w:cs="Arial"/>
                        <w:sz w:val="20"/>
                        <w:szCs w:val="20"/>
                      </w:rPr>
                    </w:pPr>
                  </w:p>
                </w:tc>
                <w:tc>
                  <w:tcPr>
                    <w:tcW w:w="1814" w:type="dxa"/>
                    <w:noWrap/>
                    <w:vAlign w:val="bottom"/>
                  </w:tcPr>
                  <w:p w:rsidR="00B637B2" w:rsidRPr="00415C2A" w:rsidRDefault="00B637B2" w:rsidP="00B637B2">
                    <w:pPr>
                      <w:kinsoku w:val="0"/>
                      <w:overflowPunct w:val="0"/>
                      <w:autoSpaceDE w:val="0"/>
                      <w:autoSpaceDN w:val="0"/>
                      <w:adjustRightInd w:val="0"/>
                      <w:snapToGrid w:val="0"/>
                      <w:jc w:val="right"/>
                      <w:rPr>
                        <w:rFonts w:cs="Arial"/>
                        <w:sz w:val="20"/>
                        <w:szCs w:val="20"/>
                      </w:rPr>
                    </w:pPr>
                  </w:p>
                </w:tc>
                <w:tc>
                  <w:tcPr>
                    <w:tcW w:w="189" w:type="dxa"/>
                    <w:noWrap/>
                    <w:vAlign w:val="bottom"/>
                  </w:tcPr>
                  <w:p w:rsidR="00B637B2" w:rsidRPr="00415C2A" w:rsidRDefault="00B637B2" w:rsidP="00B637B2">
                    <w:pPr>
                      <w:kinsoku w:val="0"/>
                      <w:overflowPunct w:val="0"/>
                      <w:autoSpaceDE w:val="0"/>
                      <w:autoSpaceDN w:val="0"/>
                      <w:adjustRightInd w:val="0"/>
                      <w:snapToGrid w:val="0"/>
                      <w:rPr>
                        <w:rFonts w:cs="Arial"/>
                        <w:sz w:val="20"/>
                        <w:szCs w:val="20"/>
                      </w:rPr>
                    </w:pPr>
                  </w:p>
                </w:tc>
              </w:tr>
              <w:tr w:rsidR="00B637B2" w:rsidRPr="00415C2A" w:rsidTr="00B637B2">
                <w:tc>
                  <w:tcPr>
                    <w:tcW w:w="4286" w:type="dxa"/>
                    <w:noWrap/>
                    <w:vAlign w:val="center"/>
                    <w:hideMark/>
                  </w:tcPr>
                  <w:p w:rsidR="00B637B2" w:rsidRPr="00415C2A" w:rsidRDefault="008F04CF" w:rsidP="00B637B2">
                    <w:pPr>
                      <w:kinsoku w:val="0"/>
                      <w:overflowPunct w:val="0"/>
                      <w:autoSpaceDE w:val="0"/>
                      <w:autoSpaceDN w:val="0"/>
                      <w:adjustRightInd w:val="0"/>
                      <w:snapToGrid w:val="0"/>
                      <w:rPr>
                        <w:rFonts w:cs="Arial"/>
                        <w:color w:val="000000"/>
                        <w:sz w:val="20"/>
                        <w:szCs w:val="20"/>
                      </w:rPr>
                    </w:pPr>
                    <w:r w:rsidRPr="00415C2A">
                      <w:rPr>
                        <w:rFonts w:cs="Arial" w:hint="eastAsia"/>
                        <w:snapToGrid w:val="0"/>
                        <w:sz w:val="20"/>
                        <w:szCs w:val="20"/>
                      </w:rPr>
                      <w:t>短期借款</w:t>
                    </w:r>
                  </w:p>
                </w:tc>
                <w:tc>
                  <w:tcPr>
                    <w:tcW w:w="114" w:type="dxa"/>
                    <w:noWrap/>
                    <w:vAlign w:val="center"/>
                    <w:hideMark/>
                  </w:tcPr>
                  <w:p w:rsidR="00B637B2" w:rsidRPr="00415C2A" w:rsidRDefault="00B637B2" w:rsidP="00B637B2">
                    <w:pPr>
                      <w:rPr>
                        <w:rFonts w:cs="Arial"/>
                        <w:color w:val="000000"/>
                        <w:sz w:val="20"/>
                        <w:szCs w:val="20"/>
                      </w:rPr>
                    </w:pPr>
                  </w:p>
                </w:tc>
                <w:tc>
                  <w:tcPr>
                    <w:tcW w:w="1814" w:type="dxa"/>
                    <w:noWrap/>
                    <w:vAlign w:val="bottom"/>
                    <w:hideMark/>
                  </w:tcPr>
                  <w:p w:rsidR="00B637B2" w:rsidRPr="00415C2A" w:rsidRDefault="008F04CF" w:rsidP="00B637B2">
                    <w:pPr>
                      <w:kinsoku w:val="0"/>
                      <w:overflowPunct w:val="0"/>
                      <w:autoSpaceDE w:val="0"/>
                      <w:autoSpaceDN w:val="0"/>
                      <w:adjustRightInd w:val="0"/>
                      <w:snapToGrid w:val="0"/>
                      <w:jc w:val="right"/>
                      <w:rPr>
                        <w:rFonts w:cs="Arial"/>
                        <w:color w:val="000000"/>
                        <w:sz w:val="20"/>
                        <w:szCs w:val="20"/>
                      </w:rPr>
                    </w:pPr>
                    <w:r w:rsidRPr="00415C2A">
                      <w:rPr>
                        <w:rFonts w:cs="Arial"/>
                        <w:color w:val="000000"/>
                        <w:sz w:val="20"/>
                        <w:szCs w:val="20"/>
                      </w:rPr>
                      <w:t>4,330,976,000</w:t>
                    </w:r>
                  </w:p>
                </w:tc>
                <w:tc>
                  <w:tcPr>
                    <w:tcW w:w="114" w:type="dxa"/>
                    <w:noWrap/>
                    <w:vAlign w:val="bottom"/>
                  </w:tcPr>
                  <w:p w:rsidR="00B637B2" w:rsidRPr="00415C2A" w:rsidRDefault="00B637B2" w:rsidP="00B637B2">
                    <w:pPr>
                      <w:kinsoku w:val="0"/>
                      <w:overflowPunct w:val="0"/>
                      <w:autoSpaceDE w:val="0"/>
                      <w:autoSpaceDN w:val="0"/>
                      <w:adjustRightInd w:val="0"/>
                      <w:snapToGrid w:val="0"/>
                      <w:rPr>
                        <w:rFonts w:cs="Arial"/>
                        <w:color w:val="000000"/>
                        <w:sz w:val="20"/>
                        <w:szCs w:val="20"/>
                        <w:u w:val="single"/>
                      </w:rPr>
                    </w:pPr>
                  </w:p>
                </w:tc>
                <w:tc>
                  <w:tcPr>
                    <w:tcW w:w="114" w:type="dxa"/>
                    <w:noWrap/>
                    <w:vAlign w:val="bottom"/>
                  </w:tcPr>
                  <w:p w:rsidR="00B637B2" w:rsidRPr="00415C2A" w:rsidRDefault="00B637B2" w:rsidP="00B637B2">
                    <w:pPr>
                      <w:kinsoku w:val="0"/>
                      <w:overflowPunct w:val="0"/>
                      <w:autoSpaceDE w:val="0"/>
                      <w:autoSpaceDN w:val="0"/>
                      <w:adjustRightInd w:val="0"/>
                      <w:snapToGrid w:val="0"/>
                      <w:jc w:val="right"/>
                      <w:rPr>
                        <w:rFonts w:cs="Arial"/>
                        <w:strike/>
                        <w:sz w:val="20"/>
                        <w:szCs w:val="20"/>
                      </w:rPr>
                    </w:pPr>
                  </w:p>
                </w:tc>
                <w:tc>
                  <w:tcPr>
                    <w:tcW w:w="1814" w:type="dxa"/>
                    <w:noWrap/>
                    <w:vAlign w:val="bottom"/>
                    <w:hideMark/>
                  </w:tcPr>
                  <w:p w:rsidR="00B637B2" w:rsidRPr="00415C2A" w:rsidRDefault="008F04CF" w:rsidP="00B637B2">
                    <w:pPr>
                      <w:kinsoku w:val="0"/>
                      <w:overflowPunct w:val="0"/>
                      <w:autoSpaceDE w:val="0"/>
                      <w:autoSpaceDN w:val="0"/>
                      <w:adjustRightInd w:val="0"/>
                      <w:snapToGrid w:val="0"/>
                      <w:jc w:val="right"/>
                      <w:rPr>
                        <w:rFonts w:cs="Arial"/>
                        <w:strike/>
                        <w:color w:val="000000"/>
                        <w:sz w:val="20"/>
                        <w:szCs w:val="20"/>
                      </w:rPr>
                    </w:pPr>
                    <w:r w:rsidRPr="00415C2A">
                      <w:rPr>
                        <w:rFonts w:cs="Arial"/>
                        <w:color w:val="000000"/>
                        <w:sz w:val="20"/>
                        <w:szCs w:val="20"/>
                      </w:rPr>
                      <w:t>3,156,404,000</w:t>
                    </w:r>
                  </w:p>
                </w:tc>
                <w:tc>
                  <w:tcPr>
                    <w:tcW w:w="189" w:type="dxa"/>
                    <w:noWrap/>
                    <w:vAlign w:val="bottom"/>
                  </w:tcPr>
                  <w:p w:rsidR="00B637B2" w:rsidRPr="00415C2A" w:rsidRDefault="00B637B2" w:rsidP="00B637B2">
                    <w:pPr>
                      <w:kinsoku w:val="0"/>
                      <w:overflowPunct w:val="0"/>
                      <w:autoSpaceDE w:val="0"/>
                      <w:autoSpaceDN w:val="0"/>
                      <w:adjustRightInd w:val="0"/>
                      <w:snapToGrid w:val="0"/>
                      <w:rPr>
                        <w:rFonts w:cs="Arial"/>
                        <w:strike/>
                        <w:color w:val="000000"/>
                        <w:sz w:val="20"/>
                        <w:szCs w:val="20"/>
                      </w:rPr>
                    </w:pPr>
                  </w:p>
                </w:tc>
              </w:tr>
              <w:tr w:rsidR="00B637B2" w:rsidRPr="00415C2A" w:rsidTr="00B637B2">
                <w:tc>
                  <w:tcPr>
                    <w:tcW w:w="4286" w:type="dxa"/>
                    <w:noWrap/>
                    <w:vAlign w:val="bottom"/>
                    <w:hideMark/>
                  </w:tcPr>
                  <w:p w:rsidR="00B637B2" w:rsidRPr="00415C2A" w:rsidRDefault="008F04CF" w:rsidP="00B637B2">
                    <w:pPr>
                      <w:kinsoku w:val="0"/>
                      <w:overflowPunct w:val="0"/>
                      <w:autoSpaceDE w:val="0"/>
                      <w:autoSpaceDN w:val="0"/>
                      <w:adjustRightInd w:val="0"/>
                      <w:snapToGrid w:val="0"/>
                      <w:rPr>
                        <w:rFonts w:cs="Arial"/>
                        <w:color w:val="000000"/>
                        <w:sz w:val="20"/>
                        <w:szCs w:val="20"/>
                      </w:rPr>
                    </w:pPr>
                    <w:r w:rsidRPr="00415C2A">
                      <w:rPr>
                        <w:rFonts w:cs="Arial" w:hint="eastAsia"/>
                        <w:snapToGrid w:val="0"/>
                        <w:sz w:val="20"/>
                        <w:szCs w:val="20"/>
                      </w:rPr>
                      <w:t>应付账款</w:t>
                    </w:r>
                  </w:p>
                </w:tc>
                <w:tc>
                  <w:tcPr>
                    <w:tcW w:w="114" w:type="dxa"/>
                    <w:noWrap/>
                    <w:vAlign w:val="center"/>
                  </w:tcPr>
                  <w:p w:rsidR="00B637B2" w:rsidRPr="00415C2A" w:rsidRDefault="00B637B2" w:rsidP="00B637B2">
                    <w:pPr>
                      <w:kinsoku w:val="0"/>
                      <w:overflowPunct w:val="0"/>
                      <w:autoSpaceDE w:val="0"/>
                      <w:autoSpaceDN w:val="0"/>
                      <w:adjustRightInd w:val="0"/>
                      <w:snapToGrid w:val="0"/>
                      <w:rPr>
                        <w:rFonts w:cs="Arial"/>
                        <w:strike/>
                        <w:color w:val="000000"/>
                        <w:sz w:val="20"/>
                        <w:szCs w:val="20"/>
                      </w:rPr>
                    </w:pPr>
                  </w:p>
                </w:tc>
                <w:tc>
                  <w:tcPr>
                    <w:tcW w:w="1814" w:type="dxa"/>
                    <w:noWrap/>
                    <w:vAlign w:val="bottom"/>
                    <w:hideMark/>
                  </w:tcPr>
                  <w:p w:rsidR="00B637B2" w:rsidRPr="00415C2A" w:rsidRDefault="008F04CF" w:rsidP="00B637B2">
                    <w:pPr>
                      <w:kinsoku w:val="0"/>
                      <w:overflowPunct w:val="0"/>
                      <w:autoSpaceDE w:val="0"/>
                      <w:autoSpaceDN w:val="0"/>
                      <w:adjustRightInd w:val="0"/>
                      <w:snapToGrid w:val="0"/>
                      <w:jc w:val="right"/>
                      <w:rPr>
                        <w:rFonts w:cs="Arial"/>
                        <w:color w:val="000000"/>
                        <w:sz w:val="20"/>
                        <w:szCs w:val="20"/>
                      </w:rPr>
                    </w:pPr>
                    <w:r w:rsidRPr="00415C2A">
                      <w:rPr>
                        <w:rFonts w:cs="Arial"/>
                        <w:color w:val="000000"/>
                        <w:sz w:val="20"/>
                        <w:szCs w:val="20"/>
                      </w:rPr>
                      <w:t>460,055,944</w:t>
                    </w:r>
                  </w:p>
                </w:tc>
                <w:tc>
                  <w:tcPr>
                    <w:tcW w:w="114" w:type="dxa"/>
                    <w:noWrap/>
                    <w:vAlign w:val="bottom"/>
                  </w:tcPr>
                  <w:p w:rsidR="00B637B2" w:rsidRPr="00415C2A" w:rsidRDefault="00B637B2" w:rsidP="00B637B2">
                    <w:pPr>
                      <w:kinsoku w:val="0"/>
                      <w:overflowPunct w:val="0"/>
                      <w:autoSpaceDE w:val="0"/>
                      <w:autoSpaceDN w:val="0"/>
                      <w:adjustRightInd w:val="0"/>
                      <w:snapToGrid w:val="0"/>
                      <w:rPr>
                        <w:rFonts w:cs="Arial"/>
                        <w:strike/>
                        <w:color w:val="000000"/>
                        <w:sz w:val="20"/>
                        <w:szCs w:val="20"/>
                      </w:rPr>
                    </w:pPr>
                  </w:p>
                </w:tc>
                <w:tc>
                  <w:tcPr>
                    <w:tcW w:w="114" w:type="dxa"/>
                    <w:noWrap/>
                    <w:vAlign w:val="bottom"/>
                  </w:tcPr>
                  <w:p w:rsidR="00B637B2" w:rsidRPr="00415C2A" w:rsidRDefault="00B637B2" w:rsidP="00B637B2">
                    <w:pPr>
                      <w:kinsoku w:val="0"/>
                      <w:overflowPunct w:val="0"/>
                      <w:autoSpaceDE w:val="0"/>
                      <w:autoSpaceDN w:val="0"/>
                      <w:adjustRightInd w:val="0"/>
                      <w:snapToGrid w:val="0"/>
                      <w:jc w:val="right"/>
                      <w:rPr>
                        <w:rFonts w:cs="Arial"/>
                        <w:strike/>
                        <w:sz w:val="20"/>
                        <w:szCs w:val="20"/>
                      </w:rPr>
                    </w:pPr>
                  </w:p>
                </w:tc>
                <w:tc>
                  <w:tcPr>
                    <w:tcW w:w="1814" w:type="dxa"/>
                    <w:noWrap/>
                    <w:vAlign w:val="bottom"/>
                    <w:hideMark/>
                  </w:tcPr>
                  <w:p w:rsidR="00B637B2" w:rsidRPr="00415C2A" w:rsidRDefault="008F04CF" w:rsidP="00B637B2">
                    <w:pPr>
                      <w:kinsoku w:val="0"/>
                      <w:overflowPunct w:val="0"/>
                      <w:autoSpaceDE w:val="0"/>
                      <w:autoSpaceDN w:val="0"/>
                      <w:adjustRightInd w:val="0"/>
                      <w:snapToGrid w:val="0"/>
                      <w:jc w:val="right"/>
                      <w:rPr>
                        <w:rFonts w:cs="Arial"/>
                        <w:strike/>
                        <w:color w:val="000000"/>
                        <w:sz w:val="20"/>
                        <w:szCs w:val="20"/>
                      </w:rPr>
                    </w:pPr>
                    <w:r w:rsidRPr="00415C2A">
                      <w:rPr>
                        <w:rFonts w:cs="Arial"/>
                        <w:color w:val="000000"/>
                        <w:sz w:val="20"/>
                        <w:szCs w:val="20"/>
                      </w:rPr>
                      <w:t>455,622,484</w:t>
                    </w:r>
                  </w:p>
                </w:tc>
                <w:tc>
                  <w:tcPr>
                    <w:tcW w:w="189" w:type="dxa"/>
                    <w:noWrap/>
                    <w:vAlign w:val="bottom"/>
                  </w:tcPr>
                  <w:p w:rsidR="00B637B2" w:rsidRPr="00415C2A" w:rsidRDefault="00B637B2" w:rsidP="00B637B2">
                    <w:pPr>
                      <w:kinsoku w:val="0"/>
                      <w:overflowPunct w:val="0"/>
                      <w:autoSpaceDE w:val="0"/>
                      <w:autoSpaceDN w:val="0"/>
                      <w:adjustRightInd w:val="0"/>
                      <w:snapToGrid w:val="0"/>
                      <w:rPr>
                        <w:rFonts w:cs="Arial"/>
                        <w:strike/>
                        <w:color w:val="000000"/>
                        <w:sz w:val="20"/>
                        <w:szCs w:val="20"/>
                      </w:rPr>
                    </w:pPr>
                  </w:p>
                </w:tc>
              </w:tr>
              <w:tr w:rsidR="00B637B2" w:rsidRPr="00415C2A" w:rsidTr="00B637B2">
                <w:tc>
                  <w:tcPr>
                    <w:tcW w:w="4286" w:type="dxa"/>
                    <w:noWrap/>
                    <w:vAlign w:val="bottom"/>
                    <w:hideMark/>
                  </w:tcPr>
                  <w:p w:rsidR="00B637B2" w:rsidRPr="00415C2A" w:rsidRDefault="008F04CF" w:rsidP="00B637B2">
                    <w:pPr>
                      <w:kinsoku w:val="0"/>
                      <w:overflowPunct w:val="0"/>
                      <w:autoSpaceDE w:val="0"/>
                      <w:autoSpaceDN w:val="0"/>
                      <w:adjustRightInd w:val="0"/>
                      <w:snapToGrid w:val="0"/>
                      <w:rPr>
                        <w:rFonts w:cs="Arial"/>
                        <w:color w:val="000000"/>
                        <w:sz w:val="20"/>
                        <w:szCs w:val="20"/>
                      </w:rPr>
                    </w:pPr>
                    <w:r w:rsidRPr="00415C2A">
                      <w:rPr>
                        <w:rFonts w:cs="Arial" w:hint="eastAsia"/>
                        <w:snapToGrid w:val="0"/>
                        <w:sz w:val="20"/>
                        <w:szCs w:val="20"/>
                      </w:rPr>
                      <w:t>其他应付款</w:t>
                    </w:r>
                  </w:p>
                </w:tc>
                <w:tc>
                  <w:tcPr>
                    <w:tcW w:w="114" w:type="dxa"/>
                    <w:noWrap/>
                    <w:vAlign w:val="center"/>
                  </w:tcPr>
                  <w:p w:rsidR="00B637B2" w:rsidRPr="00415C2A" w:rsidRDefault="00B637B2" w:rsidP="00B637B2">
                    <w:pPr>
                      <w:kinsoku w:val="0"/>
                      <w:overflowPunct w:val="0"/>
                      <w:autoSpaceDE w:val="0"/>
                      <w:autoSpaceDN w:val="0"/>
                      <w:adjustRightInd w:val="0"/>
                      <w:snapToGrid w:val="0"/>
                      <w:rPr>
                        <w:rFonts w:cs="Arial"/>
                        <w:strike/>
                        <w:color w:val="000000"/>
                        <w:sz w:val="20"/>
                        <w:szCs w:val="20"/>
                      </w:rPr>
                    </w:pPr>
                  </w:p>
                </w:tc>
                <w:tc>
                  <w:tcPr>
                    <w:tcW w:w="1814" w:type="dxa"/>
                    <w:noWrap/>
                    <w:vAlign w:val="bottom"/>
                    <w:hideMark/>
                  </w:tcPr>
                  <w:p w:rsidR="00B637B2" w:rsidRPr="00415C2A" w:rsidRDefault="008F04CF" w:rsidP="00B637B2">
                    <w:pPr>
                      <w:kinsoku w:val="0"/>
                      <w:overflowPunct w:val="0"/>
                      <w:autoSpaceDE w:val="0"/>
                      <w:autoSpaceDN w:val="0"/>
                      <w:adjustRightInd w:val="0"/>
                      <w:snapToGrid w:val="0"/>
                      <w:jc w:val="right"/>
                      <w:rPr>
                        <w:rFonts w:cs="Arial"/>
                        <w:color w:val="000000"/>
                        <w:sz w:val="20"/>
                        <w:szCs w:val="20"/>
                      </w:rPr>
                    </w:pPr>
                    <w:r w:rsidRPr="00415C2A">
                      <w:rPr>
                        <w:rFonts w:cs="Arial"/>
                        <w:color w:val="000000"/>
                        <w:sz w:val="20"/>
                        <w:szCs w:val="20"/>
                      </w:rPr>
                      <w:t>741,545,831</w:t>
                    </w:r>
                  </w:p>
                </w:tc>
                <w:tc>
                  <w:tcPr>
                    <w:tcW w:w="114" w:type="dxa"/>
                    <w:noWrap/>
                    <w:vAlign w:val="bottom"/>
                  </w:tcPr>
                  <w:p w:rsidR="00B637B2" w:rsidRPr="00415C2A" w:rsidRDefault="00B637B2" w:rsidP="00B637B2">
                    <w:pPr>
                      <w:kinsoku w:val="0"/>
                      <w:overflowPunct w:val="0"/>
                      <w:autoSpaceDE w:val="0"/>
                      <w:autoSpaceDN w:val="0"/>
                      <w:adjustRightInd w:val="0"/>
                      <w:snapToGrid w:val="0"/>
                      <w:rPr>
                        <w:rFonts w:cs="Arial"/>
                        <w:color w:val="000000"/>
                        <w:sz w:val="20"/>
                        <w:szCs w:val="20"/>
                      </w:rPr>
                    </w:pPr>
                  </w:p>
                </w:tc>
                <w:tc>
                  <w:tcPr>
                    <w:tcW w:w="114" w:type="dxa"/>
                    <w:noWrap/>
                    <w:vAlign w:val="bottom"/>
                  </w:tcPr>
                  <w:p w:rsidR="00B637B2" w:rsidRPr="00415C2A" w:rsidRDefault="00B637B2" w:rsidP="00B637B2">
                    <w:pPr>
                      <w:kinsoku w:val="0"/>
                      <w:overflowPunct w:val="0"/>
                      <w:autoSpaceDE w:val="0"/>
                      <w:autoSpaceDN w:val="0"/>
                      <w:adjustRightInd w:val="0"/>
                      <w:snapToGrid w:val="0"/>
                      <w:jc w:val="right"/>
                      <w:rPr>
                        <w:rFonts w:cs="Arial"/>
                        <w:strike/>
                        <w:sz w:val="20"/>
                        <w:szCs w:val="20"/>
                      </w:rPr>
                    </w:pPr>
                  </w:p>
                </w:tc>
                <w:tc>
                  <w:tcPr>
                    <w:tcW w:w="1814" w:type="dxa"/>
                    <w:noWrap/>
                    <w:vAlign w:val="bottom"/>
                    <w:hideMark/>
                  </w:tcPr>
                  <w:p w:rsidR="00B637B2" w:rsidRPr="00415C2A" w:rsidRDefault="008F04CF" w:rsidP="00B637B2">
                    <w:pPr>
                      <w:kinsoku w:val="0"/>
                      <w:overflowPunct w:val="0"/>
                      <w:autoSpaceDE w:val="0"/>
                      <w:autoSpaceDN w:val="0"/>
                      <w:adjustRightInd w:val="0"/>
                      <w:snapToGrid w:val="0"/>
                      <w:jc w:val="right"/>
                      <w:rPr>
                        <w:rFonts w:cs="Arial"/>
                        <w:strike/>
                        <w:color w:val="000000"/>
                        <w:sz w:val="20"/>
                        <w:szCs w:val="20"/>
                      </w:rPr>
                    </w:pPr>
                    <w:r w:rsidRPr="00415C2A">
                      <w:rPr>
                        <w:rFonts w:cs="Arial"/>
                        <w:color w:val="000000"/>
                        <w:sz w:val="20"/>
                        <w:szCs w:val="20"/>
                      </w:rPr>
                      <w:t>840,741,172</w:t>
                    </w:r>
                  </w:p>
                </w:tc>
                <w:tc>
                  <w:tcPr>
                    <w:tcW w:w="189" w:type="dxa"/>
                    <w:noWrap/>
                    <w:vAlign w:val="bottom"/>
                  </w:tcPr>
                  <w:p w:rsidR="00B637B2" w:rsidRPr="00415C2A" w:rsidRDefault="00B637B2" w:rsidP="00B637B2">
                    <w:pPr>
                      <w:kinsoku w:val="0"/>
                      <w:overflowPunct w:val="0"/>
                      <w:autoSpaceDE w:val="0"/>
                      <w:autoSpaceDN w:val="0"/>
                      <w:adjustRightInd w:val="0"/>
                      <w:snapToGrid w:val="0"/>
                      <w:rPr>
                        <w:rFonts w:cs="Arial"/>
                        <w:strike/>
                        <w:color w:val="000000"/>
                        <w:sz w:val="20"/>
                        <w:szCs w:val="20"/>
                      </w:rPr>
                    </w:pPr>
                  </w:p>
                </w:tc>
              </w:tr>
              <w:tr w:rsidR="00B637B2" w:rsidRPr="00415C2A" w:rsidTr="00B637B2">
                <w:tc>
                  <w:tcPr>
                    <w:tcW w:w="4286" w:type="dxa"/>
                    <w:noWrap/>
                    <w:vAlign w:val="bottom"/>
                    <w:hideMark/>
                  </w:tcPr>
                  <w:p w:rsidR="00B637B2" w:rsidRPr="00415C2A" w:rsidRDefault="008F04CF" w:rsidP="00B637B2">
                    <w:pPr>
                      <w:kinsoku w:val="0"/>
                      <w:overflowPunct w:val="0"/>
                      <w:autoSpaceDE w:val="0"/>
                      <w:autoSpaceDN w:val="0"/>
                      <w:adjustRightInd w:val="0"/>
                      <w:snapToGrid w:val="0"/>
                      <w:rPr>
                        <w:rFonts w:cs="Arial"/>
                        <w:color w:val="000000"/>
                        <w:sz w:val="20"/>
                        <w:szCs w:val="20"/>
                      </w:rPr>
                    </w:pPr>
                    <w:r w:rsidRPr="00415C2A">
                      <w:rPr>
                        <w:rFonts w:cs="Arial" w:hint="eastAsia"/>
                        <w:snapToGrid w:val="0"/>
                        <w:sz w:val="20"/>
                        <w:szCs w:val="20"/>
                      </w:rPr>
                      <w:t>长期借款（含一年内到期）</w:t>
                    </w:r>
                  </w:p>
                </w:tc>
                <w:tc>
                  <w:tcPr>
                    <w:tcW w:w="114" w:type="dxa"/>
                    <w:noWrap/>
                    <w:vAlign w:val="center"/>
                  </w:tcPr>
                  <w:p w:rsidR="00B637B2" w:rsidRPr="00415C2A" w:rsidRDefault="00B637B2" w:rsidP="00B637B2">
                    <w:pPr>
                      <w:kinsoku w:val="0"/>
                      <w:overflowPunct w:val="0"/>
                      <w:autoSpaceDE w:val="0"/>
                      <w:autoSpaceDN w:val="0"/>
                      <w:adjustRightInd w:val="0"/>
                      <w:snapToGrid w:val="0"/>
                      <w:rPr>
                        <w:rFonts w:cs="Arial"/>
                        <w:strike/>
                        <w:color w:val="000000"/>
                        <w:sz w:val="20"/>
                        <w:szCs w:val="20"/>
                      </w:rPr>
                    </w:pPr>
                  </w:p>
                </w:tc>
                <w:tc>
                  <w:tcPr>
                    <w:tcW w:w="1814" w:type="dxa"/>
                    <w:noWrap/>
                    <w:vAlign w:val="bottom"/>
                    <w:hideMark/>
                  </w:tcPr>
                  <w:p w:rsidR="00B637B2" w:rsidRPr="00415C2A" w:rsidRDefault="008F04CF" w:rsidP="00B637B2">
                    <w:pPr>
                      <w:kinsoku w:val="0"/>
                      <w:overflowPunct w:val="0"/>
                      <w:autoSpaceDE w:val="0"/>
                      <w:autoSpaceDN w:val="0"/>
                      <w:adjustRightInd w:val="0"/>
                      <w:snapToGrid w:val="0"/>
                      <w:jc w:val="right"/>
                      <w:rPr>
                        <w:rFonts w:cs="Arial"/>
                        <w:color w:val="000000"/>
                        <w:sz w:val="20"/>
                        <w:szCs w:val="20"/>
                      </w:rPr>
                    </w:pPr>
                    <w:r w:rsidRPr="00415C2A">
                      <w:rPr>
                        <w:rFonts w:cs="Arial"/>
                        <w:color w:val="000000"/>
                        <w:sz w:val="20"/>
                        <w:szCs w:val="20"/>
                      </w:rPr>
                      <w:t>180,000,000</w:t>
                    </w:r>
                  </w:p>
                </w:tc>
                <w:tc>
                  <w:tcPr>
                    <w:tcW w:w="114" w:type="dxa"/>
                    <w:noWrap/>
                    <w:vAlign w:val="bottom"/>
                  </w:tcPr>
                  <w:p w:rsidR="00B637B2" w:rsidRPr="00415C2A" w:rsidRDefault="00B637B2" w:rsidP="00B637B2">
                    <w:pPr>
                      <w:kinsoku w:val="0"/>
                      <w:overflowPunct w:val="0"/>
                      <w:autoSpaceDE w:val="0"/>
                      <w:autoSpaceDN w:val="0"/>
                      <w:adjustRightInd w:val="0"/>
                      <w:snapToGrid w:val="0"/>
                      <w:rPr>
                        <w:rFonts w:cs="Arial"/>
                        <w:strike/>
                        <w:color w:val="000000"/>
                        <w:sz w:val="20"/>
                        <w:szCs w:val="20"/>
                      </w:rPr>
                    </w:pPr>
                  </w:p>
                </w:tc>
                <w:tc>
                  <w:tcPr>
                    <w:tcW w:w="114" w:type="dxa"/>
                    <w:noWrap/>
                    <w:vAlign w:val="bottom"/>
                  </w:tcPr>
                  <w:p w:rsidR="00B637B2" w:rsidRPr="00415C2A" w:rsidRDefault="00B637B2" w:rsidP="00B637B2">
                    <w:pPr>
                      <w:kinsoku w:val="0"/>
                      <w:overflowPunct w:val="0"/>
                      <w:autoSpaceDE w:val="0"/>
                      <w:autoSpaceDN w:val="0"/>
                      <w:adjustRightInd w:val="0"/>
                      <w:snapToGrid w:val="0"/>
                      <w:jc w:val="right"/>
                      <w:rPr>
                        <w:rFonts w:cs="Arial"/>
                        <w:strike/>
                        <w:sz w:val="20"/>
                        <w:szCs w:val="20"/>
                      </w:rPr>
                    </w:pPr>
                  </w:p>
                </w:tc>
                <w:tc>
                  <w:tcPr>
                    <w:tcW w:w="1814" w:type="dxa"/>
                    <w:noWrap/>
                    <w:vAlign w:val="bottom"/>
                    <w:hideMark/>
                  </w:tcPr>
                  <w:p w:rsidR="00B637B2" w:rsidRPr="00415C2A" w:rsidRDefault="008F04CF" w:rsidP="00B637B2">
                    <w:pPr>
                      <w:kinsoku w:val="0"/>
                      <w:overflowPunct w:val="0"/>
                      <w:autoSpaceDE w:val="0"/>
                      <w:autoSpaceDN w:val="0"/>
                      <w:adjustRightInd w:val="0"/>
                      <w:snapToGrid w:val="0"/>
                      <w:jc w:val="right"/>
                      <w:rPr>
                        <w:rFonts w:cs="Arial"/>
                        <w:strike/>
                        <w:color w:val="000000"/>
                        <w:sz w:val="20"/>
                        <w:szCs w:val="20"/>
                      </w:rPr>
                    </w:pPr>
                    <w:r w:rsidRPr="00415C2A">
                      <w:rPr>
                        <w:rFonts w:cs="Arial"/>
                        <w:color w:val="000000"/>
                        <w:sz w:val="20"/>
                        <w:szCs w:val="20"/>
                      </w:rPr>
                      <w:t>305,137,891</w:t>
                    </w:r>
                  </w:p>
                </w:tc>
                <w:tc>
                  <w:tcPr>
                    <w:tcW w:w="189" w:type="dxa"/>
                    <w:noWrap/>
                    <w:vAlign w:val="bottom"/>
                  </w:tcPr>
                  <w:p w:rsidR="00B637B2" w:rsidRPr="00415C2A" w:rsidRDefault="00B637B2" w:rsidP="00B637B2">
                    <w:pPr>
                      <w:kinsoku w:val="0"/>
                      <w:overflowPunct w:val="0"/>
                      <w:autoSpaceDE w:val="0"/>
                      <w:autoSpaceDN w:val="0"/>
                      <w:adjustRightInd w:val="0"/>
                      <w:snapToGrid w:val="0"/>
                      <w:rPr>
                        <w:rFonts w:cs="Arial"/>
                        <w:strike/>
                        <w:color w:val="000000"/>
                        <w:sz w:val="20"/>
                        <w:szCs w:val="20"/>
                      </w:rPr>
                    </w:pPr>
                  </w:p>
                </w:tc>
              </w:tr>
              <w:tr w:rsidR="00B637B2" w:rsidRPr="00415C2A" w:rsidTr="00B637B2">
                <w:tc>
                  <w:tcPr>
                    <w:tcW w:w="4286" w:type="dxa"/>
                    <w:noWrap/>
                    <w:vAlign w:val="bottom"/>
                    <w:hideMark/>
                  </w:tcPr>
                  <w:p w:rsidR="00B637B2" w:rsidRPr="00415C2A" w:rsidRDefault="008F04CF" w:rsidP="00B637B2">
                    <w:pPr>
                      <w:kinsoku w:val="0"/>
                      <w:overflowPunct w:val="0"/>
                      <w:autoSpaceDE w:val="0"/>
                      <w:autoSpaceDN w:val="0"/>
                      <w:adjustRightInd w:val="0"/>
                      <w:snapToGrid w:val="0"/>
                      <w:rPr>
                        <w:rFonts w:cs="Arial"/>
                        <w:snapToGrid w:val="0"/>
                        <w:sz w:val="20"/>
                        <w:szCs w:val="20"/>
                      </w:rPr>
                    </w:pPr>
                    <w:r w:rsidRPr="00415C2A">
                      <w:rPr>
                        <w:rFonts w:cs="Arial" w:hint="eastAsia"/>
                        <w:snapToGrid w:val="0"/>
                        <w:sz w:val="20"/>
                        <w:szCs w:val="20"/>
                      </w:rPr>
                      <w:t>其他流动负债</w:t>
                    </w:r>
                    <w:r w:rsidRPr="00415C2A">
                      <w:rPr>
                        <w:rFonts w:cs="Arial"/>
                        <w:snapToGrid w:val="0"/>
                        <w:sz w:val="20"/>
                        <w:szCs w:val="20"/>
                      </w:rPr>
                      <w:t>(</w:t>
                    </w:r>
                    <w:r w:rsidRPr="00415C2A">
                      <w:rPr>
                        <w:rFonts w:cs="Arial" w:hint="eastAsia"/>
                        <w:snapToGrid w:val="0"/>
                        <w:sz w:val="20"/>
                        <w:szCs w:val="20"/>
                      </w:rPr>
                      <w:t>审计费和房租</w:t>
                    </w:r>
                    <w:r w:rsidRPr="00415C2A">
                      <w:rPr>
                        <w:rFonts w:cs="Arial"/>
                        <w:snapToGrid w:val="0"/>
                        <w:sz w:val="20"/>
                        <w:szCs w:val="20"/>
                      </w:rPr>
                      <w:t>)</w:t>
                    </w:r>
                  </w:p>
                </w:tc>
                <w:tc>
                  <w:tcPr>
                    <w:tcW w:w="114" w:type="dxa"/>
                    <w:noWrap/>
                    <w:vAlign w:val="center"/>
                  </w:tcPr>
                  <w:p w:rsidR="00B637B2" w:rsidRPr="00415C2A" w:rsidRDefault="00B637B2" w:rsidP="00B637B2">
                    <w:pPr>
                      <w:kinsoku w:val="0"/>
                      <w:overflowPunct w:val="0"/>
                      <w:autoSpaceDE w:val="0"/>
                      <w:autoSpaceDN w:val="0"/>
                      <w:adjustRightInd w:val="0"/>
                      <w:snapToGrid w:val="0"/>
                      <w:rPr>
                        <w:rFonts w:cs="Arial"/>
                        <w:strike/>
                        <w:color w:val="000000"/>
                        <w:sz w:val="20"/>
                        <w:szCs w:val="20"/>
                      </w:rPr>
                    </w:pPr>
                  </w:p>
                </w:tc>
                <w:tc>
                  <w:tcPr>
                    <w:tcW w:w="1814" w:type="dxa"/>
                    <w:noWrap/>
                    <w:vAlign w:val="bottom"/>
                    <w:hideMark/>
                  </w:tcPr>
                  <w:p w:rsidR="00B637B2" w:rsidRPr="00415C2A" w:rsidRDefault="008F04CF" w:rsidP="00B637B2">
                    <w:pPr>
                      <w:kinsoku w:val="0"/>
                      <w:overflowPunct w:val="0"/>
                      <w:autoSpaceDE w:val="0"/>
                      <w:autoSpaceDN w:val="0"/>
                      <w:adjustRightInd w:val="0"/>
                      <w:snapToGrid w:val="0"/>
                      <w:jc w:val="right"/>
                      <w:rPr>
                        <w:rFonts w:cs="Arial"/>
                        <w:color w:val="000000"/>
                        <w:sz w:val="20"/>
                        <w:szCs w:val="20"/>
                      </w:rPr>
                    </w:pPr>
                    <w:r w:rsidRPr="00415C2A">
                      <w:rPr>
                        <w:rFonts w:cs="Arial"/>
                        <w:color w:val="000000"/>
                        <w:sz w:val="20"/>
                        <w:szCs w:val="20"/>
                      </w:rPr>
                      <w:t>1,737,752</w:t>
                    </w:r>
                  </w:p>
                </w:tc>
                <w:tc>
                  <w:tcPr>
                    <w:tcW w:w="114" w:type="dxa"/>
                    <w:noWrap/>
                    <w:vAlign w:val="bottom"/>
                  </w:tcPr>
                  <w:p w:rsidR="00B637B2" w:rsidRPr="00415C2A" w:rsidRDefault="00B637B2" w:rsidP="00B637B2">
                    <w:pPr>
                      <w:kinsoku w:val="0"/>
                      <w:overflowPunct w:val="0"/>
                      <w:autoSpaceDE w:val="0"/>
                      <w:autoSpaceDN w:val="0"/>
                      <w:adjustRightInd w:val="0"/>
                      <w:snapToGrid w:val="0"/>
                      <w:rPr>
                        <w:rFonts w:cs="Arial"/>
                        <w:strike/>
                        <w:color w:val="000000"/>
                        <w:sz w:val="20"/>
                        <w:szCs w:val="20"/>
                      </w:rPr>
                    </w:pPr>
                  </w:p>
                </w:tc>
                <w:tc>
                  <w:tcPr>
                    <w:tcW w:w="114" w:type="dxa"/>
                    <w:noWrap/>
                    <w:vAlign w:val="bottom"/>
                  </w:tcPr>
                  <w:p w:rsidR="00B637B2" w:rsidRPr="00415C2A" w:rsidRDefault="00B637B2" w:rsidP="00B637B2">
                    <w:pPr>
                      <w:kinsoku w:val="0"/>
                      <w:overflowPunct w:val="0"/>
                      <w:autoSpaceDE w:val="0"/>
                      <w:autoSpaceDN w:val="0"/>
                      <w:adjustRightInd w:val="0"/>
                      <w:snapToGrid w:val="0"/>
                      <w:jc w:val="right"/>
                      <w:rPr>
                        <w:rFonts w:cs="Arial"/>
                        <w:strike/>
                        <w:sz w:val="20"/>
                        <w:szCs w:val="20"/>
                      </w:rPr>
                    </w:pPr>
                  </w:p>
                </w:tc>
                <w:tc>
                  <w:tcPr>
                    <w:tcW w:w="1814" w:type="dxa"/>
                    <w:noWrap/>
                    <w:vAlign w:val="bottom"/>
                    <w:hideMark/>
                  </w:tcPr>
                  <w:p w:rsidR="00B637B2" w:rsidRPr="00415C2A" w:rsidRDefault="008F04CF" w:rsidP="00B637B2">
                    <w:pPr>
                      <w:kinsoku w:val="0"/>
                      <w:overflowPunct w:val="0"/>
                      <w:autoSpaceDE w:val="0"/>
                      <w:autoSpaceDN w:val="0"/>
                      <w:adjustRightInd w:val="0"/>
                      <w:snapToGrid w:val="0"/>
                      <w:jc w:val="right"/>
                      <w:rPr>
                        <w:rFonts w:cs="Arial"/>
                        <w:sz w:val="20"/>
                        <w:szCs w:val="20"/>
                      </w:rPr>
                    </w:pPr>
                    <w:r w:rsidRPr="00415C2A">
                      <w:rPr>
                        <w:rFonts w:cs="Arial"/>
                        <w:color w:val="000000"/>
                        <w:sz w:val="20"/>
                        <w:szCs w:val="20"/>
                      </w:rPr>
                      <w:t>2,431,350</w:t>
                    </w:r>
                  </w:p>
                </w:tc>
                <w:tc>
                  <w:tcPr>
                    <w:tcW w:w="189" w:type="dxa"/>
                    <w:noWrap/>
                    <w:vAlign w:val="bottom"/>
                  </w:tcPr>
                  <w:p w:rsidR="00B637B2" w:rsidRPr="00415C2A" w:rsidRDefault="00B637B2" w:rsidP="00B637B2">
                    <w:pPr>
                      <w:kinsoku w:val="0"/>
                      <w:overflowPunct w:val="0"/>
                      <w:autoSpaceDE w:val="0"/>
                      <w:autoSpaceDN w:val="0"/>
                      <w:adjustRightInd w:val="0"/>
                      <w:snapToGrid w:val="0"/>
                      <w:rPr>
                        <w:rFonts w:cs="Arial"/>
                        <w:strike/>
                        <w:color w:val="000000"/>
                        <w:sz w:val="20"/>
                        <w:szCs w:val="20"/>
                      </w:rPr>
                    </w:pPr>
                  </w:p>
                </w:tc>
              </w:tr>
              <w:tr w:rsidR="00B637B2" w:rsidRPr="00415C2A" w:rsidTr="00B637B2">
                <w:tc>
                  <w:tcPr>
                    <w:tcW w:w="4286" w:type="dxa"/>
                    <w:noWrap/>
                    <w:vAlign w:val="bottom"/>
                    <w:hideMark/>
                  </w:tcPr>
                  <w:p w:rsidR="00B637B2" w:rsidRPr="00415C2A" w:rsidRDefault="008F04CF" w:rsidP="00B637B2">
                    <w:pPr>
                      <w:kinsoku w:val="0"/>
                      <w:overflowPunct w:val="0"/>
                      <w:autoSpaceDE w:val="0"/>
                      <w:autoSpaceDN w:val="0"/>
                      <w:adjustRightInd w:val="0"/>
                      <w:snapToGrid w:val="0"/>
                      <w:rPr>
                        <w:rFonts w:cs="Arial"/>
                        <w:color w:val="000000"/>
                        <w:sz w:val="20"/>
                        <w:szCs w:val="20"/>
                      </w:rPr>
                    </w:pPr>
                    <w:r w:rsidRPr="00415C2A">
                      <w:rPr>
                        <w:rFonts w:cs="Arial" w:hint="eastAsia"/>
                        <w:snapToGrid w:val="0"/>
                        <w:sz w:val="20"/>
                        <w:szCs w:val="20"/>
                      </w:rPr>
                      <w:t>减：货币资金</w:t>
                    </w:r>
                  </w:p>
                </w:tc>
                <w:tc>
                  <w:tcPr>
                    <w:tcW w:w="114" w:type="dxa"/>
                    <w:vAlign w:val="bottom"/>
                    <w:hideMark/>
                  </w:tcPr>
                  <w:p w:rsidR="00B637B2" w:rsidRPr="00415C2A" w:rsidRDefault="00B637B2" w:rsidP="00B637B2">
                    <w:pPr>
                      <w:rPr>
                        <w:rFonts w:cs="Arial"/>
                        <w:color w:val="000000"/>
                        <w:sz w:val="20"/>
                        <w:szCs w:val="20"/>
                      </w:rPr>
                    </w:pPr>
                  </w:p>
                </w:tc>
                <w:tc>
                  <w:tcPr>
                    <w:tcW w:w="1814" w:type="dxa"/>
                    <w:noWrap/>
                    <w:vAlign w:val="bottom"/>
                    <w:hideMark/>
                  </w:tcPr>
                  <w:p w:rsidR="00B637B2" w:rsidRPr="00415C2A" w:rsidRDefault="008F04CF" w:rsidP="00B637B2">
                    <w:pPr>
                      <w:kinsoku w:val="0"/>
                      <w:overflowPunct w:val="0"/>
                      <w:autoSpaceDE w:val="0"/>
                      <w:autoSpaceDN w:val="0"/>
                      <w:adjustRightInd w:val="0"/>
                      <w:snapToGrid w:val="0"/>
                      <w:jc w:val="right"/>
                      <w:rPr>
                        <w:rFonts w:cs="Arial"/>
                        <w:color w:val="000000"/>
                        <w:sz w:val="20"/>
                        <w:szCs w:val="20"/>
                        <w:u w:val="single"/>
                      </w:rPr>
                    </w:pPr>
                    <w:r w:rsidRPr="00415C2A">
                      <w:rPr>
                        <w:rFonts w:cs="Arial"/>
                        <w:color w:val="000000"/>
                        <w:sz w:val="20"/>
                        <w:szCs w:val="20"/>
                        <w:u w:val="single"/>
                      </w:rPr>
                      <w:t>4,440,702,448</w:t>
                    </w:r>
                  </w:p>
                </w:tc>
                <w:tc>
                  <w:tcPr>
                    <w:tcW w:w="114" w:type="dxa"/>
                    <w:vAlign w:val="bottom"/>
                  </w:tcPr>
                  <w:p w:rsidR="00B637B2" w:rsidRPr="00415C2A" w:rsidRDefault="00B637B2" w:rsidP="00B637B2">
                    <w:pPr>
                      <w:kinsoku w:val="0"/>
                      <w:overflowPunct w:val="0"/>
                      <w:autoSpaceDE w:val="0"/>
                      <w:autoSpaceDN w:val="0"/>
                      <w:adjustRightInd w:val="0"/>
                      <w:snapToGrid w:val="0"/>
                      <w:rPr>
                        <w:rFonts w:cs="Arial"/>
                        <w:strike/>
                        <w:color w:val="000000"/>
                        <w:sz w:val="20"/>
                        <w:szCs w:val="20"/>
                      </w:rPr>
                    </w:pPr>
                  </w:p>
                </w:tc>
                <w:tc>
                  <w:tcPr>
                    <w:tcW w:w="114" w:type="dxa"/>
                    <w:vAlign w:val="bottom"/>
                  </w:tcPr>
                  <w:p w:rsidR="00B637B2" w:rsidRPr="00415C2A" w:rsidRDefault="00B637B2" w:rsidP="00B637B2">
                    <w:pPr>
                      <w:kinsoku w:val="0"/>
                      <w:overflowPunct w:val="0"/>
                      <w:autoSpaceDE w:val="0"/>
                      <w:autoSpaceDN w:val="0"/>
                      <w:adjustRightInd w:val="0"/>
                      <w:snapToGrid w:val="0"/>
                      <w:jc w:val="right"/>
                      <w:rPr>
                        <w:rFonts w:cs="Arial"/>
                        <w:strike/>
                        <w:sz w:val="20"/>
                        <w:szCs w:val="20"/>
                      </w:rPr>
                    </w:pPr>
                  </w:p>
                </w:tc>
                <w:tc>
                  <w:tcPr>
                    <w:tcW w:w="1814" w:type="dxa"/>
                    <w:noWrap/>
                    <w:vAlign w:val="bottom"/>
                    <w:hideMark/>
                  </w:tcPr>
                  <w:p w:rsidR="00B637B2" w:rsidRPr="00415C2A" w:rsidRDefault="008F04CF" w:rsidP="00B637B2">
                    <w:pPr>
                      <w:kinsoku w:val="0"/>
                      <w:overflowPunct w:val="0"/>
                      <w:autoSpaceDE w:val="0"/>
                      <w:autoSpaceDN w:val="0"/>
                      <w:adjustRightInd w:val="0"/>
                      <w:snapToGrid w:val="0"/>
                      <w:jc w:val="right"/>
                      <w:rPr>
                        <w:rFonts w:cs="Arial"/>
                        <w:strike/>
                        <w:color w:val="000000"/>
                        <w:sz w:val="20"/>
                        <w:szCs w:val="20"/>
                        <w:u w:val="single"/>
                      </w:rPr>
                    </w:pPr>
                    <w:r w:rsidRPr="00415C2A">
                      <w:rPr>
                        <w:rFonts w:cs="Arial"/>
                        <w:color w:val="000000"/>
                        <w:sz w:val="20"/>
                        <w:szCs w:val="20"/>
                        <w:u w:val="single"/>
                      </w:rPr>
                      <w:t>5,530,811,375</w:t>
                    </w:r>
                  </w:p>
                </w:tc>
                <w:tc>
                  <w:tcPr>
                    <w:tcW w:w="189" w:type="dxa"/>
                    <w:noWrap/>
                    <w:vAlign w:val="bottom"/>
                  </w:tcPr>
                  <w:p w:rsidR="00B637B2" w:rsidRPr="00415C2A" w:rsidRDefault="00B637B2" w:rsidP="00B637B2">
                    <w:pPr>
                      <w:kinsoku w:val="0"/>
                      <w:overflowPunct w:val="0"/>
                      <w:autoSpaceDE w:val="0"/>
                      <w:autoSpaceDN w:val="0"/>
                      <w:adjustRightInd w:val="0"/>
                      <w:snapToGrid w:val="0"/>
                      <w:rPr>
                        <w:rFonts w:cs="Arial"/>
                        <w:strike/>
                        <w:color w:val="000000"/>
                        <w:sz w:val="20"/>
                        <w:szCs w:val="20"/>
                      </w:rPr>
                    </w:pPr>
                  </w:p>
                </w:tc>
              </w:tr>
              <w:tr w:rsidR="00B637B2" w:rsidRPr="00415C2A" w:rsidTr="00B637B2">
                <w:tc>
                  <w:tcPr>
                    <w:tcW w:w="4286" w:type="dxa"/>
                    <w:noWrap/>
                    <w:vAlign w:val="bottom"/>
                    <w:hideMark/>
                  </w:tcPr>
                  <w:p w:rsidR="00B637B2" w:rsidRPr="00415C2A" w:rsidRDefault="008F04CF" w:rsidP="00B637B2">
                    <w:pPr>
                      <w:kinsoku w:val="0"/>
                      <w:overflowPunct w:val="0"/>
                      <w:autoSpaceDE w:val="0"/>
                      <w:autoSpaceDN w:val="0"/>
                      <w:adjustRightInd w:val="0"/>
                      <w:snapToGrid w:val="0"/>
                      <w:rPr>
                        <w:rFonts w:cs="Arial"/>
                        <w:sz w:val="20"/>
                        <w:szCs w:val="20"/>
                      </w:rPr>
                    </w:pPr>
                    <w:r w:rsidRPr="00415C2A">
                      <w:rPr>
                        <w:rFonts w:cs="Arial"/>
                        <w:color w:val="000000"/>
                        <w:sz w:val="20"/>
                        <w:szCs w:val="20"/>
                      </w:rPr>
                      <w:t xml:space="preserve"> </w:t>
                    </w:r>
                  </w:p>
                </w:tc>
                <w:tc>
                  <w:tcPr>
                    <w:tcW w:w="114" w:type="dxa"/>
                    <w:vAlign w:val="bottom"/>
                    <w:hideMark/>
                  </w:tcPr>
                  <w:p w:rsidR="00B637B2" w:rsidRPr="00415C2A" w:rsidRDefault="00B637B2" w:rsidP="00B637B2">
                    <w:pPr>
                      <w:rPr>
                        <w:rFonts w:cs="Arial"/>
                        <w:sz w:val="20"/>
                        <w:szCs w:val="20"/>
                      </w:rPr>
                    </w:pPr>
                  </w:p>
                </w:tc>
                <w:tc>
                  <w:tcPr>
                    <w:tcW w:w="1814" w:type="dxa"/>
                    <w:noWrap/>
                    <w:vAlign w:val="bottom"/>
                  </w:tcPr>
                  <w:p w:rsidR="00B637B2" w:rsidRPr="00415C2A" w:rsidRDefault="00B637B2" w:rsidP="00B637B2">
                    <w:pPr>
                      <w:kinsoku w:val="0"/>
                      <w:overflowPunct w:val="0"/>
                      <w:autoSpaceDE w:val="0"/>
                      <w:autoSpaceDN w:val="0"/>
                      <w:adjustRightInd w:val="0"/>
                      <w:snapToGrid w:val="0"/>
                      <w:jc w:val="right"/>
                      <w:rPr>
                        <w:rFonts w:cs="Arial"/>
                        <w:strike/>
                        <w:sz w:val="20"/>
                        <w:szCs w:val="20"/>
                      </w:rPr>
                    </w:pPr>
                  </w:p>
                </w:tc>
                <w:tc>
                  <w:tcPr>
                    <w:tcW w:w="114" w:type="dxa"/>
                    <w:vAlign w:val="bottom"/>
                  </w:tcPr>
                  <w:p w:rsidR="00B637B2" w:rsidRPr="00415C2A" w:rsidRDefault="00B637B2" w:rsidP="00B637B2">
                    <w:pPr>
                      <w:kinsoku w:val="0"/>
                      <w:overflowPunct w:val="0"/>
                      <w:autoSpaceDE w:val="0"/>
                      <w:autoSpaceDN w:val="0"/>
                      <w:adjustRightInd w:val="0"/>
                      <w:snapToGrid w:val="0"/>
                      <w:rPr>
                        <w:rFonts w:cs="Arial"/>
                        <w:strike/>
                        <w:sz w:val="20"/>
                        <w:szCs w:val="20"/>
                      </w:rPr>
                    </w:pPr>
                  </w:p>
                </w:tc>
                <w:tc>
                  <w:tcPr>
                    <w:tcW w:w="114" w:type="dxa"/>
                    <w:vAlign w:val="bottom"/>
                  </w:tcPr>
                  <w:p w:rsidR="00B637B2" w:rsidRPr="00415C2A" w:rsidRDefault="00B637B2" w:rsidP="00B637B2">
                    <w:pPr>
                      <w:kinsoku w:val="0"/>
                      <w:overflowPunct w:val="0"/>
                      <w:autoSpaceDE w:val="0"/>
                      <w:autoSpaceDN w:val="0"/>
                      <w:adjustRightInd w:val="0"/>
                      <w:snapToGrid w:val="0"/>
                      <w:jc w:val="right"/>
                      <w:rPr>
                        <w:rFonts w:cs="Arial"/>
                        <w:strike/>
                        <w:sz w:val="20"/>
                        <w:szCs w:val="20"/>
                      </w:rPr>
                    </w:pPr>
                  </w:p>
                </w:tc>
                <w:tc>
                  <w:tcPr>
                    <w:tcW w:w="1814" w:type="dxa"/>
                    <w:noWrap/>
                    <w:vAlign w:val="bottom"/>
                  </w:tcPr>
                  <w:p w:rsidR="00B637B2" w:rsidRPr="00415C2A" w:rsidRDefault="00B637B2" w:rsidP="00B637B2">
                    <w:pPr>
                      <w:kinsoku w:val="0"/>
                      <w:overflowPunct w:val="0"/>
                      <w:autoSpaceDE w:val="0"/>
                      <w:autoSpaceDN w:val="0"/>
                      <w:adjustRightInd w:val="0"/>
                      <w:snapToGrid w:val="0"/>
                      <w:jc w:val="right"/>
                      <w:rPr>
                        <w:rFonts w:cs="Arial"/>
                        <w:strike/>
                        <w:sz w:val="20"/>
                        <w:szCs w:val="20"/>
                      </w:rPr>
                    </w:pPr>
                  </w:p>
                </w:tc>
                <w:tc>
                  <w:tcPr>
                    <w:tcW w:w="189" w:type="dxa"/>
                    <w:noWrap/>
                    <w:vAlign w:val="bottom"/>
                  </w:tcPr>
                  <w:p w:rsidR="00B637B2" w:rsidRPr="00415C2A" w:rsidRDefault="00B637B2" w:rsidP="00B637B2">
                    <w:pPr>
                      <w:kinsoku w:val="0"/>
                      <w:overflowPunct w:val="0"/>
                      <w:autoSpaceDE w:val="0"/>
                      <w:autoSpaceDN w:val="0"/>
                      <w:adjustRightInd w:val="0"/>
                      <w:snapToGrid w:val="0"/>
                      <w:rPr>
                        <w:rFonts w:cs="Arial"/>
                        <w:strike/>
                        <w:sz w:val="20"/>
                        <w:szCs w:val="20"/>
                      </w:rPr>
                    </w:pPr>
                  </w:p>
                </w:tc>
              </w:tr>
              <w:tr w:rsidR="00B637B2" w:rsidRPr="00415C2A" w:rsidTr="00B637B2">
                <w:tc>
                  <w:tcPr>
                    <w:tcW w:w="4286" w:type="dxa"/>
                    <w:noWrap/>
                    <w:vAlign w:val="bottom"/>
                    <w:hideMark/>
                  </w:tcPr>
                  <w:p w:rsidR="00B637B2" w:rsidRPr="00415C2A" w:rsidRDefault="008F04CF" w:rsidP="00B637B2">
                    <w:pPr>
                      <w:kinsoku w:val="0"/>
                      <w:overflowPunct w:val="0"/>
                      <w:autoSpaceDE w:val="0"/>
                      <w:autoSpaceDN w:val="0"/>
                      <w:adjustRightInd w:val="0"/>
                      <w:snapToGrid w:val="0"/>
                      <w:rPr>
                        <w:rFonts w:cs="Arial"/>
                        <w:color w:val="000000"/>
                        <w:sz w:val="20"/>
                        <w:szCs w:val="20"/>
                      </w:rPr>
                    </w:pPr>
                    <w:r w:rsidRPr="00415C2A">
                      <w:rPr>
                        <w:rFonts w:cs="Arial" w:hint="eastAsia"/>
                        <w:color w:val="000000"/>
                        <w:sz w:val="20"/>
                        <w:szCs w:val="20"/>
                      </w:rPr>
                      <w:t>净负债</w:t>
                    </w:r>
                  </w:p>
                </w:tc>
                <w:tc>
                  <w:tcPr>
                    <w:tcW w:w="114" w:type="dxa"/>
                    <w:vAlign w:val="bottom"/>
                    <w:hideMark/>
                  </w:tcPr>
                  <w:p w:rsidR="00B637B2" w:rsidRPr="00415C2A" w:rsidRDefault="00B637B2" w:rsidP="00B637B2">
                    <w:pPr>
                      <w:rPr>
                        <w:rFonts w:cs="Arial"/>
                        <w:color w:val="000000"/>
                        <w:sz w:val="20"/>
                        <w:szCs w:val="20"/>
                      </w:rPr>
                    </w:pPr>
                  </w:p>
                </w:tc>
                <w:tc>
                  <w:tcPr>
                    <w:tcW w:w="1814" w:type="dxa"/>
                    <w:noWrap/>
                    <w:vAlign w:val="bottom"/>
                    <w:hideMark/>
                  </w:tcPr>
                  <w:p w:rsidR="00B637B2" w:rsidRPr="00415C2A" w:rsidRDefault="008F04CF" w:rsidP="00B637B2">
                    <w:pPr>
                      <w:kinsoku w:val="0"/>
                      <w:overflowPunct w:val="0"/>
                      <w:autoSpaceDE w:val="0"/>
                      <w:autoSpaceDN w:val="0"/>
                      <w:adjustRightInd w:val="0"/>
                      <w:snapToGrid w:val="0"/>
                      <w:jc w:val="right"/>
                      <w:rPr>
                        <w:rFonts w:cs="Arial"/>
                        <w:color w:val="000000"/>
                        <w:sz w:val="20"/>
                        <w:szCs w:val="20"/>
                      </w:rPr>
                    </w:pPr>
                    <w:r w:rsidRPr="00415C2A">
                      <w:rPr>
                        <w:rFonts w:cs="Arial"/>
                        <w:color w:val="000000"/>
                        <w:sz w:val="20"/>
                        <w:szCs w:val="20"/>
                      </w:rPr>
                      <w:t>1,273,613,079</w:t>
                    </w:r>
                  </w:p>
                </w:tc>
                <w:tc>
                  <w:tcPr>
                    <w:tcW w:w="114" w:type="dxa"/>
                    <w:vAlign w:val="bottom"/>
                  </w:tcPr>
                  <w:p w:rsidR="00B637B2" w:rsidRPr="00415C2A" w:rsidRDefault="00B637B2" w:rsidP="00B637B2">
                    <w:pPr>
                      <w:kinsoku w:val="0"/>
                      <w:overflowPunct w:val="0"/>
                      <w:autoSpaceDE w:val="0"/>
                      <w:autoSpaceDN w:val="0"/>
                      <w:adjustRightInd w:val="0"/>
                      <w:snapToGrid w:val="0"/>
                      <w:rPr>
                        <w:rFonts w:cs="Arial"/>
                        <w:color w:val="000000"/>
                        <w:sz w:val="20"/>
                        <w:szCs w:val="20"/>
                      </w:rPr>
                    </w:pPr>
                  </w:p>
                </w:tc>
                <w:tc>
                  <w:tcPr>
                    <w:tcW w:w="114" w:type="dxa"/>
                    <w:vAlign w:val="bottom"/>
                  </w:tcPr>
                  <w:p w:rsidR="00B637B2" w:rsidRPr="00415C2A" w:rsidRDefault="00B637B2" w:rsidP="00B637B2">
                    <w:pPr>
                      <w:kinsoku w:val="0"/>
                      <w:overflowPunct w:val="0"/>
                      <w:autoSpaceDE w:val="0"/>
                      <w:autoSpaceDN w:val="0"/>
                      <w:adjustRightInd w:val="0"/>
                      <w:snapToGrid w:val="0"/>
                      <w:jc w:val="right"/>
                      <w:rPr>
                        <w:rFonts w:cs="Arial"/>
                        <w:strike/>
                        <w:sz w:val="20"/>
                        <w:szCs w:val="20"/>
                      </w:rPr>
                    </w:pPr>
                  </w:p>
                </w:tc>
                <w:tc>
                  <w:tcPr>
                    <w:tcW w:w="1814" w:type="dxa"/>
                    <w:noWrap/>
                    <w:vAlign w:val="bottom"/>
                    <w:hideMark/>
                  </w:tcPr>
                  <w:p w:rsidR="00B637B2" w:rsidRPr="00415C2A" w:rsidRDefault="008F04CF" w:rsidP="00B637B2">
                    <w:pPr>
                      <w:kinsoku w:val="0"/>
                      <w:overflowPunct w:val="0"/>
                      <w:autoSpaceDE w:val="0"/>
                      <w:autoSpaceDN w:val="0"/>
                      <w:adjustRightInd w:val="0"/>
                      <w:snapToGrid w:val="0"/>
                      <w:jc w:val="right"/>
                      <w:rPr>
                        <w:rFonts w:cs="Arial"/>
                        <w:strike/>
                        <w:color w:val="000000"/>
                        <w:sz w:val="20"/>
                        <w:szCs w:val="20"/>
                      </w:rPr>
                    </w:pPr>
                    <w:r w:rsidRPr="00415C2A">
                      <w:rPr>
                        <w:rFonts w:cs="Arial"/>
                        <w:color w:val="000000"/>
                        <w:sz w:val="20"/>
                        <w:szCs w:val="20"/>
                      </w:rPr>
                      <w:t>-770,474,478</w:t>
                    </w:r>
                  </w:p>
                </w:tc>
                <w:tc>
                  <w:tcPr>
                    <w:tcW w:w="189" w:type="dxa"/>
                    <w:noWrap/>
                    <w:vAlign w:val="bottom"/>
                  </w:tcPr>
                  <w:p w:rsidR="00B637B2" w:rsidRPr="00415C2A" w:rsidRDefault="00B637B2" w:rsidP="00B637B2">
                    <w:pPr>
                      <w:kinsoku w:val="0"/>
                      <w:overflowPunct w:val="0"/>
                      <w:autoSpaceDE w:val="0"/>
                      <w:autoSpaceDN w:val="0"/>
                      <w:adjustRightInd w:val="0"/>
                      <w:snapToGrid w:val="0"/>
                      <w:rPr>
                        <w:rFonts w:cs="Arial"/>
                        <w:strike/>
                        <w:color w:val="000000"/>
                        <w:sz w:val="20"/>
                        <w:szCs w:val="20"/>
                      </w:rPr>
                    </w:pPr>
                  </w:p>
                </w:tc>
              </w:tr>
              <w:tr w:rsidR="00B637B2" w:rsidRPr="00415C2A" w:rsidTr="00B637B2">
                <w:tc>
                  <w:tcPr>
                    <w:tcW w:w="4286" w:type="dxa"/>
                    <w:noWrap/>
                    <w:vAlign w:val="bottom"/>
                    <w:hideMark/>
                  </w:tcPr>
                  <w:p w:rsidR="00B637B2" w:rsidRPr="00415C2A" w:rsidRDefault="008F04CF" w:rsidP="00B637B2">
                    <w:pPr>
                      <w:kinsoku w:val="0"/>
                      <w:overflowPunct w:val="0"/>
                      <w:autoSpaceDE w:val="0"/>
                      <w:autoSpaceDN w:val="0"/>
                      <w:adjustRightInd w:val="0"/>
                      <w:snapToGrid w:val="0"/>
                      <w:rPr>
                        <w:rFonts w:cs="Arial"/>
                        <w:color w:val="000000"/>
                        <w:sz w:val="20"/>
                        <w:szCs w:val="20"/>
                      </w:rPr>
                    </w:pPr>
                    <w:r w:rsidRPr="00415C2A">
                      <w:rPr>
                        <w:rFonts w:cs="Arial" w:hint="eastAsia"/>
                        <w:snapToGrid w:val="0"/>
                        <w:sz w:val="20"/>
                        <w:szCs w:val="20"/>
                      </w:rPr>
                      <w:t>归属于母公司的股东权益</w:t>
                    </w:r>
                  </w:p>
                </w:tc>
                <w:tc>
                  <w:tcPr>
                    <w:tcW w:w="114" w:type="dxa"/>
                    <w:vAlign w:val="bottom"/>
                  </w:tcPr>
                  <w:p w:rsidR="00B637B2" w:rsidRPr="00415C2A" w:rsidRDefault="00B637B2" w:rsidP="00B637B2">
                    <w:pPr>
                      <w:kinsoku w:val="0"/>
                      <w:overflowPunct w:val="0"/>
                      <w:autoSpaceDE w:val="0"/>
                      <w:autoSpaceDN w:val="0"/>
                      <w:adjustRightInd w:val="0"/>
                      <w:snapToGrid w:val="0"/>
                      <w:rPr>
                        <w:rFonts w:cs="Arial"/>
                        <w:strike/>
                        <w:color w:val="000000"/>
                        <w:sz w:val="20"/>
                        <w:szCs w:val="20"/>
                      </w:rPr>
                    </w:pPr>
                  </w:p>
                </w:tc>
                <w:tc>
                  <w:tcPr>
                    <w:tcW w:w="1814" w:type="dxa"/>
                    <w:noWrap/>
                    <w:vAlign w:val="bottom"/>
                    <w:hideMark/>
                  </w:tcPr>
                  <w:p w:rsidR="00B637B2" w:rsidRPr="00415C2A" w:rsidRDefault="008F04CF" w:rsidP="00B637B2">
                    <w:pPr>
                      <w:kinsoku w:val="0"/>
                      <w:overflowPunct w:val="0"/>
                      <w:autoSpaceDE w:val="0"/>
                      <w:autoSpaceDN w:val="0"/>
                      <w:adjustRightInd w:val="0"/>
                      <w:snapToGrid w:val="0"/>
                      <w:jc w:val="right"/>
                      <w:rPr>
                        <w:rFonts w:cs="Arial"/>
                        <w:color w:val="000000"/>
                        <w:sz w:val="20"/>
                        <w:szCs w:val="20"/>
                        <w:u w:val="single"/>
                      </w:rPr>
                    </w:pPr>
                    <w:r w:rsidRPr="00415C2A">
                      <w:rPr>
                        <w:rFonts w:cs="Arial"/>
                        <w:color w:val="000000"/>
                        <w:sz w:val="20"/>
                        <w:szCs w:val="20"/>
                        <w:u w:val="single"/>
                      </w:rPr>
                      <w:t>6,264,373,010</w:t>
                    </w:r>
                  </w:p>
                </w:tc>
                <w:tc>
                  <w:tcPr>
                    <w:tcW w:w="114" w:type="dxa"/>
                    <w:vAlign w:val="bottom"/>
                  </w:tcPr>
                  <w:p w:rsidR="00B637B2" w:rsidRPr="00415C2A" w:rsidRDefault="00B637B2" w:rsidP="00B637B2">
                    <w:pPr>
                      <w:kinsoku w:val="0"/>
                      <w:overflowPunct w:val="0"/>
                      <w:autoSpaceDE w:val="0"/>
                      <w:autoSpaceDN w:val="0"/>
                      <w:adjustRightInd w:val="0"/>
                      <w:snapToGrid w:val="0"/>
                      <w:rPr>
                        <w:rFonts w:cs="Arial"/>
                        <w:strike/>
                        <w:color w:val="000000"/>
                        <w:sz w:val="20"/>
                        <w:szCs w:val="20"/>
                        <w:u w:val="single"/>
                      </w:rPr>
                    </w:pPr>
                  </w:p>
                </w:tc>
                <w:tc>
                  <w:tcPr>
                    <w:tcW w:w="114" w:type="dxa"/>
                    <w:vAlign w:val="bottom"/>
                  </w:tcPr>
                  <w:p w:rsidR="00B637B2" w:rsidRPr="00415C2A" w:rsidRDefault="00B637B2" w:rsidP="00B637B2">
                    <w:pPr>
                      <w:kinsoku w:val="0"/>
                      <w:overflowPunct w:val="0"/>
                      <w:autoSpaceDE w:val="0"/>
                      <w:autoSpaceDN w:val="0"/>
                      <w:adjustRightInd w:val="0"/>
                      <w:snapToGrid w:val="0"/>
                      <w:jc w:val="right"/>
                      <w:rPr>
                        <w:rFonts w:cs="Arial"/>
                        <w:strike/>
                        <w:sz w:val="20"/>
                        <w:szCs w:val="20"/>
                        <w:u w:val="single"/>
                      </w:rPr>
                    </w:pPr>
                  </w:p>
                </w:tc>
                <w:tc>
                  <w:tcPr>
                    <w:tcW w:w="1814" w:type="dxa"/>
                    <w:noWrap/>
                    <w:vAlign w:val="bottom"/>
                    <w:hideMark/>
                  </w:tcPr>
                  <w:p w:rsidR="00B637B2" w:rsidRPr="00415C2A" w:rsidRDefault="008F04CF" w:rsidP="00B637B2">
                    <w:pPr>
                      <w:kinsoku w:val="0"/>
                      <w:overflowPunct w:val="0"/>
                      <w:autoSpaceDE w:val="0"/>
                      <w:autoSpaceDN w:val="0"/>
                      <w:adjustRightInd w:val="0"/>
                      <w:snapToGrid w:val="0"/>
                      <w:jc w:val="right"/>
                      <w:rPr>
                        <w:rFonts w:cs="Arial"/>
                        <w:strike/>
                        <w:color w:val="000000"/>
                        <w:sz w:val="20"/>
                        <w:szCs w:val="20"/>
                        <w:u w:val="single"/>
                      </w:rPr>
                    </w:pPr>
                    <w:r w:rsidRPr="00415C2A">
                      <w:rPr>
                        <w:rFonts w:cs="Arial"/>
                        <w:color w:val="000000"/>
                        <w:sz w:val="20"/>
                        <w:szCs w:val="20"/>
                        <w:u w:val="single"/>
                      </w:rPr>
                      <w:t>6,570,697,503</w:t>
                    </w:r>
                  </w:p>
                </w:tc>
                <w:tc>
                  <w:tcPr>
                    <w:tcW w:w="189" w:type="dxa"/>
                    <w:noWrap/>
                    <w:vAlign w:val="bottom"/>
                  </w:tcPr>
                  <w:p w:rsidR="00B637B2" w:rsidRPr="00415C2A" w:rsidRDefault="00B637B2" w:rsidP="00B637B2">
                    <w:pPr>
                      <w:kinsoku w:val="0"/>
                      <w:overflowPunct w:val="0"/>
                      <w:autoSpaceDE w:val="0"/>
                      <w:autoSpaceDN w:val="0"/>
                      <w:adjustRightInd w:val="0"/>
                      <w:snapToGrid w:val="0"/>
                      <w:rPr>
                        <w:rFonts w:cs="Arial"/>
                        <w:strike/>
                        <w:color w:val="000000"/>
                        <w:sz w:val="20"/>
                        <w:szCs w:val="20"/>
                      </w:rPr>
                    </w:pPr>
                  </w:p>
                </w:tc>
              </w:tr>
              <w:tr w:rsidR="00B637B2" w:rsidRPr="00415C2A" w:rsidTr="00B637B2">
                <w:tc>
                  <w:tcPr>
                    <w:tcW w:w="4286" w:type="dxa"/>
                    <w:noWrap/>
                    <w:vAlign w:val="bottom"/>
                    <w:hideMark/>
                  </w:tcPr>
                  <w:p w:rsidR="00B637B2" w:rsidRPr="00415C2A" w:rsidRDefault="008F04CF" w:rsidP="00B637B2">
                    <w:pPr>
                      <w:kinsoku w:val="0"/>
                      <w:overflowPunct w:val="0"/>
                      <w:autoSpaceDE w:val="0"/>
                      <w:autoSpaceDN w:val="0"/>
                      <w:adjustRightInd w:val="0"/>
                      <w:snapToGrid w:val="0"/>
                      <w:rPr>
                        <w:rFonts w:cs="Arial"/>
                        <w:sz w:val="20"/>
                        <w:szCs w:val="20"/>
                      </w:rPr>
                    </w:pPr>
                    <w:r w:rsidRPr="00415C2A">
                      <w:rPr>
                        <w:rFonts w:cs="Arial"/>
                        <w:color w:val="000000"/>
                        <w:sz w:val="20"/>
                        <w:szCs w:val="20"/>
                      </w:rPr>
                      <w:t xml:space="preserve"> </w:t>
                    </w:r>
                  </w:p>
                </w:tc>
                <w:tc>
                  <w:tcPr>
                    <w:tcW w:w="114" w:type="dxa"/>
                    <w:vAlign w:val="bottom"/>
                    <w:hideMark/>
                  </w:tcPr>
                  <w:p w:rsidR="00B637B2" w:rsidRPr="00415C2A" w:rsidRDefault="00B637B2" w:rsidP="00B637B2">
                    <w:pPr>
                      <w:rPr>
                        <w:rFonts w:cs="Arial"/>
                        <w:sz w:val="20"/>
                        <w:szCs w:val="20"/>
                      </w:rPr>
                    </w:pPr>
                  </w:p>
                </w:tc>
                <w:tc>
                  <w:tcPr>
                    <w:tcW w:w="1814" w:type="dxa"/>
                    <w:noWrap/>
                    <w:vAlign w:val="bottom"/>
                  </w:tcPr>
                  <w:p w:rsidR="00B637B2" w:rsidRPr="00415C2A" w:rsidRDefault="00B637B2" w:rsidP="00B637B2">
                    <w:pPr>
                      <w:kinsoku w:val="0"/>
                      <w:overflowPunct w:val="0"/>
                      <w:autoSpaceDE w:val="0"/>
                      <w:autoSpaceDN w:val="0"/>
                      <w:adjustRightInd w:val="0"/>
                      <w:snapToGrid w:val="0"/>
                      <w:jc w:val="right"/>
                      <w:rPr>
                        <w:rFonts w:cs="Arial"/>
                        <w:strike/>
                        <w:sz w:val="20"/>
                        <w:szCs w:val="20"/>
                      </w:rPr>
                    </w:pPr>
                  </w:p>
                </w:tc>
                <w:tc>
                  <w:tcPr>
                    <w:tcW w:w="114" w:type="dxa"/>
                    <w:vAlign w:val="bottom"/>
                  </w:tcPr>
                  <w:p w:rsidR="00B637B2" w:rsidRPr="00415C2A" w:rsidRDefault="00B637B2" w:rsidP="00B637B2">
                    <w:pPr>
                      <w:kinsoku w:val="0"/>
                      <w:overflowPunct w:val="0"/>
                      <w:autoSpaceDE w:val="0"/>
                      <w:autoSpaceDN w:val="0"/>
                      <w:adjustRightInd w:val="0"/>
                      <w:snapToGrid w:val="0"/>
                      <w:rPr>
                        <w:rFonts w:cs="Arial"/>
                        <w:strike/>
                        <w:sz w:val="20"/>
                        <w:szCs w:val="20"/>
                      </w:rPr>
                    </w:pPr>
                  </w:p>
                </w:tc>
                <w:tc>
                  <w:tcPr>
                    <w:tcW w:w="114" w:type="dxa"/>
                    <w:vAlign w:val="bottom"/>
                  </w:tcPr>
                  <w:p w:rsidR="00B637B2" w:rsidRPr="00415C2A" w:rsidRDefault="00B637B2" w:rsidP="00B637B2">
                    <w:pPr>
                      <w:kinsoku w:val="0"/>
                      <w:overflowPunct w:val="0"/>
                      <w:autoSpaceDE w:val="0"/>
                      <w:autoSpaceDN w:val="0"/>
                      <w:adjustRightInd w:val="0"/>
                      <w:snapToGrid w:val="0"/>
                      <w:jc w:val="right"/>
                      <w:rPr>
                        <w:rFonts w:cs="Arial"/>
                        <w:strike/>
                        <w:sz w:val="20"/>
                        <w:szCs w:val="20"/>
                      </w:rPr>
                    </w:pPr>
                  </w:p>
                </w:tc>
                <w:tc>
                  <w:tcPr>
                    <w:tcW w:w="1814" w:type="dxa"/>
                    <w:noWrap/>
                    <w:vAlign w:val="bottom"/>
                  </w:tcPr>
                  <w:p w:rsidR="00B637B2" w:rsidRPr="00415C2A" w:rsidRDefault="00B637B2" w:rsidP="00B637B2">
                    <w:pPr>
                      <w:kinsoku w:val="0"/>
                      <w:overflowPunct w:val="0"/>
                      <w:autoSpaceDE w:val="0"/>
                      <w:autoSpaceDN w:val="0"/>
                      <w:adjustRightInd w:val="0"/>
                      <w:snapToGrid w:val="0"/>
                      <w:jc w:val="right"/>
                      <w:rPr>
                        <w:rFonts w:cs="Arial"/>
                        <w:strike/>
                        <w:sz w:val="20"/>
                        <w:szCs w:val="20"/>
                      </w:rPr>
                    </w:pPr>
                  </w:p>
                </w:tc>
                <w:tc>
                  <w:tcPr>
                    <w:tcW w:w="189" w:type="dxa"/>
                    <w:noWrap/>
                    <w:vAlign w:val="bottom"/>
                  </w:tcPr>
                  <w:p w:rsidR="00B637B2" w:rsidRPr="00415C2A" w:rsidRDefault="00B637B2" w:rsidP="00B637B2">
                    <w:pPr>
                      <w:kinsoku w:val="0"/>
                      <w:overflowPunct w:val="0"/>
                      <w:autoSpaceDE w:val="0"/>
                      <w:autoSpaceDN w:val="0"/>
                      <w:adjustRightInd w:val="0"/>
                      <w:snapToGrid w:val="0"/>
                      <w:rPr>
                        <w:rFonts w:cs="Arial"/>
                        <w:strike/>
                        <w:sz w:val="20"/>
                        <w:szCs w:val="20"/>
                      </w:rPr>
                    </w:pPr>
                  </w:p>
                </w:tc>
              </w:tr>
              <w:tr w:rsidR="00B637B2" w:rsidRPr="00415C2A" w:rsidTr="00B637B2">
                <w:tc>
                  <w:tcPr>
                    <w:tcW w:w="4286" w:type="dxa"/>
                    <w:noWrap/>
                    <w:vAlign w:val="bottom"/>
                    <w:hideMark/>
                  </w:tcPr>
                  <w:p w:rsidR="00B637B2" w:rsidRPr="00415C2A" w:rsidRDefault="008F04CF" w:rsidP="00B637B2">
                    <w:pPr>
                      <w:kinsoku w:val="0"/>
                      <w:overflowPunct w:val="0"/>
                      <w:autoSpaceDE w:val="0"/>
                      <w:autoSpaceDN w:val="0"/>
                      <w:adjustRightInd w:val="0"/>
                      <w:snapToGrid w:val="0"/>
                      <w:rPr>
                        <w:rFonts w:cs="Arial"/>
                        <w:color w:val="000000"/>
                        <w:sz w:val="20"/>
                        <w:szCs w:val="20"/>
                      </w:rPr>
                    </w:pPr>
                    <w:r w:rsidRPr="00415C2A">
                      <w:rPr>
                        <w:rFonts w:cs="Arial" w:hint="eastAsia"/>
                        <w:color w:val="000000"/>
                        <w:sz w:val="20"/>
                        <w:szCs w:val="20"/>
                      </w:rPr>
                      <w:t>资本和净负债</w:t>
                    </w:r>
                  </w:p>
                </w:tc>
                <w:tc>
                  <w:tcPr>
                    <w:tcW w:w="114" w:type="dxa"/>
                    <w:vAlign w:val="bottom"/>
                    <w:hideMark/>
                  </w:tcPr>
                  <w:p w:rsidR="00B637B2" w:rsidRPr="00415C2A" w:rsidRDefault="00B637B2" w:rsidP="00B637B2">
                    <w:pPr>
                      <w:rPr>
                        <w:rFonts w:cs="Arial"/>
                        <w:color w:val="000000"/>
                        <w:sz w:val="20"/>
                        <w:szCs w:val="20"/>
                      </w:rPr>
                    </w:pPr>
                  </w:p>
                </w:tc>
                <w:tc>
                  <w:tcPr>
                    <w:tcW w:w="1814" w:type="dxa"/>
                    <w:noWrap/>
                    <w:vAlign w:val="bottom"/>
                    <w:hideMark/>
                  </w:tcPr>
                  <w:p w:rsidR="00B637B2" w:rsidRPr="00415C2A" w:rsidRDefault="008F04CF" w:rsidP="00B637B2">
                    <w:pPr>
                      <w:kinsoku w:val="0"/>
                      <w:overflowPunct w:val="0"/>
                      <w:autoSpaceDE w:val="0"/>
                      <w:autoSpaceDN w:val="0"/>
                      <w:adjustRightInd w:val="0"/>
                      <w:snapToGrid w:val="0"/>
                      <w:jc w:val="right"/>
                      <w:rPr>
                        <w:rFonts w:cs="Arial"/>
                        <w:color w:val="000000"/>
                        <w:sz w:val="20"/>
                        <w:szCs w:val="20"/>
                        <w:u w:val="double"/>
                      </w:rPr>
                    </w:pPr>
                    <w:r w:rsidRPr="00415C2A">
                      <w:rPr>
                        <w:rFonts w:cs="Arial"/>
                        <w:color w:val="000000"/>
                        <w:sz w:val="20"/>
                        <w:szCs w:val="20"/>
                        <w:u w:val="double"/>
                      </w:rPr>
                      <w:t>7,537,986,089</w:t>
                    </w:r>
                  </w:p>
                </w:tc>
                <w:tc>
                  <w:tcPr>
                    <w:tcW w:w="114" w:type="dxa"/>
                    <w:vAlign w:val="bottom"/>
                  </w:tcPr>
                  <w:p w:rsidR="00B637B2" w:rsidRPr="00415C2A" w:rsidRDefault="00B637B2" w:rsidP="00B637B2">
                    <w:pPr>
                      <w:kinsoku w:val="0"/>
                      <w:overflowPunct w:val="0"/>
                      <w:autoSpaceDE w:val="0"/>
                      <w:autoSpaceDN w:val="0"/>
                      <w:adjustRightInd w:val="0"/>
                      <w:snapToGrid w:val="0"/>
                      <w:rPr>
                        <w:rFonts w:cs="Arial"/>
                        <w:strike/>
                        <w:color w:val="000000"/>
                        <w:sz w:val="20"/>
                        <w:szCs w:val="20"/>
                      </w:rPr>
                    </w:pPr>
                  </w:p>
                </w:tc>
                <w:tc>
                  <w:tcPr>
                    <w:tcW w:w="114" w:type="dxa"/>
                    <w:vAlign w:val="bottom"/>
                  </w:tcPr>
                  <w:p w:rsidR="00B637B2" w:rsidRPr="00415C2A" w:rsidRDefault="00B637B2" w:rsidP="00B637B2">
                    <w:pPr>
                      <w:kinsoku w:val="0"/>
                      <w:overflowPunct w:val="0"/>
                      <w:autoSpaceDE w:val="0"/>
                      <w:autoSpaceDN w:val="0"/>
                      <w:adjustRightInd w:val="0"/>
                      <w:snapToGrid w:val="0"/>
                      <w:jc w:val="right"/>
                      <w:rPr>
                        <w:rFonts w:cs="Arial"/>
                        <w:strike/>
                        <w:sz w:val="20"/>
                        <w:szCs w:val="20"/>
                      </w:rPr>
                    </w:pPr>
                  </w:p>
                </w:tc>
                <w:tc>
                  <w:tcPr>
                    <w:tcW w:w="1814" w:type="dxa"/>
                    <w:noWrap/>
                    <w:vAlign w:val="bottom"/>
                    <w:hideMark/>
                  </w:tcPr>
                  <w:p w:rsidR="00B637B2" w:rsidRPr="00415C2A" w:rsidRDefault="008F04CF" w:rsidP="00B637B2">
                    <w:pPr>
                      <w:kinsoku w:val="0"/>
                      <w:overflowPunct w:val="0"/>
                      <w:autoSpaceDE w:val="0"/>
                      <w:autoSpaceDN w:val="0"/>
                      <w:adjustRightInd w:val="0"/>
                      <w:snapToGrid w:val="0"/>
                      <w:jc w:val="right"/>
                      <w:rPr>
                        <w:rFonts w:cs="Arial"/>
                        <w:strike/>
                        <w:color w:val="000000"/>
                        <w:sz w:val="20"/>
                        <w:szCs w:val="20"/>
                        <w:u w:val="double"/>
                      </w:rPr>
                    </w:pPr>
                    <w:r w:rsidRPr="00415C2A">
                      <w:rPr>
                        <w:rFonts w:cs="Arial"/>
                        <w:color w:val="000000"/>
                        <w:sz w:val="20"/>
                        <w:szCs w:val="20"/>
                        <w:u w:val="double"/>
                      </w:rPr>
                      <w:t>5,800,223,025</w:t>
                    </w:r>
                  </w:p>
                </w:tc>
                <w:tc>
                  <w:tcPr>
                    <w:tcW w:w="189" w:type="dxa"/>
                    <w:noWrap/>
                    <w:vAlign w:val="bottom"/>
                  </w:tcPr>
                  <w:p w:rsidR="00B637B2" w:rsidRPr="00415C2A" w:rsidRDefault="00B637B2" w:rsidP="00B637B2">
                    <w:pPr>
                      <w:kinsoku w:val="0"/>
                      <w:overflowPunct w:val="0"/>
                      <w:autoSpaceDE w:val="0"/>
                      <w:autoSpaceDN w:val="0"/>
                      <w:adjustRightInd w:val="0"/>
                      <w:snapToGrid w:val="0"/>
                      <w:rPr>
                        <w:rFonts w:cs="Arial"/>
                        <w:strike/>
                        <w:color w:val="000000"/>
                        <w:sz w:val="20"/>
                        <w:szCs w:val="20"/>
                      </w:rPr>
                    </w:pPr>
                  </w:p>
                </w:tc>
              </w:tr>
              <w:tr w:rsidR="00B637B2" w:rsidRPr="00415C2A" w:rsidTr="00B637B2">
                <w:tc>
                  <w:tcPr>
                    <w:tcW w:w="4286" w:type="dxa"/>
                    <w:noWrap/>
                    <w:vAlign w:val="bottom"/>
                    <w:hideMark/>
                  </w:tcPr>
                  <w:p w:rsidR="00B637B2" w:rsidRPr="00415C2A" w:rsidRDefault="008F04CF" w:rsidP="00B637B2">
                    <w:pPr>
                      <w:kinsoku w:val="0"/>
                      <w:overflowPunct w:val="0"/>
                      <w:autoSpaceDE w:val="0"/>
                      <w:autoSpaceDN w:val="0"/>
                      <w:adjustRightInd w:val="0"/>
                      <w:snapToGrid w:val="0"/>
                      <w:rPr>
                        <w:rFonts w:cs="Arial"/>
                        <w:sz w:val="20"/>
                        <w:szCs w:val="20"/>
                      </w:rPr>
                    </w:pPr>
                    <w:r w:rsidRPr="00415C2A">
                      <w:rPr>
                        <w:rFonts w:cs="Arial"/>
                        <w:color w:val="000000"/>
                        <w:sz w:val="20"/>
                        <w:szCs w:val="20"/>
                      </w:rPr>
                      <w:t xml:space="preserve"> </w:t>
                    </w:r>
                  </w:p>
                </w:tc>
                <w:tc>
                  <w:tcPr>
                    <w:tcW w:w="114" w:type="dxa"/>
                    <w:vAlign w:val="bottom"/>
                    <w:hideMark/>
                  </w:tcPr>
                  <w:p w:rsidR="00B637B2" w:rsidRPr="00415C2A" w:rsidRDefault="008F04CF" w:rsidP="00B637B2">
                    <w:pPr>
                      <w:kinsoku w:val="0"/>
                      <w:overflowPunct w:val="0"/>
                      <w:autoSpaceDE w:val="0"/>
                      <w:autoSpaceDN w:val="0"/>
                      <w:adjustRightInd w:val="0"/>
                      <w:snapToGrid w:val="0"/>
                      <w:rPr>
                        <w:rFonts w:cs="Arial"/>
                        <w:sz w:val="20"/>
                        <w:szCs w:val="20"/>
                      </w:rPr>
                    </w:pPr>
                    <w:r w:rsidRPr="00415C2A">
                      <w:rPr>
                        <w:rFonts w:cs="Arial"/>
                        <w:color w:val="000000"/>
                        <w:sz w:val="20"/>
                        <w:szCs w:val="20"/>
                      </w:rPr>
                      <w:t xml:space="preserve"> </w:t>
                    </w:r>
                  </w:p>
                </w:tc>
                <w:tc>
                  <w:tcPr>
                    <w:tcW w:w="1814" w:type="dxa"/>
                    <w:noWrap/>
                    <w:vAlign w:val="bottom"/>
                  </w:tcPr>
                  <w:p w:rsidR="00B637B2" w:rsidRPr="00415C2A" w:rsidRDefault="00B637B2" w:rsidP="00B637B2">
                    <w:pPr>
                      <w:kinsoku w:val="0"/>
                      <w:overflowPunct w:val="0"/>
                      <w:autoSpaceDE w:val="0"/>
                      <w:autoSpaceDN w:val="0"/>
                      <w:adjustRightInd w:val="0"/>
                      <w:snapToGrid w:val="0"/>
                      <w:jc w:val="right"/>
                      <w:rPr>
                        <w:rFonts w:cs="Arial"/>
                        <w:sz w:val="20"/>
                        <w:szCs w:val="20"/>
                      </w:rPr>
                    </w:pPr>
                  </w:p>
                </w:tc>
                <w:tc>
                  <w:tcPr>
                    <w:tcW w:w="114" w:type="dxa"/>
                    <w:vAlign w:val="bottom"/>
                  </w:tcPr>
                  <w:p w:rsidR="00B637B2" w:rsidRPr="00415C2A" w:rsidRDefault="00B637B2" w:rsidP="00B637B2">
                    <w:pPr>
                      <w:kinsoku w:val="0"/>
                      <w:overflowPunct w:val="0"/>
                      <w:autoSpaceDE w:val="0"/>
                      <w:autoSpaceDN w:val="0"/>
                      <w:adjustRightInd w:val="0"/>
                      <w:snapToGrid w:val="0"/>
                      <w:rPr>
                        <w:rFonts w:cs="Arial"/>
                        <w:sz w:val="20"/>
                        <w:szCs w:val="20"/>
                      </w:rPr>
                    </w:pPr>
                  </w:p>
                </w:tc>
                <w:tc>
                  <w:tcPr>
                    <w:tcW w:w="114" w:type="dxa"/>
                    <w:vAlign w:val="bottom"/>
                  </w:tcPr>
                  <w:p w:rsidR="00B637B2" w:rsidRPr="00415C2A" w:rsidRDefault="00B637B2" w:rsidP="00B637B2">
                    <w:pPr>
                      <w:kinsoku w:val="0"/>
                      <w:overflowPunct w:val="0"/>
                      <w:autoSpaceDE w:val="0"/>
                      <w:autoSpaceDN w:val="0"/>
                      <w:adjustRightInd w:val="0"/>
                      <w:snapToGrid w:val="0"/>
                      <w:jc w:val="right"/>
                      <w:rPr>
                        <w:rFonts w:cs="Arial"/>
                        <w:sz w:val="20"/>
                        <w:szCs w:val="20"/>
                      </w:rPr>
                    </w:pPr>
                  </w:p>
                </w:tc>
                <w:tc>
                  <w:tcPr>
                    <w:tcW w:w="1814" w:type="dxa"/>
                    <w:noWrap/>
                    <w:vAlign w:val="bottom"/>
                  </w:tcPr>
                  <w:p w:rsidR="00B637B2" w:rsidRPr="00415C2A" w:rsidRDefault="00B637B2" w:rsidP="00B637B2">
                    <w:pPr>
                      <w:kinsoku w:val="0"/>
                      <w:overflowPunct w:val="0"/>
                      <w:autoSpaceDE w:val="0"/>
                      <w:autoSpaceDN w:val="0"/>
                      <w:adjustRightInd w:val="0"/>
                      <w:snapToGrid w:val="0"/>
                      <w:jc w:val="right"/>
                      <w:rPr>
                        <w:rFonts w:cs="Arial"/>
                        <w:sz w:val="20"/>
                        <w:szCs w:val="20"/>
                      </w:rPr>
                    </w:pPr>
                  </w:p>
                </w:tc>
                <w:tc>
                  <w:tcPr>
                    <w:tcW w:w="189" w:type="dxa"/>
                    <w:noWrap/>
                    <w:vAlign w:val="bottom"/>
                  </w:tcPr>
                  <w:p w:rsidR="00B637B2" w:rsidRPr="00415C2A" w:rsidRDefault="00B637B2" w:rsidP="00B637B2">
                    <w:pPr>
                      <w:kinsoku w:val="0"/>
                      <w:overflowPunct w:val="0"/>
                      <w:autoSpaceDE w:val="0"/>
                      <w:autoSpaceDN w:val="0"/>
                      <w:adjustRightInd w:val="0"/>
                      <w:snapToGrid w:val="0"/>
                      <w:rPr>
                        <w:rFonts w:cs="Arial"/>
                        <w:sz w:val="20"/>
                        <w:szCs w:val="20"/>
                      </w:rPr>
                    </w:pPr>
                  </w:p>
                </w:tc>
              </w:tr>
              <w:tr w:rsidR="00B637B2" w:rsidRPr="00415C2A" w:rsidTr="00B637B2">
                <w:tc>
                  <w:tcPr>
                    <w:tcW w:w="4286" w:type="dxa"/>
                    <w:noWrap/>
                    <w:vAlign w:val="bottom"/>
                    <w:hideMark/>
                  </w:tcPr>
                  <w:p w:rsidR="00B637B2" w:rsidRPr="00415C2A" w:rsidRDefault="008F04CF" w:rsidP="00B637B2">
                    <w:pPr>
                      <w:kinsoku w:val="0"/>
                      <w:overflowPunct w:val="0"/>
                      <w:autoSpaceDE w:val="0"/>
                      <w:autoSpaceDN w:val="0"/>
                      <w:adjustRightInd w:val="0"/>
                      <w:snapToGrid w:val="0"/>
                      <w:rPr>
                        <w:rFonts w:cs="Arial"/>
                        <w:color w:val="000000"/>
                        <w:sz w:val="20"/>
                        <w:szCs w:val="20"/>
                      </w:rPr>
                    </w:pPr>
                    <w:r w:rsidRPr="00415C2A">
                      <w:rPr>
                        <w:rFonts w:cs="Arial" w:hint="eastAsia"/>
                        <w:color w:val="000000"/>
                        <w:sz w:val="20"/>
                        <w:szCs w:val="20"/>
                      </w:rPr>
                      <w:t>杠杆比率</w:t>
                    </w:r>
                  </w:p>
                </w:tc>
                <w:tc>
                  <w:tcPr>
                    <w:tcW w:w="114" w:type="dxa"/>
                    <w:vAlign w:val="bottom"/>
                    <w:hideMark/>
                  </w:tcPr>
                  <w:p w:rsidR="00B637B2" w:rsidRPr="00415C2A" w:rsidRDefault="008F04CF" w:rsidP="00B637B2">
                    <w:pPr>
                      <w:kinsoku w:val="0"/>
                      <w:overflowPunct w:val="0"/>
                      <w:autoSpaceDE w:val="0"/>
                      <w:autoSpaceDN w:val="0"/>
                      <w:adjustRightInd w:val="0"/>
                      <w:snapToGrid w:val="0"/>
                      <w:rPr>
                        <w:rFonts w:cs="Arial"/>
                        <w:color w:val="000000"/>
                        <w:sz w:val="20"/>
                        <w:szCs w:val="20"/>
                      </w:rPr>
                    </w:pPr>
                    <w:r w:rsidRPr="00415C2A">
                      <w:rPr>
                        <w:rFonts w:cs="Arial"/>
                        <w:color w:val="000000"/>
                        <w:sz w:val="20"/>
                        <w:szCs w:val="20"/>
                      </w:rPr>
                      <w:t xml:space="preserve"> </w:t>
                    </w:r>
                  </w:p>
                </w:tc>
                <w:tc>
                  <w:tcPr>
                    <w:tcW w:w="1814" w:type="dxa"/>
                    <w:noWrap/>
                    <w:vAlign w:val="bottom"/>
                    <w:hideMark/>
                  </w:tcPr>
                  <w:p w:rsidR="00B637B2" w:rsidRPr="00415C2A" w:rsidRDefault="008F04CF" w:rsidP="00B637B2">
                    <w:pPr>
                      <w:kinsoku w:val="0"/>
                      <w:overflowPunct w:val="0"/>
                      <w:autoSpaceDE w:val="0"/>
                      <w:autoSpaceDN w:val="0"/>
                      <w:adjustRightInd w:val="0"/>
                      <w:snapToGrid w:val="0"/>
                      <w:jc w:val="right"/>
                      <w:rPr>
                        <w:rFonts w:cs="Arial"/>
                        <w:color w:val="000000"/>
                        <w:sz w:val="20"/>
                        <w:szCs w:val="20"/>
                        <w:u w:val="double"/>
                      </w:rPr>
                    </w:pPr>
                    <w:r w:rsidRPr="00415C2A">
                      <w:rPr>
                        <w:rFonts w:cs="Arial"/>
                        <w:color w:val="000000"/>
                        <w:sz w:val="20"/>
                        <w:szCs w:val="20"/>
                        <w:u w:val="double"/>
                      </w:rPr>
                      <w:t xml:space="preserve">       16.90%</w:t>
                    </w:r>
                  </w:p>
                </w:tc>
                <w:tc>
                  <w:tcPr>
                    <w:tcW w:w="114" w:type="dxa"/>
                    <w:vAlign w:val="bottom"/>
                  </w:tcPr>
                  <w:p w:rsidR="00B637B2" w:rsidRPr="00415C2A" w:rsidRDefault="00B637B2" w:rsidP="00B637B2">
                    <w:pPr>
                      <w:kinsoku w:val="0"/>
                      <w:overflowPunct w:val="0"/>
                      <w:autoSpaceDE w:val="0"/>
                      <w:autoSpaceDN w:val="0"/>
                      <w:adjustRightInd w:val="0"/>
                      <w:snapToGrid w:val="0"/>
                      <w:rPr>
                        <w:rFonts w:cs="Arial"/>
                        <w:color w:val="000000"/>
                        <w:sz w:val="20"/>
                        <w:szCs w:val="20"/>
                        <w:u w:val="double"/>
                      </w:rPr>
                    </w:pPr>
                  </w:p>
                </w:tc>
                <w:tc>
                  <w:tcPr>
                    <w:tcW w:w="114" w:type="dxa"/>
                    <w:vAlign w:val="bottom"/>
                  </w:tcPr>
                  <w:p w:rsidR="00B637B2" w:rsidRPr="00415C2A" w:rsidRDefault="00B637B2" w:rsidP="00B637B2">
                    <w:pPr>
                      <w:kinsoku w:val="0"/>
                      <w:overflowPunct w:val="0"/>
                      <w:autoSpaceDE w:val="0"/>
                      <w:autoSpaceDN w:val="0"/>
                      <w:adjustRightInd w:val="0"/>
                      <w:snapToGrid w:val="0"/>
                      <w:jc w:val="right"/>
                      <w:rPr>
                        <w:rFonts w:cs="Arial"/>
                        <w:sz w:val="20"/>
                        <w:szCs w:val="20"/>
                      </w:rPr>
                    </w:pPr>
                  </w:p>
                </w:tc>
                <w:tc>
                  <w:tcPr>
                    <w:tcW w:w="1814" w:type="dxa"/>
                    <w:noWrap/>
                    <w:vAlign w:val="bottom"/>
                    <w:hideMark/>
                  </w:tcPr>
                  <w:p w:rsidR="00B637B2" w:rsidRPr="00415C2A" w:rsidRDefault="008F04CF" w:rsidP="00B637B2">
                    <w:pPr>
                      <w:kinsoku w:val="0"/>
                      <w:overflowPunct w:val="0"/>
                      <w:autoSpaceDE w:val="0"/>
                      <w:autoSpaceDN w:val="0"/>
                      <w:adjustRightInd w:val="0"/>
                      <w:snapToGrid w:val="0"/>
                      <w:ind w:leftChars="-228" w:left="-479"/>
                      <w:jc w:val="right"/>
                      <w:rPr>
                        <w:rFonts w:cs="Arial"/>
                        <w:sz w:val="20"/>
                        <w:szCs w:val="20"/>
                        <w:u w:val="double"/>
                      </w:rPr>
                    </w:pPr>
                    <w:r w:rsidRPr="00415C2A">
                      <w:rPr>
                        <w:rFonts w:cs="Arial"/>
                        <w:color w:val="000000"/>
                        <w:sz w:val="20"/>
                        <w:szCs w:val="20"/>
                        <w:u w:val="double"/>
                      </w:rPr>
                      <w:t xml:space="preserve">          N/A</w:t>
                    </w:r>
                  </w:p>
                </w:tc>
                <w:tc>
                  <w:tcPr>
                    <w:tcW w:w="189" w:type="dxa"/>
                    <w:noWrap/>
                    <w:vAlign w:val="bottom"/>
                  </w:tcPr>
                  <w:p w:rsidR="00B637B2" w:rsidRPr="00415C2A" w:rsidRDefault="00B637B2" w:rsidP="00B637B2">
                    <w:pPr>
                      <w:kinsoku w:val="0"/>
                      <w:overflowPunct w:val="0"/>
                      <w:autoSpaceDE w:val="0"/>
                      <w:autoSpaceDN w:val="0"/>
                      <w:adjustRightInd w:val="0"/>
                      <w:snapToGrid w:val="0"/>
                      <w:rPr>
                        <w:rFonts w:cs="Arial"/>
                        <w:color w:val="000000"/>
                        <w:sz w:val="20"/>
                        <w:szCs w:val="20"/>
                      </w:rPr>
                    </w:pPr>
                  </w:p>
                </w:tc>
              </w:tr>
            </w:tbl>
            <w:p w:rsidR="00B637B2" w:rsidRPr="00415C2A" w:rsidRDefault="00B637B2" w:rsidP="00B637B2">
              <w:pPr>
                <w:overflowPunct w:val="0"/>
                <w:autoSpaceDE w:val="0"/>
                <w:autoSpaceDN w:val="0"/>
                <w:adjustRightInd w:val="0"/>
                <w:snapToGrid w:val="0"/>
                <w:ind w:left="720" w:hanging="720"/>
                <w:jc w:val="both"/>
                <w:rPr>
                  <w:rFonts w:cs="Arial"/>
                  <w:snapToGrid w:val="0"/>
                  <w:sz w:val="20"/>
                  <w:szCs w:val="20"/>
                </w:rPr>
              </w:pPr>
            </w:p>
            <w:p w:rsidR="00ED2DC7" w:rsidRDefault="000D0A99">
              <w:pPr>
                <w:rPr>
                  <w:b/>
                  <w:szCs w:val="21"/>
                </w:rPr>
              </w:pPr>
            </w:p>
          </w:sdtContent>
        </w:sdt>
        <w:p w:rsidR="00ED2DC7" w:rsidRDefault="000D0A99">
          <w:pPr>
            <w:rPr>
              <w:color w:val="808080"/>
              <w:szCs w:val="21"/>
            </w:rPr>
          </w:pPr>
        </w:p>
      </w:sdtContent>
    </w:sdt>
    <w:p w:rsidR="00ED2DC7" w:rsidRDefault="00ED2DC7" w:rsidP="00036BDC">
      <w:pPr>
        <w:pStyle w:val="affffffffffffffffff0"/>
        <w:numPr>
          <w:ilvl w:val="0"/>
          <w:numId w:val="35"/>
        </w:numPr>
        <w:rPr>
          <w:rFonts w:ascii="宋体" w:hAnsi="宋体"/>
        </w:rPr>
      </w:pPr>
      <w:r>
        <w:rPr>
          <w:rFonts w:ascii="宋体" w:hAnsi="宋体" w:hint="eastAsia"/>
        </w:rPr>
        <w:t>公允价值的披露</w:t>
      </w:r>
    </w:p>
    <w:bookmarkStart w:id="220" w:name="_Hlk10539195" w:displacedByCustomXml="next"/>
    <w:sdt>
      <w:sdtPr>
        <w:rPr>
          <w:rFonts w:ascii="宋体" w:hAnsi="宋体" w:cs="宋体" w:hint="eastAsia"/>
          <w:b w:val="0"/>
          <w:bCs w:val="0"/>
          <w:kern w:val="0"/>
          <w:szCs w:val="24"/>
        </w:rPr>
        <w:alias w:val="模块:以公允价值计量的资产和负债的期末公允价值"/>
        <w:tag w:val="_GBC_b5067cea5bbf475388ac2623e2c669d7"/>
        <w:id w:val="1529303332"/>
        <w:lock w:val="sdtLocked"/>
        <w:placeholder>
          <w:docPart w:val="GBC22222222222222222222222222222"/>
        </w:placeholder>
      </w:sdtPr>
      <w:sdtEndPr>
        <w:rPr>
          <w:rFonts w:cstheme="minorBidi"/>
          <w:szCs w:val="21"/>
        </w:rPr>
      </w:sdtEndPr>
      <w:sdtContent>
        <w:p w:rsidR="00ED2DC7" w:rsidRPr="00415C2A" w:rsidRDefault="00ED2DC7" w:rsidP="00036BDC">
          <w:pPr>
            <w:pStyle w:val="affffffffffffffffff1"/>
            <w:numPr>
              <w:ilvl w:val="0"/>
              <w:numId w:val="87"/>
            </w:numPr>
          </w:pPr>
          <w:r w:rsidRPr="00415C2A">
            <w:rPr>
              <w:rFonts w:hint="eastAsia"/>
            </w:rPr>
            <w:t>以公允价值计量的资产和负债的期末公允价值</w:t>
          </w:r>
        </w:p>
        <w:sdt>
          <w:sdtPr>
            <w:alias w:val="是否适用：以公允价值计量的资产和负债的期末公允价值[双击切换]"/>
            <w:tag w:val="_GBC_291486261b6a4e8092eea55d961b7664"/>
            <w:id w:val="2140596010"/>
            <w:lock w:val="sdtContentLocked"/>
            <w:placeholder>
              <w:docPart w:val="GBC22222222222222222222222222222"/>
            </w:placeholder>
          </w:sdtPr>
          <w:sdtContent>
            <w:p w:rsidR="00ED2DC7" w:rsidRDefault="00ED2DC7">
              <w:r>
                <w:fldChar w:fldCharType="begin"/>
              </w:r>
              <w:r w:rsidR="00E85F91">
                <w:instrText xml:space="preserve"> MACROBUTTON  SnrToggleCheckbox √适用 </w:instrText>
              </w:r>
              <w:r>
                <w:fldChar w:fldCharType="end"/>
              </w:r>
              <w:r>
                <w:fldChar w:fldCharType="begin"/>
              </w:r>
              <w:r w:rsidR="00E85F91">
                <w:instrText xml:space="preserve"> MACROBUTTON  SnrToggleCheckbox □不适用 </w:instrText>
              </w:r>
              <w:r>
                <w:fldChar w:fldCharType="end"/>
              </w:r>
            </w:p>
          </w:sdtContent>
        </w:sdt>
        <w:p w:rsidR="00ED2DC7" w:rsidRDefault="00ED2DC7">
          <w:pPr>
            <w:jc w:val="right"/>
          </w:pPr>
          <w:r>
            <w:rPr>
              <w:rFonts w:hint="eastAsia"/>
            </w:rPr>
            <w:t>单位:</w:t>
          </w:r>
          <w:sdt>
            <w:sdtPr>
              <w:rPr>
                <w:rFonts w:hint="eastAsia"/>
              </w:rPr>
              <w:alias w:val="单位：财务附注：以公允价值计量的资产和负债的期末公允价值"/>
              <w:tag w:val="_GBC_4b785696cde44d3f8a4a7d28ab963e38"/>
              <w:id w:val="-134307968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hint="eastAsia"/>
                </w:rPr>
                <w:t>元</w:t>
              </w:r>
            </w:sdtContent>
          </w:sdt>
          <w:r>
            <w:rPr>
              <w:rFonts w:hint="eastAsia"/>
            </w:rPr>
            <w:t xml:space="preserve">  币种:</w:t>
          </w:r>
          <w:sdt>
            <w:sdtPr>
              <w:rPr>
                <w:rFonts w:hint="eastAsia"/>
              </w:rPr>
              <w:alias w:val="币种：财务附注：以公允价值计量的资产和负债的期末公允价值"/>
              <w:tag w:val="_GBC_3bb5670d72804a4b8298edc3e439955a"/>
              <w:id w:val="5089560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rPr>
                <w:t>人民币</w:t>
              </w:r>
            </w:sdtContent>
          </w:sdt>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215"/>
            <w:gridCol w:w="1559"/>
            <w:gridCol w:w="1523"/>
            <w:gridCol w:w="1585"/>
            <w:gridCol w:w="1421"/>
          </w:tblGrid>
          <w:tr w:rsidR="00B637B2" w:rsidTr="00B637B2">
            <w:trPr>
              <w:trHeight w:val="145"/>
            </w:trPr>
            <w:sdt>
              <w:sdtPr>
                <w:tag w:val="_PLD_25e2bb7801744f08a089c0e6a2b31b9b"/>
                <w:id w:val="-1558695519"/>
                <w:lock w:val="sdtLocked"/>
              </w:sdtPr>
              <w:sdtContent>
                <w:tc>
                  <w:tcPr>
                    <w:tcW w:w="1339" w:type="pct"/>
                    <w:vMerge w:val="restart"/>
                    <w:tcBorders>
                      <w:top w:val="single" w:sz="4" w:space="0" w:color="auto"/>
                      <w:left w:val="single" w:sz="4" w:space="0" w:color="auto"/>
                      <w:right w:val="single" w:sz="4" w:space="0" w:color="auto"/>
                    </w:tcBorders>
                    <w:shd w:val="clear" w:color="auto" w:fill="auto"/>
                    <w:vAlign w:val="center"/>
                  </w:tcPr>
                  <w:p w:rsidR="00B637B2" w:rsidRDefault="008F04CF" w:rsidP="00B637B2">
                    <w:pPr>
                      <w:jc w:val="center"/>
                      <w:outlineLvl w:val="2"/>
                      <w:rPr>
                        <w:rFonts w:cs="Cambria"/>
                        <w:szCs w:val="21"/>
                      </w:rPr>
                    </w:pPr>
                    <w:r>
                      <w:rPr>
                        <w:rFonts w:cs="Cambria" w:hint="eastAsia"/>
                        <w:szCs w:val="21"/>
                      </w:rPr>
                      <w:t>项目</w:t>
                    </w:r>
                  </w:p>
                </w:tc>
              </w:sdtContent>
            </w:sdt>
            <w:sdt>
              <w:sdtPr>
                <w:tag w:val="_PLD_ad919f08ba5040a28e31328eb66da0bf"/>
                <w:id w:val="1256482360"/>
                <w:lock w:val="sdtLocked"/>
              </w:sdtPr>
              <w:sdtContent>
                <w:tc>
                  <w:tcPr>
                    <w:tcW w:w="366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B637B2" w:rsidRDefault="008F04CF" w:rsidP="00B637B2">
                    <w:pPr>
                      <w:jc w:val="center"/>
                      <w:outlineLvl w:val="2"/>
                      <w:rPr>
                        <w:rFonts w:cs="Cambria"/>
                        <w:szCs w:val="21"/>
                      </w:rPr>
                    </w:pPr>
                    <w:r>
                      <w:rPr>
                        <w:rFonts w:cs="Cambria" w:hint="eastAsia"/>
                        <w:szCs w:val="21"/>
                      </w:rPr>
                      <w:t>期末公允价值</w:t>
                    </w:r>
                  </w:p>
                </w:tc>
              </w:sdtContent>
            </w:sdt>
          </w:tr>
          <w:tr w:rsidR="00B637B2" w:rsidTr="00B637B2">
            <w:trPr>
              <w:trHeight w:val="145"/>
            </w:trPr>
            <w:tc>
              <w:tcPr>
                <w:tcW w:w="1339" w:type="pct"/>
                <w:vMerge/>
                <w:tcBorders>
                  <w:left w:val="single" w:sz="4" w:space="0" w:color="auto"/>
                  <w:bottom w:val="single" w:sz="4" w:space="0" w:color="auto"/>
                  <w:right w:val="single" w:sz="4" w:space="0" w:color="auto"/>
                </w:tcBorders>
                <w:shd w:val="clear" w:color="auto" w:fill="auto"/>
                <w:vAlign w:val="center"/>
              </w:tcPr>
              <w:p w:rsidR="00B637B2" w:rsidRDefault="00B637B2" w:rsidP="00B637B2">
                <w:pPr>
                  <w:jc w:val="center"/>
                  <w:outlineLvl w:val="2"/>
                  <w:rPr>
                    <w:rFonts w:cs="Cambria"/>
                    <w:szCs w:val="21"/>
                  </w:rPr>
                </w:pPr>
              </w:p>
            </w:tc>
            <w:sdt>
              <w:sdtPr>
                <w:tag w:val="_PLD_4bb34c3d92bf450fb80f7c0c95977a2b"/>
                <w:id w:val="-729455148"/>
                <w:lock w:val="sdtLocked"/>
              </w:sdtPr>
              <w:sdtContent>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Default="008F04CF" w:rsidP="00B637B2">
                    <w:pPr>
                      <w:jc w:val="center"/>
                      <w:outlineLvl w:val="2"/>
                      <w:rPr>
                        <w:rFonts w:cs="Cambria"/>
                        <w:szCs w:val="21"/>
                      </w:rPr>
                    </w:pPr>
                    <w:r>
                      <w:rPr>
                        <w:rFonts w:cs="Cambria" w:hint="eastAsia"/>
                        <w:szCs w:val="21"/>
                      </w:rPr>
                      <w:t>第一层次公允价值计量</w:t>
                    </w:r>
                  </w:p>
                </w:tc>
              </w:sdtContent>
            </w:sdt>
            <w:sdt>
              <w:sdtPr>
                <w:tag w:val="_PLD_08753059c9e04a10af2918fbc1559bed"/>
                <w:id w:val="-565804135"/>
                <w:lock w:val="sdtLocked"/>
              </w:sdtPr>
              <w:sdtContent>
                <w:tc>
                  <w:tcPr>
                    <w:tcW w:w="922"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Default="008F04CF" w:rsidP="00B637B2">
                    <w:pPr>
                      <w:jc w:val="center"/>
                      <w:outlineLvl w:val="2"/>
                      <w:rPr>
                        <w:rFonts w:cs="Cambria"/>
                        <w:szCs w:val="21"/>
                      </w:rPr>
                    </w:pPr>
                    <w:r>
                      <w:rPr>
                        <w:rFonts w:cs="Cambria" w:hint="eastAsia"/>
                        <w:szCs w:val="21"/>
                      </w:rPr>
                      <w:t>第二层次公允价值计量</w:t>
                    </w:r>
                  </w:p>
                </w:tc>
              </w:sdtContent>
            </w:sdt>
            <w:sdt>
              <w:sdtPr>
                <w:tag w:val="_PLD_b263de838c9c4afa9fddb6dee6409a62"/>
                <w:id w:val="-324283206"/>
                <w:lock w:val="sdtLocked"/>
              </w:sdtPr>
              <w:sdtContent>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Default="008F04CF" w:rsidP="00B637B2">
                    <w:pPr>
                      <w:jc w:val="center"/>
                      <w:outlineLvl w:val="2"/>
                      <w:rPr>
                        <w:rFonts w:cs="Cambria"/>
                        <w:szCs w:val="21"/>
                      </w:rPr>
                    </w:pPr>
                    <w:r>
                      <w:rPr>
                        <w:rFonts w:cs="Cambria" w:hint="eastAsia"/>
                        <w:szCs w:val="21"/>
                      </w:rPr>
                      <w:t>第三层次公允价值计量</w:t>
                    </w:r>
                  </w:p>
                </w:tc>
              </w:sdtContent>
            </w:sdt>
            <w:sdt>
              <w:sdtPr>
                <w:tag w:val="_PLD_50eba344a451417c8072228a7a4959c5"/>
                <w:id w:val="1330098957"/>
                <w:lock w:val="sdtLocked"/>
              </w:sdtPr>
              <w:sdtContent>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Default="008F04CF" w:rsidP="00B637B2">
                    <w:pPr>
                      <w:jc w:val="center"/>
                      <w:outlineLvl w:val="2"/>
                      <w:rPr>
                        <w:rFonts w:cs="Cambria"/>
                        <w:szCs w:val="21"/>
                      </w:rPr>
                    </w:pPr>
                    <w:r>
                      <w:rPr>
                        <w:rFonts w:cs="Cambria" w:hint="eastAsia"/>
                        <w:szCs w:val="21"/>
                      </w:rPr>
                      <w:t>合计</w:t>
                    </w:r>
                  </w:p>
                </w:tc>
              </w:sdtContent>
            </w:sdt>
          </w:tr>
          <w:tr w:rsidR="00B637B2" w:rsidTr="00B637B2">
            <w:trPr>
              <w:trHeight w:val="227"/>
            </w:trPr>
            <w:sdt>
              <w:sdtPr>
                <w:tag w:val="_PLD_0df07aa5429843d5898a68994e53f99c"/>
                <w:id w:val="1880437884"/>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B637B2" w:rsidRDefault="008F04CF" w:rsidP="00B637B2">
                    <w:pPr>
                      <w:outlineLvl w:val="2"/>
                      <w:rPr>
                        <w:rFonts w:cs="Cambria"/>
                        <w:b/>
                        <w:szCs w:val="21"/>
                      </w:rPr>
                    </w:pPr>
                    <w:r>
                      <w:rPr>
                        <w:rFonts w:cs="Cambria" w:hint="eastAsia"/>
                        <w:b/>
                        <w:szCs w:val="21"/>
                      </w:rPr>
                      <w:t>一、持续的公允价值计量</w:t>
                    </w:r>
                  </w:p>
                </w:tc>
              </w:sdtContent>
            </w:sdt>
            <w:tc>
              <w:tcPr>
                <w:tcW w:w="944"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r>
          <w:tr w:rsidR="00B637B2" w:rsidTr="00B637B2">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8e41e2365fb54f2a8e82acb6d5327c25"/>
                  <w:id w:val="-1183204566"/>
                  <w:lock w:val="sdtLocked"/>
                </w:sdtPr>
                <w:sdtEndPr>
                  <w:rPr>
                    <w:shd w:val="solid" w:color="FFFFFF" w:fill="auto"/>
                  </w:rPr>
                </w:sdtEndPr>
                <w:sdtContent>
                  <w:p w:rsidR="00B637B2" w:rsidRDefault="008F04CF" w:rsidP="00B637B2">
                    <w:pPr>
                      <w:outlineLvl w:val="2"/>
                    </w:pPr>
                    <w:r>
                      <w:rPr>
                        <w:rFonts w:hint="eastAsia"/>
                      </w:rPr>
                      <w:t>（一）</w:t>
                    </w:r>
                    <w:r>
                      <w:rPr>
                        <w:rFonts w:hint="eastAsia"/>
                        <w:shd w:val="solid" w:color="FFFFFF" w:fill="auto"/>
                      </w:rPr>
                      <w:t>交易性金融资产</w:t>
                    </w:r>
                  </w:p>
                </w:sdtContent>
              </w:sdt>
            </w:tc>
            <w:tc>
              <w:tcPr>
                <w:tcW w:w="944"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rsidR="00B637B2" w:rsidRDefault="008F04CF" w:rsidP="00B637B2">
                <w:pPr>
                  <w:jc w:val="right"/>
                  <w:outlineLvl w:val="2"/>
                  <w:rPr>
                    <w:rFonts w:cs="Cambria"/>
                    <w:szCs w:val="21"/>
                  </w:rPr>
                </w:pPr>
                <w:r w:rsidRPr="00D738BC">
                  <w:t>1,221,635,881</w:t>
                </w:r>
              </w:p>
            </w:tc>
            <w:tc>
              <w:tcPr>
                <w:tcW w:w="959"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rsidR="00B637B2" w:rsidRDefault="008F04CF" w:rsidP="00B637B2">
                <w:pPr>
                  <w:jc w:val="right"/>
                  <w:outlineLvl w:val="2"/>
                  <w:rPr>
                    <w:rFonts w:cs="Cambria"/>
                    <w:szCs w:val="21"/>
                  </w:rPr>
                </w:pPr>
                <w:r w:rsidRPr="00D738BC">
                  <w:t>1,221,635,881</w:t>
                </w:r>
              </w:p>
            </w:tc>
          </w:tr>
          <w:tr w:rsidR="00B637B2" w:rsidTr="00B637B2">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sdt>
                <w:sdtPr>
                  <w:tag w:val="_PLD_ec78ce9b24c54617a7a100b54d80834e"/>
                  <w:id w:val="-1543892191"/>
                  <w:lock w:val="sdtLocked"/>
                </w:sdtPr>
                <w:sdtContent>
                  <w:p w:rsidR="00B637B2" w:rsidRDefault="008F04CF" w:rsidP="00B637B2">
                    <w:pPr>
                      <w:outlineLvl w:val="2"/>
                    </w:pPr>
                    <w:r>
                      <w:t>1.以公允价值计量且变动计入当期损益的金融资产</w:t>
                    </w:r>
                  </w:p>
                </w:sdtContent>
              </w:sdt>
            </w:tc>
            <w:tc>
              <w:tcPr>
                <w:tcW w:w="944"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vAlign w:val="center"/>
              </w:tcPr>
              <w:p w:rsidR="00B637B2" w:rsidRPr="00D738BC" w:rsidRDefault="008F04CF" w:rsidP="00B637B2">
                <w:pPr>
                  <w:jc w:val="right"/>
                </w:pPr>
                <w:r w:rsidRPr="00D738BC">
                  <w:t>1,221,635,881</w:t>
                </w:r>
              </w:p>
            </w:tc>
            <w:tc>
              <w:tcPr>
                <w:tcW w:w="959" w:type="pct"/>
                <w:tcBorders>
                  <w:top w:val="single" w:sz="4" w:space="0" w:color="auto"/>
                  <w:left w:val="single" w:sz="4" w:space="0" w:color="auto"/>
                  <w:bottom w:val="single" w:sz="4" w:space="0" w:color="auto"/>
                  <w:right w:val="single" w:sz="4" w:space="0" w:color="auto"/>
                </w:tcBorders>
                <w:vAlign w:val="center"/>
              </w:tcPr>
              <w:p w:rsidR="00B637B2" w:rsidRPr="00D738BC" w:rsidRDefault="008F04CF" w:rsidP="00B637B2">
                <w:pPr>
                  <w:jc w:val="right"/>
                </w:pPr>
                <w:r w:rsidRPr="00D738BC">
                  <w:t xml:space="preserve">    </w:t>
                </w:r>
              </w:p>
            </w:tc>
            <w:tc>
              <w:tcPr>
                <w:tcW w:w="836" w:type="pct"/>
                <w:tcBorders>
                  <w:top w:val="single" w:sz="4" w:space="0" w:color="auto"/>
                  <w:left w:val="single" w:sz="4" w:space="0" w:color="auto"/>
                  <w:bottom w:val="single" w:sz="4" w:space="0" w:color="auto"/>
                  <w:right w:val="single" w:sz="4" w:space="0" w:color="auto"/>
                </w:tcBorders>
                <w:vAlign w:val="center"/>
              </w:tcPr>
              <w:p w:rsidR="00B637B2" w:rsidRPr="00D738BC" w:rsidRDefault="008F04CF" w:rsidP="00B637B2">
                <w:pPr>
                  <w:jc w:val="right"/>
                </w:pPr>
                <w:r w:rsidRPr="00D738BC">
                  <w:t>1,221,635,881</w:t>
                </w:r>
              </w:p>
            </w:tc>
          </w:tr>
          <w:tr w:rsidR="00B637B2" w:rsidTr="00B637B2">
            <w:trPr>
              <w:trHeight w:val="240"/>
            </w:trPr>
            <w:sdt>
              <w:sdtPr>
                <w:tag w:val="_PLD_1978a795a85148b4b91da91d8626cc66"/>
                <w:id w:val="446054777"/>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B637B2" w:rsidRDefault="008F04CF" w:rsidP="00B637B2">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sdtContent>
            </w:sdt>
            <w:tc>
              <w:tcPr>
                <w:tcW w:w="944"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vAlign w:val="center"/>
              </w:tcPr>
              <w:p w:rsidR="00B637B2" w:rsidRDefault="008F04CF" w:rsidP="00B637B2">
                <w:pPr>
                  <w:jc w:val="right"/>
                  <w:outlineLvl w:val="2"/>
                  <w:rPr>
                    <w:rFonts w:cs="Cambria"/>
                    <w:szCs w:val="21"/>
                  </w:rPr>
                </w:pPr>
                <w:r w:rsidRPr="00D738BC">
                  <w:t>1,221,635,881</w:t>
                </w:r>
              </w:p>
            </w:tc>
            <w:tc>
              <w:tcPr>
                <w:tcW w:w="959" w:type="pct"/>
                <w:tcBorders>
                  <w:top w:val="single" w:sz="4" w:space="0" w:color="auto"/>
                  <w:left w:val="single" w:sz="4" w:space="0" w:color="auto"/>
                  <w:bottom w:val="single" w:sz="4" w:space="0" w:color="auto"/>
                  <w:right w:val="single" w:sz="4" w:space="0" w:color="auto"/>
                </w:tcBorders>
                <w:vAlign w:val="center"/>
              </w:tcPr>
              <w:p w:rsidR="00B637B2" w:rsidRDefault="00B637B2" w:rsidP="00B637B2">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vAlign w:val="center"/>
              </w:tcPr>
              <w:p w:rsidR="00B637B2" w:rsidRDefault="008F04CF" w:rsidP="00B637B2">
                <w:pPr>
                  <w:jc w:val="right"/>
                  <w:outlineLvl w:val="2"/>
                  <w:rPr>
                    <w:rFonts w:cs="Cambria"/>
                    <w:szCs w:val="21"/>
                  </w:rPr>
                </w:pPr>
                <w:r w:rsidRPr="00D738BC">
                  <w:t>1,221,635,881</w:t>
                </w:r>
              </w:p>
            </w:tc>
          </w:tr>
          <w:tr w:rsidR="00B637B2" w:rsidTr="00B637B2">
            <w:trPr>
              <w:trHeight w:val="240"/>
            </w:trPr>
            <w:sdt>
              <w:sdtPr>
                <w:tag w:val="_PLD_77996810365c481083bed5a411822288"/>
                <w:id w:val="609470442"/>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B637B2" w:rsidRDefault="008F04CF" w:rsidP="00B637B2">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sdtContent>
            </w:sdt>
            <w:tc>
              <w:tcPr>
                <w:tcW w:w="944"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r>
          <w:tr w:rsidR="00B637B2" w:rsidTr="00B637B2">
            <w:trPr>
              <w:trHeight w:val="240"/>
            </w:trPr>
            <w:sdt>
              <w:sdtPr>
                <w:tag w:val="_PLD_7417bbdf88f74ca7abe6826af039046b"/>
                <w:id w:val="-834761010"/>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B637B2" w:rsidRDefault="008F04CF" w:rsidP="00B637B2">
                    <w:pPr>
                      <w:outlineLvl w:val="2"/>
                      <w:rPr>
                        <w:rFonts w:cs="Cambria"/>
                        <w:szCs w:val="21"/>
                      </w:rPr>
                    </w:pPr>
                    <w:r>
                      <w:rPr>
                        <w:rFonts w:cs="Cambria" w:hint="eastAsia"/>
                        <w:szCs w:val="21"/>
                      </w:rPr>
                      <w:t>（</w:t>
                    </w:r>
                    <w:r>
                      <w:rPr>
                        <w:rFonts w:cs="Cambria"/>
                        <w:szCs w:val="21"/>
                      </w:rPr>
                      <w:t>3</w:t>
                    </w:r>
                    <w:r>
                      <w:rPr>
                        <w:rFonts w:cs="Cambria" w:hint="eastAsia"/>
                        <w:szCs w:val="21"/>
                      </w:rPr>
                      <w:t>）衍生金融资产</w:t>
                    </w:r>
                  </w:p>
                </w:tc>
              </w:sdtContent>
            </w:sdt>
            <w:tc>
              <w:tcPr>
                <w:tcW w:w="944"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r>
          <w:tr w:rsidR="00B637B2" w:rsidTr="00B637B2">
            <w:trPr>
              <w:trHeight w:val="799"/>
            </w:trPr>
            <w:tc>
              <w:tcPr>
                <w:tcW w:w="1339" w:type="pct"/>
                <w:tcBorders>
                  <w:top w:val="single" w:sz="4" w:space="0" w:color="auto"/>
                  <w:left w:val="single" w:sz="4" w:space="0" w:color="auto"/>
                  <w:bottom w:val="single" w:sz="4" w:space="0" w:color="auto"/>
                  <w:right w:val="single" w:sz="4" w:space="0" w:color="auto"/>
                </w:tcBorders>
                <w:shd w:val="clear" w:color="auto" w:fill="auto"/>
              </w:tcPr>
              <w:sdt>
                <w:sdtPr>
                  <w:rPr>
                    <w:rFonts w:cs="Cambria"/>
                    <w:szCs w:val="21"/>
                  </w:rPr>
                  <w:tag w:val="_PLD_8f2dd6e8cd7d4b6f8a25ea84b5be71b1"/>
                  <w:id w:val="-959728490"/>
                  <w:lock w:val="sdtLocked"/>
                </w:sdtPr>
                <w:sdtEndPr>
                  <w:rPr>
                    <w:rFonts w:hint="eastAsia"/>
                  </w:rPr>
                </w:sdtEndPr>
                <w:sdtContent>
                  <w:p w:rsidR="00B637B2" w:rsidRDefault="008F04CF" w:rsidP="00B637B2">
                    <w:pPr>
                      <w:outlineLvl w:val="2"/>
                      <w:rPr>
                        <w:rFonts w:cs="Cambria"/>
                        <w:szCs w:val="21"/>
                      </w:rPr>
                    </w:pPr>
                    <w:r>
                      <w:rPr>
                        <w:rFonts w:cs="Cambria"/>
                        <w:szCs w:val="21"/>
                      </w:rPr>
                      <w:t xml:space="preserve">2. </w:t>
                    </w:r>
                    <w:r>
                      <w:rPr>
                        <w:rFonts w:cs="Cambria" w:hint="eastAsia"/>
                        <w:szCs w:val="21"/>
                      </w:rPr>
                      <w:t>指定以公允价值计量且其变动计入当期损益的金融资产</w:t>
                    </w:r>
                  </w:p>
                </w:sdtContent>
              </w:sdt>
            </w:tc>
            <w:tc>
              <w:tcPr>
                <w:tcW w:w="944"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r>
          <w:tr w:rsidR="00B637B2" w:rsidTr="00B637B2">
            <w:trPr>
              <w:trHeight w:val="240"/>
            </w:trPr>
            <w:sdt>
              <w:sdtPr>
                <w:tag w:val="_PLD_bd6d0cf9e96e4bebb25f8dcdf55d029f"/>
                <w:id w:val="989212564"/>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B637B2" w:rsidRDefault="008F04CF" w:rsidP="00B637B2">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sdtContent>
            </w:sdt>
            <w:tc>
              <w:tcPr>
                <w:tcW w:w="944"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r>
          <w:tr w:rsidR="00B637B2" w:rsidTr="00B637B2">
            <w:trPr>
              <w:trHeight w:val="240"/>
            </w:trPr>
            <w:sdt>
              <w:sdtPr>
                <w:tag w:val="_PLD_9cde8bbc3a5e4a2a8e2cc318e0a0d8d4"/>
                <w:id w:val="-1628242286"/>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B637B2" w:rsidRDefault="008F04CF" w:rsidP="00B637B2">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sdtContent>
            </w:sdt>
            <w:tc>
              <w:tcPr>
                <w:tcW w:w="944"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r>
          <w:tr w:rsidR="00B637B2" w:rsidTr="00B637B2">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0ef7eb1654ce4d2395b91be52c1c05a7"/>
                  <w:id w:val="-1677564676"/>
                  <w:lock w:val="sdtLocked"/>
                </w:sdtPr>
                <w:sdtEndPr>
                  <w:rPr>
                    <w:shd w:val="solid" w:color="FFFFFF" w:fill="auto"/>
                  </w:rPr>
                </w:sdtEndPr>
                <w:sdtContent>
                  <w:p w:rsidR="00B637B2" w:rsidRDefault="008F04CF" w:rsidP="00B637B2">
                    <w:pPr>
                      <w:outlineLvl w:val="2"/>
                    </w:pPr>
                    <w:r>
                      <w:rPr>
                        <w:rFonts w:hint="eastAsia"/>
                      </w:rPr>
                      <w:t>（二）</w:t>
                    </w:r>
                    <w:r>
                      <w:rPr>
                        <w:rFonts w:hint="eastAsia"/>
                        <w:shd w:val="solid" w:color="FFFFFF" w:fill="auto"/>
                      </w:rPr>
                      <w:t>其他债权投资</w:t>
                    </w:r>
                  </w:p>
                </w:sdtContent>
              </w:sdt>
            </w:tc>
            <w:tc>
              <w:tcPr>
                <w:tcW w:w="944"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r>
          <w:tr w:rsidR="00B637B2" w:rsidTr="00B637B2">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26c080e935a648bda25a9c513fb13567"/>
                  <w:id w:val="1702440366"/>
                  <w:lock w:val="sdtLocked"/>
                </w:sdtPr>
                <w:sdtEndPr>
                  <w:rPr>
                    <w:shd w:val="solid" w:color="FFFFFF" w:fill="auto"/>
                  </w:rPr>
                </w:sdtEndPr>
                <w:sdtContent>
                  <w:p w:rsidR="00B637B2" w:rsidRDefault="008F04CF" w:rsidP="00B637B2">
                    <w:pPr>
                      <w:outlineLvl w:val="2"/>
                    </w:pPr>
                    <w:r>
                      <w:rPr>
                        <w:rFonts w:hint="eastAsia"/>
                      </w:rPr>
                      <w:t>（三）</w:t>
                    </w:r>
                    <w:r>
                      <w:rPr>
                        <w:rFonts w:hint="eastAsia"/>
                        <w:shd w:val="solid" w:color="FFFFFF" w:fill="auto"/>
                      </w:rPr>
                      <w:t>其他权益工具投资</w:t>
                    </w:r>
                  </w:p>
                </w:sdtContent>
              </w:sdt>
            </w:tc>
            <w:tc>
              <w:tcPr>
                <w:tcW w:w="944" w:type="pct"/>
                <w:tcBorders>
                  <w:top w:val="single" w:sz="4" w:space="0" w:color="auto"/>
                  <w:left w:val="single" w:sz="4" w:space="0" w:color="auto"/>
                  <w:bottom w:val="single" w:sz="4" w:space="0" w:color="auto"/>
                  <w:right w:val="single" w:sz="4" w:space="0" w:color="auto"/>
                </w:tcBorders>
              </w:tcPr>
              <w:p w:rsidR="00B637B2" w:rsidRDefault="008F04CF" w:rsidP="00B637B2">
                <w:pPr>
                  <w:jc w:val="right"/>
                  <w:outlineLvl w:val="2"/>
                  <w:rPr>
                    <w:rFonts w:cs="Cambria"/>
                    <w:szCs w:val="21"/>
                  </w:rPr>
                </w:pPr>
                <w:r>
                  <w:t>186,955,478</w:t>
                </w:r>
              </w:p>
            </w:tc>
            <w:tc>
              <w:tcPr>
                <w:tcW w:w="922" w:type="pct"/>
                <w:tcBorders>
                  <w:top w:val="single" w:sz="4" w:space="0" w:color="auto"/>
                  <w:left w:val="single" w:sz="4" w:space="0" w:color="auto"/>
                  <w:bottom w:val="single" w:sz="4" w:space="0" w:color="auto"/>
                  <w:right w:val="single" w:sz="4" w:space="0" w:color="auto"/>
                </w:tcBorders>
              </w:tcPr>
              <w:p w:rsidR="00B637B2" w:rsidRDefault="008F04CF" w:rsidP="00B637B2">
                <w:pPr>
                  <w:jc w:val="right"/>
                  <w:outlineLvl w:val="2"/>
                  <w:rPr>
                    <w:rFonts w:cs="Cambria"/>
                    <w:szCs w:val="21"/>
                  </w:rPr>
                </w:pPr>
                <w:r>
                  <w:t>744,617,029</w:t>
                </w:r>
              </w:p>
            </w:tc>
            <w:tc>
              <w:tcPr>
                <w:tcW w:w="959"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rsidR="00B637B2" w:rsidRDefault="008F04CF" w:rsidP="00B637B2">
                <w:pPr>
                  <w:jc w:val="right"/>
                  <w:outlineLvl w:val="2"/>
                  <w:rPr>
                    <w:rFonts w:cs="Cambria"/>
                    <w:szCs w:val="21"/>
                  </w:rPr>
                </w:pPr>
                <w:r>
                  <w:t>931,572,507</w:t>
                </w:r>
              </w:p>
            </w:tc>
          </w:tr>
          <w:tr w:rsidR="00B637B2" w:rsidTr="00B637B2">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sdt>
                <w:sdtPr>
                  <w:rPr>
                    <w:rFonts w:cs="Cambria" w:hint="eastAsia"/>
                    <w:szCs w:val="21"/>
                  </w:rPr>
                  <w:tag w:val="_PLD_e521af2dbeb842efa65b7582d9470c19"/>
                  <w:id w:val="-939449327"/>
                  <w:lock w:val="sdtLocked"/>
                </w:sdtPr>
                <w:sdtEndPr>
                  <w:rPr>
                    <w:shd w:val="solid" w:color="FFFFFF" w:fill="auto"/>
                  </w:rPr>
                </w:sdtEndPr>
                <w:sdtContent>
                  <w:p w:rsidR="00B637B2" w:rsidRDefault="008F04CF" w:rsidP="00B637B2">
                    <w:pPr>
                      <w:outlineLvl w:val="2"/>
                      <w:rPr>
                        <w:rFonts w:cs="Cambria"/>
                        <w:szCs w:val="21"/>
                      </w:rPr>
                    </w:pPr>
                    <w:r>
                      <w:rPr>
                        <w:rFonts w:cs="Cambria" w:hint="eastAsia"/>
                        <w:szCs w:val="21"/>
                      </w:rPr>
                      <w:t>（四）</w:t>
                    </w:r>
                    <w:r>
                      <w:rPr>
                        <w:rFonts w:cs="Cambria" w:hint="eastAsia"/>
                        <w:szCs w:val="21"/>
                        <w:shd w:val="solid" w:color="FFFFFF" w:fill="auto"/>
                      </w:rPr>
                      <w:t>投资性房地产</w:t>
                    </w:r>
                  </w:p>
                </w:sdtContent>
              </w:sdt>
            </w:tc>
            <w:tc>
              <w:tcPr>
                <w:tcW w:w="944"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r>
          <w:tr w:rsidR="00B637B2" w:rsidTr="00B637B2">
            <w:trPr>
              <w:trHeight w:val="240"/>
            </w:trPr>
            <w:sdt>
              <w:sdtPr>
                <w:tag w:val="_PLD_57edf64645394a44a2d92d5afc4d538a"/>
                <w:id w:val="-426424864"/>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B637B2" w:rsidRDefault="008F04CF" w:rsidP="00B637B2">
                    <w:pPr>
                      <w:outlineLvl w:val="2"/>
                      <w:rPr>
                        <w:rFonts w:cs="Cambria"/>
                        <w:szCs w:val="21"/>
                      </w:rPr>
                    </w:pPr>
                    <w:r>
                      <w:rPr>
                        <w:rFonts w:cs="Cambria"/>
                        <w:szCs w:val="21"/>
                      </w:rPr>
                      <w:t>1.</w:t>
                    </w:r>
                    <w:r>
                      <w:rPr>
                        <w:rFonts w:cs="Cambria" w:hint="eastAsia"/>
                        <w:szCs w:val="21"/>
                      </w:rPr>
                      <w:t>出租用的土地使用权</w:t>
                    </w:r>
                  </w:p>
                </w:tc>
              </w:sdtContent>
            </w:sdt>
            <w:tc>
              <w:tcPr>
                <w:tcW w:w="944"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r>
          <w:tr w:rsidR="00B637B2" w:rsidTr="00B637B2">
            <w:trPr>
              <w:trHeight w:val="240"/>
            </w:trPr>
            <w:sdt>
              <w:sdtPr>
                <w:tag w:val="_PLD_6d74812087eb4d618df7ab958a1a93e7"/>
                <w:id w:val="56211515"/>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B637B2" w:rsidRDefault="008F04CF" w:rsidP="00B637B2">
                    <w:pPr>
                      <w:outlineLvl w:val="2"/>
                      <w:rPr>
                        <w:rFonts w:cs="Cambria"/>
                        <w:szCs w:val="21"/>
                      </w:rPr>
                    </w:pPr>
                    <w:r>
                      <w:rPr>
                        <w:rFonts w:cs="Cambria"/>
                        <w:szCs w:val="21"/>
                      </w:rPr>
                      <w:t>2.</w:t>
                    </w:r>
                    <w:r>
                      <w:rPr>
                        <w:rFonts w:cs="Cambria" w:hint="eastAsia"/>
                        <w:szCs w:val="21"/>
                      </w:rPr>
                      <w:t>出租的建筑物</w:t>
                    </w:r>
                  </w:p>
                </w:tc>
              </w:sdtContent>
            </w:sdt>
            <w:tc>
              <w:tcPr>
                <w:tcW w:w="944"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r>
          <w:tr w:rsidR="00B637B2" w:rsidTr="00B637B2">
            <w:trPr>
              <w:trHeight w:val="468"/>
            </w:trPr>
            <w:sdt>
              <w:sdtPr>
                <w:tag w:val="_PLD_cd8170692aa8491292e4c34925248dd8"/>
                <w:id w:val="194114123"/>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B637B2" w:rsidRDefault="008F04CF" w:rsidP="00B637B2">
                    <w:pPr>
                      <w:outlineLvl w:val="2"/>
                      <w:rPr>
                        <w:rFonts w:cs="Cambria"/>
                        <w:szCs w:val="21"/>
                      </w:rPr>
                    </w:pPr>
                    <w:r>
                      <w:rPr>
                        <w:rFonts w:cs="Cambria"/>
                        <w:szCs w:val="21"/>
                      </w:rPr>
                      <w:t>3.</w:t>
                    </w:r>
                    <w:r>
                      <w:rPr>
                        <w:rFonts w:cs="Cambria" w:hint="eastAsia"/>
                        <w:szCs w:val="21"/>
                      </w:rPr>
                      <w:t>持有并准备增值后转让的土地使用权</w:t>
                    </w:r>
                  </w:p>
                </w:tc>
              </w:sdtContent>
            </w:sdt>
            <w:tc>
              <w:tcPr>
                <w:tcW w:w="944"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r>
          <w:tr w:rsidR="00B637B2" w:rsidTr="00B637B2">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sdt>
                <w:sdtPr>
                  <w:rPr>
                    <w:rFonts w:cs="Cambria" w:hint="eastAsia"/>
                    <w:szCs w:val="21"/>
                  </w:rPr>
                  <w:tag w:val="_PLD_17df5add0fe54a5e960e67a648bdf930"/>
                  <w:id w:val="-2084130592"/>
                  <w:lock w:val="sdtLocked"/>
                </w:sdtPr>
                <w:sdtEndPr>
                  <w:rPr>
                    <w:shd w:val="solid" w:color="FFFFFF" w:fill="auto"/>
                  </w:rPr>
                </w:sdtEndPr>
                <w:sdtContent>
                  <w:p w:rsidR="00B637B2" w:rsidRDefault="008F04CF" w:rsidP="00B637B2">
                    <w:pPr>
                      <w:outlineLvl w:val="2"/>
                      <w:rPr>
                        <w:rFonts w:cs="Cambria"/>
                        <w:szCs w:val="21"/>
                      </w:rPr>
                    </w:pPr>
                    <w:r>
                      <w:rPr>
                        <w:rFonts w:cs="Cambria" w:hint="eastAsia"/>
                        <w:szCs w:val="21"/>
                      </w:rPr>
                      <w:t>（五）</w:t>
                    </w:r>
                    <w:r>
                      <w:rPr>
                        <w:rFonts w:cs="Cambria" w:hint="eastAsia"/>
                        <w:szCs w:val="21"/>
                        <w:shd w:val="solid" w:color="FFFFFF" w:fill="auto"/>
                      </w:rPr>
                      <w:t>生物资产</w:t>
                    </w:r>
                  </w:p>
                </w:sdtContent>
              </w:sdt>
            </w:tc>
            <w:tc>
              <w:tcPr>
                <w:tcW w:w="944"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r>
          <w:tr w:rsidR="00B637B2" w:rsidTr="00B637B2">
            <w:trPr>
              <w:trHeight w:val="240"/>
            </w:trPr>
            <w:sdt>
              <w:sdtPr>
                <w:tag w:val="_PLD_a56923a5772c443c8378f09a59e35325"/>
                <w:id w:val="-671421501"/>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B637B2" w:rsidRDefault="008F04CF" w:rsidP="00B637B2">
                    <w:pPr>
                      <w:outlineLvl w:val="2"/>
                      <w:rPr>
                        <w:rFonts w:cs="Cambria"/>
                        <w:szCs w:val="21"/>
                      </w:rPr>
                    </w:pPr>
                    <w:r>
                      <w:rPr>
                        <w:rFonts w:cs="Cambria"/>
                        <w:szCs w:val="21"/>
                      </w:rPr>
                      <w:t>1.</w:t>
                    </w:r>
                    <w:r>
                      <w:rPr>
                        <w:rFonts w:cs="Cambria" w:hint="eastAsia"/>
                        <w:szCs w:val="21"/>
                      </w:rPr>
                      <w:t>消耗性生物资产</w:t>
                    </w:r>
                  </w:p>
                </w:tc>
              </w:sdtContent>
            </w:sdt>
            <w:tc>
              <w:tcPr>
                <w:tcW w:w="944"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r>
          <w:tr w:rsidR="00B637B2" w:rsidTr="00B637B2">
            <w:trPr>
              <w:trHeight w:val="240"/>
            </w:trPr>
            <w:sdt>
              <w:sdtPr>
                <w:tag w:val="_PLD_255f970805f24da69438fbd6d7d1a094"/>
                <w:id w:val="178331269"/>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B637B2" w:rsidRDefault="008F04CF" w:rsidP="00B637B2">
                    <w:pPr>
                      <w:outlineLvl w:val="2"/>
                      <w:rPr>
                        <w:rFonts w:cs="Cambria"/>
                        <w:szCs w:val="21"/>
                      </w:rPr>
                    </w:pPr>
                    <w:r>
                      <w:rPr>
                        <w:rFonts w:cs="Cambria"/>
                        <w:szCs w:val="21"/>
                      </w:rPr>
                      <w:t>2.</w:t>
                    </w:r>
                    <w:r>
                      <w:rPr>
                        <w:rFonts w:cs="Cambria" w:hint="eastAsia"/>
                        <w:szCs w:val="21"/>
                      </w:rPr>
                      <w:t>生产性生物资产</w:t>
                    </w:r>
                  </w:p>
                </w:tc>
              </w:sdtContent>
            </w:sdt>
            <w:tc>
              <w:tcPr>
                <w:tcW w:w="944"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r>
          <w:sdt>
            <w:sdtPr>
              <w:rPr>
                <w:rFonts w:asciiTheme="minorHAnsi" w:eastAsiaTheme="minorEastAsia" w:hAnsiTheme="minorHAnsi" w:cs="Cambria"/>
                <w:kern w:val="2"/>
                <w:szCs w:val="21"/>
              </w:rPr>
              <w:alias w:val="持续以公允价值计量的资产总额明细"/>
              <w:tag w:val="_TUP_e78f47dfe89a44bda0f59b05bd53aa70"/>
              <w:id w:val="790402202"/>
              <w:lock w:val="sdtLocked"/>
            </w:sdtPr>
            <w:sdtContent>
              <w:tr w:rsidR="00B637B2" w:rsidTr="00B637B2">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tcPr>
                  <w:p w:rsidR="00B637B2" w:rsidRDefault="00B637B2" w:rsidP="00B637B2">
                    <w:pPr>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r>
            </w:sdtContent>
          </w:sdt>
          <w:sdt>
            <w:sdtPr>
              <w:rPr>
                <w:rFonts w:asciiTheme="minorHAnsi" w:eastAsiaTheme="minorEastAsia" w:hAnsiTheme="minorHAnsi" w:cs="Cambria"/>
                <w:kern w:val="2"/>
                <w:szCs w:val="21"/>
              </w:rPr>
              <w:alias w:val="持续以公允价值计量的资产总额明细"/>
              <w:tag w:val="_TUP_e78f47dfe89a44bda0f59b05bd53aa70"/>
              <w:id w:val="1240984563"/>
              <w:lock w:val="sdtLocked"/>
            </w:sdtPr>
            <w:sdtContent>
              <w:tr w:rsidR="00B637B2" w:rsidTr="00B637B2">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tcPr>
                  <w:p w:rsidR="00B637B2" w:rsidRDefault="00B637B2" w:rsidP="00B637B2">
                    <w:pPr>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r>
            </w:sdtContent>
          </w:sdt>
          <w:tr w:rsidR="00B637B2" w:rsidTr="00B637B2">
            <w:trPr>
              <w:trHeight w:val="468"/>
            </w:trPr>
            <w:sdt>
              <w:sdtPr>
                <w:tag w:val="_PLD_5f085d8452914c828c6cb5c210cfc97c"/>
                <w:id w:val="892863490"/>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B637B2" w:rsidRDefault="008F04CF" w:rsidP="00B637B2">
                    <w:pPr>
                      <w:outlineLvl w:val="2"/>
                      <w:rPr>
                        <w:rFonts w:cs="Cambria"/>
                        <w:b/>
                        <w:szCs w:val="21"/>
                      </w:rPr>
                    </w:pPr>
                    <w:r>
                      <w:rPr>
                        <w:rFonts w:cs="Cambria" w:hint="eastAsia"/>
                        <w:b/>
                        <w:szCs w:val="21"/>
                      </w:rPr>
                      <w:t>持续以公允价值计量的资产总额</w:t>
                    </w:r>
                  </w:p>
                </w:tc>
              </w:sdtContent>
            </w:sdt>
            <w:tc>
              <w:tcPr>
                <w:tcW w:w="944" w:type="pct"/>
                <w:tcBorders>
                  <w:top w:val="single" w:sz="4" w:space="0" w:color="auto"/>
                  <w:left w:val="single" w:sz="4" w:space="0" w:color="auto"/>
                  <w:bottom w:val="single" w:sz="4" w:space="0" w:color="auto"/>
                  <w:right w:val="single" w:sz="4" w:space="0" w:color="auto"/>
                </w:tcBorders>
              </w:tcPr>
              <w:p w:rsidR="00B637B2" w:rsidRDefault="008F04CF" w:rsidP="00B637B2">
                <w:pPr>
                  <w:jc w:val="right"/>
                  <w:outlineLvl w:val="2"/>
                  <w:rPr>
                    <w:rFonts w:cs="Cambria"/>
                    <w:szCs w:val="21"/>
                  </w:rPr>
                </w:pPr>
                <w:r w:rsidRPr="00760E47">
                  <w:rPr>
                    <w:rFonts w:cs="Cambria"/>
                    <w:szCs w:val="21"/>
                  </w:rPr>
                  <w:t>186,955,478</w:t>
                </w:r>
              </w:p>
            </w:tc>
            <w:tc>
              <w:tcPr>
                <w:tcW w:w="922" w:type="pct"/>
                <w:tcBorders>
                  <w:top w:val="single" w:sz="4" w:space="0" w:color="auto"/>
                  <w:left w:val="single" w:sz="4" w:space="0" w:color="auto"/>
                  <w:bottom w:val="single" w:sz="4" w:space="0" w:color="auto"/>
                  <w:right w:val="single" w:sz="4" w:space="0" w:color="auto"/>
                </w:tcBorders>
              </w:tcPr>
              <w:p w:rsidR="00B637B2" w:rsidRDefault="008F04CF" w:rsidP="00B637B2">
                <w:pPr>
                  <w:jc w:val="right"/>
                  <w:outlineLvl w:val="2"/>
                  <w:rPr>
                    <w:rFonts w:cs="Cambria"/>
                    <w:szCs w:val="21"/>
                  </w:rPr>
                </w:pPr>
                <w:r w:rsidRPr="00760E47">
                  <w:rPr>
                    <w:rFonts w:cs="Cambria"/>
                    <w:szCs w:val="21"/>
                  </w:rPr>
                  <w:t>1,966,252,910</w:t>
                </w:r>
              </w:p>
            </w:tc>
            <w:tc>
              <w:tcPr>
                <w:tcW w:w="959"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rsidR="00B637B2" w:rsidRDefault="008F04CF" w:rsidP="00B637B2">
                <w:pPr>
                  <w:jc w:val="right"/>
                  <w:outlineLvl w:val="2"/>
                  <w:rPr>
                    <w:rFonts w:cs="Cambria"/>
                    <w:szCs w:val="21"/>
                  </w:rPr>
                </w:pPr>
                <w:r w:rsidRPr="00760E47">
                  <w:rPr>
                    <w:rFonts w:cs="Cambria"/>
                    <w:szCs w:val="21"/>
                  </w:rPr>
                  <w:t>2,153,208,388</w:t>
                </w:r>
              </w:p>
            </w:tc>
          </w:tr>
          <w:tr w:rsidR="00B637B2" w:rsidTr="00B637B2">
            <w:trPr>
              <w:trHeight w:val="296"/>
            </w:trPr>
            <w:tc>
              <w:tcPr>
                <w:tcW w:w="1339" w:type="pct"/>
                <w:tcBorders>
                  <w:top w:val="single" w:sz="4" w:space="0" w:color="auto"/>
                  <w:left w:val="single" w:sz="4" w:space="0" w:color="auto"/>
                  <w:bottom w:val="single" w:sz="4" w:space="0" w:color="auto"/>
                  <w:right w:val="single" w:sz="4" w:space="0" w:color="auto"/>
                </w:tcBorders>
                <w:shd w:val="clear" w:color="auto" w:fill="auto"/>
              </w:tcPr>
              <w:sdt>
                <w:sdtPr>
                  <w:rPr>
                    <w:rFonts w:cs="Cambria" w:hint="eastAsia"/>
                    <w:szCs w:val="21"/>
                  </w:rPr>
                  <w:tag w:val="_PLD_cc157d5ce186429f9c96a03dc3e4daa5"/>
                  <w:id w:val="333568991"/>
                  <w:lock w:val="sdtLocked"/>
                </w:sdtPr>
                <w:sdtEndPr>
                  <w:rPr>
                    <w:shd w:val="solid" w:color="FFFFFF" w:fill="auto"/>
                  </w:rPr>
                </w:sdtEndPr>
                <w:sdtContent>
                  <w:p w:rsidR="00B637B2" w:rsidRDefault="008F04CF" w:rsidP="00B637B2">
                    <w:pPr>
                      <w:outlineLvl w:val="2"/>
                      <w:rPr>
                        <w:rFonts w:cs="Cambria"/>
                        <w:szCs w:val="21"/>
                      </w:rPr>
                    </w:pPr>
                    <w:r>
                      <w:rPr>
                        <w:rFonts w:cs="Cambria" w:hint="eastAsia"/>
                        <w:szCs w:val="21"/>
                      </w:rPr>
                      <w:t>（六）</w:t>
                    </w:r>
                    <w:r>
                      <w:rPr>
                        <w:rFonts w:cs="Cambria" w:hint="eastAsia"/>
                        <w:szCs w:val="21"/>
                        <w:shd w:val="solid" w:color="FFFFFF" w:fill="auto"/>
                      </w:rPr>
                      <w:t>交易性金融负债</w:t>
                    </w:r>
                  </w:p>
                </w:sdtContent>
              </w:sdt>
            </w:tc>
            <w:tc>
              <w:tcPr>
                <w:tcW w:w="944" w:type="pct"/>
                <w:tcBorders>
                  <w:top w:val="single" w:sz="4" w:space="0" w:color="auto"/>
                  <w:left w:val="single" w:sz="4" w:space="0" w:color="auto"/>
                  <w:bottom w:val="single" w:sz="4" w:space="0" w:color="auto"/>
                  <w:right w:val="single" w:sz="4" w:space="0" w:color="auto"/>
                </w:tcBorders>
              </w:tcPr>
              <w:p w:rsidR="00B637B2" w:rsidRDefault="008F04CF" w:rsidP="00B637B2">
                <w:pPr>
                  <w:jc w:val="right"/>
                  <w:outlineLvl w:val="2"/>
                  <w:rPr>
                    <w:rFonts w:cs="Cambria"/>
                    <w:szCs w:val="21"/>
                  </w:rPr>
                </w:pPr>
                <w:r w:rsidRPr="00760E47">
                  <w:rPr>
                    <w:rFonts w:cs="Cambria"/>
                    <w:szCs w:val="21"/>
                  </w:rPr>
                  <w:t>968,641</w:t>
                </w:r>
              </w:p>
            </w:tc>
            <w:tc>
              <w:tcPr>
                <w:tcW w:w="922"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rsidR="00B637B2" w:rsidRDefault="008F04CF" w:rsidP="00B637B2">
                <w:pPr>
                  <w:jc w:val="right"/>
                  <w:outlineLvl w:val="2"/>
                  <w:rPr>
                    <w:rFonts w:cs="Cambria"/>
                    <w:szCs w:val="21"/>
                  </w:rPr>
                </w:pPr>
                <w:r w:rsidRPr="00760E47">
                  <w:rPr>
                    <w:rFonts w:cs="Cambria"/>
                    <w:szCs w:val="21"/>
                  </w:rPr>
                  <w:t>968,641</w:t>
                </w:r>
              </w:p>
            </w:tc>
          </w:tr>
          <w:tr w:rsidR="00B637B2" w:rsidTr="00B637B2">
            <w:trPr>
              <w:trHeight w:val="296"/>
            </w:trPr>
            <w:tc>
              <w:tcPr>
                <w:tcW w:w="1339" w:type="pct"/>
                <w:tcBorders>
                  <w:top w:val="single" w:sz="4" w:space="0" w:color="auto"/>
                  <w:left w:val="single" w:sz="4" w:space="0" w:color="auto"/>
                  <w:bottom w:val="single" w:sz="4" w:space="0" w:color="auto"/>
                  <w:right w:val="single" w:sz="4" w:space="0" w:color="auto"/>
                </w:tcBorders>
                <w:shd w:val="clear" w:color="auto" w:fill="auto"/>
              </w:tcPr>
              <w:sdt>
                <w:sdtPr>
                  <w:rPr>
                    <w:rFonts w:cs="Cambria"/>
                    <w:szCs w:val="21"/>
                  </w:rPr>
                  <w:tag w:val="_PLD_eb6384ebff854706abc6b9d2b2078934"/>
                  <w:id w:val="1407179644"/>
                  <w:lock w:val="sdtLocked"/>
                </w:sdtPr>
                <w:sdtContent>
                  <w:p w:rsidR="00B637B2" w:rsidRDefault="008F04CF" w:rsidP="00B637B2">
                    <w:pPr>
                      <w:outlineLvl w:val="2"/>
                      <w:rPr>
                        <w:rFonts w:cs="Cambria"/>
                        <w:szCs w:val="21"/>
                      </w:rPr>
                    </w:pPr>
                    <w:r>
                      <w:rPr>
                        <w:rFonts w:cs="Cambria"/>
                        <w:szCs w:val="21"/>
                      </w:rPr>
                      <w:t>1.以公允价值计量且变动计入当期损益的金融负债</w:t>
                    </w:r>
                  </w:p>
                </w:sdtContent>
              </w:sdt>
            </w:tc>
            <w:tc>
              <w:tcPr>
                <w:tcW w:w="944"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r>
          <w:tr w:rsidR="00B637B2" w:rsidTr="00B637B2">
            <w:trPr>
              <w:trHeight w:val="240"/>
            </w:trPr>
            <w:sdt>
              <w:sdtPr>
                <w:tag w:val="_PLD_ab3489e8472645f1a23a90c81a64fec3"/>
                <w:id w:val="2075380612"/>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B637B2" w:rsidRDefault="008F04CF" w:rsidP="00B637B2">
                    <w:pPr>
                      <w:outlineLvl w:val="2"/>
                      <w:rPr>
                        <w:rFonts w:cs="Cambria"/>
                        <w:szCs w:val="21"/>
                      </w:rPr>
                    </w:pPr>
                    <w:r>
                      <w:rPr>
                        <w:rFonts w:cs="Cambria" w:hint="eastAsia"/>
                        <w:szCs w:val="21"/>
                      </w:rPr>
                      <w:t>其中：发行的交易性债券</w:t>
                    </w:r>
                  </w:p>
                </w:tc>
              </w:sdtContent>
            </w:sdt>
            <w:tc>
              <w:tcPr>
                <w:tcW w:w="944"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rsidR="00B637B2" w:rsidRDefault="00B637B2" w:rsidP="00B637B2">
                <w:pPr>
                  <w:jc w:val="right"/>
                </w:pPr>
              </w:p>
            </w:tc>
            <w:tc>
              <w:tcPr>
                <w:tcW w:w="959" w:type="pct"/>
                <w:tcBorders>
                  <w:top w:val="single" w:sz="4" w:space="0" w:color="auto"/>
                  <w:left w:val="single" w:sz="4" w:space="0" w:color="auto"/>
                  <w:bottom w:val="single" w:sz="4" w:space="0" w:color="auto"/>
                  <w:right w:val="single" w:sz="4" w:space="0" w:color="auto"/>
                </w:tcBorders>
              </w:tcPr>
              <w:p w:rsidR="00B637B2" w:rsidRDefault="00B637B2" w:rsidP="00B637B2">
                <w:pPr>
                  <w:jc w:val="right"/>
                </w:pPr>
              </w:p>
            </w:tc>
            <w:tc>
              <w:tcPr>
                <w:tcW w:w="836" w:type="pct"/>
                <w:tcBorders>
                  <w:top w:val="single" w:sz="4" w:space="0" w:color="auto"/>
                  <w:left w:val="single" w:sz="4" w:space="0" w:color="auto"/>
                  <w:bottom w:val="single" w:sz="4" w:space="0" w:color="auto"/>
                  <w:right w:val="single" w:sz="4" w:space="0" w:color="auto"/>
                </w:tcBorders>
              </w:tcPr>
              <w:p w:rsidR="00B637B2" w:rsidRDefault="00B637B2" w:rsidP="00B637B2">
                <w:pPr>
                  <w:jc w:val="right"/>
                </w:pPr>
              </w:p>
            </w:tc>
          </w:tr>
          <w:tr w:rsidR="00B637B2" w:rsidTr="00B637B2">
            <w:trPr>
              <w:trHeight w:val="286"/>
            </w:trPr>
            <w:sdt>
              <w:sdtPr>
                <w:tag w:val="_PLD_78b2b3a16d0b40e8b29ab580ecc53877"/>
                <w:id w:val="-459799446"/>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B637B2" w:rsidRDefault="008F04CF" w:rsidP="00B637B2">
                    <w:pPr>
                      <w:tabs>
                        <w:tab w:val="left" w:pos="432"/>
                        <w:tab w:val="center" w:pos="5630"/>
                        <w:tab w:val="center" w:pos="7430"/>
                      </w:tabs>
                      <w:ind w:firstLineChars="300" w:firstLine="630"/>
                      <w:rPr>
                        <w:rFonts w:cs="Cambria"/>
                        <w:szCs w:val="21"/>
                      </w:rPr>
                    </w:pPr>
                    <w:r>
                      <w:rPr>
                        <w:rFonts w:cs="Cambria" w:hint="eastAsia"/>
                        <w:szCs w:val="21"/>
                      </w:rPr>
                      <w:t>衍生金融负债</w:t>
                    </w:r>
                  </w:p>
                </w:tc>
              </w:sdtContent>
            </w:sdt>
            <w:tc>
              <w:tcPr>
                <w:tcW w:w="944" w:type="pct"/>
                <w:tcBorders>
                  <w:top w:val="single" w:sz="4" w:space="0" w:color="auto"/>
                  <w:left w:val="single" w:sz="4" w:space="0" w:color="auto"/>
                  <w:bottom w:val="single" w:sz="4" w:space="0" w:color="auto"/>
                  <w:right w:val="single" w:sz="4" w:space="0" w:color="auto"/>
                </w:tcBorders>
              </w:tcPr>
              <w:p w:rsidR="00B637B2" w:rsidRDefault="008F04CF" w:rsidP="00B637B2">
                <w:pPr>
                  <w:jc w:val="right"/>
                  <w:outlineLvl w:val="2"/>
                  <w:rPr>
                    <w:rFonts w:cs="Cambria"/>
                    <w:szCs w:val="21"/>
                  </w:rPr>
                </w:pPr>
                <w:r w:rsidRPr="00760E47">
                  <w:rPr>
                    <w:rFonts w:cs="Cambria"/>
                    <w:szCs w:val="21"/>
                  </w:rPr>
                  <w:t>968,641</w:t>
                </w:r>
              </w:p>
            </w:tc>
            <w:tc>
              <w:tcPr>
                <w:tcW w:w="922"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rsidR="00B637B2" w:rsidRDefault="008F04CF" w:rsidP="00B637B2">
                <w:pPr>
                  <w:jc w:val="right"/>
                  <w:outlineLvl w:val="2"/>
                  <w:rPr>
                    <w:rFonts w:cs="Cambria"/>
                    <w:szCs w:val="21"/>
                  </w:rPr>
                </w:pPr>
                <w:r w:rsidRPr="00760E47">
                  <w:rPr>
                    <w:rFonts w:cs="Cambria"/>
                    <w:szCs w:val="21"/>
                  </w:rPr>
                  <w:t>968,641</w:t>
                </w:r>
              </w:p>
            </w:tc>
          </w:tr>
          <w:tr w:rsidR="00B637B2" w:rsidTr="00B637B2">
            <w:trPr>
              <w:trHeight w:val="284"/>
            </w:trPr>
            <w:sdt>
              <w:sdtPr>
                <w:tag w:val="_PLD_6e5dd1c748b04c09b7a17c31799de512"/>
                <w:id w:val="-1516141500"/>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B637B2" w:rsidRDefault="008F04CF" w:rsidP="00B637B2">
                    <w:pPr>
                      <w:tabs>
                        <w:tab w:val="left" w:pos="432"/>
                        <w:tab w:val="center" w:pos="5630"/>
                        <w:tab w:val="center" w:pos="7430"/>
                      </w:tabs>
                      <w:ind w:firstLineChars="300" w:firstLine="630"/>
                      <w:rPr>
                        <w:rFonts w:cs="Cambria"/>
                        <w:szCs w:val="21"/>
                      </w:rPr>
                    </w:pPr>
                    <w:r>
                      <w:rPr>
                        <w:rFonts w:cs="Cambria" w:hint="eastAsia"/>
                        <w:szCs w:val="21"/>
                      </w:rPr>
                      <w:t>其他</w:t>
                    </w:r>
                  </w:p>
                </w:tc>
              </w:sdtContent>
            </w:sdt>
            <w:tc>
              <w:tcPr>
                <w:tcW w:w="944"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r>
          <w:tr w:rsidR="00B637B2" w:rsidTr="00B637B2">
            <w:trPr>
              <w:trHeight w:val="468"/>
            </w:trPr>
            <w:tc>
              <w:tcPr>
                <w:tcW w:w="1339" w:type="pct"/>
                <w:tcBorders>
                  <w:top w:val="single" w:sz="4" w:space="0" w:color="auto"/>
                  <w:left w:val="single" w:sz="4" w:space="0" w:color="auto"/>
                  <w:bottom w:val="single" w:sz="4" w:space="0" w:color="auto"/>
                  <w:right w:val="single" w:sz="4" w:space="0" w:color="auto"/>
                </w:tcBorders>
                <w:shd w:val="clear" w:color="auto" w:fill="auto"/>
              </w:tcPr>
              <w:p w:rsidR="00B637B2" w:rsidRDefault="000D0A99" w:rsidP="00B637B2">
                <w:pPr>
                  <w:outlineLvl w:val="2"/>
                  <w:rPr>
                    <w:rFonts w:cs="Cambria"/>
                    <w:szCs w:val="21"/>
                  </w:rPr>
                </w:pPr>
                <w:sdt>
                  <w:sdtPr>
                    <w:rPr>
                      <w:rFonts w:cs="Cambria" w:hint="eastAsia"/>
                      <w:szCs w:val="21"/>
                    </w:rPr>
                    <w:tag w:val="_PLD_0b3835804c874ab6ada0c339f3ba564e"/>
                    <w:id w:val="-2130620769"/>
                    <w:lock w:val="sdtLocked"/>
                  </w:sdtPr>
                  <w:sdtContent>
                    <w:r w:rsidR="008F04CF">
                      <w:rPr>
                        <w:rFonts w:cs="Cambria" w:hint="eastAsia"/>
                        <w:szCs w:val="21"/>
                      </w:rPr>
                      <w:t>2.指定为以公允价值计量且变动计入当期损益的金融负债</w:t>
                    </w:r>
                  </w:sdtContent>
                </w:sdt>
              </w:p>
            </w:tc>
            <w:tc>
              <w:tcPr>
                <w:tcW w:w="944"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r>
          <w:sdt>
            <w:sdtPr>
              <w:rPr>
                <w:rFonts w:asciiTheme="minorHAnsi" w:eastAsiaTheme="minorEastAsia" w:hAnsiTheme="minorHAnsi" w:cs="Cambria"/>
                <w:kern w:val="2"/>
                <w:szCs w:val="21"/>
              </w:rPr>
              <w:alias w:val="持续以公允价值计量的负债总额明细"/>
              <w:tag w:val="_TUP_172ed93d1efa4937b93762fbf0b55638"/>
              <w:id w:val="-2033024494"/>
              <w:lock w:val="sdtLocked"/>
            </w:sdtPr>
            <w:sdtContent>
              <w:tr w:rsidR="00B637B2" w:rsidTr="00B637B2">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tcPr>
                  <w:p w:rsidR="00B637B2" w:rsidRDefault="00B637B2" w:rsidP="00B637B2">
                    <w:pPr>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r>
            </w:sdtContent>
          </w:sdt>
          <w:sdt>
            <w:sdtPr>
              <w:rPr>
                <w:rFonts w:asciiTheme="minorHAnsi" w:eastAsiaTheme="minorEastAsia" w:hAnsiTheme="minorHAnsi" w:cs="Cambria"/>
                <w:kern w:val="2"/>
                <w:szCs w:val="21"/>
              </w:rPr>
              <w:alias w:val="持续以公允价值计量的负债总额明细"/>
              <w:tag w:val="_TUP_172ed93d1efa4937b93762fbf0b55638"/>
              <w:id w:val="1179158530"/>
              <w:lock w:val="sdtLocked"/>
            </w:sdtPr>
            <w:sdtContent>
              <w:tr w:rsidR="00B637B2" w:rsidTr="00B637B2">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tcPr>
                  <w:p w:rsidR="00B637B2" w:rsidRDefault="00B637B2" w:rsidP="00B637B2">
                    <w:pPr>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r>
            </w:sdtContent>
          </w:sdt>
          <w:tr w:rsidR="00B637B2" w:rsidTr="00B637B2">
            <w:trPr>
              <w:trHeight w:val="468"/>
            </w:trPr>
            <w:sdt>
              <w:sdtPr>
                <w:tag w:val="_PLD_55f0f867d07f4493bbf5709a51eefe65"/>
                <w:id w:val="504555500"/>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B637B2" w:rsidRDefault="008F04CF" w:rsidP="00B637B2">
                    <w:pPr>
                      <w:outlineLvl w:val="2"/>
                      <w:rPr>
                        <w:rFonts w:cs="Cambria"/>
                        <w:b/>
                        <w:szCs w:val="21"/>
                      </w:rPr>
                    </w:pPr>
                    <w:r>
                      <w:rPr>
                        <w:rFonts w:cs="Cambria" w:hint="eastAsia"/>
                        <w:b/>
                        <w:szCs w:val="21"/>
                      </w:rPr>
                      <w:t>持续以公允价值计量的负债总额</w:t>
                    </w:r>
                  </w:p>
                </w:tc>
              </w:sdtContent>
            </w:sdt>
            <w:tc>
              <w:tcPr>
                <w:tcW w:w="944" w:type="pct"/>
                <w:tcBorders>
                  <w:top w:val="single" w:sz="4" w:space="0" w:color="auto"/>
                  <w:left w:val="single" w:sz="4" w:space="0" w:color="auto"/>
                  <w:bottom w:val="single" w:sz="4" w:space="0" w:color="auto"/>
                  <w:right w:val="single" w:sz="4" w:space="0" w:color="auto"/>
                </w:tcBorders>
              </w:tcPr>
              <w:p w:rsidR="00B637B2" w:rsidRDefault="008F04CF" w:rsidP="00B637B2">
                <w:pPr>
                  <w:jc w:val="right"/>
                  <w:outlineLvl w:val="2"/>
                  <w:rPr>
                    <w:rFonts w:cs="Cambria"/>
                    <w:szCs w:val="21"/>
                  </w:rPr>
                </w:pPr>
                <w:r w:rsidRPr="00760E47">
                  <w:rPr>
                    <w:rFonts w:cs="Cambria"/>
                    <w:szCs w:val="21"/>
                  </w:rPr>
                  <w:t>968,641</w:t>
                </w:r>
              </w:p>
            </w:tc>
            <w:tc>
              <w:tcPr>
                <w:tcW w:w="922"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rsidR="00B637B2" w:rsidRDefault="00B637B2" w:rsidP="00B637B2">
                <w:pPr>
                  <w:tabs>
                    <w:tab w:val="center" w:pos="824"/>
                    <w:tab w:val="right" w:pos="1649"/>
                  </w:tabs>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rsidR="00B637B2" w:rsidRDefault="008F04CF" w:rsidP="00B637B2">
                <w:pPr>
                  <w:jc w:val="right"/>
                  <w:outlineLvl w:val="2"/>
                  <w:rPr>
                    <w:rFonts w:cs="Cambria"/>
                    <w:szCs w:val="21"/>
                  </w:rPr>
                </w:pPr>
                <w:r w:rsidRPr="00760E47">
                  <w:rPr>
                    <w:rFonts w:cs="Cambria"/>
                    <w:szCs w:val="21"/>
                  </w:rPr>
                  <w:t>968,641</w:t>
                </w:r>
              </w:p>
            </w:tc>
          </w:tr>
          <w:tr w:rsidR="00B637B2" w:rsidTr="00B637B2">
            <w:trPr>
              <w:trHeight w:val="240"/>
            </w:trPr>
            <w:sdt>
              <w:sdtPr>
                <w:tag w:val="_PLD_4459ed4c85024af2b9f72ebfc4538cf7"/>
                <w:id w:val="-1374379184"/>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B637B2" w:rsidRDefault="008F04CF" w:rsidP="00B637B2">
                    <w:pPr>
                      <w:outlineLvl w:val="2"/>
                      <w:rPr>
                        <w:rFonts w:cs="Cambria"/>
                        <w:b/>
                        <w:szCs w:val="21"/>
                      </w:rPr>
                    </w:pPr>
                    <w:r>
                      <w:rPr>
                        <w:rFonts w:cs="Cambria" w:hint="eastAsia"/>
                        <w:b/>
                        <w:szCs w:val="21"/>
                      </w:rPr>
                      <w:t>二、非持续的公允价值计量</w:t>
                    </w:r>
                  </w:p>
                </w:tc>
              </w:sdtContent>
            </w:sdt>
            <w:tc>
              <w:tcPr>
                <w:tcW w:w="944"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r>
          <w:tr w:rsidR="00B637B2" w:rsidTr="00B637B2">
            <w:trPr>
              <w:trHeight w:val="240"/>
            </w:trPr>
            <w:sdt>
              <w:sdtPr>
                <w:tag w:val="_PLD_17836ddde96f42d9960d4a0147639c54"/>
                <w:id w:val="-2016683417"/>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B637B2" w:rsidRDefault="008F04CF" w:rsidP="00B637B2">
                    <w:pPr>
                      <w:outlineLvl w:val="2"/>
                      <w:rPr>
                        <w:rFonts w:cs="Cambria"/>
                        <w:szCs w:val="21"/>
                      </w:rPr>
                    </w:pPr>
                    <w:r>
                      <w:rPr>
                        <w:rFonts w:cs="Cambria" w:hint="eastAsia"/>
                        <w:szCs w:val="21"/>
                      </w:rPr>
                      <w:t>（一）持有待售资产</w:t>
                    </w:r>
                  </w:p>
                </w:tc>
              </w:sdtContent>
            </w:sdt>
            <w:tc>
              <w:tcPr>
                <w:tcW w:w="944"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r>
          <w:sdt>
            <w:sdtPr>
              <w:rPr>
                <w:rFonts w:asciiTheme="minorHAnsi" w:eastAsiaTheme="minorEastAsia" w:hAnsiTheme="minorHAnsi" w:cs="Cambria"/>
                <w:kern w:val="2"/>
                <w:szCs w:val="21"/>
              </w:rPr>
              <w:alias w:val="非持续以公允价值计量的资产总额明细"/>
              <w:tag w:val="_TUP_03808ad2d95243fa986b48559b276876"/>
              <w:id w:val="448197578"/>
              <w:lock w:val="sdtLocked"/>
            </w:sdtPr>
            <w:sdtContent>
              <w:tr w:rsidR="00B637B2" w:rsidTr="00B637B2">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tcPr>
                  <w:p w:rsidR="00B637B2" w:rsidRDefault="00B637B2" w:rsidP="00B637B2">
                    <w:pPr>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r>
            </w:sdtContent>
          </w:sdt>
          <w:sdt>
            <w:sdtPr>
              <w:rPr>
                <w:rFonts w:asciiTheme="minorHAnsi" w:eastAsiaTheme="minorEastAsia" w:hAnsiTheme="minorHAnsi" w:cs="Cambria"/>
                <w:kern w:val="2"/>
                <w:szCs w:val="21"/>
              </w:rPr>
              <w:alias w:val="非持续以公允价值计量的资产总额明细"/>
              <w:tag w:val="_TUP_03808ad2d95243fa986b48559b276876"/>
              <w:id w:val="177555345"/>
              <w:lock w:val="sdtLocked"/>
            </w:sdtPr>
            <w:sdtContent>
              <w:tr w:rsidR="00B637B2" w:rsidTr="00B637B2">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tcPr>
                  <w:p w:rsidR="00B637B2" w:rsidRDefault="00B637B2" w:rsidP="00B637B2">
                    <w:pPr>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r>
            </w:sdtContent>
          </w:sdt>
          <w:tr w:rsidR="00B637B2" w:rsidTr="00B637B2">
            <w:trPr>
              <w:trHeight w:val="468"/>
            </w:trPr>
            <w:sdt>
              <w:sdtPr>
                <w:tag w:val="_PLD_5606f89679c6406591acd746a38b1e22"/>
                <w:id w:val="-789738069"/>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B637B2" w:rsidRDefault="008F04CF" w:rsidP="00B637B2">
                    <w:pPr>
                      <w:outlineLvl w:val="2"/>
                      <w:rPr>
                        <w:rFonts w:cs="Cambria"/>
                        <w:b/>
                        <w:szCs w:val="21"/>
                      </w:rPr>
                    </w:pPr>
                    <w:r>
                      <w:rPr>
                        <w:rFonts w:cs="Cambria" w:hint="eastAsia"/>
                        <w:b/>
                        <w:szCs w:val="21"/>
                      </w:rPr>
                      <w:t>非持续以公允价值计量的资产总额</w:t>
                    </w:r>
                  </w:p>
                </w:tc>
              </w:sdtContent>
            </w:sdt>
            <w:tc>
              <w:tcPr>
                <w:tcW w:w="944"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p w:rsidR="00B637B2" w:rsidRDefault="00B637B2" w:rsidP="00B637B2">
                <w:pPr>
                  <w:jc w:val="center"/>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r>
          <w:sdt>
            <w:sdtPr>
              <w:rPr>
                <w:rFonts w:asciiTheme="minorHAnsi" w:eastAsiaTheme="minorEastAsia" w:hAnsiTheme="minorHAnsi" w:cs="Cambria"/>
                <w:kern w:val="2"/>
                <w:szCs w:val="21"/>
              </w:rPr>
              <w:alias w:val="非持续以公允价值计量的负债总额明细"/>
              <w:tag w:val="_TUP_4425d7aee7f44bc08cf8906bad5b10f3"/>
              <w:id w:val="835649486"/>
              <w:lock w:val="sdtLocked"/>
            </w:sdtPr>
            <w:sdtContent>
              <w:tr w:rsidR="00B637B2" w:rsidTr="00B637B2">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tcPr>
                  <w:p w:rsidR="00B637B2" w:rsidRDefault="00B637B2" w:rsidP="00B637B2">
                    <w:pPr>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r>
            </w:sdtContent>
          </w:sdt>
          <w:sdt>
            <w:sdtPr>
              <w:rPr>
                <w:rFonts w:asciiTheme="minorHAnsi" w:eastAsiaTheme="minorEastAsia" w:hAnsiTheme="minorHAnsi" w:cs="Cambria"/>
                <w:kern w:val="2"/>
                <w:szCs w:val="21"/>
              </w:rPr>
              <w:alias w:val="非持续以公允价值计量的负债总额明细"/>
              <w:tag w:val="_TUP_4425d7aee7f44bc08cf8906bad5b10f3"/>
              <w:id w:val="-311091492"/>
              <w:lock w:val="sdtLocked"/>
            </w:sdtPr>
            <w:sdtContent>
              <w:tr w:rsidR="00B637B2" w:rsidTr="00B637B2">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tcPr>
                  <w:p w:rsidR="00B637B2" w:rsidRDefault="00B637B2" w:rsidP="00B637B2">
                    <w:pPr>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r>
            </w:sdtContent>
          </w:sdt>
          <w:tr w:rsidR="00B637B2" w:rsidTr="00B637B2">
            <w:trPr>
              <w:trHeight w:val="481"/>
            </w:trPr>
            <w:sdt>
              <w:sdtPr>
                <w:tag w:val="_PLD_2ad2f17c0f784900bcd5d8acb5d78381"/>
                <w:id w:val="599375573"/>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B637B2" w:rsidRDefault="008F04CF" w:rsidP="00B637B2">
                    <w:pPr>
                      <w:outlineLvl w:val="2"/>
                      <w:rPr>
                        <w:rFonts w:cs="Cambria"/>
                        <w:b/>
                        <w:szCs w:val="21"/>
                      </w:rPr>
                    </w:pPr>
                    <w:r>
                      <w:rPr>
                        <w:rFonts w:cs="Cambria" w:hint="eastAsia"/>
                        <w:b/>
                        <w:szCs w:val="21"/>
                      </w:rPr>
                      <w:t>非持续以公允价值计量的负债总额</w:t>
                    </w:r>
                  </w:p>
                </w:tc>
              </w:sdtContent>
            </w:sdt>
            <w:tc>
              <w:tcPr>
                <w:tcW w:w="944"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rsidR="00B637B2" w:rsidRDefault="00B637B2" w:rsidP="00B637B2">
                <w:pPr>
                  <w:jc w:val="right"/>
                  <w:outlineLvl w:val="2"/>
                  <w:rPr>
                    <w:rFonts w:cs="Cambria"/>
                    <w:szCs w:val="21"/>
                  </w:rPr>
                </w:pPr>
              </w:p>
            </w:tc>
          </w:tr>
        </w:tbl>
        <w:p w:rsidR="00B637B2" w:rsidRDefault="00B637B2"/>
        <w:p w:rsidR="00ED2DC7" w:rsidRDefault="000D0A99">
          <w:pPr>
            <w:tabs>
              <w:tab w:val="left" w:pos="1134"/>
            </w:tabs>
            <w:rPr>
              <w:rFonts w:cs="Cambria"/>
              <w:b/>
              <w:szCs w:val="21"/>
            </w:rPr>
          </w:pPr>
        </w:p>
      </w:sdtContent>
    </w:sdt>
    <w:bookmarkEnd w:id="220" w:displacedByCustomXml="prev"/>
    <w:sdt>
      <w:sdtPr>
        <w:rPr>
          <w:rFonts w:ascii="宋体" w:hAnsi="宋体" w:cs="Arial" w:hint="eastAsia"/>
          <w:b w:val="0"/>
          <w:bCs w:val="0"/>
          <w:kern w:val="0"/>
          <w:szCs w:val="21"/>
        </w:rPr>
        <w:alias w:val="模块:持续和非持续第一层次公允价值计量项目市价的确定依据"/>
        <w:tag w:val="_GBC_9cf59ced96b14247921100dffef5784f"/>
        <w:id w:val="1462770864"/>
        <w:lock w:val="sdtLocked"/>
        <w:placeholder>
          <w:docPart w:val="GBC22222222222222222222222222222"/>
        </w:placeholder>
      </w:sdtPr>
      <w:sdtEndPr>
        <w:rPr>
          <w:rFonts w:cs="Cambria"/>
          <w:b/>
        </w:rPr>
      </w:sdtEndPr>
      <w:sdtContent>
        <w:p w:rsidR="00ED2DC7" w:rsidRDefault="00ED2DC7" w:rsidP="00036BDC">
          <w:pPr>
            <w:pStyle w:val="affffffffffffffffff1"/>
            <w:numPr>
              <w:ilvl w:val="0"/>
              <w:numId w:val="87"/>
            </w:numPr>
            <w:rPr>
              <w:rFonts w:ascii="宋体" w:hAnsi="宋体" w:cs="Arial"/>
              <w:szCs w:val="21"/>
            </w:rPr>
          </w:pPr>
          <w:r>
            <w:rPr>
              <w:rFonts w:ascii="宋体" w:hAnsi="宋体" w:cs="Arial" w:hint="eastAsia"/>
              <w:szCs w:val="21"/>
            </w:rPr>
            <w:t>持续和非持续第一层次公允价值计量项目市价的确定依据</w:t>
          </w:r>
        </w:p>
        <w:sdt>
          <w:sdtPr>
            <w:alias w:val="是否适用：持续和非持续第一层次公允价值计量项目市价的确定依据[双击切换]"/>
            <w:tag w:val="_GBC_699178e78c6743f697df07ed34d59216"/>
            <w:id w:val="733127616"/>
            <w:lock w:val="sdtContentLocked"/>
            <w:placeholder>
              <w:docPart w:val="GBC22222222222222222222222222222"/>
            </w:placeholder>
          </w:sdtPr>
          <w:sdtContent>
            <w:p w:rsidR="00ED2DC7" w:rsidRDefault="00ED2DC7" w:rsidP="00E85F91">
              <w:pPr>
                <w:rPr>
                  <w:rFonts w:cs="Arial"/>
                  <w:szCs w:val="21"/>
                </w:rPr>
              </w:pPr>
              <w:r>
                <w:fldChar w:fldCharType="begin"/>
              </w:r>
              <w:r w:rsidR="00E85F91">
                <w:instrText xml:space="preserve"> MACROBUTTON  SnrToggleCheckbox □适用 </w:instrText>
              </w:r>
              <w:r>
                <w:fldChar w:fldCharType="end"/>
              </w:r>
              <w:r>
                <w:fldChar w:fldCharType="begin"/>
              </w:r>
              <w:r w:rsidR="00E85F91">
                <w:instrText xml:space="preserve"> MACROBUTTON  SnrToggleCheckbox √不适用 </w:instrText>
              </w:r>
              <w:r>
                <w:fldChar w:fldCharType="end"/>
              </w:r>
            </w:p>
          </w:sdtContent>
        </w:sdt>
        <w:p w:rsidR="00ED2DC7" w:rsidRDefault="000D0A99">
          <w:pPr>
            <w:tabs>
              <w:tab w:val="left" w:pos="1134"/>
            </w:tabs>
            <w:rPr>
              <w:rFonts w:cs="Cambria"/>
              <w:b/>
              <w:szCs w:val="21"/>
            </w:rPr>
          </w:pPr>
        </w:p>
      </w:sdtContent>
    </w:sdt>
    <w:sdt>
      <w:sdtPr>
        <w:rPr>
          <w:rFonts w:ascii="宋体" w:hAnsi="宋体" w:cs="Arial" w:hint="eastAsia"/>
          <w:b w:val="0"/>
          <w:bCs w:val="0"/>
          <w:kern w:val="0"/>
          <w:szCs w:val="21"/>
        </w:rPr>
        <w:alias w:val="模块:持续和非持续第二层次公允价值计量项目，采用的估值技术和重要参数的定性及定量信息"/>
        <w:tag w:val="_GBC_8e00be36ed6245f895b032b3059a4854"/>
        <w:id w:val="-1114128406"/>
        <w:lock w:val="sdtLocked"/>
        <w:placeholder>
          <w:docPart w:val="GBC22222222222222222222222222222"/>
        </w:placeholder>
      </w:sdtPr>
      <w:sdtEndPr>
        <w:rPr>
          <w:rFonts w:cs="Cambria" w:hint="default"/>
        </w:rPr>
      </w:sdtEndPr>
      <w:sdtContent>
        <w:p w:rsidR="00ED2DC7" w:rsidRDefault="00ED2DC7" w:rsidP="00036BDC">
          <w:pPr>
            <w:pStyle w:val="affffffffffffffffff1"/>
            <w:numPr>
              <w:ilvl w:val="0"/>
              <w:numId w:val="87"/>
            </w:numPr>
          </w:pPr>
          <w:r>
            <w:rPr>
              <w:rFonts w:ascii="宋体" w:hAnsi="宋体" w:cs="Arial" w:hint="eastAsia"/>
              <w:szCs w:val="21"/>
            </w:rPr>
            <w:t>持续和非持续第二层次公允价值计量项目，采用的估值技术和重要参数的定性及定量信息</w:t>
          </w:r>
        </w:p>
        <w:sdt>
          <w:sdtPr>
            <w:rPr>
              <w:rFonts w:cs="Cambria" w:hint="eastAsia"/>
              <w:szCs w:val="21"/>
            </w:rPr>
            <w:alias w:val="是否适用：持续和非持续第二层次公允价值计量项目，采用的估值技术和重要参数的定性及定量信息[双击切换]"/>
            <w:tag w:val="_GBC_8bee9b1c9bf241d5ae1f2c4578fc3b6c"/>
            <w:id w:val="-820193361"/>
            <w:lock w:val="sdtContentLocked"/>
            <w:placeholder>
              <w:docPart w:val="GBC22222222222222222222222222222"/>
            </w:placeholder>
          </w:sdtPr>
          <w:sdtContent>
            <w:p w:rsidR="00ED2DC7" w:rsidRDefault="00ED2DC7" w:rsidP="00E85F91">
              <w:pPr>
                <w:tabs>
                  <w:tab w:val="left" w:pos="1134"/>
                </w:tabs>
                <w:rPr>
                  <w:rFonts w:cs="Cambria"/>
                  <w:szCs w:val="21"/>
                </w:rPr>
              </w:pPr>
              <w:r>
                <w:rPr>
                  <w:rFonts w:cs="Cambria"/>
                  <w:szCs w:val="21"/>
                </w:rPr>
                <w:fldChar w:fldCharType="begin"/>
              </w:r>
              <w:r w:rsidR="00E85F91">
                <w:rPr>
                  <w:rFonts w:cs="Cambria"/>
                  <w:szCs w:val="21"/>
                </w:rPr>
                <w:instrText xml:space="preserve"> MACROBUTTON  SnrToggleCheckbox □适用 </w:instrText>
              </w:r>
              <w:r>
                <w:rPr>
                  <w:rFonts w:cs="Cambria"/>
                  <w:szCs w:val="21"/>
                </w:rPr>
                <w:fldChar w:fldCharType="end"/>
              </w:r>
              <w:r>
                <w:rPr>
                  <w:rFonts w:cs="Cambria"/>
                  <w:szCs w:val="21"/>
                </w:rPr>
                <w:fldChar w:fldCharType="begin"/>
              </w:r>
              <w:r w:rsidR="00E85F91">
                <w:rPr>
                  <w:rFonts w:cs="Cambria"/>
                  <w:szCs w:val="21"/>
                </w:rPr>
                <w:instrText xml:space="preserve"> MACROBUTTON  SnrToggleCheckbox √不适用 </w:instrText>
              </w:r>
              <w:r>
                <w:rPr>
                  <w:rFonts w:cs="Cambria"/>
                  <w:szCs w:val="21"/>
                </w:rPr>
                <w:fldChar w:fldCharType="end"/>
              </w:r>
            </w:p>
          </w:sdtContent>
        </w:sdt>
      </w:sdtContent>
    </w:sdt>
    <w:p w:rsidR="00ED2DC7" w:rsidRDefault="00ED2DC7">
      <w:pPr>
        <w:rPr>
          <w:szCs w:val="21"/>
        </w:rPr>
      </w:pPr>
    </w:p>
    <w:sdt>
      <w:sdtPr>
        <w:rPr>
          <w:rFonts w:ascii="宋体" w:hAnsi="宋体" w:cs="Arial" w:hint="eastAsia"/>
          <w:b w:val="0"/>
          <w:bCs w:val="0"/>
          <w:kern w:val="0"/>
          <w:szCs w:val="21"/>
        </w:rPr>
        <w:alias w:val="模块:持续和非持续第三层次公允价值计量项目，采用的估值技术和重要参数的定性及定量信息"/>
        <w:tag w:val="_GBC_5d389bac3ad747a292eb45fd87ce5896"/>
        <w:id w:val="-1024482292"/>
        <w:lock w:val="sdtLocked"/>
        <w:placeholder>
          <w:docPart w:val="GBC22222222222222222222222222222"/>
        </w:placeholder>
      </w:sdtPr>
      <w:sdtEndPr>
        <w:rPr>
          <w:rFonts w:cs="Cambria"/>
          <w:color w:val="808080"/>
        </w:rPr>
      </w:sdtEndPr>
      <w:sdtContent>
        <w:p w:rsidR="00ED2DC7" w:rsidRDefault="00ED2DC7" w:rsidP="00036BDC">
          <w:pPr>
            <w:pStyle w:val="affffffffffffffffff1"/>
            <w:numPr>
              <w:ilvl w:val="0"/>
              <w:numId w:val="87"/>
            </w:numPr>
          </w:pPr>
          <w:r>
            <w:rPr>
              <w:rFonts w:ascii="宋体" w:hAnsi="宋体" w:cs="Arial" w:hint="eastAsia"/>
              <w:szCs w:val="21"/>
            </w:rPr>
            <w:t>持续和非持续第三层次公允价值计量项目，采用的估值技术和重要参数的定性及定量信息</w:t>
          </w:r>
        </w:p>
        <w:sdt>
          <w:sdtPr>
            <w:rPr>
              <w:rFonts w:hint="eastAsia"/>
              <w:szCs w:val="21"/>
            </w:rPr>
            <w:alias w:val="是否适用：持续和非持续第三层次公允价值计量项目，采用的估值技术和重要参数的定性及定量信息[双击切换]"/>
            <w:tag w:val="_GBC_4feedb18bf344f2ebff0035f82f30e3c"/>
            <w:id w:val="-652140752"/>
            <w:lock w:val="sdtContentLocked"/>
            <w:placeholder>
              <w:docPart w:val="GBC22222222222222222222222222222"/>
            </w:placeholder>
          </w:sdtPr>
          <w:sdtContent>
            <w:p w:rsidR="00ED2DC7" w:rsidRDefault="00ED2DC7" w:rsidP="00E85F91">
              <w:pPr>
                <w:rPr>
                  <w:szCs w:val="21"/>
                </w:rPr>
              </w:pPr>
              <w:r>
                <w:rPr>
                  <w:szCs w:val="21"/>
                </w:rPr>
                <w:fldChar w:fldCharType="begin"/>
              </w:r>
              <w:r w:rsidR="00E85F91">
                <w:rPr>
                  <w:szCs w:val="21"/>
                </w:rPr>
                <w:instrText xml:space="preserve"> MACROBUTTON  SnrToggleCheckbox □适用 </w:instrText>
              </w:r>
              <w:r>
                <w:rPr>
                  <w:szCs w:val="21"/>
                </w:rPr>
                <w:fldChar w:fldCharType="end"/>
              </w:r>
              <w:r>
                <w:rPr>
                  <w:szCs w:val="21"/>
                </w:rPr>
                <w:fldChar w:fldCharType="begin"/>
              </w:r>
              <w:r w:rsidR="00E85F91">
                <w:rPr>
                  <w:szCs w:val="21"/>
                </w:rPr>
                <w:instrText xml:space="preserve"> MACROBUTTON  SnrToggleCheckbox √不适用 </w:instrText>
              </w:r>
              <w:r>
                <w:rPr>
                  <w:szCs w:val="21"/>
                </w:rPr>
                <w:fldChar w:fldCharType="end"/>
              </w:r>
            </w:p>
          </w:sdtContent>
        </w:sdt>
        <w:p w:rsidR="00ED2DC7" w:rsidRDefault="000D0A99">
          <w:pPr>
            <w:tabs>
              <w:tab w:val="left" w:pos="1134"/>
            </w:tabs>
            <w:rPr>
              <w:rFonts w:cs="Cambria"/>
              <w:b/>
              <w:szCs w:val="21"/>
            </w:rPr>
          </w:pPr>
        </w:p>
      </w:sdtContent>
    </w:sdt>
    <w:sdt>
      <w:sdtPr>
        <w:rPr>
          <w:rFonts w:ascii="宋体" w:hAnsi="宋体" w:cs="宋体" w:hint="eastAsia"/>
          <w:b w:val="0"/>
          <w:bCs w:val="0"/>
          <w:kern w:val="0"/>
          <w:szCs w:val="24"/>
        </w:rPr>
        <w:alias w:val="模块:持续的第三层次公允价值计量的项目期初与期末账面价值之间的调节信息及不可观察参数的敏感性分析"/>
        <w:tag w:val="_GBC_353ab3e0cb19455ab2c2c2a397421afe"/>
        <w:id w:val="1825467102"/>
        <w:lock w:val="sdtLocked"/>
        <w:placeholder>
          <w:docPart w:val="GBC22222222222222222222222222222"/>
        </w:placeholder>
      </w:sdtPr>
      <w:sdtEndPr>
        <w:rPr>
          <w:rFonts w:cs="Cambria"/>
          <w:color w:val="808080"/>
          <w:szCs w:val="21"/>
        </w:rPr>
      </w:sdtEndPr>
      <w:sdtContent>
        <w:p w:rsidR="00ED2DC7" w:rsidRDefault="00ED2DC7" w:rsidP="00036BDC">
          <w:pPr>
            <w:pStyle w:val="affffffffffffffffff1"/>
            <w:numPr>
              <w:ilvl w:val="0"/>
              <w:numId w:val="87"/>
            </w:numPr>
          </w:pPr>
          <w:r>
            <w:rPr>
              <w:rFonts w:hint="eastAsia"/>
            </w:rPr>
            <w:t>持续的第三层次公允价值计量项目，期初与期末账面价值间的调节信息及不可观察参数敏感性分析</w:t>
          </w:r>
        </w:p>
        <w:sdt>
          <w:sdtPr>
            <w:rPr>
              <w:rFonts w:hint="eastAsia"/>
              <w:szCs w:val="21"/>
            </w:rPr>
            <w:alias w:val="是否适用：持续的第三层次公允价值计量项目，期初与期末账面价值间的调节信息及不可观察参数敏感性分析[双击切换]"/>
            <w:tag w:val="_GBC_fbb80659fa8c4cbba85b32b2b514495c"/>
            <w:id w:val="-1252733592"/>
            <w:lock w:val="sdtContentLocked"/>
            <w:placeholder>
              <w:docPart w:val="GBC22222222222222222222222222222"/>
            </w:placeholder>
          </w:sdtPr>
          <w:sdtContent>
            <w:p w:rsidR="00ED2DC7" w:rsidRDefault="00ED2DC7" w:rsidP="00E85F91">
              <w:pPr>
                <w:rPr>
                  <w:szCs w:val="21"/>
                </w:rPr>
              </w:pPr>
              <w:r>
                <w:rPr>
                  <w:szCs w:val="21"/>
                </w:rPr>
                <w:fldChar w:fldCharType="begin"/>
              </w:r>
              <w:r w:rsidR="00E85F91">
                <w:rPr>
                  <w:szCs w:val="21"/>
                </w:rPr>
                <w:instrText xml:space="preserve"> MACROBUTTON  SnrToggleCheckbox □适用 </w:instrText>
              </w:r>
              <w:r>
                <w:rPr>
                  <w:szCs w:val="21"/>
                </w:rPr>
                <w:fldChar w:fldCharType="end"/>
              </w:r>
              <w:r>
                <w:rPr>
                  <w:szCs w:val="21"/>
                </w:rPr>
                <w:fldChar w:fldCharType="begin"/>
              </w:r>
              <w:r w:rsidR="00E85F91">
                <w:rPr>
                  <w:szCs w:val="21"/>
                </w:rPr>
                <w:instrText xml:space="preserve"> MACROBUTTON  SnrToggleCheckbox √不适用 </w:instrText>
              </w:r>
              <w:r>
                <w:rPr>
                  <w:szCs w:val="21"/>
                </w:rPr>
                <w:fldChar w:fldCharType="end"/>
              </w:r>
            </w:p>
          </w:sdtContent>
        </w:sdt>
        <w:p w:rsidR="00ED2DC7" w:rsidRDefault="000D0A99">
          <w:pPr>
            <w:tabs>
              <w:tab w:val="left" w:pos="1134"/>
            </w:tabs>
            <w:rPr>
              <w:rFonts w:cs="Cambria"/>
              <w:b/>
              <w:szCs w:val="21"/>
            </w:rPr>
          </w:pPr>
        </w:p>
      </w:sdtContent>
    </w:sdt>
    <w:sdt>
      <w:sdtPr>
        <w:rPr>
          <w:rFonts w:ascii="宋体" w:hAnsi="宋体" w:cs="宋体" w:hint="eastAsia"/>
          <w:b w:val="0"/>
          <w:bCs w:val="0"/>
          <w:kern w:val="0"/>
          <w:szCs w:val="24"/>
        </w:rPr>
        <w:alias w:val="模块:持续的公允价值计量项目，本期内发生各层级之间转换的，转换的原因及确定转换时点的政策"/>
        <w:tag w:val="_GBC_a9200ec73b8d485e80b76f1a9ee34c49"/>
        <w:id w:val="264271532"/>
        <w:lock w:val="sdtLocked"/>
        <w:placeholder>
          <w:docPart w:val="GBC22222222222222222222222222222"/>
        </w:placeholder>
      </w:sdtPr>
      <w:sdtEndPr>
        <w:rPr>
          <w:rFonts w:cs="Cambria"/>
          <w:szCs w:val="21"/>
        </w:rPr>
      </w:sdtEndPr>
      <w:sdtContent>
        <w:p w:rsidR="00ED2DC7" w:rsidRDefault="00ED2DC7" w:rsidP="00036BDC">
          <w:pPr>
            <w:pStyle w:val="affffffffffffffffff1"/>
            <w:numPr>
              <w:ilvl w:val="0"/>
              <w:numId w:val="87"/>
            </w:numPr>
          </w:pPr>
          <w:r>
            <w:rPr>
              <w:rFonts w:hint="eastAsia"/>
            </w:rPr>
            <w:t>持续的公允价值计量项目，本期内发生各层级之间转换的，转换的原因及确定转换时点的政策</w:t>
          </w:r>
        </w:p>
        <w:sdt>
          <w:sdtPr>
            <w:rPr>
              <w:rFonts w:hint="eastAsia"/>
              <w:szCs w:val="21"/>
            </w:rPr>
            <w:alias w:val="是否适用：持续的公允价值计量项目，本期内发生各层级之间转换的，转换的原因及确定转换时点的政策[双击切换]"/>
            <w:tag w:val="_GBC_e3d16a79a58242bc9c7be1f3a6f00898"/>
            <w:id w:val="838045919"/>
            <w:lock w:val="sdtContentLocked"/>
            <w:placeholder>
              <w:docPart w:val="GBC22222222222222222222222222222"/>
            </w:placeholder>
          </w:sdtPr>
          <w:sdtContent>
            <w:p w:rsidR="00ED2DC7" w:rsidRDefault="00ED2DC7" w:rsidP="00E85F91">
              <w:pPr>
                <w:rPr>
                  <w:szCs w:val="21"/>
                </w:rPr>
              </w:pPr>
              <w:r>
                <w:rPr>
                  <w:szCs w:val="21"/>
                </w:rPr>
                <w:fldChar w:fldCharType="begin"/>
              </w:r>
              <w:r w:rsidR="00E85F91">
                <w:rPr>
                  <w:szCs w:val="21"/>
                </w:rPr>
                <w:instrText xml:space="preserve"> MACROBUTTON  SnrToggleCheckbox □适用 </w:instrText>
              </w:r>
              <w:r>
                <w:rPr>
                  <w:szCs w:val="21"/>
                </w:rPr>
                <w:fldChar w:fldCharType="end"/>
              </w:r>
              <w:r>
                <w:rPr>
                  <w:szCs w:val="21"/>
                </w:rPr>
                <w:fldChar w:fldCharType="begin"/>
              </w:r>
              <w:r w:rsidR="00E85F91">
                <w:rPr>
                  <w:szCs w:val="21"/>
                </w:rPr>
                <w:instrText xml:space="preserve"> MACROBUTTON  SnrToggleCheckbox √不适用 </w:instrText>
              </w:r>
              <w:r>
                <w:rPr>
                  <w:szCs w:val="21"/>
                </w:rPr>
                <w:fldChar w:fldCharType="end"/>
              </w:r>
            </w:p>
          </w:sdtContent>
        </w:sdt>
        <w:p w:rsidR="00ED2DC7" w:rsidRDefault="000D0A99">
          <w:pPr>
            <w:tabs>
              <w:tab w:val="left" w:pos="1134"/>
            </w:tabs>
            <w:rPr>
              <w:rFonts w:cs="Cambria"/>
              <w:b/>
              <w:szCs w:val="21"/>
            </w:rPr>
          </w:pPr>
        </w:p>
      </w:sdtContent>
    </w:sdt>
    <w:sdt>
      <w:sdtPr>
        <w:rPr>
          <w:rFonts w:ascii="宋体" w:hAnsi="宋体" w:cs="宋体" w:hint="eastAsia"/>
          <w:b w:val="0"/>
          <w:bCs w:val="0"/>
          <w:kern w:val="0"/>
          <w:szCs w:val="24"/>
        </w:rPr>
        <w:alias w:val="模块:本期内发生的估值技术变更及变更原因"/>
        <w:tag w:val="_GBC_8e563310a4b84a5d9dfe74fdbc178926"/>
        <w:id w:val="402108351"/>
        <w:lock w:val="sdtLocked"/>
        <w:placeholder>
          <w:docPart w:val="GBC22222222222222222222222222222"/>
        </w:placeholder>
      </w:sdtPr>
      <w:sdtEndPr>
        <w:rPr>
          <w:rFonts w:cstheme="minorBidi"/>
          <w:szCs w:val="21"/>
        </w:rPr>
      </w:sdtEndPr>
      <w:sdtContent>
        <w:p w:rsidR="00ED2DC7" w:rsidRDefault="00ED2DC7" w:rsidP="00036BDC">
          <w:pPr>
            <w:pStyle w:val="affffffffffffffffff1"/>
            <w:numPr>
              <w:ilvl w:val="0"/>
              <w:numId w:val="87"/>
            </w:numPr>
          </w:pPr>
          <w:r>
            <w:rPr>
              <w:rFonts w:hint="eastAsia"/>
            </w:rPr>
            <w:t>本期内发生的估值技术变更及变更原因</w:t>
          </w:r>
        </w:p>
        <w:sdt>
          <w:sdtPr>
            <w:alias w:val="是否适用：本期内发生的估值技术变更及变更原因[双击切换]"/>
            <w:tag w:val="_GBC_b070160060a9485c87417fe5a8b5e02f"/>
            <w:id w:val="-53316697"/>
            <w:lock w:val="sdtContentLocked"/>
            <w:placeholder>
              <w:docPart w:val="GBC22222222222222222222222222222"/>
            </w:placeholder>
          </w:sdtPr>
          <w:sdtContent>
            <w:p w:rsidR="00ED2DC7" w:rsidRDefault="00ED2DC7" w:rsidP="00E85F91">
              <w:pPr>
                <w:rPr>
                  <w:szCs w:val="21"/>
                </w:rPr>
              </w:pPr>
              <w:r>
                <w:fldChar w:fldCharType="begin"/>
              </w:r>
              <w:r w:rsidR="00E85F91">
                <w:instrText xml:space="preserve"> MACROBUTTON  SnrToggleCheckbox □适用 </w:instrText>
              </w:r>
              <w:r>
                <w:fldChar w:fldCharType="end"/>
              </w:r>
              <w:r>
                <w:fldChar w:fldCharType="begin"/>
              </w:r>
              <w:r w:rsidR="00E85F91">
                <w:instrText xml:space="preserve"> MACROBUTTON  SnrToggleCheckbox √不适用 </w:instrText>
              </w:r>
              <w:r>
                <w:fldChar w:fldCharType="end"/>
              </w:r>
            </w:p>
          </w:sdtContent>
        </w:sdt>
        <w:p w:rsidR="00ED2DC7" w:rsidRDefault="000D0A99">
          <w:pPr>
            <w:rPr>
              <w:rFonts w:cstheme="minorBidi"/>
              <w:szCs w:val="21"/>
            </w:rPr>
          </w:pPr>
        </w:p>
      </w:sdtContent>
    </w:sdt>
    <w:sdt>
      <w:sdtPr>
        <w:rPr>
          <w:rFonts w:ascii="宋体" w:hAnsi="宋体" w:cstheme="minorBidi" w:hint="eastAsia"/>
          <w:b w:val="0"/>
          <w:bCs w:val="0"/>
          <w:kern w:val="0"/>
          <w:szCs w:val="21"/>
        </w:rPr>
        <w:alias w:val="模块:不以公允价值计量的金融资产和金融负债的公允价值情况"/>
        <w:tag w:val="_GBC_e354e1f41f824854b8f3345d52a9cfab"/>
        <w:id w:val="-1180898904"/>
        <w:lock w:val="sdtLocked"/>
        <w:placeholder>
          <w:docPart w:val="GBC22222222222222222222222222222"/>
        </w:placeholder>
      </w:sdtPr>
      <w:sdtContent>
        <w:p w:rsidR="00ED2DC7" w:rsidRDefault="00ED2DC7" w:rsidP="00036BDC">
          <w:pPr>
            <w:pStyle w:val="affffffffffffffffff1"/>
            <w:numPr>
              <w:ilvl w:val="0"/>
              <w:numId w:val="87"/>
            </w:numPr>
            <w:rPr>
              <w:rFonts w:cstheme="minorBidi"/>
              <w:szCs w:val="21"/>
            </w:rPr>
          </w:pPr>
          <w:r>
            <w:rPr>
              <w:rFonts w:cstheme="minorBidi" w:hint="eastAsia"/>
              <w:szCs w:val="21"/>
            </w:rPr>
            <w:t>不以公允价值计量的</w:t>
          </w:r>
          <w:r>
            <w:rPr>
              <w:rFonts w:hint="eastAsia"/>
            </w:rPr>
            <w:t>金融资产</w:t>
          </w:r>
          <w:r>
            <w:rPr>
              <w:rFonts w:cstheme="minorBidi" w:hint="eastAsia"/>
              <w:szCs w:val="21"/>
            </w:rPr>
            <w:t>和金融负债的公允价值情况</w:t>
          </w:r>
        </w:p>
        <w:sdt>
          <w:sdtPr>
            <w:rPr>
              <w:rFonts w:cstheme="minorBidi" w:hint="eastAsia"/>
              <w:szCs w:val="21"/>
            </w:rPr>
            <w:alias w:val="是否适用：不以公允价值计量的金融资产和金融负债的公允价值情况[双击切换]"/>
            <w:tag w:val="_GBC_848a058035fb408c922e66294e86defb"/>
            <w:id w:val="-1500103943"/>
            <w:lock w:val="sdtContentLocked"/>
            <w:placeholder>
              <w:docPart w:val="GBC22222222222222222222222222222"/>
            </w:placeholder>
          </w:sdtPr>
          <w:sdtContent>
            <w:p w:rsidR="00ED2DC7" w:rsidRDefault="00ED2DC7" w:rsidP="00E85F91">
              <w:pPr>
                <w:rPr>
                  <w:rFonts w:cstheme="minorBidi"/>
                  <w:szCs w:val="21"/>
                </w:rPr>
              </w:pPr>
              <w:r>
                <w:rPr>
                  <w:rFonts w:cstheme="minorBidi"/>
                  <w:szCs w:val="21"/>
                </w:rPr>
                <w:fldChar w:fldCharType="begin"/>
              </w:r>
              <w:r w:rsidR="00E85F91">
                <w:rPr>
                  <w:rFonts w:cstheme="minorBidi"/>
                  <w:szCs w:val="21"/>
                </w:rPr>
                <w:instrText xml:space="preserve"> MACROBUTTON  SnrToggleCheckbox □适用 </w:instrText>
              </w:r>
              <w:r>
                <w:rPr>
                  <w:rFonts w:cstheme="minorBidi"/>
                  <w:szCs w:val="21"/>
                </w:rPr>
                <w:fldChar w:fldCharType="end"/>
              </w:r>
              <w:r>
                <w:rPr>
                  <w:rFonts w:cstheme="minorBidi"/>
                  <w:szCs w:val="21"/>
                </w:rPr>
                <w:fldChar w:fldCharType="begin"/>
              </w:r>
              <w:r w:rsidR="00E85F91">
                <w:rPr>
                  <w:rFonts w:cstheme="minorBidi"/>
                  <w:szCs w:val="21"/>
                </w:rPr>
                <w:instrText xml:space="preserve"> MACROBUTTON  SnrToggleCheckbox √不适用 </w:instrText>
              </w:r>
              <w:r>
                <w:rPr>
                  <w:rFonts w:cstheme="minorBidi"/>
                  <w:szCs w:val="21"/>
                </w:rPr>
                <w:fldChar w:fldCharType="end"/>
              </w:r>
            </w:p>
          </w:sdtContent>
        </w:sdt>
      </w:sdtContent>
    </w:sdt>
    <w:p w:rsidR="00ED2DC7" w:rsidRDefault="00ED2DC7">
      <w:pPr>
        <w:rPr>
          <w:rFonts w:cstheme="minorBidi"/>
          <w:szCs w:val="21"/>
        </w:rPr>
      </w:pPr>
    </w:p>
    <w:sdt>
      <w:sdtPr>
        <w:rPr>
          <w:rFonts w:ascii="宋体" w:hAnsi="宋体" w:cs="宋体"/>
          <w:b w:val="0"/>
          <w:bCs w:val="0"/>
          <w:kern w:val="0"/>
          <w:szCs w:val="21"/>
        </w:rPr>
        <w:alias w:val="模块:公允价值其他需要披露的事项"/>
        <w:tag w:val="_GBC_1551c1b4fedc4ac0ae859b67b4b79904"/>
        <w:id w:val="54125699"/>
        <w:lock w:val="sdtLocked"/>
        <w:placeholder>
          <w:docPart w:val="GBC22222222222222222222222222222"/>
        </w:placeholder>
      </w:sdtPr>
      <w:sdtContent>
        <w:p w:rsidR="00ED2DC7" w:rsidRDefault="00ED2DC7" w:rsidP="00036BDC">
          <w:pPr>
            <w:pStyle w:val="affffffffffffffffff1"/>
            <w:numPr>
              <w:ilvl w:val="0"/>
              <w:numId w:val="87"/>
            </w:numPr>
            <w:rPr>
              <w:szCs w:val="21"/>
            </w:rPr>
          </w:pPr>
          <w:r>
            <w:rPr>
              <w:rFonts w:hint="eastAsia"/>
              <w:szCs w:val="21"/>
            </w:rPr>
            <w:t>其他</w:t>
          </w:r>
        </w:p>
        <w:sdt>
          <w:sdtPr>
            <w:rPr>
              <w:rFonts w:hint="eastAsia"/>
              <w:szCs w:val="21"/>
            </w:rPr>
            <w:alias w:val="是否适用：公允价值其他需要披露的事项[双击切换]"/>
            <w:tag w:val="_GBC_9174a0e7dec04e80924ee384dabe783a"/>
            <w:id w:val="931164680"/>
            <w:lock w:val="sdtContentLocked"/>
            <w:placeholder>
              <w:docPart w:val="GBC22222222222222222222222222222"/>
            </w:placeholder>
          </w:sdtPr>
          <w:sdtContent>
            <w:p w:rsidR="00ED2DC7" w:rsidRDefault="00ED2DC7" w:rsidP="00C84AFD">
              <w:pPr>
                <w:rPr>
                  <w:szCs w:val="21"/>
                </w:rPr>
              </w:pPr>
              <w:r>
                <w:rPr>
                  <w:szCs w:val="21"/>
                </w:rPr>
                <w:fldChar w:fldCharType="begin"/>
              </w:r>
              <w:r w:rsidR="008F04CF">
                <w:rPr>
                  <w:szCs w:val="21"/>
                </w:rPr>
                <w:instrText xml:space="preserve"> MACROBUTTON  SnrToggleCheckbox √适用 </w:instrText>
              </w:r>
              <w:r>
                <w:rPr>
                  <w:szCs w:val="21"/>
                </w:rPr>
                <w:fldChar w:fldCharType="end"/>
              </w:r>
              <w:r>
                <w:rPr>
                  <w:szCs w:val="21"/>
                </w:rPr>
                <w:fldChar w:fldCharType="begin"/>
              </w:r>
              <w:r w:rsidR="008F04CF">
                <w:rPr>
                  <w:szCs w:val="21"/>
                </w:rPr>
                <w:instrText xml:space="preserve"> MACROBUTTON  SnrToggleCheckbox □不适用 </w:instrText>
              </w:r>
              <w:r>
                <w:rPr>
                  <w:szCs w:val="21"/>
                </w:rPr>
                <w:fldChar w:fldCharType="end"/>
              </w:r>
            </w:p>
          </w:sdtContent>
        </w:sdt>
        <w:sdt>
          <w:sdtPr>
            <w:rPr>
              <w:rFonts w:ascii="宋体" w:eastAsia="宋体" w:hAnsi="宋体" w:cs="宋体"/>
              <w:sz w:val="21"/>
              <w:szCs w:val="21"/>
              <w:u w:val="none"/>
            </w:rPr>
            <w:alias w:val="公允价值其他需要披露的事项"/>
            <w:tag w:val="_GBC_d990a97560794b80ae14f8657c7564ac"/>
            <w:id w:val="-447313451"/>
            <w:lock w:val="sdtLocked"/>
          </w:sdtPr>
          <w:sdtContent>
            <w:p w:rsidR="00B637B2" w:rsidRPr="00A63CDC" w:rsidRDefault="008F04CF" w:rsidP="00B637B2">
              <w:pPr>
                <w:pStyle w:val="affffffffffffffffffffff3"/>
                <w:ind w:left="0" w:firstLine="0"/>
                <w:outlineLvl w:val="9"/>
                <w:rPr>
                  <w:rFonts w:ascii="宋体" w:eastAsia="宋体" w:hAnsi="宋体"/>
                  <w:sz w:val="20"/>
                  <w:szCs w:val="20"/>
                </w:rPr>
              </w:pPr>
              <w:r w:rsidRPr="00A63CDC">
                <w:rPr>
                  <w:rFonts w:ascii="宋体" w:eastAsia="宋体" w:hAnsi="宋体" w:hint="eastAsia"/>
                  <w:sz w:val="20"/>
                  <w:szCs w:val="20"/>
                </w:rPr>
                <w:t>金融工具公允价值</w:t>
              </w:r>
            </w:p>
            <w:p w:rsidR="00B637B2" w:rsidRPr="00A63CDC" w:rsidRDefault="00B637B2" w:rsidP="00B637B2">
              <w:pPr>
                <w:overflowPunct w:val="0"/>
                <w:autoSpaceDE w:val="0"/>
                <w:autoSpaceDN w:val="0"/>
                <w:adjustRightInd w:val="0"/>
                <w:snapToGrid w:val="0"/>
                <w:jc w:val="both"/>
                <w:textAlignment w:val="bottom"/>
                <w:rPr>
                  <w:rFonts w:cs="Arial"/>
                  <w:snapToGrid w:val="0"/>
                  <w:sz w:val="20"/>
                  <w:szCs w:val="20"/>
                </w:rPr>
              </w:pPr>
            </w:p>
            <w:p w:rsidR="00B637B2" w:rsidRPr="00A63CDC" w:rsidRDefault="008F04CF" w:rsidP="00B637B2">
              <w:pPr>
                <w:overflowPunct w:val="0"/>
                <w:autoSpaceDE w:val="0"/>
                <w:autoSpaceDN w:val="0"/>
                <w:adjustRightInd w:val="0"/>
                <w:snapToGrid w:val="0"/>
                <w:ind w:left="-14"/>
                <w:jc w:val="both"/>
                <w:rPr>
                  <w:rFonts w:cs="Arial"/>
                  <w:snapToGrid w:val="0"/>
                  <w:sz w:val="20"/>
                  <w:szCs w:val="20"/>
                </w:rPr>
              </w:pPr>
              <w:r w:rsidRPr="00A63CDC">
                <w:rPr>
                  <w:rFonts w:cs="Arial" w:hint="eastAsia"/>
                  <w:snapToGrid w:val="0"/>
                  <w:sz w:val="20"/>
                  <w:szCs w:val="20"/>
                </w:rPr>
                <w:t>以下是本集团除账面价值与公允价值差异很小的金融工具、活跃市场中没有报价且其公允价值无法可靠计量的权益工具之外的各类别金融工具的账面价值与公允价值的比较：</w:t>
              </w:r>
            </w:p>
            <w:p w:rsidR="00B637B2" w:rsidRPr="00A63CDC" w:rsidRDefault="00B637B2" w:rsidP="00B637B2">
              <w:pPr>
                <w:overflowPunct w:val="0"/>
                <w:autoSpaceDE w:val="0"/>
                <w:autoSpaceDN w:val="0"/>
                <w:adjustRightInd w:val="0"/>
                <w:snapToGrid w:val="0"/>
                <w:ind w:left="720" w:hanging="720"/>
                <w:jc w:val="both"/>
                <w:rPr>
                  <w:rFonts w:cs="Arial"/>
                  <w:snapToGrid w:val="0"/>
                  <w:sz w:val="20"/>
                  <w:szCs w:val="20"/>
                </w:rPr>
              </w:pPr>
            </w:p>
            <w:tbl>
              <w:tblPr>
                <w:tblStyle w:val="g35"/>
                <w:tblW w:w="8442" w:type="dxa"/>
                <w:tblLayout w:type="fixed"/>
                <w:tblCellMar>
                  <w:left w:w="0" w:type="dxa"/>
                  <w:right w:w="0" w:type="dxa"/>
                </w:tblCellMar>
                <w:tblLook w:val="04A0" w:firstRow="1" w:lastRow="0" w:firstColumn="1" w:lastColumn="0" w:noHBand="0" w:noVBand="1"/>
                <w:tblCaption w:val="74关联方余额_应收账款"/>
              </w:tblPr>
              <w:tblGrid>
                <w:gridCol w:w="2552"/>
                <w:gridCol w:w="319"/>
                <w:gridCol w:w="1190"/>
                <w:gridCol w:w="113"/>
                <w:gridCol w:w="113"/>
                <w:gridCol w:w="1190"/>
                <w:gridCol w:w="113"/>
                <w:gridCol w:w="113"/>
                <w:gridCol w:w="1190"/>
                <w:gridCol w:w="113"/>
                <w:gridCol w:w="113"/>
                <w:gridCol w:w="1210"/>
                <w:gridCol w:w="113"/>
              </w:tblGrid>
              <w:tr w:rsidR="00B637B2" w:rsidRPr="00A63CDC" w:rsidTr="00B637B2">
                <w:tc>
                  <w:tcPr>
                    <w:tcW w:w="2552" w:type="dxa"/>
                    <w:noWrap/>
                    <w:hideMark/>
                  </w:tcPr>
                  <w:p w:rsidR="00B637B2" w:rsidRPr="00A63CDC" w:rsidRDefault="008F04CF" w:rsidP="00B637B2">
                    <w:pPr>
                      <w:kinsoku w:val="0"/>
                      <w:overflowPunct w:val="0"/>
                      <w:autoSpaceDE w:val="0"/>
                      <w:autoSpaceDN w:val="0"/>
                      <w:adjustRightInd w:val="0"/>
                      <w:snapToGrid w:val="0"/>
                      <w:jc w:val="right"/>
                      <w:rPr>
                        <w:rFonts w:cs="Arial"/>
                        <w:sz w:val="20"/>
                        <w:szCs w:val="20"/>
                      </w:rPr>
                    </w:pPr>
                    <w:r w:rsidRPr="00A63CDC">
                      <w:rPr>
                        <w:rFonts w:cs="Arial"/>
                        <w:color w:val="000000"/>
                        <w:sz w:val="20"/>
                        <w:szCs w:val="20"/>
                      </w:rPr>
                      <w:t xml:space="preserve"> </w:t>
                    </w:r>
                  </w:p>
                </w:tc>
                <w:tc>
                  <w:tcPr>
                    <w:tcW w:w="319" w:type="dxa"/>
                    <w:vAlign w:val="bottom"/>
                    <w:hideMark/>
                  </w:tcPr>
                  <w:p w:rsidR="00B637B2" w:rsidRPr="00A63CDC" w:rsidRDefault="008F04CF" w:rsidP="00B637B2">
                    <w:pPr>
                      <w:kinsoku w:val="0"/>
                      <w:overflowPunct w:val="0"/>
                      <w:autoSpaceDE w:val="0"/>
                      <w:autoSpaceDN w:val="0"/>
                      <w:adjustRightInd w:val="0"/>
                      <w:snapToGrid w:val="0"/>
                      <w:rPr>
                        <w:rFonts w:cs="Arial"/>
                        <w:sz w:val="20"/>
                        <w:szCs w:val="20"/>
                      </w:rPr>
                    </w:pPr>
                    <w:r w:rsidRPr="00A63CDC">
                      <w:rPr>
                        <w:rFonts w:cs="Arial"/>
                        <w:color w:val="000000"/>
                        <w:sz w:val="20"/>
                        <w:szCs w:val="20"/>
                      </w:rPr>
                      <w:t xml:space="preserve"> </w:t>
                    </w:r>
                  </w:p>
                </w:tc>
                <w:tc>
                  <w:tcPr>
                    <w:tcW w:w="2606" w:type="dxa"/>
                    <w:gridSpan w:val="4"/>
                    <w:tcBorders>
                      <w:top w:val="nil"/>
                      <w:left w:val="nil"/>
                      <w:bottom w:val="single" w:sz="4" w:space="0" w:color="auto"/>
                      <w:right w:val="nil"/>
                    </w:tcBorders>
                    <w:vAlign w:val="bottom"/>
                    <w:hideMark/>
                  </w:tcPr>
                  <w:p w:rsidR="00B637B2" w:rsidRPr="00A63CDC" w:rsidRDefault="008F04CF" w:rsidP="00B637B2">
                    <w:pPr>
                      <w:kinsoku w:val="0"/>
                      <w:overflowPunct w:val="0"/>
                      <w:autoSpaceDE w:val="0"/>
                      <w:autoSpaceDN w:val="0"/>
                      <w:adjustRightInd w:val="0"/>
                      <w:snapToGrid w:val="0"/>
                      <w:jc w:val="center"/>
                      <w:rPr>
                        <w:rFonts w:cs="Arial"/>
                        <w:color w:val="000000"/>
                        <w:sz w:val="20"/>
                        <w:szCs w:val="20"/>
                      </w:rPr>
                    </w:pPr>
                    <w:r w:rsidRPr="00A63CDC">
                      <w:rPr>
                        <w:rFonts w:cs="Arial" w:hint="eastAsia"/>
                        <w:color w:val="000000"/>
                        <w:sz w:val="20"/>
                        <w:szCs w:val="20"/>
                      </w:rPr>
                      <w:t>账面价值</w:t>
                    </w:r>
                  </w:p>
                </w:tc>
                <w:tc>
                  <w:tcPr>
                    <w:tcW w:w="113" w:type="dxa"/>
                    <w:vAlign w:val="bottom"/>
                    <w:hideMark/>
                  </w:tcPr>
                  <w:p w:rsidR="00B637B2" w:rsidRPr="00A63CDC" w:rsidRDefault="008F04CF" w:rsidP="00B637B2">
                    <w:pPr>
                      <w:kinsoku w:val="0"/>
                      <w:overflowPunct w:val="0"/>
                      <w:autoSpaceDE w:val="0"/>
                      <w:autoSpaceDN w:val="0"/>
                      <w:adjustRightInd w:val="0"/>
                      <w:snapToGrid w:val="0"/>
                      <w:jc w:val="center"/>
                      <w:rPr>
                        <w:rFonts w:cs="Arial"/>
                        <w:color w:val="000000"/>
                        <w:sz w:val="20"/>
                        <w:szCs w:val="20"/>
                      </w:rPr>
                    </w:pPr>
                    <w:r w:rsidRPr="00A63CDC">
                      <w:rPr>
                        <w:rFonts w:cs="Arial"/>
                        <w:color w:val="000000"/>
                        <w:sz w:val="20"/>
                        <w:szCs w:val="20"/>
                      </w:rPr>
                      <w:t xml:space="preserve"> </w:t>
                    </w:r>
                  </w:p>
                </w:tc>
                <w:tc>
                  <w:tcPr>
                    <w:tcW w:w="113" w:type="dxa"/>
                    <w:vAlign w:val="bottom"/>
                    <w:hideMark/>
                  </w:tcPr>
                  <w:p w:rsidR="00B637B2" w:rsidRPr="00A63CDC" w:rsidRDefault="008F04CF" w:rsidP="00B637B2">
                    <w:pPr>
                      <w:kinsoku w:val="0"/>
                      <w:overflowPunct w:val="0"/>
                      <w:autoSpaceDE w:val="0"/>
                      <w:autoSpaceDN w:val="0"/>
                      <w:adjustRightInd w:val="0"/>
                      <w:snapToGrid w:val="0"/>
                      <w:jc w:val="right"/>
                      <w:rPr>
                        <w:rFonts w:cs="Arial"/>
                        <w:sz w:val="20"/>
                        <w:szCs w:val="20"/>
                      </w:rPr>
                    </w:pPr>
                    <w:r w:rsidRPr="00A63CDC">
                      <w:rPr>
                        <w:rFonts w:cs="Arial"/>
                        <w:color w:val="000000"/>
                        <w:sz w:val="20"/>
                        <w:szCs w:val="20"/>
                      </w:rPr>
                      <w:t xml:space="preserve"> </w:t>
                    </w:r>
                  </w:p>
                </w:tc>
                <w:tc>
                  <w:tcPr>
                    <w:tcW w:w="2626" w:type="dxa"/>
                    <w:gridSpan w:val="4"/>
                    <w:tcBorders>
                      <w:top w:val="nil"/>
                      <w:left w:val="nil"/>
                      <w:bottom w:val="single" w:sz="4" w:space="0" w:color="auto"/>
                      <w:right w:val="nil"/>
                    </w:tcBorders>
                    <w:vAlign w:val="bottom"/>
                    <w:hideMark/>
                  </w:tcPr>
                  <w:p w:rsidR="00B637B2" w:rsidRPr="00A63CDC" w:rsidRDefault="008F04CF" w:rsidP="00B637B2">
                    <w:pPr>
                      <w:kinsoku w:val="0"/>
                      <w:overflowPunct w:val="0"/>
                      <w:autoSpaceDE w:val="0"/>
                      <w:autoSpaceDN w:val="0"/>
                      <w:adjustRightInd w:val="0"/>
                      <w:snapToGrid w:val="0"/>
                      <w:jc w:val="center"/>
                      <w:rPr>
                        <w:rFonts w:cs="Arial"/>
                        <w:color w:val="000000"/>
                        <w:sz w:val="20"/>
                        <w:szCs w:val="20"/>
                      </w:rPr>
                    </w:pPr>
                    <w:r w:rsidRPr="00A63CDC">
                      <w:rPr>
                        <w:rFonts w:cs="Arial" w:hint="eastAsia"/>
                        <w:color w:val="000000"/>
                        <w:sz w:val="20"/>
                        <w:szCs w:val="20"/>
                      </w:rPr>
                      <w:t>公允价值</w:t>
                    </w:r>
                  </w:p>
                </w:tc>
                <w:tc>
                  <w:tcPr>
                    <w:tcW w:w="113" w:type="dxa"/>
                    <w:noWrap/>
                    <w:vAlign w:val="center"/>
                    <w:hideMark/>
                  </w:tcPr>
                  <w:p w:rsidR="00B637B2" w:rsidRPr="00A63CDC" w:rsidRDefault="008F04CF" w:rsidP="00B637B2">
                    <w:pPr>
                      <w:kinsoku w:val="0"/>
                      <w:overflowPunct w:val="0"/>
                      <w:autoSpaceDE w:val="0"/>
                      <w:autoSpaceDN w:val="0"/>
                      <w:adjustRightInd w:val="0"/>
                      <w:snapToGrid w:val="0"/>
                      <w:jc w:val="center"/>
                      <w:rPr>
                        <w:rFonts w:cs="Arial"/>
                        <w:color w:val="000000"/>
                        <w:sz w:val="20"/>
                        <w:szCs w:val="20"/>
                      </w:rPr>
                    </w:pPr>
                    <w:r w:rsidRPr="00A63CDC">
                      <w:rPr>
                        <w:rFonts w:cs="Arial"/>
                        <w:color w:val="000000"/>
                        <w:sz w:val="20"/>
                        <w:szCs w:val="20"/>
                      </w:rPr>
                      <w:t xml:space="preserve"> </w:t>
                    </w:r>
                  </w:p>
                </w:tc>
              </w:tr>
              <w:tr w:rsidR="00B637B2" w:rsidRPr="00A63CDC" w:rsidTr="00B637B2">
                <w:tc>
                  <w:tcPr>
                    <w:tcW w:w="2552" w:type="dxa"/>
                    <w:noWrap/>
                    <w:vAlign w:val="bottom"/>
                    <w:hideMark/>
                  </w:tcPr>
                  <w:p w:rsidR="00B637B2" w:rsidRPr="00A63CDC" w:rsidRDefault="008F04CF" w:rsidP="00B637B2">
                    <w:pPr>
                      <w:kinsoku w:val="0"/>
                      <w:overflowPunct w:val="0"/>
                      <w:autoSpaceDE w:val="0"/>
                      <w:autoSpaceDN w:val="0"/>
                      <w:adjustRightInd w:val="0"/>
                      <w:snapToGrid w:val="0"/>
                      <w:jc w:val="right"/>
                      <w:rPr>
                        <w:rFonts w:cs="Arial"/>
                        <w:sz w:val="20"/>
                        <w:szCs w:val="20"/>
                      </w:rPr>
                    </w:pPr>
                    <w:r w:rsidRPr="00A63CDC">
                      <w:rPr>
                        <w:rFonts w:cs="Arial"/>
                        <w:color w:val="000000"/>
                        <w:sz w:val="20"/>
                        <w:szCs w:val="20"/>
                      </w:rPr>
                      <w:t xml:space="preserve"> </w:t>
                    </w:r>
                  </w:p>
                </w:tc>
                <w:tc>
                  <w:tcPr>
                    <w:tcW w:w="319" w:type="dxa"/>
                    <w:vAlign w:val="bottom"/>
                    <w:hideMark/>
                  </w:tcPr>
                  <w:p w:rsidR="00B637B2" w:rsidRPr="00A63CDC" w:rsidRDefault="008F04CF" w:rsidP="00B637B2">
                    <w:pPr>
                      <w:kinsoku w:val="0"/>
                      <w:overflowPunct w:val="0"/>
                      <w:autoSpaceDE w:val="0"/>
                      <w:autoSpaceDN w:val="0"/>
                      <w:adjustRightInd w:val="0"/>
                      <w:snapToGrid w:val="0"/>
                      <w:rPr>
                        <w:rFonts w:cs="Arial"/>
                        <w:sz w:val="20"/>
                        <w:szCs w:val="20"/>
                      </w:rPr>
                    </w:pPr>
                    <w:r w:rsidRPr="00A63CDC">
                      <w:rPr>
                        <w:rFonts w:cs="Arial"/>
                        <w:color w:val="000000"/>
                        <w:sz w:val="20"/>
                        <w:szCs w:val="20"/>
                      </w:rPr>
                      <w:t xml:space="preserve"> </w:t>
                    </w:r>
                  </w:p>
                </w:tc>
                <w:tc>
                  <w:tcPr>
                    <w:tcW w:w="1190" w:type="dxa"/>
                    <w:vAlign w:val="bottom"/>
                    <w:hideMark/>
                  </w:tcPr>
                  <w:p w:rsidR="00B637B2" w:rsidRPr="00A63CDC" w:rsidRDefault="008F04CF" w:rsidP="00B637B2">
                    <w:pPr>
                      <w:kinsoku w:val="0"/>
                      <w:overflowPunct w:val="0"/>
                      <w:autoSpaceDE w:val="0"/>
                      <w:autoSpaceDN w:val="0"/>
                      <w:adjustRightInd w:val="0"/>
                      <w:snapToGrid w:val="0"/>
                      <w:jc w:val="right"/>
                      <w:rPr>
                        <w:rFonts w:cs="Arial"/>
                        <w:color w:val="000000"/>
                        <w:sz w:val="20"/>
                        <w:szCs w:val="20"/>
                      </w:rPr>
                    </w:pPr>
                    <w:r w:rsidRPr="00A63CDC">
                      <w:rPr>
                        <w:rFonts w:cs="Arial"/>
                        <w:color w:val="000000"/>
                        <w:sz w:val="20"/>
                        <w:szCs w:val="20"/>
                      </w:rPr>
                      <w:t>2019</w:t>
                    </w:r>
                    <w:r w:rsidRPr="00A63CDC">
                      <w:rPr>
                        <w:rFonts w:cs="Arial" w:hint="eastAsia"/>
                        <w:color w:val="000000"/>
                        <w:sz w:val="20"/>
                        <w:szCs w:val="20"/>
                      </w:rPr>
                      <w:t>年</w:t>
                    </w:r>
                  </w:p>
                </w:tc>
                <w:tc>
                  <w:tcPr>
                    <w:tcW w:w="113" w:type="dxa"/>
                    <w:vAlign w:val="bottom"/>
                    <w:hideMark/>
                  </w:tcPr>
                  <w:p w:rsidR="00B637B2" w:rsidRPr="00A63CDC" w:rsidRDefault="008F04CF" w:rsidP="00B637B2">
                    <w:pPr>
                      <w:kinsoku w:val="0"/>
                      <w:overflowPunct w:val="0"/>
                      <w:autoSpaceDE w:val="0"/>
                      <w:autoSpaceDN w:val="0"/>
                      <w:adjustRightInd w:val="0"/>
                      <w:snapToGrid w:val="0"/>
                      <w:jc w:val="right"/>
                      <w:rPr>
                        <w:rFonts w:cs="Arial"/>
                        <w:color w:val="000000"/>
                        <w:sz w:val="20"/>
                        <w:szCs w:val="20"/>
                      </w:rPr>
                    </w:pPr>
                    <w:r w:rsidRPr="00A63CDC">
                      <w:rPr>
                        <w:rFonts w:cs="Arial"/>
                        <w:color w:val="000000"/>
                        <w:sz w:val="20"/>
                        <w:szCs w:val="20"/>
                      </w:rPr>
                      <w:t xml:space="preserve"> </w:t>
                    </w:r>
                  </w:p>
                </w:tc>
                <w:tc>
                  <w:tcPr>
                    <w:tcW w:w="113" w:type="dxa"/>
                    <w:vAlign w:val="bottom"/>
                    <w:hideMark/>
                  </w:tcPr>
                  <w:p w:rsidR="00B637B2" w:rsidRPr="00A63CDC" w:rsidRDefault="008F04CF" w:rsidP="00B637B2">
                    <w:pPr>
                      <w:kinsoku w:val="0"/>
                      <w:overflowPunct w:val="0"/>
                      <w:autoSpaceDE w:val="0"/>
                      <w:autoSpaceDN w:val="0"/>
                      <w:adjustRightInd w:val="0"/>
                      <w:snapToGrid w:val="0"/>
                      <w:jc w:val="right"/>
                      <w:rPr>
                        <w:rFonts w:cs="Arial"/>
                        <w:sz w:val="20"/>
                        <w:szCs w:val="20"/>
                      </w:rPr>
                    </w:pPr>
                    <w:r w:rsidRPr="00A63CDC">
                      <w:rPr>
                        <w:rFonts w:cs="Arial"/>
                        <w:color w:val="000000"/>
                        <w:sz w:val="20"/>
                        <w:szCs w:val="20"/>
                      </w:rPr>
                      <w:t xml:space="preserve"> </w:t>
                    </w:r>
                  </w:p>
                </w:tc>
                <w:tc>
                  <w:tcPr>
                    <w:tcW w:w="1190" w:type="dxa"/>
                    <w:vAlign w:val="bottom"/>
                    <w:hideMark/>
                  </w:tcPr>
                  <w:p w:rsidR="00B637B2" w:rsidRPr="00A63CDC" w:rsidRDefault="008F04CF" w:rsidP="00B637B2">
                    <w:pPr>
                      <w:kinsoku w:val="0"/>
                      <w:overflowPunct w:val="0"/>
                      <w:autoSpaceDE w:val="0"/>
                      <w:autoSpaceDN w:val="0"/>
                      <w:adjustRightInd w:val="0"/>
                      <w:snapToGrid w:val="0"/>
                      <w:jc w:val="right"/>
                      <w:rPr>
                        <w:rFonts w:cs="Arial"/>
                        <w:color w:val="000000"/>
                        <w:sz w:val="20"/>
                        <w:szCs w:val="20"/>
                      </w:rPr>
                    </w:pPr>
                    <w:r w:rsidRPr="00A63CDC">
                      <w:rPr>
                        <w:rFonts w:cs="Arial"/>
                        <w:color w:val="000000"/>
                        <w:sz w:val="20"/>
                        <w:szCs w:val="20"/>
                      </w:rPr>
                      <w:t>2018</w:t>
                    </w:r>
                    <w:r w:rsidRPr="00A63CDC">
                      <w:rPr>
                        <w:rFonts w:cs="Arial" w:hint="eastAsia"/>
                        <w:color w:val="000000"/>
                        <w:sz w:val="20"/>
                        <w:szCs w:val="20"/>
                      </w:rPr>
                      <w:t>年</w:t>
                    </w:r>
                  </w:p>
                </w:tc>
                <w:tc>
                  <w:tcPr>
                    <w:tcW w:w="113" w:type="dxa"/>
                    <w:vAlign w:val="bottom"/>
                    <w:hideMark/>
                  </w:tcPr>
                  <w:p w:rsidR="00B637B2" w:rsidRPr="00A63CDC" w:rsidRDefault="008F04CF" w:rsidP="00B637B2">
                    <w:pPr>
                      <w:kinsoku w:val="0"/>
                      <w:overflowPunct w:val="0"/>
                      <w:autoSpaceDE w:val="0"/>
                      <w:autoSpaceDN w:val="0"/>
                      <w:adjustRightInd w:val="0"/>
                      <w:snapToGrid w:val="0"/>
                      <w:jc w:val="right"/>
                      <w:rPr>
                        <w:rFonts w:cs="Arial"/>
                        <w:color w:val="000000"/>
                        <w:sz w:val="20"/>
                        <w:szCs w:val="20"/>
                      </w:rPr>
                    </w:pPr>
                    <w:r w:rsidRPr="00A63CDC">
                      <w:rPr>
                        <w:rFonts w:cs="Arial"/>
                        <w:color w:val="000000"/>
                        <w:sz w:val="20"/>
                        <w:szCs w:val="20"/>
                      </w:rPr>
                      <w:t xml:space="preserve"> </w:t>
                    </w:r>
                  </w:p>
                </w:tc>
                <w:tc>
                  <w:tcPr>
                    <w:tcW w:w="113" w:type="dxa"/>
                    <w:vAlign w:val="bottom"/>
                    <w:hideMark/>
                  </w:tcPr>
                  <w:p w:rsidR="00B637B2" w:rsidRPr="00A63CDC" w:rsidRDefault="008F04CF" w:rsidP="00B637B2">
                    <w:pPr>
                      <w:kinsoku w:val="0"/>
                      <w:overflowPunct w:val="0"/>
                      <w:autoSpaceDE w:val="0"/>
                      <w:autoSpaceDN w:val="0"/>
                      <w:adjustRightInd w:val="0"/>
                      <w:snapToGrid w:val="0"/>
                      <w:jc w:val="right"/>
                      <w:rPr>
                        <w:rFonts w:cs="Arial"/>
                        <w:sz w:val="20"/>
                        <w:szCs w:val="20"/>
                      </w:rPr>
                    </w:pPr>
                    <w:r w:rsidRPr="00A63CDC">
                      <w:rPr>
                        <w:rFonts w:cs="Arial"/>
                        <w:color w:val="000000"/>
                        <w:sz w:val="20"/>
                        <w:szCs w:val="20"/>
                      </w:rPr>
                      <w:t xml:space="preserve"> </w:t>
                    </w:r>
                  </w:p>
                </w:tc>
                <w:tc>
                  <w:tcPr>
                    <w:tcW w:w="1190" w:type="dxa"/>
                    <w:vAlign w:val="bottom"/>
                    <w:hideMark/>
                  </w:tcPr>
                  <w:p w:rsidR="00B637B2" w:rsidRPr="00A63CDC" w:rsidRDefault="008F04CF" w:rsidP="00B637B2">
                    <w:pPr>
                      <w:kinsoku w:val="0"/>
                      <w:overflowPunct w:val="0"/>
                      <w:autoSpaceDE w:val="0"/>
                      <w:autoSpaceDN w:val="0"/>
                      <w:adjustRightInd w:val="0"/>
                      <w:snapToGrid w:val="0"/>
                      <w:jc w:val="right"/>
                      <w:rPr>
                        <w:rFonts w:cs="Arial"/>
                        <w:color w:val="000000"/>
                        <w:sz w:val="20"/>
                        <w:szCs w:val="20"/>
                      </w:rPr>
                    </w:pPr>
                    <w:r w:rsidRPr="00A63CDC">
                      <w:rPr>
                        <w:rFonts w:cs="Arial"/>
                        <w:color w:val="000000"/>
                        <w:sz w:val="20"/>
                        <w:szCs w:val="20"/>
                      </w:rPr>
                      <w:t>2019</w:t>
                    </w:r>
                    <w:r w:rsidRPr="00A63CDC">
                      <w:rPr>
                        <w:rFonts w:cs="Arial" w:hint="eastAsia"/>
                        <w:color w:val="000000"/>
                        <w:sz w:val="20"/>
                        <w:szCs w:val="20"/>
                      </w:rPr>
                      <w:t>年</w:t>
                    </w:r>
                  </w:p>
                </w:tc>
                <w:tc>
                  <w:tcPr>
                    <w:tcW w:w="113" w:type="dxa"/>
                    <w:vAlign w:val="bottom"/>
                    <w:hideMark/>
                  </w:tcPr>
                  <w:p w:rsidR="00B637B2" w:rsidRPr="00A63CDC" w:rsidRDefault="008F04CF" w:rsidP="00B637B2">
                    <w:pPr>
                      <w:kinsoku w:val="0"/>
                      <w:overflowPunct w:val="0"/>
                      <w:autoSpaceDE w:val="0"/>
                      <w:autoSpaceDN w:val="0"/>
                      <w:adjustRightInd w:val="0"/>
                      <w:snapToGrid w:val="0"/>
                      <w:jc w:val="right"/>
                      <w:rPr>
                        <w:rFonts w:cs="Arial"/>
                        <w:color w:val="000000"/>
                        <w:sz w:val="20"/>
                        <w:szCs w:val="20"/>
                      </w:rPr>
                    </w:pPr>
                    <w:r w:rsidRPr="00A63CDC">
                      <w:rPr>
                        <w:rFonts w:cs="Arial"/>
                        <w:color w:val="000000"/>
                        <w:sz w:val="20"/>
                        <w:szCs w:val="20"/>
                      </w:rPr>
                      <w:t xml:space="preserve"> </w:t>
                    </w:r>
                  </w:p>
                </w:tc>
                <w:tc>
                  <w:tcPr>
                    <w:tcW w:w="113" w:type="dxa"/>
                    <w:vAlign w:val="bottom"/>
                    <w:hideMark/>
                  </w:tcPr>
                  <w:p w:rsidR="00B637B2" w:rsidRPr="00A63CDC" w:rsidRDefault="008F04CF" w:rsidP="00B637B2">
                    <w:pPr>
                      <w:kinsoku w:val="0"/>
                      <w:overflowPunct w:val="0"/>
                      <w:autoSpaceDE w:val="0"/>
                      <w:autoSpaceDN w:val="0"/>
                      <w:adjustRightInd w:val="0"/>
                      <w:snapToGrid w:val="0"/>
                      <w:jc w:val="right"/>
                      <w:rPr>
                        <w:rFonts w:cs="Arial"/>
                        <w:sz w:val="20"/>
                        <w:szCs w:val="20"/>
                      </w:rPr>
                    </w:pPr>
                    <w:r w:rsidRPr="00A63CDC">
                      <w:rPr>
                        <w:rFonts w:cs="Arial"/>
                        <w:color w:val="000000"/>
                        <w:sz w:val="20"/>
                        <w:szCs w:val="20"/>
                      </w:rPr>
                      <w:t xml:space="preserve"> </w:t>
                    </w:r>
                  </w:p>
                </w:tc>
                <w:tc>
                  <w:tcPr>
                    <w:tcW w:w="1210" w:type="dxa"/>
                    <w:vAlign w:val="bottom"/>
                    <w:hideMark/>
                  </w:tcPr>
                  <w:p w:rsidR="00B637B2" w:rsidRPr="00A63CDC" w:rsidRDefault="008F04CF" w:rsidP="00B637B2">
                    <w:pPr>
                      <w:kinsoku w:val="0"/>
                      <w:overflowPunct w:val="0"/>
                      <w:autoSpaceDE w:val="0"/>
                      <w:autoSpaceDN w:val="0"/>
                      <w:adjustRightInd w:val="0"/>
                      <w:snapToGrid w:val="0"/>
                      <w:jc w:val="right"/>
                      <w:rPr>
                        <w:rFonts w:cs="Arial"/>
                        <w:color w:val="000000"/>
                        <w:sz w:val="20"/>
                        <w:szCs w:val="20"/>
                      </w:rPr>
                    </w:pPr>
                    <w:r w:rsidRPr="00A63CDC">
                      <w:rPr>
                        <w:rFonts w:cs="Arial"/>
                        <w:color w:val="000000"/>
                        <w:sz w:val="20"/>
                        <w:szCs w:val="20"/>
                      </w:rPr>
                      <w:t>2018</w:t>
                    </w:r>
                    <w:r w:rsidRPr="00A63CDC">
                      <w:rPr>
                        <w:rFonts w:cs="Arial" w:hint="eastAsia"/>
                        <w:color w:val="000000"/>
                        <w:sz w:val="20"/>
                        <w:szCs w:val="20"/>
                      </w:rPr>
                      <w:t>年</w:t>
                    </w:r>
                  </w:p>
                </w:tc>
                <w:tc>
                  <w:tcPr>
                    <w:tcW w:w="113" w:type="dxa"/>
                    <w:noWrap/>
                    <w:vAlign w:val="center"/>
                    <w:hideMark/>
                  </w:tcPr>
                  <w:p w:rsidR="00B637B2" w:rsidRPr="00A63CDC" w:rsidRDefault="008F04CF" w:rsidP="00B637B2">
                    <w:pPr>
                      <w:kinsoku w:val="0"/>
                      <w:overflowPunct w:val="0"/>
                      <w:autoSpaceDE w:val="0"/>
                      <w:autoSpaceDN w:val="0"/>
                      <w:adjustRightInd w:val="0"/>
                      <w:snapToGrid w:val="0"/>
                      <w:jc w:val="right"/>
                      <w:rPr>
                        <w:rFonts w:cs="Arial"/>
                        <w:color w:val="000000"/>
                        <w:sz w:val="20"/>
                        <w:szCs w:val="20"/>
                      </w:rPr>
                    </w:pPr>
                    <w:r w:rsidRPr="00A63CDC">
                      <w:rPr>
                        <w:rFonts w:cs="Arial"/>
                        <w:color w:val="000000"/>
                        <w:sz w:val="20"/>
                        <w:szCs w:val="20"/>
                      </w:rPr>
                      <w:t xml:space="preserve"> </w:t>
                    </w:r>
                  </w:p>
                </w:tc>
              </w:tr>
              <w:tr w:rsidR="00B637B2" w:rsidRPr="00A63CDC" w:rsidTr="00B637B2">
                <w:tc>
                  <w:tcPr>
                    <w:tcW w:w="2552" w:type="dxa"/>
                    <w:noWrap/>
                    <w:vAlign w:val="bottom"/>
                  </w:tcPr>
                  <w:p w:rsidR="00B637B2" w:rsidRPr="00A63CDC" w:rsidRDefault="00B637B2" w:rsidP="00B637B2">
                    <w:pPr>
                      <w:kinsoku w:val="0"/>
                      <w:overflowPunct w:val="0"/>
                      <w:autoSpaceDE w:val="0"/>
                      <w:autoSpaceDN w:val="0"/>
                      <w:adjustRightInd w:val="0"/>
                      <w:snapToGrid w:val="0"/>
                      <w:jc w:val="right"/>
                      <w:rPr>
                        <w:rFonts w:cs="Arial"/>
                        <w:color w:val="000000"/>
                        <w:sz w:val="20"/>
                        <w:szCs w:val="20"/>
                      </w:rPr>
                    </w:pPr>
                  </w:p>
                </w:tc>
                <w:tc>
                  <w:tcPr>
                    <w:tcW w:w="319" w:type="dxa"/>
                    <w:vAlign w:val="bottom"/>
                  </w:tcPr>
                  <w:p w:rsidR="00B637B2" w:rsidRPr="00A63CDC" w:rsidRDefault="00B637B2" w:rsidP="00B637B2">
                    <w:pPr>
                      <w:kinsoku w:val="0"/>
                      <w:overflowPunct w:val="0"/>
                      <w:autoSpaceDE w:val="0"/>
                      <w:autoSpaceDN w:val="0"/>
                      <w:adjustRightInd w:val="0"/>
                      <w:snapToGrid w:val="0"/>
                      <w:rPr>
                        <w:rFonts w:cs="Arial"/>
                        <w:color w:val="000000"/>
                        <w:sz w:val="20"/>
                        <w:szCs w:val="20"/>
                      </w:rPr>
                    </w:pPr>
                  </w:p>
                </w:tc>
                <w:tc>
                  <w:tcPr>
                    <w:tcW w:w="1190" w:type="dxa"/>
                    <w:vAlign w:val="bottom"/>
                    <w:hideMark/>
                  </w:tcPr>
                  <w:p w:rsidR="00B637B2" w:rsidRPr="00A63CDC" w:rsidRDefault="008F04CF" w:rsidP="00B637B2">
                    <w:pPr>
                      <w:kinsoku w:val="0"/>
                      <w:overflowPunct w:val="0"/>
                      <w:autoSpaceDE w:val="0"/>
                      <w:autoSpaceDN w:val="0"/>
                      <w:adjustRightInd w:val="0"/>
                      <w:snapToGrid w:val="0"/>
                      <w:jc w:val="right"/>
                      <w:rPr>
                        <w:rFonts w:cs="Arial"/>
                        <w:color w:val="000000"/>
                        <w:sz w:val="20"/>
                        <w:szCs w:val="20"/>
                      </w:rPr>
                    </w:pPr>
                    <w:r w:rsidRPr="00A63CDC">
                      <w:rPr>
                        <w:rFonts w:cs="Arial"/>
                        <w:color w:val="000000"/>
                        <w:sz w:val="20"/>
                        <w:szCs w:val="20"/>
                      </w:rPr>
                      <w:t>6</w:t>
                    </w:r>
                    <w:r w:rsidRPr="00A63CDC">
                      <w:rPr>
                        <w:rFonts w:cs="Arial" w:hint="eastAsia"/>
                        <w:color w:val="000000"/>
                        <w:sz w:val="20"/>
                        <w:szCs w:val="20"/>
                      </w:rPr>
                      <w:t>月</w:t>
                    </w:r>
                    <w:r w:rsidRPr="00A63CDC">
                      <w:rPr>
                        <w:rFonts w:cs="Arial"/>
                        <w:color w:val="000000"/>
                        <w:sz w:val="20"/>
                        <w:szCs w:val="20"/>
                      </w:rPr>
                      <w:t>30</w:t>
                    </w:r>
                    <w:r w:rsidRPr="00A63CDC">
                      <w:rPr>
                        <w:rFonts w:cs="Arial" w:hint="eastAsia"/>
                        <w:color w:val="000000"/>
                        <w:sz w:val="20"/>
                        <w:szCs w:val="20"/>
                      </w:rPr>
                      <w:t>日</w:t>
                    </w:r>
                  </w:p>
                </w:tc>
                <w:tc>
                  <w:tcPr>
                    <w:tcW w:w="113" w:type="dxa"/>
                    <w:vAlign w:val="bottom"/>
                  </w:tcPr>
                  <w:p w:rsidR="00B637B2" w:rsidRPr="00A63CDC" w:rsidRDefault="00B637B2" w:rsidP="00B637B2">
                    <w:pPr>
                      <w:kinsoku w:val="0"/>
                      <w:overflowPunct w:val="0"/>
                      <w:autoSpaceDE w:val="0"/>
                      <w:autoSpaceDN w:val="0"/>
                      <w:adjustRightInd w:val="0"/>
                      <w:snapToGrid w:val="0"/>
                      <w:jc w:val="right"/>
                      <w:rPr>
                        <w:rFonts w:cs="Arial"/>
                        <w:color w:val="000000"/>
                        <w:sz w:val="20"/>
                        <w:szCs w:val="20"/>
                      </w:rPr>
                    </w:pPr>
                  </w:p>
                </w:tc>
                <w:tc>
                  <w:tcPr>
                    <w:tcW w:w="113" w:type="dxa"/>
                    <w:vAlign w:val="bottom"/>
                  </w:tcPr>
                  <w:p w:rsidR="00B637B2" w:rsidRPr="00A63CDC" w:rsidRDefault="00B637B2" w:rsidP="00B637B2">
                    <w:pPr>
                      <w:kinsoku w:val="0"/>
                      <w:overflowPunct w:val="0"/>
                      <w:autoSpaceDE w:val="0"/>
                      <w:autoSpaceDN w:val="0"/>
                      <w:adjustRightInd w:val="0"/>
                      <w:snapToGrid w:val="0"/>
                      <w:jc w:val="right"/>
                      <w:rPr>
                        <w:rFonts w:cs="Arial"/>
                        <w:color w:val="000000"/>
                        <w:sz w:val="20"/>
                        <w:szCs w:val="20"/>
                      </w:rPr>
                    </w:pPr>
                  </w:p>
                </w:tc>
                <w:tc>
                  <w:tcPr>
                    <w:tcW w:w="1190" w:type="dxa"/>
                    <w:vAlign w:val="bottom"/>
                    <w:hideMark/>
                  </w:tcPr>
                  <w:p w:rsidR="00B637B2" w:rsidRPr="00A63CDC" w:rsidRDefault="008F04CF" w:rsidP="00B637B2">
                    <w:pPr>
                      <w:kinsoku w:val="0"/>
                      <w:overflowPunct w:val="0"/>
                      <w:autoSpaceDE w:val="0"/>
                      <w:autoSpaceDN w:val="0"/>
                      <w:adjustRightInd w:val="0"/>
                      <w:snapToGrid w:val="0"/>
                      <w:jc w:val="right"/>
                      <w:rPr>
                        <w:rFonts w:cs="Arial"/>
                        <w:color w:val="000000"/>
                        <w:sz w:val="20"/>
                        <w:szCs w:val="20"/>
                      </w:rPr>
                    </w:pPr>
                    <w:r w:rsidRPr="00A63CDC">
                      <w:rPr>
                        <w:rFonts w:cs="Arial"/>
                        <w:color w:val="000000"/>
                        <w:sz w:val="20"/>
                        <w:szCs w:val="20"/>
                      </w:rPr>
                      <w:t>12</w:t>
                    </w:r>
                    <w:r w:rsidRPr="00A63CDC">
                      <w:rPr>
                        <w:rFonts w:cs="Arial" w:hint="eastAsia"/>
                        <w:color w:val="000000"/>
                        <w:sz w:val="20"/>
                        <w:szCs w:val="20"/>
                      </w:rPr>
                      <w:t>月</w:t>
                    </w:r>
                    <w:r w:rsidRPr="00A63CDC">
                      <w:rPr>
                        <w:rFonts w:cs="Arial"/>
                        <w:color w:val="000000"/>
                        <w:sz w:val="20"/>
                        <w:szCs w:val="20"/>
                      </w:rPr>
                      <w:t>31</w:t>
                    </w:r>
                    <w:r w:rsidRPr="00A63CDC">
                      <w:rPr>
                        <w:rFonts w:cs="Arial" w:hint="eastAsia"/>
                        <w:color w:val="000000"/>
                        <w:sz w:val="20"/>
                        <w:szCs w:val="20"/>
                      </w:rPr>
                      <w:t>日</w:t>
                    </w:r>
                  </w:p>
                </w:tc>
                <w:tc>
                  <w:tcPr>
                    <w:tcW w:w="113" w:type="dxa"/>
                    <w:vAlign w:val="bottom"/>
                  </w:tcPr>
                  <w:p w:rsidR="00B637B2" w:rsidRPr="00A63CDC" w:rsidRDefault="00B637B2" w:rsidP="00B637B2">
                    <w:pPr>
                      <w:kinsoku w:val="0"/>
                      <w:overflowPunct w:val="0"/>
                      <w:autoSpaceDE w:val="0"/>
                      <w:autoSpaceDN w:val="0"/>
                      <w:adjustRightInd w:val="0"/>
                      <w:snapToGrid w:val="0"/>
                      <w:jc w:val="right"/>
                      <w:rPr>
                        <w:rFonts w:cs="Arial"/>
                        <w:color w:val="000000"/>
                        <w:sz w:val="20"/>
                        <w:szCs w:val="20"/>
                      </w:rPr>
                    </w:pPr>
                  </w:p>
                </w:tc>
                <w:tc>
                  <w:tcPr>
                    <w:tcW w:w="113" w:type="dxa"/>
                    <w:vAlign w:val="bottom"/>
                  </w:tcPr>
                  <w:p w:rsidR="00B637B2" w:rsidRPr="00A63CDC" w:rsidRDefault="00B637B2" w:rsidP="00B637B2">
                    <w:pPr>
                      <w:kinsoku w:val="0"/>
                      <w:overflowPunct w:val="0"/>
                      <w:autoSpaceDE w:val="0"/>
                      <w:autoSpaceDN w:val="0"/>
                      <w:adjustRightInd w:val="0"/>
                      <w:snapToGrid w:val="0"/>
                      <w:jc w:val="right"/>
                      <w:rPr>
                        <w:rFonts w:cs="Arial"/>
                        <w:color w:val="000000"/>
                        <w:sz w:val="20"/>
                        <w:szCs w:val="20"/>
                      </w:rPr>
                    </w:pPr>
                  </w:p>
                </w:tc>
                <w:tc>
                  <w:tcPr>
                    <w:tcW w:w="1190" w:type="dxa"/>
                    <w:vAlign w:val="bottom"/>
                    <w:hideMark/>
                  </w:tcPr>
                  <w:p w:rsidR="00B637B2" w:rsidRPr="00A63CDC" w:rsidRDefault="008F04CF" w:rsidP="00B637B2">
                    <w:pPr>
                      <w:kinsoku w:val="0"/>
                      <w:overflowPunct w:val="0"/>
                      <w:autoSpaceDE w:val="0"/>
                      <w:autoSpaceDN w:val="0"/>
                      <w:adjustRightInd w:val="0"/>
                      <w:snapToGrid w:val="0"/>
                      <w:jc w:val="right"/>
                      <w:rPr>
                        <w:rFonts w:cs="Arial"/>
                        <w:color w:val="000000"/>
                        <w:sz w:val="20"/>
                        <w:szCs w:val="20"/>
                      </w:rPr>
                    </w:pPr>
                    <w:r w:rsidRPr="00A63CDC">
                      <w:rPr>
                        <w:rFonts w:cs="Arial"/>
                        <w:color w:val="000000"/>
                        <w:sz w:val="20"/>
                        <w:szCs w:val="20"/>
                      </w:rPr>
                      <w:t>6</w:t>
                    </w:r>
                    <w:r w:rsidRPr="00A63CDC">
                      <w:rPr>
                        <w:rFonts w:cs="Arial" w:hint="eastAsia"/>
                        <w:color w:val="000000"/>
                        <w:sz w:val="20"/>
                        <w:szCs w:val="20"/>
                      </w:rPr>
                      <w:t>月</w:t>
                    </w:r>
                    <w:r w:rsidRPr="00A63CDC">
                      <w:rPr>
                        <w:rFonts w:cs="Arial"/>
                        <w:color w:val="000000"/>
                        <w:sz w:val="20"/>
                        <w:szCs w:val="20"/>
                      </w:rPr>
                      <w:t>30</w:t>
                    </w:r>
                    <w:r w:rsidRPr="00A63CDC">
                      <w:rPr>
                        <w:rFonts w:cs="Arial" w:hint="eastAsia"/>
                        <w:color w:val="000000"/>
                        <w:sz w:val="20"/>
                        <w:szCs w:val="20"/>
                      </w:rPr>
                      <w:t>日</w:t>
                    </w:r>
                  </w:p>
                </w:tc>
                <w:tc>
                  <w:tcPr>
                    <w:tcW w:w="113" w:type="dxa"/>
                    <w:vAlign w:val="bottom"/>
                  </w:tcPr>
                  <w:p w:rsidR="00B637B2" w:rsidRPr="00A63CDC" w:rsidRDefault="00B637B2" w:rsidP="00B637B2">
                    <w:pPr>
                      <w:kinsoku w:val="0"/>
                      <w:overflowPunct w:val="0"/>
                      <w:autoSpaceDE w:val="0"/>
                      <w:autoSpaceDN w:val="0"/>
                      <w:adjustRightInd w:val="0"/>
                      <w:snapToGrid w:val="0"/>
                      <w:jc w:val="right"/>
                      <w:rPr>
                        <w:rFonts w:cs="Arial"/>
                        <w:color w:val="000000"/>
                        <w:sz w:val="20"/>
                        <w:szCs w:val="20"/>
                      </w:rPr>
                    </w:pPr>
                  </w:p>
                </w:tc>
                <w:tc>
                  <w:tcPr>
                    <w:tcW w:w="113" w:type="dxa"/>
                    <w:vAlign w:val="bottom"/>
                  </w:tcPr>
                  <w:p w:rsidR="00B637B2" w:rsidRPr="00A63CDC" w:rsidRDefault="00B637B2" w:rsidP="00B637B2">
                    <w:pPr>
                      <w:kinsoku w:val="0"/>
                      <w:overflowPunct w:val="0"/>
                      <w:autoSpaceDE w:val="0"/>
                      <w:autoSpaceDN w:val="0"/>
                      <w:adjustRightInd w:val="0"/>
                      <w:snapToGrid w:val="0"/>
                      <w:jc w:val="right"/>
                      <w:rPr>
                        <w:rFonts w:cs="Arial"/>
                        <w:color w:val="000000"/>
                        <w:sz w:val="20"/>
                        <w:szCs w:val="20"/>
                      </w:rPr>
                    </w:pPr>
                  </w:p>
                </w:tc>
                <w:tc>
                  <w:tcPr>
                    <w:tcW w:w="1210" w:type="dxa"/>
                    <w:vAlign w:val="bottom"/>
                    <w:hideMark/>
                  </w:tcPr>
                  <w:p w:rsidR="00B637B2" w:rsidRPr="00A63CDC" w:rsidRDefault="008F04CF" w:rsidP="00B637B2">
                    <w:pPr>
                      <w:kinsoku w:val="0"/>
                      <w:overflowPunct w:val="0"/>
                      <w:autoSpaceDE w:val="0"/>
                      <w:autoSpaceDN w:val="0"/>
                      <w:adjustRightInd w:val="0"/>
                      <w:snapToGrid w:val="0"/>
                      <w:jc w:val="right"/>
                      <w:rPr>
                        <w:rFonts w:cs="Arial"/>
                        <w:color w:val="000000"/>
                        <w:sz w:val="20"/>
                        <w:szCs w:val="20"/>
                      </w:rPr>
                    </w:pPr>
                    <w:r w:rsidRPr="00A63CDC">
                      <w:rPr>
                        <w:rFonts w:cs="Arial"/>
                        <w:color w:val="000000"/>
                        <w:sz w:val="20"/>
                        <w:szCs w:val="20"/>
                      </w:rPr>
                      <w:t>12</w:t>
                    </w:r>
                    <w:r w:rsidRPr="00A63CDC">
                      <w:rPr>
                        <w:rFonts w:cs="Arial" w:hint="eastAsia"/>
                        <w:color w:val="000000"/>
                        <w:sz w:val="20"/>
                        <w:szCs w:val="20"/>
                      </w:rPr>
                      <w:t>月</w:t>
                    </w:r>
                    <w:r w:rsidRPr="00A63CDC">
                      <w:rPr>
                        <w:rFonts w:cs="Arial"/>
                        <w:color w:val="000000"/>
                        <w:sz w:val="20"/>
                        <w:szCs w:val="20"/>
                      </w:rPr>
                      <w:t>31</w:t>
                    </w:r>
                    <w:r w:rsidRPr="00A63CDC">
                      <w:rPr>
                        <w:rFonts w:cs="Arial" w:hint="eastAsia"/>
                        <w:color w:val="000000"/>
                        <w:sz w:val="20"/>
                        <w:szCs w:val="20"/>
                      </w:rPr>
                      <w:t>日</w:t>
                    </w:r>
                  </w:p>
                </w:tc>
                <w:tc>
                  <w:tcPr>
                    <w:tcW w:w="113" w:type="dxa"/>
                    <w:noWrap/>
                    <w:vAlign w:val="center"/>
                  </w:tcPr>
                  <w:p w:rsidR="00B637B2" w:rsidRPr="00A63CDC" w:rsidRDefault="00B637B2" w:rsidP="00B637B2">
                    <w:pPr>
                      <w:kinsoku w:val="0"/>
                      <w:overflowPunct w:val="0"/>
                      <w:autoSpaceDE w:val="0"/>
                      <w:autoSpaceDN w:val="0"/>
                      <w:adjustRightInd w:val="0"/>
                      <w:snapToGrid w:val="0"/>
                      <w:jc w:val="right"/>
                      <w:rPr>
                        <w:rFonts w:cs="Arial"/>
                        <w:color w:val="000000"/>
                        <w:sz w:val="20"/>
                        <w:szCs w:val="20"/>
                      </w:rPr>
                    </w:pPr>
                  </w:p>
                </w:tc>
              </w:tr>
              <w:tr w:rsidR="00B637B2" w:rsidRPr="00A63CDC" w:rsidTr="00B637B2">
                <w:tc>
                  <w:tcPr>
                    <w:tcW w:w="2552" w:type="dxa"/>
                    <w:noWrap/>
                    <w:vAlign w:val="bottom"/>
                    <w:hideMark/>
                  </w:tcPr>
                  <w:p w:rsidR="00B637B2" w:rsidRPr="00A63CDC" w:rsidRDefault="00B637B2" w:rsidP="00B637B2">
                    <w:pPr>
                      <w:rPr>
                        <w:rFonts w:cs="Arial"/>
                        <w:color w:val="000000"/>
                        <w:sz w:val="20"/>
                        <w:szCs w:val="20"/>
                      </w:rPr>
                    </w:pPr>
                  </w:p>
                </w:tc>
                <w:tc>
                  <w:tcPr>
                    <w:tcW w:w="319" w:type="dxa"/>
                    <w:vAlign w:val="bottom"/>
                    <w:hideMark/>
                  </w:tcPr>
                  <w:p w:rsidR="00B637B2" w:rsidRPr="00A63CDC" w:rsidRDefault="008F04CF" w:rsidP="00B637B2">
                    <w:pPr>
                      <w:kinsoku w:val="0"/>
                      <w:overflowPunct w:val="0"/>
                      <w:autoSpaceDE w:val="0"/>
                      <w:autoSpaceDN w:val="0"/>
                      <w:adjustRightInd w:val="0"/>
                      <w:snapToGrid w:val="0"/>
                      <w:rPr>
                        <w:rFonts w:cs="Arial"/>
                        <w:color w:val="000000"/>
                        <w:sz w:val="20"/>
                        <w:szCs w:val="20"/>
                      </w:rPr>
                    </w:pPr>
                    <w:r w:rsidRPr="00A63CDC">
                      <w:rPr>
                        <w:rFonts w:cs="Arial"/>
                        <w:color w:val="000000"/>
                        <w:sz w:val="20"/>
                        <w:szCs w:val="20"/>
                      </w:rPr>
                      <w:t xml:space="preserve"> </w:t>
                    </w:r>
                  </w:p>
                </w:tc>
                <w:tc>
                  <w:tcPr>
                    <w:tcW w:w="1190" w:type="dxa"/>
                    <w:vAlign w:val="bottom"/>
                    <w:hideMark/>
                  </w:tcPr>
                  <w:p w:rsidR="00B637B2" w:rsidRPr="00A63CDC" w:rsidRDefault="008F04CF" w:rsidP="00B637B2">
                    <w:pPr>
                      <w:kinsoku w:val="0"/>
                      <w:overflowPunct w:val="0"/>
                      <w:autoSpaceDE w:val="0"/>
                      <w:autoSpaceDN w:val="0"/>
                      <w:adjustRightInd w:val="0"/>
                      <w:snapToGrid w:val="0"/>
                      <w:jc w:val="right"/>
                      <w:rPr>
                        <w:rFonts w:cs="Arial"/>
                        <w:sz w:val="20"/>
                        <w:szCs w:val="20"/>
                      </w:rPr>
                    </w:pPr>
                    <w:r w:rsidRPr="00A63CDC">
                      <w:rPr>
                        <w:rFonts w:cs="Arial"/>
                        <w:color w:val="000000"/>
                        <w:sz w:val="20"/>
                        <w:szCs w:val="20"/>
                      </w:rPr>
                      <w:t xml:space="preserve"> </w:t>
                    </w:r>
                  </w:p>
                </w:tc>
                <w:tc>
                  <w:tcPr>
                    <w:tcW w:w="113" w:type="dxa"/>
                    <w:vAlign w:val="bottom"/>
                    <w:hideMark/>
                  </w:tcPr>
                  <w:p w:rsidR="00B637B2" w:rsidRPr="00A63CDC" w:rsidRDefault="008F04CF" w:rsidP="00B637B2">
                    <w:pPr>
                      <w:kinsoku w:val="0"/>
                      <w:overflowPunct w:val="0"/>
                      <w:autoSpaceDE w:val="0"/>
                      <w:autoSpaceDN w:val="0"/>
                      <w:adjustRightInd w:val="0"/>
                      <w:snapToGrid w:val="0"/>
                      <w:jc w:val="right"/>
                      <w:rPr>
                        <w:rFonts w:cs="Arial"/>
                        <w:sz w:val="20"/>
                        <w:szCs w:val="20"/>
                      </w:rPr>
                    </w:pPr>
                    <w:r w:rsidRPr="00A63CDC">
                      <w:rPr>
                        <w:rFonts w:cs="Arial"/>
                        <w:color w:val="000000"/>
                        <w:sz w:val="20"/>
                        <w:szCs w:val="20"/>
                      </w:rPr>
                      <w:t xml:space="preserve"> </w:t>
                    </w:r>
                  </w:p>
                </w:tc>
                <w:tc>
                  <w:tcPr>
                    <w:tcW w:w="113" w:type="dxa"/>
                    <w:vAlign w:val="bottom"/>
                    <w:hideMark/>
                  </w:tcPr>
                  <w:p w:rsidR="00B637B2" w:rsidRPr="00A63CDC" w:rsidRDefault="008F04CF" w:rsidP="00B637B2">
                    <w:pPr>
                      <w:kinsoku w:val="0"/>
                      <w:overflowPunct w:val="0"/>
                      <w:autoSpaceDE w:val="0"/>
                      <w:autoSpaceDN w:val="0"/>
                      <w:adjustRightInd w:val="0"/>
                      <w:snapToGrid w:val="0"/>
                      <w:jc w:val="right"/>
                      <w:rPr>
                        <w:rFonts w:cs="Arial"/>
                        <w:sz w:val="20"/>
                        <w:szCs w:val="20"/>
                      </w:rPr>
                    </w:pPr>
                    <w:r w:rsidRPr="00A63CDC">
                      <w:rPr>
                        <w:rFonts w:cs="Arial"/>
                        <w:color w:val="000000"/>
                        <w:sz w:val="20"/>
                        <w:szCs w:val="20"/>
                      </w:rPr>
                      <w:t xml:space="preserve"> </w:t>
                    </w:r>
                  </w:p>
                </w:tc>
                <w:tc>
                  <w:tcPr>
                    <w:tcW w:w="1190" w:type="dxa"/>
                    <w:vAlign w:val="bottom"/>
                    <w:hideMark/>
                  </w:tcPr>
                  <w:p w:rsidR="00B637B2" w:rsidRPr="00A63CDC" w:rsidRDefault="008F04CF" w:rsidP="00B637B2">
                    <w:pPr>
                      <w:kinsoku w:val="0"/>
                      <w:overflowPunct w:val="0"/>
                      <w:autoSpaceDE w:val="0"/>
                      <w:autoSpaceDN w:val="0"/>
                      <w:adjustRightInd w:val="0"/>
                      <w:snapToGrid w:val="0"/>
                      <w:jc w:val="right"/>
                      <w:rPr>
                        <w:rFonts w:cs="Arial"/>
                        <w:sz w:val="20"/>
                        <w:szCs w:val="20"/>
                      </w:rPr>
                    </w:pPr>
                    <w:r w:rsidRPr="00A63CDC">
                      <w:rPr>
                        <w:rFonts w:cs="Arial"/>
                        <w:color w:val="000000"/>
                        <w:sz w:val="20"/>
                        <w:szCs w:val="20"/>
                      </w:rPr>
                      <w:t xml:space="preserve"> </w:t>
                    </w:r>
                  </w:p>
                </w:tc>
                <w:tc>
                  <w:tcPr>
                    <w:tcW w:w="113" w:type="dxa"/>
                    <w:vAlign w:val="bottom"/>
                    <w:hideMark/>
                  </w:tcPr>
                  <w:p w:rsidR="00B637B2" w:rsidRPr="00A63CDC" w:rsidRDefault="008F04CF" w:rsidP="00B637B2">
                    <w:pPr>
                      <w:kinsoku w:val="0"/>
                      <w:overflowPunct w:val="0"/>
                      <w:autoSpaceDE w:val="0"/>
                      <w:autoSpaceDN w:val="0"/>
                      <w:adjustRightInd w:val="0"/>
                      <w:snapToGrid w:val="0"/>
                      <w:jc w:val="right"/>
                      <w:rPr>
                        <w:rFonts w:cs="Arial"/>
                        <w:sz w:val="20"/>
                        <w:szCs w:val="20"/>
                      </w:rPr>
                    </w:pPr>
                    <w:r w:rsidRPr="00A63CDC">
                      <w:rPr>
                        <w:rFonts w:cs="Arial"/>
                        <w:color w:val="000000"/>
                        <w:sz w:val="20"/>
                        <w:szCs w:val="20"/>
                      </w:rPr>
                      <w:t xml:space="preserve"> </w:t>
                    </w:r>
                  </w:p>
                </w:tc>
                <w:tc>
                  <w:tcPr>
                    <w:tcW w:w="113" w:type="dxa"/>
                    <w:vAlign w:val="bottom"/>
                    <w:hideMark/>
                  </w:tcPr>
                  <w:p w:rsidR="00B637B2" w:rsidRPr="00A63CDC" w:rsidRDefault="008F04CF" w:rsidP="00B637B2">
                    <w:pPr>
                      <w:kinsoku w:val="0"/>
                      <w:overflowPunct w:val="0"/>
                      <w:autoSpaceDE w:val="0"/>
                      <w:autoSpaceDN w:val="0"/>
                      <w:adjustRightInd w:val="0"/>
                      <w:snapToGrid w:val="0"/>
                      <w:jc w:val="right"/>
                      <w:rPr>
                        <w:rFonts w:cs="Arial"/>
                        <w:sz w:val="20"/>
                        <w:szCs w:val="20"/>
                      </w:rPr>
                    </w:pPr>
                    <w:r w:rsidRPr="00A63CDC">
                      <w:rPr>
                        <w:rFonts w:cs="Arial"/>
                        <w:color w:val="000000"/>
                        <w:sz w:val="20"/>
                        <w:szCs w:val="20"/>
                      </w:rPr>
                      <w:t xml:space="preserve"> </w:t>
                    </w:r>
                  </w:p>
                </w:tc>
                <w:tc>
                  <w:tcPr>
                    <w:tcW w:w="1190" w:type="dxa"/>
                    <w:noWrap/>
                    <w:vAlign w:val="bottom"/>
                  </w:tcPr>
                  <w:p w:rsidR="00B637B2" w:rsidRPr="00A63CDC" w:rsidRDefault="00B637B2" w:rsidP="00B637B2">
                    <w:pPr>
                      <w:kinsoku w:val="0"/>
                      <w:overflowPunct w:val="0"/>
                      <w:autoSpaceDE w:val="0"/>
                      <w:autoSpaceDN w:val="0"/>
                      <w:adjustRightInd w:val="0"/>
                      <w:snapToGrid w:val="0"/>
                      <w:jc w:val="right"/>
                      <w:rPr>
                        <w:rFonts w:cs="Arial"/>
                        <w:color w:val="000000"/>
                        <w:sz w:val="20"/>
                        <w:szCs w:val="20"/>
                      </w:rPr>
                    </w:pPr>
                  </w:p>
                </w:tc>
                <w:tc>
                  <w:tcPr>
                    <w:tcW w:w="113" w:type="dxa"/>
                    <w:vAlign w:val="bottom"/>
                  </w:tcPr>
                  <w:p w:rsidR="00B637B2" w:rsidRPr="00A63CDC" w:rsidRDefault="00B637B2" w:rsidP="00B637B2">
                    <w:pPr>
                      <w:kinsoku w:val="0"/>
                      <w:overflowPunct w:val="0"/>
                      <w:autoSpaceDE w:val="0"/>
                      <w:autoSpaceDN w:val="0"/>
                      <w:adjustRightInd w:val="0"/>
                      <w:snapToGrid w:val="0"/>
                      <w:jc w:val="right"/>
                      <w:rPr>
                        <w:rFonts w:cs="Arial"/>
                        <w:color w:val="000000"/>
                        <w:sz w:val="20"/>
                        <w:szCs w:val="20"/>
                      </w:rPr>
                    </w:pPr>
                  </w:p>
                </w:tc>
                <w:tc>
                  <w:tcPr>
                    <w:tcW w:w="113" w:type="dxa"/>
                    <w:vAlign w:val="bottom"/>
                  </w:tcPr>
                  <w:p w:rsidR="00B637B2" w:rsidRPr="00A63CDC" w:rsidRDefault="00B637B2" w:rsidP="00B637B2">
                    <w:pPr>
                      <w:kinsoku w:val="0"/>
                      <w:overflowPunct w:val="0"/>
                      <w:autoSpaceDE w:val="0"/>
                      <w:autoSpaceDN w:val="0"/>
                      <w:adjustRightInd w:val="0"/>
                      <w:snapToGrid w:val="0"/>
                      <w:jc w:val="right"/>
                      <w:rPr>
                        <w:rFonts w:cs="Arial"/>
                        <w:sz w:val="20"/>
                        <w:szCs w:val="20"/>
                      </w:rPr>
                    </w:pPr>
                  </w:p>
                </w:tc>
                <w:tc>
                  <w:tcPr>
                    <w:tcW w:w="1210" w:type="dxa"/>
                    <w:noWrap/>
                    <w:vAlign w:val="bottom"/>
                  </w:tcPr>
                  <w:p w:rsidR="00B637B2" w:rsidRPr="00A63CDC" w:rsidRDefault="00B637B2" w:rsidP="00B637B2">
                    <w:pPr>
                      <w:kinsoku w:val="0"/>
                      <w:overflowPunct w:val="0"/>
                      <w:autoSpaceDE w:val="0"/>
                      <w:autoSpaceDN w:val="0"/>
                      <w:adjustRightInd w:val="0"/>
                      <w:snapToGrid w:val="0"/>
                      <w:jc w:val="right"/>
                      <w:rPr>
                        <w:rFonts w:cs="Arial"/>
                        <w:color w:val="000000"/>
                        <w:sz w:val="20"/>
                        <w:szCs w:val="20"/>
                      </w:rPr>
                    </w:pPr>
                  </w:p>
                </w:tc>
                <w:tc>
                  <w:tcPr>
                    <w:tcW w:w="113" w:type="dxa"/>
                    <w:noWrap/>
                    <w:vAlign w:val="bottom"/>
                    <w:hideMark/>
                  </w:tcPr>
                  <w:p w:rsidR="00B637B2" w:rsidRPr="00A63CDC" w:rsidRDefault="008F04CF" w:rsidP="00B637B2">
                    <w:pPr>
                      <w:kinsoku w:val="0"/>
                      <w:overflowPunct w:val="0"/>
                      <w:autoSpaceDE w:val="0"/>
                      <w:autoSpaceDN w:val="0"/>
                      <w:adjustRightInd w:val="0"/>
                      <w:snapToGrid w:val="0"/>
                      <w:jc w:val="right"/>
                      <w:rPr>
                        <w:rFonts w:cs="Arial"/>
                        <w:color w:val="000000"/>
                        <w:sz w:val="20"/>
                        <w:szCs w:val="20"/>
                      </w:rPr>
                    </w:pPr>
                    <w:r w:rsidRPr="00A63CDC">
                      <w:rPr>
                        <w:rFonts w:cs="Arial"/>
                        <w:color w:val="000000"/>
                        <w:sz w:val="20"/>
                        <w:szCs w:val="20"/>
                      </w:rPr>
                      <w:t xml:space="preserve"> </w:t>
                    </w:r>
                  </w:p>
                </w:tc>
              </w:tr>
              <w:tr w:rsidR="00B637B2" w:rsidRPr="00A63CDC" w:rsidTr="00B637B2">
                <w:tc>
                  <w:tcPr>
                    <w:tcW w:w="2552" w:type="dxa"/>
                    <w:noWrap/>
                    <w:hideMark/>
                  </w:tcPr>
                  <w:p w:rsidR="00B637B2" w:rsidRPr="00A63CDC" w:rsidRDefault="008F04CF" w:rsidP="00B637B2">
                    <w:pPr>
                      <w:kinsoku w:val="0"/>
                      <w:overflowPunct w:val="0"/>
                      <w:autoSpaceDE w:val="0"/>
                      <w:autoSpaceDN w:val="0"/>
                      <w:adjustRightInd w:val="0"/>
                      <w:snapToGrid w:val="0"/>
                      <w:rPr>
                        <w:rFonts w:cs="Arial"/>
                        <w:color w:val="000000"/>
                        <w:sz w:val="20"/>
                        <w:szCs w:val="20"/>
                      </w:rPr>
                    </w:pPr>
                    <w:r w:rsidRPr="00A63CDC">
                      <w:rPr>
                        <w:rFonts w:cs="Arial" w:hint="eastAsia"/>
                        <w:sz w:val="20"/>
                        <w:szCs w:val="20"/>
                      </w:rPr>
                      <w:t>长期借款</w:t>
                    </w:r>
                  </w:p>
                </w:tc>
                <w:tc>
                  <w:tcPr>
                    <w:tcW w:w="319" w:type="dxa"/>
                    <w:vAlign w:val="bottom"/>
                    <w:hideMark/>
                  </w:tcPr>
                  <w:p w:rsidR="00B637B2" w:rsidRPr="00A63CDC" w:rsidRDefault="00B637B2" w:rsidP="00B637B2">
                    <w:pPr>
                      <w:rPr>
                        <w:rFonts w:cs="Arial"/>
                        <w:color w:val="000000"/>
                        <w:sz w:val="20"/>
                        <w:szCs w:val="20"/>
                      </w:rPr>
                    </w:pPr>
                  </w:p>
                </w:tc>
                <w:tc>
                  <w:tcPr>
                    <w:tcW w:w="1190" w:type="dxa"/>
                    <w:vAlign w:val="bottom"/>
                    <w:hideMark/>
                  </w:tcPr>
                  <w:p w:rsidR="00B637B2" w:rsidRPr="00A63CDC" w:rsidRDefault="008F04CF" w:rsidP="00B637B2">
                    <w:pPr>
                      <w:kinsoku w:val="0"/>
                      <w:overflowPunct w:val="0"/>
                      <w:autoSpaceDE w:val="0"/>
                      <w:autoSpaceDN w:val="0"/>
                      <w:adjustRightInd w:val="0"/>
                      <w:snapToGrid w:val="0"/>
                      <w:jc w:val="right"/>
                      <w:rPr>
                        <w:rFonts w:cs="Arial"/>
                        <w:color w:val="000000"/>
                        <w:sz w:val="20"/>
                        <w:szCs w:val="20"/>
                      </w:rPr>
                    </w:pPr>
                    <w:r w:rsidRPr="00A63CDC">
                      <w:rPr>
                        <w:rFonts w:cs="Arial"/>
                        <w:color w:val="000000"/>
                        <w:sz w:val="20"/>
                        <w:szCs w:val="20"/>
                        <w:u w:val="double"/>
                      </w:rPr>
                      <w:t>90,000,000</w:t>
                    </w:r>
                  </w:p>
                </w:tc>
                <w:tc>
                  <w:tcPr>
                    <w:tcW w:w="113" w:type="dxa"/>
                    <w:vAlign w:val="bottom"/>
                  </w:tcPr>
                  <w:p w:rsidR="00B637B2" w:rsidRPr="00A63CDC" w:rsidRDefault="00B637B2" w:rsidP="00B637B2">
                    <w:pPr>
                      <w:kinsoku w:val="0"/>
                      <w:overflowPunct w:val="0"/>
                      <w:autoSpaceDE w:val="0"/>
                      <w:autoSpaceDN w:val="0"/>
                      <w:adjustRightInd w:val="0"/>
                      <w:snapToGrid w:val="0"/>
                      <w:jc w:val="right"/>
                      <w:rPr>
                        <w:rFonts w:cs="Arial"/>
                        <w:color w:val="000000"/>
                        <w:sz w:val="20"/>
                        <w:szCs w:val="20"/>
                      </w:rPr>
                    </w:pPr>
                  </w:p>
                </w:tc>
                <w:tc>
                  <w:tcPr>
                    <w:tcW w:w="113" w:type="dxa"/>
                    <w:vAlign w:val="bottom"/>
                  </w:tcPr>
                  <w:p w:rsidR="00B637B2" w:rsidRPr="00A63CDC" w:rsidRDefault="00B637B2" w:rsidP="00B637B2">
                    <w:pPr>
                      <w:kinsoku w:val="0"/>
                      <w:overflowPunct w:val="0"/>
                      <w:autoSpaceDE w:val="0"/>
                      <w:autoSpaceDN w:val="0"/>
                      <w:adjustRightInd w:val="0"/>
                      <w:snapToGrid w:val="0"/>
                      <w:jc w:val="right"/>
                      <w:rPr>
                        <w:rFonts w:cs="Arial"/>
                        <w:sz w:val="20"/>
                        <w:szCs w:val="20"/>
                      </w:rPr>
                    </w:pPr>
                  </w:p>
                </w:tc>
                <w:tc>
                  <w:tcPr>
                    <w:tcW w:w="1190" w:type="dxa"/>
                    <w:vAlign w:val="bottom"/>
                    <w:hideMark/>
                  </w:tcPr>
                  <w:p w:rsidR="00B637B2" w:rsidRPr="00A63CDC" w:rsidRDefault="008F04CF" w:rsidP="00B637B2">
                    <w:pPr>
                      <w:kinsoku w:val="0"/>
                      <w:overflowPunct w:val="0"/>
                      <w:autoSpaceDE w:val="0"/>
                      <w:autoSpaceDN w:val="0"/>
                      <w:adjustRightInd w:val="0"/>
                      <w:snapToGrid w:val="0"/>
                      <w:jc w:val="right"/>
                      <w:rPr>
                        <w:rFonts w:cs="Arial"/>
                        <w:color w:val="000000"/>
                        <w:sz w:val="20"/>
                        <w:szCs w:val="20"/>
                      </w:rPr>
                    </w:pPr>
                    <w:r w:rsidRPr="00A63CDC">
                      <w:rPr>
                        <w:rFonts w:cs="Arial"/>
                        <w:color w:val="000000"/>
                        <w:sz w:val="20"/>
                        <w:szCs w:val="20"/>
                        <w:u w:val="double"/>
                      </w:rPr>
                      <w:t>171,666,664</w:t>
                    </w:r>
                  </w:p>
                </w:tc>
                <w:tc>
                  <w:tcPr>
                    <w:tcW w:w="113" w:type="dxa"/>
                    <w:vAlign w:val="bottom"/>
                  </w:tcPr>
                  <w:p w:rsidR="00B637B2" w:rsidRPr="00A63CDC" w:rsidRDefault="00B637B2" w:rsidP="00B637B2">
                    <w:pPr>
                      <w:kinsoku w:val="0"/>
                      <w:overflowPunct w:val="0"/>
                      <w:autoSpaceDE w:val="0"/>
                      <w:autoSpaceDN w:val="0"/>
                      <w:adjustRightInd w:val="0"/>
                      <w:snapToGrid w:val="0"/>
                      <w:jc w:val="right"/>
                      <w:rPr>
                        <w:rFonts w:cs="Arial"/>
                        <w:color w:val="000000"/>
                        <w:sz w:val="20"/>
                        <w:szCs w:val="20"/>
                      </w:rPr>
                    </w:pPr>
                  </w:p>
                </w:tc>
                <w:tc>
                  <w:tcPr>
                    <w:tcW w:w="113" w:type="dxa"/>
                    <w:vAlign w:val="bottom"/>
                  </w:tcPr>
                  <w:p w:rsidR="00B637B2" w:rsidRPr="00A63CDC" w:rsidRDefault="00B637B2" w:rsidP="00B637B2">
                    <w:pPr>
                      <w:kinsoku w:val="0"/>
                      <w:overflowPunct w:val="0"/>
                      <w:autoSpaceDE w:val="0"/>
                      <w:autoSpaceDN w:val="0"/>
                      <w:adjustRightInd w:val="0"/>
                      <w:snapToGrid w:val="0"/>
                      <w:jc w:val="right"/>
                      <w:rPr>
                        <w:rFonts w:cs="Arial"/>
                        <w:sz w:val="20"/>
                        <w:szCs w:val="20"/>
                      </w:rPr>
                    </w:pPr>
                  </w:p>
                </w:tc>
                <w:tc>
                  <w:tcPr>
                    <w:tcW w:w="1190" w:type="dxa"/>
                    <w:noWrap/>
                    <w:vAlign w:val="bottom"/>
                    <w:hideMark/>
                  </w:tcPr>
                  <w:p w:rsidR="00B637B2" w:rsidRPr="00A63CDC" w:rsidRDefault="008F04CF" w:rsidP="00B637B2">
                    <w:pPr>
                      <w:kinsoku w:val="0"/>
                      <w:overflowPunct w:val="0"/>
                      <w:autoSpaceDE w:val="0"/>
                      <w:autoSpaceDN w:val="0"/>
                      <w:adjustRightInd w:val="0"/>
                      <w:snapToGrid w:val="0"/>
                      <w:jc w:val="right"/>
                      <w:rPr>
                        <w:rFonts w:cs="Arial"/>
                        <w:color w:val="000000"/>
                        <w:sz w:val="20"/>
                        <w:szCs w:val="20"/>
                      </w:rPr>
                    </w:pPr>
                    <w:r w:rsidRPr="00A63CDC">
                      <w:rPr>
                        <w:rFonts w:cs="Arial"/>
                        <w:color w:val="000000"/>
                        <w:sz w:val="20"/>
                        <w:szCs w:val="20"/>
                        <w:u w:val="double"/>
                      </w:rPr>
                      <w:t>83,112,920</w:t>
                    </w:r>
                  </w:p>
                </w:tc>
                <w:tc>
                  <w:tcPr>
                    <w:tcW w:w="113" w:type="dxa"/>
                    <w:vAlign w:val="bottom"/>
                  </w:tcPr>
                  <w:p w:rsidR="00B637B2" w:rsidRPr="00A63CDC" w:rsidRDefault="00B637B2" w:rsidP="00B637B2">
                    <w:pPr>
                      <w:kinsoku w:val="0"/>
                      <w:overflowPunct w:val="0"/>
                      <w:autoSpaceDE w:val="0"/>
                      <w:autoSpaceDN w:val="0"/>
                      <w:adjustRightInd w:val="0"/>
                      <w:snapToGrid w:val="0"/>
                      <w:jc w:val="right"/>
                      <w:rPr>
                        <w:rFonts w:cs="Arial"/>
                        <w:color w:val="000000"/>
                        <w:sz w:val="20"/>
                        <w:szCs w:val="20"/>
                      </w:rPr>
                    </w:pPr>
                  </w:p>
                </w:tc>
                <w:tc>
                  <w:tcPr>
                    <w:tcW w:w="113" w:type="dxa"/>
                    <w:vAlign w:val="bottom"/>
                  </w:tcPr>
                  <w:p w:rsidR="00B637B2" w:rsidRPr="00A63CDC" w:rsidRDefault="00B637B2" w:rsidP="00B637B2">
                    <w:pPr>
                      <w:kinsoku w:val="0"/>
                      <w:overflowPunct w:val="0"/>
                      <w:autoSpaceDE w:val="0"/>
                      <w:autoSpaceDN w:val="0"/>
                      <w:adjustRightInd w:val="0"/>
                      <w:snapToGrid w:val="0"/>
                      <w:jc w:val="right"/>
                      <w:rPr>
                        <w:rFonts w:cs="Arial"/>
                        <w:sz w:val="20"/>
                        <w:szCs w:val="20"/>
                      </w:rPr>
                    </w:pPr>
                  </w:p>
                </w:tc>
                <w:tc>
                  <w:tcPr>
                    <w:tcW w:w="1210" w:type="dxa"/>
                    <w:noWrap/>
                    <w:vAlign w:val="bottom"/>
                    <w:hideMark/>
                  </w:tcPr>
                  <w:p w:rsidR="00B637B2" w:rsidRPr="00A63CDC" w:rsidRDefault="008F04CF" w:rsidP="00B637B2">
                    <w:pPr>
                      <w:kinsoku w:val="0"/>
                      <w:overflowPunct w:val="0"/>
                      <w:autoSpaceDE w:val="0"/>
                      <w:autoSpaceDN w:val="0"/>
                      <w:adjustRightInd w:val="0"/>
                      <w:snapToGrid w:val="0"/>
                      <w:jc w:val="right"/>
                      <w:rPr>
                        <w:rFonts w:cs="Arial"/>
                        <w:color w:val="000000"/>
                        <w:sz w:val="20"/>
                        <w:szCs w:val="20"/>
                      </w:rPr>
                    </w:pPr>
                    <w:r w:rsidRPr="00A63CDC">
                      <w:rPr>
                        <w:rFonts w:cs="Arial"/>
                        <w:color w:val="000000"/>
                        <w:sz w:val="20"/>
                        <w:szCs w:val="20"/>
                        <w:u w:val="double"/>
                      </w:rPr>
                      <w:t>160,254,188</w:t>
                    </w:r>
                  </w:p>
                </w:tc>
                <w:tc>
                  <w:tcPr>
                    <w:tcW w:w="113" w:type="dxa"/>
                    <w:noWrap/>
                    <w:vAlign w:val="bottom"/>
                    <w:hideMark/>
                  </w:tcPr>
                  <w:p w:rsidR="00B637B2" w:rsidRPr="00A63CDC" w:rsidRDefault="008F04CF" w:rsidP="00B637B2">
                    <w:pPr>
                      <w:kinsoku w:val="0"/>
                      <w:overflowPunct w:val="0"/>
                      <w:autoSpaceDE w:val="0"/>
                      <w:autoSpaceDN w:val="0"/>
                      <w:adjustRightInd w:val="0"/>
                      <w:snapToGrid w:val="0"/>
                      <w:jc w:val="right"/>
                      <w:rPr>
                        <w:rFonts w:cs="Arial"/>
                        <w:color w:val="000000"/>
                        <w:sz w:val="20"/>
                        <w:szCs w:val="20"/>
                      </w:rPr>
                    </w:pPr>
                    <w:r w:rsidRPr="00A63CDC">
                      <w:rPr>
                        <w:rFonts w:cs="Arial"/>
                        <w:color w:val="000000"/>
                        <w:sz w:val="20"/>
                        <w:szCs w:val="20"/>
                      </w:rPr>
                      <w:t xml:space="preserve"> </w:t>
                    </w:r>
                  </w:p>
                </w:tc>
              </w:tr>
            </w:tbl>
            <w:p w:rsidR="00B637B2" w:rsidRPr="00A63CDC" w:rsidRDefault="00B637B2" w:rsidP="00B637B2">
              <w:pPr>
                <w:rPr>
                  <w:rFonts w:cs="Times New Roman"/>
                  <w:sz w:val="24"/>
                </w:rPr>
              </w:pPr>
            </w:p>
            <w:p w:rsidR="00B637B2" w:rsidRPr="00A63CDC" w:rsidRDefault="008F04CF" w:rsidP="00B637B2">
              <w:pPr>
                <w:overflowPunct w:val="0"/>
                <w:autoSpaceDE w:val="0"/>
                <w:autoSpaceDN w:val="0"/>
                <w:adjustRightInd w:val="0"/>
                <w:snapToGrid w:val="0"/>
                <w:jc w:val="both"/>
                <w:rPr>
                  <w:rFonts w:cs="Arial"/>
                  <w:snapToGrid w:val="0"/>
                  <w:sz w:val="20"/>
                  <w:szCs w:val="20"/>
                </w:rPr>
              </w:pPr>
              <w:r w:rsidRPr="00A63CDC">
                <w:rPr>
                  <w:rFonts w:cs="Arial" w:hint="eastAsia"/>
                  <w:snapToGrid w:val="0"/>
                  <w:sz w:val="20"/>
                  <w:szCs w:val="20"/>
                </w:rPr>
                <w:lastRenderedPageBreak/>
                <w:t>管理层已经评估了货币资金、应收票据及应收账款、应收利息、其他应收款、其他流动资产、短期借款、应付账款、应付利息、其他应付款、一年内到期的长期借款等，因剩余期限不长，公允价值与账面价值相若。</w:t>
              </w:r>
            </w:p>
            <w:p w:rsidR="00B637B2" w:rsidRPr="00A63CDC" w:rsidRDefault="00B637B2" w:rsidP="00B637B2">
              <w:pPr>
                <w:overflowPunct w:val="0"/>
                <w:autoSpaceDE w:val="0"/>
                <w:autoSpaceDN w:val="0"/>
                <w:adjustRightInd w:val="0"/>
                <w:snapToGrid w:val="0"/>
                <w:jc w:val="both"/>
                <w:rPr>
                  <w:rFonts w:cs="Arial"/>
                  <w:snapToGrid w:val="0"/>
                  <w:sz w:val="20"/>
                  <w:szCs w:val="20"/>
                </w:rPr>
              </w:pPr>
            </w:p>
            <w:p w:rsidR="00B637B2" w:rsidRPr="00A63CDC" w:rsidRDefault="008F04CF" w:rsidP="00B637B2">
              <w:pPr>
                <w:overflowPunct w:val="0"/>
                <w:autoSpaceDE w:val="0"/>
                <w:autoSpaceDN w:val="0"/>
                <w:adjustRightInd w:val="0"/>
                <w:snapToGrid w:val="0"/>
                <w:jc w:val="both"/>
                <w:rPr>
                  <w:rFonts w:cs="Arial"/>
                  <w:snapToGrid w:val="0"/>
                  <w:sz w:val="20"/>
                  <w:szCs w:val="20"/>
                </w:rPr>
              </w:pPr>
              <w:r w:rsidRPr="00A63CDC">
                <w:rPr>
                  <w:rFonts w:cs="Arial" w:hint="eastAsia"/>
                  <w:snapToGrid w:val="0"/>
                  <w:sz w:val="20"/>
                  <w:szCs w:val="20"/>
                </w:rPr>
                <w:t>本集团的财务部门由财务经理领导，负责制定金融工具公允价值计量的政策和程序。财务经理直接向财务总监和审计委员会报告。每个资产负债表日，财务部门分析金融工具价值变动，确定估值适用的主要输入值。估值须经财务总监审核批准。</w:t>
              </w:r>
            </w:p>
            <w:p w:rsidR="00B637B2" w:rsidRPr="00A63CDC" w:rsidRDefault="00B637B2" w:rsidP="00B637B2">
              <w:pPr>
                <w:overflowPunct w:val="0"/>
                <w:autoSpaceDE w:val="0"/>
                <w:autoSpaceDN w:val="0"/>
                <w:adjustRightInd w:val="0"/>
                <w:snapToGrid w:val="0"/>
                <w:jc w:val="both"/>
                <w:rPr>
                  <w:rFonts w:cs="Arial"/>
                  <w:snapToGrid w:val="0"/>
                  <w:sz w:val="20"/>
                  <w:szCs w:val="20"/>
                </w:rPr>
              </w:pPr>
            </w:p>
            <w:p w:rsidR="00B637B2" w:rsidRPr="00A63CDC" w:rsidRDefault="008F04CF" w:rsidP="00B637B2">
              <w:pPr>
                <w:overflowPunct w:val="0"/>
                <w:autoSpaceDE w:val="0"/>
                <w:autoSpaceDN w:val="0"/>
                <w:adjustRightInd w:val="0"/>
                <w:snapToGrid w:val="0"/>
                <w:jc w:val="both"/>
                <w:rPr>
                  <w:rFonts w:cs="Arial"/>
                  <w:snapToGrid w:val="0"/>
                  <w:sz w:val="20"/>
                  <w:szCs w:val="20"/>
                </w:rPr>
              </w:pPr>
              <w:r w:rsidRPr="00A63CDC">
                <w:rPr>
                  <w:rFonts w:cs="Arial" w:hint="eastAsia"/>
                  <w:snapToGrid w:val="0"/>
                  <w:sz w:val="20"/>
                  <w:szCs w:val="20"/>
                </w:rPr>
                <w:t>金融资产和金融负债的公允价值，是指以在公平交易中，熟悉情况的交易双方自愿进行资产交换或者债务清偿的金额确定，而不是被迫出售或清算情况下的金额。以下方法和假设用于估计公允价值。</w:t>
              </w:r>
            </w:p>
            <w:p w:rsidR="00B637B2" w:rsidRPr="00A63CDC" w:rsidRDefault="00B637B2" w:rsidP="00B637B2">
              <w:pPr>
                <w:overflowPunct w:val="0"/>
                <w:autoSpaceDE w:val="0"/>
                <w:autoSpaceDN w:val="0"/>
                <w:adjustRightInd w:val="0"/>
                <w:snapToGrid w:val="0"/>
                <w:jc w:val="both"/>
                <w:rPr>
                  <w:rFonts w:cs="Arial"/>
                  <w:snapToGrid w:val="0"/>
                  <w:sz w:val="20"/>
                  <w:szCs w:val="20"/>
                </w:rPr>
              </w:pPr>
            </w:p>
            <w:p w:rsidR="00B637B2" w:rsidRDefault="008F04CF" w:rsidP="00B637B2">
              <w:pPr>
                <w:jc w:val="both"/>
                <w:rPr>
                  <w:szCs w:val="21"/>
                </w:rPr>
              </w:pPr>
              <w:r w:rsidRPr="00A63CDC">
                <w:rPr>
                  <w:rFonts w:cs="Arial" w:hint="eastAsia"/>
                  <w:snapToGrid w:val="0"/>
                  <w:sz w:val="20"/>
                  <w:szCs w:val="20"/>
                </w:rPr>
                <w:t>长短期借款采用未来现金流量折现法确定公允价值，以有相似合同条款、信用风险和剩余期限的其他金融工具的市场收益率作为折现率。</w:t>
              </w:r>
              <w:r w:rsidRPr="00A63CDC">
                <w:rPr>
                  <w:rFonts w:cs="Arial"/>
                  <w:snapToGrid w:val="0"/>
                  <w:sz w:val="20"/>
                  <w:szCs w:val="20"/>
                </w:rPr>
                <w:t>2019</w:t>
              </w:r>
              <w:r w:rsidRPr="00A63CDC">
                <w:rPr>
                  <w:rFonts w:cs="Arial" w:hint="eastAsia"/>
                  <w:snapToGrid w:val="0"/>
                  <w:sz w:val="20"/>
                  <w:szCs w:val="20"/>
                </w:rPr>
                <w:t>年</w:t>
              </w:r>
              <w:r w:rsidRPr="00A63CDC">
                <w:rPr>
                  <w:rFonts w:cs="Arial"/>
                  <w:snapToGrid w:val="0"/>
                  <w:sz w:val="20"/>
                  <w:szCs w:val="20"/>
                </w:rPr>
                <w:t>6</w:t>
              </w:r>
              <w:r w:rsidRPr="00A63CDC">
                <w:rPr>
                  <w:rFonts w:cs="Arial" w:hint="eastAsia"/>
                  <w:snapToGrid w:val="0"/>
                  <w:sz w:val="20"/>
                  <w:szCs w:val="20"/>
                </w:rPr>
                <w:t>月</w:t>
              </w:r>
              <w:r w:rsidRPr="00A63CDC">
                <w:rPr>
                  <w:rFonts w:cs="Arial"/>
                  <w:snapToGrid w:val="0"/>
                  <w:sz w:val="20"/>
                  <w:szCs w:val="20"/>
                </w:rPr>
                <w:t>30</w:t>
              </w:r>
              <w:r w:rsidRPr="00A63CDC">
                <w:rPr>
                  <w:rFonts w:cs="Arial" w:hint="eastAsia"/>
                  <w:snapToGrid w:val="0"/>
                  <w:sz w:val="20"/>
                  <w:szCs w:val="20"/>
                </w:rPr>
                <w:t>日，针对长短期借款的自身不履约风险评估为不重大。</w:t>
              </w:r>
            </w:p>
          </w:sdtContent>
        </w:sdt>
        <w:p w:rsidR="00ED2DC7" w:rsidRDefault="000D0A99">
          <w:pPr>
            <w:rPr>
              <w:szCs w:val="21"/>
            </w:rPr>
          </w:pPr>
        </w:p>
      </w:sdtContent>
    </w:sdt>
    <w:p w:rsidR="00ED2DC7" w:rsidRDefault="00ED2DC7" w:rsidP="00036BDC">
      <w:pPr>
        <w:pStyle w:val="affffffffffffffffff0"/>
        <w:numPr>
          <w:ilvl w:val="0"/>
          <w:numId w:val="35"/>
        </w:numPr>
        <w:rPr>
          <w:rFonts w:ascii="宋体" w:hAnsi="宋体"/>
        </w:rPr>
      </w:pPr>
      <w:r>
        <w:rPr>
          <w:rFonts w:ascii="宋体" w:hAnsi="宋体" w:hint="eastAsia"/>
        </w:rPr>
        <w:t>关联方及关联交易</w:t>
      </w:r>
    </w:p>
    <w:sdt>
      <w:sdtPr>
        <w:rPr>
          <w:rFonts w:ascii="宋体" w:hAnsi="宋体" w:cs="宋体" w:hint="eastAsia"/>
          <w:b w:val="0"/>
          <w:bCs w:val="0"/>
          <w:kern w:val="0"/>
          <w:szCs w:val="24"/>
        </w:rPr>
        <w:alias w:val="模块:本企业的母公司情况"/>
        <w:tag w:val="_GBC_29e1f7491caa4c3e96eef8c84532de84"/>
        <w:id w:val="671143548"/>
        <w:lock w:val="sdtLocked"/>
        <w:placeholder>
          <w:docPart w:val="GBC22222222222222222222222222222"/>
        </w:placeholder>
      </w:sdtPr>
      <w:sdtEndPr>
        <w:rPr>
          <w:rFonts w:cs="Cambria"/>
          <w:szCs w:val="21"/>
        </w:rPr>
      </w:sdtEndPr>
      <w:sdtContent>
        <w:p w:rsidR="00ED2DC7" w:rsidRPr="00A63CDC" w:rsidRDefault="00ED2DC7" w:rsidP="00036BDC">
          <w:pPr>
            <w:pStyle w:val="affffffffffffffffff1"/>
            <w:numPr>
              <w:ilvl w:val="0"/>
              <w:numId w:val="88"/>
            </w:numPr>
          </w:pPr>
          <w:r w:rsidRPr="00A63CDC">
            <w:rPr>
              <w:rFonts w:hint="eastAsia"/>
            </w:rPr>
            <w:t>本企业的母公司情况</w:t>
          </w:r>
        </w:p>
        <w:sdt>
          <w:sdtPr>
            <w:alias w:val="是否适用：本企业的母公司情况[双击切换]"/>
            <w:tag w:val="_GBC_ead7e4ec9cc847adb62aa8efd8005802"/>
            <w:id w:val="-268620992"/>
            <w:lock w:val="sdtContentLocked"/>
            <w:placeholder>
              <w:docPart w:val="GBC22222222222222222222222222222"/>
            </w:placeholder>
          </w:sdtPr>
          <w:sdtContent>
            <w:p w:rsidR="00ED2DC7" w:rsidRDefault="00ED2DC7">
              <w:r>
                <w:fldChar w:fldCharType="begin"/>
              </w:r>
              <w:r w:rsidR="00E85F91">
                <w:instrText xml:space="preserve"> MACROBUTTON  SnrToggleCheckbox √适用 </w:instrText>
              </w:r>
              <w:r>
                <w:fldChar w:fldCharType="end"/>
              </w:r>
              <w:r>
                <w:fldChar w:fldCharType="begin"/>
              </w:r>
              <w:r w:rsidR="00E85F91">
                <w:instrText xml:space="preserve"> MACROBUTTON  SnrToggleCheckbox □不适用 </w:instrText>
              </w:r>
              <w:r>
                <w:fldChar w:fldCharType="end"/>
              </w:r>
            </w:p>
          </w:sdtContent>
        </w:sdt>
        <w:p w:rsidR="00ED2DC7" w:rsidRDefault="00ED2DC7">
          <w:pPr>
            <w:jc w:val="right"/>
          </w:pPr>
          <w:r>
            <w:rPr>
              <w:rFonts w:hint="eastAsia"/>
            </w:rPr>
            <w:t>单位:</w:t>
          </w:r>
          <w:sdt>
            <w:sdtPr>
              <w:rPr>
                <w:rFonts w:hint="eastAsia"/>
              </w:rPr>
              <w:alias w:val="单位：本企业的母公司情况"/>
              <w:tag w:val="_GBC_6deea75122314a599b3383585a0f5cfe"/>
              <w:id w:val="-184384208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036BDC">
                <w:rPr>
                  <w:rFonts w:hint="eastAsia"/>
                </w:rPr>
                <w:t>元</w:t>
              </w:r>
            </w:sdtContent>
          </w:sdt>
          <w:r>
            <w:rPr>
              <w:rFonts w:hint="eastAsia"/>
            </w:rPr>
            <w:t xml:space="preserve">  币种:</w:t>
          </w:r>
          <w:sdt>
            <w:sdtPr>
              <w:rPr>
                <w:rFonts w:hint="eastAsia"/>
              </w:rPr>
              <w:alias w:val="币种：本企业的母公司情况"/>
              <w:tag w:val="_GBC_3d5eae3a190749288b0c0bc9b1b1a3a3"/>
              <w:id w:val="3914763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rPr>
                <w:t>人民币</w:t>
              </w:r>
            </w:sdtContent>
          </w:sdt>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4"/>
            <w:gridCol w:w="1133"/>
            <w:gridCol w:w="1343"/>
            <w:gridCol w:w="1343"/>
            <w:gridCol w:w="1544"/>
            <w:gridCol w:w="1666"/>
          </w:tblGrid>
          <w:tr w:rsidR="003574D4" w:rsidTr="00FA4F85">
            <w:trPr>
              <w:trHeight w:val="842"/>
            </w:trPr>
            <w:sdt>
              <w:sdtPr>
                <w:tag w:val="_PLD_19f86fac20c44d648212d3b573ca4c90"/>
                <w:id w:val="262118539"/>
                <w:lock w:val="sdtLocked"/>
              </w:sdtPr>
              <w:sdtContent>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rsidR="003574D4" w:rsidRDefault="003574D4" w:rsidP="006C0381">
                    <w:pPr>
                      <w:jc w:val="center"/>
                      <w:rPr>
                        <w:rFonts w:cs="Cambria"/>
                        <w:szCs w:val="21"/>
                      </w:rPr>
                    </w:pPr>
                    <w:r>
                      <w:rPr>
                        <w:rFonts w:cs="Cambria" w:hint="eastAsia"/>
                        <w:szCs w:val="21"/>
                      </w:rPr>
                      <w:t>母公司名称</w:t>
                    </w:r>
                  </w:p>
                </w:tc>
              </w:sdtContent>
            </w:sdt>
            <w:sdt>
              <w:sdtPr>
                <w:tag w:val="_PLD_d0e9e84346084d4db76e60afa87cf85a"/>
                <w:id w:val="-514461088"/>
                <w:lock w:val="sdtLocked"/>
              </w:sdtPr>
              <w:sdtContent>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3574D4" w:rsidRDefault="003574D4" w:rsidP="006C0381">
                    <w:pPr>
                      <w:jc w:val="center"/>
                      <w:rPr>
                        <w:rFonts w:cs="Cambria"/>
                        <w:szCs w:val="21"/>
                      </w:rPr>
                    </w:pPr>
                    <w:r>
                      <w:rPr>
                        <w:rFonts w:cs="Cambria" w:hint="eastAsia"/>
                        <w:szCs w:val="21"/>
                      </w:rPr>
                      <w:t>注册地</w:t>
                    </w:r>
                  </w:p>
                </w:tc>
              </w:sdtContent>
            </w:sdt>
            <w:sdt>
              <w:sdtPr>
                <w:tag w:val="_PLD_862851f8ff08431ea28c3420f555e42d"/>
                <w:id w:val="-1228915577"/>
                <w:lock w:val="sdtLocked"/>
              </w:sdtPr>
              <w:sdtContent>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3574D4" w:rsidRDefault="003574D4" w:rsidP="006C0381">
                    <w:pPr>
                      <w:jc w:val="center"/>
                      <w:rPr>
                        <w:rFonts w:cs="Cambria"/>
                        <w:szCs w:val="21"/>
                      </w:rPr>
                    </w:pPr>
                    <w:r>
                      <w:rPr>
                        <w:rFonts w:cs="Cambria" w:hint="eastAsia"/>
                        <w:szCs w:val="21"/>
                      </w:rPr>
                      <w:t>业务性质</w:t>
                    </w:r>
                  </w:p>
                </w:tc>
              </w:sdtContent>
            </w:sdt>
            <w:sdt>
              <w:sdtPr>
                <w:tag w:val="_PLD_77ed8bc59084448aa6eced74a15c106f"/>
                <w:id w:val="1234515406"/>
                <w:lock w:val="sdtLocked"/>
              </w:sdtPr>
              <w:sdtContent>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3574D4" w:rsidRDefault="003574D4" w:rsidP="006C0381">
                    <w:pPr>
                      <w:jc w:val="center"/>
                      <w:rPr>
                        <w:rFonts w:cs="Cambria"/>
                        <w:szCs w:val="21"/>
                      </w:rPr>
                    </w:pPr>
                    <w:r>
                      <w:rPr>
                        <w:rFonts w:cs="Cambria" w:hint="eastAsia"/>
                        <w:szCs w:val="21"/>
                      </w:rPr>
                      <w:t>注册资本</w:t>
                    </w:r>
                  </w:p>
                </w:tc>
              </w:sdtContent>
            </w:sdt>
            <w:sdt>
              <w:sdtPr>
                <w:tag w:val="_PLD_360f61c4c6c14f0abe6480ef7f30e958"/>
                <w:id w:val="-2099545284"/>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3574D4" w:rsidRDefault="003574D4" w:rsidP="006C0381">
                    <w:pPr>
                      <w:jc w:val="center"/>
                      <w:rPr>
                        <w:rFonts w:cs="Cambria"/>
                        <w:szCs w:val="21"/>
                      </w:rPr>
                    </w:pPr>
                    <w:r>
                      <w:rPr>
                        <w:rFonts w:cs="Cambria" w:hint="eastAsia"/>
                        <w:szCs w:val="21"/>
                      </w:rPr>
                      <w:t>母公司对本企业的持股比例</w:t>
                    </w:r>
                    <w:r>
                      <w:rPr>
                        <w:rFonts w:cs="Cambria"/>
                        <w:szCs w:val="21"/>
                      </w:rPr>
                      <w:t>(%)</w:t>
                    </w:r>
                  </w:p>
                </w:tc>
              </w:sdtContent>
            </w:sdt>
            <w:sdt>
              <w:sdtPr>
                <w:tag w:val="_PLD_3ef945e24ca64fc394d2e6b861604fcf"/>
                <w:id w:val="261656025"/>
                <w:lock w:val="sdtLocked"/>
              </w:sdtPr>
              <w:sdtContent>
                <w:tc>
                  <w:tcPr>
                    <w:tcW w:w="1004" w:type="pct"/>
                    <w:tcBorders>
                      <w:top w:val="single" w:sz="4" w:space="0" w:color="auto"/>
                      <w:left w:val="single" w:sz="4" w:space="0" w:color="auto"/>
                      <w:bottom w:val="single" w:sz="4" w:space="0" w:color="auto"/>
                      <w:right w:val="single" w:sz="4" w:space="0" w:color="auto"/>
                    </w:tcBorders>
                    <w:shd w:val="clear" w:color="auto" w:fill="auto"/>
                    <w:vAlign w:val="center"/>
                  </w:tcPr>
                  <w:p w:rsidR="003574D4" w:rsidRDefault="003574D4" w:rsidP="006C0381">
                    <w:pPr>
                      <w:jc w:val="center"/>
                      <w:rPr>
                        <w:rFonts w:cs="Cambria"/>
                        <w:szCs w:val="21"/>
                      </w:rPr>
                    </w:pPr>
                    <w:r>
                      <w:rPr>
                        <w:rFonts w:cs="Cambria" w:hint="eastAsia"/>
                        <w:szCs w:val="21"/>
                      </w:rPr>
                      <w:t>母公司对本企业的表决权比例</w:t>
                    </w:r>
                    <w:r>
                      <w:rPr>
                        <w:rFonts w:cs="Cambria"/>
                        <w:szCs w:val="21"/>
                      </w:rPr>
                      <w:t>(%)</w:t>
                    </w:r>
                  </w:p>
                </w:tc>
              </w:sdtContent>
            </w:sdt>
          </w:tr>
          <w:sdt>
            <w:sdtPr>
              <w:rPr>
                <w:rFonts w:asciiTheme="minorHAnsi" w:eastAsiaTheme="minorEastAsia" w:hAnsiTheme="minorHAnsi" w:cs="Cambria"/>
                <w:kern w:val="2"/>
                <w:szCs w:val="21"/>
              </w:rPr>
              <w:alias w:val="本企业的母公司情况明细"/>
              <w:tag w:val="_GBC_e3a0ec4880544cc4ad472a056e28a2a2"/>
              <w:id w:val="1873727261"/>
              <w:lock w:val="sdtLocked"/>
            </w:sdtPr>
            <w:sdtContent>
              <w:tr w:rsidR="003574D4" w:rsidTr="007C199C">
                <w:trPr>
                  <w:trHeight w:val="255"/>
                </w:trPr>
                <w:tc>
                  <w:tcPr>
                    <w:tcW w:w="767" w:type="pct"/>
                    <w:tcBorders>
                      <w:top w:val="single" w:sz="4" w:space="0" w:color="auto"/>
                      <w:left w:val="single" w:sz="4" w:space="0" w:color="auto"/>
                      <w:bottom w:val="single" w:sz="4" w:space="0" w:color="auto"/>
                      <w:right w:val="single" w:sz="4" w:space="0" w:color="auto"/>
                    </w:tcBorders>
                    <w:shd w:val="clear" w:color="auto" w:fill="auto"/>
                  </w:tcPr>
                  <w:p w:rsidR="003574D4" w:rsidRDefault="003574D4" w:rsidP="007C199C">
                    <w:pPr>
                      <w:jc w:val="both"/>
                      <w:rPr>
                        <w:rFonts w:cs="Cambria"/>
                        <w:szCs w:val="21"/>
                      </w:rPr>
                    </w:pPr>
                    <w:r w:rsidRPr="00B80356">
                      <w:rPr>
                        <w:rFonts w:asciiTheme="minorHAnsi" w:eastAsiaTheme="minorEastAsia" w:hAnsiTheme="minorHAnsi" w:cs="Cambria" w:hint="eastAsia"/>
                        <w:kern w:val="2"/>
                        <w:szCs w:val="21"/>
                      </w:rPr>
                      <w:t>北京用友科技有限公司</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3574D4" w:rsidRDefault="003574D4" w:rsidP="006C0381">
                    <w:pPr>
                      <w:rPr>
                        <w:rFonts w:cs="Cambria"/>
                        <w:szCs w:val="21"/>
                      </w:rPr>
                    </w:pPr>
                    <w:r>
                      <w:t>北京</w:t>
                    </w:r>
                  </w:p>
                </w:tc>
                <w:tc>
                  <w:tcPr>
                    <w:tcW w:w="809" w:type="pct"/>
                    <w:tcBorders>
                      <w:top w:val="single" w:sz="4" w:space="0" w:color="auto"/>
                      <w:left w:val="single" w:sz="4" w:space="0" w:color="auto"/>
                      <w:bottom w:val="single" w:sz="4" w:space="0" w:color="auto"/>
                      <w:right w:val="single" w:sz="4" w:space="0" w:color="auto"/>
                    </w:tcBorders>
                    <w:shd w:val="clear" w:color="auto" w:fill="auto"/>
                  </w:tcPr>
                  <w:p w:rsidR="003574D4" w:rsidRDefault="003574D4" w:rsidP="006C0381">
                    <w:pPr>
                      <w:rPr>
                        <w:rFonts w:cs="Cambria"/>
                        <w:szCs w:val="21"/>
                      </w:rPr>
                    </w:pPr>
                    <w:r>
                      <w:t>技术开发、技术转让、技术咨询、技术服务、企业管理咨询、经济信息咨询、项目投资、投资管理。</w:t>
                    </w:r>
                  </w:p>
                </w:tc>
                <w:tc>
                  <w:tcPr>
                    <w:tcW w:w="809" w:type="pct"/>
                    <w:tcBorders>
                      <w:top w:val="single" w:sz="4" w:space="0" w:color="auto"/>
                      <w:left w:val="single" w:sz="4" w:space="0" w:color="auto"/>
                      <w:bottom w:val="single" w:sz="4" w:space="0" w:color="auto"/>
                      <w:right w:val="single" w:sz="4" w:space="0" w:color="auto"/>
                    </w:tcBorders>
                    <w:shd w:val="clear" w:color="auto" w:fill="auto"/>
                  </w:tcPr>
                  <w:p w:rsidR="003574D4" w:rsidRDefault="003574D4" w:rsidP="006C0381">
                    <w:pPr>
                      <w:jc w:val="right"/>
                      <w:rPr>
                        <w:rFonts w:cs="Cambria"/>
                        <w:szCs w:val="21"/>
                      </w:rPr>
                    </w:pPr>
                    <w:r>
                      <w:t>85,000,000</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3574D4" w:rsidRDefault="003574D4" w:rsidP="006C0381">
                    <w:pPr>
                      <w:jc w:val="right"/>
                      <w:rPr>
                        <w:rFonts w:cs="Cambria"/>
                        <w:szCs w:val="21"/>
                      </w:rPr>
                    </w:pPr>
                    <w:r>
                      <w:t>28.50%</w:t>
                    </w:r>
                  </w:p>
                </w:tc>
                <w:tc>
                  <w:tcPr>
                    <w:tcW w:w="1004" w:type="pct"/>
                    <w:tcBorders>
                      <w:top w:val="single" w:sz="4" w:space="0" w:color="auto"/>
                      <w:left w:val="single" w:sz="4" w:space="0" w:color="auto"/>
                      <w:bottom w:val="single" w:sz="4" w:space="0" w:color="auto"/>
                      <w:right w:val="single" w:sz="4" w:space="0" w:color="auto"/>
                    </w:tcBorders>
                    <w:shd w:val="clear" w:color="auto" w:fill="auto"/>
                  </w:tcPr>
                  <w:p w:rsidR="003574D4" w:rsidRDefault="003574D4" w:rsidP="006C0381">
                    <w:pPr>
                      <w:jc w:val="right"/>
                      <w:rPr>
                        <w:rFonts w:cs="Cambria"/>
                        <w:szCs w:val="21"/>
                      </w:rPr>
                    </w:pPr>
                    <w:r>
                      <w:t>28.50%</w:t>
                    </w:r>
                  </w:p>
                </w:tc>
              </w:tr>
            </w:sdtContent>
          </w:sdt>
        </w:tbl>
        <w:p w:rsidR="003574D4" w:rsidRDefault="003574D4"/>
        <w:p w:rsidR="00ED2DC7" w:rsidRDefault="00ED2DC7">
          <w:pPr>
            <w:tabs>
              <w:tab w:val="left" w:pos="1134"/>
            </w:tabs>
            <w:rPr>
              <w:rFonts w:cs="Cambria"/>
              <w:szCs w:val="21"/>
            </w:rPr>
          </w:pPr>
          <w:r>
            <w:rPr>
              <w:rFonts w:cs="Cambria" w:hint="eastAsia"/>
              <w:szCs w:val="21"/>
            </w:rPr>
            <w:t>本企业的母公司情况的说明</w:t>
          </w:r>
        </w:p>
        <w:sdt>
          <w:sdtPr>
            <w:rPr>
              <w:rFonts w:cs="Cambria"/>
              <w:szCs w:val="21"/>
            </w:rPr>
            <w:alias w:val="本企业的母公司情况的说明"/>
            <w:tag w:val="_GBC_23f67537c1df4d9d9ede9fbc78ad06a4"/>
            <w:id w:val="419839818"/>
            <w:lock w:val="sdtLocked"/>
            <w:placeholder>
              <w:docPart w:val="GBC22222222222222222222222222222"/>
            </w:placeholder>
          </w:sdtPr>
          <w:sdtContent>
            <w:p w:rsidR="00ED2DC7" w:rsidRDefault="00E85F91">
              <w:pPr>
                <w:tabs>
                  <w:tab w:val="left" w:pos="1134"/>
                </w:tabs>
                <w:rPr>
                  <w:rFonts w:cs="Cambria"/>
                  <w:szCs w:val="21"/>
                </w:rPr>
              </w:pPr>
              <w:r>
                <w:rPr>
                  <w:rFonts w:cs="Cambria" w:hint="eastAsia"/>
                  <w:szCs w:val="21"/>
                </w:rPr>
                <w:t>无。</w:t>
              </w:r>
            </w:p>
          </w:sdtContent>
        </w:sdt>
        <w:p w:rsidR="00ED2DC7" w:rsidRDefault="00ED2DC7">
          <w:pPr>
            <w:rPr>
              <w:szCs w:val="21"/>
            </w:rPr>
          </w:pPr>
          <w:r>
            <w:rPr>
              <w:rFonts w:hint="eastAsia"/>
              <w:szCs w:val="21"/>
            </w:rPr>
            <w:t>本企业最终控制方是</w:t>
          </w:r>
          <w:sdt>
            <w:sdtPr>
              <w:rPr>
                <w:rFonts w:hint="eastAsia"/>
                <w:szCs w:val="21"/>
              </w:rPr>
              <w:alias w:val="本企业最终控制方"/>
              <w:tag w:val="_GBC_951a676520994ab7a3822c5f58c20b7d"/>
              <w:id w:val="1450445080"/>
              <w:lock w:val="sdtLocked"/>
              <w:placeholder>
                <w:docPart w:val="GBC22222222222222222222222222222"/>
              </w:placeholder>
            </w:sdtPr>
            <w:sdtContent>
              <w:r w:rsidR="00E85F91">
                <w:rPr>
                  <w:rFonts w:hint="eastAsia"/>
                  <w:szCs w:val="21"/>
                </w:rPr>
                <w:t>王文京</w:t>
              </w:r>
            </w:sdtContent>
          </w:sdt>
        </w:p>
        <w:p w:rsidR="00ED2DC7" w:rsidRDefault="00ED2DC7">
          <w:pPr>
            <w:rPr>
              <w:szCs w:val="21"/>
            </w:rPr>
          </w:pPr>
          <w:r>
            <w:rPr>
              <w:rFonts w:hint="eastAsia"/>
              <w:szCs w:val="21"/>
            </w:rPr>
            <w:t>其他说明：</w:t>
          </w:r>
        </w:p>
        <w:sdt>
          <w:sdtPr>
            <w:rPr>
              <w:szCs w:val="21"/>
            </w:rPr>
            <w:alias w:val="本企业的母公司情况的其他说明"/>
            <w:tag w:val="_GBC_72b4ca7a02944263a74be4174baff4cf"/>
            <w:id w:val="870569405"/>
            <w:lock w:val="sdtLocked"/>
            <w:placeholder>
              <w:docPart w:val="GBC22222222222222222222222222222"/>
            </w:placeholder>
          </w:sdtPr>
          <w:sdtContent>
            <w:p w:rsidR="00ED2DC7" w:rsidRDefault="00E85F91">
              <w:pPr>
                <w:rPr>
                  <w:szCs w:val="21"/>
                </w:rPr>
              </w:pPr>
              <w:r>
                <w:rPr>
                  <w:rFonts w:hint="eastAsia"/>
                  <w:szCs w:val="21"/>
                </w:rPr>
                <w:t>无。</w:t>
              </w:r>
            </w:p>
          </w:sdtContent>
        </w:sdt>
        <w:p w:rsidR="00ED2DC7" w:rsidRDefault="000D0A99">
          <w:pPr>
            <w:rPr>
              <w:szCs w:val="21"/>
            </w:rPr>
          </w:pPr>
        </w:p>
      </w:sdtContent>
    </w:sdt>
    <w:sdt>
      <w:sdtPr>
        <w:rPr>
          <w:rFonts w:ascii="宋体" w:hAnsi="宋体" w:cs="Arial" w:hint="eastAsia"/>
          <w:b w:val="0"/>
          <w:bCs w:val="0"/>
          <w:kern w:val="0"/>
          <w:szCs w:val="21"/>
        </w:rPr>
        <w:alias w:val="模块:本企业的子公司情况"/>
        <w:tag w:val="_GBC_244a434a920446c1838410fee0ac8ba8"/>
        <w:id w:val="871419732"/>
        <w:lock w:val="sdtLocked"/>
        <w:placeholder>
          <w:docPart w:val="GBC22222222222222222222222222222"/>
        </w:placeholder>
      </w:sdtPr>
      <w:sdtEndPr>
        <w:rPr>
          <w:rFonts w:cs="Cambria"/>
        </w:rPr>
      </w:sdtEndPr>
      <w:sdtContent>
        <w:p w:rsidR="00ED2DC7" w:rsidRDefault="00ED2DC7" w:rsidP="00036BDC">
          <w:pPr>
            <w:pStyle w:val="affffffffffffffffff1"/>
            <w:numPr>
              <w:ilvl w:val="0"/>
              <w:numId w:val="88"/>
            </w:numPr>
            <w:rPr>
              <w:rFonts w:ascii="宋体" w:hAnsi="宋体" w:cs="Arial"/>
              <w:szCs w:val="21"/>
            </w:rPr>
          </w:pPr>
          <w:r>
            <w:rPr>
              <w:rFonts w:ascii="宋体" w:hAnsi="宋体" w:cs="Arial" w:hint="eastAsia"/>
              <w:szCs w:val="21"/>
            </w:rPr>
            <w:t>本企业的子公司情况</w:t>
          </w:r>
        </w:p>
        <w:p w:rsidR="00ED2DC7" w:rsidRDefault="00ED2DC7">
          <w:pPr>
            <w:rPr>
              <w:szCs w:val="21"/>
            </w:rPr>
          </w:pPr>
          <w:r>
            <w:rPr>
              <w:rFonts w:hint="eastAsia"/>
              <w:szCs w:val="21"/>
            </w:rPr>
            <w:t>本企业子公司的情况详见附注</w:t>
          </w:r>
        </w:p>
        <w:sdt>
          <w:sdtPr>
            <w:rPr>
              <w:szCs w:val="21"/>
            </w:rPr>
            <w:alias w:val="是否适用：本公司的子公司情况详见附注[双击切换]"/>
            <w:tag w:val="_GBC_a8d551b9f62149d3bf9322adae2c671f"/>
            <w:id w:val="-1127855507"/>
            <w:lock w:val="sdtContentLocked"/>
            <w:placeholder>
              <w:docPart w:val="GBC22222222222222222222222222222"/>
            </w:placeholder>
          </w:sdtPr>
          <w:sdtContent>
            <w:p w:rsidR="00ED2DC7" w:rsidRDefault="00ED2DC7">
              <w:pPr>
                <w:rPr>
                  <w:szCs w:val="21"/>
                </w:rPr>
              </w:pPr>
              <w:r>
                <w:rPr>
                  <w:szCs w:val="21"/>
                </w:rPr>
                <w:fldChar w:fldCharType="begin"/>
              </w:r>
              <w:r w:rsidR="00E85F91">
                <w:rPr>
                  <w:szCs w:val="21"/>
                </w:rPr>
                <w:instrText xml:space="preserve"> MACROBUTTON  SnrToggleCheckbox √适用 </w:instrText>
              </w:r>
              <w:r>
                <w:rPr>
                  <w:szCs w:val="21"/>
                </w:rPr>
                <w:fldChar w:fldCharType="end"/>
              </w:r>
              <w:r>
                <w:rPr>
                  <w:szCs w:val="21"/>
                </w:rPr>
                <w:fldChar w:fldCharType="begin"/>
              </w:r>
              <w:r w:rsidR="00E85F91">
                <w:rPr>
                  <w:szCs w:val="21"/>
                </w:rPr>
                <w:instrText xml:space="preserve"> MACROBUTTON  SnrToggleCheckbox □不适用 </w:instrText>
              </w:r>
              <w:r>
                <w:rPr>
                  <w:szCs w:val="21"/>
                </w:rPr>
                <w:fldChar w:fldCharType="end"/>
              </w:r>
            </w:p>
          </w:sdtContent>
        </w:sdt>
        <w:sdt>
          <w:sdtPr>
            <w:rPr>
              <w:rFonts w:hint="eastAsia"/>
              <w:szCs w:val="21"/>
            </w:rPr>
            <w:alias w:val="本公司的子公司情况详见附注"/>
            <w:tag w:val="_GBC_bb3e2669c3cc45d0a6637b1809087708"/>
            <w:id w:val="-1847000828"/>
            <w:lock w:val="sdtLocked"/>
            <w:placeholder>
              <w:docPart w:val="GBC22222222222222222222222222222"/>
            </w:placeholder>
          </w:sdtPr>
          <w:sdtContent>
            <w:p w:rsidR="00ED2DC7" w:rsidRDefault="003574D4">
              <w:pPr>
                <w:rPr>
                  <w:szCs w:val="21"/>
                </w:rPr>
              </w:pPr>
              <w:r w:rsidRPr="003574D4">
                <w:rPr>
                  <w:rFonts w:hint="eastAsia"/>
                  <w:szCs w:val="21"/>
                </w:rPr>
                <w:t>子公司详见附注</w:t>
              </w:r>
              <w:r w:rsidR="00FA4F85">
                <w:rPr>
                  <w:rFonts w:hint="eastAsia"/>
                  <w:szCs w:val="21"/>
                </w:rPr>
                <w:t>九</w:t>
              </w:r>
              <w:r w:rsidRPr="003574D4">
                <w:rPr>
                  <w:szCs w:val="21"/>
                </w:rPr>
                <w:t xml:space="preserve"> 、1。</w:t>
              </w:r>
            </w:p>
          </w:sdtContent>
        </w:sdt>
        <w:p w:rsidR="00ED2DC7" w:rsidRDefault="000D0A99">
          <w:pPr>
            <w:tabs>
              <w:tab w:val="left" w:pos="1134"/>
            </w:tabs>
            <w:rPr>
              <w:rFonts w:cs="Cambria"/>
              <w:szCs w:val="21"/>
            </w:rPr>
          </w:pPr>
        </w:p>
      </w:sdtContent>
    </w:sdt>
    <w:sdt>
      <w:sdtPr>
        <w:rPr>
          <w:rFonts w:ascii="宋体" w:hAnsi="宋体" w:cs="宋体" w:hint="eastAsia"/>
          <w:b w:val="0"/>
          <w:bCs w:val="0"/>
          <w:kern w:val="0"/>
          <w:szCs w:val="24"/>
        </w:rPr>
        <w:alias w:val="模块:存在关联方交易或余额的合营和联营企业情况"/>
        <w:tag w:val="_GBC_a5638b7fd6a848a19564209060b6909a"/>
        <w:id w:val="1845426486"/>
        <w:lock w:val="sdtLocked"/>
        <w:placeholder>
          <w:docPart w:val="GBC22222222222222222222222222222"/>
        </w:placeholder>
      </w:sdtPr>
      <w:sdtEndPr>
        <w:rPr>
          <w:rFonts w:cs="Cambria"/>
          <w:szCs w:val="21"/>
        </w:rPr>
      </w:sdtEndPr>
      <w:sdtContent>
        <w:p w:rsidR="00ED2DC7" w:rsidRDefault="00ED2DC7" w:rsidP="00036BDC">
          <w:pPr>
            <w:pStyle w:val="affffffffffffffffff1"/>
            <w:numPr>
              <w:ilvl w:val="0"/>
              <w:numId w:val="88"/>
            </w:numPr>
          </w:pPr>
          <w:r>
            <w:rPr>
              <w:rFonts w:hint="eastAsia"/>
            </w:rPr>
            <w:t>本企业合营和联营企业情况</w:t>
          </w:r>
        </w:p>
        <w:p w:rsidR="00ED2DC7" w:rsidRDefault="00ED2DC7">
          <w:r>
            <w:rPr>
              <w:rFonts w:hint="eastAsia"/>
            </w:rPr>
            <w:t>本企业重要的合营或联营企业详见附注</w:t>
          </w:r>
        </w:p>
        <w:sdt>
          <w:sdtPr>
            <w:alias w:val="是否适用：本企业重要的合营或联营企业详见附注[双击切换]"/>
            <w:tag w:val="_GBC_2a369d3377e94598b2a744dfe59973e2"/>
            <w:id w:val="1041256105"/>
            <w:lock w:val="sdtContentLocked"/>
            <w:placeholder>
              <w:docPart w:val="GBC22222222222222222222222222222"/>
            </w:placeholder>
          </w:sdtPr>
          <w:sdtContent>
            <w:p w:rsidR="00ED2DC7" w:rsidRDefault="00ED2DC7">
              <w:r>
                <w:fldChar w:fldCharType="begin"/>
              </w:r>
              <w:r w:rsidR="00E85F91">
                <w:instrText xml:space="preserve"> MACROBUTTON  SnrToggleCheckbox √适用 </w:instrText>
              </w:r>
              <w:r>
                <w:fldChar w:fldCharType="end"/>
              </w:r>
              <w:r>
                <w:fldChar w:fldCharType="begin"/>
              </w:r>
              <w:r w:rsidR="00E85F91">
                <w:instrText xml:space="preserve"> MACROBUTTON  SnrToggleCheckbox □不适用 </w:instrText>
              </w:r>
              <w:r>
                <w:fldChar w:fldCharType="end"/>
              </w:r>
            </w:p>
          </w:sdtContent>
        </w:sdt>
        <w:sdt>
          <w:sdtPr>
            <w:rPr>
              <w:rFonts w:hint="eastAsia"/>
            </w:rPr>
            <w:alias w:val="本企业重要的合营或联营企业详见附注"/>
            <w:tag w:val="_GBC_3c58c586b3d3412d9989e9dff0b9f4cf"/>
            <w:id w:val="-335461360"/>
            <w:lock w:val="sdtLocked"/>
            <w:placeholder>
              <w:docPart w:val="GBC22222222222222222222222222222"/>
            </w:placeholder>
          </w:sdtPr>
          <w:sdtContent>
            <w:p w:rsidR="00ED2DC7" w:rsidRDefault="003574D4">
              <w:r w:rsidRPr="003574D4">
                <w:rPr>
                  <w:rFonts w:hint="eastAsia"/>
                </w:rPr>
                <w:t>联营企业详见附注</w:t>
              </w:r>
              <w:r w:rsidR="00FA4F85">
                <w:rPr>
                  <w:rFonts w:hint="eastAsia"/>
                </w:rPr>
                <w:t>九</w:t>
              </w:r>
              <w:r w:rsidRPr="003574D4">
                <w:t xml:space="preserve"> 、</w:t>
              </w:r>
              <w:r w:rsidR="00FA4F85">
                <w:t>3</w:t>
              </w:r>
              <w:r w:rsidRPr="003574D4">
                <w:t>。</w:t>
              </w:r>
            </w:p>
          </w:sdtContent>
        </w:sdt>
        <w:p w:rsidR="00ED2DC7" w:rsidRDefault="00ED2DC7"/>
        <w:p w:rsidR="00ED2DC7" w:rsidRDefault="00ED2DC7">
          <w:r w:rsidRPr="00A63CDC">
            <w:rPr>
              <w:rFonts w:hint="eastAsia"/>
            </w:rPr>
            <w:lastRenderedPageBreak/>
            <w:t>本期与本公司发生关联方交易，或前期与本公司发生关联方交易形成余额的其他合营或联营企业情况如下</w:t>
          </w:r>
        </w:p>
        <w:sdt>
          <w:sdtPr>
            <w:alias w:val="是否适用：本期与本公司发生关联方交易，或前期与本公司发生关联方交易形成余额的其他合营或联营企业情况如下[双击切换]"/>
            <w:tag w:val="_GBC_cab97913a7cc4573b25c34077eadbc4c"/>
            <w:id w:val="1744373521"/>
            <w:lock w:val="sdtContentLocked"/>
            <w:placeholder>
              <w:docPart w:val="GBC22222222222222222222222222222"/>
            </w:placeholder>
          </w:sdtPr>
          <w:sdtContent>
            <w:p w:rsidR="00B637B2" w:rsidRDefault="00ED2DC7" w:rsidP="00B637B2">
              <w:pPr>
                <w:rPr>
                  <w:rFonts w:cs="Cambria"/>
                  <w:szCs w:val="21"/>
                </w:rPr>
              </w:pPr>
              <w:r>
                <w:fldChar w:fldCharType="begin"/>
              </w:r>
              <w:r w:rsidR="00036BDC">
                <w:instrText xml:space="preserve"> MACROBUTTON  SnrToggleCheckbox □适用 </w:instrText>
              </w:r>
              <w:r>
                <w:fldChar w:fldCharType="end"/>
              </w:r>
              <w:r>
                <w:fldChar w:fldCharType="begin"/>
              </w:r>
              <w:r w:rsidR="00036BDC">
                <w:instrText xml:space="preserve"> MACROBUTTON  SnrToggleCheckbox √不适用 </w:instrText>
              </w:r>
              <w:r>
                <w:fldChar w:fldCharType="end"/>
              </w:r>
            </w:p>
          </w:sdtContent>
        </w:sdt>
        <w:p w:rsidR="00ED2DC7" w:rsidRDefault="00ED2DC7" w:rsidP="00687F61">
          <w:pPr>
            <w:tabs>
              <w:tab w:val="left" w:pos="1134"/>
            </w:tabs>
            <w:rPr>
              <w:rFonts w:cs="Cambria"/>
              <w:szCs w:val="21"/>
            </w:rPr>
          </w:pPr>
        </w:p>
        <w:p w:rsidR="00ED2DC7" w:rsidRDefault="000D0A99">
          <w:pPr>
            <w:tabs>
              <w:tab w:val="left" w:pos="1134"/>
            </w:tabs>
            <w:rPr>
              <w:rFonts w:cs="Cambria"/>
              <w:szCs w:val="21"/>
            </w:rPr>
          </w:pPr>
        </w:p>
      </w:sdtContent>
    </w:sdt>
    <w:sdt>
      <w:sdtPr>
        <w:rPr>
          <w:rFonts w:ascii="宋体" w:hAnsi="宋体" w:cs="宋体" w:hint="eastAsia"/>
          <w:b w:val="0"/>
          <w:bCs w:val="0"/>
          <w:kern w:val="0"/>
          <w:szCs w:val="24"/>
        </w:rPr>
        <w:alias w:val="模块:其他关联方情况"/>
        <w:tag w:val="_GBC_047a0ce3dc594d779db6d4cbc1623727"/>
        <w:id w:val="1815060296"/>
        <w:lock w:val="sdtLocked"/>
        <w:placeholder>
          <w:docPart w:val="GBC22222222222222222222222222222"/>
        </w:placeholder>
      </w:sdtPr>
      <w:sdtEndPr>
        <w:rPr>
          <w:rFonts w:cs="Cambria"/>
          <w:szCs w:val="21"/>
        </w:rPr>
      </w:sdtEndPr>
      <w:sdtContent>
        <w:p w:rsidR="00ED2DC7" w:rsidRDefault="00ED2DC7" w:rsidP="00036BDC">
          <w:pPr>
            <w:pStyle w:val="affffffffffffffffff1"/>
            <w:numPr>
              <w:ilvl w:val="0"/>
              <w:numId w:val="88"/>
            </w:numPr>
          </w:pPr>
          <w:r>
            <w:rPr>
              <w:rFonts w:hint="eastAsia"/>
            </w:rPr>
            <w:t>其他关联方情况</w:t>
          </w:r>
        </w:p>
        <w:sdt>
          <w:sdtPr>
            <w:alias w:val="是否适用：其他关联方情况[双击切换]"/>
            <w:tag w:val="_GBC_f9c029ef57734babb6375a74af1e3736"/>
            <w:id w:val="-157768567"/>
            <w:lock w:val="sdtContentLocked"/>
            <w:placeholder>
              <w:docPart w:val="GBC22222222222222222222222222222"/>
            </w:placeholder>
          </w:sdtPr>
          <w:sdtContent>
            <w:p w:rsidR="00ED2DC7" w:rsidRDefault="00ED2DC7">
              <w:r>
                <w:fldChar w:fldCharType="begin"/>
              </w:r>
              <w:r w:rsidR="00687F61">
                <w:instrText xml:space="preserve"> MACROBUTTON  SnrToggleCheckbox √适用 </w:instrText>
              </w:r>
              <w:r>
                <w:fldChar w:fldCharType="end"/>
              </w:r>
              <w:r>
                <w:fldChar w:fldCharType="begin"/>
              </w:r>
              <w:r w:rsidR="00687F61">
                <w:instrText xml:space="preserve"> MACROBUTTON  SnrToggleCheckbox □不适用 </w:instrText>
              </w:r>
              <w:r>
                <w:fldChar w:fldCharType="end"/>
              </w:r>
            </w:p>
          </w:sdtContent>
        </w:sdt>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0"/>
            <w:gridCol w:w="4653"/>
          </w:tblGrid>
          <w:tr w:rsidR="00717D63" w:rsidTr="006C0381">
            <w:trPr>
              <w:trHeight w:val="267"/>
            </w:trPr>
            <w:sdt>
              <w:sdtPr>
                <w:tag w:val="_PLD_8fe00abbc9b249a98b2e3ac6b12f12db"/>
                <w:id w:val="1833405523"/>
                <w:lock w:val="sdtLocked"/>
              </w:sdtPr>
              <w:sdtContent>
                <w:tc>
                  <w:tcPr>
                    <w:tcW w:w="2198" w:type="pct"/>
                    <w:tcBorders>
                      <w:top w:val="single" w:sz="4" w:space="0" w:color="auto"/>
                      <w:left w:val="single" w:sz="4" w:space="0" w:color="auto"/>
                      <w:bottom w:val="single" w:sz="4" w:space="0" w:color="auto"/>
                      <w:right w:val="single" w:sz="4" w:space="0" w:color="auto"/>
                    </w:tcBorders>
                    <w:shd w:val="clear" w:color="auto" w:fill="auto"/>
                  </w:tcPr>
                  <w:p w:rsidR="00717D63" w:rsidRDefault="00717D63" w:rsidP="006C0381">
                    <w:pPr>
                      <w:jc w:val="center"/>
                      <w:rPr>
                        <w:rFonts w:cs="Cambria"/>
                        <w:szCs w:val="21"/>
                      </w:rPr>
                    </w:pPr>
                    <w:r>
                      <w:rPr>
                        <w:rFonts w:cs="Cambria" w:hint="eastAsia"/>
                        <w:szCs w:val="21"/>
                      </w:rPr>
                      <w:t>其他关联方名称</w:t>
                    </w:r>
                  </w:p>
                </w:tc>
              </w:sdtContent>
            </w:sdt>
            <w:sdt>
              <w:sdtPr>
                <w:tag w:val="_PLD_c1304840da1e482f80286e0c7ca19002"/>
                <w:id w:val="-1145420707"/>
                <w:lock w:val="sdtLocked"/>
              </w:sdtPr>
              <w:sdtContent>
                <w:tc>
                  <w:tcPr>
                    <w:tcW w:w="2802" w:type="pct"/>
                    <w:tcBorders>
                      <w:top w:val="single" w:sz="4" w:space="0" w:color="auto"/>
                      <w:left w:val="single" w:sz="4" w:space="0" w:color="auto"/>
                      <w:bottom w:val="single" w:sz="4" w:space="0" w:color="auto"/>
                      <w:right w:val="single" w:sz="4" w:space="0" w:color="auto"/>
                    </w:tcBorders>
                    <w:shd w:val="clear" w:color="auto" w:fill="auto"/>
                  </w:tcPr>
                  <w:p w:rsidR="00717D63" w:rsidRDefault="00717D63" w:rsidP="006C0381">
                    <w:pPr>
                      <w:jc w:val="center"/>
                      <w:rPr>
                        <w:rFonts w:cs="Cambria"/>
                        <w:szCs w:val="21"/>
                      </w:rPr>
                    </w:pPr>
                    <w:r>
                      <w:rPr>
                        <w:rFonts w:cs="Cambria" w:hint="eastAsia"/>
                        <w:szCs w:val="21"/>
                      </w:rPr>
                      <w:t>其他关联方与本企业关系</w:t>
                    </w:r>
                  </w:p>
                </w:tc>
              </w:sdtContent>
            </w:sdt>
          </w:tr>
          <w:sdt>
            <w:sdtPr>
              <w:rPr>
                <w:rFonts w:asciiTheme="minorHAnsi" w:eastAsiaTheme="minorEastAsia" w:hAnsiTheme="minorHAnsi" w:cs="Cambria"/>
                <w:kern w:val="2"/>
                <w:szCs w:val="21"/>
              </w:rPr>
              <w:alias w:val="本企业的其他关联方情况明细"/>
              <w:tag w:val="_GBC_2ec4adf7a1ce48faaeba9536b2bf6d81"/>
              <w:id w:val="196053819"/>
              <w:lock w:val="sdtLocked"/>
            </w:sdtPr>
            <w:sdtContent>
              <w:tr w:rsidR="00717D63" w:rsidTr="006C0381">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717D63" w:rsidRDefault="00717D63" w:rsidP="006C0381">
                    <w:pPr>
                      <w:rPr>
                        <w:rFonts w:cs="Cambria"/>
                        <w:szCs w:val="21"/>
                      </w:rPr>
                    </w:pPr>
                    <w:r>
                      <w:t>北京红橘科技有限公司(以下简称”红橘科技”)</w:t>
                    </w:r>
                  </w:p>
                </w:tc>
                <w:sdt>
                  <w:sdtPr>
                    <w:rPr>
                      <w:rFonts w:cs="Cambria"/>
                      <w:szCs w:val="21"/>
                    </w:rPr>
                    <w:alias w:val="本企业的其他关联方情况明细－其他关联方与本公司关系"/>
                    <w:tag w:val="_GBC_2205fb8ea5f648b5a0c9e8e3f8499f9f"/>
                    <w:id w:val="-45209887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717D63" w:rsidRDefault="008F04CF" w:rsidP="006C0381">
                        <w:pPr>
                          <w:rPr>
                            <w:rFonts w:cs="Cambria"/>
                            <w:szCs w:val="21"/>
                          </w:rPr>
                        </w:pPr>
                        <w:r>
                          <w:rPr>
                            <w:rFonts w:cs="Cambria"/>
                            <w:szCs w:val="21"/>
                          </w:rPr>
                          <w:t>本公司关键管理人员施加重大影响的公司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360591310"/>
              <w:lock w:val="sdtLocked"/>
            </w:sdtPr>
            <w:sdtContent>
              <w:tr w:rsidR="00717D63" w:rsidTr="006C0381">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717D63" w:rsidRDefault="00717D63" w:rsidP="006C0381">
                    <w:pPr>
                      <w:rPr>
                        <w:rFonts w:cs="Cambria"/>
                        <w:szCs w:val="21"/>
                      </w:rPr>
                    </w:pPr>
                    <w:r>
                      <w:t>北京红邸餐饮文化有限公司(以下简称”红邸餐饮”)</w:t>
                    </w:r>
                  </w:p>
                </w:tc>
                <w:sdt>
                  <w:sdtPr>
                    <w:rPr>
                      <w:rFonts w:cs="Cambria"/>
                      <w:szCs w:val="21"/>
                    </w:rPr>
                    <w:alias w:val="本企业的其他关联方情况明细－其他关联方与本公司关系"/>
                    <w:tag w:val="_GBC_2205fb8ea5f648b5a0c9e8e3f8499f9f"/>
                    <w:id w:val="-103920815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717D63" w:rsidRDefault="008F04CF" w:rsidP="006C0381">
                        <w:pPr>
                          <w:rPr>
                            <w:rFonts w:cs="Cambria"/>
                            <w:szCs w:val="21"/>
                          </w:rPr>
                        </w:pPr>
                        <w:r>
                          <w:rPr>
                            <w:rFonts w:cs="Cambria"/>
                            <w:szCs w:val="21"/>
                          </w:rPr>
                          <w:t>本公司关键管理人员施加重大影响的公司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2065301872"/>
              <w:lock w:val="sdtLocked"/>
            </w:sdtPr>
            <w:sdtContent>
              <w:tr w:rsidR="00717D63" w:rsidTr="006C0381">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717D63" w:rsidRDefault="00717D63" w:rsidP="006C0381">
                    <w:pPr>
                      <w:rPr>
                        <w:rFonts w:cs="Cambria"/>
                        <w:szCs w:val="21"/>
                      </w:rPr>
                    </w:pPr>
                    <w:r>
                      <w:t>北京伟库 </w:t>
                    </w:r>
                  </w:p>
                </w:tc>
                <w:sdt>
                  <w:sdtPr>
                    <w:rPr>
                      <w:rFonts w:cs="Cambria"/>
                      <w:szCs w:val="21"/>
                    </w:rPr>
                    <w:alias w:val="本企业的其他关联方情况明细－其他关联方与本公司关系"/>
                    <w:tag w:val="_GBC_2205fb8ea5f648b5a0c9e8e3f8499f9f"/>
                    <w:id w:val="186124322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717D63" w:rsidRDefault="008F04CF" w:rsidP="006C0381">
                        <w:pPr>
                          <w:rPr>
                            <w:rFonts w:cs="Cambria"/>
                            <w:szCs w:val="21"/>
                          </w:rPr>
                        </w:pPr>
                        <w:r>
                          <w:rPr>
                            <w:rFonts w:cs="Cambria"/>
                            <w:szCs w:val="21"/>
                          </w:rPr>
                          <w:t>受用友研究所控制的公司</w:t>
                        </w:r>
                      </w:p>
                    </w:tc>
                  </w:sdtContent>
                </w:sdt>
              </w:tr>
            </w:sdtContent>
          </w:sdt>
        </w:tbl>
        <w:p w:rsidR="00717D63" w:rsidRDefault="00717D63"/>
        <w:p w:rsidR="00ED2DC7" w:rsidRDefault="00ED2DC7">
          <w:pPr>
            <w:tabs>
              <w:tab w:val="left" w:pos="1134"/>
            </w:tabs>
            <w:rPr>
              <w:rFonts w:cs="Cambria"/>
              <w:szCs w:val="21"/>
            </w:rPr>
          </w:pPr>
          <w:r>
            <w:rPr>
              <w:rFonts w:cs="Cambria" w:hint="eastAsia"/>
              <w:szCs w:val="21"/>
            </w:rPr>
            <w:t>其他说明</w:t>
          </w:r>
        </w:p>
        <w:sdt>
          <w:sdtPr>
            <w:rPr>
              <w:rFonts w:cs="Cambria"/>
              <w:szCs w:val="21"/>
            </w:rPr>
            <w:alias w:val="本企业的其他关联方情况的说明"/>
            <w:tag w:val="_GBC_214bcb1375e347c4be22006f5cc854a9"/>
            <w:id w:val="2081559745"/>
            <w:lock w:val="sdtLocked"/>
            <w:placeholder>
              <w:docPart w:val="GBC22222222222222222222222222222"/>
            </w:placeholder>
          </w:sdtPr>
          <w:sdtContent>
            <w:p w:rsidR="00ED2DC7" w:rsidRDefault="00687F61">
              <w:pPr>
                <w:tabs>
                  <w:tab w:val="left" w:pos="1134"/>
                </w:tabs>
                <w:rPr>
                  <w:rFonts w:cs="Cambria"/>
                  <w:szCs w:val="21"/>
                </w:rPr>
              </w:pPr>
              <w:r>
                <w:rPr>
                  <w:rFonts w:cs="Cambria" w:hint="eastAsia"/>
                  <w:szCs w:val="21"/>
                </w:rPr>
                <w:t>无。</w:t>
              </w:r>
            </w:p>
          </w:sdtContent>
        </w:sdt>
        <w:p w:rsidR="00ED2DC7" w:rsidRDefault="000D0A99">
          <w:pPr>
            <w:tabs>
              <w:tab w:val="left" w:pos="1134"/>
            </w:tabs>
            <w:rPr>
              <w:rFonts w:cs="Cambria"/>
              <w:b/>
              <w:szCs w:val="21"/>
            </w:rPr>
          </w:pPr>
        </w:p>
      </w:sdtContent>
    </w:sdt>
    <w:p w:rsidR="00ED2DC7" w:rsidRDefault="00ED2DC7" w:rsidP="00036BDC">
      <w:pPr>
        <w:pStyle w:val="affffffffffffffffff1"/>
        <w:numPr>
          <w:ilvl w:val="0"/>
          <w:numId w:val="88"/>
        </w:numPr>
      </w:pPr>
      <w:r>
        <w:rPr>
          <w:rFonts w:hint="eastAsia"/>
        </w:rPr>
        <w:t>关联交易情况</w:t>
      </w:r>
    </w:p>
    <w:p w:rsidR="00ED2DC7" w:rsidRPr="00A63CDC" w:rsidRDefault="00ED2DC7" w:rsidP="00036BDC">
      <w:pPr>
        <w:pStyle w:val="affffffffffffffffff2"/>
        <w:numPr>
          <w:ilvl w:val="0"/>
          <w:numId w:val="89"/>
        </w:numPr>
        <w:tabs>
          <w:tab w:val="left" w:pos="616"/>
        </w:tabs>
      </w:pPr>
      <w:r w:rsidRPr="00A63CDC">
        <w:rPr>
          <w:rFonts w:hint="eastAsia"/>
        </w:rPr>
        <w:t>购销商品、提供和接受劳务的关联交易</w:t>
      </w:r>
    </w:p>
    <w:sdt>
      <w:sdtPr>
        <w:rPr>
          <w:rFonts w:hint="eastAsia"/>
        </w:rPr>
        <w:alias w:val="模块:采购商品/接受劳务情况表"/>
        <w:tag w:val="_GBC_dbf08b5679414647a0fbf4c088d641de"/>
        <w:id w:val="282694570"/>
        <w:lock w:val="sdtLocked"/>
        <w:placeholder>
          <w:docPart w:val="GBC22222222222222222222222222222"/>
        </w:placeholder>
      </w:sdtPr>
      <w:sdtEndPr>
        <w:rPr>
          <w:rFonts w:hint="default"/>
        </w:rPr>
      </w:sdtEndPr>
      <w:sdtContent>
        <w:p w:rsidR="00ED2DC7" w:rsidRDefault="00ED2DC7">
          <w:r>
            <w:rPr>
              <w:rFonts w:hint="eastAsia"/>
            </w:rPr>
            <w:t>采购商品/接受劳务情况表</w:t>
          </w:r>
        </w:p>
        <w:sdt>
          <w:sdtPr>
            <w:alias w:val="是否适用：采购商品或接受劳务情况表[双击切换]"/>
            <w:tag w:val="_GBC_ba304c7536f34a3f9d88448fb11ca349"/>
            <w:id w:val="23756733"/>
            <w:lock w:val="sdtContentLocked"/>
            <w:placeholder>
              <w:docPart w:val="GBC22222222222222222222222222222"/>
            </w:placeholder>
          </w:sdtPr>
          <w:sdtContent>
            <w:p w:rsidR="00ED2DC7" w:rsidRDefault="00ED2DC7">
              <w:r>
                <w:fldChar w:fldCharType="begin"/>
              </w:r>
              <w:r w:rsidR="00687F61">
                <w:instrText xml:space="preserve"> MACROBUTTON  SnrToggleCheckbox √适用 </w:instrText>
              </w:r>
              <w:r>
                <w:fldChar w:fldCharType="end"/>
              </w:r>
              <w:r>
                <w:fldChar w:fldCharType="begin"/>
              </w:r>
              <w:r w:rsidR="00687F61">
                <w:instrText xml:space="preserve"> MACROBUTTON  SnrToggleCheckbox □不适用 </w:instrText>
              </w:r>
              <w:r>
                <w:fldChar w:fldCharType="end"/>
              </w:r>
            </w:p>
          </w:sdtContent>
        </w:sdt>
        <w:p w:rsidR="00ED2DC7" w:rsidRDefault="00ED2DC7">
          <w:pPr>
            <w:jc w:val="right"/>
            <w:rPr>
              <w:rFonts w:cs="Cambria"/>
              <w:b/>
              <w:bCs/>
              <w:szCs w:val="21"/>
            </w:rPr>
          </w:pPr>
          <w:r>
            <w:rPr>
              <w:rFonts w:cs="Cambria" w:hint="eastAsia"/>
              <w:szCs w:val="21"/>
            </w:rPr>
            <w:t>单位：</w:t>
          </w:r>
          <w:sdt>
            <w:sdtPr>
              <w:rPr>
                <w:rFonts w:cs="Cambria" w:hint="eastAsia"/>
                <w:szCs w:val="21"/>
              </w:rPr>
              <w:alias w:val="单位：采购商品接受劳务情况表"/>
              <w:tag w:val="_GBC_e8711f0989ee42659555a9f5631abd88"/>
              <w:id w:val="-45926380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cs="Cambria" w:hint="eastAsia"/>
                  <w:szCs w:val="21"/>
                </w:rPr>
                <w:t>元</w:t>
              </w:r>
            </w:sdtContent>
          </w:sdt>
          <w:r>
            <w:rPr>
              <w:rFonts w:cs="Cambria" w:hint="eastAsia"/>
              <w:szCs w:val="21"/>
            </w:rPr>
            <w:t xml:space="preserve">  币种：</w:t>
          </w:r>
          <w:sdt>
            <w:sdtPr>
              <w:rPr>
                <w:rFonts w:cs="Cambria" w:hint="eastAsia"/>
                <w:szCs w:val="21"/>
              </w:rPr>
              <w:alias w:val="币种：采购商品接受劳务情况表"/>
              <w:tag w:val="_GBC_dc28b68caa744ea9a5230887b822319a"/>
              <w:id w:val="-147258498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cs="Cambria" w:hint="eastAsia"/>
                  <w:szCs w:val="21"/>
                </w:rPr>
                <w:t>人民币</w:t>
              </w:r>
            </w:sdtContent>
          </w:sdt>
        </w:p>
        <w:tbl>
          <w:tblPr>
            <w:tblStyle w:val="g38"/>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2262"/>
            <w:gridCol w:w="2001"/>
            <w:gridCol w:w="2026"/>
            <w:gridCol w:w="2014"/>
          </w:tblGrid>
          <w:tr w:rsidR="00FB1721" w:rsidTr="006C0381">
            <w:trPr>
              <w:cantSplit/>
              <w:trHeight w:val="295"/>
            </w:trPr>
            <w:sdt>
              <w:sdtPr>
                <w:tag w:val="_PLD_5b37ccbdc11a45c3bbc2cf6527561c9d"/>
                <w:id w:val="-1103337991"/>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vAlign w:val="center"/>
                  </w:tcPr>
                  <w:p w:rsidR="00FB1721" w:rsidRDefault="00FB1721" w:rsidP="006C0381">
                    <w:pPr>
                      <w:jc w:val="center"/>
                      <w:rPr>
                        <w:rFonts w:cs="Cambria"/>
                        <w:szCs w:val="21"/>
                      </w:rPr>
                    </w:pPr>
                    <w:r>
                      <w:rPr>
                        <w:rFonts w:cs="Cambria" w:hint="eastAsia"/>
                        <w:szCs w:val="21"/>
                      </w:rPr>
                      <w:t>关联方</w:t>
                    </w:r>
                  </w:p>
                </w:tc>
              </w:sdtContent>
            </w:sdt>
            <w:sdt>
              <w:sdtPr>
                <w:tag w:val="_PLD_2d7b095c1f35485da0de73d655b7a571"/>
                <w:id w:val="1286546294"/>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rsidR="00FB1721" w:rsidRDefault="00FB1721" w:rsidP="006C0381">
                    <w:pPr>
                      <w:jc w:val="center"/>
                      <w:rPr>
                        <w:rFonts w:cs="Cambria"/>
                        <w:szCs w:val="21"/>
                      </w:rPr>
                    </w:pPr>
                    <w:r>
                      <w:rPr>
                        <w:rFonts w:cs="Cambria" w:hint="eastAsia"/>
                        <w:szCs w:val="21"/>
                      </w:rPr>
                      <w:t>关联交易内容</w:t>
                    </w:r>
                  </w:p>
                </w:tc>
              </w:sdtContent>
            </w:sdt>
            <w:sdt>
              <w:sdtPr>
                <w:tag w:val="_PLD_2d255188abfa41f4af0fad1a74ac6d6d"/>
                <w:id w:val="-1052151275"/>
                <w:lock w:val="sdtLocked"/>
              </w:sdtPr>
              <w:sdtContent>
                <w:tc>
                  <w:tcPr>
                    <w:tcW w:w="1220" w:type="pct"/>
                    <w:tcBorders>
                      <w:top w:val="single" w:sz="4" w:space="0" w:color="auto"/>
                      <w:left w:val="single" w:sz="4" w:space="0" w:color="auto"/>
                      <w:right w:val="single" w:sz="4" w:space="0" w:color="auto"/>
                    </w:tcBorders>
                    <w:shd w:val="clear" w:color="auto" w:fill="auto"/>
                    <w:vAlign w:val="center"/>
                  </w:tcPr>
                  <w:p w:rsidR="00FB1721" w:rsidRDefault="00FB1721" w:rsidP="006C0381">
                    <w:pPr>
                      <w:jc w:val="center"/>
                      <w:rPr>
                        <w:rFonts w:cs="Cambria"/>
                        <w:szCs w:val="21"/>
                      </w:rPr>
                    </w:pPr>
                    <w:r>
                      <w:rPr>
                        <w:rFonts w:cs="Cambria" w:hint="eastAsia"/>
                        <w:szCs w:val="21"/>
                      </w:rPr>
                      <w:t>本期发生额</w:t>
                    </w:r>
                  </w:p>
                </w:tc>
              </w:sdtContent>
            </w:sdt>
            <w:sdt>
              <w:sdtPr>
                <w:tag w:val="_PLD_60fc9f0737164f9694363f102a4420bb"/>
                <w:id w:val="-204023751"/>
                <w:lock w:val="sdtLocked"/>
              </w:sdtPr>
              <w:sdtContent>
                <w:tc>
                  <w:tcPr>
                    <w:tcW w:w="1213" w:type="pct"/>
                    <w:tcBorders>
                      <w:top w:val="single" w:sz="4" w:space="0" w:color="auto"/>
                      <w:left w:val="single" w:sz="4" w:space="0" w:color="auto"/>
                      <w:right w:val="single" w:sz="4" w:space="0" w:color="auto"/>
                    </w:tcBorders>
                    <w:shd w:val="clear" w:color="auto" w:fill="auto"/>
                    <w:vAlign w:val="center"/>
                  </w:tcPr>
                  <w:p w:rsidR="00FB1721" w:rsidRDefault="00FB1721" w:rsidP="006C0381">
                    <w:pPr>
                      <w:jc w:val="center"/>
                      <w:rPr>
                        <w:rFonts w:cs="Cambria"/>
                        <w:szCs w:val="21"/>
                      </w:rPr>
                    </w:pPr>
                    <w:r>
                      <w:rPr>
                        <w:rFonts w:cs="Cambria" w:hint="eastAsia"/>
                        <w:szCs w:val="21"/>
                      </w:rPr>
                      <w:t>上期发生额</w:t>
                    </w:r>
                  </w:p>
                </w:tc>
              </w:sdtContent>
            </w:sdt>
          </w:tr>
          <w:sdt>
            <w:sdtPr>
              <w:rPr>
                <w:rFonts w:asciiTheme="minorHAnsi" w:eastAsiaTheme="minorEastAsia" w:hAnsiTheme="minorHAnsi" w:cstheme="minorBidi"/>
                <w:kern w:val="2"/>
                <w:szCs w:val="21"/>
              </w:rPr>
              <w:alias w:val="采购商品接受劳务情况明细"/>
              <w:tag w:val="_GBC_0c9767805cb8416eaba14f759181aa29"/>
              <w:id w:val="1597672884"/>
              <w:lock w:val="sdtLocked"/>
            </w:sdtPr>
            <w:sdtContent>
              <w:tr w:rsidR="00FB1721" w:rsidTr="006C0381">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rsidR="00FB1721" w:rsidRDefault="00FB1721" w:rsidP="006C0381">
                    <w:pPr>
                      <w:rPr>
                        <w:szCs w:val="21"/>
                      </w:rPr>
                    </w:pPr>
                    <w:r>
                      <w:t>红邸餐饮</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FB1721" w:rsidRDefault="00FB1721" w:rsidP="006C0381">
                    <w:pPr>
                      <w:rPr>
                        <w:szCs w:val="21"/>
                      </w:rPr>
                    </w:pPr>
                    <w:r>
                      <w:t>自关联方购买商品和接受劳务</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FB1721" w:rsidRDefault="00FB1721" w:rsidP="006C0381">
                    <w:pPr>
                      <w:jc w:val="right"/>
                      <w:rPr>
                        <w:szCs w:val="21"/>
                      </w:rPr>
                    </w:pPr>
                    <w:r>
                      <w:t>1,357,209</w:t>
                    </w:r>
                  </w:p>
                </w:tc>
                <w:tc>
                  <w:tcPr>
                    <w:tcW w:w="1213" w:type="pct"/>
                    <w:tcBorders>
                      <w:top w:val="single" w:sz="4" w:space="0" w:color="auto"/>
                      <w:left w:val="single" w:sz="4" w:space="0" w:color="auto"/>
                      <w:bottom w:val="single" w:sz="4" w:space="0" w:color="auto"/>
                      <w:right w:val="single" w:sz="4" w:space="0" w:color="auto"/>
                    </w:tcBorders>
                    <w:shd w:val="clear" w:color="auto" w:fill="auto"/>
                  </w:tcPr>
                  <w:p w:rsidR="00FB1721" w:rsidRDefault="00FB1721" w:rsidP="006C0381">
                    <w:pPr>
                      <w:jc w:val="right"/>
                      <w:rPr>
                        <w:szCs w:val="21"/>
                      </w:rPr>
                    </w:pPr>
                    <w:r>
                      <w:t>1,704,815</w:t>
                    </w:r>
                  </w:p>
                </w:tc>
              </w:tr>
            </w:sdtContent>
          </w:sdt>
          <w:sdt>
            <w:sdtPr>
              <w:rPr>
                <w:rFonts w:asciiTheme="minorHAnsi" w:eastAsiaTheme="minorEastAsia" w:hAnsiTheme="minorHAnsi" w:cstheme="minorBidi"/>
                <w:kern w:val="2"/>
                <w:szCs w:val="21"/>
              </w:rPr>
              <w:alias w:val="采购商品接受劳务情况明细"/>
              <w:tag w:val="_GBC_0c9767805cb8416eaba14f759181aa29"/>
              <w:id w:val="-1599870093"/>
              <w:lock w:val="sdtLocked"/>
            </w:sdtPr>
            <w:sdtContent>
              <w:tr w:rsidR="00FB1721" w:rsidTr="006C0381">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rsidR="00FB1721" w:rsidRDefault="00FB1721" w:rsidP="006C0381">
                    <w:pPr>
                      <w:rPr>
                        <w:szCs w:val="21"/>
                      </w:rPr>
                    </w:pPr>
                    <w:r>
                      <w:t>优数征信</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FB1721" w:rsidRDefault="00FB1721" w:rsidP="006C0381">
                    <w:pPr>
                      <w:rPr>
                        <w:szCs w:val="21"/>
                      </w:rPr>
                    </w:pPr>
                    <w:r>
                      <w:t>自关联方购买商品和接受劳务</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FB1721" w:rsidRDefault="00FB1721" w:rsidP="006C0381">
                    <w:pPr>
                      <w:jc w:val="right"/>
                      <w:rPr>
                        <w:szCs w:val="21"/>
                      </w:rPr>
                    </w:pPr>
                    <w:r>
                      <w:t>224,345</w:t>
                    </w:r>
                  </w:p>
                </w:tc>
                <w:tc>
                  <w:tcPr>
                    <w:tcW w:w="1213" w:type="pct"/>
                    <w:tcBorders>
                      <w:top w:val="single" w:sz="4" w:space="0" w:color="auto"/>
                      <w:left w:val="single" w:sz="4" w:space="0" w:color="auto"/>
                      <w:bottom w:val="single" w:sz="4" w:space="0" w:color="auto"/>
                      <w:right w:val="single" w:sz="4" w:space="0" w:color="auto"/>
                    </w:tcBorders>
                    <w:shd w:val="clear" w:color="auto" w:fill="auto"/>
                  </w:tcPr>
                  <w:p w:rsidR="00FB1721" w:rsidRDefault="00FB1721" w:rsidP="006C0381">
                    <w:pPr>
                      <w:jc w:val="right"/>
                      <w:rPr>
                        <w:szCs w:val="21"/>
                      </w:rPr>
                    </w:pPr>
                    <w:r>
                      <w:t>-</w:t>
                    </w:r>
                  </w:p>
                </w:tc>
              </w:tr>
            </w:sdtContent>
          </w:sdt>
          <w:sdt>
            <w:sdtPr>
              <w:rPr>
                <w:rFonts w:asciiTheme="minorHAnsi" w:eastAsiaTheme="minorEastAsia" w:hAnsiTheme="minorHAnsi" w:cstheme="minorBidi"/>
                <w:kern w:val="2"/>
                <w:szCs w:val="21"/>
              </w:rPr>
              <w:alias w:val="采购商品接受劳务情况明细"/>
              <w:tag w:val="_GBC_0c9767805cb8416eaba14f759181aa29"/>
              <w:id w:val="-185994272"/>
              <w:lock w:val="sdtLocked"/>
            </w:sdtPr>
            <w:sdtContent>
              <w:tr w:rsidR="00FB1721" w:rsidTr="006C0381">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rsidR="00FB1721" w:rsidRDefault="00FB1721" w:rsidP="006C0381">
                    <w:pPr>
                      <w:rPr>
                        <w:szCs w:val="21"/>
                      </w:rPr>
                    </w:pPr>
                    <w:r>
                      <w:t>用友融联</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FB1721" w:rsidRDefault="00FB1721" w:rsidP="006C0381">
                    <w:pPr>
                      <w:rPr>
                        <w:szCs w:val="21"/>
                      </w:rPr>
                    </w:pPr>
                    <w:r>
                      <w:t>自关联方购买商品和接受劳务</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FB1721" w:rsidRDefault="00FB1721" w:rsidP="006C0381">
                    <w:pPr>
                      <w:jc w:val="right"/>
                      <w:rPr>
                        <w:szCs w:val="21"/>
                      </w:rPr>
                    </w:pPr>
                    <w:r>
                      <w:t>42,857</w:t>
                    </w:r>
                  </w:p>
                </w:tc>
                <w:tc>
                  <w:tcPr>
                    <w:tcW w:w="1213" w:type="pct"/>
                    <w:tcBorders>
                      <w:top w:val="single" w:sz="4" w:space="0" w:color="auto"/>
                      <w:left w:val="single" w:sz="4" w:space="0" w:color="auto"/>
                      <w:bottom w:val="single" w:sz="4" w:space="0" w:color="auto"/>
                      <w:right w:val="single" w:sz="4" w:space="0" w:color="auto"/>
                    </w:tcBorders>
                    <w:shd w:val="clear" w:color="auto" w:fill="auto"/>
                  </w:tcPr>
                  <w:p w:rsidR="00FB1721" w:rsidRDefault="00FB1721" w:rsidP="006C0381">
                    <w:pPr>
                      <w:jc w:val="right"/>
                      <w:rPr>
                        <w:szCs w:val="21"/>
                      </w:rPr>
                    </w:pPr>
                    <w:r>
                      <w:t>66,792</w:t>
                    </w:r>
                  </w:p>
                </w:tc>
              </w:tr>
            </w:sdtContent>
          </w:sdt>
          <w:sdt>
            <w:sdtPr>
              <w:rPr>
                <w:rFonts w:asciiTheme="minorHAnsi" w:eastAsiaTheme="minorEastAsia" w:hAnsiTheme="minorHAnsi" w:cstheme="minorBidi"/>
                <w:kern w:val="2"/>
                <w:szCs w:val="21"/>
              </w:rPr>
              <w:alias w:val="采购商品接受劳务情况明细"/>
              <w:tag w:val="_GBC_0c9767805cb8416eaba14f759181aa29"/>
              <w:id w:val="1063070503"/>
              <w:lock w:val="sdtLocked"/>
            </w:sdtPr>
            <w:sdtContent>
              <w:tr w:rsidR="00FB1721" w:rsidTr="006C0381">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rsidR="00FB1721" w:rsidRDefault="00FB1721" w:rsidP="006C0381">
                    <w:pPr>
                      <w:rPr>
                        <w:szCs w:val="21"/>
                      </w:rPr>
                    </w:pPr>
                    <w:r>
                      <w:t>大易云</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FB1721" w:rsidRDefault="00FB1721" w:rsidP="006C0381">
                    <w:pPr>
                      <w:rPr>
                        <w:szCs w:val="21"/>
                      </w:rPr>
                    </w:pPr>
                    <w:r>
                      <w:t>自关联方购买商品和接受劳务</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FB1721" w:rsidRDefault="00FB1721" w:rsidP="006C0381">
                    <w:pPr>
                      <w:jc w:val="right"/>
                      <w:rPr>
                        <w:szCs w:val="21"/>
                      </w:rPr>
                    </w:pPr>
                    <w:r>
                      <w:t>393,127</w:t>
                    </w:r>
                  </w:p>
                </w:tc>
                <w:tc>
                  <w:tcPr>
                    <w:tcW w:w="1213" w:type="pct"/>
                    <w:tcBorders>
                      <w:top w:val="single" w:sz="4" w:space="0" w:color="auto"/>
                      <w:left w:val="single" w:sz="4" w:space="0" w:color="auto"/>
                      <w:bottom w:val="single" w:sz="4" w:space="0" w:color="auto"/>
                      <w:right w:val="single" w:sz="4" w:space="0" w:color="auto"/>
                    </w:tcBorders>
                    <w:shd w:val="clear" w:color="auto" w:fill="auto"/>
                  </w:tcPr>
                  <w:p w:rsidR="00FB1721" w:rsidRDefault="00FB1721" w:rsidP="006C0381">
                    <w:pPr>
                      <w:jc w:val="right"/>
                      <w:rPr>
                        <w:szCs w:val="21"/>
                      </w:rPr>
                    </w:pPr>
                  </w:p>
                </w:tc>
              </w:tr>
            </w:sdtContent>
          </w:sdt>
          <w:sdt>
            <w:sdtPr>
              <w:rPr>
                <w:rFonts w:asciiTheme="minorHAnsi" w:eastAsiaTheme="minorEastAsia" w:hAnsiTheme="minorHAnsi" w:cstheme="minorBidi"/>
                <w:kern w:val="2"/>
                <w:szCs w:val="21"/>
              </w:rPr>
              <w:alias w:val="采购商品接受劳务情况明细"/>
              <w:tag w:val="_GBC_0c9767805cb8416eaba14f759181aa29"/>
              <w:id w:val="-838920074"/>
              <w:lock w:val="sdtLocked"/>
            </w:sdtPr>
            <w:sdtContent>
              <w:tr w:rsidR="00FB1721" w:rsidTr="006C0381">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rsidR="00FB1721" w:rsidRDefault="00FB1721" w:rsidP="006C0381">
                    <w:pPr>
                      <w:rPr>
                        <w:szCs w:val="21"/>
                      </w:rPr>
                    </w:pPr>
                    <w:r>
                      <w:t>北京同联</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FB1721" w:rsidRDefault="00FB1721" w:rsidP="006C0381">
                    <w:pPr>
                      <w:rPr>
                        <w:szCs w:val="21"/>
                      </w:rPr>
                    </w:pPr>
                    <w:r>
                      <w:t>自关联方购买商品和接受劳务</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FB1721" w:rsidRDefault="00FB1721" w:rsidP="006C0381">
                    <w:pPr>
                      <w:jc w:val="right"/>
                      <w:rPr>
                        <w:szCs w:val="21"/>
                      </w:rPr>
                    </w:pPr>
                    <w:r>
                      <w:t>416,130</w:t>
                    </w:r>
                  </w:p>
                </w:tc>
                <w:tc>
                  <w:tcPr>
                    <w:tcW w:w="1213" w:type="pct"/>
                    <w:tcBorders>
                      <w:top w:val="single" w:sz="4" w:space="0" w:color="auto"/>
                      <w:left w:val="single" w:sz="4" w:space="0" w:color="auto"/>
                      <w:bottom w:val="single" w:sz="4" w:space="0" w:color="auto"/>
                      <w:right w:val="single" w:sz="4" w:space="0" w:color="auto"/>
                    </w:tcBorders>
                    <w:shd w:val="clear" w:color="auto" w:fill="auto"/>
                  </w:tcPr>
                  <w:p w:rsidR="00FB1721" w:rsidRDefault="00FB1721" w:rsidP="006C0381">
                    <w:pPr>
                      <w:jc w:val="right"/>
                      <w:rPr>
                        <w:szCs w:val="21"/>
                      </w:rPr>
                    </w:pPr>
                  </w:p>
                </w:tc>
              </w:tr>
            </w:sdtContent>
          </w:sdt>
          <w:sdt>
            <w:sdtPr>
              <w:rPr>
                <w:rFonts w:asciiTheme="minorHAnsi" w:eastAsiaTheme="minorEastAsia" w:hAnsiTheme="minorHAnsi" w:cstheme="minorBidi"/>
                <w:kern w:val="2"/>
                <w:szCs w:val="21"/>
              </w:rPr>
              <w:alias w:val="采购商品接受劳务情况明细"/>
              <w:tag w:val="_GBC_0c9767805cb8416eaba14f759181aa29"/>
              <w:id w:val="-1143501160"/>
              <w:lock w:val="sdtLocked"/>
            </w:sdtPr>
            <w:sdtContent>
              <w:tr w:rsidR="00FB1721" w:rsidTr="006C0381">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rsidR="00FB1721" w:rsidRDefault="00FB1721" w:rsidP="006C0381">
                    <w:pPr>
                      <w:rPr>
                        <w:szCs w:val="21"/>
                      </w:rPr>
                    </w:pPr>
                    <w:r>
                      <w:t>汉唐信通</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FB1721" w:rsidRDefault="00FB1721" w:rsidP="006C0381">
                    <w:pPr>
                      <w:rPr>
                        <w:szCs w:val="21"/>
                      </w:rPr>
                    </w:pPr>
                    <w:r>
                      <w:t>自关联方购买商品和接受劳务</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FB1721" w:rsidRDefault="00FB1721" w:rsidP="006C0381">
                    <w:pPr>
                      <w:jc w:val="right"/>
                      <w:rPr>
                        <w:szCs w:val="21"/>
                      </w:rPr>
                    </w:pPr>
                    <w:r>
                      <w:t>-</w:t>
                    </w:r>
                  </w:p>
                </w:tc>
                <w:tc>
                  <w:tcPr>
                    <w:tcW w:w="1213" w:type="pct"/>
                    <w:tcBorders>
                      <w:top w:val="single" w:sz="4" w:space="0" w:color="auto"/>
                      <w:left w:val="single" w:sz="4" w:space="0" w:color="auto"/>
                      <w:bottom w:val="single" w:sz="4" w:space="0" w:color="auto"/>
                      <w:right w:val="single" w:sz="4" w:space="0" w:color="auto"/>
                    </w:tcBorders>
                    <w:shd w:val="clear" w:color="auto" w:fill="auto"/>
                  </w:tcPr>
                  <w:p w:rsidR="00FB1721" w:rsidRDefault="00FB1721" w:rsidP="006C0381">
                    <w:pPr>
                      <w:jc w:val="right"/>
                      <w:rPr>
                        <w:szCs w:val="21"/>
                      </w:rPr>
                    </w:pPr>
                    <w:r>
                      <w:t>371,225</w:t>
                    </w:r>
                  </w:p>
                </w:tc>
              </w:tr>
            </w:sdtContent>
          </w:sdt>
          <w:sdt>
            <w:sdtPr>
              <w:rPr>
                <w:rFonts w:asciiTheme="minorHAnsi" w:eastAsiaTheme="minorEastAsia" w:hAnsiTheme="minorHAnsi" w:cstheme="minorBidi"/>
                <w:kern w:val="2"/>
                <w:szCs w:val="21"/>
              </w:rPr>
              <w:alias w:val="采购商品接受劳务情况明细"/>
              <w:tag w:val="_GBC_0c9767805cb8416eaba14f759181aa29"/>
              <w:id w:val="-1042900595"/>
              <w:lock w:val="sdtLocked"/>
            </w:sdtPr>
            <w:sdtContent>
              <w:tr w:rsidR="00FB1721" w:rsidTr="006C0381">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rsidR="00FB1721" w:rsidRDefault="00FB1721" w:rsidP="006C0381">
                    <w:pPr>
                      <w:rPr>
                        <w:szCs w:val="21"/>
                      </w:rPr>
                    </w:pPr>
                    <w:r>
                      <w:t>其他</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FB1721" w:rsidRDefault="00FB1721" w:rsidP="006C0381">
                    <w:pPr>
                      <w:rPr>
                        <w:szCs w:val="21"/>
                      </w:rPr>
                    </w:pPr>
                    <w:r>
                      <w:t>自关联方购买商品和接受劳务</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FB1721" w:rsidRDefault="00FB1721" w:rsidP="006C0381">
                    <w:pPr>
                      <w:jc w:val="right"/>
                      <w:rPr>
                        <w:szCs w:val="21"/>
                      </w:rPr>
                    </w:pPr>
                    <w:r>
                      <w:t>72,600</w:t>
                    </w:r>
                  </w:p>
                </w:tc>
                <w:tc>
                  <w:tcPr>
                    <w:tcW w:w="1213" w:type="pct"/>
                    <w:tcBorders>
                      <w:top w:val="single" w:sz="4" w:space="0" w:color="auto"/>
                      <w:left w:val="single" w:sz="4" w:space="0" w:color="auto"/>
                      <w:bottom w:val="single" w:sz="4" w:space="0" w:color="auto"/>
                      <w:right w:val="single" w:sz="4" w:space="0" w:color="auto"/>
                    </w:tcBorders>
                    <w:shd w:val="clear" w:color="auto" w:fill="auto"/>
                  </w:tcPr>
                  <w:p w:rsidR="00FB1721" w:rsidRDefault="00FB1721" w:rsidP="006C0381">
                    <w:pPr>
                      <w:jc w:val="right"/>
                      <w:rPr>
                        <w:szCs w:val="21"/>
                      </w:rPr>
                    </w:pPr>
                    <w:r>
                      <w:t>24,529</w:t>
                    </w:r>
                  </w:p>
                </w:tc>
              </w:tr>
            </w:sdtContent>
          </w:sdt>
        </w:tbl>
        <w:p w:rsidR="00FB1721" w:rsidRDefault="00FB1721"/>
        <w:p w:rsidR="00ED2DC7" w:rsidRDefault="000D0A99"/>
      </w:sdtContent>
    </w:sdt>
    <w:sdt>
      <w:sdtPr>
        <w:rPr>
          <w:rFonts w:hint="eastAsia"/>
          <w:szCs w:val="21"/>
        </w:rPr>
        <w:alias w:val="模块:出售商品/提供劳务情况"/>
        <w:tag w:val="_GBC_a4e1c0efe9f741ecbb648a33c9afb8fd"/>
        <w:id w:val="-1929262489"/>
        <w:lock w:val="sdtLocked"/>
        <w:placeholder>
          <w:docPart w:val="GBC22222222222222222222222222222"/>
        </w:placeholder>
      </w:sdtPr>
      <w:sdtEndPr>
        <w:rPr>
          <w:rFonts w:cs="Cambria"/>
        </w:rPr>
      </w:sdtEndPr>
      <w:sdtContent>
        <w:p w:rsidR="00ED2DC7" w:rsidRDefault="00ED2DC7">
          <w:pPr>
            <w:ind w:rightChars="-369" w:right="-775"/>
            <w:rPr>
              <w:szCs w:val="21"/>
            </w:rPr>
          </w:pPr>
          <w:r>
            <w:rPr>
              <w:rFonts w:hint="eastAsia"/>
              <w:szCs w:val="21"/>
            </w:rPr>
            <w:t>出售商品/提供劳务情况表</w:t>
          </w:r>
        </w:p>
        <w:sdt>
          <w:sdtPr>
            <w:rPr>
              <w:szCs w:val="21"/>
            </w:rPr>
            <w:alias w:val="是否适用：出售商品或提供劳务情况表[双击切换]"/>
            <w:tag w:val="_GBC_18ae630e2f3641959d3a9fc1a3f3ccf3"/>
            <w:id w:val="1366020609"/>
            <w:lock w:val="sdtContentLocked"/>
            <w:placeholder>
              <w:docPart w:val="GBC22222222222222222222222222222"/>
            </w:placeholder>
          </w:sdtPr>
          <w:sdtContent>
            <w:p w:rsidR="00ED2DC7" w:rsidRDefault="00ED2DC7">
              <w:pPr>
                <w:ind w:rightChars="-369" w:right="-775"/>
                <w:rPr>
                  <w:szCs w:val="21"/>
                </w:rPr>
              </w:pPr>
              <w:r>
                <w:rPr>
                  <w:szCs w:val="21"/>
                </w:rPr>
                <w:fldChar w:fldCharType="begin"/>
              </w:r>
              <w:r w:rsidR="00687F61">
                <w:rPr>
                  <w:szCs w:val="21"/>
                </w:rPr>
                <w:instrText xml:space="preserve"> MACROBUTTON  SnrToggleCheckbox √适用 </w:instrText>
              </w:r>
              <w:r>
                <w:rPr>
                  <w:szCs w:val="21"/>
                </w:rPr>
                <w:fldChar w:fldCharType="end"/>
              </w:r>
              <w:r>
                <w:rPr>
                  <w:szCs w:val="21"/>
                </w:rPr>
                <w:fldChar w:fldCharType="begin"/>
              </w:r>
              <w:r w:rsidR="00687F61">
                <w:rPr>
                  <w:szCs w:val="21"/>
                </w:rPr>
                <w:instrText xml:space="preserve"> MACROBUTTON  SnrToggleCheckbox □不适用 </w:instrText>
              </w:r>
              <w:r>
                <w:rPr>
                  <w:szCs w:val="21"/>
                </w:rPr>
                <w:fldChar w:fldCharType="end"/>
              </w:r>
            </w:p>
          </w:sdtContent>
        </w:sdt>
        <w:p w:rsidR="00ED2DC7" w:rsidRDefault="00ED2DC7">
          <w:pPr>
            <w:tabs>
              <w:tab w:val="left" w:pos="3870"/>
            </w:tabs>
            <w:jc w:val="right"/>
            <w:rPr>
              <w:rFonts w:cs="Cambria"/>
              <w:szCs w:val="21"/>
            </w:rPr>
          </w:pPr>
          <w:r>
            <w:rPr>
              <w:szCs w:val="21"/>
            </w:rPr>
            <w:t>单位</w:t>
          </w:r>
          <w:r>
            <w:rPr>
              <w:rFonts w:hint="eastAsia"/>
              <w:szCs w:val="21"/>
            </w:rPr>
            <w:t>：</w:t>
          </w:r>
          <w:sdt>
            <w:sdtPr>
              <w:rPr>
                <w:szCs w:val="21"/>
              </w:rPr>
              <w:alias w:val="单位：出售商品提供劳务情况表"/>
              <w:tag w:val="_GBC_d53494f853ed4767a511f9c2c780c566"/>
              <w:id w:val="-62123331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szCs w:val="21"/>
                </w:rPr>
                <w:t>元</w:t>
              </w:r>
            </w:sdtContent>
          </w:sdt>
          <w:r>
            <w:rPr>
              <w:szCs w:val="21"/>
            </w:rPr>
            <w:t xml:space="preserve">  币种：</w:t>
          </w:r>
          <w:sdt>
            <w:sdtPr>
              <w:rPr>
                <w:szCs w:val="21"/>
              </w:rPr>
              <w:alias w:val="币种：出售商品提供劳务情况表"/>
              <w:tag w:val="_GBC_d298f57687684d2eafef1d8c13d51722"/>
              <w:id w:val="-2799519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szCs w:val="21"/>
                </w:rPr>
                <w:t>人民币</w:t>
              </w:r>
            </w:sdtContent>
          </w:sdt>
        </w:p>
        <w:tbl>
          <w:tblPr>
            <w:tblStyle w:val="g38"/>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2255"/>
            <w:gridCol w:w="1981"/>
            <w:gridCol w:w="2033"/>
            <w:gridCol w:w="2034"/>
          </w:tblGrid>
          <w:tr w:rsidR="00FB1721" w:rsidTr="006C0381">
            <w:trPr>
              <w:cantSplit/>
              <w:trHeight w:val="273"/>
            </w:trPr>
            <w:sdt>
              <w:sdtPr>
                <w:tag w:val="_PLD_70510986aab647e99b00ba57c32e64cd"/>
                <w:id w:val="-358661681"/>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vAlign w:val="center"/>
                  </w:tcPr>
                  <w:p w:rsidR="00FB1721" w:rsidRDefault="00FB1721" w:rsidP="006C0381">
                    <w:pPr>
                      <w:jc w:val="center"/>
                      <w:rPr>
                        <w:rFonts w:cs="Cambria"/>
                        <w:szCs w:val="21"/>
                      </w:rPr>
                    </w:pPr>
                    <w:r>
                      <w:rPr>
                        <w:rFonts w:cs="Cambria" w:hint="eastAsia"/>
                        <w:szCs w:val="21"/>
                      </w:rPr>
                      <w:t>关联方</w:t>
                    </w:r>
                  </w:p>
                </w:tc>
              </w:sdtContent>
            </w:sdt>
            <w:sdt>
              <w:sdtPr>
                <w:tag w:val="_PLD_66da90262f3d401c8151235b4c6f5e93"/>
                <w:id w:val="-454957834"/>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FB1721" w:rsidRDefault="00FB1721" w:rsidP="006C0381">
                    <w:pPr>
                      <w:jc w:val="center"/>
                      <w:rPr>
                        <w:rFonts w:cs="Cambria"/>
                        <w:szCs w:val="21"/>
                      </w:rPr>
                    </w:pPr>
                    <w:r>
                      <w:rPr>
                        <w:rFonts w:cs="Cambria" w:hint="eastAsia"/>
                        <w:szCs w:val="21"/>
                      </w:rPr>
                      <w:t>关联交易内容</w:t>
                    </w:r>
                  </w:p>
                </w:tc>
              </w:sdtContent>
            </w:sdt>
            <w:sdt>
              <w:sdtPr>
                <w:tag w:val="_PLD_09c424bd80324eb49dafea569ce1931b"/>
                <w:id w:val="193816270"/>
                <w:lock w:val="sdtLocked"/>
              </w:sdtPr>
              <w:sdtContent>
                <w:tc>
                  <w:tcPr>
                    <w:tcW w:w="1224" w:type="pct"/>
                    <w:tcBorders>
                      <w:top w:val="single" w:sz="4" w:space="0" w:color="auto"/>
                      <w:left w:val="single" w:sz="4" w:space="0" w:color="auto"/>
                      <w:right w:val="single" w:sz="4" w:space="0" w:color="auto"/>
                    </w:tcBorders>
                    <w:shd w:val="clear" w:color="auto" w:fill="auto"/>
                    <w:vAlign w:val="center"/>
                  </w:tcPr>
                  <w:p w:rsidR="00FB1721" w:rsidRDefault="00FB1721" w:rsidP="006C0381">
                    <w:pPr>
                      <w:jc w:val="center"/>
                      <w:rPr>
                        <w:rFonts w:cs="Cambria"/>
                        <w:szCs w:val="21"/>
                      </w:rPr>
                    </w:pPr>
                    <w:r>
                      <w:rPr>
                        <w:rFonts w:cs="Cambria" w:hint="eastAsia"/>
                        <w:szCs w:val="21"/>
                      </w:rPr>
                      <w:t>本期发生额</w:t>
                    </w:r>
                  </w:p>
                </w:tc>
              </w:sdtContent>
            </w:sdt>
            <w:sdt>
              <w:sdtPr>
                <w:tag w:val="_PLD_fd0f9e0691744db49d5ceaf95d42197c"/>
                <w:id w:val="886144301"/>
                <w:lock w:val="sdtLocked"/>
              </w:sdtPr>
              <w:sdtContent>
                <w:tc>
                  <w:tcPr>
                    <w:tcW w:w="1225" w:type="pct"/>
                    <w:tcBorders>
                      <w:top w:val="single" w:sz="4" w:space="0" w:color="auto"/>
                      <w:left w:val="single" w:sz="4" w:space="0" w:color="auto"/>
                      <w:right w:val="single" w:sz="4" w:space="0" w:color="auto"/>
                    </w:tcBorders>
                    <w:shd w:val="clear" w:color="auto" w:fill="auto"/>
                    <w:vAlign w:val="center"/>
                  </w:tcPr>
                  <w:p w:rsidR="00FB1721" w:rsidRDefault="00FB1721" w:rsidP="006C0381">
                    <w:pPr>
                      <w:jc w:val="center"/>
                      <w:rPr>
                        <w:rFonts w:cs="Cambria"/>
                        <w:szCs w:val="21"/>
                      </w:rPr>
                    </w:pPr>
                    <w:r>
                      <w:rPr>
                        <w:rFonts w:cs="Cambria" w:hint="eastAsia"/>
                        <w:szCs w:val="21"/>
                      </w:rPr>
                      <w:t>上期发生额</w:t>
                    </w:r>
                  </w:p>
                </w:tc>
              </w:sdtContent>
            </w:sdt>
          </w:tr>
          <w:sdt>
            <w:sdtPr>
              <w:rPr>
                <w:rFonts w:asciiTheme="minorHAnsi" w:eastAsiaTheme="minorEastAsia" w:hAnsiTheme="minorHAnsi" w:cstheme="minorBidi"/>
                <w:kern w:val="2"/>
                <w:szCs w:val="21"/>
              </w:rPr>
              <w:alias w:val="出售商品提供劳务情况明细"/>
              <w:tag w:val="_GBC_d6e24b6ca62645f180ecf5d4621afdc6"/>
              <w:id w:val="2097826864"/>
              <w:lock w:val="sdtLocked"/>
            </w:sdtPr>
            <w:sdtContent>
              <w:tr w:rsidR="00FB1721" w:rsidTr="006C0381">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FB1721" w:rsidRDefault="00FB1721" w:rsidP="006C0381">
                    <w:pPr>
                      <w:rPr>
                        <w:szCs w:val="21"/>
                      </w:rPr>
                    </w:pPr>
                    <w:r>
                      <w:t>幸福联创</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FB1721" w:rsidRDefault="00FB1721" w:rsidP="006C0381">
                    <w:pPr>
                      <w:rPr>
                        <w:szCs w:val="21"/>
                      </w:rPr>
                    </w:pPr>
                    <w:r>
                      <w:t>向关联方销售商品和提供劳务</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FB1721" w:rsidRDefault="00FB1721" w:rsidP="006C0381">
                    <w:pPr>
                      <w:jc w:val="right"/>
                      <w:rPr>
                        <w:szCs w:val="21"/>
                      </w:rPr>
                    </w:pPr>
                    <w:r>
                      <w:t>2,264,151</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FB1721" w:rsidRDefault="00FB1721" w:rsidP="006C0381">
                    <w:pPr>
                      <w:jc w:val="right"/>
                      <w:rPr>
                        <w:szCs w:val="21"/>
                      </w:rPr>
                    </w:pPr>
                    <w:r>
                      <w:t>2,264,151</w:t>
                    </w:r>
                  </w:p>
                </w:tc>
              </w:tr>
            </w:sdtContent>
          </w:sdt>
          <w:sdt>
            <w:sdtPr>
              <w:rPr>
                <w:rFonts w:asciiTheme="minorHAnsi" w:eastAsiaTheme="minorEastAsia" w:hAnsiTheme="minorHAnsi" w:cstheme="minorBidi"/>
                <w:kern w:val="2"/>
                <w:szCs w:val="21"/>
              </w:rPr>
              <w:alias w:val="出售商品提供劳务情况明细"/>
              <w:tag w:val="_GBC_d6e24b6ca62645f180ecf5d4621afdc6"/>
              <w:id w:val="578487455"/>
              <w:lock w:val="sdtLocked"/>
            </w:sdtPr>
            <w:sdtContent>
              <w:tr w:rsidR="00FB1721" w:rsidTr="006C0381">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FB1721" w:rsidRDefault="00FB1721" w:rsidP="006C0381">
                    <w:pPr>
                      <w:rPr>
                        <w:szCs w:val="21"/>
                      </w:rPr>
                    </w:pPr>
                    <w:r>
                      <w:t>中关村银行</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FB1721" w:rsidRDefault="00FB1721" w:rsidP="006C0381">
                    <w:pPr>
                      <w:rPr>
                        <w:szCs w:val="21"/>
                      </w:rPr>
                    </w:pPr>
                    <w:r>
                      <w:t>向关联方销售商品和提供劳务</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FB1721" w:rsidRDefault="00FB1721" w:rsidP="006C0381">
                    <w:pPr>
                      <w:jc w:val="right"/>
                      <w:rPr>
                        <w:szCs w:val="21"/>
                      </w:rPr>
                    </w:pPr>
                    <w:r>
                      <w:t>330,198</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FB1721" w:rsidRDefault="00FB1721" w:rsidP="006C0381">
                    <w:pPr>
                      <w:jc w:val="right"/>
                      <w:rPr>
                        <w:szCs w:val="21"/>
                      </w:rPr>
                    </w:pPr>
                    <w:r>
                      <w:t>1,449,641</w:t>
                    </w:r>
                  </w:p>
                </w:tc>
              </w:tr>
            </w:sdtContent>
          </w:sdt>
          <w:sdt>
            <w:sdtPr>
              <w:rPr>
                <w:rFonts w:asciiTheme="minorHAnsi" w:eastAsiaTheme="minorEastAsia" w:hAnsiTheme="minorHAnsi" w:cstheme="minorBidi"/>
                <w:kern w:val="2"/>
                <w:szCs w:val="21"/>
              </w:rPr>
              <w:alias w:val="出售商品提供劳务情况明细"/>
              <w:tag w:val="_GBC_d6e24b6ca62645f180ecf5d4621afdc6"/>
              <w:id w:val="-1794441510"/>
              <w:lock w:val="sdtLocked"/>
            </w:sdtPr>
            <w:sdtContent>
              <w:tr w:rsidR="00FB1721" w:rsidTr="006C0381">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FB1721" w:rsidRDefault="00FB1721" w:rsidP="006C0381">
                    <w:pPr>
                      <w:rPr>
                        <w:szCs w:val="21"/>
                      </w:rPr>
                    </w:pPr>
                    <w:r>
                      <w:t>汉唐信通</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FB1721" w:rsidRDefault="00FB1721" w:rsidP="006C0381">
                    <w:pPr>
                      <w:rPr>
                        <w:szCs w:val="21"/>
                      </w:rPr>
                    </w:pPr>
                    <w:r>
                      <w:t>向关联方销售商品和提供劳务</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FB1721" w:rsidRDefault="00FB1721" w:rsidP="006C0381">
                    <w:pPr>
                      <w:jc w:val="right"/>
                      <w:rPr>
                        <w:szCs w:val="21"/>
                      </w:rPr>
                    </w:pPr>
                    <w:r>
                      <w:t>751</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FB1721" w:rsidRDefault="00FB1721" w:rsidP="006C0381">
                    <w:pPr>
                      <w:jc w:val="right"/>
                      <w:rPr>
                        <w:szCs w:val="21"/>
                      </w:rPr>
                    </w:pPr>
                    <w:r>
                      <w:t>1,415,094</w:t>
                    </w:r>
                  </w:p>
                </w:tc>
              </w:tr>
            </w:sdtContent>
          </w:sdt>
          <w:sdt>
            <w:sdtPr>
              <w:rPr>
                <w:rFonts w:asciiTheme="minorHAnsi" w:eastAsiaTheme="minorEastAsia" w:hAnsiTheme="minorHAnsi" w:cstheme="minorBidi"/>
                <w:kern w:val="2"/>
                <w:szCs w:val="21"/>
              </w:rPr>
              <w:alias w:val="出售商品提供劳务情况明细"/>
              <w:tag w:val="_GBC_d6e24b6ca62645f180ecf5d4621afdc6"/>
              <w:id w:val="1843744901"/>
              <w:lock w:val="sdtLocked"/>
            </w:sdtPr>
            <w:sdtContent>
              <w:tr w:rsidR="00FB1721" w:rsidTr="006C0381">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FB1721" w:rsidRDefault="00FB1721" w:rsidP="006C0381">
                    <w:pPr>
                      <w:rPr>
                        <w:szCs w:val="21"/>
                      </w:rPr>
                    </w:pPr>
                    <w:r>
                      <w:t>西玛国正</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FB1721" w:rsidRDefault="00FB1721" w:rsidP="006C0381">
                    <w:pPr>
                      <w:rPr>
                        <w:szCs w:val="21"/>
                      </w:rPr>
                    </w:pPr>
                    <w:r>
                      <w:t>向关联方销售商品和提供劳务</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FB1721" w:rsidRDefault="00FB1721" w:rsidP="006C0381">
                    <w:pPr>
                      <w:jc w:val="right"/>
                      <w:rPr>
                        <w:szCs w:val="21"/>
                      </w:rPr>
                    </w:pPr>
                    <w:r>
                      <w:t>106,775</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FB1721" w:rsidRDefault="00FB1721" w:rsidP="006C0381">
                    <w:pPr>
                      <w:jc w:val="right"/>
                      <w:rPr>
                        <w:szCs w:val="21"/>
                      </w:rPr>
                    </w:pPr>
                    <w:r>
                      <w:t>264,558</w:t>
                    </w:r>
                  </w:p>
                </w:tc>
              </w:tr>
            </w:sdtContent>
          </w:sdt>
          <w:sdt>
            <w:sdtPr>
              <w:rPr>
                <w:rFonts w:asciiTheme="minorHAnsi" w:eastAsiaTheme="minorEastAsia" w:hAnsiTheme="minorHAnsi" w:cstheme="minorBidi"/>
                <w:kern w:val="2"/>
                <w:szCs w:val="21"/>
              </w:rPr>
              <w:alias w:val="出售商品提供劳务情况明细"/>
              <w:tag w:val="_GBC_d6e24b6ca62645f180ecf5d4621afdc6"/>
              <w:id w:val="1293398982"/>
              <w:lock w:val="sdtLocked"/>
            </w:sdtPr>
            <w:sdtContent>
              <w:tr w:rsidR="00FB1721" w:rsidTr="006C0381">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FB1721" w:rsidRDefault="00FB1721" w:rsidP="006C0381">
                    <w:pPr>
                      <w:rPr>
                        <w:szCs w:val="21"/>
                      </w:rPr>
                    </w:pPr>
                    <w:r>
                      <w:t>其他</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FB1721" w:rsidRDefault="00FB1721" w:rsidP="006C0381">
                    <w:pPr>
                      <w:rPr>
                        <w:szCs w:val="21"/>
                      </w:rPr>
                    </w:pPr>
                    <w:r>
                      <w:t>向关联方销售商品和提供劳务</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FB1721" w:rsidRDefault="00FB1721" w:rsidP="006C0381">
                    <w:pPr>
                      <w:jc w:val="right"/>
                      <w:rPr>
                        <w:szCs w:val="21"/>
                      </w:rPr>
                    </w:pPr>
                    <w:r>
                      <w:t>367,295</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FB1721" w:rsidRDefault="00FB1721" w:rsidP="006C0381">
                    <w:pPr>
                      <w:jc w:val="right"/>
                      <w:rPr>
                        <w:szCs w:val="21"/>
                      </w:rPr>
                    </w:pPr>
                    <w:r>
                      <w:t>410,836</w:t>
                    </w:r>
                  </w:p>
                </w:tc>
              </w:tr>
            </w:sdtContent>
          </w:sdt>
        </w:tbl>
        <w:p w:rsidR="00FB1721" w:rsidRDefault="00FB1721"/>
        <w:p w:rsidR="00ED2DC7" w:rsidRDefault="00ED2DC7">
          <w:pPr>
            <w:rPr>
              <w:rFonts w:cs="Cambria"/>
              <w:szCs w:val="21"/>
            </w:rPr>
          </w:pPr>
          <w:r>
            <w:rPr>
              <w:rFonts w:cs="Cambria" w:hint="eastAsia"/>
              <w:szCs w:val="21"/>
            </w:rPr>
            <w:t>购销商品、提供和接受劳务的关联交易说明</w:t>
          </w:r>
        </w:p>
        <w:sdt>
          <w:sdtPr>
            <w:rPr>
              <w:rFonts w:cs="Cambria"/>
              <w:szCs w:val="21"/>
            </w:rPr>
            <w:alias w:val="是否适用：购销商品、提供和接受劳务的关联交易说明[双击切换]"/>
            <w:tag w:val="_GBC_9ec9e1b38e7f48d89bb7f6441bed1bd1"/>
            <w:id w:val="107097870"/>
            <w:lock w:val="sdtContentLocked"/>
            <w:placeholder>
              <w:docPart w:val="GBC22222222222222222222222222222"/>
            </w:placeholder>
          </w:sdtPr>
          <w:sdtContent>
            <w:p w:rsidR="00ED2DC7" w:rsidRDefault="00ED2DC7" w:rsidP="00687F61">
              <w:pPr>
                <w:rPr>
                  <w:rFonts w:cs="Cambria"/>
                  <w:szCs w:val="21"/>
                </w:rPr>
              </w:pPr>
              <w:r>
                <w:rPr>
                  <w:rFonts w:cs="Cambria"/>
                  <w:szCs w:val="21"/>
                </w:rPr>
                <w:fldChar w:fldCharType="begin"/>
              </w:r>
              <w:r w:rsidR="00687F61">
                <w:rPr>
                  <w:rFonts w:cs="Cambria"/>
                  <w:szCs w:val="21"/>
                </w:rPr>
                <w:instrText xml:space="preserve"> MACROBUTTON  SnrToggleCheckbox □适用 </w:instrText>
              </w:r>
              <w:r>
                <w:rPr>
                  <w:rFonts w:cs="Cambria"/>
                  <w:szCs w:val="21"/>
                </w:rPr>
                <w:fldChar w:fldCharType="end"/>
              </w:r>
              <w:r>
                <w:rPr>
                  <w:rFonts w:cs="Cambria"/>
                  <w:szCs w:val="21"/>
                </w:rPr>
                <w:fldChar w:fldCharType="begin"/>
              </w:r>
              <w:r w:rsidR="00687F61">
                <w:rPr>
                  <w:rFonts w:cs="Cambria"/>
                  <w:szCs w:val="21"/>
                </w:rPr>
                <w:instrText xml:space="preserve"> MACROBUTTON  SnrToggleCheckbox √不适用 </w:instrText>
              </w:r>
              <w:r>
                <w:rPr>
                  <w:rFonts w:cs="Cambria"/>
                  <w:szCs w:val="21"/>
                </w:rPr>
                <w:fldChar w:fldCharType="end"/>
              </w:r>
            </w:p>
          </w:sdtContent>
        </w:sdt>
        <w:p w:rsidR="00ED2DC7" w:rsidRDefault="000D0A99">
          <w:pPr>
            <w:rPr>
              <w:rFonts w:cs="Cambria"/>
              <w:szCs w:val="21"/>
            </w:rPr>
          </w:pPr>
        </w:p>
      </w:sdtContent>
    </w:sdt>
    <w:sdt>
      <w:sdtPr>
        <w:rPr>
          <w:rFonts w:ascii="宋体" w:hAnsi="宋体" w:cs="宋体" w:hint="eastAsia"/>
          <w:b w:val="0"/>
          <w:bCs w:val="0"/>
          <w:kern w:val="0"/>
          <w:szCs w:val="24"/>
        </w:rPr>
        <w:alias w:val="模块:关联受托管理/承包及委托管理/出包情况"/>
        <w:tag w:val="_GBC_41e9e66a2ab04304a0db7b9e032817c5"/>
        <w:id w:val="-718272264"/>
        <w:lock w:val="sdtLocked"/>
        <w:placeholder>
          <w:docPart w:val="GBC22222222222222222222222222222"/>
        </w:placeholder>
      </w:sdtPr>
      <w:sdtEndPr>
        <w:rPr>
          <w:rFonts w:cs="Cambria" w:hint="default"/>
          <w:szCs w:val="21"/>
        </w:rPr>
      </w:sdtEndPr>
      <w:sdtContent>
        <w:p w:rsidR="00ED2DC7" w:rsidRDefault="00ED2DC7" w:rsidP="00036BDC">
          <w:pPr>
            <w:pStyle w:val="affffffffffffffffff2"/>
            <w:numPr>
              <w:ilvl w:val="0"/>
              <w:numId w:val="89"/>
            </w:numPr>
            <w:tabs>
              <w:tab w:val="left" w:pos="616"/>
            </w:tabs>
          </w:pPr>
          <w:r>
            <w:rPr>
              <w:rFonts w:hint="eastAsia"/>
            </w:rPr>
            <w:t>关联受托管理</w:t>
          </w:r>
          <w:r>
            <w:rPr>
              <w:rFonts w:hint="eastAsia"/>
            </w:rPr>
            <w:t>/</w:t>
          </w:r>
          <w:r>
            <w:rPr>
              <w:rFonts w:hint="eastAsia"/>
            </w:rPr>
            <w:t>承包及委托管理</w:t>
          </w:r>
          <w:r>
            <w:rPr>
              <w:rFonts w:hint="eastAsia"/>
            </w:rPr>
            <w:t>/</w:t>
          </w:r>
          <w:r>
            <w:rPr>
              <w:rFonts w:hint="eastAsia"/>
            </w:rPr>
            <w:t>出包情况</w:t>
          </w:r>
        </w:p>
        <w:p w:rsidR="00ED2DC7" w:rsidRDefault="00ED2DC7">
          <w:pPr>
            <w:rPr>
              <w:szCs w:val="21"/>
            </w:rPr>
          </w:pPr>
          <w:r>
            <w:rPr>
              <w:rFonts w:hint="eastAsia"/>
              <w:szCs w:val="21"/>
            </w:rPr>
            <w:t>本公司受托管理/承包情况表：</w:t>
          </w:r>
        </w:p>
        <w:sdt>
          <w:sdtPr>
            <w:rPr>
              <w:rFonts w:cs="Cambria"/>
              <w:szCs w:val="21"/>
            </w:rPr>
            <w:alias w:val="是否适用：本公司受托管理或承包情况表[双击切换]"/>
            <w:tag w:val="_GBC_3810b3cad54c4b2f9754e7d6be3e9480"/>
            <w:id w:val="859239482"/>
            <w:lock w:val="sdtContentLocked"/>
            <w:placeholder>
              <w:docPart w:val="GBC22222222222222222222222222222"/>
            </w:placeholder>
          </w:sdtPr>
          <w:sdtContent>
            <w:p w:rsidR="00ED2DC7" w:rsidRDefault="00ED2DC7" w:rsidP="00687F61">
              <w:pPr>
                <w:rPr>
                  <w:rFonts w:cs="Cambria"/>
                  <w:szCs w:val="21"/>
                </w:rPr>
              </w:pPr>
              <w:r>
                <w:rPr>
                  <w:rFonts w:cs="Cambria"/>
                  <w:szCs w:val="21"/>
                </w:rPr>
                <w:fldChar w:fldCharType="begin"/>
              </w:r>
              <w:r w:rsidR="00687F61">
                <w:rPr>
                  <w:rFonts w:cs="Cambria"/>
                  <w:szCs w:val="21"/>
                </w:rPr>
                <w:instrText xml:space="preserve"> MACROBUTTON  SnrToggleCheckbox □适用 </w:instrText>
              </w:r>
              <w:r>
                <w:rPr>
                  <w:rFonts w:cs="Cambria"/>
                  <w:szCs w:val="21"/>
                </w:rPr>
                <w:fldChar w:fldCharType="end"/>
              </w:r>
              <w:r>
                <w:rPr>
                  <w:rFonts w:cs="Cambria"/>
                  <w:szCs w:val="21"/>
                </w:rPr>
                <w:fldChar w:fldCharType="begin"/>
              </w:r>
              <w:r w:rsidR="00687F61">
                <w:rPr>
                  <w:rFonts w:cs="Cambria"/>
                  <w:szCs w:val="21"/>
                </w:rPr>
                <w:instrText xml:space="preserve"> MACROBUTTON  SnrToggleCheckbox √不适用 </w:instrText>
              </w:r>
              <w:r>
                <w:rPr>
                  <w:rFonts w:cs="Cambria"/>
                  <w:szCs w:val="21"/>
                </w:rPr>
                <w:fldChar w:fldCharType="end"/>
              </w:r>
            </w:p>
          </w:sdtContent>
        </w:sdt>
        <w:p w:rsidR="00ED2DC7" w:rsidRDefault="00ED2DC7">
          <w:pPr>
            <w:rPr>
              <w:rFonts w:cs="Cambria"/>
              <w:szCs w:val="21"/>
            </w:rPr>
          </w:pPr>
          <w:r>
            <w:rPr>
              <w:rFonts w:cs="Cambria" w:hint="eastAsia"/>
              <w:szCs w:val="21"/>
            </w:rPr>
            <w:t>关联托管/承包情况说明</w:t>
          </w:r>
        </w:p>
        <w:sdt>
          <w:sdtPr>
            <w:rPr>
              <w:rFonts w:cs="Cambria"/>
              <w:szCs w:val="21"/>
            </w:rPr>
            <w:alias w:val="是否适用：关联托管或承包情况说明[双击切换]"/>
            <w:tag w:val="_GBC_42ec6e3170b04610899c528ce7bda003"/>
            <w:id w:val="-1284029540"/>
            <w:lock w:val="sdtContentLocked"/>
            <w:placeholder>
              <w:docPart w:val="GBC22222222222222222222222222222"/>
            </w:placeholder>
          </w:sdtPr>
          <w:sdtContent>
            <w:p w:rsidR="00ED2DC7" w:rsidRDefault="00ED2DC7" w:rsidP="00687F61">
              <w:pPr>
                <w:rPr>
                  <w:rFonts w:cs="Cambria"/>
                  <w:szCs w:val="21"/>
                </w:rPr>
              </w:pPr>
              <w:r>
                <w:rPr>
                  <w:rFonts w:cs="Cambria"/>
                  <w:szCs w:val="21"/>
                </w:rPr>
                <w:fldChar w:fldCharType="begin"/>
              </w:r>
              <w:r w:rsidR="00687F61">
                <w:rPr>
                  <w:rFonts w:cs="Cambria"/>
                  <w:szCs w:val="21"/>
                </w:rPr>
                <w:instrText xml:space="preserve"> MACROBUTTON  SnrToggleCheckbox □适用 </w:instrText>
              </w:r>
              <w:r>
                <w:rPr>
                  <w:rFonts w:cs="Cambria"/>
                  <w:szCs w:val="21"/>
                </w:rPr>
                <w:fldChar w:fldCharType="end"/>
              </w:r>
              <w:r>
                <w:rPr>
                  <w:rFonts w:cs="Cambria"/>
                  <w:szCs w:val="21"/>
                </w:rPr>
                <w:fldChar w:fldCharType="begin"/>
              </w:r>
              <w:r w:rsidR="00687F61">
                <w:rPr>
                  <w:rFonts w:cs="Cambria"/>
                  <w:szCs w:val="21"/>
                </w:rPr>
                <w:instrText xml:space="preserve"> MACROBUTTON  SnrToggleCheckbox √不适用 </w:instrText>
              </w:r>
              <w:r>
                <w:rPr>
                  <w:rFonts w:cs="Cambria"/>
                  <w:szCs w:val="21"/>
                </w:rPr>
                <w:fldChar w:fldCharType="end"/>
              </w:r>
            </w:p>
          </w:sdtContent>
        </w:sdt>
        <w:p w:rsidR="00ED2DC7" w:rsidRDefault="00ED2DC7">
          <w:pPr>
            <w:rPr>
              <w:rFonts w:cs="Cambria"/>
              <w:szCs w:val="21"/>
            </w:rPr>
          </w:pPr>
        </w:p>
        <w:p w:rsidR="00ED2DC7" w:rsidRDefault="00ED2DC7">
          <w:pPr>
            <w:rPr>
              <w:rFonts w:cs="Cambria"/>
              <w:bCs/>
              <w:szCs w:val="21"/>
            </w:rPr>
          </w:pPr>
          <w:r>
            <w:rPr>
              <w:rFonts w:hint="eastAsia"/>
              <w:szCs w:val="21"/>
            </w:rPr>
            <w:t>本公司</w:t>
          </w:r>
          <w:r>
            <w:rPr>
              <w:rFonts w:cs="Cambria" w:hint="eastAsia"/>
              <w:bCs/>
              <w:szCs w:val="21"/>
            </w:rPr>
            <w:t>委托管理/出包情况表：</w:t>
          </w:r>
        </w:p>
        <w:sdt>
          <w:sdtPr>
            <w:rPr>
              <w:rFonts w:cs="Cambria"/>
              <w:bCs/>
              <w:szCs w:val="21"/>
            </w:rPr>
            <w:alias w:val="是否适用：本公司委托管理或出包情况表[双击切换]"/>
            <w:tag w:val="_GBC_37bf111a27194665b76f71bb5418d53c"/>
            <w:id w:val="-69206880"/>
            <w:lock w:val="sdtContentLocked"/>
            <w:placeholder>
              <w:docPart w:val="GBC22222222222222222222222222222"/>
            </w:placeholder>
          </w:sdtPr>
          <w:sdtContent>
            <w:p w:rsidR="00ED2DC7" w:rsidRDefault="00ED2DC7" w:rsidP="00687F61">
              <w:pPr>
                <w:rPr>
                  <w:rFonts w:cs="Cambria"/>
                  <w:bCs/>
                  <w:szCs w:val="21"/>
                </w:rPr>
              </w:pPr>
              <w:r>
                <w:rPr>
                  <w:rFonts w:cs="Cambria"/>
                  <w:bCs/>
                  <w:szCs w:val="21"/>
                </w:rPr>
                <w:fldChar w:fldCharType="begin"/>
              </w:r>
              <w:r w:rsidR="00687F61">
                <w:rPr>
                  <w:rFonts w:cs="Cambria"/>
                  <w:bCs/>
                  <w:szCs w:val="21"/>
                </w:rPr>
                <w:instrText xml:space="preserve"> MACROBUTTON  SnrToggleCheckbox □适用 </w:instrText>
              </w:r>
              <w:r>
                <w:rPr>
                  <w:rFonts w:cs="Cambria"/>
                  <w:bCs/>
                  <w:szCs w:val="21"/>
                </w:rPr>
                <w:fldChar w:fldCharType="end"/>
              </w:r>
              <w:r>
                <w:rPr>
                  <w:rFonts w:cs="Cambria"/>
                  <w:bCs/>
                  <w:szCs w:val="21"/>
                </w:rPr>
                <w:fldChar w:fldCharType="begin"/>
              </w:r>
              <w:r w:rsidR="00687F61">
                <w:rPr>
                  <w:rFonts w:cs="Cambria"/>
                  <w:bCs/>
                  <w:szCs w:val="21"/>
                </w:rPr>
                <w:instrText xml:space="preserve"> MACROBUTTON  SnrToggleCheckbox √不适用 </w:instrText>
              </w:r>
              <w:r>
                <w:rPr>
                  <w:rFonts w:cs="Cambria"/>
                  <w:bCs/>
                  <w:szCs w:val="21"/>
                </w:rPr>
                <w:fldChar w:fldCharType="end"/>
              </w:r>
            </w:p>
          </w:sdtContent>
        </w:sdt>
        <w:p w:rsidR="00ED2DC7" w:rsidRDefault="00ED2DC7">
          <w:pPr>
            <w:rPr>
              <w:rFonts w:cs="Cambria"/>
              <w:bCs/>
              <w:szCs w:val="21"/>
            </w:rPr>
          </w:pPr>
          <w:r>
            <w:rPr>
              <w:rFonts w:cs="Cambria" w:hint="eastAsia"/>
              <w:bCs/>
              <w:szCs w:val="21"/>
            </w:rPr>
            <w:t>关联管理/出包情况说明</w:t>
          </w:r>
        </w:p>
        <w:sdt>
          <w:sdtPr>
            <w:rPr>
              <w:rFonts w:cs="Cambria"/>
              <w:bCs/>
              <w:szCs w:val="21"/>
            </w:rPr>
            <w:alias w:val="是否适用：关联管理或出包情况说明[双击切换]"/>
            <w:tag w:val="_GBC_0b0339c118c542eb8a6e3a68fab8e375"/>
            <w:id w:val="-264461326"/>
            <w:lock w:val="sdtContentLocked"/>
            <w:placeholder>
              <w:docPart w:val="GBC22222222222222222222222222222"/>
            </w:placeholder>
          </w:sdtPr>
          <w:sdtContent>
            <w:p w:rsidR="00ED2DC7" w:rsidRDefault="00ED2DC7" w:rsidP="00FB1721">
              <w:pPr>
                <w:rPr>
                  <w:rFonts w:cs="Cambria"/>
                  <w:bCs/>
                  <w:szCs w:val="21"/>
                </w:rPr>
              </w:pPr>
              <w:r>
                <w:rPr>
                  <w:rFonts w:cs="Cambria"/>
                  <w:bCs/>
                  <w:szCs w:val="21"/>
                </w:rPr>
                <w:fldChar w:fldCharType="begin"/>
              </w:r>
              <w:r w:rsidR="00FB1721">
                <w:rPr>
                  <w:rFonts w:cs="Cambria"/>
                  <w:bCs/>
                  <w:szCs w:val="21"/>
                </w:rPr>
                <w:instrText xml:space="preserve"> MACROBUTTON  SnrToggleCheckbox □适用 </w:instrText>
              </w:r>
              <w:r>
                <w:rPr>
                  <w:rFonts w:cs="Cambria"/>
                  <w:bCs/>
                  <w:szCs w:val="21"/>
                </w:rPr>
                <w:fldChar w:fldCharType="end"/>
              </w:r>
              <w:r>
                <w:rPr>
                  <w:rFonts w:cs="Cambria"/>
                  <w:bCs/>
                  <w:szCs w:val="21"/>
                </w:rPr>
                <w:fldChar w:fldCharType="begin"/>
              </w:r>
              <w:r w:rsidR="00FB1721">
                <w:rPr>
                  <w:rFonts w:cs="Cambria"/>
                  <w:bCs/>
                  <w:szCs w:val="21"/>
                </w:rPr>
                <w:instrText xml:space="preserve"> MACROBUTTON  SnrToggleCheckbox √不适用 </w:instrText>
              </w:r>
              <w:r>
                <w:rPr>
                  <w:rFonts w:cs="Cambria"/>
                  <w:bCs/>
                  <w:szCs w:val="21"/>
                </w:rPr>
                <w:fldChar w:fldCharType="end"/>
              </w:r>
            </w:p>
          </w:sdtContent>
        </w:sdt>
        <w:p w:rsidR="00ED2DC7" w:rsidRDefault="000D0A99">
          <w:pPr>
            <w:rPr>
              <w:rFonts w:cs="Cambria"/>
              <w:szCs w:val="21"/>
            </w:rPr>
          </w:pPr>
        </w:p>
      </w:sdtContent>
    </w:sdt>
    <w:sdt>
      <w:sdtPr>
        <w:rPr>
          <w:rFonts w:ascii="宋体" w:hAnsi="宋体" w:cs="宋体" w:hint="eastAsia"/>
          <w:b w:val="0"/>
          <w:bCs w:val="0"/>
          <w:kern w:val="0"/>
          <w:szCs w:val="24"/>
        </w:rPr>
        <w:alias w:val="模块:关联租赁情况"/>
        <w:tag w:val="_GBC_17f3281299e640aa88ca71463490c054"/>
        <w:id w:val="807205317"/>
        <w:lock w:val="sdtLocked"/>
        <w:placeholder>
          <w:docPart w:val="GBC22222222222222222222222222222"/>
        </w:placeholder>
      </w:sdtPr>
      <w:sdtContent>
        <w:p w:rsidR="00ED2DC7" w:rsidRDefault="00ED2DC7" w:rsidP="00036BDC">
          <w:pPr>
            <w:pStyle w:val="affffffffffffffffff2"/>
            <w:numPr>
              <w:ilvl w:val="0"/>
              <w:numId w:val="89"/>
            </w:numPr>
            <w:tabs>
              <w:tab w:val="left" w:pos="616"/>
            </w:tabs>
          </w:pPr>
          <w:r>
            <w:rPr>
              <w:rFonts w:hint="eastAsia"/>
            </w:rPr>
            <w:t>关联租赁情况</w:t>
          </w:r>
        </w:p>
        <w:p w:rsidR="00ED2DC7" w:rsidRDefault="00ED2DC7">
          <w:pPr>
            <w:rPr>
              <w:szCs w:val="21"/>
            </w:rPr>
          </w:pPr>
          <w:r>
            <w:rPr>
              <w:rFonts w:hint="eastAsia"/>
              <w:szCs w:val="21"/>
            </w:rPr>
            <w:t>本公司作为出租方：</w:t>
          </w:r>
        </w:p>
        <w:sdt>
          <w:sdtPr>
            <w:rPr>
              <w:szCs w:val="21"/>
            </w:rPr>
            <w:alias w:val="是否适用：本公司作为出租方的租赁情况表[双击切换]"/>
            <w:tag w:val="_GBC_f12cb8266cbd482b93c6a4bba1b05fb7"/>
            <w:id w:val="1282233969"/>
            <w:lock w:val="sdtContentLocked"/>
            <w:placeholder>
              <w:docPart w:val="GBC22222222222222222222222222222"/>
            </w:placeholder>
          </w:sdtPr>
          <w:sdtContent>
            <w:p w:rsidR="00ED2DC7" w:rsidRDefault="00ED2DC7">
              <w:pPr>
                <w:rPr>
                  <w:szCs w:val="21"/>
                </w:rPr>
              </w:pPr>
              <w:r>
                <w:rPr>
                  <w:szCs w:val="21"/>
                </w:rPr>
                <w:fldChar w:fldCharType="begin"/>
              </w:r>
              <w:r w:rsidR="00687F61">
                <w:rPr>
                  <w:szCs w:val="21"/>
                </w:rPr>
                <w:instrText xml:space="preserve"> MACROBUTTON  SnrToggleCheckbox √适用 </w:instrText>
              </w:r>
              <w:r>
                <w:rPr>
                  <w:szCs w:val="21"/>
                </w:rPr>
                <w:fldChar w:fldCharType="end"/>
              </w:r>
              <w:r>
                <w:rPr>
                  <w:szCs w:val="21"/>
                </w:rPr>
                <w:fldChar w:fldCharType="begin"/>
              </w:r>
              <w:r w:rsidR="00687F61">
                <w:rPr>
                  <w:szCs w:val="21"/>
                </w:rPr>
                <w:instrText xml:space="preserve"> MACROBUTTON  SnrToggleCheckbox □不适用 </w:instrText>
              </w:r>
              <w:r>
                <w:rPr>
                  <w:szCs w:val="21"/>
                </w:rPr>
                <w:fldChar w:fldCharType="end"/>
              </w:r>
            </w:p>
          </w:sdtContent>
        </w:sdt>
        <w:p w:rsidR="00ED2DC7" w:rsidRDefault="00ED2DC7">
          <w:pPr>
            <w:jc w:val="right"/>
            <w:rPr>
              <w:szCs w:val="21"/>
            </w:rPr>
          </w:pPr>
          <w:r>
            <w:rPr>
              <w:rFonts w:hint="eastAsia"/>
              <w:szCs w:val="21"/>
            </w:rPr>
            <w:t>单位：</w:t>
          </w:r>
          <w:sdt>
            <w:sdtPr>
              <w:rPr>
                <w:rFonts w:hint="eastAsia"/>
                <w:szCs w:val="21"/>
              </w:rPr>
              <w:alias w:val="单位：关联租赁情况"/>
              <w:tag w:val="_GBC_b6ac4f0274e84bf2bac59898fb55e11d"/>
              <w:id w:val="-207172058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hint="eastAsia"/>
                  <w:szCs w:val="21"/>
                </w:rPr>
                <w:t>元</w:t>
              </w:r>
            </w:sdtContent>
          </w:sdt>
          <w:r>
            <w:rPr>
              <w:rFonts w:hint="eastAsia"/>
              <w:szCs w:val="21"/>
            </w:rPr>
            <w:t xml:space="preserve">  币种：</w:t>
          </w:r>
          <w:sdt>
            <w:sdtPr>
              <w:rPr>
                <w:rFonts w:hint="eastAsia"/>
                <w:szCs w:val="21"/>
              </w:rPr>
              <w:alias w:val="币种：关联租赁情况"/>
              <w:tag w:val="_GBC_268dafb121cf40fdbb2bbe55df2badf0"/>
              <w:id w:val="1357681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szCs w:val="21"/>
                </w:rPr>
                <w:t>人民币</w:t>
              </w:r>
            </w:sdtContent>
          </w:sdt>
        </w:p>
        <w:tbl>
          <w:tblPr>
            <w:tblStyle w:val="g38"/>
            <w:tblW w:w="51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658"/>
            <w:gridCol w:w="2024"/>
            <w:gridCol w:w="2299"/>
            <w:gridCol w:w="2495"/>
          </w:tblGrid>
          <w:tr w:rsidR="00FB1721" w:rsidTr="00C209F3">
            <w:trPr>
              <w:trHeight w:val="338"/>
            </w:trPr>
            <w:sdt>
              <w:sdtPr>
                <w:tag w:val="_PLD_d0bc662d818f4cea8a5953be241f0994"/>
                <w:id w:val="-1318411447"/>
                <w:lock w:val="sdtLocked"/>
              </w:sdtPr>
              <w:sdtContent>
                <w:tc>
                  <w:tcPr>
                    <w:tcW w:w="978" w:type="pct"/>
                    <w:tcBorders>
                      <w:top w:val="single" w:sz="4" w:space="0" w:color="auto"/>
                      <w:left w:val="single" w:sz="4" w:space="0" w:color="auto"/>
                      <w:right w:val="single" w:sz="4" w:space="0" w:color="auto"/>
                    </w:tcBorders>
                    <w:shd w:val="clear" w:color="auto" w:fill="auto"/>
                    <w:vAlign w:val="center"/>
                  </w:tcPr>
                  <w:p w:rsidR="00FB1721" w:rsidRDefault="00FB1721" w:rsidP="006C0381">
                    <w:pPr>
                      <w:jc w:val="center"/>
                      <w:rPr>
                        <w:szCs w:val="21"/>
                      </w:rPr>
                    </w:pPr>
                    <w:r>
                      <w:rPr>
                        <w:rFonts w:hint="eastAsia"/>
                        <w:szCs w:val="21"/>
                      </w:rPr>
                      <w:t>承租方名称</w:t>
                    </w:r>
                  </w:p>
                </w:tc>
              </w:sdtContent>
            </w:sdt>
            <w:sdt>
              <w:sdtPr>
                <w:tag w:val="_PLD_b201e1ba80ff4620b34885e088e03080"/>
                <w:id w:val="-1697919809"/>
                <w:lock w:val="sdtLocked"/>
              </w:sdtPr>
              <w:sdtContent>
                <w:tc>
                  <w:tcPr>
                    <w:tcW w:w="1194" w:type="pct"/>
                    <w:tcBorders>
                      <w:top w:val="single" w:sz="4" w:space="0" w:color="auto"/>
                      <w:left w:val="single" w:sz="4" w:space="0" w:color="auto"/>
                      <w:right w:val="single" w:sz="4" w:space="0" w:color="auto"/>
                    </w:tcBorders>
                    <w:shd w:val="clear" w:color="auto" w:fill="auto"/>
                    <w:vAlign w:val="center"/>
                  </w:tcPr>
                  <w:p w:rsidR="00FB1721" w:rsidRDefault="00FB1721" w:rsidP="006C0381">
                    <w:pPr>
                      <w:jc w:val="center"/>
                      <w:rPr>
                        <w:szCs w:val="21"/>
                      </w:rPr>
                    </w:pPr>
                    <w:r>
                      <w:rPr>
                        <w:rFonts w:hint="eastAsia"/>
                        <w:szCs w:val="21"/>
                      </w:rPr>
                      <w:t>租赁资产种类</w:t>
                    </w:r>
                  </w:p>
                </w:tc>
              </w:sdtContent>
            </w:sdt>
            <w:sdt>
              <w:sdtPr>
                <w:tag w:val="_PLD_2247dbd372c64f6bb229457f3849c03a"/>
                <w:id w:val="772754990"/>
                <w:lock w:val="sdtLocked"/>
              </w:sdtPr>
              <w:sdtContent>
                <w:tc>
                  <w:tcPr>
                    <w:tcW w:w="1356" w:type="pct"/>
                    <w:tcBorders>
                      <w:top w:val="single" w:sz="4" w:space="0" w:color="auto"/>
                      <w:left w:val="single" w:sz="4" w:space="0" w:color="auto"/>
                      <w:right w:val="single" w:sz="4" w:space="0" w:color="auto"/>
                    </w:tcBorders>
                    <w:shd w:val="clear" w:color="auto" w:fill="auto"/>
                    <w:vAlign w:val="center"/>
                  </w:tcPr>
                  <w:p w:rsidR="00FB1721" w:rsidRDefault="00FB1721" w:rsidP="006C0381">
                    <w:pPr>
                      <w:jc w:val="center"/>
                      <w:rPr>
                        <w:szCs w:val="21"/>
                      </w:rPr>
                    </w:pPr>
                    <w:r>
                      <w:rPr>
                        <w:rFonts w:hint="eastAsia"/>
                        <w:szCs w:val="21"/>
                      </w:rPr>
                      <w:t>本期确认的租赁收入</w:t>
                    </w:r>
                  </w:p>
                </w:tc>
              </w:sdtContent>
            </w:sdt>
            <w:sdt>
              <w:sdtPr>
                <w:tag w:val="_PLD_94eb47eaf858403e8c39eab08f54efb9"/>
                <w:id w:val="-1833205858"/>
                <w:lock w:val="sdtLocked"/>
              </w:sdtPr>
              <w:sdtContent>
                <w:tc>
                  <w:tcPr>
                    <w:tcW w:w="1473" w:type="pct"/>
                    <w:tcBorders>
                      <w:top w:val="single" w:sz="4" w:space="0" w:color="auto"/>
                      <w:left w:val="single" w:sz="4" w:space="0" w:color="auto"/>
                      <w:right w:val="single" w:sz="4" w:space="0" w:color="auto"/>
                    </w:tcBorders>
                    <w:shd w:val="clear" w:color="auto" w:fill="auto"/>
                    <w:vAlign w:val="center"/>
                  </w:tcPr>
                  <w:p w:rsidR="00FB1721" w:rsidRDefault="00FB1721" w:rsidP="006C0381">
                    <w:pPr>
                      <w:jc w:val="center"/>
                      <w:rPr>
                        <w:szCs w:val="21"/>
                      </w:rPr>
                    </w:pPr>
                    <w:r>
                      <w:rPr>
                        <w:rFonts w:hint="eastAsia"/>
                        <w:szCs w:val="21"/>
                      </w:rPr>
                      <w:t>上期确认的租赁收入</w:t>
                    </w:r>
                  </w:p>
                </w:tc>
              </w:sdtContent>
            </w:sdt>
          </w:tr>
          <w:sdt>
            <w:sdtPr>
              <w:rPr>
                <w:rFonts w:asciiTheme="minorHAnsi" w:eastAsiaTheme="minorEastAsia" w:hAnsiTheme="minorHAnsi" w:cstheme="minorBidi"/>
                <w:kern w:val="2"/>
                <w:szCs w:val="21"/>
              </w:rPr>
              <w:alias w:val="关联租赁情况"/>
              <w:tag w:val="_GBC_b0112b4dc9284dc5a94109344af1edea"/>
              <w:id w:val="635367980"/>
              <w:lock w:val="sdtLocked"/>
            </w:sdtPr>
            <w:sdtContent>
              <w:tr w:rsidR="00FB1721" w:rsidTr="00C209F3">
                <w:tc>
                  <w:tcPr>
                    <w:tcW w:w="978" w:type="pct"/>
                    <w:tcBorders>
                      <w:top w:val="single" w:sz="4" w:space="0" w:color="auto"/>
                      <w:left w:val="single" w:sz="4" w:space="0" w:color="auto"/>
                      <w:bottom w:val="single" w:sz="4" w:space="0" w:color="auto"/>
                      <w:right w:val="single" w:sz="4" w:space="0" w:color="auto"/>
                    </w:tcBorders>
                  </w:tcPr>
                  <w:p w:rsidR="00FB1721" w:rsidRDefault="00FB1721" w:rsidP="006C0381">
                    <w:pPr>
                      <w:rPr>
                        <w:szCs w:val="21"/>
                      </w:rPr>
                    </w:pPr>
                    <w:r>
                      <w:t>中驰车福</w:t>
                    </w:r>
                  </w:p>
                </w:tc>
                <w:tc>
                  <w:tcPr>
                    <w:tcW w:w="1194" w:type="pct"/>
                    <w:tcBorders>
                      <w:top w:val="single" w:sz="4" w:space="0" w:color="auto"/>
                      <w:left w:val="single" w:sz="4" w:space="0" w:color="auto"/>
                      <w:bottom w:val="single" w:sz="4" w:space="0" w:color="auto"/>
                      <w:right w:val="single" w:sz="4" w:space="0" w:color="auto"/>
                    </w:tcBorders>
                  </w:tcPr>
                  <w:p w:rsidR="00FB1721" w:rsidRDefault="00FB1721" w:rsidP="006C0381">
                    <w:pPr>
                      <w:rPr>
                        <w:szCs w:val="21"/>
                      </w:rPr>
                    </w:pPr>
                    <w:r>
                      <w:t>用友软件园办公用房</w:t>
                    </w:r>
                  </w:p>
                </w:tc>
                <w:tc>
                  <w:tcPr>
                    <w:tcW w:w="1356" w:type="pct"/>
                    <w:tcBorders>
                      <w:top w:val="single" w:sz="4" w:space="0" w:color="auto"/>
                      <w:left w:val="single" w:sz="4" w:space="0" w:color="auto"/>
                      <w:bottom w:val="single" w:sz="4" w:space="0" w:color="auto"/>
                      <w:right w:val="single" w:sz="4" w:space="0" w:color="auto"/>
                    </w:tcBorders>
                  </w:tcPr>
                  <w:p w:rsidR="00FB1721" w:rsidRDefault="00FB1721" w:rsidP="006C0381">
                    <w:pPr>
                      <w:jc w:val="right"/>
                      <w:rPr>
                        <w:szCs w:val="21"/>
                      </w:rPr>
                    </w:pPr>
                    <w:r>
                      <w:t>688,162</w:t>
                    </w:r>
                  </w:p>
                </w:tc>
                <w:tc>
                  <w:tcPr>
                    <w:tcW w:w="1473" w:type="pct"/>
                    <w:tcBorders>
                      <w:top w:val="single" w:sz="4" w:space="0" w:color="auto"/>
                      <w:left w:val="single" w:sz="4" w:space="0" w:color="auto"/>
                      <w:bottom w:val="single" w:sz="4" w:space="0" w:color="auto"/>
                      <w:right w:val="single" w:sz="4" w:space="0" w:color="auto"/>
                    </w:tcBorders>
                  </w:tcPr>
                  <w:p w:rsidR="00FB1721" w:rsidRDefault="00FB1721" w:rsidP="006C0381">
                    <w:pPr>
                      <w:jc w:val="right"/>
                      <w:rPr>
                        <w:szCs w:val="21"/>
                      </w:rPr>
                    </w:pPr>
                    <w:r>
                      <w:t>1,882,191</w:t>
                    </w:r>
                  </w:p>
                </w:tc>
              </w:tr>
            </w:sdtContent>
          </w:sdt>
          <w:sdt>
            <w:sdtPr>
              <w:rPr>
                <w:rFonts w:asciiTheme="minorHAnsi" w:eastAsiaTheme="minorEastAsia" w:hAnsiTheme="minorHAnsi" w:cstheme="minorBidi"/>
                <w:kern w:val="2"/>
                <w:szCs w:val="21"/>
              </w:rPr>
              <w:alias w:val="关联租赁情况"/>
              <w:tag w:val="_GBC_b0112b4dc9284dc5a94109344af1edea"/>
              <w:id w:val="-116146654"/>
              <w:lock w:val="sdtLocked"/>
            </w:sdtPr>
            <w:sdtContent>
              <w:tr w:rsidR="00FB1721" w:rsidTr="00C209F3">
                <w:tc>
                  <w:tcPr>
                    <w:tcW w:w="978" w:type="pct"/>
                    <w:tcBorders>
                      <w:top w:val="single" w:sz="4" w:space="0" w:color="auto"/>
                      <w:left w:val="single" w:sz="4" w:space="0" w:color="auto"/>
                      <w:bottom w:val="single" w:sz="4" w:space="0" w:color="auto"/>
                      <w:right w:val="single" w:sz="4" w:space="0" w:color="auto"/>
                    </w:tcBorders>
                  </w:tcPr>
                  <w:p w:rsidR="00FB1721" w:rsidRDefault="00FB1721" w:rsidP="006C0381">
                    <w:pPr>
                      <w:rPr>
                        <w:szCs w:val="21"/>
                      </w:rPr>
                    </w:pPr>
                    <w:r>
                      <w:t>智联友道</w:t>
                    </w:r>
                  </w:p>
                </w:tc>
                <w:tc>
                  <w:tcPr>
                    <w:tcW w:w="1194" w:type="pct"/>
                    <w:tcBorders>
                      <w:top w:val="single" w:sz="4" w:space="0" w:color="auto"/>
                      <w:left w:val="single" w:sz="4" w:space="0" w:color="auto"/>
                      <w:bottom w:val="single" w:sz="4" w:space="0" w:color="auto"/>
                      <w:right w:val="single" w:sz="4" w:space="0" w:color="auto"/>
                    </w:tcBorders>
                  </w:tcPr>
                  <w:p w:rsidR="00FB1721" w:rsidRDefault="00FB1721" w:rsidP="006C0381">
                    <w:pPr>
                      <w:rPr>
                        <w:szCs w:val="21"/>
                      </w:rPr>
                    </w:pPr>
                    <w:r>
                      <w:t>用友软件园办公用房</w:t>
                    </w:r>
                  </w:p>
                </w:tc>
                <w:tc>
                  <w:tcPr>
                    <w:tcW w:w="1356" w:type="pct"/>
                    <w:tcBorders>
                      <w:top w:val="single" w:sz="4" w:space="0" w:color="auto"/>
                      <w:left w:val="single" w:sz="4" w:space="0" w:color="auto"/>
                      <w:bottom w:val="single" w:sz="4" w:space="0" w:color="auto"/>
                      <w:right w:val="single" w:sz="4" w:space="0" w:color="auto"/>
                    </w:tcBorders>
                  </w:tcPr>
                  <w:p w:rsidR="00FB1721" w:rsidRDefault="00FB1721" w:rsidP="006C0381">
                    <w:pPr>
                      <w:jc w:val="right"/>
                      <w:rPr>
                        <w:szCs w:val="21"/>
                      </w:rPr>
                    </w:pPr>
                    <w:r>
                      <w:t>-</w:t>
                    </w:r>
                  </w:p>
                </w:tc>
                <w:tc>
                  <w:tcPr>
                    <w:tcW w:w="1473" w:type="pct"/>
                    <w:tcBorders>
                      <w:top w:val="single" w:sz="4" w:space="0" w:color="auto"/>
                      <w:left w:val="single" w:sz="4" w:space="0" w:color="auto"/>
                      <w:bottom w:val="single" w:sz="4" w:space="0" w:color="auto"/>
                      <w:right w:val="single" w:sz="4" w:space="0" w:color="auto"/>
                    </w:tcBorders>
                  </w:tcPr>
                  <w:p w:rsidR="00FB1721" w:rsidRDefault="00FB1721" w:rsidP="006C0381">
                    <w:pPr>
                      <w:jc w:val="right"/>
                      <w:rPr>
                        <w:szCs w:val="21"/>
                      </w:rPr>
                    </w:pPr>
                    <w:r>
                      <w:t>548,025</w:t>
                    </w:r>
                  </w:p>
                </w:tc>
              </w:tr>
            </w:sdtContent>
          </w:sdt>
          <w:sdt>
            <w:sdtPr>
              <w:rPr>
                <w:rFonts w:asciiTheme="minorHAnsi" w:eastAsiaTheme="minorEastAsia" w:hAnsiTheme="minorHAnsi" w:cstheme="minorBidi"/>
                <w:kern w:val="2"/>
                <w:szCs w:val="21"/>
              </w:rPr>
              <w:alias w:val="关联租赁情况"/>
              <w:tag w:val="_GBC_b0112b4dc9284dc5a94109344af1edea"/>
              <w:id w:val="-2088457468"/>
              <w:lock w:val="sdtLocked"/>
            </w:sdtPr>
            <w:sdtContent>
              <w:tr w:rsidR="00FB1721" w:rsidTr="00C209F3">
                <w:tc>
                  <w:tcPr>
                    <w:tcW w:w="978" w:type="pct"/>
                    <w:tcBorders>
                      <w:top w:val="single" w:sz="4" w:space="0" w:color="auto"/>
                      <w:left w:val="single" w:sz="4" w:space="0" w:color="auto"/>
                      <w:bottom w:val="single" w:sz="4" w:space="0" w:color="auto"/>
                      <w:right w:val="single" w:sz="4" w:space="0" w:color="auto"/>
                    </w:tcBorders>
                  </w:tcPr>
                  <w:p w:rsidR="00FB1721" w:rsidRDefault="00FB1721" w:rsidP="006C0381">
                    <w:pPr>
                      <w:rPr>
                        <w:szCs w:val="21"/>
                      </w:rPr>
                    </w:pPr>
                    <w:r>
                      <w:t>中企永联</w:t>
                    </w:r>
                  </w:p>
                </w:tc>
                <w:tc>
                  <w:tcPr>
                    <w:tcW w:w="1194" w:type="pct"/>
                    <w:tcBorders>
                      <w:top w:val="single" w:sz="4" w:space="0" w:color="auto"/>
                      <w:left w:val="single" w:sz="4" w:space="0" w:color="auto"/>
                      <w:bottom w:val="single" w:sz="4" w:space="0" w:color="auto"/>
                      <w:right w:val="single" w:sz="4" w:space="0" w:color="auto"/>
                    </w:tcBorders>
                  </w:tcPr>
                  <w:p w:rsidR="00FB1721" w:rsidRDefault="00FB1721" w:rsidP="006C0381">
                    <w:pPr>
                      <w:rPr>
                        <w:szCs w:val="21"/>
                      </w:rPr>
                    </w:pPr>
                    <w:r>
                      <w:t>用友软件园办公用房</w:t>
                    </w:r>
                  </w:p>
                </w:tc>
                <w:tc>
                  <w:tcPr>
                    <w:tcW w:w="1356" w:type="pct"/>
                    <w:tcBorders>
                      <w:top w:val="single" w:sz="4" w:space="0" w:color="auto"/>
                      <w:left w:val="single" w:sz="4" w:space="0" w:color="auto"/>
                      <w:bottom w:val="single" w:sz="4" w:space="0" w:color="auto"/>
                      <w:right w:val="single" w:sz="4" w:space="0" w:color="auto"/>
                    </w:tcBorders>
                  </w:tcPr>
                  <w:p w:rsidR="00FB1721" w:rsidRDefault="00FB1721" w:rsidP="006C0381">
                    <w:pPr>
                      <w:jc w:val="right"/>
                      <w:rPr>
                        <w:szCs w:val="21"/>
                      </w:rPr>
                    </w:pPr>
                    <w:r>
                      <w:t>220,882</w:t>
                    </w:r>
                  </w:p>
                </w:tc>
                <w:tc>
                  <w:tcPr>
                    <w:tcW w:w="1473" w:type="pct"/>
                    <w:tcBorders>
                      <w:top w:val="single" w:sz="4" w:space="0" w:color="auto"/>
                      <w:left w:val="single" w:sz="4" w:space="0" w:color="auto"/>
                      <w:bottom w:val="single" w:sz="4" w:space="0" w:color="auto"/>
                      <w:right w:val="single" w:sz="4" w:space="0" w:color="auto"/>
                    </w:tcBorders>
                  </w:tcPr>
                  <w:p w:rsidR="00FB1721" w:rsidRDefault="00FB1721" w:rsidP="006C0381">
                    <w:pPr>
                      <w:jc w:val="right"/>
                      <w:rPr>
                        <w:szCs w:val="21"/>
                      </w:rPr>
                    </w:pPr>
                    <w:r>
                      <w:t>222,210</w:t>
                    </w:r>
                  </w:p>
                </w:tc>
              </w:tr>
            </w:sdtContent>
          </w:sdt>
          <w:sdt>
            <w:sdtPr>
              <w:rPr>
                <w:rFonts w:asciiTheme="minorHAnsi" w:eastAsiaTheme="minorEastAsia" w:hAnsiTheme="minorHAnsi" w:cstheme="minorBidi"/>
                <w:kern w:val="2"/>
                <w:szCs w:val="21"/>
              </w:rPr>
              <w:alias w:val="关联租赁情况"/>
              <w:tag w:val="_GBC_b0112b4dc9284dc5a94109344af1edea"/>
              <w:id w:val="637991665"/>
              <w:lock w:val="sdtLocked"/>
            </w:sdtPr>
            <w:sdtContent>
              <w:tr w:rsidR="00FB1721" w:rsidTr="00C209F3">
                <w:tc>
                  <w:tcPr>
                    <w:tcW w:w="978" w:type="pct"/>
                    <w:tcBorders>
                      <w:top w:val="single" w:sz="4" w:space="0" w:color="auto"/>
                      <w:left w:val="single" w:sz="4" w:space="0" w:color="auto"/>
                      <w:bottom w:val="single" w:sz="4" w:space="0" w:color="auto"/>
                      <w:right w:val="single" w:sz="4" w:space="0" w:color="auto"/>
                    </w:tcBorders>
                  </w:tcPr>
                  <w:p w:rsidR="00FB1721" w:rsidRDefault="00FB1721" w:rsidP="006C0381">
                    <w:pPr>
                      <w:rPr>
                        <w:szCs w:val="21"/>
                      </w:rPr>
                    </w:pPr>
                    <w:r>
                      <w:t>北京伟库</w:t>
                    </w:r>
                  </w:p>
                </w:tc>
                <w:tc>
                  <w:tcPr>
                    <w:tcW w:w="1194" w:type="pct"/>
                    <w:tcBorders>
                      <w:top w:val="single" w:sz="4" w:space="0" w:color="auto"/>
                      <w:left w:val="single" w:sz="4" w:space="0" w:color="auto"/>
                      <w:bottom w:val="single" w:sz="4" w:space="0" w:color="auto"/>
                      <w:right w:val="single" w:sz="4" w:space="0" w:color="auto"/>
                    </w:tcBorders>
                  </w:tcPr>
                  <w:p w:rsidR="00FB1721" w:rsidRDefault="00FB1721" w:rsidP="006C0381">
                    <w:pPr>
                      <w:rPr>
                        <w:szCs w:val="21"/>
                      </w:rPr>
                    </w:pPr>
                    <w:r>
                      <w:t>用友软件园办公用房</w:t>
                    </w:r>
                  </w:p>
                </w:tc>
                <w:tc>
                  <w:tcPr>
                    <w:tcW w:w="1356" w:type="pct"/>
                    <w:tcBorders>
                      <w:top w:val="single" w:sz="4" w:space="0" w:color="auto"/>
                      <w:left w:val="single" w:sz="4" w:space="0" w:color="auto"/>
                      <w:bottom w:val="single" w:sz="4" w:space="0" w:color="auto"/>
                      <w:right w:val="single" w:sz="4" w:space="0" w:color="auto"/>
                    </w:tcBorders>
                  </w:tcPr>
                  <w:p w:rsidR="00FB1721" w:rsidRDefault="00FB1721" w:rsidP="006C0381">
                    <w:pPr>
                      <w:jc w:val="right"/>
                      <w:rPr>
                        <w:szCs w:val="21"/>
                      </w:rPr>
                    </w:pPr>
                    <w:r>
                      <w:t>228,766</w:t>
                    </w:r>
                  </w:p>
                </w:tc>
                <w:tc>
                  <w:tcPr>
                    <w:tcW w:w="1473" w:type="pct"/>
                    <w:tcBorders>
                      <w:top w:val="single" w:sz="4" w:space="0" w:color="auto"/>
                      <w:left w:val="single" w:sz="4" w:space="0" w:color="auto"/>
                      <w:bottom w:val="single" w:sz="4" w:space="0" w:color="auto"/>
                      <w:right w:val="single" w:sz="4" w:space="0" w:color="auto"/>
                    </w:tcBorders>
                  </w:tcPr>
                  <w:p w:rsidR="00FB1721" w:rsidRDefault="00FB1721" w:rsidP="006C0381">
                    <w:pPr>
                      <w:jc w:val="right"/>
                      <w:rPr>
                        <w:szCs w:val="21"/>
                      </w:rPr>
                    </w:pPr>
                    <w:r>
                      <w:t>100,454</w:t>
                    </w:r>
                  </w:p>
                </w:tc>
              </w:tr>
            </w:sdtContent>
          </w:sdt>
          <w:sdt>
            <w:sdtPr>
              <w:rPr>
                <w:rFonts w:asciiTheme="minorHAnsi" w:eastAsiaTheme="minorEastAsia" w:hAnsiTheme="minorHAnsi" w:cstheme="minorBidi"/>
                <w:kern w:val="2"/>
                <w:szCs w:val="21"/>
              </w:rPr>
              <w:alias w:val="关联租赁情况"/>
              <w:tag w:val="_GBC_b0112b4dc9284dc5a94109344af1edea"/>
              <w:id w:val="1817526096"/>
              <w:lock w:val="sdtLocked"/>
            </w:sdtPr>
            <w:sdtContent>
              <w:tr w:rsidR="00FB1721" w:rsidTr="00C209F3">
                <w:tc>
                  <w:tcPr>
                    <w:tcW w:w="978" w:type="pct"/>
                    <w:tcBorders>
                      <w:top w:val="single" w:sz="4" w:space="0" w:color="auto"/>
                      <w:left w:val="single" w:sz="4" w:space="0" w:color="auto"/>
                      <w:bottom w:val="single" w:sz="4" w:space="0" w:color="auto"/>
                      <w:right w:val="single" w:sz="4" w:space="0" w:color="auto"/>
                    </w:tcBorders>
                  </w:tcPr>
                  <w:p w:rsidR="00FB1721" w:rsidRDefault="00FB1721" w:rsidP="006C0381">
                    <w:pPr>
                      <w:rPr>
                        <w:szCs w:val="21"/>
                      </w:rPr>
                    </w:pPr>
                    <w:r>
                      <w:t>红橘科技</w:t>
                    </w:r>
                  </w:p>
                </w:tc>
                <w:tc>
                  <w:tcPr>
                    <w:tcW w:w="1194" w:type="pct"/>
                    <w:tcBorders>
                      <w:top w:val="single" w:sz="4" w:space="0" w:color="auto"/>
                      <w:left w:val="single" w:sz="4" w:space="0" w:color="auto"/>
                      <w:bottom w:val="single" w:sz="4" w:space="0" w:color="auto"/>
                      <w:right w:val="single" w:sz="4" w:space="0" w:color="auto"/>
                    </w:tcBorders>
                  </w:tcPr>
                  <w:p w:rsidR="00FB1721" w:rsidRDefault="00FB1721" w:rsidP="006C0381">
                    <w:pPr>
                      <w:rPr>
                        <w:szCs w:val="21"/>
                      </w:rPr>
                    </w:pPr>
                    <w:r>
                      <w:t>用友软件园办公用房</w:t>
                    </w:r>
                  </w:p>
                </w:tc>
                <w:tc>
                  <w:tcPr>
                    <w:tcW w:w="1356" w:type="pct"/>
                    <w:tcBorders>
                      <w:top w:val="single" w:sz="4" w:space="0" w:color="auto"/>
                      <w:left w:val="single" w:sz="4" w:space="0" w:color="auto"/>
                      <w:bottom w:val="single" w:sz="4" w:space="0" w:color="auto"/>
                      <w:right w:val="single" w:sz="4" w:space="0" w:color="auto"/>
                    </w:tcBorders>
                  </w:tcPr>
                  <w:p w:rsidR="00FB1721" w:rsidRDefault="00FB1721" w:rsidP="006C0381">
                    <w:pPr>
                      <w:jc w:val="right"/>
                      <w:rPr>
                        <w:szCs w:val="21"/>
                      </w:rPr>
                    </w:pPr>
                    <w:r>
                      <w:t>108,962</w:t>
                    </w:r>
                  </w:p>
                </w:tc>
                <w:tc>
                  <w:tcPr>
                    <w:tcW w:w="1473" w:type="pct"/>
                    <w:tcBorders>
                      <w:top w:val="single" w:sz="4" w:space="0" w:color="auto"/>
                      <w:left w:val="single" w:sz="4" w:space="0" w:color="auto"/>
                      <w:bottom w:val="single" w:sz="4" w:space="0" w:color="auto"/>
                      <w:right w:val="single" w:sz="4" w:space="0" w:color="auto"/>
                    </w:tcBorders>
                  </w:tcPr>
                  <w:p w:rsidR="00FB1721" w:rsidRDefault="00FB1721" w:rsidP="006C0381">
                    <w:pPr>
                      <w:jc w:val="right"/>
                      <w:rPr>
                        <w:szCs w:val="21"/>
                      </w:rPr>
                    </w:pPr>
                    <w:r>
                      <w:t>224,693</w:t>
                    </w:r>
                  </w:p>
                </w:tc>
              </w:tr>
            </w:sdtContent>
          </w:sdt>
          <w:sdt>
            <w:sdtPr>
              <w:rPr>
                <w:rFonts w:asciiTheme="minorHAnsi" w:eastAsiaTheme="minorEastAsia" w:hAnsiTheme="minorHAnsi" w:cstheme="minorBidi"/>
                <w:kern w:val="2"/>
                <w:szCs w:val="21"/>
              </w:rPr>
              <w:alias w:val="关联租赁情况"/>
              <w:tag w:val="_GBC_b0112b4dc9284dc5a94109344af1edea"/>
              <w:id w:val="585729265"/>
              <w:lock w:val="sdtLocked"/>
            </w:sdtPr>
            <w:sdtContent>
              <w:tr w:rsidR="00FB1721" w:rsidTr="00C209F3">
                <w:tc>
                  <w:tcPr>
                    <w:tcW w:w="978" w:type="pct"/>
                    <w:tcBorders>
                      <w:top w:val="single" w:sz="4" w:space="0" w:color="auto"/>
                      <w:left w:val="single" w:sz="4" w:space="0" w:color="auto"/>
                      <w:bottom w:val="single" w:sz="4" w:space="0" w:color="auto"/>
                      <w:right w:val="single" w:sz="4" w:space="0" w:color="auto"/>
                    </w:tcBorders>
                  </w:tcPr>
                  <w:p w:rsidR="00FB1721" w:rsidRDefault="00FB1721" w:rsidP="006C0381">
                    <w:pPr>
                      <w:rPr>
                        <w:szCs w:val="21"/>
                      </w:rPr>
                    </w:pPr>
                    <w:r>
                      <w:t>北京同联</w:t>
                    </w:r>
                  </w:p>
                </w:tc>
                <w:tc>
                  <w:tcPr>
                    <w:tcW w:w="1194" w:type="pct"/>
                    <w:tcBorders>
                      <w:top w:val="single" w:sz="4" w:space="0" w:color="auto"/>
                      <w:left w:val="single" w:sz="4" w:space="0" w:color="auto"/>
                      <w:bottom w:val="single" w:sz="4" w:space="0" w:color="auto"/>
                      <w:right w:val="single" w:sz="4" w:space="0" w:color="auto"/>
                    </w:tcBorders>
                  </w:tcPr>
                  <w:p w:rsidR="00FB1721" w:rsidRDefault="00FB1721" w:rsidP="006C0381">
                    <w:pPr>
                      <w:rPr>
                        <w:szCs w:val="21"/>
                      </w:rPr>
                    </w:pPr>
                    <w:r>
                      <w:t>用友软件园办公用房</w:t>
                    </w:r>
                  </w:p>
                </w:tc>
                <w:tc>
                  <w:tcPr>
                    <w:tcW w:w="1356" w:type="pct"/>
                    <w:tcBorders>
                      <w:top w:val="single" w:sz="4" w:space="0" w:color="auto"/>
                      <w:left w:val="single" w:sz="4" w:space="0" w:color="auto"/>
                      <w:bottom w:val="single" w:sz="4" w:space="0" w:color="auto"/>
                      <w:right w:val="single" w:sz="4" w:space="0" w:color="auto"/>
                    </w:tcBorders>
                  </w:tcPr>
                  <w:p w:rsidR="00FB1721" w:rsidRDefault="00FB1721" w:rsidP="006C0381">
                    <w:pPr>
                      <w:jc w:val="right"/>
                      <w:rPr>
                        <w:szCs w:val="21"/>
                      </w:rPr>
                    </w:pPr>
                    <w:r>
                      <w:t>168,796</w:t>
                    </w:r>
                  </w:p>
                </w:tc>
                <w:tc>
                  <w:tcPr>
                    <w:tcW w:w="1473" w:type="pct"/>
                    <w:tcBorders>
                      <w:top w:val="single" w:sz="4" w:space="0" w:color="auto"/>
                      <w:left w:val="single" w:sz="4" w:space="0" w:color="auto"/>
                      <w:bottom w:val="single" w:sz="4" w:space="0" w:color="auto"/>
                      <w:right w:val="single" w:sz="4" w:space="0" w:color="auto"/>
                    </w:tcBorders>
                  </w:tcPr>
                  <w:p w:rsidR="00FB1721" w:rsidRDefault="00FB1721" w:rsidP="006C0381">
                    <w:pPr>
                      <w:jc w:val="right"/>
                      <w:rPr>
                        <w:szCs w:val="21"/>
                      </w:rPr>
                    </w:pPr>
                    <w:r>
                      <w:t>148,036</w:t>
                    </w:r>
                  </w:p>
                </w:tc>
              </w:tr>
            </w:sdtContent>
          </w:sdt>
          <w:sdt>
            <w:sdtPr>
              <w:rPr>
                <w:rFonts w:asciiTheme="minorHAnsi" w:eastAsiaTheme="minorEastAsia" w:hAnsiTheme="minorHAnsi" w:cstheme="minorBidi"/>
                <w:kern w:val="2"/>
                <w:szCs w:val="21"/>
              </w:rPr>
              <w:alias w:val="关联租赁情况"/>
              <w:tag w:val="_GBC_b0112b4dc9284dc5a94109344af1edea"/>
              <w:id w:val="1906336559"/>
              <w:lock w:val="sdtLocked"/>
            </w:sdtPr>
            <w:sdtContent>
              <w:tr w:rsidR="00FB1721" w:rsidTr="00C209F3">
                <w:tc>
                  <w:tcPr>
                    <w:tcW w:w="978" w:type="pct"/>
                    <w:tcBorders>
                      <w:top w:val="single" w:sz="4" w:space="0" w:color="auto"/>
                      <w:left w:val="single" w:sz="4" w:space="0" w:color="auto"/>
                      <w:bottom w:val="single" w:sz="4" w:space="0" w:color="auto"/>
                      <w:right w:val="single" w:sz="4" w:space="0" w:color="auto"/>
                    </w:tcBorders>
                  </w:tcPr>
                  <w:p w:rsidR="00FB1721" w:rsidRDefault="00FB1721" w:rsidP="006C0381">
                    <w:pPr>
                      <w:rPr>
                        <w:szCs w:val="21"/>
                      </w:rPr>
                    </w:pPr>
                    <w:r>
                      <w:t>其他</w:t>
                    </w:r>
                  </w:p>
                </w:tc>
                <w:tc>
                  <w:tcPr>
                    <w:tcW w:w="1194" w:type="pct"/>
                    <w:tcBorders>
                      <w:top w:val="single" w:sz="4" w:space="0" w:color="auto"/>
                      <w:left w:val="single" w:sz="4" w:space="0" w:color="auto"/>
                      <w:bottom w:val="single" w:sz="4" w:space="0" w:color="auto"/>
                      <w:right w:val="single" w:sz="4" w:space="0" w:color="auto"/>
                    </w:tcBorders>
                  </w:tcPr>
                  <w:p w:rsidR="00FB1721" w:rsidRDefault="00FB1721" w:rsidP="006C0381">
                    <w:pPr>
                      <w:rPr>
                        <w:szCs w:val="21"/>
                      </w:rPr>
                    </w:pPr>
                    <w:r>
                      <w:t>用友软件园办公用房</w:t>
                    </w:r>
                  </w:p>
                </w:tc>
                <w:tc>
                  <w:tcPr>
                    <w:tcW w:w="1356" w:type="pct"/>
                    <w:tcBorders>
                      <w:top w:val="single" w:sz="4" w:space="0" w:color="auto"/>
                      <w:left w:val="single" w:sz="4" w:space="0" w:color="auto"/>
                      <w:bottom w:val="single" w:sz="4" w:space="0" w:color="auto"/>
                      <w:right w:val="single" w:sz="4" w:space="0" w:color="auto"/>
                    </w:tcBorders>
                  </w:tcPr>
                  <w:p w:rsidR="00FB1721" w:rsidRDefault="00FB1721" w:rsidP="006C0381">
                    <w:pPr>
                      <w:jc w:val="right"/>
                      <w:rPr>
                        <w:szCs w:val="21"/>
                      </w:rPr>
                    </w:pPr>
                    <w:r>
                      <w:t>109,830</w:t>
                    </w:r>
                  </w:p>
                </w:tc>
                <w:tc>
                  <w:tcPr>
                    <w:tcW w:w="1473" w:type="pct"/>
                    <w:tcBorders>
                      <w:top w:val="single" w:sz="4" w:space="0" w:color="auto"/>
                      <w:left w:val="single" w:sz="4" w:space="0" w:color="auto"/>
                      <w:bottom w:val="single" w:sz="4" w:space="0" w:color="auto"/>
                      <w:right w:val="single" w:sz="4" w:space="0" w:color="auto"/>
                    </w:tcBorders>
                  </w:tcPr>
                  <w:p w:rsidR="00FB1721" w:rsidRDefault="00FB1721" w:rsidP="006C0381">
                    <w:pPr>
                      <w:jc w:val="right"/>
                      <w:rPr>
                        <w:szCs w:val="21"/>
                      </w:rPr>
                    </w:pPr>
                    <w:r>
                      <w:t>108,731</w:t>
                    </w:r>
                  </w:p>
                </w:tc>
              </w:tr>
            </w:sdtContent>
          </w:sdt>
        </w:tbl>
        <w:p w:rsidR="00FB1721" w:rsidRDefault="00FB1721"/>
        <w:p w:rsidR="00ED2DC7" w:rsidRDefault="00ED2DC7">
          <w:pPr>
            <w:rPr>
              <w:szCs w:val="21"/>
            </w:rPr>
          </w:pPr>
          <w:r>
            <w:rPr>
              <w:rFonts w:hint="eastAsia"/>
              <w:szCs w:val="21"/>
            </w:rPr>
            <w:t>本公司作为承租方：</w:t>
          </w:r>
        </w:p>
        <w:sdt>
          <w:sdtPr>
            <w:rPr>
              <w:szCs w:val="21"/>
            </w:rPr>
            <w:alias w:val="是否适用：本公司作为承租方的租赁情况表[双击切换]"/>
            <w:tag w:val="_GBC_e3319fb4cbb04bb0ab5516046d7e77a4"/>
            <w:id w:val="1230969924"/>
            <w:lock w:val="sdtContentLocked"/>
            <w:placeholder>
              <w:docPart w:val="GBC22222222222222222222222222222"/>
            </w:placeholder>
          </w:sdtPr>
          <w:sdtContent>
            <w:p w:rsidR="00ED2DC7" w:rsidRDefault="00ED2DC7" w:rsidP="00687F61">
              <w:r>
                <w:rPr>
                  <w:szCs w:val="21"/>
                </w:rPr>
                <w:fldChar w:fldCharType="begin"/>
              </w:r>
              <w:r w:rsidR="00687F61">
                <w:rPr>
                  <w:szCs w:val="21"/>
                </w:rPr>
                <w:instrText xml:space="preserve"> MACROBUTTON  SnrToggleCheckbox □适用 </w:instrText>
              </w:r>
              <w:r>
                <w:rPr>
                  <w:szCs w:val="21"/>
                </w:rPr>
                <w:fldChar w:fldCharType="end"/>
              </w:r>
              <w:r>
                <w:rPr>
                  <w:szCs w:val="21"/>
                </w:rPr>
                <w:fldChar w:fldCharType="begin"/>
              </w:r>
              <w:r w:rsidR="00687F61">
                <w:rPr>
                  <w:szCs w:val="21"/>
                </w:rPr>
                <w:instrText xml:space="preserve"> MACROBUTTON  SnrToggleCheckbox √不适用 </w:instrText>
              </w:r>
              <w:r>
                <w:rPr>
                  <w:szCs w:val="21"/>
                </w:rPr>
                <w:fldChar w:fldCharType="end"/>
              </w:r>
            </w:p>
          </w:sdtContent>
        </w:sdt>
        <w:p w:rsidR="00ED2DC7" w:rsidRDefault="00ED2DC7">
          <w:pPr>
            <w:rPr>
              <w:szCs w:val="21"/>
            </w:rPr>
          </w:pPr>
          <w:r>
            <w:rPr>
              <w:rFonts w:hint="eastAsia"/>
              <w:szCs w:val="21"/>
            </w:rPr>
            <w:t>关联租赁情况说明</w:t>
          </w:r>
        </w:p>
        <w:sdt>
          <w:sdtPr>
            <w:rPr>
              <w:szCs w:val="21"/>
            </w:rPr>
            <w:alias w:val="是否适用：关联租赁情况说明[双击切换]"/>
            <w:tag w:val="_GBC_a8d25c1a27d24bbeb9dd0063be85a310"/>
            <w:id w:val="-1191456406"/>
            <w:lock w:val="sdtContentLocked"/>
            <w:placeholder>
              <w:docPart w:val="GBC22222222222222222222222222222"/>
            </w:placeholder>
          </w:sdtPr>
          <w:sdtContent>
            <w:p w:rsidR="00ED2DC7" w:rsidRDefault="00ED2DC7" w:rsidP="00687F61">
              <w:pPr>
                <w:rPr>
                  <w:szCs w:val="21"/>
                </w:rPr>
              </w:pPr>
              <w:r>
                <w:rPr>
                  <w:szCs w:val="21"/>
                </w:rPr>
                <w:fldChar w:fldCharType="begin"/>
              </w:r>
              <w:r w:rsidR="00687F61">
                <w:rPr>
                  <w:szCs w:val="21"/>
                </w:rPr>
                <w:instrText xml:space="preserve"> MACROBUTTON  SnrToggleCheckbox □适用 </w:instrText>
              </w:r>
              <w:r>
                <w:rPr>
                  <w:szCs w:val="21"/>
                </w:rPr>
                <w:fldChar w:fldCharType="end"/>
              </w:r>
              <w:r>
                <w:rPr>
                  <w:szCs w:val="21"/>
                </w:rPr>
                <w:fldChar w:fldCharType="begin"/>
              </w:r>
              <w:r w:rsidR="00687F61">
                <w:rPr>
                  <w:szCs w:val="21"/>
                </w:rPr>
                <w:instrText xml:space="preserve"> MACROBUTTON  SnrToggleCheckbox √不适用 </w:instrText>
              </w:r>
              <w:r>
                <w:rPr>
                  <w:szCs w:val="21"/>
                </w:rPr>
                <w:fldChar w:fldCharType="end"/>
              </w:r>
            </w:p>
          </w:sdtContent>
        </w:sdt>
        <w:p w:rsidR="00ED2DC7" w:rsidRDefault="000D0A99"/>
      </w:sdtContent>
    </w:sdt>
    <w:sdt>
      <w:sdtPr>
        <w:rPr>
          <w:rFonts w:ascii="宋体" w:hAnsi="宋体" w:cs="Arial" w:hint="eastAsia"/>
          <w:b w:val="0"/>
          <w:bCs w:val="0"/>
          <w:kern w:val="0"/>
          <w:szCs w:val="21"/>
        </w:rPr>
        <w:alias w:val="模块:关联担保情况"/>
        <w:tag w:val="_GBC_a87b2e666bc14a67817d2d3189396350"/>
        <w:id w:val="-349030594"/>
        <w:lock w:val="sdtLocked"/>
        <w:placeholder>
          <w:docPart w:val="GBC22222222222222222222222222222"/>
        </w:placeholder>
      </w:sdtPr>
      <w:sdtEndPr>
        <w:rPr>
          <w:rFonts w:ascii="Cambria" w:eastAsiaTheme="minorEastAsia" w:hAnsi="Cambria" w:cs="Cambria" w:hint="default"/>
          <w:sz w:val="20"/>
          <w:szCs w:val="20"/>
        </w:rPr>
      </w:sdtEndPr>
      <w:sdtContent>
        <w:p w:rsidR="00ED2DC7" w:rsidRDefault="00ED2DC7" w:rsidP="00036BDC">
          <w:pPr>
            <w:pStyle w:val="affffffffffffffffff2"/>
            <w:numPr>
              <w:ilvl w:val="0"/>
              <w:numId w:val="89"/>
            </w:numPr>
            <w:tabs>
              <w:tab w:val="left" w:pos="616"/>
            </w:tabs>
            <w:rPr>
              <w:rFonts w:ascii="宋体" w:hAnsi="宋体" w:cs="Arial"/>
              <w:szCs w:val="21"/>
            </w:rPr>
          </w:pPr>
          <w:r>
            <w:rPr>
              <w:rFonts w:ascii="宋体" w:hAnsi="宋体" w:cs="Arial" w:hint="eastAsia"/>
              <w:szCs w:val="21"/>
            </w:rPr>
            <w:t>关联</w:t>
          </w:r>
          <w:r>
            <w:rPr>
              <w:rFonts w:hint="eastAsia"/>
            </w:rPr>
            <w:t>担保</w:t>
          </w:r>
          <w:r>
            <w:rPr>
              <w:rFonts w:ascii="宋体" w:hAnsi="宋体" w:cs="Arial" w:hint="eastAsia"/>
              <w:szCs w:val="21"/>
            </w:rPr>
            <w:t>情况</w:t>
          </w:r>
        </w:p>
        <w:p w:rsidR="00ED2DC7" w:rsidRDefault="00ED2DC7">
          <w:r>
            <w:rPr>
              <w:rFonts w:hint="eastAsia"/>
            </w:rPr>
            <w:t>本公司作为担保方</w:t>
          </w:r>
        </w:p>
        <w:sdt>
          <w:sdtPr>
            <w:alias w:val="是否适用：本公司作为担保方的担保情况表[双击切换]"/>
            <w:tag w:val="_GBC_f0150417f8ec4c5281b86683570391cb"/>
            <w:id w:val="1549885208"/>
            <w:lock w:val="sdtContentLocked"/>
            <w:placeholder>
              <w:docPart w:val="GBC22222222222222222222222222222"/>
            </w:placeholder>
          </w:sdtPr>
          <w:sdtContent>
            <w:p w:rsidR="00ED2DC7" w:rsidRDefault="00ED2DC7" w:rsidP="00687F61">
              <w:r>
                <w:fldChar w:fldCharType="begin"/>
              </w:r>
              <w:r w:rsidR="00687F61">
                <w:instrText xml:space="preserve"> MACROBUTTON  SnrToggleCheckbox □适用 </w:instrText>
              </w:r>
              <w:r>
                <w:fldChar w:fldCharType="end"/>
              </w:r>
              <w:r>
                <w:fldChar w:fldCharType="begin"/>
              </w:r>
              <w:r w:rsidR="00687F61">
                <w:instrText xml:space="preserve"> MACROBUTTON  SnrToggleCheckbox √不适用 </w:instrText>
              </w:r>
              <w:r>
                <w:fldChar w:fldCharType="end"/>
              </w:r>
            </w:p>
          </w:sdtContent>
        </w:sdt>
        <w:p w:rsidR="00ED2DC7" w:rsidRDefault="00ED2DC7">
          <w:pPr>
            <w:rPr>
              <w:rFonts w:ascii="Cambria" w:hAnsi="Cambria" w:cs="Cambria"/>
            </w:rPr>
          </w:pPr>
          <w:r>
            <w:rPr>
              <w:rFonts w:ascii="Cambria" w:hAnsi="Cambria" w:cs="Cambria" w:hint="eastAsia"/>
            </w:rPr>
            <w:t>本公司作为被担保方</w:t>
          </w:r>
        </w:p>
        <w:sdt>
          <w:sdtPr>
            <w:rPr>
              <w:rFonts w:ascii="Cambria" w:hAnsi="Cambria" w:cs="Cambria"/>
            </w:rPr>
            <w:alias w:val="是否适用：本公司作为被担保方的担保情况表[双击切换]"/>
            <w:tag w:val="_GBC_3686094d29c941dd91bd168e3ef88833"/>
            <w:id w:val="1861554495"/>
            <w:lock w:val="sdtContentLocked"/>
            <w:placeholder>
              <w:docPart w:val="GBC22222222222222222222222222222"/>
            </w:placeholder>
          </w:sdtPr>
          <w:sdtContent>
            <w:p w:rsidR="00ED2DC7" w:rsidRDefault="00ED2DC7" w:rsidP="00C209F3">
              <w:r>
                <w:rPr>
                  <w:rFonts w:cs="Cambria"/>
                </w:rPr>
                <w:fldChar w:fldCharType="begin"/>
              </w:r>
              <w:r w:rsidR="00C209F3">
                <w:rPr>
                  <w:rFonts w:cs="Cambria"/>
                </w:rPr>
                <w:instrText xml:space="preserve"> MACROBUTTON  SnrToggleCheckbox □适用 </w:instrText>
              </w:r>
              <w:r>
                <w:rPr>
                  <w:rFonts w:cs="Cambria"/>
                </w:rPr>
                <w:fldChar w:fldCharType="end"/>
              </w:r>
              <w:r>
                <w:rPr>
                  <w:rFonts w:cs="Cambria"/>
                </w:rPr>
                <w:fldChar w:fldCharType="begin"/>
              </w:r>
              <w:r w:rsidR="00C209F3">
                <w:rPr>
                  <w:rFonts w:cs="Cambria"/>
                </w:rPr>
                <w:instrText xml:space="preserve"> MACROBUTTON  SnrToggleCheckbox √不适用 </w:instrText>
              </w:r>
              <w:r>
                <w:rPr>
                  <w:rFonts w:cs="Cambria"/>
                </w:rPr>
                <w:fldChar w:fldCharType="end"/>
              </w:r>
            </w:p>
          </w:sdtContent>
        </w:sdt>
        <w:p w:rsidR="00ED2DC7" w:rsidRDefault="00ED2DC7">
          <w:pPr>
            <w:rPr>
              <w:rFonts w:ascii="Cambria" w:hAnsi="Cambria" w:cs="Cambria"/>
            </w:rPr>
          </w:pPr>
          <w:r>
            <w:rPr>
              <w:rFonts w:ascii="Cambria" w:hAnsi="Cambria" w:cs="Cambria" w:hint="eastAsia"/>
            </w:rPr>
            <w:t>关联担保情况说明</w:t>
          </w:r>
        </w:p>
        <w:sdt>
          <w:sdtPr>
            <w:rPr>
              <w:rFonts w:ascii="Cambria" w:hAnsi="Cambria" w:cs="Cambria"/>
            </w:rPr>
            <w:alias w:val="是否适用：关联担保情况说明[双击切换]"/>
            <w:tag w:val="_GBC_9a5a4769e8804b779ae17adb041890d7"/>
            <w:id w:val="-609204114"/>
            <w:lock w:val="sdtContentLocked"/>
            <w:placeholder>
              <w:docPart w:val="GBC22222222222222222222222222222"/>
            </w:placeholder>
          </w:sdtPr>
          <w:sdtContent>
            <w:p w:rsidR="00ED2DC7" w:rsidRDefault="00ED2DC7" w:rsidP="00687F61">
              <w:pPr>
                <w:rPr>
                  <w:rFonts w:ascii="Cambria" w:hAnsi="Cambria" w:cs="Cambria"/>
                </w:rPr>
              </w:pPr>
              <w:r>
                <w:rPr>
                  <w:rFonts w:cs="Cambria"/>
                </w:rPr>
                <w:fldChar w:fldCharType="begin"/>
              </w:r>
              <w:r w:rsidR="00687F61">
                <w:rPr>
                  <w:rFonts w:cs="Cambria"/>
                </w:rPr>
                <w:instrText xml:space="preserve"> MACROBUTTON  SnrToggleCheckbox □适用 </w:instrText>
              </w:r>
              <w:r>
                <w:rPr>
                  <w:rFonts w:cs="Cambria"/>
                </w:rPr>
                <w:fldChar w:fldCharType="end"/>
              </w:r>
              <w:r>
                <w:rPr>
                  <w:rFonts w:cs="Cambria"/>
                </w:rPr>
                <w:fldChar w:fldCharType="begin"/>
              </w:r>
              <w:r w:rsidR="00687F61">
                <w:rPr>
                  <w:rFonts w:cs="Cambria"/>
                </w:rPr>
                <w:instrText xml:space="preserve"> MACROBUTTON  SnrToggleCheckbox √不适用 </w:instrText>
              </w:r>
              <w:r>
                <w:rPr>
                  <w:rFonts w:cs="Cambria"/>
                </w:rPr>
                <w:fldChar w:fldCharType="end"/>
              </w:r>
            </w:p>
          </w:sdtContent>
        </w:sdt>
        <w:p w:rsidR="00ED2DC7" w:rsidRDefault="000D0A99">
          <w:pPr>
            <w:rPr>
              <w:rFonts w:ascii="Cambria" w:hAnsi="Cambria" w:cs="Cambria"/>
              <w:sz w:val="20"/>
              <w:szCs w:val="20"/>
            </w:rPr>
          </w:pPr>
        </w:p>
      </w:sdtContent>
    </w:sdt>
    <w:sdt>
      <w:sdtPr>
        <w:rPr>
          <w:rFonts w:ascii="宋体" w:hAnsi="宋体" w:cs="宋体" w:hint="eastAsia"/>
          <w:b w:val="0"/>
          <w:bCs w:val="0"/>
          <w:kern w:val="0"/>
          <w:szCs w:val="24"/>
        </w:rPr>
        <w:alias w:val="模块:关联方资金拆借"/>
        <w:tag w:val="_GBC_6c7c3b5a05ab429faec9917f7b8dd9f6"/>
        <w:id w:val="1961919835"/>
        <w:lock w:val="sdtLocked"/>
        <w:placeholder>
          <w:docPart w:val="GBC22222222222222222222222222222"/>
        </w:placeholder>
      </w:sdtPr>
      <w:sdtEndPr>
        <w:rPr>
          <w:rFonts w:cstheme="minorBidi" w:hint="default"/>
          <w:szCs w:val="21"/>
        </w:rPr>
      </w:sdtEndPr>
      <w:sdtContent>
        <w:p w:rsidR="00ED2DC7" w:rsidRDefault="00ED2DC7" w:rsidP="00036BDC">
          <w:pPr>
            <w:pStyle w:val="affffffffffffffffff2"/>
            <w:numPr>
              <w:ilvl w:val="0"/>
              <w:numId w:val="89"/>
            </w:numPr>
            <w:tabs>
              <w:tab w:val="left" w:pos="616"/>
            </w:tabs>
            <w:jc w:val="left"/>
          </w:pPr>
          <w:r>
            <w:rPr>
              <w:rFonts w:hint="eastAsia"/>
            </w:rPr>
            <w:t>关联方资金拆借</w:t>
          </w:r>
        </w:p>
        <w:sdt>
          <w:sdtPr>
            <w:alias w:val="是否适用：关联方资金拆借[双击切换]"/>
            <w:tag w:val="_GBC_4e638b97ab3a4cf1ac99972e688d60b1"/>
            <w:id w:val="-1968879836"/>
            <w:lock w:val="sdtContentLocked"/>
            <w:placeholder>
              <w:docPart w:val="GBC22222222222222222222222222222"/>
            </w:placeholder>
          </w:sdtPr>
          <w:sdtContent>
            <w:p w:rsidR="00ED2DC7" w:rsidRDefault="00ED2DC7" w:rsidP="00687F61">
              <w:pPr>
                <w:rPr>
                  <w:szCs w:val="21"/>
                </w:rPr>
              </w:pPr>
              <w:r>
                <w:fldChar w:fldCharType="begin"/>
              </w:r>
              <w:r w:rsidR="00687F61">
                <w:instrText xml:space="preserve"> MACROBUTTON  SnrToggleCheckbox □适用 </w:instrText>
              </w:r>
              <w:r>
                <w:fldChar w:fldCharType="end"/>
              </w:r>
              <w:r>
                <w:fldChar w:fldCharType="begin"/>
              </w:r>
              <w:r w:rsidR="00687F61">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关联方资产转让、债务重组情况"/>
        <w:tag w:val="_GBC_9319584d30f7446b9ff3e2a3d50022d5"/>
        <w:id w:val="-1879149517"/>
        <w:lock w:val="sdtLocked"/>
        <w:placeholder>
          <w:docPart w:val="GBC22222222222222222222222222222"/>
        </w:placeholder>
      </w:sdtPr>
      <w:sdtEndPr>
        <w:rPr>
          <w:szCs w:val="21"/>
        </w:rPr>
      </w:sdtEndPr>
      <w:sdtContent>
        <w:p w:rsidR="00ED2DC7" w:rsidRDefault="00ED2DC7" w:rsidP="00036BDC">
          <w:pPr>
            <w:pStyle w:val="affffffffffffffffff2"/>
            <w:numPr>
              <w:ilvl w:val="0"/>
              <w:numId w:val="89"/>
            </w:numPr>
            <w:tabs>
              <w:tab w:val="left" w:pos="616"/>
            </w:tabs>
          </w:pPr>
          <w:r>
            <w:rPr>
              <w:rFonts w:hint="eastAsia"/>
            </w:rPr>
            <w:t>关联方资产转让、债务重组情况</w:t>
          </w:r>
        </w:p>
        <w:p w:rsidR="00ED2DC7" w:rsidRDefault="000D0A99" w:rsidP="00687F61">
          <w:sdt>
            <w:sdtPr>
              <w:alias w:val="是否适用：关联方资产转让、债务重组情况[双击切换]"/>
              <w:tag w:val="_GBC_c590c66abdbe454e89c4c55269fb6adf"/>
              <w:id w:val="1076018255"/>
              <w:lock w:val="sdtContentLocked"/>
              <w:placeholder>
                <w:docPart w:val="GBC22222222222222222222222222222"/>
              </w:placeholder>
            </w:sdtPr>
            <w:sdtContent>
              <w:r w:rsidR="00ED2DC7">
                <w:fldChar w:fldCharType="begin"/>
              </w:r>
              <w:r w:rsidR="00687F61">
                <w:instrText xml:space="preserve"> MACROBUTTON  SnrToggleCheckbox □适用 </w:instrText>
              </w:r>
              <w:r w:rsidR="00ED2DC7">
                <w:fldChar w:fldCharType="end"/>
              </w:r>
              <w:r w:rsidR="00ED2DC7">
                <w:fldChar w:fldCharType="begin"/>
              </w:r>
              <w:r w:rsidR="00687F61">
                <w:instrText xml:space="preserve"> MACROBUTTON  SnrToggleCheckbox √不适用 </w:instrText>
              </w:r>
              <w:r w:rsidR="00ED2DC7">
                <w:fldChar w:fldCharType="end"/>
              </w:r>
            </w:sdtContent>
          </w:sdt>
        </w:p>
      </w:sdtContent>
    </w:sdt>
    <w:sdt>
      <w:sdtPr>
        <w:rPr>
          <w:rFonts w:ascii="宋体" w:hAnsi="宋体" w:cs="宋体" w:hint="eastAsia"/>
          <w:b w:val="0"/>
          <w:bCs w:val="0"/>
          <w:kern w:val="0"/>
          <w:szCs w:val="24"/>
        </w:rPr>
        <w:alias w:val="模块:关键管理人员报酬"/>
        <w:tag w:val="_GBC_16da1beac91f4544809058bfda2ad3bf"/>
        <w:id w:val="-2112344087"/>
        <w:lock w:val="sdtLocked"/>
        <w:placeholder>
          <w:docPart w:val="GBC22222222222222222222222222222"/>
        </w:placeholder>
      </w:sdtPr>
      <w:sdtEndPr>
        <w:rPr>
          <w:rFonts w:cs="Cambria"/>
          <w:szCs w:val="22"/>
        </w:rPr>
      </w:sdtEndPr>
      <w:sdtContent>
        <w:p w:rsidR="00ED2DC7" w:rsidRDefault="00ED2DC7" w:rsidP="00036BDC">
          <w:pPr>
            <w:pStyle w:val="affffffffffffffffff2"/>
            <w:numPr>
              <w:ilvl w:val="0"/>
              <w:numId w:val="89"/>
            </w:numPr>
            <w:tabs>
              <w:tab w:val="left" w:pos="616"/>
            </w:tabs>
          </w:pPr>
          <w:r>
            <w:rPr>
              <w:rFonts w:hint="eastAsia"/>
            </w:rPr>
            <w:t>关键管理人员报酬</w:t>
          </w:r>
        </w:p>
        <w:p w:rsidR="00C209F3" w:rsidRDefault="000D0A99" w:rsidP="00C209F3">
          <w:sdt>
            <w:sdtPr>
              <w:alias w:val="是否适用：关键管理人员报酬[双击切换]"/>
              <w:tag w:val="_GBC_48379e9c7f5743bb916ac1cb044f4057"/>
              <w:id w:val="293255524"/>
              <w:lock w:val="sdtContentLocked"/>
              <w:placeholder>
                <w:docPart w:val="GBC22222222222222222222222222222"/>
              </w:placeholder>
            </w:sdtPr>
            <w:sdtContent>
              <w:r w:rsidR="00ED2DC7">
                <w:fldChar w:fldCharType="begin"/>
              </w:r>
              <w:r w:rsidR="00C209F3">
                <w:instrText xml:space="preserve"> MACROBUTTON  SnrToggleCheckbox √适用 </w:instrText>
              </w:r>
              <w:r w:rsidR="00ED2DC7">
                <w:fldChar w:fldCharType="end"/>
              </w:r>
              <w:r w:rsidR="00ED2DC7">
                <w:fldChar w:fldCharType="begin"/>
              </w:r>
              <w:r w:rsidR="00C209F3">
                <w:instrText xml:space="preserve"> MACROBUTTON  SnrToggleCheckbox □不适用 </w:instrText>
              </w:r>
              <w:r w:rsidR="00ED2DC7">
                <w:fldChar w:fldCharType="end"/>
              </w:r>
            </w:sdtContent>
          </w:sdt>
        </w:p>
        <w:p w:rsidR="00C209F3" w:rsidRDefault="00C209F3">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关键管理人员报酬"/>
              <w:tag w:val="_GBC_ce83ed5df8424f9a845da83f15361f10"/>
              <w:id w:val="-1485152138"/>
              <w:lock w:val="sdtLocked"/>
              <w:comboBox>
                <w:listItem w:displayText="元" w:value="1"/>
                <w:listItem w:displayText="千元" w:value="1000"/>
                <w:listItem w:displayText="万元" w:value="10000"/>
                <w:listItem w:displayText="百万元" w:value="1000000"/>
                <w:listItem w:displayText="亿元" w:value="100000000"/>
              </w:comboBox>
            </w:sdtPr>
            <w:sdtContent>
              <w:r w:rsidR="00036BDC">
                <w:rPr>
                  <w:rFonts w:ascii="Cambria" w:hAnsi="Cambria" w:cs="Cambria" w:hint="eastAsia"/>
                </w:rPr>
                <w:t>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财务附注：关键管理人员报酬"/>
              <w:tag w:val="_GBC_f493c9ef199846639115d5bc3032a26e"/>
              <w:id w:val="-45610436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ascii="Cambria" w:hAnsi="Cambria" w:cs="Cambria" w:hint="eastAsia"/>
                </w:rPr>
                <w:t>人民币</w:t>
              </w:r>
            </w:sdtContent>
          </w:sdt>
        </w:p>
        <w:tbl>
          <w:tblPr>
            <w:tblStyle w:val="g3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4"/>
            <w:gridCol w:w="3004"/>
            <w:gridCol w:w="2295"/>
          </w:tblGrid>
          <w:tr w:rsidR="00C209F3" w:rsidTr="00A6733E">
            <w:bookmarkStart w:id="221" w:name="_Hlk16629802" w:displacedByCustomXml="next"/>
            <w:sdt>
              <w:sdtPr>
                <w:tag w:val="_PLD_67f843efe3664c9fbe7a215b63622ea0"/>
                <w:id w:val="1768340300"/>
                <w:lock w:val="sdtLocked"/>
              </w:sdt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C209F3" w:rsidRDefault="00C209F3">
                    <w:pPr>
                      <w:jc w:val="center"/>
                      <w:rPr>
                        <w:rFonts w:cs="Cambria"/>
                      </w:rPr>
                    </w:pPr>
                    <w:r>
                      <w:rPr>
                        <w:rFonts w:cs="Cambria" w:hint="eastAsia"/>
                      </w:rPr>
                      <w:t>项目</w:t>
                    </w:r>
                  </w:p>
                </w:tc>
              </w:sdtContent>
            </w:sdt>
            <w:sdt>
              <w:sdtPr>
                <w:tag w:val="_PLD_30a169af324e457e93d304c688a55945"/>
                <w:id w:val="-969213915"/>
                <w:lock w:val="sdtLocked"/>
              </w:sdt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C209F3" w:rsidRDefault="00C209F3">
                    <w:pPr>
                      <w:jc w:val="center"/>
                      <w:rPr>
                        <w:rFonts w:cs="Cambria"/>
                      </w:rPr>
                    </w:pPr>
                    <w:r>
                      <w:rPr>
                        <w:rFonts w:cs="Cambria" w:hint="eastAsia"/>
                      </w:rPr>
                      <w:t>本期发生额</w:t>
                    </w:r>
                  </w:p>
                </w:tc>
              </w:sdtContent>
            </w:sdt>
            <w:sdt>
              <w:sdtPr>
                <w:tag w:val="_PLD_bf5a91780f544d6eade38e70db331a30"/>
                <w:id w:val="112946720"/>
                <w:lock w:val="sdtLocked"/>
              </w:sdtPr>
              <w:sdtContent>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C209F3" w:rsidRDefault="00C209F3">
                    <w:pPr>
                      <w:jc w:val="center"/>
                      <w:rPr>
                        <w:rFonts w:cs="Cambria"/>
                      </w:rPr>
                    </w:pPr>
                    <w:r>
                      <w:rPr>
                        <w:rFonts w:cs="Cambria" w:hint="eastAsia"/>
                      </w:rPr>
                      <w:t>上期发生额</w:t>
                    </w:r>
                  </w:p>
                </w:tc>
              </w:sdtContent>
            </w:sdt>
          </w:tr>
          <w:tr w:rsidR="00C209F3" w:rsidTr="00A77D13">
            <w:sdt>
              <w:sdtPr>
                <w:tag w:val="_PLD_bc4e2a2d92044454966304594fcd32da"/>
                <w:id w:val="330030562"/>
                <w:lock w:val="sdtLocked"/>
              </w:sdtPr>
              <w:sdtContent>
                <w:tc>
                  <w:tcPr>
                    <w:tcW w:w="1809" w:type="pct"/>
                    <w:tcBorders>
                      <w:top w:val="single" w:sz="4" w:space="0" w:color="auto"/>
                      <w:left w:val="single" w:sz="4" w:space="0" w:color="auto"/>
                      <w:bottom w:val="single" w:sz="4" w:space="0" w:color="auto"/>
                      <w:right w:val="single" w:sz="4" w:space="0" w:color="auto"/>
                    </w:tcBorders>
                    <w:shd w:val="clear" w:color="auto" w:fill="auto"/>
                  </w:tcPr>
                  <w:p w:rsidR="00C209F3" w:rsidRDefault="00C209F3">
                    <w:pPr>
                      <w:rPr>
                        <w:rFonts w:cs="Cambria"/>
                      </w:rPr>
                    </w:pPr>
                    <w:r>
                      <w:rPr>
                        <w:rFonts w:cs="Cambria" w:hint="eastAsia"/>
                      </w:rPr>
                      <w:t>关键管理人员报酬</w:t>
                    </w:r>
                  </w:p>
                </w:tc>
              </w:sdtContent>
            </w:sdt>
            <w:tc>
              <w:tcPr>
                <w:tcW w:w="1809" w:type="pct"/>
                <w:tcBorders>
                  <w:top w:val="single" w:sz="4" w:space="0" w:color="auto"/>
                  <w:left w:val="single" w:sz="4" w:space="0" w:color="auto"/>
                  <w:bottom w:val="single" w:sz="4" w:space="0" w:color="auto"/>
                  <w:right w:val="single" w:sz="4" w:space="0" w:color="auto"/>
                </w:tcBorders>
                <w:shd w:val="clear" w:color="auto" w:fill="auto"/>
              </w:tcPr>
              <w:p w:rsidR="00C209F3" w:rsidRPr="00C209F3" w:rsidRDefault="00C209F3">
                <w:pPr>
                  <w:jc w:val="right"/>
                  <w:rPr>
                    <w:rFonts w:asciiTheme="minorEastAsia" w:eastAsiaTheme="minorEastAsia" w:hAnsiTheme="minorEastAsia" w:cs="Cambria"/>
                  </w:rPr>
                </w:pPr>
                <w:r w:rsidRPr="00C209F3">
                  <w:rPr>
                    <w:rFonts w:asciiTheme="minorEastAsia" w:eastAsiaTheme="minorEastAsia" w:hAnsiTheme="minorEastAsia" w:cs="Arial"/>
                    <w:sz w:val="20"/>
                  </w:rPr>
                  <w:t>19,704,875</w:t>
                </w:r>
              </w:p>
            </w:tc>
            <w:tc>
              <w:tcPr>
                <w:tcW w:w="1382" w:type="pct"/>
                <w:tcBorders>
                  <w:top w:val="single" w:sz="4" w:space="0" w:color="auto"/>
                  <w:left w:val="single" w:sz="4" w:space="0" w:color="auto"/>
                  <w:bottom w:val="single" w:sz="4" w:space="0" w:color="auto"/>
                  <w:right w:val="single" w:sz="4" w:space="0" w:color="auto"/>
                </w:tcBorders>
                <w:shd w:val="clear" w:color="auto" w:fill="auto"/>
              </w:tcPr>
              <w:p w:rsidR="00C209F3" w:rsidRDefault="00C209F3">
                <w:pPr>
                  <w:jc w:val="right"/>
                  <w:rPr>
                    <w:rFonts w:cs="Cambria"/>
                  </w:rPr>
                </w:pPr>
                <w:r w:rsidRPr="00C209F3">
                  <w:rPr>
                    <w:rFonts w:cs="Cambria"/>
                  </w:rPr>
                  <w:t>20,049,804</w:t>
                </w:r>
              </w:p>
            </w:tc>
          </w:tr>
          <w:bookmarkEnd w:id="221"/>
        </w:tbl>
        <w:p w:rsidR="00C209F3" w:rsidRDefault="00C209F3"/>
        <w:p w:rsidR="00ED2DC7" w:rsidRDefault="000D0A99" w:rsidP="00C209F3">
          <w:pPr>
            <w:rPr>
              <w:szCs w:val="21"/>
            </w:rPr>
          </w:pPr>
        </w:p>
      </w:sdtContent>
    </w:sdt>
    <w:sdt>
      <w:sdtPr>
        <w:rPr>
          <w:rFonts w:ascii="宋体" w:hAnsi="宋体" w:cs="宋体" w:hint="eastAsia"/>
          <w:b w:val="0"/>
          <w:bCs w:val="0"/>
          <w:kern w:val="0"/>
          <w:szCs w:val="24"/>
        </w:rPr>
        <w:alias w:val="模块:其他关联交易"/>
        <w:tag w:val="_GBC_45e2e59b0d6145b48f7cfd576edaa9e6"/>
        <w:id w:val="-252210725"/>
        <w:lock w:val="sdtLocked"/>
        <w:placeholder>
          <w:docPart w:val="GBC22222222222222222222222222222"/>
        </w:placeholder>
      </w:sdtPr>
      <w:sdtEndPr>
        <w:rPr>
          <w:rFonts w:asciiTheme="minorHAnsi" w:eastAsiaTheme="minorEastAsia" w:hAnsiTheme="minorHAnsi" w:cstheme="minorBidi" w:hint="default"/>
          <w:szCs w:val="21"/>
        </w:rPr>
      </w:sdtEndPr>
      <w:sdtContent>
        <w:p w:rsidR="00ED2DC7" w:rsidRDefault="00ED2DC7" w:rsidP="00036BDC">
          <w:pPr>
            <w:pStyle w:val="affffffffffffffffff2"/>
            <w:numPr>
              <w:ilvl w:val="0"/>
              <w:numId w:val="89"/>
            </w:numPr>
            <w:tabs>
              <w:tab w:val="left" w:pos="616"/>
            </w:tabs>
          </w:pPr>
          <w:r>
            <w:rPr>
              <w:rFonts w:hint="eastAsia"/>
            </w:rPr>
            <w:t>其他关联交易</w:t>
          </w:r>
        </w:p>
        <w:sdt>
          <w:sdtPr>
            <w:alias w:val="是否适用：其他关联交易[双击切换]"/>
            <w:tag w:val="_GBC_9768a300838a499089a7b814ff3d817d"/>
            <w:id w:val="1458451935"/>
            <w:lock w:val="sdtContentLocked"/>
            <w:placeholder>
              <w:docPart w:val="GBC22222222222222222222222222222"/>
            </w:placeholder>
          </w:sdtPr>
          <w:sdtContent>
            <w:p w:rsidR="00ED2DC7" w:rsidRDefault="00ED2DC7" w:rsidP="00687F61">
              <w:pPr>
                <w:rPr>
                  <w:szCs w:val="21"/>
                </w:rPr>
              </w:pPr>
              <w:r>
                <w:fldChar w:fldCharType="begin"/>
              </w:r>
              <w:r w:rsidR="00687F61">
                <w:instrText xml:space="preserve"> MACROBUTTON  SnrToggleCheckbox □适用 </w:instrText>
              </w:r>
              <w:r>
                <w:fldChar w:fldCharType="end"/>
              </w:r>
              <w:r>
                <w:fldChar w:fldCharType="begin"/>
              </w:r>
              <w:r w:rsidR="00687F61">
                <w:instrText xml:space="preserve"> MACROBUTTON  SnrToggleCheckbox √不适用 </w:instrText>
              </w:r>
              <w:r>
                <w:fldChar w:fldCharType="end"/>
              </w:r>
            </w:p>
          </w:sdtContent>
        </w:sdt>
      </w:sdtContent>
    </w:sdt>
    <w:p w:rsidR="00ED2DC7" w:rsidRDefault="00ED2DC7">
      <w:pPr>
        <w:rPr>
          <w:szCs w:val="21"/>
        </w:rPr>
      </w:pPr>
    </w:p>
    <w:p w:rsidR="00ED2DC7" w:rsidRDefault="00ED2DC7" w:rsidP="00036BDC">
      <w:pPr>
        <w:pStyle w:val="affffffffffffffffff1"/>
        <w:numPr>
          <w:ilvl w:val="0"/>
          <w:numId w:val="88"/>
        </w:numPr>
        <w:rPr>
          <w:rFonts w:ascii="宋体" w:hAnsi="宋体" w:cs="Arial"/>
          <w:szCs w:val="21"/>
        </w:rPr>
      </w:pPr>
      <w:r>
        <w:rPr>
          <w:rFonts w:ascii="宋体" w:hAnsi="宋体" w:cs="Arial" w:hint="eastAsia"/>
          <w:szCs w:val="21"/>
        </w:rPr>
        <w:t>关联方应收应付款项</w:t>
      </w:r>
    </w:p>
    <w:sdt>
      <w:sdtPr>
        <w:rPr>
          <w:rFonts w:ascii="宋体" w:hAnsi="宋体" w:cs="Arial" w:hint="eastAsia"/>
          <w:b w:val="0"/>
          <w:bCs w:val="0"/>
          <w:kern w:val="0"/>
          <w:szCs w:val="21"/>
        </w:rPr>
        <w:alias w:val="模块:上市公司应收关联方款项"/>
        <w:tag w:val="_GBC_a8ddb53cf3424889a48a1749b5a1d910"/>
        <w:id w:val="341668268"/>
        <w:lock w:val="sdtLocked"/>
        <w:placeholder>
          <w:docPart w:val="GBC22222222222222222222222222222"/>
        </w:placeholder>
      </w:sdtPr>
      <w:sdtEndPr>
        <w:rPr>
          <w:rFonts w:ascii="仿宋_GB2312" w:eastAsia="仿宋_GB2312" w:hAnsiTheme="minorHAnsi" w:cstheme="minorBidi"/>
        </w:rPr>
      </w:sdtEndPr>
      <w:sdtContent>
        <w:p w:rsidR="00ED2DC7" w:rsidRDefault="00ED2DC7" w:rsidP="00036BDC">
          <w:pPr>
            <w:pStyle w:val="affffffffffffffffff2"/>
            <w:numPr>
              <w:ilvl w:val="0"/>
              <w:numId w:val="90"/>
            </w:numPr>
            <w:tabs>
              <w:tab w:val="left" w:pos="616"/>
            </w:tabs>
          </w:pPr>
          <w:r>
            <w:rPr>
              <w:rFonts w:hint="eastAsia"/>
            </w:rPr>
            <w:t>应收项目</w:t>
          </w:r>
        </w:p>
        <w:sdt>
          <w:sdtPr>
            <w:alias w:val="是否适用：应收项目[双击切换]"/>
            <w:tag w:val="_GBC_e5475e28b21641f6895ac4770b2631b5"/>
            <w:id w:val="-658541070"/>
            <w:lock w:val="sdtContentLocked"/>
            <w:placeholder>
              <w:docPart w:val="GBC22222222222222222222222222222"/>
            </w:placeholder>
          </w:sdtPr>
          <w:sdtContent>
            <w:p w:rsidR="00ED2DC7" w:rsidRDefault="00ED2DC7" w:rsidP="00C209F3">
              <w:pPr>
                <w:rPr>
                  <w:rFonts w:ascii="仿宋_GB2312" w:eastAsia="仿宋_GB2312"/>
                  <w:szCs w:val="21"/>
                </w:rPr>
              </w:pPr>
              <w:r>
                <w:fldChar w:fldCharType="begin"/>
              </w:r>
              <w:r w:rsidR="00C209F3">
                <w:instrText xml:space="preserve"> MACROBUTTON  SnrToggleCheckbox □适用 </w:instrText>
              </w:r>
              <w:r>
                <w:fldChar w:fldCharType="end"/>
              </w:r>
              <w:r>
                <w:fldChar w:fldCharType="begin"/>
              </w:r>
              <w:r w:rsidR="00C209F3">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上市公司应付关联方款项"/>
        <w:tag w:val="_GBC_e7a5511f50dd4f05a897cdfaeac4023f"/>
        <w:id w:val="-671021046"/>
        <w:lock w:val="sdtLocked"/>
        <w:placeholder>
          <w:docPart w:val="GBC22222222222222222222222222222"/>
        </w:placeholder>
      </w:sdtPr>
      <w:sdtEndPr>
        <w:rPr>
          <w:rFonts w:ascii="仿宋_GB2312" w:eastAsia="仿宋_GB2312" w:hAnsiTheme="minorHAnsi" w:cstheme="minorBidi"/>
          <w:szCs w:val="21"/>
        </w:rPr>
      </w:sdtEndPr>
      <w:sdtContent>
        <w:p w:rsidR="00ED2DC7" w:rsidRDefault="00ED2DC7" w:rsidP="00036BDC">
          <w:pPr>
            <w:pStyle w:val="affffffffffffffffff2"/>
            <w:numPr>
              <w:ilvl w:val="0"/>
              <w:numId w:val="90"/>
            </w:numPr>
            <w:tabs>
              <w:tab w:val="left" w:pos="616"/>
            </w:tabs>
          </w:pPr>
          <w:r>
            <w:rPr>
              <w:rFonts w:hint="eastAsia"/>
            </w:rPr>
            <w:t>应付项目</w:t>
          </w:r>
        </w:p>
        <w:p w:rsidR="00ED2DC7" w:rsidRDefault="000D0A99" w:rsidP="00C209F3">
          <w:pPr>
            <w:rPr>
              <w:rFonts w:ascii="仿宋_GB2312" w:eastAsia="仿宋_GB2312"/>
              <w:szCs w:val="21"/>
            </w:rPr>
          </w:pPr>
          <w:sdt>
            <w:sdtPr>
              <w:rPr>
                <w:rFonts w:hint="eastAsia"/>
                <w:szCs w:val="21"/>
              </w:rPr>
              <w:alias w:val="是否适用：应付项目[双击切换]"/>
              <w:tag w:val="_GBC_9dbefb51b716471b878d2e2863524a53"/>
              <w:id w:val="734750792"/>
              <w:lock w:val="sdtContentLocked"/>
              <w:placeholder>
                <w:docPart w:val="GBC22222222222222222222222222222"/>
              </w:placeholder>
            </w:sdtPr>
            <w:sdtContent>
              <w:r w:rsidR="00ED2DC7">
                <w:rPr>
                  <w:szCs w:val="21"/>
                </w:rPr>
                <w:fldChar w:fldCharType="begin"/>
              </w:r>
              <w:r w:rsidR="00C209F3">
                <w:rPr>
                  <w:szCs w:val="21"/>
                </w:rPr>
                <w:instrText xml:space="preserve"> MACROBUTTON  SnrToggleCheckbox □适用 </w:instrText>
              </w:r>
              <w:r w:rsidR="00ED2DC7">
                <w:rPr>
                  <w:szCs w:val="21"/>
                </w:rPr>
                <w:fldChar w:fldCharType="end"/>
              </w:r>
              <w:r w:rsidR="00ED2DC7">
                <w:rPr>
                  <w:szCs w:val="21"/>
                </w:rPr>
                <w:fldChar w:fldCharType="begin"/>
              </w:r>
              <w:r w:rsidR="00C209F3">
                <w:rPr>
                  <w:szCs w:val="21"/>
                </w:rPr>
                <w:instrText xml:space="preserve"> MACROBUTTON  SnrToggleCheckbox √不适用 </w:instrText>
              </w:r>
              <w:r w:rsidR="00ED2DC7">
                <w:rPr>
                  <w:szCs w:val="21"/>
                </w:rPr>
                <w:fldChar w:fldCharType="end"/>
              </w:r>
            </w:sdtContent>
          </w:sdt>
        </w:p>
      </w:sdtContent>
    </w:sdt>
    <w:sdt>
      <w:sdtPr>
        <w:rPr>
          <w:rFonts w:ascii="宋体" w:hAnsi="宋体" w:cs="宋体" w:hint="eastAsia"/>
          <w:b w:val="0"/>
          <w:bCs w:val="0"/>
          <w:kern w:val="0"/>
          <w:szCs w:val="24"/>
        </w:rPr>
        <w:alias w:val="模块:关联方承诺"/>
        <w:tag w:val="_GBC_945a5f0033de4c9786bb7245eedc88e3"/>
        <w:id w:val="376363054"/>
        <w:lock w:val="sdtLocked"/>
        <w:placeholder>
          <w:docPart w:val="GBC22222222222222222222222222222"/>
        </w:placeholder>
      </w:sdtPr>
      <w:sdtEndPr>
        <w:rPr>
          <w:rFonts w:ascii="Cambria" w:eastAsiaTheme="minorEastAsia" w:hAnsi="Cambria" w:cs="Cambria"/>
          <w:sz w:val="20"/>
          <w:szCs w:val="20"/>
        </w:rPr>
      </w:sdtEndPr>
      <w:sdtContent>
        <w:p w:rsidR="00ED2DC7" w:rsidRDefault="00ED2DC7" w:rsidP="00036BDC">
          <w:pPr>
            <w:pStyle w:val="affffffffffffffffff1"/>
            <w:numPr>
              <w:ilvl w:val="0"/>
              <w:numId w:val="88"/>
            </w:numPr>
            <w:rPr>
              <w:rFonts w:ascii="宋体" w:hAnsi="宋体" w:cs="Arial"/>
              <w:szCs w:val="21"/>
            </w:rPr>
          </w:pPr>
          <w:r>
            <w:rPr>
              <w:rFonts w:hint="eastAsia"/>
            </w:rPr>
            <w:t>关联方</w:t>
          </w:r>
          <w:r>
            <w:rPr>
              <w:rFonts w:ascii="宋体" w:hAnsi="宋体" w:cs="Arial" w:hint="eastAsia"/>
              <w:szCs w:val="21"/>
            </w:rPr>
            <w:t>承诺</w:t>
          </w:r>
        </w:p>
        <w:sdt>
          <w:sdtPr>
            <w:alias w:val="是否适用：关联方承诺[双击切换]"/>
            <w:tag w:val="_GBC_b906cacab2e94825966fa70e345656b5"/>
            <w:id w:val="-1379470790"/>
            <w:lock w:val="sdtContentLocked"/>
            <w:placeholder>
              <w:docPart w:val="GBC22222222222222222222222222222"/>
            </w:placeholder>
          </w:sdtPr>
          <w:sdtContent>
            <w:p w:rsidR="00ED2DC7" w:rsidRDefault="00ED2DC7" w:rsidP="00426920">
              <w:pPr>
                <w:rPr>
                  <w:szCs w:val="21"/>
                </w:rPr>
              </w:pPr>
              <w:r>
                <w:fldChar w:fldCharType="begin"/>
              </w:r>
              <w:r w:rsidR="00426920">
                <w:instrText xml:space="preserve"> MACROBUTTON  SnrToggleCheckbox □适用 </w:instrText>
              </w:r>
              <w:r>
                <w:fldChar w:fldCharType="end"/>
              </w:r>
              <w:r>
                <w:fldChar w:fldCharType="begin"/>
              </w:r>
              <w:r w:rsidR="00426920">
                <w:instrText xml:space="preserve"> MACROBUTTON  SnrToggleCheckbox √不适用 </w:instrText>
              </w:r>
              <w:r>
                <w:fldChar w:fldCharType="end"/>
              </w:r>
            </w:p>
          </w:sdtContent>
        </w:sdt>
        <w:p w:rsidR="00ED2DC7" w:rsidRDefault="000D0A99">
          <w:pPr>
            <w:tabs>
              <w:tab w:val="left" w:pos="1134"/>
            </w:tabs>
            <w:rPr>
              <w:rFonts w:ascii="Cambria" w:eastAsiaTheme="minorEastAsia" w:hAnsi="Cambria" w:cs="Cambria"/>
              <w:sz w:val="20"/>
              <w:szCs w:val="20"/>
            </w:rPr>
          </w:pPr>
        </w:p>
      </w:sdtContent>
    </w:sdt>
    <w:sdt>
      <w:sdtPr>
        <w:rPr>
          <w:rFonts w:ascii="宋体" w:hAnsi="宋体" w:cs="Arial" w:hint="eastAsia"/>
          <w:b w:val="0"/>
          <w:bCs w:val="0"/>
          <w:kern w:val="0"/>
          <w:szCs w:val="21"/>
        </w:rPr>
        <w:alias w:val="模块:关联方及关联情况的其他说明"/>
        <w:tag w:val="_GBC_f467d909644e4ab6b08e0abfbea78eb8"/>
        <w:id w:val="951823874"/>
        <w:lock w:val="sdtLocked"/>
        <w:placeholder>
          <w:docPart w:val="GBC22222222222222222222222222222"/>
        </w:placeholder>
      </w:sdtPr>
      <w:sdtEndPr>
        <w:rPr>
          <w:rFonts w:ascii="Cambria" w:eastAsiaTheme="minorEastAsia" w:hAnsi="Cambria" w:cs="Cambria"/>
          <w:sz w:val="20"/>
          <w:szCs w:val="20"/>
        </w:rPr>
      </w:sdtEndPr>
      <w:sdtContent>
        <w:p w:rsidR="00ED2DC7" w:rsidRDefault="00ED2DC7" w:rsidP="00036BDC">
          <w:pPr>
            <w:pStyle w:val="affffffffffffffffff1"/>
            <w:numPr>
              <w:ilvl w:val="0"/>
              <w:numId w:val="88"/>
            </w:numPr>
            <w:rPr>
              <w:rFonts w:ascii="宋体" w:hAnsi="宋体" w:cs="Arial"/>
              <w:szCs w:val="21"/>
            </w:rPr>
          </w:pPr>
          <w:r>
            <w:rPr>
              <w:rFonts w:ascii="宋体" w:hAnsi="宋体" w:cs="Arial" w:hint="eastAsia"/>
              <w:szCs w:val="21"/>
            </w:rPr>
            <w:t>其他</w:t>
          </w:r>
        </w:p>
        <w:sdt>
          <w:sdtPr>
            <w:alias w:val="是否适用：关联方及关联情况的其他说明[双击切换]"/>
            <w:tag w:val="_GBC_87161343db8b4a0b9e041c62c0df5e87"/>
            <w:id w:val="-280878877"/>
            <w:lock w:val="sdtContentLocked"/>
            <w:placeholder>
              <w:docPart w:val="GBC22222222222222222222222222222"/>
            </w:placeholder>
          </w:sdtPr>
          <w:sdtContent>
            <w:p w:rsidR="00B637B2" w:rsidRDefault="00ED2DC7" w:rsidP="00426920">
              <w:r>
                <w:fldChar w:fldCharType="begin"/>
              </w:r>
              <w:r w:rsidR="008F04CF">
                <w:instrText xml:space="preserve"> MACROBUTTON  SnrToggleCheckbox √适用 </w:instrText>
              </w:r>
              <w:r>
                <w:fldChar w:fldCharType="end"/>
              </w:r>
              <w:r>
                <w:fldChar w:fldCharType="begin"/>
              </w:r>
              <w:r w:rsidR="008F04CF">
                <w:instrText xml:space="preserve"> MACROBUTTON  SnrToggleCheckbox □不适用 </w:instrText>
              </w:r>
              <w:r>
                <w:fldChar w:fldCharType="end"/>
              </w:r>
            </w:p>
          </w:sdtContent>
        </w:sdt>
        <w:sdt>
          <w:sdtPr>
            <w:rPr>
              <w:rFonts w:ascii="Cambria" w:hAnsi="Cambria" w:cs="Cambria"/>
              <w:b/>
              <w:sz w:val="20"/>
              <w:szCs w:val="20"/>
            </w:rPr>
            <w:alias w:val="关联方及关联情况的其他说明"/>
            <w:tag w:val="_GBC_6845e44cf1734e368534cfc0fc2ba9a1"/>
            <w:id w:val="-534499592"/>
            <w:lock w:val="sdtLocked"/>
          </w:sdtPr>
          <w:sdtEndPr>
            <w:rPr>
              <w:rFonts w:ascii="宋体" w:hAnsi="宋体"/>
              <w:b w:val="0"/>
            </w:rPr>
          </w:sdtEndPr>
          <w:sdtContent>
            <w:p w:rsidR="00B637B2" w:rsidRPr="00A63CDC" w:rsidRDefault="008F04CF" w:rsidP="00B637B2">
              <w:pPr>
                <w:tabs>
                  <w:tab w:val="left" w:pos="1134"/>
                </w:tabs>
                <w:rPr>
                  <w:rFonts w:ascii="Cambria" w:hAnsi="Cambria" w:cs="Cambria"/>
                  <w:sz w:val="20"/>
                  <w:szCs w:val="20"/>
                </w:rPr>
              </w:pPr>
              <w:r w:rsidRPr="00A63CDC">
                <w:rPr>
                  <w:rFonts w:ascii="Cambria" w:hAnsi="Cambria" w:cs="Cambria" w:hint="eastAsia"/>
                  <w:sz w:val="20"/>
                  <w:szCs w:val="20"/>
                </w:rPr>
                <w:t>应收及应付关联方款项均不计利息、无抵押、且无固定还款期。</w:t>
              </w:r>
            </w:p>
            <w:p w:rsidR="00B637B2" w:rsidRPr="00A63CDC" w:rsidRDefault="00B637B2" w:rsidP="00B637B2">
              <w:pPr>
                <w:tabs>
                  <w:tab w:val="left" w:pos="1134"/>
                </w:tabs>
                <w:rPr>
                  <w:rFonts w:ascii="Cambria" w:hAnsi="Cambria" w:cs="Cambria"/>
                  <w:sz w:val="20"/>
                  <w:szCs w:val="20"/>
                </w:rPr>
              </w:pPr>
            </w:p>
            <w:p w:rsidR="00B637B2" w:rsidRDefault="008F04CF" w:rsidP="00B637B2">
              <w:pPr>
                <w:tabs>
                  <w:tab w:val="left" w:pos="1134"/>
                </w:tabs>
                <w:rPr>
                  <w:rFonts w:ascii="Cambria" w:hAnsi="Cambria" w:cs="Cambria"/>
                  <w:sz w:val="20"/>
                  <w:szCs w:val="20"/>
                </w:rPr>
              </w:pPr>
              <w:r w:rsidRPr="00A63CDC">
                <w:rPr>
                  <w:rFonts w:ascii="Cambria" w:hAnsi="Cambria" w:cs="Cambria" w:hint="eastAsia"/>
                  <w:sz w:val="20"/>
                  <w:szCs w:val="20"/>
                </w:rPr>
                <w:t>于</w:t>
              </w:r>
              <w:r w:rsidRPr="00A63CDC">
                <w:rPr>
                  <w:rFonts w:ascii="Cambria" w:hAnsi="Cambria" w:cs="Cambria"/>
                  <w:sz w:val="20"/>
                  <w:szCs w:val="20"/>
                </w:rPr>
                <w:t>2019</w:t>
              </w:r>
              <w:r w:rsidRPr="00A63CDC">
                <w:rPr>
                  <w:rFonts w:ascii="Cambria" w:hAnsi="Cambria" w:cs="Cambria"/>
                  <w:sz w:val="20"/>
                  <w:szCs w:val="20"/>
                </w:rPr>
                <w:t>年</w:t>
              </w:r>
              <w:r w:rsidRPr="00A63CDC">
                <w:rPr>
                  <w:rFonts w:ascii="Cambria" w:hAnsi="Cambria" w:cs="Cambria"/>
                  <w:sz w:val="20"/>
                  <w:szCs w:val="20"/>
                </w:rPr>
                <w:t>6</w:t>
              </w:r>
              <w:r w:rsidRPr="00A63CDC">
                <w:rPr>
                  <w:rFonts w:ascii="Cambria" w:hAnsi="Cambria" w:cs="Cambria"/>
                  <w:sz w:val="20"/>
                  <w:szCs w:val="20"/>
                </w:rPr>
                <w:t>月</w:t>
              </w:r>
              <w:r w:rsidRPr="00A63CDC">
                <w:rPr>
                  <w:rFonts w:ascii="Cambria" w:hAnsi="Cambria" w:cs="Cambria"/>
                  <w:sz w:val="20"/>
                  <w:szCs w:val="20"/>
                </w:rPr>
                <w:t>30</w:t>
              </w:r>
              <w:r w:rsidRPr="00A63CDC">
                <w:rPr>
                  <w:rFonts w:ascii="Cambria" w:hAnsi="Cambria" w:cs="Cambria"/>
                  <w:sz w:val="20"/>
                  <w:szCs w:val="20"/>
                </w:rPr>
                <w:t>日，本集团无其他重大关联方往来款余额。</w:t>
              </w:r>
            </w:p>
            <w:p w:rsidR="00B637B2" w:rsidRDefault="00B637B2" w:rsidP="00B637B2">
              <w:pPr>
                <w:tabs>
                  <w:tab w:val="left" w:pos="1134"/>
                </w:tabs>
                <w:rPr>
                  <w:rFonts w:ascii="Cambria" w:hAnsi="Cambria" w:cs="Cambria"/>
                  <w:sz w:val="20"/>
                  <w:szCs w:val="20"/>
                </w:rPr>
              </w:pPr>
            </w:p>
            <w:p w:rsidR="00B637B2" w:rsidRPr="00A63CDC" w:rsidRDefault="008F04CF" w:rsidP="00B637B2">
              <w:pPr>
                <w:pStyle w:val="affffffffffffffffffffff5"/>
                <w:outlineLvl w:val="9"/>
                <w:rPr>
                  <w:rFonts w:ascii="宋体" w:eastAsia="宋体" w:hAnsi="宋体"/>
                  <w:sz w:val="20"/>
                  <w:szCs w:val="20"/>
                </w:rPr>
              </w:pPr>
              <w:r w:rsidRPr="00A63CDC">
                <w:rPr>
                  <w:rFonts w:ascii="宋体" w:eastAsia="宋体" w:hAnsi="宋体" w:hint="eastAsia"/>
                  <w:sz w:val="20"/>
                  <w:szCs w:val="20"/>
                </w:rPr>
                <w:t>存放关联方的货币资金</w:t>
              </w:r>
            </w:p>
            <w:p w:rsidR="00B637B2" w:rsidRPr="00A63CDC" w:rsidRDefault="00B637B2" w:rsidP="00B637B2">
              <w:pPr>
                <w:pageBreakBefore/>
                <w:overflowPunct w:val="0"/>
                <w:autoSpaceDE w:val="0"/>
                <w:autoSpaceDN w:val="0"/>
                <w:adjustRightInd w:val="0"/>
                <w:snapToGrid w:val="0"/>
                <w:jc w:val="both"/>
                <w:textAlignment w:val="bottom"/>
                <w:rPr>
                  <w:rFonts w:cs="Arial"/>
                  <w:snapToGrid w:val="0"/>
                  <w:sz w:val="20"/>
                  <w:szCs w:val="20"/>
                </w:rPr>
              </w:pPr>
            </w:p>
            <w:tbl>
              <w:tblPr>
                <w:tblStyle w:val="g35"/>
                <w:tblW w:w="0" w:type="dxa"/>
                <w:tblLayout w:type="fixed"/>
                <w:tblLook w:val="04A0" w:firstRow="1" w:lastRow="0" w:firstColumn="1" w:lastColumn="0" w:noHBand="0" w:noVBand="1"/>
              </w:tblPr>
              <w:tblGrid>
                <w:gridCol w:w="3574"/>
                <w:gridCol w:w="2405"/>
                <w:gridCol w:w="2385"/>
              </w:tblGrid>
              <w:tr w:rsidR="00B637B2" w:rsidRPr="00A63CDC" w:rsidTr="00B637B2">
                <w:trPr>
                  <w:cantSplit/>
                  <w:trHeight w:val="213"/>
                </w:trPr>
                <w:tc>
                  <w:tcPr>
                    <w:tcW w:w="3574" w:type="dxa"/>
                  </w:tcPr>
                  <w:p w:rsidR="00B637B2" w:rsidRPr="00A63CDC" w:rsidRDefault="00B637B2">
                    <w:pPr>
                      <w:spacing w:line="220" w:lineRule="exact"/>
                      <w:ind w:left="-78" w:right="-98" w:hanging="379"/>
                      <w:rPr>
                        <w:rFonts w:cs="Arial"/>
                        <w:sz w:val="20"/>
                        <w:szCs w:val="20"/>
                      </w:rPr>
                    </w:pPr>
                  </w:p>
                </w:tc>
                <w:tc>
                  <w:tcPr>
                    <w:tcW w:w="2405" w:type="dxa"/>
                    <w:hideMark/>
                  </w:tcPr>
                  <w:p w:rsidR="00B637B2" w:rsidRPr="00A63CDC" w:rsidRDefault="008F04CF">
                    <w:pPr>
                      <w:spacing w:line="220" w:lineRule="exact"/>
                      <w:ind w:left="159" w:right="-98" w:hanging="187"/>
                      <w:jc w:val="right"/>
                      <w:rPr>
                        <w:rFonts w:cs="Arial"/>
                        <w:sz w:val="20"/>
                        <w:szCs w:val="20"/>
                      </w:rPr>
                    </w:pPr>
                    <w:r w:rsidRPr="00A63CDC">
                      <w:rPr>
                        <w:rFonts w:cs="Arial"/>
                        <w:sz w:val="20"/>
                        <w:szCs w:val="20"/>
                      </w:rPr>
                      <w:t>2019</w:t>
                    </w:r>
                    <w:r w:rsidRPr="00A63CDC">
                      <w:rPr>
                        <w:rFonts w:cs="Arial" w:hint="eastAsia"/>
                        <w:sz w:val="20"/>
                        <w:szCs w:val="20"/>
                      </w:rPr>
                      <w:t>年</w:t>
                    </w:r>
                    <w:r w:rsidRPr="00A63CDC">
                      <w:rPr>
                        <w:rFonts w:cs="Arial"/>
                        <w:sz w:val="20"/>
                        <w:szCs w:val="20"/>
                      </w:rPr>
                      <w:t>6</w:t>
                    </w:r>
                    <w:r w:rsidRPr="00A63CDC">
                      <w:rPr>
                        <w:rFonts w:cs="Arial" w:hint="eastAsia"/>
                        <w:sz w:val="20"/>
                        <w:szCs w:val="20"/>
                      </w:rPr>
                      <w:t>月</w:t>
                    </w:r>
                    <w:r w:rsidRPr="00A63CDC">
                      <w:rPr>
                        <w:rFonts w:cs="Arial"/>
                        <w:sz w:val="20"/>
                        <w:szCs w:val="20"/>
                      </w:rPr>
                      <w:t>30</w:t>
                    </w:r>
                    <w:r w:rsidRPr="00A63CDC">
                      <w:rPr>
                        <w:rFonts w:cs="Arial" w:hint="eastAsia"/>
                        <w:sz w:val="20"/>
                        <w:szCs w:val="20"/>
                      </w:rPr>
                      <w:t>日</w:t>
                    </w:r>
                  </w:p>
                </w:tc>
                <w:tc>
                  <w:tcPr>
                    <w:tcW w:w="2385" w:type="dxa"/>
                    <w:hideMark/>
                  </w:tcPr>
                  <w:p w:rsidR="00B637B2" w:rsidRPr="00A63CDC" w:rsidRDefault="008F04CF">
                    <w:pPr>
                      <w:spacing w:line="220" w:lineRule="exact"/>
                      <w:ind w:left="159" w:right="-98" w:hanging="187"/>
                      <w:jc w:val="right"/>
                      <w:rPr>
                        <w:rFonts w:cs="Arial"/>
                        <w:sz w:val="20"/>
                        <w:szCs w:val="20"/>
                      </w:rPr>
                    </w:pPr>
                    <w:r w:rsidRPr="00A63CDC">
                      <w:rPr>
                        <w:rFonts w:cs="Arial"/>
                        <w:sz w:val="20"/>
                        <w:szCs w:val="20"/>
                      </w:rPr>
                      <w:t>2018</w:t>
                    </w:r>
                    <w:r w:rsidRPr="00A63CDC">
                      <w:rPr>
                        <w:rFonts w:cs="Arial" w:hint="eastAsia"/>
                        <w:sz w:val="20"/>
                        <w:szCs w:val="20"/>
                      </w:rPr>
                      <w:t>年</w:t>
                    </w:r>
                    <w:r w:rsidRPr="00A63CDC">
                      <w:rPr>
                        <w:rFonts w:cs="Arial"/>
                        <w:sz w:val="20"/>
                        <w:szCs w:val="20"/>
                      </w:rPr>
                      <w:t>12</w:t>
                    </w:r>
                    <w:r w:rsidRPr="00A63CDC">
                      <w:rPr>
                        <w:rFonts w:cs="Arial" w:hint="eastAsia"/>
                        <w:sz w:val="20"/>
                        <w:szCs w:val="20"/>
                      </w:rPr>
                      <w:t>月</w:t>
                    </w:r>
                    <w:r w:rsidRPr="00A63CDC">
                      <w:rPr>
                        <w:rFonts w:cs="Arial"/>
                        <w:sz w:val="20"/>
                        <w:szCs w:val="20"/>
                      </w:rPr>
                      <w:t>31</w:t>
                    </w:r>
                    <w:r w:rsidRPr="00A63CDC">
                      <w:rPr>
                        <w:rFonts w:cs="Arial" w:hint="eastAsia"/>
                        <w:sz w:val="20"/>
                        <w:szCs w:val="20"/>
                      </w:rPr>
                      <w:t>日</w:t>
                    </w:r>
                  </w:p>
                </w:tc>
              </w:tr>
              <w:tr w:rsidR="00B637B2" w:rsidRPr="00A63CDC" w:rsidTr="00B637B2">
                <w:trPr>
                  <w:cantSplit/>
                  <w:trHeight w:val="228"/>
                </w:trPr>
                <w:tc>
                  <w:tcPr>
                    <w:tcW w:w="3574" w:type="dxa"/>
                  </w:tcPr>
                  <w:p w:rsidR="00B637B2" w:rsidRPr="00A63CDC" w:rsidRDefault="00B637B2">
                    <w:pPr>
                      <w:spacing w:line="220" w:lineRule="exact"/>
                      <w:ind w:left="159" w:right="-98" w:hanging="187"/>
                      <w:rPr>
                        <w:rFonts w:cs="Arial"/>
                        <w:sz w:val="20"/>
                        <w:szCs w:val="20"/>
                      </w:rPr>
                    </w:pPr>
                  </w:p>
                </w:tc>
                <w:tc>
                  <w:tcPr>
                    <w:tcW w:w="2405" w:type="dxa"/>
                  </w:tcPr>
                  <w:p w:rsidR="00B637B2" w:rsidRPr="00A63CDC" w:rsidRDefault="00B637B2">
                    <w:pPr>
                      <w:spacing w:line="220" w:lineRule="exact"/>
                      <w:ind w:left="159" w:right="-98" w:hanging="187"/>
                      <w:jc w:val="right"/>
                      <w:rPr>
                        <w:rFonts w:cs="Arial"/>
                        <w:sz w:val="20"/>
                        <w:szCs w:val="20"/>
                      </w:rPr>
                    </w:pPr>
                  </w:p>
                </w:tc>
                <w:tc>
                  <w:tcPr>
                    <w:tcW w:w="2385" w:type="dxa"/>
                  </w:tcPr>
                  <w:p w:rsidR="00B637B2" w:rsidRPr="00A63CDC" w:rsidRDefault="00B637B2">
                    <w:pPr>
                      <w:spacing w:line="220" w:lineRule="exact"/>
                      <w:ind w:left="159" w:right="-98" w:hanging="187"/>
                      <w:jc w:val="right"/>
                      <w:rPr>
                        <w:rFonts w:cs="Arial"/>
                        <w:sz w:val="20"/>
                        <w:szCs w:val="20"/>
                      </w:rPr>
                    </w:pPr>
                  </w:p>
                </w:tc>
              </w:tr>
              <w:tr w:rsidR="00B637B2" w:rsidRPr="00A63CDC" w:rsidTr="00B637B2">
                <w:trPr>
                  <w:cantSplit/>
                  <w:trHeight w:val="228"/>
                </w:trPr>
                <w:tc>
                  <w:tcPr>
                    <w:tcW w:w="3574" w:type="dxa"/>
                    <w:hideMark/>
                  </w:tcPr>
                  <w:p w:rsidR="00B637B2" w:rsidRPr="00A63CDC" w:rsidRDefault="008F04CF">
                    <w:pPr>
                      <w:spacing w:line="220" w:lineRule="exact"/>
                      <w:ind w:left="159" w:right="-98" w:hanging="263"/>
                      <w:rPr>
                        <w:rFonts w:cs="Arial"/>
                        <w:b/>
                        <w:sz w:val="20"/>
                        <w:szCs w:val="20"/>
                      </w:rPr>
                    </w:pPr>
                    <w:r w:rsidRPr="00A63CDC">
                      <w:rPr>
                        <w:rFonts w:cs="Arial" w:hint="eastAsia"/>
                        <w:color w:val="000000"/>
                        <w:sz w:val="20"/>
                        <w:szCs w:val="20"/>
                      </w:rPr>
                      <w:t>中关村银行</w:t>
                    </w:r>
                  </w:p>
                </w:tc>
                <w:tc>
                  <w:tcPr>
                    <w:tcW w:w="2405" w:type="dxa"/>
                    <w:hideMark/>
                  </w:tcPr>
                  <w:p w:rsidR="00B637B2" w:rsidRPr="00A63CDC" w:rsidRDefault="008F04CF">
                    <w:pPr>
                      <w:autoSpaceDE w:val="0"/>
                      <w:autoSpaceDN w:val="0"/>
                      <w:spacing w:line="0" w:lineRule="atLeast"/>
                      <w:ind w:right="-106" w:hanging="127"/>
                      <w:jc w:val="right"/>
                      <w:textAlignment w:val="bottom"/>
                      <w:rPr>
                        <w:rFonts w:cs="Arial"/>
                        <w:sz w:val="20"/>
                        <w:szCs w:val="20"/>
                        <w:u w:val="double"/>
                      </w:rPr>
                    </w:pPr>
                    <w:r w:rsidRPr="00A63CDC">
                      <w:rPr>
                        <w:rFonts w:cs="Arial"/>
                        <w:snapToGrid w:val="0"/>
                        <w:sz w:val="20"/>
                        <w:szCs w:val="20"/>
                        <w:u w:val="double"/>
                      </w:rPr>
                      <w:t>214,997,860</w:t>
                    </w:r>
                  </w:p>
                </w:tc>
                <w:tc>
                  <w:tcPr>
                    <w:tcW w:w="2385" w:type="dxa"/>
                    <w:hideMark/>
                  </w:tcPr>
                  <w:p w:rsidR="00B637B2" w:rsidRPr="00A63CDC" w:rsidRDefault="008F04CF">
                    <w:pPr>
                      <w:wordWrap w:val="0"/>
                      <w:autoSpaceDE w:val="0"/>
                      <w:autoSpaceDN w:val="0"/>
                      <w:spacing w:line="0" w:lineRule="atLeast"/>
                      <w:ind w:right="-106" w:hanging="127"/>
                      <w:jc w:val="right"/>
                      <w:textAlignment w:val="bottom"/>
                      <w:rPr>
                        <w:rFonts w:cs="Arial"/>
                        <w:sz w:val="20"/>
                        <w:szCs w:val="20"/>
                        <w:u w:val="double"/>
                      </w:rPr>
                    </w:pPr>
                    <w:r w:rsidRPr="00A63CDC">
                      <w:rPr>
                        <w:rFonts w:cs="Arial"/>
                        <w:snapToGrid w:val="0"/>
                        <w:sz w:val="20"/>
                        <w:szCs w:val="20"/>
                        <w:u w:val="double"/>
                      </w:rPr>
                      <w:t>192,554,438</w:t>
                    </w:r>
                  </w:p>
                </w:tc>
              </w:tr>
            </w:tbl>
            <w:p w:rsidR="00B637B2" w:rsidRPr="00A63CDC" w:rsidRDefault="00B637B2" w:rsidP="00B637B2">
              <w:pPr>
                <w:overflowPunct w:val="0"/>
                <w:autoSpaceDE w:val="0"/>
                <w:autoSpaceDN w:val="0"/>
                <w:adjustRightInd w:val="0"/>
                <w:snapToGrid w:val="0"/>
                <w:ind w:left="1440" w:hanging="720"/>
                <w:jc w:val="both"/>
                <w:textAlignment w:val="bottom"/>
                <w:rPr>
                  <w:rFonts w:cs="Arial"/>
                  <w:snapToGrid w:val="0"/>
                  <w:sz w:val="20"/>
                  <w:szCs w:val="20"/>
                </w:rPr>
              </w:pPr>
            </w:p>
            <w:p w:rsidR="00B637B2" w:rsidRPr="00A63CDC" w:rsidRDefault="008F04CF" w:rsidP="00B637B2">
              <w:pPr>
                <w:tabs>
                  <w:tab w:val="left" w:pos="1134"/>
                </w:tabs>
                <w:rPr>
                  <w:rFonts w:cs="Cambria"/>
                  <w:sz w:val="20"/>
                  <w:szCs w:val="20"/>
                </w:rPr>
              </w:pPr>
              <w:r w:rsidRPr="00A63CDC">
                <w:rPr>
                  <w:rFonts w:cs="Arial"/>
                  <w:snapToGrid w:val="0"/>
                  <w:sz w:val="20"/>
                  <w:szCs w:val="20"/>
                </w:rPr>
                <w:t>2019</w:t>
              </w:r>
              <w:r w:rsidRPr="00A63CDC">
                <w:rPr>
                  <w:rFonts w:cs="Arial" w:hint="eastAsia"/>
                  <w:snapToGrid w:val="0"/>
                  <w:sz w:val="20"/>
                  <w:szCs w:val="20"/>
                </w:rPr>
                <w:t>年</w:t>
              </w:r>
              <w:r w:rsidRPr="00A63CDC">
                <w:rPr>
                  <w:rFonts w:cs="Arial"/>
                  <w:snapToGrid w:val="0"/>
                  <w:sz w:val="20"/>
                  <w:szCs w:val="20"/>
                </w:rPr>
                <w:t>1-6</w:t>
              </w:r>
              <w:r w:rsidRPr="00A63CDC">
                <w:rPr>
                  <w:rFonts w:cs="Arial" w:hint="eastAsia"/>
                  <w:snapToGrid w:val="0"/>
                  <w:sz w:val="20"/>
                  <w:szCs w:val="20"/>
                </w:rPr>
                <w:t>月，上述存款年利率为</w:t>
              </w:r>
              <w:r w:rsidRPr="00A63CDC">
                <w:rPr>
                  <w:rFonts w:cs="Arial"/>
                  <w:snapToGrid w:val="0"/>
                  <w:sz w:val="20"/>
                  <w:szCs w:val="20"/>
                </w:rPr>
                <w:t>0.35%-2.295%</w:t>
              </w:r>
              <w:r w:rsidRPr="00A63CDC">
                <w:rPr>
                  <w:rFonts w:cs="Arial" w:hint="eastAsia"/>
                  <w:snapToGrid w:val="0"/>
                  <w:sz w:val="20"/>
                  <w:szCs w:val="20"/>
                </w:rPr>
                <w:t>。</w:t>
              </w:r>
            </w:p>
            <w:p w:rsidR="00B637B2" w:rsidRPr="00A63CDC" w:rsidRDefault="000D0A99" w:rsidP="00B637B2">
              <w:pPr>
                <w:tabs>
                  <w:tab w:val="left" w:pos="1134"/>
                </w:tabs>
                <w:rPr>
                  <w:rFonts w:cs="Cambria"/>
                  <w:sz w:val="20"/>
                  <w:szCs w:val="20"/>
                </w:rPr>
              </w:pPr>
            </w:p>
          </w:sdtContent>
        </w:sdt>
        <w:p w:rsidR="00ED2DC7" w:rsidRDefault="000D0A99" w:rsidP="00426920">
          <w:pPr>
            <w:rPr>
              <w:rFonts w:ascii="Cambria" w:hAnsi="Cambria" w:cs="Cambria"/>
              <w:b/>
              <w:sz w:val="20"/>
              <w:szCs w:val="20"/>
            </w:rPr>
          </w:pPr>
        </w:p>
      </w:sdtContent>
    </w:sdt>
    <w:p w:rsidR="00ED2DC7" w:rsidRDefault="00ED2DC7" w:rsidP="00036BDC">
      <w:pPr>
        <w:pStyle w:val="affffffffffffffffff0"/>
        <w:numPr>
          <w:ilvl w:val="0"/>
          <w:numId w:val="35"/>
        </w:numPr>
      </w:pPr>
      <w:r>
        <w:rPr>
          <w:rFonts w:hint="eastAsia"/>
        </w:rPr>
        <w:t>股份支付</w:t>
      </w:r>
    </w:p>
    <w:sdt>
      <w:sdtPr>
        <w:rPr>
          <w:rFonts w:ascii="宋体" w:hAnsi="宋体" w:cs="宋体" w:hint="eastAsia"/>
          <w:b w:val="0"/>
          <w:bCs w:val="0"/>
          <w:kern w:val="0"/>
          <w:szCs w:val="24"/>
        </w:rPr>
        <w:alias w:val="模块:股份支付总体情况"/>
        <w:tag w:val="_GBC_07972b1f6b5c4904b730c6b344e432ee"/>
        <w:id w:val="105621870"/>
        <w:lock w:val="sdtLocked"/>
        <w:placeholder>
          <w:docPart w:val="GBC22222222222222222222222222222"/>
        </w:placeholder>
      </w:sdtPr>
      <w:sdtEndPr>
        <w:rPr>
          <w:rFonts w:asciiTheme="minorHAnsi" w:eastAsiaTheme="minorEastAsia" w:hAnsiTheme="minorHAnsi" w:cstheme="minorBidi"/>
          <w:szCs w:val="21"/>
        </w:rPr>
      </w:sdtEndPr>
      <w:sdtContent>
        <w:p w:rsidR="00ED2DC7" w:rsidRPr="00246008" w:rsidRDefault="00ED2DC7" w:rsidP="00036BDC">
          <w:pPr>
            <w:pStyle w:val="affffffffffffffffff1"/>
            <w:numPr>
              <w:ilvl w:val="0"/>
              <w:numId w:val="91"/>
            </w:numPr>
          </w:pPr>
          <w:r w:rsidRPr="00246008">
            <w:rPr>
              <w:rFonts w:hint="eastAsia"/>
            </w:rPr>
            <w:t>股份支付总体情况</w:t>
          </w:r>
        </w:p>
        <w:sdt>
          <w:sdtPr>
            <w:alias w:val="是否适用：股份支付总体情况[双击切换]"/>
            <w:tag w:val="_GBC_7d36569622d040fb870ad46d99420cd2"/>
            <w:id w:val="-207872377"/>
            <w:lock w:val="sdtContentLocked"/>
            <w:placeholder>
              <w:docPart w:val="GBC22222222222222222222222222222"/>
            </w:placeholder>
          </w:sdtPr>
          <w:sdtContent>
            <w:p w:rsidR="00ED2DC7" w:rsidRDefault="00ED2DC7">
              <w:r>
                <w:fldChar w:fldCharType="begin"/>
              </w:r>
              <w:r w:rsidR="00426920">
                <w:instrText xml:space="preserve"> MACROBUTTON  SnrToggleCheckbox √适用 </w:instrText>
              </w:r>
              <w:r>
                <w:fldChar w:fldCharType="end"/>
              </w:r>
              <w:r>
                <w:fldChar w:fldCharType="begin"/>
              </w:r>
              <w:r w:rsidR="00426920">
                <w:instrText xml:space="preserve"> MACROBUTTON  SnrToggleCheckbox □不适用 </w:instrText>
              </w:r>
              <w:r>
                <w:fldChar w:fldCharType="end"/>
              </w:r>
            </w:p>
          </w:sdtContent>
        </w:sdt>
        <w:p w:rsidR="00ED2DC7" w:rsidRDefault="00ED2DC7">
          <w:pPr>
            <w:jc w:val="right"/>
          </w:pPr>
          <w:r>
            <w:rPr>
              <w:rFonts w:hint="eastAsia"/>
              <w:szCs w:val="21"/>
            </w:rPr>
            <w:t>单位：</w:t>
          </w:r>
          <w:sdt>
            <w:sdtPr>
              <w:rPr>
                <w:rFonts w:hint="eastAsia"/>
                <w:szCs w:val="21"/>
              </w:rPr>
              <w:alias w:val="单位：财务附注：股份支付总体情况"/>
              <w:tag w:val="_GBC_f5e2ed83520249e5b48a08b8c1ad1260"/>
              <w:id w:val="2127970873"/>
              <w:lock w:val="sdtLocked"/>
              <w:placeholder>
                <w:docPart w:val="GBC22222222222222222222222222222"/>
              </w:placeholder>
              <w:comboBox>
                <w:listItem w:displayText="股" w:value="股"/>
                <w:listItem w:displayText="份" w:value="份"/>
              </w:comboBox>
            </w:sdtPr>
            <w:sdtContent>
              <w:r w:rsidR="008F04CF">
                <w:rPr>
                  <w:rFonts w:hint="eastAsia"/>
                  <w:szCs w:val="21"/>
                </w:rPr>
                <w:t>股</w:t>
              </w:r>
            </w:sdtContent>
          </w:sdt>
          <w:r>
            <w:rPr>
              <w:rFonts w:hint="eastAsia"/>
              <w:szCs w:val="21"/>
            </w:rPr>
            <w:t xml:space="preserve">  币种：</w:t>
          </w:r>
          <w:sdt>
            <w:sdtPr>
              <w:rPr>
                <w:rFonts w:hint="eastAsia"/>
                <w:szCs w:val="21"/>
              </w:rPr>
              <w:alias w:val="币种：财务附注：股份支付总体情况"/>
              <w:tag w:val="_GBC_d5de89e0bf554dac952f5dd6d6bdab46"/>
              <w:id w:val="-49757395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szCs w:val="21"/>
                </w:rPr>
                <w:t>人民币</w:t>
              </w:r>
            </w:sdtContent>
          </w:sdt>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1"/>
            <w:gridCol w:w="4042"/>
          </w:tblGrid>
          <w:tr w:rsidR="00ED2DC7" w:rsidTr="00FD0291">
            <w:sdt>
              <w:sdtPr>
                <w:tag w:val="_PLD_d7309f1ffdd74e96bbe9117fb0f5e1b9"/>
                <w:id w:val="-1413548801"/>
                <w:lock w:val="sdtLocked"/>
              </w:sdtPr>
              <w:sdtContent>
                <w:tc>
                  <w:tcPr>
                    <w:tcW w:w="2566" w:type="pct"/>
                    <w:tcBorders>
                      <w:top w:val="single" w:sz="4" w:space="0" w:color="auto"/>
                      <w:left w:val="single" w:sz="4" w:space="0" w:color="auto"/>
                      <w:bottom w:val="single" w:sz="4" w:space="0" w:color="auto"/>
                      <w:right w:val="single" w:sz="4" w:space="0" w:color="auto"/>
                    </w:tcBorders>
                  </w:tcPr>
                  <w:p w:rsidR="00ED2DC7" w:rsidRDefault="00ED2DC7">
                    <w:pPr>
                      <w:rPr>
                        <w:szCs w:val="21"/>
                      </w:rPr>
                    </w:pPr>
                    <w:r>
                      <w:rPr>
                        <w:rFonts w:hint="eastAsia"/>
                        <w:szCs w:val="21"/>
                      </w:rPr>
                      <w:t>公司本期授予的各项权益工具总额</w:t>
                    </w:r>
                  </w:p>
                </w:tc>
              </w:sdtContent>
            </w:sdt>
            <w:tc>
              <w:tcPr>
                <w:tcW w:w="2434" w:type="pct"/>
                <w:tcBorders>
                  <w:top w:val="single" w:sz="4" w:space="0" w:color="auto"/>
                  <w:left w:val="single" w:sz="4" w:space="0" w:color="auto"/>
                  <w:bottom w:val="single" w:sz="4" w:space="0" w:color="auto"/>
                  <w:right w:val="single" w:sz="4" w:space="0" w:color="auto"/>
                </w:tcBorders>
              </w:tcPr>
              <w:p w:rsidR="00ED2DC7" w:rsidRDefault="008F04CF">
                <w:pPr>
                  <w:jc w:val="right"/>
                  <w:rPr>
                    <w:szCs w:val="21"/>
                  </w:rPr>
                </w:pPr>
                <w:r>
                  <w:rPr>
                    <w:rFonts w:hint="eastAsia"/>
                    <w:szCs w:val="21"/>
                  </w:rPr>
                  <w:t>-</w:t>
                </w:r>
              </w:p>
            </w:tc>
          </w:tr>
          <w:tr w:rsidR="00ED2DC7" w:rsidTr="00FD0291">
            <w:sdt>
              <w:sdtPr>
                <w:tag w:val="_PLD_146e6da96bc540e7959da2befd0af3ad"/>
                <w:id w:val="953979185"/>
                <w:lock w:val="sdtLocked"/>
              </w:sdtPr>
              <w:sdtContent>
                <w:tc>
                  <w:tcPr>
                    <w:tcW w:w="2566" w:type="pct"/>
                    <w:tcBorders>
                      <w:top w:val="single" w:sz="4" w:space="0" w:color="auto"/>
                      <w:left w:val="single" w:sz="4" w:space="0" w:color="auto"/>
                      <w:bottom w:val="single" w:sz="4" w:space="0" w:color="auto"/>
                      <w:right w:val="single" w:sz="4" w:space="0" w:color="auto"/>
                    </w:tcBorders>
                  </w:tcPr>
                  <w:p w:rsidR="00ED2DC7" w:rsidRDefault="00ED2DC7">
                    <w:pPr>
                      <w:rPr>
                        <w:szCs w:val="21"/>
                      </w:rPr>
                    </w:pPr>
                    <w:r>
                      <w:rPr>
                        <w:rFonts w:hint="eastAsia"/>
                        <w:szCs w:val="21"/>
                      </w:rPr>
                      <w:t>公司本期行权的各项权益工具总额</w:t>
                    </w:r>
                  </w:p>
                </w:tc>
              </w:sdtContent>
            </w:sdt>
            <w:tc>
              <w:tcPr>
                <w:tcW w:w="2434" w:type="pct"/>
                <w:tcBorders>
                  <w:top w:val="single" w:sz="4" w:space="0" w:color="auto"/>
                  <w:left w:val="single" w:sz="4" w:space="0" w:color="auto"/>
                  <w:bottom w:val="single" w:sz="4" w:space="0" w:color="auto"/>
                  <w:right w:val="single" w:sz="4" w:space="0" w:color="auto"/>
                </w:tcBorders>
              </w:tcPr>
              <w:p w:rsidR="00ED2DC7" w:rsidRDefault="008F04CF">
                <w:pPr>
                  <w:jc w:val="right"/>
                  <w:rPr>
                    <w:szCs w:val="21"/>
                  </w:rPr>
                </w:pPr>
                <w:r>
                  <w:rPr>
                    <w:rFonts w:hint="eastAsia"/>
                    <w:szCs w:val="21"/>
                  </w:rPr>
                  <w:t>-</w:t>
                </w:r>
              </w:p>
            </w:tc>
          </w:tr>
          <w:tr w:rsidR="00ED2DC7" w:rsidTr="00FD0291">
            <w:sdt>
              <w:sdtPr>
                <w:tag w:val="_PLD_5d9dbe6a5627408baf489b5f4f8eb99c"/>
                <w:id w:val="1970236293"/>
                <w:lock w:val="sdtLocked"/>
              </w:sdtPr>
              <w:sdtContent>
                <w:tc>
                  <w:tcPr>
                    <w:tcW w:w="2566" w:type="pct"/>
                    <w:tcBorders>
                      <w:top w:val="single" w:sz="4" w:space="0" w:color="auto"/>
                      <w:left w:val="single" w:sz="4" w:space="0" w:color="auto"/>
                      <w:bottom w:val="single" w:sz="4" w:space="0" w:color="auto"/>
                      <w:right w:val="single" w:sz="4" w:space="0" w:color="auto"/>
                    </w:tcBorders>
                  </w:tcPr>
                  <w:p w:rsidR="00ED2DC7" w:rsidRDefault="00ED2DC7">
                    <w:pPr>
                      <w:rPr>
                        <w:szCs w:val="21"/>
                      </w:rPr>
                    </w:pPr>
                    <w:r>
                      <w:rPr>
                        <w:rFonts w:hint="eastAsia"/>
                        <w:szCs w:val="21"/>
                      </w:rPr>
                      <w:t>公司本期失效的各项权益工具总额</w:t>
                    </w:r>
                  </w:p>
                </w:tc>
              </w:sdtContent>
            </w:sdt>
            <w:tc>
              <w:tcPr>
                <w:tcW w:w="2434" w:type="pct"/>
                <w:tcBorders>
                  <w:top w:val="single" w:sz="4" w:space="0" w:color="auto"/>
                  <w:left w:val="single" w:sz="4" w:space="0" w:color="auto"/>
                  <w:bottom w:val="single" w:sz="4" w:space="0" w:color="auto"/>
                  <w:right w:val="single" w:sz="4" w:space="0" w:color="auto"/>
                </w:tcBorders>
              </w:tcPr>
              <w:p w:rsidR="00ED2DC7" w:rsidRDefault="008F04CF">
                <w:pPr>
                  <w:wordWrap w:val="0"/>
                  <w:jc w:val="right"/>
                  <w:rPr>
                    <w:szCs w:val="21"/>
                  </w:rPr>
                </w:pPr>
                <w:r>
                  <w:rPr>
                    <w:rFonts w:hint="eastAsia"/>
                    <w:szCs w:val="21"/>
                  </w:rPr>
                  <w:t>-</w:t>
                </w:r>
              </w:p>
            </w:tc>
          </w:tr>
          <w:tr w:rsidR="00ED2DC7" w:rsidTr="00FD0291">
            <w:sdt>
              <w:sdtPr>
                <w:tag w:val="_PLD_6694d6ef994a4b3cb878a90cef433735"/>
                <w:id w:val="602933457"/>
                <w:lock w:val="sdtLocked"/>
              </w:sdtPr>
              <w:sdtContent>
                <w:tc>
                  <w:tcPr>
                    <w:tcW w:w="2566" w:type="pct"/>
                    <w:tcBorders>
                      <w:top w:val="single" w:sz="4" w:space="0" w:color="auto"/>
                      <w:left w:val="single" w:sz="4" w:space="0" w:color="auto"/>
                      <w:bottom w:val="single" w:sz="4" w:space="0" w:color="auto"/>
                      <w:right w:val="single" w:sz="4" w:space="0" w:color="auto"/>
                    </w:tcBorders>
                  </w:tcPr>
                  <w:p w:rsidR="00ED2DC7" w:rsidRDefault="00ED2DC7">
                    <w:pPr>
                      <w:rPr>
                        <w:szCs w:val="21"/>
                      </w:rPr>
                    </w:pPr>
                    <w:r>
                      <w:rPr>
                        <w:rFonts w:hint="eastAsia"/>
                        <w:szCs w:val="21"/>
                      </w:rPr>
                      <w:t>公司期末发行在外的股票期权行权价格的范围和合同剩余期限</w:t>
                    </w:r>
                  </w:p>
                </w:tc>
              </w:sdtContent>
            </w:sdt>
            <w:tc>
              <w:tcPr>
                <w:tcW w:w="2434" w:type="pct"/>
                <w:tcBorders>
                  <w:top w:val="single" w:sz="4" w:space="0" w:color="auto"/>
                  <w:left w:val="single" w:sz="4" w:space="0" w:color="auto"/>
                  <w:bottom w:val="single" w:sz="4" w:space="0" w:color="auto"/>
                  <w:right w:val="single" w:sz="4" w:space="0" w:color="auto"/>
                </w:tcBorders>
              </w:tcPr>
              <w:p w:rsidR="00DD63CD" w:rsidRDefault="00DD63CD">
                <w:pPr>
                  <w:rPr>
                    <w:szCs w:val="21"/>
                  </w:rPr>
                </w:pPr>
                <w:r w:rsidRPr="00DD63CD">
                  <w:rPr>
                    <w:szCs w:val="21"/>
                  </w:rPr>
                  <w:t>9.12-21.68</w:t>
                </w:r>
                <w:r>
                  <w:rPr>
                    <w:szCs w:val="21"/>
                  </w:rPr>
                  <w:t>;</w:t>
                </w:r>
              </w:p>
              <w:p w:rsidR="00ED2DC7" w:rsidRDefault="00DD63CD">
                <w:pPr>
                  <w:rPr>
                    <w:szCs w:val="21"/>
                  </w:rPr>
                </w:pPr>
                <w:r w:rsidRPr="00DD63CD">
                  <w:rPr>
                    <w:szCs w:val="21"/>
                  </w:rPr>
                  <w:t>0-3.37</w:t>
                </w:r>
                <w:r w:rsidRPr="00DD63CD">
                  <w:rPr>
                    <w:rFonts w:hint="eastAsia"/>
                    <w:szCs w:val="21"/>
                  </w:rPr>
                  <w:t>年</w:t>
                </w:r>
              </w:p>
            </w:tc>
          </w:tr>
          <w:tr w:rsidR="00ED2DC7" w:rsidTr="00FD0291">
            <w:sdt>
              <w:sdtPr>
                <w:tag w:val="_PLD_b6fe32b3793c46aca2c7a724ec090ff5"/>
                <w:id w:val="-1822572337"/>
                <w:lock w:val="sdtLocked"/>
              </w:sdtPr>
              <w:sdtContent>
                <w:tc>
                  <w:tcPr>
                    <w:tcW w:w="2566" w:type="pct"/>
                    <w:tcBorders>
                      <w:top w:val="single" w:sz="4" w:space="0" w:color="auto"/>
                      <w:left w:val="single" w:sz="4" w:space="0" w:color="auto"/>
                      <w:bottom w:val="single" w:sz="4" w:space="0" w:color="auto"/>
                      <w:right w:val="single" w:sz="4" w:space="0" w:color="auto"/>
                    </w:tcBorders>
                  </w:tcPr>
                  <w:p w:rsidR="00ED2DC7" w:rsidRDefault="00ED2DC7">
                    <w:pPr>
                      <w:rPr>
                        <w:szCs w:val="21"/>
                      </w:rPr>
                    </w:pPr>
                    <w:r>
                      <w:rPr>
                        <w:rFonts w:hint="eastAsia"/>
                        <w:szCs w:val="21"/>
                      </w:rPr>
                      <w:t>公司期末发行在外的其他权益工具行权价格的范围和合同剩余期限</w:t>
                    </w:r>
                  </w:p>
                </w:tc>
              </w:sdtContent>
            </w:sdt>
            <w:tc>
              <w:tcPr>
                <w:tcW w:w="2434" w:type="pct"/>
                <w:tcBorders>
                  <w:top w:val="single" w:sz="4" w:space="0" w:color="auto"/>
                  <w:left w:val="single" w:sz="4" w:space="0" w:color="auto"/>
                  <w:bottom w:val="single" w:sz="4" w:space="0" w:color="auto"/>
                  <w:right w:val="single" w:sz="4" w:space="0" w:color="auto"/>
                </w:tcBorders>
              </w:tcPr>
              <w:p w:rsidR="00ED2DC7" w:rsidRDefault="008F04CF" w:rsidP="00B637B2">
                <w:pPr>
                  <w:jc w:val="right"/>
                  <w:rPr>
                    <w:szCs w:val="21"/>
                  </w:rPr>
                </w:pPr>
                <w:r>
                  <w:rPr>
                    <w:rFonts w:hint="eastAsia"/>
                    <w:szCs w:val="21"/>
                  </w:rPr>
                  <w:t>-</w:t>
                </w:r>
              </w:p>
            </w:tc>
          </w:tr>
        </w:tbl>
        <w:p w:rsidR="00ED2DC7" w:rsidRDefault="00ED2DC7">
          <w:r>
            <w:rPr>
              <w:rFonts w:hint="eastAsia"/>
            </w:rPr>
            <w:t>其他说明</w:t>
          </w:r>
        </w:p>
        <w:sdt>
          <w:sdtPr>
            <w:rPr>
              <w:szCs w:val="21"/>
            </w:rPr>
            <w:alias w:val="股份支付的说明"/>
            <w:tag w:val="_GBC_6ec202c8c5c2474c94af4a207f151a91"/>
            <w:id w:val="748780515"/>
            <w:lock w:val="sdtLocked"/>
            <w:placeholder>
              <w:docPart w:val="GBC22222222222222222222222222222"/>
            </w:placeholder>
          </w:sdtPr>
          <w:sdtContent>
            <w:p w:rsidR="00ED2DC7" w:rsidRDefault="00426920">
              <w:pPr>
                <w:rPr>
                  <w:szCs w:val="21"/>
                </w:rPr>
              </w:pPr>
              <w:r>
                <w:rPr>
                  <w:rFonts w:hint="eastAsia"/>
                  <w:szCs w:val="21"/>
                </w:rPr>
                <w:t>无。</w:t>
              </w:r>
            </w:p>
          </w:sdtContent>
        </w:sdt>
      </w:sdtContent>
    </w:sdt>
    <w:sdt>
      <w:sdtPr>
        <w:rPr>
          <w:rFonts w:ascii="宋体" w:hAnsi="宋体" w:cs="宋体" w:hint="eastAsia"/>
          <w:b w:val="0"/>
          <w:bCs w:val="0"/>
          <w:kern w:val="0"/>
          <w:szCs w:val="24"/>
        </w:rPr>
        <w:alias w:val="模块:以权益结算的股份支付情况"/>
        <w:tag w:val="_GBC_a6f090c303de426580c058a0a463c95f"/>
        <w:id w:val="1872726383"/>
        <w:lock w:val="sdtLocked"/>
        <w:placeholder>
          <w:docPart w:val="GBC22222222222222222222222222222"/>
        </w:placeholder>
      </w:sdtPr>
      <w:sdtEndPr>
        <w:rPr>
          <w:rFonts w:asciiTheme="minorHAnsi" w:eastAsiaTheme="minorEastAsia" w:hAnsiTheme="minorHAnsi" w:cstheme="minorBidi"/>
          <w:szCs w:val="21"/>
        </w:rPr>
      </w:sdtEndPr>
      <w:sdtContent>
        <w:p w:rsidR="00ED2DC7" w:rsidRPr="00246008" w:rsidRDefault="00ED2DC7" w:rsidP="00036BDC">
          <w:pPr>
            <w:pStyle w:val="affffffffffffffffff1"/>
            <w:numPr>
              <w:ilvl w:val="0"/>
              <w:numId w:val="91"/>
            </w:numPr>
          </w:pPr>
          <w:r w:rsidRPr="00246008">
            <w:rPr>
              <w:rFonts w:hint="eastAsia"/>
            </w:rPr>
            <w:t>以权益结算的股份支付情况</w:t>
          </w:r>
        </w:p>
        <w:sdt>
          <w:sdtPr>
            <w:alias w:val="是否适用：以权益结算的股份支付情况[双击切换]"/>
            <w:tag w:val="_GBC_5d901e3b36be4331aac030c8e4b9b1a5"/>
            <w:id w:val="1443892236"/>
            <w:lock w:val="sdtContentLocked"/>
            <w:placeholder>
              <w:docPart w:val="GBC22222222222222222222222222222"/>
            </w:placeholder>
          </w:sdtPr>
          <w:sdtContent>
            <w:p w:rsidR="00ED2DC7" w:rsidRDefault="00ED2DC7">
              <w:r>
                <w:fldChar w:fldCharType="begin"/>
              </w:r>
              <w:r w:rsidR="00426920">
                <w:instrText xml:space="preserve"> MACROBUTTON  SnrToggleCheckbox √适用 </w:instrText>
              </w:r>
              <w:r>
                <w:fldChar w:fldCharType="end"/>
              </w:r>
              <w:r>
                <w:fldChar w:fldCharType="begin"/>
              </w:r>
              <w:r w:rsidR="00426920">
                <w:instrText xml:space="preserve"> MACROBUTTON  SnrToggleCheckbox □不适用 </w:instrText>
              </w:r>
              <w:r>
                <w:fldChar w:fldCharType="end"/>
              </w:r>
            </w:p>
          </w:sdtContent>
        </w:sdt>
        <w:p w:rsidR="00ED2DC7" w:rsidRDefault="00ED2DC7">
          <w:pPr>
            <w:wordWrap w:val="0"/>
            <w:jc w:val="right"/>
            <w:rPr>
              <w:szCs w:val="21"/>
            </w:rPr>
          </w:pPr>
          <w:r>
            <w:rPr>
              <w:rFonts w:hint="eastAsia"/>
              <w:szCs w:val="21"/>
            </w:rPr>
            <w:t>单位：</w:t>
          </w:r>
          <w:sdt>
            <w:sdtPr>
              <w:rPr>
                <w:rFonts w:hint="eastAsia"/>
                <w:szCs w:val="21"/>
              </w:rPr>
              <w:alias w:val="单位：以权益结算的股份支付情况"/>
              <w:tag w:val="_GBC_e7800d3c0e994e0bb44800f701770f0a"/>
              <w:id w:val="19371630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hint="eastAsia"/>
                  <w:szCs w:val="21"/>
                </w:rPr>
                <w:t>元</w:t>
              </w:r>
            </w:sdtContent>
          </w:sdt>
          <w:r>
            <w:rPr>
              <w:rFonts w:hint="eastAsia"/>
              <w:szCs w:val="21"/>
            </w:rPr>
            <w:t xml:space="preserve">  币种：</w:t>
          </w:r>
          <w:sdt>
            <w:sdtPr>
              <w:rPr>
                <w:rFonts w:hint="eastAsia"/>
                <w:szCs w:val="21"/>
              </w:rPr>
              <w:alias w:val="币种：财务附注：以权益结算的股份支付情况"/>
              <w:tag w:val="_GBC_141e8e8b8e9c4f8880dfb329a29bb6d0"/>
              <w:id w:val="-7477289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szCs w:val="21"/>
                </w:rPr>
                <w:t>人民币</w:t>
              </w:r>
            </w:sdtContent>
          </w:sdt>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1"/>
            <w:gridCol w:w="4042"/>
          </w:tblGrid>
          <w:tr w:rsidR="00ED2DC7" w:rsidTr="00FD0291">
            <w:sdt>
              <w:sdtPr>
                <w:tag w:val="_PLD_3971ccf7eba24e5a8c55531fb5d27dd3"/>
                <w:id w:val="-1208101654"/>
                <w:lock w:val="sdtLocked"/>
              </w:sdtPr>
              <w:sdtContent>
                <w:tc>
                  <w:tcPr>
                    <w:tcW w:w="2566" w:type="pct"/>
                    <w:tcBorders>
                      <w:top w:val="single" w:sz="4" w:space="0" w:color="auto"/>
                      <w:left w:val="single" w:sz="4" w:space="0" w:color="auto"/>
                      <w:bottom w:val="single" w:sz="4" w:space="0" w:color="auto"/>
                      <w:right w:val="single" w:sz="4" w:space="0" w:color="auto"/>
                    </w:tcBorders>
                  </w:tcPr>
                  <w:p w:rsidR="00ED2DC7" w:rsidRDefault="00ED2DC7">
                    <w:pPr>
                      <w:rPr>
                        <w:szCs w:val="21"/>
                      </w:rPr>
                    </w:pPr>
                    <w:r>
                      <w:rPr>
                        <w:rFonts w:hint="eastAsia"/>
                        <w:szCs w:val="21"/>
                      </w:rPr>
                      <w:t>授予日权益工具公允价值的确定方法</w:t>
                    </w:r>
                  </w:p>
                </w:tc>
              </w:sdtContent>
            </w:sdt>
            <w:tc>
              <w:tcPr>
                <w:tcW w:w="2434" w:type="pct"/>
                <w:tcBorders>
                  <w:top w:val="single" w:sz="4" w:space="0" w:color="auto"/>
                  <w:left w:val="single" w:sz="4" w:space="0" w:color="auto"/>
                  <w:bottom w:val="single" w:sz="4" w:space="0" w:color="auto"/>
                  <w:right w:val="single" w:sz="4" w:space="0" w:color="auto"/>
                </w:tcBorders>
              </w:tcPr>
              <w:p w:rsidR="00ED2DC7" w:rsidRDefault="00ED2DC7">
                <w:pPr>
                  <w:rPr>
                    <w:szCs w:val="21"/>
                  </w:rPr>
                </w:pPr>
              </w:p>
            </w:tc>
          </w:tr>
          <w:tr w:rsidR="00ED2DC7" w:rsidTr="00FD0291">
            <w:sdt>
              <w:sdtPr>
                <w:tag w:val="_PLD_196af183586047b8b91c11e4d618d989"/>
                <w:id w:val="2048335427"/>
                <w:lock w:val="sdtLocked"/>
              </w:sdtPr>
              <w:sdtContent>
                <w:tc>
                  <w:tcPr>
                    <w:tcW w:w="2566" w:type="pct"/>
                    <w:tcBorders>
                      <w:top w:val="single" w:sz="4" w:space="0" w:color="auto"/>
                      <w:left w:val="single" w:sz="4" w:space="0" w:color="auto"/>
                      <w:bottom w:val="single" w:sz="4" w:space="0" w:color="auto"/>
                      <w:right w:val="single" w:sz="4" w:space="0" w:color="auto"/>
                    </w:tcBorders>
                  </w:tcPr>
                  <w:p w:rsidR="00ED2DC7" w:rsidRDefault="00ED2DC7">
                    <w:pPr>
                      <w:rPr>
                        <w:szCs w:val="21"/>
                      </w:rPr>
                    </w:pPr>
                    <w:r>
                      <w:rPr>
                        <w:rFonts w:hint="eastAsia"/>
                        <w:szCs w:val="21"/>
                      </w:rPr>
                      <w:t>可行权权益工具数量的确定依据</w:t>
                    </w:r>
                  </w:p>
                </w:tc>
              </w:sdtContent>
            </w:sdt>
            <w:tc>
              <w:tcPr>
                <w:tcW w:w="2434" w:type="pct"/>
                <w:tcBorders>
                  <w:top w:val="single" w:sz="4" w:space="0" w:color="auto"/>
                  <w:left w:val="single" w:sz="4" w:space="0" w:color="auto"/>
                  <w:bottom w:val="single" w:sz="4" w:space="0" w:color="auto"/>
                  <w:right w:val="single" w:sz="4" w:space="0" w:color="auto"/>
                </w:tcBorders>
              </w:tcPr>
              <w:p w:rsidR="00ED2DC7" w:rsidRDefault="00ED2DC7">
                <w:pPr>
                  <w:rPr>
                    <w:szCs w:val="21"/>
                  </w:rPr>
                </w:pPr>
              </w:p>
            </w:tc>
          </w:tr>
          <w:tr w:rsidR="00ED2DC7" w:rsidTr="00FD0291">
            <w:sdt>
              <w:sdtPr>
                <w:tag w:val="_PLD_f7ccac85f9f04eae859b36511ee5887a"/>
                <w:id w:val="1011258238"/>
                <w:lock w:val="sdtLocked"/>
              </w:sdtPr>
              <w:sdtContent>
                <w:tc>
                  <w:tcPr>
                    <w:tcW w:w="2566" w:type="pct"/>
                    <w:tcBorders>
                      <w:top w:val="single" w:sz="4" w:space="0" w:color="auto"/>
                      <w:left w:val="single" w:sz="4" w:space="0" w:color="auto"/>
                      <w:bottom w:val="single" w:sz="4" w:space="0" w:color="auto"/>
                      <w:right w:val="single" w:sz="4" w:space="0" w:color="auto"/>
                    </w:tcBorders>
                  </w:tcPr>
                  <w:p w:rsidR="00ED2DC7" w:rsidRDefault="00ED2DC7">
                    <w:pPr>
                      <w:rPr>
                        <w:szCs w:val="21"/>
                      </w:rPr>
                    </w:pPr>
                    <w:r>
                      <w:rPr>
                        <w:rFonts w:hint="eastAsia"/>
                        <w:szCs w:val="21"/>
                      </w:rPr>
                      <w:t>本期估计与上期估计有重大差异的原因</w:t>
                    </w:r>
                  </w:p>
                </w:tc>
              </w:sdtContent>
            </w:sdt>
            <w:tc>
              <w:tcPr>
                <w:tcW w:w="2434" w:type="pct"/>
                <w:tcBorders>
                  <w:top w:val="single" w:sz="4" w:space="0" w:color="auto"/>
                  <w:left w:val="single" w:sz="4" w:space="0" w:color="auto"/>
                  <w:bottom w:val="single" w:sz="4" w:space="0" w:color="auto"/>
                  <w:right w:val="single" w:sz="4" w:space="0" w:color="auto"/>
                </w:tcBorders>
              </w:tcPr>
              <w:p w:rsidR="00ED2DC7" w:rsidRDefault="00ED2DC7">
                <w:pPr>
                  <w:rPr>
                    <w:szCs w:val="21"/>
                  </w:rPr>
                </w:pPr>
              </w:p>
            </w:tc>
          </w:tr>
          <w:tr w:rsidR="00ED2DC7" w:rsidTr="00FD0291">
            <w:sdt>
              <w:sdtPr>
                <w:tag w:val="_PLD_41ed08de46e64e0f85ab68a2dd7015cc"/>
                <w:id w:val="-1690283870"/>
                <w:lock w:val="sdtLocked"/>
              </w:sdtPr>
              <w:sdtContent>
                <w:tc>
                  <w:tcPr>
                    <w:tcW w:w="2566" w:type="pct"/>
                    <w:tcBorders>
                      <w:top w:val="single" w:sz="4" w:space="0" w:color="auto"/>
                      <w:left w:val="single" w:sz="4" w:space="0" w:color="auto"/>
                      <w:bottom w:val="single" w:sz="4" w:space="0" w:color="auto"/>
                      <w:right w:val="single" w:sz="4" w:space="0" w:color="auto"/>
                    </w:tcBorders>
                  </w:tcPr>
                  <w:p w:rsidR="00ED2DC7" w:rsidRDefault="00ED2DC7">
                    <w:pPr>
                      <w:rPr>
                        <w:szCs w:val="21"/>
                      </w:rPr>
                    </w:pPr>
                    <w:r>
                      <w:rPr>
                        <w:rFonts w:hint="eastAsia"/>
                        <w:szCs w:val="21"/>
                      </w:rPr>
                      <w:t>以权益结算的股份支付计入资本公积的累计金额</w:t>
                    </w:r>
                  </w:p>
                </w:tc>
              </w:sdtContent>
            </w:sdt>
            <w:tc>
              <w:tcPr>
                <w:tcW w:w="2434" w:type="pct"/>
                <w:tcBorders>
                  <w:top w:val="single" w:sz="4" w:space="0" w:color="auto"/>
                  <w:left w:val="single" w:sz="4" w:space="0" w:color="auto"/>
                  <w:bottom w:val="single" w:sz="4" w:space="0" w:color="auto"/>
                  <w:right w:val="single" w:sz="4" w:space="0" w:color="auto"/>
                </w:tcBorders>
              </w:tcPr>
              <w:p w:rsidR="00ED2DC7" w:rsidRDefault="00DD63CD">
                <w:pPr>
                  <w:jc w:val="right"/>
                  <w:rPr>
                    <w:szCs w:val="21"/>
                  </w:rPr>
                </w:pPr>
                <w:r w:rsidRPr="00DD63CD">
                  <w:rPr>
                    <w:szCs w:val="21"/>
                  </w:rPr>
                  <w:t>526,154,723</w:t>
                </w:r>
              </w:p>
            </w:tc>
          </w:tr>
          <w:tr w:rsidR="00ED2DC7" w:rsidTr="00FD0291">
            <w:sdt>
              <w:sdtPr>
                <w:tag w:val="_PLD_f82f407e90bf4db287ed1a5428fbac34"/>
                <w:id w:val="-1451630000"/>
                <w:lock w:val="sdtLocked"/>
              </w:sdtPr>
              <w:sdtContent>
                <w:tc>
                  <w:tcPr>
                    <w:tcW w:w="2566" w:type="pct"/>
                    <w:tcBorders>
                      <w:top w:val="single" w:sz="4" w:space="0" w:color="auto"/>
                      <w:left w:val="single" w:sz="4" w:space="0" w:color="auto"/>
                      <w:bottom w:val="single" w:sz="4" w:space="0" w:color="auto"/>
                      <w:right w:val="single" w:sz="4" w:space="0" w:color="auto"/>
                    </w:tcBorders>
                  </w:tcPr>
                  <w:p w:rsidR="00ED2DC7" w:rsidRDefault="00ED2DC7">
                    <w:pPr>
                      <w:rPr>
                        <w:szCs w:val="21"/>
                      </w:rPr>
                    </w:pPr>
                    <w:r>
                      <w:rPr>
                        <w:rFonts w:hint="eastAsia"/>
                        <w:szCs w:val="21"/>
                      </w:rPr>
                      <w:t>本期以权益结算的股份支付确认的费用总额</w:t>
                    </w:r>
                  </w:p>
                </w:tc>
              </w:sdtContent>
            </w:sdt>
            <w:tc>
              <w:tcPr>
                <w:tcW w:w="2434" w:type="pct"/>
                <w:tcBorders>
                  <w:top w:val="single" w:sz="4" w:space="0" w:color="auto"/>
                  <w:left w:val="single" w:sz="4" w:space="0" w:color="auto"/>
                  <w:bottom w:val="single" w:sz="4" w:space="0" w:color="auto"/>
                  <w:right w:val="single" w:sz="4" w:space="0" w:color="auto"/>
                </w:tcBorders>
              </w:tcPr>
              <w:p w:rsidR="00ED2DC7" w:rsidRDefault="00DD63CD">
                <w:pPr>
                  <w:jc w:val="right"/>
                  <w:rPr>
                    <w:szCs w:val="21"/>
                  </w:rPr>
                </w:pPr>
                <w:r w:rsidRPr="00DD63CD">
                  <w:rPr>
                    <w:szCs w:val="21"/>
                  </w:rPr>
                  <w:t>54,295,636</w:t>
                </w:r>
              </w:p>
            </w:tc>
          </w:tr>
        </w:tbl>
        <w:p w:rsidR="00ED2DC7" w:rsidRDefault="00ED2DC7">
          <w:pPr>
            <w:rPr>
              <w:szCs w:val="21"/>
            </w:rPr>
          </w:pPr>
          <w:r>
            <w:rPr>
              <w:rFonts w:hint="eastAsia"/>
            </w:rPr>
            <w:t>其他说明</w:t>
          </w:r>
        </w:p>
        <w:sdt>
          <w:sdtPr>
            <w:rPr>
              <w:szCs w:val="21"/>
            </w:rPr>
            <w:alias w:val="以权益结算的股份支付的说明"/>
            <w:tag w:val="_GBC_66cc441b4855447ca660dcb1092a9d2d"/>
            <w:id w:val="1975331254"/>
            <w:lock w:val="sdtLocked"/>
            <w:placeholder>
              <w:docPart w:val="GBC22222222222222222222222222222"/>
            </w:placeholder>
          </w:sdtPr>
          <w:sdtContent>
            <w:p w:rsidR="00182B92" w:rsidRPr="00182B92" w:rsidRDefault="00182B92" w:rsidP="00182B92">
              <w:pPr>
                <w:overflowPunct w:val="0"/>
                <w:autoSpaceDE w:val="0"/>
                <w:autoSpaceDN w:val="0"/>
                <w:adjustRightInd w:val="0"/>
                <w:snapToGrid w:val="0"/>
                <w:ind w:hanging="11"/>
                <w:jc w:val="both"/>
                <w:textAlignment w:val="bottom"/>
                <w:rPr>
                  <w:rFonts w:cs="Arial"/>
                  <w:bCs/>
                  <w:snapToGrid w:val="0"/>
                  <w:sz w:val="20"/>
                  <w:szCs w:val="20"/>
                </w:rPr>
              </w:pPr>
              <w:r w:rsidRPr="00182B92">
                <w:rPr>
                  <w:rFonts w:cs="Arial" w:hint="eastAsia"/>
                  <w:bCs/>
                  <w:snapToGrid w:val="0"/>
                  <w:sz w:val="20"/>
                  <w:szCs w:val="20"/>
                </w:rPr>
                <w:t>本公司实行的股权激励计划详见股份支付计划一。本集团之子公司畅捷通实行的股权激励计划详见股份支付计划二。</w:t>
              </w:r>
            </w:p>
            <w:p w:rsidR="00182B92" w:rsidRPr="00182B92" w:rsidRDefault="00182B92" w:rsidP="00182B92">
              <w:pPr>
                <w:overflowPunct w:val="0"/>
                <w:autoSpaceDE w:val="0"/>
                <w:autoSpaceDN w:val="0"/>
                <w:adjustRightInd w:val="0"/>
                <w:snapToGrid w:val="0"/>
                <w:ind w:left="720" w:hanging="720"/>
                <w:jc w:val="both"/>
                <w:textAlignment w:val="bottom"/>
                <w:rPr>
                  <w:rFonts w:cs="Arial"/>
                  <w:bCs/>
                  <w:snapToGrid w:val="0"/>
                  <w:sz w:val="20"/>
                  <w:szCs w:val="20"/>
                </w:rPr>
              </w:pPr>
            </w:p>
            <w:p w:rsidR="00182B92" w:rsidRPr="00182B92" w:rsidRDefault="00182B92" w:rsidP="00182B92">
              <w:pPr>
                <w:overflowPunct w:val="0"/>
                <w:autoSpaceDE w:val="0"/>
                <w:autoSpaceDN w:val="0"/>
                <w:adjustRightInd w:val="0"/>
                <w:snapToGrid w:val="0"/>
                <w:jc w:val="both"/>
                <w:textAlignment w:val="bottom"/>
                <w:rPr>
                  <w:rFonts w:cs="Arial"/>
                  <w:b/>
                  <w:bCs/>
                  <w:snapToGrid w:val="0"/>
                  <w:sz w:val="20"/>
                  <w:szCs w:val="20"/>
                </w:rPr>
              </w:pPr>
              <w:r w:rsidRPr="00182B92">
                <w:rPr>
                  <w:rFonts w:cs="Arial" w:hint="eastAsia"/>
                  <w:bCs/>
                  <w:snapToGrid w:val="0"/>
                  <w:sz w:val="20"/>
                  <w:szCs w:val="20"/>
                </w:rPr>
                <w:t>另有，本集团之子公司用友政务、用友金融、用友汽车等公司实行的股份支付计划，当期确认的股份支付费用人民币-3</w:t>
              </w:r>
              <w:r w:rsidRPr="00182B92">
                <w:rPr>
                  <w:rFonts w:cs="Arial"/>
                  <w:bCs/>
                  <w:snapToGrid w:val="0"/>
                  <w:sz w:val="20"/>
                  <w:szCs w:val="20"/>
                </w:rPr>
                <w:t>,229,617</w:t>
              </w:r>
              <w:r w:rsidRPr="00182B92">
                <w:rPr>
                  <w:rFonts w:cs="Arial" w:hint="eastAsia"/>
                  <w:bCs/>
                  <w:snapToGrid w:val="0"/>
                  <w:sz w:val="20"/>
                  <w:szCs w:val="20"/>
                </w:rPr>
                <w:t>元。</w:t>
              </w:r>
            </w:p>
            <w:p w:rsidR="00182B92" w:rsidRPr="00182B92" w:rsidRDefault="00182B92" w:rsidP="00182B92">
              <w:pPr>
                <w:overflowPunct w:val="0"/>
                <w:autoSpaceDE w:val="0"/>
                <w:autoSpaceDN w:val="0"/>
                <w:adjustRightInd w:val="0"/>
                <w:snapToGrid w:val="0"/>
                <w:ind w:left="720" w:hanging="720"/>
                <w:jc w:val="both"/>
                <w:textAlignment w:val="bottom"/>
                <w:rPr>
                  <w:rFonts w:cs="Arial"/>
                  <w:b/>
                  <w:bCs/>
                  <w:snapToGrid w:val="0"/>
                  <w:sz w:val="20"/>
                  <w:szCs w:val="20"/>
                </w:rPr>
              </w:pPr>
            </w:p>
            <w:p w:rsidR="00182B92" w:rsidRPr="00182B92" w:rsidRDefault="00182B92" w:rsidP="00B637B2">
              <w:pPr>
                <w:autoSpaceDE w:val="0"/>
                <w:autoSpaceDN w:val="0"/>
                <w:snapToGrid w:val="0"/>
                <w:spacing w:line="240" w:lineRule="exact"/>
                <w:ind w:firstLine="28"/>
                <w:jc w:val="both"/>
                <w:textAlignment w:val="bottom"/>
                <w:rPr>
                  <w:rFonts w:cs="Arial"/>
                  <w:b/>
                  <w:snapToGrid w:val="0"/>
                  <w:sz w:val="20"/>
                  <w:szCs w:val="20"/>
                  <w:u w:val="single"/>
                </w:rPr>
              </w:pPr>
              <w:bookmarkStart w:id="222" w:name="OLE_LINK128"/>
              <w:r w:rsidRPr="00182B92">
                <w:rPr>
                  <w:rFonts w:cs="Arial"/>
                  <w:b/>
                  <w:snapToGrid w:val="0"/>
                  <w:sz w:val="20"/>
                  <w:szCs w:val="20"/>
                  <w:u w:val="single"/>
                </w:rPr>
                <w:t>股份支付计划一</w:t>
              </w:r>
            </w:p>
            <w:bookmarkEnd w:id="222"/>
            <w:p w:rsidR="00182B92" w:rsidRPr="00182B92" w:rsidRDefault="00182B92" w:rsidP="00182B92">
              <w:pPr>
                <w:overflowPunct w:val="0"/>
                <w:autoSpaceDE w:val="0"/>
                <w:autoSpaceDN w:val="0"/>
                <w:adjustRightInd w:val="0"/>
                <w:snapToGrid w:val="0"/>
                <w:ind w:left="720" w:hanging="720"/>
                <w:jc w:val="both"/>
                <w:textAlignment w:val="bottom"/>
                <w:rPr>
                  <w:rFonts w:cs="Arial"/>
                  <w:b/>
                  <w:bCs/>
                  <w:snapToGrid w:val="0"/>
                  <w:sz w:val="20"/>
                  <w:szCs w:val="20"/>
                </w:rPr>
              </w:pPr>
            </w:p>
            <w:p w:rsidR="00182B92" w:rsidRPr="00182B92" w:rsidRDefault="00182B92" w:rsidP="00B637B2">
              <w:pPr>
                <w:pStyle w:val="affffffffffffffff7"/>
                <w:ind w:left="618" w:hanging="561"/>
                <w:jc w:val="left"/>
                <w:outlineLvl w:val="9"/>
                <w:rPr>
                  <w:rFonts w:ascii="宋体" w:hAnsi="宋体"/>
                  <w:sz w:val="20"/>
                  <w:szCs w:val="20"/>
                </w:rPr>
              </w:pPr>
              <w:r w:rsidRPr="00182B92">
                <w:rPr>
                  <w:rFonts w:ascii="宋体" w:hAnsi="宋体"/>
                  <w:sz w:val="20"/>
                  <w:szCs w:val="20"/>
                </w:rPr>
                <w:t>1.</w:t>
              </w:r>
              <w:r w:rsidRPr="00182B92">
                <w:rPr>
                  <w:rFonts w:ascii="宋体" w:hAnsi="宋体"/>
                  <w:sz w:val="20"/>
                  <w:szCs w:val="20"/>
                </w:rPr>
                <w:tab/>
                <w:t>概况</w:t>
              </w:r>
            </w:p>
            <w:p w:rsidR="00182B92" w:rsidRPr="00182B92" w:rsidRDefault="00182B92" w:rsidP="00182B92">
              <w:pPr>
                <w:overflowPunct w:val="0"/>
                <w:autoSpaceDE w:val="0"/>
                <w:autoSpaceDN w:val="0"/>
                <w:adjustRightInd w:val="0"/>
                <w:snapToGrid w:val="0"/>
                <w:ind w:left="720" w:hanging="720"/>
                <w:jc w:val="both"/>
                <w:textAlignment w:val="bottom"/>
                <w:rPr>
                  <w:rFonts w:cs="Arial"/>
                  <w:snapToGrid w:val="0"/>
                  <w:sz w:val="20"/>
                  <w:szCs w:val="20"/>
                </w:rPr>
              </w:pPr>
            </w:p>
            <w:tbl>
              <w:tblPr>
                <w:tblStyle w:val="g35"/>
                <w:tblW w:w="8477" w:type="dxa"/>
                <w:tblLayout w:type="fixed"/>
                <w:tblCellMar>
                  <w:left w:w="0" w:type="dxa"/>
                  <w:right w:w="0" w:type="dxa"/>
                </w:tblCellMar>
                <w:tblLook w:val="04A0" w:firstRow="1" w:lastRow="0" w:firstColumn="1" w:lastColumn="0" w:noHBand="0" w:noVBand="1"/>
                <w:tblCaption w:val="76关联方余额_存放关联方的货币资金"/>
              </w:tblPr>
              <w:tblGrid>
                <w:gridCol w:w="4252"/>
                <w:gridCol w:w="113"/>
                <w:gridCol w:w="1871"/>
                <w:gridCol w:w="113"/>
                <w:gridCol w:w="113"/>
                <w:gridCol w:w="1902"/>
                <w:gridCol w:w="113"/>
              </w:tblGrid>
              <w:tr w:rsidR="00182B92" w:rsidRPr="00182B92" w:rsidTr="00182B92">
                <w:tc>
                  <w:tcPr>
                    <w:tcW w:w="4252" w:type="dxa"/>
                    <w:tcBorders>
                      <w:top w:val="nil"/>
                      <w:left w:val="nil"/>
                      <w:bottom w:val="nil"/>
                      <w:right w:val="nil"/>
                    </w:tcBorders>
                    <w:shd w:val="clear" w:color="auto" w:fill="auto"/>
                    <w:noWrap/>
                    <w:hideMark/>
                  </w:tcPr>
                  <w:p w:rsidR="00182B92" w:rsidRPr="00182B92" w:rsidRDefault="00182B92" w:rsidP="00182B92">
                    <w:pPr>
                      <w:kinsoku w:val="0"/>
                      <w:overflowPunct w:val="0"/>
                      <w:autoSpaceDE w:val="0"/>
                      <w:autoSpaceDN w:val="0"/>
                      <w:adjustRightInd w:val="0"/>
                      <w:snapToGrid w:val="0"/>
                      <w:jc w:val="right"/>
                      <w:rPr>
                        <w:rFonts w:cs="Arial"/>
                        <w:sz w:val="20"/>
                        <w:szCs w:val="20"/>
                      </w:rPr>
                    </w:pPr>
                    <w:r w:rsidRPr="00182B92">
                      <w:rPr>
                        <w:rFonts w:cs="Arial"/>
                        <w:color w:val="000000"/>
                        <w:sz w:val="20"/>
                        <w:szCs w:val="20"/>
                      </w:rPr>
                      <w:t xml:space="preserve"> </w:t>
                    </w:r>
                  </w:p>
                </w:tc>
                <w:tc>
                  <w:tcPr>
                    <w:tcW w:w="113" w:type="dxa"/>
                    <w:tcBorders>
                      <w:top w:val="nil"/>
                      <w:left w:val="nil"/>
                      <w:bottom w:val="nil"/>
                      <w:right w:val="nil"/>
                    </w:tcBorders>
                    <w:shd w:val="clear" w:color="auto" w:fill="auto"/>
                    <w:vAlign w:val="bottom"/>
                    <w:hideMark/>
                  </w:tcPr>
                  <w:p w:rsidR="00182B92" w:rsidRPr="00182B92" w:rsidRDefault="00182B92" w:rsidP="00182B92">
                    <w:pPr>
                      <w:kinsoku w:val="0"/>
                      <w:overflowPunct w:val="0"/>
                      <w:autoSpaceDE w:val="0"/>
                      <w:autoSpaceDN w:val="0"/>
                      <w:adjustRightInd w:val="0"/>
                      <w:snapToGrid w:val="0"/>
                      <w:rPr>
                        <w:rFonts w:cs="Arial"/>
                        <w:sz w:val="20"/>
                        <w:szCs w:val="20"/>
                      </w:rPr>
                    </w:pPr>
                    <w:r w:rsidRPr="00182B92">
                      <w:rPr>
                        <w:rFonts w:cs="Arial"/>
                        <w:color w:val="000000"/>
                        <w:sz w:val="20"/>
                        <w:szCs w:val="20"/>
                      </w:rPr>
                      <w:t xml:space="preserve"> </w:t>
                    </w:r>
                  </w:p>
                </w:tc>
                <w:tc>
                  <w:tcPr>
                    <w:tcW w:w="1871" w:type="dxa"/>
                    <w:tcBorders>
                      <w:top w:val="nil"/>
                      <w:left w:val="nil"/>
                      <w:bottom w:val="nil"/>
                      <w:right w:val="nil"/>
                    </w:tcBorders>
                    <w:shd w:val="clear" w:color="auto" w:fill="auto"/>
                    <w:noWrap/>
                    <w:hideMark/>
                  </w:tcPr>
                  <w:p w:rsidR="00182B92" w:rsidRPr="00182B92" w:rsidRDefault="00182B92" w:rsidP="00182B92">
                    <w:pPr>
                      <w:kinsoku w:val="0"/>
                      <w:overflowPunct w:val="0"/>
                      <w:autoSpaceDE w:val="0"/>
                      <w:autoSpaceDN w:val="0"/>
                      <w:adjustRightInd w:val="0"/>
                      <w:snapToGrid w:val="0"/>
                      <w:jc w:val="right"/>
                      <w:rPr>
                        <w:rFonts w:cs="Arial"/>
                        <w:color w:val="000000"/>
                        <w:sz w:val="20"/>
                        <w:szCs w:val="20"/>
                      </w:rPr>
                    </w:pPr>
                    <w:r w:rsidRPr="00182B92">
                      <w:rPr>
                        <w:rFonts w:cs="Arial"/>
                        <w:color w:val="000000"/>
                        <w:sz w:val="20"/>
                        <w:szCs w:val="20"/>
                      </w:rPr>
                      <w:t>2019年</w:t>
                    </w:r>
                    <w:r w:rsidRPr="00182B92">
                      <w:rPr>
                        <w:rFonts w:cs="Arial" w:hint="eastAsia"/>
                        <w:color w:val="000000"/>
                        <w:sz w:val="20"/>
                        <w:szCs w:val="20"/>
                      </w:rPr>
                      <w:t>1</w:t>
                    </w:r>
                    <w:r w:rsidRPr="00182B92">
                      <w:rPr>
                        <w:rFonts w:cs="Arial"/>
                        <w:color w:val="000000"/>
                        <w:sz w:val="20"/>
                        <w:szCs w:val="20"/>
                      </w:rPr>
                      <w:t>-6</w:t>
                    </w:r>
                    <w:r w:rsidRPr="00182B92">
                      <w:rPr>
                        <w:rFonts w:cs="Arial" w:hint="eastAsia"/>
                        <w:color w:val="000000"/>
                        <w:sz w:val="20"/>
                        <w:szCs w:val="20"/>
                      </w:rPr>
                      <w:t>月</w:t>
                    </w:r>
                  </w:p>
                </w:tc>
                <w:tc>
                  <w:tcPr>
                    <w:tcW w:w="113" w:type="dxa"/>
                    <w:tcBorders>
                      <w:top w:val="nil"/>
                      <w:left w:val="nil"/>
                      <w:bottom w:val="nil"/>
                      <w:right w:val="nil"/>
                    </w:tcBorders>
                    <w:shd w:val="clear" w:color="auto" w:fill="auto"/>
                    <w:hideMark/>
                  </w:tcPr>
                  <w:p w:rsidR="00182B92" w:rsidRPr="00182B92" w:rsidRDefault="00182B92" w:rsidP="00182B92">
                    <w:pPr>
                      <w:kinsoku w:val="0"/>
                      <w:overflowPunct w:val="0"/>
                      <w:autoSpaceDE w:val="0"/>
                      <w:autoSpaceDN w:val="0"/>
                      <w:adjustRightInd w:val="0"/>
                      <w:snapToGrid w:val="0"/>
                      <w:jc w:val="right"/>
                      <w:rPr>
                        <w:rFonts w:cs="Arial"/>
                        <w:color w:val="000000"/>
                        <w:sz w:val="20"/>
                        <w:szCs w:val="20"/>
                      </w:rPr>
                    </w:pPr>
                    <w:r w:rsidRPr="00182B92">
                      <w:rPr>
                        <w:rFonts w:cs="Arial"/>
                        <w:color w:val="000000"/>
                        <w:sz w:val="20"/>
                        <w:szCs w:val="20"/>
                      </w:rPr>
                      <w:t xml:space="preserve"> </w:t>
                    </w:r>
                  </w:p>
                </w:tc>
                <w:tc>
                  <w:tcPr>
                    <w:tcW w:w="113" w:type="dxa"/>
                    <w:tcBorders>
                      <w:top w:val="nil"/>
                      <w:left w:val="nil"/>
                      <w:bottom w:val="nil"/>
                      <w:right w:val="nil"/>
                    </w:tcBorders>
                    <w:shd w:val="clear" w:color="auto" w:fill="auto"/>
                    <w:hideMark/>
                  </w:tcPr>
                  <w:p w:rsidR="00182B92" w:rsidRPr="00182B92" w:rsidRDefault="00182B92" w:rsidP="00182B92">
                    <w:pPr>
                      <w:kinsoku w:val="0"/>
                      <w:overflowPunct w:val="0"/>
                      <w:autoSpaceDE w:val="0"/>
                      <w:autoSpaceDN w:val="0"/>
                      <w:adjustRightInd w:val="0"/>
                      <w:snapToGrid w:val="0"/>
                      <w:jc w:val="right"/>
                      <w:rPr>
                        <w:rFonts w:cs="Arial"/>
                        <w:sz w:val="20"/>
                        <w:szCs w:val="20"/>
                      </w:rPr>
                    </w:pPr>
                    <w:r w:rsidRPr="00182B92">
                      <w:rPr>
                        <w:rFonts w:cs="Arial"/>
                        <w:color w:val="000000"/>
                        <w:sz w:val="20"/>
                        <w:szCs w:val="20"/>
                      </w:rPr>
                      <w:t xml:space="preserve"> </w:t>
                    </w:r>
                  </w:p>
                </w:tc>
                <w:tc>
                  <w:tcPr>
                    <w:tcW w:w="1902" w:type="dxa"/>
                    <w:tcBorders>
                      <w:top w:val="nil"/>
                      <w:left w:val="nil"/>
                      <w:bottom w:val="nil"/>
                      <w:right w:val="nil"/>
                    </w:tcBorders>
                    <w:shd w:val="clear" w:color="auto" w:fill="auto"/>
                    <w:noWrap/>
                    <w:hideMark/>
                  </w:tcPr>
                  <w:p w:rsidR="00182B92" w:rsidRPr="00182B92" w:rsidRDefault="00182B92" w:rsidP="00182B92">
                    <w:pPr>
                      <w:kinsoku w:val="0"/>
                      <w:overflowPunct w:val="0"/>
                      <w:autoSpaceDE w:val="0"/>
                      <w:autoSpaceDN w:val="0"/>
                      <w:adjustRightInd w:val="0"/>
                      <w:snapToGrid w:val="0"/>
                      <w:jc w:val="right"/>
                      <w:rPr>
                        <w:rFonts w:cs="Arial"/>
                        <w:color w:val="000000"/>
                        <w:sz w:val="20"/>
                        <w:szCs w:val="20"/>
                      </w:rPr>
                    </w:pPr>
                    <w:r w:rsidRPr="00182B92">
                      <w:rPr>
                        <w:rFonts w:cs="Arial"/>
                        <w:color w:val="000000"/>
                        <w:sz w:val="20"/>
                        <w:szCs w:val="20"/>
                      </w:rPr>
                      <w:t>2018年</w:t>
                    </w:r>
                    <w:r w:rsidRPr="00182B92">
                      <w:rPr>
                        <w:rFonts w:cs="Arial" w:hint="eastAsia"/>
                        <w:color w:val="000000"/>
                        <w:sz w:val="20"/>
                        <w:szCs w:val="20"/>
                      </w:rPr>
                      <w:t>1</w:t>
                    </w:r>
                    <w:r w:rsidRPr="00182B92">
                      <w:rPr>
                        <w:rFonts w:cs="Arial"/>
                        <w:color w:val="000000"/>
                        <w:sz w:val="20"/>
                        <w:szCs w:val="20"/>
                      </w:rPr>
                      <w:t>-6</w:t>
                    </w:r>
                    <w:r w:rsidRPr="00182B92">
                      <w:rPr>
                        <w:rFonts w:cs="Arial" w:hint="eastAsia"/>
                        <w:color w:val="000000"/>
                        <w:sz w:val="20"/>
                        <w:szCs w:val="20"/>
                      </w:rPr>
                      <w:t>月</w:t>
                    </w:r>
                  </w:p>
                </w:tc>
                <w:tc>
                  <w:tcPr>
                    <w:tcW w:w="113" w:type="dxa"/>
                    <w:tcBorders>
                      <w:top w:val="nil"/>
                      <w:left w:val="nil"/>
                      <w:bottom w:val="nil"/>
                      <w:right w:val="nil"/>
                    </w:tcBorders>
                    <w:shd w:val="clear" w:color="auto" w:fill="auto"/>
                    <w:noWrap/>
                    <w:vAlign w:val="center"/>
                    <w:hideMark/>
                  </w:tcPr>
                  <w:p w:rsidR="00182B92" w:rsidRPr="00182B92" w:rsidRDefault="00182B92" w:rsidP="00182B92">
                    <w:pPr>
                      <w:kinsoku w:val="0"/>
                      <w:overflowPunct w:val="0"/>
                      <w:autoSpaceDE w:val="0"/>
                      <w:autoSpaceDN w:val="0"/>
                      <w:adjustRightInd w:val="0"/>
                      <w:snapToGrid w:val="0"/>
                      <w:jc w:val="right"/>
                      <w:rPr>
                        <w:rFonts w:cs="Arial"/>
                        <w:color w:val="000000"/>
                        <w:sz w:val="20"/>
                        <w:szCs w:val="20"/>
                      </w:rPr>
                    </w:pPr>
                    <w:r w:rsidRPr="00182B92">
                      <w:rPr>
                        <w:rFonts w:cs="Arial"/>
                        <w:color w:val="000000"/>
                        <w:sz w:val="20"/>
                        <w:szCs w:val="20"/>
                      </w:rPr>
                      <w:t xml:space="preserve"> </w:t>
                    </w:r>
                  </w:p>
                </w:tc>
              </w:tr>
              <w:tr w:rsidR="00182B92" w:rsidRPr="00182B92" w:rsidTr="00182B92">
                <w:tc>
                  <w:tcPr>
                    <w:tcW w:w="4252" w:type="dxa"/>
                    <w:tcBorders>
                      <w:top w:val="nil"/>
                      <w:left w:val="nil"/>
                      <w:bottom w:val="nil"/>
                      <w:right w:val="nil"/>
                    </w:tcBorders>
                    <w:shd w:val="clear" w:color="auto" w:fill="auto"/>
                    <w:noWrap/>
                    <w:vAlign w:val="bottom"/>
                  </w:tcPr>
                  <w:p w:rsidR="00182B92" w:rsidRPr="00182B92" w:rsidRDefault="00182B92" w:rsidP="00182B92">
                    <w:pPr>
                      <w:kinsoku w:val="0"/>
                      <w:overflowPunct w:val="0"/>
                      <w:autoSpaceDE w:val="0"/>
                      <w:autoSpaceDN w:val="0"/>
                      <w:adjustRightInd w:val="0"/>
                      <w:snapToGrid w:val="0"/>
                      <w:jc w:val="right"/>
                      <w:rPr>
                        <w:rFonts w:cs="Arial"/>
                        <w:color w:val="000000"/>
                        <w:sz w:val="20"/>
                        <w:szCs w:val="20"/>
                      </w:rPr>
                    </w:pPr>
                  </w:p>
                </w:tc>
                <w:tc>
                  <w:tcPr>
                    <w:tcW w:w="113" w:type="dxa"/>
                    <w:tcBorders>
                      <w:top w:val="nil"/>
                      <w:left w:val="nil"/>
                      <w:bottom w:val="nil"/>
                      <w:right w:val="nil"/>
                    </w:tcBorders>
                    <w:shd w:val="clear" w:color="auto" w:fill="auto"/>
                    <w:vAlign w:val="bottom"/>
                  </w:tcPr>
                  <w:p w:rsidR="00182B92" w:rsidRPr="00182B92" w:rsidRDefault="00182B92" w:rsidP="00182B92">
                    <w:pPr>
                      <w:kinsoku w:val="0"/>
                      <w:overflowPunct w:val="0"/>
                      <w:autoSpaceDE w:val="0"/>
                      <w:autoSpaceDN w:val="0"/>
                      <w:adjustRightInd w:val="0"/>
                      <w:snapToGrid w:val="0"/>
                      <w:rPr>
                        <w:rFonts w:cs="Arial"/>
                        <w:color w:val="000000"/>
                        <w:sz w:val="20"/>
                        <w:szCs w:val="20"/>
                      </w:rPr>
                    </w:pPr>
                  </w:p>
                </w:tc>
                <w:tc>
                  <w:tcPr>
                    <w:tcW w:w="1871" w:type="dxa"/>
                    <w:tcBorders>
                      <w:top w:val="nil"/>
                      <w:left w:val="nil"/>
                      <w:bottom w:val="nil"/>
                      <w:right w:val="nil"/>
                    </w:tcBorders>
                    <w:shd w:val="clear" w:color="auto" w:fill="auto"/>
                    <w:noWrap/>
                    <w:vAlign w:val="bottom"/>
                  </w:tcPr>
                  <w:p w:rsidR="00182B92" w:rsidRPr="00182B92" w:rsidRDefault="00182B92" w:rsidP="00182B92">
                    <w:pPr>
                      <w:kinsoku w:val="0"/>
                      <w:overflowPunct w:val="0"/>
                      <w:autoSpaceDE w:val="0"/>
                      <w:autoSpaceDN w:val="0"/>
                      <w:adjustRightInd w:val="0"/>
                      <w:snapToGrid w:val="0"/>
                      <w:jc w:val="right"/>
                      <w:rPr>
                        <w:rFonts w:cs="Arial"/>
                        <w:color w:val="000000"/>
                        <w:sz w:val="20"/>
                        <w:szCs w:val="20"/>
                      </w:rPr>
                    </w:pPr>
                  </w:p>
                </w:tc>
                <w:tc>
                  <w:tcPr>
                    <w:tcW w:w="113" w:type="dxa"/>
                    <w:tcBorders>
                      <w:top w:val="nil"/>
                      <w:left w:val="nil"/>
                      <w:bottom w:val="nil"/>
                      <w:right w:val="nil"/>
                    </w:tcBorders>
                    <w:shd w:val="clear" w:color="auto" w:fill="auto"/>
                    <w:vAlign w:val="bottom"/>
                  </w:tcPr>
                  <w:p w:rsidR="00182B92" w:rsidRPr="00182B92" w:rsidRDefault="00182B92" w:rsidP="00182B92">
                    <w:pPr>
                      <w:kinsoku w:val="0"/>
                      <w:overflowPunct w:val="0"/>
                      <w:autoSpaceDE w:val="0"/>
                      <w:autoSpaceDN w:val="0"/>
                      <w:adjustRightInd w:val="0"/>
                      <w:snapToGrid w:val="0"/>
                      <w:jc w:val="right"/>
                      <w:rPr>
                        <w:rFonts w:cs="Arial"/>
                        <w:color w:val="000000"/>
                        <w:sz w:val="20"/>
                        <w:szCs w:val="20"/>
                      </w:rPr>
                    </w:pPr>
                  </w:p>
                </w:tc>
                <w:tc>
                  <w:tcPr>
                    <w:tcW w:w="113" w:type="dxa"/>
                    <w:tcBorders>
                      <w:top w:val="nil"/>
                      <w:left w:val="nil"/>
                      <w:bottom w:val="nil"/>
                      <w:right w:val="nil"/>
                    </w:tcBorders>
                    <w:shd w:val="clear" w:color="auto" w:fill="auto"/>
                    <w:vAlign w:val="bottom"/>
                  </w:tcPr>
                  <w:p w:rsidR="00182B92" w:rsidRPr="00182B92" w:rsidRDefault="00182B92" w:rsidP="00182B92">
                    <w:pPr>
                      <w:kinsoku w:val="0"/>
                      <w:overflowPunct w:val="0"/>
                      <w:autoSpaceDE w:val="0"/>
                      <w:autoSpaceDN w:val="0"/>
                      <w:adjustRightInd w:val="0"/>
                      <w:snapToGrid w:val="0"/>
                      <w:jc w:val="right"/>
                      <w:rPr>
                        <w:rFonts w:cs="Arial"/>
                        <w:color w:val="000000"/>
                        <w:sz w:val="20"/>
                        <w:szCs w:val="20"/>
                      </w:rPr>
                    </w:pPr>
                  </w:p>
                </w:tc>
                <w:tc>
                  <w:tcPr>
                    <w:tcW w:w="1902" w:type="dxa"/>
                    <w:tcBorders>
                      <w:top w:val="nil"/>
                      <w:left w:val="nil"/>
                      <w:bottom w:val="nil"/>
                      <w:right w:val="nil"/>
                    </w:tcBorders>
                    <w:shd w:val="clear" w:color="auto" w:fill="auto"/>
                    <w:noWrap/>
                    <w:vAlign w:val="bottom"/>
                  </w:tcPr>
                  <w:p w:rsidR="00182B92" w:rsidRPr="00182B92" w:rsidRDefault="00182B92" w:rsidP="00182B92">
                    <w:pPr>
                      <w:kinsoku w:val="0"/>
                      <w:overflowPunct w:val="0"/>
                      <w:autoSpaceDE w:val="0"/>
                      <w:autoSpaceDN w:val="0"/>
                      <w:adjustRightInd w:val="0"/>
                      <w:snapToGrid w:val="0"/>
                      <w:jc w:val="right"/>
                      <w:rPr>
                        <w:rFonts w:cs="Arial"/>
                        <w:color w:val="000000"/>
                        <w:sz w:val="20"/>
                        <w:szCs w:val="20"/>
                      </w:rPr>
                    </w:pPr>
                  </w:p>
                </w:tc>
                <w:tc>
                  <w:tcPr>
                    <w:tcW w:w="113" w:type="dxa"/>
                    <w:tcBorders>
                      <w:top w:val="nil"/>
                      <w:left w:val="nil"/>
                      <w:bottom w:val="nil"/>
                      <w:right w:val="nil"/>
                    </w:tcBorders>
                    <w:shd w:val="clear" w:color="auto" w:fill="auto"/>
                    <w:noWrap/>
                    <w:vAlign w:val="center"/>
                  </w:tcPr>
                  <w:p w:rsidR="00182B92" w:rsidRPr="00182B92" w:rsidRDefault="00182B92" w:rsidP="00182B92">
                    <w:pPr>
                      <w:kinsoku w:val="0"/>
                      <w:overflowPunct w:val="0"/>
                      <w:autoSpaceDE w:val="0"/>
                      <w:autoSpaceDN w:val="0"/>
                      <w:adjustRightInd w:val="0"/>
                      <w:snapToGrid w:val="0"/>
                      <w:jc w:val="right"/>
                      <w:rPr>
                        <w:rFonts w:cs="Arial"/>
                        <w:color w:val="000000"/>
                        <w:sz w:val="20"/>
                        <w:szCs w:val="20"/>
                      </w:rPr>
                    </w:pPr>
                  </w:p>
                </w:tc>
              </w:tr>
              <w:tr w:rsidR="00182B92" w:rsidRPr="00182B92" w:rsidTr="00182B92">
                <w:tc>
                  <w:tcPr>
                    <w:tcW w:w="4252" w:type="dxa"/>
                    <w:tcBorders>
                      <w:top w:val="nil"/>
                      <w:left w:val="nil"/>
                      <w:bottom w:val="nil"/>
                      <w:right w:val="nil"/>
                    </w:tcBorders>
                    <w:shd w:val="clear" w:color="auto" w:fill="auto"/>
                    <w:noWrap/>
                    <w:vAlign w:val="bottom"/>
                  </w:tcPr>
                  <w:p w:rsidR="00182B92" w:rsidRPr="00182B92" w:rsidRDefault="00182B92" w:rsidP="00182B92">
                    <w:pPr>
                      <w:kinsoku w:val="0"/>
                      <w:overflowPunct w:val="0"/>
                      <w:autoSpaceDE w:val="0"/>
                      <w:autoSpaceDN w:val="0"/>
                      <w:adjustRightInd w:val="0"/>
                      <w:snapToGrid w:val="0"/>
                      <w:rPr>
                        <w:rFonts w:cs="Arial"/>
                        <w:color w:val="000000"/>
                        <w:sz w:val="20"/>
                        <w:szCs w:val="20"/>
                      </w:rPr>
                    </w:pPr>
                    <w:r w:rsidRPr="00182B92">
                      <w:rPr>
                        <w:rFonts w:cs="Arial"/>
                        <w:snapToGrid w:val="0"/>
                        <w:sz w:val="20"/>
                        <w:szCs w:val="20"/>
                      </w:rPr>
                      <w:t>授予的各项权益工具总额</w:t>
                    </w:r>
                    <w:r w:rsidRPr="00182B92">
                      <w:rPr>
                        <w:rFonts w:cs="Arial" w:hint="eastAsia"/>
                        <w:snapToGrid w:val="0"/>
                        <w:sz w:val="20"/>
                        <w:szCs w:val="20"/>
                      </w:rPr>
                      <w:t>(注1)</w:t>
                    </w:r>
                  </w:p>
                </w:tc>
                <w:tc>
                  <w:tcPr>
                    <w:tcW w:w="113" w:type="dxa"/>
                    <w:tcBorders>
                      <w:top w:val="nil"/>
                      <w:left w:val="nil"/>
                      <w:bottom w:val="nil"/>
                      <w:right w:val="nil"/>
                    </w:tcBorders>
                    <w:shd w:val="clear" w:color="auto" w:fill="auto"/>
                    <w:vAlign w:val="bottom"/>
                  </w:tcPr>
                  <w:p w:rsidR="00182B92" w:rsidRPr="00182B92" w:rsidRDefault="00182B92" w:rsidP="00182B92">
                    <w:pPr>
                      <w:kinsoku w:val="0"/>
                      <w:overflowPunct w:val="0"/>
                      <w:autoSpaceDE w:val="0"/>
                      <w:autoSpaceDN w:val="0"/>
                      <w:adjustRightInd w:val="0"/>
                      <w:snapToGrid w:val="0"/>
                      <w:rPr>
                        <w:rFonts w:cs="Arial"/>
                        <w:color w:val="000000"/>
                        <w:sz w:val="20"/>
                        <w:szCs w:val="20"/>
                      </w:rPr>
                    </w:pPr>
                  </w:p>
                </w:tc>
                <w:tc>
                  <w:tcPr>
                    <w:tcW w:w="1871" w:type="dxa"/>
                    <w:tcBorders>
                      <w:top w:val="nil"/>
                      <w:left w:val="nil"/>
                      <w:bottom w:val="nil"/>
                      <w:right w:val="nil"/>
                    </w:tcBorders>
                    <w:shd w:val="clear" w:color="auto" w:fill="auto"/>
                    <w:noWrap/>
                    <w:vAlign w:val="bottom"/>
                  </w:tcPr>
                  <w:p w:rsidR="00182B92" w:rsidRPr="00182B92" w:rsidRDefault="00182B92" w:rsidP="00182B92">
                    <w:pPr>
                      <w:kinsoku w:val="0"/>
                      <w:overflowPunct w:val="0"/>
                      <w:autoSpaceDE w:val="0"/>
                      <w:autoSpaceDN w:val="0"/>
                      <w:adjustRightInd w:val="0"/>
                      <w:snapToGrid w:val="0"/>
                      <w:jc w:val="right"/>
                      <w:rPr>
                        <w:rFonts w:cs="Arial"/>
                        <w:color w:val="000000"/>
                        <w:sz w:val="20"/>
                        <w:szCs w:val="20"/>
                      </w:rPr>
                    </w:pPr>
                    <w:r w:rsidRPr="00182B92">
                      <w:rPr>
                        <w:rFonts w:cs="Arial"/>
                        <w:snapToGrid w:val="0"/>
                        <w:sz w:val="20"/>
                        <w:szCs w:val="20"/>
                      </w:rPr>
                      <w:t>-</w:t>
                    </w:r>
                  </w:p>
                </w:tc>
                <w:tc>
                  <w:tcPr>
                    <w:tcW w:w="113" w:type="dxa"/>
                    <w:tcBorders>
                      <w:top w:val="nil"/>
                      <w:left w:val="nil"/>
                      <w:bottom w:val="nil"/>
                      <w:right w:val="nil"/>
                    </w:tcBorders>
                    <w:shd w:val="clear" w:color="auto" w:fill="auto"/>
                    <w:vAlign w:val="bottom"/>
                  </w:tcPr>
                  <w:p w:rsidR="00182B92" w:rsidRPr="00182B92" w:rsidRDefault="00182B92" w:rsidP="00182B92">
                    <w:pPr>
                      <w:kinsoku w:val="0"/>
                      <w:overflowPunct w:val="0"/>
                      <w:autoSpaceDE w:val="0"/>
                      <w:autoSpaceDN w:val="0"/>
                      <w:adjustRightInd w:val="0"/>
                      <w:snapToGrid w:val="0"/>
                      <w:jc w:val="right"/>
                      <w:rPr>
                        <w:rFonts w:cs="Arial"/>
                        <w:color w:val="000000"/>
                        <w:sz w:val="20"/>
                        <w:szCs w:val="20"/>
                      </w:rPr>
                    </w:pPr>
                  </w:p>
                </w:tc>
                <w:tc>
                  <w:tcPr>
                    <w:tcW w:w="113" w:type="dxa"/>
                    <w:tcBorders>
                      <w:top w:val="nil"/>
                      <w:left w:val="nil"/>
                      <w:bottom w:val="nil"/>
                      <w:right w:val="nil"/>
                    </w:tcBorders>
                    <w:shd w:val="clear" w:color="auto" w:fill="auto"/>
                    <w:vAlign w:val="bottom"/>
                  </w:tcPr>
                  <w:p w:rsidR="00182B92" w:rsidRPr="00182B92" w:rsidRDefault="00182B92" w:rsidP="00182B92">
                    <w:pPr>
                      <w:kinsoku w:val="0"/>
                      <w:overflowPunct w:val="0"/>
                      <w:autoSpaceDE w:val="0"/>
                      <w:autoSpaceDN w:val="0"/>
                      <w:adjustRightInd w:val="0"/>
                      <w:snapToGrid w:val="0"/>
                      <w:jc w:val="right"/>
                      <w:rPr>
                        <w:rFonts w:cs="Arial"/>
                        <w:color w:val="000000"/>
                        <w:sz w:val="20"/>
                        <w:szCs w:val="20"/>
                      </w:rPr>
                    </w:pPr>
                  </w:p>
                </w:tc>
                <w:tc>
                  <w:tcPr>
                    <w:tcW w:w="1902" w:type="dxa"/>
                    <w:tcBorders>
                      <w:top w:val="nil"/>
                      <w:left w:val="nil"/>
                      <w:bottom w:val="nil"/>
                      <w:right w:val="nil"/>
                    </w:tcBorders>
                    <w:shd w:val="clear" w:color="auto" w:fill="auto"/>
                    <w:noWrap/>
                    <w:vAlign w:val="bottom"/>
                  </w:tcPr>
                  <w:p w:rsidR="00182B92" w:rsidRPr="00182B92" w:rsidRDefault="00182B92" w:rsidP="00182B92">
                    <w:pPr>
                      <w:kinsoku w:val="0"/>
                      <w:overflowPunct w:val="0"/>
                      <w:autoSpaceDE w:val="0"/>
                      <w:autoSpaceDN w:val="0"/>
                      <w:adjustRightInd w:val="0"/>
                      <w:snapToGrid w:val="0"/>
                      <w:jc w:val="right"/>
                      <w:rPr>
                        <w:rFonts w:cs="Arial"/>
                        <w:color w:val="000000"/>
                        <w:sz w:val="20"/>
                        <w:szCs w:val="20"/>
                      </w:rPr>
                    </w:pPr>
                    <w:r w:rsidRPr="00182B92">
                      <w:rPr>
                        <w:rFonts w:cs="Arial"/>
                        <w:snapToGrid w:val="0"/>
                        <w:sz w:val="20"/>
                        <w:szCs w:val="20"/>
                      </w:rPr>
                      <w:t>-</w:t>
                    </w:r>
                  </w:p>
                </w:tc>
                <w:tc>
                  <w:tcPr>
                    <w:tcW w:w="113" w:type="dxa"/>
                    <w:tcBorders>
                      <w:top w:val="nil"/>
                      <w:left w:val="nil"/>
                      <w:bottom w:val="nil"/>
                      <w:right w:val="nil"/>
                    </w:tcBorders>
                    <w:shd w:val="clear" w:color="auto" w:fill="auto"/>
                    <w:noWrap/>
                    <w:vAlign w:val="center"/>
                  </w:tcPr>
                  <w:p w:rsidR="00182B92" w:rsidRPr="00182B92" w:rsidRDefault="00182B92" w:rsidP="00182B92">
                    <w:pPr>
                      <w:kinsoku w:val="0"/>
                      <w:overflowPunct w:val="0"/>
                      <w:autoSpaceDE w:val="0"/>
                      <w:autoSpaceDN w:val="0"/>
                      <w:adjustRightInd w:val="0"/>
                      <w:snapToGrid w:val="0"/>
                      <w:jc w:val="right"/>
                      <w:rPr>
                        <w:rFonts w:cs="Arial"/>
                        <w:color w:val="000000"/>
                        <w:sz w:val="20"/>
                        <w:szCs w:val="20"/>
                      </w:rPr>
                    </w:pPr>
                  </w:p>
                </w:tc>
              </w:tr>
              <w:tr w:rsidR="00182B92" w:rsidRPr="00182B92" w:rsidTr="00182B92">
                <w:tc>
                  <w:tcPr>
                    <w:tcW w:w="4252" w:type="dxa"/>
                    <w:tcBorders>
                      <w:top w:val="nil"/>
                      <w:left w:val="nil"/>
                      <w:bottom w:val="nil"/>
                      <w:right w:val="nil"/>
                    </w:tcBorders>
                    <w:shd w:val="clear" w:color="auto" w:fill="auto"/>
                    <w:noWrap/>
                    <w:vAlign w:val="bottom"/>
                  </w:tcPr>
                  <w:p w:rsidR="00182B92" w:rsidRPr="00182B92" w:rsidRDefault="00182B92" w:rsidP="00182B92">
                    <w:pPr>
                      <w:kinsoku w:val="0"/>
                      <w:overflowPunct w:val="0"/>
                      <w:autoSpaceDE w:val="0"/>
                      <w:autoSpaceDN w:val="0"/>
                      <w:adjustRightInd w:val="0"/>
                      <w:snapToGrid w:val="0"/>
                      <w:rPr>
                        <w:rFonts w:cs="Arial"/>
                        <w:snapToGrid w:val="0"/>
                        <w:sz w:val="20"/>
                        <w:szCs w:val="20"/>
                      </w:rPr>
                    </w:pPr>
                    <w:r w:rsidRPr="00182B92">
                      <w:rPr>
                        <w:rFonts w:cs="Arial" w:hint="eastAsia"/>
                        <w:snapToGrid w:val="0"/>
                        <w:sz w:val="20"/>
                        <w:szCs w:val="20"/>
                      </w:rPr>
                      <w:t>行权的各项权益工具总额</w:t>
                    </w:r>
                  </w:p>
                </w:tc>
                <w:tc>
                  <w:tcPr>
                    <w:tcW w:w="113" w:type="dxa"/>
                    <w:tcBorders>
                      <w:top w:val="nil"/>
                      <w:left w:val="nil"/>
                      <w:bottom w:val="nil"/>
                      <w:right w:val="nil"/>
                    </w:tcBorders>
                    <w:shd w:val="clear" w:color="auto" w:fill="auto"/>
                    <w:vAlign w:val="bottom"/>
                  </w:tcPr>
                  <w:p w:rsidR="00182B92" w:rsidRPr="00182B92" w:rsidRDefault="00182B92" w:rsidP="00182B92">
                    <w:pPr>
                      <w:kinsoku w:val="0"/>
                      <w:overflowPunct w:val="0"/>
                      <w:autoSpaceDE w:val="0"/>
                      <w:autoSpaceDN w:val="0"/>
                      <w:adjustRightInd w:val="0"/>
                      <w:snapToGrid w:val="0"/>
                      <w:rPr>
                        <w:rFonts w:cs="Arial"/>
                        <w:color w:val="000000"/>
                        <w:sz w:val="20"/>
                        <w:szCs w:val="20"/>
                      </w:rPr>
                    </w:pPr>
                  </w:p>
                </w:tc>
                <w:tc>
                  <w:tcPr>
                    <w:tcW w:w="1871" w:type="dxa"/>
                    <w:tcBorders>
                      <w:top w:val="nil"/>
                      <w:left w:val="nil"/>
                      <w:bottom w:val="nil"/>
                      <w:right w:val="nil"/>
                    </w:tcBorders>
                    <w:shd w:val="clear" w:color="auto" w:fill="auto"/>
                    <w:noWrap/>
                    <w:vAlign w:val="center"/>
                  </w:tcPr>
                  <w:p w:rsidR="00182B92" w:rsidRPr="00182B92" w:rsidRDefault="00182B92" w:rsidP="00182B92">
                    <w:pPr>
                      <w:kinsoku w:val="0"/>
                      <w:overflowPunct w:val="0"/>
                      <w:autoSpaceDE w:val="0"/>
                      <w:autoSpaceDN w:val="0"/>
                      <w:adjustRightInd w:val="0"/>
                      <w:snapToGrid w:val="0"/>
                      <w:jc w:val="right"/>
                      <w:rPr>
                        <w:rFonts w:cs="Arial"/>
                        <w:color w:val="000000"/>
                        <w:sz w:val="20"/>
                        <w:szCs w:val="20"/>
                      </w:rPr>
                    </w:pPr>
                    <w:r w:rsidRPr="00182B92">
                      <w:rPr>
                        <w:rFonts w:cs="Arial" w:hint="eastAsia"/>
                        <w:snapToGrid w:val="0"/>
                        <w:sz w:val="20"/>
                        <w:szCs w:val="20"/>
                      </w:rPr>
                      <w:t>-</w:t>
                    </w:r>
                  </w:p>
                </w:tc>
                <w:tc>
                  <w:tcPr>
                    <w:tcW w:w="113" w:type="dxa"/>
                    <w:tcBorders>
                      <w:top w:val="nil"/>
                      <w:left w:val="nil"/>
                      <w:bottom w:val="nil"/>
                      <w:right w:val="nil"/>
                    </w:tcBorders>
                    <w:shd w:val="clear" w:color="auto" w:fill="auto"/>
                    <w:vAlign w:val="bottom"/>
                  </w:tcPr>
                  <w:p w:rsidR="00182B92" w:rsidRPr="00182B92" w:rsidRDefault="00182B92" w:rsidP="00182B92">
                    <w:pPr>
                      <w:kinsoku w:val="0"/>
                      <w:overflowPunct w:val="0"/>
                      <w:autoSpaceDE w:val="0"/>
                      <w:autoSpaceDN w:val="0"/>
                      <w:adjustRightInd w:val="0"/>
                      <w:snapToGrid w:val="0"/>
                      <w:jc w:val="right"/>
                      <w:rPr>
                        <w:rFonts w:cs="Arial"/>
                        <w:color w:val="000000"/>
                        <w:sz w:val="20"/>
                        <w:szCs w:val="20"/>
                      </w:rPr>
                    </w:pPr>
                  </w:p>
                </w:tc>
                <w:tc>
                  <w:tcPr>
                    <w:tcW w:w="113" w:type="dxa"/>
                    <w:tcBorders>
                      <w:top w:val="nil"/>
                      <w:left w:val="nil"/>
                      <w:bottom w:val="nil"/>
                      <w:right w:val="nil"/>
                    </w:tcBorders>
                    <w:shd w:val="clear" w:color="auto" w:fill="auto"/>
                    <w:vAlign w:val="bottom"/>
                  </w:tcPr>
                  <w:p w:rsidR="00182B92" w:rsidRPr="00182B92" w:rsidRDefault="00182B92" w:rsidP="00182B92">
                    <w:pPr>
                      <w:kinsoku w:val="0"/>
                      <w:overflowPunct w:val="0"/>
                      <w:autoSpaceDE w:val="0"/>
                      <w:autoSpaceDN w:val="0"/>
                      <w:adjustRightInd w:val="0"/>
                      <w:snapToGrid w:val="0"/>
                      <w:jc w:val="right"/>
                      <w:rPr>
                        <w:rFonts w:cs="Arial"/>
                        <w:color w:val="000000"/>
                        <w:sz w:val="20"/>
                        <w:szCs w:val="20"/>
                      </w:rPr>
                    </w:pPr>
                  </w:p>
                </w:tc>
                <w:tc>
                  <w:tcPr>
                    <w:tcW w:w="1902" w:type="dxa"/>
                    <w:tcBorders>
                      <w:top w:val="nil"/>
                      <w:left w:val="nil"/>
                      <w:bottom w:val="nil"/>
                      <w:right w:val="nil"/>
                    </w:tcBorders>
                    <w:shd w:val="clear" w:color="auto" w:fill="auto"/>
                    <w:noWrap/>
                    <w:vAlign w:val="center"/>
                  </w:tcPr>
                  <w:p w:rsidR="00182B92" w:rsidRPr="00182B92" w:rsidRDefault="00182B92" w:rsidP="00182B92">
                    <w:pPr>
                      <w:kinsoku w:val="0"/>
                      <w:overflowPunct w:val="0"/>
                      <w:autoSpaceDE w:val="0"/>
                      <w:autoSpaceDN w:val="0"/>
                      <w:adjustRightInd w:val="0"/>
                      <w:snapToGrid w:val="0"/>
                      <w:jc w:val="right"/>
                      <w:rPr>
                        <w:rFonts w:cs="Arial"/>
                        <w:snapToGrid w:val="0"/>
                        <w:sz w:val="20"/>
                        <w:szCs w:val="20"/>
                      </w:rPr>
                    </w:pPr>
                    <w:r w:rsidRPr="00182B92">
                      <w:rPr>
                        <w:rFonts w:cs="Arial" w:hint="eastAsia"/>
                        <w:snapToGrid w:val="0"/>
                        <w:sz w:val="20"/>
                        <w:szCs w:val="20"/>
                      </w:rPr>
                      <w:t>-</w:t>
                    </w:r>
                  </w:p>
                </w:tc>
                <w:tc>
                  <w:tcPr>
                    <w:tcW w:w="113" w:type="dxa"/>
                    <w:tcBorders>
                      <w:top w:val="nil"/>
                      <w:left w:val="nil"/>
                      <w:bottom w:val="nil"/>
                      <w:right w:val="nil"/>
                    </w:tcBorders>
                    <w:shd w:val="clear" w:color="auto" w:fill="auto"/>
                    <w:noWrap/>
                    <w:vAlign w:val="center"/>
                  </w:tcPr>
                  <w:p w:rsidR="00182B92" w:rsidRPr="00182B92" w:rsidRDefault="00182B92" w:rsidP="00182B92">
                    <w:pPr>
                      <w:kinsoku w:val="0"/>
                      <w:overflowPunct w:val="0"/>
                      <w:autoSpaceDE w:val="0"/>
                      <w:autoSpaceDN w:val="0"/>
                      <w:adjustRightInd w:val="0"/>
                      <w:snapToGrid w:val="0"/>
                      <w:jc w:val="right"/>
                      <w:rPr>
                        <w:rFonts w:cs="Arial"/>
                        <w:color w:val="000000"/>
                        <w:sz w:val="20"/>
                        <w:szCs w:val="20"/>
                      </w:rPr>
                    </w:pPr>
                  </w:p>
                </w:tc>
              </w:tr>
              <w:tr w:rsidR="00182B92" w:rsidRPr="00182B92" w:rsidTr="00182B92">
                <w:tc>
                  <w:tcPr>
                    <w:tcW w:w="4252" w:type="dxa"/>
                    <w:tcBorders>
                      <w:top w:val="nil"/>
                      <w:left w:val="nil"/>
                      <w:bottom w:val="nil"/>
                      <w:right w:val="nil"/>
                    </w:tcBorders>
                    <w:shd w:val="clear" w:color="auto" w:fill="auto"/>
                    <w:noWrap/>
                    <w:vAlign w:val="bottom"/>
                  </w:tcPr>
                  <w:p w:rsidR="00182B92" w:rsidRPr="00182B92" w:rsidRDefault="00182B92" w:rsidP="00182B92">
                    <w:pPr>
                      <w:kinsoku w:val="0"/>
                      <w:overflowPunct w:val="0"/>
                      <w:autoSpaceDE w:val="0"/>
                      <w:autoSpaceDN w:val="0"/>
                      <w:adjustRightInd w:val="0"/>
                      <w:snapToGrid w:val="0"/>
                      <w:rPr>
                        <w:rFonts w:cs="Arial"/>
                        <w:snapToGrid w:val="0"/>
                        <w:sz w:val="20"/>
                        <w:szCs w:val="20"/>
                      </w:rPr>
                    </w:pPr>
                    <w:r w:rsidRPr="00182B92">
                      <w:rPr>
                        <w:rFonts w:cs="Arial" w:hint="eastAsia"/>
                        <w:snapToGrid w:val="0"/>
                        <w:sz w:val="20"/>
                        <w:szCs w:val="20"/>
                      </w:rPr>
                      <w:t>失效的各项权益工具总额</w:t>
                    </w:r>
                  </w:p>
                </w:tc>
                <w:tc>
                  <w:tcPr>
                    <w:tcW w:w="113" w:type="dxa"/>
                    <w:tcBorders>
                      <w:top w:val="nil"/>
                      <w:left w:val="nil"/>
                      <w:bottom w:val="nil"/>
                      <w:right w:val="nil"/>
                    </w:tcBorders>
                    <w:shd w:val="clear" w:color="auto" w:fill="auto"/>
                    <w:vAlign w:val="bottom"/>
                  </w:tcPr>
                  <w:p w:rsidR="00182B92" w:rsidRPr="00182B92" w:rsidRDefault="00182B92" w:rsidP="00182B92">
                    <w:pPr>
                      <w:kinsoku w:val="0"/>
                      <w:overflowPunct w:val="0"/>
                      <w:autoSpaceDE w:val="0"/>
                      <w:autoSpaceDN w:val="0"/>
                      <w:adjustRightInd w:val="0"/>
                      <w:snapToGrid w:val="0"/>
                      <w:rPr>
                        <w:rFonts w:cs="Arial"/>
                        <w:color w:val="000000"/>
                        <w:sz w:val="20"/>
                        <w:szCs w:val="20"/>
                      </w:rPr>
                    </w:pPr>
                  </w:p>
                </w:tc>
                <w:tc>
                  <w:tcPr>
                    <w:tcW w:w="1871" w:type="dxa"/>
                    <w:tcBorders>
                      <w:top w:val="nil"/>
                      <w:left w:val="nil"/>
                      <w:bottom w:val="nil"/>
                      <w:right w:val="nil"/>
                    </w:tcBorders>
                    <w:shd w:val="clear" w:color="auto" w:fill="auto"/>
                    <w:noWrap/>
                    <w:vAlign w:val="center"/>
                  </w:tcPr>
                  <w:p w:rsidR="00182B92" w:rsidRPr="00182B92" w:rsidRDefault="00182B92" w:rsidP="00182B92">
                    <w:pPr>
                      <w:kinsoku w:val="0"/>
                      <w:overflowPunct w:val="0"/>
                      <w:autoSpaceDE w:val="0"/>
                      <w:autoSpaceDN w:val="0"/>
                      <w:adjustRightInd w:val="0"/>
                      <w:snapToGrid w:val="0"/>
                      <w:jc w:val="right"/>
                      <w:rPr>
                        <w:rFonts w:cs="Arial"/>
                        <w:color w:val="000000"/>
                        <w:sz w:val="20"/>
                        <w:szCs w:val="20"/>
                      </w:rPr>
                    </w:pPr>
                    <w:r w:rsidRPr="00182B92">
                      <w:rPr>
                        <w:rFonts w:cs="Arial" w:hint="eastAsia"/>
                        <w:snapToGrid w:val="0"/>
                        <w:sz w:val="20"/>
                        <w:szCs w:val="20"/>
                      </w:rPr>
                      <w:t>-</w:t>
                    </w:r>
                  </w:p>
                </w:tc>
                <w:tc>
                  <w:tcPr>
                    <w:tcW w:w="113" w:type="dxa"/>
                    <w:tcBorders>
                      <w:top w:val="nil"/>
                      <w:left w:val="nil"/>
                      <w:bottom w:val="nil"/>
                      <w:right w:val="nil"/>
                    </w:tcBorders>
                    <w:shd w:val="clear" w:color="auto" w:fill="auto"/>
                    <w:vAlign w:val="bottom"/>
                  </w:tcPr>
                  <w:p w:rsidR="00182B92" w:rsidRPr="00182B92" w:rsidRDefault="00182B92" w:rsidP="00182B92">
                    <w:pPr>
                      <w:kinsoku w:val="0"/>
                      <w:overflowPunct w:val="0"/>
                      <w:autoSpaceDE w:val="0"/>
                      <w:autoSpaceDN w:val="0"/>
                      <w:adjustRightInd w:val="0"/>
                      <w:snapToGrid w:val="0"/>
                      <w:jc w:val="right"/>
                      <w:rPr>
                        <w:rFonts w:cs="Arial"/>
                        <w:color w:val="000000"/>
                        <w:sz w:val="20"/>
                        <w:szCs w:val="20"/>
                      </w:rPr>
                    </w:pPr>
                  </w:p>
                </w:tc>
                <w:tc>
                  <w:tcPr>
                    <w:tcW w:w="113" w:type="dxa"/>
                    <w:tcBorders>
                      <w:top w:val="nil"/>
                      <w:left w:val="nil"/>
                      <w:bottom w:val="nil"/>
                      <w:right w:val="nil"/>
                    </w:tcBorders>
                    <w:shd w:val="clear" w:color="auto" w:fill="auto"/>
                    <w:vAlign w:val="bottom"/>
                  </w:tcPr>
                  <w:p w:rsidR="00182B92" w:rsidRPr="00182B92" w:rsidRDefault="00182B92" w:rsidP="00182B92">
                    <w:pPr>
                      <w:kinsoku w:val="0"/>
                      <w:overflowPunct w:val="0"/>
                      <w:autoSpaceDE w:val="0"/>
                      <w:autoSpaceDN w:val="0"/>
                      <w:adjustRightInd w:val="0"/>
                      <w:snapToGrid w:val="0"/>
                      <w:jc w:val="right"/>
                      <w:rPr>
                        <w:rFonts w:cs="Arial"/>
                        <w:color w:val="000000"/>
                        <w:sz w:val="20"/>
                        <w:szCs w:val="20"/>
                      </w:rPr>
                    </w:pPr>
                  </w:p>
                </w:tc>
                <w:tc>
                  <w:tcPr>
                    <w:tcW w:w="1902" w:type="dxa"/>
                    <w:tcBorders>
                      <w:top w:val="nil"/>
                      <w:left w:val="nil"/>
                      <w:bottom w:val="nil"/>
                      <w:right w:val="nil"/>
                    </w:tcBorders>
                    <w:shd w:val="clear" w:color="auto" w:fill="auto"/>
                    <w:noWrap/>
                    <w:vAlign w:val="center"/>
                  </w:tcPr>
                  <w:p w:rsidR="00182B92" w:rsidRPr="00182B92" w:rsidRDefault="00182B92" w:rsidP="00182B92">
                    <w:pPr>
                      <w:kinsoku w:val="0"/>
                      <w:overflowPunct w:val="0"/>
                      <w:autoSpaceDE w:val="0"/>
                      <w:autoSpaceDN w:val="0"/>
                      <w:adjustRightInd w:val="0"/>
                      <w:snapToGrid w:val="0"/>
                      <w:jc w:val="right"/>
                      <w:rPr>
                        <w:rFonts w:cs="Arial"/>
                        <w:snapToGrid w:val="0"/>
                        <w:sz w:val="20"/>
                        <w:szCs w:val="20"/>
                      </w:rPr>
                    </w:pPr>
                    <w:r w:rsidRPr="00182B92">
                      <w:rPr>
                        <w:rFonts w:cs="Arial" w:hint="eastAsia"/>
                        <w:snapToGrid w:val="0"/>
                        <w:sz w:val="20"/>
                        <w:szCs w:val="20"/>
                      </w:rPr>
                      <w:t>-</w:t>
                    </w:r>
                  </w:p>
                </w:tc>
                <w:tc>
                  <w:tcPr>
                    <w:tcW w:w="113" w:type="dxa"/>
                    <w:tcBorders>
                      <w:top w:val="nil"/>
                      <w:left w:val="nil"/>
                      <w:bottom w:val="nil"/>
                      <w:right w:val="nil"/>
                    </w:tcBorders>
                    <w:shd w:val="clear" w:color="auto" w:fill="auto"/>
                    <w:noWrap/>
                    <w:vAlign w:val="center"/>
                  </w:tcPr>
                  <w:p w:rsidR="00182B92" w:rsidRPr="00182B92" w:rsidRDefault="00182B92" w:rsidP="00182B92">
                    <w:pPr>
                      <w:kinsoku w:val="0"/>
                      <w:overflowPunct w:val="0"/>
                      <w:autoSpaceDE w:val="0"/>
                      <w:autoSpaceDN w:val="0"/>
                      <w:adjustRightInd w:val="0"/>
                      <w:snapToGrid w:val="0"/>
                      <w:jc w:val="right"/>
                      <w:rPr>
                        <w:rFonts w:cs="Arial"/>
                        <w:color w:val="000000"/>
                        <w:sz w:val="20"/>
                        <w:szCs w:val="20"/>
                      </w:rPr>
                    </w:pPr>
                  </w:p>
                </w:tc>
              </w:tr>
              <w:tr w:rsidR="00182B92" w:rsidRPr="00182B92" w:rsidTr="00182B92">
                <w:tc>
                  <w:tcPr>
                    <w:tcW w:w="4252" w:type="dxa"/>
                    <w:tcBorders>
                      <w:top w:val="nil"/>
                      <w:left w:val="nil"/>
                      <w:bottom w:val="nil"/>
                      <w:right w:val="nil"/>
                    </w:tcBorders>
                    <w:shd w:val="clear" w:color="auto" w:fill="auto"/>
                    <w:noWrap/>
                    <w:vAlign w:val="bottom"/>
                  </w:tcPr>
                  <w:p w:rsidR="00182B92" w:rsidRPr="00182B92" w:rsidRDefault="00182B92" w:rsidP="00182B92">
                    <w:pPr>
                      <w:kinsoku w:val="0"/>
                      <w:overflowPunct w:val="0"/>
                      <w:autoSpaceDE w:val="0"/>
                      <w:autoSpaceDN w:val="0"/>
                      <w:adjustRightInd w:val="0"/>
                      <w:snapToGrid w:val="0"/>
                      <w:rPr>
                        <w:rFonts w:cs="Arial"/>
                        <w:color w:val="000000"/>
                        <w:sz w:val="20"/>
                        <w:szCs w:val="20"/>
                      </w:rPr>
                    </w:pPr>
                    <w:r w:rsidRPr="00182B92">
                      <w:rPr>
                        <w:rFonts w:cs="Arial"/>
                        <w:snapToGrid w:val="0"/>
                        <w:sz w:val="20"/>
                        <w:szCs w:val="20"/>
                      </w:rPr>
                      <w:t>年末发行在外的股份期权行权价格的范围</w:t>
                    </w:r>
                    <w:r w:rsidRPr="00182B92">
                      <w:rPr>
                        <w:rFonts w:cs="Arial" w:hint="eastAsia"/>
                        <w:snapToGrid w:val="0"/>
                        <w:sz w:val="20"/>
                        <w:szCs w:val="20"/>
                      </w:rPr>
                      <w:t>(注</w:t>
                    </w:r>
                    <w:r w:rsidRPr="00182B92">
                      <w:rPr>
                        <w:rFonts w:cs="Arial"/>
                        <w:snapToGrid w:val="0"/>
                        <w:sz w:val="20"/>
                        <w:szCs w:val="20"/>
                      </w:rPr>
                      <w:t>1</w:t>
                    </w:r>
                    <w:r w:rsidRPr="00182B92">
                      <w:rPr>
                        <w:rFonts w:cs="Arial" w:hint="eastAsia"/>
                        <w:snapToGrid w:val="0"/>
                        <w:sz w:val="20"/>
                        <w:szCs w:val="20"/>
                      </w:rPr>
                      <w:t>)</w:t>
                    </w:r>
                  </w:p>
                </w:tc>
                <w:tc>
                  <w:tcPr>
                    <w:tcW w:w="113" w:type="dxa"/>
                    <w:tcBorders>
                      <w:top w:val="nil"/>
                      <w:left w:val="nil"/>
                      <w:bottom w:val="nil"/>
                      <w:right w:val="nil"/>
                    </w:tcBorders>
                    <w:shd w:val="clear" w:color="auto" w:fill="auto"/>
                    <w:vAlign w:val="bottom"/>
                  </w:tcPr>
                  <w:p w:rsidR="00182B92" w:rsidRPr="00182B92" w:rsidRDefault="00182B92" w:rsidP="00182B92">
                    <w:pPr>
                      <w:kinsoku w:val="0"/>
                      <w:overflowPunct w:val="0"/>
                      <w:autoSpaceDE w:val="0"/>
                      <w:autoSpaceDN w:val="0"/>
                      <w:adjustRightInd w:val="0"/>
                      <w:snapToGrid w:val="0"/>
                      <w:rPr>
                        <w:rFonts w:cs="Arial"/>
                        <w:color w:val="000000"/>
                        <w:sz w:val="20"/>
                        <w:szCs w:val="20"/>
                      </w:rPr>
                    </w:pPr>
                  </w:p>
                </w:tc>
                <w:tc>
                  <w:tcPr>
                    <w:tcW w:w="1871" w:type="dxa"/>
                    <w:tcBorders>
                      <w:top w:val="nil"/>
                      <w:left w:val="nil"/>
                      <w:bottom w:val="nil"/>
                      <w:right w:val="nil"/>
                    </w:tcBorders>
                    <w:shd w:val="clear" w:color="auto" w:fill="auto"/>
                    <w:noWrap/>
                    <w:vAlign w:val="bottom"/>
                  </w:tcPr>
                  <w:p w:rsidR="00182B92" w:rsidRPr="00182B92" w:rsidRDefault="00182B92" w:rsidP="00182B92">
                    <w:pPr>
                      <w:kinsoku w:val="0"/>
                      <w:overflowPunct w:val="0"/>
                      <w:autoSpaceDE w:val="0"/>
                      <w:autoSpaceDN w:val="0"/>
                      <w:adjustRightInd w:val="0"/>
                      <w:snapToGrid w:val="0"/>
                      <w:jc w:val="right"/>
                      <w:rPr>
                        <w:rFonts w:cs="Arial"/>
                        <w:color w:val="000000"/>
                        <w:sz w:val="20"/>
                        <w:szCs w:val="20"/>
                      </w:rPr>
                    </w:pPr>
                    <w:r w:rsidRPr="00182B92">
                      <w:rPr>
                        <w:rFonts w:cs="Arial"/>
                        <w:color w:val="000000"/>
                        <w:sz w:val="20"/>
                        <w:szCs w:val="20"/>
                      </w:rPr>
                      <w:t>9.12-21.68</w:t>
                    </w:r>
                  </w:p>
                </w:tc>
                <w:tc>
                  <w:tcPr>
                    <w:tcW w:w="113" w:type="dxa"/>
                    <w:tcBorders>
                      <w:top w:val="nil"/>
                      <w:left w:val="nil"/>
                      <w:bottom w:val="nil"/>
                      <w:right w:val="nil"/>
                    </w:tcBorders>
                    <w:shd w:val="clear" w:color="auto" w:fill="auto"/>
                    <w:vAlign w:val="bottom"/>
                  </w:tcPr>
                  <w:p w:rsidR="00182B92" w:rsidRPr="00182B92" w:rsidRDefault="00182B92" w:rsidP="00182B92">
                    <w:pPr>
                      <w:kinsoku w:val="0"/>
                      <w:overflowPunct w:val="0"/>
                      <w:autoSpaceDE w:val="0"/>
                      <w:autoSpaceDN w:val="0"/>
                      <w:adjustRightInd w:val="0"/>
                      <w:snapToGrid w:val="0"/>
                      <w:jc w:val="right"/>
                      <w:rPr>
                        <w:rFonts w:cs="Arial"/>
                        <w:color w:val="000000"/>
                        <w:sz w:val="20"/>
                        <w:szCs w:val="20"/>
                      </w:rPr>
                    </w:pPr>
                  </w:p>
                </w:tc>
                <w:tc>
                  <w:tcPr>
                    <w:tcW w:w="113" w:type="dxa"/>
                    <w:tcBorders>
                      <w:top w:val="nil"/>
                      <w:left w:val="nil"/>
                      <w:bottom w:val="nil"/>
                      <w:right w:val="nil"/>
                    </w:tcBorders>
                    <w:shd w:val="clear" w:color="auto" w:fill="auto"/>
                    <w:vAlign w:val="bottom"/>
                  </w:tcPr>
                  <w:p w:rsidR="00182B92" w:rsidRPr="00182B92" w:rsidRDefault="00182B92" w:rsidP="00182B92">
                    <w:pPr>
                      <w:kinsoku w:val="0"/>
                      <w:overflowPunct w:val="0"/>
                      <w:autoSpaceDE w:val="0"/>
                      <w:autoSpaceDN w:val="0"/>
                      <w:adjustRightInd w:val="0"/>
                      <w:snapToGrid w:val="0"/>
                      <w:jc w:val="right"/>
                      <w:rPr>
                        <w:rFonts w:cs="Arial"/>
                        <w:color w:val="000000"/>
                        <w:sz w:val="20"/>
                        <w:szCs w:val="20"/>
                      </w:rPr>
                    </w:pPr>
                  </w:p>
                </w:tc>
                <w:tc>
                  <w:tcPr>
                    <w:tcW w:w="1902" w:type="dxa"/>
                    <w:tcBorders>
                      <w:top w:val="nil"/>
                      <w:left w:val="nil"/>
                      <w:bottom w:val="nil"/>
                      <w:right w:val="nil"/>
                    </w:tcBorders>
                    <w:shd w:val="clear" w:color="auto" w:fill="auto"/>
                    <w:noWrap/>
                    <w:vAlign w:val="center"/>
                  </w:tcPr>
                  <w:p w:rsidR="00182B92" w:rsidRPr="00182B92" w:rsidRDefault="00182B92" w:rsidP="00182B92">
                    <w:pPr>
                      <w:kinsoku w:val="0"/>
                      <w:overflowPunct w:val="0"/>
                      <w:autoSpaceDE w:val="0"/>
                      <w:autoSpaceDN w:val="0"/>
                      <w:adjustRightInd w:val="0"/>
                      <w:snapToGrid w:val="0"/>
                      <w:jc w:val="right"/>
                      <w:rPr>
                        <w:rFonts w:cs="Arial"/>
                        <w:color w:val="000000"/>
                        <w:sz w:val="20"/>
                        <w:szCs w:val="20"/>
                      </w:rPr>
                    </w:pPr>
                    <w:r w:rsidRPr="00182B92">
                      <w:rPr>
                        <w:rFonts w:cs="Arial"/>
                        <w:snapToGrid w:val="0"/>
                        <w:sz w:val="20"/>
                        <w:szCs w:val="22"/>
                      </w:rPr>
                      <w:t>15.88</w:t>
                    </w:r>
                  </w:p>
                </w:tc>
                <w:tc>
                  <w:tcPr>
                    <w:tcW w:w="113" w:type="dxa"/>
                    <w:tcBorders>
                      <w:top w:val="nil"/>
                      <w:left w:val="nil"/>
                      <w:bottom w:val="nil"/>
                      <w:right w:val="nil"/>
                    </w:tcBorders>
                    <w:shd w:val="clear" w:color="auto" w:fill="auto"/>
                    <w:noWrap/>
                    <w:vAlign w:val="center"/>
                  </w:tcPr>
                  <w:p w:rsidR="00182B92" w:rsidRPr="00182B92" w:rsidRDefault="00182B92" w:rsidP="00182B92">
                    <w:pPr>
                      <w:kinsoku w:val="0"/>
                      <w:overflowPunct w:val="0"/>
                      <w:autoSpaceDE w:val="0"/>
                      <w:autoSpaceDN w:val="0"/>
                      <w:adjustRightInd w:val="0"/>
                      <w:snapToGrid w:val="0"/>
                      <w:jc w:val="right"/>
                      <w:rPr>
                        <w:rFonts w:cs="Arial"/>
                        <w:color w:val="000000"/>
                        <w:sz w:val="20"/>
                        <w:szCs w:val="20"/>
                      </w:rPr>
                    </w:pPr>
                  </w:p>
                </w:tc>
              </w:tr>
              <w:tr w:rsidR="00182B92" w:rsidRPr="00182B92" w:rsidTr="00182B92">
                <w:tc>
                  <w:tcPr>
                    <w:tcW w:w="4252" w:type="dxa"/>
                    <w:tcBorders>
                      <w:top w:val="nil"/>
                      <w:left w:val="nil"/>
                      <w:bottom w:val="nil"/>
                      <w:right w:val="nil"/>
                    </w:tcBorders>
                    <w:shd w:val="clear" w:color="auto" w:fill="auto"/>
                    <w:noWrap/>
                    <w:vAlign w:val="bottom"/>
                  </w:tcPr>
                  <w:p w:rsidR="00182B92" w:rsidRPr="00182B92" w:rsidRDefault="00182B92" w:rsidP="00182B92">
                    <w:pPr>
                      <w:kinsoku w:val="0"/>
                      <w:overflowPunct w:val="0"/>
                      <w:autoSpaceDE w:val="0"/>
                      <w:autoSpaceDN w:val="0"/>
                      <w:adjustRightInd w:val="0"/>
                      <w:snapToGrid w:val="0"/>
                      <w:rPr>
                        <w:rFonts w:cs="Arial"/>
                        <w:color w:val="000000"/>
                        <w:sz w:val="20"/>
                        <w:szCs w:val="20"/>
                      </w:rPr>
                    </w:pPr>
                    <w:r w:rsidRPr="00182B92">
                      <w:rPr>
                        <w:rFonts w:cs="Arial"/>
                        <w:snapToGrid w:val="0"/>
                        <w:sz w:val="20"/>
                        <w:szCs w:val="20"/>
                      </w:rPr>
                      <w:t>年末发行在外的股份期权的合同剩余期限</w:t>
                    </w:r>
                  </w:p>
                </w:tc>
                <w:tc>
                  <w:tcPr>
                    <w:tcW w:w="113" w:type="dxa"/>
                    <w:tcBorders>
                      <w:top w:val="nil"/>
                      <w:left w:val="nil"/>
                      <w:bottom w:val="nil"/>
                      <w:right w:val="nil"/>
                    </w:tcBorders>
                    <w:shd w:val="clear" w:color="auto" w:fill="auto"/>
                    <w:vAlign w:val="bottom"/>
                  </w:tcPr>
                  <w:p w:rsidR="00182B92" w:rsidRPr="00182B92" w:rsidRDefault="00182B92" w:rsidP="00182B92">
                    <w:pPr>
                      <w:kinsoku w:val="0"/>
                      <w:overflowPunct w:val="0"/>
                      <w:autoSpaceDE w:val="0"/>
                      <w:autoSpaceDN w:val="0"/>
                      <w:adjustRightInd w:val="0"/>
                      <w:snapToGrid w:val="0"/>
                      <w:rPr>
                        <w:rFonts w:cs="Arial"/>
                        <w:color w:val="000000"/>
                        <w:sz w:val="20"/>
                        <w:szCs w:val="20"/>
                      </w:rPr>
                    </w:pPr>
                  </w:p>
                </w:tc>
                <w:tc>
                  <w:tcPr>
                    <w:tcW w:w="1871" w:type="dxa"/>
                    <w:tcBorders>
                      <w:top w:val="nil"/>
                      <w:left w:val="nil"/>
                      <w:bottom w:val="nil"/>
                      <w:right w:val="nil"/>
                    </w:tcBorders>
                    <w:shd w:val="clear" w:color="auto" w:fill="auto"/>
                    <w:noWrap/>
                    <w:vAlign w:val="bottom"/>
                  </w:tcPr>
                  <w:p w:rsidR="00182B92" w:rsidRPr="00182B92" w:rsidRDefault="00182B92" w:rsidP="00182B92">
                    <w:pPr>
                      <w:kinsoku w:val="0"/>
                      <w:overflowPunct w:val="0"/>
                      <w:autoSpaceDE w:val="0"/>
                      <w:autoSpaceDN w:val="0"/>
                      <w:adjustRightInd w:val="0"/>
                      <w:snapToGrid w:val="0"/>
                      <w:jc w:val="right"/>
                      <w:rPr>
                        <w:rFonts w:cs="Arial"/>
                        <w:color w:val="000000"/>
                        <w:sz w:val="20"/>
                        <w:szCs w:val="20"/>
                      </w:rPr>
                    </w:pPr>
                    <w:r w:rsidRPr="00182B92">
                      <w:rPr>
                        <w:rFonts w:cs="Arial" w:hint="eastAsia"/>
                        <w:color w:val="000000"/>
                        <w:sz w:val="20"/>
                        <w:szCs w:val="20"/>
                      </w:rPr>
                      <w:t>0-3.37年</w:t>
                    </w:r>
                  </w:p>
                </w:tc>
                <w:tc>
                  <w:tcPr>
                    <w:tcW w:w="113" w:type="dxa"/>
                    <w:tcBorders>
                      <w:top w:val="nil"/>
                      <w:left w:val="nil"/>
                      <w:bottom w:val="nil"/>
                      <w:right w:val="nil"/>
                    </w:tcBorders>
                    <w:shd w:val="clear" w:color="auto" w:fill="auto"/>
                    <w:vAlign w:val="bottom"/>
                  </w:tcPr>
                  <w:p w:rsidR="00182B92" w:rsidRPr="00182B92" w:rsidRDefault="00182B92" w:rsidP="00182B92">
                    <w:pPr>
                      <w:kinsoku w:val="0"/>
                      <w:overflowPunct w:val="0"/>
                      <w:autoSpaceDE w:val="0"/>
                      <w:autoSpaceDN w:val="0"/>
                      <w:adjustRightInd w:val="0"/>
                      <w:snapToGrid w:val="0"/>
                      <w:jc w:val="right"/>
                      <w:rPr>
                        <w:rFonts w:cs="Arial"/>
                        <w:color w:val="000000"/>
                        <w:sz w:val="20"/>
                        <w:szCs w:val="20"/>
                      </w:rPr>
                    </w:pPr>
                  </w:p>
                </w:tc>
                <w:tc>
                  <w:tcPr>
                    <w:tcW w:w="113" w:type="dxa"/>
                    <w:tcBorders>
                      <w:top w:val="nil"/>
                      <w:left w:val="nil"/>
                      <w:bottom w:val="nil"/>
                      <w:right w:val="nil"/>
                    </w:tcBorders>
                    <w:shd w:val="clear" w:color="auto" w:fill="auto"/>
                    <w:vAlign w:val="bottom"/>
                  </w:tcPr>
                  <w:p w:rsidR="00182B92" w:rsidRPr="00182B92" w:rsidRDefault="00182B92" w:rsidP="00182B92">
                    <w:pPr>
                      <w:kinsoku w:val="0"/>
                      <w:overflowPunct w:val="0"/>
                      <w:autoSpaceDE w:val="0"/>
                      <w:autoSpaceDN w:val="0"/>
                      <w:adjustRightInd w:val="0"/>
                      <w:snapToGrid w:val="0"/>
                      <w:jc w:val="right"/>
                      <w:rPr>
                        <w:rFonts w:cs="Arial"/>
                        <w:color w:val="000000"/>
                        <w:sz w:val="20"/>
                        <w:szCs w:val="20"/>
                      </w:rPr>
                    </w:pPr>
                  </w:p>
                </w:tc>
                <w:tc>
                  <w:tcPr>
                    <w:tcW w:w="1902" w:type="dxa"/>
                    <w:tcBorders>
                      <w:top w:val="nil"/>
                      <w:left w:val="nil"/>
                      <w:bottom w:val="nil"/>
                      <w:right w:val="nil"/>
                    </w:tcBorders>
                    <w:shd w:val="clear" w:color="auto" w:fill="auto"/>
                    <w:noWrap/>
                    <w:vAlign w:val="center"/>
                  </w:tcPr>
                  <w:p w:rsidR="00182B92" w:rsidRPr="00182B92" w:rsidRDefault="00182B92" w:rsidP="00182B92">
                    <w:pPr>
                      <w:kinsoku w:val="0"/>
                      <w:overflowPunct w:val="0"/>
                      <w:autoSpaceDE w:val="0"/>
                      <w:autoSpaceDN w:val="0"/>
                      <w:adjustRightInd w:val="0"/>
                      <w:snapToGrid w:val="0"/>
                      <w:jc w:val="right"/>
                      <w:rPr>
                        <w:rFonts w:cs="Arial"/>
                        <w:color w:val="000000"/>
                        <w:sz w:val="20"/>
                        <w:szCs w:val="20"/>
                      </w:rPr>
                    </w:pPr>
                    <w:r w:rsidRPr="00182B92">
                      <w:rPr>
                        <w:rFonts w:cs="Arial"/>
                        <w:snapToGrid w:val="0"/>
                        <w:sz w:val="20"/>
                        <w:szCs w:val="22"/>
                      </w:rPr>
                      <w:t>1-3</w:t>
                    </w:r>
                    <w:r w:rsidRPr="00182B92">
                      <w:rPr>
                        <w:rFonts w:cs="Arial" w:hint="eastAsia"/>
                        <w:snapToGrid w:val="0"/>
                        <w:sz w:val="20"/>
                        <w:szCs w:val="22"/>
                      </w:rPr>
                      <w:t>年</w:t>
                    </w:r>
                  </w:p>
                </w:tc>
                <w:tc>
                  <w:tcPr>
                    <w:tcW w:w="113" w:type="dxa"/>
                    <w:tcBorders>
                      <w:top w:val="nil"/>
                      <w:left w:val="nil"/>
                      <w:bottom w:val="nil"/>
                      <w:right w:val="nil"/>
                    </w:tcBorders>
                    <w:shd w:val="clear" w:color="auto" w:fill="auto"/>
                    <w:noWrap/>
                    <w:vAlign w:val="center"/>
                  </w:tcPr>
                  <w:p w:rsidR="00182B92" w:rsidRPr="00182B92" w:rsidRDefault="00182B92" w:rsidP="00182B92">
                    <w:pPr>
                      <w:kinsoku w:val="0"/>
                      <w:overflowPunct w:val="0"/>
                      <w:autoSpaceDE w:val="0"/>
                      <w:autoSpaceDN w:val="0"/>
                      <w:adjustRightInd w:val="0"/>
                      <w:snapToGrid w:val="0"/>
                      <w:jc w:val="right"/>
                      <w:rPr>
                        <w:rFonts w:cs="Arial"/>
                        <w:color w:val="000000"/>
                        <w:sz w:val="20"/>
                        <w:szCs w:val="20"/>
                      </w:rPr>
                    </w:pPr>
                  </w:p>
                </w:tc>
              </w:tr>
            </w:tbl>
            <w:p w:rsidR="00182B92" w:rsidRPr="00182B92" w:rsidRDefault="00182B92" w:rsidP="00182B92">
              <w:pPr>
                <w:overflowPunct w:val="0"/>
                <w:autoSpaceDE w:val="0"/>
                <w:autoSpaceDN w:val="0"/>
                <w:adjustRightInd w:val="0"/>
                <w:snapToGrid w:val="0"/>
                <w:ind w:left="720" w:hanging="720"/>
                <w:jc w:val="both"/>
                <w:textAlignment w:val="bottom"/>
                <w:rPr>
                  <w:rFonts w:cs="Arial"/>
                  <w:snapToGrid w:val="0"/>
                  <w:sz w:val="20"/>
                  <w:szCs w:val="20"/>
                </w:rPr>
              </w:pPr>
            </w:p>
            <w:tbl>
              <w:tblPr>
                <w:tblStyle w:val="g35"/>
                <w:tblW w:w="8477" w:type="dxa"/>
                <w:tblLayout w:type="fixed"/>
                <w:tblCellMar>
                  <w:left w:w="0" w:type="dxa"/>
                  <w:right w:w="0" w:type="dxa"/>
                </w:tblCellMar>
                <w:tblLook w:val="04A0" w:firstRow="1" w:lastRow="0" w:firstColumn="1" w:lastColumn="0" w:noHBand="0" w:noVBand="1"/>
                <w:tblCaption w:val="76关联方余额_存放关联方的货币资金"/>
              </w:tblPr>
              <w:tblGrid>
                <w:gridCol w:w="4252"/>
                <w:gridCol w:w="113"/>
                <w:gridCol w:w="1871"/>
                <w:gridCol w:w="113"/>
                <w:gridCol w:w="113"/>
                <w:gridCol w:w="1902"/>
                <w:gridCol w:w="113"/>
              </w:tblGrid>
              <w:tr w:rsidR="00182B92" w:rsidRPr="00182B92" w:rsidTr="00182B92">
                <w:tc>
                  <w:tcPr>
                    <w:tcW w:w="4252" w:type="dxa"/>
                    <w:tcBorders>
                      <w:top w:val="nil"/>
                      <w:left w:val="nil"/>
                      <w:bottom w:val="nil"/>
                      <w:right w:val="nil"/>
                    </w:tcBorders>
                    <w:shd w:val="clear" w:color="auto" w:fill="auto"/>
                    <w:noWrap/>
                    <w:hideMark/>
                  </w:tcPr>
                  <w:p w:rsidR="00182B92" w:rsidRPr="00182B92" w:rsidRDefault="00182B92" w:rsidP="00182B92">
                    <w:pPr>
                      <w:kinsoku w:val="0"/>
                      <w:overflowPunct w:val="0"/>
                      <w:autoSpaceDE w:val="0"/>
                      <w:autoSpaceDN w:val="0"/>
                      <w:adjustRightInd w:val="0"/>
                      <w:snapToGrid w:val="0"/>
                      <w:jc w:val="right"/>
                      <w:rPr>
                        <w:rFonts w:cs="Arial"/>
                        <w:sz w:val="20"/>
                        <w:szCs w:val="20"/>
                      </w:rPr>
                    </w:pPr>
                    <w:r w:rsidRPr="00182B92">
                      <w:rPr>
                        <w:rFonts w:cs="Arial"/>
                        <w:color w:val="000000"/>
                        <w:sz w:val="20"/>
                        <w:szCs w:val="20"/>
                      </w:rPr>
                      <w:t xml:space="preserve"> </w:t>
                    </w:r>
                  </w:p>
                </w:tc>
                <w:tc>
                  <w:tcPr>
                    <w:tcW w:w="113" w:type="dxa"/>
                    <w:tcBorders>
                      <w:top w:val="nil"/>
                      <w:left w:val="nil"/>
                      <w:bottom w:val="nil"/>
                      <w:right w:val="nil"/>
                    </w:tcBorders>
                    <w:shd w:val="clear" w:color="auto" w:fill="auto"/>
                    <w:vAlign w:val="bottom"/>
                    <w:hideMark/>
                  </w:tcPr>
                  <w:p w:rsidR="00182B92" w:rsidRPr="00182B92" w:rsidRDefault="00182B92" w:rsidP="00182B92">
                    <w:pPr>
                      <w:kinsoku w:val="0"/>
                      <w:overflowPunct w:val="0"/>
                      <w:autoSpaceDE w:val="0"/>
                      <w:autoSpaceDN w:val="0"/>
                      <w:adjustRightInd w:val="0"/>
                      <w:snapToGrid w:val="0"/>
                      <w:rPr>
                        <w:rFonts w:cs="Arial"/>
                        <w:sz w:val="20"/>
                        <w:szCs w:val="20"/>
                      </w:rPr>
                    </w:pPr>
                    <w:r w:rsidRPr="00182B92">
                      <w:rPr>
                        <w:rFonts w:cs="Arial"/>
                        <w:color w:val="000000"/>
                        <w:sz w:val="20"/>
                        <w:szCs w:val="20"/>
                      </w:rPr>
                      <w:t xml:space="preserve"> </w:t>
                    </w:r>
                  </w:p>
                </w:tc>
                <w:tc>
                  <w:tcPr>
                    <w:tcW w:w="1871" w:type="dxa"/>
                    <w:tcBorders>
                      <w:top w:val="nil"/>
                      <w:left w:val="nil"/>
                      <w:bottom w:val="nil"/>
                      <w:right w:val="nil"/>
                    </w:tcBorders>
                    <w:shd w:val="clear" w:color="auto" w:fill="auto"/>
                    <w:noWrap/>
                    <w:hideMark/>
                  </w:tcPr>
                  <w:p w:rsidR="00182B92" w:rsidRPr="00182B92" w:rsidRDefault="00182B92" w:rsidP="00182B92">
                    <w:pPr>
                      <w:kinsoku w:val="0"/>
                      <w:overflowPunct w:val="0"/>
                      <w:autoSpaceDE w:val="0"/>
                      <w:autoSpaceDN w:val="0"/>
                      <w:adjustRightInd w:val="0"/>
                      <w:snapToGrid w:val="0"/>
                      <w:jc w:val="right"/>
                      <w:rPr>
                        <w:rFonts w:cs="Arial"/>
                        <w:color w:val="000000"/>
                        <w:sz w:val="20"/>
                        <w:szCs w:val="20"/>
                      </w:rPr>
                    </w:pPr>
                    <w:r w:rsidRPr="00182B92">
                      <w:rPr>
                        <w:rFonts w:cs="Arial"/>
                        <w:color w:val="000000"/>
                        <w:sz w:val="20"/>
                        <w:szCs w:val="20"/>
                      </w:rPr>
                      <w:t>2019年</w:t>
                    </w:r>
                    <w:r w:rsidRPr="00182B92">
                      <w:rPr>
                        <w:rFonts w:cs="Arial" w:hint="eastAsia"/>
                        <w:color w:val="000000"/>
                        <w:sz w:val="20"/>
                        <w:szCs w:val="20"/>
                      </w:rPr>
                      <w:t>1</w:t>
                    </w:r>
                    <w:r w:rsidRPr="00182B92">
                      <w:rPr>
                        <w:rFonts w:cs="Arial"/>
                        <w:color w:val="000000"/>
                        <w:sz w:val="20"/>
                        <w:szCs w:val="20"/>
                      </w:rPr>
                      <w:t>-6</w:t>
                    </w:r>
                    <w:r w:rsidRPr="00182B92">
                      <w:rPr>
                        <w:rFonts w:cs="Arial" w:hint="eastAsia"/>
                        <w:color w:val="000000"/>
                        <w:sz w:val="20"/>
                        <w:szCs w:val="20"/>
                      </w:rPr>
                      <w:t>月</w:t>
                    </w:r>
                  </w:p>
                </w:tc>
                <w:tc>
                  <w:tcPr>
                    <w:tcW w:w="113" w:type="dxa"/>
                    <w:tcBorders>
                      <w:top w:val="nil"/>
                      <w:left w:val="nil"/>
                      <w:bottom w:val="nil"/>
                      <w:right w:val="nil"/>
                    </w:tcBorders>
                    <w:shd w:val="clear" w:color="auto" w:fill="auto"/>
                    <w:hideMark/>
                  </w:tcPr>
                  <w:p w:rsidR="00182B92" w:rsidRPr="00182B92" w:rsidRDefault="00182B92" w:rsidP="00182B92">
                    <w:pPr>
                      <w:kinsoku w:val="0"/>
                      <w:overflowPunct w:val="0"/>
                      <w:autoSpaceDE w:val="0"/>
                      <w:autoSpaceDN w:val="0"/>
                      <w:adjustRightInd w:val="0"/>
                      <w:snapToGrid w:val="0"/>
                      <w:jc w:val="right"/>
                      <w:rPr>
                        <w:rFonts w:cs="Arial"/>
                        <w:color w:val="000000"/>
                        <w:sz w:val="20"/>
                        <w:szCs w:val="20"/>
                      </w:rPr>
                    </w:pPr>
                    <w:r w:rsidRPr="00182B92">
                      <w:rPr>
                        <w:rFonts w:cs="Arial"/>
                        <w:color w:val="000000"/>
                        <w:sz w:val="20"/>
                        <w:szCs w:val="20"/>
                      </w:rPr>
                      <w:t xml:space="preserve"> </w:t>
                    </w:r>
                  </w:p>
                </w:tc>
                <w:tc>
                  <w:tcPr>
                    <w:tcW w:w="113" w:type="dxa"/>
                    <w:tcBorders>
                      <w:top w:val="nil"/>
                      <w:left w:val="nil"/>
                      <w:bottom w:val="nil"/>
                      <w:right w:val="nil"/>
                    </w:tcBorders>
                    <w:shd w:val="clear" w:color="auto" w:fill="auto"/>
                    <w:hideMark/>
                  </w:tcPr>
                  <w:p w:rsidR="00182B92" w:rsidRPr="00182B92" w:rsidRDefault="00182B92" w:rsidP="00182B92">
                    <w:pPr>
                      <w:kinsoku w:val="0"/>
                      <w:overflowPunct w:val="0"/>
                      <w:autoSpaceDE w:val="0"/>
                      <w:autoSpaceDN w:val="0"/>
                      <w:adjustRightInd w:val="0"/>
                      <w:snapToGrid w:val="0"/>
                      <w:jc w:val="right"/>
                      <w:rPr>
                        <w:rFonts w:cs="Arial"/>
                        <w:sz w:val="20"/>
                        <w:szCs w:val="20"/>
                      </w:rPr>
                    </w:pPr>
                    <w:r w:rsidRPr="00182B92">
                      <w:rPr>
                        <w:rFonts w:cs="Arial"/>
                        <w:color w:val="000000"/>
                        <w:sz w:val="20"/>
                        <w:szCs w:val="20"/>
                      </w:rPr>
                      <w:t xml:space="preserve"> </w:t>
                    </w:r>
                  </w:p>
                </w:tc>
                <w:tc>
                  <w:tcPr>
                    <w:tcW w:w="1902" w:type="dxa"/>
                    <w:tcBorders>
                      <w:top w:val="nil"/>
                      <w:left w:val="nil"/>
                      <w:bottom w:val="nil"/>
                      <w:right w:val="nil"/>
                    </w:tcBorders>
                    <w:shd w:val="clear" w:color="auto" w:fill="auto"/>
                    <w:noWrap/>
                    <w:hideMark/>
                  </w:tcPr>
                  <w:p w:rsidR="00182B92" w:rsidRPr="00182B92" w:rsidRDefault="00182B92" w:rsidP="00182B92">
                    <w:pPr>
                      <w:kinsoku w:val="0"/>
                      <w:overflowPunct w:val="0"/>
                      <w:autoSpaceDE w:val="0"/>
                      <w:autoSpaceDN w:val="0"/>
                      <w:adjustRightInd w:val="0"/>
                      <w:snapToGrid w:val="0"/>
                      <w:jc w:val="right"/>
                      <w:rPr>
                        <w:rFonts w:cs="Arial"/>
                        <w:color w:val="000000"/>
                        <w:sz w:val="20"/>
                        <w:szCs w:val="20"/>
                      </w:rPr>
                    </w:pPr>
                    <w:r w:rsidRPr="00182B92">
                      <w:rPr>
                        <w:rFonts w:cs="Arial"/>
                        <w:color w:val="000000"/>
                        <w:sz w:val="20"/>
                        <w:szCs w:val="20"/>
                      </w:rPr>
                      <w:t>2018年</w:t>
                    </w:r>
                    <w:r w:rsidRPr="00182B92">
                      <w:rPr>
                        <w:rFonts w:cs="Arial" w:hint="eastAsia"/>
                        <w:color w:val="000000"/>
                        <w:sz w:val="20"/>
                        <w:szCs w:val="20"/>
                      </w:rPr>
                      <w:t>1</w:t>
                    </w:r>
                    <w:r w:rsidRPr="00182B92">
                      <w:rPr>
                        <w:rFonts w:cs="Arial"/>
                        <w:color w:val="000000"/>
                        <w:sz w:val="20"/>
                        <w:szCs w:val="20"/>
                      </w:rPr>
                      <w:t>-6</w:t>
                    </w:r>
                    <w:r w:rsidRPr="00182B92">
                      <w:rPr>
                        <w:rFonts w:cs="Arial" w:hint="eastAsia"/>
                        <w:color w:val="000000"/>
                        <w:sz w:val="20"/>
                        <w:szCs w:val="20"/>
                      </w:rPr>
                      <w:t>月</w:t>
                    </w:r>
                  </w:p>
                </w:tc>
                <w:tc>
                  <w:tcPr>
                    <w:tcW w:w="113" w:type="dxa"/>
                    <w:tcBorders>
                      <w:top w:val="nil"/>
                      <w:left w:val="nil"/>
                      <w:bottom w:val="nil"/>
                      <w:right w:val="nil"/>
                    </w:tcBorders>
                    <w:shd w:val="clear" w:color="auto" w:fill="auto"/>
                    <w:noWrap/>
                    <w:vAlign w:val="center"/>
                    <w:hideMark/>
                  </w:tcPr>
                  <w:p w:rsidR="00182B92" w:rsidRPr="00182B92" w:rsidRDefault="00182B92" w:rsidP="00182B92">
                    <w:pPr>
                      <w:kinsoku w:val="0"/>
                      <w:overflowPunct w:val="0"/>
                      <w:autoSpaceDE w:val="0"/>
                      <w:autoSpaceDN w:val="0"/>
                      <w:adjustRightInd w:val="0"/>
                      <w:snapToGrid w:val="0"/>
                      <w:jc w:val="right"/>
                      <w:rPr>
                        <w:rFonts w:cs="Arial"/>
                        <w:color w:val="000000"/>
                        <w:sz w:val="20"/>
                        <w:szCs w:val="20"/>
                      </w:rPr>
                    </w:pPr>
                    <w:r w:rsidRPr="00182B92">
                      <w:rPr>
                        <w:rFonts w:cs="Arial"/>
                        <w:color w:val="000000"/>
                        <w:sz w:val="20"/>
                        <w:szCs w:val="20"/>
                      </w:rPr>
                      <w:t xml:space="preserve"> </w:t>
                    </w:r>
                  </w:p>
                </w:tc>
              </w:tr>
              <w:tr w:rsidR="00182B92" w:rsidRPr="00182B92" w:rsidTr="00182B92">
                <w:tc>
                  <w:tcPr>
                    <w:tcW w:w="4252" w:type="dxa"/>
                    <w:tcBorders>
                      <w:top w:val="nil"/>
                      <w:left w:val="nil"/>
                      <w:bottom w:val="nil"/>
                      <w:right w:val="nil"/>
                    </w:tcBorders>
                    <w:shd w:val="clear" w:color="auto" w:fill="auto"/>
                    <w:noWrap/>
                    <w:vAlign w:val="bottom"/>
                  </w:tcPr>
                  <w:p w:rsidR="00182B92" w:rsidRPr="00182B92" w:rsidRDefault="00182B92" w:rsidP="00182B92">
                    <w:pPr>
                      <w:kinsoku w:val="0"/>
                      <w:overflowPunct w:val="0"/>
                      <w:autoSpaceDE w:val="0"/>
                      <w:autoSpaceDN w:val="0"/>
                      <w:adjustRightInd w:val="0"/>
                      <w:snapToGrid w:val="0"/>
                      <w:jc w:val="right"/>
                      <w:rPr>
                        <w:rFonts w:cs="Arial"/>
                        <w:color w:val="000000"/>
                        <w:sz w:val="20"/>
                        <w:szCs w:val="20"/>
                      </w:rPr>
                    </w:pPr>
                  </w:p>
                </w:tc>
                <w:tc>
                  <w:tcPr>
                    <w:tcW w:w="113" w:type="dxa"/>
                    <w:tcBorders>
                      <w:top w:val="nil"/>
                      <w:left w:val="nil"/>
                      <w:bottom w:val="nil"/>
                      <w:right w:val="nil"/>
                    </w:tcBorders>
                    <w:shd w:val="clear" w:color="auto" w:fill="auto"/>
                    <w:vAlign w:val="bottom"/>
                  </w:tcPr>
                  <w:p w:rsidR="00182B92" w:rsidRPr="00182B92" w:rsidRDefault="00182B92" w:rsidP="00182B92">
                    <w:pPr>
                      <w:kinsoku w:val="0"/>
                      <w:overflowPunct w:val="0"/>
                      <w:autoSpaceDE w:val="0"/>
                      <w:autoSpaceDN w:val="0"/>
                      <w:adjustRightInd w:val="0"/>
                      <w:snapToGrid w:val="0"/>
                      <w:rPr>
                        <w:rFonts w:cs="Arial"/>
                        <w:color w:val="000000"/>
                        <w:sz w:val="20"/>
                        <w:szCs w:val="20"/>
                      </w:rPr>
                    </w:pPr>
                  </w:p>
                </w:tc>
                <w:tc>
                  <w:tcPr>
                    <w:tcW w:w="1871" w:type="dxa"/>
                    <w:tcBorders>
                      <w:top w:val="nil"/>
                      <w:left w:val="nil"/>
                      <w:bottom w:val="nil"/>
                      <w:right w:val="nil"/>
                    </w:tcBorders>
                    <w:shd w:val="clear" w:color="auto" w:fill="auto"/>
                    <w:noWrap/>
                    <w:vAlign w:val="bottom"/>
                  </w:tcPr>
                  <w:p w:rsidR="00182B92" w:rsidRPr="00182B92" w:rsidRDefault="00182B92" w:rsidP="00182B92">
                    <w:pPr>
                      <w:kinsoku w:val="0"/>
                      <w:overflowPunct w:val="0"/>
                      <w:autoSpaceDE w:val="0"/>
                      <w:autoSpaceDN w:val="0"/>
                      <w:adjustRightInd w:val="0"/>
                      <w:snapToGrid w:val="0"/>
                      <w:jc w:val="right"/>
                      <w:rPr>
                        <w:rFonts w:cs="Arial"/>
                        <w:color w:val="000000"/>
                        <w:sz w:val="20"/>
                        <w:szCs w:val="20"/>
                      </w:rPr>
                    </w:pPr>
                  </w:p>
                </w:tc>
                <w:tc>
                  <w:tcPr>
                    <w:tcW w:w="113" w:type="dxa"/>
                    <w:tcBorders>
                      <w:top w:val="nil"/>
                      <w:left w:val="nil"/>
                      <w:bottom w:val="nil"/>
                      <w:right w:val="nil"/>
                    </w:tcBorders>
                    <w:shd w:val="clear" w:color="auto" w:fill="auto"/>
                    <w:vAlign w:val="bottom"/>
                  </w:tcPr>
                  <w:p w:rsidR="00182B92" w:rsidRPr="00182B92" w:rsidRDefault="00182B92" w:rsidP="00182B92">
                    <w:pPr>
                      <w:kinsoku w:val="0"/>
                      <w:overflowPunct w:val="0"/>
                      <w:autoSpaceDE w:val="0"/>
                      <w:autoSpaceDN w:val="0"/>
                      <w:adjustRightInd w:val="0"/>
                      <w:snapToGrid w:val="0"/>
                      <w:jc w:val="right"/>
                      <w:rPr>
                        <w:rFonts w:cs="Arial"/>
                        <w:color w:val="000000"/>
                        <w:sz w:val="20"/>
                        <w:szCs w:val="20"/>
                      </w:rPr>
                    </w:pPr>
                  </w:p>
                </w:tc>
                <w:tc>
                  <w:tcPr>
                    <w:tcW w:w="113" w:type="dxa"/>
                    <w:tcBorders>
                      <w:top w:val="nil"/>
                      <w:left w:val="nil"/>
                      <w:bottom w:val="nil"/>
                      <w:right w:val="nil"/>
                    </w:tcBorders>
                    <w:shd w:val="clear" w:color="auto" w:fill="auto"/>
                    <w:vAlign w:val="bottom"/>
                  </w:tcPr>
                  <w:p w:rsidR="00182B92" w:rsidRPr="00182B92" w:rsidRDefault="00182B92" w:rsidP="00182B92">
                    <w:pPr>
                      <w:kinsoku w:val="0"/>
                      <w:overflowPunct w:val="0"/>
                      <w:autoSpaceDE w:val="0"/>
                      <w:autoSpaceDN w:val="0"/>
                      <w:adjustRightInd w:val="0"/>
                      <w:snapToGrid w:val="0"/>
                      <w:jc w:val="right"/>
                      <w:rPr>
                        <w:rFonts w:cs="Arial"/>
                        <w:color w:val="000000"/>
                        <w:sz w:val="20"/>
                        <w:szCs w:val="20"/>
                      </w:rPr>
                    </w:pPr>
                  </w:p>
                </w:tc>
                <w:tc>
                  <w:tcPr>
                    <w:tcW w:w="1902" w:type="dxa"/>
                    <w:tcBorders>
                      <w:top w:val="nil"/>
                      <w:left w:val="nil"/>
                      <w:bottom w:val="nil"/>
                      <w:right w:val="nil"/>
                    </w:tcBorders>
                    <w:shd w:val="clear" w:color="auto" w:fill="auto"/>
                    <w:noWrap/>
                    <w:vAlign w:val="bottom"/>
                  </w:tcPr>
                  <w:p w:rsidR="00182B92" w:rsidRPr="00182B92" w:rsidRDefault="00182B92" w:rsidP="00182B92">
                    <w:pPr>
                      <w:kinsoku w:val="0"/>
                      <w:overflowPunct w:val="0"/>
                      <w:autoSpaceDE w:val="0"/>
                      <w:autoSpaceDN w:val="0"/>
                      <w:adjustRightInd w:val="0"/>
                      <w:snapToGrid w:val="0"/>
                      <w:jc w:val="right"/>
                      <w:rPr>
                        <w:rFonts w:cs="Arial"/>
                        <w:color w:val="000000"/>
                        <w:sz w:val="20"/>
                        <w:szCs w:val="20"/>
                      </w:rPr>
                    </w:pPr>
                  </w:p>
                </w:tc>
                <w:tc>
                  <w:tcPr>
                    <w:tcW w:w="113" w:type="dxa"/>
                    <w:tcBorders>
                      <w:top w:val="nil"/>
                      <w:left w:val="nil"/>
                      <w:bottom w:val="nil"/>
                      <w:right w:val="nil"/>
                    </w:tcBorders>
                    <w:shd w:val="clear" w:color="auto" w:fill="auto"/>
                    <w:noWrap/>
                    <w:vAlign w:val="center"/>
                  </w:tcPr>
                  <w:p w:rsidR="00182B92" w:rsidRPr="00182B92" w:rsidRDefault="00182B92" w:rsidP="00182B92">
                    <w:pPr>
                      <w:kinsoku w:val="0"/>
                      <w:overflowPunct w:val="0"/>
                      <w:autoSpaceDE w:val="0"/>
                      <w:autoSpaceDN w:val="0"/>
                      <w:adjustRightInd w:val="0"/>
                      <w:snapToGrid w:val="0"/>
                      <w:jc w:val="right"/>
                      <w:rPr>
                        <w:rFonts w:cs="Arial"/>
                        <w:color w:val="000000"/>
                        <w:sz w:val="20"/>
                        <w:szCs w:val="20"/>
                      </w:rPr>
                    </w:pPr>
                  </w:p>
                </w:tc>
              </w:tr>
              <w:tr w:rsidR="00182B92" w:rsidRPr="00182B92" w:rsidTr="00182B92">
                <w:tc>
                  <w:tcPr>
                    <w:tcW w:w="4252" w:type="dxa"/>
                    <w:tcBorders>
                      <w:top w:val="nil"/>
                      <w:left w:val="nil"/>
                      <w:bottom w:val="nil"/>
                      <w:right w:val="nil"/>
                    </w:tcBorders>
                    <w:shd w:val="clear" w:color="auto" w:fill="auto"/>
                    <w:noWrap/>
                    <w:vAlign w:val="bottom"/>
                  </w:tcPr>
                  <w:p w:rsidR="00182B92" w:rsidRPr="00182B92" w:rsidRDefault="00182B92" w:rsidP="00182B92">
                    <w:pPr>
                      <w:kinsoku w:val="0"/>
                      <w:overflowPunct w:val="0"/>
                      <w:autoSpaceDE w:val="0"/>
                      <w:autoSpaceDN w:val="0"/>
                      <w:adjustRightInd w:val="0"/>
                      <w:snapToGrid w:val="0"/>
                      <w:rPr>
                        <w:rFonts w:cs="Arial"/>
                        <w:color w:val="000000"/>
                        <w:sz w:val="20"/>
                        <w:szCs w:val="20"/>
                      </w:rPr>
                    </w:pPr>
                    <w:r w:rsidRPr="00182B92">
                      <w:rPr>
                        <w:rFonts w:cs="Arial"/>
                        <w:snapToGrid w:val="0"/>
                        <w:sz w:val="20"/>
                        <w:szCs w:val="20"/>
                      </w:rPr>
                      <w:t>以股份支付换取的职工服务总额</w:t>
                    </w:r>
                  </w:p>
                </w:tc>
                <w:tc>
                  <w:tcPr>
                    <w:tcW w:w="113" w:type="dxa"/>
                    <w:tcBorders>
                      <w:top w:val="nil"/>
                      <w:left w:val="nil"/>
                      <w:bottom w:val="nil"/>
                      <w:right w:val="nil"/>
                    </w:tcBorders>
                    <w:shd w:val="clear" w:color="auto" w:fill="auto"/>
                    <w:vAlign w:val="bottom"/>
                  </w:tcPr>
                  <w:p w:rsidR="00182B92" w:rsidRPr="00182B92" w:rsidRDefault="00182B92" w:rsidP="00182B92">
                    <w:pPr>
                      <w:kinsoku w:val="0"/>
                      <w:overflowPunct w:val="0"/>
                      <w:autoSpaceDE w:val="0"/>
                      <w:autoSpaceDN w:val="0"/>
                      <w:adjustRightInd w:val="0"/>
                      <w:snapToGrid w:val="0"/>
                      <w:rPr>
                        <w:rFonts w:cs="Arial"/>
                        <w:color w:val="000000"/>
                        <w:sz w:val="20"/>
                        <w:szCs w:val="20"/>
                      </w:rPr>
                    </w:pPr>
                  </w:p>
                </w:tc>
                <w:tc>
                  <w:tcPr>
                    <w:tcW w:w="1871" w:type="dxa"/>
                    <w:tcBorders>
                      <w:top w:val="nil"/>
                      <w:left w:val="nil"/>
                      <w:bottom w:val="nil"/>
                      <w:right w:val="nil"/>
                    </w:tcBorders>
                    <w:shd w:val="clear" w:color="auto" w:fill="auto"/>
                    <w:noWrap/>
                    <w:vAlign w:val="bottom"/>
                  </w:tcPr>
                  <w:p w:rsidR="00182B92" w:rsidRPr="00182B92" w:rsidRDefault="00182B92" w:rsidP="00182B92">
                    <w:pPr>
                      <w:kinsoku w:val="0"/>
                      <w:overflowPunct w:val="0"/>
                      <w:autoSpaceDE w:val="0"/>
                      <w:autoSpaceDN w:val="0"/>
                      <w:adjustRightInd w:val="0"/>
                      <w:snapToGrid w:val="0"/>
                      <w:jc w:val="right"/>
                      <w:rPr>
                        <w:rFonts w:cs="Arial"/>
                        <w:color w:val="000000"/>
                        <w:sz w:val="20"/>
                        <w:szCs w:val="20"/>
                      </w:rPr>
                    </w:pPr>
                    <w:r w:rsidRPr="00182B92">
                      <w:rPr>
                        <w:rFonts w:cs="Arial"/>
                        <w:color w:val="000000"/>
                        <w:sz w:val="20"/>
                        <w:szCs w:val="20"/>
                      </w:rPr>
                      <w:t>54,295,636</w:t>
                    </w:r>
                  </w:p>
                </w:tc>
                <w:tc>
                  <w:tcPr>
                    <w:tcW w:w="113" w:type="dxa"/>
                    <w:tcBorders>
                      <w:top w:val="nil"/>
                      <w:left w:val="nil"/>
                      <w:bottom w:val="nil"/>
                      <w:right w:val="nil"/>
                    </w:tcBorders>
                    <w:shd w:val="clear" w:color="auto" w:fill="auto"/>
                    <w:vAlign w:val="bottom"/>
                  </w:tcPr>
                  <w:p w:rsidR="00182B92" w:rsidRPr="00182B92" w:rsidRDefault="00182B92" w:rsidP="00182B92">
                    <w:pPr>
                      <w:kinsoku w:val="0"/>
                      <w:overflowPunct w:val="0"/>
                      <w:autoSpaceDE w:val="0"/>
                      <w:autoSpaceDN w:val="0"/>
                      <w:adjustRightInd w:val="0"/>
                      <w:snapToGrid w:val="0"/>
                      <w:jc w:val="right"/>
                      <w:rPr>
                        <w:rFonts w:cs="Arial"/>
                        <w:color w:val="000000"/>
                        <w:sz w:val="20"/>
                        <w:szCs w:val="20"/>
                      </w:rPr>
                    </w:pPr>
                  </w:p>
                </w:tc>
                <w:tc>
                  <w:tcPr>
                    <w:tcW w:w="113" w:type="dxa"/>
                    <w:tcBorders>
                      <w:top w:val="nil"/>
                      <w:left w:val="nil"/>
                      <w:bottom w:val="nil"/>
                      <w:right w:val="nil"/>
                    </w:tcBorders>
                    <w:shd w:val="clear" w:color="auto" w:fill="auto"/>
                    <w:vAlign w:val="bottom"/>
                  </w:tcPr>
                  <w:p w:rsidR="00182B92" w:rsidRPr="00182B92" w:rsidRDefault="00182B92" w:rsidP="00182B92">
                    <w:pPr>
                      <w:kinsoku w:val="0"/>
                      <w:overflowPunct w:val="0"/>
                      <w:autoSpaceDE w:val="0"/>
                      <w:autoSpaceDN w:val="0"/>
                      <w:adjustRightInd w:val="0"/>
                      <w:snapToGrid w:val="0"/>
                      <w:jc w:val="right"/>
                      <w:rPr>
                        <w:rFonts w:cs="Arial"/>
                        <w:color w:val="000000"/>
                        <w:sz w:val="20"/>
                        <w:szCs w:val="20"/>
                      </w:rPr>
                    </w:pPr>
                  </w:p>
                </w:tc>
                <w:tc>
                  <w:tcPr>
                    <w:tcW w:w="1902" w:type="dxa"/>
                    <w:tcBorders>
                      <w:top w:val="nil"/>
                      <w:left w:val="nil"/>
                      <w:bottom w:val="nil"/>
                      <w:right w:val="nil"/>
                    </w:tcBorders>
                    <w:shd w:val="clear" w:color="auto" w:fill="auto"/>
                    <w:noWrap/>
                    <w:vAlign w:val="bottom"/>
                  </w:tcPr>
                  <w:p w:rsidR="00182B92" w:rsidRPr="00182B92" w:rsidRDefault="00182B92" w:rsidP="00182B92">
                    <w:pPr>
                      <w:kinsoku w:val="0"/>
                      <w:overflowPunct w:val="0"/>
                      <w:autoSpaceDE w:val="0"/>
                      <w:autoSpaceDN w:val="0"/>
                      <w:adjustRightInd w:val="0"/>
                      <w:snapToGrid w:val="0"/>
                      <w:jc w:val="right"/>
                      <w:rPr>
                        <w:rFonts w:cs="Arial"/>
                        <w:color w:val="000000"/>
                        <w:sz w:val="20"/>
                        <w:szCs w:val="20"/>
                      </w:rPr>
                    </w:pPr>
                    <w:r w:rsidRPr="00182B92">
                      <w:rPr>
                        <w:rFonts w:cs="Arial"/>
                        <w:snapToGrid w:val="0"/>
                        <w:sz w:val="20"/>
                        <w:szCs w:val="22"/>
                      </w:rPr>
                      <w:t>91,526,955</w:t>
                    </w:r>
                  </w:p>
                </w:tc>
                <w:tc>
                  <w:tcPr>
                    <w:tcW w:w="113" w:type="dxa"/>
                    <w:tcBorders>
                      <w:top w:val="nil"/>
                      <w:left w:val="nil"/>
                      <w:bottom w:val="nil"/>
                      <w:right w:val="nil"/>
                    </w:tcBorders>
                    <w:shd w:val="clear" w:color="auto" w:fill="auto"/>
                    <w:noWrap/>
                    <w:vAlign w:val="center"/>
                  </w:tcPr>
                  <w:p w:rsidR="00182B92" w:rsidRPr="00182B92" w:rsidRDefault="00182B92" w:rsidP="00182B92">
                    <w:pPr>
                      <w:kinsoku w:val="0"/>
                      <w:overflowPunct w:val="0"/>
                      <w:autoSpaceDE w:val="0"/>
                      <w:autoSpaceDN w:val="0"/>
                      <w:adjustRightInd w:val="0"/>
                      <w:snapToGrid w:val="0"/>
                      <w:jc w:val="right"/>
                      <w:rPr>
                        <w:rFonts w:cs="Arial"/>
                        <w:color w:val="000000"/>
                        <w:sz w:val="20"/>
                        <w:szCs w:val="20"/>
                      </w:rPr>
                    </w:pPr>
                  </w:p>
                </w:tc>
              </w:tr>
            </w:tbl>
            <w:p w:rsidR="00182B92" w:rsidRPr="00182B92" w:rsidRDefault="00182B92" w:rsidP="00182B92">
              <w:pPr>
                <w:tabs>
                  <w:tab w:val="left" w:pos="2520"/>
                  <w:tab w:val="decimal" w:pos="5250"/>
                  <w:tab w:val="decimal" w:pos="6510"/>
                  <w:tab w:val="decimal" w:pos="7035"/>
                  <w:tab w:val="decimal" w:pos="8295"/>
                </w:tabs>
                <w:overflowPunct w:val="0"/>
                <w:autoSpaceDE w:val="0"/>
                <w:autoSpaceDN w:val="0"/>
                <w:adjustRightInd w:val="0"/>
                <w:snapToGrid w:val="0"/>
                <w:ind w:left="720" w:hanging="720"/>
                <w:jc w:val="both"/>
                <w:rPr>
                  <w:rFonts w:cs="Arial"/>
                  <w:snapToGrid w:val="0"/>
                  <w:sz w:val="20"/>
                  <w:szCs w:val="20"/>
                </w:rPr>
              </w:pPr>
            </w:p>
            <w:p w:rsidR="00182B92" w:rsidRPr="00182B92" w:rsidRDefault="00182B92" w:rsidP="00182B92">
              <w:pPr>
                <w:tabs>
                  <w:tab w:val="decimal" w:pos="4560"/>
                  <w:tab w:val="decimal" w:pos="6240"/>
                  <w:tab w:val="decimal" w:pos="6600"/>
                  <w:tab w:val="decimal" w:pos="8280"/>
                </w:tabs>
                <w:overflowPunct w:val="0"/>
                <w:autoSpaceDE w:val="0"/>
                <w:autoSpaceDN w:val="0"/>
                <w:adjustRightInd w:val="0"/>
                <w:snapToGrid w:val="0"/>
                <w:ind w:left="720" w:hanging="720"/>
                <w:jc w:val="both"/>
                <w:textAlignment w:val="bottom"/>
                <w:rPr>
                  <w:rFonts w:cs="Arial"/>
                  <w:snapToGrid w:val="0"/>
                  <w:sz w:val="20"/>
                  <w:szCs w:val="20"/>
                </w:rPr>
              </w:pPr>
              <w:r w:rsidRPr="00182B92">
                <w:rPr>
                  <w:rFonts w:cs="Arial"/>
                  <w:snapToGrid w:val="0"/>
                  <w:sz w:val="20"/>
                  <w:szCs w:val="20"/>
                </w:rPr>
                <w:t>其中，以权益结算的股份支付如下：</w:t>
              </w:r>
            </w:p>
            <w:p w:rsidR="00182B92" w:rsidRPr="00182B92" w:rsidRDefault="00182B92" w:rsidP="00182B92">
              <w:pPr>
                <w:tabs>
                  <w:tab w:val="decimal" w:pos="4560"/>
                  <w:tab w:val="decimal" w:pos="6240"/>
                  <w:tab w:val="decimal" w:pos="6600"/>
                  <w:tab w:val="decimal" w:pos="8280"/>
                </w:tabs>
                <w:overflowPunct w:val="0"/>
                <w:autoSpaceDE w:val="0"/>
                <w:autoSpaceDN w:val="0"/>
                <w:adjustRightInd w:val="0"/>
                <w:snapToGrid w:val="0"/>
                <w:ind w:left="720" w:hanging="720"/>
                <w:jc w:val="both"/>
                <w:textAlignment w:val="bottom"/>
                <w:rPr>
                  <w:rFonts w:cs="Arial"/>
                  <w:snapToGrid w:val="0"/>
                  <w:sz w:val="20"/>
                  <w:szCs w:val="20"/>
                </w:rPr>
              </w:pPr>
            </w:p>
            <w:tbl>
              <w:tblPr>
                <w:tblStyle w:val="g35"/>
                <w:tblW w:w="8477" w:type="dxa"/>
                <w:tblLayout w:type="fixed"/>
                <w:tblCellMar>
                  <w:left w:w="0" w:type="dxa"/>
                  <w:right w:w="0" w:type="dxa"/>
                </w:tblCellMar>
                <w:tblLook w:val="04A0" w:firstRow="1" w:lastRow="0" w:firstColumn="1" w:lastColumn="0" w:noHBand="0" w:noVBand="1"/>
                <w:tblCaption w:val="76关联方余额_存放关联方的货币资金"/>
              </w:tblPr>
              <w:tblGrid>
                <w:gridCol w:w="4252"/>
                <w:gridCol w:w="113"/>
                <w:gridCol w:w="1871"/>
                <w:gridCol w:w="113"/>
                <w:gridCol w:w="113"/>
                <w:gridCol w:w="1902"/>
                <w:gridCol w:w="113"/>
              </w:tblGrid>
              <w:tr w:rsidR="00182B92" w:rsidRPr="00182B92" w:rsidTr="00182B92">
                <w:tc>
                  <w:tcPr>
                    <w:tcW w:w="4252" w:type="dxa"/>
                    <w:tcBorders>
                      <w:top w:val="nil"/>
                      <w:left w:val="nil"/>
                      <w:bottom w:val="nil"/>
                      <w:right w:val="nil"/>
                    </w:tcBorders>
                    <w:shd w:val="clear" w:color="auto" w:fill="auto"/>
                    <w:noWrap/>
                    <w:hideMark/>
                  </w:tcPr>
                  <w:p w:rsidR="00182B92" w:rsidRPr="00182B92" w:rsidRDefault="00182B92" w:rsidP="00182B92">
                    <w:pPr>
                      <w:kinsoku w:val="0"/>
                      <w:overflowPunct w:val="0"/>
                      <w:autoSpaceDE w:val="0"/>
                      <w:autoSpaceDN w:val="0"/>
                      <w:adjustRightInd w:val="0"/>
                      <w:snapToGrid w:val="0"/>
                      <w:jc w:val="right"/>
                      <w:rPr>
                        <w:rFonts w:cs="Arial"/>
                        <w:sz w:val="20"/>
                        <w:szCs w:val="20"/>
                      </w:rPr>
                    </w:pPr>
                    <w:r w:rsidRPr="00182B92">
                      <w:rPr>
                        <w:rFonts w:cs="Arial"/>
                        <w:color w:val="000000"/>
                        <w:sz w:val="20"/>
                        <w:szCs w:val="20"/>
                      </w:rPr>
                      <w:t xml:space="preserve"> </w:t>
                    </w:r>
                  </w:p>
                </w:tc>
                <w:tc>
                  <w:tcPr>
                    <w:tcW w:w="113" w:type="dxa"/>
                    <w:tcBorders>
                      <w:top w:val="nil"/>
                      <w:left w:val="nil"/>
                      <w:bottom w:val="nil"/>
                      <w:right w:val="nil"/>
                    </w:tcBorders>
                    <w:shd w:val="clear" w:color="auto" w:fill="auto"/>
                    <w:vAlign w:val="bottom"/>
                    <w:hideMark/>
                  </w:tcPr>
                  <w:p w:rsidR="00182B92" w:rsidRPr="00182B92" w:rsidRDefault="00182B92" w:rsidP="00182B92">
                    <w:pPr>
                      <w:kinsoku w:val="0"/>
                      <w:overflowPunct w:val="0"/>
                      <w:autoSpaceDE w:val="0"/>
                      <w:autoSpaceDN w:val="0"/>
                      <w:adjustRightInd w:val="0"/>
                      <w:snapToGrid w:val="0"/>
                      <w:rPr>
                        <w:rFonts w:cs="Arial"/>
                        <w:sz w:val="20"/>
                        <w:szCs w:val="20"/>
                      </w:rPr>
                    </w:pPr>
                    <w:r w:rsidRPr="00182B92">
                      <w:rPr>
                        <w:rFonts w:cs="Arial"/>
                        <w:color w:val="000000"/>
                        <w:sz w:val="20"/>
                        <w:szCs w:val="20"/>
                      </w:rPr>
                      <w:t xml:space="preserve"> </w:t>
                    </w:r>
                  </w:p>
                </w:tc>
                <w:tc>
                  <w:tcPr>
                    <w:tcW w:w="1871" w:type="dxa"/>
                    <w:tcBorders>
                      <w:top w:val="nil"/>
                      <w:left w:val="nil"/>
                      <w:bottom w:val="nil"/>
                      <w:right w:val="nil"/>
                    </w:tcBorders>
                    <w:shd w:val="clear" w:color="auto" w:fill="auto"/>
                    <w:noWrap/>
                    <w:hideMark/>
                  </w:tcPr>
                  <w:p w:rsidR="00182B92" w:rsidRPr="00182B92" w:rsidRDefault="00182B92" w:rsidP="00182B92">
                    <w:pPr>
                      <w:kinsoku w:val="0"/>
                      <w:overflowPunct w:val="0"/>
                      <w:autoSpaceDE w:val="0"/>
                      <w:autoSpaceDN w:val="0"/>
                      <w:adjustRightInd w:val="0"/>
                      <w:snapToGrid w:val="0"/>
                      <w:jc w:val="right"/>
                      <w:rPr>
                        <w:rFonts w:cs="Arial"/>
                        <w:color w:val="000000"/>
                        <w:sz w:val="20"/>
                        <w:szCs w:val="20"/>
                      </w:rPr>
                    </w:pPr>
                    <w:r w:rsidRPr="00182B92">
                      <w:rPr>
                        <w:rFonts w:cs="Arial"/>
                        <w:color w:val="000000"/>
                        <w:sz w:val="20"/>
                        <w:szCs w:val="20"/>
                      </w:rPr>
                      <w:t>2019年</w:t>
                    </w:r>
                    <w:r w:rsidRPr="00182B92">
                      <w:rPr>
                        <w:rFonts w:cs="Arial" w:hint="eastAsia"/>
                        <w:color w:val="000000"/>
                        <w:sz w:val="20"/>
                        <w:szCs w:val="20"/>
                      </w:rPr>
                      <w:t>1</w:t>
                    </w:r>
                    <w:r w:rsidRPr="00182B92">
                      <w:rPr>
                        <w:rFonts w:cs="Arial"/>
                        <w:color w:val="000000"/>
                        <w:sz w:val="20"/>
                        <w:szCs w:val="20"/>
                      </w:rPr>
                      <w:t>-6</w:t>
                    </w:r>
                    <w:r w:rsidRPr="00182B92">
                      <w:rPr>
                        <w:rFonts w:cs="Arial" w:hint="eastAsia"/>
                        <w:color w:val="000000"/>
                        <w:sz w:val="20"/>
                        <w:szCs w:val="20"/>
                      </w:rPr>
                      <w:t>月</w:t>
                    </w:r>
                  </w:p>
                </w:tc>
                <w:tc>
                  <w:tcPr>
                    <w:tcW w:w="113" w:type="dxa"/>
                    <w:tcBorders>
                      <w:top w:val="nil"/>
                      <w:left w:val="nil"/>
                      <w:bottom w:val="nil"/>
                      <w:right w:val="nil"/>
                    </w:tcBorders>
                    <w:shd w:val="clear" w:color="auto" w:fill="auto"/>
                    <w:hideMark/>
                  </w:tcPr>
                  <w:p w:rsidR="00182B92" w:rsidRPr="00182B92" w:rsidRDefault="00182B92" w:rsidP="00182B92">
                    <w:pPr>
                      <w:kinsoku w:val="0"/>
                      <w:overflowPunct w:val="0"/>
                      <w:autoSpaceDE w:val="0"/>
                      <w:autoSpaceDN w:val="0"/>
                      <w:adjustRightInd w:val="0"/>
                      <w:snapToGrid w:val="0"/>
                      <w:jc w:val="right"/>
                      <w:rPr>
                        <w:rFonts w:cs="Arial"/>
                        <w:color w:val="000000"/>
                        <w:sz w:val="20"/>
                        <w:szCs w:val="20"/>
                      </w:rPr>
                    </w:pPr>
                    <w:r w:rsidRPr="00182B92">
                      <w:rPr>
                        <w:rFonts w:cs="Arial"/>
                        <w:color w:val="000000"/>
                        <w:sz w:val="20"/>
                        <w:szCs w:val="20"/>
                      </w:rPr>
                      <w:t xml:space="preserve"> </w:t>
                    </w:r>
                  </w:p>
                </w:tc>
                <w:tc>
                  <w:tcPr>
                    <w:tcW w:w="113" w:type="dxa"/>
                    <w:tcBorders>
                      <w:top w:val="nil"/>
                      <w:left w:val="nil"/>
                      <w:bottom w:val="nil"/>
                      <w:right w:val="nil"/>
                    </w:tcBorders>
                    <w:shd w:val="clear" w:color="auto" w:fill="auto"/>
                    <w:hideMark/>
                  </w:tcPr>
                  <w:p w:rsidR="00182B92" w:rsidRPr="00182B92" w:rsidRDefault="00182B92" w:rsidP="00182B92">
                    <w:pPr>
                      <w:kinsoku w:val="0"/>
                      <w:overflowPunct w:val="0"/>
                      <w:autoSpaceDE w:val="0"/>
                      <w:autoSpaceDN w:val="0"/>
                      <w:adjustRightInd w:val="0"/>
                      <w:snapToGrid w:val="0"/>
                      <w:jc w:val="right"/>
                      <w:rPr>
                        <w:rFonts w:cs="Arial"/>
                        <w:sz w:val="20"/>
                        <w:szCs w:val="20"/>
                      </w:rPr>
                    </w:pPr>
                    <w:r w:rsidRPr="00182B92">
                      <w:rPr>
                        <w:rFonts w:cs="Arial"/>
                        <w:color w:val="000000"/>
                        <w:sz w:val="20"/>
                        <w:szCs w:val="20"/>
                      </w:rPr>
                      <w:t xml:space="preserve"> </w:t>
                    </w:r>
                  </w:p>
                </w:tc>
                <w:tc>
                  <w:tcPr>
                    <w:tcW w:w="1902" w:type="dxa"/>
                    <w:tcBorders>
                      <w:top w:val="nil"/>
                      <w:left w:val="nil"/>
                      <w:bottom w:val="nil"/>
                      <w:right w:val="nil"/>
                    </w:tcBorders>
                    <w:shd w:val="clear" w:color="auto" w:fill="auto"/>
                    <w:noWrap/>
                    <w:hideMark/>
                  </w:tcPr>
                  <w:p w:rsidR="00182B92" w:rsidRPr="00182B92" w:rsidRDefault="00182B92" w:rsidP="00182B92">
                    <w:pPr>
                      <w:kinsoku w:val="0"/>
                      <w:overflowPunct w:val="0"/>
                      <w:autoSpaceDE w:val="0"/>
                      <w:autoSpaceDN w:val="0"/>
                      <w:adjustRightInd w:val="0"/>
                      <w:snapToGrid w:val="0"/>
                      <w:jc w:val="right"/>
                      <w:rPr>
                        <w:rFonts w:cs="Arial"/>
                        <w:color w:val="000000"/>
                        <w:sz w:val="20"/>
                        <w:szCs w:val="20"/>
                      </w:rPr>
                    </w:pPr>
                    <w:r w:rsidRPr="00182B92">
                      <w:rPr>
                        <w:rFonts w:cs="Arial"/>
                        <w:color w:val="000000"/>
                        <w:sz w:val="20"/>
                        <w:szCs w:val="20"/>
                      </w:rPr>
                      <w:t>2018年</w:t>
                    </w:r>
                    <w:r w:rsidRPr="00182B92">
                      <w:rPr>
                        <w:rFonts w:cs="Arial" w:hint="eastAsia"/>
                        <w:color w:val="000000"/>
                        <w:sz w:val="20"/>
                        <w:szCs w:val="20"/>
                      </w:rPr>
                      <w:t>1</w:t>
                    </w:r>
                    <w:r w:rsidRPr="00182B92">
                      <w:rPr>
                        <w:rFonts w:cs="Arial"/>
                        <w:color w:val="000000"/>
                        <w:sz w:val="20"/>
                        <w:szCs w:val="20"/>
                      </w:rPr>
                      <w:t>-6</w:t>
                    </w:r>
                    <w:r w:rsidRPr="00182B92">
                      <w:rPr>
                        <w:rFonts w:cs="Arial" w:hint="eastAsia"/>
                        <w:color w:val="000000"/>
                        <w:sz w:val="20"/>
                        <w:szCs w:val="20"/>
                      </w:rPr>
                      <w:t>月</w:t>
                    </w:r>
                  </w:p>
                </w:tc>
                <w:tc>
                  <w:tcPr>
                    <w:tcW w:w="113" w:type="dxa"/>
                    <w:tcBorders>
                      <w:top w:val="nil"/>
                      <w:left w:val="nil"/>
                      <w:bottom w:val="nil"/>
                      <w:right w:val="nil"/>
                    </w:tcBorders>
                    <w:shd w:val="clear" w:color="auto" w:fill="auto"/>
                    <w:noWrap/>
                    <w:vAlign w:val="center"/>
                    <w:hideMark/>
                  </w:tcPr>
                  <w:p w:rsidR="00182B92" w:rsidRPr="00182B92" w:rsidRDefault="00182B92" w:rsidP="00182B92">
                    <w:pPr>
                      <w:kinsoku w:val="0"/>
                      <w:overflowPunct w:val="0"/>
                      <w:autoSpaceDE w:val="0"/>
                      <w:autoSpaceDN w:val="0"/>
                      <w:adjustRightInd w:val="0"/>
                      <w:snapToGrid w:val="0"/>
                      <w:jc w:val="right"/>
                      <w:rPr>
                        <w:rFonts w:cs="Arial"/>
                        <w:color w:val="000000"/>
                        <w:sz w:val="20"/>
                        <w:szCs w:val="20"/>
                      </w:rPr>
                    </w:pPr>
                    <w:r w:rsidRPr="00182B92">
                      <w:rPr>
                        <w:rFonts w:cs="Arial"/>
                        <w:color w:val="000000"/>
                        <w:sz w:val="20"/>
                        <w:szCs w:val="20"/>
                      </w:rPr>
                      <w:t xml:space="preserve"> </w:t>
                    </w:r>
                  </w:p>
                </w:tc>
              </w:tr>
              <w:tr w:rsidR="00182B92" w:rsidRPr="00182B92" w:rsidTr="00182B92">
                <w:tc>
                  <w:tcPr>
                    <w:tcW w:w="4252" w:type="dxa"/>
                    <w:tcBorders>
                      <w:top w:val="nil"/>
                      <w:left w:val="nil"/>
                      <w:bottom w:val="nil"/>
                      <w:right w:val="nil"/>
                    </w:tcBorders>
                    <w:shd w:val="clear" w:color="auto" w:fill="auto"/>
                    <w:noWrap/>
                    <w:vAlign w:val="bottom"/>
                  </w:tcPr>
                  <w:p w:rsidR="00182B92" w:rsidRPr="00182B92" w:rsidRDefault="00182B92" w:rsidP="00182B92">
                    <w:pPr>
                      <w:kinsoku w:val="0"/>
                      <w:overflowPunct w:val="0"/>
                      <w:autoSpaceDE w:val="0"/>
                      <w:autoSpaceDN w:val="0"/>
                      <w:adjustRightInd w:val="0"/>
                      <w:snapToGrid w:val="0"/>
                      <w:jc w:val="right"/>
                      <w:rPr>
                        <w:rFonts w:cs="Arial"/>
                        <w:color w:val="000000"/>
                        <w:sz w:val="20"/>
                        <w:szCs w:val="20"/>
                      </w:rPr>
                    </w:pPr>
                  </w:p>
                </w:tc>
                <w:tc>
                  <w:tcPr>
                    <w:tcW w:w="113" w:type="dxa"/>
                    <w:tcBorders>
                      <w:top w:val="nil"/>
                      <w:left w:val="nil"/>
                      <w:bottom w:val="nil"/>
                      <w:right w:val="nil"/>
                    </w:tcBorders>
                    <w:shd w:val="clear" w:color="auto" w:fill="auto"/>
                    <w:vAlign w:val="bottom"/>
                  </w:tcPr>
                  <w:p w:rsidR="00182B92" w:rsidRPr="00182B92" w:rsidRDefault="00182B92" w:rsidP="00182B92">
                    <w:pPr>
                      <w:kinsoku w:val="0"/>
                      <w:overflowPunct w:val="0"/>
                      <w:autoSpaceDE w:val="0"/>
                      <w:autoSpaceDN w:val="0"/>
                      <w:adjustRightInd w:val="0"/>
                      <w:snapToGrid w:val="0"/>
                      <w:rPr>
                        <w:rFonts w:cs="Arial"/>
                        <w:color w:val="000000"/>
                        <w:sz w:val="20"/>
                        <w:szCs w:val="20"/>
                      </w:rPr>
                    </w:pPr>
                  </w:p>
                </w:tc>
                <w:tc>
                  <w:tcPr>
                    <w:tcW w:w="1871" w:type="dxa"/>
                    <w:tcBorders>
                      <w:top w:val="nil"/>
                      <w:left w:val="nil"/>
                      <w:bottom w:val="nil"/>
                      <w:right w:val="nil"/>
                    </w:tcBorders>
                    <w:shd w:val="clear" w:color="auto" w:fill="auto"/>
                    <w:noWrap/>
                    <w:vAlign w:val="bottom"/>
                  </w:tcPr>
                  <w:p w:rsidR="00182B92" w:rsidRPr="00182B92" w:rsidRDefault="00182B92" w:rsidP="00182B92">
                    <w:pPr>
                      <w:kinsoku w:val="0"/>
                      <w:overflowPunct w:val="0"/>
                      <w:autoSpaceDE w:val="0"/>
                      <w:autoSpaceDN w:val="0"/>
                      <w:adjustRightInd w:val="0"/>
                      <w:snapToGrid w:val="0"/>
                      <w:jc w:val="right"/>
                      <w:rPr>
                        <w:rFonts w:cs="Arial"/>
                        <w:color w:val="000000"/>
                        <w:sz w:val="20"/>
                        <w:szCs w:val="20"/>
                      </w:rPr>
                    </w:pPr>
                  </w:p>
                </w:tc>
                <w:tc>
                  <w:tcPr>
                    <w:tcW w:w="113" w:type="dxa"/>
                    <w:tcBorders>
                      <w:top w:val="nil"/>
                      <w:left w:val="nil"/>
                      <w:bottom w:val="nil"/>
                      <w:right w:val="nil"/>
                    </w:tcBorders>
                    <w:shd w:val="clear" w:color="auto" w:fill="auto"/>
                    <w:vAlign w:val="bottom"/>
                  </w:tcPr>
                  <w:p w:rsidR="00182B92" w:rsidRPr="00182B92" w:rsidRDefault="00182B92" w:rsidP="00182B92">
                    <w:pPr>
                      <w:kinsoku w:val="0"/>
                      <w:overflowPunct w:val="0"/>
                      <w:autoSpaceDE w:val="0"/>
                      <w:autoSpaceDN w:val="0"/>
                      <w:adjustRightInd w:val="0"/>
                      <w:snapToGrid w:val="0"/>
                      <w:jc w:val="right"/>
                      <w:rPr>
                        <w:rFonts w:cs="Arial"/>
                        <w:color w:val="000000"/>
                        <w:sz w:val="20"/>
                        <w:szCs w:val="20"/>
                      </w:rPr>
                    </w:pPr>
                  </w:p>
                </w:tc>
                <w:tc>
                  <w:tcPr>
                    <w:tcW w:w="113" w:type="dxa"/>
                    <w:tcBorders>
                      <w:top w:val="nil"/>
                      <w:left w:val="nil"/>
                      <w:bottom w:val="nil"/>
                      <w:right w:val="nil"/>
                    </w:tcBorders>
                    <w:shd w:val="clear" w:color="auto" w:fill="auto"/>
                    <w:vAlign w:val="bottom"/>
                  </w:tcPr>
                  <w:p w:rsidR="00182B92" w:rsidRPr="00182B92" w:rsidRDefault="00182B92" w:rsidP="00182B92">
                    <w:pPr>
                      <w:kinsoku w:val="0"/>
                      <w:overflowPunct w:val="0"/>
                      <w:autoSpaceDE w:val="0"/>
                      <w:autoSpaceDN w:val="0"/>
                      <w:adjustRightInd w:val="0"/>
                      <w:snapToGrid w:val="0"/>
                      <w:jc w:val="right"/>
                      <w:rPr>
                        <w:rFonts w:cs="Arial"/>
                        <w:color w:val="000000"/>
                        <w:sz w:val="20"/>
                        <w:szCs w:val="20"/>
                      </w:rPr>
                    </w:pPr>
                  </w:p>
                </w:tc>
                <w:tc>
                  <w:tcPr>
                    <w:tcW w:w="1902" w:type="dxa"/>
                    <w:tcBorders>
                      <w:top w:val="nil"/>
                      <w:left w:val="nil"/>
                      <w:bottom w:val="nil"/>
                      <w:right w:val="nil"/>
                    </w:tcBorders>
                    <w:shd w:val="clear" w:color="auto" w:fill="auto"/>
                    <w:noWrap/>
                    <w:vAlign w:val="bottom"/>
                  </w:tcPr>
                  <w:p w:rsidR="00182B92" w:rsidRPr="00182B92" w:rsidRDefault="00182B92" w:rsidP="00182B92">
                    <w:pPr>
                      <w:kinsoku w:val="0"/>
                      <w:overflowPunct w:val="0"/>
                      <w:autoSpaceDE w:val="0"/>
                      <w:autoSpaceDN w:val="0"/>
                      <w:adjustRightInd w:val="0"/>
                      <w:snapToGrid w:val="0"/>
                      <w:jc w:val="right"/>
                      <w:rPr>
                        <w:rFonts w:cs="Arial"/>
                        <w:color w:val="000000"/>
                        <w:sz w:val="20"/>
                        <w:szCs w:val="20"/>
                      </w:rPr>
                    </w:pPr>
                  </w:p>
                </w:tc>
                <w:tc>
                  <w:tcPr>
                    <w:tcW w:w="113" w:type="dxa"/>
                    <w:tcBorders>
                      <w:top w:val="nil"/>
                      <w:left w:val="nil"/>
                      <w:bottom w:val="nil"/>
                      <w:right w:val="nil"/>
                    </w:tcBorders>
                    <w:shd w:val="clear" w:color="auto" w:fill="auto"/>
                    <w:noWrap/>
                    <w:vAlign w:val="center"/>
                  </w:tcPr>
                  <w:p w:rsidR="00182B92" w:rsidRPr="00182B92" w:rsidRDefault="00182B92" w:rsidP="00182B92">
                    <w:pPr>
                      <w:kinsoku w:val="0"/>
                      <w:overflowPunct w:val="0"/>
                      <w:autoSpaceDE w:val="0"/>
                      <w:autoSpaceDN w:val="0"/>
                      <w:adjustRightInd w:val="0"/>
                      <w:snapToGrid w:val="0"/>
                      <w:jc w:val="right"/>
                      <w:rPr>
                        <w:rFonts w:cs="Arial"/>
                        <w:color w:val="000000"/>
                        <w:sz w:val="20"/>
                        <w:szCs w:val="20"/>
                      </w:rPr>
                    </w:pPr>
                  </w:p>
                </w:tc>
              </w:tr>
              <w:tr w:rsidR="00182B92" w:rsidRPr="00182B92" w:rsidTr="00182B92">
                <w:tc>
                  <w:tcPr>
                    <w:tcW w:w="4252" w:type="dxa"/>
                    <w:tcBorders>
                      <w:top w:val="nil"/>
                      <w:left w:val="nil"/>
                      <w:bottom w:val="nil"/>
                      <w:right w:val="nil"/>
                    </w:tcBorders>
                    <w:shd w:val="clear" w:color="auto" w:fill="auto"/>
                    <w:noWrap/>
                    <w:vAlign w:val="bottom"/>
                  </w:tcPr>
                  <w:p w:rsidR="00182B92" w:rsidRPr="00182B92" w:rsidRDefault="00182B92" w:rsidP="00182B92">
                    <w:pPr>
                      <w:kinsoku w:val="0"/>
                      <w:overflowPunct w:val="0"/>
                      <w:autoSpaceDE w:val="0"/>
                      <w:autoSpaceDN w:val="0"/>
                      <w:adjustRightInd w:val="0"/>
                      <w:snapToGrid w:val="0"/>
                      <w:rPr>
                        <w:rFonts w:cs="Arial"/>
                        <w:color w:val="000000"/>
                        <w:sz w:val="20"/>
                        <w:szCs w:val="20"/>
                      </w:rPr>
                    </w:pPr>
                    <w:r w:rsidRPr="00182B92">
                      <w:rPr>
                        <w:rFonts w:cs="Arial"/>
                        <w:snapToGrid w:val="0"/>
                        <w:sz w:val="20"/>
                        <w:szCs w:val="20"/>
                      </w:rPr>
                      <w:t>以权益结算的股份支付计入资本公积的累计金额</w:t>
                    </w:r>
                  </w:p>
                </w:tc>
                <w:tc>
                  <w:tcPr>
                    <w:tcW w:w="113" w:type="dxa"/>
                    <w:tcBorders>
                      <w:top w:val="nil"/>
                      <w:left w:val="nil"/>
                      <w:bottom w:val="nil"/>
                      <w:right w:val="nil"/>
                    </w:tcBorders>
                    <w:shd w:val="clear" w:color="auto" w:fill="auto"/>
                    <w:vAlign w:val="bottom"/>
                  </w:tcPr>
                  <w:p w:rsidR="00182B92" w:rsidRPr="00182B92" w:rsidRDefault="00182B92" w:rsidP="00182B92">
                    <w:pPr>
                      <w:kinsoku w:val="0"/>
                      <w:overflowPunct w:val="0"/>
                      <w:autoSpaceDE w:val="0"/>
                      <w:autoSpaceDN w:val="0"/>
                      <w:adjustRightInd w:val="0"/>
                      <w:snapToGrid w:val="0"/>
                      <w:rPr>
                        <w:rFonts w:cs="Arial"/>
                        <w:color w:val="000000"/>
                        <w:sz w:val="20"/>
                        <w:szCs w:val="20"/>
                      </w:rPr>
                    </w:pPr>
                  </w:p>
                </w:tc>
                <w:tc>
                  <w:tcPr>
                    <w:tcW w:w="1871" w:type="dxa"/>
                    <w:tcBorders>
                      <w:top w:val="nil"/>
                      <w:left w:val="nil"/>
                      <w:bottom w:val="nil"/>
                      <w:right w:val="nil"/>
                    </w:tcBorders>
                    <w:shd w:val="clear" w:color="auto" w:fill="auto"/>
                    <w:noWrap/>
                    <w:vAlign w:val="bottom"/>
                  </w:tcPr>
                  <w:p w:rsidR="00182B92" w:rsidRPr="00182B92" w:rsidRDefault="00182B92" w:rsidP="00182B92">
                    <w:pPr>
                      <w:kinsoku w:val="0"/>
                      <w:overflowPunct w:val="0"/>
                      <w:autoSpaceDE w:val="0"/>
                      <w:autoSpaceDN w:val="0"/>
                      <w:adjustRightInd w:val="0"/>
                      <w:snapToGrid w:val="0"/>
                      <w:jc w:val="right"/>
                      <w:rPr>
                        <w:rFonts w:cs="Arial"/>
                        <w:color w:val="000000"/>
                        <w:sz w:val="20"/>
                        <w:szCs w:val="20"/>
                      </w:rPr>
                    </w:pPr>
                    <w:r w:rsidRPr="00182B92">
                      <w:rPr>
                        <w:rFonts w:cs="Arial"/>
                        <w:color w:val="000000"/>
                        <w:sz w:val="20"/>
                        <w:szCs w:val="20"/>
                      </w:rPr>
                      <w:t>526,154,723</w:t>
                    </w:r>
                  </w:p>
                </w:tc>
                <w:tc>
                  <w:tcPr>
                    <w:tcW w:w="113" w:type="dxa"/>
                    <w:tcBorders>
                      <w:top w:val="nil"/>
                      <w:left w:val="nil"/>
                      <w:bottom w:val="nil"/>
                      <w:right w:val="nil"/>
                    </w:tcBorders>
                    <w:shd w:val="clear" w:color="auto" w:fill="auto"/>
                    <w:vAlign w:val="bottom"/>
                  </w:tcPr>
                  <w:p w:rsidR="00182B92" w:rsidRPr="00182B92" w:rsidRDefault="00182B92" w:rsidP="00182B92">
                    <w:pPr>
                      <w:kinsoku w:val="0"/>
                      <w:overflowPunct w:val="0"/>
                      <w:autoSpaceDE w:val="0"/>
                      <w:autoSpaceDN w:val="0"/>
                      <w:adjustRightInd w:val="0"/>
                      <w:snapToGrid w:val="0"/>
                      <w:jc w:val="right"/>
                      <w:rPr>
                        <w:rFonts w:cs="Arial"/>
                        <w:color w:val="000000"/>
                        <w:sz w:val="20"/>
                        <w:szCs w:val="20"/>
                      </w:rPr>
                    </w:pPr>
                  </w:p>
                </w:tc>
                <w:tc>
                  <w:tcPr>
                    <w:tcW w:w="113" w:type="dxa"/>
                    <w:tcBorders>
                      <w:top w:val="nil"/>
                      <w:left w:val="nil"/>
                      <w:bottom w:val="nil"/>
                      <w:right w:val="nil"/>
                    </w:tcBorders>
                    <w:shd w:val="clear" w:color="auto" w:fill="auto"/>
                    <w:vAlign w:val="bottom"/>
                  </w:tcPr>
                  <w:p w:rsidR="00182B92" w:rsidRPr="00182B92" w:rsidRDefault="00182B92" w:rsidP="00182B92">
                    <w:pPr>
                      <w:kinsoku w:val="0"/>
                      <w:overflowPunct w:val="0"/>
                      <w:autoSpaceDE w:val="0"/>
                      <w:autoSpaceDN w:val="0"/>
                      <w:adjustRightInd w:val="0"/>
                      <w:snapToGrid w:val="0"/>
                      <w:jc w:val="right"/>
                      <w:rPr>
                        <w:rFonts w:cs="Arial"/>
                        <w:color w:val="000000"/>
                        <w:sz w:val="20"/>
                        <w:szCs w:val="20"/>
                      </w:rPr>
                    </w:pPr>
                  </w:p>
                </w:tc>
                <w:tc>
                  <w:tcPr>
                    <w:tcW w:w="1902" w:type="dxa"/>
                    <w:tcBorders>
                      <w:top w:val="nil"/>
                      <w:left w:val="nil"/>
                      <w:bottom w:val="nil"/>
                      <w:right w:val="nil"/>
                    </w:tcBorders>
                    <w:shd w:val="clear" w:color="auto" w:fill="auto"/>
                    <w:noWrap/>
                    <w:vAlign w:val="bottom"/>
                  </w:tcPr>
                  <w:p w:rsidR="00182B92" w:rsidRPr="00182B92" w:rsidRDefault="00182B92" w:rsidP="00182B92">
                    <w:pPr>
                      <w:kinsoku w:val="0"/>
                      <w:overflowPunct w:val="0"/>
                      <w:autoSpaceDE w:val="0"/>
                      <w:autoSpaceDN w:val="0"/>
                      <w:adjustRightInd w:val="0"/>
                      <w:snapToGrid w:val="0"/>
                      <w:jc w:val="right"/>
                      <w:rPr>
                        <w:rFonts w:cs="Arial"/>
                        <w:color w:val="000000"/>
                        <w:sz w:val="20"/>
                        <w:szCs w:val="20"/>
                      </w:rPr>
                    </w:pPr>
                    <w:r w:rsidRPr="00182B92">
                      <w:rPr>
                        <w:rFonts w:cs="Arial"/>
                        <w:snapToGrid w:val="0"/>
                        <w:sz w:val="20"/>
                        <w:szCs w:val="22"/>
                      </w:rPr>
                      <w:t>383,017,541</w:t>
                    </w:r>
                  </w:p>
                </w:tc>
                <w:tc>
                  <w:tcPr>
                    <w:tcW w:w="113" w:type="dxa"/>
                    <w:tcBorders>
                      <w:top w:val="nil"/>
                      <w:left w:val="nil"/>
                      <w:bottom w:val="nil"/>
                      <w:right w:val="nil"/>
                    </w:tcBorders>
                    <w:shd w:val="clear" w:color="auto" w:fill="auto"/>
                    <w:noWrap/>
                    <w:vAlign w:val="center"/>
                  </w:tcPr>
                  <w:p w:rsidR="00182B92" w:rsidRPr="00182B92" w:rsidRDefault="00182B92" w:rsidP="00182B92">
                    <w:pPr>
                      <w:kinsoku w:val="0"/>
                      <w:overflowPunct w:val="0"/>
                      <w:autoSpaceDE w:val="0"/>
                      <w:autoSpaceDN w:val="0"/>
                      <w:adjustRightInd w:val="0"/>
                      <w:snapToGrid w:val="0"/>
                      <w:jc w:val="right"/>
                      <w:rPr>
                        <w:rFonts w:cs="Arial"/>
                        <w:color w:val="000000"/>
                        <w:sz w:val="20"/>
                        <w:szCs w:val="20"/>
                      </w:rPr>
                    </w:pPr>
                  </w:p>
                </w:tc>
              </w:tr>
              <w:tr w:rsidR="00182B92" w:rsidRPr="00182B92" w:rsidTr="00182B92">
                <w:tc>
                  <w:tcPr>
                    <w:tcW w:w="4252" w:type="dxa"/>
                    <w:tcBorders>
                      <w:top w:val="nil"/>
                      <w:left w:val="nil"/>
                      <w:bottom w:val="nil"/>
                      <w:right w:val="nil"/>
                    </w:tcBorders>
                    <w:shd w:val="clear" w:color="auto" w:fill="auto"/>
                    <w:noWrap/>
                    <w:vAlign w:val="bottom"/>
                  </w:tcPr>
                  <w:p w:rsidR="00182B92" w:rsidRPr="00182B92" w:rsidRDefault="00182B92" w:rsidP="00182B92">
                    <w:pPr>
                      <w:kinsoku w:val="0"/>
                      <w:overflowPunct w:val="0"/>
                      <w:autoSpaceDE w:val="0"/>
                      <w:autoSpaceDN w:val="0"/>
                      <w:adjustRightInd w:val="0"/>
                      <w:snapToGrid w:val="0"/>
                      <w:rPr>
                        <w:rFonts w:cs="Arial"/>
                        <w:color w:val="000000"/>
                        <w:sz w:val="20"/>
                        <w:szCs w:val="20"/>
                      </w:rPr>
                    </w:pPr>
                    <w:r w:rsidRPr="00182B92">
                      <w:rPr>
                        <w:rFonts w:cs="Arial"/>
                        <w:snapToGrid w:val="0"/>
                        <w:sz w:val="20"/>
                        <w:szCs w:val="20"/>
                      </w:rPr>
                      <w:t>以权益结算的股份支付确认的费用总额(注2)</w:t>
                    </w:r>
                  </w:p>
                </w:tc>
                <w:tc>
                  <w:tcPr>
                    <w:tcW w:w="113" w:type="dxa"/>
                    <w:tcBorders>
                      <w:top w:val="nil"/>
                      <w:left w:val="nil"/>
                      <w:bottom w:val="nil"/>
                      <w:right w:val="nil"/>
                    </w:tcBorders>
                    <w:shd w:val="clear" w:color="auto" w:fill="auto"/>
                    <w:vAlign w:val="bottom"/>
                  </w:tcPr>
                  <w:p w:rsidR="00182B92" w:rsidRPr="00182B92" w:rsidRDefault="00182B92" w:rsidP="00182B92">
                    <w:pPr>
                      <w:kinsoku w:val="0"/>
                      <w:overflowPunct w:val="0"/>
                      <w:autoSpaceDE w:val="0"/>
                      <w:autoSpaceDN w:val="0"/>
                      <w:adjustRightInd w:val="0"/>
                      <w:snapToGrid w:val="0"/>
                      <w:rPr>
                        <w:rFonts w:cs="Arial"/>
                        <w:color w:val="000000"/>
                        <w:sz w:val="20"/>
                        <w:szCs w:val="20"/>
                      </w:rPr>
                    </w:pPr>
                  </w:p>
                </w:tc>
                <w:tc>
                  <w:tcPr>
                    <w:tcW w:w="1871" w:type="dxa"/>
                    <w:tcBorders>
                      <w:top w:val="nil"/>
                      <w:left w:val="nil"/>
                      <w:bottom w:val="nil"/>
                      <w:right w:val="nil"/>
                    </w:tcBorders>
                    <w:shd w:val="clear" w:color="auto" w:fill="auto"/>
                    <w:noWrap/>
                    <w:vAlign w:val="bottom"/>
                  </w:tcPr>
                  <w:p w:rsidR="00182B92" w:rsidRPr="00182B92" w:rsidRDefault="00182B92" w:rsidP="00182B92">
                    <w:pPr>
                      <w:kinsoku w:val="0"/>
                      <w:overflowPunct w:val="0"/>
                      <w:autoSpaceDE w:val="0"/>
                      <w:autoSpaceDN w:val="0"/>
                      <w:adjustRightInd w:val="0"/>
                      <w:snapToGrid w:val="0"/>
                      <w:jc w:val="right"/>
                      <w:rPr>
                        <w:rFonts w:cs="Arial"/>
                        <w:color w:val="000000"/>
                        <w:sz w:val="20"/>
                        <w:szCs w:val="20"/>
                      </w:rPr>
                    </w:pPr>
                    <w:r w:rsidRPr="00182B92">
                      <w:rPr>
                        <w:rFonts w:cs="Arial"/>
                        <w:color w:val="000000"/>
                        <w:sz w:val="20"/>
                        <w:szCs w:val="20"/>
                      </w:rPr>
                      <w:t>54,295,636</w:t>
                    </w:r>
                  </w:p>
                </w:tc>
                <w:tc>
                  <w:tcPr>
                    <w:tcW w:w="113" w:type="dxa"/>
                    <w:tcBorders>
                      <w:top w:val="nil"/>
                      <w:left w:val="nil"/>
                      <w:bottom w:val="nil"/>
                      <w:right w:val="nil"/>
                    </w:tcBorders>
                    <w:shd w:val="clear" w:color="auto" w:fill="auto"/>
                    <w:vAlign w:val="bottom"/>
                  </w:tcPr>
                  <w:p w:rsidR="00182B92" w:rsidRPr="00182B92" w:rsidRDefault="00182B92" w:rsidP="00182B92">
                    <w:pPr>
                      <w:kinsoku w:val="0"/>
                      <w:overflowPunct w:val="0"/>
                      <w:autoSpaceDE w:val="0"/>
                      <w:autoSpaceDN w:val="0"/>
                      <w:adjustRightInd w:val="0"/>
                      <w:snapToGrid w:val="0"/>
                      <w:jc w:val="right"/>
                      <w:rPr>
                        <w:rFonts w:cs="Arial"/>
                        <w:color w:val="000000"/>
                        <w:sz w:val="20"/>
                        <w:szCs w:val="20"/>
                      </w:rPr>
                    </w:pPr>
                  </w:p>
                </w:tc>
                <w:tc>
                  <w:tcPr>
                    <w:tcW w:w="113" w:type="dxa"/>
                    <w:tcBorders>
                      <w:top w:val="nil"/>
                      <w:left w:val="nil"/>
                      <w:bottom w:val="nil"/>
                      <w:right w:val="nil"/>
                    </w:tcBorders>
                    <w:shd w:val="clear" w:color="auto" w:fill="auto"/>
                    <w:vAlign w:val="bottom"/>
                  </w:tcPr>
                  <w:p w:rsidR="00182B92" w:rsidRPr="00182B92" w:rsidRDefault="00182B92" w:rsidP="00182B92">
                    <w:pPr>
                      <w:kinsoku w:val="0"/>
                      <w:overflowPunct w:val="0"/>
                      <w:autoSpaceDE w:val="0"/>
                      <w:autoSpaceDN w:val="0"/>
                      <w:adjustRightInd w:val="0"/>
                      <w:snapToGrid w:val="0"/>
                      <w:jc w:val="right"/>
                      <w:rPr>
                        <w:rFonts w:cs="Arial"/>
                        <w:color w:val="000000"/>
                        <w:sz w:val="20"/>
                        <w:szCs w:val="20"/>
                      </w:rPr>
                    </w:pPr>
                  </w:p>
                </w:tc>
                <w:tc>
                  <w:tcPr>
                    <w:tcW w:w="1902" w:type="dxa"/>
                    <w:tcBorders>
                      <w:top w:val="nil"/>
                      <w:left w:val="nil"/>
                      <w:bottom w:val="nil"/>
                      <w:right w:val="nil"/>
                    </w:tcBorders>
                    <w:shd w:val="clear" w:color="auto" w:fill="auto"/>
                    <w:noWrap/>
                    <w:vAlign w:val="bottom"/>
                  </w:tcPr>
                  <w:p w:rsidR="00182B92" w:rsidRPr="00182B92" w:rsidRDefault="00182B92" w:rsidP="00182B92">
                    <w:pPr>
                      <w:kinsoku w:val="0"/>
                      <w:overflowPunct w:val="0"/>
                      <w:autoSpaceDE w:val="0"/>
                      <w:autoSpaceDN w:val="0"/>
                      <w:adjustRightInd w:val="0"/>
                      <w:snapToGrid w:val="0"/>
                      <w:jc w:val="right"/>
                      <w:rPr>
                        <w:rFonts w:cs="Arial"/>
                        <w:color w:val="000000"/>
                        <w:sz w:val="20"/>
                        <w:szCs w:val="20"/>
                      </w:rPr>
                    </w:pPr>
                    <w:r w:rsidRPr="00182B92">
                      <w:rPr>
                        <w:rFonts w:cs="Arial"/>
                        <w:snapToGrid w:val="0"/>
                        <w:sz w:val="20"/>
                        <w:szCs w:val="22"/>
                      </w:rPr>
                      <w:t>91,526,955</w:t>
                    </w:r>
                  </w:p>
                </w:tc>
                <w:tc>
                  <w:tcPr>
                    <w:tcW w:w="113" w:type="dxa"/>
                    <w:tcBorders>
                      <w:top w:val="nil"/>
                      <w:left w:val="nil"/>
                      <w:bottom w:val="nil"/>
                      <w:right w:val="nil"/>
                    </w:tcBorders>
                    <w:shd w:val="clear" w:color="auto" w:fill="auto"/>
                    <w:noWrap/>
                    <w:vAlign w:val="center"/>
                  </w:tcPr>
                  <w:p w:rsidR="00182B92" w:rsidRPr="00182B92" w:rsidRDefault="00182B92" w:rsidP="00182B92">
                    <w:pPr>
                      <w:kinsoku w:val="0"/>
                      <w:overflowPunct w:val="0"/>
                      <w:autoSpaceDE w:val="0"/>
                      <w:autoSpaceDN w:val="0"/>
                      <w:adjustRightInd w:val="0"/>
                      <w:snapToGrid w:val="0"/>
                      <w:jc w:val="right"/>
                      <w:rPr>
                        <w:rFonts w:cs="Arial"/>
                        <w:color w:val="000000"/>
                        <w:sz w:val="20"/>
                        <w:szCs w:val="20"/>
                      </w:rPr>
                    </w:pPr>
                  </w:p>
                </w:tc>
              </w:tr>
            </w:tbl>
            <w:p w:rsidR="00182B92" w:rsidRPr="00182B92" w:rsidRDefault="00182B92" w:rsidP="00B637B2">
              <w:pPr>
                <w:overflowPunct w:val="0"/>
                <w:autoSpaceDE w:val="0"/>
                <w:autoSpaceDN w:val="0"/>
                <w:adjustRightInd w:val="0"/>
                <w:snapToGrid w:val="0"/>
                <w:jc w:val="both"/>
                <w:textAlignment w:val="bottom"/>
                <w:rPr>
                  <w:rFonts w:cs="Arial"/>
                  <w:snapToGrid w:val="0"/>
                  <w:sz w:val="20"/>
                  <w:szCs w:val="20"/>
                </w:rPr>
              </w:pPr>
            </w:p>
            <w:p w:rsidR="00182B92" w:rsidRPr="00182B92" w:rsidRDefault="00182B92" w:rsidP="00182B92">
              <w:pPr>
                <w:overflowPunct w:val="0"/>
                <w:autoSpaceDE w:val="0"/>
                <w:autoSpaceDN w:val="0"/>
                <w:adjustRightInd w:val="0"/>
                <w:snapToGrid w:val="0"/>
                <w:jc w:val="both"/>
                <w:textAlignment w:val="bottom"/>
                <w:rPr>
                  <w:rFonts w:cs="Arial"/>
                  <w:snapToGrid w:val="0"/>
                  <w:sz w:val="20"/>
                  <w:szCs w:val="20"/>
                </w:rPr>
              </w:pPr>
            </w:p>
            <w:p w:rsidR="00182B92" w:rsidRPr="00182B92" w:rsidRDefault="00182B92" w:rsidP="00182B92">
              <w:pPr>
                <w:overflowPunct w:val="0"/>
                <w:autoSpaceDE w:val="0"/>
                <w:autoSpaceDN w:val="0"/>
                <w:adjustRightInd w:val="0"/>
                <w:snapToGrid w:val="0"/>
                <w:jc w:val="both"/>
                <w:textAlignment w:val="bottom"/>
                <w:rPr>
                  <w:rFonts w:cs="Arial"/>
                  <w:snapToGrid w:val="0"/>
                  <w:sz w:val="20"/>
                  <w:szCs w:val="20"/>
                </w:rPr>
              </w:pPr>
              <w:r w:rsidRPr="00182B92">
                <w:rPr>
                  <w:rFonts w:cs="Arial" w:hint="eastAsia"/>
                  <w:snapToGrid w:val="0"/>
                  <w:sz w:val="20"/>
                  <w:szCs w:val="20"/>
                </w:rPr>
                <w:t>注</w:t>
              </w:r>
              <w:r w:rsidRPr="00182B92">
                <w:rPr>
                  <w:rFonts w:cs="Arial"/>
                  <w:snapToGrid w:val="0"/>
                  <w:sz w:val="20"/>
                  <w:szCs w:val="20"/>
                </w:rPr>
                <w:t>1</w:t>
              </w:r>
              <w:r w:rsidRPr="00182B92">
                <w:rPr>
                  <w:rFonts w:cs="Arial" w:hint="eastAsia"/>
                  <w:snapToGrid w:val="0"/>
                  <w:sz w:val="20"/>
                  <w:szCs w:val="20"/>
                </w:rPr>
                <w:t>：201</w:t>
              </w:r>
              <w:r w:rsidRPr="00182B92">
                <w:rPr>
                  <w:rFonts w:cs="Arial"/>
                  <w:snapToGrid w:val="0"/>
                  <w:sz w:val="20"/>
                  <w:szCs w:val="20"/>
                </w:rPr>
                <w:t>9</w:t>
              </w:r>
              <w:r w:rsidRPr="00182B92">
                <w:rPr>
                  <w:rFonts w:cs="Arial" w:hint="eastAsia"/>
                  <w:snapToGrid w:val="0"/>
                  <w:sz w:val="20"/>
                  <w:szCs w:val="20"/>
                </w:rPr>
                <w:t>年7月</w:t>
              </w:r>
              <w:r w:rsidRPr="00182B92">
                <w:rPr>
                  <w:rFonts w:cs="Arial"/>
                  <w:snapToGrid w:val="0"/>
                  <w:sz w:val="20"/>
                  <w:szCs w:val="20"/>
                </w:rPr>
                <w:t>18</w:t>
              </w:r>
              <w:r w:rsidRPr="00182B92">
                <w:rPr>
                  <w:rFonts w:cs="Arial" w:hint="eastAsia"/>
                  <w:snapToGrid w:val="0"/>
                  <w:sz w:val="20"/>
                  <w:szCs w:val="20"/>
                </w:rPr>
                <w:t>日</w:t>
              </w:r>
              <w:r w:rsidRPr="00182B92">
                <w:rPr>
                  <w:rFonts w:cs="Arial"/>
                  <w:snapToGrid w:val="0"/>
                  <w:sz w:val="20"/>
                  <w:szCs w:val="20"/>
                </w:rPr>
                <w:t>，</w:t>
              </w:r>
              <w:r w:rsidRPr="00182B92">
                <w:rPr>
                  <w:rFonts w:cs="Arial" w:hint="eastAsia"/>
                  <w:snapToGrid w:val="0"/>
                  <w:sz w:val="20"/>
                  <w:szCs w:val="20"/>
                </w:rPr>
                <w:t>本公司</w:t>
              </w:r>
              <w:r w:rsidRPr="00182B92">
                <w:rPr>
                  <w:rFonts w:cs="Arial"/>
                  <w:snapToGrid w:val="0"/>
                  <w:sz w:val="20"/>
                  <w:szCs w:val="20"/>
                </w:rPr>
                <w:t>第七届</w:t>
              </w:r>
              <w:r w:rsidRPr="00182B92">
                <w:rPr>
                  <w:rFonts w:cs="Arial" w:hint="eastAsia"/>
                  <w:snapToGrid w:val="0"/>
                  <w:sz w:val="20"/>
                  <w:szCs w:val="20"/>
                </w:rPr>
                <w:t>董事会第三十八次</w:t>
              </w:r>
              <w:r w:rsidRPr="00182B92">
                <w:rPr>
                  <w:rFonts w:cs="Arial"/>
                  <w:snapToGrid w:val="0"/>
                  <w:sz w:val="20"/>
                  <w:szCs w:val="20"/>
                </w:rPr>
                <w:t>会议</w:t>
              </w:r>
              <w:r w:rsidRPr="00182B92">
                <w:rPr>
                  <w:rFonts w:cs="Arial" w:hint="eastAsia"/>
                  <w:snapToGrid w:val="0"/>
                  <w:sz w:val="20"/>
                  <w:szCs w:val="20"/>
                </w:rPr>
                <w:t>审议</w:t>
              </w:r>
              <w:r w:rsidRPr="00182B92">
                <w:rPr>
                  <w:rFonts w:cs="Arial"/>
                  <w:snapToGrid w:val="0"/>
                  <w:sz w:val="20"/>
                  <w:szCs w:val="20"/>
                </w:rPr>
                <w:t>通过了</w:t>
              </w:r>
              <w:r w:rsidRPr="00182B92">
                <w:rPr>
                  <w:rFonts w:cs="Arial" w:hint="eastAsia"/>
                  <w:snapToGrid w:val="0"/>
                  <w:sz w:val="20"/>
                  <w:szCs w:val="20"/>
                </w:rPr>
                <w:t>《公司关于调整股票期权行权价格与数量和限制性股票回购价格与数量的议案</w:t>
              </w:r>
              <w:r w:rsidRPr="00182B92">
                <w:rPr>
                  <w:rFonts w:cs="Arial"/>
                  <w:snapToGrid w:val="0"/>
                  <w:sz w:val="20"/>
                  <w:szCs w:val="20"/>
                </w:rPr>
                <w:t>》</w:t>
              </w:r>
              <w:r w:rsidRPr="00182B92">
                <w:rPr>
                  <w:rFonts w:cs="Arial" w:hint="eastAsia"/>
                  <w:snapToGrid w:val="0"/>
                  <w:sz w:val="20"/>
                  <w:szCs w:val="20"/>
                </w:rPr>
                <w:t>，</w:t>
              </w:r>
              <w:r w:rsidRPr="00182B92">
                <w:rPr>
                  <w:rFonts w:cs="Arial"/>
                  <w:snapToGrid w:val="0"/>
                  <w:sz w:val="20"/>
                  <w:szCs w:val="20"/>
                </w:rPr>
                <w:t>根据</w:t>
              </w:r>
              <w:r w:rsidRPr="00182B92">
                <w:rPr>
                  <w:rFonts w:cs="Arial" w:hint="eastAsia"/>
                  <w:snapToGrid w:val="0"/>
                  <w:sz w:val="20"/>
                  <w:szCs w:val="20"/>
                </w:rPr>
                <w:t>《用友网络科技股份有限公司2017年股票期权与限制性股票激励计划（草案）》的</w:t>
              </w:r>
              <w:r w:rsidRPr="00182B92">
                <w:rPr>
                  <w:rFonts w:cs="Arial"/>
                  <w:snapToGrid w:val="0"/>
                  <w:sz w:val="20"/>
                  <w:szCs w:val="20"/>
                </w:rPr>
                <w:t>有关</w:t>
              </w:r>
              <w:r w:rsidRPr="00182B92">
                <w:rPr>
                  <w:rFonts w:cs="Arial" w:hint="eastAsia"/>
                  <w:snapToGrid w:val="0"/>
                  <w:sz w:val="20"/>
                  <w:szCs w:val="20"/>
                </w:rPr>
                <w:t>规定</w:t>
              </w:r>
              <w:r w:rsidRPr="00182B92">
                <w:rPr>
                  <w:rFonts w:cs="Arial"/>
                  <w:snapToGrid w:val="0"/>
                  <w:sz w:val="20"/>
                  <w:szCs w:val="20"/>
                </w:rPr>
                <w:t>，</w:t>
              </w:r>
              <w:r w:rsidRPr="00182B92">
                <w:rPr>
                  <w:rFonts w:cs="Arial" w:hint="eastAsia"/>
                  <w:snapToGrid w:val="0"/>
                  <w:sz w:val="20"/>
                  <w:szCs w:val="20"/>
                </w:rPr>
                <w:t>对</w:t>
              </w:r>
              <w:r w:rsidRPr="00182B92">
                <w:rPr>
                  <w:rFonts w:cs="Arial"/>
                  <w:snapToGrid w:val="0"/>
                  <w:sz w:val="20"/>
                  <w:szCs w:val="20"/>
                </w:rPr>
                <w:t>公司股权激励</w:t>
              </w:r>
              <w:r w:rsidRPr="00182B92">
                <w:rPr>
                  <w:rFonts w:cs="Arial" w:hint="eastAsia"/>
                  <w:snapToGrid w:val="0"/>
                  <w:sz w:val="20"/>
                  <w:szCs w:val="20"/>
                </w:rPr>
                <w:t>计划股票期权</w:t>
              </w:r>
              <w:r w:rsidRPr="00182B92">
                <w:rPr>
                  <w:rFonts w:cs="Arial"/>
                  <w:snapToGrid w:val="0"/>
                  <w:sz w:val="20"/>
                  <w:szCs w:val="20"/>
                </w:rPr>
                <w:t>的行权价格</w:t>
              </w:r>
              <w:r w:rsidRPr="00182B92">
                <w:rPr>
                  <w:rFonts w:cs="Arial" w:hint="eastAsia"/>
                  <w:snapToGrid w:val="0"/>
                  <w:sz w:val="20"/>
                  <w:szCs w:val="20"/>
                </w:rPr>
                <w:t>进行</w:t>
              </w:r>
              <w:r w:rsidRPr="00182B92">
                <w:rPr>
                  <w:rFonts w:cs="Arial"/>
                  <w:snapToGrid w:val="0"/>
                  <w:sz w:val="20"/>
                  <w:szCs w:val="20"/>
                </w:rPr>
                <w:t>调整</w:t>
              </w:r>
              <w:r w:rsidRPr="00182B92">
                <w:rPr>
                  <w:rFonts w:cs="Arial" w:hint="eastAsia"/>
                  <w:snapToGrid w:val="0"/>
                  <w:sz w:val="20"/>
                  <w:szCs w:val="20"/>
                </w:rPr>
                <w:t>，</w:t>
              </w:r>
              <w:r w:rsidRPr="00182B92">
                <w:rPr>
                  <w:rFonts w:cs="Arial"/>
                  <w:snapToGrid w:val="0"/>
                  <w:sz w:val="20"/>
                  <w:szCs w:val="20"/>
                </w:rPr>
                <w:t>调整后的</w:t>
              </w:r>
              <w:r w:rsidRPr="00182B92">
                <w:rPr>
                  <w:rFonts w:cs="Arial" w:hint="eastAsia"/>
                  <w:snapToGrid w:val="0"/>
                  <w:sz w:val="20"/>
                  <w:szCs w:val="20"/>
                </w:rPr>
                <w:t>授予</w:t>
              </w:r>
              <w:r w:rsidRPr="00182B92">
                <w:rPr>
                  <w:rFonts w:cs="Arial"/>
                  <w:snapToGrid w:val="0"/>
                  <w:sz w:val="20"/>
                  <w:szCs w:val="20"/>
                </w:rPr>
                <w:t>股票期权的</w:t>
              </w:r>
              <w:r w:rsidRPr="00182B92">
                <w:rPr>
                  <w:rFonts w:cs="Arial" w:hint="eastAsia"/>
                  <w:snapToGrid w:val="0"/>
                  <w:sz w:val="20"/>
                  <w:szCs w:val="20"/>
                </w:rPr>
                <w:t>行权价格</w:t>
              </w:r>
              <w:r w:rsidRPr="00182B92">
                <w:rPr>
                  <w:rFonts w:cs="Arial"/>
                  <w:snapToGrid w:val="0"/>
                  <w:sz w:val="20"/>
                  <w:szCs w:val="20"/>
                </w:rPr>
                <w:t>为9</w:t>
              </w:r>
              <w:r w:rsidRPr="00182B92">
                <w:rPr>
                  <w:rFonts w:cs="Arial" w:hint="eastAsia"/>
                  <w:snapToGrid w:val="0"/>
                  <w:sz w:val="20"/>
                  <w:szCs w:val="20"/>
                </w:rPr>
                <w:t>.1</w:t>
              </w:r>
              <w:r w:rsidRPr="00182B92">
                <w:rPr>
                  <w:rFonts w:cs="Arial"/>
                  <w:snapToGrid w:val="0"/>
                  <w:sz w:val="20"/>
                  <w:szCs w:val="20"/>
                </w:rPr>
                <w:t>2</w:t>
              </w:r>
              <w:r w:rsidRPr="00182B92">
                <w:rPr>
                  <w:rFonts w:cs="Arial" w:hint="eastAsia"/>
                  <w:snapToGrid w:val="0"/>
                  <w:sz w:val="20"/>
                  <w:szCs w:val="20"/>
                </w:rPr>
                <w:t>元/份；</w:t>
              </w:r>
              <w:r w:rsidRPr="00182B92">
                <w:rPr>
                  <w:rFonts w:cs="Arial"/>
                  <w:snapToGrid w:val="0"/>
                  <w:sz w:val="20"/>
                  <w:szCs w:val="20"/>
                </w:rPr>
                <w:t>对</w:t>
              </w:r>
              <w:r w:rsidRPr="00182B92">
                <w:rPr>
                  <w:rFonts w:cs="Arial" w:hint="eastAsia"/>
                  <w:snapToGrid w:val="0"/>
                  <w:sz w:val="20"/>
                  <w:szCs w:val="20"/>
                </w:rPr>
                <w:t>公司股权激励计划</w:t>
              </w:r>
              <w:r w:rsidRPr="00182B92">
                <w:rPr>
                  <w:rFonts w:cs="Arial"/>
                  <w:snapToGrid w:val="0"/>
                  <w:sz w:val="20"/>
                  <w:szCs w:val="20"/>
                </w:rPr>
                <w:t>限制性股票</w:t>
              </w:r>
              <w:r w:rsidRPr="00182B92">
                <w:rPr>
                  <w:rFonts w:cs="Arial" w:hint="eastAsia"/>
                  <w:snapToGrid w:val="0"/>
                  <w:sz w:val="20"/>
                  <w:szCs w:val="20"/>
                </w:rPr>
                <w:t>的</w:t>
              </w:r>
              <w:r w:rsidRPr="00182B92">
                <w:rPr>
                  <w:rFonts w:cs="Arial"/>
                  <w:snapToGrid w:val="0"/>
                  <w:sz w:val="20"/>
                  <w:szCs w:val="20"/>
                </w:rPr>
                <w:t>授予价格</w:t>
              </w:r>
              <w:r w:rsidRPr="00182B92">
                <w:rPr>
                  <w:rFonts w:cs="Arial" w:hint="eastAsia"/>
                  <w:snapToGrid w:val="0"/>
                  <w:sz w:val="20"/>
                  <w:szCs w:val="20"/>
                </w:rPr>
                <w:t>进行</w:t>
              </w:r>
              <w:r w:rsidRPr="00182B92">
                <w:rPr>
                  <w:rFonts w:cs="Arial"/>
                  <w:snapToGrid w:val="0"/>
                  <w:sz w:val="20"/>
                  <w:szCs w:val="20"/>
                </w:rPr>
                <w:t>调整，</w:t>
              </w:r>
              <w:r w:rsidRPr="00182B92">
                <w:rPr>
                  <w:rFonts w:cs="Arial" w:hint="eastAsia"/>
                  <w:snapToGrid w:val="0"/>
                  <w:sz w:val="20"/>
                  <w:szCs w:val="20"/>
                </w:rPr>
                <w:t>调整</w:t>
              </w:r>
              <w:r w:rsidRPr="00182B92">
                <w:rPr>
                  <w:rFonts w:cs="Arial"/>
                  <w:snapToGrid w:val="0"/>
                  <w:sz w:val="20"/>
                  <w:szCs w:val="20"/>
                </w:rPr>
                <w:t>后的</w:t>
              </w:r>
              <w:r w:rsidRPr="00182B92">
                <w:rPr>
                  <w:rFonts w:cs="Arial" w:hint="eastAsia"/>
                  <w:snapToGrid w:val="0"/>
                  <w:sz w:val="20"/>
                  <w:szCs w:val="20"/>
                </w:rPr>
                <w:t>授予</w:t>
              </w:r>
              <w:r w:rsidRPr="00182B92">
                <w:rPr>
                  <w:rFonts w:cs="Arial"/>
                  <w:snapToGrid w:val="0"/>
                  <w:sz w:val="20"/>
                  <w:szCs w:val="20"/>
                </w:rPr>
                <w:t>限制性股票</w:t>
              </w:r>
              <w:r w:rsidRPr="00182B92">
                <w:rPr>
                  <w:rFonts w:cs="Arial" w:hint="eastAsia"/>
                  <w:snapToGrid w:val="0"/>
                  <w:sz w:val="20"/>
                  <w:szCs w:val="20"/>
                </w:rPr>
                <w:t>的</w:t>
              </w:r>
              <w:r w:rsidRPr="00182B92">
                <w:rPr>
                  <w:rFonts w:cs="Arial"/>
                  <w:snapToGrid w:val="0"/>
                  <w:sz w:val="20"/>
                  <w:szCs w:val="20"/>
                </w:rPr>
                <w:t>授予价格</w:t>
              </w:r>
              <w:r w:rsidRPr="00182B92">
                <w:rPr>
                  <w:rFonts w:cs="Arial" w:hint="eastAsia"/>
                  <w:snapToGrid w:val="0"/>
                  <w:sz w:val="20"/>
                  <w:szCs w:val="20"/>
                </w:rPr>
                <w:t>为</w:t>
              </w:r>
              <w:r w:rsidRPr="00182B92">
                <w:rPr>
                  <w:rFonts w:cs="Arial"/>
                  <w:snapToGrid w:val="0"/>
                  <w:sz w:val="20"/>
                  <w:szCs w:val="20"/>
                </w:rPr>
                <w:t>2.44</w:t>
              </w:r>
              <w:r w:rsidRPr="00182B92">
                <w:rPr>
                  <w:rFonts w:cs="Arial" w:hint="eastAsia"/>
                  <w:snapToGrid w:val="0"/>
                  <w:sz w:val="20"/>
                  <w:szCs w:val="20"/>
                </w:rPr>
                <w:t>元/股</w:t>
              </w:r>
              <w:r w:rsidRPr="00182B92">
                <w:rPr>
                  <w:rFonts w:cs="Arial"/>
                  <w:snapToGrid w:val="0"/>
                  <w:sz w:val="20"/>
                  <w:szCs w:val="20"/>
                </w:rPr>
                <w:t>。</w:t>
              </w:r>
            </w:p>
            <w:p w:rsidR="00182B92" w:rsidRPr="00182B92" w:rsidRDefault="00182B92" w:rsidP="00182B92">
              <w:pPr>
                <w:overflowPunct w:val="0"/>
                <w:autoSpaceDE w:val="0"/>
                <w:autoSpaceDN w:val="0"/>
                <w:adjustRightInd w:val="0"/>
                <w:snapToGrid w:val="0"/>
                <w:jc w:val="both"/>
                <w:textAlignment w:val="bottom"/>
                <w:rPr>
                  <w:rFonts w:cs="Arial"/>
                  <w:snapToGrid w:val="0"/>
                  <w:sz w:val="20"/>
                  <w:szCs w:val="20"/>
                </w:rPr>
              </w:pPr>
            </w:p>
            <w:p w:rsidR="00182B92" w:rsidRPr="00182B92" w:rsidRDefault="00182B92" w:rsidP="00182B92">
              <w:pPr>
                <w:autoSpaceDE w:val="0"/>
                <w:autoSpaceDN w:val="0"/>
                <w:jc w:val="both"/>
                <w:rPr>
                  <w:rFonts w:cs="Arial"/>
                  <w:snapToGrid w:val="0"/>
                  <w:sz w:val="20"/>
                  <w:szCs w:val="20"/>
                </w:rPr>
              </w:pPr>
              <w:r w:rsidRPr="00182B92">
                <w:rPr>
                  <w:rFonts w:cs="Arial" w:hint="eastAsia"/>
                  <w:snapToGrid w:val="0"/>
                  <w:sz w:val="20"/>
                  <w:szCs w:val="20"/>
                </w:rPr>
                <w:t>注</w:t>
              </w:r>
              <w:r w:rsidRPr="00182B92">
                <w:rPr>
                  <w:rFonts w:cs="Arial"/>
                  <w:snapToGrid w:val="0"/>
                  <w:sz w:val="20"/>
                  <w:szCs w:val="20"/>
                </w:rPr>
                <w:t>2</w:t>
              </w:r>
              <w:r w:rsidRPr="00182B92">
                <w:rPr>
                  <w:rFonts w:cs="Arial" w:hint="eastAsia"/>
                  <w:snapToGrid w:val="0"/>
                  <w:sz w:val="20"/>
                  <w:szCs w:val="20"/>
                </w:rPr>
                <w:t>：201</w:t>
              </w:r>
              <w:r w:rsidRPr="00182B92">
                <w:rPr>
                  <w:rFonts w:cs="Arial"/>
                  <w:snapToGrid w:val="0"/>
                  <w:sz w:val="20"/>
                  <w:szCs w:val="20"/>
                </w:rPr>
                <w:t>9</w:t>
              </w:r>
              <w:r w:rsidRPr="00182B92">
                <w:rPr>
                  <w:rFonts w:cs="Arial" w:hint="eastAsia"/>
                  <w:snapToGrid w:val="0"/>
                  <w:sz w:val="20"/>
                  <w:szCs w:val="20"/>
                </w:rPr>
                <w:t>年1-</w:t>
              </w:r>
              <w:r w:rsidRPr="00182B92">
                <w:rPr>
                  <w:rFonts w:cs="Arial"/>
                  <w:snapToGrid w:val="0"/>
                  <w:sz w:val="20"/>
                  <w:szCs w:val="20"/>
                </w:rPr>
                <w:t>6</w:t>
              </w:r>
              <w:r w:rsidRPr="00182B92">
                <w:rPr>
                  <w:rFonts w:cs="Arial" w:hint="eastAsia"/>
                  <w:snapToGrid w:val="0"/>
                  <w:sz w:val="20"/>
                  <w:szCs w:val="20"/>
                </w:rPr>
                <w:t>月，公司已确认股份支付费用人民币</w:t>
              </w:r>
              <w:r w:rsidRPr="00182B92">
                <w:rPr>
                  <w:rFonts w:cs="Arial"/>
                  <w:snapToGrid w:val="0"/>
                  <w:sz w:val="20"/>
                  <w:szCs w:val="20"/>
                </w:rPr>
                <w:t>526,154,723</w:t>
              </w:r>
              <w:r w:rsidRPr="00182B92">
                <w:rPr>
                  <w:rFonts w:cs="Arial" w:hint="eastAsia"/>
                  <w:snapToGrid w:val="0"/>
                  <w:sz w:val="20"/>
                  <w:szCs w:val="20"/>
                </w:rPr>
                <w:t>元。其中，于损益中确认股份支付费用人民币</w:t>
              </w:r>
              <w:r w:rsidRPr="00182B92">
                <w:rPr>
                  <w:rFonts w:cs="Arial"/>
                  <w:snapToGrid w:val="0"/>
                  <w:sz w:val="20"/>
                  <w:szCs w:val="20"/>
                </w:rPr>
                <w:t>52,328,472</w:t>
              </w:r>
              <w:r w:rsidRPr="00182B92">
                <w:rPr>
                  <w:rFonts w:cs="Arial" w:hint="eastAsia"/>
                  <w:snapToGrid w:val="0"/>
                  <w:sz w:val="20"/>
                  <w:szCs w:val="20"/>
                </w:rPr>
                <w:t>元，资本化计入在建工程和开发支出的金额为</w:t>
              </w:r>
              <w:r w:rsidRPr="00182B92">
                <w:rPr>
                  <w:rFonts w:cs="Arial"/>
                  <w:snapToGrid w:val="0"/>
                  <w:sz w:val="20"/>
                  <w:szCs w:val="20"/>
                </w:rPr>
                <w:t>1,967,164</w:t>
              </w:r>
              <w:r w:rsidRPr="00182B92">
                <w:rPr>
                  <w:rFonts w:cs="Arial" w:hint="eastAsia"/>
                  <w:snapToGrid w:val="0"/>
                  <w:sz w:val="20"/>
                  <w:szCs w:val="20"/>
                </w:rPr>
                <w:t>人民币元。</w:t>
              </w:r>
            </w:p>
            <w:p w:rsidR="00182B92" w:rsidRPr="00182B92" w:rsidRDefault="00182B92" w:rsidP="00182B92">
              <w:pPr>
                <w:overflowPunct w:val="0"/>
                <w:autoSpaceDE w:val="0"/>
                <w:autoSpaceDN w:val="0"/>
                <w:adjustRightInd w:val="0"/>
                <w:snapToGrid w:val="0"/>
                <w:jc w:val="both"/>
                <w:textAlignment w:val="bottom"/>
                <w:rPr>
                  <w:rFonts w:cs="Arial"/>
                  <w:snapToGrid w:val="0"/>
                  <w:sz w:val="20"/>
                  <w:szCs w:val="20"/>
                </w:rPr>
              </w:pPr>
            </w:p>
            <w:p w:rsidR="00182B92" w:rsidRPr="00182B92" w:rsidRDefault="00182B92" w:rsidP="00B637B2">
              <w:pPr>
                <w:pStyle w:val="affffffffffffffff7"/>
                <w:ind w:left="618" w:hanging="561"/>
                <w:jc w:val="left"/>
                <w:outlineLvl w:val="9"/>
                <w:rPr>
                  <w:rFonts w:ascii="宋体" w:hAnsi="宋体"/>
                  <w:sz w:val="20"/>
                  <w:szCs w:val="20"/>
                </w:rPr>
              </w:pPr>
              <w:r w:rsidRPr="00182B92">
                <w:rPr>
                  <w:rFonts w:ascii="宋体" w:hAnsi="宋体"/>
                  <w:sz w:val="20"/>
                  <w:szCs w:val="20"/>
                </w:rPr>
                <w:t>2.</w:t>
              </w:r>
              <w:r w:rsidRPr="00182B92">
                <w:rPr>
                  <w:rFonts w:ascii="宋体" w:hAnsi="宋体"/>
                  <w:sz w:val="20"/>
                  <w:szCs w:val="20"/>
                </w:rPr>
                <w:tab/>
                <w:t>股份支付计划</w:t>
              </w:r>
            </w:p>
            <w:p w:rsidR="00182B92" w:rsidRPr="00182B92" w:rsidRDefault="00182B92" w:rsidP="00182B92">
              <w:pPr>
                <w:overflowPunct w:val="0"/>
                <w:autoSpaceDE w:val="0"/>
                <w:autoSpaceDN w:val="0"/>
                <w:adjustRightInd w:val="0"/>
                <w:snapToGrid w:val="0"/>
                <w:jc w:val="both"/>
                <w:textAlignment w:val="bottom"/>
                <w:rPr>
                  <w:rFonts w:cs="Arial"/>
                  <w:snapToGrid w:val="0"/>
                  <w:sz w:val="20"/>
                  <w:szCs w:val="20"/>
                </w:rPr>
              </w:pPr>
            </w:p>
            <w:p w:rsidR="00182B92" w:rsidRPr="00182B92" w:rsidRDefault="00182B92" w:rsidP="00182B92">
              <w:pPr>
                <w:overflowPunct w:val="0"/>
                <w:autoSpaceDE w:val="0"/>
                <w:autoSpaceDN w:val="0"/>
                <w:adjustRightInd w:val="0"/>
                <w:snapToGrid w:val="0"/>
                <w:jc w:val="both"/>
                <w:textAlignment w:val="bottom"/>
                <w:rPr>
                  <w:rFonts w:cs="Arial"/>
                  <w:snapToGrid w:val="0"/>
                  <w:sz w:val="20"/>
                  <w:szCs w:val="20"/>
                </w:rPr>
              </w:pPr>
              <w:r w:rsidRPr="00182B92">
                <w:rPr>
                  <w:rFonts w:cs="Arial"/>
                  <w:snapToGrid w:val="0"/>
                  <w:sz w:val="20"/>
                  <w:szCs w:val="20"/>
                </w:rPr>
                <w:t>2017年股份支付计划</w:t>
              </w:r>
            </w:p>
            <w:p w:rsidR="00182B92" w:rsidRPr="00182B92" w:rsidRDefault="00182B92" w:rsidP="00182B92">
              <w:pPr>
                <w:overflowPunct w:val="0"/>
                <w:autoSpaceDE w:val="0"/>
                <w:autoSpaceDN w:val="0"/>
                <w:adjustRightInd w:val="0"/>
                <w:snapToGrid w:val="0"/>
                <w:jc w:val="both"/>
                <w:textAlignment w:val="bottom"/>
                <w:rPr>
                  <w:rFonts w:cs="Arial"/>
                  <w:snapToGrid w:val="0"/>
                  <w:sz w:val="20"/>
                  <w:szCs w:val="20"/>
                </w:rPr>
              </w:pPr>
            </w:p>
            <w:p w:rsidR="00182B92" w:rsidRPr="00182B92" w:rsidRDefault="00182B92" w:rsidP="00182B92">
              <w:pPr>
                <w:overflowPunct w:val="0"/>
                <w:autoSpaceDE w:val="0"/>
                <w:autoSpaceDN w:val="0"/>
                <w:adjustRightInd w:val="0"/>
                <w:snapToGrid w:val="0"/>
                <w:jc w:val="both"/>
                <w:textAlignment w:val="bottom"/>
                <w:rPr>
                  <w:rFonts w:cs="Arial"/>
                  <w:snapToGrid w:val="0"/>
                  <w:sz w:val="20"/>
                  <w:szCs w:val="20"/>
                </w:rPr>
              </w:pPr>
              <w:r w:rsidRPr="00182B92">
                <w:rPr>
                  <w:rFonts w:cs="Arial"/>
                  <w:snapToGrid w:val="0"/>
                  <w:sz w:val="20"/>
                  <w:szCs w:val="20"/>
                </w:rPr>
                <w:t>本公司于2017年5月23日召开公司第七届董事会第三次会议，审议通过了《用友网络科技股份有限公司2017年股票期权与限制性股票激励计划（草案）》并出具公告。2017年6月8日，公司2017年第二次临时股东大会审议并通过了《用友网络科技股份有限公司2017年股票期权与限制性股票激励计划（草案）及其摘要》，决定向激励对象授予股票期权与限制性股票(以下简称“2017年授予计划”)。本公司2017年授予计划的授予日为2017年6月26日。</w:t>
              </w:r>
            </w:p>
            <w:p w:rsidR="00182B92" w:rsidRPr="00182B92" w:rsidRDefault="00182B92" w:rsidP="00182B92">
              <w:pPr>
                <w:overflowPunct w:val="0"/>
                <w:autoSpaceDE w:val="0"/>
                <w:autoSpaceDN w:val="0"/>
                <w:adjustRightInd w:val="0"/>
                <w:snapToGrid w:val="0"/>
                <w:jc w:val="both"/>
                <w:textAlignment w:val="bottom"/>
                <w:rPr>
                  <w:rFonts w:cs="Arial"/>
                  <w:snapToGrid w:val="0"/>
                  <w:sz w:val="20"/>
                  <w:szCs w:val="20"/>
                </w:rPr>
              </w:pPr>
            </w:p>
            <w:p w:rsidR="00182B92" w:rsidRPr="00182B92" w:rsidRDefault="00182B92" w:rsidP="00182B92">
              <w:pPr>
                <w:overflowPunct w:val="0"/>
                <w:autoSpaceDE w:val="0"/>
                <w:autoSpaceDN w:val="0"/>
                <w:adjustRightInd w:val="0"/>
                <w:snapToGrid w:val="0"/>
                <w:jc w:val="both"/>
                <w:textAlignment w:val="bottom"/>
                <w:rPr>
                  <w:rFonts w:cs="Arial"/>
                  <w:snapToGrid w:val="0"/>
                  <w:sz w:val="20"/>
                  <w:szCs w:val="20"/>
                </w:rPr>
              </w:pPr>
              <w:r w:rsidRPr="00182B92">
                <w:rPr>
                  <w:rFonts w:cs="Arial"/>
                  <w:snapToGrid w:val="0"/>
                  <w:sz w:val="20"/>
                  <w:szCs w:val="20"/>
                </w:rPr>
                <w:t>（1）限制性股票激励计划</w:t>
              </w:r>
            </w:p>
            <w:p w:rsidR="00182B92" w:rsidRPr="00182B92" w:rsidRDefault="00182B92" w:rsidP="00182B92">
              <w:pPr>
                <w:overflowPunct w:val="0"/>
                <w:autoSpaceDE w:val="0"/>
                <w:autoSpaceDN w:val="0"/>
                <w:adjustRightInd w:val="0"/>
                <w:snapToGrid w:val="0"/>
                <w:jc w:val="both"/>
                <w:textAlignment w:val="bottom"/>
                <w:rPr>
                  <w:rFonts w:cs="Arial"/>
                  <w:snapToGrid w:val="0"/>
                  <w:sz w:val="20"/>
                  <w:szCs w:val="20"/>
                </w:rPr>
              </w:pPr>
            </w:p>
            <w:p w:rsidR="00182B92" w:rsidRPr="00182B92" w:rsidRDefault="00182B92" w:rsidP="00182B92">
              <w:pPr>
                <w:overflowPunct w:val="0"/>
                <w:autoSpaceDE w:val="0"/>
                <w:autoSpaceDN w:val="0"/>
                <w:adjustRightInd w:val="0"/>
                <w:snapToGrid w:val="0"/>
                <w:jc w:val="both"/>
                <w:textAlignment w:val="bottom"/>
                <w:rPr>
                  <w:rFonts w:cs="Arial"/>
                  <w:snapToGrid w:val="0"/>
                  <w:sz w:val="20"/>
                  <w:szCs w:val="20"/>
                </w:rPr>
              </w:pPr>
              <w:r w:rsidRPr="00182B92">
                <w:rPr>
                  <w:rFonts w:cs="Arial"/>
                  <w:snapToGrid w:val="0"/>
                  <w:sz w:val="20"/>
                  <w:szCs w:val="20"/>
                </w:rPr>
                <w:t>本公司2017年发行了新限制性股票激励计划，向1408位激励对象授予限制性股票19,056,540股，限制性股票的授予价格为4.12元，股票来源为公司从二级市场回购的本公司A股普通股。获授的限制性股票应在授予日起满12个月后的未来36个月内分三期解锁。具体安排如下：</w:t>
              </w:r>
            </w:p>
            <w:p w:rsidR="00182B92" w:rsidRPr="00182B92" w:rsidRDefault="00182B92" w:rsidP="00182B92">
              <w:pPr>
                <w:overflowPunct w:val="0"/>
                <w:autoSpaceDE w:val="0"/>
                <w:autoSpaceDN w:val="0"/>
                <w:adjustRightInd w:val="0"/>
                <w:snapToGrid w:val="0"/>
                <w:jc w:val="both"/>
                <w:textAlignment w:val="bottom"/>
                <w:rPr>
                  <w:rFonts w:cs="Arial"/>
                  <w:snapToGrid w:val="0"/>
                  <w:sz w:val="20"/>
                  <w:szCs w:val="20"/>
                </w:rPr>
              </w:pPr>
            </w:p>
            <w:tbl>
              <w:tblPr>
                <w:tblStyle w:val="g35"/>
                <w:tblW w:w="8222" w:type="dxa"/>
                <w:tblLayout w:type="fixed"/>
                <w:tblLook w:val="01E0" w:firstRow="1" w:lastRow="1" w:firstColumn="1" w:lastColumn="1" w:noHBand="0" w:noVBand="0"/>
              </w:tblPr>
              <w:tblGrid>
                <w:gridCol w:w="1985"/>
                <w:gridCol w:w="5103"/>
                <w:gridCol w:w="1134"/>
              </w:tblGrid>
              <w:tr w:rsidR="00182B92" w:rsidRPr="00182B92" w:rsidTr="00182B92">
                <w:tc>
                  <w:tcPr>
                    <w:tcW w:w="1985" w:type="dxa"/>
                  </w:tcPr>
                  <w:p w:rsidR="00182B92" w:rsidRPr="00182B92" w:rsidRDefault="00182B92" w:rsidP="00182B92">
                    <w:pPr>
                      <w:tabs>
                        <w:tab w:val="right" w:pos="6480"/>
                        <w:tab w:val="right" w:pos="8280"/>
                      </w:tabs>
                      <w:spacing w:line="276" w:lineRule="auto"/>
                      <w:ind w:leftChars="-49" w:left="-103" w:right="-108"/>
                      <w:jc w:val="center"/>
                      <w:rPr>
                        <w:rFonts w:cs="Arial"/>
                        <w:snapToGrid w:val="0"/>
                        <w:sz w:val="20"/>
                        <w:szCs w:val="20"/>
                      </w:rPr>
                    </w:pPr>
                    <w:r w:rsidRPr="00182B92">
                      <w:rPr>
                        <w:rFonts w:cs="Arial"/>
                        <w:snapToGrid w:val="0"/>
                        <w:sz w:val="20"/>
                        <w:szCs w:val="20"/>
                      </w:rPr>
                      <w:t>解除限售安排</w:t>
                    </w:r>
                  </w:p>
                </w:tc>
                <w:tc>
                  <w:tcPr>
                    <w:tcW w:w="5103" w:type="dxa"/>
                  </w:tcPr>
                  <w:p w:rsidR="00182B92" w:rsidRPr="00182B92" w:rsidRDefault="00182B92" w:rsidP="00182B92">
                    <w:pPr>
                      <w:tabs>
                        <w:tab w:val="right" w:pos="6480"/>
                        <w:tab w:val="right" w:pos="8280"/>
                      </w:tabs>
                      <w:spacing w:line="276" w:lineRule="auto"/>
                      <w:ind w:leftChars="-49" w:left="-103" w:right="-108"/>
                      <w:jc w:val="center"/>
                      <w:rPr>
                        <w:rFonts w:cs="Arial"/>
                        <w:snapToGrid w:val="0"/>
                        <w:sz w:val="20"/>
                        <w:szCs w:val="20"/>
                      </w:rPr>
                    </w:pPr>
                    <w:r w:rsidRPr="00182B92">
                      <w:rPr>
                        <w:rFonts w:cs="Arial"/>
                        <w:snapToGrid w:val="0"/>
                        <w:sz w:val="20"/>
                        <w:szCs w:val="20"/>
                      </w:rPr>
                      <w:t>解锁时间</w:t>
                    </w:r>
                  </w:p>
                </w:tc>
                <w:tc>
                  <w:tcPr>
                    <w:tcW w:w="1134" w:type="dxa"/>
                  </w:tcPr>
                  <w:p w:rsidR="00182B92" w:rsidRPr="00182B92" w:rsidRDefault="00182B92" w:rsidP="00182B92">
                    <w:pPr>
                      <w:tabs>
                        <w:tab w:val="right" w:pos="6480"/>
                        <w:tab w:val="right" w:pos="8280"/>
                      </w:tabs>
                      <w:spacing w:line="276" w:lineRule="auto"/>
                      <w:ind w:right="-1"/>
                      <w:jc w:val="right"/>
                      <w:rPr>
                        <w:rFonts w:cs="Arial"/>
                        <w:snapToGrid w:val="0"/>
                        <w:sz w:val="20"/>
                        <w:szCs w:val="20"/>
                      </w:rPr>
                    </w:pPr>
                    <w:r w:rsidRPr="00182B92">
                      <w:rPr>
                        <w:rFonts w:cs="Arial"/>
                        <w:snapToGrid w:val="0"/>
                        <w:sz w:val="20"/>
                        <w:szCs w:val="20"/>
                      </w:rPr>
                      <w:t>解锁比例</w:t>
                    </w:r>
                  </w:p>
                </w:tc>
              </w:tr>
              <w:tr w:rsidR="00182B92" w:rsidRPr="00182B92" w:rsidTr="00182B92">
                <w:tc>
                  <w:tcPr>
                    <w:tcW w:w="1985" w:type="dxa"/>
                  </w:tcPr>
                  <w:p w:rsidR="00182B92" w:rsidRPr="00182B92" w:rsidRDefault="00182B92" w:rsidP="00182B92">
                    <w:pPr>
                      <w:autoSpaceDE w:val="0"/>
                      <w:autoSpaceDN w:val="0"/>
                      <w:snapToGrid w:val="0"/>
                      <w:spacing w:line="300" w:lineRule="exact"/>
                      <w:jc w:val="both"/>
                      <w:textAlignment w:val="bottom"/>
                      <w:rPr>
                        <w:rFonts w:cs="Arial"/>
                        <w:snapToGrid w:val="0"/>
                        <w:sz w:val="20"/>
                        <w:szCs w:val="20"/>
                      </w:rPr>
                    </w:pPr>
                    <w:r w:rsidRPr="00182B92">
                      <w:rPr>
                        <w:rFonts w:cs="Arial"/>
                        <w:snapToGrid w:val="0"/>
                        <w:sz w:val="20"/>
                        <w:szCs w:val="20"/>
                      </w:rPr>
                      <w:t>限制性股票第一个解除限售期</w:t>
                    </w:r>
                  </w:p>
                </w:tc>
                <w:tc>
                  <w:tcPr>
                    <w:tcW w:w="5103" w:type="dxa"/>
                  </w:tcPr>
                  <w:p w:rsidR="00182B92" w:rsidRPr="00182B92" w:rsidRDefault="00182B92" w:rsidP="00182B92">
                    <w:pPr>
                      <w:autoSpaceDE w:val="0"/>
                      <w:autoSpaceDN w:val="0"/>
                      <w:snapToGrid w:val="0"/>
                      <w:spacing w:line="300" w:lineRule="exact"/>
                      <w:jc w:val="both"/>
                      <w:textAlignment w:val="bottom"/>
                      <w:rPr>
                        <w:rFonts w:cs="Arial"/>
                        <w:snapToGrid w:val="0"/>
                        <w:sz w:val="20"/>
                        <w:szCs w:val="20"/>
                      </w:rPr>
                    </w:pPr>
                    <w:r w:rsidRPr="00182B92">
                      <w:rPr>
                        <w:rFonts w:cs="Arial"/>
                        <w:snapToGrid w:val="0"/>
                        <w:sz w:val="20"/>
                        <w:szCs w:val="20"/>
                      </w:rPr>
                      <w:t>自授予登记完成之日起12个月后的首个交易日，起至授予登记完成之日起24个月内的最后一个交易日当日止</w:t>
                    </w:r>
                  </w:p>
                </w:tc>
                <w:tc>
                  <w:tcPr>
                    <w:tcW w:w="1134" w:type="dxa"/>
                  </w:tcPr>
                  <w:p w:rsidR="00182B92" w:rsidRPr="00182B92" w:rsidRDefault="00182B92" w:rsidP="00182B92">
                    <w:pPr>
                      <w:autoSpaceDE w:val="0"/>
                      <w:autoSpaceDN w:val="0"/>
                      <w:snapToGrid w:val="0"/>
                      <w:spacing w:line="300" w:lineRule="exact"/>
                      <w:jc w:val="center"/>
                      <w:textAlignment w:val="bottom"/>
                      <w:rPr>
                        <w:rFonts w:cs="Arial"/>
                        <w:snapToGrid w:val="0"/>
                        <w:sz w:val="20"/>
                        <w:szCs w:val="20"/>
                      </w:rPr>
                    </w:pPr>
                    <w:r w:rsidRPr="00182B92">
                      <w:rPr>
                        <w:rFonts w:cs="Arial"/>
                        <w:snapToGrid w:val="0"/>
                        <w:sz w:val="20"/>
                        <w:szCs w:val="20"/>
                      </w:rPr>
                      <w:t>40%</w:t>
                    </w:r>
                  </w:p>
                </w:tc>
              </w:tr>
              <w:tr w:rsidR="00182B92" w:rsidRPr="00182B92" w:rsidTr="00182B92">
                <w:tc>
                  <w:tcPr>
                    <w:tcW w:w="1985" w:type="dxa"/>
                  </w:tcPr>
                  <w:p w:rsidR="00182B92" w:rsidRPr="00182B92" w:rsidRDefault="00182B92" w:rsidP="00182B92">
                    <w:pPr>
                      <w:autoSpaceDE w:val="0"/>
                      <w:autoSpaceDN w:val="0"/>
                      <w:snapToGrid w:val="0"/>
                      <w:spacing w:line="300" w:lineRule="exact"/>
                      <w:jc w:val="both"/>
                      <w:textAlignment w:val="bottom"/>
                      <w:rPr>
                        <w:rFonts w:cs="Arial"/>
                        <w:snapToGrid w:val="0"/>
                        <w:sz w:val="20"/>
                        <w:szCs w:val="20"/>
                      </w:rPr>
                    </w:pPr>
                    <w:r w:rsidRPr="00182B92">
                      <w:rPr>
                        <w:rFonts w:cs="Arial"/>
                        <w:snapToGrid w:val="0"/>
                        <w:sz w:val="20"/>
                        <w:szCs w:val="20"/>
                      </w:rPr>
                      <w:t>限制性股票第二个解除限售期</w:t>
                    </w:r>
                  </w:p>
                </w:tc>
                <w:tc>
                  <w:tcPr>
                    <w:tcW w:w="5103" w:type="dxa"/>
                  </w:tcPr>
                  <w:p w:rsidR="00182B92" w:rsidRPr="00182B92" w:rsidRDefault="00182B92" w:rsidP="00182B92">
                    <w:pPr>
                      <w:autoSpaceDE w:val="0"/>
                      <w:autoSpaceDN w:val="0"/>
                      <w:snapToGrid w:val="0"/>
                      <w:spacing w:line="300" w:lineRule="exact"/>
                      <w:jc w:val="both"/>
                      <w:textAlignment w:val="bottom"/>
                      <w:rPr>
                        <w:rFonts w:cs="Arial"/>
                        <w:snapToGrid w:val="0"/>
                        <w:sz w:val="20"/>
                        <w:szCs w:val="20"/>
                      </w:rPr>
                    </w:pPr>
                    <w:r w:rsidRPr="00182B92">
                      <w:rPr>
                        <w:rFonts w:cs="Arial"/>
                        <w:snapToGrid w:val="0"/>
                        <w:sz w:val="20"/>
                        <w:szCs w:val="20"/>
                      </w:rPr>
                      <w:t>自授予登记完成之日起24个月后的首个交易日，起至授予登记完成之日起36个月内的最后一个交易日当日止</w:t>
                    </w:r>
                  </w:p>
                </w:tc>
                <w:tc>
                  <w:tcPr>
                    <w:tcW w:w="1134" w:type="dxa"/>
                  </w:tcPr>
                  <w:p w:rsidR="00182B92" w:rsidRPr="00182B92" w:rsidRDefault="00182B92" w:rsidP="00182B92">
                    <w:pPr>
                      <w:autoSpaceDE w:val="0"/>
                      <w:autoSpaceDN w:val="0"/>
                      <w:snapToGrid w:val="0"/>
                      <w:spacing w:line="300" w:lineRule="exact"/>
                      <w:jc w:val="center"/>
                      <w:textAlignment w:val="bottom"/>
                      <w:rPr>
                        <w:rFonts w:cs="Arial"/>
                        <w:snapToGrid w:val="0"/>
                        <w:sz w:val="20"/>
                        <w:szCs w:val="20"/>
                      </w:rPr>
                    </w:pPr>
                    <w:r w:rsidRPr="00182B92">
                      <w:rPr>
                        <w:rFonts w:cs="Arial"/>
                        <w:snapToGrid w:val="0"/>
                        <w:sz w:val="20"/>
                        <w:szCs w:val="20"/>
                      </w:rPr>
                      <w:t>30%</w:t>
                    </w:r>
                  </w:p>
                </w:tc>
              </w:tr>
              <w:tr w:rsidR="00182B92" w:rsidRPr="00182B92" w:rsidTr="00182B92">
                <w:tc>
                  <w:tcPr>
                    <w:tcW w:w="1985" w:type="dxa"/>
                  </w:tcPr>
                  <w:p w:rsidR="00182B92" w:rsidRPr="00182B92" w:rsidRDefault="00182B92" w:rsidP="00182B92">
                    <w:pPr>
                      <w:autoSpaceDE w:val="0"/>
                      <w:autoSpaceDN w:val="0"/>
                      <w:snapToGrid w:val="0"/>
                      <w:spacing w:line="300" w:lineRule="exact"/>
                      <w:jc w:val="both"/>
                      <w:textAlignment w:val="bottom"/>
                      <w:rPr>
                        <w:rFonts w:cs="Arial"/>
                        <w:snapToGrid w:val="0"/>
                        <w:sz w:val="20"/>
                        <w:szCs w:val="20"/>
                      </w:rPr>
                    </w:pPr>
                    <w:r w:rsidRPr="00182B92">
                      <w:rPr>
                        <w:rFonts w:cs="Arial"/>
                        <w:snapToGrid w:val="0"/>
                        <w:sz w:val="20"/>
                        <w:szCs w:val="20"/>
                      </w:rPr>
                      <w:t>限制性股票第三个解除限售期</w:t>
                    </w:r>
                  </w:p>
                </w:tc>
                <w:tc>
                  <w:tcPr>
                    <w:tcW w:w="5103" w:type="dxa"/>
                  </w:tcPr>
                  <w:p w:rsidR="00182B92" w:rsidRPr="00182B92" w:rsidRDefault="00182B92" w:rsidP="00182B92">
                    <w:pPr>
                      <w:autoSpaceDE w:val="0"/>
                      <w:autoSpaceDN w:val="0"/>
                      <w:snapToGrid w:val="0"/>
                      <w:spacing w:line="300" w:lineRule="exact"/>
                      <w:jc w:val="both"/>
                      <w:textAlignment w:val="bottom"/>
                      <w:rPr>
                        <w:rFonts w:cs="Arial"/>
                        <w:snapToGrid w:val="0"/>
                        <w:sz w:val="20"/>
                        <w:szCs w:val="20"/>
                      </w:rPr>
                    </w:pPr>
                    <w:r w:rsidRPr="00182B92">
                      <w:rPr>
                        <w:rFonts w:cs="Arial"/>
                        <w:snapToGrid w:val="0"/>
                        <w:sz w:val="20"/>
                        <w:szCs w:val="20"/>
                      </w:rPr>
                      <w:t>自授予登记完成之日起36个月后的首个交易日，起至授予登记完成之日起48个月内的最后一个交易日当日止</w:t>
                    </w:r>
                  </w:p>
                </w:tc>
                <w:tc>
                  <w:tcPr>
                    <w:tcW w:w="1134" w:type="dxa"/>
                  </w:tcPr>
                  <w:p w:rsidR="00182B92" w:rsidRPr="00182B92" w:rsidRDefault="00182B92" w:rsidP="00182B92">
                    <w:pPr>
                      <w:autoSpaceDE w:val="0"/>
                      <w:autoSpaceDN w:val="0"/>
                      <w:snapToGrid w:val="0"/>
                      <w:spacing w:line="300" w:lineRule="exact"/>
                      <w:jc w:val="center"/>
                      <w:textAlignment w:val="bottom"/>
                      <w:rPr>
                        <w:rFonts w:cs="Arial"/>
                        <w:snapToGrid w:val="0"/>
                        <w:sz w:val="20"/>
                        <w:szCs w:val="20"/>
                      </w:rPr>
                    </w:pPr>
                    <w:r w:rsidRPr="00182B92">
                      <w:rPr>
                        <w:rFonts w:cs="Arial"/>
                        <w:snapToGrid w:val="0"/>
                        <w:sz w:val="20"/>
                        <w:szCs w:val="20"/>
                      </w:rPr>
                      <w:t>30%</w:t>
                    </w:r>
                  </w:p>
                </w:tc>
              </w:tr>
            </w:tbl>
            <w:p w:rsidR="00182B92" w:rsidRPr="001B0D6F" w:rsidRDefault="00182B92" w:rsidP="00182B92">
              <w:pPr>
                <w:overflowPunct w:val="0"/>
                <w:autoSpaceDE w:val="0"/>
                <w:autoSpaceDN w:val="0"/>
                <w:adjustRightInd w:val="0"/>
                <w:snapToGrid w:val="0"/>
                <w:ind w:leftChars="-23" w:left="-48"/>
                <w:jc w:val="both"/>
                <w:textAlignment w:val="bottom"/>
                <w:rPr>
                  <w:rFonts w:cs="Arial"/>
                  <w:snapToGrid w:val="0"/>
                  <w:sz w:val="20"/>
                  <w:szCs w:val="20"/>
                </w:rPr>
              </w:pPr>
            </w:p>
            <w:p w:rsidR="00182B92" w:rsidRPr="001B0D6F" w:rsidRDefault="00182B92" w:rsidP="00182B92">
              <w:pPr>
                <w:overflowPunct w:val="0"/>
                <w:autoSpaceDE w:val="0"/>
                <w:autoSpaceDN w:val="0"/>
                <w:adjustRightInd w:val="0"/>
                <w:snapToGrid w:val="0"/>
                <w:ind w:left="720" w:hanging="720"/>
                <w:jc w:val="both"/>
                <w:textAlignment w:val="bottom"/>
                <w:rPr>
                  <w:rFonts w:cs="Arial"/>
                  <w:snapToGrid w:val="0"/>
                  <w:sz w:val="20"/>
                  <w:szCs w:val="20"/>
                </w:rPr>
                <w:sectPr w:rsidR="00182B92" w:rsidRPr="001B0D6F" w:rsidSect="00182B92">
                  <w:pgSz w:w="11907" w:h="16840" w:code="9"/>
                  <w:pgMar w:top="1440" w:right="1797" w:bottom="1440" w:left="1797" w:header="720" w:footer="720" w:gutter="0"/>
                  <w:cols w:space="720"/>
                  <w:titlePg/>
                  <w:docGrid w:linePitch="360"/>
                </w:sectPr>
              </w:pPr>
            </w:p>
            <w:p w:rsidR="00182B92" w:rsidRPr="001B0D6F" w:rsidRDefault="00182B92" w:rsidP="00182B92">
              <w:pPr>
                <w:overflowPunct w:val="0"/>
                <w:autoSpaceDE w:val="0"/>
                <w:autoSpaceDN w:val="0"/>
                <w:adjustRightInd w:val="0"/>
                <w:snapToGrid w:val="0"/>
                <w:jc w:val="both"/>
                <w:textAlignment w:val="bottom"/>
                <w:rPr>
                  <w:rFonts w:cs="Arial"/>
                  <w:snapToGrid w:val="0"/>
                  <w:sz w:val="20"/>
                  <w:szCs w:val="20"/>
                </w:rPr>
              </w:pPr>
            </w:p>
            <w:p w:rsidR="00182B92" w:rsidRPr="001B0D6F" w:rsidRDefault="00182B92" w:rsidP="00182B92">
              <w:pPr>
                <w:overflowPunct w:val="0"/>
                <w:autoSpaceDE w:val="0"/>
                <w:autoSpaceDN w:val="0"/>
                <w:adjustRightInd w:val="0"/>
                <w:snapToGrid w:val="0"/>
                <w:ind w:left="14" w:firstLine="14"/>
                <w:jc w:val="both"/>
                <w:textAlignment w:val="bottom"/>
                <w:rPr>
                  <w:rFonts w:cs="Arial"/>
                  <w:snapToGrid w:val="0"/>
                  <w:sz w:val="20"/>
                  <w:szCs w:val="20"/>
                </w:rPr>
              </w:pPr>
              <w:r w:rsidRPr="001B0D6F">
                <w:rPr>
                  <w:rFonts w:cs="Arial"/>
                  <w:snapToGrid w:val="0"/>
                  <w:sz w:val="20"/>
                  <w:szCs w:val="20"/>
                </w:rPr>
                <w:t>公司未满足上述业绩考核目标的，激励对象对应期间获授的限制性股票均不得解除限售，由公司回购注销，回购价格为授予价格。</w:t>
              </w:r>
            </w:p>
            <w:p w:rsidR="00182B92" w:rsidRPr="001B0D6F" w:rsidRDefault="00182B92" w:rsidP="00182B92">
              <w:pPr>
                <w:overflowPunct w:val="0"/>
                <w:autoSpaceDE w:val="0"/>
                <w:autoSpaceDN w:val="0"/>
                <w:adjustRightInd w:val="0"/>
                <w:snapToGrid w:val="0"/>
                <w:jc w:val="both"/>
                <w:textAlignment w:val="bottom"/>
                <w:rPr>
                  <w:rFonts w:cs="Arial"/>
                  <w:snapToGrid w:val="0"/>
                  <w:sz w:val="20"/>
                  <w:szCs w:val="20"/>
                </w:rPr>
              </w:pPr>
            </w:p>
            <w:p w:rsidR="00182B92" w:rsidRPr="001B0D6F" w:rsidRDefault="00182B92" w:rsidP="00182B92">
              <w:pPr>
                <w:overflowPunct w:val="0"/>
                <w:autoSpaceDE w:val="0"/>
                <w:autoSpaceDN w:val="0"/>
                <w:adjustRightInd w:val="0"/>
                <w:snapToGrid w:val="0"/>
                <w:jc w:val="both"/>
                <w:textAlignment w:val="bottom"/>
                <w:rPr>
                  <w:rFonts w:cs="Arial"/>
                  <w:snapToGrid w:val="0"/>
                  <w:sz w:val="20"/>
                  <w:szCs w:val="20"/>
                </w:rPr>
              </w:pPr>
              <w:r w:rsidRPr="001B0D6F">
                <w:rPr>
                  <w:rFonts w:cs="Arial"/>
                  <w:snapToGrid w:val="0"/>
                  <w:sz w:val="20"/>
                  <w:szCs w:val="20"/>
                </w:rPr>
                <w:t>（2）股票期权激励计划</w:t>
              </w:r>
            </w:p>
            <w:p w:rsidR="00182B92" w:rsidRPr="001B0D6F" w:rsidRDefault="00182B92" w:rsidP="00182B92">
              <w:pPr>
                <w:overflowPunct w:val="0"/>
                <w:autoSpaceDE w:val="0"/>
                <w:autoSpaceDN w:val="0"/>
                <w:adjustRightInd w:val="0"/>
                <w:snapToGrid w:val="0"/>
                <w:jc w:val="both"/>
                <w:textAlignment w:val="bottom"/>
                <w:rPr>
                  <w:rFonts w:cs="Arial"/>
                  <w:snapToGrid w:val="0"/>
                  <w:sz w:val="20"/>
                  <w:szCs w:val="20"/>
                </w:rPr>
              </w:pPr>
            </w:p>
            <w:p w:rsidR="00182B92" w:rsidRPr="001B0D6F" w:rsidRDefault="00182B92" w:rsidP="00182B92">
              <w:pPr>
                <w:overflowPunct w:val="0"/>
                <w:autoSpaceDE w:val="0"/>
                <w:autoSpaceDN w:val="0"/>
                <w:adjustRightInd w:val="0"/>
                <w:snapToGrid w:val="0"/>
                <w:jc w:val="both"/>
                <w:textAlignment w:val="bottom"/>
                <w:rPr>
                  <w:rFonts w:cs="Arial"/>
                  <w:snapToGrid w:val="0"/>
                  <w:sz w:val="20"/>
                  <w:szCs w:val="20"/>
                </w:rPr>
              </w:pPr>
              <w:r w:rsidRPr="001B0D6F">
                <w:rPr>
                  <w:rFonts w:cs="Arial"/>
                  <w:snapToGrid w:val="0"/>
                  <w:sz w:val="20"/>
                  <w:szCs w:val="20"/>
                </w:rPr>
                <w:t>2017年本公司发行了股票期权激励计划，向1428名激励对象授予38,465,610份股票期权，行权价格为12.10元/份</w:t>
              </w:r>
              <w:r w:rsidRPr="001B0D6F">
                <w:rPr>
                  <w:rFonts w:cs="Arial" w:hint="eastAsia"/>
                  <w:snapToGrid w:val="0"/>
                  <w:sz w:val="20"/>
                  <w:szCs w:val="20"/>
                </w:rPr>
                <w:t>(根据《公司关于调整股票期权数量与行权价格与限制性股票数量与授予价格的议案》对</w:t>
              </w:r>
              <w:r w:rsidRPr="001B0D6F">
                <w:rPr>
                  <w:rFonts w:cs="Arial"/>
                  <w:snapToGrid w:val="0"/>
                  <w:sz w:val="20"/>
                  <w:szCs w:val="20"/>
                </w:rPr>
                <w:t>行权价格进行调整后</w:t>
              </w:r>
              <w:r w:rsidRPr="001B0D6F">
                <w:rPr>
                  <w:rFonts w:cs="Arial" w:hint="eastAsia"/>
                  <w:snapToGrid w:val="0"/>
                  <w:sz w:val="20"/>
                  <w:szCs w:val="20"/>
                </w:rPr>
                <w:t>)</w:t>
              </w:r>
              <w:r w:rsidRPr="001B0D6F">
                <w:rPr>
                  <w:rFonts w:cs="Arial"/>
                  <w:snapToGrid w:val="0"/>
                  <w:sz w:val="20"/>
                  <w:szCs w:val="20"/>
                </w:rPr>
                <w:t>。股票期权的行权期及各期行权时间安排如下表所示：</w:t>
              </w:r>
            </w:p>
            <w:p w:rsidR="00182B92" w:rsidRPr="001B0D6F" w:rsidRDefault="00182B92" w:rsidP="00182B92">
              <w:pPr>
                <w:overflowPunct w:val="0"/>
                <w:autoSpaceDE w:val="0"/>
                <w:autoSpaceDN w:val="0"/>
                <w:adjustRightInd w:val="0"/>
                <w:snapToGrid w:val="0"/>
                <w:jc w:val="both"/>
                <w:textAlignment w:val="bottom"/>
                <w:rPr>
                  <w:rFonts w:cs="Arial"/>
                  <w:snapToGrid w:val="0"/>
                  <w:sz w:val="20"/>
                  <w:szCs w:val="20"/>
                </w:rPr>
              </w:pPr>
            </w:p>
            <w:tbl>
              <w:tblPr>
                <w:tblStyle w:val="g35"/>
                <w:tblW w:w="8315" w:type="dxa"/>
                <w:tblLayout w:type="fixed"/>
                <w:tblLook w:val="0000" w:firstRow="0" w:lastRow="0" w:firstColumn="0" w:lastColumn="0" w:noHBand="0" w:noVBand="0"/>
              </w:tblPr>
              <w:tblGrid>
                <w:gridCol w:w="1413"/>
                <w:gridCol w:w="4819"/>
                <w:gridCol w:w="2083"/>
              </w:tblGrid>
              <w:tr w:rsidR="00182B92" w:rsidRPr="001B0D6F" w:rsidTr="00182B92">
                <w:trPr>
                  <w:trHeight w:val="294"/>
                </w:trPr>
                <w:tc>
                  <w:tcPr>
                    <w:tcW w:w="1413" w:type="dxa"/>
                  </w:tcPr>
                  <w:p w:rsidR="00182B92" w:rsidRPr="001B0D6F" w:rsidRDefault="00182B92" w:rsidP="00182B92">
                    <w:pPr>
                      <w:autoSpaceDE w:val="0"/>
                      <w:autoSpaceDN w:val="0"/>
                      <w:spacing w:line="240" w:lineRule="exact"/>
                      <w:jc w:val="center"/>
                      <w:rPr>
                        <w:rFonts w:cs="Arial"/>
                        <w:snapToGrid w:val="0"/>
                        <w:sz w:val="20"/>
                        <w:szCs w:val="20"/>
                      </w:rPr>
                    </w:pPr>
                    <w:r w:rsidRPr="001B0D6F">
                      <w:rPr>
                        <w:rFonts w:cs="Arial"/>
                        <w:snapToGrid w:val="0"/>
                        <w:sz w:val="20"/>
                        <w:szCs w:val="20"/>
                      </w:rPr>
                      <w:t xml:space="preserve">行权期 </w:t>
                    </w:r>
                  </w:p>
                </w:tc>
                <w:tc>
                  <w:tcPr>
                    <w:tcW w:w="4819" w:type="dxa"/>
                  </w:tcPr>
                  <w:p w:rsidR="00182B92" w:rsidRPr="001B0D6F" w:rsidRDefault="00182B92" w:rsidP="00182B92">
                    <w:pPr>
                      <w:autoSpaceDE w:val="0"/>
                      <w:autoSpaceDN w:val="0"/>
                      <w:spacing w:line="240" w:lineRule="exact"/>
                      <w:jc w:val="center"/>
                      <w:rPr>
                        <w:rFonts w:cs="Arial"/>
                        <w:snapToGrid w:val="0"/>
                        <w:sz w:val="20"/>
                        <w:szCs w:val="20"/>
                      </w:rPr>
                    </w:pPr>
                    <w:r w:rsidRPr="001B0D6F">
                      <w:rPr>
                        <w:rFonts w:cs="Arial"/>
                        <w:snapToGrid w:val="0"/>
                        <w:sz w:val="20"/>
                        <w:szCs w:val="20"/>
                      </w:rPr>
                      <w:t xml:space="preserve">行权时间 </w:t>
                    </w:r>
                  </w:p>
                </w:tc>
                <w:tc>
                  <w:tcPr>
                    <w:tcW w:w="2083" w:type="dxa"/>
                  </w:tcPr>
                  <w:p w:rsidR="00182B92" w:rsidRPr="001B0D6F" w:rsidRDefault="00182B92" w:rsidP="00182B92">
                    <w:pPr>
                      <w:autoSpaceDE w:val="0"/>
                      <w:autoSpaceDN w:val="0"/>
                      <w:spacing w:line="240" w:lineRule="exact"/>
                      <w:ind w:right="-38"/>
                      <w:jc w:val="center"/>
                      <w:rPr>
                        <w:rFonts w:cs="Arial"/>
                        <w:snapToGrid w:val="0"/>
                        <w:sz w:val="20"/>
                        <w:szCs w:val="20"/>
                      </w:rPr>
                    </w:pPr>
                    <w:r w:rsidRPr="001B0D6F">
                      <w:rPr>
                        <w:rFonts w:cs="Arial"/>
                        <w:snapToGrid w:val="0"/>
                        <w:sz w:val="20"/>
                        <w:szCs w:val="20"/>
                      </w:rPr>
                      <w:t xml:space="preserve">可行权数量占获授期权数量比例 </w:t>
                    </w:r>
                  </w:p>
                </w:tc>
              </w:tr>
              <w:tr w:rsidR="00182B92" w:rsidRPr="001B0D6F" w:rsidTr="00182B92">
                <w:trPr>
                  <w:trHeight w:val="294"/>
                </w:trPr>
                <w:tc>
                  <w:tcPr>
                    <w:tcW w:w="1413" w:type="dxa"/>
                  </w:tcPr>
                  <w:p w:rsidR="00182B92" w:rsidRPr="001B0D6F" w:rsidRDefault="00182B92" w:rsidP="00182B92">
                    <w:pPr>
                      <w:autoSpaceDE w:val="0"/>
                      <w:autoSpaceDN w:val="0"/>
                      <w:spacing w:line="240" w:lineRule="exact"/>
                      <w:jc w:val="center"/>
                      <w:rPr>
                        <w:rFonts w:cs="Arial"/>
                        <w:snapToGrid w:val="0"/>
                        <w:sz w:val="20"/>
                        <w:szCs w:val="20"/>
                      </w:rPr>
                    </w:pPr>
                  </w:p>
                </w:tc>
                <w:tc>
                  <w:tcPr>
                    <w:tcW w:w="4819" w:type="dxa"/>
                  </w:tcPr>
                  <w:p w:rsidR="00182B92" w:rsidRPr="001B0D6F" w:rsidRDefault="00182B92" w:rsidP="00182B92">
                    <w:pPr>
                      <w:autoSpaceDE w:val="0"/>
                      <w:autoSpaceDN w:val="0"/>
                      <w:spacing w:line="240" w:lineRule="exact"/>
                      <w:jc w:val="center"/>
                      <w:rPr>
                        <w:rFonts w:cs="Arial"/>
                        <w:snapToGrid w:val="0"/>
                        <w:sz w:val="20"/>
                        <w:szCs w:val="20"/>
                      </w:rPr>
                    </w:pPr>
                  </w:p>
                </w:tc>
                <w:tc>
                  <w:tcPr>
                    <w:tcW w:w="2083" w:type="dxa"/>
                  </w:tcPr>
                  <w:p w:rsidR="00182B92" w:rsidRPr="001B0D6F" w:rsidRDefault="00182B92" w:rsidP="00182B92">
                    <w:pPr>
                      <w:autoSpaceDE w:val="0"/>
                      <w:autoSpaceDN w:val="0"/>
                      <w:spacing w:line="240" w:lineRule="exact"/>
                      <w:jc w:val="center"/>
                      <w:rPr>
                        <w:rFonts w:cs="Arial"/>
                        <w:snapToGrid w:val="0"/>
                        <w:sz w:val="20"/>
                        <w:szCs w:val="20"/>
                      </w:rPr>
                    </w:pPr>
                  </w:p>
                </w:tc>
              </w:tr>
              <w:tr w:rsidR="00182B92" w:rsidRPr="001B0D6F" w:rsidTr="00182B92">
                <w:trPr>
                  <w:trHeight w:val="479"/>
                </w:trPr>
                <w:tc>
                  <w:tcPr>
                    <w:tcW w:w="1413" w:type="dxa"/>
                  </w:tcPr>
                  <w:p w:rsidR="00182B92" w:rsidRPr="001B0D6F" w:rsidRDefault="00182B92" w:rsidP="00182B92">
                    <w:pPr>
                      <w:autoSpaceDE w:val="0"/>
                      <w:autoSpaceDN w:val="0"/>
                      <w:spacing w:line="240" w:lineRule="exact"/>
                      <w:ind w:left="-409" w:firstLine="315"/>
                      <w:rPr>
                        <w:rFonts w:cs="Arial"/>
                        <w:snapToGrid w:val="0"/>
                        <w:sz w:val="20"/>
                        <w:szCs w:val="20"/>
                      </w:rPr>
                    </w:pPr>
                    <w:r w:rsidRPr="001B0D6F">
                      <w:rPr>
                        <w:rFonts w:cs="Arial"/>
                        <w:color w:val="000000"/>
                        <w:sz w:val="20"/>
                        <w:szCs w:val="20"/>
                      </w:rPr>
                      <w:t>第一个行权期</w:t>
                    </w:r>
                  </w:p>
                </w:tc>
                <w:tc>
                  <w:tcPr>
                    <w:tcW w:w="4819" w:type="dxa"/>
                  </w:tcPr>
                  <w:p w:rsidR="00182B92" w:rsidRPr="001B0D6F" w:rsidRDefault="00182B92" w:rsidP="00182B92">
                    <w:pPr>
                      <w:autoSpaceDE w:val="0"/>
                      <w:autoSpaceDN w:val="0"/>
                      <w:spacing w:line="240" w:lineRule="exact"/>
                      <w:ind w:left="-409" w:firstLine="315"/>
                      <w:jc w:val="center"/>
                      <w:rPr>
                        <w:rFonts w:cs="Arial"/>
                        <w:color w:val="000000"/>
                        <w:sz w:val="20"/>
                        <w:szCs w:val="20"/>
                      </w:rPr>
                    </w:pPr>
                    <w:r w:rsidRPr="001B0D6F">
                      <w:rPr>
                        <w:rFonts w:cs="Arial"/>
                        <w:color w:val="000000"/>
                        <w:sz w:val="20"/>
                        <w:szCs w:val="20"/>
                      </w:rPr>
                      <w:t>自授予登记完成之日起12个月后的首个交易日，起至授予登记完成之日起24个月内的最后一个交易日当日止</w:t>
                    </w:r>
                  </w:p>
                </w:tc>
                <w:tc>
                  <w:tcPr>
                    <w:tcW w:w="2083" w:type="dxa"/>
                  </w:tcPr>
                  <w:p w:rsidR="00182B92" w:rsidRPr="001B0D6F" w:rsidRDefault="00182B92" w:rsidP="00182B92">
                    <w:pPr>
                      <w:autoSpaceDE w:val="0"/>
                      <w:autoSpaceDN w:val="0"/>
                      <w:spacing w:line="240" w:lineRule="exact"/>
                      <w:jc w:val="center"/>
                      <w:rPr>
                        <w:rFonts w:cs="Arial"/>
                        <w:snapToGrid w:val="0"/>
                        <w:sz w:val="20"/>
                        <w:szCs w:val="20"/>
                      </w:rPr>
                    </w:pPr>
                    <w:r w:rsidRPr="001B0D6F">
                      <w:rPr>
                        <w:rFonts w:cs="Arial"/>
                        <w:color w:val="000000"/>
                        <w:sz w:val="20"/>
                        <w:szCs w:val="20"/>
                      </w:rPr>
                      <w:t>40%</w:t>
                    </w:r>
                  </w:p>
                </w:tc>
              </w:tr>
              <w:tr w:rsidR="00182B92" w:rsidRPr="001B0D6F" w:rsidTr="00182B92">
                <w:trPr>
                  <w:trHeight w:val="479"/>
                </w:trPr>
                <w:tc>
                  <w:tcPr>
                    <w:tcW w:w="1413" w:type="dxa"/>
                  </w:tcPr>
                  <w:p w:rsidR="00182B92" w:rsidRPr="001B0D6F" w:rsidRDefault="00182B92" w:rsidP="00182B92">
                    <w:pPr>
                      <w:autoSpaceDE w:val="0"/>
                      <w:autoSpaceDN w:val="0"/>
                      <w:spacing w:line="240" w:lineRule="exact"/>
                      <w:ind w:left="-409" w:firstLine="315"/>
                      <w:rPr>
                        <w:rFonts w:cs="Arial"/>
                        <w:color w:val="000000"/>
                        <w:sz w:val="20"/>
                        <w:szCs w:val="20"/>
                      </w:rPr>
                    </w:pPr>
                    <w:r w:rsidRPr="001B0D6F">
                      <w:rPr>
                        <w:rFonts w:cs="Arial"/>
                        <w:color w:val="000000"/>
                        <w:sz w:val="20"/>
                        <w:szCs w:val="20"/>
                      </w:rPr>
                      <w:t>第二个行权期</w:t>
                    </w:r>
                  </w:p>
                </w:tc>
                <w:tc>
                  <w:tcPr>
                    <w:tcW w:w="4819" w:type="dxa"/>
                  </w:tcPr>
                  <w:p w:rsidR="00182B92" w:rsidRPr="001B0D6F" w:rsidRDefault="00182B92" w:rsidP="00182B92">
                    <w:pPr>
                      <w:autoSpaceDE w:val="0"/>
                      <w:autoSpaceDN w:val="0"/>
                      <w:spacing w:line="240" w:lineRule="exact"/>
                      <w:ind w:left="-409" w:firstLine="315"/>
                      <w:jc w:val="center"/>
                      <w:rPr>
                        <w:rFonts w:cs="Arial"/>
                        <w:color w:val="000000"/>
                        <w:sz w:val="20"/>
                        <w:szCs w:val="20"/>
                      </w:rPr>
                    </w:pPr>
                    <w:r w:rsidRPr="001B0D6F">
                      <w:rPr>
                        <w:rFonts w:cs="Arial"/>
                        <w:color w:val="000000"/>
                        <w:sz w:val="20"/>
                        <w:szCs w:val="20"/>
                      </w:rPr>
                      <w:t>自授予登记完成之日起24个月后的首个交易日，起至授予登记完成之日起36个月内的最后一个交易日当日止</w:t>
                    </w:r>
                  </w:p>
                </w:tc>
                <w:tc>
                  <w:tcPr>
                    <w:tcW w:w="2083" w:type="dxa"/>
                  </w:tcPr>
                  <w:p w:rsidR="00182B92" w:rsidRPr="001B0D6F" w:rsidRDefault="00182B92" w:rsidP="00182B92">
                    <w:pPr>
                      <w:autoSpaceDE w:val="0"/>
                      <w:autoSpaceDN w:val="0"/>
                      <w:spacing w:line="240" w:lineRule="exact"/>
                      <w:jc w:val="center"/>
                      <w:rPr>
                        <w:rFonts w:cs="Arial"/>
                        <w:snapToGrid w:val="0"/>
                        <w:sz w:val="20"/>
                        <w:szCs w:val="20"/>
                      </w:rPr>
                    </w:pPr>
                    <w:r w:rsidRPr="001B0D6F">
                      <w:rPr>
                        <w:rFonts w:cs="Arial"/>
                        <w:color w:val="000000"/>
                        <w:sz w:val="20"/>
                        <w:szCs w:val="20"/>
                      </w:rPr>
                      <w:t>30%</w:t>
                    </w:r>
                  </w:p>
                </w:tc>
              </w:tr>
              <w:tr w:rsidR="00182B92" w:rsidRPr="001B0D6F" w:rsidTr="00182B92">
                <w:trPr>
                  <w:trHeight w:val="479"/>
                </w:trPr>
                <w:tc>
                  <w:tcPr>
                    <w:tcW w:w="1413" w:type="dxa"/>
                  </w:tcPr>
                  <w:p w:rsidR="00182B92" w:rsidRPr="001B0D6F" w:rsidRDefault="00182B92" w:rsidP="00182B92">
                    <w:pPr>
                      <w:autoSpaceDE w:val="0"/>
                      <w:autoSpaceDN w:val="0"/>
                      <w:spacing w:line="240" w:lineRule="exact"/>
                      <w:ind w:left="-409" w:firstLine="315"/>
                      <w:rPr>
                        <w:rFonts w:cs="Arial"/>
                        <w:color w:val="000000"/>
                        <w:sz w:val="20"/>
                        <w:szCs w:val="20"/>
                      </w:rPr>
                    </w:pPr>
                    <w:r w:rsidRPr="001B0D6F">
                      <w:rPr>
                        <w:rFonts w:cs="Arial"/>
                        <w:color w:val="000000"/>
                        <w:sz w:val="20"/>
                        <w:szCs w:val="20"/>
                      </w:rPr>
                      <w:t>第三个行权期</w:t>
                    </w:r>
                  </w:p>
                </w:tc>
                <w:tc>
                  <w:tcPr>
                    <w:tcW w:w="4819" w:type="dxa"/>
                  </w:tcPr>
                  <w:p w:rsidR="00182B92" w:rsidRPr="001B0D6F" w:rsidRDefault="00182B92" w:rsidP="00182B92">
                    <w:pPr>
                      <w:autoSpaceDE w:val="0"/>
                      <w:autoSpaceDN w:val="0"/>
                      <w:spacing w:line="240" w:lineRule="exact"/>
                      <w:ind w:left="-409" w:firstLine="315"/>
                      <w:jc w:val="center"/>
                      <w:rPr>
                        <w:rFonts w:cs="Arial"/>
                        <w:color w:val="000000"/>
                        <w:sz w:val="20"/>
                        <w:szCs w:val="20"/>
                      </w:rPr>
                    </w:pPr>
                    <w:r w:rsidRPr="001B0D6F">
                      <w:rPr>
                        <w:rFonts w:cs="Arial"/>
                        <w:color w:val="000000"/>
                        <w:sz w:val="20"/>
                        <w:szCs w:val="20"/>
                      </w:rPr>
                      <w:t>自授予登记完成之日起36个月后的首个交易日，起至授予登记完成之日起48个月内的最后一个交易日当日止</w:t>
                    </w:r>
                  </w:p>
                </w:tc>
                <w:tc>
                  <w:tcPr>
                    <w:tcW w:w="2083" w:type="dxa"/>
                  </w:tcPr>
                  <w:p w:rsidR="00182B92" w:rsidRPr="001B0D6F" w:rsidRDefault="00182B92" w:rsidP="00182B92">
                    <w:pPr>
                      <w:autoSpaceDE w:val="0"/>
                      <w:autoSpaceDN w:val="0"/>
                      <w:spacing w:line="240" w:lineRule="exact"/>
                      <w:jc w:val="center"/>
                      <w:rPr>
                        <w:rFonts w:cs="Arial"/>
                        <w:snapToGrid w:val="0"/>
                        <w:sz w:val="20"/>
                        <w:szCs w:val="20"/>
                      </w:rPr>
                    </w:pPr>
                    <w:r w:rsidRPr="001B0D6F">
                      <w:rPr>
                        <w:rFonts w:cs="Arial"/>
                        <w:color w:val="000000"/>
                        <w:sz w:val="20"/>
                        <w:szCs w:val="20"/>
                      </w:rPr>
                      <w:t>30%</w:t>
                    </w:r>
                  </w:p>
                </w:tc>
              </w:tr>
            </w:tbl>
            <w:p w:rsidR="00182B92" w:rsidRPr="001B0D6F" w:rsidRDefault="00182B92" w:rsidP="00182B92">
              <w:pPr>
                <w:overflowPunct w:val="0"/>
                <w:autoSpaceDE w:val="0"/>
                <w:autoSpaceDN w:val="0"/>
                <w:adjustRightInd w:val="0"/>
                <w:snapToGrid w:val="0"/>
                <w:jc w:val="both"/>
                <w:textAlignment w:val="bottom"/>
                <w:rPr>
                  <w:rFonts w:cs="Arial"/>
                  <w:snapToGrid w:val="0"/>
                  <w:sz w:val="20"/>
                  <w:szCs w:val="20"/>
                </w:rPr>
              </w:pPr>
            </w:p>
            <w:p w:rsidR="00182B92" w:rsidRPr="001B0D6F" w:rsidRDefault="00182B92" w:rsidP="00182B92">
              <w:pPr>
                <w:overflowPunct w:val="0"/>
                <w:autoSpaceDE w:val="0"/>
                <w:autoSpaceDN w:val="0"/>
                <w:adjustRightInd w:val="0"/>
                <w:snapToGrid w:val="0"/>
                <w:jc w:val="both"/>
                <w:textAlignment w:val="bottom"/>
                <w:rPr>
                  <w:rFonts w:cs="Arial"/>
                  <w:snapToGrid w:val="0"/>
                  <w:sz w:val="20"/>
                  <w:szCs w:val="20"/>
                </w:rPr>
              </w:pPr>
              <w:r w:rsidRPr="001B0D6F">
                <w:rPr>
                  <w:rFonts w:cs="Arial"/>
                  <w:snapToGrid w:val="0"/>
                  <w:sz w:val="20"/>
                  <w:szCs w:val="20"/>
                </w:rPr>
                <w:t>在行权期内，如达到相应的行权期规定的行权条件，则激励对象可以在该行权期内行权；如未达到行权条件或激励对象在行权期内未行权，该部分股票期权由本公司注销。</w:t>
              </w:r>
            </w:p>
            <w:p w:rsidR="00182B92" w:rsidRPr="001B0D6F" w:rsidRDefault="00182B92" w:rsidP="00182B92">
              <w:pPr>
                <w:overflowPunct w:val="0"/>
                <w:autoSpaceDE w:val="0"/>
                <w:autoSpaceDN w:val="0"/>
                <w:adjustRightInd w:val="0"/>
                <w:snapToGrid w:val="0"/>
                <w:jc w:val="both"/>
                <w:textAlignment w:val="bottom"/>
                <w:rPr>
                  <w:rFonts w:cs="Arial"/>
                  <w:snapToGrid w:val="0"/>
                  <w:sz w:val="20"/>
                  <w:szCs w:val="20"/>
                </w:rPr>
              </w:pPr>
            </w:p>
            <w:p w:rsidR="00182B92" w:rsidRPr="001B0D6F" w:rsidRDefault="00182B92" w:rsidP="00182B92">
              <w:pPr>
                <w:overflowPunct w:val="0"/>
                <w:autoSpaceDE w:val="0"/>
                <w:autoSpaceDN w:val="0"/>
                <w:adjustRightInd w:val="0"/>
                <w:snapToGrid w:val="0"/>
                <w:jc w:val="both"/>
                <w:textAlignment w:val="bottom"/>
                <w:rPr>
                  <w:rFonts w:cs="Arial"/>
                  <w:snapToGrid w:val="0"/>
                  <w:sz w:val="20"/>
                  <w:szCs w:val="20"/>
                </w:rPr>
              </w:pPr>
              <w:r w:rsidRPr="001B0D6F">
                <w:rPr>
                  <w:rFonts w:cs="Arial"/>
                  <w:snapToGrid w:val="0"/>
                  <w:sz w:val="20"/>
                  <w:szCs w:val="20"/>
                </w:rPr>
                <w:t>授予的以权益结算的股份支付于授予日的公允价值，采用布莱克-斯科尔斯模型，结合授予股份的条款和条件，作出估计。下表列示了所用模型的输入变量：</w:t>
              </w:r>
            </w:p>
            <w:tbl>
              <w:tblPr>
                <w:tblStyle w:val="g35"/>
                <w:tblW w:w="5000" w:type="pct"/>
                <w:tblLook w:val="04A0" w:firstRow="1" w:lastRow="0" w:firstColumn="1" w:lastColumn="0" w:noHBand="0" w:noVBand="1"/>
              </w:tblPr>
              <w:tblGrid>
                <w:gridCol w:w="3413"/>
                <w:gridCol w:w="1599"/>
                <w:gridCol w:w="1608"/>
                <w:gridCol w:w="1693"/>
              </w:tblGrid>
              <w:tr w:rsidR="00182B92" w:rsidRPr="001B0D6F" w:rsidTr="00182B92">
                <w:trPr>
                  <w:trHeight w:val="159"/>
                </w:trPr>
                <w:tc>
                  <w:tcPr>
                    <w:tcW w:w="2052" w:type="pct"/>
                    <w:tcBorders>
                      <w:top w:val="nil"/>
                      <w:left w:val="nil"/>
                      <w:bottom w:val="nil"/>
                      <w:right w:val="nil"/>
                    </w:tcBorders>
                    <w:shd w:val="clear" w:color="auto" w:fill="auto"/>
                    <w:noWrap/>
                    <w:vAlign w:val="bottom"/>
                    <w:hideMark/>
                  </w:tcPr>
                  <w:p w:rsidR="00182B92" w:rsidRPr="001B0D6F" w:rsidRDefault="00182B92" w:rsidP="00182B92">
                    <w:pPr>
                      <w:autoSpaceDE w:val="0"/>
                      <w:autoSpaceDN w:val="0"/>
                      <w:snapToGrid w:val="0"/>
                      <w:spacing w:line="300" w:lineRule="exact"/>
                      <w:ind w:left="567"/>
                      <w:jc w:val="both"/>
                      <w:textAlignment w:val="bottom"/>
                      <w:rPr>
                        <w:rFonts w:cs="Arial"/>
                        <w:snapToGrid w:val="0"/>
                        <w:sz w:val="20"/>
                        <w:szCs w:val="20"/>
                      </w:rPr>
                    </w:pPr>
                  </w:p>
                </w:tc>
                <w:tc>
                  <w:tcPr>
                    <w:tcW w:w="962" w:type="pct"/>
                    <w:tcBorders>
                      <w:top w:val="nil"/>
                      <w:left w:val="nil"/>
                      <w:bottom w:val="nil"/>
                      <w:right w:val="nil"/>
                    </w:tcBorders>
                  </w:tcPr>
                  <w:p w:rsidR="00182B92" w:rsidRPr="001B0D6F" w:rsidRDefault="00182B92" w:rsidP="00182B92">
                    <w:pPr>
                      <w:autoSpaceDE w:val="0"/>
                      <w:autoSpaceDN w:val="0"/>
                      <w:snapToGrid w:val="0"/>
                      <w:spacing w:line="300" w:lineRule="exact"/>
                      <w:ind w:left="666" w:rightChars="-45" w:right="-94" w:hanging="450"/>
                      <w:jc w:val="both"/>
                      <w:textAlignment w:val="bottom"/>
                      <w:rPr>
                        <w:rFonts w:cs="Arial"/>
                        <w:snapToGrid w:val="0"/>
                        <w:sz w:val="20"/>
                        <w:szCs w:val="20"/>
                      </w:rPr>
                    </w:pPr>
                    <w:r w:rsidRPr="001B0D6F">
                      <w:rPr>
                        <w:rFonts w:cs="Arial"/>
                        <w:snapToGrid w:val="0"/>
                        <w:sz w:val="20"/>
                        <w:szCs w:val="20"/>
                      </w:rPr>
                      <w:t>第一个行权期</w:t>
                    </w:r>
                  </w:p>
                </w:tc>
                <w:tc>
                  <w:tcPr>
                    <w:tcW w:w="967" w:type="pct"/>
                    <w:tcBorders>
                      <w:top w:val="nil"/>
                      <w:left w:val="nil"/>
                      <w:bottom w:val="nil"/>
                      <w:right w:val="nil"/>
                    </w:tcBorders>
                  </w:tcPr>
                  <w:p w:rsidR="00182B92" w:rsidRPr="001B0D6F" w:rsidRDefault="00182B92" w:rsidP="00182B92">
                    <w:pPr>
                      <w:autoSpaceDE w:val="0"/>
                      <w:autoSpaceDN w:val="0"/>
                      <w:snapToGrid w:val="0"/>
                      <w:spacing w:line="300" w:lineRule="exact"/>
                      <w:ind w:left="857" w:rightChars="-181" w:right="-380" w:hanging="567"/>
                      <w:jc w:val="both"/>
                      <w:textAlignment w:val="bottom"/>
                      <w:rPr>
                        <w:rFonts w:cs="Arial"/>
                        <w:snapToGrid w:val="0"/>
                        <w:sz w:val="20"/>
                        <w:szCs w:val="20"/>
                      </w:rPr>
                    </w:pPr>
                    <w:r w:rsidRPr="001B0D6F">
                      <w:rPr>
                        <w:rFonts w:cs="Arial"/>
                        <w:snapToGrid w:val="0"/>
                        <w:sz w:val="20"/>
                        <w:szCs w:val="20"/>
                      </w:rPr>
                      <w:t>第二个行权期©</w:t>
                    </w:r>
                  </w:p>
                </w:tc>
                <w:tc>
                  <w:tcPr>
                    <w:tcW w:w="1018" w:type="pct"/>
                    <w:tcBorders>
                      <w:top w:val="nil"/>
                      <w:left w:val="nil"/>
                      <w:bottom w:val="nil"/>
                      <w:right w:val="nil"/>
                    </w:tcBorders>
                  </w:tcPr>
                  <w:p w:rsidR="00182B92" w:rsidRPr="001B0D6F" w:rsidRDefault="00182B92" w:rsidP="00182B92">
                    <w:pPr>
                      <w:autoSpaceDE w:val="0"/>
                      <w:autoSpaceDN w:val="0"/>
                      <w:snapToGrid w:val="0"/>
                      <w:spacing w:line="300" w:lineRule="exact"/>
                      <w:ind w:left="759" w:rightChars="-45" w:right="-94" w:hanging="393"/>
                      <w:jc w:val="both"/>
                      <w:textAlignment w:val="bottom"/>
                      <w:rPr>
                        <w:rFonts w:cs="Arial"/>
                        <w:snapToGrid w:val="0"/>
                        <w:sz w:val="20"/>
                        <w:szCs w:val="20"/>
                      </w:rPr>
                    </w:pPr>
                    <w:r w:rsidRPr="001B0D6F">
                      <w:rPr>
                        <w:rFonts w:cs="Arial"/>
                        <w:snapToGrid w:val="0"/>
                        <w:sz w:val="20"/>
                        <w:szCs w:val="20"/>
                      </w:rPr>
                      <w:t>第三个行权期</w:t>
                    </w:r>
                  </w:p>
                </w:tc>
              </w:tr>
              <w:tr w:rsidR="00182B92" w:rsidRPr="001B0D6F" w:rsidTr="00182B92">
                <w:trPr>
                  <w:trHeight w:val="159"/>
                </w:trPr>
                <w:tc>
                  <w:tcPr>
                    <w:tcW w:w="2052" w:type="pct"/>
                    <w:tcBorders>
                      <w:top w:val="nil"/>
                      <w:left w:val="nil"/>
                      <w:bottom w:val="nil"/>
                      <w:right w:val="nil"/>
                    </w:tcBorders>
                    <w:shd w:val="clear" w:color="auto" w:fill="auto"/>
                    <w:noWrap/>
                    <w:vAlign w:val="bottom"/>
                    <w:hideMark/>
                  </w:tcPr>
                  <w:p w:rsidR="00182B92" w:rsidRPr="001B0D6F" w:rsidRDefault="00182B92" w:rsidP="00182B92">
                    <w:pPr>
                      <w:autoSpaceDE w:val="0"/>
                      <w:autoSpaceDN w:val="0"/>
                      <w:snapToGrid w:val="0"/>
                      <w:spacing w:line="300" w:lineRule="exact"/>
                      <w:ind w:left="567" w:hanging="538"/>
                      <w:jc w:val="both"/>
                      <w:textAlignment w:val="bottom"/>
                      <w:rPr>
                        <w:rFonts w:cs="Arial"/>
                        <w:snapToGrid w:val="0"/>
                        <w:sz w:val="20"/>
                        <w:szCs w:val="20"/>
                      </w:rPr>
                    </w:pPr>
                    <w:r w:rsidRPr="001B0D6F">
                      <w:rPr>
                        <w:rFonts w:cs="Arial"/>
                        <w:snapToGrid w:val="0"/>
                        <w:sz w:val="20"/>
                        <w:szCs w:val="20"/>
                      </w:rPr>
                      <w:t>股利率(%)</w:t>
                    </w:r>
                  </w:p>
                </w:tc>
                <w:tc>
                  <w:tcPr>
                    <w:tcW w:w="962" w:type="pct"/>
                    <w:tcBorders>
                      <w:top w:val="nil"/>
                      <w:left w:val="nil"/>
                      <w:bottom w:val="nil"/>
                      <w:right w:val="nil"/>
                    </w:tcBorders>
                    <w:vAlign w:val="bottom"/>
                  </w:tcPr>
                  <w:p w:rsidR="00182B92" w:rsidRPr="001B0D6F" w:rsidRDefault="00182B92" w:rsidP="00182B92">
                    <w:pPr>
                      <w:autoSpaceDE w:val="0"/>
                      <w:autoSpaceDN w:val="0"/>
                      <w:snapToGrid w:val="0"/>
                      <w:spacing w:line="300" w:lineRule="exact"/>
                      <w:ind w:left="567" w:rightChars="-45" w:right="-94" w:hanging="450"/>
                      <w:jc w:val="right"/>
                      <w:textAlignment w:val="bottom"/>
                      <w:rPr>
                        <w:rFonts w:cs="Arial"/>
                        <w:snapToGrid w:val="0"/>
                        <w:sz w:val="20"/>
                        <w:szCs w:val="20"/>
                      </w:rPr>
                    </w:pPr>
                    <w:r w:rsidRPr="001B0D6F">
                      <w:rPr>
                        <w:rFonts w:cs="Arial"/>
                        <w:snapToGrid w:val="0"/>
                        <w:sz w:val="20"/>
                        <w:szCs w:val="20"/>
                      </w:rPr>
                      <w:t>0.73</w:t>
                    </w:r>
                  </w:p>
                </w:tc>
                <w:tc>
                  <w:tcPr>
                    <w:tcW w:w="967" w:type="pct"/>
                    <w:tcBorders>
                      <w:top w:val="nil"/>
                      <w:left w:val="nil"/>
                      <w:bottom w:val="nil"/>
                      <w:right w:val="nil"/>
                    </w:tcBorders>
                  </w:tcPr>
                  <w:p w:rsidR="00182B92" w:rsidRPr="001B0D6F" w:rsidRDefault="00182B92" w:rsidP="00182B92">
                    <w:pPr>
                      <w:autoSpaceDE w:val="0"/>
                      <w:autoSpaceDN w:val="0"/>
                      <w:snapToGrid w:val="0"/>
                      <w:spacing w:line="300" w:lineRule="exact"/>
                      <w:ind w:left="567" w:rightChars="-45" w:right="-94" w:hanging="108"/>
                      <w:jc w:val="right"/>
                      <w:textAlignment w:val="bottom"/>
                      <w:rPr>
                        <w:rFonts w:cs="Arial"/>
                        <w:snapToGrid w:val="0"/>
                        <w:sz w:val="20"/>
                        <w:szCs w:val="20"/>
                      </w:rPr>
                    </w:pPr>
                    <w:r w:rsidRPr="001B0D6F">
                      <w:rPr>
                        <w:rFonts w:cs="Arial"/>
                        <w:snapToGrid w:val="0"/>
                        <w:sz w:val="20"/>
                        <w:szCs w:val="20"/>
                      </w:rPr>
                      <w:t>0.75</w:t>
                    </w:r>
                  </w:p>
                </w:tc>
                <w:tc>
                  <w:tcPr>
                    <w:tcW w:w="1018" w:type="pct"/>
                    <w:tcBorders>
                      <w:top w:val="nil"/>
                      <w:left w:val="nil"/>
                      <w:bottom w:val="nil"/>
                      <w:right w:val="nil"/>
                    </w:tcBorders>
                  </w:tcPr>
                  <w:p w:rsidR="00182B92" w:rsidRPr="001B0D6F" w:rsidRDefault="00182B92" w:rsidP="00182B92">
                    <w:pPr>
                      <w:autoSpaceDE w:val="0"/>
                      <w:autoSpaceDN w:val="0"/>
                      <w:snapToGrid w:val="0"/>
                      <w:spacing w:line="300" w:lineRule="exact"/>
                      <w:ind w:left="567" w:rightChars="-45" w:right="-94" w:hanging="393"/>
                      <w:jc w:val="right"/>
                      <w:textAlignment w:val="bottom"/>
                      <w:rPr>
                        <w:rFonts w:cs="Arial"/>
                        <w:snapToGrid w:val="0"/>
                        <w:sz w:val="20"/>
                        <w:szCs w:val="20"/>
                      </w:rPr>
                    </w:pPr>
                    <w:r w:rsidRPr="001B0D6F">
                      <w:rPr>
                        <w:rFonts w:cs="Arial"/>
                        <w:snapToGrid w:val="0"/>
                        <w:sz w:val="20"/>
                        <w:szCs w:val="20"/>
                      </w:rPr>
                      <w:t>0.71</w:t>
                    </w:r>
                  </w:p>
                </w:tc>
              </w:tr>
              <w:tr w:rsidR="00182B92" w:rsidRPr="001B0D6F" w:rsidTr="00182B92">
                <w:trPr>
                  <w:trHeight w:val="159"/>
                </w:trPr>
                <w:tc>
                  <w:tcPr>
                    <w:tcW w:w="2052" w:type="pct"/>
                    <w:tcBorders>
                      <w:top w:val="nil"/>
                      <w:left w:val="nil"/>
                      <w:bottom w:val="nil"/>
                      <w:right w:val="nil"/>
                    </w:tcBorders>
                    <w:shd w:val="clear" w:color="auto" w:fill="auto"/>
                    <w:noWrap/>
                    <w:vAlign w:val="bottom"/>
                    <w:hideMark/>
                  </w:tcPr>
                  <w:p w:rsidR="00182B92" w:rsidRPr="001B0D6F" w:rsidRDefault="00182B92" w:rsidP="00182B92">
                    <w:pPr>
                      <w:autoSpaceDE w:val="0"/>
                      <w:autoSpaceDN w:val="0"/>
                      <w:snapToGrid w:val="0"/>
                      <w:spacing w:line="300" w:lineRule="exact"/>
                      <w:ind w:left="567" w:hanging="538"/>
                      <w:jc w:val="both"/>
                      <w:textAlignment w:val="bottom"/>
                      <w:rPr>
                        <w:rFonts w:cs="Arial"/>
                        <w:snapToGrid w:val="0"/>
                        <w:sz w:val="20"/>
                        <w:szCs w:val="20"/>
                      </w:rPr>
                    </w:pPr>
                    <w:r w:rsidRPr="001B0D6F">
                      <w:rPr>
                        <w:rFonts w:cs="Arial"/>
                        <w:snapToGrid w:val="0"/>
                        <w:sz w:val="20"/>
                        <w:szCs w:val="20"/>
                      </w:rPr>
                      <w:t>预计波动率(%)</w:t>
                    </w:r>
                  </w:p>
                </w:tc>
                <w:tc>
                  <w:tcPr>
                    <w:tcW w:w="962" w:type="pct"/>
                    <w:tcBorders>
                      <w:top w:val="nil"/>
                      <w:left w:val="nil"/>
                      <w:bottom w:val="nil"/>
                      <w:right w:val="nil"/>
                    </w:tcBorders>
                    <w:vAlign w:val="bottom"/>
                  </w:tcPr>
                  <w:p w:rsidR="00182B92" w:rsidRPr="001B0D6F" w:rsidRDefault="00182B92" w:rsidP="00182B92">
                    <w:pPr>
                      <w:autoSpaceDE w:val="0"/>
                      <w:autoSpaceDN w:val="0"/>
                      <w:snapToGrid w:val="0"/>
                      <w:spacing w:line="300" w:lineRule="exact"/>
                      <w:ind w:left="567" w:rightChars="-45" w:right="-94" w:hanging="450"/>
                      <w:jc w:val="right"/>
                      <w:textAlignment w:val="bottom"/>
                      <w:rPr>
                        <w:rFonts w:cs="Arial"/>
                        <w:snapToGrid w:val="0"/>
                        <w:sz w:val="20"/>
                        <w:szCs w:val="20"/>
                      </w:rPr>
                    </w:pPr>
                    <w:r w:rsidRPr="001B0D6F">
                      <w:rPr>
                        <w:rFonts w:cs="Arial"/>
                        <w:snapToGrid w:val="0"/>
                        <w:sz w:val="20"/>
                        <w:szCs w:val="20"/>
                      </w:rPr>
                      <w:t>32.93</w:t>
                    </w:r>
                  </w:p>
                </w:tc>
                <w:tc>
                  <w:tcPr>
                    <w:tcW w:w="967" w:type="pct"/>
                    <w:tcBorders>
                      <w:top w:val="nil"/>
                      <w:left w:val="nil"/>
                      <w:bottom w:val="nil"/>
                      <w:right w:val="nil"/>
                    </w:tcBorders>
                  </w:tcPr>
                  <w:p w:rsidR="00182B92" w:rsidRPr="001B0D6F" w:rsidRDefault="00182B92" w:rsidP="00182B92">
                    <w:pPr>
                      <w:autoSpaceDE w:val="0"/>
                      <w:autoSpaceDN w:val="0"/>
                      <w:snapToGrid w:val="0"/>
                      <w:spacing w:line="300" w:lineRule="exact"/>
                      <w:ind w:left="567" w:rightChars="-45" w:right="-94" w:hanging="108"/>
                      <w:jc w:val="right"/>
                      <w:textAlignment w:val="bottom"/>
                      <w:rPr>
                        <w:rFonts w:cs="Arial"/>
                        <w:snapToGrid w:val="0"/>
                        <w:sz w:val="20"/>
                        <w:szCs w:val="20"/>
                      </w:rPr>
                    </w:pPr>
                    <w:r w:rsidRPr="001B0D6F">
                      <w:rPr>
                        <w:rFonts w:cs="Arial"/>
                        <w:snapToGrid w:val="0"/>
                        <w:sz w:val="20"/>
                        <w:szCs w:val="20"/>
                      </w:rPr>
                      <w:t>58.77</w:t>
                    </w:r>
                  </w:p>
                </w:tc>
                <w:tc>
                  <w:tcPr>
                    <w:tcW w:w="1018" w:type="pct"/>
                    <w:tcBorders>
                      <w:top w:val="nil"/>
                      <w:left w:val="nil"/>
                      <w:bottom w:val="nil"/>
                      <w:right w:val="nil"/>
                    </w:tcBorders>
                  </w:tcPr>
                  <w:p w:rsidR="00182B92" w:rsidRPr="001B0D6F" w:rsidRDefault="00182B92" w:rsidP="00182B92">
                    <w:pPr>
                      <w:autoSpaceDE w:val="0"/>
                      <w:autoSpaceDN w:val="0"/>
                      <w:snapToGrid w:val="0"/>
                      <w:spacing w:line="300" w:lineRule="exact"/>
                      <w:ind w:left="567" w:rightChars="-45" w:right="-94" w:hanging="393"/>
                      <w:jc w:val="right"/>
                      <w:textAlignment w:val="bottom"/>
                      <w:rPr>
                        <w:rFonts w:cs="Arial"/>
                        <w:snapToGrid w:val="0"/>
                        <w:sz w:val="20"/>
                        <w:szCs w:val="20"/>
                      </w:rPr>
                    </w:pPr>
                    <w:r w:rsidRPr="001B0D6F">
                      <w:rPr>
                        <w:rFonts w:cs="Arial"/>
                        <w:snapToGrid w:val="0"/>
                        <w:sz w:val="20"/>
                        <w:szCs w:val="20"/>
                      </w:rPr>
                      <w:t>55.81</w:t>
                    </w:r>
                  </w:p>
                </w:tc>
              </w:tr>
              <w:tr w:rsidR="00182B92" w:rsidRPr="001B0D6F" w:rsidTr="00182B92">
                <w:trPr>
                  <w:trHeight w:val="159"/>
                </w:trPr>
                <w:tc>
                  <w:tcPr>
                    <w:tcW w:w="2052" w:type="pct"/>
                    <w:tcBorders>
                      <w:top w:val="nil"/>
                      <w:left w:val="nil"/>
                      <w:bottom w:val="nil"/>
                      <w:right w:val="nil"/>
                    </w:tcBorders>
                    <w:shd w:val="clear" w:color="auto" w:fill="auto"/>
                    <w:noWrap/>
                    <w:vAlign w:val="bottom"/>
                    <w:hideMark/>
                  </w:tcPr>
                  <w:p w:rsidR="00182B92" w:rsidRPr="001B0D6F" w:rsidRDefault="00182B92" w:rsidP="00182B92">
                    <w:pPr>
                      <w:autoSpaceDE w:val="0"/>
                      <w:autoSpaceDN w:val="0"/>
                      <w:snapToGrid w:val="0"/>
                      <w:spacing w:line="300" w:lineRule="exact"/>
                      <w:ind w:left="567" w:hanging="538"/>
                      <w:jc w:val="both"/>
                      <w:textAlignment w:val="bottom"/>
                      <w:rPr>
                        <w:rFonts w:cs="Arial"/>
                        <w:snapToGrid w:val="0"/>
                        <w:sz w:val="20"/>
                        <w:szCs w:val="20"/>
                      </w:rPr>
                    </w:pPr>
                    <w:r w:rsidRPr="001B0D6F">
                      <w:rPr>
                        <w:rFonts w:cs="Arial"/>
                        <w:snapToGrid w:val="0"/>
                        <w:sz w:val="20"/>
                        <w:szCs w:val="20"/>
                      </w:rPr>
                      <w:t>无风险利率(%)</w:t>
                    </w:r>
                  </w:p>
                </w:tc>
                <w:tc>
                  <w:tcPr>
                    <w:tcW w:w="962" w:type="pct"/>
                    <w:tcBorders>
                      <w:top w:val="nil"/>
                      <w:left w:val="nil"/>
                      <w:bottom w:val="nil"/>
                      <w:right w:val="nil"/>
                    </w:tcBorders>
                    <w:vAlign w:val="bottom"/>
                  </w:tcPr>
                  <w:p w:rsidR="00182B92" w:rsidRPr="001B0D6F" w:rsidRDefault="00182B92" w:rsidP="00182B92">
                    <w:pPr>
                      <w:autoSpaceDE w:val="0"/>
                      <w:autoSpaceDN w:val="0"/>
                      <w:snapToGrid w:val="0"/>
                      <w:spacing w:line="300" w:lineRule="exact"/>
                      <w:ind w:left="567" w:rightChars="-45" w:right="-94" w:hanging="450"/>
                      <w:jc w:val="right"/>
                      <w:textAlignment w:val="bottom"/>
                      <w:rPr>
                        <w:rFonts w:cs="Arial"/>
                        <w:snapToGrid w:val="0"/>
                        <w:sz w:val="20"/>
                        <w:szCs w:val="20"/>
                      </w:rPr>
                    </w:pPr>
                    <w:r w:rsidRPr="001B0D6F">
                      <w:rPr>
                        <w:rFonts w:cs="Arial"/>
                        <w:snapToGrid w:val="0"/>
                        <w:sz w:val="20"/>
                        <w:szCs w:val="20"/>
                      </w:rPr>
                      <w:t>1.50</w:t>
                    </w:r>
                  </w:p>
                </w:tc>
                <w:tc>
                  <w:tcPr>
                    <w:tcW w:w="967" w:type="pct"/>
                    <w:tcBorders>
                      <w:top w:val="nil"/>
                      <w:left w:val="nil"/>
                      <w:bottom w:val="nil"/>
                      <w:right w:val="nil"/>
                    </w:tcBorders>
                  </w:tcPr>
                  <w:p w:rsidR="00182B92" w:rsidRPr="001B0D6F" w:rsidRDefault="00182B92" w:rsidP="00182B92">
                    <w:pPr>
                      <w:autoSpaceDE w:val="0"/>
                      <w:autoSpaceDN w:val="0"/>
                      <w:snapToGrid w:val="0"/>
                      <w:spacing w:line="300" w:lineRule="exact"/>
                      <w:ind w:left="567" w:rightChars="-45" w:right="-94" w:hanging="108"/>
                      <w:jc w:val="right"/>
                      <w:textAlignment w:val="bottom"/>
                      <w:rPr>
                        <w:rFonts w:cs="Arial"/>
                        <w:snapToGrid w:val="0"/>
                        <w:sz w:val="20"/>
                        <w:szCs w:val="20"/>
                      </w:rPr>
                    </w:pPr>
                    <w:r w:rsidRPr="001B0D6F">
                      <w:rPr>
                        <w:rFonts w:cs="Arial"/>
                        <w:snapToGrid w:val="0"/>
                        <w:sz w:val="20"/>
                        <w:szCs w:val="20"/>
                      </w:rPr>
                      <w:t>2.10</w:t>
                    </w:r>
                  </w:p>
                </w:tc>
                <w:tc>
                  <w:tcPr>
                    <w:tcW w:w="1018" w:type="pct"/>
                    <w:tcBorders>
                      <w:top w:val="nil"/>
                      <w:left w:val="nil"/>
                      <w:bottom w:val="nil"/>
                      <w:right w:val="nil"/>
                    </w:tcBorders>
                  </w:tcPr>
                  <w:p w:rsidR="00182B92" w:rsidRPr="001B0D6F" w:rsidRDefault="00182B92" w:rsidP="00182B92">
                    <w:pPr>
                      <w:autoSpaceDE w:val="0"/>
                      <w:autoSpaceDN w:val="0"/>
                      <w:snapToGrid w:val="0"/>
                      <w:spacing w:line="300" w:lineRule="exact"/>
                      <w:ind w:left="567" w:rightChars="-45" w:right="-94" w:hanging="393"/>
                      <w:jc w:val="right"/>
                      <w:textAlignment w:val="bottom"/>
                      <w:rPr>
                        <w:rFonts w:cs="Arial"/>
                        <w:snapToGrid w:val="0"/>
                        <w:sz w:val="20"/>
                        <w:szCs w:val="20"/>
                      </w:rPr>
                    </w:pPr>
                    <w:r w:rsidRPr="001B0D6F">
                      <w:rPr>
                        <w:rFonts w:cs="Arial"/>
                        <w:snapToGrid w:val="0"/>
                        <w:sz w:val="20"/>
                        <w:szCs w:val="20"/>
                      </w:rPr>
                      <w:t>2.75</w:t>
                    </w:r>
                  </w:p>
                </w:tc>
              </w:tr>
              <w:tr w:rsidR="00182B92" w:rsidRPr="001B0D6F" w:rsidTr="00182B92">
                <w:trPr>
                  <w:trHeight w:val="159"/>
                </w:trPr>
                <w:tc>
                  <w:tcPr>
                    <w:tcW w:w="2052" w:type="pct"/>
                    <w:tcBorders>
                      <w:top w:val="nil"/>
                      <w:left w:val="nil"/>
                      <w:bottom w:val="nil"/>
                      <w:right w:val="nil"/>
                    </w:tcBorders>
                    <w:shd w:val="clear" w:color="auto" w:fill="auto"/>
                    <w:noWrap/>
                    <w:vAlign w:val="bottom"/>
                    <w:hideMark/>
                  </w:tcPr>
                  <w:p w:rsidR="00182B92" w:rsidRPr="001B0D6F" w:rsidRDefault="00182B92" w:rsidP="00182B92">
                    <w:pPr>
                      <w:autoSpaceDE w:val="0"/>
                      <w:autoSpaceDN w:val="0"/>
                      <w:snapToGrid w:val="0"/>
                      <w:spacing w:line="300" w:lineRule="exact"/>
                      <w:ind w:left="567" w:hanging="538"/>
                      <w:jc w:val="both"/>
                      <w:textAlignment w:val="bottom"/>
                      <w:rPr>
                        <w:rFonts w:cs="Arial"/>
                        <w:snapToGrid w:val="0"/>
                        <w:sz w:val="20"/>
                        <w:szCs w:val="20"/>
                      </w:rPr>
                    </w:pPr>
                    <w:r w:rsidRPr="001B0D6F">
                      <w:rPr>
                        <w:rFonts w:cs="Arial"/>
                        <w:snapToGrid w:val="0"/>
                        <w:sz w:val="20"/>
                        <w:szCs w:val="20"/>
                      </w:rPr>
                      <w:t>股份期权预计期限(年)</w:t>
                    </w:r>
                  </w:p>
                </w:tc>
                <w:tc>
                  <w:tcPr>
                    <w:tcW w:w="962" w:type="pct"/>
                    <w:tcBorders>
                      <w:top w:val="nil"/>
                      <w:left w:val="nil"/>
                      <w:bottom w:val="nil"/>
                      <w:right w:val="nil"/>
                    </w:tcBorders>
                    <w:vAlign w:val="bottom"/>
                  </w:tcPr>
                  <w:p w:rsidR="00182B92" w:rsidRPr="001B0D6F" w:rsidRDefault="00182B92" w:rsidP="00182B92">
                    <w:pPr>
                      <w:autoSpaceDE w:val="0"/>
                      <w:autoSpaceDN w:val="0"/>
                      <w:snapToGrid w:val="0"/>
                      <w:spacing w:line="300" w:lineRule="exact"/>
                      <w:ind w:left="567" w:rightChars="-45" w:right="-94" w:hanging="450"/>
                      <w:jc w:val="right"/>
                      <w:textAlignment w:val="bottom"/>
                      <w:rPr>
                        <w:rFonts w:cs="Arial"/>
                        <w:snapToGrid w:val="0"/>
                        <w:sz w:val="20"/>
                        <w:szCs w:val="20"/>
                      </w:rPr>
                    </w:pPr>
                    <w:r w:rsidRPr="001B0D6F">
                      <w:rPr>
                        <w:rFonts w:cs="Arial"/>
                        <w:snapToGrid w:val="0"/>
                        <w:sz w:val="20"/>
                        <w:szCs w:val="20"/>
                      </w:rPr>
                      <w:t>1年</w:t>
                    </w:r>
                  </w:p>
                </w:tc>
                <w:tc>
                  <w:tcPr>
                    <w:tcW w:w="967" w:type="pct"/>
                    <w:tcBorders>
                      <w:top w:val="nil"/>
                      <w:left w:val="nil"/>
                      <w:bottom w:val="nil"/>
                      <w:right w:val="nil"/>
                    </w:tcBorders>
                  </w:tcPr>
                  <w:p w:rsidR="00182B92" w:rsidRPr="001B0D6F" w:rsidRDefault="00182B92" w:rsidP="00182B92">
                    <w:pPr>
                      <w:autoSpaceDE w:val="0"/>
                      <w:autoSpaceDN w:val="0"/>
                      <w:snapToGrid w:val="0"/>
                      <w:spacing w:line="300" w:lineRule="exact"/>
                      <w:ind w:left="567" w:rightChars="-45" w:right="-94" w:hanging="108"/>
                      <w:jc w:val="right"/>
                      <w:textAlignment w:val="bottom"/>
                      <w:rPr>
                        <w:rFonts w:cs="Arial"/>
                        <w:snapToGrid w:val="0"/>
                        <w:sz w:val="20"/>
                        <w:szCs w:val="20"/>
                      </w:rPr>
                    </w:pPr>
                    <w:r w:rsidRPr="001B0D6F">
                      <w:rPr>
                        <w:rFonts w:cs="Arial"/>
                        <w:snapToGrid w:val="0"/>
                        <w:sz w:val="20"/>
                        <w:szCs w:val="20"/>
                      </w:rPr>
                      <w:t>2年</w:t>
                    </w:r>
                  </w:p>
                </w:tc>
                <w:tc>
                  <w:tcPr>
                    <w:tcW w:w="1018" w:type="pct"/>
                    <w:tcBorders>
                      <w:top w:val="nil"/>
                      <w:left w:val="nil"/>
                      <w:bottom w:val="nil"/>
                      <w:right w:val="nil"/>
                    </w:tcBorders>
                  </w:tcPr>
                  <w:p w:rsidR="00182B92" w:rsidRPr="001B0D6F" w:rsidRDefault="00182B92" w:rsidP="00182B92">
                    <w:pPr>
                      <w:autoSpaceDE w:val="0"/>
                      <w:autoSpaceDN w:val="0"/>
                      <w:snapToGrid w:val="0"/>
                      <w:spacing w:line="300" w:lineRule="exact"/>
                      <w:ind w:left="567" w:rightChars="-45" w:right="-94" w:hanging="393"/>
                      <w:jc w:val="right"/>
                      <w:textAlignment w:val="bottom"/>
                      <w:rPr>
                        <w:rFonts w:cs="Arial"/>
                        <w:snapToGrid w:val="0"/>
                        <w:sz w:val="20"/>
                        <w:szCs w:val="20"/>
                      </w:rPr>
                    </w:pPr>
                    <w:r w:rsidRPr="001B0D6F">
                      <w:rPr>
                        <w:rFonts w:cs="Arial"/>
                        <w:snapToGrid w:val="0"/>
                        <w:sz w:val="20"/>
                        <w:szCs w:val="20"/>
                      </w:rPr>
                      <w:t>3年</w:t>
                    </w:r>
                  </w:p>
                </w:tc>
              </w:tr>
              <w:tr w:rsidR="00182B92" w:rsidRPr="001B0D6F" w:rsidTr="00182B92">
                <w:trPr>
                  <w:trHeight w:val="159"/>
                </w:trPr>
                <w:tc>
                  <w:tcPr>
                    <w:tcW w:w="2052" w:type="pct"/>
                    <w:tcBorders>
                      <w:top w:val="nil"/>
                      <w:left w:val="nil"/>
                      <w:bottom w:val="nil"/>
                      <w:right w:val="nil"/>
                    </w:tcBorders>
                    <w:shd w:val="clear" w:color="auto" w:fill="auto"/>
                    <w:noWrap/>
                    <w:vAlign w:val="bottom"/>
                    <w:hideMark/>
                  </w:tcPr>
                  <w:p w:rsidR="00182B92" w:rsidRPr="001B0D6F" w:rsidRDefault="00182B92" w:rsidP="00182B92">
                    <w:pPr>
                      <w:autoSpaceDE w:val="0"/>
                      <w:autoSpaceDN w:val="0"/>
                      <w:snapToGrid w:val="0"/>
                      <w:spacing w:line="300" w:lineRule="exact"/>
                      <w:ind w:left="567" w:hanging="538"/>
                      <w:jc w:val="both"/>
                      <w:textAlignment w:val="bottom"/>
                      <w:rPr>
                        <w:rFonts w:cs="Arial"/>
                        <w:snapToGrid w:val="0"/>
                        <w:sz w:val="20"/>
                        <w:szCs w:val="20"/>
                      </w:rPr>
                    </w:pPr>
                    <w:r w:rsidRPr="001B0D6F">
                      <w:rPr>
                        <w:rFonts w:cs="Arial"/>
                        <w:snapToGrid w:val="0"/>
                        <w:sz w:val="20"/>
                        <w:szCs w:val="20"/>
                      </w:rPr>
                      <w:t>授予日股价(元)</w:t>
                    </w:r>
                  </w:p>
                </w:tc>
                <w:tc>
                  <w:tcPr>
                    <w:tcW w:w="962" w:type="pct"/>
                    <w:tcBorders>
                      <w:top w:val="nil"/>
                      <w:left w:val="nil"/>
                      <w:bottom w:val="nil"/>
                      <w:right w:val="nil"/>
                    </w:tcBorders>
                    <w:vAlign w:val="bottom"/>
                  </w:tcPr>
                  <w:p w:rsidR="00182B92" w:rsidRPr="001B0D6F" w:rsidRDefault="00182B92" w:rsidP="00182B92">
                    <w:pPr>
                      <w:autoSpaceDE w:val="0"/>
                      <w:autoSpaceDN w:val="0"/>
                      <w:snapToGrid w:val="0"/>
                      <w:spacing w:line="300" w:lineRule="exact"/>
                      <w:ind w:left="567" w:rightChars="-45" w:right="-94" w:hanging="450"/>
                      <w:jc w:val="right"/>
                      <w:textAlignment w:val="bottom"/>
                      <w:rPr>
                        <w:rFonts w:cs="Arial"/>
                        <w:snapToGrid w:val="0"/>
                        <w:sz w:val="20"/>
                        <w:szCs w:val="20"/>
                      </w:rPr>
                    </w:pPr>
                    <w:r w:rsidRPr="001B0D6F">
                      <w:rPr>
                        <w:rFonts w:cs="Arial"/>
                        <w:snapToGrid w:val="0"/>
                        <w:sz w:val="20"/>
                        <w:szCs w:val="20"/>
                      </w:rPr>
                      <w:t>16.90</w:t>
                    </w:r>
                  </w:p>
                </w:tc>
                <w:tc>
                  <w:tcPr>
                    <w:tcW w:w="967" w:type="pct"/>
                    <w:tcBorders>
                      <w:top w:val="nil"/>
                      <w:left w:val="nil"/>
                      <w:bottom w:val="nil"/>
                      <w:right w:val="nil"/>
                    </w:tcBorders>
                  </w:tcPr>
                  <w:p w:rsidR="00182B92" w:rsidRPr="001B0D6F" w:rsidRDefault="00182B92" w:rsidP="00182B92">
                    <w:pPr>
                      <w:autoSpaceDE w:val="0"/>
                      <w:autoSpaceDN w:val="0"/>
                      <w:snapToGrid w:val="0"/>
                      <w:spacing w:line="300" w:lineRule="exact"/>
                      <w:ind w:left="567" w:rightChars="-45" w:right="-94" w:hanging="108"/>
                      <w:jc w:val="right"/>
                      <w:textAlignment w:val="bottom"/>
                      <w:rPr>
                        <w:rFonts w:cs="Arial"/>
                        <w:snapToGrid w:val="0"/>
                        <w:sz w:val="20"/>
                        <w:szCs w:val="20"/>
                      </w:rPr>
                    </w:pPr>
                    <w:r w:rsidRPr="001B0D6F">
                      <w:rPr>
                        <w:rFonts w:cs="Arial"/>
                        <w:snapToGrid w:val="0"/>
                        <w:sz w:val="20"/>
                        <w:szCs w:val="20"/>
                      </w:rPr>
                      <w:t>16.90</w:t>
                    </w:r>
                  </w:p>
                </w:tc>
                <w:tc>
                  <w:tcPr>
                    <w:tcW w:w="1018" w:type="pct"/>
                    <w:tcBorders>
                      <w:top w:val="nil"/>
                      <w:left w:val="nil"/>
                      <w:bottom w:val="nil"/>
                      <w:right w:val="nil"/>
                    </w:tcBorders>
                  </w:tcPr>
                  <w:p w:rsidR="00182B92" w:rsidRPr="001B0D6F" w:rsidRDefault="00182B92" w:rsidP="00182B92">
                    <w:pPr>
                      <w:autoSpaceDE w:val="0"/>
                      <w:autoSpaceDN w:val="0"/>
                      <w:snapToGrid w:val="0"/>
                      <w:spacing w:line="300" w:lineRule="exact"/>
                      <w:ind w:left="567" w:rightChars="-45" w:right="-94" w:hanging="393"/>
                      <w:jc w:val="right"/>
                      <w:textAlignment w:val="bottom"/>
                      <w:rPr>
                        <w:rFonts w:cs="Arial"/>
                        <w:snapToGrid w:val="0"/>
                        <w:sz w:val="20"/>
                        <w:szCs w:val="20"/>
                      </w:rPr>
                    </w:pPr>
                    <w:r w:rsidRPr="001B0D6F">
                      <w:rPr>
                        <w:rFonts w:cs="Arial"/>
                        <w:snapToGrid w:val="0"/>
                        <w:sz w:val="20"/>
                        <w:szCs w:val="20"/>
                      </w:rPr>
                      <w:t>16.90</w:t>
                    </w:r>
                  </w:p>
                </w:tc>
              </w:tr>
            </w:tbl>
            <w:p w:rsidR="00182B92" w:rsidRPr="001B0D6F" w:rsidRDefault="00182B92" w:rsidP="00182B92">
              <w:pPr>
                <w:overflowPunct w:val="0"/>
                <w:autoSpaceDE w:val="0"/>
                <w:autoSpaceDN w:val="0"/>
                <w:adjustRightInd w:val="0"/>
                <w:snapToGrid w:val="0"/>
                <w:jc w:val="both"/>
                <w:textAlignment w:val="bottom"/>
                <w:rPr>
                  <w:rFonts w:cs="Arial"/>
                  <w:snapToGrid w:val="0"/>
                  <w:sz w:val="20"/>
                  <w:szCs w:val="20"/>
                </w:rPr>
              </w:pPr>
            </w:p>
            <w:p w:rsidR="00182B92" w:rsidRPr="001B0D6F" w:rsidRDefault="00182B92" w:rsidP="00182B92">
              <w:pPr>
                <w:overflowPunct w:val="0"/>
                <w:autoSpaceDE w:val="0"/>
                <w:autoSpaceDN w:val="0"/>
                <w:adjustRightInd w:val="0"/>
                <w:snapToGrid w:val="0"/>
                <w:jc w:val="both"/>
                <w:textAlignment w:val="bottom"/>
                <w:rPr>
                  <w:rFonts w:cs="Arial"/>
                  <w:snapToGrid w:val="0"/>
                  <w:sz w:val="20"/>
                  <w:szCs w:val="20"/>
                </w:rPr>
              </w:pPr>
              <w:r w:rsidRPr="001B0D6F">
                <w:rPr>
                  <w:rFonts w:cs="Arial"/>
                  <w:snapToGrid w:val="0"/>
                  <w:sz w:val="20"/>
                  <w:szCs w:val="20"/>
                </w:rPr>
                <w:t>股票期权的预计期限是根据对未来股票价格波动所可能引致的员工行权时间为基础确定的，其反映的行权模式并不一定是未来可能出现的行权模式。预计波动率是基于历史波动率能反映出未来趋势的假设，但并不一定是实际的结果。公允价值未考虑所授予股票期权的其他特征。</w:t>
              </w:r>
            </w:p>
            <w:p w:rsidR="00182B92" w:rsidRPr="001B0D6F" w:rsidRDefault="00182B92" w:rsidP="00182B92">
              <w:pPr>
                <w:overflowPunct w:val="0"/>
                <w:autoSpaceDE w:val="0"/>
                <w:autoSpaceDN w:val="0"/>
                <w:adjustRightInd w:val="0"/>
                <w:snapToGrid w:val="0"/>
                <w:jc w:val="both"/>
                <w:textAlignment w:val="bottom"/>
                <w:rPr>
                  <w:rFonts w:cs="Arial"/>
                  <w:snapToGrid w:val="0"/>
                  <w:sz w:val="20"/>
                  <w:szCs w:val="20"/>
                </w:rPr>
              </w:pPr>
            </w:p>
            <w:p w:rsidR="00182B92" w:rsidRPr="001B0D6F" w:rsidRDefault="00182B92" w:rsidP="00182B92">
              <w:pPr>
                <w:overflowPunct w:val="0"/>
                <w:autoSpaceDE w:val="0"/>
                <w:autoSpaceDN w:val="0"/>
                <w:adjustRightInd w:val="0"/>
                <w:snapToGrid w:val="0"/>
                <w:jc w:val="both"/>
                <w:textAlignment w:val="bottom"/>
                <w:rPr>
                  <w:rFonts w:cs="Arial"/>
                  <w:snapToGrid w:val="0"/>
                  <w:sz w:val="20"/>
                  <w:szCs w:val="20"/>
                </w:rPr>
              </w:pPr>
            </w:p>
            <w:p w:rsidR="00182B92" w:rsidRPr="001B0D6F" w:rsidRDefault="00182B92" w:rsidP="00182B92">
              <w:pPr>
                <w:overflowPunct w:val="0"/>
                <w:autoSpaceDE w:val="0"/>
                <w:autoSpaceDN w:val="0"/>
                <w:adjustRightInd w:val="0"/>
                <w:snapToGrid w:val="0"/>
                <w:ind w:left="720" w:hanging="720"/>
                <w:jc w:val="both"/>
                <w:textAlignment w:val="bottom"/>
                <w:rPr>
                  <w:rFonts w:cs="Arial"/>
                  <w:b/>
                  <w:bCs/>
                  <w:snapToGrid w:val="0"/>
                  <w:sz w:val="20"/>
                  <w:szCs w:val="20"/>
                </w:rPr>
                <w:sectPr w:rsidR="00182B92" w:rsidRPr="001B0D6F" w:rsidSect="00182B92">
                  <w:pgSz w:w="11907" w:h="16840" w:code="9"/>
                  <w:pgMar w:top="1440" w:right="1797" w:bottom="1440" w:left="1797" w:header="720" w:footer="720" w:gutter="0"/>
                  <w:cols w:space="720"/>
                  <w:titlePg/>
                  <w:docGrid w:linePitch="360"/>
                </w:sectPr>
              </w:pPr>
            </w:p>
            <w:p w:rsidR="00182B92" w:rsidRPr="001B0D6F" w:rsidRDefault="00182B92" w:rsidP="00182B92">
              <w:pPr>
                <w:overflowPunct w:val="0"/>
                <w:autoSpaceDE w:val="0"/>
                <w:autoSpaceDN w:val="0"/>
                <w:adjustRightInd w:val="0"/>
                <w:snapToGrid w:val="0"/>
                <w:jc w:val="both"/>
                <w:textAlignment w:val="bottom"/>
                <w:rPr>
                  <w:rFonts w:cs="Arial"/>
                  <w:snapToGrid w:val="0"/>
                  <w:sz w:val="20"/>
                  <w:szCs w:val="20"/>
                </w:rPr>
              </w:pPr>
            </w:p>
            <w:p w:rsidR="00182B92" w:rsidRPr="001B0D6F" w:rsidRDefault="00182B92" w:rsidP="00182B92">
              <w:pPr>
                <w:overflowPunct w:val="0"/>
                <w:autoSpaceDE w:val="0"/>
                <w:autoSpaceDN w:val="0"/>
                <w:adjustRightInd w:val="0"/>
                <w:snapToGrid w:val="0"/>
                <w:jc w:val="both"/>
                <w:textAlignment w:val="bottom"/>
                <w:rPr>
                  <w:rFonts w:cs="Arial"/>
                  <w:snapToGrid w:val="0"/>
                  <w:sz w:val="20"/>
                  <w:szCs w:val="20"/>
                </w:rPr>
              </w:pPr>
              <w:r w:rsidRPr="001B0D6F">
                <w:rPr>
                  <w:rFonts w:cs="Arial"/>
                  <w:snapToGrid w:val="0"/>
                  <w:sz w:val="20"/>
                  <w:szCs w:val="20"/>
                </w:rPr>
                <w:t>截至资产负债表日，发行在外的股票期权的行权价格和行权有效期如下：</w:t>
              </w:r>
            </w:p>
            <w:p w:rsidR="00182B92" w:rsidRPr="001B0D6F" w:rsidRDefault="00182B92" w:rsidP="00182B92">
              <w:pPr>
                <w:overflowPunct w:val="0"/>
                <w:autoSpaceDE w:val="0"/>
                <w:autoSpaceDN w:val="0"/>
                <w:adjustRightInd w:val="0"/>
                <w:snapToGrid w:val="0"/>
                <w:jc w:val="both"/>
                <w:textAlignment w:val="bottom"/>
                <w:rPr>
                  <w:rFonts w:cs="Arial"/>
                  <w:snapToGrid w:val="0"/>
                  <w:sz w:val="20"/>
                  <w:szCs w:val="20"/>
                </w:rPr>
              </w:pPr>
            </w:p>
            <w:tbl>
              <w:tblPr>
                <w:tblStyle w:val="g35"/>
                <w:tblW w:w="4968" w:type="pct"/>
                <w:tblLayout w:type="fixed"/>
                <w:tblLook w:val="0000" w:firstRow="0" w:lastRow="0" w:firstColumn="0" w:lastColumn="0" w:noHBand="0" w:noVBand="0"/>
              </w:tblPr>
              <w:tblGrid>
                <w:gridCol w:w="1339"/>
                <w:gridCol w:w="2205"/>
                <w:gridCol w:w="1678"/>
                <w:gridCol w:w="3038"/>
              </w:tblGrid>
              <w:tr w:rsidR="00182B92" w:rsidRPr="001B0D6F" w:rsidTr="00182B92">
                <w:trPr>
                  <w:trHeight w:val="249"/>
                </w:trPr>
                <w:tc>
                  <w:tcPr>
                    <w:tcW w:w="810" w:type="pct"/>
                  </w:tcPr>
                  <w:p w:rsidR="00182B92" w:rsidRPr="001B0D6F" w:rsidRDefault="00182B92" w:rsidP="00182B92">
                    <w:pPr>
                      <w:tabs>
                        <w:tab w:val="left" w:pos="1319"/>
                      </w:tabs>
                      <w:autoSpaceDE w:val="0"/>
                      <w:autoSpaceDN w:val="0"/>
                      <w:spacing w:line="260" w:lineRule="exact"/>
                      <w:ind w:left="-94" w:hanging="28"/>
                      <w:jc w:val="right"/>
                      <w:rPr>
                        <w:rFonts w:cs="Arial"/>
                        <w:snapToGrid w:val="0"/>
                        <w:sz w:val="20"/>
                        <w:szCs w:val="20"/>
                      </w:rPr>
                    </w:pPr>
                    <w:r w:rsidRPr="001B0D6F">
                      <w:rPr>
                        <w:rFonts w:cs="Arial"/>
                        <w:snapToGrid w:val="0"/>
                        <w:sz w:val="20"/>
                        <w:szCs w:val="20"/>
                      </w:rPr>
                      <w:t>股票期权数量</w:t>
                    </w:r>
                  </w:p>
                </w:tc>
                <w:tc>
                  <w:tcPr>
                    <w:tcW w:w="1335" w:type="pct"/>
                  </w:tcPr>
                  <w:p w:rsidR="00182B92" w:rsidRPr="001B0D6F" w:rsidRDefault="00182B92" w:rsidP="00182B92">
                    <w:pPr>
                      <w:autoSpaceDE w:val="0"/>
                      <w:autoSpaceDN w:val="0"/>
                      <w:spacing w:line="260" w:lineRule="exact"/>
                      <w:ind w:hanging="111"/>
                      <w:jc w:val="right"/>
                      <w:rPr>
                        <w:rFonts w:cs="Arial"/>
                        <w:snapToGrid w:val="0"/>
                        <w:sz w:val="20"/>
                        <w:szCs w:val="20"/>
                      </w:rPr>
                    </w:pPr>
                    <w:r w:rsidRPr="001B0D6F">
                      <w:rPr>
                        <w:rFonts w:cs="Arial"/>
                        <w:snapToGrid w:val="0"/>
                        <w:sz w:val="20"/>
                        <w:szCs w:val="20"/>
                      </w:rPr>
                      <w:t>预计2019年行权数量</w:t>
                    </w:r>
                  </w:p>
                </w:tc>
                <w:tc>
                  <w:tcPr>
                    <w:tcW w:w="1016" w:type="pct"/>
                  </w:tcPr>
                  <w:p w:rsidR="00182B92" w:rsidRPr="001B0D6F" w:rsidRDefault="00182B92" w:rsidP="00182B92">
                    <w:pPr>
                      <w:autoSpaceDE w:val="0"/>
                      <w:autoSpaceDN w:val="0"/>
                      <w:spacing w:line="260" w:lineRule="exact"/>
                      <w:jc w:val="right"/>
                      <w:rPr>
                        <w:rFonts w:cs="Arial"/>
                        <w:snapToGrid w:val="0"/>
                        <w:sz w:val="20"/>
                        <w:szCs w:val="20"/>
                      </w:rPr>
                    </w:pPr>
                    <w:r w:rsidRPr="001B0D6F">
                      <w:rPr>
                        <w:rFonts w:cs="Arial"/>
                        <w:snapToGrid w:val="0"/>
                        <w:sz w:val="20"/>
                        <w:szCs w:val="20"/>
                      </w:rPr>
                      <w:t>行权价格*</w:t>
                    </w:r>
                  </w:p>
                </w:tc>
                <w:tc>
                  <w:tcPr>
                    <w:tcW w:w="1839" w:type="pct"/>
                  </w:tcPr>
                  <w:p w:rsidR="00182B92" w:rsidRPr="001B0D6F" w:rsidRDefault="00182B92" w:rsidP="00182B92">
                    <w:pPr>
                      <w:autoSpaceDE w:val="0"/>
                      <w:autoSpaceDN w:val="0"/>
                      <w:spacing w:line="260" w:lineRule="exact"/>
                      <w:ind w:right="-72"/>
                      <w:jc w:val="right"/>
                      <w:rPr>
                        <w:rFonts w:cs="Arial"/>
                        <w:snapToGrid w:val="0"/>
                        <w:sz w:val="20"/>
                        <w:szCs w:val="20"/>
                      </w:rPr>
                    </w:pPr>
                    <w:r w:rsidRPr="001B0D6F">
                      <w:rPr>
                        <w:rFonts w:cs="Arial"/>
                        <w:snapToGrid w:val="0"/>
                        <w:sz w:val="20"/>
                        <w:szCs w:val="20"/>
                      </w:rPr>
                      <w:t>行权有效期</w:t>
                    </w:r>
                  </w:p>
                </w:tc>
              </w:tr>
              <w:tr w:rsidR="00182B92" w:rsidRPr="001B0D6F" w:rsidTr="00182B92">
                <w:trPr>
                  <w:trHeight w:val="249"/>
                </w:trPr>
                <w:tc>
                  <w:tcPr>
                    <w:tcW w:w="810" w:type="pct"/>
                  </w:tcPr>
                  <w:p w:rsidR="00182B92" w:rsidRPr="001B0D6F" w:rsidRDefault="00182B92" w:rsidP="00182B92">
                    <w:pPr>
                      <w:tabs>
                        <w:tab w:val="left" w:pos="1020"/>
                      </w:tabs>
                      <w:autoSpaceDE w:val="0"/>
                      <w:autoSpaceDN w:val="0"/>
                      <w:spacing w:line="260" w:lineRule="exact"/>
                      <w:ind w:left="-94" w:hanging="28"/>
                      <w:jc w:val="right"/>
                      <w:rPr>
                        <w:rFonts w:cs="Arial"/>
                        <w:snapToGrid w:val="0"/>
                        <w:sz w:val="20"/>
                        <w:szCs w:val="20"/>
                      </w:rPr>
                    </w:pPr>
                    <w:r w:rsidRPr="001B0D6F">
                      <w:rPr>
                        <w:rFonts w:cs="Arial"/>
                        <w:snapToGrid w:val="0"/>
                        <w:sz w:val="20"/>
                        <w:szCs w:val="20"/>
                      </w:rPr>
                      <w:t xml:space="preserve">          份</w:t>
                    </w:r>
                  </w:p>
                </w:tc>
                <w:tc>
                  <w:tcPr>
                    <w:tcW w:w="1335" w:type="pct"/>
                  </w:tcPr>
                  <w:p w:rsidR="00182B92" w:rsidRPr="001B0D6F" w:rsidRDefault="00182B92" w:rsidP="00182B92">
                    <w:pPr>
                      <w:autoSpaceDE w:val="0"/>
                      <w:autoSpaceDN w:val="0"/>
                      <w:spacing w:line="260" w:lineRule="exact"/>
                      <w:jc w:val="right"/>
                      <w:rPr>
                        <w:rFonts w:cs="Arial"/>
                        <w:snapToGrid w:val="0"/>
                        <w:sz w:val="20"/>
                        <w:szCs w:val="20"/>
                      </w:rPr>
                    </w:pPr>
                    <w:r w:rsidRPr="001B0D6F">
                      <w:rPr>
                        <w:rFonts w:cs="Arial"/>
                        <w:snapToGrid w:val="0"/>
                        <w:sz w:val="20"/>
                        <w:szCs w:val="20"/>
                      </w:rPr>
                      <w:t>份</w:t>
                    </w:r>
                  </w:p>
                </w:tc>
                <w:tc>
                  <w:tcPr>
                    <w:tcW w:w="1016" w:type="pct"/>
                  </w:tcPr>
                  <w:p w:rsidR="00182B92" w:rsidRPr="001B0D6F" w:rsidRDefault="00182B92" w:rsidP="00182B92">
                    <w:pPr>
                      <w:autoSpaceDE w:val="0"/>
                      <w:autoSpaceDN w:val="0"/>
                      <w:spacing w:line="260" w:lineRule="exact"/>
                      <w:jc w:val="right"/>
                      <w:rPr>
                        <w:rFonts w:cs="Arial"/>
                        <w:snapToGrid w:val="0"/>
                        <w:sz w:val="20"/>
                        <w:szCs w:val="20"/>
                      </w:rPr>
                    </w:pPr>
                    <w:r w:rsidRPr="001B0D6F">
                      <w:rPr>
                        <w:rFonts w:cs="Arial"/>
                        <w:snapToGrid w:val="0"/>
                        <w:sz w:val="20"/>
                        <w:szCs w:val="20"/>
                      </w:rPr>
                      <w:t>人民币元/股</w:t>
                    </w:r>
                  </w:p>
                </w:tc>
                <w:tc>
                  <w:tcPr>
                    <w:tcW w:w="1839" w:type="pct"/>
                  </w:tcPr>
                  <w:p w:rsidR="00182B92" w:rsidRPr="001B0D6F" w:rsidRDefault="00182B92" w:rsidP="00182B92">
                    <w:pPr>
                      <w:autoSpaceDE w:val="0"/>
                      <w:autoSpaceDN w:val="0"/>
                      <w:spacing w:line="260" w:lineRule="exact"/>
                      <w:ind w:right="-108"/>
                      <w:jc w:val="right"/>
                      <w:rPr>
                        <w:rFonts w:cs="Arial"/>
                        <w:snapToGrid w:val="0"/>
                        <w:sz w:val="20"/>
                        <w:szCs w:val="20"/>
                      </w:rPr>
                    </w:pPr>
                  </w:p>
                </w:tc>
              </w:tr>
              <w:tr w:rsidR="00182B92" w:rsidRPr="001B0D6F" w:rsidTr="00182B92">
                <w:trPr>
                  <w:trHeight w:val="249"/>
                </w:trPr>
                <w:tc>
                  <w:tcPr>
                    <w:tcW w:w="810" w:type="pct"/>
                  </w:tcPr>
                  <w:p w:rsidR="00182B92" w:rsidRPr="001B0D6F" w:rsidRDefault="00182B92" w:rsidP="00182B92">
                    <w:pPr>
                      <w:tabs>
                        <w:tab w:val="left" w:pos="1020"/>
                      </w:tabs>
                      <w:autoSpaceDE w:val="0"/>
                      <w:autoSpaceDN w:val="0"/>
                      <w:spacing w:line="260" w:lineRule="exact"/>
                      <w:ind w:left="-94" w:hanging="28"/>
                      <w:rPr>
                        <w:rFonts w:cs="Arial"/>
                        <w:snapToGrid w:val="0"/>
                        <w:sz w:val="20"/>
                        <w:szCs w:val="20"/>
                      </w:rPr>
                    </w:pPr>
                  </w:p>
                </w:tc>
                <w:tc>
                  <w:tcPr>
                    <w:tcW w:w="1335" w:type="pct"/>
                  </w:tcPr>
                  <w:p w:rsidR="00182B92" w:rsidRPr="001B0D6F" w:rsidRDefault="00182B92" w:rsidP="00182B92">
                    <w:pPr>
                      <w:autoSpaceDE w:val="0"/>
                      <w:autoSpaceDN w:val="0"/>
                      <w:spacing w:line="260" w:lineRule="exact"/>
                      <w:jc w:val="right"/>
                      <w:rPr>
                        <w:rFonts w:cs="Arial"/>
                        <w:snapToGrid w:val="0"/>
                        <w:sz w:val="20"/>
                        <w:szCs w:val="20"/>
                      </w:rPr>
                    </w:pPr>
                  </w:p>
                </w:tc>
                <w:tc>
                  <w:tcPr>
                    <w:tcW w:w="1016" w:type="pct"/>
                  </w:tcPr>
                  <w:p w:rsidR="00182B92" w:rsidRPr="001B0D6F" w:rsidRDefault="00182B92" w:rsidP="00182B92">
                    <w:pPr>
                      <w:autoSpaceDE w:val="0"/>
                      <w:autoSpaceDN w:val="0"/>
                      <w:spacing w:line="260" w:lineRule="exact"/>
                      <w:jc w:val="right"/>
                      <w:rPr>
                        <w:rFonts w:cs="Arial"/>
                        <w:snapToGrid w:val="0"/>
                        <w:sz w:val="20"/>
                        <w:szCs w:val="20"/>
                      </w:rPr>
                    </w:pPr>
                  </w:p>
                </w:tc>
                <w:tc>
                  <w:tcPr>
                    <w:tcW w:w="1839" w:type="pct"/>
                  </w:tcPr>
                  <w:p w:rsidR="00182B92" w:rsidRPr="001B0D6F" w:rsidRDefault="00182B92" w:rsidP="00182B92">
                    <w:pPr>
                      <w:autoSpaceDE w:val="0"/>
                      <w:autoSpaceDN w:val="0"/>
                      <w:spacing w:line="260" w:lineRule="exact"/>
                      <w:ind w:right="-108"/>
                      <w:jc w:val="right"/>
                      <w:rPr>
                        <w:rFonts w:cs="Arial"/>
                        <w:snapToGrid w:val="0"/>
                        <w:sz w:val="20"/>
                        <w:szCs w:val="20"/>
                      </w:rPr>
                    </w:pPr>
                  </w:p>
                </w:tc>
              </w:tr>
              <w:tr w:rsidR="00182B92" w:rsidRPr="001B0D6F" w:rsidTr="00182B92">
                <w:trPr>
                  <w:trHeight w:val="249"/>
                </w:trPr>
                <w:tc>
                  <w:tcPr>
                    <w:tcW w:w="810" w:type="pct"/>
                    <w:vAlign w:val="center"/>
                  </w:tcPr>
                  <w:p w:rsidR="00182B92" w:rsidRPr="001B0D6F" w:rsidRDefault="00182B92" w:rsidP="00182B92">
                    <w:pPr>
                      <w:tabs>
                        <w:tab w:val="left" w:pos="1020"/>
                      </w:tabs>
                      <w:autoSpaceDE w:val="0"/>
                      <w:autoSpaceDN w:val="0"/>
                      <w:spacing w:line="260" w:lineRule="exact"/>
                      <w:ind w:hanging="28"/>
                      <w:jc w:val="right"/>
                      <w:rPr>
                        <w:rFonts w:cs="Arial"/>
                        <w:snapToGrid w:val="0"/>
                        <w:sz w:val="20"/>
                        <w:szCs w:val="20"/>
                      </w:rPr>
                    </w:pPr>
                    <w:r w:rsidRPr="001B0D6F">
                      <w:rPr>
                        <w:rFonts w:cs="Arial"/>
                        <w:snapToGrid w:val="0"/>
                        <w:sz w:val="20"/>
                        <w:szCs w:val="20"/>
                      </w:rPr>
                      <w:t>40,044,234</w:t>
                    </w:r>
                  </w:p>
                </w:tc>
                <w:tc>
                  <w:tcPr>
                    <w:tcW w:w="1335" w:type="pct"/>
                    <w:vAlign w:val="center"/>
                  </w:tcPr>
                  <w:p w:rsidR="00182B92" w:rsidRPr="001B0D6F" w:rsidRDefault="00182B92" w:rsidP="00182B92">
                    <w:pPr>
                      <w:tabs>
                        <w:tab w:val="left" w:pos="1020"/>
                      </w:tabs>
                      <w:autoSpaceDE w:val="0"/>
                      <w:autoSpaceDN w:val="0"/>
                      <w:spacing w:line="260" w:lineRule="exact"/>
                      <w:jc w:val="right"/>
                      <w:rPr>
                        <w:rFonts w:cs="Arial"/>
                        <w:snapToGrid w:val="0"/>
                        <w:sz w:val="20"/>
                        <w:szCs w:val="20"/>
                      </w:rPr>
                    </w:pPr>
                    <w:r w:rsidRPr="001B0D6F">
                      <w:rPr>
                        <w:rFonts w:cs="Arial"/>
                        <w:snapToGrid w:val="0"/>
                        <w:sz w:val="20"/>
                        <w:szCs w:val="20"/>
                      </w:rPr>
                      <w:t>17,891,892</w:t>
                    </w:r>
                  </w:p>
                </w:tc>
                <w:tc>
                  <w:tcPr>
                    <w:tcW w:w="1016" w:type="pct"/>
                  </w:tcPr>
                  <w:p w:rsidR="00182B92" w:rsidRPr="001B0D6F" w:rsidRDefault="00182B92" w:rsidP="00182B92">
                    <w:pPr>
                      <w:tabs>
                        <w:tab w:val="left" w:pos="1020"/>
                      </w:tabs>
                      <w:autoSpaceDE w:val="0"/>
                      <w:autoSpaceDN w:val="0"/>
                      <w:spacing w:line="260" w:lineRule="exact"/>
                      <w:jc w:val="right"/>
                      <w:rPr>
                        <w:rFonts w:cs="Arial"/>
                        <w:snapToGrid w:val="0"/>
                        <w:sz w:val="20"/>
                        <w:szCs w:val="20"/>
                      </w:rPr>
                    </w:pPr>
                    <w:r w:rsidRPr="001B0D6F">
                      <w:rPr>
                        <w:rFonts w:cs="Arial"/>
                        <w:snapToGrid w:val="0"/>
                        <w:sz w:val="20"/>
                        <w:szCs w:val="20"/>
                      </w:rPr>
                      <w:t>9.12</w:t>
                    </w:r>
                  </w:p>
                </w:tc>
                <w:tc>
                  <w:tcPr>
                    <w:tcW w:w="1839" w:type="pct"/>
                  </w:tcPr>
                  <w:p w:rsidR="00182B92" w:rsidRPr="001B0D6F" w:rsidRDefault="00182B92" w:rsidP="00182B92">
                    <w:pPr>
                      <w:autoSpaceDE w:val="0"/>
                      <w:autoSpaceDN w:val="0"/>
                      <w:spacing w:line="260" w:lineRule="exact"/>
                      <w:ind w:right="-108"/>
                      <w:jc w:val="right"/>
                      <w:rPr>
                        <w:rFonts w:cs="Arial"/>
                        <w:snapToGrid w:val="0"/>
                        <w:sz w:val="20"/>
                        <w:szCs w:val="20"/>
                      </w:rPr>
                    </w:pPr>
                    <w:r w:rsidRPr="001B0D6F">
                      <w:rPr>
                        <w:rFonts w:cs="Arial"/>
                        <w:snapToGrid w:val="0"/>
                        <w:sz w:val="20"/>
                        <w:szCs w:val="20"/>
                      </w:rPr>
                      <w:t>2019年8月5日至2021年8月4日</w:t>
                    </w:r>
                  </w:p>
                </w:tc>
              </w:tr>
            </w:tbl>
            <w:p w:rsidR="00182B92" w:rsidRPr="001B0D6F" w:rsidRDefault="00182B92" w:rsidP="00182B92">
              <w:pPr>
                <w:overflowPunct w:val="0"/>
                <w:autoSpaceDE w:val="0"/>
                <w:autoSpaceDN w:val="0"/>
                <w:adjustRightInd w:val="0"/>
                <w:snapToGrid w:val="0"/>
                <w:jc w:val="both"/>
                <w:textAlignment w:val="bottom"/>
                <w:rPr>
                  <w:rFonts w:cs="Arial"/>
                  <w:snapToGrid w:val="0"/>
                  <w:sz w:val="20"/>
                  <w:szCs w:val="20"/>
                </w:rPr>
              </w:pPr>
            </w:p>
            <w:p w:rsidR="00182B92" w:rsidRPr="001B0D6F" w:rsidRDefault="00182B92" w:rsidP="00182B92">
              <w:pPr>
                <w:overflowPunct w:val="0"/>
                <w:autoSpaceDE w:val="0"/>
                <w:autoSpaceDN w:val="0"/>
                <w:adjustRightInd w:val="0"/>
                <w:snapToGrid w:val="0"/>
                <w:jc w:val="both"/>
                <w:textAlignment w:val="bottom"/>
                <w:rPr>
                  <w:rFonts w:cs="Arial"/>
                  <w:snapToGrid w:val="0"/>
                  <w:sz w:val="20"/>
                  <w:szCs w:val="20"/>
                </w:rPr>
              </w:pPr>
              <w:r w:rsidRPr="001B0D6F">
                <w:rPr>
                  <w:rFonts w:cs="Arial"/>
                  <w:snapToGrid w:val="0"/>
                  <w:sz w:val="20"/>
                  <w:szCs w:val="20"/>
                </w:rPr>
                <w:t>*股票期权的行权价格</w:t>
              </w:r>
              <w:r w:rsidRPr="001B0D6F">
                <w:rPr>
                  <w:rFonts w:cs="Arial" w:hint="eastAsia"/>
                  <w:snapToGrid w:val="0"/>
                  <w:sz w:val="20"/>
                  <w:szCs w:val="20"/>
                </w:rPr>
                <w:t>与</w:t>
              </w:r>
              <w:r w:rsidRPr="001B0D6F">
                <w:rPr>
                  <w:rFonts w:cs="Arial"/>
                  <w:snapToGrid w:val="0"/>
                  <w:sz w:val="20"/>
                  <w:szCs w:val="20"/>
                </w:rPr>
                <w:t>数量</w:t>
              </w:r>
              <w:r w:rsidRPr="001B0D6F">
                <w:rPr>
                  <w:rFonts w:cs="Arial" w:hint="eastAsia"/>
                  <w:snapToGrid w:val="0"/>
                  <w:sz w:val="20"/>
                  <w:szCs w:val="20"/>
                </w:rPr>
                <w:t>根据本公司2017年</w:t>
              </w:r>
              <w:r w:rsidRPr="001B0D6F">
                <w:rPr>
                  <w:rFonts w:cs="Arial"/>
                  <w:snapToGrid w:val="0"/>
                  <w:sz w:val="20"/>
                  <w:szCs w:val="20"/>
                </w:rPr>
                <w:t>权益分派实施方案进行调整。</w:t>
              </w:r>
            </w:p>
            <w:p w:rsidR="00182B92" w:rsidRPr="001B0D6F" w:rsidRDefault="00182B92" w:rsidP="00182B92">
              <w:pPr>
                <w:overflowPunct w:val="0"/>
                <w:autoSpaceDE w:val="0"/>
                <w:autoSpaceDN w:val="0"/>
                <w:adjustRightInd w:val="0"/>
                <w:snapToGrid w:val="0"/>
                <w:jc w:val="both"/>
                <w:textAlignment w:val="bottom"/>
                <w:rPr>
                  <w:rFonts w:cs="Arial"/>
                  <w:snapToGrid w:val="0"/>
                  <w:sz w:val="20"/>
                  <w:szCs w:val="20"/>
                </w:rPr>
              </w:pPr>
            </w:p>
            <w:p w:rsidR="00182B92" w:rsidRPr="001B0D6F" w:rsidRDefault="00182B92" w:rsidP="00182B92">
              <w:pPr>
                <w:overflowPunct w:val="0"/>
                <w:autoSpaceDE w:val="0"/>
                <w:autoSpaceDN w:val="0"/>
                <w:adjustRightInd w:val="0"/>
                <w:snapToGrid w:val="0"/>
                <w:jc w:val="both"/>
                <w:textAlignment w:val="bottom"/>
                <w:rPr>
                  <w:rFonts w:cs="Arial"/>
                  <w:snapToGrid w:val="0"/>
                  <w:sz w:val="20"/>
                  <w:szCs w:val="20"/>
                </w:rPr>
              </w:pPr>
              <w:r w:rsidRPr="001B0D6F">
                <w:rPr>
                  <w:rFonts w:cs="Arial"/>
                  <w:snapToGrid w:val="0"/>
                  <w:sz w:val="20"/>
                  <w:szCs w:val="20"/>
                </w:rPr>
                <w:t>于2019年6月30日，本公司在本计划下发行在外的股票期权为40,044,234份，因2018年公司业绩已达到2018年股票期权激励计划的行权条件，预计2019年可行权期权份数为17,891,892份。</w:t>
              </w:r>
            </w:p>
            <w:p w:rsidR="00182B92" w:rsidRPr="001B0D6F" w:rsidRDefault="00182B92" w:rsidP="00182B92">
              <w:pPr>
                <w:overflowPunct w:val="0"/>
                <w:autoSpaceDE w:val="0"/>
                <w:autoSpaceDN w:val="0"/>
                <w:adjustRightInd w:val="0"/>
                <w:snapToGrid w:val="0"/>
                <w:jc w:val="both"/>
                <w:textAlignment w:val="bottom"/>
                <w:rPr>
                  <w:rFonts w:cs="Arial"/>
                  <w:snapToGrid w:val="0"/>
                  <w:sz w:val="20"/>
                  <w:szCs w:val="20"/>
                </w:rPr>
              </w:pPr>
            </w:p>
            <w:p w:rsidR="00182B92" w:rsidRPr="001B0D6F" w:rsidRDefault="00182B92" w:rsidP="00182B92">
              <w:pPr>
                <w:overflowPunct w:val="0"/>
                <w:autoSpaceDE w:val="0"/>
                <w:autoSpaceDN w:val="0"/>
                <w:adjustRightInd w:val="0"/>
                <w:snapToGrid w:val="0"/>
                <w:jc w:val="both"/>
                <w:textAlignment w:val="bottom"/>
                <w:rPr>
                  <w:rFonts w:cs="Arial"/>
                  <w:snapToGrid w:val="0"/>
                  <w:sz w:val="20"/>
                  <w:szCs w:val="20"/>
                </w:rPr>
              </w:pPr>
              <w:r w:rsidRPr="001B0D6F">
                <w:rPr>
                  <w:rFonts w:cs="Arial"/>
                  <w:snapToGrid w:val="0"/>
                  <w:sz w:val="20"/>
                  <w:szCs w:val="20"/>
                </w:rPr>
                <w:t>2018年股份支付计划</w:t>
              </w:r>
            </w:p>
            <w:p w:rsidR="00182B92" w:rsidRPr="001B0D6F" w:rsidRDefault="00182B92" w:rsidP="00182B92">
              <w:pPr>
                <w:overflowPunct w:val="0"/>
                <w:autoSpaceDE w:val="0"/>
                <w:autoSpaceDN w:val="0"/>
                <w:adjustRightInd w:val="0"/>
                <w:snapToGrid w:val="0"/>
                <w:jc w:val="both"/>
                <w:textAlignment w:val="bottom"/>
                <w:rPr>
                  <w:rFonts w:cs="Arial"/>
                  <w:snapToGrid w:val="0"/>
                  <w:sz w:val="20"/>
                  <w:szCs w:val="20"/>
                </w:rPr>
              </w:pPr>
            </w:p>
            <w:p w:rsidR="00182B92" w:rsidRPr="001B0D6F" w:rsidRDefault="00182B92" w:rsidP="00182B92">
              <w:pPr>
                <w:overflowPunct w:val="0"/>
                <w:autoSpaceDE w:val="0"/>
                <w:autoSpaceDN w:val="0"/>
                <w:adjustRightInd w:val="0"/>
                <w:snapToGrid w:val="0"/>
                <w:jc w:val="both"/>
                <w:textAlignment w:val="bottom"/>
                <w:rPr>
                  <w:rFonts w:cs="Arial"/>
                  <w:snapToGrid w:val="0"/>
                  <w:sz w:val="20"/>
                  <w:szCs w:val="20"/>
                </w:rPr>
              </w:pPr>
              <w:r w:rsidRPr="001B0D6F">
                <w:rPr>
                  <w:rFonts w:cs="Arial" w:hint="eastAsia"/>
                  <w:snapToGrid w:val="0"/>
                  <w:sz w:val="20"/>
                  <w:szCs w:val="20"/>
                </w:rPr>
                <w:t>本公司于2018年8月30日召开公司第七届董事会第二十五次会议，审议通过了《用友网络科技股份有限公司 2018 年股票期权与限制性股票激励计划（草 案）及摘要的议案》</w:t>
              </w:r>
              <w:r w:rsidRPr="001B0D6F">
                <w:rPr>
                  <w:rFonts w:cs="Arial"/>
                  <w:snapToGrid w:val="0"/>
                  <w:sz w:val="20"/>
                  <w:szCs w:val="20"/>
                </w:rPr>
                <w:t>并出具公告。2018年9月15日，公司2018年第二次临时股东大会审议并通过了《用友网络科技股份有限公司2017年股票期权与限制性股票激励计划（草案）及其摘要》，决定向激励对象授予股票期权与限制性股票(以下简称“2018年授予计划”)。本公司2018年授予计划的授予日为2018年10月17日。</w:t>
              </w:r>
            </w:p>
            <w:p w:rsidR="00182B92" w:rsidRPr="001B0D6F" w:rsidRDefault="00182B92" w:rsidP="00182B92">
              <w:pPr>
                <w:overflowPunct w:val="0"/>
                <w:autoSpaceDE w:val="0"/>
                <w:autoSpaceDN w:val="0"/>
                <w:adjustRightInd w:val="0"/>
                <w:snapToGrid w:val="0"/>
                <w:jc w:val="both"/>
                <w:textAlignment w:val="bottom"/>
                <w:rPr>
                  <w:rFonts w:cs="Arial"/>
                  <w:snapToGrid w:val="0"/>
                  <w:sz w:val="20"/>
                  <w:szCs w:val="20"/>
                </w:rPr>
              </w:pPr>
            </w:p>
            <w:p w:rsidR="00182B92" w:rsidRPr="001B0D6F" w:rsidRDefault="00182B92" w:rsidP="00182B92">
              <w:pPr>
                <w:overflowPunct w:val="0"/>
                <w:autoSpaceDE w:val="0"/>
                <w:autoSpaceDN w:val="0"/>
                <w:adjustRightInd w:val="0"/>
                <w:snapToGrid w:val="0"/>
                <w:jc w:val="both"/>
                <w:textAlignment w:val="bottom"/>
                <w:rPr>
                  <w:rFonts w:cs="Arial"/>
                  <w:snapToGrid w:val="0"/>
                  <w:sz w:val="20"/>
                  <w:szCs w:val="20"/>
                </w:rPr>
              </w:pPr>
              <w:r w:rsidRPr="001B0D6F">
                <w:rPr>
                  <w:rFonts w:cs="Arial"/>
                  <w:snapToGrid w:val="0"/>
                  <w:sz w:val="20"/>
                  <w:szCs w:val="20"/>
                </w:rPr>
                <w:t>（1）限制性股票激励计划</w:t>
              </w:r>
            </w:p>
            <w:p w:rsidR="00182B92" w:rsidRPr="001B0D6F" w:rsidRDefault="00182B92" w:rsidP="00182B92">
              <w:pPr>
                <w:overflowPunct w:val="0"/>
                <w:autoSpaceDE w:val="0"/>
                <w:autoSpaceDN w:val="0"/>
                <w:adjustRightInd w:val="0"/>
                <w:snapToGrid w:val="0"/>
                <w:jc w:val="both"/>
                <w:textAlignment w:val="bottom"/>
                <w:rPr>
                  <w:rFonts w:cs="Arial"/>
                  <w:snapToGrid w:val="0"/>
                  <w:sz w:val="20"/>
                  <w:szCs w:val="20"/>
                </w:rPr>
              </w:pPr>
            </w:p>
            <w:p w:rsidR="00182B92" w:rsidRPr="001B0D6F" w:rsidRDefault="00182B92" w:rsidP="00182B92">
              <w:pPr>
                <w:overflowPunct w:val="0"/>
                <w:autoSpaceDE w:val="0"/>
                <w:autoSpaceDN w:val="0"/>
                <w:adjustRightInd w:val="0"/>
                <w:snapToGrid w:val="0"/>
                <w:jc w:val="both"/>
                <w:textAlignment w:val="bottom"/>
                <w:rPr>
                  <w:rFonts w:cs="Arial"/>
                  <w:snapToGrid w:val="0"/>
                  <w:sz w:val="20"/>
                  <w:szCs w:val="20"/>
                </w:rPr>
              </w:pPr>
              <w:r w:rsidRPr="001B0D6F">
                <w:rPr>
                  <w:rFonts w:cs="Arial"/>
                  <w:snapToGrid w:val="0"/>
                  <w:sz w:val="20"/>
                  <w:szCs w:val="20"/>
                </w:rPr>
                <w:t>本公司2018年发行了新限制性股票激励计划，向28位激励对象授予限制性股票442,030股，限制性股票的授予价格为5.99元，股票来源为公司从二级市场回购的本公司A股普通股。获授的限制性股票应在授予日起满12个月后的未来36个月内分三期解锁。具体安排如下：</w:t>
              </w:r>
            </w:p>
            <w:p w:rsidR="00182B92" w:rsidRPr="001B0D6F" w:rsidRDefault="00182B92" w:rsidP="00182B92">
              <w:pPr>
                <w:overflowPunct w:val="0"/>
                <w:autoSpaceDE w:val="0"/>
                <w:autoSpaceDN w:val="0"/>
                <w:adjustRightInd w:val="0"/>
                <w:snapToGrid w:val="0"/>
                <w:jc w:val="both"/>
                <w:textAlignment w:val="bottom"/>
                <w:rPr>
                  <w:rFonts w:cs="Arial"/>
                  <w:snapToGrid w:val="0"/>
                  <w:sz w:val="20"/>
                  <w:szCs w:val="20"/>
                </w:rPr>
              </w:pPr>
            </w:p>
            <w:tbl>
              <w:tblPr>
                <w:tblStyle w:val="g35"/>
                <w:tblW w:w="8222" w:type="dxa"/>
                <w:tblLayout w:type="fixed"/>
                <w:tblLook w:val="01E0" w:firstRow="1" w:lastRow="1" w:firstColumn="1" w:lastColumn="1" w:noHBand="0" w:noVBand="0"/>
              </w:tblPr>
              <w:tblGrid>
                <w:gridCol w:w="1985"/>
                <w:gridCol w:w="5103"/>
                <w:gridCol w:w="1134"/>
              </w:tblGrid>
              <w:tr w:rsidR="00182B92" w:rsidRPr="001B0D6F" w:rsidTr="00182B92">
                <w:tc>
                  <w:tcPr>
                    <w:tcW w:w="1985" w:type="dxa"/>
                  </w:tcPr>
                  <w:p w:rsidR="00182B92" w:rsidRPr="001B0D6F" w:rsidRDefault="00182B92" w:rsidP="00182B92">
                    <w:pPr>
                      <w:tabs>
                        <w:tab w:val="right" w:pos="6480"/>
                        <w:tab w:val="right" w:pos="8280"/>
                      </w:tabs>
                      <w:spacing w:line="276" w:lineRule="auto"/>
                      <w:ind w:leftChars="-49" w:left="-103" w:right="-108"/>
                      <w:jc w:val="center"/>
                      <w:rPr>
                        <w:rFonts w:cs="Arial"/>
                        <w:snapToGrid w:val="0"/>
                        <w:sz w:val="20"/>
                        <w:szCs w:val="20"/>
                      </w:rPr>
                    </w:pPr>
                    <w:r w:rsidRPr="001B0D6F">
                      <w:rPr>
                        <w:rFonts w:cs="Arial"/>
                        <w:snapToGrid w:val="0"/>
                        <w:sz w:val="20"/>
                        <w:szCs w:val="20"/>
                      </w:rPr>
                      <w:t>解除限售安排</w:t>
                    </w:r>
                  </w:p>
                </w:tc>
                <w:tc>
                  <w:tcPr>
                    <w:tcW w:w="5103" w:type="dxa"/>
                  </w:tcPr>
                  <w:p w:rsidR="00182B92" w:rsidRPr="001B0D6F" w:rsidRDefault="00182B92" w:rsidP="00182B92">
                    <w:pPr>
                      <w:tabs>
                        <w:tab w:val="right" w:pos="6480"/>
                        <w:tab w:val="right" w:pos="8280"/>
                      </w:tabs>
                      <w:spacing w:line="276" w:lineRule="auto"/>
                      <w:ind w:leftChars="-49" w:left="-103" w:right="-108"/>
                      <w:jc w:val="center"/>
                      <w:rPr>
                        <w:rFonts w:cs="Arial"/>
                        <w:snapToGrid w:val="0"/>
                        <w:sz w:val="20"/>
                        <w:szCs w:val="20"/>
                      </w:rPr>
                    </w:pPr>
                    <w:r w:rsidRPr="001B0D6F">
                      <w:rPr>
                        <w:rFonts w:cs="Arial"/>
                        <w:snapToGrid w:val="0"/>
                        <w:sz w:val="20"/>
                        <w:szCs w:val="20"/>
                      </w:rPr>
                      <w:t>解锁时间</w:t>
                    </w:r>
                  </w:p>
                </w:tc>
                <w:tc>
                  <w:tcPr>
                    <w:tcW w:w="1134" w:type="dxa"/>
                  </w:tcPr>
                  <w:p w:rsidR="00182B92" w:rsidRPr="001B0D6F" w:rsidRDefault="00182B92" w:rsidP="00182B92">
                    <w:pPr>
                      <w:tabs>
                        <w:tab w:val="right" w:pos="6480"/>
                        <w:tab w:val="right" w:pos="8280"/>
                      </w:tabs>
                      <w:spacing w:line="276" w:lineRule="auto"/>
                      <w:ind w:right="-1"/>
                      <w:jc w:val="right"/>
                      <w:rPr>
                        <w:rFonts w:cs="Arial"/>
                        <w:snapToGrid w:val="0"/>
                        <w:sz w:val="20"/>
                        <w:szCs w:val="20"/>
                      </w:rPr>
                    </w:pPr>
                    <w:r w:rsidRPr="001B0D6F">
                      <w:rPr>
                        <w:rFonts w:cs="Arial"/>
                        <w:snapToGrid w:val="0"/>
                        <w:sz w:val="20"/>
                        <w:szCs w:val="20"/>
                      </w:rPr>
                      <w:t>解锁比例</w:t>
                    </w:r>
                  </w:p>
                </w:tc>
              </w:tr>
              <w:tr w:rsidR="00182B92" w:rsidRPr="001B0D6F" w:rsidTr="00182B92">
                <w:tc>
                  <w:tcPr>
                    <w:tcW w:w="1985" w:type="dxa"/>
                  </w:tcPr>
                  <w:p w:rsidR="00182B92" w:rsidRPr="001B0D6F" w:rsidRDefault="00182B92" w:rsidP="00182B92">
                    <w:pPr>
                      <w:autoSpaceDE w:val="0"/>
                      <w:autoSpaceDN w:val="0"/>
                      <w:snapToGrid w:val="0"/>
                      <w:spacing w:line="300" w:lineRule="exact"/>
                      <w:jc w:val="both"/>
                      <w:textAlignment w:val="bottom"/>
                      <w:rPr>
                        <w:rFonts w:cs="Arial"/>
                        <w:snapToGrid w:val="0"/>
                        <w:sz w:val="20"/>
                        <w:szCs w:val="20"/>
                      </w:rPr>
                    </w:pPr>
                    <w:r w:rsidRPr="001B0D6F">
                      <w:rPr>
                        <w:rFonts w:cs="Arial"/>
                        <w:snapToGrid w:val="0"/>
                        <w:sz w:val="20"/>
                        <w:szCs w:val="20"/>
                      </w:rPr>
                      <w:t>限制性股票第一个解除限售期</w:t>
                    </w:r>
                  </w:p>
                </w:tc>
                <w:tc>
                  <w:tcPr>
                    <w:tcW w:w="5103" w:type="dxa"/>
                  </w:tcPr>
                  <w:p w:rsidR="00182B92" w:rsidRPr="001B0D6F" w:rsidRDefault="00182B92" w:rsidP="00182B92">
                    <w:pPr>
                      <w:autoSpaceDE w:val="0"/>
                      <w:autoSpaceDN w:val="0"/>
                      <w:snapToGrid w:val="0"/>
                      <w:spacing w:line="300" w:lineRule="exact"/>
                      <w:jc w:val="both"/>
                      <w:textAlignment w:val="bottom"/>
                      <w:rPr>
                        <w:rFonts w:cs="Arial"/>
                        <w:snapToGrid w:val="0"/>
                        <w:sz w:val="20"/>
                        <w:szCs w:val="20"/>
                      </w:rPr>
                    </w:pPr>
                    <w:r w:rsidRPr="001B0D6F">
                      <w:rPr>
                        <w:rFonts w:cs="Arial"/>
                        <w:snapToGrid w:val="0"/>
                        <w:sz w:val="20"/>
                        <w:szCs w:val="20"/>
                      </w:rPr>
                      <w:t>自授予登记完成之日起12个月后的首个交易日，起至授予登记完成之日起24个月内的最后一个交易日当日止</w:t>
                    </w:r>
                  </w:p>
                </w:tc>
                <w:tc>
                  <w:tcPr>
                    <w:tcW w:w="1134" w:type="dxa"/>
                  </w:tcPr>
                  <w:p w:rsidR="00182B92" w:rsidRPr="001B0D6F" w:rsidRDefault="00182B92" w:rsidP="00182B92">
                    <w:pPr>
                      <w:autoSpaceDE w:val="0"/>
                      <w:autoSpaceDN w:val="0"/>
                      <w:snapToGrid w:val="0"/>
                      <w:spacing w:line="300" w:lineRule="exact"/>
                      <w:jc w:val="center"/>
                      <w:textAlignment w:val="bottom"/>
                      <w:rPr>
                        <w:rFonts w:cs="Arial"/>
                        <w:snapToGrid w:val="0"/>
                        <w:sz w:val="20"/>
                        <w:szCs w:val="20"/>
                      </w:rPr>
                    </w:pPr>
                    <w:r w:rsidRPr="001B0D6F">
                      <w:rPr>
                        <w:rFonts w:cs="Arial"/>
                        <w:snapToGrid w:val="0"/>
                        <w:sz w:val="20"/>
                        <w:szCs w:val="20"/>
                      </w:rPr>
                      <w:t>40%</w:t>
                    </w:r>
                  </w:p>
                </w:tc>
              </w:tr>
              <w:tr w:rsidR="00182B92" w:rsidRPr="001B0D6F" w:rsidTr="00182B92">
                <w:tc>
                  <w:tcPr>
                    <w:tcW w:w="1985" w:type="dxa"/>
                  </w:tcPr>
                  <w:p w:rsidR="00182B92" w:rsidRPr="001B0D6F" w:rsidRDefault="00182B92" w:rsidP="00182B92">
                    <w:pPr>
                      <w:autoSpaceDE w:val="0"/>
                      <w:autoSpaceDN w:val="0"/>
                      <w:snapToGrid w:val="0"/>
                      <w:spacing w:line="300" w:lineRule="exact"/>
                      <w:jc w:val="both"/>
                      <w:textAlignment w:val="bottom"/>
                      <w:rPr>
                        <w:rFonts w:cs="Arial"/>
                        <w:snapToGrid w:val="0"/>
                        <w:sz w:val="20"/>
                        <w:szCs w:val="20"/>
                      </w:rPr>
                    </w:pPr>
                    <w:r w:rsidRPr="001B0D6F">
                      <w:rPr>
                        <w:rFonts w:cs="Arial"/>
                        <w:snapToGrid w:val="0"/>
                        <w:sz w:val="20"/>
                        <w:szCs w:val="20"/>
                      </w:rPr>
                      <w:t>限制性股票第二个解除限售期</w:t>
                    </w:r>
                  </w:p>
                </w:tc>
                <w:tc>
                  <w:tcPr>
                    <w:tcW w:w="5103" w:type="dxa"/>
                  </w:tcPr>
                  <w:p w:rsidR="00182B92" w:rsidRPr="001B0D6F" w:rsidRDefault="00182B92" w:rsidP="00182B92">
                    <w:pPr>
                      <w:autoSpaceDE w:val="0"/>
                      <w:autoSpaceDN w:val="0"/>
                      <w:snapToGrid w:val="0"/>
                      <w:spacing w:line="300" w:lineRule="exact"/>
                      <w:jc w:val="both"/>
                      <w:textAlignment w:val="bottom"/>
                      <w:rPr>
                        <w:rFonts w:cs="Arial"/>
                        <w:snapToGrid w:val="0"/>
                        <w:sz w:val="20"/>
                        <w:szCs w:val="20"/>
                      </w:rPr>
                    </w:pPr>
                    <w:r w:rsidRPr="001B0D6F">
                      <w:rPr>
                        <w:rFonts w:cs="Arial"/>
                        <w:snapToGrid w:val="0"/>
                        <w:sz w:val="20"/>
                        <w:szCs w:val="20"/>
                      </w:rPr>
                      <w:t>自授予登记完成之日起24个月后的首个交易日，起至授予登记完成之日起36个月内的最后一个交易日当日止</w:t>
                    </w:r>
                  </w:p>
                </w:tc>
                <w:tc>
                  <w:tcPr>
                    <w:tcW w:w="1134" w:type="dxa"/>
                  </w:tcPr>
                  <w:p w:rsidR="00182B92" w:rsidRPr="001B0D6F" w:rsidRDefault="00182B92" w:rsidP="00182B92">
                    <w:pPr>
                      <w:autoSpaceDE w:val="0"/>
                      <w:autoSpaceDN w:val="0"/>
                      <w:snapToGrid w:val="0"/>
                      <w:spacing w:line="300" w:lineRule="exact"/>
                      <w:jc w:val="center"/>
                      <w:textAlignment w:val="bottom"/>
                      <w:rPr>
                        <w:rFonts w:cs="Arial"/>
                        <w:snapToGrid w:val="0"/>
                        <w:sz w:val="20"/>
                        <w:szCs w:val="20"/>
                      </w:rPr>
                    </w:pPr>
                    <w:r w:rsidRPr="001B0D6F">
                      <w:rPr>
                        <w:rFonts w:cs="Arial"/>
                        <w:snapToGrid w:val="0"/>
                        <w:sz w:val="20"/>
                        <w:szCs w:val="20"/>
                      </w:rPr>
                      <w:t>30%</w:t>
                    </w:r>
                  </w:p>
                </w:tc>
              </w:tr>
              <w:tr w:rsidR="00182B92" w:rsidRPr="001B0D6F" w:rsidTr="00182B92">
                <w:tc>
                  <w:tcPr>
                    <w:tcW w:w="1985" w:type="dxa"/>
                  </w:tcPr>
                  <w:p w:rsidR="00182B92" w:rsidRPr="001B0D6F" w:rsidRDefault="00182B92" w:rsidP="00182B92">
                    <w:pPr>
                      <w:autoSpaceDE w:val="0"/>
                      <w:autoSpaceDN w:val="0"/>
                      <w:snapToGrid w:val="0"/>
                      <w:spacing w:line="300" w:lineRule="exact"/>
                      <w:jc w:val="both"/>
                      <w:textAlignment w:val="bottom"/>
                      <w:rPr>
                        <w:rFonts w:cs="Arial"/>
                        <w:snapToGrid w:val="0"/>
                        <w:sz w:val="20"/>
                        <w:szCs w:val="20"/>
                      </w:rPr>
                    </w:pPr>
                    <w:r w:rsidRPr="001B0D6F">
                      <w:rPr>
                        <w:rFonts w:cs="Arial"/>
                        <w:snapToGrid w:val="0"/>
                        <w:sz w:val="20"/>
                        <w:szCs w:val="20"/>
                      </w:rPr>
                      <w:t>限制性股票第三个解除限售期</w:t>
                    </w:r>
                  </w:p>
                </w:tc>
                <w:tc>
                  <w:tcPr>
                    <w:tcW w:w="5103" w:type="dxa"/>
                  </w:tcPr>
                  <w:p w:rsidR="00182B92" w:rsidRPr="001B0D6F" w:rsidRDefault="00182B92" w:rsidP="00182B92">
                    <w:pPr>
                      <w:autoSpaceDE w:val="0"/>
                      <w:autoSpaceDN w:val="0"/>
                      <w:snapToGrid w:val="0"/>
                      <w:spacing w:line="300" w:lineRule="exact"/>
                      <w:jc w:val="both"/>
                      <w:textAlignment w:val="bottom"/>
                      <w:rPr>
                        <w:rFonts w:cs="Arial"/>
                        <w:snapToGrid w:val="0"/>
                        <w:sz w:val="20"/>
                        <w:szCs w:val="20"/>
                      </w:rPr>
                    </w:pPr>
                    <w:r w:rsidRPr="001B0D6F">
                      <w:rPr>
                        <w:rFonts w:cs="Arial"/>
                        <w:snapToGrid w:val="0"/>
                        <w:sz w:val="20"/>
                        <w:szCs w:val="20"/>
                      </w:rPr>
                      <w:t>自授予登记完成之日起36个月后的首个交易日，起至授予登记完成之日起48个月内的最后一个交易日当日止</w:t>
                    </w:r>
                  </w:p>
                </w:tc>
                <w:tc>
                  <w:tcPr>
                    <w:tcW w:w="1134" w:type="dxa"/>
                  </w:tcPr>
                  <w:p w:rsidR="00182B92" w:rsidRPr="001B0D6F" w:rsidRDefault="00182B92" w:rsidP="00182B92">
                    <w:pPr>
                      <w:autoSpaceDE w:val="0"/>
                      <w:autoSpaceDN w:val="0"/>
                      <w:snapToGrid w:val="0"/>
                      <w:spacing w:line="300" w:lineRule="exact"/>
                      <w:jc w:val="center"/>
                      <w:textAlignment w:val="bottom"/>
                      <w:rPr>
                        <w:rFonts w:cs="Arial"/>
                        <w:snapToGrid w:val="0"/>
                        <w:sz w:val="20"/>
                        <w:szCs w:val="20"/>
                      </w:rPr>
                    </w:pPr>
                    <w:r w:rsidRPr="001B0D6F">
                      <w:rPr>
                        <w:rFonts w:cs="Arial"/>
                        <w:snapToGrid w:val="0"/>
                        <w:sz w:val="20"/>
                        <w:szCs w:val="20"/>
                      </w:rPr>
                      <w:t>30%</w:t>
                    </w:r>
                  </w:p>
                </w:tc>
              </w:tr>
            </w:tbl>
            <w:p w:rsidR="00182B92" w:rsidRPr="001B0D6F" w:rsidRDefault="00182B92" w:rsidP="00182B92">
              <w:pPr>
                <w:overflowPunct w:val="0"/>
                <w:autoSpaceDE w:val="0"/>
                <w:autoSpaceDN w:val="0"/>
                <w:adjustRightInd w:val="0"/>
                <w:snapToGrid w:val="0"/>
                <w:ind w:leftChars="-23" w:left="-48"/>
                <w:jc w:val="both"/>
                <w:textAlignment w:val="bottom"/>
                <w:rPr>
                  <w:rFonts w:cs="Arial"/>
                  <w:snapToGrid w:val="0"/>
                  <w:sz w:val="20"/>
                  <w:szCs w:val="20"/>
                </w:rPr>
              </w:pPr>
            </w:p>
            <w:p w:rsidR="00182B92" w:rsidRPr="001B0D6F" w:rsidRDefault="00182B92" w:rsidP="00182B92">
              <w:pPr>
                <w:overflowPunct w:val="0"/>
                <w:autoSpaceDE w:val="0"/>
                <w:autoSpaceDN w:val="0"/>
                <w:adjustRightInd w:val="0"/>
                <w:snapToGrid w:val="0"/>
                <w:ind w:left="720" w:hanging="720"/>
                <w:jc w:val="both"/>
                <w:textAlignment w:val="bottom"/>
                <w:rPr>
                  <w:rFonts w:cs="Arial"/>
                  <w:snapToGrid w:val="0"/>
                  <w:sz w:val="20"/>
                  <w:szCs w:val="20"/>
                </w:rPr>
                <w:sectPr w:rsidR="00182B92" w:rsidRPr="001B0D6F" w:rsidSect="00182B92">
                  <w:pgSz w:w="11907" w:h="16840" w:code="9"/>
                  <w:pgMar w:top="1440" w:right="1797" w:bottom="1440" w:left="1797" w:header="720" w:footer="720" w:gutter="0"/>
                  <w:cols w:space="720"/>
                  <w:titlePg/>
                  <w:docGrid w:linePitch="360"/>
                </w:sectPr>
              </w:pPr>
            </w:p>
            <w:p w:rsidR="00182B92" w:rsidRPr="001B0D6F" w:rsidRDefault="00182B92" w:rsidP="00182B92">
              <w:pPr>
                <w:overflowPunct w:val="0"/>
                <w:autoSpaceDE w:val="0"/>
                <w:autoSpaceDN w:val="0"/>
                <w:adjustRightInd w:val="0"/>
                <w:snapToGrid w:val="0"/>
                <w:jc w:val="both"/>
                <w:textAlignment w:val="bottom"/>
                <w:rPr>
                  <w:rFonts w:cs="Arial"/>
                  <w:snapToGrid w:val="0"/>
                  <w:sz w:val="20"/>
                  <w:szCs w:val="20"/>
                </w:rPr>
              </w:pPr>
            </w:p>
            <w:p w:rsidR="00182B92" w:rsidRPr="001B0D6F" w:rsidRDefault="00182B92" w:rsidP="00182B92">
              <w:pPr>
                <w:overflowPunct w:val="0"/>
                <w:autoSpaceDE w:val="0"/>
                <w:autoSpaceDN w:val="0"/>
                <w:adjustRightInd w:val="0"/>
                <w:snapToGrid w:val="0"/>
                <w:jc w:val="both"/>
                <w:textAlignment w:val="bottom"/>
                <w:rPr>
                  <w:rFonts w:cs="Arial"/>
                  <w:snapToGrid w:val="0"/>
                  <w:sz w:val="20"/>
                  <w:szCs w:val="20"/>
                </w:rPr>
              </w:pPr>
            </w:p>
            <w:p w:rsidR="00182B92" w:rsidRPr="001B0D6F" w:rsidRDefault="00182B92" w:rsidP="00182B92">
              <w:pPr>
                <w:overflowPunct w:val="0"/>
                <w:autoSpaceDE w:val="0"/>
                <w:autoSpaceDN w:val="0"/>
                <w:adjustRightInd w:val="0"/>
                <w:snapToGrid w:val="0"/>
                <w:ind w:left="14" w:firstLine="14"/>
                <w:jc w:val="both"/>
                <w:textAlignment w:val="bottom"/>
                <w:rPr>
                  <w:rFonts w:cs="Arial"/>
                  <w:snapToGrid w:val="0"/>
                  <w:sz w:val="20"/>
                  <w:szCs w:val="20"/>
                </w:rPr>
              </w:pPr>
              <w:r w:rsidRPr="001B0D6F">
                <w:rPr>
                  <w:rFonts w:cs="Arial"/>
                  <w:snapToGrid w:val="0"/>
                  <w:sz w:val="20"/>
                  <w:szCs w:val="20"/>
                </w:rPr>
                <w:t>公司未满足上述业绩考核目标的，激励对象对应期间获授的限制性股票均不得解除限售，由公司回购注销，回购价格为授予价格。</w:t>
              </w:r>
            </w:p>
            <w:p w:rsidR="00182B92" w:rsidRPr="001B0D6F" w:rsidRDefault="00182B92" w:rsidP="00182B92">
              <w:pPr>
                <w:overflowPunct w:val="0"/>
                <w:autoSpaceDE w:val="0"/>
                <w:autoSpaceDN w:val="0"/>
                <w:adjustRightInd w:val="0"/>
                <w:snapToGrid w:val="0"/>
                <w:jc w:val="both"/>
                <w:textAlignment w:val="bottom"/>
                <w:rPr>
                  <w:rFonts w:cs="Arial"/>
                  <w:snapToGrid w:val="0"/>
                  <w:sz w:val="20"/>
                  <w:szCs w:val="20"/>
                </w:rPr>
              </w:pPr>
            </w:p>
            <w:p w:rsidR="00182B92" w:rsidRPr="001B0D6F" w:rsidRDefault="00182B92" w:rsidP="00182B92">
              <w:pPr>
                <w:overflowPunct w:val="0"/>
                <w:autoSpaceDE w:val="0"/>
                <w:autoSpaceDN w:val="0"/>
                <w:adjustRightInd w:val="0"/>
                <w:snapToGrid w:val="0"/>
                <w:jc w:val="both"/>
                <w:textAlignment w:val="bottom"/>
                <w:rPr>
                  <w:rFonts w:cs="Arial"/>
                  <w:snapToGrid w:val="0"/>
                  <w:sz w:val="20"/>
                  <w:szCs w:val="20"/>
                </w:rPr>
              </w:pPr>
              <w:r w:rsidRPr="001B0D6F">
                <w:rPr>
                  <w:rFonts w:cs="Arial"/>
                  <w:snapToGrid w:val="0"/>
                  <w:sz w:val="20"/>
                  <w:szCs w:val="20"/>
                </w:rPr>
                <w:t>（2）股票期权激励计划</w:t>
              </w:r>
            </w:p>
            <w:p w:rsidR="00182B92" w:rsidRPr="001B0D6F" w:rsidRDefault="00182B92" w:rsidP="00182B92">
              <w:pPr>
                <w:overflowPunct w:val="0"/>
                <w:autoSpaceDE w:val="0"/>
                <w:autoSpaceDN w:val="0"/>
                <w:adjustRightInd w:val="0"/>
                <w:snapToGrid w:val="0"/>
                <w:jc w:val="both"/>
                <w:textAlignment w:val="bottom"/>
                <w:rPr>
                  <w:rFonts w:cs="Arial"/>
                  <w:snapToGrid w:val="0"/>
                  <w:sz w:val="20"/>
                  <w:szCs w:val="20"/>
                </w:rPr>
              </w:pPr>
            </w:p>
            <w:p w:rsidR="00182B92" w:rsidRPr="001B0D6F" w:rsidRDefault="00182B92" w:rsidP="00182B92">
              <w:pPr>
                <w:overflowPunct w:val="0"/>
                <w:autoSpaceDE w:val="0"/>
                <w:autoSpaceDN w:val="0"/>
                <w:adjustRightInd w:val="0"/>
                <w:snapToGrid w:val="0"/>
                <w:jc w:val="both"/>
                <w:textAlignment w:val="bottom"/>
                <w:rPr>
                  <w:rFonts w:cs="Arial"/>
                  <w:snapToGrid w:val="0"/>
                  <w:sz w:val="20"/>
                  <w:szCs w:val="20"/>
                </w:rPr>
              </w:pPr>
              <w:r w:rsidRPr="001B0D6F">
                <w:rPr>
                  <w:rFonts w:cs="Arial"/>
                  <w:snapToGrid w:val="0"/>
                  <w:sz w:val="20"/>
                  <w:szCs w:val="20"/>
                </w:rPr>
                <w:t>2018年本公司发行了股票期权激励计划，向28名激励对象授予883</w:t>
              </w:r>
              <w:r w:rsidRPr="001B0D6F">
                <w:rPr>
                  <w:rFonts w:cs="Arial" w:hint="eastAsia"/>
                  <w:snapToGrid w:val="0"/>
                  <w:sz w:val="20"/>
                  <w:szCs w:val="20"/>
                </w:rPr>
                <w:t>,</w:t>
              </w:r>
              <w:r w:rsidRPr="001B0D6F">
                <w:rPr>
                  <w:rFonts w:cs="Arial"/>
                  <w:snapToGrid w:val="0"/>
                  <w:sz w:val="20"/>
                  <w:szCs w:val="20"/>
                </w:rPr>
                <w:t>970份股票期权，行权价格为28.18元/份。股票期权的行权期及各期行权时间安排如下表所示：</w:t>
              </w:r>
            </w:p>
            <w:p w:rsidR="00182B92" w:rsidRPr="001B0D6F" w:rsidRDefault="00182B92" w:rsidP="00182B92">
              <w:pPr>
                <w:overflowPunct w:val="0"/>
                <w:autoSpaceDE w:val="0"/>
                <w:autoSpaceDN w:val="0"/>
                <w:adjustRightInd w:val="0"/>
                <w:snapToGrid w:val="0"/>
                <w:jc w:val="both"/>
                <w:textAlignment w:val="bottom"/>
                <w:rPr>
                  <w:rFonts w:cs="Arial"/>
                  <w:snapToGrid w:val="0"/>
                  <w:sz w:val="20"/>
                  <w:szCs w:val="20"/>
                </w:rPr>
              </w:pPr>
            </w:p>
            <w:tbl>
              <w:tblPr>
                <w:tblStyle w:val="g35"/>
                <w:tblW w:w="8315" w:type="dxa"/>
                <w:tblLayout w:type="fixed"/>
                <w:tblLook w:val="0000" w:firstRow="0" w:lastRow="0" w:firstColumn="0" w:lastColumn="0" w:noHBand="0" w:noVBand="0"/>
              </w:tblPr>
              <w:tblGrid>
                <w:gridCol w:w="1413"/>
                <w:gridCol w:w="4819"/>
                <w:gridCol w:w="2083"/>
              </w:tblGrid>
              <w:tr w:rsidR="00182B92" w:rsidRPr="001B0D6F" w:rsidTr="00182B92">
                <w:trPr>
                  <w:trHeight w:val="294"/>
                </w:trPr>
                <w:tc>
                  <w:tcPr>
                    <w:tcW w:w="1413" w:type="dxa"/>
                  </w:tcPr>
                  <w:p w:rsidR="00182B92" w:rsidRPr="001B0D6F" w:rsidRDefault="00182B92" w:rsidP="00182B92">
                    <w:pPr>
                      <w:autoSpaceDE w:val="0"/>
                      <w:autoSpaceDN w:val="0"/>
                      <w:spacing w:line="240" w:lineRule="exact"/>
                      <w:jc w:val="center"/>
                      <w:rPr>
                        <w:rFonts w:cs="Arial"/>
                        <w:snapToGrid w:val="0"/>
                        <w:sz w:val="20"/>
                        <w:szCs w:val="20"/>
                      </w:rPr>
                    </w:pPr>
                    <w:r w:rsidRPr="001B0D6F">
                      <w:rPr>
                        <w:rFonts w:cs="Arial"/>
                        <w:snapToGrid w:val="0"/>
                        <w:sz w:val="20"/>
                        <w:szCs w:val="20"/>
                      </w:rPr>
                      <w:t xml:space="preserve">行权期 </w:t>
                    </w:r>
                  </w:p>
                </w:tc>
                <w:tc>
                  <w:tcPr>
                    <w:tcW w:w="4819" w:type="dxa"/>
                  </w:tcPr>
                  <w:p w:rsidR="00182B92" w:rsidRPr="001B0D6F" w:rsidRDefault="00182B92" w:rsidP="00182B92">
                    <w:pPr>
                      <w:autoSpaceDE w:val="0"/>
                      <w:autoSpaceDN w:val="0"/>
                      <w:spacing w:line="240" w:lineRule="exact"/>
                      <w:jc w:val="center"/>
                      <w:rPr>
                        <w:rFonts w:cs="Arial"/>
                        <w:snapToGrid w:val="0"/>
                        <w:sz w:val="20"/>
                        <w:szCs w:val="20"/>
                      </w:rPr>
                    </w:pPr>
                    <w:r w:rsidRPr="001B0D6F">
                      <w:rPr>
                        <w:rFonts w:cs="Arial"/>
                        <w:snapToGrid w:val="0"/>
                        <w:sz w:val="20"/>
                        <w:szCs w:val="20"/>
                      </w:rPr>
                      <w:t xml:space="preserve">行权时间 </w:t>
                    </w:r>
                  </w:p>
                </w:tc>
                <w:tc>
                  <w:tcPr>
                    <w:tcW w:w="2083" w:type="dxa"/>
                  </w:tcPr>
                  <w:p w:rsidR="00182B92" w:rsidRPr="001B0D6F" w:rsidRDefault="00182B92" w:rsidP="00182B92">
                    <w:pPr>
                      <w:autoSpaceDE w:val="0"/>
                      <w:autoSpaceDN w:val="0"/>
                      <w:spacing w:line="240" w:lineRule="exact"/>
                      <w:ind w:right="-38"/>
                      <w:jc w:val="center"/>
                      <w:rPr>
                        <w:rFonts w:cs="Arial"/>
                        <w:snapToGrid w:val="0"/>
                        <w:sz w:val="20"/>
                        <w:szCs w:val="20"/>
                      </w:rPr>
                    </w:pPr>
                    <w:r w:rsidRPr="001B0D6F">
                      <w:rPr>
                        <w:rFonts w:cs="Arial"/>
                        <w:snapToGrid w:val="0"/>
                        <w:sz w:val="20"/>
                        <w:szCs w:val="20"/>
                      </w:rPr>
                      <w:t xml:space="preserve">可行权数量占获授期权数量比例 </w:t>
                    </w:r>
                  </w:p>
                </w:tc>
              </w:tr>
              <w:tr w:rsidR="00182B92" w:rsidRPr="001B0D6F" w:rsidTr="00182B92">
                <w:trPr>
                  <w:trHeight w:val="294"/>
                </w:trPr>
                <w:tc>
                  <w:tcPr>
                    <w:tcW w:w="1413" w:type="dxa"/>
                  </w:tcPr>
                  <w:p w:rsidR="00182B92" w:rsidRPr="001B0D6F" w:rsidRDefault="00182B92" w:rsidP="00182B92">
                    <w:pPr>
                      <w:autoSpaceDE w:val="0"/>
                      <w:autoSpaceDN w:val="0"/>
                      <w:spacing w:line="240" w:lineRule="exact"/>
                      <w:jc w:val="center"/>
                      <w:rPr>
                        <w:rFonts w:cs="Arial"/>
                        <w:snapToGrid w:val="0"/>
                        <w:sz w:val="20"/>
                        <w:szCs w:val="20"/>
                      </w:rPr>
                    </w:pPr>
                  </w:p>
                </w:tc>
                <w:tc>
                  <w:tcPr>
                    <w:tcW w:w="4819" w:type="dxa"/>
                  </w:tcPr>
                  <w:p w:rsidR="00182B92" w:rsidRPr="001B0D6F" w:rsidRDefault="00182B92" w:rsidP="00182B92">
                    <w:pPr>
                      <w:autoSpaceDE w:val="0"/>
                      <w:autoSpaceDN w:val="0"/>
                      <w:spacing w:line="240" w:lineRule="exact"/>
                      <w:jc w:val="center"/>
                      <w:rPr>
                        <w:rFonts w:cs="Arial"/>
                        <w:snapToGrid w:val="0"/>
                        <w:sz w:val="20"/>
                        <w:szCs w:val="20"/>
                      </w:rPr>
                    </w:pPr>
                  </w:p>
                </w:tc>
                <w:tc>
                  <w:tcPr>
                    <w:tcW w:w="2083" w:type="dxa"/>
                  </w:tcPr>
                  <w:p w:rsidR="00182B92" w:rsidRPr="001B0D6F" w:rsidRDefault="00182B92" w:rsidP="00182B92">
                    <w:pPr>
                      <w:autoSpaceDE w:val="0"/>
                      <w:autoSpaceDN w:val="0"/>
                      <w:spacing w:line="240" w:lineRule="exact"/>
                      <w:jc w:val="center"/>
                      <w:rPr>
                        <w:rFonts w:cs="Arial"/>
                        <w:snapToGrid w:val="0"/>
                        <w:sz w:val="20"/>
                        <w:szCs w:val="20"/>
                      </w:rPr>
                    </w:pPr>
                  </w:p>
                </w:tc>
              </w:tr>
              <w:tr w:rsidR="00182B92" w:rsidRPr="001B0D6F" w:rsidTr="00182B92">
                <w:trPr>
                  <w:trHeight w:val="479"/>
                </w:trPr>
                <w:tc>
                  <w:tcPr>
                    <w:tcW w:w="1413" w:type="dxa"/>
                  </w:tcPr>
                  <w:p w:rsidR="00182B92" w:rsidRPr="001B0D6F" w:rsidRDefault="00182B92" w:rsidP="00182B92">
                    <w:pPr>
                      <w:autoSpaceDE w:val="0"/>
                      <w:autoSpaceDN w:val="0"/>
                      <w:spacing w:line="240" w:lineRule="exact"/>
                      <w:ind w:left="-409" w:firstLine="315"/>
                      <w:rPr>
                        <w:rFonts w:cs="Arial"/>
                        <w:snapToGrid w:val="0"/>
                        <w:sz w:val="20"/>
                        <w:szCs w:val="20"/>
                      </w:rPr>
                    </w:pPr>
                    <w:r w:rsidRPr="001B0D6F">
                      <w:rPr>
                        <w:rFonts w:cs="Arial"/>
                        <w:color w:val="000000"/>
                        <w:sz w:val="20"/>
                        <w:szCs w:val="20"/>
                      </w:rPr>
                      <w:t>第一个行权期</w:t>
                    </w:r>
                  </w:p>
                </w:tc>
                <w:tc>
                  <w:tcPr>
                    <w:tcW w:w="4819" w:type="dxa"/>
                  </w:tcPr>
                  <w:p w:rsidR="00182B92" w:rsidRPr="001B0D6F" w:rsidRDefault="00182B92" w:rsidP="00182B92">
                    <w:pPr>
                      <w:autoSpaceDE w:val="0"/>
                      <w:autoSpaceDN w:val="0"/>
                      <w:spacing w:line="240" w:lineRule="exact"/>
                      <w:ind w:left="-409" w:firstLine="315"/>
                      <w:jc w:val="center"/>
                      <w:rPr>
                        <w:rFonts w:cs="Arial"/>
                        <w:color w:val="000000"/>
                        <w:sz w:val="20"/>
                        <w:szCs w:val="20"/>
                      </w:rPr>
                    </w:pPr>
                    <w:r w:rsidRPr="001B0D6F">
                      <w:rPr>
                        <w:rFonts w:cs="Arial"/>
                        <w:color w:val="000000"/>
                        <w:sz w:val="20"/>
                        <w:szCs w:val="20"/>
                      </w:rPr>
                      <w:t>自授予登记完成之日起12个月后的首个交易日，起至授予登记完成之日起24个月内的最后一个交易日当日止</w:t>
                    </w:r>
                  </w:p>
                </w:tc>
                <w:tc>
                  <w:tcPr>
                    <w:tcW w:w="2083" w:type="dxa"/>
                  </w:tcPr>
                  <w:p w:rsidR="00182B92" w:rsidRPr="001B0D6F" w:rsidRDefault="00182B92" w:rsidP="00182B92">
                    <w:pPr>
                      <w:autoSpaceDE w:val="0"/>
                      <w:autoSpaceDN w:val="0"/>
                      <w:spacing w:line="240" w:lineRule="exact"/>
                      <w:jc w:val="center"/>
                      <w:rPr>
                        <w:rFonts w:cs="Arial"/>
                        <w:snapToGrid w:val="0"/>
                        <w:sz w:val="20"/>
                        <w:szCs w:val="20"/>
                      </w:rPr>
                    </w:pPr>
                    <w:r w:rsidRPr="001B0D6F">
                      <w:rPr>
                        <w:rFonts w:cs="Arial"/>
                        <w:color w:val="000000"/>
                        <w:sz w:val="20"/>
                        <w:szCs w:val="20"/>
                      </w:rPr>
                      <w:t>40%</w:t>
                    </w:r>
                  </w:p>
                </w:tc>
              </w:tr>
              <w:tr w:rsidR="00182B92" w:rsidRPr="001B0D6F" w:rsidTr="00182B92">
                <w:trPr>
                  <w:trHeight w:val="479"/>
                </w:trPr>
                <w:tc>
                  <w:tcPr>
                    <w:tcW w:w="1413" w:type="dxa"/>
                  </w:tcPr>
                  <w:p w:rsidR="00182B92" w:rsidRPr="001B0D6F" w:rsidRDefault="00182B92" w:rsidP="00182B92">
                    <w:pPr>
                      <w:autoSpaceDE w:val="0"/>
                      <w:autoSpaceDN w:val="0"/>
                      <w:spacing w:line="240" w:lineRule="exact"/>
                      <w:ind w:left="-409" w:firstLine="315"/>
                      <w:rPr>
                        <w:rFonts w:cs="Arial"/>
                        <w:color w:val="000000"/>
                        <w:sz w:val="20"/>
                        <w:szCs w:val="20"/>
                      </w:rPr>
                    </w:pPr>
                    <w:r w:rsidRPr="001B0D6F">
                      <w:rPr>
                        <w:rFonts w:cs="Arial"/>
                        <w:color w:val="000000"/>
                        <w:sz w:val="20"/>
                        <w:szCs w:val="20"/>
                      </w:rPr>
                      <w:t>第二个行权期</w:t>
                    </w:r>
                  </w:p>
                </w:tc>
                <w:tc>
                  <w:tcPr>
                    <w:tcW w:w="4819" w:type="dxa"/>
                  </w:tcPr>
                  <w:p w:rsidR="00182B92" w:rsidRPr="001B0D6F" w:rsidRDefault="00182B92" w:rsidP="00182B92">
                    <w:pPr>
                      <w:autoSpaceDE w:val="0"/>
                      <w:autoSpaceDN w:val="0"/>
                      <w:spacing w:line="240" w:lineRule="exact"/>
                      <w:ind w:left="-409" w:firstLine="315"/>
                      <w:jc w:val="center"/>
                      <w:rPr>
                        <w:rFonts w:cs="Arial"/>
                        <w:color w:val="000000"/>
                        <w:sz w:val="20"/>
                        <w:szCs w:val="20"/>
                      </w:rPr>
                    </w:pPr>
                    <w:r w:rsidRPr="001B0D6F">
                      <w:rPr>
                        <w:rFonts w:cs="Arial"/>
                        <w:color w:val="000000"/>
                        <w:sz w:val="20"/>
                        <w:szCs w:val="20"/>
                      </w:rPr>
                      <w:t>自授予登记完成之日起24个月后的首个交易日，起至授予登记完成之日起36个月内的最后一个交易日当日止</w:t>
                    </w:r>
                  </w:p>
                </w:tc>
                <w:tc>
                  <w:tcPr>
                    <w:tcW w:w="2083" w:type="dxa"/>
                  </w:tcPr>
                  <w:p w:rsidR="00182B92" w:rsidRPr="001B0D6F" w:rsidRDefault="00182B92" w:rsidP="00182B92">
                    <w:pPr>
                      <w:autoSpaceDE w:val="0"/>
                      <w:autoSpaceDN w:val="0"/>
                      <w:spacing w:line="240" w:lineRule="exact"/>
                      <w:jc w:val="center"/>
                      <w:rPr>
                        <w:rFonts w:cs="Arial"/>
                        <w:snapToGrid w:val="0"/>
                        <w:sz w:val="20"/>
                        <w:szCs w:val="20"/>
                      </w:rPr>
                    </w:pPr>
                    <w:r w:rsidRPr="001B0D6F">
                      <w:rPr>
                        <w:rFonts w:cs="Arial"/>
                        <w:color w:val="000000"/>
                        <w:sz w:val="20"/>
                        <w:szCs w:val="20"/>
                      </w:rPr>
                      <w:t>30%</w:t>
                    </w:r>
                  </w:p>
                </w:tc>
              </w:tr>
              <w:tr w:rsidR="00182B92" w:rsidRPr="001B0D6F" w:rsidTr="00182B92">
                <w:trPr>
                  <w:trHeight w:val="479"/>
                </w:trPr>
                <w:tc>
                  <w:tcPr>
                    <w:tcW w:w="1413" w:type="dxa"/>
                  </w:tcPr>
                  <w:p w:rsidR="00182B92" w:rsidRPr="001B0D6F" w:rsidRDefault="00182B92" w:rsidP="00182B92">
                    <w:pPr>
                      <w:autoSpaceDE w:val="0"/>
                      <w:autoSpaceDN w:val="0"/>
                      <w:spacing w:line="240" w:lineRule="exact"/>
                      <w:ind w:left="-409" w:firstLine="315"/>
                      <w:rPr>
                        <w:rFonts w:cs="Arial"/>
                        <w:color w:val="000000"/>
                        <w:sz w:val="20"/>
                        <w:szCs w:val="20"/>
                      </w:rPr>
                    </w:pPr>
                    <w:r w:rsidRPr="001B0D6F">
                      <w:rPr>
                        <w:rFonts w:cs="Arial"/>
                        <w:color w:val="000000"/>
                        <w:sz w:val="20"/>
                        <w:szCs w:val="20"/>
                      </w:rPr>
                      <w:t>第三个行权期</w:t>
                    </w:r>
                  </w:p>
                </w:tc>
                <w:tc>
                  <w:tcPr>
                    <w:tcW w:w="4819" w:type="dxa"/>
                  </w:tcPr>
                  <w:p w:rsidR="00182B92" w:rsidRPr="001B0D6F" w:rsidRDefault="00182B92" w:rsidP="00182B92">
                    <w:pPr>
                      <w:autoSpaceDE w:val="0"/>
                      <w:autoSpaceDN w:val="0"/>
                      <w:spacing w:line="240" w:lineRule="exact"/>
                      <w:ind w:left="-409" w:firstLine="315"/>
                      <w:jc w:val="center"/>
                      <w:rPr>
                        <w:rFonts w:cs="Arial"/>
                        <w:color w:val="000000"/>
                        <w:sz w:val="20"/>
                        <w:szCs w:val="20"/>
                      </w:rPr>
                    </w:pPr>
                    <w:r w:rsidRPr="001B0D6F">
                      <w:rPr>
                        <w:rFonts w:cs="Arial"/>
                        <w:color w:val="000000"/>
                        <w:sz w:val="20"/>
                        <w:szCs w:val="20"/>
                      </w:rPr>
                      <w:t>自授予登记完成之日起36个月后的首个交易日，起至授予登记完成之日起48个月内的最后一个交易日当日止</w:t>
                    </w:r>
                  </w:p>
                </w:tc>
                <w:tc>
                  <w:tcPr>
                    <w:tcW w:w="2083" w:type="dxa"/>
                  </w:tcPr>
                  <w:p w:rsidR="00182B92" w:rsidRPr="001B0D6F" w:rsidRDefault="00182B92" w:rsidP="00182B92">
                    <w:pPr>
                      <w:autoSpaceDE w:val="0"/>
                      <w:autoSpaceDN w:val="0"/>
                      <w:spacing w:line="240" w:lineRule="exact"/>
                      <w:jc w:val="center"/>
                      <w:rPr>
                        <w:rFonts w:cs="Arial"/>
                        <w:snapToGrid w:val="0"/>
                        <w:sz w:val="20"/>
                        <w:szCs w:val="20"/>
                      </w:rPr>
                    </w:pPr>
                    <w:r w:rsidRPr="001B0D6F">
                      <w:rPr>
                        <w:rFonts w:cs="Arial"/>
                        <w:color w:val="000000"/>
                        <w:sz w:val="20"/>
                        <w:szCs w:val="20"/>
                      </w:rPr>
                      <w:t>30%</w:t>
                    </w:r>
                  </w:p>
                </w:tc>
              </w:tr>
            </w:tbl>
            <w:p w:rsidR="00182B92" w:rsidRPr="001B0D6F" w:rsidRDefault="00182B92" w:rsidP="00182B92">
              <w:pPr>
                <w:overflowPunct w:val="0"/>
                <w:autoSpaceDE w:val="0"/>
                <w:autoSpaceDN w:val="0"/>
                <w:adjustRightInd w:val="0"/>
                <w:snapToGrid w:val="0"/>
                <w:jc w:val="both"/>
                <w:textAlignment w:val="bottom"/>
                <w:rPr>
                  <w:rFonts w:cs="Arial"/>
                  <w:snapToGrid w:val="0"/>
                  <w:sz w:val="20"/>
                  <w:szCs w:val="20"/>
                </w:rPr>
              </w:pPr>
            </w:p>
            <w:p w:rsidR="00182B92" w:rsidRPr="001B0D6F" w:rsidRDefault="00182B92" w:rsidP="00182B92">
              <w:pPr>
                <w:overflowPunct w:val="0"/>
                <w:autoSpaceDE w:val="0"/>
                <w:autoSpaceDN w:val="0"/>
                <w:adjustRightInd w:val="0"/>
                <w:snapToGrid w:val="0"/>
                <w:jc w:val="both"/>
                <w:textAlignment w:val="bottom"/>
                <w:rPr>
                  <w:rFonts w:cs="Arial"/>
                  <w:snapToGrid w:val="0"/>
                  <w:sz w:val="20"/>
                  <w:szCs w:val="20"/>
                </w:rPr>
              </w:pPr>
              <w:r w:rsidRPr="001B0D6F">
                <w:rPr>
                  <w:rFonts w:cs="Arial"/>
                  <w:snapToGrid w:val="0"/>
                  <w:sz w:val="20"/>
                  <w:szCs w:val="20"/>
                </w:rPr>
                <w:t>在行权期内，如达到相应的行权期规定的行权条件，则激励对象可以在该行权期内行权；如未达到行权条件或激励对象在行权期内未行权，该部分股票期权由本公司注销。</w:t>
              </w:r>
            </w:p>
            <w:p w:rsidR="00182B92" w:rsidRPr="001B0D6F" w:rsidRDefault="00182B92" w:rsidP="00182B92">
              <w:pPr>
                <w:overflowPunct w:val="0"/>
                <w:autoSpaceDE w:val="0"/>
                <w:autoSpaceDN w:val="0"/>
                <w:adjustRightInd w:val="0"/>
                <w:snapToGrid w:val="0"/>
                <w:jc w:val="both"/>
                <w:textAlignment w:val="bottom"/>
                <w:rPr>
                  <w:rFonts w:cs="Arial"/>
                  <w:snapToGrid w:val="0"/>
                  <w:sz w:val="20"/>
                  <w:szCs w:val="20"/>
                </w:rPr>
              </w:pPr>
            </w:p>
            <w:p w:rsidR="00182B92" w:rsidRPr="001B0D6F" w:rsidRDefault="00182B92" w:rsidP="00182B92">
              <w:pPr>
                <w:overflowPunct w:val="0"/>
                <w:autoSpaceDE w:val="0"/>
                <w:autoSpaceDN w:val="0"/>
                <w:adjustRightInd w:val="0"/>
                <w:snapToGrid w:val="0"/>
                <w:jc w:val="both"/>
                <w:textAlignment w:val="bottom"/>
                <w:rPr>
                  <w:rFonts w:cs="Arial"/>
                  <w:snapToGrid w:val="0"/>
                  <w:sz w:val="20"/>
                  <w:szCs w:val="20"/>
                </w:rPr>
              </w:pPr>
              <w:r w:rsidRPr="001B0D6F">
                <w:rPr>
                  <w:rFonts w:cs="Arial"/>
                  <w:snapToGrid w:val="0"/>
                  <w:sz w:val="20"/>
                  <w:szCs w:val="20"/>
                </w:rPr>
                <w:t>授予的以权益结算的股份支付于授予日的公允价值，采用布莱克-斯科尔斯模型，结合授予股份的条款和条件，作出估计。下表列示了所用模型的输入变量：</w:t>
              </w:r>
            </w:p>
            <w:tbl>
              <w:tblPr>
                <w:tblStyle w:val="g35"/>
                <w:tblW w:w="5000" w:type="pct"/>
                <w:tblLook w:val="04A0" w:firstRow="1" w:lastRow="0" w:firstColumn="1" w:lastColumn="0" w:noHBand="0" w:noVBand="1"/>
              </w:tblPr>
              <w:tblGrid>
                <w:gridCol w:w="3413"/>
                <w:gridCol w:w="1599"/>
                <w:gridCol w:w="1608"/>
                <w:gridCol w:w="1693"/>
              </w:tblGrid>
              <w:tr w:rsidR="00182B92" w:rsidRPr="001B0D6F" w:rsidTr="00182B92">
                <w:trPr>
                  <w:trHeight w:val="159"/>
                </w:trPr>
                <w:tc>
                  <w:tcPr>
                    <w:tcW w:w="2052" w:type="pct"/>
                    <w:tcBorders>
                      <w:top w:val="nil"/>
                      <w:left w:val="nil"/>
                      <w:bottom w:val="nil"/>
                      <w:right w:val="nil"/>
                    </w:tcBorders>
                    <w:shd w:val="clear" w:color="auto" w:fill="auto"/>
                    <w:noWrap/>
                    <w:vAlign w:val="bottom"/>
                    <w:hideMark/>
                  </w:tcPr>
                  <w:p w:rsidR="00182B92" w:rsidRPr="001B0D6F" w:rsidRDefault="00182B92" w:rsidP="00182B92">
                    <w:pPr>
                      <w:autoSpaceDE w:val="0"/>
                      <w:autoSpaceDN w:val="0"/>
                      <w:snapToGrid w:val="0"/>
                      <w:spacing w:line="300" w:lineRule="exact"/>
                      <w:ind w:left="567"/>
                      <w:jc w:val="both"/>
                      <w:textAlignment w:val="bottom"/>
                      <w:rPr>
                        <w:rFonts w:cs="Arial"/>
                        <w:snapToGrid w:val="0"/>
                        <w:sz w:val="20"/>
                        <w:szCs w:val="20"/>
                      </w:rPr>
                    </w:pPr>
                  </w:p>
                </w:tc>
                <w:tc>
                  <w:tcPr>
                    <w:tcW w:w="962" w:type="pct"/>
                    <w:tcBorders>
                      <w:top w:val="nil"/>
                      <w:left w:val="nil"/>
                      <w:bottom w:val="nil"/>
                      <w:right w:val="nil"/>
                    </w:tcBorders>
                  </w:tcPr>
                  <w:p w:rsidR="00182B92" w:rsidRPr="001B0D6F" w:rsidRDefault="00182B92" w:rsidP="00182B92">
                    <w:pPr>
                      <w:autoSpaceDE w:val="0"/>
                      <w:autoSpaceDN w:val="0"/>
                      <w:snapToGrid w:val="0"/>
                      <w:spacing w:line="300" w:lineRule="exact"/>
                      <w:ind w:left="666" w:rightChars="-45" w:right="-94" w:hanging="450"/>
                      <w:jc w:val="both"/>
                      <w:textAlignment w:val="bottom"/>
                      <w:rPr>
                        <w:rFonts w:cs="Arial"/>
                        <w:snapToGrid w:val="0"/>
                        <w:sz w:val="20"/>
                        <w:szCs w:val="20"/>
                      </w:rPr>
                    </w:pPr>
                    <w:r w:rsidRPr="001B0D6F">
                      <w:rPr>
                        <w:rFonts w:cs="Arial"/>
                        <w:snapToGrid w:val="0"/>
                        <w:sz w:val="20"/>
                        <w:szCs w:val="20"/>
                      </w:rPr>
                      <w:t>第一个行权期</w:t>
                    </w:r>
                  </w:p>
                </w:tc>
                <w:tc>
                  <w:tcPr>
                    <w:tcW w:w="967" w:type="pct"/>
                    <w:tcBorders>
                      <w:top w:val="nil"/>
                      <w:left w:val="nil"/>
                      <w:bottom w:val="nil"/>
                      <w:right w:val="nil"/>
                    </w:tcBorders>
                  </w:tcPr>
                  <w:p w:rsidR="00182B92" w:rsidRPr="001B0D6F" w:rsidRDefault="00182B92" w:rsidP="00182B92">
                    <w:pPr>
                      <w:autoSpaceDE w:val="0"/>
                      <w:autoSpaceDN w:val="0"/>
                      <w:snapToGrid w:val="0"/>
                      <w:spacing w:line="300" w:lineRule="exact"/>
                      <w:ind w:left="857" w:rightChars="-181" w:right="-380" w:hanging="567"/>
                      <w:jc w:val="both"/>
                      <w:textAlignment w:val="bottom"/>
                      <w:rPr>
                        <w:rFonts w:cs="Arial"/>
                        <w:snapToGrid w:val="0"/>
                        <w:sz w:val="20"/>
                        <w:szCs w:val="20"/>
                      </w:rPr>
                    </w:pPr>
                    <w:r w:rsidRPr="001B0D6F">
                      <w:rPr>
                        <w:rFonts w:cs="Arial"/>
                        <w:snapToGrid w:val="0"/>
                        <w:sz w:val="20"/>
                        <w:szCs w:val="20"/>
                      </w:rPr>
                      <w:t>第二个行权期©</w:t>
                    </w:r>
                  </w:p>
                </w:tc>
                <w:tc>
                  <w:tcPr>
                    <w:tcW w:w="1018" w:type="pct"/>
                    <w:tcBorders>
                      <w:top w:val="nil"/>
                      <w:left w:val="nil"/>
                      <w:bottom w:val="nil"/>
                      <w:right w:val="nil"/>
                    </w:tcBorders>
                  </w:tcPr>
                  <w:p w:rsidR="00182B92" w:rsidRPr="001B0D6F" w:rsidRDefault="00182B92" w:rsidP="00182B92">
                    <w:pPr>
                      <w:autoSpaceDE w:val="0"/>
                      <w:autoSpaceDN w:val="0"/>
                      <w:snapToGrid w:val="0"/>
                      <w:spacing w:line="300" w:lineRule="exact"/>
                      <w:ind w:left="759" w:rightChars="-45" w:right="-94" w:hanging="393"/>
                      <w:jc w:val="both"/>
                      <w:textAlignment w:val="bottom"/>
                      <w:rPr>
                        <w:rFonts w:cs="Arial"/>
                        <w:snapToGrid w:val="0"/>
                        <w:sz w:val="20"/>
                        <w:szCs w:val="20"/>
                      </w:rPr>
                    </w:pPr>
                    <w:r w:rsidRPr="001B0D6F">
                      <w:rPr>
                        <w:rFonts w:cs="Arial"/>
                        <w:snapToGrid w:val="0"/>
                        <w:sz w:val="20"/>
                        <w:szCs w:val="20"/>
                      </w:rPr>
                      <w:t>第三个行权期</w:t>
                    </w:r>
                  </w:p>
                </w:tc>
              </w:tr>
              <w:tr w:rsidR="00182B92" w:rsidRPr="001B0D6F" w:rsidTr="00182B92">
                <w:trPr>
                  <w:trHeight w:val="159"/>
                </w:trPr>
                <w:tc>
                  <w:tcPr>
                    <w:tcW w:w="2052" w:type="pct"/>
                    <w:tcBorders>
                      <w:top w:val="nil"/>
                      <w:left w:val="nil"/>
                      <w:bottom w:val="nil"/>
                      <w:right w:val="nil"/>
                    </w:tcBorders>
                    <w:shd w:val="clear" w:color="auto" w:fill="auto"/>
                    <w:noWrap/>
                    <w:vAlign w:val="bottom"/>
                    <w:hideMark/>
                  </w:tcPr>
                  <w:p w:rsidR="00182B92" w:rsidRPr="001B0D6F" w:rsidRDefault="00182B92" w:rsidP="00182B92">
                    <w:pPr>
                      <w:autoSpaceDE w:val="0"/>
                      <w:autoSpaceDN w:val="0"/>
                      <w:snapToGrid w:val="0"/>
                      <w:spacing w:line="300" w:lineRule="exact"/>
                      <w:ind w:left="567" w:hanging="538"/>
                      <w:jc w:val="both"/>
                      <w:textAlignment w:val="bottom"/>
                      <w:rPr>
                        <w:rFonts w:cs="Arial"/>
                        <w:snapToGrid w:val="0"/>
                        <w:sz w:val="20"/>
                        <w:szCs w:val="20"/>
                      </w:rPr>
                    </w:pPr>
                    <w:r w:rsidRPr="001B0D6F">
                      <w:rPr>
                        <w:rFonts w:cs="Arial"/>
                        <w:snapToGrid w:val="0"/>
                        <w:sz w:val="20"/>
                        <w:szCs w:val="20"/>
                      </w:rPr>
                      <w:t>股利率(%)</w:t>
                    </w:r>
                  </w:p>
                </w:tc>
                <w:tc>
                  <w:tcPr>
                    <w:tcW w:w="962" w:type="pct"/>
                    <w:tcBorders>
                      <w:top w:val="nil"/>
                      <w:left w:val="nil"/>
                      <w:bottom w:val="nil"/>
                      <w:right w:val="nil"/>
                    </w:tcBorders>
                    <w:vAlign w:val="bottom"/>
                  </w:tcPr>
                  <w:p w:rsidR="00182B92" w:rsidRPr="001B0D6F" w:rsidRDefault="00182B92" w:rsidP="00182B92">
                    <w:pPr>
                      <w:autoSpaceDE w:val="0"/>
                      <w:autoSpaceDN w:val="0"/>
                      <w:snapToGrid w:val="0"/>
                      <w:spacing w:line="300" w:lineRule="exact"/>
                      <w:ind w:left="567" w:rightChars="-45" w:right="-94" w:hanging="450"/>
                      <w:jc w:val="right"/>
                      <w:textAlignment w:val="bottom"/>
                      <w:rPr>
                        <w:rFonts w:cs="Arial"/>
                        <w:snapToGrid w:val="0"/>
                        <w:sz w:val="20"/>
                        <w:szCs w:val="20"/>
                      </w:rPr>
                    </w:pPr>
                    <w:r w:rsidRPr="001B0D6F">
                      <w:rPr>
                        <w:rFonts w:cs="Arial"/>
                        <w:snapToGrid w:val="0"/>
                        <w:sz w:val="20"/>
                        <w:szCs w:val="20"/>
                      </w:rPr>
                      <w:t>0.41</w:t>
                    </w:r>
                  </w:p>
                </w:tc>
                <w:tc>
                  <w:tcPr>
                    <w:tcW w:w="967" w:type="pct"/>
                    <w:tcBorders>
                      <w:top w:val="nil"/>
                      <w:left w:val="nil"/>
                      <w:bottom w:val="nil"/>
                      <w:right w:val="nil"/>
                    </w:tcBorders>
                  </w:tcPr>
                  <w:p w:rsidR="00182B92" w:rsidRPr="001B0D6F" w:rsidRDefault="00182B92" w:rsidP="00182B92">
                    <w:pPr>
                      <w:autoSpaceDE w:val="0"/>
                      <w:autoSpaceDN w:val="0"/>
                      <w:snapToGrid w:val="0"/>
                      <w:spacing w:line="300" w:lineRule="exact"/>
                      <w:ind w:left="567" w:rightChars="-45" w:right="-94" w:hanging="108"/>
                      <w:jc w:val="right"/>
                      <w:textAlignment w:val="bottom"/>
                      <w:rPr>
                        <w:rFonts w:cs="Arial"/>
                        <w:snapToGrid w:val="0"/>
                        <w:sz w:val="20"/>
                        <w:szCs w:val="20"/>
                      </w:rPr>
                    </w:pPr>
                    <w:r w:rsidRPr="001B0D6F">
                      <w:rPr>
                        <w:rFonts w:cs="Arial"/>
                        <w:snapToGrid w:val="0"/>
                        <w:sz w:val="20"/>
                        <w:szCs w:val="20"/>
                      </w:rPr>
                      <w:t>0.57</w:t>
                    </w:r>
                  </w:p>
                </w:tc>
                <w:tc>
                  <w:tcPr>
                    <w:tcW w:w="1018" w:type="pct"/>
                    <w:tcBorders>
                      <w:top w:val="nil"/>
                      <w:left w:val="nil"/>
                      <w:bottom w:val="nil"/>
                      <w:right w:val="nil"/>
                    </w:tcBorders>
                  </w:tcPr>
                  <w:p w:rsidR="00182B92" w:rsidRPr="001B0D6F" w:rsidRDefault="00182B92" w:rsidP="00182B92">
                    <w:pPr>
                      <w:autoSpaceDE w:val="0"/>
                      <w:autoSpaceDN w:val="0"/>
                      <w:snapToGrid w:val="0"/>
                      <w:spacing w:line="300" w:lineRule="exact"/>
                      <w:ind w:left="567" w:rightChars="-45" w:right="-94" w:hanging="393"/>
                      <w:jc w:val="right"/>
                      <w:textAlignment w:val="bottom"/>
                      <w:rPr>
                        <w:rFonts w:cs="Arial"/>
                        <w:snapToGrid w:val="0"/>
                        <w:sz w:val="20"/>
                        <w:szCs w:val="20"/>
                      </w:rPr>
                    </w:pPr>
                    <w:r w:rsidRPr="001B0D6F">
                      <w:rPr>
                        <w:rFonts w:cs="Arial"/>
                        <w:snapToGrid w:val="0"/>
                        <w:sz w:val="20"/>
                        <w:szCs w:val="20"/>
                      </w:rPr>
                      <w:t>0.64</w:t>
                    </w:r>
                  </w:p>
                </w:tc>
              </w:tr>
              <w:tr w:rsidR="00182B92" w:rsidRPr="001B0D6F" w:rsidTr="00182B92">
                <w:trPr>
                  <w:trHeight w:val="159"/>
                </w:trPr>
                <w:tc>
                  <w:tcPr>
                    <w:tcW w:w="2052" w:type="pct"/>
                    <w:tcBorders>
                      <w:top w:val="nil"/>
                      <w:left w:val="nil"/>
                      <w:bottom w:val="nil"/>
                      <w:right w:val="nil"/>
                    </w:tcBorders>
                    <w:shd w:val="clear" w:color="auto" w:fill="auto"/>
                    <w:noWrap/>
                    <w:vAlign w:val="bottom"/>
                    <w:hideMark/>
                  </w:tcPr>
                  <w:p w:rsidR="00182B92" w:rsidRPr="001B0D6F" w:rsidRDefault="00182B92" w:rsidP="00182B92">
                    <w:pPr>
                      <w:autoSpaceDE w:val="0"/>
                      <w:autoSpaceDN w:val="0"/>
                      <w:snapToGrid w:val="0"/>
                      <w:spacing w:line="300" w:lineRule="exact"/>
                      <w:ind w:left="567" w:hanging="538"/>
                      <w:jc w:val="both"/>
                      <w:textAlignment w:val="bottom"/>
                      <w:rPr>
                        <w:rFonts w:cs="Arial"/>
                        <w:snapToGrid w:val="0"/>
                        <w:sz w:val="20"/>
                        <w:szCs w:val="20"/>
                      </w:rPr>
                    </w:pPr>
                    <w:r w:rsidRPr="001B0D6F">
                      <w:rPr>
                        <w:rFonts w:cs="Arial"/>
                        <w:snapToGrid w:val="0"/>
                        <w:sz w:val="20"/>
                        <w:szCs w:val="20"/>
                      </w:rPr>
                      <w:t>预计波动率(%)</w:t>
                    </w:r>
                  </w:p>
                </w:tc>
                <w:tc>
                  <w:tcPr>
                    <w:tcW w:w="962" w:type="pct"/>
                    <w:tcBorders>
                      <w:top w:val="nil"/>
                      <w:left w:val="nil"/>
                      <w:bottom w:val="nil"/>
                      <w:right w:val="nil"/>
                    </w:tcBorders>
                    <w:vAlign w:val="bottom"/>
                  </w:tcPr>
                  <w:p w:rsidR="00182B92" w:rsidRPr="001B0D6F" w:rsidRDefault="00182B92" w:rsidP="00182B92">
                    <w:pPr>
                      <w:autoSpaceDE w:val="0"/>
                      <w:autoSpaceDN w:val="0"/>
                      <w:snapToGrid w:val="0"/>
                      <w:spacing w:line="300" w:lineRule="exact"/>
                      <w:ind w:left="567" w:rightChars="-45" w:right="-94" w:hanging="450"/>
                      <w:jc w:val="right"/>
                      <w:textAlignment w:val="bottom"/>
                      <w:rPr>
                        <w:rFonts w:cs="Arial"/>
                        <w:snapToGrid w:val="0"/>
                        <w:sz w:val="20"/>
                        <w:szCs w:val="20"/>
                      </w:rPr>
                    </w:pPr>
                    <w:r w:rsidRPr="001B0D6F">
                      <w:rPr>
                        <w:rFonts w:cs="Arial"/>
                        <w:snapToGrid w:val="0"/>
                        <w:sz w:val="20"/>
                        <w:szCs w:val="20"/>
                      </w:rPr>
                      <w:t>56.85</w:t>
                    </w:r>
                  </w:p>
                </w:tc>
                <w:tc>
                  <w:tcPr>
                    <w:tcW w:w="967" w:type="pct"/>
                    <w:tcBorders>
                      <w:top w:val="nil"/>
                      <w:left w:val="nil"/>
                      <w:bottom w:val="nil"/>
                      <w:right w:val="nil"/>
                    </w:tcBorders>
                  </w:tcPr>
                  <w:p w:rsidR="00182B92" w:rsidRPr="001B0D6F" w:rsidRDefault="00182B92" w:rsidP="00182B92">
                    <w:pPr>
                      <w:autoSpaceDE w:val="0"/>
                      <w:autoSpaceDN w:val="0"/>
                      <w:snapToGrid w:val="0"/>
                      <w:spacing w:line="300" w:lineRule="exact"/>
                      <w:ind w:left="567" w:rightChars="-45" w:right="-94" w:hanging="108"/>
                      <w:jc w:val="right"/>
                      <w:textAlignment w:val="bottom"/>
                      <w:rPr>
                        <w:rFonts w:cs="Arial"/>
                        <w:snapToGrid w:val="0"/>
                        <w:sz w:val="20"/>
                        <w:szCs w:val="20"/>
                      </w:rPr>
                    </w:pPr>
                    <w:r w:rsidRPr="001B0D6F">
                      <w:rPr>
                        <w:rFonts w:cs="Arial"/>
                        <w:snapToGrid w:val="0"/>
                        <w:sz w:val="20"/>
                        <w:szCs w:val="20"/>
                      </w:rPr>
                      <w:t>47.61</w:t>
                    </w:r>
                  </w:p>
                </w:tc>
                <w:tc>
                  <w:tcPr>
                    <w:tcW w:w="1018" w:type="pct"/>
                    <w:tcBorders>
                      <w:top w:val="nil"/>
                      <w:left w:val="nil"/>
                      <w:bottom w:val="nil"/>
                      <w:right w:val="nil"/>
                    </w:tcBorders>
                  </w:tcPr>
                  <w:p w:rsidR="00182B92" w:rsidRPr="001B0D6F" w:rsidRDefault="00182B92" w:rsidP="00182B92">
                    <w:pPr>
                      <w:autoSpaceDE w:val="0"/>
                      <w:autoSpaceDN w:val="0"/>
                      <w:snapToGrid w:val="0"/>
                      <w:spacing w:line="300" w:lineRule="exact"/>
                      <w:ind w:left="567" w:rightChars="-45" w:right="-94" w:hanging="393"/>
                      <w:jc w:val="right"/>
                      <w:textAlignment w:val="bottom"/>
                      <w:rPr>
                        <w:rFonts w:cs="Arial"/>
                        <w:snapToGrid w:val="0"/>
                        <w:sz w:val="20"/>
                        <w:szCs w:val="20"/>
                      </w:rPr>
                    </w:pPr>
                    <w:r w:rsidRPr="001B0D6F">
                      <w:rPr>
                        <w:rFonts w:cs="Arial"/>
                        <w:snapToGrid w:val="0"/>
                        <w:sz w:val="20"/>
                        <w:szCs w:val="20"/>
                      </w:rPr>
                      <w:t>56.06</w:t>
                    </w:r>
                  </w:p>
                </w:tc>
              </w:tr>
              <w:tr w:rsidR="00182B92" w:rsidRPr="001B0D6F" w:rsidTr="00182B92">
                <w:trPr>
                  <w:trHeight w:val="159"/>
                </w:trPr>
                <w:tc>
                  <w:tcPr>
                    <w:tcW w:w="2052" w:type="pct"/>
                    <w:tcBorders>
                      <w:top w:val="nil"/>
                      <w:left w:val="nil"/>
                      <w:bottom w:val="nil"/>
                      <w:right w:val="nil"/>
                    </w:tcBorders>
                    <w:shd w:val="clear" w:color="auto" w:fill="auto"/>
                    <w:noWrap/>
                    <w:vAlign w:val="bottom"/>
                    <w:hideMark/>
                  </w:tcPr>
                  <w:p w:rsidR="00182B92" w:rsidRPr="001B0D6F" w:rsidRDefault="00182B92" w:rsidP="00182B92">
                    <w:pPr>
                      <w:autoSpaceDE w:val="0"/>
                      <w:autoSpaceDN w:val="0"/>
                      <w:snapToGrid w:val="0"/>
                      <w:spacing w:line="300" w:lineRule="exact"/>
                      <w:ind w:left="567" w:hanging="538"/>
                      <w:jc w:val="both"/>
                      <w:textAlignment w:val="bottom"/>
                      <w:rPr>
                        <w:rFonts w:cs="Arial"/>
                        <w:snapToGrid w:val="0"/>
                        <w:sz w:val="20"/>
                        <w:szCs w:val="20"/>
                      </w:rPr>
                    </w:pPr>
                    <w:r w:rsidRPr="001B0D6F">
                      <w:rPr>
                        <w:rFonts w:cs="Arial"/>
                        <w:snapToGrid w:val="0"/>
                        <w:sz w:val="20"/>
                        <w:szCs w:val="20"/>
                      </w:rPr>
                      <w:t>无风险利率(%)</w:t>
                    </w:r>
                  </w:p>
                </w:tc>
                <w:tc>
                  <w:tcPr>
                    <w:tcW w:w="962" w:type="pct"/>
                    <w:tcBorders>
                      <w:top w:val="nil"/>
                      <w:left w:val="nil"/>
                      <w:bottom w:val="nil"/>
                      <w:right w:val="nil"/>
                    </w:tcBorders>
                    <w:vAlign w:val="bottom"/>
                  </w:tcPr>
                  <w:p w:rsidR="00182B92" w:rsidRPr="001B0D6F" w:rsidRDefault="00182B92" w:rsidP="00182B92">
                    <w:pPr>
                      <w:autoSpaceDE w:val="0"/>
                      <w:autoSpaceDN w:val="0"/>
                      <w:snapToGrid w:val="0"/>
                      <w:spacing w:line="300" w:lineRule="exact"/>
                      <w:ind w:left="567" w:rightChars="-45" w:right="-94" w:hanging="450"/>
                      <w:jc w:val="right"/>
                      <w:textAlignment w:val="bottom"/>
                      <w:rPr>
                        <w:rFonts w:cs="Arial"/>
                        <w:snapToGrid w:val="0"/>
                        <w:sz w:val="20"/>
                        <w:szCs w:val="20"/>
                      </w:rPr>
                    </w:pPr>
                    <w:r w:rsidRPr="001B0D6F">
                      <w:rPr>
                        <w:rFonts w:cs="Arial"/>
                        <w:snapToGrid w:val="0"/>
                        <w:sz w:val="20"/>
                        <w:szCs w:val="20"/>
                      </w:rPr>
                      <w:t>2.85</w:t>
                    </w:r>
                  </w:p>
                </w:tc>
                <w:tc>
                  <w:tcPr>
                    <w:tcW w:w="967" w:type="pct"/>
                    <w:tcBorders>
                      <w:top w:val="nil"/>
                      <w:left w:val="nil"/>
                      <w:bottom w:val="nil"/>
                      <w:right w:val="nil"/>
                    </w:tcBorders>
                  </w:tcPr>
                  <w:p w:rsidR="00182B92" w:rsidRPr="001B0D6F" w:rsidRDefault="00182B92" w:rsidP="00182B92">
                    <w:pPr>
                      <w:autoSpaceDE w:val="0"/>
                      <w:autoSpaceDN w:val="0"/>
                      <w:snapToGrid w:val="0"/>
                      <w:spacing w:line="300" w:lineRule="exact"/>
                      <w:ind w:left="567" w:rightChars="-45" w:right="-94" w:hanging="108"/>
                      <w:jc w:val="right"/>
                      <w:textAlignment w:val="bottom"/>
                      <w:rPr>
                        <w:rFonts w:cs="Arial"/>
                        <w:snapToGrid w:val="0"/>
                        <w:sz w:val="20"/>
                        <w:szCs w:val="20"/>
                      </w:rPr>
                    </w:pPr>
                    <w:r w:rsidRPr="001B0D6F">
                      <w:rPr>
                        <w:rFonts w:cs="Arial"/>
                        <w:snapToGrid w:val="0"/>
                        <w:sz w:val="20"/>
                        <w:szCs w:val="20"/>
                      </w:rPr>
                      <w:t>3.08</w:t>
                    </w:r>
                  </w:p>
                </w:tc>
                <w:tc>
                  <w:tcPr>
                    <w:tcW w:w="1018" w:type="pct"/>
                    <w:tcBorders>
                      <w:top w:val="nil"/>
                      <w:left w:val="nil"/>
                      <w:bottom w:val="nil"/>
                      <w:right w:val="nil"/>
                    </w:tcBorders>
                  </w:tcPr>
                  <w:p w:rsidR="00182B92" w:rsidRPr="001B0D6F" w:rsidRDefault="00182B92" w:rsidP="00182B92">
                    <w:pPr>
                      <w:autoSpaceDE w:val="0"/>
                      <w:autoSpaceDN w:val="0"/>
                      <w:snapToGrid w:val="0"/>
                      <w:spacing w:line="300" w:lineRule="exact"/>
                      <w:ind w:left="567" w:rightChars="-45" w:right="-94" w:hanging="393"/>
                      <w:jc w:val="right"/>
                      <w:textAlignment w:val="bottom"/>
                      <w:rPr>
                        <w:rFonts w:cs="Arial"/>
                        <w:snapToGrid w:val="0"/>
                        <w:sz w:val="20"/>
                        <w:szCs w:val="20"/>
                      </w:rPr>
                    </w:pPr>
                    <w:r w:rsidRPr="001B0D6F">
                      <w:rPr>
                        <w:rFonts w:cs="Arial"/>
                        <w:snapToGrid w:val="0"/>
                        <w:sz w:val="20"/>
                        <w:szCs w:val="20"/>
                      </w:rPr>
                      <w:t>3.30</w:t>
                    </w:r>
                  </w:p>
                </w:tc>
              </w:tr>
              <w:tr w:rsidR="00182B92" w:rsidRPr="001B0D6F" w:rsidTr="00182B92">
                <w:trPr>
                  <w:trHeight w:val="159"/>
                </w:trPr>
                <w:tc>
                  <w:tcPr>
                    <w:tcW w:w="2052" w:type="pct"/>
                    <w:tcBorders>
                      <w:top w:val="nil"/>
                      <w:left w:val="nil"/>
                      <w:bottom w:val="nil"/>
                      <w:right w:val="nil"/>
                    </w:tcBorders>
                    <w:shd w:val="clear" w:color="auto" w:fill="auto"/>
                    <w:noWrap/>
                    <w:vAlign w:val="bottom"/>
                    <w:hideMark/>
                  </w:tcPr>
                  <w:p w:rsidR="00182B92" w:rsidRPr="001B0D6F" w:rsidRDefault="00182B92" w:rsidP="00182B92">
                    <w:pPr>
                      <w:autoSpaceDE w:val="0"/>
                      <w:autoSpaceDN w:val="0"/>
                      <w:snapToGrid w:val="0"/>
                      <w:spacing w:line="300" w:lineRule="exact"/>
                      <w:ind w:left="567" w:hanging="538"/>
                      <w:jc w:val="both"/>
                      <w:textAlignment w:val="bottom"/>
                      <w:rPr>
                        <w:rFonts w:cs="Arial"/>
                        <w:snapToGrid w:val="0"/>
                        <w:sz w:val="20"/>
                        <w:szCs w:val="20"/>
                      </w:rPr>
                    </w:pPr>
                    <w:r w:rsidRPr="001B0D6F">
                      <w:rPr>
                        <w:rFonts w:cs="Arial"/>
                        <w:snapToGrid w:val="0"/>
                        <w:sz w:val="20"/>
                        <w:szCs w:val="20"/>
                      </w:rPr>
                      <w:t>股份期权预计期限(年)</w:t>
                    </w:r>
                  </w:p>
                </w:tc>
                <w:tc>
                  <w:tcPr>
                    <w:tcW w:w="962" w:type="pct"/>
                    <w:tcBorders>
                      <w:top w:val="nil"/>
                      <w:left w:val="nil"/>
                      <w:bottom w:val="nil"/>
                      <w:right w:val="nil"/>
                    </w:tcBorders>
                    <w:vAlign w:val="bottom"/>
                  </w:tcPr>
                  <w:p w:rsidR="00182B92" w:rsidRPr="001B0D6F" w:rsidRDefault="00182B92" w:rsidP="00182B92">
                    <w:pPr>
                      <w:autoSpaceDE w:val="0"/>
                      <w:autoSpaceDN w:val="0"/>
                      <w:snapToGrid w:val="0"/>
                      <w:spacing w:line="300" w:lineRule="exact"/>
                      <w:ind w:left="567" w:rightChars="-45" w:right="-94" w:hanging="450"/>
                      <w:jc w:val="right"/>
                      <w:textAlignment w:val="bottom"/>
                      <w:rPr>
                        <w:rFonts w:cs="Arial"/>
                        <w:snapToGrid w:val="0"/>
                        <w:sz w:val="20"/>
                        <w:szCs w:val="20"/>
                      </w:rPr>
                    </w:pPr>
                    <w:r w:rsidRPr="001B0D6F">
                      <w:rPr>
                        <w:rFonts w:cs="Arial"/>
                        <w:snapToGrid w:val="0"/>
                        <w:sz w:val="20"/>
                        <w:szCs w:val="20"/>
                      </w:rPr>
                      <w:t>1年</w:t>
                    </w:r>
                  </w:p>
                </w:tc>
                <w:tc>
                  <w:tcPr>
                    <w:tcW w:w="967" w:type="pct"/>
                    <w:tcBorders>
                      <w:top w:val="nil"/>
                      <w:left w:val="nil"/>
                      <w:bottom w:val="nil"/>
                      <w:right w:val="nil"/>
                    </w:tcBorders>
                  </w:tcPr>
                  <w:p w:rsidR="00182B92" w:rsidRPr="001B0D6F" w:rsidRDefault="00182B92" w:rsidP="00182B92">
                    <w:pPr>
                      <w:autoSpaceDE w:val="0"/>
                      <w:autoSpaceDN w:val="0"/>
                      <w:snapToGrid w:val="0"/>
                      <w:spacing w:line="300" w:lineRule="exact"/>
                      <w:ind w:left="567" w:rightChars="-45" w:right="-94" w:hanging="108"/>
                      <w:jc w:val="right"/>
                      <w:textAlignment w:val="bottom"/>
                      <w:rPr>
                        <w:rFonts w:cs="Arial"/>
                        <w:snapToGrid w:val="0"/>
                        <w:sz w:val="20"/>
                        <w:szCs w:val="20"/>
                      </w:rPr>
                    </w:pPr>
                    <w:r w:rsidRPr="001B0D6F">
                      <w:rPr>
                        <w:rFonts w:cs="Arial"/>
                        <w:snapToGrid w:val="0"/>
                        <w:sz w:val="20"/>
                        <w:szCs w:val="20"/>
                      </w:rPr>
                      <w:t>2年</w:t>
                    </w:r>
                  </w:p>
                </w:tc>
                <w:tc>
                  <w:tcPr>
                    <w:tcW w:w="1018" w:type="pct"/>
                    <w:tcBorders>
                      <w:top w:val="nil"/>
                      <w:left w:val="nil"/>
                      <w:bottom w:val="nil"/>
                      <w:right w:val="nil"/>
                    </w:tcBorders>
                  </w:tcPr>
                  <w:p w:rsidR="00182B92" w:rsidRPr="001B0D6F" w:rsidRDefault="00182B92" w:rsidP="00182B92">
                    <w:pPr>
                      <w:autoSpaceDE w:val="0"/>
                      <w:autoSpaceDN w:val="0"/>
                      <w:snapToGrid w:val="0"/>
                      <w:spacing w:line="300" w:lineRule="exact"/>
                      <w:ind w:left="567" w:rightChars="-45" w:right="-94" w:hanging="393"/>
                      <w:jc w:val="right"/>
                      <w:textAlignment w:val="bottom"/>
                      <w:rPr>
                        <w:rFonts w:cs="Arial"/>
                        <w:snapToGrid w:val="0"/>
                        <w:sz w:val="20"/>
                        <w:szCs w:val="20"/>
                      </w:rPr>
                    </w:pPr>
                    <w:r w:rsidRPr="001B0D6F">
                      <w:rPr>
                        <w:rFonts w:cs="Arial"/>
                        <w:snapToGrid w:val="0"/>
                        <w:sz w:val="20"/>
                        <w:szCs w:val="20"/>
                      </w:rPr>
                      <w:t>3年</w:t>
                    </w:r>
                  </w:p>
                </w:tc>
              </w:tr>
              <w:tr w:rsidR="00182B92" w:rsidRPr="001B0D6F" w:rsidTr="00182B92">
                <w:trPr>
                  <w:trHeight w:val="159"/>
                </w:trPr>
                <w:tc>
                  <w:tcPr>
                    <w:tcW w:w="2052" w:type="pct"/>
                    <w:tcBorders>
                      <w:top w:val="nil"/>
                      <w:left w:val="nil"/>
                      <w:bottom w:val="nil"/>
                      <w:right w:val="nil"/>
                    </w:tcBorders>
                    <w:shd w:val="clear" w:color="auto" w:fill="auto"/>
                    <w:noWrap/>
                    <w:vAlign w:val="bottom"/>
                    <w:hideMark/>
                  </w:tcPr>
                  <w:p w:rsidR="00182B92" w:rsidRPr="001B0D6F" w:rsidRDefault="00182B92" w:rsidP="00182B92">
                    <w:pPr>
                      <w:autoSpaceDE w:val="0"/>
                      <w:autoSpaceDN w:val="0"/>
                      <w:snapToGrid w:val="0"/>
                      <w:spacing w:line="300" w:lineRule="exact"/>
                      <w:ind w:left="567" w:hanging="538"/>
                      <w:jc w:val="both"/>
                      <w:textAlignment w:val="bottom"/>
                      <w:rPr>
                        <w:rFonts w:cs="Arial"/>
                        <w:snapToGrid w:val="0"/>
                        <w:sz w:val="20"/>
                        <w:szCs w:val="20"/>
                      </w:rPr>
                    </w:pPr>
                    <w:r w:rsidRPr="001B0D6F">
                      <w:rPr>
                        <w:rFonts w:cs="Arial"/>
                        <w:snapToGrid w:val="0"/>
                        <w:sz w:val="20"/>
                        <w:szCs w:val="20"/>
                      </w:rPr>
                      <w:t>授予日股价(元)</w:t>
                    </w:r>
                  </w:p>
                </w:tc>
                <w:tc>
                  <w:tcPr>
                    <w:tcW w:w="962" w:type="pct"/>
                    <w:tcBorders>
                      <w:top w:val="nil"/>
                      <w:left w:val="nil"/>
                      <w:bottom w:val="nil"/>
                      <w:right w:val="nil"/>
                    </w:tcBorders>
                    <w:vAlign w:val="bottom"/>
                  </w:tcPr>
                  <w:p w:rsidR="00182B92" w:rsidRPr="001B0D6F" w:rsidRDefault="00182B92" w:rsidP="00182B92">
                    <w:pPr>
                      <w:autoSpaceDE w:val="0"/>
                      <w:autoSpaceDN w:val="0"/>
                      <w:snapToGrid w:val="0"/>
                      <w:spacing w:line="300" w:lineRule="exact"/>
                      <w:ind w:left="567" w:rightChars="-45" w:right="-94" w:hanging="450"/>
                      <w:jc w:val="right"/>
                      <w:textAlignment w:val="bottom"/>
                      <w:rPr>
                        <w:rFonts w:cs="Arial"/>
                        <w:snapToGrid w:val="0"/>
                        <w:sz w:val="20"/>
                        <w:szCs w:val="20"/>
                      </w:rPr>
                    </w:pPr>
                    <w:r w:rsidRPr="001B0D6F">
                      <w:rPr>
                        <w:rFonts w:cs="Arial"/>
                        <w:snapToGrid w:val="0"/>
                        <w:sz w:val="20"/>
                        <w:szCs w:val="20"/>
                      </w:rPr>
                      <w:t>22.65</w:t>
                    </w:r>
                  </w:p>
                </w:tc>
                <w:tc>
                  <w:tcPr>
                    <w:tcW w:w="967" w:type="pct"/>
                    <w:tcBorders>
                      <w:top w:val="nil"/>
                      <w:left w:val="nil"/>
                      <w:bottom w:val="nil"/>
                      <w:right w:val="nil"/>
                    </w:tcBorders>
                  </w:tcPr>
                  <w:p w:rsidR="00182B92" w:rsidRPr="001B0D6F" w:rsidRDefault="00182B92" w:rsidP="00182B92">
                    <w:pPr>
                      <w:autoSpaceDE w:val="0"/>
                      <w:autoSpaceDN w:val="0"/>
                      <w:snapToGrid w:val="0"/>
                      <w:spacing w:line="300" w:lineRule="exact"/>
                      <w:ind w:left="567" w:rightChars="-45" w:right="-94" w:hanging="108"/>
                      <w:jc w:val="right"/>
                      <w:textAlignment w:val="bottom"/>
                      <w:rPr>
                        <w:rFonts w:cs="Arial"/>
                        <w:snapToGrid w:val="0"/>
                        <w:sz w:val="20"/>
                        <w:szCs w:val="20"/>
                      </w:rPr>
                    </w:pPr>
                    <w:r w:rsidRPr="001B0D6F">
                      <w:rPr>
                        <w:rFonts w:cs="Arial"/>
                        <w:snapToGrid w:val="0"/>
                        <w:sz w:val="20"/>
                        <w:szCs w:val="20"/>
                      </w:rPr>
                      <w:t>22.65</w:t>
                    </w:r>
                  </w:p>
                </w:tc>
                <w:tc>
                  <w:tcPr>
                    <w:tcW w:w="1018" w:type="pct"/>
                    <w:tcBorders>
                      <w:top w:val="nil"/>
                      <w:left w:val="nil"/>
                      <w:bottom w:val="nil"/>
                      <w:right w:val="nil"/>
                    </w:tcBorders>
                  </w:tcPr>
                  <w:p w:rsidR="00182B92" w:rsidRPr="001B0D6F" w:rsidRDefault="00182B92" w:rsidP="00182B92">
                    <w:pPr>
                      <w:autoSpaceDE w:val="0"/>
                      <w:autoSpaceDN w:val="0"/>
                      <w:snapToGrid w:val="0"/>
                      <w:spacing w:line="300" w:lineRule="exact"/>
                      <w:ind w:left="567" w:rightChars="-45" w:right="-94" w:hanging="393"/>
                      <w:jc w:val="right"/>
                      <w:textAlignment w:val="bottom"/>
                      <w:rPr>
                        <w:rFonts w:cs="Arial"/>
                        <w:snapToGrid w:val="0"/>
                        <w:sz w:val="20"/>
                        <w:szCs w:val="20"/>
                      </w:rPr>
                    </w:pPr>
                    <w:r w:rsidRPr="001B0D6F">
                      <w:rPr>
                        <w:rFonts w:cs="Arial"/>
                        <w:snapToGrid w:val="0"/>
                        <w:sz w:val="20"/>
                        <w:szCs w:val="20"/>
                      </w:rPr>
                      <w:t>22.65</w:t>
                    </w:r>
                  </w:p>
                </w:tc>
              </w:tr>
            </w:tbl>
            <w:p w:rsidR="00182B92" w:rsidRPr="001B0D6F" w:rsidRDefault="00182B92" w:rsidP="00182B92">
              <w:pPr>
                <w:overflowPunct w:val="0"/>
                <w:autoSpaceDE w:val="0"/>
                <w:autoSpaceDN w:val="0"/>
                <w:adjustRightInd w:val="0"/>
                <w:snapToGrid w:val="0"/>
                <w:jc w:val="both"/>
                <w:textAlignment w:val="bottom"/>
                <w:rPr>
                  <w:rFonts w:cs="Arial"/>
                  <w:snapToGrid w:val="0"/>
                  <w:sz w:val="20"/>
                  <w:szCs w:val="20"/>
                </w:rPr>
              </w:pPr>
            </w:p>
            <w:p w:rsidR="00182B92" w:rsidRPr="001B0D6F" w:rsidRDefault="00182B92" w:rsidP="00182B92">
              <w:pPr>
                <w:overflowPunct w:val="0"/>
                <w:autoSpaceDE w:val="0"/>
                <w:autoSpaceDN w:val="0"/>
                <w:adjustRightInd w:val="0"/>
                <w:snapToGrid w:val="0"/>
                <w:jc w:val="both"/>
                <w:textAlignment w:val="bottom"/>
                <w:rPr>
                  <w:rFonts w:cs="Arial"/>
                  <w:snapToGrid w:val="0"/>
                  <w:sz w:val="20"/>
                  <w:szCs w:val="20"/>
                </w:rPr>
              </w:pPr>
              <w:r w:rsidRPr="001B0D6F">
                <w:rPr>
                  <w:rFonts w:cs="Arial"/>
                  <w:snapToGrid w:val="0"/>
                  <w:sz w:val="20"/>
                  <w:szCs w:val="20"/>
                </w:rPr>
                <w:t>股票期权的预计期限是根据对未来股票价格波动所可能引致的员工行权时间为基础确定的，其反映的行权模式并不一定是未来可能出现的行权模式。预计波动率是基于历史波动率能反映出未来趋势的假设，但并不一定是实际的结果。公允价值未考虑所授予股票期权的其他特征。</w:t>
              </w:r>
            </w:p>
            <w:p w:rsidR="00182B92" w:rsidRPr="001B0D6F" w:rsidRDefault="00182B92" w:rsidP="00182B92">
              <w:pPr>
                <w:overflowPunct w:val="0"/>
                <w:autoSpaceDE w:val="0"/>
                <w:autoSpaceDN w:val="0"/>
                <w:adjustRightInd w:val="0"/>
                <w:snapToGrid w:val="0"/>
                <w:jc w:val="both"/>
                <w:textAlignment w:val="bottom"/>
                <w:rPr>
                  <w:rFonts w:cs="Arial"/>
                  <w:snapToGrid w:val="0"/>
                  <w:sz w:val="20"/>
                  <w:szCs w:val="20"/>
                </w:rPr>
              </w:pPr>
            </w:p>
            <w:p w:rsidR="00182B92" w:rsidRPr="001B0D6F" w:rsidRDefault="00182B92" w:rsidP="00182B92">
              <w:pPr>
                <w:overflowPunct w:val="0"/>
                <w:autoSpaceDE w:val="0"/>
                <w:autoSpaceDN w:val="0"/>
                <w:adjustRightInd w:val="0"/>
                <w:snapToGrid w:val="0"/>
                <w:jc w:val="both"/>
                <w:textAlignment w:val="bottom"/>
                <w:rPr>
                  <w:rFonts w:cs="Arial"/>
                  <w:snapToGrid w:val="0"/>
                  <w:sz w:val="20"/>
                  <w:szCs w:val="20"/>
                </w:rPr>
              </w:pPr>
            </w:p>
            <w:p w:rsidR="00182B92" w:rsidRPr="001B0D6F" w:rsidRDefault="00182B92" w:rsidP="00182B92">
              <w:pPr>
                <w:overflowPunct w:val="0"/>
                <w:autoSpaceDE w:val="0"/>
                <w:autoSpaceDN w:val="0"/>
                <w:adjustRightInd w:val="0"/>
                <w:snapToGrid w:val="0"/>
                <w:ind w:left="720" w:hanging="720"/>
                <w:jc w:val="both"/>
                <w:textAlignment w:val="bottom"/>
                <w:rPr>
                  <w:rFonts w:cs="Arial"/>
                  <w:b/>
                  <w:bCs/>
                  <w:snapToGrid w:val="0"/>
                  <w:sz w:val="20"/>
                  <w:szCs w:val="20"/>
                </w:rPr>
                <w:sectPr w:rsidR="00182B92" w:rsidRPr="001B0D6F" w:rsidSect="00182B92">
                  <w:pgSz w:w="11907" w:h="16840" w:code="9"/>
                  <w:pgMar w:top="1440" w:right="1797" w:bottom="1440" w:left="1797" w:header="720" w:footer="720" w:gutter="0"/>
                  <w:cols w:space="720"/>
                  <w:titlePg/>
                  <w:docGrid w:linePitch="360"/>
                </w:sectPr>
              </w:pPr>
            </w:p>
            <w:p w:rsidR="00182B92" w:rsidRPr="001B0D6F" w:rsidRDefault="00182B92" w:rsidP="00182B92">
              <w:pPr>
                <w:overflowPunct w:val="0"/>
                <w:autoSpaceDE w:val="0"/>
                <w:autoSpaceDN w:val="0"/>
                <w:adjustRightInd w:val="0"/>
                <w:snapToGrid w:val="0"/>
                <w:jc w:val="both"/>
                <w:textAlignment w:val="bottom"/>
                <w:rPr>
                  <w:rFonts w:cs="Arial"/>
                  <w:snapToGrid w:val="0"/>
                  <w:sz w:val="20"/>
                  <w:szCs w:val="20"/>
                </w:rPr>
              </w:pPr>
            </w:p>
            <w:p w:rsidR="00182B92" w:rsidRPr="001B0D6F" w:rsidRDefault="00182B92" w:rsidP="00182B92">
              <w:pPr>
                <w:overflowPunct w:val="0"/>
                <w:autoSpaceDE w:val="0"/>
                <w:autoSpaceDN w:val="0"/>
                <w:adjustRightInd w:val="0"/>
                <w:snapToGrid w:val="0"/>
                <w:jc w:val="both"/>
                <w:textAlignment w:val="bottom"/>
                <w:rPr>
                  <w:rFonts w:cs="Arial"/>
                  <w:snapToGrid w:val="0"/>
                  <w:sz w:val="20"/>
                  <w:szCs w:val="20"/>
                </w:rPr>
              </w:pPr>
            </w:p>
            <w:p w:rsidR="00182B92" w:rsidRPr="001B0D6F" w:rsidRDefault="00182B92" w:rsidP="00182B92">
              <w:pPr>
                <w:overflowPunct w:val="0"/>
                <w:autoSpaceDE w:val="0"/>
                <w:autoSpaceDN w:val="0"/>
                <w:adjustRightInd w:val="0"/>
                <w:snapToGrid w:val="0"/>
                <w:jc w:val="both"/>
                <w:textAlignment w:val="bottom"/>
                <w:rPr>
                  <w:rFonts w:cs="Arial"/>
                  <w:snapToGrid w:val="0"/>
                  <w:sz w:val="20"/>
                  <w:szCs w:val="20"/>
                </w:rPr>
              </w:pPr>
              <w:r w:rsidRPr="001B0D6F">
                <w:rPr>
                  <w:rFonts w:cs="Arial"/>
                  <w:snapToGrid w:val="0"/>
                  <w:sz w:val="20"/>
                  <w:szCs w:val="20"/>
                </w:rPr>
                <w:t>截至资产负债表日，发行在外的股票期权的行权价格和行权有效期如下：</w:t>
              </w:r>
            </w:p>
            <w:p w:rsidR="00182B92" w:rsidRPr="001B0D6F" w:rsidRDefault="00182B92" w:rsidP="00182B92">
              <w:pPr>
                <w:overflowPunct w:val="0"/>
                <w:autoSpaceDE w:val="0"/>
                <w:autoSpaceDN w:val="0"/>
                <w:adjustRightInd w:val="0"/>
                <w:snapToGrid w:val="0"/>
                <w:jc w:val="both"/>
                <w:textAlignment w:val="bottom"/>
                <w:rPr>
                  <w:rFonts w:cs="Arial"/>
                  <w:snapToGrid w:val="0"/>
                  <w:sz w:val="20"/>
                  <w:szCs w:val="20"/>
                </w:rPr>
              </w:pPr>
            </w:p>
            <w:tbl>
              <w:tblPr>
                <w:tblStyle w:val="g35"/>
                <w:tblW w:w="4968" w:type="pct"/>
                <w:tblLayout w:type="fixed"/>
                <w:tblLook w:val="0000" w:firstRow="0" w:lastRow="0" w:firstColumn="0" w:lastColumn="0" w:noHBand="0" w:noVBand="0"/>
              </w:tblPr>
              <w:tblGrid>
                <w:gridCol w:w="2032"/>
                <w:gridCol w:w="2220"/>
                <w:gridCol w:w="1844"/>
                <w:gridCol w:w="2164"/>
              </w:tblGrid>
              <w:tr w:rsidR="00182B92" w:rsidRPr="001B0D6F" w:rsidTr="00182B92">
                <w:trPr>
                  <w:trHeight w:val="249"/>
                </w:trPr>
                <w:tc>
                  <w:tcPr>
                    <w:tcW w:w="1230" w:type="pct"/>
                  </w:tcPr>
                  <w:p w:rsidR="00182B92" w:rsidRPr="001B0D6F" w:rsidRDefault="00182B92" w:rsidP="00182B92">
                    <w:pPr>
                      <w:tabs>
                        <w:tab w:val="left" w:pos="1319"/>
                      </w:tabs>
                      <w:autoSpaceDE w:val="0"/>
                      <w:autoSpaceDN w:val="0"/>
                      <w:spacing w:line="260" w:lineRule="exact"/>
                      <w:ind w:left="-94" w:hanging="28"/>
                      <w:jc w:val="right"/>
                      <w:rPr>
                        <w:rFonts w:cs="Arial"/>
                        <w:snapToGrid w:val="0"/>
                        <w:sz w:val="20"/>
                        <w:szCs w:val="20"/>
                      </w:rPr>
                    </w:pPr>
                    <w:r w:rsidRPr="001B0D6F">
                      <w:rPr>
                        <w:rFonts w:cs="Arial"/>
                        <w:snapToGrid w:val="0"/>
                        <w:sz w:val="20"/>
                        <w:szCs w:val="20"/>
                      </w:rPr>
                      <w:t>股票期权数量</w:t>
                    </w:r>
                  </w:p>
                </w:tc>
                <w:tc>
                  <w:tcPr>
                    <w:tcW w:w="1344" w:type="pct"/>
                  </w:tcPr>
                  <w:p w:rsidR="00182B92" w:rsidRPr="001B0D6F" w:rsidRDefault="00182B92" w:rsidP="00182B92">
                    <w:pPr>
                      <w:autoSpaceDE w:val="0"/>
                      <w:autoSpaceDN w:val="0"/>
                      <w:spacing w:line="260" w:lineRule="exact"/>
                      <w:ind w:hanging="111"/>
                      <w:jc w:val="right"/>
                      <w:rPr>
                        <w:rFonts w:cs="Arial"/>
                        <w:snapToGrid w:val="0"/>
                        <w:sz w:val="20"/>
                        <w:szCs w:val="20"/>
                      </w:rPr>
                    </w:pPr>
                    <w:r w:rsidRPr="001B0D6F">
                      <w:rPr>
                        <w:rFonts w:cs="Arial"/>
                        <w:snapToGrid w:val="0"/>
                        <w:sz w:val="20"/>
                        <w:szCs w:val="20"/>
                      </w:rPr>
                      <w:t>预计2019年行权数量</w:t>
                    </w:r>
                  </w:p>
                </w:tc>
                <w:tc>
                  <w:tcPr>
                    <w:tcW w:w="1116" w:type="pct"/>
                  </w:tcPr>
                  <w:p w:rsidR="00182B92" w:rsidRPr="001B0D6F" w:rsidRDefault="00182B92" w:rsidP="00182B92">
                    <w:pPr>
                      <w:autoSpaceDE w:val="0"/>
                      <w:autoSpaceDN w:val="0"/>
                      <w:spacing w:line="260" w:lineRule="exact"/>
                      <w:jc w:val="right"/>
                      <w:rPr>
                        <w:rFonts w:cs="Arial"/>
                        <w:snapToGrid w:val="0"/>
                        <w:sz w:val="20"/>
                        <w:szCs w:val="20"/>
                      </w:rPr>
                    </w:pPr>
                    <w:r w:rsidRPr="001B0D6F">
                      <w:rPr>
                        <w:rFonts w:cs="Arial" w:hint="eastAsia"/>
                        <w:snapToGrid w:val="0"/>
                        <w:sz w:val="20"/>
                        <w:szCs w:val="20"/>
                      </w:rPr>
                      <w:t>预计</w:t>
                    </w:r>
                    <w:r w:rsidRPr="001B0D6F">
                      <w:rPr>
                        <w:rFonts w:cs="Arial"/>
                        <w:snapToGrid w:val="0"/>
                        <w:sz w:val="20"/>
                        <w:szCs w:val="20"/>
                      </w:rPr>
                      <w:t>行权价格*</w:t>
                    </w:r>
                  </w:p>
                </w:tc>
                <w:tc>
                  <w:tcPr>
                    <w:tcW w:w="1310" w:type="pct"/>
                  </w:tcPr>
                  <w:p w:rsidR="00182B92" w:rsidRPr="001B0D6F" w:rsidRDefault="00182B92" w:rsidP="00182B92">
                    <w:pPr>
                      <w:autoSpaceDE w:val="0"/>
                      <w:autoSpaceDN w:val="0"/>
                      <w:spacing w:line="260" w:lineRule="exact"/>
                      <w:ind w:right="-72"/>
                      <w:jc w:val="right"/>
                      <w:rPr>
                        <w:rFonts w:cs="Arial"/>
                        <w:snapToGrid w:val="0"/>
                        <w:sz w:val="20"/>
                        <w:szCs w:val="20"/>
                      </w:rPr>
                    </w:pPr>
                    <w:r w:rsidRPr="001B0D6F">
                      <w:rPr>
                        <w:rFonts w:cs="Arial"/>
                        <w:snapToGrid w:val="0"/>
                        <w:sz w:val="20"/>
                        <w:szCs w:val="20"/>
                      </w:rPr>
                      <w:t>行权有效期</w:t>
                    </w:r>
                  </w:p>
                </w:tc>
              </w:tr>
              <w:tr w:rsidR="00182B92" w:rsidRPr="001B0D6F" w:rsidTr="00182B92">
                <w:trPr>
                  <w:trHeight w:val="249"/>
                </w:trPr>
                <w:tc>
                  <w:tcPr>
                    <w:tcW w:w="1230" w:type="pct"/>
                  </w:tcPr>
                  <w:p w:rsidR="00182B92" w:rsidRPr="001B0D6F" w:rsidRDefault="00182B92" w:rsidP="00182B92">
                    <w:pPr>
                      <w:tabs>
                        <w:tab w:val="left" w:pos="1020"/>
                      </w:tabs>
                      <w:autoSpaceDE w:val="0"/>
                      <w:autoSpaceDN w:val="0"/>
                      <w:spacing w:line="260" w:lineRule="exact"/>
                      <w:ind w:left="-94" w:hanging="28"/>
                      <w:jc w:val="right"/>
                      <w:rPr>
                        <w:rFonts w:cs="Arial"/>
                        <w:snapToGrid w:val="0"/>
                        <w:sz w:val="20"/>
                        <w:szCs w:val="20"/>
                      </w:rPr>
                    </w:pPr>
                    <w:r w:rsidRPr="001B0D6F">
                      <w:rPr>
                        <w:rFonts w:cs="Arial"/>
                        <w:snapToGrid w:val="0"/>
                        <w:sz w:val="20"/>
                        <w:szCs w:val="20"/>
                      </w:rPr>
                      <w:t xml:space="preserve">          份</w:t>
                    </w:r>
                  </w:p>
                </w:tc>
                <w:tc>
                  <w:tcPr>
                    <w:tcW w:w="1344" w:type="pct"/>
                  </w:tcPr>
                  <w:p w:rsidR="00182B92" w:rsidRPr="001B0D6F" w:rsidRDefault="00182B92" w:rsidP="00182B92">
                    <w:pPr>
                      <w:autoSpaceDE w:val="0"/>
                      <w:autoSpaceDN w:val="0"/>
                      <w:spacing w:line="260" w:lineRule="exact"/>
                      <w:jc w:val="right"/>
                      <w:rPr>
                        <w:rFonts w:cs="Arial"/>
                        <w:snapToGrid w:val="0"/>
                        <w:sz w:val="20"/>
                        <w:szCs w:val="20"/>
                      </w:rPr>
                    </w:pPr>
                    <w:r w:rsidRPr="001B0D6F">
                      <w:rPr>
                        <w:rFonts w:cs="Arial"/>
                        <w:snapToGrid w:val="0"/>
                        <w:sz w:val="20"/>
                        <w:szCs w:val="20"/>
                      </w:rPr>
                      <w:t>份</w:t>
                    </w:r>
                  </w:p>
                </w:tc>
                <w:tc>
                  <w:tcPr>
                    <w:tcW w:w="1116" w:type="pct"/>
                  </w:tcPr>
                  <w:p w:rsidR="00182B92" w:rsidRPr="001B0D6F" w:rsidRDefault="00182B92" w:rsidP="00182B92">
                    <w:pPr>
                      <w:autoSpaceDE w:val="0"/>
                      <w:autoSpaceDN w:val="0"/>
                      <w:spacing w:line="260" w:lineRule="exact"/>
                      <w:jc w:val="right"/>
                      <w:rPr>
                        <w:rFonts w:cs="Arial"/>
                        <w:snapToGrid w:val="0"/>
                        <w:sz w:val="20"/>
                        <w:szCs w:val="20"/>
                      </w:rPr>
                    </w:pPr>
                    <w:r w:rsidRPr="001B0D6F">
                      <w:rPr>
                        <w:rFonts w:cs="Arial"/>
                        <w:snapToGrid w:val="0"/>
                        <w:sz w:val="20"/>
                        <w:szCs w:val="20"/>
                      </w:rPr>
                      <w:t>人民币元/股</w:t>
                    </w:r>
                  </w:p>
                </w:tc>
                <w:tc>
                  <w:tcPr>
                    <w:tcW w:w="1310" w:type="pct"/>
                  </w:tcPr>
                  <w:p w:rsidR="00182B92" w:rsidRPr="001B0D6F" w:rsidRDefault="00182B92" w:rsidP="00182B92">
                    <w:pPr>
                      <w:autoSpaceDE w:val="0"/>
                      <w:autoSpaceDN w:val="0"/>
                      <w:spacing w:line="260" w:lineRule="exact"/>
                      <w:ind w:right="-108"/>
                      <w:jc w:val="right"/>
                      <w:rPr>
                        <w:rFonts w:cs="Arial"/>
                        <w:snapToGrid w:val="0"/>
                        <w:sz w:val="20"/>
                        <w:szCs w:val="20"/>
                      </w:rPr>
                    </w:pPr>
                  </w:p>
                </w:tc>
              </w:tr>
              <w:tr w:rsidR="00182B92" w:rsidRPr="001B0D6F" w:rsidTr="00182B92">
                <w:trPr>
                  <w:trHeight w:val="249"/>
                </w:trPr>
                <w:tc>
                  <w:tcPr>
                    <w:tcW w:w="1230" w:type="pct"/>
                  </w:tcPr>
                  <w:p w:rsidR="00182B92" w:rsidRPr="001B0D6F" w:rsidRDefault="00182B92" w:rsidP="00182B92">
                    <w:pPr>
                      <w:tabs>
                        <w:tab w:val="left" w:pos="1020"/>
                      </w:tabs>
                      <w:autoSpaceDE w:val="0"/>
                      <w:autoSpaceDN w:val="0"/>
                      <w:spacing w:line="260" w:lineRule="exact"/>
                      <w:ind w:left="-94" w:hanging="28"/>
                      <w:rPr>
                        <w:rFonts w:cs="Arial"/>
                        <w:snapToGrid w:val="0"/>
                        <w:sz w:val="20"/>
                        <w:szCs w:val="20"/>
                      </w:rPr>
                    </w:pPr>
                  </w:p>
                </w:tc>
                <w:tc>
                  <w:tcPr>
                    <w:tcW w:w="1344" w:type="pct"/>
                  </w:tcPr>
                  <w:p w:rsidR="00182B92" w:rsidRPr="001B0D6F" w:rsidRDefault="00182B92" w:rsidP="00182B92">
                    <w:pPr>
                      <w:autoSpaceDE w:val="0"/>
                      <w:autoSpaceDN w:val="0"/>
                      <w:spacing w:line="260" w:lineRule="exact"/>
                      <w:jc w:val="right"/>
                      <w:rPr>
                        <w:rFonts w:cs="Arial"/>
                        <w:snapToGrid w:val="0"/>
                        <w:sz w:val="20"/>
                        <w:szCs w:val="20"/>
                      </w:rPr>
                    </w:pPr>
                  </w:p>
                </w:tc>
                <w:tc>
                  <w:tcPr>
                    <w:tcW w:w="1116" w:type="pct"/>
                  </w:tcPr>
                  <w:p w:rsidR="00182B92" w:rsidRPr="001B0D6F" w:rsidRDefault="00182B92" w:rsidP="00182B92">
                    <w:pPr>
                      <w:autoSpaceDE w:val="0"/>
                      <w:autoSpaceDN w:val="0"/>
                      <w:spacing w:line="260" w:lineRule="exact"/>
                      <w:jc w:val="right"/>
                      <w:rPr>
                        <w:rFonts w:cs="Arial"/>
                        <w:snapToGrid w:val="0"/>
                        <w:sz w:val="20"/>
                        <w:szCs w:val="20"/>
                      </w:rPr>
                    </w:pPr>
                  </w:p>
                </w:tc>
                <w:tc>
                  <w:tcPr>
                    <w:tcW w:w="1310" w:type="pct"/>
                  </w:tcPr>
                  <w:p w:rsidR="00182B92" w:rsidRPr="001B0D6F" w:rsidRDefault="00182B92" w:rsidP="00182B92">
                    <w:pPr>
                      <w:autoSpaceDE w:val="0"/>
                      <w:autoSpaceDN w:val="0"/>
                      <w:spacing w:line="260" w:lineRule="exact"/>
                      <w:ind w:right="-108"/>
                      <w:jc w:val="right"/>
                      <w:rPr>
                        <w:rFonts w:cs="Arial"/>
                        <w:snapToGrid w:val="0"/>
                        <w:sz w:val="20"/>
                        <w:szCs w:val="20"/>
                      </w:rPr>
                    </w:pPr>
                  </w:p>
                </w:tc>
              </w:tr>
              <w:tr w:rsidR="00182B92" w:rsidRPr="001B0D6F" w:rsidTr="00182B92">
                <w:trPr>
                  <w:trHeight w:val="249"/>
                </w:trPr>
                <w:tc>
                  <w:tcPr>
                    <w:tcW w:w="1230" w:type="pct"/>
                    <w:vAlign w:val="center"/>
                  </w:tcPr>
                  <w:p w:rsidR="00182B92" w:rsidRPr="001B0D6F" w:rsidRDefault="00182B92" w:rsidP="00182B92">
                    <w:pPr>
                      <w:tabs>
                        <w:tab w:val="left" w:pos="1020"/>
                      </w:tabs>
                      <w:autoSpaceDE w:val="0"/>
                      <w:autoSpaceDN w:val="0"/>
                      <w:spacing w:line="260" w:lineRule="exact"/>
                      <w:ind w:hanging="28"/>
                      <w:jc w:val="right"/>
                      <w:rPr>
                        <w:rFonts w:cs="Arial"/>
                        <w:snapToGrid w:val="0"/>
                        <w:sz w:val="20"/>
                        <w:szCs w:val="20"/>
                      </w:rPr>
                    </w:pPr>
                    <w:r w:rsidRPr="001B0D6F">
                      <w:rPr>
                        <w:rFonts w:cs="Arial"/>
                        <w:snapToGrid w:val="0"/>
                        <w:sz w:val="20"/>
                        <w:szCs w:val="20"/>
                      </w:rPr>
                      <w:t>1,149,161</w:t>
                    </w:r>
                  </w:p>
                </w:tc>
                <w:tc>
                  <w:tcPr>
                    <w:tcW w:w="1344" w:type="pct"/>
                    <w:vAlign w:val="center"/>
                  </w:tcPr>
                  <w:p w:rsidR="00182B92" w:rsidRPr="001B0D6F" w:rsidRDefault="00182B92" w:rsidP="00182B92">
                    <w:pPr>
                      <w:tabs>
                        <w:tab w:val="left" w:pos="1020"/>
                      </w:tabs>
                      <w:autoSpaceDE w:val="0"/>
                      <w:autoSpaceDN w:val="0"/>
                      <w:spacing w:line="260" w:lineRule="exact"/>
                      <w:jc w:val="right"/>
                      <w:rPr>
                        <w:rFonts w:cs="Arial"/>
                        <w:snapToGrid w:val="0"/>
                        <w:sz w:val="20"/>
                        <w:szCs w:val="20"/>
                      </w:rPr>
                    </w:pPr>
                    <w:r w:rsidRPr="001B0D6F">
                      <w:rPr>
                        <w:rFonts w:cs="Arial"/>
                        <w:snapToGrid w:val="0"/>
                        <w:sz w:val="20"/>
                        <w:szCs w:val="20"/>
                      </w:rPr>
                      <w:t>459</w:t>
                    </w:r>
                    <w:r w:rsidRPr="001B0D6F">
                      <w:rPr>
                        <w:rFonts w:cs="Arial" w:hint="eastAsia"/>
                        <w:snapToGrid w:val="0"/>
                        <w:sz w:val="20"/>
                        <w:szCs w:val="20"/>
                      </w:rPr>
                      <w:t>,664</w:t>
                    </w:r>
                  </w:p>
                </w:tc>
                <w:tc>
                  <w:tcPr>
                    <w:tcW w:w="1116" w:type="pct"/>
                    <w:vAlign w:val="center"/>
                  </w:tcPr>
                  <w:p w:rsidR="00182B92" w:rsidRPr="001B0D6F" w:rsidRDefault="00182B92" w:rsidP="00182B92">
                    <w:pPr>
                      <w:tabs>
                        <w:tab w:val="left" w:pos="1020"/>
                      </w:tabs>
                      <w:autoSpaceDE w:val="0"/>
                      <w:autoSpaceDN w:val="0"/>
                      <w:spacing w:line="260" w:lineRule="exact"/>
                      <w:jc w:val="right"/>
                      <w:rPr>
                        <w:rFonts w:cs="Arial"/>
                        <w:snapToGrid w:val="0"/>
                        <w:sz w:val="20"/>
                        <w:szCs w:val="20"/>
                      </w:rPr>
                    </w:pPr>
                    <w:r w:rsidRPr="001B0D6F">
                      <w:rPr>
                        <w:rFonts w:cs="Arial"/>
                        <w:snapToGrid w:val="0"/>
                        <w:sz w:val="20"/>
                        <w:szCs w:val="20"/>
                      </w:rPr>
                      <w:t>21.68</w:t>
                    </w:r>
                  </w:p>
                </w:tc>
                <w:tc>
                  <w:tcPr>
                    <w:tcW w:w="1310" w:type="pct"/>
                  </w:tcPr>
                  <w:p w:rsidR="00182B92" w:rsidRPr="001B0D6F" w:rsidRDefault="00182B92" w:rsidP="00182B92">
                    <w:pPr>
                      <w:autoSpaceDE w:val="0"/>
                      <w:autoSpaceDN w:val="0"/>
                      <w:spacing w:line="260" w:lineRule="exact"/>
                      <w:ind w:right="-108"/>
                      <w:jc w:val="right"/>
                      <w:rPr>
                        <w:rFonts w:cs="Arial"/>
                        <w:snapToGrid w:val="0"/>
                        <w:sz w:val="20"/>
                        <w:szCs w:val="20"/>
                      </w:rPr>
                    </w:pPr>
                    <w:r w:rsidRPr="001B0D6F">
                      <w:rPr>
                        <w:rFonts w:cs="Arial"/>
                        <w:snapToGrid w:val="0"/>
                        <w:sz w:val="20"/>
                        <w:szCs w:val="20"/>
                      </w:rPr>
                      <w:t>2019年11月12日</w:t>
                    </w:r>
                  </w:p>
                  <w:p w:rsidR="00182B92" w:rsidRPr="001B0D6F" w:rsidRDefault="00182B92" w:rsidP="00182B92">
                    <w:pPr>
                      <w:autoSpaceDE w:val="0"/>
                      <w:autoSpaceDN w:val="0"/>
                      <w:spacing w:line="260" w:lineRule="exact"/>
                      <w:ind w:right="-108"/>
                      <w:jc w:val="right"/>
                      <w:rPr>
                        <w:rFonts w:cs="Arial"/>
                        <w:snapToGrid w:val="0"/>
                        <w:sz w:val="20"/>
                        <w:szCs w:val="20"/>
                      </w:rPr>
                    </w:pPr>
                    <w:r w:rsidRPr="001B0D6F">
                      <w:rPr>
                        <w:rFonts w:cs="Arial"/>
                        <w:snapToGrid w:val="0"/>
                        <w:sz w:val="20"/>
                        <w:szCs w:val="20"/>
                      </w:rPr>
                      <w:t>至2022年11月11日</w:t>
                    </w:r>
                  </w:p>
                </w:tc>
              </w:tr>
            </w:tbl>
            <w:p w:rsidR="00182B92" w:rsidRPr="001B0D6F" w:rsidRDefault="00182B92" w:rsidP="00182B92">
              <w:pPr>
                <w:overflowPunct w:val="0"/>
                <w:autoSpaceDE w:val="0"/>
                <w:autoSpaceDN w:val="0"/>
                <w:adjustRightInd w:val="0"/>
                <w:snapToGrid w:val="0"/>
                <w:jc w:val="both"/>
                <w:textAlignment w:val="bottom"/>
                <w:rPr>
                  <w:rFonts w:cs="Arial"/>
                  <w:snapToGrid w:val="0"/>
                  <w:sz w:val="20"/>
                  <w:szCs w:val="20"/>
                </w:rPr>
              </w:pPr>
            </w:p>
            <w:p w:rsidR="00182B92" w:rsidRPr="001B0D6F" w:rsidRDefault="00182B92" w:rsidP="00182B92">
              <w:pPr>
                <w:overflowPunct w:val="0"/>
                <w:autoSpaceDE w:val="0"/>
                <w:autoSpaceDN w:val="0"/>
                <w:adjustRightInd w:val="0"/>
                <w:snapToGrid w:val="0"/>
                <w:jc w:val="both"/>
                <w:textAlignment w:val="bottom"/>
                <w:rPr>
                  <w:rFonts w:cs="Arial"/>
                  <w:snapToGrid w:val="0"/>
                  <w:sz w:val="20"/>
                  <w:szCs w:val="20"/>
                </w:rPr>
              </w:pPr>
              <w:r w:rsidRPr="001B0D6F">
                <w:rPr>
                  <w:rFonts w:cs="Arial"/>
                  <w:snapToGrid w:val="0"/>
                  <w:sz w:val="20"/>
                  <w:szCs w:val="20"/>
                </w:rPr>
                <w:t>*股票期权的行权价格可根据配股、派发股票股利或本公司股本的其他类似变化予以调整。</w:t>
              </w:r>
            </w:p>
            <w:p w:rsidR="00182B92" w:rsidRPr="001B0D6F" w:rsidRDefault="00182B92" w:rsidP="00182B92">
              <w:pPr>
                <w:overflowPunct w:val="0"/>
                <w:autoSpaceDE w:val="0"/>
                <w:autoSpaceDN w:val="0"/>
                <w:adjustRightInd w:val="0"/>
                <w:snapToGrid w:val="0"/>
                <w:jc w:val="both"/>
                <w:textAlignment w:val="bottom"/>
                <w:rPr>
                  <w:rFonts w:cs="Arial"/>
                  <w:snapToGrid w:val="0"/>
                  <w:sz w:val="20"/>
                  <w:szCs w:val="20"/>
                </w:rPr>
              </w:pPr>
            </w:p>
            <w:p w:rsidR="007A3177" w:rsidRDefault="00182B92" w:rsidP="00182B92">
              <w:pPr>
                <w:overflowPunct w:val="0"/>
                <w:autoSpaceDE w:val="0"/>
                <w:autoSpaceDN w:val="0"/>
                <w:adjustRightInd w:val="0"/>
                <w:snapToGrid w:val="0"/>
                <w:jc w:val="both"/>
                <w:textAlignment w:val="bottom"/>
                <w:rPr>
                  <w:rFonts w:cs="Arial"/>
                  <w:snapToGrid w:val="0"/>
                  <w:sz w:val="20"/>
                  <w:szCs w:val="20"/>
                </w:rPr>
              </w:pPr>
              <w:r w:rsidRPr="001B0D6F">
                <w:rPr>
                  <w:rFonts w:cs="Arial"/>
                  <w:snapToGrid w:val="0"/>
                  <w:sz w:val="20"/>
                  <w:szCs w:val="20"/>
                </w:rPr>
                <w:t>于2019年6月30日，本公司在本计划下发行在外的股票期权为1,149,161份，因2018年公司业绩已达到2018年股票期权激励计划的行权条件，预计2019年可行权。</w:t>
              </w:r>
            </w:p>
            <w:p w:rsidR="007A3177" w:rsidRDefault="007A3177" w:rsidP="00182B92">
              <w:pPr>
                <w:overflowPunct w:val="0"/>
                <w:autoSpaceDE w:val="0"/>
                <w:autoSpaceDN w:val="0"/>
                <w:adjustRightInd w:val="0"/>
                <w:snapToGrid w:val="0"/>
                <w:jc w:val="both"/>
                <w:textAlignment w:val="bottom"/>
                <w:rPr>
                  <w:rFonts w:cs="Arial"/>
                  <w:snapToGrid w:val="0"/>
                  <w:sz w:val="20"/>
                  <w:szCs w:val="20"/>
                </w:rPr>
              </w:pPr>
            </w:p>
            <w:p w:rsidR="007A3177" w:rsidRPr="007A3177" w:rsidRDefault="007A3177" w:rsidP="00B637B2">
              <w:pPr>
                <w:autoSpaceDE w:val="0"/>
                <w:autoSpaceDN w:val="0"/>
                <w:snapToGrid w:val="0"/>
                <w:spacing w:line="240" w:lineRule="exact"/>
                <w:jc w:val="both"/>
                <w:textAlignment w:val="bottom"/>
                <w:rPr>
                  <w:rFonts w:cs="Arial"/>
                  <w:b/>
                  <w:snapToGrid w:val="0"/>
                  <w:sz w:val="20"/>
                  <w:szCs w:val="20"/>
                  <w:u w:val="single"/>
                </w:rPr>
              </w:pPr>
              <w:r w:rsidRPr="007A3177">
                <w:rPr>
                  <w:rFonts w:cs="Arial"/>
                  <w:b/>
                  <w:snapToGrid w:val="0"/>
                  <w:sz w:val="20"/>
                  <w:szCs w:val="20"/>
                  <w:u w:val="single"/>
                </w:rPr>
                <w:t>股份支付计划二</w:t>
              </w:r>
            </w:p>
            <w:p w:rsidR="007A3177" w:rsidRPr="007A3177" w:rsidRDefault="007A3177" w:rsidP="007A3177">
              <w:pPr>
                <w:overflowPunct w:val="0"/>
                <w:autoSpaceDE w:val="0"/>
                <w:autoSpaceDN w:val="0"/>
                <w:adjustRightInd w:val="0"/>
                <w:snapToGrid w:val="0"/>
                <w:jc w:val="both"/>
                <w:textAlignment w:val="bottom"/>
                <w:rPr>
                  <w:rFonts w:cs="Arial"/>
                  <w:snapToGrid w:val="0"/>
                  <w:sz w:val="20"/>
                  <w:szCs w:val="20"/>
                </w:rPr>
              </w:pPr>
            </w:p>
            <w:p w:rsidR="007A3177" w:rsidRPr="007A3177" w:rsidRDefault="007A3177" w:rsidP="00036BDC">
              <w:pPr>
                <w:widowControl w:val="0"/>
                <w:numPr>
                  <w:ilvl w:val="0"/>
                  <w:numId w:val="92"/>
                </w:numPr>
                <w:overflowPunct w:val="0"/>
                <w:autoSpaceDE w:val="0"/>
                <w:autoSpaceDN w:val="0"/>
                <w:adjustRightInd w:val="0"/>
                <w:snapToGrid w:val="0"/>
                <w:spacing w:line="260" w:lineRule="exact"/>
                <w:ind w:left="357" w:hanging="357"/>
                <w:contextualSpacing/>
                <w:jc w:val="both"/>
                <w:textAlignment w:val="bottom"/>
                <w:rPr>
                  <w:rFonts w:cs="Arial"/>
                  <w:b/>
                  <w:sz w:val="20"/>
                  <w:szCs w:val="20"/>
                </w:rPr>
              </w:pPr>
              <w:r w:rsidRPr="007A3177">
                <w:rPr>
                  <w:rFonts w:cs="Arial"/>
                  <w:b/>
                  <w:sz w:val="20"/>
                  <w:szCs w:val="20"/>
                </w:rPr>
                <w:t xml:space="preserve">   </w:t>
              </w:r>
              <w:r w:rsidRPr="007A3177">
                <w:rPr>
                  <w:rFonts w:cs="Arial" w:hint="eastAsia"/>
                  <w:b/>
                  <w:sz w:val="20"/>
                  <w:szCs w:val="20"/>
                </w:rPr>
                <w:t>概况</w:t>
              </w:r>
            </w:p>
            <w:p w:rsidR="007A3177" w:rsidRPr="007A3177" w:rsidRDefault="007A3177" w:rsidP="007A3177">
              <w:pPr>
                <w:widowControl w:val="0"/>
                <w:adjustRightInd w:val="0"/>
                <w:spacing w:line="220" w:lineRule="exact"/>
                <w:ind w:right="-108"/>
                <w:jc w:val="both"/>
                <w:textAlignment w:val="baseline"/>
                <w:rPr>
                  <w:rFonts w:cs="Arial"/>
                  <w:b/>
                  <w:sz w:val="20"/>
                  <w:szCs w:val="20"/>
                </w:rPr>
              </w:pPr>
            </w:p>
            <w:tbl>
              <w:tblPr>
                <w:tblStyle w:val="g35"/>
                <w:tblW w:w="8471" w:type="dxa"/>
                <w:tblLayout w:type="fixed"/>
                <w:tblLook w:val="04A0" w:firstRow="1" w:lastRow="0" w:firstColumn="1" w:lastColumn="0" w:noHBand="0" w:noVBand="1"/>
              </w:tblPr>
              <w:tblGrid>
                <w:gridCol w:w="3085"/>
                <w:gridCol w:w="992"/>
                <w:gridCol w:w="2041"/>
                <w:gridCol w:w="238"/>
                <w:gridCol w:w="1866"/>
                <w:gridCol w:w="249"/>
              </w:tblGrid>
              <w:tr w:rsidR="007A3177" w:rsidRPr="007A3177" w:rsidTr="003F54E5">
                <w:tc>
                  <w:tcPr>
                    <w:tcW w:w="3085" w:type="dxa"/>
                    <w:vAlign w:val="bottom"/>
                  </w:tcPr>
                  <w:p w:rsidR="007A3177" w:rsidRPr="007A3177" w:rsidRDefault="007A3177" w:rsidP="003F54E5">
                    <w:pPr>
                      <w:widowControl w:val="0"/>
                      <w:tabs>
                        <w:tab w:val="right" w:pos="5812"/>
                        <w:tab w:val="right" w:pos="8280"/>
                      </w:tabs>
                      <w:overflowPunct w:val="0"/>
                      <w:autoSpaceDE w:val="0"/>
                      <w:autoSpaceDN w:val="0"/>
                      <w:adjustRightInd w:val="0"/>
                      <w:snapToGrid w:val="0"/>
                      <w:spacing w:line="240" w:lineRule="atLeast"/>
                      <w:jc w:val="both"/>
                      <w:textAlignment w:val="bottom"/>
                      <w:rPr>
                        <w:rFonts w:cs="Arial"/>
                        <w:snapToGrid w:val="0"/>
                        <w:szCs w:val="20"/>
                      </w:rPr>
                    </w:pPr>
                  </w:p>
                </w:tc>
                <w:tc>
                  <w:tcPr>
                    <w:tcW w:w="992" w:type="dxa"/>
                    <w:vAlign w:val="bottom"/>
                  </w:tcPr>
                  <w:p w:rsidR="007A3177" w:rsidRPr="007A3177" w:rsidRDefault="007A3177" w:rsidP="003F54E5">
                    <w:pPr>
                      <w:widowControl w:val="0"/>
                      <w:adjustRightInd w:val="0"/>
                      <w:spacing w:line="220" w:lineRule="exact"/>
                      <w:ind w:left="-74" w:right="-113" w:hanging="42"/>
                      <w:jc w:val="right"/>
                      <w:textAlignment w:val="baseline"/>
                      <w:rPr>
                        <w:rFonts w:cs="Arial"/>
                        <w:color w:val="000000"/>
                        <w:sz w:val="20"/>
                        <w:szCs w:val="20"/>
                      </w:rPr>
                    </w:pPr>
                  </w:p>
                </w:tc>
                <w:tc>
                  <w:tcPr>
                    <w:tcW w:w="2041" w:type="dxa"/>
                    <w:vAlign w:val="center"/>
                  </w:tcPr>
                  <w:p w:rsidR="007A3177" w:rsidRPr="007A3177" w:rsidRDefault="007A3177" w:rsidP="003F54E5">
                    <w:pPr>
                      <w:autoSpaceDE w:val="0"/>
                      <w:autoSpaceDN w:val="0"/>
                      <w:adjustRightInd w:val="0"/>
                      <w:spacing w:line="0" w:lineRule="atLeast"/>
                      <w:ind w:right="-110" w:hanging="112"/>
                      <w:jc w:val="right"/>
                      <w:textAlignment w:val="bottom"/>
                      <w:rPr>
                        <w:rFonts w:cs="Arial"/>
                        <w:snapToGrid w:val="0"/>
                        <w:sz w:val="20"/>
                        <w:szCs w:val="20"/>
                      </w:rPr>
                    </w:pPr>
                    <w:r w:rsidRPr="007A3177">
                      <w:rPr>
                        <w:rFonts w:cs="Arial"/>
                        <w:snapToGrid w:val="0"/>
                        <w:sz w:val="20"/>
                        <w:szCs w:val="20"/>
                      </w:rPr>
                      <w:t>2019</w:t>
                    </w:r>
                    <w:r w:rsidRPr="007A3177">
                      <w:rPr>
                        <w:rFonts w:cs="Arial" w:hint="eastAsia"/>
                        <w:snapToGrid w:val="0"/>
                        <w:sz w:val="20"/>
                        <w:szCs w:val="20"/>
                      </w:rPr>
                      <w:t>年1-</w:t>
                    </w:r>
                    <w:r w:rsidRPr="007A3177">
                      <w:rPr>
                        <w:rFonts w:cs="Arial"/>
                        <w:snapToGrid w:val="0"/>
                        <w:sz w:val="20"/>
                        <w:szCs w:val="20"/>
                      </w:rPr>
                      <w:t>6</w:t>
                    </w:r>
                    <w:r w:rsidRPr="007A3177">
                      <w:rPr>
                        <w:rFonts w:cs="Arial" w:hint="eastAsia"/>
                        <w:snapToGrid w:val="0"/>
                        <w:sz w:val="20"/>
                        <w:szCs w:val="20"/>
                      </w:rPr>
                      <w:t>月</w:t>
                    </w:r>
                  </w:p>
                </w:tc>
                <w:tc>
                  <w:tcPr>
                    <w:tcW w:w="238" w:type="dxa"/>
                    <w:vAlign w:val="center"/>
                  </w:tcPr>
                  <w:p w:rsidR="007A3177" w:rsidRPr="007A3177" w:rsidRDefault="007A3177" w:rsidP="003F54E5">
                    <w:pPr>
                      <w:widowControl w:val="0"/>
                      <w:adjustRightInd w:val="0"/>
                      <w:spacing w:line="220" w:lineRule="exact"/>
                      <w:ind w:left="-74" w:right="-113" w:hanging="42"/>
                      <w:jc w:val="right"/>
                      <w:textAlignment w:val="baseline"/>
                      <w:rPr>
                        <w:rFonts w:cs="Arial"/>
                        <w:color w:val="000000"/>
                        <w:sz w:val="20"/>
                        <w:szCs w:val="20"/>
                      </w:rPr>
                    </w:pPr>
                  </w:p>
                </w:tc>
                <w:tc>
                  <w:tcPr>
                    <w:tcW w:w="1866" w:type="dxa"/>
                    <w:vAlign w:val="center"/>
                  </w:tcPr>
                  <w:p w:rsidR="007A3177" w:rsidRPr="007A3177" w:rsidRDefault="007A3177" w:rsidP="003F54E5">
                    <w:pPr>
                      <w:autoSpaceDE w:val="0"/>
                      <w:autoSpaceDN w:val="0"/>
                      <w:adjustRightInd w:val="0"/>
                      <w:spacing w:line="0" w:lineRule="atLeast"/>
                      <w:ind w:right="-110" w:hanging="112"/>
                      <w:jc w:val="right"/>
                      <w:textAlignment w:val="bottom"/>
                      <w:rPr>
                        <w:rFonts w:cs="Arial"/>
                        <w:snapToGrid w:val="0"/>
                        <w:sz w:val="20"/>
                        <w:szCs w:val="20"/>
                      </w:rPr>
                    </w:pPr>
                    <w:r w:rsidRPr="007A3177">
                      <w:rPr>
                        <w:rFonts w:cs="Arial"/>
                        <w:snapToGrid w:val="0"/>
                        <w:sz w:val="20"/>
                        <w:szCs w:val="20"/>
                      </w:rPr>
                      <w:t xml:space="preserve"> 2018</w:t>
                    </w:r>
                    <w:r w:rsidRPr="007A3177">
                      <w:rPr>
                        <w:rFonts w:cs="Arial" w:hint="eastAsia"/>
                        <w:snapToGrid w:val="0"/>
                        <w:sz w:val="20"/>
                        <w:szCs w:val="20"/>
                      </w:rPr>
                      <w:t>年1-</w:t>
                    </w:r>
                    <w:r w:rsidRPr="007A3177">
                      <w:rPr>
                        <w:rFonts w:cs="Arial"/>
                        <w:snapToGrid w:val="0"/>
                        <w:sz w:val="20"/>
                        <w:szCs w:val="20"/>
                      </w:rPr>
                      <w:t>6</w:t>
                    </w:r>
                    <w:r w:rsidRPr="007A3177">
                      <w:rPr>
                        <w:rFonts w:cs="Arial" w:hint="eastAsia"/>
                        <w:snapToGrid w:val="0"/>
                        <w:sz w:val="20"/>
                        <w:szCs w:val="20"/>
                      </w:rPr>
                      <w:t>月</w:t>
                    </w:r>
                  </w:p>
                </w:tc>
                <w:tc>
                  <w:tcPr>
                    <w:tcW w:w="249" w:type="dxa"/>
                  </w:tcPr>
                  <w:p w:rsidR="007A3177" w:rsidRPr="007A3177" w:rsidRDefault="007A3177" w:rsidP="003F54E5">
                    <w:pPr>
                      <w:widowControl w:val="0"/>
                      <w:adjustRightInd w:val="0"/>
                      <w:spacing w:line="220" w:lineRule="exact"/>
                      <w:ind w:left="-74" w:right="-113" w:hanging="42"/>
                      <w:jc w:val="right"/>
                      <w:textAlignment w:val="baseline"/>
                      <w:rPr>
                        <w:rFonts w:cs="Arial"/>
                        <w:color w:val="000000"/>
                        <w:sz w:val="20"/>
                        <w:szCs w:val="20"/>
                      </w:rPr>
                    </w:pPr>
                  </w:p>
                </w:tc>
              </w:tr>
              <w:tr w:rsidR="007A3177" w:rsidRPr="007A3177" w:rsidTr="003F54E5">
                <w:trPr>
                  <w:trHeight w:val="252"/>
                </w:trPr>
                <w:tc>
                  <w:tcPr>
                    <w:tcW w:w="3085" w:type="dxa"/>
                    <w:vAlign w:val="bottom"/>
                  </w:tcPr>
                  <w:p w:rsidR="007A3177" w:rsidRPr="007A3177" w:rsidRDefault="007A3177" w:rsidP="003F54E5">
                    <w:pPr>
                      <w:widowControl w:val="0"/>
                      <w:adjustRightInd w:val="0"/>
                      <w:spacing w:line="220" w:lineRule="exact"/>
                      <w:ind w:left="-74" w:right="-98" w:hanging="42"/>
                      <w:textAlignment w:val="baseline"/>
                      <w:rPr>
                        <w:rFonts w:cs="Arial"/>
                        <w:color w:val="000000"/>
                        <w:sz w:val="20"/>
                        <w:szCs w:val="20"/>
                      </w:rPr>
                    </w:pPr>
                  </w:p>
                </w:tc>
                <w:tc>
                  <w:tcPr>
                    <w:tcW w:w="992" w:type="dxa"/>
                    <w:vAlign w:val="bottom"/>
                  </w:tcPr>
                  <w:p w:rsidR="007A3177" w:rsidRPr="007A3177" w:rsidRDefault="007A3177" w:rsidP="003F54E5">
                    <w:pPr>
                      <w:widowControl w:val="0"/>
                      <w:adjustRightInd w:val="0"/>
                      <w:spacing w:line="220" w:lineRule="exact"/>
                      <w:ind w:left="-74" w:right="-98" w:hanging="42"/>
                      <w:textAlignment w:val="baseline"/>
                      <w:rPr>
                        <w:rFonts w:cs="Arial"/>
                        <w:color w:val="000000"/>
                        <w:sz w:val="20"/>
                        <w:szCs w:val="20"/>
                      </w:rPr>
                    </w:pPr>
                  </w:p>
                </w:tc>
                <w:tc>
                  <w:tcPr>
                    <w:tcW w:w="2041" w:type="dxa"/>
                    <w:vAlign w:val="bottom"/>
                  </w:tcPr>
                  <w:p w:rsidR="007A3177" w:rsidRPr="007A3177" w:rsidRDefault="007A3177" w:rsidP="003F54E5">
                    <w:pPr>
                      <w:widowControl w:val="0"/>
                      <w:adjustRightInd w:val="0"/>
                      <w:spacing w:line="220" w:lineRule="exact"/>
                      <w:ind w:left="-74" w:right="-98" w:hanging="42"/>
                      <w:jc w:val="right"/>
                      <w:textAlignment w:val="baseline"/>
                      <w:rPr>
                        <w:rFonts w:cs="Arial"/>
                        <w:color w:val="000000"/>
                        <w:sz w:val="20"/>
                        <w:szCs w:val="20"/>
                      </w:rPr>
                    </w:pPr>
                  </w:p>
                </w:tc>
                <w:tc>
                  <w:tcPr>
                    <w:tcW w:w="238" w:type="dxa"/>
                    <w:vAlign w:val="bottom"/>
                  </w:tcPr>
                  <w:p w:rsidR="007A3177" w:rsidRPr="007A3177" w:rsidRDefault="007A3177" w:rsidP="003F54E5">
                    <w:pPr>
                      <w:widowControl w:val="0"/>
                      <w:adjustRightInd w:val="0"/>
                      <w:spacing w:line="220" w:lineRule="exact"/>
                      <w:ind w:left="-74" w:right="-98" w:hanging="42"/>
                      <w:jc w:val="right"/>
                      <w:textAlignment w:val="baseline"/>
                      <w:rPr>
                        <w:rFonts w:cs="Arial"/>
                        <w:color w:val="000000"/>
                        <w:sz w:val="20"/>
                        <w:szCs w:val="20"/>
                      </w:rPr>
                    </w:pPr>
                  </w:p>
                </w:tc>
                <w:tc>
                  <w:tcPr>
                    <w:tcW w:w="1866" w:type="dxa"/>
                    <w:vAlign w:val="bottom"/>
                  </w:tcPr>
                  <w:p w:rsidR="007A3177" w:rsidRPr="007A3177" w:rsidRDefault="007A3177" w:rsidP="003F54E5">
                    <w:pPr>
                      <w:widowControl w:val="0"/>
                      <w:wordWrap w:val="0"/>
                      <w:adjustRightInd w:val="0"/>
                      <w:spacing w:line="220" w:lineRule="exact"/>
                      <w:ind w:left="-74" w:right="-98" w:hanging="42"/>
                      <w:jc w:val="right"/>
                      <w:textAlignment w:val="baseline"/>
                      <w:rPr>
                        <w:rFonts w:cs="Arial"/>
                        <w:color w:val="000000"/>
                        <w:sz w:val="20"/>
                        <w:szCs w:val="20"/>
                      </w:rPr>
                    </w:pPr>
                  </w:p>
                </w:tc>
                <w:tc>
                  <w:tcPr>
                    <w:tcW w:w="249" w:type="dxa"/>
                  </w:tcPr>
                  <w:p w:rsidR="007A3177" w:rsidRPr="007A3177" w:rsidRDefault="007A3177" w:rsidP="003F54E5">
                    <w:pPr>
                      <w:widowControl w:val="0"/>
                      <w:adjustRightInd w:val="0"/>
                      <w:spacing w:line="220" w:lineRule="exact"/>
                      <w:ind w:left="-74" w:right="-98" w:hanging="42"/>
                      <w:textAlignment w:val="baseline"/>
                      <w:rPr>
                        <w:rFonts w:cs="Arial"/>
                        <w:color w:val="000000"/>
                        <w:sz w:val="20"/>
                        <w:szCs w:val="20"/>
                      </w:rPr>
                    </w:pPr>
                  </w:p>
                </w:tc>
              </w:tr>
              <w:tr w:rsidR="007A3177" w:rsidRPr="007A3177" w:rsidTr="003F54E5">
                <w:trPr>
                  <w:trHeight w:val="252"/>
                </w:trPr>
                <w:tc>
                  <w:tcPr>
                    <w:tcW w:w="3085" w:type="dxa"/>
                    <w:vAlign w:val="bottom"/>
                  </w:tcPr>
                  <w:p w:rsidR="007A3177" w:rsidRPr="007A3177" w:rsidRDefault="007A3177" w:rsidP="003F54E5">
                    <w:pPr>
                      <w:widowControl w:val="0"/>
                      <w:adjustRightInd w:val="0"/>
                      <w:spacing w:line="220" w:lineRule="exact"/>
                      <w:ind w:left="-74" w:right="-98" w:hanging="42"/>
                      <w:textAlignment w:val="baseline"/>
                      <w:rPr>
                        <w:rFonts w:cs="Arial"/>
                        <w:color w:val="000000"/>
                        <w:sz w:val="20"/>
                        <w:szCs w:val="20"/>
                      </w:rPr>
                    </w:pPr>
                    <w:r w:rsidRPr="007A3177">
                      <w:rPr>
                        <w:rFonts w:cs="Arial" w:hint="eastAsia"/>
                        <w:color w:val="000000"/>
                        <w:sz w:val="20"/>
                        <w:szCs w:val="20"/>
                      </w:rPr>
                      <w:t>授予的权益工具总额</w:t>
                    </w:r>
                    <w:r w:rsidRPr="007A3177">
                      <w:rPr>
                        <w:rFonts w:cs="Arial"/>
                        <w:color w:val="000000"/>
                        <w:sz w:val="20"/>
                        <w:szCs w:val="20"/>
                      </w:rPr>
                      <w:t>(</w:t>
                    </w:r>
                    <w:r w:rsidRPr="007A3177">
                      <w:rPr>
                        <w:rFonts w:cs="Arial" w:hint="eastAsia"/>
                        <w:color w:val="000000"/>
                        <w:sz w:val="20"/>
                        <w:szCs w:val="20"/>
                      </w:rPr>
                      <w:t>股数</w:t>
                    </w:r>
                    <w:r w:rsidRPr="007A3177">
                      <w:rPr>
                        <w:rFonts w:cs="Arial"/>
                        <w:color w:val="000000"/>
                        <w:sz w:val="20"/>
                        <w:szCs w:val="20"/>
                      </w:rPr>
                      <w:t>)</w:t>
                    </w:r>
                  </w:p>
                </w:tc>
                <w:tc>
                  <w:tcPr>
                    <w:tcW w:w="992" w:type="dxa"/>
                    <w:vAlign w:val="bottom"/>
                  </w:tcPr>
                  <w:p w:rsidR="007A3177" w:rsidRPr="007A3177" w:rsidRDefault="007A3177" w:rsidP="003F54E5">
                    <w:pPr>
                      <w:widowControl w:val="0"/>
                      <w:adjustRightInd w:val="0"/>
                      <w:spacing w:line="220" w:lineRule="exact"/>
                      <w:ind w:left="-74" w:right="-98" w:hanging="42"/>
                      <w:textAlignment w:val="baseline"/>
                      <w:rPr>
                        <w:rFonts w:cs="Arial"/>
                        <w:color w:val="000000"/>
                        <w:sz w:val="20"/>
                        <w:szCs w:val="20"/>
                      </w:rPr>
                    </w:pPr>
                  </w:p>
                </w:tc>
                <w:tc>
                  <w:tcPr>
                    <w:tcW w:w="2041" w:type="dxa"/>
                    <w:vAlign w:val="center"/>
                  </w:tcPr>
                  <w:p w:rsidR="007A3177" w:rsidRPr="007A3177" w:rsidRDefault="007A3177" w:rsidP="003F54E5">
                    <w:pPr>
                      <w:widowControl w:val="0"/>
                      <w:adjustRightInd w:val="0"/>
                      <w:spacing w:line="220" w:lineRule="exact"/>
                      <w:ind w:left="-74" w:right="-98" w:hanging="42"/>
                      <w:jc w:val="right"/>
                      <w:textAlignment w:val="baseline"/>
                      <w:rPr>
                        <w:rFonts w:cs="Arial"/>
                        <w:color w:val="000000"/>
                        <w:sz w:val="20"/>
                        <w:szCs w:val="20"/>
                      </w:rPr>
                    </w:pPr>
                    <w:r w:rsidRPr="007A3177">
                      <w:rPr>
                        <w:rFonts w:cs="Arial"/>
                        <w:sz w:val="20"/>
                      </w:rPr>
                      <w:t>0</w:t>
                    </w:r>
                  </w:p>
                </w:tc>
                <w:tc>
                  <w:tcPr>
                    <w:tcW w:w="238" w:type="dxa"/>
                    <w:vAlign w:val="center"/>
                  </w:tcPr>
                  <w:p w:rsidR="007A3177" w:rsidRPr="007A3177" w:rsidRDefault="007A3177" w:rsidP="003F54E5">
                    <w:pPr>
                      <w:widowControl w:val="0"/>
                      <w:adjustRightInd w:val="0"/>
                      <w:spacing w:line="220" w:lineRule="exact"/>
                      <w:ind w:left="-74" w:right="-98" w:hanging="42"/>
                      <w:jc w:val="right"/>
                      <w:textAlignment w:val="baseline"/>
                      <w:rPr>
                        <w:rFonts w:cs="Arial"/>
                        <w:color w:val="000000"/>
                        <w:sz w:val="20"/>
                        <w:szCs w:val="20"/>
                      </w:rPr>
                    </w:pPr>
                  </w:p>
                </w:tc>
                <w:tc>
                  <w:tcPr>
                    <w:tcW w:w="1866" w:type="dxa"/>
                    <w:vAlign w:val="center"/>
                  </w:tcPr>
                  <w:p w:rsidR="007A3177" w:rsidRPr="007A3177" w:rsidRDefault="007A3177" w:rsidP="003F54E5">
                    <w:pPr>
                      <w:widowControl w:val="0"/>
                      <w:wordWrap w:val="0"/>
                      <w:adjustRightInd w:val="0"/>
                      <w:spacing w:line="220" w:lineRule="exact"/>
                      <w:ind w:left="-74" w:right="-98" w:hanging="42"/>
                      <w:jc w:val="right"/>
                      <w:textAlignment w:val="baseline"/>
                      <w:rPr>
                        <w:rFonts w:cs="Arial"/>
                        <w:color w:val="000000"/>
                        <w:sz w:val="20"/>
                        <w:szCs w:val="20"/>
                      </w:rPr>
                    </w:pPr>
                    <w:r w:rsidRPr="007A3177">
                      <w:rPr>
                        <w:rFonts w:cs="Arial" w:hint="eastAsia"/>
                        <w:sz w:val="20"/>
                      </w:rPr>
                      <w:t>0</w:t>
                    </w:r>
                  </w:p>
                </w:tc>
                <w:tc>
                  <w:tcPr>
                    <w:tcW w:w="249" w:type="dxa"/>
                  </w:tcPr>
                  <w:p w:rsidR="007A3177" w:rsidRPr="007A3177" w:rsidRDefault="007A3177" w:rsidP="003F54E5">
                    <w:pPr>
                      <w:widowControl w:val="0"/>
                      <w:adjustRightInd w:val="0"/>
                      <w:spacing w:line="220" w:lineRule="exact"/>
                      <w:ind w:left="-74" w:right="-98" w:hanging="42"/>
                      <w:textAlignment w:val="baseline"/>
                      <w:rPr>
                        <w:rFonts w:cs="Arial"/>
                        <w:color w:val="000000"/>
                        <w:sz w:val="20"/>
                        <w:szCs w:val="20"/>
                      </w:rPr>
                    </w:pPr>
                  </w:p>
                </w:tc>
              </w:tr>
              <w:tr w:rsidR="007A3177" w:rsidRPr="007A3177" w:rsidTr="003F54E5">
                <w:trPr>
                  <w:trHeight w:val="252"/>
                </w:trPr>
                <w:tc>
                  <w:tcPr>
                    <w:tcW w:w="3085" w:type="dxa"/>
                    <w:vAlign w:val="bottom"/>
                  </w:tcPr>
                  <w:p w:rsidR="007A3177" w:rsidRPr="007A3177" w:rsidRDefault="007A3177" w:rsidP="003F54E5">
                    <w:pPr>
                      <w:widowControl w:val="0"/>
                      <w:adjustRightInd w:val="0"/>
                      <w:spacing w:line="220" w:lineRule="exact"/>
                      <w:ind w:left="-74" w:right="-98" w:hanging="42"/>
                      <w:textAlignment w:val="baseline"/>
                      <w:rPr>
                        <w:rFonts w:cs="Arial"/>
                        <w:color w:val="000000"/>
                        <w:sz w:val="20"/>
                        <w:szCs w:val="20"/>
                      </w:rPr>
                    </w:pPr>
                    <w:r w:rsidRPr="007A3177">
                      <w:rPr>
                        <w:rFonts w:cs="Arial" w:hint="eastAsia"/>
                        <w:color w:val="000000"/>
                        <w:sz w:val="20"/>
                        <w:szCs w:val="20"/>
                      </w:rPr>
                      <w:t>解锁的权益工具总额</w:t>
                    </w:r>
                    <w:r w:rsidRPr="007A3177">
                      <w:rPr>
                        <w:rFonts w:cs="Arial"/>
                        <w:color w:val="000000"/>
                        <w:sz w:val="20"/>
                        <w:szCs w:val="20"/>
                      </w:rPr>
                      <w:t>(</w:t>
                    </w:r>
                    <w:r w:rsidRPr="007A3177">
                      <w:rPr>
                        <w:rFonts w:cs="Arial" w:hint="eastAsia"/>
                        <w:color w:val="000000"/>
                        <w:sz w:val="20"/>
                        <w:szCs w:val="20"/>
                      </w:rPr>
                      <w:t>股数</w:t>
                    </w:r>
                    <w:r w:rsidRPr="007A3177">
                      <w:rPr>
                        <w:rFonts w:cs="Arial"/>
                        <w:color w:val="000000"/>
                        <w:sz w:val="20"/>
                        <w:szCs w:val="20"/>
                      </w:rPr>
                      <w:t>)</w:t>
                    </w:r>
                  </w:p>
                </w:tc>
                <w:tc>
                  <w:tcPr>
                    <w:tcW w:w="992" w:type="dxa"/>
                    <w:vAlign w:val="bottom"/>
                  </w:tcPr>
                  <w:p w:rsidR="007A3177" w:rsidRPr="007A3177" w:rsidRDefault="007A3177" w:rsidP="003F54E5">
                    <w:pPr>
                      <w:widowControl w:val="0"/>
                      <w:adjustRightInd w:val="0"/>
                      <w:spacing w:line="220" w:lineRule="exact"/>
                      <w:ind w:left="-74" w:right="-98" w:hanging="42"/>
                      <w:textAlignment w:val="baseline"/>
                      <w:rPr>
                        <w:rFonts w:cs="Arial"/>
                        <w:color w:val="000000"/>
                        <w:sz w:val="20"/>
                        <w:szCs w:val="20"/>
                      </w:rPr>
                    </w:pPr>
                  </w:p>
                </w:tc>
                <w:tc>
                  <w:tcPr>
                    <w:tcW w:w="2041" w:type="dxa"/>
                    <w:vAlign w:val="center"/>
                  </w:tcPr>
                  <w:p w:rsidR="007A3177" w:rsidRPr="007A3177" w:rsidRDefault="007A3177" w:rsidP="003F54E5">
                    <w:pPr>
                      <w:widowControl w:val="0"/>
                      <w:adjustRightInd w:val="0"/>
                      <w:spacing w:line="220" w:lineRule="exact"/>
                      <w:ind w:left="-74" w:right="-98" w:hanging="42"/>
                      <w:jc w:val="right"/>
                      <w:textAlignment w:val="baseline"/>
                      <w:rPr>
                        <w:rFonts w:cs="Arial"/>
                        <w:color w:val="000000"/>
                        <w:sz w:val="20"/>
                        <w:szCs w:val="20"/>
                      </w:rPr>
                    </w:pPr>
                    <w:r w:rsidRPr="007A3177">
                      <w:rPr>
                        <w:rFonts w:cs="Arial" w:hint="eastAsia"/>
                        <w:sz w:val="20"/>
                      </w:rPr>
                      <w:t>1,464</w:t>
                    </w:r>
                    <w:r w:rsidRPr="007A3177">
                      <w:rPr>
                        <w:rFonts w:cs="Arial"/>
                        <w:sz w:val="20"/>
                      </w:rPr>
                      <w:t>,</w:t>
                    </w:r>
                    <w:r w:rsidRPr="007A3177">
                      <w:rPr>
                        <w:rFonts w:cs="Arial" w:hint="eastAsia"/>
                        <w:sz w:val="20"/>
                      </w:rPr>
                      <w:t>3</w:t>
                    </w:r>
                    <w:r w:rsidRPr="007A3177">
                      <w:rPr>
                        <w:rFonts w:cs="Arial"/>
                        <w:sz w:val="20"/>
                      </w:rPr>
                      <w:t>00</w:t>
                    </w:r>
                  </w:p>
                </w:tc>
                <w:tc>
                  <w:tcPr>
                    <w:tcW w:w="238" w:type="dxa"/>
                    <w:vAlign w:val="center"/>
                  </w:tcPr>
                  <w:p w:rsidR="007A3177" w:rsidRPr="007A3177" w:rsidRDefault="007A3177" w:rsidP="003F54E5">
                    <w:pPr>
                      <w:widowControl w:val="0"/>
                      <w:adjustRightInd w:val="0"/>
                      <w:spacing w:line="220" w:lineRule="exact"/>
                      <w:ind w:left="-74" w:right="-98" w:hanging="42"/>
                      <w:jc w:val="right"/>
                      <w:textAlignment w:val="baseline"/>
                      <w:rPr>
                        <w:rFonts w:cs="Arial"/>
                        <w:color w:val="000000"/>
                        <w:sz w:val="20"/>
                        <w:szCs w:val="20"/>
                      </w:rPr>
                    </w:pPr>
                  </w:p>
                </w:tc>
                <w:tc>
                  <w:tcPr>
                    <w:tcW w:w="1866" w:type="dxa"/>
                    <w:vAlign w:val="center"/>
                  </w:tcPr>
                  <w:p w:rsidR="007A3177" w:rsidRPr="007A3177" w:rsidRDefault="007A3177" w:rsidP="003F54E5">
                    <w:pPr>
                      <w:widowControl w:val="0"/>
                      <w:wordWrap w:val="0"/>
                      <w:adjustRightInd w:val="0"/>
                      <w:spacing w:line="220" w:lineRule="exact"/>
                      <w:ind w:left="-74" w:right="-98" w:hanging="42"/>
                      <w:jc w:val="right"/>
                      <w:textAlignment w:val="baseline"/>
                      <w:rPr>
                        <w:rFonts w:cs="Arial"/>
                        <w:color w:val="000000"/>
                        <w:sz w:val="20"/>
                        <w:szCs w:val="20"/>
                      </w:rPr>
                    </w:pPr>
                    <w:r w:rsidRPr="007A3177">
                      <w:rPr>
                        <w:rFonts w:cs="Arial"/>
                        <w:sz w:val="20"/>
                      </w:rPr>
                      <w:t xml:space="preserve"> </w:t>
                    </w:r>
                    <w:r w:rsidRPr="007A3177">
                      <w:rPr>
                        <w:rFonts w:cs="Arial" w:hint="eastAsia"/>
                        <w:sz w:val="20"/>
                      </w:rPr>
                      <w:t>6,314,800</w:t>
                    </w:r>
                  </w:p>
                </w:tc>
                <w:tc>
                  <w:tcPr>
                    <w:tcW w:w="249" w:type="dxa"/>
                  </w:tcPr>
                  <w:p w:rsidR="007A3177" w:rsidRPr="007A3177" w:rsidRDefault="007A3177" w:rsidP="003F54E5">
                    <w:pPr>
                      <w:widowControl w:val="0"/>
                      <w:adjustRightInd w:val="0"/>
                      <w:spacing w:line="220" w:lineRule="exact"/>
                      <w:ind w:left="-74" w:right="-98" w:hanging="42"/>
                      <w:textAlignment w:val="baseline"/>
                      <w:rPr>
                        <w:rFonts w:cs="Arial"/>
                        <w:color w:val="000000"/>
                        <w:sz w:val="20"/>
                        <w:szCs w:val="20"/>
                      </w:rPr>
                    </w:pPr>
                  </w:p>
                </w:tc>
              </w:tr>
              <w:tr w:rsidR="007A3177" w:rsidRPr="007A3177" w:rsidTr="003F54E5">
                <w:trPr>
                  <w:trHeight w:val="252"/>
                </w:trPr>
                <w:tc>
                  <w:tcPr>
                    <w:tcW w:w="3085" w:type="dxa"/>
                    <w:vAlign w:val="bottom"/>
                  </w:tcPr>
                  <w:p w:rsidR="007A3177" w:rsidRPr="007A3177" w:rsidDel="00221C53" w:rsidRDefault="007A3177" w:rsidP="003F54E5">
                    <w:pPr>
                      <w:widowControl w:val="0"/>
                      <w:adjustRightInd w:val="0"/>
                      <w:spacing w:line="220" w:lineRule="exact"/>
                      <w:ind w:left="-74" w:right="-98" w:hanging="42"/>
                      <w:textAlignment w:val="baseline"/>
                      <w:rPr>
                        <w:rFonts w:cs="Arial"/>
                        <w:color w:val="000000"/>
                        <w:sz w:val="20"/>
                        <w:szCs w:val="20"/>
                      </w:rPr>
                    </w:pPr>
                    <w:r w:rsidRPr="007A3177">
                      <w:rPr>
                        <w:rFonts w:cs="Arial" w:hint="eastAsia"/>
                        <w:color w:val="000000"/>
                        <w:sz w:val="20"/>
                        <w:szCs w:val="20"/>
                      </w:rPr>
                      <w:t>失效的权益工具总额</w:t>
                    </w:r>
                    <w:r w:rsidRPr="007A3177">
                      <w:rPr>
                        <w:rFonts w:cs="Arial"/>
                        <w:color w:val="000000"/>
                        <w:sz w:val="20"/>
                        <w:szCs w:val="20"/>
                      </w:rPr>
                      <w:t>(</w:t>
                    </w:r>
                    <w:r w:rsidRPr="007A3177">
                      <w:rPr>
                        <w:rFonts w:cs="Arial" w:hint="eastAsia"/>
                        <w:color w:val="000000"/>
                        <w:sz w:val="20"/>
                        <w:szCs w:val="20"/>
                      </w:rPr>
                      <w:t>股数</w:t>
                    </w:r>
                    <w:r w:rsidRPr="007A3177">
                      <w:rPr>
                        <w:rFonts w:cs="Arial"/>
                        <w:color w:val="000000"/>
                        <w:sz w:val="20"/>
                        <w:szCs w:val="20"/>
                      </w:rPr>
                      <w:t>)</w:t>
                    </w:r>
                  </w:p>
                </w:tc>
                <w:tc>
                  <w:tcPr>
                    <w:tcW w:w="992" w:type="dxa"/>
                    <w:vAlign w:val="bottom"/>
                  </w:tcPr>
                  <w:p w:rsidR="007A3177" w:rsidRPr="007A3177" w:rsidRDefault="007A3177" w:rsidP="003F54E5">
                    <w:pPr>
                      <w:widowControl w:val="0"/>
                      <w:adjustRightInd w:val="0"/>
                      <w:spacing w:line="220" w:lineRule="exact"/>
                      <w:ind w:left="-74" w:right="-98" w:hanging="42"/>
                      <w:textAlignment w:val="baseline"/>
                      <w:rPr>
                        <w:rFonts w:cs="Arial"/>
                        <w:color w:val="000000"/>
                        <w:sz w:val="20"/>
                        <w:szCs w:val="20"/>
                      </w:rPr>
                    </w:pPr>
                  </w:p>
                </w:tc>
                <w:tc>
                  <w:tcPr>
                    <w:tcW w:w="2041" w:type="dxa"/>
                    <w:vAlign w:val="center"/>
                  </w:tcPr>
                  <w:p w:rsidR="007A3177" w:rsidRPr="007A3177" w:rsidRDefault="007A3177" w:rsidP="003F54E5">
                    <w:pPr>
                      <w:widowControl w:val="0"/>
                      <w:adjustRightInd w:val="0"/>
                      <w:spacing w:line="220" w:lineRule="exact"/>
                      <w:ind w:left="-74" w:right="-98" w:hanging="42"/>
                      <w:jc w:val="right"/>
                      <w:textAlignment w:val="baseline"/>
                      <w:rPr>
                        <w:rFonts w:cs="Arial"/>
                        <w:color w:val="000000"/>
                        <w:sz w:val="20"/>
                        <w:szCs w:val="20"/>
                      </w:rPr>
                    </w:pPr>
                    <w:r w:rsidRPr="007A3177">
                      <w:rPr>
                        <w:rFonts w:cs="Arial" w:hint="eastAsia"/>
                        <w:sz w:val="20"/>
                      </w:rPr>
                      <w:t>4,8</w:t>
                    </w:r>
                    <w:r w:rsidRPr="007A3177">
                      <w:rPr>
                        <w:rFonts w:cs="Arial"/>
                        <w:sz w:val="20"/>
                      </w:rPr>
                      <w:t>00</w:t>
                    </w:r>
                  </w:p>
                </w:tc>
                <w:tc>
                  <w:tcPr>
                    <w:tcW w:w="238" w:type="dxa"/>
                    <w:vAlign w:val="center"/>
                  </w:tcPr>
                  <w:p w:rsidR="007A3177" w:rsidRPr="007A3177" w:rsidRDefault="007A3177" w:rsidP="003F54E5">
                    <w:pPr>
                      <w:widowControl w:val="0"/>
                      <w:adjustRightInd w:val="0"/>
                      <w:spacing w:line="220" w:lineRule="exact"/>
                      <w:ind w:left="-74" w:right="-98" w:hanging="42"/>
                      <w:jc w:val="right"/>
                      <w:textAlignment w:val="baseline"/>
                      <w:rPr>
                        <w:rFonts w:cs="Arial"/>
                        <w:color w:val="000000"/>
                        <w:sz w:val="20"/>
                        <w:szCs w:val="20"/>
                      </w:rPr>
                    </w:pPr>
                  </w:p>
                </w:tc>
                <w:tc>
                  <w:tcPr>
                    <w:tcW w:w="1866" w:type="dxa"/>
                    <w:vAlign w:val="center"/>
                  </w:tcPr>
                  <w:p w:rsidR="007A3177" w:rsidRPr="007A3177" w:rsidRDefault="007A3177" w:rsidP="003F54E5">
                    <w:pPr>
                      <w:widowControl w:val="0"/>
                      <w:wordWrap w:val="0"/>
                      <w:adjustRightInd w:val="0"/>
                      <w:spacing w:line="220" w:lineRule="exact"/>
                      <w:ind w:left="-74" w:right="-98" w:hanging="42"/>
                      <w:jc w:val="right"/>
                      <w:textAlignment w:val="baseline"/>
                      <w:rPr>
                        <w:rFonts w:cs="Arial"/>
                        <w:color w:val="000000"/>
                        <w:sz w:val="20"/>
                        <w:szCs w:val="20"/>
                      </w:rPr>
                    </w:pPr>
                    <w:r w:rsidRPr="007A3177">
                      <w:rPr>
                        <w:rFonts w:cs="Arial" w:hint="eastAsia"/>
                        <w:sz w:val="20"/>
                      </w:rPr>
                      <w:t>612,500</w:t>
                    </w:r>
                  </w:p>
                </w:tc>
                <w:tc>
                  <w:tcPr>
                    <w:tcW w:w="249" w:type="dxa"/>
                  </w:tcPr>
                  <w:p w:rsidR="007A3177" w:rsidRPr="007A3177" w:rsidRDefault="007A3177" w:rsidP="003F54E5">
                    <w:pPr>
                      <w:widowControl w:val="0"/>
                      <w:adjustRightInd w:val="0"/>
                      <w:spacing w:line="220" w:lineRule="exact"/>
                      <w:ind w:left="-74" w:right="-98" w:hanging="42"/>
                      <w:textAlignment w:val="baseline"/>
                      <w:rPr>
                        <w:rFonts w:cs="Arial"/>
                        <w:color w:val="000000"/>
                        <w:sz w:val="20"/>
                        <w:szCs w:val="20"/>
                      </w:rPr>
                    </w:pPr>
                  </w:p>
                </w:tc>
              </w:tr>
              <w:tr w:rsidR="007A3177" w:rsidRPr="007A3177" w:rsidTr="003F54E5">
                <w:trPr>
                  <w:trHeight w:val="252"/>
                </w:trPr>
                <w:tc>
                  <w:tcPr>
                    <w:tcW w:w="3085" w:type="dxa"/>
                    <w:vAlign w:val="bottom"/>
                  </w:tcPr>
                  <w:p w:rsidR="007A3177" w:rsidRPr="007A3177" w:rsidRDefault="007A3177" w:rsidP="003F54E5">
                    <w:pPr>
                      <w:widowControl w:val="0"/>
                      <w:adjustRightInd w:val="0"/>
                      <w:spacing w:line="220" w:lineRule="exact"/>
                      <w:ind w:left="-74" w:right="-98" w:hanging="42"/>
                      <w:textAlignment w:val="baseline"/>
                      <w:rPr>
                        <w:rFonts w:cs="Arial"/>
                        <w:color w:val="000000"/>
                        <w:sz w:val="20"/>
                        <w:szCs w:val="20"/>
                      </w:rPr>
                    </w:pPr>
                    <w:r w:rsidRPr="007A3177">
                      <w:rPr>
                        <w:rFonts w:cs="Arial" w:hint="eastAsia"/>
                        <w:sz w:val="20"/>
                      </w:rPr>
                      <w:t>取消的权益工具总额</w:t>
                    </w:r>
                    <w:r w:rsidRPr="007A3177">
                      <w:rPr>
                        <w:rFonts w:cs="Arial"/>
                        <w:sz w:val="20"/>
                      </w:rPr>
                      <w:t>(</w:t>
                    </w:r>
                    <w:r w:rsidRPr="007A3177">
                      <w:rPr>
                        <w:rFonts w:cs="Arial" w:hint="eastAsia"/>
                        <w:sz w:val="20"/>
                      </w:rPr>
                      <w:t>股数</w:t>
                    </w:r>
                    <w:r w:rsidRPr="007A3177">
                      <w:rPr>
                        <w:rFonts w:cs="Arial"/>
                        <w:sz w:val="20"/>
                      </w:rPr>
                      <w:t>)</w:t>
                    </w:r>
                  </w:p>
                </w:tc>
                <w:tc>
                  <w:tcPr>
                    <w:tcW w:w="992" w:type="dxa"/>
                    <w:vAlign w:val="bottom"/>
                  </w:tcPr>
                  <w:p w:rsidR="007A3177" w:rsidRPr="007A3177" w:rsidRDefault="007A3177" w:rsidP="003F54E5">
                    <w:pPr>
                      <w:widowControl w:val="0"/>
                      <w:adjustRightInd w:val="0"/>
                      <w:spacing w:line="220" w:lineRule="exact"/>
                      <w:ind w:left="-74" w:right="-98" w:hanging="42"/>
                      <w:textAlignment w:val="baseline"/>
                      <w:rPr>
                        <w:rFonts w:cs="Arial"/>
                        <w:color w:val="000000"/>
                        <w:sz w:val="20"/>
                        <w:szCs w:val="20"/>
                      </w:rPr>
                    </w:pPr>
                  </w:p>
                </w:tc>
                <w:tc>
                  <w:tcPr>
                    <w:tcW w:w="2041" w:type="dxa"/>
                    <w:vAlign w:val="center"/>
                  </w:tcPr>
                  <w:p w:rsidR="007A3177" w:rsidRPr="007A3177" w:rsidRDefault="007A3177" w:rsidP="003F54E5">
                    <w:pPr>
                      <w:widowControl w:val="0"/>
                      <w:adjustRightInd w:val="0"/>
                      <w:spacing w:line="220" w:lineRule="exact"/>
                      <w:ind w:left="-74" w:right="-98" w:hanging="42"/>
                      <w:jc w:val="right"/>
                      <w:textAlignment w:val="baseline"/>
                      <w:rPr>
                        <w:rFonts w:cs="Arial"/>
                        <w:sz w:val="20"/>
                      </w:rPr>
                    </w:pPr>
                    <w:r w:rsidRPr="007A3177">
                      <w:rPr>
                        <w:rFonts w:cs="Arial" w:hint="eastAsia"/>
                        <w:sz w:val="20"/>
                      </w:rPr>
                      <w:t>1,041,400</w:t>
                    </w:r>
                  </w:p>
                </w:tc>
                <w:tc>
                  <w:tcPr>
                    <w:tcW w:w="238" w:type="dxa"/>
                    <w:vAlign w:val="center"/>
                  </w:tcPr>
                  <w:p w:rsidR="007A3177" w:rsidRPr="007A3177" w:rsidRDefault="007A3177" w:rsidP="003F54E5">
                    <w:pPr>
                      <w:widowControl w:val="0"/>
                      <w:adjustRightInd w:val="0"/>
                      <w:spacing w:line="220" w:lineRule="exact"/>
                      <w:ind w:left="-74" w:right="-98" w:hanging="42"/>
                      <w:jc w:val="right"/>
                      <w:textAlignment w:val="baseline"/>
                      <w:rPr>
                        <w:rFonts w:cs="Arial"/>
                        <w:color w:val="000000"/>
                        <w:sz w:val="20"/>
                        <w:szCs w:val="20"/>
                      </w:rPr>
                    </w:pPr>
                  </w:p>
                </w:tc>
                <w:tc>
                  <w:tcPr>
                    <w:tcW w:w="1866" w:type="dxa"/>
                    <w:vAlign w:val="center"/>
                  </w:tcPr>
                  <w:p w:rsidR="007A3177" w:rsidRPr="007A3177" w:rsidRDefault="007A3177" w:rsidP="003F54E5">
                    <w:pPr>
                      <w:widowControl w:val="0"/>
                      <w:wordWrap w:val="0"/>
                      <w:adjustRightInd w:val="0"/>
                      <w:spacing w:line="220" w:lineRule="exact"/>
                      <w:ind w:left="-74" w:right="-98" w:hanging="42"/>
                      <w:jc w:val="right"/>
                      <w:textAlignment w:val="baseline"/>
                      <w:rPr>
                        <w:rFonts w:cs="Arial"/>
                        <w:color w:val="000000"/>
                        <w:sz w:val="20"/>
                        <w:szCs w:val="20"/>
                      </w:rPr>
                    </w:pPr>
                  </w:p>
                </w:tc>
                <w:tc>
                  <w:tcPr>
                    <w:tcW w:w="249" w:type="dxa"/>
                  </w:tcPr>
                  <w:p w:rsidR="007A3177" w:rsidRPr="007A3177" w:rsidRDefault="007A3177" w:rsidP="003F54E5">
                    <w:pPr>
                      <w:widowControl w:val="0"/>
                      <w:adjustRightInd w:val="0"/>
                      <w:spacing w:line="220" w:lineRule="exact"/>
                      <w:ind w:left="-74" w:right="-98" w:hanging="42"/>
                      <w:textAlignment w:val="baseline"/>
                      <w:rPr>
                        <w:rFonts w:cs="Arial"/>
                        <w:color w:val="000000"/>
                        <w:sz w:val="20"/>
                        <w:szCs w:val="20"/>
                      </w:rPr>
                    </w:pPr>
                  </w:p>
                </w:tc>
              </w:tr>
            </w:tbl>
            <w:p w:rsidR="007A3177" w:rsidRPr="007A3177" w:rsidRDefault="007A3177" w:rsidP="007A3177">
              <w:pPr>
                <w:widowControl w:val="0"/>
                <w:adjustRightInd w:val="0"/>
                <w:spacing w:line="220" w:lineRule="exact"/>
                <w:ind w:left="-202" w:right="-108" w:firstLine="94"/>
                <w:jc w:val="both"/>
                <w:textAlignment w:val="baseline"/>
                <w:rPr>
                  <w:rFonts w:cs="Arial"/>
                  <w:b/>
                  <w:sz w:val="20"/>
                  <w:szCs w:val="20"/>
                </w:rPr>
              </w:pPr>
            </w:p>
            <w:tbl>
              <w:tblPr>
                <w:tblStyle w:val="g35"/>
                <w:tblW w:w="8480" w:type="dxa"/>
                <w:tblLayout w:type="fixed"/>
                <w:tblLook w:val="04A0" w:firstRow="1" w:lastRow="0" w:firstColumn="1" w:lastColumn="0" w:noHBand="0" w:noVBand="1"/>
              </w:tblPr>
              <w:tblGrid>
                <w:gridCol w:w="3094"/>
                <w:gridCol w:w="283"/>
                <w:gridCol w:w="2750"/>
                <w:gridCol w:w="238"/>
                <w:gridCol w:w="1857"/>
                <w:gridCol w:w="258"/>
              </w:tblGrid>
              <w:tr w:rsidR="007A3177" w:rsidRPr="007A3177" w:rsidTr="003F54E5">
                <w:tc>
                  <w:tcPr>
                    <w:tcW w:w="3094" w:type="dxa"/>
                    <w:vAlign w:val="bottom"/>
                  </w:tcPr>
                  <w:p w:rsidR="007A3177" w:rsidRPr="007A3177" w:rsidRDefault="007A3177" w:rsidP="003F54E5">
                    <w:pPr>
                      <w:widowControl w:val="0"/>
                      <w:tabs>
                        <w:tab w:val="right" w:pos="5812"/>
                        <w:tab w:val="right" w:pos="8280"/>
                      </w:tabs>
                      <w:overflowPunct w:val="0"/>
                      <w:autoSpaceDE w:val="0"/>
                      <w:autoSpaceDN w:val="0"/>
                      <w:adjustRightInd w:val="0"/>
                      <w:snapToGrid w:val="0"/>
                      <w:spacing w:line="240" w:lineRule="atLeast"/>
                      <w:jc w:val="both"/>
                      <w:textAlignment w:val="bottom"/>
                      <w:rPr>
                        <w:rFonts w:cs="Arial"/>
                        <w:snapToGrid w:val="0"/>
                        <w:szCs w:val="20"/>
                      </w:rPr>
                    </w:pPr>
                  </w:p>
                </w:tc>
                <w:tc>
                  <w:tcPr>
                    <w:tcW w:w="283" w:type="dxa"/>
                    <w:vAlign w:val="bottom"/>
                  </w:tcPr>
                  <w:p w:rsidR="007A3177" w:rsidRPr="007A3177" w:rsidRDefault="007A3177" w:rsidP="003F54E5">
                    <w:pPr>
                      <w:widowControl w:val="0"/>
                      <w:adjustRightInd w:val="0"/>
                      <w:spacing w:line="220" w:lineRule="exact"/>
                      <w:ind w:left="-74" w:right="-113" w:hanging="42"/>
                      <w:jc w:val="right"/>
                      <w:textAlignment w:val="baseline"/>
                      <w:rPr>
                        <w:rFonts w:cs="Arial"/>
                        <w:color w:val="000000"/>
                        <w:sz w:val="20"/>
                        <w:szCs w:val="20"/>
                      </w:rPr>
                    </w:pPr>
                  </w:p>
                </w:tc>
                <w:tc>
                  <w:tcPr>
                    <w:tcW w:w="2750" w:type="dxa"/>
                    <w:vAlign w:val="center"/>
                  </w:tcPr>
                  <w:p w:rsidR="007A3177" w:rsidRPr="007A3177" w:rsidRDefault="007A3177" w:rsidP="003F54E5">
                    <w:pPr>
                      <w:widowControl w:val="0"/>
                      <w:adjustRightInd w:val="0"/>
                      <w:spacing w:line="220" w:lineRule="exact"/>
                      <w:ind w:left="-74" w:right="-113" w:hanging="42"/>
                      <w:jc w:val="right"/>
                      <w:textAlignment w:val="baseline"/>
                      <w:rPr>
                        <w:rFonts w:cs="Arial"/>
                        <w:color w:val="000000"/>
                        <w:sz w:val="20"/>
                        <w:szCs w:val="20"/>
                      </w:rPr>
                    </w:pPr>
                    <w:r w:rsidRPr="007A3177">
                      <w:rPr>
                        <w:rFonts w:cs="Arial"/>
                        <w:snapToGrid w:val="0"/>
                        <w:sz w:val="20"/>
                        <w:szCs w:val="20"/>
                      </w:rPr>
                      <w:t>2019</w:t>
                    </w:r>
                    <w:r w:rsidRPr="007A3177">
                      <w:rPr>
                        <w:rFonts w:cs="Arial" w:hint="eastAsia"/>
                        <w:snapToGrid w:val="0"/>
                        <w:sz w:val="20"/>
                        <w:szCs w:val="20"/>
                      </w:rPr>
                      <w:t>年1-</w:t>
                    </w:r>
                    <w:r w:rsidRPr="007A3177">
                      <w:rPr>
                        <w:rFonts w:cs="Arial"/>
                        <w:snapToGrid w:val="0"/>
                        <w:sz w:val="20"/>
                        <w:szCs w:val="20"/>
                      </w:rPr>
                      <w:t>6</w:t>
                    </w:r>
                    <w:r w:rsidRPr="007A3177">
                      <w:rPr>
                        <w:rFonts w:cs="Arial" w:hint="eastAsia"/>
                        <w:snapToGrid w:val="0"/>
                        <w:sz w:val="20"/>
                        <w:szCs w:val="20"/>
                      </w:rPr>
                      <w:t>月</w:t>
                    </w:r>
                  </w:p>
                </w:tc>
                <w:tc>
                  <w:tcPr>
                    <w:tcW w:w="238" w:type="dxa"/>
                  </w:tcPr>
                  <w:p w:rsidR="007A3177" w:rsidRPr="007A3177" w:rsidRDefault="007A3177" w:rsidP="003F54E5">
                    <w:pPr>
                      <w:widowControl w:val="0"/>
                      <w:adjustRightInd w:val="0"/>
                      <w:spacing w:line="220" w:lineRule="exact"/>
                      <w:ind w:left="-74" w:right="-113" w:hanging="42"/>
                      <w:jc w:val="right"/>
                      <w:textAlignment w:val="baseline"/>
                      <w:rPr>
                        <w:rFonts w:cs="Arial"/>
                        <w:color w:val="000000"/>
                        <w:sz w:val="20"/>
                        <w:szCs w:val="20"/>
                      </w:rPr>
                    </w:pPr>
                  </w:p>
                </w:tc>
                <w:tc>
                  <w:tcPr>
                    <w:tcW w:w="1857" w:type="dxa"/>
                    <w:vAlign w:val="bottom"/>
                  </w:tcPr>
                  <w:p w:rsidR="007A3177" w:rsidRPr="007A3177" w:rsidRDefault="007A3177" w:rsidP="003F54E5">
                    <w:pPr>
                      <w:widowControl w:val="0"/>
                      <w:adjustRightInd w:val="0"/>
                      <w:spacing w:line="220" w:lineRule="exact"/>
                      <w:ind w:left="-74" w:right="-113" w:hanging="42"/>
                      <w:jc w:val="right"/>
                      <w:textAlignment w:val="baseline"/>
                      <w:rPr>
                        <w:rFonts w:cs="Arial"/>
                        <w:color w:val="000000"/>
                        <w:sz w:val="20"/>
                        <w:szCs w:val="20"/>
                      </w:rPr>
                    </w:pPr>
                    <w:r w:rsidRPr="007A3177">
                      <w:rPr>
                        <w:rFonts w:cs="Arial"/>
                        <w:color w:val="000000"/>
                        <w:sz w:val="20"/>
                        <w:szCs w:val="20"/>
                      </w:rPr>
                      <w:t xml:space="preserve"> </w:t>
                    </w:r>
                    <w:r w:rsidRPr="007A3177">
                      <w:rPr>
                        <w:rFonts w:cs="Arial"/>
                        <w:snapToGrid w:val="0"/>
                        <w:sz w:val="20"/>
                        <w:szCs w:val="20"/>
                      </w:rPr>
                      <w:t>2018</w:t>
                    </w:r>
                    <w:r w:rsidRPr="007A3177">
                      <w:rPr>
                        <w:rFonts w:cs="Arial" w:hint="eastAsia"/>
                        <w:snapToGrid w:val="0"/>
                        <w:sz w:val="20"/>
                        <w:szCs w:val="20"/>
                      </w:rPr>
                      <w:t>年1-</w:t>
                    </w:r>
                    <w:r w:rsidRPr="007A3177">
                      <w:rPr>
                        <w:rFonts w:cs="Arial"/>
                        <w:snapToGrid w:val="0"/>
                        <w:sz w:val="20"/>
                        <w:szCs w:val="20"/>
                      </w:rPr>
                      <w:t>6</w:t>
                    </w:r>
                    <w:r w:rsidRPr="007A3177">
                      <w:rPr>
                        <w:rFonts w:cs="Arial" w:hint="eastAsia"/>
                        <w:snapToGrid w:val="0"/>
                        <w:sz w:val="20"/>
                        <w:szCs w:val="20"/>
                      </w:rPr>
                      <w:t>月</w:t>
                    </w:r>
                  </w:p>
                </w:tc>
                <w:tc>
                  <w:tcPr>
                    <w:tcW w:w="258" w:type="dxa"/>
                  </w:tcPr>
                  <w:p w:rsidR="007A3177" w:rsidRPr="007A3177" w:rsidRDefault="007A3177" w:rsidP="003F54E5">
                    <w:pPr>
                      <w:widowControl w:val="0"/>
                      <w:adjustRightInd w:val="0"/>
                      <w:spacing w:line="220" w:lineRule="exact"/>
                      <w:ind w:left="-74" w:right="-113" w:hanging="42"/>
                      <w:jc w:val="right"/>
                      <w:textAlignment w:val="baseline"/>
                      <w:rPr>
                        <w:rFonts w:cs="Arial"/>
                        <w:color w:val="000000"/>
                        <w:sz w:val="20"/>
                        <w:szCs w:val="20"/>
                      </w:rPr>
                    </w:pPr>
                  </w:p>
                </w:tc>
              </w:tr>
              <w:tr w:rsidR="007A3177" w:rsidRPr="007A3177" w:rsidTr="003F54E5">
                <w:trPr>
                  <w:trHeight w:val="252"/>
                </w:trPr>
                <w:tc>
                  <w:tcPr>
                    <w:tcW w:w="3094" w:type="dxa"/>
                    <w:vAlign w:val="bottom"/>
                  </w:tcPr>
                  <w:p w:rsidR="007A3177" w:rsidRPr="007A3177" w:rsidRDefault="007A3177" w:rsidP="003F54E5">
                    <w:pPr>
                      <w:widowControl w:val="0"/>
                      <w:adjustRightInd w:val="0"/>
                      <w:spacing w:line="220" w:lineRule="exact"/>
                      <w:ind w:left="-74" w:right="-98" w:hanging="42"/>
                      <w:textAlignment w:val="baseline"/>
                      <w:rPr>
                        <w:rFonts w:cs="Arial"/>
                        <w:color w:val="000000"/>
                        <w:sz w:val="20"/>
                        <w:szCs w:val="20"/>
                      </w:rPr>
                    </w:pPr>
                  </w:p>
                </w:tc>
                <w:tc>
                  <w:tcPr>
                    <w:tcW w:w="283" w:type="dxa"/>
                    <w:vAlign w:val="bottom"/>
                  </w:tcPr>
                  <w:p w:rsidR="007A3177" w:rsidRPr="007A3177" w:rsidRDefault="007A3177" w:rsidP="003F54E5">
                    <w:pPr>
                      <w:widowControl w:val="0"/>
                      <w:adjustRightInd w:val="0"/>
                      <w:spacing w:line="220" w:lineRule="exact"/>
                      <w:ind w:left="-74" w:right="-98" w:hanging="42"/>
                      <w:textAlignment w:val="baseline"/>
                      <w:rPr>
                        <w:rFonts w:cs="Arial"/>
                        <w:color w:val="000000"/>
                        <w:sz w:val="20"/>
                        <w:szCs w:val="20"/>
                      </w:rPr>
                    </w:pPr>
                  </w:p>
                </w:tc>
                <w:tc>
                  <w:tcPr>
                    <w:tcW w:w="2750" w:type="dxa"/>
                    <w:vAlign w:val="bottom"/>
                  </w:tcPr>
                  <w:p w:rsidR="007A3177" w:rsidRPr="007A3177" w:rsidRDefault="007A3177" w:rsidP="003F54E5">
                    <w:pPr>
                      <w:widowControl w:val="0"/>
                      <w:adjustRightInd w:val="0"/>
                      <w:spacing w:line="220" w:lineRule="exact"/>
                      <w:ind w:left="-74" w:right="-98" w:hanging="42"/>
                      <w:jc w:val="right"/>
                      <w:textAlignment w:val="baseline"/>
                      <w:rPr>
                        <w:rFonts w:cs="Arial"/>
                        <w:color w:val="000000"/>
                        <w:sz w:val="20"/>
                        <w:szCs w:val="20"/>
                      </w:rPr>
                    </w:pPr>
                  </w:p>
                </w:tc>
                <w:tc>
                  <w:tcPr>
                    <w:tcW w:w="238" w:type="dxa"/>
                    <w:vAlign w:val="bottom"/>
                  </w:tcPr>
                  <w:p w:rsidR="007A3177" w:rsidRPr="007A3177" w:rsidRDefault="007A3177" w:rsidP="003F54E5">
                    <w:pPr>
                      <w:widowControl w:val="0"/>
                      <w:adjustRightInd w:val="0"/>
                      <w:spacing w:line="220" w:lineRule="exact"/>
                      <w:ind w:left="-74" w:right="-98" w:hanging="42"/>
                      <w:jc w:val="right"/>
                      <w:textAlignment w:val="baseline"/>
                      <w:rPr>
                        <w:rFonts w:cs="Arial"/>
                        <w:color w:val="000000"/>
                        <w:sz w:val="20"/>
                        <w:szCs w:val="20"/>
                      </w:rPr>
                    </w:pPr>
                  </w:p>
                </w:tc>
                <w:tc>
                  <w:tcPr>
                    <w:tcW w:w="1857" w:type="dxa"/>
                    <w:vAlign w:val="bottom"/>
                  </w:tcPr>
                  <w:p w:rsidR="007A3177" w:rsidRPr="007A3177" w:rsidRDefault="007A3177" w:rsidP="003F54E5">
                    <w:pPr>
                      <w:widowControl w:val="0"/>
                      <w:wordWrap w:val="0"/>
                      <w:adjustRightInd w:val="0"/>
                      <w:spacing w:line="220" w:lineRule="exact"/>
                      <w:ind w:left="-74" w:right="-98" w:hanging="42"/>
                      <w:jc w:val="right"/>
                      <w:textAlignment w:val="baseline"/>
                      <w:rPr>
                        <w:rFonts w:cs="Arial"/>
                        <w:color w:val="000000"/>
                        <w:sz w:val="20"/>
                        <w:szCs w:val="20"/>
                      </w:rPr>
                    </w:pPr>
                  </w:p>
                </w:tc>
                <w:tc>
                  <w:tcPr>
                    <w:tcW w:w="258" w:type="dxa"/>
                  </w:tcPr>
                  <w:p w:rsidR="007A3177" w:rsidRPr="007A3177" w:rsidRDefault="007A3177" w:rsidP="003F54E5">
                    <w:pPr>
                      <w:widowControl w:val="0"/>
                      <w:adjustRightInd w:val="0"/>
                      <w:spacing w:line="220" w:lineRule="exact"/>
                      <w:ind w:left="-74" w:right="-98" w:hanging="42"/>
                      <w:textAlignment w:val="baseline"/>
                      <w:rPr>
                        <w:rFonts w:cs="Arial"/>
                        <w:color w:val="000000"/>
                        <w:sz w:val="20"/>
                        <w:szCs w:val="20"/>
                      </w:rPr>
                    </w:pPr>
                  </w:p>
                </w:tc>
              </w:tr>
              <w:tr w:rsidR="007A3177" w:rsidRPr="007A3177" w:rsidTr="003F54E5">
                <w:trPr>
                  <w:trHeight w:val="252"/>
                </w:trPr>
                <w:tc>
                  <w:tcPr>
                    <w:tcW w:w="3094" w:type="dxa"/>
                    <w:vAlign w:val="bottom"/>
                  </w:tcPr>
                  <w:p w:rsidR="007A3177" w:rsidRPr="007A3177" w:rsidRDefault="007A3177" w:rsidP="003F54E5">
                    <w:pPr>
                      <w:widowControl w:val="0"/>
                      <w:adjustRightInd w:val="0"/>
                      <w:spacing w:line="220" w:lineRule="exact"/>
                      <w:ind w:left="-74" w:right="-98" w:hanging="42"/>
                      <w:textAlignment w:val="baseline"/>
                      <w:rPr>
                        <w:rFonts w:cs="Arial"/>
                        <w:color w:val="000000"/>
                        <w:sz w:val="20"/>
                        <w:szCs w:val="20"/>
                      </w:rPr>
                    </w:pPr>
                    <w:r w:rsidRPr="007A3177">
                      <w:rPr>
                        <w:rFonts w:cs="Arial" w:hint="eastAsia"/>
                        <w:color w:val="000000"/>
                        <w:sz w:val="20"/>
                        <w:szCs w:val="20"/>
                      </w:rPr>
                      <w:t>以股份支付换取的职工服务总额</w:t>
                    </w:r>
                  </w:p>
                </w:tc>
                <w:tc>
                  <w:tcPr>
                    <w:tcW w:w="283" w:type="dxa"/>
                    <w:vAlign w:val="bottom"/>
                  </w:tcPr>
                  <w:p w:rsidR="007A3177" w:rsidRPr="007A3177" w:rsidRDefault="007A3177" w:rsidP="003F54E5">
                    <w:pPr>
                      <w:widowControl w:val="0"/>
                      <w:adjustRightInd w:val="0"/>
                      <w:spacing w:line="220" w:lineRule="exact"/>
                      <w:ind w:left="-74" w:right="-98" w:hanging="42"/>
                      <w:textAlignment w:val="baseline"/>
                      <w:rPr>
                        <w:rFonts w:cs="Arial"/>
                        <w:color w:val="000000"/>
                        <w:sz w:val="20"/>
                        <w:szCs w:val="20"/>
                      </w:rPr>
                    </w:pPr>
                  </w:p>
                </w:tc>
                <w:tc>
                  <w:tcPr>
                    <w:tcW w:w="2750" w:type="dxa"/>
                    <w:vAlign w:val="center"/>
                  </w:tcPr>
                  <w:p w:rsidR="007A3177" w:rsidRPr="007A3177" w:rsidRDefault="007A3177" w:rsidP="003F54E5">
                    <w:pPr>
                      <w:widowControl w:val="0"/>
                      <w:adjustRightInd w:val="0"/>
                      <w:spacing w:line="220" w:lineRule="exact"/>
                      <w:ind w:left="-74" w:right="-98" w:hanging="42"/>
                      <w:jc w:val="right"/>
                      <w:textAlignment w:val="baseline"/>
                      <w:rPr>
                        <w:rFonts w:cs="Arial"/>
                        <w:color w:val="000000"/>
                        <w:sz w:val="20"/>
                        <w:szCs w:val="20"/>
                        <w:u w:val="double"/>
                      </w:rPr>
                    </w:pPr>
                    <w:r w:rsidRPr="007A3177">
                      <w:rPr>
                        <w:rFonts w:cs="Arial" w:hint="eastAsia"/>
                        <w:sz w:val="20"/>
                        <w:u w:val="double"/>
                      </w:rPr>
                      <w:t>6,281,027</w:t>
                    </w:r>
                  </w:p>
                </w:tc>
                <w:tc>
                  <w:tcPr>
                    <w:tcW w:w="238" w:type="dxa"/>
                    <w:vAlign w:val="center"/>
                  </w:tcPr>
                  <w:p w:rsidR="007A3177" w:rsidRPr="007A3177" w:rsidRDefault="007A3177" w:rsidP="003F54E5">
                    <w:pPr>
                      <w:widowControl w:val="0"/>
                      <w:adjustRightInd w:val="0"/>
                      <w:spacing w:line="220" w:lineRule="exact"/>
                      <w:ind w:left="-74" w:right="-98" w:hanging="42"/>
                      <w:jc w:val="right"/>
                      <w:textAlignment w:val="baseline"/>
                      <w:rPr>
                        <w:rFonts w:cs="Arial"/>
                        <w:color w:val="000000"/>
                        <w:sz w:val="20"/>
                        <w:szCs w:val="20"/>
                        <w:u w:val="double"/>
                      </w:rPr>
                    </w:pPr>
                  </w:p>
                </w:tc>
                <w:tc>
                  <w:tcPr>
                    <w:tcW w:w="1857" w:type="dxa"/>
                    <w:vAlign w:val="center"/>
                  </w:tcPr>
                  <w:p w:rsidR="007A3177" w:rsidRPr="007A3177" w:rsidRDefault="007A3177" w:rsidP="003F54E5">
                    <w:pPr>
                      <w:widowControl w:val="0"/>
                      <w:wordWrap w:val="0"/>
                      <w:adjustRightInd w:val="0"/>
                      <w:spacing w:line="220" w:lineRule="exact"/>
                      <w:ind w:left="-74" w:right="-98" w:hanging="42"/>
                      <w:jc w:val="right"/>
                      <w:textAlignment w:val="baseline"/>
                      <w:rPr>
                        <w:rFonts w:cs="Arial"/>
                        <w:color w:val="000000"/>
                        <w:sz w:val="20"/>
                        <w:szCs w:val="20"/>
                        <w:u w:val="double"/>
                      </w:rPr>
                    </w:pPr>
                    <w:r w:rsidRPr="007A3177">
                      <w:rPr>
                        <w:rFonts w:cs="Arial"/>
                        <w:sz w:val="20"/>
                        <w:u w:val="double"/>
                      </w:rPr>
                      <w:t>31,798,181</w:t>
                    </w:r>
                  </w:p>
                </w:tc>
                <w:tc>
                  <w:tcPr>
                    <w:tcW w:w="258" w:type="dxa"/>
                  </w:tcPr>
                  <w:p w:rsidR="007A3177" w:rsidRPr="007A3177" w:rsidRDefault="007A3177" w:rsidP="003F54E5">
                    <w:pPr>
                      <w:widowControl w:val="0"/>
                      <w:adjustRightInd w:val="0"/>
                      <w:spacing w:line="220" w:lineRule="exact"/>
                      <w:ind w:left="-74" w:right="-98" w:hanging="42"/>
                      <w:textAlignment w:val="baseline"/>
                      <w:rPr>
                        <w:rFonts w:cs="Arial"/>
                        <w:color w:val="000000"/>
                        <w:sz w:val="20"/>
                        <w:szCs w:val="20"/>
                      </w:rPr>
                    </w:pPr>
                  </w:p>
                </w:tc>
              </w:tr>
            </w:tbl>
            <w:p w:rsidR="007A3177" w:rsidRPr="007A3177" w:rsidRDefault="007A3177" w:rsidP="007A3177">
              <w:pPr>
                <w:widowControl w:val="0"/>
                <w:adjustRightInd w:val="0"/>
                <w:spacing w:line="220" w:lineRule="exact"/>
                <w:ind w:left="-202" w:right="-108" w:firstLine="94"/>
                <w:jc w:val="both"/>
                <w:textAlignment w:val="baseline"/>
                <w:rPr>
                  <w:rFonts w:cs="Arial"/>
                  <w:b/>
                  <w:sz w:val="20"/>
                  <w:szCs w:val="20"/>
                </w:rPr>
              </w:pPr>
            </w:p>
            <w:p w:rsidR="007A3177" w:rsidRPr="007A3177" w:rsidRDefault="007A3177" w:rsidP="007A3177">
              <w:pPr>
                <w:jc w:val="both"/>
                <w:rPr>
                  <w:rFonts w:cs="Arial"/>
                  <w:snapToGrid w:val="0"/>
                  <w:sz w:val="20"/>
                  <w:szCs w:val="20"/>
                </w:rPr>
              </w:pPr>
              <w:r w:rsidRPr="007A3177">
                <w:rPr>
                  <w:rFonts w:cs="Arial" w:hint="eastAsia"/>
                  <w:snapToGrid w:val="0"/>
                  <w:sz w:val="20"/>
                  <w:szCs w:val="20"/>
                </w:rPr>
                <w:t>其中，以权益结算的股份支付如下：</w:t>
              </w:r>
            </w:p>
            <w:p w:rsidR="007A3177" w:rsidRPr="007A3177" w:rsidRDefault="007A3177" w:rsidP="007A3177">
              <w:pPr>
                <w:widowControl w:val="0"/>
                <w:adjustRightInd w:val="0"/>
                <w:spacing w:line="220" w:lineRule="exact"/>
                <w:ind w:left="-202" w:right="-108" w:firstLine="94"/>
                <w:jc w:val="both"/>
                <w:textAlignment w:val="baseline"/>
                <w:rPr>
                  <w:rFonts w:cs="Arial"/>
                  <w:snapToGrid w:val="0"/>
                  <w:sz w:val="20"/>
                  <w:szCs w:val="20"/>
                </w:rPr>
              </w:pPr>
            </w:p>
            <w:tbl>
              <w:tblPr>
                <w:tblStyle w:val="g35"/>
                <w:tblW w:w="8466" w:type="dxa"/>
                <w:tblLayout w:type="fixed"/>
                <w:tblLook w:val="04A0" w:firstRow="1" w:lastRow="0" w:firstColumn="1" w:lastColumn="0" w:noHBand="0" w:noVBand="1"/>
              </w:tblPr>
              <w:tblGrid>
                <w:gridCol w:w="4497"/>
                <w:gridCol w:w="284"/>
                <w:gridCol w:w="1332"/>
                <w:gridCol w:w="238"/>
                <w:gridCol w:w="1871"/>
                <w:gridCol w:w="244"/>
              </w:tblGrid>
              <w:tr w:rsidR="007A3177" w:rsidRPr="007A3177" w:rsidTr="003F54E5">
                <w:tc>
                  <w:tcPr>
                    <w:tcW w:w="4497" w:type="dxa"/>
                    <w:vAlign w:val="bottom"/>
                  </w:tcPr>
                  <w:p w:rsidR="007A3177" w:rsidRPr="007A3177" w:rsidRDefault="007A3177" w:rsidP="003F54E5">
                    <w:pPr>
                      <w:widowControl w:val="0"/>
                      <w:tabs>
                        <w:tab w:val="right" w:pos="5812"/>
                        <w:tab w:val="right" w:pos="8280"/>
                      </w:tabs>
                      <w:overflowPunct w:val="0"/>
                      <w:autoSpaceDE w:val="0"/>
                      <w:autoSpaceDN w:val="0"/>
                      <w:adjustRightInd w:val="0"/>
                      <w:snapToGrid w:val="0"/>
                      <w:spacing w:line="240" w:lineRule="atLeast"/>
                      <w:ind w:leftChars="-50" w:hangingChars="50" w:hanging="105"/>
                      <w:jc w:val="both"/>
                      <w:textAlignment w:val="bottom"/>
                      <w:rPr>
                        <w:rFonts w:cs="Arial"/>
                        <w:snapToGrid w:val="0"/>
                        <w:szCs w:val="20"/>
                      </w:rPr>
                    </w:pPr>
                  </w:p>
                </w:tc>
                <w:tc>
                  <w:tcPr>
                    <w:tcW w:w="284" w:type="dxa"/>
                    <w:vAlign w:val="bottom"/>
                  </w:tcPr>
                  <w:p w:rsidR="007A3177" w:rsidRPr="007A3177" w:rsidRDefault="007A3177" w:rsidP="003F54E5">
                    <w:pPr>
                      <w:widowControl w:val="0"/>
                      <w:adjustRightInd w:val="0"/>
                      <w:spacing w:line="220" w:lineRule="exact"/>
                      <w:ind w:left="-74" w:right="-113" w:hanging="42"/>
                      <w:jc w:val="right"/>
                      <w:textAlignment w:val="baseline"/>
                      <w:rPr>
                        <w:rFonts w:cs="Arial"/>
                        <w:color w:val="000000"/>
                        <w:sz w:val="20"/>
                        <w:szCs w:val="20"/>
                      </w:rPr>
                    </w:pPr>
                  </w:p>
                </w:tc>
                <w:tc>
                  <w:tcPr>
                    <w:tcW w:w="1332" w:type="dxa"/>
                    <w:vAlign w:val="center"/>
                  </w:tcPr>
                  <w:p w:rsidR="007A3177" w:rsidRPr="007A3177" w:rsidRDefault="007A3177" w:rsidP="003F54E5">
                    <w:pPr>
                      <w:widowControl w:val="0"/>
                      <w:adjustRightInd w:val="0"/>
                      <w:spacing w:line="220" w:lineRule="exact"/>
                      <w:ind w:left="-74" w:right="-113" w:hanging="42"/>
                      <w:jc w:val="right"/>
                      <w:textAlignment w:val="baseline"/>
                      <w:rPr>
                        <w:rFonts w:cs="Arial"/>
                        <w:color w:val="000000"/>
                        <w:sz w:val="20"/>
                        <w:szCs w:val="20"/>
                      </w:rPr>
                    </w:pPr>
                    <w:r w:rsidRPr="007A3177">
                      <w:rPr>
                        <w:rFonts w:cs="Arial"/>
                        <w:snapToGrid w:val="0"/>
                        <w:sz w:val="20"/>
                        <w:szCs w:val="20"/>
                      </w:rPr>
                      <w:t>2019</w:t>
                    </w:r>
                    <w:r w:rsidRPr="007A3177">
                      <w:rPr>
                        <w:rFonts w:cs="Arial" w:hint="eastAsia"/>
                        <w:snapToGrid w:val="0"/>
                        <w:sz w:val="20"/>
                        <w:szCs w:val="20"/>
                      </w:rPr>
                      <w:t>年1-</w:t>
                    </w:r>
                    <w:r w:rsidRPr="007A3177">
                      <w:rPr>
                        <w:rFonts w:cs="Arial"/>
                        <w:snapToGrid w:val="0"/>
                        <w:sz w:val="20"/>
                        <w:szCs w:val="20"/>
                      </w:rPr>
                      <w:t>6</w:t>
                    </w:r>
                    <w:r w:rsidRPr="007A3177">
                      <w:rPr>
                        <w:rFonts w:cs="Arial" w:hint="eastAsia"/>
                        <w:snapToGrid w:val="0"/>
                        <w:sz w:val="20"/>
                        <w:szCs w:val="20"/>
                      </w:rPr>
                      <w:t>月</w:t>
                    </w:r>
                  </w:p>
                </w:tc>
                <w:tc>
                  <w:tcPr>
                    <w:tcW w:w="238" w:type="dxa"/>
                  </w:tcPr>
                  <w:p w:rsidR="007A3177" w:rsidRPr="007A3177" w:rsidRDefault="007A3177" w:rsidP="003F54E5">
                    <w:pPr>
                      <w:widowControl w:val="0"/>
                      <w:adjustRightInd w:val="0"/>
                      <w:spacing w:line="220" w:lineRule="exact"/>
                      <w:ind w:left="-74" w:right="-113" w:hanging="42"/>
                      <w:jc w:val="right"/>
                      <w:textAlignment w:val="baseline"/>
                      <w:rPr>
                        <w:rFonts w:cs="Arial"/>
                        <w:color w:val="000000"/>
                        <w:sz w:val="20"/>
                        <w:szCs w:val="20"/>
                      </w:rPr>
                    </w:pPr>
                  </w:p>
                </w:tc>
                <w:tc>
                  <w:tcPr>
                    <w:tcW w:w="1871" w:type="dxa"/>
                    <w:vAlign w:val="bottom"/>
                  </w:tcPr>
                  <w:p w:rsidR="007A3177" w:rsidRPr="007A3177" w:rsidRDefault="007A3177" w:rsidP="003F54E5">
                    <w:pPr>
                      <w:widowControl w:val="0"/>
                      <w:adjustRightInd w:val="0"/>
                      <w:spacing w:line="220" w:lineRule="exact"/>
                      <w:ind w:left="-74" w:right="-113" w:hanging="42"/>
                      <w:jc w:val="right"/>
                      <w:textAlignment w:val="baseline"/>
                      <w:rPr>
                        <w:rFonts w:cs="Arial"/>
                        <w:color w:val="000000"/>
                        <w:sz w:val="20"/>
                        <w:szCs w:val="20"/>
                      </w:rPr>
                    </w:pPr>
                    <w:r w:rsidRPr="007A3177">
                      <w:rPr>
                        <w:rFonts w:cs="Arial"/>
                        <w:color w:val="000000"/>
                        <w:sz w:val="20"/>
                        <w:szCs w:val="20"/>
                      </w:rPr>
                      <w:t xml:space="preserve"> </w:t>
                    </w:r>
                    <w:r w:rsidRPr="007A3177">
                      <w:rPr>
                        <w:rFonts w:cs="Arial"/>
                        <w:snapToGrid w:val="0"/>
                        <w:sz w:val="20"/>
                        <w:szCs w:val="20"/>
                      </w:rPr>
                      <w:t>2018</w:t>
                    </w:r>
                    <w:r w:rsidRPr="007A3177">
                      <w:rPr>
                        <w:rFonts w:cs="Arial" w:hint="eastAsia"/>
                        <w:snapToGrid w:val="0"/>
                        <w:sz w:val="20"/>
                        <w:szCs w:val="20"/>
                      </w:rPr>
                      <w:t>年1-</w:t>
                    </w:r>
                    <w:r w:rsidRPr="007A3177">
                      <w:rPr>
                        <w:rFonts w:cs="Arial"/>
                        <w:snapToGrid w:val="0"/>
                        <w:sz w:val="20"/>
                        <w:szCs w:val="20"/>
                      </w:rPr>
                      <w:t>6</w:t>
                    </w:r>
                    <w:r w:rsidRPr="007A3177">
                      <w:rPr>
                        <w:rFonts w:cs="Arial" w:hint="eastAsia"/>
                        <w:snapToGrid w:val="0"/>
                        <w:sz w:val="20"/>
                        <w:szCs w:val="20"/>
                      </w:rPr>
                      <w:t>月</w:t>
                    </w:r>
                  </w:p>
                </w:tc>
                <w:tc>
                  <w:tcPr>
                    <w:tcW w:w="244" w:type="dxa"/>
                  </w:tcPr>
                  <w:p w:rsidR="007A3177" w:rsidRPr="007A3177" w:rsidRDefault="007A3177" w:rsidP="003F54E5">
                    <w:pPr>
                      <w:widowControl w:val="0"/>
                      <w:adjustRightInd w:val="0"/>
                      <w:spacing w:line="220" w:lineRule="exact"/>
                      <w:ind w:left="-74" w:right="-113" w:hanging="42"/>
                      <w:jc w:val="right"/>
                      <w:textAlignment w:val="baseline"/>
                      <w:rPr>
                        <w:rFonts w:cs="Arial"/>
                        <w:color w:val="000000"/>
                        <w:sz w:val="20"/>
                        <w:szCs w:val="20"/>
                      </w:rPr>
                    </w:pPr>
                  </w:p>
                </w:tc>
              </w:tr>
              <w:tr w:rsidR="007A3177" w:rsidRPr="007A3177" w:rsidTr="003F54E5">
                <w:trPr>
                  <w:trHeight w:val="252"/>
                </w:trPr>
                <w:tc>
                  <w:tcPr>
                    <w:tcW w:w="4497" w:type="dxa"/>
                    <w:vAlign w:val="bottom"/>
                  </w:tcPr>
                  <w:p w:rsidR="007A3177" w:rsidRPr="007A3177" w:rsidRDefault="007A3177" w:rsidP="003F54E5">
                    <w:pPr>
                      <w:widowControl w:val="0"/>
                      <w:adjustRightInd w:val="0"/>
                      <w:spacing w:line="220" w:lineRule="exact"/>
                      <w:ind w:leftChars="-43" w:left="106" w:right="-98" w:hangingChars="98" w:hanging="196"/>
                      <w:textAlignment w:val="baseline"/>
                      <w:rPr>
                        <w:rFonts w:cs="Arial"/>
                        <w:color w:val="000000"/>
                        <w:sz w:val="20"/>
                        <w:szCs w:val="20"/>
                      </w:rPr>
                    </w:pPr>
                  </w:p>
                </w:tc>
                <w:tc>
                  <w:tcPr>
                    <w:tcW w:w="284" w:type="dxa"/>
                    <w:vAlign w:val="bottom"/>
                  </w:tcPr>
                  <w:p w:rsidR="007A3177" w:rsidRPr="007A3177" w:rsidRDefault="007A3177" w:rsidP="003F54E5">
                    <w:pPr>
                      <w:widowControl w:val="0"/>
                      <w:adjustRightInd w:val="0"/>
                      <w:spacing w:line="220" w:lineRule="exact"/>
                      <w:ind w:left="-74" w:right="-98" w:hanging="42"/>
                      <w:textAlignment w:val="baseline"/>
                      <w:rPr>
                        <w:rFonts w:cs="Arial"/>
                        <w:color w:val="000000"/>
                        <w:sz w:val="20"/>
                        <w:szCs w:val="20"/>
                      </w:rPr>
                    </w:pPr>
                  </w:p>
                </w:tc>
                <w:tc>
                  <w:tcPr>
                    <w:tcW w:w="1332" w:type="dxa"/>
                    <w:vAlign w:val="bottom"/>
                  </w:tcPr>
                  <w:p w:rsidR="007A3177" w:rsidRPr="007A3177" w:rsidRDefault="007A3177" w:rsidP="003F54E5">
                    <w:pPr>
                      <w:widowControl w:val="0"/>
                      <w:adjustRightInd w:val="0"/>
                      <w:spacing w:line="220" w:lineRule="exact"/>
                      <w:ind w:left="-74" w:right="-98" w:hanging="42"/>
                      <w:jc w:val="right"/>
                      <w:textAlignment w:val="baseline"/>
                      <w:rPr>
                        <w:rFonts w:cs="Arial"/>
                        <w:color w:val="000000"/>
                        <w:sz w:val="20"/>
                        <w:szCs w:val="20"/>
                      </w:rPr>
                    </w:pPr>
                  </w:p>
                </w:tc>
                <w:tc>
                  <w:tcPr>
                    <w:tcW w:w="238" w:type="dxa"/>
                    <w:vAlign w:val="bottom"/>
                  </w:tcPr>
                  <w:p w:rsidR="007A3177" w:rsidRPr="007A3177" w:rsidRDefault="007A3177" w:rsidP="003F54E5">
                    <w:pPr>
                      <w:widowControl w:val="0"/>
                      <w:adjustRightInd w:val="0"/>
                      <w:spacing w:line="220" w:lineRule="exact"/>
                      <w:ind w:left="-74" w:right="-98" w:hanging="42"/>
                      <w:jc w:val="right"/>
                      <w:textAlignment w:val="baseline"/>
                      <w:rPr>
                        <w:rFonts w:cs="Arial"/>
                        <w:color w:val="000000"/>
                        <w:sz w:val="20"/>
                        <w:szCs w:val="20"/>
                      </w:rPr>
                    </w:pPr>
                  </w:p>
                </w:tc>
                <w:tc>
                  <w:tcPr>
                    <w:tcW w:w="1871" w:type="dxa"/>
                    <w:vAlign w:val="bottom"/>
                  </w:tcPr>
                  <w:p w:rsidR="007A3177" w:rsidRPr="007A3177" w:rsidRDefault="007A3177" w:rsidP="003F54E5">
                    <w:pPr>
                      <w:widowControl w:val="0"/>
                      <w:wordWrap w:val="0"/>
                      <w:adjustRightInd w:val="0"/>
                      <w:spacing w:line="220" w:lineRule="exact"/>
                      <w:ind w:left="-74" w:right="-98" w:hanging="42"/>
                      <w:jc w:val="right"/>
                      <w:textAlignment w:val="baseline"/>
                      <w:rPr>
                        <w:rFonts w:cs="Arial"/>
                        <w:color w:val="000000"/>
                        <w:sz w:val="20"/>
                        <w:szCs w:val="20"/>
                      </w:rPr>
                    </w:pPr>
                  </w:p>
                </w:tc>
                <w:tc>
                  <w:tcPr>
                    <w:tcW w:w="244" w:type="dxa"/>
                  </w:tcPr>
                  <w:p w:rsidR="007A3177" w:rsidRPr="007A3177" w:rsidRDefault="007A3177" w:rsidP="003F54E5">
                    <w:pPr>
                      <w:widowControl w:val="0"/>
                      <w:adjustRightInd w:val="0"/>
                      <w:spacing w:line="220" w:lineRule="exact"/>
                      <w:ind w:left="-74" w:right="-98" w:hanging="42"/>
                      <w:textAlignment w:val="baseline"/>
                      <w:rPr>
                        <w:rFonts w:cs="Arial"/>
                        <w:color w:val="000000"/>
                        <w:sz w:val="20"/>
                        <w:szCs w:val="20"/>
                      </w:rPr>
                    </w:pPr>
                  </w:p>
                </w:tc>
              </w:tr>
              <w:tr w:rsidR="007A3177" w:rsidRPr="007A3177" w:rsidTr="003F54E5">
                <w:trPr>
                  <w:trHeight w:val="252"/>
                </w:trPr>
                <w:tc>
                  <w:tcPr>
                    <w:tcW w:w="4497" w:type="dxa"/>
                    <w:vAlign w:val="bottom"/>
                  </w:tcPr>
                  <w:p w:rsidR="007A3177" w:rsidRPr="007A3177" w:rsidRDefault="007A3177" w:rsidP="003F54E5">
                    <w:pPr>
                      <w:widowControl w:val="0"/>
                      <w:adjustRightInd w:val="0"/>
                      <w:spacing w:line="220" w:lineRule="exact"/>
                      <w:ind w:leftChars="-43" w:left="106" w:right="-98" w:hangingChars="98" w:hanging="196"/>
                      <w:textAlignment w:val="baseline"/>
                      <w:rPr>
                        <w:rFonts w:cs="Arial"/>
                        <w:color w:val="000000"/>
                        <w:sz w:val="20"/>
                        <w:szCs w:val="20"/>
                      </w:rPr>
                    </w:pPr>
                    <w:r w:rsidRPr="007A3177">
                      <w:rPr>
                        <w:rFonts w:cs="Arial" w:hint="eastAsia"/>
                        <w:color w:val="000000"/>
                        <w:sz w:val="20"/>
                        <w:szCs w:val="20"/>
                      </w:rPr>
                      <w:t>以权益结算的股份支付计入资本公积的累积金额</w:t>
                    </w:r>
                  </w:p>
                </w:tc>
                <w:tc>
                  <w:tcPr>
                    <w:tcW w:w="284" w:type="dxa"/>
                    <w:vAlign w:val="bottom"/>
                  </w:tcPr>
                  <w:p w:rsidR="007A3177" w:rsidRPr="007A3177" w:rsidRDefault="007A3177" w:rsidP="003F54E5">
                    <w:pPr>
                      <w:widowControl w:val="0"/>
                      <w:adjustRightInd w:val="0"/>
                      <w:spacing w:line="220" w:lineRule="exact"/>
                      <w:ind w:left="-74" w:right="-98" w:hanging="42"/>
                      <w:textAlignment w:val="baseline"/>
                      <w:rPr>
                        <w:rFonts w:cs="Arial"/>
                        <w:color w:val="000000"/>
                        <w:sz w:val="20"/>
                        <w:szCs w:val="20"/>
                      </w:rPr>
                    </w:pPr>
                  </w:p>
                </w:tc>
                <w:tc>
                  <w:tcPr>
                    <w:tcW w:w="1332" w:type="dxa"/>
                    <w:vAlign w:val="bottom"/>
                  </w:tcPr>
                  <w:p w:rsidR="007A3177" w:rsidRPr="007A3177" w:rsidRDefault="007A3177" w:rsidP="003F54E5">
                    <w:pPr>
                      <w:widowControl w:val="0"/>
                      <w:adjustRightInd w:val="0"/>
                      <w:spacing w:line="220" w:lineRule="exact"/>
                      <w:ind w:left="-74" w:right="-98" w:hanging="42"/>
                      <w:jc w:val="right"/>
                      <w:textAlignment w:val="baseline"/>
                      <w:rPr>
                        <w:rFonts w:cs="Arial"/>
                        <w:color w:val="000000"/>
                        <w:sz w:val="20"/>
                        <w:szCs w:val="20"/>
                      </w:rPr>
                    </w:pPr>
                    <w:r w:rsidRPr="007A3177">
                      <w:rPr>
                        <w:rFonts w:cs="Arial" w:hint="eastAsia"/>
                        <w:sz w:val="20"/>
                      </w:rPr>
                      <w:t>360,064,342</w:t>
                    </w:r>
                  </w:p>
                </w:tc>
                <w:tc>
                  <w:tcPr>
                    <w:tcW w:w="238" w:type="dxa"/>
                    <w:vAlign w:val="bottom"/>
                  </w:tcPr>
                  <w:p w:rsidR="007A3177" w:rsidRPr="007A3177" w:rsidRDefault="007A3177" w:rsidP="003F54E5">
                    <w:pPr>
                      <w:widowControl w:val="0"/>
                      <w:adjustRightInd w:val="0"/>
                      <w:spacing w:line="220" w:lineRule="exact"/>
                      <w:ind w:left="-74" w:right="-98" w:hanging="42"/>
                      <w:jc w:val="right"/>
                      <w:textAlignment w:val="baseline"/>
                      <w:rPr>
                        <w:rFonts w:cs="Arial"/>
                        <w:color w:val="000000"/>
                        <w:sz w:val="20"/>
                        <w:szCs w:val="20"/>
                      </w:rPr>
                    </w:pPr>
                  </w:p>
                </w:tc>
                <w:tc>
                  <w:tcPr>
                    <w:tcW w:w="1871" w:type="dxa"/>
                    <w:vAlign w:val="bottom"/>
                  </w:tcPr>
                  <w:p w:rsidR="007A3177" w:rsidRPr="007A3177" w:rsidRDefault="007A3177" w:rsidP="003F54E5">
                    <w:pPr>
                      <w:widowControl w:val="0"/>
                      <w:wordWrap w:val="0"/>
                      <w:adjustRightInd w:val="0"/>
                      <w:spacing w:line="220" w:lineRule="exact"/>
                      <w:ind w:left="-74" w:right="-98" w:hanging="42"/>
                      <w:jc w:val="right"/>
                      <w:textAlignment w:val="baseline"/>
                      <w:rPr>
                        <w:rFonts w:cs="Arial"/>
                        <w:color w:val="000000"/>
                        <w:sz w:val="20"/>
                        <w:szCs w:val="20"/>
                      </w:rPr>
                    </w:pPr>
                    <w:r w:rsidRPr="007A3177">
                      <w:rPr>
                        <w:rFonts w:cs="Arial" w:hint="eastAsia"/>
                        <w:sz w:val="20"/>
                      </w:rPr>
                      <w:t>353,783,316</w:t>
                    </w:r>
                  </w:p>
                </w:tc>
                <w:tc>
                  <w:tcPr>
                    <w:tcW w:w="244" w:type="dxa"/>
                  </w:tcPr>
                  <w:p w:rsidR="007A3177" w:rsidRPr="007A3177" w:rsidRDefault="007A3177" w:rsidP="003F54E5">
                    <w:pPr>
                      <w:widowControl w:val="0"/>
                      <w:adjustRightInd w:val="0"/>
                      <w:spacing w:line="220" w:lineRule="exact"/>
                      <w:ind w:left="-74" w:right="-98" w:hanging="42"/>
                      <w:textAlignment w:val="baseline"/>
                      <w:rPr>
                        <w:rFonts w:cs="Arial"/>
                        <w:color w:val="000000"/>
                        <w:sz w:val="20"/>
                        <w:szCs w:val="20"/>
                      </w:rPr>
                    </w:pPr>
                  </w:p>
                </w:tc>
              </w:tr>
              <w:tr w:rsidR="007A3177" w:rsidRPr="007A3177" w:rsidTr="003F54E5">
                <w:trPr>
                  <w:trHeight w:val="252"/>
                </w:trPr>
                <w:tc>
                  <w:tcPr>
                    <w:tcW w:w="4497" w:type="dxa"/>
                    <w:vAlign w:val="bottom"/>
                  </w:tcPr>
                  <w:p w:rsidR="007A3177" w:rsidRPr="007A3177" w:rsidRDefault="007A3177" w:rsidP="003F54E5">
                    <w:pPr>
                      <w:widowControl w:val="0"/>
                      <w:adjustRightInd w:val="0"/>
                      <w:spacing w:line="220" w:lineRule="exact"/>
                      <w:ind w:leftChars="-42" w:left="122" w:right="-98" w:hangingChars="105" w:hanging="210"/>
                      <w:textAlignment w:val="baseline"/>
                      <w:rPr>
                        <w:rFonts w:cs="Arial"/>
                        <w:color w:val="000000"/>
                        <w:sz w:val="20"/>
                        <w:szCs w:val="22"/>
                      </w:rPr>
                    </w:pPr>
                    <w:r w:rsidRPr="007A3177">
                      <w:rPr>
                        <w:rFonts w:cs="Arial" w:hint="eastAsia"/>
                        <w:color w:val="000000"/>
                        <w:sz w:val="20"/>
                        <w:szCs w:val="20"/>
                      </w:rPr>
                      <w:t>以权益结算的股份支付确认的费用总额</w:t>
                    </w:r>
                  </w:p>
                </w:tc>
                <w:tc>
                  <w:tcPr>
                    <w:tcW w:w="284" w:type="dxa"/>
                    <w:vAlign w:val="bottom"/>
                  </w:tcPr>
                  <w:p w:rsidR="007A3177" w:rsidRPr="007A3177" w:rsidRDefault="007A3177" w:rsidP="003F54E5">
                    <w:pPr>
                      <w:widowControl w:val="0"/>
                      <w:adjustRightInd w:val="0"/>
                      <w:spacing w:line="220" w:lineRule="exact"/>
                      <w:ind w:left="-74" w:right="-98" w:hanging="42"/>
                      <w:textAlignment w:val="baseline"/>
                      <w:rPr>
                        <w:rFonts w:cs="Arial"/>
                        <w:color w:val="000000"/>
                        <w:sz w:val="20"/>
                        <w:szCs w:val="20"/>
                      </w:rPr>
                    </w:pPr>
                  </w:p>
                </w:tc>
                <w:tc>
                  <w:tcPr>
                    <w:tcW w:w="1332" w:type="dxa"/>
                    <w:vAlign w:val="bottom"/>
                  </w:tcPr>
                  <w:p w:rsidR="007A3177" w:rsidRPr="007A3177" w:rsidRDefault="007A3177" w:rsidP="003F54E5">
                    <w:pPr>
                      <w:widowControl w:val="0"/>
                      <w:adjustRightInd w:val="0"/>
                      <w:spacing w:line="220" w:lineRule="exact"/>
                      <w:ind w:left="-74" w:right="-98" w:hanging="42"/>
                      <w:jc w:val="right"/>
                      <w:textAlignment w:val="baseline"/>
                      <w:rPr>
                        <w:rFonts w:cs="Arial"/>
                        <w:color w:val="000000"/>
                        <w:sz w:val="20"/>
                        <w:szCs w:val="20"/>
                      </w:rPr>
                    </w:pPr>
                    <w:r w:rsidRPr="007A3177">
                      <w:rPr>
                        <w:rFonts w:cs="Arial"/>
                        <w:sz w:val="20"/>
                      </w:rPr>
                      <w:t xml:space="preserve"> </w:t>
                    </w:r>
                    <w:r w:rsidRPr="007A3177">
                      <w:rPr>
                        <w:rFonts w:cs="Arial" w:hint="eastAsia"/>
                        <w:sz w:val="20"/>
                      </w:rPr>
                      <w:t>6,281,027</w:t>
                    </w:r>
                  </w:p>
                </w:tc>
                <w:tc>
                  <w:tcPr>
                    <w:tcW w:w="238" w:type="dxa"/>
                    <w:vAlign w:val="bottom"/>
                  </w:tcPr>
                  <w:p w:rsidR="007A3177" w:rsidRPr="007A3177" w:rsidRDefault="007A3177" w:rsidP="003F54E5">
                    <w:pPr>
                      <w:widowControl w:val="0"/>
                      <w:adjustRightInd w:val="0"/>
                      <w:spacing w:line="220" w:lineRule="exact"/>
                      <w:ind w:left="-74" w:right="-98" w:hanging="42"/>
                      <w:jc w:val="right"/>
                      <w:textAlignment w:val="baseline"/>
                      <w:rPr>
                        <w:rFonts w:cs="Arial"/>
                        <w:color w:val="000000"/>
                        <w:sz w:val="20"/>
                        <w:szCs w:val="20"/>
                        <w:u w:val="single"/>
                      </w:rPr>
                    </w:pPr>
                  </w:p>
                </w:tc>
                <w:tc>
                  <w:tcPr>
                    <w:tcW w:w="1871" w:type="dxa"/>
                    <w:vAlign w:val="bottom"/>
                  </w:tcPr>
                  <w:p w:rsidR="007A3177" w:rsidRPr="007A3177" w:rsidRDefault="007A3177" w:rsidP="003F54E5">
                    <w:pPr>
                      <w:widowControl w:val="0"/>
                      <w:wordWrap w:val="0"/>
                      <w:adjustRightInd w:val="0"/>
                      <w:spacing w:line="220" w:lineRule="exact"/>
                      <w:ind w:left="-74" w:right="-98" w:hanging="42"/>
                      <w:jc w:val="right"/>
                      <w:textAlignment w:val="baseline"/>
                      <w:rPr>
                        <w:rFonts w:cs="Arial"/>
                        <w:color w:val="000000"/>
                        <w:sz w:val="20"/>
                        <w:szCs w:val="20"/>
                      </w:rPr>
                    </w:pPr>
                    <w:r w:rsidRPr="007A3177">
                      <w:rPr>
                        <w:rFonts w:cs="Arial"/>
                        <w:sz w:val="20"/>
                      </w:rPr>
                      <w:t>29,275,937</w:t>
                    </w:r>
                  </w:p>
                </w:tc>
                <w:tc>
                  <w:tcPr>
                    <w:tcW w:w="244" w:type="dxa"/>
                  </w:tcPr>
                  <w:p w:rsidR="007A3177" w:rsidRPr="007A3177" w:rsidRDefault="007A3177" w:rsidP="003F54E5">
                    <w:pPr>
                      <w:widowControl w:val="0"/>
                      <w:adjustRightInd w:val="0"/>
                      <w:spacing w:line="220" w:lineRule="exact"/>
                      <w:ind w:left="-74" w:right="-98" w:hanging="42"/>
                      <w:textAlignment w:val="baseline"/>
                      <w:rPr>
                        <w:rFonts w:cs="Arial"/>
                        <w:color w:val="000000"/>
                        <w:sz w:val="20"/>
                        <w:szCs w:val="20"/>
                      </w:rPr>
                    </w:pPr>
                  </w:p>
                </w:tc>
              </w:tr>
            </w:tbl>
            <w:p w:rsidR="007A3177" w:rsidRPr="007A3177" w:rsidRDefault="007A3177" w:rsidP="007A3177">
              <w:pPr>
                <w:widowControl w:val="0"/>
                <w:adjustRightInd w:val="0"/>
                <w:textAlignment w:val="baseline"/>
                <w:rPr>
                  <w:rFonts w:cs="Arial"/>
                  <w:snapToGrid w:val="0"/>
                  <w:sz w:val="20"/>
                  <w:szCs w:val="20"/>
                </w:rPr>
              </w:pPr>
            </w:p>
            <w:p w:rsidR="007A3177" w:rsidRPr="007A3177" w:rsidRDefault="007A3177" w:rsidP="00036BDC">
              <w:pPr>
                <w:widowControl w:val="0"/>
                <w:numPr>
                  <w:ilvl w:val="0"/>
                  <w:numId w:val="92"/>
                </w:numPr>
                <w:overflowPunct w:val="0"/>
                <w:autoSpaceDE w:val="0"/>
                <w:autoSpaceDN w:val="0"/>
                <w:adjustRightInd w:val="0"/>
                <w:snapToGrid w:val="0"/>
                <w:spacing w:line="260" w:lineRule="exact"/>
                <w:ind w:left="357" w:hanging="357"/>
                <w:contextualSpacing/>
                <w:jc w:val="both"/>
                <w:textAlignment w:val="bottom"/>
                <w:rPr>
                  <w:rFonts w:cs="Arial"/>
                  <w:b/>
                  <w:snapToGrid w:val="0"/>
                  <w:sz w:val="20"/>
                  <w:szCs w:val="20"/>
                </w:rPr>
              </w:pPr>
              <w:r w:rsidRPr="007A3177">
                <w:rPr>
                  <w:rFonts w:cs="Arial"/>
                  <w:b/>
                  <w:snapToGrid w:val="0"/>
                  <w:sz w:val="20"/>
                  <w:szCs w:val="20"/>
                </w:rPr>
                <w:t xml:space="preserve">   </w:t>
              </w:r>
              <w:r w:rsidRPr="007A3177">
                <w:rPr>
                  <w:rFonts w:cs="Arial" w:hint="eastAsia"/>
                  <w:b/>
                  <w:snapToGrid w:val="0"/>
                  <w:sz w:val="20"/>
                  <w:szCs w:val="20"/>
                </w:rPr>
                <w:t>股份支付计划</w:t>
              </w:r>
            </w:p>
            <w:p w:rsidR="007A3177" w:rsidRPr="007A3177" w:rsidRDefault="007A3177" w:rsidP="007A3177">
              <w:pPr>
                <w:widowControl w:val="0"/>
                <w:adjustRightInd w:val="0"/>
                <w:spacing w:line="220" w:lineRule="exact"/>
                <w:ind w:left="-202" w:right="-108" w:firstLine="94"/>
                <w:jc w:val="both"/>
                <w:textAlignment w:val="baseline"/>
                <w:rPr>
                  <w:rFonts w:cs="Arial"/>
                  <w:snapToGrid w:val="0"/>
                  <w:sz w:val="20"/>
                  <w:szCs w:val="20"/>
                </w:rPr>
              </w:pPr>
            </w:p>
            <w:p w:rsidR="007A3177" w:rsidRPr="007A3177" w:rsidRDefault="007A3177" w:rsidP="007A3177">
              <w:pPr>
                <w:overflowPunct w:val="0"/>
                <w:autoSpaceDE w:val="0"/>
                <w:autoSpaceDN w:val="0"/>
                <w:adjustRightInd w:val="0"/>
                <w:snapToGrid w:val="0"/>
                <w:jc w:val="both"/>
                <w:textAlignment w:val="bottom"/>
                <w:rPr>
                  <w:rFonts w:cs="Arial"/>
                  <w:snapToGrid w:val="0"/>
                  <w:sz w:val="20"/>
                  <w:szCs w:val="20"/>
                </w:rPr>
              </w:pPr>
              <w:r w:rsidRPr="007A3177">
                <w:rPr>
                  <w:rFonts w:cs="Arial" w:hint="eastAsia"/>
                  <w:snapToGrid w:val="0"/>
                  <w:sz w:val="20"/>
                  <w:szCs w:val="20"/>
                </w:rPr>
                <w:t>畅捷通建立了员工信托受益权计划，旨在激励及奖励对畅捷通成功营运有贡献的合资格员工。本计划的激励对象(包括若干董事及监事)为对实现畅捷通战略目标至关重要的畅捷通员工，包括若干董事及监事、中高层管理人员、专家和核心骨干。本计划自2015年6月8日生效，而除非有其他原因导致取消或修改，否则将在该日期起六年内有效。</w:t>
              </w:r>
            </w:p>
            <w:p w:rsidR="007A3177" w:rsidRPr="007A3177" w:rsidRDefault="007A3177" w:rsidP="007A3177">
              <w:pPr>
                <w:overflowPunct w:val="0"/>
                <w:autoSpaceDE w:val="0"/>
                <w:autoSpaceDN w:val="0"/>
                <w:adjustRightInd w:val="0"/>
                <w:snapToGrid w:val="0"/>
                <w:jc w:val="both"/>
                <w:textAlignment w:val="bottom"/>
                <w:rPr>
                  <w:rFonts w:cs="Arial"/>
                  <w:snapToGrid w:val="0"/>
                  <w:sz w:val="20"/>
                  <w:szCs w:val="20"/>
                </w:rPr>
              </w:pPr>
            </w:p>
            <w:p w:rsidR="007A3177" w:rsidRPr="007A3177" w:rsidRDefault="007A3177" w:rsidP="007A3177">
              <w:pPr>
                <w:overflowPunct w:val="0"/>
                <w:autoSpaceDE w:val="0"/>
                <w:autoSpaceDN w:val="0"/>
                <w:adjustRightInd w:val="0"/>
                <w:snapToGrid w:val="0"/>
                <w:jc w:val="both"/>
                <w:textAlignment w:val="bottom"/>
                <w:rPr>
                  <w:rFonts w:cs="Arial"/>
                  <w:snapToGrid w:val="0"/>
                  <w:sz w:val="20"/>
                  <w:szCs w:val="20"/>
                </w:rPr>
              </w:pPr>
              <w:r w:rsidRPr="007A3177">
                <w:rPr>
                  <w:rFonts w:cs="Arial" w:hint="eastAsia"/>
                  <w:snapToGrid w:val="0"/>
                  <w:sz w:val="20"/>
                  <w:szCs w:val="20"/>
                </w:rPr>
                <w:t>畅捷通委托及透过畅捷通美国委托三家合资格且相互独立的代理机构作为本计划的信托机构设立三项信托，一家信托是为畅捷通关连人士的激励对象设立仅持有内资股的关连信托，其余两家信托是为畅捷通非关连人士的激励对象设立持有内资股及／或H股的非关连信托(其中一家信托为境内激励对象设立，另一家为境外激励对象设立)。</w:t>
              </w:r>
            </w:p>
            <w:p w:rsidR="007A3177" w:rsidRPr="007A3177" w:rsidRDefault="007A3177" w:rsidP="007A3177">
              <w:pPr>
                <w:overflowPunct w:val="0"/>
                <w:autoSpaceDE w:val="0"/>
                <w:autoSpaceDN w:val="0"/>
                <w:adjustRightInd w:val="0"/>
                <w:snapToGrid w:val="0"/>
                <w:jc w:val="both"/>
                <w:textAlignment w:val="bottom"/>
                <w:rPr>
                  <w:rFonts w:cs="Arial"/>
                  <w:snapToGrid w:val="0"/>
                  <w:sz w:val="20"/>
                  <w:szCs w:val="20"/>
                </w:rPr>
              </w:pPr>
            </w:p>
            <w:p w:rsidR="007A3177" w:rsidRPr="007A3177" w:rsidRDefault="007A3177" w:rsidP="007A3177">
              <w:pPr>
                <w:overflowPunct w:val="0"/>
                <w:autoSpaceDE w:val="0"/>
                <w:autoSpaceDN w:val="0"/>
                <w:adjustRightInd w:val="0"/>
                <w:snapToGrid w:val="0"/>
                <w:jc w:val="both"/>
                <w:textAlignment w:val="bottom"/>
                <w:rPr>
                  <w:rFonts w:cs="Arial"/>
                  <w:snapToGrid w:val="0"/>
                  <w:sz w:val="20"/>
                  <w:szCs w:val="20"/>
                </w:rPr>
              </w:pPr>
              <w:r w:rsidRPr="007A3177">
                <w:rPr>
                  <w:rFonts w:cs="Arial" w:hint="eastAsia"/>
                  <w:snapToGrid w:val="0"/>
                  <w:sz w:val="20"/>
                  <w:szCs w:val="20"/>
                </w:rPr>
                <w:t>畅捷通及透过畅捷通美国向信托机构支付以设立关连信托及非关连信托的激励计划资金来自于畅捷通的自有资金及可用于此等用途的首次公开发行募集资金。</w:t>
              </w:r>
            </w:p>
            <w:p w:rsidR="007A3177" w:rsidRPr="007A3177" w:rsidRDefault="007A3177" w:rsidP="007A3177">
              <w:pPr>
                <w:overflowPunct w:val="0"/>
                <w:autoSpaceDE w:val="0"/>
                <w:autoSpaceDN w:val="0"/>
                <w:adjustRightInd w:val="0"/>
                <w:snapToGrid w:val="0"/>
                <w:jc w:val="both"/>
                <w:textAlignment w:val="bottom"/>
                <w:rPr>
                  <w:rFonts w:cs="Arial"/>
                  <w:snapToGrid w:val="0"/>
                  <w:sz w:val="20"/>
                  <w:szCs w:val="20"/>
                </w:rPr>
              </w:pPr>
            </w:p>
            <w:p w:rsidR="007A3177" w:rsidRDefault="007A3177" w:rsidP="007A3177">
              <w:pPr>
                <w:overflowPunct w:val="0"/>
                <w:autoSpaceDE w:val="0"/>
                <w:autoSpaceDN w:val="0"/>
                <w:adjustRightInd w:val="0"/>
                <w:snapToGrid w:val="0"/>
                <w:jc w:val="both"/>
                <w:textAlignment w:val="bottom"/>
                <w:rPr>
                  <w:rFonts w:cs="Arial"/>
                  <w:snapToGrid w:val="0"/>
                  <w:sz w:val="20"/>
                  <w:szCs w:val="20"/>
                </w:rPr>
              </w:pPr>
              <w:r w:rsidRPr="007A3177">
                <w:rPr>
                  <w:rFonts w:cs="Arial" w:hint="eastAsia"/>
                  <w:snapToGrid w:val="0"/>
                  <w:sz w:val="20"/>
                  <w:szCs w:val="20"/>
                </w:rPr>
                <w:t>信托机构根据本计划拟购入的目标股票总数为本计划于2014年度股东周年大会获批准之日畅捷通已发行股本总额的10%，即217,181,666股股份中的21,718,166股股份。附生效条件的信托受益</w:t>
              </w:r>
              <w:r w:rsidRPr="007A3177">
                <w:rPr>
                  <w:rFonts w:cs="Arial" w:hint="eastAsia"/>
                  <w:snapToGrid w:val="0"/>
                  <w:sz w:val="20"/>
                  <w:szCs w:val="20"/>
                </w:rPr>
                <w:lastRenderedPageBreak/>
                <w:t>权份额将通过首次授予、后续授予及再次授予给激励对象。首次授予及后续授予需于2016年12月31日前完成，再次授予需于本计划于股东周年大会获批准之日起两年内完成。</w:t>
              </w:r>
            </w:p>
            <w:p w:rsidR="007A3177" w:rsidRPr="007A3177" w:rsidRDefault="007A3177" w:rsidP="007A3177">
              <w:pPr>
                <w:overflowPunct w:val="0"/>
                <w:autoSpaceDE w:val="0"/>
                <w:autoSpaceDN w:val="0"/>
                <w:adjustRightInd w:val="0"/>
                <w:snapToGrid w:val="0"/>
                <w:jc w:val="both"/>
                <w:textAlignment w:val="bottom"/>
                <w:rPr>
                  <w:rFonts w:cs="Arial"/>
                  <w:snapToGrid w:val="0"/>
                  <w:sz w:val="20"/>
                  <w:szCs w:val="20"/>
                </w:rPr>
              </w:pPr>
            </w:p>
            <w:p w:rsidR="007A3177" w:rsidRPr="007A3177" w:rsidRDefault="007A3177" w:rsidP="007A3177">
              <w:pPr>
                <w:overflowPunct w:val="0"/>
                <w:autoSpaceDE w:val="0"/>
                <w:autoSpaceDN w:val="0"/>
                <w:adjustRightInd w:val="0"/>
                <w:snapToGrid w:val="0"/>
                <w:jc w:val="both"/>
                <w:textAlignment w:val="bottom"/>
                <w:rPr>
                  <w:rFonts w:cs="Arial"/>
                  <w:snapToGrid w:val="0"/>
                  <w:sz w:val="20"/>
                  <w:szCs w:val="20"/>
                </w:rPr>
              </w:pPr>
              <w:r w:rsidRPr="007A3177">
                <w:rPr>
                  <w:rFonts w:cs="Arial" w:hint="eastAsia"/>
                  <w:snapToGrid w:val="0"/>
                  <w:sz w:val="20"/>
                  <w:szCs w:val="20"/>
                </w:rPr>
                <w:t>信托机构从内资股股东或于公开市场购买的目标股票，以信托形式代相关激励对象持有，直至该等股份根据该计划的条文归属于相关激励对象为止。已授予并由信托机构持有直至解锁的畅捷通股份称为库存股份，而各库存股份应指畅捷通一股普通股。</w:t>
              </w:r>
            </w:p>
            <w:p w:rsidR="007A3177" w:rsidRPr="007A3177" w:rsidRDefault="007A3177" w:rsidP="007A3177">
              <w:pPr>
                <w:overflowPunct w:val="0"/>
                <w:autoSpaceDE w:val="0"/>
                <w:autoSpaceDN w:val="0"/>
                <w:adjustRightInd w:val="0"/>
                <w:snapToGrid w:val="0"/>
                <w:jc w:val="both"/>
                <w:textAlignment w:val="bottom"/>
                <w:rPr>
                  <w:rFonts w:cs="Arial"/>
                  <w:snapToGrid w:val="0"/>
                  <w:sz w:val="20"/>
                  <w:szCs w:val="20"/>
                </w:rPr>
              </w:pPr>
            </w:p>
            <w:p w:rsidR="007A3177" w:rsidRPr="007A3177" w:rsidRDefault="007A3177" w:rsidP="007A3177">
              <w:pPr>
                <w:overflowPunct w:val="0"/>
                <w:autoSpaceDE w:val="0"/>
                <w:autoSpaceDN w:val="0"/>
                <w:adjustRightInd w:val="0"/>
                <w:snapToGrid w:val="0"/>
                <w:jc w:val="both"/>
                <w:textAlignment w:val="bottom"/>
                <w:rPr>
                  <w:rFonts w:cs="Arial"/>
                  <w:snapToGrid w:val="0"/>
                  <w:sz w:val="20"/>
                  <w:szCs w:val="20"/>
                </w:rPr>
              </w:pPr>
              <w:r w:rsidRPr="007A3177">
                <w:rPr>
                  <w:rFonts w:cs="Arial" w:hint="eastAsia"/>
                  <w:snapToGrid w:val="0"/>
                  <w:sz w:val="20"/>
                  <w:szCs w:val="20"/>
                </w:rPr>
                <w:t>在该计划有效期内，若畅捷通发生资本公积转增股份、派送股票红利、股票拆细、缩股等事项，应按照该计划规则的调整机制对涉及的目标股票总数进行相应的调整。若进行供股，则由股东大会授权董事会审议决定畅捷通是否采取任何行动将目标股票总数调整为经扩大后畅捷通股本总额的10%，以使该计划下目标股票总数占畅捷通股本总额的比例保持不变。</w:t>
              </w:r>
            </w:p>
            <w:p w:rsidR="007A3177" w:rsidRPr="007A3177" w:rsidRDefault="007A3177" w:rsidP="007A3177">
              <w:pPr>
                <w:overflowPunct w:val="0"/>
                <w:autoSpaceDE w:val="0"/>
                <w:autoSpaceDN w:val="0"/>
                <w:adjustRightInd w:val="0"/>
                <w:snapToGrid w:val="0"/>
                <w:jc w:val="both"/>
                <w:textAlignment w:val="bottom"/>
                <w:rPr>
                  <w:rFonts w:cs="Arial"/>
                  <w:snapToGrid w:val="0"/>
                  <w:sz w:val="20"/>
                  <w:szCs w:val="20"/>
                </w:rPr>
              </w:pPr>
            </w:p>
            <w:p w:rsidR="007A3177" w:rsidRPr="007A3177" w:rsidRDefault="007A3177" w:rsidP="007A3177">
              <w:pPr>
                <w:overflowPunct w:val="0"/>
                <w:autoSpaceDE w:val="0"/>
                <w:autoSpaceDN w:val="0"/>
                <w:adjustRightInd w:val="0"/>
                <w:snapToGrid w:val="0"/>
                <w:jc w:val="both"/>
                <w:textAlignment w:val="bottom"/>
                <w:rPr>
                  <w:rFonts w:cs="Arial"/>
                  <w:snapToGrid w:val="0"/>
                  <w:sz w:val="20"/>
                  <w:szCs w:val="20"/>
                </w:rPr>
              </w:pPr>
              <w:r w:rsidRPr="007A3177">
                <w:rPr>
                  <w:rFonts w:cs="Arial" w:hint="eastAsia"/>
                  <w:snapToGrid w:val="0"/>
                  <w:sz w:val="20"/>
                  <w:szCs w:val="20"/>
                </w:rPr>
                <w:t>每次授予均设三个解锁日，依次为该次授予日后的第一个、第二个和第三个周年届满之日。如解锁条件达成及于前述解锁日届满时，激励对象个人获授信托受益权份额的30%、30%和40%须分别予以解锁。授予日至上述各个解锁日的期间为锁定期，期间不得处置信托受益权份额。</w:t>
              </w:r>
            </w:p>
            <w:p w:rsidR="007A3177" w:rsidRPr="007A3177" w:rsidRDefault="007A3177" w:rsidP="007A3177">
              <w:pPr>
                <w:overflowPunct w:val="0"/>
                <w:autoSpaceDE w:val="0"/>
                <w:autoSpaceDN w:val="0"/>
                <w:adjustRightInd w:val="0"/>
                <w:snapToGrid w:val="0"/>
                <w:jc w:val="both"/>
                <w:textAlignment w:val="bottom"/>
                <w:rPr>
                  <w:rFonts w:cs="Arial"/>
                  <w:snapToGrid w:val="0"/>
                  <w:sz w:val="20"/>
                  <w:szCs w:val="20"/>
                </w:rPr>
              </w:pPr>
            </w:p>
            <w:p w:rsidR="007A3177" w:rsidRPr="007A3177" w:rsidRDefault="007A3177" w:rsidP="007A3177">
              <w:pPr>
                <w:overflowPunct w:val="0"/>
                <w:autoSpaceDE w:val="0"/>
                <w:autoSpaceDN w:val="0"/>
                <w:adjustRightInd w:val="0"/>
                <w:snapToGrid w:val="0"/>
                <w:jc w:val="both"/>
                <w:textAlignment w:val="bottom"/>
                <w:rPr>
                  <w:rFonts w:cs="Arial"/>
                  <w:snapToGrid w:val="0"/>
                  <w:sz w:val="20"/>
                  <w:szCs w:val="20"/>
                </w:rPr>
              </w:pPr>
              <w:r w:rsidRPr="007A3177">
                <w:rPr>
                  <w:rFonts w:cs="Arial" w:hint="eastAsia"/>
                  <w:snapToGrid w:val="0"/>
                  <w:sz w:val="20"/>
                  <w:szCs w:val="20"/>
                </w:rPr>
                <w:t>于2016年5月18日，为更充分的发挥计划的长期激励作用，经2015年年度股东大会批准，公司对计划的行权有效期及计划有效期进行了修改(“修订”)。</w:t>
              </w:r>
            </w:p>
            <w:p w:rsidR="007A3177" w:rsidRPr="007A3177" w:rsidRDefault="007A3177" w:rsidP="007A3177">
              <w:pPr>
                <w:overflowPunct w:val="0"/>
                <w:autoSpaceDE w:val="0"/>
                <w:autoSpaceDN w:val="0"/>
                <w:adjustRightInd w:val="0"/>
                <w:snapToGrid w:val="0"/>
                <w:jc w:val="both"/>
                <w:textAlignment w:val="bottom"/>
                <w:rPr>
                  <w:rFonts w:cs="Arial"/>
                  <w:snapToGrid w:val="0"/>
                  <w:sz w:val="20"/>
                  <w:szCs w:val="20"/>
                </w:rPr>
              </w:pPr>
            </w:p>
            <w:p w:rsidR="007A3177" w:rsidRPr="007A3177" w:rsidRDefault="007A3177" w:rsidP="007A3177">
              <w:pPr>
                <w:overflowPunct w:val="0"/>
                <w:autoSpaceDE w:val="0"/>
                <w:autoSpaceDN w:val="0"/>
                <w:adjustRightInd w:val="0"/>
                <w:snapToGrid w:val="0"/>
                <w:jc w:val="both"/>
                <w:textAlignment w:val="bottom"/>
                <w:rPr>
                  <w:rFonts w:cs="Arial"/>
                  <w:snapToGrid w:val="0"/>
                  <w:sz w:val="20"/>
                  <w:szCs w:val="20"/>
                </w:rPr>
              </w:pPr>
              <w:r w:rsidRPr="007A3177">
                <w:rPr>
                  <w:rFonts w:cs="Arial" w:hint="eastAsia"/>
                  <w:snapToGrid w:val="0"/>
                  <w:sz w:val="20"/>
                  <w:szCs w:val="20"/>
                </w:rPr>
                <w:t>将激励对象(除董事、监事及畅捷通高级管理人员外)的行权有效期从解锁日后的1年内延长至解锁日后的3年内。董事、监事及畅捷通高级管理人员的激励对象的行权有效期维持不变。</w:t>
              </w:r>
            </w:p>
            <w:p w:rsidR="007A3177" w:rsidRPr="007A3177" w:rsidRDefault="007A3177" w:rsidP="007A3177">
              <w:pPr>
                <w:overflowPunct w:val="0"/>
                <w:autoSpaceDE w:val="0"/>
                <w:autoSpaceDN w:val="0"/>
                <w:adjustRightInd w:val="0"/>
                <w:snapToGrid w:val="0"/>
                <w:jc w:val="both"/>
                <w:textAlignment w:val="bottom"/>
                <w:rPr>
                  <w:rFonts w:cs="Arial"/>
                  <w:snapToGrid w:val="0"/>
                  <w:sz w:val="20"/>
                  <w:szCs w:val="20"/>
                </w:rPr>
              </w:pPr>
            </w:p>
            <w:p w:rsidR="007A3177" w:rsidRPr="007A3177" w:rsidRDefault="007A3177" w:rsidP="007A3177">
              <w:pPr>
                <w:overflowPunct w:val="0"/>
                <w:autoSpaceDE w:val="0"/>
                <w:autoSpaceDN w:val="0"/>
                <w:adjustRightInd w:val="0"/>
                <w:snapToGrid w:val="0"/>
                <w:jc w:val="both"/>
                <w:textAlignment w:val="bottom"/>
                <w:rPr>
                  <w:rFonts w:cs="Arial"/>
                  <w:snapToGrid w:val="0"/>
                  <w:sz w:val="20"/>
                  <w:szCs w:val="20"/>
                </w:rPr>
              </w:pPr>
              <w:r w:rsidRPr="007A3177">
                <w:rPr>
                  <w:rFonts w:cs="Arial" w:hint="eastAsia"/>
                  <w:snapToGrid w:val="0"/>
                  <w:sz w:val="20"/>
                  <w:szCs w:val="20"/>
                </w:rPr>
                <w:t>该计划的有效期由自2014年股东周年大会批准之日，即2015年6月8日，起6年延长至8年。</w:t>
              </w:r>
            </w:p>
            <w:p w:rsidR="007A3177" w:rsidRPr="007A3177" w:rsidRDefault="007A3177" w:rsidP="007A3177">
              <w:pPr>
                <w:overflowPunct w:val="0"/>
                <w:autoSpaceDE w:val="0"/>
                <w:autoSpaceDN w:val="0"/>
                <w:adjustRightInd w:val="0"/>
                <w:snapToGrid w:val="0"/>
                <w:jc w:val="both"/>
                <w:textAlignment w:val="bottom"/>
                <w:rPr>
                  <w:rFonts w:cs="Arial"/>
                  <w:snapToGrid w:val="0"/>
                  <w:sz w:val="20"/>
                  <w:szCs w:val="20"/>
                </w:rPr>
              </w:pPr>
            </w:p>
            <w:p w:rsidR="007A3177" w:rsidRPr="007A3177" w:rsidRDefault="007A3177" w:rsidP="007A3177">
              <w:pPr>
                <w:overflowPunct w:val="0"/>
                <w:autoSpaceDE w:val="0"/>
                <w:autoSpaceDN w:val="0"/>
                <w:adjustRightInd w:val="0"/>
                <w:snapToGrid w:val="0"/>
                <w:jc w:val="both"/>
                <w:textAlignment w:val="bottom"/>
                <w:rPr>
                  <w:rFonts w:cs="Arial"/>
                  <w:snapToGrid w:val="0"/>
                  <w:sz w:val="20"/>
                  <w:szCs w:val="20"/>
                </w:rPr>
              </w:pPr>
              <w:r w:rsidRPr="007A3177">
                <w:rPr>
                  <w:rFonts w:cs="Arial" w:hint="eastAsia"/>
                  <w:snapToGrid w:val="0"/>
                  <w:sz w:val="20"/>
                  <w:szCs w:val="20"/>
                </w:rPr>
                <w:t>激励对象享有目标股票的分红收益。</w:t>
              </w:r>
            </w:p>
            <w:p w:rsidR="007A3177" w:rsidRPr="007A3177" w:rsidRDefault="007A3177" w:rsidP="007A3177">
              <w:pPr>
                <w:widowControl w:val="0"/>
                <w:adjustRightInd w:val="0"/>
                <w:spacing w:line="220" w:lineRule="exact"/>
                <w:ind w:left="-202" w:right="-108" w:firstLine="94"/>
                <w:jc w:val="both"/>
                <w:textAlignment w:val="baseline"/>
                <w:rPr>
                  <w:rFonts w:cs="Arial"/>
                  <w:snapToGrid w:val="0"/>
                  <w:sz w:val="20"/>
                  <w:szCs w:val="20"/>
                </w:rPr>
              </w:pPr>
            </w:p>
            <w:p w:rsidR="007A3177" w:rsidRPr="007A3177" w:rsidRDefault="007A3177" w:rsidP="007A3177">
              <w:pPr>
                <w:jc w:val="both"/>
                <w:rPr>
                  <w:rFonts w:cs="Arial"/>
                  <w:b/>
                  <w:snapToGrid w:val="0"/>
                  <w:sz w:val="20"/>
                  <w:szCs w:val="20"/>
                </w:rPr>
              </w:pPr>
              <w:r w:rsidRPr="007A3177">
                <w:rPr>
                  <w:rFonts w:cs="Arial" w:hint="eastAsia"/>
                  <w:b/>
                  <w:snapToGrid w:val="0"/>
                  <w:sz w:val="20"/>
                  <w:szCs w:val="20"/>
                </w:rPr>
                <w:t>该计划项下目标股票的详情及变动</w:t>
              </w:r>
            </w:p>
            <w:p w:rsidR="007A3177" w:rsidRPr="007A3177" w:rsidRDefault="007A3177" w:rsidP="007A3177">
              <w:pPr>
                <w:widowControl w:val="0"/>
                <w:adjustRightInd w:val="0"/>
                <w:spacing w:line="220" w:lineRule="exact"/>
                <w:ind w:left="-202" w:right="-108" w:firstLine="94"/>
                <w:jc w:val="both"/>
                <w:textAlignment w:val="baseline"/>
                <w:rPr>
                  <w:rFonts w:cs="Arial"/>
                  <w:b/>
                  <w:snapToGrid w:val="0"/>
                  <w:sz w:val="20"/>
                  <w:szCs w:val="20"/>
                </w:rPr>
              </w:pPr>
            </w:p>
            <w:p w:rsidR="007A3177" w:rsidRPr="007A3177" w:rsidRDefault="007A3177" w:rsidP="007A3177">
              <w:pPr>
                <w:jc w:val="both"/>
                <w:rPr>
                  <w:rFonts w:cs="Arial"/>
                  <w:snapToGrid w:val="0"/>
                  <w:sz w:val="20"/>
                  <w:szCs w:val="20"/>
                </w:rPr>
              </w:pPr>
              <w:r w:rsidRPr="007A3177">
                <w:rPr>
                  <w:rFonts w:cs="Arial"/>
                  <w:snapToGrid w:val="0"/>
                  <w:sz w:val="20"/>
                  <w:szCs w:val="20"/>
                </w:rPr>
                <w:t>2019</w:t>
              </w:r>
              <w:r w:rsidRPr="007A3177">
                <w:rPr>
                  <w:rFonts w:cs="Arial" w:hint="eastAsia"/>
                  <w:snapToGrid w:val="0"/>
                  <w:sz w:val="20"/>
                  <w:szCs w:val="20"/>
                </w:rPr>
                <w:t>年1-</w:t>
              </w:r>
              <w:r w:rsidRPr="007A3177">
                <w:rPr>
                  <w:rFonts w:cs="Arial"/>
                  <w:snapToGrid w:val="0"/>
                  <w:sz w:val="20"/>
                  <w:szCs w:val="20"/>
                </w:rPr>
                <w:t>6</w:t>
              </w:r>
              <w:r w:rsidRPr="007A3177">
                <w:rPr>
                  <w:rFonts w:cs="Arial" w:hint="eastAsia"/>
                  <w:snapToGrid w:val="0"/>
                  <w:sz w:val="20"/>
                  <w:szCs w:val="20"/>
                </w:rPr>
                <w:t>月</w:t>
              </w:r>
            </w:p>
            <w:p w:rsidR="007A3177" w:rsidRPr="007A3177" w:rsidRDefault="007A3177" w:rsidP="007A3177">
              <w:pPr>
                <w:widowControl w:val="0"/>
                <w:adjustRightInd w:val="0"/>
                <w:spacing w:line="220" w:lineRule="exact"/>
                <w:ind w:left="-202" w:right="-108" w:firstLine="94"/>
                <w:jc w:val="both"/>
                <w:textAlignment w:val="baseline"/>
                <w:rPr>
                  <w:rFonts w:cs="Arial"/>
                  <w:snapToGrid w:val="0"/>
                  <w:sz w:val="20"/>
                  <w:szCs w:val="20"/>
                </w:rPr>
              </w:pPr>
            </w:p>
            <w:tbl>
              <w:tblPr>
                <w:tblStyle w:val="g35"/>
                <w:tblW w:w="8477" w:type="dxa"/>
                <w:tblLayout w:type="fixed"/>
                <w:tblCellMar>
                  <w:left w:w="0" w:type="dxa"/>
                  <w:right w:w="0" w:type="dxa"/>
                </w:tblCellMar>
                <w:tblLook w:val="01E0" w:firstRow="1" w:lastRow="1" w:firstColumn="1" w:lastColumn="1" w:noHBand="0" w:noVBand="0"/>
              </w:tblPr>
              <w:tblGrid>
                <w:gridCol w:w="1722"/>
                <w:gridCol w:w="405"/>
                <w:gridCol w:w="812"/>
                <w:gridCol w:w="1076"/>
                <w:gridCol w:w="55"/>
                <w:gridCol w:w="942"/>
                <w:gridCol w:w="66"/>
                <w:gridCol w:w="1063"/>
                <w:gridCol w:w="69"/>
                <w:gridCol w:w="1161"/>
                <w:gridCol w:w="69"/>
                <w:gridCol w:w="1037"/>
              </w:tblGrid>
              <w:tr w:rsidR="007A3177" w:rsidRPr="007A3177" w:rsidTr="003F54E5">
                <w:trPr>
                  <w:trHeight w:val="284"/>
                </w:trPr>
                <w:tc>
                  <w:tcPr>
                    <w:tcW w:w="1722" w:type="dxa"/>
                    <w:vAlign w:val="bottom"/>
                  </w:tcPr>
                  <w:p w:rsidR="007A3177" w:rsidRPr="007A3177" w:rsidRDefault="007A3177" w:rsidP="003F54E5">
                    <w:pPr>
                      <w:widowControl w:val="0"/>
                      <w:adjustRightInd w:val="0"/>
                      <w:spacing w:line="240" w:lineRule="exact"/>
                      <w:ind w:left="172" w:hanging="172"/>
                      <w:textAlignment w:val="baseline"/>
                      <w:rPr>
                        <w:rFonts w:cs="Arial"/>
                        <w:sz w:val="20"/>
                        <w:szCs w:val="20"/>
                        <w:lang w:eastAsia="zh-TW"/>
                      </w:rPr>
                    </w:pPr>
                    <w:r w:rsidRPr="007A3177">
                      <w:rPr>
                        <w:rFonts w:cs="Arial"/>
                        <w:sz w:val="20"/>
                        <w:szCs w:val="20"/>
                      </w:rPr>
                      <w:t>授予日期</w:t>
                    </w:r>
                  </w:p>
                </w:tc>
                <w:tc>
                  <w:tcPr>
                    <w:tcW w:w="405"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rPr>
                    </w:pPr>
                    <w:r w:rsidRPr="007A3177">
                      <w:rPr>
                        <w:rFonts w:cs="Arial"/>
                        <w:sz w:val="20"/>
                        <w:szCs w:val="20"/>
                      </w:rPr>
                      <w:t>附注</w:t>
                    </w:r>
                  </w:p>
                </w:tc>
                <w:tc>
                  <w:tcPr>
                    <w:tcW w:w="812"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rPr>
                    </w:pPr>
                    <w:r w:rsidRPr="007A3177">
                      <w:rPr>
                        <w:rFonts w:cs="Arial"/>
                        <w:sz w:val="20"/>
                        <w:szCs w:val="20"/>
                      </w:rPr>
                      <w:t>每股</w:t>
                    </w:r>
                  </w:p>
                  <w:p w:rsidR="007A3177" w:rsidRPr="007A3177" w:rsidRDefault="007A3177" w:rsidP="003F54E5">
                    <w:pPr>
                      <w:widowControl w:val="0"/>
                      <w:adjustRightInd w:val="0"/>
                      <w:spacing w:line="240" w:lineRule="exact"/>
                      <w:ind w:left="172" w:hanging="172"/>
                      <w:jc w:val="right"/>
                      <w:textAlignment w:val="baseline"/>
                      <w:rPr>
                        <w:rFonts w:cs="Arial"/>
                        <w:sz w:val="20"/>
                        <w:szCs w:val="20"/>
                        <w:lang w:eastAsia="zh-TW"/>
                      </w:rPr>
                    </w:pPr>
                    <w:r w:rsidRPr="007A3177">
                      <w:rPr>
                        <w:rFonts w:cs="Arial"/>
                        <w:sz w:val="20"/>
                        <w:szCs w:val="20"/>
                      </w:rPr>
                      <w:t>公允价值</w:t>
                    </w:r>
                  </w:p>
                </w:tc>
                <w:tc>
                  <w:tcPr>
                    <w:tcW w:w="1076" w:type="dxa"/>
                    <w:vAlign w:val="bottom"/>
                  </w:tcPr>
                  <w:p w:rsidR="007A3177" w:rsidRPr="007A3177" w:rsidRDefault="007A3177" w:rsidP="003F54E5">
                    <w:pPr>
                      <w:widowControl w:val="0"/>
                      <w:wordWrap w:val="0"/>
                      <w:adjustRightInd w:val="0"/>
                      <w:spacing w:line="240" w:lineRule="exact"/>
                      <w:ind w:left="172" w:right="27" w:hanging="172"/>
                      <w:jc w:val="right"/>
                      <w:textAlignment w:val="baseline"/>
                      <w:rPr>
                        <w:rFonts w:cs="Arial"/>
                        <w:sz w:val="20"/>
                        <w:szCs w:val="20"/>
                        <w:lang w:eastAsia="zh-TW"/>
                      </w:rPr>
                    </w:pPr>
                    <w:r w:rsidRPr="007A3177">
                      <w:rPr>
                        <w:rFonts w:cs="Arial"/>
                        <w:sz w:val="20"/>
                        <w:szCs w:val="20"/>
                      </w:rPr>
                      <w:t>2019年</w:t>
                    </w:r>
                  </w:p>
                </w:tc>
                <w:tc>
                  <w:tcPr>
                    <w:tcW w:w="55" w:type="dxa"/>
                  </w:tcPr>
                  <w:p w:rsidR="007A3177" w:rsidRPr="007A3177" w:rsidRDefault="007A3177" w:rsidP="003F54E5">
                    <w:pPr>
                      <w:widowControl w:val="0"/>
                      <w:wordWrap w:val="0"/>
                      <w:adjustRightInd w:val="0"/>
                      <w:spacing w:line="240" w:lineRule="exact"/>
                      <w:ind w:left="172" w:hanging="172"/>
                      <w:jc w:val="right"/>
                      <w:textAlignment w:val="baseline"/>
                      <w:rPr>
                        <w:rFonts w:cs="Arial"/>
                        <w:sz w:val="20"/>
                        <w:szCs w:val="20"/>
                      </w:rPr>
                    </w:pPr>
                  </w:p>
                </w:tc>
                <w:tc>
                  <w:tcPr>
                    <w:tcW w:w="942" w:type="dxa"/>
                    <w:vAlign w:val="bottom"/>
                  </w:tcPr>
                  <w:p w:rsidR="007A3177" w:rsidRPr="007A3177" w:rsidRDefault="007A3177" w:rsidP="003F54E5">
                    <w:pPr>
                      <w:widowControl w:val="0"/>
                      <w:wordWrap w:val="0"/>
                      <w:adjustRightInd w:val="0"/>
                      <w:spacing w:line="240" w:lineRule="exact"/>
                      <w:ind w:left="172" w:hanging="172"/>
                      <w:jc w:val="right"/>
                      <w:textAlignment w:val="baseline"/>
                      <w:rPr>
                        <w:rFonts w:cs="Arial"/>
                        <w:sz w:val="20"/>
                        <w:szCs w:val="20"/>
                        <w:lang w:eastAsia="zh-TW"/>
                      </w:rPr>
                    </w:pPr>
                    <w:r w:rsidRPr="007A3177">
                      <w:rPr>
                        <w:rFonts w:cs="Arial"/>
                        <w:sz w:val="20"/>
                        <w:szCs w:val="20"/>
                      </w:rPr>
                      <w:t>本年失效</w:t>
                    </w:r>
                  </w:p>
                </w:tc>
                <w:tc>
                  <w:tcPr>
                    <w:tcW w:w="66" w:type="dxa"/>
                  </w:tcPr>
                  <w:p w:rsidR="007A3177" w:rsidRPr="007A3177" w:rsidRDefault="007A3177" w:rsidP="003F54E5">
                    <w:pPr>
                      <w:widowControl w:val="0"/>
                      <w:wordWrap w:val="0"/>
                      <w:adjustRightInd w:val="0"/>
                      <w:spacing w:line="240" w:lineRule="exact"/>
                      <w:ind w:left="172" w:hanging="172"/>
                      <w:jc w:val="right"/>
                      <w:textAlignment w:val="baseline"/>
                      <w:rPr>
                        <w:rFonts w:cs="Arial"/>
                        <w:sz w:val="20"/>
                        <w:szCs w:val="20"/>
                      </w:rPr>
                    </w:pPr>
                  </w:p>
                </w:tc>
                <w:tc>
                  <w:tcPr>
                    <w:tcW w:w="1063" w:type="dxa"/>
                    <w:vAlign w:val="bottom"/>
                  </w:tcPr>
                  <w:p w:rsidR="007A3177" w:rsidRPr="007A3177" w:rsidRDefault="007A3177" w:rsidP="003F54E5">
                    <w:pPr>
                      <w:widowControl w:val="0"/>
                      <w:wordWrap w:val="0"/>
                      <w:adjustRightInd w:val="0"/>
                      <w:spacing w:line="240" w:lineRule="exact"/>
                      <w:ind w:left="172" w:hanging="172"/>
                      <w:jc w:val="right"/>
                      <w:textAlignment w:val="baseline"/>
                      <w:rPr>
                        <w:rFonts w:cs="Arial"/>
                        <w:sz w:val="20"/>
                        <w:szCs w:val="20"/>
                        <w:lang w:eastAsia="zh-TW"/>
                      </w:rPr>
                    </w:pPr>
                    <w:r w:rsidRPr="007A3177">
                      <w:rPr>
                        <w:rFonts w:cs="Arial"/>
                        <w:sz w:val="20"/>
                        <w:szCs w:val="20"/>
                      </w:rPr>
                      <w:t>本年取消</w:t>
                    </w:r>
                  </w:p>
                </w:tc>
                <w:tc>
                  <w:tcPr>
                    <w:tcW w:w="69" w:type="dxa"/>
                  </w:tcPr>
                  <w:p w:rsidR="007A3177" w:rsidRPr="007A3177" w:rsidRDefault="007A3177" w:rsidP="003F54E5">
                    <w:pPr>
                      <w:widowControl w:val="0"/>
                      <w:adjustRightInd w:val="0"/>
                      <w:spacing w:line="240" w:lineRule="exact"/>
                      <w:ind w:left="172" w:hanging="172"/>
                      <w:jc w:val="right"/>
                      <w:textAlignment w:val="baseline"/>
                      <w:rPr>
                        <w:rFonts w:cs="Arial"/>
                        <w:sz w:val="20"/>
                        <w:szCs w:val="20"/>
                      </w:rPr>
                    </w:pPr>
                  </w:p>
                </w:tc>
                <w:tc>
                  <w:tcPr>
                    <w:tcW w:w="1161"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rPr>
                    </w:pPr>
                    <w:r w:rsidRPr="007A3177">
                      <w:rPr>
                        <w:rFonts w:cs="Arial"/>
                        <w:sz w:val="20"/>
                        <w:szCs w:val="20"/>
                      </w:rPr>
                      <w:t>本年解锁</w:t>
                    </w:r>
                  </w:p>
                </w:tc>
                <w:tc>
                  <w:tcPr>
                    <w:tcW w:w="69" w:type="dxa"/>
                  </w:tcPr>
                  <w:p w:rsidR="007A3177" w:rsidRPr="007A3177" w:rsidRDefault="007A3177" w:rsidP="003F54E5">
                    <w:pPr>
                      <w:widowControl w:val="0"/>
                      <w:adjustRightInd w:val="0"/>
                      <w:spacing w:line="240" w:lineRule="exact"/>
                      <w:ind w:left="172" w:hanging="172"/>
                      <w:jc w:val="right"/>
                      <w:textAlignment w:val="baseline"/>
                      <w:rPr>
                        <w:rFonts w:cs="Arial"/>
                        <w:sz w:val="20"/>
                        <w:szCs w:val="20"/>
                      </w:rPr>
                    </w:pPr>
                  </w:p>
                </w:tc>
                <w:tc>
                  <w:tcPr>
                    <w:tcW w:w="1037"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lang w:eastAsia="zh-TW"/>
                      </w:rPr>
                    </w:pPr>
                    <w:r w:rsidRPr="007A3177">
                      <w:rPr>
                        <w:rFonts w:cs="Arial"/>
                        <w:sz w:val="20"/>
                        <w:szCs w:val="20"/>
                      </w:rPr>
                      <w:t>2019年</w:t>
                    </w:r>
                  </w:p>
                </w:tc>
              </w:tr>
              <w:tr w:rsidR="007A3177" w:rsidRPr="007A3177" w:rsidTr="003F54E5">
                <w:trPr>
                  <w:trHeight w:val="284"/>
                </w:trPr>
                <w:tc>
                  <w:tcPr>
                    <w:tcW w:w="1722" w:type="dxa"/>
                    <w:vAlign w:val="bottom"/>
                  </w:tcPr>
                  <w:p w:rsidR="007A3177" w:rsidRPr="007A3177" w:rsidRDefault="007A3177" w:rsidP="003F54E5">
                    <w:pPr>
                      <w:widowControl w:val="0"/>
                      <w:adjustRightInd w:val="0"/>
                      <w:spacing w:line="220" w:lineRule="exact"/>
                      <w:ind w:left="-202" w:right="-108" w:firstLine="94"/>
                      <w:jc w:val="both"/>
                      <w:textAlignment w:val="baseline"/>
                      <w:rPr>
                        <w:rFonts w:cs="Arial"/>
                        <w:snapToGrid w:val="0"/>
                        <w:sz w:val="20"/>
                        <w:szCs w:val="20"/>
                      </w:rPr>
                    </w:pPr>
                  </w:p>
                </w:tc>
                <w:tc>
                  <w:tcPr>
                    <w:tcW w:w="405" w:type="dxa"/>
                  </w:tcPr>
                  <w:p w:rsidR="007A3177" w:rsidRPr="007A3177" w:rsidRDefault="007A3177" w:rsidP="003F54E5">
                    <w:pPr>
                      <w:widowControl w:val="0"/>
                      <w:adjustRightInd w:val="0"/>
                      <w:spacing w:line="240" w:lineRule="exact"/>
                      <w:ind w:left="172" w:hanging="172"/>
                      <w:jc w:val="right"/>
                      <w:textAlignment w:val="baseline"/>
                      <w:rPr>
                        <w:rFonts w:cs="Arial"/>
                        <w:sz w:val="20"/>
                        <w:szCs w:val="20"/>
                      </w:rPr>
                    </w:pPr>
                  </w:p>
                </w:tc>
                <w:tc>
                  <w:tcPr>
                    <w:tcW w:w="812"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lang w:eastAsia="zh-TW"/>
                      </w:rPr>
                    </w:pPr>
                    <w:r w:rsidRPr="007A3177">
                      <w:rPr>
                        <w:rFonts w:cs="Arial"/>
                        <w:sz w:val="20"/>
                        <w:szCs w:val="20"/>
                      </w:rPr>
                      <w:t>人民币元</w:t>
                    </w:r>
                  </w:p>
                </w:tc>
                <w:tc>
                  <w:tcPr>
                    <w:tcW w:w="1076"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rPr>
                    </w:pPr>
                    <w:r w:rsidRPr="007A3177">
                      <w:rPr>
                        <w:rFonts w:cs="Arial"/>
                        <w:sz w:val="20"/>
                        <w:szCs w:val="20"/>
                      </w:rPr>
                      <w:t>1月1日</w:t>
                    </w:r>
                  </w:p>
                </w:tc>
                <w:tc>
                  <w:tcPr>
                    <w:tcW w:w="55" w:type="dxa"/>
                  </w:tcPr>
                  <w:p w:rsidR="007A3177" w:rsidRPr="007A3177" w:rsidRDefault="007A3177" w:rsidP="003F54E5">
                    <w:pPr>
                      <w:widowControl w:val="0"/>
                      <w:adjustRightInd w:val="0"/>
                      <w:spacing w:line="240" w:lineRule="exact"/>
                      <w:ind w:left="172" w:hanging="172"/>
                      <w:jc w:val="right"/>
                      <w:textAlignment w:val="baseline"/>
                      <w:rPr>
                        <w:rFonts w:cs="Arial"/>
                        <w:sz w:val="20"/>
                        <w:szCs w:val="20"/>
                      </w:rPr>
                    </w:pPr>
                  </w:p>
                </w:tc>
                <w:tc>
                  <w:tcPr>
                    <w:tcW w:w="942"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rPr>
                    </w:pPr>
                  </w:p>
                </w:tc>
                <w:tc>
                  <w:tcPr>
                    <w:tcW w:w="66" w:type="dxa"/>
                  </w:tcPr>
                  <w:p w:rsidR="007A3177" w:rsidRPr="007A3177" w:rsidRDefault="007A3177" w:rsidP="003F54E5">
                    <w:pPr>
                      <w:widowControl w:val="0"/>
                      <w:adjustRightInd w:val="0"/>
                      <w:spacing w:line="240" w:lineRule="exact"/>
                      <w:ind w:left="172" w:hanging="172"/>
                      <w:jc w:val="right"/>
                      <w:textAlignment w:val="baseline"/>
                      <w:rPr>
                        <w:rFonts w:cs="Arial"/>
                        <w:sz w:val="20"/>
                        <w:szCs w:val="20"/>
                      </w:rPr>
                    </w:pPr>
                  </w:p>
                </w:tc>
                <w:tc>
                  <w:tcPr>
                    <w:tcW w:w="1063"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rPr>
                    </w:pPr>
                  </w:p>
                </w:tc>
                <w:tc>
                  <w:tcPr>
                    <w:tcW w:w="69" w:type="dxa"/>
                  </w:tcPr>
                  <w:p w:rsidR="007A3177" w:rsidRPr="007A3177" w:rsidRDefault="007A3177" w:rsidP="003F54E5">
                    <w:pPr>
                      <w:widowControl w:val="0"/>
                      <w:adjustRightInd w:val="0"/>
                      <w:spacing w:line="240" w:lineRule="exact"/>
                      <w:ind w:left="172" w:hanging="172"/>
                      <w:jc w:val="right"/>
                      <w:textAlignment w:val="baseline"/>
                      <w:rPr>
                        <w:rFonts w:cs="Arial"/>
                        <w:sz w:val="20"/>
                        <w:szCs w:val="20"/>
                      </w:rPr>
                    </w:pPr>
                  </w:p>
                </w:tc>
                <w:tc>
                  <w:tcPr>
                    <w:tcW w:w="1161"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rPr>
                    </w:pPr>
                  </w:p>
                </w:tc>
                <w:tc>
                  <w:tcPr>
                    <w:tcW w:w="69" w:type="dxa"/>
                  </w:tcPr>
                  <w:p w:rsidR="007A3177" w:rsidRPr="007A3177" w:rsidRDefault="007A3177" w:rsidP="003F54E5">
                    <w:pPr>
                      <w:widowControl w:val="0"/>
                      <w:adjustRightInd w:val="0"/>
                      <w:spacing w:line="240" w:lineRule="exact"/>
                      <w:ind w:left="172" w:hanging="172"/>
                      <w:jc w:val="right"/>
                      <w:textAlignment w:val="baseline"/>
                      <w:rPr>
                        <w:rFonts w:cs="Arial"/>
                        <w:sz w:val="20"/>
                        <w:szCs w:val="20"/>
                      </w:rPr>
                    </w:pPr>
                  </w:p>
                </w:tc>
                <w:tc>
                  <w:tcPr>
                    <w:tcW w:w="1037"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rPr>
                    </w:pPr>
                    <w:r w:rsidRPr="007A3177">
                      <w:rPr>
                        <w:rFonts w:cs="Arial"/>
                        <w:sz w:val="20"/>
                        <w:szCs w:val="20"/>
                      </w:rPr>
                      <w:t>6月30日</w:t>
                    </w:r>
                  </w:p>
                </w:tc>
              </w:tr>
              <w:tr w:rsidR="007A3177" w:rsidRPr="007A3177" w:rsidTr="003F54E5">
                <w:trPr>
                  <w:trHeight w:val="284"/>
                </w:trPr>
                <w:tc>
                  <w:tcPr>
                    <w:tcW w:w="1722"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rPr>
                    </w:pPr>
                  </w:p>
                </w:tc>
                <w:tc>
                  <w:tcPr>
                    <w:tcW w:w="405" w:type="dxa"/>
                  </w:tcPr>
                  <w:p w:rsidR="007A3177" w:rsidRPr="007A3177" w:rsidRDefault="007A3177" w:rsidP="003F54E5">
                    <w:pPr>
                      <w:widowControl w:val="0"/>
                      <w:adjustRightInd w:val="0"/>
                      <w:spacing w:line="240" w:lineRule="exact"/>
                      <w:ind w:left="172" w:hanging="172"/>
                      <w:jc w:val="right"/>
                      <w:textAlignment w:val="baseline"/>
                      <w:rPr>
                        <w:rFonts w:cs="Arial"/>
                        <w:sz w:val="20"/>
                        <w:szCs w:val="20"/>
                      </w:rPr>
                    </w:pPr>
                  </w:p>
                </w:tc>
                <w:tc>
                  <w:tcPr>
                    <w:tcW w:w="812"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rPr>
                    </w:pPr>
                  </w:p>
                </w:tc>
                <w:tc>
                  <w:tcPr>
                    <w:tcW w:w="1076"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rPr>
                    </w:pPr>
                  </w:p>
                </w:tc>
                <w:tc>
                  <w:tcPr>
                    <w:tcW w:w="55" w:type="dxa"/>
                  </w:tcPr>
                  <w:p w:rsidR="007A3177" w:rsidRPr="007A3177" w:rsidRDefault="007A3177" w:rsidP="003F54E5">
                    <w:pPr>
                      <w:widowControl w:val="0"/>
                      <w:adjustRightInd w:val="0"/>
                      <w:spacing w:line="240" w:lineRule="exact"/>
                      <w:ind w:left="172" w:hanging="172"/>
                      <w:jc w:val="right"/>
                      <w:textAlignment w:val="baseline"/>
                      <w:rPr>
                        <w:rFonts w:cs="Arial"/>
                        <w:sz w:val="20"/>
                        <w:szCs w:val="20"/>
                      </w:rPr>
                    </w:pPr>
                  </w:p>
                </w:tc>
                <w:tc>
                  <w:tcPr>
                    <w:tcW w:w="942"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rPr>
                    </w:pPr>
                  </w:p>
                </w:tc>
                <w:tc>
                  <w:tcPr>
                    <w:tcW w:w="66" w:type="dxa"/>
                  </w:tcPr>
                  <w:p w:rsidR="007A3177" w:rsidRPr="007A3177" w:rsidRDefault="007A3177" w:rsidP="003F54E5">
                    <w:pPr>
                      <w:widowControl w:val="0"/>
                      <w:adjustRightInd w:val="0"/>
                      <w:spacing w:line="240" w:lineRule="exact"/>
                      <w:ind w:left="172" w:hanging="172"/>
                      <w:jc w:val="right"/>
                      <w:textAlignment w:val="baseline"/>
                      <w:rPr>
                        <w:rFonts w:cs="Arial"/>
                        <w:sz w:val="20"/>
                        <w:szCs w:val="20"/>
                      </w:rPr>
                    </w:pPr>
                  </w:p>
                </w:tc>
                <w:tc>
                  <w:tcPr>
                    <w:tcW w:w="1063"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rPr>
                    </w:pPr>
                  </w:p>
                </w:tc>
                <w:tc>
                  <w:tcPr>
                    <w:tcW w:w="69" w:type="dxa"/>
                  </w:tcPr>
                  <w:p w:rsidR="007A3177" w:rsidRPr="007A3177" w:rsidRDefault="007A3177" w:rsidP="003F54E5">
                    <w:pPr>
                      <w:widowControl w:val="0"/>
                      <w:adjustRightInd w:val="0"/>
                      <w:spacing w:line="240" w:lineRule="exact"/>
                      <w:ind w:left="172" w:hanging="172"/>
                      <w:jc w:val="right"/>
                      <w:textAlignment w:val="baseline"/>
                      <w:rPr>
                        <w:rFonts w:cs="Arial"/>
                        <w:sz w:val="20"/>
                        <w:szCs w:val="20"/>
                      </w:rPr>
                    </w:pPr>
                  </w:p>
                </w:tc>
                <w:tc>
                  <w:tcPr>
                    <w:tcW w:w="1161"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rPr>
                    </w:pPr>
                  </w:p>
                </w:tc>
                <w:tc>
                  <w:tcPr>
                    <w:tcW w:w="69" w:type="dxa"/>
                  </w:tcPr>
                  <w:p w:rsidR="007A3177" w:rsidRPr="007A3177" w:rsidRDefault="007A3177" w:rsidP="003F54E5">
                    <w:pPr>
                      <w:widowControl w:val="0"/>
                      <w:adjustRightInd w:val="0"/>
                      <w:spacing w:line="240" w:lineRule="exact"/>
                      <w:ind w:left="172" w:hanging="172"/>
                      <w:jc w:val="right"/>
                      <w:textAlignment w:val="baseline"/>
                      <w:rPr>
                        <w:rFonts w:cs="Arial"/>
                        <w:sz w:val="20"/>
                        <w:szCs w:val="20"/>
                      </w:rPr>
                    </w:pPr>
                  </w:p>
                </w:tc>
                <w:tc>
                  <w:tcPr>
                    <w:tcW w:w="1037"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rPr>
                    </w:pPr>
                  </w:p>
                </w:tc>
              </w:tr>
              <w:tr w:rsidR="007A3177" w:rsidRPr="007A3177" w:rsidTr="003F54E5">
                <w:trPr>
                  <w:trHeight w:val="284"/>
                </w:trPr>
                <w:tc>
                  <w:tcPr>
                    <w:tcW w:w="1722" w:type="dxa"/>
                    <w:vAlign w:val="bottom"/>
                  </w:tcPr>
                  <w:p w:rsidR="007A3177" w:rsidRPr="007A3177" w:rsidRDefault="007A3177" w:rsidP="003F54E5">
                    <w:pPr>
                      <w:widowControl w:val="0"/>
                      <w:adjustRightInd w:val="0"/>
                      <w:spacing w:line="240" w:lineRule="exact"/>
                      <w:ind w:left="172" w:hanging="172"/>
                      <w:textAlignment w:val="baseline"/>
                      <w:rPr>
                        <w:rFonts w:cs="Arial"/>
                        <w:sz w:val="20"/>
                        <w:szCs w:val="20"/>
                        <w:lang w:eastAsia="zh-TW"/>
                      </w:rPr>
                    </w:pPr>
                    <w:r w:rsidRPr="007A3177">
                      <w:rPr>
                        <w:rFonts w:cs="Arial"/>
                        <w:sz w:val="20"/>
                        <w:szCs w:val="20"/>
                      </w:rPr>
                      <w:t>2016年3月31日</w:t>
                    </w:r>
                  </w:p>
                </w:tc>
                <w:tc>
                  <w:tcPr>
                    <w:tcW w:w="405" w:type="dxa"/>
                    <w:vAlign w:val="bottom"/>
                  </w:tcPr>
                  <w:p w:rsidR="007A3177" w:rsidRPr="007A3177" w:rsidRDefault="007A3177" w:rsidP="003F54E5">
                    <w:pPr>
                      <w:widowControl w:val="0"/>
                      <w:adjustRightInd w:val="0"/>
                      <w:spacing w:line="240" w:lineRule="exact"/>
                      <w:ind w:left="172" w:hanging="172"/>
                      <w:jc w:val="center"/>
                      <w:textAlignment w:val="baseline"/>
                      <w:rPr>
                        <w:rFonts w:cs="Arial"/>
                        <w:sz w:val="20"/>
                        <w:szCs w:val="20"/>
                      </w:rPr>
                    </w:pPr>
                    <w:r w:rsidRPr="007A3177">
                      <w:rPr>
                        <w:rFonts w:cs="Arial"/>
                        <w:sz w:val="20"/>
                        <w:szCs w:val="20"/>
                      </w:rPr>
                      <w:t>(a)</w:t>
                    </w:r>
                  </w:p>
                </w:tc>
                <w:tc>
                  <w:tcPr>
                    <w:tcW w:w="812"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lang w:eastAsia="zh-TW"/>
                      </w:rPr>
                    </w:pPr>
                    <w:r w:rsidRPr="007A3177">
                      <w:rPr>
                        <w:rFonts w:cs="Arial"/>
                        <w:sz w:val="20"/>
                        <w:szCs w:val="20"/>
                      </w:rPr>
                      <w:t>9.77</w:t>
                    </w:r>
                  </w:p>
                </w:tc>
                <w:tc>
                  <w:tcPr>
                    <w:tcW w:w="1076"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lang w:eastAsia="zh-TW"/>
                      </w:rPr>
                    </w:pPr>
                    <w:r w:rsidRPr="007A3177">
                      <w:rPr>
                        <w:rFonts w:cs="Arial"/>
                        <w:sz w:val="20"/>
                        <w:szCs w:val="20"/>
                      </w:rPr>
                      <w:t>424,000</w:t>
                    </w:r>
                  </w:p>
                </w:tc>
                <w:tc>
                  <w:tcPr>
                    <w:tcW w:w="55" w:type="dxa"/>
                  </w:tcPr>
                  <w:p w:rsidR="007A3177" w:rsidRPr="007A3177" w:rsidRDefault="007A3177" w:rsidP="003F54E5">
                    <w:pPr>
                      <w:widowControl w:val="0"/>
                      <w:adjustRightInd w:val="0"/>
                      <w:spacing w:line="240" w:lineRule="exact"/>
                      <w:ind w:left="172" w:hanging="172"/>
                      <w:jc w:val="right"/>
                      <w:textAlignment w:val="baseline"/>
                      <w:rPr>
                        <w:rFonts w:cs="Arial"/>
                        <w:sz w:val="20"/>
                        <w:szCs w:val="20"/>
                      </w:rPr>
                    </w:pPr>
                  </w:p>
                </w:tc>
                <w:tc>
                  <w:tcPr>
                    <w:tcW w:w="942"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rPr>
                    </w:pPr>
                    <w:r w:rsidRPr="007A3177">
                      <w:rPr>
                        <w:rFonts w:cs="Arial"/>
                        <w:sz w:val="20"/>
                        <w:szCs w:val="20"/>
                        <w:u w:val="single" w:color="FFFFFF" w:themeColor="background1"/>
                      </w:rPr>
                      <w:t>(16,000)</w:t>
                    </w:r>
                  </w:p>
                </w:tc>
                <w:tc>
                  <w:tcPr>
                    <w:tcW w:w="66" w:type="dxa"/>
                  </w:tcPr>
                  <w:p w:rsidR="007A3177" w:rsidRPr="007A3177" w:rsidRDefault="007A3177" w:rsidP="003F54E5">
                    <w:pPr>
                      <w:widowControl w:val="0"/>
                      <w:adjustRightInd w:val="0"/>
                      <w:spacing w:line="240" w:lineRule="exact"/>
                      <w:ind w:left="172" w:hanging="172"/>
                      <w:jc w:val="right"/>
                      <w:textAlignment w:val="baseline"/>
                      <w:rPr>
                        <w:rFonts w:cs="Arial"/>
                        <w:sz w:val="20"/>
                        <w:szCs w:val="20"/>
                      </w:rPr>
                    </w:pPr>
                  </w:p>
                </w:tc>
                <w:tc>
                  <w:tcPr>
                    <w:tcW w:w="1063"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lang w:eastAsia="zh-TW"/>
                      </w:rPr>
                    </w:pPr>
                    <w:r w:rsidRPr="007A3177">
                      <w:rPr>
                        <w:rFonts w:cs="Arial"/>
                        <w:sz w:val="20"/>
                        <w:szCs w:val="20"/>
                      </w:rPr>
                      <w:t>(18,000)</w:t>
                    </w:r>
                  </w:p>
                </w:tc>
                <w:tc>
                  <w:tcPr>
                    <w:tcW w:w="69"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rPr>
                    </w:pPr>
                  </w:p>
                </w:tc>
                <w:tc>
                  <w:tcPr>
                    <w:tcW w:w="1161"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lang w:eastAsia="zh-TW"/>
                      </w:rPr>
                    </w:pPr>
                    <w:r w:rsidRPr="007A3177">
                      <w:rPr>
                        <w:rFonts w:cs="Arial"/>
                        <w:sz w:val="20"/>
                        <w:szCs w:val="20"/>
                      </w:rPr>
                      <w:t>(390,000)</w:t>
                    </w:r>
                  </w:p>
                </w:tc>
                <w:tc>
                  <w:tcPr>
                    <w:tcW w:w="69"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lang w:eastAsia="zh-TW"/>
                      </w:rPr>
                    </w:pPr>
                  </w:p>
                </w:tc>
                <w:tc>
                  <w:tcPr>
                    <w:tcW w:w="1037"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lang w:eastAsia="zh-TW"/>
                      </w:rPr>
                    </w:pPr>
                    <w:r w:rsidRPr="007A3177">
                      <w:rPr>
                        <w:rFonts w:cs="Arial"/>
                        <w:sz w:val="20"/>
                        <w:szCs w:val="20"/>
                      </w:rPr>
                      <w:t>-</w:t>
                    </w:r>
                  </w:p>
                </w:tc>
              </w:tr>
              <w:tr w:rsidR="007A3177" w:rsidRPr="007A3177" w:rsidTr="003F54E5">
                <w:trPr>
                  <w:trHeight w:val="284"/>
                </w:trPr>
                <w:tc>
                  <w:tcPr>
                    <w:tcW w:w="1722" w:type="dxa"/>
                    <w:vAlign w:val="bottom"/>
                  </w:tcPr>
                  <w:p w:rsidR="007A3177" w:rsidRPr="007A3177" w:rsidRDefault="007A3177" w:rsidP="003F54E5">
                    <w:pPr>
                      <w:widowControl w:val="0"/>
                      <w:adjustRightInd w:val="0"/>
                      <w:spacing w:line="240" w:lineRule="exact"/>
                      <w:ind w:left="172" w:hanging="172"/>
                      <w:textAlignment w:val="baseline"/>
                      <w:rPr>
                        <w:rFonts w:cs="Arial"/>
                        <w:sz w:val="20"/>
                        <w:szCs w:val="20"/>
                        <w:lang w:eastAsia="zh-TW"/>
                      </w:rPr>
                    </w:pPr>
                    <w:r w:rsidRPr="007A3177">
                      <w:rPr>
                        <w:rFonts w:cs="Arial"/>
                        <w:sz w:val="20"/>
                        <w:szCs w:val="20"/>
                      </w:rPr>
                      <w:t>2016年12月6日</w:t>
                    </w:r>
                  </w:p>
                </w:tc>
                <w:tc>
                  <w:tcPr>
                    <w:tcW w:w="405" w:type="dxa"/>
                    <w:vAlign w:val="bottom"/>
                  </w:tcPr>
                  <w:p w:rsidR="007A3177" w:rsidRPr="007A3177" w:rsidRDefault="007A3177" w:rsidP="003F54E5">
                    <w:pPr>
                      <w:widowControl w:val="0"/>
                      <w:adjustRightInd w:val="0"/>
                      <w:spacing w:line="240" w:lineRule="exact"/>
                      <w:ind w:left="172" w:hanging="172"/>
                      <w:jc w:val="center"/>
                      <w:textAlignment w:val="baseline"/>
                      <w:rPr>
                        <w:rFonts w:cs="Arial"/>
                        <w:sz w:val="20"/>
                        <w:szCs w:val="20"/>
                      </w:rPr>
                    </w:pPr>
                    <w:r w:rsidRPr="007A3177">
                      <w:rPr>
                        <w:rFonts w:cs="Arial"/>
                        <w:sz w:val="20"/>
                        <w:szCs w:val="20"/>
                      </w:rPr>
                      <w:t>(d)</w:t>
                    </w:r>
                  </w:p>
                </w:tc>
                <w:tc>
                  <w:tcPr>
                    <w:tcW w:w="812"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rPr>
                    </w:pPr>
                    <w:r w:rsidRPr="007A3177">
                      <w:rPr>
                        <w:rFonts w:cs="Arial"/>
                        <w:sz w:val="20"/>
                        <w:szCs w:val="20"/>
                      </w:rPr>
                      <w:t>8.84</w:t>
                    </w:r>
                  </w:p>
                </w:tc>
                <w:tc>
                  <w:tcPr>
                    <w:tcW w:w="1076"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rPr>
                    </w:pPr>
                    <w:r w:rsidRPr="007A3177">
                      <w:rPr>
                        <w:rFonts w:cs="Arial"/>
                        <w:sz w:val="20"/>
                        <w:szCs w:val="20"/>
                      </w:rPr>
                      <w:t>326,000</w:t>
                    </w:r>
                  </w:p>
                </w:tc>
                <w:tc>
                  <w:tcPr>
                    <w:tcW w:w="55" w:type="dxa"/>
                  </w:tcPr>
                  <w:p w:rsidR="007A3177" w:rsidRPr="007A3177" w:rsidRDefault="007A3177" w:rsidP="003F54E5">
                    <w:pPr>
                      <w:widowControl w:val="0"/>
                      <w:adjustRightInd w:val="0"/>
                      <w:spacing w:line="240" w:lineRule="exact"/>
                      <w:ind w:left="172" w:hanging="172"/>
                      <w:jc w:val="right"/>
                      <w:textAlignment w:val="baseline"/>
                      <w:rPr>
                        <w:rFonts w:cs="Arial"/>
                        <w:sz w:val="20"/>
                        <w:szCs w:val="20"/>
                      </w:rPr>
                    </w:pPr>
                  </w:p>
                </w:tc>
                <w:tc>
                  <w:tcPr>
                    <w:tcW w:w="942"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rPr>
                    </w:pPr>
                    <w:r w:rsidRPr="007A3177">
                      <w:rPr>
                        <w:rFonts w:cs="Arial"/>
                        <w:sz w:val="20"/>
                        <w:szCs w:val="20"/>
                        <w:u w:val="single" w:color="FFFFFF" w:themeColor="background1"/>
                      </w:rPr>
                      <w:t>(12,000)</w:t>
                    </w:r>
                  </w:p>
                </w:tc>
                <w:tc>
                  <w:tcPr>
                    <w:tcW w:w="66" w:type="dxa"/>
                  </w:tcPr>
                  <w:p w:rsidR="007A3177" w:rsidRPr="007A3177" w:rsidRDefault="007A3177" w:rsidP="003F54E5">
                    <w:pPr>
                      <w:widowControl w:val="0"/>
                      <w:wordWrap w:val="0"/>
                      <w:adjustRightInd w:val="0"/>
                      <w:spacing w:line="240" w:lineRule="exact"/>
                      <w:ind w:left="172" w:hanging="172"/>
                      <w:jc w:val="right"/>
                      <w:textAlignment w:val="baseline"/>
                      <w:rPr>
                        <w:rFonts w:cs="Arial"/>
                        <w:sz w:val="20"/>
                        <w:szCs w:val="20"/>
                      </w:rPr>
                    </w:pPr>
                  </w:p>
                </w:tc>
                <w:tc>
                  <w:tcPr>
                    <w:tcW w:w="1063"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lang w:eastAsia="zh-TW"/>
                      </w:rPr>
                    </w:pPr>
                    <w:r w:rsidRPr="007A3177">
                      <w:rPr>
                        <w:rFonts w:cs="Arial"/>
                        <w:sz w:val="20"/>
                        <w:szCs w:val="20"/>
                      </w:rPr>
                      <w:t xml:space="preserve">  (66,000)</w:t>
                    </w:r>
                  </w:p>
                </w:tc>
                <w:tc>
                  <w:tcPr>
                    <w:tcW w:w="69"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rPr>
                    </w:pPr>
                  </w:p>
                </w:tc>
                <w:tc>
                  <w:tcPr>
                    <w:tcW w:w="1161"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lang w:eastAsia="zh-TW"/>
                      </w:rPr>
                    </w:pPr>
                    <w:r w:rsidRPr="007A3177">
                      <w:rPr>
                        <w:rFonts w:cs="Arial"/>
                        <w:sz w:val="20"/>
                        <w:szCs w:val="20"/>
                      </w:rPr>
                      <w:t xml:space="preserve">  </w:t>
                    </w:r>
                  </w:p>
                </w:tc>
                <w:tc>
                  <w:tcPr>
                    <w:tcW w:w="69"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lang w:eastAsia="zh-TW"/>
                      </w:rPr>
                    </w:pPr>
                  </w:p>
                </w:tc>
                <w:tc>
                  <w:tcPr>
                    <w:tcW w:w="1037"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lang w:eastAsia="zh-TW"/>
                      </w:rPr>
                    </w:pPr>
                    <w:r w:rsidRPr="007A3177">
                      <w:rPr>
                        <w:rFonts w:cs="Arial"/>
                        <w:sz w:val="20"/>
                        <w:szCs w:val="20"/>
                      </w:rPr>
                      <w:t>248,000</w:t>
                    </w:r>
                  </w:p>
                </w:tc>
              </w:tr>
              <w:tr w:rsidR="007A3177" w:rsidRPr="007A3177" w:rsidTr="003F54E5">
                <w:trPr>
                  <w:trHeight w:val="284"/>
                </w:trPr>
                <w:tc>
                  <w:tcPr>
                    <w:tcW w:w="1722" w:type="dxa"/>
                    <w:vAlign w:val="bottom"/>
                  </w:tcPr>
                  <w:p w:rsidR="007A3177" w:rsidRPr="007A3177" w:rsidRDefault="007A3177" w:rsidP="003F54E5">
                    <w:pPr>
                      <w:widowControl w:val="0"/>
                      <w:wordWrap w:val="0"/>
                      <w:adjustRightInd w:val="0"/>
                      <w:spacing w:line="240" w:lineRule="exact"/>
                      <w:ind w:left="172" w:right="27" w:hanging="172"/>
                      <w:textAlignment w:val="baseline"/>
                      <w:rPr>
                        <w:rFonts w:cs="Arial"/>
                        <w:sz w:val="20"/>
                        <w:szCs w:val="20"/>
                        <w:lang w:eastAsia="zh-TW"/>
                      </w:rPr>
                    </w:pPr>
                    <w:r w:rsidRPr="007A3177">
                      <w:rPr>
                        <w:rFonts w:cs="Arial"/>
                        <w:sz w:val="20"/>
                        <w:szCs w:val="20"/>
                      </w:rPr>
                      <w:t>2017年6月5日</w:t>
                    </w:r>
                  </w:p>
                </w:tc>
                <w:tc>
                  <w:tcPr>
                    <w:tcW w:w="405" w:type="dxa"/>
                  </w:tcPr>
                  <w:p w:rsidR="007A3177" w:rsidRPr="007A3177" w:rsidRDefault="007A3177" w:rsidP="003F54E5">
                    <w:pPr>
                      <w:widowControl w:val="0"/>
                      <w:adjustRightInd w:val="0"/>
                      <w:spacing w:line="240" w:lineRule="exact"/>
                      <w:ind w:left="172" w:hanging="172"/>
                      <w:jc w:val="center"/>
                      <w:textAlignment w:val="baseline"/>
                      <w:rPr>
                        <w:rFonts w:cs="Arial"/>
                        <w:sz w:val="20"/>
                        <w:szCs w:val="20"/>
                      </w:rPr>
                    </w:pPr>
                    <w:r w:rsidRPr="007A3177">
                      <w:rPr>
                        <w:rFonts w:cs="Arial"/>
                        <w:sz w:val="20"/>
                        <w:szCs w:val="20"/>
                      </w:rPr>
                      <w:t>(e)</w:t>
                    </w:r>
                  </w:p>
                </w:tc>
                <w:tc>
                  <w:tcPr>
                    <w:tcW w:w="812"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rPr>
                    </w:pPr>
                    <w:r w:rsidRPr="007A3177">
                      <w:rPr>
                        <w:rFonts w:cs="Arial"/>
                        <w:sz w:val="20"/>
                        <w:szCs w:val="20"/>
                      </w:rPr>
                      <w:t>6.98</w:t>
                    </w:r>
                  </w:p>
                </w:tc>
                <w:tc>
                  <w:tcPr>
                    <w:tcW w:w="1076" w:type="dxa"/>
                    <w:vAlign w:val="bottom"/>
                  </w:tcPr>
                  <w:p w:rsidR="007A3177" w:rsidRPr="007A3177" w:rsidRDefault="007A3177" w:rsidP="003F54E5">
                    <w:pPr>
                      <w:widowControl w:val="0"/>
                      <w:wordWrap w:val="0"/>
                      <w:adjustRightInd w:val="0"/>
                      <w:spacing w:line="240" w:lineRule="exact"/>
                      <w:ind w:left="172" w:hanging="172"/>
                      <w:jc w:val="right"/>
                      <w:textAlignment w:val="baseline"/>
                      <w:rPr>
                        <w:rFonts w:cs="Arial"/>
                        <w:sz w:val="20"/>
                        <w:szCs w:val="20"/>
                        <w:u w:val="single"/>
                      </w:rPr>
                    </w:pPr>
                    <w:r w:rsidRPr="007A3177">
                      <w:rPr>
                        <w:rFonts w:cs="Arial"/>
                        <w:sz w:val="20"/>
                        <w:szCs w:val="20"/>
                        <w:u w:val="single"/>
                      </w:rPr>
                      <w:t>2,709,700</w:t>
                    </w:r>
                  </w:p>
                </w:tc>
                <w:tc>
                  <w:tcPr>
                    <w:tcW w:w="55" w:type="dxa"/>
                  </w:tcPr>
                  <w:p w:rsidR="007A3177" w:rsidRPr="007A3177" w:rsidRDefault="007A3177" w:rsidP="003F54E5">
                    <w:pPr>
                      <w:widowControl w:val="0"/>
                      <w:adjustRightInd w:val="0"/>
                      <w:spacing w:line="240" w:lineRule="exact"/>
                      <w:ind w:left="172" w:hanging="172"/>
                      <w:jc w:val="right"/>
                      <w:textAlignment w:val="baseline"/>
                      <w:rPr>
                        <w:rFonts w:cs="Arial"/>
                        <w:sz w:val="20"/>
                        <w:szCs w:val="20"/>
                        <w:u w:val="single"/>
                        <w:lang w:eastAsia="zh-TW"/>
                      </w:rPr>
                    </w:pPr>
                  </w:p>
                </w:tc>
                <w:tc>
                  <w:tcPr>
                    <w:tcW w:w="942"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u w:val="single"/>
                        <w:lang w:eastAsia="zh-TW"/>
                      </w:rPr>
                    </w:pPr>
                    <w:r w:rsidRPr="007A3177">
                      <w:rPr>
                        <w:rFonts w:cs="Arial"/>
                        <w:sz w:val="20"/>
                        <w:szCs w:val="20"/>
                      </w:rPr>
                      <w:t>(</w:t>
                    </w:r>
                    <w:r w:rsidRPr="007A3177">
                      <w:rPr>
                        <w:rFonts w:cs="Arial"/>
                        <w:sz w:val="20"/>
                        <w:szCs w:val="20"/>
                        <w:u w:val="single"/>
                      </w:rPr>
                      <w:t>20,000</w:t>
                    </w:r>
                    <w:r w:rsidRPr="007A3177">
                      <w:rPr>
                        <w:rFonts w:cs="Arial"/>
                        <w:sz w:val="20"/>
                        <w:szCs w:val="20"/>
                      </w:rPr>
                      <w:t>)</w:t>
                    </w:r>
                  </w:p>
                </w:tc>
                <w:tc>
                  <w:tcPr>
                    <w:tcW w:w="66" w:type="dxa"/>
                  </w:tcPr>
                  <w:p w:rsidR="007A3177" w:rsidRPr="007A3177" w:rsidRDefault="007A3177" w:rsidP="003F54E5">
                    <w:pPr>
                      <w:widowControl w:val="0"/>
                      <w:adjustRightInd w:val="0"/>
                      <w:spacing w:line="240" w:lineRule="exact"/>
                      <w:ind w:left="172" w:hanging="172"/>
                      <w:jc w:val="right"/>
                      <w:textAlignment w:val="baseline"/>
                      <w:rPr>
                        <w:rFonts w:cs="Arial"/>
                        <w:sz w:val="20"/>
                        <w:szCs w:val="20"/>
                        <w:u w:val="single"/>
                        <w:lang w:eastAsia="zh-TW"/>
                      </w:rPr>
                    </w:pPr>
                  </w:p>
                </w:tc>
                <w:tc>
                  <w:tcPr>
                    <w:tcW w:w="1063"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u w:val="single"/>
                        <w:lang w:eastAsia="zh-TW"/>
                      </w:rPr>
                    </w:pPr>
                    <w:r w:rsidRPr="007A3177">
                      <w:rPr>
                        <w:rFonts w:cs="Arial"/>
                        <w:sz w:val="20"/>
                        <w:szCs w:val="20"/>
                        <w:u w:val="single"/>
                      </w:rPr>
                      <w:t xml:space="preserve">(957,400)        </w:t>
                    </w:r>
                  </w:p>
                </w:tc>
                <w:tc>
                  <w:tcPr>
                    <w:tcW w:w="69" w:type="dxa"/>
                    <w:vAlign w:val="bottom"/>
                  </w:tcPr>
                  <w:p w:rsidR="007A3177" w:rsidRPr="007A3177" w:rsidRDefault="007A3177" w:rsidP="003F54E5">
                    <w:pPr>
                      <w:widowControl w:val="0"/>
                      <w:wordWrap w:val="0"/>
                      <w:adjustRightInd w:val="0"/>
                      <w:spacing w:line="240" w:lineRule="exact"/>
                      <w:ind w:left="172" w:rightChars="35" w:right="73" w:hanging="172"/>
                      <w:jc w:val="right"/>
                      <w:textAlignment w:val="baseline"/>
                      <w:rPr>
                        <w:rFonts w:cs="Arial"/>
                        <w:sz w:val="20"/>
                        <w:szCs w:val="20"/>
                        <w:u w:val="single"/>
                        <w:lang w:eastAsia="zh-TW"/>
                      </w:rPr>
                    </w:pPr>
                  </w:p>
                </w:tc>
                <w:tc>
                  <w:tcPr>
                    <w:tcW w:w="1161" w:type="dxa"/>
                    <w:vAlign w:val="bottom"/>
                  </w:tcPr>
                  <w:p w:rsidR="007A3177" w:rsidRPr="007A3177" w:rsidRDefault="007A3177" w:rsidP="003F54E5">
                    <w:pPr>
                      <w:widowControl w:val="0"/>
                      <w:wordWrap w:val="0"/>
                      <w:adjustRightInd w:val="0"/>
                      <w:spacing w:line="240" w:lineRule="exact"/>
                      <w:ind w:left="222" w:rightChars="6" w:right="13" w:hanging="222"/>
                      <w:jc w:val="right"/>
                      <w:textAlignment w:val="baseline"/>
                      <w:rPr>
                        <w:rFonts w:cs="Arial"/>
                        <w:sz w:val="20"/>
                        <w:szCs w:val="20"/>
                        <w:u w:val="single"/>
                        <w:lang w:eastAsia="zh-TW"/>
                      </w:rPr>
                    </w:pPr>
                    <w:r w:rsidRPr="007A3177">
                      <w:rPr>
                        <w:rFonts w:cs="Arial"/>
                        <w:sz w:val="20"/>
                        <w:szCs w:val="20"/>
                        <w:u w:val="single"/>
                      </w:rPr>
                      <w:t xml:space="preserve">(1,074,300) </w:t>
                    </w:r>
                  </w:p>
                </w:tc>
                <w:tc>
                  <w:tcPr>
                    <w:tcW w:w="69"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u w:val="single"/>
                      </w:rPr>
                    </w:pPr>
                  </w:p>
                </w:tc>
                <w:tc>
                  <w:tcPr>
                    <w:tcW w:w="1037"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u w:val="single"/>
                        <w:lang w:eastAsia="zh-TW"/>
                      </w:rPr>
                    </w:pPr>
                    <w:r w:rsidRPr="007A3177">
                      <w:rPr>
                        <w:rFonts w:cs="Arial"/>
                        <w:sz w:val="20"/>
                        <w:szCs w:val="20"/>
                        <w:u w:val="single"/>
                      </w:rPr>
                      <w:t xml:space="preserve"> 658,000</w:t>
                    </w:r>
                  </w:p>
                </w:tc>
              </w:tr>
              <w:tr w:rsidR="007A3177" w:rsidRPr="007A3177" w:rsidTr="003F54E5">
                <w:trPr>
                  <w:trHeight w:val="284"/>
                </w:trPr>
                <w:tc>
                  <w:tcPr>
                    <w:tcW w:w="1722" w:type="dxa"/>
                    <w:vAlign w:val="bottom"/>
                  </w:tcPr>
                  <w:p w:rsidR="007A3177" w:rsidRPr="007A3177" w:rsidRDefault="007A3177" w:rsidP="003F54E5">
                    <w:pPr>
                      <w:widowControl w:val="0"/>
                      <w:wordWrap w:val="0"/>
                      <w:adjustRightInd w:val="0"/>
                      <w:spacing w:line="240" w:lineRule="exact"/>
                      <w:ind w:left="172" w:right="27" w:hanging="172"/>
                      <w:textAlignment w:val="baseline"/>
                      <w:rPr>
                        <w:rFonts w:cs="Arial"/>
                        <w:sz w:val="20"/>
                        <w:szCs w:val="20"/>
                        <w:lang w:eastAsia="zh-TW"/>
                      </w:rPr>
                    </w:pPr>
                  </w:p>
                </w:tc>
                <w:tc>
                  <w:tcPr>
                    <w:tcW w:w="405" w:type="dxa"/>
                  </w:tcPr>
                  <w:p w:rsidR="007A3177" w:rsidRPr="007A3177" w:rsidRDefault="007A3177" w:rsidP="003F54E5">
                    <w:pPr>
                      <w:widowControl w:val="0"/>
                      <w:adjustRightInd w:val="0"/>
                      <w:spacing w:line="240" w:lineRule="exact"/>
                      <w:ind w:left="172" w:hanging="172"/>
                      <w:jc w:val="center"/>
                      <w:textAlignment w:val="baseline"/>
                      <w:rPr>
                        <w:rFonts w:cs="Arial"/>
                        <w:sz w:val="20"/>
                        <w:szCs w:val="20"/>
                      </w:rPr>
                    </w:pPr>
                  </w:p>
                </w:tc>
                <w:tc>
                  <w:tcPr>
                    <w:tcW w:w="812"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rPr>
                    </w:pPr>
                  </w:p>
                </w:tc>
                <w:tc>
                  <w:tcPr>
                    <w:tcW w:w="1076" w:type="dxa"/>
                    <w:vAlign w:val="bottom"/>
                  </w:tcPr>
                  <w:p w:rsidR="007A3177" w:rsidRPr="007A3177" w:rsidRDefault="007A3177" w:rsidP="003F54E5">
                    <w:pPr>
                      <w:widowControl w:val="0"/>
                      <w:wordWrap w:val="0"/>
                      <w:adjustRightInd w:val="0"/>
                      <w:spacing w:line="240" w:lineRule="exact"/>
                      <w:ind w:left="172" w:hanging="172"/>
                      <w:jc w:val="right"/>
                      <w:textAlignment w:val="baseline"/>
                      <w:rPr>
                        <w:rFonts w:cs="Arial"/>
                        <w:sz w:val="20"/>
                        <w:szCs w:val="20"/>
                      </w:rPr>
                    </w:pPr>
                  </w:p>
                </w:tc>
                <w:tc>
                  <w:tcPr>
                    <w:tcW w:w="55" w:type="dxa"/>
                  </w:tcPr>
                  <w:p w:rsidR="007A3177" w:rsidRPr="007A3177" w:rsidRDefault="007A3177" w:rsidP="003F54E5">
                    <w:pPr>
                      <w:widowControl w:val="0"/>
                      <w:adjustRightInd w:val="0"/>
                      <w:spacing w:line="240" w:lineRule="exact"/>
                      <w:ind w:left="172" w:hanging="172"/>
                      <w:jc w:val="right"/>
                      <w:textAlignment w:val="baseline"/>
                      <w:rPr>
                        <w:rFonts w:cs="Arial"/>
                        <w:sz w:val="20"/>
                        <w:szCs w:val="20"/>
                        <w:lang w:eastAsia="zh-TW"/>
                      </w:rPr>
                    </w:pPr>
                  </w:p>
                </w:tc>
                <w:tc>
                  <w:tcPr>
                    <w:tcW w:w="942"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lang w:eastAsia="zh-TW"/>
                      </w:rPr>
                    </w:pPr>
                  </w:p>
                </w:tc>
                <w:tc>
                  <w:tcPr>
                    <w:tcW w:w="66" w:type="dxa"/>
                  </w:tcPr>
                  <w:p w:rsidR="007A3177" w:rsidRPr="007A3177" w:rsidRDefault="007A3177" w:rsidP="003F54E5">
                    <w:pPr>
                      <w:widowControl w:val="0"/>
                      <w:adjustRightInd w:val="0"/>
                      <w:spacing w:line="240" w:lineRule="exact"/>
                      <w:ind w:left="172" w:hanging="172"/>
                      <w:jc w:val="right"/>
                      <w:textAlignment w:val="baseline"/>
                      <w:rPr>
                        <w:rFonts w:cs="Arial"/>
                        <w:sz w:val="20"/>
                        <w:szCs w:val="20"/>
                        <w:lang w:eastAsia="zh-TW"/>
                      </w:rPr>
                    </w:pPr>
                  </w:p>
                </w:tc>
                <w:tc>
                  <w:tcPr>
                    <w:tcW w:w="1063"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lang w:eastAsia="zh-TW"/>
                      </w:rPr>
                    </w:pPr>
                  </w:p>
                </w:tc>
                <w:tc>
                  <w:tcPr>
                    <w:tcW w:w="69" w:type="dxa"/>
                    <w:vAlign w:val="bottom"/>
                  </w:tcPr>
                  <w:p w:rsidR="007A3177" w:rsidRPr="007A3177" w:rsidRDefault="007A3177" w:rsidP="003F54E5">
                    <w:pPr>
                      <w:widowControl w:val="0"/>
                      <w:wordWrap w:val="0"/>
                      <w:adjustRightInd w:val="0"/>
                      <w:spacing w:line="240" w:lineRule="exact"/>
                      <w:ind w:left="172" w:rightChars="35" w:right="73" w:hanging="172"/>
                      <w:jc w:val="right"/>
                      <w:textAlignment w:val="baseline"/>
                      <w:rPr>
                        <w:rFonts w:cs="Arial"/>
                        <w:sz w:val="20"/>
                        <w:szCs w:val="20"/>
                        <w:lang w:eastAsia="zh-TW"/>
                      </w:rPr>
                    </w:pPr>
                  </w:p>
                </w:tc>
                <w:tc>
                  <w:tcPr>
                    <w:tcW w:w="1161" w:type="dxa"/>
                    <w:vAlign w:val="bottom"/>
                  </w:tcPr>
                  <w:p w:rsidR="007A3177" w:rsidRPr="007A3177" w:rsidRDefault="007A3177" w:rsidP="003F54E5">
                    <w:pPr>
                      <w:widowControl w:val="0"/>
                      <w:wordWrap w:val="0"/>
                      <w:adjustRightInd w:val="0"/>
                      <w:spacing w:line="240" w:lineRule="exact"/>
                      <w:ind w:left="172" w:rightChars="35" w:right="73" w:hanging="172"/>
                      <w:jc w:val="right"/>
                      <w:textAlignment w:val="baseline"/>
                      <w:rPr>
                        <w:rFonts w:cs="Arial"/>
                        <w:sz w:val="20"/>
                        <w:szCs w:val="20"/>
                        <w:lang w:eastAsia="zh-TW"/>
                      </w:rPr>
                    </w:pPr>
                  </w:p>
                </w:tc>
                <w:tc>
                  <w:tcPr>
                    <w:tcW w:w="69"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lang w:eastAsia="zh-TW"/>
                      </w:rPr>
                    </w:pPr>
                  </w:p>
                </w:tc>
                <w:tc>
                  <w:tcPr>
                    <w:tcW w:w="1037"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lang w:eastAsia="zh-TW"/>
                      </w:rPr>
                    </w:pPr>
                  </w:p>
                </w:tc>
              </w:tr>
              <w:tr w:rsidR="007A3177" w:rsidRPr="007A3177" w:rsidTr="003F54E5">
                <w:trPr>
                  <w:trHeight w:val="284"/>
                </w:trPr>
                <w:tc>
                  <w:tcPr>
                    <w:tcW w:w="1722" w:type="dxa"/>
                    <w:vAlign w:val="bottom"/>
                  </w:tcPr>
                  <w:p w:rsidR="007A3177" w:rsidRPr="007A3177" w:rsidRDefault="007A3177" w:rsidP="003F54E5">
                    <w:pPr>
                      <w:widowControl w:val="0"/>
                      <w:wordWrap w:val="0"/>
                      <w:adjustRightInd w:val="0"/>
                      <w:spacing w:line="240" w:lineRule="exact"/>
                      <w:ind w:left="172" w:right="27" w:hanging="172"/>
                      <w:textAlignment w:val="baseline"/>
                      <w:rPr>
                        <w:rFonts w:cs="Arial"/>
                        <w:sz w:val="20"/>
                        <w:szCs w:val="20"/>
                        <w:lang w:eastAsia="zh-TW"/>
                      </w:rPr>
                    </w:pPr>
                  </w:p>
                </w:tc>
                <w:tc>
                  <w:tcPr>
                    <w:tcW w:w="405" w:type="dxa"/>
                  </w:tcPr>
                  <w:p w:rsidR="007A3177" w:rsidRPr="007A3177" w:rsidRDefault="007A3177" w:rsidP="003F54E5">
                    <w:pPr>
                      <w:widowControl w:val="0"/>
                      <w:adjustRightInd w:val="0"/>
                      <w:spacing w:line="240" w:lineRule="exact"/>
                      <w:ind w:left="172" w:hanging="172"/>
                      <w:jc w:val="right"/>
                      <w:textAlignment w:val="baseline"/>
                      <w:rPr>
                        <w:rFonts w:cs="Arial"/>
                        <w:sz w:val="20"/>
                        <w:szCs w:val="20"/>
                        <w:lang w:eastAsia="zh-TW"/>
                      </w:rPr>
                    </w:pPr>
                  </w:p>
                </w:tc>
                <w:tc>
                  <w:tcPr>
                    <w:tcW w:w="812"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lang w:eastAsia="zh-TW"/>
                      </w:rPr>
                    </w:pPr>
                  </w:p>
                </w:tc>
                <w:tc>
                  <w:tcPr>
                    <w:tcW w:w="1076"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u w:val="double"/>
                        <w:lang w:eastAsia="zh-TW"/>
                      </w:rPr>
                    </w:pPr>
                    <w:r w:rsidRPr="007A3177">
                      <w:rPr>
                        <w:rFonts w:cs="Arial"/>
                        <w:sz w:val="20"/>
                        <w:szCs w:val="20"/>
                        <w:u w:val="double"/>
                      </w:rPr>
                      <w:t>3,459,700</w:t>
                    </w:r>
                  </w:p>
                </w:tc>
                <w:tc>
                  <w:tcPr>
                    <w:tcW w:w="55" w:type="dxa"/>
                  </w:tcPr>
                  <w:p w:rsidR="007A3177" w:rsidRPr="007A3177" w:rsidRDefault="007A3177" w:rsidP="003F54E5">
                    <w:pPr>
                      <w:widowControl w:val="0"/>
                      <w:adjustRightInd w:val="0"/>
                      <w:spacing w:line="240" w:lineRule="exact"/>
                      <w:ind w:left="172" w:hanging="172"/>
                      <w:jc w:val="right"/>
                      <w:textAlignment w:val="baseline"/>
                      <w:rPr>
                        <w:rFonts w:cs="Arial"/>
                        <w:sz w:val="20"/>
                        <w:szCs w:val="20"/>
                        <w:u w:val="double"/>
                        <w:lang w:eastAsia="zh-TW"/>
                      </w:rPr>
                    </w:pPr>
                  </w:p>
                </w:tc>
                <w:tc>
                  <w:tcPr>
                    <w:tcW w:w="942"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u w:val="double"/>
                      </w:rPr>
                    </w:pPr>
                    <w:r w:rsidRPr="007A3177">
                      <w:rPr>
                        <w:rFonts w:cs="Arial"/>
                        <w:sz w:val="20"/>
                        <w:szCs w:val="20"/>
                        <w:u w:val="double"/>
                      </w:rPr>
                      <w:t>(48,000)</w:t>
                    </w:r>
                  </w:p>
                </w:tc>
                <w:tc>
                  <w:tcPr>
                    <w:tcW w:w="66" w:type="dxa"/>
                  </w:tcPr>
                  <w:p w:rsidR="007A3177" w:rsidRPr="007A3177" w:rsidRDefault="007A3177" w:rsidP="003F54E5">
                    <w:pPr>
                      <w:widowControl w:val="0"/>
                      <w:adjustRightInd w:val="0"/>
                      <w:spacing w:line="240" w:lineRule="exact"/>
                      <w:ind w:left="172" w:hanging="172"/>
                      <w:jc w:val="right"/>
                      <w:textAlignment w:val="baseline"/>
                      <w:rPr>
                        <w:rFonts w:cs="Arial"/>
                        <w:sz w:val="20"/>
                        <w:szCs w:val="20"/>
                        <w:u w:val="double"/>
                        <w:lang w:eastAsia="zh-TW"/>
                      </w:rPr>
                    </w:pPr>
                  </w:p>
                </w:tc>
                <w:tc>
                  <w:tcPr>
                    <w:tcW w:w="1063"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u w:val="double"/>
                        <w:lang w:eastAsia="zh-TW"/>
                      </w:rPr>
                    </w:pPr>
                    <w:r w:rsidRPr="007A3177">
                      <w:rPr>
                        <w:rFonts w:cs="Arial"/>
                        <w:sz w:val="20"/>
                        <w:szCs w:val="20"/>
                        <w:u w:val="double"/>
                      </w:rPr>
                      <w:t>(1,041,400)</w:t>
                    </w:r>
                  </w:p>
                </w:tc>
                <w:tc>
                  <w:tcPr>
                    <w:tcW w:w="69" w:type="dxa"/>
                    <w:vAlign w:val="bottom"/>
                  </w:tcPr>
                  <w:p w:rsidR="007A3177" w:rsidRPr="007A3177" w:rsidRDefault="007A3177" w:rsidP="003F54E5">
                    <w:pPr>
                      <w:widowControl w:val="0"/>
                      <w:adjustRightInd w:val="0"/>
                      <w:spacing w:line="240" w:lineRule="exact"/>
                      <w:ind w:left="172" w:hanging="172"/>
                      <w:textAlignment w:val="baseline"/>
                      <w:rPr>
                        <w:rFonts w:cs="Arial"/>
                        <w:sz w:val="20"/>
                        <w:szCs w:val="20"/>
                        <w:u w:val="double"/>
                        <w:lang w:eastAsia="zh-TW"/>
                      </w:rPr>
                    </w:pPr>
                  </w:p>
                </w:tc>
                <w:tc>
                  <w:tcPr>
                    <w:tcW w:w="1161"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u w:val="double"/>
                        <w:lang w:eastAsia="zh-TW"/>
                      </w:rPr>
                    </w:pPr>
                    <w:r w:rsidRPr="007A3177">
                      <w:rPr>
                        <w:rFonts w:cs="Arial"/>
                        <w:sz w:val="20"/>
                        <w:szCs w:val="20"/>
                        <w:u w:val="double"/>
                      </w:rPr>
                      <w:t>(1,464,300)</w:t>
                    </w:r>
                  </w:p>
                </w:tc>
                <w:tc>
                  <w:tcPr>
                    <w:tcW w:w="69"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u w:val="double"/>
                        <w:lang w:eastAsia="zh-TW"/>
                      </w:rPr>
                    </w:pPr>
                  </w:p>
                </w:tc>
                <w:tc>
                  <w:tcPr>
                    <w:tcW w:w="1037"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u w:val="double"/>
                        <w:lang w:eastAsia="zh-TW"/>
                      </w:rPr>
                    </w:pPr>
                    <w:r w:rsidRPr="007A3177">
                      <w:rPr>
                        <w:rFonts w:cs="Arial"/>
                        <w:sz w:val="20"/>
                        <w:szCs w:val="20"/>
                        <w:u w:val="single"/>
                      </w:rPr>
                      <w:t>906,000</w:t>
                    </w:r>
                  </w:p>
                </w:tc>
              </w:tr>
            </w:tbl>
            <w:p w:rsidR="007A3177" w:rsidRPr="007A3177" w:rsidRDefault="007A3177" w:rsidP="007A3177">
              <w:pPr>
                <w:widowControl w:val="0"/>
                <w:adjustRightInd w:val="0"/>
                <w:spacing w:line="220" w:lineRule="exact"/>
                <w:ind w:left="-202" w:right="-108" w:firstLine="94"/>
                <w:jc w:val="both"/>
                <w:textAlignment w:val="baseline"/>
                <w:rPr>
                  <w:rFonts w:cs="Arial"/>
                  <w:b/>
                  <w:sz w:val="20"/>
                  <w:szCs w:val="20"/>
                </w:rPr>
              </w:pPr>
            </w:p>
            <w:p w:rsidR="007A3177" w:rsidRPr="007A3177" w:rsidRDefault="007A3177" w:rsidP="007A3177">
              <w:pPr>
                <w:rPr>
                  <w:rFonts w:cs="Arial"/>
                  <w:snapToGrid w:val="0"/>
                  <w:sz w:val="20"/>
                  <w:szCs w:val="20"/>
                </w:rPr>
              </w:pPr>
              <w:r w:rsidRPr="007A3177">
                <w:rPr>
                  <w:rFonts w:cs="Arial"/>
                  <w:snapToGrid w:val="0"/>
                  <w:sz w:val="20"/>
                  <w:szCs w:val="20"/>
                </w:rPr>
                <w:t>2018</w:t>
              </w:r>
              <w:r w:rsidRPr="007A3177">
                <w:rPr>
                  <w:rFonts w:cs="Arial" w:hint="eastAsia"/>
                  <w:snapToGrid w:val="0"/>
                  <w:sz w:val="20"/>
                  <w:szCs w:val="20"/>
                </w:rPr>
                <w:t>年1-</w:t>
              </w:r>
              <w:r w:rsidRPr="007A3177">
                <w:rPr>
                  <w:rFonts w:cs="Arial"/>
                  <w:snapToGrid w:val="0"/>
                  <w:sz w:val="20"/>
                  <w:szCs w:val="20"/>
                </w:rPr>
                <w:t>6</w:t>
              </w:r>
              <w:r w:rsidRPr="007A3177">
                <w:rPr>
                  <w:rFonts w:cs="Arial" w:hint="eastAsia"/>
                  <w:snapToGrid w:val="0"/>
                  <w:sz w:val="20"/>
                  <w:szCs w:val="20"/>
                </w:rPr>
                <w:t>月</w:t>
              </w:r>
            </w:p>
            <w:p w:rsidR="007A3177" w:rsidRPr="007A3177" w:rsidRDefault="007A3177" w:rsidP="007A3177">
              <w:pPr>
                <w:widowControl w:val="0"/>
                <w:adjustRightInd w:val="0"/>
                <w:spacing w:line="220" w:lineRule="exact"/>
                <w:ind w:left="-202" w:right="-108" w:firstLine="94"/>
                <w:jc w:val="both"/>
                <w:textAlignment w:val="baseline"/>
                <w:rPr>
                  <w:rFonts w:cs="Arial"/>
                  <w:b/>
                  <w:sz w:val="20"/>
                  <w:szCs w:val="20"/>
                </w:rPr>
              </w:pPr>
            </w:p>
            <w:tbl>
              <w:tblPr>
                <w:tblStyle w:val="g35"/>
                <w:tblW w:w="8477" w:type="dxa"/>
                <w:tblLayout w:type="fixed"/>
                <w:tblCellMar>
                  <w:left w:w="0" w:type="dxa"/>
                  <w:right w:w="0" w:type="dxa"/>
                </w:tblCellMar>
                <w:tblLook w:val="01E0" w:firstRow="1" w:lastRow="1" w:firstColumn="1" w:lastColumn="1" w:noHBand="0" w:noVBand="0"/>
              </w:tblPr>
              <w:tblGrid>
                <w:gridCol w:w="1629"/>
                <w:gridCol w:w="372"/>
                <w:gridCol w:w="951"/>
                <w:gridCol w:w="1102"/>
                <w:gridCol w:w="69"/>
                <w:gridCol w:w="908"/>
                <w:gridCol w:w="42"/>
                <w:gridCol w:w="1061"/>
                <w:gridCol w:w="83"/>
                <w:gridCol w:w="1116"/>
                <w:gridCol w:w="83"/>
                <w:gridCol w:w="1061"/>
              </w:tblGrid>
              <w:tr w:rsidR="007A3177" w:rsidRPr="007A3177" w:rsidTr="003F54E5">
                <w:trPr>
                  <w:trHeight w:val="284"/>
                </w:trPr>
                <w:tc>
                  <w:tcPr>
                    <w:tcW w:w="1629" w:type="dxa"/>
                    <w:vAlign w:val="bottom"/>
                  </w:tcPr>
                  <w:p w:rsidR="007A3177" w:rsidRPr="007A3177" w:rsidRDefault="007A3177" w:rsidP="003F54E5">
                    <w:pPr>
                      <w:widowControl w:val="0"/>
                      <w:adjustRightInd w:val="0"/>
                      <w:spacing w:line="240" w:lineRule="exact"/>
                      <w:ind w:left="172" w:hanging="172"/>
                      <w:textAlignment w:val="baseline"/>
                      <w:rPr>
                        <w:rFonts w:cs="Arial"/>
                        <w:sz w:val="20"/>
                        <w:szCs w:val="20"/>
                        <w:lang w:eastAsia="zh-TW"/>
                      </w:rPr>
                    </w:pPr>
                    <w:bookmarkStart w:id="223" w:name="_Hlk16499943"/>
                    <w:r w:rsidRPr="007A3177">
                      <w:rPr>
                        <w:rFonts w:cs="Arial" w:hint="eastAsia"/>
                        <w:sz w:val="20"/>
                        <w:szCs w:val="20"/>
                      </w:rPr>
                      <w:t>授予日期</w:t>
                    </w:r>
                  </w:p>
                </w:tc>
                <w:tc>
                  <w:tcPr>
                    <w:tcW w:w="372" w:type="dxa"/>
                    <w:vAlign w:val="bottom"/>
                  </w:tcPr>
                  <w:p w:rsidR="007A3177" w:rsidRPr="007A3177" w:rsidRDefault="007A3177" w:rsidP="003F54E5">
                    <w:pPr>
                      <w:widowControl w:val="0"/>
                      <w:adjustRightInd w:val="0"/>
                      <w:spacing w:line="240" w:lineRule="exact"/>
                      <w:ind w:left="28" w:hanging="210"/>
                      <w:jc w:val="right"/>
                      <w:textAlignment w:val="baseline"/>
                      <w:rPr>
                        <w:rFonts w:cs="Arial"/>
                        <w:sz w:val="20"/>
                        <w:szCs w:val="20"/>
                      </w:rPr>
                    </w:pPr>
                    <w:r w:rsidRPr="007A3177">
                      <w:rPr>
                        <w:rFonts w:cs="Arial" w:hint="eastAsia"/>
                        <w:sz w:val="20"/>
                        <w:szCs w:val="20"/>
                      </w:rPr>
                      <w:t>附注</w:t>
                    </w:r>
                  </w:p>
                </w:tc>
                <w:tc>
                  <w:tcPr>
                    <w:tcW w:w="951"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rPr>
                    </w:pPr>
                    <w:r w:rsidRPr="007A3177">
                      <w:rPr>
                        <w:rFonts w:cs="Arial" w:hint="eastAsia"/>
                        <w:sz w:val="20"/>
                        <w:szCs w:val="20"/>
                      </w:rPr>
                      <w:t>每股</w:t>
                    </w:r>
                  </w:p>
                  <w:p w:rsidR="007A3177" w:rsidRPr="007A3177" w:rsidRDefault="007A3177" w:rsidP="003F54E5">
                    <w:pPr>
                      <w:widowControl w:val="0"/>
                      <w:adjustRightInd w:val="0"/>
                      <w:spacing w:line="240" w:lineRule="exact"/>
                      <w:ind w:left="172" w:hanging="172"/>
                      <w:jc w:val="right"/>
                      <w:textAlignment w:val="baseline"/>
                      <w:rPr>
                        <w:rFonts w:cs="Arial"/>
                        <w:sz w:val="20"/>
                        <w:szCs w:val="20"/>
                        <w:lang w:eastAsia="zh-TW"/>
                      </w:rPr>
                    </w:pPr>
                    <w:r w:rsidRPr="007A3177">
                      <w:rPr>
                        <w:rFonts w:cs="Arial" w:hint="eastAsia"/>
                        <w:sz w:val="20"/>
                        <w:szCs w:val="20"/>
                      </w:rPr>
                      <w:t>公允价值</w:t>
                    </w:r>
                  </w:p>
                </w:tc>
                <w:tc>
                  <w:tcPr>
                    <w:tcW w:w="1102" w:type="dxa"/>
                    <w:vAlign w:val="bottom"/>
                  </w:tcPr>
                  <w:p w:rsidR="007A3177" w:rsidRPr="007A3177" w:rsidRDefault="007A3177" w:rsidP="003F54E5">
                    <w:pPr>
                      <w:widowControl w:val="0"/>
                      <w:wordWrap w:val="0"/>
                      <w:adjustRightInd w:val="0"/>
                      <w:spacing w:line="240" w:lineRule="exact"/>
                      <w:ind w:left="172" w:right="27" w:hanging="172"/>
                      <w:jc w:val="right"/>
                      <w:textAlignment w:val="baseline"/>
                      <w:rPr>
                        <w:rFonts w:cs="Arial"/>
                        <w:sz w:val="20"/>
                        <w:szCs w:val="20"/>
                        <w:lang w:eastAsia="zh-TW"/>
                      </w:rPr>
                    </w:pPr>
                    <w:r w:rsidRPr="007A3177">
                      <w:rPr>
                        <w:rFonts w:cs="Arial"/>
                        <w:sz w:val="20"/>
                        <w:szCs w:val="20"/>
                      </w:rPr>
                      <w:t>2018</w:t>
                    </w:r>
                    <w:r w:rsidRPr="007A3177">
                      <w:rPr>
                        <w:rFonts w:cs="Arial" w:hint="eastAsia"/>
                        <w:sz w:val="20"/>
                        <w:szCs w:val="20"/>
                      </w:rPr>
                      <w:t>年</w:t>
                    </w:r>
                  </w:p>
                </w:tc>
                <w:tc>
                  <w:tcPr>
                    <w:tcW w:w="69" w:type="dxa"/>
                  </w:tcPr>
                  <w:p w:rsidR="007A3177" w:rsidRPr="007A3177" w:rsidRDefault="007A3177" w:rsidP="003F54E5">
                    <w:pPr>
                      <w:widowControl w:val="0"/>
                      <w:wordWrap w:val="0"/>
                      <w:adjustRightInd w:val="0"/>
                      <w:spacing w:line="240" w:lineRule="exact"/>
                      <w:ind w:left="172" w:hanging="172"/>
                      <w:jc w:val="right"/>
                      <w:textAlignment w:val="baseline"/>
                      <w:rPr>
                        <w:rFonts w:cs="Arial"/>
                        <w:sz w:val="20"/>
                        <w:szCs w:val="20"/>
                      </w:rPr>
                    </w:pPr>
                  </w:p>
                </w:tc>
                <w:tc>
                  <w:tcPr>
                    <w:tcW w:w="908" w:type="dxa"/>
                    <w:vAlign w:val="bottom"/>
                  </w:tcPr>
                  <w:p w:rsidR="007A3177" w:rsidRPr="007A3177" w:rsidRDefault="007A3177" w:rsidP="003F54E5">
                    <w:pPr>
                      <w:widowControl w:val="0"/>
                      <w:wordWrap w:val="0"/>
                      <w:adjustRightInd w:val="0"/>
                      <w:spacing w:line="240" w:lineRule="exact"/>
                      <w:ind w:left="172" w:hanging="172"/>
                      <w:jc w:val="right"/>
                      <w:textAlignment w:val="baseline"/>
                      <w:rPr>
                        <w:rFonts w:cs="Arial"/>
                        <w:sz w:val="20"/>
                        <w:szCs w:val="20"/>
                      </w:rPr>
                    </w:pPr>
                    <w:r w:rsidRPr="007A3177">
                      <w:rPr>
                        <w:rFonts w:cs="Arial" w:hint="eastAsia"/>
                        <w:sz w:val="20"/>
                        <w:szCs w:val="20"/>
                      </w:rPr>
                      <w:t>本年授予</w:t>
                    </w:r>
                  </w:p>
                </w:tc>
                <w:tc>
                  <w:tcPr>
                    <w:tcW w:w="42" w:type="dxa"/>
                  </w:tcPr>
                  <w:p w:rsidR="007A3177" w:rsidRPr="007A3177" w:rsidRDefault="007A3177" w:rsidP="003F54E5">
                    <w:pPr>
                      <w:widowControl w:val="0"/>
                      <w:wordWrap w:val="0"/>
                      <w:adjustRightInd w:val="0"/>
                      <w:spacing w:line="240" w:lineRule="exact"/>
                      <w:ind w:left="172" w:hanging="172"/>
                      <w:jc w:val="right"/>
                      <w:textAlignment w:val="baseline"/>
                      <w:rPr>
                        <w:rFonts w:cs="Arial"/>
                        <w:sz w:val="20"/>
                        <w:szCs w:val="20"/>
                      </w:rPr>
                    </w:pPr>
                  </w:p>
                </w:tc>
                <w:tc>
                  <w:tcPr>
                    <w:tcW w:w="1061" w:type="dxa"/>
                    <w:vAlign w:val="bottom"/>
                  </w:tcPr>
                  <w:p w:rsidR="007A3177" w:rsidRPr="007A3177" w:rsidRDefault="007A3177" w:rsidP="003F54E5">
                    <w:pPr>
                      <w:widowControl w:val="0"/>
                      <w:wordWrap w:val="0"/>
                      <w:adjustRightInd w:val="0"/>
                      <w:spacing w:line="240" w:lineRule="exact"/>
                      <w:ind w:left="172" w:hanging="172"/>
                      <w:jc w:val="right"/>
                      <w:textAlignment w:val="baseline"/>
                      <w:rPr>
                        <w:rFonts w:cs="Arial"/>
                        <w:sz w:val="20"/>
                        <w:szCs w:val="20"/>
                        <w:lang w:eastAsia="zh-TW"/>
                      </w:rPr>
                    </w:pPr>
                    <w:r w:rsidRPr="007A3177">
                      <w:rPr>
                        <w:rFonts w:cs="Arial" w:hint="eastAsia"/>
                        <w:sz w:val="20"/>
                        <w:szCs w:val="20"/>
                      </w:rPr>
                      <w:t>本年失效</w:t>
                    </w:r>
                  </w:p>
                </w:tc>
                <w:tc>
                  <w:tcPr>
                    <w:tcW w:w="83" w:type="dxa"/>
                  </w:tcPr>
                  <w:p w:rsidR="007A3177" w:rsidRPr="007A3177" w:rsidRDefault="007A3177" w:rsidP="003F54E5">
                    <w:pPr>
                      <w:widowControl w:val="0"/>
                      <w:adjustRightInd w:val="0"/>
                      <w:spacing w:line="240" w:lineRule="exact"/>
                      <w:ind w:left="172" w:hanging="172"/>
                      <w:jc w:val="right"/>
                      <w:textAlignment w:val="baseline"/>
                      <w:rPr>
                        <w:rFonts w:cs="Arial"/>
                        <w:sz w:val="20"/>
                        <w:szCs w:val="20"/>
                      </w:rPr>
                    </w:pPr>
                  </w:p>
                </w:tc>
                <w:tc>
                  <w:tcPr>
                    <w:tcW w:w="1116"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rPr>
                    </w:pPr>
                    <w:r w:rsidRPr="007A3177">
                      <w:rPr>
                        <w:rFonts w:cs="Arial" w:hint="eastAsia"/>
                        <w:sz w:val="20"/>
                        <w:szCs w:val="20"/>
                      </w:rPr>
                      <w:t>本年解锁</w:t>
                    </w:r>
                  </w:p>
                </w:tc>
                <w:tc>
                  <w:tcPr>
                    <w:tcW w:w="83" w:type="dxa"/>
                  </w:tcPr>
                  <w:p w:rsidR="007A3177" w:rsidRPr="007A3177" w:rsidRDefault="007A3177" w:rsidP="003F54E5">
                    <w:pPr>
                      <w:widowControl w:val="0"/>
                      <w:adjustRightInd w:val="0"/>
                      <w:spacing w:line="240" w:lineRule="exact"/>
                      <w:ind w:left="172" w:hanging="172"/>
                      <w:jc w:val="right"/>
                      <w:textAlignment w:val="baseline"/>
                      <w:rPr>
                        <w:rFonts w:cs="Arial"/>
                        <w:sz w:val="20"/>
                        <w:szCs w:val="20"/>
                      </w:rPr>
                    </w:pPr>
                  </w:p>
                </w:tc>
                <w:tc>
                  <w:tcPr>
                    <w:tcW w:w="1061"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lang w:eastAsia="zh-TW"/>
                      </w:rPr>
                    </w:pPr>
                    <w:r w:rsidRPr="007A3177">
                      <w:rPr>
                        <w:rFonts w:cs="Arial"/>
                        <w:sz w:val="20"/>
                        <w:szCs w:val="20"/>
                      </w:rPr>
                      <w:t>2018</w:t>
                    </w:r>
                    <w:r w:rsidRPr="007A3177">
                      <w:rPr>
                        <w:rFonts w:cs="Arial" w:hint="eastAsia"/>
                        <w:sz w:val="20"/>
                        <w:szCs w:val="20"/>
                      </w:rPr>
                      <w:t>年</w:t>
                    </w:r>
                  </w:p>
                </w:tc>
              </w:tr>
              <w:tr w:rsidR="007A3177" w:rsidRPr="007A3177" w:rsidTr="003F54E5">
                <w:trPr>
                  <w:trHeight w:val="284"/>
                </w:trPr>
                <w:tc>
                  <w:tcPr>
                    <w:tcW w:w="1629"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lang w:eastAsia="zh-TW"/>
                      </w:rPr>
                    </w:pPr>
                  </w:p>
                </w:tc>
                <w:tc>
                  <w:tcPr>
                    <w:tcW w:w="372" w:type="dxa"/>
                  </w:tcPr>
                  <w:p w:rsidR="007A3177" w:rsidRPr="007A3177" w:rsidRDefault="007A3177" w:rsidP="003F54E5">
                    <w:pPr>
                      <w:widowControl w:val="0"/>
                      <w:adjustRightInd w:val="0"/>
                      <w:spacing w:line="240" w:lineRule="exact"/>
                      <w:ind w:left="172" w:hanging="172"/>
                      <w:jc w:val="right"/>
                      <w:textAlignment w:val="baseline"/>
                      <w:rPr>
                        <w:rFonts w:cs="Arial"/>
                        <w:sz w:val="20"/>
                        <w:szCs w:val="20"/>
                      </w:rPr>
                    </w:pPr>
                  </w:p>
                </w:tc>
                <w:tc>
                  <w:tcPr>
                    <w:tcW w:w="951"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lang w:eastAsia="zh-TW"/>
                      </w:rPr>
                    </w:pPr>
                    <w:r w:rsidRPr="007A3177">
                      <w:rPr>
                        <w:rFonts w:cs="Arial" w:hint="eastAsia"/>
                        <w:sz w:val="20"/>
                        <w:szCs w:val="20"/>
                      </w:rPr>
                      <w:t>人民币元</w:t>
                    </w:r>
                  </w:p>
                </w:tc>
                <w:tc>
                  <w:tcPr>
                    <w:tcW w:w="1102"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rPr>
                    </w:pPr>
                    <w:r w:rsidRPr="007A3177">
                      <w:rPr>
                        <w:rFonts w:cs="Arial"/>
                        <w:sz w:val="20"/>
                        <w:szCs w:val="20"/>
                      </w:rPr>
                      <w:t>1</w:t>
                    </w:r>
                    <w:r w:rsidRPr="007A3177">
                      <w:rPr>
                        <w:rFonts w:cs="Arial" w:hint="eastAsia"/>
                        <w:sz w:val="20"/>
                        <w:szCs w:val="20"/>
                      </w:rPr>
                      <w:t>月</w:t>
                    </w:r>
                    <w:r w:rsidRPr="007A3177">
                      <w:rPr>
                        <w:rFonts w:cs="Arial"/>
                        <w:sz w:val="20"/>
                        <w:szCs w:val="20"/>
                      </w:rPr>
                      <w:t>1</w:t>
                    </w:r>
                    <w:r w:rsidRPr="007A3177">
                      <w:rPr>
                        <w:rFonts w:cs="Arial" w:hint="eastAsia"/>
                        <w:sz w:val="20"/>
                        <w:szCs w:val="20"/>
                      </w:rPr>
                      <w:t>日</w:t>
                    </w:r>
                  </w:p>
                </w:tc>
                <w:tc>
                  <w:tcPr>
                    <w:tcW w:w="69" w:type="dxa"/>
                  </w:tcPr>
                  <w:p w:rsidR="007A3177" w:rsidRPr="007A3177" w:rsidRDefault="007A3177" w:rsidP="003F54E5">
                    <w:pPr>
                      <w:widowControl w:val="0"/>
                      <w:adjustRightInd w:val="0"/>
                      <w:spacing w:line="240" w:lineRule="exact"/>
                      <w:ind w:left="172" w:hanging="172"/>
                      <w:jc w:val="right"/>
                      <w:textAlignment w:val="baseline"/>
                      <w:rPr>
                        <w:rFonts w:cs="Arial"/>
                        <w:sz w:val="20"/>
                        <w:szCs w:val="20"/>
                      </w:rPr>
                    </w:pPr>
                  </w:p>
                </w:tc>
                <w:tc>
                  <w:tcPr>
                    <w:tcW w:w="908" w:type="dxa"/>
                  </w:tcPr>
                  <w:p w:rsidR="007A3177" w:rsidRPr="007A3177" w:rsidRDefault="007A3177" w:rsidP="003F54E5">
                    <w:pPr>
                      <w:widowControl w:val="0"/>
                      <w:adjustRightInd w:val="0"/>
                      <w:spacing w:line="240" w:lineRule="exact"/>
                      <w:ind w:left="172" w:hanging="172"/>
                      <w:jc w:val="right"/>
                      <w:textAlignment w:val="baseline"/>
                      <w:rPr>
                        <w:rFonts w:cs="Arial"/>
                        <w:sz w:val="20"/>
                        <w:szCs w:val="20"/>
                      </w:rPr>
                    </w:pPr>
                  </w:p>
                </w:tc>
                <w:tc>
                  <w:tcPr>
                    <w:tcW w:w="42" w:type="dxa"/>
                  </w:tcPr>
                  <w:p w:rsidR="007A3177" w:rsidRPr="007A3177" w:rsidRDefault="007A3177" w:rsidP="003F54E5">
                    <w:pPr>
                      <w:widowControl w:val="0"/>
                      <w:adjustRightInd w:val="0"/>
                      <w:spacing w:line="240" w:lineRule="exact"/>
                      <w:ind w:left="172" w:hanging="172"/>
                      <w:jc w:val="right"/>
                      <w:textAlignment w:val="baseline"/>
                      <w:rPr>
                        <w:rFonts w:cs="Arial"/>
                        <w:sz w:val="20"/>
                        <w:szCs w:val="20"/>
                      </w:rPr>
                    </w:pPr>
                  </w:p>
                </w:tc>
                <w:tc>
                  <w:tcPr>
                    <w:tcW w:w="1061"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rPr>
                    </w:pPr>
                  </w:p>
                </w:tc>
                <w:tc>
                  <w:tcPr>
                    <w:tcW w:w="83" w:type="dxa"/>
                  </w:tcPr>
                  <w:p w:rsidR="007A3177" w:rsidRPr="007A3177" w:rsidRDefault="007A3177" w:rsidP="003F54E5">
                    <w:pPr>
                      <w:widowControl w:val="0"/>
                      <w:adjustRightInd w:val="0"/>
                      <w:spacing w:line="240" w:lineRule="exact"/>
                      <w:ind w:left="172" w:hanging="172"/>
                      <w:jc w:val="right"/>
                      <w:textAlignment w:val="baseline"/>
                      <w:rPr>
                        <w:rFonts w:cs="Arial"/>
                        <w:sz w:val="20"/>
                        <w:szCs w:val="20"/>
                      </w:rPr>
                    </w:pPr>
                  </w:p>
                </w:tc>
                <w:tc>
                  <w:tcPr>
                    <w:tcW w:w="1116"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rPr>
                    </w:pPr>
                  </w:p>
                </w:tc>
                <w:tc>
                  <w:tcPr>
                    <w:tcW w:w="83" w:type="dxa"/>
                  </w:tcPr>
                  <w:p w:rsidR="007A3177" w:rsidRPr="007A3177" w:rsidRDefault="007A3177" w:rsidP="003F54E5">
                    <w:pPr>
                      <w:widowControl w:val="0"/>
                      <w:adjustRightInd w:val="0"/>
                      <w:spacing w:line="240" w:lineRule="exact"/>
                      <w:ind w:left="172" w:hanging="172"/>
                      <w:jc w:val="right"/>
                      <w:textAlignment w:val="baseline"/>
                      <w:rPr>
                        <w:rFonts w:cs="Arial"/>
                        <w:sz w:val="20"/>
                        <w:szCs w:val="20"/>
                      </w:rPr>
                    </w:pPr>
                  </w:p>
                </w:tc>
                <w:tc>
                  <w:tcPr>
                    <w:tcW w:w="1061"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rPr>
                    </w:pPr>
                    <w:r w:rsidRPr="007A3177">
                      <w:rPr>
                        <w:rFonts w:cs="Arial"/>
                        <w:sz w:val="20"/>
                        <w:szCs w:val="20"/>
                      </w:rPr>
                      <w:t>6</w:t>
                    </w:r>
                    <w:r w:rsidRPr="007A3177">
                      <w:rPr>
                        <w:rFonts w:cs="Arial" w:hint="eastAsia"/>
                        <w:sz w:val="20"/>
                        <w:szCs w:val="20"/>
                      </w:rPr>
                      <w:t>月</w:t>
                    </w:r>
                    <w:r w:rsidRPr="007A3177">
                      <w:rPr>
                        <w:rFonts w:cs="Arial"/>
                        <w:sz w:val="20"/>
                        <w:szCs w:val="20"/>
                      </w:rPr>
                      <w:t>30</w:t>
                    </w:r>
                    <w:r w:rsidRPr="007A3177">
                      <w:rPr>
                        <w:rFonts w:cs="Arial" w:hint="eastAsia"/>
                        <w:sz w:val="20"/>
                        <w:szCs w:val="20"/>
                      </w:rPr>
                      <w:t>日</w:t>
                    </w:r>
                  </w:p>
                </w:tc>
              </w:tr>
              <w:tr w:rsidR="007A3177" w:rsidRPr="007A3177" w:rsidTr="003F54E5">
                <w:trPr>
                  <w:trHeight w:val="284"/>
                </w:trPr>
                <w:tc>
                  <w:tcPr>
                    <w:tcW w:w="1629"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rPr>
                    </w:pPr>
                  </w:p>
                </w:tc>
                <w:tc>
                  <w:tcPr>
                    <w:tcW w:w="372" w:type="dxa"/>
                  </w:tcPr>
                  <w:p w:rsidR="007A3177" w:rsidRPr="007A3177" w:rsidRDefault="007A3177" w:rsidP="003F54E5">
                    <w:pPr>
                      <w:widowControl w:val="0"/>
                      <w:adjustRightInd w:val="0"/>
                      <w:spacing w:line="240" w:lineRule="exact"/>
                      <w:ind w:left="172" w:hanging="172"/>
                      <w:jc w:val="right"/>
                      <w:textAlignment w:val="baseline"/>
                      <w:rPr>
                        <w:rFonts w:cs="Arial"/>
                        <w:sz w:val="20"/>
                        <w:szCs w:val="20"/>
                      </w:rPr>
                    </w:pPr>
                  </w:p>
                </w:tc>
                <w:tc>
                  <w:tcPr>
                    <w:tcW w:w="951"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rPr>
                    </w:pPr>
                  </w:p>
                </w:tc>
                <w:tc>
                  <w:tcPr>
                    <w:tcW w:w="1102"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rPr>
                    </w:pPr>
                  </w:p>
                </w:tc>
                <w:tc>
                  <w:tcPr>
                    <w:tcW w:w="69" w:type="dxa"/>
                  </w:tcPr>
                  <w:p w:rsidR="007A3177" w:rsidRPr="007A3177" w:rsidRDefault="007A3177" w:rsidP="003F54E5">
                    <w:pPr>
                      <w:widowControl w:val="0"/>
                      <w:adjustRightInd w:val="0"/>
                      <w:spacing w:line="240" w:lineRule="exact"/>
                      <w:ind w:left="172" w:hanging="172"/>
                      <w:jc w:val="right"/>
                      <w:textAlignment w:val="baseline"/>
                      <w:rPr>
                        <w:rFonts w:cs="Arial"/>
                        <w:sz w:val="20"/>
                        <w:szCs w:val="20"/>
                      </w:rPr>
                    </w:pPr>
                  </w:p>
                </w:tc>
                <w:tc>
                  <w:tcPr>
                    <w:tcW w:w="908" w:type="dxa"/>
                  </w:tcPr>
                  <w:p w:rsidR="007A3177" w:rsidRPr="007A3177" w:rsidRDefault="007A3177" w:rsidP="003F54E5">
                    <w:pPr>
                      <w:widowControl w:val="0"/>
                      <w:adjustRightInd w:val="0"/>
                      <w:spacing w:line="240" w:lineRule="exact"/>
                      <w:ind w:left="172" w:hanging="172"/>
                      <w:jc w:val="right"/>
                      <w:textAlignment w:val="baseline"/>
                      <w:rPr>
                        <w:rFonts w:cs="Arial"/>
                        <w:sz w:val="20"/>
                        <w:szCs w:val="20"/>
                      </w:rPr>
                    </w:pPr>
                  </w:p>
                </w:tc>
                <w:tc>
                  <w:tcPr>
                    <w:tcW w:w="42" w:type="dxa"/>
                  </w:tcPr>
                  <w:p w:rsidR="007A3177" w:rsidRPr="007A3177" w:rsidRDefault="007A3177" w:rsidP="003F54E5">
                    <w:pPr>
                      <w:widowControl w:val="0"/>
                      <w:adjustRightInd w:val="0"/>
                      <w:spacing w:line="240" w:lineRule="exact"/>
                      <w:ind w:left="172" w:hanging="172"/>
                      <w:jc w:val="right"/>
                      <w:textAlignment w:val="baseline"/>
                      <w:rPr>
                        <w:rFonts w:cs="Arial"/>
                        <w:sz w:val="20"/>
                        <w:szCs w:val="20"/>
                      </w:rPr>
                    </w:pPr>
                  </w:p>
                </w:tc>
                <w:tc>
                  <w:tcPr>
                    <w:tcW w:w="1061"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rPr>
                    </w:pPr>
                  </w:p>
                </w:tc>
                <w:tc>
                  <w:tcPr>
                    <w:tcW w:w="83" w:type="dxa"/>
                  </w:tcPr>
                  <w:p w:rsidR="007A3177" w:rsidRPr="007A3177" w:rsidRDefault="007A3177" w:rsidP="003F54E5">
                    <w:pPr>
                      <w:widowControl w:val="0"/>
                      <w:adjustRightInd w:val="0"/>
                      <w:spacing w:line="240" w:lineRule="exact"/>
                      <w:ind w:left="172" w:hanging="172"/>
                      <w:jc w:val="right"/>
                      <w:textAlignment w:val="baseline"/>
                      <w:rPr>
                        <w:rFonts w:cs="Arial"/>
                        <w:sz w:val="20"/>
                        <w:szCs w:val="20"/>
                      </w:rPr>
                    </w:pPr>
                  </w:p>
                </w:tc>
                <w:tc>
                  <w:tcPr>
                    <w:tcW w:w="1116"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rPr>
                    </w:pPr>
                  </w:p>
                </w:tc>
                <w:tc>
                  <w:tcPr>
                    <w:tcW w:w="83" w:type="dxa"/>
                  </w:tcPr>
                  <w:p w:rsidR="007A3177" w:rsidRPr="007A3177" w:rsidRDefault="007A3177" w:rsidP="003F54E5">
                    <w:pPr>
                      <w:widowControl w:val="0"/>
                      <w:adjustRightInd w:val="0"/>
                      <w:spacing w:line="240" w:lineRule="exact"/>
                      <w:ind w:left="172" w:hanging="172"/>
                      <w:jc w:val="right"/>
                      <w:textAlignment w:val="baseline"/>
                      <w:rPr>
                        <w:rFonts w:cs="Arial"/>
                        <w:sz w:val="20"/>
                        <w:szCs w:val="20"/>
                      </w:rPr>
                    </w:pPr>
                  </w:p>
                </w:tc>
                <w:tc>
                  <w:tcPr>
                    <w:tcW w:w="1061"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rPr>
                    </w:pPr>
                  </w:p>
                </w:tc>
              </w:tr>
              <w:tr w:rsidR="007A3177" w:rsidRPr="007A3177" w:rsidTr="003F54E5">
                <w:trPr>
                  <w:trHeight w:val="284"/>
                </w:trPr>
                <w:tc>
                  <w:tcPr>
                    <w:tcW w:w="1629" w:type="dxa"/>
                    <w:vAlign w:val="bottom"/>
                  </w:tcPr>
                  <w:p w:rsidR="007A3177" w:rsidRPr="007A3177" w:rsidRDefault="007A3177" w:rsidP="003F54E5">
                    <w:pPr>
                      <w:widowControl w:val="0"/>
                      <w:adjustRightInd w:val="0"/>
                      <w:spacing w:line="240" w:lineRule="exact"/>
                      <w:ind w:left="172" w:hanging="172"/>
                      <w:textAlignment w:val="baseline"/>
                      <w:rPr>
                        <w:rFonts w:cs="Arial"/>
                        <w:sz w:val="20"/>
                        <w:szCs w:val="20"/>
                      </w:rPr>
                    </w:pPr>
                    <w:r w:rsidRPr="007A3177">
                      <w:rPr>
                        <w:rFonts w:cs="Arial"/>
                        <w:sz w:val="20"/>
                      </w:rPr>
                      <w:t>2015</w:t>
                    </w:r>
                    <w:r w:rsidRPr="007A3177">
                      <w:rPr>
                        <w:rFonts w:cs="Arial" w:hint="eastAsia"/>
                        <w:sz w:val="20"/>
                      </w:rPr>
                      <w:t>年</w:t>
                    </w:r>
                    <w:r w:rsidRPr="007A3177">
                      <w:rPr>
                        <w:rFonts w:cs="Arial"/>
                        <w:sz w:val="20"/>
                      </w:rPr>
                      <w:t>6</w:t>
                    </w:r>
                    <w:r w:rsidRPr="007A3177">
                      <w:rPr>
                        <w:rFonts w:cs="Arial" w:hint="eastAsia"/>
                        <w:sz w:val="20"/>
                      </w:rPr>
                      <w:t>月</w:t>
                    </w:r>
                    <w:r w:rsidRPr="007A3177">
                      <w:rPr>
                        <w:rFonts w:cs="Arial"/>
                        <w:sz w:val="20"/>
                      </w:rPr>
                      <w:t>16</w:t>
                    </w:r>
                    <w:r w:rsidRPr="007A3177">
                      <w:rPr>
                        <w:rFonts w:cs="Arial" w:hint="eastAsia"/>
                        <w:sz w:val="20"/>
                      </w:rPr>
                      <w:t>日</w:t>
                    </w:r>
                  </w:p>
                </w:tc>
                <w:tc>
                  <w:tcPr>
                    <w:tcW w:w="372" w:type="dxa"/>
                    <w:vAlign w:val="bottom"/>
                  </w:tcPr>
                  <w:p w:rsidR="007A3177" w:rsidRPr="007A3177" w:rsidRDefault="007A3177" w:rsidP="003F54E5">
                    <w:pPr>
                      <w:widowControl w:val="0"/>
                      <w:adjustRightInd w:val="0"/>
                      <w:spacing w:line="240" w:lineRule="exact"/>
                      <w:ind w:left="172" w:hanging="172"/>
                      <w:jc w:val="center"/>
                      <w:textAlignment w:val="baseline"/>
                      <w:rPr>
                        <w:rFonts w:cs="Arial"/>
                        <w:sz w:val="20"/>
                        <w:szCs w:val="20"/>
                      </w:rPr>
                    </w:pPr>
                    <w:r w:rsidRPr="007A3177">
                      <w:rPr>
                        <w:rFonts w:cs="Arial"/>
                        <w:sz w:val="20"/>
                        <w:szCs w:val="20"/>
                      </w:rPr>
                      <w:t>(a)</w:t>
                    </w:r>
                  </w:p>
                </w:tc>
                <w:tc>
                  <w:tcPr>
                    <w:tcW w:w="951"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rPr>
                    </w:pPr>
                    <w:r w:rsidRPr="007A3177">
                      <w:rPr>
                        <w:rFonts w:cs="Arial"/>
                        <w:sz w:val="20"/>
                        <w:szCs w:val="20"/>
                        <w:lang w:eastAsia="zh-TW"/>
                      </w:rPr>
                      <w:t>24.60</w:t>
                    </w:r>
                  </w:p>
                </w:tc>
                <w:tc>
                  <w:tcPr>
                    <w:tcW w:w="1102"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rPr>
                    </w:pPr>
                    <w:r w:rsidRPr="007A3177">
                      <w:rPr>
                        <w:rFonts w:cs="Arial"/>
                        <w:sz w:val="20"/>
                      </w:rPr>
                      <w:t>4,648,000</w:t>
                    </w:r>
                  </w:p>
                </w:tc>
                <w:tc>
                  <w:tcPr>
                    <w:tcW w:w="69" w:type="dxa"/>
                  </w:tcPr>
                  <w:p w:rsidR="007A3177" w:rsidRPr="007A3177" w:rsidRDefault="007A3177" w:rsidP="003F54E5">
                    <w:pPr>
                      <w:widowControl w:val="0"/>
                      <w:adjustRightInd w:val="0"/>
                      <w:spacing w:line="240" w:lineRule="exact"/>
                      <w:ind w:left="172" w:hanging="172"/>
                      <w:jc w:val="right"/>
                      <w:textAlignment w:val="baseline"/>
                      <w:rPr>
                        <w:rFonts w:cs="Arial"/>
                        <w:sz w:val="20"/>
                        <w:szCs w:val="20"/>
                      </w:rPr>
                    </w:pPr>
                  </w:p>
                </w:tc>
                <w:tc>
                  <w:tcPr>
                    <w:tcW w:w="908"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rPr>
                    </w:pPr>
                    <w:r w:rsidRPr="007A3177">
                      <w:rPr>
                        <w:rFonts w:cs="Arial"/>
                        <w:sz w:val="20"/>
                        <w:szCs w:val="20"/>
                      </w:rPr>
                      <w:t>-</w:t>
                    </w:r>
                  </w:p>
                </w:tc>
                <w:tc>
                  <w:tcPr>
                    <w:tcW w:w="42" w:type="dxa"/>
                  </w:tcPr>
                  <w:p w:rsidR="007A3177" w:rsidRPr="007A3177" w:rsidRDefault="007A3177" w:rsidP="003F54E5">
                    <w:pPr>
                      <w:widowControl w:val="0"/>
                      <w:adjustRightInd w:val="0"/>
                      <w:spacing w:line="240" w:lineRule="exact"/>
                      <w:ind w:left="172" w:hanging="172"/>
                      <w:jc w:val="right"/>
                      <w:textAlignment w:val="baseline"/>
                      <w:rPr>
                        <w:rFonts w:cs="Arial"/>
                        <w:sz w:val="20"/>
                        <w:szCs w:val="20"/>
                      </w:rPr>
                    </w:pPr>
                  </w:p>
                </w:tc>
                <w:tc>
                  <w:tcPr>
                    <w:tcW w:w="1061"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rPr>
                    </w:pPr>
                    <w:r w:rsidRPr="007A3177">
                      <w:rPr>
                        <w:rFonts w:cs="Arial"/>
                        <w:sz w:val="20"/>
                        <w:u w:val="single" w:color="FFFFFF" w:themeColor="background1"/>
                      </w:rPr>
                      <w:t>(</w:t>
                    </w:r>
                    <w:r w:rsidRPr="007A3177">
                      <w:rPr>
                        <w:rFonts w:cs="Arial" w:hint="eastAsia"/>
                        <w:sz w:val="20"/>
                        <w:u w:val="single" w:color="FFFFFF" w:themeColor="background1"/>
                      </w:rPr>
                      <w:t>102</w:t>
                    </w:r>
                    <w:r w:rsidRPr="007A3177">
                      <w:rPr>
                        <w:rFonts w:cs="Arial"/>
                        <w:sz w:val="20"/>
                        <w:u w:val="single" w:color="FFFFFF" w:themeColor="background1"/>
                      </w:rPr>
                      <w:t>,000)</w:t>
                    </w:r>
                  </w:p>
                </w:tc>
                <w:tc>
                  <w:tcPr>
                    <w:tcW w:w="83" w:type="dxa"/>
                    <w:vAlign w:val="bottom"/>
                  </w:tcPr>
                  <w:p w:rsidR="007A3177" w:rsidRPr="007A3177" w:rsidRDefault="007A3177" w:rsidP="003F54E5">
                    <w:pPr>
                      <w:widowControl w:val="0"/>
                      <w:adjustRightInd w:val="0"/>
                      <w:spacing w:line="240" w:lineRule="exact"/>
                      <w:ind w:left="172" w:hanging="172"/>
                      <w:textAlignment w:val="baseline"/>
                      <w:rPr>
                        <w:rFonts w:cs="Arial"/>
                        <w:sz w:val="20"/>
                        <w:szCs w:val="20"/>
                      </w:rPr>
                    </w:pPr>
                  </w:p>
                </w:tc>
                <w:tc>
                  <w:tcPr>
                    <w:tcW w:w="1116"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rPr>
                    </w:pPr>
                    <w:r w:rsidRPr="007A3177">
                      <w:rPr>
                        <w:rFonts w:cs="Arial"/>
                        <w:sz w:val="20"/>
                      </w:rPr>
                      <w:t>(4,</w:t>
                    </w:r>
                    <w:r w:rsidRPr="007A3177">
                      <w:rPr>
                        <w:rFonts w:cs="Arial" w:hint="eastAsia"/>
                        <w:sz w:val="20"/>
                      </w:rPr>
                      <w:t>546</w:t>
                    </w:r>
                    <w:r w:rsidRPr="007A3177">
                      <w:rPr>
                        <w:rFonts w:cs="Arial"/>
                        <w:sz w:val="20"/>
                      </w:rPr>
                      <w:t>,</w:t>
                    </w:r>
                    <w:r w:rsidRPr="007A3177">
                      <w:rPr>
                        <w:rFonts w:cs="Arial" w:hint="eastAsia"/>
                        <w:sz w:val="20"/>
                      </w:rPr>
                      <w:t>0</w:t>
                    </w:r>
                    <w:r w:rsidRPr="007A3177">
                      <w:rPr>
                        <w:rFonts w:cs="Arial"/>
                        <w:sz w:val="20"/>
                      </w:rPr>
                      <w:t>00)</w:t>
                    </w:r>
                  </w:p>
                </w:tc>
                <w:tc>
                  <w:tcPr>
                    <w:tcW w:w="83" w:type="dxa"/>
                    <w:vAlign w:val="bottom"/>
                  </w:tcPr>
                  <w:p w:rsidR="007A3177" w:rsidRPr="007A3177" w:rsidRDefault="007A3177" w:rsidP="003F54E5">
                    <w:pPr>
                      <w:widowControl w:val="0"/>
                      <w:adjustRightInd w:val="0"/>
                      <w:spacing w:line="240" w:lineRule="exact"/>
                      <w:ind w:left="172" w:hanging="172"/>
                      <w:textAlignment w:val="baseline"/>
                      <w:rPr>
                        <w:rFonts w:cs="Arial"/>
                        <w:sz w:val="20"/>
                        <w:szCs w:val="20"/>
                      </w:rPr>
                    </w:pPr>
                  </w:p>
                </w:tc>
                <w:tc>
                  <w:tcPr>
                    <w:tcW w:w="1061"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rPr>
                    </w:pPr>
                    <w:r w:rsidRPr="007A3177">
                      <w:rPr>
                        <w:rFonts w:cs="Arial"/>
                        <w:sz w:val="20"/>
                      </w:rPr>
                      <w:t>-</w:t>
                    </w:r>
                  </w:p>
                </w:tc>
              </w:tr>
              <w:tr w:rsidR="007A3177" w:rsidRPr="007A3177" w:rsidTr="003F54E5">
                <w:trPr>
                  <w:trHeight w:val="284"/>
                </w:trPr>
                <w:tc>
                  <w:tcPr>
                    <w:tcW w:w="1629" w:type="dxa"/>
                    <w:vAlign w:val="bottom"/>
                  </w:tcPr>
                  <w:p w:rsidR="007A3177" w:rsidRPr="007A3177" w:rsidRDefault="007A3177" w:rsidP="003F54E5">
                    <w:pPr>
                      <w:widowControl w:val="0"/>
                      <w:adjustRightInd w:val="0"/>
                      <w:spacing w:line="240" w:lineRule="exact"/>
                      <w:ind w:left="172" w:hanging="172"/>
                      <w:textAlignment w:val="baseline"/>
                      <w:rPr>
                        <w:rFonts w:cs="Arial"/>
                        <w:sz w:val="20"/>
                        <w:szCs w:val="20"/>
                        <w:lang w:eastAsia="zh-TW"/>
                      </w:rPr>
                    </w:pPr>
                    <w:r w:rsidRPr="007A3177">
                      <w:rPr>
                        <w:rFonts w:cs="Arial"/>
                        <w:sz w:val="20"/>
                      </w:rPr>
                      <w:t>2016</w:t>
                    </w:r>
                    <w:r w:rsidRPr="007A3177">
                      <w:rPr>
                        <w:rFonts w:cs="Arial" w:hint="eastAsia"/>
                        <w:sz w:val="20"/>
                      </w:rPr>
                      <w:t>年</w:t>
                    </w:r>
                    <w:r w:rsidRPr="007A3177">
                      <w:rPr>
                        <w:rFonts w:cs="Arial"/>
                        <w:sz w:val="20"/>
                      </w:rPr>
                      <w:t>3</w:t>
                    </w:r>
                    <w:r w:rsidRPr="007A3177">
                      <w:rPr>
                        <w:rFonts w:cs="Arial" w:hint="eastAsia"/>
                        <w:sz w:val="20"/>
                      </w:rPr>
                      <w:t>月</w:t>
                    </w:r>
                    <w:r w:rsidRPr="007A3177">
                      <w:rPr>
                        <w:rFonts w:cs="Arial"/>
                        <w:sz w:val="20"/>
                      </w:rPr>
                      <w:t>31</w:t>
                    </w:r>
                    <w:r w:rsidRPr="007A3177">
                      <w:rPr>
                        <w:rFonts w:cs="Arial" w:hint="eastAsia"/>
                        <w:sz w:val="20"/>
                      </w:rPr>
                      <w:t>日</w:t>
                    </w:r>
                  </w:p>
                </w:tc>
                <w:tc>
                  <w:tcPr>
                    <w:tcW w:w="372" w:type="dxa"/>
                    <w:vAlign w:val="bottom"/>
                  </w:tcPr>
                  <w:p w:rsidR="007A3177" w:rsidRPr="007A3177" w:rsidRDefault="007A3177" w:rsidP="003F54E5">
                    <w:pPr>
                      <w:widowControl w:val="0"/>
                      <w:adjustRightInd w:val="0"/>
                      <w:spacing w:line="240" w:lineRule="exact"/>
                      <w:ind w:left="172" w:hanging="172"/>
                      <w:jc w:val="center"/>
                      <w:textAlignment w:val="baseline"/>
                      <w:rPr>
                        <w:rFonts w:cs="Arial"/>
                        <w:sz w:val="20"/>
                        <w:szCs w:val="20"/>
                      </w:rPr>
                    </w:pPr>
                    <w:r w:rsidRPr="007A3177">
                      <w:rPr>
                        <w:rFonts w:cs="Arial"/>
                        <w:sz w:val="20"/>
                        <w:szCs w:val="20"/>
                      </w:rPr>
                      <w:t>(b)</w:t>
                    </w:r>
                  </w:p>
                </w:tc>
                <w:tc>
                  <w:tcPr>
                    <w:tcW w:w="951"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lang w:eastAsia="zh-TW"/>
                      </w:rPr>
                    </w:pPr>
                    <w:r w:rsidRPr="007A3177">
                      <w:rPr>
                        <w:rFonts w:cs="Arial"/>
                        <w:sz w:val="20"/>
                        <w:szCs w:val="20"/>
                      </w:rPr>
                      <w:t>10.43</w:t>
                    </w:r>
                  </w:p>
                </w:tc>
                <w:tc>
                  <w:tcPr>
                    <w:tcW w:w="1102"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lang w:eastAsia="zh-TW"/>
                      </w:rPr>
                    </w:pPr>
                    <w:r w:rsidRPr="007A3177">
                      <w:rPr>
                        <w:rFonts w:cs="Arial"/>
                        <w:sz w:val="20"/>
                      </w:rPr>
                      <w:t>857,500</w:t>
                    </w:r>
                  </w:p>
                </w:tc>
                <w:tc>
                  <w:tcPr>
                    <w:tcW w:w="69" w:type="dxa"/>
                  </w:tcPr>
                  <w:p w:rsidR="007A3177" w:rsidRPr="007A3177" w:rsidRDefault="007A3177" w:rsidP="003F54E5">
                    <w:pPr>
                      <w:widowControl w:val="0"/>
                      <w:adjustRightInd w:val="0"/>
                      <w:spacing w:line="240" w:lineRule="exact"/>
                      <w:ind w:left="172" w:hanging="172"/>
                      <w:jc w:val="right"/>
                      <w:textAlignment w:val="baseline"/>
                      <w:rPr>
                        <w:rFonts w:cs="Arial"/>
                        <w:sz w:val="20"/>
                        <w:szCs w:val="20"/>
                        <w:lang w:eastAsia="zh-TW"/>
                      </w:rPr>
                    </w:pPr>
                  </w:p>
                </w:tc>
                <w:tc>
                  <w:tcPr>
                    <w:tcW w:w="908"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lang w:eastAsia="zh-TW"/>
                      </w:rPr>
                    </w:pPr>
                    <w:r w:rsidRPr="007A3177">
                      <w:rPr>
                        <w:rFonts w:cs="Arial"/>
                        <w:sz w:val="20"/>
                        <w:szCs w:val="20"/>
                      </w:rPr>
                      <w:t>-</w:t>
                    </w:r>
                  </w:p>
                </w:tc>
                <w:tc>
                  <w:tcPr>
                    <w:tcW w:w="42" w:type="dxa"/>
                  </w:tcPr>
                  <w:p w:rsidR="007A3177" w:rsidRPr="007A3177" w:rsidRDefault="007A3177" w:rsidP="003F54E5">
                    <w:pPr>
                      <w:widowControl w:val="0"/>
                      <w:adjustRightInd w:val="0"/>
                      <w:spacing w:line="240" w:lineRule="exact"/>
                      <w:ind w:left="172" w:hanging="172"/>
                      <w:jc w:val="right"/>
                      <w:textAlignment w:val="baseline"/>
                      <w:rPr>
                        <w:rFonts w:cs="Arial"/>
                        <w:sz w:val="20"/>
                        <w:szCs w:val="20"/>
                        <w:lang w:eastAsia="zh-TW"/>
                      </w:rPr>
                    </w:pPr>
                  </w:p>
                </w:tc>
                <w:tc>
                  <w:tcPr>
                    <w:tcW w:w="1061"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lang w:eastAsia="zh-TW"/>
                      </w:rPr>
                    </w:pPr>
                    <w:r w:rsidRPr="007A3177">
                      <w:rPr>
                        <w:rFonts w:cs="Arial"/>
                        <w:sz w:val="20"/>
                      </w:rPr>
                      <w:t>(</w:t>
                    </w:r>
                    <w:r w:rsidRPr="007A3177">
                      <w:rPr>
                        <w:rFonts w:cs="Arial" w:hint="eastAsia"/>
                        <w:sz w:val="20"/>
                      </w:rPr>
                      <w:t>108</w:t>
                    </w:r>
                    <w:r w:rsidRPr="007A3177">
                      <w:rPr>
                        <w:rFonts w:cs="Arial"/>
                        <w:sz w:val="20"/>
                      </w:rPr>
                      <w:t>,000)</w:t>
                    </w:r>
                  </w:p>
                </w:tc>
                <w:tc>
                  <w:tcPr>
                    <w:tcW w:w="83" w:type="dxa"/>
                    <w:vAlign w:val="bottom"/>
                  </w:tcPr>
                  <w:p w:rsidR="007A3177" w:rsidRPr="007A3177" w:rsidRDefault="007A3177" w:rsidP="003F54E5">
                    <w:pPr>
                      <w:widowControl w:val="0"/>
                      <w:adjustRightInd w:val="0"/>
                      <w:spacing w:line="240" w:lineRule="exact"/>
                      <w:ind w:left="172" w:hanging="172"/>
                      <w:textAlignment w:val="baseline"/>
                      <w:rPr>
                        <w:rFonts w:cs="Arial"/>
                        <w:sz w:val="20"/>
                        <w:szCs w:val="20"/>
                        <w:lang w:eastAsia="zh-TW"/>
                      </w:rPr>
                    </w:pPr>
                  </w:p>
                </w:tc>
                <w:tc>
                  <w:tcPr>
                    <w:tcW w:w="1116"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lang w:eastAsia="zh-TW"/>
                      </w:rPr>
                    </w:pPr>
                    <w:r w:rsidRPr="007A3177">
                      <w:rPr>
                        <w:rFonts w:cs="Arial"/>
                        <w:sz w:val="20"/>
                      </w:rPr>
                      <w:t>(3</w:t>
                    </w:r>
                    <w:r w:rsidRPr="007A3177">
                      <w:rPr>
                        <w:rFonts w:cs="Arial" w:hint="eastAsia"/>
                        <w:sz w:val="20"/>
                      </w:rPr>
                      <w:t>25</w:t>
                    </w:r>
                    <w:r w:rsidRPr="007A3177">
                      <w:rPr>
                        <w:rFonts w:cs="Arial"/>
                        <w:sz w:val="20"/>
                      </w:rPr>
                      <w:t>,500)</w:t>
                    </w:r>
                  </w:p>
                </w:tc>
                <w:tc>
                  <w:tcPr>
                    <w:tcW w:w="83" w:type="dxa"/>
                    <w:vAlign w:val="bottom"/>
                  </w:tcPr>
                  <w:p w:rsidR="007A3177" w:rsidRPr="007A3177" w:rsidRDefault="007A3177" w:rsidP="003F54E5">
                    <w:pPr>
                      <w:widowControl w:val="0"/>
                      <w:adjustRightInd w:val="0"/>
                      <w:spacing w:line="240" w:lineRule="exact"/>
                      <w:ind w:left="172" w:hanging="172"/>
                      <w:textAlignment w:val="baseline"/>
                      <w:rPr>
                        <w:rFonts w:cs="Arial"/>
                        <w:sz w:val="20"/>
                        <w:szCs w:val="20"/>
                        <w:lang w:eastAsia="zh-TW"/>
                      </w:rPr>
                    </w:pPr>
                  </w:p>
                </w:tc>
                <w:tc>
                  <w:tcPr>
                    <w:tcW w:w="1061"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lang w:eastAsia="zh-TW"/>
                      </w:rPr>
                    </w:pPr>
                    <w:r w:rsidRPr="007A3177">
                      <w:rPr>
                        <w:rFonts w:cs="Arial" w:hint="eastAsia"/>
                        <w:sz w:val="20"/>
                      </w:rPr>
                      <w:t>424,0</w:t>
                    </w:r>
                    <w:r w:rsidRPr="007A3177">
                      <w:rPr>
                        <w:rFonts w:cs="Arial"/>
                        <w:sz w:val="20"/>
                      </w:rPr>
                      <w:t>00</w:t>
                    </w:r>
                  </w:p>
                </w:tc>
              </w:tr>
              <w:tr w:rsidR="007A3177" w:rsidRPr="007A3177" w:rsidTr="003F54E5">
                <w:trPr>
                  <w:trHeight w:val="284"/>
                </w:trPr>
                <w:tc>
                  <w:tcPr>
                    <w:tcW w:w="1629" w:type="dxa"/>
                    <w:vAlign w:val="bottom"/>
                  </w:tcPr>
                  <w:p w:rsidR="007A3177" w:rsidRPr="007A3177" w:rsidRDefault="007A3177" w:rsidP="003F54E5">
                    <w:pPr>
                      <w:widowControl w:val="0"/>
                      <w:adjustRightInd w:val="0"/>
                      <w:spacing w:line="240" w:lineRule="exact"/>
                      <w:ind w:left="172" w:hanging="172"/>
                      <w:textAlignment w:val="baseline"/>
                      <w:rPr>
                        <w:rFonts w:cs="Arial"/>
                        <w:sz w:val="20"/>
                        <w:szCs w:val="20"/>
                        <w:lang w:eastAsia="zh-TW"/>
                      </w:rPr>
                    </w:pPr>
                    <w:r w:rsidRPr="007A3177">
                      <w:rPr>
                        <w:rFonts w:cs="Arial"/>
                        <w:sz w:val="20"/>
                      </w:rPr>
                      <w:t>2016</w:t>
                    </w:r>
                    <w:r w:rsidRPr="007A3177">
                      <w:rPr>
                        <w:rFonts w:cs="Arial" w:hint="eastAsia"/>
                        <w:sz w:val="20"/>
                      </w:rPr>
                      <w:t>年</w:t>
                    </w:r>
                    <w:r w:rsidRPr="007A3177">
                      <w:rPr>
                        <w:rFonts w:cs="Arial"/>
                        <w:sz w:val="20"/>
                      </w:rPr>
                      <w:t>12</w:t>
                    </w:r>
                    <w:r w:rsidRPr="007A3177">
                      <w:rPr>
                        <w:rFonts w:cs="Arial" w:hint="eastAsia"/>
                        <w:sz w:val="20"/>
                      </w:rPr>
                      <w:t>月</w:t>
                    </w:r>
                    <w:r w:rsidRPr="007A3177">
                      <w:rPr>
                        <w:rFonts w:cs="Arial"/>
                        <w:sz w:val="20"/>
                      </w:rPr>
                      <w:t>6</w:t>
                    </w:r>
                    <w:r w:rsidRPr="007A3177">
                      <w:rPr>
                        <w:rFonts w:cs="Arial" w:hint="eastAsia"/>
                        <w:sz w:val="20"/>
                      </w:rPr>
                      <w:t>日</w:t>
                    </w:r>
                  </w:p>
                </w:tc>
                <w:tc>
                  <w:tcPr>
                    <w:tcW w:w="372" w:type="dxa"/>
                    <w:vAlign w:val="bottom"/>
                  </w:tcPr>
                  <w:p w:rsidR="007A3177" w:rsidRPr="007A3177" w:rsidRDefault="007A3177" w:rsidP="003F54E5">
                    <w:pPr>
                      <w:widowControl w:val="0"/>
                      <w:adjustRightInd w:val="0"/>
                      <w:spacing w:line="240" w:lineRule="exact"/>
                      <w:ind w:left="172" w:hanging="172"/>
                      <w:jc w:val="center"/>
                      <w:textAlignment w:val="baseline"/>
                      <w:rPr>
                        <w:rFonts w:cs="Arial"/>
                        <w:sz w:val="20"/>
                        <w:szCs w:val="20"/>
                      </w:rPr>
                    </w:pPr>
                    <w:r w:rsidRPr="007A3177">
                      <w:rPr>
                        <w:rFonts w:cs="Arial"/>
                        <w:sz w:val="20"/>
                        <w:szCs w:val="20"/>
                      </w:rPr>
                      <w:t>(d)</w:t>
                    </w:r>
                  </w:p>
                </w:tc>
                <w:tc>
                  <w:tcPr>
                    <w:tcW w:w="951"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lang w:eastAsia="zh-TW"/>
                      </w:rPr>
                    </w:pPr>
                    <w:r w:rsidRPr="007A3177">
                      <w:rPr>
                        <w:rFonts w:cs="Arial"/>
                        <w:sz w:val="20"/>
                        <w:szCs w:val="20"/>
                      </w:rPr>
                      <w:t>8.84</w:t>
                    </w:r>
                  </w:p>
                </w:tc>
                <w:tc>
                  <w:tcPr>
                    <w:tcW w:w="1102"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lang w:eastAsia="zh-TW"/>
                      </w:rPr>
                    </w:pPr>
                    <w:r w:rsidRPr="007A3177">
                      <w:rPr>
                        <w:rFonts w:cs="Arial"/>
                        <w:sz w:val="20"/>
                      </w:rPr>
                      <w:t>885,500</w:t>
                    </w:r>
                  </w:p>
                </w:tc>
                <w:tc>
                  <w:tcPr>
                    <w:tcW w:w="69" w:type="dxa"/>
                  </w:tcPr>
                  <w:p w:rsidR="007A3177" w:rsidRPr="007A3177" w:rsidRDefault="007A3177" w:rsidP="003F54E5">
                    <w:pPr>
                      <w:widowControl w:val="0"/>
                      <w:adjustRightInd w:val="0"/>
                      <w:spacing w:line="240" w:lineRule="exact"/>
                      <w:ind w:left="172" w:hanging="172"/>
                      <w:jc w:val="right"/>
                      <w:textAlignment w:val="baseline"/>
                      <w:rPr>
                        <w:rFonts w:cs="Arial"/>
                        <w:sz w:val="20"/>
                        <w:szCs w:val="20"/>
                        <w:lang w:eastAsia="zh-TW"/>
                      </w:rPr>
                    </w:pPr>
                  </w:p>
                </w:tc>
                <w:tc>
                  <w:tcPr>
                    <w:tcW w:w="908"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lang w:eastAsia="zh-TW"/>
                      </w:rPr>
                    </w:pPr>
                    <w:r w:rsidRPr="007A3177">
                      <w:rPr>
                        <w:rFonts w:cs="Arial"/>
                        <w:sz w:val="20"/>
                        <w:szCs w:val="20"/>
                      </w:rPr>
                      <w:t>-</w:t>
                    </w:r>
                  </w:p>
                </w:tc>
                <w:tc>
                  <w:tcPr>
                    <w:tcW w:w="42" w:type="dxa"/>
                  </w:tcPr>
                  <w:p w:rsidR="007A3177" w:rsidRPr="007A3177" w:rsidRDefault="007A3177" w:rsidP="003F54E5">
                    <w:pPr>
                      <w:widowControl w:val="0"/>
                      <w:adjustRightInd w:val="0"/>
                      <w:spacing w:line="240" w:lineRule="exact"/>
                      <w:ind w:left="172" w:hanging="172"/>
                      <w:jc w:val="right"/>
                      <w:textAlignment w:val="baseline"/>
                      <w:rPr>
                        <w:rFonts w:cs="Arial"/>
                        <w:sz w:val="20"/>
                        <w:szCs w:val="20"/>
                        <w:lang w:eastAsia="zh-TW"/>
                      </w:rPr>
                    </w:pPr>
                  </w:p>
                </w:tc>
                <w:tc>
                  <w:tcPr>
                    <w:tcW w:w="1061"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lang w:eastAsia="zh-TW"/>
                      </w:rPr>
                    </w:pPr>
                    <w:r w:rsidRPr="007A3177">
                      <w:rPr>
                        <w:rFonts w:cs="Arial"/>
                        <w:sz w:val="20"/>
                      </w:rPr>
                      <w:t>(</w:t>
                    </w:r>
                    <w:r w:rsidRPr="007A3177">
                      <w:rPr>
                        <w:rFonts w:cs="Arial" w:hint="eastAsia"/>
                        <w:sz w:val="20"/>
                      </w:rPr>
                      <w:t>315</w:t>
                    </w:r>
                    <w:r w:rsidRPr="007A3177">
                      <w:rPr>
                        <w:rFonts w:cs="Arial"/>
                        <w:sz w:val="20"/>
                      </w:rPr>
                      <w:t>,000)</w:t>
                    </w:r>
                  </w:p>
                </w:tc>
                <w:tc>
                  <w:tcPr>
                    <w:tcW w:w="83" w:type="dxa"/>
                    <w:vAlign w:val="bottom"/>
                  </w:tcPr>
                  <w:p w:rsidR="007A3177" w:rsidRPr="007A3177" w:rsidRDefault="007A3177" w:rsidP="003F54E5">
                    <w:pPr>
                      <w:widowControl w:val="0"/>
                      <w:adjustRightInd w:val="0"/>
                      <w:spacing w:line="240" w:lineRule="exact"/>
                      <w:ind w:left="172" w:hanging="172"/>
                      <w:textAlignment w:val="baseline"/>
                      <w:rPr>
                        <w:rFonts w:cs="Arial"/>
                        <w:sz w:val="20"/>
                        <w:szCs w:val="20"/>
                        <w:lang w:eastAsia="zh-TW"/>
                      </w:rPr>
                    </w:pPr>
                  </w:p>
                </w:tc>
                <w:tc>
                  <w:tcPr>
                    <w:tcW w:w="1116"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lang w:eastAsia="zh-TW"/>
                      </w:rPr>
                    </w:pPr>
                    <w:r w:rsidRPr="007A3177">
                      <w:rPr>
                        <w:rFonts w:cs="Arial"/>
                        <w:sz w:val="20"/>
                      </w:rPr>
                      <w:t>(</w:t>
                    </w:r>
                    <w:r w:rsidRPr="007A3177">
                      <w:rPr>
                        <w:rFonts w:cs="Arial" w:hint="eastAsia"/>
                        <w:sz w:val="20"/>
                      </w:rPr>
                      <w:t>244</w:t>
                    </w:r>
                    <w:r w:rsidRPr="007A3177">
                      <w:rPr>
                        <w:rFonts w:cs="Arial"/>
                        <w:sz w:val="20"/>
                      </w:rPr>
                      <w:t>,500)</w:t>
                    </w:r>
                  </w:p>
                </w:tc>
                <w:tc>
                  <w:tcPr>
                    <w:tcW w:w="83" w:type="dxa"/>
                    <w:vAlign w:val="bottom"/>
                  </w:tcPr>
                  <w:p w:rsidR="007A3177" w:rsidRPr="007A3177" w:rsidRDefault="007A3177" w:rsidP="003F54E5">
                    <w:pPr>
                      <w:widowControl w:val="0"/>
                      <w:adjustRightInd w:val="0"/>
                      <w:spacing w:line="240" w:lineRule="exact"/>
                      <w:ind w:left="172" w:hanging="172"/>
                      <w:textAlignment w:val="baseline"/>
                      <w:rPr>
                        <w:rFonts w:cs="Arial"/>
                        <w:sz w:val="20"/>
                        <w:szCs w:val="20"/>
                        <w:lang w:eastAsia="zh-TW"/>
                      </w:rPr>
                    </w:pPr>
                  </w:p>
                </w:tc>
                <w:tc>
                  <w:tcPr>
                    <w:tcW w:w="1061"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lang w:eastAsia="zh-TW"/>
                      </w:rPr>
                    </w:pPr>
                    <w:r w:rsidRPr="007A3177">
                      <w:rPr>
                        <w:rFonts w:cs="Arial" w:hint="eastAsia"/>
                        <w:sz w:val="20"/>
                      </w:rPr>
                      <w:t>326,000</w:t>
                    </w:r>
                  </w:p>
                </w:tc>
              </w:tr>
              <w:tr w:rsidR="007A3177" w:rsidRPr="007A3177" w:rsidTr="003F54E5">
                <w:trPr>
                  <w:trHeight w:val="284"/>
                </w:trPr>
                <w:tc>
                  <w:tcPr>
                    <w:tcW w:w="1629" w:type="dxa"/>
                    <w:vAlign w:val="bottom"/>
                  </w:tcPr>
                  <w:p w:rsidR="007A3177" w:rsidRPr="007A3177" w:rsidRDefault="007A3177" w:rsidP="003F54E5">
                    <w:pPr>
                      <w:widowControl w:val="0"/>
                      <w:wordWrap w:val="0"/>
                      <w:adjustRightInd w:val="0"/>
                      <w:spacing w:line="240" w:lineRule="exact"/>
                      <w:ind w:left="172" w:right="27" w:hanging="172"/>
                      <w:textAlignment w:val="baseline"/>
                      <w:rPr>
                        <w:rFonts w:cs="Arial"/>
                        <w:sz w:val="20"/>
                        <w:szCs w:val="20"/>
                        <w:lang w:eastAsia="zh-TW"/>
                      </w:rPr>
                    </w:pPr>
                    <w:r w:rsidRPr="007A3177">
                      <w:rPr>
                        <w:rFonts w:cs="Arial"/>
                        <w:sz w:val="20"/>
                      </w:rPr>
                      <w:t>2017</w:t>
                    </w:r>
                    <w:r w:rsidRPr="007A3177">
                      <w:rPr>
                        <w:rFonts w:cs="Arial" w:hint="eastAsia"/>
                        <w:sz w:val="20"/>
                      </w:rPr>
                      <w:t>年</w:t>
                    </w:r>
                    <w:r w:rsidRPr="007A3177">
                      <w:rPr>
                        <w:rFonts w:cs="Arial"/>
                        <w:sz w:val="20"/>
                      </w:rPr>
                      <w:t>6</w:t>
                    </w:r>
                    <w:r w:rsidRPr="007A3177">
                      <w:rPr>
                        <w:rFonts w:cs="Arial" w:hint="eastAsia"/>
                        <w:sz w:val="20"/>
                      </w:rPr>
                      <w:t>月</w:t>
                    </w:r>
                    <w:r w:rsidRPr="007A3177">
                      <w:rPr>
                        <w:rFonts w:cs="Arial"/>
                        <w:sz w:val="20"/>
                      </w:rPr>
                      <w:t>5</w:t>
                    </w:r>
                    <w:r w:rsidRPr="007A3177">
                      <w:rPr>
                        <w:rFonts w:cs="Arial" w:hint="eastAsia"/>
                        <w:sz w:val="20"/>
                      </w:rPr>
                      <w:t>日</w:t>
                    </w:r>
                  </w:p>
                </w:tc>
                <w:tc>
                  <w:tcPr>
                    <w:tcW w:w="372" w:type="dxa"/>
                  </w:tcPr>
                  <w:p w:rsidR="007A3177" w:rsidRPr="007A3177" w:rsidRDefault="007A3177" w:rsidP="003F54E5">
                    <w:pPr>
                      <w:widowControl w:val="0"/>
                      <w:adjustRightInd w:val="0"/>
                      <w:spacing w:line="240" w:lineRule="exact"/>
                      <w:ind w:left="172" w:hanging="172"/>
                      <w:jc w:val="center"/>
                      <w:textAlignment w:val="baseline"/>
                      <w:rPr>
                        <w:rFonts w:cs="Arial"/>
                        <w:sz w:val="20"/>
                        <w:szCs w:val="20"/>
                      </w:rPr>
                    </w:pPr>
                    <w:r w:rsidRPr="007A3177">
                      <w:rPr>
                        <w:rFonts w:cs="Arial"/>
                        <w:sz w:val="20"/>
                        <w:szCs w:val="20"/>
                      </w:rPr>
                      <w:t>(e)</w:t>
                    </w:r>
                  </w:p>
                </w:tc>
                <w:tc>
                  <w:tcPr>
                    <w:tcW w:w="951"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lang w:eastAsia="zh-TW"/>
                      </w:rPr>
                    </w:pPr>
                    <w:r w:rsidRPr="007A3177">
                      <w:rPr>
                        <w:rFonts w:cs="Arial"/>
                        <w:sz w:val="20"/>
                        <w:szCs w:val="20"/>
                      </w:rPr>
                      <w:t>6.98</w:t>
                    </w:r>
                  </w:p>
                </w:tc>
                <w:tc>
                  <w:tcPr>
                    <w:tcW w:w="1102"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u w:val="single"/>
                        <w:lang w:eastAsia="zh-TW"/>
                      </w:rPr>
                    </w:pPr>
                    <w:r w:rsidRPr="007A3177">
                      <w:rPr>
                        <w:rFonts w:cs="Arial"/>
                        <w:sz w:val="20"/>
                        <w:u w:val="single"/>
                      </w:rPr>
                      <w:t>3,996,000</w:t>
                    </w:r>
                  </w:p>
                </w:tc>
                <w:tc>
                  <w:tcPr>
                    <w:tcW w:w="69" w:type="dxa"/>
                  </w:tcPr>
                  <w:p w:rsidR="007A3177" w:rsidRPr="007A3177" w:rsidRDefault="007A3177" w:rsidP="003F54E5">
                    <w:pPr>
                      <w:widowControl w:val="0"/>
                      <w:adjustRightInd w:val="0"/>
                      <w:spacing w:line="240" w:lineRule="exact"/>
                      <w:ind w:left="172" w:hanging="172"/>
                      <w:jc w:val="right"/>
                      <w:textAlignment w:val="baseline"/>
                      <w:rPr>
                        <w:rFonts w:cs="Arial"/>
                        <w:sz w:val="20"/>
                        <w:szCs w:val="20"/>
                        <w:u w:val="single"/>
                      </w:rPr>
                    </w:pPr>
                  </w:p>
                </w:tc>
                <w:tc>
                  <w:tcPr>
                    <w:tcW w:w="908"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u w:val="single"/>
                        <w:lang w:eastAsia="zh-TW"/>
                      </w:rPr>
                    </w:pPr>
                    <w:r w:rsidRPr="007A3177">
                      <w:rPr>
                        <w:rFonts w:cs="Arial" w:hint="eastAsia"/>
                        <w:sz w:val="20"/>
                        <w:szCs w:val="20"/>
                        <w:u w:val="single"/>
                      </w:rPr>
                      <w:t>-</w:t>
                    </w:r>
                  </w:p>
                </w:tc>
                <w:tc>
                  <w:tcPr>
                    <w:tcW w:w="42" w:type="dxa"/>
                  </w:tcPr>
                  <w:p w:rsidR="007A3177" w:rsidRPr="007A3177" w:rsidRDefault="007A3177" w:rsidP="003F54E5">
                    <w:pPr>
                      <w:widowControl w:val="0"/>
                      <w:adjustRightInd w:val="0"/>
                      <w:spacing w:line="240" w:lineRule="exact"/>
                      <w:ind w:left="172" w:hanging="172"/>
                      <w:jc w:val="right"/>
                      <w:textAlignment w:val="baseline"/>
                      <w:rPr>
                        <w:rFonts w:cs="Arial"/>
                        <w:sz w:val="20"/>
                        <w:szCs w:val="20"/>
                        <w:u w:val="single"/>
                      </w:rPr>
                    </w:pPr>
                  </w:p>
                </w:tc>
                <w:tc>
                  <w:tcPr>
                    <w:tcW w:w="1061" w:type="dxa"/>
                  </w:tcPr>
                  <w:p w:rsidR="007A3177" w:rsidRPr="007A3177" w:rsidRDefault="007A3177" w:rsidP="003F54E5">
                    <w:pPr>
                      <w:widowControl w:val="0"/>
                      <w:adjustRightInd w:val="0"/>
                      <w:spacing w:line="240" w:lineRule="exact"/>
                      <w:ind w:left="172" w:hanging="172"/>
                      <w:jc w:val="right"/>
                      <w:textAlignment w:val="baseline"/>
                      <w:rPr>
                        <w:rFonts w:cs="Arial"/>
                        <w:sz w:val="20"/>
                        <w:szCs w:val="20"/>
                        <w:u w:val="single"/>
                        <w:lang w:eastAsia="zh-TW"/>
                      </w:rPr>
                    </w:pPr>
                    <w:r w:rsidRPr="007A3177">
                      <w:rPr>
                        <w:rFonts w:cs="Arial" w:hint="eastAsia"/>
                        <w:sz w:val="20"/>
                        <w:u w:val="single"/>
                      </w:rPr>
                      <w:t>(87,500)</w:t>
                    </w:r>
                  </w:p>
                </w:tc>
                <w:tc>
                  <w:tcPr>
                    <w:tcW w:w="83" w:type="dxa"/>
                    <w:vAlign w:val="bottom"/>
                  </w:tcPr>
                  <w:p w:rsidR="007A3177" w:rsidRPr="007A3177" w:rsidRDefault="007A3177" w:rsidP="003F54E5">
                    <w:pPr>
                      <w:widowControl w:val="0"/>
                      <w:wordWrap w:val="0"/>
                      <w:adjustRightInd w:val="0"/>
                      <w:spacing w:line="240" w:lineRule="exact"/>
                      <w:ind w:left="172" w:hanging="172"/>
                      <w:textAlignment w:val="baseline"/>
                      <w:rPr>
                        <w:rFonts w:cs="Arial"/>
                        <w:sz w:val="20"/>
                        <w:szCs w:val="20"/>
                      </w:rPr>
                    </w:pPr>
                  </w:p>
                </w:tc>
                <w:tc>
                  <w:tcPr>
                    <w:tcW w:w="1116" w:type="dxa"/>
                    <w:vAlign w:val="bottom"/>
                  </w:tcPr>
                  <w:p w:rsidR="007A3177" w:rsidRPr="007A3177" w:rsidRDefault="007A3177" w:rsidP="003F54E5">
                    <w:pPr>
                      <w:widowControl w:val="0"/>
                      <w:wordWrap w:val="0"/>
                      <w:adjustRightInd w:val="0"/>
                      <w:spacing w:line="240" w:lineRule="exact"/>
                      <w:ind w:left="172" w:hanging="172"/>
                      <w:jc w:val="right"/>
                      <w:textAlignment w:val="baseline"/>
                      <w:rPr>
                        <w:rFonts w:cs="Arial"/>
                        <w:sz w:val="20"/>
                        <w:szCs w:val="20"/>
                        <w:u w:val="single"/>
                        <w:lang w:eastAsia="zh-TW"/>
                      </w:rPr>
                    </w:pPr>
                    <w:r w:rsidRPr="007A3177">
                      <w:rPr>
                        <w:rFonts w:cs="Arial" w:hint="eastAsia"/>
                        <w:sz w:val="20"/>
                        <w:u w:val="single"/>
                      </w:rPr>
                      <w:t>(1,198,</w:t>
                    </w:r>
                    <w:r w:rsidRPr="007A3177">
                      <w:rPr>
                        <w:rFonts w:cs="Arial"/>
                        <w:sz w:val="20"/>
                        <w:u w:val="single"/>
                      </w:rPr>
                      <w:t>8</w:t>
                    </w:r>
                    <w:r w:rsidRPr="007A3177">
                      <w:rPr>
                        <w:rFonts w:cs="Arial" w:hint="eastAsia"/>
                        <w:sz w:val="20"/>
                        <w:u w:val="single"/>
                      </w:rPr>
                      <w:t>00)</w:t>
                    </w:r>
                  </w:p>
                </w:tc>
                <w:tc>
                  <w:tcPr>
                    <w:tcW w:w="83" w:type="dxa"/>
                    <w:vAlign w:val="bottom"/>
                  </w:tcPr>
                  <w:p w:rsidR="007A3177" w:rsidRPr="007A3177" w:rsidRDefault="007A3177" w:rsidP="003F54E5">
                    <w:pPr>
                      <w:widowControl w:val="0"/>
                      <w:adjustRightInd w:val="0"/>
                      <w:spacing w:line="240" w:lineRule="exact"/>
                      <w:ind w:left="172" w:hanging="172"/>
                      <w:textAlignment w:val="baseline"/>
                      <w:rPr>
                        <w:rFonts w:cs="Arial"/>
                        <w:sz w:val="20"/>
                        <w:szCs w:val="20"/>
                      </w:rPr>
                    </w:pPr>
                  </w:p>
                </w:tc>
                <w:tc>
                  <w:tcPr>
                    <w:tcW w:w="1061"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u w:val="single"/>
                        <w:lang w:eastAsia="zh-TW"/>
                      </w:rPr>
                    </w:pPr>
                    <w:r w:rsidRPr="007A3177">
                      <w:rPr>
                        <w:rFonts w:cs="Arial"/>
                        <w:sz w:val="20"/>
                        <w:u w:val="single"/>
                      </w:rPr>
                      <w:t xml:space="preserve"> </w:t>
                    </w:r>
                    <w:r w:rsidRPr="007A3177">
                      <w:rPr>
                        <w:rFonts w:cs="Arial" w:hint="eastAsia"/>
                        <w:sz w:val="20"/>
                        <w:u w:val="single"/>
                      </w:rPr>
                      <w:t>2,709,7</w:t>
                    </w:r>
                    <w:r w:rsidRPr="007A3177">
                      <w:rPr>
                        <w:rFonts w:cs="Arial"/>
                        <w:sz w:val="20"/>
                        <w:u w:val="single"/>
                      </w:rPr>
                      <w:t>00</w:t>
                    </w:r>
                  </w:p>
                </w:tc>
              </w:tr>
              <w:tr w:rsidR="007A3177" w:rsidRPr="007A3177" w:rsidTr="003F54E5">
                <w:trPr>
                  <w:trHeight w:val="284"/>
                </w:trPr>
                <w:tc>
                  <w:tcPr>
                    <w:tcW w:w="1629" w:type="dxa"/>
                    <w:vAlign w:val="bottom"/>
                  </w:tcPr>
                  <w:p w:rsidR="007A3177" w:rsidRPr="007A3177" w:rsidRDefault="007A3177" w:rsidP="003F54E5">
                    <w:pPr>
                      <w:widowControl w:val="0"/>
                      <w:wordWrap w:val="0"/>
                      <w:adjustRightInd w:val="0"/>
                      <w:spacing w:line="240" w:lineRule="exact"/>
                      <w:ind w:left="172" w:right="27" w:hanging="172"/>
                      <w:textAlignment w:val="baseline"/>
                      <w:rPr>
                        <w:rFonts w:cs="Arial"/>
                        <w:sz w:val="20"/>
                        <w:szCs w:val="20"/>
                        <w:lang w:eastAsia="zh-TW"/>
                      </w:rPr>
                    </w:pPr>
                  </w:p>
                </w:tc>
                <w:tc>
                  <w:tcPr>
                    <w:tcW w:w="372" w:type="dxa"/>
                  </w:tcPr>
                  <w:p w:rsidR="007A3177" w:rsidRPr="007A3177" w:rsidRDefault="007A3177" w:rsidP="003F54E5">
                    <w:pPr>
                      <w:widowControl w:val="0"/>
                      <w:adjustRightInd w:val="0"/>
                      <w:spacing w:line="240" w:lineRule="exact"/>
                      <w:ind w:left="172" w:hanging="172"/>
                      <w:jc w:val="center"/>
                      <w:textAlignment w:val="baseline"/>
                      <w:rPr>
                        <w:rFonts w:cs="Arial"/>
                        <w:sz w:val="20"/>
                        <w:szCs w:val="20"/>
                      </w:rPr>
                    </w:pPr>
                  </w:p>
                </w:tc>
                <w:tc>
                  <w:tcPr>
                    <w:tcW w:w="951"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rPr>
                    </w:pPr>
                  </w:p>
                </w:tc>
                <w:tc>
                  <w:tcPr>
                    <w:tcW w:w="1102"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rPr>
                    </w:pPr>
                  </w:p>
                </w:tc>
                <w:tc>
                  <w:tcPr>
                    <w:tcW w:w="69" w:type="dxa"/>
                  </w:tcPr>
                  <w:p w:rsidR="007A3177" w:rsidRPr="007A3177" w:rsidRDefault="007A3177" w:rsidP="003F54E5">
                    <w:pPr>
                      <w:widowControl w:val="0"/>
                      <w:adjustRightInd w:val="0"/>
                      <w:spacing w:line="240" w:lineRule="exact"/>
                      <w:ind w:left="172" w:hanging="172"/>
                      <w:jc w:val="right"/>
                      <w:textAlignment w:val="baseline"/>
                      <w:rPr>
                        <w:rFonts w:cs="Arial"/>
                        <w:sz w:val="20"/>
                        <w:szCs w:val="20"/>
                      </w:rPr>
                    </w:pPr>
                  </w:p>
                </w:tc>
                <w:tc>
                  <w:tcPr>
                    <w:tcW w:w="908"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rPr>
                    </w:pPr>
                  </w:p>
                </w:tc>
                <w:tc>
                  <w:tcPr>
                    <w:tcW w:w="42" w:type="dxa"/>
                  </w:tcPr>
                  <w:p w:rsidR="007A3177" w:rsidRPr="007A3177" w:rsidRDefault="007A3177" w:rsidP="003F54E5">
                    <w:pPr>
                      <w:widowControl w:val="0"/>
                      <w:adjustRightInd w:val="0"/>
                      <w:spacing w:line="240" w:lineRule="exact"/>
                      <w:ind w:left="172" w:hanging="172"/>
                      <w:jc w:val="right"/>
                      <w:textAlignment w:val="baseline"/>
                      <w:rPr>
                        <w:rFonts w:cs="Arial"/>
                        <w:sz w:val="20"/>
                        <w:szCs w:val="20"/>
                      </w:rPr>
                    </w:pPr>
                  </w:p>
                </w:tc>
                <w:tc>
                  <w:tcPr>
                    <w:tcW w:w="1061"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rPr>
                    </w:pPr>
                  </w:p>
                </w:tc>
                <w:tc>
                  <w:tcPr>
                    <w:tcW w:w="83" w:type="dxa"/>
                    <w:vAlign w:val="bottom"/>
                  </w:tcPr>
                  <w:p w:rsidR="007A3177" w:rsidRPr="007A3177" w:rsidRDefault="007A3177" w:rsidP="003F54E5">
                    <w:pPr>
                      <w:widowControl w:val="0"/>
                      <w:wordWrap w:val="0"/>
                      <w:adjustRightInd w:val="0"/>
                      <w:spacing w:line="240" w:lineRule="exact"/>
                      <w:ind w:left="172" w:hanging="172"/>
                      <w:textAlignment w:val="baseline"/>
                      <w:rPr>
                        <w:rFonts w:cs="Arial"/>
                        <w:sz w:val="20"/>
                        <w:szCs w:val="20"/>
                      </w:rPr>
                    </w:pPr>
                  </w:p>
                </w:tc>
                <w:tc>
                  <w:tcPr>
                    <w:tcW w:w="1116" w:type="dxa"/>
                    <w:vAlign w:val="bottom"/>
                  </w:tcPr>
                  <w:p w:rsidR="007A3177" w:rsidRPr="007A3177" w:rsidRDefault="007A3177" w:rsidP="003F54E5">
                    <w:pPr>
                      <w:widowControl w:val="0"/>
                      <w:wordWrap w:val="0"/>
                      <w:adjustRightInd w:val="0"/>
                      <w:spacing w:line="240" w:lineRule="exact"/>
                      <w:ind w:left="172" w:hanging="172"/>
                      <w:jc w:val="right"/>
                      <w:textAlignment w:val="baseline"/>
                      <w:rPr>
                        <w:rFonts w:cs="Arial"/>
                        <w:sz w:val="20"/>
                        <w:szCs w:val="20"/>
                      </w:rPr>
                    </w:pPr>
                  </w:p>
                </w:tc>
                <w:tc>
                  <w:tcPr>
                    <w:tcW w:w="83" w:type="dxa"/>
                    <w:vAlign w:val="bottom"/>
                  </w:tcPr>
                  <w:p w:rsidR="007A3177" w:rsidRPr="007A3177" w:rsidRDefault="007A3177" w:rsidP="003F54E5">
                    <w:pPr>
                      <w:widowControl w:val="0"/>
                      <w:adjustRightInd w:val="0"/>
                      <w:spacing w:line="240" w:lineRule="exact"/>
                      <w:ind w:left="172" w:hanging="172"/>
                      <w:textAlignment w:val="baseline"/>
                      <w:rPr>
                        <w:rFonts w:cs="Arial"/>
                        <w:sz w:val="20"/>
                        <w:szCs w:val="20"/>
                      </w:rPr>
                    </w:pPr>
                  </w:p>
                </w:tc>
                <w:tc>
                  <w:tcPr>
                    <w:tcW w:w="1061"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rPr>
                    </w:pPr>
                  </w:p>
                </w:tc>
              </w:tr>
              <w:tr w:rsidR="007A3177" w:rsidRPr="007A3177" w:rsidTr="003F54E5">
                <w:trPr>
                  <w:trHeight w:val="284"/>
                </w:trPr>
                <w:tc>
                  <w:tcPr>
                    <w:tcW w:w="1629" w:type="dxa"/>
                    <w:vAlign w:val="bottom"/>
                  </w:tcPr>
                  <w:p w:rsidR="007A3177" w:rsidRPr="007A3177" w:rsidRDefault="007A3177" w:rsidP="003F54E5">
                    <w:pPr>
                      <w:widowControl w:val="0"/>
                      <w:wordWrap w:val="0"/>
                      <w:adjustRightInd w:val="0"/>
                      <w:spacing w:line="240" w:lineRule="exact"/>
                      <w:ind w:left="172" w:right="27" w:hanging="172"/>
                      <w:textAlignment w:val="baseline"/>
                      <w:rPr>
                        <w:rFonts w:cs="Arial"/>
                        <w:sz w:val="20"/>
                        <w:szCs w:val="20"/>
                      </w:rPr>
                    </w:pPr>
                  </w:p>
                </w:tc>
                <w:tc>
                  <w:tcPr>
                    <w:tcW w:w="372" w:type="dxa"/>
                  </w:tcPr>
                  <w:p w:rsidR="007A3177" w:rsidRPr="007A3177" w:rsidRDefault="007A3177" w:rsidP="003F54E5">
                    <w:pPr>
                      <w:widowControl w:val="0"/>
                      <w:adjustRightInd w:val="0"/>
                      <w:spacing w:line="240" w:lineRule="exact"/>
                      <w:ind w:left="172" w:hanging="172"/>
                      <w:jc w:val="center"/>
                      <w:textAlignment w:val="baseline"/>
                      <w:rPr>
                        <w:rFonts w:cs="Arial"/>
                        <w:sz w:val="20"/>
                        <w:szCs w:val="20"/>
                      </w:rPr>
                    </w:pPr>
                  </w:p>
                </w:tc>
                <w:tc>
                  <w:tcPr>
                    <w:tcW w:w="951"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lang w:eastAsia="zh-TW"/>
                      </w:rPr>
                    </w:pPr>
                  </w:p>
                </w:tc>
                <w:tc>
                  <w:tcPr>
                    <w:tcW w:w="1102"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u w:val="double"/>
                        <w:lang w:eastAsia="zh-TW"/>
                      </w:rPr>
                    </w:pPr>
                    <w:r w:rsidRPr="007A3177">
                      <w:rPr>
                        <w:rFonts w:cs="Arial" w:hint="eastAsia"/>
                        <w:snapToGrid w:val="0"/>
                        <w:sz w:val="20"/>
                        <w:u w:val="double"/>
                      </w:rPr>
                      <w:t>10,387,000</w:t>
                    </w:r>
                  </w:p>
                </w:tc>
                <w:tc>
                  <w:tcPr>
                    <w:tcW w:w="69" w:type="dxa"/>
                  </w:tcPr>
                  <w:p w:rsidR="007A3177" w:rsidRPr="007A3177" w:rsidRDefault="007A3177" w:rsidP="003F54E5">
                    <w:pPr>
                      <w:widowControl w:val="0"/>
                      <w:adjustRightInd w:val="0"/>
                      <w:spacing w:line="240" w:lineRule="exact"/>
                      <w:ind w:left="172" w:hanging="172"/>
                      <w:jc w:val="right"/>
                      <w:textAlignment w:val="baseline"/>
                      <w:rPr>
                        <w:rFonts w:cs="Arial"/>
                        <w:sz w:val="20"/>
                        <w:szCs w:val="20"/>
                        <w:u w:val="double"/>
                        <w:lang w:eastAsia="zh-TW"/>
                      </w:rPr>
                    </w:pPr>
                  </w:p>
                </w:tc>
                <w:tc>
                  <w:tcPr>
                    <w:tcW w:w="908"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u w:val="double"/>
                        <w:lang w:eastAsia="zh-TW"/>
                      </w:rPr>
                    </w:pPr>
                    <w:r w:rsidRPr="007A3177">
                      <w:rPr>
                        <w:rFonts w:cs="Arial" w:hint="eastAsia"/>
                        <w:sz w:val="20"/>
                        <w:szCs w:val="20"/>
                        <w:u w:val="double"/>
                      </w:rPr>
                      <w:t>-</w:t>
                    </w:r>
                  </w:p>
                </w:tc>
                <w:tc>
                  <w:tcPr>
                    <w:tcW w:w="42" w:type="dxa"/>
                  </w:tcPr>
                  <w:p w:rsidR="007A3177" w:rsidRPr="007A3177" w:rsidRDefault="007A3177" w:rsidP="003F54E5">
                    <w:pPr>
                      <w:widowControl w:val="0"/>
                      <w:adjustRightInd w:val="0"/>
                      <w:spacing w:line="240" w:lineRule="exact"/>
                      <w:ind w:left="172" w:hanging="172"/>
                      <w:jc w:val="right"/>
                      <w:textAlignment w:val="baseline"/>
                      <w:rPr>
                        <w:rFonts w:cs="Arial"/>
                        <w:sz w:val="20"/>
                        <w:szCs w:val="20"/>
                        <w:u w:val="double"/>
                        <w:lang w:eastAsia="zh-TW"/>
                      </w:rPr>
                    </w:pPr>
                  </w:p>
                </w:tc>
                <w:tc>
                  <w:tcPr>
                    <w:tcW w:w="1061"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u w:val="double"/>
                        <w:lang w:eastAsia="zh-TW"/>
                      </w:rPr>
                    </w:pPr>
                    <w:r w:rsidRPr="007A3177">
                      <w:rPr>
                        <w:rFonts w:cs="Arial"/>
                        <w:sz w:val="20"/>
                      </w:rPr>
                      <w:t>(</w:t>
                    </w:r>
                    <w:r w:rsidRPr="007A3177">
                      <w:rPr>
                        <w:rFonts w:cs="Arial" w:hint="eastAsia"/>
                        <w:sz w:val="20"/>
                        <w:u w:val="double"/>
                      </w:rPr>
                      <w:t>612</w:t>
                    </w:r>
                    <w:r w:rsidRPr="007A3177">
                      <w:rPr>
                        <w:rFonts w:cs="Arial"/>
                        <w:sz w:val="20"/>
                        <w:u w:val="double"/>
                      </w:rPr>
                      <w:t>,</w:t>
                    </w:r>
                    <w:r w:rsidRPr="007A3177">
                      <w:rPr>
                        <w:rFonts w:cs="Arial" w:hint="eastAsia"/>
                        <w:sz w:val="20"/>
                        <w:u w:val="double"/>
                      </w:rPr>
                      <w:t>5</w:t>
                    </w:r>
                    <w:r w:rsidRPr="007A3177">
                      <w:rPr>
                        <w:rFonts w:cs="Arial"/>
                        <w:sz w:val="20"/>
                        <w:u w:val="double"/>
                      </w:rPr>
                      <w:t>00</w:t>
                    </w:r>
                    <w:r w:rsidRPr="007A3177">
                      <w:rPr>
                        <w:rFonts w:cs="Arial"/>
                        <w:sz w:val="20"/>
                      </w:rPr>
                      <w:t>)</w:t>
                    </w:r>
                  </w:p>
                </w:tc>
                <w:tc>
                  <w:tcPr>
                    <w:tcW w:w="83" w:type="dxa"/>
                    <w:vAlign w:val="bottom"/>
                  </w:tcPr>
                  <w:p w:rsidR="007A3177" w:rsidRPr="007A3177" w:rsidRDefault="007A3177" w:rsidP="003F54E5">
                    <w:pPr>
                      <w:widowControl w:val="0"/>
                      <w:adjustRightInd w:val="0"/>
                      <w:spacing w:line="240" w:lineRule="exact"/>
                      <w:ind w:left="172" w:hanging="172"/>
                      <w:textAlignment w:val="baseline"/>
                      <w:rPr>
                        <w:rFonts w:cs="Arial"/>
                        <w:sz w:val="20"/>
                        <w:szCs w:val="20"/>
                        <w:lang w:eastAsia="zh-TW"/>
                      </w:rPr>
                    </w:pPr>
                  </w:p>
                </w:tc>
                <w:tc>
                  <w:tcPr>
                    <w:tcW w:w="1116"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u w:val="double"/>
                        <w:lang w:eastAsia="zh-TW"/>
                      </w:rPr>
                    </w:pPr>
                    <w:r w:rsidRPr="007A3177">
                      <w:rPr>
                        <w:rFonts w:cs="Arial"/>
                        <w:sz w:val="20"/>
                      </w:rPr>
                      <w:t>(</w:t>
                    </w:r>
                    <w:r w:rsidRPr="007A3177">
                      <w:rPr>
                        <w:rFonts w:cs="Arial" w:hint="eastAsia"/>
                        <w:sz w:val="20"/>
                        <w:u w:val="double"/>
                      </w:rPr>
                      <w:t>6,314,8</w:t>
                    </w:r>
                    <w:r w:rsidRPr="007A3177">
                      <w:rPr>
                        <w:rFonts w:cs="Arial"/>
                        <w:sz w:val="20"/>
                        <w:u w:val="double"/>
                      </w:rPr>
                      <w:t>00</w:t>
                    </w:r>
                    <w:r w:rsidRPr="007A3177">
                      <w:rPr>
                        <w:rFonts w:cs="Arial"/>
                        <w:sz w:val="20"/>
                      </w:rPr>
                      <w:t>)</w:t>
                    </w:r>
                  </w:p>
                </w:tc>
                <w:tc>
                  <w:tcPr>
                    <w:tcW w:w="83" w:type="dxa"/>
                    <w:vAlign w:val="bottom"/>
                  </w:tcPr>
                  <w:p w:rsidR="007A3177" w:rsidRPr="007A3177" w:rsidRDefault="007A3177" w:rsidP="003F54E5">
                    <w:pPr>
                      <w:widowControl w:val="0"/>
                      <w:adjustRightInd w:val="0"/>
                      <w:spacing w:line="240" w:lineRule="exact"/>
                      <w:ind w:left="172" w:hanging="172"/>
                      <w:textAlignment w:val="baseline"/>
                      <w:rPr>
                        <w:rFonts w:cs="Arial"/>
                        <w:sz w:val="20"/>
                        <w:szCs w:val="20"/>
                        <w:lang w:eastAsia="zh-TW"/>
                      </w:rPr>
                    </w:pPr>
                  </w:p>
                </w:tc>
                <w:tc>
                  <w:tcPr>
                    <w:tcW w:w="1061" w:type="dxa"/>
                    <w:vAlign w:val="bottom"/>
                  </w:tcPr>
                  <w:p w:rsidR="007A3177" w:rsidRPr="007A3177" w:rsidRDefault="007A3177" w:rsidP="003F54E5">
                    <w:pPr>
                      <w:widowControl w:val="0"/>
                      <w:adjustRightInd w:val="0"/>
                      <w:spacing w:line="240" w:lineRule="exact"/>
                      <w:ind w:left="172" w:hanging="172"/>
                      <w:jc w:val="right"/>
                      <w:textAlignment w:val="baseline"/>
                      <w:rPr>
                        <w:rFonts w:cs="Arial"/>
                        <w:sz w:val="20"/>
                        <w:szCs w:val="20"/>
                        <w:u w:val="double"/>
                        <w:lang w:eastAsia="zh-TW"/>
                      </w:rPr>
                    </w:pPr>
                    <w:r w:rsidRPr="007A3177">
                      <w:rPr>
                        <w:rFonts w:cs="Arial" w:hint="eastAsia"/>
                        <w:sz w:val="20"/>
                        <w:u w:val="double"/>
                      </w:rPr>
                      <w:t>3,459,7</w:t>
                    </w:r>
                    <w:r w:rsidRPr="007A3177">
                      <w:rPr>
                        <w:rFonts w:cs="Arial"/>
                        <w:sz w:val="20"/>
                        <w:u w:val="double"/>
                      </w:rPr>
                      <w:t>00</w:t>
                    </w:r>
                  </w:p>
                </w:tc>
              </w:tr>
              <w:bookmarkEnd w:id="223"/>
            </w:tbl>
            <w:p w:rsidR="007A3177" w:rsidRPr="007A3177" w:rsidRDefault="007A3177" w:rsidP="007A3177">
              <w:pPr>
                <w:ind w:leftChars="285" w:left="612" w:hangingChars="7" w:hanging="14"/>
                <w:jc w:val="both"/>
                <w:rPr>
                  <w:rFonts w:cs="Arial"/>
                  <w:b/>
                  <w:snapToGrid w:val="0"/>
                  <w:sz w:val="20"/>
                  <w:szCs w:val="20"/>
                </w:rPr>
              </w:pPr>
            </w:p>
            <w:p w:rsidR="007A3177" w:rsidRPr="007A3177" w:rsidRDefault="007A3177" w:rsidP="007A3177">
              <w:pPr>
                <w:jc w:val="both"/>
                <w:rPr>
                  <w:rFonts w:cs="Arial"/>
                  <w:snapToGrid w:val="0"/>
                  <w:sz w:val="20"/>
                  <w:szCs w:val="20"/>
                </w:rPr>
              </w:pPr>
              <w:r w:rsidRPr="007A3177">
                <w:rPr>
                  <w:rFonts w:cs="Arial" w:hint="eastAsia"/>
                  <w:snapToGrid w:val="0"/>
                  <w:sz w:val="20"/>
                  <w:szCs w:val="20"/>
                </w:rPr>
                <w:t>附注：</w:t>
              </w:r>
            </w:p>
            <w:p w:rsidR="007A3177" w:rsidRPr="007A3177" w:rsidRDefault="007A3177" w:rsidP="007A3177">
              <w:pPr>
                <w:widowControl w:val="0"/>
                <w:adjustRightInd w:val="0"/>
                <w:spacing w:line="220" w:lineRule="exact"/>
                <w:ind w:left="-202" w:right="-108" w:firstLine="94"/>
                <w:jc w:val="both"/>
                <w:textAlignment w:val="baseline"/>
                <w:rPr>
                  <w:rFonts w:cs="Arial"/>
                  <w:snapToGrid w:val="0"/>
                  <w:sz w:val="20"/>
                  <w:szCs w:val="20"/>
                </w:rPr>
              </w:pPr>
            </w:p>
            <w:p w:rsidR="007A3177" w:rsidRPr="007A3177" w:rsidRDefault="007A3177" w:rsidP="00036BDC">
              <w:pPr>
                <w:pStyle w:val="afffffffffffffff"/>
                <w:widowControl/>
                <w:numPr>
                  <w:ilvl w:val="0"/>
                  <w:numId w:val="93"/>
                </w:numPr>
                <w:spacing w:line="260" w:lineRule="exact"/>
                <w:ind w:left="284" w:firstLineChars="0"/>
                <w:contextualSpacing/>
                <w:rPr>
                  <w:rFonts w:ascii="宋体" w:hAnsi="宋体" w:cs="Arial"/>
                  <w:snapToGrid w:val="0"/>
                  <w:sz w:val="20"/>
                </w:rPr>
              </w:pPr>
              <w:r w:rsidRPr="007A3177">
                <w:rPr>
                  <w:rFonts w:ascii="宋体" w:hAnsi="宋体" w:cs="Arial" w:hint="eastAsia"/>
                  <w:snapToGrid w:val="0"/>
                  <w:sz w:val="20"/>
                </w:rPr>
                <w:t>于</w:t>
              </w:r>
              <w:r w:rsidRPr="007A3177">
                <w:rPr>
                  <w:rFonts w:ascii="宋体" w:hAnsi="宋体" w:cs="Arial"/>
                  <w:snapToGrid w:val="0"/>
                  <w:sz w:val="20"/>
                </w:rPr>
                <w:t>2015</w:t>
              </w:r>
              <w:r w:rsidRPr="007A3177">
                <w:rPr>
                  <w:rFonts w:ascii="宋体" w:hAnsi="宋体" w:cs="Arial" w:hint="eastAsia"/>
                  <w:snapToGrid w:val="0"/>
                  <w:sz w:val="20"/>
                </w:rPr>
                <w:t>年</w:t>
              </w:r>
              <w:r w:rsidRPr="007A3177">
                <w:rPr>
                  <w:rFonts w:ascii="宋体" w:hAnsi="宋体" w:cs="Arial"/>
                  <w:snapToGrid w:val="0"/>
                  <w:sz w:val="20"/>
                </w:rPr>
                <w:t>6</w:t>
              </w:r>
              <w:r w:rsidRPr="007A3177">
                <w:rPr>
                  <w:rFonts w:ascii="宋体" w:hAnsi="宋体" w:cs="Arial" w:hint="eastAsia"/>
                  <w:snapToGrid w:val="0"/>
                  <w:sz w:val="20"/>
                </w:rPr>
                <w:t>月</w:t>
              </w:r>
              <w:r w:rsidRPr="007A3177">
                <w:rPr>
                  <w:rFonts w:ascii="宋体" w:hAnsi="宋体" w:cs="Arial"/>
                  <w:snapToGrid w:val="0"/>
                  <w:sz w:val="20"/>
                </w:rPr>
                <w:t>16</w:t>
              </w:r>
              <w:r w:rsidRPr="007A3177">
                <w:rPr>
                  <w:rFonts w:ascii="宋体" w:hAnsi="宋体" w:cs="Arial" w:hint="eastAsia"/>
                  <w:snapToGrid w:val="0"/>
                  <w:sz w:val="20"/>
                </w:rPr>
                <w:t>日，畅捷通董事会批准依据该计划无偿向</w:t>
              </w:r>
              <w:r w:rsidRPr="007A3177">
                <w:rPr>
                  <w:rFonts w:ascii="宋体" w:hAnsi="宋体" w:cs="Arial"/>
                  <w:snapToGrid w:val="0"/>
                  <w:sz w:val="20"/>
                </w:rPr>
                <w:t>182</w:t>
              </w:r>
              <w:r w:rsidRPr="007A3177">
                <w:rPr>
                  <w:rFonts w:ascii="宋体" w:hAnsi="宋体" w:cs="Arial" w:hint="eastAsia"/>
                  <w:snapToGrid w:val="0"/>
                  <w:sz w:val="20"/>
                </w:rPr>
                <w:t>名激励对象</w:t>
              </w:r>
              <w:r w:rsidRPr="007A3177">
                <w:rPr>
                  <w:rFonts w:ascii="宋体" w:hAnsi="宋体" w:cs="Arial"/>
                  <w:snapToGrid w:val="0"/>
                  <w:sz w:val="20"/>
                </w:rPr>
                <w:t>(</w:t>
              </w:r>
              <w:r w:rsidRPr="007A3177">
                <w:rPr>
                  <w:rFonts w:ascii="宋体" w:hAnsi="宋体" w:cs="Arial" w:hint="eastAsia"/>
                  <w:snapToGrid w:val="0"/>
                  <w:sz w:val="20"/>
                </w:rPr>
                <w:t>包括一名董事、两名监事、畅捷通的中高层管理人员、专家及核心骨干</w:t>
              </w:r>
              <w:r w:rsidRPr="007A3177">
                <w:rPr>
                  <w:rFonts w:ascii="宋体" w:hAnsi="宋体" w:cs="Arial"/>
                  <w:snapToGrid w:val="0"/>
                  <w:sz w:val="20"/>
                </w:rPr>
                <w:t>)</w:t>
              </w:r>
              <w:r w:rsidRPr="007A3177">
                <w:rPr>
                  <w:rFonts w:ascii="宋体" w:hAnsi="宋体" w:cs="Arial" w:hint="eastAsia"/>
                  <w:snapToGrid w:val="0"/>
                  <w:sz w:val="20"/>
                </w:rPr>
                <w:t>首次授予附生效条件的信托受益权份额。首次授予项下目标股票总数为</w:t>
              </w:r>
              <w:r w:rsidRPr="007A3177">
                <w:rPr>
                  <w:rFonts w:ascii="宋体" w:hAnsi="宋体" w:cs="Arial"/>
                  <w:snapToGrid w:val="0"/>
                  <w:sz w:val="20"/>
                </w:rPr>
                <w:t>17,370,000</w:t>
              </w:r>
              <w:r w:rsidRPr="007A3177">
                <w:rPr>
                  <w:rFonts w:ascii="宋体" w:hAnsi="宋体" w:cs="Arial" w:hint="eastAsia"/>
                  <w:snapToGrid w:val="0"/>
                  <w:sz w:val="20"/>
                </w:rPr>
                <w:t>股，占</w:t>
              </w:r>
              <w:r w:rsidRPr="007A3177">
                <w:rPr>
                  <w:rFonts w:ascii="宋体" w:hAnsi="宋体" w:cs="Arial"/>
                  <w:snapToGrid w:val="0"/>
                  <w:sz w:val="20"/>
                </w:rPr>
                <w:t>2015</w:t>
              </w:r>
              <w:r w:rsidRPr="007A3177">
                <w:rPr>
                  <w:rFonts w:ascii="宋体" w:hAnsi="宋体" w:cs="Arial" w:hint="eastAsia"/>
                  <w:snapToGrid w:val="0"/>
                  <w:sz w:val="20"/>
                </w:rPr>
                <w:t>年</w:t>
              </w:r>
              <w:r w:rsidRPr="007A3177">
                <w:rPr>
                  <w:rFonts w:ascii="宋体" w:hAnsi="宋体" w:cs="Arial"/>
                  <w:snapToGrid w:val="0"/>
                  <w:sz w:val="20"/>
                </w:rPr>
                <w:t>6</w:t>
              </w:r>
              <w:r w:rsidRPr="007A3177">
                <w:rPr>
                  <w:rFonts w:ascii="宋体" w:hAnsi="宋体" w:cs="Arial" w:hint="eastAsia"/>
                  <w:snapToGrid w:val="0"/>
                  <w:sz w:val="20"/>
                </w:rPr>
                <w:t>月</w:t>
              </w:r>
              <w:r w:rsidRPr="007A3177">
                <w:rPr>
                  <w:rFonts w:ascii="宋体" w:hAnsi="宋体" w:cs="Arial"/>
                  <w:snapToGrid w:val="0"/>
                  <w:sz w:val="20"/>
                </w:rPr>
                <w:t>16</w:t>
              </w:r>
              <w:r w:rsidRPr="007A3177">
                <w:rPr>
                  <w:rFonts w:ascii="宋体" w:hAnsi="宋体" w:cs="Arial" w:hint="eastAsia"/>
                  <w:snapToGrid w:val="0"/>
                  <w:sz w:val="20"/>
                </w:rPr>
                <w:t>日畅捷通已发行股本总额约</w:t>
              </w:r>
              <w:r w:rsidRPr="007A3177">
                <w:rPr>
                  <w:rFonts w:ascii="宋体" w:hAnsi="宋体" w:cs="Arial"/>
                  <w:snapToGrid w:val="0"/>
                  <w:sz w:val="20"/>
                </w:rPr>
                <w:t>8%</w:t>
              </w:r>
              <w:r w:rsidRPr="007A3177">
                <w:rPr>
                  <w:rFonts w:ascii="宋体" w:hAnsi="宋体" w:cs="Arial" w:hint="eastAsia"/>
                  <w:snapToGrid w:val="0"/>
                  <w:sz w:val="20"/>
                </w:rPr>
                <w:t>。</w:t>
              </w:r>
            </w:p>
            <w:p w:rsidR="007A3177" w:rsidRPr="007A3177" w:rsidRDefault="007A3177" w:rsidP="007A3177">
              <w:pPr>
                <w:spacing w:line="260" w:lineRule="exact"/>
                <w:ind w:leftChars="303" w:left="636" w:firstLine="1"/>
                <w:jc w:val="both"/>
                <w:rPr>
                  <w:rFonts w:cs="Arial"/>
                  <w:snapToGrid w:val="0"/>
                  <w:sz w:val="20"/>
                </w:rPr>
              </w:pPr>
            </w:p>
            <w:p w:rsidR="007A3177" w:rsidRPr="007A3177" w:rsidRDefault="007A3177" w:rsidP="00036BDC">
              <w:pPr>
                <w:pStyle w:val="afffffffffffffff"/>
                <w:widowControl/>
                <w:numPr>
                  <w:ilvl w:val="0"/>
                  <w:numId w:val="93"/>
                </w:numPr>
                <w:spacing w:line="260" w:lineRule="exact"/>
                <w:ind w:left="284" w:firstLineChars="0"/>
                <w:contextualSpacing/>
                <w:rPr>
                  <w:rFonts w:ascii="宋体" w:hAnsi="宋体" w:cs="Arial"/>
                  <w:snapToGrid w:val="0"/>
                  <w:sz w:val="20"/>
                </w:rPr>
              </w:pPr>
              <w:r w:rsidRPr="007A3177">
                <w:rPr>
                  <w:rFonts w:ascii="宋体" w:hAnsi="宋体" w:cs="Arial" w:hint="eastAsia"/>
                  <w:snapToGrid w:val="0"/>
                  <w:sz w:val="20"/>
                </w:rPr>
                <w:t>于</w:t>
              </w:r>
              <w:r w:rsidRPr="007A3177">
                <w:rPr>
                  <w:rFonts w:ascii="宋体" w:hAnsi="宋体" w:cs="Arial"/>
                  <w:snapToGrid w:val="0"/>
                  <w:sz w:val="20"/>
                </w:rPr>
                <w:t>2015</w:t>
              </w:r>
              <w:r w:rsidRPr="007A3177">
                <w:rPr>
                  <w:rFonts w:ascii="宋体" w:hAnsi="宋体" w:cs="Arial" w:hint="eastAsia"/>
                  <w:snapToGrid w:val="0"/>
                  <w:sz w:val="20"/>
                </w:rPr>
                <w:t>年</w:t>
              </w:r>
              <w:r w:rsidRPr="007A3177">
                <w:rPr>
                  <w:rFonts w:ascii="宋体" w:hAnsi="宋体" w:cs="Arial"/>
                  <w:snapToGrid w:val="0"/>
                  <w:sz w:val="20"/>
                </w:rPr>
                <w:t>9</w:t>
              </w:r>
              <w:r w:rsidRPr="007A3177">
                <w:rPr>
                  <w:rFonts w:ascii="宋体" w:hAnsi="宋体" w:cs="Arial" w:hint="eastAsia"/>
                  <w:snapToGrid w:val="0"/>
                  <w:sz w:val="20"/>
                </w:rPr>
                <w:t>月</w:t>
              </w:r>
              <w:r w:rsidRPr="007A3177">
                <w:rPr>
                  <w:rFonts w:ascii="宋体" w:hAnsi="宋体" w:cs="Arial"/>
                  <w:snapToGrid w:val="0"/>
                  <w:sz w:val="20"/>
                </w:rPr>
                <w:t>2</w:t>
              </w:r>
              <w:r w:rsidRPr="007A3177">
                <w:rPr>
                  <w:rFonts w:ascii="宋体" w:hAnsi="宋体" w:cs="Arial" w:hint="eastAsia"/>
                  <w:snapToGrid w:val="0"/>
                  <w:sz w:val="20"/>
                </w:rPr>
                <w:t>日，畅捷通董事会还授权畅捷通总裁会无偿向畅捷通美国若干激励对象授予附生效条件的信托受益权份额。该等授予项下的目标股票数量为</w:t>
              </w:r>
              <w:r w:rsidRPr="007A3177">
                <w:rPr>
                  <w:rFonts w:ascii="宋体" w:hAnsi="宋体" w:cs="Arial"/>
                  <w:snapToGrid w:val="0"/>
                  <w:sz w:val="20"/>
                </w:rPr>
                <w:t>120,000</w:t>
              </w:r>
              <w:r w:rsidRPr="007A3177">
                <w:rPr>
                  <w:rFonts w:ascii="宋体" w:hAnsi="宋体" w:cs="Arial" w:hint="eastAsia"/>
                  <w:snapToGrid w:val="0"/>
                  <w:sz w:val="20"/>
                </w:rPr>
                <w:t>股。报告期内，畅捷通美国获授信托受益权的激励对象不涉及畅捷通董事、监事或其各自的配偶或十八岁以下子女。</w:t>
              </w:r>
            </w:p>
            <w:p w:rsidR="007A3177" w:rsidRPr="007A3177" w:rsidRDefault="007A3177" w:rsidP="007A3177">
              <w:pPr>
                <w:spacing w:line="260" w:lineRule="exact"/>
                <w:ind w:leftChars="303" w:left="636" w:firstLine="1"/>
                <w:jc w:val="both"/>
                <w:rPr>
                  <w:rFonts w:cs="Arial"/>
                  <w:snapToGrid w:val="0"/>
                  <w:sz w:val="20"/>
                </w:rPr>
              </w:pPr>
            </w:p>
            <w:p w:rsidR="007A3177" w:rsidRPr="007A3177" w:rsidRDefault="007A3177" w:rsidP="00036BDC">
              <w:pPr>
                <w:pStyle w:val="afffffffffffffff"/>
                <w:widowControl/>
                <w:numPr>
                  <w:ilvl w:val="0"/>
                  <w:numId w:val="93"/>
                </w:numPr>
                <w:spacing w:line="260" w:lineRule="exact"/>
                <w:ind w:left="284" w:firstLineChars="0"/>
                <w:contextualSpacing/>
                <w:rPr>
                  <w:rFonts w:ascii="宋体" w:hAnsi="宋体" w:cs="Arial"/>
                  <w:snapToGrid w:val="0"/>
                  <w:sz w:val="20"/>
                </w:rPr>
              </w:pPr>
              <w:r w:rsidRPr="007A3177">
                <w:rPr>
                  <w:rFonts w:ascii="宋体" w:hAnsi="宋体" w:cs="Arial" w:hint="eastAsia"/>
                  <w:snapToGrid w:val="0"/>
                  <w:sz w:val="20"/>
                </w:rPr>
                <w:t>于</w:t>
              </w:r>
              <w:r w:rsidRPr="007A3177">
                <w:rPr>
                  <w:rFonts w:ascii="宋体" w:hAnsi="宋体" w:cs="Arial"/>
                  <w:snapToGrid w:val="0"/>
                  <w:sz w:val="20"/>
                </w:rPr>
                <w:t>2016</w:t>
              </w:r>
              <w:r w:rsidRPr="007A3177">
                <w:rPr>
                  <w:rFonts w:ascii="宋体" w:hAnsi="宋体" w:cs="Arial" w:hint="eastAsia"/>
                  <w:snapToGrid w:val="0"/>
                  <w:sz w:val="20"/>
                </w:rPr>
                <w:t>年</w:t>
              </w:r>
              <w:r w:rsidRPr="007A3177">
                <w:rPr>
                  <w:rFonts w:ascii="宋体" w:hAnsi="宋体" w:cs="Arial"/>
                  <w:snapToGrid w:val="0"/>
                  <w:sz w:val="20"/>
                </w:rPr>
                <w:t>3</w:t>
              </w:r>
              <w:r w:rsidRPr="007A3177">
                <w:rPr>
                  <w:rFonts w:ascii="宋体" w:hAnsi="宋体" w:cs="Arial" w:hint="eastAsia"/>
                  <w:snapToGrid w:val="0"/>
                  <w:sz w:val="20"/>
                </w:rPr>
                <w:t>月</w:t>
              </w:r>
              <w:r w:rsidRPr="007A3177">
                <w:rPr>
                  <w:rFonts w:ascii="宋体" w:hAnsi="宋体" w:cs="Arial"/>
                  <w:snapToGrid w:val="0"/>
                  <w:sz w:val="20"/>
                </w:rPr>
                <w:t>31</w:t>
              </w:r>
              <w:r w:rsidRPr="007A3177">
                <w:rPr>
                  <w:rFonts w:ascii="宋体" w:hAnsi="宋体" w:cs="Arial" w:hint="eastAsia"/>
                  <w:snapToGrid w:val="0"/>
                  <w:sz w:val="20"/>
                </w:rPr>
                <w:t>日，畅捷通董事会批准依据该计划无偿向</w:t>
              </w:r>
              <w:r w:rsidRPr="007A3177">
                <w:rPr>
                  <w:rFonts w:ascii="宋体" w:hAnsi="宋体" w:cs="Arial"/>
                  <w:snapToGrid w:val="0"/>
                  <w:sz w:val="20"/>
                </w:rPr>
                <w:t>36</w:t>
              </w:r>
              <w:r w:rsidRPr="007A3177">
                <w:rPr>
                  <w:rFonts w:ascii="宋体" w:hAnsi="宋体" w:cs="Arial" w:hint="eastAsia"/>
                  <w:snapToGrid w:val="0"/>
                  <w:sz w:val="20"/>
                </w:rPr>
                <w:t>名激励对象</w:t>
              </w:r>
              <w:r w:rsidRPr="007A3177">
                <w:rPr>
                  <w:rFonts w:ascii="宋体" w:hAnsi="宋体" w:cs="Arial"/>
                  <w:snapToGrid w:val="0"/>
                  <w:sz w:val="20"/>
                </w:rPr>
                <w:t>(</w:t>
              </w:r>
              <w:r w:rsidRPr="007A3177">
                <w:rPr>
                  <w:rFonts w:ascii="宋体" w:hAnsi="宋体" w:cs="Arial" w:hint="eastAsia"/>
                  <w:snapToGrid w:val="0"/>
                  <w:sz w:val="20"/>
                </w:rPr>
                <w:t>包括畅捷通的中高层管理人员、专家及核心骨干</w:t>
              </w:r>
              <w:r w:rsidRPr="007A3177">
                <w:rPr>
                  <w:rFonts w:ascii="宋体" w:hAnsi="宋体" w:cs="Arial"/>
                  <w:snapToGrid w:val="0"/>
                  <w:sz w:val="20"/>
                </w:rPr>
                <w:t>)</w:t>
              </w:r>
              <w:r w:rsidRPr="007A3177">
                <w:rPr>
                  <w:rFonts w:ascii="宋体" w:hAnsi="宋体" w:cs="Arial" w:hint="eastAsia"/>
                  <w:snapToGrid w:val="0"/>
                  <w:sz w:val="20"/>
                </w:rPr>
                <w:t>第二次授予附生效条件的信托受益权份额。第二次授予项下目标股票总数为</w:t>
              </w:r>
              <w:r w:rsidRPr="007A3177">
                <w:rPr>
                  <w:rFonts w:ascii="宋体" w:hAnsi="宋体" w:cs="Arial"/>
                  <w:snapToGrid w:val="0"/>
                  <w:sz w:val="20"/>
                </w:rPr>
                <w:t>1,515,000</w:t>
              </w:r>
              <w:r w:rsidRPr="007A3177">
                <w:rPr>
                  <w:rFonts w:ascii="宋体" w:hAnsi="宋体" w:cs="Arial" w:hint="eastAsia"/>
                  <w:snapToGrid w:val="0"/>
                  <w:sz w:val="20"/>
                </w:rPr>
                <w:t>股，占</w:t>
              </w:r>
              <w:r w:rsidRPr="007A3177">
                <w:rPr>
                  <w:rFonts w:ascii="宋体" w:hAnsi="宋体" w:cs="Arial"/>
                  <w:snapToGrid w:val="0"/>
                  <w:sz w:val="20"/>
                </w:rPr>
                <w:t>2016</w:t>
              </w:r>
              <w:r w:rsidRPr="007A3177">
                <w:rPr>
                  <w:rFonts w:ascii="宋体" w:hAnsi="宋体" w:cs="Arial" w:hint="eastAsia"/>
                  <w:snapToGrid w:val="0"/>
                  <w:sz w:val="20"/>
                </w:rPr>
                <w:t>年</w:t>
              </w:r>
              <w:r w:rsidRPr="007A3177">
                <w:rPr>
                  <w:rFonts w:ascii="宋体" w:hAnsi="宋体" w:cs="Arial"/>
                  <w:snapToGrid w:val="0"/>
                  <w:sz w:val="20"/>
                </w:rPr>
                <w:t>3</w:t>
              </w:r>
              <w:r w:rsidRPr="007A3177">
                <w:rPr>
                  <w:rFonts w:ascii="宋体" w:hAnsi="宋体" w:cs="Arial" w:hint="eastAsia"/>
                  <w:snapToGrid w:val="0"/>
                  <w:sz w:val="20"/>
                </w:rPr>
                <w:t>月</w:t>
              </w:r>
              <w:r w:rsidRPr="007A3177">
                <w:rPr>
                  <w:rFonts w:ascii="宋体" w:hAnsi="宋体" w:cs="Arial"/>
                  <w:snapToGrid w:val="0"/>
                  <w:sz w:val="20"/>
                </w:rPr>
                <w:t>31</w:t>
              </w:r>
              <w:r w:rsidRPr="007A3177">
                <w:rPr>
                  <w:rFonts w:ascii="宋体" w:hAnsi="宋体" w:cs="Arial" w:hint="eastAsia"/>
                  <w:snapToGrid w:val="0"/>
                  <w:sz w:val="20"/>
                </w:rPr>
                <w:t>日畅捷通已发行股本总额约</w:t>
              </w:r>
              <w:r w:rsidRPr="007A3177">
                <w:rPr>
                  <w:rFonts w:ascii="宋体" w:hAnsi="宋体" w:cs="Arial"/>
                  <w:snapToGrid w:val="0"/>
                  <w:sz w:val="20"/>
                </w:rPr>
                <w:t>0.7%</w:t>
              </w:r>
              <w:r w:rsidRPr="007A3177">
                <w:rPr>
                  <w:rFonts w:ascii="宋体" w:hAnsi="宋体" w:cs="Arial" w:hint="eastAsia"/>
                  <w:snapToGrid w:val="0"/>
                  <w:sz w:val="20"/>
                </w:rPr>
                <w:t>。</w:t>
              </w:r>
            </w:p>
            <w:p w:rsidR="007A3177" w:rsidRPr="007A3177" w:rsidRDefault="007A3177" w:rsidP="007A3177">
              <w:pPr>
                <w:spacing w:line="260" w:lineRule="exact"/>
                <w:ind w:left="284"/>
                <w:jc w:val="both"/>
                <w:rPr>
                  <w:rFonts w:cs="Arial"/>
                  <w:snapToGrid w:val="0"/>
                  <w:sz w:val="20"/>
                </w:rPr>
              </w:pPr>
            </w:p>
            <w:p w:rsidR="007A3177" w:rsidRPr="007A3177" w:rsidRDefault="007A3177" w:rsidP="00036BDC">
              <w:pPr>
                <w:pStyle w:val="afffffffffffffff"/>
                <w:widowControl/>
                <w:numPr>
                  <w:ilvl w:val="0"/>
                  <w:numId w:val="93"/>
                </w:numPr>
                <w:spacing w:line="260" w:lineRule="exact"/>
                <w:ind w:left="284" w:firstLineChars="0"/>
                <w:contextualSpacing/>
                <w:rPr>
                  <w:rFonts w:ascii="宋体" w:hAnsi="宋体" w:cs="Arial"/>
                  <w:snapToGrid w:val="0"/>
                  <w:sz w:val="20"/>
                </w:rPr>
              </w:pPr>
              <w:r w:rsidRPr="007A3177">
                <w:rPr>
                  <w:rFonts w:ascii="宋体" w:hAnsi="宋体" w:cs="Arial" w:hint="eastAsia"/>
                  <w:snapToGrid w:val="0"/>
                  <w:sz w:val="20"/>
                </w:rPr>
                <w:t>于</w:t>
              </w:r>
              <w:r w:rsidRPr="007A3177">
                <w:rPr>
                  <w:rFonts w:ascii="宋体" w:hAnsi="宋体" w:cs="Arial"/>
                  <w:snapToGrid w:val="0"/>
                  <w:sz w:val="20"/>
                </w:rPr>
                <w:t>2016</w:t>
              </w:r>
              <w:r w:rsidRPr="007A3177">
                <w:rPr>
                  <w:rFonts w:ascii="宋体" w:hAnsi="宋体" w:cs="Arial" w:hint="eastAsia"/>
                  <w:snapToGrid w:val="0"/>
                  <w:sz w:val="20"/>
                </w:rPr>
                <w:t>年</w:t>
              </w:r>
              <w:r w:rsidRPr="007A3177">
                <w:rPr>
                  <w:rFonts w:ascii="宋体" w:hAnsi="宋体" w:cs="Arial"/>
                  <w:snapToGrid w:val="0"/>
                  <w:sz w:val="20"/>
                </w:rPr>
                <w:t>12</w:t>
              </w:r>
              <w:r w:rsidRPr="007A3177">
                <w:rPr>
                  <w:rFonts w:ascii="宋体" w:hAnsi="宋体" w:cs="Arial" w:hint="eastAsia"/>
                  <w:snapToGrid w:val="0"/>
                  <w:sz w:val="20"/>
                </w:rPr>
                <w:t>月</w:t>
              </w:r>
              <w:r w:rsidRPr="007A3177">
                <w:rPr>
                  <w:rFonts w:ascii="宋体" w:hAnsi="宋体" w:cs="Arial"/>
                  <w:snapToGrid w:val="0"/>
                  <w:sz w:val="20"/>
                </w:rPr>
                <w:t>6</w:t>
              </w:r>
              <w:r w:rsidRPr="007A3177">
                <w:rPr>
                  <w:rFonts w:ascii="宋体" w:hAnsi="宋体" w:cs="Arial" w:hint="eastAsia"/>
                  <w:snapToGrid w:val="0"/>
                  <w:sz w:val="20"/>
                </w:rPr>
                <w:t>日，畅捷通董事会批准依据该计划无偿向</w:t>
              </w:r>
              <w:r w:rsidRPr="007A3177">
                <w:rPr>
                  <w:rFonts w:ascii="宋体" w:hAnsi="宋体" w:cs="Arial"/>
                  <w:snapToGrid w:val="0"/>
                  <w:sz w:val="20"/>
                </w:rPr>
                <w:t>30</w:t>
              </w:r>
              <w:r w:rsidRPr="007A3177">
                <w:rPr>
                  <w:rFonts w:ascii="宋体" w:hAnsi="宋体" w:cs="Arial" w:hint="eastAsia"/>
                  <w:snapToGrid w:val="0"/>
                  <w:sz w:val="20"/>
                </w:rPr>
                <w:t>名激励对象</w:t>
              </w:r>
              <w:r w:rsidRPr="007A3177">
                <w:rPr>
                  <w:rFonts w:ascii="宋体" w:hAnsi="宋体" w:cs="Arial"/>
                  <w:snapToGrid w:val="0"/>
                  <w:sz w:val="20"/>
                </w:rPr>
                <w:t>(</w:t>
              </w:r>
              <w:r w:rsidRPr="007A3177">
                <w:rPr>
                  <w:rFonts w:ascii="宋体" w:hAnsi="宋体" w:cs="Arial" w:hint="eastAsia"/>
                  <w:snapToGrid w:val="0"/>
                  <w:sz w:val="20"/>
                </w:rPr>
                <w:t>包括畅捷通的中高层管理人员、专家及核心骨干</w:t>
              </w:r>
              <w:r w:rsidRPr="007A3177">
                <w:rPr>
                  <w:rFonts w:ascii="宋体" w:hAnsi="宋体" w:cs="Arial"/>
                  <w:snapToGrid w:val="0"/>
                  <w:sz w:val="20"/>
                </w:rPr>
                <w:t>)</w:t>
              </w:r>
              <w:r w:rsidRPr="007A3177">
                <w:rPr>
                  <w:rFonts w:ascii="宋体" w:hAnsi="宋体" w:cs="Arial" w:hint="eastAsia"/>
                  <w:snapToGrid w:val="0"/>
                  <w:sz w:val="20"/>
                </w:rPr>
                <w:t>第三次授予附生效条件的信托受益权份额。第三次授予项下目标股票总数为</w:t>
              </w:r>
              <w:r w:rsidRPr="007A3177">
                <w:rPr>
                  <w:rFonts w:ascii="宋体" w:hAnsi="宋体" w:cs="Arial"/>
                  <w:snapToGrid w:val="0"/>
                  <w:sz w:val="20"/>
                </w:rPr>
                <w:t>2,690,000</w:t>
              </w:r>
              <w:r w:rsidRPr="007A3177">
                <w:rPr>
                  <w:rFonts w:ascii="宋体" w:hAnsi="宋体" w:cs="Arial" w:hint="eastAsia"/>
                  <w:snapToGrid w:val="0"/>
                  <w:sz w:val="20"/>
                </w:rPr>
                <w:t>股，占</w:t>
              </w:r>
              <w:r w:rsidRPr="007A3177">
                <w:rPr>
                  <w:rFonts w:ascii="宋体" w:hAnsi="宋体" w:cs="Arial"/>
                  <w:snapToGrid w:val="0"/>
                  <w:sz w:val="20"/>
                </w:rPr>
                <w:t>2016</w:t>
              </w:r>
              <w:r w:rsidRPr="007A3177">
                <w:rPr>
                  <w:rFonts w:ascii="宋体" w:hAnsi="宋体" w:cs="Arial" w:hint="eastAsia"/>
                  <w:snapToGrid w:val="0"/>
                  <w:sz w:val="20"/>
                </w:rPr>
                <w:t>年</w:t>
              </w:r>
              <w:r w:rsidRPr="007A3177">
                <w:rPr>
                  <w:rFonts w:ascii="宋体" w:hAnsi="宋体" w:cs="Arial"/>
                  <w:snapToGrid w:val="0"/>
                  <w:sz w:val="20"/>
                </w:rPr>
                <w:t>12</w:t>
              </w:r>
              <w:r w:rsidRPr="007A3177">
                <w:rPr>
                  <w:rFonts w:ascii="宋体" w:hAnsi="宋体" w:cs="Arial" w:hint="eastAsia"/>
                  <w:snapToGrid w:val="0"/>
                  <w:sz w:val="20"/>
                </w:rPr>
                <w:t>月</w:t>
              </w:r>
              <w:r w:rsidRPr="007A3177">
                <w:rPr>
                  <w:rFonts w:ascii="宋体" w:hAnsi="宋体" w:cs="Arial"/>
                  <w:snapToGrid w:val="0"/>
                  <w:sz w:val="20"/>
                </w:rPr>
                <w:t>6</w:t>
              </w:r>
              <w:r w:rsidRPr="007A3177">
                <w:rPr>
                  <w:rFonts w:ascii="宋体" w:hAnsi="宋体" w:cs="Arial" w:hint="eastAsia"/>
                  <w:snapToGrid w:val="0"/>
                  <w:sz w:val="20"/>
                </w:rPr>
                <w:t>日畅捷通已发行股本总额约</w:t>
              </w:r>
              <w:r w:rsidRPr="007A3177">
                <w:rPr>
                  <w:rFonts w:ascii="宋体" w:hAnsi="宋体" w:cs="Arial"/>
                  <w:snapToGrid w:val="0"/>
                  <w:sz w:val="20"/>
                </w:rPr>
                <w:t>1.24%</w:t>
              </w:r>
              <w:r w:rsidRPr="007A3177">
                <w:rPr>
                  <w:rFonts w:ascii="宋体" w:hAnsi="宋体" w:cs="Arial" w:hint="eastAsia"/>
                  <w:snapToGrid w:val="0"/>
                  <w:sz w:val="20"/>
                </w:rPr>
                <w:t>。</w:t>
              </w:r>
            </w:p>
            <w:p w:rsidR="007A3177" w:rsidRPr="007A3177" w:rsidRDefault="007A3177" w:rsidP="007A3177">
              <w:pPr>
                <w:pStyle w:val="afffffffffffffff"/>
                <w:spacing w:line="260" w:lineRule="exact"/>
                <w:ind w:left="284" w:firstLine="400"/>
                <w:rPr>
                  <w:rFonts w:ascii="宋体" w:hAnsi="宋体" w:cs="Arial"/>
                  <w:snapToGrid w:val="0"/>
                  <w:sz w:val="20"/>
                </w:rPr>
              </w:pPr>
            </w:p>
            <w:p w:rsidR="007A3177" w:rsidRPr="007A3177" w:rsidRDefault="007A3177" w:rsidP="00036BDC">
              <w:pPr>
                <w:pStyle w:val="afffffffffffffff"/>
                <w:widowControl/>
                <w:numPr>
                  <w:ilvl w:val="0"/>
                  <w:numId w:val="93"/>
                </w:numPr>
                <w:spacing w:line="260" w:lineRule="exact"/>
                <w:ind w:left="284" w:firstLineChars="0"/>
                <w:contextualSpacing/>
                <w:rPr>
                  <w:rFonts w:ascii="宋体" w:hAnsi="宋体" w:cs="Arial"/>
                  <w:snapToGrid w:val="0"/>
                  <w:sz w:val="20"/>
                </w:rPr>
              </w:pPr>
              <w:r w:rsidRPr="007A3177">
                <w:rPr>
                  <w:rFonts w:ascii="宋体" w:hAnsi="宋体" w:cs="Arial" w:hint="eastAsia"/>
                  <w:snapToGrid w:val="0"/>
                  <w:sz w:val="20"/>
                </w:rPr>
                <w:t>于</w:t>
              </w:r>
              <w:r w:rsidRPr="007A3177">
                <w:rPr>
                  <w:rFonts w:ascii="宋体" w:hAnsi="宋体" w:cs="Arial"/>
                  <w:snapToGrid w:val="0"/>
                  <w:sz w:val="20"/>
                </w:rPr>
                <w:t>2017</w:t>
              </w:r>
              <w:r w:rsidRPr="007A3177">
                <w:rPr>
                  <w:rFonts w:ascii="宋体" w:hAnsi="宋体" w:cs="Arial" w:hint="eastAsia"/>
                  <w:snapToGrid w:val="0"/>
                  <w:sz w:val="20"/>
                </w:rPr>
                <w:t>年</w:t>
              </w:r>
              <w:r w:rsidRPr="007A3177">
                <w:rPr>
                  <w:rFonts w:ascii="宋体" w:hAnsi="宋体" w:cs="Arial"/>
                  <w:snapToGrid w:val="0"/>
                  <w:sz w:val="20"/>
                </w:rPr>
                <w:t>6</w:t>
              </w:r>
              <w:r w:rsidRPr="007A3177">
                <w:rPr>
                  <w:rFonts w:ascii="宋体" w:hAnsi="宋体" w:cs="Arial" w:hint="eastAsia"/>
                  <w:snapToGrid w:val="0"/>
                  <w:sz w:val="20"/>
                </w:rPr>
                <w:t>月</w:t>
              </w:r>
              <w:r w:rsidRPr="007A3177">
                <w:rPr>
                  <w:rFonts w:ascii="宋体" w:hAnsi="宋体" w:cs="Arial"/>
                  <w:snapToGrid w:val="0"/>
                  <w:sz w:val="20"/>
                </w:rPr>
                <w:t>5</w:t>
              </w:r>
              <w:r w:rsidRPr="007A3177">
                <w:rPr>
                  <w:rFonts w:ascii="宋体" w:hAnsi="宋体" w:cs="Arial" w:hint="eastAsia"/>
                  <w:snapToGrid w:val="0"/>
                  <w:sz w:val="20"/>
                </w:rPr>
                <w:t>日，畅捷通董事会批准依据该计划无偿向</w:t>
              </w:r>
              <w:r w:rsidRPr="007A3177">
                <w:rPr>
                  <w:rFonts w:ascii="宋体" w:hAnsi="宋体" w:cs="Arial"/>
                  <w:snapToGrid w:val="0"/>
                  <w:sz w:val="20"/>
                </w:rPr>
                <w:t>48</w:t>
              </w:r>
              <w:r w:rsidRPr="007A3177">
                <w:rPr>
                  <w:rFonts w:ascii="宋体" w:hAnsi="宋体" w:cs="Arial" w:hint="eastAsia"/>
                  <w:snapToGrid w:val="0"/>
                  <w:sz w:val="20"/>
                </w:rPr>
                <w:t>名激励对象</w:t>
              </w:r>
              <w:r w:rsidRPr="007A3177">
                <w:rPr>
                  <w:rFonts w:ascii="宋体" w:hAnsi="宋体" w:cs="Arial"/>
                  <w:snapToGrid w:val="0"/>
                  <w:sz w:val="20"/>
                </w:rPr>
                <w:t>(</w:t>
              </w:r>
              <w:r w:rsidRPr="007A3177">
                <w:rPr>
                  <w:rFonts w:ascii="宋体" w:hAnsi="宋体" w:cs="Arial" w:hint="eastAsia"/>
                  <w:snapToGrid w:val="0"/>
                  <w:sz w:val="20"/>
                </w:rPr>
                <w:t>包括畅捷通的中高层管理人员、专家及核心骨干</w:t>
              </w:r>
              <w:r w:rsidRPr="007A3177">
                <w:rPr>
                  <w:rFonts w:ascii="宋体" w:hAnsi="宋体" w:cs="Arial"/>
                  <w:snapToGrid w:val="0"/>
                  <w:sz w:val="20"/>
                </w:rPr>
                <w:t>)</w:t>
              </w:r>
              <w:r w:rsidRPr="007A3177">
                <w:rPr>
                  <w:rFonts w:ascii="宋体" w:hAnsi="宋体" w:cs="Arial" w:hint="eastAsia"/>
                  <w:snapToGrid w:val="0"/>
                  <w:sz w:val="20"/>
                </w:rPr>
                <w:t>再次授予附生效条件的信托受益权份额。再次授予项下目标股票总数为</w:t>
              </w:r>
              <w:r w:rsidRPr="007A3177">
                <w:rPr>
                  <w:rFonts w:ascii="宋体" w:hAnsi="宋体" w:cs="Arial"/>
                  <w:snapToGrid w:val="0"/>
                  <w:sz w:val="20"/>
                </w:rPr>
                <w:t>4,071,000</w:t>
              </w:r>
              <w:r w:rsidRPr="007A3177">
                <w:rPr>
                  <w:rFonts w:ascii="宋体" w:hAnsi="宋体" w:cs="Arial" w:hint="eastAsia"/>
                  <w:snapToGrid w:val="0"/>
                  <w:sz w:val="20"/>
                </w:rPr>
                <w:t>股，占</w:t>
              </w:r>
              <w:r w:rsidRPr="007A3177">
                <w:rPr>
                  <w:rFonts w:ascii="宋体" w:hAnsi="宋体" w:cs="Arial"/>
                  <w:snapToGrid w:val="0"/>
                  <w:sz w:val="20"/>
                </w:rPr>
                <w:t>2017</w:t>
              </w:r>
              <w:r w:rsidRPr="007A3177">
                <w:rPr>
                  <w:rFonts w:ascii="宋体" w:hAnsi="宋体" w:cs="Arial" w:hint="eastAsia"/>
                  <w:snapToGrid w:val="0"/>
                  <w:sz w:val="20"/>
                </w:rPr>
                <w:t>年</w:t>
              </w:r>
              <w:r w:rsidRPr="007A3177">
                <w:rPr>
                  <w:rFonts w:ascii="宋体" w:hAnsi="宋体" w:cs="Arial"/>
                  <w:snapToGrid w:val="0"/>
                  <w:sz w:val="20"/>
                </w:rPr>
                <w:t>6</w:t>
              </w:r>
              <w:r w:rsidRPr="007A3177">
                <w:rPr>
                  <w:rFonts w:ascii="宋体" w:hAnsi="宋体" w:cs="Arial" w:hint="eastAsia"/>
                  <w:snapToGrid w:val="0"/>
                  <w:sz w:val="20"/>
                </w:rPr>
                <w:t>月</w:t>
              </w:r>
              <w:r w:rsidRPr="007A3177">
                <w:rPr>
                  <w:rFonts w:ascii="宋体" w:hAnsi="宋体" w:cs="Arial"/>
                  <w:snapToGrid w:val="0"/>
                  <w:sz w:val="20"/>
                </w:rPr>
                <w:t>5</w:t>
              </w:r>
              <w:r w:rsidRPr="007A3177">
                <w:rPr>
                  <w:rFonts w:ascii="宋体" w:hAnsi="宋体" w:cs="Arial" w:hint="eastAsia"/>
                  <w:snapToGrid w:val="0"/>
                  <w:sz w:val="20"/>
                </w:rPr>
                <w:t>日畅捷通已发行股本总额约</w:t>
              </w:r>
              <w:r w:rsidRPr="007A3177">
                <w:rPr>
                  <w:rFonts w:ascii="宋体" w:hAnsi="宋体" w:cs="Arial"/>
                  <w:snapToGrid w:val="0"/>
                  <w:sz w:val="20"/>
                </w:rPr>
                <w:t>1.87%</w:t>
              </w:r>
              <w:r w:rsidRPr="007A3177">
                <w:rPr>
                  <w:rFonts w:ascii="宋体" w:hAnsi="宋体" w:cs="Arial" w:hint="eastAsia"/>
                  <w:snapToGrid w:val="0"/>
                  <w:sz w:val="20"/>
                </w:rPr>
                <w:t>。</w:t>
              </w:r>
            </w:p>
            <w:p w:rsidR="007A3177" w:rsidRPr="007A3177" w:rsidRDefault="007A3177" w:rsidP="007A3177">
              <w:pPr>
                <w:spacing w:line="260" w:lineRule="exact"/>
                <w:ind w:left="284"/>
                <w:jc w:val="both"/>
                <w:rPr>
                  <w:rFonts w:cs="Arial"/>
                  <w:snapToGrid w:val="0"/>
                  <w:sz w:val="20"/>
                </w:rPr>
              </w:pPr>
            </w:p>
            <w:p w:rsidR="007A3177" w:rsidRPr="007A3177" w:rsidRDefault="007A3177" w:rsidP="00036BDC">
              <w:pPr>
                <w:pStyle w:val="afffffffffffffff"/>
                <w:widowControl/>
                <w:numPr>
                  <w:ilvl w:val="0"/>
                  <w:numId w:val="93"/>
                </w:numPr>
                <w:spacing w:line="260" w:lineRule="exact"/>
                <w:ind w:left="284" w:firstLineChars="0"/>
                <w:contextualSpacing/>
                <w:rPr>
                  <w:rFonts w:ascii="宋体" w:hAnsi="宋体" w:cs="Arial"/>
                  <w:snapToGrid w:val="0"/>
                  <w:sz w:val="20"/>
                </w:rPr>
              </w:pPr>
              <w:r w:rsidRPr="007A3177">
                <w:rPr>
                  <w:rFonts w:ascii="宋体" w:hAnsi="宋体" w:cs="Arial" w:hint="eastAsia"/>
                  <w:snapToGrid w:val="0"/>
                  <w:sz w:val="20"/>
                </w:rPr>
                <w:t>部分激励对象已同意放弃该计划项下目标股票总数1,041,400股，因为他们已加入公司新授予的员工长期激励积分计划。取消的信托受益权，作为加速可行权处理，于当期立即确认原本应在剩余等待期内确认的金额。</w:t>
              </w:r>
              <w:r w:rsidRPr="007A3177">
                <w:rPr>
                  <w:rFonts w:cs="Arial" w:hint="eastAsia"/>
                  <w:snapToGrid w:val="0"/>
                  <w:sz w:val="20"/>
                </w:rPr>
                <w:t>该次修订对已授信托受益权份额的公允价值估计并无增量的影响，所采用的计量方法载述如下。</w:t>
              </w:r>
            </w:p>
            <w:p w:rsidR="007A3177" w:rsidRPr="007A3177" w:rsidRDefault="007A3177" w:rsidP="007A3177">
              <w:pPr>
                <w:overflowPunct w:val="0"/>
                <w:autoSpaceDE w:val="0"/>
                <w:autoSpaceDN w:val="0"/>
                <w:snapToGrid w:val="0"/>
                <w:spacing w:line="260" w:lineRule="exact"/>
                <w:ind w:rightChars="-14" w:right="-29" w:firstLine="28"/>
                <w:jc w:val="both"/>
                <w:textAlignment w:val="bottom"/>
                <w:rPr>
                  <w:rFonts w:cs="Arial"/>
                  <w:snapToGrid w:val="0"/>
                  <w:sz w:val="20"/>
                </w:rPr>
              </w:pPr>
            </w:p>
            <w:p w:rsidR="007A3177" w:rsidRPr="007A3177" w:rsidRDefault="007A3177" w:rsidP="007A3177">
              <w:pPr>
                <w:overflowPunct w:val="0"/>
                <w:autoSpaceDE w:val="0"/>
                <w:autoSpaceDN w:val="0"/>
                <w:snapToGrid w:val="0"/>
                <w:spacing w:line="260" w:lineRule="exact"/>
                <w:ind w:rightChars="-14" w:right="-29" w:firstLine="28"/>
                <w:jc w:val="both"/>
                <w:textAlignment w:val="bottom"/>
                <w:rPr>
                  <w:rFonts w:cs="Arial"/>
                  <w:snapToGrid w:val="0"/>
                  <w:sz w:val="20"/>
                </w:rPr>
              </w:pPr>
              <w:r w:rsidRPr="007A3177">
                <w:rPr>
                  <w:rFonts w:cs="Arial" w:hint="eastAsia"/>
                  <w:snapToGrid w:val="0"/>
                  <w:sz w:val="20"/>
                </w:rPr>
                <w:t>于首次授予</w:t>
              </w:r>
              <w:r w:rsidRPr="007A3177">
                <w:rPr>
                  <w:rFonts w:cs="Arial"/>
                  <w:snapToGrid w:val="0"/>
                  <w:sz w:val="20"/>
                </w:rPr>
                <w:t>/</w:t>
              </w:r>
              <w:r w:rsidRPr="007A3177">
                <w:rPr>
                  <w:rFonts w:cs="Arial" w:hint="eastAsia"/>
                  <w:snapToGrid w:val="0"/>
                  <w:sz w:val="20"/>
                </w:rPr>
                <w:t>修订日授予</w:t>
              </w:r>
              <w:r w:rsidRPr="007A3177">
                <w:rPr>
                  <w:rFonts w:cs="Arial"/>
                  <w:snapToGrid w:val="0"/>
                  <w:sz w:val="20"/>
                </w:rPr>
                <w:t>/</w:t>
              </w:r>
              <w:r w:rsidRPr="007A3177">
                <w:rPr>
                  <w:rFonts w:cs="Arial" w:hint="eastAsia"/>
                  <w:snapToGrid w:val="0"/>
                  <w:sz w:val="20"/>
                </w:rPr>
                <w:t>修订的信托受益权份额的公允价值以布莱克－斯科尔斯</w:t>
              </w:r>
              <w:r w:rsidRPr="007A3177">
                <w:rPr>
                  <w:rFonts w:cs="Arial"/>
                  <w:snapToGrid w:val="0"/>
                  <w:sz w:val="20"/>
                </w:rPr>
                <w:t>(Black-Scholes)</w:t>
              </w:r>
              <w:r w:rsidRPr="007A3177">
                <w:rPr>
                  <w:rFonts w:cs="Arial" w:hint="eastAsia"/>
                  <w:snapToGrid w:val="0"/>
                  <w:sz w:val="20"/>
                </w:rPr>
                <w:t>期权定价模型及蒙特卡罗模型，结合授予</w:t>
              </w:r>
              <w:r w:rsidRPr="007A3177">
                <w:rPr>
                  <w:rFonts w:cs="Arial"/>
                  <w:snapToGrid w:val="0"/>
                  <w:sz w:val="20"/>
                </w:rPr>
                <w:t>/</w:t>
              </w:r>
              <w:r w:rsidRPr="007A3177">
                <w:rPr>
                  <w:rFonts w:cs="Arial" w:hint="eastAsia"/>
                  <w:snapToGrid w:val="0"/>
                  <w:sz w:val="20"/>
                </w:rPr>
                <w:t>修订信托受益权份额的条款和条件，做出估计。于首次授予日授予的信托受益权份额的公允价值为人民币</w:t>
              </w:r>
              <w:r w:rsidRPr="007A3177">
                <w:rPr>
                  <w:rFonts w:cs="Arial"/>
                  <w:snapToGrid w:val="0"/>
                  <w:sz w:val="20"/>
                </w:rPr>
                <w:t>427,285,062</w:t>
              </w:r>
              <w:r w:rsidRPr="007A3177">
                <w:rPr>
                  <w:rFonts w:cs="Arial" w:hint="eastAsia"/>
                  <w:snapToGrid w:val="0"/>
                  <w:sz w:val="20"/>
                </w:rPr>
                <w:t>元。下表列示了所用模型的输入变量：</w:t>
              </w:r>
            </w:p>
            <w:p w:rsidR="007A3177" w:rsidRPr="007A3177" w:rsidRDefault="007A3177" w:rsidP="007A3177">
              <w:pPr>
                <w:overflowPunct w:val="0"/>
                <w:autoSpaceDE w:val="0"/>
                <w:autoSpaceDN w:val="0"/>
                <w:snapToGrid w:val="0"/>
                <w:spacing w:line="260" w:lineRule="exact"/>
                <w:ind w:rightChars="-14" w:right="-29" w:firstLine="28"/>
                <w:jc w:val="both"/>
                <w:textAlignment w:val="bottom"/>
                <w:rPr>
                  <w:rFonts w:cs="Arial"/>
                  <w:snapToGrid w:val="0"/>
                  <w:sz w:val="20"/>
                </w:rPr>
              </w:pPr>
            </w:p>
            <w:tbl>
              <w:tblPr>
                <w:tblStyle w:val="g36"/>
                <w:tblW w:w="8155" w:type="dxa"/>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9"/>
                <w:gridCol w:w="3686"/>
              </w:tblGrid>
              <w:tr w:rsidR="007A3177" w:rsidRPr="007A3177" w:rsidTr="003F54E5">
                <w:trPr>
                  <w:trHeight w:val="284"/>
                </w:trPr>
                <w:tc>
                  <w:tcPr>
                    <w:tcW w:w="4469" w:type="dxa"/>
                    <w:vAlign w:val="bottom"/>
                  </w:tcPr>
                  <w:p w:rsidR="007A3177" w:rsidRPr="007A3177" w:rsidRDefault="007A3177" w:rsidP="003F54E5">
                    <w:pPr>
                      <w:autoSpaceDE w:val="0"/>
                      <w:autoSpaceDN w:val="0"/>
                      <w:ind w:leftChars="-39" w:left="-82"/>
                      <w:rPr>
                        <w:rFonts w:cs="Arial"/>
                        <w:sz w:val="20"/>
                      </w:rPr>
                    </w:pPr>
                    <w:r w:rsidRPr="007A3177">
                      <w:rPr>
                        <w:rFonts w:cs="Arial" w:hint="eastAsia"/>
                        <w:sz w:val="20"/>
                      </w:rPr>
                      <w:t>预期分红收益率</w:t>
                    </w:r>
                    <w:r w:rsidRPr="007A3177">
                      <w:rPr>
                        <w:rFonts w:cs="Arial"/>
                        <w:sz w:val="20"/>
                      </w:rPr>
                      <w:t>(%)</w:t>
                    </w:r>
                  </w:p>
                </w:tc>
                <w:tc>
                  <w:tcPr>
                    <w:tcW w:w="3686" w:type="dxa"/>
                    <w:vAlign w:val="bottom"/>
                  </w:tcPr>
                  <w:p w:rsidR="007A3177" w:rsidRPr="007A3177" w:rsidRDefault="007A3177" w:rsidP="003F54E5">
                    <w:pPr>
                      <w:tabs>
                        <w:tab w:val="left" w:pos="2869"/>
                      </w:tabs>
                      <w:autoSpaceDE w:val="0"/>
                      <w:autoSpaceDN w:val="0"/>
                      <w:ind w:rightChars="-45" w:right="-94"/>
                      <w:jc w:val="right"/>
                      <w:rPr>
                        <w:rFonts w:cs="Arial"/>
                        <w:sz w:val="20"/>
                      </w:rPr>
                    </w:pPr>
                    <w:r w:rsidRPr="007A3177">
                      <w:rPr>
                        <w:rFonts w:cs="Arial"/>
                        <w:sz w:val="20"/>
                      </w:rPr>
                      <w:t>0.00%</w:t>
                    </w:r>
                  </w:p>
                </w:tc>
              </w:tr>
              <w:tr w:rsidR="007A3177" w:rsidRPr="007A3177" w:rsidTr="003F54E5">
                <w:trPr>
                  <w:trHeight w:val="284"/>
                </w:trPr>
                <w:tc>
                  <w:tcPr>
                    <w:tcW w:w="4469" w:type="dxa"/>
                    <w:vAlign w:val="bottom"/>
                  </w:tcPr>
                  <w:p w:rsidR="007A3177" w:rsidRPr="007A3177" w:rsidRDefault="007A3177" w:rsidP="003F54E5">
                    <w:pPr>
                      <w:autoSpaceDE w:val="0"/>
                      <w:autoSpaceDN w:val="0"/>
                      <w:ind w:leftChars="-39" w:left="-82"/>
                      <w:rPr>
                        <w:rFonts w:cs="Arial"/>
                        <w:sz w:val="20"/>
                      </w:rPr>
                    </w:pPr>
                    <w:r w:rsidRPr="007A3177">
                      <w:rPr>
                        <w:rFonts w:cs="Arial" w:hint="eastAsia"/>
                        <w:sz w:val="20"/>
                      </w:rPr>
                      <w:t>预期股价波动率</w:t>
                    </w:r>
                    <w:r w:rsidRPr="007A3177">
                      <w:rPr>
                        <w:rFonts w:cs="Arial"/>
                        <w:sz w:val="20"/>
                      </w:rPr>
                      <w:t>(%)</w:t>
                    </w:r>
                  </w:p>
                </w:tc>
                <w:tc>
                  <w:tcPr>
                    <w:tcW w:w="3686" w:type="dxa"/>
                    <w:vAlign w:val="bottom"/>
                  </w:tcPr>
                  <w:p w:rsidR="007A3177" w:rsidRPr="007A3177" w:rsidRDefault="007A3177" w:rsidP="003F54E5">
                    <w:pPr>
                      <w:tabs>
                        <w:tab w:val="left" w:pos="2869"/>
                      </w:tabs>
                      <w:autoSpaceDE w:val="0"/>
                      <w:autoSpaceDN w:val="0"/>
                      <w:ind w:rightChars="-45" w:right="-94"/>
                      <w:jc w:val="right"/>
                      <w:rPr>
                        <w:rFonts w:cs="Arial"/>
                        <w:sz w:val="20"/>
                      </w:rPr>
                    </w:pPr>
                    <w:r w:rsidRPr="007A3177">
                      <w:rPr>
                        <w:rFonts w:cs="Arial"/>
                        <w:sz w:val="20"/>
                      </w:rPr>
                      <w:t>51.50%-63.20%</w:t>
                    </w:r>
                  </w:p>
                </w:tc>
              </w:tr>
              <w:tr w:rsidR="007A3177" w:rsidRPr="007A3177" w:rsidTr="003F54E5">
                <w:trPr>
                  <w:trHeight w:val="284"/>
                </w:trPr>
                <w:tc>
                  <w:tcPr>
                    <w:tcW w:w="4469" w:type="dxa"/>
                    <w:vAlign w:val="bottom"/>
                  </w:tcPr>
                  <w:p w:rsidR="007A3177" w:rsidRPr="007A3177" w:rsidRDefault="007A3177" w:rsidP="003F54E5">
                    <w:pPr>
                      <w:autoSpaceDE w:val="0"/>
                      <w:autoSpaceDN w:val="0"/>
                      <w:ind w:leftChars="-39" w:left="-82"/>
                      <w:rPr>
                        <w:rFonts w:cs="Arial"/>
                        <w:sz w:val="20"/>
                      </w:rPr>
                    </w:pPr>
                    <w:r w:rsidRPr="007A3177">
                      <w:rPr>
                        <w:rFonts w:cs="Arial" w:hint="eastAsia"/>
                        <w:sz w:val="20"/>
                      </w:rPr>
                      <w:t>无风险利率</w:t>
                    </w:r>
                    <w:r w:rsidRPr="007A3177">
                      <w:rPr>
                        <w:rFonts w:cs="Arial"/>
                        <w:sz w:val="20"/>
                      </w:rPr>
                      <w:t>(%)</w:t>
                    </w:r>
                  </w:p>
                </w:tc>
                <w:tc>
                  <w:tcPr>
                    <w:tcW w:w="3686" w:type="dxa"/>
                    <w:vAlign w:val="bottom"/>
                  </w:tcPr>
                  <w:p w:rsidR="007A3177" w:rsidRPr="007A3177" w:rsidRDefault="007A3177" w:rsidP="003F54E5">
                    <w:pPr>
                      <w:tabs>
                        <w:tab w:val="left" w:pos="2869"/>
                      </w:tabs>
                      <w:autoSpaceDE w:val="0"/>
                      <w:autoSpaceDN w:val="0"/>
                      <w:ind w:rightChars="-45" w:right="-94"/>
                      <w:jc w:val="right"/>
                      <w:rPr>
                        <w:rFonts w:cs="Arial"/>
                        <w:sz w:val="20"/>
                      </w:rPr>
                    </w:pPr>
                    <w:r w:rsidRPr="007A3177">
                      <w:rPr>
                        <w:rFonts w:cs="Arial"/>
                        <w:sz w:val="20"/>
                      </w:rPr>
                      <w:t>0.157%-1.815%</w:t>
                    </w:r>
                  </w:p>
                </w:tc>
              </w:tr>
              <w:tr w:rsidR="007A3177" w:rsidRPr="007A3177" w:rsidTr="003F54E5">
                <w:trPr>
                  <w:trHeight w:val="284"/>
                </w:trPr>
                <w:tc>
                  <w:tcPr>
                    <w:tcW w:w="4469" w:type="dxa"/>
                    <w:vAlign w:val="bottom"/>
                  </w:tcPr>
                  <w:p w:rsidR="007A3177" w:rsidRPr="007A3177" w:rsidRDefault="007A3177" w:rsidP="003F54E5">
                    <w:pPr>
                      <w:autoSpaceDE w:val="0"/>
                      <w:autoSpaceDN w:val="0"/>
                      <w:ind w:leftChars="-39" w:left="-82"/>
                      <w:rPr>
                        <w:rFonts w:cs="Arial"/>
                        <w:sz w:val="20"/>
                      </w:rPr>
                    </w:pPr>
                    <w:r w:rsidRPr="007A3177">
                      <w:rPr>
                        <w:rFonts w:cs="Arial" w:hint="eastAsia"/>
                        <w:sz w:val="20"/>
                      </w:rPr>
                      <w:t>股票预期期限</w:t>
                    </w:r>
                    <w:r w:rsidRPr="007A3177">
                      <w:rPr>
                        <w:rFonts w:cs="Arial"/>
                        <w:sz w:val="20"/>
                      </w:rPr>
                      <w:t>(</w:t>
                    </w:r>
                    <w:r w:rsidRPr="007A3177">
                      <w:rPr>
                        <w:rFonts w:cs="Arial" w:hint="eastAsia"/>
                        <w:sz w:val="20"/>
                      </w:rPr>
                      <w:t>年</w:t>
                    </w:r>
                    <w:r w:rsidRPr="007A3177">
                      <w:rPr>
                        <w:rFonts w:cs="Arial"/>
                        <w:sz w:val="20"/>
                      </w:rPr>
                      <w:t>)</w:t>
                    </w:r>
                  </w:p>
                </w:tc>
                <w:tc>
                  <w:tcPr>
                    <w:tcW w:w="3686" w:type="dxa"/>
                    <w:vAlign w:val="bottom"/>
                  </w:tcPr>
                  <w:p w:rsidR="007A3177" w:rsidRPr="007A3177" w:rsidRDefault="007A3177" w:rsidP="003F54E5">
                    <w:pPr>
                      <w:tabs>
                        <w:tab w:val="left" w:pos="2869"/>
                      </w:tabs>
                      <w:autoSpaceDE w:val="0"/>
                      <w:autoSpaceDN w:val="0"/>
                      <w:ind w:rightChars="-45" w:right="-94"/>
                      <w:jc w:val="right"/>
                      <w:rPr>
                        <w:rFonts w:cs="Arial"/>
                        <w:sz w:val="20"/>
                      </w:rPr>
                    </w:pPr>
                    <w:r w:rsidRPr="007A3177">
                      <w:rPr>
                        <w:rFonts w:cs="Arial"/>
                        <w:sz w:val="20"/>
                      </w:rPr>
                      <w:t>1-10</w:t>
                    </w:r>
                  </w:p>
                </w:tc>
              </w:tr>
              <w:tr w:rsidR="007A3177" w:rsidRPr="007A3177" w:rsidTr="003F54E5">
                <w:trPr>
                  <w:trHeight w:val="284"/>
                </w:trPr>
                <w:tc>
                  <w:tcPr>
                    <w:tcW w:w="4469" w:type="dxa"/>
                    <w:vAlign w:val="bottom"/>
                  </w:tcPr>
                  <w:p w:rsidR="007A3177" w:rsidRPr="007A3177" w:rsidRDefault="007A3177" w:rsidP="003F54E5">
                    <w:pPr>
                      <w:autoSpaceDE w:val="0"/>
                      <w:autoSpaceDN w:val="0"/>
                      <w:ind w:leftChars="-39" w:left="-82"/>
                      <w:rPr>
                        <w:rFonts w:cs="Arial"/>
                        <w:sz w:val="20"/>
                      </w:rPr>
                    </w:pPr>
                    <w:r w:rsidRPr="007A3177">
                      <w:rPr>
                        <w:rFonts w:cs="Arial" w:hint="eastAsia"/>
                        <w:sz w:val="20"/>
                      </w:rPr>
                      <w:t>加权平均股票价格</w:t>
                    </w:r>
                    <w:r w:rsidRPr="007A3177">
                      <w:rPr>
                        <w:rFonts w:cs="Arial"/>
                        <w:sz w:val="20"/>
                      </w:rPr>
                      <w:t>(</w:t>
                    </w:r>
                    <w:r w:rsidRPr="007A3177">
                      <w:rPr>
                        <w:rFonts w:cs="Arial" w:hint="eastAsia"/>
                        <w:sz w:val="20"/>
                      </w:rPr>
                      <w:t>人民币元</w:t>
                    </w:r>
                    <w:r w:rsidRPr="007A3177">
                      <w:rPr>
                        <w:rFonts w:cs="Arial"/>
                        <w:sz w:val="20"/>
                      </w:rPr>
                      <w:t>/</w:t>
                    </w:r>
                    <w:r w:rsidRPr="007A3177">
                      <w:rPr>
                        <w:rFonts w:cs="Arial" w:hint="eastAsia"/>
                        <w:sz w:val="20"/>
                      </w:rPr>
                      <w:t>股</w:t>
                    </w:r>
                    <w:r w:rsidRPr="007A3177">
                      <w:rPr>
                        <w:rFonts w:cs="Arial"/>
                        <w:sz w:val="20"/>
                      </w:rPr>
                      <w:t>)</w:t>
                    </w:r>
                  </w:p>
                </w:tc>
                <w:tc>
                  <w:tcPr>
                    <w:tcW w:w="3686" w:type="dxa"/>
                    <w:vAlign w:val="bottom"/>
                  </w:tcPr>
                  <w:p w:rsidR="007A3177" w:rsidRPr="007A3177" w:rsidRDefault="007A3177" w:rsidP="003F54E5">
                    <w:pPr>
                      <w:tabs>
                        <w:tab w:val="left" w:pos="2869"/>
                      </w:tabs>
                      <w:autoSpaceDE w:val="0"/>
                      <w:autoSpaceDN w:val="0"/>
                      <w:ind w:rightChars="-45" w:right="-94"/>
                      <w:jc w:val="right"/>
                      <w:rPr>
                        <w:rFonts w:cs="Arial"/>
                        <w:sz w:val="20"/>
                      </w:rPr>
                    </w:pPr>
                    <w:r w:rsidRPr="007A3177">
                      <w:rPr>
                        <w:rFonts w:cs="Arial"/>
                        <w:sz w:val="20"/>
                      </w:rPr>
                      <w:t>24.60</w:t>
                    </w:r>
                  </w:p>
                </w:tc>
              </w:tr>
            </w:tbl>
            <w:p w:rsidR="007A3177" w:rsidRPr="007A3177" w:rsidRDefault="007A3177" w:rsidP="007A3177">
              <w:pPr>
                <w:overflowPunct w:val="0"/>
                <w:autoSpaceDE w:val="0"/>
                <w:autoSpaceDN w:val="0"/>
                <w:snapToGrid w:val="0"/>
                <w:spacing w:line="260" w:lineRule="exact"/>
                <w:ind w:rightChars="-14" w:right="-29" w:firstLine="28"/>
                <w:jc w:val="both"/>
                <w:textAlignment w:val="bottom"/>
                <w:rPr>
                  <w:rFonts w:cs="Arial"/>
                  <w:snapToGrid w:val="0"/>
                  <w:sz w:val="20"/>
                </w:rPr>
              </w:pPr>
            </w:p>
            <w:p w:rsidR="007A3177" w:rsidRPr="007A3177" w:rsidRDefault="007A3177" w:rsidP="007A3177">
              <w:pPr>
                <w:overflowPunct w:val="0"/>
                <w:autoSpaceDE w:val="0"/>
                <w:autoSpaceDN w:val="0"/>
                <w:snapToGrid w:val="0"/>
                <w:spacing w:line="260" w:lineRule="exact"/>
                <w:ind w:rightChars="-14" w:right="-29" w:firstLine="28"/>
                <w:jc w:val="both"/>
                <w:textAlignment w:val="bottom"/>
                <w:rPr>
                  <w:rFonts w:cs="Arial"/>
                  <w:snapToGrid w:val="0"/>
                  <w:sz w:val="20"/>
                </w:rPr>
              </w:pPr>
              <w:r w:rsidRPr="007A3177">
                <w:rPr>
                  <w:rFonts w:cs="Arial" w:hint="eastAsia"/>
                  <w:snapToGrid w:val="0"/>
                  <w:sz w:val="20"/>
                </w:rPr>
                <w:t>除上述首次授予外，向畅捷通美国若干激励对象授予</w:t>
              </w:r>
              <w:r w:rsidRPr="007A3177">
                <w:rPr>
                  <w:rFonts w:cs="Arial"/>
                  <w:snapToGrid w:val="0"/>
                  <w:sz w:val="20"/>
                </w:rPr>
                <w:t>/</w:t>
              </w:r>
              <w:r w:rsidRPr="007A3177">
                <w:rPr>
                  <w:rFonts w:cs="Arial" w:hint="eastAsia"/>
                  <w:snapToGrid w:val="0"/>
                  <w:sz w:val="20"/>
                </w:rPr>
                <w:t>修订的信托受益权份额的公允价值基于畅捷通股份于授予</w:t>
              </w:r>
              <w:r w:rsidRPr="007A3177">
                <w:rPr>
                  <w:rFonts w:cs="Arial"/>
                  <w:snapToGrid w:val="0"/>
                  <w:sz w:val="20"/>
                </w:rPr>
                <w:t>/</w:t>
              </w:r>
              <w:r w:rsidRPr="007A3177">
                <w:rPr>
                  <w:rFonts w:cs="Arial" w:hint="eastAsia"/>
                  <w:snapToGrid w:val="0"/>
                  <w:sz w:val="20"/>
                </w:rPr>
                <w:t>修订日之市值计算，该等授予项下已授信托受益权份额的公允价值为人民币</w:t>
              </w:r>
              <w:r w:rsidRPr="007A3177">
                <w:rPr>
                  <w:rFonts w:cs="Arial"/>
                  <w:snapToGrid w:val="0"/>
                  <w:sz w:val="20"/>
                </w:rPr>
                <w:t>1,251,036</w:t>
              </w:r>
              <w:r w:rsidRPr="007A3177">
                <w:rPr>
                  <w:rFonts w:cs="Arial" w:hint="eastAsia"/>
                  <w:snapToGrid w:val="0"/>
                  <w:sz w:val="20"/>
                </w:rPr>
                <w:t>元。</w:t>
              </w:r>
            </w:p>
            <w:p w:rsidR="007A3177" w:rsidRPr="007A3177" w:rsidRDefault="007A3177" w:rsidP="007A3177">
              <w:pPr>
                <w:overflowPunct w:val="0"/>
                <w:autoSpaceDE w:val="0"/>
                <w:autoSpaceDN w:val="0"/>
                <w:snapToGrid w:val="0"/>
                <w:spacing w:line="260" w:lineRule="exact"/>
                <w:ind w:rightChars="-14" w:right="-29" w:firstLine="28"/>
                <w:jc w:val="both"/>
                <w:textAlignment w:val="bottom"/>
                <w:rPr>
                  <w:rFonts w:cs="Arial"/>
                  <w:snapToGrid w:val="0"/>
                  <w:sz w:val="20"/>
                </w:rPr>
              </w:pPr>
            </w:p>
            <w:p w:rsidR="007A3177" w:rsidRPr="007A3177" w:rsidRDefault="007A3177" w:rsidP="007A3177">
              <w:pPr>
                <w:overflowPunct w:val="0"/>
                <w:autoSpaceDE w:val="0"/>
                <w:autoSpaceDN w:val="0"/>
                <w:snapToGrid w:val="0"/>
                <w:spacing w:line="260" w:lineRule="exact"/>
                <w:ind w:rightChars="-14" w:right="-29" w:firstLine="28"/>
                <w:jc w:val="both"/>
                <w:textAlignment w:val="bottom"/>
                <w:rPr>
                  <w:rFonts w:cs="Arial"/>
                  <w:snapToGrid w:val="0"/>
                  <w:sz w:val="20"/>
                </w:rPr>
              </w:pPr>
              <w:r w:rsidRPr="007A3177">
                <w:rPr>
                  <w:rFonts w:cs="Arial" w:hint="eastAsia"/>
                  <w:snapToGrid w:val="0"/>
                  <w:sz w:val="20"/>
                </w:rPr>
                <w:t>于第二次授予日授予</w:t>
              </w:r>
              <w:r w:rsidRPr="007A3177">
                <w:rPr>
                  <w:rFonts w:cs="Arial"/>
                  <w:snapToGrid w:val="0"/>
                  <w:sz w:val="20"/>
                </w:rPr>
                <w:t>/</w:t>
              </w:r>
              <w:r w:rsidRPr="007A3177">
                <w:rPr>
                  <w:rFonts w:cs="Arial" w:hint="eastAsia"/>
                  <w:snapToGrid w:val="0"/>
                  <w:sz w:val="20"/>
                </w:rPr>
                <w:t>修订的信托受益权份额的公允价值基于畅捷通股份于授予</w:t>
              </w:r>
              <w:r w:rsidRPr="007A3177">
                <w:rPr>
                  <w:rFonts w:cs="Arial"/>
                  <w:snapToGrid w:val="0"/>
                  <w:sz w:val="20"/>
                </w:rPr>
                <w:t>/</w:t>
              </w:r>
              <w:r w:rsidRPr="007A3177">
                <w:rPr>
                  <w:rFonts w:cs="Arial" w:hint="eastAsia"/>
                  <w:snapToGrid w:val="0"/>
                  <w:sz w:val="20"/>
                </w:rPr>
                <w:t>修订日期之市值计算，该等授予项下已授信托受益权份额的公允价值为人民币</w:t>
              </w:r>
              <w:r w:rsidRPr="007A3177">
                <w:rPr>
                  <w:rFonts w:cs="Arial"/>
                  <w:snapToGrid w:val="0"/>
                  <w:sz w:val="20"/>
                </w:rPr>
                <w:t>14,795,908</w:t>
              </w:r>
              <w:r w:rsidRPr="007A3177">
                <w:rPr>
                  <w:rFonts w:cs="Arial" w:hint="eastAsia"/>
                  <w:snapToGrid w:val="0"/>
                  <w:sz w:val="20"/>
                </w:rPr>
                <w:t>元。</w:t>
              </w:r>
            </w:p>
            <w:p w:rsidR="007A3177" w:rsidRPr="007A3177" w:rsidRDefault="007A3177" w:rsidP="007A3177">
              <w:pPr>
                <w:overflowPunct w:val="0"/>
                <w:autoSpaceDE w:val="0"/>
                <w:autoSpaceDN w:val="0"/>
                <w:snapToGrid w:val="0"/>
                <w:spacing w:line="260" w:lineRule="exact"/>
                <w:ind w:rightChars="-14" w:right="-29" w:firstLine="28"/>
                <w:jc w:val="both"/>
                <w:textAlignment w:val="bottom"/>
                <w:rPr>
                  <w:rFonts w:cs="Arial"/>
                  <w:snapToGrid w:val="0"/>
                  <w:sz w:val="20"/>
                </w:rPr>
              </w:pPr>
            </w:p>
            <w:p w:rsidR="007A3177" w:rsidRPr="007A3177" w:rsidRDefault="007A3177" w:rsidP="007A3177">
              <w:pPr>
                <w:overflowPunct w:val="0"/>
                <w:autoSpaceDE w:val="0"/>
                <w:autoSpaceDN w:val="0"/>
                <w:snapToGrid w:val="0"/>
                <w:spacing w:line="260" w:lineRule="exact"/>
                <w:ind w:rightChars="-14" w:right="-29" w:firstLine="28"/>
                <w:jc w:val="both"/>
                <w:textAlignment w:val="bottom"/>
                <w:rPr>
                  <w:rFonts w:cs="Arial"/>
                  <w:snapToGrid w:val="0"/>
                  <w:sz w:val="20"/>
                </w:rPr>
              </w:pPr>
              <w:r w:rsidRPr="007A3177">
                <w:rPr>
                  <w:rFonts w:cs="Arial" w:hint="eastAsia"/>
                  <w:snapToGrid w:val="0"/>
                  <w:sz w:val="20"/>
                </w:rPr>
                <w:t>于第三次授予日授予的信托受益权份额的公允价值基于畅捷通股份于授予日期之市值计算，该等授予项下已授信托受益权份额的公允价值为人民币</w:t>
              </w:r>
              <w:r w:rsidRPr="007A3177">
                <w:rPr>
                  <w:rFonts w:cs="Arial"/>
                  <w:snapToGrid w:val="0"/>
                  <w:sz w:val="20"/>
                </w:rPr>
                <w:t>23,786,325</w:t>
              </w:r>
              <w:r w:rsidRPr="007A3177">
                <w:rPr>
                  <w:rFonts w:cs="Arial" w:hint="eastAsia"/>
                  <w:snapToGrid w:val="0"/>
                  <w:sz w:val="20"/>
                </w:rPr>
                <w:t>元。</w:t>
              </w:r>
            </w:p>
            <w:p w:rsidR="007A3177" w:rsidRPr="007A3177" w:rsidRDefault="007A3177" w:rsidP="007A3177">
              <w:pPr>
                <w:overflowPunct w:val="0"/>
                <w:autoSpaceDE w:val="0"/>
                <w:autoSpaceDN w:val="0"/>
                <w:snapToGrid w:val="0"/>
                <w:spacing w:line="260" w:lineRule="exact"/>
                <w:ind w:rightChars="-14" w:right="-29" w:firstLine="28"/>
                <w:jc w:val="both"/>
                <w:textAlignment w:val="bottom"/>
                <w:rPr>
                  <w:rFonts w:cs="Arial"/>
                  <w:snapToGrid w:val="0"/>
                  <w:sz w:val="20"/>
                </w:rPr>
              </w:pPr>
            </w:p>
            <w:p w:rsidR="007A3177" w:rsidRPr="007A3177" w:rsidRDefault="007A3177" w:rsidP="007A3177">
              <w:pPr>
                <w:overflowPunct w:val="0"/>
                <w:autoSpaceDE w:val="0"/>
                <w:autoSpaceDN w:val="0"/>
                <w:snapToGrid w:val="0"/>
                <w:spacing w:line="260" w:lineRule="exact"/>
                <w:ind w:rightChars="-14" w:right="-29" w:firstLine="28"/>
                <w:jc w:val="both"/>
                <w:textAlignment w:val="bottom"/>
                <w:rPr>
                  <w:rFonts w:cs="Arial"/>
                  <w:snapToGrid w:val="0"/>
                  <w:sz w:val="20"/>
                </w:rPr>
              </w:pPr>
              <w:r w:rsidRPr="007A3177">
                <w:rPr>
                  <w:rFonts w:cs="Arial" w:hint="eastAsia"/>
                  <w:snapToGrid w:val="0"/>
                  <w:sz w:val="20"/>
                </w:rPr>
                <w:lastRenderedPageBreak/>
                <w:t>于第四次授予日授予的信托受益权份额的公允价值基于畅捷通股份于授予日期之市值计算，该等授予项下已授信托受益权份额的公允价值为人民币</w:t>
              </w:r>
              <w:r w:rsidRPr="007A3177">
                <w:rPr>
                  <w:rFonts w:cs="Arial"/>
                  <w:snapToGrid w:val="0"/>
                  <w:sz w:val="20"/>
                </w:rPr>
                <w:t>28,415,361</w:t>
              </w:r>
              <w:r w:rsidRPr="007A3177">
                <w:rPr>
                  <w:rFonts w:cs="Arial" w:hint="eastAsia"/>
                  <w:snapToGrid w:val="0"/>
                  <w:sz w:val="20"/>
                </w:rPr>
                <w:t>元。</w:t>
              </w:r>
            </w:p>
            <w:p w:rsidR="007A3177" w:rsidRPr="007A3177" w:rsidRDefault="007A3177" w:rsidP="007A3177">
              <w:pPr>
                <w:overflowPunct w:val="0"/>
                <w:autoSpaceDE w:val="0"/>
                <w:autoSpaceDN w:val="0"/>
                <w:snapToGrid w:val="0"/>
                <w:spacing w:line="260" w:lineRule="exact"/>
                <w:ind w:rightChars="-14" w:right="-29" w:firstLine="28"/>
                <w:jc w:val="both"/>
                <w:textAlignment w:val="bottom"/>
                <w:rPr>
                  <w:rFonts w:cs="Arial"/>
                  <w:snapToGrid w:val="0"/>
                  <w:sz w:val="20"/>
                </w:rPr>
              </w:pPr>
            </w:p>
            <w:p w:rsidR="007A3177" w:rsidRPr="007A3177" w:rsidRDefault="007A3177" w:rsidP="007A3177">
              <w:pPr>
                <w:overflowPunct w:val="0"/>
                <w:autoSpaceDE w:val="0"/>
                <w:autoSpaceDN w:val="0"/>
                <w:snapToGrid w:val="0"/>
                <w:spacing w:line="260" w:lineRule="exact"/>
                <w:ind w:rightChars="-14" w:right="-29" w:firstLine="28"/>
                <w:jc w:val="both"/>
                <w:textAlignment w:val="bottom"/>
                <w:rPr>
                  <w:rFonts w:cs="Arial"/>
                  <w:snapToGrid w:val="0"/>
                  <w:sz w:val="20"/>
                </w:rPr>
              </w:pPr>
              <w:r w:rsidRPr="007A3177">
                <w:rPr>
                  <w:rFonts w:cs="Arial" w:hint="eastAsia"/>
                  <w:snapToGrid w:val="0"/>
                  <w:sz w:val="20"/>
                </w:rPr>
                <w:t>2019年度和2018年度，畅捷通均未购买任何股票用于股份支付。</w:t>
              </w:r>
            </w:p>
            <w:p w:rsidR="007A3177" w:rsidRPr="007A3177" w:rsidRDefault="007A3177" w:rsidP="007A3177">
              <w:pPr>
                <w:overflowPunct w:val="0"/>
                <w:autoSpaceDE w:val="0"/>
                <w:autoSpaceDN w:val="0"/>
                <w:snapToGrid w:val="0"/>
                <w:spacing w:line="260" w:lineRule="exact"/>
                <w:ind w:left="686" w:rightChars="-14" w:right="-29" w:firstLine="28"/>
                <w:jc w:val="both"/>
                <w:textAlignment w:val="bottom"/>
                <w:rPr>
                  <w:rFonts w:cs="Arial"/>
                  <w:snapToGrid w:val="0"/>
                  <w:sz w:val="20"/>
                </w:rPr>
              </w:pPr>
            </w:p>
            <w:p w:rsidR="007A3177" w:rsidRPr="007A3177" w:rsidRDefault="007A3177" w:rsidP="007A3177">
              <w:pPr>
                <w:overflowPunct w:val="0"/>
                <w:autoSpaceDE w:val="0"/>
                <w:autoSpaceDN w:val="0"/>
                <w:adjustRightInd w:val="0"/>
                <w:snapToGrid w:val="0"/>
                <w:jc w:val="both"/>
                <w:textAlignment w:val="bottom"/>
                <w:rPr>
                  <w:rFonts w:cs="Arial"/>
                  <w:snapToGrid w:val="0"/>
                  <w:sz w:val="20"/>
                  <w:szCs w:val="20"/>
                </w:rPr>
              </w:pPr>
              <w:r w:rsidRPr="007A3177">
                <w:rPr>
                  <w:rFonts w:cs="Arial"/>
                  <w:snapToGrid w:val="0"/>
                  <w:sz w:val="20"/>
                </w:rPr>
                <w:t>201</w:t>
              </w:r>
              <w:r w:rsidRPr="007A3177">
                <w:rPr>
                  <w:rFonts w:cs="Arial" w:hint="eastAsia"/>
                  <w:snapToGrid w:val="0"/>
                  <w:sz w:val="20"/>
                </w:rPr>
                <w:t>9年度，部分激励对象因未达到如解锁条件导致该计划下48,0</w:t>
              </w:r>
              <w:r w:rsidRPr="007A3177">
                <w:rPr>
                  <w:rFonts w:cs="Arial"/>
                  <w:snapToGrid w:val="0"/>
                  <w:sz w:val="20"/>
                </w:rPr>
                <w:t>00</w:t>
              </w:r>
              <w:r w:rsidRPr="007A3177">
                <w:rPr>
                  <w:rFonts w:cs="Arial" w:hint="eastAsia"/>
                  <w:snapToGrid w:val="0"/>
                  <w:sz w:val="20"/>
                </w:rPr>
                <w:t>股目标股票</w:t>
              </w:r>
              <w:r w:rsidRPr="007A3177">
                <w:rPr>
                  <w:rFonts w:cs="Arial"/>
                  <w:snapToGrid w:val="0"/>
                  <w:sz w:val="20"/>
                </w:rPr>
                <w:t>(201</w:t>
              </w:r>
              <w:r w:rsidRPr="007A3177">
                <w:rPr>
                  <w:rFonts w:cs="Arial" w:hint="eastAsia"/>
                  <w:snapToGrid w:val="0"/>
                  <w:sz w:val="20"/>
                </w:rPr>
                <w:t>8年：612,5</w:t>
              </w:r>
              <w:r w:rsidRPr="007A3177">
                <w:rPr>
                  <w:rFonts w:cs="Arial"/>
                  <w:snapToGrid w:val="0"/>
                  <w:sz w:val="20"/>
                </w:rPr>
                <w:t>00</w:t>
              </w:r>
              <w:r w:rsidRPr="007A3177">
                <w:rPr>
                  <w:rFonts w:cs="Arial" w:hint="eastAsia"/>
                  <w:snapToGrid w:val="0"/>
                  <w:sz w:val="20"/>
                </w:rPr>
                <w:t>股</w:t>
              </w:r>
              <w:r w:rsidRPr="007A3177">
                <w:rPr>
                  <w:rFonts w:cs="Arial"/>
                  <w:snapToGrid w:val="0"/>
                  <w:sz w:val="20"/>
                </w:rPr>
                <w:t>)</w:t>
              </w:r>
              <w:r w:rsidRPr="007A3177">
                <w:rPr>
                  <w:rFonts w:cs="Arial" w:hint="eastAsia"/>
                  <w:snapToGrid w:val="0"/>
                  <w:sz w:val="20"/>
                </w:rPr>
                <w:t>失效；部分激励对象同意放弃信托受益权而加入公司新授予的员工长期激励积分计划，导致该计划下1,041,400股目标股票取消。</w:t>
              </w:r>
            </w:p>
            <w:p w:rsidR="007A3177" w:rsidRPr="007A3177" w:rsidRDefault="007A3177" w:rsidP="007A3177">
              <w:pPr>
                <w:jc w:val="both"/>
                <w:rPr>
                  <w:rFonts w:cs="Arial"/>
                  <w:snapToGrid w:val="0"/>
                  <w:sz w:val="20"/>
                  <w:szCs w:val="20"/>
                </w:rPr>
              </w:pPr>
            </w:p>
            <w:p w:rsidR="007A3177" w:rsidRPr="007A3177" w:rsidRDefault="007A3177" w:rsidP="007A3177">
              <w:pPr>
                <w:jc w:val="both"/>
                <w:rPr>
                  <w:rFonts w:cs="Arial"/>
                  <w:snapToGrid w:val="0"/>
                  <w:sz w:val="20"/>
                  <w:szCs w:val="20"/>
                </w:rPr>
              </w:pPr>
              <w:r w:rsidRPr="007A3177">
                <w:rPr>
                  <w:rFonts w:cs="Arial" w:hint="eastAsia"/>
                  <w:snapToGrid w:val="0"/>
                  <w:sz w:val="20"/>
                  <w:szCs w:val="20"/>
                </w:rPr>
                <w:t>第二次授予中，除部分已终止或解除与畅捷通的劳动合同(该等人士已不具备激励对象资格)的激励对象、部分激励对象同意放弃信托受益权而加入公司新授予的员工长期激励积分计划及部分激励对象紧接2019年3月31日前的上一年度个人绩效考核未达到年度业绩完成率及格线外，其余激励对象获授信托受益权份额40%的解锁条件于2019年3月31日达成。</w:t>
              </w:r>
            </w:p>
            <w:p w:rsidR="007A3177" w:rsidRPr="007A3177" w:rsidRDefault="007A3177" w:rsidP="007A3177">
              <w:pPr>
                <w:jc w:val="both"/>
                <w:rPr>
                  <w:rFonts w:cs="Arial"/>
                  <w:snapToGrid w:val="0"/>
                  <w:sz w:val="20"/>
                  <w:szCs w:val="20"/>
                </w:rPr>
              </w:pPr>
            </w:p>
            <w:p w:rsidR="007A3177" w:rsidRDefault="007A3177" w:rsidP="007A3177">
              <w:pPr>
                <w:jc w:val="both"/>
                <w:rPr>
                  <w:rFonts w:cs="Arial"/>
                  <w:snapToGrid w:val="0"/>
                  <w:sz w:val="20"/>
                  <w:szCs w:val="20"/>
                </w:rPr>
              </w:pPr>
              <w:r w:rsidRPr="007A3177">
                <w:rPr>
                  <w:rFonts w:cs="Arial" w:hint="eastAsia"/>
                  <w:snapToGrid w:val="0"/>
                  <w:sz w:val="20"/>
                  <w:szCs w:val="20"/>
                </w:rPr>
                <w:t>第四次授予中，除部分已终止或解除与畅捷通的劳动合同(该等人士已不具备激励对象资格)的激励对象、部分激励对象同意放弃信托受益权而加入公司新授予的员工长期激励积分计划及部分激励对象紧接2019年6月5日前的上一年度个人绩效考核未达到年度业绩完成率及格线外，其余激励对象获授信托受益权份额30%的解锁条件于2019年6月5日达成。</w:t>
              </w:r>
            </w:p>
            <w:p w:rsidR="009124F1" w:rsidRDefault="009124F1" w:rsidP="007A3177">
              <w:pPr>
                <w:jc w:val="both"/>
                <w:rPr>
                  <w:rFonts w:cs="Arial"/>
                  <w:snapToGrid w:val="0"/>
                  <w:sz w:val="20"/>
                  <w:szCs w:val="20"/>
                </w:rPr>
              </w:pPr>
            </w:p>
            <w:p w:rsidR="009124F1" w:rsidRPr="007A3177" w:rsidRDefault="009124F1" w:rsidP="009124F1">
              <w:pPr>
                <w:overflowPunct w:val="0"/>
                <w:autoSpaceDE w:val="0"/>
                <w:autoSpaceDN w:val="0"/>
                <w:adjustRightInd w:val="0"/>
                <w:snapToGrid w:val="0"/>
                <w:jc w:val="both"/>
                <w:textAlignment w:val="bottom"/>
                <w:rPr>
                  <w:rFonts w:cs="Arial"/>
                  <w:snapToGrid w:val="0"/>
                  <w:sz w:val="20"/>
                  <w:szCs w:val="20"/>
                </w:rPr>
              </w:pPr>
              <w:r w:rsidRPr="007A3177">
                <w:rPr>
                  <w:rFonts w:cs="Arial" w:hint="eastAsia"/>
                  <w:snapToGrid w:val="0"/>
                  <w:sz w:val="20"/>
                  <w:szCs w:val="20"/>
                </w:rPr>
                <w:t>2019年度，总额为人民币18,108,247元(2018年：人民币105,455,671元)的1,464,300股(2018年：6,314,800股)目标股票已根据该计划解锁，导致自资本公积股份支付中转出人民币11,095,363元(2018年：人民币122,395,260元)，差额人民币7,012,884(2018年：人民币16,393,589元)记入资本公积股本溢价。</w:t>
              </w:r>
            </w:p>
            <w:p w:rsidR="009124F1" w:rsidRPr="007A3177" w:rsidRDefault="009124F1" w:rsidP="009124F1">
              <w:pPr>
                <w:overflowPunct w:val="0"/>
                <w:autoSpaceDE w:val="0"/>
                <w:autoSpaceDN w:val="0"/>
                <w:adjustRightInd w:val="0"/>
                <w:snapToGrid w:val="0"/>
                <w:jc w:val="both"/>
                <w:textAlignment w:val="bottom"/>
                <w:rPr>
                  <w:rFonts w:cs="Arial"/>
                  <w:snapToGrid w:val="0"/>
                  <w:sz w:val="20"/>
                  <w:szCs w:val="20"/>
                </w:rPr>
              </w:pPr>
            </w:p>
            <w:p w:rsidR="00182B92" w:rsidRPr="004067BF" w:rsidRDefault="009124F1" w:rsidP="00182B92">
              <w:pPr>
                <w:overflowPunct w:val="0"/>
                <w:autoSpaceDE w:val="0"/>
                <w:autoSpaceDN w:val="0"/>
                <w:adjustRightInd w:val="0"/>
                <w:snapToGrid w:val="0"/>
                <w:jc w:val="both"/>
                <w:textAlignment w:val="bottom"/>
                <w:rPr>
                  <w:rFonts w:ascii="Arial" w:eastAsia="黑体" w:hAnsi="Arial" w:cs="Arial"/>
                  <w:snapToGrid w:val="0"/>
                  <w:sz w:val="20"/>
                  <w:szCs w:val="20"/>
                </w:rPr>
              </w:pPr>
              <w:r w:rsidRPr="007A3177">
                <w:rPr>
                  <w:rFonts w:cs="Arial" w:hint="eastAsia"/>
                  <w:snapToGrid w:val="0"/>
                  <w:sz w:val="20"/>
                  <w:szCs w:val="20"/>
                </w:rPr>
                <w:t>2019年度，畅捷通已确认股份支付费用人民币6,281,027元(2018年：人民币31,798,181元)。其中，于损益中确认股份支付费用人民币6,281,027元(2018年：人民币29,275,937元)，未以资本化计入开发支出 (2018年：人民币2,522,244元)。</w:t>
              </w:r>
            </w:p>
            <w:p w:rsidR="00ED2DC7" w:rsidRDefault="000D0A99">
              <w:pPr>
                <w:rPr>
                  <w:szCs w:val="21"/>
                </w:rPr>
              </w:pPr>
            </w:p>
          </w:sdtContent>
        </w:sdt>
      </w:sdtContent>
    </w:sdt>
    <w:p w:rsidR="00ED2DC7" w:rsidRDefault="00ED2DC7">
      <w:pPr>
        <w:rPr>
          <w:szCs w:val="21"/>
        </w:rPr>
      </w:pPr>
    </w:p>
    <w:sdt>
      <w:sdtPr>
        <w:rPr>
          <w:rFonts w:ascii="宋体" w:hAnsi="宋体" w:cs="宋体" w:hint="eastAsia"/>
          <w:b w:val="0"/>
          <w:bCs w:val="0"/>
          <w:kern w:val="0"/>
          <w:szCs w:val="24"/>
        </w:rPr>
        <w:alias w:val="模块:以现金结算的股份支付情况"/>
        <w:tag w:val="_GBC_e8a0c7296300463994744e877be96129"/>
        <w:id w:val="1023129088"/>
        <w:lock w:val="sdtLocked"/>
        <w:placeholder>
          <w:docPart w:val="GBC22222222222222222222222222222"/>
        </w:placeholder>
      </w:sdtPr>
      <w:sdtEndPr>
        <w:rPr>
          <w:rFonts w:asciiTheme="minorHAnsi" w:eastAsiaTheme="minorEastAsia" w:hAnsiTheme="minorHAnsi" w:cstheme="minorBidi"/>
          <w:szCs w:val="21"/>
        </w:rPr>
      </w:sdtEndPr>
      <w:sdtContent>
        <w:p w:rsidR="00ED2DC7" w:rsidRDefault="00ED2DC7" w:rsidP="00036BDC">
          <w:pPr>
            <w:pStyle w:val="affffffffffffffffff1"/>
            <w:numPr>
              <w:ilvl w:val="0"/>
              <w:numId w:val="91"/>
            </w:numPr>
          </w:pPr>
          <w:r>
            <w:rPr>
              <w:rFonts w:hint="eastAsia"/>
            </w:rPr>
            <w:t>以现金结算的股份支付情况</w:t>
          </w:r>
        </w:p>
        <w:sdt>
          <w:sdtPr>
            <w:alias w:val="是否适用：以现金结算的股份支付情况[双击切换]"/>
            <w:tag w:val="_GBC_aa134f611909486bb3a2d6258058f88d"/>
            <w:id w:val="-865053573"/>
            <w:lock w:val="sdtContentLocked"/>
            <w:placeholder>
              <w:docPart w:val="GBC22222222222222222222222222222"/>
            </w:placeholder>
          </w:sdtPr>
          <w:sdtContent>
            <w:p w:rsidR="00426920" w:rsidRDefault="00ED2DC7" w:rsidP="00426920">
              <w:r>
                <w:fldChar w:fldCharType="begin"/>
              </w:r>
              <w:r w:rsidR="00426920">
                <w:instrText xml:space="preserve"> MACROBUTTON  SnrToggleCheckbox □适用 </w:instrText>
              </w:r>
              <w:r>
                <w:fldChar w:fldCharType="end"/>
              </w:r>
              <w:r>
                <w:fldChar w:fldCharType="begin"/>
              </w:r>
              <w:r w:rsidR="00426920">
                <w:instrText xml:space="preserve"> MACROBUTTON  SnrToggleCheckbox √不适用 </w:instrText>
              </w:r>
              <w:r>
                <w:fldChar w:fldCharType="end"/>
              </w:r>
            </w:p>
          </w:sdtContent>
        </w:sdt>
        <w:p w:rsidR="00ED2DC7" w:rsidRDefault="000D0A99">
          <w:pPr>
            <w:rPr>
              <w:szCs w:val="21"/>
            </w:rPr>
          </w:pPr>
        </w:p>
      </w:sdtContent>
    </w:sdt>
    <w:p w:rsidR="00ED2DC7" w:rsidRDefault="00ED2DC7">
      <w:pPr>
        <w:rPr>
          <w:szCs w:val="21"/>
        </w:rPr>
      </w:pPr>
    </w:p>
    <w:sdt>
      <w:sdtPr>
        <w:rPr>
          <w:rFonts w:ascii="宋体" w:hAnsi="宋体" w:cs="宋体" w:hint="eastAsia"/>
          <w:b w:val="0"/>
          <w:bCs w:val="0"/>
          <w:kern w:val="0"/>
          <w:szCs w:val="24"/>
        </w:rPr>
        <w:alias w:val="模块:股份支付的修改、终止情况"/>
        <w:tag w:val="_GBC_ae153862caea4ff5a57470b6f594f167"/>
        <w:id w:val="-555394825"/>
        <w:lock w:val="sdtLocked"/>
        <w:placeholder>
          <w:docPart w:val="GBC22222222222222222222222222222"/>
        </w:placeholder>
      </w:sdtPr>
      <w:sdtEndPr>
        <w:rPr>
          <w:rFonts w:asciiTheme="minorHAnsi" w:eastAsiaTheme="minorEastAsia" w:hAnsiTheme="minorHAnsi" w:cstheme="minorBidi" w:hint="default"/>
          <w:szCs w:val="21"/>
        </w:rPr>
      </w:sdtEndPr>
      <w:sdtContent>
        <w:p w:rsidR="00ED2DC7" w:rsidRDefault="00ED2DC7" w:rsidP="00036BDC">
          <w:pPr>
            <w:pStyle w:val="affffffffffffffffff1"/>
            <w:numPr>
              <w:ilvl w:val="0"/>
              <w:numId w:val="91"/>
            </w:numPr>
          </w:pPr>
          <w:r>
            <w:rPr>
              <w:rFonts w:hint="eastAsia"/>
            </w:rPr>
            <w:t>股份支付的修改、终止情况</w:t>
          </w:r>
        </w:p>
        <w:sdt>
          <w:sdtPr>
            <w:alias w:val="是否适用：股份支付的修改、终止情况[双击切换]"/>
            <w:tag w:val="_GBC_794cdee9be3b4b478fa83b914d22ea66"/>
            <w:id w:val="-1881390448"/>
            <w:lock w:val="sdtContentLocked"/>
            <w:placeholder>
              <w:docPart w:val="GBC22222222222222222222222222222"/>
            </w:placeholder>
          </w:sdtPr>
          <w:sdtContent>
            <w:p w:rsidR="00ED2DC7" w:rsidRDefault="00ED2DC7" w:rsidP="00426920">
              <w:pPr>
                <w:rPr>
                  <w:rFonts w:asciiTheme="minorHAnsi" w:eastAsiaTheme="minorEastAsia" w:hAnsiTheme="minorHAnsi" w:cstheme="minorBidi"/>
                  <w:szCs w:val="21"/>
                </w:rPr>
              </w:pPr>
              <w:r>
                <w:fldChar w:fldCharType="begin"/>
              </w:r>
              <w:r w:rsidR="00426920">
                <w:instrText xml:space="preserve"> MACROBUTTON  SnrToggleCheckbox □适用 </w:instrText>
              </w:r>
              <w:r>
                <w:fldChar w:fldCharType="end"/>
              </w:r>
              <w:r>
                <w:fldChar w:fldCharType="begin"/>
              </w:r>
              <w:r w:rsidR="00426920">
                <w:instrText xml:space="preserve"> MACROBUTTON  SnrToggleCheckbox √不适用 </w:instrText>
              </w:r>
              <w:r>
                <w:fldChar w:fldCharType="end"/>
              </w:r>
            </w:p>
          </w:sdtContent>
        </w:sdt>
      </w:sdtContent>
    </w:sdt>
    <w:p w:rsidR="00ED2DC7" w:rsidRDefault="00ED2DC7">
      <w:pPr>
        <w:ind w:firstLineChars="100" w:firstLine="210"/>
        <w:rPr>
          <w:szCs w:val="21"/>
        </w:rPr>
      </w:pPr>
    </w:p>
    <w:sdt>
      <w:sdtPr>
        <w:rPr>
          <w:rFonts w:ascii="宋体" w:hAnsi="宋体" w:cs="宋体"/>
          <w:b w:val="0"/>
          <w:bCs w:val="0"/>
          <w:kern w:val="0"/>
          <w:szCs w:val="21"/>
        </w:rPr>
        <w:alias w:val="模块:股份支付的其他情况说明"/>
        <w:tag w:val="_GBC_d9554f13d811474eab6fe8ab0c5c8811"/>
        <w:id w:val="-777337928"/>
        <w:lock w:val="sdtLocked"/>
        <w:placeholder>
          <w:docPart w:val="GBC22222222222222222222222222222"/>
        </w:placeholder>
      </w:sdtPr>
      <w:sdtContent>
        <w:p w:rsidR="00ED2DC7" w:rsidRDefault="00ED2DC7" w:rsidP="00036BDC">
          <w:pPr>
            <w:pStyle w:val="affffffffffffffffff1"/>
            <w:numPr>
              <w:ilvl w:val="0"/>
              <w:numId w:val="91"/>
            </w:numPr>
            <w:rPr>
              <w:szCs w:val="21"/>
            </w:rPr>
          </w:pPr>
          <w:r>
            <w:rPr>
              <w:rFonts w:hint="eastAsia"/>
              <w:szCs w:val="21"/>
            </w:rPr>
            <w:t>其他</w:t>
          </w:r>
        </w:p>
        <w:sdt>
          <w:sdtPr>
            <w:alias w:val="是否适用：股份支付的其他情况说明[双击切换]"/>
            <w:tag w:val="_GBC_b8be1a19715949cab94dc673580d61a2"/>
            <w:id w:val="1150488187"/>
            <w:lock w:val="sdtContentLocked"/>
            <w:placeholder>
              <w:docPart w:val="GBC22222222222222222222222222222"/>
            </w:placeholder>
          </w:sdtPr>
          <w:sdtContent>
            <w:p w:rsidR="00ED2DC7" w:rsidRDefault="00ED2DC7" w:rsidP="00426920">
              <w:pPr>
                <w:rPr>
                  <w:szCs w:val="21"/>
                </w:rPr>
              </w:pPr>
              <w:r>
                <w:fldChar w:fldCharType="begin"/>
              </w:r>
              <w:r w:rsidR="00426920">
                <w:instrText xml:space="preserve"> MACROBUTTON  SnrToggleCheckbox □适用 </w:instrText>
              </w:r>
              <w:r>
                <w:fldChar w:fldCharType="end"/>
              </w:r>
              <w:r>
                <w:fldChar w:fldCharType="begin"/>
              </w:r>
              <w:r w:rsidR="00426920">
                <w:instrText xml:space="preserve"> MACROBUTTON  SnrToggleCheckbox √不适用 </w:instrText>
              </w:r>
              <w:r>
                <w:fldChar w:fldCharType="end"/>
              </w:r>
            </w:p>
          </w:sdtContent>
        </w:sdt>
      </w:sdtContent>
    </w:sdt>
    <w:p w:rsidR="00ED2DC7" w:rsidRDefault="00ED2DC7">
      <w:pPr>
        <w:rPr>
          <w:szCs w:val="21"/>
        </w:rPr>
      </w:pPr>
    </w:p>
    <w:p w:rsidR="00ED2DC7" w:rsidRDefault="00ED2DC7" w:rsidP="00036BDC">
      <w:pPr>
        <w:pStyle w:val="affffffffffffffffff0"/>
        <w:numPr>
          <w:ilvl w:val="0"/>
          <w:numId w:val="35"/>
        </w:numPr>
      </w:pPr>
      <w:r>
        <w:rPr>
          <w:rFonts w:hint="eastAsia"/>
        </w:rPr>
        <w:t>承诺及或有事项</w:t>
      </w:r>
    </w:p>
    <w:p w:rsidR="00ED2DC7" w:rsidRDefault="00ED2DC7" w:rsidP="00036BDC">
      <w:pPr>
        <w:pStyle w:val="affffffffffffffffff1"/>
        <w:numPr>
          <w:ilvl w:val="0"/>
          <w:numId w:val="94"/>
        </w:numPr>
        <w:rPr>
          <w:rFonts w:ascii="宋体" w:hAnsi="宋体"/>
        </w:rPr>
      </w:pPr>
      <w:r>
        <w:rPr>
          <w:rFonts w:ascii="宋体" w:hAnsi="宋体" w:hint="eastAsia"/>
        </w:rPr>
        <w:t>重要承诺事项</w:t>
      </w:r>
    </w:p>
    <w:sdt>
      <w:sdtPr>
        <w:alias w:val="是否适用：重要承诺事项[双击切换]"/>
        <w:tag w:val="_GBC_3ee02d2bff5e4dd69f75cc6148bdda8f"/>
        <w:id w:val="-1082056213"/>
        <w:lock w:val="sdtContentLocked"/>
        <w:placeholder>
          <w:docPart w:val="GBC22222222222222222222222222222"/>
        </w:placeholder>
      </w:sdtPr>
      <w:sdtContent>
        <w:p w:rsidR="00ED2DC7" w:rsidRDefault="00ED2DC7">
          <w:r>
            <w:fldChar w:fldCharType="begin"/>
          </w:r>
          <w:r w:rsidR="00426920">
            <w:instrText xml:space="preserve"> MACROBUTTON  SnrToggleCheckbox √适用 </w:instrText>
          </w:r>
          <w:r>
            <w:fldChar w:fldCharType="end"/>
          </w:r>
          <w:r>
            <w:fldChar w:fldCharType="begin"/>
          </w:r>
          <w:r w:rsidR="00426920">
            <w:instrText xml:space="preserve"> MACROBUTTON  SnrToggleCheckbox □不适用 </w:instrText>
          </w:r>
          <w:r>
            <w:fldChar w:fldCharType="end"/>
          </w:r>
        </w:p>
      </w:sdtContent>
    </w:sdt>
    <w:sdt>
      <w:sdtPr>
        <w:rPr>
          <w:rFonts w:hint="eastAsia"/>
          <w:b/>
          <w:bCs/>
        </w:rPr>
        <w:alias w:val="模块:资产负债表日存在的重大承诺"/>
        <w:tag w:val="_GBC_bd716a4e356044ddb7c8207f0edef471"/>
        <w:id w:val="1116635986"/>
        <w:lock w:val="sdtLocked"/>
        <w:placeholder>
          <w:docPart w:val="GBC22222222222222222222222222222"/>
        </w:placeholder>
      </w:sdtPr>
      <w:sdtEndPr>
        <w:rPr>
          <w:rFonts w:asciiTheme="minorHAnsi" w:hAnsiTheme="minorHAnsi" w:cstheme="minorBidi"/>
          <w:b w:val="0"/>
          <w:bCs w:val="0"/>
        </w:rPr>
      </w:sdtEndPr>
      <w:sdtContent>
        <w:p w:rsidR="00ED2DC7" w:rsidRDefault="00ED2DC7">
          <w:r>
            <w:rPr>
              <w:rFonts w:hint="eastAsia"/>
            </w:rPr>
            <w:t>资产负债表日存在的对外重要承诺、性质、金额</w:t>
          </w:r>
        </w:p>
        <w:sdt>
          <w:sdtPr>
            <w:rPr>
              <w:rFonts w:cs="Cambria"/>
              <w:bCs/>
            </w:rPr>
            <w:alias w:val="资产负债表日存在的重要承诺"/>
            <w:tag w:val="_GBC_b0cd6a8a93e142e5926c06e28f794da3"/>
            <w:id w:val="-2140415037"/>
            <w:lock w:val="sdtLocked"/>
            <w:placeholder>
              <w:docPart w:val="GBC22222222222222222222222222222"/>
            </w:placeholder>
          </w:sdtPr>
          <w:sdtContent>
            <w:p w:rsidR="009124F1" w:rsidRPr="004067BF" w:rsidRDefault="009124F1" w:rsidP="009124F1">
              <w:pPr>
                <w:overflowPunct w:val="0"/>
                <w:autoSpaceDE w:val="0"/>
                <w:autoSpaceDN w:val="0"/>
                <w:adjustRightInd w:val="0"/>
                <w:snapToGrid w:val="0"/>
                <w:ind w:left="720" w:hanging="720"/>
                <w:jc w:val="both"/>
                <w:rPr>
                  <w:rFonts w:ascii="Arial" w:eastAsia="黑体" w:hAnsi="Arial" w:cs="Arial"/>
                  <w:snapToGrid w:val="0"/>
                  <w:sz w:val="20"/>
                  <w:szCs w:val="20"/>
                </w:rPr>
              </w:pPr>
            </w:p>
            <w:tbl>
              <w:tblPr>
                <w:tblStyle w:val="g35"/>
                <w:tblW w:w="8445" w:type="dxa"/>
                <w:tblLayout w:type="fixed"/>
                <w:tblCellMar>
                  <w:left w:w="0" w:type="dxa"/>
                  <w:right w:w="0" w:type="dxa"/>
                </w:tblCellMar>
                <w:tblLook w:val="04A0" w:firstRow="1" w:lastRow="0" w:firstColumn="1" w:lastColumn="0" w:noHBand="0" w:noVBand="1"/>
                <w:tblCaption w:val="85承诺事项"/>
              </w:tblPr>
              <w:tblGrid>
                <w:gridCol w:w="4252"/>
                <w:gridCol w:w="113"/>
                <w:gridCol w:w="1871"/>
                <w:gridCol w:w="113"/>
                <w:gridCol w:w="113"/>
                <w:gridCol w:w="1870"/>
                <w:gridCol w:w="113"/>
              </w:tblGrid>
              <w:tr w:rsidR="009124F1" w:rsidRPr="009124F1" w:rsidTr="003F54E5">
                <w:tc>
                  <w:tcPr>
                    <w:tcW w:w="4252" w:type="dxa"/>
                    <w:shd w:val="clear" w:color="auto" w:fill="auto"/>
                    <w:noWrap/>
                    <w:vAlign w:val="bottom"/>
                    <w:hideMark/>
                  </w:tcPr>
                  <w:p w:rsidR="009124F1" w:rsidRPr="009124F1" w:rsidRDefault="009124F1" w:rsidP="003F54E5">
                    <w:pPr>
                      <w:kinsoku w:val="0"/>
                      <w:overflowPunct w:val="0"/>
                      <w:autoSpaceDE w:val="0"/>
                      <w:autoSpaceDN w:val="0"/>
                      <w:adjustRightInd w:val="0"/>
                      <w:snapToGrid w:val="0"/>
                      <w:jc w:val="right"/>
                      <w:rPr>
                        <w:rFonts w:cs="Arial"/>
                        <w:sz w:val="20"/>
                        <w:szCs w:val="20"/>
                      </w:rPr>
                    </w:pPr>
                    <w:bookmarkStart w:id="224" w:name="_Hlk16500015"/>
                  </w:p>
                </w:tc>
                <w:tc>
                  <w:tcPr>
                    <w:tcW w:w="113" w:type="dxa"/>
                    <w:shd w:val="clear" w:color="auto" w:fill="auto"/>
                    <w:vAlign w:val="bottom"/>
                    <w:hideMark/>
                  </w:tcPr>
                  <w:p w:rsidR="009124F1" w:rsidRPr="009124F1" w:rsidRDefault="009124F1" w:rsidP="003F54E5">
                    <w:pPr>
                      <w:kinsoku w:val="0"/>
                      <w:overflowPunct w:val="0"/>
                      <w:autoSpaceDE w:val="0"/>
                      <w:autoSpaceDN w:val="0"/>
                      <w:adjustRightInd w:val="0"/>
                      <w:snapToGrid w:val="0"/>
                      <w:rPr>
                        <w:rFonts w:cs="Arial"/>
                        <w:sz w:val="20"/>
                        <w:szCs w:val="20"/>
                      </w:rPr>
                    </w:pPr>
                    <w:r w:rsidRPr="009124F1">
                      <w:rPr>
                        <w:rFonts w:cs="Arial"/>
                        <w:color w:val="000000"/>
                        <w:sz w:val="20"/>
                        <w:szCs w:val="20"/>
                      </w:rPr>
                      <w:t xml:space="preserve"> </w:t>
                    </w:r>
                  </w:p>
                </w:tc>
                <w:tc>
                  <w:tcPr>
                    <w:tcW w:w="1871" w:type="dxa"/>
                    <w:shd w:val="clear" w:color="auto" w:fill="auto"/>
                    <w:noWrap/>
                    <w:hideMark/>
                  </w:tcPr>
                  <w:p w:rsidR="009124F1" w:rsidRPr="009124F1" w:rsidRDefault="009124F1" w:rsidP="003F54E5">
                    <w:pPr>
                      <w:kinsoku w:val="0"/>
                      <w:overflowPunct w:val="0"/>
                      <w:autoSpaceDE w:val="0"/>
                      <w:autoSpaceDN w:val="0"/>
                      <w:adjustRightInd w:val="0"/>
                      <w:snapToGrid w:val="0"/>
                      <w:jc w:val="right"/>
                      <w:rPr>
                        <w:rFonts w:cs="Arial"/>
                        <w:color w:val="000000"/>
                        <w:sz w:val="20"/>
                        <w:szCs w:val="20"/>
                      </w:rPr>
                    </w:pPr>
                    <w:r w:rsidRPr="009124F1">
                      <w:rPr>
                        <w:rFonts w:cs="Arial"/>
                        <w:color w:val="000000"/>
                        <w:sz w:val="20"/>
                        <w:szCs w:val="20"/>
                      </w:rPr>
                      <w:t>2019年</w:t>
                    </w:r>
                    <w:r w:rsidRPr="009124F1">
                      <w:rPr>
                        <w:rFonts w:cs="Arial" w:hint="eastAsia"/>
                        <w:color w:val="000000"/>
                        <w:sz w:val="20"/>
                        <w:szCs w:val="20"/>
                      </w:rPr>
                      <w:t>6月3</w:t>
                    </w:r>
                    <w:r w:rsidRPr="009124F1">
                      <w:rPr>
                        <w:rFonts w:cs="Arial"/>
                        <w:color w:val="000000"/>
                        <w:sz w:val="20"/>
                        <w:szCs w:val="20"/>
                      </w:rPr>
                      <w:t>0</w:t>
                    </w:r>
                    <w:r w:rsidRPr="009124F1">
                      <w:rPr>
                        <w:rFonts w:cs="Arial" w:hint="eastAsia"/>
                        <w:color w:val="000000"/>
                        <w:sz w:val="20"/>
                        <w:szCs w:val="20"/>
                      </w:rPr>
                      <w:t>日</w:t>
                    </w:r>
                  </w:p>
                </w:tc>
                <w:tc>
                  <w:tcPr>
                    <w:tcW w:w="113" w:type="dxa"/>
                    <w:shd w:val="clear" w:color="auto" w:fill="auto"/>
                    <w:hideMark/>
                  </w:tcPr>
                  <w:p w:rsidR="009124F1" w:rsidRPr="009124F1" w:rsidRDefault="009124F1" w:rsidP="003F54E5">
                    <w:pPr>
                      <w:kinsoku w:val="0"/>
                      <w:overflowPunct w:val="0"/>
                      <w:autoSpaceDE w:val="0"/>
                      <w:autoSpaceDN w:val="0"/>
                      <w:adjustRightInd w:val="0"/>
                      <w:snapToGrid w:val="0"/>
                      <w:jc w:val="right"/>
                      <w:rPr>
                        <w:rFonts w:cs="Arial"/>
                        <w:color w:val="000000"/>
                        <w:sz w:val="20"/>
                        <w:szCs w:val="20"/>
                      </w:rPr>
                    </w:pPr>
                    <w:r w:rsidRPr="009124F1">
                      <w:rPr>
                        <w:rFonts w:cs="Arial"/>
                        <w:color w:val="000000"/>
                        <w:sz w:val="20"/>
                        <w:szCs w:val="20"/>
                      </w:rPr>
                      <w:t xml:space="preserve"> </w:t>
                    </w:r>
                  </w:p>
                </w:tc>
                <w:tc>
                  <w:tcPr>
                    <w:tcW w:w="113" w:type="dxa"/>
                    <w:shd w:val="clear" w:color="auto" w:fill="auto"/>
                    <w:hideMark/>
                  </w:tcPr>
                  <w:p w:rsidR="009124F1" w:rsidRPr="009124F1" w:rsidRDefault="009124F1" w:rsidP="003F54E5">
                    <w:pPr>
                      <w:kinsoku w:val="0"/>
                      <w:overflowPunct w:val="0"/>
                      <w:autoSpaceDE w:val="0"/>
                      <w:autoSpaceDN w:val="0"/>
                      <w:adjustRightInd w:val="0"/>
                      <w:snapToGrid w:val="0"/>
                      <w:jc w:val="right"/>
                      <w:rPr>
                        <w:rFonts w:cs="Arial"/>
                        <w:sz w:val="20"/>
                        <w:szCs w:val="20"/>
                      </w:rPr>
                    </w:pPr>
                    <w:r w:rsidRPr="009124F1">
                      <w:rPr>
                        <w:rFonts w:cs="Arial"/>
                        <w:color w:val="000000"/>
                        <w:sz w:val="20"/>
                        <w:szCs w:val="20"/>
                      </w:rPr>
                      <w:t xml:space="preserve"> </w:t>
                    </w:r>
                  </w:p>
                </w:tc>
                <w:tc>
                  <w:tcPr>
                    <w:tcW w:w="1870" w:type="dxa"/>
                    <w:shd w:val="clear" w:color="auto" w:fill="auto"/>
                    <w:noWrap/>
                    <w:hideMark/>
                  </w:tcPr>
                  <w:p w:rsidR="009124F1" w:rsidRPr="009124F1" w:rsidRDefault="009124F1" w:rsidP="003F54E5">
                    <w:pPr>
                      <w:kinsoku w:val="0"/>
                      <w:overflowPunct w:val="0"/>
                      <w:autoSpaceDE w:val="0"/>
                      <w:autoSpaceDN w:val="0"/>
                      <w:adjustRightInd w:val="0"/>
                      <w:snapToGrid w:val="0"/>
                      <w:jc w:val="right"/>
                      <w:rPr>
                        <w:rFonts w:cs="Arial"/>
                        <w:color w:val="000000"/>
                        <w:sz w:val="20"/>
                        <w:szCs w:val="20"/>
                      </w:rPr>
                    </w:pPr>
                    <w:r w:rsidRPr="009124F1">
                      <w:rPr>
                        <w:rFonts w:cs="Arial"/>
                        <w:color w:val="000000"/>
                        <w:sz w:val="20"/>
                        <w:szCs w:val="20"/>
                      </w:rPr>
                      <w:t>2018年</w:t>
                    </w:r>
                    <w:r w:rsidRPr="009124F1">
                      <w:rPr>
                        <w:rFonts w:cs="Arial" w:hint="eastAsia"/>
                        <w:color w:val="000000"/>
                        <w:sz w:val="20"/>
                        <w:szCs w:val="20"/>
                      </w:rPr>
                      <w:t>1</w:t>
                    </w:r>
                    <w:r w:rsidRPr="009124F1">
                      <w:rPr>
                        <w:rFonts w:cs="Arial"/>
                        <w:color w:val="000000"/>
                        <w:sz w:val="20"/>
                        <w:szCs w:val="20"/>
                      </w:rPr>
                      <w:t>2</w:t>
                    </w:r>
                    <w:r w:rsidRPr="009124F1">
                      <w:rPr>
                        <w:rFonts w:cs="Arial" w:hint="eastAsia"/>
                        <w:color w:val="000000"/>
                        <w:sz w:val="20"/>
                        <w:szCs w:val="20"/>
                      </w:rPr>
                      <w:t>月3</w:t>
                    </w:r>
                    <w:r w:rsidRPr="009124F1">
                      <w:rPr>
                        <w:rFonts w:cs="Arial"/>
                        <w:color w:val="000000"/>
                        <w:sz w:val="20"/>
                        <w:szCs w:val="20"/>
                      </w:rPr>
                      <w:t>1</w:t>
                    </w:r>
                    <w:r w:rsidRPr="009124F1">
                      <w:rPr>
                        <w:rFonts w:cs="Arial" w:hint="eastAsia"/>
                        <w:color w:val="000000"/>
                        <w:sz w:val="20"/>
                        <w:szCs w:val="20"/>
                      </w:rPr>
                      <w:t>日</w:t>
                    </w:r>
                  </w:p>
                </w:tc>
                <w:tc>
                  <w:tcPr>
                    <w:tcW w:w="113" w:type="dxa"/>
                    <w:shd w:val="clear" w:color="auto" w:fill="auto"/>
                    <w:noWrap/>
                    <w:vAlign w:val="center"/>
                    <w:hideMark/>
                  </w:tcPr>
                  <w:p w:rsidR="009124F1" w:rsidRPr="009124F1" w:rsidRDefault="009124F1" w:rsidP="003F54E5">
                    <w:pPr>
                      <w:kinsoku w:val="0"/>
                      <w:overflowPunct w:val="0"/>
                      <w:autoSpaceDE w:val="0"/>
                      <w:autoSpaceDN w:val="0"/>
                      <w:adjustRightInd w:val="0"/>
                      <w:snapToGrid w:val="0"/>
                      <w:jc w:val="right"/>
                      <w:rPr>
                        <w:rFonts w:cs="Arial"/>
                        <w:color w:val="000000"/>
                        <w:sz w:val="20"/>
                        <w:szCs w:val="20"/>
                      </w:rPr>
                    </w:pPr>
                    <w:r w:rsidRPr="009124F1">
                      <w:rPr>
                        <w:rFonts w:cs="Arial"/>
                        <w:color w:val="000000"/>
                        <w:sz w:val="20"/>
                        <w:szCs w:val="20"/>
                      </w:rPr>
                      <w:t xml:space="preserve"> </w:t>
                    </w:r>
                  </w:p>
                </w:tc>
              </w:tr>
              <w:tr w:rsidR="009124F1" w:rsidRPr="009124F1" w:rsidTr="003F54E5">
                <w:tc>
                  <w:tcPr>
                    <w:tcW w:w="4252" w:type="dxa"/>
                    <w:shd w:val="clear" w:color="auto" w:fill="auto"/>
                    <w:noWrap/>
                    <w:vAlign w:val="bottom"/>
                    <w:hideMark/>
                  </w:tcPr>
                  <w:p w:rsidR="009124F1" w:rsidRPr="009124F1" w:rsidRDefault="009124F1" w:rsidP="003F54E5">
                    <w:pPr>
                      <w:kinsoku w:val="0"/>
                      <w:overflowPunct w:val="0"/>
                      <w:autoSpaceDE w:val="0"/>
                      <w:autoSpaceDN w:val="0"/>
                      <w:adjustRightInd w:val="0"/>
                      <w:snapToGrid w:val="0"/>
                      <w:jc w:val="right"/>
                      <w:rPr>
                        <w:rFonts w:cs="Arial"/>
                        <w:sz w:val="20"/>
                        <w:szCs w:val="20"/>
                      </w:rPr>
                    </w:pPr>
                    <w:r w:rsidRPr="009124F1">
                      <w:rPr>
                        <w:rFonts w:cs="Arial"/>
                        <w:color w:val="000000"/>
                        <w:sz w:val="20"/>
                        <w:szCs w:val="20"/>
                      </w:rPr>
                      <w:t xml:space="preserve"> </w:t>
                    </w:r>
                  </w:p>
                </w:tc>
                <w:tc>
                  <w:tcPr>
                    <w:tcW w:w="113" w:type="dxa"/>
                    <w:shd w:val="clear" w:color="auto" w:fill="auto"/>
                    <w:vAlign w:val="bottom"/>
                    <w:hideMark/>
                  </w:tcPr>
                  <w:p w:rsidR="009124F1" w:rsidRPr="009124F1" w:rsidRDefault="009124F1" w:rsidP="003F54E5">
                    <w:pPr>
                      <w:kinsoku w:val="0"/>
                      <w:overflowPunct w:val="0"/>
                      <w:autoSpaceDE w:val="0"/>
                      <w:autoSpaceDN w:val="0"/>
                      <w:adjustRightInd w:val="0"/>
                      <w:snapToGrid w:val="0"/>
                      <w:rPr>
                        <w:rFonts w:cs="Arial"/>
                        <w:sz w:val="20"/>
                        <w:szCs w:val="20"/>
                      </w:rPr>
                    </w:pPr>
                    <w:r w:rsidRPr="009124F1">
                      <w:rPr>
                        <w:rFonts w:cs="Arial"/>
                        <w:color w:val="000000"/>
                        <w:sz w:val="20"/>
                        <w:szCs w:val="20"/>
                      </w:rPr>
                      <w:t xml:space="preserve"> </w:t>
                    </w:r>
                  </w:p>
                </w:tc>
                <w:tc>
                  <w:tcPr>
                    <w:tcW w:w="1871" w:type="dxa"/>
                    <w:shd w:val="clear" w:color="auto" w:fill="auto"/>
                    <w:vAlign w:val="bottom"/>
                    <w:hideMark/>
                  </w:tcPr>
                  <w:p w:rsidR="009124F1" w:rsidRPr="009124F1" w:rsidRDefault="009124F1" w:rsidP="003F54E5">
                    <w:pPr>
                      <w:kinsoku w:val="0"/>
                      <w:overflowPunct w:val="0"/>
                      <w:autoSpaceDE w:val="0"/>
                      <w:autoSpaceDN w:val="0"/>
                      <w:adjustRightInd w:val="0"/>
                      <w:snapToGrid w:val="0"/>
                      <w:jc w:val="right"/>
                      <w:rPr>
                        <w:rFonts w:cs="Arial"/>
                        <w:sz w:val="20"/>
                        <w:szCs w:val="20"/>
                      </w:rPr>
                    </w:pPr>
                    <w:r w:rsidRPr="009124F1">
                      <w:rPr>
                        <w:rFonts w:cs="Arial"/>
                        <w:color w:val="000000"/>
                        <w:sz w:val="20"/>
                        <w:szCs w:val="20"/>
                      </w:rPr>
                      <w:t xml:space="preserve"> </w:t>
                    </w:r>
                  </w:p>
                </w:tc>
                <w:tc>
                  <w:tcPr>
                    <w:tcW w:w="113" w:type="dxa"/>
                    <w:shd w:val="clear" w:color="auto" w:fill="auto"/>
                    <w:vAlign w:val="bottom"/>
                    <w:hideMark/>
                  </w:tcPr>
                  <w:p w:rsidR="009124F1" w:rsidRPr="009124F1" w:rsidRDefault="009124F1" w:rsidP="003F54E5">
                    <w:pPr>
                      <w:kinsoku w:val="0"/>
                      <w:overflowPunct w:val="0"/>
                      <w:autoSpaceDE w:val="0"/>
                      <w:autoSpaceDN w:val="0"/>
                      <w:adjustRightInd w:val="0"/>
                      <w:snapToGrid w:val="0"/>
                      <w:jc w:val="right"/>
                      <w:rPr>
                        <w:rFonts w:cs="Arial"/>
                        <w:sz w:val="20"/>
                        <w:szCs w:val="20"/>
                      </w:rPr>
                    </w:pPr>
                    <w:r w:rsidRPr="009124F1">
                      <w:rPr>
                        <w:rFonts w:cs="Arial"/>
                        <w:color w:val="000000"/>
                        <w:sz w:val="20"/>
                        <w:szCs w:val="20"/>
                      </w:rPr>
                      <w:t xml:space="preserve"> </w:t>
                    </w:r>
                  </w:p>
                </w:tc>
                <w:tc>
                  <w:tcPr>
                    <w:tcW w:w="113" w:type="dxa"/>
                    <w:shd w:val="clear" w:color="auto" w:fill="auto"/>
                    <w:vAlign w:val="bottom"/>
                    <w:hideMark/>
                  </w:tcPr>
                  <w:p w:rsidR="009124F1" w:rsidRPr="009124F1" w:rsidRDefault="009124F1" w:rsidP="003F54E5">
                    <w:pPr>
                      <w:kinsoku w:val="0"/>
                      <w:overflowPunct w:val="0"/>
                      <w:autoSpaceDE w:val="0"/>
                      <w:autoSpaceDN w:val="0"/>
                      <w:adjustRightInd w:val="0"/>
                      <w:snapToGrid w:val="0"/>
                      <w:jc w:val="right"/>
                      <w:rPr>
                        <w:rFonts w:cs="Arial"/>
                        <w:sz w:val="20"/>
                        <w:szCs w:val="20"/>
                      </w:rPr>
                    </w:pPr>
                    <w:r w:rsidRPr="009124F1">
                      <w:rPr>
                        <w:rFonts w:cs="Arial"/>
                        <w:color w:val="000000"/>
                        <w:sz w:val="20"/>
                        <w:szCs w:val="20"/>
                      </w:rPr>
                      <w:t xml:space="preserve"> </w:t>
                    </w:r>
                  </w:p>
                </w:tc>
                <w:tc>
                  <w:tcPr>
                    <w:tcW w:w="1870" w:type="dxa"/>
                    <w:shd w:val="clear" w:color="auto" w:fill="auto"/>
                    <w:vAlign w:val="bottom"/>
                    <w:hideMark/>
                  </w:tcPr>
                  <w:p w:rsidR="009124F1" w:rsidRPr="009124F1" w:rsidRDefault="009124F1" w:rsidP="003F54E5">
                    <w:pPr>
                      <w:kinsoku w:val="0"/>
                      <w:overflowPunct w:val="0"/>
                      <w:autoSpaceDE w:val="0"/>
                      <w:autoSpaceDN w:val="0"/>
                      <w:adjustRightInd w:val="0"/>
                      <w:snapToGrid w:val="0"/>
                      <w:jc w:val="right"/>
                      <w:rPr>
                        <w:rFonts w:cs="Arial"/>
                        <w:sz w:val="20"/>
                        <w:szCs w:val="20"/>
                      </w:rPr>
                    </w:pPr>
                    <w:r w:rsidRPr="009124F1">
                      <w:rPr>
                        <w:rFonts w:cs="Arial"/>
                        <w:color w:val="000000"/>
                        <w:sz w:val="20"/>
                        <w:szCs w:val="20"/>
                      </w:rPr>
                      <w:t xml:space="preserve"> </w:t>
                    </w:r>
                  </w:p>
                </w:tc>
                <w:tc>
                  <w:tcPr>
                    <w:tcW w:w="113" w:type="dxa"/>
                    <w:shd w:val="clear" w:color="auto" w:fill="auto"/>
                    <w:noWrap/>
                    <w:vAlign w:val="center"/>
                    <w:hideMark/>
                  </w:tcPr>
                  <w:p w:rsidR="009124F1" w:rsidRPr="009124F1" w:rsidRDefault="009124F1" w:rsidP="003F54E5">
                    <w:pPr>
                      <w:kinsoku w:val="0"/>
                      <w:overflowPunct w:val="0"/>
                      <w:autoSpaceDE w:val="0"/>
                      <w:autoSpaceDN w:val="0"/>
                      <w:adjustRightInd w:val="0"/>
                      <w:snapToGrid w:val="0"/>
                      <w:jc w:val="right"/>
                      <w:rPr>
                        <w:rFonts w:cs="Arial"/>
                        <w:sz w:val="20"/>
                        <w:szCs w:val="20"/>
                      </w:rPr>
                    </w:pPr>
                    <w:r w:rsidRPr="009124F1">
                      <w:rPr>
                        <w:rFonts w:cs="Arial"/>
                        <w:color w:val="000000"/>
                        <w:sz w:val="20"/>
                        <w:szCs w:val="20"/>
                      </w:rPr>
                      <w:t xml:space="preserve"> </w:t>
                    </w:r>
                  </w:p>
                </w:tc>
              </w:tr>
              <w:tr w:rsidR="009124F1" w:rsidRPr="009124F1" w:rsidTr="003F54E5">
                <w:tc>
                  <w:tcPr>
                    <w:tcW w:w="4252" w:type="dxa"/>
                    <w:shd w:val="clear" w:color="auto" w:fill="auto"/>
                    <w:noWrap/>
                    <w:vAlign w:val="bottom"/>
                    <w:hideMark/>
                  </w:tcPr>
                  <w:p w:rsidR="009124F1" w:rsidRPr="009124F1" w:rsidRDefault="009124F1" w:rsidP="003F54E5">
                    <w:pPr>
                      <w:kinsoku w:val="0"/>
                      <w:overflowPunct w:val="0"/>
                      <w:autoSpaceDE w:val="0"/>
                      <w:autoSpaceDN w:val="0"/>
                      <w:adjustRightInd w:val="0"/>
                      <w:snapToGrid w:val="0"/>
                      <w:rPr>
                        <w:rFonts w:cs="Arial"/>
                        <w:color w:val="000000"/>
                        <w:sz w:val="20"/>
                        <w:szCs w:val="20"/>
                      </w:rPr>
                    </w:pPr>
                    <w:r w:rsidRPr="009124F1">
                      <w:rPr>
                        <w:rFonts w:cs="Arial"/>
                        <w:color w:val="000000"/>
                        <w:sz w:val="20"/>
                        <w:szCs w:val="20"/>
                      </w:rPr>
                      <w:t>已签约但未拨备</w:t>
                    </w:r>
                  </w:p>
                </w:tc>
                <w:tc>
                  <w:tcPr>
                    <w:tcW w:w="113" w:type="dxa"/>
                    <w:shd w:val="clear" w:color="auto" w:fill="auto"/>
                    <w:vAlign w:val="bottom"/>
                    <w:hideMark/>
                  </w:tcPr>
                  <w:p w:rsidR="009124F1" w:rsidRPr="009124F1" w:rsidRDefault="009124F1" w:rsidP="003F54E5">
                    <w:pPr>
                      <w:kinsoku w:val="0"/>
                      <w:overflowPunct w:val="0"/>
                      <w:autoSpaceDE w:val="0"/>
                      <w:autoSpaceDN w:val="0"/>
                      <w:adjustRightInd w:val="0"/>
                      <w:snapToGrid w:val="0"/>
                      <w:rPr>
                        <w:rFonts w:cs="Arial"/>
                        <w:color w:val="000000"/>
                        <w:sz w:val="20"/>
                        <w:szCs w:val="20"/>
                      </w:rPr>
                    </w:pPr>
                    <w:r w:rsidRPr="009124F1">
                      <w:rPr>
                        <w:rFonts w:cs="Arial"/>
                        <w:color w:val="000000"/>
                        <w:sz w:val="20"/>
                        <w:szCs w:val="20"/>
                      </w:rPr>
                      <w:t xml:space="preserve"> </w:t>
                    </w:r>
                  </w:p>
                </w:tc>
                <w:tc>
                  <w:tcPr>
                    <w:tcW w:w="1871" w:type="dxa"/>
                    <w:shd w:val="clear" w:color="auto" w:fill="auto"/>
                    <w:noWrap/>
                    <w:vAlign w:val="bottom"/>
                    <w:hideMark/>
                  </w:tcPr>
                  <w:p w:rsidR="009124F1" w:rsidRPr="009124F1" w:rsidRDefault="009124F1" w:rsidP="003F54E5">
                    <w:pPr>
                      <w:kinsoku w:val="0"/>
                      <w:overflowPunct w:val="0"/>
                      <w:autoSpaceDE w:val="0"/>
                      <w:autoSpaceDN w:val="0"/>
                      <w:adjustRightInd w:val="0"/>
                      <w:snapToGrid w:val="0"/>
                      <w:jc w:val="right"/>
                      <w:rPr>
                        <w:rFonts w:cs="Arial"/>
                        <w:sz w:val="20"/>
                        <w:szCs w:val="20"/>
                      </w:rPr>
                    </w:pPr>
                    <w:r w:rsidRPr="009124F1">
                      <w:rPr>
                        <w:rFonts w:cs="Arial"/>
                        <w:color w:val="000000"/>
                        <w:sz w:val="20"/>
                        <w:szCs w:val="20"/>
                      </w:rPr>
                      <w:t xml:space="preserve"> </w:t>
                    </w:r>
                  </w:p>
                </w:tc>
                <w:tc>
                  <w:tcPr>
                    <w:tcW w:w="113" w:type="dxa"/>
                    <w:shd w:val="clear" w:color="auto" w:fill="auto"/>
                    <w:vAlign w:val="bottom"/>
                    <w:hideMark/>
                  </w:tcPr>
                  <w:p w:rsidR="009124F1" w:rsidRPr="009124F1" w:rsidRDefault="009124F1" w:rsidP="003F54E5">
                    <w:pPr>
                      <w:kinsoku w:val="0"/>
                      <w:overflowPunct w:val="0"/>
                      <w:autoSpaceDE w:val="0"/>
                      <w:autoSpaceDN w:val="0"/>
                      <w:adjustRightInd w:val="0"/>
                      <w:snapToGrid w:val="0"/>
                      <w:jc w:val="right"/>
                      <w:rPr>
                        <w:rFonts w:cs="Arial"/>
                        <w:sz w:val="20"/>
                        <w:szCs w:val="20"/>
                      </w:rPr>
                    </w:pPr>
                    <w:r w:rsidRPr="009124F1">
                      <w:rPr>
                        <w:rFonts w:cs="Arial"/>
                        <w:color w:val="000000"/>
                        <w:sz w:val="20"/>
                        <w:szCs w:val="20"/>
                      </w:rPr>
                      <w:t xml:space="preserve"> </w:t>
                    </w:r>
                  </w:p>
                </w:tc>
                <w:tc>
                  <w:tcPr>
                    <w:tcW w:w="113" w:type="dxa"/>
                    <w:shd w:val="clear" w:color="auto" w:fill="auto"/>
                    <w:vAlign w:val="bottom"/>
                    <w:hideMark/>
                  </w:tcPr>
                  <w:p w:rsidR="009124F1" w:rsidRPr="009124F1" w:rsidRDefault="009124F1" w:rsidP="003F54E5">
                    <w:pPr>
                      <w:kinsoku w:val="0"/>
                      <w:overflowPunct w:val="0"/>
                      <w:autoSpaceDE w:val="0"/>
                      <w:autoSpaceDN w:val="0"/>
                      <w:adjustRightInd w:val="0"/>
                      <w:snapToGrid w:val="0"/>
                      <w:jc w:val="right"/>
                      <w:rPr>
                        <w:rFonts w:cs="Arial"/>
                        <w:sz w:val="20"/>
                        <w:szCs w:val="20"/>
                      </w:rPr>
                    </w:pPr>
                    <w:r w:rsidRPr="009124F1">
                      <w:rPr>
                        <w:rFonts w:cs="Arial"/>
                        <w:color w:val="000000"/>
                        <w:sz w:val="20"/>
                        <w:szCs w:val="20"/>
                      </w:rPr>
                      <w:t xml:space="preserve"> </w:t>
                    </w:r>
                  </w:p>
                </w:tc>
                <w:tc>
                  <w:tcPr>
                    <w:tcW w:w="1870" w:type="dxa"/>
                    <w:shd w:val="clear" w:color="auto" w:fill="auto"/>
                    <w:noWrap/>
                    <w:vAlign w:val="bottom"/>
                    <w:hideMark/>
                  </w:tcPr>
                  <w:p w:rsidR="009124F1" w:rsidRPr="009124F1" w:rsidRDefault="009124F1" w:rsidP="003F54E5">
                    <w:pPr>
                      <w:kinsoku w:val="0"/>
                      <w:overflowPunct w:val="0"/>
                      <w:autoSpaceDE w:val="0"/>
                      <w:autoSpaceDN w:val="0"/>
                      <w:adjustRightInd w:val="0"/>
                      <w:snapToGrid w:val="0"/>
                      <w:jc w:val="right"/>
                      <w:rPr>
                        <w:rFonts w:cs="Arial"/>
                        <w:sz w:val="20"/>
                        <w:szCs w:val="20"/>
                      </w:rPr>
                    </w:pPr>
                    <w:r w:rsidRPr="009124F1">
                      <w:rPr>
                        <w:rFonts w:cs="Arial"/>
                        <w:color w:val="000000"/>
                        <w:sz w:val="20"/>
                        <w:szCs w:val="20"/>
                      </w:rPr>
                      <w:t xml:space="preserve"> </w:t>
                    </w:r>
                  </w:p>
                </w:tc>
                <w:tc>
                  <w:tcPr>
                    <w:tcW w:w="113" w:type="dxa"/>
                    <w:shd w:val="clear" w:color="auto" w:fill="auto"/>
                    <w:noWrap/>
                    <w:vAlign w:val="center"/>
                    <w:hideMark/>
                  </w:tcPr>
                  <w:p w:rsidR="009124F1" w:rsidRPr="009124F1" w:rsidRDefault="009124F1" w:rsidP="003F54E5">
                    <w:pPr>
                      <w:kinsoku w:val="0"/>
                      <w:overflowPunct w:val="0"/>
                      <w:autoSpaceDE w:val="0"/>
                      <w:autoSpaceDN w:val="0"/>
                      <w:adjustRightInd w:val="0"/>
                      <w:snapToGrid w:val="0"/>
                      <w:jc w:val="right"/>
                      <w:rPr>
                        <w:rFonts w:cs="Arial"/>
                        <w:sz w:val="20"/>
                        <w:szCs w:val="20"/>
                      </w:rPr>
                    </w:pPr>
                    <w:r w:rsidRPr="009124F1">
                      <w:rPr>
                        <w:rFonts w:cs="Arial"/>
                        <w:color w:val="000000"/>
                        <w:sz w:val="20"/>
                        <w:szCs w:val="20"/>
                      </w:rPr>
                      <w:t xml:space="preserve"> </w:t>
                    </w:r>
                  </w:p>
                </w:tc>
              </w:tr>
              <w:tr w:rsidR="009124F1" w:rsidRPr="009124F1" w:rsidTr="003F54E5">
                <w:tc>
                  <w:tcPr>
                    <w:tcW w:w="4252" w:type="dxa"/>
                    <w:shd w:val="clear" w:color="000000" w:fill="auto"/>
                    <w:noWrap/>
                    <w:vAlign w:val="bottom"/>
                    <w:hideMark/>
                  </w:tcPr>
                  <w:p w:rsidR="009124F1" w:rsidRPr="009124F1" w:rsidRDefault="009124F1" w:rsidP="003F54E5">
                    <w:pPr>
                      <w:kinsoku w:val="0"/>
                      <w:overflowPunct w:val="0"/>
                      <w:autoSpaceDE w:val="0"/>
                      <w:autoSpaceDN w:val="0"/>
                      <w:adjustRightInd w:val="0"/>
                      <w:snapToGrid w:val="0"/>
                      <w:ind w:left="210"/>
                      <w:rPr>
                        <w:rFonts w:cs="Arial"/>
                        <w:color w:val="000000"/>
                        <w:sz w:val="20"/>
                        <w:szCs w:val="20"/>
                      </w:rPr>
                    </w:pPr>
                    <w:r w:rsidRPr="009124F1">
                      <w:rPr>
                        <w:rFonts w:cs="Arial"/>
                        <w:color w:val="000000"/>
                        <w:sz w:val="20"/>
                        <w:szCs w:val="20"/>
                      </w:rPr>
                      <w:t>资本承诺</w:t>
                    </w:r>
                  </w:p>
                </w:tc>
                <w:tc>
                  <w:tcPr>
                    <w:tcW w:w="113" w:type="dxa"/>
                    <w:shd w:val="clear" w:color="auto" w:fill="auto"/>
                    <w:vAlign w:val="bottom"/>
                    <w:hideMark/>
                  </w:tcPr>
                  <w:p w:rsidR="009124F1" w:rsidRPr="009124F1" w:rsidRDefault="009124F1" w:rsidP="003F54E5">
                    <w:pPr>
                      <w:kinsoku w:val="0"/>
                      <w:overflowPunct w:val="0"/>
                      <w:autoSpaceDE w:val="0"/>
                      <w:autoSpaceDN w:val="0"/>
                      <w:adjustRightInd w:val="0"/>
                      <w:snapToGrid w:val="0"/>
                      <w:rPr>
                        <w:rFonts w:cs="Arial"/>
                        <w:color w:val="000000"/>
                        <w:sz w:val="20"/>
                        <w:szCs w:val="20"/>
                      </w:rPr>
                    </w:pPr>
                    <w:r w:rsidRPr="009124F1">
                      <w:rPr>
                        <w:rFonts w:cs="Arial"/>
                        <w:color w:val="000000"/>
                        <w:sz w:val="20"/>
                        <w:szCs w:val="20"/>
                      </w:rPr>
                      <w:t xml:space="preserve"> </w:t>
                    </w:r>
                  </w:p>
                </w:tc>
                <w:tc>
                  <w:tcPr>
                    <w:tcW w:w="1871" w:type="dxa"/>
                    <w:shd w:val="clear" w:color="000000" w:fill="auto"/>
                    <w:vAlign w:val="bottom"/>
                  </w:tcPr>
                  <w:p w:rsidR="009124F1" w:rsidRPr="009124F1" w:rsidRDefault="009124F1" w:rsidP="003F54E5">
                    <w:pPr>
                      <w:kinsoku w:val="0"/>
                      <w:overflowPunct w:val="0"/>
                      <w:autoSpaceDE w:val="0"/>
                      <w:autoSpaceDN w:val="0"/>
                      <w:adjustRightInd w:val="0"/>
                      <w:snapToGrid w:val="0"/>
                      <w:jc w:val="right"/>
                      <w:rPr>
                        <w:rFonts w:cs="Arial"/>
                        <w:color w:val="000000"/>
                        <w:sz w:val="20"/>
                        <w:szCs w:val="20"/>
                      </w:rPr>
                    </w:pPr>
                    <w:r w:rsidRPr="009124F1">
                      <w:rPr>
                        <w:rFonts w:cs="Arial"/>
                        <w:sz w:val="20"/>
                        <w:u w:val="single"/>
                      </w:rPr>
                      <w:t>208,906,462</w:t>
                    </w:r>
                  </w:p>
                </w:tc>
                <w:tc>
                  <w:tcPr>
                    <w:tcW w:w="113" w:type="dxa"/>
                    <w:shd w:val="clear" w:color="auto" w:fill="auto"/>
                    <w:vAlign w:val="bottom"/>
                  </w:tcPr>
                  <w:p w:rsidR="009124F1" w:rsidRPr="009124F1" w:rsidRDefault="009124F1" w:rsidP="003F54E5">
                    <w:pPr>
                      <w:kinsoku w:val="0"/>
                      <w:overflowPunct w:val="0"/>
                      <w:autoSpaceDE w:val="0"/>
                      <w:autoSpaceDN w:val="0"/>
                      <w:adjustRightInd w:val="0"/>
                      <w:snapToGrid w:val="0"/>
                      <w:jc w:val="right"/>
                      <w:rPr>
                        <w:rFonts w:cs="Arial"/>
                        <w:color w:val="000000"/>
                        <w:sz w:val="20"/>
                        <w:szCs w:val="20"/>
                      </w:rPr>
                    </w:pPr>
                  </w:p>
                </w:tc>
                <w:tc>
                  <w:tcPr>
                    <w:tcW w:w="113" w:type="dxa"/>
                    <w:shd w:val="clear" w:color="auto" w:fill="auto"/>
                    <w:vAlign w:val="bottom"/>
                  </w:tcPr>
                  <w:p w:rsidR="009124F1" w:rsidRPr="009124F1" w:rsidRDefault="009124F1" w:rsidP="003F54E5">
                    <w:pPr>
                      <w:kinsoku w:val="0"/>
                      <w:overflowPunct w:val="0"/>
                      <w:autoSpaceDE w:val="0"/>
                      <w:autoSpaceDN w:val="0"/>
                      <w:adjustRightInd w:val="0"/>
                      <w:snapToGrid w:val="0"/>
                      <w:jc w:val="right"/>
                      <w:rPr>
                        <w:rFonts w:cs="Arial"/>
                        <w:sz w:val="20"/>
                        <w:szCs w:val="20"/>
                      </w:rPr>
                    </w:pPr>
                  </w:p>
                </w:tc>
                <w:tc>
                  <w:tcPr>
                    <w:tcW w:w="1870" w:type="dxa"/>
                    <w:shd w:val="clear" w:color="000000" w:fill="auto"/>
                    <w:vAlign w:val="bottom"/>
                  </w:tcPr>
                  <w:p w:rsidR="009124F1" w:rsidRPr="009124F1" w:rsidRDefault="009124F1" w:rsidP="003F54E5">
                    <w:pPr>
                      <w:kinsoku w:val="0"/>
                      <w:overflowPunct w:val="0"/>
                      <w:autoSpaceDE w:val="0"/>
                      <w:autoSpaceDN w:val="0"/>
                      <w:adjustRightInd w:val="0"/>
                      <w:snapToGrid w:val="0"/>
                      <w:jc w:val="right"/>
                      <w:rPr>
                        <w:rFonts w:cs="Arial"/>
                        <w:color w:val="000000"/>
                        <w:sz w:val="20"/>
                        <w:szCs w:val="20"/>
                        <w:u w:val="single"/>
                      </w:rPr>
                    </w:pPr>
                    <w:r w:rsidRPr="009124F1">
                      <w:rPr>
                        <w:rFonts w:cs="Arial"/>
                        <w:sz w:val="20"/>
                        <w:u w:val="single"/>
                      </w:rPr>
                      <w:t>258,027,596</w:t>
                    </w:r>
                  </w:p>
                </w:tc>
                <w:tc>
                  <w:tcPr>
                    <w:tcW w:w="113" w:type="dxa"/>
                    <w:shd w:val="clear" w:color="auto" w:fill="auto"/>
                    <w:noWrap/>
                    <w:vAlign w:val="center"/>
                    <w:hideMark/>
                  </w:tcPr>
                  <w:p w:rsidR="009124F1" w:rsidRPr="009124F1" w:rsidRDefault="009124F1" w:rsidP="003F54E5">
                    <w:pPr>
                      <w:kinsoku w:val="0"/>
                      <w:overflowPunct w:val="0"/>
                      <w:autoSpaceDE w:val="0"/>
                      <w:autoSpaceDN w:val="0"/>
                      <w:adjustRightInd w:val="0"/>
                      <w:snapToGrid w:val="0"/>
                      <w:jc w:val="right"/>
                      <w:rPr>
                        <w:rFonts w:cs="Arial"/>
                        <w:color w:val="000000"/>
                        <w:sz w:val="20"/>
                        <w:szCs w:val="20"/>
                      </w:rPr>
                    </w:pPr>
                    <w:r w:rsidRPr="009124F1">
                      <w:rPr>
                        <w:rFonts w:cs="Arial"/>
                        <w:color w:val="000000"/>
                        <w:sz w:val="20"/>
                        <w:szCs w:val="20"/>
                      </w:rPr>
                      <w:t xml:space="preserve"> </w:t>
                    </w:r>
                  </w:p>
                </w:tc>
              </w:tr>
              <w:tr w:rsidR="009124F1" w:rsidRPr="009124F1" w:rsidTr="003F54E5">
                <w:tc>
                  <w:tcPr>
                    <w:tcW w:w="4252" w:type="dxa"/>
                    <w:shd w:val="clear" w:color="auto" w:fill="auto"/>
                    <w:noWrap/>
                    <w:vAlign w:val="bottom"/>
                    <w:hideMark/>
                  </w:tcPr>
                  <w:p w:rsidR="009124F1" w:rsidRPr="009124F1" w:rsidRDefault="009124F1" w:rsidP="003F54E5">
                    <w:pPr>
                      <w:kinsoku w:val="0"/>
                      <w:overflowPunct w:val="0"/>
                      <w:autoSpaceDE w:val="0"/>
                      <w:autoSpaceDN w:val="0"/>
                      <w:adjustRightInd w:val="0"/>
                      <w:snapToGrid w:val="0"/>
                      <w:jc w:val="right"/>
                      <w:rPr>
                        <w:rFonts w:cs="Arial"/>
                        <w:sz w:val="20"/>
                        <w:szCs w:val="20"/>
                      </w:rPr>
                    </w:pPr>
                    <w:r w:rsidRPr="009124F1">
                      <w:rPr>
                        <w:rFonts w:cs="Arial"/>
                        <w:color w:val="000000"/>
                        <w:sz w:val="20"/>
                        <w:szCs w:val="20"/>
                      </w:rPr>
                      <w:t xml:space="preserve"> </w:t>
                    </w:r>
                  </w:p>
                </w:tc>
                <w:tc>
                  <w:tcPr>
                    <w:tcW w:w="113" w:type="dxa"/>
                    <w:shd w:val="clear" w:color="auto" w:fill="auto"/>
                    <w:vAlign w:val="bottom"/>
                    <w:hideMark/>
                  </w:tcPr>
                  <w:p w:rsidR="009124F1" w:rsidRPr="009124F1" w:rsidRDefault="009124F1" w:rsidP="003F54E5">
                    <w:pPr>
                      <w:kinsoku w:val="0"/>
                      <w:overflowPunct w:val="0"/>
                      <w:autoSpaceDE w:val="0"/>
                      <w:autoSpaceDN w:val="0"/>
                      <w:adjustRightInd w:val="0"/>
                      <w:snapToGrid w:val="0"/>
                      <w:rPr>
                        <w:rFonts w:cs="Arial"/>
                        <w:sz w:val="20"/>
                        <w:szCs w:val="20"/>
                      </w:rPr>
                    </w:pPr>
                    <w:r w:rsidRPr="009124F1">
                      <w:rPr>
                        <w:rFonts w:cs="Arial"/>
                        <w:color w:val="000000"/>
                        <w:sz w:val="20"/>
                        <w:szCs w:val="20"/>
                      </w:rPr>
                      <w:t xml:space="preserve"> </w:t>
                    </w:r>
                  </w:p>
                </w:tc>
                <w:tc>
                  <w:tcPr>
                    <w:tcW w:w="1871" w:type="dxa"/>
                    <w:shd w:val="clear" w:color="auto" w:fill="auto"/>
                    <w:noWrap/>
                    <w:vAlign w:val="bottom"/>
                  </w:tcPr>
                  <w:p w:rsidR="009124F1" w:rsidRPr="009124F1" w:rsidRDefault="009124F1" w:rsidP="003F54E5">
                    <w:pPr>
                      <w:kinsoku w:val="0"/>
                      <w:overflowPunct w:val="0"/>
                      <w:autoSpaceDE w:val="0"/>
                      <w:autoSpaceDN w:val="0"/>
                      <w:adjustRightInd w:val="0"/>
                      <w:snapToGrid w:val="0"/>
                      <w:jc w:val="right"/>
                      <w:rPr>
                        <w:rFonts w:cs="Arial"/>
                        <w:sz w:val="20"/>
                        <w:szCs w:val="20"/>
                      </w:rPr>
                    </w:pPr>
                  </w:p>
                </w:tc>
                <w:tc>
                  <w:tcPr>
                    <w:tcW w:w="113" w:type="dxa"/>
                    <w:shd w:val="clear" w:color="auto" w:fill="auto"/>
                    <w:vAlign w:val="bottom"/>
                  </w:tcPr>
                  <w:p w:rsidR="009124F1" w:rsidRPr="009124F1" w:rsidRDefault="009124F1" w:rsidP="003F54E5">
                    <w:pPr>
                      <w:kinsoku w:val="0"/>
                      <w:overflowPunct w:val="0"/>
                      <w:autoSpaceDE w:val="0"/>
                      <w:autoSpaceDN w:val="0"/>
                      <w:adjustRightInd w:val="0"/>
                      <w:snapToGrid w:val="0"/>
                      <w:jc w:val="right"/>
                      <w:rPr>
                        <w:rFonts w:cs="Arial"/>
                        <w:sz w:val="20"/>
                        <w:szCs w:val="20"/>
                      </w:rPr>
                    </w:pPr>
                  </w:p>
                </w:tc>
                <w:tc>
                  <w:tcPr>
                    <w:tcW w:w="113" w:type="dxa"/>
                    <w:shd w:val="clear" w:color="auto" w:fill="auto"/>
                    <w:vAlign w:val="bottom"/>
                  </w:tcPr>
                  <w:p w:rsidR="009124F1" w:rsidRPr="009124F1" w:rsidRDefault="009124F1" w:rsidP="003F54E5">
                    <w:pPr>
                      <w:kinsoku w:val="0"/>
                      <w:overflowPunct w:val="0"/>
                      <w:autoSpaceDE w:val="0"/>
                      <w:autoSpaceDN w:val="0"/>
                      <w:adjustRightInd w:val="0"/>
                      <w:snapToGrid w:val="0"/>
                      <w:jc w:val="right"/>
                      <w:rPr>
                        <w:rFonts w:cs="Arial"/>
                        <w:sz w:val="20"/>
                        <w:szCs w:val="20"/>
                      </w:rPr>
                    </w:pPr>
                  </w:p>
                </w:tc>
                <w:tc>
                  <w:tcPr>
                    <w:tcW w:w="1870" w:type="dxa"/>
                    <w:shd w:val="clear" w:color="auto" w:fill="auto"/>
                    <w:noWrap/>
                    <w:vAlign w:val="bottom"/>
                  </w:tcPr>
                  <w:p w:rsidR="009124F1" w:rsidRPr="009124F1" w:rsidRDefault="009124F1" w:rsidP="003F54E5">
                    <w:pPr>
                      <w:kinsoku w:val="0"/>
                      <w:overflowPunct w:val="0"/>
                      <w:autoSpaceDE w:val="0"/>
                      <w:autoSpaceDN w:val="0"/>
                      <w:adjustRightInd w:val="0"/>
                      <w:snapToGrid w:val="0"/>
                      <w:jc w:val="right"/>
                      <w:rPr>
                        <w:rFonts w:cs="Arial"/>
                        <w:sz w:val="20"/>
                        <w:szCs w:val="20"/>
                      </w:rPr>
                    </w:pPr>
                  </w:p>
                </w:tc>
                <w:tc>
                  <w:tcPr>
                    <w:tcW w:w="113" w:type="dxa"/>
                    <w:shd w:val="clear" w:color="auto" w:fill="auto"/>
                    <w:noWrap/>
                    <w:vAlign w:val="center"/>
                    <w:hideMark/>
                  </w:tcPr>
                  <w:p w:rsidR="009124F1" w:rsidRPr="009124F1" w:rsidRDefault="009124F1" w:rsidP="003F54E5">
                    <w:pPr>
                      <w:kinsoku w:val="0"/>
                      <w:overflowPunct w:val="0"/>
                      <w:autoSpaceDE w:val="0"/>
                      <w:autoSpaceDN w:val="0"/>
                      <w:adjustRightInd w:val="0"/>
                      <w:snapToGrid w:val="0"/>
                      <w:jc w:val="right"/>
                      <w:rPr>
                        <w:rFonts w:cs="Arial"/>
                        <w:sz w:val="20"/>
                        <w:szCs w:val="20"/>
                      </w:rPr>
                    </w:pPr>
                    <w:r w:rsidRPr="009124F1">
                      <w:rPr>
                        <w:rFonts w:cs="Arial"/>
                        <w:color w:val="000000"/>
                        <w:sz w:val="20"/>
                        <w:szCs w:val="20"/>
                      </w:rPr>
                      <w:t xml:space="preserve"> </w:t>
                    </w:r>
                  </w:p>
                </w:tc>
              </w:tr>
              <w:tr w:rsidR="009124F1" w:rsidRPr="009124F1" w:rsidTr="003F54E5">
                <w:tc>
                  <w:tcPr>
                    <w:tcW w:w="4252" w:type="dxa"/>
                    <w:shd w:val="clear" w:color="auto" w:fill="auto"/>
                    <w:noWrap/>
                    <w:vAlign w:val="bottom"/>
                    <w:hideMark/>
                  </w:tcPr>
                  <w:p w:rsidR="009124F1" w:rsidRPr="009124F1" w:rsidRDefault="009124F1" w:rsidP="003F54E5">
                    <w:pPr>
                      <w:kinsoku w:val="0"/>
                      <w:overflowPunct w:val="0"/>
                      <w:autoSpaceDE w:val="0"/>
                      <w:autoSpaceDN w:val="0"/>
                      <w:adjustRightInd w:val="0"/>
                      <w:snapToGrid w:val="0"/>
                      <w:rPr>
                        <w:rFonts w:cs="Arial"/>
                        <w:sz w:val="20"/>
                        <w:szCs w:val="20"/>
                      </w:rPr>
                    </w:pPr>
                  </w:p>
                </w:tc>
                <w:tc>
                  <w:tcPr>
                    <w:tcW w:w="113" w:type="dxa"/>
                    <w:shd w:val="clear" w:color="auto" w:fill="auto"/>
                    <w:vAlign w:val="bottom"/>
                    <w:hideMark/>
                  </w:tcPr>
                  <w:p w:rsidR="009124F1" w:rsidRPr="009124F1" w:rsidRDefault="009124F1" w:rsidP="003F54E5">
                    <w:pPr>
                      <w:kinsoku w:val="0"/>
                      <w:overflowPunct w:val="0"/>
                      <w:autoSpaceDE w:val="0"/>
                      <w:autoSpaceDN w:val="0"/>
                      <w:adjustRightInd w:val="0"/>
                      <w:snapToGrid w:val="0"/>
                      <w:rPr>
                        <w:rFonts w:cs="Arial"/>
                        <w:sz w:val="20"/>
                        <w:szCs w:val="20"/>
                      </w:rPr>
                    </w:pPr>
                    <w:r w:rsidRPr="009124F1">
                      <w:rPr>
                        <w:rFonts w:cs="Arial"/>
                        <w:color w:val="000000"/>
                        <w:sz w:val="20"/>
                        <w:szCs w:val="20"/>
                      </w:rPr>
                      <w:t xml:space="preserve"> </w:t>
                    </w:r>
                  </w:p>
                </w:tc>
                <w:tc>
                  <w:tcPr>
                    <w:tcW w:w="1871" w:type="dxa"/>
                    <w:shd w:val="clear" w:color="000000" w:fill="auto"/>
                    <w:vAlign w:val="bottom"/>
                  </w:tcPr>
                  <w:p w:rsidR="009124F1" w:rsidRPr="009124F1" w:rsidRDefault="009124F1" w:rsidP="003F54E5">
                    <w:pPr>
                      <w:kinsoku w:val="0"/>
                      <w:overflowPunct w:val="0"/>
                      <w:autoSpaceDE w:val="0"/>
                      <w:autoSpaceDN w:val="0"/>
                      <w:adjustRightInd w:val="0"/>
                      <w:snapToGrid w:val="0"/>
                      <w:jc w:val="right"/>
                      <w:rPr>
                        <w:rFonts w:cs="Arial"/>
                        <w:color w:val="000000"/>
                        <w:sz w:val="20"/>
                        <w:szCs w:val="20"/>
                      </w:rPr>
                    </w:pPr>
                    <w:r w:rsidRPr="009124F1">
                      <w:rPr>
                        <w:rFonts w:cs="Arial"/>
                        <w:sz w:val="20"/>
                        <w:u w:val="double"/>
                      </w:rPr>
                      <w:t>208,906,462</w:t>
                    </w:r>
                  </w:p>
                </w:tc>
                <w:tc>
                  <w:tcPr>
                    <w:tcW w:w="113" w:type="dxa"/>
                    <w:shd w:val="clear" w:color="auto" w:fill="auto"/>
                    <w:vAlign w:val="bottom"/>
                  </w:tcPr>
                  <w:p w:rsidR="009124F1" w:rsidRPr="009124F1" w:rsidRDefault="009124F1" w:rsidP="003F54E5">
                    <w:pPr>
                      <w:kinsoku w:val="0"/>
                      <w:overflowPunct w:val="0"/>
                      <w:autoSpaceDE w:val="0"/>
                      <w:autoSpaceDN w:val="0"/>
                      <w:adjustRightInd w:val="0"/>
                      <w:snapToGrid w:val="0"/>
                      <w:jc w:val="right"/>
                      <w:rPr>
                        <w:rFonts w:cs="Arial"/>
                        <w:color w:val="000000"/>
                        <w:sz w:val="20"/>
                        <w:szCs w:val="20"/>
                      </w:rPr>
                    </w:pPr>
                  </w:p>
                </w:tc>
                <w:tc>
                  <w:tcPr>
                    <w:tcW w:w="113" w:type="dxa"/>
                    <w:shd w:val="clear" w:color="auto" w:fill="auto"/>
                    <w:vAlign w:val="bottom"/>
                  </w:tcPr>
                  <w:p w:rsidR="009124F1" w:rsidRPr="009124F1" w:rsidRDefault="009124F1" w:rsidP="003F54E5">
                    <w:pPr>
                      <w:kinsoku w:val="0"/>
                      <w:overflowPunct w:val="0"/>
                      <w:autoSpaceDE w:val="0"/>
                      <w:autoSpaceDN w:val="0"/>
                      <w:adjustRightInd w:val="0"/>
                      <w:snapToGrid w:val="0"/>
                      <w:jc w:val="right"/>
                      <w:rPr>
                        <w:rFonts w:cs="Arial"/>
                        <w:sz w:val="20"/>
                        <w:szCs w:val="20"/>
                      </w:rPr>
                    </w:pPr>
                  </w:p>
                </w:tc>
                <w:tc>
                  <w:tcPr>
                    <w:tcW w:w="1870" w:type="dxa"/>
                    <w:shd w:val="clear" w:color="000000" w:fill="auto"/>
                    <w:vAlign w:val="bottom"/>
                  </w:tcPr>
                  <w:p w:rsidR="009124F1" w:rsidRPr="009124F1" w:rsidRDefault="009124F1" w:rsidP="003F54E5">
                    <w:pPr>
                      <w:kinsoku w:val="0"/>
                      <w:overflowPunct w:val="0"/>
                      <w:autoSpaceDE w:val="0"/>
                      <w:autoSpaceDN w:val="0"/>
                      <w:adjustRightInd w:val="0"/>
                      <w:snapToGrid w:val="0"/>
                      <w:jc w:val="right"/>
                      <w:rPr>
                        <w:rFonts w:cs="Arial"/>
                        <w:color w:val="000000"/>
                        <w:sz w:val="20"/>
                        <w:szCs w:val="20"/>
                        <w:u w:val="double"/>
                      </w:rPr>
                    </w:pPr>
                    <w:r w:rsidRPr="009124F1">
                      <w:rPr>
                        <w:rFonts w:cs="Arial"/>
                        <w:sz w:val="20"/>
                        <w:u w:val="double"/>
                      </w:rPr>
                      <w:t>258,027,596</w:t>
                    </w:r>
                  </w:p>
                </w:tc>
                <w:tc>
                  <w:tcPr>
                    <w:tcW w:w="113" w:type="dxa"/>
                    <w:shd w:val="clear" w:color="auto" w:fill="auto"/>
                    <w:noWrap/>
                  </w:tcPr>
                  <w:p w:rsidR="009124F1" w:rsidRPr="009124F1" w:rsidRDefault="009124F1" w:rsidP="003F54E5">
                    <w:pPr>
                      <w:kinsoku w:val="0"/>
                      <w:overflowPunct w:val="0"/>
                      <w:autoSpaceDE w:val="0"/>
                      <w:autoSpaceDN w:val="0"/>
                      <w:adjustRightInd w:val="0"/>
                      <w:snapToGrid w:val="0"/>
                      <w:jc w:val="right"/>
                      <w:rPr>
                        <w:rFonts w:cs="Arial"/>
                        <w:color w:val="000000"/>
                        <w:sz w:val="20"/>
                        <w:szCs w:val="20"/>
                      </w:rPr>
                    </w:pPr>
                  </w:p>
                </w:tc>
              </w:tr>
              <w:bookmarkEnd w:id="224"/>
            </w:tbl>
            <w:p w:rsidR="009124F1" w:rsidRPr="009124F1" w:rsidRDefault="009124F1" w:rsidP="009124F1">
              <w:pPr>
                <w:tabs>
                  <w:tab w:val="left" w:pos="2520"/>
                  <w:tab w:val="decimal" w:pos="5250"/>
                  <w:tab w:val="decimal" w:pos="6510"/>
                  <w:tab w:val="decimal" w:pos="7035"/>
                  <w:tab w:val="decimal" w:pos="8295"/>
                </w:tabs>
                <w:overflowPunct w:val="0"/>
                <w:autoSpaceDE w:val="0"/>
                <w:autoSpaceDN w:val="0"/>
                <w:adjustRightInd w:val="0"/>
                <w:snapToGrid w:val="0"/>
                <w:ind w:left="720" w:hanging="720"/>
                <w:jc w:val="both"/>
                <w:rPr>
                  <w:rFonts w:cs="Arial"/>
                  <w:snapToGrid w:val="0"/>
                  <w:sz w:val="20"/>
                  <w:szCs w:val="20"/>
                </w:rPr>
              </w:pPr>
            </w:p>
            <w:p w:rsidR="009124F1" w:rsidRPr="009124F1" w:rsidRDefault="009124F1" w:rsidP="009124F1">
              <w:pPr>
                <w:tabs>
                  <w:tab w:val="left" w:pos="2520"/>
                  <w:tab w:val="decimal" w:pos="5250"/>
                  <w:tab w:val="decimal" w:pos="6510"/>
                  <w:tab w:val="decimal" w:pos="7035"/>
                  <w:tab w:val="decimal" w:pos="8295"/>
                </w:tabs>
                <w:overflowPunct w:val="0"/>
                <w:autoSpaceDE w:val="0"/>
                <w:autoSpaceDN w:val="0"/>
                <w:adjustRightInd w:val="0"/>
                <w:snapToGrid w:val="0"/>
                <w:ind w:left="28"/>
                <w:jc w:val="both"/>
                <w:rPr>
                  <w:rFonts w:cs="Arial"/>
                  <w:snapToGrid w:val="0"/>
                  <w:sz w:val="20"/>
                  <w:szCs w:val="20"/>
                </w:rPr>
              </w:pPr>
              <w:r w:rsidRPr="009124F1">
                <w:rPr>
                  <w:rFonts w:cs="Arial" w:hint="eastAsia"/>
                  <w:snapToGrid w:val="0"/>
                  <w:sz w:val="20"/>
                  <w:szCs w:val="20"/>
                </w:rPr>
                <w:lastRenderedPageBreak/>
                <w:t>注1. 本集团与中国建筑土木建设有限公司,中建三局集团有限公司、北京诚信四海市政建设发展有限公司等签订的与用友产业园一期二期工程施工、工程设计相关合同，共计</w:t>
              </w:r>
              <w:r w:rsidRPr="009124F1">
                <w:rPr>
                  <w:rFonts w:cs="Arial"/>
                  <w:snapToGrid w:val="0"/>
                  <w:sz w:val="20"/>
                  <w:szCs w:val="20"/>
                </w:rPr>
                <w:t>1,907,432,233</w:t>
              </w:r>
              <w:r w:rsidRPr="009124F1">
                <w:rPr>
                  <w:rFonts w:cs="Arial" w:hint="eastAsia"/>
                  <w:snapToGrid w:val="0"/>
                  <w:sz w:val="20"/>
                  <w:szCs w:val="20"/>
                </w:rPr>
                <w:t>元，已支付</w:t>
              </w:r>
              <w:r w:rsidRPr="009124F1">
                <w:rPr>
                  <w:rFonts w:cs="Arial"/>
                  <w:snapToGrid w:val="0"/>
                  <w:sz w:val="20"/>
                  <w:szCs w:val="20"/>
                </w:rPr>
                <w:t>1,866,371,111</w:t>
              </w:r>
              <w:r w:rsidRPr="009124F1">
                <w:rPr>
                  <w:rFonts w:cs="Arial" w:hint="eastAsia"/>
                  <w:snapToGrid w:val="0"/>
                  <w:sz w:val="20"/>
                  <w:szCs w:val="20"/>
                </w:rPr>
                <w:t>元，资本承诺共计</w:t>
              </w:r>
              <w:r w:rsidRPr="009124F1">
                <w:rPr>
                  <w:rFonts w:cs="Arial"/>
                  <w:snapToGrid w:val="0"/>
                  <w:sz w:val="20"/>
                  <w:szCs w:val="20"/>
                </w:rPr>
                <w:t>41,061,122</w:t>
              </w:r>
              <w:r w:rsidRPr="009124F1">
                <w:rPr>
                  <w:rFonts w:cs="Arial" w:hint="eastAsia"/>
                  <w:snapToGrid w:val="0"/>
                  <w:sz w:val="20"/>
                  <w:szCs w:val="20"/>
                </w:rPr>
                <w:t>元。</w:t>
              </w:r>
            </w:p>
            <w:p w:rsidR="009124F1" w:rsidRPr="009124F1" w:rsidRDefault="009124F1" w:rsidP="009124F1">
              <w:pPr>
                <w:tabs>
                  <w:tab w:val="left" w:pos="2520"/>
                  <w:tab w:val="decimal" w:pos="5250"/>
                  <w:tab w:val="decimal" w:pos="6510"/>
                  <w:tab w:val="decimal" w:pos="7035"/>
                  <w:tab w:val="decimal" w:pos="8295"/>
                </w:tabs>
                <w:overflowPunct w:val="0"/>
                <w:autoSpaceDE w:val="0"/>
                <w:autoSpaceDN w:val="0"/>
                <w:adjustRightInd w:val="0"/>
                <w:snapToGrid w:val="0"/>
                <w:ind w:left="28"/>
                <w:jc w:val="both"/>
                <w:rPr>
                  <w:rFonts w:cs="Arial"/>
                  <w:snapToGrid w:val="0"/>
                  <w:sz w:val="20"/>
                  <w:szCs w:val="20"/>
                </w:rPr>
              </w:pPr>
            </w:p>
            <w:p w:rsidR="009124F1" w:rsidRPr="009124F1" w:rsidRDefault="009124F1" w:rsidP="009124F1">
              <w:pPr>
                <w:tabs>
                  <w:tab w:val="left" w:pos="2520"/>
                  <w:tab w:val="decimal" w:pos="5250"/>
                  <w:tab w:val="decimal" w:pos="6510"/>
                  <w:tab w:val="decimal" w:pos="7035"/>
                  <w:tab w:val="decimal" w:pos="8295"/>
                </w:tabs>
                <w:overflowPunct w:val="0"/>
                <w:autoSpaceDE w:val="0"/>
                <w:autoSpaceDN w:val="0"/>
                <w:adjustRightInd w:val="0"/>
                <w:snapToGrid w:val="0"/>
                <w:ind w:left="28"/>
                <w:jc w:val="both"/>
                <w:rPr>
                  <w:rFonts w:cs="Arial"/>
                  <w:snapToGrid w:val="0"/>
                  <w:sz w:val="20"/>
                  <w:szCs w:val="20"/>
                </w:rPr>
              </w:pPr>
              <w:r w:rsidRPr="009124F1">
                <w:rPr>
                  <w:rFonts w:cs="Arial" w:hint="eastAsia"/>
                  <w:snapToGrid w:val="0"/>
                  <w:sz w:val="20"/>
                  <w:szCs w:val="20"/>
                </w:rPr>
                <w:t>本集团与中铁建设集团有限公司、洪城市环境建设集团有限公司、北京华清元泰新能源技术开发有限公司和洪城市环境建设集团有限公司等签订的与用友(南昌)产业园工程施工、工程设计相关合同，共计</w:t>
              </w:r>
              <w:r w:rsidRPr="009124F1">
                <w:rPr>
                  <w:rFonts w:cs="Arial"/>
                  <w:snapToGrid w:val="0"/>
                  <w:sz w:val="20"/>
                  <w:szCs w:val="20"/>
                </w:rPr>
                <w:t>693,091,609</w:t>
              </w:r>
              <w:r w:rsidRPr="009124F1">
                <w:rPr>
                  <w:rFonts w:cs="Arial" w:hint="eastAsia"/>
                  <w:snapToGrid w:val="0"/>
                  <w:sz w:val="20"/>
                  <w:szCs w:val="20"/>
                </w:rPr>
                <w:t>元，已支付</w:t>
              </w:r>
              <w:r w:rsidRPr="009124F1">
                <w:rPr>
                  <w:rFonts w:cs="Arial"/>
                  <w:snapToGrid w:val="0"/>
                  <w:sz w:val="20"/>
                  <w:szCs w:val="20"/>
                </w:rPr>
                <w:t>574,999,003</w:t>
              </w:r>
              <w:r w:rsidRPr="009124F1">
                <w:rPr>
                  <w:rFonts w:cs="Arial" w:hint="eastAsia"/>
                  <w:snapToGrid w:val="0"/>
                  <w:sz w:val="20"/>
                  <w:szCs w:val="20"/>
                </w:rPr>
                <w:t>元，资本承诺共计</w:t>
              </w:r>
              <w:r w:rsidRPr="009124F1">
                <w:rPr>
                  <w:rFonts w:cs="Arial"/>
                  <w:snapToGrid w:val="0"/>
                  <w:sz w:val="20"/>
                  <w:szCs w:val="20"/>
                </w:rPr>
                <w:t>118,092,606</w:t>
              </w:r>
              <w:r w:rsidRPr="009124F1">
                <w:rPr>
                  <w:rFonts w:cs="Arial" w:hint="eastAsia"/>
                  <w:snapToGrid w:val="0"/>
                  <w:sz w:val="20"/>
                  <w:szCs w:val="20"/>
                </w:rPr>
                <w:t>元。</w:t>
              </w:r>
            </w:p>
            <w:p w:rsidR="009124F1" w:rsidRPr="009124F1" w:rsidRDefault="009124F1" w:rsidP="009124F1">
              <w:pPr>
                <w:tabs>
                  <w:tab w:val="left" w:pos="2520"/>
                  <w:tab w:val="decimal" w:pos="5250"/>
                  <w:tab w:val="decimal" w:pos="6510"/>
                  <w:tab w:val="decimal" w:pos="7035"/>
                  <w:tab w:val="decimal" w:pos="8295"/>
                </w:tabs>
                <w:overflowPunct w:val="0"/>
                <w:autoSpaceDE w:val="0"/>
                <w:autoSpaceDN w:val="0"/>
                <w:adjustRightInd w:val="0"/>
                <w:snapToGrid w:val="0"/>
                <w:ind w:left="28"/>
                <w:jc w:val="both"/>
                <w:rPr>
                  <w:rFonts w:cs="Arial"/>
                  <w:snapToGrid w:val="0"/>
                  <w:sz w:val="20"/>
                  <w:szCs w:val="20"/>
                </w:rPr>
              </w:pPr>
            </w:p>
            <w:p w:rsidR="009124F1" w:rsidRDefault="009124F1" w:rsidP="009124F1">
              <w:pPr>
                <w:tabs>
                  <w:tab w:val="left" w:pos="2520"/>
                  <w:tab w:val="decimal" w:pos="5250"/>
                  <w:tab w:val="decimal" w:pos="6510"/>
                  <w:tab w:val="decimal" w:pos="7035"/>
                  <w:tab w:val="decimal" w:pos="8295"/>
                </w:tabs>
                <w:overflowPunct w:val="0"/>
                <w:autoSpaceDE w:val="0"/>
                <w:autoSpaceDN w:val="0"/>
                <w:adjustRightInd w:val="0"/>
                <w:snapToGrid w:val="0"/>
                <w:ind w:left="28"/>
                <w:jc w:val="both"/>
                <w:rPr>
                  <w:rFonts w:cs="Arial"/>
                  <w:snapToGrid w:val="0"/>
                  <w:sz w:val="20"/>
                  <w:szCs w:val="20"/>
                </w:rPr>
              </w:pPr>
              <w:r w:rsidRPr="009124F1">
                <w:rPr>
                  <w:rFonts w:cs="Arial" w:hint="eastAsia"/>
                  <w:snapToGrid w:val="0"/>
                  <w:sz w:val="20"/>
                  <w:szCs w:val="20"/>
                </w:rPr>
                <w:t>本集团与武汉岸房建筑工程有限公司、三来亿博房地产顾问有限公司、上海朴利建筑规划设计有限公司等签订的与三亚用友产业园工程设计等相关合同，共计</w:t>
              </w:r>
              <w:r w:rsidRPr="009124F1">
                <w:rPr>
                  <w:rFonts w:cs="Arial"/>
                  <w:snapToGrid w:val="0"/>
                  <w:sz w:val="20"/>
                  <w:szCs w:val="20"/>
                </w:rPr>
                <w:t>230,199,727</w:t>
              </w:r>
              <w:r w:rsidRPr="009124F1">
                <w:rPr>
                  <w:rFonts w:cs="Arial" w:hint="eastAsia"/>
                  <w:snapToGrid w:val="0"/>
                  <w:sz w:val="20"/>
                  <w:szCs w:val="20"/>
                </w:rPr>
                <w:t>元，已支付</w:t>
              </w:r>
              <w:r w:rsidRPr="009124F1">
                <w:rPr>
                  <w:rFonts w:cs="Arial"/>
                  <w:snapToGrid w:val="0"/>
                  <w:sz w:val="20"/>
                  <w:szCs w:val="20"/>
                </w:rPr>
                <w:t>180,446,993</w:t>
              </w:r>
              <w:r w:rsidRPr="009124F1">
                <w:rPr>
                  <w:rFonts w:cs="Arial" w:hint="eastAsia"/>
                  <w:snapToGrid w:val="0"/>
                  <w:sz w:val="20"/>
                  <w:szCs w:val="20"/>
                </w:rPr>
                <w:t>元，资本承诺共计</w:t>
              </w:r>
              <w:r w:rsidRPr="009124F1">
                <w:rPr>
                  <w:rFonts w:cs="Arial"/>
                  <w:snapToGrid w:val="0"/>
                  <w:sz w:val="20"/>
                  <w:szCs w:val="20"/>
                </w:rPr>
                <w:t>49,752,734</w:t>
              </w:r>
              <w:r w:rsidRPr="009124F1">
                <w:rPr>
                  <w:rFonts w:cs="Arial" w:hint="eastAsia"/>
                  <w:snapToGrid w:val="0"/>
                  <w:sz w:val="20"/>
                  <w:szCs w:val="20"/>
                </w:rPr>
                <w:t>元。</w:t>
              </w:r>
            </w:p>
            <w:p w:rsidR="006C2D6E" w:rsidRDefault="006C2D6E" w:rsidP="006C2D6E">
              <w:pPr>
                <w:tabs>
                  <w:tab w:val="left" w:pos="2520"/>
                  <w:tab w:val="decimal" w:pos="5250"/>
                  <w:tab w:val="decimal" w:pos="6510"/>
                  <w:tab w:val="decimal" w:pos="7035"/>
                  <w:tab w:val="decimal" w:pos="8295"/>
                </w:tabs>
                <w:overflowPunct w:val="0"/>
                <w:autoSpaceDE w:val="0"/>
                <w:autoSpaceDN w:val="0"/>
                <w:adjustRightInd w:val="0"/>
                <w:snapToGrid w:val="0"/>
                <w:jc w:val="both"/>
                <w:rPr>
                  <w:rFonts w:cs="Arial"/>
                  <w:snapToGrid w:val="0"/>
                  <w:sz w:val="20"/>
                  <w:szCs w:val="20"/>
                </w:rPr>
              </w:pPr>
            </w:p>
            <w:p w:rsidR="006C2D6E" w:rsidRPr="006C2D6E" w:rsidRDefault="006C2D6E" w:rsidP="006C2D6E">
              <w:pPr>
                <w:tabs>
                  <w:tab w:val="left" w:pos="2520"/>
                  <w:tab w:val="decimal" w:pos="5250"/>
                  <w:tab w:val="decimal" w:pos="6510"/>
                  <w:tab w:val="decimal" w:pos="7035"/>
                  <w:tab w:val="decimal" w:pos="8295"/>
                </w:tabs>
                <w:overflowPunct w:val="0"/>
                <w:autoSpaceDE w:val="0"/>
                <w:autoSpaceDN w:val="0"/>
                <w:adjustRightInd w:val="0"/>
                <w:snapToGrid w:val="0"/>
                <w:jc w:val="both"/>
                <w:rPr>
                  <w:rFonts w:cs="Arial"/>
                  <w:snapToGrid w:val="0"/>
                  <w:sz w:val="20"/>
                  <w:szCs w:val="20"/>
                </w:rPr>
              </w:pPr>
            </w:p>
            <w:p w:rsidR="006C2D6E" w:rsidRPr="006C2D6E" w:rsidRDefault="006C2D6E" w:rsidP="006C2D6E">
              <w:pPr>
                <w:tabs>
                  <w:tab w:val="left" w:pos="2520"/>
                  <w:tab w:val="decimal" w:pos="5250"/>
                  <w:tab w:val="decimal" w:pos="6510"/>
                  <w:tab w:val="decimal" w:pos="7035"/>
                  <w:tab w:val="decimal" w:pos="8295"/>
                </w:tabs>
                <w:overflowPunct w:val="0"/>
                <w:autoSpaceDE w:val="0"/>
                <w:autoSpaceDN w:val="0"/>
                <w:adjustRightInd w:val="0"/>
                <w:snapToGrid w:val="0"/>
                <w:jc w:val="both"/>
                <w:rPr>
                  <w:rFonts w:cs="Arial"/>
                  <w:snapToGrid w:val="0"/>
                  <w:sz w:val="20"/>
                  <w:szCs w:val="20"/>
                </w:rPr>
              </w:pPr>
            </w:p>
            <w:tbl>
              <w:tblPr>
                <w:tblStyle w:val="g35"/>
                <w:tblW w:w="5001" w:type="pct"/>
                <w:tblLayout w:type="fixed"/>
                <w:tblLook w:val="01E0" w:firstRow="1" w:lastRow="1" w:firstColumn="1" w:lastColumn="1" w:noHBand="0" w:noVBand="0"/>
              </w:tblPr>
              <w:tblGrid>
                <w:gridCol w:w="3280"/>
                <w:gridCol w:w="2614"/>
                <w:gridCol w:w="2421"/>
              </w:tblGrid>
              <w:tr w:rsidR="006C2D6E" w:rsidRPr="006C2D6E" w:rsidTr="003F54E5">
                <w:trPr>
                  <w:trHeight w:val="255"/>
                </w:trPr>
                <w:tc>
                  <w:tcPr>
                    <w:tcW w:w="1972" w:type="pct"/>
                    <w:vAlign w:val="bottom"/>
                  </w:tcPr>
                  <w:p w:rsidR="006C2D6E" w:rsidRPr="006C2D6E" w:rsidRDefault="006C2D6E" w:rsidP="003F54E5">
                    <w:pPr>
                      <w:pStyle w:val="Normal3"/>
                      <w:widowControl/>
                      <w:autoSpaceDE w:val="0"/>
                      <w:autoSpaceDN w:val="0"/>
                      <w:spacing w:line="260" w:lineRule="exact"/>
                      <w:ind w:hanging="98"/>
                      <w:textAlignment w:val="bottom"/>
                      <w:rPr>
                        <w:rFonts w:ascii="宋体" w:eastAsia="宋体" w:hAnsi="宋体" w:cs="Arial"/>
                        <w:sz w:val="20"/>
                        <w:lang w:eastAsia="zh-CN"/>
                      </w:rPr>
                    </w:pPr>
                    <w:bookmarkStart w:id="225" w:name="_Hlk16500070"/>
                  </w:p>
                </w:tc>
                <w:tc>
                  <w:tcPr>
                    <w:tcW w:w="1572" w:type="pct"/>
                    <w:vAlign w:val="bottom"/>
                  </w:tcPr>
                  <w:p w:rsidR="006C2D6E" w:rsidRPr="006C2D6E" w:rsidRDefault="006C2D6E" w:rsidP="003F54E5">
                    <w:pPr>
                      <w:pStyle w:val="Normal3"/>
                      <w:widowControl/>
                      <w:autoSpaceDE w:val="0"/>
                      <w:autoSpaceDN w:val="0"/>
                      <w:spacing w:line="260" w:lineRule="exact"/>
                      <w:ind w:right="-84"/>
                      <w:jc w:val="right"/>
                      <w:textAlignment w:val="bottom"/>
                      <w:rPr>
                        <w:rFonts w:ascii="宋体" w:eastAsia="宋体" w:hAnsi="宋体" w:cs="Arial"/>
                        <w:sz w:val="20"/>
                        <w:lang w:eastAsia="zh-CN"/>
                      </w:rPr>
                    </w:pPr>
                    <w:r w:rsidRPr="006C2D6E">
                      <w:rPr>
                        <w:rFonts w:ascii="宋体" w:eastAsia="宋体" w:hAnsi="宋体" w:cs="Arial"/>
                        <w:sz w:val="20"/>
                        <w:lang w:eastAsia="zh-CN"/>
                      </w:rPr>
                      <w:t>2019年6月30日</w:t>
                    </w:r>
                  </w:p>
                </w:tc>
                <w:tc>
                  <w:tcPr>
                    <w:tcW w:w="1456" w:type="pct"/>
                    <w:vAlign w:val="bottom"/>
                  </w:tcPr>
                  <w:p w:rsidR="006C2D6E" w:rsidRPr="006C2D6E" w:rsidRDefault="006C2D6E" w:rsidP="003F54E5">
                    <w:pPr>
                      <w:pStyle w:val="Normal3"/>
                      <w:widowControl/>
                      <w:autoSpaceDE w:val="0"/>
                      <w:autoSpaceDN w:val="0"/>
                      <w:spacing w:line="260" w:lineRule="exact"/>
                      <w:ind w:right="-84"/>
                      <w:jc w:val="right"/>
                      <w:textAlignment w:val="bottom"/>
                      <w:rPr>
                        <w:rFonts w:ascii="宋体" w:eastAsia="宋体" w:hAnsi="宋体" w:cs="Arial"/>
                        <w:sz w:val="20"/>
                        <w:lang w:eastAsia="zh-CN"/>
                      </w:rPr>
                    </w:pPr>
                    <w:r w:rsidRPr="006C2D6E">
                      <w:rPr>
                        <w:rFonts w:ascii="宋体" w:eastAsia="宋体" w:hAnsi="宋体" w:cs="Arial"/>
                        <w:sz w:val="20"/>
                        <w:lang w:eastAsia="zh-CN"/>
                      </w:rPr>
                      <w:t>2018年12月31日</w:t>
                    </w:r>
                  </w:p>
                </w:tc>
              </w:tr>
              <w:tr w:rsidR="006C2D6E" w:rsidRPr="006C2D6E" w:rsidTr="003F54E5">
                <w:trPr>
                  <w:trHeight w:val="255"/>
                </w:trPr>
                <w:tc>
                  <w:tcPr>
                    <w:tcW w:w="1972" w:type="pct"/>
                    <w:vAlign w:val="bottom"/>
                  </w:tcPr>
                  <w:p w:rsidR="006C2D6E" w:rsidRPr="006C2D6E" w:rsidRDefault="006C2D6E" w:rsidP="003F54E5">
                    <w:pPr>
                      <w:pStyle w:val="Normal3"/>
                      <w:widowControl/>
                      <w:autoSpaceDE w:val="0"/>
                      <w:autoSpaceDN w:val="0"/>
                      <w:spacing w:line="260" w:lineRule="exact"/>
                      <w:ind w:hanging="98"/>
                      <w:textAlignment w:val="bottom"/>
                      <w:rPr>
                        <w:rFonts w:ascii="宋体" w:eastAsia="宋体" w:hAnsi="宋体" w:cs="Arial"/>
                        <w:sz w:val="20"/>
                        <w:lang w:eastAsia="zh-CN"/>
                      </w:rPr>
                    </w:pPr>
                    <w:r w:rsidRPr="006C2D6E">
                      <w:rPr>
                        <w:rFonts w:ascii="宋体" w:eastAsia="宋体" w:hAnsi="宋体" w:cs="Arial"/>
                        <w:snapToGrid w:val="0"/>
                        <w:sz w:val="20"/>
                        <w:lang w:eastAsia="zh-CN"/>
                      </w:rPr>
                      <w:t>投资承诺</w:t>
                    </w:r>
                    <w:r w:rsidRPr="006C2D6E">
                      <w:rPr>
                        <w:rFonts w:ascii="宋体" w:eastAsia="宋体" w:hAnsi="宋体" w:cs="Arial"/>
                        <w:snapToGrid w:val="0"/>
                        <w:sz w:val="20"/>
                        <w:lang w:eastAsia="zh-CN"/>
                      </w:rPr>
                      <w:tab/>
                    </w:r>
                    <w:r w:rsidRPr="006C2D6E">
                      <w:rPr>
                        <w:rFonts w:ascii="宋体" w:eastAsia="宋体" w:hAnsi="宋体" w:cs="Arial"/>
                        <w:snapToGrid w:val="0"/>
                        <w:sz w:val="20"/>
                        <w:lang w:eastAsia="zh-CN"/>
                      </w:rPr>
                      <w:tab/>
                    </w:r>
                  </w:p>
                </w:tc>
                <w:tc>
                  <w:tcPr>
                    <w:tcW w:w="1572" w:type="pct"/>
                    <w:vAlign w:val="bottom"/>
                  </w:tcPr>
                  <w:p w:rsidR="006C2D6E" w:rsidRPr="006C2D6E" w:rsidRDefault="006C2D6E" w:rsidP="003F54E5">
                    <w:pPr>
                      <w:pStyle w:val="Normal3"/>
                      <w:widowControl/>
                      <w:autoSpaceDE w:val="0"/>
                      <w:autoSpaceDN w:val="0"/>
                      <w:spacing w:line="260" w:lineRule="exact"/>
                      <w:ind w:right="-84"/>
                      <w:jc w:val="right"/>
                      <w:textAlignment w:val="bottom"/>
                      <w:rPr>
                        <w:rFonts w:ascii="宋体" w:eastAsia="宋体" w:hAnsi="宋体" w:cs="Arial"/>
                        <w:sz w:val="20"/>
                        <w:u w:val="double"/>
                        <w:lang w:eastAsia="zh-CN"/>
                      </w:rPr>
                    </w:pPr>
                  </w:p>
                </w:tc>
                <w:tc>
                  <w:tcPr>
                    <w:tcW w:w="1456" w:type="pct"/>
                    <w:vAlign w:val="bottom"/>
                  </w:tcPr>
                  <w:p w:rsidR="006C2D6E" w:rsidRPr="006C2D6E" w:rsidRDefault="006C2D6E" w:rsidP="003F54E5">
                    <w:pPr>
                      <w:pStyle w:val="Normal3"/>
                      <w:widowControl/>
                      <w:autoSpaceDE w:val="0"/>
                      <w:autoSpaceDN w:val="0"/>
                      <w:spacing w:line="260" w:lineRule="exact"/>
                      <w:ind w:right="-84"/>
                      <w:jc w:val="right"/>
                      <w:textAlignment w:val="bottom"/>
                      <w:rPr>
                        <w:rFonts w:ascii="宋体" w:eastAsia="宋体" w:hAnsi="宋体" w:cs="Arial"/>
                        <w:sz w:val="20"/>
                        <w:u w:val="double"/>
                        <w:lang w:eastAsia="zh-CN"/>
                      </w:rPr>
                    </w:pPr>
                  </w:p>
                </w:tc>
              </w:tr>
              <w:tr w:rsidR="006C2D6E" w:rsidRPr="006C2D6E" w:rsidTr="003F54E5">
                <w:trPr>
                  <w:trHeight w:val="102"/>
                </w:trPr>
                <w:tc>
                  <w:tcPr>
                    <w:tcW w:w="1972" w:type="pct"/>
                    <w:vAlign w:val="bottom"/>
                  </w:tcPr>
                  <w:p w:rsidR="006C2D6E" w:rsidRPr="006C2D6E" w:rsidRDefault="006C2D6E" w:rsidP="003F54E5">
                    <w:pPr>
                      <w:pStyle w:val="Normal3"/>
                      <w:widowControl/>
                      <w:autoSpaceDE w:val="0"/>
                      <w:autoSpaceDN w:val="0"/>
                      <w:spacing w:line="260" w:lineRule="exact"/>
                      <w:ind w:leftChars="-45" w:left="83" w:hanging="177"/>
                      <w:textAlignment w:val="bottom"/>
                      <w:rPr>
                        <w:rFonts w:ascii="宋体" w:eastAsia="宋体" w:hAnsi="宋体" w:cs="Arial"/>
                        <w:snapToGrid w:val="0"/>
                        <w:sz w:val="20"/>
                        <w:lang w:eastAsia="zh-CN"/>
                      </w:rPr>
                    </w:pPr>
                  </w:p>
                </w:tc>
                <w:tc>
                  <w:tcPr>
                    <w:tcW w:w="1572" w:type="pct"/>
                    <w:vAlign w:val="bottom"/>
                  </w:tcPr>
                  <w:p w:rsidR="006C2D6E" w:rsidRPr="006C2D6E" w:rsidRDefault="006C2D6E" w:rsidP="003F54E5">
                    <w:pPr>
                      <w:pStyle w:val="Normal3"/>
                      <w:widowControl/>
                      <w:autoSpaceDE w:val="0"/>
                      <w:autoSpaceDN w:val="0"/>
                      <w:spacing w:line="260" w:lineRule="exact"/>
                      <w:ind w:right="-84"/>
                      <w:jc w:val="right"/>
                      <w:textAlignment w:val="bottom"/>
                      <w:rPr>
                        <w:rFonts w:ascii="宋体" w:eastAsia="宋体" w:hAnsi="宋体" w:cs="Arial"/>
                        <w:sz w:val="20"/>
                        <w:u w:val="double"/>
                        <w:lang w:eastAsia="zh-CN"/>
                      </w:rPr>
                    </w:pPr>
                  </w:p>
                </w:tc>
                <w:tc>
                  <w:tcPr>
                    <w:tcW w:w="1456" w:type="pct"/>
                    <w:vAlign w:val="bottom"/>
                  </w:tcPr>
                  <w:p w:rsidR="006C2D6E" w:rsidRPr="006C2D6E" w:rsidRDefault="006C2D6E" w:rsidP="003F54E5">
                    <w:pPr>
                      <w:pStyle w:val="Normal3"/>
                      <w:widowControl/>
                      <w:autoSpaceDE w:val="0"/>
                      <w:autoSpaceDN w:val="0"/>
                      <w:spacing w:line="260" w:lineRule="exact"/>
                      <w:ind w:right="-84"/>
                      <w:jc w:val="right"/>
                      <w:textAlignment w:val="bottom"/>
                      <w:rPr>
                        <w:rFonts w:ascii="宋体" w:eastAsia="宋体" w:hAnsi="宋体" w:cs="Arial"/>
                        <w:sz w:val="20"/>
                        <w:u w:val="double"/>
                        <w:lang w:eastAsia="zh-CN"/>
                      </w:rPr>
                    </w:pPr>
                  </w:p>
                </w:tc>
              </w:tr>
              <w:tr w:rsidR="006C2D6E" w:rsidRPr="006C2D6E" w:rsidTr="003F54E5">
                <w:trPr>
                  <w:trHeight w:val="255"/>
                </w:trPr>
                <w:tc>
                  <w:tcPr>
                    <w:tcW w:w="1972" w:type="pct"/>
                    <w:vAlign w:val="bottom"/>
                  </w:tcPr>
                  <w:p w:rsidR="006C2D6E" w:rsidRPr="006C2D6E" w:rsidRDefault="006C2D6E" w:rsidP="003F54E5">
                    <w:pPr>
                      <w:pStyle w:val="Normal3"/>
                      <w:widowControl/>
                      <w:autoSpaceDE w:val="0"/>
                      <w:autoSpaceDN w:val="0"/>
                      <w:spacing w:line="260" w:lineRule="exact"/>
                      <w:ind w:leftChars="-45" w:left="83" w:hanging="177"/>
                      <w:textAlignment w:val="bottom"/>
                      <w:rPr>
                        <w:rFonts w:ascii="宋体" w:eastAsia="宋体" w:hAnsi="宋体" w:cs="Arial"/>
                        <w:snapToGrid w:val="0"/>
                        <w:sz w:val="20"/>
                        <w:lang w:eastAsia="zh-CN"/>
                      </w:rPr>
                    </w:pPr>
                    <w:r w:rsidRPr="006C2D6E">
                      <w:rPr>
                        <w:rFonts w:ascii="宋体" w:eastAsia="宋体" w:hAnsi="宋体" w:cs="Arial"/>
                        <w:snapToGrid w:val="0"/>
                        <w:sz w:val="20"/>
                        <w:lang w:eastAsia="zh-CN"/>
                      </w:rPr>
                      <w:t>已签约但未履行(注1)</w:t>
                    </w:r>
                  </w:p>
                </w:tc>
                <w:tc>
                  <w:tcPr>
                    <w:tcW w:w="1572" w:type="pct"/>
                    <w:vAlign w:val="bottom"/>
                  </w:tcPr>
                  <w:p w:rsidR="006C2D6E" w:rsidRPr="006C2D6E" w:rsidRDefault="006C2D6E" w:rsidP="003F54E5">
                    <w:pPr>
                      <w:pStyle w:val="Normal3"/>
                      <w:widowControl/>
                      <w:autoSpaceDE w:val="0"/>
                      <w:autoSpaceDN w:val="0"/>
                      <w:spacing w:line="260" w:lineRule="exact"/>
                      <w:ind w:right="-84"/>
                      <w:jc w:val="right"/>
                      <w:textAlignment w:val="bottom"/>
                      <w:rPr>
                        <w:rFonts w:ascii="宋体" w:eastAsia="宋体" w:hAnsi="宋体" w:cs="Arial"/>
                        <w:sz w:val="20"/>
                        <w:lang w:eastAsia="zh-CN"/>
                      </w:rPr>
                    </w:pPr>
                    <w:r w:rsidRPr="006C2D6E">
                      <w:rPr>
                        <w:rFonts w:ascii="宋体" w:eastAsia="宋体" w:hAnsi="宋体" w:cs="Arial"/>
                        <w:sz w:val="20"/>
                        <w:lang w:eastAsia="zh-CN"/>
                      </w:rPr>
                      <w:t>200,000,000</w:t>
                    </w:r>
                  </w:p>
                </w:tc>
                <w:tc>
                  <w:tcPr>
                    <w:tcW w:w="1456" w:type="pct"/>
                    <w:vAlign w:val="bottom"/>
                  </w:tcPr>
                  <w:p w:rsidR="006C2D6E" w:rsidRPr="006C2D6E" w:rsidRDefault="006C2D6E" w:rsidP="003F54E5">
                    <w:pPr>
                      <w:pStyle w:val="Normal3"/>
                      <w:widowControl/>
                      <w:wordWrap w:val="0"/>
                      <w:autoSpaceDE w:val="0"/>
                      <w:autoSpaceDN w:val="0"/>
                      <w:spacing w:line="260" w:lineRule="exact"/>
                      <w:ind w:right="-84"/>
                      <w:jc w:val="right"/>
                      <w:textAlignment w:val="bottom"/>
                      <w:rPr>
                        <w:rFonts w:ascii="宋体" w:eastAsia="宋体" w:hAnsi="宋体" w:cs="Arial"/>
                        <w:sz w:val="20"/>
                        <w:lang w:eastAsia="zh-CN"/>
                      </w:rPr>
                    </w:pPr>
                    <w:r w:rsidRPr="006C2D6E">
                      <w:rPr>
                        <w:rFonts w:ascii="宋体" w:eastAsia="宋体" w:hAnsi="宋体" w:cs="Arial"/>
                        <w:sz w:val="20"/>
                        <w:lang w:eastAsia="zh-CN"/>
                      </w:rPr>
                      <w:t>200,000,000</w:t>
                    </w:r>
                  </w:p>
                </w:tc>
              </w:tr>
              <w:tr w:rsidR="006C2D6E" w:rsidRPr="006C2D6E" w:rsidTr="003F54E5">
                <w:trPr>
                  <w:trHeight w:val="255"/>
                </w:trPr>
                <w:tc>
                  <w:tcPr>
                    <w:tcW w:w="1972" w:type="pct"/>
                    <w:vAlign w:val="bottom"/>
                  </w:tcPr>
                  <w:p w:rsidR="006C2D6E" w:rsidRPr="006C2D6E" w:rsidRDefault="006C2D6E" w:rsidP="003F54E5">
                    <w:pPr>
                      <w:pStyle w:val="Normal3"/>
                      <w:widowControl/>
                      <w:autoSpaceDE w:val="0"/>
                      <w:autoSpaceDN w:val="0"/>
                      <w:spacing w:line="260" w:lineRule="exact"/>
                      <w:ind w:leftChars="-45" w:left="83" w:hanging="177"/>
                      <w:textAlignment w:val="bottom"/>
                      <w:rPr>
                        <w:rFonts w:ascii="宋体" w:eastAsia="宋体" w:hAnsi="宋体" w:cs="Arial"/>
                        <w:snapToGrid w:val="0"/>
                        <w:sz w:val="20"/>
                        <w:lang w:eastAsia="zh-CN"/>
                      </w:rPr>
                    </w:pPr>
                    <w:r w:rsidRPr="006C2D6E">
                      <w:rPr>
                        <w:rFonts w:ascii="宋体" w:eastAsia="宋体" w:hAnsi="宋体" w:cs="Arial"/>
                        <w:snapToGrid w:val="0"/>
                        <w:sz w:val="20"/>
                        <w:lang w:eastAsia="zh-CN"/>
                      </w:rPr>
                      <w:t>已签约但未完全履行(注2)</w:t>
                    </w:r>
                  </w:p>
                </w:tc>
                <w:tc>
                  <w:tcPr>
                    <w:tcW w:w="1572" w:type="pct"/>
                    <w:vAlign w:val="bottom"/>
                  </w:tcPr>
                  <w:p w:rsidR="006C2D6E" w:rsidRPr="006C2D6E" w:rsidRDefault="006C2D6E" w:rsidP="003F54E5">
                    <w:pPr>
                      <w:pStyle w:val="Normal3"/>
                      <w:widowControl/>
                      <w:autoSpaceDE w:val="0"/>
                      <w:autoSpaceDN w:val="0"/>
                      <w:spacing w:line="260" w:lineRule="exact"/>
                      <w:ind w:right="-84"/>
                      <w:jc w:val="right"/>
                      <w:textAlignment w:val="bottom"/>
                      <w:rPr>
                        <w:rFonts w:ascii="宋体" w:eastAsia="宋体" w:hAnsi="宋体" w:cs="Arial"/>
                        <w:sz w:val="20"/>
                        <w:u w:val="single"/>
                        <w:lang w:eastAsia="zh-CN"/>
                      </w:rPr>
                    </w:pPr>
                    <w:r w:rsidRPr="006C2D6E">
                      <w:rPr>
                        <w:rFonts w:ascii="宋体" w:eastAsia="宋体" w:hAnsi="宋体" w:cs="Arial"/>
                        <w:sz w:val="20"/>
                        <w:u w:val="single"/>
                        <w:lang w:eastAsia="zh-CN"/>
                      </w:rPr>
                      <w:t>105,000,000</w:t>
                    </w:r>
                  </w:p>
                </w:tc>
                <w:tc>
                  <w:tcPr>
                    <w:tcW w:w="1456" w:type="pct"/>
                    <w:vAlign w:val="bottom"/>
                  </w:tcPr>
                  <w:p w:rsidR="006C2D6E" w:rsidRPr="006C2D6E" w:rsidRDefault="006C2D6E" w:rsidP="003F54E5">
                    <w:pPr>
                      <w:pStyle w:val="Normal3"/>
                      <w:widowControl/>
                      <w:autoSpaceDE w:val="0"/>
                      <w:autoSpaceDN w:val="0"/>
                      <w:spacing w:line="260" w:lineRule="exact"/>
                      <w:ind w:right="-84"/>
                      <w:jc w:val="right"/>
                      <w:textAlignment w:val="bottom"/>
                      <w:rPr>
                        <w:rFonts w:ascii="宋体" w:eastAsia="宋体" w:hAnsi="宋体" w:cs="Arial"/>
                        <w:sz w:val="20"/>
                        <w:u w:val="single"/>
                        <w:lang w:eastAsia="zh-CN"/>
                      </w:rPr>
                    </w:pPr>
                    <w:r w:rsidRPr="006C2D6E">
                      <w:rPr>
                        <w:rFonts w:ascii="宋体" w:eastAsia="宋体" w:hAnsi="宋体" w:cs="Arial"/>
                        <w:sz w:val="20"/>
                        <w:u w:val="single"/>
                        <w:lang w:eastAsia="zh-CN"/>
                      </w:rPr>
                      <w:t>105,000,000</w:t>
                    </w:r>
                  </w:p>
                </w:tc>
              </w:tr>
              <w:tr w:rsidR="006C2D6E" w:rsidRPr="006C2D6E" w:rsidTr="003F54E5">
                <w:trPr>
                  <w:trHeight w:val="255"/>
                </w:trPr>
                <w:tc>
                  <w:tcPr>
                    <w:tcW w:w="1972" w:type="pct"/>
                    <w:vAlign w:val="bottom"/>
                  </w:tcPr>
                  <w:p w:rsidR="006C2D6E" w:rsidRPr="006C2D6E" w:rsidRDefault="006C2D6E" w:rsidP="003F54E5">
                    <w:pPr>
                      <w:pStyle w:val="Normal3"/>
                      <w:widowControl/>
                      <w:autoSpaceDE w:val="0"/>
                      <w:autoSpaceDN w:val="0"/>
                      <w:spacing w:line="260" w:lineRule="exact"/>
                      <w:ind w:leftChars="-45" w:left="83" w:hanging="177"/>
                      <w:textAlignment w:val="bottom"/>
                      <w:rPr>
                        <w:rFonts w:ascii="宋体" w:eastAsia="宋体" w:hAnsi="宋体" w:cs="Arial"/>
                        <w:snapToGrid w:val="0"/>
                        <w:sz w:val="20"/>
                        <w:lang w:eastAsia="zh-CN"/>
                      </w:rPr>
                    </w:pPr>
                  </w:p>
                </w:tc>
                <w:tc>
                  <w:tcPr>
                    <w:tcW w:w="1572" w:type="pct"/>
                    <w:vAlign w:val="bottom"/>
                  </w:tcPr>
                  <w:p w:rsidR="006C2D6E" w:rsidRPr="006C2D6E" w:rsidRDefault="006C2D6E" w:rsidP="003F54E5">
                    <w:pPr>
                      <w:pStyle w:val="Normal3"/>
                      <w:widowControl/>
                      <w:autoSpaceDE w:val="0"/>
                      <w:autoSpaceDN w:val="0"/>
                      <w:spacing w:line="260" w:lineRule="exact"/>
                      <w:ind w:right="-84"/>
                      <w:jc w:val="right"/>
                      <w:textAlignment w:val="bottom"/>
                      <w:rPr>
                        <w:rFonts w:ascii="宋体" w:eastAsia="宋体" w:hAnsi="宋体" w:cs="Arial"/>
                        <w:sz w:val="20"/>
                        <w:u w:val="double"/>
                        <w:lang w:eastAsia="zh-CN"/>
                      </w:rPr>
                    </w:pPr>
                  </w:p>
                </w:tc>
                <w:tc>
                  <w:tcPr>
                    <w:tcW w:w="1456" w:type="pct"/>
                    <w:vAlign w:val="bottom"/>
                  </w:tcPr>
                  <w:p w:rsidR="006C2D6E" w:rsidRPr="006C2D6E" w:rsidRDefault="006C2D6E" w:rsidP="003F54E5">
                    <w:pPr>
                      <w:pStyle w:val="Normal3"/>
                      <w:widowControl/>
                      <w:autoSpaceDE w:val="0"/>
                      <w:autoSpaceDN w:val="0"/>
                      <w:spacing w:line="260" w:lineRule="exact"/>
                      <w:ind w:right="-84"/>
                      <w:jc w:val="right"/>
                      <w:textAlignment w:val="bottom"/>
                      <w:rPr>
                        <w:rFonts w:ascii="宋体" w:eastAsia="宋体" w:hAnsi="宋体" w:cs="Arial"/>
                        <w:sz w:val="20"/>
                        <w:lang w:eastAsia="zh-CN"/>
                      </w:rPr>
                    </w:pPr>
                  </w:p>
                </w:tc>
              </w:tr>
              <w:tr w:rsidR="006C2D6E" w:rsidRPr="006C2D6E" w:rsidTr="003F54E5">
                <w:trPr>
                  <w:trHeight w:val="117"/>
                </w:trPr>
                <w:tc>
                  <w:tcPr>
                    <w:tcW w:w="1972" w:type="pct"/>
                    <w:vAlign w:val="bottom"/>
                  </w:tcPr>
                  <w:p w:rsidR="006C2D6E" w:rsidRPr="006C2D6E" w:rsidRDefault="006C2D6E" w:rsidP="003F54E5">
                    <w:pPr>
                      <w:pStyle w:val="Normal3"/>
                      <w:widowControl/>
                      <w:autoSpaceDE w:val="0"/>
                      <w:autoSpaceDN w:val="0"/>
                      <w:spacing w:line="260" w:lineRule="exact"/>
                      <w:ind w:leftChars="-45" w:left="83" w:hanging="177"/>
                      <w:textAlignment w:val="bottom"/>
                      <w:rPr>
                        <w:rFonts w:ascii="宋体" w:eastAsia="宋体" w:hAnsi="宋体" w:cs="Arial"/>
                        <w:snapToGrid w:val="0"/>
                        <w:sz w:val="20"/>
                        <w:lang w:eastAsia="zh-CN"/>
                      </w:rPr>
                    </w:pPr>
                  </w:p>
                </w:tc>
                <w:tc>
                  <w:tcPr>
                    <w:tcW w:w="1572" w:type="pct"/>
                    <w:vAlign w:val="bottom"/>
                  </w:tcPr>
                  <w:p w:rsidR="006C2D6E" w:rsidRPr="006C2D6E" w:rsidRDefault="006C2D6E" w:rsidP="003F54E5">
                    <w:pPr>
                      <w:pStyle w:val="Normal3"/>
                      <w:widowControl/>
                      <w:autoSpaceDE w:val="0"/>
                      <w:autoSpaceDN w:val="0"/>
                      <w:spacing w:line="260" w:lineRule="exact"/>
                      <w:ind w:right="-84"/>
                      <w:jc w:val="right"/>
                      <w:textAlignment w:val="bottom"/>
                      <w:rPr>
                        <w:rFonts w:ascii="宋体" w:eastAsia="宋体" w:hAnsi="宋体" w:cs="Arial"/>
                        <w:sz w:val="20"/>
                        <w:u w:val="double"/>
                        <w:lang w:eastAsia="zh-CN"/>
                      </w:rPr>
                    </w:pPr>
                    <w:r w:rsidRPr="006C2D6E">
                      <w:rPr>
                        <w:rFonts w:ascii="宋体" w:eastAsia="宋体" w:hAnsi="宋体" w:cs="Arial"/>
                        <w:sz w:val="20"/>
                        <w:u w:val="double"/>
                        <w:lang w:eastAsia="zh-CN"/>
                      </w:rPr>
                      <w:t>305,000,000</w:t>
                    </w:r>
                  </w:p>
                </w:tc>
                <w:tc>
                  <w:tcPr>
                    <w:tcW w:w="1456" w:type="pct"/>
                    <w:vAlign w:val="bottom"/>
                  </w:tcPr>
                  <w:p w:rsidR="006C2D6E" w:rsidRPr="006C2D6E" w:rsidRDefault="006C2D6E" w:rsidP="003F54E5">
                    <w:pPr>
                      <w:pStyle w:val="Normal3"/>
                      <w:widowControl/>
                      <w:wordWrap w:val="0"/>
                      <w:autoSpaceDE w:val="0"/>
                      <w:autoSpaceDN w:val="0"/>
                      <w:spacing w:line="260" w:lineRule="exact"/>
                      <w:ind w:right="-84"/>
                      <w:jc w:val="right"/>
                      <w:textAlignment w:val="bottom"/>
                      <w:rPr>
                        <w:rFonts w:ascii="宋体" w:eastAsia="宋体" w:hAnsi="宋体" w:cs="Arial"/>
                        <w:sz w:val="20"/>
                        <w:u w:val="double"/>
                        <w:lang w:eastAsia="zh-CN"/>
                      </w:rPr>
                    </w:pPr>
                    <w:r w:rsidRPr="006C2D6E">
                      <w:rPr>
                        <w:rFonts w:ascii="宋体" w:eastAsia="宋体" w:hAnsi="宋体" w:cs="Arial"/>
                        <w:sz w:val="20"/>
                        <w:u w:val="double"/>
                        <w:lang w:eastAsia="zh-CN"/>
                      </w:rPr>
                      <w:t>305,000,000</w:t>
                    </w:r>
                  </w:p>
                </w:tc>
              </w:tr>
              <w:bookmarkEnd w:id="225"/>
            </w:tbl>
            <w:p w:rsidR="006C2D6E" w:rsidRPr="006C2D6E" w:rsidRDefault="006C2D6E" w:rsidP="006C2D6E">
              <w:pPr>
                <w:tabs>
                  <w:tab w:val="left" w:pos="2520"/>
                  <w:tab w:val="decimal" w:pos="5250"/>
                  <w:tab w:val="decimal" w:pos="6510"/>
                  <w:tab w:val="decimal" w:pos="7035"/>
                  <w:tab w:val="decimal" w:pos="8295"/>
                </w:tabs>
                <w:overflowPunct w:val="0"/>
                <w:autoSpaceDE w:val="0"/>
                <w:autoSpaceDN w:val="0"/>
                <w:adjustRightInd w:val="0"/>
                <w:snapToGrid w:val="0"/>
                <w:ind w:left="28"/>
                <w:jc w:val="both"/>
                <w:rPr>
                  <w:rFonts w:cs="Arial"/>
                  <w:snapToGrid w:val="0"/>
                  <w:sz w:val="20"/>
                  <w:szCs w:val="20"/>
                </w:rPr>
              </w:pPr>
            </w:p>
            <w:p w:rsidR="006C2D6E" w:rsidRPr="006C2D6E" w:rsidRDefault="006C2D6E" w:rsidP="006C2D6E">
              <w:pPr>
                <w:tabs>
                  <w:tab w:val="left" w:pos="2520"/>
                  <w:tab w:val="decimal" w:pos="5250"/>
                  <w:tab w:val="decimal" w:pos="6510"/>
                  <w:tab w:val="decimal" w:pos="7035"/>
                  <w:tab w:val="decimal" w:pos="8295"/>
                </w:tabs>
                <w:overflowPunct w:val="0"/>
                <w:autoSpaceDE w:val="0"/>
                <w:autoSpaceDN w:val="0"/>
                <w:adjustRightInd w:val="0"/>
                <w:snapToGrid w:val="0"/>
                <w:ind w:left="28"/>
                <w:jc w:val="both"/>
                <w:rPr>
                  <w:rFonts w:cs="Arial"/>
                  <w:snapToGrid w:val="0"/>
                  <w:sz w:val="20"/>
                  <w:szCs w:val="20"/>
                </w:rPr>
              </w:pPr>
              <w:r w:rsidRPr="006C2D6E">
                <w:rPr>
                  <w:rFonts w:cs="Arial" w:hint="eastAsia"/>
                  <w:snapToGrid w:val="0"/>
                  <w:sz w:val="20"/>
                  <w:szCs w:val="20"/>
                </w:rPr>
                <w:t>注1. 本公司与江铃汽车集团公司等6家公司共同投资发起设立友泰财产保险股份有限公司，公司出资额为2亿元人民币，尚未出资。</w:t>
              </w:r>
            </w:p>
            <w:p w:rsidR="006C2D6E" w:rsidRPr="006C2D6E" w:rsidRDefault="006C2D6E" w:rsidP="006C2D6E">
              <w:pPr>
                <w:tabs>
                  <w:tab w:val="left" w:pos="2520"/>
                  <w:tab w:val="decimal" w:pos="5250"/>
                  <w:tab w:val="decimal" w:pos="6510"/>
                  <w:tab w:val="decimal" w:pos="7035"/>
                  <w:tab w:val="decimal" w:pos="8295"/>
                </w:tabs>
                <w:overflowPunct w:val="0"/>
                <w:autoSpaceDE w:val="0"/>
                <w:autoSpaceDN w:val="0"/>
                <w:adjustRightInd w:val="0"/>
                <w:snapToGrid w:val="0"/>
                <w:ind w:left="28"/>
                <w:jc w:val="both"/>
                <w:rPr>
                  <w:rFonts w:cs="Arial"/>
                  <w:snapToGrid w:val="0"/>
                  <w:sz w:val="20"/>
                  <w:szCs w:val="20"/>
                </w:rPr>
              </w:pPr>
            </w:p>
            <w:p w:rsidR="006C2D6E" w:rsidRPr="006C2D6E" w:rsidRDefault="006C2D6E" w:rsidP="006C2D6E">
              <w:pPr>
                <w:tabs>
                  <w:tab w:val="left" w:pos="2520"/>
                  <w:tab w:val="decimal" w:pos="5250"/>
                  <w:tab w:val="decimal" w:pos="6510"/>
                  <w:tab w:val="decimal" w:pos="7035"/>
                  <w:tab w:val="decimal" w:pos="8295"/>
                </w:tabs>
                <w:overflowPunct w:val="0"/>
                <w:autoSpaceDE w:val="0"/>
                <w:autoSpaceDN w:val="0"/>
                <w:adjustRightInd w:val="0"/>
                <w:snapToGrid w:val="0"/>
                <w:ind w:left="28"/>
                <w:jc w:val="both"/>
                <w:rPr>
                  <w:rFonts w:cs="Arial"/>
                  <w:snapToGrid w:val="0"/>
                  <w:sz w:val="20"/>
                  <w:szCs w:val="20"/>
                </w:rPr>
              </w:pPr>
              <w:r w:rsidRPr="006C2D6E">
                <w:rPr>
                  <w:rFonts w:cs="Arial" w:hint="eastAsia"/>
                  <w:snapToGrid w:val="0"/>
                  <w:sz w:val="20"/>
                  <w:szCs w:val="20"/>
                </w:rPr>
                <w:t>注2. 本公司与北京中关村大河资本投资管理中心（有限合伙）等22家合伙人共同投资设立北京中关村并购母基金投资中心(有限合伙)，公司出资额为1.5亿人民币，已出资0.45亿元，投资承诺为1.05亿元。</w:t>
              </w:r>
            </w:p>
            <w:p w:rsidR="006C2D6E" w:rsidRPr="006C2D6E" w:rsidRDefault="006C2D6E" w:rsidP="006C2D6E">
              <w:pPr>
                <w:tabs>
                  <w:tab w:val="left" w:pos="2520"/>
                  <w:tab w:val="decimal" w:pos="5250"/>
                  <w:tab w:val="decimal" w:pos="6510"/>
                  <w:tab w:val="decimal" w:pos="7035"/>
                  <w:tab w:val="decimal" w:pos="8295"/>
                </w:tabs>
                <w:overflowPunct w:val="0"/>
                <w:autoSpaceDE w:val="0"/>
                <w:autoSpaceDN w:val="0"/>
                <w:adjustRightInd w:val="0"/>
                <w:snapToGrid w:val="0"/>
                <w:ind w:left="28"/>
                <w:jc w:val="both"/>
                <w:rPr>
                  <w:rFonts w:cs="Arial"/>
                  <w:snapToGrid w:val="0"/>
                  <w:sz w:val="20"/>
                  <w:szCs w:val="20"/>
                </w:rPr>
              </w:pPr>
            </w:p>
            <w:p w:rsidR="006C2D6E" w:rsidRPr="006C2D6E" w:rsidRDefault="006C2D6E" w:rsidP="006C2D6E">
              <w:pPr>
                <w:tabs>
                  <w:tab w:val="left" w:pos="2520"/>
                  <w:tab w:val="decimal" w:pos="5250"/>
                  <w:tab w:val="decimal" w:pos="6510"/>
                  <w:tab w:val="decimal" w:pos="7035"/>
                  <w:tab w:val="decimal" w:pos="8295"/>
                </w:tabs>
                <w:overflowPunct w:val="0"/>
                <w:autoSpaceDE w:val="0"/>
                <w:autoSpaceDN w:val="0"/>
                <w:adjustRightInd w:val="0"/>
                <w:snapToGrid w:val="0"/>
                <w:ind w:left="28"/>
                <w:jc w:val="both"/>
                <w:rPr>
                  <w:rFonts w:cs="Arial"/>
                  <w:snapToGrid w:val="0"/>
                  <w:sz w:val="20"/>
                  <w:szCs w:val="20"/>
                </w:rPr>
              </w:pPr>
              <w:r w:rsidRPr="006C2D6E">
                <w:rPr>
                  <w:rFonts w:cs="Arial"/>
                  <w:snapToGrid w:val="0"/>
                  <w:sz w:val="20"/>
                  <w:szCs w:val="20"/>
                </w:rPr>
                <w:t>于2019年6月30日，除上述已披露的事项外，本集团无其他需作披露的重大承诺事项。</w:t>
              </w:r>
            </w:p>
            <w:p w:rsidR="006C2D6E" w:rsidRPr="006C2D6E" w:rsidRDefault="006C2D6E" w:rsidP="006C2D6E">
              <w:pPr>
                <w:tabs>
                  <w:tab w:val="left" w:pos="2520"/>
                  <w:tab w:val="decimal" w:pos="5250"/>
                  <w:tab w:val="decimal" w:pos="6510"/>
                  <w:tab w:val="decimal" w:pos="7035"/>
                  <w:tab w:val="decimal" w:pos="8295"/>
                </w:tabs>
                <w:overflowPunct w:val="0"/>
                <w:autoSpaceDE w:val="0"/>
                <w:autoSpaceDN w:val="0"/>
                <w:adjustRightInd w:val="0"/>
                <w:snapToGrid w:val="0"/>
                <w:jc w:val="both"/>
                <w:rPr>
                  <w:rFonts w:cs="Arial"/>
                  <w:snapToGrid w:val="0"/>
                  <w:sz w:val="20"/>
                  <w:szCs w:val="20"/>
                </w:rPr>
                <w:sectPr w:rsidR="006C2D6E" w:rsidRPr="006C2D6E" w:rsidSect="003F54E5">
                  <w:pgSz w:w="11907" w:h="16840" w:code="9"/>
                  <w:pgMar w:top="1440" w:right="1797" w:bottom="1440" w:left="1797" w:header="720" w:footer="720" w:gutter="0"/>
                  <w:cols w:space="720"/>
                  <w:titlePg/>
                  <w:docGrid w:linePitch="360"/>
                </w:sectPr>
              </w:pPr>
            </w:p>
            <w:p w:rsidR="00ED2DC7" w:rsidRDefault="000D0A99">
              <w:pPr>
                <w:rPr>
                  <w:rFonts w:cs="Cambria"/>
                  <w:bCs/>
                </w:rPr>
              </w:pPr>
            </w:p>
          </w:sdtContent>
        </w:sdt>
      </w:sdtContent>
    </w:sdt>
    <w:p w:rsidR="00ED2DC7" w:rsidRDefault="00ED2DC7" w:rsidP="00036BDC">
      <w:pPr>
        <w:pStyle w:val="affffffffffffffffff1"/>
        <w:numPr>
          <w:ilvl w:val="0"/>
          <w:numId w:val="94"/>
        </w:numPr>
      </w:pPr>
      <w:r>
        <w:rPr>
          <w:rFonts w:hint="eastAsia"/>
        </w:rPr>
        <w:t>或有事项</w:t>
      </w:r>
    </w:p>
    <w:sdt>
      <w:sdtPr>
        <w:rPr>
          <w:rFonts w:ascii="宋体" w:hAnsi="宋体" w:cs="宋体" w:hint="eastAsia"/>
          <w:b w:val="0"/>
          <w:bCs w:val="0"/>
          <w:kern w:val="0"/>
          <w:szCs w:val="24"/>
        </w:rPr>
        <w:alias w:val="模块:资产负债表日存在的或有事项"/>
        <w:tag w:val="_GBC_c667d796bd114ba58f4592903a5601f3"/>
        <w:id w:val="-1273013562"/>
        <w:lock w:val="sdtLocked"/>
        <w:placeholder>
          <w:docPart w:val="GBC22222222222222222222222222222"/>
        </w:placeholder>
      </w:sdtPr>
      <w:sdtEndPr>
        <w:rPr>
          <w:rFonts w:asciiTheme="minorHAnsi" w:hAnsiTheme="minorHAnsi" w:cstheme="minorBidi"/>
        </w:rPr>
      </w:sdtEndPr>
      <w:sdtContent>
        <w:p w:rsidR="00ED2DC7" w:rsidRDefault="00ED2DC7" w:rsidP="00036BDC">
          <w:pPr>
            <w:pStyle w:val="affffffffffffffffff2"/>
            <w:numPr>
              <w:ilvl w:val="0"/>
              <w:numId w:val="95"/>
            </w:numPr>
            <w:tabs>
              <w:tab w:val="left" w:pos="616"/>
            </w:tabs>
          </w:pPr>
          <w:r>
            <w:rPr>
              <w:rFonts w:hint="eastAsia"/>
            </w:rPr>
            <w:t>资产负债表日存在的重要或有事项</w:t>
          </w:r>
        </w:p>
        <w:sdt>
          <w:sdtPr>
            <w:alias w:val="是否适用：资产负债表日存在的重要或有事项[双击切换]"/>
            <w:tag w:val="_GBC_dea854a30b4642f6b78351afe6791c32"/>
            <w:id w:val="767119202"/>
            <w:lock w:val="sdtContentLocked"/>
            <w:placeholder>
              <w:docPart w:val="GBC22222222222222222222222222222"/>
            </w:placeholder>
          </w:sdtPr>
          <w:sdtContent>
            <w:p w:rsidR="006C0381" w:rsidRDefault="00ED2DC7" w:rsidP="006C0381">
              <w:r>
                <w:fldChar w:fldCharType="begin"/>
              </w:r>
              <w:r w:rsidR="006C0381">
                <w:instrText xml:space="preserve"> MACROBUTTON  SnrToggleCheckbox □适用 </w:instrText>
              </w:r>
              <w:r>
                <w:fldChar w:fldCharType="end"/>
              </w:r>
              <w:r>
                <w:fldChar w:fldCharType="begin"/>
              </w:r>
              <w:r w:rsidR="006C0381">
                <w:instrText xml:space="preserve"> MACROBUTTON  SnrToggleCheckbox √不适用 </w:instrText>
              </w:r>
              <w:r>
                <w:fldChar w:fldCharType="end"/>
              </w:r>
            </w:p>
          </w:sdtContent>
        </w:sdt>
        <w:p w:rsidR="00ED2DC7" w:rsidRDefault="000D0A99"/>
      </w:sdtContent>
    </w:sdt>
    <w:sdt>
      <w:sdtPr>
        <w:rPr>
          <w:rFonts w:ascii="宋体" w:hAnsi="宋体" w:cs="宋体" w:hint="eastAsia"/>
          <w:b w:val="0"/>
          <w:bCs w:val="0"/>
          <w:kern w:val="0"/>
          <w:szCs w:val="24"/>
        </w:rPr>
        <w:alias w:val="模块:公司没有需要披露的或有事项，也应予以说明"/>
        <w:tag w:val="_GBC_428b07d001974f7390d8bb4142377be9"/>
        <w:id w:val="1584732345"/>
        <w:lock w:val="sdtLocked"/>
        <w:placeholder>
          <w:docPart w:val="GBC22222222222222222222222222222"/>
        </w:placeholder>
      </w:sdtPr>
      <w:sdtEndPr>
        <w:rPr>
          <w:rFonts w:asciiTheme="minorHAnsi" w:hAnsiTheme="minorHAnsi" w:cstheme="minorBidi"/>
        </w:rPr>
      </w:sdtEndPr>
      <w:sdtContent>
        <w:p w:rsidR="00ED2DC7" w:rsidRDefault="00ED2DC7" w:rsidP="00036BDC">
          <w:pPr>
            <w:pStyle w:val="affffffffffffffffff2"/>
            <w:numPr>
              <w:ilvl w:val="0"/>
              <w:numId w:val="95"/>
            </w:numPr>
            <w:tabs>
              <w:tab w:val="left" w:pos="616"/>
            </w:tabs>
          </w:pPr>
          <w:r>
            <w:rPr>
              <w:rFonts w:hint="eastAsia"/>
            </w:rPr>
            <w:t>公司没有需要披露的重要或有事项，也应予以说明：</w:t>
          </w:r>
        </w:p>
        <w:sdt>
          <w:sdtPr>
            <w:alias w:val="是否适用：公司没有需要披露的重要或有事项，也应予以说明[双击切换]"/>
            <w:tag w:val="_GBC_a0545390a9694adcaaee8509e290303c"/>
            <w:id w:val="-1179885440"/>
            <w:lock w:val="sdtContentLocked"/>
            <w:placeholder>
              <w:docPart w:val="GBC22222222222222222222222222222"/>
            </w:placeholder>
          </w:sdtPr>
          <w:sdtContent>
            <w:p w:rsidR="00ED2DC7" w:rsidRDefault="00ED2DC7" w:rsidP="00426920">
              <w:r>
                <w:fldChar w:fldCharType="begin"/>
              </w:r>
              <w:r w:rsidR="00426920">
                <w:instrText xml:space="preserve"> MACROBUTTON  SnrToggleCheckbox □适用 </w:instrText>
              </w:r>
              <w:r>
                <w:fldChar w:fldCharType="end"/>
              </w:r>
              <w:r>
                <w:fldChar w:fldCharType="begin"/>
              </w:r>
              <w:r w:rsidR="00426920">
                <w:instrText xml:space="preserve"> MACROBUTTON  SnrToggleCheckbox √不适用 </w:instrText>
              </w:r>
              <w:r>
                <w:fldChar w:fldCharType="end"/>
              </w:r>
            </w:p>
          </w:sdtContent>
        </w:sdt>
        <w:p w:rsidR="00ED2DC7" w:rsidRDefault="000D0A99">
          <w:pPr>
            <w:rPr>
              <w:rFonts w:asciiTheme="minorHAnsi" w:hAnsiTheme="minorHAnsi" w:cstheme="minorBidi"/>
            </w:rPr>
          </w:pPr>
        </w:p>
      </w:sdtContent>
    </w:sdt>
    <w:sdt>
      <w:sdtPr>
        <w:rPr>
          <w:rFonts w:ascii="宋体" w:hAnsi="宋体" w:cs="宋体"/>
          <w:b w:val="0"/>
          <w:bCs w:val="0"/>
          <w:kern w:val="0"/>
          <w:szCs w:val="24"/>
        </w:rPr>
        <w:alias w:val="模块:承诺及或有事项的其他情况说明"/>
        <w:tag w:val="_GBC_7967de77d1eb4fa3968e072c7d0d24ca"/>
        <w:id w:val="-2075109474"/>
        <w:lock w:val="sdtLocked"/>
        <w:placeholder>
          <w:docPart w:val="GBC22222222222222222222222222222"/>
        </w:placeholder>
      </w:sdtPr>
      <w:sdtContent>
        <w:p w:rsidR="00ED2DC7" w:rsidRDefault="00ED2DC7" w:rsidP="00036BDC">
          <w:pPr>
            <w:pStyle w:val="affffffffffffffffff1"/>
            <w:numPr>
              <w:ilvl w:val="0"/>
              <w:numId w:val="94"/>
            </w:numPr>
          </w:pPr>
          <w:r>
            <w:rPr>
              <w:rFonts w:hint="eastAsia"/>
            </w:rPr>
            <w:t>其他</w:t>
          </w:r>
        </w:p>
        <w:sdt>
          <w:sdtPr>
            <w:alias w:val="是否适用：承诺及或有事项的其他情况说明[双击切换]"/>
            <w:tag w:val="_GBC_ff33b21a56eb4d3291f2b4875be5a2b2"/>
            <w:id w:val="-1315630574"/>
            <w:lock w:val="sdtContentLocked"/>
            <w:placeholder>
              <w:docPart w:val="GBC22222222222222222222222222222"/>
            </w:placeholder>
          </w:sdtPr>
          <w:sdtContent>
            <w:p w:rsidR="006C0381" w:rsidRDefault="00ED2DC7" w:rsidP="006C0381">
              <w:r>
                <w:fldChar w:fldCharType="begin"/>
              </w:r>
              <w:r w:rsidR="006C0381">
                <w:instrText xml:space="preserve"> MACROBUTTON  SnrToggleCheckbox □适用 </w:instrText>
              </w:r>
              <w:r>
                <w:fldChar w:fldCharType="end"/>
              </w:r>
              <w:r>
                <w:fldChar w:fldCharType="begin"/>
              </w:r>
              <w:r w:rsidR="006C0381">
                <w:instrText xml:space="preserve"> MACROBUTTON  SnrToggleCheckbox √不适用 </w:instrText>
              </w:r>
              <w:r>
                <w:fldChar w:fldCharType="end"/>
              </w:r>
            </w:p>
          </w:sdtContent>
        </w:sdt>
        <w:p w:rsidR="00ED2DC7" w:rsidRDefault="000D0A99" w:rsidP="00426920"/>
      </w:sdtContent>
    </w:sdt>
    <w:p w:rsidR="00ED2DC7" w:rsidRDefault="00ED2DC7"/>
    <w:p w:rsidR="00ED2DC7" w:rsidRDefault="00ED2DC7" w:rsidP="00036BDC">
      <w:pPr>
        <w:pStyle w:val="affffffffffffffffff0"/>
        <w:numPr>
          <w:ilvl w:val="0"/>
          <w:numId w:val="35"/>
        </w:numPr>
      </w:pPr>
      <w:r>
        <w:rPr>
          <w:rFonts w:hint="eastAsia"/>
        </w:rPr>
        <w:t>资产负债表日后事项</w:t>
      </w:r>
    </w:p>
    <w:sdt>
      <w:sdtPr>
        <w:rPr>
          <w:rFonts w:ascii="宋体" w:hAnsi="宋体" w:cs="宋体" w:hint="eastAsia"/>
          <w:b w:val="0"/>
          <w:bCs w:val="0"/>
          <w:kern w:val="0"/>
          <w:szCs w:val="24"/>
        </w:rPr>
        <w:alias w:val="模块:重要的非调整事项"/>
        <w:tag w:val="_GBC_5d1bcf8f61b9443ba6ffa54897c724fc"/>
        <w:id w:val="-750960384"/>
        <w:lock w:val="sdtLocked"/>
        <w:placeholder>
          <w:docPart w:val="GBC22222222222222222222222222222"/>
        </w:placeholder>
      </w:sdtPr>
      <w:sdtEndPr>
        <w:rPr>
          <w:rFonts w:asciiTheme="minorHAnsi" w:eastAsiaTheme="minorEastAsia" w:hAnsiTheme="minorHAnsi" w:cstheme="minorBidi"/>
          <w:szCs w:val="22"/>
        </w:rPr>
      </w:sdtEndPr>
      <w:sdtContent>
        <w:p w:rsidR="00ED2DC7" w:rsidRDefault="00ED2DC7" w:rsidP="00036BDC">
          <w:pPr>
            <w:pStyle w:val="affffffffffffffffff1"/>
            <w:numPr>
              <w:ilvl w:val="0"/>
              <w:numId w:val="96"/>
            </w:numPr>
          </w:pPr>
          <w:r>
            <w:rPr>
              <w:rFonts w:hint="eastAsia"/>
            </w:rPr>
            <w:t>重要的非调整事项</w:t>
          </w:r>
        </w:p>
        <w:sdt>
          <w:sdtPr>
            <w:alias w:val="是否适用：重要的非调整事项[双击切换]"/>
            <w:tag w:val="_GBC_ab366a8fb12748d6aa2a8401b360857c"/>
            <w:id w:val="-1919778286"/>
            <w:lock w:val="sdtContentLocked"/>
            <w:placeholder>
              <w:docPart w:val="GBC22222222222222222222222222222"/>
            </w:placeholder>
          </w:sdtPr>
          <w:sdtContent>
            <w:p w:rsidR="00B637B2" w:rsidRDefault="00ED2DC7" w:rsidP="00B637B2">
              <w:r>
                <w:fldChar w:fldCharType="begin"/>
              </w:r>
              <w:r w:rsidR="008F04CF">
                <w:instrText xml:space="preserve"> MACROBUTTON  SnrToggleCheckbox √适用 </w:instrText>
              </w:r>
              <w:r>
                <w:fldChar w:fldCharType="end"/>
              </w:r>
              <w:r>
                <w:fldChar w:fldCharType="begin"/>
              </w:r>
              <w:r w:rsidR="008F04CF">
                <w:instrText xml:space="preserve"> MACROBUTTON  SnrToggleCheckbox □不适用 </w:instrText>
              </w:r>
              <w:r>
                <w:fldChar w:fldCharType="end"/>
              </w:r>
            </w:p>
          </w:sdtContent>
        </w:sdt>
        <w:p w:rsidR="00B637B2" w:rsidRDefault="008F04CF">
          <w:pPr>
            <w:wordWrap w:val="0"/>
            <w:jc w:val="right"/>
          </w:pPr>
          <w:r>
            <w:rPr>
              <w:rFonts w:hint="eastAsia"/>
            </w:rPr>
            <w:t>单位：</w:t>
          </w:r>
          <w:sdt>
            <w:sdtPr>
              <w:rPr>
                <w:rFonts w:hint="eastAsia"/>
              </w:rPr>
              <w:alias w:val="单位：财务附注：重要的资产负债表日后事项说明"/>
              <w:tag w:val="_GBC_0f7699e14e674e3caaeea9641b053f7f"/>
              <w:id w:val="1443113478"/>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重要的资产负债表日后事项说明"/>
              <w:tag w:val="_GBC_8f41a55758654959b3e9fe18b99d7d6a"/>
              <w:id w:val="184211542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p w:rsidR="00B637B2" w:rsidRDefault="00B637B2"/>
        <w:p w:rsidR="006C2D6E" w:rsidRDefault="006C2D6E">
          <w:r w:rsidRPr="006C2D6E">
            <w:rPr>
              <w:rFonts w:hint="eastAsia"/>
            </w:rPr>
            <w:t>本公司于</w:t>
          </w:r>
          <w:r w:rsidRPr="006C2D6E">
            <w:t>2019年7月18日召开第七届董事会第三十八次会议，会议审议通过《公司关于股权激励计划股票期权符合行权条件的议案》，同意为符合解锁条件的1,266名激励对象所持有的限制性股票解锁，可解锁数量为8,930,125股，本次解锁的限制性股票可上市流通日为2018年8月6日；会议审议通过《公司关于股权激励计划股票期权符合行权条件的议案》，1,269名股票期权激励对象符合首次授予的第一期股票期权行权条件，本次可行权股票期权数量17,891,892份。</w:t>
          </w:r>
        </w:p>
        <w:p w:rsidR="00ED2DC7" w:rsidRDefault="000D0A99"/>
      </w:sdtContent>
    </w:sdt>
    <w:sdt>
      <w:sdtPr>
        <w:rPr>
          <w:rFonts w:ascii="宋体" w:hAnsi="宋体" w:cs="宋体" w:hint="eastAsia"/>
          <w:b w:val="0"/>
          <w:bCs w:val="0"/>
          <w:kern w:val="0"/>
          <w:szCs w:val="24"/>
        </w:rPr>
        <w:alias w:val="模块:资产负债表日后利润分配情况说明"/>
        <w:tag w:val="_GBC_0fa3d44599d34674894cec144baccd50"/>
        <w:id w:val="-1818408762"/>
        <w:lock w:val="sdtLocked"/>
        <w:placeholder>
          <w:docPart w:val="GBC22222222222222222222222222222"/>
        </w:placeholder>
      </w:sdtPr>
      <w:sdtEndPr>
        <w:rPr>
          <w:rFonts w:asciiTheme="minorHAnsi" w:eastAsiaTheme="minorEastAsia" w:hAnsiTheme="minorHAnsi" w:cstheme="minorBidi" w:hint="default"/>
          <w:szCs w:val="21"/>
        </w:rPr>
      </w:sdtEndPr>
      <w:sdtContent>
        <w:p w:rsidR="00ED2DC7" w:rsidRDefault="00ED2DC7" w:rsidP="00036BDC">
          <w:pPr>
            <w:pStyle w:val="affffffffffffffffff1"/>
            <w:numPr>
              <w:ilvl w:val="0"/>
              <w:numId w:val="96"/>
            </w:numPr>
          </w:pPr>
          <w:r>
            <w:rPr>
              <w:rFonts w:hint="eastAsia"/>
            </w:rPr>
            <w:t>利润分配情况</w:t>
          </w:r>
        </w:p>
        <w:p w:rsidR="00ED2DC7" w:rsidRDefault="000D0A99" w:rsidP="00426920">
          <w:pPr>
            <w:rPr>
              <w:szCs w:val="21"/>
            </w:rPr>
          </w:pPr>
          <w:sdt>
            <w:sdtPr>
              <w:alias w:val="是否适用：利润分配情况[双击切换]"/>
              <w:tag w:val="_GBC_a2ea8cd0604f474db0e7e62eb7fc0435"/>
              <w:id w:val="-4057158"/>
              <w:lock w:val="sdtContentLocked"/>
              <w:placeholder>
                <w:docPart w:val="GBC22222222222222222222222222222"/>
              </w:placeholder>
            </w:sdtPr>
            <w:sdtContent>
              <w:r w:rsidR="00ED2DC7">
                <w:fldChar w:fldCharType="begin"/>
              </w:r>
              <w:r w:rsidR="00426920">
                <w:instrText xml:space="preserve"> MACROBUTTON  SnrToggleCheckbox □适用 </w:instrText>
              </w:r>
              <w:r w:rsidR="00ED2DC7">
                <w:fldChar w:fldCharType="end"/>
              </w:r>
              <w:r w:rsidR="00ED2DC7">
                <w:fldChar w:fldCharType="begin"/>
              </w:r>
              <w:r w:rsidR="00426920">
                <w:instrText xml:space="preserve"> MACROBUTTON  SnrToggleCheckbox √不适用 </w:instrText>
              </w:r>
              <w:r w:rsidR="00ED2DC7">
                <w:fldChar w:fldCharType="end"/>
              </w:r>
            </w:sdtContent>
          </w:sdt>
        </w:p>
      </w:sdtContent>
    </w:sdt>
    <w:sdt>
      <w:sdtPr>
        <w:rPr>
          <w:rFonts w:ascii="宋体" w:hAnsi="宋体" w:cs="宋体"/>
          <w:b w:val="0"/>
          <w:bCs w:val="0"/>
          <w:kern w:val="0"/>
          <w:szCs w:val="21"/>
        </w:rPr>
        <w:alias w:val="模块:资产负债表日后事项-销售退回说明"/>
        <w:tag w:val="_GBC_189c429afb95427192d478a4da4061cd"/>
        <w:id w:val="230894237"/>
        <w:lock w:val="sdtLocked"/>
        <w:placeholder>
          <w:docPart w:val="GBC22222222222222222222222222222"/>
        </w:placeholder>
      </w:sdtPr>
      <w:sdtContent>
        <w:bookmarkStart w:id="226" w:name="_Toc241636515" w:displacedByCustomXml="prev"/>
        <w:p w:rsidR="00ED2DC7" w:rsidRDefault="00ED2DC7" w:rsidP="00036BDC">
          <w:pPr>
            <w:pStyle w:val="affffffffffffffffff1"/>
            <w:numPr>
              <w:ilvl w:val="0"/>
              <w:numId w:val="96"/>
            </w:numPr>
          </w:pPr>
          <w:r>
            <w:rPr>
              <w:rFonts w:hint="eastAsia"/>
              <w:szCs w:val="21"/>
            </w:rPr>
            <w:t>销售</w:t>
          </w:r>
          <w:r>
            <w:rPr>
              <w:rFonts w:hint="eastAsia"/>
            </w:rPr>
            <w:t>退回</w:t>
          </w:r>
        </w:p>
        <w:sdt>
          <w:sdtPr>
            <w:alias w:val="是否适用：销售退回[双击切换]"/>
            <w:tag w:val="_GBC_4175c0e820fa43cd98dd2d05c0dea8a8"/>
            <w:id w:val="843525212"/>
            <w:lock w:val="sdtContentLocked"/>
            <w:placeholder>
              <w:docPart w:val="GBC22222222222222222222222222222"/>
            </w:placeholder>
          </w:sdtPr>
          <w:sdtContent>
            <w:p w:rsidR="00ED2DC7" w:rsidRDefault="00ED2DC7" w:rsidP="00426920">
              <w:pPr>
                <w:rPr>
                  <w:szCs w:val="21"/>
                </w:rPr>
              </w:pPr>
              <w:r>
                <w:fldChar w:fldCharType="begin"/>
              </w:r>
              <w:r w:rsidR="00426920">
                <w:instrText xml:space="preserve"> MACROBUTTON  SnrToggleCheckbox □适用 </w:instrText>
              </w:r>
              <w:r>
                <w:fldChar w:fldCharType="end"/>
              </w:r>
              <w:r>
                <w:fldChar w:fldCharType="begin"/>
              </w:r>
              <w:r w:rsidR="00426920">
                <w:instrText xml:space="preserve"> MACROBUTTON  SnrToggleCheckbox √不适用 </w:instrText>
              </w:r>
              <w:r>
                <w:fldChar w:fldCharType="end"/>
              </w:r>
            </w:p>
          </w:sdtContent>
        </w:sdt>
      </w:sdtContent>
    </w:sdt>
    <w:p w:rsidR="00ED2DC7" w:rsidRDefault="00ED2DC7">
      <w:pPr>
        <w:rPr>
          <w:szCs w:val="21"/>
        </w:rPr>
      </w:pPr>
    </w:p>
    <w:sdt>
      <w:sdtPr>
        <w:rPr>
          <w:rFonts w:ascii="宋体" w:hAnsi="宋体" w:cs="宋体" w:hint="eastAsia"/>
          <w:b w:val="0"/>
          <w:bCs w:val="0"/>
          <w:kern w:val="0"/>
          <w:szCs w:val="24"/>
        </w:rPr>
        <w:alias w:val="模块:其他资产负债表日后事项说明"/>
        <w:tag w:val="_GBC_90d185c72bfe452398767dd3a98447a5"/>
        <w:id w:val="1751782695"/>
        <w:lock w:val="sdtLocked"/>
        <w:placeholder>
          <w:docPart w:val="GBC22222222222222222222222222222"/>
        </w:placeholder>
      </w:sdtPr>
      <w:sdtContent>
        <w:p w:rsidR="00ED2DC7" w:rsidRDefault="00ED2DC7" w:rsidP="00036BDC">
          <w:pPr>
            <w:pStyle w:val="affffffffffffffffff1"/>
            <w:numPr>
              <w:ilvl w:val="0"/>
              <w:numId w:val="96"/>
            </w:numPr>
          </w:pPr>
          <w:r>
            <w:rPr>
              <w:rFonts w:hint="eastAsia"/>
            </w:rPr>
            <w:t>其他资产负债表日后事项说明</w:t>
          </w:r>
          <w:bookmarkEnd w:id="226"/>
        </w:p>
        <w:sdt>
          <w:sdtPr>
            <w:alias w:val="是否适用：其他资产负债表日后事项说明[双击切换]"/>
            <w:tag w:val="_GBC_3da0e7092a0048ed9e147e2e860785f5"/>
            <w:id w:val="586196318"/>
            <w:lock w:val="sdtContentLocked"/>
            <w:placeholder>
              <w:docPart w:val="GBC22222222222222222222222222222"/>
            </w:placeholder>
          </w:sdtPr>
          <w:sdtContent>
            <w:p w:rsidR="00ED2DC7" w:rsidRDefault="00ED2DC7" w:rsidP="00426920">
              <w:r>
                <w:fldChar w:fldCharType="begin"/>
              </w:r>
              <w:r w:rsidR="00426920">
                <w:instrText xml:space="preserve"> MACROBUTTON  SnrToggleCheckbox □适用 </w:instrText>
              </w:r>
              <w:r>
                <w:fldChar w:fldCharType="end"/>
              </w:r>
              <w:r>
                <w:fldChar w:fldCharType="begin"/>
              </w:r>
              <w:r w:rsidR="00426920">
                <w:instrText xml:space="preserve"> MACROBUTTON  SnrToggleCheckbox √不适用 </w:instrText>
              </w:r>
              <w:r>
                <w:fldChar w:fldCharType="end"/>
              </w:r>
            </w:p>
          </w:sdtContent>
        </w:sdt>
      </w:sdtContent>
    </w:sdt>
    <w:p w:rsidR="00ED2DC7" w:rsidRDefault="00ED2DC7">
      <w:pPr>
        <w:rPr>
          <w:szCs w:val="21"/>
        </w:rPr>
      </w:pPr>
    </w:p>
    <w:p w:rsidR="00ED2DC7" w:rsidRDefault="00ED2DC7" w:rsidP="00036BDC">
      <w:pPr>
        <w:pStyle w:val="affffffffffffffffff0"/>
        <w:numPr>
          <w:ilvl w:val="0"/>
          <w:numId w:val="35"/>
        </w:numPr>
      </w:pPr>
      <w:r>
        <w:rPr>
          <w:rFonts w:hint="eastAsia"/>
        </w:rPr>
        <w:t>其他重要事项</w:t>
      </w:r>
    </w:p>
    <w:p w:rsidR="00ED2DC7" w:rsidRDefault="00ED2DC7" w:rsidP="00036BDC">
      <w:pPr>
        <w:pStyle w:val="affffffffffffffffff1"/>
        <w:numPr>
          <w:ilvl w:val="0"/>
          <w:numId w:val="97"/>
        </w:numPr>
      </w:pPr>
      <w:r>
        <w:rPr>
          <w:rFonts w:hint="eastAsia"/>
        </w:rPr>
        <w:t>前期会计差错更正</w:t>
      </w:r>
    </w:p>
    <w:sdt>
      <w:sdtPr>
        <w:rPr>
          <w:rFonts w:ascii="宋体" w:hAnsi="宋体" w:cs="宋体" w:hint="eastAsia"/>
          <w:b w:val="0"/>
          <w:bCs w:val="0"/>
          <w:kern w:val="0"/>
          <w:szCs w:val="21"/>
        </w:rPr>
        <w:alias w:val="模块:会计差错更正(追溯重述)"/>
        <w:tag w:val="_GBC_cb1f61a36a2a43b0ad30697c25cce450"/>
        <w:id w:val="1072244682"/>
        <w:lock w:val="sdtLocked"/>
        <w:placeholder>
          <w:docPart w:val="GBC22222222222222222222222222222"/>
        </w:placeholder>
      </w:sdtPr>
      <w:sdtEndPr>
        <w:rPr>
          <w:sz w:val="20"/>
        </w:rPr>
      </w:sdtEndPr>
      <w:sdtContent>
        <w:p w:rsidR="00ED2DC7" w:rsidRDefault="00ED2DC7" w:rsidP="00036BDC">
          <w:pPr>
            <w:pStyle w:val="affffffffffffffffff2"/>
            <w:numPr>
              <w:ilvl w:val="0"/>
              <w:numId w:val="98"/>
            </w:numPr>
            <w:tabs>
              <w:tab w:val="left" w:pos="602"/>
            </w:tabs>
          </w:pPr>
          <w:r>
            <w:rPr>
              <w:rFonts w:hint="eastAsia"/>
            </w:rPr>
            <w:t>追溯重述法</w:t>
          </w:r>
        </w:p>
        <w:p w:rsidR="00ED2DC7" w:rsidRDefault="000D0A99" w:rsidP="00426920">
          <w:pPr>
            <w:rPr>
              <w:szCs w:val="21"/>
            </w:rPr>
          </w:pPr>
          <w:sdt>
            <w:sdtPr>
              <w:rPr>
                <w:rFonts w:hint="eastAsia"/>
                <w:szCs w:val="21"/>
              </w:rPr>
              <w:alias w:val="是否适用：追溯重述法[双击切换]"/>
              <w:tag w:val="_GBC_9d59987ec8f64e568cc0874cd76bb5ce"/>
              <w:id w:val="-1281407178"/>
              <w:lock w:val="sdtContentLocked"/>
              <w:placeholder>
                <w:docPart w:val="GBC22222222222222222222222222222"/>
              </w:placeholder>
            </w:sdtPr>
            <w:sdtContent>
              <w:r w:rsidR="00ED2DC7">
                <w:rPr>
                  <w:szCs w:val="21"/>
                </w:rPr>
                <w:fldChar w:fldCharType="begin"/>
              </w:r>
              <w:r w:rsidR="00426920">
                <w:rPr>
                  <w:szCs w:val="21"/>
                </w:rPr>
                <w:instrText xml:space="preserve"> MACROBUTTON  SnrToggleCheckbox □适用 </w:instrText>
              </w:r>
              <w:r w:rsidR="00ED2DC7">
                <w:rPr>
                  <w:szCs w:val="21"/>
                </w:rPr>
                <w:fldChar w:fldCharType="end"/>
              </w:r>
              <w:r w:rsidR="00ED2DC7">
                <w:rPr>
                  <w:szCs w:val="21"/>
                </w:rPr>
                <w:fldChar w:fldCharType="begin"/>
              </w:r>
              <w:r w:rsidR="00426920">
                <w:rPr>
                  <w:szCs w:val="21"/>
                </w:rPr>
                <w:instrText xml:space="preserve"> MACROBUTTON  SnrToggleCheckbox √不适用 </w:instrText>
              </w:r>
              <w:r w:rsidR="00ED2DC7">
                <w:rPr>
                  <w:szCs w:val="21"/>
                </w:rPr>
                <w:fldChar w:fldCharType="end"/>
              </w:r>
            </w:sdtContent>
          </w:sdt>
        </w:p>
      </w:sdtContent>
    </w:sdt>
    <w:sdt>
      <w:sdtPr>
        <w:rPr>
          <w:rFonts w:ascii="宋体" w:hAnsi="宋体" w:cs="宋体" w:hint="eastAsia"/>
          <w:b w:val="0"/>
          <w:bCs w:val="0"/>
          <w:kern w:val="0"/>
          <w:szCs w:val="24"/>
        </w:rPr>
        <w:alias w:val="模块:未来适用法本报告期是否发现采用未来适用法的前期会计差错：（..."/>
        <w:tag w:val="_GBC_6bd40de18d9047e48f182803eefc5581"/>
        <w:id w:val="307139513"/>
        <w:lock w:val="sdtLocked"/>
        <w:placeholder>
          <w:docPart w:val="GBC22222222222222222222222222222"/>
        </w:placeholder>
      </w:sdtPr>
      <w:sdtEndPr>
        <w:rPr>
          <w:rFonts w:hint="default"/>
        </w:rPr>
      </w:sdtEndPr>
      <w:sdtContent>
        <w:p w:rsidR="00ED2DC7" w:rsidRDefault="00ED2DC7" w:rsidP="00036BDC">
          <w:pPr>
            <w:pStyle w:val="affffffffffffffffff2"/>
            <w:numPr>
              <w:ilvl w:val="0"/>
              <w:numId w:val="98"/>
            </w:numPr>
            <w:tabs>
              <w:tab w:val="left" w:pos="602"/>
            </w:tabs>
            <w:rPr>
              <w:rFonts w:cs="Cambria"/>
              <w:bCs w:val="0"/>
            </w:rPr>
          </w:pPr>
          <w:r>
            <w:rPr>
              <w:rFonts w:hint="eastAsia"/>
            </w:rPr>
            <w:t>未来</w:t>
          </w:r>
          <w:r>
            <w:rPr>
              <w:rFonts w:cs="Cambria" w:hint="eastAsia"/>
              <w:bCs w:val="0"/>
            </w:rPr>
            <w:t>适用法</w:t>
          </w:r>
        </w:p>
        <w:sdt>
          <w:sdtPr>
            <w:alias w:val="是否适用：未来适用法[双击切换]"/>
            <w:tag w:val="_GBC_add0977272ee43e7938e3e96c6aaa92d"/>
            <w:id w:val="-1377543213"/>
            <w:lock w:val="sdtContentLocked"/>
            <w:placeholder>
              <w:docPart w:val="GBC22222222222222222222222222222"/>
            </w:placeholder>
          </w:sdtPr>
          <w:sdtContent>
            <w:p w:rsidR="00ED2DC7" w:rsidRDefault="00ED2DC7" w:rsidP="00426920">
              <w:r>
                <w:fldChar w:fldCharType="begin"/>
              </w:r>
              <w:r w:rsidR="00426920">
                <w:instrText xml:space="preserve"> MACROBUTTON  SnrToggleCheckbox □适用 </w:instrText>
              </w:r>
              <w:r>
                <w:fldChar w:fldCharType="end"/>
              </w:r>
              <w:r>
                <w:fldChar w:fldCharType="begin"/>
              </w:r>
              <w:r w:rsidR="00426920">
                <w:instrText xml:space="preserve"> MACROBUTTON  SnrToggleCheckbox √不适用 </w:instrText>
              </w:r>
              <w:r>
                <w:fldChar w:fldCharType="end"/>
              </w:r>
            </w:p>
          </w:sdtContent>
        </w:sdt>
      </w:sdtContent>
    </w:sdt>
    <w:bookmarkStart w:id="227" w:name="_Toc241636518" w:displacedByCustomXml="next"/>
    <w:sdt>
      <w:sdtPr>
        <w:rPr>
          <w:rFonts w:ascii="宋体" w:hAnsi="宋体" w:cs="宋体" w:hint="eastAsia"/>
          <w:b w:val="0"/>
          <w:bCs w:val="0"/>
          <w:kern w:val="0"/>
          <w:szCs w:val="24"/>
        </w:rPr>
        <w:alias w:val="模块:债务重组"/>
        <w:tag w:val="_GBC_998fd0c3432a41e5b98f1c74ffeda751"/>
        <w:id w:val="-1581364184"/>
        <w:lock w:val="sdtLocked"/>
        <w:placeholder>
          <w:docPart w:val="GBC22222222222222222222222222222"/>
        </w:placeholder>
      </w:sdtPr>
      <w:sdtEndPr>
        <w:rPr>
          <w:rFonts w:asciiTheme="minorHAnsi" w:eastAsiaTheme="minorEastAsia" w:hAnsiTheme="minorHAnsi" w:cstheme="minorBidi"/>
          <w:szCs w:val="21"/>
        </w:rPr>
      </w:sdtEndPr>
      <w:sdtContent>
        <w:p w:rsidR="00ED2DC7" w:rsidRDefault="00ED2DC7" w:rsidP="00036BDC">
          <w:pPr>
            <w:pStyle w:val="affffffffffffffffff1"/>
            <w:numPr>
              <w:ilvl w:val="0"/>
              <w:numId w:val="97"/>
            </w:numPr>
          </w:pPr>
          <w:r>
            <w:rPr>
              <w:rFonts w:hint="eastAsia"/>
            </w:rPr>
            <w:t>债务重组</w:t>
          </w:r>
          <w:bookmarkEnd w:id="227"/>
        </w:p>
        <w:sdt>
          <w:sdtPr>
            <w:alias w:val="是否适用：债务重组[双击切换]"/>
            <w:tag w:val="_GBC_a39e02df9c5d42f2bd7e116f823b8615"/>
            <w:id w:val="-1912600647"/>
            <w:lock w:val="sdtContentLocked"/>
            <w:placeholder>
              <w:docPart w:val="GBC22222222222222222222222222222"/>
            </w:placeholder>
          </w:sdtPr>
          <w:sdtContent>
            <w:p w:rsidR="00ED2DC7" w:rsidRDefault="00ED2DC7" w:rsidP="00426920">
              <w:pPr>
                <w:rPr>
                  <w:szCs w:val="21"/>
                </w:rPr>
              </w:pPr>
              <w:r>
                <w:fldChar w:fldCharType="begin"/>
              </w:r>
              <w:r w:rsidR="00426920">
                <w:instrText xml:space="preserve"> MACROBUTTON  SnrToggleCheckbox □适用 </w:instrText>
              </w:r>
              <w:r>
                <w:fldChar w:fldCharType="end"/>
              </w:r>
              <w:r>
                <w:fldChar w:fldCharType="begin"/>
              </w:r>
              <w:r w:rsidR="00426920">
                <w:instrText xml:space="preserve"> MACROBUTTON  SnrToggleCheckbox √不适用 </w:instrText>
              </w:r>
              <w:r>
                <w:fldChar w:fldCharType="end"/>
              </w:r>
            </w:p>
          </w:sdtContent>
        </w:sdt>
      </w:sdtContent>
    </w:sdt>
    <w:p w:rsidR="00ED2DC7" w:rsidRDefault="00ED2DC7">
      <w:pPr>
        <w:rPr>
          <w:szCs w:val="21"/>
        </w:rPr>
      </w:pPr>
    </w:p>
    <w:p w:rsidR="00ED2DC7" w:rsidRDefault="00ED2DC7" w:rsidP="00036BDC">
      <w:pPr>
        <w:pStyle w:val="affffffffffffffffff1"/>
        <w:numPr>
          <w:ilvl w:val="0"/>
          <w:numId w:val="97"/>
        </w:numPr>
      </w:pPr>
      <w:r>
        <w:rPr>
          <w:rFonts w:hint="eastAsia"/>
        </w:rPr>
        <w:t>资产置换</w:t>
      </w:r>
    </w:p>
    <w:bookmarkStart w:id="228" w:name="_Toc241636517" w:displacedByCustomXml="next"/>
    <w:bookmarkStart w:id="229" w:name="_Toc161412438" w:displacedByCustomXml="next"/>
    <w:sdt>
      <w:sdtPr>
        <w:rPr>
          <w:rFonts w:ascii="宋体" w:hAnsi="宋体" w:cs="宋体" w:hint="eastAsia"/>
          <w:b w:val="0"/>
          <w:bCs w:val="0"/>
          <w:kern w:val="0"/>
          <w:szCs w:val="24"/>
        </w:rPr>
        <w:alias w:val="模块:非货币性资产交换"/>
        <w:tag w:val="_GBC_c8e7bc701c4e40cea43130c65dd24cdf"/>
        <w:id w:val="-527873323"/>
        <w:lock w:val="sdtLocked"/>
        <w:placeholder>
          <w:docPart w:val="GBC22222222222222222222222222222"/>
        </w:placeholder>
      </w:sdtPr>
      <w:sdtEndPr>
        <w:rPr>
          <w:rFonts w:asciiTheme="minorHAnsi" w:hAnsiTheme="minorHAnsi" w:cstheme="minorBidi"/>
          <w:szCs w:val="21"/>
        </w:rPr>
      </w:sdtEndPr>
      <w:sdtContent>
        <w:p w:rsidR="00ED2DC7" w:rsidRDefault="00ED2DC7" w:rsidP="00036BDC">
          <w:pPr>
            <w:pStyle w:val="affffffffffffffffff2"/>
            <w:numPr>
              <w:ilvl w:val="0"/>
              <w:numId w:val="99"/>
            </w:numPr>
            <w:tabs>
              <w:tab w:val="left" w:pos="644"/>
            </w:tabs>
          </w:pPr>
          <w:r>
            <w:rPr>
              <w:rFonts w:hint="eastAsia"/>
            </w:rPr>
            <w:t>非货币性资产交换</w:t>
          </w:r>
          <w:bookmarkEnd w:id="229"/>
          <w:bookmarkEnd w:id="228"/>
        </w:p>
        <w:sdt>
          <w:sdtPr>
            <w:alias w:val="是否适用：非货币性资产交换[双击切换]"/>
            <w:tag w:val="_GBC_1e8378570c9a4db08ad001118944af2e"/>
            <w:id w:val="-561796269"/>
            <w:lock w:val="sdtContentLocked"/>
            <w:placeholder>
              <w:docPart w:val="GBC22222222222222222222222222222"/>
            </w:placeholder>
          </w:sdtPr>
          <w:sdtContent>
            <w:p w:rsidR="00ED2DC7" w:rsidRDefault="00ED2DC7" w:rsidP="00426920">
              <w:pPr>
                <w:rPr>
                  <w:szCs w:val="21"/>
                </w:rPr>
              </w:pPr>
              <w:r>
                <w:fldChar w:fldCharType="begin"/>
              </w:r>
              <w:r w:rsidR="00426920">
                <w:instrText xml:space="preserve"> MACROBUTTON  SnrToggleCheckbox □适用 </w:instrText>
              </w:r>
              <w:r>
                <w:fldChar w:fldCharType="end"/>
              </w:r>
              <w:r>
                <w:fldChar w:fldCharType="begin"/>
              </w:r>
              <w:r w:rsidR="00426920">
                <w:instrText xml:space="preserve"> MACROBUTTON  SnrToggleCheckbox √不适用 </w:instrText>
              </w:r>
              <w:r>
                <w:fldChar w:fldCharType="end"/>
              </w:r>
            </w:p>
          </w:sdtContent>
        </w:sdt>
      </w:sdtContent>
    </w:sdt>
    <w:p w:rsidR="00ED2DC7" w:rsidRDefault="00ED2DC7">
      <w:pPr>
        <w:rPr>
          <w:szCs w:val="21"/>
        </w:rPr>
      </w:pPr>
    </w:p>
    <w:sdt>
      <w:sdtPr>
        <w:rPr>
          <w:rFonts w:ascii="宋体" w:hAnsi="宋体" w:cs="宋体" w:hint="eastAsia"/>
          <w:b w:val="0"/>
          <w:bCs w:val="0"/>
          <w:kern w:val="0"/>
          <w:szCs w:val="24"/>
        </w:rPr>
        <w:alias w:val="模块:其他资产置换资产说明"/>
        <w:tag w:val="_GBC_a7d8a797c78a4fb398d42fc923a0a5dc"/>
        <w:id w:val="-2137704150"/>
        <w:lock w:val="sdtLocked"/>
        <w:placeholder>
          <w:docPart w:val="GBC22222222222222222222222222222"/>
        </w:placeholder>
      </w:sdtPr>
      <w:sdtEndPr>
        <w:rPr>
          <w:rFonts w:asciiTheme="minorHAnsi" w:hAnsiTheme="minorHAnsi" w:cstheme="minorBidi"/>
        </w:rPr>
      </w:sdtEndPr>
      <w:sdtContent>
        <w:p w:rsidR="00ED2DC7" w:rsidRDefault="00ED2DC7" w:rsidP="00036BDC">
          <w:pPr>
            <w:pStyle w:val="affffffffffffffffff2"/>
            <w:numPr>
              <w:ilvl w:val="0"/>
              <w:numId w:val="99"/>
            </w:numPr>
            <w:tabs>
              <w:tab w:val="left" w:pos="644"/>
            </w:tabs>
          </w:pPr>
          <w:r>
            <w:rPr>
              <w:rFonts w:hint="eastAsia"/>
            </w:rPr>
            <w:t>其他资产置换</w:t>
          </w:r>
        </w:p>
        <w:sdt>
          <w:sdtPr>
            <w:alias w:val="是否适用：其他资产置换[双击切换]"/>
            <w:tag w:val="_GBC_e20be5fc12b94f43a4090c14cc3aec63"/>
            <w:id w:val="606467142"/>
            <w:lock w:val="sdtContentLocked"/>
            <w:placeholder>
              <w:docPart w:val="GBC22222222222222222222222222222"/>
            </w:placeholder>
          </w:sdtPr>
          <w:sdtContent>
            <w:p w:rsidR="00ED2DC7" w:rsidRDefault="00ED2DC7" w:rsidP="00426920">
              <w:pPr>
                <w:rPr>
                  <w:szCs w:val="21"/>
                </w:rPr>
              </w:pPr>
              <w:r>
                <w:fldChar w:fldCharType="begin"/>
              </w:r>
              <w:r w:rsidR="00426920">
                <w:instrText xml:space="preserve"> MACROBUTTON  SnrToggleCheckbox □适用 </w:instrText>
              </w:r>
              <w:r>
                <w:fldChar w:fldCharType="end"/>
              </w:r>
              <w:r>
                <w:fldChar w:fldCharType="begin"/>
              </w:r>
              <w:r w:rsidR="00426920">
                <w:instrText xml:space="preserve"> MACROBUTTON  SnrToggleCheckbox √不适用 </w:instrText>
              </w:r>
              <w:r>
                <w:fldChar w:fldCharType="end"/>
              </w:r>
            </w:p>
          </w:sdtContent>
        </w:sdt>
        <w:p w:rsidR="00ED2DC7" w:rsidRDefault="000D0A99"/>
      </w:sdtContent>
    </w:sdt>
    <w:bookmarkStart w:id="230" w:name="_Toc247371936" w:displacedByCustomXml="next"/>
    <w:sdt>
      <w:sdtPr>
        <w:rPr>
          <w:rFonts w:ascii="宋体" w:hAnsi="宋体" w:cs="宋体" w:hint="eastAsia"/>
          <w:b w:val="0"/>
          <w:bCs w:val="0"/>
          <w:kern w:val="0"/>
          <w:szCs w:val="24"/>
        </w:rPr>
        <w:alias w:val="模块:年金计划主要内容及重大变化"/>
        <w:tag w:val="_GBC_868ef73c1ce14e36a7c8c41a6c9d1268"/>
        <w:id w:val="-111217912"/>
        <w:lock w:val="sdtLocked"/>
        <w:placeholder>
          <w:docPart w:val="GBC22222222222222222222222222222"/>
        </w:placeholder>
      </w:sdtPr>
      <w:sdtEndPr>
        <w:rPr>
          <w:rFonts w:asciiTheme="minorHAnsi" w:eastAsiaTheme="minorEastAsia" w:hAnsiTheme="minorHAnsi" w:cstheme="minorBidi"/>
          <w:szCs w:val="21"/>
        </w:rPr>
      </w:sdtEndPr>
      <w:sdtContent>
        <w:p w:rsidR="00ED2DC7" w:rsidRDefault="00ED2DC7" w:rsidP="00036BDC">
          <w:pPr>
            <w:pStyle w:val="affffffffffffffffff1"/>
            <w:numPr>
              <w:ilvl w:val="0"/>
              <w:numId w:val="97"/>
            </w:numPr>
          </w:pPr>
          <w:r>
            <w:rPr>
              <w:rFonts w:hint="eastAsia"/>
            </w:rPr>
            <w:t>年金计划</w:t>
          </w:r>
          <w:bookmarkEnd w:id="230"/>
        </w:p>
        <w:sdt>
          <w:sdtPr>
            <w:alias w:val="是否适用：年金计划[双击切换]"/>
            <w:tag w:val="_GBC_f69a163f78f74a54a6443aaa7388f0dd"/>
            <w:id w:val="1639148100"/>
            <w:lock w:val="sdtContentLocked"/>
            <w:placeholder>
              <w:docPart w:val="GBC22222222222222222222222222222"/>
            </w:placeholder>
          </w:sdtPr>
          <w:sdtContent>
            <w:p w:rsidR="00ED2DC7" w:rsidRDefault="00ED2DC7" w:rsidP="00426920">
              <w:pPr>
                <w:rPr>
                  <w:rFonts w:asciiTheme="minorHAnsi" w:eastAsiaTheme="minorEastAsia" w:hAnsiTheme="minorHAnsi" w:cstheme="minorBidi"/>
                  <w:szCs w:val="21"/>
                </w:rPr>
              </w:pPr>
              <w:r>
                <w:fldChar w:fldCharType="begin"/>
              </w:r>
              <w:r w:rsidR="00426920">
                <w:instrText xml:space="preserve"> MACROBUTTON  SnrToggleCheckbox □适用 </w:instrText>
              </w:r>
              <w:r>
                <w:fldChar w:fldCharType="end"/>
              </w:r>
              <w:r>
                <w:fldChar w:fldCharType="begin"/>
              </w:r>
              <w:r w:rsidR="00426920">
                <w:instrText xml:space="preserve"> MACROBUTTON  SnrToggleCheckbox √不适用 </w:instrText>
              </w:r>
              <w:r>
                <w:fldChar w:fldCharType="end"/>
              </w:r>
            </w:p>
          </w:sdtContent>
        </w:sdt>
      </w:sdtContent>
    </w:sdt>
    <w:p w:rsidR="00ED2DC7" w:rsidRDefault="00ED2DC7">
      <w:pPr>
        <w:rPr>
          <w:szCs w:val="21"/>
        </w:rPr>
      </w:pPr>
    </w:p>
    <w:sdt>
      <w:sdtPr>
        <w:rPr>
          <w:rFonts w:ascii="宋体" w:hAnsi="宋体" w:cs="宋体" w:hint="eastAsia"/>
          <w:b w:val="0"/>
          <w:bCs w:val="0"/>
          <w:kern w:val="0"/>
          <w:szCs w:val="21"/>
        </w:rPr>
        <w:alias w:val="模块:终止经营"/>
        <w:tag w:val="_GBC_eb9f713a39454ce1a2b0b09086ca70cc"/>
        <w:id w:val="-2146580194"/>
        <w:lock w:val="sdtLocked"/>
        <w:placeholder>
          <w:docPart w:val="GBC22222222222222222222222222222"/>
        </w:placeholder>
      </w:sdtPr>
      <w:sdtEndPr>
        <w:rPr>
          <w:rFonts w:cstheme="minorBidi"/>
          <w:kern w:val="2"/>
        </w:rPr>
      </w:sdtEndPr>
      <w:sdtContent>
        <w:p w:rsidR="00ED2DC7" w:rsidRDefault="00ED2DC7" w:rsidP="00036BDC">
          <w:pPr>
            <w:pStyle w:val="affffffffffffffffff1"/>
            <w:numPr>
              <w:ilvl w:val="0"/>
              <w:numId w:val="97"/>
            </w:numPr>
            <w:rPr>
              <w:rFonts w:ascii="宋体" w:hAnsi="宋体"/>
              <w:szCs w:val="21"/>
            </w:rPr>
          </w:pPr>
          <w:r>
            <w:rPr>
              <w:rFonts w:ascii="宋体" w:hAnsi="宋体" w:hint="eastAsia"/>
              <w:szCs w:val="21"/>
            </w:rPr>
            <w:t>终止经营</w:t>
          </w:r>
        </w:p>
        <w:sdt>
          <w:sdtPr>
            <w:alias w:val="是否适用：终止经营[双击切换]"/>
            <w:tag w:val="_GBC_8e88002e405543f593111633f63e4d8b"/>
            <w:id w:val="-688298329"/>
            <w:lock w:val="sdtContentLocked"/>
            <w:placeholder>
              <w:docPart w:val="GBC22222222222222222222222222222"/>
            </w:placeholder>
          </w:sdtPr>
          <w:sdtContent>
            <w:p w:rsidR="00426920" w:rsidRDefault="00ED2DC7" w:rsidP="00426920">
              <w:r>
                <w:fldChar w:fldCharType="begin"/>
              </w:r>
              <w:r w:rsidR="00426920">
                <w:instrText xml:space="preserve"> MACROBUTTON  SnrToggleCheckbox □适用 </w:instrText>
              </w:r>
              <w:r>
                <w:fldChar w:fldCharType="end"/>
              </w:r>
              <w:r>
                <w:fldChar w:fldCharType="begin"/>
              </w:r>
              <w:r w:rsidR="00426920">
                <w:instrText xml:space="preserve"> MACROBUTTON  SnrToggleCheckbox √不适用 </w:instrText>
              </w:r>
              <w:r>
                <w:fldChar w:fldCharType="end"/>
              </w:r>
            </w:p>
          </w:sdtContent>
        </w:sdt>
        <w:p w:rsidR="00ED2DC7" w:rsidRDefault="000D0A99">
          <w:pPr>
            <w:rPr>
              <w:rFonts w:cstheme="minorBidi"/>
              <w:kern w:val="2"/>
              <w:szCs w:val="21"/>
            </w:rPr>
          </w:pPr>
        </w:p>
      </w:sdtContent>
    </w:sdt>
    <w:p w:rsidR="00ED2DC7" w:rsidRDefault="00ED2DC7">
      <w:pPr>
        <w:rPr>
          <w:szCs w:val="21"/>
        </w:rPr>
      </w:pPr>
    </w:p>
    <w:p w:rsidR="00ED2DC7" w:rsidRDefault="00ED2DC7" w:rsidP="00036BDC">
      <w:pPr>
        <w:pStyle w:val="affffffffffffffffff1"/>
        <w:numPr>
          <w:ilvl w:val="0"/>
          <w:numId w:val="97"/>
        </w:numPr>
        <w:rPr>
          <w:rFonts w:ascii="宋体" w:hAnsi="宋体"/>
          <w:szCs w:val="21"/>
        </w:rPr>
      </w:pPr>
      <w:r>
        <w:rPr>
          <w:rFonts w:ascii="宋体" w:hAnsi="宋体" w:hint="eastAsia"/>
          <w:szCs w:val="21"/>
        </w:rPr>
        <w:t>分部信息</w:t>
      </w:r>
    </w:p>
    <w:sdt>
      <w:sdtPr>
        <w:rPr>
          <w:rFonts w:ascii="宋体" w:hAnsi="宋体" w:cs="宋体" w:hint="eastAsia"/>
          <w:b w:val="0"/>
          <w:bCs w:val="0"/>
          <w:kern w:val="0"/>
          <w:szCs w:val="21"/>
        </w:rPr>
        <w:alias w:val="模块:分部信息报告分部的确定依据与会计政策"/>
        <w:tag w:val="_GBC_a659f5b3817d4a3394d1850cd82bbbab"/>
        <w:id w:val="1480031811"/>
        <w:lock w:val="sdtLocked"/>
        <w:placeholder>
          <w:docPart w:val="GBC22222222222222222222222222222"/>
        </w:placeholder>
      </w:sdtPr>
      <w:sdtEndPr>
        <w:rPr>
          <w:rFonts w:hint="default"/>
        </w:rPr>
      </w:sdtEndPr>
      <w:sdtContent>
        <w:p w:rsidR="00ED2DC7" w:rsidRDefault="00ED2DC7" w:rsidP="00036BDC">
          <w:pPr>
            <w:pStyle w:val="affffffffffffffffff2"/>
            <w:numPr>
              <w:ilvl w:val="1"/>
              <w:numId w:val="100"/>
            </w:numPr>
            <w:tabs>
              <w:tab w:val="left" w:pos="644"/>
            </w:tabs>
            <w:ind w:left="420"/>
            <w:rPr>
              <w:rFonts w:ascii="宋体" w:hAnsi="宋体"/>
              <w:szCs w:val="21"/>
            </w:rPr>
          </w:pPr>
          <w:r>
            <w:rPr>
              <w:rFonts w:ascii="宋体" w:hAnsi="宋体" w:hint="eastAsia"/>
              <w:szCs w:val="21"/>
            </w:rPr>
            <w:t>报告分部的确定依据与会计政策</w:t>
          </w:r>
        </w:p>
        <w:sdt>
          <w:sdtPr>
            <w:alias w:val="是否适用：报告分部的确定依据与会计政策[双击切换]"/>
            <w:tag w:val="_GBC_3684a11ce06644529eba619783a75583"/>
            <w:id w:val="-82537446"/>
            <w:lock w:val="sdtContentLocked"/>
            <w:placeholder>
              <w:docPart w:val="GBC22222222222222222222222222222"/>
            </w:placeholder>
          </w:sdtPr>
          <w:sdtContent>
            <w:p w:rsidR="00ED2DC7" w:rsidRDefault="00ED2DC7">
              <w:r>
                <w:fldChar w:fldCharType="begin"/>
              </w:r>
              <w:r w:rsidR="00426920">
                <w:instrText xml:space="preserve"> MACROBUTTON  SnrToggleCheckbox √适用 </w:instrText>
              </w:r>
              <w:r>
                <w:fldChar w:fldCharType="end"/>
              </w:r>
              <w:r>
                <w:fldChar w:fldCharType="begin"/>
              </w:r>
              <w:r w:rsidR="00426920">
                <w:instrText xml:space="preserve"> MACROBUTTON  SnrToggleCheckbox □不适用 </w:instrText>
              </w:r>
              <w:r>
                <w:fldChar w:fldCharType="end"/>
              </w:r>
            </w:p>
          </w:sdtContent>
        </w:sdt>
        <w:sdt>
          <w:sdtPr>
            <w:rPr>
              <w:szCs w:val="21"/>
            </w:rPr>
            <w:alias w:val="报告分部的确定依据与会计政策"/>
            <w:tag w:val="_GBC_025e15951a494fa2845d296cf8db1fdb"/>
            <w:id w:val="96607545"/>
            <w:lock w:val="sdtLocked"/>
            <w:placeholder>
              <w:docPart w:val="GBC22222222222222222222222222222"/>
            </w:placeholder>
          </w:sdtPr>
          <w:sdtContent>
            <w:p w:rsidR="006C2D6E" w:rsidRPr="006C2D6E" w:rsidRDefault="006C2D6E" w:rsidP="006C2D6E">
              <w:pPr>
                <w:rPr>
                  <w:szCs w:val="21"/>
                </w:rPr>
              </w:pPr>
              <w:r w:rsidRPr="006C2D6E">
                <w:rPr>
                  <w:rFonts w:hint="eastAsia"/>
                  <w:szCs w:val="21"/>
                </w:rPr>
                <w:t>由于本集团收入逾</w:t>
              </w:r>
              <w:r w:rsidRPr="006C2D6E">
                <w:rPr>
                  <w:szCs w:val="21"/>
                </w:rPr>
                <w:t>90%来自于中国境内的客户，而且本集团资产逾90%位于中国境内，所以无须列报更详细的地区分部信息。</w:t>
              </w:r>
            </w:p>
            <w:p w:rsidR="006C2D6E" w:rsidRPr="006C2D6E" w:rsidRDefault="006C2D6E" w:rsidP="006C2D6E">
              <w:pPr>
                <w:rPr>
                  <w:szCs w:val="21"/>
                </w:rPr>
              </w:pPr>
            </w:p>
            <w:p w:rsidR="00ED2DC7" w:rsidRDefault="006C2D6E" w:rsidP="006C2D6E">
              <w:pPr>
                <w:rPr>
                  <w:szCs w:val="21"/>
                </w:rPr>
              </w:pPr>
              <w:r w:rsidRPr="006C2D6E">
                <w:rPr>
                  <w:rFonts w:hint="eastAsia"/>
                  <w:szCs w:val="21"/>
                </w:rPr>
                <w:t>由于本集团的收入和资产逾</w:t>
              </w:r>
              <w:r w:rsidRPr="006C2D6E">
                <w:rPr>
                  <w:szCs w:val="21"/>
                </w:rPr>
                <w:t>90%与软件销售及相关技术服务有关，所以无须列报更详细的业务分部信息。</w:t>
              </w:r>
            </w:p>
          </w:sdtContent>
        </w:sdt>
        <w:p w:rsidR="00ED2DC7" w:rsidRDefault="000D0A99">
          <w:pPr>
            <w:rPr>
              <w:szCs w:val="21"/>
            </w:rPr>
          </w:pPr>
        </w:p>
      </w:sdtContent>
    </w:sdt>
    <w:sdt>
      <w:sdtPr>
        <w:rPr>
          <w:rFonts w:ascii="宋体" w:hAnsi="宋体" w:cs="宋体" w:hint="eastAsia"/>
          <w:b w:val="0"/>
          <w:bCs w:val="0"/>
          <w:kern w:val="0"/>
          <w:szCs w:val="24"/>
        </w:rPr>
        <w:alias w:val="模块:报告分部的财务信息"/>
        <w:tag w:val="_GBC_7bcfc6b35dea4597b05ae9db882c542b"/>
        <w:id w:val="1678462307"/>
        <w:lock w:val="sdtLocked"/>
        <w:placeholder>
          <w:docPart w:val="GBC22222222222222222222222222222"/>
        </w:placeholder>
      </w:sdtPr>
      <w:sdtEndPr>
        <w:rPr>
          <w:rFonts w:hint="default"/>
          <w:szCs w:val="21"/>
        </w:rPr>
      </w:sdtEndPr>
      <w:sdtContent>
        <w:p w:rsidR="00ED2DC7" w:rsidRDefault="00ED2DC7" w:rsidP="00036BDC">
          <w:pPr>
            <w:pStyle w:val="affffffffffffffffff2"/>
            <w:numPr>
              <w:ilvl w:val="1"/>
              <w:numId w:val="100"/>
            </w:numPr>
            <w:tabs>
              <w:tab w:val="left" w:pos="644"/>
            </w:tabs>
            <w:ind w:left="420"/>
          </w:pPr>
          <w:r>
            <w:rPr>
              <w:rFonts w:hint="eastAsia"/>
            </w:rPr>
            <w:t>报告分部的财务信息</w:t>
          </w:r>
        </w:p>
        <w:sdt>
          <w:sdtPr>
            <w:alias w:val="是否适用：报告分部的财务信息[双击切换]"/>
            <w:tag w:val="_GBC_25e6ee3686524d959ae273bb5aaa9cfb"/>
            <w:id w:val="505024534"/>
            <w:lock w:val="sdtContentLocked"/>
            <w:placeholder>
              <w:docPart w:val="GBC22222222222222222222222222222"/>
            </w:placeholder>
          </w:sdtPr>
          <w:sdtContent>
            <w:p w:rsidR="00ED2DC7" w:rsidRDefault="00ED2DC7" w:rsidP="00426920">
              <w:r>
                <w:fldChar w:fldCharType="begin"/>
              </w:r>
              <w:r w:rsidR="00426920">
                <w:instrText xml:space="preserve"> MACROBUTTON  SnrToggleCheckbox □适用 </w:instrText>
              </w:r>
              <w:r>
                <w:fldChar w:fldCharType="end"/>
              </w:r>
              <w:r>
                <w:fldChar w:fldCharType="begin"/>
              </w:r>
              <w:r w:rsidR="00426920">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公司无报告分部的，或者不能披露各报告分部的资产总额和负债总额的，应说明原因"/>
        <w:tag w:val="_GBC_0a73290869524182a42675dee97eaa48"/>
        <w:id w:val="139088578"/>
        <w:lock w:val="sdtLocked"/>
        <w:placeholder>
          <w:docPart w:val="GBC22222222222222222222222222222"/>
        </w:placeholder>
      </w:sdtPr>
      <w:sdtContent>
        <w:p w:rsidR="00ED2DC7" w:rsidRDefault="00ED2DC7" w:rsidP="00036BDC">
          <w:pPr>
            <w:pStyle w:val="affffffffffffffffff2"/>
            <w:numPr>
              <w:ilvl w:val="1"/>
              <w:numId w:val="100"/>
            </w:numPr>
            <w:tabs>
              <w:tab w:val="left" w:pos="644"/>
            </w:tabs>
            <w:ind w:left="420"/>
            <w:rPr>
              <w:szCs w:val="21"/>
            </w:rPr>
          </w:pPr>
          <w:r>
            <w:rPr>
              <w:szCs w:val="21"/>
            </w:rPr>
            <w:t>公司无报告分部的，或者不能披露各报告分部的资产总额和负债总额的，应说明原因</w:t>
          </w:r>
        </w:p>
        <w:sdt>
          <w:sdtPr>
            <w:rPr>
              <w:rFonts w:hint="eastAsia"/>
              <w:szCs w:val="21"/>
            </w:rPr>
            <w:alias w:val="是否适用：公司无报告分部的，或者不能披露各报告分部的资产总额和负债总额的，应说明原因[双击切换]"/>
            <w:tag w:val="_GBC_de327191b263431db97d3ba75838aba8"/>
            <w:id w:val="541635325"/>
            <w:lock w:val="sdtContentLocked"/>
            <w:placeholder>
              <w:docPart w:val="GBC22222222222222222222222222222"/>
            </w:placeholder>
          </w:sdtPr>
          <w:sdtContent>
            <w:p w:rsidR="00ED2DC7" w:rsidRDefault="00ED2DC7" w:rsidP="00841B3F">
              <w:pPr>
                <w:rPr>
                  <w:szCs w:val="21"/>
                </w:rPr>
              </w:pPr>
              <w:r>
                <w:rPr>
                  <w:szCs w:val="21"/>
                </w:rPr>
                <w:fldChar w:fldCharType="begin"/>
              </w:r>
              <w:r w:rsidR="00841B3F">
                <w:rPr>
                  <w:szCs w:val="21"/>
                </w:rPr>
                <w:instrText xml:space="preserve"> MACROBUTTON  SnrToggleCheckbox □适用 </w:instrText>
              </w:r>
              <w:r>
                <w:rPr>
                  <w:szCs w:val="21"/>
                </w:rPr>
                <w:fldChar w:fldCharType="end"/>
              </w:r>
              <w:r>
                <w:rPr>
                  <w:szCs w:val="21"/>
                </w:rPr>
                <w:fldChar w:fldCharType="begin"/>
              </w:r>
              <w:r w:rsidR="00841B3F">
                <w:rPr>
                  <w:szCs w:val="21"/>
                </w:rPr>
                <w:instrText xml:space="preserve"> MACROBUTTON  SnrToggleCheckbox √不适用 </w:instrText>
              </w:r>
              <w:r>
                <w:rPr>
                  <w:szCs w:val="21"/>
                </w:rPr>
                <w:fldChar w:fldCharType="end"/>
              </w:r>
            </w:p>
          </w:sdtContent>
        </w:sdt>
      </w:sdtContent>
    </w:sdt>
    <w:p w:rsidR="00ED2DC7" w:rsidRDefault="00ED2DC7">
      <w:pPr>
        <w:rPr>
          <w:szCs w:val="21"/>
        </w:rPr>
      </w:pPr>
    </w:p>
    <w:sdt>
      <w:sdtPr>
        <w:rPr>
          <w:rFonts w:ascii="宋体" w:hAnsi="宋体" w:cs="宋体" w:hint="eastAsia"/>
          <w:b w:val="0"/>
          <w:bCs w:val="0"/>
          <w:kern w:val="0"/>
          <w:szCs w:val="21"/>
        </w:rPr>
        <w:alias w:val="模块:分部信息其他说明"/>
        <w:tag w:val="_GBC_bf8b759cb5b84035861b501b67f52f53"/>
        <w:id w:val="1798098596"/>
        <w:lock w:val="sdtLocked"/>
        <w:placeholder>
          <w:docPart w:val="GBC22222222222222222222222222222"/>
        </w:placeholder>
      </w:sdtPr>
      <w:sdtContent>
        <w:p w:rsidR="00ED2DC7" w:rsidRDefault="00ED2DC7" w:rsidP="00036BDC">
          <w:pPr>
            <w:pStyle w:val="affffffffffffffffff2"/>
            <w:numPr>
              <w:ilvl w:val="1"/>
              <w:numId w:val="100"/>
            </w:numPr>
            <w:tabs>
              <w:tab w:val="left" w:pos="644"/>
            </w:tabs>
            <w:ind w:left="420"/>
            <w:rPr>
              <w:szCs w:val="21"/>
            </w:rPr>
          </w:pPr>
          <w:r>
            <w:rPr>
              <w:rFonts w:hint="eastAsia"/>
              <w:szCs w:val="21"/>
            </w:rPr>
            <w:t>其他</w:t>
          </w:r>
          <w:r>
            <w:rPr>
              <w:rFonts w:hint="eastAsia"/>
            </w:rPr>
            <w:t>说明</w:t>
          </w:r>
        </w:p>
        <w:sdt>
          <w:sdtPr>
            <w:alias w:val="是否适用：分部信息的其他说明[双击切换]"/>
            <w:tag w:val="_GBC_d4186588d0fd49e5b2642a9422c2353f"/>
            <w:id w:val="1014966543"/>
            <w:lock w:val="sdtContentLocked"/>
            <w:placeholder>
              <w:docPart w:val="GBC22222222222222222222222222222"/>
            </w:placeholder>
          </w:sdtPr>
          <w:sdtContent>
            <w:p w:rsidR="00ED2DC7" w:rsidRDefault="00ED2DC7" w:rsidP="00841B3F">
              <w:pPr>
                <w:rPr>
                  <w:szCs w:val="21"/>
                </w:rPr>
              </w:pPr>
              <w:r>
                <w:fldChar w:fldCharType="begin"/>
              </w:r>
              <w:r w:rsidR="00841B3F">
                <w:instrText xml:space="preserve"> MACROBUTTON  SnrToggleCheckbox □适用 </w:instrText>
              </w:r>
              <w:r>
                <w:fldChar w:fldCharType="end"/>
              </w:r>
              <w:r>
                <w:fldChar w:fldCharType="begin"/>
              </w:r>
              <w:r w:rsidR="00841B3F">
                <w:instrText xml:space="preserve"> MACROBUTTON  SnrToggleCheckbox √不适用 </w:instrText>
              </w:r>
              <w:r>
                <w:fldChar w:fldCharType="end"/>
              </w:r>
            </w:p>
          </w:sdtContent>
        </w:sdt>
        <w:p w:rsidR="00ED2DC7" w:rsidRDefault="000D0A99">
          <w:pPr>
            <w:rPr>
              <w:szCs w:val="21"/>
            </w:rPr>
          </w:pPr>
        </w:p>
      </w:sdtContent>
    </w:sdt>
    <w:bookmarkStart w:id="231" w:name="_Toc241636520" w:displacedByCustomXml="next"/>
    <w:sdt>
      <w:sdtPr>
        <w:rPr>
          <w:rFonts w:ascii="宋体" w:hAnsi="宋体" w:cs="宋体" w:hint="eastAsia"/>
          <w:b w:val="0"/>
          <w:bCs w:val="0"/>
          <w:kern w:val="0"/>
          <w:szCs w:val="21"/>
        </w:rPr>
        <w:alias w:val="模块:其他重要事项说明"/>
        <w:tag w:val="_GBC_0e2af5e32a53408bb340218a0c352be0"/>
        <w:id w:val="-594243993"/>
        <w:lock w:val="sdtLocked"/>
        <w:placeholder>
          <w:docPart w:val="GBC22222222222222222222222222222"/>
        </w:placeholder>
      </w:sdtPr>
      <w:sdtEndPr>
        <w:rPr>
          <w:rFonts w:cstheme="minorBidi"/>
          <w:kern w:val="2"/>
        </w:rPr>
      </w:sdtEndPr>
      <w:sdtContent>
        <w:bookmarkEnd w:id="231" w:displacedByCustomXml="prev"/>
        <w:p w:rsidR="00ED2DC7" w:rsidRDefault="00ED2DC7" w:rsidP="00036BDC">
          <w:pPr>
            <w:pStyle w:val="affffffffffffffffff1"/>
            <w:numPr>
              <w:ilvl w:val="0"/>
              <w:numId w:val="97"/>
            </w:numPr>
            <w:rPr>
              <w:rFonts w:ascii="宋体" w:hAnsi="宋体" w:cs="宋体"/>
              <w:bCs w:val="0"/>
              <w:kern w:val="0"/>
              <w:szCs w:val="21"/>
            </w:rPr>
          </w:pPr>
          <w:r>
            <w:rPr>
              <w:rFonts w:ascii="宋体" w:hAnsi="宋体" w:cs="宋体" w:hint="eastAsia"/>
              <w:bCs w:val="0"/>
              <w:kern w:val="0"/>
              <w:szCs w:val="21"/>
            </w:rPr>
            <w:t>其他对投资者决策有影响的重要交易和事项</w:t>
          </w:r>
        </w:p>
        <w:sdt>
          <w:sdtPr>
            <w:alias w:val="是否适用：其他对投资者决策有影响的重要交易和事项[双击切换]"/>
            <w:tag w:val="_GBC_6bb0ea1e73f644b99b2bccc9d2ea19e9"/>
            <w:id w:val="-743409184"/>
            <w:lock w:val="sdtContentLocked"/>
            <w:placeholder>
              <w:docPart w:val="GBC22222222222222222222222222222"/>
            </w:placeholder>
          </w:sdtPr>
          <w:sdtContent>
            <w:p w:rsidR="00ED2DC7" w:rsidRDefault="00ED2DC7" w:rsidP="00841B3F">
              <w:pPr>
                <w:rPr>
                  <w:szCs w:val="21"/>
                </w:rPr>
              </w:pPr>
              <w:r>
                <w:fldChar w:fldCharType="begin"/>
              </w:r>
              <w:r w:rsidR="00841B3F">
                <w:instrText xml:space="preserve"> MACROBUTTON  SnrToggleCheckbox □适用 </w:instrText>
              </w:r>
              <w:r>
                <w:fldChar w:fldCharType="end"/>
              </w:r>
              <w:r>
                <w:fldChar w:fldCharType="begin"/>
              </w:r>
              <w:r w:rsidR="00841B3F">
                <w:instrText xml:space="preserve"> MACROBUTTON  SnrToggleCheckbox √不适用 </w:instrText>
              </w:r>
              <w:r>
                <w:fldChar w:fldCharType="end"/>
              </w:r>
            </w:p>
          </w:sdtContent>
        </w:sdt>
      </w:sdtContent>
    </w:sdt>
    <w:p w:rsidR="00ED2DC7" w:rsidRDefault="00ED2DC7">
      <w:pPr>
        <w:rPr>
          <w:szCs w:val="21"/>
        </w:rPr>
      </w:pPr>
    </w:p>
    <w:sdt>
      <w:sdtPr>
        <w:rPr>
          <w:rFonts w:ascii="宋体" w:hAnsi="宋体" w:cs="宋体"/>
          <w:b w:val="0"/>
          <w:bCs w:val="0"/>
          <w:kern w:val="0"/>
          <w:szCs w:val="21"/>
        </w:rPr>
        <w:alias w:val="模块:其他重要事项的说明"/>
        <w:tag w:val="_GBC_a9d998641356411784b3ec54387f322d"/>
        <w:id w:val="1027297843"/>
        <w:lock w:val="sdtLocked"/>
        <w:placeholder>
          <w:docPart w:val="GBC22222222222222222222222222222"/>
        </w:placeholder>
      </w:sdtPr>
      <w:sdtContent>
        <w:p w:rsidR="00ED2DC7" w:rsidRDefault="00ED2DC7" w:rsidP="00036BDC">
          <w:pPr>
            <w:pStyle w:val="affffffffffffffffff1"/>
            <w:numPr>
              <w:ilvl w:val="0"/>
              <w:numId w:val="97"/>
            </w:numPr>
            <w:rPr>
              <w:rFonts w:ascii="宋体" w:hAnsi="宋体"/>
              <w:szCs w:val="21"/>
            </w:rPr>
          </w:pPr>
          <w:r>
            <w:rPr>
              <w:rFonts w:ascii="宋体" w:hAnsi="宋体" w:hint="eastAsia"/>
              <w:szCs w:val="21"/>
            </w:rPr>
            <w:t>其他</w:t>
          </w:r>
        </w:p>
        <w:sdt>
          <w:sdtPr>
            <w:alias w:val="是否适用：其他重要事项的说明[双击切换]"/>
            <w:tag w:val="_GBC_518cb9b615c44ff597f57c3bba95c7fa"/>
            <w:id w:val="1598759618"/>
            <w:lock w:val="sdtContentLocked"/>
            <w:placeholder>
              <w:docPart w:val="GBC22222222222222222222222222222"/>
            </w:placeholder>
          </w:sdtPr>
          <w:sdtContent>
            <w:p w:rsidR="00ED2DC7" w:rsidRDefault="00ED2DC7">
              <w:r>
                <w:fldChar w:fldCharType="begin"/>
              </w:r>
              <w:r w:rsidR="00841B3F">
                <w:instrText xml:space="preserve"> MACROBUTTON  SnrToggleCheckbox √适用 </w:instrText>
              </w:r>
              <w:r>
                <w:fldChar w:fldCharType="end"/>
              </w:r>
              <w:r>
                <w:fldChar w:fldCharType="begin"/>
              </w:r>
              <w:r w:rsidR="00841B3F">
                <w:instrText xml:space="preserve"> MACROBUTTON  SnrToggleCheckbox □不适用 </w:instrText>
              </w:r>
              <w:r>
                <w:fldChar w:fldCharType="end"/>
              </w:r>
            </w:p>
          </w:sdtContent>
        </w:sdt>
        <w:sdt>
          <w:sdtPr>
            <w:rPr>
              <w:szCs w:val="21"/>
            </w:rPr>
            <w:alias w:val="其他重要事项的说明"/>
            <w:tag w:val="_GBC_3a09ecc703144c23b6afd2a11890c0c6"/>
            <w:id w:val="-1205393892"/>
            <w:lock w:val="sdtLocked"/>
            <w:placeholder>
              <w:docPart w:val="GBC22222222222222222222222222222"/>
            </w:placeholder>
          </w:sdtPr>
          <w:sdtContent>
            <w:p w:rsidR="006C2D6E" w:rsidRPr="006C2D6E" w:rsidRDefault="006C2D6E" w:rsidP="006C2D6E">
              <w:pPr>
                <w:overflowPunct w:val="0"/>
                <w:autoSpaceDE w:val="0"/>
                <w:autoSpaceDN w:val="0"/>
                <w:adjustRightInd w:val="0"/>
                <w:snapToGrid w:val="0"/>
                <w:jc w:val="both"/>
                <w:textAlignment w:val="bottom"/>
                <w:rPr>
                  <w:rFonts w:cs="Arial"/>
                  <w:snapToGrid w:val="0"/>
                  <w:sz w:val="20"/>
                  <w:szCs w:val="20"/>
                  <w:u w:val="single"/>
                </w:rPr>
              </w:pPr>
              <w:r w:rsidRPr="006C2D6E">
                <w:rPr>
                  <w:rFonts w:cs="Arial"/>
                  <w:snapToGrid w:val="0"/>
                  <w:sz w:val="20"/>
                  <w:szCs w:val="20"/>
                  <w:u w:val="single"/>
                </w:rPr>
                <w:t>作为出租人</w:t>
              </w:r>
            </w:p>
            <w:p w:rsidR="006C2D6E" w:rsidRPr="006C2D6E" w:rsidRDefault="006C2D6E" w:rsidP="006C2D6E">
              <w:pPr>
                <w:pStyle w:val="afffffffffffffff"/>
                <w:overflowPunct w:val="0"/>
                <w:autoSpaceDE w:val="0"/>
                <w:autoSpaceDN w:val="0"/>
                <w:adjustRightInd w:val="0"/>
                <w:snapToGrid w:val="0"/>
                <w:ind w:firstLine="400"/>
                <w:textAlignment w:val="bottom"/>
                <w:rPr>
                  <w:rFonts w:ascii="宋体" w:hAnsi="宋体" w:cs="Arial"/>
                  <w:snapToGrid w:val="0"/>
                  <w:sz w:val="20"/>
                  <w:szCs w:val="20"/>
                </w:rPr>
              </w:pPr>
              <w:r w:rsidRPr="006C2D6E">
                <w:rPr>
                  <w:rFonts w:ascii="宋体" w:hAnsi="宋体" w:cs="Arial"/>
                  <w:snapToGrid w:val="0"/>
                  <w:sz w:val="20"/>
                  <w:szCs w:val="20"/>
                </w:rPr>
                <w:tab/>
              </w:r>
              <w:r w:rsidRPr="006C2D6E">
                <w:rPr>
                  <w:rFonts w:ascii="宋体" w:hAnsi="宋体" w:cs="Arial"/>
                  <w:snapToGrid w:val="0"/>
                  <w:sz w:val="20"/>
                  <w:szCs w:val="20"/>
                </w:rPr>
                <w:tab/>
              </w:r>
            </w:p>
            <w:p w:rsidR="006C2D6E" w:rsidRPr="006C2D6E" w:rsidRDefault="006C2D6E" w:rsidP="006C2D6E">
              <w:pPr>
                <w:overflowPunct w:val="0"/>
                <w:autoSpaceDE w:val="0"/>
                <w:autoSpaceDN w:val="0"/>
                <w:adjustRightInd w:val="0"/>
                <w:snapToGrid w:val="0"/>
                <w:jc w:val="both"/>
                <w:textAlignment w:val="bottom"/>
                <w:rPr>
                  <w:rFonts w:cs="Arial"/>
                  <w:snapToGrid w:val="0"/>
                  <w:sz w:val="20"/>
                  <w:szCs w:val="20"/>
                </w:rPr>
              </w:pPr>
              <w:r w:rsidRPr="006C2D6E">
                <w:rPr>
                  <w:rFonts w:cs="Arial"/>
                  <w:snapToGrid w:val="0"/>
                  <w:sz w:val="20"/>
                  <w:szCs w:val="20"/>
                </w:rPr>
                <w:t>经营租出固定资产，参</w:t>
              </w:r>
              <w:r w:rsidRPr="006C2D6E">
                <w:rPr>
                  <w:rFonts w:cs="Arial" w:hint="eastAsia"/>
                  <w:snapToGrid w:val="0"/>
                  <w:sz w:val="20"/>
                  <w:szCs w:val="20"/>
                </w:rPr>
                <w:t>见附注</w:t>
              </w:r>
              <w:r w:rsidR="00150269">
                <w:rPr>
                  <w:rFonts w:cs="Arial" w:hint="eastAsia"/>
                  <w:snapToGrid w:val="0"/>
                  <w:sz w:val="20"/>
                  <w:szCs w:val="20"/>
                </w:rPr>
                <w:t>七</w:t>
              </w:r>
              <w:r w:rsidRPr="006C2D6E">
                <w:rPr>
                  <w:rFonts w:cs="Arial" w:hint="eastAsia"/>
                  <w:snapToGrid w:val="0"/>
                  <w:sz w:val="20"/>
                  <w:szCs w:val="20"/>
                </w:rPr>
                <w:t>、</w:t>
              </w:r>
              <w:r w:rsidR="00150269">
                <w:rPr>
                  <w:rFonts w:cs="Arial"/>
                  <w:snapToGrid w:val="0"/>
                  <w:sz w:val="20"/>
                  <w:szCs w:val="20"/>
                </w:rPr>
                <w:t>21</w:t>
              </w:r>
              <w:r w:rsidRPr="006C2D6E">
                <w:rPr>
                  <w:rFonts w:cs="Arial" w:hint="eastAsia"/>
                  <w:snapToGrid w:val="0"/>
                  <w:sz w:val="20"/>
                  <w:szCs w:val="20"/>
                </w:rPr>
                <w:t>。</w:t>
              </w:r>
            </w:p>
            <w:p w:rsidR="006C2D6E" w:rsidRPr="006C2D6E" w:rsidRDefault="006C2D6E" w:rsidP="006C2D6E">
              <w:pPr>
                <w:pStyle w:val="afffffffffffffff"/>
                <w:overflowPunct w:val="0"/>
                <w:autoSpaceDE w:val="0"/>
                <w:autoSpaceDN w:val="0"/>
                <w:adjustRightInd w:val="0"/>
                <w:snapToGrid w:val="0"/>
                <w:ind w:firstLine="400"/>
                <w:textAlignment w:val="bottom"/>
                <w:rPr>
                  <w:rFonts w:ascii="宋体" w:hAnsi="宋体" w:cs="Arial"/>
                  <w:snapToGrid w:val="0"/>
                  <w:sz w:val="20"/>
                  <w:szCs w:val="20"/>
                </w:rPr>
              </w:pPr>
            </w:p>
            <w:p w:rsidR="006C2D6E" w:rsidRPr="006C2D6E" w:rsidRDefault="006C2D6E" w:rsidP="006C2D6E">
              <w:pPr>
                <w:overflowPunct w:val="0"/>
                <w:autoSpaceDE w:val="0"/>
                <w:autoSpaceDN w:val="0"/>
                <w:adjustRightInd w:val="0"/>
                <w:snapToGrid w:val="0"/>
                <w:jc w:val="both"/>
                <w:textAlignment w:val="bottom"/>
                <w:rPr>
                  <w:rFonts w:cs="Arial"/>
                  <w:snapToGrid w:val="0"/>
                  <w:sz w:val="20"/>
                  <w:szCs w:val="20"/>
                  <w:u w:val="single"/>
                </w:rPr>
              </w:pPr>
              <w:r w:rsidRPr="006C2D6E">
                <w:rPr>
                  <w:rFonts w:cs="Arial"/>
                  <w:snapToGrid w:val="0"/>
                  <w:sz w:val="20"/>
                  <w:szCs w:val="20"/>
                  <w:u w:val="single"/>
                </w:rPr>
                <w:t>作为承租人</w:t>
              </w:r>
            </w:p>
            <w:p w:rsidR="006C2D6E" w:rsidRPr="006C2D6E" w:rsidRDefault="006C2D6E" w:rsidP="006C2D6E">
              <w:pPr>
                <w:pStyle w:val="afffffffffffffff"/>
                <w:overflowPunct w:val="0"/>
                <w:autoSpaceDE w:val="0"/>
                <w:autoSpaceDN w:val="0"/>
                <w:adjustRightInd w:val="0"/>
                <w:snapToGrid w:val="0"/>
                <w:ind w:firstLine="400"/>
                <w:textAlignment w:val="bottom"/>
                <w:rPr>
                  <w:rFonts w:ascii="宋体" w:hAnsi="宋体" w:cs="Arial"/>
                  <w:snapToGrid w:val="0"/>
                  <w:sz w:val="20"/>
                  <w:szCs w:val="20"/>
                </w:rPr>
              </w:pPr>
            </w:p>
            <w:p w:rsidR="006C2D6E" w:rsidRPr="006C2D6E" w:rsidRDefault="006C2D6E" w:rsidP="006C2D6E">
              <w:pPr>
                <w:overflowPunct w:val="0"/>
                <w:autoSpaceDE w:val="0"/>
                <w:autoSpaceDN w:val="0"/>
                <w:adjustRightInd w:val="0"/>
                <w:snapToGrid w:val="0"/>
                <w:jc w:val="both"/>
                <w:textAlignment w:val="bottom"/>
                <w:rPr>
                  <w:rFonts w:cs="Arial"/>
                  <w:snapToGrid w:val="0"/>
                  <w:sz w:val="20"/>
                  <w:szCs w:val="20"/>
                </w:rPr>
              </w:pPr>
              <w:r w:rsidRPr="006C2D6E">
                <w:rPr>
                  <w:rFonts w:cs="Arial"/>
                  <w:snapToGrid w:val="0"/>
                  <w:sz w:val="20"/>
                  <w:szCs w:val="20"/>
                </w:rPr>
                <w:t>重大经营租赁：根据与出租人签订的租赁合同，不可撤销租赁的最低租赁付款额如下：</w:t>
              </w:r>
            </w:p>
            <w:p w:rsidR="006C2D6E" w:rsidRPr="006C2D6E" w:rsidRDefault="006C2D6E" w:rsidP="006C2D6E">
              <w:pPr>
                <w:overflowPunct w:val="0"/>
                <w:autoSpaceDE w:val="0"/>
                <w:autoSpaceDN w:val="0"/>
                <w:adjustRightInd w:val="0"/>
                <w:snapToGrid w:val="0"/>
                <w:jc w:val="both"/>
                <w:textAlignment w:val="bottom"/>
                <w:rPr>
                  <w:rFonts w:cs="Arial"/>
                  <w:snapToGrid w:val="0"/>
                  <w:sz w:val="20"/>
                  <w:szCs w:val="20"/>
                </w:rPr>
              </w:pPr>
            </w:p>
            <w:tbl>
              <w:tblPr>
                <w:tblStyle w:val="g35"/>
                <w:tblW w:w="8173" w:type="dxa"/>
                <w:tblLayout w:type="fixed"/>
                <w:tblLook w:val="0000" w:firstRow="0" w:lastRow="0" w:firstColumn="0" w:lastColumn="0" w:noHBand="0" w:noVBand="0"/>
              </w:tblPr>
              <w:tblGrid>
                <w:gridCol w:w="2268"/>
                <w:gridCol w:w="3385"/>
                <w:gridCol w:w="2520"/>
              </w:tblGrid>
              <w:tr w:rsidR="006C2D6E" w:rsidRPr="006C2D6E" w:rsidTr="003F54E5">
                <w:trPr>
                  <w:trHeight w:val="255"/>
                </w:trPr>
                <w:tc>
                  <w:tcPr>
                    <w:tcW w:w="2268" w:type="dxa"/>
                    <w:shd w:val="clear" w:color="auto" w:fill="auto"/>
                    <w:vAlign w:val="bottom"/>
                  </w:tcPr>
                  <w:p w:rsidR="006C2D6E" w:rsidRPr="006C2D6E" w:rsidRDefault="006C2D6E" w:rsidP="003F54E5">
                    <w:pPr>
                      <w:autoSpaceDE w:val="0"/>
                      <w:autoSpaceDN w:val="0"/>
                      <w:spacing w:line="260" w:lineRule="exact"/>
                      <w:ind w:hanging="112"/>
                      <w:textAlignment w:val="bottom"/>
                      <w:rPr>
                        <w:rFonts w:cs="Arial"/>
                        <w:snapToGrid w:val="0"/>
                        <w:sz w:val="20"/>
                        <w:szCs w:val="20"/>
                      </w:rPr>
                    </w:pPr>
                    <w:bookmarkStart w:id="232" w:name="_Hlk16500145"/>
                  </w:p>
                </w:tc>
                <w:tc>
                  <w:tcPr>
                    <w:tcW w:w="3385" w:type="dxa"/>
                    <w:shd w:val="clear" w:color="auto" w:fill="auto"/>
                    <w:vAlign w:val="bottom"/>
                  </w:tcPr>
                  <w:p w:rsidR="006C2D6E" w:rsidRPr="006C2D6E" w:rsidRDefault="006C2D6E" w:rsidP="003F54E5">
                    <w:pPr>
                      <w:autoSpaceDE w:val="0"/>
                      <w:autoSpaceDN w:val="0"/>
                      <w:spacing w:line="260" w:lineRule="exact"/>
                      <w:ind w:right="-106" w:hanging="112"/>
                      <w:jc w:val="right"/>
                      <w:textAlignment w:val="bottom"/>
                      <w:rPr>
                        <w:rFonts w:cs="Arial"/>
                        <w:snapToGrid w:val="0"/>
                        <w:sz w:val="20"/>
                        <w:szCs w:val="20"/>
                      </w:rPr>
                    </w:pPr>
                    <w:r w:rsidRPr="006C2D6E">
                      <w:rPr>
                        <w:rFonts w:cs="Arial"/>
                        <w:sz w:val="20"/>
                        <w:szCs w:val="20"/>
                      </w:rPr>
                      <w:t>2019</w:t>
                    </w:r>
                    <w:r w:rsidRPr="006C2D6E">
                      <w:rPr>
                        <w:rFonts w:cs="Arial" w:hint="eastAsia"/>
                        <w:sz w:val="20"/>
                        <w:szCs w:val="20"/>
                      </w:rPr>
                      <w:t>年6月3</w:t>
                    </w:r>
                    <w:r w:rsidRPr="006C2D6E">
                      <w:rPr>
                        <w:rFonts w:cs="Arial"/>
                        <w:sz w:val="20"/>
                        <w:szCs w:val="20"/>
                      </w:rPr>
                      <w:t>0</w:t>
                    </w:r>
                    <w:r w:rsidRPr="006C2D6E">
                      <w:rPr>
                        <w:rFonts w:cs="Arial" w:hint="eastAsia"/>
                        <w:sz w:val="20"/>
                        <w:szCs w:val="20"/>
                      </w:rPr>
                      <w:t>日</w:t>
                    </w:r>
                  </w:p>
                </w:tc>
                <w:tc>
                  <w:tcPr>
                    <w:tcW w:w="2520" w:type="dxa"/>
                    <w:vAlign w:val="bottom"/>
                  </w:tcPr>
                  <w:p w:rsidR="006C2D6E" w:rsidRPr="006C2D6E" w:rsidRDefault="006C2D6E" w:rsidP="003F54E5">
                    <w:pPr>
                      <w:autoSpaceDE w:val="0"/>
                      <w:autoSpaceDN w:val="0"/>
                      <w:spacing w:line="260" w:lineRule="exact"/>
                      <w:ind w:right="-106" w:hanging="112"/>
                      <w:jc w:val="right"/>
                      <w:textAlignment w:val="bottom"/>
                      <w:rPr>
                        <w:rFonts w:cs="Arial"/>
                        <w:sz w:val="20"/>
                        <w:szCs w:val="20"/>
                      </w:rPr>
                    </w:pPr>
                    <w:r w:rsidRPr="006C2D6E">
                      <w:rPr>
                        <w:rFonts w:cs="Arial"/>
                        <w:sz w:val="20"/>
                        <w:szCs w:val="20"/>
                      </w:rPr>
                      <w:t>2018</w:t>
                    </w:r>
                    <w:r w:rsidRPr="006C2D6E">
                      <w:rPr>
                        <w:rFonts w:cs="Arial" w:hint="eastAsia"/>
                        <w:sz w:val="20"/>
                        <w:szCs w:val="20"/>
                      </w:rPr>
                      <w:t>年1</w:t>
                    </w:r>
                    <w:r w:rsidRPr="006C2D6E">
                      <w:rPr>
                        <w:rFonts w:cs="Arial"/>
                        <w:sz w:val="20"/>
                        <w:szCs w:val="20"/>
                      </w:rPr>
                      <w:t>2</w:t>
                    </w:r>
                    <w:r w:rsidRPr="006C2D6E">
                      <w:rPr>
                        <w:rFonts w:cs="Arial" w:hint="eastAsia"/>
                        <w:sz w:val="20"/>
                        <w:szCs w:val="20"/>
                      </w:rPr>
                      <w:t>月3</w:t>
                    </w:r>
                    <w:r w:rsidRPr="006C2D6E">
                      <w:rPr>
                        <w:rFonts w:cs="Arial"/>
                        <w:sz w:val="20"/>
                        <w:szCs w:val="20"/>
                      </w:rPr>
                      <w:t>1</w:t>
                    </w:r>
                    <w:r w:rsidRPr="006C2D6E">
                      <w:rPr>
                        <w:rFonts w:cs="Arial" w:hint="eastAsia"/>
                        <w:sz w:val="20"/>
                        <w:szCs w:val="20"/>
                      </w:rPr>
                      <w:t>日</w:t>
                    </w:r>
                  </w:p>
                </w:tc>
              </w:tr>
              <w:tr w:rsidR="006C2D6E" w:rsidRPr="006C2D6E" w:rsidTr="003F54E5">
                <w:trPr>
                  <w:trHeight w:val="255"/>
                </w:trPr>
                <w:tc>
                  <w:tcPr>
                    <w:tcW w:w="2268" w:type="dxa"/>
                    <w:shd w:val="clear" w:color="auto" w:fill="auto"/>
                    <w:vAlign w:val="bottom"/>
                  </w:tcPr>
                  <w:p w:rsidR="006C2D6E" w:rsidRPr="006C2D6E" w:rsidRDefault="006C2D6E" w:rsidP="003F54E5">
                    <w:pPr>
                      <w:autoSpaceDE w:val="0"/>
                      <w:autoSpaceDN w:val="0"/>
                      <w:spacing w:line="260" w:lineRule="exact"/>
                      <w:ind w:hanging="112"/>
                      <w:textAlignment w:val="bottom"/>
                      <w:rPr>
                        <w:rFonts w:cs="Arial"/>
                        <w:snapToGrid w:val="0"/>
                        <w:sz w:val="20"/>
                        <w:szCs w:val="20"/>
                      </w:rPr>
                    </w:pPr>
                  </w:p>
                </w:tc>
                <w:tc>
                  <w:tcPr>
                    <w:tcW w:w="3385" w:type="dxa"/>
                    <w:shd w:val="clear" w:color="auto" w:fill="auto"/>
                    <w:vAlign w:val="bottom"/>
                  </w:tcPr>
                  <w:p w:rsidR="006C2D6E" w:rsidRPr="006C2D6E" w:rsidRDefault="006C2D6E" w:rsidP="003F54E5">
                    <w:pPr>
                      <w:autoSpaceDE w:val="0"/>
                      <w:autoSpaceDN w:val="0"/>
                      <w:spacing w:line="260" w:lineRule="exact"/>
                      <w:ind w:right="-106" w:hanging="112"/>
                      <w:jc w:val="right"/>
                      <w:textAlignment w:val="bottom"/>
                      <w:rPr>
                        <w:rFonts w:cs="Arial"/>
                        <w:snapToGrid w:val="0"/>
                        <w:sz w:val="20"/>
                        <w:szCs w:val="20"/>
                      </w:rPr>
                    </w:pPr>
                  </w:p>
                </w:tc>
                <w:tc>
                  <w:tcPr>
                    <w:tcW w:w="2520" w:type="dxa"/>
                    <w:vAlign w:val="bottom"/>
                  </w:tcPr>
                  <w:p w:rsidR="006C2D6E" w:rsidRPr="006C2D6E" w:rsidRDefault="006C2D6E" w:rsidP="003F54E5">
                    <w:pPr>
                      <w:autoSpaceDE w:val="0"/>
                      <w:autoSpaceDN w:val="0"/>
                      <w:spacing w:line="260" w:lineRule="exact"/>
                      <w:ind w:right="-106" w:hanging="112"/>
                      <w:jc w:val="right"/>
                      <w:textAlignment w:val="bottom"/>
                      <w:rPr>
                        <w:rFonts w:cs="Arial"/>
                        <w:snapToGrid w:val="0"/>
                        <w:sz w:val="20"/>
                        <w:szCs w:val="20"/>
                      </w:rPr>
                    </w:pPr>
                  </w:p>
                </w:tc>
              </w:tr>
              <w:tr w:rsidR="006C2D6E" w:rsidRPr="006C2D6E" w:rsidTr="003F54E5">
                <w:trPr>
                  <w:trHeight w:val="255"/>
                </w:trPr>
                <w:tc>
                  <w:tcPr>
                    <w:tcW w:w="2268" w:type="dxa"/>
                    <w:shd w:val="clear" w:color="auto" w:fill="auto"/>
                    <w:vAlign w:val="bottom"/>
                  </w:tcPr>
                  <w:p w:rsidR="006C2D6E" w:rsidRPr="006C2D6E" w:rsidRDefault="006C2D6E" w:rsidP="003F54E5">
                    <w:pPr>
                      <w:autoSpaceDE w:val="0"/>
                      <w:autoSpaceDN w:val="0"/>
                      <w:spacing w:line="260" w:lineRule="exact"/>
                      <w:ind w:hanging="112"/>
                      <w:textAlignment w:val="bottom"/>
                      <w:rPr>
                        <w:rFonts w:cs="Arial"/>
                        <w:snapToGrid w:val="0"/>
                        <w:sz w:val="20"/>
                        <w:szCs w:val="20"/>
                      </w:rPr>
                    </w:pPr>
                    <w:r w:rsidRPr="006C2D6E">
                      <w:rPr>
                        <w:rFonts w:cs="Arial"/>
                        <w:snapToGrid w:val="0"/>
                        <w:sz w:val="20"/>
                        <w:szCs w:val="20"/>
                      </w:rPr>
                      <w:t>1</w:t>
                    </w:r>
                    <w:r w:rsidRPr="006C2D6E">
                      <w:rPr>
                        <w:rFonts w:cs="Arial" w:hint="eastAsia"/>
                        <w:snapToGrid w:val="0"/>
                        <w:sz w:val="20"/>
                        <w:szCs w:val="20"/>
                      </w:rPr>
                      <w:t>年以内</w:t>
                    </w:r>
                    <w:r w:rsidRPr="006C2D6E">
                      <w:rPr>
                        <w:rFonts w:cs="Arial"/>
                        <w:snapToGrid w:val="0"/>
                        <w:sz w:val="20"/>
                        <w:szCs w:val="20"/>
                      </w:rPr>
                      <w:t>(</w:t>
                    </w:r>
                    <w:r w:rsidRPr="006C2D6E">
                      <w:rPr>
                        <w:rFonts w:cs="Arial" w:hint="eastAsia"/>
                        <w:snapToGrid w:val="0"/>
                        <w:sz w:val="20"/>
                        <w:szCs w:val="20"/>
                      </w:rPr>
                      <w:t>含</w:t>
                    </w:r>
                    <w:r w:rsidRPr="006C2D6E">
                      <w:rPr>
                        <w:rFonts w:cs="Arial"/>
                        <w:snapToGrid w:val="0"/>
                        <w:sz w:val="20"/>
                        <w:szCs w:val="20"/>
                      </w:rPr>
                      <w:t>1</w:t>
                    </w:r>
                    <w:r w:rsidRPr="006C2D6E">
                      <w:rPr>
                        <w:rFonts w:cs="Arial" w:hint="eastAsia"/>
                        <w:snapToGrid w:val="0"/>
                        <w:sz w:val="20"/>
                        <w:szCs w:val="20"/>
                      </w:rPr>
                      <w:t>年</w:t>
                    </w:r>
                    <w:r w:rsidRPr="006C2D6E">
                      <w:rPr>
                        <w:rFonts w:cs="Arial"/>
                        <w:snapToGrid w:val="0"/>
                        <w:sz w:val="20"/>
                        <w:szCs w:val="20"/>
                      </w:rPr>
                      <w:t>)</w:t>
                    </w:r>
                  </w:p>
                </w:tc>
                <w:tc>
                  <w:tcPr>
                    <w:tcW w:w="3385" w:type="dxa"/>
                    <w:shd w:val="clear" w:color="auto" w:fill="auto"/>
                    <w:vAlign w:val="bottom"/>
                  </w:tcPr>
                  <w:p w:rsidR="006C2D6E" w:rsidRPr="006C2D6E" w:rsidRDefault="006C2D6E" w:rsidP="003F54E5">
                    <w:pPr>
                      <w:pStyle w:val="Normal3"/>
                      <w:widowControl/>
                      <w:autoSpaceDE w:val="0"/>
                      <w:autoSpaceDN w:val="0"/>
                      <w:spacing w:line="260" w:lineRule="exact"/>
                      <w:ind w:right="-106" w:hanging="112"/>
                      <w:jc w:val="right"/>
                      <w:textAlignment w:val="bottom"/>
                      <w:rPr>
                        <w:rFonts w:ascii="宋体" w:eastAsia="宋体" w:hAnsi="宋体" w:cs="Arial"/>
                        <w:snapToGrid w:val="0"/>
                        <w:sz w:val="20"/>
                        <w:lang w:eastAsia="zh-CN"/>
                      </w:rPr>
                    </w:pPr>
                    <w:r w:rsidRPr="006C2D6E">
                      <w:rPr>
                        <w:rFonts w:ascii="宋体" w:eastAsia="宋体" w:hAnsi="宋体" w:cs="Arial"/>
                        <w:snapToGrid w:val="0"/>
                        <w:sz w:val="20"/>
                        <w:lang w:eastAsia="zh-CN"/>
                      </w:rPr>
                      <w:t>33,125,776</w:t>
                    </w:r>
                  </w:p>
                </w:tc>
                <w:tc>
                  <w:tcPr>
                    <w:tcW w:w="2520" w:type="dxa"/>
                    <w:vAlign w:val="bottom"/>
                  </w:tcPr>
                  <w:p w:rsidR="006C2D6E" w:rsidRPr="006C2D6E" w:rsidRDefault="006C2D6E" w:rsidP="003F54E5">
                    <w:pPr>
                      <w:pStyle w:val="Normal3"/>
                      <w:widowControl/>
                      <w:autoSpaceDE w:val="0"/>
                      <w:autoSpaceDN w:val="0"/>
                      <w:spacing w:line="260" w:lineRule="exact"/>
                      <w:ind w:right="-106" w:hanging="112"/>
                      <w:jc w:val="right"/>
                      <w:textAlignment w:val="bottom"/>
                      <w:rPr>
                        <w:rFonts w:ascii="宋体" w:eastAsia="宋体" w:hAnsi="宋体" w:cs="Arial"/>
                        <w:snapToGrid w:val="0"/>
                        <w:sz w:val="20"/>
                        <w:lang w:eastAsia="zh-CN"/>
                      </w:rPr>
                    </w:pPr>
                    <w:r w:rsidRPr="006C2D6E">
                      <w:rPr>
                        <w:rFonts w:ascii="宋体" w:eastAsia="宋体" w:hAnsi="宋体" w:cs="Arial"/>
                        <w:snapToGrid w:val="0"/>
                        <w:sz w:val="20"/>
                        <w:lang w:eastAsia="zh-CN"/>
                      </w:rPr>
                      <w:t>72,878,274</w:t>
                    </w:r>
                  </w:p>
                </w:tc>
              </w:tr>
              <w:tr w:rsidR="006C2D6E" w:rsidRPr="006C2D6E" w:rsidTr="003F54E5">
                <w:trPr>
                  <w:trHeight w:val="255"/>
                </w:trPr>
                <w:tc>
                  <w:tcPr>
                    <w:tcW w:w="2268" w:type="dxa"/>
                    <w:shd w:val="clear" w:color="auto" w:fill="auto"/>
                    <w:vAlign w:val="bottom"/>
                  </w:tcPr>
                  <w:p w:rsidR="006C2D6E" w:rsidRPr="006C2D6E" w:rsidRDefault="006C2D6E" w:rsidP="003F54E5">
                    <w:pPr>
                      <w:autoSpaceDE w:val="0"/>
                      <w:autoSpaceDN w:val="0"/>
                      <w:spacing w:line="260" w:lineRule="exact"/>
                      <w:ind w:hanging="112"/>
                      <w:textAlignment w:val="bottom"/>
                      <w:rPr>
                        <w:rFonts w:cs="Arial"/>
                        <w:snapToGrid w:val="0"/>
                        <w:sz w:val="20"/>
                        <w:szCs w:val="20"/>
                      </w:rPr>
                    </w:pPr>
                    <w:r w:rsidRPr="006C2D6E">
                      <w:rPr>
                        <w:rFonts w:cs="Arial"/>
                        <w:snapToGrid w:val="0"/>
                        <w:sz w:val="20"/>
                        <w:szCs w:val="20"/>
                      </w:rPr>
                      <w:t>1</w:t>
                    </w:r>
                    <w:r w:rsidRPr="006C2D6E">
                      <w:rPr>
                        <w:rFonts w:cs="Arial" w:hint="eastAsia"/>
                        <w:snapToGrid w:val="0"/>
                        <w:sz w:val="20"/>
                        <w:szCs w:val="20"/>
                      </w:rPr>
                      <w:t>年至</w:t>
                    </w:r>
                    <w:r w:rsidRPr="006C2D6E">
                      <w:rPr>
                        <w:rFonts w:cs="Arial"/>
                        <w:snapToGrid w:val="0"/>
                        <w:sz w:val="20"/>
                        <w:szCs w:val="20"/>
                      </w:rPr>
                      <w:t>2</w:t>
                    </w:r>
                    <w:r w:rsidRPr="006C2D6E">
                      <w:rPr>
                        <w:rFonts w:cs="Arial" w:hint="eastAsia"/>
                        <w:snapToGrid w:val="0"/>
                        <w:sz w:val="20"/>
                        <w:szCs w:val="20"/>
                      </w:rPr>
                      <w:t>年</w:t>
                    </w:r>
                    <w:r w:rsidRPr="006C2D6E">
                      <w:rPr>
                        <w:rFonts w:cs="Arial"/>
                        <w:snapToGrid w:val="0"/>
                        <w:sz w:val="20"/>
                        <w:szCs w:val="20"/>
                      </w:rPr>
                      <w:t>(</w:t>
                    </w:r>
                    <w:r w:rsidRPr="006C2D6E">
                      <w:rPr>
                        <w:rFonts w:cs="Arial" w:hint="eastAsia"/>
                        <w:snapToGrid w:val="0"/>
                        <w:sz w:val="20"/>
                        <w:szCs w:val="20"/>
                      </w:rPr>
                      <w:t>含</w:t>
                    </w:r>
                    <w:r w:rsidRPr="006C2D6E">
                      <w:rPr>
                        <w:rFonts w:cs="Arial"/>
                        <w:snapToGrid w:val="0"/>
                        <w:sz w:val="20"/>
                        <w:szCs w:val="20"/>
                      </w:rPr>
                      <w:t>2</w:t>
                    </w:r>
                    <w:r w:rsidRPr="006C2D6E">
                      <w:rPr>
                        <w:rFonts w:cs="Arial" w:hint="eastAsia"/>
                        <w:snapToGrid w:val="0"/>
                        <w:sz w:val="20"/>
                        <w:szCs w:val="20"/>
                      </w:rPr>
                      <w:t>年</w:t>
                    </w:r>
                    <w:r w:rsidRPr="006C2D6E">
                      <w:rPr>
                        <w:rFonts w:cs="Arial"/>
                        <w:snapToGrid w:val="0"/>
                        <w:sz w:val="20"/>
                        <w:szCs w:val="20"/>
                      </w:rPr>
                      <w:t>)</w:t>
                    </w:r>
                  </w:p>
                </w:tc>
                <w:tc>
                  <w:tcPr>
                    <w:tcW w:w="3385" w:type="dxa"/>
                    <w:shd w:val="clear" w:color="auto" w:fill="auto"/>
                    <w:vAlign w:val="bottom"/>
                  </w:tcPr>
                  <w:p w:rsidR="006C2D6E" w:rsidRPr="006C2D6E" w:rsidRDefault="006C2D6E" w:rsidP="003F54E5">
                    <w:pPr>
                      <w:pStyle w:val="Normal3"/>
                      <w:widowControl/>
                      <w:autoSpaceDE w:val="0"/>
                      <w:autoSpaceDN w:val="0"/>
                      <w:spacing w:line="260" w:lineRule="exact"/>
                      <w:ind w:right="-106" w:hanging="112"/>
                      <w:jc w:val="right"/>
                      <w:textAlignment w:val="bottom"/>
                      <w:rPr>
                        <w:rFonts w:ascii="宋体" w:eastAsia="宋体" w:hAnsi="宋体" w:cs="Arial"/>
                        <w:snapToGrid w:val="0"/>
                        <w:sz w:val="20"/>
                        <w:lang w:eastAsia="zh-CN"/>
                      </w:rPr>
                    </w:pPr>
                    <w:r w:rsidRPr="006C2D6E">
                      <w:rPr>
                        <w:rFonts w:ascii="宋体" w:eastAsia="宋体" w:hAnsi="宋体" w:cs="Arial"/>
                        <w:snapToGrid w:val="0"/>
                        <w:sz w:val="20"/>
                        <w:lang w:eastAsia="zh-CN"/>
                      </w:rPr>
                      <w:t>20,999,890</w:t>
                    </w:r>
                  </w:p>
                </w:tc>
                <w:tc>
                  <w:tcPr>
                    <w:tcW w:w="2520" w:type="dxa"/>
                    <w:vAlign w:val="bottom"/>
                  </w:tcPr>
                  <w:p w:rsidR="006C2D6E" w:rsidRPr="006C2D6E" w:rsidRDefault="006C2D6E" w:rsidP="003F54E5">
                    <w:pPr>
                      <w:pStyle w:val="Normal3"/>
                      <w:widowControl/>
                      <w:autoSpaceDE w:val="0"/>
                      <w:autoSpaceDN w:val="0"/>
                      <w:spacing w:line="260" w:lineRule="exact"/>
                      <w:ind w:right="-106" w:hanging="112"/>
                      <w:jc w:val="right"/>
                      <w:textAlignment w:val="bottom"/>
                      <w:rPr>
                        <w:rFonts w:ascii="宋体" w:eastAsia="宋体" w:hAnsi="宋体" w:cs="Arial"/>
                        <w:snapToGrid w:val="0"/>
                        <w:sz w:val="20"/>
                        <w:lang w:eastAsia="zh-CN"/>
                      </w:rPr>
                    </w:pPr>
                    <w:r w:rsidRPr="006C2D6E">
                      <w:rPr>
                        <w:rFonts w:ascii="宋体" w:eastAsia="宋体" w:hAnsi="宋体" w:cs="Arial"/>
                        <w:snapToGrid w:val="0"/>
                        <w:sz w:val="20"/>
                        <w:lang w:eastAsia="zh-CN"/>
                      </w:rPr>
                      <w:t>37,806,402</w:t>
                    </w:r>
                  </w:p>
                </w:tc>
              </w:tr>
              <w:tr w:rsidR="006C2D6E" w:rsidRPr="006C2D6E" w:rsidTr="003F54E5">
                <w:trPr>
                  <w:trHeight w:val="255"/>
                </w:trPr>
                <w:tc>
                  <w:tcPr>
                    <w:tcW w:w="2268" w:type="dxa"/>
                    <w:shd w:val="clear" w:color="auto" w:fill="auto"/>
                    <w:vAlign w:val="bottom"/>
                  </w:tcPr>
                  <w:p w:rsidR="006C2D6E" w:rsidRPr="006C2D6E" w:rsidRDefault="006C2D6E" w:rsidP="003F54E5">
                    <w:pPr>
                      <w:autoSpaceDE w:val="0"/>
                      <w:autoSpaceDN w:val="0"/>
                      <w:spacing w:line="260" w:lineRule="exact"/>
                      <w:ind w:hanging="112"/>
                      <w:textAlignment w:val="bottom"/>
                      <w:rPr>
                        <w:rFonts w:cs="Arial"/>
                        <w:snapToGrid w:val="0"/>
                        <w:sz w:val="20"/>
                        <w:szCs w:val="20"/>
                      </w:rPr>
                    </w:pPr>
                    <w:r w:rsidRPr="006C2D6E">
                      <w:rPr>
                        <w:rFonts w:cs="Arial"/>
                        <w:snapToGrid w:val="0"/>
                        <w:sz w:val="20"/>
                        <w:szCs w:val="20"/>
                      </w:rPr>
                      <w:t>2</w:t>
                    </w:r>
                    <w:r w:rsidRPr="006C2D6E">
                      <w:rPr>
                        <w:rFonts w:cs="Arial" w:hint="eastAsia"/>
                        <w:snapToGrid w:val="0"/>
                        <w:sz w:val="20"/>
                        <w:szCs w:val="20"/>
                      </w:rPr>
                      <w:t>年至</w:t>
                    </w:r>
                    <w:r w:rsidRPr="006C2D6E">
                      <w:rPr>
                        <w:rFonts w:cs="Arial"/>
                        <w:snapToGrid w:val="0"/>
                        <w:sz w:val="20"/>
                        <w:szCs w:val="20"/>
                      </w:rPr>
                      <w:t>3</w:t>
                    </w:r>
                    <w:r w:rsidRPr="006C2D6E">
                      <w:rPr>
                        <w:rFonts w:cs="Arial" w:hint="eastAsia"/>
                        <w:snapToGrid w:val="0"/>
                        <w:sz w:val="20"/>
                        <w:szCs w:val="20"/>
                      </w:rPr>
                      <w:t>年</w:t>
                    </w:r>
                    <w:r w:rsidRPr="006C2D6E">
                      <w:rPr>
                        <w:rFonts w:cs="Arial"/>
                        <w:snapToGrid w:val="0"/>
                        <w:sz w:val="20"/>
                        <w:szCs w:val="20"/>
                      </w:rPr>
                      <w:t>(</w:t>
                    </w:r>
                    <w:r w:rsidRPr="006C2D6E">
                      <w:rPr>
                        <w:rFonts w:cs="Arial" w:hint="eastAsia"/>
                        <w:snapToGrid w:val="0"/>
                        <w:sz w:val="20"/>
                        <w:szCs w:val="20"/>
                      </w:rPr>
                      <w:t>含</w:t>
                    </w:r>
                    <w:r w:rsidRPr="006C2D6E">
                      <w:rPr>
                        <w:rFonts w:cs="Arial"/>
                        <w:snapToGrid w:val="0"/>
                        <w:sz w:val="20"/>
                        <w:szCs w:val="20"/>
                      </w:rPr>
                      <w:t>3</w:t>
                    </w:r>
                    <w:r w:rsidRPr="006C2D6E">
                      <w:rPr>
                        <w:rFonts w:cs="Arial" w:hint="eastAsia"/>
                        <w:snapToGrid w:val="0"/>
                        <w:sz w:val="20"/>
                        <w:szCs w:val="20"/>
                      </w:rPr>
                      <w:t>年</w:t>
                    </w:r>
                    <w:r w:rsidRPr="006C2D6E">
                      <w:rPr>
                        <w:rFonts w:cs="Arial"/>
                        <w:snapToGrid w:val="0"/>
                        <w:sz w:val="20"/>
                        <w:szCs w:val="20"/>
                      </w:rPr>
                      <w:t>)</w:t>
                    </w:r>
                  </w:p>
                </w:tc>
                <w:tc>
                  <w:tcPr>
                    <w:tcW w:w="3385" w:type="dxa"/>
                    <w:shd w:val="clear" w:color="auto" w:fill="auto"/>
                    <w:vAlign w:val="bottom"/>
                  </w:tcPr>
                  <w:p w:rsidR="006C2D6E" w:rsidRPr="006C2D6E" w:rsidRDefault="006C2D6E" w:rsidP="003F54E5">
                    <w:pPr>
                      <w:pStyle w:val="Normal3"/>
                      <w:widowControl/>
                      <w:autoSpaceDE w:val="0"/>
                      <w:autoSpaceDN w:val="0"/>
                      <w:spacing w:line="260" w:lineRule="exact"/>
                      <w:ind w:right="-106" w:hanging="112"/>
                      <w:jc w:val="right"/>
                      <w:textAlignment w:val="bottom"/>
                      <w:rPr>
                        <w:rFonts w:ascii="宋体" w:eastAsia="宋体" w:hAnsi="宋体" w:cs="Arial"/>
                        <w:snapToGrid w:val="0"/>
                        <w:sz w:val="20"/>
                        <w:lang w:eastAsia="zh-CN"/>
                      </w:rPr>
                    </w:pPr>
                    <w:r w:rsidRPr="006C2D6E">
                      <w:rPr>
                        <w:rFonts w:ascii="宋体" w:eastAsia="宋体" w:hAnsi="宋体" w:cs="Arial"/>
                        <w:snapToGrid w:val="0"/>
                        <w:sz w:val="20"/>
                        <w:lang w:eastAsia="zh-CN"/>
                      </w:rPr>
                      <w:t>10,380,231</w:t>
                    </w:r>
                  </w:p>
                </w:tc>
                <w:tc>
                  <w:tcPr>
                    <w:tcW w:w="2520" w:type="dxa"/>
                    <w:vAlign w:val="bottom"/>
                  </w:tcPr>
                  <w:p w:rsidR="006C2D6E" w:rsidRPr="006C2D6E" w:rsidRDefault="006C2D6E" w:rsidP="003F54E5">
                    <w:pPr>
                      <w:pStyle w:val="Normal3"/>
                      <w:widowControl/>
                      <w:autoSpaceDE w:val="0"/>
                      <w:autoSpaceDN w:val="0"/>
                      <w:spacing w:line="260" w:lineRule="exact"/>
                      <w:ind w:right="-106" w:hanging="112"/>
                      <w:jc w:val="right"/>
                      <w:textAlignment w:val="bottom"/>
                      <w:rPr>
                        <w:rFonts w:ascii="宋体" w:eastAsia="宋体" w:hAnsi="宋体" w:cs="Arial"/>
                        <w:snapToGrid w:val="0"/>
                        <w:sz w:val="20"/>
                        <w:lang w:eastAsia="zh-CN"/>
                      </w:rPr>
                    </w:pPr>
                    <w:r w:rsidRPr="006C2D6E">
                      <w:rPr>
                        <w:rFonts w:ascii="宋体" w:eastAsia="宋体" w:hAnsi="宋体" w:cs="Arial"/>
                        <w:snapToGrid w:val="0"/>
                        <w:sz w:val="20"/>
                        <w:lang w:eastAsia="zh-CN"/>
                      </w:rPr>
                      <w:t>17,003,326</w:t>
                    </w:r>
                  </w:p>
                </w:tc>
              </w:tr>
              <w:tr w:rsidR="006C2D6E" w:rsidRPr="006C2D6E" w:rsidTr="003F54E5">
                <w:trPr>
                  <w:trHeight w:val="255"/>
                </w:trPr>
                <w:tc>
                  <w:tcPr>
                    <w:tcW w:w="2268" w:type="dxa"/>
                    <w:shd w:val="clear" w:color="auto" w:fill="auto"/>
                    <w:vAlign w:val="bottom"/>
                  </w:tcPr>
                  <w:p w:rsidR="006C2D6E" w:rsidRPr="006C2D6E" w:rsidRDefault="006C2D6E" w:rsidP="003F54E5">
                    <w:pPr>
                      <w:autoSpaceDE w:val="0"/>
                      <w:autoSpaceDN w:val="0"/>
                      <w:spacing w:line="260" w:lineRule="exact"/>
                      <w:ind w:hanging="112"/>
                      <w:textAlignment w:val="bottom"/>
                      <w:rPr>
                        <w:rFonts w:cs="Arial"/>
                        <w:snapToGrid w:val="0"/>
                        <w:sz w:val="20"/>
                        <w:szCs w:val="20"/>
                      </w:rPr>
                    </w:pPr>
                    <w:r w:rsidRPr="006C2D6E">
                      <w:rPr>
                        <w:rFonts w:cs="Arial"/>
                        <w:snapToGrid w:val="0"/>
                        <w:sz w:val="20"/>
                        <w:szCs w:val="20"/>
                      </w:rPr>
                      <w:t>3</w:t>
                    </w:r>
                    <w:r w:rsidRPr="006C2D6E">
                      <w:rPr>
                        <w:rFonts w:cs="Arial" w:hint="eastAsia"/>
                        <w:snapToGrid w:val="0"/>
                        <w:sz w:val="20"/>
                        <w:szCs w:val="20"/>
                      </w:rPr>
                      <w:t>年以上</w:t>
                    </w:r>
                  </w:p>
                </w:tc>
                <w:tc>
                  <w:tcPr>
                    <w:tcW w:w="3385" w:type="dxa"/>
                    <w:shd w:val="clear" w:color="auto" w:fill="auto"/>
                    <w:vAlign w:val="bottom"/>
                  </w:tcPr>
                  <w:p w:rsidR="006C2D6E" w:rsidRPr="006C2D6E" w:rsidRDefault="006C2D6E" w:rsidP="003F54E5">
                    <w:pPr>
                      <w:pStyle w:val="Normal3"/>
                      <w:widowControl/>
                      <w:wordWrap w:val="0"/>
                      <w:autoSpaceDE w:val="0"/>
                      <w:autoSpaceDN w:val="0"/>
                      <w:spacing w:line="260" w:lineRule="exact"/>
                      <w:ind w:right="-106" w:hanging="112"/>
                      <w:jc w:val="right"/>
                      <w:textAlignment w:val="bottom"/>
                      <w:rPr>
                        <w:rFonts w:ascii="宋体" w:eastAsia="宋体" w:hAnsi="宋体" w:cs="Arial"/>
                        <w:snapToGrid w:val="0"/>
                        <w:sz w:val="20"/>
                        <w:u w:val="single"/>
                        <w:lang w:eastAsia="zh-CN"/>
                      </w:rPr>
                    </w:pPr>
                    <w:r w:rsidRPr="006C2D6E">
                      <w:rPr>
                        <w:rFonts w:ascii="宋体" w:eastAsia="宋体" w:hAnsi="宋体" w:cs="Arial"/>
                        <w:snapToGrid w:val="0"/>
                        <w:sz w:val="20"/>
                        <w:u w:val="single"/>
                        <w:lang w:eastAsia="zh-CN"/>
                      </w:rPr>
                      <w:t xml:space="preserve">    6,708,518</w:t>
                    </w:r>
                  </w:p>
                </w:tc>
                <w:tc>
                  <w:tcPr>
                    <w:tcW w:w="2520" w:type="dxa"/>
                    <w:vAlign w:val="bottom"/>
                  </w:tcPr>
                  <w:p w:rsidR="006C2D6E" w:rsidRPr="006C2D6E" w:rsidRDefault="006C2D6E" w:rsidP="003F54E5">
                    <w:pPr>
                      <w:pStyle w:val="Normal3"/>
                      <w:widowControl/>
                      <w:autoSpaceDE w:val="0"/>
                      <w:autoSpaceDN w:val="0"/>
                      <w:spacing w:line="260" w:lineRule="exact"/>
                      <w:ind w:right="-106" w:hanging="112"/>
                      <w:jc w:val="right"/>
                      <w:textAlignment w:val="bottom"/>
                      <w:rPr>
                        <w:rFonts w:ascii="宋体" w:eastAsia="宋体" w:hAnsi="宋体" w:cs="Arial"/>
                        <w:snapToGrid w:val="0"/>
                        <w:sz w:val="20"/>
                        <w:u w:val="single"/>
                        <w:lang w:eastAsia="zh-CN"/>
                      </w:rPr>
                    </w:pPr>
                    <w:r w:rsidRPr="006C2D6E">
                      <w:rPr>
                        <w:rFonts w:ascii="宋体" w:eastAsia="宋体" w:hAnsi="宋体" w:cs="Arial"/>
                        <w:snapToGrid w:val="0"/>
                        <w:sz w:val="20"/>
                        <w:u w:val="single"/>
                        <w:lang w:eastAsia="zh-CN"/>
                      </w:rPr>
                      <w:t xml:space="preserve">    7,253,649</w:t>
                    </w:r>
                  </w:p>
                </w:tc>
              </w:tr>
              <w:tr w:rsidR="006C2D6E" w:rsidRPr="006C2D6E" w:rsidTr="003F54E5">
                <w:trPr>
                  <w:trHeight w:val="255"/>
                </w:trPr>
                <w:tc>
                  <w:tcPr>
                    <w:tcW w:w="2268" w:type="dxa"/>
                    <w:shd w:val="clear" w:color="auto" w:fill="auto"/>
                    <w:vAlign w:val="bottom"/>
                  </w:tcPr>
                  <w:p w:rsidR="006C2D6E" w:rsidRPr="006C2D6E" w:rsidRDefault="006C2D6E" w:rsidP="003F54E5">
                    <w:pPr>
                      <w:autoSpaceDE w:val="0"/>
                      <w:autoSpaceDN w:val="0"/>
                      <w:spacing w:line="260" w:lineRule="exact"/>
                      <w:ind w:hanging="112"/>
                      <w:textAlignment w:val="bottom"/>
                      <w:rPr>
                        <w:rFonts w:cs="Arial"/>
                        <w:snapToGrid w:val="0"/>
                        <w:sz w:val="20"/>
                        <w:szCs w:val="20"/>
                      </w:rPr>
                    </w:pPr>
                  </w:p>
                </w:tc>
                <w:tc>
                  <w:tcPr>
                    <w:tcW w:w="3385" w:type="dxa"/>
                    <w:shd w:val="clear" w:color="auto" w:fill="auto"/>
                    <w:vAlign w:val="bottom"/>
                  </w:tcPr>
                  <w:p w:rsidR="006C2D6E" w:rsidRPr="006C2D6E" w:rsidRDefault="006C2D6E" w:rsidP="003F54E5">
                    <w:pPr>
                      <w:pStyle w:val="Normal3"/>
                      <w:widowControl/>
                      <w:autoSpaceDE w:val="0"/>
                      <w:autoSpaceDN w:val="0"/>
                      <w:spacing w:line="260" w:lineRule="exact"/>
                      <w:ind w:right="-106" w:hanging="112"/>
                      <w:jc w:val="right"/>
                      <w:textAlignment w:val="bottom"/>
                      <w:rPr>
                        <w:rFonts w:ascii="宋体" w:eastAsia="宋体" w:hAnsi="宋体" w:cs="Arial"/>
                        <w:snapToGrid w:val="0"/>
                        <w:sz w:val="20"/>
                        <w:lang w:eastAsia="zh-CN"/>
                      </w:rPr>
                    </w:pPr>
                  </w:p>
                </w:tc>
                <w:tc>
                  <w:tcPr>
                    <w:tcW w:w="2520" w:type="dxa"/>
                    <w:vAlign w:val="bottom"/>
                  </w:tcPr>
                  <w:p w:rsidR="006C2D6E" w:rsidRPr="006C2D6E" w:rsidRDefault="006C2D6E" w:rsidP="003F54E5">
                    <w:pPr>
                      <w:pStyle w:val="Normal3"/>
                      <w:widowControl/>
                      <w:autoSpaceDE w:val="0"/>
                      <w:autoSpaceDN w:val="0"/>
                      <w:spacing w:line="260" w:lineRule="exact"/>
                      <w:ind w:right="-106" w:hanging="112"/>
                      <w:jc w:val="right"/>
                      <w:textAlignment w:val="bottom"/>
                      <w:rPr>
                        <w:rFonts w:ascii="宋体" w:eastAsia="宋体" w:hAnsi="宋体" w:cs="Arial"/>
                        <w:snapToGrid w:val="0"/>
                        <w:sz w:val="20"/>
                        <w:lang w:eastAsia="zh-CN"/>
                      </w:rPr>
                    </w:pPr>
                  </w:p>
                </w:tc>
              </w:tr>
              <w:tr w:rsidR="006C2D6E" w:rsidRPr="006C2D6E" w:rsidTr="003F54E5">
                <w:trPr>
                  <w:trHeight w:val="255"/>
                </w:trPr>
                <w:tc>
                  <w:tcPr>
                    <w:tcW w:w="2268" w:type="dxa"/>
                    <w:shd w:val="clear" w:color="auto" w:fill="FFFFFF" w:themeFill="background1"/>
                    <w:vAlign w:val="bottom"/>
                  </w:tcPr>
                  <w:p w:rsidR="006C2D6E" w:rsidRPr="006C2D6E" w:rsidRDefault="006C2D6E" w:rsidP="003F54E5">
                    <w:pPr>
                      <w:autoSpaceDE w:val="0"/>
                      <w:autoSpaceDN w:val="0"/>
                      <w:spacing w:line="260" w:lineRule="exact"/>
                      <w:ind w:hanging="112"/>
                      <w:textAlignment w:val="bottom"/>
                      <w:rPr>
                        <w:rFonts w:cs="Arial"/>
                        <w:snapToGrid w:val="0"/>
                        <w:sz w:val="20"/>
                        <w:szCs w:val="20"/>
                      </w:rPr>
                    </w:pPr>
                  </w:p>
                </w:tc>
                <w:tc>
                  <w:tcPr>
                    <w:tcW w:w="3385" w:type="dxa"/>
                    <w:vAlign w:val="bottom"/>
                  </w:tcPr>
                  <w:p w:rsidR="006C2D6E" w:rsidRPr="006C2D6E" w:rsidRDefault="006C2D6E" w:rsidP="003F54E5">
                    <w:pPr>
                      <w:pStyle w:val="Normal3"/>
                      <w:widowControl/>
                      <w:autoSpaceDE w:val="0"/>
                      <w:autoSpaceDN w:val="0"/>
                      <w:spacing w:line="260" w:lineRule="exact"/>
                      <w:ind w:right="-106" w:hanging="112"/>
                      <w:jc w:val="right"/>
                      <w:textAlignment w:val="bottom"/>
                      <w:rPr>
                        <w:rFonts w:ascii="宋体" w:eastAsia="宋体" w:hAnsi="宋体" w:cs="Arial"/>
                        <w:snapToGrid w:val="0"/>
                        <w:sz w:val="20"/>
                        <w:u w:val="double"/>
                        <w:lang w:eastAsia="zh-CN"/>
                      </w:rPr>
                    </w:pPr>
                    <w:r w:rsidRPr="006C2D6E">
                      <w:rPr>
                        <w:rFonts w:ascii="宋体" w:eastAsia="宋体" w:hAnsi="宋体" w:cs="Arial"/>
                        <w:snapToGrid w:val="0"/>
                        <w:sz w:val="20"/>
                        <w:u w:val="double"/>
                        <w:lang w:eastAsia="zh-CN"/>
                      </w:rPr>
                      <w:t>71,214,415</w:t>
                    </w:r>
                  </w:p>
                </w:tc>
                <w:tc>
                  <w:tcPr>
                    <w:tcW w:w="2520" w:type="dxa"/>
                    <w:vAlign w:val="bottom"/>
                  </w:tcPr>
                  <w:p w:rsidR="006C2D6E" w:rsidRPr="006C2D6E" w:rsidRDefault="006C2D6E" w:rsidP="003F54E5">
                    <w:pPr>
                      <w:pStyle w:val="Normal3"/>
                      <w:widowControl/>
                      <w:autoSpaceDE w:val="0"/>
                      <w:autoSpaceDN w:val="0"/>
                      <w:spacing w:line="260" w:lineRule="exact"/>
                      <w:ind w:right="-106" w:hanging="112"/>
                      <w:jc w:val="right"/>
                      <w:textAlignment w:val="bottom"/>
                      <w:rPr>
                        <w:rFonts w:ascii="宋体" w:eastAsia="宋体" w:hAnsi="宋体" w:cs="Arial"/>
                        <w:snapToGrid w:val="0"/>
                        <w:sz w:val="20"/>
                        <w:u w:val="double"/>
                        <w:lang w:eastAsia="zh-CN"/>
                      </w:rPr>
                    </w:pPr>
                    <w:r w:rsidRPr="006C2D6E">
                      <w:rPr>
                        <w:rFonts w:ascii="宋体" w:eastAsia="宋体" w:hAnsi="宋体" w:cs="Arial"/>
                        <w:snapToGrid w:val="0"/>
                        <w:sz w:val="20"/>
                        <w:u w:val="double"/>
                        <w:lang w:eastAsia="zh-CN"/>
                      </w:rPr>
                      <w:t>134,941,651</w:t>
                    </w:r>
                  </w:p>
                </w:tc>
              </w:tr>
            </w:tbl>
            <w:p w:rsidR="00ED2DC7" w:rsidRDefault="000D0A99">
              <w:pPr>
                <w:rPr>
                  <w:szCs w:val="21"/>
                </w:rPr>
              </w:pPr>
            </w:p>
            <w:bookmarkEnd w:id="232" w:displacedByCustomXml="next"/>
          </w:sdtContent>
        </w:sdt>
      </w:sdtContent>
    </w:sdt>
    <w:p w:rsidR="00ED2DC7" w:rsidRDefault="00ED2DC7">
      <w:pPr>
        <w:rPr>
          <w:szCs w:val="21"/>
        </w:rPr>
      </w:pPr>
    </w:p>
    <w:p w:rsidR="00ED2DC7" w:rsidRDefault="00ED2DC7" w:rsidP="00036BDC">
      <w:pPr>
        <w:pStyle w:val="affffffffffffffffff0"/>
        <w:numPr>
          <w:ilvl w:val="0"/>
          <w:numId w:val="35"/>
        </w:numPr>
        <w:rPr>
          <w:rFonts w:ascii="宋体" w:hAnsi="宋体"/>
        </w:rPr>
      </w:pPr>
      <w:r>
        <w:rPr>
          <w:rFonts w:ascii="宋体" w:hAnsi="宋体" w:hint="eastAsia"/>
        </w:rPr>
        <w:t>母公司财务报表主要项目注释</w:t>
      </w:r>
    </w:p>
    <w:p w:rsidR="00ED2DC7" w:rsidRPr="00246008" w:rsidRDefault="00ED2DC7" w:rsidP="00036BDC">
      <w:pPr>
        <w:pStyle w:val="affffffffffffffffff1"/>
        <w:numPr>
          <w:ilvl w:val="0"/>
          <w:numId w:val="101"/>
        </w:numPr>
        <w:rPr>
          <w:rFonts w:ascii="宋体" w:hAnsi="宋体"/>
          <w:szCs w:val="21"/>
        </w:rPr>
      </w:pPr>
      <w:r w:rsidRPr="00246008">
        <w:rPr>
          <w:rFonts w:ascii="宋体" w:hAnsi="宋体" w:hint="eastAsia"/>
          <w:szCs w:val="21"/>
        </w:rPr>
        <w:t>应收账款</w:t>
      </w:r>
    </w:p>
    <w:sdt>
      <w:sdtPr>
        <w:rPr>
          <w:rFonts w:ascii="宋体" w:hAnsi="宋体" w:cs="宋体" w:hint="eastAsia"/>
          <w:b w:val="0"/>
          <w:bCs w:val="0"/>
          <w:kern w:val="0"/>
          <w:szCs w:val="21"/>
        </w:rPr>
        <w:alias w:val="模块:组合中，按账龄分析法计提坏账准备的应收账款"/>
        <w:tag w:val="_GBC_f44cec1af5094a96a29dd8e92ee27b70"/>
        <w:id w:val="1332034416"/>
        <w:lock w:val="sdtLocked"/>
        <w:placeholder>
          <w:docPart w:val="GBC22222222222222222222222222222"/>
        </w:placeholder>
      </w:sdtPr>
      <w:sdtEndPr>
        <w:rPr>
          <w:rFonts w:hint="default"/>
        </w:rPr>
      </w:sdtEndPr>
      <w:sdtContent>
        <w:p w:rsidR="00ED2DC7" w:rsidRDefault="00ED2DC7" w:rsidP="00036BDC">
          <w:pPr>
            <w:pStyle w:val="affffffffffffffffff2"/>
            <w:numPr>
              <w:ilvl w:val="0"/>
              <w:numId w:val="102"/>
            </w:numPr>
            <w:tabs>
              <w:tab w:val="left" w:pos="644"/>
            </w:tabs>
            <w:ind w:left="0" w:firstLine="0"/>
            <w:rPr>
              <w:szCs w:val="21"/>
            </w:rPr>
          </w:pPr>
          <w:r>
            <w:rPr>
              <w:rFonts w:hint="eastAsia"/>
              <w:szCs w:val="21"/>
            </w:rPr>
            <w:t>按账龄披露</w:t>
          </w:r>
        </w:p>
        <w:sdt>
          <w:sdtPr>
            <w:rPr>
              <w:szCs w:val="21"/>
            </w:rPr>
            <w:alias w:val="是否适用：母公司组合中，按账龄分析法计提坏账准备的应收账款[双击切换]"/>
            <w:tag w:val="_GBC_0a11a3bd15dd4fa882e7b9f16b5e3b07"/>
            <w:id w:val="-900128889"/>
            <w:lock w:val="sdtContentLocked"/>
            <w:placeholder>
              <w:docPart w:val="GBC22222222222222222222222222222"/>
            </w:placeholder>
          </w:sdtPr>
          <w:sdtContent>
            <w:p w:rsidR="00ED2DC7" w:rsidRDefault="00ED2DC7">
              <w:pPr>
                <w:rPr>
                  <w:szCs w:val="21"/>
                </w:rPr>
              </w:pPr>
              <w:r>
                <w:rPr>
                  <w:szCs w:val="21"/>
                </w:rPr>
                <w:fldChar w:fldCharType="begin"/>
              </w:r>
              <w:r w:rsidR="00841B3F">
                <w:rPr>
                  <w:szCs w:val="21"/>
                </w:rPr>
                <w:instrText xml:space="preserve"> MACROBUTTON  SnrToggleCheckbox √适用 </w:instrText>
              </w:r>
              <w:r>
                <w:rPr>
                  <w:szCs w:val="21"/>
                </w:rPr>
                <w:fldChar w:fldCharType="end"/>
              </w:r>
              <w:r>
                <w:rPr>
                  <w:szCs w:val="21"/>
                </w:rPr>
                <w:fldChar w:fldCharType="begin"/>
              </w:r>
              <w:r w:rsidR="00841B3F">
                <w:rPr>
                  <w:szCs w:val="21"/>
                </w:rPr>
                <w:instrText xml:space="preserve"> MACROBUTTON  SnrToggleCheckbox □不适用 </w:instrText>
              </w:r>
              <w:r>
                <w:rPr>
                  <w:szCs w:val="21"/>
                </w:rPr>
                <w:fldChar w:fldCharType="end"/>
              </w:r>
            </w:p>
          </w:sdtContent>
        </w:sdt>
        <w:p w:rsidR="00ED2DC7" w:rsidRDefault="00ED2DC7">
          <w:pPr>
            <w:jc w:val="right"/>
            <w:rPr>
              <w:szCs w:val="21"/>
            </w:rPr>
          </w:pPr>
          <w:r>
            <w:rPr>
              <w:rFonts w:hint="eastAsia"/>
              <w:szCs w:val="21"/>
            </w:rPr>
            <w:t>单位：</w:t>
          </w:r>
          <w:sdt>
            <w:sdtPr>
              <w:rPr>
                <w:rFonts w:hint="eastAsia"/>
                <w:szCs w:val="21"/>
              </w:rPr>
              <w:alias w:val="单位：母公司财务附注：单项金额不重大但按信用风险特征组合后该组合的风险较大的应收账款"/>
              <w:tag w:val="_GBC_aa1a4a5ddfb84d718faa91649e7ae14f"/>
              <w:id w:val="-10755908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hint="eastAsia"/>
                  <w:szCs w:val="21"/>
                </w:rPr>
                <w:t>元</w:t>
              </w:r>
            </w:sdtContent>
          </w:sdt>
          <w:r>
            <w:rPr>
              <w:rFonts w:hint="eastAsia"/>
              <w:szCs w:val="21"/>
            </w:rPr>
            <w:t xml:space="preserve">  币种：</w:t>
          </w:r>
          <w:sdt>
            <w:sdtPr>
              <w:rPr>
                <w:rFonts w:hint="eastAsia"/>
                <w:szCs w:val="21"/>
              </w:rPr>
              <w:alias w:val="币种：母公司财务附注：单项金额不重大但按信用风险特征组合后该组合的风险较大的应收账款"/>
              <w:tag w:val="_GBC_1ea3e296336a485b8444219f6e288f72"/>
              <w:id w:val="2591070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szCs w:val="21"/>
                </w:rPr>
                <w:t>人民币</w:t>
              </w:r>
            </w:sdtContent>
          </w:sdt>
        </w:p>
        <w:tbl>
          <w:tblPr>
            <w:tblStyle w:val="g38"/>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60"/>
            <w:gridCol w:w="4163"/>
          </w:tblGrid>
          <w:tr w:rsidR="00ED2DC7" w:rsidTr="00AC2226">
            <w:trPr>
              <w:trHeight w:val="298"/>
              <w:jc w:val="center"/>
            </w:trPr>
            <w:bookmarkStart w:id="233" w:name="_Hlk16630133" w:displacedByCustomXml="next"/>
            <w:sdt>
              <w:sdtPr>
                <w:tag w:val="_PLD_4026a1c8ce2b4be2bd188240c5c6b81c"/>
                <w:id w:val="-1077589715"/>
                <w:lock w:val="sdtLocked"/>
              </w:sdtPr>
              <w:sdtContent>
                <w:tc>
                  <w:tcPr>
                    <w:tcW w:w="2641" w:type="pct"/>
                    <w:tcBorders>
                      <w:bottom w:val="single" w:sz="4" w:space="0" w:color="auto"/>
                    </w:tcBorders>
                    <w:shd w:val="clear" w:color="auto" w:fill="auto"/>
                    <w:vAlign w:val="center"/>
                  </w:tcPr>
                  <w:p w:rsidR="00ED2DC7" w:rsidRDefault="00ED2DC7">
                    <w:pPr>
                      <w:jc w:val="center"/>
                      <w:rPr>
                        <w:szCs w:val="21"/>
                      </w:rPr>
                    </w:pPr>
                    <w:r>
                      <w:rPr>
                        <w:szCs w:val="21"/>
                      </w:rPr>
                      <w:t>账龄</w:t>
                    </w:r>
                  </w:p>
                </w:tc>
              </w:sdtContent>
            </w:sdt>
            <w:sdt>
              <w:sdtPr>
                <w:tag w:val="_PLD_fe83f44c599f47c3bdf1b2e0ce971295"/>
                <w:id w:val="-2003103120"/>
                <w:lock w:val="sdtLocked"/>
              </w:sdtPr>
              <w:sdtContent>
                <w:tc>
                  <w:tcPr>
                    <w:tcW w:w="2359" w:type="pct"/>
                    <w:tcBorders>
                      <w:bottom w:val="single" w:sz="4" w:space="0" w:color="auto"/>
                    </w:tcBorders>
                    <w:shd w:val="clear" w:color="auto" w:fill="auto"/>
                    <w:vAlign w:val="center"/>
                  </w:tcPr>
                  <w:p w:rsidR="00ED2DC7" w:rsidRDefault="00ED2DC7">
                    <w:pPr>
                      <w:jc w:val="center"/>
                      <w:rPr>
                        <w:szCs w:val="21"/>
                      </w:rPr>
                    </w:pPr>
                    <w:r>
                      <w:rPr>
                        <w:szCs w:val="21"/>
                      </w:rPr>
                      <w:t>期末余额</w:t>
                    </w:r>
                  </w:p>
                </w:tc>
              </w:sdtContent>
            </w:sdt>
          </w:tr>
          <w:tr w:rsidR="00ED2DC7" w:rsidTr="00AC2226">
            <w:trPr>
              <w:jc w:val="center"/>
            </w:trPr>
            <w:sdt>
              <w:sdtPr>
                <w:tag w:val="_PLD_a5dc7903ae85448482649ed563a32218"/>
                <w:id w:val="-1837068213"/>
                <w:lock w:val="sdtLocked"/>
              </w:sdtPr>
              <w:sdtContent>
                <w:tc>
                  <w:tcPr>
                    <w:tcW w:w="2641" w:type="pct"/>
                    <w:shd w:val="clear" w:color="auto" w:fill="auto"/>
                  </w:tcPr>
                  <w:p w:rsidR="00ED2DC7" w:rsidRDefault="00ED2DC7">
                    <w:pPr>
                      <w:rPr>
                        <w:szCs w:val="21"/>
                      </w:rPr>
                    </w:pPr>
                    <w:r>
                      <w:rPr>
                        <w:rFonts w:hint="eastAsia"/>
                        <w:szCs w:val="21"/>
                      </w:rPr>
                      <w:t>1</w:t>
                    </w:r>
                    <w:r>
                      <w:rPr>
                        <w:szCs w:val="21"/>
                      </w:rPr>
                      <w:t>年以内</w:t>
                    </w:r>
                  </w:p>
                </w:tc>
              </w:sdtContent>
            </w:sdt>
            <w:tc>
              <w:tcPr>
                <w:tcW w:w="2359" w:type="pct"/>
                <w:shd w:val="clear" w:color="auto" w:fill="auto"/>
              </w:tcPr>
              <w:p w:rsidR="00ED2DC7" w:rsidRPr="00DD2D6B" w:rsidRDefault="00DD2D6B">
                <w:pPr>
                  <w:jc w:val="right"/>
                  <w:rPr>
                    <w:szCs w:val="21"/>
                  </w:rPr>
                </w:pPr>
                <w:r w:rsidRPr="00DD2D6B">
                  <w:rPr>
                    <w:rFonts w:cs="Arial"/>
                    <w:color w:val="000000"/>
                    <w:sz w:val="20"/>
                    <w:szCs w:val="20"/>
                    <w:lang w:eastAsia="zh-TW"/>
                  </w:rPr>
                  <w:t>396,523,775</w:t>
                </w:r>
              </w:p>
            </w:tc>
          </w:tr>
          <w:tr w:rsidR="00ED2DC7" w:rsidTr="00AC2226">
            <w:trPr>
              <w:jc w:val="center"/>
            </w:trPr>
            <w:sdt>
              <w:sdtPr>
                <w:tag w:val="_PLD_ca8c7c0a863443708eb10fe9a0661323"/>
                <w:id w:val="-447704154"/>
                <w:lock w:val="sdtLocked"/>
              </w:sdtPr>
              <w:sdtContent>
                <w:tc>
                  <w:tcPr>
                    <w:tcW w:w="2641" w:type="pct"/>
                    <w:shd w:val="clear" w:color="auto" w:fill="auto"/>
                  </w:tcPr>
                  <w:p w:rsidR="00ED2DC7" w:rsidRDefault="00ED2DC7">
                    <w:pPr>
                      <w:rPr>
                        <w:szCs w:val="21"/>
                      </w:rPr>
                    </w:pPr>
                    <w:r>
                      <w:rPr>
                        <w:rFonts w:hint="eastAsia"/>
                        <w:szCs w:val="21"/>
                      </w:rPr>
                      <w:t>其中：</w:t>
                    </w:r>
                    <w:r>
                      <w:rPr>
                        <w:szCs w:val="21"/>
                      </w:rPr>
                      <w:t>1年以内分项</w:t>
                    </w:r>
                  </w:p>
                </w:tc>
              </w:sdtContent>
            </w:sdt>
            <w:tc>
              <w:tcPr>
                <w:tcW w:w="2359" w:type="pct"/>
                <w:shd w:val="clear" w:color="auto" w:fill="auto"/>
              </w:tcPr>
              <w:p w:rsidR="00ED2DC7" w:rsidRPr="00DD2D6B" w:rsidRDefault="00ED2DC7">
                <w:pPr>
                  <w:jc w:val="right"/>
                  <w:rPr>
                    <w:szCs w:val="21"/>
                  </w:rPr>
                </w:pPr>
              </w:p>
            </w:tc>
          </w:tr>
          <w:sdt>
            <w:sdtPr>
              <w:rPr>
                <w:szCs w:val="21"/>
              </w:rPr>
              <w:alias w:val="一年以内应收账款金额明细"/>
              <w:tag w:val="_GBC_58a8ae94fc284eb6b1f51702547a5032"/>
              <w:id w:val="-1508821859"/>
              <w:lock w:val="sdtLocked"/>
              <w:placeholder>
                <w:docPart w:val="GBC11111111111111111111111111111"/>
              </w:placeholder>
            </w:sdtPr>
            <w:sdtContent>
              <w:tr w:rsidR="00ED2DC7" w:rsidTr="00AC2226">
                <w:trPr>
                  <w:jc w:val="center"/>
                </w:trPr>
                <w:tc>
                  <w:tcPr>
                    <w:tcW w:w="2641" w:type="pct"/>
                    <w:shd w:val="clear" w:color="auto" w:fill="auto"/>
                  </w:tcPr>
                  <w:p w:rsidR="00ED2DC7" w:rsidRDefault="008F04CF">
                    <w:pPr>
                      <w:rPr>
                        <w:szCs w:val="21"/>
                      </w:rPr>
                    </w:pPr>
                    <w:r>
                      <w:rPr>
                        <w:szCs w:val="21"/>
                      </w:rPr>
                      <w:t>0-12</w:t>
                    </w:r>
                    <w:r>
                      <w:rPr>
                        <w:rFonts w:hint="eastAsia"/>
                        <w:szCs w:val="21"/>
                      </w:rPr>
                      <w:t>个月</w:t>
                    </w:r>
                  </w:p>
                </w:tc>
                <w:tc>
                  <w:tcPr>
                    <w:tcW w:w="2359" w:type="pct"/>
                    <w:shd w:val="clear" w:color="auto" w:fill="auto"/>
                  </w:tcPr>
                  <w:p w:rsidR="00ED2DC7" w:rsidRPr="00DD2D6B" w:rsidRDefault="008F04CF">
                    <w:pPr>
                      <w:jc w:val="right"/>
                      <w:rPr>
                        <w:szCs w:val="21"/>
                      </w:rPr>
                    </w:pPr>
                    <w:r w:rsidRPr="00DD2D6B">
                      <w:rPr>
                        <w:rFonts w:cs="Arial"/>
                        <w:color w:val="000000"/>
                        <w:sz w:val="20"/>
                        <w:szCs w:val="20"/>
                        <w:lang w:eastAsia="zh-TW"/>
                      </w:rPr>
                      <w:t>396,523,775</w:t>
                    </w:r>
                  </w:p>
                </w:tc>
              </w:tr>
            </w:sdtContent>
          </w:sdt>
          <w:sdt>
            <w:sdtPr>
              <w:rPr>
                <w:szCs w:val="21"/>
              </w:rPr>
              <w:alias w:val="一年以内应收账款金额明细"/>
              <w:tag w:val="_GBC_58a8ae94fc284eb6b1f51702547a5032"/>
              <w:id w:val="-1137412800"/>
              <w:lock w:val="sdtLocked"/>
              <w:placeholder>
                <w:docPart w:val="GBC11111111111111111111111111111"/>
              </w:placeholder>
            </w:sdtPr>
            <w:sdtContent>
              <w:tr w:rsidR="00ED2DC7" w:rsidTr="00AC2226">
                <w:trPr>
                  <w:jc w:val="center"/>
                </w:trPr>
                <w:tc>
                  <w:tcPr>
                    <w:tcW w:w="2641" w:type="pct"/>
                    <w:shd w:val="clear" w:color="auto" w:fill="auto"/>
                  </w:tcPr>
                  <w:p w:rsidR="00ED2DC7" w:rsidRDefault="00ED2DC7">
                    <w:pPr>
                      <w:rPr>
                        <w:szCs w:val="21"/>
                      </w:rPr>
                    </w:pPr>
                  </w:p>
                </w:tc>
                <w:tc>
                  <w:tcPr>
                    <w:tcW w:w="2359" w:type="pct"/>
                    <w:shd w:val="clear" w:color="auto" w:fill="auto"/>
                  </w:tcPr>
                  <w:p w:rsidR="00ED2DC7" w:rsidRPr="00DD2D6B" w:rsidRDefault="00ED2DC7">
                    <w:pPr>
                      <w:jc w:val="right"/>
                      <w:rPr>
                        <w:szCs w:val="21"/>
                      </w:rPr>
                    </w:pPr>
                  </w:p>
                </w:tc>
              </w:tr>
            </w:sdtContent>
          </w:sdt>
          <w:tr w:rsidR="00ED2DC7" w:rsidTr="00AC2226">
            <w:trPr>
              <w:jc w:val="center"/>
            </w:trPr>
            <w:sdt>
              <w:sdtPr>
                <w:tag w:val="_PLD_8074f2321fd640f1a4a8fa6c86ad1e9b"/>
                <w:id w:val="1631747610"/>
                <w:lock w:val="sdtLocked"/>
              </w:sdtPr>
              <w:sdtContent>
                <w:tc>
                  <w:tcPr>
                    <w:tcW w:w="2641" w:type="pct"/>
                    <w:shd w:val="clear" w:color="auto" w:fill="auto"/>
                  </w:tcPr>
                  <w:p w:rsidR="00ED2DC7" w:rsidRDefault="00ED2DC7">
                    <w:pPr>
                      <w:rPr>
                        <w:szCs w:val="21"/>
                      </w:rPr>
                    </w:pPr>
                    <w:r>
                      <w:rPr>
                        <w:rFonts w:hint="eastAsia"/>
                        <w:szCs w:val="21"/>
                      </w:rPr>
                      <w:t>1年以内小计</w:t>
                    </w:r>
                  </w:p>
                </w:tc>
              </w:sdtContent>
            </w:sdt>
            <w:tc>
              <w:tcPr>
                <w:tcW w:w="2359" w:type="pct"/>
                <w:shd w:val="clear" w:color="auto" w:fill="auto"/>
              </w:tcPr>
              <w:p w:rsidR="00ED2DC7" w:rsidRPr="00DD2D6B" w:rsidRDefault="00DD2D6B">
                <w:pPr>
                  <w:jc w:val="right"/>
                  <w:rPr>
                    <w:szCs w:val="21"/>
                  </w:rPr>
                </w:pPr>
                <w:r w:rsidRPr="00DD2D6B">
                  <w:rPr>
                    <w:rFonts w:cs="Arial"/>
                    <w:color w:val="000000"/>
                    <w:sz w:val="20"/>
                    <w:szCs w:val="20"/>
                    <w:lang w:eastAsia="zh-TW"/>
                  </w:rPr>
                  <w:t>396,523,775</w:t>
                </w:r>
              </w:p>
            </w:tc>
          </w:tr>
          <w:tr w:rsidR="00DD2D6B" w:rsidTr="00AC2226">
            <w:trPr>
              <w:jc w:val="center"/>
            </w:trPr>
            <w:sdt>
              <w:sdtPr>
                <w:tag w:val="_PLD_0aaa32d7ecc44007a6fdfe2ba5a15150"/>
                <w:id w:val="-90933914"/>
                <w:lock w:val="sdtLocked"/>
              </w:sdtPr>
              <w:sdtContent>
                <w:tc>
                  <w:tcPr>
                    <w:tcW w:w="2641" w:type="pct"/>
                    <w:shd w:val="clear" w:color="auto" w:fill="auto"/>
                  </w:tcPr>
                  <w:p w:rsidR="00DD2D6B" w:rsidRDefault="00DD2D6B" w:rsidP="00DD2D6B">
                    <w:pPr>
                      <w:rPr>
                        <w:szCs w:val="21"/>
                      </w:rPr>
                    </w:pPr>
                    <w:r>
                      <w:rPr>
                        <w:rFonts w:hint="eastAsia"/>
                        <w:szCs w:val="21"/>
                      </w:rPr>
                      <w:t>1</w:t>
                    </w:r>
                    <w:r>
                      <w:rPr>
                        <w:szCs w:val="21"/>
                      </w:rPr>
                      <w:t>至</w:t>
                    </w:r>
                    <w:r>
                      <w:rPr>
                        <w:rFonts w:hint="eastAsia"/>
                        <w:szCs w:val="21"/>
                      </w:rPr>
                      <w:t>2</w:t>
                    </w:r>
                    <w:r>
                      <w:rPr>
                        <w:szCs w:val="21"/>
                      </w:rPr>
                      <w:t>年</w:t>
                    </w:r>
                  </w:p>
                </w:tc>
              </w:sdtContent>
            </w:sdt>
            <w:tc>
              <w:tcPr>
                <w:tcW w:w="2359" w:type="pct"/>
                <w:shd w:val="clear" w:color="auto" w:fill="auto"/>
              </w:tcPr>
              <w:p w:rsidR="00DD2D6B" w:rsidRPr="00DD2D6B" w:rsidRDefault="00DD2D6B" w:rsidP="00B637B2">
                <w:pPr>
                  <w:jc w:val="right"/>
                </w:pPr>
                <w:r w:rsidRPr="00DD2D6B">
                  <w:t>121,068,937</w:t>
                </w:r>
              </w:p>
            </w:tc>
          </w:tr>
          <w:tr w:rsidR="00DD2D6B" w:rsidTr="00AC2226">
            <w:trPr>
              <w:jc w:val="center"/>
            </w:trPr>
            <w:sdt>
              <w:sdtPr>
                <w:tag w:val="_PLD_461abed3956d480b918c3859e2a0e880"/>
                <w:id w:val="446350245"/>
                <w:lock w:val="sdtLocked"/>
              </w:sdtPr>
              <w:sdtContent>
                <w:tc>
                  <w:tcPr>
                    <w:tcW w:w="2641" w:type="pct"/>
                    <w:shd w:val="clear" w:color="auto" w:fill="auto"/>
                  </w:tcPr>
                  <w:p w:rsidR="00DD2D6B" w:rsidRDefault="00DD2D6B" w:rsidP="00DD2D6B">
                    <w:pPr>
                      <w:rPr>
                        <w:szCs w:val="21"/>
                      </w:rPr>
                    </w:pPr>
                    <w:r>
                      <w:rPr>
                        <w:rFonts w:hint="eastAsia"/>
                        <w:szCs w:val="21"/>
                      </w:rPr>
                      <w:t>2</w:t>
                    </w:r>
                    <w:r>
                      <w:rPr>
                        <w:szCs w:val="21"/>
                      </w:rPr>
                      <w:t>至</w:t>
                    </w:r>
                    <w:r>
                      <w:rPr>
                        <w:rFonts w:hint="eastAsia"/>
                        <w:szCs w:val="21"/>
                      </w:rPr>
                      <w:t>3</w:t>
                    </w:r>
                    <w:r>
                      <w:rPr>
                        <w:szCs w:val="21"/>
                      </w:rPr>
                      <w:t>年</w:t>
                    </w:r>
                  </w:p>
                </w:tc>
              </w:sdtContent>
            </w:sdt>
            <w:tc>
              <w:tcPr>
                <w:tcW w:w="2359" w:type="pct"/>
                <w:shd w:val="clear" w:color="auto" w:fill="auto"/>
              </w:tcPr>
              <w:p w:rsidR="00DD2D6B" w:rsidRPr="00DD2D6B" w:rsidRDefault="00DD2D6B" w:rsidP="00B637B2">
                <w:pPr>
                  <w:jc w:val="right"/>
                </w:pPr>
                <w:r w:rsidRPr="00DD2D6B">
                  <w:t>80,013,565</w:t>
                </w:r>
              </w:p>
            </w:tc>
          </w:tr>
          <w:tr w:rsidR="00DD2D6B" w:rsidTr="00AC2226">
            <w:trPr>
              <w:jc w:val="center"/>
            </w:trPr>
            <w:sdt>
              <w:sdtPr>
                <w:tag w:val="_PLD_3bcedd27187c4006a5bf76fe5e353650"/>
                <w:id w:val="-379314397"/>
                <w:lock w:val="sdtLocked"/>
              </w:sdtPr>
              <w:sdtContent>
                <w:tc>
                  <w:tcPr>
                    <w:tcW w:w="2641" w:type="pct"/>
                    <w:shd w:val="clear" w:color="auto" w:fill="auto"/>
                  </w:tcPr>
                  <w:p w:rsidR="00DD2D6B" w:rsidRDefault="00DD2D6B" w:rsidP="00DD2D6B">
                    <w:pPr>
                      <w:rPr>
                        <w:szCs w:val="21"/>
                      </w:rPr>
                    </w:pPr>
                    <w:r>
                      <w:rPr>
                        <w:rFonts w:hint="eastAsia"/>
                        <w:szCs w:val="21"/>
                      </w:rPr>
                      <w:t>3</w:t>
                    </w:r>
                    <w:r>
                      <w:rPr>
                        <w:szCs w:val="21"/>
                      </w:rPr>
                      <w:t>年以上</w:t>
                    </w:r>
                  </w:p>
                </w:tc>
              </w:sdtContent>
            </w:sdt>
            <w:tc>
              <w:tcPr>
                <w:tcW w:w="2359" w:type="pct"/>
                <w:shd w:val="clear" w:color="auto" w:fill="auto"/>
              </w:tcPr>
              <w:p w:rsidR="00DD2D6B" w:rsidRPr="00DD2D6B" w:rsidRDefault="00DD2D6B" w:rsidP="00B637B2">
                <w:pPr>
                  <w:jc w:val="right"/>
                </w:pPr>
              </w:p>
            </w:tc>
          </w:tr>
          <w:tr w:rsidR="00DD2D6B" w:rsidTr="00AC2226">
            <w:trPr>
              <w:jc w:val="center"/>
            </w:trPr>
            <w:sdt>
              <w:sdtPr>
                <w:tag w:val="_PLD_a4745b0ed8a140ae99b3917b2a6aa90b"/>
                <w:id w:val="-681589347"/>
                <w:lock w:val="sdtLocked"/>
              </w:sdtPr>
              <w:sdtContent>
                <w:tc>
                  <w:tcPr>
                    <w:tcW w:w="2641" w:type="pct"/>
                    <w:shd w:val="clear" w:color="auto" w:fill="auto"/>
                  </w:tcPr>
                  <w:p w:rsidR="00DD2D6B" w:rsidRDefault="00DD2D6B" w:rsidP="00DD2D6B">
                    <w:pPr>
                      <w:rPr>
                        <w:szCs w:val="21"/>
                      </w:rPr>
                    </w:pPr>
                    <w:r>
                      <w:rPr>
                        <w:rFonts w:hint="eastAsia"/>
                        <w:szCs w:val="21"/>
                      </w:rPr>
                      <w:t>3</w:t>
                    </w:r>
                    <w:r>
                      <w:rPr>
                        <w:szCs w:val="21"/>
                      </w:rPr>
                      <w:t>至</w:t>
                    </w:r>
                    <w:r>
                      <w:rPr>
                        <w:rFonts w:hint="eastAsia"/>
                        <w:szCs w:val="21"/>
                      </w:rPr>
                      <w:t>4</w:t>
                    </w:r>
                    <w:r>
                      <w:rPr>
                        <w:szCs w:val="21"/>
                      </w:rPr>
                      <w:t>年</w:t>
                    </w:r>
                  </w:p>
                </w:tc>
              </w:sdtContent>
            </w:sdt>
            <w:tc>
              <w:tcPr>
                <w:tcW w:w="2359" w:type="pct"/>
                <w:shd w:val="clear" w:color="auto" w:fill="auto"/>
              </w:tcPr>
              <w:p w:rsidR="00DD2D6B" w:rsidRPr="00DD2D6B" w:rsidRDefault="008F04CF" w:rsidP="00B637B2">
                <w:pPr>
                  <w:jc w:val="right"/>
                </w:pPr>
                <w:r w:rsidRPr="00246008">
                  <w:t>43,497,739</w:t>
                </w:r>
              </w:p>
            </w:tc>
          </w:tr>
          <w:tr w:rsidR="00DD2D6B" w:rsidTr="00AC2226">
            <w:trPr>
              <w:jc w:val="center"/>
            </w:trPr>
            <w:sdt>
              <w:sdtPr>
                <w:tag w:val="_PLD_f4ed1d71e017423691a066ea5df5fab6"/>
                <w:id w:val="2029136941"/>
                <w:lock w:val="sdtLocked"/>
              </w:sdtPr>
              <w:sdtContent>
                <w:tc>
                  <w:tcPr>
                    <w:tcW w:w="2641" w:type="pct"/>
                    <w:shd w:val="clear" w:color="auto" w:fill="auto"/>
                  </w:tcPr>
                  <w:p w:rsidR="00DD2D6B" w:rsidRDefault="00DD2D6B" w:rsidP="00DD2D6B">
                    <w:pPr>
                      <w:rPr>
                        <w:szCs w:val="21"/>
                      </w:rPr>
                    </w:pPr>
                    <w:r>
                      <w:rPr>
                        <w:rFonts w:hint="eastAsia"/>
                        <w:szCs w:val="21"/>
                      </w:rPr>
                      <w:t>4</w:t>
                    </w:r>
                    <w:r>
                      <w:rPr>
                        <w:szCs w:val="21"/>
                      </w:rPr>
                      <w:t>至</w:t>
                    </w:r>
                    <w:r>
                      <w:rPr>
                        <w:rFonts w:hint="eastAsia"/>
                        <w:szCs w:val="21"/>
                      </w:rPr>
                      <w:t>5</w:t>
                    </w:r>
                    <w:r>
                      <w:rPr>
                        <w:szCs w:val="21"/>
                      </w:rPr>
                      <w:t>年</w:t>
                    </w:r>
                  </w:p>
                </w:tc>
              </w:sdtContent>
            </w:sdt>
            <w:tc>
              <w:tcPr>
                <w:tcW w:w="2359" w:type="pct"/>
                <w:shd w:val="clear" w:color="auto" w:fill="auto"/>
              </w:tcPr>
              <w:p w:rsidR="00DD2D6B" w:rsidRPr="00DD2D6B" w:rsidRDefault="008F04CF" w:rsidP="00DD2D6B">
                <w:pPr>
                  <w:jc w:val="right"/>
                </w:pPr>
                <w:r w:rsidRPr="00246008">
                  <w:t>33,465,186</w:t>
                </w:r>
              </w:p>
            </w:tc>
          </w:tr>
          <w:tr w:rsidR="00DD2D6B" w:rsidTr="00AC2226">
            <w:trPr>
              <w:jc w:val="center"/>
            </w:trPr>
            <w:sdt>
              <w:sdtPr>
                <w:tag w:val="_PLD_fccdd41cea9b4ca08e7b40f163262e5e"/>
                <w:id w:val="296429879"/>
                <w:lock w:val="sdtLocked"/>
              </w:sdtPr>
              <w:sdtContent>
                <w:tc>
                  <w:tcPr>
                    <w:tcW w:w="2641" w:type="pct"/>
                    <w:shd w:val="clear" w:color="auto" w:fill="auto"/>
                  </w:tcPr>
                  <w:p w:rsidR="00DD2D6B" w:rsidRDefault="00DD2D6B" w:rsidP="00DD2D6B">
                    <w:pPr>
                      <w:rPr>
                        <w:szCs w:val="21"/>
                      </w:rPr>
                    </w:pPr>
                    <w:r>
                      <w:rPr>
                        <w:rFonts w:hint="eastAsia"/>
                        <w:szCs w:val="21"/>
                      </w:rPr>
                      <w:t>5</w:t>
                    </w:r>
                    <w:r>
                      <w:rPr>
                        <w:szCs w:val="21"/>
                      </w:rPr>
                      <w:t>年以上</w:t>
                    </w:r>
                  </w:p>
                </w:tc>
              </w:sdtContent>
            </w:sdt>
            <w:tc>
              <w:tcPr>
                <w:tcW w:w="2359" w:type="pct"/>
                <w:shd w:val="clear" w:color="auto" w:fill="auto"/>
              </w:tcPr>
              <w:p w:rsidR="00DD2D6B" w:rsidRPr="00DD2D6B" w:rsidRDefault="008F04CF" w:rsidP="00B637B2">
                <w:pPr>
                  <w:jc w:val="right"/>
                </w:pPr>
                <w:r w:rsidRPr="00DD2D6B">
                  <w:t>120,412,748</w:t>
                </w:r>
              </w:p>
            </w:tc>
          </w:tr>
          <w:sdt>
            <w:sdtPr>
              <w:rPr>
                <w:rFonts w:hint="eastAsia"/>
                <w:szCs w:val="21"/>
              </w:rPr>
              <w:alias w:val="按账龄分析法计提坏账准备的应收账款明细"/>
              <w:tag w:val="_TUP_10f7f1cf42084e9a947b1590ddb306e5"/>
              <w:id w:val="-2058924135"/>
              <w:lock w:val="sdtLocked"/>
              <w:placeholder>
                <w:docPart w:val="GBC11111111111111111111111111111"/>
              </w:placeholder>
            </w:sdtPr>
            <w:sdtEndPr>
              <w:rPr>
                <w:rFonts w:hint="default"/>
              </w:rPr>
            </w:sdtEndPr>
            <w:sdtContent>
              <w:tr w:rsidR="00ED2DC7" w:rsidTr="00AC2226">
                <w:trPr>
                  <w:jc w:val="center"/>
                </w:trPr>
                <w:tc>
                  <w:tcPr>
                    <w:tcW w:w="2641" w:type="pct"/>
                    <w:shd w:val="clear" w:color="auto" w:fill="auto"/>
                  </w:tcPr>
                  <w:p w:rsidR="00ED2DC7" w:rsidRDefault="00ED2DC7">
                    <w:pPr>
                      <w:rPr>
                        <w:szCs w:val="21"/>
                      </w:rPr>
                    </w:pPr>
                  </w:p>
                </w:tc>
                <w:tc>
                  <w:tcPr>
                    <w:tcW w:w="2359" w:type="pct"/>
                    <w:shd w:val="clear" w:color="auto" w:fill="auto"/>
                  </w:tcPr>
                  <w:p w:rsidR="00ED2DC7" w:rsidRDefault="00ED2DC7">
                    <w:pPr>
                      <w:jc w:val="right"/>
                      <w:rPr>
                        <w:szCs w:val="21"/>
                      </w:rPr>
                    </w:pPr>
                  </w:p>
                </w:tc>
              </w:tr>
            </w:sdtContent>
          </w:sdt>
          <w:sdt>
            <w:sdtPr>
              <w:rPr>
                <w:rFonts w:hint="eastAsia"/>
                <w:szCs w:val="21"/>
              </w:rPr>
              <w:alias w:val="按账龄分析法计提坏账准备的应收账款明细"/>
              <w:tag w:val="_TUP_10f7f1cf42084e9a947b1590ddb306e5"/>
              <w:id w:val="-266307123"/>
              <w:lock w:val="sdtLocked"/>
              <w:placeholder>
                <w:docPart w:val="GBC11111111111111111111111111111"/>
              </w:placeholder>
            </w:sdtPr>
            <w:sdtEndPr>
              <w:rPr>
                <w:rFonts w:hint="default"/>
              </w:rPr>
            </w:sdtEndPr>
            <w:sdtContent>
              <w:tr w:rsidR="00ED2DC7" w:rsidTr="00AC2226">
                <w:trPr>
                  <w:jc w:val="center"/>
                </w:trPr>
                <w:tc>
                  <w:tcPr>
                    <w:tcW w:w="2641" w:type="pct"/>
                    <w:shd w:val="clear" w:color="auto" w:fill="auto"/>
                  </w:tcPr>
                  <w:p w:rsidR="00ED2DC7" w:rsidRDefault="00ED2DC7">
                    <w:pPr>
                      <w:rPr>
                        <w:szCs w:val="21"/>
                      </w:rPr>
                    </w:pPr>
                  </w:p>
                </w:tc>
                <w:tc>
                  <w:tcPr>
                    <w:tcW w:w="2359" w:type="pct"/>
                    <w:shd w:val="clear" w:color="auto" w:fill="auto"/>
                  </w:tcPr>
                  <w:p w:rsidR="00ED2DC7" w:rsidRDefault="00ED2DC7">
                    <w:pPr>
                      <w:jc w:val="right"/>
                      <w:rPr>
                        <w:szCs w:val="21"/>
                      </w:rPr>
                    </w:pPr>
                  </w:p>
                </w:tc>
              </w:tr>
            </w:sdtContent>
          </w:sdt>
          <w:tr w:rsidR="00ED2DC7" w:rsidTr="00AC2226">
            <w:trPr>
              <w:jc w:val="center"/>
            </w:trPr>
            <w:sdt>
              <w:sdtPr>
                <w:tag w:val="_PLD_b8d2a9cd21d944ea8f8433cfaeb85cb3"/>
                <w:id w:val="215250186"/>
                <w:lock w:val="sdtLocked"/>
              </w:sdtPr>
              <w:sdtContent>
                <w:tc>
                  <w:tcPr>
                    <w:tcW w:w="2641" w:type="pct"/>
                    <w:shd w:val="clear" w:color="auto" w:fill="auto"/>
                    <w:vAlign w:val="center"/>
                  </w:tcPr>
                  <w:p w:rsidR="00ED2DC7" w:rsidRDefault="00ED2DC7">
                    <w:pPr>
                      <w:jc w:val="center"/>
                      <w:rPr>
                        <w:szCs w:val="21"/>
                      </w:rPr>
                    </w:pPr>
                    <w:r>
                      <w:rPr>
                        <w:szCs w:val="21"/>
                      </w:rPr>
                      <w:t>合计</w:t>
                    </w:r>
                  </w:p>
                </w:tc>
              </w:sdtContent>
            </w:sdt>
            <w:tc>
              <w:tcPr>
                <w:tcW w:w="2359" w:type="pct"/>
                <w:shd w:val="clear" w:color="auto" w:fill="auto"/>
              </w:tcPr>
              <w:p w:rsidR="00ED2DC7" w:rsidRDefault="00DD2D6B">
                <w:pPr>
                  <w:jc w:val="right"/>
                  <w:rPr>
                    <w:szCs w:val="21"/>
                  </w:rPr>
                </w:pPr>
                <w:r w:rsidRPr="00DD2D6B">
                  <w:rPr>
                    <w:szCs w:val="21"/>
                  </w:rPr>
                  <w:t>794,981,950</w:t>
                </w:r>
              </w:p>
            </w:tc>
          </w:tr>
          <w:bookmarkEnd w:id="233"/>
        </w:tbl>
      </w:sdtContent>
    </w:sdt>
    <w:p w:rsidR="00ED2DC7" w:rsidRDefault="00ED2DC7">
      <w:pPr>
        <w:snapToGrid w:val="0"/>
        <w:spacing w:line="240" w:lineRule="atLeast"/>
        <w:rPr>
          <w:szCs w:val="21"/>
        </w:rPr>
      </w:pPr>
    </w:p>
    <w:p w:rsidR="00ED2DC7" w:rsidRPr="00246008" w:rsidRDefault="00ED2DC7" w:rsidP="00036BDC">
      <w:pPr>
        <w:pStyle w:val="affffffffffffffffff2"/>
        <w:numPr>
          <w:ilvl w:val="0"/>
          <w:numId w:val="102"/>
        </w:numPr>
        <w:tabs>
          <w:tab w:val="left" w:pos="644"/>
        </w:tabs>
        <w:ind w:left="0" w:firstLine="0"/>
        <w:rPr>
          <w:szCs w:val="21"/>
        </w:rPr>
      </w:pPr>
      <w:bookmarkStart w:id="234" w:name="_Hlk10540024"/>
      <w:r w:rsidRPr="00246008">
        <w:rPr>
          <w:rFonts w:hint="eastAsia"/>
          <w:szCs w:val="21"/>
        </w:rPr>
        <w:t>按坏账计提方法分类披露</w:t>
      </w:r>
    </w:p>
    <w:sdt>
      <w:sdtPr>
        <w:alias w:val="是否适用：母公司应收账款按坏账计提方法分类披露[双击切换]"/>
        <w:tag w:val="_GBC_bd7fb52eb7f647d5aa6c10677b261ee1"/>
        <w:id w:val="2082413507"/>
        <w:lock w:val="sdtContentLocked"/>
        <w:placeholder>
          <w:docPart w:val="GBC22222222222222222222222222222"/>
        </w:placeholder>
      </w:sdtPr>
      <w:sdtContent>
        <w:p w:rsidR="00ED2DC7" w:rsidRDefault="00ED2DC7">
          <w:r>
            <w:fldChar w:fldCharType="begin"/>
          </w:r>
          <w:r w:rsidR="0087019E">
            <w:instrText xml:space="preserve"> MACROBUTTON  SnrToggleCheckbox √适用 </w:instrText>
          </w:r>
          <w:r>
            <w:fldChar w:fldCharType="end"/>
          </w:r>
          <w:r>
            <w:fldChar w:fldCharType="begin"/>
          </w:r>
          <w:r w:rsidR="0087019E">
            <w:instrText xml:space="preserve"> MACROBUTTON  SnrToggleCheckbox □不适用 </w:instrText>
          </w:r>
          <w:r>
            <w:fldChar w:fldCharType="end"/>
          </w:r>
        </w:p>
      </w:sdtContent>
    </w:sdt>
    <w:sdt>
      <w:sdtPr>
        <w:rPr>
          <w:rFonts w:ascii="宋体" w:hAnsi="宋体" w:cs="宋体" w:hint="eastAsia"/>
          <w:kern w:val="0"/>
          <w:szCs w:val="21"/>
        </w:rPr>
        <w:alias w:val="模块:(2).  按坏账计提方法分类披露"/>
        <w:tag w:val="_SEC_22b53fc701704bd9858f1a601e7a3144"/>
        <w:id w:val="-289747271"/>
        <w:lock w:val="sdtLocked"/>
        <w:placeholder>
          <w:docPart w:val="GBC22222222222222222222222222222"/>
        </w:placeholder>
      </w:sdtPr>
      <w:sdtEndPr>
        <w:rPr>
          <w:szCs w:val="24"/>
        </w:rPr>
      </w:sdtEndPr>
      <w:sdtContent>
        <w:p w:rsidR="00B637B2" w:rsidRDefault="00ED2DC7">
          <w:pPr>
            <w:pStyle w:val="afffffffffffffffffff3"/>
            <w:autoSpaceDE w:val="0"/>
            <w:autoSpaceDN w:val="0"/>
            <w:adjustRightInd w:val="0"/>
            <w:ind w:left="425" w:right="105" w:firstLineChars="0" w:firstLine="0"/>
            <w:jc w:val="right"/>
            <w:rPr>
              <w:szCs w:val="21"/>
            </w:rPr>
          </w:pPr>
          <w:r>
            <w:rPr>
              <w:rFonts w:hint="eastAsia"/>
              <w:szCs w:val="21"/>
            </w:rPr>
            <w:t>单位：</w:t>
          </w:r>
          <w:sdt>
            <w:sdtPr>
              <w:rPr>
                <w:rFonts w:hint="eastAsia"/>
                <w:szCs w:val="21"/>
              </w:rPr>
              <w:alias w:val="单位：母公司应收账款按坏账计提方法分类披露"/>
              <w:tag w:val="_GBC_03786e76a9b246d5a93eac5a8936de3a"/>
              <w:id w:val="116243259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应收账款按坏账计提方法分类披露"/>
              <w:tag w:val="_GBC_1360c31492654a38991cae4cf45e7b4a"/>
              <w:id w:val="-1155969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szCs w:val="21"/>
                </w:rPr>
                <w:t>人民币</w:t>
              </w:r>
            </w:sdtContent>
          </w:sdt>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130"/>
            <w:gridCol w:w="942"/>
            <w:gridCol w:w="493"/>
            <w:gridCol w:w="942"/>
            <w:gridCol w:w="511"/>
            <w:gridCol w:w="942"/>
            <w:gridCol w:w="942"/>
            <w:gridCol w:w="511"/>
            <w:gridCol w:w="942"/>
            <w:gridCol w:w="526"/>
            <w:gridCol w:w="942"/>
          </w:tblGrid>
          <w:tr w:rsidR="00B637B2" w:rsidTr="00B637B2">
            <w:trPr>
              <w:cantSplit/>
              <w:trHeight w:val="259"/>
            </w:trPr>
            <w:sdt>
              <w:sdtPr>
                <w:rPr>
                  <w:sz w:val="16"/>
                  <w:szCs w:val="16"/>
                </w:rPr>
                <w:tag w:val="_PLD_2f021e03341f49af95f8857da6272a92"/>
                <w:id w:val="-1280329848"/>
                <w:lock w:val="sdtLocked"/>
              </w:sdtPr>
              <w:sdtContent>
                <w:tc>
                  <w:tcPr>
                    <w:tcW w:w="776" w:type="pct"/>
                    <w:vMerge w:val="restart"/>
                    <w:tcBorders>
                      <w:top w:val="single" w:sz="4" w:space="0" w:color="auto"/>
                      <w:left w:val="single" w:sz="4" w:space="0" w:color="auto"/>
                      <w:right w:val="single" w:sz="4" w:space="0" w:color="auto"/>
                    </w:tcBorders>
                    <w:vAlign w:val="center"/>
                  </w:tcPr>
                  <w:p w:rsidR="00B637B2" w:rsidRPr="00246008" w:rsidRDefault="008F04CF" w:rsidP="00B637B2">
                    <w:pPr>
                      <w:jc w:val="center"/>
                      <w:rPr>
                        <w:sz w:val="16"/>
                        <w:szCs w:val="16"/>
                      </w:rPr>
                    </w:pPr>
                    <w:r w:rsidRPr="00246008">
                      <w:rPr>
                        <w:rFonts w:hint="eastAsia"/>
                        <w:sz w:val="16"/>
                        <w:szCs w:val="16"/>
                      </w:rPr>
                      <w:t>类别</w:t>
                    </w:r>
                  </w:p>
                </w:tc>
              </w:sdtContent>
            </w:sdt>
            <w:sdt>
              <w:sdtPr>
                <w:rPr>
                  <w:sz w:val="16"/>
                  <w:szCs w:val="16"/>
                </w:rPr>
                <w:tag w:val="_PLD_468e18ccdf48449f8e43799e7c3f622e"/>
                <w:id w:val="551816116"/>
                <w:lock w:val="sdtLocked"/>
              </w:sdtPr>
              <w:sdtContent>
                <w:tc>
                  <w:tcPr>
                    <w:tcW w:w="2086" w:type="pct"/>
                    <w:gridSpan w:val="5"/>
                    <w:tcBorders>
                      <w:top w:val="single" w:sz="4" w:space="0" w:color="auto"/>
                      <w:left w:val="single" w:sz="4" w:space="0" w:color="auto"/>
                      <w:right w:val="single" w:sz="4" w:space="0" w:color="auto"/>
                    </w:tcBorders>
                    <w:vAlign w:val="center"/>
                  </w:tcPr>
                  <w:p w:rsidR="00B637B2" w:rsidRPr="00246008" w:rsidRDefault="008F04CF" w:rsidP="00B637B2">
                    <w:pPr>
                      <w:autoSpaceDE w:val="0"/>
                      <w:autoSpaceDN w:val="0"/>
                      <w:adjustRightInd w:val="0"/>
                      <w:snapToGrid w:val="0"/>
                      <w:spacing w:line="240" w:lineRule="atLeast"/>
                      <w:jc w:val="center"/>
                      <w:rPr>
                        <w:sz w:val="16"/>
                        <w:szCs w:val="16"/>
                      </w:rPr>
                    </w:pPr>
                    <w:r w:rsidRPr="00246008">
                      <w:rPr>
                        <w:rFonts w:hint="eastAsia"/>
                        <w:sz w:val="16"/>
                        <w:szCs w:val="16"/>
                      </w:rPr>
                      <w:t>期末余额</w:t>
                    </w:r>
                  </w:p>
                </w:tc>
              </w:sdtContent>
            </w:sdt>
            <w:sdt>
              <w:sdtPr>
                <w:rPr>
                  <w:sz w:val="16"/>
                  <w:szCs w:val="16"/>
                </w:rPr>
                <w:tag w:val="_PLD_e387c0f70bd6484cafb1ada234d075bd"/>
                <w:id w:val="812298899"/>
                <w:lock w:val="sdtLocked"/>
              </w:sdtPr>
              <w:sdtContent>
                <w:tc>
                  <w:tcPr>
                    <w:tcW w:w="2138" w:type="pct"/>
                    <w:gridSpan w:val="5"/>
                    <w:tcBorders>
                      <w:top w:val="single" w:sz="4" w:space="0" w:color="auto"/>
                      <w:left w:val="single" w:sz="4" w:space="0" w:color="auto"/>
                      <w:right w:val="single" w:sz="4" w:space="0" w:color="auto"/>
                    </w:tcBorders>
                    <w:vAlign w:val="center"/>
                  </w:tcPr>
                  <w:p w:rsidR="00B637B2" w:rsidRPr="00246008" w:rsidRDefault="008F04CF" w:rsidP="00B637B2">
                    <w:pPr>
                      <w:autoSpaceDE w:val="0"/>
                      <w:autoSpaceDN w:val="0"/>
                      <w:adjustRightInd w:val="0"/>
                      <w:snapToGrid w:val="0"/>
                      <w:spacing w:line="240" w:lineRule="atLeast"/>
                      <w:jc w:val="center"/>
                      <w:rPr>
                        <w:sz w:val="16"/>
                        <w:szCs w:val="16"/>
                      </w:rPr>
                    </w:pPr>
                    <w:r w:rsidRPr="00246008">
                      <w:rPr>
                        <w:rFonts w:hint="eastAsia"/>
                        <w:sz w:val="16"/>
                        <w:szCs w:val="16"/>
                      </w:rPr>
                      <w:t>期初余额</w:t>
                    </w:r>
                  </w:p>
                </w:tc>
              </w:sdtContent>
            </w:sdt>
          </w:tr>
          <w:tr w:rsidR="00B637B2" w:rsidTr="00B637B2">
            <w:trPr>
              <w:cantSplit/>
              <w:trHeight w:val="227"/>
            </w:trPr>
            <w:tc>
              <w:tcPr>
                <w:tcW w:w="776" w:type="pct"/>
                <w:vMerge/>
                <w:tcBorders>
                  <w:left w:val="single" w:sz="4" w:space="0" w:color="auto"/>
                  <w:right w:val="single" w:sz="4" w:space="0" w:color="auto"/>
                </w:tcBorders>
                <w:vAlign w:val="center"/>
              </w:tcPr>
              <w:p w:rsidR="00B637B2" w:rsidRPr="00246008" w:rsidRDefault="00B637B2" w:rsidP="00B637B2">
                <w:pPr>
                  <w:rPr>
                    <w:sz w:val="16"/>
                    <w:szCs w:val="16"/>
                  </w:rPr>
                </w:pPr>
              </w:p>
            </w:tc>
            <w:sdt>
              <w:sdtPr>
                <w:rPr>
                  <w:sz w:val="16"/>
                  <w:szCs w:val="16"/>
                </w:rPr>
                <w:tag w:val="_PLD_73365edbfe354cb683cc42de4c1c9f49"/>
                <w:id w:val="649563620"/>
                <w:lock w:val="sdtLocked"/>
              </w:sdtPr>
              <w:sdtContent>
                <w:tc>
                  <w:tcPr>
                    <w:tcW w:w="835" w:type="pct"/>
                    <w:gridSpan w:val="2"/>
                    <w:tcBorders>
                      <w:top w:val="single" w:sz="4" w:space="0" w:color="auto"/>
                      <w:left w:val="single" w:sz="4" w:space="0" w:color="auto"/>
                      <w:bottom w:val="single" w:sz="4" w:space="0" w:color="auto"/>
                      <w:right w:val="single" w:sz="4" w:space="0" w:color="auto"/>
                    </w:tcBorders>
                    <w:vAlign w:val="center"/>
                  </w:tcPr>
                  <w:p w:rsidR="00B637B2" w:rsidRPr="00246008" w:rsidRDefault="008F04CF" w:rsidP="00B637B2">
                    <w:pPr>
                      <w:jc w:val="center"/>
                      <w:rPr>
                        <w:sz w:val="16"/>
                        <w:szCs w:val="16"/>
                      </w:rPr>
                    </w:pPr>
                    <w:r w:rsidRPr="00246008">
                      <w:rPr>
                        <w:rFonts w:hint="eastAsia"/>
                        <w:sz w:val="16"/>
                        <w:szCs w:val="16"/>
                      </w:rPr>
                      <w:t>账面余额</w:t>
                    </w:r>
                  </w:p>
                </w:tc>
              </w:sdtContent>
            </w:sdt>
            <w:sdt>
              <w:sdtPr>
                <w:rPr>
                  <w:sz w:val="16"/>
                  <w:szCs w:val="16"/>
                </w:rPr>
                <w:tag w:val="_PLD_11f34c9ee2d5429280d0d85b2c50756a"/>
                <w:id w:val="-1164860433"/>
                <w:lock w:val="sdtLocked"/>
              </w:sdtPr>
              <w:sdtContent>
                <w:tc>
                  <w:tcPr>
                    <w:tcW w:w="838" w:type="pct"/>
                    <w:gridSpan w:val="2"/>
                    <w:tcBorders>
                      <w:top w:val="single" w:sz="4" w:space="0" w:color="auto"/>
                      <w:left w:val="single" w:sz="4" w:space="0" w:color="auto"/>
                      <w:bottom w:val="single" w:sz="4" w:space="0" w:color="auto"/>
                      <w:right w:val="single" w:sz="4" w:space="0" w:color="auto"/>
                    </w:tcBorders>
                    <w:vAlign w:val="center"/>
                  </w:tcPr>
                  <w:p w:rsidR="00B637B2" w:rsidRPr="00246008" w:rsidRDefault="008F04CF" w:rsidP="00B637B2">
                    <w:pPr>
                      <w:jc w:val="center"/>
                      <w:rPr>
                        <w:sz w:val="16"/>
                        <w:szCs w:val="16"/>
                      </w:rPr>
                    </w:pPr>
                    <w:r w:rsidRPr="00246008">
                      <w:rPr>
                        <w:rFonts w:hint="eastAsia"/>
                        <w:sz w:val="16"/>
                        <w:szCs w:val="16"/>
                      </w:rPr>
                      <w:t>坏账准备</w:t>
                    </w:r>
                  </w:p>
                </w:tc>
              </w:sdtContent>
            </w:sdt>
            <w:sdt>
              <w:sdtPr>
                <w:rPr>
                  <w:sz w:val="16"/>
                  <w:szCs w:val="16"/>
                </w:rPr>
                <w:tag w:val="_PLD_6ade046afd0c47c0aae9506cc9d47486"/>
                <w:id w:val="2031987832"/>
                <w:lock w:val="sdtLocked"/>
              </w:sdtPr>
              <w:sdtContent>
                <w:tc>
                  <w:tcPr>
                    <w:tcW w:w="413" w:type="pct"/>
                    <w:vMerge w:val="restart"/>
                    <w:tcBorders>
                      <w:top w:val="single" w:sz="4" w:space="0" w:color="auto"/>
                      <w:left w:val="single" w:sz="4" w:space="0" w:color="auto"/>
                      <w:right w:val="single" w:sz="4" w:space="0" w:color="auto"/>
                    </w:tcBorders>
                    <w:vAlign w:val="center"/>
                  </w:tcPr>
                  <w:p w:rsidR="00B637B2" w:rsidRPr="00246008" w:rsidRDefault="008F04CF" w:rsidP="00B637B2">
                    <w:pPr>
                      <w:jc w:val="center"/>
                      <w:rPr>
                        <w:sz w:val="16"/>
                        <w:szCs w:val="16"/>
                      </w:rPr>
                    </w:pPr>
                    <w:r w:rsidRPr="00246008">
                      <w:rPr>
                        <w:rFonts w:hint="eastAsia"/>
                        <w:sz w:val="16"/>
                        <w:szCs w:val="16"/>
                      </w:rPr>
                      <w:t>账面</w:t>
                    </w:r>
                  </w:p>
                  <w:p w:rsidR="00B637B2" w:rsidRPr="00246008" w:rsidRDefault="008F04CF" w:rsidP="00B637B2">
                    <w:pPr>
                      <w:jc w:val="center"/>
                      <w:rPr>
                        <w:sz w:val="16"/>
                        <w:szCs w:val="16"/>
                      </w:rPr>
                    </w:pPr>
                    <w:r w:rsidRPr="00246008">
                      <w:rPr>
                        <w:rFonts w:hint="eastAsia"/>
                        <w:sz w:val="16"/>
                        <w:szCs w:val="16"/>
                      </w:rPr>
                      <w:t>价值</w:t>
                    </w:r>
                  </w:p>
                </w:tc>
              </w:sdtContent>
            </w:sdt>
            <w:sdt>
              <w:sdtPr>
                <w:rPr>
                  <w:sz w:val="16"/>
                  <w:szCs w:val="16"/>
                </w:rPr>
                <w:tag w:val="_PLD_abd9bd4831b9473aabae7411a299a204"/>
                <w:id w:val="-668094717"/>
                <w:lock w:val="sdtLocked"/>
              </w:sdtPr>
              <w:sdtContent>
                <w:tc>
                  <w:tcPr>
                    <w:tcW w:w="861" w:type="pct"/>
                    <w:gridSpan w:val="2"/>
                    <w:tcBorders>
                      <w:top w:val="single" w:sz="4" w:space="0" w:color="auto"/>
                      <w:left w:val="single" w:sz="4" w:space="0" w:color="auto"/>
                      <w:right w:val="single" w:sz="4" w:space="0" w:color="auto"/>
                    </w:tcBorders>
                    <w:vAlign w:val="center"/>
                  </w:tcPr>
                  <w:p w:rsidR="00B637B2" w:rsidRPr="00246008" w:rsidRDefault="008F04CF" w:rsidP="00B637B2">
                    <w:pPr>
                      <w:jc w:val="center"/>
                      <w:rPr>
                        <w:sz w:val="16"/>
                        <w:szCs w:val="16"/>
                      </w:rPr>
                    </w:pPr>
                    <w:r w:rsidRPr="00246008">
                      <w:rPr>
                        <w:rFonts w:hint="eastAsia"/>
                        <w:sz w:val="16"/>
                        <w:szCs w:val="16"/>
                      </w:rPr>
                      <w:t>账面余额</w:t>
                    </w:r>
                  </w:p>
                </w:tc>
              </w:sdtContent>
            </w:sdt>
            <w:sdt>
              <w:sdtPr>
                <w:rPr>
                  <w:sz w:val="16"/>
                  <w:szCs w:val="16"/>
                </w:rPr>
                <w:tag w:val="_PLD_76d8f3a48cba41949b5870f6cbb124af"/>
                <w:id w:val="1995682560"/>
                <w:lock w:val="sdtLocked"/>
              </w:sdtPr>
              <w:sdtContent>
                <w:tc>
                  <w:tcPr>
                    <w:tcW w:w="866" w:type="pct"/>
                    <w:gridSpan w:val="2"/>
                    <w:tcBorders>
                      <w:top w:val="single" w:sz="4" w:space="0" w:color="auto"/>
                      <w:left w:val="single" w:sz="4" w:space="0" w:color="auto"/>
                      <w:right w:val="single" w:sz="4" w:space="0" w:color="auto"/>
                    </w:tcBorders>
                    <w:vAlign w:val="center"/>
                  </w:tcPr>
                  <w:p w:rsidR="00B637B2" w:rsidRPr="00246008" w:rsidRDefault="008F04CF" w:rsidP="00B637B2">
                    <w:pPr>
                      <w:jc w:val="center"/>
                      <w:rPr>
                        <w:sz w:val="16"/>
                        <w:szCs w:val="16"/>
                      </w:rPr>
                    </w:pPr>
                    <w:r w:rsidRPr="00246008">
                      <w:rPr>
                        <w:rFonts w:hint="eastAsia"/>
                        <w:sz w:val="16"/>
                        <w:szCs w:val="16"/>
                      </w:rPr>
                      <w:t>坏账准备</w:t>
                    </w:r>
                  </w:p>
                </w:tc>
              </w:sdtContent>
            </w:sdt>
            <w:sdt>
              <w:sdtPr>
                <w:rPr>
                  <w:sz w:val="16"/>
                  <w:szCs w:val="16"/>
                </w:rPr>
                <w:tag w:val="_PLD_5062ab8e678b49c0bba488dc029ff27b"/>
                <w:id w:val="1949660689"/>
                <w:lock w:val="sdtLocked"/>
              </w:sdtPr>
              <w:sdtContent>
                <w:tc>
                  <w:tcPr>
                    <w:tcW w:w="411" w:type="pct"/>
                    <w:vMerge w:val="restart"/>
                    <w:tcBorders>
                      <w:top w:val="single" w:sz="4" w:space="0" w:color="auto"/>
                      <w:left w:val="single" w:sz="4" w:space="0" w:color="auto"/>
                      <w:right w:val="single" w:sz="4" w:space="0" w:color="auto"/>
                    </w:tcBorders>
                    <w:vAlign w:val="center"/>
                  </w:tcPr>
                  <w:p w:rsidR="00B637B2" w:rsidRPr="00246008" w:rsidRDefault="008F04CF" w:rsidP="00B637B2">
                    <w:pPr>
                      <w:jc w:val="center"/>
                      <w:rPr>
                        <w:sz w:val="16"/>
                        <w:szCs w:val="16"/>
                      </w:rPr>
                    </w:pPr>
                    <w:r w:rsidRPr="00246008">
                      <w:rPr>
                        <w:rFonts w:hint="eastAsia"/>
                        <w:sz w:val="16"/>
                        <w:szCs w:val="16"/>
                      </w:rPr>
                      <w:t>账面</w:t>
                    </w:r>
                  </w:p>
                  <w:p w:rsidR="00B637B2" w:rsidRPr="00246008" w:rsidRDefault="008F04CF" w:rsidP="00B637B2">
                    <w:pPr>
                      <w:jc w:val="center"/>
                      <w:rPr>
                        <w:sz w:val="16"/>
                        <w:szCs w:val="16"/>
                      </w:rPr>
                    </w:pPr>
                    <w:r w:rsidRPr="00246008">
                      <w:rPr>
                        <w:rFonts w:hint="eastAsia"/>
                        <w:sz w:val="16"/>
                        <w:szCs w:val="16"/>
                      </w:rPr>
                      <w:t>价值</w:t>
                    </w:r>
                  </w:p>
                </w:tc>
              </w:sdtContent>
            </w:sdt>
          </w:tr>
          <w:tr w:rsidR="00B637B2" w:rsidTr="00B637B2">
            <w:trPr>
              <w:cantSplit/>
              <w:trHeight w:val="375"/>
            </w:trPr>
            <w:tc>
              <w:tcPr>
                <w:tcW w:w="776" w:type="pct"/>
                <w:vMerge/>
                <w:tcBorders>
                  <w:left w:val="single" w:sz="4" w:space="0" w:color="auto"/>
                  <w:bottom w:val="single" w:sz="4" w:space="0" w:color="auto"/>
                  <w:right w:val="single" w:sz="4" w:space="0" w:color="auto"/>
                </w:tcBorders>
                <w:vAlign w:val="center"/>
              </w:tcPr>
              <w:p w:rsidR="00B637B2" w:rsidRPr="00246008" w:rsidRDefault="00B637B2" w:rsidP="00B637B2">
                <w:pPr>
                  <w:rPr>
                    <w:sz w:val="16"/>
                    <w:szCs w:val="16"/>
                  </w:rPr>
                </w:pPr>
              </w:p>
            </w:tc>
            <w:sdt>
              <w:sdtPr>
                <w:rPr>
                  <w:sz w:val="16"/>
                  <w:szCs w:val="16"/>
                </w:rPr>
                <w:tag w:val="_PLD_f6bdd572740240b5a7a2e643c29db5eb"/>
                <w:id w:val="-841319288"/>
                <w:lock w:val="sdtLocked"/>
              </w:sdtPr>
              <w:sdtContent>
                <w:tc>
                  <w:tcPr>
                    <w:tcW w:w="420" w:type="pct"/>
                    <w:tcBorders>
                      <w:left w:val="single" w:sz="4" w:space="0" w:color="auto"/>
                      <w:bottom w:val="single" w:sz="4" w:space="0" w:color="auto"/>
                      <w:right w:val="single" w:sz="4" w:space="0" w:color="auto"/>
                    </w:tcBorders>
                    <w:vAlign w:val="center"/>
                  </w:tcPr>
                  <w:p w:rsidR="00B637B2" w:rsidRPr="00246008" w:rsidRDefault="008F04CF" w:rsidP="00B637B2">
                    <w:pPr>
                      <w:jc w:val="center"/>
                      <w:rPr>
                        <w:sz w:val="16"/>
                        <w:szCs w:val="16"/>
                      </w:rPr>
                    </w:pPr>
                    <w:r w:rsidRPr="00246008">
                      <w:rPr>
                        <w:rFonts w:hint="eastAsia"/>
                        <w:sz w:val="16"/>
                        <w:szCs w:val="16"/>
                      </w:rPr>
                      <w:t>金额</w:t>
                    </w:r>
                  </w:p>
                </w:tc>
              </w:sdtContent>
            </w:sdt>
            <w:sdt>
              <w:sdtPr>
                <w:rPr>
                  <w:sz w:val="16"/>
                  <w:szCs w:val="16"/>
                </w:rPr>
                <w:tag w:val="_PLD_0a09779b6e354e32b6df9b1e891e1509"/>
                <w:id w:val="-1231224516"/>
                <w:lock w:val="sdtLocked"/>
              </w:sdtPr>
              <w:sdtContent>
                <w:tc>
                  <w:tcPr>
                    <w:tcW w:w="415" w:type="pct"/>
                    <w:tcBorders>
                      <w:left w:val="single" w:sz="4" w:space="0" w:color="auto"/>
                      <w:bottom w:val="single" w:sz="4" w:space="0" w:color="auto"/>
                      <w:right w:val="single" w:sz="4" w:space="0" w:color="auto"/>
                    </w:tcBorders>
                    <w:vAlign w:val="center"/>
                  </w:tcPr>
                  <w:p w:rsidR="00B637B2" w:rsidRPr="00246008" w:rsidRDefault="008F04CF" w:rsidP="00B637B2">
                    <w:pPr>
                      <w:jc w:val="center"/>
                      <w:rPr>
                        <w:sz w:val="16"/>
                        <w:szCs w:val="16"/>
                      </w:rPr>
                    </w:pPr>
                    <w:r w:rsidRPr="00246008">
                      <w:rPr>
                        <w:rFonts w:hint="eastAsia"/>
                        <w:sz w:val="16"/>
                        <w:szCs w:val="16"/>
                      </w:rPr>
                      <w:t>比例</w:t>
                    </w:r>
                    <w:r w:rsidRPr="00246008">
                      <w:rPr>
                        <w:sz w:val="16"/>
                        <w:szCs w:val="16"/>
                      </w:rPr>
                      <w:t>(%)</w:t>
                    </w:r>
                  </w:p>
                </w:tc>
              </w:sdtContent>
            </w:sdt>
            <w:sdt>
              <w:sdtPr>
                <w:rPr>
                  <w:sz w:val="16"/>
                  <w:szCs w:val="16"/>
                </w:rPr>
                <w:tag w:val="_PLD_dd9c9061f11b453c8775ca1a11382d92"/>
                <w:id w:val="-1755502270"/>
                <w:lock w:val="sdtLocked"/>
              </w:sdtPr>
              <w:sdtContent>
                <w:tc>
                  <w:tcPr>
                    <w:tcW w:w="413" w:type="pct"/>
                    <w:tcBorders>
                      <w:left w:val="single" w:sz="4" w:space="0" w:color="auto"/>
                      <w:bottom w:val="single" w:sz="4" w:space="0" w:color="auto"/>
                      <w:right w:val="single" w:sz="4" w:space="0" w:color="auto"/>
                    </w:tcBorders>
                    <w:vAlign w:val="center"/>
                  </w:tcPr>
                  <w:p w:rsidR="00B637B2" w:rsidRPr="00246008" w:rsidRDefault="008F04CF" w:rsidP="00B637B2">
                    <w:pPr>
                      <w:jc w:val="center"/>
                      <w:rPr>
                        <w:sz w:val="16"/>
                        <w:szCs w:val="16"/>
                      </w:rPr>
                    </w:pPr>
                    <w:r w:rsidRPr="00246008">
                      <w:rPr>
                        <w:rFonts w:hint="eastAsia"/>
                        <w:sz w:val="16"/>
                        <w:szCs w:val="16"/>
                      </w:rPr>
                      <w:t>金额</w:t>
                    </w:r>
                  </w:p>
                </w:tc>
              </w:sdtContent>
            </w:sdt>
            <w:sdt>
              <w:sdtPr>
                <w:rPr>
                  <w:sz w:val="16"/>
                  <w:szCs w:val="16"/>
                </w:rPr>
                <w:tag w:val="_PLD_988b69362ac14c0e94c26191e76b1e3a"/>
                <w:id w:val="555442275"/>
                <w:lock w:val="sdtLocked"/>
              </w:sdtPr>
              <w:sdtContent>
                <w:tc>
                  <w:tcPr>
                    <w:tcW w:w="425" w:type="pct"/>
                    <w:tcBorders>
                      <w:left w:val="single" w:sz="4" w:space="0" w:color="auto"/>
                      <w:bottom w:val="single" w:sz="4" w:space="0" w:color="auto"/>
                      <w:right w:val="single" w:sz="4" w:space="0" w:color="auto"/>
                    </w:tcBorders>
                    <w:vAlign w:val="center"/>
                  </w:tcPr>
                  <w:p w:rsidR="00B637B2" w:rsidRPr="00246008" w:rsidRDefault="008F04CF" w:rsidP="00B637B2">
                    <w:pPr>
                      <w:jc w:val="center"/>
                      <w:rPr>
                        <w:sz w:val="16"/>
                        <w:szCs w:val="16"/>
                      </w:rPr>
                    </w:pPr>
                    <w:r w:rsidRPr="00246008">
                      <w:rPr>
                        <w:rFonts w:hint="eastAsia"/>
                        <w:sz w:val="16"/>
                        <w:szCs w:val="16"/>
                      </w:rPr>
                      <w:t>计提比例</w:t>
                    </w:r>
                    <w:r w:rsidRPr="00246008">
                      <w:rPr>
                        <w:sz w:val="16"/>
                        <w:szCs w:val="16"/>
                      </w:rPr>
                      <w:t>(%)</w:t>
                    </w:r>
                  </w:p>
                </w:tc>
              </w:sdtContent>
            </w:sdt>
            <w:tc>
              <w:tcPr>
                <w:tcW w:w="413" w:type="pct"/>
                <w:vMerge/>
                <w:tcBorders>
                  <w:left w:val="single" w:sz="4" w:space="0" w:color="auto"/>
                  <w:bottom w:val="single" w:sz="4" w:space="0" w:color="auto"/>
                  <w:right w:val="single" w:sz="4" w:space="0" w:color="auto"/>
                </w:tcBorders>
                <w:vAlign w:val="center"/>
              </w:tcPr>
              <w:p w:rsidR="00B637B2" w:rsidRPr="00246008" w:rsidRDefault="00B637B2" w:rsidP="00B637B2">
                <w:pPr>
                  <w:jc w:val="center"/>
                  <w:rPr>
                    <w:sz w:val="16"/>
                    <w:szCs w:val="16"/>
                  </w:rPr>
                </w:pPr>
              </w:p>
            </w:tc>
            <w:sdt>
              <w:sdtPr>
                <w:rPr>
                  <w:sz w:val="16"/>
                  <w:szCs w:val="16"/>
                </w:rPr>
                <w:tag w:val="_PLD_a5c1af5c86d545b993971c3da029159d"/>
                <w:id w:val="196127003"/>
                <w:lock w:val="sdtLocked"/>
              </w:sdtPr>
              <w:sdtContent>
                <w:tc>
                  <w:tcPr>
                    <w:tcW w:w="436" w:type="pct"/>
                    <w:tcBorders>
                      <w:left w:val="single" w:sz="4" w:space="0" w:color="auto"/>
                      <w:bottom w:val="single" w:sz="4" w:space="0" w:color="auto"/>
                      <w:right w:val="single" w:sz="4" w:space="0" w:color="auto"/>
                    </w:tcBorders>
                    <w:vAlign w:val="center"/>
                  </w:tcPr>
                  <w:p w:rsidR="00B637B2" w:rsidRPr="00246008" w:rsidRDefault="008F04CF" w:rsidP="00B637B2">
                    <w:pPr>
                      <w:jc w:val="center"/>
                      <w:rPr>
                        <w:sz w:val="16"/>
                        <w:szCs w:val="16"/>
                      </w:rPr>
                    </w:pPr>
                    <w:r w:rsidRPr="00246008">
                      <w:rPr>
                        <w:rFonts w:hint="eastAsia"/>
                        <w:sz w:val="16"/>
                        <w:szCs w:val="16"/>
                      </w:rPr>
                      <w:t>金额</w:t>
                    </w:r>
                  </w:p>
                </w:tc>
              </w:sdtContent>
            </w:sdt>
            <w:sdt>
              <w:sdtPr>
                <w:rPr>
                  <w:sz w:val="16"/>
                  <w:szCs w:val="16"/>
                </w:rPr>
                <w:tag w:val="_PLD_fd80073c74724a799d0de2171d95f241"/>
                <w:id w:val="-760594524"/>
                <w:lock w:val="sdtLocked"/>
              </w:sdtPr>
              <w:sdtContent>
                <w:tc>
                  <w:tcPr>
                    <w:tcW w:w="425" w:type="pct"/>
                    <w:tcBorders>
                      <w:left w:val="single" w:sz="4" w:space="0" w:color="auto"/>
                      <w:bottom w:val="single" w:sz="4" w:space="0" w:color="auto"/>
                      <w:right w:val="single" w:sz="4" w:space="0" w:color="auto"/>
                    </w:tcBorders>
                    <w:vAlign w:val="center"/>
                  </w:tcPr>
                  <w:p w:rsidR="00B637B2" w:rsidRPr="00246008" w:rsidRDefault="008F04CF" w:rsidP="00B637B2">
                    <w:pPr>
                      <w:jc w:val="center"/>
                      <w:rPr>
                        <w:sz w:val="16"/>
                        <w:szCs w:val="16"/>
                      </w:rPr>
                    </w:pPr>
                    <w:r w:rsidRPr="00246008">
                      <w:rPr>
                        <w:rFonts w:hint="eastAsia"/>
                        <w:sz w:val="16"/>
                        <w:szCs w:val="16"/>
                      </w:rPr>
                      <w:t>比例</w:t>
                    </w:r>
                    <w:r w:rsidRPr="00246008">
                      <w:rPr>
                        <w:sz w:val="16"/>
                        <w:szCs w:val="16"/>
                      </w:rPr>
                      <w:t>(%)</w:t>
                    </w:r>
                  </w:p>
                </w:tc>
              </w:sdtContent>
            </w:sdt>
            <w:sdt>
              <w:sdtPr>
                <w:rPr>
                  <w:sz w:val="16"/>
                  <w:szCs w:val="16"/>
                </w:rPr>
                <w:tag w:val="_PLD_917059b3ee7f4b52afe8c3fa58f3e369"/>
                <w:id w:val="-1100108199"/>
                <w:lock w:val="sdtLocked"/>
              </w:sdtPr>
              <w:sdtContent>
                <w:tc>
                  <w:tcPr>
                    <w:tcW w:w="433" w:type="pct"/>
                    <w:tcBorders>
                      <w:left w:val="single" w:sz="4" w:space="0" w:color="auto"/>
                      <w:bottom w:val="single" w:sz="4" w:space="0" w:color="auto"/>
                      <w:right w:val="single" w:sz="4" w:space="0" w:color="auto"/>
                    </w:tcBorders>
                    <w:vAlign w:val="center"/>
                  </w:tcPr>
                  <w:p w:rsidR="00B637B2" w:rsidRPr="00246008" w:rsidRDefault="008F04CF" w:rsidP="00B637B2">
                    <w:pPr>
                      <w:jc w:val="center"/>
                      <w:rPr>
                        <w:sz w:val="16"/>
                        <w:szCs w:val="16"/>
                      </w:rPr>
                    </w:pPr>
                    <w:r w:rsidRPr="00246008">
                      <w:rPr>
                        <w:rFonts w:hint="eastAsia"/>
                        <w:sz w:val="16"/>
                        <w:szCs w:val="16"/>
                      </w:rPr>
                      <w:t>金额</w:t>
                    </w:r>
                  </w:p>
                </w:tc>
              </w:sdtContent>
            </w:sdt>
            <w:sdt>
              <w:sdtPr>
                <w:rPr>
                  <w:sz w:val="16"/>
                  <w:szCs w:val="16"/>
                </w:rPr>
                <w:tag w:val="_PLD_ea90ccc029834397956c79bbe869d343"/>
                <w:id w:val="-74052146"/>
                <w:lock w:val="sdtLocked"/>
              </w:sdtPr>
              <w:sdtContent>
                <w:tc>
                  <w:tcPr>
                    <w:tcW w:w="433" w:type="pct"/>
                    <w:tcBorders>
                      <w:left w:val="single" w:sz="4" w:space="0" w:color="auto"/>
                      <w:bottom w:val="single" w:sz="4" w:space="0" w:color="auto"/>
                      <w:right w:val="single" w:sz="4" w:space="0" w:color="auto"/>
                    </w:tcBorders>
                    <w:vAlign w:val="center"/>
                  </w:tcPr>
                  <w:p w:rsidR="00B637B2" w:rsidRPr="00246008" w:rsidRDefault="008F04CF" w:rsidP="00B637B2">
                    <w:pPr>
                      <w:jc w:val="center"/>
                      <w:rPr>
                        <w:sz w:val="16"/>
                        <w:szCs w:val="16"/>
                      </w:rPr>
                    </w:pPr>
                    <w:r w:rsidRPr="00246008">
                      <w:rPr>
                        <w:rFonts w:hint="eastAsia"/>
                        <w:sz w:val="16"/>
                        <w:szCs w:val="16"/>
                      </w:rPr>
                      <w:t>计提比例</w:t>
                    </w:r>
                    <w:r w:rsidRPr="00246008">
                      <w:rPr>
                        <w:sz w:val="16"/>
                        <w:szCs w:val="16"/>
                      </w:rPr>
                      <w:t>(%)</w:t>
                    </w:r>
                  </w:p>
                </w:tc>
              </w:sdtContent>
            </w:sdt>
            <w:tc>
              <w:tcPr>
                <w:tcW w:w="411" w:type="pct"/>
                <w:vMerge/>
                <w:tcBorders>
                  <w:left w:val="single" w:sz="4" w:space="0" w:color="auto"/>
                  <w:bottom w:val="single" w:sz="4" w:space="0" w:color="auto"/>
                  <w:right w:val="single" w:sz="4" w:space="0" w:color="auto"/>
                </w:tcBorders>
              </w:tcPr>
              <w:p w:rsidR="00B637B2" w:rsidRPr="00246008" w:rsidRDefault="00B637B2" w:rsidP="00B637B2">
                <w:pPr>
                  <w:jc w:val="center"/>
                  <w:rPr>
                    <w:sz w:val="16"/>
                    <w:szCs w:val="16"/>
                  </w:rPr>
                </w:pPr>
              </w:p>
            </w:tc>
          </w:tr>
          <w:tr w:rsidR="00B637B2" w:rsidTr="00B637B2">
            <w:trPr>
              <w:cantSplit/>
            </w:trPr>
            <w:sdt>
              <w:sdtPr>
                <w:rPr>
                  <w:sz w:val="16"/>
                  <w:szCs w:val="16"/>
                </w:rPr>
                <w:tag w:val="_PLD_d8f2e8353bc54fe8b730d8cdf873f57c"/>
                <w:id w:val="-608811034"/>
                <w:lock w:val="sdtLocked"/>
              </w:sdtPr>
              <w:sdtContent>
                <w:tc>
                  <w:tcPr>
                    <w:tcW w:w="776" w:type="pct"/>
                    <w:tcBorders>
                      <w:top w:val="single" w:sz="4" w:space="0" w:color="auto"/>
                      <w:left w:val="single" w:sz="4" w:space="0" w:color="auto"/>
                      <w:bottom w:val="single" w:sz="4" w:space="0" w:color="auto"/>
                      <w:right w:val="single" w:sz="4" w:space="0" w:color="auto"/>
                    </w:tcBorders>
                  </w:tcPr>
                  <w:p w:rsidR="00B637B2" w:rsidRPr="00246008" w:rsidRDefault="008F04CF" w:rsidP="00B637B2">
                    <w:pPr>
                      <w:rPr>
                        <w:sz w:val="16"/>
                        <w:szCs w:val="16"/>
                      </w:rPr>
                    </w:pPr>
                    <w:r w:rsidRPr="00246008">
                      <w:rPr>
                        <w:rFonts w:hint="eastAsia"/>
                        <w:sz w:val="16"/>
                        <w:szCs w:val="16"/>
                      </w:rPr>
                      <w:t>按单项计提坏账准备</w:t>
                    </w:r>
                  </w:p>
                </w:tc>
              </w:sdtContent>
            </w:sdt>
            <w:tc>
              <w:tcPr>
                <w:tcW w:w="420" w:type="pct"/>
                <w:tcBorders>
                  <w:top w:val="single" w:sz="4" w:space="0" w:color="auto"/>
                  <w:left w:val="single" w:sz="4" w:space="0" w:color="auto"/>
                  <w:bottom w:val="single" w:sz="4" w:space="0" w:color="auto"/>
                  <w:right w:val="single" w:sz="4" w:space="0" w:color="auto"/>
                </w:tcBorders>
              </w:tcPr>
              <w:p w:rsidR="00B637B2" w:rsidRPr="00246008" w:rsidRDefault="00B637B2" w:rsidP="00B637B2">
                <w:pPr>
                  <w:jc w:val="right"/>
                  <w:rPr>
                    <w:sz w:val="16"/>
                    <w:szCs w:val="16"/>
                  </w:rPr>
                </w:pPr>
              </w:p>
            </w:tc>
            <w:tc>
              <w:tcPr>
                <w:tcW w:w="415" w:type="pct"/>
                <w:tcBorders>
                  <w:top w:val="single" w:sz="4" w:space="0" w:color="auto"/>
                  <w:left w:val="single" w:sz="4" w:space="0" w:color="auto"/>
                  <w:bottom w:val="single" w:sz="4" w:space="0" w:color="auto"/>
                  <w:right w:val="single" w:sz="4" w:space="0" w:color="auto"/>
                </w:tcBorders>
              </w:tcPr>
              <w:p w:rsidR="00B637B2" w:rsidRPr="00246008" w:rsidRDefault="00B637B2" w:rsidP="00B637B2">
                <w:pPr>
                  <w:jc w:val="right"/>
                  <w:rPr>
                    <w:sz w:val="16"/>
                    <w:szCs w:val="16"/>
                  </w:rPr>
                </w:pPr>
              </w:p>
            </w:tc>
            <w:tc>
              <w:tcPr>
                <w:tcW w:w="413" w:type="pct"/>
                <w:tcBorders>
                  <w:top w:val="single" w:sz="4" w:space="0" w:color="auto"/>
                  <w:left w:val="single" w:sz="4" w:space="0" w:color="auto"/>
                  <w:bottom w:val="single" w:sz="4" w:space="0" w:color="auto"/>
                  <w:right w:val="single" w:sz="4" w:space="0" w:color="auto"/>
                </w:tcBorders>
              </w:tcPr>
              <w:p w:rsidR="00B637B2" w:rsidRPr="00246008" w:rsidRDefault="00B637B2" w:rsidP="00B637B2">
                <w:pPr>
                  <w:jc w:val="right"/>
                  <w:rPr>
                    <w:sz w:val="16"/>
                    <w:szCs w:val="16"/>
                  </w:rPr>
                </w:pPr>
              </w:p>
            </w:tc>
            <w:tc>
              <w:tcPr>
                <w:tcW w:w="425" w:type="pct"/>
                <w:tcBorders>
                  <w:top w:val="single" w:sz="4" w:space="0" w:color="auto"/>
                  <w:left w:val="single" w:sz="4" w:space="0" w:color="auto"/>
                  <w:bottom w:val="single" w:sz="4" w:space="0" w:color="auto"/>
                  <w:right w:val="single" w:sz="4" w:space="0" w:color="auto"/>
                </w:tcBorders>
              </w:tcPr>
              <w:p w:rsidR="00B637B2" w:rsidRPr="00246008" w:rsidRDefault="00B637B2" w:rsidP="00B637B2">
                <w:pPr>
                  <w:jc w:val="right"/>
                  <w:rPr>
                    <w:sz w:val="16"/>
                    <w:szCs w:val="16"/>
                  </w:rPr>
                </w:pPr>
              </w:p>
            </w:tc>
            <w:tc>
              <w:tcPr>
                <w:tcW w:w="413" w:type="pct"/>
                <w:tcBorders>
                  <w:top w:val="single" w:sz="4" w:space="0" w:color="auto"/>
                  <w:left w:val="single" w:sz="4" w:space="0" w:color="auto"/>
                  <w:bottom w:val="single" w:sz="4" w:space="0" w:color="auto"/>
                  <w:right w:val="single" w:sz="4" w:space="0" w:color="auto"/>
                </w:tcBorders>
              </w:tcPr>
              <w:p w:rsidR="00B637B2" w:rsidRPr="00246008" w:rsidRDefault="00B637B2" w:rsidP="00B637B2">
                <w:pPr>
                  <w:jc w:val="right"/>
                  <w:rPr>
                    <w:sz w:val="16"/>
                    <w:szCs w:val="16"/>
                  </w:rPr>
                </w:pPr>
              </w:p>
            </w:tc>
            <w:tc>
              <w:tcPr>
                <w:tcW w:w="436" w:type="pct"/>
                <w:tcBorders>
                  <w:top w:val="single" w:sz="4" w:space="0" w:color="auto"/>
                  <w:left w:val="single" w:sz="4" w:space="0" w:color="auto"/>
                  <w:bottom w:val="single" w:sz="4" w:space="0" w:color="auto"/>
                  <w:right w:val="single" w:sz="4" w:space="0" w:color="auto"/>
                </w:tcBorders>
              </w:tcPr>
              <w:p w:rsidR="00B637B2" w:rsidRPr="00246008" w:rsidRDefault="00B637B2" w:rsidP="00B637B2">
                <w:pPr>
                  <w:jc w:val="right"/>
                  <w:rPr>
                    <w:sz w:val="16"/>
                    <w:szCs w:val="16"/>
                  </w:rPr>
                </w:pPr>
              </w:p>
            </w:tc>
            <w:tc>
              <w:tcPr>
                <w:tcW w:w="425" w:type="pct"/>
                <w:tcBorders>
                  <w:top w:val="single" w:sz="4" w:space="0" w:color="auto"/>
                  <w:left w:val="single" w:sz="4" w:space="0" w:color="auto"/>
                  <w:bottom w:val="single" w:sz="4" w:space="0" w:color="auto"/>
                  <w:right w:val="single" w:sz="4" w:space="0" w:color="auto"/>
                </w:tcBorders>
              </w:tcPr>
              <w:p w:rsidR="00B637B2" w:rsidRPr="00246008" w:rsidRDefault="00B637B2" w:rsidP="00B637B2">
                <w:pPr>
                  <w:jc w:val="right"/>
                  <w:rPr>
                    <w:sz w:val="16"/>
                    <w:szCs w:val="16"/>
                  </w:rPr>
                </w:pPr>
              </w:p>
            </w:tc>
            <w:tc>
              <w:tcPr>
                <w:tcW w:w="433" w:type="pct"/>
                <w:tcBorders>
                  <w:top w:val="single" w:sz="4" w:space="0" w:color="auto"/>
                  <w:left w:val="single" w:sz="4" w:space="0" w:color="auto"/>
                  <w:bottom w:val="single" w:sz="4" w:space="0" w:color="auto"/>
                  <w:right w:val="single" w:sz="4" w:space="0" w:color="auto"/>
                </w:tcBorders>
              </w:tcPr>
              <w:p w:rsidR="00B637B2" w:rsidRPr="00246008" w:rsidRDefault="00B637B2" w:rsidP="00B637B2">
                <w:pPr>
                  <w:jc w:val="right"/>
                  <w:rPr>
                    <w:sz w:val="16"/>
                    <w:szCs w:val="16"/>
                  </w:rPr>
                </w:pPr>
              </w:p>
            </w:tc>
            <w:tc>
              <w:tcPr>
                <w:tcW w:w="433" w:type="pct"/>
                <w:tcBorders>
                  <w:top w:val="single" w:sz="4" w:space="0" w:color="auto"/>
                  <w:left w:val="single" w:sz="4" w:space="0" w:color="auto"/>
                  <w:bottom w:val="single" w:sz="4" w:space="0" w:color="auto"/>
                  <w:right w:val="single" w:sz="4" w:space="0" w:color="auto"/>
                </w:tcBorders>
              </w:tcPr>
              <w:p w:rsidR="00B637B2" w:rsidRPr="00246008" w:rsidRDefault="00B637B2" w:rsidP="00B637B2">
                <w:pPr>
                  <w:jc w:val="right"/>
                  <w:rPr>
                    <w:sz w:val="16"/>
                    <w:szCs w:val="16"/>
                  </w:rPr>
                </w:pPr>
              </w:p>
            </w:tc>
            <w:tc>
              <w:tcPr>
                <w:tcW w:w="411" w:type="pct"/>
                <w:tcBorders>
                  <w:top w:val="single" w:sz="4" w:space="0" w:color="auto"/>
                  <w:left w:val="single" w:sz="4" w:space="0" w:color="auto"/>
                  <w:bottom w:val="single" w:sz="4" w:space="0" w:color="auto"/>
                  <w:right w:val="single" w:sz="4" w:space="0" w:color="auto"/>
                </w:tcBorders>
              </w:tcPr>
              <w:p w:rsidR="00B637B2" w:rsidRPr="00246008" w:rsidRDefault="00B637B2" w:rsidP="00B637B2">
                <w:pPr>
                  <w:jc w:val="right"/>
                  <w:rPr>
                    <w:sz w:val="16"/>
                    <w:szCs w:val="16"/>
                  </w:rPr>
                </w:pPr>
              </w:p>
            </w:tc>
          </w:tr>
          <w:tr w:rsidR="00B637B2" w:rsidTr="00B637B2">
            <w:trPr>
              <w:cantSplit/>
            </w:trPr>
            <w:sdt>
              <w:sdtPr>
                <w:rPr>
                  <w:sz w:val="16"/>
                  <w:szCs w:val="16"/>
                </w:rPr>
                <w:tag w:val="_PLD_8ec8b92b0ab24a78ae82ff991696133e"/>
                <w:id w:val="-1539506754"/>
                <w:lock w:val="sdtLocked"/>
              </w:sdtPr>
              <w:sdtContent>
                <w:tc>
                  <w:tcPr>
                    <w:tcW w:w="5000" w:type="pct"/>
                    <w:gridSpan w:val="11"/>
                    <w:tcBorders>
                      <w:top w:val="single" w:sz="4" w:space="0" w:color="auto"/>
                      <w:left w:val="single" w:sz="4" w:space="0" w:color="auto"/>
                      <w:bottom w:val="single" w:sz="4" w:space="0" w:color="auto"/>
                      <w:right w:val="single" w:sz="4" w:space="0" w:color="auto"/>
                    </w:tcBorders>
                  </w:tcPr>
                  <w:p w:rsidR="00B637B2" w:rsidRPr="00246008" w:rsidRDefault="008F04CF" w:rsidP="00B637B2">
                    <w:pPr>
                      <w:rPr>
                        <w:sz w:val="16"/>
                        <w:szCs w:val="16"/>
                      </w:rPr>
                    </w:pPr>
                    <w:r w:rsidRPr="00246008">
                      <w:rPr>
                        <w:rFonts w:hint="eastAsia"/>
                        <w:sz w:val="16"/>
                        <w:szCs w:val="16"/>
                      </w:rPr>
                      <w:t>其中：</w:t>
                    </w:r>
                  </w:p>
                </w:tc>
              </w:sdtContent>
            </w:sdt>
          </w:tr>
          <w:sdt>
            <w:sdtPr>
              <w:rPr>
                <w:rFonts w:asciiTheme="minorHAnsi" w:eastAsiaTheme="minorEastAsia" w:hAnsiTheme="minorHAnsi" w:cstheme="minorBidi"/>
                <w:kern w:val="2"/>
                <w:sz w:val="16"/>
                <w:szCs w:val="16"/>
              </w:rPr>
              <w:alias w:val="按单项计提坏账准备的应收账款明细"/>
              <w:tag w:val="_TUP_55ed2cba36cc42ad9f79258891365b58"/>
              <w:id w:val="-1931424304"/>
              <w:lock w:val="sdtLocked"/>
            </w:sdtPr>
            <w:sdtContent>
              <w:tr w:rsidR="00B637B2" w:rsidTr="00B637B2">
                <w:trPr>
                  <w:cantSplit/>
                </w:trPr>
                <w:sdt>
                  <w:sdtPr>
                    <w:rPr>
                      <w:rFonts w:asciiTheme="minorHAnsi" w:eastAsiaTheme="minorEastAsia" w:hAnsiTheme="minorHAnsi" w:cstheme="minorBidi"/>
                      <w:kern w:val="2"/>
                      <w:sz w:val="16"/>
                      <w:szCs w:val="16"/>
                    </w:rPr>
                    <w:alias w:val="按单项计提坏账准备的应收账款明细-类别"/>
                    <w:tag w:val="_GBC_d2aff18c0a9246d69b8b1f262666166e"/>
                    <w:id w:val="-713427384"/>
                    <w:lock w:val="sdtLocked"/>
                    <w:showingPlcHdr/>
                  </w:sdtPr>
                  <w:sdtEndPr>
                    <w:rPr>
                      <w:rFonts w:ascii="Calibri" w:eastAsia="宋体" w:hAnsi="Calibri" w:cs="Times New Roman"/>
                      <w:kern w:val="0"/>
                    </w:rPr>
                  </w:sdtEndPr>
                  <w:sdtContent>
                    <w:tc>
                      <w:tcPr>
                        <w:tcW w:w="776" w:type="pct"/>
                        <w:tcBorders>
                          <w:top w:val="single" w:sz="4" w:space="0" w:color="auto"/>
                          <w:left w:val="single" w:sz="4" w:space="0" w:color="auto"/>
                          <w:bottom w:val="single" w:sz="4" w:space="0" w:color="auto"/>
                          <w:right w:val="single" w:sz="4" w:space="0" w:color="auto"/>
                        </w:tcBorders>
                      </w:tcPr>
                      <w:p w:rsidR="00B637B2" w:rsidRPr="00246008" w:rsidRDefault="008F04CF" w:rsidP="00B637B2">
                        <w:pPr>
                          <w:rPr>
                            <w:color w:val="808080"/>
                            <w:sz w:val="16"/>
                            <w:szCs w:val="16"/>
                          </w:rPr>
                        </w:pPr>
                        <w:r w:rsidRPr="00246008">
                          <w:rPr>
                            <w:sz w:val="16"/>
                            <w:szCs w:val="16"/>
                          </w:rPr>
                          <w:t xml:space="preserve">     </w:t>
                        </w:r>
                      </w:p>
                    </w:tc>
                  </w:sdtContent>
                </w:sdt>
                <w:tc>
                  <w:tcPr>
                    <w:tcW w:w="420" w:type="pct"/>
                    <w:tcBorders>
                      <w:top w:val="single" w:sz="4" w:space="0" w:color="auto"/>
                      <w:left w:val="single" w:sz="4" w:space="0" w:color="auto"/>
                      <w:bottom w:val="single" w:sz="4" w:space="0" w:color="auto"/>
                      <w:right w:val="single" w:sz="4" w:space="0" w:color="auto"/>
                    </w:tcBorders>
                  </w:tcPr>
                  <w:p w:rsidR="00B637B2" w:rsidRPr="00246008" w:rsidRDefault="00B637B2" w:rsidP="00B637B2">
                    <w:pPr>
                      <w:jc w:val="right"/>
                      <w:rPr>
                        <w:sz w:val="16"/>
                        <w:szCs w:val="16"/>
                      </w:rPr>
                    </w:pPr>
                  </w:p>
                </w:tc>
                <w:tc>
                  <w:tcPr>
                    <w:tcW w:w="415" w:type="pct"/>
                    <w:tcBorders>
                      <w:top w:val="single" w:sz="4" w:space="0" w:color="auto"/>
                      <w:left w:val="single" w:sz="4" w:space="0" w:color="auto"/>
                      <w:bottom w:val="single" w:sz="4" w:space="0" w:color="auto"/>
                      <w:right w:val="single" w:sz="4" w:space="0" w:color="auto"/>
                    </w:tcBorders>
                  </w:tcPr>
                  <w:p w:rsidR="00B637B2" w:rsidRPr="00246008" w:rsidRDefault="00B637B2" w:rsidP="00B637B2">
                    <w:pPr>
                      <w:jc w:val="right"/>
                      <w:rPr>
                        <w:sz w:val="16"/>
                        <w:szCs w:val="16"/>
                      </w:rPr>
                    </w:pPr>
                  </w:p>
                </w:tc>
                <w:tc>
                  <w:tcPr>
                    <w:tcW w:w="413" w:type="pct"/>
                    <w:tcBorders>
                      <w:top w:val="single" w:sz="4" w:space="0" w:color="auto"/>
                      <w:left w:val="single" w:sz="4" w:space="0" w:color="auto"/>
                      <w:bottom w:val="single" w:sz="4" w:space="0" w:color="auto"/>
                      <w:right w:val="single" w:sz="4" w:space="0" w:color="auto"/>
                    </w:tcBorders>
                  </w:tcPr>
                  <w:p w:rsidR="00B637B2" w:rsidRPr="00246008" w:rsidRDefault="00B637B2" w:rsidP="00B637B2">
                    <w:pPr>
                      <w:jc w:val="right"/>
                      <w:rPr>
                        <w:sz w:val="16"/>
                        <w:szCs w:val="16"/>
                      </w:rPr>
                    </w:pPr>
                  </w:p>
                </w:tc>
                <w:tc>
                  <w:tcPr>
                    <w:tcW w:w="425" w:type="pct"/>
                    <w:tcBorders>
                      <w:top w:val="single" w:sz="4" w:space="0" w:color="auto"/>
                      <w:left w:val="single" w:sz="4" w:space="0" w:color="auto"/>
                      <w:bottom w:val="single" w:sz="4" w:space="0" w:color="auto"/>
                      <w:right w:val="single" w:sz="4" w:space="0" w:color="auto"/>
                    </w:tcBorders>
                  </w:tcPr>
                  <w:p w:rsidR="00B637B2" w:rsidRPr="00246008" w:rsidRDefault="00B637B2" w:rsidP="00B637B2">
                    <w:pPr>
                      <w:jc w:val="right"/>
                      <w:rPr>
                        <w:sz w:val="16"/>
                        <w:szCs w:val="16"/>
                      </w:rPr>
                    </w:pPr>
                  </w:p>
                </w:tc>
                <w:tc>
                  <w:tcPr>
                    <w:tcW w:w="413" w:type="pct"/>
                    <w:tcBorders>
                      <w:top w:val="single" w:sz="4" w:space="0" w:color="auto"/>
                      <w:left w:val="single" w:sz="4" w:space="0" w:color="auto"/>
                      <w:bottom w:val="single" w:sz="4" w:space="0" w:color="auto"/>
                      <w:right w:val="single" w:sz="4" w:space="0" w:color="auto"/>
                    </w:tcBorders>
                  </w:tcPr>
                  <w:p w:rsidR="00B637B2" w:rsidRPr="00246008" w:rsidRDefault="00B637B2" w:rsidP="00B637B2">
                    <w:pPr>
                      <w:jc w:val="right"/>
                      <w:rPr>
                        <w:sz w:val="16"/>
                        <w:szCs w:val="16"/>
                      </w:rPr>
                    </w:pPr>
                  </w:p>
                </w:tc>
                <w:tc>
                  <w:tcPr>
                    <w:tcW w:w="436" w:type="pct"/>
                    <w:tcBorders>
                      <w:top w:val="single" w:sz="4" w:space="0" w:color="auto"/>
                      <w:left w:val="single" w:sz="4" w:space="0" w:color="auto"/>
                      <w:bottom w:val="single" w:sz="4" w:space="0" w:color="auto"/>
                      <w:right w:val="single" w:sz="4" w:space="0" w:color="auto"/>
                    </w:tcBorders>
                  </w:tcPr>
                  <w:p w:rsidR="00B637B2" w:rsidRPr="00246008" w:rsidRDefault="00B637B2" w:rsidP="00B637B2">
                    <w:pPr>
                      <w:jc w:val="right"/>
                      <w:rPr>
                        <w:sz w:val="16"/>
                        <w:szCs w:val="16"/>
                      </w:rPr>
                    </w:pPr>
                  </w:p>
                </w:tc>
                <w:tc>
                  <w:tcPr>
                    <w:tcW w:w="425" w:type="pct"/>
                    <w:tcBorders>
                      <w:top w:val="single" w:sz="4" w:space="0" w:color="auto"/>
                      <w:left w:val="single" w:sz="4" w:space="0" w:color="auto"/>
                      <w:bottom w:val="single" w:sz="4" w:space="0" w:color="auto"/>
                      <w:right w:val="single" w:sz="4" w:space="0" w:color="auto"/>
                    </w:tcBorders>
                  </w:tcPr>
                  <w:p w:rsidR="00B637B2" w:rsidRPr="00246008" w:rsidRDefault="00B637B2" w:rsidP="00B637B2">
                    <w:pPr>
                      <w:jc w:val="right"/>
                      <w:rPr>
                        <w:sz w:val="16"/>
                        <w:szCs w:val="16"/>
                      </w:rPr>
                    </w:pPr>
                  </w:p>
                </w:tc>
                <w:tc>
                  <w:tcPr>
                    <w:tcW w:w="433" w:type="pct"/>
                    <w:tcBorders>
                      <w:top w:val="single" w:sz="4" w:space="0" w:color="auto"/>
                      <w:left w:val="single" w:sz="4" w:space="0" w:color="auto"/>
                      <w:bottom w:val="single" w:sz="4" w:space="0" w:color="auto"/>
                      <w:right w:val="single" w:sz="4" w:space="0" w:color="auto"/>
                    </w:tcBorders>
                  </w:tcPr>
                  <w:p w:rsidR="00B637B2" w:rsidRPr="00246008" w:rsidRDefault="00B637B2" w:rsidP="00B637B2">
                    <w:pPr>
                      <w:jc w:val="right"/>
                      <w:rPr>
                        <w:sz w:val="16"/>
                        <w:szCs w:val="16"/>
                      </w:rPr>
                    </w:pPr>
                  </w:p>
                </w:tc>
                <w:tc>
                  <w:tcPr>
                    <w:tcW w:w="433" w:type="pct"/>
                    <w:tcBorders>
                      <w:top w:val="single" w:sz="4" w:space="0" w:color="auto"/>
                      <w:left w:val="single" w:sz="4" w:space="0" w:color="auto"/>
                      <w:bottom w:val="single" w:sz="4" w:space="0" w:color="auto"/>
                      <w:right w:val="single" w:sz="4" w:space="0" w:color="auto"/>
                    </w:tcBorders>
                  </w:tcPr>
                  <w:p w:rsidR="00B637B2" w:rsidRPr="00246008" w:rsidRDefault="00B637B2" w:rsidP="00B637B2">
                    <w:pPr>
                      <w:jc w:val="right"/>
                      <w:rPr>
                        <w:sz w:val="16"/>
                        <w:szCs w:val="16"/>
                      </w:rPr>
                    </w:pPr>
                  </w:p>
                </w:tc>
                <w:tc>
                  <w:tcPr>
                    <w:tcW w:w="411" w:type="pct"/>
                    <w:tcBorders>
                      <w:top w:val="single" w:sz="4" w:space="0" w:color="auto"/>
                      <w:left w:val="single" w:sz="4" w:space="0" w:color="auto"/>
                      <w:bottom w:val="single" w:sz="4" w:space="0" w:color="auto"/>
                      <w:right w:val="single" w:sz="4" w:space="0" w:color="auto"/>
                    </w:tcBorders>
                  </w:tcPr>
                  <w:p w:rsidR="00B637B2" w:rsidRPr="00246008" w:rsidRDefault="00B637B2" w:rsidP="00B637B2">
                    <w:pPr>
                      <w:jc w:val="right"/>
                      <w:rPr>
                        <w:sz w:val="16"/>
                        <w:szCs w:val="16"/>
                      </w:rPr>
                    </w:pPr>
                  </w:p>
                </w:tc>
              </w:tr>
            </w:sdtContent>
          </w:sdt>
          <w:sdt>
            <w:sdtPr>
              <w:rPr>
                <w:rFonts w:asciiTheme="minorHAnsi" w:eastAsiaTheme="minorEastAsia" w:hAnsiTheme="minorHAnsi" w:cstheme="minorBidi"/>
                <w:kern w:val="2"/>
                <w:sz w:val="16"/>
                <w:szCs w:val="16"/>
              </w:rPr>
              <w:alias w:val="按单项计提坏账准备的应收账款明细"/>
              <w:tag w:val="_TUP_55ed2cba36cc42ad9f79258891365b58"/>
              <w:id w:val="-1497416247"/>
              <w:lock w:val="sdtLocked"/>
            </w:sdtPr>
            <w:sdtContent>
              <w:tr w:rsidR="00B637B2" w:rsidTr="00B637B2">
                <w:trPr>
                  <w:cantSplit/>
                </w:trPr>
                <w:sdt>
                  <w:sdtPr>
                    <w:rPr>
                      <w:rFonts w:asciiTheme="minorHAnsi" w:eastAsiaTheme="minorEastAsia" w:hAnsiTheme="minorHAnsi" w:cstheme="minorBidi"/>
                      <w:kern w:val="2"/>
                      <w:sz w:val="16"/>
                      <w:szCs w:val="16"/>
                    </w:rPr>
                    <w:alias w:val="按单项计提坏账准备的应收账款明细-类别"/>
                    <w:tag w:val="_GBC_d2aff18c0a9246d69b8b1f262666166e"/>
                    <w:id w:val="44798879"/>
                    <w:lock w:val="sdtLocked"/>
                    <w:showingPlcHdr/>
                  </w:sdtPr>
                  <w:sdtEndPr>
                    <w:rPr>
                      <w:rFonts w:ascii="Calibri" w:eastAsia="宋体" w:hAnsi="Calibri" w:cs="Times New Roman"/>
                      <w:kern w:val="0"/>
                    </w:rPr>
                  </w:sdtEndPr>
                  <w:sdtContent>
                    <w:tc>
                      <w:tcPr>
                        <w:tcW w:w="776" w:type="pct"/>
                        <w:tcBorders>
                          <w:top w:val="single" w:sz="4" w:space="0" w:color="auto"/>
                          <w:left w:val="single" w:sz="4" w:space="0" w:color="auto"/>
                          <w:bottom w:val="single" w:sz="4" w:space="0" w:color="auto"/>
                          <w:right w:val="single" w:sz="4" w:space="0" w:color="auto"/>
                        </w:tcBorders>
                      </w:tcPr>
                      <w:p w:rsidR="00B637B2" w:rsidRPr="00246008" w:rsidRDefault="008F04CF" w:rsidP="00B637B2">
                        <w:pPr>
                          <w:rPr>
                            <w:color w:val="808080"/>
                            <w:sz w:val="16"/>
                            <w:szCs w:val="16"/>
                          </w:rPr>
                        </w:pPr>
                        <w:r w:rsidRPr="00246008">
                          <w:rPr>
                            <w:rFonts w:hint="eastAsia"/>
                            <w:sz w:val="16"/>
                            <w:szCs w:val="16"/>
                          </w:rPr>
                          <w:t xml:space="preserve">　</w:t>
                        </w:r>
                      </w:p>
                    </w:tc>
                  </w:sdtContent>
                </w:sdt>
                <w:tc>
                  <w:tcPr>
                    <w:tcW w:w="420" w:type="pct"/>
                    <w:tcBorders>
                      <w:top w:val="single" w:sz="4" w:space="0" w:color="auto"/>
                      <w:left w:val="single" w:sz="4" w:space="0" w:color="auto"/>
                      <w:bottom w:val="single" w:sz="4" w:space="0" w:color="auto"/>
                      <w:right w:val="single" w:sz="4" w:space="0" w:color="auto"/>
                    </w:tcBorders>
                  </w:tcPr>
                  <w:p w:rsidR="00B637B2" w:rsidRPr="00246008" w:rsidRDefault="00B637B2" w:rsidP="00B637B2">
                    <w:pPr>
                      <w:jc w:val="right"/>
                      <w:rPr>
                        <w:sz w:val="16"/>
                        <w:szCs w:val="16"/>
                      </w:rPr>
                    </w:pPr>
                  </w:p>
                </w:tc>
                <w:tc>
                  <w:tcPr>
                    <w:tcW w:w="415" w:type="pct"/>
                    <w:tcBorders>
                      <w:top w:val="single" w:sz="4" w:space="0" w:color="auto"/>
                      <w:left w:val="single" w:sz="4" w:space="0" w:color="auto"/>
                      <w:bottom w:val="single" w:sz="4" w:space="0" w:color="auto"/>
                      <w:right w:val="single" w:sz="4" w:space="0" w:color="auto"/>
                    </w:tcBorders>
                  </w:tcPr>
                  <w:p w:rsidR="00B637B2" w:rsidRPr="00246008" w:rsidRDefault="00B637B2" w:rsidP="00B637B2">
                    <w:pPr>
                      <w:jc w:val="right"/>
                      <w:rPr>
                        <w:sz w:val="16"/>
                        <w:szCs w:val="16"/>
                      </w:rPr>
                    </w:pPr>
                  </w:p>
                </w:tc>
                <w:tc>
                  <w:tcPr>
                    <w:tcW w:w="413" w:type="pct"/>
                    <w:tcBorders>
                      <w:top w:val="single" w:sz="4" w:space="0" w:color="auto"/>
                      <w:left w:val="single" w:sz="4" w:space="0" w:color="auto"/>
                      <w:bottom w:val="single" w:sz="4" w:space="0" w:color="auto"/>
                      <w:right w:val="single" w:sz="4" w:space="0" w:color="auto"/>
                    </w:tcBorders>
                  </w:tcPr>
                  <w:p w:rsidR="00B637B2" w:rsidRPr="00246008" w:rsidRDefault="00B637B2" w:rsidP="00B637B2">
                    <w:pPr>
                      <w:jc w:val="right"/>
                      <w:rPr>
                        <w:sz w:val="16"/>
                        <w:szCs w:val="16"/>
                      </w:rPr>
                    </w:pPr>
                  </w:p>
                </w:tc>
                <w:tc>
                  <w:tcPr>
                    <w:tcW w:w="425" w:type="pct"/>
                    <w:tcBorders>
                      <w:top w:val="single" w:sz="4" w:space="0" w:color="auto"/>
                      <w:left w:val="single" w:sz="4" w:space="0" w:color="auto"/>
                      <w:bottom w:val="single" w:sz="4" w:space="0" w:color="auto"/>
                      <w:right w:val="single" w:sz="4" w:space="0" w:color="auto"/>
                    </w:tcBorders>
                  </w:tcPr>
                  <w:p w:rsidR="00B637B2" w:rsidRPr="00246008" w:rsidRDefault="00B637B2" w:rsidP="00B637B2">
                    <w:pPr>
                      <w:jc w:val="right"/>
                      <w:rPr>
                        <w:sz w:val="16"/>
                        <w:szCs w:val="16"/>
                      </w:rPr>
                    </w:pPr>
                  </w:p>
                </w:tc>
                <w:tc>
                  <w:tcPr>
                    <w:tcW w:w="413" w:type="pct"/>
                    <w:tcBorders>
                      <w:top w:val="single" w:sz="4" w:space="0" w:color="auto"/>
                      <w:left w:val="single" w:sz="4" w:space="0" w:color="auto"/>
                      <w:bottom w:val="single" w:sz="4" w:space="0" w:color="auto"/>
                      <w:right w:val="single" w:sz="4" w:space="0" w:color="auto"/>
                    </w:tcBorders>
                  </w:tcPr>
                  <w:p w:rsidR="00B637B2" w:rsidRPr="00246008" w:rsidRDefault="00B637B2" w:rsidP="00B637B2">
                    <w:pPr>
                      <w:jc w:val="right"/>
                      <w:rPr>
                        <w:sz w:val="16"/>
                        <w:szCs w:val="16"/>
                      </w:rPr>
                    </w:pPr>
                  </w:p>
                </w:tc>
                <w:tc>
                  <w:tcPr>
                    <w:tcW w:w="436" w:type="pct"/>
                    <w:tcBorders>
                      <w:top w:val="single" w:sz="4" w:space="0" w:color="auto"/>
                      <w:left w:val="single" w:sz="4" w:space="0" w:color="auto"/>
                      <w:bottom w:val="single" w:sz="4" w:space="0" w:color="auto"/>
                      <w:right w:val="single" w:sz="4" w:space="0" w:color="auto"/>
                    </w:tcBorders>
                  </w:tcPr>
                  <w:p w:rsidR="00B637B2" w:rsidRPr="00246008" w:rsidRDefault="00B637B2" w:rsidP="00B637B2">
                    <w:pPr>
                      <w:jc w:val="right"/>
                      <w:rPr>
                        <w:sz w:val="16"/>
                        <w:szCs w:val="16"/>
                      </w:rPr>
                    </w:pPr>
                  </w:p>
                </w:tc>
                <w:tc>
                  <w:tcPr>
                    <w:tcW w:w="425" w:type="pct"/>
                    <w:tcBorders>
                      <w:top w:val="single" w:sz="4" w:space="0" w:color="auto"/>
                      <w:left w:val="single" w:sz="4" w:space="0" w:color="auto"/>
                      <w:bottom w:val="single" w:sz="4" w:space="0" w:color="auto"/>
                      <w:right w:val="single" w:sz="4" w:space="0" w:color="auto"/>
                    </w:tcBorders>
                  </w:tcPr>
                  <w:p w:rsidR="00B637B2" w:rsidRPr="00246008" w:rsidRDefault="00B637B2" w:rsidP="00B637B2">
                    <w:pPr>
                      <w:jc w:val="right"/>
                      <w:rPr>
                        <w:sz w:val="16"/>
                        <w:szCs w:val="16"/>
                      </w:rPr>
                    </w:pPr>
                  </w:p>
                </w:tc>
                <w:tc>
                  <w:tcPr>
                    <w:tcW w:w="433" w:type="pct"/>
                    <w:tcBorders>
                      <w:top w:val="single" w:sz="4" w:space="0" w:color="auto"/>
                      <w:left w:val="single" w:sz="4" w:space="0" w:color="auto"/>
                      <w:bottom w:val="single" w:sz="4" w:space="0" w:color="auto"/>
                      <w:right w:val="single" w:sz="4" w:space="0" w:color="auto"/>
                    </w:tcBorders>
                  </w:tcPr>
                  <w:p w:rsidR="00B637B2" w:rsidRPr="00246008" w:rsidRDefault="00B637B2" w:rsidP="00B637B2">
                    <w:pPr>
                      <w:jc w:val="right"/>
                      <w:rPr>
                        <w:sz w:val="16"/>
                        <w:szCs w:val="16"/>
                      </w:rPr>
                    </w:pPr>
                  </w:p>
                </w:tc>
                <w:tc>
                  <w:tcPr>
                    <w:tcW w:w="433" w:type="pct"/>
                    <w:tcBorders>
                      <w:top w:val="single" w:sz="4" w:space="0" w:color="auto"/>
                      <w:left w:val="single" w:sz="4" w:space="0" w:color="auto"/>
                      <w:bottom w:val="single" w:sz="4" w:space="0" w:color="auto"/>
                      <w:right w:val="single" w:sz="4" w:space="0" w:color="auto"/>
                    </w:tcBorders>
                  </w:tcPr>
                  <w:p w:rsidR="00B637B2" w:rsidRPr="00246008" w:rsidRDefault="00B637B2" w:rsidP="00B637B2">
                    <w:pPr>
                      <w:jc w:val="right"/>
                      <w:rPr>
                        <w:sz w:val="16"/>
                        <w:szCs w:val="16"/>
                      </w:rPr>
                    </w:pPr>
                  </w:p>
                </w:tc>
                <w:tc>
                  <w:tcPr>
                    <w:tcW w:w="411" w:type="pct"/>
                    <w:tcBorders>
                      <w:top w:val="single" w:sz="4" w:space="0" w:color="auto"/>
                      <w:left w:val="single" w:sz="4" w:space="0" w:color="auto"/>
                      <w:bottom w:val="single" w:sz="4" w:space="0" w:color="auto"/>
                      <w:right w:val="single" w:sz="4" w:space="0" w:color="auto"/>
                    </w:tcBorders>
                  </w:tcPr>
                  <w:p w:rsidR="00B637B2" w:rsidRPr="00246008" w:rsidRDefault="00B637B2" w:rsidP="00B637B2">
                    <w:pPr>
                      <w:jc w:val="right"/>
                      <w:rPr>
                        <w:sz w:val="16"/>
                        <w:szCs w:val="16"/>
                      </w:rPr>
                    </w:pPr>
                  </w:p>
                </w:tc>
              </w:tr>
            </w:sdtContent>
          </w:sdt>
          <w:tr w:rsidR="00B637B2" w:rsidTr="00B637B2">
            <w:trPr>
              <w:cantSplit/>
            </w:trPr>
            <w:sdt>
              <w:sdtPr>
                <w:rPr>
                  <w:sz w:val="16"/>
                  <w:szCs w:val="16"/>
                </w:rPr>
                <w:tag w:val="_PLD_c2fb108392ea494fbb3dda9bd8528dd0"/>
                <w:id w:val="-1855417338"/>
                <w:lock w:val="sdtLocked"/>
              </w:sdtPr>
              <w:sdtContent>
                <w:tc>
                  <w:tcPr>
                    <w:tcW w:w="776" w:type="pct"/>
                    <w:tcBorders>
                      <w:top w:val="single" w:sz="4" w:space="0" w:color="auto"/>
                      <w:left w:val="single" w:sz="4" w:space="0" w:color="auto"/>
                      <w:bottom w:val="single" w:sz="4" w:space="0" w:color="auto"/>
                      <w:right w:val="single" w:sz="4" w:space="0" w:color="auto"/>
                    </w:tcBorders>
                  </w:tcPr>
                  <w:p w:rsidR="00B637B2" w:rsidRPr="00246008" w:rsidRDefault="008F04CF" w:rsidP="00B637B2">
                    <w:pPr>
                      <w:rPr>
                        <w:sz w:val="16"/>
                        <w:szCs w:val="16"/>
                      </w:rPr>
                    </w:pPr>
                    <w:r w:rsidRPr="00246008">
                      <w:rPr>
                        <w:rFonts w:hint="eastAsia"/>
                        <w:sz w:val="16"/>
                        <w:szCs w:val="16"/>
                      </w:rPr>
                      <w:t>按组合计提坏账准备</w:t>
                    </w:r>
                  </w:p>
                </w:tc>
              </w:sdtContent>
            </w:sdt>
            <w:tc>
              <w:tcPr>
                <w:tcW w:w="420" w:type="pct"/>
                <w:tcBorders>
                  <w:top w:val="single" w:sz="4" w:space="0" w:color="auto"/>
                  <w:left w:val="single" w:sz="4" w:space="0" w:color="auto"/>
                  <w:bottom w:val="single" w:sz="4" w:space="0" w:color="auto"/>
                  <w:right w:val="single" w:sz="4" w:space="0" w:color="auto"/>
                </w:tcBorders>
              </w:tcPr>
              <w:p w:rsidR="00B637B2" w:rsidRPr="00246008" w:rsidRDefault="008F04CF" w:rsidP="00B637B2">
                <w:pPr>
                  <w:jc w:val="right"/>
                  <w:rPr>
                    <w:sz w:val="16"/>
                    <w:szCs w:val="16"/>
                  </w:rPr>
                </w:pPr>
                <w:r w:rsidRPr="00246008">
                  <w:rPr>
                    <w:sz w:val="16"/>
                    <w:szCs w:val="16"/>
                  </w:rPr>
                  <w:t>794,981,950</w:t>
                </w:r>
              </w:p>
            </w:tc>
            <w:tc>
              <w:tcPr>
                <w:tcW w:w="415" w:type="pct"/>
                <w:tcBorders>
                  <w:top w:val="single" w:sz="4" w:space="0" w:color="auto"/>
                  <w:left w:val="single" w:sz="4" w:space="0" w:color="auto"/>
                  <w:bottom w:val="single" w:sz="4" w:space="0" w:color="auto"/>
                  <w:right w:val="single" w:sz="4" w:space="0" w:color="auto"/>
                </w:tcBorders>
              </w:tcPr>
              <w:p w:rsidR="00B637B2" w:rsidRPr="00246008" w:rsidRDefault="008F04CF" w:rsidP="00B637B2">
                <w:pPr>
                  <w:jc w:val="right"/>
                  <w:rPr>
                    <w:sz w:val="16"/>
                    <w:szCs w:val="16"/>
                  </w:rPr>
                </w:pPr>
                <w:r w:rsidRPr="00246008">
                  <w:rPr>
                    <w:sz w:val="16"/>
                    <w:szCs w:val="16"/>
                  </w:rPr>
                  <w:t>100</w:t>
                </w:r>
              </w:p>
            </w:tc>
            <w:tc>
              <w:tcPr>
                <w:tcW w:w="413" w:type="pct"/>
                <w:tcBorders>
                  <w:top w:val="single" w:sz="4" w:space="0" w:color="auto"/>
                  <w:left w:val="single" w:sz="4" w:space="0" w:color="auto"/>
                  <w:bottom w:val="single" w:sz="4" w:space="0" w:color="auto"/>
                  <w:right w:val="single" w:sz="4" w:space="0" w:color="auto"/>
                </w:tcBorders>
              </w:tcPr>
              <w:p w:rsidR="00B637B2" w:rsidRPr="00246008" w:rsidRDefault="008F04CF" w:rsidP="00B637B2">
                <w:pPr>
                  <w:jc w:val="right"/>
                  <w:rPr>
                    <w:sz w:val="16"/>
                    <w:szCs w:val="16"/>
                  </w:rPr>
                </w:pPr>
                <w:r w:rsidRPr="00246008">
                  <w:rPr>
                    <w:sz w:val="16"/>
                    <w:szCs w:val="16"/>
                  </w:rPr>
                  <w:t>271,977,838</w:t>
                </w:r>
              </w:p>
            </w:tc>
            <w:tc>
              <w:tcPr>
                <w:tcW w:w="425" w:type="pct"/>
                <w:tcBorders>
                  <w:top w:val="single" w:sz="4" w:space="0" w:color="auto"/>
                  <w:left w:val="single" w:sz="4" w:space="0" w:color="auto"/>
                  <w:bottom w:val="single" w:sz="4" w:space="0" w:color="auto"/>
                  <w:right w:val="single" w:sz="4" w:space="0" w:color="auto"/>
                </w:tcBorders>
              </w:tcPr>
              <w:p w:rsidR="00B637B2" w:rsidRPr="00246008" w:rsidRDefault="008F04CF" w:rsidP="00B637B2">
                <w:pPr>
                  <w:jc w:val="right"/>
                  <w:rPr>
                    <w:sz w:val="16"/>
                    <w:szCs w:val="16"/>
                  </w:rPr>
                </w:pPr>
                <w:r w:rsidRPr="00246008">
                  <w:rPr>
                    <w:sz w:val="16"/>
                    <w:szCs w:val="16"/>
                  </w:rPr>
                  <w:t>34</w:t>
                </w:r>
              </w:p>
            </w:tc>
            <w:tc>
              <w:tcPr>
                <w:tcW w:w="413" w:type="pct"/>
                <w:tcBorders>
                  <w:top w:val="single" w:sz="4" w:space="0" w:color="auto"/>
                  <w:left w:val="single" w:sz="4" w:space="0" w:color="auto"/>
                  <w:bottom w:val="single" w:sz="4" w:space="0" w:color="auto"/>
                  <w:right w:val="single" w:sz="4" w:space="0" w:color="auto"/>
                </w:tcBorders>
              </w:tcPr>
              <w:p w:rsidR="00B637B2" w:rsidRPr="00246008" w:rsidRDefault="008F04CF" w:rsidP="00B637B2">
                <w:pPr>
                  <w:jc w:val="right"/>
                  <w:rPr>
                    <w:sz w:val="16"/>
                    <w:szCs w:val="16"/>
                  </w:rPr>
                </w:pPr>
                <w:r w:rsidRPr="00246008">
                  <w:rPr>
                    <w:sz w:val="16"/>
                    <w:szCs w:val="16"/>
                  </w:rPr>
                  <w:t>523,004,112</w:t>
                </w:r>
              </w:p>
            </w:tc>
            <w:tc>
              <w:tcPr>
                <w:tcW w:w="436" w:type="pct"/>
                <w:tcBorders>
                  <w:top w:val="single" w:sz="4" w:space="0" w:color="auto"/>
                  <w:left w:val="single" w:sz="4" w:space="0" w:color="auto"/>
                  <w:bottom w:val="single" w:sz="4" w:space="0" w:color="auto"/>
                  <w:right w:val="single" w:sz="4" w:space="0" w:color="auto"/>
                </w:tcBorders>
              </w:tcPr>
              <w:p w:rsidR="00B637B2" w:rsidRPr="00246008" w:rsidRDefault="008F04CF" w:rsidP="00B637B2">
                <w:pPr>
                  <w:jc w:val="right"/>
                  <w:rPr>
                    <w:sz w:val="16"/>
                    <w:szCs w:val="16"/>
                  </w:rPr>
                </w:pPr>
                <w:r w:rsidRPr="00246008">
                  <w:rPr>
                    <w:sz w:val="16"/>
                    <w:szCs w:val="16"/>
                  </w:rPr>
                  <w:t>799,856,993</w:t>
                </w:r>
              </w:p>
            </w:tc>
            <w:tc>
              <w:tcPr>
                <w:tcW w:w="425" w:type="pct"/>
                <w:tcBorders>
                  <w:top w:val="single" w:sz="4" w:space="0" w:color="auto"/>
                  <w:left w:val="single" w:sz="4" w:space="0" w:color="auto"/>
                  <w:bottom w:val="single" w:sz="4" w:space="0" w:color="auto"/>
                  <w:right w:val="single" w:sz="4" w:space="0" w:color="auto"/>
                </w:tcBorders>
              </w:tcPr>
              <w:p w:rsidR="00B637B2" w:rsidRPr="00246008" w:rsidRDefault="008F04CF" w:rsidP="00B637B2">
                <w:pPr>
                  <w:jc w:val="right"/>
                  <w:rPr>
                    <w:sz w:val="16"/>
                    <w:szCs w:val="16"/>
                  </w:rPr>
                </w:pPr>
                <w:r w:rsidRPr="00246008">
                  <w:rPr>
                    <w:sz w:val="16"/>
                    <w:szCs w:val="16"/>
                  </w:rPr>
                  <w:t>100</w:t>
                </w:r>
              </w:p>
            </w:tc>
            <w:tc>
              <w:tcPr>
                <w:tcW w:w="433" w:type="pct"/>
                <w:tcBorders>
                  <w:top w:val="single" w:sz="4" w:space="0" w:color="auto"/>
                  <w:left w:val="single" w:sz="4" w:space="0" w:color="auto"/>
                  <w:bottom w:val="single" w:sz="4" w:space="0" w:color="auto"/>
                  <w:right w:val="single" w:sz="4" w:space="0" w:color="auto"/>
                </w:tcBorders>
              </w:tcPr>
              <w:p w:rsidR="00B637B2" w:rsidRPr="00246008" w:rsidRDefault="008F04CF" w:rsidP="00B637B2">
                <w:pPr>
                  <w:jc w:val="right"/>
                  <w:rPr>
                    <w:sz w:val="16"/>
                    <w:szCs w:val="16"/>
                  </w:rPr>
                </w:pPr>
                <w:r w:rsidRPr="00246008">
                  <w:rPr>
                    <w:sz w:val="16"/>
                    <w:szCs w:val="16"/>
                  </w:rPr>
                  <w:t>242,828,311</w:t>
                </w:r>
              </w:p>
            </w:tc>
            <w:tc>
              <w:tcPr>
                <w:tcW w:w="433" w:type="pct"/>
                <w:tcBorders>
                  <w:top w:val="single" w:sz="4" w:space="0" w:color="auto"/>
                  <w:left w:val="single" w:sz="4" w:space="0" w:color="auto"/>
                  <w:bottom w:val="single" w:sz="4" w:space="0" w:color="auto"/>
                  <w:right w:val="single" w:sz="4" w:space="0" w:color="auto"/>
                </w:tcBorders>
              </w:tcPr>
              <w:p w:rsidR="00B637B2" w:rsidRPr="00246008" w:rsidRDefault="008F04CF" w:rsidP="00B637B2">
                <w:pPr>
                  <w:jc w:val="right"/>
                  <w:rPr>
                    <w:sz w:val="16"/>
                    <w:szCs w:val="16"/>
                  </w:rPr>
                </w:pPr>
                <w:r w:rsidRPr="00246008">
                  <w:rPr>
                    <w:sz w:val="16"/>
                    <w:szCs w:val="16"/>
                  </w:rPr>
                  <w:t>30</w:t>
                </w:r>
              </w:p>
            </w:tc>
            <w:tc>
              <w:tcPr>
                <w:tcW w:w="411" w:type="pct"/>
                <w:tcBorders>
                  <w:top w:val="single" w:sz="4" w:space="0" w:color="auto"/>
                  <w:left w:val="single" w:sz="4" w:space="0" w:color="auto"/>
                  <w:bottom w:val="single" w:sz="4" w:space="0" w:color="auto"/>
                  <w:right w:val="single" w:sz="4" w:space="0" w:color="auto"/>
                </w:tcBorders>
              </w:tcPr>
              <w:p w:rsidR="00B637B2" w:rsidRPr="00246008" w:rsidRDefault="008F04CF" w:rsidP="00B637B2">
                <w:pPr>
                  <w:jc w:val="right"/>
                  <w:rPr>
                    <w:sz w:val="16"/>
                    <w:szCs w:val="16"/>
                  </w:rPr>
                </w:pPr>
                <w:r w:rsidRPr="00246008">
                  <w:rPr>
                    <w:sz w:val="16"/>
                    <w:szCs w:val="16"/>
                  </w:rPr>
                  <w:t>557,028,682</w:t>
                </w:r>
              </w:p>
            </w:tc>
          </w:tr>
          <w:tr w:rsidR="00B637B2" w:rsidTr="00B637B2">
            <w:trPr>
              <w:cantSplit/>
            </w:trPr>
            <w:sdt>
              <w:sdtPr>
                <w:rPr>
                  <w:sz w:val="16"/>
                  <w:szCs w:val="16"/>
                </w:rPr>
                <w:tag w:val="_PLD_bd68cdc38a0e426ea1ec99be844140b3"/>
                <w:id w:val="-39433784"/>
                <w:lock w:val="sdtLocked"/>
              </w:sdtPr>
              <w:sdtContent>
                <w:tc>
                  <w:tcPr>
                    <w:tcW w:w="5000" w:type="pct"/>
                    <w:gridSpan w:val="11"/>
                    <w:tcBorders>
                      <w:top w:val="single" w:sz="4" w:space="0" w:color="auto"/>
                      <w:left w:val="single" w:sz="4" w:space="0" w:color="auto"/>
                      <w:bottom w:val="single" w:sz="4" w:space="0" w:color="auto"/>
                      <w:right w:val="single" w:sz="4" w:space="0" w:color="auto"/>
                    </w:tcBorders>
                  </w:tcPr>
                  <w:p w:rsidR="00B637B2" w:rsidRPr="00246008" w:rsidRDefault="008F04CF" w:rsidP="00B637B2">
                    <w:pPr>
                      <w:rPr>
                        <w:sz w:val="16"/>
                        <w:szCs w:val="16"/>
                      </w:rPr>
                    </w:pPr>
                    <w:r w:rsidRPr="00246008">
                      <w:rPr>
                        <w:rFonts w:hint="eastAsia"/>
                        <w:sz w:val="16"/>
                        <w:szCs w:val="16"/>
                      </w:rPr>
                      <w:t>其中：</w:t>
                    </w:r>
                  </w:p>
                </w:tc>
              </w:sdtContent>
            </w:sdt>
          </w:tr>
          <w:sdt>
            <w:sdtPr>
              <w:rPr>
                <w:rFonts w:asciiTheme="minorHAnsi" w:eastAsiaTheme="minorEastAsia" w:hAnsiTheme="minorHAnsi" w:cstheme="minorBidi"/>
                <w:kern w:val="2"/>
                <w:sz w:val="16"/>
                <w:szCs w:val="16"/>
              </w:rPr>
              <w:alias w:val="按组合计提坏账准备的应收账款明细"/>
              <w:tag w:val="_TUP_d12105eecf1f43bb9d549b5dd7af65bd"/>
              <w:id w:val="218016134"/>
              <w:lock w:val="sdtLocked"/>
            </w:sdtPr>
            <w:sdtContent>
              <w:tr w:rsidR="00B637B2" w:rsidTr="00B637B2">
                <w:trPr>
                  <w:cantSplit/>
                </w:trPr>
                <w:sdt>
                  <w:sdtPr>
                    <w:rPr>
                      <w:rFonts w:asciiTheme="minorHAnsi" w:eastAsiaTheme="minorEastAsia" w:hAnsiTheme="minorHAnsi" w:cstheme="minorBidi"/>
                      <w:kern w:val="2"/>
                      <w:sz w:val="16"/>
                      <w:szCs w:val="16"/>
                    </w:rPr>
                    <w:alias w:val="按组合计提坏账准备的应收账款明细-组合名称"/>
                    <w:tag w:val="_GBC_1d1150cff5254d829cba03da56c2e941"/>
                    <w:id w:val="-1056005400"/>
                    <w:lock w:val="sdtLocked"/>
                  </w:sdtPr>
                  <w:sdtEndPr>
                    <w:rPr>
                      <w:rFonts w:ascii="Calibri" w:eastAsia="宋体" w:hAnsi="Calibri" w:cs="Times New Roman"/>
                      <w:kern w:val="0"/>
                    </w:rPr>
                  </w:sdtEndPr>
                  <w:sdtContent>
                    <w:tc>
                      <w:tcPr>
                        <w:tcW w:w="776" w:type="pct"/>
                        <w:tcBorders>
                          <w:top w:val="single" w:sz="4" w:space="0" w:color="auto"/>
                          <w:left w:val="single" w:sz="4" w:space="0" w:color="auto"/>
                          <w:bottom w:val="single" w:sz="4" w:space="0" w:color="auto"/>
                          <w:right w:val="single" w:sz="4" w:space="0" w:color="auto"/>
                        </w:tcBorders>
                      </w:tcPr>
                      <w:p w:rsidR="00B637B2" w:rsidRPr="00246008" w:rsidRDefault="008F04CF" w:rsidP="00B637B2">
                        <w:pPr>
                          <w:rPr>
                            <w:color w:val="808080"/>
                            <w:sz w:val="16"/>
                            <w:szCs w:val="16"/>
                          </w:rPr>
                        </w:pPr>
                        <w:r w:rsidRPr="00246008">
                          <w:rPr>
                            <w:rFonts w:cs="Arial" w:hint="eastAsia"/>
                            <w:snapToGrid w:val="0"/>
                            <w:sz w:val="16"/>
                            <w:szCs w:val="16"/>
                          </w:rPr>
                          <w:t>按信用风险特征组合计提坏账准备</w:t>
                        </w:r>
                      </w:p>
                    </w:tc>
                  </w:sdtContent>
                </w:sdt>
                <w:tc>
                  <w:tcPr>
                    <w:tcW w:w="420" w:type="pct"/>
                    <w:tcBorders>
                      <w:top w:val="single" w:sz="4" w:space="0" w:color="auto"/>
                      <w:left w:val="single" w:sz="4" w:space="0" w:color="auto"/>
                      <w:bottom w:val="single" w:sz="4" w:space="0" w:color="auto"/>
                      <w:right w:val="single" w:sz="4" w:space="0" w:color="auto"/>
                    </w:tcBorders>
                  </w:tcPr>
                  <w:p w:rsidR="00B637B2" w:rsidRPr="00246008" w:rsidRDefault="008F04CF" w:rsidP="00B637B2">
                    <w:pPr>
                      <w:jc w:val="right"/>
                      <w:rPr>
                        <w:sz w:val="16"/>
                        <w:szCs w:val="16"/>
                      </w:rPr>
                    </w:pPr>
                    <w:r w:rsidRPr="00246008">
                      <w:rPr>
                        <w:sz w:val="16"/>
                        <w:szCs w:val="16"/>
                      </w:rPr>
                      <w:t>794,981,950</w:t>
                    </w:r>
                  </w:p>
                </w:tc>
                <w:tc>
                  <w:tcPr>
                    <w:tcW w:w="415" w:type="pct"/>
                    <w:tcBorders>
                      <w:top w:val="single" w:sz="4" w:space="0" w:color="auto"/>
                      <w:left w:val="single" w:sz="4" w:space="0" w:color="auto"/>
                      <w:bottom w:val="single" w:sz="4" w:space="0" w:color="auto"/>
                      <w:right w:val="single" w:sz="4" w:space="0" w:color="auto"/>
                    </w:tcBorders>
                  </w:tcPr>
                  <w:p w:rsidR="00B637B2" w:rsidRPr="00246008" w:rsidRDefault="008F04CF" w:rsidP="00B637B2">
                    <w:pPr>
                      <w:jc w:val="right"/>
                      <w:rPr>
                        <w:sz w:val="16"/>
                        <w:szCs w:val="16"/>
                      </w:rPr>
                    </w:pPr>
                    <w:r w:rsidRPr="00246008">
                      <w:rPr>
                        <w:rFonts w:hint="eastAsia"/>
                        <w:sz w:val="16"/>
                        <w:szCs w:val="16"/>
                      </w:rPr>
                      <w:t>100</w:t>
                    </w:r>
                  </w:p>
                </w:tc>
                <w:tc>
                  <w:tcPr>
                    <w:tcW w:w="413" w:type="pct"/>
                    <w:tcBorders>
                      <w:top w:val="single" w:sz="4" w:space="0" w:color="auto"/>
                      <w:left w:val="single" w:sz="4" w:space="0" w:color="auto"/>
                      <w:bottom w:val="single" w:sz="4" w:space="0" w:color="auto"/>
                      <w:right w:val="single" w:sz="4" w:space="0" w:color="auto"/>
                    </w:tcBorders>
                  </w:tcPr>
                  <w:p w:rsidR="00B637B2" w:rsidRPr="00246008" w:rsidRDefault="008F04CF" w:rsidP="00B637B2">
                    <w:pPr>
                      <w:jc w:val="right"/>
                      <w:rPr>
                        <w:sz w:val="16"/>
                        <w:szCs w:val="16"/>
                      </w:rPr>
                    </w:pPr>
                    <w:r w:rsidRPr="00246008">
                      <w:rPr>
                        <w:sz w:val="16"/>
                        <w:szCs w:val="16"/>
                      </w:rPr>
                      <w:t>271,977,838</w:t>
                    </w:r>
                  </w:p>
                </w:tc>
                <w:tc>
                  <w:tcPr>
                    <w:tcW w:w="425" w:type="pct"/>
                    <w:tcBorders>
                      <w:top w:val="single" w:sz="4" w:space="0" w:color="auto"/>
                      <w:left w:val="single" w:sz="4" w:space="0" w:color="auto"/>
                      <w:bottom w:val="single" w:sz="4" w:space="0" w:color="auto"/>
                      <w:right w:val="single" w:sz="4" w:space="0" w:color="auto"/>
                    </w:tcBorders>
                  </w:tcPr>
                  <w:p w:rsidR="00B637B2" w:rsidRPr="00246008" w:rsidRDefault="008F04CF" w:rsidP="00B637B2">
                    <w:pPr>
                      <w:jc w:val="right"/>
                      <w:rPr>
                        <w:sz w:val="16"/>
                        <w:szCs w:val="16"/>
                      </w:rPr>
                    </w:pPr>
                    <w:r>
                      <w:rPr>
                        <w:rFonts w:hint="eastAsia"/>
                        <w:sz w:val="16"/>
                        <w:szCs w:val="16"/>
                      </w:rPr>
                      <w:t>34</w:t>
                    </w:r>
                  </w:p>
                </w:tc>
                <w:tc>
                  <w:tcPr>
                    <w:tcW w:w="413" w:type="pct"/>
                    <w:tcBorders>
                      <w:top w:val="single" w:sz="4" w:space="0" w:color="auto"/>
                      <w:left w:val="single" w:sz="4" w:space="0" w:color="auto"/>
                      <w:bottom w:val="single" w:sz="4" w:space="0" w:color="auto"/>
                      <w:right w:val="single" w:sz="4" w:space="0" w:color="auto"/>
                    </w:tcBorders>
                  </w:tcPr>
                  <w:p w:rsidR="00B637B2" w:rsidRPr="00246008" w:rsidRDefault="008F04CF" w:rsidP="00B637B2">
                    <w:pPr>
                      <w:jc w:val="right"/>
                      <w:rPr>
                        <w:sz w:val="16"/>
                        <w:szCs w:val="16"/>
                      </w:rPr>
                    </w:pPr>
                    <w:r w:rsidRPr="00246008">
                      <w:rPr>
                        <w:sz w:val="16"/>
                        <w:szCs w:val="16"/>
                      </w:rPr>
                      <w:t>523,004,112</w:t>
                    </w:r>
                  </w:p>
                </w:tc>
                <w:tc>
                  <w:tcPr>
                    <w:tcW w:w="436" w:type="pct"/>
                    <w:tcBorders>
                      <w:top w:val="single" w:sz="4" w:space="0" w:color="auto"/>
                      <w:left w:val="single" w:sz="4" w:space="0" w:color="auto"/>
                      <w:bottom w:val="single" w:sz="4" w:space="0" w:color="auto"/>
                      <w:right w:val="single" w:sz="4" w:space="0" w:color="auto"/>
                    </w:tcBorders>
                  </w:tcPr>
                  <w:p w:rsidR="00B637B2" w:rsidRPr="00246008" w:rsidRDefault="008F04CF" w:rsidP="00B637B2">
                    <w:pPr>
                      <w:jc w:val="right"/>
                      <w:rPr>
                        <w:sz w:val="16"/>
                        <w:szCs w:val="16"/>
                      </w:rPr>
                    </w:pPr>
                    <w:r w:rsidRPr="00246008">
                      <w:rPr>
                        <w:sz w:val="16"/>
                        <w:szCs w:val="16"/>
                      </w:rPr>
                      <w:t>799,856,993</w:t>
                    </w:r>
                  </w:p>
                </w:tc>
                <w:tc>
                  <w:tcPr>
                    <w:tcW w:w="425" w:type="pct"/>
                    <w:tcBorders>
                      <w:top w:val="single" w:sz="4" w:space="0" w:color="auto"/>
                      <w:left w:val="single" w:sz="4" w:space="0" w:color="auto"/>
                      <w:bottom w:val="single" w:sz="4" w:space="0" w:color="auto"/>
                      <w:right w:val="single" w:sz="4" w:space="0" w:color="auto"/>
                    </w:tcBorders>
                  </w:tcPr>
                  <w:p w:rsidR="00B637B2" w:rsidRPr="00246008" w:rsidRDefault="008F04CF" w:rsidP="00B637B2">
                    <w:pPr>
                      <w:jc w:val="right"/>
                      <w:rPr>
                        <w:sz w:val="16"/>
                        <w:szCs w:val="16"/>
                      </w:rPr>
                    </w:pPr>
                    <w:r>
                      <w:rPr>
                        <w:rFonts w:hint="eastAsia"/>
                        <w:sz w:val="16"/>
                        <w:szCs w:val="16"/>
                      </w:rPr>
                      <w:t>100</w:t>
                    </w:r>
                  </w:p>
                </w:tc>
                <w:tc>
                  <w:tcPr>
                    <w:tcW w:w="433" w:type="pct"/>
                    <w:tcBorders>
                      <w:top w:val="single" w:sz="4" w:space="0" w:color="auto"/>
                      <w:left w:val="single" w:sz="4" w:space="0" w:color="auto"/>
                      <w:bottom w:val="single" w:sz="4" w:space="0" w:color="auto"/>
                      <w:right w:val="single" w:sz="4" w:space="0" w:color="auto"/>
                    </w:tcBorders>
                  </w:tcPr>
                  <w:p w:rsidR="00B637B2" w:rsidRPr="00246008" w:rsidRDefault="008F04CF" w:rsidP="00B637B2">
                    <w:pPr>
                      <w:jc w:val="right"/>
                      <w:rPr>
                        <w:sz w:val="16"/>
                        <w:szCs w:val="16"/>
                      </w:rPr>
                    </w:pPr>
                    <w:r w:rsidRPr="00246008">
                      <w:rPr>
                        <w:sz w:val="16"/>
                        <w:szCs w:val="16"/>
                      </w:rPr>
                      <w:t>242,828,311</w:t>
                    </w:r>
                  </w:p>
                </w:tc>
                <w:tc>
                  <w:tcPr>
                    <w:tcW w:w="433" w:type="pct"/>
                    <w:tcBorders>
                      <w:top w:val="single" w:sz="4" w:space="0" w:color="auto"/>
                      <w:left w:val="single" w:sz="4" w:space="0" w:color="auto"/>
                      <w:bottom w:val="single" w:sz="4" w:space="0" w:color="auto"/>
                      <w:right w:val="single" w:sz="4" w:space="0" w:color="auto"/>
                    </w:tcBorders>
                  </w:tcPr>
                  <w:p w:rsidR="00B637B2" w:rsidRPr="00246008" w:rsidRDefault="008F04CF" w:rsidP="00B637B2">
                    <w:pPr>
                      <w:jc w:val="right"/>
                      <w:rPr>
                        <w:sz w:val="16"/>
                        <w:szCs w:val="16"/>
                      </w:rPr>
                    </w:pPr>
                    <w:r>
                      <w:rPr>
                        <w:rFonts w:hint="eastAsia"/>
                        <w:sz w:val="16"/>
                        <w:szCs w:val="16"/>
                      </w:rPr>
                      <w:t>30</w:t>
                    </w:r>
                  </w:p>
                </w:tc>
                <w:tc>
                  <w:tcPr>
                    <w:tcW w:w="411" w:type="pct"/>
                    <w:tcBorders>
                      <w:top w:val="single" w:sz="4" w:space="0" w:color="auto"/>
                      <w:left w:val="single" w:sz="4" w:space="0" w:color="auto"/>
                      <w:bottom w:val="single" w:sz="4" w:space="0" w:color="auto"/>
                      <w:right w:val="single" w:sz="4" w:space="0" w:color="auto"/>
                    </w:tcBorders>
                  </w:tcPr>
                  <w:p w:rsidR="00B637B2" w:rsidRPr="00246008" w:rsidRDefault="008F04CF" w:rsidP="00B637B2">
                    <w:pPr>
                      <w:jc w:val="right"/>
                      <w:rPr>
                        <w:sz w:val="16"/>
                        <w:szCs w:val="16"/>
                      </w:rPr>
                    </w:pPr>
                    <w:r w:rsidRPr="00246008">
                      <w:rPr>
                        <w:rFonts w:cs="Arial"/>
                        <w:snapToGrid w:val="0"/>
                        <w:sz w:val="16"/>
                        <w:szCs w:val="16"/>
                      </w:rPr>
                      <w:t>557,028,682</w:t>
                    </w:r>
                  </w:p>
                </w:tc>
              </w:tr>
            </w:sdtContent>
          </w:sdt>
          <w:sdt>
            <w:sdtPr>
              <w:rPr>
                <w:rFonts w:asciiTheme="minorHAnsi" w:eastAsiaTheme="minorEastAsia" w:hAnsiTheme="minorHAnsi" w:cstheme="minorBidi"/>
                <w:kern w:val="2"/>
                <w:sz w:val="16"/>
                <w:szCs w:val="16"/>
              </w:rPr>
              <w:alias w:val="按组合计提坏账准备的应收账款明细"/>
              <w:tag w:val="_TUP_d12105eecf1f43bb9d549b5dd7af65bd"/>
              <w:id w:val="-189300263"/>
              <w:lock w:val="sdtLocked"/>
            </w:sdtPr>
            <w:sdtContent>
              <w:tr w:rsidR="00B637B2" w:rsidTr="00B637B2">
                <w:trPr>
                  <w:cantSplit/>
                </w:trPr>
                <w:sdt>
                  <w:sdtPr>
                    <w:rPr>
                      <w:rFonts w:asciiTheme="minorHAnsi" w:eastAsiaTheme="minorEastAsia" w:hAnsiTheme="minorHAnsi" w:cstheme="minorBidi"/>
                      <w:kern w:val="2"/>
                      <w:sz w:val="16"/>
                      <w:szCs w:val="16"/>
                    </w:rPr>
                    <w:alias w:val="按组合计提坏账准备的应收账款明细-组合名称"/>
                    <w:tag w:val="_GBC_1d1150cff5254d829cba03da56c2e941"/>
                    <w:id w:val="-522169003"/>
                    <w:lock w:val="sdtLocked"/>
                    <w:showingPlcHdr/>
                  </w:sdtPr>
                  <w:sdtEndPr>
                    <w:rPr>
                      <w:rFonts w:ascii="Calibri" w:eastAsia="宋体" w:hAnsi="Calibri" w:cs="Times New Roman"/>
                      <w:kern w:val="0"/>
                    </w:rPr>
                  </w:sdtEndPr>
                  <w:sdtContent>
                    <w:tc>
                      <w:tcPr>
                        <w:tcW w:w="776" w:type="pct"/>
                        <w:tcBorders>
                          <w:top w:val="single" w:sz="4" w:space="0" w:color="auto"/>
                          <w:left w:val="single" w:sz="4" w:space="0" w:color="auto"/>
                          <w:bottom w:val="single" w:sz="4" w:space="0" w:color="auto"/>
                          <w:right w:val="single" w:sz="4" w:space="0" w:color="auto"/>
                        </w:tcBorders>
                      </w:tcPr>
                      <w:p w:rsidR="00B637B2" w:rsidRPr="00246008" w:rsidRDefault="008F04CF" w:rsidP="00B637B2">
                        <w:pPr>
                          <w:rPr>
                            <w:color w:val="808080"/>
                            <w:sz w:val="16"/>
                            <w:szCs w:val="16"/>
                          </w:rPr>
                        </w:pPr>
                        <w:r w:rsidRPr="00246008">
                          <w:rPr>
                            <w:rFonts w:hint="eastAsia"/>
                            <w:sz w:val="16"/>
                            <w:szCs w:val="16"/>
                          </w:rPr>
                          <w:t xml:space="preserve">　</w:t>
                        </w:r>
                      </w:p>
                    </w:tc>
                  </w:sdtContent>
                </w:sdt>
                <w:tc>
                  <w:tcPr>
                    <w:tcW w:w="420" w:type="pct"/>
                    <w:tcBorders>
                      <w:top w:val="single" w:sz="4" w:space="0" w:color="auto"/>
                      <w:left w:val="single" w:sz="4" w:space="0" w:color="auto"/>
                      <w:bottom w:val="single" w:sz="4" w:space="0" w:color="auto"/>
                      <w:right w:val="single" w:sz="4" w:space="0" w:color="auto"/>
                    </w:tcBorders>
                  </w:tcPr>
                  <w:p w:rsidR="00B637B2" w:rsidRPr="00246008" w:rsidRDefault="00B637B2" w:rsidP="00B637B2">
                    <w:pPr>
                      <w:jc w:val="right"/>
                      <w:rPr>
                        <w:sz w:val="16"/>
                        <w:szCs w:val="16"/>
                      </w:rPr>
                    </w:pPr>
                  </w:p>
                </w:tc>
                <w:tc>
                  <w:tcPr>
                    <w:tcW w:w="415" w:type="pct"/>
                    <w:tcBorders>
                      <w:top w:val="single" w:sz="4" w:space="0" w:color="auto"/>
                      <w:left w:val="single" w:sz="4" w:space="0" w:color="auto"/>
                      <w:bottom w:val="single" w:sz="4" w:space="0" w:color="auto"/>
                      <w:right w:val="single" w:sz="4" w:space="0" w:color="auto"/>
                    </w:tcBorders>
                  </w:tcPr>
                  <w:p w:rsidR="00B637B2" w:rsidRPr="00246008" w:rsidRDefault="00B637B2" w:rsidP="00B637B2">
                    <w:pPr>
                      <w:jc w:val="right"/>
                      <w:rPr>
                        <w:sz w:val="16"/>
                        <w:szCs w:val="16"/>
                      </w:rPr>
                    </w:pPr>
                  </w:p>
                </w:tc>
                <w:tc>
                  <w:tcPr>
                    <w:tcW w:w="413" w:type="pct"/>
                    <w:tcBorders>
                      <w:top w:val="single" w:sz="4" w:space="0" w:color="auto"/>
                      <w:left w:val="single" w:sz="4" w:space="0" w:color="auto"/>
                      <w:bottom w:val="single" w:sz="4" w:space="0" w:color="auto"/>
                      <w:right w:val="single" w:sz="4" w:space="0" w:color="auto"/>
                    </w:tcBorders>
                  </w:tcPr>
                  <w:p w:rsidR="00B637B2" w:rsidRPr="00246008" w:rsidRDefault="00B637B2" w:rsidP="00B637B2">
                    <w:pPr>
                      <w:jc w:val="right"/>
                      <w:rPr>
                        <w:sz w:val="16"/>
                        <w:szCs w:val="16"/>
                      </w:rPr>
                    </w:pPr>
                  </w:p>
                </w:tc>
                <w:tc>
                  <w:tcPr>
                    <w:tcW w:w="425" w:type="pct"/>
                    <w:tcBorders>
                      <w:top w:val="single" w:sz="4" w:space="0" w:color="auto"/>
                      <w:left w:val="single" w:sz="4" w:space="0" w:color="auto"/>
                      <w:bottom w:val="single" w:sz="4" w:space="0" w:color="auto"/>
                      <w:right w:val="single" w:sz="4" w:space="0" w:color="auto"/>
                    </w:tcBorders>
                  </w:tcPr>
                  <w:p w:rsidR="00B637B2" w:rsidRPr="00246008" w:rsidRDefault="00B637B2" w:rsidP="00B637B2">
                    <w:pPr>
                      <w:jc w:val="right"/>
                      <w:rPr>
                        <w:sz w:val="16"/>
                        <w:szCs w:val="16"/>
                      </w:rPr>
                    </w:pPr>
                  </w:p>
                </w:tc>
                <w:tc>
                  <w:tcPr>
                    <w:tcW w:w="413" w:type="pct"/>
                    <w:tcBorders>
                      <w:top w:val="single" w:sz="4" w:space="0" w:color="auto"/>
                      <w:left w:val="single" w:sz="4" w:space="0" w:color="auto"/>
                      <w:bottom w:val="single" w:sz="4" w:space="0" w:color="auto"/>
                      <w:right w:val="single" w:sz="4" w:space="0" w:color="auto"/>
                    </w:tcBorders>
                  </w:tcPr>
                  <w:p w:rsidR="00B637B2" w:rsidRPr="00246008" w:rsidRDefault="00B637B2" w:rsidP="00B637B2">
                    <w:pPr>
                      <w:jc w:val="right"/>
                      <w:rPr>
                        <w:sz w:val="16"/>
                        <w:szCs w:val="16"/>
                      </w:rPr>
                    </w:pPr>
                  </w:p>
                </w:tc>
                <w:tc>
                  <w:tcPr>
                    <w:tcW w:w="436" w:type="pct"/>
                    <w:tcBorders>
                      <w:top w:val="single" w:sz="4" w:space="0" w:color="auto"/>
                      <w:left w:val="single" w:sz="4" w:space="0" w:color="auto"/>
                      <w:bottom w:val="single" w:sz="4" w:space="0" w:color="auto"/>
                      <w:right w:val="single" w:sz="4" w:space="0" w:color="auto"/>
                    </w:tcBorders>
                  </w:tcPr>
                  <w:p w:rsidR="00B637B2" w:rsidRPr="00246008" w:rsidRDefault="00B637B2" w:rsidP="00B637B2">
                    <w:pPr>
                      <w:jc w:val="right"/>
                      <w:rPr>
                        <w:sz w:val="16"/>
                        <w:szCs w:val="16"/>
                      </w:rPr>
                    </w:pPr>
                  </w:p>
                </w:tc>
                <w:tc>
                  <w:tcPr>
                    <w:tcW w:w="425" w:type="pct"/>
                    <w:tcBorders>
                      <w:top w:val="single" w:sz="4" w:space="0" w:color="auto"/>
                      <w:left w:val="single" w:sz="4" w:space="0" w:color="auto"/>
                      <w:bottom w:val="single" w:sz="4" w:space="0" w:color="auto"/>
                      <w:right w:val="single" w:sz="4" w:space="0" w:color="auto"/>
                    </w:tcBorders>
                  </w:tcPr>
                  <w:p w:rsidR="00B637B2" w:rsidRPr="00246008" w:rsidRDefault="00B637B2" w:rsidP="00B637B2">
                    <w:pPr>
                      <w:jc w:val="right"/>
                      <w:rPr>
                        <w:sz w:val="16"/>
                        <w:szCs w:val="16"/>
                      </w:rPr>
                    </w:pPr>
                  </w:p>
                </w:tc>
                <w:tc>
                  <w:tcPr>
                    <w:tcW w:w="433" w:type="pct"/>
                    <w:tcBorders>
                      <w:top w:val="single" w:sz="4" w:space="0" w:color="auto"/>
                      <w:left w:val="single" w:sz="4" w:space="0" w:color="auto"/>
                      <w:bottom w:val="single" w:sz="4" w:space="0" w:color="auto"/>
                      <w:right w:val="single" w:sz="4" w:space="0" w:color="auto"/>
                    </w:tcBorders>
                  </w:tcPr>
                  <w:p w:rsidR="00B637B2" w:rsidRPr="00246008" w:rsidRDefault="00B637B2" w:rsidP="00B637B2">
                    <w:pPr>
                      <w:jc w:val="right"/>
                      <w:rPr>
                        <w:sz w:val="16"/>
                        <w:szCs w:val="16"/>
                      </w:rPr>
                    </w:pPr>
                  </w:p>
                </w:tc>
                <w:tc>
                  <w:tcPr>
                    <w:tcW w:w="433" w:type="pct"/>
                    <w:tcBorders>
                      <w:top w:val="single" w:sz="4" w:space="0" w:color="auto"/>
                      <w:left w:val="single" w:sz="4" w:space="0" w:color="auto"/>
                      <w:bottom w:val="single" w:sz="4" w:space="0" w:color="auto"/>
                      <w:right w:val="single" w:sz="4" w:space="0" w:color="auto"/>
                    </w:tcBorders>
                  </w:tcPr>
                  <w:p w:rsidR="00B637B2" w:rsidRPr="00246008" w:rsidRDefault="00B637B2" w:rsidP="00B637B2">
                    <w:pPr>
                      <w:jc w:val="right"/>
                      <w:rPr>
                        <w:sz w:val="16"/>
                        <w:szCs w:val="16"/>
                      </w:rPr>
                    </w:pPr>
                  </w:p>
                </w:tc>
                <w:tc>
                  <w:tcPr>
                    <w:tcW w:w="411" w:type="pct"/>
                    <w:tcBorders>
                      <w:top w:val="single" w:sz="4" w:space="0" w:color="auto"/>
                      <w:left w:val="single" w:sz="4" w:space="0" w:color="auto"/>
                      <w:bottom w:val="single" w:sz="4" w:space="0" w:color="auto"/>
                      <w:right w:val="single" w:sz="4" w:space="0" w:color="auto"/>
                    </w:tcBorders>
                  </w:tcPr>
                  <w:p w:rsidR="00B637B2" w:rsidRPr="00246008" w:rsidRDefault="00B637B2" w:rsidP="00B637B2">
                    <w:pPr>
                      <w:jc w:val="right"/>
                      <w:rPr>
                        <w:sz w:val="16"/>
                        <w:szCs w:val="16"/>
                      </w:rPr>
                    </w:pPr>
                  </w:p>
                </w:tc>
              </w:tr>
            </w:sdtContent>
          </w:sdt>
          <w:tr w:rsidR="00B637B2" w:rsidRPr="00246008" w:rsidTr="00B637B2">
            <w:trPr>
              <w:cantSplit/>
            </w:trPr>
            <w:sdt>
              <w:sdtPr>
                <w:rPr>
                  <w:sz w:val="16"/>
                  <w:szCs w:val="16"/>
                </w:rPr>
                <w:tag w:val="_PLD_da40eb921a044acabfd44df1104701c2"/>
                <w:id w:val="-1283566091"/>
                <w:lock w:val="sdtLocked"/>
              </w:sdtPr>
              <w:sdtContent>
                <w:tc>
                  <w:tcPr>
                    <w:tcW w:w="776" w:type="pct"/>
                    <w:tcBorders>
                      <w:top w:val="single" w:sz="4" w:space="0" w:color="auto"/>
                      <w:left w:val="single" w:sz="4" w:space="0" w:color="auto"/>
                      <w:bottom w:val="single" w:sz="4" w:space="0" w:color="auto"/>
                      <w:right w:val="single" w:sz="4" w:space="0" w:color="auto"/>
                    </w:tcBorders>
                    <w:vAlign w:val="center"/>
                  </w:tcPr>
                  <w:p w:rsidR="00B637B2" w:rsidRPr="00246008" w:rsidRDefault="008F04CF" w:rsidP="00B637B2">
                    <w:pPr>
                      <w:autoSpaceDE w:val="0"/>
                      <w:autoSpaceDN w:val="0"/>
                      <w:adjustRightInd w:val="0"/>
                      <w:jc w:val="center"/>
                      <w:rPr>
                        <w:sz w:val="16"/>
                        <w:szCs w:val="16"/>
                      </w:rPr>
                    </w:pPr>
                    <w:r w:rsidRPr="00246008">
                      <w:rPr>
                        <w:rFonts w:hint="eastAsia"/>
                        <w:sz w:val="16"/>
                        <w:szCs w:val="16"/>
                      </w:rPr>
                      <w:t>合计</w:t>
                    </w:r>
                  </w:p>
                </w:tc>
              </w:sdtContent>
            </w:sdt>
            <w:tc>
              <w:tcPr>
                <w:tcW w:w="420" w:type="pct"/>
                <w:tcBorders>
                  <w:top w:val="single" w:sz="4" w:space="0" w:color="auto"/>
                  <w:left w:val="single" w:sz="4" w:space="0" w:color="auto"/>
                  <w:bottom w:val="single" w:sz="4" w:space="0" w:color="auto"/>
                  <w:right w:val="single" w:sz="4" w:space="0" w:color="auto"/>
                </w:tcBorders>
              </w:tcPr>
              <w:p w:rsidR="00B637B2" w:rsidRPr="00AF011E" w:rsidRDefault="008F04CF" w:rsidP="00B637B2">
                <w:pPr>
                  <w:jc w:val="right"/>
                  <w:rPr>
                    <w:sz w:val="16"/>
                    <w:szCs w:val="16"/>
                  </w:rPr>
                </w:pPr>
                <w:r w:rsidRPr="00AF011E">
                  <w:rPr>
                    <w:sz w:val="16"/>
                    <w:szCs w:val="16"/>
                  </w:rPr>
                  <w:t>794,981,950</w:t>
                </w:r>
              </w:p>
            </w:tc>
            <w:tc>
              <w:tcPr>
                <w:tcW w:w="415" w:type="pct"/>
                <w:tcBorders>
                  <w:top w:val="single" w:sz="4" w:space="0" w:color="auto"/>
                  <w:left w:val="single" w:sz="4" w:space="0" w:color="auto"/>
                  <w:bottom w:val="single" w:sz="4" w:space="0" w:color="auto"/>
                  <w:right w:val="single" w:sz="4" w:space="0" w:color="auto"/>
                </w:tcBorders>
              </w:tcPr>
              <w:p w:rsidR="00B637B2" w:rsidRPr="00AF011E" w:rsidRDefault="008F04CF" w:rsidP="00B637B2">
                <w:pPr>
                  <w:jc w:val="center"/>
                  <w:rPr>
                    <w:sz w:val="16"/>
                    <w:szCs w:val="16"/>
                  </w:rPr>
                </w:pPr>
                <w:r w:rsidRPr="00AF011E">
                  <w:rPr>
                    <w:rFonts w:hint="eastAsia"/>
                    <w:sz w:val="16"/>
                    <w:szCs w:val="16"/>
                  </w:rPr>
                  <w:t>100</w:t>
                </w:r>
              </w:p>
            </w:tc>
            <w:tc>
              <w:tcPr>
                <w:tcW w:w="413" w:type="pct"/>
                <w:tcBorders>
                  <w:top w:val="single" w:sz="4" w:space="0" w:color="auto"/>
                  <w:left w:val="single" w:sz="4" w:space="0" w:color="auto"/>
                  <w:bottom w:val="single" w:sz="4" w:space="0" w:color="auto"/>
                  <w:right w:val="single" w:sz="4" w:space="0" w:color="auto"/>
                </w:tcBorders>
              </w:tcPr>
              <w:p w:rsidR="00B637B2" w:rsidRPr="00AF011E" w:rsidRDefault="008F04CF" w:rsidP="00B637B2">
                <w:pPr>
                  <w:jc w:val="right"/>
                  <w:rPr>
                    <w:sz w:val="16"/>
                    <w:szCs w:val="16"/>
                  </w:rPr>
                </w:pPr>
                <w:r w:rsidRPr="00AF011E">
                  <w:rPr>
                    <w:sz w:val="16"/>
                    <w:szCs w:val="16"/>
                  </w:rPr>
                  <w:t>271,977,838</w:t>
                </w:r>
              </w:p>
            </w:tc>
            <w:tc>
              <w:tcPr>
                <w:tcW w:w="425" w:type="pct"/>
                <w:tcBorders>
                  <w:top w:val="single" w:sz="4" w:space="0" w:color="auto"/>
                  <w:left w:val="single" w:sz="4" w:space="0" w:color="auto"/>
                  <w:bottom w:val="single" w:sz="4" w:space="0" w:color="auto"/>
                  <w:right w:val="single" w:sz="4" w:space="0" w:color="auto"/>
                </w:tcBorders>
              </w:tcPr>
              <w:p w:rsidR="00B637B2" w:rsidRPr="00AF011E" w:rsidRDefault="008F04CF" w:rsidP="00B637B2">
                <w:pPr>
                  <w:jc w:val="center"/>
                  <w:rPr>
                    <w:sz w:val="16"/>
                    <w:szCs w:val="16"/>
                  </w:rPr>
                </w:pPr>
                <w:r w:rsidRPr="00AF011E">
                  <w:rPr>
                    <w:rFonts w:hint="eastAsia"/>
                    <w:sz w:val="16"/>
                    <w:szCs w:val="16"/>
                  </w:rPr>
                  <w:t>34</w:t>
                </w:r>
              </w:p>
            </w:tc>
            <w:tc>
              <w:tcPr>
                <w:tcW w:w="413" w:type="pct"/>
                <w:tcBorders>
                  <w:top w:val="single" w:sz="4" w:space="0" w:color="auto"/>
                  <w:left w:val="single" w:sz="4" w:space="0" w:color="auto"/>
                  <w:bottom w:val="single" w:sz="4" w:space="0" w:color="auto"/>
                  <w:right w:val="single" w:sz="4" w:space="0" w:color="auto"/>
                </w:tcBorders>
              </w:tcPr>
              <w:p w:rsidR="00B637B2" w:rsidRPr="00AF011E" w:rsidRDefault="008F04CF" w:rsidP="00B637B2">
                <w:pPr>
                  <w:jc w:val="right"/>
                  <w:rPr>
                    <w:sz w:val="16"/>
                    <w:szCs w:val="16"/>
                  </w:rPr>
                </w:pPr>
                <w:r w:rsidRPr="00AF011E">
                  <w:rPr>
                    <w:sz w:val="16"/>
                    <w:szCs w:val="16"/>
                  </w:rPr>
                  <w:t>523,004,112</w:t>
                </w:r>
              </w:p>
            </w:tc>
            <w:tc>
              <w:tcPr>
                <w:tcW w:w="436" w:type="pct"/>
                <w:tcBorders>
                  <w:top w:val="single" w:sz="4" w:space="0" w:color="auto"/>
                  <w:left w:val="single" w:sz="4" w:space="0" w:color="auto"/>
                  <w:bottom w:val="single" w:sz="4" w:space="0" w:color="auto"/>
                  <w:right w:val="single" w:sz="4" w:space="0" w:color="auto"/>
                </w:tcBorders>
              </w:tcPr>
              <w:p w:rsidR="00B637B2" w:rsidRPr="00AF011E" w:rsidRDefault="008F04CF" w:rsidP="00B637B2">
                <w:pPr>
                  <w:jc w:val="right"/>
                  <w:rPr>
                    <w:sz w:val="16"/>
                    <w:szCs w:val="16"/>
                  </w:rPr>
                </w:pPr>
                <w:r w:rsidRPr="00AF011E">
                  <w:rPr>
                    <w:sz w:val="16"/>
                    <w:szCs w:val="16"/>
                  </w:rPr>
                  <w:t>799,856,993</w:t>
                </w:r>
              </w:p>
            </w:tc>
            <w:tc>
              <w:tcPr>
                <w:tcW w:w="425" w:type="pct"/>
                <w:tcBorders>
                  <w:top w:val="single" w:sz="4" w:space="0" w:color="auto"/>
                  <w:left w:val="single" w:sz="4" w:space="0" w:color="auto"/>
                  <w:bottom w:val="single" w:sz="4" w:space="0" w:color="auto"/>
                  <w:right w:val="single" w:sz="4" w:space="0" w:color="auto"/>
                </w:tcBorders>
              </w:tcPr>
              <w:p w:rsidR="00B637B2" w:rsidRPr="00AF011E" w:rsidRDefault="008F04CF" w:rsidP="00B637B2">
                <w:pPr>
                  <w:jc w:val="center"/>
                  <w:rPr>
                    <w:sz w:val="16"/>
                    <w:szCs w:val="16"/>
                  </w:rPr>
                </w:pPr>
                <w:r w:rsidRPr="00AF011E">
                  <w:rPr>
                    <w:rFonts w:hint="eastAsia"/>
                    <w:sz w:val="16"/>
                    <w:szCs w:val="16"/>
                  </w:rPr>
                  <w:t>100</w:t>
                </w:r>
              </w:p>
            </w:tc>
            <w:tc>
              <w:tcPr>
                <w:tcW w:w="433" w:type="pct"/>
                <w:tcBorders>
                  <w:top w:val="single" w:sz="4" w:space="0" w:color="auto"/>
                  <w:left w:val="single" w:sz="4" w:space="0" w:color="auto"/>
                  <w:bottom w:val="single" w:sz="4" w:space="0" w:color="auto"/>
                  <w:right w:val="single" w:sz="4" w:space="0" w:color="auto"/>
                </w:tcBorders>
              </w:tcPr>
              <w:p w:rsidR="00B637B2" w:rsidRPr="00AF011E" w:rsidRDefault="008F04CF" w:rsidP="00B637B2">
                <w:pPr>
                  <w:jc w:val="right"/>
                  <w:rPr>
                    <w:sz w:val="16"/>
                    <w:szCs w:val="16"/>
                  </w:rPr>
                </w:pPr>
                <w:r w:rsidRPr="00AF011E">
                  <w:rPr>
                    <w:sz w:val="16"/>
                    <w:szCs w:val="16"/>
                  </w:rPr>
                  <w:t>242,828,311</w:t>
                </w:r>
              </w:p>
            </w:tc>
            <w:tc>
              <w:tcPr>
                <w:tcW w:w="433" w:type="pct"/>
                <w:tcBorders>
                  <w:top w:val="single" w:sz="4" w:space="0" w:color="auto"/>
                  <w:left w:val="single" w:sz="4" w:space="0" w:color="auto"/>
                  <w:bottom w:val="single" w:sz="4" w:space="0" w:color="auto"/>
                  <w:right w:val="single" w:sz="4" w:space="0" w:color="auto"/>
                </w:tcBorders>
              </w:tcPr>
              <w:p w:rsidR="00B637B2" w:rsidRPr="00AF011E" w:rsidRDefault="008F04CF" w:rsidP="00B637B2">
                <w:pPr>
                  <w:jc w:val="center"/>
                  <w:rPr>
                    <w:sz w:val="16"/>
                    <w:szCs w:val="16"/>
                  </w:rPr>
                </w:pPr>
                <w:r w:rsidRPr="00AF011E">
                  <w:rPr>
                    <w:rFonts w:hint="eastAsia"/>
                    <w:sz w:val="16"/>
                    <w:szCs w:val="16"/>
                  </w:rPr>
                  <w:t>30</w:t>
                </w:r>
              </w:p>
            </w:tc>
            <w:tc>
              <w:tcPr>
                <w:tcW w:w="411" w:type="pct"/>
                <w:tcBorders>
                  <w:top w:val="single" w:sz="4" w:space="0" w:color="auto"/>
                  <w:left w:val="single" w:sz="4" w:space="0" w:color="auto"/>
                  <w:bottom w:val="single" w:sz="4" w:space="0" w:color="auto"/>
                  <w:right w:val="single" w:sz="4" w:space="0" w:color="auto"/>
                </w:tcBorders>
              </w:tcPr>
              <w:p w:rsidR="00B637B2" w:rsidRPr="00AF011E" w:rsidRDefault="008F04CF" w:rsidP="00B637B2">
                <w:pPr>
                  <w:rPr>
                    <w:sz w:val="16"/>
                    <w:szCs w:val="16"/>
                  </w:rPr>
                </w:pPr>
                <w:r w:rsidRPr="00AF011E">
                  <w:rPr>
                    <w:sz w:val="16"/>
                    <w:szCs w:val="16"/>
                  </w:rPr>
                  <w:t>557,028,682</w:t>
                </w:r>
              </w:p>
            </w:tc>
          </w:tr>
        </w:tbl>
        <w:p w:rsidR="00B637B2" w:rsidRDefault="00B637B2"/>
        <w:p w:rsidR="00ED2DC7" w:rsidRPr="00246008" w:rsidRDefault="000D0A99" w:rsidP="00B637B2"/>
      </w:sdtContent>
    </w:sdt>
    <w:bookmarkEnd w:id="234"/>
    <w:p w:rsidR="00ED2DC7" w:rsidRDefault="00ED2DC7"/>
    <w:bookmarkStart w:id="235" w:name="_Hlk10540045" w:displacedByCustomXml="next"/>
    <w:bookmarkStart w:id="236" w:name="_Hlk10540056" w:displacedByCustomXml="next"/>
    <w:sdt>
      <w:sdtPr>
        <w:rPr>
          <w:rFonts w:hint="eastAsia"/>
          <w:szCs w:val="21"/>
        </w:rPr>
        <w:alias w:val="模块:按单项计提坏账准备："/>
        <w:tag w:val="_SEC_25fdb1db4e684b509f2d87c2a7766da9"/>
        <w:id w:val="-638801079"/>
        <w:lock w:val="sdtLocked"/>
        <w:placeholder>
          <w:docPart w:val="GBC22222222222222222222222222222"/>
        </w:placeholder>
      </w:sdtPr>
      <w:sdtEndPr>
        <w:rPr>
          <w:rFonts w:hint="default"/>
        </w:rPr>
      </w:sdtEndPr>
      <w:sdtContent>
        <w:p w:rsidR="00ED2DC7" w:rsidRDefault="00ED2DC7">
          <w:pPr>
            <w:rPr>
              <w:szCs w:val="21"/>
            </w:rPr>
          </w:pPr>
          <w:r>
            <w:rPr>
              <w:rFonts w:hint="eastAsia"/>
              <w:szCs w:val="21"/>
            </w:rPr>
            <w:t>按单项计提坏账准备：</w:t>
          </w:r>
          <w:bookmarkEnd w:id="235"/>
        </w:p>
        <w:sdt>
          <w:sdtPr>
            <w:alias w:val="是否适用：母公司应收账款按单项计提坏账准备[双击切换]"/>
            <w:tag w:val="_GBC_6aa7698e624f4481b0cf894058a63961"/>
            <w:id w:val="-391271631"/>
            <w:lock w:val="sdtContentLocked"/>
            <w:placeholder>
              <w:docPart w:val="GBC22222222222222222222222222222"/>
            </w:placeholder>
          </w:sdtPr>
          <w:sdtContent>
            <w:p w:rsidR="00B637B2" w:rsidRDefault="00ED2DC7" w:rsidP="00B637B2">
              <w:pPr>
                <w:rPr>
                  <w:szCs w:val="21"/>
                </w:rPr>
              </w:pPr>
              <w:r>
                <w:fldChar w:fldCharType="begin"/>
              </w:r>
              <w:r w:rsidR="008F04CF">
                <w:instrText xml:space="preserve"> MACROBUTTON  SnrToggleCheckbox □适用 </w:instrText>
              </w:r>
              <w:r>
                <w:fldChar w:fldCharType="end"/>
              </w:r>
              <w:r>
                <w:fldChar w:fldCharType="begin"/>
              </w:r>
              <w:r w:rsidR="008F04CF">
                <w:instrText xml:space="preserve"> MACROBUTTON  SnrToggleCheckbox √不适用 </w:instrText>
              </w:r>
              <w:r>
                <w:fldChar w:fldCharType="end"/>
              </w:r>
            </w:p>
          </w:sdtContent>
        </w:sdt>
        <w:p w:rsidR="00ED2DC7" w:rsidRDefault="00ED2DC7" w:rsidP="005E3849">
          <w:pPr>
            <w:rPr>
              <w:szCs w:val="21"/>
            </w:rPr>
          </w:pPr>
        </w:p>
        <w:p w:rsidR="00ED2DC7" w:rsidRDefault="000D0A99">
          <w:pPr>
            <w:rPr>
              <w:szCs w:val="21"/>
            </w:rPr>
          </w:pPr>
        </w:p>
      </w:sdtContent>
    </w:sdt>
    <w:bookmarkEnd w:id="236" w:displacedByCustomXml="prev"/>
    <w:p w:rsidR="00ED2DC7" w:rsidRDefault="00ED2DC7">
      <w:pPr>
        <w:rPr>
          <w:szCs w:val="21"/>
        </w:rPr>
      </w:pPr>
      <w:bookmarkStart w:id="237" w:name="_Hlk10540079"/>
      <w:r>
        <w:rPr>
          <w:rFonts w:hint="eastAsia"/>
          <w:szCs w:val="21"/>
        </w:rPr>
        <w:lastRenderedPageBreak/>
        <w:t>按组合计提坏账准备：</w:t>
      </w:r>
    </w:p>
    <w:sdt>
      <w:sdtPr>
        <w:alias w:val="是否适用：母公司应收账款按组合计提坏账准备[双击切换]"/>
        <w:tag w:val="_GBC_bf96e631f2cf4f6a876dff49863ee9d3"/>
        <w:id w:val="1901778669"/>
        <w:lock w:val="sdtContentLocked"/>
        <w:placeholder>
          <w:docPart w:val="GBC22222222222222222222222222222"/>
        </w:placeholder>
      </w:sdtPr>
      <w:sdtContent>
        <w:p w:rsidR="005E3849" w:rsidRDefault="00ED2DC7" w:rsidP="005E3849">
          <w:r>
            <w:fldChar w:fldCharType="begin"/>
          </w:r>
          <w:r w:rsidR="008F04CF">
            <w:instrText xml:space="preserve"> MACROBUTTON  SnrToggleCheckbox √适用 </w:instrText>
          </w:r>
          <w:r>
            <w:fldChar w:fldCharType="end"/>
          </w:r>
          <w:r>
            <w:fldChar w:fldCharType="begin"/>
          </w:r>
          <w:r w:rsidR="008F04CF">
            <w:instrText xml:space="preserve"> MACROBUTTON  SnrToggleCheckbox □不适用 </w:instrText>
          </w:r>
          <w:r>
            <w:fldChar w:fldCharType="end"/>
          </w:r>
        </w:p>
      </w:sdtContent>
    </w:sdt>
    <w:bookmarkEnd w:id="237" w:displacedByCustomXml="next"/>
    <w:sdt>
      <w:sdtPr>
        <w:rPr>
          <w:rFonts w:hint="eastAsia"/>
          <w:szCs w:val="21"/>
        </w:rPr>
        <w:alias w:val="模块:组合计提项目"/>
        <w:tag w:val="_SEC_6113a97431b44a51b796257dc3b7c6cb"/>
        <w:id w:val="2134591474"/>
        <w:lock w:val="sdtLocked"/>
      </w:sdtPr>
      <w:sdtEndPr>
        <w:rPr>
          <w:rFonts w:hint="default"/>
        </w:rPr>
      </w:sdtEndPr>
      <w:sdtContent>
        <w:p w:rsidR="00B637B2" w:rsidRDefault="008F04CF">
          <w:pPr>
            <w:rPr>
              <w:szCs w:val="21"/>
            </w:rPr>
          </w:pPr>
          <w:r>
            <w:rPr>
              <w:rFonts w:hint="eastAsia"/>
              <w:szCs w:val="21"/>
            </w:rPr>
            <w:t>组合计提项目：</w:t>
          </w:r>
          <w:sdt>
            <w:sdtPr>
              <w:rPr>
                <w:rFonts w:hint="eastAsia"/>
                <w:szCs w:val="21"/>
              </w:rPr>
              <w:alias w:val="按组合计提坏账准备的应收账款明细-组合名称"/>
              <w:tag w:val="_GBC_c2c49e08c13c49f5b854cd65f748bccc"/>
              <w:id w:val="-1205249900"/>
              <w:lock w:val="sdtLocked"/>
              <w:comboBox>
                <w:listItem w:displayText="按信用风险特征组合计提坏账准备" w:value="按信用风险特征组合计提坏账准备"/>
              </w:comboBox>
            </w:sdtPr>
            <w:sdtContent>
              <w:r>
                <w:rPr>
                  <w:rFonts w:hint="eastAsia"/>
                  <w:szCs w:val="21"/>
                </w:rPr>
                <w:t>按信用风险特征组合计提坏账准备</w:t>
              </w:r>
            </w:sdtContent>
          </w:sdt>
        </w:p>
        <w:p w:rsidR="00B637B2" w:rsidRDefault="008F04CF">
          <w:pPr>
            <w:autoSpaceDE w:val="0"/>
            <w:autoSpaceDN w:val="0"/>
            <w:adjustRightInd w:val="0"/>
            <w:ind w:left="5880" w:right="105"/>
            <w:jc w:val="right"/>
            <w:rPr>
              <w:szCs w:val="21"/>
            </w:rPr>
          </w:pPr>
          <w:r>
            <w:rPr>
              <w:rFonts w:hint="eastAsia"/>
              <w:szCs w:val="21"/>
            </w:rPr>
            <w:t>单位：</w:t>
          </w:r>
          <w:sdt>
            <w:sdtPr>
              <w:rPr>
                <w:rFonts w:hint="eastAsia"/>
                <w:szCs w:val="21"/>
              </w:rPr>
              <w:alias w:val="单位：母公司应收账款按组合计提坏账准备"/>
              <w:tag w:val="_GBC_eddb8416e4854df0b69f43851a8eba2b"/>
              <w:id w:val="1919752345"/>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应收账款按组合计提坏账准备"/>
              <w:tag w:val="_GBC_326d8b8532c4476aa9c90eaa469806e2"/>
              <w:id w:val="-10565928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3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3"/>
            <w:gridCol w:w="2252"/>
            <w:gridCol w:w="2292"/>
            <w:gridCol w:w="2236"/>
          </w:tblGrid>
          <w:tr w:rsidR="00B637B2" w:rsidTr="00B637B2">
            <w:sdt>
              <w:sdtPr>
                <w:tag w:val="_PLD_017679ab9c8247c6b2e334fd90bf61e9"/>
                <w:id w:val="1987584654"/>
                <w:lock w:val="sdtLocked"/>
              </w:sdtPr>
              <w:sdtContent>
                <w:tc>
                  <w:tcPr>
                    <w:tcW w:w="1158" w:type="pct"/>
                    <w:vMerge w:val="restart"/>
                    <w:vAlign w:val="center"/>
                  </w:tcPr>
                  <w:p w:rsidR="00B637B2" w:rsidRDefault="008F04CF" w:rsidP="00B637B2">
                    <w:pPr>
                      <w:jc w:val="center"/>
                      <w:rPr>
                        <w:szCs w:val="21"/>
                      </w:rPr>
                    </w:pPr>
                    <w:r>
                      <w:rPr>
                        <w:rFonts w:hint="eastAsia"/>
                        <w:szCs w:val="21"/>
                      </w:rPr>
                      <w:t>名称</w:t>
                    </w:r>
                  </w:p>
                </w:tc>
              </w:sdtContent>
            </w:sdt>
            <w:sdt>
              <w:sdtPr>
                <w:tag w:val="_PLD_5135cd56467d4853affa6d0ae484f326"/>
                <w:id w:val="-494645988"/>
                <w:lock w:val="sdtLocked"/>
              </w:sdtPr>
              <w:sdtContent>
                <w:tc>
                  <w:tcPr>
                    <w:tcW w:w="3842" w:type="pct"/>
                    <w:gridSpan w:val="3"/>
                    <w:vAlign w:val="center"/>
                  </w:tcPr>
                  <w:p w:rsidR="00B637B2" w:rsidRDefault="008F04CF" w:rsidP="00B637B2">
                    <w:pPr>
                      <w:jc w:val="center"/>
                      <w:rPr>
                        <w:szCs w:val="21"/>
                      </w:rPr>
                    </w:pPr>
                    <w:r>
                      <w:rPr>
                        <w:rFonts w:hint="eastAsia"/>
                        <w:szCs w:val="21"/>
                      </w:rPr>
                      <w:t>期末余额</w:t>
                    </w:r>
                  </w:p>
                </w:tc>
              </w:sdtContent>
            </w:sdt>
          </w:tr>
          <w:tr w:rsidR="00B637B2" w:rsidTr="00B637B2">
            <w:tc>
              <w:tcPr>
                <w:tcW w:w="1158" w:type="pct"/>
                <w:vMerge/>
              </w:tcPr>
              <w:p w:rsidR="00B637B2" w:rsidRDefault="00B637B2" w:rsidP="00B637B2">
                <w:pPr>
                  <w:jc w:val="center"/>
                  <w:rPr>
                    <w:szCs w:val="21"/>
                  </w:rPr>
                </w:pPr>
              </w:p>
            </w:tc>
            <w:sdt>
              <w:sdtPr>
                <w:tag w:val="_PLD_6853d362c1364938aec50c34a4c1b2be"/>
                <w:id w:val="1876348608"/>
                <w:lock w:val="sdtLocked"/>
              </w:sdtPr>
              <w:sdtContent>
                <w:tc>
                  <w:tcPr>
                    <w:tcW w:w="1276" w:type="pct"/>
                    <w:vAlign w:val="center"/>
                  </w:tcPr>
                  <w:p w:rsidR="00B637B2" w:rsidRDefault="008F04CF" w:rsidP="00B637B2">
                    <w:pPr>
                      <w:jc w:val="center"/>
                      <w:rPr>
                        <w:szCs w:val="21"/>
                      </w:rPr>
                    </w:pPr>
                    <w:r>
                      <w:rPr>
                        <w:rFonts w:hint="eastAsia"/>
                        <w:szCs w:val="21"/>
                      </w:rPr>
                      <w:t>应收账款</w:t>
                    </w:r>
                  </w:p>
                </w:tc>
              </w:sdtContent>
            </w:sdt>
            <w:sdt>
              <w:sdtPr>
                <w:tag w:val="_PLD_497956cded5b48c4b4741462475810da"/>
                <w:id w:val="113794915"/>
                <w:lock w:val="sdtLocked"/>
              </w:sdtPr>
              <w:sdtContent>
                <w:tc>
                  <w:tcPr>
                    <w:tcW w:w="1299" w:type="pct"/>
                    <w:vAlign w:val="center"/>
                  </w:tcPr>
                  <w:p w:rsidR="00B637B2" w:rsidRDefault="008F04CF" w:rsidP="00B637B2">
                    <w:pPr>
                      <w:jc w:val="center"/>
                      <w:rPr>
                        <w:szCs w:val="21"/>
                      </w:rPr>
                    </w:pPr>
                    <w:r>
                      <w:rPr>
                        <w:rFonts w:hint="eastAsia"/>
                        <w:szCs w:val="21"/>
                      </w:rPr>
                      <w:t>坏账准备</w:t>
                    </w:r>
                  </w:p>
                </w:tc>
              </w:sdtContent>
            </w:sdt>
            <w:sdt>
              <w:sdtPr>
                <w:tag w:val="_PLD_abeb28def5684beab5ea48273044d861"/>
                <w:id w:val="-1012525992"/>
                <w:lock w:val="sdtLocked"/>
              </w:sdtPr>
              <w:sdtContent>
                <w:tc>
                  <w:tcPr>
                    <w:tcW w:w="1267" w:type="pct"/>
                    <w:vAlign w:val="center"/>
                  </w:tcPr>
                  <w:p w:rsidR="00B637B2" w:rsidRDefault="008F04CF" w:rsidP="00B637B2">
                    <w:pPr>
                      <w:jc w:val="center"/>
                      <w:rPr>
                        <w:szCs w:val="21"/>
                      </w:rPr>
                    </w:pPr>
                    <w:r>
                      <w:rPr>
                        <w:szCs w:val="21"/>
                      </w:rPr>
                      <w:t>计提比例</w:t>
                    </w:r>
                    <w:r>
                      <w:rPr>
                        <w:rFonts w:hint="eastAsia"/>
                        <w:szCs w:val="21"/>
                      </w:rPr>
                      <w:t>（%）</w:t>
                    </w:r>
                  </w:p>
                </w:tc>
              </w:sdtContent>
            </w:sdt>
          </w:tr>
          <w:sdt>
            <w:sdtPr>
              <w:rPr>
                <w:color w:val="008000"/>
                <w:szCs w:val="21"/>
              </w:rPr>
              <w:alias w:val="按组合计提坏账准备的应收账款详细名称明细"/>
              <w:tag w:val="_TUP_f0c1437e418b477abdaa018db20308d6"/>
              <w:id w:val="-894047954"/>
              <w:lock w:val="sdtLocked"/>
            </w:sdtPr>
            <w:sdtEndPr>
              <w:rPr>
                <w:color w:val="auto"/>
                <w:highlight w:val="yellow"/>
              </w:rPr>
            </w:sdtEndPr>
            <w:sdtContent>
              <w:tr w:rsidR="00B637B2" w:rsidTr="00B637B2">
                <w:tc>
                  <w:tcPr>
                    <w:tcW w:w="1158" w:type="pct"/>
                  </w:tcPr>
                  <w:p w:rsidR="00B637B2" w:rsidRDefault="008F04CF" w:rsidP="00B637B2">
                    <w:pPr>
                      <w:rPr>
                        <w:szCs w:val="21"/>
                      </w:rPr>
                    </w:pPr>
                    <w:r w:rsidRPr="00AF011E">
                      <w:rPr>
                        <w:rFonts w:hint="eastAsia"/>
                        <w:szCs w:val="21"/>
                      </w:rPr>
                      <w:t>按信用风险特征组合计提坏账准备</w:t>
                    </w:r>
                  </w:p>
                </w:tc>
                <w:tc>
                  <w:tcPr>
                    <w:tcW w:w="1276" w:type="pct"/>
                  </w:tcPr>
                  <w:p w:rsidR="00B637B2" w:rsidRDefault="008F04CF" w:rsidP="00B637B2">
                    <w:pPr>
                      <w:jc w:val="right"/>
                      <w:rPr>
                        <w:szCs w:val="21"/>
                      </w:rPr>
                    </w:pPr>
                    <w:r w:rsidRPr="00AF011E">
                      <w:rPr>
                        <w:szCs w:val="21"/>
                      </w:rPr>
                      <w:t>794,981,950</w:t>
                    </w:r>
                  </w:p>
                </w:tc>
                <w:tc>
                  <w:tcPr>
                    <w:tcW w:w="1299" w:type="pct"/>
                  </w:tcPr>
                  <w:p w:rsidR="00B637B2" w:rsidRDefault="008F04CF" w:rsidP="00B637B2">
                    <w:pPr>
                      <w:jc w:val="right"/>
                      <w:rPr>
                        <w:szCs w:val="21"/>
                      </w:rPr>
                    </w:pPr>
                    <w:r w:rsidRPr="00AF011E">
                      <w:rPr>
                        <w:szCs w:val="21"/>
                      </w:rPr>
                      <w:t>271,977,838</w:t>
                    </w:r>
                  </w:p>
                </w:tc>
                <w:tc>
                  <w:tcPr>
                    <w:tcW w:w="1267" w:type="pct"/>
                  </w:tcPr>
                  <w:p w:rsidR="00B637B2" w:rsidRDefault="008F04CF" w:rsidP="00B637B2">
                    <w:pPr>
                      <w:jc w:val="right"/>
                      <w:rPr>
                        <w:szCs w:val="21"/>
                      </w:rPr>
                    </w:pPr>
                    <w:r>
                      <w:rPr>
                        <w:rFonts w:hint="eastAsia"/>
                        <w:szCs w:val="21"/>
                      </w:rPr>
                      <w:t>34</w:t>
                    </w:r>
                  </w:p>
                </w:tc>
              </w:tr>
            </w:sdtContent>
          </w:sdt>
          <w:sdt>
            <w:sdtPr>
              <w:rPr>
                <w:color w:val="008000"/>
                <w:szCs w:val="21"/>
              </w:rPr>
              <w:alias w:val="按组合计提坏账准备的应收账款详细名称明细"/>
              <w:tag w:val="_TUP_f0c1437e418b477abdaa018db20308d6"/>
              <w:id w:val="91597423"/>
              <w:lock w:val="sdtLocked"/>
            </w:sdtPr>
            <w:sdtEndPr>
              <w:rPr>
                <w:color w:val="auto"/>
                <w:highlight w:val="yellow"/>
              </w:rPr>
            </w:sdtEndPr>
            <w:sdtContent>
              <w:tr w:rsidR="00B637B2" w:rsidTr="00B637B2">
                <w:tc>
                  <w:tcPr>
                    <w:tcW w:w="1158" w:type="pct"/>
                  </w:tcPr>
                  <w:p w:rsidR="00B637B2" w:rsidRDefault="00B637B2" w:rsidP="00B637B2">
                    <w:pPr>
                      <w:rPr>
                        <w:szCs w:val="21"/>
                      </w:rPr>
                    </w:pPr>
                  </w:p>
                </w:tc>
                <w:tc>
                  <w:tcPr>
                    <w:tcW w:w="1276" w:type="pct"/>
                  </w:tcPr>
                  <w:p w:rsidR="00B637B2" w:rsidRDefault="00B637B2" w:rsidP="00B637B2">
                    <w:pPr>
                      <w:jc w:val="right"/>
                      <w:rPr>
                        <w:szCs w:val="21"/>
                      </w:rPr>
                    </w:pPr>
                  </w:p>
                </w:tc>
                <w:tc>
                  <w:tcPr>
                    <w:tcW w:w="1299" w:type="pct"/>
                  </w:tcPr>
                  <w:p w:rsidR="00B637B2" w:rsidRDefault="00B637B2" w:rsidP="00B637B2">
                    <w:pPr>
                      <w:jc w:val="right"/>
                      <w:rPr>
                        <w:szCs w:val="21"/>
                      </w:rPr>
                    </w:pPr>
                  </w:p>
                </w:tc>
                <w:tc>
                  <w:tcPr>
                    <w:tcW w:w="1267" w:type="pct"/>
                  </w:tcPr>
                  <w:p w:rsidR="00B637B2" w:rsidRDefault="00B637B2" w:rsidP="00B637B2">
                    <w:pPr>
                      <w:jc w:val="right"/>
                      <w:rPr>
                        <w:szCs w:val="21"/>
                      </w:rPr>
                    </w:pPr>
                  </w:p>
                </w:tc>
              </w:tr>
            </w:sdtContent>
          </w:sdt>
          <w:tr w:rsidR="00B637B2" w:rsidTr="00B637B2">
            <w:sdt>
              <w:sdtPr>
                <w:tag w:val="_PLD_435948144728481980336a881622f9ca"/>
                <w:id w:val="-900518883"/>
                <w:lock w:val="sdtLocked"/>
              </w:sdtPr>
              <w:sdtContent>
                <w:tc>
                  <w:tcPr>
                    <w:tcW w:w="1158" w:type="pct"/>
                    <w:vAlign w:val="center"/>
                  </w:tcPr>
                  <w:p w:rsidR="00B637B2" w:rsidRDefault="008F04CF" w:rsidP="00B637B2">
                    <w:pPr>
                      <w:jc w:val="center"/>
                      <w:rPr>
                        <w:szCs w:val="21"/>
                      </w:rPr>
                    </w:pPr>
                    <w:r>
                      <w:rPr>
                        <w:rFonts w:hint="eastAsia"/>
                        <w:szCs w:val="21"/>
                      </w:rPr>
                      <w:t>合计</w:t>
                    </w:r>
                  </w:p>
                </w:tc>
              </w:sdtContent>
            </w:sdt>
            <w:tc>
              <w:tcPr>
                <w:tcW w:w="1276" w:type="pct"/>
              </w:tcPr>
              <w:p w:rsidR="00B637B2" w:rsidRDefault="008F04CF" w:rsidP="00B637B2">
                <w:pPr>
                  <w:jc w:val="right"/>
                  <w:rPr>
                    <w:szCs w:val="21"/>
                  </w:rPr>
                </w:pPr>
                <w:r>
                  <w:t>794,981,950</w:t>
                </w:r>
              </w:p>
            </w:tc>
            <w:tc>
              <w:tcPr>
                <w:tcW w:w="1299" w:type="pct"/>
              </w:tcPr>
              <w:p w:rsidR="00B637B2" w:rsidRDefault="008F04CF" w:rsidP="00B637B2">
                <w:pPr>
                  <w:jc w:val="right"/>
                  <w:rPr>
                    <w:szCs w:val="21"/>
                  </w:rPr>
                </w:pPr>
                <w:r>
                  <w:t>271,977,838</w:t>
                </w:r>
              </w:p>
            </w:tc>
            <w:tc>
              <w:tcPr>
                <w:tcW w:w="1267" w:type="pct"/>
              </w:tcPr>
              <w:p w:rsidR="00B637B2" w:rsidRDefault="008F04CF" w:rsidP="00B637B2">
                <w:pPr>
                  <w:jc w:val="right"/>
                  <w:rPr>
                    <w:szCs w:val="21"/>
                  </w:rPr>
                </w:pPr>
                <w:r>
                  <w:t>34</w:t>
                </w:r>
              </w:p>
            </w:tc>
          </w:tr>
        </w:tbl>
        <w:p w:rsidR="00B637B2" w:rsidRDefault="00B637B2"/>
        <w:p w:rsidR="00B637B2" w:rsidRDefault="008F04CF">
          <w:pPr>
            <w:rPr>
              <w:szCs w:val="21"/>
            </w:rPr>
          </w:pPr>
          <w:r>
            <w:rPr>
              <w:rFonts w:hint="eastAsia"/>
              <w:szCs w:val="21"/>
            </w:rPr>
            <w:t>按组合计提坏账的确认标准及说明：</w:t>
          </w:r>
        </w:p>
        <w:sdt>
          <w:sdtPr>
            <w:rPr>
              <w:szCs w:val="21"/>
            </w:rPr>
            <w:alias w:val="是否适用：母公司应收账款按组合计提坏账的确认标准及说明[双击切换]"/>
            <w:tag w:val="_GBC_186c78f5430148f29cc239ac6b530e5e"/>
            <w:id w:val="-1397824444"/>
            <w:lock w:val="sdtContentLocked"/>
          </w:sdtPr>
          <w:sdtContent>
            <w:p w:rsidR="00B637B2" w:rsidRDefault="008F04CF" w:rsidP="00B637B2">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ED2DC7" w:rsidRDefault="00ED2DC7">
      <w:pPr>
        <w:rPr>
          <w:szCs w:val="21"/>
        </w:rPr>
      </w:pPr>
    </w:p>
    <w:bookmarkStart w:id="238" w:name="_Hlk10540115" w:displacedByCustomXml="next"/>
    <w:bookmarkStart w:id="239" w:name="_Hlk10540132" w:displacedByCustomXml="next"/>
    <w:sdt>
      <w:sdtPr>
        <w:rPr>
          <w:rFonts w:hint="eastAsia"/>
        </w:rPr>
        <w:alias w:val="模块:如按预期信用损失一般模型计提坏账准备，请参照其他应收款披露："/>
        <w:tag w:val="_SEC_0daf1df16ecd4ddb95ab2ba88474abac"/>
        <w:id w:val="1301191788"/>
        <w:lock w:val="sdtLocked"/>
        <w:placeholder>
          <w:docPart w:val="GBC22222222222222222222222222222"/>
        </w:placeholder>
      </w:sdtPr>
      <w:sdtEndPr>
        <w:rPr>
          <w:rFonts w:hint="default"/>
          <w:szCs w:val="21"/>
        </w:rPr>
      </w:sdtEndPr>
      <w:sdtContent>
        <w:p w:rsidR="00ED2DC7" w:rsidRDefault="00ED2DC7">
          <w:r>
            <w:rPr>
              <w:rFonts w:hint="eastAsia"/>
            </w:rPr>
            <w:t>如按预期信用损失一般模型计提坏账准备，请参照其他应收款披露：</w:t>
          </w:r>
          <w:bookmarkEnd w:id="238"/>
        </w:p>
        <w:sdt>
          <w:sdtPr>
            <w:alias w:val="是否适用：母公司应收账款按一般预计信用损失模型计提坏账[双击切换]"/>
            <w:tag w:val="_GBC_549d8a07d3e545ee8ada79b15a8ba3e9"/>
            <w:id w:val="1423760664"/>
            <w:lock w:val="sdtContentLocked"/>
            <w:placeholder>
              <w:docPart w:val="GBC22222222222222222222222222222"/>
            </w:placeholder>
          </w:sdtPr>
          <w:sdtContent>
            <w:p w:rsidR="00ED2DC7" w:rsidRDefault="00ED2DC7" w:rsidP="005E3849">
              <w:r>
                <w:fldChar w:fldCharType="begin"/>
              </w:r>
              <w:r w:rsidR="005E3849">
                <w:instrText xml:space="preserve"> MACROBUTTON  SnrToggleCheckbox □适用 </w:instrText>
              </w:r>
              <w:r>
                <w:fldChar w:fldCharType="end"/>
              </w:r>
              <w:r>
                <w:fldChar w:fldCharType="begin"/>
              </w:r>
              <w:r w:rsidR="005E3849">
                <w:instrText xml:space="preserve"> MACROBUTTON  SnrToggleCheckbox √不适用 </w:instrText>
              </w:r>
              <w:r>
                <w:fldChar w:fldCharType="end"/>
              </w:r>
            </w:p>
          </w:sdtContent>
        </w:sdt>
        <w:p w:rsidR="00ED2DC7" w:rsidRDefault="000D0A99">
          <w:pPr>
            <w:rPr>
              <w:szCs w:val="21"/>
            </w:rPr>
          </w:pPr>
        </w:p>
      </w:sdtContent>
    </w:sdt>
    <w:bookmarkEnd w:id="239" w:displacedByCustomXml="prev"/>
    <w:p w:rsidR="00ED2DC7" w:rsidRPr="00AF011E" w:rsidRDefault="00ED2DC7" w:rsidP="00036BDC">
      <w:pPr>
        <w:pStyle w:val="affffffffffffffffff2"/>
        <w:numPr>
          <w:ilvl w:val="0"/>
          <w:numId w:val="102"/>
        </w:numPr>
        <w:tabs>
          <w:tab w:val="left" w:pos="644"/>
        </w:tabs>
        <w:ind w:left="0" w:firstLine="0"/>
        <w:rPr>
          <w:szCs w:val="21"/>
        </w:rPr>
      </w:pPr>
      <w:bookmarkStart w:id="240" w:name="_Hlk10540190"/>
      <w:bookmarkStart w:id="241" w:name="_Hlk10540207"/>
      <w:r w:rsidRPr="00AF011E">
        <w:rPr>
          <w:rFonts w:hint="eastAsia"/>
          <w:szCs w:val="21"/>
        </w:rPr>
        <w:t>坏账准备的情况</w:t>
      </w:r>
      <w:bookmarkEnd w:id="240"/>
    </w:p>
    <w:sdt>
      <w:sdtPr>
        <w:alias w:val="是否适用：母公司应收账款坏账准备情况[双击切换]"/>
        <w:tag w:val="_GBC_f73789de2ecf49c4bad380c8767c93cf"/>
        <w:id w:val="926459146"/>
        <w:lock w:val="sdtContentLocked"/>
        <w:placeholder>
          <w:docPart w:val="GBC22222222222222222222222222222"/>
        </w:placeholder>
      </w:sdtPr>
      <w:sdtContent>
        <w:p w:rsidR="00ED2DC7" w:rsidRDefault="00ED2DC7">
          <w:r>
            <w:fldChar w:fldCharType="begin"/>
          </w:r>
          <w:r w:rsidR="008F04CF">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宋体" w:hAnsi="宋体" w:cs="宋体" w:hint="eastAsia"/>
          <w:kern w:val="0"/>
          <w:szCs w:val="21"/>
        </w:rPr>
        <w:alias w:val="模块:单位：元 币种：人民币类别期初余额本期变动金额期末余额计提..."/>
        <w:tag w:val="_SEC_1d771df7b6f44c3999ed9d4bceb75d3a"/>
        <w:id w:val="-423486424"/>
        <w:lock w:val="sdtLocked"/>
        <w:placeholder>
          <w:docPart w:val="GBC22222222222222222222222222222"/>
        </w:placeholder>
      </w:sdtPr>
      <w:sdtEndPr>
        <w:rPr>
          <w:szCs w:val="24"/>
        </w:rPr>
      </w:sdtEndPr>
      <w:sdtContent>
        <w:p w:rsidR="00B637B2" w:rsidRDefault="00ED2DC7">
          <w:pPr>
            <w:pStyle w:val="afffffffffffffffffff3"/>
            <w:snapToGrid w:val="0"/>
            <w:spacing w:line="240" w:lineRule="atLeast"/>
            <w:ind w:left="425" w:firstLineChars="0" w:firstLine="0"/>
            <w:jc w:val="right"/>
            <w:rPr>
              <w:szCs w:val="21"/>
            </w:rPr>
          </w:pPr>
          <w:r>
            <w:rPr>
              <w:rFonts w:hint="eastAsia"/>
              <w:szCs w:val="21"/>
            </w:rPr>
            <w:t>单位：</w:t>
          </w:r>
          <w:sdt>
            <w:sdtPr>
              <w:rPr>
                <w:rFonts w:hint="eastAsia"/>
                <w:szCs w:val="21"/>
              </w:rPr>
              <w:alias w:val="单位：母公司应收账款坏账准备情况"/>
              <w:tag w:val="_GBC_b1cb6a2ed32f4cbba0ff71c0724458cf"/>
              <w:id w:val="-8080860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应收账款坏账准备情况"/>
              <w:tag w:val="_GBC_d354bf362fbe459f823a08ebfd7e3967"/>
              <w:id w:val="-9190087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szCs w:val="21"/>
                </w:rPr>
                <w:t>人民币</w:t>
              </w:r>
            </w:sdtContent>
          </w:sdt>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672"/>
            <w:gridCol w:w="1408"/>
            <w:gridCol w:w="1526"/>
            <w:gridCol w:w="1406"/>
            <w:gridCol w:w="1406"/>
            <w:gridCol w:w="1405"/>
          </w:tblGrid>
          <w:tr w:rsidR="00B637B2" w:rsidTr="00B637B2">
            <w:sdt>
              <w:sdtPr>
                <w:tag w:val="_PLD_f4eadaa95bb74d1b87908d20a1134b64"/>
                <w:id w:val="-2129075962"/>
                <w:lock w:val="sdtLocked"/>
              </w:sdtPr>
              <w:sdtContent>
                <w:tc>
                  <w:tcPr>
                    <w:tcW w:w="947" w:type="pct"/>
                    <w:vMerge w:val="restart"/>
                    <w:shd w:val="clear" w:color="auto" w:fill="FFFFFF"/>
                    <w:vAlign w:val="center"/>
                  </w:tcPr>
                  <w:p w:rsidR="00B637B2" w:rsidRDefault="008F04CF" w:rsidP="00B637B2">
                    <w:pPr>
                      <w:jc w:val="center"/>
                    </w:pPr>
                    <w:r>
                      <w:t>类别</w:t>
                    </w:r>
                  </w:p>
                </w:tc>
              </w:sdtContent>
            </w:sdt>
            <w:sdt>
              <w:sdtPr>
                <w:tag w:val="_PLD_418ed14fba9245bfb75831a0aec5c4df"/>
                <w:id w:val="-61028209"/>
                <w:lock w:val="sdtLocked"/>
              </w:sdtPr>
              <w:sdtContent>
                <w:tc>
                  <w:tcPr>
                    <w:tcW w:w="798" w:type="pct"/>
                    <w:vMerge w:val="restart"/>
                    <w:shd w:val="clear" w:color="auto" w:fill="FFFFFF"/>
                    <w:vAlign w:val="center"/>
                  </w:tcPr>
                  <w:p w:rsidR="00B637B2" w:rsidRDefault="008F04CF" w:rsidP="00B637B2">
                    <w:pPr>
                      <w:jc w:val="center"/>
                    </w:pPr>
                    <w:r>
                      <w:t>期初余额</w:t>
                    </w:r>
                  </w:p>
                </w:tc>
              </w:sdtContent>
            </w:sdt>
            <w:sdt>
              <w:sdtPr>
                <w:tag w:val="_PLD_8d1be78937d142b188535ac4f21fe7b0"/>
                <w:id w:val="2107925824"/>
                <w:lock w:val="sdtLocked"/>
              </w:sdtPr>
              <w:sdtContent>
                <w:tc>
                  <w:tcPr>
                    <w:tcW w:w="2459" w:type="pct"/>
                    <w:gridSpan w:val="3"/>
                    <w:shd w:val="clear" w:color="auto" w:fill="FFFFFF"/>
                    <w:vAlign w:val="center"/>
                  </w:tcPr>
                  <w:p w:rsidR="00B637B2" w:rsidRDefault="008F04CF" w:rsidP="00B637B2">
                    <w:pPr>
                      <w:jc w:val="center"/>
                    </w:pPr>
                    <w:r>
                      <w:rPr>
                        <w:rFonts w:hint="eastAsia"/>
                      </w:rPr>
                      <w:t>本期变动</w:t>
                    </w:r>
                    <w:r>
                      <w:t>金额</w:t>
                    </w:r>
                  </w:p>
                </w:tc>
              </w:sdtContent>
            </w:sdt>
            <w:sdt>
              <w:sdtPr>
                <w:tag w:val="_PLD_a52e69bfaf59458dbaa62aefc9985077"/>
                <w:id w:val="-1891958835"/>
                <w:lock w:val="sdtLocked"/>
              </w:sdtPr>
              <w:sdtContent>
                <w:tc>
                  <w:tcPr>
                    <w:tcW w:w="797" w:type="pct"/>
                    <w:vMerge w:val="restart"/>
                    <w:shd w:val="clear" w:color="auto" w:fill="FFFFFF"/>
                    <w:vAlign w:val="center"/>
                  </w:tcPr>
                  <w:p w:rsidR="00B637B2" w:rsidRDefault="008F04CF" w:rsidP="00B637B2">
                    <w:pPr>
                      <w:jc w:val="center"/>
                    </w:pPr>
                    <w:r>
                      <w:t>期末余额</w:t>
                    </w:r>
                  </w:p>
                </w:tc>
              </w:sdtContent>
            </w:sdt>
          </w:tr>
          <w:tr w:rsidR="00B637B2" w:rsidTr="00B637B2">
            <w:tc>
              <w:tcPr>
                <w:tcW w:w="947" w:type="pct"/>
                <w:vMerge/>
                <w:shd w:val="clear" w:color="auto" w:fill="FFFFFF"/>
              </w:tcPr>
              <w:p w:rsidR="00B637B2" w:rsidRDefault="00B637B2" w:rsidP="00B637B2">
                <w:pPr>
                  <w:jc w:val="center"/>
                </w:pPr>
              </w:p>
            </w:tc>
            <w:tc>
              <w:tcPr>
                <w:tcW w:w="798" w:type="pct"/>
                <w:vMerge/>
                <w:shd w:val="clear" w:color="auto" w:fill="FFFFFF"/>
              </w:tcPr>
              <w:p w:rsidR="00B637B2" w:rsidRDefault="00B637B2" w:rsidP="00B637B2">
                <w:pPr>
                  <w:jc w:val="center"/>
                </w:pPr>
              </w:p>
            </w:tc>
            <w:sdt>
              <w:sdtPr>
                <w:tag w:val="_PLD_b751dc4c753a406d98873286a8db73e1"/>
                <w:id w:val="-737470317"/>
                <w:lock w:val="sdtLocked"/>
              </w:sdtPr>
              <w:sdtContent>
                <w:tc>
                  <w:tcPr>
                    <w:tcW w:w="865" w:type="pct"/>
                    <w:shd w:val="clear" w:color="auto" w:fill="FFFFFF"/>
                    <w:vAlign w:val="center"/>
                  </w:tcPr>
                  <w:p w:rsidR="00B637B2" w:rsidRDefault="008F04CF" w:rsidP="00B637B2">
                    <w:pPr>
                      <w:jc w:val="center"/>
                    </w:pPr>
                    <w:r>
                      <w:t>计提</w:t>
                    </w:r>
                  </w:p>
                </w:tc>
              </w:sdtContent>
            </w:sdt>
            <w:sdt>
              <w:sdtPr>
                <w:tag w:val="_PLD_c7812aae57ad44ed9a8f8101ec478492"/>
                <w:id w:val="-80215023"/>
                <w:lock w:val="sdtLocked"/>
              </w:sdtPr>
              <w:sdtContent>
                <w:tc>
                  <w:tcPr>
                    <w:tcW w:w="797" w:type="pct"/>
                    <w:shd w:val="clear" w:color="auto" w:fill="FFFFFF"/>
                    <w:vAlign w:val="center"/>
                  </w:tcPr>
                  <w:p w:rsidR="00B637B2" w:rsidRDefault="008F04CF" w:rsidP="00B637B2">
                    <w:pPr>
                      <w:jc w:val="center"/>
                    </w:pPr>
                    <w:r>
                      <w:rPr>
                        <w:rFonts w:hint="eastAsia"/>
                      </w:rPr>
                      <w:t>收回或转回</w:t>
                    </w:r>
                  </w:p>
                </w:tc>
              </w:sdtContent>
            </w:sdt>
            <w:tc>
              <w:tcPr>
                <w:tcW w:w="797" w:type="pct"/>
                <w:shd w:val="clear" w:color="auto" w:fill="FFFFFF"/>
                <w:vAlign w:val="center"/>
              </w:tcPr>
              <w:sdt>
                <w:sdtPr>
                  <w:rPr>
                    <w:rFonts w:hint="eastAsia"/>
                  </w:rPr>
                  <w:tag w:val="_PLD_074f12bbd0b24262a49061455f2008d5"/>
                  <w:id w:val="1365714298"/>
                  <w:lock w:val="sdtLocked"/>
                </w:sdtPr>
                <w:sdtContent>
                  <w:p w:rsidR="00B637B2" w:rsidRDefault="008F04CF" w:rsidP="00B637B2">
                    <w:pPr>
                      <w:jc w:val="center"/>
                    </w:pPr>
                    <w:r>
                      <w:rPr>
                        <w:rFonts w:hint="eastAsia"/>
                      </w:rPr>
                      <w:t>转销或核销</w:t>
                    </w:r>
                  </w:p>
                </w:sdtContent>
              </w:sdt>
            </w:tc>
            <w:tc>
              <w:tcPr>
                <w:tcW w:w="797" w:type="pct"/>
                <w:vMerge/>
                <w:shd w:val="clear" w:color="auto" w:fill="FFFFFF"/>
              </w:tcPr>
              <w:p w:rsidR="00B637B2" w:rsidRDefault="00B637B2" w:rsidP="00B637B2">
                <w:pPr>
                  <w:jc w:val="right"/>
                </w:pPr>
              </w:p>
            </w:tc>
          </w:tr>
          <w:sdt>
            <w:sdtPr>
              <w:rPr>
                <w:rFonts w:asciiTheme="minorHAnsi" w:eastAsiaTheme="minorEastAsia" w:hAnsiTheme="minorHAnsi" w:cstheme="minorBidi"/>
                <w:kern w:val="2"/>
                <w:szCs w:val="22"/>
              </w:rPr>
              <w:alias w:val="应收账款坏账准备明细"/>
              <w:tag w:val="_TUP_e05b61f5155e48c18d9be68942e00c68"/>
              <w:id w:val="83123832"/>
              <w:lock w:val="sdtLocked"/>
            </w:sdtPr>
            <w:sdtEndPr>
              <w:rPr>
                <w:rFonts w:ascii="宋体" w:hAnsi="宋体"/>
              </w:rPr>
            </w:sdtEndPr>
            <w:sdtContent>
              <w:tr w:rsidR="00B637B2" w:rsidTr="00B637B2">
                <w:tc>
                  <w:tcPr>
                    <w:tcW w:w="947" w:type="pct"/>
                    <w:shd w:val="clear" w:color="auto" w:fill="auto"/>
                  </w:tcPr>
                  <w:p w:rsidR="00B637B2" w:rsidRDefault="008F04CF" w:rsidP="00B637B2">
                    <w:r w:rsidRPr="00AF011E">
                      <w:rPr>
                        <w:rFonts w:hint="eastAsia"/>
                        <w:szCs w:val="21"/>
                      </w:rPr>
                      <w:t>按信用风险特征组合计提坏账准备</w:t>
                    </w:r>
                  </w:p>
                </w:tc>
                <w:tc>
                  <w:tcPr>
                    <w:tcW w:w="798" w:type="pct"/>
                    <w:shd w:val="clear" w:color="auto" w:fill="auto"/>
                  </w:tcPr>
                  <w:p w:rsidR="00B637B2" w:rsidRDefault="008F04CF" w:rsidP="00B637B2">
                    <w:pPr>
                      <w:jc w:val="right"/>
                    </w:pPr>
                    <w:r w:rsidRPr="00AF011E">
                      <w:t>242,828,311</w:t>
                    </w:r>
                  </w:p>
                </w:tc>
                <w:tc>
                  <w:tcPr>
                    <w:tcW w:w="865" w:type="pct"/>
                    <w:shd w:val="clear" w:color="auto" w:fill="auto"/>
                  </w:tcPr>
                  <w:p w:rsidR="00B637B2" w:rsidRDefault="008F04CF" w:rsidP="00B637B2">
                    <w:pPr>
                      <w:jc w:val="right"/>
                    </w:pPr>
                    <w:r w:rsidRPr="00AF011E">
                      <w:t>29,151,921</w:t>
                    </w:r>
                  </w:p>
                </w:tc>
                <w:tc>
                  <w:tcPr>
                    <w:tcW w:w="797" w:type="pct"/>
                    <w:shd w:val="clear" w:color="auto" w:fill="auto"/>
                  </w:tcPr>
                  <w:p w:rsidR="00B637B2" w:rsidRDefault="008F04CF" w:rsidP="00B637B2">
                    <w:pPr>
                      <w:jc w:val="right"/>
                    </w:pPr>
                    <w:r>
                      <w:rPr>
                        <w:rFonts w:hint="eastAsia"/>
                      </w:rPr>
                      <w:t>-</w:t>
                    </w:r>
                  </w:p>
                </w:tc>
                <w:tc>
                  <w:tcPr>
                    <w:tcW w:w="797" w:type="pct"/>
                  </w:tcPr>
                  <w:p w:rsidR="00B637B2" w:rsidRDefault="008F04CF" w:rsidP="00B637B2">
                    <w:pPr>
                      <w:jc w:val="right"/>
                    </w:pPr>
                    <w:r w:rsidRPr="00AF011E">
                      <w:t>2,394</w:t>
                    </w:r>
                  </w:p>
                </w:tc>
                <w:tc>
                  <w:tcPr>
                    <w:tcW w:w="797" w:type="pct"/>
                    <w:shd w:val="clear" w:color="auto" w:fill="auto"/>
                  </w:tcPr>
                  <w:p w:rsidR="00B637B2" w:rsidRPr="00AF011E" w:rsidRDefault="008F04CF" w:rsidP="00B637B2">
                    <w:pPr>
                      <w:jc w:val="right"/>
                    </w:pPr>
                    <w:r w:rsidRPr="00AF011E">
                      <w:rPr>
                        <w:rFonts w:cs="Arial"/>
                        <w:color w:val="000000"/>
                      </w:rPr>
                      <w:t>271,977,838</w:t>
                    </w:r>
                  </w:p>
                </w:tc>
              </w:tr>
            </w:sdtContent>
          </w:sdt>
          <w:sdt>
            <w:sdtPr>
              <w:rPr>
                <w:rFonts w:asciiTheme="minorHAnsi" w:eastAsiaTheme="minorEastAsia" w:hAnsiTheme="minorHAnsi" w:cstheme="minorBidi"/>
                <w:kern w:val="2"/>
                <w:szCs w:val="22"/>
              </w:rPr>
              <w:alias w:val="应收账款坏账准备明细"/>
              <w:tag w:val="_TUP_e05b61f5155e48c18d9be68942e00c68"/>
              <w:id w:val="-2062933291"/>
              <w:lock w:val="sdtLocked"/>
            </w:sdtPr>
            <w:sdtContent>
              <w:tr w:rsidR="00B637B2" w:rsidTr="00B637B2">
                <w:tc>
                  <w:tcPr>
                    <w:tcW w:w="947" w:type="pct"/>
                    <w:shd w:val="clear" w:color="auto" w:fill="auto"/>
                  </w:tcPr>
                  <w:p w:rsidR="00B637B2" w:rsidRDefault="00B637B2" w:rsidP="00B637B2"/>
                </w:tc>
                <w:tc>
                  <w:tcPr>
                    <w:tcW w:w="798" w:type="pct"/>
                    <w:shd w:val="clear" w:color="auto" w:fill="auto"/>
                  </w:tcPr>
                  <w:p w:rsidR="00B637B2" w:rsidRDefault="00B637B2" w:rsidP="00B637B2">
                    <w:pPr>
                      <w:jc w:val="right"/>
                    </w:pPr>
                  </w:p>
                </w:tc>
                <w:tc>
                  <w:tcPr>
                    <w:tcW w:w="865" w:type="pct"/>
                    <w:shd w:val="clear" w:color="auto" w:fill="auto"/>
                  </w:tcPr>
                  <w:p w:rsidR="00B637B2" w:rsidRDefault="00B637B2" w:rsidP="00B637B2">
                    <w:pPr>
                      <w:jc w:val="right"/>
                    </w:pPr>
                  </w:p>
                </w:tc>
                <w:tc>
                  <w:tcPr>
                    <w:tcW w:w="797" w:type="pct"/>
                    <w:shd w:val="clear" w:color="auto" w:fill="auto"/>
                  </w:tcPr>
                  <w:p w:rsidR="00B637B2" w:rsidRDefault="00B637B2" w:rsidP="00B637B2">
                    <w:pPr>
                      <w:jc w:val="right"/>
                    </w:pPr>
                  </w:p>
                </w:tc>
                <w:tc>
                  <w:tcPr>
                    <w:tcW w:w="797" w:type="pct"/>
                  </w:tcPr>
                  <w:p w:rsidR="00B637B2" w:rsidRDefault="00B637B2" w:rsidP="00B637B2">
                    <w:pPr>
                      <w:jc w:val="right"/>
                    </w:pPr>
                  </w:p>
                </w:tc>
                <w:tc>
                  <w:tcPr>
                    <w:tcW w:w="797" w:type="pct"/>
                    <w:shd w:val="clear" w:color="auto" w:fill="auto"/>
                  </w:tcPr>
                  <w:p w:rsidR="00B637B2" w:rsidRDefault="00B637B2" w:rsidP="00B637B2">
                    <w:pPr>
                      <w:jc w:val="right"/>
                    </w:pPr>
                  </w:p>
                </w:tc>
              </w:tr>
            </w:sdtContent>
          </w:sdt>
          <w:tr w:rsidR="00B637B2" w:rsidRPr="00AF011E" w:rsidTr="00B637B2">
            <w:sdt>
              <w:sdtPr>
                <w:tag w:val="_PLD_b0dcc1767f964aab8c7e106f61a7f4b3"/>
                <w:id w:val="-1877302352"/>
                <w:lock w:val="sdtLocked"/>
              </w:sdtPr>
              <w:sdtContent>
                <w:tc>
                  <w:tcPr>
                    <w:tcW w:w="947" w:type="pct"/>
                    <w:shd w:val="clear" w:color="auto" w:fill="auto"/>
                  </w:tcPr>
                  <w:p w:rsidR="00B637B2" w:rsidRDefault="008F04CF" w:rsidP="00B637B2">
                    <w:pPr>
                      <w:jc w:val="center"/>
                    </w:pPr>
                    <w:r>
                      <w:rPr>
                        <w:rFonts w:hint="eastAsia"/>
                      </w:rPr>
                      <w:t>合计</w:t>
                    </w:r>
                  </w:p>
                </w:tc>
              </w:sdtContent>
            </w:sdt>
            <w:tc>
              <w:tcPr>
                <w:tcW w:w="798" w:type="pct"/>
                <w:shd w:val="clear" w:color="auto" w:fill="auto"/>
              </w:tcPr>
              <w:p w:rsidR="00B637B2" w:rsidRDefault="008F04CF" w:rsidP="00B637B2">
                <w:pPr>
                  <w:jc w:val="right"/>
                </w:pPr>
                <w:r>
                  <w:t>242,828,311</w:t>
                </w:r>
              </w:p>
            </w:tc>
            <w:tc>
              <w:tcPr>
                <w:tcW w:w="865" w:type="pct"/>
                <w:shd w:val="clear" w:color="auto" w:fill="auto"/>
              </w:tcPr>
              <w:p w:rsidR="00B637B2" w:rsidRDefault="008F04CF" w:rsidP="00B637B2">
                <w:pPr>
                  <w:jc w:val="right"/>
                </w:pPr>
                <w:r>
                  <w:t>29,151,921</w:t>
                </w:r>
              </w:p>
            </w:tc>
            <w:tc>
              <w:tcPr>
                <w:tcW w:w="797" w:type="pct"/>
                <w:shd w:val="clear" w:color="auto" w:fill="auto"/>
              </w:tcPr>
              <w:p w:rsidR="00B637B2" w:rsidRDefault="008F04CF" w:rsidP="00B637B2">
                <w:pPr>
                  <w:jc w:val="right"/>
                </w:pPr>
                <w:r>
                  <w:t>-</w:t>
                </w:r>
              </w:p>
            </w:tc>
            <w:tc>
              <w:tcPr>
                <w:tcW w:w="797" w:type="pct"/>
              </w:tcPr>
              <w:p w:rsidR="00B637B2" w:rsidRDefault="008F04CF" w:rsidP="00B637B2">
                <w:pPr>
                  <w:jc w:val="right"/>
                </w:pPr>
                <w:r>
                  <w:t>2,394</w:t>
                </w:r>
              </w:p>
            </w:tc>
            <w:tc>
              <w:tcPr>
                <w:tcW w:w="797" w:type="pct"/>
                <w:shd w:val="clear" w:color="auto" w:fill="auto"/>
              </w:tcPr>
              <w:p w:rsidR="00B637B2" w:rsidRDefault="008F04CF" w:rsidP="00B637B2">
                <w:pPr>
                  <w:jc w:val="right"/>
                </w:pPr>
                <w:r>
                  <w:t>271,977,838</w:t>
                </w:r>
              </w:p>
            </w:tc>
          </w:tr>
        </w:tbl>
        <w:p w:rsidR="00ED2DC7" w:rsidRPr="00AF011E" w:rsidRDefault="000D0A99" w:rsidP="00B637B2"/>
      </w:sdtContent>
    </w:sdt>
    <w:bookmarkEnd w:id="241"/>
    <w:p w:rsidR="00ED2DC7" w:rsidRDefault="00ED2DC7">
      <w:pPr>
        <w:rPr>
          <w:szCs w:val="21"/>
        </w:rPr>
      </w:pPr>
    </w:p>
    <w:bookmarkStart w:id="242" w:name="_Hlk10540223" w:displacedByCustomXml="next"/>
    <w:bookmarkStart w:id="243" w:name="_Hlk10540234" w:displacedByCustomXml="next"/>
    <w:sdt>
      <w:sdtPr>
        <w:rPr>
          <w:rFonts w:hint="eastAsia"/>
        </w:rPr>
        <w:alias w:val="模块:其中本期坏账准备收回或转回金额重要的："/>
        <w:tag w:val="_SEC_cfbe6c51f19042a4ad507f8066423e41"/>
        <w:id w:val="-893584892"/>
        <w:lock w:val="sdtLocked"/>
        <w:placeholder>
          <w:docPart w:val="GBC22222222222222222222222222222"/>
        </w:placeholder>
      </w:sdtPr>
      <w:sdtEndPr>
        <w:rPr>
          <w:rFonts w:hint="default"/>
        </w:rPr>
      </w:sdtEndPr>
      <w:sdtContent>
        <w:p w:rsidR="00ED2DC7" w:rsidRDefault="00ED2DC7">
          <w:r>
            <w:rPr>
              <w:rFonts w:hint="eastAsia"/>
            </w:rPr>
            <w:t>其中本期坏账准备收回或转回金额重要的：</w:t>
          </w:r>
          <w:bookmarkEnd w:id="242"/>
        </w:p>
        <w:sdt>
          <w:sdtPr>
            <w:alias w:val="是否适用：母公司其中本期坏账准备收回或转回金额重要的[双击切换]"/>
            <w:tag w:val="_GBC_a6aa75dceb1749caaf0ac8239ed005c1"/>
            <w:id w:val="1712762596"/>
            <w:lock w:val="sdtContentLocked"/>
            <w:placeholder>
              <w:docPart w:val="GBC22222222222222222222222222222"/>
            </w:placeholder>
          </w:sdtPr>
          <w:sdtContent>
            <w:p w:rsidR="00B637B2" w:rsidRDefault="00ED2DC7" w:rsidP="00B637B2">
              <w:r>
                <w:fldChar w:fldCharType="begin"/>
              </w:r>
              <w:r w:rsidR="008F04CF">
                <w:instrText xml:space="preserve">MACROBUTTON  SnrToggleCheckbox □适用 </w:instrText>
              </w:r>
              <w:r>
                <w:fldChar w:fldCharType="end"/>
              </w:r>
              <w:r>
                <w:fldChar w:fldCharType="begin"/>
              </w:r>
              <w:r w:rsidR="008F04CF">
                <w:instrText xml:space="preserve"> MACROBUTTON  SnrToggleCheckbox √不适用 </w:instrText>
              </w:r>
              <w:r>
                <w:fldChar w:fldCharType="end"/>
              </w:r>
            </w:p>
          </w:sdtContent>
        </w:sdt>
        <w:p w:rsidR="00ED2DC7" w:rsidRDefault="000D0A99">
          <w:pPr>
            <w:ind w:rightChars="-759" w:right="-1594"/>
            <w:rPr>
              <w:szCs w:val="21"/>
            </w:rPr>
          </w:pPr>
        </w:p>
      </w:sdtContent>
    </w:sdt>
    <w:bookmarkEnd w:id="243" w:displacedByCustomXml="prev"/>
    <w:p w:rsidR="00ED2DC7" w:rsidRDefault="00ED2DC7"/>
    <w:sdt>
      <w:sdtPr>
        <w:rPr>
          <w:rFonts w:ascii="Times New Roman" w:hAnsi="Times New Roman" w:cs="宋体" w:hint="eastAsia"/>
          <w:b w:val="0"/>
          <w:bCs w:val="0"/>
          <w:kern w:val="0"/>
          <w:szCs w:val="24"/>
        </w:rPr>
        <w:alias w:val="模块:本报告期实际核销的应收账款情况"/>
        <w:tag w:val="_GBC_72fe1bcd09e2470f910107f1e159af49"/>
        <w:id w:val="-1698690178"/>
        <w:lock w:val="sdtLocked"/>
        <w:placeholder>
          <w:docPart w:val="GBC22222222222222222222222222222"/>
        </w:placeholder>
      </w:sdtPr>
      <w:sdtEndPr>
        <w:rPr>
          <w:rFonts w:ascii="宋体" w:hAnsi="宋体" w:hint="default"/>
        </w:rPr>
      </w:sdtEndPr>
      <w:sdtContent>
        <w:p w:rsidR="00ED2DC7" w:rsidRPr="00AF011E" w:rsidRDefault="00ED2DC7" w:rsidP="00036BDC">
          <w:pPr>
            <w:pStyle w:val="affffffffffffffffff2"/>
            <w:numPr>
              <w:ilvl w:val="0"/>
              <w:numId w:val="102"/>
            </w:numPr>
            <w:tabs>
              <w:tab w:val="left" w:pos="630"/>
            </w:tabs>
            <w:ind w:left="0" w:firstLine="0"/>
          </w:pPr>
          <w:r w:rsidRPr="00AF011E">
            <w:t>本期实际核销的应收</w:t>
          </w:r>
          <w:r w:rsidRPr="00AF011E">
            <w:rPr>
              <w:rFonts w:hint="eastAsia"/>
            </w:rPr>
            <w:t>账款</w:t>
          </w:r>
          <w:r w:rsidRPr="00AF011E">
            <w:t>情况</w:t>
          </w:r>
        </w:p>
        <w:sdt>
          <w:sdtPr>
            <w:alias w:val="是否适用：母公司本期实际核销的应收账款情况[双击切换]"/>
            <w:tag w:val="_GBC_a8b9861b74fa43bdb4a98d13449f8f5e"/>
            <w:id w:val="-835765287"/>
            <w:lock w:val="sdtContentLocked"/>
            <w:placeholder>
              <w:docPart w:val="GBC22222222222222222222222222222"/>
            </w:placeholder>
          </w:sdtPr>
          <w:sdtContent>
            <w:p w:rsidR="00ED2DC7" w:rsidRDefault="00ED2DC7">
              <w:r>
                <w:fldChar w:fldCharType="begin"/>
              </w:r>
              <w:r w:rsidR="00841B3F">
                <w:instrText xml:space="preserve"> MACROBUTTON  SnrToggleCheckbox √适用 </w:instrText>
              </w:r>
              <w:r>
                <w:fldChar w:fldCharType="end"/>
              </w:r>
              <w:r>
                <w:fldChar w:fldCharType="begin"/>
              </w:r>
              <w:r w:rsidR="00841B3F">
                <w:instrText xml:space="preserve"> MACROBUTTON  SnrToggleCheckbox □不适用 </w:instrText>
              </w:r>
              <w:r>
                <w:fldChar w:fldCharType="end"/>
              </w:r>
            </w:p>
          </w:sdtContent>
        </w:sdt>
        <w:p w:rsidR="00ED2DC7" w:rsidRDefault="00ED2DC7">
          <w:pPr>
            <w:jc w:val="right"/>
            <w:rPr>
              <w:szCs w:val="21"/>
            </w:rPr>
          </w:pPr>
          <w:r>
            <w:rPr>
              <w:rFonts w:hint="eastAsia"/>
              <w:szCs w:val="21"/>
            </w:rPr>
            <w:t>单位：</w:t>
          </w:r>
          <w:sdt>
            <w:sdtPr>
              <w:rPr>
                <w:rFonts w:hint="eastAsia"/>
                <w:szCs w:val="21"/>
              </w:rPr>
              <w:alias w:val="单位：母公司财务附注：本报告期实际核销的应收款项情况"/>
              <w:tag w:val="_GBC_a5c3b5e8c8bf477abc83c1766768abf2"/>
              <w:id w:val="139847979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hint="eastAsia"/>
                  <w:szCs w:val="21"/>
                </w:rPr>
                <w:t>元</w:t>
              </w:r>
            </w:sdtContent>
          </w:sdt>
          <w:r>
            <w:rPr>
              <w:rFonts w:hint="eastAsia"/>
              <w:szCs w:val="21"/>
            </w:rPr>
            <w:t xml:space="preserve">  币种：</w:t>
          </w:r>
          <w:sdt>
            <w:sdtPr>
              <w:rPr>
                <w:rFonts w:hint="eastAsia"/>
                <w:szCs w:val="21"/>
              </w:rPr>
              <w:alias w:val="币种：母公司财务附注：本报告期实际核销的应收款项情况"/>
              <w:tag w:val="_GBC_c46c6c481aca4428892d83e0d45ec77c"/>
              <w:id w:val="4781160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szCs w:val="21"/>
                </w:rPr>
                <w:t>人民币</w:t>
              </w:r>
            </w:sdtContent>
          </w:sdt>
        </w:p>
        <w:tbl>
          <w:tblPr>
            <w:tblStyle w:val="g38"/>
            <w:tblW w:w="4956" w:type="pct"/>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7"/>
            <w:gridCol w:w="4658"/>
          </w:tblGrid>
          <w:tr w:rsidR="00ED2DC7" w:rsidTr="001F09C2">
            <w:sdt>
              <w:sdtPr>
                <w:tag w:val="_PLD_06977e71d2fd4a558bb710c9c93c8d7e"/>
                <w:id w:val="1343662151"/>
                <w:lock w:val="sdtLocked"/>
              </w:sdtPr>
              <w:sdtContent>
                <w:tc>
                  <w:tcPr>
                    <w:tcW w:w="2337" w:type="pct"/>
                    <w:vAlign w:val="center"/>
                  </w:tcPr>
                  <w:p w:rsidR="00ED2DC7" w:rsidRDefault="00ED2DC7">
                    <w:pPr>
                      <w:jc w:val="center"/>
                      <w:rPr>
                        <w:szCs w:val="21"/>
                      </w:rPr>
                    </w:pPr>
                    <w:r>
                      <w:rPr>
                        <w:rFonts w:hint="eastAsia"/>
                        <w:szCs w:val="21"/>
                      </w:rPr>
                      <w:t>项目</w:t>
                    </w:r>
                  </w:p>
                </w:tc>
              </w:sdtContent>
            </w:sdt>
            <w:sdt>
              <w:sdtPr>
                <w:tag w:val="_PLD_d549a895a6504e78a6d7b9940814436d"/>
                <w:id w:val="293645000"/>
                <w:lock w:val="sdtLocked"/>
              </w:sdtPr>
              <w:sdtContent>
                <w:tc>
                  <w:tcPr>
                    <w:tcW w:w="2663" w:type="pct"/>
                  </w:tcPr>
                  <w:p w:rsidR="00ED2DC7" w:rsidRDefault="00ED2DC7">
                    <w:pPr>
                      <w:jc w:val="center"/>
                      <w:rPr>
                        <w:szCs w:val="21"/>
                      </w:rPr>
                    </w:pPr>
                    <w:r>
                      <w:rPr>
                        <w:rFonts w:hint="eastAsia"/>
                        <w:szCs w:val="21"/>
                      </w:rPr>
                      <w:t>核销金额</w:t>
                    </w:r>
                  </w:p>
                </w:tc>
              </w:sdtContent>
            </w:sdt>
          </w:tr>
          <w:tr w:rsidR="00ED2DC7" w:rsidTr="001F09C2">
            <w:sdt>
              <w:sdtPr>
                <w:tag w:val="_PLD_d38750470cd147d58cc07b1163eb4417"/>
                <w:id w:val="476580586"/>
                <w:lock w:val="sdtLocked"/>
              </w:sdtPr>
              <w:sdtContent>
                <w:tc>
                  <w:tcPr>
                    <w:tcW w:w="2337" w:type="pct"/>
                  </w:tcPr>
                  <w:p w:rsidR="00ED2DC7" w:rsidRDefault="00ED2DC7">
                    <w:pPr>
                      <w:rPr>
                        <w:szCs w:val="21"/>
                      </w:rPr>
                    </w:pPr>
                    <w:r>
                      <w:rPr>
                        <w:rFonts w:hint="eastAsia"/>
                        <w:szCs w:val="21"/>
                      </w:rPr>
                      <w:t>实际核销的应收账款</w:t>
                    </w:r>
                  </w:p>
                </w:tc>
              </w:sdtContent>
            </w:sdt>
            <w:tc>
              <w:tcPr>
                <w:tcW w:w="2663" w:type="pct"/>
              </w:tcPr>
              <w:p w:rsidR="00ED2DC7" w:rsidRDefault="008F04CF">
                <w:pPr>
                  <w:jc w:val="right"/>
                  <w:rPr>
                    <w:szCs w:val="21"/>
                  </w:rPr>
                </w:pPr>
                <w:r w:rsidRPr="00AF011E">
                  <w:t>2,394</w:t>
                </w:r>
              </w:p>
            </w:tc>
          </w:tr>
        </w:tbl>
        <w:p w:rsidR="00ED2DC7" w:rsidRDefault="00ED2DC7">
          <w:pPr>
            <w:rPr>
              <w:szCs w:val="21"/>
            </w:rPr>
          </w:pPr>
        </w:p>
        <w:p w:rsidR="00ED2DC7" w:rsidRDefault="00ED2DC7">
          <w:pPr>
            <w:rPr>
              <w:szCs w:val="21"/>
            </w:rPr>
          </w:pPr>
          <w:r>
            <w:rPr>
              <w:rFonts w:hint="eastAsia"/>
              <w:szCs w:val="21"/>
            </w:rPr>
            <w:t>其中重要的应收账款核销情况</w:t>
          </w:r>
        </w:p>
        <w:sdt>
          <w:sdtPr>
            <w:rPr>
              <w:szCs w:val="21"/>
            </w:rPr>
            <w:alias w:val="是否适用：母公司其中重要的应收账款核销情况[双击切换]"/>
            <w:tag w:val="_GBC_827c9c10930747bc8ba843d89c64f1fb"/>
            <w:id w:val="-160171735"/>
            <w:lock w:val="sdtContentLocked"/>
            <w:placeholder>
              <w:docPart w:val="GBC22222222222222222222222222222"/>
            </w:placeholder>
          </w:sdtPr>
          <w:sdtContent>
            <w:p w:rsidR="00ED2DC7" w:rsidRDefault="00ED2DC7" w:rsidP="00B637B2">
              <w:pPr>
                <w:rPr>
                  <w:szCs w:val="21"/>
                </w:rPr>
              </w:pPr>
              <w:r>
                <w:rPr>
                  <w:szCs w:val="21"/>
                </w:rPr>
                <w:fldChar w:fldCharType="begin"/>
              </w:r>
              <w:r w:rsidR="008F04CF">
                <w:rPr>
                  <w:szCs w:val="21"/>
                </w:rPr>
                <w:instrText xml:space="preserve"> MACROBUTTON  SnrToggleCheckbox □适用 </w:instrText>
              </w:r>
              <w:r>
                <w:rPr>
                  <w:szCs w:val="21"/>
                </w:rPr>
                <w:fldChar w:fldCharType="end"/>
              </w:r>
              <w:r>
                <w:rPr>
                  <w:szCs w:val="21"/>
                </w:rPr>
                <w:fldChar w:fldCharType="begin"/>
              </w:r>
              <w:r w:rsidR="008F04CF">
                <w:rPr>
                  <w:szCs w:val="21"/>
                </w:rPr>
                <w:instrText xml:space="preserve"> MACROBUTTON  SnrToggleCheckbox √不适用 </w:instrText>
              </w:r>
              <w:r>
                <w:rPr>
                  <w:szCs w:val="21"/>
                </w:rPr>
                <w:fldChar w:fldCharType="end"/>
              </w:r>
            </w:p>
          </w:sdtContent>
        </w:sdt>
        <w:p w:rsidR="00ED2DC7" w:rsidRDefault="00ED2DC7">
          <w:pPr>
            <w:snapToGrid w:val="0"/>
            <w:spacing w:line="240" w:lineRule="atLeast"/>
            <w:rPr>
              <w:szCs w:val="21"/>
            </w:rPr>
          </w:pPr>
          <w:r>
            <w:rPr>
              <w:rFonts w:hint="eastAsia"/>
              <w:szCs w:val="21"/>
            </w:rPr>
            <w:t>应收账款核销说明：</w:t>
          </w:r>
        </w:p>
        <w:sdt>
          <w:sdtPr>
            <w:rPr>
              <w:szCs w:val="21"/>
            </w:rPr>
            <w:alias w:val="是否适用：母公司应收账款核销说明[双击切换]"/>
            <w:tag w:val="_GBC_36d2cef3128f4b3389b38ed29442e2b3"/>
            <w:id w:val="381602029"/>
            <w:lock w:val="sdtContentLocked"/>
            <w:placeholder>
              <w:docPart w:val="GBC22222222222222222222222222222"/>
            </w:placeholder>
          </w:sdtPr>
          <w:sdtContent>
            <w:p w:rsidR="00ED2DC7" w:rsidRDefault="00ED2DC7" w:rsidP="00B637B2">
              <w:pPr>
                <w:snapToGrid w:val="0"/>
                <w:spacing w:line="240" w:lineRule="atLeast"/>
              </w:pPr>
              <w:r>
                <w:rPr>
                  <w:szCs w:val="21"/>
                </w:rPr>
                <w:fldChar w:fldCharType="begin"/>
              </w:r>
              <w:r w:rsidR="008F04CF">
                <w:rPr>
                  <w:szCs w:val="21"/>
                </w:rPr>
                <w:instrText xml:space="preserve"> MACROBUTTON  SnrToggleCheckbox □适用 </w:instrText>
              </w:r>
              <w:r>
                <w:rPr>
                  <w:szCs w:val="21"/>
                </w:rPr>
                <w:fldChar w:fldCharType="end"/>
              </w:r>
              <w:r>
                <w:rPr>
                  <w:szCs w:val="21"/>
                </w:rPr>
                <w:fldChar w:fldCharType="begin"/>
              </w:r>
              <w:r w:rsidR="008F04CF">
                <w:rPr>
                  <w:szCs w:val="21"/>
                </w:rPr>
                <w:instrText xml:space="preserve"> MACROBUTTON  SnrToggleCheckbox √不适用 </w:instrText>
              </w:r>
              <w:r>
                <w:rPr>
                  <w:szCs w:val="21"/>
                </w:rPr>
                <w:fldChar w:fldCharType="end"/>
              </w:r>
            </w:p>
          </w:sdtContent>
        </w:sdt>
      </w:sdtContent>
    </w:sdt>
    <w:p w:rsidR="00ED2DC7" w:rsidRDefault="00ED2DC7">
      <w:pPr>
        <w:snapToGrid w:val="0"/>
        <w:spacing w:line="240" w:lineRule="atLeast"/>
        <w:ind w:leftChars="-50" w:left="-105"/>
        <w:rPr>
          <w:szCs w:val="21"/>
        </w:rPr>
      </w:pPr>
    </w:p>
    <w:sdt>
      <w:sdtPr>
        <w:rPr>
          <w:rFonts w:ascii="宋体" w:hAnsi="宋体" w:cs="宋体" w:hint="eastAsia"/>
          <w:b w:val="0"/>
          <w:bCs w:val="0"/>
          <w:kern w:val="0"/>
          <w:szCs w:val="24"/>
        </w:rPr>
        <w:alias w:val="模块:按欠款方归集的期末余额前五名的应收账款情况"/>
        <w:tag w:val="_GBC_60192a235b1d4a9bb5f69fafe3ab6f87"/>
        <w:id w:val="-501362300"/>
        <w:lock w:val="sdtLocked"/>
        <w:placeholder>
          <w:docPart w:val="GBC22222222222222222222222222222"/>
        </w:placeholder>
      </w:sdtPr>
      <w:sdtEndPr>
        <w:rPr>
          <w:rFonts w:hint="default"/>
          <w:szCs w:val="21"/>
        </w:rPr>
      </w:sdtEndPr>
      <w:sdtContent>
        <w:p w:rsidR="00ED2DC7" w:rsidRDefault="00ED2DC7" w:rsidP="00036BDC">
          <w:pPr>
            <w:pStyle w:val="affffffffffffffffff2"/>
            <w:numPr>
              <w:ilvl w:val="0"/>
              <w:numId w:val="102"/>
            </w:numPr>
            <w:tabs>
              <w:tab w:val="left" w:pos="630"/>
            </w:tabs>
            <w:ind w:left="0" w:firstLine="0"/>
          </w:pPr>
          <w:r>
            <w:rPr>
              <w:rFonts w:hint="eastAsia"/>
            </w:rPr>
            <w:t>按欠款方归集的期末余额前五名的应收账款情况</w:t>
          </w:r>
        </w:p>
        <w:sdt>
          <w:sdtPr>
            <w:alias w:val="是否适用：母公司按欠款方归集的期末余额前五名的应收账款情况[双击切换]"/>
            <w:tag w:val="_GBC_6ebf56800d554857af86eb226ac98f28"/>
            <w:id w:val="968159293"/>
            <w:lock w:val="sdtContentLocked"/>
            <w:placeholder>
              <w:docPart w:val="GBC22222222222222222222222222222"/>
            </w:placeholder>
          </w:sdtPr>
          <w:sdtContent>
            <w:p w:rsidR="00ED2DC7" w:rsidRDefault="00ED2DC7" w:rsidP="005E3849">
              <w:r>
                <w:fldChar w:fldCharType="begin"/>
              </w:r>
              <w:r w:rsidR="00036BDC">
                <w:instrText xml:space="preserve"> MACROBUTTON  SnrToggleCheckbox √适用 </w:instrText>
              </w:r>
              <w:r>
                <w:fldChar w:fldCharType="end"/>
              </w:r>
              <w:r>
                <w:fldChar w:fldCharType="begin"/>
              </w:r>
              <w:r w:rsidR="00036BDC">
                <w:instrText xml:space="preserve"> MACROBUTTON  SnrToggleCheckbox □不适用 </w:instrText>
              </w:r>
              <w:r>
                <w:fldChar w:fldCharType="end"/>
              </w:r>
            </w:p>
          </w:sdtContent>
        </w:sdt>
        <w:sdt>
          <w:sdtPr>
            <w:rPr>
              <w:szCs w:val="21"/>
            </w:rPr>
            <w:alias w:val="按欠款方归集的期末余额前五名的应收账款情况的说明"/>
            <w:tag w:val="_GBC_fb5c8a787a404b5f93e696afb6756e6c"/>
            <w:id w:val="-1027473264"/>
            <w:lock w:val="sdtLocked"/>
          </w:sdtPr>
          <w:sdtContent>
            <w:p w:rsidR="00B637B2" w:rsidRPr="004755D7" w:rsidRDefault="00036BDC" w:rsidP="00B637B2">
              <w:pPr>
                <w:overflowPunct w:val="0"/>
                <w:autoSpaceDE w:val="0"/>
                <w:autoSpaceDN w:val="0"/>
                <w:adjustRightInd w:val="0"/>
                <w:snapToGrid w:val="0"/>
                <w:jc w:val="both"/>
                <w:textAlignment w:val="bottom"/>
                <w:rPr>
                  <w:rFonts w:cs="Arial"/>
                  <w:snapToGrid w:val="0"/>
                  <w:sz w:val="20"/>
                  <w:szCs w:val="20"/>
                </w:rPr>
              </w:pPr>
              <w:r w:rsidRPr="004755D7">
                <w:rPr>
                  <w:rFonts w:cs="Arial" w:hint="eastAsia"/>
                  <w:snapToGrid w:val="0"/>
                  <w:sz w:val="20"/>
                  <w:szCs w:val="20"/>
                </w:rPr>
                <w:t>于</w:t>
              </w:r>
              <w:r w:rsidRPr="004755D7">
                <w:rPr>
                  <w:rFonts w:cs="Arial"/>
                  <w:snapToGrid w:val="0"/>
                  <w:sz w:val="20"/>
                  <w:szCs w:val="20"/>
                </w:rPr>
                <w:t>2019</w:t>
              </w:r>
              <w:r w:rsidRPr="004755D7">
                <w:rPr>
                  <w:rFonts w:cs="Arial" w:hint="eastAsia"/>
                  <w:snapToGrid w:val="0"/>
                  <w:sz w:val="20"/>
                  <w:szCs w:val="20"/>
                </w:rPr>
                <w:t>年</w:t>
              </w:r>
              <w:r w:rsidRPr="004755D7">
                <w:rPr>
                  <w:rFonts w:cs="Arial"/>
                  <w:snapToGrid w:val="0"/>
                  <w:sz w:val="20"/>
                  <w:szCs w:val="20"/>
                </w:rPr>
                <w:t>6</w:t>
              </w:r>
              <w:r w:rsidRPr="004755D7">
                <w:rPr>
                  <w:rFonts w:cs="Arial" w:hint="eastAsia"/>
                  <w:snapToGrid w:val="0"/>
                  <w:sz w:val="20"/>
                  <w:szCs w:val="20"/>
                </w:rPr>
                <w:t>月</w:t>
              </w:r>
              <w:r w:rsidRPr="004755D7">
                <w:rPr>
                  <w:rFonts w:cs="Arial"/>
                  <w:snapToGrid w:val="0"/>
                  <w:sz w:val="20"/>
                  <w:szCs w:val="20"/>
                </w:rPr>
                <w:t>30</w:t>
              </w:r>
              <w:r w:rsidRPr="004755D7">
                <w:rPr>
                  <w:rFonts w:cs="Arial" w:hint="eastAsia"/>
                  <w:snapToGrid w:val="0"/>
                  <w:sz w:val="20"/>
                  <w:szCs w:val="20"/>
                </w:rPr>
                <w:t>日，应收账款金额前五名如下：</w:t>
              </w:r>
            </w:p>
            <w:p w:rsidR="00B637B2" w:rsidRPr="004755D7" w:rsidRDefault="00B637B2" w:rsidP="00B637B2">
              <w:pPr>
                <w:pageBreakBefore/>
                <w:overflowPunct w:val="0"/>
                <w:autoSpaceDE w:val="0"/>
                <w:autoSpaceDN w:val="0"/>
                <w:adjustRightInd w:val="0"/>
                <w:snapToGrid w:val="0"/>
                <w:jc w:val="both"/>
                <w:textAlignment w:val="bottom"/>
                <w:rPr>
                  <w:rFonts w:ascii="Arial" w:eastAsia="黑体" w:hAnsi="Arial" w:cs="Arial"/>
                  <w:snapToGrid w:val="0"/>
                  <w:sz w:val="20"/>
                  <w:szCs w:val="20"/>
                </w:rPr>
              </w:pPr>
            </w:p>
            <w:tbl>
              <w:tblPr>
                <w:tblStyle w:val="g18"/>
                <w:tblW w:w="5055" w:type="pct"/>
                <w:tblLook w:val="04A0" w:firstRow="1" w:lastRow="0" w:firstColumn="1" w:lastColumn="0" w:noHBand="0" w:noVBand="1"/>
              </w:tblPr>
              <w:tblGrid>
                <w:gridCol w:w="1547"/>
                <w:gridCol w:w="2586"/>
                <w:gridCol w:w="2586"/>
                <w:gridCol w:w="2211"/>
              </w:tblGrid>
              <w:tr w:rsidR="00B637B2" w:rsidRPr="001C5E43" w:rsidTr="00B637B2">
                <w:trPr>
                  <w:trHeight w:val="252"/>
                </w:trPr>
                <w:tc>
                  <w:tcPr>
                    <w:tcW w:w="2313" w:type="pct"/>
                    <w:gridSpan w:val="2"/>
                    <w:vAlign w:val="bottom"/>
                  </w:tcPr>
                  <w:p w:rsidR="00B637B2" w:rsidRPr="0034368E" w:rsidRDefault="00036BDC" w:rsidP="00B637B2">
                    <w:pPr>
                      <w:overflowPunct w:val="0"/>
                      <w:autoSpaceDE w:val="0"/>
                      <w:autoSpaceDN w:val="0"/>
                      <w:snapToGrid w:val="0"/>
                      <w:spacing w:line="280" w:lineRule="exact"/>
                      <w:ind w:left="720" w:right="-108" w:hanging="720"/>
                      <w:jc w:val="right"/>
                      <w:textAlignment w:val="bottom"/>
                      <w:rPr>
                        <w:rFonts w:ascii="Arial" w:eastAsia="黑体" w:hAnsi="Arial" w:cs="Arial"/>
                        <w:snapToGrid w:val="0"/>
                        <w:sz w:val="20"/>
                        <w:szCs w:val="20"/>
                      </w:rPr>
                    </w:pPr>
                    <w:r w:rsidRPr="0034368E">
                      <w:rPr>
                        <w:rFonts w:ascii="Arial" w:eastAsia="黑体" w:hAnsi="Arial" w:cs="Arial" w:hint="eastAsia"/>
                        <w:snapToGrid w:val="0"/>
                        <w:sz w:val="20"/>
                        <w:szCs w:val="20"/>
                      </w:rPr>
                      <w:t>应收账款年末余额</w:t>
                    </w:r>
                  </w:p>
                </w:tc>
                <w:tc>
                  <w:tcPr>
                    <w:tcW w:w="1448" w:type="pct"/>
                    <w:vAlign w:val="bottom"/>
                  </w:tcPr>
                  <w:p w:rsidR="00B637B2" w:rsidRPr="0034368E" w:rsidRDefault="00036BDC" w:rsidP="00B637B2">
                    <w:pPr>
                      <w:overflowPunct w:val="0"/>
                      <w:autoSpaceDE w:val="0"/>
                      <w:autoSpaceDN w:val="0"/>
                      <w:snapToGrid w:val="0"/>
                      <w:spacing w:line="280" w:lineRule="exact"/>
                      <w:ind w:left="720" w:right="-108" w:hanging="720"/>
                      <w:jc w:val="right"/>
                      <w:textAlignment w:val="bottom"/>
                      <w:rPr>
                        <w:rFonts w:ascii="Arial" w:eastAsia="黑体" w:hAnsi="Arial" w:cs="Arial"/>
                        <w:snapToGrid w:val="0"/>
                        <w:sz w:val="20"/>
                        <w:szCs w:val="20"/>
                      </w:rPr>
                    </w:pPr>
                    <w:r w:rsidRPr="0034368E">
                      <w:rPr>
                        <w:rFonts w:ascii="Arial" w:eastAsia="黑体" w:hAnsi="Arial" w:cs="Arial" w:hint="eastAsia"/>
                        <w:snapToGrid w:val="0"/>
                        <w:sz w:val="20"/>
                        <w:szCs w:val="20"/>
                      </w:rPr>
                      <w:t>应收账款年末余额</w:t>
                    </w:r>
                  </w:p>
                </w:tc>
                <w:tc>
                  <w:tcPr>
                    <w:tcW w:w="1239" w:type="pct"/>
                  </w:tcPr>
                  <w:p w:rsidR="00B637B2" w:rsidRPr="0034368E" w:rsidRDefault="00036BDC" w:rsidP="00B637B2">
                    <w:pPr>
                      <w:overflowPunct w:val="0"/>
                      <w:autoSpaceDE w:val="0"/>
                      <w:autoSpaceDN w:val="0"/>
                      <w:snapToGrid w:val="0"/>
                      <w:spacing w:line="280" w:lineRule="exact"/>
                      <w:ind w:left="720" w:right="-108" w:hanging="720"/>
                      <w:jc w:val="right"/>
                      <w:textAlignment w:val="bottom"/>
                      <w:rPr>
                        <w:rFonts w:ascii="Arial" w:eastAsia="黑体" w:hAnsi="Arial" w:cs="Arial"/>
                        <w:snapToGrid w:val="0"/>
                        <w:sz w:val="20"/>
                        <w:szCs w:val="20"/>
                      </w:rPr>
                    </w:pPr>
                    <w:r w:rsidRPr="0034368E">
                      <w:rPr>
                        <w:rFonts w:ascii="Arial" w:eastAsia="黑体" w:hAnsi="Arial" w:cs="Arial" w:hint="eastAsia"/>
                        <w:snapToGrid w:val="0"/>
                        <w:sz w:val="20"/>
                        <w:szCs w:val="20"/>
                      </w:rPr>
                      <w:t>坏账准备年末余额</w:t>
                    </w:r>
                  </w:p>
                </w:tc>
              </w:tr>
              <w:tr w:rsidR="00B637B2" w:rsidRPr="001C5E43" w:rsidTr="00B637B2">
                <w:trPr>
                  <w:trHeight w:val="252"/>
                </w:trPr>
                <w:tc>
                  <w:tcPr>
                    <w:tcW w:w="866" w:type="pct"/>
                    <w:vAlign w:val="bottom"/>
                  </w:tcPr>
                  <w:p w:rsidR="00B637B2" w:rsidRPr="0034368E" w:rsidRDefault="00B637B2" w:rsidP="00B637B2">
                    <w:pPr>
                      <w:overflowPunct w:val="0"/>
                      <w:autoSpaceDE w:val="0"/>
                      <w:autoSpaceDN w:val="0"/>
                      <w:snapToGrid w:val="0"/>
                      <w:spacing w:line="280" w:lineRule="exact"/>
                      <w:ind w:left="34" w:right="-108" w:hanging="142"/>
                      <w:textAlignment w:val="bottom"/>
                      <w:rPr>
                        <w:rFonts w:ascii="Arial" w:eastAsia="黑体" w:hAnsi="Arial" w:cs="Arial"/>
                        <w:snapToGrid w:val="0"/>
                        <w:sz w:val="20"/>
                        <w:szCs w:val="20"/>
                      </w:rPr>
                    </w:pPr>
                  </w:p>
                </w:tc>
                <w:tc>
                  <w:tcPr>
                    <w:tcW w:w="1448" w:type="pct"/>
                    <w:vAlign w:val="bottom"/>
                  </w:tcPr>
                  <w:p w:rsidR="00B637B2" w:rsidRPr="0034368E" w:rsidRDefault="00B637B2" w:rsidP="00B637B2">
                    <w:pPr>
                      <w:overflowPunct w:val="0"/>
                      <w:autoSpaceDE w:val="0"/>
                      <w:autoSpaceDN w:val="0"/>
                      <w:snapToGrid w:val="0"/>
                      <w:spacing w:line="280" w:lineRule="exact"/>
                      <w:ind w:left="-66" w:right="-87" w:hanging="7"/>
                      <w:jc w:val="right"/>
                      <w:textAlignment w:val="bottom"/>
                      <w:rPr>
                        <w:rFonts w:ascii="Arial" w:eastAsia="黑体" w:hAnsi="Arial" w:cs="Arial"/>
                        <w:snapToGrid w:val="0"/>
                        <w:sz w:val="20"/>
                        <w:szCs w:val="20"/>
                      </w:rPr>
                    </w:pPr>
                  </w:p>
                </w:tc>
                <w:tc>
                  <w:tcPr>
                    <w:tcW w:w="1448" w:type="pct"/>
                    <w:vAlign w:val="bottom"/>
                  </w:tcPr>
                  <w:p w:rsidR="00B637B2" w:rsidRPr="0034368E" w:rsidRDefault="00036BDC" w:rsidP="00B637B2">
                    <w:pPr>
                      <w:overflowPunct w:val="0"/>
                      <w:autoSpaceDE w:val="0"/>
                      <w:autoSpaceDN w:val="0"/>
                      <w:snapToGrid w:val="0"/>
                      <w:spacing w:line="280" w:lineRule="exact"/>
                      <w:ind w:left="-66" w:right="-87" w:hanging="7"/>
                      <w:jc w:val="right"/>
                      <w:textAlignment w:val="bottom"/>
                      <w:rPr>
                        <w:rFonts w:ascii="Arial" w:eastAsia="黑体" w:hAnsi="Arial" w:cs="Arial"/>
                        <w:snapToGrid w:val="0"/>
                        <w:sz w:val="20"/>
                        <w:szCs w:val="20"/>
                      </w:rPr>
                    </w:pPr>
                    <w:r w:rsidRPr="0034368E">
                      <w:rPr>
                        <w:rFonts w:ascii="Arial" w:eastAsia="黑体" w:hAnsi="Arial" w:cs="Arial" w:hint="eastAsia"/>
                        <w:snapToGrid w:val="0"/>
                        <w:sz w:val="20"/>
                        <w:szCs w:val="20"/>
                      </w:rPr>
                      <w:t>占应收账款总额的比例</w:t>
                    </w:r>
                    <w:r w:rsidRPr="0034368E">
                      <w:rPr>
                        <w:rFonts w:ascii="Arial" w:eastAsia="黑体" w:hAnsi="Arial" w:cs="Arial"/>
                        <w:snapToGrid w:val="0"/>
                        <w:sz w:val="20"/>
                        <w:szCs w:val="20"/>
                      </w:rPr>
                      <w:t>(%)</w:t>
                    </w:r>
                  </w:p>
                </w:tc>
                <w:tc>
                  <w:tcPr>
                    <w:tcW w:w="1239" w:type="pct"/>
                  </w:tcPr>
                  <w:p w:rsidR="00B637B2" w:rsidRPr="0034368E" w:rsidRDefault="00B637B2" w:rsidP="00B637B2">
                    <w:pPr>
                      <w:overflowPunct w:val="0"/>
                      <w:autoSpaceDE w:val="0"/>
                      <w:autoSpaceDN w:val="0"/>
                      <w:snapToGrid w:val="0"/>
                      <w:spacing w:line="280" w:lineRule="exact"/>
                      <w:ind w:left="-66" w:right="-87" w:hanging="7"/>
                      <w:jc w:val="right"/>
                      <w:textAlignment w:val="bottom"/>
                      <w:rPr>
                        <w:rFonts w:ascii="Arial" w:eastAsia="黑体" w:hAnsi="Arial" w:cs="Arial"/>
                        <w:snapToGrid w:val="0"/>
                        <w:sz w:val="20"/>
                        <w:szCs w:val="20"/>
                      </w:rPr>
                    </w:pPr>
                  </w:p>
                </w:tc>
              </w:tr>
              <w:tr w:rsidR="00B637B2" w:rsidRPr="001C5E43" w:rsidTr="00B637B2">
                <w:trPr>
                  <w:trHeight w:val="252"/>
                </w:trPr>
                <w:tc>
                  <w:tcPr>
                    <w:tcW w:w="866" w:type="pct"/>
                    <w:vAlign w:val="bottom"/>
                  </w:tcPr>
                  <w:p w:rsidR="00B637B2" w:rsidRPr="0034368E" w:rsidRDefault="00B637B2" w:rsidP="00B637B2">
                    <w:pPr>
                      <w:overflowPunct w:val="0"/>
                      <w:autoSpaceDE w:val="0"/>
                      <w:autoSpaceDN w:val="0"/>
                      <w:snapToGrid w:val="0"/>
                      <w:spacing w:line="280" w:lineRule="exact"/>
                      <w:ind w:left="34" w:right="-108" w:hanging="142"/>
                      <w:textAlignment w:val="bottom"/>
                      <w:rPr>
                        <w:rFonts w:ascii="Arial" w:eastAsia="黑体" w:hAnsi="Arial" w:cs="Arial"/>
                        <w:snapToGrid w:val="0"/>
                        <w:sz w:val="20"/>
                        <w:szCs w:val="20"/>
                      </w:rPr>
                    </w:pPr>
                  </w:p>
                </w:tc>
                <w:tc>
                  <w:tcPr>
                    <w:tcW w:w="1448" w:type="pct"/>
                    <w:vAlign w:val="bottom"/>
                  </w:tcPr>
                  <w:p w:rsidR="00B637B2" w:rsidRPr="0034368E" w:rsidRDefault="00B637B2" w:rsidP="00B637B2">
                    <w:pPr>
                      <w:overflowPunct w:val="0"/>
                      <w:autoSpaceDE w:val="0"/>
                      <w:autoSpaceDN w:val="0"/>
                      <w:snapToGrid w:val="0"/>
                      <w:spacing w:line="280" w:lineRule="exact"/>
                      <w:ind w:left="-66" w:right="-87" w:hanging="7"/>
                      <w:jc w:val="right"/>
                      <w:textAlignment w:val="bottom"/>
                      <w:rPr>
                        <w:rFonts w:ascii="Arial" w:eastAsia="黑体" w:hAnsi="Arial" w:cs="Arial"/>
                        <w:snapToGrid w:val="0"/>
                        <w:sz w:val="20"/>
                        <w:szCs w:val="20"/>
                      </w:rPr>
                    </w:pPr>
                  </w:p>
                </w:tc>
                <w:tc>
                  <w:tcPr>
                    <w:tcW w:w="1448" w:type="pct"/>
                    <w:vAlign w:val="bottom"/>
                  </w:tcPr>
                  <w:p w:rsidR="00B637B2" w:rsidRPr="0034368E" w:rsidRDefault="00B637B2" w:rsidP="00B637B2">
                    <w:pPr>
                      <w:overflowPunct w:val="0"/>
                      <w:autoSpaceDE w:val="0"/>
                      <w:autoSpaceDN w:val="0"/>
                      <w:snapToGrid w:val="0"/>
                      <w:spacing w:line="280" w:lineRule="exact"/>
                      <w:ind w:left="-66" w:right="-87" w:hanging="7"/>
                      <w:jc w:val="right"/>
                      <w:textAlignment w:val="bottom"/>
                      <w:rPr>
                        <w:rFonts w:ascii="Arial" w:eastAsia="黑体" w:hAnsi="Arial" w:cs="Arial"/>
                        <w:snapToGrid w:val="0"/>
                        <w:sz w:val="20"/>
                        <w:szCs w:val="20"/>
                      </w:rPr>
                    </w:pPr>
                  </w:p>
                </w:tc>
                <w:tc>
                  <w:tcPr>
                    <w:tcW w:w="1239" w:type="pct"/>
                  </w:tcPr>
                  <w:p w:rsidR="00B637B2" w:rsidRPr="0034368E" w:rsidRDefault="00B637B2" w:rsidP="00B637B2">
                    <w:pPr>
                      <w:overflowPunct w:val="0"/>
                      <w:autoSpaceDE w:val="0"/>
                      <w:autoSpaceDN w:val="0"/>
                      <w:snapToGrid w:val="0"/>
                      <w:spacing w:line="280" w:lineRule="exact"/>
                      <w:ind w:left="-66" w:right="-87" w:hanging="7"/>
                      <w:jc w:val="right"/>
                      <w:textAlignment w:val="bottom"/>
                      <w:rPr>
                        <w:rFonts w:ascii="Arial" w:eastAsia="黑体" w:hAnsi="Arial" w:cs="Arial"/>
                        <w:snapToGrid w:val="0"/>
                        <w:sz w:val="20"/>
                        <w:szCs w:val="20"/>
                      </w:rPr>
                    </w:pPr>
                  </w:p>
                </w:tc>
              </w:tr>
              <w:tr w:rsidR="00B637B2" w:rsidRPr="001C5E43" w:rsidTr="00B637B2">
                <w:trPr>
                  <w:trHeight w:val="252"/>
                </w:trPr>
                <w:tc>
                  <w:tcPr>
                    <w:tcW w:w="866" w:type="pct"/>
                    <w:vAlign w:val="bottom"/>
                  </w:tcPr>
                  <w:p w:rsidR="00B637B2" w:rsidRPr="0034368E" w:rsidRDefault="00036BDC" w:rsidP="00B637B2">
                    <w:pPr>
                      <w:spacing w:line="240" w:lineRule="exact"/>
                      <w:rPr>
                        <w:rFonts w:ascii="Arial" w:eastAsia="黑体" w:hAnsi="Arial" w:cs="Arial"/>
                        <w:snapToGrid w:val="0"/>
                        <w:sz w:val="20"/>
                        <w:szCs w:val="20"/>
                      </w:rPr>
                    </w:pPr>
                    <w:r w:rsidRPr="0034368E">
                      <w:rPr>
                        <w:rFonts w:ascii="Arial" w:eastAsia="黑体" w:hAnsi="Arial" w:cs="Arial" w:hint="eastAsia"/>
                        <w:snapToGrid w:val="0"/>
                        <w:sz w:val="20"/>
                        <w:szCs w:val="20"/>
                      </w:rPr>
                      <w:t>单位</w:t>
                    </w:r>
                    <w:r w:rsidRPr="0034368E">
                      <w:rPr>
                        <w:rFonts w:ascii="Arial" w:eastAsia="黑体" w:hAnsi="Arial" w:cs="Arial"/>
                        <w:snapToGrid w:val="0"/>
                        <w:sz w:val="20"/>
                        <w:szCs w:val="20"/>
                      </w:rPr>
                      <w:t>1</w:t>
                    </w:r>
                  </w:p>
                </w:tc>
                <w:tc>
                  <w:tcPr>
                    <w:tcW w:w="1448" w:type="pct"/>
                    <w:vAlign w:val="center"/>
                  </w:tcPr>
                  <w:p w:rsidR="00B637B2" w:rsidRPr="0034368E" w:rsidRDefault="00036BDC" w:rsidP="00B637B2">
                    <w:pPr>
                      <w:spacing w:line="240" w:lineRule="exact"/>
                      <w:jc w:val="right"/>
                      <w:rPr>
                        <w:rFonts w:ascii="Arial" w:eastAsia="黑体" w:hAnsi="Arial" w:cs="Arial"/>
                        <w:color w:val="000000"/>
                        <w:sz w:val="20"/>
                        <w:szCs w:val="20"/>
                      </w:rPr>
                    </w:pPr>
                    <w:r>
                      <w:rPr>
                        <w:rFonts w:ascii="Arial" w:eastAsia="等线" w:hAnsi="Arial" w:cs="Arial"/>
                        <w:sz w:val="20"/>
                        <w:szCs w:val="20"/>
                      </w:rPr>
                      <w:t xml:space="preserve">           </w:t>
                    </w:r>
                    <w:r w:rsidRPr="00935D78">
                      <w:rPr>
                        <w:rFonts w:ascii="Arial" w:eastAsia="等线" w:hAnsi="Arial" w:cs="Arial"/>
                        <w:sz w:val="20"/>
                        <w:szCs w:val="20"/>
                      </w:rPr>
                      <w:t xml:space="preserve">11,758,641 </w:t>
                    </w:r>
                    <w:r>
                      <w:rPr>
                        <w:rFonts w:ascii="Arial" w:eastAsia="等线" w:hAnsi="Arial" w:cs="Arial"/>
                        <w:sz w:val="20"/>
                        <w:szCs w:val="20"/>
                      </w:rPr>
                      <w:t xml:space="preserve"> </w:t>
                    </w:r>
                  </w:p>
                </w:tc>
                <w:tc>
                  <w:tcPr>
                    <w:tcW w:w="1448" w:type="pct"/>
                    <w:vAlign w:val="center"/>
                  </w:tcPr>
                  <w:p w:rsidR="00B637B2" w:rsidRPr="0034368E" w:rsidRDefault="00036BDC" w:rsidP="00B637B2">
                    <w:pPr>
                      <w:spacing w:line="240" w:lineRule="exact"/>
                      <w:jc w:val="right"/>
                      <w:rPr>
                        <w:rFonts w:ascii="Arial" w:eastAsia="黑体" w:hAnsi="Arial" w:cs="Arial"/>
                        <w:color w:val="000000"/>
                        <w:sz w:val="20"/>
                        <w:szCs w:val="20"/>
                      </w:rPr>
                    </w:pPr>
                    <w:r w:rsidRPr="00935D78">
                      <w:rPr>
                        <w:rFonts w:ascii="Arial" w:eastAsia="黑体" w:hAnsi="Arial" w:cs="Arial"/>
                        <w:color w:val="000000"/>
                        <w:sz w:val="20"/>
                        <w:szCs w:val="20"/>
                      </w:rPr>
                      <w:t>1.48</w:t>
                    </w:r>
                  </w:p>
                </w:tc>
                <w:tc>
                  <w:tcPr>
                    <w:tcW w:w="1239" w:type="pct"/>
                    <w:vAlign w:val="center"/>
                  </w:tcPr>
                  <w:p w:rsidR="00B637B2" w:rsidRPr="0034368E" w:rsidRDefault="00036BDC" w:rsidP="00B637B2">
                    <w:pPr>
                      <w:spacing w:line="240" w:lineRule="exact"/>
                      <w:jc w:val="right"/>
                      <w:rPr>
                        <w:rFonts w:ascii="Arial" w:eastAsia="黑体" w:hAnsi="Arial" w:cs="Arial"/>
                        <w:color w:val="000000"/>
                        <w:sz w:val="20"/>
                        <w:szCs w:val="20"/>
                      </w:rPr>
                    </w:pPr>
                    <w:r w:rsidRPr="00935D78">
                      <w:rPr>
                        <w:rFonts w:ascii="Arial" w:eastAsia="黑体" w:hAnsi="Arial" w:cs="Arial"/>
                        <w:color w:val="000000"/>
                        <w:sz w:val="20"/>
                        <w:szCs w:val="20"/>
                      </w:rPr>
                      <w:t>2,460,696</w:t>
                    </w:r>
                  </w:p>
                </w:tc>
              </w:tr>
              <w:tr w:rsidR="00B637B2" w:rsidRPr="001C5E43" w:rsidTr="00B637B2">
                <w:trPr>
                  <w:trHeight w:val="252"/>
                </w:trPr>
                <w:tc>
                  <w:tcPr>
                    <w:tcW w:w="866" w:type="pct"/>
                    <w:vAlign w:val="bottom"/>
                  </w:tcPr>
                  <w:p w:rsidR="00B637B2" w:rsidRPr="0034368E" w:rsidRDefault="00036BDC" w:rsidP="00B637B2">
                    <w:pPr>
                      <w:spacing w:line="240" w:lineRule="exact"/>
                      <w:rPr>
                        <w:rFonts w:ascii="Arial" w:eastAsia="黑体" w:hAnsi="Arial" w:cs="Arial"/>
                        <w:snapToGrid w:val="0"/>
                        <w:sz w:val="20"/>
                        <w:szCs w:val="20"/>
                      </w:rPr>
                    </w:pPr>
                    <w:r w:rsidRPr="0034368E">
                      <w:rPr>
                        <w:rFonts w:ascii="Arial" w:eastAsia="黑体" w:hAnsi="Arial" w:cs="Arial" w:hint="eastAsia"/>
                        <w:snapToGrid w:val="0"/>
                        <w:sz w:val="20"/>
                        <w:szCs w:val="20"/>
                      </w:rPr>
                      <w:t>单位</w:t>
                    </w:r>
                    <w:r w:rsidRPr="0034368E">
                      <w:rPr>
                        <w:rFonts w:ascii="Arial" w:eastAsia="黑体" w:hAnsi="Arial" w:cs="Arial"/>
                        <w:snapToGrid w:val="0"/>
                        <w:sz w:val="20"/>
                        <w:szCs w:val="20"/>
                      </w:rPr>
                      <w:t>2</w:t>
                    </w:r>
                  </w:p>
                </w:tc>
                <w:tc>
                  <w:tcPr>
                    <w:tcW w:w="1448" w:type="pct"/>
                    <w:vAlign w:val="center"/>
                  </w:tcPr>
                  <w:p w:rsidR="00B637B2" w:rsidRPr="0034368E" w:rsidRDefault="00036BDC" w:rsidP="00B637B2">
                    <w:pPr>
                      <w:spacing w:line="240" w:lineRule="exact"/>
                      <w:jc w:val="right"/>
                      <w:rPr>
                        <w:rFonts w:ascii="Arial" w:eastAsia="黑体" w:hAnsi="Arial" w:cs="Arial"/>
                        <w:color w:val="000000"/>
                        <w:sz w:val="20"/>
                        <w:szCs w:val="20"/>
                      </w:rPr>
                    </w:pPr>
                    <w:r>
                      <w:rPr>
                        <w:rFonts w:ascii="Arial" w:eastAsia="等线" w:hAnsi="Arial" w:cs="Arial"/>
                        <w:sz w:val="20"/>
                        <w:szCs w:val="20"/>
                      </w:rPr>
                      <w:t xml:space="preserve">           </w:t>
                    </w:r>
                    <w:r w:rsidRPr="00935D78">
                      <w:rPr>
                        <w:rFonts w:ascii="Arial" w:eastAsia="等线" w:hAnsi="Arial" w:cs="Arial"/>
                        <w:sz w:val="20"/>
                        <w:szCs w:val="20"/>
                      </w:rPr>
                      <w:t xml:space="preserve">6,314,646 </w:t>
                    </w:r>
                    <w:r>
                      <w:rPr>
                        <w:rFonts w:ascii="Arial" w:eastAsia="等线" w:hAnsi="Arial" w:cs="Arial"/>
                        <w:sz w:val="20"/>
                        <w:szCs w:val="20"/>
                      </w:rPr>
                      <w:t xml:space="preserve"> </w:t>
                    </w:r>
                  </w:p>
                </w:tc>
                <w:tc>
                  <w:tcPr>
                    <w:tcW w:w="1448" w:type="pct"/>
                    <w:vAlign w:val="center"/>
                  </w:tcPr>
                  <w:p w:rsidR="00B637B2" w:rsidRPr="0034368E" w:rsidRDefault="00036BDC" w:rsidP="00B637B2">
                    <w:pPr>
                      <w:spacing w:line="240" w:lineRule="exact"/>
                      <w:jc w:val="right"/>
                      <w:rPr>
                        <w:rFonts w:ascii="Arial" w:eastAsia="黑体" w:hAnsi="Arial" w:cs="Arial"/>
                        <w:color w:val="000000"/>
                        <w:sz w:val="20"/>
                        <w:szCs w:val="20"/>
                      </w:rPr>
                    </w:pPr>
                    <w:r w:rsidRPr="00935D78">
                      <w:rPr>
                        <w:rFonts w:ascii="Arial" w:eastAsia="黑体" w:hAnsi="Arial" w:cs="Arial"/>
                        <w:color w:val="000000"/>
                        <w:sz w:val="20"/>
                        <w:szCs w:val="20"/>
                      </w:rPr>
                      <w:t>0.79</w:t>
                    </w:r>
                  </w:p>
                </w:tc>
                <w:tc>
                  <w:tcPr>
                    <w:tcW w:w="1239" w:type="pct"/>
                    <w:vAlign w:val="center"/>
                  </w:tcPr>
                  <w:p w:rsidR="00B637B2" w:rsidRPr="0034368E" w:rsidRDefault="00036BDC" w:rsidP="00B637B2">
                    <w:pPr>
                      <w:spacing w:line="240" w:lineRule="exact"/>
                      <w:jc w:val="right"/>
                      <w:rPr>
                        <w:rFonts w:ascii="Arial" w:eastAsia="黑体" w:hAnsi="Arial" w:cs="Arial"/>
                        <w:color w:val="000000"/>
                        <w:sz w:val="20"/>
                        <w:szCs w:val="20"/>
                      </w:rPr>
                    </w:pPr>
                    <w:r w:rsidRPr="00935D78">
                      <w:rPr>
                        <w:rFonts w:ascii="Arial" w:eastAsia="黑体" w:hAnsi="Arial" w:cs="Arial"/>
                        <w:color w:val="000000"/>
                        <w:sz w:val="20"/>
                        <w:szCs w:val="20"/>
                      </w:rPr>
                      <w:t>591,824</w:t>
                    </w:r>
                  </w:p>
                </w:tc>
              </w:tr>
              <w:tr w:rsidR="00B637B2" w:rsidRPr="001C5E43" w:rsidTr="00B637B2">
                <w:trPr>
                  <w:trHeight w:val="252"/>
                </w:trPr>
                <w:tc>
                  <w:tcPr>
                    <w:tcW w:w="866" w:type="pct"/>
                    <w:vAlign w:val="bottom"/>
                  </w:tcPr>
                  <w:p w:rsidR="00B637B2" w:rsidRPr="0034368E" w:rsidRDefault="00036BDC" w:rsidP="00B637B2">
                    <w:pPr>
                      <w:spacing w:line="240" w:lineRule="exact"/>
                      <w:rPr>
                        <w:rFonts w:ascii="Arial" w:eastAsia="黑体" w:hAnsi="Arial" w:cs="Arial"/>
                        <w:snapToGrid w:val="0"/>
                        <w:sz w:val="20"/>
                        <w:szCs w:val="20"/>
                      </w:rPr>
                    </w:pPr>
                    <w:r w:rsidRPr="0034368E">
                      <w:rPr>
                        <w:rFonts w:ascii="Arial" w:eastAsia="黑体" w:hAnsi="Arial" w:cs="Arial" w:hint="eastAsia"/>
                        <w:snapToGrid w:val="0"/>
                        <w:sz w:val="20"/>
                        <w:szCs w:val="20"/>
                      </w:rPr>
                      <w:t>单位</w:t>
                    </w:r>
                    <w:r w:rsidRPr="0034368E">
                      <w:rPr>
                        <w:rFonts w:ascii="Arial" w:eastAsia="黑体" w:hAnsi="Arial" w:cs="Arial"/>
                        <w:snapToGrid w:val="0"/>
                        <w:sz w:val="20"/>
                        <w:szCs w:val="20"/>
                      </w:rPr>
                      <w:t>3</w:t>
                    </w:r>
                  </w:p>
                </w:tc>
                <w:tc>
                  <w:tcPr>
                    <w:tcW w:w="1448" w:type="pct"/>
                    <w:vAlign w:val="center"/>
                  </w:tcPr>
                  <w:p w:rsidR="00B637B2" w:rsidRPr="0034368E" w:rsidRDefault="00036BDC" w:rsidP="00B637B2">
                    <w:pPr>
                      <w:spacing w:line="240" w:lineRule="exact"/>
                      <w:jc w:val="right"/>
                      <w:rPr>
                        <w:rFonts w:ascii="Arial" w:eastAsia="黑体" w:hAnsi="Arial" w:cs="Arial"/>
                        <w:color w:val="000000"/>
                        <w:sz w:val="20"/>
                        <w:szCs w:val="20"/>
                      </w:rPr>
                    </w:pPr>
                    <w:r>
                      <w:rPr>
                        <w:rFonts w:ascii="Arial" w:eastAsia="等线" w:hAnsi="Arial" w:cs="Arial"/>
                        <w:sz w:val="20"/>
                        <w:szCs w:val="20"/>
                      </w:rPr>
                      <w:t xml:space="preserve">           </w:t>
                    </w:r>
                    <w:r w:rsidRPr="00935D78">
                      <w:rPr>
                        <w:rFonts w:ascii="Arial" w:eastAsia="等线" w:hAnsi="Arial" w:cs="Arial"/>
                        <w:sz w:val="20"/>
                        <w:szCs w:val="20"/>
                      </w:rPr>
                      <w:t xml:space="preserve">5,335,326 </w:t>
                    </w:r>
                    <w:r>
                      <w:rPr>
                        <w:rFonts w:ascii="Arial" w:eastAsia="等线" w:hAnsi="Arial" w:cs="Arial"/>
                        <w:sz w:val="20"/>
                        <w:szCs w:val="20"/>
                      </w:rPr>
                      <w:t xml:space="preserve"> </w:t>
                    </w:r>
                  </w:p>
                </w:tc>
                <w:tc>
                  <w:tcPr>
                    <w:tcW w:w="1448" w:type="pct"/>
                    <w:vAlign w:val="center"/>
                  </w:tcPr>
                  <w:p w:rsidR="00B637B2" w:rsidRPr="0034368E" w:rsidRDefault="00036BDC" w:rsidP="00B637B2">
                    <w:pPr>
                      <w:spacing w:line="240" w:lineRule="exact"/>
                      <w:jc w:val="right"/>
                      <w:rPr>
                        <w:rFonts w:ascii="Arial" w:eastAsia="黑体" w:hAnsi="Arial" w:cs="Arial"/>
                        <w:color w:val="000000"/>
                        <w:sz w:val="20"/>
                        <w:szCs w:val="20"/>
                      </w:rPr>
                    </w:pPr>
                    <w:r w:rsidRPr="00935D78">
                      <w:rPr>
                        <w:rFonts w:ascii="Arial" w:eastAsia="黑体" w:hAnsi="Arial" w:cs="Arial"/>
                        <w:color w:val="000000"/>
                        <w:sz w:val="20"/>
                        <w:szCs w:val="20"/>
                      </w:rPr>
                      <w:t>0.67</w:t>
                    </w:r>
                  </w:p>
                </w:tc>
                <w:tc>
                  <w:tcPr>
                    <w:tcW w:w="1239" w:type="pct"/>
                    <w:vAlign w:val="center"/>
                  </w:tcPr>
                  <w:p w:rsidR="00B637B2" w:rsidRPr="0034368E" w:rsidRDefault="00036BDC" w:rsidP="00B637B2">
                    <w:pPr>
                      <w:spacing w:line="240" w:lineRule="exact"/>
                      <w:jc w:val="right"/>
                      <w:rPr>
                        <w:rFonts w:ascii="Arial" w:eastAsia="黑体" w:hAnsi="Arial" w:cs="Arial"/>
                        <w:color w:val="000000"/>
                        <w:sz w:val="20"/>
                        <w:szCs w:val="20"/>
                      </w:rPr>
                    </w:pPr>
                    <w:r>
                      <w:rPr>
                        <w:rFonts w:ascii="Arial" w:eastAsia="等线" w:hAnsi="Arial" w:cs="Arial"/>
                        <w:sz w:val="20"/>
                        <w:szCs w:val="20"/>
                      </w:rPr>
                      <w:t xml:space="preserve">          </w:t>
                    </w:r>
                    <w:r w:rsidRPr="00935D78">
                      <w:rPr>
                        <w:rFonts w:ascii="Arial" w:eastAsia="等线" w:hAnsi="Arial" w:cs="Arial"/>
                        <w:sz w:val="20"/>
                        <w:szCs w:val="20"/>
                      </w:rPr>
                      <w:t>1,349,991</w:t>
                    </w:r>
                  </w:p>
                </w:tc>
              </w:tr>
              <w:tr w:rsidR="00B637B2" w:rsidRPr="001C5E43" w:rsidTr="00B637B2">
                <w:trPr>
                  <w:trHeight w:val="252"/>
                </w:trPr>
                <w:tc>
                  <w:tcPr>
                    <w:tcW w:w="866" w:type="pct"/>
                    <w:vAlign w:val="bottom"/>
                  </w:tcPr>
                  <w:p w:rsidR="00B637B2" w:rsidRPr="0034368E" w:rsidRDefault="00036BDC" w:rsidP="00B637B2">
                    <w:pPr>
                      <w:spacing w:line="240" w:lineRule="exact"/>
                      <w:rPr>
                        <w:rFonts w:ascii="Arial" w:eastAsia="黑体" w:hAnsi="Arial" w:cs="Arial"/>
                        <w:snapToGrid w:val="0"/>
                        <w:sz w:val="20"/>
                        <w:szCs w:val="20"/>
                      </w:rPr>
                    </w:pPr>
                    <w:r w:rsidRPr="0034368E">
                      <w:rPr>
                        <w:rFonts w:ascii="Arial" w:eastAsia="黑体" w:hAnsi="Arial" w:cs="Arial" w:hint="eastAsia"/>
                        <w:snapToGrid w:val="0"/>
                        <w:sz w:val="20"/>
                        <w:szCs w:val="20"/>
                      </w:rPr>
                      <w:t>单位</w:t>
                    </w:r>
                    <w:r w:rsidRPr="0034368E">
                      <w:rPr>
                        <w:rFonts w:ascii="Arial" w:eastAsia="黑体" w:hAnsi="Arial" w:cs="Arial"/>
                        <w:snapToGrid w:val="0"/>
                        <w:sz w:val="20"/>
                        <w:szCs w:val="20"/>
                      </w:rPr>
                      <w:t>4</w:t>
                    </w:r>
                  </w:p>
                </w:tc>
                <w:tc>
                  <w:tcPr>
                    <w:tcW w:w="1448" w:type="pct"/>
                    <w:vAlign w:val="center"/>
                  </w:tcPr>
                  <w:p w:rsidR="00B637B2" w:rsidRPr="0034368E" w:rsidRDefault="00036BDC" w:rsidP="00B637B2">
                    <w:pPr>
                      <w:spacing w:line="240" w:lineRule="exact"/>
                      <w:jc w:val="right"/>
                      <w:rPr>
                        <w:rFonts w:ascii="Arial" w:eastAsia="黑体" w:hAnsi="Arial" w:cs="Arial"/>
                        <w:color w:val="000000"/>
                        <w:sz w:val="20"/>
                        <w:szCs w:val="20"/>
                      </w:rPr>
                    </w:pPr>
                    <w:r>
                      <w:rPr>
                        <w:rFonts w:ascii="Arial" w:eastAsia="等线" w:hAnsi="Arial" w:cs="Arial"/>
                        <w:sz w:val="20"/>
                        <w:szCs w:val="20"/>
                      </w:rPr>
                      <w:t xml:space="preserve">             </w:t>
                    </w:r>
                    <w:r w:rsidRPr="00935D78">
                      <w:rPr>
                        <w:rFonts w:ascii="Arial" w:eastAsia="等线" w:hAnsi="Arial" w:cs="Arial"/>
                        <w:sz w:val="20"/>
                        <w:szCs w:val="20"/>
                      </w:rPr>
                      <w:t xml:space="preserve">5,396,101 </w:t>
                    </w:r>
                    <w:r>
                      <w:rPr>
                        <w:rFonts w:ascii="Arial" w:eastAsia="等线" w:hAnsi="Arial" w:cs="Arial"/>
                        <w:sz w:val="20"/>
                        <w:szCs w:val="20"/>
                      </w:rPr>
                      <w:t xml:space="preserve"> </w:t>
                    </w:r>
                  </w:p>
                </w:tc>
                <w:tc>
                  <w:tcPr>
                    <w:tcW w:w="1448" w:type="pct"/>
                    <w:vAlign w:val="center"/>
                  </w:tcPr>
                  <w:p w:rsidR="00B637B2" w:rsidRPr="0034368E" w:rsidRDefault="00036BDC" w:rsidP="00B637B2">
                    <w:pPr>
                      <w:spacing w:line="240" w:lineRule="exact"/>
                      <w:jc w:val="right"/>
                      <w:rPr>
                        <w:rFonts w:ascii="Arial" w:eastAsia="黑体" w:hAnsi="Arial" w:cs="Arial"/>
                        <w:color w:val="000000"/>
                        <w:sz w:val="20"/>
                        <w:szCs w:val="20"/>
                      </w:rPr>
                    </w:pPr>
                    <w:r w:rsidRPr="00935D78">
                      <w:rPr>
                        <w:rFonts w:ascii="Arial" w:eastAsia="黑体" w:hAnsi="Arial" w:cs="Arial"/>
                        <w:color w:val="000000"/>
                        <w:sz w:val="20"/>
                        <w:szCs w:val="20"/>
                      </w:rPr>
                      <w:t>0.68</w:t>
                    </w:r>
                  </w:p>
                </w:tc>
                <w:tc>
                  <w:tcPr>
                    <w:tcW w:w="1239" w:type="pct"/>
                    <w:vAlign w:val="center"/>
                  </w:tcPr>
                  <w:p w:rsidR="00B637B2" w:rsidRPr="0034368E" w:rsidRDefault="00036BDC" w:rsidP="00B637B2">
                    <w:pPr>
                      <w:spacing w:line="240" w:lineRule="exact"/>
                      <w:jc w:val="right"/>
                      <w:rPr>
                        <w:rFonts w:ascii="Arial" w:eastAsia="黑体" w:hAnsi="Arial" w:cs="Arial"/>
                        <w:color w:val="000000"/>
                        <w:sz w:val="20"/>
                        <w:szCs w:val="20"/>
                      </w:rPr>
                    </w:pPr>
                    <w:r>
                      <w:rPr>
                        <w:rFonts w:ascii="Arial" w:eastAsia="等线" w:hAnsi="Arial" w:cs="Arial"/>
                        <w:sz w:val="20"/>
                        <w:szCs w:val="20"/>
                      </w:rPr>
                      <w:t xml:space="preserve">      </w:t>
                    </w:r>
                    <w:r w:rsidRPr="00935D78">
                      <w:rPr>
                        <w:rFonts w:ascii="Arial" w:eastAsia="等线" w:hAnsi="Arial" w:cs="Arial"/>
                        <w:sz w:val="20"/>
                        <w:szCs w:val="20"/>
                      </w:rPr>
                      <w:t>646,649</w:t>
                    </w:r>
                  </w:p>
                </w:tc>
              </w:tr>
              <w:tr w:rsidR="00B637B2" w:rsidRPr="001C5E43" w:rsidTr="00B637B2">
                <w:trPr>
                  <w:trHeight w:val="252"/>
                </w:trPr>
                <w:tc>
                  <w:tcPr>
                    <w:tcW w:w="866" w:type="pct"/>
                    <w:vAlign w:val="bottom"/>
                  </w:tcPr>
                  <w:p w:rsidR="00B637B2" w:rsidRPr="0034368E" w:rsidRDefault="00036BDC" w:rsidP="00B637B2">
                    <w:pPr>
                      <w:spacing w:line="240" w:lineRule="exact"/>
                      <w:rPr>
                        <w:rFonts w:ascii="Arial" w:eastAsia="黑体" w:hAnsi="Arial" w:cs="Arial"/>
                        <w:snapToGrid w:val="0"/>
                        <w:sz w:val="20"/>
                        <w:szCs w:val="20"/>
                      </w:rPr>
                    </w:pPr>
                    <w:r w:rsidRPr="0034368E">
                      <w:rPr>
                        <w:rFonts w:ascii="Arial" w:eastAsia="黑体" w:hAnsi="Arial" w:cs="Arial" w:hint="eastAsia"/>
                        <w:snapToGrid w:val="0"/>
                        <w:sz w:val="20"/>
                        <w:szCs w:val="20"/>
                      </w:rPr>
                      <w:t>单位</w:t>
                    </w:r>
                    <w:r w:rsidRPr="0034368E">
                      <w:rPr>
                        <w:rFonts w:ascii="Arial" w:eastAsia="黑体" w:hAnsi="Arial" w:cs="Arial"/>
                        <w:snapToGrid w:val="0"/>
                        <w:sz w:val="20"/>
                        <w:szCs w:val="20"/>
                      </w:rPr>
                      <w:t>5</w:t>
                    </w:r>
                  </w:p>
                </w:tc>
                <w:tc>
                  <w:tcPr>
                    <w:tcW w:w="1448" w:type="pct"/>
                    <w:vAlign w:val="center"/>
                  </w:tcPr>
                  <w:p w:rsidR="00B637B2" w:rsidRPr="0034368E" w:rsidRDefault="00036BDC" w:rsidP="00B637B2">
                    <w:pPr>
                      <w:spacing w:line="240" w:lineRule="exact"/>
                      <w:jc w:val="right"/>
                      <w:rPr>
                        <w:rFonts w:ascii="Arial" w:eastAsia="黑体" w:hAnsi="Arial" w:cs="Arial"/>
                        <w:snapToGrid w:val="0"/>
                        <w:sz w:val="20"/>
                        <w:szCs w:val="20"/>
                        <w:u w:val="single"/>
                      </w:rPr>
                    </w:pPr>
                    <w:r w:rsidRPr="00FA2370">
                      <w:rPr>
                        <w:rFonts w:ascii="Arial" w:eastAsia="黑体" w:hAnsi="Arial" w:cs="Arial"/>
                        <w:color w:val="000000"/>
                        <w:sz w:val="20"/>
                        <w:szCs w:val="20"/>
                        <w:u w:val="single"/>
                      </w:rPr>
                      <w:t xml:space="preserve"> </w:t>
                    </w:r>
                    <w:r w:rsidRPr="00935D78">
                      <w:rPr>
                        <w:rFonts w:ascii="Arial" w:eastAsia="黑体" w:hAnsi="Arial" w:cs="Arial"/>
                        <w:color w:val="000000"/>
                        <w:sz w:val="20"/>
                        <w:szCs w:val="20"/>
                        <w:u w:val="single"/>
                      </w:rPr>
                      <w:t>7,267,740</w:t>
                    </w:r>
                  </w:p>
                </w:tc>
                <w:tc>
                  <w:tcPr>
                    <w:tcW w:w="1448" w:type="pct"/>
                    <w:vAlign w:val="center"/>
                  </w:tcPr>
                  <w:p w:rsidR="00B637B2" w:rsidRPr="0034368E" w:rsidRDefault="00036BDC" w:rsidP="00B637B2">
                    <w:pPr>
                      <w:spacing w:line="240" w:lineRule="exact"/>
                      <w:jc w:val="right"/>
                      <w:rPr>
                        <w:rFonts w:ascii="Arial" w:eastAsia="黑体" w:hAnsi="Arial" w:cs="Arial"/>
                        <w:snapToGrid w:val="0"/>
                        <w:sz w:val="20"/>
                        <w:szCs w:val="20"/>
                        <w:u w:val="single"/>
                      </w:rPr>
                    </w:pPr>
                    <w:r w:rsidRPr="00935D78">
                      <w:rPr>
                        <w:rFonts w:ascii="Arial" w:eastAsia="黑体" w:hAnsi="Arial" w:cs="Arial"/>
                        <w:snapToGrid w:val="0"/>
                        <w:sz w:val="20"/>
                        <w:szCs w:val="20"/>
                        <w:u w:val="single"/>
                      </w:rPr>
                      <w:t>0.91</w:t>
                    </w:r>
                  </w:p>
                </w:tc>
                <w:tc>
                  <w:tcPr>
                    <w:tcW w:w="1239" w:type="pct"/>
                    <w:vAlign w:val="center"/>
                  </w:tcPr>
                  <w:p w:rsidR="00B637B2" w:rsidRPr="0034368E" w:rsidRDefault="00036BDC" w:rsidP="00B637B2">
                    <w:pPr>
                      <w:spacing w:line="240" w:lineRule="exact"/>
                      <w:jc w:val="right"/>
                      <w:rPr>
                        <w:rFonts w:ascii="Arial" w:eastAsia="黑体" w:hAnsi="Arial" w:cs="Arial"/>
                        <w:snapToGrid w:val="0"/>
                        <w:sz w:val="20"/>
                        <w:szCs w:val="20"/>
                        <w:u w:val="single"/>
                      </w:rPr>
                    </w:pPr>
                    <w:r>
                      <w:rPr>
                        <w:rFonts w:ascii="Arial" w:eastAsia="黑体" w:hAnsi="Arial" w:cs="Arial"/>
                        <w:color w:val="000000"/>
                        <w:sz w:val="20"/>
                        <w:szCs w:val="20"/>
                        <w:u w:val="single"/>
                      </w:rPr>
                      <w:t xml:space="preserve"> </w:t>
                    </w:r>
                    <w:r w:rsidRPr="00FA2370">
                      <w:rPr>
                        <w:rFonts w:ascii="Arial" w:eastAsia="黑体" w:hAnsi="Arial" w:cs="Arial"/>
                        <w:color w:val="000000"/>
                        <w:sz w:val="20"/>
                        <w:szCs w:val="20"/>
                        <w:u w:val="single"/>
                      </w:rPr>
                      <w:t xml:space="preserve"> </w:t>
                    </w:r>
                    <w:r w:rsidRPr="00935D78">
                      <w:rPr>
                        <w:rFonts w:ascii="Arial" w:eastAsia="黑体" w:hAnsi="Arial" w:cs="Arial"/>
                        <w:color w:val="000000"/>
                        <w:sz w:val="20"/>
                        <w:szCs w:val="20"/>
                        <w:u w:val="single"/>
                      </w:rPr>
                      <w:t>681,151</w:t>
                    </w:r>
                  </w:p>
                </w:tc>
              </w:tr>
              <w:tr w:rsidR="00B637B2" w:rsidRPr="001C5E43" w:rsidTr="00B637B2">
                <w:trPr>
                  <w:trHeight w:val="252"/>
                </w:trPr>
                <w:tc>
                  <w:tcPr>
                    <w:tcW w:w="866" w:type="pct"/>
                    <w:vAlign w:val="bottom"/>
                  </w:tcPr>
                  <w:p w:rsidR="00B637B2" w:rsidRPr="0034368E" w:rsidRDefault="00B637B2" w:rsidP="00B637B2">
                    <w:pPr>
                      <w:spacing w:line="240" w:lineRule="exact"/>
                      <w:rPr>
                        <w:rFonts w:ascii="Arial" w:eastAsia="黑体" w:hAnsi="Arial" w:cs="Arial"/>
                        <w:snapToGrid w:val="0"/>
                        <w:sz w:val="20"/>
                        <w:szCs w:val="20"/>
                      </w:rPr>
                    </w:pPr>
                  </w:p>
                </w:tc>
                <w:tc>
                  <w:tcPr>
                    <w:tcW w:w="1448" w:type="pct"/>
                    <w:vAlign w:val="center"/>
                  </w:tcPr>
                  <w:p w:rsidR="00B637B2" w:rsidRPr="0034368E" w:rsidRDefault="00B637B2" w:rsidP="00B637B2">
                    <w:pPr>
                      <w:spacing w:line="240" w:lineRule="exact"/>
                      <w:jc w:val="right"/>
                      <w:rPr>
                        <w:rFonts w:ascii="Arial" w:eastAsia="黑体" w:hAnsi="Arial" w:cs="Arial"/>
                        <w:color w:val="000000"/>
                        <w:sz w:val="20"/>
                        <w:szCs w:val="20"/>
                      </w:rPr>
                    </w:pPr>
                  </w:p>
                </w:tc>
                <w:tc>
                  <w:tcPr>
                    <w:tcW w:w="1448" w:type="pct"/>
                    <w:vAlign w:val="center"/>
                  </w:tcPr>
                  <w:p w:rsidR="00B637B2" w:rsidRPr="0034368E" w:rsidRDefault="00B637B2" w:rsidP="00B637B2">
                    <w:pPr>
                      <w:spacing w:line="240" w:lineRule="exact"/>
                      <w:jc w:val="right"/>
                      <w:rPr>
                        <w:rFonts w:ascii="Arial" w:eastAsia="黑体" w:hAnsi="Arial" w:cs="Arial"/>
                        <w:color w:val="000000"/>
                        <w:sz w:val="20"/>
                        <w:szCs w:val="20"/>
                      </w:rPr>
                    </w:pPr>
                  </w:p>
                </w:tc>
                <w:tc>
                  <w:tcPr>
                    <w:tcW w:w="1239" w:type="pct"/>
                    <w:vAlign w:val="center"/>
                  </w:tcPr>
                  <w:p w:rsidR="00B637B2" w:rsidRPr="0034368E" w:rsidRDefault="00B637B2" w:rsidP="00B637B2">
                    <w:pPr>
                      <w:spacing w:line="240" w:lineRule="exact"/>
                      <w:jc w:val="right"/>
                      <w:rPr>
                        <w:rFonts w:ascii="Arial" w:eastAsia="黑体" w:hAnsi="Arial" w:cs="Arial"/>
                        <w:color w:val="000000"/>
                        <w:sz w:val="20"/>
                        <w:szCs w:val="20"/>
                      </w:rPr>
                    </w:pPr>
                  </w:p>
                </w:tc>
              </w:tr>
              <w:tr w:rsidR="00B637B2" w:rsidRPr="001C5E43" w:rsidTr="00B637B2">
                <w:trPr>
                  <w:trHeight w:val="252"/>
                </w:trPr>
                <w:tc>
                  <w:tcPr>
                    <w:tcW w:w="866" w:type="pct"/>
                    <w:vAlign w:val="bottom"/>
                  </w:tcPr>
                  <w:p w:rsidR="00B637B2" w:rsidRPr="0034368E" w:rsidRDefault="00B637B2" w:rsidP="00B637B2">
                    <w:pPr>
                      <w:spacing w:line="240" w:lineRule="exact"/>
                      <w:rPr>
                        <w:rFonts w:ascii="Arial" w:eastAsia="黑体" w:hAnsi="Arial" w:cs="Arial"/>
                        <w:snapToGrid w:val="0"/>
                        <w:sz w:val="20"/>
                        <w:szCs w:val="20"/>
                      </w:rPr>
                    </w:pPr>
                  </w:p>
                </w:tc>
                <w:tc>
                  <w:tcPr>
                    <w:tcW w:w="1448" w:type="pct"/>
                    <w:vAlign w:val="center"/>
                  </w:tcPr>
                  <w:p w:rsidR="00B637B2" w:rsidRPr="0034368E" w:rsidRDefault="00036BDC" w:rsidP="00B637B2">
                    <w:pPr>
                      <w:spacing w:line="240" w:lineRule="exact"/>
                      <w:jc w:val="right"/>
                      <w:rPr>
                        <w:rFonts w:ascii="Arial" w:eastAsia="黑体" w:hAnsi="Arial" w:cs="Arial"/>
                        <w:snapToGrid w:val="0"/>
                        <w:sz w:val="20"/>
                        <w:szCs w:val="20"/>
                        <w:u w:val="double"/>
                      </w:rPr>
                    </w:pPr>
                    <w:r w:rsidRPr="00935D78">
                      <w:rPr>
                        <w:rFonts w:ascii="Arial" w:eastAsia="黑体" w:hAnsi="Arial" w:cs="Arial"/>
                        <w:snapToGrid w:val="0"/>
                        <w:sz w:val="20"/>
                        <w:szCs w:val="20"/>
                        <w:u w:val="double"/>
                      </w:rPr>
                      <w:t>36,072,454</w:t>
                    </w:r>
                  </w:p>
                </w:tc>
                <w:tc>
                  <w:tcPr>
                    <w:tcW w:w="1448" w:type="pct"/>
                    <w:vAlign w:val="center"/>
                  </w:tcPr>
                  <w:p w:rsidR="00B637B2" w:rsidRPr="0034368E" w:rsidRDefault="00036BDC" w:rsidP="00B637B2">
                    <w:pPr>
                      <w:spacing w:line="240" w:lineRule="exact"/>
                      <w:jc w:val="right"/>
                      <w:rPr>
                        <w:rFonts w:ascii="Arial" w:eastAsia="黑体" w:hAnsi="Arial" w:cs="Arial"/>
                        <w:snapToGrid w:val="0"/>
                        <w:sz w:val="20"/>
                        <w:szCs w:val="20"/>
                        <w:u w:val="double"/>
                      </w:rPr>
                    </w:pPr>
                    <w:r w:rsidRPr="00935D78">
                      <w:rPr>
                        <w:rFonts w:ascii="Arial" w:eastAsia="黑体" w:hAnsi="Arial" w:cs="Arial"/>
                        <w:snapToGrid w:val="0"/>
                        <w:sz w:val="20"/>
                        <w:szCs w:val="20"/>
                        <w:u w:val="double"/>
                      </w:rPr>
                      <w:t>4.53</w:t>
                    </w:r>
                  </w:p>
                </w:tc>
                <w:tc>
                  <w:tcPr>
                    <w:tcW w:w="1239" w:type="pct"/>
                    <w:vAlign w:val="center"/>
                  </w:tcPr>
                  <w:p w:rsidR="00B637B2" w:rsidRPr="001C5E43" w:rsidRDefault="00036BDC" w:rsidP="00B637B2">
                    <w:pPr>
                      <w:spacing w:line="240" w:lineRule="exact"/>
                      <w:jc w:val="right"/>
                      <w:rPr>
                        <w:rFonts w:ascii="Arial" w:eastAsia="黑体" w:hAnsi="Arial" w:cs="Arial"/>
                        <w:snapToGrid w:val="0"/>
                        <w:sz w:val="20"/>
                        <w:szCs w:val="20"/>
                        <w:u w:val="double"/>
                      </w:rPr>
                    </w:pPr>
                    <w:r w:rsidRPr="00935D78">
                      <w:rPr>
                        <w:rFonts w:ascii="Arial" w:eastAsia="黑体" w:hAnsi="Arial" w:cs="Arial"/>
                        <w:snapToGrid w:val="0"/>
                        <w:sz w:val="20"/>
                        <w:szCs w:val="20"/>
                        <w:u w:val="double"/>
                      </w:rPr>
                      <w:t>5,730,311</w:t>
                    </w:r>
                  </w:p>
                </w:tc>
              </w:tr>
            </w:tbl>
            <w:p w:rsidR="00B637B2" w:rsidRPr="00E46B30" w:rsidRDefault="00B637B2" w:rsidP="00B637B2">
              <w:pPr>
                <w:overflowPunct w:val="0"/>
                <w:autoSpaceDE w:val="0"/>
                <w:autoSpaceDN w:val="0"/>
                <w:adjustRightInd w:val="0"/>
                <w:snapToGrid w:val="0"/>
                <w:jc w:val="both"/>
                <w:textAlignment w:val="bottom"/>
                <w:rPr>
                  <w:rFonts w:ascii="Arial" w:eastAsia="黑体" w:hAnsi="Arial" w:cs="Arial"/>
                  <w:snapToGrid w:val="0"/>
                  <w:sz w:val="20"/>
                  <w:szCs w:val="20"/>
                </w:rPr>
              </w:pPr>
            </w:p>
            <w:p w:rsidR="00B637B2" w:rsidRDefault="000D0A99">
              <w:pPr>
                <w:snapToGrid w:val="0"/>
                <w:spacing w:line="240" w:lineRule="atLeast"/>
                <w:rPr>
                  <w:szCs w:val="21"/>
                </w:rPr>
              </w:pPr>
            </w:p>
          </w:sdtContent>
        </w:sdt>
        <w:p w:rsidR="00ED2DC7" w:rsidRDefault="000D0A99">
          <w:pPr>
            <w:snapToGrid w:val="0"/>
            <w:spacing w:line="240" w:lineRule="atLeast"/>
            <w:rPr>
              <w:szCs w:val="21"/>
            </w:rPr>
          </w:pPr>
        </w:p>
      </w:sdtContent>
    </w:sdt>
    <w:sdt>
      <w:sdtPr>
        <w:rPr>
          <w:rFonts w:ascii="Times New Roman" w:hAnsi="Times New Roman" w:cs="宋体" w:hint="eastAsia"/>
          <w:b w:val="0"/>
          <w:bCs w:val="0"/>
          <w:kern w:val="0"/>
          <w:szCs w:val="24"/>
        </w:rPr>
        <w:alias w:val="模块:因金融资产转移而终止确认的应收账款"/>
        <w:tag w:val="_GBC_ab73666b561d47cbb383aa21715b406f"/>
        <w:id w:val="-273027430"/>
        <w:lock w:val="sdtLocked"/>
        <w:placeholder>
          <w:docPart w:val="GBC22222222222222222222222222222"/>
        </w:placeholder>
      </w:sdtPr>
      <w:sdtContent>
        <w:p w:rsidR="00ED2DC7" w:rsidRDefault="00ED2DC7" w:rsidP="00036BDC">
          <w:pPr>
            <w:pStyle w:val="affffffffffffffffff2"/>
            <w:numPr>
              <w:ilvl w:val="0"/>
              <w:numId w:val="102"/>
            </w:numPr>
            <w:tabs>
              <w:tab w:val="left" w:pos="630"/>
            </w:tabs>
            <w:ind w:left="0" w:firstLine="0"/>
            <w:rPr>
              <w:kern w:val="0"/>
            </w:rPr>
          </w:pPr>
          <w:r>
            <w:rPr>
              <w:rFonts w:hint="eastAsia"/>
              <w:kern w:val="0"/>
            </w:rPr>
            <w:t>因</w:t>
          </w:r>
          <w:r>
            <w:rPr>
              <w:rFonts w:hint="eastAsia"/>
            </w:rPr>
            <w:t>金融资产转移</w:t>
          </w:r>
          <w:r>
            <w:rPr>
              <w:rFonts w:hint="eastAsia"/>
              <w:kern w:val="0"/>
            </w:rPr>
            <w:t>而终止确认的应收账款</w:t>
          </w:r>
        </w:p>
        <w:sdt>
          <w:sdtPr>
            <w:rPr>
              <w:rFonts w:hint="eastAsia"/>
              <w:szCs w:val="21"/>
            </w:rPr>
            <w:alias w:val="是否适用：母公司因金融资产转移而终止确认的应收账款[双击切换]"/>
            <w:tag w:val="_GBC_452701102453497e8ab0df8e4c523df9"/>
            <w:id w:val="306909637"/>
            <w:lock w:val="sdtContentLocked"/>
            <w:placeholder>
              <w:docPart w:val="GBC22222222222222222222222222222"/>
            </w:placeholder>
          </w:sdtPr>
          <w:sdtContent>
            <w:p w:rsidR="00ED2DC7" w:rsidRDefault="00ED2DC7" w:rsidP="00841B3F">
              <w:pPr>
                <w:snapToGrid w:val="0"/>
                <w:spacing w:line="240" w:lineRule="atLeast"/>
                <w:rPr>
                  <w:szCs w:val="21"/>
                </w:rPr>
              </w:pPr>
              <w:r>
                <w:rPr>
                  <w:szCs w:val="21"/>
                </w:rPr>
                <w:fldChar w:fldCharType="begin"/>
              </w:r>
              <w:r w:rsidR="00841B3F">
                <w:rPr>
                  <w:szCs w:val="21"/>
                </w:rPr>
                <w:instrText xml:space="preserve"> MACROBUTTON  SnrToggleCheckbox □适用 </w:instrText>
              </w:r>
              <w:r>
                <w:rPr>
                  <w:szCs w:val="21"/>
                </w:rPr>
                <w:fldChar w:fldCharType="end"/>
              </w:r>
              <w:r>
                <w:rPr>
                  <w:szCs w:val="21"/>
                </w:rPr>
                <w:fldChar w:fldCharType="begin"/>
              </w:r>
              <w:r w:rsidR="00841B3F">
                <w:rPr>
                  <w:szCs w:val="21"/>
                </w:rPr>
                <w:instrText xml:space="preserve"> MACROBUTTON  SnrToggleCheckbox √不适用 </w:instrText>
              </w:r>
              <w:r>
                <w:rPr>
                  <w:szCs w:val="21"/>
                </w:rPr>
                <w:fldChar w:fldCharType="end"/>
              </w:r>
            </w:p>
          </w:sdtContent>
        </w:sdt>
        <w:p w:rsidR="00ED2DC7" w:rsidRDefault="000D0A99">
          <w:pPr>
            <w:snapToGrid w:val="0"/>
            <w:spacing w:line="240" w:lineRule="atLeast"/>
            <w:rPr>
              <w:rFonts w:ascii="Times New Roman" w:hAnsi="Times New Roman"/>
            </w:rPr>
          </w:pPr>
        </w:p>
      </w:sdtContent>
    </w:sdt>
    <w:sdt>
      <w:sdtPr>
        <w:rPr>
          <w:rFonts w:ascii="Times New Roman" w:hAnsi="Times New Roman" w:cs="宋体" w:hint="eastAsia"/>
          <w:b w:val="0"/>
          <w:bCs w:val="0"/>
          <w:kern w:val="0"/>
          <w:szCs w:val="24"/>
        </w:rPr>
        <w:alias w:val="模块:转移应收账款且继续涉入的，分项列示继续涉入形成的资产、负债的金额"/>
        <w:tag w:val="_GBC_0fefb2630375419f8e496c310f6ec9ee"/>
        <w:id w:val="-1542971946"/>
        <w:lock w:val="sdtLocked"/>
        <w:placeholder>
          <w:docPart w:val="GBC22222222222222222222222222222"/>
        </w:placeholder>
      </w:sdtPr>
      <w:sdtContent>
        <w:p w:rsidR="00ED2DC7" w:rsidRDefault="00ED2DC7" w:rsidP="00036BDC">
          <w:pPr>
            <w:pStyle w:val="affffffffffffffffff2"/>
            <w:numPr>
              <w:ilvl w:val="0"/>
              <w:numId w:val="102"/>
            </w:numPr>
            <w:tabs>
              <w:tab w:val="left" w:pos="630"/>
            </w:tabs>
            <w:ind w:left="0" w:firstLine="0"/>
            <w:rPr>
              <w:rFonts w:ascii="宋体" w:hAnsi="宋体"/>
            </w:rPr>
          </w:pPr>
          <w:r>
            <w:rPr>
              <w:rFonts w:ascii="宋体" w:hAnsi="宋体" w:hint="eastAsia"/>
              <w:kern w:val="0"/>
              <w:szCs w:val="21"/>
            </w:rPr>
            <w:t>转移应收账款且</w:t>
          </w:r>
          <w:r>
            <w:rPr>
              <w:rFonts w:ascii="宋体" w:hAnsi="宋体" w:hint="eastAsia"/>
            </w:rPr>
            <w:t>继续</w:t>
          </w:r>
          <w:r>
            <w:rPr>
              <w:rFonts w:ascii="宋体" w:hAnsi="宋体" w:hint="eastAsia"/>
              <w:kern w:val="0"/>
              <w:szCs w:val="21"/>
            </w:rPr>
            <w:t>涉入形成的资产、负债金额</w:t>
          </w:r>
        </w:p>
        <w:sdt>
          <w:sdtPr>
            <w:rPr>
              <w:rFonts w:hint="eastAsia"/>
            </w:rPr>
            <w:alias w:val="是否适用：母公司转移应收账款且继续涉入形成的资产、负债金额[双击切换]"/>
            <w:tag w:val="_GBC_18ab0f336ea34b009b496f240cc35a39"/>
            <w:id w:val="-374537437"/>
            <w:lock w:val="sdtContentLocked"/>
            <w:placeholder>
              <w:docPart w:val="GBC22222222222222222222222222222"/>
            </w:placeholder>
          </w:sdtPr>
          <w:sdtContent>
            <w:p w:rsidR="00ED2DC7" w:rsidRDefault="00ED2DC7" w:rsidP="005E3849">
              <w:pPr>
                <w:snapToGrid w:val="0"/>
                <w:spacing w:line="240" w:lineRule="atLeast"/>
                <w:rPr>
                  <w:rFonts w:ascii="Times New Roman" w:hAnsi="Times New Roman"/>
                </w:rPr>
              </w:pPr>
              <w:r>
                <w:fldChar w:fldCharType="begin"/>
              </w:r>
              <w:r w:rsidR="005E3849">
                <w:instrText xml:space="preserve"> MACROBUTTON  SnrToggleCheckbox □适用 </w:instrText>
              </w:r>
              <w:r>
                <w:fldChar w:fldCharType="end"/>
              </w:r>
              <w:r>
                <w:fldChar w:fldCharType="begin"/>
              </w:r>
              <w:r w:rsidR="005E3849">
                <w:instrText xml:space="preserve"> MACROBUTTON  SnrToggleCheckbox √不适用 </w:instrText>
              </w:r>
              <w:r>
                <w:fldChar w:fldCharType="end"/>
              </w:r>
            </w:p>
          </w:sdtContent>
        </w:sdt>
      </w:sdtContent>
    </w:sdt>
    <w:p w:rsidR="00ED2DC7" w:rsidRDefault="00ED2DC7">
      <w:pPr>
        <w:snapToGrid w:val="0"/>
        <w:spacing w:line="240" w:lineRule="atLeast"/>
        <w:ind w:leftChars="-50" w:left="-105"/>
        <w:rPr>
          <w:rFonts w:ascii="Times New Roman" w:hAnsi="Times New Roman"/>
        </w:rPr>
      </w:pPr>
    </w:p>
    <w:sdt>
      <w:sdtPr>
        <w:rPr>
          <w:rFonts w:ascii="Times New Roman" w:hAnsi="Times New Roman" w:hint="eastAsia"/>
          <w:b/>
          <w:bCs/>
        </w:rPr>
        <w:alias w:val="模块:其他说明："/>
        <w:tag w:val="_GBC_eac4abdf299a4312a10e680c5fc79ef9"/>
        <w:id w:val="818462942"/>
        <w:lock w:val="sdtLocked"/>
        <w:placeholder>
          <w:docPart w:val="GBC22222222222222222222222222222"/>
        </w:placeholder>
      </w:sdtPr>
      <w:sdtEndPr>
        <w:rPr>
          <w:rFonts w:hint="default"/>
          <w:b w:val="0"/>
          <w:bCs w:val="0"/>
        </w:rPr>
      </w:sdtEndPr>
      <w:sdtContent>
        <w:p w:rsidR="00ED2DC7" w:rsidRDefault="00ED2DC7">
          <w:r>
            <w:rPr>
              <w:rFonts w:hint="eastAsia"/>
            </w:rPr>
            <w:t>其他</w:t>
          </w:r>
          <w:r>
            <w:t>说明：</w:t>
          </w:r>
        </w:p>
        <w:sdt>
          <w:sdtPr>
            <w:rPr>
              <w:rFonts w:hint="eastAsia"/>
            </w:rPr>
            <w:alias w:val="是否适用：母公司应收账款其他说明[双击切换]"/>
            <w:tag w:val="_GBC_22a2c0a255e04aacadf1c076323bc980"/>
            <w:id w:val="-595703803"/>
            <w:lock w:val="sdtContentLocked"/>
            <w:placeholder>
              <w:docPart w:val="GBC22222222222222222222222222222"/>
            </w:placeholder>
          </w:sdtPr>
          <w:sdtContent>
            <w:p w:rsidR="00ED2DC7" w:rsidRDefault="00ED2DC7" w:rsidP="00841B3F">
              <w:pPr>
                <w:snapToGrid w:val="0"/>
                <w:spacing w:line="240" w:lineRule="atLeast"/>
              </w:pPr>
              <w:r>
                <w:fldChar w:fldCharType="begin"/>
              </w:r>
              <w:r w:rsidR="00841B3F">
                <w:instrText xml:space="preserve"> MACROBUTTON  SnrToggleCheckbox □适用 </w:instrText>
              </w:r>
              <w:r>
                <w:fldChar w:fldCharType="end"/>
              </w:r>
              <w:r>
                <w:fldChar w:fldCharType="begin"/>
              </w:r>
              <w:r w:rsidR="00841B3F">
                <w:instrText xml:space="preserve"> MACROBUTTON  SnrToggleCheckbox √不适用 </w:instrText>
              </w:r>
              <w:r>
                <w:fldChar w:fldCharType="end"/>
              </w:r>
            </w:p>
          </w:sdtContent>
        </w:sdt>
        <w:p w:rsidR="00ED2DC7" w:rsidRDefault="000D0A99">
          <w:pPr>
            <w:snapToGrid w:val="0"/>
            <w:spacing w:line="240" w:lineRule="atLeast"/>
          </w:pPr>
        </w:p>
      </w:sdtContent>
    </w:sdt>
    <w:p w:rsidR="00ED2DC7" w:rsidRDefault="00ED2DC7" w:rsidP="00036BDC">
      <w:pPr>
        <w:pStyle w:val="affffffffffffffffff1"/>
        <w:numPr>
          <w:ilvl w:val="0"/>
          <w:numId w:val="101"/>
        </w:numPr>
        <w:rPr>
          <w:rFonts w:ascii="宋体" w:hAnsi="宋体"/>
          <w:szCs w:val="21"/>
        </w:rPr>
      </w:pPr>
      <w:r>
        <w:rPr>
          <w:rFonts w:ascii="宋体" w:hAnsi="宋体" w:hint="eastAsia"/>
          <w:szCs w:val="21"/>
        </w:rPr>
        <w:t>其他应收款</w:t>
      </w:r>
    </w:p>
    <w:bookmarkStart w:id="244" w:name="_Hlk10546944" w:displacedByCustomXml="next"/>
    <w:sdt>
      <w:sdtPr>
        <w:rPr>
          <w:rFonts w:ascii="宋体" w:hAnsi="宋体" w:cs="宋体" w:hint="eastAsia"/>
          <w:b w:val="0"/>
          <w:bCs w:val="0"/>
          <w:kern w:val="0"/>
          <w:szCs w:val="24"/>
        </w:rPr>
        <w:alias w:val="模块:项目列示"/>
        <w:tag w:val="_SEC_e2f0b728ae404babbb57dfbc1fafed13"/>
        <w:id w:val="-1962793485"/>
        <w:lock w:val="sdtLocked"/>
        <w:placeholder>
          <w:docPart w:val="GBC22222222222222222222222222222"/>
        </w:placeholder>
      </w:sdtPr>
      <w:sdtContent>
        <w:p w:rsidR="00ED2DC7" w:rsidRDefault="00ED2DC7">
          <w:pPr>
            <w:pStyle w:val="affffffffffffffffff2"/>
          </w:pPr>
          <w:r>
            <w:rPr>
              <w:rFonts w:hint="eastAsia"/>
            </w:rPr>
            <w:t>项目列示</w:t>
          </w:r>
        </w:p>
        <w:sdt>
          <w:sdtPr>
            <w:alias w:val="是否适用：母公司其他应收款分类列示[双击切换]"/>
            <w:tag w:val="_GBC_529e259f053b47d993fd4e3216204522"/>
            <w:id w:val="1860696451"/>
            <w:lock w:val="sdtContentLocked"/>
            <w:placeholder>
              <w:docPart w:val="GBC22222222222222222222222222222"/>
            </w:placeholder>
          </w:sdtPr>
          <w:sdtContent>
            <w:p w:rsidR="00ED2DC7" w:rsidRDefault="00ED2DC7">
              <w:r>
                <w:fldChar w:fldCharType="begin"/>
              </w:r>
              <w:r w:rsidR="00841B3F">
                <w:instrText xml:space="preserve"> MACROBUTTON  SnrToggleCheckbox √适用 </w:instrText>
              </w:r>
              <w:r>
                <w:fldChar w:fldCharType="end"/>
              </w:r>
              <w:r>
                <w:fldChar w:fldCharType="begin"/>
              </w:r>
              <w:r w:rsidR="00841B3F">
                <w:instrText xml:space="preserve"> MACROBUTTON  SnrToggleCheckbox □不适用 </w:instrText>
              </w:r>
              <w:r>
                <w:fldChar w:fldCharType="end"/>
              </w:r>
            </w:p>
          </w:sdtContent>
        </w:sdt>
        <w:p w:rsidR="00ED2DC7" w:rsidRDefault="00ED2DC7">
          <w:pPr>
            <w:jc w:val="right"/>
            <w:rPr>
              <w:szCs w:val="21"/>
            </w:rPr>
          </w:pPr>
          <w:r>
            <w:rPr>
              <w:rFonts w:hint="eastAsia"/>
              <w:szCs w:val="21"/>
            </w:rPr>
            <w:t>单位：</w:t>
          </w:r>
          <w:sdt>
            <w:sdtPr>
              <w:rPr>
                <w:rFonts w:hint="eastAsia"/>
                <w:szCs w:val="21"/>
              </w:rPr>
              <w:alias w:val="单位：母公司其他应收款分类列示"/>
              <w:tag w:val="_GBC_306e86db57e64b00a9602dc7cbf81457"/>
              <w:id w:val="213974770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hint="eastAsia"/>
                  <w:szCs w:val="21"/>
                </w:rPr>
                <w:t>元</w:t>
              </w:r>
            </w:sdtContent>
          </w:sdt>
          <w:r>
            <w:rPr>
              <w:rFonts w:hint="eastAsia"/>
              <w:szCs w:val="21"/>
            </w:rPr>
            <w:t xml:space="preserve">  币种：</w:t>
          </w:r>
          <w:sdt>
            <w:sdtPr>
              <w:rPr>
                <w:rFonts w:hint="eastAsia"/>
                <w:szCs w:val="21"/>
              </w:rPr>
              <w:alias w:val="币种：母公司其他应收款分类列示"/>
              <w:tag w:val="_GBC_cd5866350ae3491e87e9f82a7ed2a7c3"/>
              <w:id w:val="-19999627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szCs w:val="21"/>
                </w:rPr>
                <w:t>人民币</w:t>
              </w:r>
            </w:sdtContent>
          </w:sdt>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3113"/>
            <w:gridCol w:w="2862"/>
            <w:gridCol w:w="2848"/>
          </w:tblGrid>
          <w:tr w:rsidR="00ED2DC7" w:rsidTr="0094106C">
            <w:trPr>
              <w:cantSplit/>
            </w:trPr>
            <w:bookmarkStart w:id="245" w:name="_Hlk16630323" w:displacedByCustomXml="next"/>
            <w:sdt>
              <w:sdtPr>
                <w:tag w:val="_PLD_9b14d51b79194bdea749a527966a0a2e"/>
                <w:id w:val="2070525216"/>
                <w:lock w:val="sdtLocked"/>
              </w:sdtPr>
              <w:sdtContent>
                <w:tc>
                  <w:tcPr>
                    <w:tcW w:w="1764" w:type="pct"/>
                    <w:vAlign w:val="center"/>
                  </w:tcPr>
                  <w:p w:rsidR="00ED2DC7" w:rsidRDefault="00ED2DC7">
                    <w:pPr>
                      <w:jc w:val="center"/>
                      <w:rPr>
                        <w:szCs w:val="21"/>
                      </w:rPr>
                    </w:pPr>
                    <w:r>
                      <w:rPr>
                        <w:rFonts w:hint="eastAsia"/>
                        <w:szCs w:val="21"/>
                      </w:rPr>
                      <w:t>项目</w:t>
                    </w:r>
                  </w:p>
                </w:tc>
              </w:sdtContent>
            </w:sdt>
            <w:sdt>
              <w:sdtPr>
                <w:tag w:val="_PLD_1dd12447c07a4bf5b8eef82f2f9f5577"/>
                <w:id w:val="-380398568"/>
                <w:lock w:val="sdtLocked"/>
              </w:sdtPr>
              <w:sdtContent>
                <w:tc>
                  <w:tcPr>
                    <w:tcW w:w="1622" w:type="pct"/>
                    <w:vAlign w:val="center"/>
                  </w:tcPr>
                  <w:p w:rsidR="00ED2DC7" w:rsidRDefault="00ED2DC7">
                    <w:pPr>
                      <w:jc w:val="center"/>
                      <w:rPr>
                        <w:szCs w:val="21"/>
                      </w:rPr>
                    </w:pPr>
                    <w:r>
                      <w:rPr>
                        <w:rFonts w:hint="eastAsia"/>
                        <w:szCs w:val="21"/>
                      </w:rPr>
                      <w:t>期末余额</w:t>
                    </w:r>
                  </w:p>
                </w:tc>
              </w:sdtContent>
            </w:sdt>
            <w:sdt>
              <w:sdtPr>
                <w:tag w:val="_PLD_2701e42352ac4ea1ae4d64adf5d28e89"/>
                <w:id w:val="-1420563663"/>
                <w:lock w:val="sdtLocked"/>
              </w:sdtPr>
              <w:sdtContent>
                <w:tc>
                  <w:tcPr>
                    <w:tcW w:w="1614" w:type="pct"/>
                    <w:vAlign w:val="center"/>
                  </w:tcPr>
                  <w:p w:rsidR="00ED2DC7" w:rsidRDefault="00ED2DC7">
                    <w:pPr>
                      <w:jc w:val="center"/>
                      <w:rPr>
                        <w:szCs w:val="21"/>
                      </w:rPr>
                    </w:pPr>
                    <w:r>
                      <w:rPr>
                        <w:rFonts w:hint="eastAsia"/>
                        <w:szCs w:val="21"/>
                      </w:rPr>
                      <w:t>期初余额</w:t>
                    </w:r>
                  </w:p>
                </w:tc>
              </w:sdtContent>
            </w:sdt>
          </w:tr>
          <w:tr w:rsidR="005E3849" w:rsidTr="00B637B2">
            <w:trPr>
              <w:cantSplit/>
            </w:trPr>
            <w:sdt>
              <w:sdtPr>
                <w:tag w:val="_PLD_11d00ac8309b4e85ac5c0ecfc4e39fdf"/>
                <w:id w:val="870271810"/>
                <w:lock w:val="sdtLocked"/>
              </w:sdtPr>
              <w:sdtContent>
                <w:tc>
                  <w:tcPr>
                    <w:tcW w:w="1764" w:type="pct"/>
                  </w:tcPr>
                  <w:p w:rsidR="005E3849" w:rsidRDefault="005E3849" w:rsidP="005E3849">
                    <w:pPr>
                      <w:ind w:right="5"/>
                      <w:rPr>
                        <w:szCs w:val="21"/>
                      </w:rPr>
                    </w:pPr>
                    <w:r>
                      <w:rPr>
                        <w:rFonts w:hint="eastAsia"/>
                        <w:szCs w:val="21"/>
                      </w:rPr>
                      <w:t>应收股利</w:t>
                    </w:r>
                  </w:p>
                </w:tc>
              </w:sdtContent>
            </w:sdt>
            <w:tc>
              <w:tcPr>
                <w:tcW w:w="1622" w:type="pct"/>
                <w:vAlign w:val="center"/>
              </w:tcPr>
              <w:p w:rsidR="005E3849" w:rsidRPr="00F754D3" w:rsidRDefault="005E3849" w:rsidP="00B637B2">
                <w:pPr>
                  <w:jc w:val="right"/>
                </w:pPr>
                <w:r w:rsidRPr="00F754D3">
                  <w:t>199,136,438</w:t>
                </w:r>
              </w:p>
            </w:tc>
            <w:tc>
              <w:tcPr>
                <w:tcW w:w="1614" w:type="pct"/>
                <w:vAlign w:val="center"/>
              </w:tcPr>
              <w:p w:rsidR="005E3849" w:rsidRPr="00F754D3" w:rsidRDefault="005E3849" w:rsidP="00B637B2">
                <w:pPr>
                  <w:jc w:val="right"/>
                </w:pPr>
                <w:r w:rsidRPr="00F754D3">
                  <w:t>-</w:t>
                </w:r>
              </w:p>
            </w:tc>
          </w:tr>
          <w:tr w:rsidR="005E3849" w:rsidTr="00B637B2">
            <w:trPr>
              <w:cantSplit/>
            </w:trPr>
            <w:sdt>
              <w:sdtPr>
                <w:tag w:val="_PLD_42c4df4453344bc0910f3b3e20b096a2"/>
                <w:id w:val="1984969863"/>
                <w:lock w:val="sdtLocked"/>
              </w:sdtPr>
              <w:sdtContent>
                <w:tc>
                  <w:tcPr>
                    <w:tcW w:w="1764" w:type="pct"/>
                  </w:tcPr>
                  <w:p w:rsidR="005E3849" w:rsidRDefault="005E3849" w:rsidP="005E3849">
                    <w:pPr>
                      <w:ind w:right="5"/>
                      <w:rPr>
                        <w:szCs w:val="21"/>
                      </w:rPr>
                    </w:pPr>
                    <w:r>
                      <w:rPr>
                        <w:rFonts w:hint="eastAsia"/>
                        <w:szCs w:val="21"/>
                      </w:rPr>
                      <w:t>其他应收款</w:t>
                    </w:r>
                  </w:p>
                </w:tc>
              </w:sdtContent>
            </w:sdt>
            <w:tc>
              <w:tcPr>
                <w:tcW w:w="1622" w:type="pct"/>
                <w:vAlign w:val="center"/>
              </w:tcPr>
              <w:p w:rsidR="005E3849" w:rsidRPr="00F754D3" w:rsidRDefault="005E3849" w:rsidP="00B637B2">
                <w:pPr>
                  <w:jc w:val="right"/>
                </w:pPr>
                <w:r w:rsidRPr="00F754D3">
                  <w:t>1,419,605,676</w:t>
                </w:r>
              </w:p>
            </w:tc>
            <w:tc>
              <w:tcPr>
                <w:tcW w:w="1614" w:type="pct"/>
                <w:vAlign w:val="center"/>
              </w:tcPr>
              <w:p w:rsidR="005E3849" w:rsidRDefault="005E3849" w:rsidP="00B637B2">
                <w:pPr>
                  <w:jc w:val="right"/>
                </w:pPr>
                <w:r w:rsidRPr="00F754D3">
                  <w:t>920,038,562</w:t>
                </w:r>
              </w:p>
            </w:tc>
          </w:tr>
          <w:tr w:rsidR="005E3849" w:rsidTr="00B637B2">
            <w:trPr>
              <w:cantSplit/>
            </w:trPr>
            <w:sdt>
              <w:sdtPr>
                <w:tag w:val="_PLD_657f57c42bdf4019ba2e4df3e8e8d440"/>
                <w:id w:val="1782528306"/>
                <w:lock w:val="sdtLocked"/>
              </w:sdtPr>
              <w:sdtContent>
                <w:tc>
                  <w:tcPr>
                    <w:tcW w:w="1764" w:type="pct"/>
                    <w:vAlign w:val="center"/>
                  </w:tcPr>
                  <w:p w:rsidR="005E3849" w:rsidRDefault="005E3849" w:rsidP="005E3849">
                    <w:pPr>
                      <w:autoSpaceDE w:val="0"/>
                      <w:autoSpaceDN w:val="0"/>
                      <w:adjustRightInd w:val="0"/>
                      <w:jc w:val="center"/>
                      <w:rPr>
                        <w:szCs w:val="21"/>
                      </w:rPr>
                    </w:pPr>
                    <w:r>
                      <w:rPr>
                        <w:rFonts w:hint="eastAsia"/>
                        <w:szCs w:val="21"/>
                      </w:rPr>
                      <w:t>合计</w:t>
                    </w:r>
                  </w:p>
                </w:tc>
              </w:sdtContent>
            </w:sdt>
            <w:tc>
              <w:tcPr>
                <w:tcW w:w="1622" w:type="pct"/>
                <w:vAlign w:val="center"/>
              </w:tcPr>
              <w:p w:rsidR="005E3849" w:rsidRPr="00EA5A35" w:rsidRDefault="005E3849" w:rsidP="00B637B2">
                <w:pPr>
                  <w:jc w:val="right"/>
                </w:pPr>
                <w:r w:rsidRPr="00EA5A35">
                  <w:t>1,618,742,114</w:t>
                </w:r>
              </w:p>
            </w:tc>
            <w:tc>
              <w:tcPr>
                <w:tcW w:w="1614" w:type="pct"/>
                <w:vAlign w:val="center"/>
              </w:tcPr>
              <w:p w:rsidR="005E3849" w:rsidRDefault="005E3849" w:rsidP="00B637B2">
                <w:pPr>
                  <w:jc w:val="right"/>
                </w:pPr>
                <w:r w:rsidRPr="00EA5A35">
                  <w:t>920,038,562</w:t>
                </w:r>
              </w:p>
            </w:tc>
          </w:tr>
          <w:bookmarkEnd w:id="245"/>
        </w:tbl>
        <w:p w:rsidR="00ED2DC7" w:rsidRDefault="00ED2DC7"/>
        <w:p w:rsidR="00ED2DC7" w:rsidRDefault="00ED2DC7">
          <w:pPr>
            <w:rPr>
              <w:szCs w:val="21"/>
            </w:rPr>
          </w:pPr>
          <w:bookmarkStart w:id="246" w:name="_Hlk533797002"/>
          <w:r>
            <w:rPr>
              <w:rFonts w:hint="eastAsia"/>
              <w:szCs w:val="21"/>
            </w:rPr>
            <w:t>其他说明：</w:t>
          </w:r>
        </w:p>
        <w:sdt>
          <w:sdtPr>
            <w:rPr>
              <w:szCs w:val="21"/>
            </w:rPr>
            <w:alias w:val="是否适用：母公司其他应收款分类列示其他说明[双击切换]"/>
            <w:tag w:val="_GBC_87c9afe4c5c54a4b93c9b78663bd8bf3"/>
            <w:id w:val="-1946760092"/>
            <w:lock w:val="sdtContentLocked"/>
            <w:placeholder>
              <w:docPart w:val="GBC22222222222222222222222222222"/>
            </w:placeholder>
          </w:sdtPr>
          <w:sdtContent>
            <w:p w:rsidR="00ED2DC7" w:rsidRDefault="00ED2DC7" w:rsidP="00B637B2">
              <w:pPr>
                <w:rPr>
                  <w:szCs w:val="21"/>
                </w:rPr>
              </w:pPr>
              <w:r>
                <w:rPr>
                  <w:szCs w:val="21"/>
                </w:rPr>
                <w:fldChar w:fldCharType="begin"/>
              </w:r>
              <w:r w:rsidR="008F04CF">
                <w:rPr>
                  <w:szCs w:val="21"/>
                </w:rPr>
                <w:instrText xml:space="preserve"> MACROBUTTON  SnrToggleCheckbox □适用 </w:instrText>
              </w:r>
              <w:r>
                <w:rPr>
                  <w:szCs w:val="21"/>
                </w:rPr>
                <w:fldChar w:fldCharType="end"/>
              </w:r>
              <w:r>
                <w:rPr>
                  <w:szCs w:val="21"/>
                </w:rPr>
                <w:fldChar w:fldCharType="begin"/>
              </w:r>
              <w:r w:rsidR="008F04CF">
                <w:rPr>
                  <w:szCs w:val="21"/>
                </w:rPr>
                <w:instrText xml:space="preserve"> MACROBUTTON  SnrToggleCheckbox √不适用 </w:instrText>
              </w:r>
              <w:r>
                <w:rPr>
                  <w:szCs w:val="21"/>
                </w:rPr>
                <w:fldChar w:fldCharType="end"/>
              </w:r>
            </w:p>
          </w:sdtContent>
        </w:sdt>
        <w:p w:rsidR="00ED2DC7" w:rsidRDefault="000D0A99"/>
        <w:bookmarkEnd w:id="246" w:displacedByCustomXml="next"/>
      </w:sdtContent>
    </w:sdt>
    <w:bookmarkEnd w:id="244" w:displacedByCustomXml="prev"/>
    <w:p w:rsidR="00ED2DC7" w:rsidRDefault="00ED2DC7">
      <w:pPr>
        <w:pStyle w:val="affffffffffffffffff2"/>
      </w:pPr>
      <w:r>
        <w:rPr>
          <w:rFonts w:hint="eastAsia"/>
        </w:rPr>
        <w:t>应收利息</w:t>
      </w:r>
    </w:p>
    <w:bookmarkStart w:id="247" w:name="_Hlk10547023" w:displacedByCustomXml="next"/>
    <w:bookmarkStart w:id="248" w:name="_Hlk10547033" w:displacedByCustomXml="next"/>
    <w:sdt>
      <w:sdtPr>
        <w:rPr>
          <w:rFonts w:ascii="宋体" w:hAnsi="宋体" w:cs="宋体" w:hint="eastAsia"/>
          <w:b w:val="0"/>
          <w:bCs w:val="0"/>
          <w:kern w:val="0"/>
          <w:szCs w:val="24"/>
        </w:rPr>
        <w:alias w:val="模块:应收利息分类"/>
        <w:tag w:val="_SEC_91e08163b2464f8cb5d135fd131f631f"/>
        <w:id w:val="1514342379"/>
        <w:lock w:val="sdtLocked"/>
        <w:placeholder>
          <w:docPart w:val="GBC22222222222222222222222222222"/>
        </w:placeholder>
      </w:sdtPr>
      <w:sdtContent>
        <w:p w:rsidR="00ED2DC7" w:rsidRDefault="00ED2DC7" w:rsidP="00036BDC">
          <w:pPr>
            <w:pStyle w:val="affffffffffffffffff2"/>
            <w:numPr>
              <w:ilvl w:val="3"/>
              <w:numId w:val="103"/>
            </w:numPr>
            <w:ind w:left="426" w:hanging="426"/>
          </w:pPr>
          <w:r>
            <w:rPr>
              <w:rFonts w:hint="eastAsia"/>
            </w:rPr>
            <w:t>应收利息分类</w:t>
          </w:r>
          <w:bookmarkEnd w:id="247"/>
        </w:p>
        <w:sdt>
          <w:sdtPr>
            <w:alias w:val="是否适用：母公司应收利息分类[双击切换]"/>
            <w:tag w:val="_GBC_7b29d5fc39c94a909c39eedf47c8008f"/>
            <w:id w:val="687494881"/>
            <w:lock w:val="sdtContentLocked"/>
            <w:placeholder>
              <w:docPart w:val="GBC22222222222222222222222222222"/>
            </w:placeholder>
          </w:sdtPr>
          <w:sdtContent>
            <w:p w:rsidR="00ED2DC7" w:rsidRDefault="00ED2DC7" w:rsidP="00B637B2">
              <w:r>
                <w:fldChar w:fldCharType="begin"/>
              </w:r>
              <w:r w:rsidR="008F04CF">
                <w:instrText xml:space="preserve"> MACROBUTTON  SnrToggleCheckbox □适用 </w:instrText>
              </w:r>
              <w:r>
                <w:fldChar w:fldCharType="end"/>
              </w:r>
              <w:r>
                <w:fldChar w:fldCharType="begin"/>
              </w:r>
              <w:r w:rsidR="008F04CF">
                <w:instrText xml:space="preserve"> MACROBUTTON  SnrToggleCheckbox √不适用 </w:instrText>
              </w:r>
              <w:r>
                <w:fldChar w:fldCharType="end"/>
              </w:r>
            </w:p>
          </w:sdtContent>
        </w:sdt>
      </w:sdtContent>
    </w:sdt>
    <w:bookmarkEnd w:id="248" w:displacedByCustomXml="prev"/>
    <w:bookmarkStart w:id="249" w:name="_Hlk10547054" w:displacedByCustomXml="next"/>
    <w:bookmarkStart w:id="250" w:name="_Hlk10547064" w:displacedByCustomXml="next"/>
    <w:sdt>
      <w:sdtPr>
        <w:rPr>
          <w:rFonts w:ascii="宋体" w:hAnsi="宋体" w:cs="宋体" w:hint="eastAsia"/>
          <w:b w:val="0"/>
          <w:bCs w:val="0"/>
          <w:kern w:val="0"/>
          <w:szCs w:val="24"/>
        </w:rPr>
        <w:alias w:val="模块:重要逾期利息"/>
        <w:tag w:val="_SEC_e80bd789f30b40de829902e04129ef49"/>
        <w:id w:val="1055131405"/>
        <w:lock w:val="sdtLocked"/>
        <w:placeholder>
          <w:docPart w:val="GBC22222222222222222222222222222"/>
        </w:placeholder>
      </w:sdtPr>
      <w:sdtEndPr>
        <w:rPr>
          <w:rFonts w:hint="default"/>
        </w:rPr>
      </w:sdtEndPr>
      <w:sdtContent>
        <w:p w:rsidR="00ED2DC7" w:rsidRDefault="00ED2DC7" w:rsidP="00036BDC">
          <w:pPr>
            <w:pStyle w:val="affffffffffffffffff2"/>
            <w:numPr>
              <w:ilvl w:val="3"/>
              <w:numId w:val="103"/>
            </w:numPr>
            <w:ind w:left="426" w:hanging="426"/>
          </w:pPr>
          <w:r>
            <w:rPr>
              <w:rFonts w:hint="eastAsia"/>
            </w:rPr>
            <w:t>重要逾期利息</w:t>
          </w:r>
          <w:bookmarkEnd w:id="249"/>
        </w:p>
        <w:sdt>
          <w:sdtPr>
            <w:alias w:val="是否适用：母公司重要逾期利息[双击切换]"/>
            <w:tag w:val="_GBC_2527ddfc737d4b8c8fa3ca7d6387408d"/>
            <w:id w:val="54671731"/>
            <w:lock w:val="sdtContentLocked"/>
            <w:placeholder>
              <w:docPart w:val="GBC22222222222222222222222222222"/>
            </w:placeholder>
          </w:sdtPr>
          <w:sdtContent>
            <w:p w:rsidR="00ED2DC7" w:rsidRDefault="00ED2DC7" w:rsidP="00B637B2">
              <w:r>
                <w:fldChar w:fldCharType="begin"/>
              </w:r>
              <w:r w:rsidR="008F04CF">
                <w:instrText xml:space="preserve"> MACROBUTTON  SnrToggleCheckbox □适用 </w:instrText>
              </w:r>
              <w:r>
                <w:fldChar w:fldCharType="end"/>
              </w:r>
              <w:r>
                <w:fldChar w:fldCharType="begin"/>
              </w:r>
              <w:r w:rsidR="008F04CF">
                <w:instrText xml:space="preserve"> MACROBUTTON  SnrToggleCheckbox √不适用 </w:instrText>
              </w:r>
              <w:r>
                <w:fldChar w:fldCharType="end"/>
              </w:r>
            </w:p>
          </w:sdtContent>
        </w:sdt>
      </w:sdtContent>
    </w:sdt>
    <w:bookmarkEnd w:id="250" w:displacedByCustomXml="prev"/>
    <w:bookmarkStart w:id="251" w:name="_Hlk10547083" w:displacedByCustomXml="next"/>
    <w:bookmarkStart w:id="252" w:name="_Hlk10547096" w:displacedByCustomXml="next"/>
    <w:sdt>
      <w:sdtPr>
        <w:rPr>
          <w:rFonts w:ascii="宋体" w:hAnsi="宋体" w:cs="宋体" w:hint="eastAsia"/>
          <w:b w:val="0"/>
          <w:bCs w:val="0"/>
          <w:kern w:val="0"/>
          <w:szCs w:val="24"/>
        </w:rPr>
        <w:alias w:val="模块:坏账准备计提情况"/>
        <w:tag w:val="_SEC_ce38368754b54030878f7a4b3d48648e"/>
        <w:id w:val="979652151"/>
        <w:lock w:val="sdtLocked"/>
        <w:placeholder>
          <w:docPart w:val="GBC22222222222222222222222222222"/>
        </w:placeholder>
      </w:sdtPr>
      <w:sdtEndPr>
        <w:rPr>
          <w:rFonts w:hint="default"/>
        </w:rPr>
      </w:sdtEndPr>
      <w:sdtContent>
        <w:p w:rsidR="00ED2DC7" w:rsidRDefault="00ED2DC7" w:rsidP="00036BDC">
          <w:pPr>
            <w:pStyle w:val="affffffffffffffffff2"/>
            <w:numPr>
              <w:ilvl w:val="3"/>
              <w:numId w:val="103"/>
            </w:numPr>
            <w:ind w:left="426" w:hanging="426"/>
          </w:pPr>
          <w:r>
            <w:rPr>
              <w:rFonts w:ascii="宋体" w:hAnsi="宋体" w:cs="宋体" w:hint="eastAsia"/>
              <w:bCs w:val="0"/>
              <w:kern w:val="0"/>
              <w:szCs w:val="24"/>
            </w:rPr>
            <w:t>坏账准备计提情况</w:t>
          </w:r>
          <w:bookmarkEnd w:id="251"/>
        </w:p>
        <w:sdt>
          <w:sdtPr>
            <w:rPr>
              <w:szCs w:val="21"/>
            </w:rPr>
            <w:alias w:val="是否适用：母公司应收利息坏账准备调节表[双击切换]"/>
            <w:tag w:val="_GBC_051d1f4329834464b99226954bb8040d"/>
            <w:id w:val="-681354130"/>
            <w:lock w:val="sdtContentLocked"/>
            <w:placeholder>
              <w:docPart w:val="GBC22222222222222222222222222222"/>
            </w:placeholder>
          </w:sdtPr>
          <w:sdtContent>
            <w:p w:rsidR="00B637B2" w:rsidRDefault="00ED2DC7" w:rsidP="00B637B2">
              <w:r>
                <w:rPr>
                  <w:szCs w:val="21"/>
                </w:rPr>
                <w:fldChar w:fldCharType="begin"/>
              </w:r>
              <w:r w:rsidR="008F04CF">
                <w:rPr>
                  <w:szCs w:val="21"/>
                </w:rPr>
                <w:instrText xml:space="preserve"> MACROBUTTON  SnrToggleCheckbox □适用 </w:instrText>
              </w:r>
              <w:r>
                <w:rPr>
                  <w:szCs w:val="21"/>
                </w:rPr>
                <w:fldChar w:fldCharType="end"/>
              </w:r>
              <w:r>
                <w:rPr>
                  <w:szCs w:val="21"/>
                </w:rPr>
                <w:fldChar w:fldCharType="begin"/>
              </w:r>
              <w:r w:rsidR="008F04CF">
                <w:rPr>
                  <w:szCs w:val="21"/>
                </w:rPr>
                <w:instrText xml:space="preserve"> MACROBUTTON  SnrToggleCheckbox √不适用 </w:instrText>
              </w:r>
              <w:r>
                <w:rPr>
                  <w:szCs w:val="21"/>
                </w:rPr>
                <w:fldChar w:fldCharType="end"/>
              </w:r>
            </w:p>
          </w:sdtContent>
        </w:sdt>
        <w:p w:rsidR="00ED2DC7" w:rsidRDefault="00ED2DC7"/>
        <w:p w:rsidR="00ED2DC7" w:rsidRDefault="000D0A99"/>
      </w:sdtContent>
    </w:sdt>
    <w:bookmarkEnd w:id="252" w:displacedByCustomXml="prev"/>
    <w:bookmarkStart w:id="253" w:name="_Hlk10547119" w:displacedByCustomXml="next"/>
    <w:bookmarkStart w:id="254" w:name="_Hlk10547128" w:displacedByCustomXml="next"/>
    <w:sdt>
      <w:sdtPr>
        <w:rPr>
          <w:rFonts w:hint="eastAsia"/>
        </w:rPr>
        <w:alias w:val="模块:其他说明："/>
        <w:tag w:val="_SEC_ad2b0daa52af481d8a56e5f8f2ccc52e"/>
        <w:id w:val="-1000573477"/>
        <w:lock w:val="sdtLocked"/>
        <w:placeholder>
          <w:docPart w:val="GBC22222222222222222222222222222"/>
        </w:placeholder>
      </w:sdtPr>
      <w:sdtEndPr>
        <w:rPr>
          <w:rFonts w:hint="default"/>
        </w:rPr>
      </w:sdtEndPr>
      <w:sdtContent>
        <w:p w:rsidR="00ED2DC7" w:rsidRDefault="00ED2DC7">
          <w:r>
            <w:rPr>
              <w:rFonts w:hint="eastAsia"/>
            </w:rPr>
            <w:t>其他说明：</w:t>
          </w:r>
          <w:bookmarkEnd w:id="253"/>
        </w:p>
        <w:sdt>
          <w:sdtPr>
            <w:rPr>
              <w:szCs w:val="21"/>
            </w:rPr>
            <w:alias w:val="是否适用：母公司应收利息其他说明[双击切换]"/>
            <w:tag w:val="_GBC_936c374258514f469f2c9bb36b889c43"/>
            <w:id w:val="-668170190"/>
            <w:lock w:val="sdtContentLocked"/>
            <w:placeholder>
              <w:docPart w:val="GBC22222222222222222222222222222"/>
            </w:placeholder>
          </w:sdtPr>
          <w:sdtContent>
            <w:p w:rsidR="00ED2DC7" w:rsidRDefault="00ED2DC7" w:rsidP="00B637B2">
              <w:pPr>
                <w:rPr>
                  <w:szCs w:val="21"/>
                </w:rPr>
              </w:pPr>
              <w:r>
                <w:rPr>
                  <w:szCs w:val="21"/>
                </w:rPr>
                <w:fldChar w:fldCharType="begin"/>
              </w:r>
              <w:r w:rsidR="008F04CF">
                <w:rPr>
                  <w:szCs w:val="21"/>
                </w:rPr>
                <w:instrText xml:space="preserve"> MACROBUTTON  SnrToggleCheckbox □适用 </w:instrText>
              </w:r>
              <w:r>
                <w:rPr>
                  <w:szCs w:val="21"/>
                </w:rPr>
                <w:fldChar w:fldCharType="end"/>
              </w:r>
              <w:r>
                <w:rPr>
                  <w:szCs w:val="21"/>
                </w:rPr>
                <w:fldChar w:fldCharType="begin"/>
              </w:r>
              <w:r w:rsidR="008F04CF">
                <w:rPr>
                  <w:szCs w:val="21"/>
                </w:rPr>
                <w:instrText xml:space="preserve"> MACROBUTTON  SnrToggleCheckbox √不适用 </w:instrText>
              </w:r>
              <w:r>
                <w:rPr>
                  <w:szCs w:val="21"/>
                </w:rPr>
                <w:fldChar w:fldCharType="end"/>
              </w:r>
            </w:p>
          </w:sdtContent>
        </w:sdt>
        <w:p w:rsidR="00ED2DC7" w:rsidRDefault="000D0A99"/>
      </w:sdtContent>
    </w:sdt>
    <w:bookmarkEnd w:id="254" w:displacedByCustomXml="prev"/>
    <w:p w:rsidR="00ED2DC7" w:rsidRDefault="00ED2DC7">
      <w:pPr>
        <w:pStyle w:val="affffffffffffffffff2"/>
      </w:pPr>
      <w:r>
        <w:rPr>
          <w:rFonts w:hint="eastAsia"/>
        </w:rPr>
        <w:lastRenderedPageBreak/>
        <w:t>应收股利</w:t>
      </w:r>
    </w:p>
    <w:bookmarkStart w:id="255" w:name="_Hlk10547160" w:displacedByCustomXml="next"/>
    <w:bookmarkStart w:id="256" w:name="_Hlk10547171" w:displacedByCustomXml="next"/>
    <w:sdt>
      <w:sdtPr>
        <w:rPr>
          <w:rFonts w:ascii="宋体" w:hAnsi="宋体" w:cs="宋体" w:hint="eastAsia"/>
          <w:b w:val="0"/>
          <w:bCs w:val="0"/>
          <w:kern w:val="0"/>
          <w:szCs w:val="24"/>
        </w:rPr>
        <w:alias w:val="模块:应收股利"/>
        <w:tag w:val="_SEC_18f0cc3557ff45749d07d7a27d7c9620"/>
        <w:id w:val="-2128536499"/>
        <w:lock w:val="sdtLocked"/>
        <w:placeholder>
          <w:docPart w:val="GBC22222222222222222222222222222"/>
        </w:placeholder>
      </w:sdtPr>
      <w:sdtContent>
        <w:p w:rsidR="00ED2DC7" w:rsidRDefault="00ED2DC7" w:rsidP="00036BDC">
          <w:pPr>
            <w:pStyle w:val="affffffffffffffffff2"/>
            <w:numPr>
              <w:ilvl w:val="3"/>
              <w:numId w:val="103"/>
            </w:numPr>
            <w:ind w:left="426" w:hanging="426"/>
          </w:pPr>
          <w:r>
            <w:rPr>
              <w:rFonts w:hint="eastAsia"/>
            </w:rPr>
            <w:t>应收股利</w:t>
          </w:r>
          <w:bookmarkEnd w:id="255"/>
        </w:p>
        <w:sdt>
          <w:sdtPr>
            <w:alias w:val="是否适用：母公司应收股利[双击切换]"/>
            <w:tag w:val="_GBC_3f36acb68ddd426b990a146c5c14da80"/>
            <w:id w:val="-1271159089"/>
            <w:lock w:val="sdtContentLocked"/>
            <w:placeholder>
              <w:docPart w:val="GBC22222222222222222222222222222"/>
            </w:placeholder>
          </w:sdtPr>
          <w:sdtContent>
            <w:p w:rsidR="00ED2DC7" w:rsidRDefault="00ED2DC7">
              <w:r>
                <w:fldChar w:fldCharType="begin"/>
              </w:r>
              <w:r w:rsidR="008F04CF">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ED2DC7" w:rsidRDefault="00ED2DC7">
          <w:pPr>
            <w:jc w:val="right"/>
            <w:rPr>
              <w:szCs w:val="21"/>
            </w:rPr>
          </w:pPr>
          <w:r>
            <w:rPr>
              <w:rFonts w:hint="eastAsia"/>
              <w:szCs w:val="21"/>
            </w:rPr>
            <w:t>单位：</w:t>
          </w:r>
          <w:sdt>
            <w:sdtPr>
              <w:rPr>
                <w:rFonts w:hint="eastAsia"/>
                <w:szCs w:val="21"/>
              </w:rPr>
              <w:alias w:val="单位：母公司应收股利"/>
              <w:tag w:val="_GBC_e366134590994916ad440e1f86811baf"/>
              <w:id w:val="-9765278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hint="eastAsia"/>
                  <w:szCs w:val="21"/>
                </w:rPr>
                <w:t>元</w:t>
              </w:r>
            </w:sdtContent>
          </w:sdt>
          <w:r>
            <w:rPr>
              <w:rFonts w:hint="eastAsia"/>
              <w:szCs w:val="21"/>
            </w:rPr>
            <w:t xml:space="preserve">  币种：</w:t>
          </w:r>
          <w:sdt>
            <w:sdtPr>
              <w:rPr>
                <w:rFonts w:hint="eastAsia"/>
                <w:szCs w:val="21"/>
              </w:rPr>
              <w:alias w:val="币种：母公司应收股利"/>
              <w:tag w:val="_GBC_775e6a0d5c9a4f36b4b0b9f8ccda5bad"/>
              <w:id w:val="-9470852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szCs w:val="21"/>
                </w:rPr>
                <w:t>人民币</w:t>
              </w:r>
            </w:sdtContent>
          </w:sdt>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8"/>
            <w:gridCol w:w="2740"/>
            <w:gridCol w:w="2755"/>
          </w:tblGrid>
          <w:tr w:rsidR="00B637B2" w:rsidTr="00B637B2">
            <w:sdt>
              <w:sdtPr>
                <w:tag w:val="_PLD_b87c7fccab6c455e8950ee7fa77c8733"/>
                <w:id w:val="-1574194195"/>
                <w:lock w:val="sdtLocked"/>
              </w:sdtPr>
              <w:sdtContent>
                <w:tc>
                  <w:tcPr>
                    <w:tcW w:w="1886" w:type="pct"/>
                    <w:vAlign w:val="center"/>
                  </w:tcPr>
                  <w:p w:rsidR="00B637B2" w:rsidRDefault="008F04CF" w:rsidP="00B637B2">
                    <w:pPr>
                      <w:jc w:val="center"/>
                      <w:rPr>
                        <w:szCs w:val="21"/>
                      </w:rPr>
                    </w:pPr>
                    <w:r>
                      <w:rPr>
                        <w:rFonts w:hint="eastAsia"/>
                        <w:szCs w:val="21"/>
                      </w:rPr>
                      <w:t>项目(或被投资单位)</w:t>
                    </w:r>
                  </w:p>
                </w:tc>
              </w:sdtContent>
            </w:sdt>
            <w:sdt>
              <w:sdtPr>
                <w:tag w:val="_PLD_71bd546e51944d7e86945cae947ca7e3"/>
                <w:id w:val="-595628650"/>
                <w:lock w:val="sdtLocked"/>
              </w:sdtPr>
              <w:sdtContent>
                <w:tc>
                  <w:tcPr>
                    <w:tcW w:w="1553" w:type="pct"/>
                    <w:vAlign w:val="center"/>
                  </w:tcPr>
                  <w:p w:rsidR="00B637B2" w:rsidRDefault="008F04CF" w:rsidP="00B637B2">
                    <w:pPr>
                      <w:jc w:val="center"/>
                      <w:rPr>
                        <w:szCs w:val="21"/>
                      </w:rPr>
                    </w:pPr>
                    <w:r>
                      <w:rPr>
                        <w:rFonts w:hint="eastAsia"/>
                        <w:szCs w:val="21"/>
                      </w:rPr>
                      <w:t>期末余额</w:t>
                    </w:r>
                  </w:p>
                </w:tc>
              </w:sdtContent>
            </w:sdt>
            <w:sdt>
              <w:sdtPr>
                <w:tag w:val="_PLD_a057b5b882e84e6e85ec2267d16598c0"/>
                <w:id w:val="1518121007"/>
                <w:lock w:val="sdtLocked"/>
              </w:sdtPr>
              <w:sdtContent>
                <w:tc>
                  <w:tcPr>
                    <w:tcW w:w="1561" w:type="pct"/>
                    <w:vAlign w:val="center"/>
                  </w:tcPr>
                  <w:p w:rsidR="00B637B2" w:rsidRDefault="008F04CF" w:rsidP="00B637B2">
                    <w:pPr>
                      <w:jc w:val="center"/>
                      <w:rPr>
                        <w:szCs w:val="21"/>
                      </w:rPr>
                    </w:pPr>
                    <w:r>
                      <w:rPr>
                        <w:rFonts w:hint="eastAsia"/>
                        <w:szCs w:val="21"/>
                      </w:rPr>
                      <w:t>期初余额</w:t>
                    </w:r>
                  </w:p>
                </w:tc>
              </w:sdtContent>
            </w:sdt>
          </w:tr>
          <w:sdt>
            <w:sdtPr>
              <w:rPr>
                <w:rFonts w:asciiTheme="minorHAnsi" w:eastAsiaTheme="minorEastAsia" w:hAnsiTheme="minorHAnsi" w:cstheme="minorBidi" w:hint="eastAsia"/>
                <w:kern w:val="2"/>
                <w:szCs w:val="21"/>
              </w:rPr>
              <w:alias w:val="应收股利明细"/>
              <w:tag w:val="_TUP_1ff5f8f45a2949f1b9c94eaf933424a7"/>
              <w:id w:val="1292169863"/>
              <w:lock w:val="sdtLocked"/>
            </w:sdtPr>
            <w:sdtContent>
              <w:tr w:rsidR="00B637B2" w:rsidTr="00B637B2">
                <w:tc>
                  <w:tcPr>
                    <w:tcW w:w="1886" w:type="pct"/>
                  </w:tcPr>
                  <w:p w:rsidR="00B637B2" w:rsidRDefault="008F04CF" w:rsidP="00B637B2">
                    <w:pPr>
                      <w:rPr>
                        <w:szCs w:val="21"/>
                      </w:rPr>
                    </w:pPr>
                    <w:r>
                      <w:rPr>
                        <w:rFonts w:asciiTheme="minorHAnsi" w:eastAsiaTheme="minorEastAsia" w:hAnsiTheme="minorHAnsi" w:cstheme="minorBidi" w:hint="eastAsia"/>
                        <w:kern w:val="2"/>
                        <w:szCs w:val="21"/>
                      </w:rPr>
                      <w:t>用友政务</w:t>
                    </w:r>
                  </w:p>
                </w:tc>
                <w:tc>
                  <w:tcPr>
                    <w:tcW w:w="1553" w:type="pct"/>
                  </w:tcPr>
                  <w:p w:rsidR="00B637B2" w:rsidRDefault="008F04CF" w:rsidP="00B637B2">
                    <w:pPr>
                      <w:jc w:val="right"/>
                      <w:rPr>
                        <w:szCs w:val="21"/>
                      </w:rPr>
                    </w:pPr>
                    <w:r w:rsidRPr="00AF011E">
                      <w:rPr>
                        <w:szCs w:val="21"/>
                      </w:rPr>
                      <w:t>109,259,500</w:t>
                    </w:r>
                  </w:p>
                </w:tc>
                <w:tc>
                  <w:tcPr>
                    <w:tcW w:w="1561" w:type="pct"/>
                  </w:tcPr>
                  <w:p w:rsidR="00B637B2" w:rsidRDefault="008F04CF" w:rsidP="00B637B2">
                    <w:pPr>
                      <w:jc w:val="right"/>
                      <w:rPr>
                        <w:szCs w:val="21"/>
                      </w:rPr>
                    </w:pPr>
                    <w:r>
                      <w:rPr>
                        <w:rFonts w:hint="eastAsia"/>
                        <w:szCs w:val="21"/>
                      </w:rPr>
                      <w:t>-</w:t>
                    </w:r>
                  </w:p>
                </w:tc>
              </w:tr>
            </w:sdtContent>
          </w:sdt>
          <w:sdt>
            <w:sdtPr>
              <w:rPr>
                <w:rFonts w:asciiTheme="minorHAnsi" w:eastAsiaTheme="minorEastAsia" w:hAnsiTheme="minorHAnsi" w:cstheme="minorBidi" w:hint="eastAsia"/>
                <w:kern w:val="2"/>
                <w:szCs w:val="21"/>
              </w:rPr>
              <w:alias w:val="应收股利明细"/>
              <w:tag w:val="_TUP_1ff5f8f45a2949f1b9c94eaf933424a7"/>
              <w:id w:val="-1691981858"/>
              <w:lock w:val="sdtLocked"/>
            </w:sdtPr>
            <w:sdtContent>
              <w:tr w:rsidR="00B637B2" w:rsidTr="00B637B2">
                <w:tc>
                  <w:tcPr>
                    <w:tcW w:w="1886" w:type="pct"/>
                  </w:tcPr>
                  <w:p w:rsidR="00B637B2" w:rsidRDefault="008F04CF" w:rsidP="00B637B2">
                    <w:pPr>
                      <w:rPr>
                        <w:szCs w:val="21"/>
                      </w:rPr>
                    </w:pPr>
                    <w:r>
                      <w:rPr>
                        <w:rFonts w:asciiTheme="minorHAnsi" w:eastAsiaTheme="minorEastAsia" w:hAnsiTheme="minorHAnsi" w:cstheme="minorBidi" w:hint="eastAsia"/>
                        <w:kern w:val="2"/>
                        <w:szCs w:val="21"/>
                      </w:rPr>
                      <w:t>畅捷通</w:t>
                    </w:r>
                  </w:p>
                </w:tc>
                <w:tc>
                  <w:tcPr>
                    <w:tcW w:w="1553" w:type="pct"/>
                  </w:tcPr>
                  <w:p w:rsidR="00B637B2" w:rsidRDefault="008F04CF" w:rsidP="00B637B2">
                    <w:pPr>
                      <w:jc w:val="right"/>
                      <w:rPr>
                        <w:szCs w:val="21"/>
                      </w:rPr>
                    </w:pPr>
                    <w:r w:rsidRPr="007A3F89">
                      <w:rPr>
                        <w:szCs w:val="21"/>
                      </w:rPr>
                      <w:t>68,876,938</w:t>
                    </w:r>
                  </w:p>
                </w:tc>
                <w:tc>
                  <w:tcPr>
                    <w:tcW w:w="1561" w:type="pct"/>
                  </w:tcPr>
                  <w:p w:rsidR="00B637B2" w:rsidRDefault="008F04CF" w:rsidP="00B637B2">
                    <w:pPr>
                      <w:jc w:val="right"/>
                      <w:rPr>
                        <w:szCs w:val="21"/>
                      </w:rPr>
                    </w:pPr>
                    <w:r>
                      <w:rPr>
                        <w:rFonts w:hint="eastAsia"/>
                        <w:szCs w:val="21"/>
                      </w:rPr>
                      <w:t>-</w:t>
                    </w:r>
                  </w:p>
                </w:tc>
              </w:tr>
            </w:sdtContent>
          </w:sdt>
          <w:sdt>
            <w:sdtPr>
              <w:rPr>
                <w:rFonts w:asciiTheme="minorHAnsi" w:eastAsiaTheme="minorEastAsia" w:hAnsiTheme="minorHAnsi" w:cstheme="minorBidi" w:hint="eastAsia"/>
                <w:kern w:val="2"/>
                <w:szCs w:val="21"/>
              </w:rPr>
              <w:alias w:val="应收股利明细"/>
              <w:tag w:val="_TUP_1ff5f8f45a2949f1b9c94eaf933424a7"/>
              <w:id w:val="-60566338"/>
              <w:lock w:val="sdtLocked"/>
            </w:sdtPr>
            <w:sdtContent>
              <w:tr w:rsidR="00B637B2" w:rsidTr="00B637B2">
                <w:tc>
                  <w:tcPr>
                    <w:tcW w:w="1886" w:type="pct"/>
                  </w:tcPr>
                  <w:p w:rsidR="00B637B2" w:rsidRDefault="008F04CF" w:rsidP="00B637B2">
                    <w:pPr>
                      <w:rPr>
                        <w:szCs w:val="21"/>
                      </w:rPr>
                    </w:pPr>
                    <w:r>
                      <w:rPr>
                        <w:rFonts w:asciiTheme="minorHAnsi" w:eastAsiaTheme="minorEastAsia" w:hAnsiTheme="minorHAnsi" w:cstheme="minorBidi" w:hint="eastAsia"/>
                        <w:kern w:val="2"/>
                        <w:szCs w:val="21"/>
                      </w:rPr>
                      <w:t>用友广信</w:t>
                    </w:r>
                  </w:p>
                </w:tc>
                <w:tc>
                  <w:tcPr>
                    <w:tcW w:w="1553" w:type="pct"/>
                  </w:tcPr>
                  <w:p w:rsidR="00B637B2" w:rsidRDefault="008F04CF" w:rsidP="00B637B2">
                    <w:pPr>
                      <w:jc w:val="right"/>
                      <w:rPr>
                        <w:szCs w:val="21"/>
                      </w:rPr>
                    </w:pPr>
                    <w:r>
                      <w:rPr>
                        <w:rFonts w:hint="eastAsia"/>
                        <w:szCs w:val="21"/>
                      </w:rPr>
                      <w:t>21</w:t>
                    </w:r>
                    <w:r>
                      <w:rPr>
                        <w:szCs w:val="21"/>
                      </w:rPr>
                      <w:t>,</w:t>
                    </w:r>
                    <w:r>
                      <w:rPr>
                        <w:rFonts w:hint="eastAsia"/>
                        <w:szCs w:val="21"/>
                      </w:rPr>
                      <w:t>000</w:t>
                    </w:r>
                    <w:r>
                      <w:rPr>
                        <w:szCs w:val="21"/>
                      </w:rPr>
                      <w:t>,</w:t>
                    </w:r>
                    <w:r>
                      <w:rPr>
                        <w:rFonts w:hint="eastAsia"/>
                        <w:szCs w:val="21"/>
                      </w:rPr>
                      <w:t>000</w:t>
                    </w:r>
                  </w:p>
                </w:tc>
                <w:tc>
                  <w:tcPr>
                    <w:tcW w:w="1561" w:type="pct"/>
                  </w:tcPr>
                  <w:p w:rsidR="00B637B2" w:rsidRDefault="008F04CF" w:rsidP="00B637B2">
                    <w:pPr>
                      <w:jc w:val="right"/>
                      <w:rPr>
                        <w:szCs w:val="21"/>
                      </w:rPr>
                    </w:pPr>
                    <w:r>
                      <w:rPr>
                        <w:rFonts w:hint="eastAsia"/>
                        <w:szCs w:val="21"/>
                      </w:rPr>
                      <w:t>-</w:t>
                    </w:r>
                  </w:p>
                </w:tc>
              </w:tr>
            </w:sdtContent>
          </w:sdt>
          <w:tr w:rsidR="00B637B2" w:rsidTr="00B637B2">
            <w:sdt>
              <w:sdtPr>
                <w:tag w:val="_PLD_e1484a84dae543fcb190b5d5f8a4e713"/>
                <w:id w:val="-258150401"/>
                <w:lock w:val="sdtLocked"/>
              </w:sdtPr>
              <w:sdtContent>
                <w:tc>
                  <w:tcPr>
                    <w:tcW w:w="1886" w:type="pct"/>
                    <w:vAlign w:val="center"/>
                  </w:tcPr>
                  <w:p w:rsidR="00B637B2" w:rsidRDefault="008F04CF" w:rsidP="00B637B2">
                    <w:pPr>
                      <w:jc w:val="center"/>
                      <w:rPr>
                        <w:szCs w:val="21"/>
                      </w:rPr>
                    </w:pPr>
                    <w:r>
                      <w:rPr>
                        <w:rFonts w:hint="eastAsia"/>
                        <w:szCs w:val="21"/>
                      </w:rPr>
                      <w:t>合计</w:t>
                    </w:r>
                  </w:p>
                </w:tc>
              </w:sdtContent>
            </w:sdt>
            <w:tc>
              <w:tcPr>
                <w:tcW w:w="1553" w:type="pct"/>
              </w:tcPr>
              <w:p w:rsidR="00B637B2" w:rsidRDefault="008F04CF" w:rsidP="00B637B2">
                <w:pPr>
                  <w:jc w:val="right"/>
                  <w:rPr>
                    <w:szCs w:val="21"/>
                  </w:rPr>
                </w:pPr>
                <w:r>
                  <w:rPr>
                    <w:szCs w:val="21"/>
                  </w:rPr>
                  <w:t>199,136,438</w:t>
                </w:r>
              </w:p>
            </w:tc>
            <w:tc>
              <w:tcPr>
                <w:tcW w:w="1561" w:type="pct"/>
              </w:tcPr>
              <w:p w:rsidR="00B637B2" w:rsidRDefault="008F04CF" w:rsidP="00B637B2">
                <w:pPr>
                  <w:jc w:val="right"/>
                  <w:rPr>
                    <w:szCs w:val="21"/>
                  </w:rPr>
                </w:pPr>
                <w:r>
                  <w:rPr>
                    <w:rFonts w:hint="eastAsia"/>
                    <w:szCs w:val="21"/>
                  </w:rPr>
                  <w:t>-</w:t>
                </w:r>
              </w:p>
            </w:tc>
          </w:tr>
        </w:tbl>
        <w:p w:rsidR="00B637B2" w:rsidRDefault="00B637B2"/>
        <w:p w:rsidR="00ED2DC7" w:rsidRDefault="000D0A99"/>
      </w:sdtContent>
    </w:sdt>
    <w:bookmarkEnd w:id="256" w:displacedByCustomXml="prev"/>
    <w:bookmarkStart w:id="257" w:name="_Hlk10547188" w:displacedByCustomXml="next"/>
    <w:bookmarkStart w:id="258" w:name="_Hlk10547199" w:displacedByCustomXml="next"/>
    <w:sdt>
      <w:sdtPr>
        <w:rPr>
          <w:rFonts w:ascii="宋体" w:hAnsi="宋体" w:cs="宋体" w:hint="eastAsia"/>
          <w:b w:val="0"/>
          <w:bCs w:val="0"/>
          <w:kern w:val="0"/>
          <w:szCs w:val="24"/>
        </w:rPr>
        <w:alias w:val="模块:重要的账龄超过1年的应收股利"/>
        <w:tag w:val="_SEC_ccfd129beeb14f31b282a062cd845e5e"/>
        <w:id w:val="1141928204"/>
        <w:lock w:val="sdtLocked"/>
        <w:placeholder>
          <w:docPart w:val="GBC22222222222222222222222222222"/>
        </w:placeholder>
      </w:sdtPr>
      <w:sdtEndPr>
        <w:rPr>
          <w:rFonts w:hint="default"/>
        </w:rPr>
      </w:sdtEndPr>
      <w:sdtContent>
        <w:p w:rsidR="00ED2DC7" w:rsidRDefault="00ED2DC7" w:rsidP="00036BDC">
          <w:pPr>
            <w:pStyle w:val="affffffffffffffffff2"/>
            <w:numPr>
              <w:ilvl w:val="3"/>
              <w:numId w:val="103"/>
            </w:numPr>
            <w:ind w:left="426" w:hanging="426"/>
          </w:pPr>
          <w:r>
            <w:rPr>
              <w:rFonts w:hint="eastAsia"/>
            </w:rPr>
            <w:t>重要的账龄超过</w:t>
          </w:r>
          <w:r>
            <w:rPr>
              <w:rFonts w:hint="eastAsia"/>
            </w:rPr>
            <w:t>1</w:t>
          </w:r>
          <w:r>
            <w:rPr>
              <w:rFonts w:hint="eastAsia"/>
            </w:rPr>
            <w:t>年的应收股利</w:t>
          </w:r>
          <w:bookmarkEnd w:id="257"/>
        </w:p>
        <w:sdt>
          <w:sdtPr>
            <w:rPr>
              <w:szCs w:val="21"/>
            </w:rPr>
            <w:alias w:val="是否适用：母公司重要的账龄超过1年的应收股利[双击切换]"/>
            <w:tag w:val="_GBC_5ce593c40926400393bed620009e5006"/>
            <w:id w:val="322400798"/>
            <w:lock w:val="sdtContentLocked"/>
            <w:placeholder>
              <w:docPart w:val="GBC22222222222222222222222222222"/>
            </w:placeholder>
          </w:sdtPr>
          <w:sdtContent>
            <w:p w:rsidR="00ED2DC7" w:rsidRDefault="00ED2DC7" w:rsidP="00B637B2">
              <w:r>
                <w:rPr>
                  <w:szCs w:val="21"/>
                </w:rPr>
                <w:fldChar w:fldCharType="begin"/>
              </w:r>
              <w:r w:rsidR="008F04CF">
                <w:rPr>
                  <w:szCs w:val="21"/>
                </w:rPr>
                <w:instrText xml:space="preserve"> MACROBUTTON  SnrToggleCheckbox □适用 </w:instrText>
              </w:r>
              <w:r>
                <w:rPr>
                  <w:szCs w:val="21"/>
                </w:rPr>
                <w:fldChar w:fldCharType="end"/>
              </w:r>
              <w:r>
                <w:rPr>
                  <w:szCs w:val="21"/>
                </w:rPr>
                <w:fldChar w:fldCharType="begin"/>
              </w:r>
              <w:r w:rsidR="008F04CF">
                <w:rPr>
                  <w:szCs w:val="21"/>
                </w:rPr>
                <w:instrText xml:space="preserve"> MACROBUTTON  SnrToggleCheckbox √不适用 </w:instrText>
              </w:r>
              <w:r>
                <w:rPr>
                  <w:szCs w:val="21"/>
                </w:rPr>
                <w:fldChar w:fldCharType="end"/>
              </w:r>
            </w:p>
          </w:sdtContent>
        </w:sdt>
      </w:sdtContent>
    </w:sdt>
    <w:bookmarkEnd w:id="258" w:displacedByCustomXml="prev"/>
    <w:bookmarkStart w:id="259" w:name="_Hlk10547212" w:displacedByCustomXml="next"/>
    <w:bookmarkStart w:id="260" w:name="_Hlk10547224" w:displacedByCustomXml="next"/>
    <w:sdt>
      <w:sdtPr>
        <w:rPr>
          <w:rFonts w:ascii="宋体" w:hAnsi="宋体" w:cs="宋体" w:hint="eastAsia"/>
          <w:b w:val="0"/>
          <w:bCs w:val="0"/>
          <w:kern w:val="0"/>
          <w:szCs w:val="24"/>
        </w:rPr>
        <w:alias w:val="模块:坏账准备计提情况"/>
        <w:tag w:val="_SEC_3d41530a7b3d408cbfe627f818ea914c"/>
        <w:id w:val="-775173483"/>
        <w:lock w:val="sdtLocked"/>
        <w:placeholder>
          <w:docPart w:val="GBC22222222222222222222222222222"/>
        </w:placeholder>
      </w:sdtPr>
      <w:sdtEndPr>
        <w:rPr>
          <w:rFonts w:hint="default"/>
        </w:rPr>
      </w:sdtEndPr>
      <w:sdtContent>
        <w:p w:rsidR="00ED2DC7" w:rsidRDefault="00ED2DC7" w:rsidP="00036BDC">
          <w:pPr>
            <w:pStyle w:val="affffffffffffffffff2"/>
            <w:numPr>
              <w:ilvl w:val="3"/>
              <w:numId w:val="103"/>
            </w:numPr>
            <w:ind w:left="426" w:hanging="426"/>
          </w:pPr>
          <w:r>
            <w:rPr>
              <w:rFonts w:ascii="宋体" w:hAnsi="宋体" w:cs="宋体" w:hint="eastAsia"/>
              <w:bCs w:val="0"/>
              <w:kern w:val="0"/>
              <w:szCs w:val="24"/>
            </w:rPr>
            <w:t>坏账准备计提情况</w:t>
          </w:r>
          <w:bookmarkEnd w:id="259"/>
        </w:p>
        <w:sdt>
          <w:sdtPr>
            <w:alias w:val="是否适用：母公司应收股利坏账准备调节表[双击切换]"/>
            <w:tag w:val="_GBC_9d130aecb6cb4874ac083fcdce5ee739"/>
            <w:id w:val="1058293262"/>
            <w:lock w:val="sdtContentLocked"/>
            <w:placeholder>
              <w:docPart w:val="GBC22222222222222222222222222222"/>
            </w:placeholder>
          </w:sdtPr>
          <w:sdtContent>
            <w:p w:rsidR="00B637B2" w:rsidRDefault="00ED2DC7" w:rsidP="00B637B2">
              <w:r>
                <w:fldChar w:fldCharType="begin"/>
              </w:r>
              <w:r w:rsidR="008F04CF">
                <w:instrText xml:space="preserve"> MACROBUTTON  SnrToggleCheckbox □适用 </w:instrText>
              </w:r>
              <w:r>
                <w:fldChar w:fldCharType="end"/>
              </w:r>
              <w:r>
                <w:fldChar w:fldCharType="begin"/>
              </w:r>
              <w:r w:rsidR="008F04CF">
                <w:instrText xml:space="preserve"> MACROBUTTON  SnrToggleCheckbox √不适用 </w:instrText>
              </w:r>
              <w:r>
                <w:fldChar w:fldCharType="end"/>
              </w:r>
            </w:p>
          </w:sdtContent>
        </w:sdt>
        <w:p w:rsidR="00ED2DC7" w:rsidRDefault="00ED2DC7"/>
        <w:p w:rsidR="00ED2DC7" w:rsidRDefault="000D0A99"/>
      </w:sdtContent>
    </w:sdt>
    <w:bookmarkEnd w:id="260" w:displacedByCustomXml="prev"/>
    <w:bookmarkStart w:id="261" w:name="_Hlk10547234" w:displacedByCustomXml="next"/>
    <w:bookmarkStart w:id="262" w:name="_Hlk10547244" w:displacedByCustomXml="next"/>
    <w:sdt>
      <w:sdtPr>
        <w:rPr>
          <w:rFonts w:hint="eastAsia"/>
          <w:szCs w:val="21"/>
        </w:rPr>
        <w:alias w:val="模块:其他说明："/>
        <w:tag w:val="_SEC_2b03a6eb53a24c76a6dc28f0478009f2"/>
        <w:id w:val="1354697790"/>
        <w:lock w:val="sdtLocked"/>
        <w:placeholder>
          <w:docPart w:val="GBC22222222222222222222222222222"/>
        </w:placeholder>
      </w:sdtPr>
      <w:sdtEndPr>
        <w:rPr>
          <w:rFonts w:hint="default"/>
          <w:szCs w:val="24"/>
        </w:rPr>
      </w:sdtEndPr>
      <w:sdtContent>
        <w:p w:rsidR="00ED2DC7" w:rsidRDefault="00ED2DC7">
          <w:pPr>
            <w:rPr>
              <w:szCs w:val="21"/>
            </w:rPr>
          </w:pPr>
          <w:r>
            <w:rPr>
              <w:rFonts w:hint="eastAsia"/>
              <w:szCs w:val="21"/>
            </w:rPr>
            <w:t>其他说明：</w:t>
          </w:r>
          <w:bookmarkEnd w:id="261"/>
        </w:p>
        <w:sdt>
          <w:sdtPr>
            <w:rPr>
              <w:szCs w:val="21"/>
            </w:rPr>
            <w:alias w:val="是否适用：母公司应收股利其他说明[双击切换]"/>
            <w:tag w:val="_GBC_79a2eb8844e84fe3b78bb5ffcf2a57d5"/>
            <w:id w:val="738516035"/>
            <w:lock w:val="sdtContentLocked"/>
            <w:placeholder>
              <w:docPart w:val="GBC22222222222222222222222222222"/>
            </w:placeholder>
          </w:sdtPr>
          <w:sdtContent>
            <w:p w:rsidR="00ED2DC7" w:rsidRDefault="00ED2DC7" w:rsidP="00B637B2">
              <w:pPr>
                <w:rPr>
                  <w:szCs w:val="21"/>
                </w:rPr>
              </w:pPr>
              <w:r>
                <w:rPr>
                  <w:szCs w:val="21"/>
                </w:rPr>
                <w:fldChar w:fldCharType="begin"/>
              </w:r>
              <w:r w:rsidR="008F04CF">
                <w:rPr>
                  <w:szCs w:val="21"/>
                </w:rPr>
                <w:instrText xml:space="preserve"> MACROBUTTON  SnrToggleCheckbox □适用 </w:instrText>
              </w:r>
              <w:r>
                <w:rPr>
                  <w:szCs w:val="21"/>
                </w:rPr>
                <w:fldChar w:fldCharType="end"/>
              </w:r>
              <w:r>
                <w:rPr>
                  <w:szCs w:val="21"/>
                </w:rPr>
                <w:fldChar w:fldCharType="begin"/>
              </w:r>
              <w:r w:rsidR="008F04CF">
                <w:rPr>
                  <w:szCs w:val="21"/>
                </w:rPr>
                <w:instrText xml:space="preserve"> MACROBUTTON  SnrToggleCheckbox √不适用 </w:instrText>
              </w:r>
              <w:r>
                <w:rPr>
                  <w:szCs w:val="21"/>
                </w:rPr>
                <w:fldChar w:fldCharType="end"/>
              </w:r>
            </w:p>
          </w:sdtContent>
        </w:sdt>
        <w:p w:rsidR="00ED2DC7" w:rsidRDefault="000D0A99"/>
      </w:sdtContent>
    </w:sdt>
    <w:bookmarkEnd w:id="262" w:displacedByCustomXml="prev"/>
    <w:p w:rsidR="00ED2DC7" w:rsidRDefault="00ED2DC7">
      <w:pPr>
        <w:pStyle w:val="affffffffffffffffff2"/>
      </w:pPr>
      <w:r>
        <w:rPr>
          <w:rFonts w:hint="eastAsia"/>
        </w:rPr>
        <w:t>其他应收款</w:t>
      </w:r>
    </w:p>
    <w:sdt>
      <w:sdtPr>
        <w:rPr>
          <w:rFonts w:ascii="宋体" w:hAnsi="宋体" w:cs="宋体"/>
          <w:b w:val="0"/>
          <w:bCs w:val="0"/>
          <w:kern w:val="0"/>
          <w:szCs w:val="21"/>
        </w:rPr>
        <w:alias w:val="模块:组合中，按账龄分析法计提坏账准备的其他应收款"/>
        <w:tag w:val="_GBC_7633445fb4f445e9a99e716971900a22"/>
        <w:id w:val="-2070031611"/>
        <w:lock w:val="sdtLocked"/>
        <w:placeholder>
          <w:docPart w:val="GBC22222222222222222222222222222"/>
        </w:placeholder>
      </w:sdtPr>
      <w:sdtContent>
        <w:p w:rsidR="00ED2DC7" w:rsidRDefault="00ED2DC7" w:rsidP="00036BDC">
          <w:pPr>
            <w:pStyle w:val="affffffffffffffffff2"/>
            <w:numPr>
              <w:ilvl w:val="3"/>
              <w:numId w:val="103"/>
            </w:numPr>
            <w:ind w:left="426" w:hanging="426"/>
            <w:rPr>
              <w:szCs w:val="21"/>
            </w:rPr>
          </w:pPr>
          <w:r>
            <w:rPr>
              <w:rFonts w:hint="eastAsia"/>
              <w:szCs w:val="21"/>
            </w:rPr>
            <w:t>按账龄披露</w:t>
          </w:r>
        </w:p>
        <w:p w:rsidR="00ED2DC7" w:rsidRDefault="000D0A99">
          <w:pPr>
            <w:tabs>
              <w:tab w:val="left" w:pos="9720"/>
            </w:tabs>
            <w:ind w:rightChars="-673" w:right="-1413"/>
            <w:rPr>
              <w:b/>
              <w:szCs w:val="21"/>
            </w:rPr>
          </w:pPr>
          <w:sdt>
            <w:sdtPr>
              <w:rPr>
                <w:rFonts w:hint="eastAsia"/>
                <w:szCs w:val="21"/>
              </w:rPr>
              <w:alias w:val="是否适用：母公司组合中，按账龄分析法计提坏账准备的其他应收账款[双击切换]"/>
              <w:tag w:val="_GBC_b8ebebf3180a48e4b61282a3ad0f26ab"/>
              <w:id w:val="-58325897"/>
              <w:lock w:val="sdtContentLocked"/>
              <w:placeholder>
                <w:docPart w:val="GBC22222222222222222222222222222"/>
              </w:placeholder>
            </w:sdtPr>
            <w:sdtContent>
              <w:r w:rsidR="00ED2DC7">
                <w:rPr>
                  <w:szCs w:val="21"/>
                </w:rPr>
                <w:fldChar w:fldCharType="begin"/>
              </w:r>
              <w:r w:rsidR="00841B3F">
                <w:rPr>
                  <w:szCs w:val="21"/>
                </w:rPr>
                <w:instrText>MACROBUTTON  SnrToggleCheckbox √适用</w:instrText>
              </w:r>
              <w:r w:rsidR="00ED2DC7">
                <w:rPr>
                  <w:szCs w:val="21"/>
                </w:rPr>
                <w:fldChar w:fldCharType="end"/>
              </w:r>
              <w:r w:rsidR="00ED2DC7">
                <w:rPr>
                  <w:szCs w:val="21"/>
                </w:rPr>
                <w:fldChar w:fldCharType="begin"/>
              </w:r>
              <w:r w:rsidR="00841B3F">
                <w:rPr>
                  <w:szCs w:val="21"/>
                </w:rPr>
                <w:instrText xml:space="preserve"> MACROBUTTON  SnrToggleCheckbox □不适用 </w:instrText>
              </w:r>
              <w:r w:rsidR="00ED2DC7">
                <w:rPr>
                  <w:szCs w:val="21"/>
                </w:rPr>
                <w:fldChar w:fldCharType="end"/>
              </w:r>
            </w:sdtContent>
          </w:sdt>
        </w:p>
        <w:p w:rsidR="00ED2DC7" w:rsidRDefault="00ED2DC7">
          <w:pPr>
            <w:jc w:val="right"/>
            <w:rPr>
              <w:szCs w:val="21"/>
            </w:rPr>
          </w:pPr>
          <w:r>
            <w:rPr>
              <w:rFonts w:hint="eastAsia"/>
              <w:szCs w:val="21"/>
            </w:rPr>
            <w:t>单位：</w:t>
          </w:r>
          <w:sdt>
            <w:sdtPr>
              <w:rPr>
                <w:rFonts w:hint="eastAsia"/>
                <w:szCs w:val="21"/>
              </w:rPr>
              <w:alias w:val="单位：母公司财务附注：单项金额不重大但按信用风险特征组合后该组合的风险较大的其他应收账款"/>
              <w:tag w:val="_GBC_ede5d9b4f8594f95a95f3ab6c9f60baf"/>
              <w:id w:val="-15521385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hint="eastAsia"/>
                  <w:szCs w:val="21"/>
                </w:rPr>
                <w:t>元</w:t>
              </w:r>
            </w:sdtContent>
          </w:sdt>
          <w:r>
            <w:rPr>
              <w:rFonts w:hint="eastAsia"/>
              <w:szCs w:val="21"/>
            </w:rPr>
            <w:t xml:space="preserve">  币种：</w:t>
          </w:r>
          <w:sdt>
            <w:sdtPr>
              <w:rPr>
                <w:rFonts w:hint="eastAsia"/>
                <w:szCs w:val="21"/>
              </w:rPr>
              <w:alias w:val="币种：母公司财务附注：单项金额不重大但按信用风险特征组合后该组合的风险较大的其他应收账款"/>
              <w:tag w:val="_GBC_f568e72906c2467eaad01f9cc2c58e38"/>
              <w:id w:val="165926697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szCs w:val="21"/>
                </w:rPr>
                <w:t>人民币</w:t>
              </w:r>
            </w:sdtContent>
          </w:sdt>
        </w:p>
        <w:tbl>
          <w:tblPr>
            <w:tblStyle w:val="g38"/>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66"/>
            <w:gridCol w:w="3557"/>
          </w:tblGrid>
          <w:tr w:rsidR="00B637B2" w:rsidTr="00B637B2">
            <w:trPr>
              <w:trHeight w:val="273"/>
              <w:jc w:val="center"/>
            </w:trPr>
            <w:sdt>
              <w:sdtPr>
                <w:tag w:val="_PLD_ea421152d78d40388e20d700f11c5b7c"/>
                <w:id w:val="1330792888"/>
                <w:lock w:val="sdtLocked"/>
              </w:sdtPr>
              <w:sdtContent>
                <w:tc>
                  <w:tcPr>
                    <w:tcW w:w="2984" w:type="pct"/>
                    <w:tcBorders>
                      <w:bottom w:val="single" w:sz="4" w:space="0" w:color="auto"/>
                    </w:tcBorders>
                    <w:shd w:val="clear" w:color="auto" w:fill="auto"/>
                    <w:vAlign w:val="center"/>
                  </w:tcPr>
                  <w:p w:rsidR="00B637B2" w:rsidRDefault="008F04CF" w:rsidP="00B637B2">
                    <w:pPr>
                      <w:jc w:val="center"/>
                      <w:rPr>
                        <w:szCs w:val="21"/>
                      </w:rPr>
                    </w:pPr>
                    <w:r>
                      <w:rPr>
                        <w:szCs w:val="21"/>
                      </w:rPr>
                      <w:t>账龄</w:t>
                    </w:r>
                  </w:p>
                </w:tc>
              </w:sdtContent>
            </w:sdt>
            <w:sdt>
              <w:sdtPr>
                <w:tag w:val="_PLD_041d6c971e464a898746e2aa12807b27"/>
                <w:id w:val="1622806309"/>
                <w:lock w:val="sdtLocked"/>
              </w:sdtPr>
              <w:sdtContent>
                <w:tc>
                  <w:tcPr>
                    <w:tcW w:w="2016" w:type="pct"/>
                    <w:tcBorders>
                      <w:bottom w:val="single" w:sz="4" w:space="0" w:color="auto"/>
                    </w:tcBorders>
                    <w:shd w:val="clear" w:color="auto" w:fill="auto"/>
                    <w:vAlign w:val="center"/>
                  </w:tcPr>
                  <w:p w:rsidR="00B637B2" w:rsidRDefault="008F04CF" w:rsidP="00B637B2">
                    <w:pPr>
                      <w:jc w:val="center"/>
                      <w:rPr>
                        <w:szCs w:val="21"/>
                      </w:rPr>
                    </w:pPr>
                    <w:r>
                      <w:rPr>
                        <w:szCs w:val="21"/>
                      </w:rPr>
                      <w:t>期末余额</w:t>
                    </w:r>
                  </w:p>
                </w:tc>
              </w:sdtContent>
            </w:sdt>
          </w:tr>
          <w:tr w:rsidR="00B637B2" w:rsidTr="00B637B2">
            <w:trPr>
              <w:jc w:val="center"/>
            </w:trPr>
            <w:sdt>
              <w:sdtPr>
                <w:tag w:val="_PLD_e7e6a5399aea4d5c9e5e7d69deb45784"/>
                <w:id w:val="1360403999"/>
                <w:lock w:val="sdtLocked"/>
              </w:sdtPr>
              <w:sdtContent>
                <w:tc>
                  <w:tcPr>
                    <w:tcW w:w="2984" w:type="pct"/>
                    <w:shd w:val="clear" w:color="auto" w:fill="auto"/>
                  </w:tcPr>
                  <w:p w:rsidR="00B637B2" w:rsidRDefault="008F04CF" w:rsidP="00B637B2">
                    <w:pPr>
                      <w:rPr>
                        <w:szCs w:val="21"/>
                      </w:rPr>
                    </w:pPr>
                    <w:r>
                      <w:rPr>
                        <w:rFonts w:hint="eastAsia"/>
                        <w:szCs w:val="21"/>
                      </w:rPr>
                      <w:t>1</w:t>
                    </w:r>
                    <w:r>
                      <w:rPr>
                        <w:szCs w:val="21"/>
                      </w:rPr>
                      <w:t>年以内</w:t>
                    </w:r>
                  </w:p>
                </w:tc>
              </w:sdtContent>
            </w:sdt>
            <w:tc>
              <w:tcPr>
                <w:tcW w:w="2016" w:type="pct"/>
                <w:shd w:val="clear" w:color="auto" w:fill="auto"/>
              </w:tcPr>
              <w:p w:rsidR="00B637B2" w:rsidRDefault="008F04CF" w:rsidP="00B637B2">
                <w:pPr>
                  <w:jc w:val="right"/>
                  <w:rPr>
                    <w:szCs w:val="21"/>
                  </w:rPr>
                </w:pPr>
                <w:r w:rsidRPr="007A3F89">
                  <w:rPr>
                    <w:szCs w:val="21"/>
                  </w:rPr>
                  <w:t>1,440,130,832</w:t>
                </w:r>
              </w:p>
            </w:tc>
          </w:tr>
          <w:tr w:rsidR="00B637B2" w:rsidTr="00B637B2">
            <w:trPr>
              <w:jc w:val="center"/>
            </w:trPr>
            <w:sdt>
              <w:sdtPr>
                <w:tag w:val="_PLD_56f450290f844bc78a2cfb244e386bfb"/>
                <w:id w:val="-399525881"/>
                <w:lock w:val="sdtLocked"/>
              </w:sdtPr>
              <w:sdtContent>
                <w:tc>
                  <w:tcPr>
                    <w:tcW w:w="2984" w:type="pct"/>
                    <w:shd w:val="clear" w:color="auto" w:fill="auto"/>
                  </w:tcPr>
                  <w:p w:rsidR="00B637B2" w:rsidRDefault="008F04CF" w:rsidP="00B637B2">
                    <w:pPr>
                      <w:rPr>
                        <w:szCs w:val="21"/>
                      </w:rPr>
                    </w:pPr>
                    <w:r>
                      <w:rPr>
                        <w:rFonts w:hint="eastAsia"/>
                        <w:szCs w:val="21"/>
                      </w:rPr>
                      <w:t>其中：</w:t>
                    </w:r>
                    <w:r>
                      <w:rPr>
                        <w:szCs w:val="21"/>
                      </w:rPr>
                      <w:t>1年以内分项</w:t>
                    </w:r>
                  </w:p>
                </w:tc>
              </w:sdtContent>
            </w:sdt>
            <w:tc>
              <w:tcPr>
                <w:tcW w:w="2016" w:type="pct"/>
                <w:shd w:val="clear" w:color="auto" w:fill="auto"/>
              </w:tcPr>
              <w:p w:rsidR="00B637B2" w:rsidRDefault="00B637B2" w:rsidP="00B637B2">
                <w:pPr>
                  <w:jc w:val="right"/>
                  <w:rPr>
                    <w:szCs w:val="21"/>
                  </w:rPr>
                </w:pPr>
              </w:p>
            </w:tc>
          </w:tr>
          <w:sdt>
            <w:sdtPr>
              <w:rPr>
                <w:rFonts w:asciiTheme="minorHAnsi" w:eastAsiaTheme="minorEastAsia" w:hAnsiTheme="minorHAnsi" w:cstheme="minorBidi"/>
                <w:kern w:val="2"/>
                <w:szCs w:val="21"/>
              </w:rPr>
              <w:alias w:val="一年以内其他应收款金额明细"/>
              <w:tag w:val="_GBC_860af2b8105d4e3eb381eb65866b7c4e"/>
              <w:id w:val="1364942880"/>
              <w:lock w:val="sdtLocked"/>
            </w:sdtPr>
            <w:sdtContent>
              <w:tr w:rsidR="00B637B2" w:rsidTr="00B637B2">
                <w:trPr>
                  <w:jc w:val="center"/>
                </w:trPr>
                <w:tc>
                  <w:tcPr>
                    <w:tcW w:w="2984" w:type="pct"/>
                    <w:shd w:val="clear" w:color="auto" w:fill="auto"/>
                  </w:tcPr>
                  <w:p w:rsidR="00B637B2" w:rsidRDefault="008F04CF" w:rsidP="00B637B2">
                    <w:pPr>
                      <w:rPr>
                        <w:szCs w:val="21"/>
                      </w:rPr>
                    </w:pPr>
                    <w:r>
                      <w:rPr>
                        <w:szCs w:val="21"/>
                      </w:rPr>
                      <w:t>0-12</w:t>
                    </w:r>
                    <w:r>
                      <w:rPr>
                        <w:rFonts w:hint="eastAsia"/>
                        <w:szCs w:val="21"/>
                      </w:rPr>
                      <w:t>个月</w:t>
                    </w:r>
                  </w:p>
                </w:tc>
                <w:tc>
                  <w:tcPr>
                    <w:tcW w:w="2016" w:type="pct"/>
                    <w:shd w:val="clear" w:color="auto" w:fill="auto"/>
                  </w:tcPr>
                  <w:p w:rsidR="00B637B2" w:rsidRDefault="008F04CF" w:rsidP="00B637B2">
                    <w:pPr>
                      <w:jc w:val="right"/>
                      <w:rPr>
                        <w:szCs w:val="21"/>
                      </w:rPr>
                    </w:pPr>
                    <w:r w:rsidRPr="007A3F89">
                      <w:rPr>
                        <w:szCs w:val="21"/>
                      </w:rPr>
                      <w:t>1,440,130,832</w:t>
                    </w:r>
                  </w:p>
                </w:tc>
              </w:tr>
            </w:sdtContent>
          </w:sdt>
          <w:sdt>
            <w:sdtPr>
              <w:rPr>
                <w:rFonts w:asciiTheme="minorHAnsi" w:eastAsiaTheme="minorEastAsia" w:hAnsiTheme="minorHAnsi" w:cstheme="minorBidi"/>
                <w:kern w:val="2"/>
                <w:szCs w:val="21"/>
              </w:rPr>
              <w:alias w:val="一年以内其他应收款金额明细"/>
              <w:tag w:val="_GBC_860af2b8105d4e3eb381eb65866b7c4e"/>
              <w:id w:val="307593405"/>
              <w:lock w:val="sdtLocked"/>
            </w:sdtPr>
            <w:sdtContent>
              <w:tr w:rsidR="00B637B2" w:rsidTr="00B637B2">
                <w:trPr>
                  <w:jc w:val="center"/>
                </w:trPr>
                <w:tc>
                  <w:tcPr>
                    <w:tcW w:w="2984" w:type="pct"/>
                    <w:shd w:val="clear" w:color="auto" w:fill="auto"/>
                  </w:tcPr>
                  <w:p w:rsidR="00B637B2" w:rsidRDefault="00B637B2" w:rsidP="00B637B2">
                    <w:pPr>
                      <w:rPr>
                        <w:szCs w:val="21"/>
                      </w:rPr>
                    </w:pPr>
                  </w:p>
                </w:tc>
                <w:tc>
                  <w:tcPr>
                    <w:tcW w:w="2016" w:type="pct"/>
                    <w:shd w:val="clear" w:color="auto" w:fill="auto"/>
                  </w:tcPr>
                  <w:p w:rsidR="00B637B2" w:rsidRDefault="00B637B2" w:rsidP="00B637B2">
                    <w:pPr>
                      <w:jc w:val="right"/>
                      <w:rPr>
                        <w:szCs w:val="21"/>
                      </w:rPr>
                    </w:pPr>
                  </w:p>
                </w:tc>
              </w:tr>
            </w:sdtContent>
          </w:sdt>
          <w:tr w:rsidR="00B637B2" w:rsidTr="00B637B2">
            <w:trPr>
              <w:jc w:val="center"/>
            </w:trPr>
            <w:sdt>
              <w:sdtPr>
                <w:tag w:val="_PLD_2003791af21f466bb07049d42fca0a81"/>
                <w:id w:val="1110321002"/>
                <w:lock w:val="sdtLocked"/>
              </w:sdtPr>
              <w:sdtContent>
                <w:tc>
                  <w:tcPr>
                    <w:tcW w:w="2984" w:type="pct"/>
                    <w:shd w:val="clear" w:color="auto" w:fill="auto"/>
                  </w:tcPr>
                  <w:p w:rsidR="00B637B2" w:rsidRDefault="008F04CF" w:rsidP="00B637B2">
                    <w:pPr>
                      <w:rPr>
                        <w:szCs w:val="21"/>
                      </w:rPr>
                    </w:pPr>
                    <w:r>
                      <w:rPr>
                        <w:rFonts w:hint="eastAsia"/>
                        <w:szCs w:val="21"/>
                      </w:rPr>
                      <w:t>1年以内小计</w:t>
                    </w:r>
                  </w:p>
                </w:tc>
              </w:sdtContent>
            </w:sdt>
            <w:tc>
              <w:tcPr>
                <w:tcW w:w="2016" w:type="pct"/>
                <w:shd w:val="clear" w:color="auto" w:fill="auto"/>
              </w:tcPr>
              <w:p w:rsidR="00B637B2" w:rsidRDefault="008F04CF" w:rsidP="00B637B2">
                <w:pPr>
                  <w:jc w:val="right"/>
                  <w:rPr>
                    <w:szCs w:val="21"/>
                  </w:rPr>
                </w:pPr>
                <w:r w:rsidRPr="007A3F89">
                  <w:rPr>
                    <w:szCs w:val="21"/>
                  </w:rPr>
                  <w:t>1,440,130,832</w:t>
                </w:r>
              </w:p>
            </w:tc>
          </w:tr>
          <w:tr w:rsidR="00B637B2" w:rsidTr="00B637B2">
            <w:trPr>
              <w:jc w:val="center"/>
            </w:trPr>
            <w:sdt>
              <w:sdtPr>
                <w:tag w:val="_PLD_95c5c36c109842ad8ca939ca66051b89"/>
                <w:id w:val="1445576061"/>
                <w:lock w:val="sdtLocked"/>
              </w:sdtPr>
              <w:sdtContent>
                <w:tc>
                  <w:tcPr>
                    <w:tcW w:w="2984" w:type="pct"/>
                    <w:shd w:val="clear" w:color="auto" w:fill="auto"/>
                  </w:tcPr>
                  <w:p w:rsidR="00B637B2" w:rsidRDefault="008F04CF" w:rsidP="00B637B2">
                    <w:pPr>
                      <w:rPr>
                        <w:szCs w:val="21"/>
                      </w:rPr>
                    </w:pPr>
                    <w:r>
                      <w:rPr>
                        <w:rFonts w:hint="eastAsia"/>
                        <w:szCs w:val="21"/>
                      </w:rPr>
                      <w:t>1</w:t>
                    </w:r>
                    <w:r>
                      <w:rPr>
                        <w:szCs w:val="21"/>
                      </w:rPr>
                      <w:t>至</w:t>
                    </w:r>
                    <w:r>
                      <w:rPr>
                        <w:rFonts w:hint="eastAsia"/>
                        <w:szCs w:val="21"/>
                      </w:rPr>
                      <w:t>2</w:t>
                    </w:r>
                    <w:r>
                      <w:rPr>
                        <w:szCs w:val="21"/>
                      </w:rPr>
                      <w:t>年</w:t>
                    </w:r>
                  </w:p>
                </w:tc>
              </w:sdtContent>
            </w:sdt>
            <w:tc>
              <w:tcPr>
                <w:tcW w:w="2016" w:type="pct"/>
                <w:shd w:val="clear" w:color="auto" w:fill="auto"/>
              </w:tcPr>
              <w:p w:rsidR="00B637B2" w:rsidRDefault="008F04CF" w:rsidP="00B637B2">
                <w:pPr>
                  <w:jc w:val="right"/>
                  <w:rPr>
                    <w:szCs w:val="21"/>
                  </w:rPr>
                </w:pPr>
                <w:r>
                  <w:t>14,004,755</w:t>
                </w:r>
              </w:p>
            </w:tc>
          </w:tr>
          <w:tr w:rsidR="00B637B2" w:rsidTr="00B637B2">
            <w:trPr>
              <w:jc w:val="center"/>
            </w:trPr>
            <w:sdt>
              <w:sdtPr>
                <w:tag w:val="_PLD_95bded3dfef44f398326fefdfdfa13a1"/>
                <w:id w:val="-1167170965"/>
                <w:lock w:val="sdtLocked"/>
              </w:sdtPr>
              <w:sdtContent>
                <w:tc>
                  <w:tcPr>
                    <w:tcW w:w="2984" w:type="pct"/>
                    <w:shd w:val="clear" w:color="auto" w:fill="auto"/>
                  </w:tcPr>
                  <w:p w:rsidR="00B637B2" w:rsidRDefault="008F04CF" w:rsidP="00B637B2">
                    <w:pPr>
                      <w:rPr>
                        <w:szCs w:val="21"/>
                      </w:rPr>
                    </w:pPr>
                    <w:r>
                      <w:rPr>
                        <w:rFonts w:hint="eastAsia"/>
                        <w:szCs w:val="21"/>
                      </w:rPr>
                      <w:t>2</w:t>
                    </w:r>
                    <w:r>
                      <w:rPr>
                        <w:szCs w:val="21"/>
                      </w:rPr>
                      <w:t>至</w:t>
                    </w:r>
                    <w:r>
                      <w:rPr>
                        <w:rFonts w:hint="eastAsia"/>
                        <w:szCs w:val="21"/>
                      </w:rPr>
                      <w:t>3</w:t>
                    </w:r>
                    <w:r>
                      <w:rPr>
                        <w:szCs w:val="21"/>
                      </w:rPr>
                      <w:t>年</w:t>
                    </w:r>
                  </w:p>
                </w:tc>
              </w:sdtContent>
            </w:sdt>
            <w:tc>
              <w:tcPr>
                <w:tcW w:w="2016" w:type="pct"/>
                <w:shd w:val="clear" w:color="auto" w:fill="auto"/>
              </w:tcPr>
              <w:p w:rsidR="00B637B2" w:rsidRDefault="008F04CF" w:rsidP="00B637B2">
                <w:pPr>
                  <w:jc w:val="right"/>
                  <w:rPr>
                    <w:szCs w:val="21"/>
                  </w:rPr>
                </w:pPr>
                <w:r>
                  <w:t>3,332,635</w:t>
                </w:r>
              </w:p>
            </w:tc>
          </w:tr>
          <w:tr w:rsidR="00B637B2" w:rsidTr="00B637B2">
            <w:trPr>
              <w:jc w:val="center"/>
            </w:trPr>
            <w:sdt>
              <w:sdtPr>
                <w:tag w:val="_PLD_8e60c19da192420eac3e17635db6643f"/>
                <w:id w:val="151178202"/>
                <w:lock w:val="sdtLocked"/>
              </w:sdtPr>
              <w:sdtContent>
                <w:tc>
                  <w:tcPr>
                    <w:tcW w:w="2984" w:type="pct"/>
                    <w:shd w:val="clear" w:color="auto" w:fill="auto"/>
                  </w:tcPr>
                  <w:p w:rsidR="00B637B2" w:rsidRDefault="008F04CF" w:rsidP="00B637B2">
                    <w:pPr>
                      <w:rPr>
                        <w:szCs w:val="21"/>
                      </w:rPr>
                    </w:pPr>
                    <w:r>
                      <w:rPr>
                        <w:rFonts w:hint="eastAsia"/>
                        <w:szCs w:val="21"/>
                      </w:rPr>
                      <w:t>3</w:t>
                    </w:r>
                    <w:r>
                      <w:rPr>
                        <w:szCs w:val="21"/>
                      </w:rPr>
                      <w:t>年以上</w:t>
                    </w:r>
                  </w:p>
                </w:tc>
              </w:sdtContent>
            </w:sdt>
            <w:tc>
              <w:tcPr>
                <w:tcW w:w="2016" w:type="pct"/>
                <w:shd w:val="clear" w:color="auto" w:fill="auto"/>
              </w:tcPr>
              <w:p w:rsidR="00B637B2" w:rsidRDefault="00B637B2" w:rsidP="00B637B2">
                <w:pPr>
                  <w:jc w:val="right"/>
                  <w:rPr>
                    <w:szCs w:val="21"/>
                  </w:rPr>
                </w:pPr>
              </w:p>
            </w:tc>
          </w:tr>
          <w:tr w:rsidR="00B637B2" w:rsidTr="00B637B2">
            <w:trPr>
              <w:jc w:val="center"/>
            </w:trPr>
            <w:sdt>
              <w:sdtPr>
                <w:tag w:val="_PLD_f2ed966c1e274f61b24a1143926bf921"/>
                <w:id w:val="-653062153"/>
                <w:lock w:val="sdtLocked"/>
              </w:sdtPr>
              <w:sdtContent>
                <w:tc>
                  <w:tcPr>
                    <w:tcW w:w="2984" w:type="pct"/>
                    <w:shd w:val="clear" w:color="auto" w:fill="auto"/>
                  </w:tcPr>
                  <w:p w:rsidR="00B637B2" w:rsidRDefault="008F04CF" w:rsidP="00B637B2">
                    <w:pPr>
                      <w:rPr>
                        <w:szCs w:val="21"/>
                      </w:rPr>
                    </w:pPr>
                    <w:r>
                      <w:rPr>
                        <w:rFonts w:hint="eastAsia"/>
                        <w:szCs w:val="21"/>
                      </w:rPr>
                      <w:t>3</w:t>
                    </w:r>
                    <w:r>
                      <w:rPr>
                        <w:szCs w:val="21"/>
                      </w:rPr>
                      <w:t>至</w:t>
                    </w:r>
                    <w:r>
                      <w:rPr>
                        <w:rFonts w:hint="eastAsia"/>
                        <w:szCs w:val="21"/>
                      </w:rPr>
                      <w:t>4</w:t>
                    </w:r>
                    <w:r>
                      <w:rPr>
                        <w:szCs w:val="21"/>
                      </w:rPr>
                      <w:t>年</w:t>
                    </w:r>
                  </w:p>
                </w:tc>
              </w:sdtContent>
            </w:sdt>
            <w:tc>
              <w:tcPr>
                <w:tcW w:w="2016" w:type="pct"/>
                <w:shd w:val="clear" w:color="auto" w:fill="auto"/>
              </w:tcPr>
              <w:p w:rsidR="00B637B2" w:rsidRDefault="008F04CF" w:rsidP="00B637B2">
                <w:pPr>
                  <w:jc w:val="right"/>
                  <w:rPr>
                    <w:szCs w:val="21"/>
                  </w:rPr>
                </w:pPr>
                <w:r>
                  <w:t>2,226,033</w:t>
                </w:r>
              </w:p>
            </w:tc>
          </w:tr>
          <w:tr w:rsidR="00B637B2" w:rsidTr="00B637B2">
            <w:trPr>
              <w:jc w:val="center"/>
            </w:trPr>
            <w:sdt>
              <w:sdtPr>
                <w:tag w:val="_PLD_b619e0e2723e468294b0f0499cb87825"/>
                <w:id w:val="-1134095115"/>
                <w:lock w:val="sdtLocked"/>
              </w:sdtPr>
              <w:sdtContent>
                <w:tc>
                  <w:tcPr>
                    <w:tcW w:w="2984" w:type="pct"/>
                    <w:shd w:val="clear" w:color="auto" w:fill="auto"/>
                  </w:tcPr>
                  <w:p w:rsidR="00B637B2" w:rsidRDefault="008F04CF" w:rsidP="00B637B2">
                    <w:pPr>
                      <w:rPr>
                        <w:szCs w:val="21"/>
                      </w:rPr>
                    </w:pPr>
                    <w:r>
                      <w:rPr>
                        <w:rFonts w:hint="eastAsia"/>
                        <w:szCs w:val="21"/>
                      </w:rPr>
                      <w:t>4</w:t>
                    </w:r>
                    <w:r>
                      <w:rPr>
                        <w:szCs w:val="21"/>
                      </w:rPr>
                      <w:t>至</w:t>
                    </w:r>
                    <w:r>
                      <w:rPr>
                        <w:rFonts w:hint="eastAsia"/>
                        <w:szCs w:val="21"/>
                      </w:rPr>
                      <w:t>5</w:t>
                    </w:r>
                    <w:r>
                      <w:rPr>
                        <w:szCs w:val="21"/>
                      </w:rPr>
                      <w:t>年</w:t>
                    </w:r>
                  </w:p>
                </w:tc>
              </w:sdtContent>
            </w:sdt>
            <w:tc>
              <w:tcPr>
                <w:tcW w:w="2016" w:type="pct"/>
                <w:shd w:val="clear" w:color="auto" w:fill="auto"/>
              </w:tcPr>
              <w:p w:rsidR="00B637B2" w:rsidRDefault="008F04CF" w:rsidP="00B637B2">
                <w:pPr>
                  <w:jc w:val="right"/>
                  <w:rPr>
                    <w:szCs w:val="21"/>
                  </w:rPr>
                </w:pPr>
                <w:r>
                  <w:t>3,015,324</w:t>
                </w:r>
              </w:p>
            </w:tc>
          </w:tr>
          <w:tr w:rsidR="00B637B2" w:rsidTr="00B637B2">
            <w:trPr>
              <w:jc w:val="center"/>
            </w:trPr>
            <w:sdt>
              <w:sdtPr>
                <w:tag w:val="_PLD_ba74cee717434a10956280b38ade6234"/>
                <w:id w:val="1347747044"/>
                <w:lock w:val="sdtLocked"/>
              </w:sdtPr>
              <w:sdtContent>
                <w:tc>
                  <w:tcPr>
                    <w:tcW w:w="2984" w:type="pct"/>
                    <w:shd w:val="clear" w:color="auto" w:fill="auto"/>
                  </w:tcPr>
                  <w:p w:rsidR="00B637B2" w:rsidRDefault="008F04CF" w:rsidP="00B637B2">
                    <w:pPr>
                      <w:rPr>
                        <w:szCs w:val="21"/>
                      </w:rPr>
                    </w:pPr>
                    <w:r>
                      <w:rPr>
                        <w:rFonts w:hint="eastAsia"/>
                        <w:szCs w:val="21"/>
                      </w:rPr>
                      <w:t>5</w:t>
                    </w:r>
                    <w:r>
                      <w:rPr>
                        <w:szCs w:val="21"/>
                      </w:rPr>
                      <w:t>年以上</w:t>
                    </w:r>
                  </w:p>
                </w:tc>
              </w:sdtContent>
            </w:sdt>
            <w:tc>
              <w:tcPr>
                <w:tcW w:w="2016" w:type="pct"/>
                <w:shd w:val="clear" w:color="auto" w:fill="auto"/>
              </w:tcPr>
              <w:p w:rsidR="00B637B2" w:rsidRDefault="008F04CF" w:rsidP="00B637B2">
                <w:pPr>
                  <w:jc w:val="right"/>
                  <w:rPr>
                    <w:szCs w:val="21"/>
                  </w:rPr>
                </w:pPr>
                <w:r>
                  <w:t>6,053,613</w:t>
                </w:r>
              </w:p>
            </w:tc>
          </w:tr>
          <w:sdt>
            <w:sdtPr>
              <w:rPr>
                <w:rFonts w:asciiTheme="minorHAnsi" w:eastAsiaTheme="minorEastAsia" w:hAnsiTheme="minorHAnsi" w:cstheme="minorBidi" w:hint="eastAsia"/>
                <w:kern w:val="2"/>
                <w:szCs w:val="21"/>
              </w:rPr>
              <w:alias w:val="按账龄分析法计提坏账准备的其他应收款明细"/>
              <w:tag w:val="_TUP_ab0660a380d2476f8d5fb3374184cc89"/>
              <w:id w:val="576632198"/>
              <w:lock w:val="sdtLocked"/>
            </w:sdtPr>
            <w:sdtEndPr>
              <w:rPr>
                <w:rFonts w:hint="default"/>
              </w:rPr>
            </w:sdtEndPr>
            <w:sdtContent>
              <w:tr w:rsidR="00B637B2" w:rsidTr="00B637B2">
                <w:trPr>
                  <w:jc w:val="center"/>
                </w:trPr>
                <w:tc>
                  <w:tcPr>
                    <w:tcW w:w="2984" w:type="pct"/>
                    <w:shd w:val="clear" w:color="auto" w:fill="auto"/>
                  </w:tcPr>
                  <w:p w:rsidR="00B637B2" w:rsidRDefault="00B637B2" w:rsidP="00B637B2">
                    <w:pPr>
                      <w:rPr>
                        <w:szCs w:val="21"/>
                      </w:rPr>
                    </w:pPr>
                  </w:p>
                </w:tc>
                <w:tc>
                  <w:tcPr>
                    <w:tcW w:w="2016" w:type="pct"/>
                    <w:shd w:val="clear" w:color="auto" w:fill="auto"/>
                  </w:tcPr>
                  <w:p w:rsidR="00B637B2" w:rsidRDefault="00B637B2" w:rsidP="00B637B2">
                    <w:pPr>
                      <w:jc w:val="right"/>
                      <w:rPr>
                        <w:szCs w:val="21"/>
                      </w:rPr>
                    </w:pPr>
                  </w:p>
                </w:tc>
              </w:tr>
            </w:sdtContent>
          </w:sdt>
          <w:sdt>
            <w:sdtPr>
              <w:rPr>
                <w:rFonts w:asciiTheme="minorHAnsi" w:eastAsiaTheme="minorEastAsia" w:hAnsiTheme="minorHAnsi" w:cstheme="minorBidi" w:hint="eastAsia"/>
                <w:kern w:val="2"/>
                <w:szCs w:val="21"/>
              </w:rPr>
              <w:alias w:val="按账龄分析法计提坏账准备的其他应收款明细"/>
              <w:tag w:val="_TUP_ab0660a380d2476f8d5fb3374184cc89"/>
              <w:id w:val="791791336"/>
              <w:lock w:val="sdtLocked"/>
            </w:sdtPr>
            <w:sdtEndPr>
              <w:rPr>
                <w:rFonts w:hint="default"/>
              </w:rPr>
            </w:sdtEndPr>
            <w:sdtContent>
              <w:tr w:rsidR="00B637B2" w:rsidTr="00B637B2">
                <w:trPr>
                  <w:jc w:val="center"/>
                </w:trPr>
                <w:tc>
                  <w:tcPr>
                    <w:tcW w:w="2984" w:type="pct"/>
                    <w:shd w:val="clear" w:color="auto" w:fill="auto"/>
                  </w:tcPr>
                  <w:p w:rsidR="00B637B2" w:rsidRDefault="00B637B2" w:rsidP="00B637B2">
                    <w:pPr>
                      <w:rPr>
                        <w:szCs w:val="21"/>
                      </w:rPr>
                    </w:pPr>
                  </w:p>
                </w:tc>
                <w:tc>
                  <w:tcPr>
                    <w:tcW w:w="2016" w:type="pct"/>
                    <w:shd w:val="clear" w:color="auto" w:fill="auto"/>
                  </w:tcPr>
                  <w:p w:rsidR="00B637B2" w:rsidRDefault="00B637B2" w:rsidP="00B637B2">
                    <w:pPr>
                      <w:jc w:val="right"/>
                      <w:rPr>
                        <w:szCs w:val="21"/>
                      </w:rPr>
                    </w:pPr>
                  </w:p>
                </w:tc>
              </w:tr>
            </w:sdtContent>
          </w:sdt>
          <w:tr w:rsidR="00B637B2" w:rsidTr="00B637B2">
            <w:trPr>
              <w:jc w:val="center"/>
            </w:trPr>
            <w:sdt>
              <w:sdtPr>
                <w:tag w:val="_PLD_b07c72d6667b4b8198e844363dff5967"/>
                <w:id w:val="645245029"/>
                <w:lock w:val="sdtLocked"/>
              </w:sdtPr>
              <w:sdtContent>
                <w:tc>
                  <w:tcPr>
                    <w:tcW w:w="2984" w:type="pct"/>
                    <w:shd w:val="clear" w:color="auto" w:fill="auto"/>
                    <w:vAlign w:val="center"/>
                  </w:tcPr>
                  <w:p w:rsidR="00B637B2" w:rsidRDefault="008F04CF" w:rsidP="00B637B2">
                    <w:pPr>
                      <w:jc w:val="center"/>
                      <w:rPr>
                        <w:szCs w:val="21"/>
                      </w:rPr>
                    </w:pPr>
                    <w:r>
                      <w:rPr>
                        <w:szCs w:val="21"/>
                      </w:rPr>
                      <w:t>合计</w:t>
                    </w:r>
                  </w:p>
                </w:tc>
              </w:sdtContent>
            </w:sdt>
            <w:tc>
              <w:tcPr>
                <w:tcW w:w="2016" w:type="pct"/>
                <w:shd w:val="clear" w:color="auto" w:fill="auto"/>
              </w:tcPr>
              <w:p w:rsidR="00B637B2" w:rsidRDefault="008F04CF" w:rsidP="00B637B2">
                <w:pPr>
                  <w:jc w:val="right"/>
                  <w:rPr>
                    <w:szCs w:val="21"/>
                  </w:rPr>
                </w:pPr>
                <w:r w:rsidRPr="007A3F89">
                  <w:rPr>
                    <w:szCs w:val="21"/>
                  </w:rPr>
                  <w:t>1,468,763,192</w:t>
                </w:r>
              </w:p>
            </w:tc>
          </w:tr>
        </w:tbl>
        <w:p w:rsidR="00B637B2" w:rsidRDefault="00B637B2"/>
        <w:p w:rsidR="00ED2DC7" w:rsidRDefault="000D0A99">
          <w:pPr>
            <w:rPr>
              <w:szCs w:val="21"/>
            </w:rPr>
          </w:pPr>
        </w:p>
      </w:sdtContent>
    </w:sdt>
    <w:bookmarkStart w:id="263" w:name="_Hlk10547648" w:displacedByCustomXml="next"/>
    <w:sdt>
      <w:sdtPr>
        <w:rPr>
          <w:rFonts w:ascii="宋体" w:hAnsi="宋体" w:cs="宋体" w:hint="eastAsia"/>
          <w:b w:val="0"/>
          <w:bCs w:val="0"/>
          <w:kern w:val="0"/>
          <w:szCs w:val="24"/>
        </w:rPr>
        <w:alias w:val="模块:其他应收款按款项性质分类情况"/>
        <w:tag w:val="_GBC_c9f7dc8489b74105a28800b5cfad23af"/>
        <w:id w:val="-2106714024"/>
        <w:lock w:val="sdtLocked"/>
        <w:placeholder>
          <w:docPart w:val="GBC22222222222222222222222222222"/>
        </w:placeholder>
      </w:sdtPr>
      <w:sdtContent>
        <w:p w:rsidR="00ED2DC7" w:rsidRDefault="00ED2DC7" w:rsidP="00036BDC">
          <w:pPr>
            <w:pStyle w:val="affffffffffffffffff2"/>
            <w:numPr>
              <w:ilvl w:val="3"/>
              <w:numId w:val="103"/>
            </w:numPr>
            <w:ind w:left="426" w:hanging="426"/>
          </w:pPr>
          <w:r>
            <w:rPr>
              <w:rFonts w:hint="eastAsia"/>
            </w:rPr>
            <w:t>按款项性质分类</w:t>
          </w:r>
        </w:p>
        <w:sdt>
          <w:sdtPr>
            <w:alias w:val="是否适用：母公司其他应收款按款项性质分类情况[双击切换]"/>
            <w:tag w:val="_GBC_101fec10ac1f41f39330610cac041192"/>
            <w:id w:val="-649285400"/>
            <w:lock w:val="sdtContentLocked"/>
            <w:placeholder>
              <w:docPart w:val="GBC22222222222222222222222222222"/>
            </w:placeholder>
          </w:sdtPr>
          <w:sdtContent>
            <w:p w:rsidR="00ED2DC7" w:rsidRDefault="00ED2DC7">
              <w:r>
                <w:fldChar w:fldCharType="begin"/>
              </w:r>
              <w:r w:rsidR="008F04CF">
                <w:instrText xml:space="preserve"> MACROBUTTON  SnrToggleCheckbox √适用 </w:instrText>
              </w:r>
              <w:r>
                <w:fldChar w:fldCharType="end"/>
              </w:r>
              <w:r>
                <w:fldChar w:fldCharType="begin"/>
              </w:r>
              <w:r w:rsidR="008F04CF">
                <w:instrText xml:space="preserve"> MACROBUTTON  SnrToggleCheckbox □不适用 </w:instrText>
              </w:r>
              <w:r>
                <w:fldChar w:fldCharType="end"/>
              </w:r>
            </w:p>
          </w:sdtContent>
        </w:sdt>
        <w:p w:rsidR="00ED2DC7" w:rsidRDefault="00ED2DC7">
          <w:pPr>
            <w:jc w:val="right"/>
          </w:pPr>
          <w:r>
            <w:rPr>
              <w:rFonts w:hint="eastAsia"/>
            </w:rPr>
            <w:t>单位:</w:t>
          </w:r>
          <w:sdt>
            <w:sdtPr>
              <w:rPr>
                <w:rFonts w:hint="eastAsia"/>
              </w:rPr>
              <w:alias w:val="单位：财务附注：母公司其他应收款按款项性质分类情况"/>
              <w:tag w:val="_GBC_cdfadb9bdd864b32a99df11dec001a83"/>
              <w:id w:val="4661696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hint="eastAsia"/>
                </w:rPr>
                <w:t>元</w:t>
              </w:r>
            </w:sdtContent>
          </w:sdt>
          <w:r>
            <w:rPr>
              <w:rFonts w:hint="eastAsia"/>
            </w:rPr>
            <w:t xml:space="preserve">  币种:</w:t>
          </w:r>
          <w:sdt>
            <w:sdtPr>
              <w:rPr>
                <w:rFonts w:hint="eastAsia"/>
              </w:rPr>
              <w:alias w:val="币种：财务附注：母公司其他应收款按款项性质分类情况"/>
              <w:tag w:val="_GBC_cac854cfb75144bc86635f44f78d6611"/>
              <w:id w:val="16784624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rPr>
                <w:t>人民币</w:t>
              </w:r>
            </w:sdtContent>
          </w:sdt>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0"/>
            <w:gridCol w:w="2906"/>
            <w:gridCol w:w="2917"/>
          </w:tblGrid>
          <w:tr w:rsidR="00B637B2" w:rsidTr="00B637B2">
            <w:sdt>
              <w:sdtPr>
                <w:tag w:val="_PLD_797d39f4d1fd488e93d36af61d0bebfd"/>
                <w:id w:val="-403917827"/>
                <w:lock w:val="sdtLocked"/>
              </w:sdtPr>
              <w:sdtContent>
                <w:tc>
                  <w:tcPr>
                    <w:tcW w:w="1700" w:type="pct"/>
                    <w:shd w:val="clear" w:color="auto" w:fill="auto"/>
                    <w:vAlign w:val="center"/>
                  </w:tcPr>
                  <w:p w:rsidR="00B637B2" w:rsidRDefault="008F04CF" w:rsidP="00B637B2">
                    <w:pPr>
                      <w:jc w:val="center"/>
                    </w:pPr>
                    <w:r>
                      <w:rPr>
                        <w:rFonts w:hint="eastAsia"/>
                      </w:rPr>
                      <w:t>款项性质</w:t>
                    </w:r>
                  </w:p>
                </w:tc>
              </w:sdtContent>
            </w:sdt>
            <w:sdt>
              <w:sdtPr>
                <w:tag w:val="_PLD_7853db088d0a4b218482e741ebbac8e0"/>
                <w:id w:val="1456680420"/>
                <w:lock w:val="sdtLocked"/>
              </w:sdtPr>
              <w:sdtContent>
                <w:tc>
                  <w:tcPr>
                    <w:tcW w:w="1647" w:type="pct"/>
                    <w:shd w:val="clear" w:color="auto" w:fill="auto"/>
                    <w:vAlign w:val="center"/>
                  </w:tcPr>
                  <w:p w:rsidR="00B637B2" w:rsidRDefault="008F04CF" w:rsidP="00B637B2">
                    <w:pPr>
                      <w:jc w:val="center"/>
                    </w:pPr>
                    <w:r>
                      <w:rPr>
                        <w:rFonts w:hint="eastAsia"/>
                      </w:rPr>
                      <w:t>期末账面余额</w:t>
                    </w:r>
                  </w:p>
                </w:tc>
              </w:sdtContent>
            </w:sdt>
            <w:sdt>
              <w:sdtPr>
                <w:tag w:val="_PLD_56ab744bffee4ad28664bdf9e16551e2"/>
                <w:id w:val="-646515176"/>
                <w:lock w:val="sdtLocked"/>
              </w:sdtPr>
              <w:sdtContent>
                <w:tc>
                  <w:tcPr>
                    <w:tcW w:w="1653" w:type="pct"/>
                    <w:shd w:val="clear" w:color="auto" w:fill="auto"/>
                    <w:vAlign w:val="center"/>
                  </w:tcPr>
                  <w:p w:rsidR="00B637B2" w:rsidRDefault="008F04CF" w:rsidP="00B637B2">
                    <w:pPr>
                      <w:jc w:val="center"/>
                    </w:pPr>
                    <w:r>
                      <w:rPr>
                        <w:rFonts w:hint="eastAsia"/>
                      </w:rPr>
                      <w:t>期初账面余额</w:t>
                    </w:r>
                  </w:p>
                </w:tc>
              </w:sdtContent>
            </w:sdt>
          </w:tr>
          <w:sdt>
            <w:sdtPr>
              <w:rPr>
                <w:rFonts w:asciiTheme="minorHAnsi" w:eastAsiaTheme="minorEastAsia" w:hAnsiTheme="minorHAnsi" w:cstheme="minorBidi" w:hint="eastAsia"/>
                <w:kern w:val="2"/>
                <w:szCs w:val="22"/>
              </w:rPr>
              <w:alias w:val="其他应收款按款项性质分类情况明细"/>
              <w:tag w:val="_GBC_2dbe9c87fcc94933b5e1adb6fa3a30df"/>
              <w:id w:val="1901560159"/>
              <w:lock w:val="sdtLocked"/>
            </w:sdtPr>
            <w:sdtContent>
              <w:tr w:rsidR="00B637B2" w:rsidTr="00B637B2">
                <w:tc>
                  <w:tcPr>
                    <w:tcW w:w="1700" w:type="pct"/>
                    <w:shd w:val="clear" w:color="auto" w:fill="auto"/>
                  </w:tcPr>
                  <w:p w:rsidR="00B637B2" w:rsidRDefault="008F04CF" w:rsidP="00B637B2">
                    <w:pPr>
                      <w:rPr>
                        <w:highlight w:val="yellow"/>
                      </w:rPr>
                    </w:pPr>
                    <w:r>
                      <w:t>关联方借款</w:t>
                    </w:r>
                  </w:p>
                </w:tc>
                <w:tc>
                  <w:tcPr>
                    <w:tcW w:w="1647" w:type="pct"/>
                    <w:shd w:val="clear" w:color="auto" w:fill="auto"/>
                  </w:tcPr>
                  <w:p w:rsidR="00B637B2" w:rsidRDefault="008F04CF" w:rsidP="00B637B2">
                    <w:pPr>
                      <w:jc w:val="right"/>
                    </w:pPr>
                    <w:r>
                      <w:t>1,331,713,910</w:t>
                    </w:r>
                  </w:p>
                </w:tc>
                <w:tc>
                  <w:tcPr>
                    <w:tcW w:w="1653" w:type="pct"/>
                    <w:shd w:val="clear" w:color="auto" w:fill="auto"/>
                  </w:tcPr>
                  <w:p w:rsidR="00B637B2" w:rsidRDefault="008F04CF" w:rsidP="00B637B2">
                    <w:pPr>
                      <w:jc w:val="right"/>
                    </w:pPr>
                    <w:r>
                      <w:t>870,139,131</w:t>
                    </w:r>
                  </w:p>
                </w:tc>
              </w:tr>
            </w:sdtContent>
          </w:sdt>
          <w:sdt>
            <w:sdtPr>
              <w:rPr>
                <w:rFonts w:asciiTheme="minorHAnsi" w:eastAsiaTheme="minorEastAsia" w:hAnsiTheme="minorHAnsi" w:cstheme="minorBidi" w:hint="eastAsia"/>
                <w:kern w:val="2"/>
                <w:szCs w:val="22"/>
              </w:rPr>
              <w:alias w:val="其他应收款按款项性质分类情况明细"/>
              <w:tag w:val="_GBC_2dbe9c87fcc94933b5e1adb6fa3a30df"/>
              <w:id w:val="2090577798"/>
              <w:lock w:val="sdtLocked"/>
            </w:sdtPr>
            <w:sdtContent>
              <w:tr w:rsidR="00B637B2" w:rsidTr="00B637B2">
                <w:tc>
                  <w:tcPr>
                    <w:tcW w:w="1700" w:type="pct"/>
                    <w:shd w:val="clear" w:color="auto" w:fill="auto"/>
                  </w:tcPr>
                  <w:p w:rsidR="00B637B2" w:rsidRDefault="008F04CF" w:rsidP="00B637B2">
                    <w:pPr>
                      <w:rPr>
                        <w:highlight w:val="yellow"/>
                      </w:rPr>
                    </w:pPr>
                    <w:r>
                      <w:t>押金及保证金</w:t>
                    </w:r>
                  </w:p>
                </w:tc>
                <w:tc>
                  <w:tcPr>
                    <w:tcW w:w="1647" w:type="pct"/>
                    <w:shd w:val="clear" w:color="auto" w:fill="auto"/>
                  </w:tcPr>
                  <w:p w:rsidR="00B637B2" w:rsidRDefault="008F04CF" w:rsidP="00B637B2">
                    <w:pPr>
                      <w:jc w:val="right"/>
                    </w:pPr>
                    <w:r>
                      <w:t>91,364,439</w:t>
                    </w:r>
                  </w:p>
                </w:tc>
                <w:tc>
                  <w:tcPr>
                    <w:tcW w:w="1653" w:type="pct"/>
                    <w:shd w:val="clear" w:color="auto" w:fill="auto"/>
                  </w:tcPr>
                  <w:p w:rsidR="00B637B2" w:rsidRDefault="008F04CF" w:rsidP="00B637B2">
                    <w:pPr>
                      <w:jc w:val="right"/>
                    </w:pPr>
                    <w:r>
                      <w:t>69,699,048</w:t>
                    </w:r>
                  </w:p>
                </w:tc>
              </w:tr>
            </w:sdtContent>
          </w:sdt>
          <w:sdt>
            <w:sdtPr>
              <w:rPr>
                <w:rFonts w:asciiTheme="minorHAnsi" w:eastAsiaTheme="minorEastAsia" w:hAnsiTheme="minorHAnsi" w:cstheme="minorBidi" w:hint="eastAsia"/>
                <w:kern w:val="2"/>
                <w:szCs w:val="22"/>
              </w:rPr>
              <w:alias w:val="其他应收款按款项性质分类情况明细"/>
              <w:tag w:val="_GBC_2dbe9c87fcc94933b5e1adb6fa3a30df"/>
              <w:id w:val="173768168"/>
              <w:lock w:val="sdtLocked"/>
            </w:sdtPr>
            <w:sdtContent>
              <w:tr w:rsidR="00B637B2" w:rsidTr="00B637B2">
                <w:tc>
                  <w:tcPr>
                    <w:tcW w:w="1700" w:type="pct"/>
                    <w:shd w:val="clear" w:color="auto" w:fill="auto"/>
                  </w:tcPr>
                  <w:p w:rsidR="00B637B2" w:rsidRDefault="008F04CF" w:rsidP="00B637B2">
                    <w:pPr>
                      <w:rPr>
                        <w:highlight w:val="yellow"/>
                      </w:rPr>
                    </w:pPr>
                    <w:r>
                      <w:t>员工备用金</w:t>
                    </w:r>
                  </w:p>
                </w:tc>
                <w:tc>
                  <w:tcPr>
                    <w:tcW w:w="1647" w:type="pct"/>
                    <w:shd w:val="clear" w:color="auto" w:fill="auto"/>
                  </w:tcPr>
                  <w:p w:rsidR="00B637B2" w:rsidRDefault="008F04CF" w:rsidP="00B637B2">
                    <w:pPr>
                      <w:jc w:val="right"/>
                    </w:pPr>
                    <w:r>
                      <w:t>8,299,773</w:t>
                    </w:r>
                  </w:p>
                </w:tc>
                <w:tc>
                  <w:tcPr>
                    <w:tcW w:w="1653" w:type="pct"/>
                    <w:shd w:val="clear" w:color="auto" w:fill="auto"/>
                  </w:tcPr>
                  <w:p w:rsidR="00B637B2" w:rsidRDefault="008F04CF" w:rsidP="00B637B2">
                    <w:pPr>
                      <w:jc w:val="right"/>
                    </w:pPr>
                    <w:r>
                      <w:t>4,378,670</w:t>
                    </w:r>
                  </w:p>
                </w:tc>
              </w:tr>
            </w:sdtContent>
          </w:sdt>
          <w:sdt>
            <w:sdtPr>
              <w:rPr>
                <w:rFonts w:asciiTheme="minorHAnsi" w:eastAsiaTheme="minorEastAsia" w:hAnsiTheme="minorHAnsi" w:cstheme="minorBidi" w:hint="eastAsia"/>
                <w:kern w:val="2"/>
                <w:szCs w:val="22"/>
              </w:rPr>
              <w:alias w:val="其他应收款按款项性质分类情况明细"/>
              <w:tag w:val="_GBC_2dbe9c87fcc94933b5e1adb6fa3a30df"/>
              <w:id w:val="2001769157"/>
              <w:lock w:val="sdtLocked"/>
            </w:sdtPr>
            <w:sdtContent>
              <w:tr w:rsidR="00B637B2" w:rsidTr="00B637B2">
                <w:tc>
                  <w:tcPr>
                    <w:tcW w:w="1700" w:type="pct"/>
                    <w:shd w:val="clear" w:color="auto" w:fill="auto"/>
                  </w:tcPr>
                  <w:p w:rsidR="00B637B2" w:rsidRDefault="008F04CF" w:rsidP="00B637B2">
                    <w:pPr>
                      <w:rPr>
                        <w:highlight w:val="yellow"/>
                      </w:rPr>
                    </w:pPr>
                    <w:r>
                      <w:t>增值税退税</w:t>
                    </w:r>
                  </w:p>
                </w:tc>
                <w:tc>
                  <w:tcPr>
                    <w:tcW w:w="1647" w:type="pct"/>
                    <w:shd w:val="clear" w:color="auto" w:fill="auto"/>
                  </w:tcPr>
                  <w:p w:rsidR="00B637B2" w:rsidRDefault="00AB71F9" w:rsidP="00B637B2">
                    <w:pPr>
                      <w:jc w:val="right"/>
                    </w:pPr>
                    <w:r w:rsidRPr="00AB71F9">
                      <w:t>11,390,860</w:t>
                    </w:r>
                  </w:p>
                </w:tc>
                <w:tc>
                  <w:tcPr>
                    <w:tcW w:w="1653" w:type="pct"/>
                    <w:shd w:val="clear" w:color="auto" w:fill="auto"/>
                  </w:tcPr>
                  <w:p w:rsidR="00B637B2" w:rsidRDefault="008F04CF" w:rsidP="00B637B2">
                    <w:pPr>
                      <w:jc w:val="right"/>
                    </w:pPr>
                    <w:r>
                      <w:t>-</w:t>
                    </w:r>
                  </w:p>
                </w:tc>
              </w:tr>
            </w:sdtContent>
          </w:sdt>
          <w:sdt>
            <w:sdtPr>
              <w:rPr>
                <w:rFonts w:asciiTheme="minorHAnsi" w:eastAsiaTheme="minorEastAsia" w:hAnsiTheme="minorHAnsi" w:cstheme="minorBidi" w:hint="eastAsia"/>
                <w:kern w:val="2"/>
                <w:szCs w:val="22"/>
              </w:rPr>
              <w:alias w:val="其他应收款按款项性质分类情况明细"/>
              <w:tag w:val="_GBC_2dbe9c87fcc94933b5e1adb6fa3a30df"/>
              <w:id w:val="-463357107"/>
              <w:lock w:val="sdtLocked"/>
            </w:sdtPr>
            <w:sdtContent>
              <w:tr w:rsidR="00B637B2" w:rsidTr="00B637B2">
                <w:tc>
                  <w:tcPr>
                    <w:tcW w:w="1700" w:type="pct"/>
                    <w:shd w:val="clear" w:color="auto" w:fill="auto"/>
                  </w:tcPr>
                  <w:p w:rsidR="00B637B2" w:rsidRDefault="008F04CF" w:rsidP="00B637B2">
                    <w:pPr>
                      <w:rPr>
                        <w:highlight w:val="yellow"/>
                      </w:rPr>
                    </w:pPr>
                    <w:r>
                      <w:t>其他</w:t>
                    </w:r>
                  </w:p>
                </w:tc>
                <w:tc>
                  <w:tcPr>
                    <w:tcW w:w="1647" w:type="pct"/>
                    <w:shd w:val="clear" w:color="auto" w:fill="auto"/>
                  </w:tcPr>
                  <w:p w:rsidR="00B637B2" w:rsidRDefault="00AB71F9" w:rsidP="00B637B2">
                    <w:pPr>
                      <w:jc w:val="right"/>
                    </w:pPr>
                    <w:r w:rsidRPr="00AB71F9">
                      <w:t>25,994,210</w:t>
                    </w:r>
                  </w:p>
                </w:tc>
                <w:tc>
                  <w:tcPr>
                    <w:tcW w:w="1653" w:type="pct"/>
                    <w:shd w:val="clear" w:color="auto" w:fill="auto"/>
                  </w:tcPr>
                  <w:p w:rsidR="00B637B2" w:rsidRDefault="008F04CF" w:rsidP="00B637B2">
                    <w:pPr>
                      <w:jc w:val="right"/>
                    </w:pPr>
                    <w:r>
                      <w:t>23,714,406</w:t>
                    </w:r>
                  </w:p>
                </w:tc>
              </w:tr>
            </w:sdtContent>
          </w:sdt>
          <w:tr w:rsidR="00B637B2" w:rsidTr="00B637B2">
            <w:sdt>
              <w:sdtPr>
                <w:tag w:val="_PLD_2c3163c0b1c149f7a6fc1dfe5449335d"/>
                <w:id w:val="-455099140"/>
                <w:lock w:val="sdtLocked"/>
              </w:sdtPr>
              <w:sdtContent>
                <w:tc>
                  <w:tcPr>
                    <w:tcW w:w="1700" w:type="pct"/>
                    <w:shd w:val="clear" w:color="auto" w:fill="auto"/>
                  </w:tcPr>
                  <w:p w:rsidR="00B637B2" w:rsidRDefault="008F04CF" w:rsidP="00B637B2">
                    <w:pPr>
                      <w:jc w:val="center"/>
                    </w:pPr>
                    <w:r>
                      <w:t>合计</w:t>
                    </w:r>
                  </w:p>
                </w:tc>
              </w:sdtContent>
            </w:sdt>
            <w:tc>
              <w:tcPr>
                <w:tcW w:w="1647" w:type="pct"/>
                <w:shd w:val="clear" w:color="auto" w:fill="auto"/>
              </w:tcPr>
              <w:p w:rsidR="00B637B2" w:rsidRDefault="008F04CF" w:rsidP="00B637B2">
                <w:pPr>
                  <w:jc w:val="right"/>
                </w:pPr>
                <w:r w:rsidRPr="007A3F89">
                  <w:t>1,468,763,192</w:t>
                </w:r>
              </w:p>
            </w:tc>
            <w:tc>
              <w:tcPr>
                <w:tcW w:w="1653" w:type="pct"/>
                <w:shd w:val="clear" w:color="auto" w:fill="auto"/>
              </w:tcPr>
              <w:p w:rsidR="00B637B2" w:rsidRDefault="008F04CF" w:rsidP="00B637B2">
                <w:pPr>
                  <w:jc w:val="right"/>
                </w:pPr>
                <w:r w:rsidRPr="007A3F89">
                  <w:t>967,931,255</w:t>
                </w:r>
              </w:p>
            </w:tc>
          </w:tr>
        </w:tbl>
        <w:p w:rsidR="00B637B2" w:rsidRDefault="00B637B2"/>
        <w:p w:rsidR="00ED2DC7" w:rsidRDefault="000D0A99"/>
      </w:sdtContent>
    </w:sdt>
    <w:bookmarkEnd w:id="263" w:displacedByCustomXml="next"/>
    <w:bookmarkStart w:id="264" w:name="_Hlk10547765" w:displacedByCustomXml="next"/>
    <w:sdt>
      <w:sdtPr>
        <w:rPr>
          <w:rFonts w:ascii="宋体" w:hAnsi="宋体" w:cs="宋体" w:hint="eastAsia"/>
          <w:b w:val="0"/>
          <w:bCs w:val="0"/>
          <w:kern w:val="0"/>
          <w:szCs w:val="21"/>
        </w:rPr>
        <w:alias w:val="模块:坏账准备计提情况"/>
        <w:tag w:val="_SEC_15d9e20371d54bec9233b27dd50b301d"/>
        <w:id w:val="-823277003"/>
        <w:lock w:val="sdtLocked"/>
        <w:placeholder>
          <w:docPart w:val="GBC22222222222222222222222222222"/>
        </w:placeholder>
      </w:sdtPr>
      <w:sdtContent>
        <w:p w:rsidR="00ED2DC7" w:rsidRDefault="00ED2DC7" w:rsidP="00036BDC">
          <w:pPr>
            <w:pStyle w:val="affffffffffffffffff2"/>
            <w:numPr>
              <w:ilvl w:val="3"/>
              <w:numId w:val="103"/>
            </w:numPr>
            <w:ind w:left="426" w:hanging="426"/>
            <w:rPr>
              <w:szCs w:val="21"/>
            </w:rPr>
          </w:pPr>
          <w:r>
            <w:rPr>
              <w:rFonts w:hint="eastAsia"/>
              <w:szCs w:val="21"/>
            </w:rPr>
            <w:t>坏账准备计提情况</w:t>
          </w:r>
        </w:p>
        <w:sdt>
          <w:sdtPr>
            <w:alias w:val="是否适用：母公司其他应收款坏账准备调节表[双击切换]"/>
            <w:tag w:val="_GBC_550996ad46c8493eb98c011d7acf7dfb"/>
            <w:id w:val="984819410"/>
            <w:lock w:val="sdtContentLocked"/>
            <w:placeholder>
              <w:docPart w:val="GBC22222222222222222222222222222"/>
            </w:placeholder>
          </w:sdtPr>
          <w:sdtContent>
            <w:p w:rsidR="00ED2DC7" w:rsidRDefault="00ED2DC7">
              <w:r>
                <w:fldChar w:fldCharType="begin"/>
              </w:r>
              <w:r w:rsidR="008F04CF">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ED2DC7" w:rsidRDefault="00ED2DC7">
          <w:pPr>
            <w:autoSpaceDE w:val="0"/>
            <w:autoSpaceDN w:val="0"/>
            <w:adjustRightInd w:val="0"/>
            <w:ind w:rightChars="50" w:right="105"/>
            <w:jc w:val="right"/>
            <w:rPr>
              <w:szCs w:val="21"/>
            </w:rPr>
          </w:pPr>
          <w:r>
            <w:rPr>
              <w:rFonts w:hint="eastAsia"/>
              <w:szCs w:val="21"/>
            </w:rPr>
            <w:t>单位：</w:t>
          </w:r>
          <w:sdt>
            <w:sdtPr>
              <w:rPr>
                <w:rFonts w:hint="eastAsia"/>
                <w:szCs w:val="21"/>
              </w:rPr>
              <w:alias w:val="单位：母公司其他应收款坏账准备调节表"/>
              <w:tag w:val="_GBC_10c7491cbac54cf6a1a375367db16baf"/>
              <w:id w:val="-19634866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hint="eastAsia"/>
                  <w:szCs w:val="21"/>
                </w:rPr>
                <w:t>元</w:t>
              </w:r>
            </w:sdtContent>
          </w:sdt>
          <w:r>
            <w:rPr>
              <w:rFonts w:hint="eastAsia"/>
              <w:szCs w:val="21"/>
            </w:rPr>
            <w:t xml:space="preserve">  币种：</w:t>
          </w:r>
          <w:sdt>
            <w:sdtPr>
              <w:rPr>
                <w:rFonts w:hint="eastAsia"/>
                <w:szCs w:val="21"/>
              </w:rPr>
              <w:alias w:val="币种：母公司其他应收款坏账准备调节表"/>
              <w:tag w:val="_GBC_01762fded69841c1b87d684f3bcfb97f"/>
              <w:id w:val="-1763475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szCs w:val="21"/>
                </w:rPr>
                <w:t>人民币</w:t>
              </w:r>
            </w:sdtContent>
          </w:sdt>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6"/>
            <w:gridCol w:w="1521"/>
            <w:gridCol w:w="1936"/>
            <w:gridCol w:w="1936"/>
            <w:gridCol w:w="1664"/>
          </w:tblGrid>
          <w:tr w:rsidR="00ED2DC7" w:rsidTr="0094106C">
            <w:sdt>
              <w:sdtPr>
                <w:tag w:val="_PLD_a620ef8c0fe0407b955c4f58530e0b21"/>
                <w:id w:val="-410547443"/>
                <w:lock w:val="sdtLocked"/>
              </w:sdtPr>
              <w:sdtContent>
                <w:tc>
                  <w:tcPr>
                    <w:tcW w:w="1001" w:type="pct"/>
                    <w:vMerge w:val="restart"/>
                    <w:vAlign w:val="center"/>
                  </w:tcPr>
                  <w:p w:rsidR="00ED2DC7" w:rsidRDefault="00ED2DC7">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坏账准备</w:t>
                    </w:r>
                  </w:p>
                </w:tc>
              </w:sdtContent>
            </w:sdt>
            <w:sdt>
              <w:sdtPr>
                <w:tag w:val="_PLD_8699e9827a744831bf2fdadfa1ac52e1"/>
                <w:id w:val="-1060010643"/>
                <w:lock w:val="sdtLocked"/>
              </w:sdtPr>
              <w:sdtContent>
                <w:tc>
                  <w:tcPr>
                    <w:tcW w:w="862" w:type="pct"/>
                    <w:vAlign w:val="center"/>
                  </w:tcPr>
                  <w:p w:rsidR="00ED2DC7" w:rsidRDefault="00ED2DC7">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第一阶段</w:t>
                    </w:r>
                  </w:p>
                </w:tc>
              </w:sdtContent>
            </w:sdt>
            <w:sdt>
              <w:sdtPr>
                <w:tag w:val="_PLD_d2f5c6d4cf0d4a86b39dc41f67fe87db"/>
                <w:id w:val="-241336948"/>
                <w:lock w:val="sdtLocked"/>
              </w:sdtPr>
              <w:sdtContent>
                <w:tc>
                  <w:tcPr>
                    <w:tcW w:w="1097" w:type="pct"/>
                  </w:tcPr>
                  <w:p w:rsidR="00ED2DC7" w:rsidRDefault="00ED2DC7">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第二阶段</w:t>
                    </w:r>
                  </w:p>
                </w:tc>
              </w:sdtContent>
            </w:sdt>
            <w:sdt>
              <w:sdtPr>
                <w:tag w:val="_PLD_a09c7daba8c14a6498c7b83b77c97c72"/>
                <w:id w:val="-789276909"/>
                <w:lock w:val="sdtLocked"/>
              </w:sdtPr>
              <w:sdtContent>
                <w:tc>
                  <w:tcPr>
                    <w:tcW w:w="1097" w:type="pct"/>
                  </w:tcPr>
                  <w:p w:rsidR="00ED2DC7" w:rsidRDefault="00ED2DC7">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第三阶段</w:t>
                    </w:r>
                  </w:p>
                </w:tc>
              </w:sdtContent>
            </w:sdt>
            <w:sdt>
              <w:sdtPr>
                <w:tag w:val="_PLD_1ec064a14a75404dac24adc5e6ddd253"/>
                <w:id w:val="126058173"/>
                <w:lock w:val="sdtLocked"/>
              </w:sdtPr>
              <w:sdtContent>
                <w:tc>
                  <w:tcPr>
                    <w:tcW w:w="943" w:type="pct"/>
                    <w:vMerge w:val="restart"/>
                    <w:vAlign w:val="center"/>
                  </w:tcPr>
                  <w:p w:rsidR="00ED2DC7" w:rsidRDefault="00ED2DC7">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合计</w:t>
                    </w:r>
                  </w:p>
                </w:tc>
              </w:sdtContent>
            </w:sdt>
          </w:tr>
          <w:tr w:rsidR="00ED2DC7" w:rsidTr="0094106C">
            <w:tc>
              <w:tcPr>
                <w:tcW w:w="1001" w:type="pct"/>
                <w:vMerge/>
                <w:vAlign w:val="center"/>
              </w:tcPr>
              <w:p w:rsidR="00ED2DC7" w:rsidRDefault="00ED2DC7">
                <w:pPr>
                  <w:jc w:val="center"/>
                  <w:rPr>
                    <w:color w:val="008000"/>
                    <w:szCs w:val="21"/>
                  </w:rPr>
                </w:pPr>
              </w:p>
            </w:tc>
            <w:sdt>
              <w:sdtPr>
                <w:tag w:val="_PLD_506da2a2f1db4ead819aa958edd702e2"/>
                <w:id w:val="-2140025057"/>
                <w:lock w:val="sdtLocked"/>
              </w:sdtPr>
              <w:sdtContent>
                <w:tc>
                  <w:tcPr>
                    <w:tcW w:w="862" w:type="pct"/>
                    <w:vAlign w:val="center"/>
                  </w:tcPr>
                  <w:p w:rsidR="00ED2DC7" w:rsidRDefault="00ED2DC7">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未来12个月预期信用损失</w:t>
                    </w:r>
                  </w:p>
                </w:tc>
              </w:sdtContent>
            </w:sdt>
            <w:sdt>
              <w:sdtPr>
                <w:tag w:val="_PLD_23a6590eef0649d4af75d4845c12f263"/>
                <w:id w:val="967623223"/>
                <w:lock w:val="sdtLocked"/>
              </w:sdtPr>
              <w:sdtContent>
                <w:tc>
                  <w:tcPr>
                    <w:tcW w:w="1097" w:type="pct"/>
                    <w:vAlign w:val="center"/>
                  </w:tcPr>
                  <w:p w:rsidR="00ED2DC7" w:rsidRDefault="00ED2DC7">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整个存续期预期信用损失(未发生信用减值)</w:t>
                    </w:r>
                  </w:p>
                </w:tc>
              </w:sdtContent>
            </w:sdt>
            <w:sdt>
              <w:sdtPr>
                <w:tag w:val="_PLD_44518f4265ac43078f96c79efe9dd487"/>
                <w:id w:val="257650514"/>
                <w:lock w:val="sdtLocked"/>
              </w:sdtPr>
              <w:sdtContent>
                <w:tc>
                  <w:tcPr>
                    <w:tcW w:w="1097" w:type="pct"/>
                    <w:vAlign w:val="center"/>
                  </w:tcPr>
                  <w:p w:rsidR="00ED2DC7" w:rsidRDefault="00ED2DC7">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整个存续期预期信用损失(已发生信用减值)</w:t>
                    </w:r>
                  </w:p>
                </w:tc>
              </w:sdtContent>
            </w:sdt>
            <w:tc>
              <w:tcPr>
                <w:tcW w:w="943" w:type="pct"/>
                <w:vMerge/>
              </w:tcPr>
              <w:p w:rsidR="00ED2DC7" w:rsidRDefault="00ED2DC7">
                <w:pPr>
                  <w:jc w:val="center"/>
                  <w:rPr>
                    <w:color w:val="008000"/>
                    <w:szCs w:val="21"/>
                  </w:rPr>
                </w:pPr>
              </w:p>
            </w:tc>
          </w:tr>
          <w:tr w:rsidR="00ED2DC7" w:rsidTr="0094106C">
            <w:sdt>
              <w:sdtPr>
                <w:tag w:val="_PLD_2304f8a656bf488e9c1b48987574a2b8"/>
                <w:id w:val="-360591539"/>
                <w:lock w:val="sdtLocked"/>
              </w:sdtPr>
              <w:sdtContent>
                <w:tc>
                  <w:tcPr>
                    <w:tcW w:w="1001" w:type="pct"/>
                    <w:vAlign w:val="center"/>
                  </w:tcPr>
                  <w:p w:rsidR="00ED2DC7" w:rsidRDefault="00ED2DC7">
                    <w:pPr>
                      <w:pStyle w:val="TableParagraph"/>
                      <w:spacing w:after="0" w:line="240" w:lineRule="auto"/>
                      <w:jc w:val="both"/>
                      <w:rPr>
                        <w:rFonts w:ascii="宋体" w:eastAsia="宋体" w:hAnsi="宋体" w:cs="宋体"/>
                        <w:sz w:val="21"/>
                        <w:szCs w:val="21"/>
                        <w:lang w:eastAsia="zh-CN"/>
                      </w:rPr>
                    </w:pPr>
                    <w:r>
                      <w:rPr>
                        <w:rFonts w:ascii="宋体" w:eastAsia="宋体" w:hAnsi="宋体" w:cs="宋体"/>
                        <w:sz w:val="21"/>
                        <w:szCs w:val="21"/>
                        <w:lang w:eastAsia="zh-CN"/>
                      </w:rPr>
                      <w:t>201</w:t>
                    </w:r>
                    <w:r>
                      <w:rPr>
                        <w:rFonts w:ascii="宋体" w:eastAsia="宋体" w:hAnsi="宋体" w:cs="宋体" w:hint="eastAsia"/>
                        <w:sz w:val="21"/>
                        <w:szCs w:val="21"/>
                        <w:lang w:eastAsia="zh-CN"/>
                      </w:rPr>
                      <w:t>9</w:t>
                    </w:r>
                    <w:r>
                      <w:rPr>
                        <w:rFonts w:ascii="宋体" w:eastAsia="宋体" w:hAnsi="宋体" w:cs="宋体"/>
                        <w:sz w:val="21"/>
                        <w:szCs w:val="21"/>
                        <w:lang w:eastAsia="zh-CN"/>
                      </w:rPr>
                      <w:t>年</w:t>
                    </w:r>
                    <w:r>
                      <w:rPr>
                        <w:rFonts w:ascii="宋体" w:eastAsia="宋体" w:hAnsi="宋体" w:cs="宋体" w:hint="eastAsia"/>
                        <w:sz w:val="21"/>
                        <w:szCs w:val="21"/>
                        <w:lang w:eastAsia="zh-CN"/>
                      </w:rPr>
                      <w:t>1月1日余额</w:t>
                    </w:r>
                  </w:p>
                </w:tc>
              </w:sdtContent>
            </w:sdt>
            <w:tc>
              <w:tcPr>
                <w:tcW w:w="862" w:type="pct"/>
              </w:tcPr>
              <w:p w:rsidR="00ED2DC7" w:rsidRDefault="00ED2DC7">
                <w:pPr>
                  <w:jc w:val="right"/>
                  <w:rPr>
                    <w:szCs w:val="21"/>
                  </w:rPr>
                </w:pPr>
              </w:p>
            </w:tc>
            <w:tc>
              <w:tcPr>
                <w:tcW w:w="1097" w:type="pct"/>
              </w:tcPr>
              <w:p w:rsidR="00ED2DC7" w:rsidRDefault="008F04CF">
                <w:pPr>
                  <w:jc w:val="right"/>
                  <w:rPr>
                    <w:szCs w:val="21"/>
                  </w:rPr>
                </w:pPr>
                <w:r w:rsidRPr="007A3F89">
                  <w:rPr>
                    <w:szCs w:val="21"/>
                  </w:rPr>
                  <w:t>47,892,693</w:t>
                </w:r>
              </w:p>
            </w:tc>
            <w:tc>
              <w:tcPr>
                <w:tcW w:w="1097" w:type="pct"/>
              </w:tcPr>
              <w:p w:rsidR="00ED2DC7" w:rsidRDefault="00ED2DC7">
                <w:pPr>
                  <w:jc w:val="right"/>
                  <w:rPr>
                    <w:szCs w:val="21"/>
                  </w:rPr>
                </w:pPr>
              </w:p>
            </w:tc>
            <w:tc>
              <w:tcPr>
                <w:tcW w:w="943" w:type="pct"/>
              </w:tcPr>
              <w:p w:rsidR="00ED2DC7" w:rsidRDefault="008F04CF">
                <w:pPr>
                  <w:jc w:val="right"/>
                  <w:rPr>
                    <w:szCs w:val="21"/>
                  </w:rPr>
                </w:pPr>
                <w:r w:rsidRPr="007A3F89">
                  <w:rPr>
                    <w:szCs w:val="21"/>
                  </w:rPr>
                  <w:t>47,892,693</w:t>
                </w:r>
              </w:p>
            </w:tc>
          </w:tr>
          <w:tr w:rsidR="00ED2DC7" w:rsidTr="0094106C">
            <w:sdt>
              <w:sdtPr>
                <w:tag w:val="_PLD_796e9b523fc242849d2f6df5b04e1b9e"/>
                <w:id w:val="490757890"/>
                <w:lock w:val="sdtLocked"/>
              </w:sdtPr>
              <w:sdtContent>
                <w:tc>
                  <w:tcPr>
                    <w:tcW w:w="1001" w:type="pct"/>
                    <w:vAlign w:val="center"/>
                  </w:tcPr>
                  <w:p w:rsidR="00ED2DC7" w:rsidRDefault="00ED2DC7">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2019年1月1日余额在本期</w:t>
                    </w:r>
                  </w:p>
                </w:tc>
              </w:sdtContent>
            </w:sdt>
            <w:tc>
              <w:tcPr>
                <w:tcW w:w="862" w:type="pct"/>
              </w:tcPr>
              <w:p w:rsidR="00ED2DC7" w:rsidRDefault="00ED2DC7">
                <w:pPr>
                  <w:jc w:val="right"/>
                  <w:rPr>
                    <w:szCs w:val="21"/>
                  </w:rPr>
                </w:pPr>
              </w:p>
            </w:tc>
            <w:tc>
              <w:tcPr>
                <w:tcW w:w="1097" w:type="pct"/>
              </w:tcPr>
              <w:p w:rsidR="00ED2DC7" w:rsidRDefault="00ED2DC7">
                <w:pPr>
                  <w:jc w:val="right"/>
                  <w:rPr>
                    <w:szCs w:val="21"/>
                  </w:rPr>
                </w:pPr>
              </w:p>
            </w:tc>
            <w:tc>
              <w:tcPr>
                <w:tcW w:w="1097" w:type="pct"/>
              </w:tcPr>
              <w:p w:rsidR="00ED2DC7" w:rsidRDefault="00ED2DC7">
                <w:pPr>
                  <w:jc w:val="right"/>
                  <w:rPr>
                    <w:szCs w:val="21"/>
                  </w:rPr>
                </w:pPr>
              </w:p>
            </w:tc>
            <w:tc>
              <w:tcPr>
                <w:tcW w:w="943" w:type="pct"/>
              </w:tcPr>
              <w:p w:rsidR="00ED2DC7" w:rsidRDefault="00ED2DC7">
                <w:pPr>
                  <w:jc w:val="right"/>
                  <w:rPr>
                    <w:szCs w:val="21"/>
                  </w:rPr>
                </w:pPr>
              </w:p>
            </w:tc>
          </w:tr>
          <w:tr w:rsidR="00ED2DC7" w:rsidTr="0094106C">
            <w:sdt>
              <w:sdtPr>
                <w:tag w:val="_PLD_aad55d025f3841e2bffcc3792a62e67f"/>
                <w:id w:val="911742659"/>
                <w:lock w:val="sdtLocked"/>
              </w:sdtPr>
              <w:sdtContent>
                <w:tc>
                  <w:tcPr>
                    <w:tcW w:w="1001" w:type="pct"/>
                    <w:vAlign w:val="center"/>
                  </w:tcPr>
                  <w:p w:rsidR="00ED2DC7" w:rsidRDefault="00ED2DC7">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--转入第二阶段</w:t>
                    </w:r>
                  </w:p>
                </w:tc>
              </w:sdtContent>
            </w:sdt>
            <w:tc>
              <w:tcPr>
                <w:tcW w:w="862" w:type="pct"/>
              </w:tcPr>
              <w:p w:rsidR="00ED2DC7" w:rsidRDefault="00ED2DC7">
                <w:pPr>
                  <w:jc w:val="right"/>
                  <w:rPr>
                    <w:szCs w:val="21"/>
                  </w:rPr>
                </w:pPr>
              </w:p>
            </w:tc>
            <w:tc>
              <w:tcPr>
                <w:tcW w:w="1097" w:type="pct"/>
              </w:tcPr>
              <w:p w:rsidR="00ED2DC7" w:rsidRDefault="00ED2DC7">
                <w:pPr>
                  <w:jc w:val="right"/>
                  <w:rPr>
                    <w:szCs w:val="21"/>
                  </w:rPr>
                </w:pPr>
              </w:p>
            </w:tc>
            <w:tc>
              <w:tcPr>
                <w:tcW w:w="1097" w:type="pct"/>
              </w:tcPr>
              <w:p w:rsidR="00ED2DC7" w:rsidRDefault="00ED2DC7">
                <w:pPr>
                  <w:jc w:val="right"/>
                  <w:rPr>
                    <w:szCs w:val="21"/>
                  </w:rPr>
                </w:pPr>
              </w:p>
            </w:tc>
            <w:tc>
              <w:tcPr>
                <w:tcW w:w="943" w:type="pct"/>
              </w:tcPr>
              <w:p w:rsidR="00ED2DC7" w:rsidRDefault="00ED2DC7">
                <w:pPr>
                  <w:jc w:val="right"/>
                  <w:rPr>
                    <w:szCs w:val="21"/>
                  </w:rPr>
                </w:pPr>
              </w:p>
            </w:tc>
          </w:tr>
          <w:tr w:rsidR="00ED2DC7" w:rsidTr="0094106C">
            <w:sdt>
              <w:sdtPr>
                <w:tag w:val="_PLD_d51399c00ed54bda86e4c2bd21c762c0"/>
                <w:id w:val="-1808929999"/>
                <w:lock w:val="sdtLocked"/>
              </w:sdtPr>
              <w:sdtContent>
                <w:tc>
                  <w:tcPr>
                    <w:tcW w:w="1001" w:type="pct"/>
                    <w:vAlign w:val="center"/>
                  </w:tcPr>
                  <w:p w:rsidR="00ED2DC7" w:rsidRDefault="00ED2DC7">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--转入第三阶段</w:t>
                    </w:r>
                  </w:p>
                </w:tc>
              </w:sdtContent>
            </w:sdt>
            <w:tc>
              <w:tcPr>
                <w:tcW w:w="862" w:type="pct"/>
              </w:tcPr>
              <w:p w:rsidR="00ED2DC7" w:rsidRDefault="00ED2DC7">
                <w:pPr>
                  <w:jc w:val="right"/>
                  <w:rPr>
                    <w:szCs w:val="21"/>
                  </w:rPr>
                </w:pPr>
              </w:p>
            </w:tc>
            <w:tc>
              <w:tcPr>
                <w:tcW w:w="1097" w:type="pct"/>
              </w:tcPr>
              <w:p w:rsidR="00ED2DC7" w:rsidRDefault="00ED2DC7">
                <w:pPr>
                  <w:jc w:val="right"/>
                  <w:rPr>
                    <w:szCs w:val="21"/>
                  </w:rPr>
                </w:pPr>
              </w:p>
            </w:tc>
            <w:tc>
              <w:tcPr>
                <w:tcW w:w="1097" w:type="pct"/>
              </w:tcPr>
              <w:p w:rsidR="00ED2DC7" w:rsidRDefault="00ED2DC7">
                <w:pPr>
                  <w:jc w:val="right"/>
                  <w:rPr>
                    <w:szCs w:val="21"/>
                  </w:rPr>
                </w:pPr>
              </w:p>
            </w:tc>
            <w:tc>
              <w:tcPr>
                <w:tcW w:w="943" w:type="pct"/>
              </w:tcPr>
              <w:p w:rsidR="00ED2DC7" w:rsidRDefault="00ED2DC7">
                <w:pPr>
                  <w:jc w:val="right"/>
                  <w:rPr>
                    <w:szCs w:val="21"/>
                  </w:rPr>
                </w:pPr>
              </w:p>
            </w:tc>
          </w:tr>
          <w:tr w:rsidR="00ED2DC7" w:rsidTr="0094106C">
            <w:sdt>
              <w:sdtPr>
                <w:tag w:val="_PLD_263f4e1c664a4834a814f0a366c8e919"/>
                <w:id w:val="352622233"/>
                <w:lock w:val="sdtLocked"/>
              </w:sdtPr>
              <w:sdtContent>
                <w:tc>
                  <w:tcPr>
                    <w:tcW w:w="1001" w:type="pct"/>
                    <w:vAlign w:val="center"/>
                  </w:tcPr>
                  <w:p w:rsidR="00ED2DC7" w:rsidRDefault="00ED2DC7">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--转回第二阶段</w:t>
                    </w:r>
                  </w:p>
                </w:tc>
              </w:sdtContent>
            </w:sdt>
            <w:tc>
              <w:tcPr>
                <w:tcW w:w="862" w:type="pct"/>
              </w:tcPr>
              <w:p w:rsidR="00ED2DC7" w:rsidRDefault="00ED2DC7">
                <w:pPr>
                  <w:jc w:val="right"/>
                  <w:rPr>
                    <w:szCs w:val="21"/>
                  </w:rPr>
                </w:pPr>
              </w:p>
            </w:tc>
            <w:tc>
              <w:tcPr>
                <w:tcW w:w="1097" w:type="pct"/>
              </w:tcPr>
              <w:p w:rsidR="00ED2DC7" w:rsidRDefault="00ED2DC7">
                <w:pPr>
                  <w:jc w:val="right"/>
                  <w:rPr>
                    <w:szCs w:val="21"/>
                  </w:rPr>
                </w:pPr>
              </w:p>
            </w:tc>
            <w:tc>
              <w:tcPr>
                <w:tcW w:w="1097" w:type="pct"/>
              </w:tcPr>
              <w:p w:rsidR="00ED2DC7" w:rsidRDefault="00ED2DC7">
                <w:pPr>
                  <w:jc w:val="right"/>
                  <w:rPr>
                    <w:szCs w:val="21"/>
                  </w:rPr>
                </w:pPr>
              </w:p>
            </w:tc>
            <w:tc>
              <w:tcPr>
                <w:tcW w:w="943" w:type="pct"/>
              </w:tcPr>
              <w:p w:rsidR="00ED2DC7" w:rsidRDefault="00ED2DC7">
                <w:pPr>
                  <w:jc w:val="right"/>
                  <w:rPr>
                    <w:szCs w:val="21"/>
                  </w:rPr>
                </w:pPr>
              </w:p>
            </w:tc>
          </w:tr>
          <w:tr w:rsidR="00ED2DC7" w:rsidTr="0094106C">
            <w:sdt>
              <w:sdtPr>
                <w:tag w:val="_PLD_7103eee28f42440cb40df55e6701cb49"/>
                <w:id w:val="-1087613752"/>
                <w:lock w:val="sdtLocked"/>
              </w:sdtPr>
              <w:sdtContent>
                <w:tc>
                  <w:tcPr>
                    <w:tcW w:w="1001" w:type="pct"/>
                    <w:vAlign w:val="center"/>
                  </w:tcPr>
                  <w:p w:rsidR="00ED2DC7" w:rsidRDefault="00ED2DC7">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--转回第一阶段</w:t>
                    </w:r>
                  </w:p>
                </w:tc>
              </w:sdtContent>
            </w:sdt>
            <w:tc>
              <w:tcPr>
                <w:tcW w:w="862" w:type="pct"/>
              </w:tcPr>
              <w:p w:rsidR="00ED2DC7" w:rsidRDefault="00ED2DC7">
                <w:pPr>
                  <w:jc w:val="right"/>
                  <w:rPr>
                    <w:szCs w:val="21"/>
                  </w:rPr>
                </w:pPr>
              </w:p>
            </w:tc>
            <w:tc>
              <w:tcPr>
                <w:tcW w:w="1097" w:type="pct"/>
              </w:tcPr>
              <w:p w:rsidR="00ED2DC7" w:rsidRDefault="00ED2DC7">
                <w:pPr>
                  <w:jc w:val="right"/>
                  <w:rPr>
                    <w:szCs w:val="21"/>
                  </w:rPr>
                </w:pPr>
              </w:p>
            </w:tc>
            <w:tc>
              <w:tcPr>
                <w:tcW w:w="1097" w:type="pct"/>
              </w:tcPr>
              <w:p w:rsidR="00ED2DC7" w:rsidRDefault="00ED2DC7">
                <w:pPr>
                  <w:jc w:val="right"/>
                  <w:rPr>
                    <w:szCs w:val="21"/>
                  </w:rPr>
                </w:pPr>
              </w:p>
            </w:tc>
            <w:tc>
              <w:tcPr>
                <w:tcW w:w="943" w:type="pct"/>
              </w:tcPr>
              <w:p w:rsidR="00ED2DC7" w:rsidRDefault="00ED2DC7">
                <w:pPr>
                  <w:jc w:val="right"/>
                  <w:rPr>
                    <w:szCs w:val="21"/>
                  </w:rPr>
                </w:pPr>
              </w:p>
            </w:tc>
          </w:tr>
          <w:tr w:rsidR="00ED2DC7" w:rsidTr="0094106C">
            <w:sdt>
              <w:sdtPr>
                <w:tag w:val="_PLD_bb1ed7ee4d284f95847b09a20e54710f"/>
                <w:id w:val="-761133541"/>
                <w:lock w:val="sdtLocked"/>
              </w:sdtPr>
              <w:sdtContent>
                <w:tc>
                  <w:tcPr>
                    <w:tcW w:w="1001" w:type="pct"/>
                    <w:vAlign w:val="center"/>
                  </w:tcPr>
                  <w:p w:rsidR="00ED2DC7" w:rsidRDefault="00ED2DC7">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本期计提</w:t>
                    </w:r>
                  </w:p>
                </w:tc>
              </w:sdtContent>
            </w:sdt>
            <w:tc>
              <w:tcPr>
                <w:tcW w:w="862" w:type="pct"/>
              </w:tcPr>
              <w:p w:rsidR="00ED2DC7" w:rsidRDefault="00ED2DC7">
                <w:pPr>
                  <w:jc w:val="right"/>
                  <w:rPr>
                    <w:szCs w:val="21"/>
                  </w:rPr>
                </w:pPr>
              </w:p>
            </w:tc>
            <w:tc>
              <w:tcPr>
                <w:tcW w:w="1097" w:type="pct"/>
              </w:tcPr>
              <w:p w:rsidR="00ED2DC7" w:rsidRDefault="008F04CF">
                <w:pPr>
                  <w:jc w:val="right"/>
                  <w:rPr>
                    <w:szCs w:val="21"/>
                  </w:rPr>
                </w:pPr>
                <w:r w:rsidRPr="007A3F89">
                  <w:rPr>
                    <w:szCs w:val="21"/>
                  </w:rPr>
                  <w:t>1,264,823</w:t>
                </w:r>
              </w:p>
            </w:tc>
            <w:tc>
              <w:tcPr>
                <w:tcW w:w="1097" w:type="pct"/>
              </w:tcPr>
              <w:p w:rsidR="00ED2DC7" w:rsidRDefault="00ED2DC7">
                <w:pPr>
                  <w:jc w:val="right"/>
                  <w:rPr>
                    <w:szCs w:val="21"/>
                  </w:rPr>
                </w:pPr>
              </w:p>
            </w:tc>
            <w:tc>
              <w:tcPr>
                <w:tcW w:w="943" w:type="pct"/>
              </w:tcPr>
              <w:p w:rsidR="00ED2DC7" w:rsidRDefault="008F04CF">
                <w:pPr>
                  <w:jc w:val="right"/>
                  <w:rPr>
                    <w:szCs w:val="21"/>
                  </w:rPr>
                </w:pPr>
                <w:r w:rsidRPr="007A3F89">
                  <w:rPr>
                    <w:szCs w:val="21"/>
                  </w:rPr>
                  <w:t>1,264,823</w:t>
                </w:r>
              </w:p>
            </w:tc>
          </w:tr>
          <w:tr w:rsidR="00ED2DC7" w:rsidTr="0094106C">
            <w:tc>
              <w:tcPr>
                <w:tcW w:w="1001" w:type="pct"/>
                <w:vAlign w:val="center"/>
              </w:tcPr>
              <w:sdt>
                <w:sdtPr>
                  <w:rPr>
                    <w:rFonts w:asciiTheme="minorEastAsia" w:eastAsiaTheme="minorEastAsia" w:hAnsiTheme="minorEastAsia" w:hint="eastAsia"/>
                    <w:sz w:val="21"/>
                    <w:szCs w:val="21"/>
                    <w:lang w:eastAsia="zh-CN"/>
                  </w:rPr>
                  <w:tag w:val="_PLD_4f4ae619a7e049d7a297497cfaf7c7a3"/>
                  <w:id w:val="-2087457182"/>
                  <w:lock w:val="sdtLocked"/>
                </w:sdtPr>
                <w:sdtContent>
                  <w:p w:rsidR="00ED2DC7" w:rsidRDefault="00ED2DC7">
                    <w:pPr>
                      <w:pStyle w:val="TableParagraph"/>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本期转回</w:t>
                    </w:r>
                  </w:p>
                </w:sdtContent>
              </w:sdt>
            </w:tc>
            <w:tc>
              <w:tcPr>
                <w:tcW w:w="862" w:type="pct"/>
              </w:tcPr>
              <w:p w:rsidR="00ED2DC7" w:rsidRDefault="00ED2DC7">
                <w:pPr>
                  <w:jc w:val="right"/>
                  <w:rPr>
                    <w:szCs w:val="21"/>
                  </w:rPr>
                </w:pPr>
              </w:p>
            </w:tc>
            <w:tc>
              <w:tcPr>
                <w:tcW w:w="1097" w:type="pct"/>
              </w:tcPr>
              <w:p w:rsidR="00ED2DC7" w:rsidRDefault="00ED2DC7">
                <w:pPr>
                  <w:jc w:val="right"/>
                  <w:rPr>
                    <w:szCs w:val="21"/>
                  </w:rPr>
                </w:pPr>
              </w:p>
            </w:tc>
            <w:tc>
              <w:tcPr>
                <w:tcW w:w="1097" w:type="pct"/>
              </w:tcPr>
              <w:p w:rsidR="00ED2DC7" w:rsidRDefault="00ED2DC7">
                <w:pPr>
                  <w:jc w:val="right"/>
                  <w:rPr>
                    <w:szCs w:val="21"/>
                  </w:rPr>
                </w:pPr>
              </w:p>
            </w:tc>
            <w:tc>
              <w:tcPr>
                <w:tcW w:w="943" w:type="pct"/>
              </w:tcPr>
              <w:p w:rsidR="00ED2DC7" w:rsidRDefault="00ED2DC7">
                <w:pPr>
                  <w:jc w:val="right"/>
                  <w:rPr>
                    <w:szCs w:val="21"/>
                  </w:rPr>
                </w:pPr>
              </w:p>
            </w:tc>
          </w:tr>
          <w:tr w:rsidR="00ED2DC7" w:rsidTr="0094106C">
            <w:sdt>
              <w:sdtPr>
                <w:tag w:val="_PLD_f623f4998cf8469785fccf1dc23e23f4"/>
                <w:id w:val="-2015754456"/>
                <w:lock w:val="sdtLocked"/>
              </w:sdtPr>
              <w:sdtContent>
                <w:tc>
                  <w:tcPr>
                    <w:tcW w:w="1001" w:type="pct"/>
                    <w:vAlign w:val="center"/>
                  </w:tcPr>
                  <w:p w:rsidR="00ED2DC7" w:rsidRDefault="00ED2DC7">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本期转销</w:t>
                    </w:r>
                  </w:p>
                </w:tc>
              </w:sdtContent>
            </w:sdt>
            <w:tc>
              <w:tcPr>
                <w:tcW w:w="862" w:type="pct"/>
              </w:tcPr>
              <w:p w:rsidR="00ED2DC7" w:rsidRDefault="00ED2DC7">
                <w:pPr>
                  <w:jc w:val="right"/>
                  <w:rPr>
                    <w:szCs w:val="21"/>
                  </w:rPr>
                </w:pPr>
              </w:p>
            </w:tc>
            <w:tc>
              <w:tcPr>
                <w:tcW w:w="1097" w:type="pct"/>
              </w:tcPr>
              <w:p w:rsidR="00ED2DC7" w:rsidRDefault="00ED2DC7">
                <w:pPr>
                  <w:jc w:val="right"/>
                  <w:rPr>
                    <w:szCs w:val="21"/>
                  </w:rPr>
                </w:pPr>
              </w:p>
            </w:tc>
            <w:tc>
              <w:tcPr>
                <w:tcW w:w="1097" w:type="pct"/>
              </w:tcPr>
              <w:p w:rsidR="00ED2DC7" w:rsidRDefault="00ED2DC7">
                <w:pPr>
                  <w:jc w:val="right"/>
                  <w:rPr>
                    <w:szCs w:val="21"/>
                  </w:rPr>
                </w:pPr>
              </w:p>
            </w:tc>
            <w:tc>
              <w:tcPr>
                <w:tcW w:w="943" w:type="pct"/>
              </w:tcPr>
              <w:p w:rsidR="00ED2DC7" w:rsidRDefault="00ED2DC7">
                <w:pPr>
                  <w:jc w:val="right"/>
                  <w:rPr>
                    <w:szCs w:val="21"/>
                  </w:rPr>
                </w:pPr>
              </w:p>
            </w:tc>
          </w:tr>
          <w:tr w:rsidR="00ED2DC7" w:rsidTr="0094106C">
            <w:tc>
              <w:tcPr>
                <w:tcW w:w="1001" w:type="pct"/>
                <w:vAlign w:val="center"/>
              </w:tcPr>
              <w:sdt>
                <w:sdtPr>
                  <w:rPr>
                    <w:rFonts w:asciiTheme="minorEastAsia" w:eastAsiaTheme="minorEastAsia" w:hAnsiTheme="minorEastAsia" w:hint="eastAsia"/>
                    <w:sz w:val="21"/>
                    <w:szCs w:val="21"/>
                    <w:lang w:eastAsia="zh-CN"/>
                  </w:rPr>
                  <w:tag w:val="_PLD_7d1faf2fb9f748e597402d52d41da0c3"/>
                  <w:id w:val="-874767290"/>
                  <w:lock w:val="sdtLocked"/>
                </w:sdtPr>
                <w:sdtContent>
                  <w:p w:rsidR="00ED2DC7" w:rsidRDefault="00ED2DC7">
                    <w:pPr>
                      <w:pStyle w:val="TableParagraph"/>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本期核销</w:t>
                    </w:r>
                  </w:p>
                </w:sdtContent>
              </w:sdt>
            </w:tc>
            <w:tc>
              <w:tcPr>
                <w:tcW w:w="862" w:type="pct"/>
              </w:tcPr>
              <w:p w:rsidR="00ED2DC7" w:rsidRDefault="00ED2DC7">
                <w:pPr>
                  <w:jc w:val="right"/>
                  <w:rPr>
                    <w:szCs w:val="21"/>
                  </w:rPr>
                </w:pPr>
              </w:p>
            </w:tc>
            <w:tc>
              <w:tcPr>
                <w:tcW w:w="1097" w:type="pct"/>
              </w:tcPr>
              <w:p w:rsidR="00ED2DC7" w:rsidRDefault="00ED2DC7">
                <w:pPr>
                  <w:jc w:val="right"/>
                  <w:rPr>
                    <w:szCs w:val="21"/>
                  </w:rPr>
                </w:pPr>
              </w:p>
            </w:tc>
            <w:tc>
              <w:tcPr>
                <w:tcW w:w="1097" w:type="pct"/>
              </w:tcPr>
              <w:p w:rsidR="00ED2DC7" w:rsidRDefault="00ED2DC7">
                <w:pPr>
                  <w:jc w:val="right"/>
                  <w:rPr>
                    <w:szCs w:val="21"/>
                  </w:rPr>
                </w:pPr>
              </w:p>
            </w:tc>
            <w:tc>
              <w:tcPr>
                <w:tcW w:w="943" w:type="pct"/>
              </w:tcPr>
              <w:p w:rsidR="00ED2DC7" w:rsidRDefault="00ED2DC7">
                <w:pPr>
                  <w:jc w:val="right"/>
                  <w:rPr>
                    <w:szCs w:val="21"/>
                  </w:rPr>
                </w:pPr>
              </w:p>
            </w:tc>
          </w:tr>
          <w:tr w:rsidR="00ED2DC7" w:rsidTr="0094106C">
            <w:sdt>
              <w:sdtPr>
                <w:tag w:val="_PLD_fd84f390e6184019aab02c9d3845e31d"/>
                <w:id w:val="-232932410"/>
                <w:lock w:val="sdtLocked"/>
              </w:sdtPr>
              <w:sdtContent>
                <w:tc>
                  <w:tcPr>
                    <w:tcW w:w="1001" w:type="pct"/>
                    <w:vAlign w:val="center"/>
                  </w:tcPr>
                  <w:p w:rsidR="00ED2DC7" w:rsidRDefault="00ED2DC7">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其他变动</w:t>
                    </w:r>
                  </w:p>
                </w:tc>
              </w:sdtContent>
            </w:sdt>
            <w:tc>
              <w:tcPr>
                <w:tcW w:w="862" w:type="pct"/>
              </w:tcPr>
              <w:p w:rsidR="00ED2DC7" w:rsidRDefault="00ED2DC7">
                <w:pPr>
                  <w:jc w:val="right"/>
                  <w:rPr>
                    <w:szCs w:val="21"/>
                  </w:rPr>
                </w:pPr>
              </w:p>
            </w:tc>
            <w:tc>
              <w:tcPr>
                <w:tcW w:w="1097" w:type="pct"/>
              </w:tcPr>
              <w:p w:rsidR="00ED2DC7" w:rsidRDefault="00ED2DC7">
                <w:pPr>
                  <w:jc w:val="right"/>
                  <w:rPr>
                    <w:szCs w:val="21"/>
                  </w:rPr>
                </w:pPr>
              </w:p>
            </w:tc>
            <w:tc>
              <w:tcPr>
                <w:tcW w:w="1097" w:type="pct"/>
              </w:tcPr>
              <w:p w:rsidR="00ED2DC7" w:rsidRDefault="00ED2DC7">
                <w:pPr>
                  <w:jc w:val="right"/>
                  <w:rPr>
                    <w:szCs w:val="21"/>
                  </w:rPr>
                </w:pPr>
              </w:p>
            </w:tc>
            <w:tc>
              <w:tcPr>
                <w:tcW w:w="943" w:type="pct"/>
              </w:tcPr>
              <w:p w:rsidR="00ED2DC7" w:rsidRDefault="00ED2DC7">
                <w:pPr>
                  <w:jc w:val="right"/>
                  <w:rPr>
                    <w:szCs w:val="21"/>
                  </w:rPr>
                </w:pPr>
              </w:p>
            </w:tc>
          </w:tr>
          <w:tr w:rsidR="00ED2DC7" w:rsidTr="0094106C">
            <w:sdt>
              <w:sdtPr>
                <w:tag w:val="_PLD_04cab04851ab496e8220fc8c946b10a5"/>
                <w:id w:val="-211805824"/>
                <w:lock w:val="sdtLocked"/>
              </w:sdtPr>
              <w:sdtContent>
                <w:tc>
                  <w:tcPr>
                    <w:tcW w:w="1001" w:type="pct"/>
                    <w:vAlign w:val="center"/>
                  </w:tcPr>
                  <w:p w:rsidR="00ED2DC7" w:rsidRDefault="00ED2DC7">
                    <w:pPr>
                      <w:pStyle w:val="TableParagraph"/>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201</w:t>
                    </w:r>
                    <w:r>
                      <w:rPr>
                        <w:rFonts w:ascii="宋体" w:eastAsia="宋体" w:hAnsi="宋体" w:cs="宋体" w:hint="eastAsia"/>
                        <w:sz w:val="21"/>
                        <w:szCs w:val="21"/>
                        <w:lang w:eastAsia="zh-CN"/>
                      </w:rPr>
                      <w:t>9</w:t>
                    </w:r>
                    <w:r>
                      <w:rPr>
                        <w:rFonts w:ascii="宋体" w:eastAsia="宋体" w:hAnsi="宋体" w:cs="宋体"/>
                        <w:sz w:val="21"/>
                        <w:szCs w:val="21"/>
                        <w:lang w:eastAsia="zh-CN"/>
                      </w:rPr>
                      <w:t>年</w:t>
                    </w:r>
                    <w:r>
                      <w:rPr>
                        <w:rFonts w:ascii="宋体" w:eastAsia="宋体" w:hAnsi="宋体" w:cs="宋体" w:hint="eastAsia"/>
                        <w:sz w:val="21"/>
                        <w:szCs w:val="21"/>
                        <w:lang w:eastAsia="zh-CN"/>
                      </w:rPr>
                      <w:t>6</w:t>
                    </w:r>
                    <w:r>
                      <w:rPr>
                        <w:rFonts w:ascii="宋体" w:eastAsia="宋体" w:hAnsi="宋体" w:cs="宋体"/>
                        <w:sz w:val="21"/>
                        <w:szCs w:val="21"/>
                        <w:lang w:eastAsia="zh-CN"/>
                      </w:rPr>
                      <w:t>月</w:t>
                    </w:r>
                    <w:r>
                      <w:rPr>
                        <w:rFonts w:ascii="宋体" w:eastAsia="宋体" w:hAnsi="宋体" w:cs="宋体" w:hint="eastAsia"/>
                        <w:sz w:val="21"/>
                        <w:szCs w:val="21"/>
                        <w:lang w:eastAsia="zh-CN"/>
                      </w:rPr>
                      <w:t>30日余额</w:t>
                    </w:r>
                  </w:p>
                </w:tc>
              </w:sdtContent>
            </w:sdt>
            <w:tc>
              <w:tcPr>
                <w:tcW w:w="862" w:type="pct"/>
              </w:tcPr>
              <w:p w:rsidR="00ED2DC7" w:rsidRDefault="00ED2DC7">
                <w:pPr>
                  <w:jc w:val="right"/>
                  <w:rPr>
                    <w:szCs w:val="21"/>
                  </w:rPr>
                </w:pPr>
              </w:p>
            </w:tc>
            <w:tc>
              <w:tcPr>
                <w:tcW w:w="1097" w:type="pct"/>
              </w:tcPr>
              <w:p w:rsidR="00ED2DC7" w:rsidRDefault="008F04CF">
                <w:pPr>
                  <w:jc w:val="right"/>
                  <w:rPr>
                    <w:szCs w:val="21"/>
                  </w:rPr>
                </w:pPr>
                <w:r w:rsidRPr="007A3F89">
                  <w:rPr>
                    <w:szCs w:val="21"/>
                  </w:rPr>
                  <w:t>49,157,516</w:t>
                </w:r>
              </w:p>
            </w:tc>
            <w:tc>
              <w:tcPr>
                <w:tcW w:w="1097" w:type="pct"/>
              </w:tcPr>
              <w:p w:rsidR="00ED2DC7" w:rsidRDefault="00ED2DC7">
                <w:pPr>
                  <w:jc w:val="right"/>
                  <w:rPr>
                    <w:szCs w:val="21"/>
                  </w:rPr>
                </w:pPr>
              </w:p>
            </w:tc>
            <w:tc>
              <w:tcPr>
                <w:tcW w:w="943" w:type="pct"/>
              </w:tcPr>
              <w:p w:rsidR="00ED2DC7" w:rsidRDefault="008F04CF">
                <w:pPr>
                  <w:jc w:val="right"/>
                  <w:rPr>
                    <w:szCs w:val="21"/>
                  </w:rPr>
                </w:pPr>
                <w:r w:rsidRPr="007A3F89">
                  <w:rPr>
                    <w:szCs w:val="21"/>
                  </w:rPr>
                  <w:t>49,157,516</w:t>
                </w:r>
              </w:p>
            </w:tc>
          </w:tr>
        </w:tbl>
        <w:p w:rsidR="00ED2DC7" w:rsidRDefault="00ED2DC7"/>
        <w:p w:rsidR="00ED2DC7" w:rsidRDefault="00ED2DC7">
          <w:pPr>
            <w:pStyle w:val="affffffffffffffffffffd"/>
          </w:pPr>
          <w:r>
            <w:rPr>
              <w:rFonts w:hint="eastAsia"/>
            </w:rPr>
            <w:t>对本期发生损失准备变动的其他应收款账面余额显著变动的情况说明：</w:t>
          </w:r>
        </w:p>
        <w:sdt>
          <w:sdtPr>
            <w:alias w:val="是否适用：母公司其他应收款本期发生损失准备变动且账面余额显著变动的情况说明[双击切换]"/>
            <w:tag w:val="_GBC_51a7e143899e4bf4887327bb018327b9"/>
            <w:id w:val="-2134551436"/>
            <w:lock w:val="sdtContentLocked"/>
            <w:placeholder>
              <w:docPart w:val="GBC22222222222222222222222222222"/>
            </w:placeholder>
          </w:sdtPr>
          <w:sdtContent>
            <w:p w:rsidR="00ED2DC7" w:rsidRDefault="00ED2DC7" w:rsidP="00B637B2">
              <w:r>
                <w:fldChar w:fldCharType="begin"/>
              </w:r>
              <w:r w:rsidR="008F04CF">
                <w:instrText xml:space="preserve"> MACROBUTTON  SnrToggleCheckbox □适用 </w:instrText>
              </w:r>
              <w:r>
                <w:fldChar w:fldCharType="end"/>
              </w:r>
              <w:r>
                <w:fldChar w:fldCharType="begin"/>
              </w:r>
              <w:r w:rsidR="008F04CF">
                <w:instrText xml:space="preserve"> MACROBUTTON  SnrToggleCheckbox √不适用 </w:instrText>
              </w:r>
              <w:r>
                <w:fldChar w:fldCharType="end"/>
              </w:r>
            </w:p>
          </w:sdtContent>
        </w:sdt>
        <w:p w:rsidR="00ED2DC7" w:rsidRDefault="00ED2DC7">
          <w:pPr>
            <w:rPr>
              <w:szCs w:val="21"/>
            </w:rPr>
          </w:pPr>
        </w:p>
        <w:p w:rsidR="00ED2DC7" w:rsidRDefault="00ED2DC7">
          <w:r>
            <w:rPr>
              <w:rFonts w:hint="eastAsia"/>
            </w:rPr>
            <w:t>本期坏账准备计提金额以及评估金融工具的信用风险是否显著增加的采用依据：</w:t>
          </w:r>
        </w:p>
        <w:sdt>
          <w:sdtPr>
            <w:alias w:val="是否适用：母公司其他应收款坏账准备计提金额以及评估金融工具的信用风险是否显著增加的采用依据[双击切换]"/>
            <w:tag w:val="_GBC_d5682930254743bebaaf3c46f4513c04"/>
            <w:id w:val="1058974179"/>
            <w:lock w:val="sdtContentLocked"/>
            <w:placeholder>
              <w:docPart w:val="GBC22222222222222222222222222222"/>
            </w:placeholder>
          </w:sdtPr>
          <w:sdtContent>
            <w:p w:rsidR="00ED2DC7" w:rsidRDefault="00ED2DC7" w:rsidP="00B637B2">
              <w:r>
                <w:fldChar w:fldCharType="begin"/>
              </w:r>
              <w:r w:rsidR="008F04CF">
                <w:instrText xml:space="preserve"> MACROBUTTON  SnrToggleCheckbox □适用 </w:instrText>
              </w:r>
              <w:r>
                <w:fldChar w:fldCharType="end"/>
              </w:r>
              <w:r>
                <w:fldChar w:fldCharType="begin"/>
              </w:r>
              <w:r w:rsidR="008F04CF">
                <w:instrText xml:space="preserve"> MACROBUTTON  SnrToggleCheckbox √不适用 </w:instrText>
              </w:r>
              <w:r>
                <w:fldChar w:fldCharType="end"/>
              </w:r>
            </w:p>
          </w:sdtContent>
        </w:sdt>
        <w:p w:rsidR="00ED2DC7" w:rsidRDefault="000D0A99">
          <w:pPr>
            <w:rPr>
              <w:szCs w:val="21"/>
            </w:rPr>
          </w:pPr>
        </w:p>
      </w:sdtContent>
    </w:sdt>
    <w:bookmarkEnd w:id="264" w:displacedByCustomXml="prev"/>
    <w:bookmarkStart w:id="265" w:name="_Hlk10548122" w:displacedByCustomXml="next"/>
    <w:sdt>
      <w:sdtPr>
        <w:rPr>
          <w:rFonts w:ascii="宋体" w:hAnsi="宋体" w:cs="宋体" w:hint="eastAsia"/>
          <w:b w:val="0"/>
          <w:bCs w:val="0"/>
          <w:kern w:val="0"/>
          <w:szCs w:val="21"/>
        </w:rPr>
        <w:alias w:val="模块:坏账准备的情况"/>
        <w:tag w:val="_SEC_7efe43f77bc44437a16fe9cc44dc64d6"/>
        <w:id w:val="-1595931753"/>
        <w:lock w:val="sdtLocked"/>
        <w:placeholder>
          <w:docPart w:val="GBC22222222222222222222222222222"/>
        </w:placeholder>
      </w:sdtPr>
      <w:sdtEndPr>
        <w:rPr>
          <w:rFonts w:hint="default"/>
        </w:rPr>
      </w:sdtEndPr>
      <w:sdtContent>
        <w:p w:rsidR="00ED2DC7" w:rsidRDefault="00ED2DC7" w:rsidP="00036BDC">
          <w:pPr>
            <w:pStyle w:val="affffffffffffffffff2"/>
            <w:numPr>
              <w:ilvl w:val="3"/>
              <w:numId w:val="103"/>
            </w:numPr>
            <w:ind w:left="426" w:hanging="426"/>
            <w:rPr>
              <w:szCs w:val="21"/>
            </w:rPr>
          </w:pPr>
          <w:r>
            <w:rPr>
              <w:rFonts w:hint="eastAsia"/>
              <w:szCs w:val="21"/>
            </w:rPr>
            <w:t>坏账准备的情况</w:t>
          </w:r>
        </w:p>
        <w:sdt>
          <w:sdtPr>
            <w:alias w:val="是否适用：母公司其他应收款坏账准备情况[双击切换]"/>
            <w:tag w:val="_GBC_746f45a984d44f56a795e5587d8e7cf2"/>
            <w:id w:val="-929579946"/>
            <w:lock w:val="sdtContentLocked"/>
            <w:placeholder>
              <w:docPart w:val="GBC22222222222222222222222222222"/>
            </w:placeholder>
          </w:sdtPr>
          <w:sdtContent>
            <w:p w:rsidR="00ED2DC7" w:rsidRDefault="00ED2DC7" w:rsidP="00B637B2">
              <w:pPr>
                <w:rPr>
                  <w:szCs w:val="21"/>
                </w:rPr>
              </w:pPr>
              <w:r>
                <w:fldChar w:fldCharType="begin"/>
              </w:r>
              <w:r w:rsidR="008F04CF">
                <w:instrText xml:space="preserve"> MACROBUTTON  SnrToggleCheckbox □适用 </w:instrText>
              </w:r>
              <w:r>
                <w:fldChar w:fldCharType="end"/>
              </w:r>
              <w:r>
                <w:fldChar w:fldCharType="begin"/>
              </w:r>
              <w:r w:rsidR="008F04CF">
                <w:instrText xml:space="preserve"> MACROBUTTON  SnrToggleCheckbox √不适用 </w:instrText>
              </w:r>
              <w:r>
                <w:fldChar w:fldCharType="end"/>
              </w:r>
            </w:p>
          </w:sdtContent>
        </w:sdt>
      </w:sdtContent>
    </w:sdt>
    <w:bookmarkEnd w:id="265" w:displacedByCustomXml="prev"/>
    <w:p w:rsidR="00ED2DC7" w:rsidRDefault="00ED2DC7">
      <w:pPr>
        <w:ind w:rightChars="-759" w:right="-1594"/>
        <w:rPr>
          <w:szCs w:val="21"/>
        </w:rPr>
      </w:pPr>
    </w:p>
    <w:sdt>
      <w:sdtPr>
        <w:rPr>
          <w:rFonts w:ascii="宋体" w:hAnsi="宋体" w:cs="宋体" w:hint="eastAsia"/>
          <w:b w:val="0"/>
          <w:bCs w:val="0"/>
          <w:kern w:val="0"/>
          <w:szCs w:val="24"/>
        </w:rPr>
        <w:alias w:val="模块:本期实际核销的其他应收款情况"/>
        <w:tag w:val="_SEC_ffe6c87a4f4a49bd9769cbeb746b444b"/>
        <w:id w:val="-6066962"/>
        <w:lock w:val="sdtLocked"/>
        <w:placeholder>
          <w:docPart w:val="GBC22222222222222222222222222222"/>
        </w:placeholder>
      </w:sdtPr>
      <w:sdtEndPr>
        <w:rPr>
          <w:szCs w:val="21"/>
        </w:rPr>
      </w:sdtEndPr>
      <w:sdtContent>
        <w:p w:rsidR="00ED2DC7" w:rsidRDefault="00ED2DC7" w:rsidP="00036BDC">
          <w:pPr>
            <w:pStyle w:val="affffffffffffffffff2"/>
            <w:numPr>
              <w:ilvl w:val="3"/>
              <w:numId w:val="103"/>
            </w:numPr>
            <w:ind w:left="426" w:hanging="426"/>
          </w:pPr>
          <w:r>
            <w:rPr>
              <w:rFonts w:hint="eastAsia"/>
            </w:rPr>
            <w:t>本期实际核销的其他应收款情况</w:t>
          </w:r>
        </w:p>
        <w:p w:rsidR="00ED2DC7" w:rsidRDefault="000D0A99" w:rsidP="00B637B2">
          <w:pPr>
            <w:rPr>
              <w:szCs w:val="21"/>
            </w:rPr>
          </w:pPr>
          <w:sdt>
            <w:sdtPr>
              <w:alias w:val="是否适用：母公司本期实际核销的其他应收款情况[双击切换]"/>
              <w:tag w:val="_GBC_dd1095756d2b471688ce5b700380fafc"/>
              <w:id w:val="207219978"/>
              <w:lock w:val="sdtContentLocked"/>
              <w:placeholder>
                <w:docPart w:val="GBC22222222222222222222222222222"/>
              </w:placeholder>
            </w:sdtPr>
            <w:sdtContent>
              <w:r w:rsidR="00ED2DC7">
                <w:fldChar w:fldCharType="begin"/>
              </w:r>
              <w:r w:rsidR="008F04CF">
                <w:instrText xml:space="preserve"> MACROBUTTON  SnrToggleCheckbox □适用 </w:instrText>
              </w:r>
              <w:r w:rsidR="00ED2DC7">
                <w:fldChar w:fldCharType="end"/>
              </w:r>
              <w:r w:rsidR="00ED2DC7">
                <w:fldChar w:fldCharType="begin"/>
              </w:r>
              <w:r w:rsidR="008F04CF">
                <w:instrText xml:space="preserve"> MACROBUTTON  SnrToggleCheckbox √不适用 </w:instrText>
              </w:r>
              <w:r w:rsidR="00ED2DC7">
                <w:fldChar w:fldCharType="end"/>
              </w:r>
            </w:sdtContent>
          </w:sdt>
        </w:p>
      </w:sdtContent>
    </w:sdt>
    <w:sdt>
      <w:sdtPr>
        <w:rPr>
          <w:rFonts w:hint="eastAsia"/>
          <w:szCs w:val="21"/>
        </w:rPr>
        <w:alias w:val="模块:其他应收款核销说明：  "/>
        <w:tag w:val="_SEC_6c44e00a54d34fb1a03f38b7cf5b8a5d"/>
        <w:id w:val="645018473"/>
        <w:lock w:val="sdtLocked"/>
        <w:placeholder>
          <w:docPart w:val="GBC22222222222222222222222222222"/>
        </w:placeholder>
      </w:sdtPr>
      <w:sdtEndPr>
        <w:rPr>
          <w:rFonts w:hint="default"/>
        </w:rPr>
      </w:sdtEndPr>
      <w:sdtContent>
        <w:p w:rsidR="00ED2DC7" w:rsidRDefault="00ED2DC7">
          <w:pPr>
            <w:snapToGrid w:val="0"/>
            <w:spacing w:line="240" w:lineRule="atLeast"/>
            <w:rPr>
              <w:szCs w:val="21"/>
            </w:rPr>
          </w:pPr>
          <w:r>
            <w:rPr>
              <w:rFonts w:hint="eastAsia"/>
              <w:szCs w:val="21"/>
            </w:rPr>
            <w:t>其他应收款核销说明：</w:t>
          </w:r>
        </w:p>
        <w:sdt>
          <w:sdtPr>
            <w:rPr>
              <w:bCs/>
              <w:szCs w:val="21"/>
            </w:rPr>
            <w:alias w:val="是否适用：母公司其他应收款核销说明[双击切换]"/>
            <w:tag w:val="_GBC_7e98a555990349648a39fba0c7228ab7"/>
            <w:id w:val="1306354246"/>
            <w:lock w:val="sdtContentLocked"/>
            <w:placeholder>
              <w:docPart w:val="GBC22222222222222222222222222222"/>
            </w:placeholder>
          </w:sdtPr>
          <w:sdtContent>
            <w:p w:rsidR="00ED2DC7" w:rsidRDefault="00ED2DC7">
              <w:pPr>
                <w:snapToGrid w:val="0"/>
                <w:spacing w:line="240" w:lineRule="atLeast"/>
                <w:rPr>
                  <w:bCs/>
                  <w:szCs w:val="21"/>
                </w:rPr>
              </w:pPr>
              <w:r>
                <w:rPr>
                  <w:bCs/>
                  <w:szCs w:val="21"/>
                </w:rPr>
                <w:fldChar w:fldCharType="begin"/>
              </w:r>
              <w:r w:rsidR="00036BDC">
                <w:rPr>
                  <w:bCs/>
                  <w:szCs w:val="21"/>
                </w:rPr>
                <w:instrText xml:space="preserve"> MACROBUTTON  SnrToggleCheckbox □适用 </w:instrText>
              </w:r>
              <w:r>
                <w:rPr>
                  <w:bCs/>
                  <w:szCs w:val="21"/>
                </w:rPr>
                <w:fldChar w:fldCharType="end"/>
              </w:r>
              <w:r>
                <w:rPr>
                  <w:bCs/>
                  <w:szCs w:val="21"/>
                </w:rPr>
                <w:fldChar w:fldCharType="begin"/>
              </w:r>
              <w:r w:rsidR="00036BDC">
                <w:rPr>
                  <w:bCs/>
                  <w:szCs w:val="21"/>
                </w:rPr>
                <w:instrText xml:space="preserve"> MACROBUTTON  SnrToggleCheckbox √不适用 </w:instrText>
              </w:r>
              <w:r>
                <w:rPr>
                  <w:bCs/>
                  <w:szCs w:val="21"/>
                </w:rPr>
                <w:fldChar w:fldCharType="end"/>
              </w:r>
            </w:p>
          </w:sdtContent>
        </w:sdt>
        <w:sdt>
          <w:sdtPr>
            <w:rPr>
              <w:szCs w:val="21"/>
            </w:rPr>
            <w:alias w:val="其他应收款冲销坏帐明细的说明"/>
            <w:tag w:val="_GBC_4e2ce9316cca415ebb6562c1d3f5512d"/>
            <w:id w:val="1621958264"/>
            <w:lock w:val="sdtLocked"/>
            <w:placeholder>
              <w:docPart w:val="GBC22222222222222222222222222222"/>
            </w:placeholder>
          </w:sdtPr>
          <w:sdtContent>
            <w:p w:rsidR="00ED2DC7" w:rsidRDefault="004E6292">
              <w:pPr>
                <w:snapToGrid w:val="0"/>
                <w:spacing w:line="240" w:lineRule="atLeast"/>
                <w:rPr>
                  <w:szCs w:val="21"/>
                </w:rPr>
              </w:pPr>
              <w:r>
                <w:rPr>
                  <w:rFonts w:hint="eastAsia"/>
                  <w:szCs w:val="21"/>
                </w:rPr>
                <w:t>无。</w:t>
              </w:r>
            </w:p>
          </w:sdtContent>
        </w:sdt>
      </w:sdtContent>
    </w:sdt>
    <w:p w:rsidR="00ED2DC7" w:rsidRDefault="00ED2DC7"/>
    <w:sdt>
      <w:sdtPr>
        <w:rPr>
          <w:rFonts w:ascii="宋体" w:hAnsi="宋体" w:cs="宋体" w:hint="eastAsia"/>
          <w:b w:val="0"/>
          <w:bCs w:val="0"/>
          <w:kern w:val="0"/>
          <w:szCs w:val="24"/>
        </w:rPr>
        <w:alias w:val="模块:按欠款方归集的期末余额前五名的其他应收款情况"/>
        <w:tag w:val="_GBC_c77f7efeabc1402191807946a9bfe714"/>
        <w:id w:val="1840422331"/>
        <w:lock w:val="sdtLocked"/>
        <w:placeholder>
          <w:docPart w:val="GBC22222222222222222222222222222"/>
        </w:placeholder>
      </w:sdtPr>
      <w:sdtContent>
        <w:p w:rsidR="00ED2DC7" w:rsidRDefault="00ED2DC7" w:rsidP="00036BDC">
          <w:pPr>
            <w:pStyle w:val="affffffffffffffffff2"/>
            <w:numPr>
              <w:ilvl w:val="3"/>
              <w:numId w:val="103"/>
            </w:numPr>
            <w:ind w:left="426" w:hanging="426"/>
          </w:pPr>
          <w:r>
            <w:rPr>
              <w:rFonts w:hint="eastAsia"/>
            </w:rPr>
            <w:t>按欠款方归集的期末余额前五名的其他应收款情况</w:t>
          </w:r>
        </w:p>
        <w:sdt>
          <w:sdtPr>
            <w:alias w:val="是否适用：母公司按欠款方归集的期末余额前五名的其他应收款情况[双击切换]"/>
            <w:tag w:val="_GBC_c31bd7806af645a4b98780e353753bee"/>
            <w:id w:val="-1808776163"/>
            <w:lock w:val="sdtContentLocked"/>
            <w:placeholder>
              <w:docPart w:val="GBC22222222222222222222222222222"/>
            </w:placeholder>
          </w:sdtPr>
          <w:sdtContent>
            <w:p w:rsidR="00ED2DC7" w:rsidRDefault="00ED2DC7">
              <w:r>
                <w:fldChar w:fldCharType="begin"/>
              </w:r>
              <w:r w:rsidR="00036BDC">
                <w:instrText xml:space="preserve"> MACROBUTTON  SnrToggleCheckbox √适用 </w:instrText>
              </w:r>
              <w:r>
                <w:fldChar w:fldCharType="end"/>
              </w:r>
              <w:r>
                <w:fldChar w:fldCharType="begin"/>
              </w:r>
              <w:r w:rsidR="00036BDC">
                <w:instrText xml:space="preserve"> MACROBUTTON  SnrToggleCheckbox □不适用 </w:instrText>
              </w:r>
              <w:r>
                <w:fldChar w:fldCharType="end"/>
              </w:r>
            </w:p>
          </w:sdtContent>
        </w:sdt>
        <w:p w:rsidR="00B637B2" w:rsidRDefault="00ED2DC7">
          <w:pPr>
            <w:jc w:val="right"/>
          </w:pPr>
          <w:r>
            <w:rPr>
              <w:rFonts w:hint="eastAsia"/>
            </w:rPr>
            <w:t>单位：</w:t>
          </w:r>
          <w:sdt>
            <w:sdtPr>
              <w:rPr>
                <w:rFonts w:hint="eastAsia"/>
              </w:rPr>
              <w:alias w:val="单位：母公司财务附注：其他应收账款前五名欠款情况"/>
              <w:tag w:val="_GBC_5eaec4085c10422f90a7a09ee515d922"/>
              <w:id w:val="139493754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hint="eastAsia"/>
                </w:rPr>
                <w:t>元</w:t>
              </w:r>
            </w:sdtContent>
          </w:sdt>
          <w:r>
            <w:rPr>
              <w:rFonts w:hint="eastAsia"/>
            </w:rPr>
            <w:t xml:space="preserve">  币种：</w:t>
          </w:r>
          <w:sdt>
            <w:sdtPr>
              <w:rPr>
                <w:rFonts w:hint="eastAsia"/>
              </w:rPr>
              <w:alias w:val="币种：母公司财务附注：其他应收账款前五名欠款情况"/>
              <w:tag w:val="_GBC_76fb156b47fb495eb1748f1f6ffdfc64"/>
              <w:id w:val="-113147492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rPr>
                <w:t>人民币</w:t>
              </w:r>
            </w:sdtContent>
          </w:sdt>
        </w:p>
        <w:tbl>
          <w:tblPr>
            <w:tblStyle w:val="g38"/>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00" w:firstRow="0" w:lastRow="0" w:firstColumn="0" w:lastColumn="0" w:noHBand="0" w:noVBand="0"/>
          </w:tblPr>
          <w:tblGrid>
            <w:gridCol w:w="1212"/>
            <w:gridCol w:w="1614"/>
            <w:gridCol w:w="1561"/>
            <w:gridCol w:w="1416"/>
            <w:gridCol w:w="1420"/>
            <w:gridCol w:w="1594"/>
          </w:tblGrid>
          <w:tr w:rsidR="00B637B2" w:rsidTr="00B637B2">
            <w:trPr>
              <w:cantSplit/>
            </w:trPr>
            <w:sdt>
              <w:sdtPr>
                <w:tag w:val="_PLD_1bf4103fa73c4527ab273af4182bdac9"/>
                <w:id w:val="-1911763506"/>
                <w:lock w:val="sdtLocked"/>
              </w:sdtPr>
              <w:sdtContent>
                <w:tc>
                  <w:tcPr>
                    <w:tcW w:w="688" w:type="pct"/>
                    <w:tcBorders>
                      <w:top w:val="single" w:sz="6" w:space="0" w:color="auto"/>
                      <w:left w:val="single" w:sz="6" w:space="0" w:color="auto"/>
                      <w:bottom w:val="single" w:sz="6" w:space="0" w:color="auto"/>
                      <w:right w:val="single" w:sz="6" w:space="0" w:color="auto"/>
                    </w:tcBorders>
                    <w:vAlign w:val="center"/>
                  </w:tcPr>
                  <w:p w:rsidR="00B637B2" w:rsidRDefault="00036BDC" w:rsidP="00B637B2">
                    <w:pPr>
                      <w:ind w:right="105"/>
                      <w:jc w:val="center"/>
                      <w:rPr>
                        <w:szCs w:val="21"/>
                      </w:rPr>
                    </w:pPr>
                    <w:r>
                      <w:rPr>
                        <w:rFonts w:hint="eastAsia"/>
                        <w:szCs w:val="21"/>
                      </w:rPr>
                      <w:t>单位名称</w:t>
                    </w:r>
                  </w:p>
                </w:tc>
              </w:sdtContent>
            </w:sdt>
            <w:sdt>
              <w:sdtPr>
                <w:tag w:val="_PLD_13e90710aaf8432b8989b8a8d1ceae0c"/>
                <w:id w:val="-1109504259"/>
                <w:lock w:val="sdtLocked"/>
              </w:sdtPr>
              <w:sdtContent>
                <w:tc>
                  <w:tcPr>
                    <w:tcW w:w="915" w:type="pct"/>
                    <w:tcBorders>
                      <w:top w:val="single" w:sz="6" w:space="0" w:color="auto"/>
                      <w:left w:val="single" w:sz="6" w:space="0" w:color="auto"/>
                      <w:bottom w:val="single" w:sz="6" w:space="0" w:color="auto"/>
                      <w:right w:val="single" w:sz="6" w:space="0" w:color="auto"/>
                    </w:tcBorders>
                    <w:vAlign w:val="center"/>
                  </w:tcPr>
                  <w:p w:rsidR="00B637B2" w:rsidRDefault="00036BDC" w:rsidP="00B637B2">
                    <w:pPr>
                      <w:ind w:right="73"/>
                      <w:jc w:val="center"/>
                      <w:rPr>
                        <w:szCs w:val="21"/>
                      </w:rPr>
                    </w:pPr>
                    <w:r>
                      <w:rPr>
                        <w:rFonts w:hint="eastAsia"/>
                        <w:szCs w:val="21"/>
                      </w:rPr>
                      <w:t>款项的性质</w:t>
                    </w:r>
                  </w:p>
                </w:tc>
              </w:sdtContent>
            </w:sdt>
            <w:sdt>
              <w:sdtPr>
                <w:tag w:val="_PLD_2272ceae47e74a6489bfeb2c73aa1f4a"/>
                <w:id w:val="-1788798277"/>
                <w:lock w:val="sdtLocked"/>
              </w:sdtPr>
              <w:sdtContent>
                <w:tc>
                  <w:tcPr>
                    <w:tcW w:w="885" w:type="pct"/>
                    <w:tcBorders>
                      <w:top w:val="single" w:sz="6" w:space="0" w:color="auto"/>
                      <w:left w:val="single" w:sz="6" w:space="0" w:color="auto"/>
                      <w:bottom w:val="single" w:sz="6" w:space="0" w:color="auto"/>
                      <w:right w:val="single" w:sz="6" w:space="0" w:color="auto"/>
                    </w:tcBorders>
                    <w:vAlign w:val="center"/>
                  </w:tcPr>
                  <w:p w:rsidR="00B637B2" w:rsidRDefault="00036BDC" w:rsidP="00B637B2">
                    <w:pPr>
                      <w:ind w:right="73"/>
                      <w:jc w:val="center"/>
                      <w:rPr>
                        <w:szCs w:val="21"/>
                      </w:rPr>
                    </w:pPr>
                    <w:r>
                      <w:rPr>
                        <w:rFonts w:hint="eastAsia"/>
                        <w:szCs w:val="21"/>
                      </w:rPr>
                      <w:t>期末余额</w:t>
                    </w:r>
                  </w:p>
                </w:tc>
              </w:sdtContent>
            </w:sdt>
            <w:sdt>
              <w:sdtPr>
                <w:tag w:val="_PLD_fcefa3ecef954c579974ef8beaeadf3a"/>
                <w:id w:val="-824057013"/>
                <w:lock w:val="sdtLocked"/>
              </w:sdtPr>
              <w:sdtContent>
                <w:tc>
                  <w:tcPr>
                    <w:tcW w:w="803" w:type="pct"/>
                    <w:tcBorders>
                      <w:top w:val="single" w:sz="6" w:space="0" w:color="auto"/>
                      <w:left w:val="single" w:sz="6" w:space="0" w:color="auto"/>
                      <w:bottom w:val="single" w:sz="6" w:space="0" w:color="auto"/>
                      <w:right w:val="single" w:sz="6" w:space="0" w:color="auto"/>
                    </w:tcBorders>
                    <w:vAlign w:val="center"/>
                  </w:tcPr>
                  <w:p w:rsidR="00B637B2" w:rsidRDefault="00036BDC" w:rsidP="00B637B2">
                    <w:pPr>
                      <w:ind w:right="73"/>
                      <w:jc w:val="center"/>
                      <w:rPr>
                        <w:szCs w:val="21"/>
                      </w:rPr>
                    </w:pPr>
                    <w:r>
                      <w:rPr>
                        <w:rFonts w:hint="eastAsia"/>
                        <w:szCs w:val="21"/>
                      </w:rPr>
                      <w:t>账龄</w:t>
                    </w:r>
                  </w:p>
                </w:tc>
              </w:sdtContent>
            </w:sdt>
            <w:sdt>
              <w:sdtPr>
                <w:tag w:val="_PLD_13e1362304be4663873f1e8f72848948"/>
                <w:id w:val="371660651"/>
                <w:lock w:val="sdtLocked"/>
              </w:sdtPr>
              <w:sdtContent>
                <w:tc>
                  <w:tcPr>
                    <w:tcW w:w="805" w:type="pct"/>
                    <w:tcBorders>
                      <w:top w:val="single" w:sz="6" w:space="0" w:color="auto"/>
                      <w:left w:val="single" w:sz="6" w:space="0" w:color="auto"/>
                      <w:bottom w:val="single" w:sz="6" w:space="0" w:color="auto"/>
                      <w:right w:val="single" w:sz="6" w:space="0" w:color="auto"/>
                    </w:tcBorders>
                    <w:vAlign w:val="center"/>
                  </w:tcPr>
                  <w:p w:rsidR="00B637B2" w:rsidRDefault="00036BDC" w:rsidP="00B637B2">
                    <w:pPr>
                      <w:jc w:val="center"/>
                      <w:rPr>
                        <w:szCs w:val="21"/>
                      </w:rPr>
                    </w:pPr>
                    <w:r>
                      <w:rPr>
                        <w:rFonts w:hint="eastAsia"/>
                        <w:szCs w:val="21"/>
                      </w:rPr>
                      <w:t>占其他应收款期末余额合计数的比例(</w:t>
                    </w:r>
                    <w:r>
                      <w:rPr>
                        <w:szCs w:val="21"/>
                      </w:rPr>
                      <w:t>%)</w:t>
                    </w:r>
                  </w:p>
                </w:tc>
              </w:sdtContent>
            </w:sdt>
            <w:sdt>
              <w:sdtPr>
                <w:tag w:val="_PLD_f2c7137b0fd6426d9d9640429eb47701"/>
                <w:id w:val="-1445835322"/>
                <w:lock w:val="sdtLocked"/>
              </w:sdtPr>
              <w:sdtContent>
                <w:tc>
                  <w:tcPr>
                    <w:tcW w:w="904" w:type="pct"/>
                    <w:tcBorders>
                      <w:top w:val="single" w:sz="6" w:space="0" w:color="auto"/>
                      <w:left w:val="single" w:sz="6" w:space="0" w:color="auto"/>
                      <w:bottom w:val="single" w:sz="6" w:space="0" w:color="auto"/>
                      <w:right w:val="single" w:sz="6" w:space="0" w:color="auto"/>
                    </w:tcBorders>
                    <w:vAlign w:val="center"/>
                  </w:tcPr>
                  <w:p w:rsidR="00B637B2" w:rsidRDefault="00036BDC" w:rsidP="00B637B2">
                    <w:pPr>
                      <w:jc w:val="center"/>
                      <w:rPr>
                        <w:szCs w:val="21"/>
                      </w:rPr>
                    </w:pPr>
                    <w:r>
                      <w:rPr>
                        <w:rFonts w:hint="eastAsia"/>
                        <w:szCs w:val="21"/>
                      </w:rPr>
                      <w:t>坏账准备</w:t>
                    </w:r>
                  </w:p>
                  <w:p w:rsidR="00B637B2" w:rsidRDefault="00036BDC" w:rsidP="00B637B2">
                    <w:pPr>
                      <w:jc w:val="center"/>
                      <w:rPr>
                        <w:szCs w:val="21"/>
                      </w:rPr>
                    </w:pPr>
                    <w:r>
                      <w:rPr>
                        <w:rFonts w:hint="eastAsia"/>
                        <w:szCs w:val="21"/>
                      </w:rPr>
                      <w:t>期末余额</w:t>
                    </w:r>
                  </w:p>
                </w:tc>
              </w:sdtContent>
            </w:sdt>
          </w:tr>
          <w:sdt>
            <w:sdtPr>
              <w:rPr>
                <w:rFonts w:asciiTheme="minorHAnsi" w:eastAsiaTheme="minorEastAsia" w:hAnsiTheme="minorHAnsi" w:cstheme="minorBidi" w:hint="eastAsia"/>
                <w:kern w:val="2"/>
                <w:szCs w:val="21"/>
              </w:rPr>
              <w:alias w:val="其他应收款欠款户"/>
              <w:tag w:val="_GBC_3912a12d540a40c8946b4121501bca53"/>
              <w:id w:val="-307477985"/>
              <w:lock w:val="sdtLocked"/>
            </w:sdtPr>
            <w:sdtContent>
              <w:tr w:rsidR="00B637B2" w:rsidTr="00B637B2">
                <w:trPr>
                  <w:cantSplit/>
                </w:trPr>
                <w:tc>
                  <w:tcPr>
                    <w:tcW w:w="688" w:type="pct"/>
                    <w:tcBorders>
                      <w:top w:val="single" w:sz="6" w:space="0" w:color="auto"/>
                      <w:left w:val="single" w:sz="6" w:space="0" w:color="auto"/>
                      <w:bottom w:val="single" w:sz="6" w:space="0" w:color="auto"/>
                      <w:right w:val="single" w:sz="6" w:space="0" w:color="auto"/>
                    </w:tcBorders>
                    <w:vAlign w:val="center"/>
                  </w:tcPr>
                  <w:p w:rsidR="00B637B2" w:rsidRDefault="00036BDC" w:rsidP="00B637B2">
                    <w:pPr>
                      <w:ind w:right="105"/>
                      <w:jc w:val="both"/>
                      <w:rPr>
                        <w:szCs w:val="21"/>
                      </w:rPr>
                    </w:pPr>
                    <w:r>
                      <w:rPr>
                        <w:rFonts w:hint="eastAsia"/>
                        <w:szCs w:val="21"/>
                      </w:rPr>
                      <w:t>单位1</w:t>
                    </w:r>
                  </w:p>
                </w:tc>
                <w:tc>
                  <w:tcPr>
                    <w:tcW w:w="915" w:type="pct"/>
                    <w:tcBorders>
                      <w:top w:val="single" w:sz="6" w:space="0" w:color="auto"/>
                      <w:left w:val="single" w:sz="6" w:space="0" w:color="auto"/>
                      <w:bottom w:val="single" w:sz="6" w:space="0" w:color="auto"/>
                      <w:right w:val="single" w:sz="6" w:space="0" w:color="auto"/>
                    </w:tcBorders>
                    <w:vAlign w:val="center"/>
                  </w:tcPr>
                  <w:p w:rsidR="00B637B2" w:rsidRDefault="00036BDC" w:rsidP="00B637B2">
                    <w:pPr>
                      <w:ind w:right="73"/>
                      <w:jc w:val="both"/>
                      <w:rPr>
                        <w:szCs w:val="21"/>
                      </w:rPr>
                    </w:pPr>
                    <w:r>
                      <w:rPr>
                        <w:rFonts w:hint="eastAsia"/>
                        <w:szCs w:val="21"/>
                      </w:rPr>
                      <w:t>设备款</w:t>
                    </w:r>
                  </w:p>
                </w:tc>
                <w:tc>
                  <w:tcPr>
                    <w:tcW w:w="885" w:type="pct"/>
                    <w:tcBorders>
                      <w:top w:val="single" w:sz="6" w:space="0" w:color="auto"/>
                      <w:left w:val="single" w:sz="6" w:space="0" w:color="auto"/>
                      <w:bottom w:val="single" w:sz="6" w:space="0" w:color="auto"/>
                      <w:right w:val="single" w:sz="6" w:space="0" w:color="auto"/>
                    </w:tcBorders>
                    <w:vAlign w:val="center"/>
                  </w:tcPr>
                  <w:p w:rsidR="00B637B2" w:rsidRDefault="00036BDC" w:rsidP="00B637B2">
                    <w:pPr>
                      <w:ind w:right="73"/>
                      <w:jc w:val="right"/>
                      <w:rPr>
                        <w:szCs w:val="21"/>
                      </w:rPr>
                    </w:pPr>
                    <w:r>
                      <w:t>18,313,049</w:t>
                    </w:r>
                  </w:p>
                </w:tc>
                <w:tc>
                  <w:tcPr>
                    <w:tcW w:w="803" w:type="pct"/>
                    <w:tcBorders>
                      <w:top w:val="single" w:sz="6" w:space="0" w:color="auto"/>
                      <w:left w:val="single" w:sz="6" w:space="0" w:color="auto"/>
                      <w:bottom w:val="single" w:sz="6" w:space="0" w:color="auto"/>
                      <w:right w:val="single" w:sz="6" w:space="0" w:color="auto"/>
                    </w:tcBorders>
                    <w:vAlign w:val="center"/>
                  </w:tcPr>
                  <w:p w:rsidR="00B637B2" w:rsidRDefault="00036BDC" w:rsidP="00B637B2">
                    <w:pPr>
                      <w:ind w:right="73"/>
                      <w:jc w:val="right"/>
                      <w:rPr>
                        <w:szCs w:val="21"/>
                      </w:rPr>
                    </w:pPr>
                    <w:r>
                      <w:t>1-2年</w:t>
                    </w:r>
                  </w:p>
                </w:tc>
                <w:tc>
                  <w:tcPr>
                    <w:tcW w:w="805" w:type="pct"/>
                    <w:tcBorders>
                      <w:top w:val="single" w:sz="6" w:space="0" w:color="auto"/>
                      <w:left w:val="single" w:sz="6" w:space="0" w:color="auto"/>
                      <w:bottom w:val="single" w:sz="6" w:space="0" w:color="auto"/>
                      <w:right w:val="single" w:sz="6" w:space="0" w:color="auto"/>
                    </w:tcBorders>
                    <w:vAlign w:val="center"/>
                  </w:tcPr>
                  <w:p w:rsidR="00B637B2" w:rsidRDefault="00036BDC" w:rsidP="00B637B2">
                    <w:pPr>
                      <w:jc w:val="right"/>
                      <w:rPr>
                        <w:szCs w:val="21"/>
                      </w:rPr>
                    </w:pPr>
                    <w:r>
                      <w:t>1.25</w:t>
                    </w:r>
                  </w:p>
                </w:tc>
                <w:tc>
                  <w:tcPr>
                    <w:tcW w:w="904" w:type="pct"/>
                    <w:tcBorders>
                      <w:top w:val="single" w:sz="6" w:space="0" w:color="auto"/>
                      <w:left w:val="single" w:sz="6" w:space="0" w:color="auto"/>
                      <w:bottom w:val="single" w:sz="6" w:space="0" w:color="auto"/>
                      <w:right w:val="single" w:sz="6" w:space="0" w:color="auto"/>
                    </w:tcBorders>
                    <w:vAlign w:val="center"/>
                  </w:tcPr>
                  <w:p w:rsidR="00B637B2" w:rsidRPr="007246EC" w:rsidRDefault="00036BDC" w:rsidP="00B637B2">
                    <w:pPr>
                      <w:jc w:val="right"/>
                      <w:rPr>
                        <w:color w:val="000000"/>
                        <w:sz w:val="20"/>
                        <w:szCs w:val="20"/>
                      </w:rPr>
                    </w:pPr>
                    <w:r w:rsidRPr="007246EC">
                      <w:rPr>
                        <w:rFonts w:hint="eastAsia"/>
                        <w:color w:val="000000"/>
                        <w:sz w:val="20"/>
                        <w:szCs w:val="20"/>
                      </w:rPr>
                      <w:t>1,346,397</w:t>
                    </w:r>
                  </w:p>
                </w:tc>
              </w:tr>
            </w:sdtContent>
          </w:sdt>
          <w:sdt>
            <w:sdtPr>
              <w:rPr>
                <w:rFonts w:asciiTheme="minorHAnsi" w:eastAsiaTheme="minorEastAsia" w:hAnsiTheme="minorHAnsi" w:cstheme="minorBidi" w:hint="eastAsia"/>
                <w:kern w:val="2"/>
                <w:szCs w:val="21"/>
              </w:rPr>
              <w:alias w:val="其他应收款欠款户"/>
              <w:tag w:val="_GBC_3912a12d540a40c8946b4121501bca53"/>
              <w:id w:val="-379169743"/>
              <w:lock w:val="sdtLocked"/>
            </w:sdtPr>
            <w:sdtContent>
              <w:tr w:rsidR="00B637B2" w:rsidTr="00B637B2">
                <w:trPr>
                  <w:cantSplit/>
                </w:trPr>
                <w:tc>
                  <w:tcPr>
                    <w:tcW w:w="688" w:type="pct"/>
                    <w:tcBorders>
                      <w:top w:val="single" w:sz="6" w:space="0" w:color="auto"/>
                      <w:left w:val="single" w:sz="6" w:space="0" w:color="auto"/>
                      <w:bottom w:val="single" w:sz="6" w:space="0" w:color="auto"/>
                      <w:right w:val="single" w:sz="6" w:space="0" w:color="auto"/>
                    </w:tcBorders>
                    <w:vAlign w:val="center"/>
                  </w:tcPr>
                  <w:p w:rsidR="00B637B2" w:rsidRDefault="00036BDC" w:rsidP="00B637B2">
                    <w:pPr>
                      <w:ind w:right="105"/>
                      <w:jc w:val="both"/>
                      <w:rPr>
                        <w:szCs w:val="21"/>
                      </w:rPr>
                    </w:pPr>
                    <w:r>
                      <w:rPr>
                        <w:rFonts w:hint="eastAsia"/>
                        <w:szCs w:val="21"/>
                      </w:rPr>
                      <w:t>单位</w:t>
                    </w:r>
                    <w:r>
                      <w:rPr>
                        <w:szCs w:val="21"/>
                      </w:rPr>
                      <w:t>2</w:t>
                    </w:r>
                  </w:p>
                </w:tc>
                <w:tc>
                  <w:tcPr>
                    <w:tcW w:w="915" w:type="pct"/>
                    <w:tcBorders>
                      <w:top w:val="single" w:sz="6" w:space="0" w:color="auto"/>
                      <w:left w:val="single" w:sz="6" w:space="0" w:color="auto"/>
                      <w:bottom w:val="single" w:sz="6" w:space="0" w:color="auto"/>
                      <w:right w:val="single" w:sz="6" w:space="0" w:color="auto"/>
                    </w:tcBorders>
                    <w:vAlign w:val="center"/>
                  </w:tcPr>
                  <w:p w:rsidR="00B637B2" w:rsidRDefault="00AB71F9" w:rsidP="00B637B2">
                    <w:pPr>
                      <w:ind w:right="73"/>
                      <w:jc w:val="both"/>
                      <w:rPr>
                        <w:szCs w:val="21"/>
                      </w:rPr>
                    </w:pPr>
                    <w:r>
                      <w:rPr>
                        <w:rFonts w:hint="eastAsia"/>
                        <w:szCs w:val="21"/>
                      </w:rPr>
                      <w:t>增值税退税款</w:t>
                    </w:r>
                  </w:p>
                </w:tc>
                <w:tc>
                  <w:tcPr>
                    <w:tcW w:w="885" w:type="pct"/>
                    <w:tcBorders>
                      <w:top w:val="single" w:sz="6" w:space="0" w:color="auto"/>
                      <w:left w:val="single" w:sz="6" w:space="0" w:color="auto"/>
                      <w:bottom w:val="single" w:sz="6" w:space="0" w:color="auto"/>
                      <w:right w:val="single" w:sz="6" w:space="0" w:color="auto"/>
                    </w:tcBorders>
                  </w:tcPr>
                  <w:p w:rsidR="00B637B2" w:rsidRDefault="00AB71F9" w:rsidP="00B637B2">
                    <w:pPr>
                      <w:ind w:right="73"/>
                      <w:jc w:val="right"/>
                      <w:rPr>
                        <w:szCs w:val="21"/>
                      </w:rPr>
                    </w:pPr>
                    <w:r w:rsidRPr="00AB71F9">
                      <w:t>11,390,860</w:t>
                    </w:r>
                  </w:p>
                </w:tc>
                <w:tc>
                  <w:tcPr>
                    <w:tcW w:w="803" w:type="pct"/>
                    <w:tcBorders>
                      <w:top w:val="single" w:sz="6" w:space="0" w:color="auto"/>
                      <w:left w:val="single" w:sz="6" w:space="0" w:color="auto"/>
                      <w:bottom w:val="single" w:sz="6" w:space="0" w:color="auto"/>
                      <w:right w:val="single" w:sz="6" w:space="0" w:color="auto"/>
                    </w:tcBorders>
                    <w:vAlign w:val="center"/>
                  </w:tcPr>
                  <w:p w:rsidR="00B637B2" w:rsidRDefault="00AB71F9" w:rsidP="00B637B2">
                    <w:pPr>
                      <w:ind w:right="73"/>
                      <w:jc w:val="right"/>
                      <w:rPr>
                        <w:szCs w:val="21"/>
                      </w:rPr>
                    </w:pPr>
                    <w:r>
                      <w:t>1</w:t>
                    </w:r>
                    <w:r w:rsidR="00036BDC">
                      <w:t>年以内</w:t>
                    </w:r>
                  </w:p>
                </w:tc>
                <w:tc>
                  <w:tcPr>
                    <w:tcW w:w="805" w:type="pct"/>
                    <w:tcBorders>
                      <w:top w:val="single" w:sz="6" w:space="0" w:color="auto"/>
                      <w:left w:val="single" w:sz="6" w:space="0" w:color="auto"/>
                      <w:bottom w:val="single" w:sz="6" w:space="0" w:color="auto"/>
                      <w:right w:val="single" w:sz="6" w:space="0" w:color="auto"/>
                    </w:tcBorders>
                  </w:tcPr>
                  <w:p w:rsidR="00B637B2" w:rsidRDefault="00036BDC" w:rsidP="00AB71F9">
                    <w:pPr>
                      <w:jc w:val="right"/>
                      <w:rPr>
                        <w:szCs w:val="21"/>
                      </w:rPr>
                    </w:pPr>
                    <w:r>
                      <w:t>0.7</w:t>
                    </w:r>
                    <w:r w:rsidR="00AB71F9">
                      <w:t>8</w:t>
                    </w:r>
                  </w:p>
                </w:tc>
                <w:tc>
                  <w:tcPr>
                    <w:tcW w:w="904" w:type="pct"/>
                    <w:tcBorders>
                      <w:top w:val="single" w:sz="6" w:space="0" w:color="auto"/>
                      <w:left w:val="single" w:sz="6" w:space="0" w:color="auto"/>
                      <w:bottom w:val="single" w:sz="6" w:space="0" w:color="auto"/>
                      <w:right w:val="single" w:sz="6" w:space="0" w:color="auto"/>
                    </w:tcBorders>
                  </w:tcPr>
                  <w:p w:rsidR="00B637B2" w:rsidRDefault="00AB71F9" w:rsidP="00B637B2">
                    <w:pPr>
                      <w:jc w:val="right"/>
                      <w:rPr>
                        <w:szCs w:val="21"/>
                      </w:rPr>
                    </w:pPr>
                    <w:r>
                      <w:rPr>
                        <w:rFonts w:hint="eastAsia"/>
                        <w:szCs w:val="21"/>
                      </w:rPr>
                      <w:t>-</w:t>
                    </w:r>
                  </w:p>
                </w:tc>
              </w:tr>
            </w:sdtContent>
          </w:sdt>
          <w:sdt>
            <w:sdtPr>
              <w:rPr>
                <w:rFonts w:asciiTheme="minorHAnsi" w:eastAsiaTheme="minorEastAsia" w:hAnsiTheme="minorHAnsi" w:cstheme="minorBidi" w:hint="eastAsia"/>
                <w:kern w:val="2"/>
                <w:szCs w:val="21"/>
              </w:rPr>
              <w:alias w:val="其他应收款欠款户"/>
              <w:tag w:val="_GBC_3912a12d540a40c8946b4121501bca53"/>
              <w:id w:val="580099515"/>
              <w:lock w:val="sdtLocked"/>
            </w:sdtPr>
            <w:sdtContent>
              <w:tr w:rsidR="00B637B2" w:rsidTr="00B637B2">
                <w:trPr>
                  <w:cantSplit/>
                </w:trPr>
                <w:tc>
                  <w:tcPr>
                    <w:tcW w:w="688" w:type="pct"/>
                    <w:tcBorders>
                      <w:top w:val="single" w:sz="6" w:space="0" w:color="auto"/>
                      <w:left w:val="single" w:sz="6" w:space="0" w:color="auto"/>
                      <w:bottom w:val="single" w:sz="6" w:space="0" w:color="auto"/>
                      <w:right w:val="single" w:sz="6" w:space="0" w:color="auto"/>
                    </w:tcBorders>
                    <w:vAlign w:val="center"/>
                  </w:tcPr>
                  <w:p w:rsidR="00B637B2" w:rsidRDefault="00036BDC" w:rsidP="00B637B2">
                    <w:pPr>
                      <w:ind w:right="105"/>
                      <w:jc w:val="both"/>
                      <w:rPr>
                        <w:szCs w:val="21"/>
                      </w:rPr>
                    </w:pPr>
                    <w:r>
                      <w:rPr>
                        <w:rFonts w:hint="eastAsia"/>
                        <w:szCs w:val="21"/>
                      </w:rPr>
                      <w:t>单位</w:t>
                    </w:r>
                    <w:r>
                      <w:rPr>
                        <w:szCs w:val="21"/>
                      </w:rPr>
                      <w:t>3</w:t>
                    </w:r>
                  </w:p>
                </w:tc>
                <w:tc>
                  <w:tcPr>
                    <w:tcW w:w="915" w:type="pct"/>
                    <w:tcBorders>
                      <w:top w:val="single" w:sz="6" w:space="0" w:color="auto"/>
                      <w:left w:val="single" w:sz="6" w:space="0" w:color="auto"/>
                      <w:bottom w:val="single" w:sz="6" w:space="0" w:color="auto"/>
                      <w:right w:val="single" w:sz="6" w:space="0" w:color="auto"/>
                    </w:tcBorders>
                    <w:vAlign w:val="center"/>
                  </w:tcPr>
                  <w:p w:rsidR="00B637B2" w:rsidRDefault="00036BDC" w:rsidP="00B637B2">
                    <w:pPr>
                      <w:ind w:right="73"/>
                      <w:jc w:val="both"/>
                      <w:rPr>
                        <w:szCs w:val="21"/>
                      </w:rPr>
                    </w:pPr>
                    <w:r>
                      <w:rPr>
                        <w:rFonts w:hint="eastAsia"/>
                        <w:szCs w:val="21"/>
                      </w:rPr>
                      <w:t>房屋租金</w:t>
                    </w:r>
                  </w:p>
                </w:tc>
                <w:tc>
                  <w:tcPr>
                    <w:tcW w:w="885" w:type="pct"/>
                    <w:tcBorders>
                      <w:top w:val="single" w:sz="6" w:space="0" w:color="auto"/>
                      <w:left w:val="single" w:sz="6" w:space="0" w:color="auto"/>
                      <w:bottom w:val="single" w:sz="6" w:space="0" w:color="auto"/>
                      <w:right w:val="single" w:sz="6" w:space="0" w:color="auto"/>
                    </w:tcBorders>
                  </w:tcPr>
                  <w:p w:rsidR="00B637B2" w:rsidRDefault="00AB71F9" w:rsidP="00B637B2">
                    <w:pPr>
                      <w:ind w:right="73"/>
                      <w:jc w:val="right"/>
                      <w:rPr>
                        <w:szCs w:val="21"/>
                      </w:rPr>
                    </w:pPr>
                    <w:r w:rsidRPr="00AB71F9">
                      <w:t>10,302,469</w:t>
                    </w:r>
                  </w:p>
                </w:tc>
                <w:tc>
                  <w:tcPr>
                    <w:tcW w:w="803" w:type="pct"/>
                    <w:tcBorders>
                      <w:top w:val="single" w:sz="6" w:space="0" w:color="auto"/>
                      <w:left w:val="single" w:sz="6" w:space="0" w:color="auto"/>
                      <w:bottom w:val="single" w:sz="6" w:space="0" w:color="auto"/>
                      <w:right w:val="single" w:sz="6" w:space="0" w:color="auto"/>
                    </w:tcBorders>
                    <w:vAlign w:val="center"/>
                  </w:tcPr>
                  <w:p w:rsidR="00B637B2" w:rsidRDefault="00AB71F9" w:rsidP="00B637B2">
                    <w:pPr>
                      <w:ind w:right="73"/>
                      <w:jc w:val="right"/>
                      <w:rPr>
                        <w:szCs w:val="21"/>
                      </w:rPr>
                    </w:pPr>
                    <w:r>
                      <w:t>3</w:t>
                    </w:r>
                    <w:r w:rsidR="00036BDC">
                      <w:t>年以内</w:t>
                    </w:r>
                  </w:p>
                </w:tc>
                <w:tc>
                  <w:tcPr>
                    <w:tcW w:w="805" w:type="pct"/>
                    <w:tcBorders>
                      <w:top w:val="single" w:sz="6" w:space="0" w:color="auto"/>
                      <w:left w:val="single" w:sz="6" w:space="0" w:color="auto"/>
                      <w:bottom w:val="single" w:sz="6" w:space="0" w:color="auto"/>
                      <w:right w:val="single" w:sz="6" w:space="0" w:color="auto"/>
                    </w:tcBorders>
                  </w:tcPr>
                  <w:p w:rsidR="00B637B2" w:rsidRDefault="00036BDC" w:rsidP="00AB71F9">
                    <w:pPr>
                      <w:jc w:val="right"/>
                      <w:rPr>
                        <w:szCs w:val="21"/>
                      </w:rPr>
                    </w:pPr>
                    <w:r>
                      <w:t>0.</w:t>
                    </w:r>
                    <w:r w:rsidR="00AB71F9">
                      <w:t>70</w:t>
                    </w:r>
                  </w:p>
                </w:tc>
                <w:tc>
                  <w:tcPr>
                    <w:tcW w:w="904" w:type="pct"/>
                    <w:tcBorders>
                      <w:top w:val="single" w:sz="6" w:space="0" w:color="auto"/>
                      <w:left w:val="single" w:sz="6" w:space="0" w:color="auto"/>
                      <w:bottom w:val="single" w:sz="6" w:space="0" w:color="auto"/>
                      <w:right w:val="single" w:sz="6" w:space="0" w:color="auto"/>
                    </w:tcBorders>
                  </w:tcPr>
                  <w:p w:rsidR="00B637B2" w:rsidRDefault="00AB71F9" w:rsidP="00B637B2">
                    <w:pPr>
                      <w:jc w:val="right"/>
                      <w:rPr>
                        <w:szCs w:val="21"/>
                      </w:rPr>
                    </w:pPr>
                    <w:r w:rsidRPr="00AB71F9">
                      <w:rPr>
                        <w:szCs w:val="21"/>
                      </w:rPr>
                      <w:t>757,450</w:t>
                    </w:r>
                  </w:p>
                </w:tc>
              </w:tr>
            </w:sdtContent>
          </w:sdt>
          <w:sdt>
            <w:sdtPr>
              <w:rPr>
                <w:rFonts w:asciiTheme="minorHAnsi" w:eastAsiaTheme="minorEastAsia" w:hAnsiTheme="minorHAnsi" w:cstheme="minorBidi" w:hint="eastAsia"/>
                <w:kern w:val="2"/>
                <w:szCs w:val="21"/>
              </w:rPr>
              <w:alias w:val="其他应收款欠款户"/>
              <w:tag w:val="_GBC_3912a12d540a40c8946b4121501bca53"/>
              <w:id w:val="2057583467"/>
              <w:lock w:val="sdtLocked"/>
            </w:sdtPr>
            <w:sdtContent>
              <w:tr w:rsidR="00B637B2" w:rsidTr="00B637B2">
                <w:trPr>
                  <w:cantSplit/>
                </w:trPr>
                <w:tc>
                  <w:tcPr>
                    <w:tcW w:w="688" w:type="pct"/>
                    <w:tcBorders>
                      <w:top w:val="single" w:sz="6" w:space="0" w:color="auto"/>
                      <w:left w:val="single" w:sz="6" w:space="0" w:color="auto"/>
                      <w:bottom w:val="single" w:sz="6" w:space="0" w:color="auto"/>
                      <w:right w:val="single" w:sz="6" w:space="0" w:color="auto"/>
                    </w:tcBorders>
                    <w:vAlign w:val="center"/>
                  </w:tcPr>
                  <w:p w:rsidR="00B637B2" w:rsidRDefault="00036BDC" w:rsidP="00B637B2">
                    <w:pPr>
                      <w:ind w:right="105"/>
                      <w:jc w:val="both"/>
                      <w:rPr>
                        <w:szCs w:val="21"/>
                      </w:rPr>
                    </w:pPr>
                    <w:r>
                      <w:rPr>
                        <w:rFonts w:hint="eastAsia"/>
                        <w:szCs w:val="21"/>
                      </w:rPr>
                      <w:t>单位</w:t>
                    </w:r>
                    <w:r>
                      <w:rPr>
                        <w:szCs w:val="21"/>
                      </w:rPr>
                      <w:t>4</w:t>
                    </w:r>
                  </w:p>
                </w:tc>
                <w:tc>
                  <w:tcPr>
                    <w:tcW w:w="915" w:type="pct"/>
                    <w:tcBorders>
                      <w:top w:val="single" w:sz="6" w:space="0" w:color="auto"/>
                      <w:left w:val="single" w:sz="6" w:space="0" w:color="auto"/>
                      <w:bottom w:val="single" w:sz="6" w:space="0" w:color="auto"/>
                      <w:right w:val="single" w:sz="6" w:space="0" w:color="auto"/>
                    </w:tcBorders>
                    <w:vAlign w:val="center"/>
                  </w:tcPr>
                  <w:p w:rsidR="00B637B2" w:rsidRDefault="00036BDC" w:rsidP="00B637B2">
                    <w:pPr>
                      <w:ind w:right="73"/>
                      <w:jc w:val="both"/>
                      <w:rPr>
                        <w:szCs w:val="21"/>
                      </w:rPr>
                    </w:pPr>
                    <w:r>
                      <w:rPr>
                        <w:rFonts w:hint="eastAsia"/>
                        <w:szCs w:val="21"/>
                      </w:rPr>
                      <w:t>设备款</w:t>
                    </w:r>
                  </w:p>
                </w:tc>
                <w:tc>
                  <w:tcPr>
                    <w:tcW w:w="885" w:type="pct"/>
                    <w:tcBorders>
                      <w:top w:val="single" w:sz="6" w:space="0" w:color="auto"/>
                      <w:left w:val="single" w:sz="6" w:space="0" w:color="auto"/>
                      <w:bottom w:val="single" w:sz="6" w:space="0" w:color="auto"/>
                      <w:right w:val="single" w:sz="6" w:space="0" w:color="auto"/>
                    </w:tcBorders>
                  </w:tcPr>
                  <w:p w:rsidR="00B637B2" w:rsidRDefault="00036BDC" w:rsidP="00B637B2">
                    <w:pPr>
                      <w:ind w:right="73"/>
                      <w:jc w:val="right"/>
                      <w:rPr>
                        <w:szCs w:val="21"/>
                      </w:rPr>
                    </w:pPr>
                    <w:r>
                      <w:t>9,226,384</w:t>
                    </w:r>
                  </w:p>
                </w:tc>
                <w:tc>
                  <w:tcPr>
                    <w:tcW w:w="803" w:type="pct"/>
                    <w:tcBorders>
                      <w:top w:val="single" w:sz="6" w:space="0" w:color="auto"/>
                      <w:left w:val="single" w:sz="6" w:space="0" w:color="auto"/>
                      <w:bottom w:val="single" w:sz="6" w:space="0" w:color="auto"/>
                      <w:right w:val="single" w:sz="6" w:space="0" w:color="auto"/>
                    </w:tcBorders>
                    <w:vAlign w:val="center"/>
                  </w:tcPr>
                  <w:p w:rsidR="00B637B2" w:rsidRDefault="00036BDC" w:rsidP="00B637B2">
                    <w:pPr>
                      <w:ind w:right="73"/>
                      <w:jc w:val="right"/>
                      <w:rPr>
                        <w:szCs w:val="21"/>
                      </w:rPr>
                    </w:pPr>
                    <w:r>
                      <w:t>1年以内</w:t>
                    </w:r>
                  </w:p>
                </w:tc>
                <w:tc>
                  <w:tcPr>
                    <w:tcW w:w="805" w:type="pct"/>
                    <w:tcBorders>
                      <w:top w:val="single" w:sz="6" w:space="0" w:color="auto"/>
                      <w:left w:val="single" w:sz="6" w:space="0" w:color="auto"/>
                      <w:bottom w:val="single" w:sz="6" w:space="0" w:color="auto"/>
                      <w:right w:val="single" w:sz="6" w:space="0" w:color="auto"/>
                    </w:tcBorders>
                  </w:tcPr>
                  <w:p w:rsidR="00B637B2" w:rsidRDefault="00036BDC" w:rsidP="00B637B2">
                    <w:pPr>
                      <w:jc w:val="right"/>
                      <w:rPr>
                        <w:szCs w:val="21"/>
                      </w:rPr>
                    </w:pPr>
                    <w:r>
                      <w:t>0.63</w:t>
                    </w:r>
                  </w:p>
                </w:tc>
                <w:tc>
                  <w:tcPr>
                    <w:tcW w:w="904" w:type="pct"/>
                    <w:tcBorders>
                      <w:top w:val="single" w:sz="6" w:space="0" w:color="auto"/>
                      <w:left w:val="single" w:sz="6" w:space="0" w:color="auto"/>
                      <w:bottom w:val="single" w:sz="6" w:space="0" w:color="auto"/>
                      <w:right w:val="single" w:sz="6" w:space="0" w:color="auto"/>
                    </w:tcBorders>
                  </w:tcPr>
                  <w:p w:rsidR="00B637B2" w:rsidRDefault="00036BDC" w:rsidP="00B637B2">
                    <w:pPr>
                      <w:jc w:val="right"/>
                      <w:rPr>
                        <w:szCs w:val="21"/>
                      </w:rPr>
                    </w:pPr>
                    <w:r>
                      <w:rPr>
                        <w:rFonts w:hint="eastAsia"/>
                        <w:szCs w:val="21"/>
                      </w:rPr>
                      <w:t>678,</w:t>
                    </w:r>
                    <w:r>
                      <w:rPr>
                        <w:szCs w:val="21"/>
                      </w:rPr>
                      <w:t>335</w:t>
                    </w:r>
                  </w:p>
                </w:tc>
              </w:tr>
            </w:sdtContent>
          </w:sdt>
          <w:sdt>
            <w:sdtPr>
              <w:rPr>
                <w:rFonts w:asciiTheme="minorHAnsi" w:eastAsiaTheme="minorEastAsia" w:hAnsiTheme="minorHAnsi" w:cstheme="minorBidi" w:hint="eastAsia"/>
                <w:kern w:val="2"/>
                <w:szCs w:val="21"/>
              </w:rPr>
              <w:alias w:val="其他应收款欠款户"/>
              <w:tag w:val="_GBC_3912a12d540a40c8946b4121501bca53"/>
              <w:id w:val="-1077586231"/>
              <w:lock w:val="sdtLocked"/>
            </w:sdtPr>
            <w:sdtContent>
              <w:tr w:rsidR="00B637B2" w:rsidTr="00B637B2">
                <w:trPr>
                  <w:cantSplit/>
                </w:trPr>
                <w:tc>
                  <w:tcPr>
                    <w:tcW w:w="688" w:type="pct"/>
                    <w:tcBorders>
                      <w:top w:val="single" w:sz="6" w:space="0" w:color="auto"/>
                      <w:left w:val="single" w:sz="6" w:space="0" w:color="auto"/>
                      <w:bottom w:val="single" w:sz="6" w:space="0" w:color="auto"/>
                      <w:right w:val="single" w:sz="6" w:space="0" w:color="auto"/>
                    </w:tcBorders>
                    <w:vAlign w:val="center"/>
                  </w:tcPr>
                  <w:p w:rsidR="00B637B2" w:rsidRDefault="00036BDC" w:rsidP="00B637B2">
                    <w:pPr>
                      <w:ind w:right="105"/>
                      <w:jc w:val="both"/>
                      <w:rPr>
                        <w:szCs w:val="21"/>
                      </w:rPr>
                    </w:pPr>
                    <w:r>
                      <w:rPr>
                        <w:rFonts w:hint="eastAsia"/>
                        <w:szCs w:val="21"/>
                      </w:rPr>
                      <w:t>单位</w:t>
                    </w:r>
                    <w:r>
                      <w:rPr>
                        <w:szCs w:val="21"/>
                      </w:rPr>
                      <w:t>5</w:t>
                    </w:r>
                  </w:p>
                </w:tc>
                <w:tc>
                  <w:tcPr>
                    <w:tcW w:w="915" w:type="pct"/>
                    <w:tcBorders>
                      <w:top w:val="single" w:sz="6" w:space="0" w:color="auto"/>
                      <w:left w:val="single" w:sz="6" w:space="0" w:color="auto"/>
                      <w:bottom w:val="single" w:sz="6" w:space="0" w:color="auto"/>
                      <w:right w:val="single" w:sz="6" w:space="0" w:color="auto"/>
                    </w:tcBorders>
                    <w:vAlign w:val="center"/>
                  </w:tcPr>
                  <w:p w:rsidR="00B637B2" w:rsidRDefault="00AB71F9" w:rsidP="00B637B2">
                    <w:pPr>
                      <w:ind w:right="73"/>
                      <w:jc w:val="both"/>
                      <w:rPr>
                        <w:szCs w:val="21"/>
                      </w:rPr>
                    </w:pPr>
                    <w:r>
                      <w:rPr>
                        <w:rFonts w:hint="eastAsia"/>
                        <w:szCs w:val="21"/>
                      </w:rPr>
                      <w:t>房屋租金</w:t>
                    </w:r>
                  </w:p>
                </w:tc>
                <w:tc>
                  <w:tcPr>
                    <w:tcW w:w="885" w:type="pct"/>
                    <w:tcBorders>
                      <w:top w:val="single" w:sz="6" w:space="0" w:color="auto"/>
                      <w:left w:val="single" w:sz="6" w:space="0" w:color="auto"/>
                      <w:bottom w:val="single" w:sz="6" w:space="0" w:color="auto"/>
                      <w:right w:val="single" w:sz="6" w:space="0" w:color="auto"/>
                    </w:tcBorders>
                  </w:tcPr>
                  <w:p w:rsidR="00B637B2" w:rsidRDefault="00AB71F9" w:rsidP="00B637B2">
                    <w:pPr>
                      <w:ind w:right="73"/>
                      <w:jc w:val="right"/>
                      <w:rPr>
                        <w:szCs w:val="21"/>
                      </w:rPr>
                    </w:pPr>
                    <w:r w:rsidRPr="00AB71F9">
                      <w:t>5,747,469</w:t>
                    </w:r>
                  </w:p>
                </w:tc>
                <w:tc>
                  <w:tcPr>
                    <w:tcW w:w="803" w:type="pct"/>
                    <w:tcBorders>
                      <w:top w:val="single" w:sz="6" w:space="0" w:color="auto"/>
                      <w:left w:val="single" w:sz="6" w:space="0" w:color="auto"/>
                      <w:bottom w:val="single" w:sz="6" w:space="0" w:color="auto"/>
                      <w:right w:val="single" w:sz="6" w:space="0" w:color="auto"/>
                    </w:tcBorders>
                    <w:vAlign w:val="center"/>
                  </w:tcPr>
                  <w:p w:rsidR="00B637B2" w:rsidRDefault="00AB71F9" w:rsidP="00B637B2">
                    <w:pPr>
                      <w:ind w:right="73"/>
                      <w:jc w:val="right"/>
                      <w:rPr>
                        <w:szCs w:val="21"/>
                      </w:rPr>
                    </w:pPr>
                    <w:r>
                      <w:t>2</w:t>
                    </w:r>
                    <w:r w:rsidR="00036BDC">
                      <w:t>年以内</w:t>
                    </w:r>
                  </w:p>
                </w:tc>
                <w:tc>
                  <w:tcPr>
                    <w:tcW w:w="805" w:type="pct"/>
                    <w:tcBorders>
                      <w:top w:val="single" w:sz="6" w:space="0" w:color="auto"/>
                      <w:left w:val="single" w:sz="6" w:space="0" w:color="auto"/>
                      <w:bottom w:val="single" w:sz="6" w:space="0" w:color="auto"/>
                      <w:right w:val="single" w:sz="6" w:space="0" w:color="auto"/>
                    </w:tcBorders>
                  </w:tcPr>
                  <w:p w:rsidR="00B637B2" w:rsidRDefault="00AB71F9" w:rsidP="00AB71F9">
                    <w:pPr>
                      <w:jc w:val="right"/>
                      <w:rPr>
                        <w:szCs w:val="21"/>
                      </w:rPr>
                    </w:pPr>
                    <w:r>
                      <w:t>0.39</w:t>
                    </w:r>
                  </w:p>
                </w:tc>
                <w:tc>
                  <w:tcPr>
                    <w:tcW w:w="904" w:type="pct"/>
                    <w:tcBorders>
                      <w:top w:val="single" w:sz="6" w:space="0" w:color="auto"/>
                      <w:left w:val="single" w:sz="6" w:space="0" w:color="auto"/>
                      <w:bottom w:val="single" w:sz="6" w:space="0" w:color="auto"/>
                      <w:right w:val="single" w:sz="6" w:space="0" w:color="auto"/>
                    </w:tcBorders>
                  </w:tcPr>
                  <w:p w:rsidR="00B637B2" w:rsidRDefault="00AB71F9" w:rsidP="00B637B2">
                    <w:pPr>
                      <w:jc w:val="right"/>
                      <w:rPr>
                        <w:szCs w:val="21"/>
                      </w:rPr>
                    </w:pPr>
                    <w:r w:rsidRPr="00AB71F9">
                      <w:rPr>
                        <w:szCs w:val="21"/>
                      </w:rPr>
                      <w:t>422,561</w:t>
                    </w:r>
                  </w:p>
                </w:tc>
              </w:tr>
            </w:sdtContent>
          </w:sdt>
          <w:tr w:rsidR="00B637B2" w:rsidRPr="007246EC" w:rsidTr="00B637B2">
            <w:trPr>
              <w:cantSplit/>
            </w:trPr>
            <w:sdt>
              <w:sdtPr>
                <w:tag w:val="_PLD_4b94fa57164840a68859b565c2ebabb5"/>
                <w:id w:val="-1140496442"/>
                <w:lock w:val="sdtLocked"/>
              </w:sdtPr>
              <w:sdtContent>
                <w:tc>
                  <w:tcPr>
                    <w:tcW w:w="688" w:type="pct"/>
                    <w:tcBorders>
                      <w:top w:val="single" w:sz="6" w:space="0" w:color="auto"/>
                      <w:left w:val="single" w:sz="6" w:space="0" w:color="auto"/>
                      <w:bottom w:val="single" w:sz="6" w:space="0" w:color="auto"/>
                      <w:right w:val="single" w:sz="6" w:space="0" w:color="auto"/>
                    </w:tcBorders>
                  </w:tcPr>
                  <w:p w:rsidR="00B637B2" w:rsidRDefault="00036BDC" w:rsidP="00B637B2">
                    <w:pPr>
                      <w:ind w:right="105"/>
                      <w:jc w:val="center"/>
                      <w:rPr>
                        <w:szCs w:val="21"/>
                      </w:rPr>
                    </w:pPr>
                    <w:r>
                      <w:rPr>
                        <w:rFonts w:hint="eastAsia"/>
                        <w:szCs w:val="21"/>
                      </w:rPr>
                      <w:t>合计</w:t>
                    </w:r>
                  </w:p>
                </w:tc>
              </w:sdtContent>
            </w:sdt>
            <w:tc>
              <w:tcPr>
                <w:tcW w:w="915" w:type="pct"/>
                <w:tcBorders>
                  <w:top w:val="single" w:sz="6" w:space="0" w:color="auto"/>
                  <w:left w:val="single" w:sz="6" w:space="0" w:color="auto"/>
                  <w:bottom w:val="single" w:sz="6" w:space="0" w:color="auto"/>
                  <w:right w:val="single" w:sz="6" w:space="0" w:color="auto"/>
                </w:tcBorders>
              </w:tcPr>
              <w:p w:rsidR="00B637B2" w:rsidRDefault="00036BDC" w:rsidP="00B637B2">
                <w:pPr>
                  <w:ind w:right="73"/>
                  <w:jc w:val="center"/>
                  <w:rPr>
                    <w:szCs w:val="21"/>
                  </w:rPr>
                </w:pPr>
                <w:r>
                  <w:rPr>
                    <w:szCs w:val="21"/>
                  </w:rPr>
                  <w:t>/</w:t>
                </w:r>
              </w:p>
            </w:tc>
            <w:tc>
              <w:tcPr>
                <w:tcW w:w="885" w:type="pct"/>
                <w:tcBorders>
                  <w:top w:val="single" w:sz="6" w:space="0" w:color="auto"/>
                  <w:left w:val="single" w:sz="6" w:space="0" w:color="auto"/>
                  <w:bottom w:val="single" w:sz="6" w:space="0" w:color="auto"/>
                  <w:right w:val="single" w:sz="6" w:space="0" w:color="auto"/>
                </w:tcBorders>
              </w:tcPr>
              <w:p w:rsidR="00B637B2" w:rsidRDefault="00AB71F9" w:rsidP="00B637B2">
                <w:pPr>
                  <w:ind w:right="73"/>
                  <w:jc w:val="right"/>
                  <w:rPr>
                    <w:szCs w:val="21"/>
                  </w:rPr>
                </w:pPr>
                <w:r w:rsidRPr="00AB71F9">
                  <w:rPr>
                    <w:szCs w:val="21"/>
                  </w:rPr>
                  <w:t>54,980,231</w:t>
                </w:r>
              </w:p>
            </w:tc>
            <w:tc>
              <w:tcPr>
                <w:tcW w:w="803" w:type="pct"/>
                <w:tcBorders>
                  <w:top w:val="single" w:sz="6" w:space="0" w:color="auto"/>
                  <w:left w:val="single" w:sz="6" w:space="0" w:color="auto"/>
                  <w:bottom w:val="single" w:sz="6" w:space="0" w:color="auto"/>
                  <w:right w:val="single" w:sz="6" w:space="0" w:color="auto"/>
                </w:tcBorders>
              </w:tcPr>
              <w:p w:rsidR="00B637B2" w:rsidRDefault="00036BDC" w:rsidP="00B637B2">
                <w:pPr>
                  <w:ind w:right="73"/>
                  <w:jc w:val="center"/>
                  <w:rPr>
                    <w:szCs w:val="21"/>
                  </w:rPr>
                </w:pPr>
                <w:r>
                  <w:rPr>
                    <w:szCs w:val="21"/>
                  </w:rPr>
                  <w:t>/</w:t>
                </w:r>
              </w:p>
            </w:tc>
            <w:tc>
              <w:tcPr>
                <w:tcW w:w="805" w:type="pct"/>
                <w:tcBorders>
                  <w:top w:val="single" w:sz="6" w:space="0" w:color="auto"/>
                  <w:left w:val="single" w:sz="6" w:space="0" w:color="auto"/>
                  <w:bottom w:val="single" w:sz="6" w:space="0" w:color="auto"/>
                  <w:right w:val="single" w:sz="6" w:space="0" w:color="auto"/>
                </w:tcBorders>
                <w:vAlign w:val="center"/>
              </w:tcPr>
              <w:p w:rsidR="00B637B2" w:rsidRPr="007246EC" w:rsidRDefault="00AB71F9" w:rsidP="00B637B2">
                <w:pPr>
                  <w:jc w:val="right"/>
                </w:pPr>
                <w:r w:rsidRPr="00AB71F9">
                  <w:t>3.75</w:t>
                </w:r>
              </w:p>
            </w:tc>
            <w:tc>
              <w:tcPr>
                <w:tcW w:w="904" w:type="pct"/>
                <w:tcBorders>
                  <w:top w:val="single" w:sz="6" w:space="0" w:color="auto"/>
                  <w:left w:val="single" w:sz="6" w:space="0" w:color="auto"/>
                  <w:bottom w:val="single" w:sz="6" w:space="0" w:color="auto"/>
                  <w:right w:val="single" w:sz="6" w:space="0" w:color="auto"/>
                </w:tcBorders>
                <w:vAlign w:val="center"/>
              </w:tcPr>
              <w:p w:rsidR="00B637B2" w:rsidRPr="007246EC" w:rsidRDefault="00036BDC" w:rsidP="00B637B2">
                <w:pPr>
                  <w:jc w:val="right"/>
                </w:pPr>
                <w:r>
                  <w:rPr>
                    <w:rFonts w:hint="eastAsia"/>
                  </w:rPr>
                  <w:t>3,204,</w:t>
                </w:r>
                <w:r>
                  <w:t>743</w:t>
                </w:r>
              </w:p>
            </w:tc>
          </w:tr>
        </w:tbl>
        <w:p w:rsidR="00B637B2" w:rsidRDefault="00B637B2"/>
        <w:p w:rsidR="00ED2DC7" w:rsidRPr="007246EC" w:rsidRDefault="000D0A99" w:rsidP="00B637B2"/>
      </w:sdtContent>
    </w:sdt>
    <w:p w:rsidR="00ED2DC7" w:rsidRDefault="00ED2DC7">
      <w:pPr>
        <w:snapToGrid w:val="0"/>
        <w:spacing w:line="240" w:lineRule="atLeast"/>
      </w:pPr>
    </w:p>
    <w:sdt>
      <w:sdtPr>
        <w:rPr>
          <w:rFonts w:ascii="Times New Roman" w:hAnsi="Times New Roman" w:cs="宋体" w:hint="eastAsia"/>
          <w:b w:val="0"/>
          <w:bCs w:val="0"/>
          <w:kern w:val="0"/>
          <w:szCs w:val="24"/>
        </w:rPr>
        <w:alias w:val="模块:按应收金额确认的政府补助"/>
        <w:tag w:val="_GBC_52bd0b171cc64f85aa1100213c81523c"/>
        <w:id w:val="-1497023457"/>
        <w:lock w:val="sdtLocked"/>
        <w:placeholder>
          <w:docPart w:val="GBC22222222222222222222222222222"/>
        </w:placeholder>
      </w:sdtPr>
      <w:sdtContent>
        <w:p w:rsidR="00ED2DC7" w:rsidRDefault="00ED2DC7" w:rsidP="00036BDC">
          <w:pPr>
            <w:pStyle w:val="affffffffffffffffff2"/>
            <w:numPr>
              <w:ilvl w:val="3"/>
              <w:numId w:val="103"/>
            </w:numPr>
            <w:ind w:left="426" w:hanging="426"/>
          </w:pPr>
          <w:r>
            <w:rPr>
              <w:rFonts w:hint="eastAsia"/>
            </w:rPr>
            <w:t>涉及政府补助的应收款项</w:t>
          </w:r>
        </w:p>
        <w:sdt>
          <w:sdtPr>
            <w:alias w:val="是否适用：母公司涉及政府补助的应收款项[双击切换]"/>
            <w:tag w:val="_GBC_42f77b49fc014baab239badfde6e4fcf"/>
            <w:id w:val="-1752954826"/>
            <w:lock w:val="sdtContentLocked"/>
            <w:placeholder>
              <w:docPart w:val="GBC22222222222222222222222222222"/>
            </w:placeholder>
          </w:sdtPr>
          <w:sdtContent>
            <w:p w:rsidR="00ED2DC7" w:rsidRDefault="00ED2DC7">
              <w:r>
                <w:fldChar w:fldCharType="begin"/>
              </w:r>
              <w:r w:rsidR="00C46973">
                <w:instrText xml:space="preserve"> MACROBUTTON  SnrToggleCheckbox √适用 </w:instrText>
              </w:r>
              <w:r>
                <w:fldChar w:fldCharType="end"/>
              </w:r>
              <w:r>
                <w:fldChar w:fldCharType="begin"/>
              </w:r>
              <w:r w:rsidR="00C46973">
                <w:instrText xml:space="preserve"> MACROBUTTON  SnrToggleCheckbox □不适用 </w:instrText>
              </w:r>
              <w:r>
                <w:fldChar w:fldCharType="end"/>
              </w:r>
            </w:p>
          </w:sdtContent>
        </w:sdt>
        <w:p w:rsidR="00ED2DC7" w:rsidRDefault="00ED2DC7">
          <w:pPr>
            <w:snapToGrid w:val="0"/>
            <w:spacing w:line="240" w:lineRule="atLeast"/>
            <w:jc w:val="right"/>
          </w:pPr>
          <w:r>
            <w:rPr>
              <w:rFonts w:hint="eastAsia"/>
            </w:rPr>
            <w:t>单位：</w:t>
          </w:r>
          <w:sdt>
            <w:sdtPr>
              <w:rPr>
                <w:rFonts w:hint="eastAsia"/>
              </w:rPr>
              <w:alias w:val="单位：母公司财务附注：按应收金额确认的政府补助"/>
              <w:tag w:val="_GBC_375cad87568541ee9b178aef6bd1cd70"/>
              <w:id w:val="13420452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hint="eastAsia"/>
                </w:rPr>
                <w:t>元</w:t>
              </w:r>
            </w:sdtContent>
          </w:sdt>
          <w:r>
            <w:rPr>
              <w:rFonts w:hint="eastAsia"/>
            </w:rPr>
            <w:t xml:space="preserve">  币种：</w:t>
          </w:r>
          <w:sdt>
            <w:sdtPr>
              <w:rPr>
                <w:rFonts w:hint="eastAsia"/>
              </w:rPr>
              <w:alias w:val="币种：母公司财务附注：按应收金额确认的政府补助"/>
              <w:tag w:val="_GBC_94e058ba5ed74fe7bad50b701cc4ba73"/>
              <w:id w:val="9719417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rPr>
                <w:t>人民币</w:t>
              </w:r>
            </w:sdtContent>
          </w:sdt>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2"/>
            <w:gridCol w:w="1359"/>
            <w:gridCol w:w="1740"/>
            <w:gridCol w:w="1599"/>
            <w:gridCol w:w="1863"/>
          </w:tblGrid>
          <w:tr w:rsidR="00ED2DC7" w:rsidTr="00B637B2">
            <w:sdt>
              <w:sdtPr>
                <w:tag w:val="_PLD_0d0a8dede2224410ab8dea8badd738c5"/>
                <w:id w:val="-1776934370"/>
                <w:lock w:val="sdtLocked"/>
              </w:sdtPr>
              <w:sdtContent>
                <w:tc>
                  <w:tcPr>
                    <w:tcW w:w="1282" w:type="pct"/>
                    <w:tcBorders>
                      <w:top w:val="single" w:sz="4" w:space="0" w:color="auto"/>
                      <w:left w:val="single" w:sz="4" w:space="0" w:color="auto"/>
                      <w:bottom w:val="single" w:sz="4" w:space="0" w:color="auto"/>
                      <w:right w:val="single" w:sz="4" w:space="0" w:color="auto"/>
                    </w:tcBorders>
                    <w:shd w:val="clear" w:color="auto" w:fill="auto"/>
                    <w:vAlign w:val="center"/>
                  </w:tcPr>
                  <w:p w:rsidR="00ED2DC7" w:rsidRDefault="00ED2DC7">
                    <w:pPr>
                      <w:jc w:val="center"/>
                    </w:pPr>
                    <w:r>
                      <w:rPr>
                        <w:rFonts w:hint="eastAsia"/>
                      </w:rPr>
                      <w:t>单位名称</w:t>
                    </w:r>
                  </w:p>
                </w:tc>
              </w:sdtContent>
            </w:sdt>
            <w:sdt>
              <w:sdtPr>
                <w:tag w:val="_PLD_bce3573ee8cb49018108f0d432615e7c"/>
                <w:id w:val="605152265"/>
                <w:lock w:val="sdtLocked"/>
              </w:sdtPr>
              <w:sdtContent>
                <w:tc>
                  <w:tcPr>
                    <w:tcW w:w="770" w:type="pct"/>
                    <w:tcBorders>
                      <w:top w:val="single" w:sz="4" w:space="0" w:color="auto"/>
                      <w:left w:val="single" w:sz="4" w:space="0" w:color="auto"/>
                      <w:bottom w:val="single" w:sz="4" w:space="0" w:color="auto"/>
                      <w:right w:val="single" w:sz="4" w:space="0" w:color="auto"/>
                    </w:tcBorders>
                    <w:shd w:val="clear" w:color="auto" w:fill="auto"/>
                    <w:vAlign w:val="center"/>
                  </w:tcPr>
                  <w:p w:rsidR="00ED2DC7" w:rsidRDefault="00ED2DC7">
                    <w:pPr>
                      <w:jc w:val="center"/>
                    </w:pPr>
                    <w:r>
                      <w:rPr>
                        <w:rFonts w:hint="eastAsia"/>
                      </w:rPr>
                      <w:t>政府补助项目名称</w:t>
                    </w:r>
                  </w:p>
                </w:tc>
              </w:sdtContent>
            </w:sdt>
            <w:sdt>
              <w:sdtPr>
                <w:tag w:val="_PLD_78d0731378a04682b3f4c91c1b1057d0"/>
                <w:id w:val="-1943130669"/>
                <w:lock w:val="sdtLocked"/>
              </w:sdtPr>
              <w:sdtContent>
                <w:tc>
                  <w:tcPr>
                    <w:tcW w:w="986" w:type="pct"/>
                    <w:tcBorders>
                      <w:top w:val="single" w:sz="4" w:space="0" w:color="auto"/>
                      <w:left w:val="single" w:sz="4" w:space="0" w:color="auto"/>
                      <w:bottom w:val="single" w:sz="4" w:space="0" w:color="auto"/>
                      <w:right w:val="single" w:sz="4" w:space="0" w:color="auto"/>
                    </w:tcBorders>
                    <w:shd w:val="clear" w:color="auto" w:fill="auto"/>
                    <w:vAlign w:val="center"/>
                  </w:tcPr>
                  <w:p w:rsidR="00ED2DC7" w:rsidRDefault="00ED2DC7">
                    <w:pPr>
                      <w:jc w:val="center"/>
                    </w:pPr>
                    <w:r>
                      <w:rPr>
                        <w:rFonts w:hint="eastAsia"/>
                      </w:rPr>
                      <w:t>期末余额</w:t>
                    </w:r>
                  </w:p>
                </w:tc>
              </w:sdtContent>
            </w:sdt>
            <w:sdt>
              <w:sdtPr>
                <w:tag w:val="_PLD_965abe504b504a1db7f5adf083c4e014"/>
                <w:id w:val="1107932256"/>
                <w:lock w:val="sdtLocked"/>
              </w:sdtPr>
              <w:sdtContent>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ED2DC7" w:rsidRDefault="00ED2DC7">
                    <w:pPr>
                      <w:jc w:val="center"/>
                    </w:pPr>
                    <w:r>
                      <w:rPr>
                        <w:rFonts w:hint="eastAsia"/>
                      </w:rPr>
                      <w:t>期末账龄</w:t>
                    </w:r>
                  </w:p>
                </w:tc>
              </w:sdtContent>
            </w:sdt>
            <w:sdt>
              <w:sdtPr>
                <w:tag w:val="_PLD_4ac0cf0529914e839f425da27a762d10"/>
                <w:id w:val="704364714"/>
                <w:lock w:val="sdtLocked"/>
              </w:sdtPr>
              <w:sdtContent>
                <w:tc>
                  <w:tcPr>
                    <w:tcW w:w="1056" w:type="pct"/>
                    <w:tcBorders>
                      <w:top w:val="single" w:sz="4" w:space="0" w:color="auto"/>
                      <w:left w:val="single" w:sz="4" w:space="0" w:color="auto"/>
                      <w:bottom w:val="single" w:sz="4" w:space="0" w:color="auto"/>
                      <w:right w:val="single" w:sz="4" w:space="0" w:color="auto"/>
                    </w:tcBorders>
                    <w:shd w:val="clear" w:color="auto" w:fill="auto"/>
                    <w:vAlign w:val="center"/>
                  </w:tcPr>
                  <w:p w:rsidR="00ED2DC7" w:rsidRDefault="00ED2DC7">
                    <w:pPr>
                      <w:jc w:val="center"/>
                    </w:pPr>
                    <w:r>
                      <w:rPr>
                        <w:rFonts w:hint="eastAsia"/>
                      </w:rPr>
                      <w:t>预计收取的时间、金额及依据</w:t>
                    </w:r>
                  </w:p>
                </w:tc>
              </w:sdtContent>
            </w:sdt>
          </w:tr>
          <w:sdt>
            <w:sdtPr>
              <w:alias w:val="按应收金额确认的政府补助明细"/>
              <w:tag w:val="_GBC_e04fc849778f4bbeb685440421d621ea"/>
              <w:id w:val="-1513058901"/>
              <w:lock w:val="sdtLocked"/>
              <w:placeholder>
                <w:docPart w:val="GBC11111111111111111111111111111"/>
              </w:placeholder>
            </w:sdtPr>
            <w:sdtEndPr>
              <w:rPr>
                <w:kern w:val="2"/>
              </w:rPr>
            </w:sdtEndPr>
            <w:sdtContent>
              <w:tr w:rsidR="00ED2DC7" w:rsidTr="00B637B2">
                <w:tc>
                  <w:tcPr>
                    <w:tcW w:w="1282" w:type="pct"/>
                    <w:tcBorders>
                      <w:top w:val="single" w:sz="4" w:space="0" w:color="auto"/>
                      <w:left w:val="single" w:sz="4" w:space="0" w:color="auto"/>
                      <w:bottom w:val="single" w:sz="4" w:space="0" w:color="auto"/>
                      <w:right w:val="single" w:sz="4" w:space="0" w:color="auto"/>
                    </w:tcBorders>
                    <w:shd w:val="clear" w:color="auto" w:fill="auto"/>
                  </w:tcPr>
                  <w:p w:rsidR="00ED2DC7" w:rsidRDefault="00036BDC">
                    <w:r w:rsidRPr="007246EC">
                      <w:rPr>
                        <w:rFonts w:hint="eastAsia"/>
                      </w:rPr>
                      <w:t>北京市海淀区税务局</w:t>
                    </w:r>
                  </w:p>
                </w:tc>
                <w:tc>
                  <w:tcPr>
                    <w:tcW w:w="770" w:type="pct"/>
                    <w:tcBorders>
                      <w:top w:val="single" w:sz="4" w:space="0" w:color="auto"/>
                      <w:left w:val="single" w:sz="4" w:space="0" w:color="auto"/>
                      <w:bottom w:val="single" w:sz="4" w:space="0" w:color="auto"/>
                      <w:right w:val="single" w:sz="4" w:space="0" w:color="auto"/>
                    </w:tcBorders>
                    <w:shd w:val="clear" w:color="auto" w:fill="auto"/>
                  </w:tcPr>
                  <w:p w:rsidR="00ED2DC7" w:rsidRDefault="00036BDC">
                    <w:r w:rsidRPr="007246EC">
                      <w:rPr>
                        <w:rFonts w:hint="eastAsia"/>
                      </w:rPr>
                      <w:t>增值税退税</w:t>
                    </w:r>
                  </w:p>
                </w:tc>
                <w:tc>
                  <w:tcPr>
                    <w:tcW w:w="986" w:type="pct"/>
                    <w:tcBorders>
                      <w:top w:val="single" w:sz="4" w:space="0" w:color="auto"/>
                      <w:left w:val="single" w:sz="4" w:space="0" w:color="auto"/>
                      <w:bottom w:val="single" w:sz="4" w:space="0" w:color="auto"/>
                      <w:right w:val="single" w:sz="4" w:space="0" w:color="auto"/>
                    </w:tcBorders>
                    <w:shd w:val="clear" w:color="auto" w:fill="auto"/>
                  </w:tcPr>
                  <w:p w:rsidR="00ED2DC7" w:rsidRDefault="00BE602C">
                    <w:pPr>
                      <w:jc w:val="right"/>
                    </w:pPr>
                    <w:r w:rsidRPr="00AB71F9">
                      <w:t>11,390,860</w:t>
                    </w:r>
                  </w:p>
                </w:tc>
                <w:tc>
                  <w:tcPr>
                    <w:tcW w:w="906" w:type="pct"/>
                    <w:tcBorders>
                      <w:top w:val="single" w:sz="4" w:space="0" w:color="auto"/>
                      <w:left w:val="single" w:sz="4" w:space="0" w:color="auto"/>
                      <w:bottom w:val="single" w:sz="4" w:space="0" w:color="auto"/>
                      <w:right w:val="single" w:sz="4" w:space="0" w:color="auto"/>
                    </w:tcBorders>
                    <w:shd w:val="clear" w:color="auto" w:fill="auto"/>
                  </w:tcPr>
                  <w:p w:rsidR="00ED2DC7" w:rsidRDefault="00036BDC" w:rsidP="00B637B2">
                    <w:pPr>
                      <w:wordWrap w:val="0"/>
                      <w:jc w:val="right"/>
                    </w:pPr>
                    <w:r>
                      <w:rPr>
                        <w:rFonts w:hint="eastAsia"/>
                      </w:rPr>
                      <w:t>1年以内</w:t>
                    </w:r>
                  </w:p>
                </w:tc>
                <w:tc>
                  <w:tcPr>
                    <w:tcW w:w="1056" w:type="pct"/>
                    <w:tcBorders>
                      <w:top w:val="single" w:sz="4" w:space="0" w:color="auto"/>
                      <w:left w:val="single" w:sz="4" w:space="0" w:color="auto"/>
                      <w:bottom w:val="single" w:sz="4" w:space="0" w:color="auto"/>
                      <w:right w:val="single" w:sz="4" w:space="0" w:color="auto"/>
                    </w:tcBorders>
                    <w:shd w:val="clear" w:color="auto" w:fill="auto"/>
                  </w:tcPr>
                  <w:p w:rsidR="00B637B2" w:rsidRDefault="00036BDC" w:rsidP="00B637B2">
                    <w:pPr>
                      <w:wordWrap w:val="0"/>
                      <w:jc w:val="right"/>
                    </w:pPr>
                    <w:r>
                      <w:t>2019年9月、</w:t>
                    </w:r>
                  </w:p>
                  <w:p w:rsidR="00B637B2" w:rsidRDefault="00BE602C" w:rsidP="00B637B2">
                    <w:pPr>
                      <w:jc w:val="right"/>
                    </w:pPr>
                    <w:r w:rsidRPr="00AB71F9">
                      <w:t>11,390,860</w:t>
                    </w:r>
                    <w:r w:rsidR="00036BDC">
                      <w:t>元</w:t>
                    </w:r>
                    <w:r w:rsidR="00036BDC">
                      <w:rPr>
                        <w:rFonts w:hint="eastAsia"/>
                      </w:rPr>
                      <w:t>、</w:t>
                    </w:r>
                  </w:p>
                  <w:p w:rsidR="00ED2DC7" w:rsidRDefault="00036BDC" w:rsidP="00B637B2">
                    <w:pPr>
                      <w:jc w:val="both"/>
                    </w:pPr>
                    <w:r>
                      <w:rPr>
                        <w:rFonts w:hint="eastAsia"/>
                      </w:rPr>
                      <w:t>《关于软件产品增值税政策的通知》</w:t>
                    </w:r>
                    <w:r>
                      <w:t>(财税[2011]100号)</w:t>
                    </w:r>
                  </w:p>
                </w:tc>
              </w:tr>
            </w:sdtContent>
          </w:sdt>
          <w:sdt>
            <w:sdtPr>
              <w:alias w:val="按应收金额确认的政府补助明细"/>
              <w:tag w:val="_GBC_e04fc849778f4bbeb685440421d621ea"/>
              <w:id w:val="1139461114"/>
              <w:lock w:val="sdtLocked"/>
              <w:placeholder>
                <w:docPart w:val="GBC11111111111111111111111111111"/>
              </w:placeholder>
            </w:sdtPr>
            <w:sdtEndPr>
              <w:rPr>
                <w:kern w:val="2"/>
              </w:rPr>
            </w:sdtEndPr>
            <w:sdtContent>
              <w:tr w:rsidR="00ED2DC7" w:rsidTr="00B637B2">
                <w:tc>
                  <w:tcPr>
                    <w:tcW w:w="1282" w:type="pct"/>
                    <w:tcBorders>
                      <w:top w:val="single" w:sz="4" w:space="0" w:color="auto"/>
                      <w:left w:val="single" w:sz="4" w:space="0" w:color="auto"/>
                      <w:bottom w:val="single" w:sz="4" w:space="0" w:color="auto"/>
                      <w:right w:val="single" w:sz="4" w:space="0" w:color="auto"/>
                    </w:tcBorders>
                    <w:shd w:val="clear" w:color="auto" w:fill="auto"/>
                  </w:tcPr>
                  <w:p w:rsidR="00ED2DC7" w:rsidRDefault="00ED2DC7"/>
                </w:tc>
                <w:tc>
                  <w:tcPr>
                    <w:tcW w:w="770" w:type="pct"/>
                    <w:tcBorders>
                      <w:top w:val="single" w:sz="4" w:space="0" w:color="auto"/>
                      <w:left w:val="single" w:sz="4" w:space="0" w:color="auto"/>
                      <w:bottom w:val="single" w:sz="4" w:space="0" w:color="auto"/>
                      <w:right w:val="single" w:sz="4" w:space="0" w:color="auto"/>
                    </w:tcBorders>
                    <w:shd w:val="clear" w:color="auto" w:fill="auto"/>
                  </w:tcPr>
                  <w:p w:rsidR="00ED2DC7" w:rsidRDefault="00ED2DC7"/>
                </w:tc>
                <w:tc>
                  <w:tcPr>
                    <w:tcW w:w="986" w:type="pct"/>
                    <w:tcBorders>
                      <w:top w:val="single" w:sz="4" w:space="0" w:color="auto"/>
                      <w:left w:val="single" w:sz="4" w:space="0" w:color="auto"/>
                      <w:bottom w:val="single" w:sz="4" w:space="0" w:color="auto"/>
                      <w:right w:val="single" w:sz="4" w:space="0" w:color="auto"/>
                    </w:tcBorders>
                    <w:shd w:val="clear" w:color="auto" w:fill="auto"/>
                  </w:tcPr>
                  <w:p w:rsidR="00ED2DC7" w:rsidRDefault="00ED2DC7">
                    <w:pPr>
                      <w:jc w:val="right"/>
                    </w:pPr>
                  </w:p>
                </w:tc>
                <w:tc>
                  <w:tcPr>
                    <w:tcW w:w="906" w:type="pct"/>
                    <w:tcBorders>
                      <w:top w:val="single" w:sz="4" w:space="0" w:color="auto"/>
                      <w:left w:val="single" w:sz="4" w:space="0" w:color="auto"/>
                      <w:bottom w:val="single" w:sz="4" w:space="0" w:color="auto"/>
                      <w:right w:val="single" w:sz="4" w:space="0" w:color="auto"/>
                    </w:tcBorders>
                    <w:shd w:val="clear" w:color="auto" w:fill="auto"/>
                  </w:tcPr>
                  <w:p w:rsidR="00ED2DC7" w:rsidRDefault="00ED2DC7">
                    <w:pPr>
                      <w:jc w:val="right"/>
                    </w:pPr>
                  </w:p>
                </w:tc>
                <w:tc>
                  <w:tcPr>
                    <w:tcW w:w="1056" w:type="pct"/>
                    <w:tcBorders>
                      <w:top w:val="single" w:sz="4" w:space="0" w:color="auto"/>
                      <w:left w:val="single" w:sz="4" w:space="0" w:color="auto"/>
                      <w:bottom w:val="single" w:sz="4" w:space="0" w:color="auto"/>
                      <w:right w:val="single" w:sz="4" w:space="0" w:color="auto"/>
                    </w:tcBorders>
                    <w:shd w:val="clear" w:color="auto" w:fill="auto"/>
                  </w:tcPr>
                  <w:p w:rsidR="00ED2DC7" w:rsidRDefault="00ED2DC7"/>
                </w:tc>
              </w:tr>
            </w:sdtContent>
          </w:sdt>
        </w:tbl>
        <w:p w:rsidR="00ED2DC7" w:rsidRDefault="00ED2DC7">
          <w:pPr>
            <w:snapToGrid w:val="0"/>
            <w:spacing w:line="240" w:lineRule="atLeast"/>
          </w:pPr>
          <w:r>
            <w:rPr>
              <w:rFonts w:hint="eastAsia"/>
            </w:rPr>
            <w:t>其他说明：</w:t>
          </w:r>
        </w:p>
        <w:sdt>
          <w:sdtPr>
            <w:alias w:val="涉及政府补助的应收款项说明"/>
            <w:tag w:val="_GBC_0f39c6aabc134a06bdb4e9184731b7ea"/>
            <w:id w:val="-1865738876"/>
            <w:lock w:val="sdtLocked"/>
            <w:placeholder>
              <w:docPart w:val="GBC22222222222222222222222222222"/>
            </w:placeholder>
          </w:sdtPr>
          <w:sdtContent>
            <w:p w:rsidR="00ED2DC7" w:rsidRDefault="008F04CF">
              <w:pPr>
                <w:snapToGrid w:val="0"/>
                <w:spacing w:line="240" w:lineRule="atLeast"/>
              </w:pPr>
              <w:r>
                <w:rPr>
                  <w:rFonts w:hint="eastAsia"/>
                </w:rPr>
                <w:t>无。</w:t>
              </w:r>
            </w:p>
          </w:sdtContent>
        </w:sdt>
        <w:p w:rsidR="00ED2DC7" w:rsidRDefault="000D0A99">
          <w:pPr>
            <w:snapToGrid w:val="0"/>
            <w:spacing w:line="240" w:lineRule="atLeast"/>
          </w:pPr>
        </w:p>
      </w:sdtContent>
    </w:sdt>
    <w:sdt>
      <w:sdtPr>
        <w:rPr>
          <w:rFonts w:ascii="Times New Roman" w:hAnsi="Times New Roman" w:cs="宋体"/>
          <w:b w:val="0"/>
          <w:bCs w:val="0"/>
          <w:kern w:val="0"/>
          <w:szCs w:val="24"/>
        </w:rPr>
        <w:alias w:val="模块:因金融资产转移而终止确认的其他应收款"/>
        <w:tag w:val="_GBC_338c72ace78c4ba79d60f19b8dbabe9a"/>
        <w:id w:val="-481614257"/>
        <w:lock w:val="sdtLocked"/>
        <w:placeholder>
          <w:docPart w:val="GBC22222222222222222222222222222"/>
        </w:placeholder>
      </w:sdtPr>
      <w:sdtContent>
        <w:p w:rsidR="00ED2DC7" w:rsidRDefault="00ED2DC7" w:rsidP="00036BDC">
          <w:pPr>
            <w:pStyle w:val="affffffffffffffffff2"/>
            <w:numPr>
              <w:ilvl w:val="3"/>
              <w:numId w:val="103"/>
            </w:numPr>
            <w:ind w:left="426" w:hanging="426"/>
            <w:rPr>
              <w:kern w:val="0"/>
            </w:rPr>
          </w:pPr>
          <w:r>
            <w:rPr>
              <w:rFonts w:hint="eastAsia"/>
              <w:kern w:val="0"/>
            </w:rPr>
            <w:t>因金融资产</w:t>
          </w:r>
          <w:r>
            <w:rPr>
              <w:rFonts w:hint="eastAsia"/>
            </w:rPr>
            <w:t>转移</w:t>
          </w:r>
          <w:r>
            <w:rPr>
              <w:rFonts w:hint="eastAsia"/>
              <w:kern w:val="0"/>
            </w:rPr>
            <w:t>而终止确认的其他应收款</w:t>
          </w:r>
        </w:p>
        <w:sdt>
          <w:sdtPr>
            <w:alias w:val="是否适用：母公司因金融资产转移而终止确认的其他应收款[双击切换]"/>
            <w:tag w:val="_GBC_1512780d2c254c8787e470194d450391"/>
            <w:id w:val="-930426774"/>
            <w:lock w:val="sdtContentLocked"/>
            <w:placeholder>
              <w:docPart w:val="GBC22222222222222222222222222222"/>
            </w:placeholder>
          </w:sdtPr>
          <w:sdtContent>
            <w:p w:rsidR="00ED2DC7" w:rsidRDefault="00ED2DC7" w:rsidP="00C46973">
              <w:pPr>
                <w:rPr>
                  <w:szCs w:val="21"/>
                </w:rPr>
              </w:pPr>
              <w:r>
                <w:fldChar w:fldCharType="begin"/>
              </w:r>
              <w:r w:rsidR="00C46973">
                <w:instrText xml:space="preserve"> MACROBUTTON  SnrToggleCheckbox □适用 </w:instrText>
              </w:r>
              <w:r>
                <w:fldChar w:fldCharType="end"/>
              </w:r>
              <w:r>
                <w:fldChar w:fldCharType="begin"/>
              </w:r>
              <w:r w:rsidR="00C46973">
                <w:instrText xml:space="preserve"> MACROBUTTON  SnrToggleCheckbox √不适用 </w:instrText>
              </w:r>
              <w:r>
                <w:fldChar w:fldCharType="end"/>
              </w:r>
            </w:p>
          </w:sdtContent>
        </w:sdt>
      </w:sdtContent>
    </w:sdt>
    <w:p w:rsidR="00ED2DC7" w:rsidRDefault="00ED2DC7">
      <w:pPr>
        <w:rPr>
          <w:szCs w:val="21"/>
        </w:rPr>
      </w:pPr>
    </w:p>
    <w:sdt>
      <w:sdtPr>
        <w:rPr>
          <w:rFonts w:ascii="Times New Roman" w:hAnsi="Times New Roman" w:cs="宋体" w:hint="eastAsia"/>
          <w:b w:val="0"/>
          <w:bCs w:val="0"/>
          <w:kern w:val="0"/>
          <w:szCs w:val="24"/>
        </w:rPr>
        <w:alias w:val="模块:转移其他应收款且继续涉入的，分项列示继续涉入形成的资产、负债..."/>
        <w:tag w:val="_GBC_86d729c7494a406ba4f51afb2c881955"/>
        <w:id w:val="1607696444"/>
        <w:lock w:val="sdtLocked"/>
        <w:placeholder>
          <w:docPart w:val="GBC22222222222222222222222222222"/>
        </w:placeholder>
      </w:sdtPr>
      <w:sdtContent>
        <w:p w:rsidR="00ED2DC7" w:rsidRDefault="00ED2DC7" w:rsidP="00036BDC">
          <w:pPr>
            <w:pStyle w:val="affffffffffffffffff2"/>
            <w:numPr>
              <w:ilvl w:val="3"/>
              <w:numId w:val="103"/>
            </w:numPr>
            <w:ind w:left="426" w:hanging="426"/>
            <w:rPr>
              <w:kern w:val="0"/>
            </w:rPr>
          </w:pPr>
          <w:r>
            <w:rPr>
              <w:rFonts w:hint="eastAsia"/>
              <w:kern w:val="0"/>
            </w:rPr>
            <w:t>转移其他应收款且继续涉入形成的资产、负债金额</w:t>
          </w:r>
        </w:p>
        <w:sdt>
          <w:sdtPr>
            <w:alias w:val="是否适用：母公司转移其他应收款且继续涉入形成的资产、负债金额[双击切换]"/>
            <w:tag w:val="_GBC_bab484b2a177457b977e28c0385a5b58"/>
            <w:id w:val="-205568575"/>
            <w:lock w:val="sdtContentLocked"/>
            <w:placeholder>
              <w:docPart w:val="GBC22222222222222222222222222222"/>
            </w:placeholder>
          </w:sdtPr>
          <w:sdtContent>
            <w:p w:rsidR="00ED2DC7" w:rsidRDefault="00ED2DC7" w:rsidP="00C46973">
              <w:pPr>
                <w:rPr>
                  <w:szCs w:val="21"/>
                </w:rPr>
              </w:pPr>
              <w:r>
                <w:fldChar w:fldCharType="begin"/>
              </w:r>
              <w:r w:rsidR="00C46973">
                <w:instrText xml:space="preserve"> MACROBUTTON  SnrToggleCheckbox □适用 </w:instrText>
              </w:r>
              <w:r>
                <w:fldChar w:fldCharType="end"/>
              </w:r>
              <w:r>
                <w:fldChar w:fldCharType="begin"/>
              </w:r>
              <w:r w:rsidR="00C46973">
                <w:instrText xml:space="preserve"> MACROBUTTON  SnrToggleCheckbox √不适用 </w:instrText>
              </w:r>
              <w:r>
                <w:fldChar w:fldCharType="end"/>
              </w:r>
            </w:p>
          </w:sdtContent>
        </w:sdt>
      </w:sdtContent>
    </w:sdt>
    <w:p w:rsidR="00ED2DC7" w:rsidRDefault="00ED2DC7">
      <w:pPr>
        <w:rPr>
          <w:szCs w:val="21"/>
        </w:rPr>
      </w:pPr>
    </w:p>
    <w:sdt>
      <w:sdtPr>
        <w:rPr>
          <w:rFonts w:ascii="Times New Roman" w:hAnsi="Times New Roman" w:hint="eastAsia"/>
          <w:b/>
          <w:bCs/>
        </w:rPr>
        <w:alias w:val="模块:其他应收款其他说明"/>
        <w:tag w:val="_GBC_4b6cd384bee54ff79269fa4457c70d49"/>
        <w:id w:val="2010644632"/>
        <w:lock w:val="sdtLocked"/>
        <w:placeholder>
          <w:docPart w:val="GBC22222222222222222222222222222"/>
        </w:placeholder>
      </w:sdtPr>
      <w:sdtEndPr>
        <w:rPr>
          <w:b w:val="0"/>
          <w:bCs w:val="0"/>
        </w:rPr>
      </w:sdtEndPr>
      <w:sdtContent>
        <w:p w:rsidR="00ED2DC7" w:rsidRDefault="00ED2DC7">
          <w:r>
            <w:rPr>
              <w:rFonts w:hint="eastAsia"/>
            </w:rPr>
            <w:t>其他</w:t>
          </w:r>
          <w:r>
            <w:t>说明：</w:t>
          </w:r>
        </w:p>
        <w:sdt>
          <w:sdtPr>
            <w:alias w:val="是否适用：母公司其他应收款的其他说明[双击切换]"/>
            <w:tag w:val="_GBC_2e0f632cbc7d4916b89bf8824f4b71f0"/>
            <w:id w:val="-930584554"/>
            <w:lock w:val="sdtContentLocked"/>
            <w:placeholder>
              <w:docPart w:val="GBC22222222222222222222222222222"/>
            </w:placeholder>
          </w:sdtPr>
          <w:sdtContent>
            <w:p w:rsidR="00ED2DC7" w:rsidRDefault="00ED2DC7" w:rsidP="00C46973">
              <w:pPr>
                <w:rPr>
                  <w:szCs w:val="21"/>
                </w:rPr>
              </w:pPr>
              <w:r>
                <w:fldChar w:fldCharType="begin"/>
              </w:r>
              <w:r w:rsidR="00C46973">
                <w:instrText xml:space="preserve"> MACROBUTTON  SnrToggleCheckbox □适用 </w:instrText>
              </w:r>
              <w:r>
                <w:fldChar w:fldCharType="end"/>
              </w:r>
              <w:r>
                <w:fldChar w:fldCharType="begin"/>
              </w:r>
              <w:r w:rsidR="00C46973">
                <w:instrText xml:space="preserve"> MACROBUTTON  SnrToggleCheckbox √不适用 </w:instrText>
              </w:r>
              <w:r>
                <w:fldChar w:fldCharType="end"/>
              </w:r>
            </w:p>
          </w:sdtContent>
        </w:sdt>
        <w:p w:rsidR="00ED2DC7" w:rsidRDefault="000D0A99">
          <w:pPr>
            <w:rPr>
              <w:szCs w:val="21"/>
            </w:rPr>
          </w:pPr>
        </w:p>
      </w:sdtContent>
    </w:sdt>
    <w:p w:rsidR="00ED2DC7" w:rsidRPr="007A3F89" w:rsidRDefault="00ED2DC7" w:rsidP="00036BDC">
      <w:pPr>
        <w:pStyle w:val="affffffffffffffffff1"/>
        <w:numPr>
          <w:ilvl w:val="0"/>
          <w:numId w:val="101"/>
        </w:numPr>
        <w:rPr>
          <w:rFonts w:ascii="宋体" w:hAnsi="宋体"/>
          <w:szCs w:val="21"/>
        </w:rPr>
      </w:pPr>
      <w:r w:rsidRPr="007A3F89">
        <w:rPr>
          <w:rFonts w:ascii="宋体" w:hAnsi="宋体" w:hint="eastAsia"/>
          <w:szCs w:val="21"/>
        </w:rPr>
        <w:t>长期股权投资</w:t>
      </w:r>
    </w:p>
    <w:sdt>
      <w:sdtPr>
        <w:alias w:val="是否适用：母公司长期股权投资[双击切换]"/>
        <w:tag w:val="_GBC_61071b9a58624e83bfc4232808751b95"/>
        <w:id w:val="59921077"/>
        <w:lock w:val="sdtContentLocked"/>
        <w:placeholder>
          <w:docPart w:val="GBC22222222222222222222222222222"/>
        </w:placeholder>
      </w:sdtPr>
      <w:sdtContent>
        <w:p w:rsidR="00ED2DC7" w:rsidRDefault="00ED2DC7">
          <w:r>
            <w:fldChar w:fldCharType="begin"/>
          </w:r>
          <w:r w:rsidR="00C46973">
            <w:instrText xml:space="preserve"> MACROBUTTON  SnrToggleCheckbox √适用 </w:instrText>
          </w:r>
          <w:r>
            <w:fldChar w:fldCharType="end"/>
          </w:r>
          <w:r>
            <w:fldChar w:fldCharType="begin"/>
          </w:r>
          <w:r w:rsidR="00C46973">
            <w:instrText xml:space="preserve"> MACROBUTTON  SnrToggleCheckbox □不适用 </w:instrText>
          </w:r>
          <w:r>
            <w:fldChar w:fldCharType="end"/>
          </w:r>
        </w:p>
      </w:sdtContent>
    </w:sdt>
    <w:sdt>
      <w:sdtPr>
        <w:rPr>
          <w:rFonts w:hint="eastAsia"/>
          <w:b/>
          <w:bCs/>
          <w:szCs w:val="21"/>
        </w:rPr>
        <w:alias w:val="模块:长期股权投资按成本法核算"/>
        <w:tag w:val="_GBC_e5163872166a4141a666e7eec5d9956c"/>
        <w:id w:val="-1900740175"/>
        <w:lock w:val="sdtLocked"/>
        <w:placeholder>
          <w:docPart w:val="GBC22222222222222222222222222222"/>
        </w:placeholder>
      </w:sdtPr>
      <w:sdtEndPr>
        <w:rPr>
          <w:b w:val="0"/>
          <w:bCs w:val="0"/>
        </w:rPr>
      </w:sdtEndPr>
      <w:sdtContent>
        <w:p w:rsidR="00ED2DC7" w:rsidRDefault="00ED2DC7">
          <w:pPr>
            <w:jc w:val="right"/>
            <w:rPr>
              <w:szCs w:val="21"/>
            </w:rPr>
          </w:pPr>
          <w:r>
            <w:rPr>
              <w:rFonts w:hint="eastAsia"/>
              <w:szCs w:val="21"/>
            </w:rPr>
            <w:t>单位：</w:t>
          </w:r>
          <w:sdt>
            <w:sdtPr>
              <w:rPr>
                <w:rFonts w:hint="eastAsia"/>
                <w:szCs w:val="21"/>
              </w:rPr>
              <w:alias w:val="单位：母公司财务附注：长期股权投资"/>
              <w:tag w:val="_GBC_ee2c3454a2494dfca9c0a07bba82ed3d"/>
              <w:id w:val="84859844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hint="eastAsia"/>
                  <w:szCs w:val="21"/>
                </w:rPr>
                <w:t>元</w:t>
              </w:r>
            </w:sdtContent>
          </w:sdt>
          <w:r>
            <w:rPr>
              <w:rFonts w:hint="eastAsia"/>
              <w:szCs w:val="21"/>
            </w:rPr>
            <w:t xml:space="preserve">  币种：</w:t>
          </w:r>
          <w:sdt>
            <w:sdtPr>
              <w:rPr>
                <w:rFonts w:hint="eastAsia"/>
                <w:szCs w:val="21"/>
              </w:rPr>
              <w:alias w:val="币种：母公司财务附注：长期股权投资"/>
              <w:tag w:val="_GBC_4b4d1a2b986f475e8058a041d2f5a6f9"/>
              <w:id w:val="13205323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szCs w:val="21"/>
                </w:rPr>
                <w:t>人民币</w:t>
              </w:r>
            </w:sdtContent>
          </w:sdt>
        </w:p>
        <w:tbl>
          <w:tblPr>
            <w:tblStyle w:val="g38"/>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674"/>
            <w:gridCol w:w="1427"/>
            <w:gridCol w:w="1217"/>
            <w:gridCol w:w="1428"/>
            <w:gridCol w:w="1427"/>
            <w:gridCol w:w="1217"/>
            <w:gridCol w:w="1427"/>
          </w:tblGrid>
          <w:tr w:rsidR="00ED2DC7" w:rsidTr="00E1002E">
            <w:trPr>
              <w:cantSplit/>
            </w:trPr>
            <w:sdt>
              <w:sdtPr>
                <w:tag w:val="_PLD_69c4a2f49545484e8b3a149f64c9d21f"/>
                <w:id w:val="1429701788"/>
                <w:lock w:val="sdtLocked"/>
              </w:sdtPr>
              <w:sdtContent>
                <w:tc>
                  <w:tcPr>
                    <w:tcW w:w="383" w:type="pct"/>
                    <w:vMerge w:val="restart"/>
                    <w:shd w:val="clear" w:color="auto" w:fill="auto"/>
                    <w:vAlign w:val="center"/>
                  </w:tcPr>
                  <w:p w:rsidR="00ED2DC7" w:rsidRDefault="00ED2DC7">
                    <w:pPr>
                      <w:jc w:val="center"/>
                    </w:pPr>
                    <w:r>
                      <w:rPr>
                        <w:rFonts w:hint="eastAsia"/>
                      </w:rPr>
                      <w:t>项目</w:t>
                    </w:r>
                  </w:p>
                </w:tc>
              </w:sdtContent>
            </w:sdt>
            <w:sdt>
              <w:sdtPr>
                <w:tag w:val="_PLD_f7d0566caa554c4c823029a05c5319eb"/>
                <w:id w:val="-1495324245"/>
                <w:lock w:val="sdtLocked"/>
              </w:sdtPr>
              <w:sdtContent>
                <w:tc>
                  <w:tcPr>
                    <w:tcW w:w="2309" w:type="pct"/>
                    <w:gridSpan w:val="3"/>
                    <w:shd w:val="clear" w:color="auto" w:fill="auto"/>
                    <w:vAlign w:val="center"/>
                  </w:tcPr>
                  <w:p w:rsidR="00ED2DC7" w:rsidRDefault="00ED2DC7">
                    <w:pPr>
                      <w:jc w:val="center"/>
                    </w:pPr>
                    <w:r>
                      <w:rPr>
                        <w:rFonts w:hint="eastAsia"/>
                      </w:rPr>
                      <w:t>期末余额</w:t>
                    </w:r>
                  </w:p>
                </w:tc>
              </w:sdtContent>
            </w:sdt>
            <w:sdt>
              <w:sdtPr>
                <w:tag w:val="_PLD_9d2cfae2492a49c2b441d1371a5e4673"/>
                <w:id w:val="-827600913"/>
                <w:lock w:val="sdtLocked"/>
              </w:sdtPr>
              <w:sdtContent>
                <w:tc>
                  <w:tcPr>
                    <w:tcW w:w="2309" w:type="pct"/>
                    <w:gridSpan w:val="3"/>
                    <w:shd w:val="clear" w:color="auto" w:fill="auto"/>
                    <w:vAlign w:val="center"/>
                  </w:tcPr>
                  <w:p w:rsidR="00ED2DC7" w:rsidRDefault="00ED2DC7">
                    <w:pPr>
                      <w:jc w:val="center"/>
                    </w:pPr>
                    <w:r>
                      <w:rPr>
                        <w:rFonts w:hint="eastAsia"/>
                      </w:rPr>
                      <w:t>期初余额</w:t>
                    </w:r>
                  </w:p>
                </w:tc>
              </w:sdtContent>
            </w:sdt>
          </w:tr>
          <w:tr w:rsidR="00ED2DC7" w:rsidTr="00E1002E">
            <w:trPr>
              <w:cantSplit/>
            </w:trPr>
            <w:tc>
              <w:tcPr>
                <w:tcW w:w="383" w:type="pct"/>
                <w:vMerge/>
                <w:tcBorders>
                  <w:bottom w:val="single" w:sz="6" w:space="0" w:color="auto"/>
                </w:tcBorders>
                <w:shd w:val="clear" w:color="auto" w:fill="auto"/>
                <w:vAlign w:val="center"/>
              </w:tcPr>
              <w:p w:rsidR="00ED2DC7" w:rsidRDefault="00ED2DC7">
                <w:pPr>
                  <w:jc w:val="center"/>
                </w:pPr>
              </w:p>
            </w:tc>
            <w:sdt>
              <w:sdtPr>
                <w:tag w:val="_PLD_9f664b17996c45f08a57544a9ec7e340"/>
                <w:id w:val="1688948919"/>
                <w:lock w:val="sdtLocked"/>
              </w:sdtPr>
              <w:sdtContent>
                <w:tc>
                  <w:tcPr>
                    <w:tcW w:w="809" w:type="pct"/>
                    <w:tcBorders>
                      <w:bottom w:val="single" w:sz="6" w:space="0" w:color="auto"/>
                    </w:tcBorders>
                    <w:shd w:val="clear" w:color="auto" w:fill="auto"/>
                    <w:vAlign w:val="center"/>
                  </w:tcPr>
                  <w:p w:rsidR="00ED2DC7" w:rsidRDefault="00ED2DC7">
                    <w:pPr>
                      <w:jc w:val="center"/>
                    </w:pPr>
                    <w:r>
                      <w:rPr>
                        <w:rFonts w:hint="eastAsia"/>
                      </w:rPr>
                      <w:t>账面余额</w:t>
                    </w:r>
                  </w:p>
                </w:tc>
              </w:sdtContent>
            </w:sdt>
            <w:sdt>
              <w:sdtPr>
                <w:tag w:val="_PLD_5c150a7367994fc29e7f8b50d7ff2eab"/>
                <w:id w:val="-878546611"/>
                <w:lock w:val="sdtLocked"/>
              </w:sdtPr>
              <w:sdtContent>
                <w:tc>
                  <w:tcPr>
                    <w:tcW w:w="690" w:type="pct"/>
                    <w:tcBorders>
                      <w:bottom w:val="single" w:sz="6" w:space="0" w:color="auto"/>
                    </w:tcBorders>
                    <w:shd w:val="clear" w:color="auto" w:fill="auto"/>
                    <w:vAlign w:val="center"/>
                  </w:tcPr>
                  <w:p w:rsidR="00ED2DC7" w:rsidRDefault="00ED2DC7">
                    <w:pPr>
                      <w:jc w:val="center"/>
                    </w:pPr>
                    <w:r>
                      <w:rPr>
                        <w:rFonts w:hint="eastAsia"/>
                      </w:rPr>
                      <w:t>减值准备</w:t>
                    </w:r>
                  </w:p>
                </w:tc>
              </w:sdtContent>
            </w:sdt>
            <w:sdt>
              <w:sdtPr>
                <w:tag w:val="_PLD_3db48da0eacd49568929884577dae51b"/>
                <w:id w:val="-521320738"/>
                <w:lock w:val="sdtLocked"/>
              </w:sdtPr>
              <w:sdtContent>
                <w:tc>
                  <w:tcPr>
                    <w:tcW w:w="809" w:type="pct"/>
                    <w:tcBorders>
                      <w:bottom w:val="single" w:sz="6" w:space="0" w:color="auto"/>
                    </w:tcBorders>
                    <w:shd w:val="clear" w:color="auto" w:fill="auto"/>
                    <w:vAlign w:val="center"/>
                  </w:tcPr>
                  <w:p w:rsidR="00ED2DC7" w:rsidRDefault="00ED2DC7">
                    <w:pPr>
                      <w:jc w:val="center"/>
                    </w:pPr>
                    <w:r>
                      <w:rPr>
                        <w:rFonts w:hint="eastAsia"/>
                      </w:rPr>
                      <w:t>账面价值</w:t>
                    </w:r>
                  </w:p>
                </w:tc>
              </w:sdtContent>
            </w:sdt>
            <w:sdt>
              <w:sdtPr>
                <w:tag w:val="_PLD_00d8a1d3b6754b52929b2c46a2e716c9"/>
                <w:id w:val="65535526"/>
                <w:lock w:val="sdtLocked"/>
              </w:sdtPr>
              <w:sdtContent>
                <w:tc>
                  <w:tcPr>
                    <w:tcW w:w="809" w:type="pct"/>
                    <w:tcBorders>
                      <w:bottom w:val="single" w:sz="6" w:space="0" w:color="auto"/>
                    </w:tcBorders>
                    <w:shd w:val="clear" w:color="auto" w:fill="auto"/>
                    <w:vAlign w:val="center"/>
                  </w:tcPr>
                  <w:p w:rsidR="00ED2DC7" w:rsidRDefault="00ED2DC7">
                    <w:pPr>
                      <w:jc w:val="center"/>
                    </w:pPr>
                    <w:r>
                      <w:rPr>
                        <w:rFonts w:hint="eastAsia"/>
                      </w:rPr>
                      <w:t>账面余额</w:t>
                    </w:r>
                  </w:p>
                </w:tc>
              </w:sdtContent>
            </w:sdt>
            <w:sdt>
              <w:sdtPr>
                <w:tag w:val="_PLD_0f2c77fc41ea456bab34653dee178805"/>
                <w:id w:val="2039000586"/>
                <w:lock w:val="sdtLocked"/>
              </w:sdtPr>
              <w:sdtContent>
                <w:tc>
                  <w:tcPr>
                    <w:tcW w:w="690" w:type="pct"/>
                    <w:tcBorders>
                      <w:bottom w:val="single" w:sz="6" w:space="0" w:color="auto"/>
                    </w:tcBorders>
                    <w:shd w:val="clear" w:color="auto" w:fill="auto"/>
                    <w:vAlign w:val="center"/>
                  </w:tcPr>
                  <w:p w:rsidR="00ED2DC7" w:rsidRDefault="00ED2DC7">
                    <w:pPr>
                      <w:jc w:val="center"/>
                    </w:pPr>
                    <w:r>
                      <w:rPr>
                        <w:rFonts w:hint="eastAsia"/>
                      </w:rPr>
                      <w:t>减值准备</w:t>
                    </w:r>
                  </w:p>
                </w:tc>
              </w:sdtContent>
            </w:sdt>
            <w:sdt>
              <w:sdtPr>
                <w:tag w:val="_PLD_9ae07ed9769c419fa280d4c5ad3f03d7"/>
                <w:id w:val="385614986"/>
                <w:lock w:val="sdtLocked"/>
              </w:sdtPr>
              <w:sdtContent>
                <w:tc>
                  <w:tcPr>
                    <w:tcW w:w="809" w:type="pct"/>
                    <w:tcBorders>
                      <w:bottom w:val="single" w:sz="6" w:space="0" w:color="auto"/>
                    </w:tcBorders>
                    <w:shd w:val="clear" w:color="auto" w:fill="auto"/>
                    <w:vAlign w:val="center"/>
                  </w:tcPr>
                  <w:p w:rsidR="00ED2DC7" w:rsidRDefault="00ED2DC7">
                    <w:pPr>
                      <w:jc w:val="center"/>
                    </w:pPr>
                    <w:r>
                      <w:rPr>
                        <w:rFonts w:hint="eastAsia"/>
                      </w:rPr>
                      <w:t>账面价值</w:t>
                    </w:r>
                  </w:p>
                </w:tc>
              </w:sdtContent>
            </w:sdt>
          </w:tr>
          <w:tr w:rsidR="00E1002E" w:rsidTr="00B637B2">
            <w:trPr>
              <w:cantSplit/>
            </w:trPr>
            <w:sdt>
              <w:sdtPr>
                <w:tag w:val="_PLD_b2ce03f2519c40d0a152124161e4337f"/>
                <w:id w:val="1915121572"/>
                <w:lock w:val="sdtLocked"/>
              </w:sdtPr>
              <w:sdtContent>
                <w:tc>
                  <w:tcPr>
                    <w:tcW w:w="383" w:type="pct"/>
                    <w:shd w:val="clear" w:color="auto" w:fill="auto"/>
                  </w:tcPr>
                  <w:p w:rsidR="00E1002E" w:rsidRDefault="00E1002E" w:rsidP="00E1002E">
                    <w:r>
                      <w:rPr>
                        <w:rFonts w:hint="eastAsia"/>
                      </w:rPr>
                      <w:t>对子公司投资</w:t>
                    </w:r>
                  </w:p>
                </w:tc>
              </w:sdtContent>
            </w:sdt>
            <w:tc>
              <w:tcPr>
                <w:tcW w:w="809" w:type="pct"/>
                <w:shd w:val="clear" w:color="auto" w:fill="auto"/>
                <w:vAlign w:val="center"/>
              </w:tcPr>
              <w:p w:rsidR="00E1002E" w:rsidRPr="007431CA" w:rsidRDefault="00E1002E" w:rsidP="00B637B2">
                <w:pPr>
                  <w:jc w:val="right"/>
                </w:pPr>
                <w:r w:rsidRPr="007431CA">
                  <w:t>3,223,738,680</w:t>
                </w:r>
              </w:p>
            </w:tc>
            <w:tc>
              <w:tcPr>
                <w:tcW w:w="690" w:type="pct"/>
                <w:shd w:val="clear" w:color="auto" w:fill="auto"/>
                <w:vAlign w:val="center"/>
              </w:tcPr>
              <w:p w:rsidR="00E1002E" w:rsidRPr="007431CA" w:rsidRDefault="00E1002E" w:rsidP="00B637B2">
                <w:pPr>
                  <w:jc w:val="right"/>
                </w:pPr>
                <w:r w:rsidRPr="007431CA">
                  <w:t>115,062,971</w:t>
                </w:r>
              </w:p>
            </w:tc>
            <w:tc>
              <w:tcPr>
                <w:tcW w:w="809" w:type="pct"/>
                <w:shd w:val="clear" w:color="auto" w:fill="auto"/>
                <w:vAlign w:val="center"/>
              </w:tcPr>
              <w:p w:rsidR="00E1002E" w:rsidRPr="007431CA" w:rsidRDefault="00E1002E" w:rsidP="00B637B2">
                <w:pPr>
                  <w:jc w:val="right"/>
                </w:pPr>
                <w:r w:rsidRPr="007431CA">
                  <w:t>3,108,675,709</w:t>
                </w:r>
              </w:p>
            </w:tc>
            <w:tc>
              <w:tcPr>
                <w:tcW w:w="809" w:type="pct"/>
                <w:shd w:val="clear" w:color="auto" w:fill="auto"/>
                <w:vAlign w:val="center"/>
              </w:tcPr>
              <w:p w:rsidR="00E1002E" w:rsidRPr="007431CA" w:rsidRDefault="00E1002E" w:rsidP="00B637B2">
                <w:pPr>
                  <w:jc w:val="right"/>
                </w:pPr>
                <w:r w:rsidRPr="007431CA">
                  <w:t>3,154,538,680</w:t>
                </w:r>
              </w:p>
            </w:tc>
            <w:tc>
              <w:tcPr>
                <w:tcW w:w="690" w:type="pct"/>
                <w:shd w:val="clear" w:color="auto" w:fill="auto"/>
                <w:vAlign w:val="center"/>
              </w:tcPr>
              <w:p w:rsidR="00E1002E" w:rsidRPr="007431CA" w:rsidRDefault="00E1002E" w:rsidP="00B637B2">
                <w:pPr>
                  <w:jc w:val="right"/>
                </w:pPr>
                <w:r w:rsidRPr="007431CA">
                  <w:t>115,062,971</w:t>
                </w:r>
              </w:p>
            </w:tc>
            <w:tc>
              <w:tcPr>
                <w:tcW w:w="809" w:type="pct"/>
                <w:shd w:val="clear" w:color="auto" w:fill="auto"/>
                <w:vAlign w:val="center"/>
              </w:tcPr>
              <w:p w:rsidR="00E1002E" w:rsidRDefault="00E1002E" w:rsidP="00B637B2">
                <w:pPr>
                  <w:jc w:val="right"/>
                </w:pPr>
                <w:r w:rsidRPr="007431CA">
                  <w:t>3,039,475,709</w:t>
                </w:r>
              </w:p>
            </w:tc>
          </w:tr>
          <w:tr w:rsidR="00E1002E" w:rsidTr="00B637B2">
            <w:trPr>
              <w:cantSplit/>
            </w:trPr>
            <w:sdt>
              <w:sdtPr>
                <w:tag w:val="_PLD_da68a71aef6a46449e56205bf88b68ae"/>
                <w:id w:val="1372495432"/>
                <w:lock w:val="sdtLocked"/>
              </w:sdtPr>
              <w:sdtContent>
                <w:tc>
                  <w:tcPr>
                    <w:tcW w:w="383" w:type="pct"/>
                    <w:shd w:val="clear" w:color="auto" w:fill="auto"/>
                  </w:tcPr>
                  <w:p w:rsidR="00E1002E" w:rsidRDefault="00E1002E" w:rsidP="00E1002E">
                    <w:r>
                      <w:rPr>
                        <w:rFonts w:hint="eastAsia"/>
                      </w:rPr>
                      <w:t>对联营、合营企业投资</w:t>
                    </w:r>
                  </w:p>
                </w:tc>
              </w:sdtContent>
            </w:sdt>
            <w:tc>
              <w:tcPr>
                <w:tcW w:w="809" w:type="pct"/>
                <w:shd w:val="clear" w:color="auto" w:fill="auto"/>
                <w:vAlign w:val="center"/>
              </w:tcPr>
              <w:p w:rsidR="00E1002E" w:rsidRPr="00177CC2" w:rsidRDefault="00E1002E" w:rsidP="00B637B2">
                <w:pPr>
                  <w:jc w:val="right"/>
                </w:pPr>
                <w:r w:rsidRPr="00177CC2">
                  <w:t>1,566,848,028</w:t>
                </w:r>
              </w:p>
            </w:tc>
            <w:tc>
              <w:tcPr>
                <w:tcW w:w="690" w:type="pct"/>
                <w:shd w:val="clear" w:color="auto" w:fill="auto"/>
                <w:vAlign w:val="center"/>
              </w:tcPr>
              <w:p w:rsidR="00E1002E" w:rsidRPr="00177CC2" w:rsidRDefault="00E1002E" w:rsidP="00B637B2">
                <w:pPr>
                  <w:jc w:val="right"/>
                </w:pPr>
                <w:r w:rsidRPr="00177CC2">
                  <w:t>-</w:t>
                </w:r>
              </w:p>
            </w:tc>
            <w:tc>
              <w:tcPr>
                <w:tcW w:w="809" w:type="pct"/>
                <w:shd w:val="clear" w:color="auto" w:fill="auto"/>
                <w:vAlign w:val="center"/>
              </w:tcPr>
              <w:p w:rsidR="00E1002E" w:rsidRPr="00177CC2" w:rsidRDefault="00E1002E" w:rsidP="00B637B2">
                <w:pPr>
                  <w:jc w:val="right"/>
                </w:pPr>
                <w:r w:rsidRPr="00177CC2">
                  <w:t>1,566,848,028</w:t>
                </w:r>
              </w:p>
            </w:tc>
            <w:tc>
              <w:tcPr>
                <w:tcW w:w="809" w:type="pct"/>
                <w:shd w:val="clear" w:color="auto" w:fill="auto"/>
                <w:vAlign w:val="center"/>
              </w:tcPr>
              <w:p w:rsidR="00E1002E" w:rsidRPr="00177CC2" w:rsidRDefault="00E1002E" w:rsidP="00B637B2">
                <w:pPr>
                  <w:jc w:val="right"/>
                </w:pPr>
                <w:r w:rsidRPr="00177CC2">
                  <w:t>1,570,828,835</w:t>
                </w:r>
              </w:p>
            </w:tc>
            <w:tc>
              <w:tcPr>
                <w:tcW w:w="690" w:type="pct"/>
                <w:shd w:val="clear" w:color="auto" w:fill="auto"/>
                <w:vAlign w:val="center"/>
              </w:tcPr>
              <w:p w:rsidR="00E1002E" w:rsidRPr="00177CC2" w:rsidRDefault="00E1002E" w:rsidP="00B637B2">
                <w:pPr>
                  <w:jc w:val="right"/>
                </w:pPr>
                <w:r w:rsidRPr="00177CC2">
                  <w:t>-</w:t>
                </w:r>
              </w:p>
            </w:tc>
            <w:tc>
              <w:tcPr>
                <w:tcW w:w="809" w:type="pct"/>
                <w:shd w:val="clear" w:color="auto" w:fill="auto"/>
                <w:vAlign w:val="center"/>
              </w:tcPr>
              <w:p w:rsidR="00E1002E" w:rsidRDefault="00E1002E" w:rsidP="00B637B2">
                <w:pPr>
                  <w:jc w:val="right"/>
                </w:pPr>
                <w:r w:rsidRPr="00177CC2">
                  <w:t>1,570,828,835</w:t>
                </w:r>
              </w:p>
            </w:tc>
          </w:tr>
          <w:tr w:rsidR="00E1002E" w:rsidTr="00B637B2">
            <w:trPr>
              <w:cantSplit/>
            </w:trPr>
            <w:sdt>
              <w:sdtPr>
                <w:tag w:val="_PLD_5c8b8837c4fd4f29a39327cb72d5dcbf"/>
                <w:id w:val="-1991016103"/>
                <w:lock w:val="sdtLocked"/>
              </w:sdtPr>
              <w:sdtContent>
                <w:tc>
                  <w:tcPr>
                    <w:tcW w:w="383" w:type="pct"/>
                    <w:shd w:val="clear" w:color="auto" w:fill="auto"/>
                    <w:vAlign w:val="center"/>
                  </w:tcPr>
                  <w:p w:rsidR="00E1002E" w:rsidRDefault="00E1002E" w:rsidP="00E1002E">
                    <w:pPr>
                      <w:jc w:val="center"/>
                    </w:pPr>
                    <w:r>
                      <w:rPr>
                        <w:rFonts w:hint="eastAsia"/>
                      </w:rPr>
                      <w:t>合计</w:t>
                    </w:r>
                  </w:p>
                </w:tc>
              </w:sdtContent>
            </w:sdt>
            <w:tc>
              <w:tcPr>
                <w:tcW w:w="809" w:type="pct"/>
                <w:shd w:val="clear" w:color="auto" w:fill="auto"/>
                <w:vAlign w:val="center"/>
              </w:tcPr>
              <w:p w:rsidR="00E1002E" w:rsidRPr="0058332A" w:rsidRDefault="00E1002E" w:rsidP="00B637B2">
                <w:pPr>
                  <w:jc w:val="right"/>
                </w:pPr>
                <w:r w:rsidRPr="0058332A">
                  <w:t>4,790,586,708</w:t>
                </w:r>
              </w:p>
            </w:tc>
            <w:tc>
              <w:tcPr>
                <w:tcW w:w="690" w:type="pct"/>
                <w:shd w:val="clear" w:color="auto" w:fill="auto"/>
                <w:vAlign w:val="center"/>
              </w:tcPr>
              <w:p w:rsidR="00E1002E" w:rsidRPr="0058332A" w:rsidRDefault="00E1002E" w:rsidP="00B637B2">
                <w:pPr>
                  <w:jc w:val="right"/>
                </w:pPr>
                <w:r w:rsidRPr="0058332A">
                  <w:t>115,062,971</w:t>
                </w:r>
              </w:p>
            </w:tc>
            <w:tc>
              <w:tcPr>
                <w:tcW w:w="809" w:type="pct"/>
                <w:shd w:val="clear" w:color="auto" w:fill="auto"/>
                <w:vAlign w:val="center"/>
              </w:tcPr>
              <w:p w:rsidR="00E1002E" w:rsidRPr="0058332A" w:rsidRDefault="00E1002E" w:rsidP="00B637B2">
                <w:pPr>
                  <w:jc w:val="right"/>
                </w:pPr>
                <w:r w:rsidRPr="0058332A">
                  <w:t>4,675,523,737</w:t>
                </w:r>
              </w:p>
            </w:tc>
            <w:tc>
              <w:tcPr>
                <w:tcW w:w="809" w:type="pct"/>
                <w:shd w:val="clear" w:color="auto" w:fill="auto"/>
                <w:vAlign w:val="center"/>
              </w:tcPr>
              <w:p w:rsidR="00E1002E" w:rsidRPr="0058332A" w:rsidRDefault="00E1002E" w:rsidP="00B637B2">
                <w:pPr>
                  <w:jc w:val="right"/>
                </w:pPr>
                <w:r w:rsidRPr="0058332A">
                  <w:t>4,725,367,515</w:t>
                </w:r>
              </w:p>
            </w:tc>
            <w:tc>
              <w:tcPr>
                <w:tcW w:w="690" w:type="pct"/>
                <w:shd w:val="clear" w:color="auto" w:fill="auto"/>
                <w:vAlign w:val="center"/>
              </w:tcPr>
              <w:p w:rsidR="00E1002E" w:rsidRPr="0058332A" w:rsidRDefault="00E1002E" w:rsidP="00B637B2">
                <w:pPr>
                  <w:jc w:val="right"/>
                </w:pPr>
                <w:r w:rsidRPr="0058332A">
                  <w:t>115,062,971</w:t>
                </w:r>
              </w:p>
            </w:tc>
            <w:tc>
              <w:tcPr>
                <w:tcW w:w="809" w:type="pct"/>
                <w:shd w:val="clear" w:color="auto" w:fill="auto"/>
                <w:vAlign w:val="center"/>
              </w:tcPr>
              <w:p w:rsidR="00E1002E" w:rsidRDefault="00E1002E" w:rsidP="00B637B2">
                <w:pPr>
                  <w:jc w:val="right"/>
                </w:pPr>
                <w:r w:rsidRPr="0058332A">
                  <w:t>4,610,304,544</w:t>
                </w:r>
              </w:p>
            </w:tc>
          </w:tr>
        </w:tbl>
        <w:p w:rsidR="00ED2DC7" w:rsidRDefault="000D0A99">
          <w:pPr>
            <w:rPr>
              <w:szCs w:val="21"/>
            </w:rPr>
          </w:pPr>
        </w:p>
      </w:sdtContent>
    </w:sdt>
    <w:sdt>
      <w:sdtPr>
        <w:rPr>
          <w:rFonts w:ascii="宋体" w:hAnsi="宋体" w:cs="宋体" w:hint="eastAsia"/>
          <w:b w:val="0"/>
          <w:bCs w:val="0"/>
          <w:kern w:val="0"/>
          <w:szCs w:val="24"/>
        </w:rPr>
        <w:alias w:val="模块:对子公司投资"/>
        <w:tag w:val="_GBC_354d808d545e41aab5b25112222d90f9"/>
        <w:id w:val="492538728"/>
        <w:lock w:val="sdtLocked"/>
        <w:placeholder>
          <w:docPart w:val="GBC22222222222222222222222222222"/>
        </w:placeholder>
      </w:sdtPr>
      <w:sdtEndPr>
        <w:rPr>
          <w:szCs w:val="21"/>
        </w:rPr>
      </w:sdtEndPr>
      <w:sdtContent>
        <w:p w:rsidR="00ED2DC7" w:rsidRPr="007A3F89" w:rsidRDefault="00ED2DC7" w:rsidP="00036BDC">
          <w:pPr>
            <w:pStyle w:val="affffffffffffffffff2"/>
            <w:numPr>
              <w:ilvl w:val="0"/>
              <w:numId w:val="104"/>
            </w:numPr>
          </w:pPr>
          <w:r w:rsidRPr="007A3F89">
            <w:rPr>
              <w:rFonts w:hint="eastAsia"/>
            </w:rPr>
            <w:t>对子公司投资</w:t>
          </w:r>
        </w:p>
        <w:sdt>
          <w:sdtPr>
            <w:alias w:val="是否适用：母公司对子公司投资[双击切换]"/>
            <w:tag w:val="_GBC_c52cee49247d42a9a79deabbd4c8635c"/>
            <w:id w:val="616718943"/>
            <w:lock w:val="sdtContentLocked"/>
            <w:placeholder>
              <w:docPart w:val="GBC22222222222222222222222222222"/>
            </w:placeholder>
          </w:sdtPr>
          <w:sdtContent>
            <w:p w:rsidR="00ED2DC7" w:rsidRDefault="00ED2DC7">
              <w:r>
                <w:fldChar w:fldCharType="begin"/>
              </w:r>
              <w:r w:rsidR="00C46973">
                <w:instrText xml:space="preserve"> MACROBUTTON  SnrToggleCheckbox √适用 </w:instrText>
              </w:r>
              <w:r>
                <w:fldChar w:fldCharType="end"/>
              </w:r>
              <w:r>
                <w:fldChar w:fldCharType="begin"/>
              </w:r>
              <w:r w:rsidR="00C46973">
                <w:instrText xml:space="preserve"> MACROBUTTON  SnrToggleCheckbox □不适用 </w:instrText>
              </w:r>
              <w:r>
                <w:fldChar w:fldCharType="end"/>
              </w:r>
            </w:p>
          </w:sdtContent>
        </w:sdt>
        <w:p w:rsidR="00ED2DC7" w:rsidRDefault="00ED2DC7">
          <w:pPr>
            <w:jc w:val="right"/>
            <w:rPr>
              <w:szCs w:val="21"/>
            </w:rPr>
          </w:pPr>
          <w:r>
            <w:rPr>
              <w:rFonts w:hint="eastAsia"/>
              <w:szCs w:val="21"/>
            </w:rPr>
            <w:t>单位：</w:t>
          </w:r>
          <w:sdt>
            <w:sdtPr>
              <w:rPr>
                <w:rFonts w:hint="eastAsia"/>
                <w:szCs w:val="21"/>
              </w:rPr>
              <w:alias w:val="单位：母公司财务附注：对子公司投资"/>
              <w:tag w:val="_GBC_84c410d0b81f42e3adfddc3699487310"/>
              <w:id w:val="5312418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hint="eastAsia"/>
                  <w:szCs w:val="21"/>
                </w:rPr>
                <w:t>元</w:t>
              </w:r>
            </w:sdtContent>
          </w:sdt>
          <w:r>
            <w:rPr>
              <w:rFonts w:hint="eastAsia"/>
              <w:szCs w:val="21"/>
            </w:rPr>
            <w:t xml:space="preserve">  币种：</w:t>
          </w:r>
          <w:sdt>
            <w:sdtPr>
              <w:rPr>
                <w:rFonts w:hint="eastAsia"/>
                <w:szCs w:val="21"/>
              </w:rPr>
              <w:alias w:val="币种：母公司财务附注：对子公司投资"/>
              <w:tag w:val="_GBC_97fad72310ba4b849377b0e1cebf7303"/>
              <w:id w:val="7793803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szCs w:val="21"/>
                </w:rPr>
                <w:t>人民币</w:t>
              </w:r>
            </w:sdtContent>
          </w:sdt>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1"/>
            <w:gridCol w:w="1386"/>
            <w:gridCol w:w="1116"/>
            <w:gridCol w:w="1026"/>
            <w:gridCol w:w="1386"/>
            <w:gridCol w:w="982"/>
            <w:gridCol w:w="1206"/>
          </w:tblGrid>
          <w:tr w:rsidR="0084048C" w:rsidTr="009B410C">
            <w:sdt>
              <w:sdtPr>
                <w:rPr>
                  <w:sz w:val="18"/>
                  <w:szCs w:val="18"/>
                </w:rPr>
                <w:tag w:val="_PLD_c6f1ebfed2274883870089cc90c0b5b3"/>
                <w:id w:val="76417929"/>
                <w:lock w:val="sdtLocked"/>
              </w:sdtPr>
              <w:sdtContent>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rsidR="0084048C" w:rsidRPr="007A3F89" w:rsidRDefault="0084048C" w:rsidP="003948B1">
                    <w:pPr>
                      <w:jc w:val="center"/>
                      <w:rPr>
                        <w:sz w:val="18"/>
                        <w:szCs w:val="18"/>
                      </w:rPr>
                    </w:pPr>
                    <w:r w:rsidRPr="007A3F89">
                      <w:rPr>
                        <w:rFonts w:hint="eastAsia"/>
                        <w:sz w:val="18"/>
                        <w:szCs w:val="18"/>
                      </w:rPr>
                      <w:t>被投资单位</w:t>
                    </w:r>
                  </w:p>
                </w:tc>
              </w:sdtContent>
            </w:sdt>
            <w:sdt>
              <w:sdtPr>
                <w:rPr>
                  <w:sz w:val="18"/>
                  <w:szCs w:val="18"/>
                </w:rPr>
                <w:tag w:val="_PLD_c8b6275a3567432ba7b63d4485a9cce5"/>
                <w:id w:val="-859199066"/>
                <w:lock w:val="sdtLocked"/>
              </w:sdtPr>
              <w:sdtContent>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rsidR="0084048C" w:rsidRPr="007A3F89" w:rsidRDefault="0084048C" w:rsidP="003948B1">
                    <w:pPr>
                      <w:jc w:val="center"/>
                      <w:rPr>
                        <w:sz w:val="18"/>
                        <w:szCs w:val="18"/>
                      </w:rPr>
                    </w:pPr>
                    <w:r w:rsidRPr="007A3F89">
                      <w:rPr>
                        <w:rFonts w:hint="eastAsia"/>
                        <w:sz w:val="18"/>
                        <w:szCs w:val="18"/>
                      </w:rPr>
                      <w:t>期初余额</w:t>
                    </w:r>
                  </w:p>
                </w:tc>
              </w:sdtContent>
            </w:sdt>
            <w:sdt>
              <w:sdtPr>
                <w:rPr>
                  <w:sz w:val="18"/>
                  <w:szCs w:val="18"/>
                </w:rPr>
                <w:tag w:val="_PLD_a192e1f764d54f39ad94a065019bc4f2"/>
                <w:id w:val="-1721128470"/>
                <w:lock w:val="sdtLocked"/>
              </w:sdtPr>
              <w:sdtContent>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84048C" w:rsidRPr="007A3F89" w:rsidRDefault="0084048C" w:rsidP="003948B1">
                    <w:pPr>
                      <w:jc w:val="center"/>
                      <w:rPr>
                        <w:sz w:val="18"/>
                        <w:szCs w:val="18"/>
                      </w:rPr>
                    </w:pPr>
                    <w:r w:rsidRPr="007A3F89">
                      <w:rPr>
                        <w:rFonts w:hint="eastAsia"/>
                        <w:sz w:val="18"/>
                        <w:szCs w:val="18"/>
                      </w:rPr>
                      <w:t>本期增加</w:t>
                    </w:r>
                  </w:p>
                </w:tc>
              </w:sdtContent>
            </w:sdt>
            <w:sdt>
              <w:sdtPr>
                <w:rPr>
                  <w:sz w:val="18"/>
                  <w:szCs w:val="18"/>
                </w:rPr>
                <w:tag w:val="_PLD_3a74d3e1bc0e43debb3fdd0f1f6de769"/>
                <w:id w:val="-412625033"/>
                <w:lock w:val="sdtLocked"/>
              </w:sdtPr>
              <w:sdtContent>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84048C" w:rsidRPr="007A3F89" w:rsidRDefault="0084048C" w:rsidP="003948B1">
                    <w:pPr>
                      <w:jc w:val="center"/>
                      <w:rPr>
                        <w:sz w:val="18"/>
                        <w:szCs w:val="18"/>
                      </w:rPr>
                    </w:pPr>
                    <w:r w:rsidRPr="007A3F89">
                      <w:rPr>
                        <w:rFonts w:hint="eastAsia"/>
                        <w:sz w:val="18"/>
                        <w:szCs w:val="18"/>
                      </w:rPr>
                      <w:t>本期减少</w:t>
                    </w:r>
                  </w:p>
                </w:tc>
              </w:sdtContent>
            </w:sdt>
            <w:sdt>
              <w:sdtPr>
                <w:rPr>
                  <w:sz w:val="18"/>
                  <w:szCs w:val="18"/>
                </w:rPr>
                <w:tag w:val="_PLD_62acff2435cd434284a753ea8ebfa201"/>
                <w:id w:val="1222872697"/>
                <w:lock w:val="sdtLocked"/>
              </w:sdtPr>
              <w:sdtContent>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rsidR="0084048C" w:rsidRPr="007A3F89" w:rsidRDefault="0084048C" w:rsidP="003948B1">
                    <w:pPr>
                      <w:jc w:val="center"/>
                      <w:rPr>
                        <w:sz w:val="18"/>
                        <w:szCs w:val="18"/>
                      </w:rPr>
                    </w:pPr>
                    <w:r w:rsidRPr="007A3F89">
                      <w:rPr>
                        <w:rFonts w:hint="eastAsia"/>
                        <w:sz w:val="18"/>
                        <w:szCs w:val="18"/>
                      </w:rPr>
                      <w:t>期末余额</w:t>
                    </w:r>
                  </w:p>
                </w:tc>
              </w:sdtContent>
            </w:sdt>
            <w:sdt>
              <w:sdtPr>
                <w:rPr>
                  <w:sz w:val="18"/>
                  <w:szCs w:val="18"/>
                </w:rPr>
                <w:tag w:val="_PLD_67b1a9b1d215409ebb6ceb131ad5e8bf"/>
                <w:id w:val="404573247"/>
                <w:lock w:val="sdtLocked"/>
              </w:sdtPr>
              <w:sdtContent>
                <w:tc>
                  <w:tcPr>
                    <w:tcW w:w="609" w:type="pct"/>
                    <w:tcBorders>
                      <w:top w:val="single" w:sz="4" w:space="0" w:color="auto"/>
                      <w:left w:val="single" w:sz="4" w:space="0" w:color="auto"/>
                      <w:bottom w:val="single" w:sz="4" w:space="0" w:color="auto"/>
                      <w:right w:val="single" w:sz="4" w:space="0" w:color="auto"/>
                    </w:tcBorders>
                    <w:shd w:val="clear" w:color="auto" w:fill="auto"/>
                    <w:vAlign w:val="center"/>
                  </w:tcPr>
                  <w:p w:rsidR="0084048C" w:rsidRPr="007A3F89" w:rsidRDefault="0084048C" w:rsidP="003948B1">
                    <w:pPr>
                      <w:jc w:val="center"/>
                      <w:rPr>
                        <w:sz w:val="18"/>
                        <w:szCs w:val="18"/>
                      </w:rPr>
                    </w:pPr>
                    <w:r w:rsidRPr="007A3F89">
                      <w:rPr>
                        <w:rFonts w:hint="eastAsia"/>
                        <w:sz w:val="18"/>
                        <w:szCs w:val="18"/>
                      </w:rPr>
                      <w:t>本期计提减值准备</w:t>
                    </w:r>
                  </w:p>
                </w:tc>
              </w:sdtContent>
            </w:sdt>
            <w:sdt>
              <w:sdtPr>
                <w:rPr>
                  <w:sz w:val="18"/>
                  <w:szCs w:val="18"/>
                </w:rPr>
                <w:tag w:val="_PLD_bfab2049a5684d7d922489b57382b080"/>
                <w:id w:val="1868945859"/>
                <w:lock w:val="sdtLocked"/>
              </w:sdtPr>
              <w:sdtContent>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4048C" w:rsidRPr="007A3F89" w:rsidRDefault="0084048C" w:rsidP="003948B1">
                    <w:pPr>
                      <w:jc w:val="center"/>
                      <w:rPr>
                        <w:sz w:val="18"/>
                        <w:szCs w:val="18"/>
                      </w:rPr>
                    </w:pPr>
                    <w:r w:rsidRPr="007A3F89">
                      <w:rPr>
                        <w:rFonts w:hint="eastAsia"/>
                        <w:sz w:val="18"/>
                        <w:szCs w:val="18"/>
                      </w:rPr>
                      <w:t>减值准备期末余额</w:t>
                    </w:r>
                  </w:p>
                </w:tc>
              </w:sdtContent>
            </w:sdt>
          </w:tr>
          <w:sdt>
            <w:sdtPr>
              <w:rPr>
                <w:rFonts w:asciiTheme="minorHAnsi" w:eastAsiaTheme="minorEastAsia" w:hAnsiTheme="minorHAnsi" w:cstheme="minorBidi"/>
                <w:kern w:val="2"/>
                <w:sz w:val="18"/>
                <w:szCs w:val="18"/>
              </w:rPr>
              <w:alias w:val="长期股权投资明细"/>
              <w:tag w:val="_GBC_daf82e8df55d4ba9bf351c25fd5a63c2"/>
              <w:id w:val="-2001349223"/>
              <w:lock w:val="sdtLocked"/>
            </w:sdtPr>
            <w:sdtContent>
              <w:tr w:rsidR="009B410C" w:rsidTr="00B637B2">
                <w:tc>
                  <w:tcPr>
                    <w:tcW w:w="1015"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9B410C">
                    <w:pPr>
                      <w:rPr>
                        <w:sz w:val="18"/>
                        <w:szCs w:val="18"/>
                      </w:rPr>
                    </w:pPr>
                    <w:r w:rsidRPr="007A3F89">
                      <w:rPr>
                        <w:sz w:val="18"/>
                        <w:szCs w:val="18"/>
                      </w:rPr>
                      <w:t>用友政务</w:t>
                    </w: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496,252,992</w:t>
                    </w: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496,252,992</w:t>
                    </w:r>
                  </w:p>
                </w:tc>
                <w:tc>
                  <w:tcPr>
                    <w:tcW w:w="609"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w:t>
                    </w:r>
                  </w:p>
                </w:tc>
                <w:tc>
                  <w:tcPr>
                    <w:tcW w:w="606"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r>
            </w:sdtContent>
          </w:sdt>
          <w:sdt>
            <w:sdtPr>
              <w:rPr>
                <w:rFonts w:asciiTheme="minorHAnsi" w:eastAsiaTheme="minorEastAsia" w:hAnsiTheme="minorHAnsi" w:cstheme="minorBidi"/>
                <w:kern w:val="2"/>
                <w:sz w:val="18"/>
                <w:szCs w:val="18"/>
              </w:rPr>
              <w:alias w:val="长期股权投资明细"/>
              <w:tag w:val="_GBC_daf82e8df55d4ba9bf351c25fd5a63c2"/>
              <w:id w:val="-1433659814"/>
              <w:lock w:val="sdtLocked"/>
            </w:sdtPr>
            <w:sdtContent>
              <w:tr w:rsidR="009B410C" w:rsidTr="00B637B2">
                <w:tc>
                  <w:tcPr>
                    <w:tcW w:w="1015"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9B410C">
                    <w:pPr>
                      <w:rPr>
                        <w:sz w:val="18"/>
                        <w:szCs w:val="18"/>
                      </w:rPr>
                    </w:pPr>
                    <w:r w:rsidRPr="007A3F89">
                      <w:rPr>
                        <w:sz w:val="18"/>
                        <w:szCs w:val="18"/>
                      </w:rPr>
                      <w:t>用友汽车</w:t>
                    </w: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486,090,000</w:t>
                    </w: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486,090,000</w:t>
                    </w:r>
                  </w:p>
                </w:tc>
                <w:tc>
                  <w:tcPr>
                    <w:tcW w:w="609"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w:t>
                    </w:r>
                  </w:p>
                </w:tc>
                <w:tc>
                  <w:tcPr>
                    <w:tcW w:w="606"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r>
            </w:sdtContent>
          </w:sdt>
          <w:sdt>
            <w:sdtPr>
              <w:rPr>
                <w:rFonts w:asciiTheme="minorHAnsi" w:eastAsiaTheme="minorEastAsia" w:hAnsiTheme="minorHAnsi" w:cstheme="minorBidi"/>
                <w:kern w:val="2"/>
                <w:sz w:val="18"/>
                <w:szCs w:val="18"/>
              </w:rPr>
              <w:alias w:val="长期股权投资明细"/>
              <w:tag w:val="_GBC_daf82e8df55d4ba9bf351c25fd5a63c2"/>
              <w:id w:val="-806242104"/>
              <w:lock w:val="sdtLocked"/>
            </w:sdtPr>
            <w:sdtContent>
              <w:tr w:rsidR="009B410C" w:rsidTr="00B637B2">
                <w:tc>
                  <w:tcPr>
                    <w:tcW w:w="1015"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9B410C">
                    <w:pPr>
                      <w:rPr>
                        <w:sz w:val="18"/>
                        <w:szCs w:val="18"/>
                      </w:rPr>
                    </w:pPr>
                    <w:r w:rsidRPr="007A3F89">
                      <w:rPr>
                        <w:sz w:val="18"/>
                        <w:szCs w:val="18"/>
                      </w:rPr>
                      <w:t>畅捷支付</w:t>
                    </w: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276,485,849</w:t>
                    </w: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276,485,849</w:t>
                    </w:r>
                  </w:p>
                </w:tc>
                <w:tc>
                  <w:tcPr>
                    <w:tcW w:w="609"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w:t>
                    </w:r>
                  </w:p>
                </w:tc>
                <w:tc>
                  <w:tcPr>
                    <w:tcW w:w="606"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r>
            </w:sdtContent>
          </w:sdt>
          <w:sdt>
            <w:sdtPr>
              <w:rPr>
                <w:rFonts w:asciiTheme="minorHAnsi" w:eastAsiaTheme="minorEastAsia" w:hAnsiTheme="minorHAnsi" w:cstheme="minorBidi"/>
                <w:kern w:val="2"/>
                <w:sz w:val="18"/>
                <w:szCs w:val="18"/>
              </w:rPr>
              <w:alias w:val="长期股权投资明细"/>
              <w:tag w:val="_GBC_daf82e8df55d4ba9bf351c25fd5a63c2"/>
              <w:id w:val="666673733"/>
              <w:lock w:val="sdtLocked"/>
            </w:sdtPr>
            <w:sdtContent>
              <w:tr w:rsidR="009B410C" w:rsidTr="00B637B2">
                <w:tc>
                  <w:tcPr>
                    <w:tcW w:w="1015"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9B410C">
                    <w:pPr>
                      <w:rPr>
                        <w:sz w:val="18"/>
                        <w:szCs w:val="18"/>
                      </w:rPr>
                    </w:pPr>
                    <w:r w:rsidRPr="007A3F89">
                      <w:rPr>
                        <w:sz w:val="18"/>
                        <w:szCs w:val="18"/>
                      </w:rPr>
                      <w:t>创新投资</w:t>
                    </w: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227,700,000</w:t>
                    </w: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227,700,000</w:t>
                    </w:r>
                  </w:p>
                </w:tc>
                <w:tc>
                  <w:tcPr>
                    <w:tcW w:w="609"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w:t>
                    </w:r>
                  </w:p>
                </w:tc>
                <w:tc>
                  <w:tcPr>
                    <w:tcW w:w="606"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r>
            </w:sdtContent>
          </w:sdt>
          <w:sdt>
            <w:sdtPr>
              <w:rPr>
                <w:rFonts w:asciiTheme="minorHAnsi" w:eastAsiaTheme="minorEastAsia" w:hAnsiTheme="minorHAnsi" w:cstheme="minorBidi"/>
                <w:kern w:val="2"/>
                <w:sz w:val="18"/>
                <w:szCs w:val="18"/>
              </w:rPr>
              <w:alias w:val="长期股权投资明细"/>
              <w:tag w:val="_GBC_daf82e8df55d4ba9bf351c25fd5a63c2"/>
              <w:id w:val="-1801992047"/>
              <w:lock w:val="sdtLocked"/>
            </w:sdtPr>
            <w:sdtContent>
              <w:tr w:rsidR="009B410C" w:rsidTr="00B637B2">
                <w:tc>
                  <w:tcPr>
                    <w:tcW w:w="1015"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9B410C">
                    <w:pPr>
                      <w:rPr>
                        <w:sz w:val="18"/>
                        <w:szCs w:val="18"/>
                      </w:rPr>
                    </w:pPr>
                    <w:r w:rsidRPr="007A3F89">
                      <w:rPr>
                        <w:sz w:val="18"/>
                        <w:szCs w:val="18"/>
                      </w:rPr>
                      <w:t>畅捷通</w:t>
                    </w: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220,060,623</w:t>
                    </w: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220,060,623</w:t>
                    </w:r>
                  </w:p>
                </w:tc>
                <w:tc>
                  <w:tcPr>
                    <w:tcW w:w="609"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w:t>
                    </w:r>
                  </w:p>
                </w:tc>
                <w:tc>
                  <w:tcPr>
                    <w:tcW w:w="606"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r>
            </w:sdtContent>
          </w:sdt>
          <w:sdt>
            <w:sdtPr>
              <w:rPr>
                <w:rFonts w:asciiTheme="minorHAnsi" w:eastAsiaTheme="minorEastAsia" w:hAnsiTheme="minorHAnsi" w:cstheme="minorBidi"/>
                <w:kern w:val="2"/>
                <w:sz w:val="18"/>
                <w:szCs w:val="18"/>
              </w:rPr>
              <w:alias w:val="长期股权投资明细"/>
              <w:tag w:val="_GBC_daf82e8df55d4ba9bf351c25fd5a63c2"/>
              <w:id w:val="-734237981"/>
              <w:lock w:val="sdtLocked"/>
            </w:sdtPr>
            <w:sdtContent>
              <w:tr w:rsidR="009B410C" w:rsidTr="00B637B2">
                <w:tc>
                  <w:tcPr>
                    <w:tcW w:w="1015"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9B410C">
                    <w:pPr>
                      <w:rPr>
                        <w:sz w:val="18"/>
                        <w:szCs w:val="18"/>
                      </w:rPr>
                    </w:pPr>
                    <w:r w:rsidRPr="007A3F89">
                      <w:rPr>
                        <w:sz w:val="18"/>
                        <w:szCs w:val="18"/>
                      </w:rPr>
                      <w:t>用友优普</w:t>
                    </w: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200,000,000</w:t>
                    </w: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200,000,000</w:t>
                    </w:r>
                  </w:p>
                </w:tc>
                <w:tc>
                  <w:tcPr>
                    <w:tcW w:w="609"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w:t>
                    </w:r>
                  </w:p>
                </w:tc>
                <w:tc>
                  <w:tcPr>
                    <w:tcW w:w="606"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r>
            </w:sdtContent>
          </w:sdt>
          <w:sdt>
            <w:sdtPr>
              <w:rPr>
                <w:rFonts w:asciiTheme="minorHAnsi" w:eastAsiaTheme="minorEastAsia" w:hAnsiTheme="minorHAnsi" w:cstheme="minorBidi"/>
                <w:kern w:val="2"/>
                <w:sz w:val="18"/>
                <w:szCs w:val="18"/>
              </w:rPr>
              <w:alias w:val="长期股权投资明细"/>
              <w:tag w:val="_GBC_daf82e8df55d4ba9bf351c25fd5a63c2"/>
              <w:id w:val="-290286502"/>
              <w:lock w:val="sdtLocked"/>
            </w:sdtPr>
            <w:sdtContent>
              <w:tr w:rsidR="009B410C" w:rsidTr="00B637B2">
                <w:tc>
                  <w:tcPr>
                    <w:tcW w:w="1015"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9B410C">
                    <w:pPr>
                      <w:rPr>
                        <w:sz w:val="18"/>
                        <w:szCs w:val="18"/>
                      </w:rPr>
                    </w:pPr>
                    <w:r w:rsidRPr="007A3F89">
                      <w:rPr>
                        <w:sz w:val="18"/>
                        <w:szCs w:val="18"/>
                      </w:rPr>
                      <w:t>秉钧网络</w:t>
                    </w: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175,000,000</w:t>
                    </w: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175,000,000</w:t>
                    </w:r>
                  </w:p>
                </w:tc>
                <w:tc>
                  <w:tcPr>
                    <w:tcW w:w="609" w:type="pct"/>
                    <w:tcBorders>
                      <w:top w:val="single" w:sz="4" w:space="0" w:color="auto"/>
                      <w:left w:val="single" w:sz="4" w:space="0" w:color="auto"/>
                      <w:bottom w:val="single" w:sz="4" w:space="0" w:color="auto"/>
                      <w:right w:val="single" w:sz="4" w:space="0" w:color="auto"/>
                    </w:tcBorders>
                    <w:vAlign w:val="center"/>
                  </w:tcPr>
                  <w:p w:rsidR="009B410C" w:rsidRPr="007A3F89" w:rsidRDefault="008F04CF" w:rsidP="00B637B2">
                    <w:pPr>
                      <w:jc w:val="right"/>
                      <w:rPr>
                        <w:sz w:val="18"/>
                        <w:szCs w:val="18"/>
                      </w:rPr>
                    </w:pPr>
                    <w:r>
                      <w:rPr>
                        <w:rFonts w:hint="eastAsia"/>
                        <w:sz w:val="18"/>
                        <w:szCs w:val="18"/>
                      </w:rPr>
                      <w:t>-</w:t>
                    </w:r>
                  </w:p>
                </w:tc>
                <w:tc>
                  <w:tcPr>
                    <w:tcW w:w="606" w:type="pct"/>
                    <w:tcBorders>
                      <w:top w:val="single" w:sz="4" w:space="0" w:color="auto"/>
                      <w:left w:val="single" w:sz="4" w:space="0" w:color="auto"/>
                      <w:bottom w:val="single" w:sz="4" w:space="0" w:color="auto"/>
                      <w:right w:val="single" w:sz="4" w:space="0" w:color="auto"/>
                    </w:tcBorders>
                    <w:vAlign w:val="center"/>
                  </w:tcPr>
                  <w:p w:rsidR="009B410C" w:rsidRPr="007A3F89" w:rsidRDefault="008F04CF" w:rsidP="00B637B2">
                    <w:pPr>
                      <w:jc w:val="right"/>
                      <w:rPr>
                        <w:sz w:val="18"/>
                        <w:szCs w:val="18"/>
                      </w:rPr>
                    </w:pPr>
                    <w:r w:rsidRPr="007A3F89">
                      <w:rPr>
                        <w:sz w:val="18"/>
                        <w:szCs w:val="18"/>
                      </w:rPr>
                      <w:t>43,671,000</w:t>
                    </w:r>
                  </w:p>
                </w:tc>
              </w:tr>
            </w:sdtContent>
          </w:sdt>
          <w:sdt>
            <w:sdtPr>
              <w:rPr>
                <w:rFonts w:asciiTheme="minorHAnsi" w:eastAsiaTheme="minorEastAsia" w:hAnsiTheme="minorHAnsi" w:cstheme="minorBidi"/>
                <w:kern w:val="2"/>
                <w:sz w:val="18"/>
                <w:szCs w:val="18"/>
              </w:rPr>
              <w:alias w:val="长期股权投资明细"/>
              <w:tag w:val="_GBC_daf82e8df55d4ba9bf351c25fd5a63c2"/>
              <w:id w:val="-1595934035"/>
              <w:lock w:val="sdtLocked"/>
            </w:sdtPr>
            <w:sdtContent>
              <w:tr w:rsidR="009B410C" w:rsidTr="00B637B2">
                <w:tc>
                  <w:tcPr>
                    <w:tcW w:w="1015"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9B410C">
                    <w:pPr>
                      <w:rPr>
                        <w:sz w:val="18"/>
                        <w:szCs w:val="18"/>
                      </w:rPr>
                    </w:pPr>
                    <w:r w:rsidRPr="007A3F89">
                      <w:rPr>
                        <w:sz w:val="18"/>
                        <w:szCs w:val="18"/>
                      </w:rPr>
                      <w:t>三亚用友</w:t>
                    </w: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100,000,000</w:t>
                    </w: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100,000,000</w:t>
                    </w:r>
                  </w:p>
                </w:tc>
                <w:tc>
                  <w:tcPr>
                    <w:tcW w:w="609"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w:t>
                    </w:r>
                  </w:p>
                </w:tc>
                <w:tc>
                  <w:tcPr>
                    <w:tcW w:w="606"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r>
            </w:sdtContent>
          </w:sdt>
          <w:sdt>
            <w:sdtPr>
              <w:rPr>
                <w:rFonts w:asciiTheme="minorHAnsi" w:eastAsiaTheme="minorEastAsia" w:hAnsiTheme="minorHAnsi" w:cstheme="minorBidi"/>
                <w:kern w:val="2"/>
                <w:sz w:val="18"/>
                <w:szCs w:val="18"/>
              </w:rPr>
              <w:alias w:val="长期股权投资明细"/>
              <w:tag w:val="_GBC_daf82e8df55d4ba9bf351c25fd5a63c2"/>
              <w:id w:val="741596974"/>
              <w:lock w:val="sdtLocked"/>
            </w:sdtPr>
            <w:sdtContent>
              <w:tr w:rsidR="009B410C" w:rsidTr="00B637B2">
                <w:tc>
                  <w:tcPr>
                    <w:tcW w:w="1015"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9B410C">
                    <w:pPr>
                      <w:rPr>
                        <w:sz w:val="18"/>
                        <w:szCs w:val="18"/>
                      </w:rPr>
                    </w:pPr>
                    <w:r w:rsidRPr="007A3F89">
                      <w:rPr>
                        <w:sz w:val="18"/>
                        <w:szCs w:val="18"/>
                      </w:rPr>
                      <w:t>用友医疗</w:t>
                    </w: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80,000,000</w:t>
                    </w: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80,000,000</w:t>
                    </w:r>
                  </w:p>
                </w:tc>
                <w:tc>
                  <w:tcPr>
                    <w:tcW w:w="609"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w:t>
                    </w:r>
                  </w:p>
                </w:tc>
                <w:tc>
                  <w:tcPr>
                    <w:tcW w:w="606"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r>
            </w:sdtContent>
          </w:sdt>
          <w:sdt>
            <w:sdtPr>
              <w:rPr>
                <w:rFonts w:asciiTheme="minorHAnsi" w:eastAsiaTheme="minorEastAsia" w:hAnsiTheme="minorHAnsi" w:cstheme="minorBidi"/>
                <w:kern w:val="2"/>
                <w:sz w:val="18"/>
                <w:szCs w:val="18"/>
              </w:rPr>
              <w:alias w:val="长期股权投资明细"/>
              <w:tag w:val="_GBC_daf82e8df55d4ba9bf351c25fd5a63c2"/>
              <w:id w:val="1377887580"/>
              <w:lock w:val="sdtLocked"/>
            </w:sdtPr>
            <w:sdtContent>
              <w:tr w:rsidR="009B410C" w:rsidTr="00B637B2">
                <w:tc>
                  <w:tcPr>
                    <w:tcW w:w="1015"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9B410C">
                    <w:pPr>
                      <w:rPr>
                        <w:sz w:val="18"/>
                        <w:szCs w:val="18"/>
                      </w:rPr>
                    </w:pPr>
                    <w:r w:rsidRPr="007A3F89">
                      <w:rPr>
                        <w:sz w:val="18"/>
                        <w:szCs w:val="18"/>
                      </w:rPr>
                      <w:t>用友(南昌)</w:t>
                    </w: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80,000,000</w:t>
                    </w: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80,000,000</w:t>
                    </w:r>
                  </w:p>
                </w:tc>
                <w:tc>
                  <w:tcPr>
                    <w:tcW w:w="609"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w:t>
                    </w:r>
                  </w:p>
                </w:tc>
                <w:tc>
                  <w:tcPr>
                    <w:tcW w:w="606"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r>
            </w:sdtContent>
          </w:sdt>
          <w:sdt>
            <w:sdtPr>
              <w:rPr>
                <w:rFonts w:asciiTheme="minorHAnsi" w:eastAsiaTheme="minorEastAsia" w:hAnsiTheme="minorHAnsi" w:cstheme="minorBidi"/>
                <w:kern w:val="2"/>
                <w:sz w:val="18"/>
                <w:szCs w:val="18"/>
              </w:rPr>
              <w:alias w:val="长期股权投资明细"/>
              <w:tag w:val="_GBC_daf82e8df55d4ba9bf351c25fd5a63c2"/>
              <w:id w:val="1968781687"/>
              <w:lock w:val="sdtLocked"/>
            </w:sdtPr>
            <w:sdtContent>
              <w:tr w:rsidR="009B410C" w:rsidTr="00B637B2">
                <w:tc>
                  <w:tcPr>
                    <w:tcW w:w="1015"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9B410C">
                    <w:pPr>
                      <w:rPr>
                        <w:sz w:val="18"/>
                        <w:szCs w:val="18"/>
                      </w:rPr>
                    </w:pPr>
                    <w:r w:rsidRPr="007A3F89">
                      <w:rPr>
                        <w:sz w:val="18"/>
                        <w:szCs w:val="18"/>
                      </w:rPr>
                      <w:t>深圳用友</w:t>
                    </w: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63,000,000</w:t>
                    </w: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63,000,000</w:t>
                    </w:r>
                  </w:p>
                </w:tc>
                <w:tc>
                  <w:tcPr>
                    <w:tcW w:w="609"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w:t>
                    </w:r>
                  </w:p>
                </w:tc>
                <w:tc>
                  <w:tcPr>
                    <w:tcW w:w="606"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r>
            </w:sdtContent>
          </w:sdt>
          <w:sdt>
            <w:sdtPr>
              <w:rPr>
                <w:rFonts w:asciiTheme="minorHAnsi" w:eastAsiaTheme="minorEastAsia" w:hAnsiTheme="minorHAnsi" w:cstheme="minorBidi"/>
                <w:kern w:val="2"/>
                <w:sz w:val="18"/>
                <w:szCs w:val="18"/>
              </w:rPr>
              <w:alias w:val="长期股权投资明细"/>
              <w:tag w:val="_GBC_daf82e8df55d4ba9bf351c25fd5a63c2"/>
              <w:id w:val="-306010831"/>
              <w:lock w:val="sdtLocked"/>
            </w:sdtPr>
            <w:sdtContent>
              <w:tr w:rsidR="009B410C" w:rsidTr="00B637B2">
                <w:tc>
                  <w:tcPr>
                    <w:tcW w:w="1015"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9B410C">
                    <w:pPr>
                      <w:rPr>
                        <w:sz w:val="18"/>
                        <w:szCs w:val="18"/>
                      </w:rPr>
                    </w:pPr>
                    <w:r w:rsidRPr="007A3F89">
                      <w:rPr>
                        <w:sz w:val="18"/>
                        <w:szCs w:val="18"/>
                      </w:rPr>
                      <w:t>用友超客</w:t>
                    </w: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60,000,000</w:t>
                    </w: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60,000,000</w:t>
                    </w:r>
                  </w:p>
                </w:tc>
                <w:tc>
                  <w:tcPr>
                    <w:tcW w:w="609" w:type="pct"/>
                    <w:tcBorders>
                      <w:top w:val="single" w:sz="4" w:space="0" w:color="auto"/>
                      <w:left w:val="single" w:sz="4" w:space="0" w:color="auto"/>
                      <w:bottom w:val="single" w:sz="4" w:space="0" w:color="auto"/>
                      <w:right w:val="single" w:sz="4" w:space="0" w:color="auto"/>
                    </w:tcBorders>
                    <w:vAlign w:val="center"/>
                  </w:tcPr>
                  <w:p w:rsidR="009B410C" w:rsidRPr="007A3F89" w:rsidRDefault="008F04CF" w:rsidP="00B637B2">
                    <w:pPr>
                      <w:jc w:val="right"/>
                      <w:rPr>
                        <w:sz w:val="18"/>
                        <w:szCs w:val="18"/>
                      </w:rPr>
                    </w:pPr>
                    <w:r>
                      <w:rPr>
                        <w:rFonts w:hint="eastAsia"/>
                        <w:sz w:val="18"/>
                        <w:szCs w:val="18"/>
                      </w:rPr>
                      <w:t>-</w:t>
                    </w:r>
                  </w:p>
                </w:tc>
                <w:tc>
                  <w:tcPr>
                    <w:tcW w:w="606" w:type="pct"/>
                    <w:tcBorders>
                      <w:top w:val="single" w:sz="4" w:space="0" w:color="auto"/>
                      <w:left w:val="single" w:sz="4" w:space="0" w:color="auto"/>
                      <w:bottom w:val="single" w:sz="4" w:space="0" w:color="auto"/>
                      <w:right w:val="single" w:sz="4" w:space="0" w:color="auto"/>
                    </w:tcBorders>
                    <w:vAlign w:val="center"/>
                  </w:tcPr>
                  <w:p w:rsidR="009B410C" w:rsidRPr="007A3F89" w:rsidRDefault="008F04CF" w:rsidP="00B637B2">
                    <w:pPr>
                      <w:jc w:val="right"/>
                      <w:rPr>
                        <w:sz w:val="18"/>
                        <w:szCs w:val="18"/>
                      </w:rPr>
                    </w:pPr>
                    <w:r w:rsidRPr="007A3F89">
                      <w:rPr>
                        <w:sz w:val="18"/>
                        <w:szCs w:val="18"/>
                      </w:rPr>
                      <w:t>46,698,500</w:t>
                    </w:r>
                  </w:p>
                </w:tc>
              </w:tr>
            </w:sdtContent>
          </w:sdt>
          <w:sdt>
            <w:sdtPr>
              <w:rPr>
                <w:rFonts w:asciiTheme="minorHAnsi" w:eastAsiaTheme="minorEastAsia" w:hAnsiTheme="minorHAnsi" w:cstheme="minorBidi"/>
                <w:kern w:val="2"/>
                <w:sz w:val="18"/>
                <w:szCs w:val="18"/>
              </w:rPr>
              <w:alias w:val="长期股权投资明细"/>
              <w:tag w:val="_GBC_daf82e8df55d4ba9bf351c25fd5a63c2"/>
              <w:id w:val="-1629078704"/>
              <w:lock w:val="sdtLocked"/>
            </w:sdtPr>
            <w:sdtContent>
              <w:tr w:rsidR="009B410C" w:rsidTr="00B637B2">
                <w:tc>
                  <w:tcPr>
                    <w:tcW w:w="1015"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9B410C">
                    <w:pPr>
                      <w:rPr>
                        <w:sz w:val="18"/>
                        <w:szCs w:val="18"/>
                      </w:rPr>
                    </w:pPr>
                    <w:r w:rsidRPr="007A3F89">
                      <w:rPr>
                        <w:sz w:val="18"/>
                        <w:szCs w:val="18"/>
                      </w:rPr>
                      <w:t>友太安</w:t>
                    </w: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79,680,000</w:t>
                    </w: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79,680,000</w:t>
                    </w:r>
                  </w:p>
                </w:tc>
                <w:tc>
                  <w:tcPr>
                    <w:tcW w:w="609"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w:t>
                    </w:r>
                  </w:p>
                </w:tc>
                <w:tc>
                  <w:tcPr>
                    <w:tcW w:w="606"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r>
            </w:sdtContent>
          </w:sdt>
          <w:sdt>
            <w:sdtPr>
              <w:rPr>
                <w:rFonts w:asciiTheme="minorHAnsi" w:eastAsiaTheme="minorEastAsia" w:hAnsiTheme="minorHAnsi" w:cstheme="minorBidi"/>
                <w:kern w:val="2"/>
                <w:sz w:val="18"/>
                <w:szCs w:val="18"/>
              </w:rPr>
              <w:alias w:val="长期股权投资明细"/>
              <w:tag w:val="_GBC_daf82e8df55d4ba9bf351c25fd5a63c2"/>
              <w:id w:val="-1372298670"/>
              <w:lock w:val="sdtLocked"/>
            </w:sdtPr>
            <w:sdtContent>
              <w:tr w:rsidR="009B410C" w:rsidTr="00B637B2">
                <w:tc>
                  <w:tcPr>
                    <w:tcW w:w="1015"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9B410C">
                    <w:pPr>
                      <w:rPr>
                        <w:sz w:val="18"/>
                        <w:szCs w:val="18"/>
                      </w:rPr>
                    </w:pPr>
                    <w:r w:rsidRPr="007A3F89">
                      <w:rPr>
                        <w:sz w:val="18"/>
                        <w:szCs w:val="18"/>
                      </w:rPr>
                      <w:t>YONYOU INTERNATIONAL </w:t>
                    </w: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59,260,659</w:t>
                    </w: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59,260,659</w:t>
                    </w:r>
                  </w:p>
                </w:tc>
                <w:tc>
                  <w:tcPr>
                    <w:tcW w:w="609" w:type="pct"/>
                    <w:tcBorders>
                      <w:top w:val="single" w:sz="4" w:space="0" w:color="auto"/>
                      <w:left w:val="single" w:sz="4" w:space="0" w:color="auto"/>
                      <w:bottom w:val="single" w:sz="4" w:space="0" w:color="auto"/>
                      <w:right w:val="single" w:sz="4" w:space="0" w:color="auto"/>
                    </w:tcBorders>
                    <w:vAlign w:val="center"/>
                  </w:tcPr>
                  <w:p w:rsidR="009B410C" w:rsidRPr="007A3F89" w:rsidRDefault="008F04CF" w:rsidP="00B637B2">
                    <w:pPr>
                      <w:jc w:val="right"/>
                      <w:rPr>
                        <w:sz w:val="18"/>
                        <w:szCs w:val="18"/>
                      </w:rPr>
                    </w:pPr>
                    <w:r>
                      <w:rPr>
                        <w:rFonts w:hint="eastAsia"/>
                        <w:sz w:val="18"/>
                        <w:szCs w:val="18"/>
                      </w:rPr>
                      <w:t>-</w:t>
                    </w:r>
                  </w:p>
                </w:tc>
                <w:tc>
                  <w:tcPr>
                    <w:tcW w:w="606" w:type="pct"/>
                    <w:tcBorders>
                      <w:top w:val="single" w:sz="4" w:space="0" w:color="auto"/>
                      <w:left w:val="single" w:sz="4" w:space="0" w:color="auto"/>
                      <w:bottom w:val="single" w:sz="4" w:space="0" w:color="auto"/>
                      <w:right w:val="single" w:sz="4" w:space="0" w:color="auto"/>
                    </w:tcBorders>
                    <w:vAlign w:val="center"/>
                  </w:tcPr>
                  <w:p w:rsidR="009B410C" w:rsidRPr="007A3F89" w:rsidRDefault="008F04CF" w:rsidP="00B637B2">
                    <w:pPr>
                      <w:jc w:val="right"/>
                      <w:rPr>
                        <w:sz w:val="18"/>
                        <w:szCs w:val="18"/>
                      </w:rPr>
                    </w:pPr>
                    <w:r w:rsidRPr="007A3F89">
                      <w:rPr>
                        <w:sz w:val="18"/>
                        <w:szCs w:val="18"/>
                      </w:rPr>
                      <w:t>6,300,755</w:t>
                    </w:r>
                  </w:p>
                </w:tc>
              </w:tr>
            </w:sdtContent>
          </w:sdt>
          <w:sdt>
            <w:sdtPr>
              <w:rPr>
                <w:rFonts w:asciiTheme="minorHAnsi" w:eastAsiaTheme="minorEastAsia" w:hAnsiTheme="minorHAnsi" w:cstheme="minorBidi"/>
                <w:kern w:val="2"/>
                <w:sz w:val="18"/>
                <w:szCs w:val="18"/>
              </w:rPr>
              <w:alias w:val="长期股权投资明细"/>
              <w:tag w:val="_GBC_daf82e8df55d4ba9bf351c25fd5a63c2"/>
              <w:id w:val="922688278"/>
              <w:lock w:val="sdtLocked"/>
            </w:sdtPr>
            <w:sdtContent>
              <w:tr w:rsidR="009B410C" w:rsidTr="00B637B2">
                <w:tc>
                  <w:tcPr>
                    <w:tcW w:w="1015"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9B410C">
                    <w:pPr>
                      <w:rPr>
                        <w:sz w:val="18"/>
                        <w:szCs w:val="18"/>
                      </w:rPr>
                    </w:pPr>
                    <w:r w:rsidRPr="007A3F89">
                      <w:rPr>
                        <w:sz w:val="18"/>
                        <w:szCs w:val="18"/>
                      </w:rPr>
                      <w:t>用友金融</w:t>
                    </w: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50,000,000</w:t>
                    </w: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50,000,000</w:t>
                    </w:r>
                  </w:p>
                </w:tc>
                <w:tc>
                  <w:tcPr>
                    <w:tcW w:w="609"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w:t>
                    </w:r>
                  </w:p>
                </w:tc>
                <w:tc>
                  <w:tcPr>
                    <w:tcW w:w="606"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r>
            </w:sdtContent>
          </w:sdt>
          <w:sdt>
            <w:sdtPr>
              <w:rPr>
                <w:rFonts w:asciiTheme="minorHAnsi" w:eastAsiaTheme="minorEastAsia" w:hAnsiTheme="minorHAnsi" w:cstheme="minorBidi"/>
                <w:kern w:val="2"/>
                <w:sz w:val="18"/>
                <w:szCs w:val="18"/>
              </w:rPr>
              <w:alias w:val="长期股权投资明细"/>
              <w:tag w:val="_GBC_daf82e8df55d4ba9bf351c25fd5a63c2"/>
              <w:id w:val="1746137085"/>
              <w:lock w:val="sdtLocked"/>
            </w:sdtPr>
            <w:sdtContent>
              <w:tr w:rsidR="009B410C" w:rsidTr="00B637B2">
                <w:tc>
                  <w:tcPr>
                    <w:tcW w:w="1015"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9B410C">
                    <w:pPr>
                      <w:rPr>
                        <w:sz w:val="18"/>
                        <w:szCs w:val="18"/>
                      </w:rPr>
                    </w:pPr>
                    <w:r w:rsidRPr="007A3F89">
                      <w:rPr>
                        <w:sz w:val="18"/>
                        <w:szCs w:val="18"/>
                      </w:rPr>
                      <w:t>新道科技</w:t>
                    </w: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46,652,000</w:t>
                    </w: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46,652,000</w:t>
                    </w:r>
                  </w:p>
                </w:tc>
                <w:tc>
                  <w:tcPr>
                    <w:tcW w:w="609"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w:t>
                    </w:r>
                  </w:p>
                </w:tc>
                <w:tc>
                  <w:tcPr>
                    <w:tcW w:w="606"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r>
            </w:sdtContent>
          </w:sdt>
          <w:sdt>
            <w:sdtPr>
              <w:rPr>
                <w:rFonts w:asciiTheme="minorHAnsi" w:eastAsiaTheme="minorEastAsia" w:hAnsiTheme="minorHAnsi" w:cstheme="minorBidi"/>
                <w:kern w:val="2"/>
                <w:sz w:val="18"/>
                <w:szCs w:val="18"/>
              </w:rPr>
              <w:alias w:val="长期股权投资明细"/>
              <w:tag w:val="_GBC_daf82e8df55d4ba9bf351c25fd5a63c2"/>
              <w:id w:val="471485881"/>
              <w:lock w:val="sdtLocked"/>
            </w:sdtPr>
            <w:sdtContent>
              <w:tr w:rsidR="009B410C" w:rsidTr="00B637B2">
                <w:tc>
                  <w:tcPr>
                    <w:tcW w:w="1015"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9B410C">
                    <w:pPr>
                      <w:rPr>
                        <w:sz w:val="18"/>
                        <w:szCs w:val="18"/>
                      </w:rPr>
                    </w:pPr>
                    <w:r w:rsidRPr="007A3F89">
                      <w:rPr>
                        <w:sz w:val="18"/>
                        <w:szCs w:val="18"/>
                      </w:rPr>
                      <w:t>用友建筑</w:t>
                    </w: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44,000,000</w:t>
                    </w: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44,000,000</w:t>
                    </w:r>
                  </w:p>
                </w:tc>
                <w:tc>
                  <w:tcPr>
                    <w:tcW w:w="609"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w:t>
                    </w:r>
                  </w:p>
                </w:tc>
                <w:tc>
                  <w:tcPr>
                    <w:tcW w:w="606"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r>
            </w:sdtContent>
          </w:sdt>
          <w:sdt>
            <w:sdtPr>
              <w:rPr>
                <w:rFonts w:asciiTheme="minorHAnsi" w:eastAsiaTheme="minorEastAsia" w:hAnsiTheme="minorHAnsi" w:cstheme="minorBidi"/>
                <w:kern w:val="2"/>
                <w:sz w:val="18"/>
                <w:szCs w:val="18"/>
              </w:rPr>
              <w:alias w:val="长期股权投资明细"/>
              <w:tag w:val="_GBC_daf82e8df55d4ba9bf351c25fd5a63c2"/>
              <w:id w:val="55439977"/>
              <w:lock w:val="sdtLocked"/>
            </w:sdtPr>
            <w:sdtContent>
              <w:tr w:rsidR="009B410C" w:rsidTr="00B637B2">
                <w:tc>
                  <w:tcPr>
                    <w:tcW w:w="1015"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9B410C">
                    <w:pPr>
                      <w:rPr>
                        <w:sz w:val="18"/>
                        <w:szCs w:val="18"/>
                      </w:rPr>
                    </w:pPr>
                    <w:r w:rsidRPr="007A3F89">
                      <w:rPr>
                        <w:sz w:val="18"/>
                        <w:szCs w:val="18"/>
                      </w:rPr>
                      <w:t>用友广信</w:t>
                    </w: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37,500,000</w:t>
                    </w: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37,500,000</w:t>
                    </w:r>
                  </w:p>
                </w:tc>
                <w:tc>
                  <w:tcPr>
                    <w:tcW w:w="609"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w:t>
                    </w:r>
                  </w:p>
                </w:tc>
                <w:tc>
                  <w:tcPr>
                    <w:tcW w:w="606"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r>
            </w:sdtContent>
          </w:sdt>
          <w:sdt>
            <w:sdtPr>
              <w:rPr>
                <w:rFonts w:asciiTheme="minorHAnsi" w:eastAsiaTheme="minorEastAsia" w:hAnsiTheme="minorHAnsi" w:cstheme="minorBidi"/>
                <w:kern w:val="2"/>
                <w:sz w:val="18"/>
                <w:szCs w:val="18"/>
              </w:rPr>
              <w:alias w:val="长期股权投资明细"/>
              <w:tag w:val="_GBC_daf82e8df55d4ba9bf351c25fd5a63c2"/>
              <w:id w:val="119741892"/>
              <w:lock w:val="sdtLocked"/>
            </w:sdtPr>
            <w:sdtContent>
              <w:tr w:rsidR="009B410C" w:rsidTr="00B637B2">
                <w:tc>
                  <w:tcPr>
                    <w:tcW w:w="1015"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9B410C">
                    <w:pPr>
                      <w:rPr>
                        <w:sz w:val="18"/>
                        <w:szCs w:val="18"/>
                      </w:rPr>
                    </w:pPr>
                    <w:r w:rsidRPr="007A3F89">
                      <w:rPr>
                        <w:sz w:val="18"/>
                        <w:szCs w:val="18"/>
                      </w:rPr>
                      <w:t>用友能源</w:t>
                    </w: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40,000,000</w:t>
                    </w: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40,000,000</w:t>
                    </w:r>
                  </w:p>
                </w:tc>
                <w:tc>
                  <w:tcPr>
                    <w:tcW w:w="609"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w:t>
                    </w:r>
                  </w:p>
                </w:tc>
                <w:tc>
                  <w:tcPr>
                    <w:tcW w:w="606"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r>
            </w:sdtContent>
          </w:sdt>
          <w:sdt>
            <w:sdtPr>
              <w:rPr>
                <w:rFonts w:asciiTheme="minorHAnsi" w:eastAsiaTheme="minorEastAsia" w:hAnsiTheme="minorHAnsi" w:cstheme="minorBidi"/>
                <w:kern w:val="2"/>
                <w:sz w:val="18"/>
                <w:szCs w:val="18"/>
              </w:rPr>
              <w:alias w:val="长期股权投资明细"/>
              <w:tag w:val="_GBC_daf82e8df55d4ba9bf351c25fd5a63c2"/>
              <w:id w:val="1016737595"/>
              <w:lock w:val="sdtLocked"/>
            </w:sdtPr>
            <w:sdtContent>
              <w:tr w:rsidR="009B410C" w:rsidTr="00B637B2">
                <w:tc>
                  <w:tcPr>
                    <w:tcW w:w="1015"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9B410C">
                    <w:pPr>
                      <w:rPr>
                        <w:sz w:val="18"/>
                        <w:szCs w:val="18"/>
                      </w:rPr>
                    </w:pPr>
                    <w:r w:rsidRPr="007A3F89">
                      <w:rPr>
                        <w:sz w:val="18"/>
                        <w:szCs w:val="18"/>
                      </w:rPr>
                      <w:t>友金所</w:t>
                    </w: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36,000,000</w:t>
                    </w: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36,000,000</w:t>
                    </w:r>
                  </w:p>
                </w:tc>
                <w:tc>
                  <w:tcPr>
                    <w:tcW w:w="609"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w:t>
                    </w:r>
                  </w:p>
                </w:tc>
                <w:tc>
                  <w:tcPr>
                    <w:tcW w:w="606"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r>
            </w:sdtContent>
          </w:sdt>
          <w:sdt>
            <w:sdtPr>
              <w:rPr>
                <w:rFonts w:asciiTheme="minorHAnsi" w:eastAsiaTheme="minorEastAsia" w:hAnsiTheme="minorHAnsi" w:cstheme="minorBidi"/>
                <w:kern w:val="2"/>
                <w:sz w:val="18"/>
                <w:szCs w:val="18"/>
              </w:rPr>
              <w:alias w:val="长期股权投资明细"/>
              <w:tag w:val="_GBC_daf82e8df55d4ba9bf351c25fd5a63c2"/>
              <w:id w:val="882447460"/>
              <w:lock w:val="sdtLocked"/>
            </w:sdtPr>
            <w:sdtContent>
              <w:tr w:rsidR="009B410C" w:rsidTr="00B637B2">
                <w:tc>
                  <w:tcPr>
                    <w:tcW w:w="1015"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9B410C">
                    <w:pPr>
                      <w:rPr>
                        <w:sz w:val="18"/>
                        <w:szCs w:val="18"/>
                      </w:rPr>
                    </w:pPr>
                    <w:r w:rsidRPr="007A3F89">
                      <w:rPr>
                        <w:sz w:val="18"/>
                        <w:szCs w:val="18"/>
                      </w:rPr>
                      <w:t>长伴咨询</w:t>
                    </w: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30,000,000</w:t>
                    </w: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30,000,000</w:t>
                    </w:r>
                  </w:p>
                </w:tc>
                <w:tc>
                  <w:tcPr>
                    <w:tcW w:w="609"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w:t>
                    </w:r>
                  </w:p>
                </w:tc>
                <w:tc>
                  <w:tcPr>
                    <w:tcW w:w="606"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r>
            </w:sdtContent>
          </w:sdt>
          <w:sdt>
            <w:sdtPr>
              <w:rPr>
                <w:rFonts w:asciiTheme="minorHAnsi" w:eastAsiaTheme="minorEastAsia" w:hAnsiTheme="minorHAnsi" w:cstheme="minorBidi"/>
                <w:kern w:val="2"/>
                <w:sz w:val="18"/>
                <w:szCs w:val="18"/>
              </w:rPr>
              <w:alias w:val="长期股权投资明细"/>
              <w:tag w:val="_GBC_daf82e8df55d4ba9bf351c25fd5a63c2"/>
              <w:id w:val="-1862726897"/>
              <w:lock w:val="sdtLocked"/>
            </w:sdtPr>
            <w:sdtContent>
              <w:tr w:rsidR="009B410C" w:rsidTr="00B637B2">
                <w:tc>
                  <w:tcPr>
                    <w:tcW w:w="1015"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9B410C">
                    <w:pPr>
                      <w:rPr>
                        <w:sz w:val="18"/>
                        <w:szCs w:val="18"/>
                      </w:rPr>
                    </w:pPr>
                    <w:r w:rsidRPr="007A3F89">
                      <w:rPr>
                        <w:sz w:val="18"/>
                        <w:szCs w:val="18"/>
                      </w:rPr>
                      <w:t>薪福社</w:t>
                    </w: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30,000,000</w:t>
                    </w: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30,000,000</w:t>
                    </w:r>
                  </w:p>
                </w:tc>
                <w:tc>
                  <w:tcPr>
                    <w:tcW w:w="609"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w:t>
                    </w:r>
                  </w:p>
                </w:tc>
                <w:tc>
                  <w:tcPr>
                    <w:tcW w:w="606"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r>
            </w:sdtContent>
          </w:sdt>
          <w:sdt>
            <w:sdtPr>
              <w:rPr>
                <w:rFonts w:asciiTheme="minorHAnsi" w:eastAsiaTheme="minorEastAsia" w:hAnsiTheme="minorHAnsi" w:cstheme="minorBidi"/>
                <w:kern w:val="2"/>
                <w:sz w:val="18"/>
                <w:szCs w:val="18"/>
              </w:rPr>
              <w:alias w:val="长期股权投资明细"/>
              <w:tag w:val="_GBC_daf82e8df55d4ba9bf351c25fd5a63c2"/>
              <w:id w:val="-1711796554"/>
              <w:lock w:val="sdtLocked"/>
            </w:sdtPr>
            <w:sdtContent>
              <w:tr w:rsidR="009B410C" w:rsidTr="00B637B2">
                <w:tc>
                  <w:tcPr>
                    <w:tcW w:w="1015"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9B410C">
                    <w:pPr>
                      <w:rPr>
                        <w:sz w:val="18"/>
                        <w:szCs w:val="18"/>
                      </w:rPr>
                    </w:pPr>
                    <w:r w:rsidRPr="007A3F89">
                      <w:rPr>
                        <w:sz w:val="18"/>
                        <w:szCs w:val="18"/>
                      </w:rPr>
                      <w:t>红火台</w:t>
                    </w: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27,500,000</w:t>
                    </w: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073B5A" w:rsidP="00B637B2">
                    <w:pPr>
                      <w:jc w:val="right"/>
                      <w:rPr>
                        <w:sz w:val="18"/>
                        <w:szCs w:val="18"/>
                      </w:rPr>
                    </w:pPr>
                    <w:r w:rsidRPr="007A3F89">
                      <w:rPr>
                        <w:sz w:val="18"/>
                        <w:szCs w:val="18"/>
                      </w:rPr>
                      <w:t>11,000,000</w:t>
                    </w: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38,500,000</w:t>
                    </w:r>
                  </w:p>
                </w:tc>
                <w:tc>
                  <w:tcPr>
                    <w:tcW w:w="609"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w:t>
                    </w:r>
                  </w:p>
                </w:tc>
                <w:tc>
                  <w:tcPr>
                    <w:tcW w:w="606"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r>
            </w:sdtContent>
          </w:sdt>
          <w:sdt>
            <w:sdtPr>
              <w:rPr>
                <w:rFonts w:asciiTheme="minorHAnsi" w:eastAsiaTheme="minorEastAsia" w:hAnsiTheme="minorHAnsi" w:cstheme="minorBidi"/>
                <w:kern w:val="2"/>
                <w:sz w:val="18"/>
                <w:szCs w:val="18"/>
              </w:rPr>
              <w:alias w:val="长期股权投资明细"/>
              <w:tag w:val="_GBC_daf82e8df55d4ba9bf351c25fd5a63c2"/>
              <w:id w:val="-1508056681"/>
              <w:lock w:val="sdtLocked"/>
            </w:sdtPr>
            <w:sdtContent>
              <w:tr w:rsidR="009B410C" w:rsidTr="00B637B2">
                <w:tc>
                  <w:tcPr>
                    <w:tcW w:w="1015"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9B410C">
                    <w:pPr>
                      <w:rPr>
                        <w:sz w:val="18"/>
                        <w:szCs w:val="18"/>
                      </w:rPr>
                    </w:pPr>
                    <w:r w:rsidRPr="007A3F89">
                      <w:rPr>
                        <w:sz w:val="18"/>
                        <w:szCs w:val="18"/>
                      </w:rPr>
                      <w:t>江西用友</w:t>
                    </w: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20,000,000</w:t>
                    </w: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20,000,000</w:t>
                    </w:r>
                  </w:p>
                </w:tc>
                <w:tc>
                  <w:tcPr>
                    <w:tcW w:w="609"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w:t>
                    </w:r>
                  </w:p>
                </w:tc>
                <w:tc>
                  <w:tcPr>
                    <w:tcW w:w="606"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r>
            </w:sdtContent>
          </w:sdt>
          <w:sdt>
            <w:sdtPr>
              <w:rPr>
                <w:rFonts w:asciiTheme="minorHAnsi" w:eastAsiaTheme="minorEastAsia" w:hAnsiTheme="minorHAnsi" w:cstheme="minorBidi"/>
                <w:kern w:val="2"/>
                <w:sz w:val="18"/>
                <w:szCs w:val="18"/>
              </w:rPr>
              <w:alias w:val="长期股权投资明细"/>
              <w:tag w:val="_GBC_daf82e8df55d4ba9bf351c25fd5a63c2"/>
              <w:id w:val="-680894745"/>
              <w:lock w:val="sdtLocked"/>
            </w:sdtPr>
            <w:sdtContent>
              <w:tr w:rsidR="009B410C" w:rsidTr="00B637B2">
                <w:tc>
                  <w:tcPr>
                    <w:tcW w:w="1015"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9B410C">
                    <w:pPr>
                      <w:rPr>
                        <w:sz w:val="18"/>
                        <w:szCs w:val="18"/>
                      </w:rPr>
                    </w:pPr>
                    <w:r w:rsidRPr="007A3F89">
                      <w:rPr>
                        <w:sz w:val="18"/>
                        <w:szCs w:val="18"/>
                      </w:rPr>
                      <w:t>用友移动</w:t>
                    </w: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15,100,000</w:t>
                    </w: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15,100,000</w:t>
                    </w:r>
                  </w:p>
                </w:tc>
                <w:tc>
                  <w:tcPr>
                    <w:tcW w:w="609"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w:t>
                    </w:r>
                  </w:p>
                </w:tc>
                <w:tc>
                  <w:tcPr>
                    <w:tcW w:w="606"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r>
            </w:sdtContent>
          </w:sdt>
          <w:sdt>
            <w:sdtPr>
              <w:rPr>
                <w:rFonts w:asciiTheme="minorHAnsi" w:eastAsiaTheme="minorEastAsia" w:hAnsiTheme="minorHAnsi" w:cstheme="minorBidi"/>
                <w:kern w:val="2"/>
                <w:sz w:val="18"/>
                <w:szCs w:val="18"/>
              </w:rPr>
              <w:alias w:val="长期股权投资明细"/>
              <w:tag w:val="_GBC_daf82e8df55d4ba9bf351c25fd5a63c2"/>
              <w:id w:val="424075285"/>
              <w:lock w:val="sdtLocked"/>
            </w:sdtPr>
            <w:sdtContent>
              <w:tr w:rsidR="009B410C" w:rsidTr="00B637B2">
                <w:tc>
                  <w:tcPr>
                    <w:tcW w:w="1015"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9B410C">
                    <w:pPr>
                      <w:rPr>
                        <w:sz w:val="18"/>
                        <w:szCs w:val="18"/>
                      </w:rPr>
                    </w:pPr>
                    <w:r w:rsidRPr="007A3F89">
                      <w:rPr>
                        <w:sz w:val="18"/>
                        <w:szCs w:val="18"/>
                      </w:rPr>
                      <w:t>厦门烟草</w:t>
                    </w: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14,600,000</w:t>
                    </w: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14,600,000</w:t>
                    </w:r>
                  </w:p>
                </w:tc>
                <w:tc>
                  <w:tcPr>
                    <w:tcW w:w="609"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606"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r>
            </w:sdtContent>
          </w:sdt>
          <w:sdt>
            <w:sdtPr>
              <w:rPr>
                <w:rFonts w:asciiTheme="minorHAnsi" w:eastAsiaTheme="minorEastAsia" w:hAnsiTheme="minorHAnsi" w:cstheme="minorBidi"/>
                <w:kern w:val="2"/>
                <w:sz w:val="18"/>
                <w:szCs w:val="18"/>
              </w:rPr>
              <w:alias w:val="长期股权投资明细"/>
              <w:tag w:val="_GBC_daf82e8df55d4ba9bf351c25fd5a63c2"/>
              <w:id w:val="-194538904"/>
              <w:lock w:val="sdtLocked"/>
            </w:sdtPr>
            <w:sdtContent>
              <w:tr w:rsidR="009B410C" w:rsidTr="00B637B2">
                <w:tc>
                  <w:tcPr>
                    <w:tcW w:w="1015"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9B410C">
                    <w:pPr>
                      <w:rPr>
                        <w:sz w:val="18"/>
                        <w:szCs w:val="18"/>
                      </w:rPr>
                    </w:pPr>
                    <w:r w:rsidRPr="007A3F89">
                      <w:rPr>
                        <w:sz w:val="18"/>
                        <w:szCs w:val="18"/>
                      </w:rPr>
                      <w:t>用友审计</w:t>
                    </w: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13,685,542</w:t>
                    </w: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13,685,542</w:t>
                    </w:r>
                  </w:p>
                </w:tc>
                <w:tc>
                  <w:tcPr>
                    <w:tcW w:w="609"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w:t>
                    </w:r>
                  </w:p>
                </w:tc>
                <w:tc>
                  <w:tcPr>
                    <w:tcW w:w="606"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r>
            </w:sdtContent>
          </w:sdt>
          <w:sdt>
            <w:sdtPr>
              <w:rPr>
                <w:rFonts w:asciiTheme="minorHAnsi" w:eastAsiaTheme="minorEastAsia" w:hAnsiTheme="minorHAnsi" w:cstheme="minorBidi"/>
                <w:kern w:val="2"/>
                <w:sz w:val="18"/>
                <w:szCs w:val="18"/>
              </w:rPr>
              <w:alias w:val="长期股权投资明细"/>
              <w:tag w:val="_GBC_daf82e8df55d4ba9bf351c25fd5a63c2"/>
              <w:id w:val="-251596908"/>
              <w:lock w:val="sdtLocked"/>
            </w:sdtPr>
            <w:sdtContent>
              <w:tr w:rsidR="009B410C" w:rsidTr="00B637B2">
                <w:tc>
                  <w:tcPr>
                    <w:tcW w:w="1015"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9B410C">
                    <w:pPr>
                      <w:rPr>
                        <w:sz w:val="18"/>
                        <w:szCs w:val="18"/>
                      </w:rPr>
                    </w:pPr>
                    <w:r w:rsidRPr="007A3F89">
                      <w:rPr>
                        <w:sz w:val="18"/>
                        <w:szCs w:val="18"/>
                      </w:rPr>
                      <w:t>用友云达</w:t>
                    </w: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10,000,000</w:t>
                    </w: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10,000,000</w:t>
                    </w:r>
                  </w:p>
                </w:tc>
                <w:tc>
                  <w:tcPr>
                    <w:tcW w:w="609" w:type="pct"/>
                    <w:tcBorders>
                      <w:top w:val="single" w:sz="4" w:space="0" w:color="auto"/>
                      <w:left w:val="single" w:sz="4" w:space="0" w:color="auto"/>
                      <w:bottom w:val="single" w:sz="4" w:space="0" w:color="auto"/>
                      <w:right w:val="single" w:sz="4" w:space="0" w:color="auto"/>
                    </w:tcBorders>
                    <w:vAlign w:val="center"/>
                  </w:tcPr>
                  <w:p w:rsidR="009B410C" w:rsidRPr="007A3F89" w:rsidRDefault="008F04CF" w:rsidP="00B637B2">
                    <w:pPr>
                      <w:jc w:val="right"/>
                      <w:rPr>
                        <w:sz w:val="18"/>
                        <w:szCs w:val="18"/>
                      </w:rPr>
                    </w:pPr>
                    <w:r>
                      <w:rPr>
                        <w:rFonts w:hint="eastAsia"/>
                        <w:sz w:val="18"/>
                        <w:szCs w:val="18"/>
                      </w:rPr>
                      <w:t>-</w:t>
                    </w:r>
                  </w:p>
                </w:tc>
                <w:tc>
                  <w:tcPr>
                    <w:tcW w:w="606" w:type="pct"/>
                    <w:tcBorders>
                      <w:top w:val="single" w:sz="4" w:space="0" w:color="auto"/>
                      <w:left w:val="single" w:sz="4" w:space="0" w:color="auto"/>
                      <w:bottom w:val="single" w:sz="4" w:space="0" w:color="auto"/>
                      <w:right w:val="single" w:sz="4" w:space="0" w:color="auto"/>
                    </w:tcBorders>
                    <w:vAlign w:val="center"/>
                  </w:tcPr>
                  <w:p w:rsidR="009B410C" w:rsidRPr="007A3F89" w:rsidRDefault="008F04CF" w:rsidP="00B637B2">
                    <w:pPr>
                      <w:jc w:val="right"/>
                      <w:rPr>
                        <w:sz w:val="18"/>
                        <w:szCs w:val="18"/>
                      </w:rPr>
                    </w:pPr>
                    <w:r w:rsidRPr="007A3F89">
                      <w:rPr>
                        <w:sz w:val="18"/>
                        <w:szCs w:val="18"/>
                      </w:rPr>
                      <w:t>10,000,000</w:t>
                    </w:r>
                  </w:p>
                </w:tc>
              </w:tr>
            </w:sdtContent>
          </w:sdt>
          <w:sdt>
            <w:sdtPr>
              <w:rPr>
                <w:rFonts w:asciiTheme="minorHAnsi" w:eastAsiaTheme="minorEastAsia" w:hAnsiTheme="minorHAnsi" w:cstheme="minorBidi"/>
                <w:kern w:val="2"/>
                <w:sz w:val="18"/>
                <w:szCs w:val="18"/>
              </w:rPr>
              <w:alias w:val="长期股权投资明细"/>
              <w:tag w:val="_GBC_daf82e8df55d4ba9bf351c25fd5a63c2"/>
              <w:id w:val="2120863301"/>
              <w:lock w:val="sdtLocked"/>
            </w:sdtPr>
            <w:sdtContent>
              <w:tr w:rsidR="009B410C" w:rsidTr="00B637B2">
                <w:tc>
                  <w:tcPr>
                    <w:tcW w:w="1015"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9B410C">
                    <w:pPr>
                      <w:rPr>
                        <w:sz w:val="18"/>
                        <w:szCs w:val="18"/>
                      </w:rPr>
                    </w:pPr>
                    <w:r w:rsidRPr="007A3F89">
                      <w:rPr>
                        <w:sz w:val="18"/>
                        <w:szCs w:val="18"/>
                      </w:rPr>
                      <w:t>用友艾福斯</w:t>
                    </w: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8,392,716</w:t>
                    </w: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8,392,716</w:t>
                    </w:r>
                  </w:p>
                </w:tc>
                <w:tc>
                  <w:tcPr>
                    <w:tcW w:w="609" w:type="pct"/>
                    <w:tcBorders>
                      <w:top w:val="single" w:sz="4" w:space="0" w:color="auto"/>
                      <w:left w:val="single" w:sz="4" w:space="0" w:color="auto"/>
                      <w:bottom w:val="single" w:sz="4" w:space="0" w:color="auto"/>
                      <w:right w:val="single" w:sz="4" w:space="0" w:color="auto"/>
                    </w:tcBorders>
                    <w:vAlign w:val="center"/>
                  </w:tcPr>
                  <w:p w:rsidR="009B410C" w:rsidRPr="007A3F89" w:rsidRDefault="008F04CF" w:rsidP="00B637B2">
                    <w:pPr>
                      <w:jc w:val="right"/>
                      <w:rPr>
                        <w:sz w:val="18"/>
                        <w:szCs w:val="18"/>
                      </w:rPr>
                    </w:pPr>
                    <w:r>
                      <w:rPr>
                        <w:rFonts w:hint="eastAsia"/>
                        <w:sz w:val="18"/>
                        <w:szCs w:val="18"/>
                      </w:rPr>
                      <w:t>-</w:t>
                    </w:r>
                  </w:p>
                </w:tc>
                <w:tc>
                  <w:tcPr>
                    <w:tcW w:w="606" w:type="pct"/>
                    <w:tcBorders>
                      <w:top w:val="single" w:sz="4" w:space="0" w:color="auto"/>
                      <w:left w:val="single" w:sz="4" w:space="0" w:color="auto"/>
                      <w:bottom w:val="single" w:sz="4" w:space="0" w:color="auto"/>
                      <w:right w:val="single" w:sz="4" w:space="0" w:color="auto"/>
                    </w:tcBorders>
                    <w:vAlign w:val="center"/>
                  </w:tcPr>
                  <w:p w:rsidR="009B410C" w:rsidRPr="007A3F89" w:rsidRDefault="008F04CF" w:rsidP="00B637B2">
                    <w:pPr>
                      <w:jc w:val="right"/>
                      <w:rPr>
                        <w:sz w:val="18"/>
                        <w:szCs w:val="18"/>
                      </w:rPr>
                    </w:pPr>
                    <w:r w:rsidRPr="007A3F89">
                      <w:rPr>
                        <w:sz w:val="18"/>
                        <w:szCs w:val="18"/>
                      </w:rPr>
                      <w:t>8,392,716</w:t>
                    </w:r>
                  </w:p>
                </w:tc>
              </w:tr>
            </w:sdtContent>
          </w:sdt>
          <w:sdt>
            <w:sdtPr>
              <w:rPr>
                <w:rFonts w:asciiTheme="minorHAnsi" w:eastAsiaTheme="minorEastAsia" w:hAnsiTheme="minorHAnsi" w:cstheme="minorBidi"/>
                <w:kern w:val="2"/>
                <w:sz w:val="18"/>
                <w:szCs w:val="18"/>
              </w:rPr>
              <w:alias w:val="长期股权投资明细"/>
              <w:tag w:val="_GBC_daf82e8df55d4ba9bf351c25fd5a63c2"/>
              <w:id w:val="-1581510832"/>
              <w:lock w:val="sdtLocked"/>
            </w:sdtPr>
            <w:sdtContent>
              <w:tr w:rsidR="009B410C" w:rsidTr="00B637B2">
                <w:tc>
                  <w:tcPr>
                    <w:tcW w:w="1015"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9B410C">
                    <w:pPr>
                      <w:rPr>
                        <w:sz w:val="18"/>
                        <w:szCs w:val="18"/>
                      </w:rPr>
                    </w:pPr>
                    <w:r w:rsidRPr="007A3F89">
                      <w:rPr>
                        <w:sz w:val="18"/>
                        <w:szCs w:val="18"/>
                      </w:rPr>
                      <w:t>广东用友</w:t>
                    </w: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7,890,000</w:t>
                    </w: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7,890,000</w:t>
                    </w:r>
                  </w:p>
                </w:tc>
                <w:tc>
                  <w:tcPr>
                    <w:tcW w:w="609"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w:t>
                    </w:r>
                  </w:p>
                </w:tc>
                <w:tc>
                  <w:tcPr>
                    <w:tcW w:w="606"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r>
            </w:sdtContent>
          </w:sdt>
          <w:sdt>
            <w:sdtPr>
              <w:rPr>
                <w:rFonts w:asciiTheme="minorHAnsi" w:eastAsiaTheme="minorEastAsia" w:hAnsiTheme="minorHAnsi" w:cstheme="minorBidi"/>
                <w:kern w:val="2"/>
                <w:sz w:val="18"/>
                <w:szCs w:val="18"/>
              </w:rPr>
              <w:alias w:val="长期股权投资明细"/>
              <w:tag w:val="_GBC_daf82e8df55d4ba9bf351c25fd5a63c2"/>
              <w:id w:val="-829524918"/>
              <w:lock w:val="sdtLocked"/>
            </w:sdtPr>
            <w:sdtContent>
              <w:tr w:rsidR="009B410C" w:rsidTr="00B637B2">
                <w:tc>
                  <w:tcPr>
                    <w:tcW w:w="1015"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9B410C">
                    <w:pPr>
                      <w:rPr>
                        <w:sz w:val="18"/>
                        <w:szCs w:val="18"/>
                      </w:rPr>
                    </w:pPr>
                    <w:r w:rsidRPr="007A3F89">
                      <w:rPr>
                        <w:sz w:val="18"/>
                        <w:szCs w:val="18"/>
                      </w:rPr>
                      <w:t>天津用友</w:t>
                    </w: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7,019,999</w:t>
                    </w: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7,019,999</w:t>
                    </w:r>
                  </w:p>
                </w:tc>
                <w:tc>
                  <w:tcPr>
                    <w:tcW w:w="609"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w:t>
                    </w:r>
                  </w:p>
                </w:tc>
                <w:tc>
                  <w:tcPr>
                    <w:tcW w:w="606"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r>
            </w:sdtContent>
          </w:sdt>
          <w:sdt>
            <w:sdtPr>
              <w:rPr>
                <w:rFonts w:asciiTheme="minorHAnsi" w:eastAsiaTheme="minorEastAsia" w:hAnsiTheme="minorHAnsi" w:cstheme="minorBidi"/>
                <w:kern w:val="2"/>
                <w:sz w:val="18"/>
                <w:szCs w:val="18"/>
              </w:rPr>
              <w:alias w:val="长期股权投资明细"/>
              <w:tag w:val="_GBC_daf82e8df55d4ba9bf351c25fd5a63c2"/>
              <w:id w:val="-1937743752"/>
              <w:lock w:val="sdtLocked"/>
            </w:sdtPr>
            <w:sdtContent>
              <w:tr w:rsidR="009B410C" w:rsidTr="00B637B2">
                <w:tc>
                  <w:tcPr>
                    <w:tcW w:w="1015"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9B410C">
                    <w:pPr>
                      <w:rPr>
                        <w:sz w:val="18"/>
                        <w:szCs w:val="18"/>
                      </w:rPr>
                    </w:pPr>
                    <w:r w:rsidRPr="007A3F89">
                      <w:rPr>
                        <w:sz w:val="18"/>
                        <w:szCs w:val="18"/>
                      </w:rPr>
                      <w:t>浙江用友</w:t>
                    </w: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4,500,000</w:t>
                    </w: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4,500,000</w:t>
                    </w:r>
                  </w:p>
                </w:tc>
                <w:tc>
                  <w:tcPr>
                    <w:tcW w:w="609"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w:t>
                    </w:r>
                  </w:p>
                </w:tc>
                <w:tc>
                  <w:tcPr>
                    <w:tcW w:w="606"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r>
            </w:sdtContent>
          </w:sdt>
          <w:sdt>
            <w:sdtPr>
              <w:rPr>
                <w:rFonts w:asciiTheme="minorHAnsi" w:eastAsiaTheme="minorEastAsia" w:hAnsiTheme="minorHAnsi" w:cstheme="minorBidi"/>
                <w:kern w:val="2"/>
                <w:sz w:val="18"/>
                <w:szCs w:val="18"/>
              </w:rPr>
              <w:alias w:val="长期股权投资明细"/>
              <w:tag w:val="_GBC_daf82e8df55d4ba9bf351c25fd5a63c2"/>
              <w:id w:val="1024680540"/>
              <w:lock w:val="sdtLocked"/>
            </w:sdtPr>
            <w:sdtContent>
              <w:tr w:rsidR="009B410C" w:rsidTr="00B637B2">
                <w:tc>
                  <w:tcPr>
                    <w:tcW w:w="1015"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9B410C">
                    <w:pPr>
                      <w:rPr>
                        <w:sz w:val="18"/>
                        <w:szCs w:val="18"/>
                      </w:rPr>
                    </w:pPr>
                    <w:r w:rsidRPr="007A3F89">
                      <w:rPr>
                        <w:sz w:val="18"/>
                        <w:szCs w:val="18"/>
                      </w:rPr>
                      <w:t>山东用友</w:t>
                    </w: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4,500,000</w:t>
                    </w: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4,500,000</w:t>
                    </w:r>
                  </w:p>
                </w:tc>
                <w:tc>
                  <w:tcPr>
                    <w:tcW w:w="609"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w:t>
                    </w:r>
                  </w:p>
                </w:tc>
                <w:tc>
                  <w:tcPr>
                    <w:tcW w:w="606"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r>
            </w:sdtContent>
          </w:sdt>
          <w:sdt>
            <w:sdtPr>
              <w:rPr>
                <w:rFonts w:asciiTheme="minorHAnsi" w:eastAsiaTheme="minorEastAsia" w:hAnsiTheme="minorHAnsi" w:cstheme="minorBidi"/>
                <w:kern w:val="2"/>
                <w:sz w:val="18"/>
                <w:szCs w:val="18"/>
              </w:rPr>
              <w:alias w:val="长期股权投资明细"/>
              <w:tag w:val="_GBC_daf82e8df55d4ba9bf351c25fd5a63c2"/>
              <w:id w:val="-1145194061"/>
              <w:lock w:val="sdtLocked"/>
            </w:sdtPr>
            <w:sdtContent>
              <w:tr w:rsidR="009B410C" w:rsidTr="00B637B2">
                <w:tc>
                  <w:tcPr>
                    <w:tcW w:w="1015"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9B410C">
                    <w:pPr>
                      <w:rPr>
                        <w:sz w:val="18"/>
                        <w:szCs w:val="18"/>
                      </w:rPr>
                    </w:pPr>
                    <w:r w:rsidRPr="007A3F89">
                      <w:rPr>
                        <w:sz w:val="18"/>
                        <w:szCs w:val="18"/>
                      </w:rPr>
                      <w:t>幸福投资</w:t>
                    </w: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3,750,000</w:t>
                    </w: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3,750,000</w:t>
                    </w:r>
                  </w:p>
                </w:tc>
                <w:tc>
                  <w:tcPr>
                    <w:tcW w:w="609"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606"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r>
            </w:sdtContent>
          </w:sdt>
          <w:sdt>
            <w:sdtPr>
              <w:rPr>
                <w:rFonts w:asciiTheme="minorHAnsi" w:eastAsiaTheme="minorEastAsia" w:hAnsiTheme="minorHAnsi" w:cstheme="minorBidi"/>
                <w:kern w:val="2"/>
                <w:sz w:val="18"/>
                <w:szCs w:val="18"/>
              </w:rPr>
              <w:alias w:val="长期股权投资明细"/>
              <w:tag w:val="_GBC_daf82e8df55d4ba9bf351c25fd5a63c2"/>
              <w:id w:val="2018036338"/>
              <w:lock w:val="sdtLocked"/>
            </w:sdtPr>
            <w:sdtContent>
              <w:tr w:rsidR="009B410C" w:rsidTr="00B637B2">
                <w:tc>
                  <w:tcPr>
                    <w:tcW w:w="1015"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9B410C">
                    <w:pPr>
                      <w:rPr>
                        <w:sz w:val="18"/>
                        <w:szCs w:val="18"/>
                      </w:rPr>
                    </w:pPr>
                    <w:r w:rsidRPr="007A3F89">
                      <w:rPr>
                        <w:sz w:val="18"/>
                        <w:szCs w:val="18"/>
                      </w:rPr>
                      <w:t>沈阳用友</w:t>
                    </w: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2,700,000</w:t>
                    </w: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2,700,000</w:t>
                    </w:r>
                  </w:p>
                </w:tc>
                <w:tc>
                  <w:tcPr>
                    <w:tcW w:w="609"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w:t>
                    </w:r>
                  </w:p>
                </w:tc>
                <w:tc>
                  <w:tcPr>
                    <w:tcW w:w="606"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r>
            </w:sdtContent>
          </w:sdt>
          <w:sdt>
            <w:sdtPr>
              <w:rPr>
                <w:rFonts w:asciiTheme="minorHAnsi" w:eastAsiaTheme="minorEastAsia" w:hAnsiTheme="minorHAnsi" w:cstheme="minorBidi"/>
                <w:kern w:val="2"/>
                <w:sz w:val="18"/>
                <w:szCs w:val="18"/>
              </w:rPr>
              <w:alias w:val="长期股权投资明细"/>
              <w:tag w:val="_GBC_daf82e8df55d4ba9bf351c25fd5a63c2"/>
              <w:id w:val="-852648962"/>
              <w:lock w:val="sdtLocked"/>
            </w:sdtPr>
            <w:sdtContent>
              <w:tr w:rsidR="009B410C" w:rsidTr="00B637B2">
                <w:tc>
                  <w:tcPr>
                    <w:tcW w:w="1015"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9B410C">
                    <w:pPr>
                      <w:rPr>
                        <w:sz w:val="18"/>
                        <w:szCs w:val="18"/>
                      </w:rPr>
                    </w:pPr>
                    <w:r w:rsidRPr="007A3F89">
                      <w:rPr>
                        <w:sz w:val="18"/>
                        <w:szCs w:val="18"/>
                      </w:rPr>
                      <w:t>大连用友</w:t>
                    </w: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2,700,000</w:t>
                    </w: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2,700,000</w:t>
                    </w:r>
                  </w:p>
                </w:tc>
                <w:tc>
                  <w:tcPr>
                    <w:tcW w:w="609"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w:t>
                    </w:r>
                  </w:p>
                </w:tc>
                <w:tc>
                  <w:tcPr>
                    <w:tcW w:w="606"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r>
            </w:sdtContent>
          </w:sdt>
          <w:sdt>
            <w:sdtPr>
              <w:rPr>
                <w:rFonts w:asciiTheme="minorHAnsi" w:eastAsiaTheme="minorEastAsia" w:hAnsiTheme="minorHAnsi" w:cstheme="minorBidi"/>
                <w:kern w:val="2"/>
                <w:sz w:val="18"/>
                <w:szCs w:val="18"/>
              </w:rPr>
              <w:alias w:val="长期股权投资明细"/>
              <w:tag w:val="_GBC_daf82e8df55d4ba9bf351c25fd5a63c2"/>
              <w:id w:val="-1023317339"/>
              <w:lock w:val="sdtLocked"/>
            </w:sdtPr>
            <w:sdtContent>
              <w:tr w:rsidR="009B410C" w:rsidTr="00B637B2">
                <w:tc>
                  <w:tcPr>
                    <w:tcW w:w="1015"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9B410C">
                    <w:pPr>
                      <w:rPr>
                        <w:sz w:val="18"/>
                        <w:szCs w:val="18"/>
                      </w:rPr>
                    </w:pPr>
                    <w:r w:rsidRPr="007A3F89">
                      <w:rPr>
                        <w:sz w:val="18"/>
                        <w:szCs w:val="18"/>
                      </w:rPr>
                      <w:t>广西用友</w:t>
                    </w: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2,700,000</w:t>
                    </w: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2,700,000</w:t>
                    </w:r>
                  </w:p>
                </w:tc>
                <w:tc>
                  <w:tcPr>
                    <w:tcW w:w="609"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w:t>
                    </w:r>
                  </w:p>
                </w:tc>
                <w:tc>
                  <w:tcPr>
                    <w:tcW w:w="606"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r>
            </w:sdtContent>
          </w:sdt>
          <w:sdt>
            <w:sdtPr>
              <w:rPr>
                <w:rFonts w:asciiTheme="minorHAnsi" w:eastAsiaTheme="minorEastAsia" w:hAnsiTheme="minorHAnsi" w:cstheme="minorBidi"/>
                <w:kern w:val="2"/>
                <w:sz w:val="18"/>
                <w:szCs w:val="18"/>
              </w:rPr>
              <w:alias w:val="长期股权投资明细"/>
              <w:tag w:val="_GBC_daf82e8df55d4ba9bf351c25fd5a63c2"/>
              <w:id w:val="-1646815326"/>
              <w:lock w:val="sdtLocked"/>
            </w:sdtPr>
            <w:sdtContent>
              <w:tr w:rsidR="009B410C" w:rsidTr="00B637B2">
                <w:tc>
                  <w:tcPr>
                    <w:tcW w:w="1015"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9B410C">
                    <w:pPr>
                      <w:rPr>
                        <w:sz w:val="18"/>
                        <w:szCs w:val="18"/>
                      </w:rPr>
                    </w:pPr>
                    <w:r w:rsidRPr="007A3F89">
                      <w:rPr>
                        <w:sz w:val="18"/>
                        <w:szCs w:val="18"/>
                      </w:rPr>
                      <w:t>湖南用友</w:t>
                    </w: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2,700,000</w:t>
                    </w: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2,700,000</w:t>
                    </w:r>
                  </w:p>
                </w:tc>
                <w:tc>
                  <w:tcPr>
                    <w:tcW w:w="609"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w:t>
                    </w:r>
                  </w:p>
                </w:tc>
                <w:tc>
                  <w:tcPr>
                    <w:tcW w:w="606"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r>
            </w:sdtContent>
          </w:sdt>
          <w:sdt>
            <w:sdtPr>
              <w:rPr>
                <w:rFonts w:asciiTheme="minorHAnsi" w:eastAsiaTheme="minorEastAsia" w:hAnsiTheme="minorHAnsi" w:cstheme="minorBidi"/>
                <w:kern w:val="2"/>
                <w:sz w:val="18"/>
                <w:szCs w:val="18"/>
              </w:rPr>
              <w:alias w:val="长期股权投资明细"/>
              <w:tag w:val="_GBC_daf82e8df55d4ba9bf351c25fd5a63c2"/>
              <w:id w:val="-2074572368"/>
              <w:lock w:val="sdtLocked"/>
            </w:sdtPr>
            <w:sdtContent>
              <w:tr w:rsidR="009B410C" w:rsidTr="00B637B2">
                <w:tc>
                  <w:tcPr>
                    <w:tcW w:w="1015"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9B410C">
                    <w:pPr>
                      <w:rPr>
                        <w:sz w:val="18"/>
                        <w:szCs w:val="18"/>
                      </w:rPr>
                    </w:pPr>
                    <w:r w:rsidRPr="007A3F89">
                      <w:rPr>
                        <w:sz w:val="18"/>
                        <w:szCs w:val="18"/>
                      </w:rPr>
                      <w:t>内蒙古用友</w:t>
                    </w: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2,700,000</w:t>
                    </w: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2,700,000</w:t>
                    </w:r>
                  </w:p>
                </w:tc>
                <w:tc>
                  <w:tcPr>
                    <w:tcW w:w="609"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w:t>
                    </w:r>
                  </w:p>
                </w:tc>
                <w:tc>
                  <w:tcPr>
                    <w:tcW w:w="606"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r>
            </w:sdtContent>
          </w:sdt>
          <w:sdt>
            <w:sdtPr>
              <w:rPr>
                <w:rFonts w:asciiTheme="minorHAnsi" w:eastAsiaTheme="minorEastAsia" w:hAnsiTheme="minorHAnsi" w:cstheme="minorBidi"/>
                <w:kern w:val="2"/>
                <w:sz w:val="18"/>
                <w:szCs w:val="18"/>
              </w:rPr>
              <w:alias w:val="长期股权投资明细"/>
              <w:tag w:val="_GBC_daf82e8df55d4ba9bf351c25fd5a63c2"/>
              <w:id w:val="1928005665"/>
              <w:lock w:val="sdtLocked"/>
            </w:sdtPr>
            <w:sdtContent>
              <w:tr w:rsidR="009B410C" w:rsidTr="00B637B2">
                <w:tc>
                  <w:tcPr>
                    <w:tcW w:w="1015"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9B410C">
                    <w:pPr>
                      <w:rPr>
                        <w:sz w:val="18"/>
                        <w:szCs w:val="18"/>
                      </w:rPr>
                    </w:pPr>
                    <w:r w:rsidRPr="007A3F89">
                      <w:rPr>
                        <w:sz w:val="18"/>
                        <w:szCs w:val="18"/>
                      </w:rPr>
                      <w:t>滨海用友</w:t>
                    </w: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1,800,000</w:t>
                    </w: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8F04CF" w:rsidP="00B637B2">
                    <w:pPr>
                      <w:jc w:val="right"/>
                      <w:rPr>
                        <w:sz w:val="18"/>
                        <w:szCs w:val="18"/>
                      </w:rPr>
                    </w:pPr>
                    <w:r w:rsidRPr="007A3F89">
                      <w:rPr>
                        <w:sz w:val="18"/>
                        <w:szCs w:val="18"/>
                      </w:rPr>
                      <w:t>1,800,000</w:t>
                    </w: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 xml:space="preserve"> - </w:t>
                    </w:r>
                  </w:p>
                </w:tc>
                <w:tc>
                  <w:tcPr>
                    <w:tcW w:w="609"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w:t>
                    </w:r>
                  </w:p>
                </w:tc>
                <w:tc>
                  <w:tcPr>
                    <w:tcW w:w="606"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r>
            </w:sdtContent>
          </w:sdt>
          <w:sdt>
            <w:sdtPr>
              <w:rPr>
                <w:rFonts w:asciiTheme="minorHAnsi" w:eastAsiaTheme="minorEastAsia" w:hAnsiTheme="minorHAnsi" w:cstheme="minorBidi"/>
                <w:kern w:val="2"/>
                <w:sz w:val="18"/>
                <w:szCs w:val="18"/>
              </w:rPr>
              <w:alias w:val="长期股权投资明细"/>
              <w:tag w:val="_GBC_daf82e8df55d4ba9bf351c25fd5a63c2"/>
              <w:id w:val="448434494"/>
              <w:lock w:val="sdtLocked"/>
            </w:sdtPr>
            <w:sdtContent>
              <w:tr w:rsidR="009B410C" w:rsidTr="00B637B2">
                <w:tc>
                  <w:tcPr>
                    <w:tcW w:w="1015"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9B410C">
                    <w:pPr>
                      <w:rPr>
                        <w:sz w:val="18"/>
                        <w:szCs w:val="18"/>
                      </w:rPr>
                    </w:pPr>
                    <w:r w:rsidRPr="007A3F89">
                      <w:rPr>
                        <w:sz w:val="18"/>
                        <w:szCs w:val="18"/>
                      </w:rPr>
                      <w:t>灏麓梵科技</w:t>
                    </w: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1,000,000</w:t>
                    </w: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1,000,000</w:t>
                    </w:r>
                  </w:p>
                </w:tc>
                <w:tc>
                  <w:tcPr>
                    <w:tcW w:w="609"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w:t>
                    </w:r>
                  </w:p>
                </w:tc>
                <w:tc>
                  <w:tcPr>
                    <w:tcW w:w="606"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r>
            </w:sdtContent>
          </w:sdt>
          <w:sdt>
            <w:sdtPr>
              <w:rPr>
                <w:rFonts w:asciiTheme="minorHAnsi" w:eastAsiaTheme="minorEastAsia" w:hAnsiTheme="minorHAnsi" w:cstheme="minorBidi"/>
                <w:kern w:val="2"/>
                <w:sz w:val="18"/>
                <w:szCs w:val="18"/>
              </w:rPr>
              <w:alias w:val="长期股权投资明细"/>
              <w:tag w:val="_GBC_daf82e8df55d4ba9bf351c25fd5a63c2"/>
              <w:id w:val="1190177425"/>
              <w:lock w:val="sdtLocked"/>
            </w:sdtPr>
            <w:sdtContent>
              <w:tr w:rsidR="009B410C" w:rsidTr="00B637B2">
                <w:tc>
                  <w:tcPr>
                    <w:tcW w:w="1015"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9B410C">
                    <w:pPr>
                      <w:rPr>
                        <w:sz w:val="18"/>
                        <w:szCs w:val="18"/>
                      </w:rPr>
                    </w:pPr>
                    <w:r w:rsidRPr="007A3F89">
                      <w:rPr>
                        <w:sz w:val="18"/>
                        <w:szCs w:val="18"/>
                      </w:rPr>
                      <w:t>安徽用友</w:t>
                    </w: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876,000</w:t>
                    </w: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876,000</w:t>
                    </w:r>
                  </w:p>
                </w:tc>
                <w:tc>
                  <w:tcPr>
                    <w:tcW w:w="609"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w:t>
                    </w:r>
                  </w:p>
                </w:tc>
                <w:tc>
                  <w:tcPr>
                    <w:tcW w:w="606"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r>
            </w:sdtContent>
          </w:sdt>
          <w:sdt>
            <w:sdtPr>
              <w:rPr>
                <w:rFonts w:asciiTheme="minorHAnsi" w:eastAsiaTheme="minorEastAsia" w:hAnsiTheme="minorHAnsi" w:cstheme="minorBidi"/>
                <w:kern w:val="2"/>
                <w:sz w:val="18"/>
                <w:szCs w:val="18"/>
              </w:rPr>
              <w:alias w:val="长期股权投资明细"/>
              <w:tag w:val="_GBC_daf82e8df55d4ba9bf351c25fd5a63c2"/>
              <w:id w:val="-434063381"/>
              <w:lock w:val="sdtLocked"/>
            </w:sdtPr>
            <w:sdtContent>
              <w:tr w:rsidR="009B410C" w:rsidTr="00B637B2">
                <w:tc>
                  <w:tcPr>
                    <w:tcW w:w="1015"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9B410C">
                    <w:pPr>
                      <w:rPr>
                        <w:sz w:val="18"/>
                        <w:szCs w:val="18"/>
                      </w:rPr>
                    </w:pPr>
                    <w:r w:rsidRPr="007A3F89">
                      <w:rPr>
                        <w:sz w:val="18"/>
                        <w:szCs w:val="18"/>
                      </w:rPr>
                      <w:t>重庆用友</w:t>
                    </w: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675,000</w:t>
                    </w: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675,000</w:t>
                    </w:r>
                  </w:p>
                </w:tc>
                <w:tc>
                  <w:tcPr>
                    <w:tcW w:w="609"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w:t>
                    </w:r>
                  </w:p>
                </w:tc>
                <w:tc>
                  <w:tcPr>
                    <w:tcW w:w="606"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r>
            </w:sdtContent>
          </w:sdt>
          <w:sdt>
            <w:sdtPr>
              <w:rPr>
                <w:rFonts w:asciiTheme="minorHAnsi" w:eastAsiaTheme="minorEastAsia" w:hAnsiTheme="minorHAnsi" w:cstheme="minorBidi"/>
                <w:kern w:val="2"/>
                <w:sz w:val="18"/>
                <w:szCs w:val="18"/>
              </w:rPr>
              <w:alias w:val="长期股权投资明细"/>
              <w:tag w:val="_GBC_daf82e8df55d4ba9bf351c25fd5a63c2"/>
              <w:id w:val="222491129"/>
              <w:lock w:val="sdtLocked"/>
            </w:sdtPr>
            <w:sdtContent>
              <w:tr w:rsidR="009B410C" w:rsidTr="00B637B2">
                <w:tc>
                  <w:tcPr>
                    <w:tcW w:w="1015"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9B410C">
                    <w:pPr>
                      <w:rPr>
                        <w:sz w:val="18"/>
                        <w:szCs w:val="18"/>
                      </w:rPr>
                    </w:pPr>
                    <w:r w:rsidRPr="007A3F89">
                      <w:rPr>
                        <w:sz w:val="18"/>
                        <w:szCs w:val="18"/>
                      </w:rPr>
                      <w:t>宁波用友</w:t>
                    </w: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5,000,000</w:t>
                    </w: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5,000,000</w:t>
                    </w:r>
                  </w:p>
                </w:tc>
                <w:tc>
                  <w:tcPr>
                    <w:tcW w:w="609"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w:t>
                    </w:r>
                  </w:p>
                </w:tc>
                <w:tc>
                  <w:tcPr>
                    <w:tcW w:w="606"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r>
            </w:sdtContent>
          </w:sdt>
          <w:sdt>
            <w:sdtPr>
              <w:rPr>
                <w:rFonts w:asciiTheme="minorHAnsi" w:eastAsiaTheme="minorEastAsia" w:hAnsiTheme="minorHAnsi" w:cstheme="minorBidi"/>
                <w:kern w:val="2"/>
                <w:sz w:val="18"/>
                <w:szCs w:val="18"/>
              </w:rPr>
              <w:alias w:val="长期股权投资明细"/>
              <w:tag w:val="_GBC_daf82e8df55d4ba9bf351c25fd5a63c2"/>
              <w:id w:val="1060436886"/>
              <w:lock w:val="sdtLocked"/>
            </w:sdtPr>
            <w:sdtContent>
              <w:tr w:rsidR="009B410C" w:rsidTr="00B637B2">
                <w:tc>
                  <w:tcPr>
                    <w:tcW w:w="1015"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9B410C">
                    <w:pPr>
                      <w:rPr>
                        <w:sz w:val="18"/>
                        <w:szCs w:val="18"/>
                      </w:rPr>
                    </w:pPr>
                    <w:r w:rsidRPr="007A3F89">
                      <w:rPr>
                        <w:sz w:val="18"/>
                        <w:szCs w:val="18"/>
                      </w:rPr>
                      <w:t>用友工业互联</w:t>
                    </w: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10,000,000</w:t>
                    </w: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10,000,000</w:t>
                    </w:r>
                  </w:p>
                </w:tc>
                <w:tc>
                  <w:tcPr>
                    <w:tcW w:w="609"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w:t>
                    </w:r>
                  </w:p>
                </w:tc>
                <w:tc>
                  <w:tcPr>
                    <w:tcW w:w="606"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r>
            </w:sdtContent>
          </w:sdt>
          <w:sdt>
            <w:sdtPr>
              <w:rPr>
                <w:rFonts w:asciiTheme="minorHAnsi" w:eastAsiaTheme="minorEastAsia" w:hAnsiTheme="minorHAnsi" w:cstheme="minorBidi"/>
                <w:kern w:val="2"/>
                <w:sz w:val="18"/>
                <w:szCs w:val="18"/>
              </w:rPr>
              <w:alias w:val="长期股权投资明细"/>
              <w:tag w:val="_GBC_daf82e8df55d4ba9bf351c25fd5a63c2"/>
              <w:id w:val="176546928"/>
              <w:lock w:val="sdtLocked"/>
            </w:sdtPr>
            <w:sdtContent>
              <w:tr w:rsidR="009B410C" w:rsidTr="00B637B2">
                <w:tc>
                  <w:tcPr>
                    <w:tcW w:w="1015"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9B410C">
                    <w:pPr>
                      <w:rPr>
                        <w:sz w:val="18"/>
                        <w:szCs w:val="18"/>
                      </w:rPr>
                    </w:pPr>
                    <w:r w:rsidRPr="007A3F89">
                      <w:rPr>
                        <w:sz w:val="18"/>
                        <w:szCs w:val="18"/>
                      </w:rPr>
                      <w:t>点点亮科技</w:t>
                    </w: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100,000</w:t>
                    </w: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100,000</w:t>
                    </w:r>
                  </w:p>
                </w:tc>
                <w:tc>
                  <w:tcPr>
                    <w:tcW w:w="609"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w:t>
                    </w:r>
                  </w:p>
                </w:tc>
                <w:tc>
                  <w:tcPr>
                    <w:tcW w:w="606"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r>
            </w:sdtContent>
          </w:sdt>
          <w:sdt>
            <w:sdtPr>
              <w:rPr>
                <w:rFonts w:asciiTheme="minorHAnsi" w:eastAsiaTheme="minorEastAsia" w:hAnsiTheme="minorHAnsi" w:cstheme="minorBidi"/>
                <w:kern w:val="2"/>
                <w:sz w:val="18"/>
                <w:szCs w:val="18"/>
              </w:rPr>
              <w:alias w:val="长期股权投资明细"/>
              <w:tag w:val="_GBC_daf82e8df55d4ba9bf351c25fd5a63c2"/>
              <w:id w:val="311449492"/>
              <w:lock w:val="sdtLocked"/>
            </w:sdtPr>
            <w:sdtContent>
              <w:tr w:rsidR="009B410C" w:rsidTr="00B637B2">
                <w:tc>
                  <w:tcPr>
                    <w:tcW w:w="1015"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9B410C">
                    <w:pPr>
                      <w:rPr>
                        <w:sz w:val="18"/>
                        <w:szCs w:val="18"/>
                      </w:rPr>
                    </w:pPr>
                    <w:r w:rsidRPr="007A3F89">
                      <w:rPr>
                        <w:sz w:val="18"/>
                        <w:szCs w:val="18"/>
                      </w:rPr>
                      <w:t>用友云创投</w:t>
                    </w: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50,000,000</w:t>
                    </w: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60,000,000</w:t>
                    </w: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110,000,000</w:t>
                    </w:r>
                  </w:p>
                </w:tc>
                <w:tc>
                  <w:tcPr>
                    <w:tcW w:w="609"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w:t>
                    </w:r>
                  </w:p>
                </w:tc>
                <w:tc>
                  <w:tcPr>
                    <w:tcW w:w="606"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r>
            </w:sdtContent>
          </w:sdt>
          <w:sdt>
            <w:sdtPr>
              <w:rPr>
                <w:rFonts w:asciiTheme="minorHAnsi" w:eastAsiaTheme="minorEastAsia" w:hAnsiTheme="minorHAnsi" w:cstheme="minorBidi"/>
                <w:kern w:val="2"/>
                <w:sz w:val="18"/>
                <w:szCs w:val="18"/>
              </w:rPr>
              <w:alias w:val="长期股权投资明细"/>
              <w:tag w:val="_GBC_daf82e8df55d4ba9bf351c25fd5a63c2"/>
              <w:id w:val="453994270"/>
              <w:lock w:val="sdtLocked"/>
            </w:sdtPr>
            <w:sdtContent>
              <w:tr w:rsidR="009B410C" w:rsidTr="00B637B2">
                <w:tc>
                  <w:tcPr>
                    <w:tcW w:w="1015"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9B410C">
                    <w:pPr>
                      <w:rPr>
                        <w:sz w:val="18"/>
                        <w:szCs w:val="18"/>
                      </w:rPr>
                    </w:pPr>
                    <w:r w:rsidRPr="007A3F89">
                      <w:rPr>
                        <w:sz w:val="18"/>
                        <w:szCs w:val="18"/>
                      </w:rPr>
                      <w:t>用友产投</w:t>
                    </w: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8,750,000</w:t>
                    </w: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8,750,000</w:t>
                    </w:r>
                  </w:p>
                </w:tc>
                <w:tc>
                  <w:tcPr>
                    <w:tcW w:w="609"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w:t>
                    </w:r>
                  </w:p>
                </w:tc>
                <w:tc>
                  <w:tcPr>
                    <w:tcW w:w="606"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r>
            </w:sdtContent>
          </w:sdt>
          <w:sdt>
            <w:sdtPr>
              <w:rPr>
                <w:rFonts w:asciiTheme="minorHAnsi" w:eastAsiaTheme="minorEastAsia" w:hAnsiTheme="minorHAnsi" w:cstheme="minorBidi"/>
                <w:kern w:val="2"/>
                <w:sz w:val="18"/>
                <w:szCs w:val="18"/>
              </w:rPr>
              <w:alias w:val="长期股权投资明细"/>
              <w:tag w:val="_GBC_daf82e8df55d4ba9bf351c25fd5a63c2"/>
              <w:id w:val="802272555"/>
              <w:lock w:val="sdtLocked"/>
            </w:sdtPr>
            <w:sdtContent>
              <w:tr w:rsidR="009B410C" w:rsidTr="00B637B2">
                <w:tc>
                  <w:tcPr>
                    <w:tcW w:w="1015"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9B410C">
                    <w:pPr>
                      <w:rPr>
                        <w:sz w:val="18"/>
                        <w:szCs w:val="18"/>
                      </w:rPr>
                    </w:pPr>
                    <w:r w:rsidRPr="007A3F89">
                      <w:rPr>
                        <w:sz w:val="18"/>
                        <w:szCs w:val="18"/>
                      </w:rPr>
                      <w:t>幸福云创</w:t>
                    </w: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8,217,300</w:t>
                    </w: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608"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c>
                  <w:tcPr>
                    <w:tcW w:w="777"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r w:rsidRPr="007A3F89">
                      <w:rPr>
                        <w:sz w:val="18"/>
                        <w:szCs w:val="18"/>
                      </w:rPr>
                      <w:t>8,217,300</w:t>
                    </w:r>
                  </w:p>
                </w:tc>
                <w:tc>
                  <w:tcPr>
                    <w:tcW w:w="609" w:type="pct"/>
                    <w:tcBorders>
                      <w:top w:val="single" w:sz="4" w:space="0" w:color="auto"/>
                      <w:left w:val="single" w:sz="4" w:space="0" w:color="auto"/>
                      <w:bottom w:val="single" w:sz="4" w:space="0" w:color="auto"/>
                      <w:right w:val="single" w:sz="4" w:space="0" w:color="auto"/>
                    </w:tcBorders>
                    <w:vAlign w:val="center"/>
                  </w:tcPr>
                  <w:p w:rsidR="009B410C" w:rsidRPr="007A3F89" w:rsidRDefault="008F04CF" w:rsidP="00B637B2">
                    <w:pPr>
                      <w:jc w:val="right"/>
                      <w:rPr>
                        <w:sz w:val="18"/>
                        <w:szCs w:val="18"/>
                      </w:rPr>
                    </w:pPr>
                    <w:r w:rsidRPr="007A3F89">
                      <w:rPr>
                        <w:sz w:val="18"/>
                        <w:szCs w:val="18"/>
                      </w:rPr>
                      <w:t xml:space="preserve">         </w:t>
                    </w:r>
                    <w:r w:rsidR="009B410C" w:rsidRPr="007A3F89">
                      <w:rPr>
                        <w:sz w:val="18"/>
                        <w:szCs w:val="18"/>
                      </w:rPr>
                      <w:t>-</w:t>
                    </w:r>
                  </w:p>
                </w:tc>
                <w:tc>
                  <w:tcPr>
                    <w:tcW w:w="606" w:type="pct"/>
                    <w:tcBorders>
                      <w:top w:val="single" w:sz="4" w:space="0" w:color="auto"/>
                      <w:left w:val="single" w:sz="4" w:space="0" w:color="auto"/>
                      <w:bottom w:val="single" w:sz="4" w:space="0" w:color="auto"/>
                      <w:right w:val="single" w:sz="4" w:space="0" w:color="auto"/>
                    </w:tcBorders>
                    <w:vAlign w:val="center"/>
                  </w:tcPr>
                  <w:p w:rsidR="009B410C" w:rsidRPr="007A3F89" w:rsidRDefault="009B410C" w:rsidP="00B637B2">
                    <w:pPr>
                      <w:jc w:val="right"/>
                      <w:rPr>
                        <w:sz w:val="18"/>
                        <w:szCs w:val="18"/>
                      </w:rPr>
                    </w:pPr>
                  </w:p>
                </w:tc>
              </w:tr>
            </w:sdtContent>
          </w:sdt>
          <w:tr w:rsidR="0084048C" w:rsidTr="00B637B2">
            <w:sdt>
              <w:sdtPr>
                <w:rPr>
                  <w:sz w:val="18"/>
                  <w:szCs w:val="18"/>
                </w:rPr>
                <w:tag w:val="_PLD_9515e88574304b2da64302e50d23e6cf"/>
                <w:id w:val="-1737082757"/>
                <w:lock w:val="sdtLocked"/>
              </w:sdtPr>
              <w:sdtContent>
                <w:tc>
                  <w:tcPr>
                    <w:tcW w:w="1015" w:type="pct"/>
                    <w:tcBorders>
                      <w:top w:val="single" w:sz="4" w:space="0" w:color="auto"/>
                      <w:left w:val="single" w:sz="4" w:space="0" w:color="auto"/>
                      <w:bottom w:val="single" w:sz="4" w:space="0" w:color="auto"/>
                      <w:right w:val="single" w:sz="4" w:space="0" w:color="auto"/>
                    </w:tcBorders>
                    <w:vAlign w:val="center"/>
                  </w:tcPr>
                  <w:p w:rsidR="0084048C" w:rsidRPr="007A3F89" w:rsidRDefault="0084048C" w:rsidP="003948B1">
                    <w:pPr>
                      <w:jc w:val="center"/>
                      <w:rPr>
                        <w:sz w:val="18"/>
                        <w:szCs w:val="18"/>
                      </w:rPr>
                    </w:pPr>
                    <w:r w:rsidRPr="007A3F89">
                      <w:rPr>
                        <w:rFonts w:hint="eastAsia"/>
                        <w:sz w:val="18"/>
                        <w:szCs w:val="18"/>
                      </w:rPr>
                      <w:t>合计</w:t>
                    </w:r>
                  </w:p>
                </w:tc>
              </w:sdtContent>
            </w:sdt>
            <w:tc>
              <w:tcPr>
                <w:tcW w:w="777" w:type="pct"/>
                <w:tcBorders>
                  <w:top w:val="single" w:sz="4" w:space="0" w:color="auto"/>
                  <w:left w:val="single" w:sz="4" w:space="0" w:color="auto"/>
                  <w:bottom w:val="single" w:sz="4" w:space="0" w:color="auto"/>
                  <w:right w:val="single" w:sz="4" w:space="0" w:color="auto"/>
                </w:tcBorders>
                <w:vAlign w:val="center"/>
              </w:tcPr>
              <w:p w:rsidR="0084048C" w:rsidRPr="007A3F89" w:rsidRDefault="008F04CF" w:rsidP="00B637B2">
                <w:pPr>
                  <w:jc w:val="right"/>
                  <w:rPr>
                    <w:sz w:val="18"/>
                    <w:szCs w:val="18"/>
                  </w:rPr>
                </w:pPr>
                <w:r w:rsidRPr="007A3F89">
                  <w:rPr>
                    <w:sz w:val="18"/>
                    <w:szCs w:val="18"/>
                  </w:rPr>
                  <w:t>3,154,538,680</w:t>
                </w:r>
              </w:p>
            </w:tc>
            <w:tc>
              <w:tcPr>
                <w:tcW w:w="608" w:type="pct"/>
                <w:tcBorders>
                  <w:top w:val="single" w:sz="4" w:space="0" w:color="auto"/>
                  <w:left w:val="single" w:sz="4" w:space="0" w:color="auto"/>
                  <w:bottom w:val="single" w:sz="4" w:space="0" w:color="auto"/>
                  <w:right w:val="single" w:sz="4" w:space="0" w:color="auto"/>
                </w:tcBorders>
                <w:vAlign w:val="center"/>
              </w:tcPr>
              <w:p w:rsidR="0084048C" w:rsidRPr="007A3F89" w:rsidRDefault="008F04CF" w:rsidP="00B637B2">
                <w:pPr>
                  <w:jc w:val="right"/>
                  <w:rPr>
                    <w:sz w:val="18"/>
                    <w:szCs w:val="18"/>
                  </w:rPr>
                </w:pPr>
                <w:r w:rsidRPr="007A3F89">
                  <w:rPr>
                    <w:sz w:val="18"/>
                    <w:szCs w:val="18"/>
                  </w:rPr>
                  <w:t>71,000,000</w:t>
                </w:r>
              </w:p>
            </w:tc>
            <w:tc>
              <w:tcPr>
                <w:tcW w:w="608" w:type="pct"/>
                <w:tcBorders>
                  <w:top w:val="single" w:sz="4" w:space="0" w:color="auto"/>
                  <w:left w:val="single" w:sz="4" w:space="0" w:color="auto"/>
                  <w:bottom w:val="single" w:sz="4" w:space="0" w:color="auto"/>
                  <w:right w:val="single" w:sz="4" w:space="0" w:color="auto"/>
                </w:tcBorders>
                <w:vAlign w:val="center"/>
              </w:tcPr>
              <w:p w:rsidR="0084048C" w:rsidRPr="007A3F89" w:rsidRDefault="008F04CF" w:rsidP="00B637B2">
                <w:pPr>
                  <w:jc w:val="right"/>
                  <w:rPr>
                    <w:sz w:val="18"/>
                    <w:szCs w:val="18"/>
                  </w:rPr>
                </w:pPr>
                <w:r w:rsidRPr="007A3F89">
                  <w:rPr>
                    <w:sz w:val="18"/>
                    <w:szCs w:val="18"/>
                  </w:rPr>
                  <w:t>1,800,000</w:t>
                </w:r>
              </w:p>
            </w:tc>
            <w:tc>
              <w:tcPr>
                <w:tcW w:w="777" w:type="pct"/>
                <w:tcBorders>
                  <w:top w:val="single" w:sz="4" w:space="0" w:color="auto"/>
                  <w:left w:val="single" w:sz="4" w:space="0" w:color="auto"/>
                  <w:bottom w:val="single" w:sz="4" w:space="0" w:color="auto"/>
                  <w:right w:val="single" w:sz="4" w:space="0" w:color="auto"/>
                </w:tcBorders>
                <w:vAlign w:val="center"/>
              </w:tcPr>
              <w:p w:rsidR="0084048C" w:rsidRPr="007A3F89" w:rsidRDefault="008F04CF" w:rsidP="00B637B2">
                <w:pPr>
                  <w:jc w:val="right"/>
                  <w:rPr>
                    <w:sz w:val="18"/>
                    <w:szCs w:val="18"/>
                  </w:rPr>
                </w:pPr>
                <w:r w:rsidRPr="007A3F89">
                  <w:rPr>
                    <w:sz w:val="18"/>
                    <w:szCs w:val="18"/>
                  </w:rPr>
                  <w:t>3,223,738,680</w:t>
                </w:r>
              </w:p>
            </w:tc>
            <w:tc>
              <w:tcPr>
                <w:tcW w:w="609" w:type="pct"/>
                <w:tcBorders>
                  <w:top w:val="single" w:sz="4" w:space="0" w:color="auto"/>
                  <w:left w:val="single" w:sz="4" w:space="0" w:color="auto"/>
                  <w:bottom w:val="single" w:sz="4" w:space="0" w:color="auto"/>
                  <w:right w:val="single" w:sz="4" w:space="0" w:color="auto"/>
                </w:tcBorders>
                <w:vAlign w:val="center"/>
              </w:tcPr>
              <w:p w:rsidR="0084048C" w:rsidRPr="007A3F89" w:rsidRDefault="008F04CF" w:rsidP="00B637B2">
                <w:pPr>
                  <w:jc w:val="right"/>
                  <w:rPr>
                    <w:sz w:val="18"/>
                    <w:szCs w:val="18"/>
                  </w:rPr>
                </w:pPr>
                <w:r>
                  <w:rPr>
                    <w:rFonts w:hint="eastAsia"/>
                    <w:sz w:val="18"/>
                    <w:szCs w:val="18"/>
                  </w:rPr>
                  <w:t>-</w:t>
                </w:r>
              </w:p>
            </w:tc>
            <w:tc>
              <w:tcPr>
                <w:tcW w:w="606" w:type="pct"/>
                <w:tcBorders>
                  <w:top w:val="single" w:sz="4" w:space="0" w:color="auto"/>
                  <w:left w:val="single" w:sz="4" w:space="0" w:color="auto"/>
                  <w:bottom w:val="single" w:sz="4" w:space="0" w:color="auto"/>
                  <w:right w:val="single" w:sz="4" w:space="0" w:color="auto"/>
                </w:tcBorders>
                <w:vAlign w:val="center"/>
              </w:tcPr>
              <w:p w:rsidR="0084048C" w:rsidRPr="007A3F89" w:rsidRDefault="008F04CF" w:rsidP="00B637B2">
                <w:pPr>
                  <w:jc w:val="right"/>
                  <w:rPr>
                    <w:sz w:val="18"/>
                    <w:szCs w:val="18"/>
                  </w:rPr>
                </w:pPr>
                <w:r w:rsidRPr="007A3F89">
                  <w:rPr>
                    <w:sz w:val="18"/>
                    <w:szCs w:val="18"/>
                  </w:rPr>
                  <w:t>115,062,971</w:t>
                </w:r>
              </w:p>
            </w:tc>
          </w:tr>
        </w:tbl>
        <w:p w:rsidR="0084048C" w:rsidRDefault="0084048C"/>
        <w:p w:rsidR="00ED2DC7" w:rsidRDefault="000D0A99">
          <w:pPr>
            <w:rPr>
              <w:szCs w:val="21"/>
            </w:rPr>
          </w:pPr>
        </w:p>
      </w:sdtContent>
    </w:sdt>
    <w:sdt>
      <w:sdtPr>
        <w:rPr>
          <w:rFonts w:ascii="宋体" w:hAnsi="宋体" w:cs="宋体" w:hint="eastAsia"/>
          <w:b w:val="0"/>
          <w:bCs w:val="0"/>
          <w:kern w:val="0"/>
          <w:szCs w:val="21"/>
        </w:rPr>
        <w:alias w:val="模块:对联营、合营企业投资"/>
        <w:tag w:val="_GBC_eb61534d0a614526b319605aeaa9bf73"/>
        <w:id w:val="1416131823"/>
        <w:lock w:val="sdtLocked"/>
        <w:placeholder>
          <w:docPart w:val="GBC22222222222222222222222222222"/>
        </w:placeholder>
      </w:sdtPr>
      <w:sdtContent>
        <w:p w:rsidR="00ED2DC7" w:rsidRDefault="00ED2DC7" w:rsidP="00036BDC">
          <w:pPr>
            <w:pStyle w:val="affffffffffffffffff2"/>
            <w:numPr>
              <w:ilvl w:val="0"/>
              <w:numId w:val="104"/>
            </w:numPr>
            <w:rPr>
              <w:szCs w:val="21"/>
            </w:rPr>
          </w:pPr>
          <w:r>
            <w:rPr>
              <w:rFonts w:hint="eastAsia"/>
              <w:szCs w:val="21"/>
            </w:rPr>
            <w:t>对联营、</w:t>
          </w:r>
          <w:r>
            <w:rPr>
              <w:rFonts w:hint="eastAsia"/>
            </w:rPr>
            <w:t>合营</w:t>
          </w:r>
          <w:r>
            <w:rPr>
              <w:rFonts w:hint="eastAsia"/>
              <w:szCs w:val="21"/>
            </w:rPr>
            <w:t>企业投资</w:t>
          </w:r>
        </w:p>
        <w:sdt>
          <w:sdtPr>
            <w:alias w:val="是否适用：母公司对联营、合营企业投资[双击切换]"/>
            <w:tag w:val="_GBC_0837f60a15fc4684b64085618adca8d2"/>
            <w:id w:val="1752543540"/>
            <w:lock w:val="sdtContentLocked"/>
            <w:placeholder>
              <w:docPart w:val="GBC22222222222222222222222222222"/>
            </w:placeholder>
          </w:sdtPr>
          <w:sdtContent>
            <w:p w:rsidR="00ED2DC7" w:rsidRDefault="00ED2DC7">
              <w:r>
                <w:fldChar w:fldCharType="begin"/>
              </w:r>
              <w:r w:rsidR="00C46973">
                <w:instrText xml:space="preserve"> MACROBUTTON  SnrToggleCheckbox √适用 </w:instrText>
              </w:r>
              <w:r>
                <w:fldChar w:fldCharType="end"/>
              </w:r>
              <w:r>
                <w:fldChar w:fldCharType="begin"/>
              </w:r>
              <w:r w:rsidR="00C46973">
                <w:instrText xml:space="preserve"> MACROBUTTON  SnrToggleCheckbox □不适用 </w:instrText>
              </w:r>
              <w:r>
                <w:fldChar w:fldCharType="end"/>
              </w:r>
            </w:p>
          </w:sdtContent>
        </w:sdt>
        <w:p w:rsidR="00ED2DC7" w:rsidRDefault="00ED2DC7">
          <w:pPr>
            <w:jc w:val="right"/>
            <w:rPr>
              <w:szCs w:val="21"/>
            </w:rPr>
          </w:pPr>
          <w:r>
            <w:rPr>
              <w:rFonts w:hint="eastAsia"/>
              <w:szCs w:val="21"/>
            </w:rPr>
            <w:t>单位：</w:t>
          </w:r>
          <w:sdt>
            <w:sdtPr>
              <w:rPr>
                <w:rFonts w:hint="eastAsia"/>
                <w:szCs w:val="21"/>
              </w:rPr>
              <w:alias w:val="单位：母公司财务附注：对联营、合营企业投资"/>
              <w:tag w:val="_GBC_d8af48cd34c54e749df777d4e6a5e2ed"/>
              <w:id w:val="19833461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hint="eastAsia"/>
                  <w:szCs w:val="21"/>
                </w:rPr>
                <w:t>元</w:t>
              </w:r>
            </w:sdtContent>
          </w:sdt>
          <w:r>
            <w:rPr>
              <w:rFonts w:hint="eastAsia"/>
              <w:szCs w:val="21"/>
            </w:rPr>
            <w:t xml:space="preserve">  币种：</w:t>
          </w:r>
          <w:sdt>
            <w:sdtPr>
              <w:rPr>
                <w:rFonts w:hint="eastAsia"/>
                <w:szCs w:val="21"/>
              </w:rPr>
              <w:alias w:val="币种：母公司财务附注：对联营、合营企业投资"/>
              <w:tag w:val="_GBC_5b4bb22c6cca42989bcd538938127ee2"/>
              <w:id w:val="105273076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szCs w:val="21"/>
                </w:rPr>
                <w:t>人民币</w:t>
              </w:r>
            </w:sdtContent>
          </w:sdt>
        </w:p>
        <w:tbl>
          <w:tblPr>
            <w:tblStyle w:val="g38"/>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4"/>
            <w:gridCol w:w="738"/>
            <w:gridCol w:w="740"/>
            <w:gridCol w:w="654"/>
            <w:gridCol w:w="767"/>
            <w:gridCol w:w="689"/>
            <w:gridCol w:w="693"/>
            <w:gridCol w:w="765"/>
            <w:gridCol w:w="756"/>
            <w:gridCol w:w="738"/>
            <w:gridCol w:w="751"/>
            <w:gridCol w:w="717"/>
          </w:tblGrid>
          <w:tr w:rsidR="00B637B2" w:rsidTr="00B637B2">
            <w:sdt>
              <w:sdtPr>
                <w:rPr>
                  <w:sz w:val="16"/>
                  <w:szCs w:val="16"/>
                </w:rPr>
                <w:tag w:val="_PLD_6cc6b034108e400a8f245ccad05ac887"/>
                <w:id w:val="1750461089"/>
                <w:lock w:val="sdtLocked"/>
              </w:sdtPr>
              <w:sdtContent>
                <w:tc>
                  <w:tcPr>
                    <w:tcW w:w="456" w:type="pct"/>
                    <w:vMerge w:val="restart"/>
                    <w:tcBorders>
                      <w:top w:val="single" w:sz="4" w:space="0" w:color="auto"/>
                      <w:left w:val="single" w:sz="4" w:space="0" w:color="auto"/>
                      <w:right w:val="single" w:sz="4" w:space="0" w:color="auto"/>
                    </w:tcBorders>
                    <w:shd w:val="clear" w:color="auto" w:fill="auto"/>
                    <w:vAlign w:val="center"/>
                  </w:tcPr>
                  <w:p w:rsidR="00B637B2" w:rsidRPr="00176499" w:rsidRDefault="00036BDC" w:rsidP="00B637B2">
                    <w:pPr>
                      <w:jc w:val="center"/>
                      <w:rPr>
                        <w:sz w:val="16"/>
                        <w:szCs w:val="16"/>
                      </w:rPr>
                    </w:pPr>
                    <w:r w:rsidRPr="00176499">
                      <w:rPr>
                        <w:rFonts w:hint="eastAsia"/>
                        <w:sz w:val="16"/>
                        <w:szCs w:val="16"/>
                      </w:rPr>
                      <w:t>投资</w:t>
                    </w:r>
                  </w:p>
                  <w:p w:rsidR="00B637B2" w:rsidRPr="00176499" w:rsidRDefault="00036BDC" w:rsidP="00B637B2">
                    <w:pPr>
                      <w:jc w:val="center"/>
                      <w:rPr>
                        <w:sz w:val="16"/>
                        <w:szCs w:val="16"/>
                      </w:rPr>
                    </w:pPr>
                    <w:r w:rsidRPr="00176499">
                      <w:rPr>
                        <w:rFonts w:hint="eastAsia"/>
                        <w:sz w:val="16"/>
                        <w:szCs w:val="16"/>
                      </w:rPr>
                      <w:t>单位</w:t>
                    </w:r>
                  </w:p>
                </w:tc>
              </w:sdtContent>
            </w:sdt>
            <w:sdt>
              <w:sdtPr>
                <w:rPr>
                  <w:sz w:val="16"/>
                  <w:szCs w:val="16"/>
                </w:rPr>
                <w:tag w:val="_PLD_4e363a39fcae421c9a049aefb0d049c6"/>
                <w:id w:val="-1959792525"/>
                <w:lock w:val="sdtLocked"/>
              </w:sdtPr>
              <w:sdtContent>
                <w:tc>
                  <w:tcPr>
                    <w:tcW w:w="419" w:type="pct"/>
                    <w:vMerge w:val="restart"/>
                    <w:tcBorders>
                      <w:top w:val="single" w:sz="4" w:space="0" w:color="auto"/>
                      <w:left w:val="single" w:sz="4" w:space="0" w:color="auto"/>
                      <w:right w:val="single" w:sz="4" w:space="0" w:color="auto"/>
                    </w:tcBorders>
                    <w:shd w:val="clear" w:color="auto" w:fill="auto"/>
                    <w:vAlign w:val="center"/>
                  </w:tcPr>
                  <w:p w:rsidR="00B637B2" w:rsidRPr="00176499" w:rsidRDefault="00036BDC" w:rsidP="00B637B2">
                    <w:pPr>
                      <w:jc w:val="center"/>
                      <w:rPr>
                        <w:sz w:val="16"/>
                        <w:szCs w:val="16"/>
                      </w:rPr>
                    </w:pPr>
                    <w:r w:rsidRPr="00176499">
                      <w:rPr>
                        <w:rFonts w:hint="eastAsia"/>
                        <w:sz w:val="16"/>
                        <w:szCs w:val="16"/>
                      </w:rPr>
                      <w:t>期初</w:t>
                    </w:r>
                  </w:p>
                  <w:p w:rsidR="00B637B2" w:rsidRPr="00176499" w:rsidRDefault="00036BDC" w:rsidP="00B637B2">
                    <w:pPr>
                      <w:jc w:val="center"/>
                      <w:rPr>
                        <w:sz w:val="16"/>
                        <w:szCs w:val="16"/>
                      </w:rPr>
                    </w:pPr>
                    <w:r w:rsidRPr="00176499">
                      <w:rPr>
                        <w:rFonts w:hint="eastAsia"/>
                        <w:sz w:val="16"/>
                        <w:szCs w:val="16"/>
                      </w:rPr>
                      <w:t>余额</w:t>
                    </w:r>
                  </w:p>
                </w:tc>
              </w:sdtContent>
            </w:sdt>
            <w:sdt>
              <w:sdtPr>
                <w:rPr>
                  <w:sz w:val="16"/>
                  <w:szCs w:val="16"/>
                </w:rPr>
                <w:tag w:val="_PLD_675bbbad11dc4d23934e356c8b45872c"/>
                <w:id w:val="-556777750"/>
                <w:lock w:val="sdtLocked"/>
              </w:sdtPr>
              <w:sdtContent>
                <w:tc>
                  <w:tcPr>
                    <w:tcW w:w="329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036BDC" w:rsidP="00B637B2">
                    <w:pPr>
                      <w:jc w:val="center"/>
                      <w:rPr>
                        <w:sz w:val="16"/>
                        <w:szCs w:val="16"/>
                      </w:rPr>
                    </w:pPr>
                    <w:r w:rsidRPr="00176499">
                      <w:rPr>
                        <w:rFonts w:hint="eastAsia"/>
                        <w:sz w:val="16"/>
                        <w:szCs w:val="16"/>
                      </w:rPr>
                      <w:t>本期增减变动</w:t>
                    </w:r>
                  </w:p>
                </w:tc>
              </w:sdtContent>
            </w:sdt>
            <w:sdt>
              <w:sdtPr>
                <w:rPr>
                  <w:sz w:val="16"/>
                  <w:szCs w:val="16"/>
                </w:rPr>
                <w:tag w:val="_PLD_60650c529731423a8920dee24235a743"/>
                <w:id w:val="-466197689"/>
                <w:lock w:val="sdtLocked"/>
              </w:sdtPr>
              <w:sdtContent>
                <w:tc>
                  <w:tcPr>
                    <w:tcW w:w="426" w:type="pct"/>
                    <w:vMerge w:val="restart"/>
                    <w:tcBorders>
                      <w:top w:val="single" w:sz="4" w:space="0" w:color="auto"/>
                      <w:left w:val="single" w:sz="4" w:space="0" w:color="auto"/>
                      <w:right w:val="single" w:sz="4" w:space="0" w:color="auto"/>
                    </w:tcBorders>
                    <w:shd w:val="clear" w:color="auto" w:fill="auto"/>
                    <w:vAlign w:val="center"/>
                  </w:tcPr>
                  <w:p w:rsidR="00B637B2" w:rsidRPr="00176499" w:rsidRDefault="00036BDC" w:rsidP="00B637B2">
                    <w:pPr>
                      <w:jc w:val="center"/>
                      <w:rPr>
                        <w:sz w:val="16"/>
                        <w:szCs w:val="16"/>
                      </w:rPr>
                    </w:pPr>
                    <w:r w:rsidRPr="00176499">
                      <w:rPr>
                        <w:rFonts w:hint="eastAsia"/>
                        <w:sz w:val="16"/>
                        <w:szCs w:val="16"/>
                      </w:rPr>
                      <w:t>期末</w:t>
                    </w:r>
                  </w:p>
                  <w:p w:rsidR="00B637B2" w:rsidRPr="00176499" w:rsidRDefault="00036BDC" w:rsidP="00B637B2">
                    <w:pPr>
                      <w:jc w:val="center"/>
                      <w:rPr>
                        <w:sz w:val="16"/>
                        <w:szCs w:val="16"/>
                      </w:rPr>
                    </w:pPr>
                    <w:r w:rsidRPr="00176499">
                      <w:rPr>
                        <w:rFonts w:hint="eastAsia"/>
                        <w:sz w:val="16"/>
                        <w:szCs w:val="16"/>
                      </w:rPr>
                      <w:t>余额</w:t>
                    </w:r>
                  </w:p>
                </w:tc>
              </w:sdtContent>
            </w:sdt>
            <w:sdt>
              <w:sdtPr>
                <w:rPr>
                  <w:sz w:val="16"/>
                  <w:szCs w:val="16"/>
                </w:rPr>
                <w:tag w:val="_PLD_015da9aade664ef1a73ffb5d14b36a29"/>
                <w:id w:val="-314184702"/>
                <w:lock w:val="sdtLocked"/>
              </w:sdtPr>
              <w:sdtContent>
                <w:tc>
                  <w:tcPr>
                    <w:tcW w:w="407" w:type="pct"/>
                    <w:vMerge w:val="restart"/>
                    <w:tcBorders>
                      <w:top w:val="single" w:sz="4" w:space="0" w:color="auto"/>
                      <w:left w:val="single" w:sz="4" w:space="0" w:color="auto"/>
                      <w:right w:val="single" w:sz="4" w:space="0" w:color="auto"/>
                    </w:tcBorders>
                    <w:shd w:val="clear" w:color="auto" w:fill="auto"/>
                    <w:vAlign w:val="center"/>
                  </w:tcPr>
                  <w:p w:rsidR="00B637B2" w:rsidRPr="00176499" w:rsidRDefault="00036BDC" w:rsidP="00B637B2">
                    <w:pPr>
                      <w:jc w:val="center"/>
                      <w:rPr>
                        <w:sz w:val="16"/>
                        <w:szCs w:val="16"/>
                      </w:rPr>
                    </w:pPr>
                    <w:r w:rsidRPr="00176499">
                      <w:rPr>
                        <w:rFonts w:hint="eastAsia"/>
                        <w:sz w:val="16"/>
                        <w:szCs w:val="16"/>
                      </w:rPr>
                      <w:t>减值准备期末余额</w:t>
                    </w:r>
                  </w:p>
                </w:tc>
              </w:sdtContent>
            </w:sdt>
          </w:tr>
          <w:tr w:rsidR="00B637B2" w:rsidTr="00B637B2">
            <w:tc>
              <w:tcPr>
                <w:tcW w:w="456" w:type="pct"/>
                <w:vMerge/>
                <w:tcBorders>
                  <w:left w:val="single" w:sz="4" w:space="0" w:color="auto"/>
                  <w:bottom w:val="single" w:sz="4" w:space="0" w:color="auto"/>
                  <w:right w:val="single" w:sz="4" w:space="0" w:color="auto"/>
                </w:tcBorders>
                <w:shd w:val="clear" w:color="auto" w:fill="auto"/>
              </w:tcPr>
              <w:p w:rsidR="00B637B2" w:rsidRPr="00176499" w:rsidRDefault="00B637B2" w:rsidP="00B637B2">
                <w:pPr>
                  <w:jc w:val="center"/>
                  <w:rPr>
                    <w:sz w:val="16"/>
                    <w:szCs w:val="16"/>
                  </w:rPr>
                </w:pPr>
              </w:p>
            </w:tc>
            <w:tc>
              <w:tcPr>
                <w:tcW w:w="419" w:type="pct"/>
                <w:vMerge/>
                <w:tcBorders>
                  <w:left w:val="single" w:sz="4" w:space="0" w:color="auto"/>
                  <w:bottom w:val="single" w:sz="4" w:space="0" w:color="auto"/>
                  <w:right w:val="single" w:sz="4" w:space="0" w:color="auto"/>
                </w:tcBorders>
                <w:shd w:val="clear" w:color="auto" w:fill="auto"/>
              </w:tcPr>
              <w:p w:rsidR="00B637B2" w:rsidRPr="00176499" w:rsidRDefault="00B637B2" w:rsidP="00B637B2">
                <w:pPr>
                  <w:jc w:val="center"/>
                  <w:rPr>
                    <w:sz w:val="16"/>
                    <w:szCs w:val="16"/>
                  </w:rPr>
                </w:pPr>
              </w:p>
            </w:tc>
            <w:sdt>
              <w:sdtPr>
                <w:rPr>
                  <w:sz w:val="16"/>
                  <w:szCs w:val="16"/>
                </w:rPr>
                <w:tag w:val="_PLD_cbd2bf523863474c84cf8d516b6c392e"/>
                <w:id w:val="1989511855"/>
                <w:lock w:val="sdtLocked"/>
              </w:sdtPr>
              <w:sdtContent>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036BDC" w:rsidP="00B637B2">
                    <w:pPr>
                      <w:jc w:val="center"/>
                      <w:rPr>
                        <w:sz w:val="16"/>
                        <w:szCs w:val="16"/>
                      </w:rPr>
                    </w:pPr>
                    <w:r w:rsidRPr="00176499">
                      <w:rPr>
                        <w:rFonts w:hint="eastAsia"/>
                        <w:sz w:val="16"/>
                        <w:szCs w:val="16"/>
                      </w:rPr>
                      <w:t>追加投资</w:t>
                    </w:r>
                  </w:p>
                </w:tc>
              </w:sdtContent>
            </w:sdt>
            <w:sdt>
              <w:sdtPr>
                <w:rPr>
                  <w:sz w:val="16"/>
                  <w:szCs w:val="16"/>
                </w:rPr>
                <w:tag w:val="_PLD_2fb99239d0d745539b34e49e3410ad3d"/>
                <w:id w:val="-1500119339"/>
                <w:lock w:val="sdtLocked"/>
              </w:sdtPr>
              <w:sdtContent>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036BDC" w:rsidP="00B637B2">
                    <w:pPr>
                      <w:jc w:val="center"/>
                      <w:rPr>
                        <w:sz w:val="16"/>
                        <w:szCs w:val="16"/>
                      </w:rPr>
                    </w:pPr>
                    <w:r w:rsidRPr="00176499">
                      <w:rPr>
                        <w:rFonts w:hint="eastAsia"/>
                        <w:sz w:val="16"/>
                        <w:szCs w:val="16"/>
                      </w:rPr>
                      <w:t>减少投资</w:t>
                    </w:r>
                  </w:p>
                </w:tc>
              </w:sdtContent>
            </w:sdt>
            <w:sdt>
              <w:sdtPr>
                <w:rPr>
                  <w:sz w:val="16"/>
                  <w:szCs w:val="16"/>
                </w:rPr>
                <w:tag w:val="_PLD_1f3056d1910848f8b6a706479b4259a5"/>
                <w:id w:val="-1778862870"/>
                <w:lock w:val="sdtLocked"/>
              </w:sdtPr>
              <w:sdtContent>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036BDC" w:rsidP="00B637B2">
                    <w:pPr>
                      <w:jc w:val="center"/>
                      <w:rPr>
                        <w:sz w:val="16"/>
                        <w:szCs w:val="16"/>
                      </w:rPr>
                    </w:pPr>
                    <w:r w:rsidRPr="00176499">
                      <w:rPr>
                        <w:rFonts w:hint="eastAsia"/>
                        <w:sz w:val="16"/>
                        <w:szCs w:val="16"/>
                      </w:rPr>
                      <w:t>权益法下确认的投资损益</w:t>
                    </w:r>
                  </w:p>
                </w:tc>
              </w:sdtContent>
            </w:sdt>
            <w:sdt>
              <w:sdtPr>
                <w:rPr>
                  <w:sz w:val="16"/>
                  <w:szCs w:val="16"/>
                </w:rPr>
                <w:tag w:val="_PLD_0e97178fddec48888aefa92a2830b812"/>
                <w:id w:val="-408387353"/>
                <w:lock w:val="sdtLocked"/>
              </w:sdtPr>
              <w:sdtContent>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036BDC" w:rsidP="00B637B2">
                    <w:pPr>
                      <w:jc w:val="center"/>
                      <w:rPr>
                        <w:sz w:val="16"/>
                        <w:szCs w:val="16"/>
                      </w:rPr>
                    </w:pPr>
                    <w:r w:rsidRPr="00176499">
                      <w:rPr>
                        <w:rFonts w:hint="eastAsia"/>
                        <w:sz w:val="16"/>
                        <w:szCs w:val="16"/>
                      </w:rPr>
                      <w:t>其他综合收益调整</w:t>
                    </w:r>
                  </w:p>
                </w:tc>
              </w:sdtContent>
            </w:sdt>
            <w:sdt>
              <w:sdtPr>
                <w:rPr>
                  <w:sz w:val="16"/>
                  <w:szCs w:val="16"/>
                </w:rPr>
                <w:tag w:val="_PLD_29b9a15716dc4441a8dcb4c045a92f6b"/>
                <w:id w:val="-2071805086"/>
                <w:lock w:val="sdtLocked"/>
              </w:sdtPr>
              <w:sdtContent>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036BDC" w:rsidP="00B637B2">
                    <w:pPr>
                      <w:jc w:val="center"/>
                      <w:rPr>
                        <w:sz w:val="16"/>
                        <w:szCs w:val="16"/>
                      </w:rPr>
                    </w:pPr>
                    <w:r w:rsidRPr="00176499">
                      <w:rPr>
                        <w:rFonts w:hint="eastAsia"/>
                        <w:sz w:val="16"/>
                        <w:szCs w:val="16"/>
                      </w:rPr>
                      <w:t>其他权益变动</w:t>
                    </w:r>
                  </w:p>
                </w:tc>
              </w:sdtContent>
            </w:sdt>
            <w:sdt>
              <w:sdtPr>
                <w:rPr>
                  <w:sz w:val="16"/>
                  <w:szCs w:val="16"/>
                </w:rPr>
                <w:tag w:val="_PLD_e428cfe75ea541779cc82a8596f56242"/>
                <w:id w:val="-103504258"/>
                <w:lock w:val="sdtLocked"/>
              </w:sdtPr>
              <w:sdtContent>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036BDC" w:rsidP="00B637B2">
                    <w:pPr>
                      <w:jc w:val="center"/>
                      <w:rPr>
                        <w:sz w:val="16"/>
                        <w:szCs w:val="16"/>
                      </w:rPr>
                    </w:pPr>
                    <w:r w:rsidRPr="00176499">
                      <w:rPr>
                        <w:rFonts w:hint="eastAsia"/>
                        <w:sz w:val="16"/>
                        <w:szCs w:val="16"/>
                      </w:rPr>
                      <w:t>宣告发放现金股利或利润</w:t>
                    </w:r>
                  </w:p>
                </w:tc>
              </w:sdtContent>
            </w:sdt>
            <w:sdt>
              <w:sdtPr>
                <w:rPr>
                  <w:sz w:val="16"/>
                  <w:szCs w:val="16"/>
                </w:rPr>
                <w:tag w:val="_PLD_747f8a7789454ec8a102293ecaa63e28"/>
                <w:id w:val="-1681884977"/>
                <w:lock w:val="sdtLocked"/>
              </w:sdtPr>
              <w:sdtContent>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036BDC" w:rsidP="00B637B2">
                    <w:pPr>
                      <w:jc w:val="center"/>
                      <w:rPr>
                        <w:sz w:val="16"/>
                        <w:szCs w:val="16"/>
                      </w:rPr>
                    </w:pPr>
                    <w:r w:rsidRPr="00176499">
                      <w:rPr>
                        <w:rFonts w:hint="eastAsia"/>
                        <w:sz w:val="16"/>
                        <w:szCs w:val="16"/>
                      </w:rPr>
                      <w:t>计提减值准备</w:t>
                    </w:r>
                  </w:p>
                </w:tc>
              </w:sdtContent>
            </w:sdt>
            <w:sdt>
              <w:sdtPr>
                <w:rPr>
                  <w:sz w:val="16"/>
                  <w:szCs w:val="16"/>
                </w:rPr>
                <w:tag w:val="_PLD_c4dc0e381f9742f7b6c469b5b71f2b6b"/>
                <w:id w:val="42101754"/>
                <w:lock w:val="sdtLocked"/>
              </w:sdtPr>
              <w:sdtContent>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036BDC" w:rsidP="00B637B2">
                    <w:pPr>
                      <w:jc w:val="center"/>
                      <w:rPr>
                        <w:sz w:val="16"/>
                        <w:szCs w:val="16"/>
                      </w:rPr>
                    </w:pPr>
                    <w:r w:rsidRPr="00176499">
                      <w:rPr>
                        <w:rFonts w:hint="eastAsia"/>
                        <w:sz w:val="16"/>
                        <w:szCs w:val="16"/>
                      </w:rPr>
                      <w:t>其他</w:t>
                    </w:r>
                  </w:p>
                </w:tc>
              </w:sdtContent>
            </w:sdt>
            <w:tc>
              <w:tcPr>
                <w:tcW w:w="426" w:type="pct"/>
                <w:vMerge/>
                <w:tcBorders>
                  <w:left w:val="single" w:sz="4" w:space="0" w:color="auto"/>
                  <w:bottom w:val="single" w:sz="4" w:space="0" w:color="auto"/>
                  <w:right w:val="single" w:sz="4" w:space="0" w:color="auto"/>
                </w:tcBorders>
                <w:shd w:val="clear" w:color="auto" w:fill="auto"/>
              </w:tcPr>
              <w:p w:rsidR="00B637B2" w:rsidRPr="00176499" w:rsidRDefault="00B637B2" w:rsidP="00B637B2">
                <w:pPr>
                  <w:jc w:val="center"/>
                  <w:rPr>
                    <w:sz w:val="16"/>
                    <w:szCs w:val="16"/>
                  </w:rPr>
                </w:pPr>
              </w:p>
            </w:tc>
            <w:tc>
              <w:tcPr>
                <w:tcW w:w="407" w:type="pct"/>
                <w:vMerge/>
                <w:tcBorders>
                  <w:left w:val="single" w:sz="4" w:space="0" w:color="auto"/>
                  <w:bottom w:val="single" w:sz="4" w:space="0" w:color="auto"/>
                  <w:right w:val="single" w:sz="4" w:space="0" w:color="auto"/>
                </w:tcBorders>
                <w:shd w:val="clear" w:color="auto" w:fill="auto"/>
              </w:tcPr>
              <w:p w:rsidR="00B637B2" w:rsidRPr="00176499" w:rsidRDefault="00B637B2" w:rsidP="00B637B2">
                <w:pPr>
                  <w:jc w:val="center"/>
                  <w:rPr>
                    <w:sz w:val="16"/>
                    <w:szCs w:val="16"/>
                  </w:rPr>
                </w:pPr>
              </w:p>
            </w:tc>
          </w:tr>
          <w:tr w:rsidR="00B637B2" w:rsidTr="00B637B2">
            <w:sdt>
              <w:sdtPr>
                <w:rPr>
                  <w:sz w:val="16"/>
                  <w:szCs w:val="16"/>
                </w:rPr>
                <w:tag w:val="_PLD_22240ea193154bf4937c6cd3a9c9805f"/>
                <w:id w:val="-1276238015"/>
                <w:lock w:val="sdtLocked"/>
              </w:sdtPr>
              <w:sdtContent>
                <w:tc>
                  <w:tcPr>
                    <w:tcW w:w="456" w:type="pct"/>
                    <w:tcBorders>
                      <w:top w:val="single" w:sz="4" w:space="0" w:color="auto"/>
                      <w:left w:val="single" w:sz="4" w:space="0" w:color="auto"/>
                      <w:bottom w:val="single" w:sz="4" w:space="0" w:color="auto"/>
                      <w:right w:val="single" w:sz="4" w:space="0" w:color="auto"/>
                    </w:tcBorders>
                    <w:shd w:val="clear" w:color="auto" w:fill="auto"/>
                  </w:tcPr>
                  <w:p w:rsidR="00B637B2" w:rsidRPr="00176499" w:rsidRDefault="00036BDC" w:rsidP="00B637B2">
                    <w:pPr>
                      <w:rPr>
                        <w:sz w:val="16"/>
                        <w:szCs w:val="16"/>
                      </w:rPr>
                    </w:pPr>
                    <w:r w:rsidRPr="00176499">
                      <w:rPr>
                        <w:rFonts w:hint="eastAsia"/>
                        <w:sz w:val="16"/>
                        <w:szCs w:val="16"/>
                      </w:rPr>
                      <w:t>一、合营企业</w:t>
                    </w:r>
                  </w:p>
                </w:tc>
              </w:sdtContent>
            </w:sdt>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r>
          <w:sdt>
            <w:sdtPr>
              <w:rPr>
                <w:rFonts w:asciiTheme="minorHAnsi" w:eastAsiaTheme="minorEastAsia" w:hAnsiTheme="minorHAnsi" w:cstheme="minorBidi"/>
                <w:kern w:val="2"/>
                <w:sz w:val="16"/>
                <w:szCs w:val="16"/>
              </w:rPr>
              <w:alias w:val="合营企业投资信息明细"/>
              <w:tag w:val="_GBC_d8ad1583f4e8417c9255e24b2477f285"/>
              <w:id w:val="1033848150"/>
              <w:lock w:val="sdtLocked"/>
            </w:sdtPr>
            <w:sdtContent>
              <w:tr w:rsidR="00B637B2" w:rsidTr="00B637B2">
                <w:tc>
                  <w:tcPr>
                    <w:tcW w:w="456" w:type="pct"/>
                    <w:tcBorders>
                      <w:top w:val="single" w:sz="4" w:space="0" w:color="auto"/>
                      <w:left w:val="single" w:sz="4" w:space="0" w:color="auto"/>
                      <w:bottom w:val="single" w:sz="4" w:space="0" w:color="auto"/>
                      <w:right w:val="single" w:sz="4" w:space="0" w:color="auto"/>
                    </w:tcBorders>
                    <w:shd w:val="clear" w:color="auto" w:fill="auto"/>
                  </w:tcPr>
                  <w:p w:rsidR="00B637B2" w:rsidRPr="00176499" w:rsidRDefault="00B637B2" w:rsidP="00B637B2">
                    <w:pPr>
                      <w:rPr>
                        <w:sz w:val="16"/>
                        <w:szCs w:val="16"/>
                      </w:rPr>
                    </w:pP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r>
            </w:sdtContent>
          </w:sdt>
          <w:sdt>
            <w:sdtPr>
              <w:rPr>
                <w:rFonts w:asciiTheme="minorHAnsi" w:eastAsiaTheme="minorEastAsia" w:hAnsiTheme="minorHAnsi" w:cstheme="minorBidi"/>
                <w:kern w:val="2"/>
                <w:sz w:val="16"/>
                <w:szCs w:val="16"/>
              </w:rPr>
              <w:alias w:val="合营企业投资信息明细"/>
              <w:tag w:val="_GBC_d8ad1583f4e8417c9255e24b2477f285"/>
              <w:id w:val="1077020635"/>
              <w:lock w:val="sdtLocked"/>
            </w:sdtPr>
            <w:sdtContent>
              <w:tr w:rsidR="00B637B2" w:rsidTr="00B637B2">
                <w:tc>
                  <w:tcPr>
                    <w:tcW w:w="456" w:type="pct"/>
                    <w:tcBorders>
                      <w:top w:val="single" w:sz="4" w:space="0" w:color="auto"/>
                      <w:left w:val="single" w:sz="4" w:space="0" w:color="auto"/>
                      <w:bottom w:val="single" w:sz="4" w:space="0" w:color="auto"/>
                      <w:right w:val="single" w:sz="4" w:space="0" w:color="auto"/>
                    </w:tcBorders>
                    <w:shd w:val="clear" w:color="auto" w:fill="auto"/>
                  </w:tcPr>
                  <w:p w:rsidR="00B637B2" w:rsidRPr="00176499" w:rsidRDefault="00B637B2" w:rsidP="00B637B2">
                    <w:pPr>
                      <w:rPr>
                        <w:sz w:val="16"/>
                        <w:szCs w:val="16"/>
                      </w:rPr>
                    </w:pP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r>
            </w:sdtContent>
          </w:sdt>
          <w:tr w:rsidR="00B637B2" w:rsidTr="00B637B2">
            <w:sdt>
              <w:sdtPr>
                <w:rPr>
                  <w:sz w:val="16"/>
                  <w:szCs w:val="16"/>
                </w:rPr>
                <w:tag w:val="_PLD_1ef29a5fe0804efc98d9ca8c92ee91f3"/>
                <w:id w:val="-1270315846"/>
                <w:lock w:val="sdtLocked"/>
              </w:sdtPr>
              <w:sdtContent>
                <w:tc>
                  <w:tcPr>
                    <w:tcW w:w="456" w:type="pct"/>
                    <w:tcBorders>
                      <w:top w:val="single" w:sz="4" w:space="0" w:color="auto"/>
                      <w:left w:val="single" w:sz="4" w:space="0" w:color="auto"/>
                      <w:bottom w:val="single" w:sz="4" w:space="0" w:color="auto"/>
                      <w:right w:val="single" w:sz="4" w:space="0" w:color="auto"/>
                    </w:tcBorders>
                    <w:shd w:val="clear" w:color="auto" w:fill="auto"/>
                  </w:tcPr>
                  <w:p w:rsidR="00B637B2" w:rsidRPr="00176499" w:rsidRDefault="00036BDC" w:rsidP="00B637B2">
                    <w:pPr>
                      <w:rPr>
                        <w:sz w:val="16"/>
                        <w:szCs w:val="16"/>
                      </w:rPr>
                    </w:pPr>
                    <w:r w:rsidRPr="00176499">
                      <w:rPr>
                        <w:rFonts w:hint="eastAsia"/>
                        <w:sz w:val="16"/>
                        <w:szCs w:val="16"/>
                      </w:rPr>
                      <w:t>小计</w:t>
                    </w:r>
                  </w:p>
                </w:tc>
              </w:sdtContent>
            </w:sdt>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r>
          <w:tr w:rsidR="00B637B2" w:rsidTr="00B637B2">
            <w:sdt>
              <w:sdtPr>
                <w:rPr>
                  <w:sz w:val="16"/>
                  <w:szCs w:val="16"/>
                </w:rPr>
                <w:tag w:val="_PLD_8013411a41154576a259c00146d87236"/>
                <w:id w:val="1045958128"/>
                <w:lock w:val="sdtLocked"/>
              </w:sdtPr>
              <w:sdtContent>
                <w:tc>
                  <w:tcPr>
                    <w:tcW w:w="456" w:type="pct"/>
                    <w:tcBorders>
                      <w:top w:val="single" w:sz="4" w:space="0" w:color="auto"/>
                      <w:left w:val="single" w:sz="4" w:space="0" w:color="auto"/>
                      <w:bottom w:val="single" w:sz="4" w:space="0" w:color="auto"/>
                      <w:right w:val="single" w:sz="4" w:space="0" w:color="auto"/>
                    </w:tcBorders>
                    <w:shd w:val="clear" w:color="auto" w:fill="auto"/>
                  </w:tcPr>
                  <w:p w:rsidR="00B637B2" w:rsidRPr="00176499" w:rsidRDefault="00036BDC" w:rsidP="00B637B2">
                    <w:pPr>
                      <w:rPr>
                        <w:sz w:val="16"/>
                        <w:szCs w:val="16"/>
                      </w:rPr>
                    </w:pPr>
                    <w:r w:rsidRPr="00176499">
                      <w:rPr>
                        <w:rFonts w:hint="eastAsia"/>
                        <w:sz w:val="16"/>
                        <w:szCs w:val="16"/>
                      </w:rPr>
                      <w:t>二、联营企业</w:t>
                    </w:r>
                  </w:p>
                </w:tc>
              </w:sdtContent>
            </w:sdt>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r>
          <w:sdt>
            <w:sdtPr>
              <w:rPr>
                <w:rFonts w:asciiTheme="minorHAnsi" w:eastAsiaTheme="minorEastAsia" w:hAnsiTheme="minorHAnsi" w:cstheme="minorBidi" w:hint="eastAsia"/>
                <w:kern w:val="2"/>
                <w:sz w:val="16"/>
                <w:szCs w:val="16"/>
              </w:rPr>
              <w:alias w:val="联营企业投资信息明细"/>
              <w:tag w:val="_GBC_4b68840ef16441539a17ee71688111ed"/>
              <w:id w:val="-346949973"/>
              <w:lock w:val="sdtLocked"/>
            </w:sdtPr>
            <w:sdtEndPr>
              <w:rPr>
                <w:rFonts w:hint="default"/>
              </w:rPr>
            </w:sdtEndPr>
            <w:sdtContent>
              <w:tr w:rsidR="00B637B2" w:rsidTr="00B637B2">
                <w:tc>
                  <w:tcPr>
                    <w:tcW w:w="456" w:type="pct"/>
                    <w:tcBorders>
                      <w:top w:val="single" w:sz="4" w:space="0" w:color="auto"/>
                      <w:left w:val="single" w:sz="4" w:space="0" w:color="auto"/>
                      <w:bottom w:val="single" w:sz="4" w:space="0" w:color="auto"/>
                      <w:right w:val="single" w:sz="4" w:space="0" w:color="auto"/>
                    </w:tcBorders>
                    <w:shd w:val="clear" w:color="auto" w:fill="auto"/>
                  </w:tcPr>
                  <w:p w:rsidR="00B637B2" w:rsidRPr="00176499" w:rsidRDefault="00036BDC" w:rsidP="00B637B2">
                    <w:pPr>
                      <w:rPr>
                        <w:sz w:val="16"/>
                        <w:szCs w:val="16"/>
                      </w:rPr>
                    </w:pPr>
                    <w:r w:rsidRPr="00176499">
                      <w:rPr>
                        <w:sz w:val="16"/>
                        <w:szCs w:val="16"/>
                      </w:rPr>
                      <w:t>中关村银行</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036BDC" w:rsidP="00B637B2">
                    <w:pPr>
                      <w:jc w:val="right"/>
                      <w:rPr>
                        <w:sz w:val="16"/>
                        <w:szCs w:val="16"/>
                      </w:rPr>
                    </w:pPr>
                    <w:r w:rsidRPr="00176499">
                      <w:rPr>
                        <w:sz w:val="16"/>
                        <w:szCs w:val="16"/>
                      </w:rPr>
                      <w:t>1,220,682,547</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036BDC" w:rsidP="00B637B2">
                    <w:pPr>
                      <w:jc w:val="right"/>
                      <w:rPr>
                        <w:sz w:val="16"/>
                        <w:szCs w:val="16"/>
                      </w:rPr>
                    </w:pPr>
                    <w:r w:rsidRPr="00176499">
                      <w:rPr>
                        <w:sz w:val="16"/>
                        <w:szCs w:val="16"/>
                      </w:rPr>
                      <w:t>6,908,054</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036BDC" w:rsidP="00B637B2">
                    <w:pPr>
                      <w:jc w:val="right"/>
                      <w:rPr>
                        <w:sz w:val="16"/>
                        <w:szCs w:val="16"/>
                      </w:rPr>
                    </w:pPr>
                    <w:r w:rsidRPr="00176499">
                      <w:rPr>
                        <w:sz w:val="16"/>
                        <w:szCs w:val="16"/>
                      </w:rPr>
                      <w:t>188,747</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036BDC" w:rsidP="00B637B2">
                    <w:pPr>
                      <w:jc w:val="right"/>
                      <w:rPr>
                        <w:sz w:val="16"/>
                        <w:szCs w:val="16"/>
                      </w:rPr>
                    </w:pPr>
                    <w:r w:rsidRPr="00176499">
                      <w:rPr>
                        <w:sz w:val="16"/>
                        <w:szCs w:val="16"/>
                      </w:rPr>
                      <w:t>1,227,779,348</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r>
            </w:sdtContent>
          </w:sdt>
          <w:sdt>
            <w:sdtPr>
              <w:rPr>
                <w:rFonts w:asciiTheme="minorHAnsi" w:eastAsiaTheme="minorEastAsia" w:hAnsiTheme="minorHAnsi" w:cstheme="minorBidi" w:hint="eastAsia"/>
                <w:kern w:val="2"/>
                <w:sz w:val="16"/>
                <w:szCs w:val="16"/>
              </w:rPr>
              <w:alias w:val="联营企业投资信息明细"/>
              <w:tag w:val="_GBC_4b68840ef16441539a17ee71688111ed"/>
              <w:id w:val="1728182691"/>
              <w:lock w:val="sdtLocked"/>
            </w:sdtPr>
            <w:sdtEndPr>
              <w:rPr>
                <w:rFonts w:hint="default"/>
              </w:rPr>
            </w:sdtEndPr>
            <w:sdtContent>
              <w:tr w:rsidR="00B637B2" w:rsidTr="00B637B2">
                <w:tc>
                  <w:tcPr>
                    <w:tcW w:w="456" w:type="pct"/>
                    <w:tcBorders>
                      <w:top w:val="single" w:sz="4" w:space="0" w:color="auto"/>
                      <w:left w:val="single" w:sz="4" w:space="0" w:color="auto"/>
                      <w:bottom w:val="single" w:sz="4" w:space="0" w:color="auto"/>
                      <w:right w:val="single" w:sz="4" w:space="0" w:color="auto"/>
                    </w:tcBorders>
                    <w:shd w:val="clear" w:color="auto" w:fill="auto"/>
                  </w:tcPr>
                  <w:p w:rsidR="00B637B2" w:rsidRPr="00176499" w:rsidRDefault="00036BDC" w:rsidP="00B637B2">
                    <w:pPr>
                      <w:rPr>
                        <w:sz w:val="16"/>
                        <w:szCs w:val="16"/>
                      </w:rPr>
                    </w:pPr>
                    <w:r w:rsidRPr="00176499">
                      <w:rPr>
                        <w:sz w:val="16"/>
                        <w:szCs w:val="16"/>
                      </w:rPr>
                      <w:t>汉唐信通</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036BDC" w:rsidP="00B637B2">
                    <w:pPr>
                      <w:jc w:val="right"/>
                      <w:rPr>
                        <w:sz w:val="16"/>
                        <w:szCs w:val="16"/>
                      </w:rPr>
                    </w:pPr>
                    <w:r w:rsidRPr="00176499">
                      <w:rPr>
                        <w:sz w:val="16"/>
                        <w:szCs w:val="16"/>
                      </w:rPr>
                      <w:t>79,932,533</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036BDC" w:rsidP="00B637B2">
                    <w:pPr>
                      <w:jc w:val="right"/>
                      <w:rPr>
                        <w:sz w:val="16"/>
                        <w:szCs w:val="16"/>
                      </w:rPr>
                    </w:pPr>
                    <w:r w:rsidRPr="00176499">
                      <w:rPr>
                        <w:sz w:val="16"/>
                        <w:szCs w:val="16"/>
                      </w:rPr>
                      <w:t>233,831</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036BDC" w:rsidP="00B637B2">
                    <w:pPr>
                      <w:jc w:val="right"/>
                      <w:rPr>
                        <w:sz w:val="16"/>
                        <w:szCs w:val="16"/>
                      </w:rPr>
                    </w:pPr>
                    <w:r w:rsidRPr="00176499">
                      <w:rPr>
                        <w:sz w:val="16"/>
                        <w:szCs w:val="16"/>
                      </w:rPr>
                      <w:t>80,166,364</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r>
            </w:sdtContent>
          </w:sdt>
          <w:sdt>
            <w:sdtPr>
              <w:rPr>
                <w:rFonts w:asciiTheme="minorHAnsi" w:eastAsiaTheme="minorEastAsia" w:hAnsiTheme="minorHAnsi" w:cstheme="minorBidi" w:hint="eastAsia"/>
                <w:kern w:val="2"/>
                <w:sz w:val="16"/>
                <w:szCs w:val="16"/>
              </w:rPr>
              <w:alias w:val="联营企业投资信息明细"/>
              <w:tag w:val="_GBC_4b68840ef16441539a17ee71688111ed"/>
              <w:id w:val="1392536706"/>
              <w:lock w:val="sdtLocked"/>
            </w:sdtPr>
            <w:sdtEndPr>
              <w:rPr>
                <w:rFonts w:hint="default"/>
              </w:rPr>
            </w:sdtEndPr>
            <w:sdtContent>
              <w:tr w:rsidR="00B637B2" w:rsidTr="00B637B2">
                <w:tc>
                  <w:tcPr>
                    <w:tcW w:w="456" w:type="pct"/>
                    <w:tcBorders>
                      <w:top w:val="single" w:sz="4" w:space="0" w:color="auto"/>
                      <w:left w:val="single" w:sz="4" w:space="0" w:color="auto"/>
                      <w:bottom w:val="single" w:sz="4" w:space="0" w:color="auto"/>
                      <w:right w:val="single" w:sz="4" w:space="0" w:color="auto"/>
                    </w:tcBorders>
                    <w:shd w:val="clear" w:color="auto" w:fill="auto"/>
                  </w:tcPr>
                  <w:p w:rsidR="00B637B2" w:rsidRPr="00176499" w:rsidRDefault="00036BDC" w:rsidP="00B637B2">
                    <w:pPr>
                      <w:rPr>
                        <w:sz w:val="16"/>
                        <w:szCs w:val="16"/>
                      </w:rPr>
                    </w:pPr>
                    <w:r w:rsidRPr="00176499">
                      <w:rPr>
                        <w:sz w:val="16"/>
                        <w:szCs w:val="16"/>
                      </w:rPr>
                      <w:t>大易云</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036BDC" w:rsidP="00B637B2">
                    <w:pPr>
                      <w:jc w:val="right"/>
                      <w:rPr>
                        <w:sz w:val="16"/>
                        <w:szCs w:val="16"/>
                      </w:rPr>
                    </w:pPr>
                    <w:r w:rsidRPr="00176499">
                      <w:rPr>
                        <w:sz w:val="16"/>
                        <w:szCs w:val="16"/>
                      </w:rPr>
                      <w:t>65,555,810</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036BDC" w:rsidP="00B637B2">
                    <w:pPr>
                      <w:jc w:val="right"/>
                      <w:rPr>
                        <w:sz w:val="16"/>
                        <w:szCs w:val="16"/>
                      </w:rPr>
                    </w:pPr>
                    <w:r w:rsidRPr="00176499">
                      <w:rPr>
                        <w:sz w:val="16"/>
                        <w:szCs w:val="16"/>
                      </w:rPr>
                      <w:t>-1,444,286</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036BDC" w:rsidP="00B637B2">
                    <w:pPr>
                      <w:jc w:val="right"/>
                      <w:rPr>
                        <w:sz w:val="16"/>
                        <w:szCs w:val="16"/>
                      </w:rPr>
                    </w:pPr>
                    <w:r w:rsidRPr="00176499">
                      <w:rPr>
                        <w:sz w:val="16"/>
                        <w:szCs w:val="16"/>
                      </w:rPr>
                      <w:t>64,111,524</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r>
            </w:sdtContent>
          </w:sdt>
          <w:sdt>
            <w:sdtPr>
              <w:rPr>
                <w:rFonts w:asciiTheme="minorHAnsi" w:eastAsiaTheme="minorEastAsia" w:hAnsiTheme="minorHAnsi" w:cstheme="minorBidi" w:hint="eastAsia"/>
                <w:kern w:val="2"/>
                <w:sz w:val="16"/>
                <w:szCs w:val="16"/>
              </w:rPr>
              <w:alias w:val="联营企业投资信息明细"/>
              <w:tag w:val="_GBC_4b68840ef16441539a17ee71688111ed"/>
              <w:id w:val="108248425"/>
              <w:lock w:val="sdtLocked"/>
            </w:sdtPr>
            <w:sdtEndPr>
              <w:rPr>
                <w:rFonts w:hint="default"/>
              </w:rPr>
            </w:sdtEndPr>
            <w:sdtContent>
              <w:tr w:rsidR="00B637B2" w:rsidTr="00B637B2">
                <w:tc>
                  <w:tcPr>
                    <w:tcW w:w="456" w:type="pct"/>
                    <w:tcBorders>
                      <w:top w:val="single" w:sz="4" w:space="0" w:color="auto"/>
                      <w:left w:val="single" w:sz="4" w:space="0" w:color="auto"/>
                      <w:bottom w:val="single" w:sz="4" w:space="0" w:color="auto"/>
                      <w:right w:val="single" w:sz="4" w:space="0" w:color="auto"/>
                    </w:tcBorders>
                    <w:shd w:val="clear" w:color="auto" w:fill="auto"/>
                  </w:tcPr>
                  <w:p w:rsidR="00B637B2" w:rsidRPr="00176499" w:rsidRDefault="00036BDC" w:rsidP="00B637B2">
                    <w:pPr>
                      <w:rPr>
                        <w:sz w:val="16"/>
                        <w:szCs w:val="16"/>
                      </w:rPr>
                    </w:pPr>
                    <w:r w:rsidRPr="00176499">
                      <w:rPr>
                        <w:sz w:val="16"/>
                        <w:szCs w:val="16"/>
                      </w:rPr>
                      <w:t>幸福联创</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036BDC" w:rsidP="00B637B2">
                    <w:pPr>
                      <w:jc w:val="right"/>
                      <w:rPr>
                        <w:sz w:val="16"/>
                        <w:szCs w:val="16"/>
                      </w:rPr>
                    </w:pPr>
                    <w:r w:rsidRPr="00176499">
                      <w:rPr>
                        <w:sz w:val="16"/>
                        <w:szCs w:val="16"/>
                      </w:rPr>
                      <w:t>63,691,690</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036BDC" w:rsidP="00B637B2">
                    <w:pPr>
                      <w:jc w:val="right"/>
                      <w:rPr>
                        <w:sz w:val="16"/>
                        <w:szCs w:val="16"/>
                      </w:rPr>
                    </w:pPr>
                    <w:r w:rsidRPr="00176499">
                      <w:rPr>
                        <w:sz w:val="16"/>
                        <w:szCs w:val="16"/>
                      </w:rPr>
                      <w:t>-254,931</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036BDC" w:rsidP="00B637B2">
                    <w:pPr>
                      <w:jc w:val="right"/>
                      <w:rPr>
                        <w:sz w:val="16"/>
                        <w:szCs w:val="16"/>
                      </w:rPr>
                    </w:pPr>
                    <w:r w:rsidRPr="00176499">
                      <w:rPr>
                        <w:sz w:val="16"/>
                        <w:szCs w:val="16"/>
                      </w:rPr>
                      <w:t>63,436,759</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r>
            </w:sdtContent>
          </w:sdt>
          <w:sdt>
            <w:sdtPr>
              <w:rPr>
                <w:rFonts w:asciiTheme="minorHAnsi" w:eastAsiaTheme="minorEastAsia" w:hAnsiTheme="minorHAnsi" w:cstheme="minorBidi" w:hint="eastAsia"/>
                <w:kern w:val="2"/>
                <w:sz w:val="16"/>
                <w:szCs w:val="16"/>
              </w:rPr>
              <w:alias w:val="联营企业投资信息明细"/>
              <w:tag w:val="_GBC_4b68840ef16441539a17ee71688111ed"/>
              <w:id w:val="-872308965"/>
              <w:lock w:val="sdtLocked"/>
            </w:sdtPr>
            <w:sdtEndPr>
              <w:rPr>
                <w:rFonts w:hint="default"/>
              </w:rPr>
            </w:sdtEndPr>
            <w:sdtContent>
              <w:tr w:rsidR="00B637B2" w:rsidTr="00B637B2">
                <w:tc>
                  <w:tcPr>
                    <w:tcW w:w="456" w:type="pct"/>
                    <w:tcBorders>
                      <w:top w:val="single" w:sz="4" w:space="0" w:color="auto"/>
                      <w:left w:val="single" w:sz="4" w:space="0" w:color="auto"/>
                      <w:bottom w:val="single" w:sz="4" w:space="0" w:color="auto"/>
                      <w:right w:val="single" w:sz="4" w:space="0" w:color="auto"/>
                    </w:tcBorders>
                    <w:shd w:val="clear" w:color="auto" w:fill="auto"/>
                  </w:tcPr>
                  <w:p w:rsidR="00B637B2" w:rsidRPr="00176499" w:rsidRDefault="00036BDC" w:rsidP="00B637B2">
                    <w:pPr>
                      <w:rPr>
                        <w:sz w:val="16"/>
                        <w:szCs w:val="16"/>
                      </w:rPr>
                    </w:pPr>
                    <w:r w:rsidRPr="00176499">
                      <w:rPr>
                        <w:sz w:val="16"/>
                        <w:szCs w:val="16"/>
                      </w:rPr>
                      <w:t>用友商业保理</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036BDC" w:rsidP="00B637B2">
                    <w:pPr>
                      <w:jc w:val="right"/>
                      <w:rPr>
                        <w:sz w:val="16"/>
                        <w:szCs w:val="16"/>
                      </w:rPr>
                    </w:pPr>
                    <w:r w:rsidRPr="00176499">
                      <w:rPr>
                        <w:sz w:val="16"/>
                        <w:szCs w:val="16"/>
                      </w:rPr>
                      <w:t>43,406,387</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036BDC" w:rsidP="00B637B2">
                    <w:pPr>
                      <w:jc w:val="right"/>
                      <w:rPr>
                        <w:sz w:val="16"/>
                        <w:szCs w:val="16"/>
                      </w:rPr>
                    </w:pPr>
                    <w:r w:rsidRPr="00176499">
                      <w:rPr>
                        <w:sz w:val="16"/>
                        <w:szCs w:val="16"/>
                      </w:rPr>
                      <w:t>2,359,477</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036BDC" w:rsidP="00B637B2">
                    <w:pPr>
                      <w:jc w:val="right"/>
                      <w:rPr>
                        <w:sz w:val="16"/>
                        <w:szCs w:val="16"/>
                      </w:rPr>
                    </w:pPr>
                    <w:r w:rsidRPr="00176499">
                      <w:rPr>
                        <w:sz w:val="16"/>
                        <w:szCs w:val="16"/>
                      </w:rPr>
                      <w:t>45,765,864</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r>
            </w:sdtContent>
          </w:sdt>
          <w:sdt>
            <w:sdtPr>
              <w:rPr>
                <w:rFonts w:asciiTheme="minorHAnsi" w:eastAsiaTheme="minorEastAsia" w:hAnsiTheme="minorHAnsi" w:cstheme="minorBidi" w:hint="eastAsia"/>
                <w:kern w:val="2"/>
                <w:sz w:val="16"/>
                <w:szCs w:val="16"/>
              </w:rPr>
              <w:alias w:val="联营企业投资信息明细"/>
              <w:tag w:val="_GBC_4b68840ef16441539a17ee71688111ed"/>
              <w:id w:val="1075697883"/>
              <w:lock w:val="sdtLocked"/>
            </w:sdtPr>
            <w:sdtEndPr>
              <w:rPr>
                <w:rFonts w:hint="default"/>
              </w:rPr>
            </w:sdtEndPr>
            <w:sdtContent>
              <w:tr w:rsidR="00B637B2" w:rsidTr="00B637B2">
                <w:tc>
                  <w:tcPr>
                    <w:tcW w:w="456" w:type="pct"/>
                    <w:tcBorders>
                      <w:top w:val="single" w:sz="4" w:space="0" w:color="auto"/>
                      <w:left w:val="single" w:sz="4" w:space="0" w:color="auto"/>
                      <w:bottom w:val="single" w:sz="4" w:space="0" w:color="auto"/>
                      <w:right w:val="single" w:sz="4" w:space="0" w:color="auto"/>
                    </w:tcBorders>
                    <w:shd w:val="clear" w:color="auto" w:fill="auto"/>
                  </w:tcPr>
                  <w:p w:rsidR="00B637B2" w:rsidRPr="00176499" w:rsidRDefault="00036BDC" w:rsidP="00B637B2">
                    <w:pPr>
                      <w:rPr>
                        <w:sz w:val="16"/>
                        <w:szCs w:val="16"/>
                      </w:rPr>
                    </w:pPr>
                    <w:r w:rsidRPr="00176499">
                      <w:rPr>
                        <w:sz w:val="16"/>
                        <w:szCs w:val="16"/>
                      </w:rPr>
                      <w:t>西玛国正</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036BDC" w:rsidP="00B637B2">
                    <w:pPr>
                      <w:jc w:val="right"/>
                      <w:rPr>
                        <w:sz w:val="16"/>
                        <w:szCs w:val="16"/>
                      </w:rPr>
                    </w:pPr>
                    <w:r w:rsidRPr="00176499">
                      <w:rPr>
                        <w:sz w:val="16"/>
                        <w:szCs w:val="16"/>
                      </w:rPr>
                      <w:t>8,979,327</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036BDC" w:rsidP="00B637B2">
                    <w:pPr>
                      <w:jc w:val="right"/>
                      <w:rPr>
                        <w:sz w:val="16"/>
                        <w:szCs w:val="16"/>
                      </w:rPr>
                    </w:pPr>
                    <w:r w:rsidRPr="00176499">
                      <w:rPr>
                        <w:sz w:val="16"/>
                        <w:szCs w:val="16"/>
                      </w:rPr>
                      <w:t>3,591,731</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036BDC" w:rsidP="00B637B2">
                    <w:pPr>
                      <w:jc w:val="right"/>
                      <w:rPr>
                        <w:sz w:val="16"/>
                        <w:szCs w:val="16"/>
                      </w:rPr>
                    </w:pPr>
                    <w:r w:rsidRPr="00176499">
                      <w:rPr>
                        <w:sz w:val="16"/>
                        <w:szCs w:val="16"/>
                      </w:rPr>
                      <w:t>404,506</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036BDC" w:rsidP="00B637B2">
                    <w:pPr>
                      <w:jc w:val="right"/>
                      <w:rPr>
                        <w:sz w:val="16"/>
                        <w:szCs w:val="16"/>
                      </w:rPr>
                    </w:pPr>
                    <w:r w:rsidRPr="00176499">
                      <w:rPr>
                        <w:sz w:val="16"/>
                        <w:szCs w:val="16"/>
                      </w:rPr>
                      <w:t>5,792,102</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r>
            </w:sdtContent>
          </w:sdt>
          <w:sdt>
            <w:sdtPr>
              <w:rPr>
                <w:rFonts w:asciiTheme="minorHAnsi" w:eastAsiaTheme="minorEastAsia" w:hAnsiTheme="minorHAnsi" w:cstheme="minorBidi" w:hint="eastAsia"/>
                <w:kern w:val="2"/>
                <w:sz w:val="16"/>
                <w:szCs w:val="16"/>
              </w:rPr>
              <w:alias w:val="联营企业投资信息明细"/>
              <w:tag w:val="_GBC_4b68840ef16441539a17ee71688111ed"/>
              <w:id w:val="-1457560797"/>
              <w:lock w:val="sdtLocked"/>
            </w:sdtPr>
            <w:sdtEndPr>
              <w:rPr>
                <w:rFonts w:hint="default"/>
              </w:rPr>
            </w:sdtEndPr>
            <w:sdtContent>
              <w:tr w:rsidR="00B637B2" w:rsidTr="00B637B2">
                <w:tc>
                  <w:tcPr>
                    <w:tcW w:w="456" w:type="pct"/>
                    <w:tcBorders>
                      <w:top w:val="single" w:sz="4" w:space="0" w:color="auto"/>
                      <w:left w:val="single" w:sz="4" w:space="0" w:color="auto"/>
                      <w:bottom w:val="single" w:sz="4" w:space="0" w:color="auto"/>
                      <w:right w:val="single" w:sz="4" w:space="0" w:color="auto"/>
                    </w:tcBorders>
                    <w:shd w:val="clear" w:color="auto" w:fill="auto"/>
                  </w:tcPr>
                  <w:p w:rsidR="00B637B2" w:rsidRPr="00176499" w:rsidRDefault="00036BDC" w:rsidP="00B637B2">
                    <w:pPr>
                      <w:rPr>
                        <w:sz w:val="16"/>
                        <w:szCs w:val="16"/>
                      </w:rPr>
                    </w:pPr>
                    <w:r w:rsidRPr="00176499">
                      <w:rPr>
                        <w:sz w:val="16"/>
                        <w:szCs w:val="16"/>
                      </w:rPr>
                      <w:t>上海画龙</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036BDC" w:rsidP="00B637B2">
                    <w:pPr>
                      <w:jc w:val="right"/>
                      <w:rPr>
                        <w:sz w:val="16"/>
                        <w:szCs w:val="16"/>
                      </w:rPr>
                    </w:pPr>
                    <w:r w:rsidRPr="00176499">
                      <w:rPr>
                        <w:sz w:val="16"/>
                        <w:szCs w:val="16"/>
                      </w:rPr>
                      <w:t>19,202,139</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036BDC" w:rsidP="00B637B2">
                    <w:pPr>
                      <w:jc w:val="right"/>
                      <w:rPr>
                        <w:sz w:val="16"/>
                        <w:szCs w:val="16"/>
                      </w:rPr>
                    </w:pPr>
                    <w:r w:rsidRPr="00176499">
                      <w:rPr>
                        <w:sz w:val="16"/>
                        <w:szCs w:val="16"/>
                      </w:rPr>
                      <w:t>-</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036BDC" w:rsidP="00B637B2">
                    <w:pPr>
                      <w:jc w:val="right"/>
                      <w:rPr>
                        <w:sz w:val="16"/>
                        <w:szCs w:val="16"/>
                      </w:rPr>
                    </w:pPr>
                    <w:r w:rsidRPr="00176499">
                      <w:rPr>
                        <w:sz w:val="16"/>
                        <w:szCs w:val="16"/>
                      </w:rPr>
                      <w:t>-1,108,743</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036BDC" w:rsidP="00B637B2">
                    <w:pPr>
                      <w:jc w:val="right"/>
                      <w:rPr>
                        <w:sz w:val="16"/>
                        <w:szCs w:val="16"/>
                      </w:rPr>
                    </w:pPr>
                    <w:r w:rsidRPr="00176499">
                      <w:rPr>
                        <w:sz w:val="16"/>
                        <w:szCs w:val="16"/>
                      </w:rPr>
                      <w:t>18,093,396</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r>
            </w:sdtContent>
          </w:sdt>
          <w:sdt>
            <w:sdtPr>
              <w:rPr>
                <w:rFonts w:asciiTheme="minorHAnsi" w:eastAsiaTheme="minorEastAsia" w:hAnsiTheme="minorHAnsi" w:cstheme="minorBidi" w:hint="eastAsia"/>
                <w:kern w:val="2"/>
                <w:sz w:val="16"/>
                <w:szCs w:val="16"/>
              </w:rPr>
              <w:alias w:val="联营企业投资信息明细"/>
              <w:tag w:val="_GBC_4b68840ef16441539a17ee71688111ed"/>
              <w:id w:val="-1876309780"/>
              <w:lock w:val="sdtLocked"/>
            </w:sdtPr>
            <w:sdtEndPr>
              <w:rPr>
                <w:rFonts w:hint="default"/>
              </w:rPr>
            </w:sdtEndPr>
            <w:sdtContent>
              <w:tr w:rsidR="00B637B2" w:rsidTr="00B637B2">
                <w:tc>
                  <w:tcPr>
                    <w:tcW w:w="456" w:type="pct"/>
                    <w:tcBorders>
                      <w:top w:val="single" w:sz="4" w:space="0" w:color="auto"/>
                      <w:left w:val="single" w:sz="4" w:space="0" w:color="auto"/>
                      <w:bottom w:val="single" w:sz="4" w:space="0" w:color="auto"/>
                      <w:right w:val="single" w:sz="4" w:space="0" w:color="auto"/>
                    </w:tcBorders>
                    <w:shd w:val="clear" w:color="auto" w:fill="auto"/>
                  </w:tcPr>
                  <w:p w:rsidR="00B637B2" w:rsidRPr="00176499" w:rsidRDefault="00036BDC" w:rsidP="00B637B2">
                    <w:pPr>
                      <w:rPr>
                        <w:sz w:val="16"/>
                        <w:szCs w:val="16"/>
                      </w:rPr>
                    </w:pPr>
                    <w:r w:rsidRPr="00176499">
                      <w:rPr>
                        <w:rFonts w:asciiTheme="minorHAnsi" w:eastAsiaTheme="minorEastAsia" w:hAnsiTheme="minorHAnsi" w:cstheme="minorBidi" w:hint="eastAsia"/>
                        <w:kern w:val="2"/>
                        <w:sz w:val="16"/>
                        <w:szCs w:val="16"/>
                      </w:rPr>
                      <w:t>其他</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036BDC" w:rsidP="00B637B2">
                    <w:pPr>
                      <w:jc w:val="right"/>
                      <w:rPr>
                        <w:sz w:val="16"/>
                        <w:szCs w:val="16"/>
                      </w:rPr>
                    </w:pPr>
                    <w:r w:rsidRPr="00176499">
                      <w:rPr>
                        <w:sz w:val="16"/>
                        <w:szCs w:val="16"/>
                      </w:rPr>
                      <w:t>69,378,402</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036BDC" w:rsidP="00B637B2">
                    <w:pPr>
                      <w:jc w:val="right"/>
                      <w:rPr>
                        <w:sz w:val="16"/>
                        <w:szCs w:val="16"/>
                      </w:rPr>
                    </w:pPr>
                    <w:r w:rsidRPr="00176499">
                      <w:rPr>
                        <w:sz w:val="16"/>
                        <w:szCs w:val="16"/>
                      </w:rPr>
                      <w:t>7,300,414</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036BDC" w:rsidP="00B637B2">
                    <w:pPr>
                      <w:jc w:val="right"/>
                      <w:rPr>
                        <w:sz w:val="16"/>
                        <w:szCs w:val="16"/>
                      </w:rPr>
                    </w:pPr>
                    <w:r w:rsidRPr="00176499">
                      <w:rPr>
                        <w:sz w:val="16"/>
                        <w:szCs w:val="16"/>
                      </w:rPr>
                      <w:t>-375,317</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036BDC" w:rsidP="00B637B2">
                    <w:pPr>
                      <w:jc w:val="right"/>
                      <w:rPr>
                        <w:sz w:val="16"/>
                        <w:szCs w:val="16"/>
                      </w:rPr>
                    </w:pPr>
                    <w:r w:rsidRPr="00176499">
                      <w:rPr>
                        <w:sz w:val="16"/>
                        <w:szCs w:val="16"/>
                      </w:rPr>
                      <w:t>61,702,671</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r>
            </w:sdtContent>
          </w:sdt>
          <w:sdt>
            <w:sdtPr>
              <w:rPr>
                <w:rFonts w:asciiTheme="minorHAnsi" w:eastAsiaTheme="minorEastAsia" w:hAnsiTheme="minorHAnsi" w:cstheme="minorBidi" w:hint="eastAsia"/>
                <w:kern w:val="2"/>
                <w:sz w:val="16"/>
                <w:szCs w:val="16"/>
              </w:rPr>
              <w:alias w:val="联营企业投资信息明细"/>
              <w:tag w:val="_GBC_4b68840ef16441539a17ee71688111ed"/>
              <w:id w:val="1949125601"/>
              <w:lock w:val="sdtLocked"/>
            </w:sdtPr>
            <w:sdtEndPr>
              <w:rPr>
                <w:rFonts w:hint="default"/>
              </w:rPr>
            </w:sdtEndPr>
            <w:sdtContent>
              <w:tr w:rsidR="00B637B2" w:rsidTr="00B637B2">
                <w:tc>
                  <w:tcPr>
                    <w:tcW w:w="456" w:type="pct"/>
                    <w:tcBorders>
                      <w:top w:val="single" w:sz="4" w:space="0" w:color="auto"/>
                      <w:left w:val="single" w:sz="4" w:space="0" w:color="auto"/>
                      <w:bottom w:val="single" w:sz="4" w:space="0" w:color="auto"/>
                      <w:right w:val="single" w:sz="4" w:space="0" w:color="auto"/>
                    </w:tcBorders>
                    <w:shd w:val="clear" w:color="auto" w:fill="auto"/>
                  </w:tcPr>
                  <w:p w:rsidR="00B637B2" w:rsidRPr="00176499" w:rsidRDefault="00036BDC" w:rsidP="00B637B2">
                    <w:pPr>
                      <w:rPr>
                        <w:sz w:val="16"/>
                        <w:szCs w:val="16"/>
                      </w:rPr>
                    </w:pPr>
                    <w:r w:rsidRPr="00176499">
                      <w:rPr>
                        <w:rFonts w:hint="eastAsia"/>
                        <w:sz w:val="16"/>
                        <w:szCs w:val="16"/>
                      </w:rPr>
                      <w:t>小计</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036BDC" w:rsidP="00B637B2">
                    <w:pPr>
                      <w:jc w:val="right"/>
                      <w:rPr>
                        <w:sz w:val="16"/>
                        <w:szCs w:val="16"/>
                      </w:rPr>
                    </w:pPr>
                    <w:r w:rsidRPr="00176499">
                      <w:rPr>
                        <w:sz w:val="16"/>
                        <w:szCs w:val="16"/>
                      </w:rPr>
                      <w:t>1,570,828,835</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036BDC" w:rsidP="00B637B2">
                    <w:pPr>
                      <w:jc w:val="right"/>
                      <w:rPr>
                        <w:sz w:val="16"/>
                        <w:szCs w:val="16"/>
                      </w:rPr>
                    </w:pPr>
                    <w:r w:rsidRPr="00176499">
                      <w:rPr>
                        <w:sz w:val="16"/>
                        <w:szCs w:val="16"/>
                      </w:rPr>
                      <w:t>10,892,145</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036BDC" w:rsidP="00B637B2">
                    <w:pPr>
                      <w:jc w:val="right"/>
                      <w:rPr>
                        <w:sz w:val="16"/>
                        <w:szCs w:val="16"/>
                      </w:rPr>
                    </w:pPr>
                    <w:r w:rsidRPr="00176499">
                      <w:rPr>
                        <w:sz w:val="16"/>
                        <w:szCs w:val="16"/>
                      </w:rPr>
                      <w:t>6,722,591</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036BDC" w:rsidP="00B637B2">
                    <w:pPr>
                      <w:jc w:val="right"/>
                      <w:rPr>
                        <w:sz w:val="16"/>
                        <w:szCs w:val="16"/>
                      </w:rPr>
                    </w:pPr>
                    <w:r w:rsidRPr="00176499">
                      <w:rPr>
                        <w:sz w:val="16"/>
                        <w:szCs w:val="16"/>
                      </w:rPr>
                      <w:t>188,747</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036BDC" w:rsidP="00B637B2">
                    <w:pPr>
                      <w:jc w:val="right"/>
                      <w:rPr>
                        <w:sz w:val="16"/>
                        <w:szCs w:val="16"/>
                      </w:rPr>
                    </w:pPr>
                    <w:r w:rsidRPr="00176499">
                      <w:rPr>
                        <w:sz w:val="16"/>
                        <w:szCs w:val="16"/>
                      </w:rPr>
                      <w:t>1,566,848,028</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r>
            </w:sdtContent>
          </w:sdt>
          <w:tr w:rsidR="00B637B2" w:rsidTr="00B637B2">
            <w:sdt>
              <w:sdtPr>
                <w:rPr>
                  <w:sz w:val="16"/>
                  <w:szCs w:val="16"/>
                </w:rPr>
                <w:tag w:val="_PLD_928d9068468e4b46a39499f6e5372e2a"/>
                <w:id w:val="1158652083"/>
                <w:lock w:val="sdtLocked"/>
              </w:sdtPr>
              <w:sdtContent>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036BDC" w:rsidP="00B637B2">
                    <w:pPr>
                      <w:jc w:val="center"/>
                      <w:rPr>
                        <w:sz w:val="16"/>
                        <w:szCs w:val="16"/>
                      </w:rPr>
                    </w:pPr>
                    <w:r w:rsidRPr="00176499">
                      <w:rPr>
                        <w:rFonts w:hint="eastAsia"/>
                        <w:sz w:val="16"/>
                        <w:szCs w:val="16"/>
                      </w:rPr>
                      <w:t>合计</w:t>
                    </w:r>
                  </w:p>
                </w:tc>
              </w:sdtContent>
            </w:sdt>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036BDC" w:rsidP="00B637B2">
                <w:pPr>
                  <w:jc w:val="right"/>
                  <w:rPr>
                    <w:sz w:val="16"/>
                    <w:szCs w:val="16"/>
                  </w:rPr>
                </w:pPr>
                <w:r w:rsidRPr="00176499">
                  <w:rPr>
                    <w:sz w:val="16"/>
                    <w:szCs w:val="16"/>
                  </w:rPr>
                  <w:t>1,570,828,835</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036BDC" w:rsidP="00B637B2">
                <w:pPr>
                  <w:jc w:val="right"/>
                  <w:rPr>
                    <w:sz w:val="16"/>
                    <w:szCs w:val="16"/>
                  </w:rPr>
                </w:pPr>
                <w:r w:rsidRPr="00176499">
                  <w:rPr>
                    <w:sz w:val="16"/>
                    <w:szCs w:val="16"/>
                  </w:rPr>
                  <w:t>10,892,145</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036BDC" w:rsidP="00B637B2">
                <w:pPr>
                  <w:jc w:val="right"/>
                  <w:rPr>
                    <w:sz w:val="16"/>
                    <w:szCs w:val="16"/>
                  </w:rPr>
                </w:pPr>
                <w:r w:rsidRPr="00176499">
                  <w:rPr>
                    <w:sz w:val="16"/>
                    <w:szCs w:val="16"/>
                  </w:rPr>
                  <w:t>6,722,591</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036BDC" w:rsidP="00B637B2">
                <w:pPr>
                  <w:jc w:val="right"/>
                  <w:rPr>
                    <w:sz w:val="16"/>
                    <w:szCs w:val="16"/>
                  </w:rPr>
                </w:pPr>
                <w:r w:rsidRPr="00176499">
                  <w:rPr>
                    <w:sz w:val="16"/>
                    <w:szCs w:val="16"/>
                  </w:rPr>
                  <w:t>188,747</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036BDC" w:rsidP="00B637B2">
                <w:pPr>
                  <w:jc w:val="right"/>
                  <w:rPr>
                    <w:sz w:val="16"/>
                    <w:szCs w:val="16"/>
                  </w:rPr>
                </w:pPr>
                <w:r w:rsidRPr="00176499">
                  <w:rPr>
                    <w:sz w:val="16"/>
                    <w:szCs w:val="16"/>
                  </w:rPr>
                  <w:t>1,566,848,028</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B637B2" w:rsidRPr="00176499" w:rsidRDefault="00B637B2" w:rsidP="00B637B2">
                <w:pPr>
                  <w:jc w:val="right"/>
                  <w:rPr>
                    <w:sz w:val="16"/>
                    <w:szCs w:val="16"/>
                  </w:rPr>
                </w:pPr>
              </w:p>
            </w:tc>
          </w:tr>
        </w:tbl>
        <w:p w:rsidR="00B637B2" w:rsidRDefault="00B637B2"/>
        <w:p w:rsidR="00ED2DC7" w:rsidRDefault="000D0A99">
          <w:pPr>
            <w:rPr>
              <w:szCs w:val="21"/>
            </w:rPr>
          </w:pPr>
        </w:p>
      </w:sdtContent>
    </w:sdt>
    <w:sdt>
      <w:sdtPr>
        <w:rPr>
          <w:rFonts w:hint="eastAsia"/>
          <w:szCs w:val="21"/>
        </w:rPr>
        <w:alias w:val="模块:长期股权投资的说明"/>
        <w:tag w:val="_GBC_1577b793bbce4a50b07decde0e07491e"/>
        <w:id w:val="107931385"/>
        <w:lock w:val="sdtLocked"/>
        <w:placeholder>
          <w:docPart w:val="GBC22222222222222222222222222222"/>
        </w:placeholder>
      </w:sdtPr>
      <w:sdtContent>
        <w:p w:rsidR="00ED2DC7" w:rsidRDefault="00ED2DC7">
          <w:pPr>
            <w:rPr>
              <w:szCs w:val="21"/>
            </w:rPr>
          </w:pPr>
          <w:r>
            <w:rPr>
              <w:rFonts w:hint="eastAsia"/>
              <w:szCs w:val="21"/>
            </w:rPr>
            <w:t>其他说明：</w:t>
          </w:r>
        </w:p>
        <w:sdt>
          <w:sdtPr>
            <w:rPr>
              <w:szCs w:val="21"/>
            </w:rPr>
            <w:alias w:val="是否适用：母公司长期股权投资其他说明[双击切换]"/>
            <w:tag w:val="_GBC_8b70582854684459adc77f46cbf4aac7"/>
            <w:id w:val="1368023412"/>
            <w:lock w:val="sdtContentLocked"/>
            <w:placeholder>
              <w:docPart w:val="GBC22222222222222222222222222222"/>
            </w:placeholder>
          </w:sdtPr>
          <w:sdtContent>
            <w:p w:rsidR="00ED2DC7" w:rsidRDefault="00ED2DC7" w:rsidP="00C46973">
              <w:pPr>
                <w:rPr>
                  <w:szCs w:val="21"/>
                </w:rPr>
              </w:pPr>
              <w:r>
                <w:rPr>
                  <w:szCs w:val="21"/>
                </w:rPr>
                <w:fldChar w:fldCharType="begin"/>
              </w:r>
              <w:r w:rsidR="00C46973">
                <w:rPr>
                  <w:szCs w:val="21"/>
                </w:rPr>
                <w:instrText xml:space="preserve"> MACROBUTTON  SnrToggleCheckbox □适用 </w:instrText>
              </w:r>
              <w:r>
                <w:rPr>
                  <w:szCs w:val="21"/>
                </w:rPr>
                <w:fldChar w:fldCharType="end"/>
              </w:r>
              <w:r>
                <w:rPr>
                  <w:szCs w:val="21"/>
                </w:rPr>
                <w:fldChar w:fldCharType="begin"/>
              </w:r>
              <w:r w:rsidR="00C46973">
                <w:rPr>
                  <w:szCs w:val="21"/>
                </w:rPr>
                <w:instrText xml:space="preserve"> MACROBUTTON  SnrToggleCheckbox √不适用 </w:instrText>
              </w:r>
              <w:r>
                <w:rPr>
                  <w:szCs w:val="21"/>
                </w:rPr>
                <w:fldChar w:fldCharType="end"/>
              </w:r>
            </w:p>
          </w:sdtContent>
        </w:sdt>
      </w:sdtContent>
    </w:sdt>
    <w:p w:rsidR="00ED2DC7" w:rsidRDefault="00ED2DC7">
      <w:pPr>
        <w:rPr>
          <w:szCs w:val="21"/>
        </w:rPr>
      </w:pPr>
    </w:p>
    <w:p w:rsidR="00ED2DC7" w:rsidRDefault="00ED2DC7" w:rsidP="00036BDC">
      <w:pPr>
        <w:pStyle w:val="affffffffffffffffff1"/>
        <w:numPr>
          <w:ilvl w:val="0"/>
          <w:numId w:val="101"/>
        </w:numPr>
      </w:pPr>
      <w:r>
        <w:rPr>
          <w:rFonts w:hint="eastAsia"/>
        </w:rPr>
        <w:lastRenderedPageBreak/>
        <w:t>营业收入和营业成本</w:t>
      </w:r>
    </w:p>
    <w:bookmarkStart w:id="266" w:name="_Hlk10548568" w:displacedByCustomXml="next"/>
    <w:sdt>
      <w:sdtPr>
        <w:rPr>
          <w:rFonts w:ascii="宋体" w:hAnsi="宋体" w:cs="宋体" w:hint="eastAsia"/>
          <w:b w:val="0"/>
          <w:bCs w:val="0"/>
          <w:kern w:val="0"/>
          <w:szCs w:val="24"/>
        </w:rPr>
        <w:alias w:val="模块:营业收入和营业成本情况"/>
        <w:tag w:val="_SEC_c20353238d924d35bff1a3e0cee4af4b"/>
        <w:id w:val="-703332830"/>
        <w:lock w:val="sdtLocked"/>
        <w:placeholder>
          <w:docPart w:val="GBC22222222222222222222222222222"/>
        </w:placeholder>
      </w:sdtPr>
      <w:sdtContent>
        <w:p w:rsidR="00ED2DC7" w:rsidRDefault="00ED2DC7" w:rsidP="00036BDC">
          <w:pPr>
            <w:pStyle w:val="affffffffffffffffff2"/>
            <w:numPr>
              <w:ilvl w:val="0"/>
              <w:numId w:val="105"/>
            </w:numPr>
          </w:pPr>
          <w:r>
            <w:rPr>
              <w:rFonts w:hint="eastAsia"/>
            </w:rPr>
            <w:t>营业收入和营业成本情况</w:t>
          </w:r>
        </w:p>
        <w:sdt>
          <w:sdtPr>
            <w:alias w:val="是否适用：母公司营业收入和营业成本[双击切换]"/>
            <w:tag w:val="_GBC_f62d83b1068f4bfaae3a590b0ac9f4d7"/>
            <w:id w:val="944579791"/>
            <w:lock w:val="sdtContentLocked"/>
            <w:placeholder>
              <w:docPart w:val="GBC22222222222222222222222222222"/>
            </w:placeholder>
          </w:sdtPr>
          <w:sdtContent>
            <w:p w:rsidR="00ED2DC7" w:rsidRDefault="00ED2DC7">
              <w:r>
                <w:fldChar w:fldCharType="begin"/>
              </w:r>
              <w:r w:rsidR="00C46973">
                <w:instrText xml:space="preserve"> MACROBUTTON  SnrToggleCheckbox √适用 </w:instrText>
              </w:r>
              <w:r>
                <w:fldChar w:fldCharType="end"/>
              </w:r>
              <w:r>
                <w:fldChar w:fldCharType="begin"/>
              </w:r>
              <w:r w:rsidR="00C46973">
                <w:instrText xml:space="preserve"> MACROBUTTON  SnrToggleCheckbox □不适用 </w:instrText>
              </w:r>
              <w:r>
                <w:fldChar w:fldCharType="end"/>
              </w:r>
            </w:p>
          </w:sdtContent>
        </w:sdt>
        <w:p w:rsidR="00584CFC" w:rsidRDefault="00ED2DC7">
          <w:pPr>
            <w:pStyle w:val="afffffffffffffffffff3"/>
            <w:ind w:firstLineChars="0" w:firstLine="0"/>
            <w:jc w:val="right"/>
            <w:rPr>
              <w:rFonts w:ascii="宋体" w:hAnsi="宋体"/>
              <w:bCs/>
              <w:szCs w:val="21"/>
            </w:rPr>
          </w:pPr>
          <w:r>
            <w:rPr>
              <w:rFonts w:ascii="宋体" w:hAnsi="宋体" w:hint="eastAsia"/>
              <w:bCs/>
              <w:szCs w:val="21"/>
            </w:rPr>
            <w:t>单位：</w:t>
          </w:r>
          <w:sdt>
            <w:sdtPr>
              <w:rPr>
                <w:rFonts w:ascii="宋体" w:hAnsi="宋体" w:hint="eastAsia"/>
                <w:bCs/>
                <w:szCs w:val="21"/>
              </w:rPr>
              <w:alias w:val="单位：母公司财务附注：营业收入"/>
              <w:tag w:val="_GBC_40a730bb869a41578a25e9cb66f4e28e"/>
              <w:id w:val="14758752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04CF">
                <w:rPr>
                  <w:rFonts w:ascii="宋体" w:hAnsi="宋体" w:hint="eastAsia"/>
                  <w:bCs/>
                  <w:szCs w:val="21"/>
                </w:rPr>
                <w:t>元</w:t>
              </w:r>
            </w:sdtContent>
          </w:sdt>
          <w:r>
            <w:rPr>
              <w:rFonts w:ascii="宋体" w:hAnsi="宋体" w:hint="eastAsia"/>
              <w:bCs/>
              <w:szCs w:val="21"/>
            </w:rPr>
            <w:t xml:space="preserve">  币种：</w:t>
          </w:r>
          <w:sdt>
            <w:sdtPr>
              <w:rPr>
                <w:rFonts w:ascii="宋体" w:hAnsi="宋体" w:hint="eastAsia"/>
                <w:bCs/>
                <w:szCs w:val="21"/>
              </w:rPr>
              <w:alias w:val="币种：母公司财务附注：营业收入"/>
              <w:tag w:val="_GBC_1b6056b90b2c445a9b1bcdc97aa104ec"/>
              <w:id w:val="-14985671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ascii="宋体" w:hAnsi="宋体" w:hint="eastAsia"/>
                  <w:bCs/>
                  <w:szCs w:val="21"/>
                </w:rPr>
                <w:t>人民币</w:t>
              </w:r>
            </w:sdtContent>
          </w:sdt>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21"/>
            <w:gridCol w:w="1581"/>
            <w:gridCol w:w="1569"/>
            <w:gridCol w:w="1581"/>
            <w:gridCol w:w="1371"/>
          </w:tblGrid>
          <w:tr w:rsidR="00584CFC" w:rsidTr="006F2EE0">
            <w:sdt>
              <w:sdtPr>
                <w:tag w:val="_PLD_3dc9ae0da47e49d097992a176784945a"/>
                <w:id w:val="-1204631328"/>
                <w:lock w:val="sdtLocked"/>
              </w:sdtPr>
              <w:sdtContent>
                <w:tc>
                  <w:tcPr>
                    <w:tcW w:w="1570" w:type="pct"/>
                    <w:vMerge w:val="restart"/>
                    <w:tcBorders>
                      <w:top w:val="single" w:sz="4" w:space="0" w:color="auto"/>
                      <w:left w:val="single" w:sz="4" w:space="0" w:color="auto"/>
                      <w:right w:val="single" w:sz="4" w:space="0" w:color="auto"/>
                    </w:tcBorders>
                    <w:shd w:val="clear" w:color="auto" w:fill="auto"/>
                    <w:vAlign w:val="center"/>
                  </w:tcPr>
                  <w:p w:rsidR="00584CFC" w:rsidRDefault="00584CFC" w:rsidP="006F2EE0">
                    <w:pPr>
                      <w:jc w:val="center"/>
                      <w:rPr>
                        <w:szCs w:val="21"/>
                      </w:rPr>
                    </w:pPr>
                    <w:r>
                      <w:rPr>
                        <w:rFonts w:hint="eastAsia"/>
                        <w:szCs w:val="21"/>
                      </w:rPr>
                      <w:t>项目</w:t>
                    </w:r>
                  </w:p>
                </w:tc>
              </w:sdtContent>
            </w:sdt>
            <w:sdt>
              <w:sdtPr>
                <w:tag w:val="_PLD_b47efcaea8ca428781485b2625b4c252"/>
                <w:id w:val="-1634626878"/>
                <w:lock w:val="sdtLocked"/>
              </w:sdtPr>
              <w:sdtContent>
                <w:tc>
                  <w:tcPr>
                    <w:tcW w:w="18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84CFC" w:rsidRDefault="00584CFC" w:rsidP="006F2EE0">
                    <w:pPr>
                      <w:jc w:val="center"/>
                      <w:rPr>
                        <w:szCs w:val="21"/>
                      </w:rPr>
                    </w:pPr>
                    <w:r>
                      <w:rPr>
                        <w:rFonts w:hint="eastAsia"/>
                        <w:szCs w:val="21"/>
                      </w:rPr>
                      <w:t>本期发生额</w:t>
                    </w:r>
                  </w:p>
                </w:tc>
              </w:sdtContent>
            </w:sdt>
            <w:sdt>
              <w:sdtPr>
                <w:tag w:val="_PLD_44320683f4394adcaf1711775bb320ef"/>
                <w:id w:val="1966993089"/>
                <w:lock w:val="sdtLocked"/>
              </w:sdtPr>
              <w:sdtContent>
                <w:tc>
                  <w:tcPr>
                    <w:tcW w:w="1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84CFC" w:rsidRDefault="00584CFC" w:rsidP="006F2EE0">
                    <w:pPr>
                      <w:jc w:val="center"/>
                      <w:rPr>
                        <w:szCs w:val="21"/>
                      </w:rPr>
                    </w:pPr>
                    <w:r>
                      <w:rPr>
                        <w:rFonts w:hint="eastAsia"/>
                        <w:szCs w:val="21"/>
                      </w:rPr>
                      <w:t>上期发生额</w:t>
                    </w:r>
                  </w:p>
                </w:tc>
              </w:sdtContent>
            </w:sdt>
          </w:tr>
          <w:tr w:rsidR="00584CFC" w:rsidTr="006F2EE0">
            <w:tc>
              <w:tcPr>
                <w:tcW w:w="1570" w:type="pct"/>
                <w:vMerge/>
                <w:tcBorders>
                  <w:left w:val="single" w:sz="4" w:space="0" w:color="auto"/>
                  <w:bottom w:val="single" w:sz="4" w:space="0" w:color="auto"/>
                  <w:right w:val="single" w:sz="4" w:space="0" w:color="auto"/>
                </w:tcBorders>
                <w:shd w:val="clear" w:color="auto" w:fill="auto"/>
                <w:vAlign w:val="center"/>
              </w:tcPr>
              <w:p w:rsidR="00584CFC" w:rsidRDefault="00584CFC" w:rsidP="006F2EE0">
                <w:pPr>
                  <w:jc w:val="center"/>
                  <w:rPr>
                    <w:szCs w:val="21"/>
                  </w:rPr>
                </w:pPr>
              </w:p>
            </w:tc>
            <w:sdt>
              <w:sdtPr>
                <w:tag w:val="_PLD_efb75dfbe3924c3a9f286eefd26b357f"/>
                <w:id w:val="-877398560"/>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584CFC" w:rsidRDefault="00584CFC" w:rsidP="006F2EE0">
                    <w:pPr>
                      <w:jc w:val="center"/>
                      <w:rPr>
                        <w:szCs w:val="21"/>
                      </w:rPr>
                    </w:pPr>
                    <w:r>
                      <w:rPr>
                        <w:rFonts w:hint="eastAsia"/>
                        <w:szCs w:val="21"/>
                      </w:rPr>
                      <w:t>收入</w:t>
                    </w:r>
                  </w:p>
                </w:tc>
              </w:sdtContent>
            </w:sdt>
            <w:sdt>
              <w:sdtPr>
                <w:tag w:val="_PLD_9ecc7b9050c24dcebd801ee01e950a91"/>
                <w:id w:val="227122368"/>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584CFC" w:rsidRDefault="00584CFC" w:rsidP="006F2EE0">
                    <w:pPr>
                      <w:jc w:val="center"/>
                      <w:rPr>
                        <w:szCs w:val="21"/>
                      </w:rPr>
                    </w:pPr>
                    <w:r>
                      <w:rPr>
                        <w:rFonts w:hint="eastAsia"/>
                        <w:szCs w:val="21"/>
                      </w:rPr>
                      <w:t>成本</w:t>
                    </w:r>
                  </w:p>
                </w:tc>
              </w:sdtContent>
            </w:sdt>
            <w:sdt>
              <w:sdtPr>
                <w:tag w:val="_PLD_b2940b2f59f24f969eea718c85f99dda"/>
                <w:id w:val="-898814295"/>
                <w:lock w:val="sdtLocked"/>
              </w:sdtPr>
              <w:sdtContent>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584CFC" w:rsidRDefault="00584CFC" w:rsidP="006F2EE0">
                    <w:pPr>
                      <w:jc w:val="center"/>
                      <w:rPr>
                        <w:szCs w:val="21"/>
                      </w:rPr>
                    </w:pPr>
                    <w:r>
                      <w:rPr>
                        <w:rFonts w:hint="eastAsia"/>
                        <w:szCs w:val="21"/>
                      </w:rPr>
                      <w:t>收入</w:t>
                    </w:r>
                  </w:p>
                </w:tc>
              </w:sdtContent>
            </w:sdt>
            <w:sdt>
              <w:sdtPr>
                <w:tag w:val="_PLD_971c170c70c24975ba7524e53623bf00"/>
                <w:id w:val="1559829671"/>
                <w:lock w:val="sdtLocked"/>
              </w:sdtPr>
              <w:sdtContent>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584CFC" w:rsidRDefault="00584CFC" w:rsidP="006F2EE0">
                    <w:pPr>
                      <w:jc w:val="center"/>
                      <w:rPr>
                        <w:szCs w:val="21"/>
                      </w:rPr>
                    </w:pPr>
                    <w:r>
                      <w:rPr>
                        <w:rFonts w:hint="eastAsia"/>
                        <w:szCs w:val="21"/>
                      </w:rPr>
                      <w:t>成本</w:t>
                    </w:r>
                  </w:p>
                </w:tc>
              </w:sdtContent>
            </w:sdt>
          </w:tr>
          <w:tr w:rsidR="00584CFC" w:rsidTr="006F2EE0">
            <w:sdt>
              <w:sdtPr>
                <w:tag w:val="_PLD_f2b4fe0479f44a60a5badd071c9f1f86"/>
                <w:id w:val="-2073041519"/>
                <w:lock w:val="sdtLocked"/>
              </w:sdtPr>
              <w:sdtContent>
                <w:tc>
                  <w:tcPr>
                    <w:tcW w:w="1570" w:type="pct"/>
                    <w:tcBorders>
                      <w:top w:val="single" w:sz="4" w:space="0" w:color="auto"/>
                      <w:left w:val="single" w:sz="4" w:space="0" w:color="auto"/>
                      <w:bottom w:val="single" w:sz="4" w:space="0" w:color="auto"/>
                      <w:right w:val="single" w:sz="4" w:space="0" w:color="auto"/>
                    </w:tcBorders>
                    <w:shd w:val="clear" w:color="auto" w:fill="auto"/>
                  </w:tcPr>
                  <w:p w:rsidR="00584CFC" w:rsidRDefault="00584CFC" w:rsidP="006F2EE0">
                    <w:pPr>
                      <w:rPr>
                        <w:szCs w:val="21"/>
                      </w:rPr>
                    </w:pPr>
                    <w:r>
                      <w:rPr>
                        <w:rFonts w:hint="eastAsia"/>
                        <w:szCs w:val="21"/>
                      </w:rPr>
                      <w:t>主营业务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rsidR="00584CFC" w:rsidRDefault="00584CFC" w:rsidP="006F2EE0">
                <w:pPr>
                  <w:jc w:val="right"/>
                  <w:rPr>
                    <w:szCs w:val="21"/>
                  </w:rPr>
                </w:pPr>
                <w:r>
                  <w:t>1,124,207,658</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584CFC" w:rsidRDefault="00584CFC" w:rsidP="006F2EE0">
                <w:pPr>
                  <w:jc w:val="right"/>
                  <w:rPr>
                    <w:szCs w:val="21"/>
                  </w:rPr>
                </w:pPr>
                <w:r>
                  <w:t>317,866,018</w:t>
                </w:r>
              </w:p>
            </w:tc>
            <w:tc>
              <w:tcPr>
                <w:tcW w:w="837" w:type="pct"/>
                <w:tcBorders>
                  <w:top w:val="single" w:sz="4" w:space="0" w:color="auto"/>
                  <w:left w:val="single" w:sz="4" w:space="0" w:color="auto"/>
                  <w:bottom w:val="single" w:sz="4" w:space="0" w:color="auto"/>
                  <w:right w:val="single" w:sz="4" w:space="0" w:color="auto"/>
                </w:tcBorders>
                <w:shd w:val="clear" w:color="auto" w:fill="auto"/>
              </w:tcPr>
              <w:p w:rsidR="00584CFC" w:rsidRDefault="00584CFC" w:rsidP="006F2EE0">
                <w:pPr>
                  <w:jc w:val="right"/>
                  <w:rPr>
                    <w:szCs w:val="21"/>
                  </w:rPr>
                </w:pPr>
                <w:r>
                  <w:t>981,629,591</w:t>
                </w:r>
              </w:p>
            </w:tc>
            <w:tc>
              <w:tcPr>
                <w:tcW w:w="753" w:type="pct"/>
                <w:tcBorders>
                  <w:top w:val="single" w:sz="4" w:space="0" w:color="auto"/>
                  <w:left w:val="single" w:sz="4" w:space="0" w:color="auto"/>
                  <w:bottom w:val="single" w:sz="4" w:space="0" w:color="auto"/>
                  <w:right w:val="single" w:sz="4" w:space="0" w:color="auto"/>
                </w:tcBorders>
                <w:shd w:val="clear" w:color="auto" w:fill="auto"/>
              </w:tcPr>
              <w:p w:rsidR="00584CFC" w:rsidRDefault="00584CFC" w:rsidP="006F2EE0">
                <w:pPr>
                  <w:jc w:val="right"/>
                  <w:rPr>
                    <w:szCs w:val="21"/>
                  </w:rPr>
                </w:pPr>
                <w:r>
                  <w:t>274,397,354</w:t>
                </w:r>
              </w:p>
            </w:tc>
          </w:tr>
          <w:tr w:rsidR="00584CFC" w:rsidTr="006F2EE0">
            <w:sdt>
              <w:sdtPr>
                <w:tag w:val="_PLD_afc897eb0cea4fd1aa59bd1823fab728"/>
                <w:id w:val="1754475825"/>
                <w:lock w:val="sdtLocked"/>
              </w:sdtPr>
              <w:sdtContent>
                <w:tc>
                  <w:tcPr>
                    <w:tcW w:w="1570" w:type="pct"/>
                    <w:tcBorders>
                      <w:top w:val="single" w:sz="4" w:space="0" w:color="auto"/>
                      <w:left w:val="single" w:sz="4" w:space="0" w:color="auto"/>
                      <w:bottom w:val="single" w:sz="4" w:space="0" w:color="auto"/>
                      <w:right w:val="single" w:sz="4" w:space="0" w:color="auto"/>
                    </w:tcBorders>
                    <w:shd w:val="clear" w:color="auto" w:fill="auto"/>
                  </w:tcPr>
                  <w:p w:rsidR="00584CFC" w:rsidRDefault="00584CFC" w:rsidP="006F2EE0">
                    <w:pPr>
                      <w:rPr>
                        <w:szCs w:val="21"/>
                      </w:rPr>
                    </w:pPr>
                    <w:r>
                      <w:rPr>
                        <w:rFonts w:hint="eastAsia"/>
                        <w:szCs w:val="21"/>
                      </w:rPr>
                      <w:t>其他业务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rsidR="00584CFC" w:rsidRDefault="00584CFC" w:rsidP="006F2EE0">
                <w:pPr>
                  <w:jc w:val="right"/>
                  <w:rPr>
                    <w:szCs w:val="21"/>
                  </w:rPr>
                </w:pPr>
                <w:r>
                  <w:t>134,059,776</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584CFC" w:rsidRDefault="00584CFC" w:rsidP="006F2EE0">
                <w:pPr>
                  <w:jc w:val="right"/>
                  <w:rPr>
                    <w:szCs w:val="21"/>
                  </w:rPr>
                </w:pPr>
                <w:r>
                  <w:t>10,368,753</w:t>
                </w:r>
              </w:p>
            </w:tc>
            <w:tc>
              <w:tcPr>
                <w:tcW w:w="837" w:type="pct"/>
                <w:tcBorders>
                  <w:top w:val="single" w:sz="4" w:space="0" w:color="auto"/>
                  <w:left w:val="single" w:sz="4" w:space="0" w:color="auto"/>
                  <w:bottom w:val="single" w:sz="4" w:space="0" w:color="auto"/>
                  <w:right w:val="single" w:sz="4" w:space="0" w:color="auto"/>
                </w:tcBorders>
                <w:shd w:val="clear" w:color="auto" w:fill="auto"/>
              </w:tcPr>
              <w:p w:rsidR="00584CFC" w:rsidRDefault="00584CFC" w:rsidP="006F2EE0">
                <w:pPr>
                  <w:jc w:val="right"/>
                  <w:rPr>
                    <w:szCs w:val="21"/>
                  </w:rPr>
                </w:pPr>
                <w:r>
                  <w:t>129,381,992</w:t>
                </w:r>
              </w:p>
            </w:tc>
            <w:tc>
              <w:tcPr>
                <w:tcW w:w="753" w:type="pct"/>
                <w:tcBorders>
                  <w:top w:val="single" w:sz="4" w:space="0" w:color="auto"/>
                  <w:left w:val="single" w:sz="4" w:space="0" w:color="auto"/>
                  <w:bottom w:val="single" w:sz="4" w:space="0" w:color="auto"/>
                  <w:right w:val="single" w:sz="4" w:space="0" w:color="auto"/>
                </w:tcBorders>
                <w:shd w:val="clear" w:color="auto" w:fill="auto"/>
              </w:tcPr>
              <w:p w:rsidR="00584CFC" w:rsidRDefault="00584CFC" w:rsidP="006F2EE0">
                <w:pPr>
                  <w:jc w:val="right"/>
                  <w:rPr>
                    <w:szCs w:val="21"/>
                  </w:rPr>
                </w:pPr>
                <w:r>
                  <w:t>9,104,322</w:t>
                </w:r>
              </w:p>
            </w:tc>
          </w:tr>
          <w:tr w:rsidR="00584CFC" w:rsidRPr="00584CFC" w:rsidTr="006F2EE0">
            <w:sdt>
              <w:sdtPr>
                <w:tag w:val="_PLD_209c319d43f848d2a0456ecaa5150b62"/>
                <w:id w:val="-259530345"/>
                <w:lock w:val="sdtLocked"/>
              </w:sdtPr>
              <w:sdtContent>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rsidR="00584CFC" w:rsidRDefault="00584CFC" w:rsidP="006F2EE0">
                    <w:pPr>
                      <w:jc w:val="center"/>
                      <w:rPr>
                        <w:szCs w:val="21"/>
                      </w:rPr>
                    </w:pPr>
                    <w:r>
                      <w:rPr>
                        <w:rFonts w:hint="eastAsia"/>
                        <w:szCs w:val="21"/>
                      </w:rPr>
                      <w:t>合计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rsidR="00584CFC" w:rsidRDefault="00584CFC" w:rsidP="006F2EE0">
                <w:pPr>
                  <w:jc w:val="right"/>
                  <w:rPr>
                    <w:szCs w:val="21"/>
                  </w:rPr>
                </w:pPr>
                <w:r>
                  <w:t>1,258,267,434</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584CFC" w:rsidRDefault="00584CFC" w:rsidP="006F2EE0">
                <w:pPr>
                  <w:jc w:val="right"/>
                  <w:rPr>
                    <w:szCs w:val="21"/>
                  </w:rPr>
                </w:pPr>
                <w:r>
                  <w:t>328,234,771</w:t>
                </w:r>
              </w:p>
            </w:tc>
            <w:tc>
              <w:tcPr>
                <w:tcW w:w="837" w:type="pct"/>
                <w:tcBorders>
                  <w:top w:val="single" w:sz="4" w:space="0" w:color="auto"/>
                  <w:left w:val="single" w:sz="4" w:space="0" w:color="auto"/>
                  <w:bottom w:val="single" w:sz="4" w:space="0" w:color="auto"/>
                  <w:right w:val="single" w:sz="4" w:space="0" w:color="auto"/>
                </w:tcBorders>
                <w:shd w:val="clear" w:color="auto" w:fill="auto"/>
              </w:tcPr>
              <w:p w:rsidR="00584CFC" w:rsidRDefault="00584CFC" w:rsidP="006F2EE0">
                <w:pPr>
                  <w:jc w:val="right"/>
                  <w:rPr>
                    <w:szCs w:val="21"/>
                  </w:rPr>
                </w:pPr>
                <w:r>
                  <w:t>1,111,011,583</w:t>
                </w:r>
              </w:p>
            </w:tc>
            <w:tc>
              <w:tcPr>
                <w:tcW w:w="753" w:type="pct"/>
                <w:tcBorders>
                  <w:top w:val="single" w:sz="4" w:space="0" w:color="auto"/>
                  <w:left w:val="single" w:sz="4" w:space="0" w:color="auto"/>
                  <w:bottom w:val="single" w:sz="4" w:space="0" w:color="auto"/>
                  <w:right w:val="single" w:sz="4" w:space="0" w:color="auto"/>
                </w:tcBorders>
                <w:shd w:val="clear" w:color="auto" w:fill="auto"/>
              </w:tcPr>
              <w:p w:rsidR="00584CFC" w:rsidRDefault="00584CFC" w:rsidP="006F2EE0">
                <w:pPr>
                  <w:jc w:val="right"/>
                  <w:rPr>
                    <w:szCs w:val="21"/>
                  </w:rPr>
                </w:pPr>
                <w:r>
                  <w:t>283,501,676</w:t>
                </w:r>
              </w:p>
            </w:tc>
          </w:tr>
        </w:tbl>
        <w:p w:rsidR="00ED2DC7" w:rsidRPr="00584CFC" w:rsidRDefault="000D0A99" w:rsidP="00584CFC"/>
      </w:sdtContent>
    </w:sdt>
    <w:bookmarkEnd w:id="266"/>
    <w:p w:rsidR="00ED2DC7" w:rsidRDefault="00ED2DC7">
      <w:pPr>
        <w:spacing w:before="60" w:after="60"/>
        <w:rPr>
          <w:szCs w:val="21"/>
        </w:rPr>
      </w:pPr>
    </w:p>
    <w:bookmarkStart w:id="267" w:name="_Hlk10548607" w:displacedByCustomXml="next"/>
    <w:sdt>
      <w:sdtPr>
        <w:rPr>
          <w:rFonts w:ascii="宋体" w:hAnsi="宋体" w:cs="宋体" w:hint="eastAsia"/>
          <w:b w:val="0"/>
          <w:bCs w:val="0"/>
          <w:kern w:val="0"/>
          <w:szCs w:val="21"/>
        </w:rPr>
        <w:alias w:val="模块:合同产生的收入情况："/>
        <w:tag w:val="_SEC_2713156f501a4b5a86eb4ab43bcaf25e"/>
        <w:id w:val="282312964"/>
        <w:lock w:val="sdtLocked"/>
        <w:placeholder>
          <w:docPart w:val="GBC22222222222222222222222222222"/>
        </w:placeholder>
      </w:sdtPr>
      <w:sdtContent>
        <w:p w:rsidR="00ED2DC7" w:rsidRDefault="00ED2DC7" w:rsidP="00036BDC">
          <w:pPr>
            <w:pStyle w:val="affffffffffffffffff2"/>
            <w:numPr>
              <w:ilvl w:val="0"/>
              <w:numId w:val="105"/>
            </w:numPr>
            <w:rPr>
              <w:szCs w:val="21"/>
            </w:rPr>
          </w:pPr>
          <w:r>
            <w:rPr>
              <w:rFonts w:hint="eastAsia"/>
              <w:szCs w:val="21"/>
            </w:rPr>
            <w:t>合同产生的收入情况</w:t>
          </w:r>
        </w:p>
        <w:sdt>
          <w:sdtPr>
            <w:rPr>
              <w:rFonts w:ascii="宋体" w:hAnsi="宋体"/>
              <w:szCs w:val="21"/>
            </w:rPr>
            <w:alias w:val="是否适用：母公司合同产生的收入[双击切换]"/>
            <w:tag w:val="_GBC_f4f1c383538f4a76af749e49b3462b68"/>
            <w:id w:val="-955403916"/>
            <w:lock w:val="sdtContentLocked"/>
            <w:placeholder>
              <w:docPart w:val="GBC22222222222222222222222222222"/>
            </w:placeholder>
          </w:sdtPr>
          <w:sdtContent>
            <w:p w:rsidR="00584CFC" w:rsidRDefault="00ED2DC7" w:rsidP="00584CFC">
              <w:pPr>
                <w:pStyle w:val="afffffffffffffffffff3"/>
                <w:ind w:firstLineChars="0" w:firstLine="0"/>
                <w:jc w:val="left"/>
              </w:pPr>
              <w:r>
                <w:rPr>
                  <w:rFonts w:ascii="宋体" w:hAnsi="宋体"/>
                  <w:szCs w:val="21"/>
                </w:rPr>
                <w:fldChar w:fldCharType="begin"/>
              </w:r>
              <w:r w:rsidR="00584CFC">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584CFC">
                <w:rPr>
                  <w:rFonts w:ascii="宋体" w:hAnsi="宋体"/>
                  <w:szCs w:val="21"/>
                </w:rPr>
                <w:instrText xml:space="preserve"> MACROBUTTON  SnrToggleCheckbox √不适用 </w:instrText>
              </w:r>
              <w:r>
                <w:rPr>
                  <w:rFonts w:ascii="宋体" w:hAnsi="宋体"/>
                  <w:szCs w:val="21"/>
                </w:rPr>
                <w:fldChar w:fldCharType="end"/>
              </w:r>
            </w:p>
          </w:sdtContent>
        </w:sdt>
        <w:p w:rsidR="00ED2DC7" w:rsidRDefault="00ED2DC7"/>
        <w:p w:rsidR="00ED2DC7" w:rsidRDefault="000D0A99">
          <w:pPr>
            <w:spacing w:before="60" w:after="60"/>
            <w:rPr>
              <w:szCs w:val="21"/>
            </w:rPr>
          </w:pPr>
        </w:p>
      </w:sdtContent>
    </w:sdt>
    <w:bookmarkEnd w:id="267" w:displacedByCustomXml="prev"/>
    <w:bookmarkStart w:id="268" w:name="_Hlk10548652" w:displacedByCustomXml="next"/>
    <w:bookmarkStart w:id="269" w:name="_Hlk10548661" w:displacedByCustomXml="next"/>
    <w:sdt>
      <w:sdtPr>
        <w:rPr>
          <w:rFonts w:ascii="宋体" w:hAnsi="宋体" w:cs="宋体" w:hint="eastAsia"/>
          <w:b w:val="0"/>
          <w:bCs w:val="0"/>
          <w:kern w:val="0"/>
          <w:szCs w:val="24"/>
        </w:rPr>
        <w:alias w:val="模块:履约义务的说明"/>
        <w:tag w:val="_SEC_53d5f13d55ef41a88538eb4a1cd87f53"/>
        <w:id w:val="72251063"/>
        <w:lock w:val="sdtLocked"/>
        <w:placeholder>
          <w:docPart w:val="GBC22222222222222222222222222222"/>
        </w:placeholder>
      </w:sdtPr>
      <w:sdtEndPr>
        <w:rPr>
          <w:rFonts w:hint="default"/>
          <w:szCs w:val="21"/>
        </w:rPr>
      </w:sdtEndPr>
      <w:sdtContent>
        <w:p w:rsidR="00ED2DC7" w:rsidRDefault="00ED2DC7" w:rsidP="00036BDC">
          <w:pPr>
            <w:pStyle w:val="affffffffffffffffff2"/>
            <w:numPr>
              <w:ilvl w:val="0"/>
              <w:numId w:val="105"/>
            </w:numPr>
          </w:pPr>
          <w:r>
            <w:rPr>
              <w:rFonts w:hint="eastAsia"/>
            </w:rPr>
            <w:t>履约义务的说明</w:t>
          </w:r>
          <w:bookmarkEnd w:id="268"/>
        </w:p>
        <w:sdt>
          <w:sdtPr>
            <w:alias w:val="是否适用：母公司履约义务的说明[双击切换]"/>
            <w:tag w:val="_GBC_9fa12dfead42484a96c713de3deeb146"/>
            <w:id w:val="172224114"/>
            <w:lock w:val="sdtContentLocked"/>
            <w:placeholder>
              <w:docPart w:val="GBC22222222222222222222222222222"/>
            </w:placeholder>
          </w:sdtPr>
          <w:sdtContent>
            <w:p w:rsidR="00ED2DC7" w:rsidRDefault="00ED2DC7" w:rsidP="00584CFC">
              <w:r>
                <w:fldChar w:fldCharType="begin"/>
              </w:r>
              <w:r w:rsidR="00584CFC">
                <w:instrText xml:space="preserve"> MACROBUTTON  SnrToggleCheckbox □适用 </w:instrText>
              </w:r>
              <w:r>
                <w:fldChar w:fldCharType="end"/>
              </w:r>
              <w:r>
                <w:fldChar w:fldCharType="begin"/>
              </w:r>
              <w:r w:rsidR="00584CFC">
                <w:instrText xml:space="preserve"> MACROBUTTON  SnrToggleCheckbox √不适用 </w:instrText>
              </w:r>
              <w:r>
                <w:fldChar w:fldCharType="end"/>
              </w:r>
            </w:p>
          </w:sdtContent>
        </w:sdt>
        <w:p w:rsidR="00ED2DC7" w:rsidRDefault="000D0A99">
          <w:pPr>
            <w:spacing w:before="60" w:after="60"/>
            <w:rPr>
              <w:szCs w:val="21"/>
            </w:rPr>
          </w:pPr>
        </w:p>
      </w:sdtContent>
    </w:sdt>
    <w:bookmarkEnd w:id="269" w:displacedByCustomXml="prev"/>
    <w:bookmarkStart w:id="270" w:name="_Hlk10548677" w:displacedByCustomXml="next"/>
    <w:bookmarkStart w:id="271" w:name="_Hlk10548687" w:displacedByCustomXml="next"/>
    <w:sdt>
      <w:sdtPr>
        <w:rPr>
          <w:rFonts w:ascii="宋体" w:hAnsi="宋体" w:cs="宋体" w:hint="eastAsia"/>
          <w:b w:val="0"/>
          <w:bCs w:val="0"/>
          <w:kern w:val="0"/>
          <w:szCs w:val="24"/>
        </w:rPr>
        <w:alias w:val="模块:分摊至剩余履约义务的说明"/>
        <w:tag w:val="_SEC_70d7b3f4762b43eabe7e1ecc83c000d4"/>
        <w:id w:val="1143161042"/>
        <w:lock w:val="sdtLocked"/>
        <w:placeholder>
          <w:docPart w:val="GBC22222222222222222222222222222"/>
        </w:placeholder>
      </w:sdtPr>
      <w:sdtEndPr>
        <w:rPr>
          <w:rFonts w:hint="default"/>
          <w:szCs w:val="21"/>
        </w:rPr>
      </w:sdtEndPr>
      <w:sdtContent>
        <w:p w:rsidR="00ED2DC7" w:rsidRDefault="00ED2DC7" w:rsidP="00036BDC">
          <w:pPr>
            <w:pStyle w:val="affffffffffffffffff2"/>
            <w:numPr>
              <w:ilvl w:val="0"/>
              <w:numId w:val="105"/>
            </w:numPr>
          </w:pPr>
          <w:r>
            <w:rPr>
              <w:rFonts w:hint="eastAsia"/>
            </w:rPr>
            <w:t>分摊至剩余履约义务的说明</w:t>
          </w:r>
          <w:bookmarkEnd w:id="270"/>
        </w:p>
        <w:sdt>
          <w:sdtPr>
            <w:alias w:val="是否适用：母公司分摊至剩余履约义务的说明[双击切换]"/>
            <w:tag w:val="_GBC_ed475c258e94496384f686833dfaebba"/>
            <w:id w:val="-1728682917"/>
            <w:lock w:val="sdtContentLocked"/>
            <w:placeholder>
              <w:docPart w:val="GBC22222222222222222222222222222"/>
            </w:placeholder>
          </w:sdtPr>
          <w:sdtContent>
            <w:p w:rsidR="00584CFC" w:rsidRDefault="00ED2DC7" w:rsidP="00584CFC">
              <w:pPr>
                <w:rPr>
                  <w:szCs w:val="21"/>
                </w:rPr>
              </w:pPr>
              <w:r>
                <w:fldChar w:fldCharType="begin"/>
              </w:r>
              <w:r w:rsidR="00584CFC">
                <w:instrText xml:space="preserve"> MACROBUTTON  SnrToggleCheckbox □适用 </w:instrText>
              </w:r>
              <w:r>
                <w:fldChar w:fldCharType="end"/>
              </w:r>
              <w:r>
                <w:fldChar w:fldCharType="begin"/>
              </w:r>
              <w:r w:rsidR="00584CFC">
                <w:instrText xml:space="preserve"> MACROBUTTON  SnrToggleCheckbox √不适用 </w:instrText>
              </w:r>
              <w:r>
                <w:fldChar w:fldCharType="end"/>
              </w:r>
            </w:p>
          </w:sdtContent>
        </w:sdt>
        <w:p w:rsidR="00ED2DC7" w:rsidRDefault="00ED2DC7">
          <w:pPr>
            <w:rPr>
              <w:szCs w:val="21"/>
            </w:rPr>
          </w:pPr>
        </w:p>
        <w:p w:rsidR="00ED2DC7" w:rsidRDefault="000D0A99">
          <w:pPr>
            <w:spacing w:before="60" w:after="60"/>
            <w:rPr>
              <w:szCs w:val="21"/>
            </w:rPr>
          </w:pPr>
        </w:p>
      </w:sdtContent>
    </w:sdt>
    <w:bookmarkEnd w:id="271" w:displacedByCustomXml="prev"/>
    <w:p w:rsidR="00ED2DC7" w:rsidRDefault="00ED2DC7">
      <w:pPr>
        <w:spacing w:before="60" w:after="60"/>
        <w:rPr>
          <w:szCs w:val="21"/>
        </w:rPr>
      </w:pPr>
      <w:r>
        <w:rPr>
          <w:rFonts w:hint="eastAsia"/>
          <w:szCs w:val="21"/>
        </w:rPr>
        <w:t>其他说明：</w:t>
      </w:r>
    </w:p>
    <w:sdt>
      <w:sdtPr>
        <w:rPr>
          <w:szCs w:val="21"/>
        </w:rPr>
        <w:alias w:val="主营业务说明"/>
        <w:tag w:val="_GBC_67059ac627994738bbd2a2272a5068c8"/>
        <w:id w:val="246005124"/>
        <w:lock w:val="sdtLocked"/>
        <w:placeholder>
          <w:docPart w:val="GBC22222222222222222222222222222"/>
        </w:placeholder>
      </w:sdtPr>
      <w:sdtContent>
        <w:p w:rsidR="00ED2DC7" w:rsidRDefault="00584CFC">
          <w:pPr>
            <w:rPr>
              <w:szCs w:val="21"/>
            </w:rPr>
          </w:pPr>
          <w:r>
            <w:rPr>
              <w:rFonts w:hint="eastAsia"/>
              <w:szCs w:val="21"/>
            </w:rPr>
            <w:t>无。</w:t>
          </w:r>
        </w:p>
      </w:sdtContent>
    </w:sdt>
    <w:p w:rsidR="00ED2DC7" w:rsidRDefault="00ED2DC7">
      <w:pPr>
        <w:rPr>
          <w:szCs w:val="21"/>
        </w:rPr>
      </w:pPr>
    </w:p>
    <w:bookmarkStart w:id="272" w:name="_Hlk10548739" w:displacedByCustomXml="next"/>
    <w:bookmarkStart w:id="273" w:name="OLE_LINK6" w:displacedByCustomXml="next"/>
    <w:sdt>
      <w:sdtPr>
        <w:rPr>
          <w:rFonts w:ascii="宋体" w:hAnsi="宋体" w:cs="宋体" w:hint="eastAsia"/>
          <w:b w:val="0"/>
          <w:bCs w:val="0"/>
          <w:kern w:val="0"/>
          <w:szCs w:val="21"/>
        </w:rPr>
        <w:alias w:val="模块:投资收益"/>
        <w:tag w:val="_SEC_69cb0c27d0a845f8ab1383f9a47646b6"/>
        <w:id w:val="1157115829"/>
        <w:lock w:val="sdtLocked"/>
        <w:placeholder>
          <w:docPart w:val="GBC22222222222222222222222222222"/>
        </w:placeholder>
      </w:sdtPr>
      <w:sdtEndPr>
        <w:rPr>
          <w:rFonts w:hint="default"/>
        </w:rPr>
      </w:sdtEndPr>
      <w:sdtContent>
        <w:bookmarkEnd w:id="272" w:displacedByCustomXml="prev"/>
        <w:bookmarkStart w:id="274" w:name="_Hlk10720480" w:displacedByCustomXml="prev"/>
        <w:p w:rsidR="00ED2DC7" w:rsidRPr="003B7CB3" w:rsidRDefault="00ED2DC7" w:rsidP="00036BDC">
          <w:pPr>
            <w:pStyle w:val="affffffffffffffffff1"/>
            <w:numPr>
              <w:ilvl w:val="0"/>
              <w:numId w:val="101"/>
            </w:numPr>
            <w:rPr>
              <w:rFonts w:ascii="宋体" w:hAnsi="宋体"/>
              <w:szCs w:val="21"/>
            </w:rPr>
          </w:pPr>
          <w:r w:rsidRPr="003B7CB3">
            <w:rPr>
              <w:rFonts w:ascii="宋体" w:hAnsi="宋体" w:hint="eastAsia"/>
              <w:szCs w:val="21"/>
            </w:rPr>
            <w:t>投资收益</w:t>
          </w:r>
          <w:bookmarkEnd w:id="273"/>
        </w:p>
        <w:sdt>
          <w:sdtPr>
            <w:alias w:val="是否适用：母公司投资收益[双击切换]"/>
            <w:tag w:val="_GBC_bdba48f0322747499f6908fbbf78a16f"/>
            <w:id w:val="-895199770"/>
            <w:lock w:val="sdtContentLocked"/>
            <w:placeholder>
              <w:docPart w:val="GBC22222222222222222222222222222"/>
            </w:placeholder>
          </w:sdtPr>
          <w:sdtContent>
            <w:p w:rsidR="00584CFC" w:rsidRDefault="00ED2DC7" w:rsidP="00584CFC">
              <w:r>
                <w:fldChar w:fldCharType="begin"/>
              </w:r>
              <w:r w:rsidR="00584CFC">
                <w:instrText xml:space="preserve"> MACROBUTTON  SnrToggleCheckbox √适用 </w:instrText>
              </w:r>
              <w:r>
                <w:fldChar w:fldCharType="end"/>
              </w:r>
              <w:r>
                <w:fldChar w:fldCharType="begin"/>
              </w:r>
              <w:r w:rsidR="00584CFC">
                <w:instrText xml:space="preserve"> MACROBUTTON  SnrToggleCheckbox □不适用 </w:instrText>
              </w:r>
              <w:r>
                <w:fldChar w:fldCharType="end"/>
              </w:r>
            </w:p>
          </w:sdtContent>
        </w:sdt>
        <w:p w:rsidR="00584CFC" w:rsidRDefault="00584CFC">
          <w:pPr>
            <w:jc w:val="right"/>
            <w:rPr>
              <w:color w:val="FF0000"/>
            </w:rPr>
          </w:pPr>
          <w:r>
            <w:t>单位</w:t>
          </w:r>
          <w:r>
            <w:rPr>
              <w:rFonts w:hint="eastAsia"/>
            </w:rPr>
            <w:t>：</w:t>
          </w:r>
          <w:sdt>
            <w:sdtPr>
              <w:rPr>
                <w:rFonts w:hint="eastAsia"/>
              </w:rPr>
              <w:alias w:val="单位：财务附注：会计报表中的投资收益项目增加"/>
              <w:tag w:val="_GBC_613aeed04bd941b2899e7b84fac67e3a"/>
              <w:id w:val="-1574046120"/>
              <w:lock w:val="sdtLocked"/>
              <w:comboBox>
                <w:listItem w:displayText="元" w:value="1"/>
                <w:listItem w:displayText="千元" w:value="1000"/>
                <w:listItem w:displayText="万元" w:value="10000"/>
                <w:listItem w:displayText="百万元" w:value="1000000"/>
                <w:listItem w:displayText="亿元" w:value="100000000"/>
              </w:comboBox>
            </w:sdtPr>
            <w:sdtContent>
              <w:r w:rsidR="008F04CF">
                <w:rPr>
                  <w:rFonts w:hint="eastAsia"/>
                </w:rPr>
                <w:t>元</w:t>
              </w:r>
            </w:sdtContent>
          </w:sdt>
          <w:r>
            <w:t xml:space="preserve">  币种</w:t>
          </w:r>
          <w:r>
            <w:rPr>
              <w:rFonts w:hint="eastAsia"/>
            </w:rPr>
            <w:t>：</w:t>
          </w:r>
          <w:sdt>
            <w:sdtPr>
              <w:rPr>
                <w:rFonts w:hint="eastAsia"/>
              </w:rPr>
              <w:alias w:val="币种：财务附注：会计报表中的投资收益项目增加"/>
              <w:tag w:val="_GBC_8976301949824df2a90aa6f83aad84f0"/>
              <w:id w:val="-27687112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rPr>
                <w:t>人民币</w:t>
              </w:r>
            </w:sdtContent>
          </w:sdt>
        </w:p>
        <w:tbl>
          <w:tblPr>
            <w:tblStyle w:val="g3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1"/>
            <w:gridCol w:w="2626"/>
            <w:gridCol w:w="2636"/>
          </w:tblGrid>
          <w:tr w:rsidR="00584CFC" w:rsidTr="007E58C5">
            <w:bookmarkStart w:id="275" w:name="_Hlk16631905" w:displacedByCustomXml="next"/>
            <w:sdt>
              <w:sdtPr>
                <w:tag w:val="_PLD_1263506df19847a5a86c9b873a7b7673"/>
                <w:id w:val="2111156089"/>
                <w:lock w:val="sdtLocked"/>
              </w:sdtPr>
              <w:sdtContent>
                <w:tc>
                  <w:tcPr>
                    <w:tcW w:w="2018" w:type="pct"/>
                    <w:vAlign w:val="center"/>
                  </w:tcPr>
                  <w:p w:rsidR="00584CFC" w:rsidRDefault="00584CFC">
                    <w:pPr>
                      <w:ind w:left="420" w:hanging="420"/>
                      <w:jc w:val="center"/>
                      <w:rPr>
                        <w:szCs w:val="21"/>
                      </w:rPr>
                    </w:pPr>
                    <w:r>
                      <w:rPr>
                        <w:rFonts w:hint="eastAsia"/>
                        <w:szCs w:val="21"/>
                      </w:rPr>
                      <w:t>项目</w:t>
                    </w:r>
                  </w:p>
                </w:tc>
              </w:sdtContent>
            </w:sdt>
            <w:sdt>
              <w:sdtPr>
                <w:tag w:val="_PLD_6da456fe7d784e789fe8204c2cc499b3"/>
                <w:id w:val="502786447"/>
                <w:lock w:val="sdtLocked"/>
              </w:sdtPr>
              <w:sdtContent>
                <w:tc>
                  <w:tcPr>
                    <w:tcW w:w="1488" w:type="pct"/>
                    <w:vAlign w:val="center"/>
                  </w:tcPr>
                  <w:p w:rsidR="00584CFC" w:rsidRDefault="00584CFC">
                    <w:pPr>
                      <w:jc w:val="center"/>
                      <w:rPr>
                        <w:szCs w:val="21"/>
                      </w:rPr>
                    </w:pPr>
                    <w:r>
                      <w:rPr>
                        <w:rFonts w:hint="eastAsia"/>
                        <w:szCs w:val="21"/>
                      </w:rPr>
                      <w:t>本期发生额</w:t>
                    </w:r>
                  </w:p>
                </w:tc>
              </w:sdtContent>
            </w:sdt>
            <w:sdt>
              <w:sdtPr>
                <w:tag w:val="_PLD_d81207d79e9643e0a08aec2616f96432"/>
                <w:id w:val="-1903052336"/>
                <w:lock w:val="sdtLocked"/>
              </w:sdtPr>
              <w:sdtContent>
                <w:tc>
                  <w:tcPr>
                    <w:tcW w:w="1494" w:type="pct"/>
                    <w:vAlign w:val="center"/>
                  </w:tcPr>
                  <w:p w:rsidR="00584CFC" w:rsidRDefault="00584CFC">
                    <w:pPr>
                      <w:jc w:val="center"/>
                      <w:rPr>
                        <w:szCs w:val="21"/>
                      </w:rPr>
                    </w:pPr>
                    <w:r>
                      <w:rPr>
                        <w:rFonts w:hint="eastAsia"/>
                        <w:szCs w:val="21"/>
                      </w:rPr>
                      <w:t>上期发生额</w:t>
                    </w:r>
                  </w:p>
                </w:tc>
              </w:sdtContent>
            </w:sdt>
          </w:tr>
          <w:tr w:rsidR="00B637B2" w:rsidTr="00B637B2">
            <w:tc>
              <w:tcPr>
                <w:tcW w:w="2018" w:type="pct"/>
              </w:tcPr>
              <w:p w:rsidR="00B637B2" w:rsidRDefault="008F04CF">
                <w:r w:rsidRPr="008F26BD">
                  <w:rPr>
                    <w:rFonts w:hint="eastAsia"/>
                  </w:rPr>
                  <w:t>成本法核算的长期股权投资收益</w:t>
                </w:r>
              </w:p>
            </w:tc>
            <w:tc>
              <w:tcPr>
                <w:tcW w:w="1488" w:type="pct"/>
                <w:vAlign w:val="center"/>
              </w:tcPr>
              <w:p w:rsidR="00B637B2" w:rsidRPr="00584CFC" w:rsidRDefault="008F04CF" w:rsidP="00B637B2">
                <w:pPr>
                  <w:jc w:val="right"/>
                  <w:rPr>
                    <w:szCs w:val="21"/>
                  </w:rPr>
                </w:pPr>
                <w:r w:rsidRPr="008F26BD">
                  <w:rPr>
                    <w:szCs w:val="21"/>
                  </w:rPr>
                  <w:t>337,351,707</w:t>
                </w:r>
              </w:p>
            </w:tc>
            <w:tc>
              <w:tcPr>
                <w:tcW w:w="1494" w:type="pct"/>
                <w:vAlign w:val="center"/>
              </w:tcPr>
              <w:p w:rsidR="00B637B2" w:rsidRPr="00584CFC" w:rsidRDefault="008F04CF" w:rsidP="00B637B2">
                <w:pPr>
                  <w:jc w:val="right"/>
                  <w:rPr>
                    <w:szCs w:val="21"/>
                  </w:rPr>
                </w:pPr>
                <w:r w:rsidRPr="008F26BD">
                  <w:rPr>
                    <w:szCs w:val="21"/>
                  </w:rPr>
                  <w:t>329,424,350</w:t>
                </w:r>
              </w:p>
            </w:tc>
          </w:tr>
          <w:tr w:rsidR="00584CFC" w:rsidTr="00B637B2">
            <w:sdt>
              <w:sdtPr>
                <w:tag w:val="_PLD_41f01afe4c29429eb16be2099b93f262"/>
                <w:id w:val="-1048069386"/>
                <w:lock w:val="sdtLocked"/>
              </w:sdtPr>
              <w:sdtContent>
                <w:tc>
                  <w:tcPr>
                    <w:tcW w:w="2018" w:type="pct"/>
                  </w:tcPr>
                  <w:p w:rsidR="00584CFC" w:rsidRDefault="00584CFC">
                    <w:pPr>
                      <w:rPr>
                        <w:szCs w:val="21"/>
                      </w:rPr>
                    </w:pPr>
                    <w:r>
                      <w:rPr>
                        <w:rFonts w:hint="eastAsia"/>
                        <w:szCs w:val="21"/>
                      </w:rPr>
                      <w:t>权益法核算的长期股权投资收益</w:t>
                    </w:r>
                  </w:p>
                </w:tc>
              </w:sdtContent>
            </w:sdt>
            <w:tc>
              <w:tcPr>
                <w:tcW w:w="1488" w:type="pct"/>
                <w:vAlign w:val="center"/>
              </w:tcPr>
              <w:p w:rsidR="00584CFC" w:rsidRDefault="00584CFC" w:rsidP="00B637B2">
                <w:pPr>
                  <w:jc w:val="right"/>
                  <w:rPr>
                    <w:szCs w:val="21"/>
                  </w:rPr>
                </w:pPr>
                <w:r w:rsidRPr="00584CFC">
                  <w:rPr>
                    <w:szCs w:val="21"/>
                  </w:rPr>
                  <w:t>6,722,591</w:t>
                </w:r>
              </w:p>
            </w:tc>
            <w:tc>
              <w:tcPr>
                <w:tcW w:w="1494" w:type="pct"/>
                <w:vAlign w:val="center"/>
              </w:tcPr>
              <w:p w:rsidR="00584CFC" w:rsidRDefault="00584CFC" w:rsidP="00B637B2">
                <w:pPr>
                  <w:jc w:val="right"/>
                  <w:rPr>
                    <w:szCs w:val="21"/>
                  </w:rPr>
                </w:pPr>
                <w:r w:rsidRPr="00584CFC">
                  <w:rPr>
                    <w:szCs w:val="21"/>
                  </w:rPr>
                  <w:t>6,804,131</w:t>
                </w:r>
              </w:p>
            </w:tc>
          </w:tr>
          <w:tr w:rsidR="00584CFC" w:rsidTr="00B637B2">
            <w:sdt>
              <w:sdtPr>
                <w:tag w:val="_PLD_c9888c5105384b509e21047066f0ba8e"/>
                <w:id w:val="-802770956"/>
                <w:lock w:val="sdtLocked"/>
              </w:sdtPr>
              <w:sdtContent>
                <w:tc>
                  <w:tcPr>
                    <w:tcW w:w="2018" w:type="pct"/>
                  </w:tcPr>
                  <w:p w:rsidR="00584CFC" w:rsidRDefault="00584CFC">
                    <w:pPr>
                      <w:rPr>
                        <w:szCs w:val="21"/>
                      </w:rPr>
                    </w:pPr>
                    <w:r>
                      <w:rPr>
                        <w:rFonts w:hint="eastAsia"/>
                        <w:szCs w:val="21"/>
                      </w:rPr>
                      <w:t>处置长期股权投资产生的投资收益</w:t>
                    </w:r>
                  </w:p>
                </w:tc>
              </w:sdtContent>
            </w:sdt>
            <w:tc>
              <w:tcPr>
                <w:tcW w:w="1488" w:type="pct"/>
                <w:vAlign w:val="center"/>
              </w:tcPr>
              <w:p w:rsidR="00584CFC" w:rsidRDefault="00726F85" w:rsidP="00B637B2">
                <w:pPr>
                  <w:jc w:val="right"/>
                  <w:rPr>
                    <w:szCs w:val="21"/>
                  </w:rPr>
                </w:pPr>
                <w:r w:rsidRPr="00726F85">
                  <w:rPr>
                    <w:szCs w:val="21"/>
                  </w:rPr>
                  <w:t>6,421,429</w:t>
                </w:r>
              </w:p>
            </w:tc>
            <w:tc>
              <w:tcPr>
                <w:tcW w:w="1494" w:type="pct"/>
                <w:vAlign w:val="center"/>
              </w:tcPr>
              <w:p w:rsidR="00584CFC" w:rsidRDefault="00584CFC" w:rsidP="00B637B2">
                <w:pPr>
                  <w:jc w:val="right"/>
                  <w:rPr>
                    <w:szCs w:val="21"/>
                  </w:rPr>
                </w:pPr>
              </w:p>
            </w:tc>
          </w:tr>
          <w:tr w:rsidR="00584CFC" w:rsidTr="00B637B2">
            <w:sdt>
              <w:sdtPr>
                <w:tag w:val="_PLD_bd714fcb8afc4379af25d476b76d8628"/>
                <w:id w:val="-1998322848"/>
                <w:lock w:val="sdtLocked"/>
              </w:sdtPr>
              <w:sdtContent>
                <w:tc>
                  <w:tcPr>
                    <w:tcW w:w="2018" w:type="pct"/>
                  </w:tcPr>
                  <w:p w:rsidR="00584CFC" w:rsidRDefault="00584CFC">
                    <w:pPr>
                      <w:rPr>
                        <w:szCs w:val="21"/>
                      </w:rPr>
                    </w:pPr>
                    <w:r>
                      <w:rPr>
                        <w:rFonts w:hint="eastAsia"/>
                        <w:szCs w:val="21"/>
                      </w:rPr>
                      <w:t>以公允价值计量且其变动计入当期损益的金融资产在持有期间的投资收益</w:t>
                    </w:r>
                  </w:p>
                </w:tc>
              </w:sdtContent>
            </w:sdt>
            <w:tc>
              <w:tcPr>
                <w:tcW w:w="1488" w:type="pct"/>
                <w:vAlign w:val="center"/>
              </w:tcPr>
              <w:p w:rsidR="00584CFC" w:rsidRDefault="00726F85" w:rsidP="00B637B2">
                <w:pPr>
                  <w:jc w:val="right"/>
                  <w:rPr>
                    <w:szCs w:val="21"/>
                  </w:rPr>
                </w:pPr>
                <w:r w:rsidRPr="00726F85">
                  <w:rPr>
                    <w:szCs w:val="21"/>
                  </w:rPr>
                  <w:t>747,000</w:t>
                </w:r>
              </w:p>
            </w:tc>
            <w:tc>
              <w:tcPr>
                <w:tcW w:w="1494" w:type="pct"/>
                <w:vAlign w:val="center"/>
              </w:tcPr>
              <w:p w:rsidR="00584CFC" w:rsidRDefault="00584CFC" w:rsidP="00B637B2">
                <w:pPr>
                  <w:jc w:val="right"/>
                  <w:rPr>
                    <w:szCs w:val="21"/>
                  </w:rPr>
                </w:pPr>
              </w:p>
            </w:tc>
          </w:tr>
          <w:tr w:rsidR="00584CFC" w:rsidTr="00B637B2">
            <w:sdt>
              <w:sdtPr>
                <w:tag w:val="_PLD_fe3ea0d75b914c6895c1123cb2e3945e"/>
                <w:id w:val="-1289347453"/>
                <w:lock w:val="sdtLocked"/>
              </w:sdtPr>
              <w:sdtContent>
                <w:tc>
                  <w:tcPr>
                    <w:tcW w:w="2018" w:type="pct"/>
                  </w:tcPr>
                  <w:p w:rsidR="00584CFC" w:rsidRDefault="00584CFC">
                    <w:pPr>
                      <w:rPr>
                        <w:szCs w:val="21"/>
                      </w:rPr>
                    </w:pPr>
                    <w:r>
                      <w:rPr>
                        <w:rFonts w:hint="eastAsia"/>
                        <w:szCs w:val="21"/>
                      </w:rPr>
                      <w:t>处置以公允价值计量且其变动计入当期损益的金融资产取得的投资收益</w:t>
                    </w:r>
                  </w:p>
                </w:tc>
              </w:sdtContent>
            </w:sdt>
            <w:tc>
              <w:tcPr>
                <w:tcW w:w="1488" w:type="pct"/>
                <w:vAlign w:val="center"/>
              </w:tcPr>
              <w:p w:rsidR="00584CFC" w:rsidRDefault="00584CFC" w:rsidP="00B637B2">
                <w:pPr>
                  <w:jc w:val="right"/>
                  <w:rPr>
                    <w:szCs w:val="21"/>
                  </w:rPr>
                </w:pPr>
              </w:p>
            </w:tc>
            <w:tc>
              <w:tcPr>
                <w:tcW w:w="1494" w:type="pct"/>
                <w:vAlign w:val="center"/>
              </w:tcPr>
              <w:p w:rsidR="00584CFC" w:rsidRDefault="00584CFC" w:rsidP="00B637B2">
                <w:pPr>
                  <w:jc w:val="right"/>
                  <w:rPr>
                    <w:szCs w:val="21"/>
                  </w:rPr>
                </w:pPr>
              </w:p>
            </w:tc>
          </w:tr>
          <w:tr w:rsidR="00584CFC" w:rsidTr="00B637B2">
            <w:sdt>
              <w:sdtPr>
                <w:tag w:val="_PLD_b02a49ba79b842898605452405c70f32"/>
                <w:id w:val="-902836520"/>
                <w:lock w:val="sdtLocked"/>
              </w:sdtPr>
              <w:sdtContent>
                <w:tc>
                  <w:tcPr>
                    <w:tcW w:w="2018" w:type="pct"/>
                  </w:tcPr>
                  <w:p w:rsidR="00584CFC" w:rsidRDefault="00584CFC">
                    <w:pPr>
                      <w:rPr>
                        <w:szCs w:val="21"/>
                      </w:rPr>
                    </w:pPr>
                    <w:r>
                      <w:rPr>
                        <w:rFonts w:hint="eastAsia"/>
                        <w:szCs w:val="21"/>
                      </w:rPr>
                      <w:t>持有至到期投资在持有期间的投资收益</w:t>
                    </w:r>
                  </w:p>
                </w:tc>
              </w:sdtContent>
            </w:sdt>
            <w:tc>
              <w:tcPr>
                <w:tcW w:w="1488" w:type="pct"/>
                <w:vAlign w:val="center"/>
              </w:tcPr>
              <w:p w:rsidR="00584CFC" w:rsidRDefault="00584CFC" w:rsidP="00B637B2">
                <w:pPr>
                  <w:jc w:val="right"/>
                  <w:rPr>
                    <w:szCs w:val="21"/>
                  </w:rPr>
                </w:pPr>
              </w:p>
            </w:tc>
            <w:tc>
              <w:tcPr>
                <w:tcW w:w="1494" w:type="pct"/>
                <w:vAlign w:val="center"/>
              </w:tcPr>
              <w:p w:rsidR="00584CFC" w:rsidRDefault="00584CFC" w:rsidP="00B637B2">
                <w:pPr>
                  <w:jc w:val="right"/>
                  <w:rPr>
                    <w:szCs w:val="21"/>
                  </w:rPr>
                </w:pPr>
              </w:p>
            </w:tc>
          </w:tr>
          <w:tr w:rsidR="00584CFC" w:rsidTr="00B637B2">
            <w:tc>
              <w:tcPr>
                <w:tcW w:w="2018" w:type="pct"/>
              </w:tcPr>
              <w:sdt>
                <w:sdtPr>
                  <w:rPr>
                    <w:rFonts w:hint="eastAsia"/>
                  </w:rPr>
                  <w:tag w:val="_PLD_54f16febbcec4cd898e23eafe76557e3"/>
                  <w:id w:val="-1845464584"/>
                  <w:lock w:val="sdtLocked"/>
                </w:sdtPr>
                <w:sdtContent>
                  <w:p w:rsidR="00584CFC" w:rsidRDefault="00584CFC">
                    <w:r>
                      <w:rPr>
                        <w:rFonts w:hint="eastAsia"/>
                      </w:rPr>
                      <w:t>处置持有至到期投资取得的投资收益</w:t>
                    </w:r>
                  </w:p>
                </w:sdtContent>
              </w:sdt>
            </w:tc>
            <w:tc>
              <w:tcPr>
                <w:tcW w:w="1488" w:type="pct"/>
                <w:vAlign w:val="center"/>
              </w:tcPr>
              <w:p w:rsidR="00584CFC" w:rsidRDefault="00584CFC" w:rsidP="00B637B2">
                <w:pPr>
                  <w:jc w:val="right"/>
                  <w:rPr>
                    <w:szCs w:val="21"/>
                  </w:rPr>
                </w:pPr>
              </w:p>
            </w:tc>
            <w:tc>
              <w:tcPr>
                <w:tcW w:w="1494" w:type="pct"/>
                <w:vAlign w:val="center"/>
              </w:tcPr>
              <w:p w:rsidR="00584CFC" w:rsidRDefault="00584CFC" w:rsidP="00B637B2">
                <w:pPr>
                  <w:jc w:val="right"/>
                  <w:rPr>
                    <w:szCs w:val="21"/>
                  </w:rPr>
                </w:pPr>
              </w:p>
            </w:tc>
          </w:tr>
          <w:tr w:rsidR="00584CFC" w:rsidTr="00B637B2">
            <w:sdt>
              <w:sdtPr>
                <w:tag w:val="_PLD_892614a1ac194e7095a5c25031ce8516"/>
                <w:id w:val="-1957550155"/>
                <w:lock w:val="sdtLocked"/>
              </w:sdtPr>
              <w:sdtContent>
                <w:tc>
                  <w:tcPr>
                    <w:tcW w:w="2018" w:type="pct"/>
                  </w:tcPr>
                  <w:p w:rsidR="00584CFC" w:rsidRDefault="00584CFC">
                    <w:pPr>
                      <w:rPr>
                        <w:szCs w:val="21"/>
                      </w:rPr>
                    </w:pPr>
                    <w:r>
                      <w:rPr>
                        <w:rFonts w:hint="eastAsia"/>
                        <w:szCs w:val="21"/>
                      </w:rPr>
                      <w:t>可供出售金融资产等取得的投资收益</w:t>
                    </w:r>
                  </w:p>
                </w:tc>
              </w:sdtContent>
            </w:sdt>
            <w:tc>
              <w:tcPr>
                <w:tcW w:w="1488" w:type="pct"/>
                <w:vAlign w:val="center"/>
              </w:tcPr>
              <w:p w:rsidR="00584CFC" w:rsidRDefault="00584CFC" w:rsidP="00B637B2">
                <w:pPr>
                  <w:jc w:val="right"/>
                  <w:rPr>
                    <w:szCs w:val="21"/>
                  </w:rPr>
                </w:pPr>
              </w:p>
            </w:tc>
            <w:tc>
              <w:tcPr>
                <w:tcW w:w="1494" w:type="pct"/>
                <w:vAlign w:val="center"/>
              </w:tcPr>
              <w:p w:rsidR="00584CFC" w:rsidRDefault="00584CFC" w:rsidP="00B637B2">
                <w:pPr>
                  <w:jc w:val="right"/>
                  <w:rPr>
                    <w:szCs w:val="21"/>
                  </w:rPr>
                </w:pPr>
              </w:p>
            </w:tc>
          </w:tr>
          <w:tr w:rsidR="00584CFC" w:rsidTr="00B637B2">
            <w:sdt>
              <w:sdtPr>
                <w:tag w:val="_PLD_12cf25aea5e544baa1927b37621c8799"/>
                <w:id w:val="-1480920422"/>
                <w:lock w:val="sdtLocked"/>
              </w:sdtPr>
              <w:sdtContent>
                <w:tc>
                  <w:tcPr>
                    <w:tcW w:w="2018" w:type="pct"/>
                  </w:tcPr>
                  <w:p w:rsidR="00584CFC" w:rsidRDefault="00584CFC">
                    <w:pPr>
                      <w:rPr>
                        <w:szCs w:val="21"/>
                      </w:rPr>
                    </w:pPr>
                    <w:r>
                      <w:rPr>
                        <w:rFonts w:hint="eastAsia"/>
                        <w:szCs w:val="21"/>
                      </w:rPr>
                      <w:t>处置可供出售金融资产取得的投资收益</w:t>
                    </w:r>
                  </w:p>
                </w:tc>
              </w:sdtContent>
            </w:sdt>
            <w:tc>
              <w:tcPr>
                <w:tcW w:w="1488" w:type="pct"/>
                <w:vAlign w:val="center"/>
              </w:tcPr>
              <w:p w:rsidR="00584CFC" w:rsidRDefault="00584CFC" w:rsidP="00B637B2">
                <w:pPr>
                  <w:jc w:val="right"/>
                  <w:rPr>
                    <w:szCs w:val="21"/>
                  </w:rPr>
                </w:pPr>
              </w:p>
            </w:tc>
            <w:tc>
              <w:tcPr>
                <w:tcW w:w="1494" w:type="pct"/>
                <w:vAlign w:val="center"/>
              </w:tcPr>
              <w:p w:rsidR="00584CFC" w:rsidRDefault="00584CFC" w:rsidP="00B637B2">
                <w:pPr>
                  <w:jc w:val="right"/>
                  <w:rPr>
                    <w:szCs w:val="21"/>
                  </w:rPr>
                </w:pPr>
              </w:p>
            </w:tc>
          </w:tr>
          <w:tr w:rsidR="00584CFC" w:rsidTr="00B637B2">
            <w:tc>
              <w:tcPr>
                <w:tcW w:w="2018" w:type="pct"/>
              </w:tcPr>
              <w:sdt>
                <w:sdtPr>
                  <w:rPr>
                    <w:rFonts w:hint="eastAsia"/>
                  </w:rPr>
                  <w:tag w:val="_PLD_4d41e47e736f47ec9240189b7e0260aa"/>
                  <w:id w:val="1902792090"/>
                  <w:lock w:val="sdtLocked"/>
                </w:sdtPr>
                <w:sdtContent>
                  <w:p w:rsidR="00584CFC" w:rsidRDefault="00584CFC">
                    <w:r>
                      <w:rPr>
                        <w:rFonts w:hint="eastAsia"/>
                      </w:rPr>
                      <w:t>交易性金融资产在持有期间的投资收益</w:t>
                    </w:r>
                  </w:p>
                </w:sdtContent>
              </w:sdt>
            </w:tc>
            <w:tc>
              <w:tcPr>
                <w:tcW w:w="1488" w:type="pct"/>
                <w:vAlign w:val="center"/>
              </w:tcPr>
              <w:p w:rsidR="00584CFC" w:rsidRDefault="00584CFC" w:rsidP="00B637B2">
                <w:pPr>
                  <w:jc w:val="right"/>
                  <w:rPr>
                    <w:szCs w:val="21"/>
                  </w:rPr>
                </w:pPr>
              </w:p>
            </w:tc>
            <w:tc>
              <w:tcPr>
                <w:tcW w:w="1494" w:type="pct"/>
                <w:vAlign w:val="center"/>
              </w:tcPr>
              <w:p w:rsidR="00584CFC" w:rsidRDefault="008F04CF" w:rsidP="00B637B2">
                <w:pPr>
                  <w:jc w:val="right"/>
                  <w:rPr>
                    <w:szCs w:val="21"/>
                  </w:rPr>
                </w:pPr>
                <w:r w:rsidRPr="00730297">
                  <w:rPr>
                    <w:szCs w:val="21"/>
                  </w:rPr>
                  <w:t>1,135,200</w:t>
                </w:r>
              </w:p>
            </w:tc>
          </w:tr>
          <w:tr w:rsidR="00584CFC" w:rsidTr="00B637B2">
            <w:tc>
              <w:tcPr>
                <w:tcW w:w="2018" w:type="pct"/>
              </w:tcPr>
              <w:sdt>
                <w:sdtPr>
                  <w:rPr>
                    <w:rFonts w:hint="eastAsia"/>
                  </w:rPr>
                  <w:tag w:val="_PLD_176d54ac29944675be59911eb486bccf"/>
                  <w:id w:val="1472786979"/>
                  <w:lock w:val="sdtLocked"/>
                </w:sdtPr>
                <w:sdtContent>
                  <w:p w:rsidR="00584CFC" w:rsidRDefault="00584CFC">
                    <w:r>
                      <w:rPr>
                        <w:rFonts w:hint="eastAsia"/>
                      </w:rPr>
                      <w:t>其他权益工具投资在持有期间取得的股利收入</w:t>
                    </w:r>
                  </w:p>
                </w:sdtContent>
              </w:sdt>
            </w:tc>
            <w:tc>
              <w:tcPr>
                <w:tcW w:w="1488" w:type="pct"/>
                <w:vAlign w:val="center"/>
              </w:tcPr>
              <w:p w:rsidR="00584CFC" w:rsidRDefault="00584CFC" w:rsidP="00B637B2">
                <w:pPr>
                  <w:jc w:val="right"/>
                  <w:rPr>
                    <w:szCs w:val="21"/>
                  </w:rPr>
                </w:pPr>
              </w:p>
            </w:tc>
            <w:tc>
              <w:tcPr>
                <w:tcW w:w="1494" w:type="pct"/>
                <w:vAlign w:val="center"/>
              </w:tcPr>
              <w:p w:rsidR="00584CFC" w:rsidRDefault="00584CFC" w:rsidP="00B637B2">
                <w:pPr>
                  <w:jc w:val="right"/>
                  <w:rPr>
                    <w:szCs w:val="21"/>
                  </w:rPr>
                </w:pPr>
              </w:p>
            </w:tc>
          </w:tr>
          <w:tr w:rsidR="00584CFC" w:rsidTr="00B637B2">
            <w:tc>
              <w:tcPr>
                <w:tcW w:w="2018" w:type="pct"/>
              </w:tcPr>
              <w:sdt>
                <w:sdtPr>
                  <w:rPr>
                    <w:rFonts w:hint="eastAsia"/>
                  </w:rPr>
                  <w:tag w:val="_PLD_2a4065545b0144db9c3fe9cfb135e218"/>
                  <w:id w:val="-1690062418"/>
                  <w:lock w:val="sdtLocked"/>
                </w:sdtPr>
                <w:sdtContent>
                  <w:p w:rsidR="00584CFC" w:rsidRDefault="00584CFC">
                    <w:r>
                      <w:rPr>
                        <w:rFonts w:hint="eastAsia"/>
                      </w:rPr>
                      <w:t>债权投资在持有期间取得的利息收入</w:t>
                    </w:r>
                  </w:p>
                </w:sdtContent>
              </w:sdt>
            </w:tc>
            <w:tc>
              <w:tcPr>
                <w:tcW w:w="1488" w:type="pct"/>
                <w:vAlign w:val="center"/>
              </w:tcPr>
              <w:p w:rsidR="00584CFC" w:rsidRDefault="00584CFC" w:rsidP="00B637B2">
                <w:pPr>
                  <w:jc w:val="right"/>
                  <w:rPr>
                    <w:szCs w:val="21"/>
                  </w:rPr>
                </w:pPr>
              </w:p>
            </w:tc>
            <w:tc>
              <w:tcPr>
                <w:tcW w:w="1494" w:type="pct"/>
                <w:vAlign w:val="center"/>
              </w:tcPr>
              <w:p w:rsidR="00584CFC" w:rsidRDefault="00584CFC" w:rsidP="00B637B2">
                <w:pPr>
                  <w:jc w:val="right"/>
                  <w:rPr>
                    <w:szCs w:val="21"/>
                  </w:rPr>
                </w:pPr>
              </w:p>
            </w:tc>
          </w:tr>
          <w:tr w:rsidR="00584CFC" w:rsidTr="00B637B2">
            <w:tc>
              <w:tcPr>
                <w:tcW w:w="2018" w:type="pct"/>
              </w:tcPr>
              <w:sdt>
                <w:sdtPr>
                  <w:rPr>
                    <w:rFonts w:hint="eastAsia"/>
                  </w:rPr>
                  <w:tag w:val="_PLD_baa6118a368348e59b66911712bfb1f0"/>
                  <w:id w:val="-1203634309"/>
                  <w:lock w:val="sdtLocked"/>
                </w:sdtPr>
                <w:sdtContent>
                  <w:p w:rsidR="00584CFC" w:rsidRDefault="00584CFC">
                    <w:r>
                      <w:rPr>
                        <w:rFonts w:hint="eastAsia"/>
                      </w:rPr>
                      <w:t>其他债权投资在持有期间取得的利息收入</w:t>
                    </w:r>
                  </w:p>
                </w:sdtContent>
              </w:sdt>
            </w:tc>
            <w:tc>
              <w:tcPr>
                <w:tcW w:w="1488" w:type="pct"/>
                <w:vAlign w:val="center"/>
              </w:tcPr>
              <w:p w:rsidR="00584CFC" w:rsidRDefault="00584CFC" w:rsidP="00B637B2">
                <w:pPr>
                  <w:jc w:val="right"/>
                  <w:rPr>
                    <w:szCs w:val="21"/>
                  </w:rPr>
                </w:pPr>
              </w:p>
            </w:tc>
            <w:tc>
              <w:tcPr>
                <w:tcW w:w="1494" w:type="pct"/>
                <w:vAlign w:val="center"/>
              </w:tcPr>
              <w:p w:rsidR="00584CFC" w:rsidRDefault="00584CFC" w:rsidP="00B637B2">
                <w:pPr>
                  <w:jc w:val="right"/>
                  <w:rPr>
                    <w:szCs w:val="21"/>
                  </w:rPr>
                </w:pPr>
              </w:p>
            </w:tc>
          </w:tr>
          <w:tr w:rsidR="00584CFC" w:rsidTr="00B637B2">
            <w:tc>
              <w:tcPr>
                <w:tcW w:w="2018" w:type="pct"/>
              </w:tcPr>
              <w:sdt>
                <w:sdtPr>
                  <w:rPr>
                    <w:rFonts w:hint="eastAsia"/>
                  </w:rPr>
                  <w:tag w:val="_PLD_3518bbf343564460a1ee75040bb06283"/>
                  <w:id w:val="-1820713911"/>
                  <w:lock w:val="sdtLocked"/>
                </w:sdtPr>
                <w:sdtContent>
                  <w:p w:rsidR="00584CFC" w:rsidRDefault="00584CFC">
                    <w:r>
                      <w:rPr>
                        <w:rFonts w:hint="eastAsia"/>
                      </w:rPr>
                      <w:t>处置交易性金融资产取得的投资收益</w:t>
                    </w:r>
                  </w:p>
                </w:sdtContent>
              </w:sdt>
            </w:tc>
            <w:tc>
              <w:tcPr>
                <w:tcW w:w="1488" w:type="pct"/>
                <w:vAlign w:val="center"/>
              </w:tcPr>
              <w:p w:rsidR="00584CFC" w:rsidRDefault="00584CFC" w:rsidP="00B637B2">
                <w:pPr>
                  <w:jc w:val="right"/>
                  <w:rPr>
                    <w:szCs w:val="21"/>
                  </w:rPr>
                </w:pPr>
              </w:p>
            </w:tc>
            <w:tc>
              <w:tcPr>
                <w:tcW w:w="1494" w:type="pct"/>
                <w:vAlign w:val="center"/>
              </w:tcPr>
              <w:p w:rsidR="00584CFC" w:rsidRDefault="00584CFC" w:rsidP="00B637B2">
                <w:pPr>
                  <w:jc w:val="right"/>
                  <w:rPr>
                    <w:szCs w:val="21"/>
                  </w:rPr>
                </w:pPr>
              </w:p>
            </w:tc>
          </w:tr>
          <w:tr w:rsidR="00584CFC" w:rsidTr="00B637B2">
            <w:tc>
              <w:tcPr>
                <w:tcW w:w="2018" w:type="pct"/>
              </w:tcPr>
              <w:sdt>
                <w:sdtPr>
                  <w:rPr>
                    <w:rFonts w:hint="eastAsia"/>
                  </w:rPr>
                  <w:tag w:val="_PLD_615e70879e844a1f9cb4942f058d9187"/>
                  <w:id w:val="1962840989"/>
                  <w:lock w:val="sdtLocked"/>
                </w:sdtPr>
                <w:sdtContent>
                  <w:p w:rsidR="00584CFC" w:rsidRDefault="00584CFC">
                    <w:r>
                      <w:rPr>
                        <w:rFonts w:hint="eastAsia"/>
                      </w:rPr>
                      <w:t>处置其他权益工具投资取得的投资收益</w:t>
                    </w:r>
                  </w:p>
                </w:sdtContent>
              </w:sdt>
            </w:tc>
            <w:tc>
              <w:tcPr>
                <w:tcW w:w="1488" w:type="pct"/>
                <w:vAlign w:val="center"/>
              </w:tcPr>
              <w:p w:rsidR="00584CFC" w:rsidRDefault="00584CFC" w:rsidP="00B637B2">
                <w:pPr>
                  <w:jc w:val="right"/>
                  <w:rPr>
                    <w:szCs w:val="21"/>
                  </w:rPr>
                </w:pPr>
              </w:p>
            </w:tc>
            <w:tc>
              <w:tcPr>
                <w:tcW w:w="1494" w:type="pct"/>
                <w:vAlign w:val="center"/>
              </w:tcPr>
              <w:p w:rsidR="00584CFC" w:rsidRDefault="00584CFC" w:rsidP="00B637B2">
                <w:pPr>
                  <w:jc w:val="right"/>
                  <w:rPr>
                    <w:szCs w:val="21"/>
                  </w:rPr>
                </w:pPr>
              </w:p>
            </w:tc>
          </w:tr>
          <w:tr w:rsidR="00584CFC" w:rsidTr="00B637B2">
            <w:tc>
              <w:tcPr>
                <w:tcW w:w="2018" w:type="pct"/>
              </w:tcPr>
              <w:sdt>
                <w:sdtPr>
                  <w:rPr>
                    <w:rFonts w:hint="eastAsia"/>
                  </w:rPr>
                  <w:tag w:val="_PLD_5791f90c46904593b9a349ce96ff4017"/>
                  <w:id w:val="984433534"/>
                  <w:lock w:val="sdtLocked"/>
                </w:sdtPr>
                <w:sdtContent>
                  <w:p w:rsidR="00584CFC" w:rsidRDefault="00584CFC">
                    <w:r>
                      <w:rPr>
                        <w:rFonts w:hint="eastAsia"/>
                      </w:rPr>
                      <w:t>处置债权投资取得的投资收益</w:t>
                    </w:r>
                  </w:p>
                </w:sdtContent>
              </w:sdt>
            </w:tc>
            <w:tc>
              <w:tcPr>
                <w:tcW w:w="1488" w:type="pct"/>
                <w:vAlign w:val="center"/>
              </w:tcPr>
              <w:p w:rsidR="00584CFC" w:rsidRDefault="00584CFC" w:rsidP="00B637B2">
                <w:pPr>
                  <w:jc w:val="right"/>
                  <w:rPr>
                    <w:szCs w:val="21"/>
                  </w:rPr>
                </w:pPr>
              </w:p>
            </w:tc>
            <w:tc>
              <w:tcPr>
                <w:tcW w:w="1494" w:type="pct"/>
                <w:vAlign w:val="center"/>
              </w:tcPr>
              <w:p w:rsidR="00584CFC" w:rsidRDefault="00584CFC" w:rsidP="00B637B2">
                <w:pPr>
                  <w:jc w:val="right"/>
                  <w:rPr>
                    <w:szCs w:val="21"/>
                  </w:rPr>
                </w:pPr>
              </w:p>
            </w:tc>
          </w:tr>
          <w:tr w:rsidR="00584CFC" w:rsidTr="00B637B2">
            <w:tc>
              <w:tcPr>
                <w:tcW w:w="2018" w:type="pct"/>
              </w:tcPr>
              <w:sdt>
                <w:sdtPr>
                  <w:rPr>
                    <w:rFonts w:hint="eastAsia"/>
                  </w:rPr>
                  <w:tag w:val="_PLD_fc9fa31f61f74b38ad51643215c4ff51"/>
                  <w:id w:val="2071536874"/>
                  <w:lock w:val="sdtLocked"/>
                </w:sdtPr>
                <w:sdtContent>
                  <w:p w:rsidR="00584CFC" w:rsidRDefault="00584CFC">
                    <w:r>
                      <w:rPr>
                        <w:rFonts w:hint="eastAsia"/>
                      </w:rPr>
                      <w:t>处置其他债权投资取得的投资收益</w:t>
                    </w:r>
                  </w:p>
                </w:sdtContent>
              </w:sdt>
            </w:tc>
            <w:tc>
              <w:tcPr>
                <w:tcW w:w="1488" w:type="pct"/>
                <w:vAlign w:val="center"/>
              </w:tcPr>
              <w:p w:rsidR="00584CFC" w:rsidRDefault="00584CFC" w:rsidP="00B637B2">
                <w:pPr>
                  <w:jc w:val="right"/>
                  <w:rPr>
                    <w:szCs w:val="21"/>
                  </w:rPr>
                </w:pPr>
              </w:p>
            </w:tc>
            <w:tc>
              <w:tcPr>
                <w:tcW w:w="1494" w:type="pct"/>
                <w:vAlign w:val="center"/>
              </w:tcPr>
              <w:p w:rsidR="00584CFC" w:rsidRDefault="00584CFC" w:rsidP="00B637B2">
                <w:pPr>
                  <w:jc w:val="right"/>
                  <w:rPr>
                    <w:szCs w:val="21"/>
                  </w:rPr>
                </w:pPr>
              </w:p>
            </w:tc>
          </w:tr>
          <w:tr w:rsidR="00584CFC" w:rsidTr="00B637B2">
            <w:sdt>
              <w:sdtPr>
                <w:tag w:val="_PLD_032fb4caa4bf4a6e968a012892b6f16b"/>
                <w:id w:val="2041854526"/>
                <w:lock w:val="sdtLocked"/>
              </w:sdtPr>
              <w:sdtContent>
                <w:tc>
                  <w:tcPr>
                    <w:tcW w:w="2018" w:type="pct"/>
                    <w:vAlign w:val="center"/>
                  </w:tcPr>
                  <w:p w:rsidR="00584CFC" w:rsidRDefault="00584CFC">
                    <w:pPr>
                      <w:jc w:val="center"/>
                      <w:rPr>
                        <w:szCs w:val="21"/>
                      </w:rPr>
                    </w:pPr>
                    <w:r>
                      <w:rPr>
                        <w:rFonts w:hint="eastAsia"/>
                        <w:szCs w:val="21"/>
                      </w:rPr>
                      <w:t>合计</w:t>
                    </w:r>
                  </w:p>
                </w:tc>
              </w:sdtContent>
            </w:sdt>
            <w:tc>
              <w:tcPr>
                <w:tcW w:w="1488" w:type="pct"/>
                <w:vAlign w:val="center"/>
              </w:tcPr>
              <w:p w:rsidR="00584CFC" w:rsidRDefault="008F04CF" w:rsidP="00B637B2">
                <w:pPr>
                  <w:jc w:val="right"/>
                  <w:rPr>
                    <w:szCs w:val="21"/>
                  </w:rPr>
                </w:pPr>
                <w:r w:rsidRPr="00730297">
                  <w:rPr>
                    <w:szCs w:val="21"/>
                  </w:rPr>
                  <w:t>351,242,727</w:t>
                </w:r>
              </w:p>
            </w:tc>
            <w:tc>
              <w:tcPr>
                <w:tcW w:w="1494" w:type="pct"/>
                <w:vAlign w:val="center"/>
              </w:tcPr>
              <w:p w:rsidR="00584CFC" w:rsidRDefault="008F04CF" w:rsidP="00B637B2">
                <w:pPr>
                  <w:jc w:val="right"/>
                  <w:rPr>
                    <w:szCs w:val="21"/>
                  </w:rPr>
                </w:pPr>
                <w:r w:rsidRPr="00730297">
                  <w:rPr>
                    <w:szCs w:val="21"/>
                  </w:rPr>
                  <w:t>337,363,681</w:t>
                </w:r>
              </w:p>
            </w:tc>
          </w:tr>
          <w:bookmarkEnd w:id="275"/>
        </w:tbl>
        <w:p w:rsidR="00584CFC" w:rsidRDefault="00584CFC"/>
        <w:p w:rsidR="00ED2DC7" w:rsidRDefault="00ED2DC7">
          <w:pPr>
            <w:spacing w:line="360" w:lineRule="exact"/>
            <w:rPr>
              <w:szCs w:val="21"/>
            </w:rPr>
          </w:pPr>
          <w:r>
            <w:rPr>
              <w:rFonts w:hint="eastAsia"/>
              <w:szCs w:val="21"/>
            </w:rPr>
            <w:t>其他说明：</w:t>
          </w:r>
          <w:bookmarkEnd w:id="274"/>
        </w:p>
        <w:sdt>
          <w:sdtPr>
            <w:rPr>
              <w:szCs w:val="21"/>
            </w:rPr>
            <w:alias w:val="投资收益说明"/>
            <w:tag w:val="_GBC_e91b47a8afc84e119383bf071cb9a50d"/>
            <w:id w:val="-1190295008"/>
            <w:lock w:val="sdtLocked"/>
            <w:placeholder>
              <w:docPart w:val="GBC22222222222222222222222222222"/>
            </w:placeholder>
          </w:sdtPr>
          <w:sdtContent>
            <w:p w:rsidR="00726F85" w:rsidRPr="00726F85" w:rsidRDefault="00726F85" w:rsidP="00726F85">
              <w:pPr>
                <w:rPr>
                  <w:szCs w:val="21"/>
                </w:rPr>
              </w:pPr>
              <w:r w:rsidRPr="00726F85">
                <w:rPr>
                  <w:rFonts w:hint="eastAsia"/>
                  <w:szCs w:val="21"/>
                </w:rPr>
                <w:t>注</w:t>
              </w:r>
              <w:r w:rsidRPr="00726F85">
                <w:rPr>
                  <w:szCs w:val="21"/>
                </w:rPr>
                <w:t>1. 详情参见附注十五、3。</w:t>
              </w:r>
            </w:p>
            <w:p w:rsidR="00ED2DC7" w:rsidRDefault="00726F85" w:rsidP="00726F85">
              <w:pPr>
                <w:rPr>
                  <w:szCs w:val="21"/>
                </w:rPr>
              </w:pPr>
              <w:r w:rsidRPr="00726F85">
                <w:rPr>
                  <w:rFonts w:hint="eastAsia"/>
                  <w:szCs w:val="21"/>
                </w:rPr>
                <w:t>于</w:t>
              </w:r>
              <w:r w:rsidRPr="00726F85">
                <w:rPr>
                  <w:szCs w:val="21"/>
                </w:rPr>
                <w:t>2019年6月30日及2018年12月31日，本公司投资收益的汇回均无重大限制。</w:t>
              </w:r>
            </w:p>
          </w:sdtContent>
        </w:sdt>
      </w:sdtContent>
    </w:sdt>
    <w:p w:rsidR="00ED2DC7" w:rsidRDefault="00ED2DC7">
      <w:pPr>
        <w:rPr>
          <w:szCs w:val="21"/>
        </w:rPr>
      </w:pPr>
    </w:p>
    <w:sdt>
      <w:sdtPr>
        <w:rPr>
          <w:rFonts w:ascii="宋体" w:hAnsi="宋体" w:cs="宋体" w:hint="eastAsia"/>
          <w:b w:val="0"/>
          <w:bCs w:val="0"/>
          <w:kern w:val="0"/>
          <w:szCs w:val="21"/>
        </w:rPr>
        <w:alias w:val="模块:母公司会计报表附注的其他说明事项"/>
        <w:tag w:val="_GBC_23958e5452684882b98c8317e400c8d6"/>
        <w:id w:val="-148599210"/>
        <w:lock w:val="sdtLocked"/>
        <w:placeholder>
          <w:docPart w:val="GBC22222222222222222222222222222"/>
        </w:placeholder>
      </w:sdtPr>
      <w:sdtContent>
        <w:p w:rsidR="00ED2DC7" w:rsidRDefault="00ED2DC7" w:rsidP="00036BDC">
          <w:pPr>
            <w:pStyle w:val="affffffffffffffffff1"/>
            <w:numPr>
              <w:ilvl w:val="0"/>
              <w:numId w:val="101"/>
            </w:numPr>
            <w:rPr>
              <w:szCs w:val="21"/>
            </w:rPr>
          </w:pPr>
          <w:r>
            <w:rPr>
              <w:rFonts w:hint="eastAsia"/>
              <w:szCs w:val="21"/>
            </w:rPr>
            <w:t>其他</w:t>
          </w:r>
        </w:p>
        <w:sdt>
          <w:sdtPr>
            <w:alias w:val="是否适用：母公司会计报表附注的其他说明事项[双击切换]"/>
            <w:tag w:val="_GBC_198503cdf8c8448ea7bb4de3243a4de8"/>
            <w:id w:val="2092423829"/>
            <w:lock w:val="sdtContentLocked"/>
            <w:placeholder>
              <w:docPart w:val="GBC22222222222222222222222222222"/>
            </w:placeholder>
          </w:sdtPr>
          <w:sdtContent>
            <w:p w:rsidR="00ED2DC7" w:rsidRDefault="00ED2DC7" w:rsidP="00C46973">
              <w:pPr>
                <w:rPr>
                  <w:szCs w:val="21"/>
                </w:rPr>
              </w:pPr>
              <w:r>
                <w:fldChar w:fldCharType="begin"/>
              </w:r>
              <w:r w:rsidR="00C46973">
                <w:instrText xml:space="preserve"> MACROBUTTON  SnrToggleCheckbox □适用 </w:instrText>
              </w:r>
              <w:r>
                <w:fldChar w:fldCharType="end"/>
              </w:r>
              <w:r>
                <w:fldChar w:fldCharType="begin"/>
              </w:r>
              <w:r w:rsidR="00C46973">
                <w:instrText xml:space="preserve"> MACROBUTTON  SnrToggleCheckbox √不适用 </w:instrText>
              </w:r>
              <w:r>
                <w:fldChar w:fldCharType="end"/>
              </w:r>
            </w:p>
          </w:sdtContent>
        </w:sdt>
      </w:sdtContent>
    </w:sdt>
    <w:p w:rsidR="00ED2DC7" w:rsidRDefault="00ED2DC7">
      <w:pPr>
        <w:rPr>
          <w:szCs w:val="21"/>
        </w:rPr>
      </w:pPr>
    </w:p>
    <w:p w:rsidR="00ED2DC7" w:rsidRDefault="00ED2DC7" w:rsidP="00036BDC">
      <w:pPr>
        <w:pStyle w:val="affffffffffffffffff0"/>
        <w:numPr>
          <w:ilvl w:val="0"/>
          <w:numId w:val="35"/>
        </w:numPr>
        <w:rPr>
          <w:rFonts w:ascii="宋体" w:hAnsi="宋体"/>
        </w:rPr>
      </w:pPr>
      <w:r>
        <w:rPr>
          <w:rFonts w:ascii="宋体" w:hAnsi="宋体" w:hint="eastAsia"/>
        </w:rPr>
        <w:t>补充资料</w:t>
      </w:r>
    </w:p>
    <w:bookmarkStart w:id="276" w:name="_Hlk10548828" w:displacedByCustomXml="next"/>
    <w:sdt>
      <w:sdtPr>
        <w:rPr>
          <w:rFonts w:ascii="宋体" w:hAnsi="宋体" w:cs="宋体" w:hint="eastAsia"/>
          <w:b w:val="0"/>
          <w:bCs w:val="0"/>
          <w:kern w:val="0"/>
          <w:szCs w:val="21"/>
        </w:rPr>
        <w:alias w:val="模块:当期非经常性损益明细"/>
        <w:tag w:val="_GBC_08eb8d7076584daebd23121ab43f25e0"/>
        <w:id w:val="652492401"/>
        <w:lock w:val="sdtLocked"/>
        <w:placeholder>
          <w:docPart w:val="GBC22222222222222222222222222222"/>
        </w:placeholder>
      </w:sdtPr>
      <w:sdtEndPr>
        <w:rPr>
          <w:szCs w:val="24"/>
        </w:rPr>
      </w:sdtEndPr>
      <w:sdtContent>
        <w:p w:rsidR="00ED2DC7" w:rsidRPr="00730297" w:rsidRDefault="00ED2DC7" w:rsidP="00036BDC">
          <w:pPr>
            <w:pStyle w:val="affffffffffffffffff1"/>
            <w:numPr>
              <w:ilvl w:val="0"/>
              <w:numId w:val="106"/>
            </w:numPr>
            <w:rPr>
              <w:rFonts w:ascii="宋体" w:hAnsi="宋体"/>
              <w:szCs w:val="21"/>
            </w:rPr>
          </w:pPr>
          <w:r w:rsidRPr="00730297">
            <w:rPr>
              <w:rFonts w:ascii="宋体" w:hAnsi="宋体" w:hint="eastAsia"/>
              <w:szCs w:val="21"/>
            </w:rPr>
            <w:t>当期非经常性损益明细表</w:t>
          </w:r>
        </w:p>
        <w:sdt>
          <w:sdtPr>
            <w:alias w:val="是否适用：当期非经常性损益明细表[双击切换]"/>
            <w:tag w:val="_GBC_8fceb8da54a2446e9747e9ca62cb6a1a"/>
            <w:id w:val="-893814027"/>
            <w:lock w:val="sdtContentLocked"/>
            <w:placeholder>
              <w:docPart w:val="GBC22222222222222222222222222222"/>
            </w:placeholder>
          </w:sdtPr>
          <w:sdtContent>
            <w:p w:rsidR="00ED2DC7" w:rsidRDefault="00ED2DC7">
              <w:r>
                <w:fldChar w:fldCharType="begin"/>
              </w:r>
              <w:r w:rsidR="00C46973">
                <w:instrText xml:space="preserve"> MACROBUTTON  SnrToggleCheckbox √适用 </w:instrText>
              </w:r>
              <w:r>
                <w:fldChar w:fldCharType="end"/>
              </w:r>
              <w:r>
                <w:fldChar w:fldCharType="begin"/>
              </w:r>
              <w:r w:rsidR="00C46973">
                <w:instrText xml:space="preserve"> MACROBUTTON  SnrToggleCheckbox □不适用 </w:instrText>
              </w:r>
              <w:r>
                <w:fldChar w:fldCharType="end"/>
              </w:r>
            </w:p>
          </w:sdtContent>
        </w:sdt>
        <w:p w:rsidR="00ED2DC7" w:rsidRDefault="00ED2DC7">
          <w:pPr>
            <w:jc w:val="right"/>
            <w:rPr>
              <w:szCs w:val="21"/>
            </w:rPr>
          </w:pPr>
          <w:r>
            <w:rPr>
              <w:rFonts w:hint="eastAsia"/>
              <w:szCs w:val="21"/>
            </w:rPr>
            <w:t>单位：</w:t>
          </w:r>
          <w:sdt>
            <w:sdtPr>
              <w:rPr>
                <w:rFonts w:hint="eastAsia"/>
                <w:szCs w:val="21"/>
              </w:rPr>
              <w:alias w:val="单位：扣除非经常性损益项目和金额"/>
              <w:tag w:val="_GBC_5c7a78a144ce4f78943f6ba4db018dd1"/>
              <w:id w:val="1606229209"/>
              <w:lock w:val="sdtLocked"/>
              <w:placeholder>
                <w:docPart w:val="GBC22222222222222222222222222222"/>
              </w:placeholder>
              <w:dataBinding w:prefixMappings="xmlns:clcid-ci-ar='clcid-ci-ar'" w:xpath="/*/clcid-ci-ar:DanWeiKouChuFeiJingChangXingSunYiXiangMuHeJinE[not(@periodRef)]" w:storeItemID="{89EBAB94-44A0-46A2-B712-30D997D04A6D}"/>
              <w:comboBox w:lastValue="元">
                <w:listItem w:displayText="元" w:value="1"/>
                <w:listItem w:displayText="千元" w:value="1000"/>
                <w:listItem w:displayText="万元" w:value="10000"/>
                <w:listItem w:displayText="百万元" w:value="1000000"/>
                <w:listItem w:displayText="亿元" w:value="100000000"/>
              </w:comboBox>
            </w:sdtPr>
            <w:sdtContent>
              <w:r w:rsidR="008F04CF">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1075279105e04a71a72ba148188834c9"/>
              <w:id w:val="217946410"/>
              <w:lock w:val="sdtLocked"/>
              <w:placeholder>
                <w:docPart w:val="GBC22222222222222222222222222222"/>
              </w:placeholder>
              <w:dataBinding w:prefixMappings="xmlns:clcid-ci-ar='clcid-ci-ar'" w:xpath="/*/clcid-ci-ar:BiZhongKouChuFeiJingChangXingSunYiXiangMuHeJinE[not(@periodRef)]" w:storeItemID="{89EBAB94-44A0-46A2-B712-30D997D04A6D}"/>
              <w:comboBox w:lastValue="人民币">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04CF">
                <w:rPr>
                  <w:rFonts w:hint="eastAsia"/>
                  <w:szCs w:val="21"/>
                </w:rPr>
                <w:t>人民币</w:t>
              </w:r>
            </w:sdtContent>
          </w:sdt>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54"/>
            <w:gridCol w:w="2430"/>
            <w:gridCol w:w="2439"/>
          </w:tblGrid>
          <w:tr w:rsidR="00405E34" w:rsidTr="00860468">
            <w:sdt>
              <w:sdtPr>
                <w:tag w:val="_PLD_4d447086960c4639856414679d1dbf26"/>
                <w:id w:val="1101909718"/>
                <w:lock w:val="sdtLocked"/>
              </w:sdtPr>
              <w:sdtContent>
                <w:tc>
                  <w:tcPr>
                    <w:tcW w:w="2241" w:type="pct"/>
                    <w:shd w:val="clear" w:color="auto" w:fill="auto"/>
                    <w:vAlign w:val="center"/>
                  </w:tcPr>
                  <w:p w:rsidR="00405E34" w:rsidRDefault="00405E34" w:rsidP="00860468">
                    <w:pPr>
                      <w:jc w:val="center"/>
                      <w:rPr>
                        <w:szCs w:val="21"/>
                      </w:rPr>
                    </w:pPr>
                    <w:r>
                      <w:rPr>
                        <w:rFonts w:hint="eastAsia"/>
                        <w:szCs w:val="21"/>
                      </w:rPr>
                      <w:t>项目</w:t>
                    </w:r>
                  </w:p>
                </w:tc>
              </w:sdtContent>
            </w:sdt>
            <w:sdt>
              <w:sdtPr>
                <w:tag w:val="_PLD_4124386579a74ebabf17d2fb03dfbacc"/>
                <w:id w:val="1358081244"/>
                <w:lock w:val="sdtLocked"/>
              </w:sdtPr>
              <w:sdtContent>
                <w:tc>
                  <w:tcPr>
                    <w:tcW w:w="1377" w:type="pct"/>
                    <w:shd w:val="clear" w:color="auto" w:fill="auto"/>
                  </w:tcPr>
                  <w:p w:rsidR="00405E34" w:rsidRDefault="00405E34" w:rsidP="00860468">
                    <w:pPr>
                      <w:jc w:val="center"/>
                      <w:rPr>
                        <w:szCs w:val="21"/>
                      </w:rPr>
                    </w:pPr>
                    <w:r>
                      <w:rPr>
                        <w:rFonts w:hint="eastAsia"/>
                        <w:szCs w:val="21"/>
                      </w:rPr>
                      <w:t>金额</w:t>
                    </w:r>
                  </w:p>
                </w:tc>
              </w:sdtContent>
            </w:sdt>
            <w:sdt>
              <w:sdtPr>
                <w:tag w:val="_PLD_d8bc4effaf7140f69603e5c1fdd518e2"/>
                <w:id w:val="-678420271"/>
                <w:lock w:val="sdtLocked"/>
              </w:sdtPr>
              <w:sdtContent>
                <w:tc>
                  <w:tcPr>
                    <w:tcW w:w="1382" w:type="pct"/>
                  </w:tcPr>
                  <w:p w:rsidR="00405E34" w:rsidRDefault="00405E34" w:rsidP="00860468">
                    <w:pPr>
                      <w:jc w:val="center"/>
                      <w:rPr>
                        <w:szCs w:val="21"/>
                      </w:rPr>
                    </w:pPr>
                    <w:r>
                      <w:rPr>
                        <w:rFonts w:hint="eastAsia"/>
                        <w:szCs w:val="21"/>
                      </w:rPr>
                      <w:t>说明</w:t>
                    </w:r>
                  </w:p>
                </w:tc>
              </w:sdtContent>
            </w:sdt>
          </w:tr>
          <w:tr w:rsidR="00405E34" w:rsidTr="00860468">
            <w:sdt>
              <w:sdtPr>
                <w:tag w:val="_PLD_a4c284eee58641a284682b8ca51165ce"/>
                <w:id w:val="928785347"/>
                <w:lock w:val="sdtLocked"/>
              </w:sdtPr>
              <w:sdtContent>
                <w:tc>
                  <w:tcPr>
                    <w:tcW w:w="2241" w:type="pct"/>
                    <w:shd w:val="clear" w:color="auto" w:fill="auto"/>
                    <w:vAlign w:val="center"/>
                  </w:tcPr>
                  <w:p w:rsidR="00405E34" w:rsidRDefault="00405E34" w:rsidP="00860468">
                    <w:pPr>
                      <w:rPr>
                        <w:szCs w:val="21"/>
                      </w:rPr>
                    </w:pPr>
                    <w:r>
                      <w:rPr>
                        <w:rFonts w:hint="eastAsia"/>
                        <w:szCs w:val="21"/>
                      </w:rPr>
                      <w:t>非流动资产处置损益</w:t>
                    </w:r>
                  </w:p>
                </w:tc>
              </w:sdtContent>
            </w:sdt>
            <w:sdt>
              <w:sdtPr>
                <w:rPr>
                  <w:rFonts w:hint="eastAsia"/>
                  <w:szCs w:val="21"/>
                </w:rPr>
                <w:alias w:val="非流动性资产处置损益，包括已计提资产减值准备的冲销部分（非经常性损益项目）"/>
                <w:tag w:val="_GBC_f045781906b04458b3ad625ee4515c61"/>
                <w:id w:val="1176311635"/>
                <w:lock w:val="sdtLocked"/>
                <w:dataBinding w:prefixMappings="xmlns:clcid-pte='clcid-pte'" w:xpath="/*/clcid-pte:FeiLiuDongXingZiChanChuZhiSunYiBaoKuoYiJiTiZiChanJianZhiZhunBeiDeChongXiaoBuFenFeiJingChangXingSunYiXiangMu[not(@periodRef)]" w:storeItemID="{89EBAB94-44A0-46A2-B712-30D997D04A6D}"/>
                <w:text/>
              </w:sdtPr>
              <w:sdtContent>
                <w:tc>
                  <w:tcPr>
                    <w:tcW w:w="1377" w:type="pct"/>
                    <w:shd w:val="clear" w:color="auto" w:fill="auto"/>
                    <w:vAlign w:val="center"/>
                  </w:tcPr>
                  <w:p w:rsidR="00405E34" w:rsidRDefault="00405E34" w:rsidP="00860468">
                    <w:pPr>
                      <w:jc w:val="right"/>
                      <w:rPr>
                        <w:szCs w:val="21"/>
                      </w:rPr>
                    </w:pPr>
                    <w:r>
                      <w:rPr>
                        <w:rFonts w:hint="eastAsia"/>
                        <w:szCs w:val="21"/>
                      </w:rPr>
                      <w:t>111,872</w:t>
                    </w:r>
                  </w:p>
                </w:tc>
              </w:sdtContent>
            </w:sdt>
            <w:sdt>
              <w:sdtPr>
                <w:rPr>
                  <w:szCs w:val="21"/>
                </w:rPr>
                <w:alias w:val="非流动性资产处置损益，包括已计提资产减值准备的冲销部分的说明（非经常性损益项目）"/>
                <w:tag w:val="_GBC_dbf112280e8b447b803745e3222ebaab"/>
                <w:id w:val="167531778"/>
                <w:lock w:val="sdtLocked"/>
                <w:showingPlcHdr/>
                <w:dataBinding w:prefixMappings="xmlns:clcid-pte='clcid-pte'" w:xpath="/*/clcid-pte:FeiLiuDongXingZiChanChuZhiSunYiBaoKuoYiJiTiZiChanJianZhiZhunBeiDeChongXiaoBuFenFeiJingChangXingSunYiXiangMuShuoMing[not(@periodRef)]" w:storeItemID="{89EBAB94-44A0-46A2-B712-30D997D04A6D}"/>
                <w:text/>
              </w:sdtPr>
              <w:sdtContent>
                <w:tc>
                  <w:tcPr>
                    <w:tcW w:w="1382" w:type="pct"/>
                    <w:vAlign w:val="center"/>
                  </w:tcPr>
                  <w:p w:rsidR="00405E34" w:rsidRDefault="007147E9" w:rsidP="007147E9">
                    <w:pPr>
                      <w:jc w:val="right"/>
                      <w:rPr>
                        <w:b/>
                        <w:szCs w:val="21"/>
                      </w:rPr>
                    </w:pPr>
                    <w:r>
                      <w:rPr>
                        <w:szCs w:val="21"/>
                      </w:rPr>
                      <w:t xml:space="preserve">     </w:t>
                    </w:r>
                  </w:p>
                </w:tc>
              </w:sdtContent>
            </w:sdt>
          </w:tr>
          <w:tr w:rsidR="00405E34" w:rsidTr="00860468">
            <w:sdt>
              <w:sdtPr>
                <w:tag w:val="_PLD_111eb25532774c11acc9ef9b04526b48"/>
                <w:id w:val="2073997696"/>
                <w:lock w:val="sdtLocked"/>
              </w:sdtPr>
              <w:sdtContent>
                <w:tc>
                  <w:tcPr>
                    <w:tcW w:w="2241" w:type="pct"/>
                    <w:shd w:val="clear" w:color="auto" w:fill="auto"/>
                    <w:vAlign w:val="center"/>
                  </w:tcPr>
                  <w:p w:rsidR="00405E34" w:rsidRDefault="00405E34" w:rsidP="00860468">
                    <w:pPr>
                      <w:rPr>
                        <w:szCs w:val="21"/>
                      </w:rPr>
                    </w:pPr>
                    <w:r>
                      <w:rPr>
                        <w:rFonts w:hint="eastAsia"/>
                        <w:szCs w:val="21"/>
                      </w:rPr>
                      <w:t>越权审批或无正式批准文件的税收返还、减免</w:t>
                    </w:r>
                  </w:p>
                </w:tc>
              </w:sdtContent>
            </w:sdt>
            <w:sdt>
              <w:sdtPr>
                <w:rPr>
                  <w:rFonts w:hint="eastAsia"/>
                  <w:szCs w:val="21"/>
                </w:rPr>
                <w:alias w:val="越权审批，或无正式批准文件，或偶发性的税收返还、减免（非经常性损益项目）"/>
                <w:tag w:val="_GBC_739acef0a8fb4cf9ba3480cbf144d0bd"/>
                <w:id w:val="-659232416"/>
                <w:lock w:val="sdtLocked"/>
                <w:showingPlcHdr/>
                <w:dataBinding w:prefixMappings="xmlns:clcid-pte='clcid-pte'" w:xpath="/*/clcid-pte:FeiJingChangXingSunYiZhongYueQuanShenPiHuoWuZhengShiPiZhunWenJianDeShuiShouFanHuanJianMian[not(@periodRef)]" w:storeItemID="{89EBAB94-44A0-46A2-B712-30D997D04A6D}"/>
                <w:text/>
              </w:sdtPr>
              <w:sdtContent>
                <w:tc>
                  <w:tcPr>
                    <w:tcW w:w="1377" w:type="pct"/>
                    <w:shd w:val="clear" w:color="auto" w:fill="auto"/>
                    <w:vAlign w:val="center"/>
                  </w:tcPr>
                  <w:p w:rsidR="00405E34" w:rsidRDefault="00405E34" w:rsidP="00860468">
                    <w:pPr>
                      <w:ind w:right="6"/>
                      <w:jc w:val="right"/>
                      <w:rPr>
                        <w:szCs w:val="21"/>
                      </w:rPr>
                    </w:pPr>
                    <w:r>
                      <w:rPr>
                        <w:rFonts w:hint="eastAsia"/>
                        <w:color w:val="0000FF"/>
                        <w:szCs w:val="21"/>
                      </w:rPr>
                      <w:t xml:space="preserve">　</w:t>
                    </w:r>
                  </w:p>
                </w:tc>
              </w:sdtContent>
            </w:sdt>
            <w:sdt>
              <w:sdtPr>
                <w:rPr>
                  <w:szCs w:val="21"/>
                </w:rPr>
                <w:alias w:val="越权审批，或无正式批准文件，或偶发性的税收返还、减免的说明（非经常性损益项目）"/>
                <w:tag w:val="_GBC_d1e6861f45b64ca2a145ec60b8eb30fc"/>
                <w:id w:val="1714537326"/>
                <w:lock w:val="sdtLocked"/>
                <w:showingPlcHdr/>
                <w:dataBinding w:prefixMappings="xmlns:clcid-pte='clcid-pte'" w:xpath="/*/clcid-pte:FeiJingChangXingSunYiZhongYueQuanShenPiHuoWuZhengShiPiZhunWenJianDeShuiShouFanHuanJianMianShuoMing[not(@periodRef)]" w:storeItemID="{89EBAB94-44A0-46A2-B712-30D997D04A6D}"/>
                <w:text/>
              </w:sdtPr>
              <w:sdtContent>
                <w:tc>
                  <w:tcPr>
                    <w:tcW w:w="1382" w:type="pct"/>
                    <w:vAlign w:val="center"/>
                  </w:tcPr>
                  <w:p w:rsidR="00405E34" w:rsidRDefault="00405E34" w:rsidP="00860468">
                    <w:pPr>
                      <w:jc w:val="right"/>
                      <w:rPr>
                        <w:szCs w:val="21"/>
                      </w:rPr>
                    </w:pPr>
                    <w:r>
                      <w:rPr>
                        <w:rFonts w:hint="eastAsia"/>
                        <w:color w:val="0000FF"/>
                        <w:szCs w:val="21"/>
                      </w:rPr>
                      <w:t xml:space="preserve">　</w:t>
                    </w:r>
                  </w:p>
                </w:tc>
              </w:sdtContent>
            </w:sdt>
          </w:tr>
          <w:tr w:rsidR="00405E34" w:rsidTr="00860468">
            <w:sdt>
              <w:sdtPr>
                <w:tag w:val="_PLD_1c23f9d3aa08475185cdc79972a7d629"/>
                <w:id w:val="-1142036938"/>
                <w:lock w:val="sdtLocked"/>
              </w:sdtPr>
              <w:sdtContent>
                <w:tc>
                  <w:tcPr>
                    <w:tcW w:w="2241" w:type="pct"/>
                    <w:shd w:val="clear" w:color="auto" w:fill="auto"/>
                    <w:vAlign w:val="center"/>
                  </w:tcPr>
                  <w:p w:rsidR="00405E34" w:rsidRDefault="00405E34" w:rsidP="00860468">
                    <w:pPr>
                      <w:rPr>
                        <w:szCs w:val="21"/>
                      </w:rPr>
                    </w:pPr>
                    <w:r>
                      <w:rPr>
                        <w:rFonts w:hint="eastAsia"/>
                        <w:szCs w:val="21"/>
                      </w:rPr>
                      <w:t>计入当期损益的政府补助（与企业业务密切相关，按照国家统一标准定额或定量享受的政府补助除外）</w:t>
                    </w:r>
                  </w:p>
                </w:tc>
              </w:sdtContent>
            </w:sdt>
            <w:sdt>
              <w:sdtPr>
                <w:rPr>
                  <w:rFonts w:hint="eastAsia"/>
                  <w:szCs w:val="21"/>
                </w:rPr>
                <w:alias w:val="计入当期损益的政府补助，但与公司正常经营业务密切相关，符合国家政策规定、按照一定标准定额或定量持续享受的政府补助除外（非经常性损益项目）"/>
                <w:tag w:val="_GBC_87d17071bbe748b28c703f8eaec85e23"/>
                <w:id w:val="386071068"/>
                <w:lock w:val="sdtLocked"/>
                <w:dataBinding w:prefixMappings="xmlns:clcid-pte='clcid-pte'" w:xpath="/*/clcid-pte:FeiJingChangXingSunYiZhongGeZhongXingShiDeZhengFuBuTie[not(@periodRef)]" w:storeItemID="{89EBAB94-44A0-46A2-B712-30D997D04A6D}"/>
                <w:text/>
              </w:sdtPr>
              <w:sdtContent>
                <w:tc>
                  <w:tcPr>
                    <w:tcW w:w="1377" w:type="pct"/>
                    <w:shd w:val="clear" w:color="auto" w:fill="auto"/>
                    <w:vAlign w:val="center"/>
                  </w:tcPr>
                  <w:p w:rsidR="00405E34" w:rsidRDefault="00405E34" w:rsidP="00860468">
                    <w:pPr>
                      <w:jc w:val="right"/>
                      <w:rPr>
                        <w:szCs w:val="21"/>
                      </w:rPr>
                    </w:pPr>
                    <w:r>
                      <w:rPr>
                        <w:rFonts w:hint="eastAsia"/>
                        <w:szCs w:val="21"/>
                      </w:rPr>
                      <w:t>27,808,466</w:t>
                    </w:r>
                  </w:p>
                </w:tc>
              </w:sdtContent>
            </w:sdt>
            <w:sdt>
              <w:sdtPr>
                <w:rPr>
                  <w:szCs w:val="21"/>
                </w:rPr>
                <w:alias w:val="计入当期损益的政府补助，但与公司正常经营业务密切相关，符合国家政策规定、按照一定标准定额或定量持续享受的政府补助除外的说明（非经常性损益项目）"/>
                <w:tag w:val="_GBC_4513591570d449de9208898ef81e191f"/>
                <w:id w:val="1972790635"/>
                <w:lock w:val="sdtLocked"/>
                <w:showingPlcHdr/>
                <w:dataBinding w:prefixMappings="xmlns:clcid-pte='clcid-pte'" w:xpath="/*/clcid-pte:FeiJingChangXingSunYiZhongGeZhongXingShiDeZhengFuBuTieShuoMing[not(@periodRef)]" w:storeItemID="{89EBAB94-44A0-46A2-B712-30D997D04A6D}"/>
                <w:text/>
              </w:sdtPr>
              <w:sdtContent>
                <w:tc>
                  <w:tcPr>
                    <w:tcW w:w="1382" w:type="pct"/>
                    <w:vAlign w:val="center"/>
                  </w:tcPr>
                  <w:p w:rsidR="00405E34" w:rsidRDefault="007147E9" w:rsidP="007147E9">
                    <w:pPr>
                      <w:jc w:val="right"/>
                      <w:rPr>
                        <w:szCs w:val="21"/>
                      </w:rPr>
                    </w:pPr>
                    <w:r>
                      <w:rPr>
                        <w:szCs w:val="21"/>
                      </w:rPr>
                      <w:t xml:space="preserve">     </w:t>
                    </w:r>
                  </w:p>
                </w:tc>
              </w:sdtContent>
            </w:sdt>
          </w:tr>
          <w:tr w:rsidR="00405E34" w:rsidTr="00860468">
            <w:sdt>
              <w:sdtPr>
                <w:tag w:val="_PLD_19747bb2b9f64964bff74d0b6c962639"/>
                <w:id w:val="138085154"/>
                <w:lock w:val="sdtLocked"/>
              </w:sdtPr>
              <w:sdtContent>
                <w:tc>
                  <w:tcPr>
                    <w:tcW w:w="2241" w:type="pct"/>
                    <w:shd w:val="clear" w:color="auto" w:fill="auto"/>
                    <w:vAlign w:val="center"/>
                  </w:tcPr>
                  <w:p w:rsidR="00405E34" w:rsidRDefault="00405E34" w:rsidP="00860468">
                    <w:pPr>
                      <w:rPr>
                        <w:szCs w:val="21"/>
                      </w:rPr>
                    </w:pPr>
                    <w:r>
                      <w:rPr>
                        <w:rFonts w:hint="eastAsia"/>
                        <w:szCs w:val="21"/>
                      </w:rPr>
                      <w:t>计入当期损益的对非金融企业收取的资金占用费</w:t>
                    </w:r>
                  </w:p>
                </w:tc>
              </w:sdtContent>
            </w:sdt>
            <w:sdt>
              <w:sdtPr>
                <w:rPr>
                  <w:rFonts w:hint="eastAsia"/>
                  <w:szCs w:val="21"/>
                </w:rPr>
                <w:alias w:val="计入当期损益的对非金融企业收取的资金占用费（非经常性损益项目）"/>
                <w:tag w:val="_GBC_fa05ceca6bca4dd9a7d215044dce1e08"/>
                <w:id w:val="1980799019"/>
                <w:lock w:val="sdtLocked"/>
                <w:showingPlcHdr/>
                <w:dataBinding w:prefixMappings="xmlns:clcid-pte='clcid-pte'" w:xpath="/*/clcid-pte:JiRuDangQiSunYiDeDuiFeiJinRongQiYeShouQuDeZiJinZhanYongFeiFeiJingChangXingSunYiXiangMu[not(@periodRef)]" w:storeItemID="{89EBAB94-44A0-46A2-B712-30D997D04A6D}"/>
                <w:text/>
              </w:sdtPr>
              <w:sdtContent>
                <w:tc>
                  <w:tcPr>
                    <w:tcW w:w="1377" w:type="pct"/>
                    <w:shd w:val="clear" w:color="auto" w:fill="auto"/>
                    <w:vAlign w:val="center"/>
                  </w:tcPr>
                  <w:p w:rsidR="00405E34" w:rsidRDefault="00405E34" w:rsidP="00860468">
                    <w:pPr>
                      <w:jc w:val="right"/>
                      <w:rPr>
                        <w:szCs w:val="21"/>
                      </w:rPr>
                    </w:pPr>
                    <w:r>
                      <w:rPr>
                        <w:rFonts w:hint="eastAsia"/>
                        <w:color w:val="0000FF"/>
                        <w:szCs w:val="21"/>
                      </w:rPr>
                      <w:t xml:space="preserve">　</w:t>
                    </w:r>
                  </w:p>
                </w:tc>
              </w:sdtContent>
            </w:sdt>
            <w:sdt>
              <w:sdtPr>
                <w:rPr>
                  <w:szCs w:val="21"/>
                </w:rPr>
                <w:alias w:val="计入当期损益的对非金融企业收取的资金占用费的说明（非经常性损益项目）"/>
                <w:tag w:val="_GBC_e39bef666fc347c4b548b1702cce8f81"/>
                <w:id w:val="-102345557"/>
                <w:lock w:val="sdtLocked"/>
                <w:showingPlcHdr/>
                <w:dataBinding w:prefixMappings="xmlns:clcid-pte='clcid-pte'" w:xpath="/*/clcid-pte:JiRuDangQiSunYiDeDuiFeiJinRongQiYeShouQuDeZiJinZhanYongFeiFeiJingChangXingSunYiXiangMuShuoMing[not(@periodRef)]" w:storeItemID="{89EBAB94-44A0-46A2-B712-30D997D04A6D}"/>
                <w:text/>
              </w:sdtPr>
              <w:sdtContent>
                <w:tc>
                  <w:tcPr>
                    <w:tcW w:w="1382" w:type="pct"/>
                    <w:vAlign w:val="center"/>
                  </w:tcPr>
                  <w:p w:rsidR="00405E34" w:rsidRDefault="00405E34" w:rsidP="00860468">
                    <w:pPr>
                      <w:jc w:val="right"/>
                      <w:rPr>
                        <w:szCs w:val="21"/>
                      </w:rPr>
                    </w:pPr>
                    <w:r>
                      <w:rPr>
                        <w:rFonts w:hint="eastAsia"/>
                        <w:color w:val="0000FF"/>
                        <w:szCs w:val="21"/>
                      </w:rPr>
                      <w:t xml:space="preserve">　</w:t>
                    </w:r>
                  </w:p>
                </w:tc>
              </w:sdtContent>
            </w:sdt>
          </w:tr>
          <w:tr w:rsidR="00405E34" w:rsidTr="00860468">
            <w:sdt>
              <w:sdtPr>
                <w:tag w:val="_PLD_6663cd4a4b5d4648b8602f1db92c8537"/>
                <w:id w:val="-2085599326"/>
                <w:lock w:val="sdtLocked"/>
              </w:sdtPr>
              <w:sdtContent>
                <w:tc>
                  <w:tcPr>
                    <w:tcW w:w="2241" w:type="pct"/>
                    <w:shd w:val="clear" w:color="auto" w:fill="auto"/>
                    <w:vAlign w:val="center"/>
                  </w:tcPr>
                  <w:p w:rsidR="00405E34" w:rsidRDefault="00405E34" w:rsidP="00860468">
                    <w:pPr>
                      <w:rPr>
                        <w:szCs w:val="21"/>
                      </w:rPr>
                    </w:pPr>
                    <w:r>
                      <w:rPr>
                        <w:rFonts w:hint="eastAsia"/>
                        <w:szCs w:val="21"/>
                      </w:rPr>
                      <w:t>企业取得子公司、联营企业及合营企业的投资成本小于取得投资时应享有被投资单位可辨认净资产公允价值产生的收益</w:t>
                    </w:r>
                  </w:p>
                </w:tc>
              </w:sdtContent>
            </w:sdt>
            <w:sdt>
              <w:sdtPr>
                <w:rPr>
                  <w:rFonts w:hint="eastAsia"/>
                  <w:szCs w:val="21"/>
                </w:rPr>
                <w:alias w:val="企业取得子公司、联营企业及合营企业的投资成本小于取得投资时应享有被投资单位可辨认净资产公允价值产生的收益（非经常性损益项目）"/>
                <w:tag w:val="_GBC_da8567332bf1414f9b00448bf14a2046"/>
                <w:id w:val="1586188922"/>
                <w:lock w:val="sdtLocked"/>
                <w:showingPlcHdr/>
                <w:dataBinding w:prefixMappings="xmlns:clcid-pte='clcid-pte'" w:xpath="/*/clcid-pte:QiYeHeBingDeHeBingChengBenXiaoYuHeBingShiYingXiangYouBeiHeBingDanWeiKeBianRenJingZiChanGongYunJiaZhiChanShengDeSunYi[not(@periodRef)]" w:storeItemID="{89EBAB94-44A0-46A2-B712-30D997D04A6D}"/>
                <w:text/>
              </w:sdtPr>
              <w:sdtContent>
                <w:tc>
                  <w:tcPr>
                    <w:tcW w:w="1377" w:type="pct"/>
                    <w:shd w:val="clear" w:color="auto" w:fill="auto"/>
                    <w:vAlign w:val="center"/>
                  </w:tcPr>
                  <w:p w:rsidR="00405E34" w:rsidRDefault="00405E34" w:rsidP="00860468">
                    <w:pPr>
                      <w:jc w:val="right"/>
                      <w:rPr>
                        <w:szCs w:val="21"/>
                      </w:rPr>
                    </w:pPr>
                    <w:r>
                      <w:rPr>
                        <w:rFonts w:hint="eastAsia"/>
                        <w:color w:val="0000FF"/>
                        <w:szCs w:val="21"/>
                      </w:rPr>
                      <w:t xml:space="preserve">　</w:t>
                    </w:r>
                  </w:p>
                </w:tc>
              </w:sdtContent>
            </w:sdt>
            <w:sdt>
              <w:sdtPr>
                <w:rPr>
                  <w:szCs w:val="21"/>
                </w:rPr>
                <w:alias w:val="企业取得子公司、联营企业及合营企业的投资成本小于取得投资时应享有被投资单位可辨认净资产公允价值产生的收益的说明（非经常性损益项目）"/>
                <w:tag w:val="_GBC_5140be5466d24c06aa7c5dd7b7497384"/>
                <w:id w:val="1710917549"/>
                <w:lock w:val="sdtLocked"/>
                <w:showingPlcHdr/>
                <w:dataBinding w:prefixMappings="xmlns:clcid-pte='clcid-pte'" w:xpath="/*/clcid-pte:QiYeHeBingDeHeBingChengBenXiaoYuHeBingShiYingXiangYouBeiHeBingDanWeiKeBianRenJingZiChanGongYunJiaZhiChanShengDeSunYiShuoMing[not(@periodRef)]" w:storeItemID="{89EBAB94-44A0-46A2-B712-30D997D04A6D}"/>
                <w:text/>
              </w:sdtPr>
              <w:sdtContent>
                <w:tc>
                  <w:tcPr>
                    <w:tcW w:w="1382" w:type="pct"/>
                    <w:vAlign w:val="center"/>
                  </w:tcPr>
                  <w:p w:rsidR="00405E34" w:rsidRDefault="00405E34" w:rsidP="00860468">
                    <w:pPr>
                      <w:jc w:val="right"/>
                      <w:rPr>
                        <w:szCs w:val="21"/>
                      </w:rPr>
                    </w:pPr>
                    <w:r>
                      <w:rPr>
                        <w:rFonts w:hint="eastAsia"/>
                        <w:color w:val="0000FF"/>
                        <w:szCs w:val="21"/>
                      </w:rPr>
                      <w:t xml:space="preserve">　</w:t>
                    </w:r>
                  </w:p>
                </w:tc>
              </w:sdtContent>
            </w:sdt>
          </w:tr>
          <w:tr w:rsidR="00405E34" w:rsidTr="00860468">
            <w:sdt>
              <w:sdtPr>
                <w:tag w:val="_PLD_e784ffc777444dfdb842e34d13c29737"/>
                <w:id w:val="1714695410"/>
                <w:lock w:val="sdtLocked"/>
              </w:sdtPr>
              <w:sdtContent>
                <w:tc>
                  <w:tcPr>
                    <w:tcW w:w="2241" w:type="pct"/>
                    <w:shd w:val="clear" w:color="auto" w:fill="auto"/>
                    <w:vAlign w:val="center"/>
                  </w:tcPr>
                  <w:p w:rsidR="00405E34" w:rsidRDefault="00405E34" w:rsidP="00860468">
                    <w:pPr>
                      <w:rPr>
                        <w:szCs w:val="21"/>
                      </w:rPr>
                    </w:pPr>
                    <w:r>
                      <w:rPr>
                        <w:rFonts w:hint="eastAsia"/>
                        <w:szCs w:val="21"/>
                      </w:rPr>
                      <w:t>非货币性资产交换损益</w:t>
                    </w:r>
                  </w:p>
                </w:tc>
              </w:sdtContent>
            </w:sdt>
            <w:sdt>
              <w:sdtPr>
                <w:rPr>
                  <w:rFonts w:hint="eastAsia"/>
                  <w:szCs w:val="21"/>
                </w:rPr>
                <w:alias w:val="非货币性资产交换损益（非经常性损益项目）"/>
                <w:tag w:val="_GBC_4cbe5f86242143498e8a8e52a9159cf4"/>
                <w:id w:val="-2109407127"/>
                <w:lock w:val="sdtLocked"/>
                <w:showingPlcHdr/>
                <w:dataBinding w:prefixMappings="xmlns:clcid-pte='clcid-pte'" w:xpath="/*/clcid-pte:FeiJingChangXingSunYiZhongZiChanZhiHuanSunYi[not(@periodRef)]" w:storeItemID="{89EBAB94-44A0-46A2-B712-30D997D04A6D}"/>
                <w:text/>
              </w:sdtPr>
              <w:sdtContent>
                <w:tc>
                  <w:tcPr>
                    <w:tcW w:w="1377" w:type="pct"/>
                    <w:shd w:val="clear" w:color="auto" w:fill="auto"/>
                    <w:vAlign w:val="center"/>
                  </w:tcPr>
                  <w:p w:rsidR="00405E34" w:rsidRDefault="00405E34" w:rsidP="00860468">
                    <w:pPr>
                      <w:jc w:val="right"/>
                      <w:rPr>
                        <w:szCs w:val="21"/>
                      </w:rPr>
                    </w:pPr>
                    <w:r>
                      <w:rPr>
                        <w:rFonts w:hint="eastAsia"/>
                        <w:color w:val="0000FF"/>
                        <w:szCs w:val="21"/>
                      </w:rPr>
                      <w:t xml:space="preserve">　</w:t>
                    </w:r>
                  </w:p>
                </w:tc>
              </w:sdtContent>
            </w:sdt>
            <w:sdt>
              <w:sdtPr>
                <w:rPr>
                  <w:szCs w:val="21"/>
                </w:rPr>
                <w:alias w:val="非货币性资产交换损益的说明（非经常性损益项目）"/>
                <w:tag w:val="_GBC_0c3795502b03479fa5ac233060ebd95d"/>
                <w:id w:val="-100110253"/>
                <w:lock w:val="sdtLocked"/>
                <w:showingPlcHdr/>
                <w:dataBinding w:prefixMappings="xmlns:clcid-pte='clcid-pte'" w:xpath="/*/clcid-pte:FeiJingChangXingSunYiZhongZiChanZhiHuanSunYiShuoMing[not(@periodRef)]" w:storeItemID="{89EBAB94-44A0-46A2-B712-30D997D04A6D}"/>
                <w:text/>
              </w:sdtPr>
              <w:sdtContent>
                <w:tc>
                  <w:tcPr>
                    <w:tcW w:w="1382" w:type="pct"/>
                    <w:vAlign w:val="center"/>
                  </w:tcPr>
                  <w:p w:rsidR="00405E34" w:rsidRDefault="00405E34" w:rsidP="00860468">
                    <w:pPr>
                      <w:jc w:val="right"/>
                      <w:rPr>
                        <w:szCs w:val="21"/>
                      </w:rPr>
                    </w:pPr>
                    <w:r>
                      <w:rPr>
                        <w:rFonts w:hint="eastAsia"/>
                        <w:color w:val="0000FF"/>
                        <w:szCs w:val="21"/>
                      </w:rPr>
                      <w:t xml:space="preserve">　</w:t>
                    </w:r>
                  </w:p>
                </w:tc>
              </w:sdtContent>
            </w:sdt>
          </w:tr>
          <w:tr w:rsidR="00405E34" w:rsidTr="00860468">
            <w:sdt>
              <w:sdtPr>
                <w:tag w:val="_PLD_e05dd2ebe9c4478baeb0638a8ae0cb06"/>
                <w:id w:val="-1935191173"/>
                <w:lock w:val="sdtLocked"/>
              </w:sdtPr>
              <w:sdtContent>
                <w:tc>
                  <w:tcPr>
                    <w:tcW w:w="2241" w:type="pct"/>
                    <w:shd w:val="clear" w:color="auto" w:fill="auto"/>
                    <w:vAlign w:val="center"/>
                  </w:tcPr>
                  <w:p w:rsidR="00405E34" w:rsidRDefault="00405E34" w:rsidP="00860468">
                    <w:pPr>
                      <w:rPr>
                        <w:szCs w:val="21"/>
                      </w:rPr>
                    </w:pPr>
                    <w:r>
                      <w:rPr>
                        <w:rFonts w:hint="eastAsia"/>
                        <w:szCs w:val="21"/>
                      </w:rPr>
                      <w:t>委托他人投资或管理资产的损益</w:t>
                    </w:r>
                  </w:p>
                </w:tc>
              </w:sdtContent>
            </w:sdt>
            <w:sdt>
              <w:sdtPr>
                <w:rPr>
                  <w:rFonts w:hint="eastAsia"/>
                  <w:szCs w:val="21"/>
                </w:rPr>
                <w:alias w:val="委托他人投资或管理资产的损益（非经常性损益项目）"/>
                <w:tag w:val="_GBC_d2fd11aa21804a79bf75d80767cb7622"/>
                <w:id w:val="-635648693"/>
                <w:lock w:val="sdtLocked"/>
                <w:showingPlcHdr/>
                <w:dataBinding w:prefixMappings="xmlns:clcid-pte='clcid-pte'" w:xpath="/*/clcid-pte:WeiTuoTaRenTouZiHuoGuanLiZiChanDeSunYiFeiJingChangXingSunYiXiangMu[not(@periodRef)]" w:storeItemID="{89EBAB94-44A0-46A2-B712-30D997D04A6D}"/>
                <w:text/>
              </w:sdtPr>
              <w:sdtContent>
                <w:tc>
                  <w:tcPr>
                    <w:tcW w:w="1377" w:type="pct"/>
                    <w:shd w:val="clear" w:color="auto" w:fill="auto"/>
                    <w:vAlign w:val="center"/>
                  </w:tcPr>
                  <w:p w:rsidR="00405E34" w:rsidRDefault="00405E34" w:rsidP="00860468">
                    <w:pPr>
                      <w:jc w:val="right"/>
                      <w:rPr>
                        <w:szCs w:val="21"/>
                      </w:rPr>
                    </w:pPr>
                    <w:r>
                      <w:rPr>
                        <w:rFonts w:hint="eastAsia"/>
                        <w:color w:val="0000FF"/>
                        <w:szCs w:val="21"/>
                      </w:rPr>
                      <w:t xml:space="preserve">　</w:t>
                    </w:r>
                  </w:p>
                </w:tc>
              </w:sdtContent>
            </w:sdt>
            <w:sdt>
              <w:sdtPr>
                <w:rPr>
                  <w:szCs w:val="21"/>
                </w:rPr>
                <w:alias w:val="委托他人投资或管理资产的损益的说明（非经常性损益项目）"/>
                <w:tag w:val="_GBC_556f9aa856334b9cba18fb2f97b39cc5"/>
                <w:id w:val="1080333436"/>
                <w:lock w:val="sdtLocked"/>
                <w:showingPlcHdr/>
                <w:dataBinding w:prefixMappings="xmlns:clcid-pte='clcid-pte'" w:xpath="/*/clcid-pte:WeiTuoTaRenTouZiHuoGuanLiZiChanDeSunYiFeiJingChangXingSunYiXiangMuShuoMing[not(@periodRef)]" w:storeItemID="{89EBAB94-44A0-46A2-B712-30D997D04A6D}"/>
                <w:text/>
              </w:sdtPr>
              <w:sdtContent>
                <w:tc>
                  <w:tcPr>
                    <w:tcW w:w="1382" w:type="pct"/>
                    <w:vAlign w:val="center"/>
                  </w:tcPr>
                  <w:p w:rsidR="00405E34" w:rsidRDefault="00405E34" w:rsidP="00860468">
                    <w:pPr>
                      <w:jc w:val="right"/>
                      <w:rPr>
                        <w:szCs w:val="21"/>
                      </w:rPr>
                    </w:pPr>
                    <w:r>
                      <w:rPr>
                        <w:rFonts w:hint="eastAsia"/>
                        <w:color w:val="0000FF"/>
                        <w:szCs w:val="21"/>
                      </w:rPr>
                      <w:t xml:space="preserve">　</w:t>
                    </w:r>
                  </w:p>
                </w:tc>
              </w:sdtContent>
            </w:sdt>
          </w:tr>
          <w:tr w:rsidR="00405E34" w:rsidTr="00860468">
            <w:sdt>
              <w:sdtPr>
                <w:tag w:val="_PLD_ceb3f10c4ad1406d91b44f6719ebf8fb"/>
                <w:id w:val="-979774638"/>
                <w:lock w:val="sdtLocked"/>
              </w:sdtPr>
              <w:sdtContent>
                <w:tc>
                  <w:tcPr>
                    <w:tcW w:w="2241" w:type="pct"/>
                    <w:shd w:val="clear" w:color="auto" w:fill="auto"/>
                    <w:vAlign w:val="center"/>
                  </w:tcPr>
                  <w:p w:rsidR="00405E34" w:rsidRDefault="00405E34" w:rsidP="00860468">
                    <w:pPr>
                      <w:rPr>
                        <w:szCs w:val="21"/>
                      </w:rPr>
                    </w:pPr>
                    <w:r>
                      <w:rPr>
                        <w:rFonts w:hint="eastAsia"/>
                        <w:szCs w:val="21"/>
                      </w:rPr>
                      <w:t>因不可抗力因素，如遭受自然灾害而计提的各项资产减值准备</w:t>
                    </w:r>
                  </w:p>
                </w:tc>
              </w:sdtContent>
            </w:sdt>
            <w:sdt>
              <w:sdtPr>
                <w:rPr>
                  <w:rFonts w:hint="eastAsia"/>
                  <w:szCs w:val="21"/>
                </w:rPr>
                <w:alias w:val="因不可抗力因素，如遭受自然灾害而计提的各项资产减值准备（非经常性损益项目）"/>
                <w:tag w:val="_GBC_40e59f580b8446b6a448bfa2d9c39106"/>
                <w:id w:val="1745603808"/>
                <w:lock w:val="sdtLocked"/>
                <w:showingPlcHdr/>
                <w:dataBinding w:prefixMappings="xmlns:clcid-pte='clcid-pte'" w:xpath="/*/clcid-pte:FeiJingChangXingSunYiZhongJiTiDeGeXiangZiChanJianZhiZhunBei[not(@periodRef)]" w:storeItemID="{89EBAB94-44A0-46A2-B712-30D997D04A6D}"/>
                <w:text/>
              </w:sdtPr>
              <w:sdtContent>
                <w:tc>
                  <w:tcPr>
                    <w:tcW w:w="1377" w:type="pct"/>
                    <w:shd w:val="clear" w:color="auto" w:fill="auto"/>
                    <w:vAlign w:val="center"/>
                  </w:tcPr>
                  <w:p w:rsidR="00405E34" w:rsidRDefault="00405E34" w:rsidP="00860468">
                    <w:pPr>
                      <w:jc w:val="right"/>
                      <w:rPr>
                        <w:szCs w:val="21"/>
                      </w:rPr>
                    </w:pPr>
                    <w:r>
                      <w:rPr>
                        <w:rFonts w:hint="eastAsia"/>
                        <w:color w:val="0000FF"/>
                        <w:szCs w:val="21"/>
                      </w:rPr>
                      <w:t xml:space="preserve">　</w:t>
                    </w:r>
                  </w:p>
                </w:tc>
              </w:sdtContent>
            </w:sdt>
            <w:sdt>
              <w:sdtPr>
                <w:rPr>
                  <w:szCs w:val="21"/>
                </w:rPr>
                <w:alias w:val="因不可抗力因素，如遭受自然灾害而计提的各项资产减值准备的说明（非经常性损益项目）"/>
                <w:tag w:val="_GBC_4f29c0d978134f4d9ade4cfb9e6e5bfa"/>
                <w:id w:val="496612400"/>
                <w:lock w:val="sdtLocked"/>
                <w:showingPlcHdr/>
                <w:dataBinding w:prefixMappings="xmlns:clcid-pte='clcid-pte'" w:xpath="/*/clcid-pte:FeiJingChangXingSunYiZhongJiTiDeGeXiangZiChanJianZhiZhunBeiShuoMing[not(@periodRef)]" w:storeItemID="{89EBAB94-44A0-46A2-B712-30D997D04A6D}"/>
                <w:text/>
              </w:sdtPr>
              <w:sdtContent>
                <w:tc>
                  <w:tcPr>
                    <w:tcW w:w="1382" w:type="pct"/>
                    <w:vAlign w:val="center"/>
                  </w:tcPr>
                  <w:p w:rsidR="00405E34" w:rsidRDefault="00405E34" w:rsidP="00860468">
                    <w:pPr>
                      <w:jc w:val="right"/>
                      <w:rPr>
                        <w:szCs w:val="21"/>
                      </w:rPr>
                    </w:pPr>
                    <w:r>
                      <w:rPr>
                        <w:rFonts w:hint="eastAsia"/>
                        <w:color w:val="0000FF"/>
                        <w:szCs w:val="21"/>
                      </w:rPr>
                      <w:t xml:space="preserve">　</w:t>
                    </w:r>
                  </w:p>
                </w:tc>
              </w:sdtContent>
            </w:sdt>
          </w:tr>
          <w:tr w:rsidR="00405E34" w:rsidTr="00860468">
            <w:sdt>
              <w:sdtPr>
                <w:tag w:val="_PLD_176b3ea3b8024c5c8cfe828e8d88f77b"/>
                <w:id w:val="-41139271"/>
                <w:lock w:val="sdtLocked"/>
              </w:sdtPr>
              <w:sdtContent>
                <w:tc>
                  <w:tcPr>
                    <w:tcW w:w="2241" w:type="pct"/>
                    <w:shd w:val="clear" w:color="auto" w:fill="auto"/>
                    <w:vAlign w:val="center"/>
                  </w:tcPr>
                  <w:p w:rsidR="00405E34" w:rsidRDefault="00405E34" w:rsidP="00860468">
                    <w:pPr>
                      <w:rPr>
                        <w:szCs w:val="21"/>
                      </w:rPr>
                    </w:pPr>
                    <w:r>
                      <w:rPr>
                        <w:rFonts w:hint="eastAsia"/>
                        <w:szCs w:val="21"/>
                      </w:rPr>
                      <w:t>债务重组损益</w:t>
                    </w:r>
                  </w:p>
                </w:tc>
              </w:sdtContent>
            </w:sdt>
            <w:sdt>
              <w:sdtPr>
                <w:rPr>
                  <w:rFonts w:hint="eastAsia"/>
                  <w:szCs w:val="21"/>
                </w:rPr>
                <w:alias w:val="债务重组损益（非经常性损益项目）"/>
                <w:tag w:val="_GBC_562f390e991e466084ffd0680a094232"/>
                <w:id w:val="1922749784"/>
                <w:lock w:val="sdtLocked"/>
                <w:showingPlcHdr/>
                <w:dataBinding w:prefixMappings="xmlns:clcid-pte='clcid-pte'" w:xpath="/*/clcid-pte:FeiJingChangXingSunYiZhongZhaiWuZhongZuSunYi[not(@periodRef)]" w:storeItemID="{89EBAB94-44A0-46A2-B712-30D997D04A6D}"/>
                <w:text/>
              </w:sdtPr>
              <w:sdtContent>
                <w:tc>
                  <w:tcPr>
                    <w:tcW w:w="1377" w:type="pct"/>
                    <w:shd w:val="clear" w:color="auto" w:fill="auto"/>
                    <w:vAlign w:val="center"/>
                  </w:tcPr>
                  <w:p w:rsidR="00405E34" w:rsidRDefault="00405E34" w:rsidP="00860468">
                    <w:pPr>
                      <w:jc w:val="right"/>
                      <w:rPr>
                        <w:szCs w:val="21"/>
                      </w:rPr>
                    </w:pPr>
                    <w:r>
                      <w:rPr>
                        <w:rFonts w:hint="eastAsia"/>
                        <w:color w:val="0000FF"/>
                        <w:szCs w:val="21"/>
                      </w:rPr>
                      <w:t xml:space="preserve">　</w:t>
                    </w:r>
                  </w:p>
                </w:tc>
              </w:sdtContent>
            </w:sdt>
            <w:sdt>
              <w:sdtPr>
                <w:rPr>
                  <w:szCs w:val="21"/>
                </w:rPr>
                <w:alias w:val="债务重组损益的说明（非经常性损益项目）"/>
                <w:tag w:val="_GBC_f43aef808f214d7383de39e3b6c398f4"/>
                <w:id w:val="117567416"/>
                <w:lock w:val="sdtLocked"/>
                <w:showingPlcHdr/>
                <w:dataBinding w:prefixMappings="xmlns:clcid-pte='clcid-pte'" w:xpath="/*/clcid-pte:FeiJingChangXingSunYiZhongZhaiWuZhongZuSunYiShuoMing[not(@periodRef)]" w:storeItemID="{89EBAB94-44A0-46A2-B712-30D997D04A6D}"/>
                <w:text/>
              </w:sdtPr>
              <w:sdtContent>
                <w:tc>
                  <w:tcPr>
                    <w:tcW w:w="1382" w:type="pct"/>
                    <w:vAlign w:val="center"/>
                  </w:tcPr>
                  <w:p w:rsidR="00405E34" w:rsidRDefault="00405E34" w:rsidP="00860468">
                    <w:pPr>
                      <w:jc w:val="right"/>
                      <w:rPr>
                        <w:szCs w:val="21"/>
                      </w:rPr>
                    </w:pPr>
                    <w:r>
                      <w:rPr>
                        <w:rFonts w:hint="eastAsia"/>
                        <w:color w:val="0000FF"/>
                        <w:szCs w:val="21"/>
                      </w:rPr>
                      <w:t xml:space="preserve">　</w:t>
                    </w:r>
                  </w:p>
                </w:tc>
              </w:sdtContent>
            </w:sdt>
          </w:tr>
          <w:tr w:rsidR="00405E34" w:rsidTr="00860468">
            <w:sdt>
              <w:sdtPr>
                <w:tag w:val="_PLD_36690c4bef8e47aa953ed83e202e410d"/>
                <w:id w:val="-1042204048"/>
                <w:lock w:val="sdtLocked"/>
              </w:sdtPr>
              <w:sdtContent>
                <w:tc>
                  <w:tcPr>
                    <w:tcW w:w="2241" w:type="pct"/>
                    <w:shd w:val="clear" w:color="auto" w:fill="auto"/>
                    <w:vAlign w:val="center"/>
                  </w:tcPr>
                  <w:p w:rsidR="00405E34" w:rsidRDefault="00405E34" w:rsidP="00860468">
                    <w:pPr>
                      <w:rPr>
                        <w:szCs w:val="21"/>
                      </w:rPr>
                    </w:pPr>
                    <w:r>
                      <w:rPr>
                        <w:rFonts w:hint="eastAsia"/>
                        <w:szCs w:val="21"/>
                      </w:rPr>
                      <w:t>企业重组费用，如安置职工的支出、整合费用等</w:t>
                    </w:r>
                  </w:p>
                </w:tc>
              </w:sdtContent>
            </w:sdt>
            <w:sdt>
              <w:sdtPr>
                <w:rPr>
                  <w:rFonts w:hint="eastAsia"/>
                  <w:szCs w:val="21"/>
                </w:rPr>
                <w:alias w:val="企业重组费用，如安置职工的支出、整合费用等（非经常性损益项目）"/>
                <w:tag w:val="_GBC_56ec47ca87774d5abcabbca8deefec34"/>
                <w:id w:val="889452377"/>
                <w:lock w:val="sdtLocked"/>
                <w:showingPlcHdr/>
                <w:dataBinding w:prefixMappings="xmlns:clcid-pte='clcid-pte'" w:xpath="/*/clcid-pte:QiYeZhongZuFeiYongRuAnZhiZhiGongDeZhiChuZhengHeFeiYongDeng[not(@periodRef)]" w:storeItemID="{89EBAB94-44A0-46A2-B712-30D997D04A6D}"/>
                <w:text/>
              </w:sdtPr>
              <w:sdtContent>
                <w:tc>
                  <w:tcPr>
                    <w:tcW w:w="1377" w:type="pct"/>
                    <w:shd w:val="clear" w:color="auto" w:fill="auto"/>
                    <w:vAlign w:val="center"/>
                  </w:tcPr>
                  <w:p w:rsidR="00405E34" w:rsidRDefault="00405E34" w:rsidP="00860468">
                    <w:pPr>
                      <w:jc w:val="right"/>
                      <w:rPr>
                        <w:szCs w:val="21"/>
                      </w:rPr>
                    </w:pPr>
                    <w:r>
                      <w:rPr>
                        <w:rFonts w:hint="eastAsia"/>
                        <w:color w:val="0000FF"/>
                        <w:szCs w:val="21"/>
                      </w:rPr>
                      <w:t xml:space="preserve">　</w:t>
                    </w:r>
                  </w:p>
                </w:tc>
              </w:sdtContent>
            </w:sdt>
            <w:sdt>
              <w:sdtPr>
                <w:rPr>
                  <w:szCs w:val="21"/>
                </w:rPr>
                <w:alias w:val="企业重组费用，如安置职工的支出、整合费用等的说明（非经常性损益项目）"/>
                <w:tag w:val="_GBC_a7c33259b38d4d119cc648f5a3558bfe"/>
                <w:id w:val="-1983690100"/>
                <w:lock w:val="sdtLocked"/>
                <w:showingPlcHdr/>
                <w:dataBinding w:prefixMappings="xmlns:clcid-pte='clcid-pte'" w:xpath="/*/clcid-pte:QiYeZhongZuFeiYongRuAnZhiZhiGongDeZhiChuZhengHeFeiYongDengShuoMing[not(@periodRef)]" w:storeItemID="{89EBAB94-44A0-46A2-B712-30D997D04A6D}"/>
                <w:text/>
              </w:sdtPr>
              <w:sdtContent>
                <w:tc>
                  <w:tcPr>
                    <w:tcW w:w="1382" w:type="pct"/>
                    <w:vAlign w:val="center"/>
                  </w:tcPr>
                  <w:p w:rsidR="00405E34" w:rsidRDefault="00405E34" w:rsidP="00860468">
                    <w:pPr>
                      <w:jc w:val="right"/>
                      <w:rPr>
                        <w:szCs w:val="21"/>
                      </w:rPr>
                    </w:pPr>
                    <w:r>
                      <w:rPr>
                        <w:rFonts w:hint="eastAsia"/>
                        <w:color w:val="0000FF"/>
                        <w:szCs w:val="21"/>
                      </w:rPr>
                      <w:t xml:space="preserve">　</w:t>
                    </w:r>
                  </w:p>
                </w:tc>
              </w:sdtContent>
            </w:sdt>
          </w:tr>
          <w:tr w:rsidR="00405E34" w:rsidTr="00860468">
            <w:sdt>
              <w:sdtPr>
                <w:tag w:val="_PLD_96c460441b004ae1a19c7e13461c5c75"/>
                <w:id w:val="677322289"/>
                <w:lock w:val="sdtLocked"/>
              </w:sdtPr>
              <w:sdtContent>
                <w:tc>
                  <w:tcPr>
                    <w:tcW w:w="2241" w:type="pct"/>
                    <w:shd w:val="clear" w:color="auto" w:fill="auto"/>
                    <w:vAlign w:val="center"/>
                  </w:tcPr>
                  <w:p w:rsidR="00405E34" w:rsidRDefault="00405E34" w:rsidP="00860468">
                    <w:pPr>
                      <w:rPr>
                        <w:szCs w:val="21"/>
                      </w:rPr>
                    </w:pPr>
                    <w:r>
                      <w:rPr>
                        <w:rFonts w:hint="eastAsia"/>
                        <w:szCs w:val="21"/>
                      </w:rPr>
                      <w:t>交易价格显失公允的交易产生的超过公允价值部分的损益</w:t>
                    </w:r>
                  </w:p>
                </w:tc>
              </w:sdtContent>
            </w:sdt>
            <w:sdt>
              <w:sdtPr>
                <w:rPr>
                  <w:rFonts w:hint="eastAsia"/>
                  <w:szCs w:val="21"/>
                </w:rPr>
                <w:alias w:val="交易价格显失公允的交易产生的超过公允价值部分的损益（非经常性损益项目）"/>
                <w:tag w:val="_GBC_6704ec57bd314db499ba1bfa7fe212ec"/>
                <w:id w:val="-1903365244"/>
                <w:lock w:val="sdtLocked"/>
                <w:showingPlcHdr/>
                <w:dataBinding w:prefixMappings="xmlns:clcid-pte='clcid-pte'" w:xpath="/*/clcid-pte:FeiJingChangXingSunYiZhongJiaoYiJiaGeXianShiGongYunDeJiaoYiChanShengDeSunYi[not(@periodRef)]" w:storeItemID="{89EBAB94-44A0-46A2-B712-30D997D04A6D}"/>
                <w:text/>
              </w:sdtPr>
              <w:sdtContent>
                <w:tc>
                  <w:tcPr>
                    <w:tcW w:w="1377" w:type="pct"/>
                    <w:shd w:val="clear" w:color="auto" w:fill="auto"/>
                    <w:vAlign w:val="center"/>
                  </w:tcPr>
                  <w:p w:rsidR="00405E34" w:rsidRDefault="00405E34" w:rsidP="00860468">
                    <w:pPr>
                      <w:jc w:val="right"/>
                      <w:rPr>
                        <w:szCs w:val="21"/>
                      </w:rPr>
                    </w:pPr>
                    <w:r>
                      <w:rPr>
                        <w:rFonts w:hint="eastAsia"/>
                        <w:color w:val="0000FF"/>
                        <w:szCs w:val="21"/>
                      </w:rPr>
                      <w:t xml:space="preserve">　</w:t>
                    </w:r>
                  </w:p>
                </w:tc>
              </w:sdtContent>
            </w:sdt>
            <w:sdt>
              <w:sdtPr>
                <w:rPr>
                  <w:szCs w:val="21"/>
                </w:rPr>
                <w:alias w:val="交易价格显失公允的交易产生的超过公允价值部分的损益的说明（非经常性损益项目）"/>
                <w:tag w:val="_GBC_8924193e761244e8b5efdfb510613a4f"/>
                <w:id w:val="1774508987"/>
                <w:lock w:val="sdtLocked"/>
                <w:showingPlcHdr/>
                <w:dataBinding w:prefixMappings="xmlns:clcid-pte='clcid-pte'" w:xpath="/*/clcid-pte:FeiJingChangXingSunYiZhongJiaoYiJiaGeXianShiGongYunDeJiaoYiChanShengDeSunYiShuoMing[not(@periodRef)]" w:storeItemID="{89EBAB94-44A0-46A2-B712-30D997D04A6D}"/>
                <w:text/>
              </w:sdtPr>
              <w:sdtContent>
                <w:tc>
                  <w:tcPr>
                    <w:tcW w:w="1382" w:type="pct"/>
                    <w:vAlign w:val="center"/>
                  </w:tcPr>
                  <w:p w:rsidR="00405E34" w:rsidRDefault="00405E34" w:rsidP="00860468">
                    <w:pPr>
                      <w:jc w:val="right"/>
                      <w:rPr>
                        <w:szCs w:val="21"/>
                      </w:rPr>
                    </w:pPr>
                    <w:r>
                      <w:rPr>
                        <w:rFonts w:hint="eastAsia"/>
                        <w:color w:val="0000FF"/>
                        <w:szCs w:val="21"/>
                      </w:rPr>
                      <w:t xml:space="preserve">　</w:t>
                    </w:r>
                  </w:p>
                </w:tc>
              </w:sdtContent>
            </w:sdt>
          </w:tr>
          <w:tr w:rsidR="00405E34" w:rsidTr="00860468">
            <w:sdt>
              <w:sdtPr>
                <w:tag w:val="_PLD_42cb9feac45d475db521c5436a75bf7e"/>
                <w:id w:val="-200638058"/>
                <w:lock w:val="sdtLocked"/>
              </w:sdtPr>
              <w:sdtContent>
                <w:tc>
                  <w:tcPr>
                    <w:tcW w:w="2241" w:type="pct"/>
                    <w:shd w:val="clear" w:color="auto" w:fill="auto"/>
                    <w:vAlign w:val="center"/>
                  </w:tcPr>
                  <w:p w:rsidR="00405E34" w:rsidRDefault="00405E34" w:rsidP="00860468">
                    <w:pPr>
                      <w:rPr>
                        <w:szCs w:val="21"/>
                      </w:rPr>
                    </w:pPr>
                    <w:r>
                      <w:rPr>
                        <w:rFonts w:hint="eastAsia"/>
                        <w:szCs w:val="21"/>
                      </w:rPr>
                      <w:t>同一控制下企业合并产生的子公司期初至合并日的当期净损益</w:t>
                    </w:r>
                  </w:p>
                </w:tc>
              </w:sdtContent>
            </w:sdt>
            <w:sdt>
              <w:sdtPr>
                <w:rPr>
                  <w:rFonts w:hint="eastAsia"/>
                  <w:szCs w:val="21"/>
                </w:rPr>
                <w:alias w:val="同一控制下企业合并产生的子公司期初至合并日的当期净损益（非经常性损益项目）"/>
                <w:tag w:val="_GBC_41b40e6e0f3848d69f00e71731aaf0e1"/>
                <w:id w:val="-1333068672"/>
                <w:lock w:val="sdtLocked"/>
                <w:showingPlcHdr/>
                <w:dataBinding w:prefixMappings="xmlns:clcid-pte='clcid-pte'" w:xpath="/*/clcid-pte:TongYiKongZhiXiaQiYeHeBingChanShengDeZiGongSiQiChuZhiHeBingRiDeDangQiJingSunYi[not(@periodRef)]" w:storeItemID="{89EBAB94-44A0-46A2-B712-30D997D04A6D}"/>
                <w:text/>
              </w:sdtPr>
              <w:sdtContent>
                <w:tc>
                  <w:tcPr>
                    <w:tcW w:w="1377" w:type="pct"/>
                    <w:shd w:val="clear" w:color="auto" w:fill="auto"/>
                    <w:vAlign w:val="center"/>
                  </w:tcPr>
                  <w:p w:rsidR="00405E34" w:rsidRDefault="00405E34" w:rsidP="00860468">
                    <w:pPr>
                      <w:jc w:val="right"/>
                      <w:rPr>
                        <w:szCs w:val="21"/>
                      </w:rPr>
                    </w:pPr>
                    <w:r>
                      <w:rPr>
                        <w:rFonts w:hint="eastAsia"/>
                        <w:color w:val="0000FF"/>
                        <w:szCs w:val="21"/>
                      </w:rPr>
                      <w:t xml:space="preserve">　</w:t>
                    </w:r>
                  </w:p>
                </w:tc>
              </w:sdtContent>
            </w:sdt>
            <w:sdt>
              <w:sdtPr>
                <w:rPr>
                  <w:szCs w:val="21"/>
                </w:rPr>
                <w:alias w:val="同一控制下企业合并产生的子公司期初至合并日的当期净损益的说明（非经常性损益项目）"/>
                <w:tag w:val="_GBC_b89a03114e86456eb0c9e31e114ed87a"/>
                <w:id w:val="809913307"/>
                <w:lock w:val="sdtLocked"/>
                <w:showingPlcHdr/>
                <w:dataBinding w:prefixMappings="xmlns:clcid-pte='clcid-pte'" w:xpath="/*/clcid-pte:TongYiKongZhiXiaQiYeHeBingChanShengDeZiGongSiQiChuZhiHeBingRiDeDangQiJingSunYiShuoMing[not(@periodRef)]" w:storeItemID="{89EBAB94-44A0-46A2-B712-30D997D04A6D}"/>
                <w:text/>
              </w:sdtPr>
              <w:sdtContent>
                <w:tc>
                  <w:tcPr>
                    <w:tcW w:w="1382" w:type="pct"/>
                    <w:vAlign w:val="center"/>
                  </w:tcPr>
                  <w:p w:rsidR="00405E34" w:rsidRDefault="00405E34" w:rsidP="00860468">
                    <w:pPr>
                      <w:jc w:val="right"/>
                      <w:rPr>
                        <w:szCs w:val="21"/>
                      </w:rPr>
                    </w:pPr>
                    <w:r>
                      <w:rPr>
                        <w:rFonts w:hint="eastAsia"/>
                        <w:color w:val="0000FF"/>
                        <w:szCs w:val="21"/>
                      </w:rPr>
                      <w:t xml:space="preserve">　</w:t>
                    </w:r>
                  </w:p>
                </w:tc>
              </w:sdtContent>
            </w:sdt>
          </w:tr>
          <w:tr w:rsidR="00405E34" w:rsidTr="00860468">
            <w:sdt>
              <w:sdtPr>
                <w:tag w:val="_PLD_7fc55b419222469eac67ff689744c277"/>
                <w:id w:val="1950274463"/>
                <w:lock w:val="sdtLocked"/>
              </w:sdtPr>
              <w:sdtContent>
                <w:tc>
                  <w:tcPr>
                    <w:tcW w:w="2241" w:type="pct"/>
                    <w:shd w:val="clear" w:color="auto" w:fill="auto"/>
                    <w:vAlign w:val="center"/>
                  </w:tcPr>
                  <w:p w:rsidR="00405E34" w:rsidRDefault="00405E34" w:rsidP="00860468">
                    <w:pPr>
                      <w:rPr>
                        <w:szCs w:val="21"/>
                      </w:rPr>
                    </w:pPr>
                    <w:r>
                      <w:rPr>
                        <w:rFonts w:hint="eastAsia"/>
                        <w:szCs w:val="21"/>
                      </w:rPr>
                      <w:t>与公司正常经营业务无关的或有事项产生的损益</w:t>
                    </w:r>
                  </w:p>
                </w:tc>
              </w:sdtContent>
            </w:sdt>
            <w:sdt>
              <w:sdtPr>
                <w:rPr>
                  <w:rFonts w:hint="eastAsia"/>
                  <w:szCs w:val="21"/>
                </w:rPr>
                <w:alias w:val="与公司正常经营业务无关的或有事项产生的损益（非经常性损益项目）"/>
                <w:tag w:val="_GBC_87c0e437c14d4dd3bd5dd001c159ec09"/>
                <w:id w:val="-541360386"/>
                <w:lock w:val="sdtLocked"/>
                <w:showingPlcHdr/>
                <w:dataBinding w:prefixMappings="xmlns:clcid-pte='clcid-pte'" w:xpath="/*/clcid-pte:YuGongSiZhuYingYeWuWuGuanDeYuJiFuZhaiChanShengDeSunYi[not(@periodRef)]" w:storeItemID="{89EBAB94-44A0-46A2-B712-30D997D04A6D}"/>
                <w:text/>
              </w:sdtPr>
              <w:sdtContent>
                <w:tc>
                  <w:tcPr>
                    <w:tcW w:w="1377" w:type="pct"/>
                    <w:shd w:val="clear" w:color="auto" w:fill="auto"/>
                    <w:vAlign w:val="center"/>
                  </w:tcPr>
                  <w:p w:rsidR="00405E34" w:rsidRDefault="00405E34" w:rsidP="00860468">
                    <w:pPr>
                      <w:jc w:val="right"/>
                      <w:rPr>
                        <w:szCs w:val="21"/>
                      </w:rPr>
                    </w:pPr>
                    <w:r>
                      <w:rPr>
                        <w:rFonts w:hint="eastAsia"/>
                        <w:color w:val="0000FF"/>
                        <w:szCs w:val="21"/>
                      </w:rPr>
                      <w:t xml:space="preserve">　</w:t>
                    </w:r>
                  </w:p>
                </w:tc>
              </w:sdtContent>
            </w:sdt>
            <w:sdt>
              <w:sdtPr>
                <w:rPr>
                  <w:szCs w:val="21"/>
                </w:rPr>
                <w:alias w:val="与公司正常经营业务无关的或有事项产生的损益的说明（非经常性损益项目）"/>
                <w:tag w:val="_GBC_c092dcb18a4049e7b48c3f5c5a57f1aa"/>
                <w:id w:val="919611825"/>
                <w:lock w:val="sdtLocked"/>
                <w:showingPlcHdr/>
                <w:dataBinding w:prefixMappings="xmlns:clcid-pte='clcid-pte'" w:xpath="/*/clcid-pte:YuGongSiZhuYingYeWuWuGuanDeYuJiFuZhaiChanShengDeSunYiShuoMing[not(@periodRef)]" w:storeItemID="{89EBAB94-44A0-46A2-B712-30D997D04A6D}"/>
                <w:text/>
              </w:sdtPr>
              <w:sdtContent>
                <w:tc>
                  <w:tcPr>
                    <w:tcW w:w="1382" w:type="pct"/>
                    <w:vAlign w:val="center"/>
                  </w:tcPr>
                  <w:p w:rsidR="00405E34" w:rsidRDefault="00405E34" w:rsidP="00860468">
                    <w:pPr>
                      <w:jc w:val="right"/>
                      <w:rPr>
                        <w:szCs w:val="21"/>
                      </w:rPr>
                    </w:pPr>
                    <w:r>
                      <w:rPr>
                        <w:rFonts w:hint="eastAsia"/>
                        <w:color w:val="0000FF"/>
                        <w:szCs w:val="21"/>
                      </w:rPr>
                      <w:t xml:space="preserve">　</w:t>
                    </w:r>
                  </w:p>
                </w:tc>
              </w:sdtContent>
            </w:sdt>
          </w:tr>
          <w:tr w:rsidR="00405E34" w:rsidTr="00860468">
            <w:tc>
              <w:tcPr>
                <w:tcW w:w="2241" w:type="pct"/>
                <w:shd w:val="clear" w:color="auto" w:fill="auto"/>
                <w:vAlign w:val="center"/>
              </w:tcPr>
              <w:sdt>
                <w:sdtPr>
                  <w:rPr>
                    <w:rFonts w:hint="eastAsia"/>
                  </w:rPr>
                  <w:tag w:val="_PLD_c8d1dda81a0f44c187552ba8e70f0013"/>
                  <w:id w:val="-1186978404"/>
                  <w:lock w:val="sdtLocked"/>
                </w:sdtPr>
                <w:sdtContent>
                  <w:p w:rsidR="00405E34" w:rsidRDefault="00405E34" w:rsidP="00860468">
                    <w:r>
                      <w:rPr>
                        <w:rFonts w:hint="eastAsia"/>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sdt>
              <w:sdtPr>
                <w:rPr>
                  <w:rFonts w:hint="eastAsia"/>
                  <w:szCs w:val="21"/>
                </w:rPr>
                <w:alias w:val="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非经常性损益项目）"/>
                <w:tag w:val="_GBC_30456754229745f0b97eaee273d2a4a1"/>
                <w:id w:val="412292990"/>
                <w:lock w:val="sdtLocked"/>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not(@periodRef)]" w:storeItemID="{89EBAB94-44A0-46A2-B712-30D997D04A6D}"/>
                <w:text/>
              </w:sdtPr>
              <w:sdtContent>
                <w:tc>
                  <w:tcPr>
                    <w:tcW w:w="1377" w:type="pct"/>
                    <w:shd w:val="clear" w:color="auto" w:fill="auto"/>
                    <w:vAlign w:val="center"/>
                  </w:tcPr>
                  <w:p w:rsidR="00405E34" w:rsidRDefault="00405E34" w:rsidP="00860468">
                    <w:pPr>
                      <w:jc w:val="right"/>
                      <w:rPr>
                        <w:szCs w:val="21"/>
                      </w:rPr>
                    </w:pPr>
                    <w:r w:rsidRPr="00405E34">
                      <w:rPr>
                        <w:szCs w:val="21"/>
                      </w:rPr>
                      <w:t>69,046,944</w:t>
                    </w:r>
                  </w:p>
                </w:tc>
              </w:sdtContent>
            </w:sdt>
            <w:sdt>
              <w:sdtPr>
                <w:rPr>
                  <w:szCs w:val="21"/>
                </w:rPr>
                <w:alias w:val="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的说明（非经常性损益项目）"/>
                <w:tag w:val="_GBC_e550f874b5b44395a6eea0cd28e58b6c"/>
                <w:id w:val="-1923176521"/>
                <w:lock w:val="sdtLocked"/>
                <w:showingPlcHdr/>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not(@periodRef)]" w:storeItemID="{89EBAB94-44A0-46A2-B712-30D997D04A6D}"/>
                <w:text/>
              </w:sdtPr>
              <w:sdtContent>
                <w:tc>
                  <w:tcPr>
                    <w:tcW w:w="1382" w:type="pct"/>
                    <w:vAlign w:val="center"/>
                  </w:tcPr>
                  <w:p w:rsidR="00405E34" w:rsidRDefault="007147E9" w:rsidP="007147E9">
                    <w:pPr>
                      <w:jc w:val="right"/>
                      <w:rPr>
                        <w:szCs w:val="21"/>
                      </w:rPr>
                    </w:pPr>
                    <w:r>
                      <w:rPr>
                        <w:szCs w:val="21"/>
                      </w:rPr>
                      <w:t xml:space="preserve">     </w:t>
                    </w:r>
                  </w:p>
                </w:tc>
              </w:sdtContent>
            </w:sdt>
          </w:tr>
          <w:tr w:rsidR="00405E34" w:rsidTr="00860468">
            <w:tc>
              <w:tcPr>
                <w:tcW w:w="2241" w:type="pct"/>
                <w:shd w:val="clear" w:color="auto" w:fill="auto"/>
                <w:vAlign w:val="center"/>
              </w:tcPr>
              <w:sdt>
                <w:sdtPr>
                  <w:rPr>
                    <w:rFonts w:hint="eastAsia"/>
                  </w:rPr>
                  <w:tag w:val="_PLD_96504db5fe914312bc672892fec5c25b"/>
                  <w:id w:val="1928930262"/>
                  <w:lock w:val="sdtLocked"/>
                </w:sdtPr>
                <w:sdtContent>
                  <w:p w:rsidR="00405E34" w:rsidRDefault="00405E34" w:rsidP="00860468">
                    <w:r>
                      <w:rPr>
                        <w:rFonts w:hint="eastAsia"/>
                      </w:rPr>
                      <w:t>单独进行减值测试的应收款项、合同资产减值准备转回</w:t>
                    </w:r>
                  </w:p>
                </w:sdtContent>
              </w:sdt>
            </w:tc>
            <w:sdt>
              <w:sdtPr>
                <w:rPr>
                  <w:rFonts w:hint="eastAsia"/>
                  <w:szCs w:val="21"/>
                </w:rPr>
                <w:alias w:val="单独进行减值测试的应收款项、合同资产减值准备转回（非经常性损益项目） "/>
                <w:tag w:val="_GBC_0dad62375b814507ac0f44483df2a2b4"/>
                <w:id w:val="103927617"/>
                <w:lock w:val="sdtLocked"/>
                <w:showingPlcHdr/>
                <w:dataBinding w:prefixMappings="xmlns:clcid-pte='clcid-pte'" w:xpath="/*/clcid-pte:DanDuJinXingJianZhiCeShiDeYingShouKuanXiangHeTongZiChanJianZhiZhunBeiZhuanHuiFeiJingChangXingSunYiXiangMu[not(@periodRef)]" w:storeItemID="{89EBAB94-44A0-46A2-B712-30D997D04A6D}"/>
                <w:text/>
              </w:sdtPr>
              <w:sdtContent>
                <w:tc>
                  <w:tcPr>
                    <w:tcW w:w="1377" w:type="pct"/>
                    <w:shd w:val="clear" w:color="auto" w:fill="auto"/>
                    <w:vAlign w:val="center"/>
                  </w:tcPr>
                  <w:p w:rsidR="00405E34" w:rsidRDefault="00405E34" w:rsidP="00860468">
                    <w:pPr>
                      <w:jc w:val="right"/>
                      <w:rPr>
                        <w:szCs w:val="21"/>
                      </w:rPr>
                    </w:pPr>
                    <w:r>
                      <w:rPr>
                        <w:rFonts w:hint="eastAsia"/>
                      </w:rPr>
                      <w:t xml:space="preserve">　</w:t>
                    </w:r>
                  </w:p>
                </w:tc>
              </w:sdtContent>
            </w:sdt>
            <w:sdt>
              <w:sdtPr>
                <w:rPr>
                  <w:szCs w:val="21"/>
                </w:rPr>
                <w:alias w:val="单独进行减值测试的应收款项、合同资产减值准备转回的说明（非经常性损益项目）"/>
                <w:tag w:val="_GBC_9bfa6a8beae249d79097f549d5202e73"/>
                <w:id w:val="1780760120"/>
                <w:lock w:val="sdtLocked"/>
                <w:showingPlcHdr/>
                <w:dataBinding w:prefixMappings="xmlns:clcid-pte='clcid-pte'" w:xpath="/*/clcid-pte:DanDuJinXingJianZhiCeShiDeYingShouKuanXiangHeTongZiChanJianZhiZhunBeiZhuanHuiDeShuoMingFeiJingChangXingSunYiXiangMu[not(@periodRef)]" w:storeItemID="{89EBAB94-44A0-46A2-B712-30D997D04A6D}"/>
                <w:text/>
              </w:sdtPr>
              <w:sdtContent>
                <w:tc>
                  <w:tcPr>
                    <w:tcW w:w="1382" w:type="pct"/>
                    <w:vAlign w:val="center"/>
                  </w:tcPr>
                  <w:p w:rsidR="00405E34" w:rsidRDefault="00405E34" w:rsidP="00860468">
                    <w:pPr>
                      <w:jc w:val="right"/>
                      <w:rPr>
                        <w:szCs w:val="21"/>
                      </w:rPr>
                    </w:pPr>
                    <w:r>
                      <w:rPr>
                        <w:rFonts w:hint="eastAsia"/>
                      </w:rPr>
                      <w:t xml:space="preserve">　</w:t>
                    </w:r>
                  </w:p>
                </w:tc>
              </w:sdtContent>
            </w:sdt>
          </w:tr>
          <w:tr w:rsidR="00405E34" w:rsidTr="00860468">
            <w:sdt>
              <w:sdtPr>
                <w:tag w:val="_PLD_0d0ce84cff764cbf94ba500578ddc45d"/>
                <w:id w:val="1196811426"/>
                <w:lock w:val="sdtLocked"/>
              </w:sdtPr>
              <w:sdtContent>
                <w:tc>
                  <w:tcPr>
                    <w:tcW w:w="2241" w:type="pct"/>
                    <w:shd w:val="clear" w:color="auto" w:fill="auto"/>
                    <w:vAlign w:val="center"/>
                  </w:tcPr>
                  <w:p w:rsidR="00405E34" w:rsidRDefault="00405E34" w:rsidP="00860468">
                    <w:pPr>
                      <w:rPr>
                        <w:szCs w:val="21"/>
                      </w:rPr>
                    </w:pPr>
                    <w:r>
                      <w:rPr>
                        <w:rFonts w:hint="eastAsia"/>
                        <w:szCs w:val="21"/>
                      </w:rPr>
                      <w:t>对外委托贷款取得的损益</w:t>
                    </w:r>
                  </w:p>
                </w:tc>
              </w:sdtContent>
            </w:sdt>
            <w:sdt>
              <w:sdtPr>
                <w:rPr>
                  <w:rFonts w:hint="eastAsia"/>
                  <w:szCs w:val="21"/>
                </w:rPr>
                <w:alias w:val="对外委托贷款取得的损益（非经常性损益项目）"/>
                <w:tag w:val="_GBC_27b47ed06c97431897415150396a2093"/>
                <w:id w:val="-2001566701"/>
                <w:lock w:val="sdtLocked"/>
                <w:showingPlcHdr/>
                <w:dataBinding w:prefixMappings="xmlns:clcid-pte='clcid-pte'" w:xpath="/*/clcid-pte:DuiWaiWeiTuoDaiKuanQuDeDeSunYi[not(@periodRef)]" w:storeItemID="{89EBAB94-44A0-46A2-B712-30D997D04A6D}"/>
                <w:text/>
              </w:sdtPr>
              <w:sdtContent>
                <w:tc>
                  <w:tcPr>
                    <w:tcW w:w="1377" w:type="pct"/>
                    <w:shd w:val="clear" w:color="auto" w:fill="auto"/>
                    <w:vAlign w:val="center"/>
                  </w:tcPr>
                  <w:p w:rsidR="00405E34" w:rsidRDefault="00405E34" w:rsidP="00860468">
                    <w:pPr>
                      <w:jc w:val="right"/>
                      <w:rPr>
                        <w:szCs w:val="21"/>
                      </w:rPr>
                    </w:pPr>
                    <w:r>
                      <w:rPr>
                        <w:rFonts w:hint="eastAsia"/>
                        <w:color w:val="0000FF"/>
                        <w:szCs w:val="21"/>
                      </w:rPr>
                      <w:t xml:space="preserve">　</w:t>
                    </w:r>
                  </w:p>
                </w:tc>
              </w:sdtContent>
            </w:sdt>
            <w:sdt>
              <w:sdtPr>
                <w:rPr>
                  <w:szCs w:val="21"/>
                </w:rPr>
                <w:alias w:val="对外委托贷款取得的损益的说明（非经常性损益项目）"/>
                <w:tag w:val="_GBC_72c375360c99465bb8170713ed413fe3"/>
                <w:id w:val="1116405074"/>
                <w:lock w:val="sdtLocked"/>
                <w:showingPlcHdr/>
                <w:dataBinding w:prefixMappings="xmlns:clcid-pte='clcid-pte'" w:xpath="/*/clcid-pte:DuiWaiWeiTuoDaiKuanQuDeDeSunYiShuoMing[not(@periodRef)]" w:storeItemID="{89EBAB94-44A0-46A2-B712-30D997D04A6D}"/>
                <w:text/>
              </w:sdtPr>
              <w:sdtContent>
                <w:tc>
                  <w:tcPr>
                    <w:tcW w:w="1382" w:type="pct"/>
                    <w:vAlign w:val="center"/>
                  </w:tcPr>
                  <w:p w:rsidR="00405E34" w:rsidRDefault="00405E34" w:rsidP="00860468">
                    <w:pPr>
                      <w:jc w:val="right"/>
                      <w:rPr>
                        <w:szCs w:val="21"/>
                      </w:rPr>
                    </w:pPr>
                    <w:r>
                      <w:rPr>
                        <w:rFonts w:hint="eastAsia"/>
                        <w:color w:val="0000FF"/>
                        <w:szCs w:val="21"/>
                      </w:rPr>
                      <w:t xml:space="preserve">　</w:t>
                    </w:r>
                  </w:p>
                </w:tc>
              </w:sdtContent>
            </w:sdt>
          </w:tr>
          <w:tr w:rsidR="00405E34" w:rsidTr="00860468">
            <w:sdt>
              <w:sdtPr>
                <w:tag w:val="_PLD_7681bf6967df4b049ee6f75b59a7329f"/>
                <w:id w:val="-1523696284"/>
                <w:lock w:val="sdtLocked"/>
              </w:sdtPr>
              <w:sdtContent>
                <w:tc>
                  <w:tcPr>
                    <w:tcW w:w="2241" w:type="pct"/>
                    <w:shd w:val="clear" w:color="auto" w:fill="auto"/>
                    <w:vAlign w:val="center"/>
                  </w:tcPr>
                  <w:p w:rsidR="00405E34" w:rsidRDefault="00405E34" w:rsidP="00860468">
                    <w:pPr>
                      <w:rPr>
                        <w:szCs w:val="21"/>
                      </w:rPr>
                    </w:pPr>
                    <w:r>
                      <w:rPr>
                        <w:rFonts w:hint="eastAsia"/>
                        <w:szCs w:val="21"/>
                      </w:rPr>
                      <w:t>采用公允价值模式进行后续计量的投资性房地产公允价值变动产生的损益</w:t>
                    </w:r>
                  </w:p>
                </w:tc>
              </w:sdtContent>
            </w:sdt>
            <w:sdt>
              <w:sdtPr>
                <w:rPr>
                  <w:rFonts w:hint="eastAsia"/>
                  <w:szCs w:val="21"/>
                </w:rPr>
                <w:alias w:val="采用公允价值模式进行后续计量的投资性房地产公允价值变动产生的损益（非经常性损益项目）"/>
                <w:tag w:val="_GBC_190716d7e441475687cb1bc366ad6b0c"/>
                <w:id w:val="1845435171"/>
                <w:lock w:val="sdtLocked"/>
                <w:showingPlcHdr/>
                <w:dataBinding w:prefixMappings="xmlns:clcid-pte='clcid-pte'" w:xpath="/*/clcid-pte:CaiYongGongYunJiaZhiMoShiJinXingHouXuJiLiangDeTouZiXingFangDiChanGongYunJiaZhiBianDongChanShengDeSunYi[not(@periodRef)]" w:storeItemID="{89EBAB94-44A0-46A2-B712-30D997D04A6D}"/>
                <w:text/>
              </w:sdtPr>
              <w:sdtContent>
                <w:tc>
                  <w:tcPr>
                    <w:tcW w:w="1377" w:type="pct"/>
                    <w:shd w:val="clear" w:color="auto" w:fill="auto"/>
                    <w:vAlign w:val="center"/>
                  </w:tcPr>
                  <w:p w:rsidR="00405E34" w:rsidRDefault="00405E34" w:rsidP="00860468">
                    <w:pPr>
                      <w:jc w:val="right"/>
                      <w:rPr>
                        <w:szCs w:val="21"/>
                      </w:rPr>
                    </w:pPr>
                    <w:r>
                      <w:rPr>
                        <w:rFonts w:hint="eastAsia"/>
                        <w:color w:val="0000FF"/>
                        <w:szCs w:val="21"/>
                      </w:rPr>
                      <w:t xml:space="preserve">　</w:t>
                    </w:r>
                  </w:p>
                </w:tc>
              </w:sdtContent>
            </w:sdt>
            <w:sdt>
              <w:sdtPr>
                <w:rPr>
                  <w:szCs w:val="21"/>
                </w:rPr>
                <w:alias w:val="采用公允价值模式进行后续计量的投资性房地产公允价值变动产生的损益的说明（非经常性损益项目）"/>
                <w:tag w:val="_GBC_c174c1c48c424f2b93a5298b3c87d544"/>
                <w:id w:val="1367713969"/>
                <w:lock w:val="sdtLocked"/>
                <w:showingPlcHdr/>
                <w:dataBinding w:prefixMappings="xmlns:clcid-pte='clcid-pte'" w:xpath="/*/clcid-pte:CaiYongGongYunJiaZhiMoShiJinXingHouXuJiLiangDeTouZiXingFangDiChanGongYunJiaZhiBianDongChanShengDeSunYiShuoMing[not(@periodRef)]" w:storeItemID="{89EBAB94-44A0-46A2-B712-30D997D04A6D}"/>
                <w:text/>
              </w:sdtPr>
              <w:sdtContent>
                <w:tc>
                  <w:tcPr>
                    <w:tcW w:w="1382" w:type="pct"/>
                    <w:vAlign w:val="center"/>
                  </w:tcPr>
                  <w:p w:rsidR="00405E34" w:rsidRDefault="00405E34" w:rsidP="00860468">
                    <w:pPr>
                      <w:jc w:val="right"/>
                      <w:rPr>
                        <w:szCs w:val="21"/>
                      </w:rPr>
                    </w:pPr>
                    <w:r>
                      <w:rPr>
                        <w:rFonts w:hint="eastAsia"/>
                        <w:color w:val="0000FF"/>
                        <w:szCs w:val="21"/>
                      </w:rPr>
                      <w:t xml:space="preserve">　</w:t>
                    </w:r>
                  </w:p>
                </w:tc>
              </w:sdtContent>
            </w:sdt>
          </w:tr>
          <w:tr w:rsidR="00405E34" w:rsidTr="00860468">
            <w:sdt>
              <w:sdtPr>
                <w:tag w:val="_PLD_2df64da7b21b4209afb1b2e1c87793a4"/>
                <w:id w:val="53664613"/>
                <w:lock w:val="sdtLocked"/>
              </w:sdtPr>
              <w:sdtContent>
                <w:tc>
                  <w:tcPr>
                    <w:tcW w:w="2241" w:type="pct"/>
                    <w:shd w:val="clear" w:color="auto" w:fill="auto"/>
                    <w:vAlign w:val="center"/>
                  </w:tcPr>
                  <w:p w:rsidR="00405E34" w:rsidRDefault="00405E34" w:rsidP="00860468">
                    <w:pPr>
                      <w:rPr>
                        <w:szCs w:val="21"/>
                      </w:rPr>
                    </w:pPr>
                    <w:r>
                      <w:rPr>
                        <w:rFonts w:hint="eastAsia"/>
                        <w:szCs w:val="21"/>
                      </w:rPr>
                      <w:t>根据税收、会计等法律、法规的要求对当期损益进行一次性调整对当期损益的影响</w:t>
                    </w:r>
                  </w:p>
                </w:tc>
              </w:sdtContent>
            </w:sdt>
            <w:sdt>
              <w:sdtPr>
                <w:rPr>
                  <w:rFonts w:hint="eastAsia"/>
                  <w:szCs w:val="21"/>
                </w:rPr>
                <w:alias w:val="根据税收、会计等法律、法规的要求对当期损益进行一次性调整对当期损益的影响（非经常性损益项目）"/>
                <w:tag w:val="_GBC_58c2953c03634423ac62d3dec1a8cbf0"/>
                <w:id w:val="157268658"/>
                <w:lock w:val="sdtLocked"/>
                <w:showingPlcHdr/>
                <w:dataBinding w:prefixMappings="xmlns:clcid-pte='clcid-pte'" w:xpath="/*/clcid-pte:GenJuShuiShouKuaiJiDengFaLvFaGuiDeYaoQiuDuiDangQiSunYiJinXingYiCiXingTiaoZhengDuiDangQiSunYiDeYingXiang[not(@periodRef)]" w:storeItemID="{89EBAB94-44A0-46A2-B712-30D997D04A6D}"/>
                <w:text/>
              </w:sdtPr>
              <w:sdtContent>
                <w:tc>
                  <w:tcPr>
                    <w:tcW w:w="1377" w:type="pct"/>
                    <w:shd w:val="clear" w:color="auto" w:fill="auto"/>
                    <w:vAlign w:val="center"/>
                  </w:tcPr>
                  <w:p w:rsidR="00405E34" w:rsidRDefault="00405E34" w:rsidP="00860468">
                    <w:pPr>
                      <w:jc w:val="right"/>
                      <w:rPr>
                        <w:szCs w:val="21"/>
                      </w:rPr>
                    </w:pPr>
                    <w:r>
                      <w:rPr>
                        <w:rFonts w:hint="eastAsia"/>
                        <w:color w:val="0000FF"/>
                        <w:szCs w:val="21"/>
                      </w:rPr>
                      <w:t xml:space="preserve">　</w:t>
                    </w:r>
                  </w:p>
                </w:tc>
              </w:sdtContent>
            </w:sdt>
            <w:sdt>
              <w:sdtPr>
                <w:rPr>
                  <w:szCs w:val="21"/>
                </w:rPr>
                <w:alias w:val="根据税收、会计等法律、法规的要求对当期损益进行一次性调整对当期损益的影响的说明（非经常性损益项目）"/>
                <w:tag w:val="_GBC_b3ddb30991974cd88ba33a7fc1b11cdc"/>
                <w:id w:val="-1839526721"/>
                <w:lock w:val="sdtLocked"/>
                <w:showingPlcHdr/>
                <w:dataBinding w:prefixMappings="xmlns:clcid-pte='clcid-pte'" w:xpath="/*/clcid-pte:GenJuShuiShouKuaiJiDengFaLvFaGuiDeYaoQiuDuiDangQiSunYiJinXingYiCiXingTiaoZhengDuiDangQiSunYiDeYingXiangShuoMing[not(@periodRef)]" w:storeItemID="{89EBAB94-44A0-46A2-B712-30D997D04A6D}"/>
                <w:text/>
              </w:sdtPr>
              <w:sdtContent>
                <w:tc>
                  <w:tcPr>
                    <w:tcW w:w="1382" w:type="pct"/>
                    <w:vAlign w:val="center"/>
                  </w:tcPr>
                  <w:p w:rsidR="00405E34" w:rsidRDefault="00405E34" w:rsidP="00860468">
                    <w:pPr>
                      <w:jc w:val="right"/>
                      <w:rPr>
                        <w:szCs w:val="21"/>
                      </w:rPr>
                    </w:pPr>
                    <w:r>
                      <w:rPr>
                        <w:rFonts w:hint="eastAsia"/>
                        <w:color w:val="0000FF"/>
                        <w:szCs w:val="21"/>
                      </w:rPr>
                      <w:t xml:space="preserve">　</w:t>
                    </w:r>
                  </w:p>
                </w:tc>
              </w:sdtContent>
            </w:sdt>
          </w:tr>
          <w:tr w:rsidR="00405E34" w:rsidTr="00860468">
            <w:sdt>
              <w:sdtPr>
                <w:tag w:val="_PLD_65e2f6f2a865433a904f980d5ad452f3"/>
                <w:id w:val="952745582"/>
                <w:lock w:val="sdtLocked"/>
              </w:sdtPr>
              <w:sdtContent>
                <w:tc>
                  <w:tcPr>
                    <w:tcW w:w="2241" w:type="pct"/>
                    <w:shd w:val="clear" w:color="auto" w:fill="auto"/>
                    <w:vAlign w:val="center"/>
                  </w:tcPr>
                  <w:p w:rsidR="00405E34" w:rsidRDefault="00405E34" w:rsidP="00860468">
                    <w:pPr>
                      <w:rPr>
                        <w:szCs w:val="21"/>
                      </w:rPr>
                    </w:pPr>
                    <w:r>
                      <w:rPr>
                        <w:rFonts w:hint="eastAsia"/>
                        <w:szCs w:val="21"/>
                      </w:rPr>
                      <w:t>受托经营取得的托管费收入</w:t>
                    </w:r>
                  </w:p>
                </w:tc>
              </w:sdtContent>
            </w:sdt>
            <w:sdt>
              <w:sdtPr>
                <w:rPr>
                  <w:rFonts w:hint="eastAsia"/>
                  <w:szCs w:val="21"/>
                </w:rPr>
                <w:alias w:val="受托经营取得的托管费收入（非经常性损益项目）"/>
                <w:tag w:val="_GBC_663696f2cd0a4fd2bdca4465abf7993f"/>
                <w:id w:val="-539127083"/>
                <w:lock w:val="sdtLocked"/>
                <w:showingPlcHdr/>
                <w:dataBinding w:prefixMappings="xmlns:clcid-pte='clcid-pte'" w:xpath="/*/clcid-pte:ShouTuoJingYingQuDeDeTuoGuanFeiShouRu[not(@periodRef)]" w:storeItemID="{89EBAB94-44A0-46A2-B712-30D997D04A6D}"/>
                <w:text/>
              </w:sdtPr>
              <w:sdtContent>
                <w:tc>
                  <w:tcPr>
                    <w:tcW w:w="1377" w:type="pct"/>
                    <w:shd w:val="clear" w:color="auto" w:fill="auto"/>
                    <w:vAlign w:val="center"/>
                  </w:tcPr>
                  <w:p w:rsidR="00405E34" w:rsidRDefault="00405E34" w:rsidP="00860468">
                    <w:pPr>
                      <w:jc w:val="right"/>
                      <w:rPr>
                        <w:szCs w:val="21"/>
                      </w:rPr>
                    </w:pPr>
                    <w:r>
                      <w:rPr>
                        <w:rFonts w:hint="eastAsia"/>
                        <w:color w:val="0000FF"/>
                        <w:szCs w:val="21"/>
                      </w:rPr>
                      <w:t xml:space="preserve">　</w:t>
                    </w:r>
                  </w:p>
                </w:tc>
              </w:sdtContent>
            </w:sdt>
            <w:sdt>
              <w:sdtPr>
                <w:rPr>
                  <w:szCs w:val="21"/>
                </w:rPr>
                <w:alias w:val="受托经营取得的托管费收入的说明（非经常性损益项目）"/>
                <w:tag w:val="_GBC_55cffaeec7534a328908ea82413d2702"/>
                <w:id w:val="1138143099"/>
                <w:lock w:val="sdtLocked"/>
                <w:showingPlcHdr/>
                <w:dataBinding w:prefixMappings="xmlns:clcid-pte='clcid-pte'" w:xpath="/*/clcid-pte:ShouTuoJingYingQuDeDeTuoGuanFeiShouRuShuoMing[not(@periodRef)]" w:storeItemID="{89EBAB94-44A0-46A2-B712-30D997D04A6D}"/>
                <w:text/>
              </w:sdtPr>
              <w:sdtContent>
                <w:tc>
                  <w:tcPr>
                    <w:tcW w:w="1382" w:type="pct"/>
                    <w:vAlign w:val="center"/>
                  </w:tcPr>
                  <w:p w:rsidR="00405E34" w:rsidRDefault="00405E34" w:rsidP="00860468">
                    <w:pPr>
                      <w:jc w:val="right"/>
                      <w:rPr>
                        <w:szCs w:val="21"/>
                      </w:rPr>
                    </w:pPr>
                    <w:r>
                      <w:rPr>
                        <w:rFonts w:hint="eastAsia"/>
                        <w:color w:val="0000FF"/>
                        <w:szCs w:val="21"/>
                      </w:rPr>
                      <w:t xml:space="preserve">　</w:t>
                    </w:r>
                  </w:p>
                </w:tc>
              </w:sdtContent>
            </w:sdt>
          </w:tr>
          <w:tr w:rsidR="00405E34" w:rsidTr="00860468">
            <w:sdt>
              <w:sdtPr>
                <w:tag w:val="_PLD_b0f68967a04b4a8a89df6132091b7461"/>
                <w:id w:val="1834564250"/>
                <w:lock w:val="sdtLocked"/>
              </w:sdtPr>
              <w:sdtContent>
                <w:tc>
                  <w:tcPr>
                    <w:tcW w:w="2241" w:type="pct"/>
                    <w:shd w:val="clear" w:color="auto" w:fill="auto"/>
                    <w:vAlign w:val="center"/>
                  </w:tcPr>
                  <w:p w:rsidR="00405E34" w:rsidRDefault="00405E34" w:rsidP="00860468">
                    <w:pPr>
                      <w:rPr>
                        <w:szCs w:val="21"/>
                      </w:rPr>
                    </w:pPr>
                    <w:r>
                      <w:rPr>
                        <w:rFonts w:hint="eastAsia"/>
                        <w:szCs w:val="21"/>
                      </w:rPr>
                      <w:t>除上述各项之外的其他营业外收入和支出</w:t>
                    </w:r>
                  </w:p>
                </w:tc>
              </w:sdtContent>
            </w:sdt>
            <w:sdt>
              <w:sdtPr>
                <w:rPr>
                  <w:rFonts w:hint="eastAsia"/>
                  <w:szCs w:val="21"/>
                </w:rPr>
                <w:alias w:val="除上述各项之外的其他营业外收入和支出（非经常性损益项目）"/>
                <w:tag w:val="_GBC_6402a2f652bb4c68acec62c34d96d8ab"/>
                <w:id w:val="1818215572"/>
                <w:lock w:val="sdtLocked"/>
                <w:dataBinding w:prefixMappings="xmlns:clcid-pte='clcid-pte'" w:xpath="/*/clcid-pte:ChuShangShuGeXiangZhiWaiDeQiTaYingYeWaiShouZhiJingE[not(@periodRef)]" w:storeItemID="{89EBAB94-44A0-46A2-B712-30D997D04A6D}"/>
                <w:text/>
              </w:sdtPr>
              <w:sdtContent>
                <w:tc>
                  <w:tcPr>
                    <w:tcW w:w="1377" w:type="pct"/>
                    <w:shd w:val="clear" w:color="auto" w:fill="auto"/>
                    <w:vAlign w:val="center"/>
                  </w:tcPr>
                  <w:p w:rsidR="00405E34" w:rsidRDefault="00405E34" w:rsidP="00860468">
                    <w:pPr>
                      <w:jc w:val="right"/>
                      <w:rPr>
                        <w:szCs w:val="21"/>
                      </w:rPr>
                    </w:pPr>
                    <w:r>
                      <w:rPr>
                        <w:rFonts w:hint="eastAsia"/>
                        <w:szCs w:val="21"/>
                      </w:rPr>
                      <w:t>-1,819,837</w:t>
                    </w:r>
                  </w:p>
                </w:tc>
              </w:sdtContent>
            </w:sdt>
            <w:sdt>
              <w:sdtPr>
                <w:rPr>
                  <w:szCs w:val="21"/>
                </w:rPr>
                <w:alias w:val="除上述各项之外的其他营业外收入和支出的说明（非经常性损益项目）"/>
                <w:tag w:val="_GBC_c4fc3e35307e455db3b9161cb811a087"/>
                <w:id w:val="-1230297398"/>
                <w:lock w:val="sdtLocked"/>
                <w:showingPlcHdr/>
                <w:dataBinding w:prefixMappings="xmlns:clcid-pte='clcid-pte'" w:xpath="/*/clcid-pte:ChuShangShuGeXiangZhiWaiDeQiTaYingYeWaiShouZhiJingEShuoMing[not(@periodRef)]" w:storeItemID="{89EBAB94-44A0-46A2-B712-30D997D04A6D}"/>
                <w:text/>
              </w:sdtPr>
              <w:sdtContent>
                <w:tc>
                  <w:tcPr>
                    <w:tcW w:w="1382" w:type="pct"/>
                    <w:vAlign w:val="center"/>
                  </w:tcPr>
                  <w:p w:rsidR="00405E34" w:rsidRDefault="007147E9" w:rsidP="007147E9">
                    <w:pPr>
                      <w:jc w:val="right"/>
                      <w:rPr>
                        <w:szCs w:val="21"/>
                      </w:rPr>
                    </w:pPr>
                    <w:r>
                      <w:rPr>
                        <w:szCs w:val="21"/>
                      </w:rPr>
                      <w:t xml:space="preserve">     </w:t>
                    </w:r>
                  </w:p>
                </w:tc>
              </w:sdtContent>
            </w:sdt>
          </w:tr>
          <w:sdt>
            <w:sdtPr>
              <w:rPr>
                <w:rFonts w:asciiTheme="minorHAnsi" w:eastAsiaTheme="minorEastAsia" w:hAnsiTheme="minorHAnsi" w:cstheme="minorBidi" w:hint="eastAsia"/>
                <w:kern w:val="2"/>
                <w:szCs w:val="21"/>
              </w:rPr>
              <w:alias w:val="扣除的非经常性损益"/>
              <w:tag w:val="_GBC_ae408d2619064c51be0ba5563e62d21d"/>
              <w:id w:val="1540242577"/>
              <w:lock w:val="sdtLocked"/>
              <w:placeholder>
                <w:docPart w:val="5838918C40D34FBA9096A1CE8D6A603D"/>
              </w:placeholder>
            </w:sdtPr>
            <w:sdtContent>
              <w:tr w:rsidR="00405E34" w:rsidTr="00860468">
                <w:tc>
                  <w:tcPr>
                    <w:tcW w:w="2241" w:type="pct"/>
                    <w:shd w:val="clear" w:color="auto" w:fill="auto"/>
                  </w:tcPr>
                  <w:p w:rsidR="00405E34" w:rsidRDefault="00405E34" w:rsidP="00860468">
                    <w:pPr>
                      <w:rPr>
                        <w:szCs w:val="21"/>
                      </w:rPr>
                    </w:pPr>
                    <w:r>
                      <w:rPr>
                        <w:rFonts w:asciiTheme="minorHAnsi" w:eastAsiaTheme="minorEastAsia" w:hAnsiTheme="minorHAnsi" w:cstheme="minorBidi" w:hint="eastAsia"/>
                        <w:kern w:val="2"/>
                        <w:szCs w:val="21"/>
                      </w:rPr>
                      <w:t>处置长期股权投资取得的投资收益</w:t>
                    </w:r>
                  </w:p>
                </w:tc>
                <w:tc>
                  <w:tcPr>
                    <w:tcW w:w="1377" w:type="pct"/>
                    <w:shd w:val="clear" w:color="auto" w:fill="auto"/>
                    <w:vAlign w:val="center"/>
                  </w:tcPr>
                  <w:p w:rsidR="00405E34" w:rsidRDefault="00405E34" w:rsidP="00860468">
                    <w:pPr>
                      <w:jc w:val="right"/>
                      <w:rPr>
                        <w:szCs w:val="21"/>
                      </w:rPr>
                    </w:pPr>
                    <w:r w:rsidRPr="00405E34">
                      <w:rPr>
                        <w:szCs w:val="21"/>
                      </w:rPr>
                      <w:t>140,300,332</w:t>
                    </w:r>
                  </w:p>
                </w:tc>
                <w:tc>
                  <w:tcPr>
                    <w:tcW w:w="1382" w:type="pct"/>
                    <w:vAlign w:val="center"/>
                  </w:tcPr>
                  <w:p w:rsidR="00405E34" w:rsidRDefault="00405E34" w:rsidP="00860468">
                    <w:pPr>
                      <w:jc w:val="right"/>
                      <w:rPr>
                        <w:szCs w:val="21"/>
                      </w:rPr>
                    </w:pPr>
                  </w:p>
                </w:tc>
              </w:tr>
            </w:sdtContent>
          </w:sdt>
          <w:tr w:rsidR="00405E34" w:rsidTr="00860468">
            <w:sdt>
              <w:sdtPr>
                <w:tag w:val="_PLD_659b510fa20e419f93068876515ea27a"/>
                <w:id w:val="-677583297"/>
                <w:lock w:val="sdtLocked"/>
              </w:sdtPr>
              <w:sdtContent>
                <w:tc>
                  <w:tcPr>
                    <w:tcW w:w="2241" w:type="pct"/>
                    <w:shd w:val="clear" w:color="auto" w:fill="auto"/>
                    <w:vAlign w:val="center"/>
                  </w:tcPr>
                  <w:p w:rsidR="00405E34" w:rsidRDefault="00405E34" w:rsidP="00860468">
                    <w:pPr>
                      <w:rPr>
                        <w:szCs w:val="21"/>
                      </w:rPr>
                    </w:pPr>
                    <w:r>
                      <w:rPr>
                        <w:rFonts w:hint="eastAsia"/>
                        <w:szCs w:val="21"/>
                      </w:rPr>
                      <w:t>其他符合非经常性损益定义的损益项目</w:t>
                    </w:r>
                  </w:p>
                </w:tc>
              </w:sdtContent>
            </w:sdt>
            <w:sdt>
              <w:sdtPr>
                <w:rPr>
                  <w:rFonts w:hint="eastAsia"/>
                  <w:szCs w:val="21"/>
                </w:rPr>
                <w:alias w:val="其他符合非经常性损益定义的损益项目（非经常性损益项目）"/>
                <w:tag w:val="_GBC_fe4d2d743517484083fb57df1a93df08"/>
                <w:id w:val="1534536607"/>
                <w:lock w:val="sdtLocked"/>
                <w:showingPlcHdr/>
                <w:dataBinding w:prefixMappings="xmlns:clcid-pte='clcid-pte'" w:xpath="/*/clcid-pte:QiTaFeiJingChangXingSunYiXiangMu[not(@periodRef)]" w:storeItemID="{89EBAB94-44A0-46A2-B712-30D997D04A6D}"/>
                <w:text/>
              </w:sdtPr>
              <w:sdtContent>
                <w:tc>
                  <w:tcPr>
                    <w:tcW w:w="1377" w:type="pct"/>
                    <w:shd w:val="clear" w:color="auto" w:fill="auto"/>
                    <w:vAlign w:val="center"/>
                  </w:tcPr>
                  <w:p w:rsidR="00405E34" w:rsidRDefault="00405E34" w:rsidP="00860468">
                    <w:pPr>
                      <w:jc w:val="right"/>
                      <w:rPr>
                        <w:szCs w:val="21"/>
                      </w:rPr>
                    </w:pPr>
                    <w:r>
                      <w:rPr>
                        <w:rFonts w:hint="eastAsia"/>
                        <w:color w:val="0000FF"/>
                        <w:szCs w:val="21"/>
                      </w:rPr>
                      <w:t xml:space="preserve">　</w:t>
                    </w:r>
                  </w:p>
                </w:tc>
              </w:sdtContent>
            </w:sdt>
            <w:sdt>
              <w:sdtPr>
                <w:rPr>
                  <w:rFonts w:hint="eastAsia"/>
                  <w:szCs w:val="21"/>
                </w:rPr>
                <w:alias w:val="其他符合非经常性损益定义的损益项目说明（非经常性损益项目）"/>
                <w:tag w:val="_GBC_88d5aaf5624d44b4a912d7c291f5337b"/>
                <w:id w:val="-1208018636"/>
                <w:lock w:val="sdtLocked"/>
                <w:showingPlcHdr/>
                <w:dataBinding w:prefixMappings="xmlns:clcid-pte='clcid-pte'" w:xpath="/*/clcid-pte:QiTaFeiJingChangXingSunYiXiangMuShuoMing[not(@periodRef)]" w:storeItemID="{89EBAB94-44A0-46A2-B712-30D997D04A6D}"/>
                <w:text/>
              </w:sdtPr>
              <w:sdtContent>
                <w:tc>
                  <w:tcPr>
                    <w:tcW w:w="1382" w:type="pct"/>
                    <w:vAlign w:val="center"/>
                  </w:tcPr>
                  <w:p w:rsidR="00405E34" w:rsidRDefault="00405E34" w:rsidP="00860468">
                    <w:pPr>
                      <w:jc w:val="right"/>
                      <w:rPr>
                        <w:szCs w:val="21"/>
                      </w:rPr>
                    </w:pPr>
                    <w:r>
                      <w:rPr>
                        <w:rFonts w:hint="eastAsia"/>
                        <w:color w:val="0000FF"/>
                        <w:szCs w:val="21"/>
                      </w:rPr>
                      <w:t xml:space="preserve">　</w:t>
                    </w:r>
                  </w:p>
                </w:tc>
              </w:sdtContent>
            </w:sdt>
          </w:tr>
          <w:sdt>
            <w:sdtPr>
              <w:rPr>
                <w:rFonts w:asciiTheme="minorHAnsi" w:eastAsiaTheme="minorEastAsia" w:hAnsiTheme="minorHAnsi" w:cstheme="minorBidi" w:hint="eastAsia"/>
                <w:kern w:val="2"/>
                <w:szCs w:val="21"/>
              </w:rPr>
              <w:alias w:val="扣除的非经常性损益"/>
              <w:tag w:val="_GBC_ae408d2619064c51be0ba5563e62d21d"/>
              <w:id w:val="-235168157"/>
              <w:lock w:val="sdtLocked"/>
              <w:placeholder>
                <w:docPart w:val="5838918C40D34FBA9096A1CE8D6A603D"/>
              </w:placeholder>
            </w:sdtPr>
            <w:sdtContent>
              <w:tr w:rsidR="00405E34" w:rsidTr="00860468">
                <w:tc>
                  <w:tcPr>
                    <w:tcW w:w="2241" w:type="pct"/>
                    <w:shd w:val="clear" w:color="auto" w:fill="auto"/>
                  </w:tcPr>
                  <w:p w:rsidR="00405E34" w:rsidRDefault="00405E34" w:rsidP="00860468">
                    <w:pPr>
                      <w:rPr>
                        <w:szCs w:val="21"/>
                      </w:rPr>
                    </w:pPr>
                  </w:p>
                </w:tc>
                <w:tc>
                  <w:tcPr>
                    <w:tcW w:w="1377" w:type="pct"/>
                    <w:shd w:val="clear" w:color="auto" w:fill="auto"/>
                    <w:vAlign w:val="center"/>
                  </w:tcPr>
                  <w:p w:rsidR="00405E34" w:rsidRDefault="00405E34" w:rsidP="00860468">
                    <w:pPr>
                      <w:jc w:val="right"/>
                      <w:rPr>
                        <w:szCs w:val="21"/>
                      </w:rPr>
                    </w:pPr>
                  </w:p>
                </w:tc>
                <w:tc>
                  <w:tcPr>
                    <w:tcW w:w="1382" w:type="pct"/>
                    <w:vAlign w:val="center"/>
                  </w:tcPr>
                  <w:p w:rsidR="00405E34" w:rsidRDefault="00405E34" w:rsidP="00860468">
                    <w:pPr>
                      <w:jc w:val="right"/>
                      <w:rPr>
                        <w:szCs w:val="21"/>
                      </w:rPr>
                    </w:pPr>
                  </w:p>
                </w:tc>
              </w:tr>
            </w:sdtContent>
          </w:sdt>
          <w:sdt>
            <w:sdtPr>
              <w:rPr>
                <w:rFonts w:asciiTheme="minorHAnsi" w:eastAsiaTheme="minorEastAsia" w:hAnsiTheme="minorHAnsi" w:cstheme="minorBidi" w:hint="eastAsia"/>
                <w:kern w:val="2"/>
                <w:szCs w:val="21"/>
              </w:rPr>
              <w:alias w:val="扣除的非经常性损益"/>
              <w:tag w:val="_GBC_ae408d2619064c51be0ba5563e62d21d"/>
              <w:id w:val="-1974971721"/>
              <w:lock w:val="sdtLocked"/>
              <w:placeholder>
                <w:docPart w:val="5838918C40D34FBA9096A1CE8D6A603D"/>
              </w:placeholder>
            </w:sdtPr>
            <w:sdtContent>
              <w:tr w:rsidR="00405E34" w:rsidTr="00860468">
                <w:tc>
                  <w:tcPr>
                    <w:tcW w:w="2241" w:type="pct"/>
                    <w:shd w:val="clear" w:color="auto" w:fill="auto"/>
                  </w:tcPr>
                  <w:p w:rsidR="00405E34" w:rsidRDefault="00405E34" w:rsidP="00860468">
                    <w:pPr>
                      <w:rPr>
                        <w:szCs w:val="21"/>
                      </w:rPr>
                    </w:pPr>
                  </w:p>
                </w:tc>
                <w:tc>
                  <w:tcPr>
                    <w:tcW w:w="1377" w:type="pct"/>
                    <w:shd w:val="clear" w:color="auto" w:fill="auto"/>
                    <w:vAlign w:val="center"/>
                  </w:tcPr>
                  <w:p w:rsidR="00405E34" w:rsidRDefault="00405E34" w:rsidP="00860468">
                    <w:pPr>
                      <w:jc w:val="right"/>
                      <w:rPr>
                        <w:szCs w:val="21"/>
                      </w:rPr>
                    </w:pPr>
                  </w:p>
                </w:tc>
                <w:tc>
                  <w:tcPr>
                    <w:tcW w:w="1382" w:type="pct"/>
                    <w:vAlign w:val="center"/>
                  </w:tcPr>
                  <w:p w:rsidR="00405E34" w:rsidRDefault="00405E34" w:rsidP="00860468">
                    <w:pPr>
                      <w:jc w:val="right"/>
                      <w:rPr>
                        <w:szCs w:val="21"/>
                      </w:rPr>
                    </w:pPr>
                  </w:p>
                </w:tc>
              </w:tr>
            </w:sdtContent>
          </w:sdt>
          <w:tr w:rsidR="00405E34" w:rsidTr="00860468">
            <w:sdt>
              <w:sdtPr>
                <w:tag w:val="_PLD_8cbcd160f56e4221a63548c56021b209"/>
                <w:id w:val="-2086751543"/>
                <w:lock w:val="sdtLocked"/>
              </w:sdtPr>
              <w:sdtContent>
                <w:tc>
                  <w:tcPr>
                    <w:tcW w:w="2241" w:type="pct"/>
                    <w:shd w:val="clear" w:color="auto" w:fill="auto"/>
                    <w:vAlign w:val="center"/>
                  </w:tcPr>
                  <w:p w:rsidR="00405E34" w:rsidRDefault="00405E34" w:rsidP="00860468">
                    <w:pPr>
                      <w:rPr>
                        <w:szCs w:val="21"/>
                      </w:rPr>
                    </w:pPr>
                    <w:r>
                      <w:rPr>
                        <w:rFonts w:hint="eastAsia"/>
                        <w:szCs w:val="21"/>
                      </w:rPr>
                      <w:t>所得税影响额</w:t>
                    </w:r>
                  </w:p>
                </w:tc>
              </w:sdtContent>
            </w:sdt>
            <w:sdt>
              <w:sdtPr>
                <w:rPr>
                  <w:rFonts w:hint="eastAsia"/>
                  <w:szCs w:val="21"/>
                </w:rPr>
                <w:alias w:val="非经常性损益_对所得税的影响"/>
                <w:tag w:val="_GBC_7c06520ea03942669b02b787ffcbb214"/>
                <w:id w:val="628204780"/>
                <w:lock w:val="sdtLocked"/>
                <w:dataBinding w:prefixMappings="xmlns:clcid-pte='clcid-pte'" w:xpath="/*/clcid-pte:FeiJingChangXingSunYiDeKouChuXiangMuDuiSuoDeShuiDeYingXiang[not(@periodRef)]" w:storeItemID="{89EBAB94-44A0-46A2-B712-30D997D04A6D}"/>
                <w:text/>
              </w:sdtPr>
              <w:sdtContent>
                <w:tc>
                  <w:tcPr>
                    <w:tcW w:w="1377" w:type="pct"/>
                    <w:shd w:val="clear" w:color="auto" w:fill="auto"/>
                    <w:vAlign w:val="center"/>
                  </w:tcPr>
                  <w:p w:rsidR="00405E34" w:rsidRDefault="00405E34" w:rsidP="00860468">
                    <w:pPr>
                      <w:jc w:val="right"/>
                      <w:rPr>
                        <w:szCs w:val="21"/>
                      </w:rPr>
                    </w:pPr>
                    <w:r>
                      <w:rPr>
                        <w:rFonts w:hint="eastAsia"/>
                        <w:szCs w:val="21"/>
                      </w:rPr>
                      <w:t>-17,364,750</w:t>
                    </w:r>
                  </w:p>
                </w:tc>
              </w:sdtContent>
            </w:sdt>
            <w:sdt>
              <w:sdtPr>
                <w:rPr>
                  <w:szCs w:val="21"/>
                </w:rPr>
                <w:alias w:val="所得税影响额的说明（非经常性损益项目）"/>
                <w:tag w:val="_GBC_7ed1b962000f41dc8da48b033f074791"/>
                <w:id w:val="1663971627"/>
                <w:lock w:val="sdtLocked"/>
                <w:showingPlcHdr/>
                <w:dataBinding w:prefixMappings="xmlns:clcid-pte='clcid-pte'" w:xpath="/*/clcid-pte:FeiJingChangXingSunYiDeKouChuXiangMuDuiSuoDeShuiDeYingXiangShuoMing[not(@periodRef)]" w:storeItemID="{89EBAB94-44A0-46A2-B712-30D997D04A6D}"/>
                <w:text/>
              </w:sdtPr>
              <w:sdtContent>
                <w:tc>
                  <w:tcPr>
                    <w:tcW w:w="1382" w:type="pct"/>
                    <w:vAlign w:val="center"/>
                  </w:tcPr>
                  <w:p w:rsidR="00405E34" w:rsidRDefault="007147E9" w:rsidP="007147E9">
                    <w:pPr>
                      <w:jc w:val="right"/>
                      <w:rPr>
                        <w:szCs w:val="21"/>
                      </w:rPr>
                    </w:pPr>
                    <w:r>
                      <w:rPr>
                        <w:szCs w:val="21"/>
                      </w:rPr>
                      <w:t xml:space="preserve">     </w:t>
                    </w:r>
                  </w:p>
                </w:tc>
              </w:sdtContent>
            </w:sdt>
          </w:tr>
          <w:tr w:rsidR="00405E34" w:rsidTr="00860468">
            <w:sdt>
              <w:sdtPr>
                <w:tag w:val="_PLD_f8bdffd50d284f23ab4d0b1e6b4b1b9e"/>
                <w:id w:val="-1696918440"/>
                <w:lock w:val="sdtLocked"/>
              </w:sdtPr>
              <w:sdtContent>
                <w:tc>
                  <w:tcPr>
                    <w:tcW w:w="2241" w:type="pct"/>
                    <w:shd w:val="clear" w:color="auto" w:fill="auto"/>
                    <w:vAlign w:val="center"/>
                  </w:tcPr>
                  <w:p w:rsidR="00405E34" w:rsidRDefault="00405E34" w:rsidP="00860468">
                    <w:pPr>
                      <w:rPr>
                        <w:szCs w:val="21"/>
                      </w:rPr>
                    </w:pPr>
                    <w:r>
                      <w:rPr>
                        <w:rFonts w:hint="eastAsia"/>
                        <w:szCs w:val="21"/>
                      </w:rPr>
                      <w:t>少数股东权益影响额</w:t>
                    </w:r>
                  </w:p>
                </w:tc>
              </w:sdtContent>
            </w:sdt>
            <w:sdt>
              <w:sdtPr>
                <w:rPr>
                  <w:rFonts w:hint="eastAsia"/>
                  <w:szCs w:val="21"/>
                </w:rPr>
                <w:alias w:val="少数股东权益影响额（非经常性损益项目）"/>
                <w:tag w:val="_GBC_285f00e961c943a8a9d140a4d52403f1"/>
                <w:id w:val="-888952282"/>
                <w:lock w:val="sdtLocked"/>
                <w:showingPlcHdr/>
                <w:dataBinding w:prefixMappings="xmlns:clcid-pte='clcid-pte'" w:xpath="/*/clcid-pte:FeiJingChangXingSunYiXiangMuZhongShaoShuGuDongQuanYiYingXiangE[not(@periodRef)]" w:storeItemID="{89EBAB94-44A0-46A2-B712-30D997D04A6D}"/>
                <w:text/>
              </w:sdtPr>
              <w:sdtContent>
                <w:tc>
                  <w:tcPr>
                    <w:tcW w:w="1377" w:type="pct"/>
                    <w:shd w:val="clear" w:color="auto" w:fill="auto"/>
                    <w:vAlign w:val="center"/>
                  </w:tcPr>
                  <w:p w:rsidR="00405E34" w:rsidRDefault="00405E34" w:rsidP="00860468">
                    <w:pPr>
                      <w:jc w:val="right"/>
                      <w:rPr>
                        <w:szCs w:val="21"/>
                      </w:rPr>
                    </w:pPr>
                    <w:r>
                      <w:rPr>
                        <w:rFonts w:hint="eastAsia"/>
                        <w:color w:val="0000FF"/>
                        <w:szCs w:val="21"/>
                      </w:rPr>
                      <w:t xml:space="preserve">　</w:t>
                    </w:r>
                  </w:p>
                </w:tc>
              </w:sdtContent>
            </w:sdt>
            <w:sdt>
              <w:sdtPr>
                <w:rPr>
                  <w:szCs w:val="21"/>
                </w:rPr>
                <w:alias w:val="少数股东权益影响额的说明（非经常性损益项目）"/>
                <w:tag w:val="_GBC_c9a288fb29d348cbb8d20de9f399a549"/>
                <w:id w:val="-517927486"/>
                <w:lock w:val="sdtLocked"/>
                <w:showingPlcHdr/>
                <w:dataBinding w:prefixMappings="xmlns:clcid-pte='clcid-pte'" w:xpath="/*/clcid-pte:FeiJingChangXingSunYiXiangMuZhongShaoShuGuDongQuanYiYingXiangEShuoMing[not(@periodRef)]" w:storeItemID="{89EBAB94-44A0-46A2-B712-30D997D04A6D}"/>
                <w:text/>
              </w:sdtPr>
              <w:sdtContent>
                <w:tc>
                  <w:tcPr>
                    <w:tcW w:w="1382" w:type="pct"/>
                    <w:vAlign w:val="center"/>
                  </w:tcPr>
                  <w:p w:rsidR="00405E34" w:rsidRDefault="00405E34" w:rsidP="00860468">
                    <w:pPr>
                      <w:jc w:val="right"/>
                      <w:rPr>
                        <w:szCs w:val="21"/>
                      </w:rPr>
                    </w:pPr>
                    <w:r>
                      <w:rPr>
                        <w:rFonts w:hint="eastAsia"/>
                        <w:color w:val="0000FF"/>
                        <w:szCs w:val="21"/>
                      </w:rPr>
                      <w:t xml:space="preserve">　</w:t>
                    </w:r>
                  </w:p>
                </w:tc>
              </w:sdtContent>
            </w:sdt>
          </w:tr>
          <w:tr w:rsidR="00405E34" w:rsidTr="00860468">
            <w:sdt>
              <w:sdtPr>
                <w:tag w:val="_PLD_f4375b3f262d423d9aed45796f2bf18d"/>
                <w:id w:val="670217440"/>
                <w:lock w:val="sdtLocked"/>
              </w:sdtPr>
              <w:sdtContent>
                <w:tc>
                  <w:tcPr>
                    <w:tcW w:w="2241" w:type="pct"/>
                    <w:shd w:val="clear" w:color="auto" w:fill="auto"/>
                    <w:vAlign w:val="center"/>
                  </w:tcPr>
                  <w:p w:rsidR="00405E34" w:rsidRDefault="00405E34" w:rsidP="00860468">
                    <w:pPr>
                      <w:jc w:val="center"/>
                      <w:rPr>
                        <w:szCs w:val="21"/>
                      </w:rPr>
                    </w:pPr>
                    <w:r>
                      <w:rPr>
                        <w:rFonts w:hint="eastAsia"/>
                        <w:szCs w:val="21"/>
                      </w:rPr>
                      <w:t>合计</w:t>
                    </w:r>
                  </w:p>
                </w:tc>
              </w:sdtContent>
            </w:sdt>
            <w:sdt>
              <w:sdtPr>
                <w:rPr>
                  <w:rFonts w:hint="eastAsia"/>
                  <w:szCs w:val="21"/>
                </w:rPr>
                <w:alias w:val="扣除的非经常性损益合计"/>
                <w:tag w:val="_GBC_dbd56aa5278f45e1a3a0a62cc2b32d3d"/>
                <w:id w:val="1235359775"/>
                <w:lock w:val="sdtLocked"/>
                <w:dataBinding w:prefixMappings="xmlns:clcid-pte='clcid-pte'" w:xpath="/*/clcid-pte:KouChuDeFeiJingChangXingSunYiHeJi[not(@periodRef)]" w:storeItemID="{89EBAB94-44A0-46A2-B712-30D997D04A6D}"/>
                <w:text/>
              </w:sdtPr>
              <w:sdtContent>
                <w:tc>
                  <w:tcPr>
                    <w:tcW w:w="1377" w:type="pct"/>
                    <w:shd w:val="clear" w:color="auto" w:fill="auto"/>
                    <w:vAlign w:val="center"/>
                  </w:tcPr>
                  <w:p w:rsidR="00405E34" w:rsidRDefault="00405E34" w:rsidP="00860468">
                    <w:pPr>
                      <w:jc w:val="right"/>
                      <w:rPr>
                        <w:szCs w:val="21"/>
                      </w:rPr>
                    </w:pPr>
                    <w:r>
                      <w:rPr>
                        <w:rFonts w:hint="eastAsia"/>
                        <w:szCs w:val="21"/>
                      </w:rPr>
                      <w:t>218,083,027</w:t>
                    </w:r>
                  </w:p>
                </w:tc>
              </w:sdtContent>
            </w:sdt>
            <w:sdt>
              <w:sdtPr>
                <w:rPr>
                  <w:rFonts w:hint="eastAsia"/>
                  <w:szCs w:val="21"/>
                </w:rPr>
                <w:alias w:val="扣除的非经常性损益合计说明"/>
                <w:tag w:val="_GBC_fd47d890fc7a493192e451b6575f5e8a"/>
                <w:id w:val="-1150441779"/>
                <w:lock w:val="sdtLocked"/>
                <w:showingPlcHdr/>
                <w:dataBinding w:prefixMappings="xmlns:clcid-pte='clcid-pte'" w:xpath="/*/clcid-pte:KouChuDeFeiJingChangXingSunYiHeJiShuoMing[not(@periodRef)]" w:storeItemID="{89EBAB94-44A0-46A2-B712-30D997D04A6D}"/>
                <w:text/>
              </w:sdtPr>
              <w:sdtContent>
                <w:tc>
                  <w:tcPr>
                    <w:tcW w:w="1382" w:type="pct"/>
                    <w:vAlign w:val="center"/>
                  </w:tcPr>
                  <w:p w:rsidR="00405E34" w:rsidRDefault="007147E9" w:rsidP="007147E9">
                    <w:pPr>
                      <w:jc w:val="right"/>
                      <w:rPr>
                        <w:szCs w:val="21"/>
                      </w:rPr>
                    </w:pPr>
                    <w:r>
                      <w:rPr>
                        <w:szCs w:val="21"/>
                      </w:rPr>
                      <w:t xml:space="preserve">     </w:t>
                    </w:r>
                  </w:p>
                </w:tc>
              </w:sdtContent>
            </w:sdt>
          </w:tr>
        </w:tbl>
        <w:p w:rsidR="00405E34" w:rsidRDefault="00405E34"/>
        <w:p w:rsidR="00ED2DC7" w:rsidRDefault="000D0A99"/>
      </w:sdtContent>
    </w:sdt>
    <w:bookmarkEnd w:id="276" w:displacedByCustomXml="prev"/>
    <w:sdt>
      <w:sdtPr>
        <w:rPr>
          <w:rFonts w:hint="eastAsia"/>
          <w:szCs w:val="21"/>
        </w:rPr>
        <w:alias w:val="模块:对公司根据《公开发行证券的公司信息披露解释性公告第1号——非..."/>
        <w:tag w:val="_GBC_7944e47348cd4cd186b958ba1902ea3f"/>
        <w:id w:val="347601446"/>
        <w:lock w:val="sdtLocked"/>
        <w:placeholder>
          <w:docPart w:val="GBC22222222222222222222222222222"/>
        </w:placeholder>
      </w:sdtPr>
      <w:sdtEndPr>
        <w:rPr>
          <w:rFonts w:ascii="Times New Roman" w:hAnsi="Times New Roman"/>
        </w:rPr>
      </w:sdtEndPr>
      <w:sdtContent>
        <w:p w:rsidR="00ED2DC7" w:rsidRDefault="00ED2DC7">
          <w:pPr>
            <w:rPr>
              <w:szCs w:val="21"/>
            </w:rPr>
          </w:pPr>
          <w:r>
            <w:rPr>
              <w:rFonts w:hint="eastAsia"/>
              <w:szCs w:val="21"/>
            </w:rPr>
            <w:t>对公司根据《公开发行证券的公司信息披露解释性公告第</w:t>
          </w:r>
          <w:r>
            <w:rPr>
              <w:szCs w:val="21"/>
            </w:rPr>
            <w:t>1号——非经常性损益》定义界定的非经常性损益项目，以及把《公开发行证券的公司信息披露解释性公告第1号——非经常性损益》中列举的非经常性损益项目界定为经常性损益的项目，应说明原因。</w:t>
          </w:r>
        </w:p>
        <w:p w:rsidR="00ED2DC7" w:rsidRDefault="000D0A99" w:rsidP="0001523F">
          <w:pPr>
            <w:rPr>
              <w:szCs w:val="21"/>
            </w:rPr>
          </w:pPr>
          <w:sdt>
            <w:sdtPr>
              <w:rPr>
                <w:szCs w:val="21"/>
              </w:rPr>
              <w:alias w:val="是否适用：将非经常性损益项目界定为经常性损益项目[双击切换]"/>
              <w:tag w:val="_GBC_5f8a059d4da1440d8ef10197ecd89cd6"/>
              <w:id w:val="-898058802"/>
              <w:lock w:val="sdtContentLocked"/>
              <w:placeholder>
                <w:docPart w:val="GBC22222222222222222222222222222"/>
              </w:placeholder>
            </w:sdtPr>
            <w:sdtContent>
              <w:r w:rsidR="00ED2DC7">
                <w:rPr>
                  <w:szCs w:val="21"/>
                </w:rPr>
                <w:fldChar w:fldCharType="begin"/>
              </w:r>
              <w:r w:rsidR="0001523F">
                <w:rPr>
                  <w:szCs w:val="21"/>
                </w:rPr>
                <w:instrText xml:space="preserve"> MACROBUTTON  SnrToggleCheckbox □适用 </w:instrText>
              </w:r>
              <w:r w:rsidR="00ED2DC7">
                <w:rPr>
                  <w:szCs w:val="21"/>
                </w:rPr>
                <w:fldChar w:fldCharType="end"/>
              </w:r>
              <w:r w:rsidR="00ED2DC7">
                <w:rPr>
                  <w:szCs w:val="21"/>
                </w:rPr>
                <w:fldChar w:fldCharType="begin"/>
              </w:r>
              <w:r w:rsidR="0001523F">
                <w:rPr>
                  <w:szCs w:val="21"/>
                </w:rPr>
                <w:instrText xml:space="preserve"> MACROBUTTON  SnrToggleCheckbox √不适用 </w:instrText>
              </w:r>
              <w:r w:rsidR="00ED2DC7">
                <w:rPr>
                  <w:szCs w:val="21"/>
                </w:rPr>
                <w:fldChar w:fldCharType="end"/>
              </w:r>
            </w:sdtContent>
          </w:sdt>
        </w:p>
      </w:sdtContent>
    </w:sdt>
    <w:sdt>
      <w:sdtPr>
        <w:rPr>
          <w:rFonts w:ascii="宋体" w:hAnsi="宋体" w:cs="宋体" w:hint="eastAsia"/>
          <w:b w:val="0"/>
          <w:bCs w:val="0"/>
          <w:kern w:val="0"/>
          <w:szCs w:val="21"/>
        </w:rPr>
        <w:alias w:val="模块:净资产收益率及每股收益"/>
        <w:tag w:val="_GBC_146d888914ac4591bea1ff0ea9e89617"/>
        <w:id w:val="495841644"/>
        <w:lock w:val="sdtLocked"/>
        <w:placeholder>
          <w:docPart w:val="GBC22222222222222222222222222222"/>
        </w:placeholder>
      </w:sdtPr>
      <w:sdtContent>
        <w:p w:rsidR="00ED2DC7" w:rsidRDefault="00ED2DC7" w:rsidP="00036BDC">
          <w:pPr>
            <w:pStyle w:val="affffffffffffffffff1"/>
            <w:numPr>
              <w:ilvl w:val="0"/>
              <w:numId w:val="106"/>
            </w:numPr>
            <w:rPr>
              <w:szCs w:val="21"/>
            </w:rPr>
          </w:pPr>
          <w:r>
            <w:rPr>
              <w:rFonts w:hint="eastAsia"/>
              <w:szCs w:val="21"/>
            </w:rPr>
            <w:t>净资产</w:t>
          </w:r>
          <w:r>
            <w:rPr>
              <w:rFonts w:ascii="宋体" w:hAnsi="宋体" w:hint="eastAsia"/>
              <w:szCs w:val="21"/>
            </w:rPr>
            <w:t>收益率</w:t>
          </w:r>
          <w:r>
            <w:rPr>
              <w:rFonts w:hint="eastAsia"/>
              <w:szCs w:val="21"/>
            </w:rPr>
            <w:t>及每股收益</w:t>
          </w:r>
        </w:p>
        <w:sdt>
          <w:sdtPr>
            <w:alias w:val="是否适用：净资产收益率及每股收益[双击切换]"/>
            <w:tag w:val="_GBC_75866ebc8d184cdd988e79330ad3b083"/>
            <w:id w:val="-130483259"/>
            <w:lock w:val="sdtContentLocked"/>
            <w:placeholder>
              <w:docPart w:val="GBC22222222222222222222222222222"/>
            </w:placeholder>
          </w:sdtPr>
          <w:sdtContent>
            <w:p w:rsidR="00ED2DC7" w:rsidRDefault="00ED2DC7">
              <w:r>
                <w:fldChar w:fldCharType="begin"/>
              </w:r>
              <w:r w:rsidR="00C46973">
                <w:instrText xml:space="preserve"> MACROBUTTON  SnrToggleCheckbox √适用 </w:instrText>
              </w:r>
              <w:r>
                <w:fldChar w:fldCharType="end"/>
              </w:r>
              <w:r>
                <w:fldChar w:fldCharType="begin"/>
              </w:r>
              <w:r w:rsidR="00C46973">
                <w:instrText xml:space="preserve"> MACROBUTTON  SnrToggleCheckbox □不适用 </w:instrText>
              </w:r>
              <w:r>
                <w:fldChar w:fldCharType="end"/>
              </w:r>
            </w:p>
          </w:sdtContent>
        </w:sdt>
        <w:tbl>
          <w:tblPr>
            <w:tblStyle w:val="g38"/>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40"/>
            <w:gridCol w:w="1795"/>
            <w:gridCol w:w="2093"/>
            <w:gridCol w:w="2095"/>
          </w:tblGrid>
          <w:tr w:rsidR="0001523F" w:rsidTr="006F2EE0">
            <w:trPr>
              <w:trHeight w:val="270"/>
            </w:trPr>
            <w:sdt>
              <w:sdtPr>
                <w:tag w:val="_PLD_680a8ba0e71a45459c0939cd6c78c07f"/>
                <w:id w:val="350459959"/>
                <w:lock w:val="sdtLocked"/>
              </w:sdtPr>
              <w:sdtContent>
                <w:tc>
                  <w:tcPr>
                    <w:tcW w:w="1610" w:type="pct"/>
                    <w:vMerge w:val="restart"/>
                    <w:tcBorders>
                      <w:top w:val="single" w:sz="4" w:space="0" w:color="auto"/>
                      <w:left w:val="single" w:sz="4" w:space="0" w:color="auto"/>
                      <w:bottom w:val="single" w:sz="4" w:space="0" w:color="auto"/>
                      <w:right w:val="single" w:sz="4" w:space="0" w:color="auto"/>
                    </w:tcBorders>
                    <w:vAlign w:val="center"/>
                  </w:tcPr>
                  <w:p w:rsidR="0001523F" w:rsidRDefault="0001523F" w:rsidP="006F2EE0">
                    <w:pPr>
                      <w:jc w:val="center"/>
                      <w:rPr>
                        <w:szCs w:val="21"/>
                      </w:rPr>
                    </w:pPr>
                    <w:r>
                      <w:rPr>
                        <w:szCs w:val="21"/>
                      </w:rPr>
                      <w:t>报告期利润</w:t>
                    </w:r>
                  </w:p>
                </w:tc>
              </w:sdtContent>
            </w:sdt>
            <w:sdt>
              <w:sdtPr>
                <w:tag w:val="_PLD_608d0086e1154f8ca6d3c34247132ef0"/>
                <w:id w:val="-433047615"/>
                <w:lock w:val="sdtLocked"/>
              </w:sdtPr>
              <w:sdtContent>
                <w:tc>
                  <w:tcPr>
                    <w:tcW w:w="1017" w:type="pct"/>
                    <w:vMerge w:val="restart"/>
                    <w:tcBorders>
                      <w:top w:val="single" w:sz="4" w:space="0" w:color="auto"/>
                      <w:left w:val="single" w:sz="4" w:space="0" w:color="auto"/>
                      <w:right w:val="single" w:sz="4" w:space="0" w:color="auto"/>
                    </w:tcBorders>
                    <w:vAlign w:val="center"/>
                  </w:tcPr>
                  <w:p w:rsidR="0001523F" w:rsidRDefault="0001523F" w:rsidP="006F2EE0">
                    <w:pPr>
                      <w:jc w:val="center"/>
                      <w:rPr>
                        <w:szCs w:val="21"/>
                      </w:rPr>
                    </w:pPr>
                    <w:r>
                      <w:rPr>
                        <w:szCs w:val="21"/>
                      </w:rPr>
                      <w:t>加权平均净资产收益率（%）</w:t>
                    </w:r>
                  </w:p>
                </w:tc>
              </w:sdtContent>
            </w:sdt>
            <w:sdt>
              <w:sdtPr>
                <w:tag w:val="_PLD_8b4a0bf973be4a19862ac5168193db93"/>
                <w:id w:val="693735786"/>
                <w:lock w:val="sdtLocked"/>
              </w:sdtPr>
              <w:sdtContent>
                <w:tc>
                  <w:tcPr>
                    <w:tcW w:w="2373" w:type="pct"/>
                    <w:gridSpan w:val="2"/>
                    <w:tcBorders>
                      <w:top w:val="single" w:sz="4" w:space="0" w:color="auto"/>
                      <w:left w:val="single" w:sz="4" w:space="0" w:color="auto"/>
                      <w:bottom w:val="single" w:sz="4" w:space="0" w:color="auto"/>
                      <w:right w:val="single" w:sz="4" w:space="0" w:color="auto"/>
                    </w:tcBorders>
                    <w:vAlign w:val="center"/>
                  </w:tcPr>
                  <w:p w:rsidR="0001523F" w:rsidRDefault="0001523F" w:rsidP="006F2EE0">
                    <w:pPr>
                      <w:jc w:val="center"/>
                      <w:rPr>
                        <w:szCs w:val="21"/>
                      </w:rPr>
                    </w:pPr>
                    <w:r>
                      <w:rPr>
                        <w:szCs w:val="21"/>
                      </w:rPr>
                      <w:t>每股收益</w:t>
                    </w:r>
                  </w:p>
                </w:tc>
              </w:sdtContent>
            </w:sdt>
          </w:tr>
          <w:tr w:rsidR="0001523F" w:rsidTr="006F2EE0">
            <w:trPr>
              <w:trHeight w:val="360"/>
            </w:trPr>
            <w:tc>
              <w:tcPr>
                <w:tcW w:w="1610" w:type="pct"/>
                <w:vMerge/>
                <w:tcBorders>
                  <w:top w:val="single" w:sz="4" w:space="0" w:color="auto"/>
                  <w:left w:val="single" w:sz="4" w:space="0" w:color="auto"/>
                  <w:bottom w:val="single" w:sz="4" w:space="0" w:color="auto"/>
                  <w:right w:val="single" w:sz="4" w:space="0" w:color="auto"/>
                </w:tcBorders>
                <w:vAlign w:val="center"/>
              </w:tcPr>
              <w:p w:rsidR="0001523F" w:rsidRDefault="0001523F" w:rsidP="006F2EE0">
                <w:pPr>
                  <w:jc w:val="center"/>
                  <w:rPr>
                    <w:szCs w:val="21"/>
                  </w:rPr>
                </w:pPr>
              </w:p>
            </w:tc>
            <w:tc>
              <w:tcPr>
                <w:tcW w:w="1017" w:type="pct"/>
                <w:vMerge/>
                <w:tcBorders>
                  <w:left w:val="single" w:sz="4" w:space="0" w:color="auto"/>
                  <w:bottom w:val="single" w:sz="4" w:space="0" w:color="auto"/>
                  <w:right w:val="single" w:sz="4" w:space="0" w:color="auto"/>
                </w:tcBorders>
                <w:vAlign w:val="center"/>
              </w:tcPr>
              <w:p w:rsidR="0001523F" w:rsidRDefault="0001523F" w:rsidP="006F2EE0">
                <w:pPr>
                  <w:jc w:val="center"/>
                  <w:rPr>
                    <w:szCs w:val="21"/>
                  </w:rPr>
                </w:pPr>
              </w:p>
            </w:tc>
            <w:sdt>
              <w:sdtPr>
                <w:tag w:val="_PLD_45472770a81744249d77e54c2efc412a"/>
                <w:id w:val="-113898300"/>
                <w:lock w:val="sdtLocked"/>
              </w:sdtPr>
              <w:sdtContent>
                <w:tc>
                  <w:tcPr>
                    <w:tcW w:w="1186" w:type="pct"/>
                    <w:tcBorders>
                      <w:top w:val="single" w:sz="4" w:space="0" w:color="auto"/>
                      <w:left w:val="single" w:sz="4" w:space="0" w:color="auto"/>
                      <w:bottom w:val="single" w:sz="4" w:space="0" w:color="auto"/>
                      <w:right w:val="single" w:sz="4" w:space="0" w:color="auto"/>
                    </w:tcBorders>
                    <w:vAlign w:val="center"/>
                  </w:tcPr>
                  <w:p w:rsidR="0001523F" w:rsidRDefault="0001523F" w:rsidP="006F2EE0">
                    <w:pPr>
                      <w:jc w:val="center"/>
                      <w:rPr>
                        <w:szCs w:val="21"/>
                      </w:rPr>
                    </w:pPr>
                    <w:r>
                      <w:rPr>
                        <w:szCs w:val="21"/>
                      </w:rPr>
                      <w:t>基本每股收益</w:t>
                    </w:r>
                  </w:p>
                </w:tc>
              </w:sdtContent>
            </w:sdt>
            <w:sdt>
              <w:sdtPr>
                <w:tag w:val="_PLD_c4e5be0bbc134fa28e28895e1a12e02c"/>
                <w:id w:val="72787560"/>
                <w:lock w:val="sdtLocked"/>
              </w:sdtPr>
              <w:sdtContent>
                <w:tc>
                  <w:tcPr>
                    <w:tcW w:w="1187" w:type="pct"/>
                    <w:tcBorders>
                      <w:top w:val="single" w:sz="4" w:space="0" w:color="auto"/>
                      <w:left w:val="single" w:sz="4" w:space="0" w:color="auto"/>
                      <w:bottom w:val="single" w:sz="4" w:space="0" w:color="auto"/>
                      <w:right w:val="single" w:sz="4" w:space="0" w:color="auto"/>
                    </w:tcBorders>
                    <w:vAlign w:val="center"/>
                  </w:tcPr>
                  <w:p w:rsidR="0001523F" w:rsidRDefault="0001523F" w:rsidP="006F2EE0">
                    <w:pPr>
                      <w:jc w:val="center"/>
                      <w:rPr>
                        <w:szCs w:val="21"/>
                      </w:rPr>
                    </w:pPr>
                    <w:r>
                      <w:rPr>
                        <w:szCs w:val="21"/>
                      </w:rPr>
                      <w:t>稀释每股收益</w:t>
                    </w:r>
                  </w:p>
                </w:tc>
              </w:sdtContent>
            </w:sdt>
          </w:tr>
          <w:tr w:rsidR="0001523F" w:rsidTr="006F2EE0">
            <w:trPr>
              <w:trHeight w:val="360"/>
            </w:trPr>
            <w:sdt>
              <w:sdtPr>
                <w:tag w:val="_PLD_c94607fd97d648bd8ca7517a2c7054ea"/>
                <w:id w:val="1109313809"/>
                <w:lock w:val="sdtLocked"/>
              </w:sdtPr>
              <w:sdtContent>
                <w:tc>
                  <w:tcPr>
                    <w:tcW w:w="1610" w:type="pct"/>
                    <w:tcBorders>
                      <w:top w:val="single" w:sz="4" w:space="0" w:color="auto"/>
                      <w:left w:val="single" w:sz="4" w:space="0" w:color="auto"/>
                      <w:bottom w:val="single" w:sz="4" w:space="0" w:color="auto"/>
                      <w:right w:val="single" w:sz="4" w:space="0" w:color="auto"/>
                    </w:tcBorders>
                  </w:tcPr>
                  <w:p w:rsidR="0001523F" w:rsidRDefault="0001523F" w:rsidP="006F2EE0">
                    <w:pPr>
                      <w:rPr>
                        <w:szCs w:val="21"/>
                      </w:rPr>
                    </w:pPr>
                    <w:r>
                      <w:rPr>
                        <w:szCs w:val="21"/>
                      </w:rPr>
                      <w:t>归属于公司普通股股东的净利润</w:t>
                    </w:r>
                  </w:p>
                </w:tc>
              </w:sdtContent>
            </w:sdt>
            <w:tc>
              <w:tcPr>
                <w:tcW w:w="1017" w:type="pct"/>
                <w:tcBorders>
                  <w:top w:val="single" w:sz="4" w:space="0" w:color="auto"/>
                  <w:left w:val="single" w:sz="4" w:space="0" w:color="auto"/>
                  <w:bottom w:val="single" w:sz="4" w:space="0" w:color="auto"/>
                  <w:right w:val="single" w:sz="4" w:space="0" w:color="auto"/>
                </w:tcBorders>
              </w:tcPr>
              <w:p w:rsidR="0001523F" w:rsidRPr="0001523F" w:rsidRDefault="0001523F" w:rsidP="006F2EE0">
                <w:pPr>
                  <w:jc w:val="right"/>
                  <w:rPr>
                    <w:szCs w:val="21"/>
                  </w:rPr>
                </w:pPr>
                <w:r w:rsidRPr="0001523F">
                  <w:rPr>
                    <w:rFonts w:cs="Arial"/>
                  </w:rPr>
                  <w:t>7.24</w:t>
                </w:r>
              </w:p>
            </w:tc>
            <w:tc>
              <w:tcPr>
                <w:tcW w:w="1186" w:type="pct"/>
                <w:tcBorders>
                  <w:top w:val="single" w:sz="4" w:space="0" w:color="auto"/>
                  <w:left w:val="single" w:sz="4" w:space="0" w:color="auto"/>
                  <w:bottom w:val="single" w:sz="4" w:space="0" w:color="auto"/>
                  <w:right w:val="single" w:sz="4" w:space="0" w:color="auto"/>
                </w:tcBorders>
              </w:tcPr>
              <w:p w:rsidR="0001523F" w:rsidRPr="0001523F" w:rsidRDefault="0001523F" w:rsidP="006F2EE0">
                <w:pPr>
                  <w:jc w:val="right"/>
                  <w:rPr>
                    <w:szCs w:val="21"/>
                  </w:rPr>
                </w:pPr>
                <w:r w:rsidRPr="0001523F">
                  <w:t>0.19</w:t>
                </w:r>
              </w:p>
            </w:tc>
            <w:tc>
              <w:tcPr>
                <w:tcW w:w="1187" w:type="pct"/>
                <w:tcBorders>
                  <w:top w:val="single" w:sz="4" w:space="0" w:color="auto"/>
                  <w:left w:val="single" w:sz="4" w:space="0" w:color="auto"/>
                  <w:bottom w:val="single" w:sz="4" w:space="0" w:color="auto"/>
                  <w:right w:val="single" w:sz="4" w:space="0" w:color="auto"/>
                </w:tcBorders>
              </w:tcPr>
              <w:p w:rsidR="0001523F" w:rsidRPr="0001523F" w:rsidRDefault="0001523F" w:rsidP="006F2EE0">
                <w:pPr>
                  <w:jc w:val="right"/>
                  <w:rPr>
                    <w:szCs w:val="21"/>
                  </w:rPr>
                </w:pPr>
                <w:r w:rsidRPr="0001523F">
                  <w:t>0.19</w:t>
                </w:r>
              </w:p>
            </w:tc>
          </w:tr>
          <w:tr w:rsidR="0001523F" w:rsidTr="006F2EE0">
            <w:trPr>
              <w:trHeight w:val="360"/>
            </w:trPr>
            <w:sdt>
              <w:sdtPr>
                <w:tag w:val="_PLD_0794afc706e94e77876df1281577a7d9"/>
                <w:id w:val="-320359148"/>
                <w:lock w:val="sdtLocked"/>
              </w:sdtPr>
              <w:sdtContent>
                <w:tc>
                  <w:tcPr>
                    <w:tcW w:w="1610" w:type="pct"/>
                    <w:tcBorders>
                      <w:top w:val="single" w:sz="4" w:space="0" w:color="auto"/>
                      <w:left w:val="single" w:sz="4" w:space="0" w:color="auto"/>
                      <w:bottom w:val="single" w:sz="4" w:space="0" w:color="auto"/>
                      <w:right w:val="single" w:sz="4" w:space="0" w:color="auto"/>
                    </w:tcBorders>
                  </w:tcPr>
                  <w:p w:rsidR="0001523F" w:rsidRDefault="0001523F" w:rsidP="006F2EE0">
                    <w:pPr>
                      <w:rPr>
                        <w:szCs w:val="21"/>
                      </w:rPr>
                    </w:pPr>
                    <w:r>
                      <w:rPr>
                        <w:szCs w:val="21"/>
                      </w:rPr>
                      <w:t>扣除非经常性损益后归属于公司普通股股东的净利润</w:t>
                    </w:r>
                  </w:p>
                </w:tc>
              </w:sdtContent>
            </w:sdt>
            <w:tc>
              <w:tcPr>
                <w:tcW w:w="1017" w:type="pct"/>
                <w:tcBorders>
                  <w:top w:val="single" w:sz="4" w:space="0" w:color="auto"/>
                  <w:left w:val="single" w:sz="4" w:space="0" w:color="auto"/>
                  <w:bottom w:val="single" w:sz="4" w:space="0" w:color="auto"/>
                  <w:right w:val="single" w:sz="4" w:space="0" w:color="auto"/>
                </w:tcBorders>
              </w:tcPr>
              <w:p w:rsidR="0001523F" w:rsidRPr="0001523F" w:rsidRDefault="0001523F" w:rsidP="006F2EE0">
                <w:pPr>
                  <w:jc w:val="right"/>
                  <w:rPr>
                    <w:szCs w:val="21"/>
                  </w:rPr>
                </w:pPr>
                <w:r w:rsidRPr="0001523F">
                  <w:rPr>
                    <w:rFonts w:cs="Arial"/>
                    <w:sz w:val="20"/>
                  </w:rPr>
                  <w:t>3.97</w:t>
                </w:r>
              </w:p>
            </w:tc>
            <w:tc>
              <w:tcPr>
                <w:tcW w:w="1186" w:type="pct"/>
                <w:tcBorders>
                  <w:top w:val="single" w:sz="4" w:space="0" w:color="auto"/>
                  <w:left w:val="single" w:sz="4" w:space="0" w:color="auto"/>
                  <w:bottom w:val="single" w:sz="4" w:space="0" w:color="auto"/>
                  <w:right w:val="single" w:sz="4" w:space="0" w:color="auto"/>
                </w:tcBorders>
              </w:tcPr>
              <w:p w:rsidR="0001523F" w:rsidRPr="0001523F" w:rsidRDefault="0001523F" w:rsidP="006F2EE0">
                <w:pPr>
                  <w:jc w:val="right"/>
                  <w:rPr>
                    <w:szCs w:val="21"/>
                  </w:rPr>
                </w:pPr>
                <w:r w:rsidRPr="0001523F">
                  <w:rPr>
                    <w:rFonts w:cs="Arial" w:hint="eastAsia"/>
                    <w:sz w:val="20"/>
                  </w:rPr>
                  <w:t>0.</w:t>
                </w:r>
                <w:r w:rsidRPr="0001523F">
                  <w:rPr>
                    <w:rFonts w:cs="Arial"/>
                    <w:sz w:val="20"/>
                  </w:rPr>
                  <w:t>11</w:t>
                </w:r>
              </w:p>
            </w:tc>
            <w:tc>
              <w:tcPr>
                <w:tcW w:w="1187" w:type="pct"/>
                <w:tcBorders>
                  <w:top w:val="single" w:sz="4" w:space="0" w:color="auto"/>
                  <w:left w:val="single" w:sz="4" w:space="0" w:color="auto"/>
                  <w:bottom w:val="single" w:sz="4" w:space="0" w:color="auto"/>
                  <w:right w:val="single" w:sz="4" w:space="0" w:color="auto"/>
                </w:tcBorders>
              </w:tcPr>
              <w:p w:rsidR="0001523F" w:rsidRPr="0001523F" w:rsidRDefault="0001523F" w:rsidP="006F2EE0">
                <w:pPr>
                  <w:jc w:val="right"/>
                  <w:rPr>
                    <w:szCs w:val="21"/>
                  </w:rPr>
                </w:pPr>
                <w:r w:rsidRPr="0001523F">
                  <w:rPr>
                    <w:rFonts w:cs="Arial" w:hint="eastAsia"/>
                    <w:sz w:val="20"/>
                  </w:rPr>
                  <w:t>0.</w:t>
                </w:r>
                <w:r w:rsidRPr="0001523F">
                  <w:rPr>
                    <w:rFonts w:cs="Arial"/>
                    <w:sz w:val="20"/>
                  </w:rPr>
                  <w:t>10</w:t>
                </w:r>
              </w:p>
            </w:tc>
          </w:tr>
        </w:tbl>
        <w:p w:rsidR="0001523F" w:rsidRDefault="0001523F"/>
        <w:p w:rsidR="00ED2DC7" w:rsidRDefault="000D0A99">
          <w:pPr>
            <w:rPr>
              <w:szCs w:val="21"/>
            </w:rPr>
          </w:pPr>
        </w:p>
      </w:sdtContent>
    </w:sdt>
    <w:p w:rsidR="00ED2DC7" w:rsidRDefault="00ED2DC7" w:rsidP="00036BDC">
      <w:pPr>
        <w:pStyle w:val="affffffffffffffffff1"/>
        <w:numPr>
          <w:ilvl w:val="0"/>
          <w:numId w:val="106"/>
        </w:numPr>
        <w:rPr>
          <w:rFonts w:ascii="宋体" w:hAnsi="宋体"/>
          <w:szCs w:val="21"/>
        </w:rPr>
      </w:pPr>
      <w:r>
        <w:rPr>
          <w:rFonts w:ascii="宋体" w:hAnsi="宋体" w:hint="eastAsia"/>
          <w:szCs w:val="21"/>
        </w:rPr>
        <w:lastRenderedPageBreak/>
        <w:t>境内外会计准则下会计数据差异</w:t>
      </w:r>
    </w:p>
    <w:sdt>
      <w:sdtPr>
        <w:alias w:val="是否适用：境内外会计准则下会计数据差异[双击切换]"/>
        <w:tag w:val="_GBC_3482333eff2948139884cfdd1debc958"/>
        <w:id w:val="734436420"/>
        <w:lock w:val="sdtContentLocked"/>
        <w:placeholder>
          <w:docPart w:val="GBC22222222222222222222222222222"/>
        </w:placeholder>
      </w:sdtPr>
      <w:sdtContent>
        <w:p w:rsidR="00C46973" w:rsidRDefault="00ED2DC7" w:rsidP="00C46973">
          <w:pPr>
            <w:rPr>
              <w:rFonts w:cstheme="minorBidi"/>
              <w:kern w:val="2"/>
              <w:szCs w:val="21"/>
            </w:rPr>
          </w:pPr>
          <w:r>
            <w:fldChar w:fldCharType="begin"/>
          </w:r>
          <w:r w:rsidR="00C46973">
            <w:instrText xml:space="preserve"> MACROBUTTON  SnrToggleCheckbox □适用 </w:instrText>
          </w:r>
          <w:r>
            <w:fldChar w:fldCharType="end"/>
          </w:r>
          <w:r>
            <w:fldChar w:fldCharType="begin"/>
          </w:r>
          <w:r w:rsidR="00C46973">
            <w:instrText xml:space="preserve"> MACROBUTTON  SnrToggleCheckbox √不适用 </w:instrText>
          </w:r>
          <w:r>
            <w:fldChar w:fldCharType="end"/>
          </w:r>
        </w:p>
      </w:sdtContent>
    </w:sdt>
    <w:p w:rsidR="00ED2DC7" w:rsidRDefault="00ED2DC7">
      <w:pPr>
        <w:rPr>
          <w:szCs w:val="21"/>
        </w:rPr>
      </w:pPr>
    </w:p>
    <w:sdt>
      <w:sdtPr>
        <w:rPr>
          <w:rFonts w:ascii="宋体" w:hAnsi="宋体" w:cs="宋体"/>
          <w:b w:val="0"/>
          <w:bCs w:val="0"/>
          <w:kern w:val="0"/>
          <w:szCs w:val="21"/>
        </w:rPr>
        <w:alias w:val="模块:补充资料其他说明事项"/>
        <w:tag w:val="_GBC_a60672e5f86e422cbb864ef991c9106b"/>
        <w:id w:val="-818652186"/>
        <w:lock w:val="sdtLocked"/>
        <w:placeholder>
          <w:docPart w:val="GBC22222222222222222222222222222"/>
        </w:placeholder>
      </w:sdtPr>
      <w:sdtContent>
        <w:p w:rsidR="00ED2DC7" w:rsidRDefault="00ED2DC7" w:rsidP="00036BDC">
          <w:pPr>
            <w:pStyle w:val="affffffffffffffffff1"/>
            <w:numPr>
              <w:ilvl w:val="0"/>
              <w:numId w:val="106"/>
            </w:numPr>
            <w:rPr>
              <w:szCs w:val="21"/>
            </w:rPr>
          </w:pPr>
          <w:r>
            <w:rPr>
              <w:rFonts w:hint="eastAsia"/>
              <w:szCs w:val="21"/>
            </w:rPr>
            <w:t>其他</w:t>
          </w:r>
        </w:p>
        <w:sdt>
          <w:sdtPr>
            <w:alias w:val="是否适用：补充资料其他说明事项[双击切换]"/>
            <w:tag w:val="_GBC_8954f89f8426424c966f1b658de53fe5"/>
            <w:id w:val="937099153"/>
            <w:lock w:val="sdtContentLocked"/>
            <w:placeholder>
              <w:docPart w:val="GBC22222222222222222222222222222"/>
            </w:placeholder>
          </w:sdtPr>
          <w:sdtContent>
            <w:p w:rsidR="00ED2DC7" w:rsidRDefault="00ED2DC7" w:rsidP="00C46973">
              <w:pPr>
                <w:rPr>
                  <w:szCs w:val="21"/>
                </w:rPr>
              </w:pPr>
              <w:r>
                <w:fldChar w:fldCharType="begin"/>
              </w:r>
              <w:r w:rsidR="00C46973">
                <w:instrText xml:space="preserve"> MACROBUTTON  SnrToggleCheckbox □适用 </w:instrText>
              </w:r>
              <w:r>
                <w:fldChar w:fldCharType="end"/>
              </w:r>
              <w:r>
                <w:fldChar w:fldCharType="begin"/>
              </w:r>
              <w:r w:rsidR="00C46973">
                <w:instrText xml:space="preserve"> MACROBUTTON  SnrToggleCheckbox √不适用 </w:instrText>
              </w:r>
              <w:r>
                <w:fldChar w:fldCharType="end"/>
              </w:r>
            </w:p>
          </w:sdtContent>
        </w:sdt>
      </w:sdtContent>
    </w:sdt>
    <w:p w:rsidR="00ED2DC7" w:rsidRDefault="00ED2DC7"/>
    <w:p w:rsidR="00ED2DC7" w:rsidRDefault="00ED2DC7">
      <w:pPr>
        <w:rPr>
          <w:szCs w:val="21"/>
        </w:rPr>
      </w:pPr>
    </w:p>
    <w:p w:rsidR="00ED2DC7" w:rsidRDefault="00ED2DC7">
      <w:pPr>
        <w:rPr>
          <w:szCs w:val="21"/>
        </w:rPr>
        <w:sectPr w:rsidR="00ED2DC7" w:rsidSect="008E732D">
          <w:pgSz w:w="11906" w:h="16838"/>
          <w:pgMar w:top="1525" w:right="1276" w:bottom="1440" w:left="1797" w:header="856" w:footer="992" w:gutter="0"/>
          <w:cols w:space="425"/>
          <w:docGrid w:linePitch="312"/>
        </w:sectPr>
      </w:pPr>
    </w:p>
    <w:p w:rsidR="00ED2DC7" w:rsidRDefault="00ED2DC7">
      <w:pPr>
        <w:rPr>
          <w:szCs w:val="21"/>
        </w:rPr>
      </w:pPr>
    </w:p>
    <w:p w:rsidR="00ED2DC7" w:rsidRPr="00E04FAA" w:rsidRDefault="00ED2DC7" w:rsidP="00956B9C">
      <w:pPr>
        <w:pStyle w:val="TOC10"/>
        <w:numPr>
          <w:ilvl w:val="0"/>
          <w:numId w:val="33"/>
        </w:numPr>
        <w:rPr>
          <w:rFonts w:ascii="宋体" w:eastAsia="宋体" w:hAnsi="宋体"/>
          <w:bCs w:val="0"/>
          <w:szCs w:val="28"/>
        </w:rPr>
      </w:pPr>
      <w:bookmarkStart w:id="277" w:name="_Toc484510574"/>
      <w:r w:rsidRPr="00E04FAA">
        <w:rPr>
          <w:rFonts w:ascii="宋体" w:eastAsia="宋体" w:hAnsi="宋体"/>
          <w:bCs w:val="0"/>
        </w:rPr>
        <w:t>备查</w:t>
      </w:r>
      <w:r w:rsidRPr="00E04FAA">
        <w:rPr>
          <w:rFonts w:ascii="宋体" w:eastAsia="宋体" w:hAnsi="宋体"/>
          <w:bCs w:val="0"/>
          <w:szCs w:val="28"/>
        </w:rPr>
        <w:t>文件目录</w:t>
      </w:r>
      <w:bookmarkEnd w:id="277"/>
    </w:p>
    <w:sdt>
      <w:sdtPr>
        <w:rPr>
          <w:b/>
          <w:bCs/>
          <w:sz w:val="24"/>
        </w:rPr>
        <w:alias w:val="模块:备查文件目录"/>
        <w:tag w:val="_GBC_963a7d90a6f14cd592de64155ea294f1"/>
        <w:id w:val="-1705322541"/>
        <w:lock w:val="sdtLocked"/>
        <w:placeholder>
          <w:docPart w:val="GBC22222222222222222222222222222"/>
        </w:placeholder>
      </w:sdtPr>
      <w:sdtEndPr>
        <w:rPr>
          <w:b w:val="0"/>
          <w:bCs w:val="0"/>
          <w:sz w:val="21"/>
        </w:rPr>
      </w:sdtEndPr>
      <w:sdtContent>
        <w:p w:rsidR="00ED2DC7" w:rsidRPr="00E04FAA" w:rsidRDefault="00ED2DC7">
          <w:pPr>
            <w:spacing w:line="360" w:lineRule="exact"/>
            <w:ind w:right="5"/>
            <w:rPr>
              <w:b/>
              <w:bCs/>
              <w:sz w:val="24"/>
            </w:rPr>
          </w:pPr>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276"/>
            <w:gridCol w:w="6547"/>
          </w:tblGrid>
          <w:bookmarkStart w:id="278" w:name="_Hlk16455058" w:displacedByCustomXml="next"/>
          <w:sdt>
            <w:sdtPr>
              <w:alias w:val="备查文件情况"/>
              <w:tag w:val="_GBC_a1af99b129a74e47a865dd7d29f8fd1f"/>
              <w:id w:val="-81999492"/>
              <w:lock w:val="sdtLocked"/>
              <w:placeholder>
                <w:docPart w:val="GBC11111111111111111111111111111"/>
              </w:placeholder>
            </w:sdtPr>
            <w:sdtContent>
              <w:tr w:rsidR="00ED2DC7" w:rsidRPr="00E04FAA" w:rsidTr="00F96290">
                <w:trPr>
                  <w:cantSplit/>
                </w:trPr>
                <w:tc>
                  <w:tcPr>
                    <w:tcW w:w="1290" w:type="pct"/>
                    <w:vMerge w:val="restart"/>
                    <w:tcBorders>
                      <w:top w:val="single" w:sz="4" w:space="0" w:color="auto"/>
                      <w:left w:val="single" w:sz="4" w:space="0" w:color="auto"/>
                      <w:bottom w:val="single" w:sz="4" w:space="0" w:color="auto"/>
                      <w:right w:val="single" w:sz="4" w:space="0" w:color="auto"/>
                    </w:tcBorders>
                    <w:vAlign w:val="center"/>
                  </w:tcPr>
                  <w:sdt>
                    <w:sdtPr>
                      <w:tag w:val="_PLD_e16e7881e13f4f1dac756ba6eea36141"/>
                      <w:id w:val="-735010510"/>
                      <w:lock w:val="sdtLocked"/>
                    </w:sdtPr>
                    <w:sdtContent>
                      <w:p w:rsidR="00ED2DC7" w:rsidRPr="00E04FAA" w:rsidRDefault="00ED2DC7">
                        <w:pPr>
                          <w:autoSpaceDE w:val="0"/>
                          <w:autoSpaceDN w:val="0"/>
                          <w:adjustRightInd w:val="0"/>
                          <w:jc w:val="center"/>
                        </w:pPr>
                        <w:r w:rsidRPr="00E04FAA">
                          <w:t>备查文件目录</w:t>
                        </w:r>
                      </w:p>
                    </w:sdtContent>
                  </w:sdt>
                </w:tc>
                <w:sdt>
                  <w:sdtPr>
                    <w:alias w:val="备查文件目录"/>
                    <w:tag w:val="_GBC_b76ea437bdf44553a05f7cdddf7f7ee4"/>
                    <w:id w:val="1255090431"/>
                    <w:lock w:val="sdtLocked"/>
                  </w:sdtPr>
                  <w:sdtContent>
                    <w:tc>
                      <w:tcPr>
                        <w:tcW w:w="3710" w:type="pct"/>
                        <w:tcBorders>
                          <w:top w:val="single" w:sz="4" w:space="0" w:color="auto"/>
                          <w:left w:val="single" w:sz="4" w:space="0" w:color="auto"/>
                          <w:bottom w:val="single" w:sz="4" w:space="0" w:color="auto"/>
                          <w:right w:val="single" w:sz="4" w:space="0" w:color="auto"/>
                        </w:tcBorders>
                      </w:tcPr>
                      <w:p w:rsidR="00ED2DC7" w:rsidRPr="00E04FAA" w:rsidRDefault="005568DB">
                        <w:pPr>
                          <w:autoSpaceDE w:val="0"/>
                          <w:autoSpaceDN w:val="0"/>
                          <w:adjustRightInd w:val="0"/>
                        </w:pPr>
                        <w:r w:rsidRPr="00E04FAA">
                          <w:rPr>
                            <w:rFonts w:hint="eastAsia"/>
                          </w:rPr>
                          <w:t>载有公司法定代表人、财务负责人和会计机构负责人签名并盖公章的财务会计报表。</w:t>
                        </w:r>
                      </w:p>
                    </w:tc>
                  </w:sdtContent>
                </w:sdt>
              </w:tr>
            </w:sdtContent>
          </w:sdt>
          <w:tr w:rsidR="00ED2DC7" w:rsidRPr="00E04FAA" w:rsidTr="00F96290">
            <w:trPr>
              <w:cantSplit/>
            </w:trPr>
            <w:tc>
              <w:tcPr>
                <w:tcW w:w="1290" w:type="pct"/>
                <w:vMerge/>
                <w:tcBorders>
                  <w:top w:val="single" w:sz="4" w:space="0" w:color="auto"/>
                  <w:left w:val="single" w:sz="4" w:space="0" w:color="auto"/>
                  <w:bottom w:val="single" w:sz="4" w:space="0" w:color="auto"/>
                  <w:right w:val="single" w:sz="4" w:space="0" w:color="auto"/>
                </w:tcBorders>
                <w:vAlign w:val="center"/>
              </w:tcPr>
              <w:p w:rsidR="00ED2DC7" w:rsidRPr="00E04FAA" w:rsidRDefault="00ED2DC7"/>
            </w:tc>
            <w:sdt>
              <w:sdtPr>
                <w:alias w:val="备查文件目录"/>
                <w:tag w:val="_GBC_b76ea437bdf44553a05f7cdddf7f7ee4"/>
                <w:id w:val="-83219507"/>
                <w:lock w:val="sdtLocked"/>
              </w:sdtPr>
              <w:sdtContent>
                <w:tc>
                  <w:tcPr>
                    <w:tcW w:w="3710" w:type="pct"/>
                    <w:tcBorders>
                      <w:top w:val="single" w:sz="4" w:space="0" w:color="auto"/>
                      <w:left w:val="single" w:sz="4" w:space="0" w:color="auto"/>
                      <w:bottom w:val="single" w:sz="4" w:space="0" w:color="auto"/>
                      <w:right w:val="single" w:sz="4" w:space="0" w:color="auto"/>
                    </w:tcBorders>
                  </w:tcPr>
                  <w:p w:rsidR="00ED2DC7" w:rsidRPr="00E04FAA" w:rsidRDefault="005568DB">
                    <w:pPr>
                      <w:autoSpaceDE w:val="0"/>
                      <w:autoSpaceDN w:val="0"/>
                      <w:adjustRightInd w:val="0"/>
                    </w:pPr>
                    <w:r w:rsidRPr="00E04FAA">
                      <w:rPr>
                        <w:rFonts w:hint="eastAsia"/>
                      </w:rPr>
                      <w:t>报告期内在中国证监会指定报纸上公开披露过的所有公司文件的正本及公告的原稿。</w:t>
                    </w:r>
                  </w:p>
                </w:tc>
              </w:sdtContent>
            </w:sdt>
          </w:tr>
        </w:tbl>
        <w:bookmarkEnd w:id="278"/>
        <w:p w:rsidR="00ED2DC7" w:rsidRPr="00E04FAA" w:rsidRDefault="00ED2DC7">
          <w:pPr>
            <w:wordWrap w:val="0"/>
            <w:spacing w:line="360" w:lineRule="exact"/>
            <w:jc w:val="right"/>
            <w:rPr>
              <w:u w:val="single"/>
            </w:rPr>
          </w:pPr>
          <w:r w:rsidRPr="00E04FAA">
            <w:t>董事长：</w:t>
          </w:r>
          <w:sdt>
            <w:sdtPr>
              <w:alias w:val="报告发布人"/>
              <w:tag w:val="_GBC_c7ba2bb638cf41b594c93928cb88221a"/>
              <w:id w:val="-1211962455"/>
              <w:lock w:val="sdtLocked"/>
              <w:placeholder>
                <w:docPart w:val="GBC22222222222222222222222222222"/>
              </w:placeholder>
            </w:sdtPr>
            <w:sdtContent>
              <w:r w:rsidR="005568DB" w:rsidRPr="00E04FAA">
                <w:rPr>
                  <w:rFonts w:hint="eastAsia"/>
                </w:rPr>
                <w:t>王文京</w:t>
              </w:r>
            </w:sdtContent>
          </w:sdt>
          <w:r w:rsidRPr="00E04FAA">
            <w:rPr>
              <w:rFonts w:hint="eastAsia"/>
            </w:rPr>
            <w:t xml:space="preserve"> </w:t>
          </w:r>
        </w:p>
        <w:p w:rsidR="00ED2DC7" w:rsidRPr="00E04FAA" w:rsidRDefault="00ED2DC7">
          <w:pPr>
            <w:spacing w:line="360" w:lineRule="exact"/>
            <w:jc w:val="right"/>
            <w:rPr>
              <w:color w:val="008000"/>
              <w:u w:val="single"/>
            </w:rPr>
          </w:pPr>
          <w:r w:rsidRPr="00E04FAA">
            <w:t>董事会批准报送日期：</w:t>
          </w:r>
          <w:sdt>
            <w:sdtPr>
              <w:alias w:val="报告董事会批准报送日期"/>
              <w:tag w:val="_GBC_71049e7f7e514ae7b28070ad1a1eb831"/>
              <w:id w:val="505950861"/>
              <w:lock w:val="sdtLocked"/>
              <w:placeholder>
                <w:docPart w:val="GBC22222222222222222222222222222"/>
              </w:placeholder>
            </w:sdtPr>
            <w:sdtContent>
              <w:r w:rsidR="005568DB" w:rsidRPr="00E04FAA">
                <w:t>2019年8月16日</w:t>
              </w:r>
            </w:sdtContent>
          </w:sdt>
          <w:r w:rsidRPr="00E04FAA">
            <w:rPr>
              <w:rFonts w:hint="eastAsia"/>
            </w:rPr>
            <w:t xml:space="preserve"> </w:t>
          </w:r>
        </w:p>
      </w:sdtContent>
    </w:sdt>
    <w:p w:rsidR="00ED2DC7" w:rsidRPr="00E04FAA" w:rsidRDefault="00ED2DC7">
      <w:pPr>
        <w:spacing w:line="360" w:lineRule="exact"/>
        <w:ind w:right="5"/>
        <w:rPr>
          <w:u w:val="single"/>
        </w:rPr>
      </w:pPr>
    </w:p>
    <w:p w:rsidR="00ED2DC7" w:rsidRPr="00E04FAA" w:rsidRDefault="00ED2DC7">
      <w:pPr>
        <w:spacing w:line="360" w:lineRule="exact"/>
        <w:ind w:right="5"/>
        <w:jc w:val="center"/>
        <w:rPr>
          <w:u w:val="single"/>
        </w:rPr>
      </w:pPr>
    </w:p>
    <w:sdt>
      <w:sdtPr>
        <w:rPr>
          <w:sz w:val="24"/>
        </w:rPr>
        <w:alias w:val="模块:修订信息 "/>
        <w:tag w:val="_GBC_e51b54728b2e4e53b95b0611d0df9b06"/>
        <w:id w:val="566609387"/>
        <w:lock w:val="sdtLocked"/>
        <w:placeholder>
          <w:docPart w:val="GBC22222222222222222222222222222"/>
        </w:placeholder>
      </w:sdtPr>
      <w:sdtEndPr>
        <w:rPr>
          <w:sz w:val="21"/>
        </w:rPr>
      </w:sdtEndPr>
      <w:sdtContent>
        <w:p w:rsidR="00ED2DC7" w:rsidRPr="00E04FAA" w:rsidRDefault="00ED2DC7">
          <w:pPr>
            <w:spacing w:line="360" w:lineRule="exact"/>
            <w:ind w:right="5"/>
            <w:rPr>
              <w:b/>
              <w:sz w:val="24"/>
            </w:rPr>
          </w:pPr>
          <w:r w:rsidRPr="00E04FAA">
            <w:rPr>
              <w:b/>
              <w:sz w:val="24"/>
            </w:rPr>
            <w:t>修订信息</w:t>
          </w:r>
        </w:p>
        <w:sdt>
          <w:sdtPr>
            <w:rPr>
              <w:b/>
              <w:bCs/>
            </w:rPr>
            <w:alias w:val="是否适用：修订信息表[双击切换]"/>
            <w:tag w:val="_GBC_77b96fad3b8a43478db82cf4cb9686be"/>
            <w:id w:val="517733924"/>
            <w:lock w:val="sdtContentLocked"/>
            <w:placeholder>
              <w:docPart w:val="GBC22222222222222222222222222222"/>
            </w:placeholder>
          </w:sdtPr>
          <w:sdtEndPr>
            <w:rPr>
              <w:b w:val="0"/>
            </w:rPr>
          </w:sdtEndPr>
          <w:sdtContent>
            <w:p w:rsidR="00ED2DC7" w:rsidRPr="00E04FAA" w:rsidRDefault="00ED2DC7" w:rsidP="005568DB">
              <w:r w:rsidRPr="00E04FAA">
                <w:rPr>
                  <w:bCs/>
                </w:rPr>
                <w:fldChar w:fldCharType="begin"/>
              </w:r>
              <w:r w:rsidR="005568DB" w:rsidRPr="00E04FAA">
                <w:rPr>
                  <w:bCs/>
                </w:rPr>
                <w:instrText xml:space="preserve"> MACROBUTTON  SnrToggleCheckbox □适用 </w:instrText>
              </w:r>
              <w:r w:rsidRPr="00E04FAA">
                <w:rPr>
                  <w:bCs/>
                </w:rPr>
                <w:fldChar w:fldCharType="end"/>
              </w:r>
              <w:r w:rsidRPr="00E04FAA">
                <w:rPr>
                  <w:bCs/>
                </w:rPr>
                <w:fldChar w:fldCharType="begin"/>
              </w:r>
              <w:r w:rsidR="005568DB" w:rsidRPr="00E04FAA">
                <w:rPr>
                  <w:bCs/>
                </w:rPr>
                <w:instrText xml:space="preserve"> MACROBUTTON  SnrToggleCheckbox √不适用 </w:instrText>
              </w:r>
              <w:r w:rsidRPr="00E04FAA">
                <w:rPr>
                  <w:bCs/>
                </w:rPr>
                <w:fldChar w:fldCharType="end"/>
              </w:r>
            </w:p>
          </w:sdtContent>
        </w:sdt>
      </w:sdtContent>
    </w:sdt>
    <w:sectPr w:rsidR="00ED2DC7" w:rsidRPr="00E04FAA" w:rsidSect="008E732D">
      <w:pgSz w:w="11906" w:h="16838"/>
      <w:pgMar w:top="1525" w:right="1276" w:bottom="1440" w:left="1797" w:header="856"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73A2A" w:rsidRDefault="00273A2A" w:rsidP="00365E23">
      <w:r>
        <w:separator/>
      </w:r>
    </w:p>
  </w:endnote>
  <w:endnote w:type="continuationSeparator" w:id="0">
    <w:p w:rsidR="00273A2A" w:rsidRDefault="00273A2A" w:rsidP="00365E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MingLiU">
    <w:altName w:val="細明體"/>
    <w:panose1 w:val="02010609000101010101"/>
    <w:charset w:val="88"/>
    <w:family w:val="modern"/>
    <w:pitch w:val="fixed"/>
    <w:sig w:usb0="A00002FF" w:usb1="28CFFCFA" w:usb2="00000016" w:usb3="00000000" w:csb0="00100001" w:csb1="00000000"/>
  </w:font>
  <w:font w:name="宋体-方正超大字符集">
    <w:charset w:val="86"/>
    <w:family w:val="script"/>
    <w:pitch w:val="fixed"/>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7408834"/>
      <w:docPartObj>
        <w:docPartGallery w:val="Page Numbers (Bottom of Page)"/>
        <w:docPartUnique/>
      </w:docPartObj>
    </w:sdtPr>
    <w:sdtContent>
      <w:sdt>
        <w:sdtPr>
          <w:id w:val="98381352"/>
          <w:docPartObj>
            <w:docPartGallery w:val="Page Numbers (Top of Page)"/>
            <w:docPartUnique/>
          </w:docPartObj>
        </w:sdtPr>
        <w:sdtContent>
          <w:p w:rsidR="000D0A99" w:rsidRDefault="000D0A99" w:rsidP="004860B6">
            <w:pPr>
              <w:pStyle w:val="af5"/>
              <w:jc w:val="center"/>
            </w:pPr>
            <w:r>
              <w:rPr>
                <w:b/>
                <w:bCs/>
                <w:sz w:val="24"/>
                <w:szCs w:val="24"/>
              </w:rPr>
              <w:fldChar w:fldCharType="begin"/>
            </w:r>
            <w:r>
              <w:rPr>
                <w:b/>
                <w:bCs/>
              </w:rPr>
              <w:instrText>PAGE</w:instrText>
            </w:r>
            <w:r>
              <w:rPr>
                <w:b/>
                <w:bCs/>
                <w:sz w:val="24"/>
                <w:szCs w:val="24"/>
              </w:rPr>
              <w:fldChar w:fldCharType="separate"/>
            </w:r>
            <w:r>
              <w:rPr>
                <w:b/>
                <w:bCs/>
                <w:noProof/>
              </w:rPr>
              <w:t>186</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noProof/>
              </w:rPr>
              <w:t>187</w:t>
            </w:r>
            <w:r>
              <w:rPr>
                <w:b/>
                <w:bCs/>
                <w:sz w:val="24"/>
                <w:szCs w:val="24"/>
              </w:rPr>
              <w:fldChar w:fldCharType="end"/>
            </w:r>
          </w:p>
        </w:sdtContent>
      </w:sdt>
    </w:sdtContent>
  </w:sdt>
  <w:p w:rsidR="000D0A99" w:rsidRDefault="000D0A99">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73A2A" w:rsidRDefault="00273A2A" w:rsidP="00365E23">
      <w:r>
        <w:separator/>
      </w:r>
    </w:p>
  </w:footnote>
  <w:footnote w:type="continuationSeparator" w:id="0">
    <w:p w:rsidR="00273A2A" w:rsidRDefault="00273A2A" w:rsidP="00365E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0A99" w:rsidRPr="009B70CF" w:rsidRDefault="000D0A99" w:rsidP="004B4ABF">
    <w:pPr>
      <w:pStyle w:val="af3"/>
      <w:tabs>
        <w:tab w:val="clear" w:pos="8306"/>
        <w:tab w:val="left" w:pos="8364"/>
        <w:tab w:val="left" w:pos="8505"/>
      </w:tabs>
      <w:ind w:rightChars="10" w:right="21"/>
      <w:rPr>
        <w:b/>
      </w:rPr>
    </w:pPr>
    <w:r>
      <w:rPr>
        <w:rFonts w:hint="eastAsia"/>
      </w:rPr>
      <w:t>201</w:t>
    </w:r>
    <w:r>
      <w:t>9</w:t>
    </w:r>
    <w:r>
      <w:rPr>
        <w:rFonts w:hint="eastAsia"/>
      </w:rPr>
      <w:t>年半年度报告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33058"/>
    <w:multiLevelType w:val="multilevel"/>
    <w:tmpl w:val="B6A0A524"/>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15:restartNumberingAfterBreak="0">
    <w:nsid w:val="011C35CC"/>
    <w:multiLevelType w:val="multilevel"/>
    <w:tmpl w:val="DEDC3BBC"/>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15:restartNumberingAfterBreak="0">
    <w:nsid w:val="01C7576E"/>
    <w:multiLevelType w:val="multilevel"/>
    <w:tmpl w:val="6EB0F5EA"/>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04364DD5"/>
    <w:multiLevelType w:val="hybridMultilevel"/>
    <w:tmpl w:val="B1C0B5B8"/>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918050B"/>
    <w:multiLevelType w:val="multilevel"/>
    <w:tmpl w:val="F190D884"/>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 w15:restartNumberingAfterBreak="0">
    <w:nsid w:val="098731CB"/>
    <w:multiLevelType w:val="hybridMultilevel"/>
    <w:tmpl w:val="2C808348"/>
    <w:lvl w:ilvl="0" w:tplc="E758C39A">
      <w:start w:val="1"/>
      <w:numFmt w:val="decimal"/>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0DD43CBD"/>
    <w:multiLevelType w:val="multilevel"/>
    <w:tmpl w:val="8E200996"/>
    <w:lvl w:ilvl="0">
      <w:start w:val="1"/>
      <w:numFmt w:val="decimal"/>
      <w:lvlText w:val="(%1). "/>
      <w:lvlJc w:val="left"/>
      <w:pPr>
        <w:ind w:left="420" w:hanging="420"/>
      </w:pPr>
      <w:rPr>
        <w:rFonts w:ascii="宋体" w:eastAsia="宋体" w:hAnsi="宋体"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7" w15:restartNumberingAfterBreak="0">
    <w:nsid w:val="0E1F5ED2"/>
    <w:multiLevelType w:val="multilevel"/>
    <w:tmpl w:val="87D0BEC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15:restartNumberingAfterBreak="0">
    <w:nsid w:val="0FB258AF"/>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 w15:restartNumberingAfterBreak="0">
    <w:nsid w:val="10314E3A"/>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4112"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 w15:restartNumberingAfterBreak="0">
    <w:nsid w:val="104977C1"/>
    <w:multiLevelType w:val="hybridMultilevel"/>
    <w:tmpl w:val="FB129EB0"/>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10A00340"/>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2EC0EF1"/>
    <w:multiLevelType w:val="multilevel"/>
    <w:tmpl w:val="E3D05E82"/>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 w15:restartNumberingAfterBreak="0">
    <w:nsid w:val="15621257"/>
    <w:multiLevelType w:val="multilevel"/>
    <w:tmpl w:val="7E6C93B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4" w15:restartNumberingAfterBreak="0">
    <w:nsid w:val="169A565E"/>
    <w:multiLevelType w:val="multilevel"/>
    <w:tmpl w:val="CF940A96"/>
    <w:lvl w:ilvl="0">
      <w:start w:val="1"/>
      <w:numFmt w:val="decimal"/>
      <w:lvlText w:val="%1"/>
      <w:lvlJc w:val="left"/>
      <w:pPr>
        <w:ind w:left="420" w:hanging="420"/>
      </w:pPr>
      <w:rPr>
        <w:rFonts w:ascii="宋体" w:eastAsia="宋体" w:hAnsi="宋体" w:hint="eastAsia"/>
        <w:b/>
      </w:rPr>
    </w:lvl>
    <w:lvl w:ilvl="1">
      <w:start w:val="1"/>
      <w:numFmt w:val="decimal"/>
      <w:suff w:val="nothing"/>
      <w:lvlText w:val="%2、"/>
      <w:lvlJc w:val="left"/>
      <w:pPr>
        <w:ind w:left="840" w:hanging="420"/>
      </w:pPr>
      <w:rPr>
        <w:rFonts w:asciiTheme="minorEastAsia" w:eastAsiaTheme="minorEastAsia" w:hAnsiTheme="minorEastAsia" w:hint="eastAsia"/>
        <w:b/>
      </w:rPr>
    </w:lvl>
    <w:lvl w:ilvl="2">
      <w:start w:val="1"/>
      <w:numFmt w:val="decimal"/>
      <w:lvlText w:val="%3."/>
      <w:lvlJc w:val="left"/>
      <w:pPr>
        <w:ind w:left="1260" w:hanging="420"/>
      </w:pPr>
      <w:rPr>
        <w:rFonts w:hint="eastAsia"/>
      </w:rPr>
    </w:lvl>
    <w:lvl w:ilvl="3">
      <w:start w:val="1"/>
      <w:numFmt w:val="decimal"/>
      <w:lvlText w:val="(%4)"/>
      <w:lvlJc w:val="left"/>
      <w:pPr>
        <w:ind w:left="1620" w:hanging="360"/>
      </w:pPr>
      <w:rPr>
        <w:rFonts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5" w15:restartNumberingAfterBreak="0">
    <w:nsid w:val="17316F2F"/>
    <w:multiLevelType w:val="multilevel"/>
    <w:tmpl w:val="24EE0C1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6" w15:restartNumberingAfterBreak="0">
    <w:nsid w:val="185F3408"/>
    <w:multiLevelType w:val="multilevel"/>
    <w:tmpl w:val="C202402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7" w15:restartNumberingAfterBreak="0">
    <w:nsid w:val="18A52FB9"/>
    <w:multiLevelType w:val="hybridMultilevel"/>
    <w:tmpl w:val="9980432E"/>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1CDB2B09"/>
    <w:multiLevelType w:val="hybridMultilevel"/>
    <w:tmpl w:val="11845716"/>
    <w:lvl w:ilvl="0" w:tplc="D82A7FCC">
      <w:start w:val="1"/>
      <w:numFmt w:val="lowerLetter"/>
      <w:lvlText w:val="(%1)"/>
      <w:lvlJc w:val="left"/>
      <w:pPr>
        <w:ind w:left="1088" w:hanging="360"/>
      </w:pPr>
      <w:rPr>
        <w:rFonts w:hint="default"/>
      </w:rPr>
    </w:lvl>
    <w:lvl w:ilvl="1" w:tplc="04090019" w:tentative="1">
      <w:start w:val="1"/>
      <w:numFmt w:val="lowerLetter"/>
      <w:lvlText w:val="%2."/>
      <w:lvlJc w:val="left"/>
      <w:pPr>
        <w:ind w:left="1808" w:hanging="360"/>
      </w:pPr>
    </w:lvl>
    <w:lvl w:ilvl="2" w:tplc="0409001B" w:tentative="1">
      <w:start w:val="1"/>
      <w:numFmt w:val="lowerRoman"/>
      <w:lvlText w:val="%3."/>
      <w:lvlJc w:val="right"/>
      <w:pPr>
        <w:ind w:left="2528" w:hanging="180"/>
      </w:pPr>
    </w:lvl>
    <w:lvl w:ilvl="3" w:tplc="0409000F" w:tentative="1">
      <w:start w:val="1"/>
      <w:numFmt w:val="decimal"/>
      <w:lvlText w:val="%4."/>
      <w:lvlJc w:val="left"/>
      <w:pPr>
        <w:ind w:left="3248" w:hanging="360"/>
      </w:pPr>
    </w:lvl>
    <w:lvl w:ilvl="4" w:tplc="04090019" w:tentative="1">
      <w:start w:val="1"/>
      <w:numFmt w:val="lowerLetter"/>
      <w:lvlText w:val="%5."/>
      <w:lvlJc w:val="left"/>
      <w:pPr>
        <w:ind w:left="3968" w:hanging="360"/>
      </w:pPr>
    </w:lvl>
    <w:lvl w:ilvl="5" w:tplc="0409001B" w:tentative="1">
      <w:start w:val="1"/>
      <w:numFmt w:val="lowerRoman"/>
      <w:lvlText w:val="%6."/>
      <w:lvlJc w:val="right"/>
      <w:pPr>
        <w:ind w:left="4688" w:hanging="180"/>
      </w:pPr>
    </w:lvl>
    <w:lvl w:ilvl="6" w:tplc="0409000F" w:tentative="1">
      <w:start w:val="1"/>
      <w:numFmt w:val="decimal"/>
      <w:lvlText w:val="%7."/>
      <w:lvlJc w:val="left"/>
      <w:pPr>
        <w:ind w:left="5408" w:hanging="360"/>
      </w:pPr>
    </w:lvl>
    <w:lvl w:ilvl="7" w:tplc="04090019" w:tentative="1">
      <w:start w:val="1"/>
      <w:numFmt w:val="lowerLetter"/>
      <w:lvlText w:val="%8."/>
      <w:lvlJc w:val="left"/>
      <w:pPr>
        <w:ind w:left="6128" w:hanging="360"/>
      </w:pPr>
    </w:lvl>
    <w:lvl w:ilvl="8" w:tplc="0409001B" w:tentative="1">
      <w:start w:val="1"/>
      <w:numFmt w:val="lowerRoman"/>
      <w:lvlText w:val="%9."/>
      <w:lvlJc w:val="right"/>
      <w:pPr>
        <w:ind w:left="6848" w:hanging="180"/>
      </w:pPr>
    </w:lvl>
  </w:abstractNum>
  <w:abstractNum w:abstractNumId="19" w15:restartNumberingAfterBreak="0">
    <w:nsid w:val="1D11584D"/>
    <w:multiLevelType w:val="multilevel"/>
    <w:tmpl w:val="BDBE9148"/>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0" w15:restartNumberingAfterBreak="0">
    <w:nsid w:val="1E235F8B"/>
    <w:multiLevelType w:val="multilevel"/>
    <w:tmpl w:val="D92C258C"/>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 w15:restartNumberingAfterBreak="0">
    <w:nsid w:val="1F7158DD"/>
    <w:multiLevelType w:val="hybridMultilevel"/>
    <w:tmpl w:val="C77464A4"/>
    <w:lvl w:ilvl="0" w:tplc="78444E8E">
      <w:start w:val="1"/>
      <w:numFmt w:val="decimal"/>
      <w:lvlText w:val="(%1). "/>
      <w:lvlJc w:val="left"/>
      <w:pPr>
        <w:ind w:left="704"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1F9677B9"/>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4112"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3" w15:restartNumberingAfterBreak="0">
    <w:nsid w:val="1FD019D7"/>
    <w:multiLevelType w:val="multilevel"/>
    <w:tmpl w:val="0672BB8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4" w15:restartNumberingAfterBreak="0">
    <w:nsid w:val="204F3B0A"/>
    <w:multiLevelType w:val="multilevel"/>
    <w:tmpl w:val="8AE4ED4C"/>
    <w:lvl w:ilvl="0">
      <w:start w:val="1"/>
      <w:numFmt w:val="chineseCountingThousand"/>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5" w15:restartNumberingAfterBreak="0">
    <w:nsid w:val="2121200C"/>
    <w:multiLevelType w:val="multilevel"/>
    <w:tmpl w:val="FB20889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6" w15:restartNumberingAfterBreak="0">
    <w:nsid w:val="21516057"/>
    <w:multiLevelType w:val="multilevel"/>
    <w:tmpl w:val="73C0F85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7" w15:restartNumberingAfterBreak="0">
    <w:nsid w:val="21F9086D"/>
    <w:multiLevelType w:val="multilevel"/>
    <w:tmpl w:val="ACCA510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8" w15:restartNumberingAfterBreak="0">
    <w:nsid w:val="246C0E3A"/>
    <w:multiLevelType w:val="multilevel"/>
    <w:tmpl w:val="6E7E6974"/>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567" w:hanging="567"/>
      </w:pPr>
      <w:rPr>
        <w:rFonts w:hint="eastAsia"/>
        <w:color w:val="auto"/>
        <w:bdr w:val="none" w:sz="0" w:space="0" w:color="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9" w15:restartNumberingAfterBreak="0">
    <w:nsid w:val="2AB9492A"/>
    <w:multiLevelType w:val="multilevel"/>
    <w:tmpl w:val="08C25BD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0" w15:restartNumberingAfterBreak="0">
    <w:nsid w:val="2ABA5091"/>
    <w:multiLevelType w:val="hybridMultilevel"/>
    <w:tmpl w:val="F27ADD1C"/>
    <w:lvl w:ilvl="0" w:tplc="F850BF5E">
      <w:start w:val="1"/>
      <w:numFmt w:val="japaneseCounting"/>
      <w:lvlText w:val="%1、"/>
      <w:lvlJc w:val="left"/>
      <w:pPr>
        <w:ind w:left="450" w:hanging="45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2AF651E5"/>
    <w:multiLevelType w:val="hybridMultilevel"/>
    <w:tmpl w:val="5F60557E"/>
    <w:lvl w:ilvl="0" w:tplc="3D0C5F60">
      <w:start w:val="1"/>
      <w:numFmt w:val="decimal"/>
      <w:suff w:val="nothing"/>
      <w:lvlText w:val="(%1). "/>
      <w:lvlJc w:val="left"/>
      <w:pPr>
        <w:ind w:left="420" w:hanging="420"/>
      </w:pPr>
      <w:rPr>
        <w:rFonts w:ascii="宋体" w:eastAsia="宋体" w:hAnsi="宋体"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2B081EE9"/>
    <w:multiLevelType w:val="multilevel"/>
    <w:tmpl w:val="0F7205A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3" w15:restartNumberingAfterBreak="0">
    <w:nsid w:val="2C7D045A"/>
    <w:multiLevelType w:val="hybridMultilevel"/>
    <w:tmpl w:val="4F3E4BB4"/>
    <w:lvl w:ilvl="0" w:tplc="C910E878">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2CA576C9"/>
    <w:multiLevelType w:val="multilevel"/>
    <w:tmpl w:val="70FAC1B2"/>
    <w:lvl w:ilvl="0">
      <w:start w:val="11"/>
      <w:numFmt w:val="chineseCountingThousand"/>
      <w:lvlText w:val="第%1节"/>
      <w:lvlJc w:val="left"/>
      <w:pPr>
        <w:ind w:left="425" w:hanging="425"/>
      </w:pPr>
      <w:rPr>
        <w:rFonts w:hint="eastAsia"/>
        <w:color w:val="auto"/>
        <w:sz w:val="28"/>
        <w:szCs w:val="28"/>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5" w15:restartNumberingAfterBreak="0">
    <w:nsid w:val="2DE55932"/>
    <w:multiLevelType w:val="hybridMultilevel"/>
    <w:tmpl w:val="B706DF16"/>
    <w:lvl w:ilvl="0" w:tplc="DA7428DA">
      <w:start w:val="1"/>
      <w:numFmt w:val="chineseCountingThousand"/>
      <w:suff w:val="nothing"/>
      <w:lvlText w:val="%1、"/>
      <w:lvlJc w:val="left"/>
      <w:pPr>
        <w:ind w:left="420" w:hanging="420"/>
      </w:pPr>
      <w:rPr>
        <w:rFonts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2E827FC5"/>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7" w15:restartNumberingAfterBreak="0">
    <w:nsid w:val="2EDF5FFD"/>
    <w:multiLevelType w:val="hybridMultilevel"/>
    <w:tmpl w:val="0390F02A"/>
    <w:lvl w:ilvl="0" w:tplc="F18E53B6">
      <w:start w:val="1"/>
      <w:numFmt w:val="decimal"/>
      <w:lvlText w:val="(%1)"/>
      <w:lvlJc w:val="left"/>
      <w:pPr>
        <w:ind w:left="420" w:hanging="42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2F300F94"/>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4112"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9" w15:restartNumberingAfterBreak="0">
    <w:nsid w:val="321F7C35"/>
    <w:multiLevelType w:val="multilevel"/>
    <w:tmpl w:val="382E9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0" w15:restartNumberingAfterBreak="0">
    <w:nsid w:val="333C38BB"/>
    <w:multiLevelType w:val="multilevel"/>
    <w:tmpl w:val="E6280CB8"/>
    <w:lvl w:ilvl="0">
      <w:start w:val="1"/>
      <w:numFmt w:val="decimal"/>
      <w:lvlText w:val="(%1)"/>
      <w:lvlJc w:val="left"/>
      <w:pPr>
        <w:ind w:left="425" w:hanging="425"/>
      </w:pPr>
      <w:rPr>
        <w:rFonts w:ascii="宋体" w:eastAsia="宋体" w:hAnsi="宋体" w:hint="eastAsia"/>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1" w15:restartNumberingAfterBreak="0">
    <w:nsid w:val="3438131C"/>
    <w:multiLevelType w:val="multilevel"/>
    <w:tmpl w:val="1C3A43B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2" w15:restartNumberingAfterBreak="0">
    <w:nsid w:val="352D39A8"/>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15:restartNumberingAfterBreak="0">
    <w:nsid w:val="356C3B2A"/>
    <w:multiLevelType w:val="hybridMultilevel"/>
    <w:tmpl w:val="CD7CCBFE"/>
    <w:lvl w:ilvl="0" w:tplc="66AC3FB6">
      <w:start w:val="1"/>
      <w:numFmt w:val="decimal"/>
      <w:lvlText w:val="(%1)."/>
      <w:lvlJc w:val="left"/>
      <w:pPr>
        <w:ind w:left="420" w:hanging="42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15:restartNumberingAfterBreak="0">
    <w:nsid w:val="36214AF8"/>
    <w:multiLevelType w:val="multilevel"/>
    <w:tmpl w:val="8DACA4D8"/>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5" w15:restartNumberingAfterBreak="0">
    <w:nsid w:val="37C3610E"/>
    <w:multiLevelType w:val="hybridMultilevel"/>
    <w:tmpl w:val="DC6A6A30"/>
    <w:lvl w:ilvl="0" w:tplc="533CAED8">
      <w:start w:val="1"/>
      <w:numFmt w:val="chineseCountingThousand"/>
      <w:lvlText w:val="%1、"/>
      <w:lvlJc w:val="left"/>
      <w:pPr>
        <w:ind w:left="704" w:hanging="420"/>
      </w:pPr>
      <w:rPr>
        <w:rFonts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15:restartNumberingAfterBreak="0">
    <w:nsid w:val="383D41D3"/>
    <w:multiLevelType w:val="multilevel"/>
    <w:tmpl w:val="5150CC88"/>
    <w:lvl w:ilvl="0">
      <w:start w:val="1"/>
      <w:numFmt w:val="decimal"/>
      <w:lvlText w:val="(%1). "/>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7" w15:restartNumberingAfterBreak="0">
    <w:nsid w:val="3D2B6D0A"/>
    <w:multiLevelType w:val="hybridMultilevel"/>
    <w:tmpl w:val="45F663C8"/>
    <w:lvl w:ilvl="0" w:tplc="6254A2C6">
      <w:start w:val="1"/>
      <w:numFmt w:val="chineseCountingThousand"/>
      <w:lvlText w:val="(%1)"/>
      <w:lvlJc w:val="left"/>
      <w:pPr>
        <w:ind w:left="420" w:hanging="420"/>
      </w:pPr>
      <w:rPr>
        <w:rFonts w:asciiTheme="minorHAnsi" w:hAnsiTheme="minorHAnsi" w:hint="default"/>
      </w:r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15:restartNumberingAfterBreak="0">
    <w:nsid w:val="3D620F38"/>
    <w:multiLevelType w:val="hybridMultilevel"/>
    <w:tmpl w:val="0BAC2516"/>
    <w:lvl w:ilvl="0" w:tplc="0ACC847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15:restartNumberingAfterBreak="0">
    <w:nsid w:val="3DC039A2"/>
    <w:multiLevelType w:val="multilevel"/>
    <w:tmpl w:val="8B34E52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0" w15:restartNumberingAfterBreak="0">
    <w:nsid w:val="3E9941EA"/>
    <w:multiLevelType w:val="hybridMultilevel"/>
    <w:tmpl w:val="029C6152"/>
    <w:lvl w:ilvl="0" w:tplc="38A0B97E">
      <w:start w:val="1"/>
      <w:numFmt w:val="decimal"/>
      <w:lvlText w:val="(%1). "/>
      <w:lvlJc w:val="left"/>
      <w:pPr>
        <w:ind w:left="84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15:restartNumberingAfterBreak="0">
    <w:nsid w:val="3EA740FE"/>
    <w:multiLevelType w:val="multilevel"/>
    <w:tmpl w:val="B4047FA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2" w15:restartNumberingAfterBreak="0">
    <w:nsid w:val="41EC2B85"/>
    <w:multiLevelType w:val="multilevel"/>
    <w:tmpl w:val="1058747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3" w15:restartNumberingAfterBreak="0">
    <w:nsid w:val="42F33200"/>
    <w:multiLevelType w:val="hybridMultilevel"/>
    <w:tmpl w:val="D65413B2"/>
    <w:lvl w:ilvl="0" w:tplc="8856C79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15:restartNumberingAfterBreak="0">
    <w:nsid w:val="448C6887"/>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5" w15:restartNumberingAfterBreak="0">
    <w:nsid w:val="45D95701"/>
    <w:multiLevelType w:val="multilevel"/>
    <w:tmpl w:val="023AC8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6" w15:restartNumberingAfterBreak="0">
    <w:nsid w:val="4802360A"/>
    <w:multiLevelType w:val="hybridMultilevel"/>
    <w:tmpl w:val="D8FA833A"/>
    <w:lvl w:ilvl="0" w:tplc="0EAAE620">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15:restartNumberingAfterBreak="0">
    <w:nsid w:val="4AC23DB8"/>
    <w:multiLevelType w:val="hybridMultilevel"/>
    <w:tmpl w:val="CD8E71FC"/>
    <w:lvl w:ilvl="0" w:tplc="958239C6">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 w15:restartNumberingAfterBreak="0">
    <w:nsid w:val="4AF02474"/>
    <w:multiLevelType w:val="multilevel"/>
    <w:tmpl w:val="069E29E4"/>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9" w15:restartNumberingAfterBreak="0">
    <w:nsid w:val="4B8A1F74"/>
    <w:multiLevelType w:val="multilevel"/>
    <w:tmpl w:val="494C7C1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0" w15:restartNumberingAfterBreak="0">
    <w:nsid w:val="4CC90430"/>
    <w:multiLevelType w:val="hybridMultilevel"/>
    <w:tmpl w:val="FBA22684"/>
    <w:lvl w:ilvl="0" w:tplc="D90E99AA">
      <w:start w:val="1"/>
      <w:numFmt w:val="decimal"/>
      <w:lvlText w:val="(%1)"/>
      <w:lvlJc w:val="left"/>
      <w:pPr>
        <w:ind w:left="710" w:hanging="765"/>
      </w:pPr>
      <w:rPr>
        <w:rFonts w:ascii="宋体" w:eastAsia="宋体" w:hAnsi="宋体" w:cs="Arial" w:hint="default"/>
      </w:rPr>
    </w:lvl>
    <w:lvl w:ilvl="1" w:tplc="04090019" w:tentative="1">
      <w:start w:val="1"/>
      <w:numFmt w:val="lowerLetter"/>
      <w:lvlText w:val="%2)"/>
      <w:lvlJc w:val="left"/>
      <w:pPr>
        <w:ind w:left="785" w:hanging="420"/>
      </w:pPr>
    </w:lvl>
    <w:lvl w:ilvl="2" w:tplc="0409001B" w:tentative="1">
      <w:start w:val="1"/>
      <w:numFmt w:val="lowerRoman"/>
      <w:lvlText w:val="%3."/>
      <w:lvlJc w:val="right"/>
      <w:pPr>
        <w:ind w:left="1205" w:hanging="420"/>
      </w:pPr>
    </w:lvl>
    <w:lvl w:ilvl="3" w:tplc="0409000F" w:tentative="1">
      <w:start w:val="1"/>
      <w:numFmt w:val="decimal"/>
      <w:lvlText w:val="%4."/>
      <w:lvlJc w:val="left"/>
      <w:pPr>
        <w:ind w:left="1625" w:hanging="420"/>
      </w:pPr>
    </w:lvl>
    <w:lvl w:ilvl="4" w:tplc="04090019" w:tentative="1">
      <w:start w:val="1"/>
      <w:numFmt w:val="lowerLetter"/>
      <w:lvlText w:val="%5)"/>
      <w:lvlJc w:val="left"/>
      <w:pPr>
        <w:ind w:left="2045" w:hanging="420"/>
      </w:pPr>
    </w:lvl>
    <w:lvl w:ilvl="5" w:tplc="0409001B" w:tentative="1">
      <w:start w:val="1"/>
      <w:numFmt w:val="lowerRoman"/>
      <w:lvlText w:val="%6."/>
      <w:lvlJc w:val="right"/>
      <w:pPr>
        <w:ind w:left="2465" w:hanging="420"/>
      </w:pPr>
    </w:lvl>
    <w:lvl w:ilvl="6" w:tplc="0409000F" w:tentative="1">
      <w:start w:val="1"/>
      <w:numFmt w:val="decimal"/>
      <w:lvlText w:val="%7."/>
      <w:lvlJc w:val="left"/>
      <w:pPr>
        <w:ind w:left="2885" w:hanging="420"/>
      </w:pPr>
    </w:lvl>
    <w:lvl w:ilvl="7" w:tplc="04090019" w:tentative="1">
      <w:start w:val="1"/>
      <w:numFmt w:val="lowerLetter"/>
      <w:lvlText w:val="%8)"/>
      <w:lvlJc w:val="left"/>
      <w:pPr>
        <w:ind w:left="3305" w:hanging="420"/>
      </w:pPr>
    </w:lvl>
    <w:lvl w:ilvl="8" w:tplc="0409001B" w:tentative="1">
      <w:start w:val="1"/>
      <w:numFmt w:val="lowerRoman"/>
      <w:lvlText w:val="%9."/>
      <w:lvlJc w:val="right"/>
      <w:pPr>
        <w:ind w:left="3725" w:hanging="420"/>
      </w:pPr>
    </w:lvl>
  </w:abstractNum>
  <w:abstractNum w:abstractNumId="61" w15:restartNumberingAfterBreak="0">
    <w:nsid w:val="4D5D3C22"/>
    <w:multiLevelType w:val="hybridMultilevel"/>
    <w:tmpl w:val="AFE0D34A"/>
    <w:lvl w:ilvl="0" w:tplc="790E8D46">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2" w15:restartNumberingAfterBreak="0">
    <w:nsid w:val="4E9B6002"/>
    <w:multiLevelType w:val="hybridMultilevel"/>
    <w:tmpl w:val="81B45C42"/>
    <w:lvl w:ilvl="0" w:tplc="AA0C259E">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3" w15:restartNumberingAfterBreak="0">
    <w:nsid w:val="4EAF4C3A"/>
    <w:multiLevelType w:val="multilevel"/>
    <w:tmpl w:val="E4120AC2"/>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4" w15:restartNumberingAfterBreak="0">
    <w:nsid w:val="511727FE"/>
    <w:multiLevelType w:val="multilevel"/>
    <w:tmpl w:val="22187B3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5" w15:restartNumberingAfterBreak="0">
    <w:nsid w:val="51265863"/>
    <w:multiLevelType w:val="hybridMultilevel"/>
    <w:tmpl w:val="5046F81E"/>
    <w:lvl w:ilvl="0" w:tplc="04090017">
      <w:start w:val="1"/>
      <w:numFmt w:val="chineseCountingThousand"/>
      <w:lvlText w:val="(%1)"/>
      <w:lvlJc w:val="left"/>
      <w:pPr>
        <w:ind w:left="420" w:hanging="420"/>
      </w:pPr>
    </w:lvl>
    <w:lvl w:ilvl="1" w:tplc="38A0B97E">
      <w:start w:val="1"/>
      <w:numFmt w:val="decimal"/>
      <w:lvlText w:val="(%2). "/>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15:restartNumberingAfterBreak="0">
    <w:nsid w:val="5141766E"/>
    <w:multiLevelType w:val="multilevel"/>
    <w:tmpl w:val="161EC24A"/>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7" w15:restartNumberingAfterBreak="0">
    <w:nsid w:val="542027AB"/>
    <w:multiLevelType w:val="hybridMultilevel"/>
    <w:tmpl w:val="76425192"/>
    <w:lvl w:ilvl="0" w:tplc="CC4C3924">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54B577AB"/>
    <w:multiLevelType w:val="multilevel"/>
    <w:tmpl w:val="F5DC7BF6"/>
    <w:lvl w:ilvl="0">
      <w:start w:val="1"/>
      <w:numFmt w:val="decimal"/>
      <w:pStyle w:val="a"/>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9" w15:restartNumberingAfterBreak="0">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0" w15:restartNumberingAfterBreak="0">
    <w:nsid w:val="55FE2A91"/>
    <w:multiLevelType w:val="hybridMultilevel"/>
    <w:tmpl w:val="BD8C3910"/>
    <w:lvl w:ilvl="0" w:tplc="948412B0">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15:restartNumberingAfterBreak="0">
    <w:nsid w:val="573E1F07"/>
    <w:multiLevelType w:val="hybridMultilevel"/>
    <w:tmpl w:val="C9BE24B0"/>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2" w15:restartNumberingAfterBreak="0">
    <w:nsid w:val="57D70C03"/>
    <w:multiLevelType w:val="multilevel"/>
    <w:tmpl w:val="741CB8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3" w15:restartNumberingAfterBreak="0">
    <w:nsid w:val="58433A16"/>
    <w:multiLevelType w:val="multilevel"/>
    <w:tmpl w:val="A2541E1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4" w15:restartNumberingAfterBreak="0">
    <w:nsid w:val="59862246"/>
    <w:multiLevelType w:val="multilevel"/>
    <w:tmpl w:val="647A25C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5" w15:restartNumberingAfterBreak="0">
    <w:nsid w:val="5C673432"/>
    <w:multiLevelType w:val="multilevel"/>
    <w:tmpl w:val="045EE5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6" w15:restartNumberingAfterBreak="0">
    <w:nsid w:val="60421A59"/>
    <w:multiLevelType w:val="hybridMultilevel"/>
    <w:tmpl w:val="E0DCDA58"/>
    <w:lvl w:ilvl="0" w:tplc="0088D230">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7" w15:restartNumberingAfterBreak="0">
    <w:nsid w:val="634A69CA"/>
    <w:multiLevelType w:val="hybridMultilevel"/>
    <w:tmpl w:val="0346FAA2"/>
    <w:lvl w:ilvl="0" w:tplc="5DBC6BE8">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8" w15:restartNumberingAfterBreak="0">
    <w:nsid w:val="63C25BDC"/>
    <w:multiLevelType w:val="multilevel"/>
    <w:tmpl w:val="C0921B8A"/>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9" w15:restartNumberingAfterBreak="0">
    <w:nsid w:val="6505491D"/>
    <w:multiLevelType w:val="multilevel"/>
    <w:tmpl w:val="6D8E811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0" w15:restartNumberingAfterBreak="0">
    <w:nsid w:val="66CA16A7"/>
    <w:multiLevelType w:val="multilevel"/>
    <w:tmpl w:val="D168314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1" w15:restartNumberingAfterBreak="0">
    <w:nsid w:val="6A657A8A"/>
    <w:multiLevelType w:val="hybridMultilevel"/>
    <w:tmpl w:val="8FB820F6"/>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2" w15:restartNumberingAfterBreak="0">
    <w:nsid w:val="6D7319EB"/>
    <w:multiLevelType w:val="multilevel"/>
    <w:tmpl w:val="1C5E9A2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3" w15:restartNumberingAfterBreak="0">
    <w:nsid w:val="6E225922"/>
    <w:multiLevelType w:val="multilevel"/>
    <w:tmpl w:val="45C4E1E2"/>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4" w15:restartNumberingAfterBreak="0">
    <w:nsid w:val="6F111C3A"/>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5" w15:restartNumberingAfterBreak="0">
    <w:nsid w:val="701D5786"/>
    <w:multiLevelType w:val="multilevel"/>
    <w:tmpl w:val="166CA36C"/>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6" w15:restartNumberingAfterBreak="0">
    <w:nsid w:val="70E42A22"/>
    <w:multiLevelType w:val="multilevel"/>
    <w:tmpl w:val="3C2E1828"/>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87" w15:restartNumberingAfterBreak="0">
    <w:nsid w:val="728231A6"/>
    <w:multiLevelType w:val="hybridMultilevel"/>
    <w:tmpl w:val="4BE62B16"/>
    <w:lvl w:ilvl="0" w:tplc="3C9A67C8">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8" w15:restartNumberingAfterBreak="0">
    <w:nsid w:val="72921865"/>
    <w:multiLevelType w:val="multilevel"/>
    <w:tmpl w:val="0CD48AF2"/>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9" w15:restartNumberingAfterBreak="0">
    <w:nsid w:val="739563DA"/>
    <w:multiLevelType w:val="multilevel"/>
    <w:tmpl w:val="2F16B79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0" w15:restartNumberingAfterBreak="0">
    <w:nsid w:val="73FB28AC"/>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1" w15:restartNumberingAfterBreak="0">
    <w:nsid w:val="750508FB"/>
    <w:multiLevelType w:val="multilevel"/>
    <w:tmpl w:val="2DAA47B6"/>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2" w15:restartNumberingAfterBreak="0">
    <w:nsid w:val="75482B44"/>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3" w15:restartNumberingAfterBreak="0">
    <w:nsid w:val="76B4167B"/>
    <w:multiLevelType w:val="hybridMultilevel"/>
    <w:tmpl w:val="6BFC1580"/>
    <w:lvl w:ilvl="0" w:tplc="5538AEC8">
      <w:start w:val="1"/>
      <w:numFmt w:val="decimal"/>
      <w:lvlText w:val="%1、"/>
      <w:lvlJc w:val="left"/>
      <w:pPr>
        <w:ind w:left="420" w:hanging="420"/>
      </w:pPr>
      <w:rPr>
        <w:rFonts w:ascii="宋体" w:eastAsia="宋体" w:hAnsi="宋体"/>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4" w15:restartNumberingAfterBreak="0">
    <w:nsid w:val="770F57B2"/>
    <w:multiLevelType w:val="hybridMultilevel"/>
    <w:tmpl w:val="070A8446"/>
    <w:lvl w:ilvl="0" w:tplc="DCBA5D2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5" w15:restartNumberingAfterBreak="0">
    <w:nsid w:val="77111D1D"/>
    <w:multiLevelType w:val="multilevel"/>
    <w:tmpl w:val="96C4849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6" w15:restartNumberingAfterBreak="0">
    <w:nsid w:val="77194021"/>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7" w15:restartNumberingAfterBreak="0">
    <w:nsid w:val="774018F5"/>
    <w:multiLevelType w:val="hybridMultilevel"/>
    <w:tmpl w:val="1ABE2C6C"/>
    <w:lvl w:ilvl="0" w:tplc="93B4F37A">
      <w:start w:val="1"/>
      <w:numFmt w:val="chineseCountingThousand"/>
      <w:pStyle w:val="a0"/>
      <w:lvlText w:val="%1、"/>
      <w:lvlJc w:val="left"/>
      <w:pPr>
        <w:ind w:left="720" w:hanging="720"/>
      </w:pPr>
      <w:rPr>
        <w:rFonts w:hint="default"/>
      </w:rPr>
    </w:lvl>
    <w:lvl w:ilvl="1" w:tplc="C41E2DF4">
      <w:start w:val="4"/>
      <w:numFmt w:val="decimal"/>
      <w:lvlText w:val="（%2）"/>
      <w:lvlJc w:val="left"/>
      <w:pPr>
        <w:ind w:left="1288"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15:restartNumberingAfterBreak="0">
    <w:nsid w:val="787035D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9" w15:restartNumberingAfterBreak="0">
    <w:nsid w:val="7B1E025F"/>
    <w:multiLevelType w:val="hybridMultilevel"/>
    <w:tmpl w:val="D68AF990"/>
    <w:lvl w:ilvl="0" w:tplc="C5CA52A6">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0" w15:restartNumberingAfterBreak="0">
    <w:nsid w:val="7B606A2D"/>
    <w:multiLevelType w:val="multilevel"/>
    <w:tmpl w:val="E50A3D26"/>
    <w:lvl w:ilvl="0">
      <w:start w:val="1"/>
      <w:numFmt w:val="decimal"/>
      <w:lvlText w:val="(%1). "/>
      <w:lvlJc w:val="left"/>
      <w:pPr>
        <w:ind w:left="420" w:hanging="420"/>
      </w:pPr>
      <w:rPr>
        <w:rFonts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01" w15:restartNumberingAfterBreak="0">
    <w:nsid w:val="7C0C1B4F"/>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2" w15:restartNumberingAfterBreak="0">
    <w:nsid w:val="7D07444B"/>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3" w15:restartNumberingAfterBreak="0">
    <w:nsid w:val="7E7E7E18"/>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4" w15:restartNumberingAfterBreak="0">
    <w:nsid w:val="7FCC199E"/>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abstractNumId w:val="30"/>
  </w:num>
  <w:num w:numId="2">
    <w:abstractNumId w:val="24"/>
  </w:num>
  <w:num w:numId="3">
    <w:abstractNumId w:val="20"/>
  </w:num>
  <w:num w:numId="4">
    <w:abstractNumId w:val="28"/>
  </w:num>
  <w:num w:numId="5">
    <w:abstractNumId w:val="77"/>
  </w:num>
  <w:num w:numId="6">
    <w:abstractNumId w:val="45"/>
  </w:num>
  <w:num w:numId="7">
    <w:abstractNumId w:val="47"/>
  </w:num>
  <w:num w:numId="8">
    <w:abstractNumId w:val="14"/>
  </w:num>
  <w:num w:numId="9">
    <w:abstractNumId w:val="29"/>
  </w:num>
  <w:num w:numId="10">
    <w:abstractNumId w:val="55"/>
  </w:num>
  <w:num w:numId="11">
    <w:abstractNumId w:val="86"/>
  </w:num>
  <w:num w:numId="12">
    <w:abstractNumId w:val="75"/>
  </w:num>
  <w:num w:numId="13">
    <w:abstractNumId w:val="13"/>
  </w:num>
  <w:num w:numId="14">
    <w:abstractNumId w:val="27"/>
  </w:num>
  <w:num w:numId="15">
    <w:abstractNumId w:val="23"/>
  </w:num>
  <w:num w:numId="16">
    <w:abstractNumId w:val="35"/>
  </w:num>
  <w:num w:numId="17">
    <w:abstractNumId w:val="62"/>
  </w:num>
  <w:num w:numId="18">
    <w:abstractNumId w:val="87"/>
  </w:num>
  <w:num w:numId="19">
    <w:abstractNumId w:val="37"/>
  </w:num>
  <w:num w:numId="20">
    <w:abstractNumId w:val="99"/>
  </w:num>
  <w:num w:numId="21">
    <w:abstractNumId w:val="67"/>
  </w:num>
  <w:num w:numId="22">
    <w:abstractNumId w:val="48"/>
  </w:num>
  <w:num w:numId="23">
    <w:abstractNumId w:val="57"/>
  </w:num>
  <w:num w:numId="24">
    <w:abstractNumId w:val="69"/>
  </w:num>
  <w:num w:numId="25">
    <w:abstractNumId w:val="17"/>
  </w:num>
  <w:num w:numId="26">
    <w:abstractNumId w:val="71"/>
  </w:num>
  <w:num w:numId="27">
    <w:abstractNumId w:val="81"/>
  </w:num>
  <w:num w:numId="28">
    <w:abstractNumId w:val="10"/>
  </w:num>
  <w:num w:numId="29">
    <w:abstractNumId w:val="19"/>
  </w:num>
  <w:num w:numId="30">
    <w:abstractNumId w:val="88"/>
  </w:num>
  <w:num w:numId="31">
    <w:abstractNumId w:val="3"/>
  </w:num>
  <w:num w:numId="32">
    <w:abstractNumId w:val="97"/>
  </w:num>
  <w:num w:numId="33">
    <w:abstractNumId w:val="34"/>
  </w:num>
  <w:num w:numId="34">
    <w:abstractNumId w:val="68"/>
  </w:num>
  <w:num w:numId="35">
    <w:abstractNumId w:val="95"/>
  </w:num>
  <w:num w:numId="36">
    <w:abstractNumId w:val="53"/>
  </w:num>
  <w:num w:numId="37">
    <w:abstractNumId w:val="49"/>
  </w:num>
  <w:num w:numId="38">
    <w:abstractNumId w:val="2"/>
  </w:num>
  <w:num w:numId="39">
    <w:abstractNumId w:val="68"/>
  </w:num>
  <w:num w:numId="40">
    <w:abstractNumId w:val="25"/>
  </w:num>
  <w:num w:numId="41">
    <w:abstractNumId w:val="84"/>
  </w:num>
  <w:num w:numId="42">
    <w:abstractNumId w:val="4"/>
  </w:num>
  <w:num w:numId="43">
    <w:abstractNumId w:val="22"/>
  </w:num>
  <w:num w:numId="44">
    <w:abstractNumId w:val="9"/>
  </w:num>
  <w:num w:numId="45">
    <w:abstractNumId w:val="94"/>
  </w:num>
  <w:num w:numId="46">
    <w:abstractNumId w:val="38"/>
  </w:num>
  <w:num w:numId="47">
    <w:abstractNumId w:val="85"/>
  </w:num>
  <w:num w:numId="48">
    <w:abstractNumId w:val="60"/>
  </w:num>
  <w:num w:numId="49">
    <w:abstractNumId w:val="93"/>
  </w:num>
  <w:num w:numId="50">
    <w:abstractNumId w:val="52"/>
  </w:num>
  <w:num w:numId="51">
    <w:abstractNumId w:val="16"/>
  </w:num>
  <w:num w:numId="52">
    <w:abstractNumId w:val="12"/>
  </w:num>
  <w:num w:numId="53">
    <w:abstractNumId w:val="89"/>
  </w:num>
  <w:num w:numId="54">
    <w:abstractNumId w:val="39"/>
  </w:num>
  <w:num w:numId="55">
    <w:abstractNumId w:val="83"/>
  </w:num>
  <w:num w:numId="56">
    <w:abstractNumId w:val="96"/>
  </w:num>
  <w:num w:numId="57">
    <w:abstractNumId w:val="103"/>
  </w:num>
  <w:num w:numId="58">
    <w:abstractNumId w:val="104"/>
  </w:num>
  <w:num w:numId="59">
    <w:abstractNumId w:val="40"/>
  </w:num>
  <w:num w:numId="60">
    <w:abstractNumId w:val="8"/>
  </w:num>
  <w:num w:numId="61">
    <w:abstractNumId w:val="6"/>
  </w:num>
  <w:num w:numId="62">
    <w:abstractNumId w:val="100"/>
  </w:num>
  <w:num w:numId="63">
    <w:abstractNumId w:val="15"/>
  </w:num>
  <w:num w:numId="64">
    <w:abstractNumId w:val="46"/>
  </w:num>
  <w:num w:numId="65">
    <w:abstractNumId w:val="91"/>
  </w:num>
  <w:num w:numId="66">
    <w:abstractNumId w:val="43"/>
  </w:num>
  <w:num w:numId="67">
    <w:abstractNumId w:val="98"/>
  </w:num>
  <w:num w:numId="68">
    <w:abstractNumId w:val="58"/>
  </w:num>
  <w:num w:numId="69">
    <w:abstractNumId w:val="78"/>
  </w:num>
  <w:num w:numId="70">
    <w:abstractNumId w:val="31"/>
  </w:num>
  <w:num w:numId="71">
    <w:abstractNumId w:val="36"/>
  </w:num>
  <w:num w:numId="72">
    <w:abstractNumId w:val="101"/>
  </w:num>
  <w:num w:numId="73">
    <w:abstractNumId w:val="102"/>
  </w:num>
  <w:num w:numId="74">
    <w:abstractNumId w:val="21"/>
  </w:num>
  <w:num w:numId="75">
    <w:abstractNumId w:val="11"/>
  </w:num>
  <w:num w:numId="76">
    <w:abstractNumId w:val="79"/>
  </w:num>
  <w:num w:numId="77">
    <w:abstractNumId w:val="42"/>
  </w:num>
  <w:num w:numId="78">
    <w:abstractNumId w:val="26"/>
  </w:num>
  <w:num w:numId="79">
    <w:abstractNumId w:val="56"/>
  </w:num>
  <w:num w:numId="80">
    <w:abstractNumId w:val="73"/>
  </w:num>
  <w:num w:numId="81">
    <w:abstractNumId w:val="61"/>
  </w:num>
  <w:num w:numId="82">
    <w:abstractNumId w:val="1"/>
  </w:num>
  <w:num w:numId="83">
    <w:abstractNumId w:val="76"/>
  </w:num>
  <w:num w:numId="84">
    <w:abstractNumId w:val="59"/>
  </w:num>
  <w:num w:numId="85">
    <w:abstractNumId w:val="64"/>
  </w:num>
  <w:num w:numId="86">
    <w:abstractNumId w:val="90"/>
  </w:num>
  <w:num w:numId="87">
    <w:abstractNumId w:val="41"/>
  </w:num>
  <w:num w:numId="88">
    <w:abstractNumId w:val="7"/>
  </w:num>
  <w:num w:numId="89">
    <w:abstractNumId w:val="66"/>
  </w:num>
  <w:num w:numId="90">
    <w:abstractNumId w:val="82"/>
  </w:num>
  <w:num w:numId="91">
    <w:abstractNumId w:val="51"/>
  </w:num>
  <w:num w:numId="92">
    <w:abstractNumId w:val="70"/>
  </w:num>
  <w:num w:numId="93">
    <w:abstractNumId w:val="18"/>
  </w:num>
  <w:num w:numId="94">
    <w:abstractNumId w:val="72"/>
  </w:num>
  <w:num w:numId="95">
    <w:abstractNumId w:val="63"/>
  </w:num>
  <w:num w:numId="96">
    <w:abstractNumId w:val="32"/>
  </w:num>
  <w:num w:numId="97">
    <w:abstractNumId w:val="74"/>
  </w:num>
  <w:num w:numId="98">
    <w:abstractNumId w:val="44"/>
  </w:num>
  <w:num w:numId="99">
    <w:abstractNumId w:val="5"/>
  </w:num>
  <w:num w:numId="100">
    <w:abstractNumId w:val="65"/>
  </w:num>
  <w:num w:numId="101">
    <w:abstractNumId w:val="0"/>
  </w:num>
  <w:num w:numId="102">
    <w:abstractNumId w:val="50"/>
  </w:num>
  <w:num w:numId="103">
    <w:abstractNumId w:val="54"/>
  </w:num>
  <w:num w:numId="104">
    <w:abstractNumId w:val="80"/>
  </w:num>
  <w:num w:numId="105">
    <w:abstractNumId w:val="92"/>
  </w:num>
  <w:num w:numId="106">
    <w:abstractNumId w:val="33"/>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proofState w:spelling="clean" w:grammar="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isclosure_Version" w:val="true"/>
  </w:docVars>
  <w:rsids>
    <w:rsidRoot w:val="00DD256F"/>
    <w:rsid w:val="000005A6"/>
    <w:rsid w:val="000006C3"/>
    <w:rsid w:val="00000A4E"/>
    <w:rsid w:val="0000102D"/>
    <w:rsid w:val="00001469"/>
    <w:rsid w:val="000015C9"/>
    <w:rsid w:val="00001B33"/>
    <w:rsid w:val="00001E8C"/>
    <w:rsid w:val="0000230E"/>
    <w:rsid w:val="000023F5"/>
    <w:rsid w:val="00002545"/>
    <w:rsid w:val="000028BC"/>
    <w:rsid w:val="00002973"/>
    <w:rsid w:val="000033A6"/>
    <w:rsid w:val="0000372D"/>
    <w:rsid w:val="00003C39"/>
    <w:rsid w:val="0000464C"/>
    <w:rsid w:val="000048B5"/>
    <w:rsid w:val="00004ADF"/>
    <w:rsid w:val="00004E58"/>
    <w:rsid w:val="00005071"/>
    <w:rsid w:val="0000568D"/>
    <w:rsid w:val="000061CF"/>
    <w:rsid w:val="00007196"/>
    <w:rsid w:val="00007207"/>
    <w:rsid w:val="00007BBD"/>
    <w:rsid w:val="00010147"/>
    <w:rsid w:val="0001033D"/>
    <w:rsid w:val="0001041D"/>
    <w:rsid w:val="0001046B"/>
    <w:rsid w:val="000110A4"/>
    <w:rsid w:val="000121BF"/>
    <w:rsid w:val="000122EE"/>
    <w:rsid w:val="00012702"/>
    <w:rsid w:val="00012AFC"/>
    <w:rsid w:val="00012C09"/>
    <w:rsid w:val="000130AF"/>
    <w:rsid w:val="000133F7"/>
    <w:rsid w:val="00013513"/>
    <w:rsid w:val="00013564"/>
    <w:rsid w:val="000139E7"/>
    <w:rsid w:val="00013FF0"/>
    <w:rsid w:val="000140AF"/>
    <w:rsid w:val="000141F9"/>
    <w:rsid w:val="00014263"/>
    <w:rsid w:val="00014850"/>
    <w:rsid w:val="0001497A"/>
    <w:rsid w:val="00014DF5"/>
    <w:rsid w:val="0001523F"/>
    <w:rsid w:val="000155A0"/>
    <w:rsid w:val="000159B6"/>
    <w:rsid w:val="00015DF7"/>
    <w:rsid w:val="00016321"/>
    <w:rsid w:val="00016625"/>
    <w:rsid w:val="00016D21"/>
    <w:rsid w:val="000176B6"/>
    <w:rsid w:val="00017D54"/>
    <w:rsid w:val="00020074"/>
    <w:rsid w:val="000203A5"/>
    <w:rsid w:val="000205AB"/>
    <w:rsid w:val="00020728"/>
    <w:rsid w:val="00020AD2"/>
    <w:rsid w:val="00020D46"/>
    <w:rsid w:val="00020DB9"/>
    <w:rsid w:val="0002110B"/>
    <w:rsid w:val="00021700"/>
    <w:rsid w:val="000224B7"/>
    <w:rsid w:val="000225C5"/>
    <w:rsid w:val="0002292A"/>
    <w:rsid w:val="00022EDA"/>
    <w:rsid w:val="0002301E"/>
    <w:rsid w:val="000231BD"/>
    <w:rsid w:val="000231DC"/>
    <w:rsid w:val="00023BEB"/>
    <w:rsid w:val="00023C73"/>
    <w:rsid w:val="00025469"/>
    <w:rsid w:val="00025E29"/>
    <w:rsid w:val="00025EAF"/>
    <w:rsid w:val="0002612F"/>
    <w:rsid w:val="00026A17"/>
    <w:rsid w:val="00027348"/>
    <w:rsid w:val="000275C9"/>
    <w:rsid w:val="0002798D"/>
    <w:rsid w:val="00030194"/>
    <w:rsid w:val="00031700"/>
    <w:rsid w:val="000317CB"/>
    <w:rsid w:val="000317E9"/>
    <w:rsid w:val="00031B72"/>
    <w:rsid w:val="0003243D"/>
    <w:rsid w:val="00032908"/>
    <w:rsid w:val="00032BA9"/>
    <w:rsid w:val="00032FA8"/>
    <w:rsid w:val="000337FB"/>
    <w:rsid w:val="00033EBB"/>
    <w:rsid w:val="0003408C"/>
    <w:rsid w:val="0003409A"/>
    <w:rsid w:val="00034289"/>
    <w:rsid w:val="000343F2"/>
    <w:rsid w:val="0003468B"/>
    <w:rsid w:val="00034C0D"/>
    <w:rsid w:val="00035352"/>
    <w:rsid w:val="00035464"/>
    <w:rsid w:val="0003626E"/>
    <w:rsid w:val="00036357"/>
    <w:rsid w:val="00036813"/>
    <w:rsid w:val="00036BDC"/>
    <w:rsid w:val="00036C8C"/>
    <w:rsid w:val="00037DB8"/>
    <w:rsid w:val="00037EBC"/>
    <w:rsid w:val="00040830"/>
    <w:rsid w:val="00040925"/>
    <w:rsid w:val="00040D0F"/>
    <w:rsid w:val="000411AF"/>
    <w:rsid w:val="0004146D"/>
    <w:rsid w:val="00041525"/>
    <w:rsid w:val="00041800"/>
    <w:rsid w:val="00041884"/>
    <w:rsid w:val="00041886"/>
    <w:rsid w:val="00041AC3"/>
    <w:rsid w:val="000421CC"/>
    <w:rsid w:val="00042574"/>
    <w:rsid w:val="000429ED"/>
    <w:rsid w:val="00043335"/>
    <w:rsid w:val="000434D1"/>
    <w:rsid w:val="000436FE"/>
    <w:rsid w:val="000438A3"/>
    <w:rsid w:val="00043C00"/>
    <w:rsid w:val="00043E96"/>
    <w:rsid w:val="00043EED"/>
    <w:rsid w:val="00044579"/>
    <w:rsid w:val="000446C9"/>
    <w:rsid w:val="00044D1E"/>
    <w:rsid w:val="00044DDC"/>
    <w:rsid w:val="00044FE0"/>
    <w:rsid w:val="000451ED"/>
    <w:rsid w:val="000453CA"/>
    <w:rsid w:val="00045DCB"/>
    <w:rsid w:val="00045F39"/>
    <w:rsid w:val="00046637"/>
    <w:rsid w:val="000468D6"/>
    <w:rsid w:val="000468DA"/>
    <w:rsid w:val="00046B18"/>
    <w:rsid w:val="00046BF9"/>
    <w:rsid w:val="00046C4A"/>
    <w:rsid w:val="00046DD2"/>
    <w:rsid w:val="000474D7"/>
    <w:rsid w:val="00047621"/>
    <w:rsid w:val="00047AE9"/>
    <w:rsid w:val="000500E7"/>
    <w:rsid w:val="000501F1"/>
    <w:rsid w:val="00050236"/>
    <w:rsid w:val="00050420"/>
    <w:rsid w:val="000505C7"/>
    <w:rsid w:val="000517E2"/>
    <w:rsid w:val="00051BE5"/>
    <w:rsid w:val="000526A4"/>
    <w:rsid w:val="00052B89"/>
    <w:rsid w:val="00052D38"/>
    <w:rsid w:val="0005335F"/>
    <w:rsid w:val="00053E2E"/>
    <w:rsid w:val="00053F3F"/>
    <w:rsid w:val="000544CE"/>
    <w:rsid w:val="00054612"/>
    <w:rsid w:val="0005486C"/>
    <w:rsid w:val="00054D34"/>
    <w:rsid w:val="00055534"/>
    <w:rsid w:val="00055816"/>
    <w:rsid w:val="00055C3F"/>
    <w:rsid w:val="000561D7"/>
    <w:rsid w:val="000562C7"/>
    <w:rsid w:val="000569CC"/>
    <w:rsid w:val="00056B8B"/>
    <w:rsid w:val="0005719E"/>
    <w:rsid w:val="000578C2"/>
    <w:rsid w:val="00057AD2"/>
    <w:rsid w:val="0006013C"/>
    <w:rsid w:val="00060342"/>
    <w:rsid w:val="000604A6"/>
    <w:rsid w:val="00060967"/>
    <w:rsid w:val="00060C85"/>
    <w:rsid w:val="00062017"/>
    <w:rsid w:val="000622D5"/>
    <w:rsid w:val="0006271B"/>
    <w:rsid w:val="0006271F"/>
    <w:rsid w:val="00062AA3"/>
    <w:rsid w:val="00062D8E"/>
    <w:rsid w:val="00063342"/>
    <w:rsid w:val="000636DE"/>
    <w:rsid w:val="000637CB"/>
    <w:rsid w:val="00063893"/>
    <w:rsid w:val="000639D3"/>
    <w:rsid w:val="00063A04"/>
    <w:rsid w:val="00063A13"/>
    <w:rsid w:val="00063EDF"/>
    <w:rsid w:val="00063EE6"/>
    <w:rsid w:val="0006463F"/>
    <w:rsid w:val="00064ADF"/>
    <w:rsid w:val="00065914"/>
    <w:rsid w:val="00065B7B"/>
    <w:rsid w:val="00065D51"/>
    <w:rsid w:val="0006622F"/>
    <w:rsid w:val="00066A87"/>
    <w:rsid w:val="00066B5B"/>
    <w:rsid w:val="00066C7F"/>
    <w:rsid w:val="00066F8C"/>
    <w:rsid w:val="0006751E"/>
    <w:rsid w:val="00067AEB"/>
    <w:rsid w:val="00067EFC"/>
    <w:rsid w:val="00070D92"/>
    <w:rsid w:val="00070E4B"/>
    <w:rsid w:val="00071243"/>
    <w:rsid w:val="0007147E"/>
    <w:rsid w:val="00072361"/>
    <w:rsid w:val="0007246C"/>
    <w:rsid w:val="000729B8"/>
    <w:rsid w:val="00072D7F"/>
    <w:rsid w:val="0007305C"/>
    <w:rsid w:val="000730ED"/>
    <w:rsid w:val="000732D5"/>
    <w:rsid w:val="00073B5A"/>
    <w:rsid w:val="00073BC2"/>
    <w:rsid w:val="000745DB"/>
    <w:rsid w:val="00074C4E"/>
    <w:rsid w:val="00074F05"/>
    <w:rsid w:val="0007507D"/>
    <w:rsid w:val="00075786"/>
    <w:rsid w:val="00075C45"/>
    <w:rsid w:val="00075E3A"/>
    <w:rsid w:val="00075E54"/>
    <w:rsid w:val="00076117"/>
    <w:rsid w:val="000764FD"/>
    <w:rsid w:val="000765D1"/>
    <w:rsid w:val="00077397"/>
    <w:rsid w:val="000778E2"/>
    <w:rsid w:val="0008036E"/>
    <w:rsid w:val="00080412"/>
    <w:rsid w:val="00080509"/>
    <w:rsid w:val="000805BB"/>
    <w:rsid w:val="000808F7"/>
    <w:rsid w:val="000808FF"/>
    <w:rsid w:val="0008095D"/>
    <w:rsid w:val="00080A0F"/>
    <w:rsid w:val="00081D4A"/>
    <w:rsid w:val="0008231D"/>
    <w:rsid w:val="00082700"/>
    <w:rsid w:val="00082A1A"/>
    <w:rsid w:val="00082E5B"/>
    <w:rsid w:val="000830E6"/>
    <w:rsid w:val="0008328D"/>
    <w:rsid w:val="0008332B"/>
    <w:rsid w:val="000837F0"/>
    <w:rsid w:val="000839C3"/>
    <w:rsid w:val="00083C1E"/>
    <w:rsid w:val="00083E04"/>
    <w:rsid w:val="00084008"/>
    <w:rsid w:val="000841ED"/>
    <w:rsid w:val="00084531"/>
    <w:rsid w:val="000845BD"/>
    <w:rsid w:val="00084634"/>
    <w:rsid w:val="00084A03"/>
    <w:rsid w:val="00084A3C"/>
    <w:rsid w:val="00085105"/>
    <w:rsid w:val="00085C6B"/>
    <w:rsid w:val="000866A2"/>
    <w:rsid w:val="000868AD"/>
    <w:rsid w:val="00086F8E"/>
    <w:rsid w:val="000872AC"/>
    <w:rsid w:val="00087446"/>
    <w:rsid w:val="00087492"/>
    <w:rsid w:val="000877EF"/>
    <w:rsid w:val="00087B6F"/>
    <w:rsid w:val="00090454"/>
    <w:rsid w:val="00090892"/>
    <w:rsid w:val="00090ADC"/>
    <w:rsid w:val="00090C35"/>
    <w:rsid w:val="00090DA2"/>
    <w:rsid w:val="00090E95"/>
    <w:rsid w:val="0009141B"/>
    <w:rsid w:val="00091724"/>
    <w:rsid w:val="00091743"/>
    <w:rsid w:val="000918CD"/>
    <w:rsid w:val="00091930"/>
    <w:rsid w:val="00091E44"/>
    <w:rsid w:val="0009268B"/>
    <w:rsid w:val="000927B1"/>
    <w:rsid w:val="00092823"/>
    <w:rsid w:val="00092C1E"/>
    <w:rsid w:val="00092F5A"/>
    <w:rsid w:val="00092FCE"/>
    <w:rsid w:val="000930A1"/>
    <w:rsid w:val="0009325E"/>
    <w:rsid w:val="000932D6"/>
    <w:rsid w:val="000934F7"/>
    <w:rsid w:val="000938DF"/>
    <w:rsid w:val="00094040"/>
    <w:rsid w:val="0009494E"/>
    <w:rsid w:val="00094993"/>
    <w:rsid w:val="00094A55"/>
    <w:rsid w:val="00094FB5"/>
    <w:rsid w:val="00095082"/>
    <w:rsid w:val="0009512A"/>
    <w:rsid w:val="000951D6"/>
    <w:rsid w:val="000952FD"/>
    <w:rsid w:val="00095382"/>
    <w:rsid w:val="00095388"/>
    <w:rsid w:val="000955B9"/>
    <w:rsid w:val="00095CD6"/>
    <w:rsid w:val="000960F5"/>
    <w:rsid w:val="00096746"/>
    <w:rsid w:val="00096E12"/>
    <w:rsid w:val="00097054"/>
    <w:rsid w:val="00097097"/>
    <w:rsid w:val="000974B2"/>
    <w:rsid w:val="000975B1"/>
    <w:rsid w:val="000976C1"/>
    <w:rsid w:val="00097B67"/>
    <w:rsid w:val="00097D61"/>
    <w:rsid w:val="00097E3C"/>
    <w:rsid w:val="000A04A2"/>
    <w:rsid w:val="000A0989"/>
    <w:rsid w:val="000A099D"/>
    <w:rsid w:val="000A1026"/>
    <w:rsid w:val="000A11A5"/>
    <w:rsid w:val="000A1547"/>
    <w:rsid w:val="000A16A6"/>
    <w:rsid w:val="000A199C"/>
    <w:rsid w:val="000A1CBE"/>
    <w:rsid w:val="000A25F6"/>
    <w:rsid w:val="000A26EE"/>
    <w:rsid w:val="000A3714"/>
    <w:rsid w:val="000A4309"/>
    <w:rsid w:val="000A4AE5"/>
    <w:rsid w:val="000A4C9E"/>
    <w:rsid w:val="000A5126"/>
    <w:rsid w:val="000A5162"/>
    <w:rsid w:val="000A54AB"/>
    <w:rsid w:val="000A5A58"/>
    <w:rsid w:val="000A6410"/>
    <w:rsid w:val="000A67B6"/>
    <w:rsid w:val="000A6A70"/>
    <w:rsid w:val="000A6F48"/>
    <w:rsid w:val="000A700E"/>
    <w:rsid w:val="000A7216"/>
    <w:rsid w:val="000A74D2"/>
    <w:rsid w:val="000A76D3"/>
    <w:rsid w:val="000A78D8"/>
    <w:rsid w:val="000A7C6A"/>
    <w:rsid w:val="000B00AE"/>
    <w:rsid w:val="000B014F"/>
    <w:rsid w:val="000B0362"/>
    <w:rsid w:val="000B05B4"/>
    <w:rsid w:val="000B05CC"/>
    <w:rsid w:val="000B09B7"/>
    <w:rsid w:val="000B0EE6"/>
    <w:rsid w:val="000B1AD4"/>
    <w:rsid w:val="000B1DB7"/>
    <w:rsid w:val="000B2333"/>
    <w:rsid w:val="000B23C8"/>
    <w:rsid w:val="000B28AE"/>
    <w:rsid w:val="000B28B3"/>
    <w:rsid w:val="000B28F3"/>
    <w:rsid w:val="000B31E0"/>
    <w:rsid w:val="000B3557"/>
    <w:rsid w:val="000B363F"/>
    <w:rsid w:val="000B3C1D"/>
    <w:rsid w:val="000B4A82"/>
    <w:rsid w:val="000B4B18"/>
    <w:rsid w:val="000B4BDA"/>
    <w:rsid w:val="000B5098"/>
    <w:rsid w:val="000B5590"/>
    <w:rsid w:val="000B5992"/>
    <w:rsid w:val="000B6B2E"/>
    <w:rsid w:val="000B6BC7"/>
    <w:rsid w:val="000B6C66"/>
    <w:rsid w:val="000B717E"/>
    <w:rsid w:val="000C0038"/>
    <w:rsid w:val="000C01B8"/>
    <w:rsid w:val="000C0519"/>
    <w:rsid w:val="000C0C72"/>
    <w:rsid w:val="000C0D45"/>
    <w:rsid w:val="000C1CEC"/>
    <w:rsid w:val="000C2197"/>
    <w:rsid w:val="000C25F5"/>
    <w:rsid w:val="000C26F5"/>
    <w:rsid w:val="000C2C2E"/>
    <w:rsid w:val="000C3232"/>
    <w:rsid w:val="000C37A8"/>
    <w:rsid w:val="000C3A06"/>
    <w:rsid w:val="000C3D52"/>
    <w:rsid w:val="000C40B3"/>
    <w:rsid w:val="000C4768"/>
    <w:rsid w:val="000C4B1F"/>
    <w:rsid w:val="000C4C03"/>
    <w:rsid w:val="000C5139"/>
    <w:rsid w:val="000C51AC"/>
    <w:rsid w:val="000C52A2"/>
    <w:rsid w:val="000C582C"/>
    <w:rsid w:val="000C5895"/>
    <w:rsid w:val="000C5B58"/>
    <w:rsid w:val="000C5B78"/>
    <w:rsid w:val="000C60FC"/>
    <w:rsid w:val="000C632B"/>
    <w:rsid w:val="000C63C4"/>
    <w:rsid w:val="000C6560"/>
    <w:rsid w:val="000C698C"/>
    <w:rsid w:val="000C6A05"/>
    <w:rsid w:val="000C6DAE"/>
    <w:rsid w:val="000C7371"/>
    <w:rsid w:val="000C7691"/>
    <w:rsid w:val="000C7889"/>
    <w:rsid w:val="000C7C71"/>
    <w:rsid w:val="000C7D9C"/>
    <w:rsid w:val="000C7DF8"/>
    <w:rsid w:val="000D057C"/>
    <w:rsid w:val="000D0A99"/>
    <w:rsid w:val="000D0BE9"/>
    <w:rsid w:val="000D0E23"/>
    <w:rsid w:val="000D1028"/>
    <w:rsid w:val="000D14E3"/>
    <w:rsid w:val="000D15CB"/>
    <w:rsid w:val="000D26CD"/>
    <w:rsid w:val="000D28CF"/>
    <w:rsid w:val="000D29E2"/>
    <w:rsid w:val="000D2C5E"/>
    <w:rsid w:val="000D2F52"/>
    <w:rsid w:val="000D3163"/>
    <w:rsid w:val="000D3B03"/>
    <w:rsid w:val="000D3B07"/>
    <w:rsid w:val="000D4964"/>
    <w:rsid w:val="000D49EB"/>
    <w:rsid w:val="000D4F82"/>
    <w:rsid w:val="000D5454"/>
    <w:rsid w:val="000D55C3"/>
    <w:rsid w:val="000D5A34"/>
    <w:rsid w:val="000D5D3B"/>
    <w:rsid w:val="000D5D86"/>
    <w:rsid w:val="000D5DC0"/>
    <w:rsid w:val="000D5F61"/>
    <w:rsid w:val="000D61B2"/>
    <w:rsid w:val="000D61FD"/>
    <w:rsid w:val="000D636E"/>
    <w:rsid w:val="000D685E"/>
    <w:rsid w:val="000D6BCB"/>
    <w:rsid w:val="000D6D8F"/>
    <w:rsid w:val="000D7213"/>
    <w:rsid w:val="000D7307"/>
    <w:rsid w:val="000D7617"/>
    <w:rsid w:val="000D77D1"/>
    <w:rsid w:val="000D7885"/>
    <w:rsid w:val="000D7ABF"/>
    <w:rsid w:val="000E0052"/>
    <w:rsid w:val="000E01A1"/>
    <w:rsid w:val="000E0269"/>
    <w:rsid w:val="000E0C83"/>
    <w:rsid w:val="000E0EB6"/>
    <w:rsid w:val="000E1521"/>
    <w:rsid w:val="000E15A7"/>
    <w:rsid w:val="000E165C"/>
    <w:rsid w:val="000E17B3"/>
    <w:rsid w:val="000E18FC"/>
    <w:rsid w:val="000E1ACA"/>
    <w:rsid w:val="000E1AE1"/>
    <w:rsid w:val="000E1E69"/>
    <w:rsid w:val="000E1F6C"/>
    <w:rsid w:val="000E1F95"/>
    <w:rsid w:val="000E24F4"/>
    <w:rsid w:val="000E2820"/>
    <w:rsid w:val="000E2BE4"/>
    <w:rsid w:val="000E32FE"/>
    <w:rsid w:val="000E34CD"/>
    <w:rsid w:val="000E35F2"/>
    <w:rsid w:val="000E3680"/>
    <w:rsid w:val="000E3894"/>
    <w:rsid w:val="000E3BB8"/>
    <w:rsid w:val="000E3D2D"/>
    <w:rsid w:val="000E3EAC"/>
    <w:rsid w:val="000E41A3"/>
    <w:rsid w:val="000E4352"/>
    <w:rsid w:val="000E4B54"/>
    <w:rsid w:val="000E4C7B"/>
    <w:rsid w:val="000E518E"/>
    <w:rsid w:val="000E567C"/>
    <w:rsid w:val="000E56D0"/>
    <w:rsid w:val="000E5B46"/>
    <w:rsid w:val="000E6046"/>
    <w:rsid w:val="000E6C67"/>
    <w:rsid w:val="000E6CD7"/>
    <w:rsid w:val="000E6F8A"/>
    <w:rsid w:val="000E70DA"/>
    <w:rsid w:val="000E7291"/>
    <w:rsid w:val="000E7956"/>
    <w:rsid w:val="000E7A93"/>
    <w:rsid w:val="000E7F24"/>
    <w:rsid w:val="000F025D"/>
    <w:rsid w:val="000F02D6"/>
    <w:rsid w:val="000F0456"/>
    <w:rsid w:val="000F04EC"/>
    <w:rsid w:val="000F0542"/>
    <w:rsid w:val="000F0CF0"/>
    <w:rsid w:val="000F13B4"/>
    <w:rsid w:val="000F192B"/>
    <w:rsid w:val="000F2264"/>
    <w:rsid w:val="000F237F"/>
    <w:rsid w:val="000F2990"/>
    <w:rsid w:val="000F2A73"/>
    <w:rsid w:val="000F3016"/>
    <w:rsid w:val="000F3044"/>
    <w:rsid w:val="000F3234"/>
    <w:rsid w:val="000F3A6E"/>
    <w:rsid w:val="000F4020"/>
    <w:rsid w:val="000F42F3"/>
    <w:rsid w:val="000F438A"/>
    <w:rsid w:val="000F460F"/>
    <w:rsid w:val="000F49E8"/>
    <w:rsid w:val="000F509F"/>
    <w:rsid w:val="000F52DA"/>
    <w:rsid w:val="000F584A"/>
    <w:rsid w:val="000F58FD"/>
    <w:rsid w:val="000F59FB"/>
    <w:rsid w:val="000F5E14"/>
    <w:rsid w:val="000F6058"/>
    <w:rsid w:val="000F6939"/>
    <w:rsid w:val="000F6B1C"/>
    <w:rsid w:val="000F6E38"/>
    <w:rsid w:val="000F6EE3"/>
    <w:rsid w:val="000F7633"/>
    <w:rsid w:val="000F7CB8"/>
    <w:rsid w:val="000F7D3C"/>
    <w:rsid w:val="00100112"/>
    <w:rsid w:val="0010063A"/>
    <w:rsid w:val="001007FD"/>
    <w:rsid w:val="001012ED"/>
    <w:rsid w:val="00101376"/>
    <w:rsid w:val="00101B38"/>
    <w:rsid w:val="001022D3"/>
    <w:rsid w:val="001026CF"/>
    <w:rsid w:val="0010345C"/>
    <w:rsid w:val="001036AD"/>
    <w:rsid w:val="001038D1"/>
    <w:rsid w:val="00103BDD"/>
    <w:rsid w:val="00104087"/>
    <w:rsid w:val="001044B7"/>
    <w:rsid w:val="001044EA"/>
    <w:rsid w:val="001048FE"/>
    <w:rsid w:val="00105238"/>
    <w:rsid w:val="00105921"/>
    <w:rsid w:val="001059DB"/>
    <w:rsid w:val="00105F72"/>
    <w:rsid w:val="0010626D"/>
    <w:rsid w:val="00106740"/>
    <w:rsid w:val="00106C93"/>
    <w:rsid w:val="00107599"/>
    <w:rsid w:val="00107A8E"/>
    <w:rsid w:val="00107CD9"/>
    <w:rsid w:val="0011023E"/>
    <w:rsid w:val="00110611"/>
    <w:rsid w:val="00110717"/>
    <w:rsid w:val="00110D00"/>
    <w:rsid w:val="001116D4"/>
    <w:rsid w:val="00111BAC"/>
    <w:rsid w:val="00111D4E"/>
    <w:rsid w:val="00111DF3"/>
    <w:rsid w:val="00111E23"/>
    <w:rsid w:val="00112302"/>
    <w:rsid w:val="001126AB"/>
    <w:rsid w:val="001127CC"/>
    <w:rsid w:val="001128C1"/>
    <w:rsid w:val="001133FC"/>
    <w:rsid w:val="001137A6"/>
    <w:rsid w:val="001139E6"/>
    <w:rsid w:val="00113B8D"/>
    <w:rsid w:val="00114189"/>
    <w:rsid w:val="00114F3A"/>
    <w:rsid w:val="00115154"/>
    <w:rsid w:val="00115730"/>
    <w:rsid w:val="0011587B"/>
    <w:rsid w:val="00116051"/>
    <w:rsid w:val="001165AE"/>
    <w:rsid w:val="001167C6"/>
    <w:rsid w:val="001167C8"/>
    <w:rsid w:val="001167D2"/>
    <w:rsid w:val="00116934"/>
    <w:rsid w:val="00116B75"/>
    <w:rsid w:val="00116D81"/>
    <w:rsid w:val="001170FA"/>
    <w:rsid w:val="001173A8"/>
    <w:rsid w:val="00117404"/>
    <w:rsid w:val="00117599"/>
    <w:rsid w:val="00117BC3"/>
    <w:rsid w:val="00117EDA"/>
    <w:rsid w:val="0012016D"/>
    <w:rsid w:val="001203D4"/>
    <w:rsid w:val="0012063F"/>
    <w:rsid w:val="00120A6A"/>
    <w:rsid w:val="001214B4"/>
    <w:rsid w:val="0012158F"/>
    <w:rsid w:val="0012181C"/>
    <w:rsid w:val="0012188F"/>
    <w:rsid w:val="00122393"/>
    <w:rsid w:val="001227A5"/>
    <w:rsid w:val="00122BA4"/>
    <w:rsid w:val="001230F3"/>
    <w:rsid w:val="0012321F"/>
    <w:rsid w:val="001234DF"/>
    <w:rsid w:val="00123F0A"/>
    <w:rsid w:val="00124C57"/>
    <w:rsid w:val="001252F2"/>
    <w:rsid w:val="00125470"/>
    <w:rsid w:val="00125B27"/>
    <w:rsid w:val="00125EEF"/>
    <w:rsid w:val="0012608D"/>
    <w:rsid w:val="00126125"/>
    <w:rsid w:val="00126CBD"/>
    <w:rsid w:val="00127157"/>
    <w:rsid w:val="001272F9"/>
    <w:rsid w:val="001273FD"/>
    <w:rsid w:val="00127E76"/>
    <w:rsid w:val="001304AD"/>
    <w:rsid w:val="00130697"/>
    <w:rsid w:val="00130D6C"/>
    <w:rsid w:val="00130DE5"/>
    <w:rsid w:val="0013119E"/>
    <w:rsid w:val="00131652"/>
    <w:rsid w:val="001316B3"/>
    <w:rsid w:val="0013204C"/>
    <w:rsid w:val="001321A5"/>
    <w:rsid w:val="00132615"/>
    <w:rsid w:val="00132A09"/>
    <w:rsid w:val="00132A1B"/>
    <w:rsid w:val="00133061"/>
    <w:rsid w:val="0013309F"/>
    <w:rsid w:val="00133139"/>
    <w:rsid w:val="001332D2"/>
    <w:rsid w:val="0013379B"/>
    <w:rsid w:val="00133BDB"/>
    <w:rsid w:val="00133C1E"/>
    <w:rsid w:val="00133E33"/>
    <w:rsid w:val="00133F05"/>
    <w:rsid w:val="001346BE"/>
    <w:rsid w:val="00134E3C"/>
    <w:rsid w:val="00134F9D"/>
    <w:rsid w:val="00135556"/>
    <w:rsid w:val="0013555C"/>
    <w:rsid w:val="0013565E"/>
    <w:rsid w:val="00135794"/>
    <w:rsid w:val="00135FBD"/>
    <w:rsid w:val="00136496"/>
    <w:rsid w:val="00136A9A"/>
    <w:rsid w:val="0013708F"/>
    <w:rsid w:val="001372F3"/>
    <w:rsid w:val="00137861"/>
    <w:rsid w:val="00137C75"/>
    <w:rsid w:val="00140099"/>
    <w:rsid w:val="001406FF"/>
    <w:rsid w:val="0014081B"/>
    <w:rsid w:val="00140BD7"/>
    <w:rsid w:val="00140D9B"/>
    <w:rsid w:val="00140E08"/>
    <w:rsid w:val="00141331"/>
    <w:rsid w:val="00141419"/>
    <w:rsid w:val="0014164C"/>
    <w:rsid w:val="00141BE5"/>
    <w:rsid w:val="00142014"/>
    <w:rsid w:val="001420C3"/>
    <w:rsid w:val="0014231A"/>
    <w:rsid w:val="00142509"/>
    <w:rsid w:val="0014259C"/>
    <w:rsid w:val="001428B2"/>
    <w:rsid w:val="00142E7D"/>
    <w:rsid w:val="00143309"/>
    <w:rsid w:val="0014344C"/>
    <w:rsid w:val="00143975"/>
    <w:rsid w:val="001439A6"/>
    <w:rsid w:val="00143D08"/>
    <w:rsid w:val="00143F15"/>
    <w:rsid w:val="00143F60"/>
    <w:rsid w:val="00143FDE"/>
    <w:rsid w:val="001444F7"/>
    <w:rsid w:val="001445D9"/>
    <w:rsid w:val="0014483D"/>
    <w:rsid w:val="00144B78"/>
    <w:rsid w:val="00144BF1"/>
    <w:rsid w:val="0014520A"/>
    <w:rsid w:val="00145554"/>
    <w:rsid w:val="00145561"/>
    <w:rsid w:val="001455E9"/>
    <w:rsid w:val="0014596A"/>
    <w:rsid w:val="001464BB"/>
    <w:rsid w:val="00146FA2"/>
    <w:rsid w:val="00147584"/>
    <w:rsid w:val="00147823"/>
    <w:rsid w:val="00147900"/>
    <w:rsid w:val="00147BFC"/>
    <w:rsid w:val="00147DB1"/>
    <w:rsid w:val="00150269"/>
    <w:rsid w:val="00150646"/>
    <w:rsid w:val="001508C9"/>
    <w:rsid w:val="00150E78"/>
    <w:rsid w:val="00150F67"/>
    <w:rsid w:val="001511B5"/>
    <w:rsid w:val="0015156E"/>
    <w:rsid w:val="0015159B"/>
    <w:rsid w:val="001516EE"/>
    <w:rsid w:val="00151EEF"/>
    <w:rsid w:val="00152156"/>
    <w:rsid w:val="001523DC"/>
    <w:rsid w:val="0015290B"/>
    <w:rsid w:val="00152B5E"/>
    <w:rsid w:val="00152FE0"/>
    <w:rsid w:val="0015304B"/>
    <w:rsid w:val="001537D9"/>
    <w:rsid w:val="00153852"/>
    <w:rsid w:val="00153F4B"/>
    <w:rsid w:val="00154101"/>
    <w:rsid w:val="001541EB"/>
    <w:rsid w:val="001543D4"/>
    <w:rsid w:val="0015445C"/>
    <w:rsid w:val="0015450F"/>
    <w:rsid w:val="00154B6D"/>
    <w:rsid w:val="00154E9A"/>
    <w:rsid w:val="0015523D"/>
    <w:rsid w:val="0015555B"/>
    <w:rsid w:val="00155FB6"/>
    <w:rsid w:val="00156C03"/>
    <w:rsid w:val="00156F5B"/>
    <w:rsid w:val="00157106"/>
    <w:rsid w:val="00157457"/>
    <w:rsid w:val="0015748D"/>
    <w:rsid w:val="001575B8"/>
    <w:rsid w:val="001575F4"/>
    <w:rsid w:val="001578D8"/>
    <w:rsid w:val="00157BF7"/>
    <w:rsid w:val="00157CE3"/>
    <w:rsid w:val="00157DE4"/>
    <w:rsid w:val="00160787"/>
    <w:rsid w:val="00160818"/>
    <w:rsid w:val="001608C9"/>
    <w:rsid w:val="001614D4"/>
    <w:rsid w:val="00161A39"/>
    <w:rsid w:val="00161B38"/>
    <w:rsid w:val="00161CAF"/>
    <w:rsid w:val="0016204C"/>
    <w:rsid w:val="00162175"/>
    <w:rsid w:val="00162669"/>
    <w:rsid w:val="001626DD"/>
    <w:rsid w:val="0016283C"/>
    <w:rsid w:val="00162C8A"/>
    <w:rsid w:val="00163357"/>
    <w:rsid w:val="0016426E"/>
    <w:rsid w:val="0016523F"/>
    <w:rsid w:val="00165E4D"/>
    <w:rsid w:val="00165FED"/>
    <w:rsid w:val="001662C0"/>
    <w:rsid w:val="001667A9"/>
    <w:rsid w:val="00167185"/>
    <w:rsid w:val="00167739"/>
    <w:rsid w:val="0017008F"/>
    <w:rsid w:val="00170327"/>
    <w:rsid w:val="00170450"/>
    <w:rsid w:val="00170461"/>
    <w:rsid w:val="00170650"/>
    <w:rsid w:val="0017134C"/>
    <w:rsid w:val="001715BD"/>
    <w:rsid w:val="00172B99"/>
    <w:rsid w:val="00173329"/>
    <w:rsid w:val="00173583"/>
    <w:rsid w:val="00173821"/>
    <w:rsid w:val="00173AAD"/>
    <w:rsid w:val="00173F07"/>
    <w:rsid w:val="00173F1A"/>
    <w:rsid w:val="0017410C"/>
    <w:rsid w:val="001747D2"/>
    <w:rsid w:val="0017499B"/>
    <w:rsid w:val="00174A05"/>
    <w:rsid w:val="001754A4"/>
    <w:rsid w:val="00175A98"/>
    <w:rsid w:val="00176294"/>
    <w:rsid w:val="00176395"/>
    <w:rsid w:val="0017692B"/>
    <w:rsid w:val="00176E6E"/>
    <w:rsid w:val="00176E78"/>
    <w:rsid w:val="00177133"/>
    <w:rsid w:val="00177D11"/>
    <w:rsid w:val="00177F7C"/>
    <w:rsid w:val="0018000D"/>
    <w:rsid w:val="00180E29"/>
    <w:rsid w:val="00180F49"/>
    <w:rsid w:val="001815B8"/>
    <w:rsid w:val="001816A6"/>
    <w:rsid w:val="0018228D"/>
    <w:rsid w:val="00182367"/>
    <w:rsid w:val="001826DB"/>
    <w:rsid w:val="0018280C"/>
    <w:rsid w:val="00182885"/>
    <w:rsid w:val="00182B92"/>
    <w:rsid w:val="00182BAC"/>
    <w:rsid w:val="0018313C"/>
    <w:rsid w:val="00183957"/>
    <w:rsid w:val="0018413C"/>
    <w:rsid w:val="001844E5"/>
    <w:rsid w:val="00184530"/>
    <w:rsid w:val="00184687"/>
    <w:rsid w:val="001847E6"/>
    <w:rsid w:val="00184EB1"/>
    <w:rsid w:val="00185085"/>
    <w:rsid w:val="00185111"/>
    <w:rsid w:val="001851BD"/>
    <w:rsid w:val="00185D0E"/>
    <w:rsid w:val="00186113"/>
    <w:rsid w:val="00186249"/>
    <w:rsid w:val="00186391"/>
    <w:rsid w:val="00186A2D"/>
    <w:rsid w:val="00186C23"/>
    <w:rsid w:val="00186F1C"/>
    <w:rsid w:val="00187111"/>
    <w:rsid w:val="00187328"/>
    <w:rsid w:val="00187858"/>
    <w:rsid w:val="001878D9"/>
    <w:rsid w:val="00187FB7"/>
    <w:rsid w:val="0019008D"/>
    <w:rsid w:val="0019022B"/>
    <w:rsid w:val="0019037D"/>
    <w:rsid w:val="001903E0"/>
    <w:rsid w:val="00190AA9"/>
    <w:rsid w:val="001911AD"/>
    <w:rsid w:val="0019126B"/>
    <w:rsid w:val="0019143D"/>
    <w:rsid w:val="00191C4F"/>
    <w:rsid w:val="00191CAC"/>
    <w:rsid w:val="001921F0"/>
    <w:rsid w:val="00192350"/>
    <w:rsid w:val="00192474"/>
    <w:rsid w:val="00192CCC"/>
    <w:rsid w:val="00193278"/>
    <w:rsid w:val="001933C4"/>
    <w:rsid w:val="0019388E"/>
    <w:rsid w:val="00193C5E"/>
    <w:rsid w:val="00193DDE"/>
    <w:rsid w:val="00194F95"/>
    <w:rsid w:val="00195857"/>
    <w:rsid w:val="00195A1C"/>
    <w:rsid w:val="00195DE7"/>
    <w:rsid w:val="00195DFE"/>
    <w:rsid w:val="00196123"/>
    <w:rsid w:val="00196E4C"/>
    <w:rsid w:val="00196F3D"/>
    <w:rsid w:val="0019711B"/>
    <w:rsid w:val="001976BC"/>
    <w:rsid w:val="0019788A"/>
    <w:rsid w:val="0019799A"/>
    <w:rsid w:val="00197B91"/>
    <w:rsid w:val="00197C0F"/>
    <w:rsid w:val="00197C1F"/>
    <w:rsid w:val="001A02FE"/>
    <w:rsid w:val="001A0769"/>
    <w:rsid w:val="001A0BFC"/>
    <w:rsid w:val="001A0C34"/>
    <w:rsid w:val="001A0F7A"/>
    <w:rsid w:val="001A116E"/>
    <w:rsid w:val="001A1824"/>
    <w:rsid w:val="001A1A11"/>
    <w:rsid w:val="001A1C83"/>
    <w:rsid w:val="001A2056"/>
    <w:rsid w:val="001A2255"/>
    <w:rsid w:val="001A25C7"/>
    <w:rsid w:val="001A26F2"/>
    <w:rsid w:val="001A27A6"/>
    <w:rsid w:val="001A2AD1"/>
    <w:rsid w:val="001A2B2B"/>
    <w:rsid w:val="001A3215"/>
    <w:rsid w:val="001A3375"/>
    <w:rsid w:val="001A35C2"/>
    <w:rsid w:val="001A3637"/>
    <w:rsid w:val="001A37C6"/>
    <w:rsid w:val="001A3BC3"/>
    <w:rsid w:val="001A3C77"/>
    <w:rsid w:val="001A409E"/>
    <w:rsid w:val="001A4780"/>
    <w:rsid w:val="001A4B57"/>
    <w:rsid w:val="001A4F7F"/>
    <w:rsid w:val="001A5089"/>
    <w:rsid w:val="001A5C03"/>
    <w:rsid w:val="001A5C8D"/>
    <w:rsid w:val="001A6342"/>
    <w:rsid w:val="001A652B"/>
    <w:rsid w:val="001A657D"/>
    <w:rsid w:val="001A6AEA"/>
    <w:rsid w:val="001A7B0D"/>
    <w:rsid w:val="001A7C88"/>
    <w:rsid w:val="001A7F1C"/>
    <w:rsid w:val="001B0143"/>
    <w:rsid w:val="001B0472"/>
    <w:rsid w:val="001B06B5"/>
    <w:rsid w:val="001B0B8E"/>
    <w:rsid w:val="001B0D6F"/>
    <w:rsid w:val="001B102B"/>
    <w:rsid w:val="001B11CD"/>
    <w:rsid w:val="001B1B4D"/>
    <w:rsid w:val="001B1D8E"/>
    <w:rsid w:val="001B20B4"/>
    <w:rsid w:val="001B21B7"/>
    <w:rsid w:val="001B25DC"/>
    <w:rsid w:val="001B2678"/>
    <w:rsid w:val="001B2F5E"/>
    <w:rsid w:val="001B40F8"/>
    <w:rsid w:val="001B4813"/>
    <w:rsid w:val="001B4B35"/>
    <w:rsid w:val="001B514C"/>
    <w:rsid w:val="001B531E"/>
    <w:rsid w:val="001B55DF"/>
    <w:rsid w:val="001B5EAC"/>
    <w:rsid w:val="001B616C"/>
    <w:rsid w:val="001B627A"/>
    <w:rsid w:val="001B63F7"/>
    <w:rsid w:val="001B6C5E"/>
    <w:rsid w:val="001B713D"/>
    <w:rsid w:val="001B75FB"/>
    <w:rsid w:val="001B76F4"/>
    <w:rsid w:val="001B77C3"/>
    <w:rsid w:val="001C0611"/>
    <w:rsid w:val="001C0653"/>
    <w:rsid w:val="001C0748"/>
    <w:rsid w:val="001C114E"/>
    <w:rsid w:val="001C1BF1"/>
    <w:rsid w:val="001C1EEF"/>
    <w:rsid w:val="001C218B"/>
    <w:rsid w:val="001C24BF"/>
    <w:rsid w:val="001C2748"/>
    <w:rsid w:val="001C2900"/>
    <w:rsid w:val="001C2BDA"/>
    <w:rsid w:val="001C2C05"/>
    <w:rsid w:val="001C2E70"/>
    <w:rsid w:val="001C2F81"/>
    <w:rsid w:val="001C36B3"/>
    <w:rsid w:val="001C3C8B"/>
    <w:rsid w:val="001C3F9F"/>
    <w:rsid w:val="001C41F9"/>
    <w:rsid w:val="001C43BB"/>
    <w:rsid w:val="001C499B"/>
    <w:rsid w:val="001C4AC0"/>
    <w:rsid w:val="001C4B0F"/>
    <w:rsid w:val="001C4F2F"/>
    <w:rsid w:val="001C5048"/>
    <w:rsid w:val="001C5504"/>
    <w:rsid w:val="001C62B5"/>
    <w:rsid w:val="001C685A"/>
    <w:rsid w:val="001C6E80"/>
    <w:rsid w:val="001C70C3"/>
    <w:rsid w:val="001C7153"/>
    <w:rsid w:val="001C78B4"/>
    <w:rsid w:val="001C7937"/>
    <w:rsid w:val="001C7BD4"/>
    <w:rsid w:val="001C7CA1"/>
    <w:rsid w:val="001D09D0"/>
    <w:rsid w:val="001D14AC"/>
    <w:rsid w:val="001D169E"/>
    <w:rsid w:val="001D19A9"/>
    <w:rsid w:val="001D1AF1"/>
    <w:rsid w:val="001D2208"/>
    <w:rsid w:val="001D25CB"/>
    <w:rsid w:val="001D272E"/>
    <w:rsid w:val="001D285A"/>
    <w:rsid w:val="001D2ABC"/>
    <w:rsid w:val="001D2C3C"/>
    <w:rsid w:val="001D2CF4"/>
    <w:rsid w:val="001D2DA2"/>
    <w:rsid w:val="001D3318"/>
    <w:rsid w:val="001D3460"/>
    <w:rsid w:val="001D371D"/>
    <w:rsid w:val="001D38C2"/>
    <w:rsid w:val="001D4069"/>
    <w:rsid w:val="001D46DF"/>
    <w:rsid w:val="001D48A4"/>
    <w:rsid w:val="001D5016"/>
    <w:rsid w:val="001D5589"/>
    <w:rsid w:val="001D599D"/>
    <w:rsid w:val="001D658D"/>
    <w:rsid w:val="001D66F1"/>
    <w:rsid w:val="001D68CF"/>
    <w:rsid w:val="001D6C22"/>
    <w:rsid w:val="001D701F"/>
    <w:rsid w:val="001D70BF"/>
    <w:rsid w:val="001D7BCD"/>
    <w:rsid w:val="001E00D9"/>
    <w:rsid w:val="001E04DE"/>
    <w:rsid w:val="001E05B5"/>
    <w:rsid w:val="001E0628"/>
    <w:rsid w:val="001E0A22"/>
    <w:rsid w:val="001E0A77"/>
    <w:rsid w:val="001E0F47"/>
    <w:rsid w:val="001E13C5"/>
    <w:rsid w:val="001E18AC"/>
    <w:rsid w:val="001E1926"/>
    <w:rsid w:val="001E24B5"/>
    <w:rsid w:val="001E2729"/>
    <w:rsid w:val="001E27EC"/>
    <w:rsid w:val="001E2AC2"/>
    <w:rsid w:val="001E2E8E"/>
    <w:rsid w:val="001E3187"/>
    <w:rsid w:val="001E35BF"/>
    <w:rsid w:val="001E35D2"/>
    <w:rsid w:val="001E37CF"/>
    <w:rsid w:val="001E3BD1"/>
    <w:rsid w:val="001E4B1D"/>
    <w:rsid w:val="001E4E42"/>
    <w:rsid w:val="001E5479"/>
    <w:rsid w:val="001E55CD"/>
    <w:rsid w:val="001E5737"/>
    <w:rsid w:val="001E5F29"/>
    <w:rsid w:val="001E6802"/>
    <w:rsid w:val="001E6B0E"/>
    <w:rsid w:val="001E6D5D"/>
    <w:rsid w:val="001E6EE1"/>
    <w:rsid w:val="001E7E60"/>
    <w:rsid w:val="001F018E"/>
    <w:rsid w:val="001F019F"/>
    <w:rsid w:val="001F07B9"/>
    <w:rsid w:val="001F09C2"/>
    <w:rsid w:val="001F0B04"/>
    <w:rsid w:val="001F0C13"/>
    <w:rsid w:val="001F126D"/>
    <w:rsid w:val="001F157A"/>
    <w:rsid w:val="001F1868"/>
    <w:rsid w:val="001F1A82"/>
    <w:rsid w:val="001F2423"/>
    <w:rsid w:val="001F2449"/>
    <w:rsid w:val="001F294E"/>
    <w:rsid w:val="001F2A1C"/>
    <w:rsid w:val="001F2A57"/>
    <w:rsid w:val="001F2DCA"/>
    <w:rsid w:val="001F30EE"/>
    <w:rsid w:val="001F3221"/>
    <w:rsid w:val="001F33A0"/>
    <w:rsid w:val="001F3AE4"/>
    <w:rsid w:val="001F3C0E"/>
    <w:rsid w:val="001F3C4B"/>
    <w:rsid w:val="001F3E2C"/>
    <w:rsid w:val="001F40B3"/>
    <w:rsid w:val="001F4600"/>
    <w:rsid w:val="001F4B16"/>
    <w:rsid w:val="001F4C39"/>
    <w:rsid w:val="001F4C89"/>
    <w:rsid w:val="001F52E1"/>
    <w:rsid w:val="001F65A3"/>
    <w:rsid w:val="001F6856"/>
    <w:rsid w:val="001F73D9"/>
    <w:rsid w:val="001F7478"/>
    <w:rsid w:val="001F7C52"/>
    <w:rsid w:val="001F7EDD"/>
    <w:rsid w:val="001F7FCA"/>
    <w:rsid w:val="00200151"/>
    <w:rsid w:val="00200212"/>
    <w:rsid w:val="002008BE"/>
    <w:rsid w:val="00200A43"/>
    <w:rsid w:val="0020111B"/>
    <w:rsid w:val="002019C7"/>
    <w:rsid w:val="00201E61"/>
    <w:rsid w:val="00201F2D"/>
    <w:rsid w:val="00201FE8"/>
    <w:rsid w:val="002024FC"/>
    <w:rsid w:val="0020264D"/>
    <w:rsid w:val="002027BD"/>
    <w:rsid w:val="00202936"/>
    <w:rsid w:val="00202AE4"/>
    <w:rsid w:val="002031C1"/>
    <w:rsid w:val="00203830"/>
    <w:rsid w:val="00203C7C"/>
    <w:rsid w:val="00203D79"/>
    <w:rsid w:val="00204411"/>
    <w:rsid w:val="00204F44"/>
    <w:rsid w:val="002051D4"/>
    <w:rsid w:val="00205758"/>
    <w:rsid w:val="00205782"/>
    <w:rsid w:val="00205B56"/>
    <w:rsid w:val="00205C40"/>
    <w:rsid w:val="00205C89"/>
    <w:rsid w:val="00205D66"/>
    <w:rsid w:val="00205EF7"/>
    <w:rsid w:val="0020640C"/>
    <w:rsid w:val="002069B7"/>
    <w:rsid w:val="00206B72"/>
    <w:rsid w:val="00206E10"/>
    <w:rsid w:val="00206E87"/>
    <w:rsid w:val="00206F81"/>
    <w:rsid w:val="00207016"/>
    <w:rsid w:val="00207034"/>
    <w:rsid w:val="00207622"/>
    <w:rsid w:val="002104A6"/>
    <w:rsid w:val="00210673"/>
    <w:rsid w:val="00210D2D"/>
    <w:rsid w:val="0021164B"/>
    <w:rsid w:val="00211CA5"/>
    <w:rsid w:val="002121E4"/>
    <w:rsid w:val="0021222A"/>
    <w:rsid w:val="002125F9"/>
    <w:rsid w:val="002125FF"/>
    <w:rsid w:val="00212C1C"/>
    <w:rsid w:val="00212E37"/>
    <w:rsid w:val="00213330"/>
    <w:rsid w:val="00213371"/>
    <w:rsid w:val="002137DF"/>
    <w:rsid w:val="002139CB"/>
    <w:rsid w:val="00213D3C"/>
    <w:rsid w:val="00214143"/>
    <w:rsid w:val="0021448A"/>
    <w:rsid w:val="002146DA"/>
    <w:rsid w:val="00214773"/>
    <w:rsid w:val="00214FEB"/>
    <w:rsid w:val="0021514C"/>
    <w:rsid w:val="00215773"/>
    <w:rsid w:val="00215B62"/>
    <w:rsid w:val="00216014"/>
    <w:rsid w:val="00216207"/>
    <w:rsid w:val="002168AE"/>
    <w:rsid w:val="00216C14"/>
    <w:rsid w:val="00216E8F"/>
    <w:rsid w:val="00217216"/>
    <w:rsid w:val="00217811"/>
    <w:rsid w:val="00220788"/>
    <w:rsid w:val="00220B91"/>
    <w:rsid w:val="00220E16"/>
    <w:rsid w:val="00220FF5"/>
    <w:rsid w:val="00221055"/>
    <w:rsid w:val="00221421"/>
    <w:rsid w:val="00221450"/>
    <w:rsid w:val="002214C9"/>
    <w:rsid w:val="00221B01"/>
    <w:rsid w:val="00221D4E"/>
    <w:rsid w:val="00221EF8"/>
    <w:rsid w:val="00221F4F"/>
    <w:rsid w:val="002224A3"/>
    <w:rsid w:val="00223A42"/>
    <w:rsid w:val="00223F2B"/>
    <w:rsid w:val="00224104"/>
    <w:rsid w:val="00224DB1"/>
    <w:rsid w:val="00225079"/>
    <w:rsid w:val="00225113"/>
    <w:rsid w:val="002252F7"/>
    <w:rsid w:val="0022588B"/>
    <w:rsid w:val="00225CE0"/>
    <w:rsid w:val="0022609D"/>
    <w:rsid w:val="0022618F"/>
    <w:rsid w:val="00226386"/>
    <w:rsid w:val="0022648D"/>
    <w:rsid w:val="00226B61"/>
    <w:rsid w:val="00226C0B"/>
    <w:rsid w:val="00226CB0"/>
    <w:rsid w:val="00226D19"/>
    <w:rsid w:val="0022705E"/>
    <w:rsid w:val="00227508"/>
    <w:rsid w:val="00227887"/>
    <w:rsid w:val="00227B03"/>
    <w:rsid w:val="00227F84"/>
    <w:rsid w:val="0023035E"/>
    <w:rsid w:val="002307B2"/>
    <w:rsid w:val="002308BC"/>
    <w:rsid w:val="002308E1"/>
    <w:rsid w:val="0023099B"/>
    <w:rsid w:val="002309E8"/>
    <w:rsid w:val="00230AC8"/>
    <w:rsid w:val="00230C63"/>
    <w:rsid w:val="002310A7"/>
    <w:rsid w:val="0023116F"/>
    <w:rsid w:val="00231A87"/>
    <w:rsid w:val="00231FDB"/>
    <w:rsid w:val="00232703"/>
    <w:rsid w:val="00232824"/>
    <w:rsid w:val="0023298F"/>
    <w:rsid w:val="002329B1"/>
    <w:rsid w:val="00232D34"/>
    <w:rsid w:val="00232EC1"/>
    <w:rsid w:val="002331FD"/>
    <w:rsid w:val="0023329F"/>
    <w:rsid w:val="0023366B"/>
    <w:rsid w:val="0023372E"/>
    <w:rsid w:val="00233C8B"/>
    <w:rsid w:val="00233F8F"/>
    <w:rsid w:val="0023402A"/>
    <w:rsid w:val="00234111"/>
    <w:rsid w:val="002344EC"/>
    <w:rsid w:val="0023468B"/>
    <w:rsid w:val="00234B4B"/>
    <w:rsid w:val="00235448"/>
    <w:rsid w:val="0023599E"/>
    <w:rsid w:val="00235F58"/>
    <w:rsid w:val="002366DD"/>
    <w:rsid w:val="0023677E"/>
    <w:rsid w:val="002376C2"/>
    <w:rsid w:val="00237721"/>
    <w:rsid w:val="00237BC1"/>
    <w:rsid w:val="0024010C"/>
    <w:rsid w:val="0024061C"/>
    <w:rsid w:val="002407AF"/>
    <w:rsid w:val="002411E8"/>
    <w:rsid w:val="00241BC8"/>
    <w:rsid w:val="00241C08"/>
    <w:rsid w:val="00241D41"/>
    <w:rsid w:val="0024280E"/>
    <w:rsid w:val="00243224"/>
    <w:rsid w:val="002434A7"/>
    <w:rsid w:val="00244291"/>
    <w:rsid w:val="00244882"/>
    <w:rsid w:val="0024594E"/>
    <w:rsid w:val="00246851"/>
    <w:rsid w:val="002468AE"/>
    <w:rsid w:val="00246D02"/>
    <w:rsid w:val="00246D9D"/>
    <w:rsid w:val="002472CA"/>
    <w:rsid w:val="00247828"/>
    <w:rsid w:val="00250D47"/>
    <w:rsid w:val="00251555"/>
    <w:rsid w:val="0025183D"/>
    <w:rsid w:val="00251ACE"/>
    <w:rsid w:val="00251FA9"/>
    <w:rsid w:val="00252017"/>
    <w:rsid w:val="00252036"/>
    <w:rsid w:val="00252B31"/>
    <w:rsid w:val="00252DC2"/>
    <w:rsid w:val="00253109"/>
    <w:rsid w:val="00253678"/>
    <w:rsid w:val="00253C48"/>
    <w:rsid w:val="002541D0"/>
    <w:rsid w:val="002548B1"/>
    <w:rsid w:val="0025561E"/>
    <w:rsid w:val="002557C7"/>
    <w:rsid w:val="00256013"/>
    <w:rsid w:val="0025646B"/>
    <w:rsid w:val="00256634"/>
    <w:rsid w:val="00256E13"/>
    <w:rsid w:val="00257066"/>
    <w:rsid w:val="002578DF"/>
    <w:rsid w:val="00257A5B"/>
    <w:rsid w:val="00260461"/>
    <w:rsid w:val="00260656"/>
    <w:rsid w:val="002606F8"/>
    <w:rsid w:val="00261101"/>
    <w:rsid w:val="0026165B"/>
    <w:rsid w:val="00261743"/>
    <w:rsid w:val="00261C6D"/>
    <w:rsid w:val="00261C85"/>
    <w:rsid w:val="00261D4C"/>
    <w:rsid w:val="00261E20"/>
    <w:rsid w:val="00261E3C"/>
    <w:rsid w:val="00262F5B"/>
    <w:rsid w:val="00262F63"/>
    <w:rsid w:val="00263072"/>
    <w:rsid w:val="00263773"/>
    <w:rsid w:val="002642A4"/>
    <w:rsid w:val="0026444D"/>
    <w:rsid w:val="00264752"/>
    <w:rsid w:val="00264787"/>
    <w:rsid w:val="002650E3"/>
    <w:rsid w:val="00265B1A"/>
    <w:rsid w:val="00265E58"/>
    <w:rsid w:val="002662C7"/>
    <w:rsid w:val="00266603"/>
    <w:rsid w:val="002674BC"/>
    <w:rsid w:val="00267C19"/>
    <w:rsid w:val="00267FCC"/>
    <w:rsid w:val="0027098C"/>
    <w:rsid w:val="00270A70"/>
    <w:rsid w:val="00270C5C"/>
    <w:rsid w:val="00270F23"/>
    <w:rsid w:val="002715EC"/>
    <w:rsid w:val="00271861"/>
    <w:rsid w:val="00271934"/>
    <w:rsid w:val="002721B5"/>
    <w:rsid w:val="00272416"/>
    <w:rsid w:val="002725D0"/>
    <w:rsid w:val="00272D29"/>
    <w:rsid w:val="00272E37"/>
    <w:rsid w:val="002735C9"/>
    <w:rsid w:val="00273A2A"/>
    <w:rsid w:val="00273C7F"/>
    <w:rsid w:val="00273DE8"/>
    <w:rsid w:val="00273E61"/>
    <w:rsid w:val="002741A6"/>
    <w:rsid w:val="00274494"/>
    <w:rsid w:val="002756F8"/>
    <w:rsid w:val="002759C5"/>
    <w:rsid w:val="00275D78"/>
    <w:rsid w:val="00275E59"/>
    <w:rsid w:val="002761CE"/>
    <w:rsid w:val="002765F4"/>
    <w:rsid w:val="002769EA"/>
    <w:rsid w:val="00276BA1"/>
    <w:rsid w:val="00276EA0"/>
    <w:rsid w:val="00277B3D"/>
    <w:rsid w:val="002802DC"/>
    <w:rsid w:val="00280706"/>
    <w:rsid w:val="00280F8D"/>
    <w:rsid w:val="00281606"/>
    <w:rsid w:val="00281E5D"/>
    <w:rsid w:val="00281EC3"/>
    <w:rsid w:val="00282592"/>
    <w:rsid w:val="00283084"/>
    <w:rsid w:val="00283251"/>
    <w:rsid w:val="00283421"/>
    <w:rsid w:val="00283D22"/>
    <w:rsid w:val="0028412B"/>
    <w:rsid w:val="002846C9"/>
    <w:rsid w:val="00284C17"/>
    <w:rsid w:val="00284EBB"/>
    <w:rsid w:val="00284F64"/>
    <w:rsid w:val="002851FB"/>
    <w:rsid w:val="0028552E"/>
    <w:rsid w:val="00286239"/>
    <w:rsid w:val="00286461"/>
    <w:rsid w:val="0028663A"/>
    <w:rsid w:val="00286B0E"/>
    <w:rsid w:val="00286B4B"/>
    <w:rsid w:val="00286B94"/>
    <w:rsid w:val="00286BD1"/>
    <w:rsid w:val="00287088"/>
    <w:rsid w:val="0028710A"/>
    <w:rsid w:val="00287283"/>
    <w:rsid w:val="0028732F"/>
    <w:rsid w:val="00287590"/>
    <w:rsid w:val="00287977"/>
    <w:rsid w:val="00287BFE"/>
    <w:rsid w:val="00287E08"/>
    <w:rsid w:val="00287FE6"/>
    <w:rsid w:val="00290222"/>
    <w:rsid w:val="0029079D"/>
    <w:rsid w:val="00290CE2"/>
    <w:rsid w:val="002913B9"/>
    <w:rsid w:val="00291524"/>
    <w:rsid w:val="002917E3"/>
    <w:rsid w:val="002919AB"/>
    <w:rsid w:val="00291A0A"/>
    <w:rsid w:val="00291BF2"/>
    <w:rsid w:val="00291D71"/>
    <w:rsid w:val="00292313"/>
    <w:rsid w:val="00292614"/>
    <w:rsid w:val="00292C86"/>
    <w:rsid w:val="002930F5"/>
    <w:rsid w:val="00293C3E"/>
    <w:rsid w:val="00293F49"/>
    <w:rsid w:val="0029439C"/>
    <w:rsid w:val="0029493A"/>
    <w:rsid w:val="00294A4E"/>
    <w:rsid w:val="00294D6F"/>
    <w:rsid w:val="00295279"/>
    <w:rsid w:val="0029603B"/>
    <w:rsid w:val="0029641D"/>
    <w:rsid w:val="00296675"/>
    <w:rsid w:val="00296A9E"/>
    <w:rsid w:val="00296E62"/>
    <w:rsid w:val="002972DF"/>
    <w:rsid w:val="0029765E"/>
    <w:rsid w:val="002A0633"/>
    <w:rsid w:val="002A0826"/>
    <w:rsid w:val="002A0DD3"/>
    <w:rsid w:val="002A0FC3"/>
    <w:rsid w:val="002A12F1"/>
    <w:rsid w:val="002A1346"/>
    <w:rsid w:val="002A1D39"/>
    <w:rsid w:val="002A1D74"/>
    <w:rsid w:val="002A1F07"/>
    <w:rsid w:val="002A2043"/>
    <w:rsid w:val="002A25CB"/>
    <w:rsid w:val="002A2C89"/>
    <w:rsid w:val="002A2D73"/>
    <w:rsid w:val="002A339F"/>
    <w:rsid w:val="002A395B"/>
    <w:rsid w:val="002A431A"/>
    <w:rsid w:val="002A432B"/>
    <w:rsid w:val="002A4B7E"/>
    <w:rsid w:val="002A4BB1"/>
    <w:rsid w:val="002A4C04"/>
    <w:rsid w:val="002A4F95"/>
    <w:rsid w:val="002A5403"/>
    <w:rsid w:val="002A56DA"/>
    <w:rsid w:val="002A571E"/>
    <w:rsid w:val="002A59FD"/>
    <w:rsid w:val="002A5DA0"/>
    <w:rsid w:val="002A5DD0"/>
    <w:rsid w:val="002A6485"/>
    <w:rsid w:val="002A65FE"/>
    <w:rsid w:val="002A6669"/>
    <w:rsid w:val="002A69BC"/>
    <w:rsid w:val="002A69C8"/>
    <w:rsid w:val="002A6DDE"/>
    <w:rsid w:val="002A7272"/>
    <w:rsid w:val="002A7556"/>
    <w:rsid w:val="002A78E4"/>
    <w:rsid w:val="002A7E8B"/>
    <w:rsid w:val="002B0F56"/>
    <w:rsid w:val="002B13CB"/>
    <w:rsid w:val="002B16E0"/>
    <w:rsid w:val="002B1A2F"/>
    <w:rsid w:val="002B1B05"/>
    <w:rsid w:val="002B1D72"/>
    <w:rsid w:val="002B1E91"/>
    <w:rsid w:val="002B22EF"/>
    <w:rsid w:val="002B278A"/>
    <w:rsid w:val="002B278D"/>
    <w:rsid w:val="002B3111"/>
    <w:rsid w:val="002B32FC"/>
    <w:rsid w:val="002B3BCE"/>
    <w:rsid w:val="002B3E02"/>
    <w:rsid w:val="002B407B"/>
    <w:rsid w:val="002B417F"/>
    <w:rsid w:val="002B43EE"/>
    <w:rsid w:val="002B468E"/>
    <w:rsid w:val="002B4AAD"/>
    <w:rsid w:val="002B4DA6"/>
    <w:rsid w:val="002B4F0D"/>
    <w:rsid w:val="002B5024"/>
    <w:rsid w:val="002B525E"/>
    <w:rsid w:val="002B5898"/>
    <w:rsid w:val="002B59CA"/>
    <w:rsid w:val="002B5BA7"/>
    <w:rsid w:val="002B5FB0"/>
    <w:rsid w:val="002B626A"/>
    <w:rsid w:val="002B69F7"/>
    <w:rsid w:val="002B6BE2"/>
    <w:rsid w:val="002B709D"/>
    <w:rsid w:val="002B70F6"/>
    <w:rsid w:val="002B7189"/>
    <w:rsid w:val="002B7900"/>
    <w:rsid w:val="002B7948"/>
    <w:rsid w:val="002C0060"/>
    <w:rsid w:val="002C0078"/>
    <w:rsid w:val="002C0B24"/>
    <w:rsid w:val="002C0B97"/>
    <w:rsid w:val="002C10F7"/>
    <w:rsid w:val="002C1218"/>
    <w:rsid w:val="002C12F6"/>
    <w:rsid w:val="002C134A"/>
    <w:rsid w:val="002C1409"/>
    <w:rsid w:val="002C18B4"/>
    <w:rsid w:val="002C1E79"/>
    <w:rsid w:val="002C1E98"/>
    <w:rsid w:val="002C1E9C"/>
    <w:rsid w:val="002C2270"/>
    <w:rsid w:val="002C22E5"/>
    <w:rsid w:val="002C2532"/>
    <w:rsid w:val="002C2E51"/>
    <w:rsid w:val="002C2F4A"/>
    <w:rsid w:val="002C30A7"/>
    <w:rsid w:val="002C3DB9"/>
    <w:rsid w:val="002C431F"/>
    <w:rsid w:val="002C4C80"/>
    <w:rsid w:val="002C5202"/>
    <w:rsid w:val="002C522F"/>
    <w:rsid w:val="002C6236"/>
    <w:rsid w:val="002C62A6"/>
    <w:rsid w:val="002C6444"/>
    <w:rsid w:val="002C6677"/>
    <w:rsid w:val="002C6BA0"/>
    <w:rsid w:val="002C6F73"/>
    <w:rsid w:val="002C70A1"/>
    <w:rsid w:val="002C7C1A"/>
    <w:rsid w:val="002C7E63"/>
    <w:rsid w:val="002D0420"/>
    <w:rsid w:val="002D0E5F"/>
    <w:rsid w:val="002D11A3"/>
    <w:rsid w:val="002D16DB"/>
    <w:rsid w:val="002D18FC"/>
    <w:rsid w:val="002D19B4"/>
    <w:rsid w:val="002D20A7"/>
    <w:rsid w:val="002D20EC"/>
    <w:rsid w:val="002D21E4"/>
    <w:rsid w:val="002D22A0"/>
    <w:rsid w:val="002D2B57"/>
    <w:rsid w:val="002D2F09"/>
    <w:rsid w:val="002D33D6"/>
    <w:rsid w:val="002D34BC"/>
    <w:rsid w:val="002D35D0"/>
    <w:rsid w:val="002D3A99"/>
    <w:rsid w:val="002D3F35"/>
    <w:rsid w:val="002D4703"/>
    <w:rsid w:val="002D535D"/>
    <w:rsid w:val="002D548B"/>
    <w:rsid w:val="002D576C"/>
    <w:rsid w:val="002D578D"/>
    <w:rsid w:val="002D58E5"/>
    <w:rsid w:val="002D5F47"/>
    <w:rsid w:val="002D60FB"/>
    <w:rsid w:val="002D62EA"/>
    <w:rsid w:val="002D6996"/>
    <w:rsid w:val="002D6AB5"/>
    <w:rsid w:val="002D7D47"/>
    <w:rsid w:val="002E0263"/>
    <w:rsid w:val="002E0B8F"/>
    <w:rsid w:val="002E0C25"/>
    <w:rsid w:val="002E116E"/>
    <w:rsid w:val="002E149C"/>
    <w:rsid w:val="002E1814"/>
    <w:rsid w:val="002E1AA5"/>
    <w:rsid w:val="002E1E43"/>
    <w:rsid w:val="002E26B3"/>
    <w:rsid w:val="002E2D95"/>
    <w:rsid w:val="002E31A4"/>
    <w:rsid w:val="002E4172"/>
    <w:rsid w:val="002E45C6"/>
    <w:rsid w:val="002E52A4"/>
    <w:rsid w:val="002E610D"/>
    <w:rsid w:val="002E6559"/>
    <w:rsid w:val="002E685A"/>
    <w:rsid w:val="002E6ABC"/>
    <w:rsid w:val="002E75A6"/>
    <w:rsid w:val="002E75F5"/>
    <w:rsid w:val="002F00FF"/>
    <w:rsid w:val="002F03C5"/>
    <w:rsid w:val="002F0CC6"/>
    <w:rsid w:val="002F0FF8"/>
    <w:rsid w:val="002F11F3"/>
    <w:rsid w:val="002F148F"/>
    <w:rsid w:val="002F1911"/>
    <w:rsid w:val="002F1B68"/>
    <w:rsid w:val="002F1D8C"/>
    <w:rsid w:val="002F1EE5"/>
    <w:rsid w:val="002F1FD3"/>
    <w:rsid w:val="002F2CDC"/>
    <w:rsid w:val="002F2D68"/>
    <w:rsid w:val="002F2DD2"/>
    <w:rsid w:val="002F3582"/>
    <w:rsid w:val="002F3C64"/>
    <w:rsid w:val="002F3F2F"/>
    <w:rsid w:val="002F41AA"/>
    <w:rsid w:val="002F43F5"/>
    <w:rsid w:val="002F460A"/>
    <w:rsid w:val="002F46E1"/>
    <w:rsid w:val="002F4D7C"/>
    <w:rsid w:val="002F52A7"/>
    <w:rsid w:val="002F540A"/>
    <w:rsid w:val="002F5C0F"/>
    <w:rsid w:val="002F6316"/>
    <w:rsid w:val="002F660C"/>
    <w:rsid w:val="002F6A62"/>
    <w:rsid w:val="002F6C84"/>
    <w:rsid w:val="002F6FE1"/>
    <w:rsid w:val="002F7171"/>
    <w:rsid w:val="002F79F4"/>
    <w:rsid w:val="002F7FCB"/>
    <w:rsid w:val="0030063B"/>
    <w:rsid w:val="003006A0"/>
    <w:rsid w:val="003007B5"/>
    <w:rsid w:val="00300AA0"/>
    <w:rsid w:val="0030137B"/>
    <w:rsid w:val="0030172B"/>
    <w:rsid w:val="00301897"/>
    <w:rsid w:val="00301B2D"/>
    <w:rsid w:val="00301E85"/>
    <w:rsid w:val="00302084"/>
    <w:rsid w:val="00302635"/>
    <w:rsid w:val="00302826"/>
    <w:rsid w:val="00302BC9"/>
    <w:rsid w:val="00302CD5"/>
    <w:rsid w:val="00302EA9"/>
    <w:rsid w:val="00303552"/>
    <w:rsid w:val="0030383E"/>
    <w:rsid w:val="003038AA"/>
    <w:rsid w:val="00303ADC"/>
    <w:rsid w:val="00303AFA"/>
    <w:rsid w:val="00303B82"/>
    <w:rsid w:val="00303D16"/>
    <w:rsid w:val="00304161"/>
    <w:rsid w:val="00304678"/>
    <w:rsid w:val="003047E4"/>
    <w:rsid w:val="00304D95"/>
    <w:rsid w:val="003050B7"/>
    <w:rsid w:val="00305763"/>
    <w:rsid w:val="00305947"/>
    <w:rsid w:val="00306732"/>
    <w:rsid w:val="00306A0B"/>
    <w:rsid w:val="00306EDE"/>
    <w:rsid w:val="00307010"/>
    <w:rsid w:val="003070FA"/>
    <w:rsid w:val="00307186"/>
    <w:rsid w:val="003077A5"/>
    <w:rsid w:val="00307F9B"/>
    <w:rsid w:val="00310188"/>
    <w:rsid w:val="003103BE"/>
    <w:rsid w:val="00310409"/>
    <w:rsid w:val="00310F45"/>
    <w:rsid w:val="00311015"/>
    <w:rsid w:val="00311460"/>
    <w:rsid w:val="00311E4A"/>
    <w:rsid w:val="003121A6"/>
    <w:rsid w:val="00312777"/>
    <w:rsid w:val="003127D5"/>
    <w:rsid w:val="00312878"/>
    <w:rsid w:val="00312B67"/>
    <w:rsid w:val="00312E36"/>
    <w:rsid w:val="00312ECC"/>
    <w:rsid w:val="003131DA"/>
    <w:rsid w:val="00313290"/>
    <w:rsid w:val="003132D1"/>
    <w:rsid w:val="00313783"/>
    <w:rsid w:val="00313C71"/>
    <w:rsid w:val="00313C7C"/>
    <w:rsid w:val="00313D44"/>
    <w:rsid w:val="00314563"/>
    <w:rsid w:val="003148D6"/>
    <w:rsid w:val="00314B9F"/>
    <w:rsid w:val="00314BF3"/>
    <w:rsid w:val="00314C6B"/>
    <w:rsid w:val="003152CF"/>
    <w:rsid w:val="003155D2"/>
    <w:rsid w:val="003155D5"/>
    <w:rsid w:val="0031567F"/>
    <w:rsid w:val="00315A8B"/>
    <w:rsid w:val="00315F32"/>
    <w:rsid w:val="0031643E"/>
    <w:rsid w:val="00316E30"/>
    <w:rsid w:val="003171D9"/>
    <w:rsid w:val="003174A2"/>
    <w:rsid w:val="00317C18"/>
    <w:rsid w:val="00317DE3"/>
    <w:rsid w:val="00317E09"/>
    <w:rsid w:val="00320048"/>
    <w:rsid w:val="00320566"/>
    <w:rsid w:val="00320993"/>
    <w:rsid w:val="00320996"/>
    <w:rsid w:val="00320DBB"/>
    <w:rsid w:val="00321199"/>
    <w:rsid w:val="00321823"/>
    <w:rsid w:val="00321887"/>
    <w:rsid w:val="003218FA"/>
    <w:rsid w:val="003223DE"/>
    <w:rsid w:val="003226F3"/>
    <w:rsid w:val="003228AC"/>
    <w:rsid w:val="003228EA"/>
    <w:rsid w:val="00322B57"/>
    <w:rsid w:val="00322FCD"/>
    <w:rsid w:val="0032310A"/>
    <w:rsid w:val="00323783"/>
    <w:rsid w:val="00323DC0"/>
    <w:rsid w:val="00323F7B"/>
    <w:rsid w:val="003240F6"/>
    <w:rsid w:val="00324208"/>
    <w:rsid w:val="0032458F"/>
    <w:rsid w:val="003245AA"/>
    <w:rsid w:val="00324AF7"/>
    <w:rsid w:val="003259A3"/>
    <w:rsid w:val="00325A7A"/>
    <w:rsid w:val="00325ABC"/>
    <w:rsid w:val="00325DDA"/>
    <w:rsid w:val="0032670D"/>
    <w:rsid w:val="00326ED8"/>
    <w:rsid w:val="00326F1D"/>
    <w:rsid w:val="00327D35"/>
    <w:rsid w:val="00330385"/>
    <w:rsid w:val="003308AC"/>
    <w:rsid w:val="00330B40"/>
    <w:rsid w:val="00330B78"/>
    <w:rsid w:val="003311C4"/>
    <w:rsid w:val="0033180A"/>
    <w:rsid w:val="0033185B"/>
    <w:rsid w:val="00331FBE"/>
    <w:rsid w:val="0033253F"/>
    <w:rsid w:val="003327A4"/>
    <w:rsid w:val="0033295D"/>
    <w:rsid w:val="0033296A"/>
    <w:rsid w:val="00332DFF"/>
    <w:rsid w:val="00332E65"/>
    <w:rsid w:val="00333128"/>
    <w:rsid w:val="00333223"/>
    <w:rsid w:val="003346CE"/>
    <w:rsid w:val="00334DF1"/>
    <w:rsid w:val="0033515F"/>
    <w:rsid w:val="00335467"/>
    <w:rsid w:val="00335474"/>
    <w:rsid w:val="003356C8"/>
    <w:rsid w:val="00335AFA"/>
    <w:rsid w:val="003367B9"/>
    <w:rsid w:val="00337797"/>
    <w:rsid w:val="003377BE"/>
    <w:rsid w:val="00340878"/>
    <w:rsid w:val="00340B7E"/>
    <w:rsid w:val="00340BFC"/>
    <w:rsid w:val="00340D3C"/>
    <w:rsid w:val="00340D58"/>
    <w:rsid w:val="00341011"/>
    <w:rsid w:val="0034111B"/>
    <w:rsid w:val="00341440"/>
    <w:rsid w:val="003414D2"/>
    <w:rsid w:val="003416BB"/>
    <w:rsid w:val="003417AD"/>
    <w:rsid w:val="00341A8C"/>
    <w:rsid w:val="003422F0"/>
    <w:rsid w:val="0034257E"/>
    <w:rsid w:val="003427AD"/>
    <w:rsid w:val="00342877"/>
    <w:rsid w:val="00342895"/>
    <w:rsid w:val="0034333F"/>
    <w:rsid w:val="00343DB9"/>
    <w:rsid w:val="00344502"/>
    <w:rsid w:val="0034538F"/>
    <w:rsid w:val="00345754"/>
    <w:rsid w:val="003459BC"/>
    <w:rsid w:val="00345A10"/>
    <w:rsid w:val="00345B71"/>
    <w:rsid w:val="00346472"/>
    <w:rsid w:val="003469F1"/>
    <w:rsid w:val="00346A8C"/>
    <w:rsid w:val="00346C96"/>
    <w:rsid w:val="00346F98"/>
    <w:rsid w:val="00347009"/>
    <w:rsid w:val="00347992"/>
    <w:rsid w:val="00347A62"/>
    <w:rsid w:val="00347D0F"/>
    <w:rsid w:val="00347E52"/>
    <w:rsid w:val="003501F6"/>
    <w:rsid w:val="00350E74"/>
    <w:rsid w:val="003512B0"/>
    <w:rsid w:val="00351D3A"/>
    <w:rsid w:val="00352335"/>
    <w:rsid w:val="00352505"/>
    <w:rsid w:val="00352605"/>
    <w:rsid w:val="003528AE"/>
    <w:rsid w:val="00352904"/>
    <w:rsid w:val="00352A62"/>
    <w:rsid w:val="00352B17"/>
    <w:rsid w:val="0035309B"/>
    <w:rsid w:val="0035403B"/>
    <w:rsid w:val="0035452D"/>
    <w:rsid w:val="00354A12"/>
    <w:rsid w:val="00354FD7"/>
    <w:rsid w:val="00355116"/>
    <w:rsid w:val="00355379"/>
    <w:rsid w:val="00355AC5"/>
    <w:rsid w:val="0035613B"/>
    <w:rsid w:val="003561CB"/>
    <w:rsid w:val="003561D0"/>
    <w:rsid w:val="00356253"/>
    <w:rsid w:val="00356756"/>
    <w:rsid w:val="00356AA4"/>
    <w:rsid w:val="003571FB"/>
    <w:rsid w:val="003574D4"/>
    <w:rsid w:val="0035750A"/>
    <w:rsid w:val="0035764B"/>
    <w:rsid w:val="00357680"/>
    <w:rsid w:val="003576F7"/>
    <w:rsid w:val="00357982"/>
    <w:rsid w:val="00357D33"/>
    <w:rsid w:val="0036059C"/>
    <w:rsid w:val="003607C5"/>
    <w:rsid w:val="00360AD9"/>
    <w:rsid w:val="00360CF1"/>
    <w:rsid w:val="00360DA1"/>
    <w:rsid w:val="00360DAA"/>
    <w:rsid w:val="003611C4"/>
    <w:rsid w:val="003614B0"/>
    <w:rsid w:val="003617B8"/>
    <w:rsid w:val="003617B9"/>
    <w:rsid w:val="00361E66"/>
    <w:rsid w:val="00361FD9"/>
    <w:rsid w:val="00362919"/>
    <w:rsid w:val="00362B31"/>
    <w:rsid w:val="00362C4B"/>
    <w:rsid w:val="00362D1B"/>
    <w:rsid w:val="00363169"/>
    <w:rsid w:val="003634EA"/>
    <w:rsid w:val="00363A15"/>
    <w:rsid w:val="00363CDC"/>
    <w:rsid w:val="00363ECF"/>
    <w:rsid w:val="003646FB"/>
    <w:rsid w:val="003647D5"/>
    <w:rsid w:val="00364B2A"/>
    <w:rsid w:val="00364C5E"/>
    <w:rsid w:val="00365560"/>
    <w:rsid w:val="00365701"/>
    <w:rsid w:val="0036573A"/>
    <w:rsid w:val="00365E23"/>
    <w:rsid w:val="0036635B"/>
    <w:rsid w:val="0036668C"/>
    <w:rsid w:val="003669A6"/>
    <w:rsid w:val="00366BFF"/>
    <w:rsid w:val="00367382"/>
    <w:rsid w:val="0036747E"/>
    <w:rsid w:val="003701AC"/>
    <w:rsid w:val="00370645"/>
    <w:rsid w:val="00370B30"/>
    <w:rsid w:val="00370CBF"/>
    <w:rsid w:val="00370E99"/>
    <w:rsid w:val="00371090"/>
    <w:rsid w:val="003716BA"/>
    <w:rsid w:val="00371F0E"/>
    <w:rsid w:val="003725BF"/>
    <w:rsid w:val="00372773"/>
    <w:rsid w:val="003728D7"/>
    <w:rsid w:val="0037312C"/>
    <w:rsid w:val="003731C3"/>
    <w:rsid w:val="00373F94"/>
    <w:rsid w:val="00374200"/>
    <w:rsid w:val="003742E9"/>
    <w:rsid w:val="00374549"/>
    <w:rsid w:val="00374761"/>
    <w:rsid w:val="0037484D"/>
    <w:rsid w:val="00374C13"/>
    <w:rsid w:val="003756A8"/>
    <w:rsid w:val="0037647F"/>
    <w:rsid w:val="003767FB"/>
    <w:rsid w:val="00376B6A"/>
    <w:rsid w:val="0037705C"/>
    <w:rsid w:val="0037744F"/>
    <w:rsid w:val="003777E2"/>
    <w:rsid w:val="00377A00"/>
    <w:rsid w:val="00377E05"/>
    <w:rsid w:val="0038054D"/>
    <w:rsid w:val="00381046"/>
    <w:rsid w:val="00381260"/>
    <w:rsid w:val="00381F15"/>
    <w:rsid w:val="003821E7"/>
    <w:rsid w:val="00382326"/>
    <w:rsid w:val="0038251E"/>
    <w:rsid w:val="00382526"/>
    <w:rsid w:val="0038258C"/>
    <w:rsid w:val="00382636"/>
    <w:rsid w:val="00382BDA"/>
    <w:rsid w:val="00382BEB"/>
    <w:rsid w:val="00382F70"/>
    <w:rsid w:val="00382F73"/>
    <w:rsid w:val="003831BC"/>
    <w:rsid w:val="003832AD"/>
    <w:rsid w:val="00383731"/>
    <w:rsid w:val="003837CD"/>
    <w:rsid w:val="00383846"/>
    <w:rsid w:val="0038391C"/>
    <w:rsid w:val="00383BA8"/>
    <w:rsid w:val="00384195"/>
    <w:rsid w:val="0038461D"/>
    <w:rsid w:val="00384632"/>
    <w:rsid w:val="00384693"/>
    <w:rsid w:val="0038480A"/>
    <w:rsid w:val="00384AB5"/>
    <w:rsid w:val="00384C92"/>
    <w:rsid w:val="00384D9B"/>
    <w:rsid w:val="00384DD8"/>
    <w:rsid w:val="00384F61"/>
    <w:rsid w:val="003852C5"/>
    <w:rsid w:val="0038555F"/>
    <w:rsid w:val="0038567B"/>
    <w:rsid w:val="00385912"/>
    <w:rsid w:val="00385979"/>
    <w:rsid w:val="00385D3D"/>
    <w:rsid w:val="003861D5"/>
    <w:rsid w:val="00386D50"/>
    <w:rsid w:val="0038711A"/>
    <w:rsid w:val="00387141"/>
    <w:rsid w:val="00387D45"/>
    <w:rsid w:val="00387EAE"/>
    <w:rsid w:val="00387EC3"/>
    <w:rsid w:val="003900E9"/>
    <w:rsid w:val="0039064C"/>
    <w:rsid w:val="00390685"/>
    <w:rsid w:val="0039114E"/>
    <w:rsid w:val="00391591"/>
    <w:rsid w:val="00391716"/>
    <w:rsid w:val="0039191D"/>
    <w:rsid w:val="00391ABF"/>
    <w:rsid w:val="00391E30"/>
    <w:rsid w:val="00391E36"/>
    <w:rsid w:val="00392145"/>
    <w:rsid w:val="0039226A"/>
    <w:rsid w:val="003922C1"/>
    <w:rsid w:val="003924E4"/>
    <w:rsid w:val="0039291E"/>
    <w:rsid w:val="00392C57"/>
    <w:rsid w:val="00392D33"/>
    <w:rsid w:val="003936DF"/>
    <w:rsid w:val="00393895"/>
    <w:rsid w:val="00393C62"/>
    <w:rsid w:val="00393CE6"/>
    <w:rsid w:val="00393EDF"/>
    <w:rsid w:val="00394211"/>
    <w:rsid w:val="0039438A"/>
    <w:rsid w:val="00394791"/>
    <w:rsid w:val="003947BF"/>
    <w:rsid w:val="003948B1"/>
    <w:rsid w:val="003951D9"/>
    <w:rsid w:val="00395229"/>
    <w:rsid w:val="00395286"/>
    <w:rsid w:val="00395F99"/>
    <w:rsid w:val="00396437"/>
    <w:rsid w:val="0039687E"/>
    <w:rsid w:val="00396A34"/>
    <w:rsid w:val="00396DC3"/>
    <w:rsid w:val="0039769A"/>
    <w:rsid w:val="003A0277"/>
    <w:rsid w:val="003A0316"/>
    <w:rsid w:val="003A063D"/>
    <w:rsid w:val="003A06E0"/>
    <w:rsid w:val="003A090B"/>
    <w:rsid w:val="003A0E93"/>
    <w:rsid w:val="003A12D7"/>
    <w:rsid w:val="003A13DE"/>
    <w:rsid w:val="003A17C3"/>
    <w:rsid w:val="003A219B"/>
    <w:rsid w:val="003A21F8"/>
    <w:rsid w:val="003A24D1"/>
    <w:rsid w:val="003A284B"/>
    <w:rsid w:val="003A293A"/>
    <w:rsid w:val="003A2A56"/>
    <w:rsid w:val="003A2AE0"/>
    <w:rsid w:val="003A2D67"/>
    <w:rsid w:val="003A3642"/>
    <w:rsid w:val="003A36CE"/>
    <w:rsid w:val="003A3CDA"/>
    <w:rsid w:val="003A3F3F"/>
    <w:rsid w:val="003A444D"/>
    <w:rsid w:val="003A46E9"/>
    <w:rsid w:val="003A472D"/>
    <w:rsid w:val="003A48A4"/>
    <w:rsid w:val="003A4A14"/>
    <w:rsid w:val="003A4FFA"/>
    <w:rsid w:val="003A5101"/>
    <w:rsid w:val="003A510B"/>
    <w:rsid w:val="003A550E"/>
    <w:rsid w:val="003A5781"/>
    <w:rsid w:val="003A58DC"/>
    <w:rsid w:val="003A5C62"/>
    <w:rsid w:val="003A5D6F"/>
    <w:rsid w:val="003A5D88"/>
    <w:rsid w:val="003A63DB"/>
    <w:rsid w:val="003A684C"/>
    <w:rsid w:val="003A6A5D"/>
    <w:rsid w:val="003A6EBC"/>
    <w:rsid w:val="003A74F7"/>
    <w:rsid w:val="003A77A6"/>
    <w:rsid w:val="003A7D3E"/>
    <w:rsid w:val="003B01FF"/>
    <w:rsid w:val="003B0306"/>
    <w:rsid w:val="003B0B3A"/>
    <w:rsid w:val="003B0DB6"/>
    <w:rsid w:val="003B0E84"/>
    <w:rsid w:val="003B10A8"/>
    <w:rsid w:val="003B10F8"/>
    <w:rsid w:val="003B1280"/>
    <w:rsid w:val="003B1636"/>
    <w:rsid w:val="003B197A"/>
    <w:rsid w:val="003B2537"/>
    <w:rsid w:val="003B3072"/>
    <w:rsid w:val="003B41FC"/>
    <w:rsid w:val="003B45C0"/>
    <w:rsid w:val="003B4634"/>
    <w:rsid w:val="003B4DB9"/>
    <w:rsid w:val="003B51ED"/>
    <w:rsid w:val="003B5958"/>
    <w:rsid w:val="003B61EE"/>
    <w:rsid w:val="003B6FEC"/>
    <w:rsid w:val="003B70FD"/>
    <w:rsid w:val="003B769E"/>
    <w:rsid w:val="003B7C0A"/>
    <w:rsid w:val="003B7CB3"/>
    <w:rsid w:val="003C0190"/>
    <w:rsid w:val="003C021F"/>
    <w:rsid w:val="003C048B"/>
    <w:rsid w:val="003C0C33"/>
    <w:rsid w:val="003C0E9A"/>
    <w:rsid w:val="003C0FB8"/>
    <w:rsid w:val="003C105F"/>
    <w:rsid w:val="003C2DBF"/>
    <w:rsid w:val="003C2F67"/>
    <w:rsid w:val="003C30BF"/>
    <w:rsid w:val="003C33A6"/>
    <w:rsid w:val="003C37A3"/>
    <w:rsid w:val="003C41B5"/>
    <w:rsid w:val="003C4714"/>
    <w:rsid w:val="003C4BBF"/>
    <w:rsid w:val="003C4C2D"/>
    <w:rsid w:val="003C4D00"/>
    <w:rsid w:val="003C4D39"/>
    <w:rsid w:val="003C521E"/>
    <w:rsid w:val="003C54A5"/>
    <w:rsid w:val="003C571A"/>
    <w:rsid w:val="003C590E"/>
    <w:rsid w:val="003C594E"/>
    <w:rsid w:val="003C5A7A"/>
    <w:rsid w:val="003C6565"/>
    <w:rsid w:val="003C7091"/>
    <w:rsid w:val="003C7212"/>
    <w:rsid w:val="003C733C"/>
    <w:rsid w:val="003C7E88"/>
    <w:rsid w:val="003D04D6"/>
    <w:rsid w:val="003D0685"/>
    <w:rsid w:val="003D068D"/>
    <w:rsid w:val="003D0AB5"/>
    <w:rsid w:val="003D0AC9"/>
    <w:rsid w:val="003D0BAF"/>
    <w:rsid w:val="003D0C96"/>
    <w:rsid w:val="003D0D3C"/>
    <w:rsid w:val="003D1163"/>
    <w:rsid w:val="003D188F"/>
    <w:rsid w:val="003D1C3F"/>
    <w:rsid w:val="003D1E1C"/>
    <w:rsid w:val="003D1FF9"/>
    <w:rsid w:val="003D2A68"/>
    <w:rsid w:val="003D2DC7"/>
    <w:rsid w:val="003D3EC6"/>
    <w:rsid w:val="003D43F0"/>
    <w:rsid w:val="003D583D"/>
    <w:rsid w:val="003D58FC"/>
    <w:rsid w:val="003D5A9B"/>
    <w:rsid w:val="003D5AB0"/>
    <w:rsid w:val="003D5E6C"/>
    <w:rsid w:val="003D5F07"/>
    <w:rsid w:val="003D5FAC"/>
    <w:rsid w:val="003D6853"/>
    <w:rsid w:val="003D6A9A"/>
    <w:rsid w:val="003D6AE2"/>
    <w:rsid w:val="003D771E"/>
    <w:rsid w:val="003D7742"/>
    <w:rsid w:val="003D7AE6"/>
    <w:rsid w:val="003E020B"/>
    <w:rsid w:val="003E039A"/>
    <w:rsid w:val="003E0406"/>
    <w:rsid w:val="003E0471"/>
    <w:rsid w:val="003E0988"/>
    <w:rsid w:val="003E10F4"/>
    <w:rsid w:val="003E126E"/>
    <w:rsid w:val="003E151E"/>
    <w:rsid w:val="003E1535"/>
    <w:rsid w:val="003E1C08"/>
    <w:rsid w:val="003E1C42"/>
    <w:rsid w:val="003E1DC0"/>
    <w:rsid w:val="003E23E6"/>
    <w:rsid w:val="003E2428"/>
    <w:rsid w:val="003E2D0C"/>
    <w:rsid w:val="003E31BE"/>
    <w:rsid w:val="003E3312"/>
    <w:rsid w:val="003E35CF"/>
    <w:rsid w:val="003E3B0F"/>
    <w:rsid w:val="003E3CBD"/>
    <w:rsid w:val="003E3E94"/>
    <w:rsid w:val="003E3E9A"/>
    <w:rsid w:val="003E4721"/>
    <w:rsid w:val="003E5015"/>
    <w:rsid w:val="003E5158"/>
    <w:rsid w:val="003E526A"/>
    <w:rsid w:val="003E5405"/>
    <w:rsid w:val="003E5CDE"/>
    <w:rsid w:val="003E6423"/>
    <w:rsid w:val="003E6513"/>
    <w:rsid w:val="003E710B"/>
    <w:rsid w:val="003E7A91"/>
    <w:rsid w:val="003E7B17"/>
    <w:rsid w:val="003F12CE"/>
    <w:rsid w:val="003F1776"/>
    <w:rsid w:val="003F1843"/>
    <w:rsid w:val="003F19CF"/>
    <w:rsid w:val="003F1B52"/>
    <w:rsid w:val="003F20A4"/>
    <w:rsid w:val="003F20DE"/>
    <w:rsid w:val="003F23B4"/>
    <w:rsid w:val="003F2764"/>
    <w:rsid w:val="003F29B4"/>
    <w:rsid w:val="003F2EED"/>
    <w:rsid w:val="003F3325"/>
    <w:rsid w:val="003F340D"/>
    <w:rsid w:val="003F3FAB"/>
    <w:rsid w:val="003F40D1"/>
    <w:rsid w:val="003F4EE4"/>
    <w:rsid w:val="003F4F84"/>
    <w:rsid w:val="003F516E"/>
    <w:rsid w:val="003F54E5"/>
    <w:rsid w:val="003F5716"/>
    <w:rsid w:val="003F60C2"/>
    <w:rsid w:val="003F649F"/>
    <w:rsid w:val="003F698E"/>
    <w:rsid w:val="003F6A94"/>
    <w:rsid w:val="003F6BA0"/>
    <w:rsid w:val="003F704B"/>
    <w:rsid w:val="003F74D8"/>
    <w:rsid w:val="003F76F6"/>
    <w:rsid w:val="003F7758"/>
    <w:rsid w:val="003F7B4F"/>
    <w:rsid w:val="004003C6"/>
    <w:rsid w:val="004008A0"/>
    <w:rsid w:val="00400E28"/>
    <w:rsid w:val="00401287"/>
    <w:rsid w:val="0040218F"/>
    <w:rsid w:val="00402274"/>
    <w:rsid w:val="004026AA"/>
    <w:rsid w:val="00402AD4"/>
    <w:rsid w:val="00403975"/>
    <w:rsid w:val="00403D3C"/>
    <w:rsid w:val="00403F36"/>
    <w:rsid w:val="004040FE"/>
    <w:rsid w:val="00404785"/>
    <w:rsid w:val="00404A02"/>
    <w:rsid w:val="00404F2A"/>
    <w:rsid w:val="0040554F"/>
    <w:rsid w:val="00405E34"/>
    <w:rsid w:val="00405FB4"/>
    <w:rsid w:val="004062D7"/>
    <w:rsid w:val="004063BD"/>
    <w:rsid w:val="00406B8E"/>
    <w:rsid w:val="00406E86"/>
    <w:rsid w:val="004071AA"/>
    <w:rsid w:val="004071E1"/>
    <w:rsid w:val="00407691"/>
    <w:rsid w:val="00407B1E"/>
    <w:rsid w:val="00407B24"/>
    <w:rsid w:val="00410386"/>
    <w:rsid w:val="004105C1"/>
    <w:rsid w:val="00410BBB"/>
    <w:rsid w:val="004115F5"/>
    <w:rsid w:val="00411607"/>
    <w:rsid w:val="00411C04"/>
    <w:rsid w:val="00411EB7"/>
    <w:rsid w:val="00411F9F"/>
    <w:rsid w:val="004122EA"/>
    <w:rsid w:val="00412366"/>
    <w:rsid w:val="004123F4"/>
    <w:rsid w:val="00412488"/>
    <w:rsid w:val="00414424"/>
    <w:rsid w:val="00414636"/>
    <w:rsid w:val="00414936"/>
    <w:rsid w:val="00414D29"/>
    <w:rsid w:val="004151A4"/>
    <w:rsid w:val="0041530D"/>
    <w:rsid w:val="00415552"/>
    <w:rsid w:val="00415807"/>
    <w:rsid w:val="00416D3B"/>
    <w:rsid w:val="00416F71"/>
    <w:rsid w:val="00417165"/>
    <w:rsid w:val="00417431"/>
    <w:rsid w:val="0041773E"/>
    <w:rsid w:val="00417B83"/>
    <w:rsid w:val="00420984"/>
    <w:rsid w:val="00420A6E"/>
    <w:rsid w:val="00420BA9"/>
    <w:rsid w:val="00420EE4"/>
    <w:rsid w:val="00421356"/>
    <w:rsid w:val="004214FD"/>
    <w:rsid w:val="004216A1"/>
    <w:rsid w:val="004216E4"/>
    <w:rsid w:val="0042209B"/>
    <w:rsid w:val="0042213B"/>
    <w:rsid w:val="00422195"/>
    <w:rsid w:val="004226E7"/>
    <w:rsid w:val="00422C3B"/>
    <w:rsid w:val="00422DF0"/>
    <w:rsid w:val="004235B0"/>
    <w:rsid w:val="00423689"/>
    <w:rsid w:val="004237D9"/>
    <w:rsid w:val="004237DE"/>
    <w:rsid w:val="00423847"/>
    <w:rsid w:val="00423B1B"/>
    <w:rsid w:val="00423BCC"/>
    <w:rsid w:val="00423C21"/>
    <w:rsid w:val="00423D4D"/>
    <w:rsid w:val="004242E0"/>
    <w:rsid w:val="0042443E"/>
    <w:rsid w:val="0042466E"/>
    <w:rsid w:val="00424A0D"/>
    <w:rsid w:val="0042500C"/>
    <w:rsid w:val="004256F0"/>
    <w:rsid w:val="004257F8"/>
    <w:rsid w:val="00425B7D"/>
    <w:rsid w:val="00425D6B"/>
    <w:rsid w:val="00426920"/>
    <w:rsid w:val="0042695B"/>
    <w:rsid w:val="004273AC"/>
    <w:rsid w:val="004276C1"/>
    <w:rsid w:val="00427CC2"/>
    <w:rsid w:val="00430244"/>
    <w:rsid w:val="004307D9"/>
    <w:rsid w:val="00430804"/>
    <w:rsid w:val="00430FD8"/>
    <w:rsid w:val="004315B6"/>
    <w:rsid w:val="00432666"/>
    <w:rsid w:val="00432EBC"/>
    <w:rsid w:val="00433709"/>
    <w:rsid w:val="00434DF3"/>
    <w:rsid w:val="00434FF6"/>
    <w:rsid w:val="00435BDC"/>
    <w:rsid w:val="00436A99"/>
    <w:rsid w:val="00436FF7"/>
    <w:rsid w:val="0043720F"/>
    <w:rsid w:val="00437592"/>
    <w:rsid w:val="00437B42"/>
    <w:rsid w:val="00437C27"/>
    <w:rsid w:val="00437C9C"/>
    <w:rsid w:val="0044008A"/>
    <w:rsid w:val="00440355"/>
    <w:rsid w:val="0044058B"/>
    <w:rsid w:val="0044102C"/>
    <w:rsid w:val="00441C5C"/>
    <w:rsid w:val="00441E22"/>
    <w:rsid w:val="00442016"/>
    <w:rsid w:val="00442327"/>
    <w:rsid w:val="004426ED"/>
    <w:rsid w:val="00442947"/>
    <w:rsid w:val="00442EB8"/>
    <w:rsid w:val="00442EC8"/>
    <w:rsid w:val="0044308C"/>
    <w:rsid w:val="00443F4D"/>
    <w:rsid w:val="0044443D"/>
    <w:rsid w:val="00444B47"/>
    <w:rsid w:val="00444B5E"/>
    <w:rsid w:val="00445260"/>
    <w:rsid w:val="004456B2"/>
    <w:rsid w:val="00446087"/>
    <w:rsid w:val="0044611D"/>
    <w:rsid w:val="00446284"/>
    <w:rsid w:val="00446AF2"/>
    <w:rsid w:val="00446D39"/>
    <w:rsid w:val="00446FAD"/>
    <w:rsid w:val="00447064"/>
    <w:rsid w:val="0044726D"/>
    <w:rsid w:val="004476C3"/>
    <w:rsid w:val="00450428"/>
    <w:rsid w:val="00450AF0"/>
    <w:rsid w:val="00450C2E"/>
    <w:rsid w:val="00450C3E"/>
    <w:rsid w:val="00450C9D"/>
    <w:rsid w:val="00450D05"/>
    <w:rsid w:val="00450FB6"/>
    <w:rsid w:val="004510C4"/>
    <w:rsid w:val="004519EA"/>
    <w:rsid w:val="00452A0A"/>
    <w:rsid w:val="00452A76"/>
    <w:rsid w:val="00452B48"/>
    <w:rsid w:val="00452EB4"/>
    <w:rsid w:val="00453295"/>
    <w:rsid w:val="004538E3"/>
    <w:rsid w:val="00453B35"/>
    <w:rsid w:val="00453B5B"/>
    <w:rsid w:val="00453C6F"/>
    <w:rsid w:val="004544DA"/>
    <w:rsid w:val="004546AB"/>
    <w:rsid w:val="0045548A"/>
    <w:rsid w:val="00455A2B"/>
    <w:rsid w:val="00455C8B"/>
    <w:rsid w:val="00456124"/>
    <w:rsid w:val="00456237"/>
    <w:rsid w:val="004562E8"/>
    <w:rsid w:val="0045644C"/>
    <w:rsid w:val="004568C0"/>
    <w:rsid w:val="00456A16"/>
    <w:rsid w:val="00456A88"/>
    <w:rsid w:val="00456CA0"/>
    <w:rsid w:val="00456E1F"/>
    <w:rsid w:val="004572B1"/>
    <w:rsid w:val="004577C7"/>
    <w:rsid w:val="00460850"/>
    <w:rsid w:val="00460B03"/>
    <w:rsid w:val="00460B37"/>
    <w:rsid w:val="00460C16"/>
    <w:rsid w:val="00461694"/>
    <w:rsid w:val="0046177A"/>
    <w:rsid w:val="0046197F"/>
    <w:rsid w:val="00461ABB"/>
    <w:rsid w:val="00461B29"/>
    <w:rsid w:val="0046305C"/>
    <w:rsid w:val="00463435"/>
    <w:rsid w:val="00463536"/>
    <w:rsid w:val="00463BE8"/>
    <w:rsid w:val="00464220"/>
    <w:rsid w:val="0046433D"/>
    <w:rsid w:val="00464399"/>
    <w:rsid w:val="00464E85"/>
    <w:rsid w:val="0046517B"/>
    <w:rsid w:val="00465293"/>
    <w:rsid w:val="00465503"/>
    <w:rsid w:val="00465C2D"/>
    <w:rsid w:val="00466490"/>
    <w:rsid w:val="004666A1"/>
    <w:rsid w:val="004666E9"/>
    <w:rsid w:val="00466E88"/>
    <w:rsid w:val="00467B5D"/>
    <w:rsid w:val="00467D56"/>
    <w:rsid w:val="00470144"/>
    <w:rsid w:val="00470802"/>
    <w:rsid w:val="00471044"/>
    <w:rsid w:val="0047110B"/>
    <w:rsid w:val="0047136B"/>
    <w:rsid w:val="00471AFF"/>
    <w:rsid w:val="00472108"/>
    <w:rsid w:val="00472192"/>
    <w:rsid w:val="00472374"/>
    <w:rsid w:val="00472C8E"/>
    <w:rsid w:val="00472D07"/>
    <w:rsid w:val="004730B6"/>
    <w:rsid w:val="0047333D"/>
    <w:rsid w:val="00473624"/>
    <w:rsid w:val="00473671"/>
    <w:rsid w:val="00473737"/>
    <w:rsid w:val="004738EA"/>
    <w:rsid w:val="004738FE"/>
    <w:rsid w:val="00473CFC"/>
    <w:rsid w:val="00473E5F"/>
    <w:rsid w:val="0047429B"/>
    <w:rsid w:val="0047450B"/>
    <w:rsid w:val="0047467E"/>
    <w:rsid w:val="00474A51"/>
    <w:rsid w:val="00474B33"/>
    <w:rsid w:val="00474C30"/>
    <w:rsid w:val="00474D75"/>
    <w:rsid w:val="00475139"/>
    <w:rsid w:val="004751CA"/>
    <w:rsid w:val="0047587C"/>
    <w:rsid w:val="00475935"/>
    <w:rsid w:val="004762B1"/>
    <w:rsid w:val="0047667D"/>
    <w:rsid w:val="004772AB"/>
    <w:rsid w:val="0047739F"/>
    <w:rsid w:val="00477E57"/>
    <w:rsid w:val="00480867"/>
    <w:rsid w:val="00481794"/>
    <w:rsid w:val="00481BA3"/>
    <w:rsid w:val="004822A7"/>
    <w:rsid w:val="0048239B"/>
    <w:rsid w:val="00482598"/>
    <w:rsid w:val="00482834"/>
    <w:rsid w:val="00482BBD"/>
    <w:rsid w:val="00482C31"/>
    <w:rsid w:val="004831A3"/>
    <w:rsid w:val="0048353D"/>
    <w:rsid w:val="0048374D"/>
    <w:rsid w:val="00483758"/>
    <w:rsid w:val="004838CA"/>
    <w:rsid w:val="0048432C"/>
    <w:rsid w:val="004843F9"/>
    <w:rsid w:val="004848A1"/>
    <w:rsid w:val="00484FD5"/>
    <w:rsid w:val="00485F83"/>
    <w:rsid w:val="004860B6"/>
    <w:rsid w:val="00486140"/>
    <w:rsid w:val="00486ECD"/>
    <w:rsid w:val="0048770D"/>
    <w:rsid w:val="004877B8"/>
    <w:rsid w:val="00487C22"/>
    <w:rsid w:val="00487D34"/>
    <w:rsid w:val="004900D9"/>
    <w:rsid w:val="00490118"/>
    <w:rsid w:val="00490BDA"/>
    <w:rsid w:val="004910DF"/>
    <w:rsid w:val="00491B2C"/>
    <w:rsid w:val="00491C77"/>
    <w:rsid w:val="00492045"/>
    <w:rsid w:val="0049239F"/>
    <w:rsid w:val="00492AA2"/>
    <w:rsid w:val="00492F01"/>
    <w:rsid w:val="00493172"/>
    <w:rsid w:val="00493ECF"/>
    <w:rsid w:val="004943BF"/>
    <w:rsid w:val="00494DB5"/>
    <w:rsid w:val="00495181"/>
    <w:rsid w:val="00495402"/>
    <w:rsid w:val="0049558A"/>
    <w:rsid w:val="00495834"/>
    <w:rsid w:val="004958A1"/>
    <w:rsid w:val="00495A27"/>
    <w:rsid w:val="00495B68"/>
    <w:rsid w:val="00495E00"/>
    <w:rsid w:val="004960DF"/>
    <w:rsid w:val="004961D3"/>
    <w:rsid w:val="00496263"/>
    <w:rsid w:val="0049685F"/>
    <w:rsid w:val="004974A2"/>
    <w:rsid w:val="0049770D"/>
    <w:rsid w:val="00497A86"/>
    <w:rsid w:val="00497E65"/>
    <w:rsid w:val="004A0B68"/>
    <w:rsid w:val="004A0D0A"/>
    <w:rsid w:val="004A1263"/>
    <w:rsid w:val="004A12BA"/>
    <w:rsid w:val="004A1C8E"/>
    <w:rsid w:val="004A2129"/>
    <w:rsid w:val="004A22CB"/>
    <w:rsid w:val="004A2327"/>
    <w:rsid w:val="004A23DA"/>
    <w:rsid w:val="004A23DE"/>
    <w:rsid w:val="004A26AB"/>
    <w:rsid w:val="004A2ADC"/>
    <w:rsid w:val="004A2B24"/>
    <w:rsid w:val="004A2C55"/>
    <w:rsid w:val="004A2CA7"/>
    <w:rsid w:val="004A2E2E"/>
    <w:rsid w:val="004A37A5"/>
    <w:rsid w:val="004A3C0E"/>
    <w:rsid w:val="004A3D2F"/>
    <w:rsid w:val="004A3E7A"/>
    <w:rsid w:val="004A48E2"/>
    <w:rsid w:val="004A4F19"/>
    <w:rsid w:val="004A4F6D"/>
    <w:rsid w:val="004A4F80"/>
    <w:rsid w:val="004A522D"/>
    <w:rsid w:val="004A55D8"/>
    <w:rsid w:val="004A56C5"/>
    <w:rsid w:val="004A5C76"/>
    <w:rsid w:val="004A63A3"/>
    <w:rsid w:val="004A66BC"/>
    <w:rsid w:val="004A68E7"/>
    <w:rsid w:val="004A6A3E"/>
    <w:rsid w:val="004A6BFE"/>
    <w:rsid w:val="004A6D02"/>
    <w:rsid w:val="004A7246"/>
    <w:rsid w:val="004A7552"/>
    <w:rsid w:val="004B059F"/>
    <w:rsid w:val="004B0E6E"/>
    <w:rsid w:val="004B1019"/>
    <w:rsid w:val="004B1282"/>
    <w:rsid w:val="004B1566"/>
    <w:rsid w:val="004B1638"/>
    <w:rsid w:val="004B1879"/>
    <w:rsid w:val="004B19D0"/>
    <w:rsid w:val="004B1ECA"/>
    <w:rsid w:val="004B1F23"/>
    <w:rsid w:val="004B2396"/>
    <w:rsid w:val="004B24CB"/>
    <w:rsid w:val="004B2B7C"/>
    <w:rsid w:val="004B2EED"/>
    <w:rsid w:val="004B35F0"/>
    <w:rsid w:val="004B3729"/>
    <w:rsid w:val="004B3C43"/>
    <w:rsid w:val="004B3D3A"/>
    <w:rsid w:val="004B3E42"/>
    <w:rsid w:val="004B3F31"/>
    <w:rsid w:val="004B42EB"/>
    <w:rsid w:val="004B44CB"/>
    <w:rsid w:val="004B4ABF"/>
    <w:rsid w:val="004B4BD8"/>
    <w:rsid w:val="004B4C91"/>
    <w:rsid w:val="004B4CF8"/>
    <w:rsid w:val="004B4E46"/>
    <w:rsid w:val="004B559D"/>
    <w:rsid w:val="004B6247"/>
    <w:rsid w:val="004B69D6"/>
    <w:rsid w:val="004B7280"/>
    <w:rsid w:val="004B7AC0"/>
    <w:rsid w:val="004B7BA2"/>
    <w:rsid w:val="004B7CC1"/>
    <w:rsid w:val="004C04D9"/>
    <w:rsid w:val="004C05AD"/>
    <w:rsid w:val="004C0850"/>
    <w:rsid w:val="004C0857"/>
    <w:rsid w:val="004C086E"/>
    <w:rsid w:val="004C147B"/>
    <w:rsid w:val="004C1AB2"/>
    <w:rsid w:val="004C1F0F"/>
    <w:rsid w:val="004C3057"/>
    <w:rsid w:val="004C3C92"/>
    <w:rsid w:val="004C43DB"/>
    <w:rsid w:val="004C469A"/>
    <w:rsid w:val="004C4745"/>
    <w:rsid w:val="004C47F9"/>
    <w:rsid w:val="004C4900"/>
    <w:rsid w:val="004C4CF6"/>
    <w:rsid w:val="004C4F03"/>
    <w:rsid w:val="004C5C3B"/>
    <w:rsid w:val="004C5C6B"/>
    <w:rsid w:val="004C5C83"/>
    <w:rsid w:val="004C6114"/>
    <w:rsid w:val="004C6307"/>
    <w:rsid w:val="004C6949"/>
    <w:rsid w:val="004C69CF"/>
    <w:rsid w:val="004C7495"/>
    <w:rsid w:val="004D0024"/>
    <w:rsid w:val="004D0614"/>
    <w:rsid w:val="004D06AB"/>
    <w:rsid w:val="004D13B9"/>
    <w:rsid w:val="004D16F6"/>
    <w:rsid w:val="004D19AD"/>
    <w:rsid w:val="004D1BE3"/>
    <w:rsid w:val="004D1F83"/>
    <w:rsid w:val="004D2158"/>
    <w:rsid w:val="004D21A7"/>
    <w:rsid w:val="004D255A"/>
    <w:rsid w:val="004D261C"/>
    <w:rsid w:val="004D2696"/>
    <w:rsid w:val="004D26DB"/>
    <w:rsid w:val="004D3381"/>
    <w:rsid w:val="004D3610"/>
    <w:rsid w:val="004D390D"/>
    <w:rsid w:val="004D40C2"/>
    <w:rsid w:val="004D4540"/>
    <w:rsid w:val="004D461D"/>
    <w:rsid w:val="004D4B1E"/>
    <w:rsid w:val="004D52DC"/>
    <w:rsid w:val="004D531F"/>
    <w:rsid w:val="004D59C6"/>
    <w:rsid w:val="004D5AE9"/>
    <w:rsid w:val="004D5C91"/>
    <w:rsid w:val="004D5F68"/>
    <w:rsid w:val="004D6533"/>
    <w:rsid w:val="004D67E4"/>
    <w:rsid w:val="004D691C"/>
    <w:rsid w:val="004D6B48"/>
    <w:rsid w:val="004D6C5B"/>
    <w:rsid w:val="004D723D"/>
    <w:rsid w:val="004D7871"/>
    <w:rsid w:val="004D788D"/>
    <w:rsid w:val="004D7ABB"/>
    <w:rsid w:val="004E000C"/>
    <w:rsid w:val="004E0699"/>
    <w:rsid w:val="004E1821"/>
    <w:rsid w:val="004E2195"/>
    <w:rsid w:val="004E2446"/>
    <w:rsid w:val="004E2B62"/>
    <w:rsid w:val="004E2D6C"/>
    <w:rsid w:val="004E2D89"/>
    <w:rsid w:val="004E2E92"/>
    <w:rsid w:val="004E30D1"/>
    <w:rsid w:val="004E32ED"/>
    <w:rsid w:val="004E32FD"/>
    <w:rsid w:val="004E33F2"/>
    <w:rsid w:val="004E3677"/>
    <w:rsid w:val="004E3823"/>
    <w:rsid w:val="004E3D10"/>
    <w:rsid w:val="004E4013"/>
    <w:rsid w:val="004E41AF"/>
    <w:rsid w:val="004E41B1"/>
    <w:rsid w:val="004E47B0"/>
    <w:rsid w:val="004E49A5"/>
    <w:rsid w:val="004E4A0D"/>
    <w:rsid w:val="004E4B1E"/>
    <w:rsid w:val="004E4C1A"/>
    <w:rsid w:val="004E4DFC"/>
    <w:rsid w:val="004E502E"/>
    <w:rsid w:val="004E52AE"/>
    <w:rsid w:val="004E534C"/>
    <w:rsid w:val="004E53C5"/>
    <w:rsid w:val="004E56B0"/>
    <w:rsid w:val="004E586C"/>
    <w:rsid w:val="004E5C32"/>
    <w:rsid w:val="004E5ECA"/>
    <w:rsid w:val="004E6292"/>
    <w:rsid w:val="004E6DB4"/>
    <w:rsid w:val="004E6E17"/>
    <w:rsid w:val="004E71FB"/>
    <w:rsid w:val="004E75AC"/>
    <w:rsid w:val="004E789C"/>
    <w:rsid w:val="004E7A0E"/>
    <w:rsid w:val="004E7A65"/>
    <w:rsid w:val="004E7AEF"/>
    <w:rsid w:val="004E7F14"/>
    <w:rsid w:val="004F0486"/>
    <w:rsid w:val="004F0563"/>
    <w:rsid w:val="004F0A14"/>
    <w:rsid w:val="004F0C1C"/>
    <w:rsid w:val="004F10AF"/>
    <w:rsid w:val="004F1142"/>
    <w:rsid w:val="004F15FC"/>
    <w:rsid w:val="004F260D"/>
    <w:rsid w:val="004F30C8"/>
    <w:rsid w:val="004F32DA"/>
    <w:rsid w:val="004F3359"/>
    <w:rsid w:val="004F38F7"/>
    <w:rsid w:val="004F3DC4"/>
    <w:rsid w:val="004F405D"/>
    <w:rsid w:val="004F42CB"/>
    <w:rsid w:val="004F448E"/>
    <w:rsid w:val="004F4600"/>
    <w:rsid w:val="004F4855"/>
    <w:rsid w:val="004F4A04"/>
    <w:rsid w:val="004F4C1D"/>
    <w:rsid w:val="004F4CD0"/>
    <w:rsid w:val="004F4D99"/>
    <w:rsid w:val="004F4F6D"/>
    <w:rsid w:val="004F4F84"/>
    <w:rsid w:val="004F50BC"/>
    <w:rsid w:val="004F50BF"/>
    <w:rsid w:val="004F5807"/>
    <w:rsid w:val="004F596C"/>
    <w:rsid w:val="004F5B10"/>
    <w:rsid w:val="004F60FB"/>
    <w:rsid w:val="004F649F"/>
    <w:rsid w:val="004F6AAD"/>
    <w:rsid w:val="004F6C98"/>
    <w:rsid w:val="004F78D8"/>
    <w:rsid w:val="004F7901"/>
    <w:rsid w:val="00500220"/>
    <w:rsid w:val="00500325"/>
    <w:rsid w:val="0050151B"/>
    <w:rsid w:val="0050170E"/>
    <w:rsid w:val="00501A4C"/>
    <w:rsid w:val="00501FB0"/>
    <w:rsid w:val="00501FDE"/>
    <w:rsid w:val="005028D9"/>
    <w:rsid w:val="00502B2A"/>
    <w:rsid w:val="005030F5"/>
    <w:rsid w:val="00503394"/>
    <w:rsid w:val="00503CDD"/>
    <w:rsid w:val="00503D57"/>
    <w:rsid w:val="00503DB3"/>
    <w:rsid w:val="00503FD2"/>
    <w:rsid w:val="005047DA"/>
    <w:rsid w:val="0050480A"/>
    <w:rsid w:val="00504CFC"/>
    <w:rsid w:val="00505979"/>
    <w:rsid w:val="00505A48"/>
    <w:rsid w:val="00505E15"/>
    <w:rsid w:val="00506131"/>
    <w:rsid w:val="00506466"/>
    <w:rsid w:val="005067BD"/>
    <w:rsid w:val="00506B18"/>
    <w:rsid w:val="00507D3E"/>
    <w:rsid w:val="00507DFB"/>
    <w:rsid w:val="00510B81"/>
    <w:rsid w:val="00511241"/>
    <w:rsid w:val="00512072"/>
    <w:rsid w:val="005129E1"/>
    <w:rsid w:val="00512D4C"/>
    <w:rsid w:val="005130FA"/>
    <w:rsid w:val="00513872"/>
    <w:rsid w:val="005142BD"/>
    <w:rsid w:val="00514D63"/>
    <w:rsid w:val="005153DF"/>
    <w:rsid w:val="00515452"/>
    <w:rsid w:val="0051589A"/>
    <w:rsid w:val="00515E02"/>
    <w:rsid w:val="00515E0D"/>
    <w:rsid w:val="005160C8"/>
    <w:rsid w:val="0051617A"/>
    <w:rsid w:val="00516AC0"/>
    <w:rsid w:val="00517010"/>
    <w:rsid w:val="005171FD"/>
    <w:rsid w:val="0051720A"/>
    <w:rsid w:val="00517E80"/>
    <w:rsid w:val="005202C6"/>
    <w:rsid w:val="0052094C"/>
    <w:rsid w:val="00520B77"/>
    <w:rsid w:val="00520E13"/>
    <w:rsid w:val="005210A3"/>
    <w:rsid w:val="00521302"/>
    <w:rsid w:val="005213BD"/>
    <w:rsid w:val="005215E0"/>
    <w:rsid w:val="0052254F"/>
    <w:rsid w:val="005225C4"/>
    <w:rsid w:val="005230E3"/>
    <w:rsid w:val="005237DA"/>
    <w:rsid w:val="00523956"/>
    <w:rsid w:val="00523A14"/>
    <w:rsid w:val="0052419D"/>
    <w:rsid w:val="00524627"/>
    <w:rsid w:val="00524C31"/>
    <w:rsid w:val="00524C4E"/>
    <w:rsid w:val="00524C5F"/>
    <w:rsid w:val="00524E8A"/>
    <w:rsid w:val="005257E0"/>
    <w:rsid w:val="00525A1B"/>
    <w:rsid w:val="00525A58"/>
    <w:rsid w:val="00525ABA"/>
    <w:rsid w:val="00525F15"/>
    <w:rsid w:val="0052795F"/>
    <w:rsid w:val="00527DBD"/>
    <w:rsid w:val="00527E0E"/>
    <w:rsid w:val="00527F62"/>
    <w:rsid w:val="0053033B"/>
    <w:rsid w:val="005303FF"/>
    <w:rsid w:val="005310AB"/>
    <w:rsid w:val="00531481"/>
    <w:rsid w:val="00531898"/>
    <w:rsid w:val="00531C1D"/>
    <w:rsid w:val="0053208E"/>
    <w:rsid w:val="0053224B"/>
    <w:rsid w:val="005325AA"/>
    <w:rsid w:val="00532A7B"/>
    <w:rsid w:val="00532A9E"/>
    <w:rsid w:val="00532CB7"/>
    <w:rsid w:val="00532D83"/>
    <w:rsid w:val="005330CC"/>
    <w:rsid w:val="005336A8"/>
    <w:rsid w:val="00533BF8"/>
    <w:rsid w:val="00534404"/>
    <w:rsid w:val="00534515"/>
    <w:rsid w:val="0053528F"/>
    <w:rsid w:val="00535F02"/>
    <w:rsid w:val="00535FF6"/>
    <w:rsid w:val="00536315"/>
    <w:rsid w:val="00536362"/>
    <w:rsid w:val="00536B42"/>
    <w:rsid w:val="00536F53"/>
    <w:rsid w:val="00537775"/>
    <w:rsid w:val="00537781"/>
    <w:rsid w:val="005377EA"/>
    <w:rsid w:val="0053784B"/>
    <w:rsid w:val="00537BA9"/>
    <w:rsid w:val="005401AA"/>
    <w:rsid w:val="00540476"/>
    <w:rsid w:val="005404FE"/>
    <w:rsid w:val="00540BCA"/>
    <w:rsid w:val="00540E6E"/>
    <w:rsid w:val="0054148A"/>
    <w:rsid w:val="005414DA"/>
    <w:rsid w:val="00541825"/>
    <w:rsid w:val="00541B3D"/>
    <w:rsid w:val="00541D70"/>
    <w:rsid w:val="00541FC4"/>
    <w:rsid w:val="00542063"/>
    <w:rsid w:val="0054213F"/>
    <w:rsid w:val="005421E8"/>
    <w:rsid w:val="005428A2"/>
    <w:rsid w:val="00542B7D"/>
    <w:rsid w:val="00542C45"/>
    <w:rsid w:val="00542F75"/>
    <w:rsid w:val="0054344F"/>
    <w:rsid w:val="00543700"/>
    <w:rsid w:val="00544569"/>
    <w:rsid w:val="00544655"/>
    <w:rsid w:val="00544A5D"/>
    <w:rsid w:val="00544BC9"/>
    <w:rsid w:val="005451E3"/>
    <w:rsid w:val="005455C1"/>
    <w:rsid w:val="00545631"/>
    <w:rsid w:val="005457F0"/>
    <w:rsid w:val="0054585F"/>
    <w:rsid w:val="0054615F"/>
    <w:rsid w:val="00546427"/>
    <w:rsid w:val="0054674E"/>
    <w:rsid w:val="00546851"/>
    <w:rsid w:val="00546CEA"/>
    <w:rsid w:val="0054750A"/>
    <w:rsid w:val="00547893"/>
    <w:rsid w:val="00547A70"/>
    <w:rsid w:val="00547A8E"/>
    <w:rsid w:val="00547B35"/>
    <w:rsid w:val="005501FA"/>
    <w:rsid w:val="00550495"/>
    <w:rsid w:val="005507F2"/>
    <w:rsid w:val="00550B0A"/>
    <w:rsid w:val="00550B4C"/>
    <w:rsid w:val="00550D5E"/>
    <w:rsid w:val="00550FB6"/>
    <w:rsid w:val="00550FDD"/>
    <w:rsid w:val="00551695"/>
    <w:rsid w:val="00551D55"/>
    <w:rsid w:val="00551D5C"/>
    <w:rsid w:val="00551F5A"/>
    <w:rsid w:val="00551FC6"/>
    <w:rsid w:val="00552077"/>
    <w:rsid w:val="0055233C"/>
    <w:rsid w:val="00552374"/>
    <w:rsid w:val="005524DF"/>
    <w:rsid w:val="00552516"/>
    <w:rsid w:val="00552876"/>
    <w:rsid w:val="005529A0"/>
    <w:rsid w:val="00552ABE"/>
    <w:rsid w:val="00552D04"/>
    <w:rsid w:val="0055339A"/>
    <w:rsid w:val="005537A5"/>
    <w:rsid w:val="005538DB"/>
    <w:rsid w:val="00553949"/>
    <w:rsid w:val="0055406E"/>
    <w:rsid w:val="00554240"/>
    <w:rsid w:val="00554A8C"/>
    <w:rsid w:val="00554B01"/>
    <w:rsid w:val="00555457"/>
    <w:rsid w:val="0055619C"/>
    <w:rsid w:val="00556292"/>
    <w:rsid w:val="005562D5"/>
    <w:rsid w:val="005568DB"/>
    <w:rsid w:val="00557CAA"/>
    <w:rsid w:val="00557DC6"/>
    <w:rsid w:val="005607B6"/>
    <w:rsid w:val="00560CD6"/>
    <w:rsid w:val="005610B6"/>
    <w:rsid w:val="0056124D"/>
    <w:rsid w:val="00561263"/>
    <w:rsid w:val="005613D3"/>
    <w:rsid w:val="00561AC7"/>
    <w:rsid w:val="00561B63"/>
    <w:rsid w:val="005621D4"/>
    <w:rsid w:val="005626C7"/>
    <w:rsid w:val="00562922"/>
    <w:rsid w:val="005629E7"/>
    <w:rsid w:val="00562A24"/>
    <w:rsid w:val="00562AD8"/>
    <w:rsid w:val="00562FD5"/>
    <w:rsid w:val="00563059"/>
    <w:rsid w:val="00563655"/>
    <w:rsid w:val="00563685"/>
    <w:rsid w:val="005636C8"/>
    <w:rsid w:val="00563752"/>
    <w:rsid w:val="00563B99"/>
    <w:rsid w:val="00563BD3"/>
    <w:rsid w:val="00563EE6"/>
    <w:rsid w:val="00564199"/>
    <w:rsid w:val="005641EF"/>
    <w:rsid w:val="005642B4"/>
    <w:rsid w:val="0056430B"/>
    <w:rsid w:val="005644CD"/>
    <w:rsid w:val="00564918"/>
    <w:rsid w:val="0056555C"/>
    <w:rsid w:val="00565A76"/>
    <w:rsid w:val="0056637D"/>
    <w:rsid w:val="00566518"/>
    <w:rsid w:val="00566B1D"/>
    <w:rsid w:val="005671F2"/>
    <w:rsid w:val="00567368"/>
    <w:rsid w:val="0056780E"/>
    <w:rsid w:val="00567B0D"/>
    <w:rsid w:val="005703D9"/>
    <w:rsid w:val="00571100"/>
    <w:rsid w:val="005714EC"/>
    <w:rsid w:val="005719EB"/>
    <w:rsid w:val="00571AE6"/>
    <w:rsid w:val="00571E22"/>
    <w:rsid w:val="00571FBA"/>
    <w:rsid w:val="005720BF"/>
    <w:rsid w:val="00572729"/>
    <w:rsid w:val="00573193"/>
    <w:rsid w:val="0057323E"/>
    <w:rsid w:val="00573521"/>
    <w:rsid w:val="0057385B"/>
    <w:rsid w:val="00573E58"/>
    <w:rsid w:val="0057428B"/>
    <w:rsid w:val="00574629"/>
    <w:rsid w:val="005748E7"/>
    <w:rsid w:val="0057514C"/>
    <w:rsid w:val="00575155"/>
    <w:rsid w:val="005757AF"/>
    <w:rsid w:val="0057630C"/>
    <w:rsid w:val="0057641E"/>
    <w:rsid w:val="00576678"/>
    <w:rsid w:val="005769A0"/>
    <w:rsid w:val="00576FB0"/>
    <w:rsid w:val="005772DD"/>
    <w:rsid w:val="0057734E"/>
    <w:rsid w:val="005778ED"/>
    <w:rsid w:val="005778FD"/>
    <w:rsid w:val="005809B6"/>
    <w:rsid w:val="005810DD"/>
    <w:rsid w:val="00581B40"/>
    <w:rsid w:val="00581E9D"/>
    <w:rsid w:val="0058205F"/>
    <w:rsid w:val="005820A2"/>
    <w:rsid w:val="0058226A"/>
    <w:rsid w:val="00582418"/>
    <w:rsid w:val="00582C47"/>
    <w:rsid w:val="00583050"/>
    <w:rsid w:val="0058316E"/>
    <w:rsid w:val="005834C8"/>
    <w:rsid w:val="00583522"/>
    <w:rsid w:val="0058454D"/>
    <w:rsid w:val="00584742"/>
    <w:rsid w:val="00584AEF"/>
    <w:rsid w:val="00584BC4"/>
    <w:rsid w:val="00584CFC"/>
    <w:rsid w:val="00585A6A"/>
    <w:rsid w:val="00585C46"/>
    <w:rsid w:val="00585EF3"/>
    <w:rsid w:val="00586078"/>
    <w:rsid w:val="005860FF"/>
    <w:rsid w:val="00586460"/>
    <w:rsid w:val="00586A14"/>
    <w:rsid w:val="00586E40"/>
    <w:rsid w:val="00587207"/>
    <w:rsid w:val="005874FE"/>
    <w:rsid w:val="00587BC4"/>
    <w:rsid w:val="00587BDA"/>
    <w:rsid w:val="0059089C"/>
    <w:rsid w:val="005908C1"/>
    <w:rsid w:val="005911E9"/>
    <w:rsid w:val="005912D3"/>
    <w:rsid w:val="0059135E"/>
    <w:rsid w:val="00591C6D"/>
    <w:rsid w:val="00592401"/>
    <w:rsid w:val="00592768"/>
    <w:rsid w:val="005932B0"/>
    <w:rsid w:val="005932EE"/>
    <w:rsid w:val="005933A4"/>
    <w:rsid w:val="00593B83"/>
    <w:rsid w:val="00593CD5"/>
    <w:rsid w:val="00593E9C"/>
    <w:rsid w:val="0059421A"/>
    <w:rsid w:val="005947B3"/>
    <w:rsid w:val="00594D04"/>
    <w:rsid w:val="00595004"/>
    <w:rsid w:val="005957BD"/>
    <w:rsid w:val="00595A3A"/>
    <w:rsid w:val="00595C0F"/>
    <w:rsid w:val="00595E52"/>
    <w:rsid w:val="00596021"/>
    <w:rsid w:val="005960CB"/>
    <w:rsid w:val="005962BE"/>
    <w:rsid w:val="00596609"/>
    <w:rsid w:val="00597973"/>
    <w:rsid w:val="005A0D0A"/>
    <w:rsid w:val="005A1345"/>
    <w:rsid w:val="005A143F"/>
    <w:rsid w:val="005A22E4"/>
    <w:rsid w:val="005A23E1"/>
    <w:rsid w:val="005A2D39"/>
    <w:rsid w:val="005A2DF6"/>
    <w:rsid w:val="005A3049"/>
    <w:rsid w:val="005A3306"/>
    <w:rsid w:val="005A3406"/>
    <w:rsid w:val="005A38D6"/>
    <w:rsid w:val="005A4184"/>
    <w:rsid w:val="005A4780"/>
    <w:rsid w:val="005A4BCE"/>
    <w:rsid w:val="005A4D7F"/>
    <w:rsid w:val="005A5389"/>
    <w:rsid w:val="005A5856"/>
    <w:rsid w:val="005A585A"/>
    <w:rsid w:val="005A5AB2"/>
    <w:rsid w:val="005A5CA2"/>
    <w:rsid w:val="005A60EB"/>
    <w:rsid w:val="005A75B1"/>
    <w:rsid w:val="005A7E78"/>
    <w:rsid w:val="005B0854"/>
    <w:rsid w:val="005B10CB"/>
    <w:rsid w:val="005B121D"/>
    <w:rsid w:val="005B150C"/>
    <w:rsid w:val="005B16DF"/>
    <w:rsid w:val="005B1B72"/>
    <w:rsid w:val="005B2635"/>
    <w:rsid w:val="005B2CF0"/>
    <w:rsid w:val="005B2E57"/>
    <w:rsid w:val="005B338D"/>
    <w:rsid w:val="005B39DF"/>
    <w:rsid w:val="005B3A75"/>
    <w:rsid w:val="005B3F08"/>
    <w:rsid w:val="005B40D8"/>
    <w:rsid w:val="005B486F"/>
    <w:rsid w:val="005B49F6"/>
    <w:rsid w:val="005B5078"/>
    <w:rsid w:val="005B5389"/>
    <w:rsid w:val="005B567D"/>
    <w:rsid w:val="005B5D50"/>
    <w:rsid w:val="005B6C31"/>
    <w:rsid w:val="005B6DE4"/>
    <w:rsid w:val="005B6E88"/>
    <w:rsid w:val="005B7363"/>
    <w:rsid w:val="005B76CF"/>
    <w:rsid w:val="005B7BBB"/>
    <w:rsid w:val="005B7F43"/>
    <w:rsid w:val="005C07E6"/>
    <w:rsid w:val="005C0E12"/>
    <w:rsid w:val="005C1159"/>
    <w:rsid w:val="005C254C"/>
    <w:rsid w:val="005C25AC"/>
    <w:rsid w:val="005C2B04"/>
    <w:rsid w:val="005C3076"/>
    <w:rsid w:val="005C3215"/>
    <w:rsid w:val="005C3478"/>
    <w:rsid w:val="005C36ED"/>
    <w:rsid w:val="005C3838"/>
    <w:rsid w:val="005C38AA"/>
    <w:rsid w:val="005C3A65"/>
    <w:rsid w:val="005C41CA"/>
    <w:rsid w:val="005C4406"/>
    <w:rsid w:val="005C44B9"/>
    <w:rsid w:val="005C46FB"/>
    <w:rsid w:val="005C4D49"/>
    <w:rsid w:val="005C5107"/>
    <w:rsid w:val="005C51EE"/>
    <w:rsid w:val="005C5E9F"/>
    <w:rsid w:val="005C61AE"/>
    <w:rsid w:val="005C64EE"/>
    <w:rsid w:val="005C6566"/>
    <w:rsid w:val="005C6ED4"/>
    <w:rsid w:val="005C6F0E"/>
    <w:rsid w:val="005C7123"/>
    <w:rsid w:val="005C747A"/>
    <w:rsid w:val="005C7718"/>
    <w:rsid w:val="005C779C"/>
    <w:rsid w:val="005C77AD"/>
    <w:rsid w:val="005C78B7"/>
    <w:rsid w:val="005C79A0"/>
    <w:rsid w:val="005D02DD"/>
    <w:rsid w:val="005D0DFF"/>
    <w:rsid w:val="005D1436"/>
    <w:rsid w:val="005D149D"/>
    <w:rsid w:val="005D14F8"/>
    <w:rsid w:val="005D174B"/>
    <w:rsid w:val="005D1BB0"/>
    <w:rsid w:val="005D200F"/>
    <w:rsid w:val="005D213C"/>
    <w:rsid w:val="005D2675"/>
    <w:rsid w:val="005D27D1"/>
    <w:rsid w:val="005D2AD0"/>
    <w:rsid w:val="005D2B6F"/>
    <w:rsid w:val="005D2BB1"/>
    <w:rsid w:val="005D2BB5"/>
    <w:rsid w:val="005D2EE7"/>
    <w:rsid w:val="005D4904"/>
    <w:rsid w:val="005D4A61"/>
    <w:rsid w:val="005D5790"/>
    <w:rsid w:val="005D5C1C"/>
    <w:rsid w:val="005D6056"/>
    <w:rsid w:val="005D646D"/>
    <w:rsid w:val="005D6614"/>
    <w:rsid w:val="005D68F3"/>
    <w:rsid w:val="005D6DC6"/>
    <w:rsid w:val="005D6DD6"/>
    <w:rsid w:val="005D6E26"/>
    <w:rsid w:val="005D70A9"/>
    <w:rsid w:val="005D737F"/>
    <w:rsid w:val="005D7598"/>
    <w:rsid w:val="005D774F"/>
    <w:rsid w:val="005D78F6"/>
    <w:rsid w:val="005D79E2"/>
    <w:rsid w:val="005D7A3A"/>
    <w:rsid w:val="005D7B99"/>
    <w:rsid w:val="005D7BD2"/>
    <w:rsid w:val="005D7D23"/>
    <w:rsid w:val="005D7FBF"/>
    <w:rsid w:val="005E0938"/>
    <w:rsid w:val="005E1786"/>
    <w:rsid w:val="005E1CEA"/>
    <w:rsid w:val="005E2129"/>
    <w:rsid w:val="005E2150"/>
    <w:rsid w:val="005E262D"/>
    <w:rsid w:val="005E2F8E"/>
    <w:rsid w:val="005E35B3"/>
    <w:rsid w:val="005E3849"/>
    <w:rsid w:val="005E3BA1"/>
    <w:rsid w:val="005E3C66"/>
    <w:rsid w:val="005E48AA"/>
    <w:rsid w:val="005E4BDC"/>
    <w:rsid w:val="005E51EC"/>
    <w:rsid w:val="005E536F"/>
    <w:rsid w:val="005E5652"/>
    <w:rsid w:val="005E5790"/>
    <w:rsid w:val="005E588A"/>
    <w:rsid w:val="005E5C7E"/>
    <w:rsid w:val="005E5CD1"/>
    <w:rsid w:val="005E617C"/>
    <w:rsid w:val="005E6E01"/>
    <w:rsid w:val="005E7452"/>
    <w:rsid w:val="005F01FB"/>
    <w:rsid w:val="005F0B7D"/>
    <w:rsid w:val="005F0FB1"/>
    <w:rsid w:val="005F114E"/>
    <w:rsid w:val="005F13AB"/>
    <w:rsid w:val="005F2429"/>
    <w:rsid w:val="005F274F"/>
    <w:rsid w:val="005F285F"/>
    <w:rsid w:val="005F2E87"/>
    <w:rsid w:val="005F3050"/>
    <w:rsid w:val="005F321C"/>
    <w:rsid w:val="005F3350"/>
    <w:rsid w:val="005F34A4"/>
    <w:rsid w:val="005F3561"/>
    <w:rsid w:val="005F3920"/>
    <w:rsid w:val="005F41A2"/>
    <w:rsid w:val="005F4706"/>
    <w:rsid w:val="005F4A18"/>
    <w:rsid w:val="005F4C07"/>
    <w:rsid w:val="005F4D4A"/>
    <w:rsid w:val="005F52E4"/>
    <w:rsid w:val="005F536D"/>
    <w:rsid w:val="005F57E1"/>
    <w:rsid w:val="005F5AFE"/>
    <w:rsid w:val="005F5C22"/>
    <w:rsid w:val="005F5E57"/>
    <w:rsid w:val="005F5EDF"/>
    <w:rsid w:val="005F6183"/>
    <w:rsid w:val="005F62B6"/>
    <w:rsid w:val="005F6842"/>
    <w:rsid w:val="005F6ED8"/>
    <w:rsid w:val="005F7039"/>
    <w:rsid w:val="005F783A"/>
    <w:rsid w:val="005F7F36"/>
    <w:rsid w:val="00600371"/>
    <w:rsid w:val="00600462"/>
    <w:rsid w:val="006005CA"/>
    <w:rsid w:val="0060090C"/>
    <w:rsid w:val="00600E75"/>
    <w:rsid w:val="00600F2E"/>
    <w:rsid w:val="006011CA"/>
    <w:rsid w:val="006017BC"/>
    <w:rsid w:val="006017FE"/>
    <w:rsid w:val="00601A8A"/>
    <w:rsid w:val="00601B5D"/>
    <w:rsid w:val="00601CEB"/>
    <w:rsid w:val="00602099"/>
    <w:rsid w:val="006025A2"/>
    <w:rsid w:val="006029E9"/>
    <w:rsid w:val="00602AF4"/>
    <w:rsid w:val="00603633"/>
    <w:rsid w:val="00603696"/>
    <w:rsid w:val="0060373A"/>
    <w:rsid w:val="00603A0F"/>
    <w:rsid w:val="00603C76"/>
    <w:rsid w:val="00603DCC"/>
    <w:rsid w:val="00603E5F"/>
    <w:rsid w:val="006046D0"/>
    <w:rsid w:val="00604FFD"/>
    <w:rsid w:val="006055D6"/>
    <w:rsid w:val="00605C47"/>
    <w:rsid w:val="00605CBD"/>
    <w:rsid w:val="006061F9"/>
    <w:rsid w:val="006069D1"/>
    <w:rsid w:val="00606DE7"/>
    <w:rsid w:val="00606E67"/>
    <w:rsid w:val="00607299"/>
    <w:rsid w:val="006078FA"/>
    <w:rsid w:val="00611445"/>
    <w:rsid w:val="006114F4"/>
    <w:rsid w:val="00611BC7"/>
    <w:rsid w:val="00611F42"/>
    <w:rsid w:val="00611FC2"/>
    <w:rsid w:val="006122DF"/>
    <w:rsid w:val="006123FE"/>
    <w:rsid w:val="00612622"/>
    <w:rsid w:val="0061263E"/>
    <w:rsid w:val="00612A69"/>
    <w:rsid w:val="00612BE6"/>
    <w:rsid w:val="00612E46"/>
    <w:rsid w:val="00613131"/>
    <w:rsid w:val="006132AD"/>
    <w:rsid w:val="006132B6"/>
    <w:rsid w:val="00613838"/>
    <w:rsid w:val="00613CB4"/>
    <w:rsid w:val="00613E94"/>
    <w:rsid w:val="00614245"/>
    <w:rsid w:val="00614851"/>
    <w:rsid w:val="00615141"/>
    <w:rsid w:val="00615609"/>
    <w:rsid w:val="00615875"/>
    <w:rsid w:val="00615882"/>
    <w:rsid w:val="006159EC"/>
    <w:rsid w:val="00615C61"/>
    <w:rsid w:val="006163EE"/>
    <w:rsid w:val="00616875"/>
    <w:rsid w:val="0061747B"/>
    <w:rsid w:val="006176E8"/>
    <w:rsid w:val="00620068"/>
    <w:rsid w:val="00620121"/>
    <w:rsid w:val="006201C8"/>
    <w:rsid w:val="00620541"/>
    <w:rsid w:val="006208F8"/>
    <w:rsid w:val="00620CBA"/>
    <w:rsid w:val="00620D68"/>
    <w:rsid w:val="006218AB"/>
    <w:rsid w:val="006218C5"/>
    <w:rsid w:val="0062248D"/>
    <w:rsid w:val="00622978"/>
    <w:rsid w:val="00622CE0"/>
    <w:rsid w:val="00622E40"/>
    <w:rsid w:val="00622ED3"/>
    <w:rsid w:val="00623146"/>
    <w:rsid w:val="00623C25"/>
    <w:rsid w:val="006240C0"/>
    <w:rsid w:val="0062480D"/>
    <w:rsid w:val="00624B0A"/>
    <w:rsid w:val="00624B65"/>
    <w:rsid w:val="006251CC"/>
    <w:rsid w:val="00625367"/>
    <w:rsid w:val="0062554B"/>
    <w:rsid w:val="00625F92"/>
    <w:rsid w:val="00626E22"/>
    <w:rsid w:val="00626E78"/>
    <w:rsid w:val="006277F0"/>
    <w:rsid w:val="00627E1A"/>
    <w:rsid w:val="00630263"/>
    <w:rsid w:val="0063079A"/>
    <w:rsid w:val="006313F5"/>
    <w:rsid w:val="00631A22"/>
    <w:rsid w:val="00632098"/>
    <w:rsid w:val="006326B6"/>
    <w:rsid w:val="00632A7C"/>
    <w:rsid w:val="006337CF"/>
    <w:rsid w:val="006339CF"/>
    <w:rsid w:val="00633DCA"/>
    <w:rsid w:val="00633EBC"/>
    <w:rsid w:val="0063407D"/>
    <w:rsid w:val="0063466E"/>
    <w:rsid w:val="006346DA"/>
    <w:rsid w:val="006350DD"/>
    <w:rsid w:val="006351FE"/>
    <w:rsid w:val="006359A0"/>
    <w:rsid w:val="00636106"/>
    <w:rsid w:val="00636E8C"/>
    <w:rsid w:val="006374D2"/>
    <w:rsid w:val="00637509"/>
    <w:rsid w:val="006377DF"/>
    <w:rsid w:val="006401DE"/>
    <w:rsid w:val="00640336"/>
    <w:rsid w:val="00640382"/>
    <w:rsid w:val="006404D3"/>
    <w:rsid w:val="00640515"/>
    <w:rsid w:val="006406C5"/>
    <w:rsid w:val="006407D9"/>
    <w:rsid w:val="006409BE"/>
    <w:rsid w:val="00640C41"/>
    <w:rsid w:val="00640E88"/>
    <w:rsid w:val="006410E4"/>
    <w:rsid w:val="0064117F"/>
    <w:rsid w:val="00641630"/>
    <w:rsid w:val="00641B27"/>
    <w:rsid w:val="00641E96"/>
    <w:rsid w:val="00642308"/>
    <w:rsid w:val="0064262F"/>
    <w:rsid w:val="00642693"/>
    <w:rsid w:val="00642D37"/>
    <w:rsid w:val="00642E4F"/>
    <w:rsid w:val="00642F62"/>
    <w:rsid w:val="00643006"/>
    <w:rsid w:val="00643A18"/>
    <w:rsid w:val="00643BE2"/>
    <w:rsid w:val="00643D49"/>
    <w:rsid w:val="00644217"/>
    <w:rsid w:val="00644868"/>
    <w:rsid w:val="00644A3B"/>
    <w:rsid w:val="00644C14"/>
    <w:rsid w:val="00644C9F"/>
    <w:rsid w:val="00645472"/>
    <w:rsid w:val="006459E2"/>
    <w:rsid w:val="00645D69"/>
    <w:rsid w:val="0064663C"/>
    <w:rsid w:val="00646694"/>
    <w:rsid w:val="0064697C"/>
    <w:rsid w:val="006469D6"/>
    <w:rsid w:val="00646D13"/>
    <w:rsid w:val="006478B7"/>
    <w:rsid w:val="00647BC9"/>
    <w:rsid w:val="00647D67"/>
    <w:rsid w:val="00650173"/>
    <w:rsid w:val="006502E3"/>
    <w:rsid w:val="0065101E"/>
    <w:rsid w:val="006512C1"/>
    <w:rsid w:val="006512CB"/>
    <w:rsid w:val="0065142A"/>
    <w:rsid w:val="00651688"/>
    <w:rsid w:val="0065178C"/>
    <w:rsid w:val="006518B7"/>
    <w:rsid w:val="00651AEA"/>
    <w:rsid w:val="00651B15"/>
    <w:rsid w:val="00652061"/>
    <w:rsid w:val="00652356"/>
    <w:rsid w:val="006527C9"/>
    <w:rsid w:val="00652FD7"/>
    <w:rsid w:val="00653B2E"/>
    <w:rsid w:val="006545D7"/>
    <w:rsid w:val="00654BAE"/>
    <w:rsid w:val="00654BDE"/>
    <w:rsid w:val="00654EF6"/>
    <w:rsid w:val="00655CCC"/>
    <w:rsid w:val="006562D0"/>
    <w:rsid w:val="00656332"/>
    <w:rsid w:val="006563F3"/>
    <w:rsid w:val="006566AA"/>
    <w:rsid w:val="0065671C"/>
    <w:rsid w:val="00656F28"/>
    <w:rsid w:val="006573BE"/>
    <w:rsid w:val="006575B6"/>
    <w:rsid w:val="0066038B"/>
    <w:rsid w:val="00660BFA"/>
    <w:rsid w:val="00661066"/>
    <w:rsid w:val="00661493"/>
    <w:rsid w:val="00661608"/>
    <w:rsid w:val="00661E71"/>
    <w:rsid w:val="00662949"/>
    <w:rsid w:val="00662CA5"/>
    <w:rsid w:val="0066355E"/>
    <w:rsid w:val="00663580"/>
    <w:rsid w:val="00663607"/>
    <w:rsid w:val="00663DFF"/>
    <w:rsid w:val="00663E55"/>
    <w:rsid w:val="00663E99"/>
    <w:rsid w:val="00664277"/>
    <w:rsid w:val="006644BB"/>
    <w:rsid w:val="0066452B"/>
    <w:rsid w:val="00664AA1"/>
    <w:rsid w:val="00664FE6"/>
    <w:rsid w:val="006653D3"/>
    <w:rsid w:val="0066581A"/>
    <w:rsid w:val="006659AB"/>
    <w:rsid w:val="006659D5"/>
    <w:rsid w:val="00665CD1"/>
    <w:rsid w:val="00665D69"/>
    <w:rsid w:val="00665E22"/>
    <w:rsid w:val="006666D5"/>
    <w:rsid w:val="0066673C"/>
    <w:rsid w:val="00666D8E"/>
    <w:rsid w:val="006670BD"/>
    <w:rsid w:val="0066721F"/>
    <w:rsid w:val="006672F9"/>
    <w:rsid w:val="00667310"/>
    <w:rsid w:val="006676A1"/>
    <w:rsid w:val="0066775D"/>
    <w:rsid w:val="00667EC1"/>
    <w:rsid w:val="0067002B"/>
    <w:rsid w:val="0067038F"/>
    <w:rsid w:val="00670C2F"/>
    <w:rsid w:val="00670F32"/>
    <w:rsid w:val="006712F9"/>
    <w:rsid w:val="006716BA"/>
    <w:rsid w:val="006717F3"/>
    <w:rsid w:val="0067190B"/>
    <w:rsid w:val="00671994"/>
    <w:rsid w:val="00671EA0"/>
    <w:rsid w:val="00671EF1"/>
    <w:rsid w:val="006730F1"/>
    <w:rsid w:val="00673763"/>
    <w:rsid w:val="006738EC"/>
    <w:rsid w:val="00673905"/>
    <w:rsid w:val="006739B9"/>
    <w:rsid w:val="00673C8D"/>
    <w:rsid w:val="006750FE"/>
    <w:rsid w:val="00675229"/>
    <w:rsid w:val="0067525C"/>
    <w:rsid w:val="00675504"/>
    <w:rsid w:val="0067554D"/>
    <w:rsid w:val="00675A2C"/>
    <w:rsid w:val="00675CF8"/>
    <w:rsid w:val="006763E0"/>
    <w:rsid w:val="0067641A"/>
    <w:rsid w:val="006765D1"/>
    <w:rsid w:val="006766BB"/>
    <w:rsid w:val="006767A3"/>
    <w:rsid w:val="00676984"/>
    <w:rsid w:val="0067704A"/>
    <w:rsid w:val="006772D2"/>
    <w:rsid w:val="006773DB"/>
    <w:rsid w:val="0067754A"/>
    <w:rsid w:val="00677650"/>
    <w:rsid w:val="00677A30"/>
    <w:rsid w:val="00677D1E"/>
    <w:rsid w:val="00677DB8"/>
    <w:rsid w:val="006800A3"/>
    <w:rsid w:val="006806EE"/>
    <w:rsid w:val="0068092A"/>
    <w:rsid w:val="00680E3C"/>
    <w:rsid w:val="006819B7"/>
    <w:rsid w:val="00681E74"/>
    <w:rsid w:val="006820D2"/>
    <w:rsid w:val="00682544"/>
    <w:rsid w:val="006825B6"/>
    <w:rsid w:val="00682846"/>
    <w:rsid w:val="006834D6"/>
    <w:rsid w:val="0068360F"/>
    <w:rsid w:val="006837EA"/>
    <w:rsid w:val="006843CF"/>
    <w:rsid w:val="00684486"/>
    <w:rsid w:val="00684686"/>
    <w:rsid w:val="0068474B"/>
    <w:rsid w:val="00685147"/>
    <w:rsid w:val="006854AB"/>
    <w:rsid w:val="00685D68"/>
    <w:rsid w:val="00686786"/>
    <w:rsid w:val="00686C3D"/>
    <w:rsid w:val="006871EE"/>
    <w:rsid w:val="0068782D"/>
    <w:rsid w:val="0068798A"/>
    <w:rsid w:val="00687A7F"/>
    <w:rsid w:val="00687AE3"/>
    <w:rsid w:val="00687CC2"/>
    <w:rsid w:val="00687E95"/>
    <w:rsid w:val="00687F61"/>
    <w:rsid w:val="00690729"/>
    <w:rsid w:val="00690CB1"/>
    <w:rsid w:val="006910DB"/>
    <w:rsid w:val="0069138B"/>
    <w:rsid w:val="006913A8"/>
    <w:rsid w:val="006914A3"/>
    <w:rsid w:val="00691E79"/>
    <w:rsid w:val="0069243D"/>
    <w:rsid w:val="006926EB"/>
    <w:rsid w:val="00692D73"/>
    <w:rsid w:val="00693853"/>
    <w:rsid w:val="00693ABF"/>
    <w:rsid w:val="00693B86"/>
    <w:rsid w:val="00694E22"/>
    <w:rsid w:val="00695271"/>
    <w:rsid w:val="006959B5"/>
    <w:rsid w:val="00696061"/>
    <w:rsid w:val="0069699C"/>
    <w:rsid w:val="006969DB"/>
    <w:rsid w:val="00696A4A"/>
    <w:rsid w:val="00697554"/>
    <w:rsid w:val="00697A80"/>
    <w:rsid w:val="00697CCF"/>
    <w:rsid w:val="00697CE8"/>
    <w:rsid w:val="00697DE5"/>
    <w:rsid w:val="00697FA5"/>
    <w:rsid w:val="006A092C"/>
    <w:rsid w:val="006A0998"/>
    <w:rsid w:val="006A105A"/>
    <w:rsid w:val="006A1646"/>
    <w:rsid w:val="006A175A"/>
    <w:rsid w:val="006A24A8"/>
    <w:rsid w:val="006A29AB"/>
    <w:rsid w:val="006A3412"/>
    <w:rsid w:val="006A40A6"/>
    <w:rsid w:val="006A464C"/>
    <w:rsid w:val="006A4916"/>
    <w:rsid w:val="006A4B26"/>
    <w:rsid w:val="006A4C58"/>
    <w:rsid w:val="006A4CD3"/>
    <w:rsid w:val="006A5414"/>
    <w:rsid w:val="006A55A3"/>
    <w:rsid w:val="006A5DBD"/>
    <w:rsid w:val="006A5EBB"/>
    <w:rsid w:val="006A6273"/>
    <w:rsid w:val="006A6605"/>
    <w:rsid w:val="006A66BD"/>
    <w:rsid w:val="006A67C9"/>
    <w:rsid w:val="006A6962"/>
    <w:rsid w:val="006A6D1E"/>
    <w:rsid w:val="006A7648"/>
    <w:rsid w:val="006A76A7"/>
    <w:rsid w:val="006A7800"/>
    <w:rsid w:val="006A789B"/>
    <w:rsid w:val="006A78D9"/>
    <w:rsid w:val="006B00D5"/>
    <w:rsid w:val="006B0132"/>
    <w:rsid w:val="006B0358"/>
    <w:rsid w:val="006B0F30"/>
    <w:rsid w:val="006B11FA"/>
    <w:rsid w:val="006B1392"/>
    <w:rsid w:val="006B1661"/>
    <w:rsid w:val="006B1855"/>
    <w:rsid w:val="006B231E"/>
    <w:rsid w:val="006B2877"/>
    <w:rsid w:val="006B2893"/>
    <w:rsid w:val="006B38FD"/>
    <w:rsid w:val="006B3CDF"/>
    <w:rsid w:val="006B3E5B"/>
    <w:rsid w:val="006B40BC"/>
    <w:rsid w:val="006B456F"/>
    <w:rsid w:val="006B49F1"/>
    <w:rsid w:val="006B5413"/>
    <w:rsid w:val="006B5414"/>
    <w:rsid w:val="006B5769"/>
    <w:rsid w:val="006B5F44"/>
    <w:rsid w:val="006B619C"/>
    <w:rsid w:val="006B61A4"/>
    <w:rsid w:val="006B6C73"/>
    <w:rsid w:val="006B7331"/>
    <w:rsid w:val="006B73D7"/>
    <w:rsid w:val="006B7491"/>
    <w:rsid w:val="006B7561"/>
    <w:rsid w:val="006B783F"/>
    <w:rsid w:val="006B7896"/>
    <w:rsid w:val="006B7AA0"/>
    <w:rsid w:val="006C0381"/>
    <w:rsid w:val="006C0766"/>
    <w:rsid w:val="006C0E2F"/>
    <w:rsid w:val="006C0EC1"/>
    <w:rsid w:val="006C1227"/>
    <w:rsid w:val="006C12B6"/>
    <w:rsid w:val="006C137C"/>
    <w:rsid w:val="006C1412"/>
    <w:rsid w:val="006C14DD"/>
    <w:rsid w:val="006C177D"/>
    <w:rsid w:val="006C1FDD"/>
    <w:rsid w:val="006C20AF"/>
    <w:rsid w:val="006C233B"/>
    <w:rsid w:val="006C247C"/>
    <w:rsid w:val="006C2599"/>
    <w:rsid w:val="006C2BE5"/>
    <w:rsid w:val="006C2D6E"/>
    <w:rsid w:val="006C2E2C"/>
    <w:rsid w:val="006C3583"/>
    <w:rsid w:val="006C3724"/>
    <w:rsid w:val="006C393A"/>
    <w:rsid w:val="006C4C17"/>
    <w:rsid w:val="006C5571"/>
    <w:rsid w:val="006C5904"/>
    <w:rsid w:val="006C5B9B"/>
    <w:rsid w:val="006C5CC4"/>
    <w:rsid w:val="006C6454"/>
    <w:rsid w:val="006C6904"/>
    <w:rsid w:val="006C697F"/>
    <w:rsid w:val="006C6B15"/>
    <w:rsid w:val="006C6EC7"/>
    <w:rsid w:val="006C72DD"/>
    <w:rsid w:val="006C73D3"/>
    <w:rsid w:val="006C7507"/>
    <w:rsid w:val="006C7771"/>
    <w:rsid w:val="006C7BE5"/>
    <w:rsid w:val="006C7D05"/>
    <w:rsid w:val="006C7F94"/>
    <w:rsid w:val="006D0BDE"/>
    <w:rsid w:val="006D0CF1"/>
    <w:rsid w:val="006D0F26"/>
    <w:rsid w:val="006D0F7A"/>
    <w:rsid w:val="006D15FC"/>
    <w:rsid w:val="006D1B21"/>
    <w:rsid w:val="006D1DF1"/>
    <w:rsid w:val="006D20D6"/>
    <w:rsid w:val="006D2333"/>
    <w:rsid w:val="006D245A"/>
    <w:rsid w:val="006D2624"/>
    <w:rsid w:val="006D276D"/>
    <w:rsid w:val="006D2795"/>
    <w:rsid w:val="006D289D"/>
    <w:rsid w:val="006D2984"/>
    <w:rsid w:val="006D29C4"/>
    <w:rsid w:val="006D2D35"/>
    <w:rsid w:val="006D3C67"/>
    <w:rsid w:val="006D3E32"/>
    <w:rsid w:val="006D4A20"/>
    <w:rsid w:val="006D4B11"/>
    <w:rsid w:val="006D4CF0"/>
    <w:rsid w:val="006D4DFF"/>
    <w:rsid w:val="006D550F"/>
    <w:rsid w:val="006D5568"/>
    <w:rsid w:val="006D5571"/>
    <w:rsid w:val="006D5EDF"/>
    <w:rsid w:val="006D622B"/>
    <w:rsid w:val="006D62B8"/>
    <w:rsid w:val="006D6525"/>
    <w:rsid w:val="006D759E"/>
    <w:rsid w:val="006D75DB"/>
    <w:rsid w:val="006D76E6"/>
    <w:rsid w:val="006D7819"/>
    <w:rsid w:val="006E00CA"/>
    <w:rsid w:val="006E05E3"/>
    <w:rsid w:val="006E097F"/>
    <w:rsid w:val="006E0F8D"/>
    <w:rsid w:val="006E159C"/>
    <w:rsid w:val="006E1FF5"/>
    <w:rsid w:val="006E22DB"/>
    <w:rsid w:val="006E2992"/>
    <w:rsid w:val="006E2CC6"/>
    <w:rsid w:val="006E2F1D"/>
    <w:rsid w:val="006E2F6C"/>
    <w:rsid w:val="006E301B"/>
    <w:rsid w:val="006E3113"/>
    <w:rsid w:val="006E38BA"/>
    <w:rsid w:val="006E38C9"/>
    <w:rsid w:val="006E3A3B"/>
    <w:rsid w:val="006E3FC3"/>
    <w:rsid w:val="006E4116"/>
    <w:rsid w:val="006E47E7"/>
    <w:rsid w:val="006E4980"/>
    <w:rsid w:val="006E4EC9"/>
    <w:rsid w:val="006E50B3"/>
    <w:rsid w:val="006E55DF"/>
    <w:rsid w:val="006E5CE9"/>
    <w:rsid w:val="006E5DF8"/>
    <w:rsid w:val="006E5E74"/>
    <w:rsid w:val="006E65ED"/>
    <w:rsid w:val="006E6BCB"/>
    <w:rsid w:val="006E6CDD"/>
    <w:rsid w:val="006E7211"/>
    <w:rsid w:val="006E7383"/>
    <w:rsid w:val="006E758C"/>
    <w:rsid w:val="006E769B"/>
    <w:rsid w:val="006E77B9"/>
    <w:rsid w:val="006E79CE"/>
    <w:rsid w:val="006F01B1"/>
    <w:rsid w:val="006F0AF2"/>
    <w:rsid w:val="006F0F39"/>
    <w:rsid w:val="006F0F5C"/>
    <w:rsid w:val="006F0F97"/>
    <w:rsid w:val="006F0F9E"/>
    <w:rsid w:val="006F15FC"/>
    <w:rsid w:val="006F1B12"/>
    <w:rsid w:val="006F1D69"/>
    <w:rsid w:val="006F20F6"/>
    <w:rsid w:val="006F2283"/>
    <w:rsid w:val="006F22B9"/>
    <w:rsid w:val="006F26A9"/>
    <w:rsid w:val="006F2738"/>
    <w:rsid w:val="006F2B76"/>
    <w:rsid w:val="006F2EE0"/>
    <w:rsid w:val="006F3100"/>
    <w:rsid w:val="006F325F"/>
    <w:rsid w:val="006F3367"/>
    <w:rsid w:val="006F3422"/>
    <w:rsid w:val="006F3593"/>
    <w:rsid w:val="006F383D"/>
    <w:rsid w:val="006F3CE8"/>
    <w:rsid w:val="006F42DC"/>
    <w:rsid w:val="006F4714"/>
    <w:rsid w:val="006F4B59"/>
    <w:rsid w:val="006F5356"/>
    <w:rsid w:val="006F577D"/>
    <w:rsid w:val="006F585E"/>
    <w:rsid w:val="006F7B86"/>
    <w:rsid w:val="006F7CD7"/>
    <w:rsid w:val="0070074B"/>
    <w:rsid w:val="0070088A"/>
    <w:rsid w:val="00700D8E"/>
    <w:rsid w:val="007011C5"/>
    <w:rsid w:val="00701A32"/>
    <w:rsid w:val="00701C0D"/>
    <w:rsid w:val="00701C2C"/>
    <w:rsid w:val="00701ED8"/>
    <w:rsid w:val="00701EFE"/>
    <w:rsid w:val="0070227C"/>
    <w:rsid w:val="007027E3"/>
    <w:rsid w:val="007027E9"/>
    <w:rsid w:val="0070287F"/>
    <w:rsid w:val="00702FD5"/>
    <w:rsid w:val="007032CA"/>
    <w:rsid w:val="00703462"/>
    <w:rsid w:val="007035DC"/>
    <w:rsid w:val="007038F8"/>
    <w:rsid w:val="00703BAB"/>
    <w:rsid w:val="00703D6E"/>
    <w:rsid w:val="007044A8"/>
    <w:rsid w:val="00704F37"/>
    <w:rsid w:val="00706419"/>
    <w:rsid w:val="00706638"/>
    <w:rsid w:val="007100C5"/>
    <w:rsid w:val="00710166"/>
    <w:rsid w:val="007104B1"/>
    <w:rsid w:val="007108F4"/>
    <w:rsid w:val="007109A3"/>
    <w:rsid w:val="00710F38"/>
    <w:rsid w:val="00711410"/>
    <w:rsid w:val="007116C1"/>
    <w:rsid w:val="007117A0"/>
    <w:rsid w:val="007125A4"/>
    <w:rsid w:val="007125E4"/>
    <w:rsid w:val="00712889"/>
    <w:rsid w:val="007128DE"/>
    <w:rsid w:val="0071290D"/>
    <w:rsid w:val="00712B40"/>
    <w:rsid w:val="00712B9E"/>
    <w:rsid w:val="00713E18"/>
    <w:rsid w:val="00714093"/>
    <w:rsid w:val="00714121"/>
    <w:rsid w:val="00714593"/>
    <w:rsid w:val="00714598"/>
    <w:rsid w:val="007147E9"/>
    <w:rsid w:val="00715076"/>
    <w:rsid w:val="007151BD"/>
    <w:rsid w:val="00715326"/>
    <w:rsid w:val="007153BB"/>
    <w:rsid w:val="00715799"/>
    <w:rsid w:val="0071594A"/>
    <w:rsid w:val="00715B99"/>
    <w:rsid w:val="0071645A"/>
    <w:rsid w:val="007169A4"/>
    <w:rsid w:val="0071711A"/>
    <w:rsid w:val="0071791A"/>
    <w:rsid w:val="00717D63"/>
    <w:rsid w:val="00717F14"/>
    <w:rsid w:val="00720008"/>
    <w:rsid w:val="00720204"/>
    <w:rsid w:val="0072024F"/>
    <w:rsid w:val="0072034F"/>
    <w:rsid w:val="0072054F"/>
    <w:rsid w:val="00720607"/>
    <w:rsid w:val="00720AB6"/>
    <w:rsid w:val="00720D17"/>
    <w:rsid w:val="00721099"/>
    <w:rsid w:val="00721626"/>
    <w:rsid w:val="00721773"/>
    <w:rsid w:val="0072177B"/>
    <w:rsid w:val="00721925"/>
    <w:rsid w:val="00721C88"/>
    <w:rsid w:val="00721FED"/>
    <w:rsid w:val="00722237"/>
    <w:rsid w:val="00722543"/>
    <w:rsid w:val="00722915"/>
    <w:rsid w:val="00722EB4"/>
    <w:rsid w:val="00722EBA"/>
    <w:rsid w:val="00723170"/>
    <w:rsid w:val="00723B70"/>
    <w:rsid w:val="007244BA"/>
    <w:rsid w:val="00724E53"/>
    <w:rsid w:val="0072535D"/>
    <w:rsid w:val="00725689"/>
    <w:rsid w:val="007259EF"/>
    <w:rsid w:val="0072652D"/>
    <w:rsid w:val="00726DDF"/>
    <w:rsid w:val="00726F58"/>
    <w:rsid w:val="00726F85"/>
    <w:rsid w:val="007276FE"/>
    <w:rsid w:val="007278B4"/>
    <w:rsid w:val="0073012E"/>
    <w:rsid w:val="007306CA"/>
    <w:rsid w:val="00730817"/>
    <w:rsid w:val="00730BA6"/>
    <w:rsid w:val="00730BD8"/>
    <w:rsid w:val="00730F79"/>
    <w:rsid w:val="007312E9"/>
    <w:rsid w:val="00731650"/>
    <w:rsid w:val="00732055"/>
    <w:rsid w:val="0073232E"/>
    <w:rsid w:val="007325BF"/>
    <w:rsid w:val="007326C6"/>
    <w:rsid w:val="00732BD7"/>
    <w:rsid w:val="00732D96"/>
    <w:rsid w:val="007335E0"/>
    <w:rsid w:val="00733611"/>
    <w:rsid w:val="00733709"/>
    <w:rsid w:val="007337F7"/>
    <w:rsid w:val="0073399D"/>
    <w:rsid w:val="00733DFE"/>
    <w:rsid w:val="0073440D"/>
    <w:rsid w:val="0073444E"/>
    <w:rsid w:val="00734496"/>
    <w:rsid w:val="007344C9"/>
    <w:rsid w:val="0073462A"/>
    <w:rsid w:val="0073497F"/>
    <w:rsid w:val="00734A05"/>
    <w:rsid w:val="00734EEB"/>
    <w:rsid w:val="00734EF2"/>
    <w:rsid w:val="00734FA4"/>
    <w:rsid w:val="0073554E"/>
    <w:rsid w:val="00735786"/>
    <w:rsid w:val="007357AB"/>
    <w:rsid w:val="00735EAA"/>
    <w:rsid w:val="0073610B"/>
    <w:rsid w:val="00736944"/>
    <w:rsid w:val="00736A63"/>
    <w:rsid w:val="00736D76"/>
    <w:rsid w:val="00736D7B"/>
    <w:rsid w:val="00736EF6"/>
    <w:rsid w:val="00737085"/>
    <w:rsid w:val="00737AB0"/>
    <w:rsid w:val="007406E8"/>
    <w:rsid w:val="00740905"/>
    <w:rsid w:val="00740D08"/>
    <w:rsid w:val="0074132B"/>
    <w:rsid w:val="0074155B"/>
    <w:rsid w:val="00741B84"/>
    <w:rsid w:val="00741CA7"/>
    <w:rsid w:val="00742419"/>
    <w:rsid w:val="007427BF"/>
    <w:rsid w:val="00742CE6"/>
    <w:rsid w:val="00743AE4"/>
    <w:rsid w:val="00743D6F"/>
    <w:rsid w:val="0074495E"/>
    <w:rsid w:val="00744A17"/>
    <w:rsid w:val="00744C0B"/>
    <w:rsid w:val="00744E23"/>
    <w:rsid w:val="00744F08"/>
    <w:rsid w:val="00745192"/>
    <w:rsid w:val="00745421"/>
    <w:rsid w:val="00745CA7"/>
    <w:rsid w:val="00745F15"/>
    <w:rsid w:val="00745FC7"/>
    <w:rsid w:val="00746185"/>
    <w:rsid w:val="00746482"/>
    <w:rsid w:val="0074655C"/>
    <w:rsid w:val="00746A18"/>
    <w:rsid w:val="00746DCD"/>
    <w:rsid w:val="00747053"/>
    <w:rsid w:val="00747106"/>
    <w:rsid w:val="0074733C"/>
    <w:rsid w:val="00747F28"/>
    <w:rsid w:val="00747F8A"/>
    <w:rsid w:val="00747FB9"/>
    <w:rsid w:val="007507AB"/>
    <w:rsid w:val="00750DBD"/>
    <w:rsid w:val="00751024"/>
    <w:rsid w:val="00751FE8"/>
    <w:rsid w:val="007527D2"/>
    <w:rsid w:val="00752AC2"/>
    <w:rsid w:val="00752B9E"/>
    <w:rsid w:val="0075321D"/>
    <w:rsid w:val="00753FA6"/>
    <w:rsid w:val="00754168"/>
    <w:rsid w:val="007541E6"/>
    <w:rsid w:val="00754472"/>
    <w:rsid w:val="007547DE"/>
    <w:rsid w:val="00754C17"/>
    <w:rsid w:val="00754CDA"/>
    <w:rsid w:val="007554E8"/>
    <w:rsid w:val="0075586A"/>
    <w:rsid w:val="00755890"/>
    <w:rsid w:val="00755B76"/>
    <w:rsid w:val="007563C9"/>
    <w:rsid w:val="007565F3"/>
    <w:rsid w:val="0075662D"/>
    <w:rsid w:val="00756BA2"/>
    <w:rsid w:val="00756C45"/>
    <w:rsid w:val="00757218"/>
    <w:rsid w:val="007578FE"/>
    <w:rsid w:val="00757B85"/>
    <w:rsid w:val="00757E63"/>
    <w:rsid w:val="0076072A"/>
    <w:rsid w:val="007608C3"/>
    <w:rsid w:val="00761B1E"/>
    <w:rsid w:val="007623EB"/>
    <w:rsid w:val="0076258B"/>
    <w:rsid w:val="00762CE9"/>
    <w:rsid w:val="00762F17"/>
    <w:rsid w:val="00763056"/>
    <w:rsid w:val="00763A71"/>
    <w:rsid w:val="007656A8"/>
    <w:rsid w:val="00765759"/>
    <w:rsid w:val="00765F75"/>
    <w:rsid w:val="007662B2"/>
    <w:rsid w:val="007667A1"/>
    <w:rsid w:val="007669E0"/>
    <w:rsid w:val="00766DB0"/>
    <w:rsid w:val="00767CEB"/>
    <w:rsid w:val="00767E82"/>
    <w:rsid w:val="007709DA"/>
    <w:rsid w:val="00770C53"/>
    <w:rsid w:val="00770E20"/>
    <w:rsid w:val="00771135"/>
    <w:rsid w:val="007713EE"/>
    <w:rsid w:val="007722A8"/>
    <w:rsid w:val="00772654"/>
    <w:rsid w:val="007727CB"/>
    <w:rsid w:val="00772D23"/>
    <w:rsid w:val="00772FEB"/>
    <w:rsid w:val="0077344F"/>
    <w:rsid w:val="00773788"/>
    <w:rsid w:val="00773C2C"/>
    <w:rsid w:val="00774441"/>
    <w:rsid w:val="007752A9"/>
    <w:rsid w:val="007754A4"/>
    <w:rsid w:val="0077573C"/>
    <w:rsid w:val="00775746"/>
    <w:rsid w:val="007758E2"/>
    <w:rsid w:val="00775AAC"/>
    <w:rsid w:val="00775B76"/>
    <w:rsid w:val="00775F9F"/>
    <w:rsid w:val="00775FAA"/>
    <w:rsid w:val="00776590"/>
    <w:rsid w:val="0077677F"/>
    <w:rsid w:val="00776EE9"/>
    <w:rsid w:val="007778C5"/>
    <w:rsid w:val="0077797B"/>
    <w:rsid w:val="007800A3"/>
    <w:rsid w:val="007800A6"/>
    <w:rsid w:val="007804F8"/>
    <w:rsid w:val="0078103E"/>
    <w:rsid w:val="007811CE"/>
    <w:rsid w:val="00781BDB"/>
    <w:rsid w:val="00781C30"/>
    <w:rsid w:val="00781D3D"/>
    <w:rsid w:val="00782B65"/>
    <w:rsid w:val="007830EB"/>
    <w:rsid w:val="007835AF"/>
    <w:rsid w:val="007836FD"/>
    <w:rsid w:val="007837C5"/>
    <w:rsid w:val="0078384C"/>
    <w:rsid w:val="00783D36"/>
    <w:rsid w:val="007846A1"/>
    <w:rsid w:val="007849FE"/>
    <w:rsid w:val="00785009"/>
    <w:rsid w:val="007850CC"/>
    <w:rsid w:val="0078594D"/>
    <w:rsid w:val="00785B98"/>
    <w:rsid w:val="00785F2A"/>
    <w:rsid w:val="0078602F"/>
    <w:rsid w:val="00786288"/>
    <w:rsid w:val="007863E4"/>
    <w:rsid w:val="007867C4"/>
    <w:rsid w:val="00786FC1"/>
    <w:rsid w:val="0078797B"/>
    <w:rsid w:val="007905AE"/>
    <w:rsid w:val="007907AE"/>
    <w:rsid w:val="00790966"/>
    <w:rsid w:val="007909A2"/>
    <w:rsid w:val="00790F7F"/>
    <w:rsid w:val="00791055"/>
    <w:rsid w:val="00791068"/>
    <w:rsid w:val="0079135C"/>
    <w:rsid w:val="00791663"/>
    <w:rsid w:val="00791ADB"/>
    <w:rsid w:val="00791C11"/>
    <w:rsid w:val="007921AC"/>
    <w:rsid w:val="007924C4"/>
    <w:rsid w:val="00792A77"/>
    <w:rsid w:val="00792C19"/>
    <w:rsid w:val="00792D43"/>
    <w:rsid w:val="007930C3"/>
    <w:rsid w:val="00793574"/>
    <w:rsid w:val="00793942"/>
    <w:rsid w:val="007939AE"/>
    <w:rsid w:val="00793A5A"/>
    <w:rsid w:val="00794A2E"/>
    <w:rsid w:val="00794AA0"/>
    <w:rsid w:val="00794C7C"/>
    <w:rsid w:val="00794EA4"/>
    <w:rsid w:val="00794FC8"/>
    <w:rsid w:val="007950E3"/>
    <w:rsid w:val="0079545D"/>
    <w:rsid w:val="007954C1"/>
    <w:rsid w:val="00795694"/>
    <w:rsid w:val="0079574A"/>
    <w:rsid w:val="00795A6B"/>
    <w:rsid w:val="00795CC9"/>
    <w:rsid w:val="0079658D"/>
    <w:rsid w:val="007969A7"/>
    <w:rsid w:val="00796AA4"/>
    <w:rsid w:val="00796DBE"/>
    <w:rsid w:val="00797135"/>
    <w:rsid w:val="00797C38"/>
    <w:rsid w:val="00797F24"/>
    <w:rsid w:val="007A01DE"/>
    <w:rsid w:val="007A0A3B"/>
    <w:rsid w:val="007A13F1"/>
    <w:rsid w:val="007A143E"/>
    <w:rsid w:val="007A1619"/>
    <w:rsid w:val="007A1D0B"/>
    <w:rsid w:val="007A1D8A"/>
    <w:rsid w:val="007A2778"/>
    <w:rsid w:val="007A2A31"/>
    <w:rsid w:val="007A2E9B"/>
    <w:rsid w:val="007A3177"/>
    <w:rsid w:val="007A3E3E"/>
    <w:rsid w:val="007A45EF"/>
    <w:rsid w:val="007A4896"/>
    <w:rsid w:val="007A5CA4"/>
    <w:rsid w:val="007A5E38"/>
    <w:rsid w:val="007A6005"/>
    <w:rsid w:val="007A6050"/>
    <w:rsid w:val="007A618F"/>
    <w:rsid w:val="007A63BE"/>
    <w:rsid w:val="007A688C"/>
    <w:rsid w:val="007A6CFD"/>
    <w:rsid w:val="007A715D"/>
    <w:rsid w:val="007A721A"/>
    <w:rsid w:val="007A742C"/>
    <w:rsid w:val="007A7446"/>
    <w:rsid w:val="007A7525"/>
    <w:rsid w:val="007A7E9B"/>
    <w:rsid w:val="007B02DA"/>
    <w:rsid w:val="007B03F4"/>
    <w:rsid w:val="007B0869"/>
    <w:rsid w:val="007B103F"/>
    <w:rsid w:val="007B11D4"/>
    <w:rsid w:val="007B1478"/>
    <w:rsid w:val="007B1DF4"/>
    <w:rsid w:val="007B1F6F"/>
    <w:rsid w:val="007B2D9F"/>
    <w:rsid w:val="007B2F75"/>
    <w:rsid w:val="007B3489"/>
    <w:rsid w:val="007B39F5"/>
    <w:rsid w:val="007B3A96"/>
    <w:rsid w:val="007B3AC3"/>
    <w:rsid w:val="007B3F6C"/>
    <w:rsid w:val="007B4685"/>
    <w:rsid w:val="007B468B"/>
    <w:rsid w:val="007B48AA"/>
    <w:rsid w:val="007B48AC"/>
    <w:rsid w:val="007B4F6F"/>
    <w:rsid w:val="007B4FFA"/>
    <w:rsid w:val="007B5201"/>
    <w:rsid w:val="007B54D2"/>
    <w:rsid w:val="007B55D6"/>
    <w:rsid w:val="007B58BF"/>
    <w:rsid w:val="007B5A6D"/>
    <w:rsid w:val="007B5BBD"/>
    <w:rsid w:val="007B6057"/>
    <w:rsid w:val="007B6092"/>
    <w:rsid w:val="007B66DA"/>
    <w:rsid w:val="007B6987"/>
    <w:rsid w:val="007B6B93"/>
    <w:rsid w:val="007B6F05"/>
    <w:rsid w:val="007B70F5"/>
    <w:rsid w:val="007B71A6"/>
    <w:rsid w:val="007B7398"/>
    <w:rsid w:val="007B772F"/>
    <w:rsid w:val="007B7960"/>
    <w:rsid w:val="007B7963"/>
    <w:rsid w:val="007B7A8B"/>
    <w:rsid w:val="007B7D17"/>
    <w:rsid w:val="007B7EA1"/>
    <w:rsid w:val="007C0076"/>
    <w:rsid w:val="007C0463"/>
    <w:rsid w:val="007C0DF2"/>
    <w:rsid w:val="007C1043"/>
    <w:rsid w:val="007C10C7"/>
    <w:rsid w:val="007C11E9"/>
    <w:rsid w:val="007C1293"/>
    <w:rsid w:val="007C199C"/>
    <w:rsid w:val="007C2157"/>
    <w:rsid w:val="007C236A"/>
    <w:rsid w:val="007C2429"/>
    <w:rsid w:val="007C2609"/>
    <w:rsid w:val="007C282B"/>
    <w:rsid w:val="007C28A6"/>
    <w:rsid w:val="007C28B1"/>
    <w:rsid w:val="007C32CF"/>
    <w:rsid w:val="007C32D4"/>
    <w:rsid w:val="007C334A"/>
    <w:rsid w:val="007C34C8"/>
    <w:rsid w:val="007C35E6"/>
    <w:rsid w:val="007C3B04"/>
    <w:rsid w:val="007C4317"/>
    <w:rsid w:val="007C43AA"/>
    <w:rsid w:val="007C4484"/>
    <w:rsid w:val="007C46C7"/>
    <w:rsid w:val="007C47CB"/>
    <w:rsid w:val="007C483E"/>
    <w:rsid w:val="007C4CBC"/>
    <w:rsid w:val="007C55B9"/>
    <w:rsid w:val="007C58AF"/>
    <w:rsid w:val="007C5D70"/>
    <w:rsid w:val="007C5F8D"/>
    <w:rsid w:val="007C5FC3"/>
    <w:rsid w:val="007C634C"/>
    <w:rsid w:val="007C651F"/>
    <w:rsid w:val="007C6543"/>
    <w:rsid w:val="007C73EA"/>
    <w:rsid w:val="007C794C"/>
    <w:rsid w:val="007C7FCC"/>
    <w:rsid w:val="007D09E0"/>
    <w:rsid w:val="007D12C0"/>
    <w:rsid w:val="007D13F7"/>
    <w:rsid w:val="007D1811"/>
    <w:rsid w:val="007D1917"/>
    <w:rsid w:val="007D1EAC"/>
    <w:rsid w:val="007D29E3"/>
    <w:rsid w:val="007D29F7"/>
    <w:rsid w:val="007D2ACF"/>
    <w:rsid w:val="007D34E0"/>
    <w:rsid w:val="007D3571"/>
    <w:rsid w:val="007D3A2E"/>
    <w:rsid w:val="007D3AAB"/>
    <w:rsid w:val="007D3CEA"/>
    <w:rsid w:val="007D40B5"/>
    <w:rsid w:val="007D43AF"/>
    <w:rsid w:val="007D4641"/>
    <w:rsid w:val="007D57CD"/>
    <w:rsid w:val="007D5844"/>
    <w:rsid w:val="007D63C8"/>
    <w:rsid w:val="007D65A0"/>
    <w:rsid w:val="007D6AEE"/>
    <w:rsid w:val="007D6CB9"/>
    <w:rsid w:val="007D7110"/>
    <w:rsid w:val="007D733F"/>
    <w:rsid w:val="007D7343"/>
    <w:rsid w:val="007D74B7"/>
    <w:rsid w:val="007D7A7C"/>
    <w:rsid w:val="007D7D82"/>
    <w:rsid w:val="007D7E2C"/>
    <w:rsid w:val="007E013D"/>
    <w:rsid w:val="007E0233"/>
    <w:rsid w:val="007E08DF"/>
    <w:rsid w:val="007E0E82"/>
    <w:rsid w:val="007E124E"/>
    <w:rsid w:val="007E127E"/>
    <w:rsid w:val="007E1703"/>
    <w:rsid w:val="007E18DB"/>
    <w:rsid w:val="007E1A61"/>
    <w:rsid w:val="007E1F52"/>
    <w:rsid w:val="007E2176"/>
    <w:rsid w:val="007E2500"/>
    <w:rsid w:val="007E266C"/>
    <w:rsid w:val="007E2961"/>
    <w:rsid w:val="007E2E85"/>
    <w:rsid w:val="007E31A2"/>
    <w:rsid w:val="007E3DF7"/>
    <w:rsid w:val="007E3F5C"/>
    <w:rsid w:val="007E430E"/>
    <w:rsid w:val="007E4433"/>
    <w:rsid w:val="007E4530"/>
    <w:rsid w:val="007E5332"/>
    <w:rsid w:val="007E53F0"/>
    <w:rsid w:val="007E562A"/>
    <w:rsid w:val="007E58C5"/>
    <w:rsid w:val="007E5958"/>
    <w:rsid w:val="007E5DA7"/>
    <w:rsid w:val="007E5F51"/>
    <w:rsid w:val="007E6333"/>
    <w:rsid w:val="007E6AD8"/>
    <w:rsid w:val="007E7C28"/>
    <w:rsid w:val="007E7C34"/>
    <w:rsid w:val="007E7D32"/>
    <w:rsid w:val="007E7D4F"/>
    <w:rsid w:val="007F0108"/>
    <w:rsid w:val="007F02E5"/>
    <w:rsid w:val="007F0439"/>
    <w:rsid w:val="007F04ED"/>
    <w:rsid w:val="007F0B5C"/>
    <w:rsid w:val="007F1042"/>
    <w:rsid w:val="007F11E4"/>
    <w:rsid w:val="007F14F6"/>
    <w:rsid w:val="007F1B63"/>
    <w:rsid w:val="007F1E4B"/>
    <w:rsid w:val="007F2380"/>
    <w:rsid w:val="007F27A9"/>
    <w:rsid w:val="007F2EAE"/>
    <w:rsid w:val="007F3353"/>
    <w:rsid w:val="007F3412"/>
    <w:rsid w:val="007F3847"/>
    <w:rsid w:val="007F3DD7"/>
    <w:rsid w:val="007F3E20"/>
    <w:rsid w:val="007F48F6"/>
    <w:rsid w:val="007F4991"/>
    <w:rsid w:val="007F4ABA"/>
    <w:rsid w:val="007F4ED5"/>
    <w:rsid w:val="007F5575"/>
    <w:rsid w:val="007F590E"/>
    <w:rsid w:val="007F59E8"/>
    <w:rsid w:val="007F5E12"/>
    <w:rsid w:val="007F607E"/>
    <w:rsid w:val="007F62C7"/>
    <w:rsid w:val="007F630C"/>
    <w:rsid w:val="007F6397"/>
    <w:rsid w:val="007F63CC"/>
    <w:rsid w:val="007F6926"/>
    <w:rsid w:val="007F6A16"/>
    <w:rsid w:val="007F7532"/>
    <w:rsid w:val="007F7579"/>
    <w:rsid w:val="007F7737"/>
    <w:rsid w:val="007F785F"/>
    <w:rsid w:val="007F7BB0"/>
    <w:rsid w:val="00800D74"/>
    <w:rsid w:val="008014F8"/>
    <w:rsid w:val="00801798"/>
    <w:rsid w:val="00801D3E"/>
    <w:rsid w:val="00802705"/>
    <w:rsid w:val="00802832"/>
    <w:rsid w:val="00802A9F"/>
    <w:rsid w:val="00802CA4"/>
    <w:rsid w:val="008030CA"/>
    <w:rsid w:val="008030D8"/>
    <w:rsid w:val="008031BA"/>
    <w:rsid w:val="00803278"/>
    <w:rsid w:val="00803317"/>
    <w:rsid w:val="0080347A"/>
    <w:rsid w:val="0080351E"/>
    <w:rsid w:val="00803792"/>
    <w:rsid w:val="00803AA5"/>
    <w:rsid w:val="00803BFA"/>
    <w:rsid w:val="00803C1E"/>
    <w:rsid w:val="00803FE1"/>
    <w:rsid w:val="00804092"/>
    <w:rsid w:val="00804242"/>
    <w:rsid w:val="0080457B"/>
    <w:rsid w:val="00804A51"/>
    <w:rsid w:val="00804C78"/>
    <w:rsid w:val="00804F7C"/>
    <w:rsid w:val="008057CD"/>
    <w:rsid w:val="00805994"/>
    <w:rsid w:val="00805D34"/>
    <w:rsid w:val="00805F9F"/>
    <w:rsid w:val="00805FEE"/>
    <w:rsid w:val="00806438"/>
    <w:rsid w:val="008066CB"/>
    <w:rsid w:val="008069EA"/>
    <w:rsid w:val="00806D82"/>
    <w:rsid w:val="00806F50"/>
    <w:rsid w:val="00807166"/>
    <w:rsid w:val="008072EF"/>
    <w:rsid w:val="0080732E"/>
    <w:rsid w:val="00807414"/>
    <w:rsid w:val="008077F3"/>
    <w:rsid w:val="00810220"/>
    <w:rsid w:val="0081062E"/>
    <w:rsid w:val="00810ACB"/>
    <w:rsid w:val="00810EF8"/>
    <w:rsid w:val="00811310"/>
    <w:rsid w:val="00811C9D"/>
    <w:rsid w:val="00811D74"/>
    <w:rsid w:val="0081209B"/>
    <w:rsid w:val="008121E3"/>
    <w:rsid w:val="00812AD4"/>
    <w:rsid w:val="00812D9E"/>
    <w:rsid w:val="00812E80"/>
    <w:rsid w:val="00812E9C"/>
    <w:rsid w:val="00813713"/>
    <w:rsid w:val="0081372B"/>
    <w:rsid w:val="008137A8"/>
    <w:rsid w:val="00814E53"/>
    <w:rsid w:val="00815058"/>
    <w:rsid w:val="00815271"/>
    <w:rsid w:val="008152E0"/>
    <w:rsid w:val="00816152"/>
    <w:rsid w:val="0081675F"/>
    <w:rsid w:val="00816949"/>
    <w:rsid w:val="00816984"/>
    <w:rsid w:val="00817787"/>
    <w:rsid w:val="00820151"/>
    <w:rsid w:val="0082055C"/>
    <w:rsid w:val="008206FE"/>
    <w:rsid w:val="00821389"/>
    <w:rsid w:val="00822696"/>
    <w:rsid w:val="0082287F"/>
    <w:rsid w:val="00822F1E"/>
    <w:rsid w:val="00822FAF"/>
    <w:rsid w:val="008237B4"/>
    <w:rsid w:val="00823BCC"/>
    <w:rsid w:val="00823C1F"/>
    <w:rsid w:val="008241E9"/>
    <w:rsid w:val="00824FD2"/>
    <w:rsid w:val="008254FB"/>
    <w:rsid w:val="00825680"/>
    <w:rsid w:val="00825E49"/>
    <w:rsid w:val="00825FD4"/>
    <w:rsid w:val="00826D9D"/>
    <w:rsid w:val="00827083"/>
    <w:rsid w:val="00827136"/>
    <w:rsid w:val="008275D5"/>
    <w:rsid w:val="00827A84"/>
    <w:rsid w:val="008302B3"/>
    <w:rsid w:val="008303C3"/>
    <w:rsid w:val="008304F7"/>
    <w:rsid w:val="00830D84"/>
    <w:rsid w:val="008314E2"/>
    <w:rsid w:val="0083198D"/>
    <w:rsid w:val="00831BC2"/>
    <w:rsid w:val="00831FF2"/>
    <w:rsid w:val="00832C15"/>
    <w:rsid w:val="00832C19"/>
    <w:rsid w:val="00832D9B"/>
    <w:rsid w:val="00833020"/>
    <w:rsid w:val="0083328B"/>
    <w:rsid w:val="00833425"/>
    <w:rsid w:val="00833957"/>
    <w:rsid w:val="00833AC6"/>
    <w:rsid w:val="00834200"/>
    <w:rsid w:val="008347EA"/>
    <w:rsid w:val="0083494E"/>
    <w:rsid w:val="00834EA9"/>
    <w:rsid w:val="0083583A"/>
    <w:rsid w:val="00835903"/>
    <w:rsid w:val="00835BD3"/>
    <w:rsid w:val="00835BD7"/>
    <w:rsid w:val="0083619E"/>
    <w:rsid w:val="008361A8"/>
    <w:rsid w:val="008364E7"/>
    <w:rsid w:val="00836799"/>
    <w:rsid w:val="008367E6"/>
    <w:rsid w:val="00836EFA"/>
    <w:rsid w:val="0083752B"/>
    <w:rsid w:val="008376EB"/>
    <w:rsid w:val="008402CC"/>
    <w:rsid w:val="0084048C"/>
    <w:rsid w:val="0084076B"/>
    <w:rsid w:val="0084121E"/>
    <w:rsid w:val="00841923"/>
    <w:rsid w:val="00841B2E"/>
    <w:rsid w:val="00841B3F"/>
    <w:rsid w:val="00842869"/>
    <w:rsid w:val="00842BE1"/>
    <w:rsid w:val="00842CD6"/>
    <w:rsid w:val="00842F01"/>
    <w:rsid w:val="008434FC"/>
    <w:rsid w:val="008440B8"/>
    <w:rsid w:val="00844297"/>
    <w:rsid w:val="0084459A"/>
    <w:rsid w:val="008445B5"/>
    <w:rsid w:val="008446F3"/>
    <w:rsid w:val="008447BB"/>
    <w:rsid w:val="00844A9A"/>
    <w:rsid w:val="00844B5E"/>
    <w:rsid w:val="00844EDC"/>
    <w:rsid w:val="00844F8A"/>
    <w:rsid w:val="008453AD"/>
    <w:rsid w:val="00845673"/>
    <w:rsid w:val="00846048"/>
    <w:rsid w:val="00846312"/>
    <w:rsid w:val="008463AC"/>
    <w:rsid w:val="00846654"/>
    <w:rsid w:val="008474C2"/>
    <w:rsid w:val="00847669"/>
    <w:rsid w:val="0084795A"/>
    <w:rsid w:val="00847A90"/>
    <w:rsid w:val="00847B64"/>
    <w:rsid w:val="00847D17"/>
    <w:rsid w:val="00847E0D"/>
    <w:rsid w:val="00847F3D"/>
    <w:rsid w:val="008504C9"/>
    <w:rsid w:val="0085051B"/>
    <w:rsid w:val="00850EE9"/>
    <w:rsid w:val="0085101D"/>
    <w:rsid w:val="0085169D"/>
    <w:rsid w:val="00851A37"/>
    <w:rsid w:val="00851AA5"/>
    <w:rsid w:val="00852369"/>
    <w:rsid w:val="008526FA"/>
    <w:rsid w:val="00852887"/>
    <w:rsid w:val="00852B76"/>
    <w:rsid w:val="00852BA9"/>
    <w:rsid w:val="00852C1E"/>
    <w:rsid w:val="00852E8E"/>
    <w:rsid w:val="008539A9"/>
    <w:rsid w:val="00853A9F"/>
    <w:rsid w:val="00853DE9"/>
    <w:rsid w:val="00853E14"/>
    <w:rsid w:val="00853EED"/>
    <w:rsid w:val="00854544"/>
    <w:rsid w:val="008547D1"/>
    <w:rsid w:val="008549AF"/>
    <w:rsid w:val="00854AA3"/>
    <w:rsid w:val="00855637"/>
    <w:rsid w:val="008557D6"/>
    <w:rsid w:val="00855A74"/>
    <w:rsid w:val="00855E2E"/>
    <w:rsid w:val="00855E33"/>
    <w:rsid w:val="00856459"/>
    <w:rsid w:val="00857272"/>
    <w:rsid w:val="00857331"/>
    <w:rsid w:val="00857DCB"/>
    <w:rsid w:val="00857F5C"/>
    <w:rsid w:val="00860077"/>
    <w:rsid w:val="00860283"/>
    <w:rsid w:val="00860468"/>
    <w:rsid w:val="0086058E"/>
    <w:rsid w:val="00860C34"/>
    <w:rsid w:val="00860F8A"/>
    <w:rsid w:val="00861196"/>
    <w:rsid w:val="008615A7"/>
    <w:rsid w:val="008616A5"/>
    <w:rsid w:val="00861DF7"/>
    <w:rsid w:val="0086263A"/>
    <w:rsid w:val="00862C53"/>
    <w:rsid w:val="00862F65"/>
    <w:rsid w:val="00862FC7"/>
    <w:rsid w:val="0086342F"/>
    <w:rsid w:val="0086360A"/>
    <w:rsid w:val="008638F0"/>
    <w:rsid w:val="00863A21"/>
    <w:rsid w:val="00863B9C"/>
    <w:rsid w:val="00864760"/>
    <w:rsid w:val="008649CE"/>
    <w:rsid w:val="00864A63"/>
    <w:rsid w:val="00864A7D"/>
    <w:rsid w:val="00864E04"/>
    <w:rsid w:val="008658E1"/>
    <w:rsid w:val="00865C99"/>
    <w:rsid w:val="00865D9B"/>
    <w:rsid w:val="0086614C"/>
    <w:rsid w:val="0086638D"/>
    <w:rsid w:val="0086659C"/>
    <w:rsid w:val="008666EC"/>
    <w:rsid w:val="00867060"/>
    <w:rsid w:val="00867137"/>
    <w:rsid w:val="00867293"/>
    <w:rsid w:val="0086785E"/>
    <w:rsid w:val="00867997"/>
    <w:rsid w:val="0087019E"/>
    <w:rsid w:val="008703B1"/>
    <w:rsid w:val="0087073A"/>
    <w:rsid w:val="0087115D"/>
    <w:rsid w:val="008711EA"/>
    <w:rsid w:val="00871235"/>
    <w:rsid w:val="00871C5A"/>
    <w:rsid w:val="00871CED"/>
    <w:rsid w:val="00871DC9"/>
    <w:rsid w:val="00871E74"/>
    <w:rsid w:val="00872119"/>
    <w:rsid w:val="008721DC"/>
    <w:rsid w:val="0087221C"/>
    <w:rsid w:val="0087262F"/>
    <w:rsid w:val="008726DF"/>
    <w:rsid w:val="00872BAD"/>
    <w:rsid w:val="00872F22"/>
    <w:rsid w:val="00872F59"/>
    <w:rsid w:val="00873133"/>
    <w:rsid w:val="00873403"/>
    <w:rsid w:val="0087404B"/>
    <w:rsid w:val="00874583"/>
    <w:rsid w:val="00874A5E"/>
    <w:rsid w:val="00874B4C"/>
    <w:rsid w:val="00874F29"/>
    <w:rsid w:val="00875351"/>
    <w:rsid w:val="0087541F"/>
    <w:rsid w:val="00875D4D"/>
    <w:rsid w:val="008764A6"/>
    <w:rsid w:val="00876903"/>
    <w:rsid w:val="00876AEB"/>
    <w:rsid w:val="008779C5"/>
    <w:rsid w:val="00877AE7"/>
    <w:rsid w:val="00877C13"/>
    <w:rsid w:val="00880FA5"/>
    <w:rsid w:val="008811CC"/>
    <w:rsid w:val="0088175C"/>
    <w:rsid w:val="008818EB"/>
    <w:rsid w:val="008818FD"/>
    <w:rsid w:val="00881E57"/>
    <w:rsid w:val="00882A3B"/>
    <w:rsid w:val="00882C6A"/>
    <w:rsid w:val="00883153"/>
    <w:rsid w:val="00883F3D"/>
    <w:rsid w:val="00884539"/>
    <w:rsid w:val="008845B3"/>
    <w:rsid w:val="00884FAA"/>
    <w:rsid w:val="00885467"/>
    <w:rsid w:val="008856C3"/>
    <w:rsid w:val="00885BA7"/>
    <w:rsid w:val="00885BEB"/>
    <w:rsid w:val="008861A9"/>
    <w:rsid w:val="00886610"/>
    <w:rsid w:val="00886964"/>
    <w:rsid w:val="00886DC6"/>
    <w:rsid w:val="00886F07"/>
    <w:rsid w:val="00886F21"/>
    <w:rsid w:val="00890E77"/>
    <w:rsid w:val="00890E81"/>
    <w:rsid w:val="00890FE6"/>
    <w:rsid w:val="008910FD"/>
    <w:rsid w:val="008913E0"/>
    <w:rsid w:val="00891454"/>
    <w:rsid w:val="00891EEF"/>
    <w:rsid w:val="008920E9"/>
    <w:rsid w:val="008926DA"/>
    <w:rsid w:val="00892C1E"/>
    <w:rsid w:val="00892C82"/>
    <w:rsid w:val="00892CB0"/>
    <w:rsid w:val="00892E08"/>
    <w:rsid w:val="00892E89"/>
    <w:rsid w:val="008932D5"/>
    <w:rsid w:val="00893493"/>
    <w:rsid w:val="00893686"/>
    <w:rsid w:val="00893B79"/>
    <w:rsid w:val="00894190"/>
    <w:rsid w:val="0089431A"/>
    <w:rsid w:val="0089442D"/>
    <w:rsid w:val="00894C86"/>
    <w:rsid w:val="00894E93"/>
    <w:rsid w:val="00895253"/>
    <w:rsid w:val="00895896"/>
    <w:rsid w:val="008959BF"/>
    <w:rsid w:val="00895C85"/>
    <w:rsid w:val="00895CF0"/>
    <w:rsid w:val="0089630C"/>
    <w:rsid w:val="00896666"/>
    <w:rsid w:val="00897630"/>
    <w:rsid w:val="008977AF"/>
    <w:rsid w:val="008A004D"/>
    <w:rsid w:val="008A0B6B"/>
    <w:rsid w:val="008A10DB"/>
    <w:rsid w:val="008A11E3"/>
    <w:rsid w:val="008A1319"/>
    <w:rsid w:val="008A1855"/>
    <w:rsid w:val="008A1E33"/>
    <w:rsid w:val="008A1FAD"/>
    <w:rsid w:val="008A23E6"/>
    <w:rsid w:val="008A2B9F"/>
    <w:rsid w:val="008A3048"/>
    <w:rsid w:val="008A31C9"/>
    <w:rsid w:val="008A31DB"/>
    <w:rsid w:val="008A3C6A"/>
    <w:rsid w:val="008A3CFB"/>
    <w:rsid w:val="008A3D5E"/>
    <w:rsid w:val="008A3D9C"/>
    <w:rsid w:val="008A409C"/>
    <w:rsid w:val="008A48C5"/>
    <w:rsid w:val="008A5DB5"/>
    <w:rsid w:val="008A5DEE"/>
    <w:rsid w:val="008A717A"/>
    <w:rsid w:val="008A71EE"/>
    <w:rsid w:val="008A721A"/>
    <w:rsid w:val="008A7866"/>
    <w:rsid w:val="008A7A5E"/>
    <w:rsid w:val="008A7E22"/>
    <w:rsid w:val="008B008A"/>
    <w:rsid w:val="008B00E4"/>
    <w:rsid w:val="008B0368"/>
    <w:rsid w:val="008B0376"/>
    <w:rsid w:val="008B0414"/>
    <w:rsid w:val="008B0CDC"/>
    <w:rsid w:val="008B0F2C"/>
    <w:rsid w:val="008B1299"/>
    <w:rsid w:val="008B13D9"/>
    <w:rsid w:val="008B158E"/>
    <w:rsid w:val="008B171F"/>
    <w:rsid w:val="008B219F"/>
    <w:rsid w:val="008B2ECE"/>
    <w:rsid w:val="008B3041"/>
    <w:rsid w:val="008B3407"/>
    <w:rsid w:val="008B42B9"/>
    <w:rsid w:val="008B47F0"/>
    <w:rsid w:val="008B48DB"/>
    <w:rsid w:val="008B4BF0"/>
    <w:rsid w:val="008B5078"/>
    <w:rsid w:val="008B51FF"/>
    <w:rsid w:val="008B5235"/>
    <w:rsid w:val="008B598F"/>
    <w:rsid w:val="008B5C19"/>
    <w:rsid w:val="008B5EA8"/>
    <w:rsid w:val="008B6130"/>
    <w:rsid w:val="008B621E"/>
    <w:rsid w:val="008B6536"/>
    <w:rsid w:val="008B6735"/>
    <w:rsid w:val="008B6977"/>
    <w:rsid w:val="008B6B7F"/>
    <w:rsid w:val="008B710F"/>
    <w:rsid w:val="008B7129"/>
    <w:rsid w:val="008B72F8"/>
    <w:rsid w:val="008B75B8"/>
    <w:rsid w:val="008B7683"/>
    <w:rsid w:val="008C0371"/>
    <w:rsid w:val="008C0C29"/>
    <w:rsid w:val="008C0F4C"/>
    <w:rsid w:val="008C1510"/>
    <w:rsid w:val="008C237D"/>
    <w:rsid w:val="008C26B2"/>
    <w:rsid w:val="008C29DD"/>
    <w:rsid w:val="008C3287"/>
    <w:rsid w:val="008C34B6"/>
    <w:rsid w:val="008C3773"/>
    <w:rsid w:val="008C3806"/>
    <w:rsid w:val="008C3AE0"/>
    <w:rsid w:val="008C3C72"/>
    <w:rsid w:val="008C3DBA"/>
    <w:rsid w:val="008C3F0B"/>
    <w:rsid w:val="008C3F7C"/>
    <w:rsid w:val="008C4844"/>
    <w:rsid w:val="008C59CB"/>
    <w:rsid w:val="008C5A1D"/>
    <w:rsid w:val="008C5B54"/>
    <w:rsid w:val="008C5B56"/>
    <w:rsid w:val="008C5C83"/>
    <w:rsid w:val="008C64AD"/>
    <w:rsid w:val="008C6762"/>
    <w:rsid w:val="008C7537"/>
    <w:rsid w:val="008C7892"/>
    <w:rsid w:val="008C79B0"/>
    <w:rsid w:val="008C7C99"/>
    <w:rsid w:val="008C7CBE"/>
    <w:rsid w:val="008D0984"/>
    <w:rsid w:val="008D09E4"/>
    <w:rsid w:val="008D126E"/>
    <w:rsid w:val="008D129B"/>
    <w:rsid w:val="008D195A"/>
    <w:rsid w:val="008D19FC"/>
    <w:rsid w:val="008D208A"/>
    <w:rsid w:val="008D258E"/>
    <w:rsid w:val="008D2725"/>
    <w:rsid w:val="008D2732"/>
    <w:rsid w:val="008D2767"/>
    <w:rsid w:val="008D2C43"/>
    <w:rsid w:val="008D3242"/>
    <w:rsid w:val="008D3697"/>
    <w:rsid w:val="008D3C38"/>
    <w:rsid w:val="008D3F63"/>
    <w:rsid w:val="008D4597"/>
    <w:rsid w:val="008D4656"/>
    <w:rsid w:val="008D4AE9"/>
    <w:rsid w:val="008D4F97"/>
    <w:rsid w:val="008D514B"/>
    <w:rsid w:val="008D5DEB"/>
    <w:rsid w:val="008D6553"/>
    <w:rsid w:val="008D663D"/>
    <w:rsid w:val="008D6B90"/>
    <w:rsid w:val="008D6B9B"/>
    <w:rsid w:val="008D75D3"/>
    <w:rsid w:val="008D77E3"/>
    <w:rsid w:val="008D7A62"/>
    <w:rsid w:val="008D7B53"/>
    <w:rsid w:val="008D7E24"/>
    <w:rsid w:val="008E018E"/>
    <w:rsid w:val="008E05DB"/>
    <w:rsid w:val="008E06E8"/>
    <w:rsid w:val="008E0789"/>
    <w:rsid w:val="008E0A8C"/>
    <w:rsid w:val="008E0B9E"/>
    <w:rsid w:val="008E1600"/>
    <w:rsid w:val="008E1C2A"/>
    <w:rsid w:val="008E1E30"/>
    <w:rsid w:val="008E2286"/>
    <w:rsid w:val="008E23A2"/>
    <w:rsid w:val="008E2493"/>
    <w:rsid w:val="008E2576"/>
    <w:rsid w:val="008E30B6"/>
    <w:rsid w:val="008E3533"/>
    <w:rsid w:val="008E3594"/>
    <w:rsid w:val="008E3968"/>
    <w:rsid w:val="008E3AF1"/>
    <w:rsid w:val="008E43CA"/>
    <w:rsid w:val="008E44D2"/>
    <w:rsid w:val="008E4761"/>
    <w:rsid w:val="008E4A8A"/>
    <w:rsid w:val="008E4B64"/>
    <w:rsid w:val="008E4D07"/>
    <w:rsid w:val="008E58B9"/>
    <w:rsid w:val="008E5A5A"/>
    <w:rsid w:val="008E5B41"/>
    <w:rsid w:val="008E5CC0"/>
    <w:rsid w:val="008E5F5E"/>
    <w:rsid w:val="008E6483"/>
    <w:rsid w:val="008E66C1"/>
    <w:rsid w:val="008E6FA3"/>
    <w:rsid w:val="008E732D"/>
    <w:rsid w:val="008E74EE"/>
    <w:rsid w:val="008E78F4"/>
    <w:rsid w:val="008E7ABD"/>
    <w:rsid w:val="008E7C30"/>
    <w:rsid w:val="008E7D53"/>
    <w:rsid w:val="008F00CC"/>
    <w:rsid w:val="008F02A3"/>
    <w:rsid w:val="008F04CF"/>
    <w:rsid w:val="008F054E"/>
    <w:rsid w:val="008F0AA6"/>
    <w:rsid w:val="008F0C8B"/>
    <w:rsid w:val="008F1006"/>
    <w:rsid w:val="008F1761"/>
    <w:rsid w:val="008F1887"/>
    <w:rsid w:val="008F1CCF"/>
    <w:rsid w:val="008F26A5"/>
    <w:rsid w:val="008F28BB"/>
    <w:rsid w:val="008F2B79"/>
    <w:rsid w:val="008F2D0B"/>
    <w:rsid w:val="008F2D31"/>
    <w:rsid w:val="008F2DA1"/>
    <w:rsid w:val="008F3B8B"/>
    <w:rsid w:val="008F3FAC"/>
    <w:rsid w:val="008F4B52"/>
    <w:rsid w:val="008F53BA"/>
    <w:rsid w:val="008F55B0"/>
    <w:rsid w:val="008F5A27"/>
    <w:rsid w:val="008F6729"/>
    <w:rsid w:val="008F67F4"/>
    <w:rsid w:val="008F686A"/>
    <w:rsid w:val="008F6DC3"/>
    <w:rsid w:val="008F7515"/>
    <w:rsid w:val="008F7547"/>
    <w:rsid w:val="009003D3"/>
    <w:rsid w:val="0090088A"/>
    <w:rsid w:val="009008A3"/>
    <w:rsid w:val="009008E8"/>
    <w:rsid w:val="00900B9A"/>
    <w:rsid w:val="00900DA2"/>
    <w:rsid w:val="009011AE"/>
    <w:rsid w:val="009011B7"/>
    <w:rsid w:val="00901D44"/>
    <w:rsid w:val="009021D7"/>
    <w:rsid w:val="0090269C"/>
    <w:rsid w:val="00902B00"/>
    <w:rsid w:val="00902BCF"/>
    <w:rsid w:val="00903D2A"/>
    <w:rsid w:val="00904B95"/>
    <w:rsid w:val="00905146"/>
    <w:rsid w:val="009051D6"/>
    <w:rsid w:val="0090527B"/>
    <w:rsid w:val="0090532F"/>
    <w:rsid w:val="00905A4C"/>
    <w:rsid w:val="00906319"/>
    <w:rsid w:val="00906775"/>
    <w:rsid w:val="009069CF"/>
    <w:rsid w:val="00907024"/>
    <w:rsid w:val="00907703"/>
    <w:rsid w:val="00907EEB"/>
    <w:rsid w:val="009103F1"/>
    <w:rsid w:val="00911195"/>
    <w:rsid w:val="00911340"/>
    <w:rsid w:val="009114DD"/>
    <w:rsid w:val="00911B7D"/>
    <w:rsid w:val="00911C72"/>
    <w:rsid w:val="00911CC7"/>
    <w:rsid w:val="009123D2"/>
    <w:rsid w:val="009124F1"/>
    <w:rsid w:val="00912B40"/>
    <w:rsid w:val="00912D86"/>
    <w:rsid w:val="009131B7"/>
    <w:rsid w:val="009131C5"/>
    <w:rsid w:val="0091381D"/>
    <w:rsid w:val="009138BF"/>
    <w:rsid w:val="00913A49"/>
    <w:rsid w:val="00913F55"/>
    <w:rsid w:val="00914201"/>
    <w:rsid w:val="0091433A"/>
    <w:rsid w:val="00914494"/>
    <w:rsid w:val="009157F2"/>
    <w:rsid w:val="00915AAF"/>
    <w:rsid w:val="00915FEB"/>
    <w:rsid w:val="009165C1"/>
    <w:rsid w:val="00916814"/>
    <w:rsid w:val="0091691D"/>
    <w:rsid w:val="00916A04"/>
    <w:rsid w:val="00917388"/>
    <w:rsid w:val="00917925"/>
    <w:rsid w:val="00917961"/>
    <w:rsid w:val="00917E16"/>
    <w:rsid w:val="00920A39"/>
    <w:rsid w:val="00920F25"/>
    <w:rsid w:val="00921252"/>
    <w:rsid w:val="00921528"/>
    <w:rsid w:val="00921872"/>
    <w:rsid w:val="00921EC9"/>
    <w:rsid w:val="00921F3B"/>
    <w:rsid w:val="00921FF2"/>
    <w:rsid w:val="0092246D"/>
    <w:rsid w:val="00922919"/>
    <w:rsid w:val="00922A40"/>
    <w:rsid w:val="00922A7C"/>
    <w:rsid w:val="00922EE3"/>
    <w:rsid w:val="00923082"/>
    <w:rsid w:val="0092380B"/>
    <w:rsid w:val="00923C96"/>
    <w:rsid w:val="00924157"/>
    <w:rsid w:val="0092437C"/>
    <w:rsid w:val="0092479E"/>
    <w:rsid w:val="00924B1A"/>
    <w:rsid w:val="00924B5F"/>
    <w:rsid w:val="00924CF3"/>
    <w:rsid w:val="00924DFB"/>
    <w:rsid w:val="0092545C"/>
    <w:rsid w:val="00925F10"/>
    <w:rsid w:val="0092621F"/>
    <w:rsid w:val="0092692E"/>
    <w:rsid w:val="0092715C"/>
    <w:rsid w:val="00927516"/>
    <w:rsid w:val="0092797D"/>
    <w:rsid w:val="00927A37"/>
    <w:rsid w:val="0093008A"/>
    <w:rsid w:val="009302D5"/>
    <w:rsid w:val="00930394"/>
    <w:rsid w:val="00930674"/>
    <w:rsid w:val="0093129E"/>
    <w:rsid w:val="00931519"/>
    <w:rsid w:val="00931889"/>
    <w:rsid w:val="009318E2"/>
    <w:rsid w:val="00931B11"/>
    <w:rsid w:val="00931DB8"/>
    <w:rsid w:val="00931E9A"/>
    <w:rsid w:val="00931EF6"/>
    <w:rsid w:val="00931EF8"/>
    <w:rsid w:val="009320B7"/>
    <w:rsid w:val="00932375"/>
    <w:rsid w:val="009323BE"/>
    <w:rsid w:val="009323D9"/>
    <w:rsid w:val="00932C1A"/>
    <w:rsid w:val="00932CEB"/>
    <w:rsid w:val="009330DF"/>
    <w:rsid w:val="00933656"/>
    <w:rsid w:val="00933B80"/>
    <w:rsid w:val="00933CB6"/>
    <w:rsid w:val="0093415B"/>
    <w:rsid w:val="009341A0"/>
    <w:rsid w:val="009341D8"/>
    <w:rsid w:val="0093508E"/>
    <w:rsid w:val="0093520C"/>
    <w:rsid w:val="0093552B"/>
    <w:rsid w:val="009358A9"/>
    <w:rsid w:val="0093754F"/>
    <w:rsid w:val="009378CD"/>
    <w:rsid w:val="00937975"/>
    <w:rsid w:val="00940654"/>
    <w:rsid w:val="0094067B"/>
    <w:rsid w:val="00940C04"/>
    <w:rsid w:val="0094106C"/>
    <w:rsid w:val="00941297"/>
    <w:rsid w:val="00941BA3"/>
    <w:rsid w:val="009423BC"/>
    <w:rsid w:val="00942798"/>
    <w:rsid w:val="00942BC1"/>
    <w:rsid w:val="00942DB0"/>
    <w:rsid w:val="00942E6E"/>
    <w:rsid w:val="009433FC"/>
    <w:rsid w:val="009436EA"/>
    <w:rsid w:val="009438A4"/>
    <w:rsid w:val="009438E3"/>
    <w:rsid w:val="0094411A"/>
    <w:rsid w:val="009444C2"/>
    <w:rsid w:val="009445D8"/>
    <w:rsid w:val="00944836"/>
    <w:rsid w:val="00944AE7"/>
    <w:rsid w:val="00944B5A"/>
    <w:rsid w:val="00944B7A"/>
    <w:rsid w:val="0094565C"/>
    <w:rsid w:val="00945D9A"/>
    <w:rsid w:val="009462BB"/>
    <w:rsid w:val="00946360"/>
    <w:rsid w:val="0094665B"/>
    <w:rsid w:val="00946B20"/>
    <w:rsid w:val="009473A0"/>
    <w:rsid w:val="009473DA"/>
    <w:rsid w:val="00947464"/>
    <w:rsid w:val="00950077"/>
    <w:rsid w:val="0095009E"/>
    <w:rsid w:val="0095015A"/>
    <w:rsid w:val="00950547"/>
    <w:rsid w:val="0095066B"/>
    <w:rsid w:val="00950EA7"/>
    <w:rsid w:val="009518F2"/>
    <w:rsid w:val="00951A3C"/>
    <w:rsid w:val="00951B60"/>
    <w:rsid w:val="00951CC7"/>
    <w:rsid w:val="00951FB0"/>
    <w:rsid w:val="009528A1"/>
    <w:rsid w:val="009528C9"/>
    <w:rsid w:val="00952CC5"/>
    <w:rsid w:val="00952CCE"/>
    <w:rsid w:val="009532B7"/>
    <w:rsid w:val="009536B6"/>
    <w:rsid w:val="009536E6"/>
    <w:rsid w:val="0095387A"/>
    <w:rsid w:val="00953886"/>
    <w:rsid w:val="00953B99"/>
    <w:rsid w:val="00953F9D"/>
    <w:rsid w:val="009542B4"/>
    <w:rsid w:val="009544CB"/>
    <w:rsid w:val="00955113"/>
    <w:rsid w:val="009554C1"/>
    <w:rsid w:val="009559B4"/>
    <w:rsid w:val="00955A6B"/>
    <w:rsid w:val="00955B9C"/>
    <w:rsid w:val="00955E00"/>
    <w:rsid w:val="00955E61"/>
    <w:rsid w:val="009560B3"/>
    <w:rsid w:val="00956235"/>
    <w:rsid w:val="00956969"/>
    <w:rsid w:val="00956B9C"/>
    <w:rsid w:val="00956C16"/>
    <w:rsid w:val="00956ED4"/>
    <w:rsid w:val="00956F81"/>
    <w:rsid w:val="0095710B"/>
    <w:rsid w:val="00957311"/>
    <w:rsid w:val="009575C4"/>
    <w:rsid w:val="009578AA"/>
    <w:rsid w:val="00960029"/>
    <w:rsid w:val="00960A50"/>
    <w:rsid w:val="00960B83"/>
    <w:rsid w:val="00961291"/>
    <w:rsid w:val="0096133D"/>
    <w:rsid w:val="0096227F"/>
    <w:rsid w:val="009623C9"/>
    <w:rsid w:val="00962651"/>
    <w:rsid w:val="00963ABD"/>
    <w:rsid w:val="00963ACA"/>
    <w:rsid w:val="00963BFA"/>
    <w:rsid w:val="0096447C"/>
    <w:rsid w:val="00964499"/>
    <w:rsid w:val="009644BF"/>
    <w:rsid w:val="00964E2F"/>
    <w:rsid w:val="0096527C"/>
    <w:rsid w:val="009654AF"/>
    <w:rsid w:val="009659B2"/>
    <w:rsid w:val="00965BF7"/>
    <w:rsid w:val="00965D4F"/>
    <w:rsid w:val="009661AB"/>
    <w:rsid w:val="00966511"/>
    <w:rsid w:val="009669DA"/>
    <w:rsid w:val="00966CFF"/>
    <w:rsid w:val="00967793"/>
    <w:rsid w:val="00967BD4"/>
    <w:rsid w:val="00967C5E"/>
    <w:rsid w:val="00967DFA"/>
    <w:rsid w:val="0097038D"/>
    <w:rsid w:val="0097047C"/>
    <w:rsid w:val="00970627"/>
    <w:rsid w:val="00970C56"/>
    <w:rsid w:val="00970D04"/>
    <w:rsid w:val="009713FE"/>
    <w:rsid w:val="00971566"/>
    <w:rsid w:val="009719C1"/>
    <w:rsid w:val="00971E19"/>
    <w:rsid w:val="00972166"/>
    <w:rsid w:val="00972484"/>
    <w:rsid w:val="009725CE"/>
    <w:rsid w:val="00972DAD"/>
    <w:rsid w:val="00973047"/>
    <w:rsid w:val="00973368"/>
    <w:rsid w:val="009734E7"/>
    <w:rsid w:val="00973873"/>
    <w:rsid w:val="00973D52"/>
    <w:rsid w:val="00973E9B"/>
    <w:rsid w:val="00974A0D"/>
    <w:rsid w:val="00975374"/>
    <w:rsid w:val="009756A8"/>
    <w:rsid w:val="009756DC"/>
    <w:rsid w:val="009758A9"/>
    <w:rsid w:val="00975A47"/>
    <w:rsid w:val="00975E26"/>
    <w:rsid w:val="00976109"/>
    <w:rsid w:val="0097630B"/>
    <w:rsid w:val="00976695"/>
    <w:rsid w:val="00980088"/>
    <w:rsid w:val="009802BE"/>
    <w:rsid w:val="00980680"/>
    <w:rsid w:val="00980797"/>
    <w:rsid w:val="00980AE9"/>
    <w:rsid w:val="00981022"/>
    <w:rsid w:val="009811B6"/>
    <w:rsid w:val="009812A4"/>
    <w:rsid w:val="00981EE5"/>
    <w:rsid w:val="00981EF8"/>
    <w:rsid w:val="0098227B"/>
    <w:rsid w:val="00982413"/>
    <w:rsid w:val="0098252D"/>
    <w:rsid w:val="009826E4"/>
    <w:rsid w:val="00982C74"/>
    <w:rsid w:val="00982DDF"/>
    <w:rsid w:val="009830B8"/>
    <w:rsid w:val="00983300"/>
    <w:rsid w:val="009834C6"/>
    <w:rsid w:val="00983722"/>
    <w:rsid w:val="009837CE"/>
    <w:rsid w:val="009838B0"/>
    <w:rsid w:val="00983BB5"/>
    <w:rsid w:val="00984305"/>
    <w:rsid w:val="00984D06"/>
    <w:rsid w:val="00984DAA"/>
    <w:rsid w:val="00985131"/>
    <w:rsid w:val="0098699F"/>
    <w:rsid w:val="009869B5"/>
    <w:rsid w:val="00986C76"/>
    <w:rsid w:val="00987208"/>
    <w:rsid w:val="0098791E"/>
    <w:rsid w:val="00987C10"/>
    <w:rsid w:val="009901E7"/>
    <w:rsid w:val="00990290"/>
    <w:rsid w:val="0099071D"/>
    <w:rsid w:val="00991369"/>
    <w:rsid w:val="009914C5"/>
    <w:rsid w:val="009919CD"/>
    <w:rsid w:val="00991CD6"/>
    <w:rsid w:val="0099210B"/>
    <w:rsid w:val="00993170"/>
    <w:rsid w:val="009937D3"/>
    <w:rsid w:val="00994057"/>
    <w:rsid w:val="00994286"/>
    <w:rsid w:val="009945AF"/>
    <w:rsid w:val="0099470F"/>
    <w:rsid w:val="0099484E"/>
    <w:rsid w:val="00994C71"/>
    <w:rsid w:val="0099537E"/>
    <w:rsid w:val="009967D6"/>
    <w:rsid w:val="00996B27"/>
    <w:rsid w:val="00996D56"/>
    <w:rsid w:val="00996DBB"/>
    <w:rsid w:val="0099766E"/>
    <w:rsid w:val="00997C24"/>
    <w:rsid w:val="00997CBE"/>
    <w:rsid w:val="009A04E0"/>
    <w:rsid w:val="009A0794"/>
    <w:rsid w:val="009A07E9"/>
    <w:rsid w:val="009A0CB4"/>
    <w:rsid w:val="009A17FB"/>
    <w:rsid w:val="009A18C3"/>
    <w:rsid w:val="009A191D"/>
    <w:rsid w:val="009A1E12"/>
    <w:rsid w:val="009A39E8"/>
    <w:rsid w:val="009A3C7B"/>
    <w:rsid w:val="009A405A"/>
    <w:rsid w:val="009A4150"/>
    <w:rsid w:val="009A43FD"/>
    <w:rsid w:val="009A4A1D"/>
    <w:rsid w:val="009A4E04"/>
    <w:rsid w:val="009A5678"/>
    <w:rsid w:val="009A5751"/>
    <w:rsid w:val="009A583C"/>
    <w:rsid w:val="009A58B2"/>
    <w:rsid w:val="009A5C7A"/>
    <w:rsid w:val="009A5D84"/>
    <w:rsid w:val="009A60D0"/>
    <w:rsid w:val="009A60D8"/>
    <w:rsid w:val="009A65CC"/>
    <w:rsid w:val="009A65D1"/>
    <w:rsid w:val="009A6671"/>
    <w:rsid w:val="009A6CE5"/>
    <w:rsid w:val="009A6E7C"/>
    <w:rsid w:val="009A7810"/>
    <w:rsid w:val="009B0249"/>
    <w:rsid w:val="009B03E6"/>
    <w:rsid w:val="009B08A9"/>
    <w:rsid w:val="009B1151"/>
    <w:rsid w:val="009B18A7"/>
    <w:rsid w:val="009B1996"/>
    <w:rsid w:val="009B2949"/>
    <w:rsid w:val="009B2AF4"/>
    <w:rsid w:val="009B34C7"/>
    <w:rsid w:val="009B364C"/>
    <w:rsid w:val="009B3FD0"/>
    <w:rsid w:val="009B410C"/>
    <w:rsid w:val="009B438C"/>
    <w:rsid w:val="009B43CA"/>
    <w:rsid w:val="009B4B40"/>
    <w:rsid w:val="009B4BB8"/>
    <w:rsid w:val="009B4CF4"/>
    <w:rsid w:val="009B4F00"/>
    <w:rsid w:val="009B55E2"/>
    <w:rsid w:val="009B6C0F"/>
    <w:rsid w:val="009B6FF9"/>
    <w:rsid w:val="009B70CF"/>
    <w:rsid w:val="009B72CE"/>
    <w:rsid w:val="009B7C9A"/>
    <w:rsid w:val="009C0245"/>
    <w:rsid w:val="009C0AC2"/>
    <w:rsid w:val="009C0E26"/>
    <w:rsid w:val="009C0E59"/>
    <w:rsid w:val="009C1AD3"/>
    <w:rsid w:val="009C21F4"/>
    <w:rsid w:val="009C278B"/>
    <w:rsid w:val="009C2A92"/>
    <w:rsid w:val="009C2B18"/>
    <w:rsid w:val="009C300E"/>
    <w:rsid w:val="009C332F"/>
    <w:rsid w:val="009C3688"/>
    <w:rsid w:val="009C3DC4"/>
    <w:rsid w:val="009C4106"/>
    <w:rsid w:val="009C41CC"/>
    <w:rsid w:val="009C4268"/>
    <w:rsid w:val="009C4631"/>
    <w:rsid w:val="009C4C72"/>
    <w:rsid w:val="009C4C78"/>
    <w:rsid w:val="009C4FC1"/>
    <w:rsid w:val="009C55B3"/>
    <w:rsid w:val="009C574A"/>
    <w:rsid w:val="009C6966"/>
    <w:rsid w:val="009C6A0E"/>
    <w:rsid w:val="009C6A2C"/>
    <w:rsid w:val="009C6C76"/>
    <w:rsid w:val="009C6D2D"/>
    <w:rsid w:val="009C6FF8"/>
    <w:rsid w:val="009C7161"/>
    <w:rsid w:val="009C71CC"/>
    <w:rsid w:val="009C7A5C"/>
    <w:rsid w:val="009C7A61"/>
    <w:rsid w:val="009C7ED1"/>
    <w:rsid w:val="009C7EF3"/>
    <w:rsid w:val="009D035E"/>
    <w:rsid w:val="009D0A5C"/>
    <w:rsid w:val="009D0A99"/>
    <w:rsid w:val="009D0E73"/>
    <w:rsid w:val="009D1379"/>
    <w:rsid w:val="009D13C6"/>
    <w:rsid w:val="009D19F9"/>
    <w:rsid w:val="009D2282"/>
    <w:rsid w:val="009D2551"/>
    <w:rsid w:val="009D34E7"/>
    <w:rsid w:val="009D355E"/>
    <w:rsid w:val="009D3B21"/>
    <w:rsid w:val="009D3BDB"/>
    <w:rsid w:val="009D3FC3"/>
    <w:rsid w:val="009D457B"/>
    <w:rsid w:val="009D483E"/>
    <w:rsid w:val="009D4BF2"/>
    <w:rsid w:val="009D4CFD"/>
    <w:rsid w:val="009D5230"/>
    <w:rsid w:val="009D5985"/>
    <w:rsid w:val="009D5BA1"/>
    <w:rsid w:val="009D5E33"/>
    <w:rsid w:val="009D601F"/>
    <w:rsid w:val="009D6103"/>
    <w:rsid w:val="009D632B"/>
    <w:rsid w:val="009D6EEA"/>
    <w:rsid w:val="009D6FAD"/>
    <w:rsid w:val="009D7A63"/>
    <w:rsid w:val="009D7DE9"/>
    <w:rsid w:val="009D7FD6"/>
    <w:rsid w:val="009E0411"/>
    <w:rsid w:val="009E0B37"/>
    <w:rsid w:val="009E0BDC"/>
    <w:rsid w:val="009E134F"/>
    <w:rsid w:val="009E16A1"/>
    <w:rsid w:val="009E1DC4"/>
    <w:rsid w:val="009E203F"/>
    <w:rsid w:val="009E2064"/>
    <w:rsid w:val="009E2088"/>
    <w:rsid w:val="009E2401"/>
    <w:rsid w:val="009E3373"/>
    <w:rsid w:val="009E3506"/>
    <w:rsid w:val="009E3570"/>
    <w:rsid w:val="009E36A0"/>
    <w:rsid w:val="009E3CB6"/>
    <w:rsid w:val="009E469C"/>
    <w:rsid w:val="009E48EB"/>
    <w:rsid w:val="009E4AA8"/>
    <w:rsid w:val="009E4D0E"/>
    <w:rsid w:val="009E5180"/>
    <w:rsid w:val="009E5380"/>
    <w:rsid w:val="009E5490"/>
    <w:rsid w:val="009E58BD"/>
    <w:rsid w:val="009E5C2A"/>
    <w:rsid w:val="009E65B9"/>
    <w:rsid w:val="009E69AB"/>
    <w:rsid w:val="009E6ABC"/>
    <w:rsid w:val="009E7AF4"/>
    <w:rsid w:val="009E7CEE"/>
    <w:rsid w:val="009E7CFF"/>
    <w:rsid w:val="009E7EC6"/>
    <w:rsid w:val="009E7F33"/>
    <w:rsid w:val="009F0970"/>
    <w:rsid w:val="009F0D0E"/>
    <w:rsid w:val="009F1267"/>
    <w:rsid w:val="009F1418"/>
    <w:rsid w:val="009F1A40"/>
    <w:rsid w:val="009F20A2"/>
    <w:rsid w:val="009F243B"/>
    <w:rsid w:val="009F2A71"/>
    <w:rsid w:val="009F2CEC"/>
    <w:rsid w:val="009F3292"/>
    <w:rsid w:val="009F37B5"/>
    <w:rsid w:val="009F41E1"/>
    <w:rsid w:val="009F4407"/>
    <w:rsid w:val="009F4A6E"/>
    <w:rsid w:val="009F4DC0"/>
    <w:rsid w:val="009F502C"/>
    <w:rsid w:val="009F50A5"/>
    <w:rsid w:val="009F5151"/>
    <w:rsid w:val="009F5AC0"/>
    <w:rsid w:val="009F634F"/>
    <w:rsid w:val="009F65B7"/>
    <w:rsid w:val="009F69B9"/>
    <w:rsid w:val="009F75DE"/>
    <w:rsid w:val="009F7915"/>
    <w:rsid w:val="009F7F65"/>
    <w:rsid w:val="00A00D88"/>
    <w:rsid w:val="00A01108"/>
    <w:rsid w:val="00A01304"/>
    <w:rsid w:val="00A01CAF"/>
    <w:rsid w:val="00A01CF8"/>
    <w:rsid w:val="00A02115"/>
    <w:rsid w:val="00A022FA"/>
    <w:rsid w:val="00A02667"/>
    <w:rsid w:val="00A02CAF"/>
    <w:rsid w:val="00A03205"/>
    <w:rsid w:val="00A034B4"/>
    <w:rsid w:val="00A036F4"/>
    <w:rsid w:val="00A037CA"/>
    <w:rsid w:val="00A037EC"/>
    <w:rsid w:val="00A03BCA"/>
    <w:rsid w:val="00A03E8F"/>
    <w:rsid w:val="00A0429A"/>
    <w:rsid w:val="00A046A3"/>
    <w:rsid w:val="00A04D4D"/>
    <w:rsid w:val="00A051A6"/>
    <w:rsid w:val="00A0544B"/>
    <w:rsid w:val="00A05FB8"/>
    <w:rsid w:val="00A066C9"/>
    <w:rsid w:val="00A06BED"/>
    <w:rsid w:val="00A07B83"/>
    <w:rsid w:val="00A07BE1"/>
    <w:rsid w:val="00A10779"/>
    <w:rsid w:val="00A10BE4"/>
    <w:rsid w:val="00A110AF"/>
    <w:rsid w:val="00A11A80"/>
    <w:rsid w:val="00A11AC5"/>
    <w:rsid w:val="00A11BC6"/>
    <w:rsid w:val="00A11D5F"/>
    <w:rsid w:val="00A11E9A"/>
    <w:rsid w:val="00A121B0"/>
    <w:rsid w:val="00A12367"/>
    <w:rsid w:val="00A124EF"/>
    <w:rsid w:val="00A12BF2"/>
    <w:rsid w:val="00A12C60"/>
    <w:rsid w:val="00A12DDD"/>
    <w:rsid w:val="00A13154"/>
    <w:rsid w:val="00A13448"/>
    <w:rsid w:val="00A146EA"/>
    <w:rsid w:val="00A1478E"/>
    <w:rsid w:val="00A1495C"/>
    <w:rsid w:val="00A149E6"/>
    <w:rsid w:val="00A14C95"/>
    <w:rsid w:val="00A14E7E"/>
    <w:rsid w:val="00A14F77"/>
    <w:rsid w:val="00A14F8D"/>
    <w:rsid w:val="00A15090"/>
    <w:rsid w:val="00A1513E"/>
    <w:rsid w:val="00A155BB"/>
    <w:rsid w:val="00A15F91"/>
    <w:rsid w:val="00A15FD9"/>
    <w:rsid w:val="00A16145"/>
    <w:rsid w:val="00A1667B"/>
    <w:rsid w:val="00A167F5"/>
    <w:rsid w:val="00A16BE0"/>
    <w:rsid w:val="00A1743B"/>
    <w:rsid w:val="00A17500"/>
    <w:rsid w:val="00A175FA"/>
    <w:rsid w:val="00A202ED"/>
    <w:rsid w:val="00A209FA"/>
    <w:rsid w:val="00A20AEA"/>
    <w:rsid w:val="00A20B3E"/>
    <w:rsid w:val="00A20B90"/>
    <w:rsid w:val="00A20BB9"/>
    <w:rsid w:val="00A210D8"/>
    <w:rsid w:val="00A21BA3"/>
    <w:rsid w:val="00A21EC1"/>
    <w:rsid w:val="00A22495"/>
    <w:rsid w:val="00A224AE"/>
    <w:rsid w:val="00A22501"/>
    <w:rsid w:val="00A22514"/>
    <w:rsid w:val="00A2255C"/>
    <w:rsid w:val="00A2257B"/>
    <w:rsid w:val="00A228DC"/>
    <w:rsid w:val="00A22B95"/>
    <w:rsid w:val="00A22C40"/>
    <w:rsid w:val="00A231C3"/>
    <w:rsid w:val="00A23A2A"/>
    <w:rsid w:val="00A23DDA"/>
    <w:rsid w:val="00A24828"/>
    <w:rsid w:val="00A24D10"/>
    <w:rsid w:val="00A24E85"/>
    <w:rsid w:val="00A250A2"/>
    <w:rsid w:val="00A2536B"/>
    <w:rsid w:val="00A25793"/>
    <w:rsid w:val="00A2583C"/>
    <w:rsid w:val="00A25D37"/>
    <w:rsid w:val="00A25D5A"/>
    <w:rsid w:val="00A25E0F"/>
    <w:rsid w:val="00A25FA6"/>
    <w:rsid w:val="00A2609C"/>
    <w:rsid w:val="00A2630F"/>
    <w:rsid w:val="00A265DF"/>
    <w:rsid w:val="00A26770"/>
    <w:rsid w:val="00A26D6D"/>
    <w:rsid w:val="00A27501"/>
    <w:rsid w:val="00A30449"/>
    <w:rsid w:val="00A305C7"/>
    <w:rsid w:val="00A309C0"/>
    <w:rsid w:val="00A30CE6"/>
    <w:rsid w:val="00A30F5E"/>
    <w:rsid w:val="00A31196"/>
    <w:rsid w:val="00A317E2"/>
    <w:rsid w:val="00A319BC"/>
    <w:rsid w:val="00A31A4A"/>
    <w:rsid w:val="00A31C4C"/>
    <w:rsid w:val="00A31F25"/>
    <w:rsid w:val="00A32332"/>
    <w:rsid w:val="00A3276D"/>
    <w:rsid w:val="00A32C2C"/>
    <w:rsid w:val="00A32D11"/>
    <w:rsid w:val="00A32EF3"/>
    <w:rsid w:val="00A338DA"/>
    <w:rsid w:val="00A33D39"/>
    <w:rsid w:val="00A33E06"/>
    <w:rsid w:val="00A3404D"/>
    <w:rsid w:val="00A343BC"/>
    <w:rsid w:val="00A348CD"/>
    <w:rsid w:val="00A3507F"/>
    <w:rsid w:val="00A354C9"/>
    <w:rsid w:val="00A356FA"/>
    <w:rsid w:val="00A357E2"/>
    <w:rsid w:val="00A35807"/>
    <w:rsid w:val="00A35EE4"/>
    <w:rsid w:val="00A3678C"/>
    <w:rsid w:val="00A374E1"/>
    <w:rsid w:val="00A376E6"/>
    <w:rsid w:val="00A3791D"/>
    <w:rsid w:val="00A37984"/>
    <w:rsid w:val="00A37AC9"/>
    <w:rsid w:val="00A37D52"/>
    <w:rsid w:val="00A4022B"/>
    <w:rsid w:val="00A405BA"/>
    <w:rsid w:val="00A4067F"/>
    <w:rsid w:val="00A40A25"/>
    <w:rsid w:val="00A40F0D"/>
    <w:rsid w:val="00A41056"/>
    <w:rsid w:val="00A4149C"/>
    <w:rsid w:val="00A41857"/>
    <w:rsid w:val="00A41F8C"/>
    <w:rsid w:val="00A42132"/>
    <w:rsid w:val="00A424B9"/>
    <w:rsid w:val="00A42691"/>
    <w:rsid w:val="00A43091"/>
    <w:rsid w:val="00A4347A"/>
    <w:rsid w:val="00A43945"/>
    <w:rsid w:val="00A439D0"/>
    <w:rsid w:val="00A43CE7"/>
    <w:rsid w:val="00A441EA"/>
    <w:rsid w:val="00A4466A"/>
    <w:rsid w:val="00A44ACC"/>
    <w:rsid w:val="00A44B23"/>
    <w:rsid w:val="00A453F3"/>
    <w:rsid w:val="00A4585B"/>
    <w:rsid w:val="00A45BDD"/>
    <w:rsid w:val="00A45CE8"/>
    <w:rsid w:val="00A46091"/>
    <w:rsid w:val="00A46391"/>
    <w:rsid w:val="00A470D1"/>
    <w:rsid w:val="00A470FB"/>
    <w:rsid w:val="00A4768D"/>
    <w:rsid w:val="00A4781D"/>
    <w:rsid w:val="00A47D90"/>
    <w:rsid w:val="00A50494"/>
    <w:rsid w:val="00A5072F"/>
    <w:rsid w:val="00A50DA3"/>
    <w:rsid w:val="00A512D8"/>
    <w:rsid w:val="00A51441"/>
    <w:rsid w:val="00A51CB7"/>
    <w:rsid w:val="00A51D82"/>
    <w:rsid w:val="00A51E22"/>
    <w:rsid w:val="00A52DCC"/>
    <w:rsid w:val="00A52EC8"/>
    <w:rsid w:val="00A530CB"/>
    <w:rsid w:val="00A53144"/>
    <w:rsid w:val="00A532E7"/>
    <w:rsid w:val="00A53819"/>
    <w:rsid w:val="00A53E58"/>
    <w:rsid w:val="00A544FE"/>
    <w:rsid w:val="00A5485F"/>
    <w:rsid w:val="00A54A8D"/>
    <w:rsid w:val="00A54B42"/>
    <w:rsid w:val="00A55981"/>
    <w:rsid w:val="00A55D6D"/>
    <w:rsid w:val="00A55FD3"/>
    <w:rsid w:val="00A564E8"/>
    <w:rsid w:val="00A56EBD"/>
    <w:rsid w:val="00A5756B"/>
    <w:rsid w:val="00A5765C"/>
    <w:rsid w:val="00A60A1E"/>
    <w:rsid w:val="00A60C96"/>
    <w:rsid w:val="00A60D11"/>
    <w:rsid w:val="00A60F2C"/>
    <w:rsid w:val="00A613B1"/>
    <w:rsid w:val="00A61425"/>
    <w:rsid w:val="00A61773"/>
    <w:rsid w:val="00A62188"/>
    <w:rsid w:val="00A62699"/>
    <w:rsid w:val="00A62731"/>
    <w:rsid w:val="00A62C5D"/>
    <w:rsid w:val="00A636FC"/>
    <w:rsid w:val="00A6386C"/>
    <w:rsid w:val="00A638B5"/>
    <w:rsid w:val="00A63DF9"/>
    <w:rsid w:val="00A6486F"/>
    <w:rsid w:val="00A64FFD"/>
    <w:rsid w:val="00A6520F"/>
    <w:rsid w:val="00A652B3"/>
    <w:rsid w:val="00A6545D"/>
    <w:rsid w:val="00A65566"/>
    <w:rsid w:val="00A66663"/>
    <w:rsid w:val="00A6706E"/>
    <w:rsid w:val="00A671B2"/>
    <w:rsid w:val="00A671F3"/>
    <w:rsid w:val="00A6733E"/>
    <w:rsid w:val="00A679D7"/>
    <w:rsid w:val="00A70077"/>
    <w:rsid w:val="00A70B34"/>
    <w:rsid w:val="00A70BF9"/>
    <w:rsid w:val="00A71583"/>
    <w:rsid w:val="00A71D4E"/>
    <w:rsid w:val="00A71E6A"/>
    <w:rsid w:val="00A71ED3"/>
    <w:rsid w:val="00A71FEF"/>
    <w:rsid w:val="00A724D9"/>
    <w:rsid w:val="00A733D7"/>
    <w:rsid w:val="00A73689"/>
    <w:rsid w:val="00A73B3F"/>
    <w:rsid w:val="00A73ECE"/>
    <w:rsid w:val="00A740B0"/>
    <w:rsid w:val="00A74B08"/>
    <w:rsid w:val="00A74C31"/>
    <w:rsid w:val="00A74F2B"/>
    <w:rsid w:val="00A7544B"/>
    <w:rsid w:val="00A764FD"/>
    <w:rsid w:val="00A76542"/>
    <w:rsid w:val="00A76A57"/>
    <w:rsid w:val="00A76AF3"/>
    <w:rsid w:val="00A76CA6"/>
    <w:rsid w:val="00A76D6A"/>
    <w:rsid w:val="00A771E7"/>
    <w:rsid w:val="00A77435"/>
    <w:rsid w:val="00A7744B"/>
    <w:rsid w:val="00A77522"/>
    <w:rsid w:val="00A775DE"/>
    <w:rsid w:val="00A77D13"/>
    <w:rsid w:val="00A77F41"/>
    <w:rsid w:val="00A8030D"/>
    <w:rsid w:val="00A80650"/>
    <w:rsid w:val="00A80679"/>
    <w:rsid w:val="00A80739"/>
    <w:rsid w:val="00A80819"/>
    <w:rsid w:val="00A80B2F"/>
    <w:rsid w:val="00A810B2"/>
    <w:rsid w:val="00A8136E"/>
    <w:rsid w:val="00A815A3"/>
    <w:rsid w:val="00A81848"/>
    <w:rsid w:val="00A8204E"/>
    <w:rsid w:val="00A823C1"/>
    <w:rsid w:val="00A8247C"/>
    <w:rsid w:val="00A8254C"/>
    <w:rsid w:val="00A827C4"/>
    <w:rsid w:val="00A829FA"/>
    <w:rsid w:val="00A82FF1"/>
    <w:rsid w:val="00A831AB"/>
    <w:rsid w:val="00A846F4"/>
    <w:rsid w:val="00A84D67"/>
    <w:rsid w:val="00A84DFE"/>
    <w:rsid w:val="00A85036"/>
    <w:rsid w:val="00A85343"/>
    <w:rsid w:val="00A853A3"/>
    <w:rsid w:val="00A85766"/>
    <w:rsid w:val="00A85817"/>
    <w:rsid w:val="00A85E05"/>
    <w:rsid w:val="00A862BF"/>
    <w:rsid w:val="00A862F6"/>
    <w:rsid w:val="00A863B6"/>
    <w:rsid w:val="00A863E0"/>
    <w:rsid w:val="00A86682"/>
    <w:rsid w:val="00A86D8F"/>
    <w:rsid w:val="00A86FBA"/>
    <w:rsid w:val="00A87910"/>
    <w:rsid w:val="00A87B77"/>
    <w:rsid w:val="00A90783"/>
    <w:rsid w:val="00A90A42"/>
    <w:rsid w:val="00A91011"/>
    <w:rsid w:val="00A9146B"/>
    <w:rsid w:val="00A9196A"/>
    <w:rsid w:val="00A91CDF"/>
    <w:rsid w:val="00A92CE7"/>
    <w:rsid w:val="00A9316B"/>
    <w:rsid w:val="00A93C7D"/>
    <w:rsid w:val="00A93ED0"/>
    <w:rsid w:val="00A943ED"/>
    <w:rsid w:val="00A9478B"/>
    <w:rsid w:val="00A949DB"/>
    <w:rsid w:val="00A94B3F"/>
    <w:rsid w:val="00A95004"/>
    <w:rsid w:val="00A95753"/>
    <w:rsid w:val="00A958D5"/>
    <w:rsid w:val="00A95B32"/>
    <w:rsid w:val="00A95BC5"/>
    <w:rsid w:val="00A962A4"/>
    <w:rsid w:val="00A962E6"/>
    <w:rsid w:val="00A969BF"/>
    <w:rsid w:val="00A974BB"/>
    <w:rsid w:val="00AA0121"/>
    <w:rsid w:val="00AA0268"/>
    <w:rsid w:val="00AA0D43"/>
    <w:rsid w:val="00AA0DE7"/>
    <w:rsid w:val="00AA0EB9"/>
    <w:rsid w:val="00AA1075"/>
    <w:rsid w:val="00AA1809"/>
    <w:rsid w:val="00AA194B"/>
    <w:rsid w:val="00AA225E"/>
    <w:rsid w:val="00AA2382"/>
    <w:rsid w:val="00AA26AE"/>
    <w:rsid w:val="00AA2DA4"/>
    <w:rsid w:val="00AA390E"/>
    <w:rsid w:val="00AA3BBF"/>
    <w:rsid w:val="00AA4242"/>
    <w:rsid w:val="00AA4344"/>
    <w:rsid w:val="00AA4702"/>
    <w:rsid w:val="00AA4887"/>
    <w:rsid w:val="00AA4899"/>
    <w:rsid w:val="00AA49EC"/>
    <w:rsid w:val="00AA4D13"/>
    <w:rsid w:val="00AA4F2E"/>
    <w:rsid w:val="00AA4FC6"/>
    <w:rsid w:val="00AA5911"/>
    <w:rsid w:val="00AA59BF"/>
    <w:rsid w:val="00AA5C21"/>
    <w:rsid w:val="00AA5C4A"/>
    <w:rsid w:val="00AA5F38"/>
    <w:rsid w:val="00AA60C2"/>
    <w:rsid w:val="00AA6367"/>
    <w:rsid w:val="00AA63D2"/>
    <w:rsid w:val="00AA6893"/>
    <w:rsid w:val="00AA6C18"/>
    <w:rsid w:val="00AA7231"/>
    <w:rsid w:val="00AA72CF"/>
    <w:rsid w:val="00AA7A05"/>
    <w:rsid w:val="00AA7D67"/>
    <w:rsid w:val="00AB015C"/>
    <w:rsid w:val="00AB0569"/>
    <w:rsid w:val="00AB0D93"/>
    <w:rsid w:val="00AB0FF4"/>
    <w:rsid w:val="00AB103B"/>
    <w:rsid w:val="00AB132C"/>
    <w:rsid w:val="00AB152A"/>
    <w:rsid w:val="00AB18C2"/>
    <w:rsid w:val="00AB1FFB"/>
    <w:rsid w:val="00AB2716"/>
    <w:rsid w:val="00AB2A29"/>
    <w:rsid w:val="00AB33B6"/>
    <w:rsid w:val="00AB37BB"/>
    <w:rsid w:val="00AB38E3"/>
    <w:rsid w:val="00AB3E57"/>
    <w:rsid w:val="00AB403C"/>
    <w:rsid w:val="00AB40DD"/>
    <w:rsid w:val="00AB4B3A"/>
    <w:rsid w:val="00AB4BE9"/>
    <w:rsid w:val="00AB4DB4"/>
    <w:rsid w:val="00AB4DF7"/>
    <w:rsid w:val="00AB4F84"/>
    <w:rsid w:val="00AB4FD6"/>
    <w:rsid w:val="00AB5357"/>
    <w:rsid w:val="00AB5B5D"/>
    <w:rsid w:val="00AB5FC2"/>
    <w:rsid w:val="00AB641A"/>
    <w:rsid w:val="00AB71F9"/>
    <w:rsid w:val="00AB7378"/>
    <w:rsid w:val="00AB743B"/>
    <w:rsid w:val="00AB78CD"/>
    <w:rsid w:val="00AB792A"/>
    <w:rsid w:val="00AC0202"/>
    <w:rsid w:val="00AC0218"/>
    <w:rsid w:val="00AC041F"/>
    <w:rsid w:val="00AC064B"/>
    <w:rsid w:val="00AC0DF3"/>
    <w:rsid w:val="00AC1105"/>
    <w:rsid w:val="00AC1AF7"/>
    <w:rsid w:val="00AC1F50"/>
    <w:rsid w:val="00AC2226"/>
    <w:rsid w:val="00AC29F8"/>
    <w:rsid w:val="00AC34BD"/>
    <w:rsid w:val="00AC3E8A"/>
    <w:rsid w:val="00AC460D"/>
    <w:rsid w:val="00AC469E"/>
    <w:rsid w:val="00AC4921"/>
    <w:rsid w:val="00AC4E36"/>
    <w:rsid w:val="00AC50BE"/>
    <w:rsid w:val="00AC51BB"/>
    <w:rsid w:val="00AC55C9"/>
    <w:rsid w:val="00AC59C2"/>
    <w:rsid w:val="00AC5F49"/>
    <w:rsid w:val="00AC60E9"/>
    <w:rsid w:val="00AC6BA8"/>
    <w:rsid w:val="00AC75A7"/>
    <w:rsid w:val="00AC7FB9"/>
    <w:rsid w:val="00AD00E6"/>
    <w:rsid w:val="00AD02AF"/>
    <w:rsid w:val="00AD03CF"/>
    <w:rsid w:val="00AD0493"/>
    <w:rsid w:val="00AD0530"/>
    <w:rsid w:val="00AD055C"/>
    <w:rsid w:val="00AD05DE"/>
    <w:rsid w:val="00AD06C3"/>
    <w:rsid w:val="00AD0911"/>
    <w:rsid w:val="00AD0B88"/>
    <w:rsid w:val="00AD11D4"/>
    <w:rsid w:val="00AD11FA"/>
    <w:rsid w:val="00AD1204"/>
    <w:rsid w:val="00AD139A"/>
    <w:rsid w:val="00AD15EE"/>
    <w:rsid w:val="00AD173A"/>
    <w:rsid w:val="00AD1E90"/>
    <w:rsid w:val="00AD1F8F"/>
    <w:rsid w:val="00AD2449"/>
    <w:rsid w:val="00AD2AFB"/>
    <w:rsid w:val="00AD2C41"/>
    <w:rsid w:val="00AD2FF3"/>
    <w:rsid w:val="00AD3371"/>
    <w:rsid w:val="00AD3A33"/>
    <w:rsid w:val="00AD44BD"/>
    <w:rsid w:val="00AD4655"/>
    <w:rsid w:val="00AD4FFB"/>
    <w:rsid w:val="00AD5445"/>
    <w:rsid w:val="00AD550E"/>
    <w:rsid w:val="00AD5630"/>
    <w:rsid w:val="00AD5714"/>
    <w:rsid w:val="00AD59B0"/>
    <w:rsid w:val="00AD5F2F"/>
    <w:rsid w:val="00AD658E"/>
    <w:rsid w:val="00AD6E7C"/>
    <w:rsid w:val="00AD752B"/>
    <w:rsid w:val="00AD7D86"/>
    <w:rsid w:val="00AD7DC2"/>
    <w:rsid w:val="00AE05EF"/>
    <w:rsid w:val="00AE0A60"/>
    <w:rsid w:val="00AE0FC2"/>
    <w:rsid w:val="00AE1710"/>
    <w:rsid w:val="00AE176C"/>
    <w:rsid w:val="00AE1A9F"/>
    <w:rsid w:val="00AE1B44"/>
    <w:rsid w:val="00AE1D35"/>
    <w:rsid w:val="00AE1FB1"/>
    <w:rsid w:val="00AE20D0"/>
    <w:rsid w:val="00AE2386"/>
    <w:rsid w:val="00AE27DE"/>
    <w:rsid w:val="00AE2AEE"/>
    <w:rsid w:val="00AE30C8"/>
    <w:rsid w:val="00AE3A95"/>
    <w:rsid w:val="00AE3D09"/>
    <w:rsid w:val="00AE4F58"/>
    <w:rsid w:val="00AE596B"/>
    <w:rsid w:val="00AE5C10"/>
    <w:rsid w:val="00AE5D9C"/>
    <w:rsid w:val="00AE5EBB"/>
    <w:rsid w:val="00AE6012"/>
    <w:rsid w:val="00AE62AA"/>
    <w:rsid w:val="00AE68E2"/>
    <w:rsid w:val="00AE6ADF"/>
    <w:rsid w:val="00AE703D"/>
    <w:rsid w:val="00AE7480"/>
    <w:rsid w:val="00AF005D"/>
    <w:rsid w:val="00AF041E"/>
    <w:rsid w:val="00AF04ED"/>
    <w:rsid w:val="00AF0690"/>
    <w:rsid w:val="00AF0A1D"/>
    <w:rsid w:val="00AF0CC6"/>
    <w:rsid w:val="00AF0FA4"/>
    <w:rsid w:val="00AF1BC5"/>
    <w:rsid w:val="00AF1C33"/>
    <w:rsid w:val="00AF1F2C"/>
    <w:rsid w:val="00AF2397"/>
    <w:rsid w:val="00AF2D3C"/>
    <w:rsid w:val="00AF3309"/>
    <w:rsid w:val="00AF364F"/>
    <w:rsid w:val="00AF36FD"/>
    <w:rsid w:val="00AF3761"/>
    <w:rsid w:val="00AF37E8"/>
    <w:rsid w:val="00AF39CE"/>
    <w:rsid w:val="00AF3E81"/>
    <w:rsid w:val="00AF43D5"/>
    <w:rsid w:val="00AF4654"/>
    <w:rsid w:val="00AF4661"/>
    <w:rsid w:val="00AF47E7"/>
    <w:rsid w:val="00AF4A5F"/>
    <w:rsid w:val="00AF4E7A"/>
    <w:rsid w:val="00AF4F56"/>
    <w:rsid w:val="00AF50DA"/>
    <w:rsid w:val="00AF554E"/>
    <w:rsid w:val="00AF56A5"/>
    <w:rsid w:val="00AF5A12"/>
    <w:rsid w:val="00AF5ABF"/>
    <w:rsid w:val="00AF5DB7"/>
    <w:rsid w:val="00AF5F65"/>
    <w:rsid w:val="00AF630B"/>
    <w:rsid w:val="00AF6CA2"/>
    <w:rsid w:val="00AF6CA9"/>
    <w:rsid w:val="00AF6D72"/>
    <w:rsid w:val="00AF6F55"/>
    <w:rsid w:val="00AF6F57"/>
    <w:rsid w:val="00AF7A9D"/>
    <w:rsid w:val="00B00F85"/>
    <w:rsid w:val="00B00FBC"/>
    <w:rsid w:val="00B0122F"/>
    <w:rsid w:val="00B012F4"/>
    <w:rsid w:val="00B014A4"/>
    <w:rsid w:val="00B014D4"/>
    <w:rsid w:val="00B016B8"/>
    <w:rsid w:val="00B01F39"/>
    <w:rsid w:val="00B03A5D"/>
    <w:rsid w:val="00B03F6E"/>
    <w:rsid w:val="00B0409E"/>
    <w:rsid w:val="00B0464D"/>
    <w:rsid w:val="00B04BAD"/>
    <w:rsid w:val="00B054EA"/>
    <w:rsid w:val="00B05852"/>
    <w:rsid w:val="00B05AFA"/>
    <w:rsid w:val="00B0735F"/>
    <w:rsid w:val="00B0746F"/>
    <w:rsid w:val="00B07D7C"/>
    <w:rsid w:val="00B07E63"/>
    <w:rsid w:val="00B108C5"/>
    <w:rsid w:val="00B11596"/>
    <w:rsid w:val="00B11D0C"/>
    <w:rsid w:val="00B120C1"/>
    <w:rsid w:val="00B12100"/>
    <w:rsid w:val="00B12889"/>
    <w:rsid w:val="00B12AAA"/>
    <w:rsid w:val="00B12C58"/>
    <w:rsid w:val="00B13141"/>
    <w:rsid w:val="00B131F5"/>
    <w:rsid w:val="00B13331"/>
    <w:rsid w:val="00B13B7E"/>
    <w:rsid w:val="00B13DB9"/>
    <w:rsid w:val="00B13E87"/>
    <w:rsid w:val="00B1424B"/>
    <w:rsid w:val="00B14495"/>
    <w:rsid w:val="00B15202"/>
    <w:rsid w:val="00B15321"/>
    <w:rsid w:val="00B157A8"/>
    <w:rsid w:val="00B1593E"/>
    <w:rsid w:val="00B15ABC"/>
    <w:rsid w:val="00B15E87"/>
    <w:rsid w:val="00B16A40"/>
    <w:rsid w:val="00B16D9A"/>
    <w:rsid w:val="00B170D8"/>
    <w:rsid w:val="00B17440"/>
    <w:rsid w:val="00B176F5"/>
    <w:rsid w:val="00B17A42"/>
    <w:rsid w:val="00B17D52"/>
    <w:rsid w:val="00B2040C"/>
    <w:rsid w:val="00B2063E"/>
    <w:rsid w:val="00B20F73"/>
    <w:rsid w:val="00B21AA3"/>
    <w:rsid w:val="00B2248F"/>
    <w:rsid w:val="00B22599"/>
    <w:rsid w:val="00B22644"/>
    <w:rsid w:val="00B22C00"/>
    <w:rsid w:val="00B22D32"/>
    <w:rsid w:val="00B22E0A"/>
    <w:rsid w:val="00B22E59"/>
    <w:rsid w:val="00B23038"/>
    <w:rsid w:val="00B233E0"/>
    <w:rsid w:val="00B23798"/>
    <w:rsid w:val="00B2467D"/>
    <w:rsid w:val="00B24E89"/>
    <w:rsid w:val="00B2592F"/>
    <w:rsid w:val="00B25E48"/>
    <w:rsid w:val="00B25E77"/>
    <w:rsid w:val="00B26C38"/>
    <w:rsid w:val="00B26FEF"/>
    <w:rsid w:val="00B2771D"/>
    <w:rsid w:val="00B279EA"/>
    <w:rsid w:val="00B307F6"/>
    <w:rsid w:val="00B30B7E"/>
    <w:rsid w:val="00B30C5F"/>
    <w:rsid w:val="00B30E80"/>
    <w:rsid w:val="00B3105D"/>
    <w:rsid w:val="00B31069"/>
    <w:rsid w:val="00B3149A"/>
    <w:rsid w:val="00B316D7"/>
    <w:rsid w:val="00B31901"/>
    <w:rsid w:val="00B31EBC"/>
    <w:rsid w:val="00B324D0"/>
    <w:rsid w:val="00B32CF7"/>
    <w:rsid w:val="00B3344B"/>
    <w:rsid w:val="00B339AB"/>
    <w:rsid w:val="00B33D3B"/>
    <w:rsid w:val="00B33EFA"/>
    <w:rsid w:val="00B34684"/>
    <w:rsid w:val="00B35C88"/>
    <w:rsid w:val="00B3642C"/>
    <w:rsid w:val="00B36432"/>
    <w:rsid w:val="00B3655A"/>
    <w:rsid w:val="00B36703"/>
    <w:rsid w:val="00B3677B"/>
    <w:rsid w:val="00B368FE"/>
    <w:rsid w:val="00B36AE3"/>
    <w:rsid w:val="00B3745E"/>
    <w:rsid w:val="00B375CF"/>
    <w:rsid w:val="00B37741"/>
    <w:rsid w:val="00B37873"/>
    <w:rsid w:val="00B40176"/>
    <w:rsid w:val="00B406F4"/>
    <w:rsid w:val="00B411AC"/>
    <w:rsid w:val="00B416C6"/>
    <w:rsid w:val="00B42586"/>
    <w:rsid w:val="00B42BC5"/>
    <w:rsid w:val="00B42D26"/>
    <w:rsid w:val="00B42F6B"/>
    <w:rsid w:val="00B431BD"/>
    <w:rsid w:val="00B4325E"/>
    <w:rsid w:val="00B43581"/>
    <w:rsid w:val="00B43B7D"/>
    <w:rsid w:val="00B43D36"/>
    <w:rsid w:val="00B43FEC"/>
    <w:rsid w:val="00B441F3"/>
    <w:rsid w:val="00B4554E"/>
    <w:rsid w:val="00B456C1"/>
    <w:rsid w:val="00B45904"/>
    <w:rsid w:val="00B45A02"/>
    <w:rsid w:val="00B45C67"/>
    <w:rsid w:val="00B45CF8"/>
    <w:rsid w:val="00B46006"/>
    <w:rsid w:val="00B4661A"/>
    <w:rsid w:val="00B46C25"/>
    <w:rsid w:val="00B5007C"/>
    <w:rsid w:val="00B501AA"/>
    <w:rsid w:val="00B504DA"/>
    <w:rsid w:val="00B51611"/>
    <w:rsid w:val="00B5173B"/>
    <w:rsid w:val="00B51CED"/>
    <w:rsid w:val="00B5227A"/>
    <w:rsid w:val="00B5228A"/>
    <w:rsid w:val="00B52440"/>
    <w:rsid w:val="00B524F2"/>
    <w:rsid w:val="00B5274C"/>
    <w:rsid w:val="00B52B61"/>
    <w:rsid w:val="00B5317B"/>
    <w:rsid w:val="00B531A1"/>
    <w:rsid w:val="00B53D00"/>
    <w:rsid w:val="00B53D9A"/>
    <w:rsid w:val="00B53E2E"/>
    <w:rsid w:val="00B54496"/>
    <w:rsid w:val="00B54A6B"/>
    <w:rsid w:val="00B55334"/>
    <w:rsid w:val="00B5588A"/>
    <w:rsid w:val="00B55B94"/>
    <w:rsid w:val="00B55C61"/>
    <w:rsid w:val="00B5602E"/>
    <w:rsid w:val="00B56213"/>
    <w:rsid w:val="00B564F7"/>
    <w:rsid w:val="00B5677E"/>
    <w:rsid w:val="00B56F6D"/>
    <w:rsid w:val="00B570EE"/>
    <w:rsid w:val="00B5726B"/>
    <w:rsid w:val="00B572E1"/>
    <w:rsid w:val="00B57391"/>
    <w:rsid w:val="00B57791"/>
    <w:rsid w:val="00B57E69"/>
    <w:rsid w:val="00B61116"/>
    <w:rsid w:val="00B61319"/>
    <w:rsid w:val="00B617B7"/>
    <w:rsid w:val="00B622BB"/>
    <w:rsid w:val="00B622D7"/>
    <w:rsid w:val="00B62687"/>
    <w:rsid w:val="00B627F2"/>
    <w:rsid w:val="00B62B13"/>
    <w:rsid w:val="00B62CAC"/>
    <w:rsid w:val="00B62FA3"/>
    <w:rsid w:val="00B6318A"/>
    <w:rsid w:val="00B632EE"/>
    <w:rsid w:val="00B63751"/>
    <w:rsid w:val="00B637B2"/>
    <w:rsid w:val="00B637DE"/>
    <w:rsid w:val="00B63D0B"/>
    <w:rsid w:val="00B63F83"/>
    <w:rsid w:val="00B64056"/>
    <w:rsid w:val="00B645FF"/>
    <w:rsid w:val="00B64646"/>
    <w:rsid w:val="00B659F8"/>
    <w:rsid w:val="00B65D1F"/>
    <w:rsid w:val="00B6681A"/>
    <w:rsid w:val="00B66ADF"/>
    <w:rsid w:val="00B66D11"/>
    <w:rsid w:val="00B6710F"/>
    <w:rsid w:val="00B67146"/>
    <w:rsid w:val="00B6722E"/>
    <w:rsid w:val="00B67607"/>
    <w:rsid w:val="00B67809"/>
    <w:rsid w:val="00B70F0F"/>
    <w:rsid w:val="00B710B7"/>
    <w:rsid w:val="00B712E9"/>
    <w:rsid w:val="00B71840"/>
    <w:rsid w:val="00B71B2C"/>
    <w:rsid w:val="00B71CD0"/>
    <w:rsid w:val="00B7216E"/>
    <w:rsid w:val="00B721C1"/>
    <w:rsid w:val="00B722E2"/>
    <w:rsid w:val="00B7237B"/>
    <w:rsid w:val="00B7295A"/>
    <w:rsid w:val="00B729ED"/>
    <w:rsid w:val="00B72C53"/>
    <w:rsid w:val="00B72CB5"/>
    <w:rsid w:val="00B73149"/>
    <w:rsid w:val="00B73154"/>
    <w:rsid w:val="00B731FE"/>
    <w:rsid w:val="00B735D2"/>
    <w:rsid w:val="00B738B5"/>
    <w:rsid w:val="00B73E3F"/>
    <w:rsid w:val="00B742B7"/>
    <w:rsid w:val="00B74590"/>
    <w:rsid w:val="00B74755"/>
    <w:rsid w:val="00B74A4E"/>
    <w:rsid w:val="00B74B99"/>
    <w:rsid w:val="00B75217"/>
    <w:rsid w:val="00B75D76"/>
    <w:rsid w:val="00B76283"/>
    <w:rsid w:val="00B76A77"/>
    <w:rsid w:val="00B775A2"/>
    <w:rsid w:val="00B7772E"/>
    <w:rsid w:val="00B77E22"/>
    <w:rsid w:val="00B80053"/>
    <w:rsid w:val="00B80356"/>
    <w:rsid w:val="00B80452"/>
    <w:rsid w:val="00B80B4B"/>
    <w:rsid w:val="00B81017"/>
    <w:rsid w:val="00B81A70"/>
    <w:rsid w:val="00B81C07"/>
    <w:rsid w:val="00B81CB9"/>
    <w:rsid w:val="00B820CA"/>
    <w:rsid w:val="00B826AE"/>
    <w:rsid w:val="00B82994"/>
    <w:rsid w:val="00B83046"/>
    <w:rsid w:val="00B83C1E"/>
    <w:rsid w:val="00B84B5D"/>
    <w:rsid w:val="00B85392"/>
    <w:rsid w:val="00B8569B"/>
    <w:rsid w:val="00B85CED"/>
    <w:rsid w:val="00B85D54"/>
    <w:rsid w:val="00B86096"/>
    <w:rsid w:val="00B864B6"/>
    <w:rsid w:val="00B864CD"/>
    <w:rsid w:val="00B864F6"/>
    <w:rsid w:val="00B86585"/>
    <w:rsid w:val="00B865F0"/>
    <w:rsid w:val="00B8694B"/>
    <w:rsid w:val="00B86BAC"/>
    <w:rsid w:val="00B86C4D"/>
    <w:rsid w:val="00B873A6"/>
    <w:rsid w:val="00B87494"/>
    <w:rsid w:val="00B879C3"/>
    <w:rsid w:val="00B87F32"/>
    <w:rsid w:val="00B87F6D"/>
    <w:rsid w:val="00B90146"/>
    <w:rsid w:val="00B908BC"/>
    <w:rsid w:val="00B909E2"/>
    <w:rsid w:val="00B90A53"/>
    <w:rsid w:val="00B90B28"/>
    <w:rsid w:val="00B90E8B"/>
    <w:rsid w:val="00B915C3"/>
    <w:rsid w:val="00B919BA"/>
    <w:rsid w:val="00B921E4"/>
    <w:rsid w:val="00B92206"/>
    <w:rsid w:val="00B9230F"/>
    <w:rsid w:val="00B92320"/>
    <w:rsid w:val="00B92444"/>
    <w:rsid w:val="00B9266F"/>
    <w:rsid w:val="00B92750"/>
    <w:rsid w:val="00B92BC8"/>
    <w:rsid w:val="00B92CDE"/>
    <w:rsid w:val="00B93521"/>
    <w:rsid w:val="00B937EC"/>
    <w:rsid w:val="00B93D6C"/>
    <w:rsid w:val="00B946D9"/>
    <w:rsid w:val="00B94752"/>
    <w:rsid w:val="00B947BB"/>
    <w:rsid w:val="00B9485D"/>
    <w:rsid w:val="00B94A00"/>
    <w:rsid w:val="00B94F30"/>
    <w:rsid w:val="00B94FA7"/>
    <w:rsid w:val="00B9507A"/>
    <w:rsid w:val="00B950A8"/>
    <w:rsid w:val="00B9510F"/>
    <w:rsid w:val="00B95A41"/>
    <w:rsid w:val="00B95BD2"/>
    <w:rsid w:val="00B96269"/>
    <w:rsid w:val="00B96407"/>
    <w:rsid w:val="00B96468"/>
    <w:rsid w:val="00B96C1F"/>
    <w:rsid w:val="00B96D8A"/>
    <w:rsid w:val="00B96FB0"/>
    <w:rsid w:val="00B970FC"/>
    <w:rsid w:val="00B97162"/>
    <w:rsid w:val="00B977D0"/>
    <w:rsid w:val="00B97810"/>
    <w:rsid w:val="00B97BC3"/>
    <w:rsid w:val="00BA001D"/>
    <w:rsid w:val="00BA0360"/>
    <w:rsid w:val="00BA07DA"/>
    <w:rsid w:val="00BA0A0E"/>
    <w:rsid w:val="00BA12DD"/>
    <w:rsid w:val="00BA14D8"/>
    <w:rsid w:val="00BA155C"/>
    <w:rsid w:val="00BA16DC"/>
    <w:rsid w:val="00BA1C8A"/>
    <w:rsid w:val="00BA1CFA"/>
    <w:rsid w:val="00BA1EB8"/>
    <w:rsid w:val="00BA23C2"/>
    <w:rsid w:val="00BA26D9"/>
    <w:rsid w:val="00BA39F2"/>
    <w:rsid w:val="00BA3AC2"/>
    <w:rsid w:val="00BA3CD9"/>
    <w:rsid w:val="00BA3FAE"/>
    <w:rsid w:val="00BA416B"/>
    <w:rsid w:val="00BA43DC"/>
    <w:rsid w:val="00BA4F09"/>
    <w:rsid w:val="00BA5077"/>
    <w:rsid w:val="00BA5453"/>
    <w:rsid w:val="00BA5B05"/>
    <w:rsid w:val="00BA5C56"/>
    <w:rsid w:val="00BA5D57"/>
    <w:rsid w:val="00BA6738"/>
    <w:rsid w:val="00BA73DD"/>
    <w:rsid w:val="00BA77E9"/>
    <w:rsid w:val="00BA79B5"/>
    <w:rsid w:val="00BA7A27"/>
    <w:rsid w:val="00BA7A2B"/>
    <w:rsid w:val="00BB00D2"/>
    <w:rsid w:val="00BB01A4"/>
    <w:rsid w:val="00BB03BF"/>
    <w:rsid w:val="00BB09BF"/>
    <w:rsid w:val="00BB09C9"/>
    <w:rsid w:val="00BB0EE7"/>
    <w:rsid w:val="00BB1066"/>
    <w:rsid w:val="00BB119F"/>
    <w:rsid w:val="00BB1341"/>
    <w:rsid w:val="00BB141D"/>
    <w:rsid w:val="00BB1960"/>
    <w:rsid w:val="00BB1B0E"/>
    <w:rsid w:val="00BB1FE1"/>
    <w:rsid w:val="00BB2479"/>
    <w:rsid w:val="00BB2A0F"/>
    <w:rsid w:val="00BB3160"/>
    <w:rsid w:val="00BB3393"/>
    <w:rsid w:val="00BB355C"/>
    <w:rsid w:val="00BB3B82"/>
    <w:rsid w:val="00BB3CDD"/>
    <w:rsid w:val="00BB41C9"/>
    <w:rsid w:val="00BB4350"/>
    <w:rsid w:val="00BB446D"/>
    <w:rsid w:val="00BB463E"/>
    <w:rsid w:val="00BB46A2"/>
    <w:rsid w:val="00BB48EB"/>
    <w:rsid w:val="00BB4E17"/>
    <w:rsid w:val="00BB4F2C"/>
    <w:rsid w:val="00BB5054"/>
    <w:rsid w:val="00BB521F"/>
    <w:rsid w:val="00BB58F3"/>
    <w:rsid w:val="00BB5CE6"/>
    <w:rsid w:val="00BB6393"/>
    <w:rsid w:val="00BB73FD"/>
    <w:rsid w:val="00BB7629"/>
    <w:rsid w:val="00BC083A"/>
    <w:rsid w:val="00BC13BD"/>
    <w:rsid w:val="00BC14CF"/>
    <w:rsid w:val="00BC1B87"/>
    <w:rsid w:val="00BC1CB9"/>
    <w:rsid w:val="00BC1DEC"/>
    <w:rsid w:val="00BC2233"/>
    <w:rsid w:val="00BC266B"/>
    <w:rsid w:val="00BC279E"/>
    <w:rsid w:val="00BC2A03"/>
    <w:rsid w:val="00BC30C7"/>
    <w:rsid w:val="00BC3CF6"/>
    <w:rsid w:val="00BC3D7B"/>
    <w:rsid w:val="00BC40CA"/>
    <w:rsid w:val="00BC4273"/>
    <w:rsid w:val="00BC45DB"/>
    <w:rsid w:val="00BC49B6"/>
    <w:rsid w:val="00BC4E0C"/>
    <w:rsid w:val="00BC4E25"/>
    <w:rsid w:val="00BC4E65"/>
    <w:rsid w:val="00BC4EAB"/>
    <w:rsid w:val="00BC5110"/>
    <w:rsid w:val="00BC5116"/>
    <w:rsid w:val="00BC55CC"/>
    <w:rsid w:val="00BC5661"/>
    <w:rsid w:val="00BC586C"/>
    <w:rsid w:val="00BC5CD5"/>
    <w:rsid w:val="00BC629F"/>
    <w:rsid w:val="00BC650D"/>
    <w:rsid w:val="00BC6709"/>
    <w:rsid w:val="00BC6776"/>
    <w:rsid w:val="00BC7050"/>
    <w:rsid w:val="00BC707F"/>
    <w:rsid w:val="00BC71B2"/>
    <w:rsid w:val="00BC71D2"/>
    <w:rsid w:val="00BC720F"/>
    <w:rsid w:val="00BC726F"/>
    <w:rsid w:val="00BC7B34"/>
    <w:rsid w:val="00BD006A"/>
    <w:rsid w:val="00BD012A"/>
    <w:rsid w:val="00BD1B09"/>
    <w:rsid w:val="00BD1BB7"/>
    <w:rsid w:val="00BD1F8B"/>
    <w:rsid w:val="00BD202B"/>
    <w:rsid w:val="00BD20E7"/>
    <w:rsid w:val="00BD26ED"/>
    <w:rsid w:val="00BD2A49"/>
    <w:rsid w:val="00BD2ED8"/>
    <w:rsid w:val="00BD3338"/>
    <w:rsid w:val="00BD3954"/>
    <w:rsid w:val="00BD3DF5"/>
    <w:rsid w:val="00BD45A9"/>
    <w:rsid w:val="00BD4615"/>
    <w:rsid w:val="00BD46F3"/>
    <w:rsid w:val="00BD4BCC"/>
    <w:rsid w:val="00BD604B"/>
    <w:rsid w:val="00BD60A0"/>
    <w:rsid w:val="00BD6183"/>
    <w:rsid w:val="00BD6591"/>
    <w:rsid w:val="00BD659D"/>
    <w:rsid w:val="00BD6D2D"/>
    <w:rsid w:val="00BD7999"/>
    <w:rsid w:val="00BD7AB6"/>
    <w:rsid w:val="00BD7D14"/>
    <w:rsid w:val="00BD7D90"/>
    <w:rsid w:val="00BD7DE3"/>
    <w:rsid w:val="00BE010F"/>
    <w:rsid w:val="00BE0906"/>
    <w:rsid w:val="00BE180F"/>
    <w:rsid w:val="00BE1B91"/>
    <w:rsid w:val="00BE223F"/>
    <w:rsid w:val="00BE23EF"/>
    <w:rsid w:val="00BE2565"/>
    <w:rsid w:val="00BE25F2"/>
    <w:rsid w:val="00BE2EEF"/>
    <w:rsid w:val="00BE3041"/>
    <w:rsid w:val="00BE3B9C"/>
    <w:rsid w:val="00BE3E56"/>
    <w:rsid w:val="00BE45EE"/>
    <w:rsid w:val="00BE4764"/>
    <w:rsid w:val="00BE4EB9"/>
    <w:rsid w:val="00BE502D"/>
    <w:rsid w:val="00BE53FF"/>
    <w:rsid w:val="00BE5571"/>
    <w:rsid w:val="00BE57DB"/>
    <w:rsid w:val="00BE602C"/>
    <w:rsid w:val="00BE67D3"/>
    <w:rsid w:val="00BE6E8C"/>
    <w:rsid w:val="00BE7596"/>
    <w:rsid w:val="00BE7681"/>
    <w:rsid w:val="00BE78B9"/>
    <w:rsid w:val="00BE7F54"/>
    <w:rsid w:val="00BF0097"/>
    <w:rsid w:val="00BF0518"/>
    <w:rsid w:val="00BF0E98"/>
    <w:rsid w:val="00BF1466"/>
    <w:rsid w:val="00BF178F"/>
    <w:rsid w:val="00BF1A35"/>
    <w:rsid w:val="00BF1CCE"/>
    <w:rsid w:val="00BF1E82"/>
    <w:rsid w:val="00BF2E71"/>
    <w:rsid w:val="00BF3335"/>
    <w:rsid w:val="00BF3340"/>
    <w:rsid w:val="00BF33FD"/>
    <w:rsid w:val="00BF3B2C"/>
    <w:rsid w:val="00BF3E55"/>
    <w:rsid w:val="00BF42B9"/>
    <w:rsid w:val="00BF43EC"/>
    <w:rsid w:val="00BF4654"/>
    <w:rsid w:val="00BF47D6"/>
    <w:rsid w:val="00BF4816"/>
    <w:rsid w:val="00BF49C5"/>
    <w:rsid w:val="00BF4E96"/>
    <w:rsid w:val="00BF4FF6"/>
    <w:rsid w:val="00BF5528"/>
    <w:rsid w:val="00BF5569"/>
    <w:rsid w:val="00BF6052"/>
    <w:rsid w:val="00BF6098"/>
    <w:rsid w:val="00BF643B"/>
    <w:rsid w:val="00BF6873"/>
    <w:rsid w:val="00BF69A5"/>
    <w:rsid w:val="00BF6CBD"/>
    <w:rsid w:val="00BF6E5C"/>
    <w:rsid w:val="00BF6FF1"/>
    <w:rsid w:val="00BF7087"/>
    <w:rsid w:val="00BF72AB"/>
    <w:rsid w:val="00BF7475"/>
    <w:rsid w:val="00BF7497"/>
    <w:rsid w:val="00BF770E"/>
    <w:rsid w:val="00BF7BC9"/>
    <w:rsid w:val="00BF7F78"/>
    <w:rsid w:val="00C00552"/>
    <w:rsid w:val="00C00891"/>
    <w:rsid w:val="00C00D48"/>
    <w:rsid w:val="00C0100F"/>
    <w:rsid w:val="00C01F38"/>
    <w:rsid w:val="00C02147"/>
    <w:rsid w:val="00C0216B"/>
    <w:rsid w:val="00C021AE"/>
    <w:rsid w:val="00C0255B"/>
    <w:rsid w:val="00C028E8"/>
    <w:rsid w:val="00C02DA0"/>
    <w:rsid w:val="00C0326B"/>
    <w:rsid w:val="00C0351A"/>
    <w:rsid w:val="00C04231"/>
    <w:rsid w:val="00C043C9"/>
    <w:rsid w:val="00C046A0"/>
    <w:rsid w:val="00C04927"/>
    <w:rsid w:val="00C052FF"/>
    <w:rsid w:val="00C0535A"/>
    <w:rsid w:val="00C053BA"/>
    <w:rsid w:val="00C055F4"/>
    <w:rsid w:val="00C05818"/>
    <w:rsid w:val="00C06951"/>
    <w:rsid w:val="00C07342"/>
    <w:rsid w:val="00C07553"/>
    <w:rsid w:val="00C07DCB"/>
    <w:rsid w:val="00C10831"/>
    <w:rsid w:val="00C10F01"/>
    <w:rsid w:val="00C11047"/>
    <w:rsid w:val="00C111A1"/>
    <w:rsid w:val="00C119FC"/>
    <w:rsid w:val="00C12105"/>
    <w:rsid w:val="00C125F5"/>
    <w:rsid w:val="00C126B6"/>
    <w:rsid w:val="00C126CB"/>
    <w:rsid w:val="00C12942"/>
    <w:rsid w:val="00C129DE"/>
    <w:rsid w:val="00C12A7B"/>
    <w:rsid w:val="00C12ACC"/>
    <w:rsid w:val="00C12C1C"/>
    <w:rsid w:val="00C12DCE"/>
    <w:rsid w:val="00C13031"/>
    <w:rsid w:val="00C13734"/>
    <w:rsid w:val="00C13D56"/>
    <w:rsid w:val="00C140E0"/>
    <w:rsid w:val="00C1433C"/>
    <w:rsid w:val="00C147AC"/>
    <w:rsid w:val="00C1537A"/>
    <w:rsid w:val="00C1548A"/>
    <w:rsid w:val="00C15677"/>
    <w:rsid w:val="00C15FB8"/>
    <w:rsid w:val="00C15FBE"/>
    <w:rsid w:val="00C16672"/>
    <w:rsid w:val="00C168B2"/>
    <w:rsid w:val="00C16B84"/>
    <w:rsid w:val="00C16CF1"/>
    <w:rsid w:val="00C17233"/>
    <w:rsid w:val="00C175F2"/>
    <w:rsid w:val="00C17942"/>
    <w:rsid w:val="00C1795B"/>
    <w:rsid w:val="00C179E6"/>
    <w:rsid w:val="00C17C40"/>
    <w:rsid w:val="00C17CE1"/>
    <w:rsid w:val="00C20097"/>
    <w:rsid w:val="00C20158"/>
    <w:rsid w:val="00C20369"/>
    <w:rsid w:val="00C209F3"/>
    <w:rsid w:val="00C20CBA"/>
    <w:rsid w:val="00C20CEC"/>
    <w:rsid w:val="00C20DAE"/>
    <w:rsid w:val="00C20E20"/>
    <w:rsid w:val="00C210C2"/>
    <w:rsid w:val="00C21146"/>
    <w:rsid w:val="00C215AA"/>
    <w:rsid w:val="00C21775"/>
    <w:rsid w:val="00C21784"/>
    <w:rsid w:val="00C21E30"/>
    <w:rsid w:val="00C21E7F"/>
    <w:rsid w:val="00C22278"/>
    <w:rsid w:val="00C22325"/>
    <w:rsid w:val="00C2245D"/>
    <w:rsid w:val="00C22763"/>
    <w:rsid w:val="00C228DC"/>
    <w:rsid w:val="00C22CB9"/>
    <w:rsid w:val="00C22EEC"/>
    <w:rsid w:val="00C23006"/>
    <w:rsid w:val="00C23090"/>
    <w:rsid w:val="00C2333D"/>
    <w:rsid w:val="00C23713"/>
    <w:rsid w:val="00C237EE"/>
    <w:rsid w:val="00C23B06"/>
    <w:rsid w:val="00C23E99"/>
    <w:rsid w:val="00C2404A"/>
    <w:rsid w:val="00C24160"/>
    <w:rsid w:val="00C244D8"/>
    <w:rsid w:val="00C246D6"/>
    <w:rsid w:val="00C25F3D"/>
    <w:rsid w:val="00C25F7F"/>
    <w:rsid w:val="00C26493"/>
    <w:rsid w:val="00C269F2"/>
    <w:rsid w:val="00C26BB6"/>
    <w:rsid w:val="00C27466"/>
    <w:rsid w:val="00C27697"/>
    <w:rsid w:val="00C27C9F"/>
    <w:rsid w:val="00C30A93"/>
    <w:rsid w:val="00C30ABC"/>
    <w:rsid w:val="00C30B7F"/>
    <w:rsid w:val="00C31235"/>
    <w:rsid w:val="00C31EE5"/>
    <w:rsid w:val="00C322C9"/>
    <w:rsid w:val="00C322E5"/>
    <w:rsid w:val="00C32E68"/>
    <w:rsid w:val="00C3312E"/>
    <w:rsid w:val="00C33749"/>
    <w:rsid w:val="00C33797"/>
    <w:rsid w:val="00C33B9A"/>
    <w:rsid w:val="00C3432B"/>
    <w:rsid w:val="00C3474B"/>
    <w:rsid w:val="00C34A6C"/>
    <w:rsid w:val="00C34AAE"/>
    <w:rsid w:val="00C34B7B"/>
    <w:rsid w:val="00C353D3"/>
    <w:rsid w:val="00C358B7"/>
    <w:rsid w:val="00C35AC4"/>
    <w:rsid w:val="00C35B58"/>
    <w:rsid w:val="00C35D94"/>
    <w:rsid w:val="00C35E80"/>
    <w:rsid w:val="00C35FA6"/>
    <w:rsid w:val="00C362A8"/>
    <w:rsid w:val="00C3635F"/>
    <w:rsid w:val="00C364C5"/>
    <w:rsid w:val="00C36739"/>
    <w:rsid w:val="00C368B9"/>
    <w:rsid w:val="00C36F1C"/>
    <w:rsid w:val="00C37A99"/>
    <w:rsid w:val="00C37F12"/>
    <w:rsid w:val="00C37F2D"/>
    <w:rsid w:val="00C400D0"/>
    <w:rsid w:val="00C40303"/>
    <w:rsid w:val="00C40489"/>
    <w:rsid w:val="00C40D00"/>
    <w:rsid w:val="00C41190"/>
    <w:rsid w:val="00C414A0"/>
    <w:rsid w:val="00C41C47"/>
    <w:rsid w:val="00C41E88"/>
    <w:rsid w:val="00C42284"/>
    <w:rsid w:val="00C42A1F"/>
    <w:rsid w:val="00C42B0F"/>
    <w:rsid w:val="00C42B2F"/>
    <w:rsid w:val="00C43293"/>
    <w:rsid w:val="00C43A0A"/>
    <w:rsid w:val="00C43B99"/>
    <w:rsid w:val="00C43BFE"/>
    <w:rsid w:val="00C43DE6"/>
    <w:rsid w:val="00C44018"/>
    <w:rsid w:val="00C442B6"/>
    <w:rsid w:val="00C449DE"/>
    <w:rsid w:val="00C44ABB"/>
    <w:rsid w:val="00C45077"/>
    <w:rsid w:val="00C4509C"/>
    <w:rsid w:val="00C454D4"/>
    <w:rsid w:val="00C45545"/>
    <w:rsid w:val="00C45B73"/>
    <w:rsid w:val="00C45C2F"/>
    <w:rsid w:val="00C45F38"/>
    <w:rsid w:val="00C4608B"/>
    <w:rsid w:val="00C46973"/>
    <w:rsid w:val="00C46AF2"/>
    <w:rsid w:val="00C46C1A"/>
    <w:rsid w:val="00C46EB8"/>
    <w:rsid w:val="00C47193"/>
    <w:rsid w:val="00C471B9"/>
    <w:rsid w:val="00C47993"/>
    <w:rsid w:val="00C47C63"/>
    <w:rsid w:val="00C50262"/>
    <w:rsid w:val="00C508C5"/>
    <w:rsid w:val="00C50AB2"/>
    <w:rsid w:val="00C50C30"/>
    <w:rsid w:val="00C510E8"/>
    <w:rsid w:val="00C513A8"/>
    <w:rsid w:val="00C515EF"/>
    <w:rsid w:val="00C5172F"/>
    <w:rsid w:val="00C51B4B"/>
    <w:rsid w:val="00C51DB6"/>
    <w:rsid w:val="00C51FDE"/>
    <w:rsid w:val="00C52079"/>
    <w:rsid w:val="00C5314D"/>
    <w:rsid w:val="00C53460"/>
    <w:rsid w:val="00C5391F"/>
    <w:rsid w:val="00C5393E"/>
    <w:rsid w:val="00C53977"/>
    <w:rsid w:val="00C53DCD"/>
    <w:rsid w:val="00C545D9"/>
    <w:rsid w:val="00C54BEA"/>
    <w:rsid w:val="00C54D15"/>
    <w:rsid w:val="00C55629"/>
    <w:rsid w:val="00C55BEB"/>
    <w:rsid w:val="00C564CB"/>
    <w:rsid w:val="00C56C9D"/>
    <w:rsid w:val="00C56CE0"/>
    <w:rsid w:val="00C5710C"/>
    <w:rsid w:val="00C57377"/>
    <w:rsid w:val="00C574BF"/>
    <w:rsid w:val="00C5758D"/>
    <w:rsid w:val="00C575D8"/>
    <w:rsid w:val="00C5763C"/>
    <w:rsid w:val="00C604D4"/>
    <w:rsid w:val="00C604DC"/>
    <w:rsid w:val="00C609ED"/>
    <w:rsid w:val="00C60B8C"/>
    <w:rsid w:val="00C60BCA"/>
    <w:rsid w:val="00C60CD5"/>
    <w:rsid w:val="00C610A7"/>
    <w:rsid w:val="00C6163F"/>
    <w:rsid w:val="00C61F65"/>
    <w:rsid w:val="00C6231D"/>
    <w:rsid w:val="00C62DCF"/>
    <w:rsid w:val="00C63094"/>
    <w:rsid w:val="00C635F3"/>
    <w:rsid w:val="00C637EF"/>
    <w:rsid w:val="00C638DD"/>
    <w:rsid w:val="00C63F92"/>
    <w:rsid w:val="00C64605"/>
    <w:rsid w:val="00C646DB"/>
    <w:rsid w:val="00C64FA6"/>
    <w:rsid w:val="00C64FBF"/>
    <w:rsid w:val="00C65505"/>
    <w:rsid w:val="00C656B5"/>
    <w:rsid w:val="00C65930"/>
    <w:rsid w:val="00C65A63"/>
    <w:rsid w:val="00C65A98"/>
    <w:rsid w:val="00C65FBD"/>
    <w:rsid w:val="00C67146"/>
    <w:rsid w:val="00C67501"/>
    <w:rsid w:val="00C67758"/>
    <w:rsid w:val="00C67AAB"/>
    <w:rsid w:val="00C70082"/>
    <w:rsid w:val="00C70250"/>
    <w:rsid w:val="00C704A4"/>
    <w:rsid w:val="00C707EA"/>
    <w:rsid w:val="00C707FA"/>
    <w:rsid w:val="00C70A5C"/>
    <w:rsid w:val="00C70BC8"/>
    <w:rsid w:val="00C70BFA"/>
    <w:rsid w:val="00C7175E"/>
    <w:rsid w:val="00C7192B"/>
    <w:rsid w:val="00C71CC7"/>
    <w:rsid w:val="00C72141"/>
    <w:rsid w:val="00C72554"/>
    <w:rsid w:val="00C72B92"/>
    <w:rsid w:val="00C7305F"/>
    <w:rsid w:val="00C7325E"/>
    <w:rsid w:val="00C735B9"/>
    <w:rsid w:val="00C74472"/>
    <w:rsid w:val="00C7452A"/>
    <w:rsid w:val="00C749C9"/>
    <w:rsid w:val="00C74C29"/>
    <w:rsid w:val="00C75518"/>
    <w:rsid w:val="00C75896"/>
    <w:rsid w:val="00C75D8C"/>
    <w:rsid w:val="00C76EAE"/>
    <w:rsid w:val="00C7714F"/>
    <w:rsid w:val="00C77152"/>
    <w:rsid w:val="00C77366"/>
    <w:rsid w:val="00C77627"/>
    <w:rsid w:val="00C7768C"/>
    <w:rsid w:val="00C77807"/>
    <w:rsid w:val="00C77A33"/>
    <w:rsid w:val="00C77B1D"/>
    <w:rsid w:val="00C8041C"/>
    <w:rsid w:val="00C80588"/>
    <w:rsid w:val="00C8067D"/>
    <w:rsid w:val="00C8078B"/>
    <w:rsid w:val="00C8106E"/>
    <w:rsid w:val="00C81A4D"/>
    <w:rsid w:val="00C81D76"/>
    <w:rsid w:val="00C8234F"/>
    <w:rsid w:val="00C823F2"/>
    <w:rsid w:val="00C826BE"/>
    <w:rsid w:val="00C8280A"/>
    <w:rsid w:val="00C82D1F"/>
    <w:rsid w:val="00C83353"/>
    <w:rsid w:val="00C833D1"/>
    <w:rsid w:val="00C834F0"/>
    <w:rsid w:val="00C8396A"/>
    <w:rsid w:val="00C83AF2"/>
    <w:rsid w:val="00C83B15"/>
    <w:rsid w:val="00C84400"/>
    <w:rsid w:val="00C84AFD"/>
    <w:rsid w:val="00C84BDD"/>
    <w:rsid w:val="00C85774"/>
    <w:rsid w:val="00C85A2E"/>
    <w:rsid w:val="00C861A6"/>
    <w:rsid w:val="00C862BB"/>
    <w:rsid w:val="00C8670F"/>
    <w:rsid w:val="00C86CC9"/>
    <w:rsid w:val="00C86FD9"/>
    <w:rsid w:val="00C8717D"/>
    <w:rsid w:val="00C87293"/>
    <w:rsid w:val="00C872E1"/>
    <w:rsid w:val="00C876B2"/>
    <w:rsid w:val="00C87A3F"/>
    <w:rsid w:val="00C87B97"/>
    <w:rsid w:val="00C90135"/>
    <w:rsid w:val="00C90337"/>
    <w:rsid w:val="00C904D6"/>
    <w:rsid w:val="00C905C7"/>
    <w:rsid w:val="00C91A09"/>
    <w:rsid w:val="00C91A7B"/>
    <w:rsid w:val="00C92804"/>
    <w:rsid w:val="00C92CCE"/>
    <w:rsid w:val="00C9320F"/>
    <w:rsid w:val="00C93A92"/>
    <w:rsid w:val="00C93EFA"/>
    <w:rsid w:val="00C9412E"/>
    <w:rsid w:val="00C94657"/>
    <w:rsid w:val="00C947EF"/>
    <w:rsid w:val="00C94955"/>
    <w:rsid w:val="00C94AE9"/>
    <w:rsid w:val="00C950E1"/>
    <w:rsid w:val="00C95800"/>
    <w:rsid w:val="00C959DF"/>
    <w:rsid w:val="00C95AE1"/>
    <w:rsid w:val="00C95B42"/>
    <w:rsid w:val="00C95EBC"/>
    <w:rsid w:val="00C965B2"/>
    <w:rsid w:val="00C96C86"/>
    <w:rsid w:val="00C96DF2"/>
    <w:rsid w:val="00C96E3F"/>
    <w:rsid w:val="00C97183"/>
    <w:rsid w:val="00C97427"/>
    <w:rsid w:val="00C979C5"/>
    <w:rsid w:val="00C97F8D"/>
    <w:rsid w:val="00CA00D8"/>
    <w:rsid w:val="00CA0157"/>
    <w:rsid w:val="00CA05B3"/>
    <w:rsid w:val="00CA0DB9"/>
    <w:rsid w:val="00CA10B1"/>
    <w:rsid w:val="00CA148B"/>
    <w:rsid w:val="00CA1DD8"/>
    <w:rsid w:val="00CA2264"/>
    <w:rsid w:val="00CA2374"/>
    <w:rsid w:val="00CA2AFC"/>
    <w:rsid w:val="00CA2C80"/>
    <w:rsid w:val="00CA2E2B"/>
    <w:rsid w:val="00CA2F8A"/>
    <w:rsid w:val="00CA3BE7"/>
    <w:rsid w:val="00CA3F97"/>
    <w:rsid w:val="00CA3FF1"/>
    <w:rsid w:val="00CA467D"/>
    <w:rsid w:val="00CA47C7"/>
    <w:rsid w:val="00CA4CD9"/>
    <w:rsid w:val="00CA4D54"/>
    <w:rsid w:val="00CA4D76"/>
    <w:rsid w:val="00CA4F92"/>
    <w:rsid w:val="00CA4FD1"/>
    <w:rsid w:val="00CA550F"/>
    <w:rsid w:val="00CA5666"/>
    <w:rsid w:val="00CA7297"/>
    <w:rsid w:val="00CA7851"/>
    <w:rsid w:val="00CA796E"/>
    <w:rsid w:val="00CA7A89"/>
    <w:rsid w:val="00CA7CD5"/>
    <w:rsid w:val="00CA7E99"/>
    <w:rsid w:val="00CB017E"/>
    <w:rsid w:val="00CB0AAA"/>
    <w:rsid w:val="00CB12EE"/>
    <w:rsid w:val="00CB187C"/>
    <w:rsid w:val="00CB1935"/>
    <w:rsid w:val="00CB1DC2"/>
    <w:rsid w:val="00CB1EDC"/>
    <w:rsid w:val="00CB217A"/>
    <w:rsid w:val="00CB2680"/>
    <w:rsid w:val="00CB3139"/>
    <w:rsid w:val="00CB3248"/>
    <w:rsid w:val="00CB35A0"/>
    <w:rsid w:val="00CB3756"/>
    <w:rsid w:val="00CB3C23"/>
    <w:rsid w:val="00CB3CAB"/>
    <w:rsid w:val="00CB3E76"/>
    <w:rsid w:val="00CB4273"/>
    <w:rsid w:val="00CB477D"/>
    <w:rsid w:val="00CB4A37"/>
    <w:rsid w:val="00CB4DFE"/>
    <w:rsid w:val="00CB50D4"/>
    <w:rsid w:val="00CB567B"/>
    <w:rsid w:val="00CB5EBF"/>
    <w:rsid w:val="00CB5ECA"/>
    <w:rsid w:val="00CB5FB2"/>
    <w:rsid w:val="00CB60BC"/>
    <w:rsid w:val="00CB63D6"/>
    <w:rsid w:val="00CB656E"/>
    <w:rsid w:val="00CB68F4"/>
    <w:rsid w:val="00CB6A1F"/>
    <w:rsid w:val="00CB6A51"/>
    <w:rsid w:val="00CB6DC2"/>
    <w:rsid w:val="00CB71EB"/>
    <w:rsid w:val="00CB755A"/>
    <w:rsid w:val="00CB7D73"/>
    <w:rsid w:val="00CB7E15"/>
    <w:rsid w:val="00CC028B"/>
    <w:rsid w:val="00CC05C4"/>
    <w:rsid w:val="00CC063C"/>
    <w:rsid w:val="00CC0763"/>
    <w:rsid w:val="00CC0B03"/>
    <w:rsid w:val="00CC1071"/>
    <w:rsid w:val="00CC10F9"/>
    <w:rsid w:val="00CC1155"/>
    <w:rsid w:val="00CC11DD"/>
    <w:rsid w:val="00CC12A1"/>
    <w:rsid w:val="00CC1469"/>
    <w:rsid w:val="00CC1C1A"/>
    <w:rsid w:val="00CC2820"/>
    <w:rsid w:val="00CC296B"/>
    <w:rsid w:val="00CC2E9D"/>
    <w:rsid w:val="00CC342D"/>
    <w:rsid w:val="00CC369B"/>
    <w:rsid w:val="00CC41DD"/>
    <w:rsid w:val="00CC46AA"/>
    <w:rsid w:val="00CC47B0"/>
    <w:rsid w:val="00CC4B60"/>
    <w:rsid w:val="00CC4C91"/>
    <w:rsid w:val="00CC4D5B"/>
    <w:rsid w:val="00CC5665"/>
    <w:rsid w:val="00CC5A69"/>
    <w:rsid w:val="00CC6682"/>
    <w:rsid w:val="00CC6977"/>
    <w:rsid w:val="00CC6C7B"/>
    <w:rsid w:val="00CC71AB"/>
    <w:rsid w:val="00CC7C47"/>
    <w:rsid w:val="00CD0D77"/>
    <w:rsid w:val="00CD0FB3"/>
    <w:rsid w:val="00CD139C"/>
    <w:rsid w:val="00CD1816"/>
    <w:rsid w:val="00CD1B95"/>
    <w:rsid w:val="00CD1BDF"/>
    <w:rsid w:val="00CD1E04"/>
    <w:rsid w:val="00CD25F6"/>
    <w:rsid w:val="00CD2B5B"/>
    <w:rsid w:val="00CD3593"/>
    <w:rsid w:val="00CD3604"/>
    <w:rsid w:val="00CD3909"/>
    <w:rsid w:val="00CD435D"/>
    <w:rsid w:val="00CD498F"/>
    <w:rsid w:val="00CD4B8D"/>
    <w:rsid w:val="00CD4BB1"/>
    <w:rsid w:val="00CD4EB7"/>
    <w:rsid w:val="00CD5175"/>
    <w:rsid w:val="00CD550C"/>
    <w:rsid w:val="00CD5CB0"/>
    <w:rsid w:val="00CD5E5D"/>
    <w:rsid w:val="00CD62C6"/>
    <w:rsid w:val="00CD6440"/>
    <w:rsid w:val="00CD6529"/>
    <w:rsid w:val="00CD65E9"/>
    <w:rsid w:val="00CD6BD0"/>
    <w:rsid w:val="00CD6F3E"/>
    <w:rsid w:val="00CD77EA"/>
    <w:rsid w:val="00CE09C2"/>
    <w:rsid w:val="00CE0A59"/>
    <w:rsid w:val="00CE0A95"/>
    <w:rsid w:val="00CE0CE4"/>
    <w:rsid w:val="00CE0D8E"/>
    <w:rsid w:val="00CE0E56"/>
    <w:rsid w:val="00CE10A4"/>
    <w:rsid w:val="00CE17DD"/>
    <w:rsid w:val="00CE1A52"/>
    <w:rsid w:val="00CE1FF3"/>
    <w:rsid w:val="00CE219F"/>
    <w:rsid w:val="00CE2448"/>
    <w:rsid w:val="00CE2B87"/>
    <w:rsid w:val="00CE2FA5"/>
    <w:rsid w:val="00CE2FF0"/>
    <w:rsid w:val="00CE3322"/>
    <w:rsid w:val="00CE3773"/>
    <w:rsid w:val="00CE3ECB"/>
    <w:rsid w:val="00CE420A"/>
    <w:rsid w:val="00CE4780"/>
    <w:rsid w:val="00CE492B"/>
    <w:rsid w:val="00CE5078"/>
    <w:rsid w:val="00CE5087"/>
    <w:rsid w:val="00CE5208"/>
    <w:rsid w:val="00CE5938"/>
    <w:rsid w:val="00CE5BC9"/>
    <w:rsid w:val="00CE6922"/>
    <w:rsid w:val="00CE720B"/>
    <w:rsid w:val="00CE7505"/>
    <w:rsid w:val="00CE7642"/>
    <w:rsid w:val="00CE7927"/>
    <w:rsid w:val="00CE7FCD"/>
    <w:rsid w:val="00CF05D5"/>
    <w:rsid w:val="00CF0E55"/>
    <w:rsid w:val="00CF0FBD"/>
    <w:rsid w:val="00CF17A6"/>
    <w:rsid w:val="00CF18D2"/>
    <w:rsid w:val="00CF1941"/>
    <w:rsid w:val="00CF1C7B"/>
    <w:rsid w:val="00CF263B"/>
    <w:rsid w:val="00CF294E"/>
    <w:rsid w:val="00CF29B6"/>
    <w:rsid w:val="00CF2A1A"/>
    <w:rsid w:val="00CF2ACE"/>
    <w:rsid w:val="00CF2B8F"/>
    <w:rsid w:val="00CF2C34"/>
    <w:rsid w:val="00CF3446"/>
    <w:rsid w:val="00CF3507"/>
    <w:rsid w:val="00CF3526"/>
    <w:rsid w:val="00CF3E93"/>
    <w:rsid w:val="00CF5012"/>
    <w:rsid w:val="00CF5647"/>
    <w:rsid w:val="00CF5AA9"/>
    <w:rsid w:val="00CF6208"/>
    <w:rsid w:val="00CF660D"/>
    <w:rsid w:val="00CF692D"/>
    <w:rsid w:val="00CF6BD3"/>
    <w:rsid w:val="00CF7110"/>
    <w:rsid w:val="00CF7220"/>
    <w:rsid w:val="00CF722A"/>
    <w:rsid w:val="00CF739C"/>
    <w:rsid w:val="00CF7630"/>
    <w:rsid w:val="00CF7788"/>
    <w:rsid w:val="00CF7BBE"/>
    <w:rsid w:val="00D00D39"/>
    <w:rsid w:val="00D00D87"/>
    <w:rsid w:val="00D0155A"/>
    <w:rsid w:val="00D017A4"/>
    <w:rsid w:val="00D01907"/>
    <w:rsid w:val="00D01FC0"/>
    <w:rsid w:val="00D02619"/>
    <w:rsid w:val="00D02945"/>
    <w:rsid w:val="00D02B57"/>
    <w:rsid w:val="00D02CE3"/>
    <w:rsid w:val="00D032E1"/>
    <w:rsid w:val="00D033A4"/>
    <w:rsid w:val="00D036D7"/>
    <w:rsid w:val="00D03AEC"/>
    <w:rsid w:val="00D04478"/>
    <w:rsid w:val="00D04546"/>
    <w:rsid w:val="00D046B5"/>
    <w:rsid w:val="00D04A4E"/>
    <w:rsid w:val="00D04AE8"/>
    <w:rsid w:val="00D052AB"/>
    <w:rsid w:val="00D0533D"/>
    <w:rsid w:val="00D054DD"/>
    <w:rsid w:val="00D05800"/>
    <w:rsid w:val="00D05BF2"/>
    <w:rsid w:val="00D05C53"/>
    <w:rsid w:val="00D061B4"/>
    <w:rsid w:val="00D0637F"/>
    <w:rsid w:val="00D0662D"/>
    <w:rsid w:val="00D06785"/>
    <w:rsid w:val="00D067B0"/>
    <w:rsid w:val="00D0687B"/>
    <w:rsid w:val="00D076BB"/>
    <w:rsid w:val="00D077F3"/>
    <w:rsid w:val="00D079CC"/>
    <w:rsid w:val="00D07A42"/>
    <w:rsid w:val="00D07C57"/>
    <w:rsid w:val="00D10061"/>
    <w:rsid w:val="00D104DD"/>
    <w:rsid w:val="00D104E3"/>
    <w:rsid w:val="00D1089C"/>
    <w:rsid w:val="00D10A4D"/>
    <w:rsid w:val="00D10BE4"/>
    <w:rsid w:val="00D10C04"/>
    <w:rsid w:val="00D11029"/>
    <w:rsid w:val="00D11557"/>
    <w:rsid w:val="00D11784"/>
    <w:rsid w:val="00D11C2D"/>
    <w:rsid w:val="00D120DA"/>
    <w:rsid w:val="00D121FA"/>
    <w:rsid w:val="00D1272F"/>
    <w:rsid w:val="00D12B98"/>
    <w:rsid w:val="00D12FC5"/>
    <w:rsid w:val="00D13021"/>
    <w:rsid w:val="00D13AD2"/>
    <w:rsid w:val="00D13B7E"/>
    <w:rsid w:val="00D13B91"/>
    <w:rsid w:val="00D13E64"/>
    <w:rsid w:val="00D13FFE"/>
    <w:rsid w:val="00D14B98"/>
    <w:rsid w:val="00D14F87"/>
    <w:rsid w:val="00D1526E"/>
    <w:rsid w:val="00D1559D"/>
    <w:rsid w:val="00D158D8"/>
    <w:rsid w:val="00D15DD9"/>
    <w:rsid w:val="00D160B8"/>
    <w:rsid w:val="00D164A3"/>
    <w:rsid w:val="00D165C4"/>
    <w:rsid w:val="00D166DA"/>
    <w:rsid w:val="00D16C91"/>
    <w:rsid w:val="00D16E78"/>
    <w:rsid w:val="00D16EAF"/>
    <w:rsid w:val="00D170CB"/>
    <w:rsid w:val="00D1712F"/>
    <w:rsid w:val="00D171B2"/>
    <w:rsid w:val="00D174FE"/>
    <w:rsid w:val="00D1763A"/>
    <w:rsid w:val="00D1786F"/>
    <w:rsid w:val="00D17A79"/>
    <w:rsid w:val="00D17AC2"/>
    <w:rsid w:val="00D17AF1"/>
    <w:rsid w:val="00D17D2A"/>
    <w:rsid w:val="00D17DAC"/>
    <w:rsid w:val="00D17F9C"/>
    <w:rsid w:val="00D20700"/>
    <w:rsid w:val="00D207D8"/>
    <w:rsid w:val="00D20A1E"/>
    <w:rsid w:val="00D20FD4"/>
    <w:rsid w:val="00D21187"/>
    <w:rsid w:val="00D212BF"/>
    <w:rsid w:val="00D2131D"/>
    <w:rsid w:val="00D214DE"/>
    <w:rsid w:val="00D21523"/>
    <w:rsid w:val="00D219CE"/>
    <w:rsid w:val="00D21A24"/>
    <w:rsid w:val="00D221F8"/>
    <w:rsid w:val="00D23263"/>
    <w:rsid w:val="00D2345B"/>
    <w:rsid w:val="00D237E2"/>
    <w:rsid w:val="00D23A6F"/>
    <w:rsid w:val="00D24145"/>
    <w:rsid w:val="00D24191"/>
    <w:rsid w:val="00D24665"/>
    <w:rsid w:val="00D2467B"/>
    <w:rsid w:val="00D2483C"/>
    <w:rsid w:val="00D24968"/>
    <w:rsid w:val="00D24A97"/>
    <w:rsid w:val="00D2501F"/>
    <w:rsid w:val="00D251C5"/>
    <w:rsid w:val="00D25307"/>
    <w:rsid w:val="00D2539C"/>
    <w:rsid w:val="00D253F2"/>
    <w:rsid w:val="00D254E9"/>
    <w:rsid w:val="00D255CF"/>
    <w:rsid w:val="00D255ED"/>
    <w:rsid w:val="00D25C51"/>
    <w:rsid w:val="00D2678E"/>
    <w:rsid w:val="00D26863"/>
    <w:rsid w:val="00D2694C"/>
    <w:rsid w:val="00D271C9"/>
    <w:rsid w:val="00D2730F"/>
    <w:rsid w:val="00D276BB"/>
    <w:rsid w:val="00D27853"/>
    <w:rsid w:val="00D278AC"/>
    <w:rsid w:val="00D301A2"/>
    <w:rsid w:val="00D30AE0"/>
    <w:rsid w:val="00D30AE8"/>
    <w:rsid w:val="00D30BB3"/>
    <w:rsid w:val="00D30FAA"/>
    <w:rsid w:val="00D3114C"/>
    <w:rsid w:val="00D31687"/>
    <w:rsid w:val="00D32155"/>
    <w:rsid w:val="00D3239C"/>
    <w:rsid w:val="00D3296E"/>
    <w:rsid w:val="00D3307C"/>
    <w:rsid w:val="00D331A9"/>
    <w:rsid w:val="00D331F1"/>
    <w:rsid w:val="00D33581"/>
    <w:rsid w:val="00D33AC0"/>
    <w:rsid w:val="00D3434A"/>
    <w:rsid w:val="00D34379"/>
    <w:rsid w:val="00D34FB1"/>
    <w:rsid w:val="00D350AF"/>
    <w:rsid w:val="00D35339"/>
    <w:rsid w:val="00D358BB"/>
    <w:rsid w:val="00D35EFE"/>
    <w:rsid w:val="00D36107"/>
    <w:rsid w:val="00D36132"/>
    <w:rsid w:val="00D36A87"/>
    <w:rsid w:val="00D36C99"/>
    <w:rsid w:val="00D37058"/>
    <w:rsid w:val="00D376CF"/>
    <w:rsid w:val="00D37BDE"/>
    <w:rsid w:val="00D37F37"/>
    <w:rsid w:val="00D40063"/>
    <w:rsid w:val="00D40B8D"/>
    <w:rsid w:val="00D40D1B"/>
    <w:rsid w:val="00D41040"/>
    <w:rsid w:val="00D411B3"/>
    <w:rsid w:val="00D4131F"/>
    <w:rsid w:val="00D413EC"/>
    <w:rsid w:val="00D41BDF"/>
    <w:rsid w:val="00D41C99"/>
    <w:rsid w:val="00D41D11"/>
    <w:rsid w:val="00D41E44"/>
    <w:rsid w:val="00D42591"/>
    <w:rsid w:val="00D4312C"/>
    <w:rsid w:val="00D433C8"/>
    <w:rsid w:val="00D4402D"/>
    <w:rsid w:val="00D44034"/>
    <w:rsid w:val="00D440A8"/>
    <w:rsid w:val="00D44136"/>
    <w:rsid w:val="00D4421B"/>
    <w:rsid w:val="00D447BF"/>
    <w:rsid w:val="00D4493A"/>
    <w:rsid w:val="00D450BB"/>
    <w:rsid w:val="00D4542C"/>
    <w:rsid w:val="00D45F34"/>
    <w:rsid w:val="00D460B8"/>
    <w:rsid w:val="00D462E4"/>
    <w:rsid w:val="00D4689C"/>
    <w:rsid w:val="00D472FC"/>
    <w:rsid w:val="00D473AE"/>
    <w:rsid w:val="00D50510"/>
    <w:rsid w:val="00D50DED"/>
    <w:rsid w:val="00D511DD"/>
    <w:rsid w:val="00D5145C"/>
    <w:rsid w:val="00D516AB"/>
    <w:rsid w:val="00D51AF8"/>
    <w:rsid w:val="00D5282D"/>
    <w:rsid w:val="00D52E71"/>
    <w:rsid w:val="00D5302B"/>
    <w:rsid w:val="00D5380F"/>
    <w:rsid w:val="00D53815"/>
    <w:rsid w:val="00D540FA"/>
    <w:rsid w:val="00D54599"/>
    <w:rsid w:val="00D54D41"/>
    <w:rsid w:val="00D551FD"/>
    <w:rsid w:val="00D55561"/>
    <w:rsid w:val="00D55B36"/>
    <w:rsid w:val="00D55CAA"/>
    <w:rsid w:val="00D55CED"/>
    <w:rsid w:val="00D563CC"/>
    <w:rsid w:val="00D5678D"/>
    <w:rsid w:val="00D56A30"/>
    <w:rsid w:val="00D56CA6"/>
    <w:rsid w:val="00D5794B"/>
    <w:rsid w:val="00D57A61"/>
    <w:rsid w:val="00D57C03"/>
    <w:rsid w:val="00D57F7A"/>
    <w:rsid w:val="00D60077"/>
    <w:rsid w:val="00D601E6"/>
    <w:rsid w:val="00D60296"/>
    <w:rsid w:val="00D60DE4"/>
    <w:rsid w:val="00D60E3E"/>
    <w:rsid w:val="00D6125B"/>
    <w:rsid w:val="00D61583"/>
    <w:rsid w:val="00D61F26"/>
    <w:rsid w:val="00D6224C"/>
    <w:rsid w:val="00D622F2"/>
    <w:rsid w:val="00D6239D"/>
    <w:rsid w:val="00D62412"/>
    <w:rsid w:val="00D62613"/>
    <w:rsid w:val="00D6267B"/>
    <w:rsid w:val="00D634B7"/>
    <w:rsid w:val="00D635A7"/>
    <w:rsid w:val="00D63938"/>
    <w:rsid w:val="00D63D8D"/>
    <w:rsid w:val="00D63EEE"/>
    <w:rsid w:val="00D6438E"/>
    <w:rsid w:val="00D6441B"/>
    <w:rsid w:val="00D647A5"/>
    <w:rsid w:val="00D647B3"/>
    <w:rsid w:val="00D649DE"/>
    <w:rsid w:val="00D64D7A"/>
    <w:rsid w:val="00D64E6F"/>
    <w:rsid w:val="00D65148"/>
    <w:rsid w:val="00D65430"/>
    <w:rsid w:val="00D65C6F"/>
    <w:rsid w:val="00D66130"/>
    <w:rsid w:val="00D66A2A"/>
    <w:rsid w:val="00D66ADA"/>
    <w:rsid w:val="00D67515"/>
    <w:rsid w:val="00D67AD0"/>
    <w:rsid w:val="00D67C6B"/>
    <w:rsid w:val="00D67CAC"/>
    <w:rsid w:val="00D70C0A"/>
    <w:rsid w:val="00D717BB"/>
    <w:rsid w:val="00D718B4"/>
    <w:rsid w:val="00D71D41"/>
    <w:rsid w:val="00D7226F"/>
    <w:rsid w:val="00D722F2"/>
    <w:rsid w:val="00D72391"/>
    <w:rsid w:val="00D7279E"/>
    <w:rsid w:val="00D727F1"/>
    <w:rsid w:val="00D72902"/>
    <w:rsid w:val="00D72D42"/>
    <w:rsid w:val="00D73795"/>
    <w:rsid w:val="00D738D4"/>
    <w:rsid w:val="00D73926"/>
    <w:rsid w:val="00D73AE7"/>
    <w:rsid w:val="00D73B6D"/>
    <w:rsid w:val="00D74197"/>
    <w:rsid w:val="00D74352"/>
    <w:rsid w:val="00D74913"/>
    <w:rsid w:val="00D74EF0"/>
    <w:rsid w:val="00D752C0"/>
    <w:rsid w:val="00D755EE"/>
    <w:rsid w:val="00D75740"/>
    <w:rsid w:val="00D75B73"/>
    <w:rsid w:val="00D75DFA"/>
    <w:rsid w:val="00D76007"/>
    <w:rsid w:val="00D76A39"/>
    <w:rsid w:val="00D76FBD"/>
    <w:rsid w:val="00D77217"/>
    <w:rsid w:val="00D77582"/>
    <w:rsid w:val="00D77F02"/>
    <w:rsid w:val="00D801C7"/>
    <w:rsid w:val="00D80359"/>
    <w:rsid w:val="00D80BB0"/>
    <w:rsid w:val="00D80CC9"/>
    <w:rsid w:val="00D80ECF"/>
    <w:rsid w:val="00D80FF9"/>
    <w:rsid w:val="00D8148B"/>
    <w:rsid w:val="00D8184C"/>
    <w:rsid w:val="00D82110"/>
    <w:rsid w:val="00D823E4"/>
    <w:rsid w:val="00D8245C"/>
    <w:rsid w:val="00D82472"/>
    <w:rsid w:val="00D82AAF"/>
    <w:rsid w:val="00D82D73"/>
    <w:rsid w:val="00D83081"/>
    <w:rsid w:val="00D83A5E"/>
    <w:rsid w:val="00D8434E"/>
    <w:rsid w:val="00D84418"/>
    <w:rsid w:val="00D84527"/>
    <w:rsid w:val="00D84B36"/>
    <w:rsid w:val="00D84D13"/>
    <w:rsid w:val="00D84E86"/>
    <w:rsid w:val="00D8514E"/>
    <w:rsid w:val="00D85D8D"/>
    <w:rsid w:val="00D86127"/>
    <w:rsid w:val="00D8618C"/>
    <w:rsid w:val="00D862A5"/>
    <w:rsid w:val="00D8705E"/>
    <w:rsid w:val="00D871A8"/>
    <w:rsid w:val="00D877B9"/>
    <w:rsid w:val="00D901B9"/>
    <w:rsid w:val="00D90718"/>
    <w:rsid w:val="00D90961"/>
    <w:rsid w:val="00D90A7E"/>
    <w:rsid w:val="00D90D3F"/>
    <w:rsid w:val="00D90DAB"/>
    <w:rsid w:val="00D90E3F"/>
    <w:rsid w:val="00D911C5"/>
    <w:rsid w:val="00D912CC"/>
    <w:rsid w:val="00D915E4"/>
    <w:rsid w:val="00D915EC"/>
    <w:rsid w:val="00D9162B"/>
    <w:rsid w:val="00D917C7"/>
    <w:rsid w:val="00D91EAA"/>
    <w:rsid w:val="00D921F8"/>
    <w:rsid w:val="00D925B0"/>
    <w:rsid w:val="00D92AA1"/>
    <w:rsid w:val="00D92E04"/>
    <w:rsid w:val="00D93C62"/>
    <w:rsid w:val="00D948E4"/>
    <w:rsid w:val="00D94BE4"/>
    <w:rsid w:val="00D953CC"/>
    <w:rsid w:val="00D953FD"/>
    <w:rsid w:val="00D95578"/>
    <w:rsid w:val="00D9568C"/>
    <w:rsid w:val="00D9623F"/>
    <w:rsid w:val="00D96415"/>
    <w:rsid w:val="00D9648C"/>
    <w:rsid w:val="00D964C0"/>
    <w:rsid w:val="00D9660B"/>
    <w:rsid w:val="00D966FB"/>
    <w:rsid w:val="00D96BC1"/>
    <w:rsid w:val="00D96C63"/>
    <w:rsid w:val="00D96CD6"/>
    <w:rsid w:val="00D96EB1"/>
    <w:rsid w:val="00D9718F"/>
    <w:rsid w:val="00D971BC"/>
    <w:rsid w:val="00D972D1"/>
    <w:rsid w:val="00D97347"/>
    <w:rsid w:val="00D973CF"/>
    <w:rsid w:val="00DA0018"/>
    <w:rsid w:val="00DA0497"/>
    <w:rsid w:val="00DA0678"/>
    <w:rsid w:val="00DA0ABF"/>
    <w:rsid w:val="00DA0CDD"/>
    <w:rsid w:val="00DA1133"/>
    <w:rsid w:val="00DA1223"/>
    <w:rsid w:val="00DA1A47"/>
    <w:rsid w:val="00DA1C12"/>
    <w:rsid w:val="00DA2661"/>
    <w:rsid w:val="00DA2864"/>
    <w:rsid w:val="00DA2FAF"/>
    <w:rsid w:val="00DA356B"/>
    <w:rsid w:val="00DA3584"/>
    <w:rsid w:val="00DA3719"/>
    <w:rsid w:val="00DA39AF"/>
    <w:rsid w:val="00DA3A1D"/>
    <w:rsid w:val="00DA41D7"/>
    <w:rsid w:val="00DA4322"/>
    <w:rsid w:val="00DA49C7"/>
    <w:rsid w:val="00DA4BA5"/>
    <w:rsid w:val="00DA4C65"/>
    <w:rsid w:val="00DA5E25"/>
    <w:rsid w:val="00DA5F3B"/>
    <w:rsid w:val="00DA5FC3"/>
    <w:rsid w:val="00DA6004"/>
    <w:rsid w:val="00DA6122"/>
    <w:rsid w:val="00DA68C4"/>
    <w:rsid w:val="00DA6DB6"/>
    <w:rsid w:val="00DA7E90"/>
    <w:rsid w:val="00DB006F"/>
    <w:rsid w:val="00DB04A8"/>
    <w:rsid w:val="00DB0659"/>
    <w:rsid w:val="00DB0851"/>
    <w:rsid w:val="00DB0B74"/>
    <w:rsid w:val="00DB1447"/>
    <w:rsid w:val="00DB2612"/>
    <w:rsid w:val="00DB2745"/>
    <w:rsid w:val="00DB28C9"/>
    <w:rsid w:val="00DB2B5E"/>
    <w:rsid w:val="00DB334F"/>
    <w:rsid w:val="00DB33AC"/>
    <w:rsid w:val="00DB36B3"/>
    <w:rsid w:val="00DB36D3"/>
    <w:rsid w:val="00DB3EB7"/>
    <w:rsid w:val="00DB3F79"/>
    <w:rsid w:val="00DB410A"/>
    <w:rsid w:val="00DB41E6"/>
    <w:rsid w:val="00DB46E1"/>
    <w:rsid w:val="00DB4A63"/>
    <w:rsid w:val="00DB5596"/>
    <w:rsid w:val="00DB5C18"/>
    <w:rsid w:val="00DB5C7A"/>
    <w:rsid w:val="00DB5CE6"/>
    <w:rsid w:val="00DB5F08"/>
    <w:rsid w:val="00DB6073"/>
    <w:rsid w:val="00DB60D5"/>
    <w:rsid w:val="00DB6122"/>
    <w:rsid w:val="00DB627F"/>
    <w:rsid w:val="00DB6463"/>
    <w:rsid w:val="00DB66D5"/>
    <w:rsid w:val="00DB6ADD"/>
    <w:rsid w:val="00DB7236"/>
    <w:rsid w:val="00DB7E87"/>
    <w:rsid w:val="00DC00C5"/>
    <w:rsid w:val="00DC0C44"/>
    <w:rsid w:val="00DC1550"/>
    <w:rsid w:val="00DC199A"/>
    <w:rsid w:val="00DC19D3"/>
    <w:rsid w:val="00DC2068"/>
    <w:rsid w:val="00DC231A"/>
    <w:rsid w:val="00DC2675"/>
    <w:rsid w:val="00DC2757"/>
    <w:rsid w:val="00DC28E0"/>
    <w:rsid w:val="00DC2CF9"/>
    <w:rsid w:val="00DC2E05"/>
    <w:rsid w:val="00DC2EF5"/>
    <w:rsid w:val="00DC2F7A"/>
    <w:rsid w:val="00DC30FF"/>
    <w:rsid w:val="00DC3147"/>
    <w:rsid w:val="00DC33A5"/>
    <w:rsid w:val="00DC342A"/>
    <w:rsid w:val="00DC3582"/>
    <w:rsid w:val="00DC3B80"/>
    <w:rsid w:val="00DC4385"/>
    <w:rsid w:val="00DC456C"/>
    <w:rsid w:val="00DC4CA6"/>
    <w:rsid w:val="00DC4DE8"/>
    <w:rsid w:val="00DC5174"/>
    <w:rsid w:val="00DC5C23"/>
    <w:rsid w:val="00DC60CC"/>
    <w:rsid w:val="00DC6786"/>
    <w:rsid w:val="00DC6E69"/>
    <w:rsid w:val="00DC725F"/>
    <w:rsid w:val="00DC727A"/>
    <w:rsid w:val="00DC73DA"/>
    <w:rsid w:val="00DC78E1"/>
    <w:rsid w:val="00DC7D98"/>
    <w:rsid w:val="00DC7E68"/>
    <w:rsid w:val="00DD0368"/>
    <w:rsid w:val="00DD0860"/>
    <w:rsid w:val="00DD0FCD"/>
    <w:rsid w:val="00DD10AF"/>
    <w:rsid w:val="00DD17BD"/>
    <w:rsid w:val="00DD1A35"/>
    <w:rsid w:val="00DD1C41"/>
    <w:rsid w:val="00DD1EEF"/>
    <w:rsid w:val="00DD1F82"/>
    <w:rsid w:val="00DD256F"/>
    <w:rsid w:val="00DD2B35"/>
    <w:rsid w:val="00DD2D0E"/>
    <w:rsid w:val="00DD2D6B"/>
    <w:rsid w:val="00DD401E"/>
    <w:rsid w:val="00DD47C9"/>
    <w:rsid w:val="00DD4A14"/>
    <w:rsid w:val="00DD4AB7"/>
    <w:rsid w:val="00DD50C0"/>
    <w:rsid w:val="00DD5E51"/>
    <w:rsid w:val="00DD63C8"/>
    <w:rsid w:val="00DD63CD"/>
    <w:rsid w:val="00DD6BDF"/>
    <w:rsid w:val="00DD6D0E"/>
    <w:rsid w:val="00DD76EF"/>
    <w:rsid w:val="00DE0386"/>
    <w:rsid w:val="00DE0635"/>
    <w:rsid w:val="00DE0C0B"/>
    <w:rsid w:val="00DE1136"/>
    <w:rsid w:val="00DE1186"/>
    <w:rsid w:val="00DE120C"/>
    <w:rsid w:val="00DE19FA"/>
    <w:rsid w:val="00DE2320"/>
    <w:rsid w:val="00DE2958"/>
    <w:rsid w:val="00DE2AD2"/>
    <w:rsid w:val="00DE2D50"/>
    <w:rsid w:val="00DE2F92"/>
    <w:rsid w:val="00DE367F"/>
    <w:rsid w:val="00DE38AB"/>
    <w:rsid w:val="00DE3EE9"/>
    <w:rsid w:val="00DE4318"/>
    <w:rsid w:val="00DE476D"/>
    <w:rsid w:val="00DE5ABB"/>
    <w:rsid w:val="00DE64CA"/>
    <w:rsid w:val="00DE6649"/>
    <w:rsid w:val="00DE6A0E"/>
    <w:rsid w:val="00DE6F58"/>
    <w:rsid w:val="00DE7174"/>
    <w:rsid w:val="00DE7190"/>
    <w:rsid w:val="00DE7306"/>
    <w:rsid w:val="00DE788D"/>
    <w:rsid w:val="00DE79BA"/>
    <w:rsid w:val="00DE7CAA"/>
    <w:rsid w:val="00DE7D84"/>
    <w:rsid w:val="00DE7DEE"/>
    <w:rsid w:val="00DE7E8A"/>
    <w:rsid w:val="00DF019D"/>
    <w:rsid w:val="00DF0206"/>
    <w:rsid w:val="00DF02AD"/>
    <w:rsid w:val="00DF12C9"/>
    <w:rsid w:val="00DF13E0"/>
    <w:rsid w:val="00DF1677"/>
    <w:rsid w:val="00DF16F9"/>
    <w:rsid w:val="00DF17C4"/>
    <w:rsid w:val="00DF2375"/>
    <w:rsid w:val="00DF271C"/>
    <w:rsid w:val="00DF273A"/>
    <w:rsid w:val="00DF2791"/>
    <w:rsid w:val="00DF279B"/>
    <w:rsid w:val="00DF2941"/>
    <w:rsid w:val="00DF2CBB"/>
    <w:rsid w:val="00DF2FEE"/>
    <w:rsid w:val="00DF35AC"/>
    <w:rsid w:val="00DF35B5"/>
    <w:rsid w:val="00DF3CEC"/>
    <w:rsid w:val="00DF3F04"/>
    <w:rsid w:val="00DF3F7E"/>
    <w:rsid w:val="00DF41D0"/>
    <w:rsid w:val="00DF44F1"/>
    <w:rsid w:val="00DF4698"/>
    <w:rsid w:val="00DF4808"/>
    <w:rsid w:val="00DF4B4F"/>
    <w:rsid w:val="00DF4E30"/>
    <w:rsid w:val="00DF54BA"/>
    <w:rsid w:val="00DF56C1"/>
    <w:rsid w:val="00DF583C"/>
    <w:rsid w:val="00DF596D"/>
    <w:rsid w:val="00DF5A38"/>
    <w:rsid w:val="00DF5D0E"/>
    <w:rsid w:val="00DF5FA9"/>
    <w:rsid w:val="00DF60FF"/>
    <w:rsid w:val="00DF6603"/>
    <w:rsid w:val="00DF6660"/>
    <w:rsid w:val="00DF666E"/>
    <w:rsid w:val="00DF6A01"/>
    <w:rsid w:val="00DF73AB"/>
    <w:rsid w:val="00E00098"/>
    <w:rsid w:val="00E00733"/>
    <w:rsid w:val="00E00749"/>
    <w:rsid w:val="00E00863"/>
    <w:rsid w:val="00E00C2D"/>
    <w:rsid w:val="00E00F61"/>
    <w:rsid w:val="00E0145F"/>
    <w:rsid w:val="00E01461"/>
    <w:rsid w:val="00E014D4"/>
    <w:rsid w:val="00E01786"/>
    <w:rsid w:val="00E01AD6"/>
    <w:rsid w:val="00E01BB0"/>
    <w:rsid w:val="00E01DD4"/>
    <w:rsid w:val="00E01F91"/>
    <w:rsid w:val="00E02134"/>
    <w:rsid w:val="00E021BF"/>
    <w:rsid w:val="00E0272B"/>
    <w:rsid w:val="00E027CF"/>
    <w:rsid w:val="00E02C34"/>
    <w:rsid w:val="00E03C28"/>
    <w:rsid w:val="00E03CB6"/>
    <w:rsid w:val="00E04537"/>
    <w:rsid w:val="00E045E4"/>
    <w:rsid w:val="00E047AF"/>
    <w:rsid w:val="00E04AFE"/>
    <w:rsid w:val="00E04BC8"/>
    <w:rsid w:val="00E04C46"/>
    <w:rsid w:val="00E04FAA"/>
    <w:rsid w:val="00E05080"/>
    <w:rsid w:val="00E0561E"/>
    <w:rsid w:val="00E0574C"/>
    <w:rsid w:val="00E05880"/>
    <w:rsid w:val="00E063AC"/>
    <w:rsid w:val="00E06615"/>
    <w:rsid w:val="00E06FCB"/>
    <w:rsid w:val="00E07227"/>
    <w:rsid w:val="00E07CCC"/>
    <w:rsid w:val="00E1002E"/>
    <w:rsid w:val="00E1005D"/>
    <w:rsid w:val="00E10711"/>
    <w:rsid w:val="00E11264"/>
    <w:rsid w:val="00E116D2"/>
    <w:rsid w:val="00E118A2"/>
    <w:rsid w:val="00E11FC1"/>
    <w:rsid w:val="00E121A1"/>
    <w:rsid w:val="00E1246E"/>
    <w:rsid w:val="00E12579"/>
    <w:rsid w:val="00E125D4"/>
    <w:rsid w:val="00E128FD"/>
    <w:rsid w:val="00E12BA1"/>
    <w:rsid w:val="00E12C60"/>
    <w:rsid w:val="00E12F98"/>
    <w:rsid w:val="00E1301E"/>
    <w:rsid w:val="00E132E7"/>
    <w:rsid w:val="00E134BB"/>
    <w:rsid w:val="00E138F6"/>
    <w:rsid w:val="00E141A4"/>
    <w:rsid w:val="00E14302"/>
    <w:rsid w:val="00E14D8B"/>
    <w:rsid w:val="00E15851"/>
    <w:rsid w:val="00E15AB8"/>
    <w:rsid w:val="00E160D6"/>
    <w:rsid w:val="00E16109"/>
    <w:rsid w:val="00E16427"/>
    <w:rsid w:val="00E16D08"/>
    <w:rsid w:val="00E170BD"/>
    <w:rsid w:val="00E17ED4"/>
    <w:rsid w:val="00E20BBC"/>
    <w:rsid w:val="00E20CB9"/>
    <w:rsid w:val="00E20E9A"/>
    <w:rsid w:val="00E21D2B"/>
    <w:rsid w:val="00E21E83"/>
    <w:rsid w:val="00E22433"/>
    <w:rsid w:val="00E232E9"/>
    <w:rsid w:val="00E2392C"/>
    <w:rsid w:val="00E23FA5"/>
    <w:rsid w:val="00E2432B"/>
    <w:rsid w:val="00E243D5"/>
    <w:rsid w:val="00E24790"/>
    <w:rsid w:val="00E24C59"/>
    <w:rsid w:val="00E24E26"/>
    <w:rsid w:val="00E24F16"/>
    <w:rsid w:val="00E25371"/>
    <w:rsid w:val="00E254E6"/>
    <w:rsid w:val="00E25819"/>
    <w:rsid w:val="00E25B68"/>
    <w:rsid w:val="00E2616E"/>
    <w:rsid w:val="00E261B2"/>
    <w:rsid w:val="00E26254"/>
    <w:rsid w:val="00E2651F"/>
    <w:rsid w:val="00E269D1"/>
    <w:rsid w:val="00E26C03"/>
    <w:rsid w:val="00E26CDF"/>
    <w:rsid w:val="00E27D34"/>
    <w:rsid w:val="00E307B5"/>
    <w:rsid w:val="00E30A6F"/>
    <w:rsid w:val="00E30C61"/>
    <w:rsid w:val="00E30F62"/>
    <w:rsid w:val="00E30F75"/>
    <w:rsid w:val="00E31725"/>
    <w:rsid w:val="00E318E6"/>
    <w:rsid w:val="00E319A3"/>
    <w:rsid w:val="00E31AF9"/>
    <w:rsid w:val="00E31B50"/>
    <w:rsid w:val="00E32294"/>
    <w:rsid w:val="00E32699"/>
    <w:rsid w:val="00E32E2C"/>
    <w:rsid w:val="00E3309D"/>
    <w:rsid w:val="00E33140"/>
    <w:rsid w:val="00E336F1"/>
    <w:rsid w:val="00E33BD8"/>
    <w:rsid w:val="00E33C8A"/>
    <w:rsid w:val="00E33E29"/>
    <w:rsid w:val="00E33F61"/>
    <w:rsid w:val="00E34480"/>
    <w:rsid w:val="00E34E25"/>
    <w:rsid w:val="00E3530F"/>
    <w:rsid w:val="00E35484"/>
    <w:rsid w:val="00E36708"/>
    <w:rsid w:val="00E36B77"/>
    <w:rsid w:val="00E36F20"/>
    <w:rsid w:val="00E37307"/>
    <w:rsid w:val="00E37A4F"/>
    <w:rsid w:val="00E37D9F"/>
    <w:rsid w:val="00E37DEB"/>
    <w:rsid w:val="00E40630"/>
    <w:rsid w:val="00E407DE"/>
    <w:rsid w:val="00E40A22"/>
    <w:rsid w:val="00E40CEE"/>
    <w:rsid w:val="00E40DAD"/>
    <w:rsid w:val="00E4167D"/>
    <w:rsid w:val="00E41853"/>
    <w:rsid w:val="00E418FF"/>
    <w:rsid w:val="00E41923"/>
    <w:rsid w:val="00E42757"/>
    <w:rsid w:val="00E42AC8"/>
    <w:rsid w:val="00E42B53"/>
    <w:rsid w:val="00E42BB6"/>
    <w:rsid w:val="00E42CB4"/>
    <w:rsid w:val="00E42FD6"/>
    <w:rsid w:val="00E43074"/>
    <w:rsid w:val="00E43271"/>
    <w:rsid w:val="00E43FB3"/>
    <w:rsid w:val="00E445FC"/>
    <w:rsid w:val="00E44A7C"/>
    <w:rsid w:val="00E44EE9"/>
    <w:rsid w:val="00E44F95"/>
    <w:rsid w:val="00E45721"/>
    <w:rsid w:val="00E45B61"/>
    <w:rsid w:val="00E45BBC"/>
    <w:rsid w:val="00E45DA8"/>
    <w:rsid w:val="00E45E04"/>
    <w:rsid w:val="00E45F35"/>
    <w:rsid w:val="00E46574"/>
    <w:rsid w:val="00E465AD"/>
    <w:rsid w:val="00E46AC9"/>
    <w:rsid w:val="00E47CE8"/>
    <w:rsid w:val="00E50071"/>
    <w:rsid w:val="00E50651"/>
    <w:rsid w:val="00E50A0E"/>
    <w:rsid w:val="00E50B5D"/>
    <w:rsid w:val="00E50DB2"/>
    <w:rsid w:val="00E512FB"/>
    <w:rsid w:val="00E51AFB"/>
    <w:rsid w:val="00E522B2"/>
    <w:rsid w:val="00E529C3"/>
    <w:rsid w:val="00E52B68"/>
    <w:rsid w:val="00E5340D"/>
    <w:rsid w:val="00E5363B"/>
    <w:rsid w:val="00E539DD"/>
    <w:rsid w:val="00E53A69"/>
    <w:rsid w:val="00E53DDA"/>
    <w:rsid w:val="00E54169"/>
    <w:rsid w:val="00E543E0"/>
    <w:rsid w:val="00E545C6"/>
    <w:rsid w:val="00E54AAC"/>
    <w:rsid w:val="00E54DC3"/>
    <w:rsid w:val="00E5576B"/>
    <w:rsid w:val="00E55873"/>
    <w:rsid w:val="00E5595E"/>
    <w:rsid w:val="00E55AF7"/>
    <w:rsid w:val="00E55E9A"/>
    <w:rsid w:val="00E55F17"/>
    <w:rsid w:val="00E56AA1"/>
    <w:rsid w:val="00E56B84"/>
    <w:rsid w:val="00E56F6A"/>
    <w:rsid w:val="00E57056"/>
    <w:rsid w:val="00E5764A"/>
    <w:rsid w:val="00E57777"/>
    <w:rsid w:val="00E5793B"/>
    <w:rsid w:val="00E57B75"/>
    <w:rsid w:val="00E57D64"/>
    <w:rsid w:val="00E57E87"/>
    <w:rsid w:val="00E6060B"/>
    <w:rsid w:val="00E60CDD"/>
    <w:rsid w:val="00E60CF7"/>
    <w:rsid w:val="00E60DDF"/>
    <w:rsid w:val="00E61BEC"/>
    <w:rsid w:val="00E622C3"/>
    <w:rsid w:val="00E6250E"/>
    <w:rsid w:val="00E62BE9"/>
    <w:rsid w:val="00E62F3A"/>
    <w:rsid w:val="00E632BF"/>
    <w:rsid w:val="00E640D4"/>
    <w:rsid w:val="00E6453A"/>
    <w:rsid w:val="00E648C7"/>
    <w:rsid w:val="00E649E0"/>
    <w:rsid w:val="00E64D22"/>
    <w:rsid w:val="00E64DDF"/>
    <w:rsid w:val="00E6503E"/>
    <w:rsid w:val="00E650AC"/>
    <w:rsid w:val="00E65BB4"/>
    <w:rsid w:val="00E65C6C"/>
    <w:rsid w:val="00E66931"/>
    <w:rsid w:val="00E66F88"/>
    <w:rsid w:val="00E67174"/>
    <w:rsid w:val="00E67342"/>
    <w:rsid w:val="00E67853"/>
    <w:rsid w:val="00E67ADA"/>
    <w:rsid w:val="00E67B81"/>
    <w:rsid w:val="00E67D2A"/>
    <w:rsid w:val="00E70378"/>
    <w:rsid w:val="00E705CC"/>
    <w:rsid w:val="00E7099A"/>
    <w:rsid w:val="00E70B71"/>
    <w:rsid w:val="00E70DED"/>
    <w:rsid w:val="00E71220"/>
    <w:rsid w:val="00E71602"/>
    <w:rsid w:val="00E718C9"/>
    <w:rsid w:val="00E71B05"/>
    <w:rsid w:val="00E7244E"/>
    <w:rsid w:val="00E727D2"/>
    <w:rsid w:val="00E73258"/>
    <w:rsid w:val="00E73627"/>
    <w:rsid w:val="00E73768"/>
    <w:rsid w:val="00E73A5D"/>
    <w:rsid w:val="00E7461D"/>
    <w:rsid w:val="00E747AC"/>
    <w:rsid w:val="00E7488C"/>
    <w:rsid w:val="00E74B50"/>
    <w:rsid w:val="00E754E4"/>
    <w:rsid w:val="00E7583A"/>
    <w:rsid w:val="00E759C9"/>
    <w:rsid w:val="00E75D52"/>
    <w:rsid w:val="00E75F7C"/>
    <w:rsid w:val="00E77038"/>
    <w:rsid w:val="00E77C00"/>
    <w:rsid w:val="00E77EB8"/>
    <w:rsid w:val="00E77F0A"/>
    <w:rsid w:val="00E800ED"/>
    <w:rsid w:val="00E80590"/>
    <w:rsid w:val="00E8072F"/>
    <w:rsid w:val="00E8088C"/>
    <w:rsid w:val="00E80D20"/>
    <w:rsid w:val="00E811DB"/>
    <w:rsid w:val="00E8171D"/>
    <w:rsid w:val="00E81877"/>
    <w:rsid w:val="00E81A15"/>
    <w:rsid w:val="00E81BA8"/>
    <w:rsid w:val="00E8212C"/>
    <w:rsid w:val="00E823AB"/>
    <w:rsid w:val="00E82E5B"/>
    <w:rsid w:val="00E835B4"/>
    <w:rsid w:val="00E836B2"/>
    <w:rsid w:val="00E83949"/>
    <w:rsid w:val="00E83BFB"/>
    <w:rsid w:val="00E83CFD"/>
    <w:rsid w:val="00E83E67"/>
    <w:rsid w:val="00E84598"/>
    <w:rsid w:val="00E848C5"/>
    <w:rsid w:val="00E84EF4"/>
    <w:rsid w:val="00E84FAC"/>
    <w:rsid w:val="00E852CF"/>
    <w:rsid w:val="00E8565A"/>
    <w:rsid w:val="00E85675"/>
    <w:rsid w:val="00E85F91"/>
    <w:rsid w:val="00E860A1"/>
    <w:rsid w:val="00E86939"/>
    <w:rsid w:val="00E86C3F"/>
    <w:rsid w:val="00E86CA8"/>
    <w:rsid w:val="00E8766F"/>
    <w:rsid w:val="00E90156"/>
    <w:rsid w:val="00E90E1D"/>
    <w:rsid w:val="00E91032"/>
    <w:rsid w:val="00E9112C"/>
    <w:rsid w:val="00E9121D"/>
    <w:rsid w:val="00E9136C"/>
    <w:rsid w:val="00E9149B"/>
    <w:rsid w:val="00E918B9"/>
    <w:rsid w:val="00E91DEC"/>
    <w:rsid w:val="00E91E40"/>
    <w:rsid w:val="00E9207C"/>
    <w:rsid w:val="00E92BB9"/>
    <w:rsid w:val="00E92BC1"/>
    <w:rsid w:val="00E92C0F"/>
    <w:rsid w:val="00E92C24"/>
    <w:rsid w:val="00E93069"/>
    <w:rsid w:val="00E934BF"/>
    <w:rsid w:val="00E93772"/>
    <w:rsid w:val="00E9388D"/>
    <w:rsid w:val="00E94187"/>
    <w:rsid w:val="00E9447C"/>
    <w:rsid w:val="00E94CC7"/>
    <w:rsid w:val="00E94D73"/>
    <w:rsid w:val="00E9535E"/>
    <w:rsid w:val="00E953B9"/>
    <w:rsid w:val="00E95695"/>
    <w:rsid w:val="00E95C7C"/>
    <w:rsid w:val="00E96351"/>
    <w:rsid w:val="00E9658E"/>
    <w:rsid w:val="00E9681B"/>
    <w:rsid w:val="00E968F2"/>
    <w:rsid w:val="00E96B58"/>
    <w:rsid w:val="00E96E5B"/>
    <w:rsid w:val="00E97754"/>
    <w:rsid w:val="00E97AC6"/>
    <w:rsid w:val="00E97BD4"/>
    <w:rsid w:val="00EA0135"/>
    <w:rsid w:val="00EA05D5"/>
    <w:rsid w:val="00EA0A5B"/>
    <w:rsid w:val="00EA10A5"/>
    <w:rsid w:val="00EA17B6"/>
    <w:rsid w:val="00EA18F1"/>
    <w:rsid w:val="00EA1945"/>
    <w:rsid w:val="00EA1B17"/>
    <w:rsid w:val="00EA1DBB"/>
    <w:rsid w:val="00EA1E33"/>
    <w:rsid w:val="00EA1E84"/>
    <w:rsid w:val="00EA25FF"/>
    <w:rsid w:val="00EA2AC6"/>
    <w:rsid w:val="00EA32A0"/>
    <w:rsid w:val="00EA348D"/>
    <w:rsid w:val="00EA35C4"/>
    <w:rsid w:val="00EA369E"/>
    <w:rsid w:val="00EA3A34"/>
    <w:rsid w:val="00EA4424"/>
    <w:rsid w:val="00EA4475"/>
    <w:rsid w:val="00EA4B34"/>
    <w:rsid w:val="00EA5772"/>
    <w:rsid w:val="00EA5AFE"/>
    <w:rsid w:val="00EA5C88"/>
    <w:rsid w:val="00EA619E"/>
    <w:rsid w:val="00EA6369"/>
    <w:rsid w:val="00EA68A4"/>
    <w:rsid w:val="00EA7284"/>
    <w:rsid w:val="00EA7960"/>
    <w:rsid w:val="00EA7C4C"/>
    <w:rsid w:val="00EB0275"/>
    <w:rsid w:val="00EB0665"/>
    <w:rsid w:val="00EB0CC9"/>
    <w:rsid w:val="00EB0CDC"/>
    <w:rsid w:val="00EB0D9A"/>
    <w:rsid w:val="00EB0DC3"/>
    <w:rsid w:val="00EB1098"/>
    <w:rsid w:val="00EB1330"/>
    <w:rsid w:val="00EB1B98"/>
    <w:rsid w:val="00EB1DA4"/>
    <w:rsid w:val="00EB2188"/>
    <w:rsid w:val="00EB23AE"/>
    <w:rsid w:val="00EB2E3F"/>
    <w:rsid w:val="00EB2F03"/>
    <w:rsid w:val="00EB3135"/>
    <w:rsid w:val="00EB349D"/>
    <w:rsid w:val="00EB3769"/>
    <w:rsid w:val="00EB42FD"/>
    <w:rsid w:val="00EB45A7"/>
    <w:rsid w:val="00EB4683"/>
    <w:rsid w:val="00EB4FB8"/>
    <w:rsid w:val="00EB543F"/>
    <w:rsid w:val="00EB56B1"/>
    <w:rsid w:val="00EB5A30"/>
    <w:rsid w:val="00EB5CF1"/>
    <w:rsid w:val="00EB68F8"/>
    <w:rsid w:val="00EB6A6A"/>
    <w:rsid w:val="00EB7F43"/>
    <w:rsid w:val="00EC0A5C"/>
    <w:rsid w:val="00EC105F"/>
    <w:rsid w:val="00EC1675"/>
    <w:rsid w:val="00EC243C"/>
    <w:rsid w:val="00EC25D8"/>
    <w:rsid w:val="00EC264E"/>
    <w:rsid w:val="00EC27DF"/>
    <w:rsid w:val="00EC2929"/>
    <w:rsid w:val="00EC2A27"/>
    <w:rsid w:val="00EC33FA"/>
    <w:rsid w:val="00EC3B8D"/>
    <w:rsid w:val="00EC3F4B"/>
    <w:rsid w:val="00EC4379"/>
    <w:rsid w:val="00EC442A"/>
    <w:rsid w:val="00EC4C93"/>
    <w:rsid w:val="00EC5988"/>
    <w:rsid w:val="00EC5CF9"/>
    <w:rsid w:val="00EC5EB6"/>
    <w:rsid w:val="00EC5F1F"/>
    <w:rsid w:val="00EC6474"/>
    <w:rsid w:val="00EC6530"/>
    <w:rsid w:val="00EC6B6B"/>
    <w:rsid w:val="00EC6BC1"/>
    <w:rsid w:val="00EC6C26"/>
    <w:rsid w:val="00EC6F12"/>
    <w:rsid w:val="00EC7257"/>
    <w:rsid w:val="00EC7329"/>
    <w:rsid w:val="00EC7C45"/>
    <w:rsid w:val="00ED0342"/>
    <w:rsid w:val="00ED0759"/>
    <w:rsid w:val="00ED10DF"/>
    <w:rsid w:val="00ED1239"/>
    <w:rsid w:val="00ED1806"/>
    <w:rsid w:val="00ED2DC7"/>
    <w:rsid w:val="00ED3125"/>
    <w:rsid w:val="00ED31E8"/>
    <w:rsid w:val="00ED372A"/>
    <w:rsid w:val="00ED383D"/>
    <w:rsid w:val="00ED42B5"/>
    <w:rsid w:val="00ED44A3"/>
    <w:rsid w:val="00ED4814"/>
    <w:rsid w:val="00ED50DE"/>
    <w:rsid w:val="00ED53EB"/>
    <w:rsid w:val="00ED5637"/>
    <w:rsid w:val="00ED5C72"/>
    <w:rsid w:val="00ED5DFB"/>
    <w:rsid w:val="00ED5EA8"/>
    <w:rsid w:val="00ED7106"/>
    <w:rsid w:val="00ED7115"/>
    <w:rsid w:val="00ED71F7"/>
    <w:rsid w:val="00ED74A5"/>
    <w:rsid w:val="00ED7570"/>
    <w:rsid w:val="00ED759E"/>
    <w:rsid w:val="00ED75A9"/>
    <w:rsid w:val="00EE0073"/>
    <w:rsid w:val="00EE01DB"/>
    <w:rsid w:val="00EE039E"/>
    <w:rsid w:val="00EE0439"/>
    <w:rsid w:val="00EE0619"/>
    <w:rsid w:val="00EE0A56"/>
    <w:rsid w:val="00EE0AD6"/>
    <w:rsid w:val="00EE0BAC"/>
    <w:rsid w:val="00EE11BE"/>
    <w:rsid w:val="00EE1B6B"/>
    <w:rsid w:val="00EE2DDA"/>
    <w:rsid w:val="00EE2E1D"/>
    <w:rsid w:val="00EE300F"/>
    <w:rsid w:val="00EE3199"/>
    <w:rsid w:val="00EE3B57"/>
    <w:rsid w:val="00EE4103"/>
    <w:rsid w:val="00EE42C3"/>
    <w:rsid w:val="00EE487A"/>
    <w:rsid w:val="00EE4DB1"/>
    <w:rsid w:val="00EE520D"/>
    <w:rsid w:val="00EE5654"/>
    <w:rsid w:val="00EE58A4"/>
    <w:rsid w:val="00EE5952"/>
    <w:rsid w:val="00EE5AC7"/>
    <w:rsid w:val="00EE6137"/>
    <w:rsid w:val="00EE6206"/>
    <w:rsid w:val="00EE674B"/>
    <w:rsid w:val="00EE71C8"/>
    <w:rsid w:val="00EE737F"/>
    <w:rsid w:val="00EE767B"/>
    <w:rsid w:val="00EE767E"/>
    <w:rsid w:val="00EE76ED"/>
    <w:rsid w:val="00EE7B24"/>
    <w:rsid w:val="00EF0013"/>
    <w:rsid w:val="00EF0BC9"/>
    <w:rsid w:val="00EF0C49"/>
    <w:rsid w:val="00EF11D4"/>
    <w:rsid w:val="00EF1526"/>
    <w:rsid w:val="00EF2092"/>
    <w:rsid w:val="00EF29FE"/>
    <w:rsid w:val="00EF310B"/>
    <w:rsid w:val="00EF3A75"/>
    <w:rsid w:val="00EF3D0C"/>
    <w:rsid w:val="00EF450D"/>
    <w:rsid w:val="00EF45D7"/>
    <w:rsid w:val="00EF4611"/>
    <w:rsid w:val="00EF47C3"/>
    <w:rsid w:val="00EF48BC"/>
    <w:rsid w:val="00EF4967"/>
    <w:rsid w:val="00EF4B4A"/>
    <w:rsid w:val="00EF53CE"/>
    <w:rsid w:val="00EF541C"/>
    <w:rsid w:val="00EF5879"/>
    <w:rsid w:val="00EF5A9C"/>
    <w:rsid w:val="00EF5C74"/>
    <w:rsid w:val="00EF6FB7"/>
    <w:rsid w:val="00EF6FC3"/>
    <w:rsid w:val="00EF71BD"/>
    <w:rsid w:val="00EF72CB"/>
    <w:rsid w:val="00EF736B"/>
    <w:rsid w:val="00EF74A5"/>
    <w:rsid w:val="00EF7AA8"/>
    <w:rsid w:val="00F0039A"/>
    <w:rsid w:val="00F008B6"/>
    <w:rsid w:val="00F0093A"/>
    <w:rsid w:val="00F00CD6"/>
    <w:rsid w:val="00F00F8C"/>
    <w:rsid w:val="00F01233"/>
    <w:rsid w:val="00F017E4"/>
    <w:rsid w:val="00F01F50"/>
    <w:rsid w:val="00F0210F"/>
    <w:rsid w:val="00F02370"/>
    <w:rsid w:val="00F02871"/>
    <w:rsid w:val="00F029BA"/>
    <w:rsid w:val="00F02C83"/>
    <w:rsid w:val="00F0301F"/>
    <w:rsid w:val="00F032DC"/>
    <w:rsid w:val="00F03DFF"/>
    <w:rsid w:val="00F03E8D"/>
    <w:rsid w:val="00F0422A"/>
    <w:rsid w:val="00F049F3"/>
    <w:rsid w:val="00F04AF2"/>
    <w:rsid w:val="00F04B9C"/>
    <w:rsid w:val="00F04BBB"/>
    <w:rsid w:val="00F04E85"/>
    <w:rsid w:val="00F04EE0"/>
    <w:rsid w:val="00F050AF"/>
    <w:rsid w:val="00F05C75"/>
    <w:rsid w:val="00F05E9D"/>
    <w:rsid w:val="00F066D7"/>
    <w:rsid w:val="00F0681C"/>
    <w:rsid w:val="00F06B37"/>
    <w:rsid w:val="00F06DF9"/>
    <w:rsid w:val="00F06F97"/>
    <w:rsid w:val="00F07174"/>
    <w:rsid w:val="00F0728D"/>
    <w:rsid w:val="00F07843"/>
    <w:rsid w:val="00F07F57"/>
    <w:rsid w:val="00F10131"/>
    <w:rsid w:val="00F107B8"/>
    <w:rsid w:val="00F10BFD"/>
    <w:rsid w:val="00F10D66"/>
    <w:rsid w:val="00F112BC"/>
    <w:rsid w:val="00F11EC8"/>
    <w:rsid w:val="00F12084"/>
    <w:rsid w:val="00F12702"/>
    <w:rsid w:val="00F128CE"/>
    <w:rsid w:val="00F12C6F"/>
    <w:rsid w:val="00F1478E"/>
    <w:rsid w:val="00F149CD"/>
    <w:rsid w:val="00F14A28"/>
    <w:rsid w:val="00F14A98"/>
    <w:rsid w:val="00F14C76"/>
    <w:rsid w:val="00F14CBB"/>
    <w:rsid w:val="00F15510"/>
    <w:rsid w:val="00F15596"/>
    <w:rsid w:val="00F15AD5"/>
    <w:rsid w:val="00F15F0F"/>
    <w:rsid w:val="00F161E1"/>
    <w:rsid w:val="00F1621C"/>
    <w:rsid w:val="00F1625B"/>
    <w:rsid w:val="00F17518"/>
    <w:rsid w:val="00F20241"/>
    <w:rsid w:val="00F20D01"/>
    <w:rsid w:val="00F21296"/>
    <w:rsid w:val="00F21486"/>
    <w:rsid w:val="00F215B3"/>
    <w:rsid w:val="00F217FD"/>
    <w:rsid w:val="00F21906"/>
    <w:rsid w:val="00F2193C"/>
    <w:rsid w:val="00F21E9D"/>
    <w:rsid w:val="00F22117"/>
    <w:rsid w:val="00F221BC"/>
    <w:rsid w:val="00F2235F"/>
    <w:rsid w:val="00F22726"/>
    <w:rsid w:val="00F228E8"/>
    <w:rsid w:val="00F23340"/>
    <w:rsid w:val="00F2356E"/>
    <w:rsid w:val="00F23D17"/>
    <w:rsid w:val="00F2482F"/>
    <w:rsid w:val="00F25323"/>
    <w:rsid w:val="00F2554E"/>
    <w:rsid w:val="00F25BC2"/>
    <w:rsid w:val="00F2604A"/>
    <w:rsid w:val="00F26501"/>
    <w:rsid w:val="00F265E6"/>
    <w:rsid w:val="00F26675"/>
    <w:rsid w:val="00F2709B"/>
    <w:rsid w:val="00F27238"/>
    <w:rsid w:val="00F2765F"/>
    <w:rsid w:val="00F27875"/>
    <w:rsid w:val="00F279CE"/>
    <w:rsid w:val="00F301ED"/>
    <w:rsid w:val="00F302FE"/>
    <w:rsid w:val="00F303E3"/>
    <w:rsid w:val="00F30635"/>
    <w:rsid w:val="00F30D13"/>
    <w:rsid w:val="00F30E8A"/>
    <w:rsid w:val="00F30F77"/>
    <w:rsid w:val="00F31123"/>
    <w:rsid w:val="00F3147C"/>
    <w:rsid w:val="00F320F1"/>
    <w:rsid w:val="00F3226F"/>
    <w:rsid w:val="00F32DAB"/>
    <w:rsid w:val="00F33051"/>
    <w:rsid w:val="00F33233"/>
    <w:rsid w:val="00F3371B"/>
    <w:rsid w:val="00F33744"/>
    <w:rsid w:val="00F33B90"/>
    <w:rsid w:val="00F33F8F"/>
    <w:rsid w:val="00F3431C"/>
    <w:rsid w:val="00F35D62"/>
    <w:rsid w:val="00F36151"/>
    <w:rsid w:val="00F3664C"/>
    <w:rsid w:val="00F36826"/>
    <w:rsid w:val="00F36AF3"/>
    <w:rsid w:val="00F37149"/>
    <w:rsid w:val="00F3745C"/>
    <w:rsid w:val="00F3748B"/>
    <w:rsid w:val="00F37B45"/>
    <w:rsid w:val="00F37C4B"/>
    <w:rsid w:val="00F400D4"/>
    <w:rsid w:val="00F40220"/>
    <w:rsid w:val="00F4026F"/>
    <w:rsid w:val="00F406F8"/>
    <w:rsid w:val="00F4077C"/>
    <w:rsid w:val="00F40AA3"/>
    <w:rsid w:val="00F40D4A"/>
    <w:rsid w:val="00F40F3E"/>
    <w:rsid w:val="00F416A5"/>
    <w:rsid w:val="00F41FAA"/>
    <w:rsid w:val="00F42366"/>
    <w:rsid w:val="00F42C90"/>
    <w:rsid w:val="00F42F9A"/>
    <w:rsid w:val="00F43508"/>
    <w:rsid w:val="00F43679"/>
    <w:rsid w:val="00F43826"/>
    <w:rsid w:val="00F43E2B"/>
    <w:rsid w:val="00F43F8B"/>
    <w:rsid w:val="00F442B1"/>
    <w:rsid w:val="00F44467"/>
    <w:rsid w:val="00F44806"/>
    <w:rsid w:val="00F44AA0"/>
    <w:rsid w:val="00F44C34"/>
    <w:rsid w:val="00F45652"/>
    <w:rsid w:val="00F456A8"/>
    <w:rsid w:val="00F459E9"/>
    <w:rsid w:val="00F45BD1"/>
    <w:rsid w:val="00F45C32"/>
    <w:rsid w:val="00F45CE2"/>
    <w:rsid w:val="00F45D39"/>
    <w:rsid w:val="00F4637F"/>
    <w:rsid w:val="00F46506"/>
    <w:rsid w:val="00F46726"/>
    <w:rsid w:val="00F4689B"/>
    <w:rsid w:val="00F46B54"/>
    <w:rsid w:val="00F46E96"/>
    <w:rsid w:val="00F472F6"/>
    <w:rsid w:val="00F475EE"/>
    <w:rsid w:val="00F4760C"/>
    <w:rsid w:val="00F4777D"/>
    <w:rsid w:val="00F47A2C"/>
    <w:rsid w:val="00F47E09"/>
    <w:rsid w:val="00F5009E"/>
    <w:rsid w:val="00F502E4"/>
    <w:rsid w:val="00F50478"/>
    <w:rsid w:val="00F508C1"/>
    <w:rsid w:val="00F50F36"/>
    <w:rsid w:val="00F5138E"/>
    <w:rsid w:val="00F517FD"/>
    <w:rsid w:val="00F51B4E"/>
    <w:rsid w:val="00F51E29"/>
    <w:rsid w:val="00F5204E"/>
    <w:rsid w:val="00F52181"/>
    <w:rsid w:val="00F529BF"/>
    <w:rsid w:val="00F53903"/>
    <w:rsid w:val="00F53C64"/>
    <w:rsid w:val="00F53DDB"/>
    <w:rsid w:val="00F5409B"/>
    <w:rsid w:val="00F545FE"/>
    <w:rsid w:val="00F54874"/>
    <w:rsid w:val="00F54942"/>
    <w:rsid w:val="00F54AF1"/>
    <w:rsid w:val="00F55344"/>
    <w:rsid w:val="00F55C12"/>
    <w:rsid w:val="00F55EC6"/>
    <w:rsid w:val="00F55FF7"/>
    <w:rsid w:val="00F56754"/>
    <w:rsid w:val="00F56AF3"/>
    <w:rsid w:val="00F56D12"/>
    <w:rsid w:val="00F56DD4"/>
    <w:rsid w:val="00F56DFE"/>
    <w:rsid w:val="00F571F2"/>
    <w:rsid w:val="00F574A1"/>
    <w:rsid w:val="00F57B24"/>
    <w:rsid w:val="00F602AB"/>
    <w:rsid w:val="00F603CA"/>
    <w:rsid w:val="00F608B2"/>
    <w:rsid w:val="00F60903"/>
    <w:rsid w:val="00F60E89"/>
    <w:rsid w:val="00F61EE4"/>
    <w:rsid w:val="00F6318B"/>
    <w:rsid w:val="00F6377A"/>
    <w:rsid w:val="00F642F0"/>
    <w:rsid w:val="00F64703"/>
    <w:rsid w:val="00F647C9"/>
    <w:rsid w:val="00F64AFE"/>
    <w:rsid w:val="00F64B4C"/>
    <w:rsid w:val="00F64E64"/>
    <w:rsid w:val="00F6615C"/>
    <w:rsid w:val="00F6635F"/>
    <w:rsid w:val="00F668DF"/>
    <w:rsid w:val="00F66B2E"/>
    <w:rsid w:val="00F66BD1"/>
    <w:rsid w:val="00F67A7B"/>
    <w:rsid w:val="00F700D7"/>
    <w:rsid w:val="00F70486"/>
    <w:rsid w:val="00F7080E"/>
    <w:rsid w:val="00F70862"/>
    <w:rsid w:val="00F70B38"/>
    <w:rsid w:val="00F70F8D"/>
    <w:rsid w:val="00F710A1"/>
    <w:rsid w:val="00F7121D"/>
    <w:rsid w:val="00F712B8"/>
    <w:rsid w:val="00F7139E"/>
    <w:rsid w:val="00F7144B"/>
    <w:rsid w:val="00F71693"/>
    <w:rsid w:val="00F718A1"/>
    <w:rsid w:val="00F722D9"/>
    <w:rsid w:val="00F722FC"/>
    <w:rsid w:val="00F72744"/>
    <w:rsid w:val="00F73201"/>
    <w:rsid w:val="00F73505"/>
    <w:rsid w:val="00F735CD"/>
    <w:rsid w:val="00F736EB"/>
    <w:rsid w:val="00F73C3D"/>
    <w:rsid w:val="00F73E18"/>
    <w:rsid w:val="00F74231"/>
    <w:rsid w:val="00F7437E"/>
    <w:rsid w:val="00F7438A"/>
    <w:rsid w:val="00F746AF"/>
    <w:rsid w:val="00F746FB"/>
    <w:rsid w:val="00F748FD"/>
    <w:rsid w:val="00F74B88"/>
    <w:rsid w:val="00F74F5C"/>
    <w:rsid w:val="00F751FD"/>
    <w:rsid w:val="00F75D5E"/>
    <w:rsid w:val="00F75F63"/>
    <w:rsid w:val="00F7606B"/>
    <w:rsid w:val="00F7637D"/>
    <w:rsid w:val="00F763F3"/>
    <w:rsid w:val="00F7691F"/>
    <w:rsid w:val="00F772D0"/>
    <w:rsid w:val="00F77630"/>
    <w:rsid w:val="00F779BA"/>
    <w:rsid w:val="00F77A1B"/>
    <w:rsid w:val="00F77C4D"/>
    <w:rsid w:val="00F807C9"/>
    <w:rsid w:val="00F80B9E"/>
    <w:rsid w:val="00F80F70"/>
    <w:rsid w:val="00F813BA"/>
    <w:rsid w:val="00F81E30"/>
    <w:rsid w:val="00F821B2"/>
    <w:rsid w:val="00F82630"/>
    <w:rsid w:val="00F82C75"/>
    <w:rsid w:val="00F833A2"/>
    <w:rsid w:val="00F8347D"/>
    <w:rsid w:val="00F8360B"/>
    <w:rsid w:val="00F838EB"/>
    <w:rsid w:val="00F83A8A"/>
    <w:rsid w:val="00F83F45"/>
    <w:rsid w:val="00F83FBE"/>
    <w:rsid w:val="00F847EA"/>
    <w:rsid w:val="00F848EF"/>
    <w:rsid w:val="00F849E3"/>
    <w:rsid w:val="00F852BD"/>
    <w:rsid w:val="00F852F4"/>
    <w:rsid w:val="00F85662"/>
    <w:rsid w:val="00F85CCF"/>
    <w:rsid w:val="00F85F59"/>
    <w:rsid w:val="00F86526"/>
    <w:rsid w:val="00F866A0"/>
    <w:rsid w:val="00F866B1"/>
    <w:rsid w:val="00F8690F"/>
    <w:rsid w:val="00F870E3"/>
    <w:rsid w:val="00F874A9"/>
    <w:rsid w:val="00F877EA"/>
    <w:rsid w:val="00F90A38"/>
    <w:rsid w:val="00F90B95"/>
    <w:rsid w:val="00F911DB"/>
    <w:rsid w:val="00F913CB"/>
    <w:rsid w:val="00F91465"/>
    <w:rsid w:val="00F91683"/>
    <w:rsid w:val="00F9187E"/>
    <w:rsid w:val="00F91A45"/>
    <w:rsid w:val="00F91D9A"/>
    <w:rsid w:val="00F91E3F"/>
    <w:rsid w:val="00F92024"/>
    <w:rsid w:val="00F922F5"/>
    <w:rsid w:val="00F9259F"/>
    <w:rsid w:val="00F92A0C"/>
    <w:rsid w:val="00F92BBE"/>
    <w:rsid w:val="00F92C73"/>
    <w:rsid w:val="00F92E27"/>
    <w:rsid w:val="00F93325"/>
    <w:rsid w:val="00F93EE5"/>
    <w:rsid w:val="00F942AB"/>
    <w:rsid w:val="00F94993"/>
    <w:rsid w:val="00F94B6A"/>
    <w:rsid w:val="00F94B93"/>
    <w:rsid w:val="00F9503D"/>
    <w:rsid w:val="00F958E3"/>
    <w:rsid w:val="00F959DB"/>
    <w:rsid w:val="00F95C16"/>
    <w:rsid w:val="00F95F51"/>
    <w:rsid w:val="00F96290"/>
    <w:rsid w:val="00F968AC"/>
    <w:rsid w:val="00F968C9"/>
    <w:rsid w:val="00F96B30"/>
    <w:rsid w:val="00F96FB5"/>
    <w:rsid w:val="00FA04FF"/>
    <w:rsid w:val="00FA106C"/>
    <w:rsid w:val="00FA17DE"/>
    <w:rsid w:val="00FA1C96"/>
    <w:rsid w:val="00FA208C"/>
    <w:rsid w:val="00FA20B3"/>
    <w:rsid w:val="00FA2148"/>
    <w:rsid w:val="00FA2344"/>
    <w:rsid w:val="00FA2603"/>
    <w:rsid w:val="00FA2A61"/>
    <w:rsid w:val="00FA2A6E"/>
    <w:rsid w:val="00FA2DB9"/>
    <w:rsid w:val="00FA2E58"/>
    <w:rsid w:val="00FA331F"/>
    <w:rsid w:val="00FA3353"/>
    <w:rsid w:val="00FA3E1D"/>
    <w:rsid w:val="00FA46C1"/>
    <w:rsid w:val="00FA4B12"/>
    <w:rsid w:val="00FA4DD8"/>
    <w:rsid w:val="00FA4E1E"/>
    <w:rsid w:val="00FA4F85"/>
    <w:rsid w:val="00FA5411"/>
    <w:rsid w:val="00FA54C8"/>
    <w:rsid w:val="00FA618C"/>
    <w:rsid w:val="00FA61D8"/>
    <w:rsid w:val="00FA6B30"/>
    <w:rsid w:val="00FA6B6A"/>
    <w:rsid w:val="00FA6DEA"/>
    <w:rsid w:val="00FA71F2"/>
    <w:rsid w:val="00FA77A5"/>
    <w:rsid w:val="00FA7955"/>
    <w:rsid w:val="00FA797E"/>
    <w:rsid w:val="00FA7E79"/>
    <w:rsid w:val="00FB0C6E"/>
    <w:rsid w:val="00FB125E"/>
    <w:rsid w:val="00FB150D"/>
    <w:rsid w:val="00FB165F"/>
    <w:rsid w:val="00FB1721"/>
    <w:rsid w:val="00FB1BAA"/>
    <w:rsid w:val="00FB20CD"/>
    <w:rsid w:val="00FB222A"/>
    <w:rsid w:val="00FB23ED"/>
    <w:rsid w:val="00FB29F6"/>
    <w:rsid w:val="00FB2BA3"/>
    <w:rsid w:val="00FB2FD0"/>
    <w:rsid w:val="00FB337B"/>
    <w:rsid w:val="00FB33AC"/>
    <w:rsid w:val="00FB3400"/>
    <w:rsid w:val="00FB3509"/>
    <w:rsid w:val="00FB3688"/>
    <w:rsid w:val="00FB3D8A"/>
    <w:rsid w:val="00FB3E31"/>
    <w:rsid w:val="00FB43F0"/>
    <w:rsid w:val="00FB4913"/>
    <w:rsid w:val="00FB4EF8"/>
    <w:rsid w:val="00FB50A7"/>
    <w:rsid w:val="00FB5CF2"/>
    <w:rsid w:val="00FB5E10"/>
    <w:rsid w:val="00FB624E"/>
    <w:rsid w:val="00FB648A"/>
    <w:rsid w:val="00FB65F9"/>
    <w:rsid w:val="00FB6B2E"/>
    <w:rsid w:val="00FB6D52"/>
    <w:rsid w:val="00FB6DE2"/>
    <w:rsid w:val="00FB6F8A"/>
    <w:rsid w:val="00FB72E4"/>
    <w:rsid w:val="00FB73C0"/>
    <w:rsid w:val="00FB7784"/>
    <w:rsid w:val="00FB7F41"/>
    <w:rsid w:val="00FC0206"/>
    <w:rsid w:val="00FC0C72"/>
    <w:rsid w:val="00FC0D62"/>
    <w:rsid w:val="00FC0EB1"/>
    <w:rsid w:val="00FC1549"/>
    <w:rsid w:val="00FC1618"/>
    <w:rsid w:val="00FC18FD"/>
    <w:rsid w:val="00FC19B0"/>
    <w:rsid w:val="00FC1C79"/>
    <w:rsid w:val="00FC23DD"/>
    <w:rsid w:val="00FC2950"/>
    <w:rsid w:val="00FC37B9"/>
    <w:rsid w:val="00FC3870"/>
    <w:rsid w:val="00FC38B2"/>
    <w:rsid w:val="00FC3A49"/>
    <w:rsid w:val="00FC42D3"/>
    <w:rsid w:val="00FC486B"/>
    <w:rsid w:val="00FC4C85"/>
    <w:rsid w:val="00FC520C"/>
    <w:rsid w:val="00FC54D5"/>
    <w:rsid w:val="00FC5540"/>
    <w:rsid w:val="00FC564A"/>
    <w:rsid w:val="00FC63EA"/>
    <w:rsid w:val="00FC6553"/>
    <w:rsid w:val="00FC6B4A"/>
    <w:rsid w:val="00FC6D1B"/>
    <w:rsid w:val="00FC7375"/>
    <w:rsid w:val="00FC78F7"/>
    <w:rsid w:val="00FC792E"/>
    <w:rsid w:val="00FC7A2C"/>
    <w:rsid w:val="00FC7C90"/>
    <w:rsid w:val="00FD0142"/>
    <w:rsid w:val="00FD0291"/>
    <w:rsid w:val="00FD04B7"/>
    <w:rsid w:val="00FD0851"/>
    <w:rsid w:val="00FD0E93"/>
    <w:rsid w:val="00FD0EBA"/>
    <w:rsid w:val="00FD107E"/>
    <w:rsid w:val="00FD1D87"/>
    <w:rsid w:val="00FD213C"/>
    <w:rsid w:val="00FD2F0A"/>
    <w:rsid w:val="00FD33B5"/>
    <w:rsid w:val="00FD35CC"/>
    <w:rsid w:val="00FD3F5B"/>
    <w:rsid w:val="00FD4426"/>
    <w:rsid w:val="00FD447A"/>
    <w:rsid w:val="00FD46A6"/>
    <w:rsid w:val="00FD4887"/>
    <w:rsid w:val="00FD5010"/>
    <w:rsid w:val="00FD508A"/>
    <w:rsid w:val="00FD546D"/>
    <w:rsid w:val="00FD549B"/>
    <w:rsid w:val="00FD57C2"/>
    <w:rsid w:val="00FD5A4D"/>
    <w:rsid w:val="00FD6261"/>
    <w:rsid w:val="00FD6286"/>
    <w:rsid w:val="00FD6458"/>
    <w:rsid w:val="00FD645D"/>
    <w:rsid w:val="00FD68DC"/>
    <w:rsid w:val="00FD76C3"/>
    <w:rsid w:val="00FD7B72"/>
    <w:rsid w:val="00FD7C81"/>
    <w:rsid w:val="00FE0679"/>
    <w:rsid w:val="00FE07ED"/>
    <w:rsid w:val="00FE0844"/>
    <w:rsid w:val="00FE0F1B"/>
    <w:rsid w:val="00FE14CF"/>
    <w:rsid w:val="00FE172D"/>
    <w:rsid w:val="00FE1985"/>
    <w:rsid w:val="00FE199C"/>
    <w:rsid w:val="00FE1BE6"/>
    <w:rsid w:val="00FE1E3E"/>
    <w:rsid w:val="00FE2142"/>
    <w:rsid w:val="00FE21D2"/>
    <w:rsid w:val="00FE2375"/>
    <w:rsid w:val="00FE2B13"/>
    <w:rsid w:val="00FE2C1B"/>
    <w:rsid w:val="00FE2CBB"/>
    <w:rsid w:val="00FE31EB"/>
    <w:rsid w:val="00FE3AC9"/>
    <w:rsid w:val="00FE3BF0"/>
    <w:rsid w:val="00FE4037"/>
    <w:rsid w:val="00FE45C0"/>
    <w:rsid w:val="00FE4640"/>
    <w:rsid w:val="00FE4B7B"/>
    <w:rsid w:val="00FE4ED1"/>
    <w:rsid w:val="00FE5244"/>
    <w:rsid w:val="00FE5979"/>
    <w:rsid w:val="00FE5ACA"/>
    <w:rsid w:val="00FE5C42"/>
    <w:rsid w:val="00FE5D19"/>
    <w:rsid w:val="00FE6189"/>
    <w:rsid w:val="00FE6ACB"/>
    <w:rsid w:val="00FE6B3B"/>
    <w:rsid w:val="00FE6C5B"/>
    <w:rsid w:val="00FE7129"/>
    <w:rsid w:val="00FE7639"/>
    <w:rsid w:val="00FE767F"/>
    <w:rsid w:val="00FE78FD"/>
    <w:rsid w:val="00FF022D"/>
    <w:rsid w:val="00FF028A"/>
    <w:rsid w:val="00FF03F3"/>
    <w:rsid w:val="00FF0989"/>
    <w:rsid w:val="00FF0EE5"/>
    <w:rsid w:val="00FF10F0"/>
    <w:rsid w:val="00FF122A"/>
    <w:rsid w:val="00FF1869"/>
    <w:rsid w:val="00FF1D12"/>
    <w:rsid w:val="00FF1FCB"/>
    <w:rsid w:val="00FF2047"/>
    <w:rsid w:val="00FF26F6"/>
    <w:rsid w:val="00FF2C73"/>
    <w:rsid w:val="00FF31F9"/>
    <w:rsid w:val="00FF3610"/>
    <w:rsid w:val="00FF3859"/>
    <w:rsid w:val="00FF3BA1"/>
    <w:rsid w:val="00FF433E"/>
    <w:rsid w:val="00FF4458"/>
    <w:rsid w:val="00FF4512"/>
    <w:rsid w:val="00FF4D52"/>
    <w:rsid w:val="00FF4F84"/>
    <w:rsid w:val="00FF55CD"/>
    <w:rsid w:val="00FF618D"/>
    <w:rsid w:val="00FF6388"/>
    <w:rsid w:val="00FF64BD"/>
    <w:rsid w:val="00FF6869"/>
    <w:rsid w:val="00FF6C1C"/>
    <w:rsid w:val="00FF6CB1"/>
    <w:rsid w:val="00FF6F11"/>
    <w:rsid w:val="00FF7537"/>
    <w:rsid w:val="00FF75E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C22E778-9E1C-4B99-B654-22933BFD5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0E1F95"/>
    <w:rPr>
      <w:rFonts w:ascii="宋体" w:hAnsi="宋体" w:cs="宋体"/>
      <w:sz w:val="21"/>
      <w:szCs w:val="24"/>
    </w:rPr>
  </w:style>
  <w:style w:type="paragraph" w:styleId="10">
    <w:name w:val="heading 1"/>
    <w:basedOn w:val="a1"/>
    <w:next w:val="a1"/>
    <w:link w:val="11"/>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aliases w:val="标题 2 Char Char Char"/>
    <w:basedOn w:val="a1"/>
    <w:next w:val="a1"/>
    <w:link w:val="20"/>
    <w:qFormat/>
    <w:rsid w:val="005B5D50"/>
    <w:pPr>
      <w:keepNext/>
      <w:keepLines/>
      <w:widowControl w:val="0"/>
      <w:spacing w:before="60" w:after="60"/>
      <w:jc w:val="both"/>
      <w:outlineLvl w:val="1"/>
    </w:pPr>
    <w:rPr>
      <w:rFonts w:ascii="Arial" w:hAnsi="Arial" w:cs="Times New Roman"/>
      <w:b/>
      <w:bCs/>
      <w:kern w:val="2"/>
      <w:szCs w:val="21"/>
    </w:rPr>
  </w:style>
  <w:style w:type="paragraph" w:styleId="3">
    <w:name w:val="heading 3"/>
    <w:basedOn w:val="a1"/>
    <w:next w:val="a1"/>
    <w:link w:val="30"/>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1"/>
    <w:next w:val="a1"/>
    <w:link w:val="40"/>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styleId="5">
    <w:name w:val="heading 5"/>
    <w:basedOn w:val="a1"/>
    <w:next w:val="a1"/>
    <w:link w:val="50"/>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1"/>
    <w:next w:val="a1"/>
    <w:link w:val="60"/>
    <w:uiPriority w:val="9"/>
    <w:unhideWhenUsed/>
    <w:qFormat/>
    <w:rsid w:val="005B5D50"/>
    <w:pPr>
      <w:keepNext/>
      <w:keepLines/>
      <w:spacing w:before="60" w:after="60"/>
      <w:outlineLvl w:val="5"/>
    </w:pPr>
    <w:rPr>
      <w:rFonts w:asciiTheme="majorHAnsi" w:hAnsiTheme="majorHAnsi" w:cstheme="majorBidi"/>
      <w:b/>
      <w:bCs/>
    </w:rPr>
  </w:style>
  <w:style w:type="paragraph" w:styleId="7">
    <w:name w:val="heading 7"/>
    <w:basedOn w:val="a1"/>
    <w:next w:val="a1"/>
    <w:link w:val="70"/>
    <w:uiPriority w:val="9"/>
    <w:unhideWhenUsed/>
    <w:qFormat/>
    <w:rsid w:val="00FD46A6"/>
    <w:pPr>
      <w:keepNext/>
      <w:keepLines/>
      <w:spacing w:before="240" w:after="64" w:line="320" w:lineRule="auto"/>
      <w:outlineLvl w:val="6"/>
    </w:pPr>
    <w:rPr>
      <w:b/>
      <w:bCs/>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标题 1 字符"/>
    <w:basedOn w:val="a2"/>
    <w:link w:val="10"/>
    <w:uiPriority w:val="99"/>
    <w:rsid w:val="005B5D50"/>
    <w:rPr>
      <w:rFonts w:eastAsia="黑体"/>
      <w:b/>
      <w:bCs/>
      <w:kern w:val="44"/>
      <w:sz w:val="28"/>
      <w:szCs w:val="44"/>
    </w:rPr>
  </w:style>
  <w:style w:type="character" w:customStyle="1" w:styleId="20">
    <w:name w:val="标题 2 字符"/>
    <w:aliases w:val="标题 2 Char Char Char 字符1"/>
    <w:basedOn w:val="a2"/>
    <w:link w:val="2"/>
    <w:rsid w:val="005B5D50"/>
    <w:rPr>
      <w:rFonts w:ascii="Arial" w:hAnsi="Arial"/>
      <w:b/>
      <w:bCs/>
      <w:kern w:val="2"/>
      <w:sz w:val="21"/>
      <w:szCs w:val="21"/>
    </w:rPr>
  </w:style>
  <w:style w:type="character" w:customStyle="1" w:styleId="30">
    <w:name w:val="标题 3 字符"/>
    <w:basedOn w:val="a2"/>
    <w:link w:val="3"/>
    <w:uiPriority w:val="9"/>
    <w:rsid w:val="005B5D50"/>
    <w:rPr>
      <w:b/>
      <w:bCs/>
      <w:kern w:val="2"/>
      <w:sz w:val="21"/>
      <w:szCs w:val="32"/>
    </w:rPr>
  </w:style>
  <w:style w:type="character" w:customStyle="1" w:styleId="40">
    <w:name w:val="标题 4 字符"/>
    <w:basedOn w:val="a2"/>
    <w:link w:val="4"/>
    <w:uiPriority w:val="9"/>
    <w:rsid w:val="005B5D50"/>
    <w:rPr>
      <w:rFonts w:ascii="Cambria" w:hAnsi="Cambria"/>
      <w:b/>
      <w:bCs/>
      <w:kern w:val="2"/>
      <w:sz w:val="21"/>
      <w:szCs w:val="28"/>
    </w:rPr>
  </w:style>
  <w:style w:type="character" w:customStyle="1" w:styleId="50">
    <w:name w:val="标题 5 字符"/>
    <w:basedOn w:val="a2"/>
    <w:link w:val="5"/>
    <w:uiPriority w:val="9"/>
    <w:rsid w:val="00586078"/>
    <w:rPr>
      <w:b/>
      <w:bCs/>
      <w:kern w:val="2"/>
      <w:sz w:val="21"/>
      <w:szCs w:val="28"/>
    </w:rPr>
  </w:style>
  <w:style w:type="paragraph" w:styleId="TOC">
    <w:name w:val="TOC Heading"/>
    <w:basedOn w:val="10"/>
    <w:next w:val="a1"/>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TOC1">
    <w:name w:val="toc 1"/>
    <w:basedOn w:val="a1"/>
    <w:next w:val="a1"/>
    <w:link w:val="TOC10"/>
    <w:autoRedefine/>
    <w:uiPriority w:val="39"/>
    <w:qFormat/>
    <w:rsid w:val="00DD256F"/>
    <w:pPr>
      <w:widowControl w:val="0"/>
      <w:jc w:val="both"/>
    </w:pPr>
    <w:rPr>
      <w:rFonts w:ascii="Times New Roman" w:hAnsi="Times New Roman" w:cs="Times New Roman"/>
      <w:kern w:val="2"/>
      <w:szCs w:val="21"/>
    </w:rPr>
  </w:style>
  <w:style w:type="paragraph" w:styleId="TOC2">
    <w:name w:val="toc 2"/>
    <w:basedOn w:val="a1"/>
    <w:next w:val="a1"/>
    <w:link w:val="TOC20"/>
    <w:autoRedefine/>
    <w:uiPriority w:val="39"/>
    <w:qFormat/>
    <w:rsid w:val="00DD256F"/>
    <w:pPr>
      <w:widowControl w:val="0"/>
      <w:ind w:leftChars="200" w:left="420"/>
      <w:jc w:val="both"/>
    </w:pPr>
    <w:rPr>
      <w:rFonts w:ascii="Times New Roman" w:hAnsi="Times New Roman" w:cs="Times New Roman"/>
      <w:kern w:val="2"/>
      <w:szCs w:val="21"/>
    </w:rPr>
  </w:style>
  <w:style w:type="character" w:styleId="a5">
    <w:name w:val="Hyperlink"/>
    <w:basedOn w:val="a2"/>
    <w:uiPriority w:val="99"/>
    <w:rsid w:val="00DD256F"/>
    <w:rPr>
      <w:rFonts w:cs="Times New Roman"/>
      <w:color w:val="0000FF"/>
      <w:u w:val="single"/>
    </w:rPr>
  </w:style>
  <w:style w:type="character" w:styleId="a6">
    <w:name w:val="annotation reference"/>
    <w:basedOn w:val="a2"/>
    <w:uiPriority w:val="99"/>
    <w:rsid w:val="00DD256F"/>
    <w:rPr>
      <w:rFonts w:eastAsia="宋体" w:cs="Times New Roman"/>
      <w:kern w:val="2"/>
      <w:sz w:val="21"/>
      <w:szCs w:val="21"/>
      <w:lang w:val="en-US" w:eastAsia="zh-CN" w:bidi="ar-SA"/>
    </w:rPr>
  </w:style>
  <w:style w:type="paragraph" w:styleId="a7">
    <w:name w:val="annotation text"/>
    <w:basedOn w:val="a1"/>
    <w:link w:val="a8"/>
    <w:rsid w:val="00DD256F"/>
    <w:pPr>
      <w:widowControl w:val="0"/>
    </w:pPr>
    <w:rPr>
      <w:rFonts w:ascii="Times New Roman" w:hAnsi="Times New Roman" w:cs="Times New Roman"/>
      <w:kern w:val="2"/>
      <w:szCs w:val="21"/>
    </w:rPr>
  </w:style>
  <w:style w:type="character" w:customStyle="1" w:styleId="a8">
    <w:name w:val="批注文字 字符"/>
    <w:basedOn w:val="a2"/>
    <w:link w:val="a7"/>
    <w:rsid w:val="00DD256F"/>
    <w:rPr>
      <w:rFonts w:ascii="Times New Roman" w:eastAsia="宋体" w:hAnsi="Times New Roman" w:cs="Times New Roman"/>
      <w:szCs w:val="21"/>
    </w:rPr>
  </w:style>
  <w:style w:type="table" w:styleId="a9">
    <w:name w:val="Table Grid"/>
    <w:basedOn w:val="a3"/>
    <w:link w:val="aa"/>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1"/>
    <w:link w:val="ac"/>
    <w:uiPriority w:val="99"/>
    <w:unhideWhenUsed/>
    <w:rsid w:val="00DD256F"/>
    <w:pPr>
      <w:widowControl w:val="0"/>
      <w:jc w:val="both"/>
    </w:pPr>
    <w:rPr>
      <w:rFonts w:ascii="Calibri" w:hAnsi="Calibri" w:cs="Times New Roman"/>
      <w:kern w:val="2"/>
      <w:sz w:val="18"/>
      <w:szCs w:val="18"/>
    </w:rPr>
  </w:style>
  <w:style w:type="character" w:customStyle="1" w:styleId="ac">
    <w:name w:val="批注框文本 字符"/>
    <w:basedOn w:val="a2"/>
    <w:link w:val="ab"/>
    <w:uiPriority w:val="99"/>
    <w:rsid w:val="00DD256F"/>
    <w:rPr>
      <w:rFonts w:ascii="Calibri" w:eastAsia="宋体" w:hAnsi="Calibri" w:cs="Times New Roman"/>
      <w:sz w:val="18"/>
      <w:szCs w:val="18"/>
    </w:rPr>
  </w:style>
  <w:style w:type="paragraph" w:styleId="ad">
    <w:name w:val="Salutation"/>
    <w:basedOn w:val="a1"/>
    <w:next w:val="a1"/>
    <w:link w:val="ae"/>
    <w:uiPriority w:val="99"/>
    <w:rsid w:val="00DD256F"/>
    <w:pPr>
      <w:widowControl w:val="0"/>
      <w:jc w:val="both"/>
    </w:pPr>
    <w:rPr>
      <w:rFonts w:ascii="Times New Roman" w:hAnsi="Times New Roman" w:cs="Times New Roman"/>
      <w:kern w:val="2"/>
      <w:szCs w:val="21"/>
    </w:rPr>
  </w:style>
  <w:style w:type="character" w:customStyle="1" w:styleId="ae">
    <w:name w:val="称呼 字符"/>
    <w:basedOn w:val="a2"/>
    <w:link w:val="ad"/>
    <w:uiPriority w:val="99"/>
    <w:rsid w:val="00DD256F"/>
    <w:rPr>
      <w:rFonts w:ascii="Times New Roman" w:eastAsia="宋体" w:hAnsi="Times New Roman" w:cs="Times New Roman"/>
      <w:szCs w:val="21"/>
    </w:rPr>
  </w:style>
  <w:style w:type="character" w:customStyle="1" w:styleId="notnullcss1">
    <w:name w:val="notnullcss1"/>
    <w:basedOn w:val="a2"/>
    <w:uiPriority w:val="99"/>
    <w:rsid w:val="00DD256F"/>
    <w:rPr>
      <w:rFonts w:eastAsia="宋体" w:cs="Times New Roman"/>
      <w:color w:val="FF0000"/>
      <w:kern w:val="2"/>
      <w:sz w:val="24"/>
      <w:szCs w:val="24"/>
      <w:lang w:val="en-US" w:eastAsia="zh-CN" w:bidi="ar-SA"/>
    </w:rPr>
  </w:style>
  <w:style w:type="paragraph" w:customStyle="1" w:styleId="xl61">
    <w:name w:val="xl61"/>
    <w:basedOn w:val="a1"/>
    <w:uiPriority w:val="99"/>
    <w:rsid w:val="00DD256F"/>
    <w:pPr>
      <w:spacing w:before="100" w:after="100"/>
      <w:jc w:val="right"/>
    </w:pPr>
    <w:rPr>
      <w:rFonts w:ascii="Arial Unicode MS" w:eastAsia="Arial Unicode MS" w:hAnsi="Times New Roman" w:cs="Times New Roman"/>
      <w:sz w:val="18"/>
      <w:szCs w:val="18"/>
    </w:rPr>
  </w:style>
  <w:style w:type="paragraph" w:styleId="af">
    <w:name w:val="List Paragraph"/>
    <w:basedOn w:val="a1"/>
    <w:link w:val="af0"/>
    <w:uiPriority w:val="34"/>
    <w:qFormat/>
    <w:rsid w:val="00DD256F"/>
    <w:pPr>
      <w:widowControl w:val="0"/>
      <w:ind w:firstLineChars="200" w:firstLine="420"/>
      <w:jc w:val="both"/>
    </w:pPr>
    <w:rPr>
      <w:rFonts w:ascii="Calibri" w:hAnsi="Calibri" w:cs="Times New Roman"/>
      <w:kern w:val="2"/>
      <w:szCs w:val="22"/>
    </w:rPr>
  </w:style>
  <w:style w:type="character" w:customStyle="1" w:styleId="af1">
    <w:name w:val="批注主题 字符"/>
    <w:basedOn w:val="a8"/>
    <w:link w:val="af2"/>
    <w:uiPriority w:val="99"/>
    <w:rsid w:val="00DD256F"/>
    <w:rPr>
      <w:rFonts w:ascii="Calibri" w:eastAsia="宋体" w:hAnsi="Calibri" w:cs="Times New Roman"/>
      <w:b/>
      <w:bCs/>
      <w:szCs w:val="21"/>
    </w:rPr>
  </w:style>
  <w:style w:type="paragraph" w:styleId="af2">
    <w:name w:val="annotation subject"/>
    <w:basedOn w:val="a7"/>
    <w:next w:val="a7"/>
    <w:link w:val="af1"/>
    <w:uiPriority w:val="99"/>
    <w:unhideWhenUsed/>
    <w:rsid w:val="00DD256F"/>
    <w:rPr>
      <w:rFonts w:ascii="Calibri" w:hAnsi="Calibri"/>
      <w:b/>
      <w:bCs/>
      <w:szCs w:val="22"/>
    </w:rPr>
  </w:style>
  <w:style w:type="paragraph" w:styleId="TOC3">
    <w:name w:val="toc 3"/>
    <w:basedOn w:val="a1"/>
    <w:next w:val="a1"/>
    <w:link w:val="TOC30"/>
    <w:autoRedefine/>
    <w:uiPriority w:val="39"/>
    <w:unhideWhenUsed/>
    <w:qFormat/>
    <w:rsid w:val="00DD256F"/>
    <w:pPr>
      <w:spacing w:after="100" w:line="276" w:lineRule="auto"/>
      <w:ind w:left="440"/>
    </w:pPr>
    <w:rPr>
      <w:rFonts w:ascii="Calibri" w:hAnsi="Calibri" w:cs="Times New Roman"/>
      <w:sz w:val="22"/>
      <w:szCs w:val="22"/>
    </w:rPr>
  </w:style>
  <w:style w:type="paragraph" w:styleId="af3">
    <w:name w:val="header"/>
    <w:basedOn w:val="a1"/>
    <w:link w:val="af4"/>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af4">
    <w:name w:val="页眉 字符"/>
    <w:basedOn w:val="a2"/>
    <w:link w:val="af3"/>
    <w:uiPriority w:val="99"/>
    <w:rsid w:val="00DD256F"/>
    <w:rPr>
      <w:rFonts w:ascii="Calibri" w:eastAsia="宋体" w:hAnsi="Calibri" w:cs="Times New Roman"/>
      <w:sz w:val="18"/>
      <w:szCs w:val="18"/>
    </w:rPr>
  </w:style>
  <w:style w:type="paragraph" w:styleId="af5">
    <w:name w:val="footer"/>
    <w:basedOn w:val="a1"/>
    <w:link w:val="af6"/>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af6">
    <w:name w:val="页脚 字符"/>
    <w:basedOn w:val="a2"/>
    <w:link w:val="af5"/>
    <w:uiPriority w:val="99"/>
    <w:rsid w:val="00DD256F"/>
    <w:rPr>
      <w:rFonts w:ascii="Calibri" w:eastAsia="宋体" w:hAnsi="Calibri" w:cs="Times New Roman"/>
      <w:sz w:val="18"/>
      <w:szCs w:val="18"/>
    </w:rPr>
  </w:style>
  <w:style w:type="paragraph" w:styleId="af7">
    <w:name w:val="Plain Text"/>
    <w:basedOn w:val="a1"/>
    <w:link w:val="af8"/>
    <w:rsid w:val="00DD256F"/>
    <w:pPr>
      <w:widowControl w:val="0"/>
      <w:jc w:val="both"/>
    </w:pPr>
    <w:rPr>
      <w:rFonts w:hAnsi="Courier New" w:cs="Times New Roman"/>
      <w:kern w:val="2"/>
      <w:szCs w:val="20"/>
    </w:rPr>
  </w:style>
  <w:style w:type="character" w:customStyle="1" w:styleId="af8">
    <w:name w:val="纯文本 字符"/>
    <w:basedOn w:val="a2"/>
    <w:link w:val="af7"/>
    <w:rsid w:val="00DD256F"/>
    <w:rPr>
      <w:rFonts w:ascii="宋体" w:eastAsia="宋体" w:hAnsi="Courier New" w:cs="Times New Roman"/>
      <w:szCs w:val="20"/>
    </w:rPr>
  </w:style>
  <w:style w:type="character" w:customStyle="1" w:styleId="headline-content2">
    <w:name w:val="headline-content2"/>
    <w:basedOn w:val="a2"/>
    <w:rsid w:val="00DD256F"/>
    <w:rPr>
      <w:rFonts w:eastAsia="宋体" w:cs="Times New Roman"/>
      <w:kern w:val="2"/>
      <w:sz w:val="24"/>
      <w:szCs w:val="24"/>
      <w:lang w:val="en-US" w:eastAsia="zh-CN" w:bidi="ar-SA"/>
    </w:rPr>
  </w:style>
  <w:style w:type="paragraph" w:styleId="af9">
    <w:name w:val="Body Text"/>
    <w:basedOn w:val="a1"/>
    <w:link w:val="afa"/>
    <w:uiPriority w:val="99"/>
    <w:rsid w:val="00DD256F"/>
    <w:pPr>
      <w:widowControl w:val="0"/>
      <w:spacing w:after="120"/>
      <w:jc w:val="both"/>
    </w:pPr>
    <w:rPr>
      <w:rFonts w:ascii="Times New Roman" w:hAnsi="Times New Roman" w:cs="Times New Roman"/>
      <w:kern w:val="2"/>
      <w:szCs w:val="21"/>
    </w:rPr>
  </w:style>
  <w:style w:type="character" w:customStyle="1" w:styleId="afa">
    <w:name w:val="正文文本 字符"/>
    <w:basedOn w:val="a2"/>
    <w:link w:val="af9"/>
    <w:uiPriority w:val="99"/>
    <w:rsid w:val="00DD256F"/>
    <w:rPr>
      <w:rFonts w:ascii="Times New Roman" w:eastAsia="宋体" w:hAnsi="Times New Roman" w:cs="Times New Roman"/>
      <w:szCs w:val="21"/>
    </w:rPr>
  </w:style>
  <w:style w:type="paragraph" w:customStyle="1" w:styleId="write2">
    <w:name w:val="write2"/>
    <w:basedOn w:val="a1"/>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b">
    <w:name w:val="Date"/>
    <w:basedOn w:val="a1"/>
    <w:next w:val="a1"/>
    <w:link w:val="afc"/>
    <w:uiPriority w:val="99"/>
    <w:rsid w:val="00DD256F"/>
    <w:pPr>
      <w:widowControl w:val="0"/>
      <w:ind w:leftChars="2500" w:left="100"/>
      <w:jc w:val="both"/>
    </w:pPr>
    <w:rPr>
      <w:rFonts w:ascii="Times New Roman" w:hAnsi="Times New Roman" w:cs="Times New Roman"/>
      <w:kern w:val="2"/>
      <w:szCs w:val="21"/>
    </w:rPr>
  </w:style>
  <w:style w:type="character" w:customStyle="1" w:styleId="afc">
    <w:name w:val="日期 字符"/>
    <w:basedOn w:val="a2"/>
    <w:link w:val="afb"/>
    <w:uiPriority w:val="99"/>
    <w:rsid w:val="00DD256F"/>
    <w:rPr>
      <w:rFonts w:ascii="Times New Roman" w:eastAsia="宋体" w:hAnsi="Times New Roman" w:cs="Times New Roman"/>
      <w:szCs w:val="21"/>
    </w:rPr>
  </w:style>
  <w:style w:type="paragraph" w:styleId="afd">
    <w:name w:val="Note Heading"/>
    <w:basedOn w:val="a1"/>
    <w:next w:val="a1"/>
    <w:link w:val="afe"/>
    <w:uiPriority w:val="99"/>
    <w:rsid w:val="00DD256F"/>
    <w:pPr>
      <w:widowControl w:val="0"/>
      <w:jc w:val="center"/>
    </w:pPr>
    <w:rPr>
      <w:rFonts w:ascii="Times New Roman" w:hAnsi="Times New Roman" w:cs="Times New Roman"/>
      <w:kern w:val="2"/>
      <w:szCs w:val="21"/>
    </w:rPr>
  </w:style>
  <w:style w:type="character" w:customStyle="1" w:styleId="afe">
    <w:name w:val="注释标题 字符"/>
    <w:basedOn w:val="a2"/>
    <w:link w:val="afd"/>
    <w:uiPriority w:val="99"/>
    <w:rsid w:val="00DD256F"/>
    <w:rPr>
      <w:rFonts w:ascii="Times New Roman" w:eastAsia="宋体" w:hAnsi="Times New Roman" w:cs="Times New Roman"/>
      <w:szCs w:val="21"/>
    </w:rPr>
  </w:style>
  <w:style w:type="paragraph" w:styleId="aff">
    <w:name w:val="toa heading"/>
    <w:basedOn w:val="a1"/>
    <w:next w:val="a1"/>
    <w:link w:val="aff0"/>
    <w:semiHidden/>
    <w:rsid w:val="00DD256F"/>
    <w:pPr>
      <w:widowControl w:val="0"/>
      <w:spacing w:before="120"/>
      <w:jc w:val="both"/>
    </w:pPr>
    <w:rPr>
      <w:rFonts w:ascii="Arial" w:hAnsi="Arial" w:cs="Times New Roman"/>
      <w:b/>
      <w:bCs/>
      <w:kern w:val="2"/>
      <w:szCs w:val="21"/>
    </w:rPr>
  </w:style>
  <w:style w:type="paragraph" w:customStyle="1" w:styleId="51">
    <w:name w:val="标题5"/>
    <w:basedOn w:val="a1"/>
    <w:link w:val="aff1"/>
    <w:rsid w:val="005B5D50"/>
    <w:pPr>
      <w:keepNext/>
      <w:keepLines/>
      <w:widowControl w:val="0"/>
      <w:spacing w:before="60" w:after="60"/>
      <w:ind w:hangingChars="200" w:hanging="420"/>
      <w:jc w:val="both"/>
      <w:outlineLvl w:val="4"/>
    </w:pPr>
    <w:rPr>
      <w:rFonts w:cs="Times New Roman"/>
      <w:b/>
      <w:bCs/>
      <w:kern w:val="2"/>
      <w:szCs w:val="21"/>
    </w:rPr>
  </w:style>
  <w:style w:type="paragraph" w:styleId="aff2">
    <w:name w:val="Revision"/>
    <w:link w:val="aff3"/>
    <w:hidden/>
    <w:uiPriority w:val="99"/>
    <w:semiHidden/>
    <w:rsid w:val="00BC1CB9"/>
    <w:rPr>
      <w:kern w:val="2"/>
      <w:sz w:val="21"/>
      <w:szCs w:val="22"/>
    </w:rPr>
  </w:style>
  <w:style w:type="character" w:customStyle="1" w:styleId="Char">
    <w:name w:val="正文的样式 Char"/>
    <w:basedOn w:val="a2"/>
    <w:link w:val="aff4"/>
    <w:rsid w:val="006B00D5"/>
    <w:rPr>
      <w:kern w:val="2"/>
      <w:sz w:val="21"/>
      <w:szCs w:val="24"/>
    </w:rPr>
  </w:style>
  <w:style w:type="paragraph" w:customStyle="1" w:styleId="aff4">
    <w:name w:val="正文的样式"/>
    <w:basedOn w:val="a1"/>
    <w:link w:val="Char"/>
    <w:qFormat/>
    <w:rsid w:val="006B00D5"/>
    <w:pPr>
      <w:widowControl w:val="0"/>
      <w:spacing w:before="100" w:after="100"/>
      <w:jc w:val="both"/>
    </w:pPr>
    <w:rPr>
      <w:rFonts w:ascii="Calibri" w:hAnsi="Calibri" w:cs="Times New Roman"/>
      <w:kern w:val="2"/>
    </w:rPr>
  </w:style>
  <w:style w:type="paragraph" w:styleId="aff5">
    <w:name w:val="Document Map"/>
    <w:basedOn w:val="a1"/>
    <w:link w:val="aff6"/>
    <w:uiPriority w:val="99"/>
    <w:semiHidden/>
    <w:unhideWhenUsed/>
    <w:rsid w:val="0002110B"/>
    <w:pPr>
      <w:widowControl w:val="0"/>
      <w:jc w:val="both"/>
    </w:pPr>
    <w:rPr>
      <w:rFonts w:hAnsi="Calibri" w:cs="Times New Roman"/>
      <w:kern w:val="2"/>
      <w:sz w:val="18"/>
      <w:szCs w:val="18"/>
    </w:rPr>
  </w:style>
  <w:style w:type="character" w:customStyle="1" w:styleId="aff6">
    <w:name w:val="文档结构图 字符"/>
    <w:basedOn w:val="a2"/>
    <w:link w:val="aff5"/>
    <w:uiPriority w:val="99"/>
    <w:semiHidden/>
    <w:rsid w:val="0002110B"/>
    <w:rPr>
      <w:rFonts w:ascii="宋体"/>
      <w:kern w:val="2"/>
      <w:sz w:val="18"/>
      <w:szCs w:val="18"/>
    </w:rPr>
  </w:style>
  <w:style w:type="character" w:styleId="aff7">
    <w:name w:val="Placeholder Text"/>
    <w:basedOn w:val="a2"/>
    <w:link w:val="aff8"/>
    <w:uiPriority w:val="99"/>
    <w:semiHidden/>
    <w:rsid w:val="00205C40"/>
    <w:rPr>
      <w:color w:val="auto"/>
    </w:rPr>
  </w:style>
  <w:style w:type="numbering" w:customStyle="1" w:styleId="1">
    <w:name w:val="样式1"/>
    <w:uiPriority w:val="99"/>
    <w:rsid w:val="00C65930"/>
    <w:pPr>
      <w:numPr>
        <w:numId w:val="24"/>
      </w:numPr>
    </w:pPr>
  </w:style>
  <w:style w:type="paragraph" w:styleId="aff9">
    <w:name w:val="Title"/>
    <w:basedOn w:val="a1"/>
    <w:next w:val="a1"/>
    <w:link w:val="affa"/>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affa">
    <w:name w:val="标题 字符"/>
    <w:basedOn w:val="a2"/>
    <w:link w:val="aff9"/>
    <w:rsid w:val="00F23D17"/>
    <w:rPr>
      <w:rFonts w:asciiTheme="majorHAnsi" w:hAnsiTheme="majorHAnsi" w:cstheme="majorBidi"/>
      <w:b/>
      <w:bCs/>
      <w:kern w:val="2"/>
      <w:sz w:val="32"/>
      <w:szCs w:val="32"/>
    </w:rPr>
  </w:style>
  <w:style w:type="paragraph" w:styleId="affb">
    <w:name w:val="No Spacing"/>
    <w:link w:val="affc"/>
    <w:uiPriority w:val="1"/>
    <w:qFormat/>
    <w:rsid w:val="00BE4764"/>
    <w:pPr>
      <w:widowControl w:val="0"/>
      <w:jc w:val="both"/>
    </w:pPr>
    <w:rPr>
      <w:kern w:val="2"/>
      <w:sz w:val="21"/>
      <w:szCs w:val="22"/>
    </w:rPr>
  </w:style>
  <w:style w:type="paragraph" w:styleId="TOC4">
    <w:name w:val="toc 4"/>
    <w:basedOn w:val="a1"/>
    <w:next w:val="a1"/>
    <w:link w:val="TOC40"/>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TOC5">
    <w:name w:val="toc 5"/>
    <w:basedOn w:val="a1"/>
    <w:next w:val="a1"/>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TOC6">
    <w:name w:val="toc 6"/>
    <w:basedOn w:val="a1"/>
    <w:next w:val="a1"/>
    <w:link w:val="TOC60"/>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TOC7">
    <w:name w:val="toc 7"/>
    <w:basedOn w:val="a1"/>
    <w:next w:val="a1"/>
    <w:link w:val="TOC70"/>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TOC8">
    <w:name w:val="toc 8"/>
    <w:basedOn w:val="a1"/>
    <w:next w:val="a1"/>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TOC9">
    <w:name w:val="toc 9"/>
    <w:basedOn w:val="a1"/>
    <w:next w:val="a1"/>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0">
    <w:name w:val="标题 6 字符"/>
    <w:basedOn w:val="a2"/>
    <w:link w:val="6"/>
    <w:uiPriority w:val="9"/>
    <w:rsid w:val="005B5D50"/>
    <w:rPr>
      <w:rFonts w:asciiTheme="majorHAnsi" w:hAnsiTheme="majorHAnsi" w:cstheme="majorBidi"/>
      <w:b/>
      <w:bCs/>
      <w:sz w:val="21"/>
      <w:szCs w:val="24"/>
    </w:rPr>
  </w:style>
  <w:style w:type="paragraph" w:styleId="affd">
    <w:name w:val="Normal (Web)"/>
    <w:basedOn w:val="a1"/>
    <w:link w:val="affe"/>
    <w:uiPriority w:val="99"/>
    <w:rsid w:val="00C17CE1"/>
    <w:pPr>
      <w:spacing w:before="100" w:beforeAutospacing="1" w:after="100" w:afterAutospacing="1"/>
    </w:pPr>
    <w:rPr>
      <w:sz w:val="24"/>
    </w:rPr>
  </w:style>
  <w:style w:type="paragraph" w:styleId="afff">
    <w:name w:val="endnote text"/>
    <w:basedOn w:val="a1"/>
    <w:link w:val="afff0"/>
    <w:uiPriority w:val="99"/>
    <w:semiHidden/>
    <w:unhideWhenUsed/>
    <w:rsid w:val="001116D4"/>
    <w:pPr>
      <w:snapToGrid w:val="0"/>
    </w:pPr>
  </w:style>
  <w:style w:type="character" w:customStyle="1" w:styleId="afff0">
    <w:name w:val="尾注文本 字符"/>
    <w:basedOn w:val="a2"/>
    <w:link w:val="afff"/>
    <w:uiPriority w:val="99"/>
    <w:semiHidden/>
    <w:rsid w:val="001116D4"/>
    <w:rPr>
      <w:rFonts w:ascii="宋体" w:hAnsi="宋体" w:cs="宋体"/>
      <w:sz w:val="21"/>
      <w:szCs w:val="24"/>
    </w:rPr>
  </w:style>
  <w:style w:type="character" w:styleId="afff1">
    <w:name w:val="endnote reference"/>
    <w:basedOn w:val="a2"/>
    <w:link w:val="afff2"/>
    <w:uiPriority w:val="99"/>
    <w:semiHidden/>
    <w:unhideWhenUsed/>
    <w:rsid w:val="001116D4"/>
    <w:rPr>
      <w:vertAlign w:val="superscript"/>
    </w:rPr>
  </w:style>
  <w:style w:type="character" w:customStyle="1" w:styleId="Char1">
    <w:name w:val="批注主题 Char1"/>
    <w:basedOn w:val="a8"/>
    <w:uiPriority w:val="99"/>
    <w:semiHidden/>
    <w:rsid w:val="0067754A"/>
    <w:rPr>
      <w:rFonts w:ascii="Times New Roman" w:eastAsia="宋体" w:hAnsi="Times New Roman" w:cs="Times New Roman"/>
      <w:b/>
      <w:bCs/>
      <w:szCs w:val="21"/>
    </w:rPr>
  </w:style>
  <w:style w:type="paragraph" w:customStyle="1" w:styleId="31">
    <w:name w:val="标题  3"/>
    <w:basedOn w:val="a1"/>
    <w:next w:val="a1"/>
    <w:link w:val="3Char"/>
    <w:qFormat/>
    <w:rsid w:val="00D30BB3"/>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
    <w:name w:val="标题  3 Char"/>
    <w:basedOn w:val="a2"/>
    <w:link w:val="31"/>
    <w:rsid w:val="00D30BB3"/>
    <w:rPr>
      <w:rFonts w:ascii="Times New Roman" w:hAnsi="Times New Roman"/>
      <w:b/>
      <w:kern w:val="2"/>
      <w:sz w:val="21"/>
      <w:szCs w:val="24"/>
    </w:rPr>
  </w:style>
  <w:style w:type="character" w:customStyle="1" w:styleId="12">
    <w:name w:val="批注主题 字符1"/>
    <w:basedOn w:val="a8"/>
    <w:link w:val="afff3"/>
    <w:uiPriority w:val="99"/>
    <w:semiHidden/>
    <w:rsid w:val="005F6ED8"/>
    <w:rPr>
      <w:rFonts w:ascii="Times New Roman" w:eastAsia="宋体" w:hAnsi="Times New Roman" w:cs="Times New Roman"/>
      <w:b/>
      <w:bCs/>
      <w:szCs w:val="21"/>
    </w:rPr>
  </w:style>
  <w:style w:type="character" w:customStyle="1" w:styleId="70">
    <w:name w:val="标题 7 字符"/>
    <w:basedOn w:val="a2"/>
    <w:link w:val="7"/>
    <w:uiPriority w:val="9"/>
    <w:rsid w:val="00FD46A6"/>
    <w:rPr>
      <w:rFonts w:ascii="宋体" w:hAnsi="宋体" w:cs="宋体"/>
      <w:b/>
      <w:bCs/>
      <w:sz w:val="24"/>
      <w:szCs w:val="24"/>
    </w:rPr>
  </w:style>
  <w:style w:type="paragraph" w:styleId="13">
    <w:name w:val="index 1"/>
    <w:basedOn w:val="a1"/>
    <w:next w:val="a1"/>
    <w:link w:val="14"/>
    <w:autoRedefine/>
    <w:semiHidden/>
    <w:rsid w:val="00FD46A6"/>
    <w:pPr>
      <w:ind w:firstLineChars="200" w:firstLine="420"/>
    </w:pPr>
    <w:rPr>
      <w:rFonts w:cs="Times New Roman"/>
      <w:color w:val="000000"/>
      <w:szCs w:val="21"/>
    </w:rPr>
  </w:style>
  <w:style w:type="character" w:customStyle="1" w:styleId="span">
    <w:name w:val="span_"/>
    <w:basedOn w:val="a2"/>
    <w:rsid w:val="00FD46A6"/>
  </w:style>
  <w:style w:type="paragraph" w:styleId="afff4">
    <w:name w:val="Normal Indent"/>
    <w:basedOn w:val="a1"/>
    <w:rsid w:val="00FD46A6"/>
    <w:pPr>
      <w:widowControl w:val="0"/>
      <w:ind w:firstLineChars="200" w:firstLine="420"/>
      <w:jc w:val="both"/>
    </w:pPr>
    <w:rPr>
      <w:rFonts w:ascii="Times New Roman" w:hAnsi="Times New Roman" w:cs="Times New Roman"/>
      <w:kern w:val="2"/>
      <w:szCs w:val="21"/>
    </w:rPr>
  </w:style>
  <w:style w:type="paragraph" w:styleId="32">
    <w:name w:val="List Bullet 3"/>
    <w:basedOn w:val="a1"/>
    <w:link w:val="33"/>
    <w:rsid w:val="00FD46A6"/>
    <w:pPr>
      <w:widowControl w:val="0"/>
      <w:tabs>
        <w:tab w:val="left" w:pos="1200"/>
      </w:tabs>
      <w:jc w:val="both"/>
    </w:pPr>
    <w:rPr>
      <w:rFonts w:ascii="Times New Roman" w:hAnsi="Times New Roman" w:cs="Times New Roman"/>
      <w:kern w:val="2"/>
      <w:szCs w:val="21"/>
    </w:rPr>
  </w:style>
  <w:style w:type="character" w:customStyle="1" w:styleId="4Char">
    <w:name w:val="标题 4 Char"/>
    <w:uiPriority w:val="9"/>
    <w:rsid w:val="00FD46A6"/>
    <w:rPr>
      <w:rFonts w:ascii="Cambria" w:hAnsi="Cambria"/>
      <w:b/>
      <w:bCs/>
      <w:kern w:val="2"/>
      <w:sz w:val="21"/>
      <w:szCs w:val="28"/>
    </w:rPr>
  </w:style>
  <w:style w:type="paragraph" w:customStyle="1" w:styleId="41">
    <w:name w:val="4"/>
    <w:basedOn w:val="a1"/>
    <w:next w:val="af"/>
    <w:link w:val="afff5"/>
    <w:uiPriority w:val="34"/>
    <w:qFormat/>
    <w:rsid w:val="00FD46A6"/>
    <w:pPr>
      <w:widowControl w:val="0"/>
      <w:ind w:firstLineChars="200" w:firstLine="420"/>
      <w:jc w:val="both"/>
    </w:pPr>
    <w:rPr>
      <w:rFonts w:ascii="Calibri" w:hAnsi="Calibri" w:cs="Times New Roman"/>
      <w:kern w:val="2"/>
      <w:szCs w:val="22"/>
    </w:rPr>
  </w:style>
  <w:style w:type="table" w:customStyle="1" w:styleId="21">
    <w:name w:val="无格式表格 21"/>
    <w:basedOn w:val="a3"/>
    <w:link w:val="afff6"/>
    <w:uiPriority w:val="42"/>
    <w:rsid w:val="00FD46A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4">
    <w:name w:val="3"/>
    <w:basedOn w:val="a1"/>
    <w:next w:val="af"/>
    <w:link w:val="afff7"/>
    <w:uiPriority w:val="34"/>
    <w:qFormat/>
    <w:rsid w:val="00FD46A6"/>
    <w:pPr>
      <w:widowControl w:val="0"/>
      <w:ind w:firstLineChars="200" w:firstLine="420"/>
      <w:jc w:val="both"/>
    </w:pPr>
    <w:rPr>
      <w:rFonts w:ascii="Calibri" w:hAnsi="Calibri" w:cs="Times New Roman"/>
      <w:kern w:val="2"/>
      <w:szCs w:val="22"/>
    </w:rPr>
  </w:style>
  <w:style w:type="character" w:customStyle="1" w:styleId="3Char0">
    <w:name w:val="标题 3 Char"/>
    <w:uiPriority w:val="9"/>
    <w:rsid w:val="00FD46A6"/>
    <w:rPr>
      <w:b/>
      <w:bCs/>
      <w:kern w:val="2"/>
      <w:sz w:val="21"/>
      <w:szCs w:val="32"/>
    </w:rPr>
  </w:style>
  <w:style w:type="paragraph" w:customStyle="1" w:styleId="22">
    <w:name w:val="2"/>
    <w:basedOn w:val="a1"/>
    <w:next w:val="af"/>
    <w:link w:val="afff8"/>
    <w:uiPriority w:val="34"/>
    <w:qFormat/>
    <w:rsid w:val="00FD46A6"/>
    <w:pPr>
      <w:widowControl w:val="0"/>
      <w:ind w:firstLineChars="200" w:firstLine="420"/>
      <w:jc w:val="both"/>
    </w:pPr>
    <w:rPr>
      <w:rFonts w:ascii="Calibri" w:hAnsi="Calibri" w:cs="Times New Roman"/>
      <w:kern w:val="2"/>
      <w:szCs w:val="22"/>
    </w:rPr>
  </w:style>
  <w:style w:type="paragraph" w:customStyle="1" w:styleId="15">
    <w:name w:val="1"/>
    <w:basedOn w:val="a1"/>
    <w:next w:val="af"/>
    <w:link w:val="afff9"/>
    <w:uiPriority w:val="34"/>
    <w:qFormat/>
    <w:rsid w:val="00FD46A6"/>
    <w:pPr>
      <w:widowControl w:val="0"/>
      <w:ind w:firstLineChars="200" w:firstLine="420"/>
      <w:jc w:val="both"/>
    </w:pPr>
    <w:rPr>
      <w:rFonts w:ascii="Calibri" w:hAnsi="Calibri" w:cs="Times New Roman"/>
      <w:kern w:val="2"/>
      <w:szCs w:val="22"/>
    </w:rPr>
  </w:style>
  <w:style w:type="paragraph" w:customStyle="1" w:styleId="TableParagraph">
    <w:name w:val="Table Paragraph"/>
    <w:basedOn w:val="a1"/>
    <w:uiPriority w:val="1"/>
    <w:qFormat/>
    <w:rsid w:val="00FD46A6"/>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paragraph" w:customStyle="1" w:styleId="Default">
    <w:name w:val="Default"/>
    <w:rsid w:val="00894C86"/>
    <w:pPr>
      <w:widowControl w:val="0"/>
      <w:autoSpaceDE w:val="0"/>
      <w:autoSpaceDN w:val="0"/>
      <w:adjustRightInd w:val="0"/>
    </w:pPr>
    <w:rPr>
      <w:rFonts w:ascii="宋体" w:cs="宋体"/>
      <w:color w:val="000000"/>
      <w:sz w:val="24"/>
      <w:szCs w:val="24"/>
    </w:rPr>
  </w:style>
  <w:style w:type="table" w:customStyle="1" w:styleId="g1">
    <w:name w:val="g1"/>
    <w:uiPriority w:val="99"/>
    <w:semiHidden/>
    <w:unhideWhenUsed/>
    <w:tblPr>
      <w:tblInd w:w="0" w:type="dxa"/>
      <w:tblCellMar>
        <w:top w:w="0" w:type="dxa"/>
        <w:left w:w="108" w:type="dxa"/>
        <w:bottom w:w="0" w:type="dxa"/>
        <w:right w:w="108" w:type="dxa"/>
      </w:tblCellMar>
    </w:tblPr>
  </w:style>
  <w:style w:type="table" w:customStyle="1" w:styleId="g2">
    <w:name w:val="g2"/>
    <w:basedOn w:val="a3"/>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3">
    <w:name w:val="g3"/>
    <w:basedOn w:val="a3"/>
    <w:uiPriority w:val="42"/>
    <w:rsid w:val="00FD46A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OC10">
    <w:name w:val="TOC 1 字符"/>
    <w:basedOn w:val="a1"/>
    <w:next w:val="a1"/>
    <w:link w:val="TOC1"/>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TOC20">
    <w:name w:val="TOC 2 字符"/>
    <w:basedOn w:val="a1"/>
    <w:next w:val="a1"/>
    <w:link w:val="TOC2"/>
    <w:qFormat/>
    <w:rsid w:val="005B5D50"/>
    <w:pPr>
      <w:keepNext/>
      <w:keepLines/>
      <w:widowControl w:val="0"/>
      <w:spacing w:before="60" w:after="60"/>
      <w:jc w:val="both"/>
      <w:outlineLvl w:val="1"/>
    </w:pPr>
    <w:rPr>
      <w:rFonts w:ascii="Arial" w:hAnsi="Arial" w:cs="Times New Roman"/>
      <w:b/>
      <w:bCs/>
      <w:kern w:val="2"/>
      <w:szCs w:val="21"/>
    </w:rPr>
  </w:style>
  <w:style w:type="paragraph" w:customStyle="1" w:styleId="TOC30">
    <w:name w:val="TOC 3 字符"/>
    <w:basedOn w:val="a1"/>
    <w:next w:val="a1"/>
    <w:link w:val="TOC3"/>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TOC40">
    <w:name w:val="TOC 4 字符"/>
    <w:basedOn w:val="a1"/>
    <w:next w:val="a1"/>
    <w:link w:val="TOC4"/>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aff1">
    <w:basedOn w:val="a1"/>
    <w:next w:val="a1"/>
    <w:link w:val="51"/>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customStyle="1" w:styleId="TOC60">
    <w:name w:val="TOC 6 字符"/>
    <w:basedOn w:val="a1"/>
    <w:next w:val="a1"/>
    <w:link w:val="TOC6"/>
    <w:uiPriority w:val="9"/>
    <w:unhideWhenUsed/>
    <w:qFormat/>
    <w:rsid w:val="005B5D50"/>
    <w:pPr>
      <w:keepNext/>
      <w:keepLines/>
      <w:spacing w:before="60" w:after="60"/>
      <w:outlineLvl w:val="5"/>
    </w:pPr>
    <w:rPr>
      <w:rFonts w:asciiTheme="majorHAnsi" w:hAnsiTheme="majorHAnsi" w:cstheme="majorBidi"/>
      <w:b/>
      <w:bCs/>
    </w:rPr>
  </w:style>
  <w:style w:type="paragraph" w:customStyle="1" w:styleId="TOC70">
    <w:name w:val="TOC 7 字符"/>
    <w:basedOn w:val="a1"/>
    <w:next w:val="a1"/>
    <w:link w:val="TOC7"/>
    <w:uiPriority w:val="9"/>
    <w:unhideWhenUsed/>
    <w:qFormat/>
    <w:rsid w:val="00FD46A6"/>
    <w:pPr>
      <w:keepNext/>
      <w:keepLines/>
      <w:spacing w:before="240" w:after="64" w:line="320" w:lineRule="auto"/>
      <w:outlineLvl w:val="6"/>
    </w:pPr>
    <w:rPr>
      <w:b/>
      <w:bCs/>
      <w:sz w:val="24"/>
    </w:rPr>
  </w:style>
  <w:style w:type="character" w:customStyle="1" w:styleId="afffa">
    <w:basedOn w:val="a2"/>
    <w:uiPriority w:val="99"/>
    <w:rsid w:val="005B5D50"/>
    <w:rPr>
      <w:rFonts w:eastAsia="黑体"/>
      <w:b/>
      <w:bCs/>
      <w:kern w:val="44"/>
      <w:sz w:val="28"/>
      <w:szCs w:val="44"/>
    </w:rPr>
  </w:style>
  <w:style w:type="character" w:customStyle="1" w:styleId="2CharCharChar">
    <w:name w:val="标题 2 Char Char Char 字符"/>
    <w:basedOn w:val="a2"/>
    <w:rsid w:val="005B5D50"/>
    <w:rPr>
      <w:rFonts w:ascii="Arial" w:hAnsi="Arial"/>
      <w:b/>
      <w:bCs/>
      <w:kern w:val="2"/>
      <w:sz w:val="21"/>
      <w:szCs w:val="21"/>
    </w:rPr>
  </w:style>
  <w:style w:type="character" w:customStyle="1" w:styleId="afffb">
    <w:basedOn w:val="a2"/>
    <w:uiPriority w:val="9"/>
    <w:rsid w:val="005B5D50"/>
    <w:rPr>
      <w:b/>
      <w:bCs/>
      <w:kern w:val="2"/>
      <w:sz w:val="21"/>
      <w:szCs w:val="32"/>
    </w:rPr>
  </w:style>
  <w:style w:type="character" w:customStyle="1" w:styleId="afffc">
    <w:basedOn w:val="a2"/>
    <w:uiPriority w:val="9"/>
    <w:rsid w:val="005B5D50"/>
    <w:rPr>
      <w:rFonts w:ascii="Cambria" w:hAnsi="Cambria"/>
      <w:b/>
      <w:bCs/>
      <w:kern w:val="2"/>
      <w:sz w:val="21"/>
      <w:szCs w:val="28"/>
    </w:rPr>
  </w:style>
  <w:style w:type="character" w:customStyle="1" w:styleId="afffd">
    <w:basedOn w:val="a2"/>
    <w:uiPriority w:val="9"/>
    <w:rsid w:val="00586078"/>
    <w:rPr>
      <w:b/>
      <w:bCs/>
      <w:kern w:val="2"/>
      <w:sz w:val="21"/>
      <w:szCs w:val="28"/>
    </w:rPr>
  </w:style>
  <w:style w:type="paragraph" w:customStyle="1" w:styleId="afffe">
    <w:basedOn w:val="a1"/>
    <w:next w:val="a1"/>
    <w:autoRedefine/>
    <w:uiPriority w:val="39"/>
    <w:qFormat/>
    <w:rsid w:val="00DD256F"/>
    <w:pPr>
      <w:widowControl w:val="0"/>
      <w:jc w:val="both"/>
    </w:pPr>
    <w:rPr>
      <w:rFonts w:ascii="Times New Roman" w:hAnsi="Times New Roman" w:cs="Times New Roman"/>
      <w:kern w:val="2"/>
      <w:szCs w:val="21"/>
    </w:rPr>
  </w:style>
  <w:style w:type="paragraph" w:customStyle="1" w:styleId="affff">
    <w:basedOn w:val="a1"/>
    <w:next w:val="a1"/>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aa">
    <w:basedOn w:val="a1"/>
    <w:link w:val="a9"/>
    <w:rsid w:val="00DD256F"/>
    <w:pPr>
      <w:widowControl w:val="0"/>
    </w:pPr>
    <w:rPr>
      <w:rFonts w:ascii="Times New Roman" w:hAnsi="Times New Roman" w:cs="Times New Roman"/>
      <w:kern w:val="2"/>
      <w:szCs w:val="21"/>
    </w:rPr>
  </w:style>
  <w:style w:type="character" w:customStyle="1" w:styleId="affff0">
    <w:basedOn w:val="a2"/>
    <w:rsid w:val="00DD256F"/>
    <w:rPr>
      <w:rFonts w:ascii="Times New Roman" w:eastAsia="宋体" w:hAnsi="Times New Roman" w:cs="Times New Roman"/>
      <w:szCs w:val="21"/>
    </w:rPr>
  </w:style>
  <w:style w:type="table" w:customStyle="1" w:styleId="affff1">
    <w:basedOn w:val="a3"/>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列表段落 字符"/>
    <w:basedOn w:val="a1"/>
    <w:link w:val="af"/>
    <w:uiPriority w:val="99"/>
    <w:unhideWhenUsed/>
    <w:rsid w:val="00DD256F"/>
    <w:pPr>
      <w:widowControl w:val="0"/>
      <w:jc w:val="both"/>
    </w:pPr>
    <w:rPr>
      <w:rFonts w:ascii="Calibri" w:hAnsi="Calibri" w:cs="Times New Roman"/>
      <w:kern w:val="2"/>
      <w:sz w:val="18"/>
      <w:szCs w:val="18"/>
    </w:rPr>
  </w:style>
  <w:style w:type="character" w:customStyle="1" w:styleId="affff2">
    <w:basedOn w:val="a2"/>
    <w:uiPriority w:val="99"/>
    <w:rsid w:val="00DD256F"/>
    <w:rPr>
      <w:rFonts w:ascii="Calibri" w:eastAsia="宋体" w:hAnsi="Calibri" w:cs="Times New Roman"/>
      <w:sz w:val="18"/>
      <w:szCs w:val="18"/>
    </w:rPr>
  </w:style>
  <w:style w:type="paragraph" w:customStyle="1" w:styleId="affff3">
    <w:basedOn w:val="a1"/>
    <w:next w:val="a1"/>
    <w:uiPriority w:val="99"/>
    <w:rsid w:val="00DD256F"/>
    <w:pPr>
      <w:widowControl w:val="0"/>
      <w:jc w:val="both"/>
    </w:pPr>
    <w:rPr>
      <w:rFonts w:ascii="Times New Roman" w:hAnsi="Times New Roman" w:cs="Times New Roman"/>
      <w:kern w:val="2"/>
      <w:szCs w:val="21"/>
    </w:rPr>
  </w:style>
  <w:style w:type="character" w:customStyle="1" w:styleId="affff4">
    <w:basedOn w:val="a2"/>
    <w:uiPriority w:val="99"/>
    <w:rsid w:val="00DD256F"/>
    <w:rPr>
      <w:rFonts w:ascii="Times New Roman" w:eastAsia="宋体" w:hAnsi="Times New Roman" w:cs="Times New Roman"/>
      <w:szCs w:val="21"/>
    </w:rPr>
  </w:style>
  <w:style w:type="paragraph" w:customStyle="1" w:styleId="affff5">
    <w:basedOn w:val="a1"/>
    <w:uiPriority w:val="34"/>
    <w:qFormat/>
    <w:rsid w:val="00DD256F"/>
    <w:pPr>
      <w:widowControl w:val="0"/>
      <w:ind w:firstLineChars="200" w:firstLine="420"/>
      <w:jc w:val="both"/>
    </w:pPr>
    <w:rPr>
      <w:rFonts w:ascii="Calibri" w:hAnsi="Calibri" w:cs="Times New Roman"/>
      <w:kern w:val="2"/>
      <w:szCs w:val="22"/>
    </w:rPr>
  </w:style>
  <w:style w:type="character" w:customStyle="1" w:styleId="affff6">
    <w:uiPriority w:val="99"/>
    <w:rsid w:val="00DD256F"/>
    <w:rPr>
      <w:rFonts w:ascii="Calibri" w:eastAsia="宋体" w:hAnsi="Calibri" w:cs="Times New Roman"/>
      <w:b/>
      <w:bCs/>
      <w:szCs w:val="21"/>
    </w:rPr>
  </w:style>
  <w:style w:type="paragraph" w:customStyle="1" w:styleId="affff7">
    <w:basedOn w:val="a7"/>
    <w:next w:val="a7"/>
    <w:uiPriority w:val="99"/>
    <w:unhideWhenUsed/>
    <w:rsid w:val="00DD256F"/>
    <w:rPr>
      <w:rFonts w:ascii="Calibri" w:hAnsi="Calibri"/>
      <w:b/>
      <w:bCs/>
      <w:szCs w:val="22"/>
    </w:rPr>
  </w:style>
  <w:style w:type="paragraph" w:customStyle="1" w:styleId="affff8">
    <w:basedOn w:val="a1"/>
    <w:next w:val="a1"/>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affff9">
    <w:basedOn w:val="a1"/>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affffa">
    <w:basedOn w:val="a2"/>
    <w:uiPriority w:val="99"/>
    <w:rsid w:val="00DD256F"/>
    <w:rPr>
      <w:rFonts w:ascii="Calibri" w:eastAsia="宋体" w:hAnsi="Calibri" w:cs="Times New Roman"/>
      <w:sz w:val="18"/>
      <w:szCs w:val="18"/>
    </w:rPr>
  </w:style>
  <w:style w:type="paragraph" w:customStyle="1" w:styleId="aff3">
    <w:name w:val="修订 字符"/>
    <w:basedOn w:val="a1"/>
    <w:link w:val="aff2"/>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aff0">
    <w:name w:val="引文目录标题 字符"/>
    <w:basedOn w:val="a2"/>
    <w:link w:val="aff"/>
    <w:uiPriority w:val="99"/>
    <w:rsid w:val="00DD256F"/>
    <w:rPr>
      <w:rFonts w:ascii="Calibri" w:eastAsia="宋体" w:hAnsi="Calibri" w:cs="Times New Roman"/>
      <w:sz w:val="18"/>
      <w:szCs w:val="18"/>
    </w:rPr>
  </w:style>
  <w:style w:type="paragraph" w:customStyle="1" w:styleId="affffb">
    <w:basedOn w:val="a1"/>
    <w:rsid w:val="00DD256F"/>
    <w:pPr>
      <w:widowControl w:val="0"/>
      <w:jc w:val="both"/>
    </w:pPr>
    <w:rPr>
      <w:rFonts w:hAnsi="Courier New" w:cs="Times New Roman"/>
      <w:kern w:val="2"/>
      <w:szCs w:val="20"/>
    </w:rPr>
  </w:style>
  <w:style w:type="character" w:customStyle="1" w:styleId="affffc">
    <w:basedOn w:val="a2"/>
    <w:rsid w:val="00DD256F"/>
    <w:rPr>
      <w:rFonts w:ascii="宋体" w:eastAsia="宋体" w:hAnsi="Courier New" w:cs="Times New Roman"/>
      <w:szCs w:val="20"/>
    </w:rPr>
  </w:style>
  <w:style w:type="paragraph" w:customStyle="1" w:styleId="affffd">
    <w:basedOn w:val="a1"/>
    <w:uiPriority w:val="99"/>
    <w:rsid w:val="00DD256F"/>
    <w:pPr>
      <w:widowControl w:val="0"/>
      <w:spacing w:after="120"/>
      <w:jc w:val="both"/>
    </w:pPr>
    <w:rPr>
      <w:rFonts w:ascii="Times New Roman" w:hAnsi="Times New Roman" w:cs="Times New Roman"/>
      <w:kern w:val="2"/>
      <w:szCs w:val="21"/>
    </w:rPr>
  </w:style>
  <w:style w:type="character" w:customStyle="1" w:styleId="aff8">
    <w:basedOn w:val="a2"/>
    <w:link w:val="aff7"/>
    <w:uiPriority w:val="99"/>
    <w:rsid w:val="00DD256F"/>
    <w:rPr>
      <w:rFonts w:ascii="Times New Roman" w:eastAsia="宋体" w:hAnsi="Times New Roman" w:cs="Times New Roman"/>
      <w:szCs w:val="21"/>
    </w:rPr>
  </w:style>
  <w:style w:type="paragraph" w:customStyle="1" w:styleId="affe">
    <w:name w:val="普通(网站) 字符"/>
    <w:basedOn w:val="a1"/>
    <w:next w:val="a1"/>
    <w:link w:val="affd"/>
    <w:uiPriority w:val="99"/>
    <w:rsid w:val="00DD256F"/>
    <w:pPr>
      <w:widowControl w:val="0"/>
      <w:ind w:leftChars="2500" w:left="100"/>
      <w:jc w:val="both"/>
    </w:pPr>
    <w:rPr>
      <w:rFonts w:ascii="Times New Roman" w:hAnsi="Times New Roman" w:cs="Times New Roman"/>
      <w:kern w:val="2"/>
      <w:szCs w:val="21"/>
    </w:rPr>
  </w:style>
  <w:style w:type="character" w:customStyle="1" w:styleId="affc">
    <w:name w:val="无间隔 字符"/>
    <w:basedOn w:val="a2"/>
    <w:link w:val="affb"/>
    <w:uiPriority w:val="99"/>
    <w:rsid w:val="00DD256F"/>
    <w:rPr>
      <w:rFonts w:ascii="Times New Roman" w:eastAsia="宋体" w:hAnsi="Times New Roman" w:cs="Times New Roman"/>
      <w:szCs w:val="21"/>
    </w:rPr>
  </w:style>
  <w:style w:type="paragraph" w:customStyle="1" w:styleId="afff2">
    <w:basedOn w:val="a1"/>
    <w:next w:val="a1"/>
    <w:link w:val="afff1"/>
    <w:uiPriority w:val="99"/>
    <w:rsid w:val="00DD256F"/>
    <w:pPr>
      <w:widowControl w:val="0"/>
      <w:jc w:val="center"/>
    </w:pPr>
    <w:rPr>
      <w:rFonts w:ascii="Times New Roman" w:hAnsi="Times New Roman" w:cs="Times New Roman"/>
      <w:kern w:val="2"/>
      <w:szCs w:val="21"/>
    </w:rPr>
  </w:style>
  <w:style w:type="character" w:customStyle="1" w:styleId="affffe">
    <w:basedOn w:val="a2"/>
    <w:uiPriority w:val="99"/>
    <w:rsid w:val="00DD256F"/>
    <w:rPr>
      <w:rFonts w:ascii="Times New Roman" w:eastAsia="宋体" w:hAnsi="Times New Roman" w:cs="Times New Roman"/>
      <w:szCs w:val="21"/>
    </w:rPr>
  </w:style>
  <w:style w:type="paragraph" w:customStyle="1" w:styleId="afffff">
    <w:basedOn w:val="a1"/>
    <w:next w:val="a1"/>
    <w:semiHidden/>
    <w:rsid w:val="00DD256F"/>
    <w:pPr>
      <w:widowControl w:val="0"/>
      <w:spacing w:before="120"/>
      <w:jc w:val="both"/>
    </w:pPr>
    <w:rPr>
      <w:rFonts w:ascii="Arial" w:hAnsi="Arial" w:cs="Times New Roman"/>
      <w:b/>
      <w:bCs/>
      <w:kern w:val="2"/>
      <w:szCs w:val="21"/>
    </w:rPr>
  </w:style>
  <w:style w:type="paragraph" w:customStyle="1" w:styleId="afffff0">
    <w:basedOn w:val="a1"/>
    <w:rsid w:val="005B5D50"/>
    <w:pPr>
      <w:keepNext/>
      <w:keepLines/>
      <w:widowControl w:val="0"/>
      <w:spacing w:before="60" w:after="60"/>
      <w:ind w:hangingChars="200" w:hanging="420"/>
      <w:jc w:val="both"/>
      <w:outlineLvl w:val="4"/>
    </w:pPr>
    <w:rPr>
      <w:rFonts w:cs="Times New Roman"/>
      <w:b/>
      <w:bCs/>
      <w:kern w:val="2"/>
      <w:szCs w:val="21"/>
    </w:rPr>
  </w:style>
  <w:style w:type="paragraph" w:customStyle="1" w:styleId="afffff1">
    <w:hidden/>
    <w:uiPriority w:val="99"/>
    <w:semiHidden/>
    <w:rsid w:val="00BC1CB9"/>
    <w:rPr>
      <w:kern w:val="2"/>
      <w:sz w:val="21"/>
      <w:szCs w:val="22"/>
    </w:rPr>
  </w:style>
  <w:style w:type="character" w:customStyle="1" w:styleId="afffff2">
    <w:basedOn w:val="a2"/>
    <w:rsid w:val="006B00D5"/>
    <w:rPr>
      <w:kern w:val="2"/>
      <w:sz w:val="21"/>
      <w:szCs w:val="24"/>
    </w:rPr>
  </w:style>
  <w:style w:type="paragraph" w:customStyle="1" w:styleId="afffff3">
    <w:basedOn w:val="a1"/>
    <w:qFormat/>
    <w:rsid w:val="006B00D5"/>
    <w:pPr>
      <w:widowControl w:val="0"/>
      <w:spacing w:before="100" w:after="100"/>
      <w:jc w:val="both"/>
    </w:pPr>
    <w:rPr>
      <w:rFonts w:ascii="Calibri" w:hAnsi="Calibri" w:cs="Times New Roman"/>
      <w:kern w:val="2"/>
    </w:rPr>
  </w:style>
  <w:style w:type="paragraph" w:customStyle="1" w:styleId="afffff4">
    <w:basedOn w:val="a1"/>
    <w:uiPriority w:val="99"/>
    <w:semiHidden/>
    <w:unhideWhenUsed/>
    <w:rsid w:val="0002110B"/>
    <w:pPr>
      <w:widowControl w:val="0"/>
      <w:jc w:val="both"/>
    </w:pPr>
    <w:rPr>
      <w:rFonts w:hAnsi="Calibri" w:cs="Times New Roman"/>
      <w:kern w:val="2"/>
      <w:sz w:val="18"/>
      <w:szCs w:val="18"/>
    </w:rPr>
  </w:style>
  <w:style w:type="character" w:customStyle="1" w:styleId="afffff5">
    <w:basedOn w:val="a2"/>
    <w:uiPriority w:val="99"/>
    <w:semiHidden/>
    <w:rsid w:val="0002110B"/>
    <w:rPr>
      <w:rFonts w:ascii="宋体"/>
      <w:kern w:val="2"/>
      <w:sz w:val="18"/>
      <w:szCs w:val="18"/>
    </w:rPr>
  </w:style>
  <w:style w:type="character" w:customStyle="1" w:styleId="afffff6">
    <w:basedOn w:val="a2"/>
    <w:uiPriority w:val="99"/>
    <w:semiHidden/>
    <w:rsid w:val="00205C40"/>
    <w:rPr>
      <w:color w:val="auto"/>
    </w:rPr>
  </w:style>
  <w:style w:type="paragraph" w:customStyle="1" w:styleId="afffff7">
    <w:basedOn w:val="a1"/>
    <w:next w:val="a1"/>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afffff8">
    <w:basedOn w:val="a2"/>
    <w:uiPriority w:val="10"/>
    <w:rsid w:val="00F23D17"/>
    <w:rPr>
      <w:rFonts w:asciiTheme="majorHAnsi" w:hAnsiTheme="majorHAnsi" w:cstheme="majorBidi"/>
      <w:b/>
      <w:bCs/>
      <w:kern w:val="2"/>
      <w:sz w:val="32"/>
      <w:szCs w:val="32"/>
    </w:rPr>
  </w:style>
  <w:style w:type="paragraph" w:customStyle="1" w:styleId="afffff9">
    <w:uiPriority w:val="1"/>
    <w:qFormat/>
    <w:rsid w:val="00BE4764"/>
    <w:pPr>
      <w:widowControl w:val="0"/>
      <w:jc w:val="both"/>
    </w:pPr>
    <w:rPr>
      <w:kern w:val="2"/>
      <w:sz w:val="21"/>
      <w:szCs w:val="22"/>
    </w:rPr>
  </w:style>
  <w:style w:type="paragraph" w:customStyle="1" w:styleId="afffffa">
    <w:basedOn w:val="a1"/>
    <w:next w:val="a1"/>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afffffb">
    <w:basedOn w:val="a1"/>
    <w:next w:val="a1"/>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customStyle="1" w:styleId="afffffc">
    <w:basedOn w:val="a1"/>
    <w:next w:val="a1"/>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customStyle="1" w:styleId="afffffd">
    <w:basedOn w:val="a1"/>
    <w:next w:val="a1"/>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customStyle="1" w:styleId="afffffe">
    <w:basedOn w:val="a1"/>
    <w:next w:val="a1"/>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customStyle="1" w:styleId="affffff">
    <w:basedOn w:val="a1"/>
    <w:next w:val="a1"/>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affffff0">
    <w:basedOn w:val="a2"/>
    <w:uiPriority w:val="9"/>
    <w:rsid w:val="005B5D50"/>
    <w:rPr>
      <w:rFonts w:asciiTheme="majorHAnsi" w:hAnsiTheme="majorHAnsi" w:cstheme="majorBidi"/>
      <w:b/>
      <w:bCs/>
      <w:sz w:val="21"/>
      <w:szCs w:val="24"/>
    </w:rPr>
  </w:style>
  <w:style w:type="paragraph" w:customStyle="1" w:styleId="affffff1">
    <w:basedOn w:val="a1"/>
    <w:uiPriority w:val="99"/>
    <w:rsid w:val="00C17CE1"/>
    <w:pPr>
      <w:spacing w:before="100" w:beforeAutospacing="1" w:after="100" w:afterAutospacing="1"/>
    </w:pPr>
    <w:rPr>
      <w:sz w:val="24"/>
    </w:rPr>
  </w:style>
  <w:style w:type="paragraph" w:customStyle="1" w:styleId="affffff2">
    <w:basedOn w:val="a1"/>
    <w:uiPriority w:val="99"/>
    <w:semiHidden/>
    <w:unhideWhenUsed/>
    <w:rsid w:val="001116D4"/>
    <w:pPr>
      <w:snapToGrid w:val="0"/>
    </w:pPr>
  </w:style>
  <w:style w:type="character" w:customStyle="1" w:styleId="affffff3">
    <w:basedOn w:val="a2"/>
    <w:uiPriority w:val="99"/>
    <w:semiHidden/>
    <w:rsid w:val="001116D4"/>
    <w:rPr>
      <w:rFonts w:ascii="宋体" w:hAnsi="宋体" w:cs="宋体"/>
      <w:sz w:val="21"/>
      <w:szCs w:val="24"/>
    </w:rPr>
  </w:style>
  <w:style w:type="character" w:customStyle="1" w:styleId="affffff4">
    <w:basedOn w:val="a2"/>
    <w:uiPriority w:val="99"/>
    <w:semiHidden/>
    <w:unhideWhenUsed/>
    <w:rsid w:val="001116D4"/>
    <w:rPr>
      <w:vertAlign w:val="superscript"/>
    </w:rPr>
  </w:style>
  <w:style w:type="character" w:customStyle="1" w:styleId="affffff5">
    <w:uiPriority w:val="99"/>
    <w:semiHidden/>
    <w:rsid w:val="0067754A"/>
    <w:rPr>
      <w:rFonts w:ascii="Times New Roman" w:eastAsia="宋体" w:hAnsi="Times New Roman" w:cs="Times New Roman"/>
      <w:b/>
      <w:bCs/>
      <w:szCs w:val="21"/>
    </w:rPr>
  </w:style>
  <w:style w:type="character" w:customStyle="1" w:styleId="affffff6">
    <w:uiPriority w:val="99"/>
    <w:semiHidden/>
    <w:rsid w:val="005F6ED8"/>
    <w:rPr>
      <w:rFonts w:ascii="Times New Roman" w:eastAsia="宋体" w:hAnsi="Times New Roman" w:cs="Times New Roman"/>
      <w:b/>
      <w:bCs/>
      <w:szCs w:val="21"/>
    </w:rPr>
  </w:style>
  <w:style w:type="character" w:customStyle="1" w:styleId="affffff7">
    <w:basedOn w:val="a2"/>
    <w:uiPriority w:val="9"/>
    <w:rsid w:val="00FD46A6"/>
    <w:rPr>
      <w:rFonts w:ascii="宋体" w:hAnsi="宋体" w:cs="宋体"/>
      <w:b/>
      <w:bCs/>
      <w:sz w:val="24"/>
      <w:szCs w:val="24"/>
    </w:rPr>
  </w:style>
  <w:style w:type="paragraph" w:customStyle="1" w:styleId="affffff8">
    <w:basedOn w:val="a1"/>
    <w:rsid w:val="00FD46A6"/>
    <w:pPr>
      <w:widowControl w:val="0"/>
      <w:ind w:firstLineChars="200" w:firstLine="420"/>
      <w:jc w:val="both"/>
    </w:pPr>
    <w:rPr>
      <w:rFonts w:ascii="Times New Roman" w:hAnsi="Times New Roman" w:cs="Times New Roman"/>
      <w:kern w:val="2"/>
      <w:szCs w:val="21"/>
    </w:rPr>
  </w:style>
  <w:style w:type="paragraph" w:customStyle="1" w:styleId="affffff9">
    <w:basedOn w:val="a1"/>
    <w:next w:val="af5"/>
    <w:uiPriority w:val="34"/>
    <w:qFormat/>
    <w:rsid w:val="00FD46A6"/>
    <w:pPr>
      <w:widowControl w:val="0"/>
      <w:ind w:firstLineChars="200" w:firstLine="420"/>
      <w:jc w:val="both"/>
    </w:pPr>
    <w:rPr>
      <w:rFonts w:ascii="Calibri" w:hAnsi="Calibri" w:cs="Times New Roman"/>
      <w:kern w:val="2"/>
      <w:szCs w:val="22"/>
    </w:rPr>
  </w:style>
  <w:style w:type="paragraph" w:customStyle="1" w:styleId="affffffa">
    <w:basedOn w:val="a1"/>
    <w:next w:val="af5"/>
    <w:uiPriority w:val="34"/>
    <w:qFormat/>
    <w:rsid w:val="00FD46A6"/>
    <w:pPr>
      <w:widowControl w:val="0"/>
      <w:ind w:firstLineChars="200" w:firstLine="420"/>
      <w:jc w:val="both"/>
    </w:pPr>
    <w:rPr>
      <w:rFonts w:ascii="Calibri" w:hAnsi="Calibri" w:cs="Times New Roman"/>
      <w:kern w:val="2"/>
      <w:szCs w:val="22"/>
    </w:rPr>
  </w:style>
  <w:style w:type="paragraph" w:customStyle="1" w:styleId="affffffb">
    <w:basedOn w:val="a1"/>
    <w:next w:val="af5"/>
    <w:uiPriority w:val="34"/>
    <w:qFormat/>
    <w:rsid w:val="00FD46A6"/>
    <w:pPr>
      <w:widowControl w:val="0"/>
      <w:ind w:firstLineChars="200" w:firstLine="420"/>
      <w:jc w:val="both"/>
    </w:pPr>
    <w:rPr>
      <w:rFonts w:ascii="Calibri" w:hAnsi="Calibri" w:cs="Times New Roman"/>
      <w:kern w:val="2"/>
      <w:szCs w:val="22"/>
    </w:rPr>
  </w:style>
  <w:style w:type="paragraph" w:customStyle="1" w:styleId="affffffc">
    <w:basedOn w:val="a1"/>
    <w:next w:val="af5"/>
    <w:uiPriority w:val="34"/>
    <w:qFormat/>
    <w:rsid w:val="00FD46A6"/>
    <w:pPr>
      <w:widowControl w:val="0"/>
      <w:ind w:firstLineChars="200" w:firstLine="420"/>
      <w:jc w:val="both"/>
    </w:pPr>
    <w:rPr>
      <w:rFonts w:ascii="Calibri" w:hAnsi="Calibri" w:cs="Times New Roman"/>
      <w:kern w:val="2"/>
      <w:szCs w:val="22"/>
    </w:rPr>
  </w:style>
  <w:style w:type="paragraph" w:customStyle="1" w:styleId="Style1">
    <w:name w:val="Style1"/>
    <w:basedOn w:val="4"/>
    <w:link w:val="Style1Char"/>
    <w:qFormat/>
    <w:rsid w:val="00775FAA"/>
    <w:pPr>
      <w:widowControl/>
      <w:overflowPunct w:val="0"/>
      <w:autoSpaceDE w:val="0"/>
      <w:autoSpaceDN w:val="0"/>
      <w:adjustRightInd w:val="0"/>
      <w:snapToGrid w:val="0"/>
      <w:spacing w:before="0" w:after="0"/>
      <w:ind w:left="720" w:hanging="720"/>
      <w:textAlignment w:val="bottom"/>
    </w:pPr>
    <w:rPr>
      <w:rFonts w:ascii="Arial" w:eastAsia="黑体" w:hAnsi="Arial" w:cs="Arial"/>
      <w:bCs w:val="0"/>
      <w:iCs/>
      <w:snapToGrid w:val="0"/>
      <w:sz w:val="24"/>
      <w:szCs w:val="24"/>
    </w:rPr>
  </w:style>
  <w:style w:type="character" w:customStyle="1" w:styleId="Style1Char">
    <w:name w:val="Style1 Char"/>
    <w:basedOn w:val="40"/>
    <w:link w:val="Style1"/>
    <w:rsid w:val="00775FAA"/>
    <w:rPr>
      <w:rFonts w:ascii="Arial" w:eastAsia="黑体" w:hAnsi="Arial" w:cs="Arial"/>
      <w:b/>
      <w:bCs w:val="0"/>
      <w:iCs/>
      <w:snapToGrid w:val="0"/>
      <w:kern w:val="2"/>
      <w:sz w:val="24"/>
      <w:szCs w:val="24"/>
    </w:rPr>
  </w:style>
  <w:style w:type="paragraph" w:customStyle="1" w:styleId="Normal3">
    <w:name w:val="Normal3"/>
    <w:uiPriority w:val="99"/>
    <w:rsid w:val="006C2D6E"/>
    <w:pPr>
      <w:widowControl w:val="0"/>
      <w:adjustRightInd w:val="0"/>
      <w:spacing w:line="360" w:lineRule="atLeast"/>
      <w:textAlignment w:val="baseline"/>
    </w:pPr>
    <w:rPr>
      <w:rFonts w:ascii="MingLiU" w:eastAsia="MingLiU" w:hAnsi="Times New Roman"/>
      <w:sz w:val="24"/>
      <w:lang w:eastAsia="zh-TW"/>
    </w:rPr>
  </w:style>
  <w:style w:type="paragraph" w:styleId="a0">
    <w:name w:val="Subtitle"/>
    <w:basedOn w:val="2"/>
    <w:next w:val="a1"/>
    <w:link w:val="affffffd"/>
    <w:qFormat/>
    <w:rsid w:val="00122393"/>
    <w:pPr>
      <w:widowControl/>
      <w:numPr>
        <w:numId w:val="32"/>
      </w:numPr>
      <w:overflowPunct w:val="0"/>
      <w:autoSpaceDE w:val="0"/>
      <w:autoSpaceDN w:val="0"/>
      <w:adjustRightInd w:val="0"/>
      <w:snapToGrid w:val="0"/>
      <w:spacing w:before="0" w:after="0"/>
      <w:textAlignment w:val="bottom"/>
    </w:pPr>
    <w:rPr>
      <w:rFonts w:eastAsia="黑体" w:cs="Arial"/>
      <w:bCs w:val="0"/>
      <w:snapToGrid w:val="0"/>
      <w:color w:val="000000" w:themeColor="text1"/>
      <w:kern w:val="0"/>
      <w:sz w:val="24"/>
      <w:szCs w:val="26"/>
    </w:rPr>
  </w:style>
  <w:style w:type="character" w:customStyle="1" w:styleId="affffffd">
    <w:name w:val="副标题 字符"/>
    <w:basedOn w:val="a2"/>
    <w:link w:val="a0"/>
    <w:rsid w:val="00122393"/>
    <w:rPr>
      <w:rFonts w:ascii="Arial" w:eastAsia="黑体" w:hAnsi="Arial" w:cs="Arial"/>
      <w:b/>
      <w:snapToGrid w:val="0"/>
      <w:color w:val="000000" w:themeColor="text1"/>
      <w:sz w:val="24"/>
      <w:szCs w:val="26"/>
    </w:rPr>
  </w:style>
  <w:style w:type="table" w:customStyle="1" w:styleId="g4">
    <w:name w:val="g4"/>
    <w:uiPriority w:val="99"/>
    <w:semiHidden/>
    <w:unhideWhenUsed/>
    <w:tblPr>
      <w:tblInd w:w="0" w:type="dxa"/>
      <w:tblCellMar>
        <w:top w:w="0" w:type="dxa"/>
        <w:left w:w="108" w:type="dxa"/>
        <w:bottom w:w="0" w:type="dxa"/>
        <w:right w:w="108" w:type="dxa"/>
      </w:tblCellMar>
    </w:tblPr>
  </w:style>
  <w:style w:type="table" w:customStyle="1" w:styleId="g5">
    <w:name w:val="g5"/>
    <w:basedOn w:val="a3"/>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6">
    <w:name w:val="g6"/>
    <w:basedOn w:val="a3"/>
    <w:uiPriority w:val="42"/>
    <w:rsid w:val="00FD46A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7">
    <w:name w:val="g7"/>
    <w:uiPriority w:val="99"/>
    <w:semiHidden/>
    <w:unhideWhenUsed/>
    <w:tblPr>
      <w:tblInd w:w="0" w:type="dxa"/>
      <w:tblCellMar>
        <w:top w:w="0" w:type="dxa"/>
        <w:left w:w="108" w:type="dxa"/>
        <w:bottom w:w="0" w:type="dxa"/>
        <w:right w:w="108" w:type="dxa"/>
      </w:tblCellMar>
    </w:tblPr>
  </w:style>
  <w:style w:type="table" w:customStyle="1" w:styleId="g8">
    <w:name w:val="g8"/>
    <w:basedOn w:val="a3"/>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9">
    <w:name w:val="g9"/>
    <w:basedOn w:val="a3"/>
    <w:uiPriority w:val="42"/>
    <w:rsid w:val="00FD46A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10">
    <w:name w:val="g10"/>
    <w:basedOn w:val="a3"/>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e">
    <w:uiPriority w:val="1"/>
    <w:unhideWhenUsed/>
  </w:style>
  <w:style w:type="paragraph" w:customStyle="1" w:styleId="14">
    <w:name w:val="索引 1 字符"/>
    <w:basedOn w:val="a1"/>
    <w:next w:val="a1"/>
    <w:link w:val="13"/>
    <w:autoRedefine/>
    <w:uiPriority w:val="39"/>
    <w:qFormat/>
    <w:rsid w:val="00DD256F"/>
    <w:pPr>
      <w:widowControl w:val="0"/>
      <w:jc w:val="both"/>
    </w:pPr>
    <w:rPr>
      <w:rFonts w:ascii="Times New Roman" w:hAnsi="Times New Roman" w:cs="Times New Roman"/>
      <w:kern w:val="2"/>
      <w:szCs w:val="21"/>
    </w:rPr>
  </w:style>
  <w:style w:type="paragraph" w:customStyle="1" w:styleId="afff8">
    <w:basedOn w:val="a1"/>
    <w:next w:val="a1"/>
    <w:link w:val="22"/>
    <w:autoRedefine/>
    <w:uiPriority w:val="39"/>
    <w:qFormat/>
    <w:rsid w:val="00DD256F"/>
    <w:pPr>
      <w:widowControl w:val="0"/>
      <w:ind w:leftChars="200" w:left="420"/>
      <w:jc w:val="both"/>
    </w:pPr>
    <w:rPr>
      <w:rFonts w:ascii="Times New Roman" w:hAnsi="Times New Roman" w:cs="Times New Roman"/>
      <w:kern w:val="2"/>
      <w:szCs w:val="21"/>
    </w:rPr>
  </w:style>
  <w:style w:type="table" w:customStyle="1" w:styleId="afffffff">
    <w:basedOn w:val="a3"/>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0">
    <w:basedOn w:val="a1"/>
    <w:uiPriority w:val="99"/>
    <w:unhideWhenUsed/>
    <w:rsid w:val="00DD256F"/>
    <w:pPr>
      <w:widowControl w:val="0"/>
      <w:jc w:val="both"/>
    </w:pPr>
    <w:rPr>
      <w:rFonts w:ascii="Calibri" w:hAnsi="Calibri" w:cs="Times New Roman"/>
      <w:kern w:val="2"/>
      <w:sz w:val="18"/>
      <w:szCs w:val="18"/>
    </w:rPr>
  </w:style>
  <w:style w:type="character" w:customStyle="1" w:styleId="afffffff1">
    <w:basedOn w:val="a2"/>
    <w:uiPriority w:val="99"/>
    <w:rsid w:val="00DD256F"/>
    <w:rPr>
      <w:rFonts w:ascii="Calibri" w:eastAsia="宋体" w:hAnsi="Calibri" w:cs="Times New Roman"/>
      <w:sz w:val="18"/>
      <w:szCs w:val="18"/>
    </w:rPr>
  </w:style>
  <w:style w:type="paragraph" w:customStyle="1" w:styleId="afffffff2">
    <w:basedOn w:val="a1"/>
    <w:next w:val="a1"/>
    <w:uiPriority w:val="99"/>
    <w:rsid w:val="00DD256F"/>
    <w:pPr>
      <w:widowControl w:val="0"/>
      <w:jc w:val="both"/>
    </w:pPr>
    <w:rPr>
      <w:rFonts w:ascii="Times New Roman" w:hAnsi="Times New Roman" w:cs="Times New Roman"/>
      <w:kern w:val="2"/>
      <w:szCs w:val="21"/>
    </w:rPr>
  </w:style>
  <w:style w:type="character" w:customStyle="1" w:styleId="afffffff3">
    <w:basedOn w:val="a2"/>
    <w:uiPriority w:val="99"/>
    <w:rsid w:val="00DD256F"/>
    <w:rPr>
      <w:rFonts w:ascii="Times New Roman" w:eastAsia="宋体" w:hAnsi="Times New Roman" w:cs="Times New Roman"/>
      <w:szCs w:val="21"/>
    </w:rPr>
  </w:style>
  <w:style w:type="paragraph" w:customStyle="1" w:styleId="afffffff4">
    <w:basedOn w:val="a1"/>
    <w:uiPriority w:val="34"/>
    <w:qFormat/>
    <w:rsid w:val="00DD256F"/>
    <w:pPr>
      <w:widowControl w:val="0"/>
      <w:ind w:firstLineChars="200" w:firstLine="420"/>
      <w:jc w:val="both"/>
    </w:pPr>
    <w:rPr>
      <w:rFonts w:ascii="Calibri" w:hAnsi="Calibri" w:cs="Times New Roman"/>
      <w:kern w:val="2"/>
      <w:szCs w:val="22"/>
    </w:rPr>
  </w:style>
  <w:style w:type="character" w:customStyle="1" w:styleId="afffffff5">
    <w:basedOn w:val="a8"/>
    <w:uiPriority w:val="99"/>
    <w:rsid w:val="00DD256F"/>
    <w:rPr>
      <w:rFonts w:ascii="Calibri" w:eastAsia="宋体" w:hAnsi="Calibri" w:cs="Times New Roman"/>
      <w:b/>
      <w:bCs/>
      <w:szCs w:val="21"/>
    </w:rPr>
  </w:style>
  <w:style w:type="paragraph" w:customStyle="1" w:styleId="afffffff6">
    <w:basedOn w:val="a7"/>
    <w:next w:val="a7"/>
    <w:uiPriority w:val="99"/>
    <w:unhideWhenUsed/>
    <w:rsid w:val="00DD256F"/>
    <w:rPr>
      <w:rFonts w:ascii="Calibri" w:hAnsi="Calibri"/>
      <w:b/>
      <w:bCs/>
      <w:szCs w:val="22"/>
    </w:rPr>
  </w:style>
  <w:style w:type="paragraph" w:customStyle="1" w:styleId="33">
    <w:name w:val="列表项目符号 3 字符"/>
    <w:basedOn w:val="a1"/>
    <w:next w:val="a1"/>
    <w:link w:val="32"/>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afffffff7">
    <w:basedOn w:val="a1"/>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afffffff8">
    <w:basedOn w:val="a2"/>
    <w:uiPriority w:val="99"/>
    <w:rsid w:val="00DD256F"/>
    <w:rPr>
      <w:rFonts w:ascii="Calibri" w:eastAsia="宋体" w:hAnsi="Calibri" w:cs="Times New Roman"/>
      <w:sz w:val="18"/>
      <w:szCs w:val="18"/>
    </w:rPr>
  </w:style>
  <w:style w:type="paragraph" w:customStyle="1" w:styleId="afffffff9">
    <w:basedOn w:val="a1"/>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afffffffa">
    <w:basedOn w:val="a2"/>
    <w:uiPriority w:val="99"/>
    <w:rsid w:val="00DD256F"/>
    <w:rPr>
      <w:rFonts w:ascii="Calibri" w:eastAsia="宋体" w:hAnsi="Calibri" w:cs="Times New Roman"/>
      <w:sz w:val="18"/>
      <w:szCs w:val="18"/>
    </w:rPr>
  </w:style>
  <w:style w:type="paragraph" w:customStyle="1" w:styleId="afffffffb">
    <w:basedOn w:val="a1"/>
    <w:rsid w:val="00DD256F"/>
    <w:pPr>
      <w:widowControl w:val="0"/>
      <w:jc w:val="both"/>
    </w:pPr>
    <w:rPr>
      <w:rFonts w:hAnsi="Courier New" w:cs="Times New Roman"/>
      <w:kern w:val="2"/>
      <w:szCs w:val="20"/>
    </w:rPr>
  </w:style>
  <w:style w:type="character" w:customStyle="1" w:styleId="afffffffc">
    <w:basedOn w:val="a2"/>
    <w:rsid w:val="00DD256F"/>
    <w:rPr>
      <w:rFonts w:ascii="宋体" w:eastAsia="宋体" w:hAnsi="Courier New" w:cs="Times New Roman"/>
      <w:szCs w:val="20"/>
    </w:rPr>
  </w:style>
  <w:style w:type="paragraph" w:customStyle="1" w:styleId="afffffffd">
    <w:basedOn w:val="a1"/>
    <w:uiPriority w:val="99"/>
    <w:rsid w:val="00DD256F"/>
    <w:pPr>
      <w:widowControl w:val="0"/>
      <w:spacing w:after="120"/>
      <w:jc w:val="both"/>
    </w:pPr>
    <w:rPr>
      <w:rFonts w:ascii="Times New Roman" w:hAnsi="Times New Roman" w:cs="Times New Roman"/>
      <w:kern w:val="2"/>
      <w:szCs w:val="21"/>
    </w:rPr>
  </w:style>
  <w:style w:type="character" w:customStyle="1" w:styleId="afffffffe">
    <w:basedOn w:val="a2"/>
    <w:uiPriority w:val="99"/>
    <w:rsid w:val="00DD256F"/>
    <w:rPr>
      <w:rFonts w:ascii="Times New Roman" w:eastAsia="宋体" w:hAnsi="Times New Roman" w:cs="Times New Roman"/>
      <w:szCs w:val="21"/>
    </w:rPr>
  </w:style>
  <w:style w:type="paragraph" w:customStyle="1" w:styleId="affffffff">
    <w:basedOn w:val="a1"/>
    <w:next w:val="a1"/>
    <w:uiPriority w:val="99"/>
    <w:rsid w:val="00DD256F"/>
    <w:pPr>
      <w:widowControl w:val="0"/>
      <w:ind w:leftChars="2500" w:left="100"/>
      <w:jc w:val="both"/>
    </w:pPr>
    <w:rPr>
      <w:rFonts w:ascii="Times New Roman" w:hAnsi="Times New Roman" w:cs="Times New Roman"/>
      <w:kern w:val="2"/>
      <w:szCs w:val="21"/>
    </w:rPr>
  </w:style>
  <w:style w:type="character" w:customStyle="1" w:styleId="affffffff0">
    <w:basedOn w:val="a2"/>
    <w:uiPriority w:val="99"/>
    <w:rsid w:val="00DD256F"/>
    <w:rPr>
      <w:rFonts w:ascii="Times New Roman" w:eastAsia="宋体" w:hAnsi="Times New Roman" w:cs="Times New Roman"/>
      <w:szCs w:val="21"/>
    </w:rPr>
  </w:style>
  <w:style w:type="paragraph" w:customStyle="1" w:styleId="affffffff1">
    <w:basedOn w:val="a1"/>
    <w:next w:val="a1"/>
    <w:uiPriority w:val="99"/>
    <w:rsid w:val="00DD256F"/>
    <w:pPr>
      <w:widowControl w:val="0"/>
      <w:jc w:val="center"/>
    </w:pPr>
    <w:rPr>
      <w:rFonts w:ascii="Times New Roman" w:hAnsi="Times New Roman" w:cs="Times New Roman"/>
      <w:kern w:val="2"/>
      <w:szCs w:val="21"/>
    </w:rPr>
  </w:style>
  <w:style w:type="character" w:customStyle="1" w:styleId="affffffff2">
    <w:basedOn w:val="a2"/>
    <w:uiPriority w:val="99"/>
    <w:rsid w:val="00DD256F"/>
    <w:rPr>
      <w:rFonts w:ascii="Times New Roman" w:eastAsia="宋体" w:hAnsi="Times New Roman" w:cs="Times New Roman"/>
      <w:szCs w:val="21"/>
    </w:rPr>
  </w:style>
  <w:style w:type="paragraph" w:customStyle="1" w:styleId="affffffff3">
    <w:basedOn w:val="a1"/>
    <w:next w:val="a1"/>
    <w:semiHidden/>
    <w:rsid w:val="00DD256F"/>
    <w:pPr>
      <w:widowControl w:val="0"/>
      <w:spacing w:before="120"/>
      <w:jc w:val="both"/>
    </w:pPr>
    <w:rPr>
      <w:rFonts w:ascii="Arial" w:hAnsi="Arial" w:cs="Times New Roman"/>
      <w:b/>
      <w:bCs/>
      <w:kern w:val="2"/>
      <w:szCs w:val="21"/>
    </w:rPr>
  </w:style>
  <w:style w:type="paragraph" w:customStyle="1" w:styleId="affffffff4">
    <w:basedOn w:val="a1"/>
    <w:rsid w:val="005B5D50"/>
    <w:pPr>
      <w:keepNext/>
      <w:keepLines/>
      <w:widowControl w:val="0"/>
      <w:spacing w:before="60" w:after="60"/>
      <w:ind w:hangingChars="200" w:hanging="420"/>
      <w:jc w:val="both"/>
      <w:outlineLvl w:val="4"/>
    </w:pPr>
    <w:rPr>
      <w:rFonts w:cs="Times New Roman"/>
      <w:b/>
      <w:bCs/>
      <w:kern w:val="2"/>
      <w:szCs w:val="21"/>
    </w:rPr>
  </w:style>
  <w:style w:type="paragraph" w:customStyle="1" w:styleId="affffffff5">
    <w:hidden/>
    <w:uiPriority w:val="99"/>
    <w:semiHidden/>
    <w:rsid w:val="00BC1CB9"/>
    <w:rPr>
      <w:kern w:val="2"/>
      <w:sz w:val="21"/>
      <w:szCs w:val="22"/>
    </w:rPr>
  </w:style>
  <w:style w:type="character" w:customStyle="1" w:styleId="affffffff6">
    <w:basedOn w:val="a2"/>
    <w:rsid w:val="006B00D5"/>
    <w:rPr>
      <w:kern w:val="2"/>
      <w:sz w:val="21"/>
      <w:szCs w:val="24"/>
    </w:rPr>
  </w:style>
  <w:style w:type="paragraph" w:customStyle="1" w:styleId="affffffff7">
    <w:basedOn w:val="a1"/>
    <w:qFormat/>
    <w:rsid w:val="006B00D5"/>
    <w:pPr>
      <w:widowControl w:val="0"/>
      <w:spacing w:before="100" w:after="100"/>
      <w:jc w:val="both"/>
    </w:pPr>
    <w:rPr>
      <w:rFonts w:ascii="Calibri" w:hAnsi="Calibri" w:cs="Times New Roman"/>
      <w:kern w:val="2"/>
    </w:rPr>
  </w:style>
  <w:style w:type="paragraph" w:customStyle="1" w:styleId="affffffff8">
    <w:basedOn w:val="a1"/>
    <w:uiPriority w:val="99"/>
    <w:semiHidden/>
    <w:unhideWhenUsed/>
    <w:rsid w:val="0002110B"/>
    <w:pPr>
      <w:widowControl w:val="0"/>
      <w:jc w:val="both"/>
    </w:pPr>
    <w:rPr>
      <w:rFonts w:hAnsi="Calibri" w:cs="Times New Roman"/>
      <w:kern w:val="2"/>
      <w:sz w:val="18"/>
      <w:szCs w:val="18"/>
    </w:rPr>
  </w:style>
  <w:style w:type="character" w:customStyle="1" w:styleId="affffffff9">
    <w:basedOn w:val="a2"/>
    <w:uiPriority w:val="99"/>
    <w:semiHidden/>
    <w:rsid w:val="0002110B"/>
    <w:rPr>
      <w:rFonts w:ascii="宋体"/>
      <w:kern w:val="2"/>
      <w:sz w:val="18"/>
      <w:szCs w:val="18"/>
    </w:rPr>
  </w:style>
  <w:style w:type="character" w:customStyle="1" w:styleId="affffffffa">
    <w:basedOn w:val="a2"/>
    <w:uiPriority w:val="99"/>
    <w:semiHidden/>
    <w:rsid w:val="00205C40"/>
    <w:rPr>
      <w:color w:val="auto"/>
    </w:rPr>
  </w:style>
  <w:style w:type="paragraph" w:customStyle="1" w:styleId="affffffffb">
    <w:basedOn w:val="a1"/>
    <w:next w:val="a1"/>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affffffffc">
    <w:basedOn w:val="a2"/>
    <w:rsid w:val="00F23D17"/>
    <w:rPr>
      <w:rFonts w:asciiTheme="majorHAnsi" w:hAnsiTheme="majorHAnsi" w:cstheme="majorBidi"/>
      <w:b/>
      <w:bCs/>
      <w:kern w:val="2"/>
      <w:sz w:val="32"/>
      <w:szCs w:val="32"/>
    </w:rPr>
  </w:style>
  <w:style w:type="paragraph" w:customStyle="1" w:styleId="affffffffd">
    <w:uiPriority w:val="1"/>
    <w:qFormat/>
    <w:rsid w:val="00BE4764"/>
    <w:pPr>
      <w:widowControl w:val="0"/>
      <w:jc w:val="both"/>
    </w:pPr>
    <w:rPr>
      <w:kern w:val="2"/>
      <w:sz w:val="21"/>
      <w:szCs w:val="22"/>
    </w:rPr>
  </w:style>
  <w:style w:type="paragraph" w:customStyle="1" w:styleId="affffffffe">
    <w:basedOn w:val="a1"/>
    <w:next w:val="a1"/>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afffffffff">
    <w:basedOn w:val="a1"/>
    <w:next w:val="a1"/>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customStyle="1" w:styleId="afffffffff0">
    <w:basedOn w:val="a1"/>
    <w:next w:val="a1"/>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customStyle="1" w:styleId="afffffffff1">
    <w:basedOn w:val="a1"/>
    <w:next w:val="a1"/>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customStyle="1" w:styleId="afffffffff2">
    <w:basedOn w:val="a1"/>
    <w:next w:val="a1"/>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customStyle="1" w:styleId="afffffffff3">
    <w:basedOn w:val="a1"/>
    <w:next w:val="a1"/>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paragraph" w:customStyle="1" w:styleId="afffffffff4">
    <w:basedOn w:val="a1"/>
    <w:uiPriority w:val="99"/>
    <w:rsid w:val="00C17CE1"/>
    <w:pPr>
      <w:spacing w:before="100" w:beforeAutospacing="1" w:after="100" w:afterAutospacing="1"/>
    </w:pPr>
    <w:rPr>
      <w:sz w:val="24"/>
    </w:rPr>
  </w:style>
  <w:style w:type="paragraph" w:customStyle="1" w:styleId="afffffffff5">
    <w:basedOn w:val="a1"/>
    <w:uiPriority w:val="99"/>
    <w:semiHidden/>
    <w:unhideWhenUsed/>
    <w:rsid w:val="001116D4"/>
    <w:pPr>
      <w:snapToGrid w:val="0"/>
    </w:pPr>
  </w:style>
  <w:style w:type="character" w:customStyle="1" w:styleId="afffffffff6">
    <w:basedOn w:val="a2"/>
    <w:uiPriority w:val="99"/>
    <w:semiHidden/>
    <w:rsid w:val="001116D4"/>
    <w:rPr>
      <w:rFonts w:ascii="宋体" w:hAnsi="宋体" w:cs="宋体"/>
      <w:sz w:val="21"/>
      <w:szCs w:val="24"/>
    </w:rPr>
  </w:style>
  <w:style w:type="character" w:customStyle="1" w:styleId="afffffffff7">
    <w:basedOn w:val="a2"/>
    <w:uiPriority w:val="99"/>
    <w:semiHidden/>
    <w:unhideWhenUsed/>
    <w:rsid w:val="001116D4"/>
    <w:rPr>
      <w:vertAlign w:val="superscript"/>
    </w:rPr>
  </w:style>
  <w:style w:type="paragraph" w:customStyle="1" w:styleId="afffffffff8">
    <w:basedOn w:val="a1"/>
    <w:next w:val="a1"/>
    <w:qFormat/>
    <w:rsid w:val="00D30BB3"/>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afff7">
    <w:basedOn w:val="a2"/>
    <w:link w:val="34"/>
    <w:rsid w:val="00D30BB3"/>
    <w:rPr>
      <w:rFonts w:ascii="Times New Roman" w:hAnsi="Times New Roman"/>
      <w:b/>
      <w:kern w:val="2"/>
      <w:sz w:val="21"/>
      <w:szCs w:val="24"/>
    </w:rPr>
  </w:style>
  <w:style w:type="character" w:customStyle="1" w:styleId="afffffffff9">
    <w:basedOn w:val="a8"/>
    <w:uiPriority w:val="99"/>
    <w:semiHidden/>
    <w:rsid w:val="005F6ED8"/>
    <w:rPr>
      <w:rFonts w:ascii="Times New Roman" w:eastAsia="宋体" w:hAnsi="Times New Roman" w:cs="Times New Roman"/>
      <w:b/>
      <w:bCs/>
      <w:szCs w:val="21"/>
    </w:rPr>
  </w:style>
  <w:style w:type="paragraph" w:customStyle="1" w:styleId="afffffffffa">
    <w:basedOn w:val="a1"/>
    <w:next w:val="a1"/>
    <w:autoRedefine/>
    <w:semiHidden/>
    <w:rsid w:val="00FD46A6"/>
    <w:pPr>
      <w:ind w:firstLineChars="200" w:firstLine="420"/>
    </w:pPr>
    <w:rPr>
      <w:rFonts w:cs="Times New Roman"/>
      <w:color w:val="000000"/>
      <w:szCs w:val="21"/>
    </w:rPr>
  </w:style>
  <w:style w:type="paragraph" w:customStyle="1" w:styleId="afffffffffb">
    <w:basedOn w:val="a1"/>
    <w:rsid w:val="00FD46A6"/>
    <w:pPr>
      <w:widowControl w:val="0"/>
      <w:ind w:firstLineChars="200" w:firstLine="420"/>
      <w:jc w:val="both"/>
    </w:pPr>
    <w:rPr>
      <w:rFonts w:ascii="Times New Roman" w:hAnsi="Times New Roman" w:cs="Times New Roman"/>
      <w:kern w:val="2"/>
      <w:szCs w:val="21"/>
    </w:rPr>
  </w:style>
  <w:style w:type="paragraph" w:customStyle="1" w:styleId="afffffffffc">
    <w:basedOn w:val="a1"/>
    <w:rsid w:val="00FD46A6"/>
    <w:pPr>
      <w:widowControl w:val="0"/>
      <w:tabs>
        <w:tab w:val="left" w:pos="1200"/>
      </w:tabs>
      <w:jc w:val="both"/>
    </w:pPr>
    <w:rPr>
      <w:rFonts w:ascii="Times New Roman" w:hAnsi="Times New Roman" w:cs="Times New Roman"/>
      <w:kern w:val="2"/>
      <w:szCs w:val="21"/>
    </w:rPr>
  </w:style>
  <w:style w:type="paragraph" w:customStyle="1" w:styleId="afffffffffd">
    <w:basedOn w:val="a1"/>
    <w:uiPriority w:val="34"/>
    <w:qFormat/>
    <w:rsid w:val="00FD46A6"/>
    <w:pPr>
      <w:widowControl w:val="0"/>
      <w:ind w:firstLineChars="200" w:firstLine="420"/>
      <w:jc w:val="both"/>
    </w:pPr>
    <w:rPr>
      <w:rFonts w:ascii="Calibri" w:hAnsi="Calibri" w:cs="Times New Roman"/>
      <w:kern w:val="2"/>
      <w:szCs w:val="22"/>
    </w:rPr>
  </w:style>
  <w:style w:type="table" w:customStyle="1" w:styleId="afffffffffe">
    <w:basedOn w:val="a3"/>
    <w:uiPriority w:val="42"/>
    <w:rsid w:val="00FD46A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ffffffffff">
    <w:basedOn w:val="a1"/>
    <w:uiPriority w:val="34"/>
    <w:qFormat/>
    <w:rsid w:val="00FD46A6"/>
    <w:pPr>
      <w:widowControl w:val="0"/>
      <w:ind w:firstLineChars="200" w:firstLine="420"/>
      <w:jc w:val="both"/>
    </w:pPr>
    <w:rPr>
      <w:rFonts w:ascii="Calibri" w:hAnsi="Calibri" w:cs="Times New Roman"/>
      <w:kern w:val="2"/>
      <w:szCs w:val="22"/>
    </w:rPr>
  </w:style>
  <w:style w:type="paragraph" w:customStyle="1" w:styleId="affffffffff0">
    <w:basedOn w:val="a1"/>
    <w:uiPriority w:val="34"/>
    <w:qFormat/>
    <w:rsid w:val="00FD46A6"/>
    <w:pPr>
      <w:widowControl w:val="0"/>
      <w:ind w:firstLineChars="200" w:firstLine="420"/>
      <w:jc w:val="both"/>
    </w:pPr>
    <w:rPr>
      <w:rFonts w:ascii="Calibri" w:hAnsi="Calibri" w:cs="Times New Roman"/>
      <w:kern w:val="2"/>
      <w:szCs w:val="22"/>
    </w:rPr>
  </w:style>
  <w:style w:type="paragraph" w:customStyle="1" w:styleId="affffffffff1">
    <w:basedOn w:val="a1"/>
    <w:uiPriority w:val="34"/>
    <w:qFormat/>
    <w:rsid w:val="00FD46A6"/>
    <w:pPr>
      <w:widowControl w:val="0"/>
      <w:ind w:firstLineChars="200" w:firstLine="420"/>
      <w:jc w:val="both"/>
    </w:pPr>
    <w:rPr>
      <w:rFonts w:ascii="Calibri" w:hAnsi="Calibri" w:cs="Times New Roman"/>
      <w:kern w:val="2"/>
      <w:szCs w:val="22"/>
    </w:rPr>
  </w:style>
  <w:style w:type="paragraph" w:customStyle="1" w:styleId="afff3">
    <w:basedOn w:val="a1"/>
    <w:next w:val="a1"/>
    <w:link w:val="12"/>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afff6">
    <w:basedOn w:val="a1"/>
    <w:next w:val="a1"/>
    <w:link w:val="21"/>
    <w:qFormat/>
    <w:rsid w:val="005B5D50"/>
    <w:pPr>
      <w:keepNext/>
      <w:keepLines/>
      <w:widowControl w:val="0"/>
      <w:spacing w:before="60" w:after="60"/>
      <w:jc w:val="both"/>
      <w:outlineLvl w:val="1"/>
    </w:pPr>
    <w:rPr>
      <w:rFonts w:ascii="Arial" w:hAnsi="Arial" w:cs="Times New Roman"/>
      <w:b/>
      <w:bCs/>
      <w:kern w:val="2"/>
      <w:szCs w:val="21"/>
    </w:rPr>
  </w:style>
  <w:style w:type="paragraph" w:customStyle="1" w:styleId="affffffffff2">
    <w:basedOn w:val="a1"/>
    <w:next w:val="a1"/>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afff5">
    <w:basedOn w:val="a1"/>
    <w:next w:val="a1"/>
    <w:link w:val="41"/>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affffffffff3">
    <w:basedOn w:val="a1"/>
    <w:next w:val="a1"/>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customStyle="1" w:styleId="affffffffff4">
    <w:basedOn w:val="a1"/>
    <w:next w:val="a1"/>
    <w:uiPriority w:val="9"/>
    <w:unhideWhenUsed/>
    <w:qFormat/>
    <w:rsid w:val="005B5D50"/>
    <w:pPr>
      <w:keepNext/>
      <w:keepLines/>
      <w:spacing w:before="60" w:after="60"/>
      <w:outlineLvl w:val="5"/>
    </w:pPr>
    <w:rPr>
      <w:rFonts w:asciiTheme="majorHAnsi" w:hAnsiTheme="majorHAnsi" w:cstheme="majorBidi"/>
      <w:b/>
      <w:bCs/>
    </w:rPr>
  </w:style>
  <w:style w:type="paragraph" w:customStyle="1" w:styleId="affffffffff5">
    <w:basedOn w:val="a1"/>
    <w:next w:val="a1"/>
    <w:uiPriority w:val="9"/>
    <w:unhideWhenUsed/>
    <w:qFormat/>
    <w:rsid w:val="00FD46A6"/>
    <w:pPr>
      <w:keepNext/>
      <w:keepLines/>
      <w:spacing w:before="240" w:after="64" w:line="320" w:lineRule="auto"/>
      <w:outlineLvl w:val="6"/>
    </w:pPr>
    <w:rPr>
      <w:b/>
      <w:bCs/>
      <w:sz w:val="24"/>
    </w:rPr>
  </w:style>
  <w:style w:type="character" w:customStyle="1" w:styleId="affffffffff6">
    <w:basedOn w:val="a2"/>
    <w:uiPriority w:val="99"/>
    <w:rsid w:val="005B5D50"/>
    <w:rPr>
      <w:rFonts w:eastAsia="黑体"/>
      <w:b/>
      <w:bCs/>
      <w:kern w:val="44"/>
      <w:sz w:val="28"/>
      <w:szCs w:val="44"/>
    </w:rPr>
  </w:style>
  <w:style w:type="character" w:customStyle="1" w:styleId="affffffffff7">
    <w:basedOn w:val="a2"/>
    <w:uiPriority w:val="9"/>
    <w:rsid w:val="005B5D50"/>
    <w:rPr>
      <w:b/>
      <w:bCs/>
      <w:kern w:val="2"/>
      <w:sz w:val="21"/>
      <w:szCs w:val="32"/>
    </w:rPr>
  </w:style>
  <w:style w:type="character" w:customStyle="1" w:styleId="affffffffff8">
    <w:basedOn w:val="a2"/>
    <w:uiPriority w:val="9"/>
    <w:rsid w:val="005B5D50"/>
    <w:rPr>
      <w:rFonts w:ascii="Cambria" w:hAnsi="Cambria"/>
      <w:b/>
      <w:bCs/>
      <w:kern w:val="2"/>
      <w:sz w:val="21"/>
      <w:szCs w:val="28"/>
    </w:rPr>
  </w:style>
  <w:style w:type="character" w:customStyle="1" w:styleId="affffffffff9">
    <w:basedOn w:val="a2"/>
    <w:uiPriority w:val="9"/>
    <w:rsid w:val="00586078"/>
    <w:rPr>
      <w:b/>
      <w:bCs/>
      <w:kern w:val="2"/>
      <w:sz w:val="21"/>
      <w:szCs w:val="28"/>
    </w:rPr>
  </w:style>
  <w:style w:type="paragraph" w:customStyle="1" w:styleId="affffffffffa">
    <w:basedOn w:val="a1"/>
    <w:next w:val="a1"/>
    <w:autoRedefine/>
    <w:uiPriority w:val="39"/>
    <w:qFormat/>
    <w:rsid w:val="00DD256F"/>
    <w:pPr>
      <w:widowControl w:val="0"/>
      <w:jc w:val="both"/>
    </w:pPr>
    <w:rPr>
      <w:rFonts w:ascii="Times New Roman" w:hAnsi="Times New Roman" w:cs="Times New Roman"/>
      <w:kern w:val="2"/>
      <w:szCs w:val="21"/>
    </w:rPr>
  </w:style>
  <w:style w:type="paragraph" w:customStyle="1" w:styleId="affffffffffb">
    <w:basedOn w:val="a1"/>
    <w:next w:val="a1"/>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affffffffffc">
    <w:basedOn w:val="a1"/>
    <w:uiPriority w:val="59"/>
    <w:rsid w:val="00DD256F"/>
    <w:pPr>
      <w:widowControl w:val="0"/>
    </w:pPr>
    <w:rPr>
      <w:rFonts w:ascii="Times New Roman" w:hAnsi="Times New Roman" w:cs="Times New Roman"/>
      <w:kern w:val="2"/>
      <w:szCs w:val="21"/>
    </w:rPr>
  </w:style>
  <w:style w:type="character" w:customStyle="1" w:styleId="affffffffffd">
    <w:basedOn w:val="a2"/>
    <w:rsid w:val="00DD256F"/>
    <w:rPr>
      <w:rFonts w:ascii="Times New Roman" w:eastAsia="宋体" w:hAnsi="Times New Roman" w:cs="Times New Roman"/>
      <w:szCs w:val="21"/>
    </w:rPr>
  </w:style>
  <w:style w:type="table" w:customStyle="1" w:styleId="affffffffffe">
    <w:basedOn w:val="a3"/>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
    <w:basedOn w:val="a1"/>
    <w:uiPriority w:val="99"/>
    <w:unhideWhenUsed/>
    <w:rsid w:val="00DD256F"/>
    <w:pPr>
      <w:widowControl w:val="0"/>
      <w:jc w:val="both"/>
    </w:pPr>
    <w:rPr>
      <w:rFonts w:ascii="Calibri" w:hAnsi="Calibri" w:cs="Times New Roman"/>
      <w:kern w:val="2"/>
      <w:sz w:val="18"/>
      <w:szCs w:val="18"/>
    </w:rPr>
  </w:style>
  <w:style w:type="character" w:customStyle="1" w:styleId="afffffffffff0">
    <w:basedOn w:val="a2"/>
    <w:uiPriority w:val="99"/>
    <w:rsid w:val="00DD256F"/>
    <w:rPr>
      <w:rFonts w:ascii="Calibri" w:eastAsia="宋体" w:hAnsi="Calibri" w:cs="Times New Roman"/>
      <w:sz w:val="18"/>
      <w:szCs w:val="18"/>
    </w:rPr>
  </w:style>
  <w:style w:type="paragraph" w:customStyle="1" w:styleId="afffffffffff1">
    <w:basedOn w:val="a1"/>
    <w:next w:val="a1"/>
    <w:uiPriority w:val="99"/>
    <w:rsid w:val="00DD256F"/>
    <w:pPr>
      <w:widowControl w:val="0"/>
      <w:jc w:val="both"/>
    </w:pPr>
    <w:rPr>
      <w:rFonts w:ascii="Times New Roman" w:hAnsi="Times New Roman" w:cs="Times New Roman"/>
      <w:kern w:val="2"/>
      <w:szCs w:val="21"/>
    </w:rPr>
  </w:style>
  <w:style w:type="character" w:customStyle="1" w:styleId="afffffffffff2">
    <w:basedOn w:val="a2"/>
    <w:uiPriority w:val="99"/>
    <w:rsid w:val="00DD256F"/>
    <w:rPr>
      <w:rFonts w:ascii="Times New Roman" w:eastAsia="宋体" w:hAnsi="Times New Roman" w:cs="Times New Roman"/>
      <w:szCs w:val="21"/>
    </w:rPr>
  </w:style>
  <w:style w:type="paragraph" w:customStyle="1" w:styleId="afffffffffff3">
    <w:basedOn w:val="a1"/>
    <w:uiPriority w:val="34"/>
    <w:qFormat/>
    <w:rsid w:val="00DD256F"/>
    <w:pPr>
      <w:widowControl w:val="0"/>
      <w:ind w:firstLineChars="200" w:firstLine="420"/>
      <w:jc w:val="both"/>
    </w:pPr>
    <w:rPr>
      <w:rFonts w:ascii="Calibri" w:hAnsi="Calibri" w:cs="Times New Roman"/>
      <w:kern w:val="2"/>
      <w:szCs w:val="22"/>
    </w:rPr>
  </w:style>
  <w:style w:type="character" w:customStyle="1" w:styleId="afffffffffff4">
    <w:uiPriority w:val="99"/>
    <w:rsid w:val="00DD256F"/>
    <w:rPr>
      <w:rFonts w:ascii="Calibri" w:eastAsia="宋体" w:hAnsi="Calibri" w:cs="Times New Roman"/>
      <w:b/>
      <w:bCs/>
      <w:szCs w:val="21"/>
    </w:rPr>
  </w:style>
  <w:style w:type="paragraph" w:customStyle="1" w:styleId="afffffffffff5">
    <w:basedOn w:val="a7"/>
    <w:next w:val="a7"/>
    <w:uiPriority w:val="99"/>
    <w:unhideWhenUsed/>
    <w:rsid w:val="00DD256F"/>
    <w:rPr>
      <w:rFonts w:ascii="Calibri" w:hAnsi="Calibri"/>
      <w:b/>
      <w:bCs/>
      <w:szCs w:val="22"/>
    </w:rPr>
  </w:style>
  <w:style w:type="paragraph" w:customStyle="1" w:styleId="afffffffffff6">
    <w:basedOn w:val="a1"/>
    <w:next w:val="a1"/>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afffffffffff7">
    <w:basedOn w:val="a1"/>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afffffffffff8">
    <w:basedOn w:val="a2"/>
    <w:uiPriority w:val="99"/>
    <w:rsid w:val="00DD256F"/>
    <w:rPr>
      <w:rFonts w:ascii="Calibri" w:eastAsia="宋体" w:hAnsi="Calibri" w:cs="Times New Roman"/>
      <w:sz w:val="18"/>
      <w:szCs w:val="18"/>
    </w:rPr>
  </w:style>
  <w:style w:type="paragraph" w:customStyle="1" w:styleId="afffffffffff9">
    <w:basedOn w:val="a1"/>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afffffffffffa">
    <w:basedOn w:val="a2"/>
    <w:uiPriority w:val="99"/>
    <w:rsid w:val="00DD256F"/>
    <w:rPr>
      <w:rFonts w:ascii="Calibri" w:eastAsia="宋体" w:hAnsi="Calibri" w:cs="Times New Roman"/>
      <w:sz w:val="18"/>
      <w:szCs w:val="18"/>
    </w:rPr>
  </w:style>
  <w:style w:type="paragraph" w:customStyle="1" w:styleId="afffffffffffb">
    <w:basedOn w:val="a1"/>
    <w:rsid w:val="00DD256F"/>
    <w:pPr>
      <w:widowControl w:val="0"/>
      <w:jc w:val="both"/>
    </w:pPr>
    <w:rPr>
      <w:rFonts w:hAnsi="Courier New" w:cs="Times New Roman"/>
      <w:kern w:val="2"/>
      <w:szCs w:val="20"/>
    </w:rPr>
  </w:style>
  <w:style w:type="character" w:customStyle="1" w:styleId="afffffffffffc">
    <w:basedOn w:val="a2"/>
    <w:rsid w:val="00DD256F"/>
    <w:rPr>
      <w:rFonts w:ascii="宋体" w:eastAsia="宋体" w:hAnsi="Courier New" w:cs="Times New Roman"/>
      <w:szCs w:val="20"/>
    </w:rPr>
  </w:style>
  <w:style w:type="paragraph" w:customStyle="1" w:styleId="afffffffffffd">
    <w:basedOn w:val="a1"/>
    <w:uiPriority w:val="99"/>
    <w:rsid w:val="00DD256F"/>
    <w:pPr>
      <w:widowControl w:val="0"/>
      <w:spacing w:after="120"/>
      <w:jc w:val="both"/>
    </w:pPr>
    <w:rPr>
      <w:rFonts w:ascii="Times New Roman" w:hAnsi="Times New Roman" w:cs="Times New Roman"/>
      <w:kern w:val="2"/>
      <w:szCs w:val="21"/>
    </w:rPr>
  </w:style>
  <w:style w:type="character" w:customStyle="1" w:styleId="afffffffffffe">
    <w:basedOn w:val="a2"/>
    <w:uiPriority w:val="99"/>
    <w:rsid w:val="00DD256F"/>
    <w:rPr>
      <w:rFonts w:ascii="Times New Roman" w:eastAsia="宋体" w:hAnsi="Times New Roman" w:cs="Times New Roman"/>
      <w:szCs w:val="21"/>
    </w:rPr>
  </w:style>
  <w:style w:type="paragraph" w:customStyle="1" w:styleId="affffffffffff">
    <w:basedOn w:val="a1"/>
    <w:next w:val="a1"/>
    <w:uiPriority w:val="99"/>
    <w:rsid w:val="00DD256F"/>
    <w:pPr>
      <w:widowControl w:val="0"/>
      <w:ind w:leftChars="2500" w:left="100"/>
      <w:jc w:val="both"/>
    </w:pPr>
    <w:rPr>
      <w:rFonts w:ascii="Times New Roman" w:hAnsi="Times New Roman" w:cs="Times New Roman"/>
      <w:kern w:val="2"/>
      <w:szCs w:val="21"/>
    </w:rPr>
  </w:style>
  <w:style w:type="character" w:customStyle="1" w:styleId="affffffffffff0">
    <w:basedOn w:val="a2"/>
    <w:uiPriority w:val="99"/>
    <w:rsid w:val="00DD256F"/>
    <w:rPr>
      <w:rFonts w:ascii="Times New Roman" w:eastAsia="宋体" w:hAnsi="Times New Roman" w:cs="Times New Roman"/>
      <w:szCs w:val="21"/>
    </w:rPr>
  </w:style>
  <w:style w:type="paragraph" w:customStyle="1" w:styleId="affffffffffff1">
    <w:basedOn w:val="a1"/>
    <w:next w:val="a1"/>
    <w:uiPriority w:val="99"/>
    <w:rsid w:val="00DD256F"/>
    <w:pPr>
      <w:widowControl w:val="0"/>
      <w:jc w:val="center"/>
    </w:pPr>
    <w:rPr>
      <w:rFonts w:ascii="Times New Roman" w:hAnsi="Times New Roman" w:cs="Times New Roman"/>
      <w:kern w:val="2"/>
      <w:szCs w:val="21"/>
    </w:rPr>
  </w:style>
  <w:style w:type="character" w:customStyle="1" w:styleId="affffffffffff2">
    <w:basedOn w:val="a2"/>
    <w:uiPriority w:val="99"/>
    <w:rsid w:val="00DD256F"/>
    <w:rPr>
      <w:rFonts w:ascii="Times New Roman" w:eastAsia="宋体" w:hAnsi="Times New Roman" w:cs="Times New Roman"/>
      <w:szCs w:val="21"/>
    </w:rPr>
  </w:style>
  <w:style w:type="paragraph" w:customStyle="1" w:styleId="affffffffffff3">
    <w:basedOn w:val="a1"/>
    <w:next w:val="a1"/>
    <w:semiHidden/>
    <w:rsid w:val="00DD256F"/>
    <w:pPr>
      <w:widowControl w:val="0"/>
      <w:spacing w:before="120"/>
      <w:jc w:val="both"/>
    </w:pPr>
    <w:rPr>
      <w:rFonts w:ascii="Arial" w:hAnsi="Arial" w:cs="Times New Roman"/>
      <w:b/>
      <w:bCs/>
      <w:kern w:val="2"/>
      <w:szCs w:val="21"/>
    </w:rPr>
  </w:style>
  <w:style w:type="paragraph" w:customStyle="1" w:styleId="affffffffffff4">
    <w:basedOn w:val="a1"/>
    <w:rsid w:val="005B5D50"/>
    <w:pPr>
      <w:keepNext/>
      <w:keepLines/>
      <w:widowControl w:val="0"/>
      <w:spacing w:before="60" w:after="60"/>
      <w:ind w:hangingChars="200" w:hanging="420"/>
      <w:jc w:val="both"/>
      <w:outlineLvl w:val="4"/>
    </w:pPr>
    <w:rPr>
      <w:rFonts w:cs="Times New Roman"/>
      <w:b/>
      <w:bCs/>
      <w:kern w:val="2"/>
      <w:szCs w:val="21"/>
    </w:rPr>
  </w:style>
  <w:style w:type="paragraph" w:customStyle="1" w:styleId="affffffffffff5">
    <w:hidden/>
    <w:uiPriority w:val="99"/>
    <w:semiHidden/>
    <w:rsid w:val="00BC1CB9"/>
    <w:rPr>
      <w:kern w:val="2"/>
      <w:sz w:val="21"/>
      <w:szCs w:val="22"/>
    </w:rPr>
  </w:style>
  <w:style w:type="character" w:customStyle="1" w:styleId="affffffffffff6">
    <w:basedOn w:val="a2"/>
    <w:rsid w:val="006B00D5"/>
    <w:rPr>
      <w:kern w:val="2"/>
      <w:sz w:val="21"/>
      <w:szCs w:val="24"/>
    </w:rPr>
  </w:style>
  <w:style w:type="paragraph" w:customStyle="1" w:styleId="affffffffffff7">
    <w:basedOn w:val="a1"/>
    <w:qFormat/>
    <w:rsid w:val="006B00D5"/>
    <w:pPr>
      <w:widowControl w:val="0"/>
      <w:spacing w:before="100" w:after="100"/>
      <w:jc w:val="both"/>
    </w:pPr>
    <w:rPr>
      <w:rFonts w:ascii="Calibri" w:hAnsi="Calibri" w:cs="Times New Roman"/>
      <w:kern w:val="2"/>
    </w:rPr>
  </w:style>
  <w:style w:type="paragraph" w:customStyle="1" w:styleId="affffffffffff8">
    <w:basedOn w:val="a1"/>
    <w:uiPriority w:val="99"/>
    <w:semiHidden/>
    <w:unhideWhenUsed/>
    <w:rsid w:val="0002110B"/>
    <w:pPr>
      <w:widowControl w:val="0"/>
      <w:jc w:val="both"/>
    </w:pPr>
    <w:rPr>
      <w:rFonts w:hAnsi="Calibri" w:cs="Times New Roman"/>
      <w:kern w:val="2"/>
      <w:sz w:val="18"/>
      <w:szCs w:val="18"/>
    </w:rPr>
  </w:style>
  <w:style w:type="character" w:customStyle="1" w:styleId="affffffffffff9">
    <w:basedOn w:val="a2"/>
    <w:uiPriority w:val="99"/>
    <w:semiHidden/>
    <w:rsid w:val="0002110B"/>
    <w:rPr>
      <w:rFonts w:ascii="宋体"/>
      <w:kern w:val="2"/>
      <w:sz w:val="18"/>
      <w:szCs w:val="18"/>
    </w:rPr>
  </w:style>
  <w:style w:type="character" w:customStyle="1" w:styleId="affffffffffffa">
    <w:basedOn w:val="a2"/>
    <w:uiPriority w:val="99"/>
    <w:semiHidden/>
    <w:rsid w:val="00205C40"/>
    <w:rPr>
      <w:color w:val="auto"/>
    </w:rPr>
  </w:style>
  <w:style w:type="paragraph" w:customStyle="1" w:styleId="affffffffffffb">
    <w:basedOn w:val="a1"/>
    <w:next w:val="a1"/>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affffffffffffc">
    <w:basedOn w:val="a2"/>
    <w:uiPriority w:val="10"/>
    <w:rsid w:val="00F23D17"/>
    <w:rPr>
      <w:rFonts w:asciiTheme="majorHAnsi" w:hAnsiTheme="majorHAnsi" w:cstheme="majorBidi"/>
      <w:b/>
      <w:bCs/>
      <w:kern w:val="2"/>
      <w:sz w:val="32"/>
      <w:szCs w:val="32"/>
    </w:rPr>
  </w:style>
  <w:style w:type="paragraph" w:customStyle="1" w:styleId="affffffffffffd">
    <w:uiPriority w:val="1"/>
    <w:qFormat/>
    <w:rsid w:val="00BE4764"/>
    <w:pPr>
      <w:widowControl w:val="0"/>
      <w:jc w:val="both"/>
    </w:pPr>
    <w:rPr>
      <w:kern w:val="2"/>
      <w:sz w:val="21"/>
      <w:szCs w:val="22"/>
    </w:rPr>
  </w:style>
  <w:style w:type="paragraph" w:customStyle="1" w:styleId="affffffffffffe">
    <w:basedOn w:val="a1"/>
    <w:next w:val="a1"/>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afffffffffffff">
    <w:basedOn w:val="a1"/>
    <w:next w:val="a1"/>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customStyle="1" w:styleId="afffffffffffff0">
    <w:basedOn w:val="a1"/>
    <w:next w:val="a1"/>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customStyle="1" w:styleId="afffffffffffff1">
    <w:basedOn w:val="a1"/>
    <w:next w:val="a1"/>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customStyle="1" w:styleId="afffffffffffff2">
    <w:basedOn w:val="a1"/>
    <w:next w:val="a1"/>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customStyle="1" w:styleId="afffffffffffff3">
    <w:basedOn w:val="a1"/>
    <w:next w:val="a1"/>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afffffffffffff4">
    <w:basedOn w:val="a2"/>
    <w:uiPriority w:val="9"/>
    <w:rsid w:val="005B5D50"/>
    <w:rPr>
      <w:rFonts w:asciiTheme="majorHAnsi" w:hAnsiTheme="majorHAnsi" w:cstheme="majorBidi"/>
      <w:b/>
      <w:bCs/>
      <w:sz w:val="21"/>
      <w:szCs w:val="24"/>
    </w:rPr>
  </w:style>
  <w:style w:type="paragraph" w:customStyle="1" w:styleId="afffffffffffff5">
    <w:basedOn w:val="a1"/>
    <w:uiPriority w:val="99"/>
    <w:rsid w:val="00C17CE1"/>
    <w:pPr>
      <w:spacing w:before="100" w:beforeAutospacing="1" w:after="100" w:afterAutospacing="1"/>
    </w:pPr>
    <w:rPr>
      <w:sz w:val="24"/>
    </w:rPr>
  </w:style>
  <w:style w:type="paragraph" w:customStyle="1" w:styleId="afffffffffffff6">
    <w:basedOn w:val="a1"/>
    <w:uiPriority w:val="99"/>
    <w:semiHidden/>
    <w:unhideWhenUsed/>
    <w:rsid w:val="001116D4"/>
    <w:pPr>
      <w:snapToGrid w:val="0"/>
    </w:pPr>
  </w:style>
  <w:style w:type="character" w:customStyle="1" w:styleId="afffffffffffff7">
    <w:basedOn w:val="a2"/>
    <w:uiPriority w:val="99"/>
    <w:semiHidden/>
    <w:rsid w:val="001116D4"/>
    <w:rPr>
      <w:rFonts w:ascii="宋体" w:hAnsi="宋体" w:cs="宋体"/>
      <w:sz w:val="21"/>
      <w:szCs w:val="24"/>
    </w:rPr>
  </w:style>
  <w:style w:type="character" w:customStyle="1" w:styleId="afffffffffffff8">
    <w:basedOn w:val="a2"/>
    <w:uiPriority w:val="99"/>
    <w:semiHidden/>
    <w:unhideWhenUsed/>
    <w:rsid w:val="001116D4"/>
    <w:rPr>
      <w:vertAlign w:val="superscript"/>
    </w:rPr>
  </w:style>
  <w:style w:type="character" w:customStyle="1" w:styleId="afffffffffffff9">
    <w:uiPriority w:val="99"/>
    <w:semiHidden/>
    <w:rsid w:val="0067754A"/>
    <w:rPr>
      <w:rFonts w:ascii="Times New Roman" w:eastAsia="宋体" w:hAnsi="Times New Roman" w:cs="Times New Roman"/>
      <w:b/>
      <w:bCs/>
      <w:szCs w:val="21"/>
    </w:rPr>
  </w:style>
  <w:style w:type="character" w:customStyle="1" w:styleId="afffffffffffffa">
    <w:uiPriority w:val="99"/>
    <w:semiHidden/>
    <w:rsid w:val="005F6ED8"/>
    <w:rPr>
      <w:rFonts w:ascii="Times New Roman" w:eastAsia="宋体" w:hAnsi="Times New Roman" w:cs="Times New Roman"/>
      <w:b/>
      <w:bCs/>
      <w:szCs w:val="21"/>
    </w:rPr>
  </w:style>
  <w:style w:type="character" w:customStyle="1" w:styleId="afffffffffffffb">
    <w:basedOn w:val="a2"/>
    <w:uiPriority w:val="9"/>
    <w:rsid w:val="00FD46A6"/>
    <w:rPr>
      <w:rFonts w:ascii="宋体" w:hAnsi="宋体" w:cs="宋体"/>
      <w:b/>
      <w:bCs/>
      <w:sz w:val="24"/>
      <w:szCs w:val="24"/>
    </w:rPr>
  </w:style>
  <w:style w:type="paragraph" w:customStyle="1" w:styleId="afffffffffffffc">
    <w:basedOn w:val="a1"/>
    <w:rsid w:val="00FD46A6"/>
    <w:pPr>
      <w:widowControl w:val="0"/>
      <w:ind w:firstLineChars="200" w:firstLine="420"/>
      <w:jc w:val="both"/>
    </w:pPr>
    <w:rPr>
      <w:rFonts w:ascii="Times New Roman" w:hAnsi="Times New Roman" w:cs="Times New Roman"/>
      <w:kern w:val="2"/>
      <w:szCs w:val="21"/>
    </w:rPr>
  </w:style>
  <w:style w:type="paragraph" w:customStyle="1" w:styleId="afffffffffffffd">
    <w:basedOn w:val="a1"/>
    <w:uiPriority w:val="34"/>
    <w:qFormat/>
    <w:rsid w:val="00FD46A6"/>
    <w:pPr>
      <w:widowControl w:val="0"/>
      <w:ind w:firstLineChars="200" w:firstLine="420"/>
      <w:jc w:val="both"/>
    </w:pPr>
    <w:rPr>
      <w:rFonts w:ascii="Calibri" w:hAnsi="Calibri" w:cs="Times New Roman"/>
      <w:kern w:val="2"/>
      <w:szCs w:val="22"/>
    </w:rPr>
  </w:style>
  <w:style w:type="paragraph" w:customStyle="1" w:styleId="afffffffffffffe">
    <w:basedOn w:val="a1"/>
    <w:uiPriority w:val="34"/>
    <w:qFormat/>
    <w:rsid w:val="00FD46A6"/>
    <w:pPr>
      <w:widowControl w:val="0"/>
      <w:ind w:firstLineChars="200" w:firstLine="420"/>
      <w:jc w:val="both"/>
    </w:pPr>
    <w:rPr>
      <w:rFonts w:ascii="Calibri" w:hAnsi="Calibri" w:cs="Times New Roman"/>
      <w:kern w:val="2"/>
      <w:szCs w:val="22"/>
    </w:rPr>
  </w:style>
  <w:style w:type="paragraph" w:customStyle="1" w:styleId="affffffffffffff">
    <w:basedOn w:val="a1"/>
    <w:uiPriority w:val="34"/>
    <w:qFormat/>
    <w:rsid w:val="00FD46A6"/>
    <w:pPr>
      <w:widowControl w:val="0"/>
      <w:ind w:firstLineChars="200" w:firstLine="420"/>
      <w:jc w:val="both"/>
    </w:pPr>
    <w:rPr>
      <w:rFonts w:ascii="Calibri" w:hAnsi="Calibri" w:cs="Times New Roman"/>
      <w:kern w:val="2"/>
      <w:szCs w:val="22"/>
    </w:rPr>
  </w:style>
  <w:style w:type="paragraph" w:customStyle="1" w:styleId="affffffffffffff0">
    <w:basedOn w:val="a1"/>
    <w:uiPriority w:val="34"/>
    <w:qFormat/>
    <w:rsid w:val="00FD46A6"/>
    <w:pPr>
      <w:widowControl w:val="0"/>
      <w:ind w:firstLineChars="200" w:firstLine="420"/>
      <w:jc w:val="both"/>
    </w:pPr>
    <w:rPr>
      <w:rFonts w:ascii="Calibri" w:hAnsi="Calibri" w:cs="Times New Roman"/>
      <w:kern w:val="2"/>
      <w:szCs w:val="22"/>
    </w:rPr>
  </w:style>
  <w:style w:type="paragraph" w:customStyle="1" w:styleId="affffffffffffff1">
    <w:basedOn w:val="2"/>
    <w:next w:val="a1"/>
    <w:qFormat/>
    <w:rsid w:val="00122393"/>
    <w:pPr>
      <w:widowControl/>
      <w:overflowPunct w:val="0"/>
      <w:autoSpaceDE w:val="0"/>
      <w:autoSpaceDN w:val="0"/>
      <w:adjustRightInd w:val="0"/>
      <w:snapToGrid w:val="0"/>
      <w:spacing w:before="0" w:after="0"/>
      <w:ind w:left="720" w:hanging="720"/>
      <w:textAlignment w:val="bottom"/>
    </w:pPr>
    <w:rPr>
      <w:rFonts w:eastAsia="黑体" w:cs="Arial"/>
      <w:bCs w:val="0"/>
      <w:snapToGrid w:val="0"/>
      <w:color w:val="000000" w:themeColor="text1"/>
      <w:kern w:val="0"/>
      <w:sz w:val="24"/>
      <w:szCs w:val="26"/>
    </w:rPr>
  </w:style>
  <w:style w:type="character" w:customStyle="1" w:styleId="affffffffffffff2">
    <w:basedOn w:val="a2"/>
    <w:rsid w:val="00122393"/>
    <w:rPr>
      <w:rFonts w:ascii="Arial" w:eastAsia="黑体" w:hAnsi="Arial" w:cs="Arial"/>
      <w:b/>
      <w:snapToGrid w:val="0"/>
      <w:color w:val="000000" w:themeColor="text1"/>
      <w:sz w:val="24"/>
      <w:szCs w:val="26"/>
    </w:rPr>
  </w:style>
  <w:style w:type="character" w:customStyle="1" w:styleId="affffffffffffff3">
    <w:basedOn w:val="a2"/>
    <w:locked/>
    <w:rsid w:val="00A63CDC"/>
    <w:rPr>
      <w:rFonts w:ascii="黑体" w:eastAsia="黑体" w:hAnsi="黑体" w:cs="Arial"/>
      <w:sz w:val="24"/>
      <w:szCs w:val="24"/>
      <w:u w:val="single"/>
    </w:rPr>
  </w:style>
  <w:style w:type="paragraph" w:customStyle="1" w:styleId="affffffffffffff4">
    <w:basedOn w:val="5"/>
    <w:qFormat/>
    <w:rsid w:val="00A63CDC"/>
    <w:pPr>
      <w:widowControl/>
      <w:overflowPunct w:val="0"/>
      <w:autoSpaceDE w:val="0"/>
      <w:autoSpaceDN w:val="0"/>
      <w:adjustRightInd w:val="0"/>
      <w:snapToGrid w:val="0"/>
      <w:spacing w:before="0" w:after="0"/>
      <w:ind w:left="1440" w:hanging="720"/>
    </w:pPr>
    <w:rPr>
      <w:rFonts w:ascii="黑体" w:eastAsia="黑体" w:hAnsi="黑体" w:cs="Arial"/>
      <w:b w:val="0"/>
      <w:bCs w:val="0"/>
      <w:kern w:val="0"/>
      <w:sz w:val="24"/>
      <w:szCs w:val="24"/>
      <w:u w:val="single"/>
    </w:rPr>
  </w:style>
  <w:style w:type="character" w:customStyle="1" w:styleId="affffffffffffff5">
    <w:basedOn w:val="a2"/>
    <w:locked/>
    <w:rsid w:val="00A63CDC"/>
    <w:rPr>
      <w:rFonts w:ascii="Arial" w:eastAsia="黑体" w:hAnsi="Arial" w:cs="Arial"/>
      <w:iCs/>
      <w:sz w:val="24"/>
      <w:szCs w:val="24"/>
    </w:rPr>
  </w:style>
  <w:style w:type="paragraph" w:customStyle="1" w:styleId="affffffffffffff6">
    <w:basedOn w:val="4"/>
    <w:qFormat/>
    <w:rsid w:val="00A63CDC"/>
    <w:pPr>
      <w:widowControl/>
      <w:overflowPunct w:val="0"/>
      <w:autoSpaceDE w:val="0"/>
      <w:autoSpaceDN w:val="0"/>
      <w:adjustRightInd w:val="0"/>
      <w:snapToGrid w:val="0"/>
      <w:spacing w:before="0" w:after="0"/>
      <w:ind w:left="720" w:hanging="720"/>
    </w:pPr>
    <w:rPr>
      <w:rFonts w:ascii="Arial" w:eastAsia="黑体" w:hAnsi="Arial" w:cs="Arial"/>
      <w:b w:val="0"/>
      <w:bCs w:val="0"/>
      <w:iCs/>
      <w:kern w:val="0"/>
      <w:sz w:val="24"/>
      <w:szCs w:val="24"/>
    </w:rPr>
  </w:style>
  <w:style w:type="table" w:customStyle="1" w:styleId="g11">
    <w:name w:val="g11"/>
    <w:uiPriority w:val="99"/>
    <w:semiHidden/>
    <w:unhideWhenUsed/>
    <w:tblPr>
      <w:tblInd w:w="0" w:type="dxa"/>
      <w:tblCellMar>
        <w:top w:w="0" w:type="dxa"/>
        <w:left w:w="108" w:type="dxa"/>
        <w:bottom w:w="0" w:type="dxa"/>
        <w:right w:w="108" w:type="dxa"/>
      </w:tblCellMar>
    </w:tblPr>
  </w:style>
  <w:style w:type="table" w:customStyle="1" w:styleId="g12">
    <w:name w:val="g12"/>
    <w:basedOn w:val="a3"/>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13">
    <w:name w:val="g13"/>
    <w:basedOn w:val="a3"/>
    <w:uiPriority w:val="42"/>
    <w:rsid w:val="00FD46A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14">
    <w:name w:val="g14"/>
    <w:uiPriority w:val="99"/>
    <w:semiHidden/>
    <w:unhideWhenUsed/>
    <w:tblPr>
      <w:tblInd w:w="0" w:type="dxa"/>
      <w:tblCellMar>
        <w:top w:w="0" w:type="dxa"/>
        <w:left w:w="108" w:type="dxa"/>
        <w:bottom w:w="0" w:type="dxa"/>
        <w:right w:w="108" w:type="dxa"/>
      </w:tblCellMar>
    </w:tblPr>
  </w:style>
  <w:style w:type="table" w:customStyle="1" w:styleId="g15">
    <w:name w:val="g15"/>
    <w:basedOn w:val="a3"/>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16">
    <w:name w:val="g16"/>
    <w:basedOn w:val="a3"/>
    <w:uiPriority w:val="42"/>
    <w:rsid w:val="00FD46A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17">
    <w:name w:val="g17"/>
    <w:basedOn w:val="a3"/>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fffff7">
    <w:uiPriority w:val="1"/>
    <w:unhideWhenUsed/>
  </w:style>
  <w:style w:type="paragraph" w:customStyle="1" w:styleId="affffffffffffff8">
    <w:basedOn w:val="a1"/>
    <w:next w:val="a1"/>
    <w:autoRedefine/>
    <w:uiPriority w:val="39"/>
    <w:qFormat/>
    <w:rsid w:val="00DD256F"/>
    <w:pPr>
      <w:widowControl w:val="0"/>
      <w:jc w:val="both"/>
    </w:pPr>
    <w:rPr>
      <w:rFonts w:ascii="Times New Roman" w:hAnsi="Times New Roman" w:cs="Times New Roman"/>
      <w:kern w:val="2"/>
      <w:szCs w:val="21"/>
    </w:rPr>
  </w:style>
  <w:style w:type="paragraph" w:customStyle="1" w:styleId="affffffffffffff9">
    <w:basedOn w:val="a1"/>
    <w:next w:val="a1"/>
    <w:autoRedefine/>
    <w:uiPriority w:val="39"/>
    <w:qFormat/>
    <w:rsid w:val="00DD256F"/>
    <w:pPr>
      <w:widowControl w:val="0"/>
      <w:ind w:leftChars="200" w:left="420"/>
      <w:jc w:val="both"/>
    </w:pPr>
    <w:rPr>
      <w:rFonts w:ascii="Times New Roman" w:hAnsi="Times New Roman" w:cs="Times New Roman"/>
      <w:kern w:val="2"/>
      <w:szCs w:val="21"/>
    </w:rPr>
  </w:style>
  <w:style w:type="table" w:customStyle="1" w:styleId="affffffffffffffa">
    <w:basedOn w:val="a3"/>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b">
    <w:basedOn w:val="a1"/>
    <w:uiPriority w:val="99"/>
    <w:unhideWhenUsed/>
    <w:rsid w:val="00DD256F"/>
    <w:pPr>
      <w:widowControl w:val="0"/>
      <w:jc w:val="both"/>
    </w:pPr>
    <w:rPr>
      <w:rFonts w:ascii="Calibri" w:hAnsi="Calibri" w:cs="Times New Roman"/>
      <w:kern w:val="2"/>
      <w:sz w:val="18"/>
      <w:szCs w:val="18"/>
    </w:rPr>
  </w:style>
  <w:style w:type="character" w:customStyle="1" w:styleId="affffffffffffffc">
    <w:basedOn w:val="a2"/>
    <w:uiPriority w:val="99"/>
    <w:rsid w:val="00DD256F"/>
    <w:rPr>
      <w:rFonts w:ascii="Calibri" w:eastAsia="宋体" w:hAnsi="Calibri" w:cs="Times New Roman"/>
      <w:sz w:val="18"/>
      <w:szCs w:val="18"/>
    </w:rPr>
  </w:style>
  <w:style w:type="paragraph" w:customStyle="1" w:styleId="affffffffffffffd">
    <w:basedOn w:val="a1"/>
    <w:next w:val="a1"/>
    <w:uiPriority w:val="99"/>
    <w:rsid w:val="00DD256F"/>
    <w:pPr>
      <w:widowControl w:val="0"/>
      <w:jc w:val="both"/>
    </w:pPr>
    <w:rPr>
      <w:rFonts w:ascii="Times New Roman" w:hAnsi="Times New Roman" w:cs="Times New Roman"/>
      <w:kern w:val="2"/>
      <w:szCs w:val="21"/>
    </w:rPr>
  </w:style>
  <w:style w:type="character" w:customStyle="1" w:styleId="affffffffffffffe">
    <w:basedOn w:val="a2"/>
    <w:uiPriority w:val="99"/>
    <w:rsid w:val="00DD256F"/>
    <w:rPr>
      <w:rFonts w:ascii="Times New Roman" w:eastAsia="宋体" w:hAnsi="Times New Roman" w:cs="Times New Roman"/>
      <w:szCs w:val="21"/>
    </w:rPr>
  </w:style>
  <w:style w:type="paragraph" w:customStyle="1" w:styleId="afffffffffffffff">
    <w:basedOn w:val="a1"/>
    <w:uiPriority w:val="34"/>
    <w:qFormat/>
    <w:rsid w:val="00DD256F"/>
    <w:pPr>
      <w:widowControl w:val="0"/>
      <w:ind w:firstLineChars="200" w:firstLine="420"/>
      <w:jc w:val="both"/>
    </w:pPr>
    <w:rPr>
      <w:rFonts w:ascii="Calibri" w:hAnsi="Calibri" w:cs="Times New Roman"/>
      <w:kern w:val="2"/>
      <w:szCs w:val="22"/>
    </w:rPr>
  </w:style>
  <w:style w:type="character" w:customStyle="1" w:styleId="afffffffffffffff0">
    <w:basedOn w:val="a8"/>
    <w:uiPriority w:val="99"/>
    <w:rsid w:val="00DD256F"/>
    <w:rPr>
      <w:rFonts w:ascii="Calibri" w:eastAsia="宋体" w:hAnsi="Calibri" w:cs="Times New Roman"/>
      <w:b/>
      <w:bCs/>
      <w:szCs w:val="21"/>
    </w:rPr>
  </w:style>
  <w:style w:type="paragraph" w:customStyle="1" w:styleId="afffffffffffffff1">
    <w:basedOn w:val="a7"/>
    <w:next w:val="a7"/>
    <w:uiPriority w:val="99"/>
    <w:unhideWhenUsed/>
    <w:rsid w:val="00DD256F"/>
    <w:rPr>
      <w:rFonts w:ascii="Calibri" w:hAnsi="Calibri"/>
      <w:b/>
      <w:bCs/>
      <w:szCs w:val="22"/>
    </w:rPr>
  </w:style>
  <w:style w:type="paragraph" w:customStyle="1" w:styleId="afffffffffffffff2">
    <w:basedOn w:val="a1"/>
    <w:next w:val="a1"/>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afffffffffffffff3">
    <w:basedOn w:val="a1"/>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afffffffffffffff4">
    <w:basedOn w:val="a2"/>
    <w:uiPriority w:val="99"/>
    <w:rsid w:val="00DD256F"/>
    <w:rPr>
      <w:rFonts w:ascii="Calibri" w:eastAsia="宋体" w:hAnsi="Calibri" w:cs="Times New Roman"/>
      <w:sz w:val="18"/>
      <w:szCs w:val="18"/>
    </w:rPr>
  </w:style>
  <w:style w:type="paragraph" w:customStyle="1" w:styleId="afffffffffffffff5">
    <w:basedOn w:val="a1"/>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afffffffffffffff6">
    <w:basedOn w:val="a2"/>
    <w:uiPriority w:val="99"/>
    <w:rsid w:val="00DD256F"/>
    <w:rPr>
      <w:rFonts w:ascii="Calibri" w:eastAsia="宋体" w:hAnsi="Calibri" w:cs="Times New Roman"/>
      <w:sz w:val="18"/>
      <w:szCs w:val="18"/>
    </w:rPr>
  </w:style>
  <w:style w:type="paragraph" w:customStyle="1" w:styleId="afffffffffffffff7">
    <w:basedOn w:val="a1"/>
    <w:rsid w:val="00DD256F"/>
    <w:pPr>
      <w:widowControl w:val="0"/>
      <w:jc w:val="both"/>
    </w:pPr>
    <w:rPr>
      <w:rFonts w:hAnsi="Courier New" w:cs="Times New Roman"/>
      <w:kern w:val="2"/>
      <w:szCs w:val="20"/>
    </w:rPr>
  </w:style>
  <w:style w:type="character" w:customStyle="1" w:styleId="afffffffffffffff8">
    <w:basedOn w:val="a2"/>
    <w:rsid w:val="00DD256F"/>
    <w:rPr>
      <w:rFonts w:ascii="宋体" w:eastAsia="宋体" w:hAnsi="Courier New" w:cs="Times New Roman"/>
      <w:szCs w:val="20"/>
    </w:rPr>
  </w:style>
  <w:style w:type="paragraph" w:customStyle="1" w:styleId="afffffffffffffff9">
    <w:basedOn w:val="a1"/>
    <w:uiPriority w:val="99"/>
    <w:rsid w:val="00DD256F"/>
    <w:pPr>
      <w:widowControl w:val="0"/>
      <w:spacing w:after="120"/>
      <w:jc w:val="both"/>
    </w:pPr>
    <w:rPr>
      <w:rFonts w:ascii="Times New Roman" w:hAnsi="Times New Roman" w:cs="Times New Roman"/>
      <w:kern w:val="2"/>
      <w:szCs w:val="21"/>
    </w:rPr>
  </w:style>
  <w:style w:type="character" w:customStyle="1" w:styleId="afffffffffffffffa">
    <w:basedOn w:val="a2"/>
    <w:uiPriority w:val="99"/>
    <w:rsid w:val="00DD256F"/>
    <w:rPr>
      <w:rFonts w:ascii="Times New Roman" w:eastAsia="宋体" w:hAnsi="Times New Roman" w:cs="Times New Roman"/>
      <w:szCs w:val="21"/>
    </w:rPr>
  </w:style>
  <w:style w:type="paragraph" w:customStyle="1" w:styleId="afffffffffffffffb">
    <w:basedOn w:val="a1"/>
    <w:next w:val="a1"/>
    <w:uiPriority w:val="99"/>
    <w:rsid w:val="00DD256F"/>
    <w:pPr>
      <w:widowControl w:val="0"/>
      <w:ind w:leftChars="2500" w:left="100"/>
      <w:jc w:val="both"/>
    </w:pPr>
    <w:rPr>
      <w:rFonts w:ascii="Times New Roman" w:hAnsi="Times New Roman" w:cs="Times New Roman"/>
      <w:kern w:val="2"/>
      <w:szCs w:val="21"/>
    </w:rPr>
  </w:style>
  <w:style w:type="character" w:customStyle="1" w:styleId="afffffffffffffffc">
    <w:basedOn w:val="a2"/>
    <w:uiPriority w:val="99"/>
    <w:rsid w:val="00DD256F"/>
    <w:rPr>
      <w:rFonts w:ascii="Times New Roman" w:eastAsia="宋体" w:hAnsi="Times New Roman" w:cs="Times New Roman"/>
      <w:szCs w:val="21"/>
    </w:rPr>
  </w:style>
  <w:style w:type="paragraph" w:customStyle="1" w:styleId="afffffffffffffffd">
    <w:basedOn w:val="a1"/>
    <w:next w:val="a1"/>
    <w:uiPriority w:val="99"/>
    <w:rsid w:val="00DD256F"/>
    <w:pPr>
      <w:widowControl w:val="0"/>
      <w:jc w:val="center"/>
    </w:pPr>
    <w:rPr>
      <w:rFonts w:ascii="Times New Roman" w:hAnsi="Times New Roman" w:cs="Times New Roman"/>
      <w:kern w:val="2"/>
      <w:szCs w:val="21"/>
    </w:rPr>
  </w:style>
  <w:style w:type="character" w:customStyle="1" w:styleId="afffffffffffffffe">
    <w:basedOn w:val="a2"/>
    <w:uiPriority w:val="99"/>
    <w:rsid w:val="00DD256F"/>
    <w:rPr>
      <w:rFonts w:ascii="Times New Roman" w:eastAsia="宋体" w:hAnsi="Times New Roman" w:cs="Times New Roman"/>
      <w:szCs w:val="21"/>
    </w:rPr>
  </w:style>
  <w:style w:type="paragraph" w:customStyle="1" w:styleId="affffffffffffffff">
    <w:basedOn w:val="a1"/>
    <w:next w:val="a1"/>
    <w:semiHidden/>
    <w:rsid w:val="00DD256F"/>
    <w:pPr>
      <w:widowControl w:val="0"/>
      <w:spacing w:before="120"/>
      <w:jc w:val="both"/>
    </w:pPr>
    <w:rPr>
      <w:rFonts w:ascii="Arial" w:hAnsi="Arial" w:cs="Times New Roman"/>
      <w:b/>
      <w:bCs/>
      <w:kern w:val="2"/>
      <w:szCs w:val="21"/>
    </w:rPr>
  </w:style>
  <w:style w:type="paragraph" w:customStyle="1" w:styleId="affffffffffffffff0">
    <w:basedOn w:val="a1"/>
    <w:rsid w:val="005B5D50"/>
    <w:pPr>
      <w:keepNext/>
      <w:keepLines/>
      <w:widowControl w:val="0"/>
      <w:spacing w:before="60" w:after="60"/>
      <w:ind w:hangingChars="200" w:hanging="420"/>
      <w:jc w:val="both"/>
      <w:outlineLvl w:val="4"/>
    </w:pPr>
    <w:rPr>
      <w:rFonts w:cs="Times New Roman"/>
      <w:b/>
      <w:bCs/>
      <w:kern w:val="2"/>
      <w:szCs w:val="21"/>
    </w:rPr>
  </w:style>
  <w:style w:type="paragraph" w:customStyle="1" w:styleId="affffffffffffffff1">
    <w:hidden/>
    <w:uiPriority w:val="99"/>
    <w:semiHidden/>
    <w:rsid w:val="00BC1CB9"/>
    <w:rPr>
      <w:kern w:val="2"/>
      <w:sz w:val="21"/>
      <w:szCs w:val="22"/>
    </w:rPr>
  </w:style>
  <w:style w:type="character" w:customStyle="1" w:styleId="affffffffffffffff2">
    <w:basedOn w:val="a2"/>
    <w:rsid w:val="006B00D5"/>
    <w:rPr>
      <w:kern w:val="2"/>
      <w:sz w:val="21"/>
      <w:szCs w:val="24"/>
    </w:rPr>
  </w:style>
  <w:style w:type="paragraph" w:customStyle="1" w:styleId="affffffffffffffff3">
    <w:basedOn w:val="a1"/>
    <w:qFormat/>
    <w:rsid w:val="006B00D5"/>
    <w:pPr>
      <w:widowControl w:val="0"/>
      <w:spacing w:before="100" w:after="100"/>
      <w:jc w:val="both"/>
    </w:pPr>
    <w:rPr>
      <w:rFonts w:ascii="Calibri" w:hAnsi="Calibri" w:cs="Times New Roman"/>
      <w:kern w:val="2"/>
    </w:rPr>
  </w:style>
  <w:style w:type="paragraph" w:customStyle="1" w:styleId="affffffffffffffff4">
    <w:basedOn w:val="a1"/>
    <w:uiPriority w:val="99"/>
    <w:semiHidden/>
    <w:unhideWhenUsed/>
    <w:rsid w:val="0002110B"/>
    <w:pPr>
      <w:widowControl w:val="0"/>
      <w:jc w:val="both"/>
    </w:pPr>
    <w:rPr>
      <w:rFonts w:hAnsi="Calibri" w:cs="Times New Roman"/>
      <w:kern w:val="2"/>
      <w:sz w:val="18"/>
      <w:szCs w:val="18"/>
    </w:rPr>
  </w:style>
  <w:style w:type="character" w:customStyle="1" w:styleId="affffffffffffffff5">
    <w:basedOn w:val="a2"/>
    <w:uiPriority w:val="99"/>
    <w:semiHidden/>
    <w:rsid w:val="0002110B"/>
    <w:rPr>
      <w:rFonts w:ascii="宋体"/>
      <w:kern w:val="2"/>
      <w:sz w:val="18"/>
      <w:szCs w:val="18"/>
    </w:rPr>
  </w:style>
  <w:style w:type="character" w:customStyle="1" w:styleId="affffffffffffffff6">
    <w:basedOn w:val="a2"/>
    <w:uiPriority w:val="99"/>
    <w:semiHidden/>
    <w:rsid w:val="00205C40"/>
    <w:rPr>
      <w:color w:val="auto"/>
    </w:rPr>
  </w:style>
  <w:style w:type="paragraph" w:customStyle="1" w:styleId="affffffffffffffff7">
    <w:basedOn w:val="a1"/>
    <w:next w:val="a1"/>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affffffffffffffff8">
    <w:basedOn w:val="a2"/>
    <w:rsid w:val="00F23D17"/>
    <w:rPr>
      <w:rFonts w:asciiTheme="majorHAnsi" w:hAnsiTheme="majorHAnsi" w:cstheme="majorBidi"/>
      <w:b/>
      <w:bCs/>
      <w:kern w:val="2"/>
      <w:sz w:val="32"/>
      <w:szCs w:val="32"/>
    </w:rPr>
  </w:style>
  <w:style w:type="paragraph" w:customStyle="1" w:styleId="affffffffffffffff9">
    <w:uiPriority w:val="1"/>
    <w:qFormat/>
    <w:rsid w:val="00BE4764"/>
    <w:pPr>
      <w:widowControl w:val="0"/>
      <w:jc w:val="both"/>
    </w:pPr>
    <w:rPr>
      <w:kern w:val="2"/>
      <w:sz w:val="21"/>
      <w:szCs w:val="22"/>
    </w:rPr>
  </w:style>
  <w:style w:type="paragraph" w:customStyle="1" w:styleId="affffffffffffffffa">
    <w:basedOn w:val="a1"/>
    <w:next w:val="a1"/>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affffffffffffffffb">
    <w:basedOn w:val="a1"/>
    <w:next w:val="a1"/>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customStyle="1" w:styleId="affffffffffffffffc">
    <w:basedOn w:val="a1"/>
    <w:next w:val="a1"/>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customStyle="1" w:styleId="affffffffffffffffd">
    <w:basedOn w:val="a1"/>
    <w:next w:val="a1"/>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customStyle="1" w:styleId="affffffffffffffffe">
    <w:basedOn w:val="a1"/>
    <w:next w:val="a1"/>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customStyle="1" w:styleId="afffffffffffffffff">
    <w:basedOn w:val="a1"/>
    <w:next w:val="a1"/>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paragraph" w:customStyle="1" w:styleId="afffffffffffffffff0">
    <w:basedOn w:val="a1"/>
    <w:uiPriority w:val="99"/>
    <w:rsid w:val="00C17CE1"/>
    <w:pPr>
      <w:spacing w:before="100" w:beforeAutospacing="1" w:after="100" w:afterAutospacing="1"/>
    </w:pPr>
    <w:rPr>
      <w:sz w:val="24"/>
    </w:rPr>
  </w:style>
  <w:style w:type="paragraph" w:customStyle="1" w:styleId="afffffffffffffffff1">
    <w:basedOn w:val="a1"/>
    <w:uiPriority w:val="99"/>
    <w:semiHidden/>
    <w:unhideWhenUsed/>
    <w:rsid w:val="001116D4"/>
    <w:pPr>
      <w:snapToGrid w:val="0"/>
    </w:pPr>
  </w:style>
  <w:style w:type="character" w:customStyle="1" w:styleId="afffffffffffffffff2">
    <w:basedOn w:val="a2"/>
    <w:uiPriority w:val="99"/>
    <w:semiHidden/>
    <w:rsid w:val="001116D4"/>
    <w:rPr>
      <w:rFonts w:ascii="宋体" w:hAnsi="宋体" w:cs="宋体"/>
      <w:sz w:val="21"/>
      <w:szCs w:val="24"/>
    </w:rPr>
  </w:style>
  <w:style w:type="character" w:customStyle="1" w:styleId="afffffffffffffffff3">
    <w:basedOn w:val="a2"/>
    <w:uiPriority w:val="99"/>
    <w:semiHidden/>
    <w:unhideWhenUsed/>
    <w:rsid w:val="001116D4"/>
    <w:rPr>
      <w:vertAlign w:val="superscript"/>
    </w:rPr>
  </w:style>
  <w:style w:type="paragraph" w:customStyle="1" w:styleId="afffffffffffffffff4">
    <w:basedOn w:val="a1"/>
    <w:next w:val="a1"/>
    <w:qFormat/>
    <w:rsid w:val="00D30BB3"/>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afffffffffffffffff5">
    <w:basedOn w:val="a2"/>
    <w:rsid w:val="00D30BB3"/>
    <w:rPr>
      <w:rFonts w:ascii="Times New Roman" w:hAnsi="Times New Roman"/>
      <w:b/>
      <w:kern w:val="2"/>
      <w:sz w:val="21"/>
      <w:szCs w:val="24"/>
    </w:rPr>
  </w:style>
  <w:style w:type="character" w:customStyle="1" w:styleId="afffffffffffffffff6">
    <w:basedOn w:val="a8"/>
    <w:uiPriority w:val="99"/>
    <w:semiHidden/>
    <w:rsid w:val="005F6ED8"/>
    <w:rPr>
      <w:rFonts w:ascii="Times New Roman" w:eastAsia="宋体" w:hAnsi="Times New Roman" w:cs="Times New Roman"/>
      <w:b/>
      <w:bCs/>
      <w:szCs w:val="21"/>
    </w:rPr>
  </w:style>
  <w:style w:type="paragraph" w:customStyle="1" w:styleId="afffffffffffffffff7">
    <w:basedOn w:val="a1"/>
    <w:next w:val="a1"/>
    <w:autoRedefine/>
    <w:semiHidden/>
    <w:rsid w:val="00FD46A6"/>
    <w:pPr>
      <w:ind w:firstLineChars="200" w:firstLine="420"/>
    </w:pPr>
    <w:rPr>
      <w:rFonts w:cs="Times New Roman"/>
      <w:color w:val="000000"/>
      <w:szCs w:val="21"/>
    </w:rPr>
  </w:style>
  <w:style w:type="paragraph" w:customStyle="1" w:styleId="afffffffffffffffff8">
    <w:basedOn w:val="a1"/>
    <w:rsid w:val="00FD46A6"/>
    <w:pPr>
      <w:widowControl w:val="0"/>
      <w:ind w:firstLineChars="200" w:firstLine="420"/>
      <w:jc w:val="both"/>
    </w:pPr>
    <w:rPr>
      <w:rFonts w:ascii="Times New Roman" w:hAnsi="Times New Roman" w:cs="Times New Roman"/>
      <w:kern w:val="2"/>
      <w:szCs w:val="21"/>
    </w:rPr>
  </w:style>
  <w:style w:type="paragraph" w:customStyle="1" w:styleId="afffffffffffffffff9">
    <w:basedOn w:val="a1"/>
    <w:rsid w:val="00FD46A6"/>
    <w:pPr>
      <w:widowControl w:val="0"/>
      <w:tabs>
        <w:tab w:val="left" w:pos="1200"/>
      </w:tabs>
      <w:jc w:val="both"/>
    </w:pPr>
    <w:rPr>
      <w:rFonts w:ascii="Times New Roman" w:hAnsi="Times New Roman" w:cs="Times New Roman"/>
      <w:kern w:val="2"/>
      <w:szCs w:val="21"/>
    </w:rPr>
  </w:style>
  <w:style w:type="paragraph" w:customStyle="1" w:styleId="afffffffffffffffffa">
    <w:basedOn w:val="a1"/>
    <w:uiPriority w:val="34"/>
    <w:qFormat/>
    <w:rsid w:val="00FD46A6"/>
    <w:pPr>
      <w:widowControl w:val="0"/>
      <w:ind w:firstLineChars="200" w:firstLine="420"/>
      <w:jc w:val="both"/>
    </w:pPr>
    <w:rPr>
      <w:rFonts w:ascii="Calibri" w:hAnsi="Calibri" w:cs="Times New Roman"/>
      <w:kern w:val="2"/>
      <w:szCs w:val="22"/>
    </w:rPr>
  </w:style>
  <w:style w:type="table" w:customStyle="1" w:styleId="afffffffffffffffffb">
    <w:basedOn w:val="a3"/>
    <w:uiPriority w:val="42"/>
    <w:rsid w:val="00FD46A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fffffffffffffffffc">
    <w:basedOn w:val="a1"/>
    <w:uiPriority w:val="34"/>
    <w:qFormat/>
    <w:rsid w:val="00FD46A6"/>
    <w:pPr>
      <w:widowControl w:val="0"/>
      <w:ind w:firstLineChars="200" w:firstLine="420"/>
      <w:jc w:val="both"/>
    </w:pPr>
    <w:rPr>
      <w:rFonts w:ascii="Calibri" w:hAnsi="Calibri" w:cs="Times New Roman"/>
      <w:kern w:val="2"/>
      <w:szCs w:val="22"/>
    </w:rPr>
  </w:style>
  <w:style w:type="paragraph" w:customStyle="1" w:styleId="afffffffffffffffffd">
    <w:basedOn w:val="a1"/>
    <w:uiPriority w:val="34"/>
    <w:qFormat/>
    <w:rsid w:val="00FD46A6"/>
    <w:pPr>
      <w:widowControl w:val="0"/>
      <w:ind w:firstLineChars="200" w:firstLine="420"/>
      <w:jc w:val="both"/>
    </w:pPr>
    <w:rPr>
      <w:rFonts w:ascii="Calibri" w:hAnsi="Calibri" w:cs="Times New Roman"/>
      <w:kern w:val="2"/>
      <w:szCs w:val="22"/>
    </w:rPr>
  </w:style>
  <w:style w:type="paragraph" w:customStyle="1" w:styleId="afffffffffffffffffe">
    <w:basedOn w:val="a1"/>
    <w:uiPriority w:val="34"/>
    <w:qFormat/>
    <w:rsid w:val="00FD46A6"/>
    <w:pPr>
      <w:widowControl w:val="0"/>
      <w:ind w:firstLineChars="200" w:firstLine="420"/>
      <w:jc w:val="both"/>
    </w:pPr>
    <w:rPr>
      <w:rFonts w:ascii="Calibri" w:hAnsi="Calibri" w:cs="Times New Roman"/>
      <w:kern w:val="2"/>
      <w:szCs w:val="22"/>
    </w:rPr>
  </w:style>
  <w:style w:type="paragraph" w:customStyle="1" w:styleId="affffffffffffffffff">
    <w:basedOn w:val="a1"/>
    <w:next w:val="a1"/>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affffffffffffffffff0">
    <w:basedOn w:val="a1"/>
    <w:next w:val="a1"/>
    <w:qFormat/>
    <w:rsid w:val="005B5D50"/>
    <w:pPr>
      <w:keepNext/>
      <w:keepLines/>
      <w:widowControl w:val="0"/>
      <w:spacing w:before="60" w:after="60"/>
      <w:jc w:val="both"/>
      <w:outlineLvl w:val="1"/>
    </w:pPr>
    <w:rPr>
      <w:rFonts w:ascii="Arial" w:hAnsi="Arial" w:cs="Times New Roman"/>
      <w:b/>
      <w:bCs/>
      <w:kern w:val="2"/>
      <w:szCs w:val="21"/>
    </w:rPr>
  </w:style>
  <w:style w:type="paragraph" w:customStyle="1" w:styleId="affffffffffffffffff1">
    <w:basedOn w:val="a1"/>
    <w:next w:val="a1"/>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affffffffffffffffff2">
    <w:basedOn w:val="a1"/>
    <w:next w:val="a1"/>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affffffffffffffffff3">
    <w:basedOn w:val="a1"/>
    <w:next w:val="a1"/>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customStyle="1" w:styleId="affffffffffffffffff4">
    <w:basedOn w:val="a1"/>
    <w:next w:val="a1"/>
    <w:uiPriority w:val="9"/>
    <w:unhideWhenUsed/>
    <w:qFormat/>
    <w:rsid w:val="005B5D50"/>
    <w:pPr>
      <w:keepNext/>
      <w:keepLines/>
      <w:spacing w:before="60" w:after="60"/>
      <w:outlineLvl w:val="5"/>
    </w:pPr>
    <w:rPr>
      <w:rFonts w:asciiTheme="majorHAnsi" w:hAnsiTheme="majorHAnsi" w:cstheme="majorBidi"/>
      <w:b/>
      <w:bCs/>
    </w:rPr>
  </w:style>
  <w:style w:type="paragraph" w:customStyle="1" w:styleId="affffffffffffffffff5">
    <w:basedOn w:val="a1"/>
    <w:next w:val="a1"/>
    <w:uiPriority w:val="9"/>
    <w:unhideWhenUsed/>
    <w:qFormat/>
    <w:rsid w:val="00FD46A6"/>
    <w:pPr>
      <w:keepNext/>
      <w:keepLines/>
      <w:spacing w:before="240" w:after="64" w:line="320" w:lineRule="auto"/>
      <w:outlineLvl w:val="6"/>
    </w:pPr>
    <w:rPr>
      <w:b/>
      <w:bCs/>
      <w:sz w:val="24"/>
    </w:rPr>
  </w:style>
  <w:style w:type="character" w:customStyle="1" w:styleId="affffffffffffffffff6">
    <w:basedOn w:val="a2"/>
    <w:uiPriority w:val="99"/>
    <w:rsid w:val="005B5D50"/>
    <w:rPr>
      <w:rFonts w:eastAsia="黑体"/>
      <w:b/>
      <w:bCs/>
      <w:kern w:val="44"/>
      <w:sz w:val="28"/>
      <w:szCs w:val="44"/>
    </w:rPr>
  </w:style>
  <w:style w:type="character" w:customStyle="1" w:styleId="affffffffffffffffff7">
    <w:basedOn w:val="a2"/>
    <w:uiPriority w:val="9"/>
    <w:rsid w:val="005B5D50"/>
    <w:rPr>
      <w:b/>
      <w:bCs/>
      <w:kern w:val="2"/>
      <w:sz w:val="21"/>
      <w:szCs w:val="32"/>
    </w:rPr>
  </w:style>
  <w:style w:type="character" w:customStyle="1" w:styleId="affffffffffffffffff8">
    <w:basedOn w:val="a2"/>
    <w:uiPriority w:val="9"/>
    <w:rsid w:val="005B5D50"/>
    <w:rPr>
      <w:rFonts w:ascii="Cambria" w:hAnsi="Cambria"/>
      <w:b/>
      <w:bCs/>
      <w:kern w:val="2"/>
      <w:sz w:val="21"/>
      <w:szCs w:val="28"/>
    </w:rPr>
  </w:style>
  <w:style w:type="character" w:customStyle="1" w:styleId="affffffffffffffffff9">
    <w:basedOn w:val="a2"/>
    <w:uiPriority w:val="9"/>
    <w:rsid w:val="00586078"/>
    <w:rPr>
      <w:b/>
      <w:bCs/>
      <w:kern w:val="2"/>
      <w:sz w:val="21"/>
      <w:szCs w:val="28"/>
    </w:rPr>
  </w:style>
  <w:style w:type="paragraph" w:customStyle="1" w:styleId="affffffffffffffffffa">
    <w:basedOn w:val="a1"/>
    <w:next w:val="a1"/>
    <w:autoRedefine/>
    <w:uiPriority w:val="39"/>
    <w:qFormat/>
    <w:rsid w:val="00DD256F"/>
    <w:pPr>
      <w:widowControl w:val="0"/>
      <w:jc w:val="both"/>
    </w:pPr>
    <w:rPr>
      <w:rFonts w:ascii="Times New Roman" w:hAnsi="Times New Roman" w:cs="Times New Roman"/>
      <w:kern w:val="2"/>
      <w:szCs w:val="21"/>
    </w:rPr>
  </w:style>
  <w:style w:type="paragraph" w:customStyle="1" w:styleId="affffffffffffffffffb">
    <w:basedOn w:val="a1"/>
    <w:next w:val="a1"/>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affffffffffffffffffc">
    <w:basedOn w:val="a1"/>
    <w:uiPriority w:val="59"/>
    <w:rsid w:val="00DD256F"/>
    <w:pPr>
      <w:widowControl w:val="0"/>
    </w:pPr>
    <w:rPr>
      <w:rFonts w:ascii="Times New Roman" w:hAnsi="Times New Roman" w:cs="Times New Roman"/>
      <w:kern w:val="2"/>
      <w:szCs w:val="21"/>
    </w:rPr>
  </w:style>
  <w:style w:type="character" w:customStyle="1" w:styleId="affffffffffffffffffd">
    <w:basedOn w:val="a2"/>
    <w:rsid w:val="00DD256F"/>
    <w:rPr>
      <w:rFonts w:ascii="Times New Roman" w:eastAsia="宋体" w:hAnsi="Times New Roman" w:cs="Times New Roman"/>
      <w:szCs w:val="21"/>
    </w:rPr>
  </w:style>
  <w:style w:type="table" w:customStyle="1" w:styleId="affffffffffffffffffe">
    <w:basedOn w:val="a3"/>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ffff">
    <w:basedOn w:val="a1"/>
    <w:uiPriority w:val="99"/>
    <w:unhideWhenUsed/>
    <w:rsid w:val="00DD256F"/>
    <w:pPr>
      <w:widowControl w:val="0"/>
      <w:jc w:val="both"/>
    </w:pPr>
    <w:rPr>
      <w:rFonts w:ascii="Calibri" w:hAnsi="Calibri" w:cs="Times New Roman"/>
      <w:kern w:val="2"/>
      <w:sz w:val="18"/>
      <w:szCs w:val="18"/>
    </w:rPr>
  </w:style>
  <w:style w:type="character" w:customStyle="1" w:styleId="afffffffffffffffffff0">
    <w:basedOn w:val="a2"/>
    <w:uiPriority w:val="99"/>
    <w:rsid w:val="00DD256F"/>
    <w:rPr>
      <w:rFonts w:ascii="Calibri" w:eastAsia="宋体" w:hAnsi="Calibri" w:cs="Times New Roman"/>
      <w:sz w:val="18"/>
      <w:szCs w:val="18"/>
    </w:rPr>
  </w:style>
  <w:style w:type="paragraph" w:customStyle="1" w:styleId="afffffffffffffffffff1">
    <w:basedOn w:val="a1"/>
    <w:next w:val="a1"/>
    <w:uiPriority w:val="99"/>
    <w:rsid w:val="00DD256F"/>
    <w:pPr>
      <w:widowControl w:val="0"/>
      <w:jc w:val="both"/>
    </w:pPr>
    <w:rPr>
      <w:rFonts w:ascii="Times New Roman" w:hAnsi="Times New Roman" w:cs="Times New Roman"/>
      <w:kern w:val="2"/>
      <w:szCs w:val="21"/>
    </w:rPr>
  </w:style>
  <w:style w:type="character" w:customStyle="1" w:styleId="afffffffffffffffffff2">
    <w:basedOn w:val="a2"/>
    <w:uiPriority w:val="99"/>
    <w:rsid w:val="00DD256F"/>
    <w:rPr>
      <w:rFonts w:ascii="Times New Roman" w:eastAsia="宋体" w:hAnsi="Times New Roman" w:cs="Times New Roman"/>
      <w:szCs w:val="21"/>
    </w:rPr>
  </w:style>
  <w:style w:type="paragraph" w:customStyle="1" w:styleId="afffffffffffffffffff3">
    <w:basedOn w:val="a1"/>
    <w:uiPriority w:val="34"/>
    <w:qFormat/>
    <w:rsid w:val="00DD256F"/>
    <w:pPr>
      <w:widowControl w:val="0"/>
      <w:ind w:firstLineChars="200" w:firstLine="420"/>
      <w:jc w:val="both"/>
    </w:pPr>
    <w:rPr>
      <w:rFonts w:ascii="Calibri" w:hAnsi="Calibri" w:cs="Times New Roman"/>
      <w:kern w:val="2"/>
      <w:szCs w:val="22"/>
    </w:rPr>
  </w:style>
  <w:style w:type="character" w:customStyle="1" w:styleId="afffffffffffffffffff4">
    <w:uiPriority w:val="99"/>
    <w:rsid w:val="00DD256F"/>
    <w:rPr>
      <w:rFonts w:ascii="Calibri" w:eastAsia="宋体" w:hAnsi="Calibri" w:cs="Times New Roman"/>
      <w:b/>
      <w:bCs/>
      <w:szCs w:val="21"/>
    </w:rPr>
  </w:style>
  <w:style w:type="paragraph" w:customStyle="1" w:styleId="afffffffffffffffffff5">
    <w:basedOn w:val="a7"/>
    <w:next w:val="a7"/>
    <w:uiPriority w:val="99"/>
    <w:unhideWhenUsed/>
    <w:rsid w:val="00DD256F"/>
    <w:rPr>
      <w:rFonts w:ascii="Calibri" w:hAnsi="Calibri"/>
      <w:b/>
      <w:bCs/>
      <w:szCs w:val="22"/>
    </w:rPr>
  </w:style>
  <w:style w:type="paragraph" w:customStyle="1" w:styleId="afffffffffffffffffff6">
    <w:basedOn w:val="a1"/>
    <w:next w:val="a1"/>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afffffffffffffffffff7">
    <w:basedOn w:val="a1"/>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afffffffffffffffffff8">
    <w:basedOn w:val="a2"/>
    <w:uiPriority w:val="99"/>
    <w:rsid w:val="00DD256F"/>
    <w:rPr>
      <w:rFonts w:ascii="Calibri" w:eastAsia="宋体" w:hAnsi="Calibri" w:cs="Times New Roman"/>
      <w:sz w:val="18"/>
      <w:szCs w:val="18"/>
    </w:rPr>
  </w:style>
  <w:style w:type="paragraph" w:customStyle="1" w:styleId="afffffffffffffffffff9">
    <w:basedOn w:val="a1"/>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afffffffffffffffffffa">
    <w:basedOn w:val="a2"/>
    <w:uiPriority w:val="99"/>
    <w:rsid w:val="00DD256F"/>
    <w:rPr>
      <w:rFonts w:ascii="Calibri" w:eastAsia="宋体" w:hAnsi="Calibri" w:cs="Times New Roman"/>
      <w:sz w:val="18"/>
      <w:szCs w:val="18"/>
    </w:rPr>
  </w:style>
  <w:style w:type="paragraph" w:customStyle="1" w:styleId="afffffffffffffffffffb">
    <w:basedOn w:val="a1"/>
    <w:rsid w:val="00DD256F"/>
    <w:pPr>
      <w:widowControl w:val="0"/>
      <w:jc w:val="both"/>
    </w:pPr>
    <w:rPr>
      <w:rFonts w:hAnsi="Courier New" w:cs="Times New Roman"/>
      <w:kern w:val="2"/>
      <w:szCs w:val="20"/>
    </w:rPr>
  </w:style>
  <w:style w:type="character" w:customStyle="1" w:styleId="afffffffffffffffffffc">
    <w:basedOn w:val="a2"/>
    <w:rsid w:val="00DD256F"/>
    <w:rPr>
      <w:rFonts w:ascii="宋体" w:eastAsia="宋体" w:hAnsi="Courier New" w:cs="Times New Roman"/>
      <w:szCs w:val="20"/>
    </w:rPr>
  </w:style>
  <w:style w:type="paragraph" w:customStyle="1" w:styleId="afffffffffffffffffffd">
    <w:basedOn w:val="a1"/>
    <w:uiPriority w:val="99"/>
    <w:rsid w:val="00DD256F"/>
    <w:pPr>
      <w:widowControl w:val="0"/>
      <w:spacing w:after="120"/>
      <w:jc w:val="both"/>
    </w:pPr>
    <w:rPr>
      <w:rFonts w:ascii="Times New Roman" w:hAnsi="Times New Roman" w:cs="Times New Roman"/>
      <w:kern w:val="2"/>
      <w:szCs w:val="21"/>
    </w:rPr>
  </w:style>
  <w:style w:type="character" w:customStyle="1" w:styleId="afffffffffffffffffffe">
    <w:basedOn w:val="a2"/>
    <w:uiPriority w:val="99"/>
    <w:rsid w:val="00DD256F"/>
    <w:rPr>
      <w:rFonts w:ascii="Times New Roman" w:eastAsia="宋体" w:hAnsi="Times New Roman" w:cs="Times New Roman"/>
      <w:szCs w:val="21"/>
    </w:rPr>
  </w:style>
  <w:style w:type="paragraph" w:customStyle="1" w:styleId="affffffffffffffffffff">
    <w:basedOn w:val="a1"/>
    <w:next w:val="a1"/>
    <w:uiPriority w:val="99"/>
    <w:rsid w:val="00DD256F"/>
    <w:pPr>
      <w:widowControl w:val="0"/>
      <w:ind w:leftChars="2500" w:left="100"/>
      <w:jc w:val="both"/>
    </w:pPr>
    <w:rPr>
      <w:rFonts w:ascii="Times New Roman" w:hAnsi="Times New Roman" w:cs="Times New Roman"/>
      <w:kern w:val="2"/>
      <w:szCs w:val="21"/>
    </w:rPr>
  </w:style>
  <w:style w:type="character" w:customStyle="1" w:styleId="affffffffffffffffffff0">
    <w:basedOn w:val="a2"/>
    <w:uiPriority w:val="99"/>
    <w:rsid w:val="00DD256F"/>
    <w:rPr>
      <w:rFonts w:ascii="Times New Roman" w:eastAsia="宋体" w:hAnsi="Times New Roman" w:cs="Times New Roman"/>
      <w:szCs w:val="21"/>
    </w:rPr>
  </w:style>
  <w:style w:type="paragraph" w:customStyle="1" w:styleId="affffffffffffffffffff1">
    <w:basedOn w:val="a1"/>
    <w:next w:val="a1"/>
    <w:uiPriority w:val="99"/>
    <w:rsid w:val="00DD256F"/>
    <w:pPr>
      <w:widowControl w:val="0"/>
      <w:jc w:val="center"/>
    </w:pPr>
    <w:rPr>
      <w:rFonts w:ascii="Times New Roman" w:hAnsi="Times New Roman" w:cs="Times New Roman"/>
      <w:kern w:val="2"/>
      <w:szCs w:val="21"/>
    </w:rPr>
  </w:style>
  <w:style w:type="character" w:customStyle="1" w:styleId="affffffffffffffffffff2">
    <w:basedOn w:val="a2"/>
    <w:uiPriority w:val="99"/>
    <w:rsid w:val="00DD256F"/>
    <w:rPr>
      <w:rFonts w:ascii="Times New Roman" w:eastAsia="宋体" w:hAnsi="Times New Roman" w:cs="Times New Roman"/>
      <w:szCs w:val="21"/>
    </w:rPr>
  </w:style>
  <w:style w:type="paragraph" w:customStyle="1" w:styleId="affffffffffffffffffff3">
    <w:basedOn w:val="a1"/>
    <w:next w:val="a1"/>
    <w:semiHidden/>
    <w:rsid w:val="00DD256F"/>
    <w:pPr>
      <w:widowControl w:val="0"/>
      <w:spacing w:before="120"/>
      <w:jc w:val="both"/>
    </w:pPr>
    <w:rPr>
      <w:rFonts w:ascii="Arial" w:hAnsi="Arial" w:cs="Times New Roman"/>
      <w:b/>
      <w:bCs/>
      <w:kern w:val="2"/>
      <w:szCs w:val="21"/>
    </w:rPr>
  </w:style>
  <w:style w:type="paragraph" w:customStyle="1" w:styleId="affffffffffffffffffff4">
    <w:basedOn w:val="a1"/>
    <w:rsid w:val="005B5D50"/>
    <w:pPr>
      <w:keepNext/>
      <w:keepLines/>
      <w:widowControl w:val="0"/>
      <w:spacing w:before="60" w:after="60"/>
      <w:ind w:hangingChars="200" w:hanging="420"/>
      <w:jc w:val="both"/>
      <w:outlineLvl w:val="4"/>
    </w:pPr>
    <w:rPr>
      <w:rFonts w:cs="Times New Roman"/>
      <w:b/>
      <w:bCs/>
      <w:kern w:val="2"/>
      <w:szCs w:val="21"/>
    </w:rPr>
  </w:style>
  <w:style w:type="paragraph" w:customStyle="1" w:styleId="affffffffffffffffffff5">
    <w:hidden/>
    <w:uiPriority w:val="99"/>
    <w:semiHidden/>
    <w:rsid w:val="00BC1CB9"/>
    <w:rPr>
      <w:kern w:val="2"/>
      <w:sz w:val="21"/>
      <w:szCs w:val="22"/>
    </w:rPr>
  </w:style>
  <w:style w:type="character" w:customStyle="1" w:styleId="affffffffffffffffffff6">
    <w:basedOn w:val="a2"/>
    <w:rsid w:val="006B00D5"/>
    <w:rPr>
      <w:kern w:val="2"/>
      <w:sz w:val="21"/>
      <w:szCs w:val="24"/>
    </w:rPr>
  </w:style>
  <w:style w:type="paragraph" w:customStyle="1" w:styleId="affffffffffffffffffff7">
    <w:basedOn w:val="a1"/>
    <w:qFormat/>
    <w:rsid w:val="006B00D5"/>
    <w:pPr>
      <w:widowControl w:val="0"/>
      <w:spacing w:before="100" w:after="100"/>
      <w:jc w:val="both"/>
    </w:pPr>
    <w:rPr>
      <w:rFonts w:ascii="Calibri" w:hAnsi="Calibri" w:cs="Times New Roman"/>
      <w:kern w:val="2"/>
    </w:rPr>
  </w:style>
  <w:style w:type="paragraph" w:customStyle="1" w:styleId="affffffffffffffffffff8">
    <w:basedOn w:val="a1"/>
    <w:uiPriority w:val="99"/>
    <w:semiHidden/>
    <w:unhideWhenUsed/>
    <w:rsid w:val="0002110B"/>
    <w:pPr>
      <w:widowControl w:val="0"/>
      <w:jc w:val="both"/>
    </w:pPr>
    <w:rPr>
      <w:rFonts w:hAnsi="Calibri" w:cs="Times New Roman"/>
      <w:kern w:val="2"/>
      <w:sz w:val="18"/>
      <w:szCs w:val="18"/>
    </w:rPr>
  </w:style>
  <w:style w:type="character" w:customStyle="1" w:styleId="affffffffffffffffffff9">
    <w:basedOn w:val="a2"/>
    <w:uiPriority w:val="99"/>
    <w:semiHidden/>
    <w:rsid w:val="0002110B"/>
    <w:rPr>
      <w:rFonts w:ascii="宋体"/>
      <w:kern w:val="2"/>
      <w:sz w:val="18"/>
      <w:szCs w:val="18"/>
    </w:rPr>
  </w:style>
  <w:style w:type="character" w:customStyle="1" w:styleId="affffffffffffffffffffa">
    <w:basedOn w:val="a2"/>
    <w:uiPriority w:val="99"/>
    <w:semiHidden/>
    <w:rsid w:val="00205C40"/>
    <w:rPr>
      <w:color w:val="auto"/>
    </w:rPr>
  </w:style>
  <w:style w:type="paragraph" w:customStyle="1" w:styleId="affffffffffffffffffffb">
    <w:basedOn w:val="a1"/>
    <w:next w:val="a1"/>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affffffffffffffffffffc">
    <w:basedOn w:val="a2"/>
    <w:uiPriority w:val="10"/>
    <w:rsid w:val="00F23D17"/>
    <w:rPr>
      <w:rFonts w:asciiTheme="majorHAnsi" w:hAnsiTheme="majorHAnsi" w:cstheme="majorBidi"/>
      <w:b/>
      <w:bCs/>
      <w:kern w:val="2"/>
      <w:sz w:val="32"/>
      <w:szCs w:val="32"/>
    </w:rPr>
  </w:style>
  <w:style w:type="paragraph" w:customStyle="1" w:styleId="affffffffffffffffffffd">
    <w:uiPriority w:val="1"/>
    <w:qFormat/>
    <w:rsid w:val="00BE4764"/>
    <w:pPr>
      <w:widowControl w:val="0"/>
      <w:jc w:val="both"/>
    </w:pPr>
    <w:rPr>
      <w:kern w:val="2"/>
      <w:sz w:val="21"/>
      <w:szCs w:val="22"/>
    </w:rPr>
  </w:style>
  <w:style w:type="paragraph" w:customStyle="1" w:styleId="affffffffffffffffffffe">
    <w:basedOn w:val="a1"/>
    <w:next w:val="a1"/>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afffffffffffffffffffff">
    <w:basedOn w:val="a1"/>
    <w:next w:val="a1"/>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customStyle="1" w:styleId="afffffffffffffffffffff0">
    <w:basedOn w:val="a1"/>
    <w:next w:val="a1"/>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customStyle="1" w:styleId="afffffffffffffffffffff1">
    <w:basedOn w:val="a1"/>
    <w:next w:val="a1"/>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customStyle="1" w:styleId="afffffffffffffffffffff2">
    <w:basedOn w:val="a1"/>
    <w:next w:val="a1"/>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customStyle="1" w:styleId="afffffffffffffffffffff3">
    <w:basedOn w:val="a1"/>
    <w:next w:val="a1"/>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afffffffffffffffffffff4">
    <w:basedOn w:val="a2"/>
    <w:uiPriority w:val="9"/>
    <w:rsid w:val="005B5D50"/>
    <w:rPr>
      <w:rFonts w:asciiTheme="majorHAnsi" w:hAnsiTheme="majorHAnsi" w:cstheme="majorBidi"/>
      <w:b/>
      <w:bCs/>
      <w:sz w:val="21"/>
      <w:szCs w:val="24"/>
    </w:rPr>
  </w:style>
  <w:style w:type="paragraph" w:customStyle="1" w:styleId="afffffffffffffffffffff5">
    <w:basedOn w:val="a1"/>
    <w:uiPriority w:val="99"/>
    <w:rsid w:val="00C17CE1"/>
    <w:pPr>
      <w:spacing w:before="100" w:beforeAutospacing="1" w:after="100" w:afterAutospacing="1"/>
    </w:pPr>
    <w:rPr>
      <w:sz w:val="24"/>
    </w:rPr>
  </w:style>
  <w:style w:type="paragraph" w:customStyle="1" w:styleId="afffffffffffffffffffff6">
    <w:basedOn w:val="a1"/>
    <w:uiPriority w:val="99"/>
    <w:semiHidden/>
    <w:unhideWhenUsed/>
    <w:rsid w:val="001116D4"/>
    <w:pPr>
      <w:snapToGrid w:val="0"/>
    </w:pPr>
  </w:style>
  <w:style w:type="character" w:customStyle="1" w:styleId="afffffffffffffffffffff7">
    <w:basedOn w:val="a2"/>
    <w:uiPriority w:val="99"/>
    <w:semiHidden/>
    <w:rsid w:val="001116D4"/>
    <w:rPr>
      <w:rFonts w:ascii="宋体" w:hAnsi="宋体" w:cs="宋体"/>
      <w:sz w:val="21"/>
      <w:szCs w:val="24"/>
    </w:rPr>
  </w:style>
  <w:style w:type="character" w:customStyle="1" w:styleId="afffffffffffffffffffff8">
    <w:basedOn w:val="a2"/>
    <w:uiPriority w:val="99"/>
    <w:semiHidden/>
    <w:unhideWhenUsed/>
    <w:rsid w:val="001116D4"/>
    <w:rPr>
      <w:vertAlign w:val="superscript"/>
    </w:rPr>
  </w:style>
  <w:style w:type="character" w:customStyle="1" w:styleId="afffffffffffffffffffff9">
    <w:uiPriority w:val="99"/>
    <w:semiHidden/>
    <w:rsid w:val="0067754A"/>
    <w:rPr>
      <w:rFonts w:ascii="Times New Roman" w:eastAsia="宋体" w:hAnsi="Times New Roman" w:cs="Times New Roman"/>
      <w:b/>
      <w:bCs/>
      <w:szCs w:val="21"/>
    </w:rPr>
  </w:style>
  <w:style w:type="character" w:customStyle="1" w:styleId="afffffffffffffffffffffa">
    <w:uiPriority w:val="99"/>
    <w:semiHidden/>
    <w:rsid w:val="005F6ED8"/>
    <w:rPr>
      <w:rFonts w:ascii="Times New Roman" w:eastAsia="宋体" w:hAnsi="Times New Roman" w:cs="Times New Roman"/>
      <w:b/>
      <w:bCs/>
      <w:szCs w:val="21"/>
    </w:rPr>
  </w:style>
  <w:style w:type="character" w:customStyle="1" w:styleId="afffffffffffffffffffffb">
    <w:basedOn w:val="a2"/>
    <w:uiPriority w:val="9"/>
    <w:rsid w:val="00FD46A6"/>
    <w:rPr>
      <w:rFonts w:ascii="宋体" w:hAnsi="宋体" w:cs="宋体"/>
      <w:b/>
      <w:bCs/>
      <w:sz w:val="24"/>
      <w:szCs w:val="24"/>
    </w:rPr>
  </w:style>
  <w:style w:type="paragraph" w:customStyle="1" w:styleId="afffffffffffffffffffffc">
    <w:basedOn w:val="a1"/>
    <w:rsid w:val="00FD46A6"/>
    <w:pPr>
      <w:widowControl w:val="0"/>
      <w:ind w:firstLineChars="200" w:firstLine="420"/>
      <w:jc w:val="both"/>
    </w:pPr>
    <w:rPr>
      <w:rFonts w:ascii="Times New Roman" w:hAnsi="Times New Roman" w:cs="Times New Roman"/>
      <w:kern w:val="2"/>
      <w:szCs w:val="21"/>
    </w:rPr>
  </w:style>
  <w:style w:type="paragraph" w:customStyle="1" w:styleId="afffffffffffffffffffffd">
    <w:basedOn w:val="a1"/>
    <w:uiPriority w:val="34"/>
    <w:qFormat/>
    <w:rsid w:val="00FD46A6"/>
    <w:pPr>
      <w:widowControl w:val="0"/>
      <w:ind w:firstLineChars="200" w:firstLine="420"/>
      <w:jc w:val="both"/>
    </w:pPr>
    <w:rPr>
      <w:rFonts w:ascii="Calibri" w:hAnsi="Calibri" w:cs="Times New Roman"/>
      <w:kern w:val="2"/>
      <w:szCs w:val="22"/>
    </w:rPr>
  </w:style>
  <w:style w:type="paragraph" w:customStyle="1" w:styleId="afffffffffffffffffffffe">
    <w:basedOn w:val="a1"/>
    <w:uiPriority w:val="34"/>
    <w:qFormat/>
    <w:rsid w:val="00FD46A6"/>
    <w:pPr>
      <w:widowControl w:val="0"/>
      <w:ind w:firstLineChars="200" w:firstLine="420"/>
      <w:jc w:val="both"/>
    </w:pPr>
    <w:rPr>
      <w:rFonts w:ascii="Calibri" w:hAnsi="Calibri" w:cs="Times New Roman"/>
      <w:kern w:val="2"/>
      <w:szCs w:val="22"/>
    </w:rPr>
  </w:style>
  <w:style w:type="paragraph" w:customStyle="1" w:styleId="affffffffffffffffffffff">
    <w:basedOn w:val="a1"/>
    <w:uiPriority w:val="34"/>
    <w:qFormat/>
    <w:rsid w:val="00FD46A6"/>
    <w:pPr>
      <w:widowControl w:val="0"/>
      <w:ind w:firstLineChars="200" w:firstLine="420"/>
      <w:jc w:val="both"/>
    </w:pPr>
    <w:rPr>
      <w:rFonts w:ascii="Calibri" w:hAnsi="Calibri" w:cs="Times New Roman"/>
      <w:kern w:val="2"/>
      <w:szCs w:val="22"/>
    </w:rPr>
  </w:style>
  <w:style w:type="paragraph" w:customStyle="1" w:styleId="affffffffffffffffffffff0">
    <w:basedOn w:val="a1"/>
    <w:uiPriority w:val="34"/>
    <w:qFormat/>
    <w:rsid w:val="00FD46A6"/>
    <w:pPr>
      <w:widowControl w:val="0"/>
      <w:ind w:firstLineChars="200" w:firstLine="420"/>
      <w:jc w:val="both"/>
    </w:pPr>
    <w:rPr>
      <w:rFonts w:ascii="Calibri" w:hAnsi="Calibri" w:cs="Times New Roman"/>
      <w:kern w:val="2"/>
      <w:szCs w:val="22"/>
    </w:rPr>
  </w:style>
  <w:style w:type="paragraph" w:customStyle="1" w:styleId="a">
    <w:basedOn w:val="2"/>
    <w:next w:val="a1"/>
    <w:qFormat/>
    <w:rsid w:val="00122393"/>
    <w:pPr>
      <w:widowControl/>
      <w:numPr>
        <w:numId w:val="34"/>
      </w:numPr>
      <w:overflowPunct w:val="0"/>
      <w:autoSpaceDE w:val="0"/>
      <w:autoSpaceDN w:val="0"/>
      <w:adjustRightInd w:val="0"/>
      <w:snapToGrid w:val="0"/>
      <w:spacing w:before="0" w:after="0"/>
      <w:textAlignment w:val="bottom"/>
    </w:pPr>
    <w:rPr>
      <w:rFonts w:eastAsia="黑体" w:cs="Arial"/>
      <w:bCs w:val="0"/>
      <w:snapToGrid w:val="0"/>
      <w:color w:val="000000" w:themeColor="text1"/>
      <w:kern w:val="0"/>
      <w:sz w:val="24"/>
      <w:szCs w:val="26"/>
    </w:rPr>
  </w:style>
  <w:style w:type="character" w:customStyle="1" w:styleId="affffffffffffffffffffff1">
    <w:basedOn w:val="a2"/>
    <w:rsid w:val="00122393"/>
    <w:rPr>
      <w:rFonts w:ascii="Arial" w:eastAsia="黑体" w:hAnsi="Arial" w:cs="Arial"/>
      <w:b/>
      <w:snapToGrid w:val="0"/>
      <w:color w:val="000000" w:themeColor="text1"/>
      <w:sz w:val="24"/>
      <w:szCs w:val="26"/>
    </w:rPr>
  </w:style>
  <w:style w:type="character" w:customStyle="1" w:styleId="affffffffffffffffffffff2">
    <w:basedOn w:val="a2"/>
    <w:locked/>
    <w:rsid w:val="00A63CDC"/>
    <w:rPr>
      <w:rFonts w:ascii="黑体" w:eastAsia="黑体" w:hAnsi="黑体" w:cs="Arial"/>
      <w:sz w:val="24"/>
      <w:szCs w:val="24"/>
      <w:u w:val="single"/>
    </w:rPr>
  </w:style>
  <w:style w:type="paragraph" w:customStyle="1" w:styleId="affffffffffffffffffffff3">
    <w:basedOn w:val="5"/>
    <w:qFormat/>
    <w:rsid w:val="00A63CDC"/>
    <w:pPr>
      <w:widowControl/>
      <w:overflowPunct w:val="0"/>
      <w:autoSpaceDE w:val="0"/>
      <w:autoSpaceDN w:val="0"/>
      <w:adjustRightInd w:val="0"/>
      <w:snapToGrid w:val="0"/>
      <w:spacing w:before="0" w:after="0"/>
      <w:ind w:left="1440" w:hanging="720"/>
    </w:pPr>
    <w:rPr>
      <w:rFonts w:ascii="黑体" w:eastAsia="黑体" w:hAnsi="黑体" w:cs="Arial"/>
      <w:b w:val="0"/>
      <w:bCs w:val="0"/>
      <w:kern w:val="0"/>
      <w:sz w:val="24"/>
      <w:szCs w:val="24"/>
      <w:u w:val="single"/>
    </w:rPr>
  </w:style>
  <w:style w:type="character" w:customStyle="1" w:styleId="affffffffffffffffffffff4">
    <w:basedOn w:val="a2"/>
    <w:locked/>
    <w:rsid w:val="00A63CDC"/>
    <w:rPr>
      <w:rFonts w:ascii="Arial" w:eastAsia="黑体" w:hAnsi="Arial" w:cs="Arial"/>
      <w:iCs/>
      <w:sz w:val="24"/>
      <w:szCs w:val="24"/>
    </w:rPr>
  </w:style>
  <w:style w:type="paragraph" w:customStyle="1" w:styleId="affffffffffffffffffffff5">
    <w:basedOn w:val="4"/>
    <w:qFormat/>
    <w:rsid w:val="00A63CDC"/>
    <w:pPr>
      <w:widowControl/>
      <w:overflowPunct w:val="0"/>
      <w:autoSpaceDE w:val="0"/>
      <w:autoSpaceDN w:val="0"/>
      <w:adjustRightInd w:val="0"/>
      <w:snapToGrid w:val="0"/>
      <w:spacing w:before="0" w:after="0"/>
      <w:ind w:left="720" w:hanging="720"/>
    </w:pPr>
    <w:rPr>
      <w:rFonts w:ascii="Arial" w:eastAsia="黑体" w:hAnsi="Arial" w:cs="Arial"/>
      <w:b w:val="0"/>
      <w:bCs w:val="0"/>
      <w:iCs/>
      <w:kern w:val="0"/>
      <w:sz w:val="24"/>
      <w:szCs w:val="24"/>
    </w:rPr>
  </w:style>
  <w:style w:type="table" w:customStyle="1" w:styleId="g18">
    <w:name w:val="g18"/>
    <w:uiPriority w:val="99"/>
    <w:semiHidden/>
    <w:unhideWhenUsed/>
    <w:tblPr>
      <w:tblInd w:w="0" w:type="dxa"/>
      <w:tblCellMar>
        <w:top w:w="0" w:type="dxa"/>
        <w:left w:w="108" w:type="dxa"/>
        <w:bottom w:w="0" w:type="dxa"/>
        <w:right w:w="108" w:type="dxa"/>
      </w:tblCellMar>
    </w:tblPr>
  </w:style>
  <w:style w:type="table" w:customStyle="1" w:styleId="g19">
    <w:name w:val="g19"/>
    <w:basedOn w:val="a3"/>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20">
    <w:name w:val="g20"/>
    <w:basedOn w:val="a3"/>
    <w:uiPriority w:val="42"/>
    <w:rsid w:val="00FD46A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21">
    <w:name w:val="g21"/>
    <w:uiPriority w:val="99"/>
    <w:semiHidden/>
    <w:unhideWhenUsed/>
    <w:tblPr>
      <w:tblInd w:w="0" w:type="dxa"/>
      <w:tblCellMar>
        <w:top w:w="0" w:type="dxa"/>
        <w:left w:w="108" w:type="dxa"/>
        <w:bottom w:w="0" w:type="dxa"/>
        <w:right w:w="108" w:type="dxa"/>
      </w:tblCellMar>
    </w:tblPr>
  </w:style>
  <w:style w:type="table" w:customStyle="1" w:styleId="g22">
    <w:name w:val="g22"/>
    <w:basedOn w:val="a3"/>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23">
    <w:name w:val="g23"/>
    <w:basedOn w:val="a3"/>
    <w:uiPriority w:val="42"/>
    <w:rsid w:val="00FD46A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affffffffffffffffffffff6">
    <w:basedOn w:val="a3"/>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25">
    <w:name w:val="g25"/>
    <w:uiPriority w:val="99"/>
    <w:semiHidden/>
    <w:unhideWhenUsed/>
    <w:tblPr>
      <w:tblInd w:w="0" w:type="dxa"/>
      <w:tblCellMar>
        <w:top w:w="0" w:type="dxa"/>
        <w:left w:w="108" w:type="dxa"/>
        <w:bottom w:w="0" w:type="dxa"/>
        <w:right w:w="108" w:type="dxa"/>
      </w:tblCellMar>
    </w:tblPr>
  </w:style>
  <w:style w:type="table" w:customStyle="1" w:styleId="g26">
    <w:name w:val="g26"/>
    <w:basedOn w:val="a3"/>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27">
    <w:name w:val="g27"/>
    <w:basedOn w:val="a3"/>
    <w:uiPriority w:val="42"/>
    <w:rsid w:val="00FD46A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28">
    <w:name w:val="g28"/>
    <w:uiPriority w:val="99"/>
    <w:semiHidden/>
    <w:unhideWhenUsed/>
    <w:tblPr>
      <w:tblInd w:w="0" w:type="dxa"/>
      <w:tblCellMar>
        <w:top w:w="0" w:type="dxa"/>
        <w:left w:w="108" w:type="dxa"/>
        <w:bottom w:w="0" w:type="dxa"/>
        <w:right w:w="108" w:type="dxa"/>
      </w:tblCellMar>
    </w:tblPr>
  </w:style>
  <w:style w:type="table" w:customStyle="1" w:styleId="g29">
    <w:name w:val="g29"/>
    <w:basedOn w:val="a3"/>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30">
    <w:name w:val="g30"/>
    <w:basedOn w:val="a3"/>
    <w:uiPriority w:val="42"/>
    <w:rsid w:val="00FD46A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31">
    <w:name w:val="g31"/>
    <w:basedOn w:val="a3"/>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ffffffffff7">
    <w:basedOn w:val="a3"/>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ffffffffff8">
    <w:basedOn w:val="a3"/>
    <w:uiPriority w:val="42"/>
    <w:rsid w:val="00FD46A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affffffffffffffffffffff9">
    <w:basedOn w:val="a3"/>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35">
    <w:name w:val="g35"/>
    <w:uiPriority w:val="99"/>
    <w:semiHidden/>
    <w:unhideWhenUsed/>
    <w:tblPr>
      <w:tblInd w:w="0" w:type="dxa"/>
      <w:tblCellMar>
        <w:top w:w="0" w:type="dxa"/>
        <w:left w:w="108" w:type="dxa"/>
        <w:bottom w:w="0" w:type="dxa"/>
        <w:right w:w="108" w:type="dxa"/>
      </w:tblCellMar>
    </w:tblPr>
  </w:style>
  <w:style w:type="table" w:customStyle="1" w:styleId="g36">
    <w:name w:val="g36"/>
    <w:basedOn w:val="a3"/>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37">
    <w:name w:val="g37"/>
    <w:basedOn w:val="a3"/>
    <w:uiPriority w:val="42"/>
    <w:rsid w:val="00FD46A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38">
    <w:name w:val="g38"/>
    <w:uiPriority w:val="99"/>
    <w:semiHidden/>
    <w:unhideWhenUsed/>
    <w:tblPr>
      <w:tblInd w:w="0" w:type="dxa"/>
      <w:tblCellMar>
        <w:top w:w="0" w:type="dxa"/>
        <w:left w:w="108" w:type="dxa"/>
        <w:bottom w:w="0" w:type="dxa"/>
        <w:right w:w="108" w:type="dxa"/>
      </w:tblCellMar>
    </w:tblPr>
  </w:style>
  <w:style w:type="table" w:customStyle="1" w:styleId="g39">
    <w:name w:val="g39"/>
    <w:basedOn w:val="a3"/>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40">
    <w:name w:val="g40"/>
    <w:basedOn w:val="a3"/>
    <w:uiPriority w:val="42"/>
    <w:rsid w:val="00FD46A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41">
    <w:name w:val="g41"/>
    <w:basedOn w:val="a3"/>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ffffffffffa">
    <w:basedOn w:val="a3"/>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ffffffffffb">
    <w:basedOn w:val="a3"/>
    <w:uiPriority w:val="42"/>
    <w:rsid w:val="00FD46A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affffffffffffffffffffffc">
    <w:basedOn w:val="a3"/>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fffffffd">
    <w:basedOn w:val="a1"/>
    <w:next w:val="a1"/>
    <w:autoRedefine/>
    <w:uiPriority w:val="39"/>
    <w:qFormat/>
    <w:rsid w:val="00DD256F"/>
    <w:pPr>
      <w:widowControl w:val="0"/>
      <w:jc w:val="both"/>
    </w:pPr>
    <w:rPr>
      <w:rFonts w:ascii="Times New Roman" w:hAnsi="Times New Roman" w:cs="Times New Roman"/>
      <w:kern w:val="2"/>
      <w:szCs w:val="21"/>
    </w:rPr>
  </w:style>
  <w:style w:type="paragraph" w:customStyle="1" w:styleId="affffffffffffffffffffffe">
    <w:basedOn w:val="a1"/>
    <w:next w:val="a1"/>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afffffffffffffffffffffff">
    <w:basedOn w:val="a1"/>
    <w:next w:val="a1"/>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afffffffffffffffffffffff0">
    <w:basedOn w:val="a1"/>
    <w:next w:val="a1"/>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afffffffffffffffffffffff1">
    <w:basedOn w:val="a1"/>
    <w:next w:val="a1"/>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customStyle="1" w:styleId="afffffffffffffffffffffff2">
    <w:basedOn w:val="a1"/>
    <w:next w:val="a1"/>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customStyle="1" w:styleId="afffffffffffffffffffffff3">
    <w:basedOn w:val="a1"/>
    <w:next w:val="a1"/>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customStyle="1" w:styleId="afffffffffffffffffffffff4">
    <w:basedOn w:val="a1"/>
    <w:next w:val="a1"/>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customStyle="1" w:styleId="afffffffffffffffffffffff5">
    <w:basedOn w:val="a1"/>
    <w:next w:val="a1"/>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paragraph" w:customStyle="1" w:styleId="afffffffffffffffffffffff6">
    <w:basedOn w:val="a1"/>
    <w:next w:val="a1"/>
    <w:qFormat/>
    <w:rsid w:val="00D30BB3"/>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afffffffffffffffffffffff7">
    <w:basedOn w:val="a2"/>
    <w:rsid w:val="00D30BB3"/>
    <w:rPr>
      <w:rFonts w:ascii="Times New Roman" w:hAnsi="Times New Roman"/>
      <w:b/>
      <w:kern w:val="2"/>
      <w:sz w:val="21"/>
      <w:szCs w:val="24"/>
    </w:rPr>
  </w:style>
  <w:style w:type="character" w:customStyle="1" w:styleId="afffffffffffffffffffffff8">
    <w:basedOn w:val="a8"/>
    <w:uiPriority w:val="99"/>
    <w:semiHidden/>
    <w:rsid w:val="005F6ED8"/>
    <w:rPr>
      <w:rFonts w:ascii="Times New Roman" w:eastAsia="宋体" w:hAnsi="Times New Roman" w:cs="Times New Roman"/>
      <w:b/>
      <w:bCs/>
      <w:szCs w:val="21"/>
    </w:rPr>
  </w:style>
  <w:style w:type="paragraph" w:customStyle="1" w:styleId="afffffffffffffffffffffff9">
    <w:basedOn w:val="a1"/>
    <w:next w:val="a1"/>
    <w:autoRedefine/>
    <w:semiHidden/>
    <w:rsid w:val="00FD46A6"/>
    <w:pPr>
      <w:ind w:firstLineChars="200" w:firstLine="420"/>
    </w:pPr>
    <w:rPr>
      <w:rFonts w:cs="Times New Roman"/>
      <w:color w:val="000000"/>
      <w:szCs w:val="21"/>
    </w:rPr>
  </w:style>
  <w:style w:type="paragraph" w:customStyle="1" w:styleId="afffffffffffffffffffffffa">
    <w:basedOn w:val="a1"/>
    <w:rsid w:val="00FD46A6"/>
    <w:pPr>
      <w:widowControl w:val="0"/>
      <w:tabs>
        <w:tab w:val="left" w:pos="1200"/>
      </w:tabs>
      <w:jc w:val="both"/>
    </w:pPr>
    <w:rPr>
      <w:rFonts w:ascii="Times New Roman" w:hAnsi="Times New Roman" w:cs="Times New Roman"/>
      <w:kern w:val="2"/>
      <w:szCs w:val="21"/>
    </w:rPr>
  </w:style>
  <w:style w:type="paragraph" w:customStyle="1" w:styleId="afffffffffffffffffffffffb">
    <w:basedOn w:val="a1"/>
    <w:next w:val="af"/>
    <w:uiPriority w:val="34"/>
    <w:qFormat/>
    <w:rsid w:val="00FD46A6"/>
    <w:pPr>
      <w:widowControl w:val="0"/>
      <w:ind w:firstLineChars="200" w:firstLine="420"/>
      <w:jc w:val="both"/>
    </w:pPr>
    <w:rPr>
      <w:rFonts w:ascii="Calibri" w:hAnsi="Calibri" w:cs="Times New Roman"/>
      <w:kern w:val="2"/>
      <w:szCs w:val="22"/>
    </w:rPr>
  </w:style>
  <w:style w:type="table" w:customStyle="1" w:styleId="afffffffffffffffffffffffc">
    <w:basedOn w:val="a3"/>
    <w:uiPriority w:val="42"/>
    <w:rsid w:val="00FD46A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fffffffffffffffffffffffd">
    <w:basedOn w:val="a1"/>
    <w:next w:val="af"/>
    <w:uiPriority w:val="34"/>
    <w:qFormat/>
    <w:rsid w:val="00FD46A6"/>
    <w:pPr>
      <w:widowControl w:val="0"/>
      <w:ind w:firstLineChars="200" w:firstLine="420"/>
      <w:jc w:val="both"/>
    </w:pPr>
    <w:rPr>
      <w:rFonts w:ascii="Calibri" w:hAnsi="Calibri" w:cs="Times New Roman"/>
      <w:kern w:val="2"/>
      <w:szCs w:val="22"/>
    </w:rPr>
  </w:style>
  <w:style w:type="paragraph" w:customStyle="1" w:styleId="afffffffffffffffffffffffe">
    <w:basedOn w:val="a1"/>
    <w:next w:val="af"/>
    <w:uiPriority w:val="34"/>
    <w:qFormat/>
    <w:rsid w:val="00FD46A6"/>
    <w:pPr>
      <w:widowControl w:val="0"/>
      <w:ind w:firstLineChars="200" w:firstLine="420"/>
      <w:jc w:val="both"/>
    </w:pPr>
    <w:rPr>
      <w:rFonts w:ascii="Calibri" w:hAnsi="Calibri" w:cs="Times New Roman"/>
      <w:kern w:val="2"/>
      <w:szCs w:val="22"/>
    </w:rPr>
  </w:style>
  <w:style w:type="paragraph" w:customStyle="1" w:styleId="affffffffffffffffffffffff">
    <w:basedOn w:val="a1"/>
    <w:next w:val="af"/>
    <w:uiPriority w:val="34"/>
    <w:qFormat/>
    <w:rsid w:val="00FD46A6"/>
    <w:pPr>
      <w:widowControl w:val="0"/>
      <w:ind w:firstLineChars="200" w:firstLine="420"/>
      <w:jc w:val="both"/>
    </w:pPr>
    <w:rPr>
      <w:rFonts w:ascii="Calibri" w:hAnsi="Calibri" w:cs="Times New Roman"/>
      <w:kern w:val="2"/>
      <w:szCs w:val="22"/>
    </w:rPr>
  </w:style>
  <w:style w:type="paragraph" w:customStyle="1" w:styleId="affffffffffffffffffffffff0">
    <w:basedOn w:val="a1"/>
    <w:next w:val="a1"/>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affffffffffffffffffffffff1">
    <w:basedOn w:val="a1"/>
    <w:next w:val="a1"/>
    <w:qFormat/>
    <w:rsid w:val="005B5D50"/>
    <w:pPr>
      <w:keepNext/>
      <w:keepLines/>
      <w:widowControl w:val="0"/>
      <w:spacing w:before="60" w:after="60"/>
      <w:jc w:val="both"/>
      <w:outlineLvl w:val="1"/>
    </w:pPr>
    <w:rPr>
      <w:rFonts w:ascii="Arial" w:hAnsi="Arial" w:cs="Times New Roman"/>
      <w:b/>
      <w:bCs/>
      <w:kern w:val="2"/>
      <w:szCs w:val="21"/>
    </w:rPr>
  </w:style>
  <w:style w:type="paragraph" w:customStyle="1" w:styleId="affffffffffffffffffffffff2">
    <w:basedOn w:val="a1"/>
    <w:next w:val="a1"/>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affffffffffffffffffffffff3">
    <w:basedOn w:val="a1"/>
    <w:next w:val="a1"/>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affffffffffffffffffffffff4">
    <w:basedOn w:val="a1"/>
    <w:next w:val="a1"/>
    <w:uiPriority w:val="9"/>
    <w:unhideWhenUsed/>
    <w:qFormat/>
    <w:rsid w:val="005B5D50"/>
    <w:pPr>
      <w:keepNext/>
      <w:keepLines/>
      <w:spacing w:before="60" w:after="60"/>
      <w:outlineLvl w:val="5"/>
    </w:pPr>
    <w:rPr>
      <w:rFonts w:asciiTheme="majorHAnsi" w:hAnsiTheme="majorHAnsi" w:cstheme="majorBidi"/>
      <w:b/>
      <w:bCs/>
    </w:rPr>
  </w:style>
  <w:style w:type="paragraph" w:customStyle="1" w:styleId="affffffffffffffffffffffff5">
    <w:basedOn w:val="a1"/>
    <w:next w:val="a1"/>
    <w:uiPriority w:val="9"/>
    <w:unhideWhenUsed/>
    <w:qFormat/>
    <w:rsid w:val="00FD46A6"/>
    <w:pPr>
      <w:keepNext/>
      <w:keepLines/>
      <w:spacing w:before="240" w:after="64" w:line="320" w:lineRule="auto"/>
      <w:outlineLvl w:val="6"/>
    </w:pPr>
    <w:rPr>
      <w:b/>
      <w:bCs/>
      <w:sz w:val="24"/>
    </w:rPr>
  </w:style>
  <w:style w:type="paragraph" w:customStyle="1" w:styleId="affffffffffffffffffffffff6">
    <w:basedOn w:val="a1"/>
    <w:uiPriority w:val="99"/>
    <w:unhideWhenUsed/>
    <w:rsid w:val="00DD256F"/>
    <w:pPr>
      <w:widowControl w:val="0"/>
      <w:jc w:val="both"/>
    </w:pPr>
    <w:rPr>
      <w:rFonts w:ascii="Calibri" w:hAnsi="Calibri" w:cs="Times New Roman"/>
      <w:kern w:val="2"/>
      <w:sz w:val="18"/>
      <w:szCs w:val="18"/>
    </w:rPr>
  </w:style>
  <w:style w:type="paragraph" w:customStyle="1" w:styleId="afff9">
    <w:basedOn w:val="a1"/>
    <w:next w:val="a1"/>
    <w:link w:val="15"/>
    <w:autoRedefine/>
    <w:uiPriority w:val="39"/>
    <w:qFormat/>
    <w:rsid w:val="00DD256F"/>
    <w:pPr>
      <w:widowControl w:val="0"/>
      <w:jc w:val="both"/>
    </w:pPr>
    <w:rPr>
      <w:rFonts w:ascii="Times New Roman" w:hAnsi="Times New Roman" w:cs="Times New Roman"/>
      <w:kern w:val="2"/>
      <w:szCs w:val="21"/>
    </w:rPr>
  </w:style>
  <w:style w:type="paragraph" w:customStyle="1" w:styleId="affffffffffffffffffffffff7">
    <w:basedOn w:val="a1"/>
    <w:next w:val="a1"/>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affffffffffffffffffffffff8">
    <w:basedOn w:val="a1"/>
    <w:next w:val="a1"/>
    <w:autoRedefine/>
    <w:uiPriority w:val="39"/>
    <w:unhideWhenUsed/>
    <w:qFormat/>
    <w:rsid w:val="00DD256F"/>
    <w:pPr>
      <w:spacing w:after="100" w:line="276" w:lineRule="auto"/>
      <w:ind w:left="440"/>
    </w:pPr>
    <w:rPr>
      <w:rFonts w:ascii="Calibri" w:hAnsi="Calibri" w:cs="Times New Roman"/>
      <w:sz w:val="22"/>
      <w:szCs w:val="22"/>
    </w:rPr>
  </w:style>
  <w:style w:type="character" w:customStyle="1" w:styleId="affffffffffffffffffffffff9">
    <w:basedOn w:val="a2"/>
    <w:rsid w:val="00D30BB3"/>
    <w:rPr>
      <w:rFonts w:ascii="Times New Roman" w:hAnsi="Times New Roman"/>
      <w:b/>
      <w:kern w:val="2"/>
      <w:sz w:val="21"/>
      <w:szCs w:val="24"/>
    </w:rPr>
  </w:style>
  <w:style w:type="paragraph" w:customStyle="1" w:styleId="affffffffffffffffffffffffa">
    <w:basedOn w:val="a1"/>
    <w:next w:val="a1"/>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affffffffffffffffffffffffb">
    <w:basedOn w:val="a1"/>
    <w:next w:val="a1"/>
    <w:qFormat/>
    <w:rsid w:val="005B5D50"/>
    <w:pPr>
      <w:keepNext/>
      <w:keepLines/>
      <w:widowControl w:val="0"/>
      <w:spacing w:before="60" w:after="60"/>
      <w:jc w:val="both"/>
      <w:outlineLvl w:val="1"/>
    </w:pPr>
    <w:rPr>
      <w:rFonts w:ascii="Arial" w:hAnsi="Arial" w:cs="Times New Roman"/>
      <w:b/>
      <w:bCs/>
      <w:kern w:val="2"/>
      <w:szCs w:val="21"/>
    </w:rPr>
  </w:style>
  <w:style w:type="paragraph" w:customStyle="1" w:styleId="affffffffffffffffffffffffc">
    <w:basedOn w:val="a1"/>
    <w:next w:val="a1"/>
    <w:uiPriority w:val="9"/>
    <w:qFormat/>
    <w:rsid w:val="005B5D50"/>
    <w:pPr>
      <w:keepNext/>
      <w:keepLines/>
      <w:widowControl w:val="0"/>
      <w:spacing w:before="60" w:after="60"/>
      <w:jc w:val="both"/>
      <w:outlineLvl w:val="3"/>
    </w:pPr>
    <w:rPr>
      <w:rFonts w:ascii="Cambria" w:hAnsi="Cambria" w:cs="Times New Roman"/>
      <w:b/>
      <w:bCs/>
      <w:kern w:val="2"/>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64584">
      <w:bodyDiv w:val="1"/>
      <w:marLeft w:val="0"/>
      <w:marRight w:val="0"/>
      <w:marTop w:val="0"/>
      <w:marBottom w:val="0"/>
      <w:divBdr>
        <w:top w:val="none" w:sz="0" w:space="0" w:color="auto"/>
        <w:left w:val="none" w:sz="0" w:space="0" w:color="auto"/>
        <w:bottom w:val="none" w:sz="0" w:space="0" w:color="auto"/>
        <w:right w:val="none" w:sz="0" w:space="0" w:color="auto"/>
      </w:divBdr>
    </w:div>
    <w:div w:id="26104526">
      <w:bodyDiv w:val="1"/>
      <w:marLeft w:val="0"/>
      <w:marRight w:val="0"/>
      <w:marTop w:val="0"/>
      <w:marBottom w:val="0"/>
      <w:divBdr>
        <w:top w:val="none" w:sz="0" w:space="0" w:color="auto"/>
        <w:left w:val="none" w:sz="0" w:space="0" w:color="auto"/>
        <w:bottom w:val="none" w:sz="0" w:space="0" w:color="auto"/>
        <w:right w:val="none" w:sz="0" w:space="0" w:color="auto"/>
      </w:divBdr>
    </w:div>
    <w:div w:id="113330901">
      <w:bodyDiv w:val="1"/>
      <w:marLeft w:val="0"/>
      <w:marRight w:val="0"/>
      <w:marTop w:val="0"/>
      <w:marBottom w:val="0"/>
      <w:divBdr>
        <w:top w:val="none" w:sz="0" w:space="0" w:color="auto"/>
        <w:left w:val="none" w:sz="0" w:space="0" w:color="auto"/>
        <w:bottom w:val="none" w:sz="0" w:space="0" w:color="auto"/>
        <w:right w:val="none" w:sz="0" w:space="0" w:color="auto"/>
      </w:divBdr>
    </w:div>
    <w:div w:id="116609734">
      <w:bodyDiv w:val="1"/>
      <w:marLeft w:val="0"/>
      <w:marRight w:val="0"/>
      <w:marTop w:val="0"/>
      <w:marBottom w:val="0"/>
      <w:divBdr>
        <w:top w:val="none" w:sz="0" w:space="0" w:color="auto"/>
        <w:left w:val="none" w:sz="0" w:space="0" w:color="auto"/>
        <w:bottom w:val="none" w:sz="0" w:space="0" w:color="auto"/>
        <w:right w:val="none" w:sz="0" w:space="0" w:color="auto"/>
      </w:divBdr>
    </w:div>
    <w:div w:id="140117894">
      <w:bodyDiv w:val="1"/>
      <w:marLeft w:val="0"/>
      <w:marRight w:val="0"/>
      <w:marTop w:val="0"/>
      <w:marBottom w:val="0"/>
      <w:divBdr>
        <w:top w:val="none" w:sz="0" w:space="0" w:color="auto"/>
        <w:left w:val="none" w:sz="0" w:space="0" w:color="auto"/>
        <w:bottom w:val="none" w:sz="0" w:space="0" w:color="auto"/>
        <w:right w:val="none" w:sz="0" w:space="0" w:color="auto"/>
      </w:divBdr>
    </w:div>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77936994">
      <w:bodyDiv w:val="1"/>
      <w:marLeft w:val="0"/>
      <w:marRight w:val="0"/>
      <w:marTop w:val="0"/>
      <w:marBottom w:val="0"/>
      <w:divBdr>
        <w:top w:val="none" w:sz="0" w:space="0" w:color="auto"/>
        <w:left w:val="none" w:sz="0" w:space="0" w:color="auto"/>
        <w:bottom w:val="none" w:sz="0" w:space="0" w:color="auto"/>
        <w:right w:val="none" w:sz="0" w:space="0" w:color="auto"/>
      </w:divBdr>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225646578">
      <w:bodyDiv w:val="1"/>
      <w:marLeft w:val="0"/>
      <w:marRight w:val="0"/>
      <w:marTop w:val="0"/>
      <w:marBottom w:val="0"/>
      <w:divBdr>
        <w:top w:val="none" w:sz="0" w:space="0" w:color="auto"/>
        <w:left w:val="none" w:sz="0" w:space="0" w:color="auto"/>
        <w:bottom w:val="none" w:sz="0" w:space="0" w:color="auto"/>
        <w:right w:val="none" w:sz="0" w:space="0" w:color="auto"/>
      </w:divBdr>
    </w:div>
    <w:div w:id="236474180">
      <w:bodyDiv w:val="1"/>
      <w:marLeft w:val="0"/>
      <w:marRight w:val="0"/>
      <w:marTop w:val="0"/>
      <w:marBottom w:val="0"/>
      <w:divBdr>
        <w:top w:val="none" w:sz="0" w:space="0" w:color="auto"/>
        <w:left w:val="none" w:sz="0" w:space="0" w:color="auto"/>
        <w:bottom w:val="none" w:sz="0" w:space="0" w:color="auto"/>
        <w:right w:val="none" w:sz="0" w:space="0" w:color="auto"/>
      </w:divBdr>
    </w:div>
    <w:div w:id="254169319">
      <w:bodyDiv w:val="1"/>
      <w:marLeft w:val="0"/>
      <w:marRight w:val="0"/>
      <w:marTop w:val="0"/>
      <w:marBottom w:val="0"/>
      <w:divBdr>
        <w:top w:val="none" w:sz="0" w:space="0" w:color="auto"/>
        <w:left w:val="none" w:sz="0" w:space="0" w:color="auto"/>
        <w:bottom w:val="none" w:sz="0" w:space="0" w:color="auto"/>
        <w:right w:val="none" w:sz="0" w:space="0" w:color="auto"/>
      </w:divBdr>
    </w:div>
    <w:div w:id="279340147">
      <w:bodyDiv w:val="1"/>
      <w:marLeft w:val="0"/>
      <w:marRight w:val="0"/>
      <w:marTop w:val="0"/>
      <w:marBottom w:val="0"/>
      <w:divBdr>
        <w:top w:val="none" w:sz="0" w:space="0" w:color="auto"/>
        <w:left w:val="none" w:sz="0" w:space="0" w:color="auto"/>
        <w:bottom w:val="none" w:sz="0" w:space="0" w:color="auto"/>
        <w:right w:val="none" w:sz="0" w:space="0" w:color="auto"/>
      </w:divBdr>
    </w:div>
    <w:div w:id="333143577">
      <w:bodyDiv w:val="1"/>
      <w:marLeft w:val="0"/>
      <w:marRight w:val="0"/>
      <w:marTop w:val="0"/>
      <w:marBottom w:val="0"/>
      <w:divBdr>
        <w:top w:val="none" w:sz="0" w:space="0" w:color="auto"/>
        <w:left w:val="none" w:sz="0" w:space="0" w:color="auto"/>
        <w:bottom w:val="none" w:sz="0" w:space="0" w:color="auto"/>
        <w:right w:val="none" w:sz="0" w:space="0" w:color="auto"/>
      </w:divBdr>
    </w:div>
    <w:div w:id="342052303">
      <w:bodyDiv w:val="1"/>
      <w:marLeft w:val="0"/>
      <w:marRight w:val="0"/>
      <w:marTop w:val="0"/>
      <w:marBottom w:val="0"/>
      <w:divBdr>
        <w:top w:val="none" w:sz="0" w:space="0" w:color="auto"/>
        <w:left w:val="none" w:sz="0" w:space="0" w:color="auto"/>
        <w:bottom w:val="none" w:sz="0" w:space="0" w:color="auto"/>
        <w:right w:val="none" w:sz="0" w:space="0" w:color="auto"/>
      </w:divBdr>
    </w:div>
    <w:div w:id="343559681">
      <w:bodyDiv w:val="1"/>
      <w:marLeft w:val="0"/>
      <w:marRight w:val="0"/>
      <w:marTop w:val="0"/>
      <w:marBottom w:val="0"/>
      <w:divBdr>
        <w:top w:val="none" w:sz="0" w:space="0" w:color="auto"/>
        <w:left w:val="none" w:sz="0" w:space="0" w:color="auto"/>
        <w:bottom w:val="none" w:sz="0" w:space="0" w:color="auto"/>
        <w:right w:val="none" w:sz="0" w:space="0" w:color="auto"/>
      </w:divBdr>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369309467">
      <w:bodyDiv w:val="1"/>
      <w:marLeft w:val="0"/>
      <w:marRight w:val="0"/>
      <w:marTop w:val="0"/>
      <w:marBottom w:val="0"/>
      <w:divBdr>
        <w:top w:val="none" w:sz="0" w:space="0" w:color="auto"/>
        <w:left w:val="none" w:sz="0" w:space="0" w:color="auto"/>
        <w:bottom w:val="none" w:sz="0" w:space="0" w:color="auto"/>
        <w:right w:val="none" w:sz="0" w:space="0" w:color="auto"/>
      </w:divBdr>
    </w:div>
    <w:div w:id="370497768">
      <w:bodyDiv w:val="1"/>
      <w:marLeft w:val="0"/>
      <w:marRight w:val="0"/>
      <w:marTop w:val="0"/>
      <w:marBottom w:val="0"/>
      <w:divBdr>
        <w:top w:val="none" w:sz="0" w:space="0" w:color="auto"/>
        <w:left w:val="none" w:sz="0" w:space="0" w:color="auto"/>
        <w:bottom w:val="none" w:sz="0" w:space="0" w:color="auto"/>
        <w:right w:val="none" w:sz="0" w:space="0" w:color="auto"/>
      </w:divBdr>
    </w:div>
    <w:div w:id="395013186">
      <w:bodyDiv w:val="1"/>
      <w:marLeft w:val="0"/>
      <w:marRight w:val="0"/>
      <w:marTop w:val="0"/>
      <w:marBottom w:val="0"/>
      <w:divBdr>
        <w:top w:val="none" w:sz="0" w:space="0" w:color="auto"/>
        <w:left w:val="none" w:sz="0" w:space="0" w:color="auto"/>
        <w:bottom w:val="none" w:sz="0" w:space="0" w:color="auto"/>
        <w:right w:val="none" w:sz="0" w:space="0" w:color="auto"/>
      </w:divBdr>
    </w:div>
    <w:div w:id="440295949">
      <w:bodyDiv w:val="1"/>
      <w:marLeft w:val="0"/>
      <w:marRight w:val="0"/>
      <w:marTop w:val="0"/>
      <w:marBottom w:val="0"/>
      <w:divBdr>
        <w:top w:val="none" w:sz="0" w:space="0" w:color="auto"/>
        <w:left w:val="none" w:sz="0" w:space="0" w:color="auto"/>
        <w:bottom w:val="none" w:sz="0" w:space="0" w:color="auto"/>
        <w:right w:val="none" w:sz="0" w:space="0" w:color="auto"/>
      </w:divBdr>
    </w:div>
    <w:div w:id="472067117">
      <w:bodyDiv w:val="1"/>
      <w:marLeft w:val="0"/>
      <w:marRight w:val="0"/>
      <w:marTop w:val="0"/>
      <w:marBottom w:val="0"/>
      <w:divBdr>
        <w:top w:val="none" w:sz="0" w:space="0" w:color="auto"/>
        <w:left w:val="none" w:sz="0" w:space="0" w:color="auto"/>
        <w:bottom w:val="none" w:sz="0" w:space="0" w:color="auto"/>
        <w:right w:val="none" w:sz="0" w:space="0" w:color="auto"/>
      </w:divBdr>
    </w:div>
    <w:div w:id="479231953">
      <w:bodyDiv w:val="1"/>
      <w:marLeft w:val="0"/>
      <w:marRight w:val="0"/>
      <w:marTop w:val="0"/>
      <w:marBottom w:val="0"/>
      <w:divBdr>
        <w:top w:val="none" w:sz="0" w:space="0" w:color="auto"/>
        <w:left w:val="none" w:sz="0" w:space="0" w:color="auto"/>
        <w:bottom w:val="none" w:sz="0" w:space="0" w:color="auto"/>
        <w:right w:val="none" w:sz="0" w:space="0" w:color="auto"/>
      </w:divBdr>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483664638">
      <w:bodyDiv w:val="1"/>
      <w:marLeft w:val="0"/>
      <w:marRight w:val="0"/>
      <w:marTop w:val="0"/>
      <w:marBottom w:val="0"/>
      <w:divBdr>
        <w:top w:val="none" w:sz="0" w:space="0" w:color="auto"/>
        <w:left w:val="none" w:sz="0" w:space="0" w:color="auto"/>
        <w:bottom w:val="none" w:sz="0" w:space="0" w:color="auto"/>
        <w:right w:val="none" w:sz="0" w:space="0" w:color="auto"/>
      </w:divBdr>
    </w:div>
    <w:div w:id="504976433">
      <w:bodyDiv w:val="1"/>
      <w:marLeft w:val="0"/>
      <w:marRight w:val="0"/>
      <w:marTop w:val="0"/>
      <w:marBottom w:val="0"/>
      <w:divBdr>
        <w:top w:val="none" w:sz="0" w:space="0" w:color="auto"/>
        <w:left w:val="none" w:sz="0" w:space="0" w:color="auto"/>
        <w:bottom w:val="none" w:sz="0" w:space="0" w:color="auto"/>
        <w:right w:val="none" w:sz="0" w:space="0" w:color="auto"/>
      </w:divBdr>
    </w:div>
    <w:div w:id="526602337">
      <w:bodyDiv w:val="1"/>
      <w:marLeft w:val="0"/>
      <w:marRight w:val="0"/>
      <w:marTop w:val="0"/>
      <w:marBottom w:val="0"/>
      <w:divBdr>
        <w:top w:val="none" w:sz="0" w:space="0" w:color="auto"/>
        <w:left w:val="none" w:sz="0" w:space="0" w:color="auto"/>
        <w:bottom w:val="none" w:sz="0" w:space="0" w:color="auto"/>
        <w:right w:val="none" w:sz="0" w:space="0" w:color="auto"/>
      </w:divBdr>
    </w:div>
    <w:div w:id="599221881">
      <w:bodyDiv w:val="1"/>
      <w:marLeft w:val="0"/>
      <w:marRight w:val="0"/>
      <w:marTop w:val="0"/>
      <w:marBottom w:val="0"/>
      <w:divBdr>
        <w:top w:val="none" w:sz="0" w:space="0" w:color="auto"/>
        <w:left w:val="none" w:sz="0" w:space="0" w:color="auto"/>
        <w:bottom w:val="none" w:sz="0" w:space="0" w:color="auto"/>
        <w:right w:val="none" w:sz="0" w:space="0" w:color="auto"/>
      </w:divBdr>
    </w:div>
    <w:div w:id="623267352">
      <w:bodyDiv w:val="1"/>
      <w:marLeft w:val="0"/>
      <w:marRight w:val="0"/>
      <w:marTop w:val="0"/>
      <w:marBottom w:val="0"/>
      <w:divBdr>
        <w:top w:val="none" w:sz="0" w:space="0" w:color="auto"/>
        <w:left w:val="none" w:sz="0" w:space="0" w:color="auto"/>
        <w:bottom w:val="none" w:sz="0" w:space="0" w:color="auto"/>
        <w:right w:val="none" w:sz="0" w:space="0" w:color="auto"/>
      </w:divBdr>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6518450">
      <w:bodyDiv w:val="1"/>
      <w:marLeft w:val="0"/>
      <w:marRight w:val="0"/>
      <w:marTop w:val="0"/>
      <w:marBottom w:val="0"/>
      <w:divBdr>
        <w:top w:val="none" w:sz="0" w:space="0" w:color="auto"/>
        <w:left w:val="none" w:sz="0" w:space="0" w:color="auto"/>
        <w:bottom w:val="none" w:sz="0" w:space="0" w:color="auto"/>
        <w:right w:val="none" w:sz="0" w:space="0" w:color="auto"/>
      </w:divBdr>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76034751">
      <w:bodyDiv w:val="1"/>
      <w:marLeft w:val="0"/>
      <w:marRight w:val="0"/>
      <w:marTop w:val="0"/>
      <w:marBottom w:val="0"/>
      <w:divBdr>
        <w:top w:val="none" w:sz="0" w:space="0" w:color="auto"/>
        <w:left w:val="none" w:sz="0" w:space="0" w:color="auto"/>
        <w:bottom w:val="none" w:sz="0" w:space="0" w:color="auto"/>
        <w:right w:val="none" w:sz="0" w:space="0" w:color="auto"/>
      </w:divBdr>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704141655">
      <w:bodyDiv w:val="1"/>
      <w:marLeft w:val="0"/>
      <w:marRight w:val="0"/>
      <w:marTop w:val="0"/>
      <w:marBottom w:val="0"/>
      <w:divBdr>
        <w:top w:val="none" w:sz="0" w:space="0" w:color="auto"/>
        <w:left w:val="none" w:sz="0" w:space="0" w:color="auto"/>
        <w:bottom w:val="none" w:sz="0" w:space="0" w:color="auto"/>
        <w:right w:val="none" w:sz="0" w:space="0" w:color="auto"/>
      </w:divBdr>
    </w:div>
    <w:div w:id="720591643">
      <w:bodyDiv w:val="1"/>
      <w:marLeft w:val="0"/>
      <w:marRight w:val="0"/>
      <w:marTop w:val="0"/>
      <w:marBottom w:val="0"/>
      <w:divBdr>
        <w:top w:val="none" w:sz="0" w:space="0" w:color="auto"/>
        <w:left w:val="none" w:sz="0" w:space="0" w:color="auto"/>
        <w:bottom w:val="none" w:sz="0" w:space="0" w:color="auto"/>
        <w:right w:val="none" w:sz="0" w:space="0" w:color="auto"/>
      </w:divBdr>
    </w:div>
    <w:div w:id="757364384">
      <w:bodyDiv w:val="1"/>
      <w:marLeft w:val="0"/>
      <w:marRight w:val="0"/>
      <w:marTop w:val="0"/>
      <w:marBottom w:val="0"/>
      <w:divBdr>
        <w:top w:val="none" w:sz="0" w:space="0" w:color="auto"/>
        <w:left w:val="none" w:sz="0" w:space="0" w:color="auto"/>
        <w:bottom w:val="none" w:sz="0" w:space="0" w:color="auto"/>
        <w:right w:val="none" w:sz="0" w:space="0" w:color="auto"/>
      </w:divBdr>
    </w:div>
    <w:div w:id="764615555">
      <w:bodyDiv w:val="1"/>
      <w:marLeft w:val="0"/>
      <w:marRight w:val="0"/>
      <w:marTop w:val="0"/>
      <w:marBottom w:val="0"/>
      <w:divBdr>
        <w:top w:val="none" w:sz="0" w:space="0" w:color="auto"/>
        <w:left w:val="none" w:sz="0" w:space="0" w:color="auto"/>
        <w:bottom w:val="none" w:sz="0" w:space="0" w:color="auto"/>
        <w:right w:val="none" w:sz="0" w:space="0" w:color="auto"/>
      </w:divBdr>
    </w:div>
    <w:div w:id="800539088">
      <w:bodyDiv w:val="1"/>
      <w:marLeft w:val="0"/>
      <w:marRight w:val="0"/>
      <w:marTop w:val="0"/>
      <w:marBottom w:val="0"/>
      <w:divBdr>
        <w:top w:val="none" w:sz="0" w:space="0" w:color="auto"/>
        <w:left w:val="none" w:sz="0" w:space="0" w:color="auto"/>
        <w:bottom w:val="none" w:sz="0" w:space="0" w:color="auto"/>
        <w:right w:val="none" w:sz="0" w:space="0" w:color="auto"/>
      </w:divBdr>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42746379">
      <w:bodyDiv w:val="1"/>
      <w:marLeft w:val="0"/>
      <w:marRight w:val="0"/>
      <w:marTop w:val="0"/>
      <w:marBottom w:val="0"/>
      <w:divBdr>
        <w:top w:val="none" w:sz="0" w:space="0" w:color="auto"/>
        <w:left w:val="none" w:sz="0" w:space="0" w:color="auto"/>
        <w:bottom w:val="none" w:sz="0" w:space="0" w:color="auto"/>
        <w:right w:val="none" w:sz="0" w:space="0" w:color="auto"/>
      </w:divBdr>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0333703">
      <w:bodyDiv w:val="1"/>
      <w:marLeft w:val="0"/>
      <w:marRight w:val="0"/>
      <w:marTop w:val="0"/>
      <w:marBottom w:val="0"/>
      <w:divBdr>
        <w:top w:val="none" w:sz="0" w:space="0" w:color="auto"/>
        <w:left w:val="none" w:sz="0" w:space="0" w:color="auto"/>
        <w:bottom w:val="none" w:sz="0" w:space="0" w:color="auto"/>
        <w:right w:val="none" w:sz="0" w:space="0" w:color="auto"/>
      </w:divBdr>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952663968">
      <w:bodyDiv w:val="1"/>
      <w:marLeft w:val="0"/>
      <w:marRight w:val="0"/>
      <w:marTop w:val="0"/>
      <w:marBottom w:val="0"/>
      <w:divBdr>
        <w:top w:val="none" w:sz="0" w:space="0" w:color="auto"/>
        <w:left w:val="none" w:sz="0" w:space="0" w:color="auto"/>
        <w:bottom w:val="none" w:sz="0" w:space="0" w:color="auto"/>
        <w:right w:val="none" w:sz="0" w:space="0" w:color="auto"/>
      </w:divBdr>
    </w:div>
    <w:div w:id="1007710310">
      <w:bodyDiv w:val="1"/>
      <w:marLeft w:val="0"/>
      <w:marRight w:val="0"/>
      <w:marTop w:val="0"/>
      <w:marBottom w:val="0"/>
      <w:divBdr>
        <w:top w:val="none" w:sz="0" w:space="0" w:color="auto"/>
        <w:left w:val="none" w:sz="0" w:space="0" w:color="auto"/>
        <w:bottom w:val="none" w:sz="0" w:space="0" w:color="auto"/>
        <w:right w:val="none" w:sz="0" w:space="0" w:color="auto"/>
      </w:divBdr>
    </w:div>
    <w:div w:id="1032609991">
      <w:bodyDiv w:val="1"/>
      <w:marLeft w:val="0"/>
      <w:marRight w:val="0"/>
      <w:marTop w:val="0"/>
      <w:marBottom w:val="0"/>
      <w:divBdr>
        <w:top w:val="none" w:sz="0" w:space="0" w:color="auto"/>
        <w:left w:val="none" w:sz="0" w:space="0" w:color="auto"/>
        <w:bottom w:val="none" w:sz="0" w:space="0" w:color="auto"/>
        <w:right w:val="none" w:sz="0" w:space="0" w:color="auto"/>
      </w:divBdr>
    </w:div>
    <w:div w:id="1049380512">
      <w:bodyDiv w:val="1"/>
      <w:marLeft w:val="0"/>
      <w:marRight w:val="0"/>
      <w:marTop w:val="0"/>
      <w:marBottom w:val="0"/>
      <w:divBdr>
        <w:top w:val="none" w:sz="0" w:space="0" w:color="auto"/>
        <w:left w:val="none" w:sz="0" w:space="0" w:color="auto"/>
        <w:bottom w:val="none" w:sz="0" w:space="0" w:color="auto"/>
        <w:right w:val="none" w:sz="0" w:space="0" w:color="auto"/>
      </w:divBdr>
    </w:div>
    <w:div w:id="1050493541">
      <w:bodyDiv w:val="1"/>
      <w:marLeft w:val="0"/>
      <w:marRight w:val="0"/>
      <w:marTop w:val="0"/>
      <w:marBottom w:val="0"/>
      <w:divBdr>
        <w:top w:val="none" w:sz="0" w:space="0" w:color="auto"/>
        <w:left w:val="none" w:sz="0" w:space="0" w:color="auto"/>
        <w:bottom w:val="none" w:sz="0" w:space="0" w:color="auto"/>
        <w:right w:val="none" w:sz="0" w:space="0" w:color="auto"/>
      </w:divBdr>
    </w:div>
    <w:div w:id="1061254327">
      <w:bodyDiv w:val="1"/>
      <w:marLeft w:val="0"/>
      <w:marRight w:val="0"/>
      <w:marTop w:val="0"/>
      <w:marBottom w:val="0"/>
      <w:divBdr>
        <w:top w:val="none" w:sz="0" w:space="0" w:color="auto"/>
        <w:left w:val="none" w:sz="0" w:space="0" w:color="auto"/>
        <w:bottom w:val="none" w:sz="0" w:space="0" w:color="auto"/>
        <w:right w:val="none" w:sz="0" w:space="0" w:color="auto"/>
      </w:divBdr>
    </w:div>
    <w:div w:id="1075670288">
      <w:bodyDiv w:val="1"/>
      <w:marLeft w:val="0"/>
      <w:marRight w:val="0"/>
      <w:marTop w:val="0"/>
      <w:marBottom w:val="0"/>
      <w:divBdr>
        <w:top w:val="none" w:sz="0" w:space="0" w:color="auto"/>
        <w:left w:val="none" w:sz="0" w:space="0" w:color="auto"/>
        <w:bottom w:val="none" w:sz="0" w:space="0" w:color="auto"/>
        <w:right w:val="none" w:sz="0" w:space="0" w:color="auto"/>
      </w:divBdr>
    </w:div>
    <w:div w:id="1111822082">
      <w:bodyDiv w:val="1"/>
      <w:marLeft w:val="0"/>
      <w:marRight w:val="0"/>
      <w:marTop w:val="0"/>
      <w:marBottom w:val="0"/>
      <w:divBdr>
        <w:top w:val="none" w:sz="0" w:space="0" w:color="auto"/>
        <w:left w:val="none" w:sz="0" w:space="0" w:color="auto"/>
        <w:bottom w:val="none" w:sz="0" w:space="0" w:color="auto"/>
        <w:right w:val="none" w:sz="0" w:space="0" w:color="auto"/>
      </w:divBdr>
    </w:div>
    <w:div w:id="1119450932">
      <w:bodyDiv w:val="1"/>
      <w:marLeft w:val="0"/>
      <w:marRight w:val="0"/>
      <w:marTop w:val="0"/>
      <w:marBottom w:val="0"/>
      <w:divBdr>
        <w:top w:val="none" w:sz="0" w:space="0" w:color="auto"/>
        <w:left w:val="none" w:sz="0" w:space="0" w:color="auto"/>
        <w:bottom w:val="none" w:sz="0" w:space="0" w:color="auto"/>
        <w:right w:val="none" w:sz="0" w:space="0" w:color="auto"/>
      </w:divBdr>
    </w:div>
    <w:div w:id="1131364200">
      <w:bodyDiv w:val="1"/>
      <w:marLeft w:val="0"/>
      <w:marRight w:val="0"/>
      <w:marTop w:val="0"/>
      <w:marBottom w:val="0"/>
      <w:divBdr>
        <w:top w:val="none" w:sz="0" w:space="0" w:color="auto"/>
        <w:left w:val="none" w:sz="0" w:space="0" w:color="auto"/>
        <w:bottom w:val="none" w:sz="0" w:space="0" w:color="auto"/>
        <w:right w:val="none" w:sz="0" w:space="0" w:color="auto"/>
      </w:divBdr>
    </w:div>
    <w:div w:id="1154300917">
      <w:bodyDiv w:val="1"/>
      <w:marLeft w:val="0"/>
      <w:marRight w:val="0"/>
      <w:marTop w:val="0"/>
      <w:marBottom w:val="0"/>
      <w:divBdr>
        <w:top w:val="none" w:sz="0" w:space="0" w:color="auto"/>
        <w:left w:val="none" w:sz="0" w:space="0" w:color="auto"/>
        <w:bottom w:val="none" w:sz="0" w:space="0" w:color="auto"/>
        <w:right w:val="none" w:sz="0" w:space="0" w:color="auto"/>
      </w:divBdr>
    </w:div>
    <w:div w:id="1164970429">
      <w:bodyDiv w:val="1"/>
      <w:marLeft w:val="0"/>
      <w:marRight w:val="0"/>
      <w:marTop w:val="0"/>
      <w:marBottom w:val="0"/>
      <w:divBdr>
        <w:top w:val="none" w:sz="0" w:space="0" w:color="auto"/>
        <w:left w:val="none" w:sz="0" w:space="0" w:color="auto"/>
        <w:bottom w:val="none" w:sz="0" w:space="0" w:color="auto"/>
        <w:right w:val="none" w:sz="0" w:space="0" w:color="auto"/>
      </w:divBdr>
    </w:div>
    <w:div w:id="1175924639">
      <w:bodyDiv w:val="1"/>
      <w:marLeft w:val="0"/>
      <w:marRight w:val="0"/>
      <w:marTop w:val="0"/>
      <w:marBottom w:val="0"/>
      <w:divBdr>
        <w:top w:val="none" w:sz="0" w:space="0" w:color="auto"/>
        <w:left w:val="none" w:sz="0" w:space="0" w:color="auto"/>
        <w:bottom w:val="none" w:sz="0" w:space="0" w:color="auto"/>
        <w:right w:val="none" w:sz="0" w:space="0" w:color="auto"/>
      </w:divBdr>
    </w:div>
    <w:div w:id="1181969194">
      <w:bodyDiv w:val="1"/>
      <w:marLeft w:val="0"/>
      <w:marRight w:val="0"/>
      <w:marTop w:val="0"/>
      <w:marBottom w:val="0"/>
      <w:divBdr>
        <w:top w:val="none" w:sz="0" w:space="0" w:color="auto"/>
        <w:left w:val="none" w:sz="0" w:space="0" w:color="auto"/>
        <w:bottom w:val="none" w:sz="0" w:space="0" w:color="auto"/>
        <w:right w:val="none" w:sz="0" w:space="0" w:color="auto"/>
      </w:divBdr>
    </w:div>
    <w:div w:id="1201555639">
      <w:bodyDiv w:val="1"/>
      <w:marLeft w:val="0"/>
      <w:marRight w:val="0"/>
      <w:marTop w:val="0"/>
      <w:marBottom w:val="0"/>
      <w:divBdr>
        <w:top w:val="none" w:sz="0" w:space="0" w:color="auto"/>
        <w:left w:val="none" w:sz="0" w:space="0" w:color="auto"/>
        <w:bottom w:val="none" w:sz="0" w:space="0" w:color="auto"/>
        <w:right w:val="none" w:sz="0" w:space="0" w:color="auto"/>
      </w:divBdr>
    </w:div>
    <w:div w:id="1276253995">
      <w:bodyDiv w:val="1"/>
      <w:marLeft w:val="0"/>
      <w:marRight w:val="0"/>
      <w:marTop w:val="0"/>
      <w:marBottom w:val="0"/>
      <w:divBdr>
        <w:top w:val="none" w:sz="0" w:space="0" w:color="auto"/>
        <w:left w:val="none" w:sz="0" w:space="0" w:color="auto"/>
        <w:bottom w:val="none" w:sz="0" w:space="0" w:color="auto"/>
        <w:right w:val="none" w:sz="0" w:space="0" w:color="auto"/>
      </w:divBdr>
    </w:div>
    <w:div w:id="1300649070">
      <w:bodyDiv w:val="1"/>
      <w:marLeft w:val="0"/>
      <w:marRight w:val="0"/>
      <w:marTop w:val="0"/>
      <w:marBottom w:val="0"/>
      <w:divBdr>
        <w:top w:val="none" w:sz="0" w:space="0" w:color="auto"/>
        <w:left w:val="none" w:sz="0" w:space="0" w:color="auto"/>
        <w:bottom w:val="none" w:sz="0" w:space="0" w:color="auto"/>
        <w:right w:val="none" w:sz="0" w:space="0" w:color="auto"/>
      </w:divBdr>
    </w:div>
    <w:div w:id="1314793948">
      <w:bodyDiv w:val="1"/>
      <w:marLeft w:val="0"/>
      <w:marRight w:val="0"/>
      <w:marTop w:val="0"/>
      <w:marBottom w:val="0"/>
      <w:divBdr>
        <w:top w:val="none" w:sz="0" w:space="0" w:color="auto"/>
        <w:left w:val="none" w:sz="0" w:space="0" w:color="auto"/>
        <w:bottom w:val="none" w:sz="0" w:space="0" w:color="auto"/>
        <w:right w:val="none" w:sz="0" w:space="0" w:color="auto"/>
      </w:divBdr>
    </w:div>
    <w:div w:id="1340936099">
      <w:bodyDiv w:val="1"/>
      <w:marLeft w:val="0"/>
      <w:marRight w:val="0"/>
      <w:marTop w:val="0"/>
      <w:marBottom w:val="0"/>
      <w:divBdr>
        <w:top w:val="none" w:sz="0" w:space="0" w:color="auto"/>
        <w:left w:val="none" w:sz="0" w:space="0" w:color="auto"/>
        <w:bottom w:val="none" w:sz="0" w:space="0" w:color="auto"/>
        <w:right w:val="none" w:sz="0" w:space="0" w:color="auto"/>
      </w:divBdr>
    </w:div>
    <w:div w:id="1364593941">
      <w:bodyDiv w:val="1"/>
      <w:marLeft w:val="0"/>
      <w:marRight w:val="0"/>
      <w:marTop w:val="0"/>
      <w:marBottom w:val="0"/>
      <w:divBdr>
        <w:top w:val="none" w:sz="0" w:space="0" w:color="auto"/>
        <w:left w:val="none" w:sz="0" w:space="0" w:color="auto"/>
        <w:bottom w:val="none" w:sz="0" w:space="0" w:color="auto"/>
        <w:right w:val="none" w:sz="0" w:space="0" w:color="auto"/>
      </w:divBdr>
    </w:div>
    <w:div w:id="1388844707">
      <w:bodyDiv w:val="1"/>
      <w:marLeft w:val="0"/>
      <w:marRight w:val="0"/>
      <w:marTop w:val="0"/>
      <w:marBottom w:val="0"/>
      <w:divBdr>
        <w:top w:val="none" w:sz="0" w:space="0" w:color="auto"/>
        <w:left w:val="none" w:sz="0" w:space="0" w:color="auto"/>
        <w:bottom w:val="none" w:sz="0" w:space="0" w:color="auto"/>
        <w:right w:val="none" w:sz="0" w:space="0" w:color="auto"/>
      </w:divBdr>
    </w:div>
    <w:div w:id="1434936087">
      <w:bodyDiv w:val="1"/>
      <w:marLeft w:val="0"/>
      <w:marRight w:val="0"/>
      <w:marTop w:val="0"/>
      <w:marBottom w:val="0"/>
      <w:divBdr>
        <w:top w:val="none" w:sz="0" w:space="0" w:color="auto"/>
        <w:left w:val="none" w:sz="0" w:space="0" w:color="auto"/>
        <w:bottom w:val="none" w:sz="0" w:space="0" w:color="auto"/>
        <w:right w:val="none" w:sz="0" w:space="0" w:color="auto"/>
      </w:divBdr>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499540100">
      <w:bodyDiv w:val="1"/>
      <w:marLeft w:val="0"/>
      <w:marRight w:val="0"/>
      <w:marTop w:val="0"/>
      <w:marBottom w:val="0"/>
      <w:divBdr>
        <w:top w:val="none" w:sz="0" w:space="0" w:color="auto"/>
        <w:left w:val="none" w:sz="0" w:space="0" w:color="auto"/>
        <w:bottom w:val="none" w:sz="0" w:space="0" w:color="auto"/>
        <w:right w:val="none" w:sz="0" w:space="0" w:color="auto"/>
      </w:divBdr>
    </w:div>
    <w:div w:id="1507672345">
      <w:bodyDiv w:val="1"/>
      <w:marLeft w:val="0"/>
      <w:marRight w:val="0"/>
      <w:marTop w:val="0"/>
      <w:marBottom w:val="0"/>
      <w:divBdr>
        <w:top w:val="none" w:sz="0" w:space="0" w:color="auto"/>
        <w:left w:val="none" w:sz="0" w:space="0" w:color="auto"/>
        <w:bottom w:val="none" w:sz="0" w:space="0" w:color="auto"/>
        <w:right w:val="none" w:sz="0" w:space="0" w:color="auto"/>
      </w:divBdr>
    </w:div>
    <w:div w:id="1545824830">
      <w:bodyDiv w:val="1"/>
      <w:marLeft w:val="0"/>
      <w:marRight w:val="0"/>
      <w:marTop w:val="0"/>
      <w:marBottom w:val="0"/>
      <w:divBdr>
        <w:top w:val="none" w:sz="0" w:space="0" w:color="auto"/>
        <w:left w:val="none" w:sz="0" w:space="0" w:color="auto"/>
        <w:bottom w:val="none" w:sz="0" w:space="0" w:color="auto"/>
        <w:right w:val="none" w:sz="0" w:space="0" w:color="auto"/>
      </w:divBdr>
    </w:div>
    <w:div w:id="1552880497">
      <w:bodyDiv w:val="1"/>
      <w:marLeft w:val="0"/>
      <w:marRight w:val="0"/>
      <w:marTop w:val="0"/>
      <w:marBottom w:val="0"/>
      <w:divBdr>
        <w:top w:val="none" w:sz="0" w:space="0" w:color="auto"/>
        <w:left w:val="none" w:sz="0" w:space="0" w:color="auto"/>
        <w:bottom w:val="none" w:sz="0" w:space="0" w:color="auto"/>
        <w:right w:val="none" w:sz="0" w:space="0" w:color="auto"/>
      </w:divBdr>
    </w:div>
    <w:div w:id="1591238802">
      <w:bodyDiv w:val="1"/>
      <w:marLeft w:val="0"/>
      <w:marRight w:val="0"/>
      <w:marTop w:val="0"/>
      <w:marBottom w:val="0"/>
      <w:divBdr>
        <w:top w:val="none" w:sz="0" w:space="0" w:color="auto"/>
        <w:left w:val="none" w:sz="0" w:space="0" w:color="auto"/>
        <w:bottom w:val="none" w:sz="0" w:space="0" w:color="auto"/>
        <w:right w:val="none" w:sz="0" w:space="0" w:color="auto"/>
      </w:divBdr>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616716028">
      <w:bodyDiv w:val="1"/>
      <w:marLeft w:val="0"/>
      <w:marRight w:val="0"/>
      <w:marTop w:val="0"/>
      <w:marBottom w:val="0"/>
      <w:divBdr>
        <w:top w:val="none" w:sz="0" w:space="0" w:color="auto"/>
        <w:left w:val="none" w:sz="0" w:space="0" w:color="auto"/>
        <w:bottom w:val="none" w:sz="0" w:space="0" w:color="auto"/>
        <w:right w:val="none" w:sz="0" w:space="0" w:color="auto"/>
      </w:divBdr>
    </w:div>
    <w:div w:id="1626546625">
      <w:bodyDiv w:val="1"/>
      <w:marLeft w:val="0"/>
      <w:marRight w:val="0"/>
      <w:marTop w:val="0"/>
      <w:marBottom w:val="0"/>
      <w:divBdr>
        <w:top w:val="none" w:sz="0" w:space="0" w:color="auto"/>
        <w:left w:val="none" w:sz="0" w:space="0" w:color="auto"/>
        <w:bottom w:val="none" w:sz="0" w:space="0" w:color="auto"/>
        <w:right w:val="none" w:sz="0" w:space="0" w:color="auto"/>
      </w:divBdr>
    </w:div>
    <w:div w:id="1644580032">
      <w:bodyDiv w:val="1"/>
      <w:marLeft w:val="0"/>
      <w:marRight w:val="0"/>
      <w:marTop w:val="0"/>
      <w:marBottom w:val="0"/>
      <w:divBdr>
        <w:top w:val="none" w:sz="0" w:space="0" w:color="auto"/>
        <w:left w:val="none" w:sz="0" w:space="0" w:color="auto"/>
        <w:bottom w:val="none" w:sz="0" w:space="0" w:color="auto"/>
        <w:right w:val="none" w:sz="0" w:space="0" w:color="auto"/>
      </w:divBdr>
    </w:div>
    <w:div w:id="1655716139">
      <w:bodyDiv w:val="1"/>
      <w:marLeft w:val="0"/>
      <w:marRight w:val="0"/>
      <w:marTop w:val="0"/>
      <w:marBottom w:val="0"/>
      <w:divBdr>
        <w:top w:val="none" w:sz="0" w:space="0" w:color="auto"/>
        <w:left w:val="none" w:sz="0" w:space="0" w:color="auto"/>
        <w:bottom w:val="none" w:sz="0" w:space="0" w:color="auto"/>
        <w:right w:val="none" w:sz="0" w:space="0" w:color="auto"/>
      </w:divBdr>
    </w:div>
    <w:div w:id="1717116682">
      <w:bodyDiv w:val="1"/>
      <w:marLeft w:val="0"/>
      <w:marRight w:val="0"/>
      <w:marTop w:val="0"/>
      <w:marBottom w:val="0"/>
      <w:divBdr>
        <w:top w:val="none" w:sz="0" w:space="0" w:color="auto"/>
        <w:left w:val="none" w:sz="0" w:space="0" w:color="auto"/>
        <w:bottom w:val="none" w:sz="0" w:space="0" w:color="auto"/>
        <w:right w:val="none" w:sz="0" w:space="0" w:color="auto"/>
      </w:divBdr>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33116664">
      <w:bodyDiv w:val="1"/>
      <w:marLeft w:val="0"/>
      <w:marRight w:val="0"/>
      <w:marTop w:val="0"/>
      <w:marBottom w:val="0"/>
      <w:divBdr>
        <w:top w:val="none" w:sz="0" w:space="0" w:color="auto"/>
        <w:left w:val="none" w:sz="0" w:space="0" w:color="auto"/>
        <w:bottom w:val="none" w:sz="0" w:space="0" w:color="auto"/>
        <w:right w:val="none" w:sz="0" w:space="0" w:color="auto"/>
      </w:divBdr>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758137116">
      <w:bodyDiv w:val="1"/>
      <w:marLeft w:val="0"/>
      <w:marRight w:val="0"/>
      <w:marTop w:val="0"/>
      <w:marBottom w:val="0"/>
      <w:divBdr>
        <w:top w:val="none" w:sz="0" w:space="0" w:color="auto"/>
        <w:left w:val="none" w:sz="0" w:space="0" w:color="auto"/>
        <w:bottom w:val="none" w:sz="0" w:space="0" w:color="auto"/>
        <w:right w:val="none" w:sz="0" w:space="0" w:color="auto"/>
      </w:divBdr>
    </w:div>
    <w:div w:id="1812290040">
      <w:bodyDiv w:val="1"/>
      <w:marLeft w:val="0"/>
      <w:marRight w:val="0"/>
      <w:marTop w:val="0"/>
      <w:marBottom w:val="0"/>
      <w:divBdr>
        <w:top w:val="none" w:sz="0" w:space="0" w:color="auto"/>
        <w:left w:val="none" w:sz="0" w:space="0" w:color="auto"/>
        <w:bottom w:val="none" w:sz="0" w:space="0" w:color="auto"/>
        <w:right w:val="none" w:sz="0" w:space="0" w:color="auto"/>
      </w:divBdr>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900169113">
      <w:bodyDiv w:val="1"/>
      <w:marLeft w:val="0"/>
      <w:marRight w:val="0"/>
      <w:marTop w:val="0"/>
      <w:marBottom w:val="0"/>
      <w:divBdr>
        <w:top w:val="none" w:sz="0" w:space="0" w:color="auto"/>
        <w:left w:val="none" w:sz="0" w:space="0" w:color="auto"/>
        <w:bottom w:val="none" w:sz="0" w:space="0" w:color="auto"/>
        <w:right w:val="none" w:sz="0" w:space="0" w:color="auto"/>
      </w:divBdr>
    </w:div>
    <w:div w:id="1955862180">
      <w:bodyDiv w:val="1"/>
      <w:marLeft w:val="0"/>
      <w:marRight w:val="0"/>
      <w:marTop w:val="0"/>
      <w:marBottom w:val="0"/>
      <w:divBdr>
        <w:top w:val="none" w:sz="0" w:space="0" w:color="auto"/>
        <w:left w:val="none" w:sz="0" w:space="0" w:color="auto"/>
        <w:bottom w:val="none" w:sz="0" w:space="0" w:color="auto"/>
        <w:right w:val="none" w:sz="0" w:space="0" w:color="auto"/>
      </w:divBdr>
    </w:div>
    <w:div w:id="1972517156">
      <w:bodyDiv w:val="1"/>
      <w:marLeft w:val="0"/>
      <w:marRight w:val="0"/>
      <w:marTop w:val="0"/>
      <w:marBottom w:val="0"/>
      <w:divBdr>
        <w:top w:val="none" w:sz="0" w:space="0" w:color="auto"/>
        <w:left w:val="none" w:sz="0" w:space="0" w:color="auto"/>
        <w:bottom w:val="none" w:sz="0" w:space="0" w:color="auto"/>
        <w:right w:val="none" w:sz="0" w:space="0" w:color="auto"/>
      </w:divBdr>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2037581400">
      <w:bodyDiv w:val="1"/>
      <w:marLeft w:val="0"/>
      <w:marRight w:val="0"/>
      <w:marTop w:val="0"/>
      <w:marBottom w:val="0"/>
      <w:divBdr>
        <w:top w:val="none" w:sz="0" w:space="0" w:color="auto"/>
        <w:left w:val="none" w:sz="0" w:space="0" w:color="auto"/>
        <w:bottom w:val="none" w:sz="0" w:space="0" w:color="auto"/>
        <w:right w:val="none" w:sz="0" w:space="0" w:color="auto"/>
      </w:divBdr>
    </w:div>
    <w:div w:id="2038461115">
      <w:bodyDiv w:val="1"/>
      <w:marLeft w:val="0"/>
      <w:marRight w:val="0"/>
      <w:marTop w:val="0"/>
      <w:marBottom w:val="0"/>
      <w:divBdr>
        <w:top w:val="none" w:sz="0" w:space="0" w:color="auto"/>
        <w:left w:val="none" w:sz="0" w:space="0" w:color="auto"/>
        <w:bottom w:val="none" w:sz="0" w:space="0" w:color="auto"/>
        <w:right w:val="none" w:sz="0" w:space="0" w:color="auto"/>
      </w:divBdr>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094085457">
      <w:bodyDiv w:val="1"/>
      <w:marLeft w:val="0"/>
      <w:marRight w:val="0"/>
      <w:marTop w:val="0"/>
      <w:marBottom w:val="0"/>
      <w:divBdr>
        <w:top w:val="none" w:sz="0" w:space="0" w:color="auto"/>
        <w:left w:val="none" w:sz="0" w:space="0" w:color="auto"/>
        <w:bottom w:val="none" w:sz="0" w:space="0" w:color="auto"/>
        <w:right w:val="none" w:sz="0" w:space="0" w:color="auto"/>
      </w:divBdr>
    </w:div>
    <w:div w:id="2117479549">
      <w:bodyDiv w:val="1"/>
      <w:marLeft w:val="0"/>
      <w:marRight w:val="0"/>
      <w:marTop w:val="0"/>
      <w:marBottom w:val="0"/>
      <w:divBdr>
        <w:top w:val="none" w:sz="0" w:space="0" w:color="auto"/>
        <w:left w:val="none" w:sz="0" w:space="0" w:color="auto"/>
        <w:bottom w:val="none" w:sz="0" w:space="0" w:color="auto"/>
        <w:right w:val="none" w:sz="0" w:space="0" w:color="auto"/>
      </w:divBdr>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GBC11111111111111111111111111111"/>
        <w:category>
          <w:name w:val="常规"/>
          <w:gallery w:val="placeholder"/>
        </w:category>
        <w:types>
          <w:type w:val="bbPlcHdr"/>
        </w:types>
        <w:behaviors>
          <w:behavior w:val="content"/>
        </w:behaviors>
        <w:guid w:val="{B960C2E6-8E28-4930-AAD5-AA36AFD6E523}"/>
      </w:docPartPr>
      <w:docPartBody>
        <w:p w:rsidR="000958C3" w:rsidRDefault="00E50E43">
          <w:r w:rsidRPr="001852D3">
            <w:rPr>
              <w:rStyle w:val="a3"/>
              <w:rFonts w:hint="eastAsia"/>
            </w:rPr>
            <w:t xml:space="preserve">　</w:t>
          </w:r>
        </w:p>
      </w:docPartBody>
    </w:docPart>
    <w:docPart>
      <w:docPartPr>
        <w:name w:val="GBC22222222222222222222222222222"/>
        <w:category>
          <w:name w:val="常规"/>
          <w:gallery w:val="placeholder"/>
        </w:category>
        <w:types>
          <w:type w:val="bbPlcHdr"/>
        </w:types>
        <w:behaviors>
          <w:behavior w:val="content"/>
        </w:behaviors>
        <w:guid w:val="{162653D1-13D4-4E4F-AD1C-ABDFC36FDDF6}"/>
      </w:docPartPr>
      <w:docPartBody>
        <w:p w:rsidR="007675EA" w:rsidRDefault="007675EA">
          <w:r w:rsidRPr="002524F4">
            <w:rPr>
              <w:rStyle w:val="a3"/>
              <w:rFonts w:hint="eastAsia"/>
              <w:color w:val="333399"/>
              <w:u w:val="single"/>
            </w:rPr>
            <w:t xml:space="preserve">　　　</w:t>
          </w:r>
        </w:p>
      </w:docPartBody>
    </w:docPart>
    <w:docPart>
      <w:docPartPr>
        <w:name w:val="A38F939CE7F8427F84BF451D0EFB76C5"/>
        <w:category>
          <w:name w:val="常规"/>
          <w:gallery w:val="placeholder"/>
        </w:category>
        <w:types>
          <w:type w:val="bbPlcHdr"/>
        </w:types>
        <w:behaviors>
          <w:behavior w:val="content"/>
        </w:behaviors>
        <w:guid w:val="{FBB01DA7-6B21-47B3-90E2-52130AA62D81}"/>
      </w:docPartPr>
      <w:docPartBody>
        <w:p w:rsidR="00597BB9" w:rsidRDefault="00597BB9" w:rsidP="00597BB9">
          <w:pPr>
            <w:pStyle w:val="A38F939CE7F8427F84BF451D0EFB76C5"/>
          </w:pPr>
          <w:r w:rsidRPr="002524F4">
            <w:rPr>
              <w:rStyle w:val="a3"/>
              <w:rFonts w:hint="eastAsia"/>
              <w:color w:val="333399"/>
              <w:u w:val="single"/>
            </w:rPr>
            <w:t xml:space="preserve">　　　</w:t>
          </w:r>
        </w:p>
      </w:docPartBody>
    </w:docPart>
    <w:docPart>
      <w:docPartPr>
        <w:name w:val="82C424284BFC4146A1023AD760A0FFE2"/>
        <w:category>
          <w:name w:val="常规"/>
          <w:gallery w:val="placeholder"/>
        </w:category>
        <w:types>
          <w:type w:val="bbPlcHdr"/>
        </w:types>
        <w:behaviors>
          <w:behavior w:val="content"/>
        </w:behaviors>
        <w:guid w:val="{8079A4FD-B24B-44D1-93F1-1070DDED7F20}"/>
      </w:docPartPr>
      <w:docPartBody>
        <w:p w:rsidR="006A6F16" w:rsidRDefault="00597BB9" w:rsidP="00597BB9">
          <w:pPr>
            <w:pStyle w:val="82C424284BFC4146A1023AD760A0FFE2"/>
          </w:pPr>
          <w:r w:rsidRPr="002524F4">
            <w:rPr>
              <w:rStyle w:val="a3"/>
              <w:rFonts w:hint="eastAsia"/>
              <w:color w:val="333399"/>
              <w:u w:val="single"/>
            </w:rPr>
            <w:t xml:space="preserve">　　　</w:t>
          </w:r>
        </w:p>
      </w:docPartBody>
    </w:docPart>
    <w:docPart>
      <w:docPartPr>
        <w:name w:val="AA44819B98464254BAA2BD2B98C39753"/>
        <w:category>
          <w:name w:val="常规"/>
          <w:gallery w:val="placeholder"/>
        </w:category>
        <w:types>
          <w:type w:val="bbPlcHdr"/>
        </w:types>
        <w:behaviors>
          <w:behavior w:val="content"/>
        </w:behaviors>
        <w:guid w:val="{0DC7CA45-F179-4718-AEC6-A131566C293F}"/>
      </w:docPartPr>
      <w:docPartBody>
        <w:p w:rsidR="006A6F16" w:rsidRDefault="00597BB9" w:rsidP="00597BB9">
          <w:pPr>
            <w:pStyle w:val="AA44819B98464254BAA2BD2B98C39753"/>
          </w:pPr>
          <w:r w:rsidRPr="001852D3">
            <w:rPr>
              <w:rStyle w:val="a3"/>
              <w:rFonts w:hint="eastAsia"/>
            </w:rPr>
            <w:t xml:space="preserve">　</w:t>
          </w:r>
        </w:p>
      </w:docPartBody>
    </w:docPart>
    <w:docPart>
      <w:docPartPr>
        <w:name w:val="E0968711854349FAAA56721B4AB34713"/>
        <w:category>
          <w:name w:val="常规"/>
          <w:gallery w:val="placeholder"/>
        </w:category>
        <w:types>
          <w:type w:val="bbPlcHdr"/>
        </w:types>
        <w:behaviors>
          <w:behavior w:val="content"/>
        </w:behaviors>
        <w:guid w:val="{BC2F78F2-AE6C-4194-8CD5-0E4834A0180D}"/>
      </w:docPartPr>
      <w:docPartBody>
        <w:p w:rsidR="006A6F16" w:rsidRDefault="00597BB9" w:rsidP="00597BB9">
          <w:pPr>
            <w:pStyle w:val="E0968711854349FAAA56721B4AB34713"/>
          </w:pPr>
          <w:r w:rsidRPr="001852D3">
            <w:rPr>
              <w:rStyle w:val="a3"/>
              <w:rFonts w:hint="eastAsia"/>
            </w:rPr>
            <w:t xml:space="preserve">　</w:t>
          </w:r>
        </w:p>
      </w:docPartBody>
    </w:docPart>
    <w:docPart>
      <w:docPartPr>
        <w:name w:val="E5905C209EBA4DF893BACF01E6927F3C"/>
        <w:category>
          <w:name w:val="常规"/>
          <w:gallery w:val="placeholder"/>
        </w:category>
        <w:types>
          <w:type w:val="bbPlcHdr"/>
        </w:types>
        <w:behaviors>
          <w:behavior w:val="content"/>
        </w:behaviors>
        <w:guid w:val="{86F51EE0-1DAF-424C-B104-FD03314C3403}"/>
      </w:docPartPr>
      <w:docPartBody>
        <w:p w:rsidR="001D0D2D" w:rsidRDefault="00731170" w:rsidP="00731170">
          <w:pPr>
            <w:pStyle w:val="E5905C209EBA4DF893BACF01E6927F3C"/>
          </w:pPr>
          <w:r w:rsidRPr="002524F4">
            <w:rPr>
              <w:rStyle w:val="a3"/>
              <w:rFonts w:hint="eastAsia"/>
              <w:color w:val="333399"/>
              <w:u w:val="single"/>
            </w:rPr>
            <w:t xml:space="preserve">　　　</w:t>
          </w:r>
        </w:p>
      </w:docPartBody>
    </w:docPart>
    <w:docPart>
      <w:docPartPr>
        <w:name w:val="6466ED1FD76A4FA78AE03A73CB33221B"/>
        <w:category>
          <w:name w:val="常规"/>
          <w:gallery w:val="placeholder"/>
        </w:category>
        <w:types>
          <w:type w:val="bbPlcHdr"/>
        </w:types>
        <w:behaviors>
          <w:behavior w:val="content"/>
        </w:behaviors>
        <w:guid w:val="{65D63BF8-0DDE-49EB-A24B-A096EF3E2EA0}"/>
      </w:docPartPr>
      <w:docPartBody>
        <w:p w:rsidR="00C64AB1" w:rsidRDefault="004C12E3" w:rsidP="004C12E3">
          <w:pPr>
            <w:pStyle w:val="6466ED1FD76A4FA78AE03A73CB33221B"/>
          </w:pPr>
          <w:r w:rsidRPr="001852D3">
            <w:rPr>
              <w:rStyle w:val="a3"/>
              <w:rFonts w:hint="eastAsia"/>
            </w:rPr>
            <w:t xml:space="preserve">　</w:t>
          </w:r>
        </w:p>
      </w:docPartBody>
    </w:docPart>
    <w:docPart>
      <w:docPartPr>
        <w:name w:val="69DF9299F27B4F29ACDF66984F2615B0"/>
        <w:category>
          <w:name w:val="常规"/>
          <w:gallery w:val="placeholder"/>
        </w:category>
        <w:types>
          <w:type w:val="bbPlcHdr"/>
        </w:types>
        <w:behaviors>
          <w:behavior w:val="content"/>
        </w:behaviors>
        <w:guid w:val="{A7757BA7-5FB5-4CF3-85D0-CD5305E3DD83}"/>
      </w:docPartPr>
      <w:docPartBody>
        <w:p w:rsidR="005120B1" w:rsidRDefault="00D2704A" w:rsidP="00D2704A">
          <w:pPr>
            <w:pStyle w:val="69DF9299F27B4F29ACDF66984F2615B0"/>
          </w:pPr>
          <w:r w:rsidRPr="001852D3">
            <w:rPr>
              <w:rStyle w:val="a3"/>
              <w:rFonts w:hint="eastAsia"/>
            </w:rPr>
            <w:t xml:space="preserve">　</w:t>
          </w:r>
        </w:p>
      </w:docPartBody>
    </w:docPart>
    <w:docPart>
      <w:docPartPr>
        <w:name w:val="F1E0045D8F9848909A72C7A2B38DB1E8"/>
        <w:category>
          <w:name w:val="常规"/>
          <w:gallery w:val="placeholder"/>
        </w:category>
        <w:types>
          <w:type w:val="bbPlcHdr"/>
        </w:types>
        <w:behaviors>
          <w:behavior w:val="content"/>
        </w:behaviors>
        <w:guid w:val="{968A757D-DB4B-4EF4-B94A-E797B2BA0089}"/>
      </w:docPartPr>
      <w:docPartBody>
        <w:p w:rsidR="00227C0F" w:rsidRDefault="00C91B7F" w:rsidP="00C91B7F">
          <w:pPr>
            <w:pStyle w:val="F1E0045D8F9848909A72C7A2B38DB1E8"/>
          </w:pPr>
          <w:r w:rsidRPr="001852D3">
            <w:rPr>
              <w:rStyle w:val="a3"/>
              <w:rFonts w:hint="eastAsia"/>
            </w:rPr>
            <w:t xml:space="preserve">　</w:t>
          </w:r>
        </w:p>
      </w:docPartBody>
    </w:docPart>
    <w:docPart>
      <w:docPartPr>
        <w:name w:val="DefaultPlaceholder_-1854013440"/>
        <w:category>
          <w:name w:val="常规"/>
          <w:gallery w:val="placeholder"/>
        </w:category>
        <w:types>
          <w:type w:val="bbPlcHdr"/>
        </w:types>
        <w:behaviors>
          <w:behavior w:val="content"/>
        </w:behaviors>
        <w:guid w:val="{C629CA7C-FB20-4CE4-9640-F11822D03EB1}"/>
      </w:docPartPr>
      <w:docPartBody>
        <w:p w:rsidR="00E201AB" w:rsidRDefault="00227C0F">
          <w:r w:rsidRPr="00053DDB">
            <w:rPr>
              <w:rStyle w:val="a3"/>
              <w:rFonts w:hint="eastAsia"/>
            </w:rPr>
            <w:t>单击或点击此处输入文字。</w:t>
          </w:r>
        </w:p>
      </w:docPartBody>
    </w:docPart>
    <w:docPart>
      <w:docPartPr>
        <w:name w:val="4382D6A4720A42C7BB43B446FD01FB1E"/>
        <w:category>
          <w:name w:val="常规"/>
          <w:gallery w:val="placeholder"/>
        </w:category>
        <w:types>
          <w:type w:val="bbPlcHdr"/>
        </w:types>
        <w:behaviors>
          <w:behavior w:val="content"/>
        </w:behaviors>
        <w:guid w:val="{513E7338-E961-4125-A181-CCB9F306011A}"/>
      </w:docPartPr>
      <w:docPartBody>
        <w:p w:rsidR="00E201AB" w:rsidRDefault="00227C0F" w:rsidP="00227C0F">
          <w:pPr>
            <w:pStyle w:val="4382D6A4720A42C7BB43B446FD01FB1E"/>
          </w:pPr>
          <w:r w:rsidRPr="002524F4">
            <w:rPr>
              <w:rStyle w:val="a3"/>
              <w:rFonts w:hint="eastAsia"/>
              <w:color w:val="333399"/>
              <w:u w:val="single"/>
            </w:rPr>
            <w:t xml:space="preserve">　　　</w:t>
          </w:r>
        </w:p>
      </w:docPartBody>
    </w:docPart>
    <w:docPart>
      <w:docPartPr>
        <w:name w:val="6C21C5C31B5D491EA559B52E13A38CEA"/>
        <w:category>
          <w:name w:val="常规"/>
          <w:gallery w:val="placeholder"/>
        </w:category>
        <w:types>
          <w:type w:val="bbPlcHdr"/>
        </w:types>
        <w:behaviors>
          <w:behavior w:val="content"/>
        </w:behaviors>
        <w:guid w:val="{C0F2A1D2-336E-4D64-8667-EF0B82FD7D9E}"/>
      </w:docPartPr>
      <w:docPartBody>
        <w:p w:rsidR="00E201AB" w:rsidRDefault="00227C0F" w:rsidP="00227C0F">
          <w:pPr>
            <w:pStyle w:val="6C21C5C31B5D491EA559B52E13A38CEA"/>
          </w:pPr>
          <w:r w:rsidRPr="001852D3">
            <w:rPr>
              <w:rStyle w:val="a3"/>
              <w:rFonts w:hint="eastAsia"/>
            </w:rPr>
            <w:t xml:space="preserve">　</w:t>
          </w:r>
        </w:p>
      </w:docPartBody>
    </w:docPart>
    <w:docPart>
      <w:docPartPr>
        <w:name w:val="BEE5AF6F78164D4B9BD29E8B1CCF250D"/>
        <w:category>
          <w:name w:val="常规"/>
          <w:gallery w:val="placeholder"/>
        </w:category>
        <w:types>
          <w:type w:val="bbPlcHdr"/>
        </w:types>
        <w:behaviors>
          <w:behavior w:val="content"/>
        </w:behaviors>
        <w:guid w:val="{36B1B97E-5FAC-460C-9199-7C6B4C5A0729}"/>
      </w:docPartPr>
      <w:docPartBody>
        <w:p w:rsidR="00E201AB" w:rsidRDefault="00E201AB" w:rsidP="00E201AB">
          <w:pPr>
            <w:pStyle w:val="BEE5AF6F78164D4B9BD29E8B1CCF250D"/>
          </w:pPr>
          <w:r w:rsidRPr="001852D3">
            <w:rPr>
              <w:rStyle w:val="a3"/>
              <w:rFonts w:hint="eastAsia"/>
            </w:rPr>
            <w:t xml:space="preserve">　</w:t>
          </w:r>
        </w:p>
      </w:docPartBody>
    </w:docPart>
    <w:docPart>
      <w:docPartPr>
        <w:name w:val="FFEF76BCF69A4E80AC34884FD222810E"/>
        <w:category>
          <w:name w:val="常规"/>
          <w:gallery w:val="placeholder"/>
        </w:category>
        <w:types>
          <w:type w:val="bbPlcHdr"/>
        </w:types>
        <w:behaviors>
          <w:behavior w:val="content"/>
        </w:behaviors>
        <w:guid w:val="{A32F4E5B-E991-4A34-AAC9-6AE1C74FC72D}"/>
      </w:docPartPr>
      <w:docPartBody>
        <w:p w:rsidR="004800BA" w:rsidRDefault="001D4E5E" w:rsidP="001D4E5E">
          <w:pPr>
            <w:pStyle w:val="FFEF76BCF69A4E80AC34884FD222810E"/>
          </w:pPr>
          <w:r w:rsidRPr="001852D3">
            <w:rPr>
              <w:rStyle w:val="a3"/>
              <w:rFonts w:hint="eastAsia"/>
            </w:rPr>
            <w:t xml:space="preserve">　</w:t>
          </w:r>
        </w:p>
      </w:docPartBody>
    </w:docPart>
    <w:docPart>
      <w:docPartPr>
        <w:name w:val="E1EE4D1B5F2A4CA59B843FE248B34F24"/>
        <w:category>
          <w:name w:val="常规"/>
          <w:gallery w:val="placeholder"/>
        </w:category>
        <w:types>
          <w:type w:val="bbPlcHdr"/>
        </w:types>
        <w:behaviors>
          <w:behavior w:val="content"/>
        </w:behaviors>
        <w:guid w:val="{CFE6555D-92A5-4093-9355-81F9C706AA9A}"/>
      </w:docPartPr>
      <w:docPartBody>
        <w:p w:rsidR="003F227A" w:rsidRDefault="003F227A" w:rsidP="003F227A">
          <w:pPr>
            <w:pStyle w:val="E1EE4D1B5F2A4CA59B843FE248B34F24"/>
          </w:pPr>
          <w:r w:rsidRPr="002524F4">
            <w:rPr>
              <w:rStyle w:val="a3"/>
              <w:rFonts w:hint="eastAsia"/>
              <w:color w:val="333399"/>
              <w:u w:val="single"/>
            </w:rPr>
            <w:t xml:space="preserve">　　　</w:t>
          </w:r>
        </w:p>
      </w:docPartBody>
    </w:docPart>
    <w:docPart>
      <w:docPartPr>
        <w:name w:val="3E44D4DA077740B6BB933C4ED14883AC"/>
        <w:category>
          <w:name w:val="常规"/>
          <w:gallery w:val="placeholder"/>
        </w:category>
        <w:types>
          <w:type w:val="bbPlcHdr"/>
        </w:types>
        <w:behaviors>
          <w:behavior w:val="content"/>
        </w:behaviors>
        <w:guid w:val="{D783D7C9-A236-4640-854A-46AE1ED390B5}"/>
      </w:docPartPr>
      <w:docPartBody>
        <w:p w:rsidR="001D2BCE" w:rsidRDefault="00723553" w:rsidP="00723553">
          <w:pPr>
            <w:pStyle w:val="3E44D4DA077740B6BB933C4ED14883AC"/>
          </w:pPr>
          <w:r w:rsidRPr="002524F4">
            <w:rPr>
              <w:rStyle w:val="a3"/>
              <w:rFonts w:hint="eastAsia"/>
              <w:color w:val="333399"/>
              <w:u w:val="single"/>
            </w:rPr>
            <w:t xml:space="preserve">　　　</w:t>
          </w:r>
        </w:p>
      </w:docPartBody>
    </w:docPart>
    <w:docPart>
      <w:docPartPr>
        <w:name w:val="E9D92AB775B34514AEF3E8F3A873E37E"/>
        <w:category>
          <w:name w:val="常规"/>
          <w:gallery w:val="placeholder"/>
        </w:category>
        <w:types>
          <w:type w:val="bbPlcHdr"/>
        </w:types>
        <w:behaviors>
          <w:behavior w:val="content"/>
        </w:behaviors>
        <w:guid w:val="{C3DE8612-BA5F-4EB7-8135-13F415F7CEF5}"/>
      </w:docPartPr>
      <w:docPartBody>
        <w:p w:rsidR="000D5213" w:rsidRDefault="0043200C" w:rsidP="0043200C">
          <w:pPr>
            <w:pStyle w:val="E9D92AB775B34514AEF3E8F3A873E37E"/>
          </w:pPr>
          <w:r w:rsidRPr="001852D3">
            <w:rPr>
              <w:rStyle w:val="a3"/>
              <w:rFonts w:hint="eastAsia"/>
            </w:rPr>
            <w:t xml:space="preserve">　</w:t>
          </w:r>
        </w:p>
      </w:docPartBody>
    </w:docPart>
    <w:docPart>
      <w:docPartPr>
        <w:name w:val="5C9F695FA7D04046B3544BC4BCAD6EC8"/>
        <w:category>
          <w:name w:val="常规"/>
          <w:gallery w:val="placeholder"/>
        </w:category>
        <w:types>
          <w:type w:val="bbPlcHdr"/>
        </w:types>
        <w:behaviors>
          <w:behavior w:val="content"/>
        </w:behaviors>
        <w:guid w:val="{4FEB4AD5-487E-47E7-8E1D-F57B8AF60279}"/>
      </w:docPartPr>
      <w:docPartBody>
        <w:p w:rsidR="00F538DB" w:rsidRDefault="00F538DB" w:rsidP="00F538DB">
          <w:pPr>
            <w:pStyle w:val="5C9F695FA7D04046B3544BC4BCAD6EC8"/>
          </w:pPr>
          <w:r w:rsidRPr="002524F4">
            <w:rPr>
              <w:rStyle w:val="a3"/>
              <w:rFonts w:hint="eastAsia"/>
              <w:color w:val="333399"/>
              <w:u w:val="single"/>
            </w:rPr>
            <w:t xml:space="preserve">　　　</w:t>
          </w:r>
        </w:p>
      </w:docPartBody>
    </w:docPart>
    <w:docPart>
      <w:docPartPr>
        <w:name w:val="263B06B9EB8D469983698D7D29F69B81"/>
        <w:category>
          <w:name w:val="常规"/>
          <w:gallery w:val="placeholder"/>
        </w:category>
        <w:types>
          <w:type w:val="bbPlcHdr"/>
        </w:types>
        <w:behaviors>
          <w:behavior w:val="content"/>
        </w:behaviors>
        <w:guid w:val="{2D8D38EE-B289-4CBF-B823-87D31C208C33}"/>
      </w:docPartPr>
      <w:docPartBody>
        <w:p w:rsidR="00F538DB" w:rsidRDefault="00F538DB" w:rsidP="00F538DB">
          <w:pPr>
            <w:pStyle w:val="263B06B9EB8D469983698D7D29F69B81"/>
          </w:pPr>
          <w:r w:rsidRPr="001852D3">
            <w:rPr>
              <w:rStyle w:val="a3"/>
              <w:rFonts w:hint="eastAsia"/>
            </w:rPr>
            <w:t xml:space="preserve">　</w:t>
          </w:r>
        </w:p>
      </w:docPartBody>
    </w:docPart>
    <w:docPart>
      <w:docPartPr>
        <w:name w:val="26C21D037B464793B8CD8D08A3B36958"/>
        <w:category>
          <w:name w:val="常规"/>
          <w:gallery w:val="placeholder"/>
        </w:category>
        <w:types>
          <w:type w:val="bbPlcHdr"/>
        </w:types>
        <w:behaviors>
          <w:behavior w:val="content"/>
        </w:behaviors>
        <w:guid w:val="{2E3FD902-3D80-4051-971B-14CAB6FFDB10}"/>
      </w:docPartPr>
      <w:docPartBody>
        <w:p w:rsidR="00F538DB" w:rsidRDefault="00F538DB" w:rsidP="00F538DB">
          <w:pPr>
            <w:pStyle w:val="26C21D037B464793B8CD8D08A3B36958"/>
          </w:pPr>
          <w:r w:rsidRPr="002524F4">
            <w:rPr>
              <w:rStyle w:val="a3"/>
              <w:rFonts w:hint="eastAsia"/>
              <w:color w:val="333399"/>
              <w:u w:val="single"/>
            </w:rPr>
            <w:t xml:space="preserve">　　　</w:t>
          </w:r>
        </w:p>
      </w:docPartBody>
    </w:docPart>
    <w:docPart>
      <w:docPartPr>
        <w:name w:val="5838918C40D34FBA9096A1CE8D6A603D"/>
        <w:category>
          <w:name w:val="常规"/>
          <w:gallery w:val="placeholder"/>
        </w:category>
        <w:types>
          <w:type w:val="bbPlcHdr"/>
        </w:types>
        <w:behaviors>
          <w:behavior w:val="content"/>
        </w:behaviors>
        <w:guid w:val="{F38D9CF9-EF80-4998-8428-01AB3AC13489}"/>
      </w:docPartPr>
      <w:docPartBody>
        <w:p w:rsidR="00396493" w:rsidRDefault="00F538DB" w:rsidP="00F538DB">
          <w:pPr>
            <w:pStyle w:val="5838918C40D34FBA9096A1CE8D6A603D"/>
          </w:pPr>
          <w:r w:rsidRPr="001852D3">
            <w:rPr>
              <w:rStyle w:val="a3"/>
              <w:rFonts w:hint="eastAsia"/>
            </w:rPr>
            <w:t xml:space="preserve">　</w:t>
          </w:r>
        </w:p>
      </w:docPartBody>
    </w:docPart>
    <w:docPart>
      <w:docPartPr>
        <w:name w:val="F391667BB92146CDBEDEEE696932881B"/>
        <w:category>
          <w:name w:val="常规"/>
          <w:gallery w:val="placeholder"/>
        </w:category>
        <w:types>
          <w:type w:val="bbPlcHdr"/>
        </w:types>
        <w:behaviors>
          <w:behavior w:val="content"/>
        </w:behaviors>
        <w:guid w:val="{CAD4DC0C-E0F6-49DE-B834-ECF6975ABD1D}"/>
      </w:docPartPr>
      <w:docPartBody>
        <w:p w:rsidR="00C96D52" w:rsidRDefault="00C96D52" w:rsidP="00C96D52">
          <w:pPr>
            <w:pStyle w:val="F391667BB92146CDBEDEEE696932881B"/>
          </w:pPr>
          <w:r w:rsidRPr="002524F4">
            <w:rPr>
              <w:rStyle w:val="a3"/>
              <w:rFonts w:hint="eastAsia"/>
              <w:color w:val="333399"/>
              <w:u w:val="single"/>
            </w:rPr>
            <w:t xml:space="preserve">　　　</w:t>
          </w:r>
        </w:p>
      </w:docPartBody>
    </w:docPart>
    <w:docPart>
      <w:docPartPr>
        <w:name w:val="E93D5167F1914F50B9F77AEBA4EF6468"/>
        <w:category>
          <w:name w:val="常规"/>
          <w:gallery w:val="placeholder"/>
        </w:category>
        <w:types>
          <w:type w:val="bbPlcHdr"/>
        </w:types>
        <w:behaviors>
          <w:behavior w:val="content"/>
        </w:behaviors>
        <w:guid w:val="{9B15F63A-FE57-4C1B-A7D4-925FF0DFA761}"/>
      </w:docPartPr>
      <w:docPartBody>
        <w:p w:rsidR="00C96D52" w:rsidRDefault="00C96D52" w:rsidP="00C96D52">
          <w:pPr>
            <w:pStyle w:val="E93D5167F1914F50B9F77AEBA4EF6468"/>
          </w:pPr>
          <w:r w:rsidRPr="001852D3">
            <w:rPr>
              <w:rStyle w:val="a3"/>
              <w:rFonts w:hint="eastAsia"/>
            </w:rPr>
            <w:t xml:space="preserve">　</w:t>
          </w:r>
        </w:p>
      </w:docPartBody>
    </w:docPart>
    <w:docPart>
      <w:docPartPr>
        <w:name w:val="EBF95B1227894D189ED34055DAF87890"/>
        <w:category>
          <w:name w:val="常规"/>
          <w:gallery w:val="placeholder"/>
        </w:category>
        <w:types>
          <w:type w:val="bbPlcHdr"/>
        </w:types>
        <w:behaviors>
          <w:behavior w:val="content"/>
        </w:behaviors>
        <w:guid w:val="{799B83DD-3A54-467B-883F-3A5E37019931}"/>
      </w:docPartPr>
      <w:docPartBody>
        <w:p w:rsidR="00613AB9" w:rsidRDefault="00613AB9" w:rsidP="00613AB9">
          <w:pPr>
            <w:pStyle w:val="EBF95B1227894D189ED34055DAF87890"/>
          </w:pPr>
          <w:r w:rsidRPr="002524F4">
            <w:rPr>
              <w:rStyle w:val="a3"/>
              <w:rFonts w:hint="eastAsia"/>
              <w:color w:val="333399"/>
              <w:u w:val="single"/>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MingLiU">
    <w:altName w:val="細明體"/>
    <w:panose1 w:val="02010609000101010101"/>
    <w:charset w:val="88"/>
    <w:family w:val="modern"/>
    <w:pitch w:val="fixed"/>
    <w:sig w:usb0="A00002FF" w:usb1="28CFFCFA" w:usb2="00000016" w:usb3="00000000" w:csb0="00100001" w:csb1="00000000"/>
  </w:font>
  <w:font w:name="宋体-方正超大字符集">
    <w:charset w:val="86"/>
    <w:family w:val="script"/>
    <w:pitch w:val="fixed"/>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E50E43"/>
    <w:rsid w:val="0000161E"/>
    <w:rsid w:val="00002689"/>
    <w:rsid w:val="0000578B"/>
    <w:rsid w:val="00006B48"/>
    <w:rsid w:val="00011C18"/>
    <w:rsid w:val="00011E75"/>
    <w:rsid w:val="00012653"/>
    <w:rsid w:val="00012A0F"/>
    <w:rsid w:val="00013B71"/>
    <w:rsid w:val="00020357"/>
    <w:rsid w:val="00020D37"/>
    <w:rsid w:val="00021BC4"/>
    <w:rsid w:val="000234EA"/>
    <w:rsid w:val="0002361B"/>
    <w:rsid w:val="000236A0"/>
    <w:rsid w:val="0002605F"/>
    <w:rsid w:val="00026D57"/>
    <w:rsid w:val="00032504"/>
    <w:rsid w:val="00032ECB"/>
    <w:rsid w:val="000336AB"/>
    <w:rsid w:val="000353DC"/>
    <w:rsid w:val="0003608F"/>
    <w:rsid w:val="000373E9"/>
    <w:rsid w:val="000403D5"/>
    <w:rsid w:val="00044179"/>
    <w:rsid w:val="00044916"/>
    <w:rsid w:val="00045444"/>
    <w:rsid w:val="000554CD"/>
    <w:rsid w:val="00055561"/>
    <w:rsid w:val="0005740A"/>
    <w:rsid w:val="00061F65"/>
    <w:rsid w:val="000633F4"/>
    <w:rsid w:val="00063874"/>
    <w:rsid w:val="00063CC6"/>
    <w:rsid w:val="00065B5A"/>
    <w:rsid w:val="000667C2"/>
    <w:rsid w:val="00067DCC"/>
    <w:rsid w:val="00070ACB"/>
    <w:rsid w:val="00070BF0"/>
    <w:rsid w:val="00076D57"/>
    <w:rsid w:val="0007717F"/>
    <w:rsid w:val="00077530"/>
    <w:rsid w:val="00081D6E"/>
    <w:rsid w:val="00082580"/>
    <w:rsid w:val="00083A50"/>
    <w:rsid w:val="00083B00"/>
    <w:rsid w:val="00083C63"/>
    <w:rsid w:val="00084E8F"/>
    <w:rsid w:val="00087193"/>
    <w:rsid w:val="0009029E"/>
    <w:rsid w:val="00090A6F"/>
    <w:rsid w:val="00091B0E"/>
    <w:rsid w:val="00093BE5"/>
    <w:rsid w:val="000958C3"/>
    <w:rsid w:val="00096466"/>
    <w:rsid w:val="000A31F9"/>
    <w:rsid w:val="000B3464"/>
    <w:rsid w:val="000B5761"/>
    <w:rsid w:val="000B5C82"/>
    <w:rsid w:val="000C5E8F"/>
    <w:rsid w:val="000C5F2F"/>
    <w:rsid w:val="000C656D"/>
    <w:rsid w:val="000D0276"/>
    <w:rsid w:val="000D5213"/>
    <w:rsid w:val="000E3728"/>
    <w:rsid w:val="000E5940"/>
    <w:rsid w:val="000E7B4D"/>
    <w:rsid w:val="000F147D"/>
    <w:rsid w:val="000F3B57"/>
    <w:rsid w:val="000F41A3"/>
    <w:rsid w:val="000F440D"/>
    <w:rsid w:val="00101C5F"/>
    <w:rsid w:val="00101EE7"/>
    <w:rsid w:val="00103415"/>
    <w:rsid w:val="00105693"/>
    <w:rsid w:val="00105B3C"/>
    <w:rsid w:val="00110AE1"/>
    <w:rsid w:val="001130FF"/>
    <w:rsid w:val="00114109"/>
    <w:rsid w:val="00114DC0"/>
    <w:rsid w:val="00114EE3"/>
    <w:rsid w:val="001166F9"/>
    <w:rsid w:val="00117118"/>
    <w:rsid w:val="0011797F"/>
    <w:rsid w:val="001179BE"/>
    <w:rsid w:val="00122BB8"/>
    <w:rsid w:val="001268B8"/>
    <w:rsid w:val="001279CA"/>
    <w:rsid w:val="00130143"/>
    <w:rsid w:val="00133739"/>
    <w:rsid w:val="00140824"/>
    <w:rsid w:val="0014233D"/>
    <w:rsid w:val="00142487"/>
    <w:rsid w:val="001425FD"/>
    <w:rsid w:val="00142BBE"/>
    <w:rsid w:val="00143BEA"/>
    <w:rsid w:val="00144665"/>
    <w:rsid w:val="001474CD"/>
    <w:rsid w:val="00151EE9"/>
    <w:rsid w:val="00152DC3"/>
    <w:rsid w:val="00152F0F"/>
    <w:rsid w:val="0015578A"/>
    <w:rsid w:val="00156761"/>
    <w:rsid w:val="00157128"/>
    <w:rsid w:val="00167914"/>
    <w:rsid w:val="001705F9"/>
    <w:rsid w:val="001812E2"/>
    <w:rsid w:val="00183634"/>
    <w:rsid w:val="00184093"/>
    <w:rsid w:val="0018427A"/>
    <w:rsid w:val="00186ABA"/>
    <w:rsid w:val="00190BFB"/>
    <w:rsid w:val="00191DA7"/>
    <w:rsid w:val="00191ED7"/>
    <w:rsid w:val="00192056"/>
    <w:rsid w:val="001940A4"/>
    <w:rsid w:val="001967D6"/>
    <w:rsid w:val="001A2D80"/>
    <w:rsid w:val="001A3E54"/>
    <w:rsid w:val="001A4390"/>
    <w:rsid w:val="001A4BF1"/>
    <w:rsid w:val="001A57A7"/>
    <w:rsid w:val="001A5C0B"/>
    <w:rsid w:val="001A79B6"/>
    <w:rsid w:val="001B1217"/>
    <w:rsid w:val="001B2FBB"/>
    <w:rsid w:val="001B3DB4"/>
    <w:rsid w:val="001B64A1"/>
    <w:rsid w:val="001B7441"/>
    <w:rsid w:val="001B7C3F"/>
    <w:rsid w:val="001C18E2"/>
    <w:rsid w:val="001C2312"/>
    <w:rsid w:val="001D0D2D"/>
    <w:rsid w:val="001D2BCE"/>
    <w:rsid w:val="001D4E5E"/>
    <w:rsid w:val="001E2A87"/>
    <w:rsid w:val="001E7AC2"/>
    <w:rsid w:val="001F792E"/>
    <w:rsid w:val="001F7AEB"/>
    <w:rsid w:val="00200DEE"/>
    <w:rsid w:val="00202BF5"/>
    <w:rsid w:val="00203E4B"/>
    <w:rsid w:val="002040F5"/>
    <w:rsid w:val="002118F6"/>
    <w:rsid w:val="00214B7F"/>
    <w:rsid w:val="0021569D"/>
    <w:rsid w:val="002157E5"/>
    <w:rsid w:val="00217DCA"/>
    <w:rsid w:val="002203AB"/>
    <w:rsid w:val="00222C1F"/>
    <w:rsid w:val="00227C0F"/>
    <w:rsid w:val="002318AF"/>
    <w:rsid w:val="00235A03"/>
    <w:rsid w:val="00235CE8"/>
    <w:rsid w:val="00237E37"/>
    <w:rsid w:val="00237F24"/>
    <w:rsid w:val="00240BD1"/>
    <w:rsid w:val="00240E59"/>
    <w:rsid w:val="00241AA2"/>
    <w:rsid w:val="002424E5"/>
    <w:rsid w:val="00242BA5"/>
    <w:rsid w:val="00245E71"/>
    <w:rsid w:val="00246DDB"/>
    <w:rsid w:val="00247189"/>
    <w:rsid w:val="0025162E"/>
    <w:rsid w:val="00252183"/>
    <w:rsid w:val="0025254C"/>
    <w:rsid w:val="00255510"/>
    <w:rsid w:val="00267758"/>
    <w:rsid w:val="0027269C"/>
    <w:rsid w:val="00277A8A"/>
    <w:rsid w:val="002806A5"/>
    <w:rsid w:val="00282709"/>
    <w:rsid w:val="00291691"/>
    <w:rsid w:val="002939B4"/>
    <w:rsid w:val="00295B2D"/>
    <w:rsid w:val="00296AA3"/>
    <w:rsid w:val="002A01D2"/>
    <w:rsid w:val="002A133C"/>
    <w:rsid w:val="002A1B3D"/>
    <w:rsid w:val="002A3D43"/>
    <w:rsid w:val="002B0D5C"/>
    <w:rsid w:val="002B2E1D"/>
    <w:rsid w:val="002B7219"/>
    <w:rsid w:val="002C052B"/>
    <w:rsid w:val="002C1384"/>
    <w:rsid w:val="002C1FA8"/>
    <w:rsid w:val="002C4EDD"/>
    <w:rsid w:val="002C60AD"/>
    <w:rsid w:val="002C74B0"/>
    <w:rsid w:val="002C7F45"/>
    <w:rsid w:val="002D1456"/>
    <w:rsid w:val="002D36DA"/>
    <w:rsid w:val="002D5902"/>
    <w:rsid w:val="002D6EFF"/>
    <w:rsid w:val="002D76CF"/>
    <w:rsid w:val="002E52A1"/>
    <w:rsid w:val="002F2BCD"/>
    <w:rsid w:val="0030473E"/>
    <w:rsid w:val="003052E1"/>
    <w:rsid w:val="003076E0"/>
    <w:rsid w:val="003107C9"/>
    <w:rsid w:val="00311067"/>
    <w:rsid w:val="003145A5"/>
    <w:rsid w:val="003161CE"/>
    <w:rsid w:val="00321D6D"/>
    <w:rsid w:val="0032625F"/>
    <w:rsid w:val="003262C7"/>
    <w:rsid w:val="00326ECB"/>
    <w:rsid w:val="003333AF"/>
    <w:rsid w:val="00335DE6"/>
    <w:rsid w:val="00342477"/>
    <w:rsid w:val="00343D04"/>
    <w:rsid w:val="00344D91"/>
    <w:rsid w:val="00353AE0"/>
    <w:rsid w:val="00354557"/>
    <w:rsid w:val="00356A92"/>
    <w:rsid w:val="00357D61"/>
    <w:rsid w:val="0037315D"/>
    <w:rsid w:val="0037433F"/>
    <w:rsid w:val="00374D45"/>
    <w:rsid w:val="00377616"/>
    <w:rsid w:val="00381BC0"/>
    <w:rsid w:val="00382F4F"/>
    <w:rsid w:val="00386864"/>
    <w:rsid w:val="0039064D"/>
    <w:rsid w:val="003908FA"/>
    <w:rsid w:val="0039324D"/>
    <w:rsid w:val="003962B1"/>
    <w:rsid w:val="00396493"/>
    <w:rsid w:val="003967B0"/>
    <w:rsid w:val="003A2DE3"/>
    <w:rsid w:val="003A4370"/>
    <w:rsid w:val="003A57BE"/>
    <w:rsid w:val="003A5ECC"/>
    <w:rsid w:val="003A61DE"/>
    <w:rsid w:val="003A738C"/>
    <w:rsid w:val="003B2E3D"/>
    <w:rsid w:val="003B4A6B"/>
    <w:rsid w:val="003B4D40"/>
    <w:rsid w:val="003C0C12"/>
    <w:rsid w:val="003C1982"/>
    <w:rsid w:val="003C1EE8"/>
    <w:rsid w:val="003C4DCE"/>
    <w:rsid w:val="003C56E7"/>
    <w:rsid w:val="003D0725"/>
    <w:rsid w:val="003D3FEC"/>
    <w:rsid w:val="003D5E62"/>
    <w:rsid w:val="003D7851"/>
    <w:rsid w:val="003D7CE7"/>
    <w:rsid w:val="003E169C"/>
    <w:rsid w:val="003E29F3"/>
    <w:rsid w:val="003E3750"/>
    <w:rsid w:val="003E7481"/>
    <w:rsid w:val="003F10C8"/>
    <w:rsid w:val="003F1975"/>
    <w:rsid w:val="003F227A"/>
    <w:rsid w:val="003F3961"/>
    <w:rsid w:val="003F3A03"/>
    <w:rsid w:val="003F61B4"/>
    <w:rsid w:val="003F61C2"/>
    <w:rsid w:val="0040287B"/>
    <w:rsid w:val="0040538E"/>
    <w:rsid w:val="004073B3"/>
    <w:rsid w:val="00410006"/>
    <w:rsid w:val="004140D9"/>
    <w:rsid w:val="00414CEC"/>
    <w:rsid w:val="004158B7"/>
    <w:rsid w:val="00415A60"/>
    <w:rsid w:val="004223B5"/>
    <w:rsid w:val="00424A0C"/>
    <w:rsid w:val="00425135"/>
    <w:rsid w:val="0043080F"/>
    <w:rsid w:val="0043200C"/>
    <w:rsid w:val="00432A1F"/>
    <w:rsid w:val="004336EF"/>
    <w:rsid w:val="0043488A"/>
    <w:rsid w:val="00440F19"/>
    <w:rsid w:val="0044105B"/>
    <w:rsid w:val="00442316"/>
    <w:rsid w:val="00447E3B"/>
    <w:rsid w:val="004506BE"/>
    <w:rsid w:val="004533D1"/>
    <w:rsid w:val="00455499"/>
    <w:rsid w:val="00455B73"/>
    <w:rsid w:val="00455C0C"/>
    <w:rsid w:val="004565C9"/>
    <w:rsid w:val="00457596"/>
    <w:rsid w:val="00462366"/>
    <w:rsid w:val="004629D5"/>
    <w:rsid w:val="004644DE"/>
    <w:rsid w:val="00470F61"/>
    <w:rsid w:val="004714A5"/>
    <w:rsid w:val="004714D5"/>
    <w:rsid w:val="004719CF"/>
    <w:rsid w:val="0047340A"/>
    <w:rsid w:val="004800BA"/>
    <w:rsid w:val="004808A5"/>
    <w:rsid w:val="00480CD1"/>
    <w:rsid w:val="0048763F"/>
    <w:rsid w:val="00491337"/>
    <w:rsid w:val="0049223A"/>
    <w:rsid w:val="00492496"/>
    <w:rsid w:val="00492A9F"/>
    <w:rsid w:val="00493BA3"/>
    <w:rsid w:val="00494271"/>
    <w:rsid w:val="004942F5"/>
    <w:rsid w:val="0049694C"/>
    <w:rsid w:val="004A20D7"/>
    <w:rsid w:val="004B03EC"/>
    <w:rsid w:val="004B06BA"/>
    <w:rsid w:val="004B2FA4"/>
    <w:rsid w:val="004B3148"/>
    <w:rsid w:val="004B44B8"/>
    <w:rsid w:val="004B4CFF"/>
    <w:rsid w:val="004B54E9"/>
    <w:rsid w:val="004B59D6"/>
    <w:rsid w:val="004B6A92"/>
    <w:rsid w:val="004C0CD8"/>
    <w:rsid w:val="004C12E3"/>
    <w:rsid w:val="004C13E9"/>
    <w:rsid w:val="004C43A4"/>
    <w:rsid w:val="004C559B"/>
    <w:rsid w:val="004C7259"/>
    <w:rsid w:val="004C76CE"/>
    <w:rsid w:val="004D13C4"/>
    <w:rsid w:val="004D1741"/>
    <w:rsid w:val="004D20EE"/>
    <w:rsid w:val="004D2666"/>
    <w:rsid w:val="004D6AE4"/>
    <w:rsid w:val="004D7489"/>
    <w:rsid w:val="004D7840"/>
    <w:rsid w:val="004E04F7"/>
    <w:rsid w:val="004E19E9"/>
    <w:rsid w:val="004E3AF1"/>
    <w:rsid w:val="004E603D"/>
    <w:rsid w:val="004E7288"/>
    <w:rsid w:val="004F009B"/>
    <w:rsid w:val="004F0706"/>
    <w:rsid w:val="004F207A"/>
    <w:rsid w:val="004F2904"/>
    <w:rsid w:val="005027B4"/>
    <w:rsid w:val="00504773"/>
    <w:rsid w:val="00506383"/>
    <w:rsid w:val="005068BC"/>
    <w:rsid w:val="005120B1"/>
    <w:rsid w:val="00516D73"/>
    <w:rsid w:val="00520485"/>
    <w:rsid w:val="00522F6B"/>
    <w:rsid w:val="00523110"/>
    <w:rsid w:val="00524D62"/>
    <w:rsid w:val="00525721"/>
    <w:rsid w:val="00526766"/>
    <w:rsid w:val="005268E0"/>
    <w:rsid w:val="00527DB2"/>
    <w:rsid w:val="005313CD"/>
    <w:rsid w:val="00533650"/>
    <w:rsid w:val="00533F72"/>
    <w:rsid w:val="00536A57"/>
    <w:rsid w:val="00537979"/>
    <w:rsid w:val="005422E3"/>
    <w:rsid w:val="00542A0E"/>
    <w:rsid w:val="0054615B"/>
    <w:rsid w:val="005472A5"/>
    <w:rsid w:val="00550C78"/>
    <w:rsid w:val="00550DEC"/>
    <w:rsid w:val="00551DFD"/>
    <w:rsid w:val="00552952"/>
    <w:rsid w:val="00556A44"/>
    <w:rsid w:val="0055746E"/>
    <w:rsid w:val="00557FD2"/>
    <w:rsid w:val="00560A87"/>
    <w:rsid w:val="00562685"/>
    <w:rsid w:val="00564CD3"/>
    <w:rsid w:val="0056541D"/>
    <w:rsid w:val="005654AC"/>
    <w:rsid w:val="00565DA6"/>
    <w:rsid w:val="005670C9"/>
    <w:rsid w:val="00567462"/>
    <w:rsid w:val="00567D9E"/>
    <w:rsid w:val="00567F61"/>
    <w:rsid w:val="00571479"/>
    <w:rsid w:val="005752A8"/>
    <w:rsid w:val="00575D97"/>
    <w:rsid w:val="005779AE"/>
    <w:rsid w:val="005821C1"/>
    <w:rsid w:val="005822A8"/>
    <w:rsid w:val="00582E12"/>
    <w:rsid w:val="005856BC"/>
    <w:rsid w:val="0058588D"/>
    <w:rsid w:val="0059545D"/>
    <w:rsid w:val="00597BB9"/>
    <w:rsid w:val="005A2E6F"/>
    <w:rsid w:val="005A6D6C"/>
    <w:rsid w:val="005A6ED8"/>
    <w:rsid w:val="005B3CB6"/>
    <w:rsid w:val="005B5439"/>
    <w:rsid w:val="005C028E"/>
    <w:rsid w:val="005C1A50"/>
    <w:rsid w:val="005C2D90"/>
    <w:rsid w:val="005C4B09"/>
    <w:rsid w:val="005C5DA2"/>
    <w:rsid w:val="005D276A"/>
    <w:rsid w:val="005D64A0"/>
    <w:rsid w:val="005D6837"/>
    <w:rsid w:val="005D6C4C"/>
    <w:rsid w:val="005E2D1E"/>
    <w:rsid w:val="005E3B88"/>
    <w:rsid w:val="005E4703"/>
    <w:rsid w:val="005E61F9"/>
    <w:rsid w:val="005E7CE3"/>
    <w:rsid w:val="005F0430"/>
    <w:rsid w:val="005F1E03"/>
    <w:rsid w:val="005F3BA5"/>
    <w:rsid w:val="005F589F"/>
    <w:rsid w:val="006008DC"/>
    <w:rsid w:val="00601FDC"/>
    <w:rsid w:val="0060301F"/>
    <w:rsid w:val="006126EC"/>
    <w:rsid w:val="00613AB9"/>
    <w:rsid w:val="00617EEA"/>
    <w:rsid w:val="0062450B"/>
    <w:rsid w:val="00624AF3"/>
    <w:rsid w:val="00626F2D"/>
    <w:rsid w:val="00626F33"/>
    <w:rsid w:val="006271F1"/>
    <w:rsid w:val="00627316"/>
    <w:rsid w:val="00632279"/>
    <w:rsid w:val="00640DE1"/>
    <w:rsid w:val="0064157C"/>
    <w:rsid w:val="006416B8"/>
    <w:rsid w:val="00643FA8"/>
    <w:rsid w:val="0064473F"/>
    <w:rsid w:val="00653689"/>
    <w:rsid w:val="00653904"/>
    <w:rsid w:val="006542B0"/>
    <w:rsid w:val="00654ABD"/>
    <w:rsid w:val="00654C50"/>
    <w:rsid w:val="0065606C"/>
    <w:rsid w:val="00664E7A"/>
    <w:rsid w:val="006679B5"/>
    <w:rsid w:val="00667ED8"/>
    <w:rsid w:val="0067183E"/>
    <w:rsid w:val="00671DB1"/>
    <w:rsid w:val="00672440"/>
    <w:rsid w:val="00674B33"/>
    <w:rsid w:val="0067564A"/>
    <w:rsid w:val="00675684"/>
    <w:rsid w:val="00676119"/>
    <w:rsid w:val="0068287F"/>
    <w:rsid w:val="0069152F"/>
    <w:rsid w:val="00696D0B"/>
    <w:rsid w:val="006A05A7"/>
    <w:rsid w:val="006A1026"/>
    <w:rsid w:val="006A20D1"/>
    <w:rsid w:val="006A2991"/>
    <w:rsid w:val="006A6E01"/>
    <w:rsid w:val="006A6F16"/>
    <w:rsid w:val="006A7E2E"/>
    <w:rsid w:val="006B1968"/>
    <w:rsid w:val="006B25FE"/>
    <w:rsid w:val="006B2F1C"/>
    <w:rsid w:val="006B428F"/>
    <w:rsid w:val="006B5B2D"/>
    <w:rsid w:val="006B5E23"/>
    <w:rsid w:val="006B626E"/>
    <w:rsid w:val="006B6DE4"/>
    <w:rsid w:val="006C425B"/>
    <w:rsid w:val="006C4F96"/>
    <w:rsid w:val="006C5037"/>
    <w:rsid w:val="006C59BD"/>
    <w:rsid w:val="006C7EDF"/>
    <w:rsid w:val="006D0081"/>
    <w:rsid w:val="006D0624"/>
    <w:rsid w:val="006D0751"/>
    <w:rsid w:val="006D2E8E"/>
    <w:rsid w:val="006D61A3"/>
    <w:rsid w:val="006D7649"/>
    <w:rsid w:val="006E5795"/>
    <w:rsid w:val="006E6B2E"/>
    <w:rsid w:val="006E7EC9"/>
    <w:rsid w:val="006F0727"/>
    <w:rsid w:val="006F09DE"/>
    <w:rsid w:val="006F13FA"/>
    <w:rsid w:val="006F39D6"/>
    <w:rsid w:val="006F4FF6"/>
    <w:rsid w:val="00703C57"/>
    <w:rsid w:val="00705C49"/>
    <w:rsid w:val="00710A14"/>
    <w:rsid w:val="00711502"/>
    <w:rsid w:val="0071327A"/>
    <w:rsid w:val="00723553"/>
    <w:rsid w:val="00731170"/>
    <w:rsid w:val="00731723"/>
    <w:rsid w:val="00732BBD"/>
    <w:rsid w:val="00734566"/>
    <w:rsid w:val="007355F3"/>
    <w:rsid w:val="00740175"/>
    <w:rsid w:val="00742B8F"/>
    <w:rsid w:val="007433AC"/>
    <w:rsid w:val="00743AEF"/>
    <w:rsid w:val="00743F53"/>
    <w:rsid w:val="0074600A"/>
    <w:rsid w:val="007534BD"/>
    <w:rsid w:val="00753789"/>
    <w:rsid w:val="0075396A"/>
    <w:rsid w:val="007571F3"/>
    <w:rsid w:val="00764A07"/>
    <w:rsid w:val="00765FF6"/>
    <w:rsid w:val="007675EA"/>
    <w:rsid w:val="007729B5"/>
    <w:rsid w:val="00772AF0"/>
    <w:rsid w:val="0077360B"/>
    <w:rsid w:val="0077366C"/>
    <w:rsid w:val="007737FB"/>
    <w:rsid w:val="00774E2F"/>
    <w:rsid w:val="00775421"/>
    <w:rsid w:val="00776D56"/>
    <w:rsid w:val="00780475"/>
    <w:rsid w:val="00781FC8"/>
    <w:rsid w:val="00782C46"/>
    <w:rsid w:val="00784D7A"/>
    <w:rsid w:val="0078610D"/>
    <w:rsid w:val="00790D3F"/>
    <w:rsid w:val="007945B6"/>
    <w:rsid w:val="007A0A96"/>
    <w:rsid w:val="007A51FF"/>
    <w:rsid w:val="007B135F"/>
    <w:rsid w:val="007B1B69"/>
    <w:rsid w:val="007B4384"/>
    <w:rsid w:val="007B5F58"/>
    <w:rsid w:val="007B68E0"/>
    <w:rsid w:val="007C0882"/>
    <w:rsid w:val="007C1043"/>
    <w:rsid w:val="007C4BE1"/>
    <w:rsid w:val="007C57B7"/>
    <w:rsid w:val="007D419F"/>
    <w:rsid w:val="007D6F29"/>
    <w:rsid w:val="007D735A"/>
    <w:rsid w:val="007E3A9C"/>
    <w:rsid w:val="007F0584"/>
    <w:rsid w:val="007F11B8"/>
    <w:rsid w:val="007F3ADC"/>
    <w:rsid w:val="007F3EEA"/>
    <w:rsid w:val="007F776F"/>
    <w:rsid w:val="00801A03"/>
    <w:rsid w:val="00802845"/>
    <w:rsid w:val="00802CB7"/>
    <w:rsid w:val="00803299"/>
    <w:rsid w:val="00804F6D"/>
    <w:rsid w:val="00805068"/>
    <w:rsid w:val="00811EE1"/>
    <w:rsid w:val="008165EA"/>
    <w:rsid w:val="00816907"/>
    <w:rsid w:val="00816CF0"/>
    <w:rsid w:val="0081790A"/>
    <w:rsid w:val="008201BA"/>
    <w:rsid w:val="008213CC"/>
    <w:rsid w:val="00821CF3"/>
    <w:rsid w:val="00822E96"/>
    <w:rsid w:val="00825D16"/>
    <w:rsid w:val="0083006E"/>
    <w:rsid w:val="00830A74"/>
    <w:rsid w:val="00830B12"/>
    <w:rsid w:val="008339EF"/>
    <w:rsid w:val="008348F3"/>
    <w:rsid w:val="00837A15"/>
    <w:rsid w:val="008417BB"/>
    <w:rsid w:val="00842FF3"/>
    <w:rsid w:val="0084344B"/>
    <w:rsid w:val="00846C3B"/>
    <w:rsid w:val="00850ABF"/>
    <w:rsid w:val="00850C34"/>
    <w:rsid w:val="00850F04"/>
    <w:rsid w:val="008543E1"/>
    <w:rsid w:val="008549B6"/>
    <w:rsid w:val="0086068B"/>
    <w:rsid w:val="008620B4"/>
    <w:rsid w:val="008657EC"/>
    <w:rsid w:val="00865910"/>
    <w:rsid w:val="00870DBE"/>
    <w:rsid w:val="00873818"/>
    <w:rsid w:val="00873F7F"/>
    <w:rsid w:val="00874239"/>
    <w:rsid w:val="00877A6D"/>
    <w:rsid w:val="00882006"/>
    <w:rsid w:val="008829E0"/>
    <w:rsid w:val="00884EC1"/>
    <w:rsid w:val="00886903"/>
    <w:rsid w:val="00890F00"/>
    <w:rsid w:val="0089283A"/>
    <w:rsid w:val="0089696C"/>
    <w:rsid w:val="00897A46"/>
    <w:rsid w:val="008A12DA"/>
    <w:rsid w:val="008A5DB2"/>
    <w:rsid w:val="008B1A1A"/>
    <w:rsid w:val="008B1FF2"/>
    <w:rsid w:val="008B231B"/>
    <w:rsid w:val="008B4BFE"/>
    <w:rsid w:val="008C255E"/>
    <w:rsid w:val="008D2A5D"/>
    <w:rsid w:val="008D4AF2"/>
    <w:rsid w:val="008D4FC7"/>
    <w:rsid w:val="008E0178"/>
    <w:rsid w:val="008E0994"/>
    <w:rsid w:val="008E42C5"/>
    <w:rsid w:val="008F0B49"/>
    <w:rsid w:val="008F16CD"/>
    <w:rsid w:val="008F3574"/>
    <w:rsid w:val="00900F89"/>
    <w:rsid w:val="009036E4"/>
    <w:rsid w:val="00904A3E"/>
    <w:rsid w:val="00904B95"/>
    <w:rsid w:val="009078EE"/>
    <w:rsid w:val="00907A65"/>
    <w:rsid w:val="00910497"/>
    <w:rsid w:val="00913362"/>
    <w:rsid w:val="00914708"/>
    <w:rsid w:val="00916593"/>
    <w:rsid w:val="00916DBA"/>
    <w:rsid w:val="009171A9"/>
    <w:rsid w:val="009215B7"/>
    <w:rsid w:val="009242EA"/>
    <w:rsid w:val="00924381"/>
    <w:rsid w:val="0093045C"/>
    <w:rsid w:val="009314BE"/>
    <w:rsid w:val="00932281"/>
    <w:rsid w:val="00934D2C"/>
    <w:rsid w:val="00935407"/>
    <w:rsid w:val="009402A5"/>
    <w:rsid w:val="00941728"/>
    <w:rsid w:val="009422D4"/>
    <w:rsid w:val="009457DA"/>
    <w:rsid w:val="00945BA6"/>
    <w:rsid w:val="0095041C"/>
    <w:rsid w:val="009535A7"/>
    <w:rsid w:val="00953A46"/>
    <w:rsid w:val="0095529C"/>
    <w:rsid w:val="0096111A"/>
    <w:rsid w:val="00967C28"/>
    <w:rsid w:val="00974A56"/>
    <w:rsid w:val="00976D34"/>
    <w:rsid w:val="009779C3"/>
    <w:rsid w:val="009862E9"/>
    <w:rsid w:val="00986A33"/>
    <w:rsid w:val="00991F79"/>
    <w:rsid w:val="00996906"/>
    <w:rsid w:val="00997435"/>
    <w:rsid w:val="009A0658"/>
    <w:rsid w:val="009A550B"/>
    <w:rsid w:val="009A58AB"/>
    <w:rsid w:val="009A5B98"/>
    <w:rsid w:val="009A67AF"/>
    <w:rsid w:val="009A6C69"/>
    <w:rsid w:val="009A6CCE"/>
    <w:rsid w:val="009B293C"/>
    <w:rsid w:val="009B3A1B"/>
    <w:rsid w:val="009B472A"/>
    <w:rsid w:val="009C0F45"/>
    <w:rsid w:val="009C64EC"/>
    <w:rsid w:val="009D05C1"/>
    <w:rsid w:val="009D15B0"/>
    <w:rsid w:val="009D3FDD"/>
    <w:rsid w:val="009D5FC6"/>
    <w:rsid w:val="009D6F4A"/>
    <w:rsid w:val="009E0E59"/>
    <w:rsid w:val="009E0F04"/>
    <w:rsid w:val="009E3402"/>
    <w:rsid w:val="009E3473"/>
    <w:rsid w:val="009E4101"/>
    <w:rsid w:val="009E49FB"/>
    <w:rsid w:val="009E5DAB"/>
    <w:rsid w:val="009E7A58"/>
    <w:rsid w:val="009F0978"/>
    <w:rsid w:val="009F367F"/>
    <w:rsid w:val="009F5450"/>
    <w:rsid w:val="009F7825"/>
    <w:rsid w:val="00A01D8D"/>
    <w:rsid w:val="00A02BBC"/>
    <w:rsid w:val="00A02ED9"/>
    <w:rsid w:val="00A044B5"/>
    <w:rsid w:val="00A04892"/>
    <w:rsid w:val="00A07390"/>
    <w:rsid w:val="00A0798E"/>
    <w:rsid w:val="00A10C4B"/>
    <w:rsid w:val="00A13335"/>
    <w:rsid w:val="00A15BB3"/>
    <w:rsid w:val="00A24107"/>
    <w:rsid w:val="00A24A10"/>
    <w:rsid w:val="00A262B8"/>
    <w:rsid w:val="00A270B9"/>
    <w:rsid w:val="00A27792"/>
    <w:rsid w:val="00A30A00"/>
    <w:rsid w:val="00A32526"/>
    <w:rsid w:val="00A41AB8"/>
    <w:rsid w:val="00A423C8"/>
    <w:rsid w:val="00A42B52"/>
    <w:rsid w:val="00A47EF5"/>
    <w:rsid w:val="00A52BC4"/>
    <w:rsid w:val="00A5314E"/>
    <w:rsid w:val="00A653BB"/>
    <w:rsid w:val="00A65574"/>
    <w:rsid w:val="00A66D0C"/>
    <w:rsid w:val="00A677A4"/>
    <w:rsid w:val="00A70728"/>
    <w:rsid w:val="00A74CBD"/>
    <w:rsid w:val="00A75E22"/>
    <w:rsid w:val="00A76206"/>
    <w:rsid w:val="00A80295"/>
    <w:rsid w:val="00A80F35"/>
    <w:rsid w:val="00A83E9B"/>
    <w:rsid w:val="00A85F54"/>
    <w:rsid w:val="00A93989"/>
    <w:rsid w:val="00AA1E6B"/>
    <w:rsid w:val="00AA2031"/>
    <w:rsid w:val="00AA2955"/>
    <w:rsid w:val="00AB3FDB"/>
    <w:rsid w:val="00AB431D"/>
    <w:rsid w:val="00AB49FC"/>
    <w:rsid w:val="00AB4F81"/>
    <w:rsid w:val="00AB6971"/>
    <w:rsid w:val="00AB7DCC"/>
    <w:rsid w:val="00AC3C53"/>
    <w:rsid w:val="00AC5F56"/>
    <w:rsid w:val="00AC65C2"/>
    <w:rsid w:val="00AC7870"/>
    <w:rsid w:val="00AD4359"/>
    <w:rsid w:val="00AD55AC"/>
    <w:rsid w:val="00AD5C47"/>
    <w:rsid w:val="00AF2026"/>
    <w:rsid w:val="00AF3746"/>
    <w:rsid w:val="00AF4E8C"/>
    <w:rsid w:val="00AF514D"/>
    <w:rsid w:val="00AF7CDE"/>
    <w:rsid w:val="00B00E2E"/>
    <w:rsid w:val="00B018BE"/>
    <w:rsid w:val="00B02D4F"/>
    <w:rsid w:val="00B0308E"/>
    <w:rsid w:val="00B0508A"/>
    <w:rsid w:val="00B0575F"/>
    <w:rsid w:val="00B10F3E"/>
    <w:rsid w:val="00B116E7"/>
    <w:rsid w:val="00B235ED"/>
    <w:rsid w:val="00B24F71"/>
    <w:rsid w:val="00B251A2"/>
    <w:rsid w:val="00B25A6D"/>
    <w:rsid w:val="00B2605C"/>
    <w:rsid w:val="00B269B5"/>
    <w:rsid w:val="00B30435"/>
    <w:rsid w:val="00B314C5"/>
    <w:rsid w:val="00B331CF"/>
    <w:rsid w:val="00B355DA"/>
    <w:rsid w:val="00B35B8F"/>
    <w:rsid w:val="00B421E5"/>
    <w:rsid w:val="00B426EF"/>
    <w:rsid w:val="00B4425C"/>
    <w:rsid w:val="00B474C7"/>
    <w:rsid w:val="00B541D3"/>
    <w:rsid w:val="00B54516"/>
    <w:rsid w:val="00B546EF"/>
    <w:rsid w:val="00B57015"/>
    <w:rsid w:val="00B627D0"/>
    <w:rsid w:val="00B64A90"/>
    <w:rsid w:val="00B657AC"/>
    <w:rsid w:val="00B703D9"/>
    <w:rsid w:val="00B705F1"/>
    <w:rsid w:val="00B71517"/>
    <w:rsid w:val="00B719E8"/>
    <w:rsid w:val="00B72BF0"/>
    <w:rsid w:val="00B730A9"/>
    <w:rsid w:val="00B75B52"/>
    <w:rsid w:val="00B80537"/>
    <w:rsid w:val="00B81785"/>
    <w:rsid w:val="00B84645"/>
    <w:rsid w:val="00B85C61"/>
    <w:rsid w:val="00B917D9"/>
    <w:rsid w:val="00BA3F3A"/>
    <w:rsid w:val="00BA45EF"/>
    <w:rsid w:val="00BB2FE6"/>
    <w:rsid w:val="00BB45EF"/>
    <w:rsid w:val="00BB64AF"/>
    <w:rsid w:val="00BC285D"/>
    <w:rsid w:val="00BC37E4"/>
    <w:rsid w:val="00BC44A2"/>
    <w:rsid w:val="00BC6582"/>
    <w:rsid w:val="00BD038E"/>
    <w:rsid w:val="00BD1760"/>
    <w:rsid w:val="00BD272F"/>
    <w:rsid w:val="00BD489C"/>
    <w:rsid w:val="00BE0542"/>
    <w:rsid w:val="00BE5E61"/>
    <w:rsid w:val="00BF278F"/>
    <w:rsid w:val="00BF5D15"/>
    <w:rsid w:val="00BF7208"/>
    <w:rsid w:val="00C003A4"/>
    <w:rsid w:val="00C054C7"/>
    <w:rsid w:val="00C0767E"/>
    <w:rsid w:val="00C078B0"/>
    <w:rsid w:val="00C100A3"/>
    <w:rsid w:val="00C15DC5"/>
    <w:rsid w:val="00C16784"/>
    <w:rsid w:val="00C16A2C"/>
    <w:rsid w:val="00C20CD3"/>
    <w:rsid w:val="00C23EC6"/>
    <w:rsid w:val="00C2637F"/>
    <w:rsid w:val="00C307D6"/>
    <w:rsid w:val="00C30B4B"/>
    <w:rsid w:val="00C31799"/>
    <w:rsid w:val="00C3290A"/>
    <w:rsid w:val="00C360F6"/>
    <w:rsid w:val="00C36EEA"/>
    <w:rsid w:val="00C371D5"/>
    <w:rsid w:val="00C41406"/>
    <w:rsid w:val="00C43F05"/>
    <w:rsid w:val="00C4655D"/>
    <w:rsid w:val="00C508E4"/>
    <w:rsid w:val="00C52C02"/>
    <w:rsid w:val="00C5468E"/>
    <w:rsid w:val="00C54E4F"/>
    <w:rsid w:val="00C62834"/>
    <w:rsid w:val="00C63576"/>
    <w:rsid w:val="00C63E3B"/>
    <w:rsid w:val="00C64AB1"/>
    <w:rsid w:val="00C64B4D"/>
    <w:rsid w:val="00C66ECB"/>
    <w:rsid w:val="00C70C3B"/>
    <w:rsid w:val="00C746FA"/>
    <w:rsid w:val="00C82982"/>
    <w:rsid w:val="00C84339"/>
    <w:rsid w:val="00C846DB"/>
    <w:rsid w:val="00C87130"/>
    <w:rsid w:val="00C91B7F"/>
    <w:rsid w:val="00C953FB"/>
    <w:rsid w:val="00C96D52"/>
    <w:rsid w:val="00CA08D7"/>
    <w:rsid w:val="00CA2544"/>
    <w:rsid w:val="00CA2B37"/>
    <w:rsid w:val="00CA3008"/>
    <w:rsid w:val="00CB0F42"/>
    <w:rsid w:val="00CB3D3E"/>
    <w:rsid w:val="00CB55CF"/>
    <w:rsid w:val="00CB5A04"/>
    <w:rsid w:val="00CC2B0C"/>
    <w:rsid w:val="00CC4686"/>
    <w:rsid w:val="00CC71B4"/>
    <w:rsid w:val="00CD1620"/>
    <w:rsid w:val="00CD4579"/>
    <w:rsid w:val="00CD477E"/>
    <w:rsid w:val="00CD6909"/>
    <w:rsid w:val="00CE1EAA"/>
    <w:rsid w:val="00CE47FD"/>
    <w:rsid w:val="00CE4FC8"/>
    <w:rsid w:val="00CE6A40"/>
    <w:rsid w:val="00CE6C5B"/>
    <w:rsid w:val="00CF1B4D"/>
    <w:rsid w:val="00CF5F3A"/>
    <w:rsid w:val="00CF611B"/>
    <w:rsid w:val="00D00B95"/>
    <w:rsid w:val="00D0472A"/>
    <w:rsid w:val="00D05F1A"/>
    <w:rsid w:val="00D13563"/>
    <w:rsid w:val="00D13C3D"/>
    <w:rsid w:val="00D162E1"/>
    <w:rsid w:val="00D21CC4"/>
    <w:rsid w:val="00D22C1E"/>
    <w:rsid w:val="00D2704A"/>
    <w:rsid w:val="00D27E80"/>
    <w:rsid w:val="00D31746"/>
    <w:rsid w:val="00D3384A"/>
    <w:rsid w:val="00D346A9"/>
    <w:rsid w:val="00D40381"/>
    <w:rsid w:val="00D40765"/>
    <w:rsid w:val="00D411E6"/>
    <w:rsid w:val="00D44153"/>
    <w:rsid w:val="00D443FF"/>
    <w:rsid w:val="00D50349"/>
    <w:rsid w:val="00D514A5"/>
    <w:rsid w:val="00D52307"/>
    <w:rsid w:val="00D57F45"/>
    <w:rsid w:val="00D658E6"/>
    <w:rsid w:val="00D7004A"/>
    <w:rsid w:val="00D70462"/>
    <w:rsid w:val="00D70807"/>
    <w:rsid w:val="00D725E7"/>
    <w:rsid w:val="00D727F0"/>
    <w:rsid w:val="00D749EE"/>
    <w:rsid w:val="00D75C3F"/>
    <w:rsid w:val="00D76320"/>
    <w:rsid w:val="00D77C39"/>
    <w:rsid w:val="00D8279D"/>
    <w:rsid w:val="00D82E7A"/>
    <w:rsid w:val="00D8504A"/>
    <w:rsid w:val="00D866A6"/>
    <w:rsid w:val="00D87B29"/>
    <w:rsid w:val="00D94305"/>
    <w:rsid w:val="00D945A7"/>
    <w:rsid w:val="00D9649C"/>
    <w:rsid w:val="00DA16AE"/>
    <w:rsid w:val="00DA6EC7"/>
    <w:rsid w:val="00DA7FA8"/>
    <w:rsid w:val="00DB03AF"/>
    <w:rsid w:val="00DB1758"/>
    <w:rsid w:val="00DB2FA7"/>
    <w:rsid w:val="00DC08D5"/>
    <w:rsid w:val="00DC1EB4"/>
    <w:rsid w:val="00DC1FE5"/>
    <w:rsid w:val="00DC5A17"/>
    <w:rsid w:val="00DC5C9E"/>
    <w:rsid w:val="00DC639E"/>
    <w:rsid w:val="00DC7D1C"/>
    <w:rsid w:val="00DD0A6A"/>
    <w:rsid w:val="00DD4CDB"/>
    <w:rsid w:val="00DD6A35"/>
    <w:rsid w:val="00DD6B4B"/>
    <w:rsid w:val="00DD7C5E"/>
    <w:rsid w:val="00DE68D4"/>
    <w:rsid w:val="00DE7148"/>
    <w:rsid w:val="00DF0AA5"/>
    <w:rsid w:val="00DF64A7"/>
    <w:rsid w:val="00DF66C0"/>
    <w:rsid w:val="00DF6DB3"/>
    <w:rsid w:val="00E00C93"/>
    <w:rsid w:val="00E02EBD"/>
    <w:rsid w:val="00E0415A"/>
    <w:rsid w:val="00E11CBA"/>
    <w:rsid w:val="00E13938"/>
    <w:rsid w:val="00E1473C"/>
    <w:rsid w:val="00E1571C"/>
    <w:rsid w:val="00E15924"/>
    <w:rsid w:val="00E17B79"/>
    <w:rsid w:val="00E201AB"/>
    <w:rsid w:val="00E22970"/>
    <w:rsid w:val="00E22EA6"/>
    <w:rsid w:val="00E270F2"/>
    <w:rsid w:val="00E30789"/>
    <w:rsid w:val="00E3194B"/>
    <w:rsid w:val="00E33C52"/>
    <w:rsid w:val="00E33FB8"/>
    <w:rsid w:val="00E35136"/>
    <w:rsid w:val="00E40A31"/>
    <w:rsid w:val="00E42BE9"/>
    <w:rsid w:val="00E45DB2"/>
    <w:rsid w:val="00E45E79"/>
    <w:rsid w:val="00E46646"/>
    <w:rsid w:val="00E50E43"/>
    <w:rsid w:val="00E525E5"/>
    <w:rsid w:val="00E533AE"/>
    <w:rsid w:val="00E6177C"/>
    <w:rsid w:val="00E66266"/>
    <w:rsid w:val="00E71DB2"/>
    <w:rsid w:val="00E750F1"/>
    <w:rsid w:val="00E80852"/>
    <w:rsid w:val="00E8205A"/>
    <w:rsid w:val="00E822A7"/>
    <w:rsid w:val="00E83CCB"/>
    <w:rsid w:val="00E86DC6"/>
    <w:rsid w:val="00E87146"/>
    <w:rsid w:val="00E91C6E"/>
    <w:rsid w:val="00E928CB"/>
    <w:rsid w:val="00E93248"/>
    <w:rsid w:val="00EA3505"/>
    <w:rsid w:val="00EA35D2"/>
    <w:rsid w:val="00EA3BC2"/>
    <w:rsid w:val="00EA4000"/>
    <w:rsid w:val="00EA4F59"/>
    <w:rsid w:val="00EB0325"/>
    <w:rsid w:val="00EB03F0"/>
    <w:rsid w:val="00EB07C7"/>
    <w:rsid w:val="00EB271D"/>
    <w:rsid w:val="00EC3141"/>
    <w:rsid w:val="00EC7F75"/>
    <w:rsid w:val="00ED1BD9"/>
    <w:rsid w:val="00ED27AA"/>
    <w:rsid w:val="00ED4CA9"/>
    <w:rsid w:val="00EE14AE"/>
    <w:rsid w:val="00EE425E"/>
    <w:rsid w:val="00EF40AB"/>
    <w:rsid w:val="00EF5435"/>
    <w:rsid w:val="00EF5A56"/>
    <w:rsid w:val="00F002E1"/>
    <w:rsid w:val="00F00B5C"/>
    <w:rsid w:val="00F03828"/>
    <w:rsid w:val="00F04B76"/>
    <w:rsid w:val="00F06716"/>
    <w:rsid w:val="00F0728E"/>
    <w:rsid w:val="00F1025B"/>
    <w:rsid w:val="00F104E1"/>
    <w:rsid w:val="00F11BD4"/>
    <w:rsid w:val="00F12194"/>
    <w:rsid w:val="00F127D0"/>
    <w:rsid w:val="00F15795"/>
    <w:rsid w:val="00F1774F"/>
    <w:rsid w:val="00F24689"/>
    <w:rsid w:val="00F25976"/>
    <w:rsid w:val="00F25DE9"/>
    <w:rsid w:val="00F303F9"/>
    <w:rsid w:val="00F37A07"/>
    <w:rsid w:val="00F42EEF"/>
    <w:rsid w:val="00F44285"/>
    <w:rsid w:val="00F45171"/>
    <w:rsid w:val="00F476B3"/>
    <w:rsid w:val="00F50173"/>
    <w:rsid w:val="00F51AA8"/>
    <w:rsid w:val="00F538DB"/>
    <w:rsid w:val="00F548A8"/>
    <w:rsid w:val="00F55406"/>
    <w:rsid w:val="00F6039B"/>
    <w:rsid w:val="00F703C2"/>
    <w:rsid w:val="00F71FBE"/>
    <w:rsid w:val="00F72CBB"/>
    <w:rsid w:val="00F74180"/>
    <w:rsid w:val="00F76512"/>
    <w:rsid w:val="00F77164"/>
    <w:rsid w:val="00F775FB"/>
    <w:rsid w:val="00F80652"/>
    <w:rsid w:val="00F81367"/>
    <w:rsid w:val="00F838AC"/>
    <w:rsid w:val="00F83F69"/>
    <w:rsid w:val="00F8531C"/>
    <w:rsid w:val="00F9117D"/>
    <w:rsid w:val="00F91621"/>
    <w:rsid w:val="00FA0FA6"/>
    <w:rsid w:val="00FA33ED"/>
    <w:rsid w:val="00FA379C"/>
    <w:rsid w:val="00FA410E"/>
    <w:rsid w:val="00FA5149"/>
    <w:rsid w:val="00FB17A2"/>
    <w:rsid w:val="00FB1807"/>
    <w:rsid w:val="00FB1AB0"/>
    <w:rsid w:val="00FB2B02"/>
    <w:rsid w:val="00FB4311"/>
    <w:rsid w:val="00FB43DA"/>
    <w:rsid w:val="00FB5A3B"/>
    <w:rsid w:val="00FB73D8"/>
    <w:rsid w:val="00FC1107"/>
    <w:rsid w:val="00FC19AC"/>
    <w:rsid w:val="00FC30EB"/>
    <w:rsid w:val="00FC3C8C"/>
    <w:rsid w:val="00FC5034"/>
    <w:rsid w:val="00FC68CB"/>
    <w:rsid w:val="00FC786E"/>
    <w:rsid w:val="00FC7A92"/>
    <w:rsid w:val="00FD04C4"/>
    <w:rsid w:val="00FD3595"/>
    <w:rsid w:val="00FE03EB"/>
    <w:rsid w:val="00FE125F"/>
    <w:rsid w:val="00FF064B"/>
    <w:rsid w:val="00FF24FC"/>
    <w:rsid w:val="00FF28D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613AB9"/>
    <w:rPr>
      <w:color w:val="808080"/>
    </w:rPr>
  </w:style>
  <w:style w:type="paragraph" w:customStyle="1" w:styleId="7A0DED7C6E5A46048E1259D5C82EA867">
    <w:name w:val="7A0DED7C6E5A46048E1259D5C82EA867"/>
    <w:rsid w:val="00130143"/>
    <w:pPr>
      <w:widowControl w:val="0"/>
      <w:jc w:val="both"/>
    </w:pPr>
  </w:style>
  <w:style w:type="paragraph" w:customStyle="1" w:styleId="3B8D4D918DD24E7CAB7E14FB414169BF">
    <w:name w:val="3B8D4D918DD24E7CAB7E14FB414169BF"/>
    <w:rsid w:val="00130143"/>
    <w:pPr>
      <w:widowControl w:val="0"/>
      <w:jc w:val="both"/>
    </w:pPr>
  </w:style>
  <w:style w:type="paragraph" w:customStyle="1" w:styleId="38940EDD2E0C467F84417941A004A7AA">
    <w:name w:val="38940EDD2E0C467F84417941A004A7AA"/>
    <w:rsid w:val="00130143"/>
    <w:pPr>
      <w:widowControl w:val="0"/>
      <w:jc w:val="both"/>
    </w:pPr>
  </w:style>
  <w:style w:type="paragraph" w:customStyle="1" w:styleId="C2139B19F7694D778154034679C094FC">
    <w:name w:val="C2139B19F7694D778154034679C094FC"/>
    <w:rsid w:val="004E603D"/>
    <w:pPr>
      <w:widowControl w:val="0"/>
      <w:jc w:val="both"/>
    </w:pPr>
  </w:style>
  <w:style w:type="paragraph" w:customStyle="1" w:styleId="E64803AA47884FE7BF22423807493E2D">
    <w:name w:val="E64803AA47884FE7BF22423807493E2D"/>
    <w:rsid w:val="009171A9"/>
    <w:pPr>
      <w:widowControl w:val="0"/>
      <w:jc w:val="both"/>
    </w:pPr>
  </w:style>
  <w:style w:type="paragraph" w:customStyle="1" w:styleId="A38F939CE7F8427F84BF451D0EFB76C5">
    <w:name w:val="A38F939CE7F8427F84BF451D0EFB76C5"/>
    <w:rsid w:val="00597BB9"/>
    <w:pPr>
      <w:widowControl w:val="0"/>
      <w:jc w:val="both"/>
    </w:pPr>
  </w:style>
  <w:style w:type="paragraph" w:customStyle="1" w:styleId="A2752E8BF0604FBF8498B5B20DE3BD85">
    <w:name w:val="A2752E8BF0604FBF8498B5B20DE3BD85"/>
    <w:rsid w:val="00597BB9"/>
    <w:pPr>
      <w:widowControl w:val="0"/>
      <w:jc w:val="both"/>
    </w:pPr>
  </w:style>
  <w:style w:type="paragraph" w:customStyle="1" w:styleId="02D08B2141DA4C5B941922EB2F8A140F">
    <w:name w:val="02D08B2141DA4C5B941922EB2F8A140F"/>
    <w:rsid w:val="00597BB9"/>
    <w:pPr>
      <w:widowControl w:val="0"/>
      <w:jc w:val="both"/>
    </w:pPr>
  </w:style>
  <w:style w:type="paragraph" w:customStyle="1" w:styleId="5E6C0F9F0EA147DB9CDCABC12C6E6E05">
    <w:name w:val="5E6C0F9F0EA147DB9CDCABC12C6E6E05"/>
    <w:rsid w:val="00597BB9"/>
    <w:pPr>
      <w:widowControl w:val="0"/>
      <w:jc w:val="both"/>
    </w:pPr>
  </w:style>
  <w:style w:type="paragraph" w:customStyle="1" w:styleId="1B2BF5E73F5E445EAD221DFC84155F7E">
    <w:name w:val="1B2BF5E73F5E445EAD221DFC84155F7E"/>
    <w:rsid w:val="00597BB9"/>
    <w:pPr>
      <w:widowControl w:val="0"/>
      <w:jc w:val="both"/>
    </w:pPr>
  </w:style>
  <w:style w:type="paragraph" w:customStyle="1" w:styleId="AC9C672A38CC45ED9256AB6809A60420">
    <w:name w:val="AC9C672A38CC45ED9256AB6809A60420"/>
    <w:rsid w:val="00597BB9"/>
    <w:pPr>
      <w:widowControl w:val="0"/>
      <w:jc w:val="both"/>
    </w:pPr>
  </w:style>
  <w:style w:type="paragraph" w:customStyle="1" w:styleId="88C970BCE57C43BFBA8526B0EE2DE966">
    <w:name w:val="88C970BCE57C43BFBA8526B0EE2DE966"/>
    <w:rsid w:val="00597BB9"/>
    <w:pPr>
      <w:widowControl w:val="0"/>
      <w:jc w:val="both"/>
    </w:pPr>
  </w:style>
  <w:style w:type="paragraph" w:customStyle="1" w:styleId="33244C3346584621B022B457D0581BDA">
    <w:name w:val="33244C3346584621B022B457D0581BDA"/>
    <w:rsid w:val="00597BB9"/>
    <w:pPr>
      <w:widowControl w:val="0"/>
      <w:jc w:val="both"/>
    </w:pPr>
  </w:style>
  <w:style w:type="paragraph" w:customStyle="1" w:styleId="B3992D175FCF4E67A3203AA912C89C94">
    <w:name w:val="B3992D175FCF4E67A3203AA912C89C94"/>
    <w:rsid w:val="00597BB9"/>
    <w:pPr>
      <w:widowControl w:val="0"/>
      <w:jc w:val="both"/>
    </w:pPr>
  </w:style>
  <w:style w:type="paragraph" w:customStyle="1" w:styleId="207C5D0954D84398875A6D00ACDEC5DC">
    <w:name w:val="207C5D0954D84398875A6D00ACDEC5DC"/>
    <w:rsid w:val="00597BB9"/>
    <w:pPr>
      <w:widowControl w:val="0"/>
      <w:jc w:val="both"/>
    </w:pPr>
  </w:style>
  <w:style w:type="paragraph" w:customStyle="1" w:styleId="5DA133202E104B66BB1F029212A1B58F">
    <w:name w:val="5DA133202E104B66BB1F029212A1B58F"/>
    <w:rsid w:val="00597BB9"/>
    <w:pPr>
      <w:widowControl w:val="0"/>
      <w:jc w:val="both"/>
    </w:pPr>
  </w:style>
  <w:style w:type="paragraph" w:customStyle="1" w:styleId="21FCEC575E774CD4BA08B30B68D8461A">
    <w:name w:val="21FCEC575E774CD4BA08B30B68D8461A"/>
    <w:rsid w:val="00597BB9"/>
    <w:pPr>
      <w:widowControl w:val="0"/>
      <w:jc w:val="both"/>
    </w:pPr>
  </w:style>
  <w:style w:type="paragraph" w:customStyle="1" w:styleId="DB5C159960EF4D7CA97D49A244C21AA6">
    <w:name w:val="DB5C159960EF4D7CA97D49A244C21AA6"/>
    <w:rsid w:val="00597BB9"/>
    <w:pPr>
      <w:widowControl w:val="0"/>
      <w:jc w:val="both"/>
    </w:pPr>
  </w:style>
  <w:style w:type="paragraph" w:customStyle="1" w:styleId="2441BEAEEC9B4EC1840FBC13121E1380">
    <w:name w:val="2441BEAEEC9B4EC1840FBC13121E1380"/>
    <w:rsid w:val="00597BB9"/>
    <w:pPr>
      <w:widowControl w:val="0"/>
      <w:jc w:val="both"/>
    </w:pPr>
  </w:style>
  <w:style w:type="paragraph" w:customStyle="1" w:styleId="E6508316C6DF42AC9E49ED83D588AEEA">
    <w:name w:val="E6508316C6DF42AC9E49ED83D588AEEA"/>
    <w:rsid w:val="00597BB9"/>
    <w:pPr>
      <w:widowControl w:val="0"/>
      <w:jc w:val="both"/>
    </w:pPr>
  </w:style>
  <w:style w:type="paragraph" w:customStyle="1" w:styleId="90EC87A7D1AF4FA19526742ED9F150ED">
    <w:name w:val="90EC87A7D1AF4FA19526742ED9F150ED"/>
    <w:rsid w:val="00597BB9"/>
    <w:pPr>
      <w:widowControl w:val="0"/>
      <w:jc w:val="both"/>
    </w:pPr>
  </w:style>
  <w:style w:type="paragraph" w:customStyle="1" w:styleId="28A85E483DD7497ABD6FCC8DF49D8816">
    <w:name w:val="28A85E483DD7497ABD6FCC8DF49D8816"/>
    <w:rsid w:val="00597BB9"/>
    <w:pPr>
      <w:widowControl w:val="0"/>
      <w:jc w:val="both"/>
    </w:pPr>
  </w:style>
  <w:style w:type="paragraph" w:customStyle="1" w:styleId="7C6ED77C1E6B4DAFBDB25EEB8FABF79B">
    <w:name w:val="7C6ED77C1E6B4DAFBDB25EEB8FABF79B"/>
    <w:rsid w:val="00597BB9"/>
    <w:pPr>
      <w:widowControl w:val="0"/>
      <w:jc w:val="both"/>
    </w:pPr>
  </w:style>
  <w:style w:type="paragraph" w:customStyle="1" w:styleId="341FDB10007B4EECB8112DAC9FF2F3CC">
    <w:name w:val="341FDB10007B4EECB8112DAC9FF2F3CC"/>
    <w:rsid w:val="00597BB9"/>
    <w:pPr>
      <w:widowControl w:val="0"/>
      <w:jc w:val="both"/>
    </w:pPr>
  </w:style>
  <w:style w:type="paragraph" w:customStyle="1" w:styleId="82C424284BFC4146A1023AD760A0FFE2">
    <w:name w:val="82C424284BFC4146A1023AD760A0FFE2"/>
    <w:rsid w:val="00597BB9"/>
    <w:pPr>
      <w:widowControl w:val="0"/>
      <w:jc w:val="both"/>
    </w:pPr>
  </w:style>
  <w:style w:type="paragraph" w:customStyle="1" w:styleId="AA44819B98464254BAA2BD2B98C39753">
    <w:name w:val="AA44819B98464254BAA2BD2B98C39753"/>
    <w:rsid w:val="00597BB9"/>
    <w:pPr>
      <w:widowControl w:val="0"/>
      <w:jc w:val="both"/>
    </w:pPr>
  </w:style>
  <w:style w:type="paragraph" w:customStyle="1" w:styleId="E0968711854349FAAA56721B4AB34713">
    <w:name w:val="E0968711854349FAAA56721B4AB34713"/>
    <w:rsid w:val="00597BB9"/>
    <w:pPr>
      <w:widowControl w:val="0"/>
      <w:jc w:val="both"/>
    </w:pPr>
  </w:style>
  <w:style w:type="paragraph" w:customStyle="1" w:styleId="50B49B38C37344AD887407B6E168F1CD">
    <w:name w:val="50B49B38C37344AD887407B6E168F1CD"/>
    <w:rsid w:val="00597BB9"/>
    <w:pPr>
      <w:widowControl w:val="0"/>
      <w:jc w:val="both"/>
    </w:pPr>
  </w:style>
  <w:style w:type="paragraph" w:customStyle="1" w:styleId="6DDE53A21B214B75A019F2C992229C11">
    <w:name w:val="6DDE53A21B214B75A019F2C992229C11"/>
    <w:rsid w:val="00597BB9"/>
    <w:pPr>
      <w:widowControl w:val="0"/>
      <w:jc w:val="both"/>
    </w:pPr>
  </w:style>
  <w:style w:type="paragraph" w:customStyle="1" w:styleId="E5905C209EBA4DF893BACF01E6927F3C">
    <w:name w:val="E5905C209EBA4DF893BACF01E6927F3C"/>
    <w:rsid w:val="00731170"/>
    <w:pPr>
      <w:widowControl w:val="0"/>
      <w:jc w:val="both"/>
    </w:pPr>
  </w:style>
  <w:style w:type="paragraph" w:customStyle="1" w:styleId="6AFC22E5B38249F2A708651A62E7C5F6">
    <w:name w:val="6AFC22E5B38249F2A708651A62E7C5F6"/>
    <w:rsid w:val="00E13938"/>
    <w:pPr>
      <w:widowControl w:val="0"/>
      <w:jc w:val="both"/>
    </w:pPr>
  </w:style>
  <w:style w:type="paragraph" w:customStyle="1" w:styleId="FC30A7AE4B8B497A9CC851BD62D93599">
    <w:name w:val="FC30A7AE4B8B497A9CC851BD62D93599"/>
    <w:rsid w:val="004C12E3"/>
    <w:pPr>
      <w:widowControl w:val="0"/>
      <w:jc w:val="both"/>
    </w:pPr>
  </w:style>
  <w:style w:type="paragraph" w:customStyle="1" w:styleId="0C0A041A25524FFCBE4C5669A90BB5F3">
    <w:name w:val="0C0A041A25524FFCBE4C5669A90BB5F3"/>
    <w:rsid w:val="004C12E3"/>
    <w:pPr>
      <w:widowControl w:val="0"/>
      <w:jc w:val="both"/>
    </w:pPr>
  </w:style>
  <w:style w:type="paragraph" w:customStyle="1" w:styleId="6466ED1FD76A4FA78AE03A73CB33221B">
    <w:name w:val="6466ED1FD76A4FA78AE03A73CB33221B"/>
    <w:rsid w:val="004C12E3"/>
    <w:pPr>
      <w:widowControl w:val="0"/>
      <w:jc w:val="both"/>
    </w:pPr>
  </w:style>
  <w:style w:type="paragraph" w:customStyle="1" w:styleId="4751EF1E0CB243D0802ED89263F04271">
    <w:name w:val="4751EF1E0CB243D0802ED89263F04271"/>
    <w:rsid w:val="00D2704A"/>
    <w:pPr>
      <w:widowControl w:val="0"/>
      <w:jc w:val="both"/>
    </w:pPr>
  </w:style>
  <w:style w:type="paragraph" w:customStyle="1" w:styleId="4EB2BEBB077E44FEA335942D9A7B407A">
    <w:name w:val="4EB2BEBB077E44FEA335942D9A7B407A"/>
    <w:rsid w:val="00D2704A"/>
    <w:pPr>
      <w:widowControl w:val="0"/>
      <w:jc w:val="both"/>
    </w:pPr>
  </w:style>
  <w:style w:type="paragraph" w:customStyle="1" w:styleId="798DDED763E045958589DF037DBCCA01">
    <w:name w:val="798DDED763E045958589DF037DBCCA01"/>
    <w:rsid w:val="00D2704A"/>
    <w:pPr>
      <w:widowControl w:val="0"/>
      <w:jc w:val="both"/>
    </w:pPr>
  </w:style>
  <w:style w:type="paragraph" w:customStyle="1" w:styleId="AC268321A69C45D5A1F5DD16BD0943D8">
    <w:name w:val="AC268321A69C45D5A1F5DD16BD0943D8"/>
    <w:rsid w:val="00D2704A"/>
    <w:pPr>
      <w:widowControl w:val="0"/>
      <w:jc w:val="both"/>
    </w:pPr>
  </w:style>
  <w:style w:type="paragraph" w:customStyle="1" w:styleId="107600F5D1654BE99D420D8D87D2AF79">
    <w:name w:val="107600F5D1654BE99D420D8D87D2AF79"/>
    <w:rsid w:val="00D2704A"/>
    <w:pPr>
      <w:widowControl w:val="0"/>
      <w:jc w:val="both"/>
    </w:pPr>
  </w:style>
  <w:style w:type="paragraph" w:customStyle="1" w:styleId="0361CE3AB65B4173BE1C09E316EC18AA">
    <w:name w:val="0361CE3AB65B4173BE1C09E316EC18AA"/>
    <w:rsid w:val="00D2704A"/>
    <w:pPr>
      <w:widowControl w:val="0"/>
      <w:jc w:val="both"/>
    </w:pPr>
  </w:style>
  <w:style w:type="paragraph" w:customStyle="1" w:styleId="63AEC14D06B24E6DBD60D14D85780A37">
    <w:name w:val="63AEC14D06B24E6DBD60D14D85780A37"/>
    <w:rsid w:val="00D2704A"/>
    <w:pPr>
      <w:widowControl w:val="0"/>
      <w:jc w:val="both"/>
    </w:pPr>
  </w:style>
  <w:style w:type="paragraph" w:customStyle="1" w:styleId="63FE0480F649464C9A9749CC1F79B67C">
    <w:name w:val="63FE0480F649464C9A9749CC1F79B67C"/>
    <w:rsid w:val="00D2704A"/>
    <w:pPr>
      <w:widowControl w:val="0"/>
      <w:jc w:val="both"/>
    </w:pPr>
  </w:style>
  <w:style w:type="paragraph" w:customStyle="1" w:styleId="AE90227AB17D44999CC894A71B3599F1">
    <w:name w:val="AE90227AB17D44999CC894A71B3599F1"/>
    <w:rsid w:val="00D2704A"/>
    <w:pPr>
      <w:widowControl w:val="0"/>
      <w:jc w:val="both"/>
    </w:pPr>
  </w:style>
  <w:style w:type="paragraph" w:customStyle="1" w:styleId="48A031EC112342D0A7FA95BA46A976F4">
    <w:name w:val="48A031EC112342D0A7FA95BA46A976F4"/>
    <w:rsid w:val="00D2704A"/>
    <w:pPr>
      <w:widowControl w:val="0"/>
      <w:jc w:val="both"/>
    </w:pPr>
  </w:style>
  <w:style w:type="paragraph" w:customStyle="1" w:styleId="AAA2DB6D3ED04351B02210C7C64C505A">
    <w:name w:val="AAA2DB6D3ED04351B02210C7C64C505A"/>
    <w:rsid w:val="00D2704A"/>
    <w:pPr>
      <w:widowControl w:val="0"/>
      <w:jc w:val="both"/>
    </w:pPr>
  </w:style>
  <w:style w:type="paragraph" w:customStyle="1" w:styleId="9F33EC3F9E8245AF94712F7EAD32C85F">
    <w:name w:val="9F33EC3F9E8245AF94712F7EAD32C85F"/>
    <w:rsid w:val="00D2704A"/>
    <w:pPr>
      <w:widowControl w:val="0"/>
      <w:jc w:val="both"/>
    </w:pPr>
  </w:style>
  <w:style w:type="paragraph" w:customStyle="1" w:styleId="BDF4C0DDC4124F37872087FEF4CCCB9D">
    <w:name w:val="BDF4C0DDC4124F37872087FEF4CCCB9D"/>
    <w:rsid w:val="00D2704A"/>
    <w:pPr>
      <w:widowControl w:val="0"/>
      <w:jc w:val="both"/>
    </w:pPr>
  </w:style>
  <w:style w:type="paragraph" w:customStyle="1" w:styleId="69DF9299F27B4F29ACDF66984F2615B0">
    <w:name w:val="69DF9299F27B4F29ACDF66984F2615B0"/>
    <w:rsid w:val="00D2704A"/>
    <w:pPr>
      <w:widowControl w:val="0"/>
      <w:jc w:val="both"/>
    </w:pPr>
  </w:style>
  <w:style w:type="paragraph" w:customStyle="1" w:styleId="4F09A8B65CBC49B383F7A381AACE85ED">
    <w:name w:val="4F09A8B65CBC49B383F7A381AACE85ED"/>
    <w:rsid w:val="005120B1"/>
    <w:pPr>
      <w:widowControl w:val="0"/>
      <w:jc w:val="both"/>
    </w:pPr>
  </w:style>
  <w:style w:type="paragraph" w:customStyle="1" w:styleId="EAC274BF500740DC9196F9222E4975AE">
    <w:name w:val="EAC274BF500740DC9196F9222E4975AE"/>
    <w:rsid w:val="005120B1"/>
    <w:pPr>
      <w:widowControl w:val="0"/>
      <w:jc w:val="both"/>
    </w:pPr>
  </w:style>
  <w:style w:type="paragraph" w:customStyle="1" w:styleId="3209A52500A64E11A7EA2C53DE8EE9DB">
    <w:name w:val="3209A52500A64E11A7EA2C53DE8EE9DB"/>
    <w:rsid w:val="005120B1"/>
    <w:pPr>
      <w:widowControl w:val="0"/>
      <w:jc w:val="both"/>
    </w:pPr>
  </w:style>
  <w:style w:type="paragraph" w:customStyle="1" w:styleId="8F3A25AD3625416EA14C991017FD8967">
    <w:name w:val="8F3A25AD3625416EA14C991017FD8967"/>
    <w:rsid w:val="005120B1"/>
    <w:pPr>
      <w:widowControl w:val="0"/>
      <w:jc w:val="both"/>
    </w:pPr>
  </w:style>
  <w:style w:type="paragraph" w:customStyle="1" w:styleId="CD6D43C51AE64E07917F9C85AF8B519F">
    <w:name w:val="CD6D43C51AE64E07917F9C85AF8B519F"/>
    <w:rsid w:val="00C91B7F"/>
    <w:pPr>
      <w:widowControl w:val="0"/>
      <w:jc w:val="both"/>
    </w:pPr>
  </w:style>
  <w:style w:type="paragraph" w:customStyle="1" w:styleId="095558970E4743D396E41EBCA7008DD7">
    <w:name w:val="095558970E4743D396E41EBCA7008DD7"/>
    <w:rsid w:val="00C91B7F"/>
    <w:pPr>
      <w:widowControl w:val="0"/>
      <w:jc w:val="both"/>
    </w:pPr>
  </w:style>
  <w:style w:type="paragraph" w:customStyle="1" w:styleId="129A31914B0B47BDB6F96F68298766F5">
    <w:name w:val="129A31914B0B47BDB6F96F68298766F5"/>
    <w:rsid w:val="00C91B7F"/>
    <w:pPr>
      <w:widowControl w:val="0"/>
      <w:jc w:val="both"/>
    </w:pPr>
  </w:style>
  <w:style w:type="paragraph" w:customStyle="1" w:styleId="3F300BA572E2448DA158AE2C4F0D0826">
    <w:name w:val="3F300BA572E2448DA158AE2C4F0D0826"/>
    <w:rsid w:val="00C91B7F"/>
    <w:pPr>
      <w:widowControl w:val="0"/>
      <w:jc w:val="both"/>
    </w:pPr>
  </w:style>
  <w:style w:type="paragraph" w:customStyle="1" w:styleId="768D2C8B1BA748FEB94A5823B0084648">
    <w:name w:val="768D2C8B1BA748FEB94A5823B0084648"/>
    <w:rsid w:val="00C91B7F"/>
    <w:pPr>
      <w:widowControl w:val="0"/>
      <w:jc w:val="both"/>
    </w:pPr>
  </w:style>
  <w:style w:type="paragraph" w:customStyle="1" w:styleId="3C9F821D4339494D926B90FE9B0AAFF1">
    <w:name w:val="3C9F821D4339494D926B90FE9B0AAFF1"/>
    <w:rsid w:val="00C91B7F"/>
    <w:pPr>
      <w:widowControl w:val="0"/>
      <w:jc w:val="both"/>
    </w:pPr>
  </w:style>
  <w:style w:type="paragraph" w:customStyle="1" w:styleId="32848B4FEF294EFB9355A186A8CFC009">
    <w:name w:val="32848B4FEF294EFB9355A186A8CFC009"/>
    <w:rsid w:val="00C91B7F"/>
    <w:pPr>
      <w:widowControl w:val="0"/>
      <w:jc w:val="both"/>
    </w:pPr>
  </w:style>
  <w:style w:type="paragraph" w:customStyle="1" w:styleId="FF4A2F784298476EBD8D88870A355520">
    <w:name w:val="FF4A2F784298476EBD8D88870A355520"/>
    <w:rsid w:val="00C91B7F"/>
    <w:pPr>
      <w:widowControl w:val="0"/>
      <w:jc w:val="both"/>
    </w:pPr>
  </w:style>
  <w:style w:type="paragraph" w:customStyle="1" w:styleId="177FFF67F1674D8586427B4463D4F38B">
    <w:name w:val="177FFF67F1674D8586427B4463D4F38B"/>
    <w:rsid w:val="00C91B7F"/>
    <w:pPr>
      <w:widowControl w:val="0"/>
      <w:jc w:val="both"/>
    </w:pPr>
  </w:style>
  <w:style w:type="paragraph" w:customStyle="1" w:styleId="F1E0045D8F9848909A72C7A2B38DB1E8">
    <w:name w:val="F1E0045D8F9848909A72C7A2B38DB1E8"/>
    <w:rsid w:val="00C91B7F"/>
    <w:pPr>
      <w:widowControl w:val="0"/>
      <w:jc w:val="both"/>
    </w:pPr>
  </w:style>
  <w:style w:type="paragraph" w:customStyle="1" w:styleId="005BD5B2D13E42E68FC0104A7D921315">
    <w:name w:val="005BD5B2D13E42E68FC0104A7D921315"/>
    <w:rsid w:val="00227C0F"/>
    <w:pPr>
      <w:widowControl w:val="0"/>
      <w:jc w:val="both"/>
    </w:pPr>
  </w:style>
  <w:style w:type="paragraph" w:customStyle="1" w:styleId="835818C104D64F579E0E8C41BF0E4686">
    <w:name w:val="835818C104D64F579E0E8C41BF0E4686"/>
    <w:rsid w:val="00227C0F"/>
    <w:pPr>
      <w:widowControl w:val="0"/>
      <w:jc w:val="both"/>
    </w:pPr>
  </w:style>
  <w:style w:type="paragraph" w:customStyle="1" w:styleId="9A65DD54E3B94D6E8E2EA13AC248E949">
    <w:name w:val="9A65DD54E3B94D6E8E2EA13AC248E949"/>
    <w:rsid w:val="00227C0F"/>
    <w:pPr>
      <w:widowControl w:val="0"/>
      <w:jc w:val="both"/>
    </w:pPr>
  </w:style>
  <w:style w:type="paragraph" w:customStyle="1" w:styleId="AC29A568858A4AD78DD12BE522C316E6">
    <w:name w:val="AC29A568858A4AD78DD12BE522C316E6"/>
    <w:rsid w:val="00227C0F"/>
    <w:pPr>
      <w:widowControl w:val="0"/>
      <w:jc w:val="both"/>
    </w:pPr>
  </w:style>
  <w:style w:type="paragraph" w:customStyle="1" w:styleId="14B244C85CBF455A9348A608339C90EB">
    <w:name w:val="14B244C85CBF455A9348A608339C90EB"/>
    <w:rsid w:val="00227C0F"/>
    <w:pPr>
      <w:widowControl w:val="0"/>
      <w:jc w:val="both"/>
    </w:pPr>
  </w:style>
  <w:style w:type="paragraph" w:customStyle="1" w:styleId="4382D6A4720A42C7BB43B446FD01FB1E">
    <w:name w:val="4382D6A4720A42C7BB43B446FD01FB1E"/>
    <w:rsid w:val="00227C0F"/>
    <w:pPr>
      <w:widowControl w:val="0"/>
      <w:jc w:val="both"/>
    </w:pPr>
  </w:style>
  <w:style w:type="paragraph" w:customStyle="1" w:styleId="2FF35F485F6F4F08818A102ECF63891C">
    <w:name w:val="2FF35F485F6F4F08818A102ECF63891C"/>
    <w:rsid w:val="00227C0F"/>
    <w:pPr>
      <w:widowControl w:val="0"/>
      <w:jc w:val="both"/>
    </w:pPr>
  </w:style>
  <w:style w:type="paragraph" w:customStyle="1" w:styleId="4C42FBD6E2C94F65BF3E3FA1F94FBD34">
    <w:name w:val="4C42FBD6E2C94F65BF3E3FA1F94FBD34"/>
    <w:rsid w:val="00227C0F"/>
    <w:pPr>
      <w:widowControl w:val="0"/>
      <w:jc w:val="both"/>
    </w:pPr>
  </w:style>
  <w:style w:type="paragraph" w:customStyle="1" w:styleId="AE070875E0C547168DB6A7DBB0BBA414">
    <w:name w:val="AE070875E0C547168DB6A7DBB0BBA414"/>
    <w:rsid w:val="00227C0F"/>
    <w:pPr>
      <w:widowControl w:val="0"/>
      <w:jc w:val="both"/>
    </w:pPr>
  </w:style>
  <w:style w:type="paragraph" w:customStyle="1" w:styleId="876FC606CF134DA693F8B4F1DD2A7AFB">
    <w:name w:val="876FC606CF134DA693F8B4F1DD2A7AFB"/>
    <w:rsid w:val="00227C0F"/>
    <w:pPr>
      <w:widowControl w:val="0"/>
      <w:jc w:val="both"/>
    </w:pPr>
  </w:style>
  <w:style w:type="paragraph" w:customStyle="1" w:styleId="1331C3D7CBB3436A9AB2A28E57673AC8">
    <w:name w:val="1331C3D7CBB3436A9AB2A28E57673AC8"/>
    <w:rsid w:val="00227C0F"/>
    <w:pPr>
      <w:widowControl w:val="0"/>
      <w:jc w:val="both"/>
    </w:pPr>
  </w:style>
  <w:style w:type="paragraph" w:customStyle="1" w:styleId="EDCCD906E4314542B5F33A9E2EF9477A">
    <w:name w:val="EDCCD906E4314542B5F33A9E2EF9477A"/>
    <w:rsid w:val="00227C0F"/>
    <w:pPr>
      <w:widowControl w:val="0"/>
      <w:jc w:val="both"/>
    </w:pPr>
  </w:style>
  <w:style w:type="paragraph" w:customStyle="1" w:styleId="BF20720DE1FC48C09B1CA87427FF4F3A">
    <w:name w:val="BF20720DE1FC48C09B1CA87427FF4F3A"/>
    <w:rsid w:val="00227C0F"/>
    <w:pPr>
      <w:widowControl w:val="0"/>
      <w:jc w:val="both"/>
    </w:pPr>
  </w:style>
  <w:style w:type="paragraph" w:customStyle="1" w:styleId="6C21C5C31B5D491EA559B52E13A38CEA">
    <w:name w:val="6C21C5C31B5D491EA559B52E13A38CEA"/>
    <w:rsid w:val="00227C0F"/>
    <w:pPr>
      <w:widowControl w:val="0"/>
      <w:jc w:val="both"/>
    </w:pPr>
  </w:style>
  <w:style w:type="paragraph" w:customStyle="1" w:styleId="A428904913A64670A8BA3823D59FDC64">
    <w:name w:val="A428904913A64670A8BA3823D59FDC64"/>
    <w:rsid w:val="00E201AB"/>
    <w:pPr>
      <w:widowControl w:val="0"/>
      <w:jc w:val="both"/>
    </w:pPr>
  </w:style>
  <w:style w:type="paragraph" w:customStyle="1" w:styleId="3BB9A78CC2B842539D1EFAD6924CE1EF">
    <w:name w:val="3BB9A78CC2B842539D1EFAD6924CE1EF"/>
    <w:rsid w:val="00E201AB"/>
    <w:pPr>
      <w:widowControl w:val="0"/>
      <w:jc w:val="both"/>
    </w:pPr>
  </w:style>
  <w:style w:type="paragraph" w:customStyle="1" w:styleId="78BA8D1160374BE6A88BE72DB03A411C">
    <w:name w:val="78BA8D1160374BE6A88BE72DB03A411C"/>
    <w:rsid w:val="00E201AB"/>
    <w:pPr>
      <w:widowControl w:val="0"/>
      <w:jc w:val="both"/>
    </w:pPr>
  </w:style>
  <w:style w:type="paragraph" w:customStyle="1" w:styleId="BEE5AF6F78164D4B9BD29E8B1CCF250D">
    <w:name w:val="BEE5AF6F78164D4B9BD29E8B1CCF250D"/>
    <w:rsid w:val="00E201AB"/>
    <w:pPr>
      <w:widowControl w:val="0"/>
      <w:jc w:val="both"/>
    </w:pPr>
  </w:style>
  <w:style w:type="paragraph" w:customStyle="1" w:styleId="FFEF76BCF69A4E80AC34884FD222810E">
    <w:name w:val="FFEF76BCF69A4E80AC34884FD222810E"/>
    <w:rsid w:val="001D4E5E"/>
    <w:pPr>
      <w:widowControl w:val="0"/>
      <w:jc w:val="both"/>
    </w:pPr>
  </w:style>
  <w:style w:type="paragraph" w:customStyle="1" w:styleId="928D5766495C4D7AA893011294D4964C">
    <w:name w:val="928D5766495C4D7AA893011294D4964C"/>
    <w:rsid w:val="006A1026"/>
    <w:pPr>
      <w:widowControl w:val="0"/>
      <w:jc w:val="both"/>
    </w:pPr>
  </w:style>
  <w:style w:type="paragraph" w:customStyle="1" w:styleId="1F6B6641D8A74419826601B3F94EA22B">
    <w:name w:val="1F6B6641D8A74419826601B3F94EA22B"/>
    <w:rsid w:val="00026D57"/>
    <w:pPr>
      <w:widowControl w:val="0"/>
      <w:jc w:val="both"/>
    </w:pPr>
  </w:style>
  <w:style w:type="paragraph" w:customStyle="1" w:styleId="A1844CBEDFCA47A0A00E580F43112DFA">
    <w:name w:val="A1844CBEDFCA47A0A00E580F43112DFA"/>
    <w:rsid w:val="00EA3505"/>
    <w:pPr>
      <w:widowControl w:val="0"/>
      <w:jc w:val="both"/>
    </w:pPr>
  </w:style>
  <w:style w:type="paragraph" w:customStyle="1" w:styleId="21FB35BD22BE40D196A04D6A8D075EF5">
    <w:name w:val="21FB35BD22BE40D196A04D6A8D075EF5"/>
    <w:rsid w:val="00DC5C9E"/>
    <w:pPr>
      <w:widowControl w:val="0"/>
      <w:jc w:val="both"/>
    </w:pPr>
  </w:style>
  <w:style w:type="paragraph" w:customStyle="1" w:styleId="95D23D5E37294696820D51D5183239C4">
    <w:name w:val="95D23D5E37294696820D51D5183239C4"/>
    <w:rsid w:val="00DC5C9E"/>
    <w:pPr>
      <w:widowControl w:val="0"/>
      <w:jc w:val="both"/>
    </w:pPr>
  </w:style>
  <w:style w:type="paragraph" w:customStyle="1" w:styleId="2CC17FB5D58040A9891A35896BC05479">
    <w:name w:val="2CC17FB5D58040A9891A35896BC05479"/>
    <w:rsid w:val="00DC5C9E"/>
    <w:pPr>
      <w:widowControl w:val="0"/>
      <w:jc w:val="both"/>
    </w:pPr>
  </w:style>
  <w:style w:type="paragraph" w:customStyle="1" w:styleId="EFADB693DD9147D4BA91EF50091B91F7">
    <w:name w:val="EFADB693DD9147D4BA91EF50091B91F7"/>
    <w:rsid w:val="00DC5C9E"/>
    <w:pPr>
      <w:widowControl w:val="0"/>
      <w:jc w:val="both"/>
    </w:pPr>
  </w:style>
  <w:style w:type="paragraph" w:customStyle="1" w:styleId="83C1B8AB451142B9B432DF5FEB064D6F">
    <w:name w:val="83C1B8AB451142B9B432DF5FEB064D6F"/>
    <w:rsid w:val="00DC5C9E"/>
    <w:pPr>
      <w:widowControl w:val="0"/>
      <w:jc w:val="both"/>
    </w:pPr>
  </w:style>
  <w:style w:type="paragraph" w:customStyle="1" w:styleId="09539D5FE18C4A758D9B7DE17F83B437">
    <w:name w:val="09539D5FE18C4A758D9B7DE17F83B437"/>
    <w:rsid w:val="00DC5C9E"/>
    <w:pPr>
      <w:widowControl w:val="0"/>
      <w:jc w:val="both"/>
    </w:pPr>
  </w:style>
  <w:style w:type="paragraph" w:customStyle="1" w:styleId="8C222B0EA30A4549925BDC1F048DCCF8">
    <w:name w:val="8C222B0EA30A4549925BDC1F048DCCF8"/>
    <w:rsid w:val="00DC5C9E"/>
    <w:pPr>
      <w:widowControl w:val="0"/>
      <w:jc w:val="both"/>
    </w:pPr>
  </w:style>
  <w:style w:type="paragraph" w:customStyle="1" w:styleId="381D0FD6122B403A9F8833DD3DEA5EFA">
    <w:name w:val="381D0FD6122B403A9F8833DD3DEA5EFA"/>
    <w:rsid w:val="00DC5C9E"/>
    <w:pPr>
      <w:widowControl w:val="0"/>
      <w:jc w:val="both"/>
    </w:pPr>
  </w:style>
  <w:style w:type="paragraph" w:customStyle="1" w:styleId="CA96BA0316BD414B9536630C73EC7F21">
    <w:name w:val="CA96BA0316BD414B9536630C73EC7F21"/>
    <w:rsid w:val="00FD04C4"/>
    <w:pPr>
      <w:widowControl w:val="0"/>
      <w:jc w:val="both"/>
    </w:pPr>
  </w:style>
  <w:style w:type="paragraph" w:customStyle="1" w:styleId="3101130E62CB40EA973BACCA1574D282">
    <w:name w:val="3101130E62CB40EA973BACCA1574D282"/>
    <w:rsid w:val="00FD04C4"/>
    <w:pPr>
      <w:widowControl w:val="0"/>
      <w:jc w:val="both"/>
    </w:pPr>
  </w:style>
  <w:style w:type="paragraph" w:customStyle="1" w:styleId="BA84F52409F443AAA5929DD95EEEA609">
    <w:name w:val="BA84F52409F443AAA5929DD95EEEA609"/>
    <w:rsid w:val="0078610D"/>
    <w:pPr>
      <w:widowControl w:val="0"/>
      <w:jc w:val="both"/>
    </w:pPr>
  </w:style>
  <w:style w:type="paragraph" w:customStyle="1" w:styleId="391BDBD9CE444BC493AF4DA84A813DF7">
    <w:name w:val="391BDBD9CE444BC493AF4DA84A813DF7"/>
    <w:rsid w:val="0078610D"/>
    <w:pPr>
      <w:widowControl w:val="0"/>
      <w:jc w:val="both"/>
    </w:pPr>
  </w:style>
  <w:style w:type="paragraph" w:customStyle="1" w:styleId="793FD626756641A1838E3E80D181953A">
    <w:name w:val="793FD626756641A1838E3E80D181953A"/>
    <w:rsid w:val="0078610D"/>
    <w:pPr>
      <w:widowControl w:val="0"/>
      <w:jc w:val="both"/>
    </w:pPr>
  </w:style>
  <w:style w:type="paragraph" w:customStyle="1" w:styleId="3EB2BF1F719E42ABB3BCD3680F895002">
    <w:name w:val="3EB2BF1F719E42ABB3BCD3680F895002"/>
    <w:rsid w:val="0078610D"/>
    <w:pPr>
      <w:widowControl w:val="0"/>
      <w:jc w:val="both"/>
    </w:pPr>
  </w:style>
  <w:style w:type="paragraph" w:customStyle="1" w:styleId="7DAC9080DE774315817350CFE822F79F">
    <w:name w:val="7DAC9080DE774315817350CFE822F79F"/>
    <w:rsid w:val="0078610D"/>
    <w:pPr>
      <w:widowControl w:val="0"/>
      <w:jc w:val="both"/>
    </w:pPr>
  </w:style>
  <w:style w:type="paragraph" w:customStyle="1" w:styleId="78E6E69C7AEF44CBBCDC706BBD716D9E">
    <w:name w:val="78E6E69C7AEF44CBBCDC706BBD716D9E"/>
    <w:rsid w:val="0078610D"/>
    <w:pPr>
      <w:widowControl w:val="0"/>
      <w:jc w:val="both"/>
    </w:pPr>
  </w:style>
  <w:style w:type="paragraph" w:customStyle="1" w:styleId="EA3E010805F24428B2F8CF7BF95926FA">
    <w:name w:val="EA3E010805F24428B2F8CF7BF95926FA"/>
    <w:rsid w:val="0078610D"/>
    <w:pPr>
      <w:widowControl w:val="0"/>
      <w:jc w:val="both"/>
    </w:pPr>
  </w:style>
  <w:style w:type="paragraph" w:customStyle="1" w:styleId="AD5B143054E8410E93FD72740A2D98B7">
    <w:name w:val="AD5B143054E8410E93FD72740A2D98B7"/>
    <w:rsid w:val="0078610D"/>
    <w:pPr>
      <w:widowControl w:val="0"/>
      <w:jc w:val="both"/>
    </w:pPr>
  </w:style>
  <w:style w:type="paragraph" w:customStyle="1" w:styleId="BD5BA4218C404498AD1FE97FA1E1D373">
    <w:name w:val="BD5BA4218C404498AD1FE97FA1E1D373"/>
    <w:rsid w:val="0078610D"/>
    <w:pPr>
      <w:widowControl w:val="0"/>
      <w:jc w:val="both"/>
    </w:pPr>
  </w:style>
  <w:style w:type="paragraph" w:customStyle="1" w:styleId="CFAC8D37A2C542C29315EB96F63FCB35">
    <w:name w:val="CFAC8D37A2C542C29315EB96F63FCB35"/>
    <w:rsid w:val="0078610D"/>
    <w:pPr>
      <w:widowControl w:val="0"/>
      <w:jc w:val="both"/>
    </w:pPr>
  </w:style>
  <w:style w:type="paragraph" w:customStyle="1" w:styleId="805F0C49D4354D249557298659FD658C">
    <w:name w:val="805F0C49D4354D249557298659FD658C"/>
    <w:rsid w:val="0078610D"/>
    <w:pPr>
      <w:widowControl w:val="0"/>
      <w:jc w:val="both"/>
    </w:pPr>
  </w:style>
  <w:style w:type="paragraph" w:customStyle="1" w:styleId="1E6CB8C9999C457893B21BA1CA26A5D2">
    <w:name w:val="1E6CB8C9999C457893B21BA1CA26A5D2"/>
    <w:rsid w:val="0078610D"/>
    <w:pPr>
      <w:widowControl w:val="0"/>
      <w:jc w:val="both"/>
    </w:pPr>
  </w:style>
  <w:style w:type="paragraph" w:customStyle="1" w:styleId="0F80042CC5DC46F084243E2D23C35746">
    <w:name w:val="0F80042CC5DC46F084243E2D23C35746"/>
    <w:rsid w:val="0078610D"/>
    <w:pPr>
      <w:widowControl w:val="0"/>
      <w:jc w:val="both"/>
    </w:pPr>
  </w:style>
  <w:style w:type="paragraph" w:customStyle="1" w:styleId="EB618E6FAB7143F7ADCFD6348C782E02">
    <w:name w:val="EB618E6FAB7143F7ADCFD6348C782E02"/>
    <w:rsid w:val="0078610D"/>
    <w:pPr>
      <w:widowControl w:val="0"/>
      <w:jc w:val="both"/>
    </w:pPr>
  </w:style>
  <w:style w:type="paragraph" w:customStyle="1" w:styleId="FB254A81C08A44D9A36262B5A0C8CAED">
    <w:name w:val="FB254A81C08A44D9A36262B5A0C8CAED"/>
    <w:rsid w:val="0078610D"/>
    <w:pPr>
      <w:widowControl w:val="0"/>
      <w:jc w:val="both"/>
    </w:pPr>
  </w:style>
  <w:style w:type="paragraph" w:customStyle="1" w:styleId="AEF353C92A17459FB46B5BD7A60B4781">
    <w:name w:val="AEF353C92A17459FB46B5BD7A60B4781"/>
    <w:rsid w:val="0078610D"/>
    <w:pPr>
      <w:widowControl w:val="0"/>
      <w:jc w:val="both"/>
    </w:pPr>
  </w:style>
  <w:style w:type="paragraph" w:customStyle="1" w:styleId="13A81663866041F6A9B74BF4076ABA27">
    <w:name w:val="13A81663866041F6A9B74BF4076ABA27"/>
    <w:rsid w:val="0078610D"/>
    <w:pPr>
      <w:widowControl w:val="0"/>
      <w:jc w:val="both"/>
    </w:pPr>
  </w:style>
  <w:style w:type="paragraph" w:customStyle="1" w:styleId="10BF48E3BD274728A94854AF3A8E2380">
    <w:name w:val="10BF48E3BD274728A94854AF3A8E2380"/>
    <w:rsid w:val="0078610D"/>
    <w:pPr>
      <w:widowControl w:val="0"/>
      <w:jc w:val="both"/>
    </w:pPr>
  </w:style>
  <w:style w:type="paragraph" w:customStyle="1" w:styleId="DA913EB7EB014EE892F5312BC53DA69E">
    <w:name w:val="DA913EB7EB014EE892F5312BC53DA69E"/>
    <w:rsid w:val="0078610D"/>
    <w:pPr>
      <w:widowControl w:val="0"/>
      <w:jc w:val="both"/>
    </w:pPr>
  </w:style>
  <w:style w:type="paragraph" w:customStyle="1" w:styleId="E4BDCF01569440ABA0DAADE9E192A8B0">
    <w:name w:val="E4BDCF01569440ABA0DAADE9E192A8B0"/>
    <w:rsid w:val="0078610D"/>
    <w:pPr>
      <w:widowControl w:val="0"/>
      <w:jc w:val="both"/>
    </w:pPr>
  </w:style>
  <w:style w:type="paragraph" w:customStyle="1" w:styleId="0701502402E8497C91F675CD797AB3D7">
    <w:name w:val="0701502402E8497C91F675CD797AB3D7"/>
    <w:rsid w:val="0078610D"/>
    <w:pPr>
      <w:widowControl w:val="0"/>
      <w:jc w:val="both"/>
    </w:pPr>
  </w:style>
  <w:style w:type="paragraph" w:customStyle="1" w:styleId="65A6459F1B1A453AA1EC412D8B903752">
    <w:name w:val="65A6459F1B1A453AA1EC412D8B903752"/>
    <w:rsid w:val="0078610D"/>
    <w:pPr>
      <w:widowControl w:val="0"/>
      <w:jc w:val="both"/>
    </w:pPr>
  </w:style>
  <w:style w:type="paragraph" w:customStyle="1" w:styleId="AA7EEBECE6A6404B8B3ECB5BE79F49AC">
    <w:name w:val="AA7EEBECE6A6404B8B3ECB5BE79F49AC"/>
    <w:rsid w:val="0078610D"/>
    <w:pPr>
      <w:widowControl w:val="0"/>
      <w:jc w:val="both"/>
    </w:pPr>
  </w:style>
  <w:style w:type="paragraph" w:customStyle="1" w:styleId="8AA8617DC53446FF9D7E3BCF2C298193">
    <w:name w:val="8AA8617DC53446FF9D7E3BCF2C298193"/>
    <w:rsid w:val="0078610D"/>
    <w:pPr>
      <w:widowControl w:val="0"/>
      <w:jc w:val="both"/>
    </w:pPr>
  </w:style>
  <w:style w:type="paragraph" w:customStyle="1" w:styleId="0CEF6846E04F4D989CDCC07551B36A3B">
    <w:name w:val="0CEF6846E04F4D989CDCC07551B36A3B"/>
    <w:rsid w:val="0078610D"/>
    <w:pPr>
      <w:widowControl w:val="0"/>
      <w:jc w:val="both"/>
    </w:pPr>
  </w:style>
  <w:style w:type="paragraph" w:customStyle="1" w:styleId="253730C422264DDBB9315D29D74E46B4">
    <w:name w:val="253730C422264DDBB9315D29D74E46B4"/>
    <w:rsid w:val="0078610D"/>
    <w:pPr>
      <w:widowControl w:val="0"/>
      <w:jc w:val="both"/>
    </w:pPr>
  </w:style>
  <w:style w:type="paragraph" w:customStyle="1" w:styleId="03C8EDD6E0544820B66B41E75CBD525D">
    <w:name w:val="03C8EDD6E0544820B66B41E75CBD525D"/>
    <w:rsid w:val="0078610D"/>
    <w:pPr>
      <w:widowControl w:val="0"/>
      <w:jc w:val="both"/>
    </w:pPr>
  </w:style>
  <w:style w:type="paragraph" w:customStyle="1" w:styleId="1A8CAF7DBD1C440392DDA4C2A8533750">
    <w:name w:val="1A8CAF7DBD1C440392DDA4C2A8533750"/>
    <w:rsid w:val="0078610D"/>
    <w:pPr>
      <w:widowControl w:val="0"/>
      <w:jc w:val="both"/>
    </w:pPr>
  </w:style>
  <w:style w:type="paragraph" w:customStyle="1" w:styleId="70A1996743A34D17B60795F7390F7A33">
    <w:name w:val="70A1996743A34D17B60795F7390F7A33"/>
    <w:rsid w:val="0078610D"/>
    <w:pPr>
      <w:widowControl w:val="0"/>
      <w:jc w:val="both"/>
    </w:pPr>
  </w:style>
  <w:style w:type="paragraph" w:customStyle="1" w:styleId="0C90B7A90DD64C77AF702D21C0BD35B1">
    <w:name w:val="0C90B7A90DD64C77AF702D21C0BD35B1"/>
    <w:rsid w:val="0078610D"/>
    <w:pPr>
      <w:widowControl w:val="0"/>
      <w:jc w:val="both"/>
    </w:pPr>
  </w:style>
  <w:style w:type="paragraph" w:customStyle="1" w:styleId="2653F4E6DCF54258AB0DF0F7C11085AC">
    <w:name w:val="2653F4E6DCF54258AB0DF0F7C11085AC"/>
    <w:rsid w:val="0078610D"/>
    <w:pPr>
      <w:widowControl w:val="0"/>
      <w:jc w:val="both"/>
    </w:pPr>
  </w:style>
  <w:style w:type="paragraph" w:customStyle="1" w:styleId="3799C65525BD4FF4A7CF19997F0DDB47">
    <w:name w:val="3799C65525BD4FF4A7CF19997F0DDB47"/>
    <w:rsid w:val="0078610D"/>
    <w:pPr>
      <w:widowControl w:val="0"/>
      <w:jc w:val="both"/>
    </w:pPr>
  </w:style>
  <w:style w:type="paragraph" w:customStyle="1" w:styleId="F9DD925CD4644CDD96ED3239CEAA6A42">
    <w:name w:val="F9DD925CD4644CDD96ED3239CEAA6A42"/>
    <w:rsid w:val="0078610D"/>
    <w:pPr>
      <w:widowControl w:val="0"/>
      <w:jc w:val="both"/>
    </w:pPr>
  </w:style>
  <w:style w:type="paragraph" w:customStyle="1" w:styleId="5BEEFF8CDAD14EB0BCE7FCDBFDDA55BE">
    <w:name w:val="5BEEFF8CDAD14EB0BCE7FCDBFDDA55BE"/>
    <w:rsid w:val="0078610D"/>
    <w:pPr>
      <w:widowControl w:val="0"/>
      <w:jc w:val="both"/>
    </w:pPr>
  </w:style>
  <w:style w:type="paragraph" w:customStyle="1" w:styleId="73E29E9A4E7F48A181E254D7119F3F36">
    <w:name w:val="73E29E9A4E7F48A181E254D7119F3F36"/>
    <w:rsid w:val="0078610D"/>
    <w:pPr>
      <w:widowControl w:val="0"/>
      <w:jc w:val="both"/>
    </w:pPr>
  </w:style>
  <w:style w:type="paragraph" w:customStyle="1" w:styleId="1C6FD3ED9AFB4C6898989BADFE180D47">
    <w:name w:val="1C6FD3ED9AFB4C6898989BADFE180D47"/>
    <w:rsid w:val="0078610D"/>
    <w:pPr>
      <w:widowControl w:val="0"/>
      <w:jc w:val="both"/>
    </w:pPr>
  </w:style>
  <w:style w:type="paragraph" w:customStyle="1" w:styleId="E9D6232C4D1D42EFA00C216E0BE5A729">
    <w:name w:val="E9D6232C4D1D42EFA00C216E0BE5A729"/>
    <w:rsid w:val="0078610D"/>
    <w:pPr>
      <w:widowControl w:val="0"/>
      <w:jc w:val="both"/>
    </w:pPr>
  </w:style>
  <w:style w:type="paragraph" w:customStyle="1" w:styleId="2716248362044E32B59D3046A024667B">
    <w:name w:val="2716248362044E32B59D3046A024667B"/>
    <w:rsid w:val="0040538E"/>
    <w:pPr>
      <w:widowControl w:val="0"/>
      <w:jc w:val="both"/>
    </w:pPr>
  </w:style>
  <w:style w:type="paragraph" w:customStyle="1" w:styleId="A0509EB771CB468FAB3B5B8F919B57D3">
    <w:name w:val="A0509EB771CB468FAB3B5B8F919B57D3"/>
    <w:rsid w:val="0040538E"/>
    <w:pPr>
      <w:widowControl w:val="0"/>
      <w:jc w:val="both"/>
    </w:pPr>
  </w:style>
  <w:style w:type="paragraph" w:customStyle="1" w:styleId="B7843BA44EA849B5ACE57A937EE17FD0">
    <w:name w:val="B7843BA44EA849B5ACE57A937EE17FD0"/>
    <w:rsid w:val="0040538E"/>
    <w:pPr>
      <w:widowControl w:val="0"/>
      <w:jc w:val="both"/>
    </w:pPr>
  </w:style>
  <w:style w:type="paragraph" w:customStyle="1" w:styleId="75982EAFA8524F75B0B7F8CE34D98F5F">
    <w:name w:val="75982EAFA8524F75B0B7F8CE34D98F5F"/>
    <w:rsid w:val="0040538E"/>
    <w:pPr>
      <w:widowControl w:val="0"/>
      <w:jc w:val="both"/>
    </w:pPr>
  </w:style>
  <w:style w:type="paragraph" w:customStyle="1" w:styleId="26F7535134F34906957B3E2DB72E70C7">
    <w:name w:val="26F7535134F34906957B3E2DB72E70C7"/>
    <w:rsid w:val="0040538E"/>
    <w:pPr>
      <w:widowControl w:val="0"/>
      <w:jc w:val="both"/>
    </w:pPr>
  </w:style>
  <w:style w:type="paragraph" w:customStyle="1" w:styleId="5FDBA378B6BF4750BDAE6CC57743E594">
    <w:name w:val="5FDBA378B6BF4750BDAE6CC57743E594"/>
    <w:rsid w:val="0040538E"/>
    <w:pPr>
      <w:widowControl w:val="0"/>
      <w:jc w:val="both"/>
    </w:pPr>
  </w:style>
  <w:style w:type="paragraph" w:customStyle="1" w:styleId="7907B8DA1B9A4F5CAC522742B76B2D63">
    <w:name w:val="7907B8DA1B9A4F5CAC522742B76B2D63"/>
    <w:rsid w:val="0040538E"/>
    <w:pPr>
      <w:widowControl w:val="0"/>
      <w:jc w:val="both"/>
    </w:pPr>
  </w:style>
  <w:style w:type="paragraph" w:customStyle="1" w:styleId="6D2C57392DCB4A69870285C1835D2C7A">
    <w:name w:val="6D2C57392DCB4A69870285C1835D2C7A"/>
    <w:rsid w:val="0040538E"/>
    <w:pPr>
      <w:widowControl w:val="0"/>
      <w:jc w:val="both"/>
    </w:pPr>
  </w:style>
  <w:style w:type="paragraph" w:customStyle="1" w:styleId="DBB0A188124C4EFEA7B2C9951CF0108A">
    <w:name w:val="DBB0A188124C4EFEA7B2C9951CF0108A"/>
    <w:rsid w:val="0040538E"/>
    <w:pPr>
      <w:widowControl w:val="0"/>
      <w:jc w:val="both"/>
    </w:pPr>
  </w:style>
  <w:style w:type="paragraph" w:customStyle="1" w:styleId="524174DFE98C48F2BA22E722569C2483">
    <w:name w:val="524174DFE98C48F2BA22E722569C2483"/>
    <w:rsid w:val="0040538E"/>
    <w:pPr>
      <w:widowControl w:val="0"/>
      <w:jc w:val="both"/>
    </w:pPr>
  </w:style>
  <w:style w:type="paragraph" w:customStyle="1" w:styleId="89838C9B7B804AFB88209F94A3267B2D">
    <w:name w:val="89838C9B7B804AFB88209F94A3267B2D"/>
    <w:rsid w:val="0040538E"/>
    <w:pPr>
      <w:widowControl w:val="0"/>
      <w:jc w:val="both"/>
    </w:pPr>
  </w:style>
  <w:style w:type="paragraph" w:customStyle="1" w:styleId="ADFBAE5E5D9B4C88B6A6B3D77ABF981E">
    <w:name w:val="ADFBAE5E5D9B4C88B6A6B3D77ABF981E"/>
    <w:rsid w:val="0040538E"/>
    <w:pPr>
      <w:widowControl w:val="0"/>
      <w:jc w:val="both"/>
    </w:pPr>
  </w:style>
  <w:style w:type="paragraph" w:customStyle="1" w:styleId="51769E792D924A1FAE179A436B15DBF9">
    <w:name w:val="51769E792D924A1FAE179A436B15DBF9"/>
    <w:rsid w:val="0040538E"/>
    <w:pPr>
      <w:widowControl w:val="0"/>
      <w:jc w:val="both"/>
    </w:pPr>
  </w:style>
  <w:style w:type="paragraph" w:customStyle="1" w:styleId="675707915CBF4D89B7D54B675EB50AFC">
    <w:name w:val="675707915CBF4D89B7D54B675EB50AFC"/>
    <w:rsid w:val="0040538E"/>
    <w:pPr>
      <w:widowControl w:val="0"/>
      <w:jc w:val="both"/>
    </w:pPr>
  </w:style>
  <w:style w:type="paragraph" w:customStyle="1" w:styleId="97ADE5EAB8B9485489BA895E4B0CF5DF">
    <w:name w:val="97ADE5EAB8B9485489BA895E4B0CF5DF"/>
    <w:rsid w:val="0040538E"/>
    <w:pPr>
      <w:widowControl w:val="0"/>
      <w:jc w:val="both"/>
    </w:pPr>
  </w:style>
  <w:style w:type="paragraph" w:customStyle="1" w:styleId="DE05FC8D09BA4D5EA98ACF9EF1FA56F6">
    <w:name w:val="DE05FC8D09BA4D5EA98ACF9EF1FA56F6"/>
    <w:rsid w:val="0040538E"/>
    <w:pPr>
      <w:widowControl w:val="0"/>
      <w:jc w:val="both"/>
    </w:pPr>
  </w:style>
  <w:style w:type="paragraph" w:customStyle="1" w:styleId="2031DB1677A84CCD8917D87E3CEC95FF">
    <w:name w:val="2031DB1677A84CCD8917D87E3CEC95FF"/>
    <w:rsid w:val="0040538E"/>
    <w:pPr>
      <w:widowControl w:val="0"/>
      <w:jc w:val="both"/>
    </w:pPr>
  </w:style>
  <w:style w:type="paragraph" w:customStyle="1" w:styleId="2A3578FBE28F40C3B7618A24DA9173EB">
    <w:name w:val="2A3578FBE28F40C3B7618A24DA9173EB"/>
    <w:rsid w:val="0040538E"/>
    <w:pPr>
      <w:widowControl w:val="0"/>
      <w:jc w:val="both"/>
    </w:pPr>
  </w:style>
  <w:style w:type="paragraph" w:customStyle="1" w:styleId="C7EF359D55584FECBFA9E2217AFBDFA9">
    <w:name w:val="C7EF359D55584FECBFA9E2217AFBDFA9"/>
    <w:rsid w:val="0040538E"/>
    <w:pPr>
      <w:widowControl w:val="0"/>
      <w:jc w:val="both"/>
    </w:pPr>
  </w:style>
  <w:style w:type="paragraph" w:customStyle="1" w:styleId="61195C3C580E44EEBADDE86BAD3DCD65">
    <w:name w:val="61195C3C580E44EEBADDE86BAD3DCD65"/>
    <w:rsid w:val="0040538E"/>
    <w:pPr>
      <w:widowControl w:val="0"/>
      <w:jc w:val="both"/>
    </w:pPr>
  </w:style>
  <w:style w:type="paragraph" w:customStyle="1" w:styleId="350B9738475341498C2B09ADC21B0F05">
    <w:name w:val="350B9738475341498C2B09ADC21B0F05"/>
    <w:rsid w:val="0040538E"/>
    <w:pPr>
      <w:widowControl w:val="0"/>
      <w:jc w:val="both"/>
    </w:pPr>
  </w:style>
  <w:style w:type="paragraph" w:customStyle="1" w:styleId="895F2578444A4BA8A9AFCE8CC1EEB072">
    <w:name w:val="895F2578444A4BA8A9AFCE8CC1EEB072"/>
    <w:rsid w:val="0040538E"/>
    <w:pPr>
      <w:widowControl w:val="0"/>
      <w:jc w:val="both"/>
    </w:pPr>
  </w:style>
  <w:style w:type="paragraph" w:customStyle="1" w:styleId="B7C5B7737FA74D27A7A3ED4052021830">
    <w:name w:val="B7C5B7737FA74D27A7A3ED4052021830"/>
    <w:rsid w:val="0040538E"/>
    <w:pPr>
      <w:widowControl w:val="0"/>
      <w:jc w:val="both"/>
    </w:pPr>
  </w:style>
  <w:style w:type="paragraph" w:customStyle="1" w:styleId="EC965E5DA6D24CE79C80A274B5392A1A">
    <w:name w:val="EC965E5DA6D24CE79C80A274B5392A1A"/>
    <w:rsid w:val="0040538E"/>
    <w:pPr>
      <w:widowControl w:val="0"/>
      <w:jc w:val="both"/>
    </w:pPr>
  </w:style>
  <w:style w:type="paragraph" w:customStyle="1" w:styleId="EBD92E7DB3E34154A91B449D2E4262A0">
    <w:name w:val="EBD92E7DB3E34154A91B449D2E4262A0"/>
    <w:rsid w:val="0040538E"/>
    <w:pPr>
      <w:widowControl w:val="0"/>
      <w:jc w:val="both"/>
    </w:pPr>
  </w:style>
  <w:style w:type="paragraph" w:customStyle="1" w:styleId="5BFEA65332904843BD848C132235EA11">
    <w:name w:val="5BFEA65332904843BD848C132235EA11"/>
    <w:rsid w:val="0040538E"/>
    <w:pPr>
      <w:widowControl w:val="0"/>
      <w:jc w:val="both"/>
    </w:pPr>
  </w:style>
  <w:style w:type="paragraph" w:customStyle="1" w:styleId="470D6AFD102F4CE9BC0CD9024A45369C">
    <w:name w:val="470D6AFD102F4CE9BC0CD9024A45369C"/>
    <w:rsid w:val="0040538E"/>
    <w:pPr>
      <w:widowControl w:val="0"/>
      <w:jc w:val="both"/>
    </w:pPr>
  </w:style>
  <w:style w:type="paragraph" w:customStyle="1" w:styleId="3EF0865597464BC49510B0FFFAEBDF69">
    <w:name w:val="3EF0865597464BC49510B0FFFAEBDF69"/>
    <w:rsid w:val="0040538E"/>
    <w:pPr>
      <w:widowControl w:val="0"/>
      <w:jc w:val="both"/>
    </w:pPr>
  </w:style>
  <w:style w:type="paragraph" w:customStyle="1" w:styleId="4D17E737379448F88CFCFAC8792149AD">
    <w:name w:val="4D17E737379448F88CFCFAC8792149AD"/>
    <w:rsid w:val="0040538E"/>
    <w:pPr>
      <w:widowControl w:val="0"/>
      <w:jc w:val="both"/>
    </w:pPr>
  </w:style>
  <w:style w:type="paragraph" w:customStyle="1" w:styleId="11E76742205B4036B096B703F46F6AC0">
    <w:name w:val="11E76742205B4036B096B703F46F6AC0"/>
    <w:rsid w:val="0040538E"/>
    <w:pPr>
      <w:widowControl w:val="0"/>
      <w:jc w:val="both"/>
    </w:pPr>
  </w:style>
  <w:style w:type="paragraph" w:customStyle="1" w:styleId="3B83F67D678E4099B662FC5C739B470F">
    <w:name w:val="3B83F67D678E4099B662FC5C739B470F"/>
    <w:rsid w:val="0040538E"/>
    <w:pPr>
      <w:widowControl w:val="0"/>
      <w:jc w:val="both"/>
    </w:pPr>
  </w:style>
  <w:style w:type="paragraph" w:customStyle="1" w:styleId="F2AC049B769F4687A740C13F680872BE">
    <w:name w:val="F2AC049B769F4687A740C13F680872BE"/>
    <w:rsid w:val="0040538E"/>
    <w:pPr>
      <w:widowControl w:val="0"/>
      <w:jc w:val="both"/>
    </w:pPr>
  </w:style>
  <w:style w:type="paragraph" w:customStyle="1" w:styleId="11456B35A76B4F1DB00C6C8A44A962E7">
    <w:name w:val="11456B35A76B4F1DB00C6C8A44A962E7"/>
    <w:rsid w:val="0040538E"/>
    <w:pPr>
      <w:widowControl w:val="0"/>
      <w:jc w:val="both"/>
    </w:pPr>
  </w:style>
  <w:style w:type="paragraph" w:customStyle="1" w:styleId="A41E1CB60F674B349F5B3E58E6F03FE6">
    <w:name w:val="A41E1CB60F674B349F5B3E58E6F03FE6"/>
    <w:rsid w:val="0040538E"/>
    <w:pPr>
      <w:widowControl w:val="0"/>
      <w:jc w:val="both"/>
    </w:pPr>
  </w:style>
  <w:style w:type="paragraph" w:customStyle="1" w:styleId="7BFEA0C19F034D2A972A4E8D0271E1D3">
    <w:name w:val="7BFEA0C19F034D2A972A4E8D0271E1D3"/>
    <w:rsid w:val="0040538E"/>
    <w:pPr>
      <w:widowControl w:val="0"/>
      <w:jc w:val="both"/>
    </w:pPr>
  </w:style>
  <w:style w:type="paragraph" w:customStyle="1" w:styleId="DBC8611FC30C449A97D9B91C440BF9CA">
    <w:name w:val="DBC8611FC30C449A97D9B91C440BF9CA"/>
    <w:rsid w:val="0040538E"/>
    <w:pPr>
      <w:widowControl w:val="0"/>
      <w:jc w:val="both"/>
    </w:pPr>
  </w:style>
  <w:style w:type="paragraph" w:customStyle="1" w:styleId="9BDFDEF95D1145AA9EF0E084E3788146">
    <w:name w:val="9BDFDEF95D1145AA9EF0E084E3788146"/>
    <w:rsid w:val="0040538E"/>
    <w:pPr>
      <w:widowControl w:val="0"/>
      <w:jc w:val="both"/>
    </w:pPr>
  </w:style>
  <w:style w:type="paragraph" w:customStyle="1" w:styleId="3CE0F42DCFFD4520AF1D0375F3AF39C7">
    <w:name w:val="3CE0F42DCFFD4520AF1D0375F3AF39C7"/>
    <w:rsid w:val="0040538E"/>
    <w:pPr>
      <w:widowControl w:val="0"/>
      <w:jc w:val="both"/>
    </w:pPr>
  </w:style>
  <w:style w:type="paragraph" w:customStyle="1" w:styleId="03706251A80548EE93E6C090ED82B49E">
    <w:name w:val="03706251A80548EE93E6C090ED82B49E"/>
    <w:rsid w:val="0040538E"/>
    <w:pPr>
      <w:widowControl w:val="0"/>
      <w:jc w:val="both"/>
    </w:pPr>
  </w:style>
  <w:style w:type="paragraph" w:customStyle="1" w:styleId="B8D0B475F5C945708E194EF66B40B2D7">
    <w:name w:val="B8D0B475F5C945708E194EF66B40B2D7"/>
    <w:rsid w:val="0040538E"/>
    <w:pPr>
      <w:widowControl w:val="0"/>
      <w:jc w:val="both"/>
    </w:pPr>
  </w:style>
  <w:style w:type="paragraph" w:customStyle="1" w:styleId="29FCCFE1B7EC4504B2303EFC0026FECE">
    <w:name w:val="29FCCFE1B7EC4504B2303EFC0026FECE"/>
    <w:rsid w:val="0040538E"/>
    <w:pPr>
      <w:widowControl w:val="0"/>
      <w:jc w:val="both"/>
    </w:pPr>
  </w:style>
  <w:style w:type="paragraph" w:customStyle="1" w:styleId="2A19257676F74E01BB8D972D3C9C7093">
    <w:name w:val="2A19257676F74E01BB8D972D3C9C7093"/>
    <w:rsid w:val="0040538E"/>
    <w:pPr>
      <w:widowControl w:val="0"/>
      <w:jc w:val="both"/>
    </w:pPr>
  </w:style>
  <w:style w:type="paragraph" w:customStyle="1" w:styleId="11CBAA6EB9DD49298A3FB3DB43644989">
    <w:name w:val="11CBAA6EB9DD49298A3FB3DB43644989"/>
    <w:rsid w:val="0040538E"/>
    <w:pPr>
      <w:widowControl w:val="0"/>
      <w:jc w:val="both"/>
    </w:pPr>
  </w:style>
  <w:style w:type="paragraph" w:customStyle="1" w:styleId="134BA14DF6014CB898FAC27C9BE7834F">
    <w:name w:val="134BA14DF6014CB898FAC27C9BE7834F"/>
    <w:rsid w:val="0040538E"/>
    <w:pPr>
      <w:widowControl w:val="0"/>
      <w:jc w:val="both"/>
    </w:pPr>
  </w:style>
  <w:style w:type="paragraph" w:customStyle="1" w:styleId="CDF86F5D2BF8467E9D193DF6414CFDE0">
    <w:name w:val="CDF86F5D2BF8467E9D193DF6414CFDE0"/>
    <w:rsid w:val="0040538E"/>
    <w:pPr>
      <w:widowControl w:val="0"/>
      <w:jc w:val="both"/>
    </w:pPr>
  </w:style>
  <w:style w:type="paragraph" w:customStyle="1" w:styleId="C6D341D5131F4C239A3E43F22B488DED">
    <w:name w:val="C6D341D5131F4C239A3E43F22B488DED"/>
    <w:rsid w:val="0040538E"/>
    <w:pPr>
      <w:widowControl w:val="0"/>
      <w:jc w:val="both"/>
    </w:pPr>
  </w:style>
  <w:style w:type="paragraph" w:customStyle="1" w:styleId="B17ED0707C054DE8B13251FF738933CD">
    <w:name w:val="B17ED0707C054DE8B13251FF738933CD"/>
    <w:rsid w:val="0040538E"/>
    <w:pPr>
      <w:widowControl w:val="0"/>
      <w:jc w:val="both"/>
    </w:pPr>
  </w:style>
  <w:style w:type="paragraph" w:customStyle="1" w:styleId="BF77060FE62A4294902EEA00C5DDA3A6">
    <w:name w:val="BF77060FE62A4294902EEA00C5DDA3A6"/>
    <w:rsid w:val="0040538E"/>
    <w:pPr>
      <w:widowControl w:val="0"/>
      <w:jc w:val="both"/>
    </w:pPr>
  </w:style>
  <w:style w:type="paragraph" w:customStyle="1" w:styleId="194EC99F3E624475AC88861BECD24BCE">
    <w:name w:val="194EC99F3E624475AC88861BECD24BCE"/>
    <w:rsid w:val="0040538E"/>
    <w:pPr>
      <w:widowControl w:val="0"/>
      <w:jc w:val="both"/>
    </w:pPr>
  </w:style>
  <w:style w:type="paragraph" w:customStyle="1" w:styleId="8AEB66343C2240119C07B8C60177B42A">
    <w:name w:val="8AEB66343C2240119C07B8C60177B42A"/>
    <w:rsid w:val="0040538E"/>
    <w:pPr>
      <w:widowControl w:val="0"/>
      <w:jc w:val="both"/>
    </w:pPr>
  </w:style>
  <w:style w:type="paragraph" w:customStyle="1" w:styleId="948801E1181B46B091ED8BFC7DBD8927">
    <w:name w:val="948801E1181B46B091ED8BFC7DBD8927"/>
    <w:rsid w:val="0040538E"/>
    <w:pPr>
      <w:widowControl w:val="0"/>
      <w:jc w:val="both"/>
    </w:pPr>
  </w:style>
  <w:style w:type="paragraph" w:customStyle="1" w:styleId="4851558D07784C42B56DD615BD7D0E41">
    <w:name w:val="4851558D07784C42B56DD615BD7D0E41"/>
    <w:rsid w:val="0040538E"/>
    <w:pPr>
      <w:widowControl w:val="0"/>
      <w:jc w:val="both"/>
    </w:pPr>
  </w:style>
  <w:style w:type="paragraph" w:customStyle="1" w:styleId="291E95B7A705464FBBD0F0551A4673CE">
    <w:name w:val="291E95B7A705464FBBD0F0551A4673CE"/>
    <w:rsid w:val="0040538E"/>
    <w:pPr>
      <w:widowControl w:val="0"/>
      <w:jc w:val="both"/>
    </w:pPr>
  </w:style>
  <w:style w:type="paragraph" w:customStyle="1" w:styleId="E65F4DA7B5264BF3A008B36F3549562B">
    <w:name w:val="E65F4DA7B5264BF3A008B36F3549562B"/>
    <w:rsid w:val="0040538E"/>
    <w:pPr>
      <w:widowControl w:val="0"/>
      <w:jc w:val="both"/>
    </w:pPr>
  </w:style>
  <w:style w:type="paragraph" w:customStyle="1" w:styleId="68262C53FBF74958A2D466C2C02F0AAB">
    <w:name w:val="68262C53FBF74958A2D466C2C02F0AAB"/>
    <w:rsid w:val="0040538E"/>
    <w:pPr>
      <w:widowControl w:val="0"/>
      <w:jc w:val="both"/>
    </w:pPr>
  </w:style>
  <w:style w:type="paragraph" w:customStyle="1" w:styleId="A8AFD57ED08B43618B759152A45617CB">
    <w:name w:val="A8AFD57ED08B43618B759152A45617CB"/>
    <w:rsid w:val="0040538E"/>
    <w:pPr>
      <w:widowControl w:val="0"/>
      <w:jc w:val="both"/>
    </w:pPr>
  </w:style>
  <w:style w:type="paragraph" w:customStyle="1" w:styleId="2183A8D3F9DC4ABA8D54407F6D2C05B1">
    <w:name w:val="2183A8D3F9DC4ABA8D54407F6D2C05B1"/>
    <w:rsid w:val="0040538E"/>
    <w:pPr>
      <w:widowControl w:val="0"/>
      <w:jc w:val="both"/>
    </w:pPr>
  </w:style>
  <w:style w:type="paragraph" w:customStyle="1" w:styleId="3899A8F770274F6AA2AE266D61A9BA5D">
    <w:name w:val="3899A8F770274F6AA2AE266D61A9BA5D"/>
    <w:rsid w:val="0040538E"/>
    <w:pPr>
      <w:widowControl w:val="0"/>
      <w:jc w:val="both"/>
    </w:pPr>
  </w:style>
  <w:style w:type="paragraph" w:customStyle="1" w:styleId="B0A65FAEB98D43EBB4B20F09B4B5784B">
    <w:name w:val="B0A65FAEB98D43EBB4B20F09B4B5784B"/>
    <w:rsid w:val="0040538E"/>
    <w:pPr>
      <w:widowControl w:val="0"/>
      <w:jc w:val="both"/>
    </w:pPr>
  </w:style>
  <w:style w:type="paragraph" w:customStyle="1" w:styleId="437CF6CE6D984663B8A557E8F8E86364">
    <w:name w:val="437CF6CE6D984663B8A557E8F8E86364"/>
    <w:rsid w:val="0040538E"/>
    <w:pPr>
      <w:widowControl w:val="0"/>
      <w:jc w:val="both"/>
    </w:pPr>
  </w:style>
  <w:style w:type="paragraph" w:customStyle="1" w:styleId="0DA6D7DAEB164ECAAB10B241D7EB9067">
    <w:name w:val="0DA6D7DAEB164ECAAB10B241D7EB9067"/>
    <w:rsid w:val="0040538E"/>
    <w:pPr>
      <w:widowControl w:val="0"/>
      <w:jc w:val="both"/>
    </w:pPr>
  </w:style>
  <w:style w:type="paragraph" w:customStyle="1" w:styleId="D11A1D57A7E04251A7F565A7B7F9DD82">
    <w:name w:val="D11A1D57A7E04251A7F565A7B7F9DD82"/>
    <w:rsid w:val="0040538E"/>
    <w:pPr>
      <w:widowControl w:val="0"/>
      <w:jc w:val="both"/>
    </w:pPr>
  </w:style>
  <w:style w:type="paragraph" w:customStyle="1" w:styleId="0E75A2682A214A5E9682118B7C97C3B1">
    <w:name w:val="0E75A2682A214A5E9682118B7C97C3B1"/>
    <w:rsid w:val="0040538E"/>
    <w:pPr>
      <w:widowControl w:val="0"/>
      <w:jc w:val="both"/>
    </w:pPr>
  </w:style>
  <w:style w:type="paragraph" w:customStyle="1" w:styleId="67714A3B58BB46A7AA4653813A76626C">
    <w:name w:val="67714A3B58BB46A7AA4653813A76626C"/>
    <w:rsid w:val="0040538E"/>
    <w:pPr>
      <w:widowControl w:val="0"/>
      <w:jc w:val="both"/>
    </w:pPr>
  </w:style>
  <w:style w:type="paragraph" w:customStyle="1" w:styleId="86CF82105DC74AB096857CCFE3212BCC">
    <w:name w:val="86CF82105DC74AB096857CCFE3212BCC"/>
    <w:rsid w:val="0040538E"/>
    <w:pPr>
      <w:widowControl w:val="0"/>
      <w:jc w:val="both"/>
    </w:pPr>
  </w:style>
  <w:style w:type="paragraph" w:customStyle="1" w:styleId="90368B68F2774214BE32439EDF441FFC">
    <w:name w:val="90368B68F2774214BE32439EDF441FFC"/>
    <w:rsid w:val="0040538E"/>
    <w:pPr>
      <w:widowControl w:val="0"/>
      <w:jc w:val="both"/>
    </w:pPr>
  </w:style>
  <w:style w:type="paragraph" w:customStyle="1" w:styleId="32AB988AD95D4C5AB51713518CEB8D42">
    <w:name w:val="32AB988AD95D4C5AB51713518CEB8D42"/>
    <w:rsid w:val="0040538E"/>
    <w:pPr>
      <w:widowControl w:val="0"/>
      <w:jc w:val="both"/>
    </w:pPr>
  </w:style>
  <w:style w:type="paragraph" w:customStyle="1" w:styleId="30880F6305564F0C9A47AB59FED0EE31">
    <w:name w:val="30880F6305564F0C9A47AB59FED0EE31"/>
    <w:rsid w:val="0040538E"/>
    <w:pPr>
      <w:widowControl w:val="0"/>
      <w:jc w:val="both"/>
    </w:pPr>
  </w:style>
  <w:style w:type="paragraph" w:customStyle="1" w:styleId="297E047B5AAB40A390C3315D6FA6EB8E">
    <w:name w:val="297E047B5AAB40A390C3315D6FA6EB8E"/>
    <w:rsid w:val="0040538E"/>
    <w:pPr>
      <w:widowControl w:val="0"/>
      <w:jc w:val="both"/>
    </w:pPr>
  </w:style>
  <w:style w:type="paragraph" w:customStyle="1" w:styleId="CFC7383178064B869D334B5C4DDCF153">
    <w:name w:val="CFC7383178064B869D334B5C4DDCF153"/>
    <w:rsid w:val="0040538E"/>
    <w:pPr>
      <w:widowControl w:val="0"/>
      <w:jc w:val="both"/>
    </w:pPr>
  </w:style>
  <w:style w:type="paragraph" w:customStyle="1" w:styleId="DA2440F6DA2F4E2996BD97C4A7098786">
    <w:name w:val="DA2440F6DA2F4E2996BD97C4A7098786"/>
    <w:rsid w:val="0040538E"/>
    <w:pPr>
      <w:widowControl w:val="0"/>
      <w:jc w:val="both"/>
    </w:pPr>
  </w:style>
  <w:style w:type="paragraph" w:customStyle="1" w:styleId="A06EE95EEFCD41D3AD9664A5B39B992F">
    <w:name w:val="A06EE95EEFCD41D3AD9664A5B39B992F"/>
    <w:rsid w:val="0040538E"/>
    <w:pPr>
      <w:widowControl w:val="0"/>
      <w:jc w:val="both"/>
    </w:pPr>
  </w:style>
  <w:style w:type="paragraph" w:customStyle="1" w:styleId="F62E3B1DFEF34F298D3F84D1201AF237">
    <w:name w:val="F62E3B1DFEF34F298D3F84D1201AF237"/>
    <w:rsid w:val="0040538E"/>
    <w:pPr>
      <w:widowControl w:val="0"/>
      <w:jc w:val="both"/>
    </w:pPr>
  </w:style>
  <w:style w:type="paragraph" w:customStyle="1" w:styleId="A924C51B29FA49508197AA4A4FDAB41C">
    <w:name w:val="A924C51B29FA49508197AA4A4FDAB41C"/>
    <w:rsid w:val="0040538E"/>
    <w:pPr>
      <w:widowControl w:val="0"/>
      <w:jc w:val="both"/>
    </w:pPr>
  </w:style>
  <w:style w:type="paragraph" w:customStyle="1" w:styleId="D02DDA90D30F43119A91B3654ABA7708">
    <w:name w:val="D02DDA90D30F43119A91B3654ABA7708"/>
    <w:rsid w:val="0040538E"/>
    <w:pPr>
      <w:widowControl w:val="0"/>
      <w:jc w:val="both"/>
    </w:pPr>
  </w:style>
  <w:style w:type="paragraph" w:customStyle="1" w:styleId="474E457034254A64AF76156C7A43D8A8">
    <w:name w:val="474E457034254A64AF76156C7A43D8A8"/>
    <w:rsid w:val="0040538E"/>
    <w:pPr>
      <w:widowControl w:val="0"/>
      <w:jc w:val="both"/>
    </w:pPr>
  </w:style>
  <w:style w:type="paragraph" w:customStyle="1" w:styleId="80DFB931F8FD4C0CA693A9AFDF5F7C51">
    <w:name w:val="80DFB931F8FD4C0CA693A9AFDF5F7C51"/>
    <w:rsid w:val="0040538E"/>
    <w:pPr>
      <w:widowControl w:val="0"/>
      <w:jc w:val="both"/>
    </w:pPr>
  </w:style>
  <w:style w:type="paragraph" w:customStyle="1" w:styleId="7119570434BC4285893A8EFC5B0F2D60">
    <w:name w:val="7119570434BC4285893A8EFC5B0F2D60"/>
    <w:rsid w:val="0040538E"/>
    <w:pPr>
      <w:widowControl w:val="0"/>
      <w:jc w:val="both"/>
    </w:pPr>
  </w:style>
  <w:style w:type="paragraph" w:customStyle="1" w:styleId="4F89B6534ED249D283A5BFCAA96DC1C5">
    <w:name w:val="4F89B6534ED249D283A5BFCAA96DC1C5"/>
    <w:rsid w:val="0040538E"/>
    <w:pPr>
      <w:widowControl w:val="0"/>
      <w:jc w:val="both"/>
    </w:pPr>
  </w:style>
  <w:style w:type="paragraph" w:customStyle="1" w:styleId="070D30CBD80D4ED89ED0C65488F6E46A">
    <w:name w:val="070D30CBD80D4ED89ED0C65488F6E46A"/>
    <w:rsid w:val="0040538E"/>
    <w:pPr>
      <w:widowControl w:val="0"/>
      <w:jc w:val="both"/>
    </w:pPr>
  </w:style>
  <w:style w:type="paragraph" w:customStyle="1" w:styleId="DB9D7A57BBC04D3D8FF9159F40D9DC9C">
    <w:name w:val="DB9D7A57BBC04D3D8FF9159F40D9DC9C"/>
    <w:rsid w:val="0040538E"/>
    <w:pPr>
      <w:widowControl w:val="0"/>
      <w:jc w:val="both"/>
    </w:pPr>
  </w:style>
  <w:style w:type="paragraph" w:customStyle="1" w:styleId="15BB77D945BA4A029E6F37710EA47678">
    <w:name w:val="15BB77D945BA4A029E6F37710EA47678"/>
    <w:rsid w:val="0040538E"/>
    <w:pPr>
      <w:widowControl w:val="0"/>
      <w:jc w:val="both"/>
    </w:pPr>
  </w:style>
  <w:style w:type="paragraph" w:customStyle="1" w:styleId="ACCD58D7476843FD9FC0F4BB6C1789AA">
    <w:name w:val="ACCD58D7476843FD9FC0F4BB6C1789AA"/>
    <w:rsid w:val="0040538E"/>
    <w:pPr>
      <w:widowControl w:val="0"/>
      <w:jc w:val="both"/>
    </w:pPr>
  </w:style>
  <w:style w:type="paragraph" w:customStyle="1" w:styleId="E9283C78A7EE4949832E13D7A2E76E76">
    <w:name w:val="E9283C78A7EE4949832E13D7A2E76E76"/>
    <w:rsid w:val="0040538E"/>
    <w:pPr>
      <w:widowControl w:val="0"/>
      <w:jc w:val="both"/>
    </w:pPr>
  </w:style>
  <w:style w:type="paragraph" w:customStyle="1" w:styleId="81D3AA6FB647489F80F48143047136A1">
    <w:name w:val="81D3AA6FB647489F80F48143047136A1"/>
    <w:rsid w:val="0040538E"/>
    <w:pPr>
      <w:widowControl w:val="0"/>
      <w:jc w:val="both"/>
    </w:pPr>
  </w:style>
  <w:style w:type="paragraph" w:customStyle="1" w:styleId="A32444D4FA7B4DCDA793921686D6710D">
    <w:name w:val="A32444D4FA7B4DCDA793921686D6710D"/>
    <w:rsid w:val="0040538E"/>
    <w:pPr>
      <w:widowControl w:val="0"/>
      <w:jc w:val="both"/>
    </w:pPr>
  </w:style>
  <w:style w:type="paragraph" w:customStyle="1" w:styleId="8C0824141DDC4EC6A43DEEE6A82EFBA1">
    <w:name w:val="8C0824141DDC4EC6A43DEEE6A82EFBA1"/>
    <w:rsid w:val="0040538E"/>
    <w:pPr>
      <w:widowControl w:val="0"/>
      <w:jc w:val="both"/>
    </w:pPr>
  </w:style>
  <w:style w:type="paragraph" w:customStyle="1" w:styleId="2D46776A86804806B565C719B134E2CE">
    <w:name w:val="2D46776A86804806B565C719B134E2CE"/>
    <w:rsid w:val="0040538E"/>
    <w:pPr>
      <w:widowControl w:val="0"/>
      <w:jc w:val="both"/>
    </w:pPr>
  </w:style>
  <w:style w:type="paragraph" w:customStyle="1" w:styleId="2C7F2A2D15604B44AD15FE6FFC6F0515">
    <w:name w:val="2C7F2A2D15604B44AD15FE6FFC6F0515"/>
    <w:rsid w:val="0040538E"/>
    <w:pPr>
      <w:widowControl w:val="0"/>
      <w:jc w:val="both"/>
    </w:pPr>
  </w:style>
  <w:style w:type="paragraph" w:customStyle="1" w:styleId="2C0042F854D443CE9D1E907D2EB2FF34">
    <w:name w:val="2C0042F854D443CE9D1E907D2EB2FF34"/>
    <w:rsid w:val="0040538E"/>
    <w:pPr>
      <w:widowControl w:val="0"/>
      <w:jc w:val="both"/>
    </w:pPr>
  </w:style>
  <w:style w:type="paragraph" w:customStyle="1" w:styleId="A16580BD9E444BCE8616BA5AA5076FB8">
    <w:name w:val="A16580BD9E444BCE8616BA5AA5076FB8"/>
    <w:rsid w:val="0040538E"/>
    <w:pPr>
      <w:widowControl w:val="0"/>
      <w:jc w:val="both"/>
    </w:pPr>
  </w:style>
  <w:style w:type="paragraph" w:customStyle="1" w:styleId="3F2028FCBF2A4E92B2A90BE7A84E1E53">
    <w:name w:val="3F2028FCBF2A4E92B2A90BE7A84E1E53"/>
    <w:rsid w:val="0040538E"/>
    <w:pPr>
      <w:widowControl w:val="0"/>
      <w:jc w:val="both"/>
    </w:pPr>
  </w:style>
  <w:style w:type="paragraph" w:customStyle="1" w:styleId="D818B1D46DED48E489061B7C76358F36">
    <w:name w:val="D818B1D46DED48E489061B7C76358F36"/>
    <w:rsid w:val="0040538E"/>
    <w:pPr>
      <w:widowControl w:val="0"/>
      <w:jc w:val="both"/>
    </w:pPr>
  </w:style>
  <w:style w:type="paragraph" w:customStyle="1" w:styleId="9E662FEB8D8C4090BD60E7DBC4A6061F">
    <w:name w:val="9E662FEB8D8C4090BD60E7DBC4A6061F"/>
    <w:rsid w:val="0040538E"/>
    <w:pPr>
      <w:widowControl w:val="0"/>
      <w:jc w:val="both"/>
    </w:pPr>
  </w:style>
  <w:style w:type="paragraph" w:customStyle="1" w:styleId="FFFD77769AA14E67AB439653AB372C9F">
    <w:name w:val="FFFD77769AA14E67AB439653AB372C9F"/>
    <w:rsid w:val="0040538E"/>
    <w:pPr>
      <w:widowControl w:val="0"/>
      <w:jc w:val="both"/>
    </w:pPr>
  </w:style>
  <w:style w:type="paragraph" w:customStyle="1" w:styleId="0E4338DBE45440238D6917D65ACA22C4">
    <w:name w:val="0E4338DBE45440238D6917D65ACA22C4"/>
    <w:rsid w:val="0040538E"/>
    <w:pPr>
      <w:widowControl w:val="0"/>
      <w:jc w:val="both"/>
    </w:pPr>
  </w:style>
  <w:style w:type="paragraph" w:customStyle="1" w:styleId="FF53E0BF42824E46A680B28390AF7213">
    <w:name w:val="FF53E0BF42824E46A680B28390AF7213"/>
    <w:rsid w:val="0040538E"/>
    <w:pPr>
      <w:widowControl w:val="0"/>
      <w:jc w:val="both"/>
    </w:pPr>
  </w:style>
  <w:style w:type="paragraph" w:customStyle="1" w:styleId="7C69442CF58D4279B30C7E12382C3A0D">
    <w:name w:val="7C69442CF58D4279B30C7E12382C3A0D"/>
    <w:rsid w:val="0040538E"/>
    <w:pPr>
      <w:widowControl w:val="0"/>
      <w:jc w:val="both"/>
    </w:pPr>
  </w:style>
  <w:style w:type="paragraph" w:customStyle="1" w:styleId="ACE427C6F859465D9AFC577C1BD22D76">
    <w:name w:val="ACE427C6F859465D9AFC577C1BD22D76"/>
    <w:rsid w:val="0040538E"/>
    <w:pPr>
      <w:widowControl w:val="0"/>
      <w:jc w:val="both"/>
    </w:pPr>
  </w:style>
  <w:style w:type="paragraph" w:customStyle="1" w:styleId="BBB4CA2038744E4CB0608C4096182B32">
    <w:name w:val="BBB4CA2038744E4CB0608C4096182B32"/>
    <w:rsid w:val="0040538E"/>
    <w:pPr>
      <w:widowControl w:val="0"/>
      <w:jc w:val="both"/>
    </w:pPr>
  </w:style>
  <w:style w:type="paragraph" w:customStyle="1" w:styleId="7E35E921FEC049A893A0AFE31636E017">
    <w:name w:val="7E35E921FEC049A893A0AFE31636E017"/>
    <w:rsid w:val="0040538E"/>
    <w:pPr>
      <w:widowControl w:val="0"/>
      <w:jc w:val="both"/>
    </w:pPr>
  </w:style>
  <w:style w:type="paragraph" w:customStyle="1" w:styleId="11BF44465D464693A7907A662A9F3ABF">
    <w:name w:val="11BF44465D464693A7907A662A9F3ABF"/>
    <w:rsid w:val="0040538E"/>
    <w:pPr>
      <w:widowControl w:val="0"/>
      <w:jc w:val="both"/>
    </w:pPr>
  </w:style>
  <w:style w:type="paragraph" w:customStyle="1" w:styleId="D979FAE2FC4141329A709657496EF7BF">
    <w:name w:val="D979FAE2FC4141329A709657496EF7BF"/>
    <w:rsid w:val="0040538E"/>
    <w:pPr>
      <w:widowControl w:val="0"/>
      <w:jc w:val="both"/>
    </w:pPr>
  </w:style>
  <w:style w:type="paragraph" w:customStyle="1" w:styleId="E2A412B5C0AA4EE5A520304AFB9A016B">
    <w:name w:val="E2A412B5C0AA4EE5A520304AFB9A016B"/>
    <w:rsid w:val="0040538E"/>
    <w:pPr>
      <w:widowControl w:val="0"/>
      <w:jc w:val="both"/>
    </w:pPr>
  </w:style>
  <w:style w:type="paragraph" w:customStyle="1" w:styleId="712A8EA2DB4547358BA5B48EEE1AC521">
    <w:name w:val="712A8EA2DB4547358BA5B48EEE1AC521"/>
    <w:rsid w:val="0040538E"/>
    <w:pPr>
      <w:widowControl w:val="0"/>
      <w:jc w:val="both"/>
    </w:pPr>
  </w:style>
  <w:style w:type="paragraph" w:customStyle="1" w:styleId="84D91B527DA84138BF3E039DF49DFEDB">
    <w:name w:val="84D91B527DA84138BF3E039DF49DFEDB"/>
    <w:rsid w:val="0040538E"/>
    <w:pPr>
      <w:widowControl w:val="0"/>
      <w:jc w:val="both"/>
    </w:pPr>
  </w:style>
  <w:style w:type="paragraph" w:customStyle="1" w:styleId="BA988575B03E4706B48652B10171357D">
    <w:name w:val="BA988575B03E4706B48652B10171357D"/>
    <w:rsid w:val="0040538E"/>
    <w:pPr>
      <w:widowControl w:val="0"/>
      <w:jc w:val="both"/>
    </w:pPr>
  </w:style>
  <w:style w:type="paragraph" w:customStyle="1" w:styleId="50F4F0FBDB214F32B707DF992BF0E15E">
    <w:name w:val="50F4F0FBDB214F32B707DF992BF0E15E"/>
    <w:rsid w:val="0040538E"/>
    <w:pPr>
      <w:widowControl w:val="0"/>
      <w:jc w:val="both"/>
    </w:pPr>
  </w:style>
  <w:style w:type="paragraph" w:customStyle="1" w:styleId="5B0894A7CE314D59B907173B4FDDCD08">
    <w:name w:val="5B0894A7CE314D59B907173B4FDDCD08"/>
    <w:rsid w:val="0040538E"/>
    <w:pPr>
      <w:widowControl w:val="0"/>
      <w:jc w:val="both"/>
    </w:pPr>
  </w:style>
  <w:style w:type="paragraph" w:customStyle="1" w:styleId="4F7ECE6E42E24D74B182A67994D3BD69">
    <w:name w:val="4F7ECE6E42E24D74B182A67994D3BD69"/>
    <w:rsid w:val="0040538E"/>
    <w:pPr>
      <w:widowControl w:val="0"/>
      <w:jc w:val="both"/>
    </w:pPr>
  </w:style>
  <w:style w:type="paragraph" w:customStyle="1" w:styleId="DDCA207EC4FE4C0DB572DA9C5BC9D3DB">
    <w:name w:val="DDCA207EC4FE4C0DB572DA9C5BC9D3DB"/>
    <w:rsid w:val="0040538E"/>
    <w:pPr>
      <w:widowControl w:val="0"/>
      <w:jc w:val="both"/>
    </w:pPr>
  </w:style>
  <w:style w:type="paragraph" w:customStyle="1" w:styleId="A2872A3FFACE46FB9EE1D81A0257D5C6">
    <w:name w:val="A2872A3FFACE46FB9EE1D81A0257D5C6"/>
    <w:rsid w:val="0040538E"/>
    <w:pPr>
      <w:widowControl w:val="0"/>
      <w:jc w:val="both"/>
    </w:pPr>
  </w:style>
  <w:style w:type="paragraph" w:customStyle="1" w:styleId="55A0927A7CCF41B99AD7E831301DC4EC">
    <w:name w:val="55A0927A7CCF41B99AD7E831301DC4EC"/>
    <w:rsid w:val="0040538E"/>
    <w:pPr>
      <w:widowControl w:val="0"/>
      <w:jc w:val="both"/>
    </w:pPr>
  </w:style>
  <w:style w:type="paragraph" w:customStyle="1" w:styleId="8B23EA0876E64D7EA54A23DC3BD414DD">
    <w:name w:val="8B23EA0876E64D7EA54A23DC3BD414DD"/>
    <w:rsid w:val="003A57BE"/>
    <w:pPr>
      <w:widowControl w:val="0"/>
      <w:jc w:val="both"/>
    </w:pPr>
  </w:style>
  <w:style w:type="paragraph" w:customStyle="1" w:styleId="AF2344D095D848F3881DD6AC40392CA2">
    <w:name w:val="AF2344D095D848F3881DD6AC40392CA2"/>
    <w:rsid w:val="003A57BE"/>
    <w:pPr>
      <w:widowControl w:val="0"/>
      <w:jc w:val="both"/>
    </w:pPr>
  </w:style>
  <w:style w:type="paragraph" w:customStyle="1" w:styleId="60DB175CA4964BC4AC65367D49D1B367">
    <w:name w:val="60DB175CA4964BC4AC65367D49D1B367"/>
    <w:rsid w:val="003A57BE"/>
    <w:pPr>
      <w:widowControl w:val="0"/>
      <w:jc w:val="both"/>
    </w:pPr>
  </w:style>
  <w:style w:type="paragraph" w:customStyle="1" w:styleId="A1313E6FA722417786B659470D4A43DC">
    <w:name w:val="A1313E6FA722417786B659470D4A43DC"/>
    <w:rsid w:val="003A57BE"/>
    <w:pPr>
      <w:widowControl w:val="0"/>
      <w:jc w:val="both"/>
    </w:pPr>
  </w:style>
  <w:style w:type="paragraph" w:customStyle="1" w:styleId="A12E4E3554EB4917915E30473C8CEE00">
    <w:name w:val="A12E4E3554EB4917915E30473C8CEE00"/>
    <w:rsid w:val="003A57BE"/>
    <w:pPr>
      <w:widowControl w:val="0"/>
      <w:jc w:val="both"/>
    </w:pPr>
  </w:style>
  <w:style w:type="paragraph" w:customStyle="1" w:styleId="4B77D40D85DE46E6B5F5C0ED126584CD">
    <w:name w:val="4B77D40D85DE46E6B5F5C0ED126584CD"/>
    <w:rsid w:val="003A57BE"/>
    <w:pPr>
      <w:widowControl w:val="0"/>
      <w:jc w:val="both"/>
    </w:pPr>
  </w:style>
  <w:style w:type="paragraph" w:customStyle="1" w:styleId="04D9A75CE3DA476F847FF944C7DDB20B">
    <w:name w:val="04D9A75CE3DA476F847FF944C7DDB20B"/>
    <w:rsid w:val="003A57BE"/>
    <w:pPr>
      <w:widowControl w:val="0"/>
      <w:jc w:val="both"/>
    </w:pPr>
  </w:style>
  <w:style w:type="paragraph" w:customStyle="1" w:styleId="ED9D5126D63440FE8FDBE139720E8E25">
    <w:name w:val="ED9D5126D63440FE8FDBE139720E8E25"/>
    <w:rsid w:val="003A57BE"/>
    <w:pPr>
      <w:widowControl w:val="0"/>
      <w:jc w:val="both"/>
    </w:pPr>
  </w:style>
  <w:style w:type="paragraph" w:customStyle="1" w:styleId="260DBA37B2DF4093B7102674DEBBB849">
    <w:name w:val="260DBA37B2DF4093B7102674DEBBB849"/>
    <w:rsid w:val="003A57BE"/>
    <w:pPr>
      <w:widowControl w:val="0"/>
      <w:jc w:val="both"/>
    </w:pPr>
  </w:style>
  <w:style w:type="paragraph" w:customStyle="1" w:styleId="4F8A572300E14014B6F1965EE3181846">
    <w:name w:val="4F8A572300E14014B6F1965EE3181846"/>
    <w:rsid w:val="003A57BE"/>
    <w:pPr>
      <w:widowControl w:val="0"/>
      <w:jc w:val="both"/>
    </w:pPr>
  </w:style>
  <w:style w:type="paragraph" w:customStyle="1" w:styleId="04D2D25FE28A42C6A56D7AB4690DE988">
    <w:name w:val="04D2D25FE28A42C6A56D7AB4690DE988"/>
    <w:rsid w:val="003A57BE"/>
    <w:pPr>
      <w:widowControl w:val="0"/>
      <w:jc w:val="both"/>
    </w:pPr>
  </w:style>
  <w:style w:type="paragraph" w:customStyle="1" w:styleId="1E153687E5A84E4D8ADD8129466D0EBA">
    <w:name w:val="1E153687E5A84E4D8ADD8129466D0EBA"/>
    <w:rsid w:val="003A57BE"/>
    <w:pPr>
      <w:widowControl w:val="0"/>
      <w:jc w:val="both"/>
    </w:pPr>
  </w:style>
  <w:style w:type="paragraph" w:customStyle="1" w:styleId="78D5D8BA15534D289F5C86DFB6F7FE86">
    <w:name w:val="78D5D8BA15534D289F5C86DFB6F7FE86"/>
    <w:rsid w:val="003A57BE"/>
    <w:pPr>
      <w:widowControl w:val="0"/>
      <w:jc w:val="both"/>
    </w:pPr>
  </w:style>
  <w:style w:type="paragraph" w:customStyle="1" w:styleId="722D48B16B784223BAD14F80CAD1640D">
    <w:name w:val="722D48B16B784223BAD14F80CAD1640D"/>
    <w:rsid w:val="003A57BE"/>
    <w:pPr>
      <w:widowControl w:val="0"/>
      <w:jc w:val="both"/>
    </w:pPr>
  </w:style>
  <w:style w:type="paragraph" w:customStyle="1" w:styleId="885C9D97DE5249FE848279363828B057">
    <w:name w:val="885C9D97DE5249FE848279363828B057"/>
    <w:rsid w:val="003A57BE"/>
    <w:pPr>
      <w:widowControl w:val="0"/>
      <w:jc w:val="both"/>
    </w:pPr>
  </w:style>
  <w:style w:type="paragraph" w:customStyle="1" w:styleId="F9A3CA4BFE8249B1ABB53935BD45C638">
    <w:name w:val="F9A3CA4BFE8249B1ABB53935BD45C638"/>
    <w:rsid w:val="003A57BE"/>
    <w:pPr>
      <w:widowControl w:val="0"/>
      <w:jc w:val="both"/>
    </w:pPr>
  </w:style>
  <w:style w:type="paragraph" w:customStyle="1" w:styleId="BF7CA9A8F40143569E7BAE98613809DC">
    <w:name w:val="BF7CA9A8F40143569E7BAE98613809DC"/>
    <w:rsid w:val="003A57BE"/>
    <w:pPr>
      <w:widowControl w:val="0"/>
      <w:jc w:val="both"/>
    </w:pPr>
  </w:style>
  <w:style w:type="paragraph" w:customStyle="1" w:styleId="E0F01C70317340A48B961246D84A0BB1">
    <w:name w:val="E0F01C70317340A48B961246D84A0BB1"/>
    <w:rsid w:val="003A57BE"/>
    <w:pPr>
      <w:widowControl w:val="0"/>
      <w:jc w:val="both"/>
    </w:pPr>
  </w:style>
  <w:style w:type="paragraph" w:customStyle="1" w:styleId="C304458F1C164156B97C7FC1E220B2EF">
    <w:name w:val="C304458F1C164156B97C7FC1E220B2EF"/>
    <w:rsid w:val="003A57BE"/>
    <w:pPr>
      <w:widowControl w:val="0"/>
      <w:jc w:val="both"/>
    </w:pPr>
  </w:style>
  <w:style w:type="paragraph" w:customStyle="1" w:styleId="B535D601B6EB448EB32A578A4850D2A9">
    <w:name w:val="B535D601B6EB448EB32A578A4850D2A9"/>
    <w:rsid w:val="003A57BE"/>
    <w:pPr>
      <w:widowControl w:val="0"/>
      <w:jc w:val="both"/>
    </w:pPr>
  </w:style>
  <w:style w:type="paragraph" w:customStyle="1" w:styleId="A3E5DB977BBB4DF8A47801AC2A85DE7B">
    <w:name w:val="A3E5DB977BBB4DF8A47801AC2A85DE7B"/>
    <w:rsid w:val="003A57BE"/>
    <w:pPr>
      <w:widowControl w:val="0"/>
      <w:jc w:val="both"/>
    </w:pPr>
  </w:style>
  <w:style w:type="paragraph" w:customStyle="1" w:styleId="D153881ECD5D47DD89D65C903855E432">
    <w:name w:val="D153881ECD5D47DD89D65C903855E432"/>
    <w:rsid w:val="003A57BE"/>
    <w:pPr>
      <w:widowControl w:val="0"/>
      <w:jc w:val="both"/>
    </w:pPr>
  </w:style>
  <w:style w:type="paragraph" w:customStyle="1" w:styleId="4B5F70326A8445F78AFED68B8BD1787D">
    <w:name w:val="4B5F70326A8445F78AFED68B8BD1787D"/>
    <w:rsid w:val="003A57BE"/>
    <w:pPr>
      <w:widowControl w:val="0"/>
      <w:jc w:val="both"/>
    </w:pPr>
  </w:style>
  <w:style w:type="paragraph" w:customStyle="1" w:styleId="059D22B038614D989782F120F56922A8">
    <w:name w:val="059D22B038614D989782F120F56922A8"/>
    <w:rsid w:val="003A57BE"/>
    <w:pPr>
      <w:widowControl w:val="0"/>
      <w:jc w:val="both"/>
    </w:pPr>
  </w:style>
  <w:style w:type="paragraph" w:customStyle="1" w:styleId="04118A0C67E8433F9116FD8DC78EE473">
    <w:name w:val="04118A0C67E8433F9116FD8DC78EE473"/>
    <w:rsid w:val="003A57BE"/>
    <w:pPr>
      <w:widowControl w:val="0"/>
      <w:jc w:val="both"/>
    </w:pPr>
  </w:style>
  <w:style w:type="paragraph" w:customStyle="1" w:styleId="A4BEE34DD1824C60B7B0E4FA61682903">
    <w:name w:val="A4BEE34DD1824C60B7B0E4FA61682903"/>
    <w:rsid w:val="003A57BE"/>
    <w:pPr>
      <w:widowControl w:val="0"/>
      <w:jc w:val="both"/>
    </w:pPr>
  </w:style>
  <w:style w:type="paragraph" w:customStyle="1" w:styleId="EE374B2858CA4852AA17C5B5A61743F2">
    <w:name w:val="EE374B2858CA4852AA17C5B5A61743F2"/>
    <w:rsid w:val="003A57BE"/>
    <w:pPr>
      <w:widowControl w:val="0"/>
      <w:jc w:val="both"/>
    </w:pPr>
  </w:style>
  <w:style w:type="paragraph" w:customStyle="1" w:styleId="3CA4BFCC023B4BA294D7F740FBA6019F">
    <w:name w:val="3CA4BFCC023B4BA294D7F740FBA6019F"/>
    <w:rsid w:val="003A57BE"/>
    <w:pPr>
      <w:widowControl w:val="0"/>
      <w:jc w:val="both"/>
    </w:pPr>
  </w:style>
  <w:style w:type="paragraph" w:customStyle="1" w:styleId="EB603C8659174FD7B7A719043F3AE6F6">
    <w:name w:val="EB603C8659174FD7B7A719043F3AE6F6"/>
    <w:rsid w:val="003A57BE"/>
    <w:pPr>
      <w:widowControl w:val="0"/>
      <w:jc w:val="both"/>
    </w:pPr>
  </w:style>
  <w:style w:type="paragraph" w:customStyle="1" w:styleId="4A40FE552DF04688A92FBC372F0FCFB0">
    <w:name w:val="4A40FE552DF04688A92FBC372F0FCFB0"/>
    <w:rsid w:val="003A57BE"/>
    <w:pPr>
      <w:widowControl w:val="0"/>
      <w:jc w:val="both"/>
    </w:pPr>
  </w:style>
  <w:style w:type="paragraph" w:customStyle="1" w:styleId="5592B0C3BF3B4E45BE4BC2E388EB0328">
    <w:name w:val="5592B0C3BF3B4E45BE4BC2E388EB0328"/>
    <w:rsid w:val="003A57BE"/>
    <w:pPr>
      <w:widowControl w:val="0"/>
      <w:jc w:val="both"/>
    </w:pPr>
  </w:style>
  <w:style w:type="paragraph" w:customStyle="1" w:styleId="1B5F87795C41479C9CC60230BBE2EA5A">
    <w:name w:val="1B5F87795C41479C9CC60230BBE2EA5A"/>
    <w:rsid w:val="003A57BE"/>
    <w:pPr>
      <w:widowControl w:val="0"/>
      <w:jc w:val="both"/>
    </w:pPr>
  </w:style>
  <w:style w:type="paragraph" w:customStyle="1" w:styleId="FADF45351A954B6088D2989779884969">
    <w:name w:val="FADF45351A954B6088D2989779884969"/>
    <w:rsid w:val="003A57BE"/>
    <w:pPr>
      <w:widowControl w:val="0"/>
      <w:jc w:val="both"/>
    </w:pPr>
  </w:style>
  <w:style w:type="paragraph" w:customStyle="1" w:styleId="770E0038A3234CF68F98D19EA3A08C72">
    <w:name w:val="770E0038A3234CF68F98D19EA3A08C72"/>
    <w:rsid w:val="003A57BE"/>
    <w:pPr>
      <w:widowControl w:val="0"/>
      <w:jc w:val="both"/>
    </w:pPr>
  </w:style>
  <w:style w:type="paragraph" w:customStyle="1" w:styleId="9A1592E198A74C2993D12D7946CB91E9">
    <w:name w:val="9A1592E198A74C2993D12D7946CB91E9"/>
    <w:rsid w:val="003A57BE"/>
    <w:pPr>
      <w:widowControl w:val="0"/>
      <w:jc w:val="both"/>
    </w:pPr>
  </w:style>
  <w:style w:type="paragraph" w:customStyle="1" w:styleId="45CBD715F6164F3188654A5AB2D37F44">
    <w:name w:val="45CBD715F6164F3188654A5AB2D37F44"/>
    <w:rsid w:val="003A57BE"/>
    <w:pPr>
      <w:widowControl w:val="0"/>
      <w:jc w:val="both"/>
    </w:pPr>
  </w:style>
  <w:style w:type="paragraph" w:customStyle="1" w:styleId="BACA0421FD84428FA9E3171A448959B5">
    <w:name w:val="BACA0421FD84428FA9E3171A448959B5"/>
    <w:rsid w:val="003A57BE"/>
    <w:pPr>
      <w:widowControl w:val="0"/>
      <w:jc w:val="both"/>
    </w:pPr>
  </w:style>
  <w:style w:type="paragraph" w:customStyle="1" w:styleId="E16525A3C3774209A092EB7C736A8BDD">
    <w:name w:val="E16525A3C3774209A092EB7C736A8BDD"/>
    <w:rsid w:val="003A57BE"/>
    <w:pPr>
      <w:widowControl w:val="0"/>
      <w:jc w:val="both"/>
    </w:pPr>
  </w:style>
  <w:style w:type="paragraph" w:customStyle="1" w:styleId="65FA50BF5DC947C697EFBC8563BBC965">
    <w:name w:val="65FA50BF5DC947C697EFBC8563BBC965"/>
    <w:rsid w:val="003A57BE"/>
    <w:pPr>
      <w:widowControl w:val="0"/>
      <w:jc w:val="both"/>
    </w:pPr>
  </w:style>
  <w:style w:type="paragraph" w:customStyle="1" w:styleId="99EC8B0B7D1641EC99CA93BBD6356D67">
    <w:name w:val="99EC8B0B7D1641EC99CA93BBD6356D67"/>
    <w:rsid w:val="003A57BE"/>
    <w:pPr>
      <w:widowControl w:val="0"/>
      <w:jc w:val="both"/>
    </w:pPr>
  </w:style>
  <w:style w:type="paragraph" w:customStyle="1" w:styleId="E08A81F7035940C99ECF2DC80A5FEB8B">
    <w:name w:val="E08A81F7035940C99ECF2DC80A5FEB8B"/>
    <w:rsid w:val="003A57BE"/>
    <w:pPr>
      <w:widowControl w:val="0"/>
      <w:jc w:val="both"/>
    </w:pPr>
  </w:style>
  <w:style w:type="paragraph" w:customStyle="1" w:styleId="EA328D08EDA94C8D90FA0ACB9F01CFD6">
    <w:name w:val="EA328D08EDA94C8D90FA0ACB9F01CFD6"/>
    <w:rsid w:val="003A57BE"/>
    <w:pPr>
      <w:widowControl w:val="0"/>
      <w:jc w:val="both"/>
    </w:pPr>
  </w:style>
  <w:style w:type="paragraph" w:customStyle="1" w:styleId="AF0B265F61FE42749DA054244AFB8361">
    <w:name w:val="AF0B265F61FE42749DA054244AFB8361"/>
    <w:rsid w:val="003A57BE"/>
    <w:pPr>
      <w:widowControl w:val="0"/>
      <w:jc w:val="both"/>
    </w:pPr>
  </w:style>
  <w:style w:type="paragraph" w:customStyle="1" w:styleId="D369BE4D33C345EBBE124E8CE955701A">
    <w:name w:val="D369BE4D33C345EBBE124E8CE955701A"/>
    <w:rsid w:val="003A57BE"/>
    <w:pPr>
      <w:widowControl w:val="0"/>
      <w:jc w:val="both"/>
    </w:pPr>
  </w:style>
  <w:style w:type="paragraph" w:customStyle="1" w:styleId="5BD53A358A0C41999C18801A3C2EE3C1">
    <w:name w:val="5BD53A358A0C41999C18801A3C2EE3C1"/>
    <w:rsid w:val="003A57BE"/>
    <w:pPr>
      <w:widowControl w:val="0"/>
      <w:jc w:val="both"/>
    </w:pPr>
  </w:style>
  <w:style w:type="paragraph" w:customStyle="1" w:styleId="D9FFE7B1184242029ED7421F68CC9967">
    <w:name w:val="D9FFE7B1184242029ED7421F68CC9967"/>
    <w:rsid w:val="003A57BE"/>
    <w:pPr>
      <w:widowControl w:val="0"/>
      <w:jc w:val="both"/>
    </w:pPr>
  </w:style>
  <w:style w:type="paragraph" w:customStyle="1" w:styleId="0CF6E328DE4B4E77916D91C5F3A004A9">
    <w:name w:val="0CF6E328DE4B4E77916D91C5F3A004A9"/>
    <w:rsid w:val="003A57BE"/>
    <w:pPr>
      <w:widowControl w:val="0"/>
      <w:jc w:val="both"/>
    </w:pPr>
  </w:style>
  <w:style w:type="paragraph" w:customStyle="1" w:styleId="1D6ACBBDF4C94453B3BA39C1C5E2FDF0">
    <w:name w:val="1D6ACBBDF4C94453B3BA39C1C5E2FDF0"/>
    <w:rsid w:val="003A57BE"/>
    <w:pPr>
      <w:widowControl w:val="0"/>
      <w:jc w:val="both"/>
    </w:pPr>
  </w:style>
  <w:style w:type="paragraph" w:customStyle="1" w:styleId="4E8E5398F6444B5FB1EAEB181097CB94">
    <w:name w:val="4E8E5398F6444B5FB1EAEB181097CB94"/>
    <w:rsid w:val="003A57BE"/>
    <w:pPr>
      <w:widowControl w:val="0"/>
      <w:jc w:val="both"/>
    </w:pPr>
  </w:style>
  <w:style w:type="paragraph" w:customStyle="1" w:styleId="4BB62800E677476CB2832D4084E1F0B9">
    <w:name w:val="4BB62800E677476CB2832D4084E1F0B9"/>
    <w:rsid w:val="003A57BE"/>
    <w:pPr>
      <w:widowControl w:val="0"/>
      <w:jc w:val="both"/>
    </w:pPr>
  </w:style>
  <w:style w:type="paragraph" w:customStyle="1" w:styleId="AFB8304F0670477297EE293E2E705134">
    <w:name w:val="AFB8304F0670477297EE293E2E705134"/>
    <w:rsid w:val="003A57BE"/>
    <w:pPr>
      <w:widowControl w:val="0"/>
      <w:jc w:val="both"/>
    </w:pPr>
  </w:style>
  <w:style w:type="paragraph" w:customStyle="1" w:styleId="30FB8AE8AB7A446AB9E7B3FCF68BCF4F">
    <w:name w:val="30FB8AE8AB7A446AB9E7B3FCF68BCF4F"/>
    <w:rsid w:val="003A57BE"/>
    <w:pPr>
      <w:widowControl w:val="0"/>
      <w:jc w:val="both"/>
    </w:pPr>
  </w:style>
  <w:style w:type="paragraph" w:customStyle="1" w:styleId="29DC4BEDDC7042E5A9A39D7D887718FD">
    <w:name w:val="29DC4BEDDC7042E5A9A39D7D887718FD"/>
    <w:rsid w:val="003A57BE"/>
    <w:pPr>
      <w:widowControl w:val="0"/>
      <w:jc w:val="both"/>
    </w:pPr>
  </w:style>
  <w:style w:type="paragraph" w:customStyle="1" w:styleId="F8E52335D3F1483A80A1ED3A31FEEFCD">
    <w:name w:val="F8E52335D3F1483A80A1ED3A31FEEFCD"/>
    <w:rsid w:val="003A57BE"/>
    <w:pPr>
      <w:widowControl w:val="0"/>
      <w:jc w:val="both"/>
    </w:pPr>
  </w:style>
  <w:style w:type="paragraph" w:customStyle="1" w:styleId="359687DCFCDC4B8CAB38618E3199B900">
    <w:name w:val="359687DCFCDC4B8CAB38618E3199B900"/>
    <w:rsid w:val="003A57BE"/>
    <w:pPr>
      <w:widowControl w:val="0"/>
      <w:jc w:val="both"/>
    </w:pPr>
  </w:style>
  <w:style w:type="paragraph" w:customStyle="1" w:styleId="7E42F807A19E4D048B9C09A1BD83A00E">
    <w:name w:val="7E42F807A19E4D048B9C09A1BD83A00E"/>
    <w:rsid w:val="003A57BE"/>
    <w:pPr>
      <w:widowControl w:val="0"/>
      <w:jc w:val="both"/>
    </w:pPr>
  </w:style>
  <w:style w:type="paragraph" w:customStyle="1" w:styleId="B15D66855832481397DA2E1D91080D99">
    <w:name w:val="B15D66855832481397DA2E1D91080D99"/>
    <w:rsid w:val="003A57BE"/>
    <w:pPr>
      <w:widowControl w:val="0"/>
      <w:jc w:val="both"/>
    </w:pPr>
  </w:style>
  <w:style w:type="paragraph" w:customStyle="1" w:styleId="C2C29F330AD14C3C8CCAE173CE96ED46">
    <w:name w:val="C2C29F330AD14C3C8CCAE173CE96ED46"/>
    <w:rsid w:val="003A57BE"/>
    <w:pPr>
      <w:widowControl w:val="0"/>
      <w:jc w:val="both"/>
    </w:pPr>
  </w:style>
  <w:style w:type="paragraph" w:customStyle="1" w:styleId="C8E2DBCA73084FD1A634C2C44EE80FEE">
    <w:name w:val="C8E2DBCA73084FD1A634C2C44EE80FEE"/>
    <w:rsid w:val="003A57BE"/>
    <w:pPr>
      <w:widowControl w:val="0"/>
      <w:jc w:val="both"/>
    </w:pPr>
  </w:style>
  <w:style w:type="paragraph" w:customStyle="1" w:styleId="9F8BBBC9729B406F90D371C1F7F84994">
    <w:name w:val="9F8BBBC9729B406F90D371C1F7F84994"/>
    <w:rsid w:val="003A57BE"/>
    <w:pPr>
      <w:widowControl w:val="0"/>
      <w:jc w:val="both"/>
    </w:pPr>
  </w:style>
  <w:style w:type="paragraph" w:customStyle="1" w:styleId="A1F3CFC90FEE41FBB15C7F011E104BA8">
    <w:name w:val="A1F3CFC90FEE41FBB15C7F011E104BA8"/>
    <w:rsid w:val="003A57BE"/>
    <w:pPr>
      <w:widowControl w:val="0"/>
      <w:jc w:val="both"/>
    </w:pPr>
  </w:style>
  <w:style w:type="paragraph" w:customStyle="1" w:styleId="3A53C976A5D440F986B2F84DBC7F632A">
    <w:name w:val="3A53C976A5D440F986B2F84DBC7F632A"/>
    <w:rsid w:val="003A57BE"/>
    <w:pPr>
      <w:widowControl w:val="0"/>
      <w:jc w:val="both"/>
    </w:pPr>
  </w:style>
  <w:style w:type="paragraph" w:customStyle="1" w:styleId="79E01D9434B646E4BB46018B217A59CF">
    <w:name w:val="79E01D9434B646E4BB46018B217A59CF"/>
    <w:rsid w:val="003A57BE"/>
    <w:pPr>
      <w:widowControl w:val="0"/>
      <w:jc w:val="both"/>
    </w:pPr>
  </w:style>
  <w:style w:type="paragraph" w:customStyle="1" w:styleId="EBE532FA78C443C5B0794D80586FA19A">
    <w:name w:val="EBE532FA78C443C5B0794D80586FA19A"/>
    <w:rsid w:val="003A57BE"/>
    <w:pPr>
      <w:widowControl w:val="0"/>
      <w:jc w:val="both"/>
    </w:pPr>
  </w:style>
  <w:style w:type="paragraph" w:customStyle="1" w:styleId="75D04639AA03439EA6D553440C6D2072">
    <w:name w:val="75D04639AA03439EA6D553440C6D2072"/>
    <w:rsid w:val="003A57BE"/>
    <w:pPr>
      <w:widowControl w:val="0"/>
      <w:jc w:val="both"/>
    </w:pPr>
  </w:style>
  <w:style w:type="paragraph" w:customStyle="1" w:styleId="68407E853CB348E38295FA6C56C3804C">
    <w:name w:val="68407E853CB348E38295FA6C56C3804C"/>
    <w:rsid w:val="003A57BE"/>
    <w:pPr>
      <w:widowControl w:val="0"/>
      <w:jc w:val="both"/>
    </w:pPr>
  </w:style>
  <w:style w:type="paragraph" w:customStyle="1" w:styleId="C8FCD071F3434455B70C8A6267DCE2C3">
    <w:name w:val="C8FCD071F3434455B70C8A6267DCE2C3"/>
    <w:rsid w:val="003A57BE"/>
    <w:pPr>
      <w:widowControl w:val="0"/>
      <w:jc w:val="both"/>
    </w:pPr>
  </w:style>
  <w:style w:type="paragraph" w:customStyle="1" w:styleId="27CD1ED5E1CB4BFF9DBE79787C1CBD72">
    <w:name w:val="27CD1ED5E1CB4BFF9DBE79787C1CBD72"/>
    <w:rsid w:val="003A57BE"/>
    <w:pPr>
      <w:widowControl w:val="0"/>
      <w:jc w:val="both"/>
    </w:pPr>
  </w:style>
  <w:style w:type="paragraph" w:customStyle="1" w:styleId="92DB8563A75D4F8FBC24159B653FA84A">
    <w:name w:val="92DB8563A75D4F8FBC24159B653FA84A"/>
    <w:rsid w:val="003A57BE"/>
    <w:pPr>
      <w:widowControl w:val="0"/>
      <w:jc w:val="both"/>
    </w:pPr>
  </w:style>
  <w:style w:type="paragraph" w:customStyle="1" w:styleId="46689C2061334D6AAD74847F47697E64">
    <w:name w:val="46689C2061334D6AAD74847F47697E64"/>
    <w:rsid w:val="003A57BE"/>
    <w:pPr>
      <w:widowControl w:val="0"/>
      <w:jc w:val="both"/>
    </w:pPr>
  </w:style>
  <w:style w:type="paragraph" w:customStyle="1" w:styleId="9ED2984D7BFF44E3989FDA48C2842D48">
    <w:name w:val="9ED2984D7BFF44E3989FDA48C2842D48"/>
    <w:rsid w:val="003A57BE"/>
    <w:pPr>
      <w:widowControl w:val="0"/>
      <w:jc w:val="both"/>
    </w:pPr>
  </w:style>
  <w:style w:type="paragraph" w:customStyle="1" w:styleId="774A16369DCF4071B45F3774D6D8A83B">
    <w:name w:val="774A16369DCF4071B45F3774D6D8A83B"/>
    <w:rsid w:val="003A57BE"/>
    <w:pPr>
      <w:widowControl w:val="0"/>
      <w:jc w:val="both"/>
    </w:pPr>
  </w:style>
  <w:style w:type="paragraph" w:customStyle="1" w:styleId="1EA503D4C9314C2A9FBFCE08E27B1F68">
    <w:name w:val="1EA503D4C9314C2A9FBFCE08E27B1F68"/>
    <w:rsid w:val="003A57BE"/>
    <w:pPr>
      <w:widowControl w:val="0"/>
      <w:jc w:val="both"/>
    </w:pPr>
  </w:style>
  <w:style w:type="paragraph" w:customStyle="1" w:styleId="C8F770D2716B450DA239E4DB6AD7A2D6">
    <w:name w:val="C8F770D2716B450DA239E4DB6AD7A2D6"/>
    <w:rsid w:val="003A57BE"/>
    <w:pPr>
      <w:widowControl w:val="0"/>
      <w:jc w:val="both"/>
    </w:pPr>
  </w:style>
  <w:style w:type="paragraph" w:customStyle="1" w:styleId="AAB0BC0BC1414B67BE6DCFFDE40D57C4">
    <w:name w:val="AAB0BC0BC1414B67BE6DCFFDE40D57C4"/>
    <w:rsid w:val="003A57BE"/>
    <w:pPr>
      <w:widowControl w:val="0"/>
      <w:jc w:val="both"/>
    </w:pPr>
  </w:style>
  <w:style w:type="paragraph" w:customStyle="1" w:styleId="785D766534594E0CA23E97A14ADF7FA4">
    <w:name w:val="785D766534594E0CA23E97A14ADF7FA4"/>
    <w:rsid w:val="003A57BE"/>
    <w:pPr>
      <w:widowControl w:val="0"/>
      <w:jc w:val="both"/>
    </w:pPr>
  </w:style>
  <w:style w:type="paragraph" w:customStyle="1" w:styleId="03D3D752AE834D529F82B1D8AAC49D82">
    <w:name w:val="03D3D752AE834D529F82B1D8AAC49D82"/>
    <w:rsid w:val="003A57BE"/>
    <w:pPr>
      <w:widowControl w:val="0"/>
      <w:jc w:val="both"/>
    </w:pPr>
  </w:style>
  <w:style w:type="paragraph" w:customStyle="1" w:styleId="A9B35FC97F944189A61D6E8591B37793">
    <w:name w:val="A9B35FC97F944189A61D6E8591B37793"/>
    <w:rsid w:val="003A57BE"/>
    <w:pPr>
      <w:widowControl w:val="0"/>
      <w:jc w:val="both"/>
    </w:pPr>
  </w:style>
  <w:style w:type="paragraph" w:customStyle="1" w:styleId="7FCB459295B142549CA2C8BAC7871C82">
    <w:name w:val="7FCB459295B142549CA2C8BAC7871C82"/>
    <w:rsid w:val="003A57BE"/>
    <w:pPr>
      <w:widowControl w:val="0"/>
      <w:jc w:val="both"/>
    </w:pPr>
  </w:style>
  <w:style w:type="paragraph" w:customStyle="1" w:styleId="DEAB60B0D8654670BD0BE9DA7604A31E">
    <w:name w:val="DEAB60B0D8654670BD0BE9DA7604A31E"/>
    <w:rsid w:val="003A57BE"/>
    <w:pPr>
      <w:widowControl w:val="0"/>
      <w:jc w:val="both"/>
    </w:pPr>
  </w:style>
  <w:style w:type="paragraph" w:customStyle="1" w:styleId="7F79CED334654D488581B5E043F4965D">
    <w:name w:val="7F79CED334654D488581B5E043F4965D"/>
    <w:rsid w:val="003A57BE"/>
    <w:pPr>
      <w:widowControl w:val="0"/>
      <w:jc w:val="both"/>
    </w:pPr>
  </w:style>
  <w:style w:type="paragraph" w:customStyle="1" w:styleId="5EDDFE6B531A4D119ECDEBA4D5014584">
    <w:name w:val="5EDDFE6B531A4D119ECDEBA4D5014584"/>
    <w:rsid w:val="003A57BE"/>
    <w:pPr>
      <w:widowControl w:val="0"/>
      <w:jc w:val="both"/>
    </w:pPr>
  </w:style>
  <w:style w:type="paragraph" w:customStyle="1" w:styleId="452840179AF248EC987701E601EB5386">
    <w:name w:val="452840179AF248EC987701E601EB5386"/>
    <w:rsid w:val="003A57BE"/>
    <w:pPr>
      <w:widowControl w:val="0"/>
      <w:jc w:val="both"/>
    </w:pPr>
  </w:style>
  <w:style w:type="paragraph" w:customStyle="1" w:styleId="F23F1568FB8E4DB2AAB6441F4A2B01A3">
    <w:name w:val="F23F1568FB8E4DB2AAB6441F4A2B01A3"/>
    <w:rsid w:val="003A57BE"/>
    <w:pPr>
      <w:widowControl w:val="0"/>
      <w:jc w:val="both"/>
    </w:pPr>
  </w:style>
  <w:style w:type="paragraph" w:customStyle="1" w:styleId="7963AEA30B4841FD883BAC128518F45B">
    <w:name w:val="7963AEA30B4841FD883BAC128518F45B"/>
    <w:rsid w:val="003A57BE"/>
    <w:pPr>
      <w:widowControl w:val="0"/>
      <w:jc w:val="both"/>
    </w:pPr>
  </w:style>
  <w:style w:type="paragraph" w:customStyle="1" w:styleId="680192A0A50B47DAB0B014EB48327102">
    <w:name w:val="680192A0A50B47DAB0B014EB48327102"/>
    <w:rsid w:val="003A57BE"/>
    <w:pPr>
      <w:widowControl w:val="0"/>
      <w:jc w:val="both"/>
    </w:pPr>
  </w:style>
  <w:style w:type="paragraph" w:customStyle="1" w:styleId="2D62F597B7274AA7B825D7ED19FD09B6">
    <w:name w:val="2D62F597B7274AA7B825D7ED19FD09B6"/>
    <w:rsid w:val="003A57BE"/>
    <w:pPr>
      <w:widowControl w:val="0"/>
      <w:jc w:val="both"/>
    </w:pPr>
  </w:style>
  <w:style w:type="paragraph" w:customStyle="1" w:styleId="3BF727F8887C470D83A11C3105C0206E">
    <w:name w:val="3BF727F8887C470D83A11C3105C0206E"/>
    <w:rsid w:val="003A57BE"/>
    <w:pPr>
      <w:widowControl w:val="0"/>
      <w:jc w:val="both"/>
    </w:pPr>
  </w:style>
  <w:style w:type="paragraph" w:customStyle="1" w:styleId="12BBFB8BD820405AA938D6CD484B387A">
    <w:name w:val="12BBFB8BD820405AA938D6CD484B387A"/>
    <w:rsid w:val="003A57BE"/>
    <w:pPr>
      <w:widowControl w:val="0"/>
      <w:jc w:val="both"/>
    </w:pPr>
  </w:style>
  <w:style w:type="paragraph" w:customStyle="1" w:styleId="640B3647E9D141BDA8D505A329FC1D7E">
    <w:name w:val="640B3647E9D141BDA8D505A329FC1D7E"/>
    <w:rsid w:val="003A57BE"/>
    <w:pPr>
      <w:widowControl w:val="0"/>
      <w:jc w:val="both"/>
    </w:pPr>
  </w:style>
  <w:style w:type="paragraph" w:customStyle="1" w:styleId="4484ECBA7BA946D5A8D35821544306EF">
    <w:name w:val="4484ECBA7BA946D5A8D35821544306EF"/>
    <w:rsid w:val="003A57BE"/>
    <w:pPr>
      <w:widowControl w:val="0"/>
      <w:jc w:val="both"/>
    </w:pPr>
  </w:style>
  <w:style w:type="paragraph" w:customStyle="1" w:styleId="4674A1B24F6A41EFA8D7E0064B28F4BB">
    <w:name w:val="4674A1B24F6A41EFA8D7E0064B28F4BB"/>
    <w:rsid w:val="003A57BE"/>
    <w:pPr>
      <w:widowControl w:val="0"/>
      <w:jc w:val="both"/>
    </w:pPr>
  </w:style>
  <w:style w:type="paragraph" w:customStyle="1" w:styleId="802EE02BE7A4426C9E33BA46791A4E5B">
    <w:name w:val="802EE02BE7A4426C9E33BA46791A4E5B"/>
    <w:rsid w:val="003A57BE"/>
    <w:pPr>
      <w:widowControl w:val="0"/>
      <w:jc w:val="both"/>
    </w:pPr>
  </w:style>
  <w:style w:type="paragraph" w:customStyle="1" w:styleId="233CCA7AA9D64DD0B232C964955B2864">
    <w:name w:val="233CCA7AA9D64DD0B232C964955B2864"/>
    <w:rsid w:val="003A57BE"/>
    <w:pPr>
      <w:widowControl w:val="0"/>
      <w:jc w:val="both"/>
    </w:pPr>
  </w:style>
  <w:style w:type="paragraph" w:customStyle="1" w:styleId="EA9B695DBE574BC98CCB3C2A7B2730A8">
    <w:name w:val="EA9B695DBE574BC98CCB3C2A7B2730A8"/>
    <w:rsid w:val="003A57BE"/>
    <w:pPr>
      <w:widowControl w:val="0"/>
      <w:jc w:val="both"/>
    </w:pPr>
  </w:style>
  <w:style w:type="paragraph" w:customStyle="1" w:styleId="23F3720F9853414EA2DBB4677F0BC783">
    <w:name w:val="23F3720F9853414EA2DBB4677F0BC783"/>
    <w:rsid w:val="003A57BE"/>
    <w:pPr>
      <w:widowControl w:val="0"/>
      <w:jc w:val="both"/>
    </w:pPr>
  </w:style>
  <w:style w:type="paragraph" w:customStyle="1" w:styleId="357A25A9C30646E39F0C41A9CAD67661">
    <w:name w:val="357A25A9C30646E39F0C41A9CAD67661"/>
    <w:rsid w:val="003A57BE"/>
    <w:pPr>
      <w:widowControl w:val="0"/>
      <w:jc w:val="both"/>
    </w:pPr>
  </w:style>
  <w:style w:type="paragraph" w:customStyle="1" w:styleId="A9D8BA0559AF42ADA0D8EF37B5E10F49">
    <w:name w:val="A9D8BA0559AF42ADA0D8EF37B5E10F49"/>
    <w:rsid w:val="003A57BE"/>
    <w:pPr>
      <w:widowControl w:val="0"/>
      <w:jc w:val="both"/>
    </w:pPr>
  </w:style>
  <w:style w:type="paragraph" w:customStyle="1" w:styleId="EAA1FDE665DF4DFEB36887FA5BA5A9F1">
    <w:name w:val="EAA1FDE665DF4DFEB36887FA5BA5A9F1"/>
    <w:rsid w:val="003A57BE"/>
    <w:pPr>
      <w:widowControl w:val="0"/>
      <w:jc w:val="both"/>
    </w:pPr>
  </w:style>
  <w:style w:type="paragraph" w:customStyle="1" w:styleId="22502BF2BC4A443CA6D54B2C958599F6">
    <w:name w:val="22502BF2BC4A443CA6D54B2C958599F6"/>
    <w:rsid w:val="003A57BE"/>
    <w:pPr>
      <w:widowControl w:val="0"/>
      <w:jc w:val="both"/>
    </w:pPr>
  </w:style>
  <w:style w:type="paragraph" w:customStyle="1" w:styleId="61253DE1AAE9491A8A02905B5032EAFD">
    <w:name w:val="61253DE1AAE9491A8A02905B5032EAFD"/>
    <w:rsid w:val="003A57BE"/>
    <w:pPr>
      <w:widowControl w:val="0"/>
      <w:jc w:val="both"/>
    </w:pPr>
  </w:style>
  <w:style w:type="paragraph" w:customStyle="1" w:styleId="A4850D17F8E9488D9D6094B468844036">
    <w:name w:val="A4850D17F8E9488D9D6094B468844036"/>
    <w:rsid w:val="003A57BE"/>
    <w:pPr>
      <w:widowControl w:val="0"/>
      <w:jc w:val="both"/>
    </w:pPr>
  </w:style>
  <w:style w:type="paragraph" w:customStyle="1" w:styleId="930539F224F54196B64BD160B3A1F8D4">
    <w:name w:val="930539F224F54196B64BD160B3A1F8D4"/>
    <w:rsid w:val="003A57BE"/>
    <w:pPr>
      <w:widowControl w:val="0"/>
      <w:jc w:val="both"/>
    </w:pPr>
  </w:style>
  <w:style w:type="paragraph" w:customStyle="1" w:styleId="DCDFD8E987434054AA4AC17C7AD2CDC5">
    <w:name w:val="DCDFD8E987434054AA4AC17C7AD2CDC5"/>
    <w:rsid w:val="003A57BE"/>
    <w:pPr>
      <w:widowControl w:val="0"/>
      <w:jc w:val="both"/>
    </w:pPr>
  </w:style>
  <w:style w:type="paragraph" w:customStyle="1" w:styleId="27B84F07D8894FBF9D4AF1736D00089F">
    <w:name w:val="27B84F07D8894FBF9D4AF1736D00089F"/>
    <w:rsid w:val="003A57BE"/>
    <w:pPr>
      <w:widowControl w:val="0"/>
      <w:jc w:val="both"/>
    </w:pPr>
  </w:style>
  <w:style w:type="paragraph" w:customStyle="1" w:styleId="E76EBC5CCADF4CE9A8C58A4E56236D1E">
    <w:name w:val="E76EBC5CCADF4CE9A8C58A4E56236D1E"/>
    <w:rsid w:val="003A57BE"/>
    <w:pPr>
      <w:widowControl w:val="0"/>
      <w:jc w:val="both"/>
    </w:pPr>
  </w:style>
  <w:style w:type="paragraph" w:customStyle="1" w:styleId="E1EE4D1B5F2A4CA59B843FE248B34F24">
    <w:name w:val="E1EE4D1B5F2A4CA59B843FE248B34F24"/>
    <w:rsid w:val="003F227A"/>
    <w:pPr>
      <w:widowControl w:val="0"/>
      <w:jc w:val="both"/>
    </w:pPr>
  </w:style>
  <w:style w:type="paragraph" w:customStyle="1" w:styleId="8ECA6FD7AEE14CF4AA32CF870986C469">
    <w:name w:val="8ECA6FD7AEE14CF4AA32CF870986C469"/>
    <w:rsid w:val="003F227A"/>
    <w:pPr>
      <w:widowControl w:val="0"/>
      <w:jc w:val="both"/>
    </w:pPr>
  </w:style>
  <w:style w:type="paragraph" w:customStyle="1" w:styleId="2EE83EA8D0614D0583BFF4122596DA61">
    <w:name w:val="2EE83EA8D0614D0583BFF4122596DA61"/>
    <w:rsid w:val="003F227A"/>
    <w:pPr>
      <w:widowControl w:val="0"/>
      <w:jc w:val="both"/>
    </w:pPr>
  </w:style>
  <w:style w:type="paragraph" w:customStyle="1" w:styleId="34439EB5B8D6400C9E425C0B1A62D25D">
    <w:name w:val="34439EB5B8D6400C9E425C0B1A62D25D"/>
    <w:rsid w:val="003F227A"/>
    <w:pPr>
      <w:widowControl w:val="0"/>
      <w:jc w:val="both"/>
    </w:pPr>
  </w:style>
  <w:style w:type="paragraph" w:customStyle="1" w:styleId="3E44D4DA077740B6BB933C4ED14883AC">
    <w:name w:val="3E44D4DA077740B6BB933C4ED14883AC"/>
    <w:rsid w:val="00723553"/>
    <w:pPr>
      <w:widowControl w:val="0"/>
      <w:jc w:val="both"/>
    </w:pPr>
  </w:style>
  <w:style w:type="paragraph" w:customStyle="1" w:styleId="1FD692587FE04D18B61802D1A647A5B6">
    <w:name w:val="1FD692587FE04D18B61802D1A647A5B6"/>
    <w:rsid w:val="005D276A"/>
    <w:pPr>
      <w:widowControl w:val="0"/>
      <w:jc w:val="both"/>
    </w:pPr>
  </w:style>
  <w:style w:type="paragraph" w:customStyle="1" w:styleId="F6D662404947493F8F074B4C3CF2A98B">
    <w:name w:val="F6D662404947493F8F074B4C3CF2A98B"/>
    <w:rsid w:val="0043200C"/>
    <w:pPr>
      <w:widowControl w:val="0"/>
      <w:jc w:val="both"/>
    </w:pPr>
  </w:style>
  <w:style w:type="paragraph" w:customStyle="1" w:styleId="DD009FF942CA4D78B480ECFDE060E61C">
    <w:name w:val="DD009FF942CA4D78B480ECFDE060E61C"/>
    <w:rsid w:val="0043200C"/>
    <w:pPr>
      <w:widowControl w:val="0"/>
      <w:jc w:val="both"/>
    </w:pPr>
  </w:style>
  <w:style w:type="paragraph" w:customStyle="1" w:styleId="2147C2F5225E42DAB1759B2C489A4EC3">
    <w:name w:val="2147C2F5225E42DAB1759B2C489A4EC3"/>
    <w:rsid w:val="0043200C"/>
    <w:pPr>
      <w:widowControl w:val="0"/>
      <w:jc w:val="both"/>
    </w:pPr>
  </w:style>
  <w:style w:type="paragraph" w:customStyle="1" w:styleId="E9D92AB775B34514AEF3E8F3A873E37E">
    <w:name w:val="E9D92AB775B34514AEF3E8F3A873E37E"/>
    <w:rsid w:val="0043200C"/>
    <w:pPr>
      <w:widowControl w:val="0"/>
      <w:jc w:val="both"/>
    </w:pPr>
  </w:style>
  <w:style w:type="paragraph" w:customStyle="1" w:styleId="5C9F695FA7D04046B3544BC4BCAD6EC8">
    <w:name w:val="5C9F695FA7D04046B3544BC4BCAD6EC8"/>
    <w:rsid w:val="00F538DB"/>
    <w:pPr>
      <w:widowControl w:val="0"/>
      <w:jc w:val="both"/>
    </w:pPr>
  </w:style>
  <w:style w:type="paragraph" w:customStyle="1" w:styleId="263B06B9EB8D469983698D7D29F69B81">
    <w:name w:val="263B06B9EB8D469983698D7D29F69B81"/>
    <w:rsid w:val="00F538DB"/>
    <w:pPr>
      <w:widowControl w:val="0"/>
      <w:jc w:val="both"/>
    </w:pPr>
  </w:style>
  <w:style w:type="paragraph" w:customStyle="1" w:styleId="26C21D037B464793B8CD8D08A3B36958">
    <w:name w:val="26C21D037B464793B8CD8D08A3B36958"/>
    <w:rsid w:val="00F538DB"/>
    <w:pPr>
      <w:widowControl w:val="0"/>
      <w:jc w:val="both"/>
    </w:pPr>
  </w:style>
  <w:style w:type="paragraph" w:customStyle="1" w:styleId="5838918C40D34FBA9096A1CE8D6A603D">
    <w:name w:val="5838918C40D34FBA9096A1CE8D6A603D"/>
    <w:rsid w:val="00F538DB"/>
    <w:pPr>
      <w:widowControl w:val="0"/>
      <w:jc w:val="both"/>
    </w:pPr>
  </w:style>
  <w:style w:type="paragraph" w:customStyle="1" w:styleId="F391667BB92146CDBEDEEE696932881B">
    <w:name w:val="F391667BB92146CDBEDEEE696932881B"/>
    <w:rsid w:val="00C96D52"/>
    <w:pPr>
      <w:widowControl w:val="0"/>
      <w:jc w:val="both"/>
    </w:pPr>
  </w:style>
  <w:style w:type="paragraph" w:customStyle="1" w:styleId="E93D5167F1914F50B9F77AEBA4EF6468">
    <w:name w:val="E93D5167F1914F50B9F77AEBA4EF6468"/>
    <w:rsid w:val="00C96D52"/>
    <w:pPr>
      <w:widowControl w:val="0"/>
      <w:jc w:val="both"/>
    </w:pPr>
  </w:style>
  <w:style w:type="paragraph" w:customStyle="1" w:styleId="EBF95B1227894D189ED34055DAF87890">
    <w:name w:val="EBF95B1227894D189ED34055DAF87890"/>
    <w:rsid w:val="00613AB9"/>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sections xmlns:sc="http://mapping.word.org/2014/section/customize">
  <section xmlns="http://mapping.word.org/2014/section/customize" name="_GBC_20b1c487c1e348188269523d7d980194" id="a54a9ff3a0578749" status="sys">
    <sys>UEsDBBQABgAIAAAAIQA/a4q/iAEAAG4IAAATAAgCW0NvbnRlbnRfVHlwZXNdLnhtbCCiBAIoo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DMlttOwkAQhu9NfIdmbw1d8MIYQ+HCw6WSiA+wdKelcU/ZWQ59e6cUqjFAjYBy06Sd+f//22aaaX+41Cqag8fCmoT14i6LwKRWFiZP2Nv4qXPLIgzCSKGsgYSVgGw4uLzoj0sHGJHaYMKmIbg7zjGdghYYWweGKpn1WgS69Tl3In0XOfDrbveGp9YEMKETKg826D9AJmYqRI9LelyTeFDIovu6scpKmHBOFakIVOdzI7+ldNYJMSlXPTgtHF5RA+NbE6rK7oC17oVejS8kRCPhw7PQ1MUX1ksubTrTpIz322zhtFlWpNDoKzfnbQqI9M61ipuKFoXZ8O/kMDM9AU/K44M01q0QGEoFeHyC2rc9HkIgwSkA1s6tCAuYvJ6M4ot5K0hGuWMxUXB8jMa6FSJXFlH48i++kk3Wz6H+eVo/Of5/bBuWs5nfhugsBjnQPoP62juYY2WzL5I6R946pP3of3HszQKs1B06sAMfiv0D2SSS9cHng2q3SpBbsvnqb2HwAQAA//8DAFBLAwQUAAYACAAAACEAHpEat+8AAABOAgAACwAIAl9yZWxzLy5yZWxzIKIEAiigAAI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KySwWrDMAxA74P9g9G9UdrBGKNOL2PQ2xjZBwhbSUwT29hq1/79PNjYAl3pYUfL0tOT0HpznEZ14JRd8BqWVQ2KvQnW+V7DW/u8eACVhbylMXjWcOIMm+b2Zv3KI0kpyoOLWRWKzxoGkfiImM3AE+UqRPblpwtpIinP1GMks6OecVXX95h+M6CZMdXWakhbeweqPUW+hh26zhl+CmY/sZczLZCPwt6yXcRU6pO4Mo1qKfUsGmwwLyWckWKsChrwvNHqeqO/p8WJhSwJoQmJL/t8ZlwSWv7niuYZPzbvIVm0X+FvG5xdQfMBAAD//wMAUEsDBBQABgAIAAAAIQDSqsLbGgEAAEoEAAAcAAgBd29yZC9fcmVscy9kb2N1bWVudC54bWwucmVscyCiBAEooA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KyUTU7DMBCF90jcwfKeOClQEKrTDULqFsIBnGTyIxw78kyB3B6rkCYVVdSFl/PGfu/zyPZm+91p9gkOW2skT6KYMzCFLVtTS/6evdw8coakTKm0NSD5AMi36fXV5hW0Ir8Jm7ZH5l0MSt4Q9U9CYNFApzCyPRjfqazrFPnS1aJXxYeqQazieC3c3IOnJ55sV0ruduUtZ9nQwyXetqraAp5tse/A0JkIgUDkT4beU7kaSPJRibwXF+cRHkIikN8LU/6h/BWTJYZV0DHQoGE+hEO9FJ+EjDf7Lgfnpz4RHKUliHVIiFpbROWGcc3EMnZE+ddaYroPyVRZQ5nK9ex+HKUliLuQEF+Qv/17JjNxBBEnP0D6AwAA//8DAFBLAwQUAAYACAAAACEAaEokXVkEAACxDQAAEQAAAHdvcmQvZG9jdW1lbnQueG1svFdPb9s2FL8P2HcwdE8kypIjGXUKx3+CAO0QLNu5oCXa1iyRAknbcU9BMCBFh6Id1nXDUAzoZeth6GWXDdg+zRp3+RZ7pCT/qdPAjosZsEm+R/7e4++9R9J37p4mcWlEuIgYrRlo1zJKhAYsjGivZnz5RXvHM0pCYhrimFFSMyZEGHf3P/3kzrgasmCYECpLAEFFdZwGNaMvZVo1TRH0SYLFbhIFnAnWlbsBS0zW7UYBMceMh6ZtIUv3Us4CIgTYa2A6wsLI4YLT9dBCjsewWAE6ZtDHXJLTOQbaGMQ1fdN7HyhZ3RpLCQVll/EESxjynplgPhimO4CbYhl1ojiSE4C0KgUMqxlDTqs5xM7MFbWkmrmSN8UKvo7dbEkzD4e2aHISgw+Min6UzjhNbosGyn4BMrppE6MkLuaNU+RslxDNLCpzwHXcz0OZxJnnNyMia42IKIjZinVcWLZZeJLgiM4N34qaBXKRuxmAvQJQEWQzCDeHMMUkmZfGOO1tF+VDzobpHC3aDu2IDmZY6rzaACvPlsUMFts5c9LHKZRyElSPepRx3InBI4h9CcJX0hEoqSox9uE07bBwotoUFE41xRwfhTWj3DpoVxqtuqGlcCJJJXXstt9GZSWtwskdfl4zLMv1ygcVbyZqki4exnJVc7wg0gaPuWoGhKSfAb5ZDO5FlAg9osMkmxPFoxhQRjgGDKPQHYWFDCmZubBApDgAHkDfIVAhsPuKpfzAXUm4HmgQNpQxWLs3Ry/nSLlz2U/ebzMqhQIRQQTZcvnmm7d/f6dQ+3UqlgSBWFJHFOggWMi6iHBmeUA4fW9H4mFDoWuR7eR+5Lbl/uUv59OfXyqRzBQfdG/V3CLO1cXFu+evp4+eTV/+9u+bV1cXT6evX13+9fTdT18vgSsOVtPCtRo2qlv+clrs5Z+PmRYbkq4Z7KzyWGSGhts6rtdF8sPmFJvTxz9Of/h1+ujF9NvHV8/Ppi/+nP7+/bVEi1DmzRIBN8HjOMIz5Q2BvdaJzHuJVZFogAeHB40Hbsf2fK/s7kHj2JU9z6r4KPR9gpGPcWUvWxXNKs+xHIR8D2KnFWmMA9JncUi0g/BSO4b3TDG51SyX9bflIMdv296B5dabvovantWw2nZRe4sg5gIl0GlArOB1sJqZDqo0/brf+t8y89ZptnkSvf3jydXZOUT3n7Pza3Ino2jGTDZcZQjZDWDCa6/BUPaZiY75R6BtHIVsrJzkLNZ7/ioodhyTrsx42IDbDmMD9fA9kVmGRaE6SaFDcUJUNrMDHAzygyGf26IqcbOZea5pcySADFuXAL2n3slDUMKrDLJfvbMhrNCveOWiEHr3sUKUDB6PyHEyrKjXB8KQl0F3mJQsmasVDXNtn+BQ3VWei9Swy5i+unzfVsPeUOphfncELFaEqWuPqGvazcRQf4dcF6ucpKBQl53QpqBzHMkAnC6jou4yGnQ3exSY8/9a+/8BAAD//wMAUEsDBBQABgAIAAAAIQD+nO9mMgYAAJQaAAAVAAAAd29yZC90aGVtZS90aGVtZTEueG1s7FlNixs3GL4X+h+GuTse2zP+WOIN9thO2uwmIbtJyVGekWcUa0ZGknfXhEBITqVQKKQlhwZKLz2U0kADDe2h/6VbEtL0R1TSeOyRLbOk60Ao2V3W+njeV4/eV3qk8Vy8dJJg6whShkjatisXHNuCaUBClEZt+9bhoNS0LcZBGgJMUti2Z5DZl3Y//ugi2OExTKAl7FO2A9p2zPlkp1xmgWgG7AKZwFT0jQhNABdVGpVDCo6F3wSXq45TLycApbaVgkS4vT4aoQBaf734/fX3T/588IX4s3fzMfpY/Es5kw0BpgdyBKgZKmw4rsgPNmM+ptYRwG1bDBeS40N4wm0LA8ZFR9t21I9d3r1YXhhhvsG2YDdQP3O7uUE4rio7Gg0Xhq7rufXOwr8CYL6O6zf69X594U8BQBCImWZciliv2+r2vDm2AMqKBt+9Rq9W0fAF/7U1fMeTvxpegbKiu4YfDPxlDAugrOgZYtKo+q6GV6CsWF/DN5xOz21oeAWKMUrHa2jHq9f8fLYLyIjgK0Z4y3MHjeocvkSVC6srs0/5prWWgLuEDgRAJRdwlFp8NoEjEAjcq58+f/XbH9YeimKx7iYgJUy0OlVn4NTEf/nrqpIKCNiBoGCcNQVsrUnSsVhA0YS37U+FV7sAefnixenD56cPfz199Oj04c/zsdftroA0Ktq9+eGrf54+sP7+5bs3j78241kRr03NCOcarW+evXr+7OWTL1//+NgA71AwLMIPUQKZdQ0eWzdJIiZoGAAO6dtZHMYAFS06acRACqSNAd3nsYa+NgMYGHBdqMfxNhVqYQJent7VCB/EdMqRAXg1TjTgPiG4S6hxTlflWMUoTNPIPDidFnE3ATgyje2vZLk/nYhlj0wu/RhqNG9gkXIQwRRyS/aRMYQGszsIaXHdRwEljIy4dQdZXYCMITlEQ201LY2uoETkZWYiKPKtxWb/ttUl2OS+B490pNgbAJtcQqyF8TKYcpAYGYMEF5F7gMcmkgczGmgBZ1xkOoKYWP0QMmayuU5nGt2rQMiWMe37eJboSMrR2ITcA4QUkT0y9mOQTIycURoXsZ+wsViiwLpBuJEE0XeIrIs8gHRjum8jqKX77L19S8iQeYHInik1bQlI9P04wyMAlfPyiqwnKD1L41fU3Xt36i409OW3T82SuwVFNwPPo+UdioybaVXBN+FWddsnNETvv2z3wDS9AcVOMUA/qPYH1f7fq/am/bx9rV7Ks7rG55d15SbZeHMfIYwP+AzDPaaEnYnphQPRqCrKaPGgMIlFcT6chosoUGWLEv4Z4vFBDCZimIoaIWJz1xGzJoSJs0E1G33LDjxN9kmYtVYq+bOpMAB82S7OlrxdHEQ8a603lg9hC/eqFqmH5ZyAtH0bEoXBdBI1A4lG3ngGCTWzrbBoGVg0pfuNLNTHPCti/1lAfrvhuRkjsd4AhqHMU2afZ3frmd4UTH3aVcP0WpLrdjKtkSgsN51EYRnGIISrzVvOdWuZUo2eDMU6jUbzXeRaisiKNuBUr1nHYs/VPOEmAJO2PRKXQlFMJsIfk7oJcJS27YDPA/1flGVCGe8BFmcw1ZXNP0EcUgujRKz1YhpwuuRWqTbkHN9Tci3n/Yuc+igmGY5GMOAbWpZV0Zc5MfaeEywrZCpIH8ThsTXEU3oTiEB5jYoMYIgYX0QzRLSwuJdRXJGr+VbUvjNbblGAJzGYnyhFMc/gqrygU5iHYro6K70+n8wwkkk696l7tpHsKIjmhgNEnppm/Xh3h3yB1VL3NVaZdK9qXSvXuk2nxPkPhAK15WAaNcnYQG3ZqlPb4oWgMNxiaW46I7Z9GqyuWnlA5PdKVVt7OUGGd8XK74nr6hRzpqjCE/GM4OdfK2dKoFpzdTnh1pSitn3P8TquX/X8ktP0+iW35jqlpteplTqeV6v0vYrT61bvi6DwOKl42dgD8TyDZ/NXMKp97TVMkl+zLwQkKRN1Dy4rY/UaplI1vYY5lP22hURk7tWrg1at1a2XWrXOoOT2us1Sy693S7263+gNer7XbA3u29aRArudmu/W+81SveL7JbfuSPrNVqnhVqsdt9Fp9t3O/Xmsxczzzzy8itfuvwAAAP//AwBQSwMEFAAGAAgAAAAhANEA+IfxAwAAjQoAABoAAAB3b3JkL2dsb3NzYXJ5L3NldHRpbmdzLnhtbLRW33PaOBB+v5n7Hxg/HzEQYDpMSScJoUkH2k5M2mdZXrAOWfJIMo7z199KsjBzaTu0nT4h77f77Q/trnj77rngvQMozaSYR8OLQdQDQWXGxG4ePW2W/TdRTxsiMsKlgHnUgI7eXf3919t6psEYVNM9pBB6VtB5lBtTzuJY0xwKoi9kCQLBrVQFMfipdnFB1L4q+1QWJTEsZZyZJh4NBtOopZHzqFJi1lL0C0aV1HJrrMlMbreMQvsTLNQ5fr3JQtKqAGGcx1gBxxik0DkrdWArfpUNwTyQHH6UxKHgQa8eDs5It5YqO1qcE541KJWkoDVeUMFDgEx0jseviI6+L9B3m6KjQvPhwJ1OI5/8HMHoFcFUw89RTFqKWDcFPAcizc8piYdWLFVE+YZr61HQ2cNOSEVSjuFgXXqYWs9FF11hlx8Y1D38IehGWEIexVaeYig4Ngv5UZqkUkpWIrsHgrLvwkspTQsrODA7cl88OyZrG0nPI5y/euYDt8NlBc4ggy2puNmQNDGyDAGNRwFWpEb194plX0AZRglPSkJRFFSHk2mrynTJSXMvFXuRwhC+6GzvcBM0wSJQe/1A+z3tkdemOVGEYpqt+1t0oSQPWnbuFbbl50pQU7npa+3cQrAnjYawlOpp5QtJOBEUEuTicNMYnLoq9aevLDO5j9GWeQXkADeE7jUnOr+2+8qBFd8owlw9vMBp3z2XuNWSnG3NIxicQQeR7N9KmxUTcA9sl5sHsbGN4Xk0LO9WpJGVOQk58VsQExSkAJ/hcbOtZQb2QivFzm91a9Be2Wlt/u9IYvXxEsAFmJiGY9GESdgLXIvsA2bBkNFX+Ncj+FEAIKznTzhrm6aEJRCsIr4Of8aZu7MlZ+Wa4TCpB5HZeflTzth2CwodMGJgjWPHlKxdnf2E/67f+LTf8enNdDg84oo4zt9gvBwsLxc+Uot+C4mPDMXMPkGfVTjZdugV3uKWFKlipLe2j1RsNVK1v2Ei4CngzoFTJKnSAPb7HtC4/PgSxzsAbkMUbkMsYOvOfE3UruNtNdQ3pbjTPhy5KJYb1HtclKVHa0VKf81BZTget5ZM4IwWQa6rNAlWAtf7CYRb99NBuTp15alnBq/LjcuKdBsSRP8psRcFRJtrzcg8esn7tx/bTuEqsbcMa1KWvlnS3XAecbsmhtbM4FeGf2/cR7obtdjIYSOPuQ9CbbKo3R462SjITvQug+yyk42DbNzJJkE26WTTIJtaWY5jqjgTe+zbcPTPDeeyhuy+w1+JwitEGTZB0hRpt9MvPMaZxkEqcf0bqQL2j8OGE/cuGNzDdI+1e4TtDdGQ+fYN/yOv/gMAAP//AwBQSwMEFAAGAAgAAAAhANwRxGTNAgAAdQgAABoAAAB3b3JkL2dsb3NzYXJ5L2RvY3VtZW50LnhtbKSW3W7aMBTH7yftHZDv0ySQMIgKFW3I1ju0bg9gHJNE9ZdsJzSaJvVi77JX6PtMk/YYc74IUKmCEoGwfc75nZPzdxyub54oGRRYqoyzGXCvHDDADPE4Y8kMfP8WWRMwUBqyGBLO8AyUWIGb+ccP19sgIVwpKMuQo5xipgcGxVSwFWgGUq1FYNsKpZhCdUUzJLniG32FOLX5ZpMhbG+5jO2h4zr1SEiOsFIm7x1kBVSgxaGn02ixhFsTXAE9G6VQavzUM9yzIb49tSfHIPr61rjAzBg3XFKozVQmNoXyMReW4Qqos3VGMl0apDPuMHwGcsmCFmHtSqlCgqaU9qeLkKfkbUI6OeqMtsTE1MCZSjOx6yl9L80Y0w5SvHUTBSWd31a43mUbImxU6YGnlN9KSUlT+dtE1zlBkQqxizilhMOcXSUUZqxP/K7W7DXX9c8DDF8Bxgqfh/BbhK1K2j8aW5FcpvJnyXPR07LLaPfscceqzq0zWO1u2d/B6rJiHlIozKNMUXCfMC7hmpiKjPYDI9+gVmBQPSVgbk7VmKOVOXPU3nhvuJLVhEFqIoICkhlYhqNR/V16rjeNhpNbx1+EU9+NJs6dEw2BXUUgqHHCZXkc/ffl5d/vX41PAgnBsuxMgkCEU05iLCu7fQjRpcB1jdWgC1mvVwR9iTv/nc8ap7DIuDyYdEGIM20OmDbmwDXJs7hz+zEJl5EfTiNr4Y8cy4sWY2u6dMeWG37ybp1ouRhF3s+WctCtdnLL47pyYYjmdRd/nQGnvUC3FOINzImuLF7kRKOws6z2lmpIgxYPuiRnSWHvYqsG1ElXsoIP/aEXNVtAtg4HcDhqVJKR6Zcyq2nGTKEYKr1QGWxl5qRv7Mhc02ljyLvFajsS3FbSJqrf3IESRm8ju8QKywKD+Z/n5+ZTa9kENDew3+Omrf18f6zqyfH/hPl/AAAA//8DAFBLAwQUAAYACAAAACEAg9C15eYAAACtAgAAJQAAAHdvcmQvZ2xvc3NhcnkvX3JlbHMvZG9jdW1lbnQueG1sLnJlbHOskk1LxDAQhu+C/yHM3aa7iohsuhcR9qr1B2TT6Qemk5AZP/rvDcJqF5fFQ4/zDvO8TyCb7efo1TsmHgIZWBUlKCQXmoE6Ay/149UdKBZLjfWB0MCEDNvq8mLzhN5KPuJ+iKwyhdhALxLvtWbX42i5CBEpb9qQRit5TJ2O1r3aDvW6LG91mjOgOmKqXWMg7ZprUPUU8T/s0LaDw4fg3kYkOVGhP3D/jCL5cZyxNnUoBmZhkYmgT4uslxThPxaH5JzCalEFmTzOBb7nc/U3S9a3gaS2e4+/Bj/RQUIffbLqCwAA//8DAFBLAwQUAAYACAAAACEAhxNKSCEEAADKCgAAEQAAAHdvcmQvc2V0dGluZ3MueG1stFbbbts4EH1fYP/B0PMqtnyL16hTxE7cpLDbIkq6zxQ1trihSIGk7DjF/vsOSdEyNm2RdtEnU3Nmzlw4M/Sbt08l7+xAaSbFLErOelEHBJU5E9tZ9HC/jCdRRxsicsKlgFl0AB29vfj9tzf7qQZjUE13kELoaUlnUWFMNe12NS2gJPpMViAQ3EhVEoOfatstiXqsq5jKsiKGZYwzc+j2e71x1NDIWVQrMW0o4pJRJbXcGGsylZsNo9D8BAv1Gr/e5ErSugRhnMeuAo4xSKELVunAVv4sG4JFINl9L4ldyYPePum9It29VPnR4jXhWYNKSQpa4wWVPATIROt4+ILo6PsMfTcpOio0T3rudBr56McI+i8Ixhp+jGLUUHT1oYSnQKT5a0rioRXLFFG+4Zp6lHR6uxVSkYxjOFiXDqbWcdFFF9jlOwb7Dv4QdCMsIY+6Vp5hKDg2V/KDNGmtlKxFfgMEZd+El1KaBlawY3bkPnt2TNY2kp5FOH/7qQ/cDpcVOIMcNqTm5p5kqZFVCGjYD7Aie1R/p1j+GZRhlPC0IhRFQTUZjRtVpitODjdSsWcpDOFXre01boJDsAjUXj/Qfku777VpQRShmGbjfoEulORBy869wrb8VAtqajd9jZ1bCPak0RCWUj2sfCEJJ4JCilwc5geDU1dn/vQXy03hY7RlXgHZwZzQR82JLi7tvnJgze8VYa4eXuC0r58q3GppwTbmDgzOoINI/netzYoJuAG2LcytuLeN4Xk0LK9X5CBrcxJy6rcgJihICT7D42ZbyxzshdaKvb7VrUFzZae1+a8jidXHSwAXYGoOHIsmTMqe4VLk7zELhoy+wj8fwfcCAGE9f8RZuz9UsASCVcTX4dc4c3e25KxaMxwmdStyOy+/yhnbbEChA0YMrHHsmJJ7V2c/4f/Xb/e03/HpzXU43OGKOM5fbzQZzMcTH6lFv4Z0jwzl1D5Bn1Q42XbolN5iQcpMMdJZ20eqazUy9ThnIuAZ4M6BUyStswDGsQc0Lj++xPEOgNsQpdsQV7BxZ74matvyNhrqq1Lcae+PXBTLDeodLsrKo3tFKn/NQSUZDhtLJnBGyyDXdZYGK4Hr/QTCrftxp1yd2vLspwavy43LirQbEkT8kNqLAqLNpWZkFj0X8eJD0ylcpfaWYU2qyjdLtk1mEbdrIrFmBr9y/HvjPrJtv8H6Dut7zH0QapNF7ebQyvpBdqI3CLJBKxsG2bCVjYJs1MrGQTa2sgLHVHEmHrFvw9E/N5zLPeQ3Lf5CFF4hyrAJ0kOZtTv9zGOcaRykCte/kSpgfzgsGbl3weAepo9YuzvYzImGvMFySW9z++x6my+TwWSYLHrL+HJylcTD3jyJ/7w8X8bLyWJw3j8f9ReLwT9N74c/oRf/AgAA//8DAFBLAwQUAAYACAAAACEAk3bWSRgBAABAAgAAFAAAAHdvcmQvd2ViU2V0dGluZ3MueG1slNHBSgMxEAbgu+A7hNzbbIstsnRbEKl4EUF9gDSdbYOZTMikbuvTO65VES/tLZNkPuZnZos9BvUGmT3FRo+GlVYQHa193DT65Xk5uNaKi41rGyhCow/AejG/vJh1dQerJyhFfrISJXKNrtHbUlJtDLstoOUhJYjy2FJGW6TMG4M2v+7SwBEmW/zKB18OZlxVU31k8ikKta13cEtuhxBL328yBBEp8tYn/ta6U7SO8jplcsAseTB8eWh9/GFGV/8g9C4TU1uGEuY4UU9J+6jqTxh+gcl5wPgfMGU4j5gcCcMHhL1W6Or7TaRsV0EkiaRkKtXDei4rpVQ8+ndYUr7J1DFk83ltQ6Du8eFOCvNn7/MPAAAA//8DAFBLAwQUAAYACAAAACEACgJczy4LAAAtcAAADwAAAHdvcmQvc3R5bGVzLnhtbLydXXOjOBaG77dq/wPlq92LtON8dqfGPZWk05vUdjKZcXr7WgY51kQglo92PL9+hQAb5yDMEWdzlRg4D0KvXklHgP3Lr6+h9H7yJBUqmo4mHw5HHo98FYjoeTr6/vT14OPISzMWBUyqiE9Ha56Ofv3897/9srpIs7XkqacBUXoR+tPRMsvii/E49Zc8ZOkHFfNI71yoJGSZ/pg8j0OWvOTxga/CmGViLqTI1uOjw8OzUYVJ+lDUYiF8/kX5ecijzMSPEy41UUXpUsRpTVv1oa1UEsSJ8nma6osOZckLmYg2mMkJAIXCT1SqFtkHfTFViQxKh08OzX+h3AJOcYAjADhLOQ5xWiHG6TrkryMv9C/uniOVsLnUJH1Jni6VZ8Cjz1rNQPlf+ILlMkuLj8ljUn2sPpk/X1WUpd7qgqW+EE+6FBoVCk29vYxSMdJ7OEuzy1Sw5s6baluxf1kc2Brpp1lj85UIxGhcnPSFJ5He/ZPJ6eio3JT+tdkwqbdcF+Uqt1VHSRY919t4dPB91izfdPTX8uD6odg016eajlhyMLssAsfV5ZZ/G5UQbz6VR72pMd3+dGuclabQe/nim/JfeDDL9I7p6LA4ld74/e4xESrRDX86+vSp2jjjobgVQcCjxoHRUgT8x5JH31MebLf//tU03mqDr/JI/398PjEqyjS4efV5XFhB741YUaEPRYAsjs7F9uQm/L81rKrH1vglZ0V/4E3eIkzxUYijIiJtXG07M39z7eYo1ImO3+tEJ+91otP3OtHZe53o/L1O9PG9TmQw/88TiSjgr6UR4WkAdR/H4kY0x2I2NMfiJTTHYhU0x+IENMfS0NEcSztGcyzNFMHJlG9rhY3Gfmxp7d3c/WOEG3f/kODG3T8CuHH3d/hu3P39uxt3f3fuxt3fe7tx93fWeG451fLutM2ibLDLFkplkcq4l/HX4TQWaZZJkmh4xaDHE5KLJMCUPVs1EA+m+cx83t9CjEndx/OsSMc8tfAW4jlPdG49tOA8+smlznI9FgSaRwhMeJYnlhpxadMJX/CERz6nbNh0UCki7kV5OCdomzF7JmPxKCCuvppI0ilsGjTLs2VhEkHQqEPmJ2p40RQj6x++iXR4XRUQ7yqXkhOxHmiamGENzw0MZnhqYDDDMwODGZ4YNDSjqqKKRlRTFY2owioaUb2V7ZOq3ioaUb1VNKJ6q2jD6+1JZNJ08c1Zx6T/2t21VMWy9uByzMRzxPQEYPhwU62Zeo8sYc8Ji5desarcjm1eM/Y8VypYe08UY9qGRDWvN03kWl+1iPLhFbpDozLXhkdkrw2PyGAb3nCL3etpcjFBu6XJZ2b5PGs1rSH1Mu2Mybyc0A53G8uGt7CtAb6KJCWzQTuWoAU/FNPZQk6Knm9byuEF27KG2+ptr0RavApJUEqp/Beabvh2HfNEp2Uvg0lflZRqxQM64ixLVNnWmpY/MpL0svxNGC9ZKkyutIPoP9TXN8S9exYPvqBHyUREo9vNQciE9OhmELdP99+8JxUXaWZRMTTAK5VlKiRjViuB//jB5/+kKeClToKjNdHVXhItDxnYtSAYZEqSCohIepopIkEyhhrev/l6rlgS0NAeE14+g5JxIuKMhXE56SDwlu4XV7r/IZgNGd5/WCKKdSEqUz2RwBrLhmk+/5P7w7u6B+WRrAz9lmdm/dFMdU00HW74NGEHN3yKYNTUw0PRfgkudgc3/GJ3cFQXey1ZmgrrLVRnHtXl1jzq6x2e/FU8JVWyyCVdBdZAshqsgWRVqGQeRinlFRse4QUbHvX1EjYZwyNYkjO8fyUiIBPDwKiUMDAqGQyMSgMDIxVg+BM6Ddjwx3QasOHP6pQwoilAA0bVzkiHf6K7PA0YVTszMKp2ZmBU7czAqNrZ8RePLxZ6Ekw3xDSQVG2ugaQbaKKMh7FKWLImQt5I/swIFkhL2mOiFsXLCSoqH+ImQBZr1JJwsl3iqET+wedkRStYlOUiWBFlUipFtLa2HXBM5O6za/vCzGsYg4vwKJnPl0oGPLFckz1W58uzmPnVMj243ddr2fObeF5m3my5We1vYs4O90bWCftO2P4TttX5Wf3mSVvYPQ9EHtYFhS9TnB33DzYteif4ZH/wdiaxE3naMxKe82x/5HaWvBN53jMSnvNjz0jj053ILj98YclLa0M472o/mxzP0vjOu1rRJrj1tF0NaRPZ1gTPu1rRjlW8S98v7hZAdfp5xh7fzzz2eIyL7BSMneyU3r6yI7oM9gf/KYqRHdNpmvNtnp4A/b6ZRPfqOX/PVbluv3PDqf9LXXd64hSl3GvlHPe/cbXTy9jrsXd3Y0f07nfsiN4dkB3RqyeyhqO6JDuld99kR/TupOwIdG8FRwRcbwXjcb0VjHfprSDFpbcaMAuwI3pPB+wItFEhAm3UATMFOwJlVBDuZFRIQRsVItBGhQi0UeEEDGdUGI8zKox3MSqkuBgVUtBGhQi0USECbVSIQBsVItBGdZzbW8OdjAopaKNCBNqoEIE2qpkvDjAqjMcZFca7GBVSXIwKKWijQgTaqBCBNipEoI0KEWijQgTKqCDcyaiQgjYqRKCNChFoo5avGrobFcbjjArjXYwKKS5GhRS0USECbVSIQBsVItBGhQi0USECZVQQ7mRUSEEbFSLQRoUItFHNzcIBRoXxOKPCeBejQoqLUSEFbVSIQBsVItBGhQi0USECbVSIQBkVhDsZFVLQRoUItFEhoqt9VrcobY/ZT/CrntYn9vvfuqoK9UfzVe4m6rg/qi6VndX/XYQrpV681hcPj02+0Q8i5lIos0Rtua3e5JpHIlA3Pn+77n7Dp0kf+KVL1bsQ5p4pgJ/0jQRrKiddTb4ZCZK8k66W3owEs86Trt63GQmGwZOuTtf4sn4oRQ9HILirm2kETyzhXb11IxxWcVcf3QiENdzVMzcCYQV39ceNwFOv6JzfRp/2rKezzfOlgNDVHBuEczuhq1lCreruGBqjr2h2Ql/17IS+MtoJKD2tGLywdhRaYTvKTWpoM6zU7ka1E7BSQ4KT1ADjLjVEOUsNUW5Sw44RKzUkYKV275ztBCepAcZdaohylhqi3KSGQxlWakjASg0JWKkHDshWjLvUEOUsNUS5SQ0nd1ipIQErNSRgpYYEJ6kBxl1qiHKWGqLcpAZZMlpqSMBKDQlYqSHBSWqAcZcaopylhqguqc0qyo7UKIUb4bhJWCMQNyA3AnGdcyPQIVtqRDtmSw2CY7YEtao1x2VLTdHshL7q2Ql9ZbQTUHpaMXhh7Si0wnaUm9S4bKlNanej2glYqXHZklVqXLbUKTUuW+qUGpct2aXGZUttUuOypTap3TtnO8FJaly21Ck1LlvqlBqXLdmlxmVLbVLjsqU2qXHZUpvUAwdkK8Zdaly21Ck1LluyS43LltqkxmVLbVLjsqU2qXHZklVqXLbUKTUuW+qUGpct2aXGZUttUuOypTapcdlSm9S4bMkqNS5b6pQaly11Sm3JlsarnR9gKtjm98n0wdk65sV3cDdemAnK7yCtbgKaA++C6YiZ31AqCuFVvxtV/XSSKWt1r9D8H5c/iLUSgVoVLxAnStYhVSX96dcb5ipbVkU0YePqjLCM/lIX0q++dslWxkNQSMs3qppibGuqPrqq+e0d0/K4nbujZWktpcwKZbpKWP4UFazGUlNbuT5VjXRfwXQx5rKsfv3PXRRowKr6OauygMErK1F6/zWX8p6VR6vYfqjki6zcOzk0r9S/2T8vvx3OGp+YbsQKGO8WpvzY3RjK74uv7m/bqvqoparNgxZDa3lbrvq/9PP/AAAA//8DAFBLAwQUAAYACAAAACEA72rWd20BAADCAgAAEAAIAWRvY1Byb3BzL2FwcC54bWwgogQBKKA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CcUstOwzAQvCPxD1Hu1GmFCqq2RqgIceBRqWk5W/YmsXBsyzao/Xs2TRuCuOHTzqx3NDs23O1bk31hiNrZZT6dFHmGVjqlbb3Mt+Xj1W2exSSsEsZZXOYHjPkdv7yAdXAeQ9IYM5KwcZk3KfkFY1E22Io4obalTuVCKxLBUDNXVVrig5OfLdrEZkUxZ7hPaBWqKz8I5r3i4iv9V1Q52fmLu/LgSY9Dia03IiF/7SYNsIGA0iVhSt0iL4geAKxFjZFPgfUFvLugIr8G1hewakQQMlF0fEbsCMK990ZLkShT/qJlcNFVKXs7Gs26cWDjK0DmNyg/g06HzsQYwrO2vY2+IFtB1EH45uRtQLCRwuCK1uaVMBGB/RCwcq0XluTYUJHeR9z60j10MZxGfpOjHd91ajZeSLIwuxlvO2rAhlhUZH9wMBDwRC8RTCdPs7ZGdb7zt9Hlt+u/JJ/OJwWdY2BnjtYe/gr/BgAA//8DAFBLAwQUAAYACAAAACEAGHYxHwwCAAB4BgAAGwAAAHdvcmQvZ2xvc3NhcnkvZm9udFRhYmxlLnhtbNySTW7bMBCF9wV6B4L7WJRkK6oROUidCChQZNGkQLc0TUlERVIgaSs+QtFlz9EeoEDRyzTINTL6c4I6Re1sCtRamHoz8w3naU5Ob2SJ1txYoVWC/RHBiCuml0LlCX5/nR7FGFlH1ZKWWvEEb7jFp7OXL07qaaaVswjqlZ1KluDCuWrqeZYVXFI70hVXEMy0kdTBq8k9Sc3HVXXEtKyoEwtRCrfxAkIi3GPMPhSdZYLxc81WkivX1nuGl0DUyhaisgOt3odWa7OsjGbcWphZlh1PUqG2GH+8A5KCGW115kYwTH+jFgXlPmlPsnwATA4DBDuAyPLDEJMe4dmN5DcYSTZ9kytt6KIEEoyE4FaoBeNZ/zFRPVVUQvj22+dfP760Oi3dJWgQWtMywVdCXq0U9ppQRZW23B9CpJk8IoSE8N8/XSIrqLG8wbeJcdTJGZWi3AwqXTndc4VjxSCvqRHNnbuQFTkEVnZBoF/3C3Gn+AkO4jhtpF4Jhhw/6pVwW9XmsIEzbpJ6xX+UAz29zpodi66F5BZd8hq905Kq1qtdQwIwJCQTaDCBc0jGTxrSdfrdENNyD3HkAu4cXKTpgyNzUI7j8eDR1hHy6i+OgB8dZ39H7r5+uvv+86mlOecq/yC2w/zbtTlr5ghePzIpjOfp8Tw9e9baPMsk9FbkhfvDzvzPbvQHO7sHAAD//wMAUEsDBBQABgAIAAAAIQCRuJnxJAMAALwOAAASAAAAd29yZC9udW1iZXJpbmcueG1stFZLbtswEN0X6B0EAQLaRSRRsixZiBK4SV2kKIoCTQ9Ay7RFRCQFkv6docveozfobdp7lNTPUQIEVixvTGs+b+YNOUNeXu9IbmwQF5jRxAS2axqIpmyB6Soxf9zPLiLTEBLSBcwZRYm5R8K8vnr75nIb0zWZI64MDYVBRbwt0sTMpCxixxFphggUNsEpZ4ItpZ0y4rDlEqfI2TK+cDwXuOW/grMUCaFwbiDdQGHWcOnuOLQFh1vlrAFHTppBLtHugAF6gwTOxImeApHn1FiBqFIuGSdQqk++cgjkD+viQuEWUOI5zrHcK0h33MCwxFxzGtcQF20q2iWuUqmXxoMfE7dyuWXpmiAqy4gOR7nKgVGR4aKtKXktmlJmDcjmJRIbkjd22wKMTjsQt9WuHACPSb/eSpJXmb+MCNwjdkRDtB7HpNCN2WRCIKaHwK8qzaPigqAfgPcMYCxQP4ighnDEnhxaY1usTtvlT5ytiwMaPg3tjj60WHpg9cCqT8vjEyxOS+Z7BgvVyiSN71aUcTjPVUZq7w21fUa5A4buEvNKjVM4F5LDVH5dE6PzdbdITDWWlUvMkZrFXAuryTtdSsQ/cAQftIlGoQIvlPsG5onpuyHwfOCZjtaQdS7xF7RB+f2+QI1NKc21tLKSpMgbXfTRn97Mbj5WmnyjFVgtTawyl8YYVFbqUpiRVrhAKSawhlae92jX6t5Z4L3daj6njTxHS1mJi29cL5hqRlqcmCMvUJWIM0hX5Q2lv5Wt0xrzepkxKoWuo0ixOlH/fv/8++eXdkVQyKnA8LEsm6qydQSYqmCNaR2hhHbKbJ/WAwxQDwvYVr1Vx9djMvE69QjG4cv16MvMG4qZbfl9yYERiM7Lzh+QnW2NehOcRKMOwdCNhiVYjZbBCNpW2W59OHpBADoco8AdlmMwOEfbGvel6XtjPaMPNAHwy/MwHM/xOXjaVtlSvahGXtil6oVlvYajGp6Jqm2V/dWH7cifdHu0nEqDso3Ox9a2Jn0JB8Dt3ikgdE/uWKfzoqmpGeWvft5U92fnzdPk2oSm2q1aq7fP1X8AAAD//wMAUEsDBBQABgAIAAAAIQCTdtZJGAEAAEACAAAdAAAAd29yZC9nbG9zc2FyeS93ZWJTZXR0aW5ncy54bWyU0cFKAzEQBuC74DuE3Ntsiy2ydFsQqXgRQX2ANJ1tg5lMyKRu69M7rlURL+0tk2Q+5mdmiz0G9QaZPcVGj4aVVhAdrX3cNPrleTm41oqLjWsbKEKjD8B6Mb+8mHV1B6snKEV+shIlco2u0dtSUm0Muy2g5SEliPLYUkZbpMwbgza/7tLAESZb/MoHXw5mXFVTfWTyKQq1rXdwS26HEEvfbzIEESny1if+1rpTtI7yOmVywCx5MHx5aH38YUZX/yD0LhNTW4YS5jhRT0n7qOpPGH6ByXnA+B8wZTiPmBwJwweEvVbo6vtNpGxXQSSJpGQq1cN6LiulVDz6d1hSvsnUMWTzeW1DoO7x4U4K82fv8w8AAAD//wMAUEsDBBQABgAIAAAAIQAgSiPemgsAAPVxAAAYAAAAd29yZC9nbG9zc2FyeS9zdHlsZXMueG1svJ1bc6M4Fsfft2q/A+Wn3Ye07di5dU16KtdNajvpzDg9/SyDHGsCyMulk8ynX0mAjXMQ5ogzqampjoHzQ+iv/0GHi/3Lr69R6P3kSSpkfDoYfxoNPB77MhDx0+ng++P13vHASzMWByyUMT8dvPF08OuXf/7jl5fPafYW8tRTgDj9HPmng2WWrT4Ph6m/5BFLP8kVj9XKhUwilqmPydMwYslzvtrzZbRimZiLUGRvw/3R6HBQYpIuFLlYCJ9fSj+PeJyZ+GHCQ0WUcboUq7SivXShvcgkWCXS52mqDjoKC17ERLzGjKcAFAk/kalcZJ/UwZQtMigVPh6Zv6JwAzjAAfYB4DDlOMRBiRimbxF/HXiR//n2KZYJm4eKpA7JU63yDHjwRakZSP+SL1geZqn+mDwk5cfyk/nnWsZZ6r18ZqkvxKNqhUJFQlFvzuJUDNQaztLsLBWsvvKqXKbXL/WGjZF+mtUWn4tADIZ6p888idXqnyw8HewXi9K/1gvG1ZIL3a5iWblVyOKnahmP977P6u07Hfy13Lu414vmalenA5bszc504LA83OLfWies1p+Krd71mBp/ajTOClOotXzxVfrPPJhlasXpYKR3pRZ+v31IhEzUwD8dnJyUC2c8EjciCHhc2zBeioD/WPL4e8qDzfLfrs3gLRf4Mo/V35OjsVExTIOrV5+vtBXU2pjpDr3XAaHeOhebnZvw/1Wwsh8b45ec6Xzgjd8jTPNRiH0dkdaOtpmZvzt2sxVqR5OP2tH0o3Z08FE7OvyoHR191I6OP2pHBvN37kjEAX8tjAh3A6i7OBY3ojkWs6E5Fi+hORaroDkWJ6A5loGO5ljGMZpjGaYITiZ92yisDfaJZbS3c3efI9y4u08JbtzdZwA37u6E78bdnd/duLvTuRt3d/Z24+5O1nhuMdXybpXN4qy3yxZSZrHMuJfx1/40FiuWKZJoePqkxxOSgyTAFJmtPBH3pvnMfN49QoxJ3c/nmS7HPLnwFuIpT1Rt3bfhPP7JQ1XleiwIFI8QmPAsTyw94jKmE77gCY99Tjmw6aChiLkX59GcYGyu2BMZi8cBcfdVRJKksB7QLM+W2iSCYFBHzE9k/6ZJRpYfvoq0f19piHeehyEnYt3TDDHD6l8bGEz/0sBg+lcGBtO/MKhpRtVFJY2op0oaUYeVNKJ+K8YnVb+VNKJ+K2lE/VbS+vfbo8hCk+Lrs45x92t3F6HUl7V7t2MmnmKmJgD9TzflNVPvgSXsKWGrpaevKjdj68eM3c+5DN68R4pz2ppENa83Q+RCHbWI8/4dukWjMteaR2SvNY/IYGtef4vdqWmynqDd0NQzs3yeNZrWkDqZdsbCvJjQ9ncby/qPsI0BrkWSktmgGUswgu/1dFbLSZH5Nq3s37ANq7+t3mcl0uaVSIJWhtJ/pknDN28rnqiy7Lk36VqGoXzhAR1xliWyGGt1y+8bSTpZ/ipaLVkqTK20heh+qq9uiHt3bNX7gB5CJmIa3a72IiZCj24GcfN499V7lCtdZuqOoQGeyyyTERmzvBL4rx98/m+aBp6pIjh+IzraM6LLQwZ2IQhOMgVJBkQkNc0UsSA5hxref/nbXLIkoKE9JLx4BiXjRMQZi1bFpIPAWyovvqj8QzAbMrw/WCL0dSEqUz2SwGqXDdN8/if3+6e6e+mRXBn6lmfm+qOZ6ppoOlz/acIWrv8UwaipTg96/BIc7Bau/8Fu4agO9iJkaSqst1CdeVSHW/Goj7d/8VfyZCiTRR7SdWAFJOvBCkjWhTLMozilPGLDIzxgw6M+XsIhY3gEl+QM7z+JCMjEMDAqJQyMSgYDo9LAwEgF6P+ETg3W/zGdGqz/szoFjGgKUINRjTPS0z/RXZ4ajGqcGRjVODMwqnFmYFTjbHLp8cVCTYLpTjE1JNWYqyHpTjRxxqOVTFjyRoS8CvkTI7hAWtAeErnQLyfIuHiImwCpr1GHhJPtAkcl8g8+J2uaZlG2i+CKKAtDKYmurW1OOCZy+9m1XWHmNYzeTXgImc+XMgx4Yjkme6yql2cr5peX6cHtvk6XPb+Kp2XmzZbrq/11zOFoZ2RVsG+F7d5hU58fVm+eNIXd8UDkUdVQ+DLF4aR7sBnRW8HT3cGbmcRW5EHHSLjPw92Rm1nyVuRRx0i4z+OOkcanW5FtfrhkyXPjQDhqGz/rGs8y+I7aRtE6uHG3bQNpHdk0BI/aRtGWVbwz39d3C6A63Txjj+9mHns8xkV2CsZOdkpnX9kRbQb7nf8U+syOSZpmf+unJ0DeN5PoTpnzt1wW1+23bjh1f6nrVk2c4pR7jZxJ9xtXW1nG3o+d040d0Tnv2BGdE5Ad0SkTWcNRKclO6Zyb7IjOScqOQGcreEbAZSsYj8tWMN4lW0GKS7bqMQuwIzpPB+wItFEhAm3UHjMFOwJlVBDuZFRIQRsVItBGhQi0UeEEDGdUGI8zKox3MSqkuBgVUtBGhQi0USECbVSIQBsVItBGdZzbW8OdjAopaKNCBNqoEIE2qpkv9jAqjMcZFca7GBVSXIwKKWijQgTaqBCBNipEoI0KEWijQgTKqCDcyaiQgjYqRKCNChFooxavGrobFcbjjArjXYwKKS5GhRS0USECbVSIQBsVItBGhQi0USECZVQQ7mRUSEEbFSLQRoUItFHNzcIeRoXxOKPCeBejQoqLUSEFbVSIQBsVItBGhQi0USECbVSIQBkVhDsZFVLQRoUItFEhom18lrcobY/Zj/FXPa1P7He/dVU26vf6q9x11KQ7qmqVndX9XYRzKZ+9xhcPJ6be6AYR81BIc4naclu9zjWPRKBufH67aH/Dp07v+aVL5bsQ5p4pgE+7RoJrKtO2IV+PBEXetG2k1yPBrHPaln3rkeA0OG1LusaX1UMp6nQEgtvSTC14bAlvy9a1cNjFbTm6Fgh7uC0z1wJhB7fl41rggaeT8/vog479dLh+vhQQ2oZjjXBkJ7QNS6hVlY6hMbqKZid0Vc9O6CqjnYDS04rBC2tHoRW2o9ykhjbDSu1uVDsBKzUkOEkNMO5SQ5Sz1BDlJjVMjFipIQErtXtythOcpAYYd6khyllqiHKTGp7KsFJDAlZqSMBK3fOEbMW4Sw1RzlJDlJvUcHKHlRoSsFJDAlZqSHCSGmDcpYYoZ6khyk1qUCWjpYYErNSQgJUaEpykBhh3qSHKWWqIapPaXEXZkhqlcC0cNwmrBeJOyLVAXHKuBTpUS7Vox2qpRnCslqBWlea4aqkump3QVT07oauMdgJKTysGL6wdhVbYjnKTGlctNUntblQ7ASs1rlqySo2rllqlxlVLrVLjqiW71LhqqUlqXLXUJLV7crYTnKTGVUutUuOqpVapcdWSXWpctdQkNa5aapIaVy01Sd3zhGzFuEuNq5ZapcZVS3apcdVSk9S4aqlJaly11CQ1rlqySo2rllqlxlVLrVLjqiW71LhqqUlqXLXUJDWuWmqSGlctWaXGVUutUuOqpVapLdXS8GXrB5g02/w+mdo4e1tx/R3ctRdmguI7SMubgGbD2+B0wMxvKOlGeOXvRpU/nWTaWt4rNH+vih/EehGBfNEvECcyrELKTvrTrxbMZbYsm2jChuUeYRv9pWqkX37tkq2NI9BIyzeqmmZseqrauuz5zR3TYrutu6NFay2tzLQybS0sfooKdmOhqa1dJ+Ug3dUw1Yx5WHS/+uM2DhTgpfw5q6KBwSsrUGr9BQ/DO1ZsLVf2TUO+yIq145F5pf7d+nnx7XDW+MSkEStguN2Y4mP7YCi+L768v23r6v2GrjYPWvTt5Y6DdNOSCWgJeDG46EimdvBNm91sxEq7dG5pkgqteGG10fR6dD25LCUoBoWvE0a1xfFI/1cqUP2sm+XAtjKEn6dKb5NM3nf61eVkYv6/mo6nJ9f7x+ejg7PLk4Px9fHoYnQNJdkZsOPAaJJN9Vf65f8AAAD//wMAUEsDBBQABgAIAAAAIQAYdjEfDAIAAHgGAAASAAAAd29yZC9mb250VGFibGUueG1s3JJNbtswEIX3BXoHgvtYlGQrqhE5SJ0IKFBk0aRAtzRNSURFUiBpKz5C0WXP0R6gQNHLNMg1MvpzgjpF7WwK1FqYejPzDedpTk5vZInW3FihVYL9EcGIK6aXQuUJfn+dHsUYWUfVkpZa8QRvuMWns5cvTuppppWzCOqVnUqW4MK5aup5lhVcUjvSFVcQzLSR1MGryT1JzcdVdcS0rKgTC1EKt/ECQiLcY8w+FJ1lgvFzzVaSK9fWe4aXQNTKFqKyA63eh1Zrs6yMZtxamFmWHU9SobYYf7wDkoIZbXXmRjBMf6MWBeU+aU+yfABMDgMEO4DI8sMQkx7h2Y3kNxhJNn2TK23oogQSjITgVqgF41n/MVE9VVRC+Pbb518/vrQ6Ld0laBBa0zLBV0JerRT2mlBFlbbcH0KkmTwihITw3z9dIiuosbzBt4lx1MkZlaLcDCpdOd1zhWPFIK+pEc2du5AVOQRWdkGgX/cLcaf4CQ7iOG2kXgmGHD/qlXBb1eawgTNuknrFf5QDPb3Omh2LroXkFl3yGr3TkqrWq11DAjAkJBNoMIFzSMZPGtJ1+t0Q03IPceQC7hxcpOmDI3NQjuPx4NHWEfLqL46AHx1nf0fuvn66+/7zqaU55yr/ILbD/Nu1OWvmCF4/MimM5+nxPD171to8yyT0VuSF+8PO/M9u9Ac7uwcAAP//AwBQSwMEFAAGAAgAAAAhALVJZfMfAQAAEgIAABEACAFkb2NQcm9wcy9jb3JlLnhtbCCiBAEooA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yRT0/DMAzF70h8hyr3Ni1ICFVtJ3HgxCQkQOIaEq/L1vxR7K3rtyfrIGNoNz+/X54cu1kczJDtIaB2tmVVUbIMrHRK275lH+/P+SPLkIRVYnAWWjYBskV3e9NIX0sX4DU4D4E0YBaTLNbSt2xN5GvOUa7BCCwiYaO5csEIijL03Au5FT3wu7J84AZIKEGCHwNznxLZT6SSKdLvwjAHKMlhAAOWkFdFxc8sQTB49cHs/CGNpsnDVfTXTPQBdQLHcSzG+xmN81f8c/nyNn811/a4Kwmsa5SsSdMAXcPPZaxw97UBSad2ErGWAQS5cDKSiGvewjS6oDA6FyqKQSAt47FWGtTTdAL+92IrwF4fD9yVM5HkrC6v2H0DAAD//wMAUEsBAi0AFAAGAAgAAAAhAD9rir+IAQAAbggAABMAAAAAAAAAAAAAAAAAAAAAAFtDb250ZW50X1R5cGVzXS54bWxQSwECLQAUAAYACAAAACEAHpEat+8AAABOAgAACwAAAAAAAAAAAAAAAADBAwAAX3JlbHMvLnJlbHNQSwECLQAUAAYACAAAACEA0qrC2xoBAABKBAAAHAAAAAAAAAAAAAAAAADhBgAAd29yZC9fcmVscy9kb2N1bWVudC54bWwucmVsc1BLAQItABQABgAIAAAAIQBoSiRdWQQAALENAAARAAAAAAAAAAAAAAAAAD0JAAB3b3JkL2RvY3VtZW50LnhtbFBLAQItABQABgAIAAAAIQD+nO9mMgYAAJQaAAAVAAAAAAAAAAAAAAAAAMUNAAB3b3JkL3RoZW1lL3RoZW1lMS54bWxQSwECLQAUAAYACAAAACEA0QD4h/EDAACNCgAAGgAAAAAAAAAAAAAAAAAqFAAAd29yZC9nbG9zc2FyeS9zZXR0aW5ncy54bWxQSwECLQAUAAYACAAAACEA3BHEZM0CAAB1CAAAGgAAAAAAAAAAAAAAAABTGAAAd29yZC9nbG9zc2FyeS9kb2N1bWVudC54bWxQSwECLQAUAAYACAAAACEAg9C15eYAAACtAgAAJQAAAAAAAAAAAAAAAABYGwAAd29yZC9nbG9zc2FyeS9fcmVscy9kb2N1bWVudC54bWwucmVsc1BLAQItABQABgAIAAAAIQCHE0pIIQQAAMoKAAARAAAAAAAAAAAAAAAAAIEcAAB3b3JkL3NldHRpbmdzLnhtbFBLAQItABQABgAIAAAAIQCTdtZJGAEAAEACAAAUAAAAAAAAAAAAAAAAANEgAAB3b3JkL3dlYlNldHRpbmdzLnhtbFBLAQItABQABgAIAAAAIQAKAlzPLgsAAC1wAAAPAAAAAAAAAAAAAAAAABsiAAB3b3JkL3N0eWxlcy54bWxQSwECLQAUAAYACAAAACEA72rWd20BAADCAgAAEAAAAAAAAAAAAAAAAAB2LQAAZG9jUHJvcHMvYXBwLnhtbFBLAQItABQABgAIAAAAIQAYdjEfDAIAAHgGAAAbAAAAAAAAAAAAAAAAABkwAAB3b3JkL2dsb3NzYXJ5L2ZvbnRUYWJsZS54bWxQSwECLQAUAAYACAAAACEAkbiZ8SQDAAC8DgAAEgAAAAAAAAAAAAAAAABeMgAAd29yZC9udW1iZXJpbmcueG1sUEsBAi0AFAAGAAgAAAAhAJN21kkYAQAAQAIAAB0AAAAAAAAAAAAAAAAAsjUAAHdvcmQvZ2xvc3Nhcnkvd2ViU2V0dGluZ3MueG1sUEsBAi0AFAAGAAgAAAAhACBKI96aCwAA9XEAABgAAAAAAAAAAAAAAAAABTcAAHdvcmQvZ2xvc3Nhcnkvc3R5bGVzLnhtbFBLAQItABQABgAIAAAAIQAYdjEfDAIAAHgGAAASAAAAAAAAAAAAAAAAANVCAAB3b3JkL2ZvbnRUYWJsZS54bWxQSwECLQAUAAYACAAAACEAtUll8x8BAAASAgAAEQAAAAAAAAAAAAAAAAARRQAAZG9jUHJvcHMvY29yZS54bWxQSwUGAAAAABIAEgC+BAAAZ0cAAAAA</sys>
  </section>
</sc:sections>
</file>

<file path=customXml/item2.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用友网络科技股份有限公司</clcid-cgi:GongSiFaDingZhongWenMingCheng>
  <clcid-mr:GongSiFuZeRenXingMing xmlns:clcid-mr="clcid-mr">王文京</clcid-mr:GongSiFuZeRenXingMing>
  <clcid-mr:ZhuGuanKuaiJiGongZuoFuZeRenXingMing xmlns:clcid-mr="clcid-mr">章培林</clcid-mr:ZhuGuanKuaiJiGongZuoFuZeRenXingMing>
  <clcid-mr:KuaiJiJiGouFuZeRenXingMing xmlns:clcid-mr="clcid-mr">孙淑嫔</clcid-mr:KuaiJiJiGouFuZeRenXingMing>
  <clcid-cgi:GongSiFaDingDaiBiaoRen xmlns:clcid-cgi="clcid-cgi">王文京</clcid-cgi:GongSiFaDingDaiBiaoRen>
  <clcid-ci-ar:DanWeiKouChuFeiJingChangXingSunYiXiangMuHeJinE xmlns:clcid-ci-ar="clcid-ci-ar">元</clcid-ci-ar:DanWeiKouChuFeiJingChangXingSunYiXiangMuHeJinE>
  <clcid-ci-ar:BiZhongKouChuFeiJingChangXingSunYiXiangMuHeJinE xmlns:clcid-ci-ar="clcid-ci-ar">人民币</clcid-ci-ar:BiZhongKouChuFeiJingChangXingSunYiXiangMuHeJinE>
  <clcid-pte:FeiLiuDongXingZiChanChuZhiSunYiBaoKuoYiJiTiZiChanJianZhiZhunBeiDeChongXiaoBuFenFeiJingChangXingSunYiXiangMu xmlns:clcid-pte="clcid-pte">111,872</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27,808,466</clcid-pte:FeiJingChangXingSunYiZhongGeZhongXingShiDeZhengFuBuTi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-1,819,837</clcid-pte:ChuShangShuGeXiangZhiWaiDeQiTaYingYeWaiShouZhiJingE>
  <clcid-pte:ChuShangShuGeXiangZhiWaiDeQiTaYingYeWaiShouZhiJingEShuoMing xmlns:clcid-pte="clcid-pte"/>
  <clcid-pte:QiTaFeiJingChangXingSunYiXiangMu xmlns:clcid-pte="clcid-pte"/>
  <clcid-pte:QiTaFeiJingChangXingSunYiXiangMuShuoMing xmlns:clcid-pte="clcid-pte"/>
  <clcid-pte:FeiJingChangXingSunYiXiangMuZhongShaoShuGuDongQuanYiYingXiangE xmlns:clcid-pte="clcid-pte"/>
  <clcid-pte:FeiJingChangXingSunYiXiangMuZhongShaoShuGuDongQuanYiYingXiangEShuoMing xmlns:clcid-pte="clcid-pte"/>
  <clcid-pte:FeiJingChangXingSunYiDeKouChuXiangMuDuiSuoDeShuiDeYingXiang xmlns:clcid-pte="clcid-pte">-17,364,750</clcid-pte:FeiJingChangXingSunYiDeKouChuXiangMuDuiSuoDeShuiDeYingXiang>
  <clcid-pte:FeiJingChangXingSunYiDeKouChuXiangMuDuiSuoDeShuiDeYingXiangShuoMing xmlns:clcid-pte="clcid-pte"/>
  <clcid-pte:KouChuDeFeiJingChangXingSunYiHeJi xmlns:clcid-pte="clcid-pte">218,083,027</clcid-pte:KouChuDeFeiJingChangXingSunYiHeJi>
  <clcid-pte:KouChuDeFeiJingChangXingSunYiHeJiShuoMing xmlns:clcid-pte="clcid-pte"/>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ShiFouShiYongTuFaHuanJingShiJianYingJiYuAn/>
</b:binding>
</file>

<file path=customXml/item3.xml><?xml version="1.0" encoding="utf-8"?>
<m:mapping xmlns:m="http://mapping.word.org/2012/mapping">
  <m:sm4><![CDATA[uftvQuOypYxQMYTxSZx0nvHPLsIeR2siLVKpkOwW/O5fNSRCXmEX0HgTx0YMuFYwMwooax0mZLXfogtppoqrOkRwvEGRQsEA65tOb8P1OYx/ZYZ2gMc1bzxSxRqCXNaVYTRTpbZEPFH+iKttth7B0U8XtxDYaANab7keSewiR9j2kCdFL4NVfif7L0AzPUKQO87riWMWaRUPjqjx6Irlynja/wQISjaedUqyjsX5NQdJbduA7SAEWOJyu+ttjacxni2XT1IqDdzI26Y1XMueo/nf4C3Em8j0XyUDcEvYjwisj2B8lW/Sdg0nOYlePBpe17nWI+F5WXC9eGc2P3TQczoCsu7n2BylKGIXQ+ULpWdNkk/sBzXy5JG9ef4yW5ailoolSe1PBY0WgyE+P1uqYKk4Bf4RK8LpU2CmQR+AT04xHxO1INRlyQtxQFIsfjlCjGuqRs2mY2J1OXCS1n5xOXy5HOPjdBzwW5n4JdpAcuurgWKOWF3W2uzSqVlUgg46ZUOL6vwBWwZATd4Ibzo982Zmq40f8dhWkWmBDYn5B/nr33KWFrbEIzvUv2nUvAD5QUKMPKa+A4rvEwhH4YdgJHncGl0Y3Rb5n7c5u6KM+5Pa0jl5TslkkmIjcafwV7DS1Ukykw1L2IdKIafWdNOBxuYjQipoFcjJFGBMWf0WEAZtKi+5qFHmSMSR/TsBZ990TTug5UlXFBk6RzykbcT8O1pZCm6G9w//p7ojfDjmEoGaXje1r/zfCVs+qD+PyiNxuDqBAHbfj/cos23FgKsSzHLQA4w0u8PCfniR2ltGDjnrM813ZGBHrI5/GXvyRQAlB3ITtcskAD/Tu8RwBP68hHzeGl9T9vjYDHXRpiA3wypXRNj2UWpJz7t+K1Crypc3tHfTbgZKX2AbOxa2ACoMNSXiUqOQn5hV+D6m1z+4hSUs5MfIN+jt7qg9OC7Bbo1pKpuNUfRF6kk4qlXSZnFjyS+4VHPyqTogo6Fc4DXiRtqFtshURxN678Qd7wvTcKhkLlxAjfoNPoaxPAJC5R4j8zaNU4Nl/yX2Gcmkx/C8PLkzraFejdNb/qIWqSqirEwVN6Gac2yxxv9+HP3yMp0vziUo52roM/nnvsfugpjs5wobXyNiwFLvQ+otOrkPApFuSUyF5HeJw7k4xGfrRy41Yy4eOlCe3Z3sPActh69PD7hzknTTy69z+pxopPlc+Lf0cKlGf8hcPhACP3m2yteeEusWgo2k7ncQrYf1huqpKgy+j/fbU4KmRHGqzOHWjcWNZIxAHQDH9BdXGQp+NfdAqHdbdN6k9z5xJpP4SIxOOA9Uuo1xGujSdyfneCQ/8xhWPveS8YkWrVaXmkL+ZLMxgE7DIr+TYjAejBEhY9QdZ/T2SULOLfWmz0brR3BNkNvqPq/W/RS2RIDeeyifahB/9+1hF1vXPdMRiLPWGB8uFWMNVPmuaH2bmUYIEWZb84rlXklaP9aayxFSnYJegJxSOr2S8U6tOP33zSdg8DAYmLfCqLa+vuZ/MR2uDOIyNQUB80xnUHHt2bmhJqWDvwENE+hs9wo4meK8LtnDEnOvY1U3+m8HKG70slIe8nilvL3xzCxfA1fG9jnK7TLhwR/AkVq+Rx2P3j5Vocfrkjv0wvprk2bOv6dRrmY0iGNX3AVAsGnpBz8H43nfpy9O1NXg/ijn7v2vHCKbhxypfrLoa0YHcPxapF8WBG3/lcpQ4XMJxZzZvZxK/8Th6osn/4Ufy2Wg3o3MfPHh4L1AGd/DathWi90FJLCna1I7qZ1XB012SMQkwFLFfi4NyAdZZC1tG3IbD7AGMYf2Ts5FjKqI0OcaCSk+2fUs6joSD8VvnIGKbAi1G0ZebP6hSC9wZS4+890lhXRmmOJ+R/neL/68M5kaBwj3WPvfXw/Txb3QTIcWKWxkTNg/UsWbrEAaacCcKViF2M4PkSQYb7JARf8Uc7XkRGCvVnRV7LyKPNXX6bOFmgFgLeRSG/THTfLxgAB6mRZN12Gh3MF2tWSabvW1yVeGyIu2tvUri9rkMWgE05/dGpOyK4lT2d3fHhs12qXc7FCGfP+bVu1zKqf9bLgsSxLw6sfpMTscEwZsN3QLgHHBO4oI/KYUy5kkIHa9MTcsepZqxdT2RS9JHjQxxw7xowQbkfrKBXKbDxGZChnxgdCQ3Iz9ZsHWbc/MdLXayAPDglYVzRVYVcRNJxdeRNsUhEv4OcpaBeuoZX+XCJZee3htgp/ydgBZxFXmQD80ntpm5FGkcDUraccU09Tq/gkW50JjMwb4UqqoKzEjM2ltIbprIpwmIWWxnIvgRYE7mskfwq5KJv5lDu73/s5bApV2y/YODqhgJ/O4karVNQDZKuDMFdHYpFDnHHE7jEKkjkVpg5zcBXC4pd2348A6H7hc9CwS+YtKVCAx5l2+Q5W8xvjqjLWIl1xqRE581B3Jhe70or81CrS5qFoIPufgfBm9ZQMpuQxNXTU7F9svxadhUV6SZ5KGFQIacRYSjtFjysVjEe8NfhVUS58n2t734RyHeHb1iGgAUP7GWsdhCIfxou5mHB8DbvJZw1HwlgHorVP4EzLr6XNFxOCI6j17KYKG2Q4pn3yX5NE+OQtlJrB4JFO1v/1p21C4GbW7cXfM0Xgrc3loPORj6aaYFVbW4PWI1AW15EVnxBYfNEHU6sXZfz5WMYIQNakNVK/0QCHCf+l6uAw7bwVdh+NjlQ+/Lj6BLR6WcXpmPFtFF1lIXWLdjGUDg+MDelqgxkYQo4XEv0RlTC9eRRnEUO4Uo3nFod8v2T0fcjBqw4zOd8y5XlUJAa/yGzt1M9sdexGje1IEWM9oPTGhq0TTSKAXRwLirS3qnj4m9d4Oq/xx3Kjgn5U9XhM4iyaQeyVPeiJQBiJS21n/FcoTJjyTgm5ndfUO5+6sDJ5P6+4U+07fn02KT6d54OccP1juSn2LFtjzdDkpUe16hTfev3IDK5SZI1dmDXVdJNFRMSV3bc79En3AIFiuMprKW8+kEGtKKYnnmwF7pjrSpIqKt/NHzFmO16WHlqDINdVsyQejL1/J+iND88mFFXuyb47Fm6WlT7I6InjvWcYpRux0PiTvbNjavE+U2d3DeZxpGM9KY5JCdkiS+tgWHf8v9rodyNsEtjFVvxMcyM77AbB+1VRQXSywIJJQ9h5erqLpOYHZFoYABXuOgbDT0GAecAPw+fOoVPILFrqAMn1GE04nmknm8tB7qOAL3tT5Bw75npPLTmmKAXsdf1cjhBGnbzIqYGBpVE+DlluMnej/AmxNiqR82qNGcFNEesSHuNiWjjNYyykKkVQEJ8LjBleNY/jYCEzM1hJFDrHHXDlLEB+NfYohJ1UM8J9o7zSMkMMnIYz5v5DjZno5kQtW44whyGL8Ui4ylpZq10Mo9HCBwKx5i+T4jnqHPP+93sBrIlyX+AoaDzR0t7tDw/UehvHRM8fVQY83p172mEDyC+YjFGBDMx0/nXbNBfrl3r7iubVR9jwVwpLXvXCZO9NpDcmabJePe76sgJXEFSOu5VHgUJV5P0QSYR/PZPvAQjrt3SMhLDIQcwbDgF3x+XSZN2gXC9+1OMu9eOK1cCYT1ymzJYPKziuNBliYDHz8xOgEHmzcTTV1LZ6myjINFzfUv3E3FKsL2fB4gAIlh9VfP3UMvN0gCQf0o/oRurfLCJ9n8Mq75lx373FsOHtelXMwIUShPKoKBMuljVty38+py57QlenRz6xrgbKHG425MAA42HQtyydzeYdDdknjFxW7G6hR4722k1NmBxLRO3rTEEw1pHGjqTpbZjBAlZ+plLzoMdhQlXJLbPMYDbch94Kah1Ko6Rxr/txDdVqvP0tMMupxY89lxbeV2ELsYmQHpYBUJzIfSUjnbpdSyelxIyF2sPvuYEQW063pRysBB404sF8qx2mhYGRSBn2h/ohhE/yOYZA8paFrk493Bjod2YdKt4xu1D6xcbvNbfcyvr6LXsoNezNOiyIPOxABgMDbKYqf/mLJmQskBXrGcEwVaoraPVY4iyV95f1ueOxnhGOkk1T4m1+mbHHMz/2o7+4s7oNqaBB11LCbzJM2FdaHwF0dMHXOenRs5sV8nqfRUuYRUsO+DJps9j+ZrOuEYF16ukaFarUZ1+41+lIwiYzfn5//ehe3UgOw3gNBA3h0eyJPZ/B6q6HkWCD3gd6ylTVN31fXMe0f2GKetlCFRpBu8CbJTuhz0X01K2CvNsRbqZruXqvyGvCHyW5g0JIYdlN7De4ceAU7G2bHmsB9N/cloN0Dx8eS2J8Oo1NlYRNnsHwEBZNhfkn4T+jIXArNIVzGv8+5Mj7fn9WQnfj+ddzuW3qkm17f+/J5FpcU6fI57fXdvhcMCibKMu1IbzUKZP9+E+qtov3fF4cZHSe1dYu7NU3C51NiK4pYczknazlnoAfuXa+UiVYSEu9VmwJuqQ+YeCSSOmUfSRgH2rfwlwSRFVEzN5P8vhISl+wA26fGIcYvmSphQ2O/gpbwh7vxtuowAA4rzIhVHxzEuLbMwivT2BAJZKL3M6KQ5R6NiiitPY6lCSBGC/sVNHSQ40lqJIWZ2LEGlNQeCtT6bGFeEj7f4spLCvfAjWuugjDn8XwfRqnKh39TcY8LAoRiNb+snT4BniKBfy5panDys0rWK+8TvZmrTMBR+577lRuT76IvBZdnYzO7rUbxntUUq5WPaC4zX2eaX2NuIZXnuVoKTGDU+nlUjIDes221AHGk4UcxLpZJV7uE6E3Xq5AV1NAm0YcU0hlOhboudG7dDaZhfWoISHBYWcUwsKM387DZEwhIGOaOKefHDbzOrMerW15Twew0q17HN3rVhq/f2QlF6Ax2Fov2tLzGtlpgKKCODsnlLiUyXxFivyfsQvZi2ZdHkk28e/5yZ5b8yGIV+bIsn/kS9DDfNkclMlDL3boOQb/FvSqRkT0cYK03Qbbr76U2J0KcPYLEtrXPQLFeBxi6h/0toKdBhasJ7oihh7f1cRNnE4EpzOnnT78ZHcWrsqYObk/3tcbO9B8wmA95V+QcPmnBlOGMqkR2n2JeoIfp2iqylw+I3rBm4qSni3a4W2itgn9Nbsf9Xk3epaFqwhAH1ZIecCf+VtDEdA+OwnkonJjR8Ovpt/PY7IHOuYboOZoGve1DKv9msxTX48SsmmyjimIPGu3BNgWTlikbuhB7iKvGBqeMKoHN17dgQ5EpHPeeRnXDFHE/zu8FCC/dvhY0hNA/r28j9h1rtLzCjd124Immh29LSfSqFBny3lzk2fuXohE3fSOuDI0VYtuBWyhkqUzLDPm3+cAw8skOU+Nkps3YiPqEMhIoT4H+XEIPQ0/CNzkGHMYZTRki6UrAvoeDIzyiP2lO2C/pllTUITMYMIyaTTxabDkTq94KHmQKyz8LXK7hh4CslB9NchfqzBzVwdEdKGo/AUt/pn6GKwCZesgOjvC5fLGYEgOR5u4WHV+DgzTcIsP/bjkUvwVLll0pxjsC6Rd0BBIsvcxZuvjx4iKPfInTOTralirYH1qrDNakd69kh8gIcWGp58YjB+QL5nNnrTXUw76ME3AJltrwRrrYuOGhAMZWMAXWtZr/nvH0e6F0BsHVmAx+zm00dQ+l7zhsJ9Lk+Hu8QyyN5ovkV47gn4If/6YU2yf2vi8iQ33OwRWBNaa2hfL2IOec/iTHJNpWJ6OwKFXGIwKEHU/xkNL5Kumb2wxzHsEPT+pNawmYF7NScCQkXCWb8HWLyPFBbsFsBciy36fqcEEv6Y2ORsU726MGVC8N4SDwUmKPQuY6gCdY/2+zckXSQOAToApLLcd9ZPgHPDWZGFQouDnJsAf0/gxOJE5zBakYaM8iH1bbaAP+jxzBV19/BytaWue7LPCOrc/hMaM1tCS4cVc7nD86yE8v85SrhSBGIXNJB0/ZFBZ03YXZoyd8jQUZHIBKgA3HIJg0KJrK8P4dietqokfnebZqSrCXjtnTtwo9xtkl7ufnEXkuEXdu3gi75MRUCPvuiolGD5MLbzzyrhNCkAn/QnoKOXQZf1fWQRxJU7SSocL68nOBN61cyWMgyQDsmcWTmkXxkkIYsB11DCaeXZvgjaTQgtbo1/uKTOl8Yar91bq9sB6tiSZx7eOjnIxe9GlDf9hss4WRpeH4/5E/A76zGEfX0l+uUJelQH5MV3yCKQfPHVB+dgK0CPZPDlgZ8owHcHcpHo/aGBltEPqHUJHDV/oNFRm7RrpoeLmpvakdQ9CKeGTMl1RYOBI+whOE05rRi8fIwFXdOvS+DE/KXfY8s74G2QUsEZJ0JhadogoTtic0o6nivcT9gPsdYK+6JDDKrzR0Yi2QtDZjG8kVadt33UjNB9ntjcj8v6uM+dUGgyWOHY2GwMVpQvLpTH3okOdcYOqO8FFyaS/baxEFhWVe5MSkg8lDyWxun55iG3Z672OylO/SIYDvpW0AUqtsNQtQDbJLlrRUQREF7N358/YBEnwy7yWkWpdAx6t95mkwbksvisHYBYot+3RTYCymvqy9KNlCrSlXuF8aevPsGb4LqjNfunpVTiBmy3ZWpeKBmzCua+SYXBhWTIPEHApvtoMgpHPhV02RTpXA/IYTfmcKZ8BnQkjVERUr8pHHLWPFDE0nxvs1nZFGFVNu51f3xKS9019fXR3Xe8FN0X+5GxvQrapX9PmIh0Mv+lMiKajF4PI8m57TQd0dJPNRUHVKSea9qgc/XSD1OX9GTqxEuE8ro21W0SXAxmZDMThy5tkcnwRAYu4E3SODeNvfmDkJ+PSWWuVw1FFliYOLZoMSHru/h7AE/u10yE5lssvVFSxGnXUD3UDFC+lum7hSFevm+fLbx3aD+mH0FsY6+u0lxUnICwP31Qebcqnx3Eqn9ukEBZZFv2LbD7nnRMtq/ZigEvl2l6UxTNwMGs0klro4B0ydeesRoOjdDmt9owMB9nTbjjqxgqi4F8EApkPq7HB7qhiVpE4FZWS7qaPov3g0RoubC0NJr0s6FDFjPYrqR0xJUTHrx8pcvE9zz1Fx39XK6jjy3MDBjwOn0StIwIq5LYEqJ73quxFv9ZaW/XAMNsbMhmJIY5tsaCfSPUupOTfVRbg+TJMQTyUFqwwAjYl7ckW3gNTYYj4ajQY+w+ejhtWaP3ht92SLzEBODwIX6VL7FzUA1HCORzTM3fABcMIcVdqscIbOfzHIdhLA4s6LhLKUFYgS3TYPCqYqk3JKOvO3AduYAD2wgmH8yUbMoLUgn7ztPVlqgpfN1OnWTmYpg0VoBE4NT2YY/4IGerggf9YRL7E4UhcziOoXEOhtchjsL80rLzHcMguOzRdtCleo7MbH7ZyJrLo8AgYnwW5pPIN+DTdis7KvYSLBoQm9VlIMaXQeh/G5vmwzU2pswGG+5gSGAff0FzmcgMLNfbPYGe3abFw9L7iXgfZ38BtivHK3E5KlVV+LTG++f7+v9ZGlaqxmEfHYU8OoalCB/oihx/tQdTfbzyeNKGLP3GyejrGG7PsDk4PGWSYuVTTlzwbbKbUOom6j7kyoJfgSfEJ54/X0jF7HuTXZeXKYSJCRvaN9YbHa2smCrXwOMBKyr9P9ldGvI8BUw4epAze7FuZpfQkwq28Tv7ZHG+TukZbe1/QOLQrBmYCvi1RmCu9dZhhYjtH8JfuLTkLO+cNRkaOp9SMXaYWdH2hTUkZWSTHfFx1iikTv0jr4fr6oPAgFhhDvDRget92MLX2Nt4/psE0XVqbmcyhjQsZgmPlkfacK1G1KI88jDQrEBIwZuyS/+FSUHZNwzmrFywcUsUEjpZkZqKCfow//cqQPdIO41gyVgUJgqQAlttGMe0zxXd04CuqY9ula5PN5jlF+GYpw5yGRSruz5uiIRy0lsoUbu9jQXXSn3PAv1Z1eYPXI9F1bhBWeJaldqdxFE8zF4mSIdORdKzM7ugB8HsW/Yf5bTLoc9FnnaovC/xMPz00U4Ye0meGlvx9TYkBwTcHXMyZ4ibIgoV6g8rFXFhg4ESbqIJawFolIycgegLQPv1ifxs4w5UmEL7rnpSyy1LPKFLlpSssYdBOtD1nsZ2AmnHOuoa2idbmSsfizoH5KpA01vuVi+E+oCS/Xr5/URzLBV+Zd09LlCEh0FZP8akA5d1eeV46FkQDMP6Ftza5vBKfSnCKTDtDa8NjoRkqtnRcKpvYE75Hwau+JJKmROIg1RkvHvszNShBgEi56y/39WmzT+SLsFh+tQV/kZvBwJT3xtj+3Tv+pJXBgA2uxLKAK0OtPB0C9e9pr+CPcXAzUFMy3KffnRxIKqEurDmQ2uDyYJsXuQ2Z7HITRyYeRIHUC6w5qLjgbzl/zd3dxE04ZrlR9r4VgGTB7eh3/Ch5maJ2HHSP3rWjf8r/GQhS3czHdlxgl9HoNfVYuNXXkp2fmESc/3PfDRszgbvUnxFJC6D7Pe56J61hFN4XLhGTvmc3emQw9+tD8Apyma1jlASetPK362Xq582hLujyykUv381FxQ1CPhZqx+DoLlUu706ZOZ4A88q8EI+vaMr6gijlU+Iwox3JpKbMJsdd1VfjO4zKNR1qKBr38Taxo4k/xDUobjCbtV2tVKdL0ZvM91/gTheCMVnQkxF5U648GrhedGblzflhDvRStWFb6HGs9daQo7D88uS1oJWIOefegyGfO1tQOGBwVHonGJJZ1BSse8tpWYlDzXCyiFsbPQYLiGFDvqqDQh8te3twzklV6q5+noszaKanbe7diwaGsetIYyxqrCSXmrh0g7lqu070U4cMPUMs53wbK1xLYs2CsHb/Bv+QnpYWvqalSVjgdW74pNgGwmMNIQazG7JPNygqiW3powLzoh342tD5oqRkH7eIHUcZVGyqwmLjI3gpcUkvtsrsmbO5O4d/sB8XmLc7EcahV34sLTbH3KiGNLzVzPi2m/9xUBVq0AUZGmUtS7XyKn1/egxk7okP/w8o9II/cnEufF4Kelg/w4cZKAEXMKP5ac0riPO6ZAmyA+Y4uJ7mGwDPtbzOEus18psf9+7H9jZgSiR3TGC4ruC9bWNcQm+yY8VZwDhkz4qgz8ovHTWcrYFjaPnL8h24plHCsEih2jbtFKfDJpFgo5bdvymjty9kowGv35D68YiMtlqE3h6OIZMTrVGi66rBFnYTh5aGUBhAIoNwX9JV0n7u2vw8hXmMjKJ4c4z8QANuVe2XUY26mg+ovsMB3rYIj+iHM3JF89fYAVZI+hkQamN920Rtr9aD9uzESvAfzLwvw0MvjWawW/jxX+chiLoubloRRQknNQHscTt/gDgPQFVSOfslDX0sL8nbLI2CR4np0AS5Lo2XK3Fmsf6CBGrJHMiwtMgmKTFMEua/vcVfz5eqMHE4NJtCs1fdjfV2hVCJclqSfU0wkheXRBWJL+SPLZ5PYuS9ivbEZMvGh8xtkegzYNdhBP3cOqP3y3DNHqpVpAMbOLPPokxjTLvTDGAckH99a2qpbz+qBgDKVE4GEsW3CPkF3I+XRp6IuAsS8AdByXwTEJK0ERi0MojsqsQ6q25PNZIYFuJH2SJ4di+S1cMbbTcCGAY8tLN25Y/mtgUHdCgpwBRj7x87qZeHNC3Tmq8oSJDkecBJuvNdWx79yeEvyUfG6uq2zbP13VV4j71JlWR85QuI2NuplxMXc+L3Z/ocpQUxYeodiQuhuq8m0yydei24/LL3xeGu2ndAOZLmSuAWDMGwWont/+t8hzz+HxZI62mxLQ/xe4fAj2BkA4jn2WPvLbZ6dbCd8uZxN+/b0AH/CMEweKFTctnsAElw/bj2MYR63mXqai2P+7Z0kmldj/7CPVywLxoQq4QE9XLsuy2Kso5uyL+0xmevoWCNKcbgHNCtjF7MwpVASWXEPLryE+o5LJ9DcO9uqeWF0Xe0lxwMa4WnfqeCIhft+T2Ped4/ExKuXdyhnh55hSnSc4Qupg7VB0/VGp7zFCUWT0lYtsenpJqIsiv1bloRGDhrkeCnFYQRTVBnsGL+qTUoeR6bLHpYTdSIUoTR1461tA9/e6QN8TXwuBqxsUxk34ZP9pzbRg0MvKQ2V2B8toqhcNmY1G0qk+946UbWG+bu8n9/15Sj+vVtwU5EhjKVBaZpktzm2BrfprPkO8LoQRhtp1+mcZ5nu7QA5oFK2ZzpzVGMpsP1Ws78mevhIyiIDxj9EuFIsAXoBjsomONRsd1tMw52WldTL0rge3+TM7P8y+iJ91T/+Ht6mjiyC1ta5Pas2U0fMufAOG+aI/yjDeSaTQNAZzhjESsE8rp29dKM/p5+zHyi/hifrpGZQt5oQxDkLrnxbigSuxxYWiXMBuKte9T8AKVpLEVVS4vnu5/lkrmSjbuAZjtEpXG86fGZY/uUJMO9T68NrVDAkJO/aG9a7DamF5e8qdj7U+x1dI08/KW9MRUlGbgQGqSaZMTR6xJEgqEaQNBdtt/011JX2SAht5eo+BXWzHhnWGkTGIyEHa/Jv2zbTEPeFSLlF5x/zxkPX161rKe8O6fqGMCJ4bL5JnFRSx7PeNnIwX4SM71kVEIG4IcFwLaVRMY5B06KS8gGScrhRwVT6a4eFX1A3vqpPyuYxaYyLaUImMFQ6XIpriYzaku5v7LXDw3G7lzXeW+/mS//oZ2SXdZGx3ZuUVSyU7p+exgLzGjt+FlPd4ojuMjc1v2xJ5Ma6aVbtmrQ7wbWrWSV8IRkg6nUdjgNjNti1fq7dQ0Lq5QFWKzL0+tPYVRMI29Yrg3lIEVLL4/atbb/61c2vISY8YXwVjDt4FVE6/SMLFNMfh2VrB0t5k+xUzus95OS3i7gSROC1s4/zfhrX7Ez965Vr2NhPvxrnXSdxvmDAM62zhAn9Mw9a03v5zl9EA8/Ds3sDdILseCNKEJrZba8qxDQD1PDzHD1Xd7pktsXzA2AleNUlU//II7TMHGo+Iqk7BomAaxV6DrUpcBY0QZ/nynyKtauQ+PSV/IySpLST9ZCNBehkb7pMO1dsmwx7JRoAioz9Lu4dgTxMd9xdUbxmQSn8u6jL9bSG3KvH+P3oeMxYN6jtXcM825scFrJ4nk38W4xXRIpi1v6QPLBYzTpwPAxTuxeS8LN3VN4m6Koyc2gn4Aj7mGtXG0sirXX4mhIu+Vu7gq8TDcbg8EUvzaqL20MrTEfY/5YjjnoX53BitABOGDA33D1711yaovGfM12WyJFW8rHaChVy2svOtaiCV6L5CN0Ec+oIJgUT0q3xsM/fIxwVMtLfkwG0Ik+NE/KWbKtM0U6Entl14EqSeNftMUa8e/8LuZxA8stsjKRWVVI4Wr+qdCj3dRvAp/hSUAEOcwhbrnRZuwGcoWQJxKHNUR2qRmodUdbpCbwG1UdjrIE5sLMo+j7MX0eT2yfkcv4KPEK//ctPCW5yL+I7/14KFKvdHEJo8k9STG7KiWBjp4vxbk5bAiBgVE1QBEZygGvyAfxfbkBhOvZvnkguYX9iJpt/dx7UftSx9KET55k9UdvtiEEd5LJs1pKy+W/ESNiCJLWS9fKnTyhiN1QEmWlnIW7pVNDs024h/2HfaqleOQRmVbC0xc4VVgpjvQDQYVN9nOkaUZIuYvDsHv+mS69ZO/8r++OXPLfzuqH+rLHGyxLP6DXbirlnNGq8Njb3XZGlif5CWiuna3TLKgWmeeXt3yeiwzPE+xZ2kH5TsGOLmIpC4xBnu7HZoopWriyoyLxz9o2AGPBGBrbBvPwA6LD0Xj6C9Isr5FXZErFJxtUUZYocT/YTbntW5UUqqDg36PMFGhg6G6nXjK75BaShh5OVDTgG3wPnizjOuqnddFObJDnP5r/KSay31s7MvLNKXM4xslk7f4LaHLn3KxMLzRZxVuoV2b3r0b9V5OhCic0oMb1a4T4qSQBPELmzWDqx6eaywjgUK8UNPa3zthGt+eDql6DahChD2Hd8lF6V/m+IYQWr/1Kk/bkdrAaFUM8Dje071X4ufF6WEICw0SXmD97E1l3z31Nz2/NsHWxMyJBPngu3TchRY4cbr56Cf1G4gKEjLTQCdf6iVBVUyCZ1WO8dR/2TcLBVrSROeW6lN6gNEaFAlnV5e8zdXHWtTsoJR+fSa7ObRs49jBRcOHqNUCMrtf69KyExXkg2hOZgZg5M6IyUYyAmoOt0BqcRu6N8rNqNTg4oRN4rxbyEydlLPuKJtgoxg3/B0IfQ6Bcqwy5p8ros5gOfdOaKP7VreNCv+jGwWhSds/jJvZeMADdifeInpxCsaGQYhd7wDkRS734KPEUF6nVB+bFQzYMhVhyBeL9YkvR9gdxPQ/6ToRaffn/Lgoj3CND8151c3TvIByglglz2zQMiUKMuU5fKcTCYaeUOqJ2hcqifD4KUS7D2/yOX52HJr5EYYCw6rj4P9/RgnGRKnMnhp4XuFkkT1mNFyVXA9jhlfSoqbfw73WzgpdYHtY+moU2SUx9iwDMTy6SIDIm82bxO5r3t1UIKZV3EhgCkZxbLpqNSYMOkLj9igJdPdlv2LX6/QsKCQub6p0m37LD0kzPu/Xfh38hYQ3Ot/PMXuUiau6XMO7eAPvzTFjQ+zb+bUHqG4QRgIM77JN/Zm6mIt3sXFNcy3cwdPsfsp5E5S9OuIyYTwga1nd+d6oQn6rdOGRFvw/bss1h8ndVdYg9so/aMgTWbF+ecJABcXEQTgbn6T4Y/DeKO88e76WyiF6ewXT0y/sKnAlpA3+4jB+t/qQKG8TDHZtJli8SHah5rhWxaTl0lW9qlKoNVwMVosH+z1NrICTt684rNrX21NZwMkK1irCSWGjWVtQ/NXzl6lTrY8DiLOhQSzf3YYBdcRocIS/5y7vX8OE+z44nhanb8MwewFBtSMHIWH2L2dtHAhCKcg49mY5kcmTGHCjYMPZAp0Z9KE29eRtuSGA+P9ka/z1fcXdt5mPNU6trvjRSFwY9pTP97J+zFjlhBVcLUNv49lHRTjbX70q4UwWPy3bHQjuH2tjL6qs31sdu4nffcsN3d9IsqDutWawdCGG9KV/Ebzk0LGKpZvHRwOn1X4TO5OeDem8E4Hd+DzD1ijMWLyjPiNUkKqmP2MNSSZjS/isg/0XvW4mhytkbxbLT0f1wexsyRWISexVEbIyt7Ko9yHLlK/msiAvj64mZrqFd9yK1JiMmc5Wt95MVcg7/nIRJa8RKUn5wXQCv3J+fXFN3BJQ1MmLddpRqD0yhpuxZu7udeI85CwXSdDUcFhrEMtSmInmdTkPN97BRQZkbpXRIC+KeMXvgtvrnxkRT7UQUuAHpR62dUtI5vcooVBYN4KW1KfSTLqhChwlgpYaW8lVzvUiL8AD4m1qyR8d+0vVDLMKwPCYnL+NM3o8oMDsZUhyGlFoPGqbx4OlBVaI+/redgF+W8FqOTIqyxUK7sNPoGA2SQqXE1WC7TwmAIs2uXRkyKOexuFgP7TszhGfTa/CTYpHx/aQz9mmtQmIOWq0BSpUfcCSikC2J/lnVwVmhjq/zxmthkFHzxhmVcjQttquaB/kj6hV+WkL9ZQnMfe0XTxAwWH4v3r8tPpJ6Xb9/uXgrIpoYnRQwCYhEQtaKGwW1XvRhEUkQTW5xKWmluyRLbIbbt0TskTTFpX4ZyVbExkeIUZ8Df8UEAAOSQR7SeDYLLlbPReB3Dl6d9vzPDWtvIUJeib21aM9/vD6zyuWVW+XnYvrVuBeunQcOFBJi7Yx7B6/R1YaD0Mmh78C43eAMA/yecXLXtuPDOKmWgjNDR46u6oEuLDx5xoOsEJbroBjuF6aivVJkd6u40x3Q4bebPAFPLMMTCfgUTWRu4o+sqSpAstaNwopndjrCO6qrRpKzDqygH5lQahqd9w0tt93WuOqkRTvORPVg12Qu36komZy8uptgOXZNGiqApzIvjmCOtFUvjiDiH8OQZhb5U/i4NmxZ1PlW7JXybrql6JGVFtfyQLECx2Jrpxi535K4WQ9XYrmqQzYYBBxNMYhtiMyUbI7O/jmH/tajtyIos1FrBmWH3XUQ+Rgpx6vZqTLvjbCTzKbhZqE8IuOG/0iF2wb+xaW8BY9fmgne48z34UF3MvVD2d4Fz5mSLi76sRHfgOMXVQQ6qtrAxk03uFTuNw1TFXNqx337uhiQZGFm9OTMPAeQdfM70OKb6z4Vw9eLn3DTSwJOml2/QUlMoawXkYFMPAnXM4AzqC+MTYF9919uKY+ZG++0h6yp+Etwe5jyX5JEuA/9qIqZ4geTIeJneccCCUSdzwoyVdYwuMgk2IAxHmlCrkWRjW9FCWLUtwHYKqAitUnkyYny0JrLfYZddugFrw6hIogf0LJ8IiCVLbWJ3bArJjPA2vRcXRxy8QN1/tE8SCOFiN2a9pqrPE4xiE0E6ucBWbhaFjQ2A+ibPKHIuqVCYLzvIcWhcqU50qzkXqw2kEL7jyF80VqSpWPW5UmoxOh/DYZpAyq/SQo4kjgDEUsM+gdoAhp5Tt2bbAeACDMe6b4yeUyu8FPb5iBWSbWz46vaG5jv9Xr1E/C+4FzpSzdGPUpmQUqNsjwkKI3V8FgxD/jPLwuxWGs08VOzU1HifwbnpEQvPUWgi0WwFad+vs90R+VQnqkHi38e7kPlOkIjLREga6g/d/P/V5lrDviXc/CwUFwPlM0E49r9JvdNK85jb0EKcvEbDTklrniDGFAei+6QWOfh6Jh7TnVqNRlHCLJGtM8mn1LFI9OQlHzXaLnUBVGWFgwJgEwnhWjB3ejxltJP5qD1mCq/BX0ni+Qo/LiQyegcTMuiv9Sd619uc7TCNwBMSlgEH76NNVTrIB9hY7htnLE2OfX9nt8n4nnoDYSw0RehZd4BiVejHjeNzXT94cgLXm5ofhFrl7EcXNBG9rTu4VPc0V+wdgByEGvoDKWCfTINAMVKoBY2Xc+cUbQ2KF5S9K3nJ2fF8dvSfO7yZxBTLHh3WzhsOG1Ci15RUaijDlZHQSZJMgH3QtzdB5TfAXI+Tl2m0VoDhkWu2nLzXc3xc2F/2c+uBvNfGLuo8Z7uPnPIoqT2chYy0dVUHrFCkRQH/UUeiMq077tPQtARPMGW+MDxsZqOmG7AcvI81tBgKzmgpq/QexdBKeduV00RkP3sKbopD0iR+7Io36t7V1QD2l93Pt+tWAl1I7C2do8e6ZFR3yTW7QCQcvzNWsrVI+orlyQV7rrLIExa1gZb/tt+BSIMi9Sb4u1C1zPjdc7jt62++/kGIsIsjbbCJnOwJ0jjZjQ8BkqeKURMnnYiml+2FLRB6Jb6IFKjR4+EbxfRnWI32VH0zjrBWeNTkLQMlTaGqN+mopagiilY5fkLjO7ych7dz+WEUIhf0SnenGxEi1xLlD4YG774qsJXs7G2X1GM1dbijKs1UoC3t6kdE9wvJMKDGei6CSJZgLSYyL2b5sJVGJQgHhuYLiQ9L4/9k2Ib3hwuG9Z18OOlnVi4VglJf92qxUdYjxgJwhq/MCim5TV0mbAbpxmGZsHhhuongSUTw5O4FHmj/BTndx6EW/qkuAeb8GFvv7NCfyLDNwm4bkxlm9D/KpyFW/3rrvB+cM+jtVQbu3BhA6nPTWpRBzIg+wE30BzC549x3mOri9TYqhXmiq3hYPivG7NQiorJxTCRLk2ioJz72TvV3vrV9oR6As/lXS4zgBIX32BdW8U+XvFRHmd7k9dQBTMqTNUuDIGhdJFgdxLYpbxYD7qqAGQGIeH/rM2KGEhc8EU6dxYn7EbHlT1JXVR4O4vJojgNcIPxWuYthGILxxL4xYrmDubbQ7Zhe71NyyPm4viRBpmZZTOOjGzlF80BYAfzt1ojlxtNi/+Tnp6oNKEtY1Mbo9XmU7p9ARl/G4eq9Lb+oIFwsrtb+eqNgMhBaDH7lzoy81XKtCasZUY70D29TP5oHZQE8Wq6LID8i/CpO4yzQAHDoLmpv3eBWK6jiwHPYdJNmmiyyXKgvebq5wcLb8CN0rm+3NpbXdHwUPIDiLM+oMjxtzs8MdQpWbEVyc1hLnn5wNHluFgaHhocJC2qV8AiioOnYR8iTykEBnikodCHPrfMIkFcDE85qa2c/Cpd4uG2m7YiMNkpPQ9Vi17Wu1h0ja6S+RQofK8XCetMi/FWvTa2STAVtaW/iR/NWn9VrhTKvnExUiREYSIaj3OlmzNm4t9J+TpYgUS11yNdfK6qTRVSVGD4iNHVDjNhYB71JuyZhW1Q2ABOrnpE/UAhE3A4rwX4FAouSM+48OdIGmMj0HoCqnjT7PIid7eNjXouzMHFPD3JJ3d7Zbjn/RQIQ7NYPkBj+lZkkMQFNOMjn5/EWHk8NLmwpkslswfve0y0TO0/GdNrNvQXVbczTOwRjVQYHvV/CkxiQs/D+nAlXMSwUozcIEAVlLClH7fTE1hvqvqXutT3w5r3QYF2jeYhxkFAX4fHot/10jU0AsgDGwUKAjjci7mpuWtndhBUvgaC9aziuw8OseTr4WSI+DYWPKj5XYzHTAN09K0dpZf4duwdHcK+4Y/GmBa1Jhc9FsRSZo1EN3ncpsFYpYV0AAQ0mrfjEHgZ52AIIf9A50iPvKb0Dz8lu5z82EgNT5gVs54I/F20liXTo+nHsOcrK5/stcCdCxK6wtY9t0buALqsOhIgSwC6woyscEjK/0rY4rBBHmg1CfiCvr9lsOkmnJaUDRlYN4gZGCn5UEAvECcWnECoznN1rlKhvj6WwxPLfG6XpqxBAeZwAyubqwSBsEXT6hXkaWfy+ekCHiw+GTVNm2dr+52CQP9PpA+p5zN2sJ8E9DPRgXLl0q5yc55RPYWWUmu/8JlrvYMm2lAHt0v6EB3boDB0GB277kvIzVXXj8+HvQZllnMAZQt2K7JzmJl77scoX9ofS8BpUAhXkAOuI0aZnHHOQoqnKg+YDcxyu4EpJmOq14S1sMR4LwdCXluBs2C5iJu3M0sjud0+wY/VTCtgiUzEz/laT3v1VO5g/lpx62Hq0qHM1DNXQkd1ZyAjyMtJEc/UFpB9edkCAbSBQ5K+dYAwf9lufrwdWc04iLqC16bVVoENR8V5/QwAZ/PbZr6SmfFIQHq5sw9+FIx0tgM9ORk1U0HHqco5mr/pTBA+MtwbIPThvoBQjYQ+4E29USJedFOuJaCL4awP4Ddi/xNHmzu00sQ5Z1BYwpvlDJNmRPxDMTJaFupwOwM+aZHuhEUz/AOxwOYyBZkjkeAMpPnkLUK42lJlnLh0T2qVrolbmXyhGiaRN48KbzqSbIdphZLXseyeV3kCU1dWdg+c51icnNgpt/MT693SatMPYr6WxRS9l3tzaMsnwUnMh9K2bOu9IdhdtTASgc4HhZwEiiR/rJgN5q6zZ7O08cNmTnoWzIVBN/nmXn6gPcaXDXSAkNjGBfPEQge32EBTxp2XX4cqrLwuIxFF1CTVjjZMe8fDUnY9j6eSvaXKC7L4W7stPPaDNvXK2ohb+e3PZpnyuBdmap5JqMRrw5YjIlUqmiI+MaZRCFkLVBI85yhApvkIZBHjgkJ8hQf/gpui331yswE5QaMRSCg6VYmRZLYxbHvvDeyo5JDRNyjP39SsG6GIqGHM8NRsgPw9ZY8mAUVHJCP2inbYKVBWq6ICD0JsdJs49/+9UXbCZE37nITNElPTqCXC3GG63HF41WmrwnVOZ6eYyt777ci2ian4Wg5Noj05su3LwNSXsRwlemEomcTmd7fQ7ZLdT3K4wmYJy3xvLo40lyZvlpHxxFtnDWXeGQV4bAKiSpqD/qKoLYPGeGaRmhCyH29q1hv4oZ3ii1NuhGjCbe13mfcv7QYwi2jlbTQRaGrnjH3Ha/S+slB9h6viCtGSt2UsM4pkeGua5dKJhN89+Jkp1wuT3/ORCbejGqDwsyfT0kPh4vn9vAWjQ1znOgPnpnXVrlgWziH1idmpCJrLv4TFJbnfPyOrzETvcqJbObnsYRW9o8+ub2aOW/iSKjwgPl6VvK7OujfgSDEYoqd4x+T0BtVkE77v4Yk7KBJjettzen8UxG/Mh/2OzTFeonClu6e3fGhlIcS9/1d68hD6RJlowkxa/DlLf/SQF3Wve4tns7pCdjIqIBmEnnsCyY1TsQQaQs+PE8gpTE+c7VavSNfowfqL892IVykv5vCgysIa3WeOGzOq16KvKdwFun1vknbeFRfoPq0YBIkn1g5RO959f8svWch2w96WDmM7F5b9S3UlH8AqqJDnPI50OyS6m93RVyJyaK5zHiGkjwJlRYmKhjFBjDNFDk2oYmb+57JurfS3NiaurxaIW9VHNdOlZSEceC8Hjqyc4t+1TOJjgDtKlFsIK1NtBoRSFZfaQeZzAaCzml6P/IupL8UUKFLshfSHwsGLeBQRBP/RNG4OPlRG6RUUhzXnE0AiNg+C3KluNNERj1i82vU8xmMxgMQkEhJIYwQKhaA94+aCtEuBPqnnfaUqkWwYCs8H3+pLcO7DavdBWmJ+UgwsmGoFh2oyMCwIE3CD38+n6eCujlSCPvf6DjY4BVSpXy529NYeE8TfROUl+7r5uTNxnopUPNxe7JatDq4bszm+PCR2kWHlsgBQl4+LxwU1TY9+S0NFbtrJi8BZiCpiMsrR45XNrPw7qIrhsgfu5N14gukRKSZsZx9l5i299EjKgrLWZPDbMD/3ITvVkOMcQqTdv4rsKsBcOzwfBZ25gM9H09lTr3JvV49BaE4flkO3u0FCMwBGGA9QmLUy4z2mT98HKUb0yfk7WZPsC1GdjeGY346u5QZKhjjc4CItkCqMTjAO1UYndi2UG9kO9YZXUZ15oOnyWNXhia39OvhQ5cq7KPNT6D0BmteSHMIOAN18urRI7UtS2/t5RaWZo5cdOd7duR/fq124C6hNy2JajFXTCYxAOsqgrzjMmAw+deasRm1QwebiVLiBylwoCfm+cMHZjFq+UtKax/EloxKEExipp+WLKenISvUULf6JIWDT28UMkXFvbYvxyXqick4/hOWegQJbjYJ+9pGXuFsWTaooKqNDnNy1QM3Mp+/81pFW/WtX4dWdqg2qobNprnRb05jlG9yWe28z0ZX/V4BB5p/JICxsVkmNB4EFo0avmT9T5Sy/RwHjVymmjZkjuano3v0VEwPykVwQCrUHXkRKWJbq9u6j7dpCZBfRR8cscf9Z+T0MG+U4pwIK+P23L4yLd+0jf9vuFK6XrIp/WCCwOMMikATdm1zXO7fDLtnEQzeQS1/nwp/T/ZrcVdvo2uoEF2MKUzE4bJE4uGiCV+yQrA/guWkQUMn8aPkyH5MlHTInNA8ZB1OW4aDfNepzREqT66fJRMeMmMLVfiDU2Op5X8QSBnZClzRaxZ3/zRy5DU3DqYEbg6ubZK9EcQ3gjiBgogR6fZ1HWhvK7gUi6Siw9/j92HhRyYwfx/ekDwX2c3UGV8sC+9CWgQ/jC49b5HRkOQ5VZCYhM6JwOZL8DmhlDKYFDf28gkhzzTx8/BShBXuzAbPTx0G+xX4+/3hbeDdZMW5gTjLh8DPZwtvSyJ/S5lruEcKG3xjCtkCVoRIrAQv+HaFSTlLp3NDgG8QiBitv0vrsY9SZJRv/Df3efZ68w2W3Veo9BdpH1BqsJ5d0+hoixdLjWjQuyYOAGTrXUGkzGaK7b4kLC/N4jm0rql/8+lJcD9VxIdtB/Ikzb4MOQ+EnljWB/iiaUgMCDo2V8i/KmPmYHB6xPX5ThUQiLzjDE4AxTf7eE96VW7Wf6QfuhfESjG6q3pc+iHrcnDT0hA/C2NQ3wImFK4/EH282/cDDMpu6Z0bSPnbfEFIhRzMloilWbjEbM5g80ZLdR/AmqAhgQPieiOgOXIlDhIcPD3jaQuWmt4yrxZgr4WzyB3KZCqkaKGYhcPGBRXtNwYIiMu9BgyxvCFWCwfpaV+JjunJZuMUZAB4HYpVybjR4okXZkb6uBzzBX/RgUjuC/e+mMLtsdRWwtyluCsxT9ATnGu/kIg08dnxISZqo3LszLy+sx58jkRBj0Rep5UnJ359zyi/cMnfT8c+kbOtTFAvFpo6ugPvZNhya+CYDDsSrubNdGgToFcT/Sdc9proHiiLAGKSTRDWbUvWzXQ2hzLKm+GaXgdgxQJlA6/a2Ydm7PzwYdTUwXQqlpVcasgrWqL41kdUj5IsQnNUaF88GabgnN6YP8XCbxcHqx/ch+G+4uK4M1bl5NjweOM0RnUKewH/pxJA8CHAFi6O9p4mIMIlCQL9ltTCbmGYno5/fWuigSXhw6rJRIdxrKfB3MrEdaYxGgzxK4iOW2Ti29F7YjBXBeb4COmWPNOuzLEZRRap7071JqTPDOkXAwblOD3IiRhO7Rhp4xrKSvqImg7XIJiwuDBYeRj6PX+E09tDnQHRv9Lq3ku28Y1VycUkT4LHpDHr/NLwS9RX8Lr6zwU7Tq4f2RXLxrOoU7qJ4dbIiuvmsAytyNJxKabnjxD2KwdZ9+RdXnkJ1E+yVykWsLGBGvtgRqKmXgYi7F0f8kdr8CIj1m/REdqGc+L3OACP21cmOGsNjN+3tWqHHazHsulWrIXvn9ed8MtdyAjs//9AbXHvlbphE319V8BKSFqjr6iRXfFla46q+cXQR6WO6ILAZEz89Su4tW2+BK4Lqe5zF8iIV0eOtItaLhqjGxa53zAglyk9yxTWY7ebGJbbq7swMZSoHXudwRdECJYCm7FhPNjxLBAMY98fhwufvT7TY3IXWjmzuBdmLqwcSNiD+RmCyLG0Q/VTww6TQnd1xH7P7jG6w64oenk/3OR/QeJfe3RcL9W/vfjIeu8wIqjsENpLTR0ThMKjUDFAH3aSLteYFMKkHgad3M8Dyz9Xj8uLX1ze55qeZdByzk8Di+kbVJUfMByS1lc0JkeMxS96ciI1BZMyITFJWL5+KkQwtwBWbocCQI15Qo6Opy431erjf83ydPYVS/hRGyY/853QeDQfheckFakhN3QT8rKKY4Xw02unbWY8Lyd1CFgStAypHOx3AFDcMjPa2C92Y9gXxRJKYklzWzOGnMk6rxCi5CZ/VtPxnPT+vVlgT54/SMUiUD0MVlX2Gm9LBpeWitmwUcynCnDn7AKqqD92hSUgk37+W5qLTlfTTE0yA9XEaNPNNEcaHGA6D6EFKlN623DPzNZA8pbGOUfYnVOi+8rox54gdD/Yntu9pMUckT7A+M4JCTmWXxB+iv4vbmfxMuQJqvRW5Tz086KpxzV6Zxqin+/5vPrBj8SLtBqLTbd3bfJH5e4iC60AfBdpPYiWnLW29c7RP6dnEc+wubG2DhBrc7GFygM+hrZSRznlaahu4xAHbAoUyf6mPhxDF9pAsUASlfbvZ7dkllLVUutqWgVB+w57gkwvObqpVkR2ViX+IX8l/LyeR+WEcJGrc6ZZFZ+SeiR0klgd/xV39mCYA7KrAgbZAKD4aCq9SvgJAZIUe21mCwIHxNbmnY5PcGhiNFPkmedZZahO3dF6p+4dTuzUtKz6Jqf9yXK6JG7UFkhIuG530ntNkvDfLnLnxHF0xQBRFi4PNATLLLuQaHhNYoBqGyQ4JTpm8K91oYWZ/yx0U0if4xvOP3Ia8sCDGR6R/iBO6jPS+QHhIDZwgW7GCO0Vbnncp/XbSc+7DUUNXrtLUMaaMZU+VVYWb+8oPR6Pbd12dycUTwxElQR7qWdYHmSQ7cm5wpjmh2Nx0QxWKkId0Cv4dZN0Wxr+v1woGphkR6dIFgCGyU8cPq5CVvcUN6j9T/BS/iYMQr2PkehSuAhZjCyu1hRnfo1PrN0YGTJby8DGLycQgDNX72wy+n2F3ok3I8FEea0s3j299B3I3ZzEYTvtqHACUT2/YtGfT/cWopAxhJ1ujUEBdxDAEc3V1JEaJcdXeerMLMfOnJpA9kzpoSZF6B9jEUDQXlOoQbUhW5BmW1vsmsxQ0kRqtwaEg/j5zj4/0ZvSf/vdAOi+FEG0W96clituyjkT6ZrlmMXohCwkSITjC4eQLSBL2xIuARAuFJXcs2Zxep+svlNA+TEQBtoF5Y2UJ4OZ6bIixdifnj4dcSaBdqQ7kjklgmjI+R7slC96NpHFTMzylLPJtLdE4gEh34xkxqpQacL26b/vJbM/pbxaFshiCXedh/Ng0iB/A0lq9MEDMC0eCAZBia+UN+AY5wyxj8NNmFYOT6HDbf0lvFv3+TKt79yI5PDrE5YtouARVFyMyzJK33lltJ1NUF9Z0lgVOMzupxrC15bhn2X65XdBByucnBDwCWCLFP31sW+Pn9y0HYSsQkDv5eXLg7g8RRKLw/QLV2VIFgYZPQMNUR9gDT6vtmHX+6ZSZ3H1XnfZ7U4RL67pkBongrXSTZIkiVjXkCUohA/D8m2OcODKWM9ES0hp2B/afRO3NDSFHEl9hqHqZQJ1diJEzkDjqGlUz2X86NwRdfgvzdPxeAWwd9ljsKj0SIugITQifZqP18L1VHC8lcoSzRCczmq/Wn2lDJR9XwQ10DSjaLuiaQIdM3mH6zZkkV8mzTi+t2JgyHnHhitbzhPTK+zNMr9/vMaIi9Xo/I9ano1r8NsICl7Unj7hTq8hPbRb7DRF6Ikd58tIdtli8Evy1+uTKAWSYDxgEaR8SqtxViNHVr8cNB1kYdO8urSZqEGdJQ4ToBfESF2EHHpSg7HIjE8Vzd5YPRSoZsbN0fClruhPK47BZ5wM0NLjK4Ylyx258IFaOU++/AZ5tWNoMqW/ugFSuHB247ZcWq3vPXOQ5/HXu6t3nbxaUPkxUi1FKeFupfwlMXy1WuVd3GwqACU0pi4lSH8E8hnDmHAvL6aeubuh6MCaAczO48IxjDVsnCZ3SzieUo/CCeYk+a/j0dDcdmTvjsHWY9AEPSwcSHNDdYiBU5z/r45VFa6l1UnBXS8bVElkXLmao/8B9XsWqRZyXcBKjFcbyIdGzRr/g8zO88eGN+EvB4pVtYBtwLwWd1I/speG0GIRVmpYbAdTUig3155/QDQsnsl72KYMKIAaDOle8VgIzKD+cyq73p3Bjli5AOmCOF/La49Qidcxbbg2goCvBa7xVBrJHvK/mXBfQ7LYaP/j7MuoBafUB2ZNu14AV+pgKa8nkSzzZMtFAVKeFZDbXobDP3WGgdnZgq1DBBvW7GU7ePPqzua5WUzbGUjDNJ8HclIU8Ab3i6xNW2bc30aeeJERzcD/f0qT6ay7eVbWSUxpmQPUeaeCE18JIXJHFZSdvEWWDLjeMNxsZhZoCKaKQpOZuzctVdn2pgXrK5yzTfWfDVMVNGe8U13BVp/r83r6ohaAyicJqrKMMG/Oof8nejmTdsmbxrJpwDHonPGcc8bR5R4uiXlxsU9Lp40LGQkhZTaDCqx5t/5Ias/+1bPC2SNxmwZUx0Df84OsjQQxxtHnyk6tb1mzxEM5pYR1HSK2nRzCsYbmoU+XQVUBebzjR3YSW3kEjb9EaVSRnY/+04UIo6qG73QAjlTnTkh/JT1iTHl+71P8HwOmrpzHumBY8aXBS61VMfWY0Zj/EERQ/lrUW+qYOkmJfF5+KDGg45ibO5TsrHJ3bdfDuzMb3XNBSZxdZ3dr8i43aaCnzkN1MZRuqItQuJ/y/F9XCF+LIsgglHaJbUFETn6TMSKvt8aJVvOkprJ9AhkjvhvxIWEzwMay0eeVjHmgRmDy14dI2iRRjw55a5IS2e6vEcWyVtp5JlPmjhYpJ2CxQfYx9pxkcrssqclV4U2FSIWl+onQ33HlF/jTcf8YD61GOZwlE6IwM7Tf+uwp8yEcbQFguyI4iOX8T87tZolnha3LanRdtMYk5HbTm0PV/5rQ2ONE8wInqInsQcHGGMdFG5feE4CnRbN8bRRwv4VMiLa89MAT9NM2EIQBBwbWoG94GlzMZlyo9E/TAPzHhjr6VZ3sZXlESPCdZDZlTHvpP+9BfuoPxKt9CtRqb/lpnY1PDNfmJIvriui7jS9Q9UFSbYMd+xtGLCSIS71D7o2UPVCWmhtec7BCvoBfwpftzIACoKTGIqmzAsUaTcKvfDy1lSwsrcCNHzwZneZ40wiKT4o72W9k7c7N5/bckDj+JNuH1vBGXHEwn+7NqM+SL0QsT+D0WEjoL0Zz3KfTkrfzeg2GdDYCWzy4zerg7w5BoPmD9T49IRHMutDhlpB54wq5g0sCuNoQWpAwCru6hmH7D/Vlpzo17PcB+03VhAGox6gp/p2gfKdG8mtu2iAl7HGaYQEQxMkXmh+xhxhBB7HD5Wzyn2I2nr4Sokv/qHY8ne0A+ENDvhQDrWDesULKzukhPZnwl7rvpRfUm1dREeLON/ziMOB+gnKSJN+67aYrrMDDKtGKjUGVH+73AROlX5a5mSyU2tBC0SA5ou0GnGnnsZNlq773hjEQH57KKyDNYWwsYBOj6yopm74j4Fg++ZaxHz18BZYkwN46BA3U28UtugZujEUoE8uqX/Jc/dlP3/FetkMwag+IFAqQ8TpWDYW63atLHjALZqWFSNancahevS7H0nlAGcZtZ2rLcNd8wXQfda2UXWUNeWjrSvrEVyo7yE7rRoIcVQ5AAqAE3mmOXkIHSmfJh0es1c7tCk9qMEvCihEtcIA1XFLVpjyzZG2h440udz6F11I8d4jRe1bs61irNuMgjafZn+TK87uICLI+MNQxCUAM9K8nv6QBm2tebZP7FMxVQ3+kOVbXkyE8I8JiqmBIEbeaOK3yGHL2ciZXxnBteQfullE6s619by7eiGVh6vacOK+rtuND8slyxhB8LZ+p6CQ/kqRikAwrAGJBC08YKM73MM2BsZbvAbFv8sASYnk+zDir48wc55kciQDjiZc6lcobBJmgCWJimG9O6IDuajSUfYsotH14b02Xi8VEFgq6HjR3pB+xSt4jIdjjTFoGuYyfoGZsvciDlgf9b1vQl3EIvD8oFMQ4byZOlKuWq3lDP85TMWbX/ClTd+wk7959oyKYWFLNr33NyuoEEyOCnIUsotKMqzLFFwSMcukeL7uzbSE/+8HooYrcE/yaZsKvk8iEZYfup0A7dk896ZFbtvyDfXZCc4ZvSv54RuICL+8/k/pvE3eiK2ARUY0gMwqeeuoDpKSgI1jgi24MTjnhTSngNOjJDR/5GXZ08tPwOYBRuz3Qu7rm9YUK9guQR8gH9NS7o7yiaxBptsOEs/i38ltkV/a9LI/Mrh5bH+zNO/6Ixpwsc/tGM1F44mVnIxoPztVd0I8IdWi2ejiL6pzre/EedGRmlVAIU7PNF7nwF77jb9MVbflgZejwAuT0nw0YJcvgf9cEZ72uqhoUJGg6DYkuGCHOz3G6T1ip9Nz7KmySHvkbrKKojBrkt3Ui7CiDFBrwbFWn82t5thHZFp+MFIpnB49V0bbtSTiyykUSzqvWlVDkfotOUvqo1cbvepz+fuaiPCIgFwmHkjBHc3eeWKTU99pNCDrg4BkSBIyOaSmNxpSqARUJMvwWINmqUq46yOim3CqQYGRUJeA1LFGQZfRIZ4yRQHKHH3ftgSjPAyWMhyCy2E+WtZx+vFmpfuhb+ejilC2vKktCd98K1TDLVnYA/GvTvCQyNlKQZwrVwGdcZZ5PsVKQ+qhHiRdALt516Cm/FOJ2J452cbqddlUPCsoRmTOFAeZV49t6PRH/KUtik9jp5USCREwr/OgNueKIVH6+NFwc4O4wQRMwjhr59KhaeiUla/G6L6hR1Vm1n1y+pPeq8I7QCYpnhsL8bhwLC6R5M/49Z/uE/eF2vlqjWtezIPrUKXTfBBQfQhfPY6NdZaQGhWKdUQVhQjwV52ObC1PJS1gwdmFLSJqPtaN4I2VLiu6EVFtkSip7O5RgHM7bYcotRPX59741Ydh0pUxCo9ra/IOQheshjsCscJBxeL9R1zBd9Fqi8gUUPfLF2LPzMOe2VjlsASDXeV6CnQL478mNXY5Lq6a/i2+wTRUNOWFK4pDC6woLgOCCEEK//gOgGd/LGSbjwEFBJnhzgqGnz7Oq06yG5Me1BwP3J04PuvwqMQGTUGg2HBbymbk/aSUvQL3Kvebo2BTWt2VvXlzp1xbARvEn/hBFrge1iy6KfGeNz2EMl4fxQWI1r3LHxzjPVZwRr9KZ/DPcu25E4F5LqxUyRKUqrkqiVGnhXrNZiPEHka+jSYteJhCxv4mBVLFmbx+WJFHxgl9Leu+34bdB1pbhG1BJ5efnEdvpaOB71SnK5bl6RpjipaIV9Yyaval613B+gUcqgMK6UEPpvdsdmWA6WloqjNOMgcvNF7AIopqyzp3gGkFwOJ674wxtzwNzW6+wPPYfVSx5qKf9KR5jpzki5Q29e6ZmpmrPK1UIGJACYX40YUxJdt2sLoHI/w4L5V8uCqCcRFePj8g0DqkCcD8O8INIDfvHr8wgTlwoyxYl+jrnkYMl0mL29tHGNv8zCdSr+ldXjrkjl5DrbREC67ZlizwGcjbpuNYUC6GrLCV6D0YmMi/Uh/ET87V8wbyV8sBdkGymxreCcrzbk/6LlnAGlRWMr0bMK9TVQHKxRp+/lEjqHEWegNWVyb3l24egzFV0VRbFv/dL45cNONu3S0Grsa9/LluAbtPCuhDsI/8oeYDmY9nxZHQZo14BYapJzChGbRaFNSvQL44jgc/er1hv0f9gzVfKKfvKGTtgjWs7gJlt/G/Ut+r89p23g9rJgaYy89b/xIYNQEh3gaFdu2oPVV45scwmF+CHSiTc/IQS0RJXhMMlQUA+TeF0KFB4y5QC6Q6ZNeV9nPrNMmUHMqKq+celtpNIf453K2jbv4AMIsD8rHNWuvc+5uTfjXiCDGSoss3+NQu0Fw/u8iS71IcBOEgjYz689K/5d78o1Is3SXurarLgU13fJtLXw5XEro9HlRAzxmoY+7SsmT8vZzK78e2nXfvlAx9VaxNbX6n3qznddmjLA0YYI62GDeh7fLqWSic72IRzz3gxR+Ch19GJ4DmywpM8Q+D5nSMV7VthWlJaiBuBY2MQmNgQqnP8vo5ppg62z3Qmx4T8Rjn1sLccV40FSKqLwLUmoEPy5wSw1m/phc52ZbA9v4+/Eu5drPaeQ0bu0Y9L+/tNGNM17cBxlsfCGDnhWMAeVNevCh7cSzhaXW84rlooXWRJiVdQBT0u6ullDnAm98zK8y18Bvk/A+h2dtzFi6WHLTPtJEg/y9P6fGX6KvRLXtvnAQxmgOU/K4a99XXYuAt49edmJ0Hr2q1IuQmq2y1yPM/VtWZIjxVX/bQFJx8pMJpIWeqFUxYDuShTm4am1PU3p0/ZYDoT40Gn0J9D2j/3PHAVNa7ECy5hMW0hwxyM7OzFY8g0eD+E7f/7FohlAt6Iy+8vA7I6kTlzjgyx7JZa9jVD1qISzB+LWKeDifZ5I1fWrcgaTHz6gopfPz0FN986nUwwdD17GOuiplOSdsZcbqTemivfnYK65+egqb0hPxSqnUEGvmmMzlspM+m0uKf/XRTGl8t1WcJ2TFNQpppeS05ldWcUxmDDFCh6vYU1ZAdsRLiLHERNS9gfhPZFyreFT7FbZCsH8MQUVXQjFPb7+QxMK/Jb5OMAGUQIAakZqyyzRvwEmV1WhjW4m80p7SjpOCcYWl0Ey8QtHBF1XPqQkWiulF623VyR/NqWBMjHdSwUuLDlUSxYUPLeyp4idm1e+WXIFLHWWZY5p3iHV9IBeoi0fOP6A5bfZ0gLc+YEJf/KZhvN4vzoFLx8sBFaC1Yd5Ywgto4YcdBgMBUxpKJB0mI+/dL4MzJzfp7u/d9esLw6fIkr09cTcKhE/VrXxpE0jCSpEJHXdzoppQGvbHGid2+NGZWCDIMXl2bPpZ7E3EwehXD0Y2KlyWEoxQIGd+epfqxqyNqBz/9myOnXJ3zgi+VDA2UMNEol+w4msexfb9QGuyBN6ELAkxa0xUPLymepZ11L/WjexjRtS+vGed3covqPka2UJyiG7dN9HRrZNFe4DN04T5xtxHK7KDDsSUzopMdFFiFWK+W4la4LidaE7WGPnmo3gLHYa6ZN7HWhraoJyYzixv1uIfVNxYZ1MVYIac0VwYGmurGVPThlGPs1ZFwEqKRZfon5VJzs7MDpkoN92x1qBFiEPdYS6Ha3mwNeVrOgfvdSTK3C4I1LMjmgmV7qvoQsLRhodaKe1Ri7ujaMgBz5CHIo0o7rwIRrTdtOzYL6s0LBXQ4/I+618uY70m/PeKMVeCH1+XgnykeBeN5k0O9qZa7pQvdgV2kLafCxo+eCpkpbUS/7XCZs3u9GKpx8/gKxnRSGcaupUcTyHH7shx7rnVquY9zsR2aiInxkcPyL5Rc0VjuXinilriQ7w6UN1SMXXxGFIgU4XwO6qOQAD7loXwiAsCCt+XHHQD8KTcFcmDsSbbDGVOP7GYdENMDMlXYiSNOZ8HuDmgar8StjIig0dODjYRWr7vkdODf4+pKJZn60jYqf9Lw0YB7K1+j2N8POoJV3ylSfYXp6/dwEcoU2ofPqeTRvG23TQ2WWGZxNiQcTLy1gMxwPO1Pzqy1FxlvHnhCLeld8xG3tJeL3LvBMjPRnqw+hqJe+j9uA4eE2COe3Qe6dQr38Y1H6smq06LxbdtFyFVJeJUJhfdnb303UsQ3m4mYhF7Oi4x3cKlObWRsWcpj6558aTBhzNjECuJuok9adOWEt4+p3FzPIJzUM9cqmBk2Yix65JpwDBLKFhfKstE7ClFHqJ4W8LAna36nEG4hd4jviPwpxjHl6U5uQ9xvXgPm8sI1rarjV4zn75vJC5ZfpLSDAfJ8UrmLGifY5pt/L5TPhLYM4QnLZT0xQVS4sptK88C2RirkB36OenulCzLV3Ej9jSV61meLCfgiJt5elp6k4Oi5ym0gro2MyxX7nNnaVWFvuNwC4droLb4FrEEDrIbX9AXjxj9aiufG2Ej9zZYRl5ddmo0bRzwmsBWun8d4ku/8uZmH3qiiucz5jUCi3oErA5N/e7ofHr3t1aMJwRpXCJ1Q1gAB5PvVfXTZbWjh0/BJziCQK73GWanO7iCaNufHifIjS8fyR1idV7q5FgxU51PYOtVCnW6mcchLQqyDB2SjaK1LVq0JNFG1NR5LlJ2xjGhh1Skd7KkOaa298JOXeFG3yox2Ca00+gtn2zUP8xh4ofyRXjK5fFs2Kz5F3i4smiXeRcdtMH4Klzs1eLRS+XYKW3fFXU+PCDoA+y+WeDiNmkxrbAmapP7Al1m2lLvxvXoSkAwHeYYVo5LtPGilsPMvJpbhDiJvjPJOBWIDctpOQ4Lc8jScyUTDQdN3zseCeqpyXoI2e1Y9G8NXUfghHifGhEkXTsIFlF5cFtvJFxdtBolD7roPqyR0EnhP+69tdYEqGuQ6PuHlW4Nfb4Hk0BUBCwfSOHk3wPHZBHXyF+wAjRFfAIWd43HHarzTCTec9hqclHYrM/cEMWyQ+nY9v+GjF0GoW1uOrXvnJ9VJV8E3hr52TLHnm1vHzM1t4xPcGuiKx9GFmsd47hV1yzQ/tPmreZ7Zv+6wvA+nXeb1YI5QNArpUpK3u7sCb4Dg7XSxDv5hmKlUpUdHr1yjDzBeABwWzokOY+jDnRbPWFScjEGEy+R0uBodWZwDsmwJM3OzDKaFUVP/qcx3+HSgXJFcXKWXILfrCGWxu06WnOS6obfE8eOzrIKqqyiqoLbjjgoYEZ/MOdNhiOGgxa+UFvRib801H8cfoRjpVDhIh9hJML2M3BuerK+grOIy+LVguw1P5kvez/fuUls8+suWjPdxkH4Mxzkgo3lXTGNrWXUW86M5gax2y2D7qZV2wMCQfrrWMm0jKn1WF+BRpvmVi4JYtyE4RUs+fKMVNkiXHCKUMuWQnGPUt+mwCDEZSNAEIiCdeGtlOx3SycZgEQ/zXPl6XOk+Uba82vNmIInPpJdz+OkzPDCL7UOvYGRwKVHuKku68k/LMvFNdV3yNGAzTT6xn0Sz+OKbbpHvO+wUbBDeO5UIqjKzrHgLs4qp3WOgwp1v3gXshFL1+4VrE5D55nkDpIqxzMFrt6cwBJaje2H22Rz95kpOVDMNfgATz06wXRt0X/pFFF9ueIxniQ179SvBQrKvMUU2YJVPaKCYR2SSgr2dNoW7CO92EjdbzTS88rFJhQ1vpN+YHZJjTdemK2MEXGww18JTCH1kfaq0QWPEeqZHANZnvKXVfhGySC1GWhyqE414Uz6Com/pcETsntrf4JDrvu1B39mjg9ClfVRYHJRl4b6p/Zqj3h1tFx6nDKBAjnme/F0iYpMbK+EhhKWgxCy1qLoB39i/mNrvptqsUsirfkXQOlejySAC4YcDKZtK6TQpVCw1h+L3rKD26Fclu/wvF58qjhDNXC8qM2RXQVREepUDfyWGjpitROrTjgcUmGLEZ74kjTgPC0WrwTmdUakHn55R4YnccEhNi6kw/hV50vuHaKD4r4A3gCruWZwO3tZST9zWIVa4xQaJcfpLoXqCyl5DaF/MpPpZCp5IZvNq7PMfUYYYKvixZr8yom+qkd+EKlCkLb6SA1R/B1+0/QK8rc1f5QgguU8Q0ZKdS2IgoAXYoUI8ytOerVfAbibfgC3McEFV3tFpSObj84Ba3WXQye38zzX7LawltlLzZk4gvfW76coeBOBbX+rZKzNy/2kr+s2zoRsvxAZM4mb89pgyJcy8vVCZyalQ6tmMm8Taa1tPL57F3OMZmEM7tcpbZbtWMYRhRGg/x3cpSSg3e0M7TCZP0jqbdtoPC3CIcInlRw5PpDhwpxCFSFIlopZerFrbXajcqSxmRO9PfQxa4J9s1T7JiKxrcGPSWZtkhBTb3EdEsWs5TwbNZFOw0ewnvFDN3v61xOIyAP1zt1FPDbFB6hxEcbPkv/R1Y5WfPCjv5KXBl2/N4SDnvGRmDL7eS+4MPPHK9riWaBzSpMpH1cm4Tp94ynlV+L7N6e8+XFTfblwf17qIFQ9biLuc4H0T1DdHs1jNZwNsF9YdV/ZtymPsey7SOndsHi7klDUKISOBx3ND7M2834D2sIa7sdPIBp3sbXPzgO5+TgAmPOYYr6sudeoVh2T46gAiTeMuBZ47s1WdahP4xRsPCym/B8sUf05RADLUOsHxu/2x9INkFujnxdlLQeuD5I0wmX2Dm/rTY72t54tlJapw99GzZ1Fs9wXQ2pTRs781DlEFeISOy4izMNC4Vkn2CYJatPFseAgd5UYV5zG1HWBXkQ5aoYoRIHf1khP8QAkhxw0uVGJnEnsY6AllJ7Q/3xuztMsoVVzg1o3VTuYmQGKvrMIX0wecM+m+B1LU9xhUDYZYNRtCvou1yy2tGqV6bB4yj6qT3rS8AKr/MHa998uNzsD79LSMu6yDdQ8xMdvcOljjT5Foe3+tdcHn6nUUxqR2hmx3vLByNN5fvT4Rzojbr+9pRa1IgRNSnnKdZPH1RPV/Yxy3WHFOcKoKcQis3hgXf+hpqgEmTcrpm0/FjCpMiNxag+78FUNbVW5EH0FoanYV8OfbBq/yUC0GZon4Isw9+5H/DMHGuYB/Juz7nwz3Tpj9a3DffV4yR3IVzr0uzPOgRW+swWpERNT+/HPgUdhqS7QnkouLexWt3xbtzu6YLj8RC5b5bvmAlBMqjw2XSkSDu53WJ93rqRtOlz0yoKWUeRA0l+WeOjpZIcCh1SVzr9QL7RmqmOk9nmYSe2cGSSXXaIPK1svudJSzBi6WSYFGTjHIgYfAghFOSywRBnsQkuvbyxgTmgRr0OZS2HJg5few4tBxfRcaejf+zZkmLQ0HLi5sObI7xz9adgzZD9wn3SfEdlCF1HztWxe5ox9TXMcQMpqC7mI2J9SPk1gM8/22icQ5gQXAI+j5GbDFSCKygWJeFyS0rdx2FXgNI2Qc5JIJf2nFZsGFhvbNDEJMqFcu/kvbLxwuANZ4kBRgrDMEveItDqXXzPJV6cEnGCVcvAPstJTlK3OjwgLPFFKLJMVisJVgKjID1YEksP8l8WvPu80+mnzTglrZABxAJUmuC4s1Tx9MEmz1bbaFR3ufaocNHJLRwcIKWPgJHL2K1eRucVrxzQX6HHMdNvUtABDmR8fzczuhYvYixfaC2YVpyevviICujSswxchJJag3kxvvEJqPT2ndx1L6/bx8EB+IfYMswJU4eDURKrlR+oLqP/B9yYW8YO7OWs4/cWbqUtnXlPwRTefQted28aZoEsML38dTyKhWOjaj8OllCAiUVsEKdb5T5eot8s0iW9cZ9ntqblNVJN9XzdSIuhjRQ91cjOpElJBubNR8fHiIo+SMetsunnbNtTRApU3HzIK6QWHnpIQzUr3GpdYH2+aU03+wgYfGmLf/H35dxwbdTkTx7EiYOX4rOeN19FcPvenWeqK+KdYWqLMuNk+jCIGTXcG+wOv0NwWbAQUZ2xmahMiBLZqYO7xdfgTmLrKTV95tS5kBeGKOvS5FKLCJ4NMsVIB1grIzUl7aubhW99kudaMkg6SauNVAduTzftMhfbAUpg2bOl9LYJC7pm34S212F0Xxf5KbtNSW5M3zKolOemFZV15jsrk2fMSV2KkDnarzcUhENg0sB+oLIUEFzlBLAbV3GxpqPyykG8rht/tu/AhocOHT4wFBoset6SKKbcYBMB80bddc9snilgtPcfrTiBMi/8hm5DYp9aJa0g2+bw0jpBIdLAAwg7egO2TKAGdQbsTiyTnzWNsNB3yriVf1l7E/iGGzQjcyh5IbIAh2JvU6C13b5HZdDXThncNnH2/f1wrJMbpJ9Rj4xgtP1RuyS3JFCNL3PRJ30yiFtxukZCH6obBiary69Z8ZHGnxpeaMGlZXmgHG7MozgSFLS851ydB1cjN7oh1J1HBz/qoKeHwtFA+lui/I2Drnx4ufx5nGGtD85dEyTFUk+eNgRJKuj8yiO6kv1LZpiaS1r4TmWSCuGey9fZjCxQ8kgFFQedbTCq/ovE9if/rBjL8idFeCAWaEaOyDDUsf4tL95Fy5kw1LWEx+YOAI47D8MwC2773aN06PwbuNIiMNxFHj5coGqNVYdYK+ZCnLpl581ANDHu2ZThoLuIZmLB4zpY7myZbVJI1+NeL2rmQLeRJlJ1h0AIOiRu1ik0Puv3csK3T1uhJO86YBP3JzEW5MkVuRYGIlaZTybOLu5wneYERfFd5F41OuYucNz3BKwczGMc70bHB5Dye7EHKeS+Ukxi6QfDkGh8lV/0BpQpwUAygJHuKaXyZRECm/OaznbVdj5aQqMXZ1vWfcIYGL8sKuOOva527GGhfxSyr8KKbmugjwX0ghHL5d+RNG//YTMviWuXRMDByGSjNqHzNM/cyOaJ6C27G9Vbg6i3f/xg+3PMN/ngECi+FlRuN/OFdC/QUbOUuxnKgxBSJPWu+5I0jcDXNT5FrVx+l0qESHyG+GSSo2qtvAwZDcPqoTlImoGHV8wEMhqrwVq07kjuBI4H0EZofy4P9TWMBeKSiSl9MwuCGuvc61zqIUd9D4iwrTZW/EoR9krvTNRaLcYnV65jKxIIVBDsCiob3/S8B1Zhq+vICaQkL7Vn+W4Ay4gvvP6EZn4dYUO9cO7nDyGnOHSIjoFXRAtz8uUkms7zK5otiIidNXvsXfiHjkZXBsViBqxazB0anVEKGccx2Eo2HCgcLzGdfTG+YBAWzDDKICeX8JGp5TrdJU3izIXndJX4rd0WmwJFCKYkNnD5TurJ5UV8ljfiPAYy6cekybUYg9VeZwYI6g85EfCqzLWlPCTS/p95PwdA3ROPx8puOOhsFoxfaxXaEikeP6m6kyxbDmbx6RHJQ5Kr6np4SLoKNxUPxH6v4LCrGm0y8T8k/FmbaoxssUe/su8LHWlS1HqH8i2LuIi+Jimq2Vk1MlNHfUcsGXXRiqeJQlr4vl5I9wlnflw3bd/VbXAkAjSwDUbERtBSKB1EXTygckyOp2calZPxqFCiboPhjBHvlIFesNb/Z62STkOho7Z0DSu+fvGGb5ObMgXEKfmxy2kLuMypTvVyKwl+vYOc+2lruOMXXxCEAtgVW2JtAPn0XrreMMo3eY9oj48D/ryndpJ+uSSYjIRH3t7hRDnIEA2O+iuDMMh9hT6mILGWWN7UrrYPTruRjyKjGZDpEgxJwYgSwSmA5Sxuojp0sj3l6/LhRlpowvSgS2JRcylD/WCBlzI7dNf2tJHiiarsw8BoGrQYVevVwjCzsFN6FqVd5CejoQaB/I7BhEJ+DVFmuhOZZXb5zRLTSySADynuEpsXMbgFSkeVKugLgWEavDVcsMb4paJMUCYk5liRnUGqT2lkLpkjryzekxq3pg+pfwbjhatUbmsLV1+eRwRSVstXJqqWPqCSACV85qKJJnh7wNhmZSW4RixKm7Shu/EGQBpjZWQOkEvFC3JGqFpkMTvZPeuyuO02ioC9P8AtCOiH4nPQCzA1F1udyH9GI7A0EZc3lZpDNIlwPZ6AjrUPt6c/GG0qqP7sKgC5SIPKrs0v/cRsfQK3CGz1EdAaY5yfIGXv9XtmqqA2Ed58V+teGHGO5XtGWQr+RE5TI69T6XiLYzGpI2p6x/OG13LmE7Qte4IZTR1SX+KuXb1seoEfU75UHT/bnDqfuEUcfJmVX6a47Gn9zwabb5IFCepyip0i1VQX+Wgi2aNLwsOD9iW1Q9aG47nPf7E/veW+LD4aO+siIQ6f9qkHaoO4JxdgLWvrCR1HblgRLI6aRx0FdxT68CvRqNkv6L4XBKGMuUORGBqvvN6ixutmVDIkqp15e4Ou/rhP/hloOgMz8p4dUpoyjiolTmU6sB/XR7/IXEAvcEYbCqlQgGiTs2igTNeGtOte4p3bMt60qZBkaDFbYG9iT9sdtiAT9myepAGCD9z3X18Ub2U7YWi29TdhdPGSYbivUbLgy4fAvlRA5QjwHiXKK7L7sKY+hAIrTinbT1CZJwpt8d1CzzYaXi/wSC2H6km/I8IuViQFIuFcJWRSiCcvvMigbSVMOpyPOe/gL2ekCvdWHoS93B/95/A2dDlsVzccjssRN+8qEe4aOJkTI0RXxbV2Mbsf7wAMAlaAOuqI1BJqig8MwF2nfB7LCPDq1MAMGE/beoJPLgdbbKfSQLJf1T5xV927bkJ0Po07PgebSWk/8ywDrkEktlQs/eKhiU/cjRw6uVst9C8dAEFLZMoWKuPOgSIXFthqMFbtcZCB+45iGWyckTpEezsHYB8ykbQPiKErgTzJJ2D12K4rkl2wK0s20VXGIcc+8sZYvJvLPvB7IBLoU4vP+mJmZHG4Dsg3h5ip9PHMgsQShtV4YTSLBhRzo831hwBvV6RJ3JESvMnrgYTM/rVKnVQJgMw/sxAYSNuREeuPTDXJbP2CK63erw6cUpUVle8n97+82EDsnpNkZlaaNzIPDnamRaydBBZ+7rqOit7/VZuUEkR0ZKeWeAE2KedunD9rxFL6RMgIaPEv/5rdA41DgxqYneNwt9i0Zax5OSERGT5t795TSRGnNXiKByZNNXD97Emak5v7R891W/Q5osjCsn+bBtGybM54QSPhwq3cdY41oks3gniOr6Huzf/J8gSHqfvUJO1+G1esVSv1TyxmKHk0zbq+gXQZymHGh00xIap9PtsCEtgkU8vzBIZ1BlONitIckOhUeIBzsL5KUpHDuw9RXjAc7K59ezMC43Jh2slr7SZylG3PoLK0HNaUrQzxTi4IQhYOJ3t/9Enu+/y9DJafiait7IYhHpaFrjIL4hJ9crqTHzgZVxniCeGV4b12+A7wORTFsxc1/4OXpm3jpNmM8EAzluTtXaenGhhsKGsnGbSkw72/w6alS90vsjDMmXkJV56CXwzsTH+bGOTIa/VwnypM/JJfU1/y6gU6A4WhvtlYmpZNT9LsnGGvxVt9K+KPVxj2pBkGcBs2lg1V6/Qys406Xe0xmwZiwFQmDkfjowW3wVdWi+kZ4EtnMk4PT7pAPvxPR4Yg50MdLJ4rin7pcKxaq9zLjRLHP2Gw2ii1OsGBMBzYFCbvDKKLfvSVxBIcnotiMZpWoiqaIZQOX5k/qo+OAaVOLVDgFjhVI7j5KgJvcWG3kioHNa+XZHjH5UtVCVkBVgD/VAEuWT50iwMZyqX3CEAfqXeQQIXrI7LhlCDNX+dbLjwY7bSkYOG2MYlUoONb6nNrf/V5ZKVJhyyXo/agO9t58bPIPelAcX6+vdZ5d1e3MGZd0fmmsuJ91UOGeTzh8j2w31tkzwOqXexRjlBT0W2gjBZR2YoUwqP3tDyI9GrFy/ZZA7ghF0/y3rbiHgTUnGOiRiOdFH/nh1O/vbkQ7ginjoFwxDoj7QLvsdEhcdaf/070e5WB3lgds3i7EvwwXurMBlqkgIjJedZAWm2vtjM4QrJS890pE6WDl6Ph2jLp6SFQwSOn7HbAkkmH3zTO5h266i0pJRzX96hiumChKsiH7DiGrJ1WNYKsXN3lwhu+x3UJUo+rRGLMUnp9zH+ZNz6L122/JWnk71HfOrUTUpffolzgRhOPLMsz9GmrjCK/8F4bn34mDnnZ4T/DWM0h/ZOMO+2xY9lXyoPI4Z8dK/u7M6FB9Dq6R4nw8jBQgXPS2pbvq9aGZCOoX9BvjaXcHv3RcqPjIbgj8/YCZbcXyeQUb7kEXVT4V5v2R0NjdsH/mTQyPL4FE+RMOlVW/egzXtpYNs9R2yJ3uKfX+3AOLw6nsE6DeoTlUcwvdaPBzqh5cj0a4Ds83Pf6gP+nU1BUibNcTN/JcKsrf8Oo3BYbyBkPXyECJt5/rXvLKDWS1DFVvCXooAqx8anHGuT/5XzYg8Ap4o/5cTCHDFcFUKeckz63W7XjKYQllkAwKMl0xh8IbnCeNTkedksH8KkhEba53HPBnBvPUTTmcOYLNOAWNKFZ3K5LREL+6T6I7/gXtFMucvLgLkEIQ+kciHrEtP1893jLQtzj6uUYIVyHNLYBBzw77LHL1J4OI0Hr4SK1npZ+N2TCkRxOfuXwe3DdSB8XD77cyzeajETRQvnAeD+MNZqJRYRQl104Nxsmu4xK33CKo2R4taixLStJquwfi4kr5h9huywClbnJ62rxQBmxcbGHIwzwYftSEO1M/NQh1Szh23UWK5UWZJLzWLqsW2AaVJFahGOq5A0LxFIO0FdSFooIX/fQraLPJTae3Cfeqrz9y69BssBh3ANnx2MGUUW9NqbIQ9s1Cr04+aJ8oCbWFhmCoVm74S2ZZFzb1N4iQd6tq6LNsFbNrducDanwnk2Yh6sU5d+ixwKCbdR9CzKDl81ics0uGrNCkfmEkCaP293jwidLKbhUElQBFTC3k3O77vqRYBpy/A397GdnqQl1vyGhNJeqUFhVVLVKUXJ7A9ecdq6HUU0+AOMf7nbtlEUfbb9XNVkMWNf2YcEipg8J+7g0+dMOt20SIBHasE7CePkcIG+h7TX1ZgfUrEUTpVP8zRn4m03mUluVUH59EHIrY3aHZ2SYUCN7e50HWlC16bZ+k5LzgB0DecCNy5WneKeJcxoC2ZbAX4+GYi6RVZ3kWNzK52goJUyGBMoutq6xr3J+Vmmp+CnfXViWki4fafdppkg19PKqKp2NoRmoS2sBEQKfUY3UuT2ZxqYp22gOC29F65DAGiNURXHic/5O/29+DcImfi40B2nqUP8l+kA++slT+Xunl7kmUnS0IDDppkevirrTx4QE3hiyS4dtt6/tWdORZ9j4Hm8lf4TYLiTjHafbLTLpQG/6OHsOtU7mZGizD+SC+RmWqvwYIrLj7HYtkElvZckI0smtBrdDeEGayMCO97nH5VQloF1mJrumzVgxfjrv6Rko0yqYFqsrKKMPZ51rbs7/UzMKkxWqUwM2vxkKopHQFdziEaZsE3Jn5ss73h9bxFbvn659h9ZIYIU6JYQzFDHKiXmihRTfZUF8K8dIszguts/qjw54k9g7wESUvQBoNEBqy1G4r9dbDrWvbDEhBabxWE3QGvQlBX4GDY1yVdRa4FrsAVfPOugeGcQFddkuOg+5mVKhqlgZ0dt/nmkMQfGSvmugu7iUbEr9M6oOsgRLLQ4cJzKsSQPWDLcXtAsgiFfhSH/aN54DDJJHhjG5vGP3hkDLi0UU4vXL6XkyKsbx/mhECXHUgVqVQM+Sm+UCDXNRNuAzDDdYa8Q49gVqUg54COVOMh/WvHJ45QLyoSBVM6lnSmLUZZVByaTY7Che+7X64WROeTxxMGlUIEYWYD8Q+HONHX4UwotLgtQGdsL6AjCTkBYXC4HqSPPijuFlM6laxpuUotswnbONwRVx4Kx+vdnaqG9o6unC3Asbof9KZD+3Xayuqt4hHcQfDrv/83AQQkt+syNleys2Ja6sLkL6o3k/3WNEgeCebrxrChdD66PsRKHgCb+opvmccBW9vouoGzh+mlM4HYSB0bN1ro70Tgd6depRM6rh8LryFIo9640Lbk/V7DBrwOH+eLqUhQJxH2n2uuTzt8Vg42C6N7tqigAebuLNBZV3E4QENAVIx8u4XTULuVFjGZ/3m+knuiT9czy55MNSdmukvRxuIbWDXh+wIZGJtq5T6eNBXfhOtcMQU4cq4bUIlIuMcJ+3f6jSFCJwsMZxg2U3Y8A0ewBHqtOSH0nJsJFVWN/HyHMHbjRjSwg3ZXernB7KuiZD4PJRXzcxftYYZ4E98F+myqFQmoy0W9O3RKcagE7nVEeYF+ahROdEvC3+iKhzW5LLA5zzskQEO7+FgKCZboE1qt4i0+WT8uP+ULEjECRqJRdZpzobDRsE6nKXOkQa/DV03vcQZWMQc/cQdlKmxjADKWtnv6VoTVRyRtAD4qfYahDA71rlU2sQ0c+AZZ5by9prNvwwjO9Q8zFghZblWcAPLsVZ81XmSgGybZPrHK9sHqFPuugl9/H8tep650A9o2TW9uu26LsrahQjniDS0Yw3jegISnDbhB8p1VJJtBJYFt7Kp+eTbhzQVNfdse77flQP1qVIvOYuQ/T5zPDKOv376C07H2NQWeyNCqKPV6uVhIS1eFt8pXaYps7KpUO1hua6g5W4ditKEolppnlxX833FW3XBsbS5xK7/A1XNFECMyYYymdDkTpqj9gzWjjz9gdCFHjw70cSCgjORzFHmv7EJht5olXnGBI0mSOwaQVIbQ5sCiLZNS0h+sV2jPLAIERA66zxYvz8xBZ4YjTOnTJcUccnRFJSFbHFk57we1kJeBy8vyUVN7TZajbAtgpaOv1E0mdpFxqVe1zJiX8UQqRsVA6CqvwC2v3elGie/3FGBl3Qsw0GgCQpa2SZSrGsTN2bJFWUBlFBv9mZByDl2gcPz/7DhKRF8gdXCAhWXQfa4uov/0pjJZiDi3QOzlN/8sY9UwxQ0x8r8qhf/xL78MnfpoFIsc8Rm8v2Wu4kNSKqri2WiuCQAA1kcMPBqDikRuJvgP98Wlh5p666/6KMtod2pywzYTt3M/JCz0spozYt3Bsxo2RxCtwVJbzBLTne7M8AY5XVXleG35Jpv5NkadWWuUAaAH/G52k5ZLzZdCAjNg+4UKQ+2q08luEqTho5FH8G6zkDeQHqfUjzVHlHUi0wQ0zx6LMwTX9iOJN6Mlhtf9jCIb7NyyFhWVDgIMOXMQJm6rW0o5agvyAOwfNr8Czo4Lc7VlLsGdWQ6M942AVdU83eC+N7G/CN1kyM4WQ0o4TriHCS3xo4MRYSEVoeE+kHlFklvYJrB/FLumnJDEw8ON8Ym3uVz0msqnKys86Zalmo1ndWD2GMV9kLOg4bID+FlM6m3VIECFqfgxVc5TrVoE27aIQUkJ6IsA8LPhfv92TpwxVsX/bNUIhclyZe/oePgsY/QP0i3EpPqO3jWWQ6mnl78stjTvCLQe2iL+YDhYWo8PVL9PSDNJS/btoSnypG/AI7vjRVzvvmt8hgqiW2oK9qc7m+jphXho9WNgyLoTMY38UZogOC6pAS1EFJhjcaokqf20oO0kVnlJeB9FmO5SX3nnhjtuxWz7OOvyQuIMKHev5DRnT7yAb6zYs67eD+4SbZ3g7dl9Tq9RjmX6rTYGIt0TFTBL79oz0iyBsS8glGbjIw00/5fn9GXEk4x0WtAPZkGiPqTfBhcu9kuv6PvA8wSnJ0iqA54CbzwkJjpWec+sW4M2qGSsBm3z7WAOVuMdzgu9xCkteJBtSZ+JS48VFkzNyYQYnw422AIxdwZznWtFj/C9p4gzKDODZHQFv5v0R9y/GSdp/tU06crHAiAWBjIpT03Q+WL7yY+Nfq5tDltI5KWn7dr0E7K4dPGGRIU/IV4OuipznsoPMYLj7h8OWmOeekWqd3xaPThYVgawklme6+6l1RdWVcmyyFY7RRfBCNJQ3foG1YgBkwbzFhryBOHYVUVpCZFJb6mOtaVtQLFTHRQYdTrBn9pC+LWNNhDqbNNsKaqVSyVm66wmG4K+2gBIxlT4BSzyXT1FC8DFltDwiUQge5FO9SrbfKXTJkJ1gG3fKaCqBM3L8R3NrX5H2HO8a6siYBS4a/3yjpC1IHWp0JsO113TOhGBQMClatuFV4zKxzlWmZvSwjiIOpMeypM+9N7AcQkHvJDShuJzpw6PGyBCGHVoWMPx6FkHGtSk6wlMhz0SO3zb2Sv+toJqb5CuA9Ui0M4/C38bNpxEAwJOeEvBX/MyBClxZ0UIak1MH73RKkp/ZC8hpZ2KIFzMsVGHXUcAyjLlXVEw13u37UtamHrJRBnCBUNP31Xbtpbl/cXn6w7h/QYSqZPrk3JIZmdMqAQi5rAHwinngB9QBvA2oj0IRzmpqViAjMPmPxb8c4LFHitlS5IAmUkadLZ7B5zz/4x1q+3WNb2h+rLSMFy0C7XkIHcHISEnVGlKNALVpQIat26+RHO0EEX9Nh9jH0Pwk4214VnbDnFah+bZ+waLk6l1ltOgMuWFUPrXWbmQuL59s/crH5HWjyOiZ/pe0h6Gy03l0ZOoQHirgOYKSIMWeE5rx+CdA6mIJTQb8Se1F4pA6++1c74djFYQwQzlnoJ4Zs7vFFXZbg3mjP46HpEmGzrbA9FfiZ5NBwbZt3Z2rAIEK3PWmUNtBMd9hQKkcECZOf3BiSKh0k03b8tOu2bDRL7mtLMICvCUw1NdesYOip/wmr7qdVcVidQJlDMOAvIqBV7xRf0jy6DQyUHO1+b/Nh1ycSkm2jQeKs6nZv+e2WLU0Rfr1FIy3PYdA1jRzjiDwdSxajuxX54LIxTofT4vA92lc+32NAQfcyQ9bAJ6ACyWAr3CKPlrEh26gXovdyct+fcFGcFcCkxV6SaXl5fB1QnhkqS0+uP+xTwF5gqRHY5KeTZU/+agU8uVdz9xwUUNIplIULZ8QcmfXSFHDiEMa/URHqPVq2imHwZteLwKTCoViDTD7Y898r4HEnbsnq6x6MUfBTHNeDkJbE8Ur4pmBrKZ3HDtHL5FS3btgtLISBpuYBPSSuNISUS0mR/5k0b/cll81evTz6v6FxxiiuP0EXcePU4HfNiou33Lmevgj5u3KX+L0yUEdAltM4mdVmA2Jo0UPchYuAPLciP+VQg5mWNIl2k9Sxn8ciddfrXMUF6eRZWDj1Ukm/D5a5NAYqzE835wXXcuxOHr9g7M3lawciya07RdybzkIlQ5JB8YBqVsQgjit+UKY3uFTmHDhu7uM1n6/q0/M6++sgwOgw2AF9kTJo6XCAuEe6l2gDq4xL79xhIBOk9TyGE/7CFi+OzgLyRLZsa7YcoNo7cr5fw4EJGmxnssKmZgQPc0RnO85dNRBrk21EIrGDOS8V+xMX+EGiQkQT0ONxtFIS+WIrAkCCzsj+X9LGRqXOFNgy3rT/UU5x8fs2P3X5dwH00A6MNrhKJDJeBO08vF3plxX5XpYYTnt3XEEIh8+MXDPl12gaufZ0jTwoRgpQU3afNH/AgTH1/O6GFyjUAwNLyAYnOwISL8kGIP0x2hH9vvmAk+KPRHf/YOUkuKmVGLj20X3XFGxyeiBnGwUNdH1DfF/9eQcSvWz5eC8dTSywbsqeev/xM+xFzj0h+Z3aUDz8kvt9PNoLJmzxjOQr1uim67Oh0Qu4qI9nn6IAxyD2Uq3rMqDuLdRZltfF7qXiGM2rm48OQgtDAyrBOs2yCdUUBrhaDt4EP8t1IVouFr3qDNkoLPMLRFADo+nOTfed2px9rLx0gP03uvliZYdsPLXNxFlpDKYmeKOFvipbN2dIgJOgadQZ6fT7aZ2DStgZ0n5ZFdI+DZd6+YdOePFH05GpS/VgTHc3MF8GbbKBDFegj6i82TiNMWxrjBYuS/YFA7mev+fInQq8a/KNb+FgZsYn8OJnUSis0v/lOiztxR9J3s6FkVgB51BE8xruNE6op09pfHZiXIVQwAuHUl+OrMRbqlNwpkdYFyfo5zNNCBgtk/BZdZkabj0w8dYSXFKJ+5CGrE/AbNPYsFu7o2pFGVXemJT+CG/FpySFsc0a/A0o6R3wLhNuStqSoK9pAUTT9DPPsOqBZyIscwpohR65874uclPFj6I59K0UJQHUpQW6AwY+gWZlUVHKyiGcwWZ4cC0QUQC71c6XZvRgXTJ+0/jABwvfAU5h15jz3frlBnnjpLkaSMweHf8FWQ7IpAfUcfZtS0ssWadLL8uCg4eQ483QAIkw/M2Kos3EaQNU4oUWVq1ukCAbXFA9LZQS6/8AxBEplwP7muGqyXkwPcumBpKgOUbu/zhMYGsvdNVfFXZobM0ChM6nIgYZ52EHf4WlWhjAZ111Bb3VrwJxsLPhBwHF9B6C5FJKV4piioDM6c7+H0HG/OuBo0mdWAAT365JfsFoT4s7k/YD1KdPaDIqmY91mUghgZeN1ylA/WKTLpmGZgIspDDXUaCGhqtj+Uo+FDSN8XRXWA219+pA7voxOytsGcLBGeGwfY1MidfabIpWHjni6cjKbf5XvSCzF9N5qozpE85U3040AQXPN/HAQ2HHb5kmU4mA3NHtcJeyMQq2E2Eo+uFSO35kgV6hqZqngaNSVzOb5N1RmTPWqQtOb6/IBoYaJXJq8Ujq1OOtzjVT3vtejmc3GKtnVhRZCshrEJrmIp2CzdcAP8gIprQpQaIx1plYNRyEGcIcbHdCzuvtF9dbUWeCirJ+3oJ+HSZvMJ5zYzbvFvwaCxKVtsQabjy/ADQefVgRpwcNAEYGnl8Y0W1/4OfGMZ3zy5Es6+IVzc1HXB8Bl5A78QyPT5DRwUIhlBc9nwtlO6QNSi01drfSJ9QSPE6Ywz6ZV7BgS65H3+H8GXR6W9bsLcsMWvhX45lP+FEOr5aRJZG2Jx4I1jPOt5X3qgx9cicOd4a2FmKh8r0/pKv4zhFl/u7azpBdFN7G9p5aKw7wb/xHxgxtpfBKyA9fDZBi3h8C98KfGC/BsSTriBzv1xCxsOWFeiSnV+eB16/iTKDHgu6J5fJdLPNOemYAtPTpuqPm1tv2/SEDXz14nK/PMt1ut+iUW0Cn3zFPO5boOLpuHffWvy4I0S1gnbC+lBFLNrBI6GKqXNaCYZWO5kciMrJdHAqzOa2Lt1EpRGvXMGza5G6mvKmlUDlWLxxpkloyxh2Ubw7hGmGs6FotC1BgJoBCz9/P8eatzn+F9cRaJl2GKmuJSiJzzw6JtH6QsIArQ7HB7UcTK2esIb9KIY2Q3xIXcrNtTUF9KWatV4RSDWSYbmCvBrByvArCAqW8gG8XuvLaBo1Uz5AdZInSQSTqSfcXau8rG+EI1VHSn+aoB4Z79fORNBAiQ/UQYLyo5IXLcqwvmHvCVG/YBCvznzcWbiNXvL+GftYLwHlHNKg8FqytuaooDPnrpmrFPAf3M9aOy+wRDG4Wyr9ktPqHgJXMNcKoL6EgyV7tYjj0iGRcbXNJWv9fCaaUpuS93EsGO7zu7bOX07Ul4nhZqSy4D5T4tb23JJJcCtD3GLbmkG6xfG0h+WtmBcOjKTsVBEgwBrcmLu107FQ1bPrXcBpvF6rg3yCFqv8JMnZYDBYFhhYSMgH04IEpPX+CiVrvA1PaOi6zW5X/5LUDOSjdc8WS/EkaH2RGrqRioilPNTLwIpcQiDWSRbvtLwu3/DGsRardYhWXSVv1DRKUTmcbB3vQll+qCGmHOTPZzAVuSesmg8OZqWQmwg+xr0Kdsu/xrbF53LHBEafygEpwPImUkdCFpYWEgpZ0TIsVLC2m7/xYKzWhgzNVRfG33EiA8AbftB45EZgj08a6couAF9zc2kQdy4webOQkqpopRSJ1h08xo9Gf7SfK1kfIdSsRJElySgL4w64MTmMTBLi9UITfnDMzLGTc2LnFK4f/8834GlS15KXBgKnnhVPPwQ9NLDhKL0dmg+IiMD4J7G4BONkgN5RCFP0koT8yAAwtas2Rhh5zn2XH0R+XWbhVIk4MfVOvOBYc5aYNw4m1DTESQmPIUFmsz+b9qEkQ4NXrUVASZqj0I/pi1siVDtTur/IMId7YpRg/iqhP/Xuao1qX/kuhk+5uuaxDAku1b+QSICbNWL/xGD+kLZw4Gq7cWXyDxxjbQbEClF9p4tWQAqSHkRwxw8a/+LpRWE9BEClO++Ba81UV5U2eUAz8unEwm9yTgU9oZfk5qhbeehjgntFOp95PvUdQRKsqFIFCzcrVzscOfdEH/5HGP5JBn3NMUmu93FmSWhMeC6XB27IG575Bn6QEQlKFL5P5z7OoA0uS+hmh0CTZn7InnhVDIZd+02PR0ZxILJphMnwmDUGMC8cAfxJAtn0AQUw0tDt96HgpWE5Pn50+PmpBUerJMQrnpuN+OfYpJ4iDUNaSHnLnL1pyUbt/T9Fud62xzvSjW8iWvEu7s0Bl3QX47snrd1Q4P4vvtD6T97Y8BY0/+Db5PHEk+WjkVCReurvAIHnrsb4LlDjJP9/rcKv+hSZ/I7J9rz5P+dHqcocXqesZuBhEyhYt0XvydvmFAtgpwvaPK0V+c9I1pLfgU5XzTcJyGtB41+VmOZk3rAv+/xzN814ZYYDsfi2axm4w67y06equxuZztoZDDww361Sn4GZelOJQwj9JIXtiUZYL2GR6wIs0Rv4Ni1oRFZdWWjSAfrYUBZ/eJ22E4oAm7tqd4ImWW/eMkkFIoNBr3V4ravqcMx6PPCvrUGj1Na0S9ouhU4NN1xjADbM17oPfR2N32laHSraZ/K+DGp89a4HMB5qoBt2TjMahjOcyfyIUvANKcktBVsCBObJ0uFvmAYLmRdUUA/LWb32SI7P4kDkCdnrEYBJ56bsdhVFT6fUjsN7NEUG/ViQkf6EkQCymYIrIXdHrKIqKt4Tv5hGkJ2+3TxWzcsbDYqQW228Pnk0OU/Mjs47uWe/uvD23RuHZstY2XYBpJnFqAHVv+gbhDJhJ5rKJL3ALUE6ZoDItcgIxyloAwgjz0wPNAyWcE2uoFiVhTUube/TJkxKmcfYAviQpAXEpkW+xgF3qXPoyZ5+Tt6SNgp7SwnllcGFUhML4VzMO0s92XdeTtFqSWQA/lzBuDJlkTOneqcGw+iDT7WiiDiVK2slrQezL4OXlpYMQ4ltGnjAOs7MdEVM1h7Yx9ABhCt/MenR7RbvncESxpYgshZ815QD/zodUzdMg2Qx2sfxtid/blSypBCTgRdZv7HeiDeQJcZ9nFFxLdixB9DJwwAELuncWa92kFhXwr2nuFsp7x63IcEgjx2uMndf1rR8cvK7BjEITDRsb0XciTw9a1GT2G5d5t+VfDJCW1hI3DhfwQwhjs/Lps7RKUssq0lGKTuQf/Cd0fShhp8JGlh8g6fmYcHZ8d4F8KPjnwIMXZxBSvGMpTPuoW83WVQCWjf9tHkCdLcsv168jf6v5dM8hgWf5ZI31tAbhpOpG/MCRsu17x42UewWEZV99mZ7saFmnaoYp4X1yNGY4C5d3f+k2+GrJpWtml3fHkanWC8vjzgsxUiSnOeXnCIXMu5M0dKVEzI39Pr/Sj4eRI4Qp07Fuz2QzflMuzgmlAoumTr/nOyA50epnYwZdJGVYZZqJGWzK8j/FYuane9zS2UWJoCUsU6Bl3pEiZbzlF0cjbVLpHfgqw5nf1EyUY1E1KT/REoqLsw3+OtiaFHMPjhEq/3nJKjaPENOU+VPDPLMcYuAfdRcG0Lm/NyRtFnBkIz1/NPO2Oh8bMNkiWk48EANLHM8bypTPumYvWVLBISbpKYLI3k5xlZ/6ZL0nE5hubwgRjus1yz4g8Lrs1Gu1rAGHqLt0wA/s3XFPqE8Bvq5QQpbHJIjGno3gHE0bjtpYfn66ctnTuwOscwwtRRB6UmDHx8GIQBNIH6YThu5mSicX6VM7dWx1oZ0s2+oPjwQVwS+JxLf6T09/MXqRU/Vf7OqLECHJh0FoyEECv58WBlf52I7E3x+Zug+bxgBRePqGZP1gltZvW8PkZbbtFXUH9r+DAHiawWex1aG3cWUQOulurEmZ3/lSyCv7uwuC+4Yusu+vgrV5pLXpO/NqChgU1eDUOFYnduFMvjBks571DaQK8KwiPUXg5SxJN2D2LSrLYxsoA6Fai2G1r8AK2JxlP2WCRIyxMC+uE9Va1xz7agCX3C1PwV1/69SoIH0OCbrFrYcmfgmL9qTFmZ1tdUTMkUAB9XBzXLWoUbib+e59ThQ6YQkezUhwQPrPvG/DCjlvMtmg1NS8THR7SdWnjDZhaiL+kNK6/c5GBSjlsyrthwt5ShBy752uDqUso5CwX31kgRtT33/5CyAOX5lli970r6mMfz1BYewFbd6PRoTZ37zZvUdqdlqWBuOP3LDF6a/tBGBdfyxm/pOqkQknrtIgEkvbcVWsV9zhbNx1kTys6l03asgjT4vhMeYjQuNbqDnSzlH6d6WdfyjBkv61swUv4TwQNEwo5Hd08a6z1hzoB/ZUk497o60mgxlexlGhHfHs2n70vwK0CHYYbRWoCfgDMMwxi/OFZXXQm4xalrZNtdnRKkeTDhWO4aFZwTdyrWeDG4nwZuj3fWD5PRXsFudZfuK+S2fd88/6lQXwcoQ5Ad0E7EwOvpOZtoleqzRPvbb7csCG5GVTY/YDhd9nga6u0A5/fQhPCvdUStJ40zZ3448MOwMgjNOqu3xK2PIplt99ykHcrdIkwsFHP7CYCYR6TjyZbOqoWnB7UY4NsLgOcHzLUhRh6kNTZ0EQ2tgXvFDzVSJLx22cmdvfVmvxQFsW21fMqtX2ZiN2g/fOkNavlXis/jZZ3ls06F4tlhaY84h7Hapvil/nj68dhkWbS34t07RyriUajhSQ1uvTlUt27a3WBh03JUioC2151+9zeGF4ldVLIAbP8nB7zsyPJ9RsjtWJc/KCLtyp6taY4ANIibuW9VInHXXGRGwtDlWG9UkVocMjQePwoha1zEdDcZ2S7D+RG8DfPs/LdYdENKjpWoxEWiO3k4Ku9Ir0vuX2U0N4X3XFaO6Mt+r+J/e9gchyVyyJSes2V1bPBYl2gUBBVH+23Fx1J0HiX7twLMC2z9CATouq83I0X/zKcf5trwM6TQ1g1y1zaQhE+1qTO5y3oK37zwSJvTPEmZocK4V3tpqfmMYgN58W8vcFuA9lpSljEuw/DDCVW0DFWsdfvIbmLSFkk2T2rpcGB/8w3fIqZX7NszYKlUeTMI+iqnUvxRS4y5n+UgrXGFj0eIPGj1+tUM56lxiEYzxY0pzlh6SbGECvHgCJ8m4rAHfK5VUW39ukM/VJFzrSdehf8XOvFEbFaOFOiajt4bjCuN00Nw2hhp4N0fRsIDwOhJHlQeUR4nORpre8J5g1eWi+51txbVfR4f5SqXSwJ7z9Yg+4PBqLcuMqI9SJnONVEkVb+oY4Rqte4DiAMfk/75mCHZozf3e0f4tpSwZvOFz4JRLa1FeIZz/vcuiRWEz/flPOFTt5ue6WgYztQLgExhesSug8zvgh8DCkL4Ii6+OWRxpkEGZOaWQl+lm4T1wNzgqYfur/AjhypQwxP3bje1yjtEcfU2sLI7XWDz7/Wx6clWEpMY7wEMEwP83SVSt2N3GLGsEhs5Cs10ZwaECaOW2EOqW7/zgOj1509T1guFM/Bd3oPOVleb95Q0VULZjc+tNuW0n3QA+8lYCG0Cl1nzK9t0qceBB7iSFGr9gUl54RrLCr4QH9WRVrFaf3EuvAcPbrCOc9soWzvhJVACmlyM4cOPAogMN5OWtAmAGIcNG7zjz89z1afSurMDw1dK6pIW7qKHAHVsHhCvuno+6y5sGtH3YkHtSyGdnsK8fOV9b1HYD/kqOX+6xiX9QweAW2k6fVqxAnHs9O/YBtPoISEIUv2HvFjO19wX4rzWqdueKwyQqolTVciPoB5SvbrRGrP40Hl6nwWSJpQ+/SPz/1kBF50Oy6KBty3qvfHNBNGOh+fDfJ/0u7TDYHCRjX8gxdL3tCjD127l0LQO+8XFiAzgvETy/hlmSiVl7Nn+z3A6EXeN+mp3/DbOB1IyHP+F4k+VqOmek0Zyy07bHZ7oPhxCBlMK7nXNQMbZP12Bal82w4l6oCOfnyu457ljR+xWuIj00SSjsRg+8kwzecrnJ6Ws8DoxCaLruMLQ0MIiJ9u+nDHVAUV4ARfbnJzHH3S66vgSvnh+6vw6k7sDAJMiG9uWViAwXWOKwSppuyvKfpqEavs2OsKt7EgweRM3L8wghz7eCQ/rjRQlBDf1Pgr5CMP4AAB68Y+qbf4fjZZ1HaXVv4qo/Ye6Qujl7DWuJY2mZ0fAshs1L94hbfqLBJgidbY2j4DNtbdAfcVL0sMxnAXL37/RhHGcGDKBtwvnqCO+HBJDdjgOmEsZ+OG8uVRZPFY8xwZjzO5IeKdtCNYv5XmpDXDCr+d0fDq/mG5dAieF4CM0U0B1OjTT1En1elMCrzAnIbw6IY6Gu4C0YrJzJGeKgfti6yy/GJcFIqkvVvRyZbQJF2CsNdUsbJg46ngzsVu4tU1UDsEK9FdSg6vVBDDxVRj46rXO+OLRkXG7R5KPQ/TSAntV4zIEno7V7SqvcmX3gNfIj1esL4riKCHPIA8Y6VhSqgnSYTOLlAh5Qu9EbaiUozy2MPuGok3jxb8d8iLO4pqS6WU4anZUU+nrWMBL95kDsceWtwvcVXQaSOCEuJizWRC1lUq4ubfFehV5lA9q46SUou0QnsynEwHT1g27pvkCJk+X3AhrJ+1MIn9BLvBv1wyHmSzD7hoYBeEgj+z1bNiO8fWZrhb40vkzaFp9hkFrDUerVDWTEGKfBB3Wi1kNtoUJ85Od8tQsp8wGBlfD/2x12SVk/NCckIfxDlMJEcBQKz0Ov7eFMddyqlAZPzF5pf/LeaM/qI+ZJjEVZoAXrLnNu1shpuaip6agejQLWJfKR7J0WbxQ0bJRkizC28E5FZtKVhr/EYCUGipOudJASLmCfbW/l0xVqrY6rzumSibNf12wK1kEKr7WjccY5jF7PQtDbd0ddneYs379QCxY8PctpAyn+A5Kd+0KsO+lTmAjCQJOrr4ObnwZYj+AQshrrjBydUTxHpUFX3fVU3gRjebCSvCbQtb8iYT632Ri3ehYebL1AC4mqvCurSUu7RQ233XQERHy9y6wnp6PmIfHxdYqST6cdpCtZk56YivGuwIAzMoCLpLh4zHfeJKtYvauPWeMzp34DwqjgpvQ0Uj6ltXJxouekjrwjVwy5gjK9jloB2yFpVIBNqmTXqQY/M0f0VWTHo+2/BTEZpRWD/kBU7bMD/OX2lBdcVyjLLSkK+aW3v5NVqRD+JW9qPZFmKWGqI5jt/ISnuFmiQplB2tYzYFRQVDXhQK7kPPYADgREyRoyLswwOHgMZ+qh9kZVMLpfFinFdJD0XuJIqNGnpJ0mLCyb1R6t1omfl6tiRBd5Zm7mZTiWFnqcts9UeU6psXEoD4QC0+cwv/qGyd6OR5qKn225z3vjha4y1vBon/VPuNQRsZLhXIRBmSqF8U8znh8eXCz+LhatxuLWQUMBMwZopqOC76t+xFodNY7AwDxvYrgM+nRfN7LjbH6KARZwhpWH+ebaugFoo/qL7tFnjZUtsaorLWZFaHOHklPFymuLMQXPLJ9i2iB0Y5CT+HB35XOV5NnO1OC93SBD5yzdcD0ieN5u5aEoZVCwBGBX8CSL9/Uq+6AKVeykklWnt64eJinjFHK+f3ulHqGyOiNfBjccqMRfZuKunQGY0tfG8OmO6hspwTPMnMIKxKaQvUbXhs/tOLfBy67TJVkQIWn2uMF5hS4VFXQgAcz+IYvJQ7nuD3IYYzZxb0wBax1EkVIjkv6fl9CawjCvcLk2EFqJQhveszZaxL9WuSz0xEQz2xhmUM0L+oxJC+uNBuq5U6VXJgyznbYeoT4VXpTZUHlbXNXL9hoesa35pEMSHTOii8PEgM4S3QXpIPSuvnP5/Ev1LkHNP5t6sK5Mq29a6LskL85XmhbR187+HWJv8p//uIOesVY66dK0vieQF854BGOoVoPnNiYmyWCN9rfDuujOPUR7Grrf3T7qW8eq3BbQJLkm116fbt39hMlCp4J1JXzDw1OHzlcZlqUIPI6N9WEUJwpbc/WtM8RMRBc0gb/diouSFTUYgGShHpxpFktGD3YmG/DP11vCxziONYMtGpoPJD2excYnkKiYQZ+OogeaOW9I/vsmyIvzIzTl7GwJek3bK+QjEea6Xcn/HsWYOWpzVHaA6yD7L9q9Nb8DJ7aglRPtZHxDHGmwmZOwiCgB1KlWtpBufcjowW8nYleKmOFpc5FC4LP272uM+eVS+kE4uTHgyZwossLgJbO9dddvXQjd4pXoEplTJ0xRtsQbaDxW+wb7Lh50DwgHK7l8tIukMOclMg/a1YV0rJp0kvkBdhdVuGD7hNEqpmVuP3k1y89v649VJsg2pYFUTO6KwhlcL4KF0DqKS3yxsOPw+vVUwNHz5CItday905YYPkAkXhrsbU+OTRRR14hTOsNJFTbA6unSHVvVJFy+nMzjjvQRWbRZZ5lL9w0rKePu/qZYyXDbyy4s4zDN8Cm8fSXwYhnFRCbJh3d6QFanXbvOeBIFCkRLNMD4Rvll4xrFrvQkgp/ji3L7a2BRMIOoQ/A86MqZ9Uz9mXqBrDNGeZ0FPQjJbaciRd7Z5EjrtOHxUgWw90U/JG9/ZgosSO2SlGK+vm5FEDYLETv6PiLyDcnMpolzIl1oUl2/p00RDObGkgpxchIHlH8pwmmxzSrEzN+wdavBN7Ts50Raico7xYLJEB/b5CA8iGbE1zEqPnNiwK0Xw0VWJUK2Y+t/kOu+j4jMRKtxvxna4uZOVyX9UKWiOLXAFP/yHFju3CoAoSsBUSgB6zeEIycRsyclE9B90G0b7M+uMU53pnfrvb3AOcnStngiO+SbXhBwJxc8JlOJBTlTd/fE5B/9u48VRFqHeV5KGEt4QCJNfOoPK4JFoZ9HvAMFSCgvu2u4IV2ucbC8Gaywjz765HJ/W0m9DMTESTedSmsQfHLfSq9/jWmkNX2W8wCs2JvdFy/qG8/t6JER/ig0B3O1o0iKKZrJOMPTxxJqLhWA1KEweBbxoGseG4R1bcvxyMIs7ht1xAqFQ/v6nIg+Ct/HqvDcVzJXfTKmKWQDyYKjhb+JIOF2DhgUdwQ+Pqh5iReZMbGHi5/4OLlssKn1TED6Wu1J3xzvJMNzBQHeqhIrkjrxscgx+ikGYBDjNak3bdX8epByfzXxnMhyh55buTgLRLHXAtg08F2YIFg3OlQ2dyqSMyf9RL+G8i6m9+IVL4gYji32J6PAGQg2fnwRUoC7fYRgPwGWoYPURRCdmy4YyBJ8RgjV51raE3rihqhmw2DA5/JmxkrAoTzzI3GqGU4g/hZvLUSunDodeT2Sf1x7TSDmky53E1bRtbH3cdOawVHht4Mhnd3W5UkbqLms8WX4JFF5yvGZsulPBXy5TBD7ABdz0HMXBeSldBR7D4DrN2zrvkusvNVFqpoTRLeEEJzV1Vf7XtYE5SMRG82fp2sEnhOmpNOzeOAa/EztTmNsQLWhLG1sWIfTPj6cb8oS1ymnPND9VUNXnMdbsiSvEL0BD436BgA+n32jyZt2cX0kseoUSpUfilRZbiqKJDEsE+e1J6FmHC47IBO2PBFeiw+PHnM/UFxoNbJ2GerFhyLI6WbbTGi5O9w7mQxRr+fpypRGcEVrUYi1OtN/0QsqWYleaR3fKMWx4Wis/R94cuKNzVuqxzZ+CyT0c5dqrNR5MnCz0Z7goB4a7zXR2ktRUM1HudgyJvdCRUvsFb1hrm4lgyE4BsSwPEXbJc8oFhRdFbcxm8DmTt1XeH08RhUulyy4+iG1Dl+a/iM1dYA1wBQtvBOO37FRwJHWpJIyo0twquErsvaEVkgrVq7V6BRkunTpvogeCnGHjpPlHSRMdDehhs+n+f6FS0MZjW7Tz/4Cz5b3PyMSzCamm7/qPIZw+FVN6NzG3F51fkXY8huoYzY7ooYUB9+bNTPCROLmnuWpGnguoQec/ELD5bV6plgevRLknkiEl3npQZgD5A519gEOyD9ZJkXWip9LijYNVtIQSAHmYk955Kuj+EX//wS0a5q/U2yf+h19AMfSbXx6zxtwdojQzX27W9fpOmSaA3yU9fU2vG2WuTy4W9EkFT61KbfxLCx44p/9Vv6jiZX8+64Sdhjlk8dgSE3sNRUTlpRckWPGAdQs1iUajB+Cq6QlZQgQQJA7FszLYDIPPig5JJe4FrZYMTW87X6u7m2kRmRxBbXXtW/Gzo/mnl+Q5ZQJfR5+w0uUEgGYOKsOEge7kRSMl6zsSAgApLxUBgJhJAWbYr5KaKdsXhM7eXelbL1vF8dFZwHaM5KWsgE/pPe/kp98nx5PHJAa0algeERVaUy0b2QB6be+igebdqJge8EIFlCLucPiS9mP4x+BpT8nsj8QgiW9DjqjRhnvZpk4mBRN1ZN8VDR3/fBGdPVvu33yx6Am+fjrL/IBfzmGSzinRenP0FEch8mWlL/5enOAQ0/htD9yr8nJvHFMTQGHLsUzc/VtZzb41bovQ/M5FVq2sARsWEwP3ja+TQB4cWgre9sO3tB/Udx41L5dTlEr0GR6hain7rkuMGaIPTatqPvVw1kxp/K58Cbrilg3MgPDBW7C4I/7jylscsAb851Z8R8H0gDthhaW0/XGJD0TRBkpknztbpeVDGptymYhkJu8OJHo/835xsp9zSs7h3iliCoMXMoFGaUnjsVaEgIb1cz9DXHfJ7m1CBTOrUeMVQbdvp//tlwKw1mjiFzWqP5VL9pCumqjglcvvON6Q7x5z6lHG70DbxWJWM/wsk+YWRtpLRKZxzuXNkGML16vtEijxTKEL6xwd1S2/TRj1zXsvJIGDMlmN6LXiFfJXtzkHoSaqQ2YQB4IyEhsmbNskyHc2+2taNGkGmb5GAqSi9wNwv33H6FiH4tZxncJVOl0x0L0EOET5ZYh7wp4o2FwpSs0kHp6iLlZKO0Q/D5mB+G6UKEOcZw+9H4s1ZcH1vPvY6TYa842JeFaeH5UPCtyLIw22HFzT+KnFvK8EBAXAjS3WMG+26gSyNXpsJ1X07G5tugzxm4YVETw9mrt3zW0yCARzPnKt8LPFBchAx0/K7/Pa2vKWNq4CJOqrWbEch9ebIynUKV2zUtfA+Adu6Un+bQbEycGhs4wE8MpraYrDkzOcjAlrYuaA0an+qqhO061dzE55FQcxbx9S9CAvHRqWdRBMEFtt6ybRam9Co+KF2fyXJ3yH5+ZbmZycuhmqjTrX1VRX/GmK+leIW66CNfIiZ3/WGkRbo+eqgOvryNyNp4miTaL3Nre96SLJcj/KEq1n5jXV4x5WQ05XrDp9XBSCmcght6ULXzY1Aes3dkGWTW3tiB2lJwr44xcx1kVs/WA29+yNg6Y85J5eg1lX/+Ln+kOWlQBtwHIdkQmKDAtCMV4hUqpw3efgy4CtJMrsYz5DP2k/f9Z2gOwkJNDpBZ01OpZIX/mEZJKPzhDC+1xlgQKnJgKP/RbL8J39W2DkZrni16ttBCE3UtcVfODSyI7xqP/VhQqjix7M9K9Z12E90BOwJDQME1eFT90vvHqF/rBU2N26L+OoS4wSd6MXGKHUTnYb93jyT7IG7lU23fEMCCrhtQLG2X5saY8+UO8gnnT/Ciw33HPu6Khk10j1wdzhzhYfO1F32lRD/ZlVjAPcIGnMZIIWOAJ6UZpugZYY0xND6Y9sgNlgrW4QpSUKnvVa0MiZ2SAsP9fnytztR62my+L0k9OUdpH11rOM9MOYRSOJSPUPiWOnBJ0KXR+bggEOFkb5+OD9Tsbcfl1PVM+S4TcsHg8D2920KjUVHJmjIQM93qm7I/T443/ckTg/PI/JCFtxDmPgBBm5wBMrb6nvXXcTUsbzFZPxcFIuFOi1wPmPMpS3J6HjOv/AV3TprUSzPrg78hUaz153wtI1Mm+99q4VIcM3FZKoPZyTTdm1rSTvwxu0O0lwmFvEpGnxuPCc7enrxiSVyzGcyfv+Ng8Xh2PWgkvTk55Sfa/JrFmTswlE0nlovBFcDC1o3DfHbU0ZWItTvVB2XQpnfG70tn0lReHiqoMSQJ6PW4eOeYesJlLDyAd2t9uOQb9eTNJDjxmMRGXBIAwhIFwd7JqtWXy7fBJf83p6q1eGnpFVagQQ6smroc0T/z7NenWVMLYxcYZt2taWbMYuNNk7SK1oLCDNaX+n3vnx+Ut6wUHuzja1CuaHwzQco8gAOCuUESD0X2yxmqT3TnMPLtP1xyVxbDwroZcLI4x5LVfMgkSL3LROHwo8128t3cBMWI8Uq3ssQABRjFLh1jQL0gh6WO7HI2PYk7VVKnnsV+EHpcEX5qK83sYUvUFvMMiiuOAmDyWdMNgB2+yCSyObloDR9NDI9g8EPWI6WJQzH9hf4q0fza6V/g4pZIL7HfY4q2vGELKBzcPF65PER3PdZjaWa4kFs0RBrX3+aLfa3RC8ASbampWZ7MwOjX8vQ2MMaCvoa15WVokXIOqHQw8b2iQS5unQ9EwWaepJrhisaybnNGyrhdeot23rPgnXQNG+iUwId+2uceneVrUmd7YQgTUdsyU/NgMKnXzvBlWPG2OkkauJvJzQ6nlTBjkEKJvaSQ8xUjYNHXVVW7EThrgsOc+fOVQVS3k45Qu6gPWynw1tmzH4kkMq37JXwFfT1RrOyWsC4SaetkpVss+LFSEbASAvP2FcA2cD4x6qD5HnXAcJwpLjxFgUFUvcf1iHeaB2R8BKakOycnEqX7IEPNJi7hauT6/mcP2M13jQzyrGDiFpajOXAx9VdwyH7TT5xyTc+8rv/S0rmphl93NWizIfFSGmDBB1fn54iS0auLSBLZgggDbDY1oS/aWWqEpiYBeSCG9gl889JJ0hu/9OVk4NMYpyxGrOmQGBdVj5hyNZtw/2ow78d7i2AC20VF5PPe0BJT7iFO9YTpUU3ClbnxZqwje1sqg10YKRh6dTMq/yCEhDq/b9NVPBVBaFhrSRG31MB83da08LOVyP5qbrgIpXNGlr0ho82spVv5GSEw0Vy2+jBA2HzVoYD5pFEQRzIsf/3Mr82Z9HNDdRpYSE+yR6RMfNdN+i7IMbRKyy4WVgrz57hKvNpMq9ShKMt/nZ2zDxxMFZ0xIlU9U7lLPK5gvTku0ZVpaVOFWMWZEPujqoOK4IEUyfDYNuUrd9LYpiEl75O59As09tgXSZuYPte+51Lmo97efHfOokZ3BOQcjEmDH4839v4C/XeIkDmyFwzkkRNPhujodrot3T7trzo+aYTdMRwsuUYF5269SE8PGB1sCXhNZu4wrzwUYkRyIR+U04yxHV64lC7btSbmHqG3GU6mOuAsipEAyfLfUWKzrnzslDhMUbZT1bMml4lIzHruM5QqsC2pEcUAsTowH483uq63rvthg2cDKtFYGVuY7tdyoj8iv7EnzkcB9hPhitQ9Y4YEm4UmqhDF0q4Xnh9f2UrLDu3qtfdDBrlDAqz2u/+Wc4XfbeF1nM764sKRIIriIVrLMlFVt3CNyDbu/u9UJEhxuNGw/Jqemk7Qyzbhbr+w3KpyH55k17GYRdhg7UhC+mOzL53fGXrJrJ4zD1R8c2w73t23qeCr5oSma2S6Cnl/Mqm5zp65uAjeGMIOYEqbwF8GAAOY7naMR3yIyfW3c0cvx6Mgzpv+Qh1phNJM/FhPlKtSbzPvCYKRtPD0qA8N5vEZBwgoWHyyHqdxZTYDhBWY1iyCiVVVOD11wjxKMYZDFirKeR1nGJa59r5PixNhBRXeVgmORS5YT9KWUYP5DQpZ38ldQi/IAH6M5EnyJW/aNEsjq+vBU1g2VQkTT8rs9uuHw6quyGfU17fq2n0vA3kaCYdqIUsCflfzfk4yA6BwYHNC0GRqNJvHB01U//2xR7PRNAbMlFx4vsmzNvjAO8B9zYJOGT4ltZNxb3fpm2kS+i7giHec0YWsd/5hub2UnQoYv/N99zWvHV103VM1mFvIqEfNW129vnV5CYTAOtMXF0aZW0fhUt2zvfrtIeelAkQuPbdINAKwUJiWLj9JvQVbWBsARiCjgnV880SZTPu6jLvBNcA3HDungIhjCiFJAQl7ltt9sCTDgMnY9e3Faxf6wL3cditdALwTL5DYZr8SpiESuLkbtHr0UIsxJtYXn4Ymswmun12S+q4iAz5AKcIaq5tGM1+L+KzxLKeruH0XeE2hNyj0P3r5A1cvMkjLFKSLHFtWH3ALLwwy+APw5u63qhmyMrg2VPH0zBQ3vK/15KgkoEZtfm/YPVGYqXuSIDlIxB63kOYVnj/05OVZMIYqwD48vWVy7V9mPz5rKRJ/9T6npQ95+WumdJna6eCOLqrXB7uLctdI+vqFd6vHDINodFur0s5qhsUM33Wzn9AGgu3qZ65DjiSy/K+ODfFhFqOi35W0aeCoeauJkvEQgSXgIQYMgt9Wio+InlXoiep+EOoBX+Gc8piWTh8AbwR9LTjDdI6mLgUUSbfx92ggiu06OLLaWKq5umvIY6l88rix/mzEO6R2gZu10EcmPUHvZ9dnEhURAGV4mkIFNWVSTHhZWWVLLa6ChUq/4SOOxff9cUiq9NWS9+qBkczrMH3lVupv0oB8T4YYwC8jqOeFFTW/dHcqHlC+ffO2q438yfNunbS3UPtCSS0djtmjyHHIBssVd4hjCT/vPlfxLwHwvAz4DLFIoAKSFaaYuQE4HPnrpC/rB3Ouv6J3BmtOxU8kTjKlo+BK2Wo7xtrFVODh++H1CVgiKv9kRMQDAELg4PEANglSiKsoMDK70Tdv24nlYAfx76MuaNtsxe/s1Q37ft6MMonYK2ftjgjNVma1xNxVAKY+6DjaUsTQIPv6g2C0X1DnKn/ATsFlTLTilmwKJZdNQj25b+U/AlOD/neOLY7R+/Zj54SAYhdXis9l3t+p1HD+jD5gAZlezqfAtPuALN+v9pNzwhzI64TOR/RrW2PsTCx+xgVozWJOQaChD8TjPWWt4KHk6cM2/Mb6YQkMwF/T2WW96yd4ORrWxMrhjvqgltnknfQXJmd2DrghLlzYpK+90AXy7xitcNDOOQUJu1jS6dwuBzXNqLduOdP3mRdfErLdPVdFsPE0nkIiH+8bRSa2mRr8DH0PsO8dtefpEqgSFdGmmXGKlUiHnA2UM00q9P9704EOQjmwmUxebSCJEl/9MWtHbOIpB8+LUj8Knhq6MBMt/XwXSuo4TI+EbT+O/S9ARajuGQpRt5xGAyQt9VaflDWNDDgqyOW9qIb1Ucw5iCgRAvdf3Ke97YWHNa/1jZXPfEXSAJWEGwskNP0ecfjsJZSg3G8Nk0NYCRuzvmKgw/hWLyAHzvg+a7P7FAnqwy4bmqhUpBYz9mjGSJrhvV1PN9C7dnV8SxXHqKYs8TfLz8nquuVUP52arrGDMKNi4w9Y5wp4uKGwMAqzxI7FB93mui7nB2ap4c/vIRS1386vmrO3Y6ZxBsbN0zyaBLKowepG2NJ3vo8TZTMti7qifsPTWHEzlf6h+eq+/q2iInRBWAQbcEK1FefJ7mSK5n0RZqLezCV8/BvQUs9RXtnorYf2CKW8n/RI+E9teAtUqq7g3lY8gNO1srthqX13xB8HYcO/bF+0QSUa1n+/XaWXNlW5iffVfiz6Z+ty3QOXlmt8MjQp2tcikb9ECOblKvSlv1Sj3lkAQsnItA33+eM99idMs8hr2mL/9MInWizRqYVZ6q8c1bjnzZxZgFaIcenW5gerOqn1JA52D7PReY16xxfPSdv55d3VbexypIKHGmxV75oUg+rFXts7wcvN9870NVWfXtl/zQuitIrCqkwRWRmqfkNKehQHSkIA7AfO5w/3zSRY/Rk13OfHZNnmPQxmulR9RMK30IITZt++e9eh0Q8xeuc4/DBnLkJfsc745BmuVqtAZGvw49CixvP5BI+2BEY6WJsAeKi4Pr/cwLFgV2/wxGpN/qX2GvaX8VF9QsFdksCRl2P/8ZrJdCW7+xhEwvfGPInyUR1PIR+EFIdCXkuBkcSPe93hzrYOe7d/WrArWYMhL51IhxrYK9v2wBv+rqKvoG/MbdF8DnAjZA3goUkUYuLodkso7SVjUZUXFoYWeaJm/ACv47BJpWNgE9vRANxIe3m7KQA+x6EMIsupW+7Ihda/2GzW4zRK2dR1Yc6XGOsUOgFGHLmH8/dsS4BB94wPmn+5abSlfK+bydOgdsZjecOr0hVoKVS1Gf6k8dBL2yQxf7YY0MT0C8YlApDu0MhnW7E3fQ5yuGj7D1Fn1mzB3Q0LtDb7GIdUfin4u2H1QkZu5ePrPFcwc2YXgFmk1Yt8RX+WmKmoocw+47/ST5P8rNwe6F4mbVIbDa8zEiF3YjPuxwEIJwfE7u38uJ2aOUEbcLrE6u4zderPFUffY1XkiKzyZWiM+k5Q7hWaBQDBQZwAiXgSP4v4goDN5Gl8JC+lc31FWUq4vSiRVT5G1ke7UQaS9BuVhQAJFPuOlxNHSOUgJ75LVcWF71DBSxiSbGeoXOOsLKMolT0Mn2NUYqw+q91Z9cIfaPZAehOGXSD5guHNc4HvTM1yEj++Et+B/hCTtMKOoZ5vE13W10kdAPWsjUMYaQPycxmA/jB5N+3XTvVSbFG7witwb0p4u9mLJ7Ngb6gySpyWLdxtIqhAyGQoA5WA6F3uvh9VMq4I7YfvB4TRTby97gkrpNitJ3rOYUjsE0MuDpxZAxUGRzlx8nGZFaS1MGwm3eEB9y/5k00WbkSi6KnDWwcBtd4YCQeAum/2lVL2ODjt3uN/H5Jto9FSxO9Z8VRjU1ajMybCLDlOaL19M3pj7EjkDYoNBnmVhf+hBQn34yK17Vw6g/rh5WfvwVrTH+7YJkUr8/QcYE8L28P8i1f/WDJrqBtQOJB23k+Vp6q/WwJlzJqWc1w]]></m:sm4>
</m:mapping>
</file>

<file path=customXml/item4.xml><?xml version="1.0" encoding="utf-8"?>
<t:template xmlns:t="http://mapping.word.org/2012/template">
  <t:sse><![CDATA[mlOYf2i7YClhLCkBrG7s8tHKKV6aUo4dgwSl2m7/EVQAbeamTrptQEr4LP6iL5/Ue26OstYD9PMjbWzFbUqJyENfb9ImfAkJNl0weP5Zs4HFGB2Qug5UJMGdDky4oK/UwLy1GEEPWjPzexscgaEm7teztabUJl1GEKxjX283C3r3DTFimnyFjEYYR0vdSbiDx/Dic+m3WWHzD2f9AKLDsGyd1T6PExZ/8cTt5LxGSSXp9JmHGv6RSWQQuGcpqpGcNWMTu1WyzIl8FxFZyGa2+LaTxUYC+/iUjS6vMTyriBcH1ZGmblOGtn/9dmr98B+k3WfKNdw4sXEWD9nT12mjp4BWXnwD9wjUirkBgSiulkshKost0eX+LlRBg4Qi/U6v8NVGTARYc0FO/zMg904aZyP9rUCkgpkrKoUZn813MuVGlCuDzWJcaprHePeF8lKeDS9hqXvvrtXPF70Y88vwWmE7tObSnE/jHZa6Zo2kqiCRElIW3BNRANYv5EgZHn1IJTjdjPnb5uhl8SJ9W9zDsvHCKb4UQjiP/E04SFtqHOK6ctb9MPtnN6BMWW4dnFKsbYlCZDK4c4HSF5Rj9QUlB1++ag9ubK2jAnur3csOtvua2OwmI7hipFTa1VofBMJNyQ8X8h9Lvkst/Q/qUU+mpfBSbW0n5WvYi22IGgRI0gTkMJ99TDU1dyMgwgZS0CMjTniBXshoagQOdgAVHKYdaCtZfHXO51K/6He6TDLQbDVUlVLEUVcLImwVAceeFyeWGbEwzl4NtF/yILTzKVelYveqpHrpSdta94jBFyMa0L0th4YU5/UXQD+AYerVN/2rwR1DTgdcs7qp0bf7Z/xIXJbBZzqZb+Y/nArxf05drYd43+smIRX5TxLB+/3eLbQYOUQpmbbxsK69N1f0+eHbsF33JNwHJhp+z4hiZUWGPauXbLWeRSXo4DiZ5df0U7FmG+UHeGvPsAoL7UfPfz7BS7cnKgkwJkzH06mEy9xiLV+7dlZI79WIGe9d6vKhy4mJJdBBDBpg0Z6EUt9zw3vL4R8rZfXgfVOwedE4GHHNBSI6uTg6q6CyhTJgRy/wpfQy0BuygfQgJm8Dd/BYrxPdUV1KGGAlQLbpZdXJQEMXnVC0Tb8zRHBNKJotyImcoLOlToGhH20Qy1S7FR4MaGlfYoC0xAlP2KprJ16EylTNqcIcXMlMBEr1LOvCQOKr8wze9cNaukIj7aDxUBqVUJuiqbh6oOYccU09pdDpAUz12W8xmAIKweFruOI+/FVj1+8JbJZQzlZFKy/+V9T/k51IERcGLhkzWcUARbnExwu7mV+B7KRXvMd27kZyhxeqI/+omhqT3Ln9YUrPRtGmyPzKqMzKYU0Pa00OIkwrLONick9uzekep1mLDm8Ro0kNAqxfhWk4VvsUI7swUVKT1zFELVJWvvROnor6bXknttjtQQjSDV2biuME/fOxuEfQJZc36gvWDzWaJAx8zOCuvNO96G/IOd+HLjs8yV5RhStIOO7fCplGihmVNM31RR6wO+CtXGG4oyeQCZew9/gknhF6s42zD1I2mrDrF8YpsTw3esuKVCu1F+hdkAaBEOBl3klTzmKPw64NCxgSUFMGRARAPRjL47SKgUX8NN4Hv4sMJq4gdThotui4PH51to292dff1VApLkQG/rkKHh8wUvl93yQeVnresiZEu1KmwKKC1jjI1a47JcFQH+f7LDoJt3A7pYifR7Hjys3Y7hZG4G9Qw0bBYszN5vxiMXY/Ej9tV5jnNV/9nv5awvt4CHrRN2cNvv/KxbDM/ilWJASFYJ2T42SD+SCwXIkus2JwOoOIkxepA6V7K6yelB3x+4yePaHpPNdtDAtwRPmpx8N0WDC2+6pZEP0EMJsaCClzsBhRHPng+xdCyMKuOAnHh0gv7icCwGjhYszEoBSssL5iOzRhON922fH4hzwYgJXCSA3clw5n3w/uv5aTD1ZDbXnOPWWJ3od0V1s/lo2FPpVLxpJZJYNLNwW9RiqYNagKG4Gf/SjeYXzsIZ6ogJSCLIA9pPPMj0cLqDB+mJiPYB4RrP4xdfneD/ULi/GhPhKnEIeluQt9LcYErzL4xSN13KCllaQ4nSZkuYSVkD5QMzoutYF0oQtuA0VRgxm7P9nN5Dew3PCaFfDAxXiLVycLkMDeXzM+l3t7mRlNiLYEkvq6ReKzog+nbMHxNe6OYDkaQ7UIGnFZ6ObCRgUzYXnHfkLQ8oAF62Z91PAKJ1wigAllsDd3eAahM5kqRiB/Te3Vrb1RnneMMI9jJNYOpJwcBC3SMsCzS/w8uOYqPOtkt7cdEEod9bFlDPVWijIxuRrqLb8IHZZQgJobez0HRIkHgr2QXarpYRun8uBzjyOme1tZJr2dFUepVlbMmNcet3bYhGk7xmvauw0V2YDqI3bb+0e61/VW5WyYU1SkwqLr6mV9+lx01859MbPv53F2XG4dzAPZKDimuvveuzeJe7w4p3XbV+knjzVtYiyhiIHSOcEW5ha8Ng03G7q69lSf9UV7zvwfjlSUcRuGgyZzkyd3OTU/ZUiw5vTbm0TseILLcOMozfsnCrZa3kZz/gm9Ug1VJSXzkyV2xXvgCQeq3js469iADG9gdU5qSJ56v5x/0wV/vmX7wht9CI2QKp+eCihs1E7/CVSSv3Ws0MixEkGZ8sXeryfJoSWsUssKiaZ64bcXmTcdVgStHUy8x4hUHmuTcfBCossBib7HnUwtyzDPumoPukQEwKP8qNeTlFBK7Xh4lzjtoN/F4BlsLNSZXdCW6x/xBHSBKuymUS7V6aC+81fuBNw3HjLqm+cb6UtNqhpQN0+yi+sNLhkmdLP5Ef3HXMHQdeDyzDS3v5gq2f6gpNZF6kkv6qn73e1Gdc8Nf65He0HHiCpHQgGmAGf19zDg58mDVD8pc6B4MQxYAb/8HvVsVXHc1rGCbAMGCNNyEQQB/6nWy41evrvIgoZ8dG8iM28PpNpT9p/ya/zhWp9kiZG2ubvyXMErb9myo1kxwYaGpQ9A8Iw5mEAM0VOpMDenWYdFZ0QqKVMLtUn4EqQ57HdFJ/dey8/Rdtor84sxkXp6vKWeSTGRgGnRoQNd4K6VkrHutHpblkmcR9Q1rS7qdJuwe7iNo4sK3RYbRA9OCsV9R7EAvRYyr9tE4i0zYTpdgbNpbOxSGmIEpTSYBYlU7Wj06Hg13GRyfViFsvGnFg+fjSIda1I8tej3cqH9aqenfByjLqo0fOpqj5S2ZUn6fBPmtTIi/+htbc0Z3qsCcEH6UKTs6LnlKCC98AC8cXmCthEXtrWFzN7RYb1Yqs6LoSRjJIw9Ja/8+96eUOOpW665QFNUgpECigFWoeMFle1dFoJGy71m5vLiQSQLZ/4Bw5vnP+/wVci04t8/Kh35AdNK6rgYtUyikXHVjHD5YWWs69nfjHr98QZdy2vcQsO+oKGZUkUU6kE0GNFHPhP9g9RTQsJ9nKwRTtr3t3en2TLXiU5Wjoyq9D/pbloCXcZCb5iBzBnPO14NH4c/1yCEB2tnlgh9IGfUCCn+JFsTs7lVj8bIIud/Ml1Xa59REI1ffW2BeIF6/nr+O1i5dPoN1iA8LApmgwzKQvUqJr6qwraeYsrKY3SuZ32rHqIJymaCaoQb1OXSQKQo3enthlBJo4usCh05GGeWW/APfZEjgVaNfmzwd4IsYuHftWfaMnStSpA7AF95gLN6Ly03mHWiO2V8w9Nr1Lcy/lCqzrZmLY2ImLMWhMZAKOvwUBj5k4TBz4L243nhl+CqF8+559WR+0CWLeXQiI3sx9MmQTAx/5XlWdg3HDft92rYFxYpXJe7iCDp9qT9VFV5HbEzswRr95/DV0G/LVXw4fjPWuS2hCnKk0kxatBnC2+lEkruCXG8KScKY0klgny2MV6Tu7Kz+r6lclvPyDED7e7ERgjR/LAkzSMQWdr9/EATXCE5k30RoqZ7+0FAq+PwdhO28wP3lHUiyza/wKC/bPRSvNqyE0k7s11narUqfifFQ1uewJisheBo4WOPVasKaEY7CkxFpM2vZf/vf60XnSr5toJz1c1Ph6BNbK9Un+6ixiaoTO74XtEF4fGDn9LWdR8IWCmVnwMxS3gSB08jyaVz6Y9w090vS+KSu7Vp2DGyhxOAApU3YvzUTwOe+n4ltxj3pZZjmiXE8NKQiWaLvfoqZ9Pc1SWQwL4PR3aHeKfZNuRFMCKtpAh12Nnr/Dk9oS5Xum5SdfcQZXFrNLtBWS30DrlIy3Wz4tpcIF0K597vZGWXMjCec9uBKpMbJRqLZPEwneF5HuMvNOltpfaIZMn2rY8dP4cYjqAqaCWXugcRcxXpE5n9bTs8LFPO9do4bzz8BWgkiB7qoxNyVvacDRhWy2kjI6pv0mt8RPpVkn5imx5Pwq9X7c9j82vmYmcQuFFho8f1eP34Myta6fSEA8VmcJyqSb6wpZ0Z20tidOAKBo/fYzUrQ6wWHDJn6dMEMQbHS9+GrR/tc0n2EeMDuJHpQMpsyUdSHfZ8eH1f1wztzXu3/0jcHvcVV1TZmuwrjBQ+f0NzKCkWhkuj/e95j1MpzkxuLR3MhOcn1EUX4RYG+ai6oWlH7I54AbQlvspJdcNXJuDmUXELVPjdK/WWzLZeeHwMP1wCRPawO6Kj4Ok4C+Q7oR8hxLhoU0cHg9bTj0QVVjoE7QCkY6gduRCEX35+PvD8cLEm6j7BkjISFNmBnwsRFv5pd0oLhKI7F3Bz1kSwoEugUrI7/2A1frCx+d0cBGhGDroIyuBFyktsRV5J1XHOwB+OmLMmnKZI5S+u9tVcPNO7cmOy5NabdvqHJHVxEfVOY230t6uMlboQejT5OoJDTBGUzvSh7wEKbjHu6YhjP2Xw0+GqZHNTx20gGpSYyWPHoxHbMqIu041qAPTD3kBzSiz0lMSeUoPFe0LbvcfU5CugPabjq882fkTyTno/kr6jL6wqxTtxtFRgb26IMR5xjKDHhWACEhfMm1N/cZhzHe7nxuy0azo0YKsD14nOw2vs/lFQhcciBAoyxpmYrDtpG98MYYWjUrDawJ8XY75ygNUiYNgt4Jxs2oq3NNe2F+H1Uauowp6FdRxqwZmIZYJ7oMnj+FvAZH8n3udXMGH0qTFjnTtuKrTIYdYyaZBamG00Zwhmw06RbvTaCX0MTfKTYhYLp/9L6seCIN7Y1OBeyxOhlTrf3O076V0lUBkC6UZe9SxHktajqmWFEC8WerAdzErv/i4YB4+OENl/figqrTntpAAptUWdhstSm9S8pqBEkyS0PokNzXzbvFBKldJYvOpLjz1aRotgI95ui4pDPonGapv8cK/6U8vKjhWNrVApAztvrHI1UuuaofF6lE2wg1LNdMZuFrzcyBIZoZ48/aO/jJq07GyLL0iw1ZSxIEyNDFBoiL3sZ0zLsxDwSd33w1VGF2caiOxFUA8G4w+worzFcUUgm5EwzwxP3lIpDfVqN/5QoTO8E4C7QBGNRR32JxBVsuvaPiZtTah8hjlXFOHRwcT3WfAUuNbi7rsWeKFKlVsDfOX7BX0IVDXEzP3bvNEImYOk0V1MPU4ivKYQahGXabFa8CbRWQuHhYm45JKrH/fhL7qMOr/Fx8/dPQTdH1lBBA7d3exR7YP3RUE5mpD0sCHyakU2mVL+r90GSQGC9YTOcbuM5H5ydrUW1X4cuej+8UGYrxCzXuT5c2dekPLClNEs8XoPfJ0TKtgtOI5h5G158G0UTec013h+lfI672wgjg4OdrhayvWb7dQnaL60ECC/E3D2dO4Z300xsduuuOM6BpNKlJlkVJDgmgJgA1hZRcjgwDQR5B6FGXDF2/aE/YDrkKZG4Kn1KB8RT2kgJPBwm61/cLfffgOnWO2LGd8EILuO/32qDK17VJt5n1VxjsXiqU+h3CuuV3tMKysZDOVLsZIXyjvkmDXaM1rFsafPPyF9bwiK/c50t0DYvM+cVAFWfgUMDd3MURIHCAk5dLOzbBWNRZezEpAMP7D+KvuLjnPvu5qyCQzO/LHCiUvlIYqqvY2JQxvY83fB63Cjqq3uN4t9liRUxzwBw89O0W16h6Buz7HEi3agHmyHfCMiEopPkqlWOQZYXyaapGg97UoFTzfx/lsMmbzYDRLKS+g8z1dGu3ZBw1ZwxdYlYVA1z0aDwYmO46xXVDM12hxQl1C2hwHmCdQwScgAVmb6QtpV1xBvWNtdQpaw0OyGNa8OFKIEPJ3C2ku+1iFyjTQM39TgeWsCVcT06x08MLkggbrxjB3JNnDGe50RuYJ4+UVZek8UdGY9ktZWUEauwEK8qzS3CWMjTf7ysb9wTjFtUw8fToZup7PfywaXRHHTklkVNbB2C+IuzhbHLWQOvaePNcMgCjqf22PsWR5tQbgtCjc+nEtFm7TEUD/p78KkoiP+0xwdUcCpAZRP919lLasoJOCUBlCc53u1ewDUda9q5fY0t9jAlFuh8AoRzVbVKGXV6B48OPPzWyE/6naFAbIO7VKVxkF0AEKRXlEMZaujqqtfmaERzdKYGY1x0C5Qmla2u+E1yFdagFFItNVrohMv75///Id+9lN3FhUZE+jCApIgshKjQn9leU+of6ovJXYPnR5Ad4W45G3tQfIW+e0QmlF2n1SsfBfZJLHZM5fWcR4RYfB1gRooD3BBIl+0IpyzPi1eIxgKGjPlCKw4YwlAnnNeR3MinACWq56wsm/mk+AEoZ4h3RN3gJPfwFAn0Yh6N/cTBGJSZdDCrkGoCxbHbsXEmCC6SkQRchyTfeDOSDpBDWQjTcP1vCSpV4fFUDJUe41uOAOcmWpKlOOtTRJCGbOuc5JnjjLx9hKQ10WSQQNclI2ICks/BS7F2Evj3nHk5qDKnS//346FArsjn9bvJh7WPU1jpAwAU+PREWygfi7bjwm1JejFGVBBENgRwaHsxcTRkGjGQubGZFcnACzvZ3F0xJhmtL7U4X/i8sO3IqWgEaKjVfMrUY3C/qwngpRh6ifIOecXvHoK/HG+PN2+ttu/PZcrRm+8Tfc4CJr1bsEiKYKpSSpCsiZm73OnTrYmlqKtPFf+LMhKC/iLaee0wN7QbSLGQMEoCzOr+NwN5jK4nzgX9km1YDYVxZoxP+WC6dcVxjh8fJRzIzfHNQMXCHxpHEKsswn/z8fGByXpd2FnCOfe2pPbNHq20yO90jWkpLXptAp+5wfdxC+fKwdIeJ69k4tGLFxtinVLwG6See4aNHDcr8TjfCapV69Ki9NK99mLDNTYT2S3mJUpj42HgwpuXv1M67yLHOFeHYKw2nDPPPgG5KAit46hCCMDKXeaSB0rbPt5gOxAtMpdOpQi9Wr0VoLmkhgsH7melpPr+/hUgMc8pMVvH4UXCKwp4zOXgpqv5kzHfyupKr/mdGgzuGWK1AM22r0TigB7JZDjFE19StJXDEz2rDf3sdN5v1G+vw3lBiXtjV+RfDQsWJXU/czWj/tYFzhF/2Oc031LuQ0lx64OCGOS7rjSRTx83S0QgRwBLVCZUAPcY5V3Hvc45FYRXfA2a/vDwIX4gmrd4dLU3RzJNP6FWLxTnXEQF8Jq9lTzp7Dcd8+EaUve4K7NUfCAnsbUx6aOZxaEWG8KpCP2f8yQTlm/GHcP9qhqDzBk7X5vmPW53C9EVemfisj6PoqrfVbYdsTjdRmRS6X5hNCMNtywEWQ3iRp9Hferr723amvTnxSc94zfRSfZK14dXGehSTrZ/rf5pPKsrPrrjjcq+hurs5OK0raOiBh8zqeee6xXYlY+1oXlUIrMH8ZP2Ktzjln2MGeWdt5Vr+rOifQovCvVghlZJE0nquy/eWP1iLZ+9Mx3o/u8zIypvdcV51bTTprGk71USygTH2zNqD2bprDyfV+IYZW3EH7Iv6xfq/Wk6oDBm3t9wx9nWOiiHclBXulPzUGbKypIUlRfH3XyOm/ABsi8nrU7NvAxkea5GKlwQaZGnQB3VVlf70Ke6JKhn8/X1/PS6xc03FHxwEq3Mmq9EV24eEwYmGox7tqd8gK5KF8oLWLjUfizamXnnj3030Ujk96RH96bSLndJDzopk1QXbi/Dq6NJbo0qwD+VuG9Afo/IO56GH2/nGWL4Z7PDFHQ8io4+IE6GZhXtPcjtZ8so8SpZkWM0VQyPRmkJp/rX0hdors4x53nvdN/7oTEIbVDdtjm8G3olKauOjgVVbWxhfgsKKfuhV3kOw2Yv6c0ynBi7AUek6HfNHS7xAH7NxxtiikHM9X9XjS5MVYonIPjwfXAn7ToTTSATSnv74yfrnrHKW/QjNiKrI2Z5O3oCPNiV7RSWg8lTW61IEqlQx+CMXHSmhAgFTI04rwD+iYvXpsHQYujPxSY1UmXBa+BlVxUo+OV5c5t1bmKyVUJVCMTM9+RppDicexnmKDIXzxgeK00sga4gAHgyK8vE50hFqrchHw6JluzthWsWoBxMMdZck4oxDuF92bsv9Cqn+4ol9QRdQlNSjxyRT67pLbHyPyve3YPGX2Zv9ARB60zQemweGw1iVLgV2w0tv6RRWYhhnZOMpj6XgEP15wOA44xgVvd9F/K4ul893lVo9WdieyKv8IJJeaULNqcMiyT3vDyF1nSYSbyrGmxG1oS7VWDbSahO4rIka42XJohH3RLs11CzRG7lOCZcLmC2cuCMSydKBfr92kUH5TLgQF7Q0B/kfuM+YIOnAxbUVWgiVEvKW6b2PUrrnVl0TYvvhBPsRG+tyNQb9ibw8m7Psy3sye5nWra+ZazGwRfFLcG1d6W5izxYLLObykDhuRa51nB4gBWpgFa/9t+TaghY7EyaNtrQxNRXdv33m+NqDFQb33UhiDl6oSIGEEcJvLxsuWPK6Q8lP7G3NxODIXXDQmqlXJJcurKE3e4nCzlRE2vFcS1nH2g4xJu6ZEb7xFz+WfFxkthlgtxo8Ou/GDdNMBSob8/kzrCoxU9pfxMwOyu0VY5oqUJaipvcTTBKPdyXMQU7wEM5JawxLn/RNBMC5Iz1plTZuUmDFjhK8GXdmukQeH9CFF4SmlkZX3B8G1D9F6trRkojD37D1q9SCrxERF/vwDkW8duRFP5C+jvF9WFkzgB3JxRl4O8KiKNWJ0ulo7Paxh1SaksKFXcTndeF6F4aTYWCpfy1pK7HdI2sIN5OKutZ0MGA5xNkppNoJhfH7xIp3A56QI/DtX7EsLPBenOU1Mq7cHCZt53kwS9vvmsWdqBgj1+uy9R4EBveFfvcudBRqXjJd8P84mueIE0kzMSlsS8G8PgNJxgLk35l5UPLoPtgPdHNqmap6yj6vwp7BXvZRa1cFEvl261CO4RabQ6mh7CMFX78IiqfyuqdXD3UPYKI07E3hpRzgzSF2z/Sm0UyufnNqZmpvlQYQFrnov/42LcoMr98qwbfDfnXHC1VlE6dUgA6OJU930fx7B8Wj8XF4iG4XxG5m54okBt8twHbmdDPMXkX4OIKyjiO4OPVlZk1WahL6pNfzwaiHVmiwlPrAjaxZNHszxfPAlC4TZ7buVkShgt77QXnTKDzSFNnNU7xsWWP88EtJoUiw61NW6DlQs/yezjZKG5HpecJXdNg1oZ8icudo+zL5AQZybb7kcOhX32uaq58FzLOXR1J0d9sfT5MFxFyPq6hV+cOwy8ZRX3qMmdClPyPoraKVGbMZLzWFf0/tryih0viR8EoCL5vnehZKMExzMWXOO7wFPWbeLiTYzpYXVQDI1R9BM7cMNo5a25OdVJz8WE9ZW0d5gvyT7P7krkNDWKJ0kitTMiafImRYf6SkayH0anOTvITB5WKorYy1QaKJdhz5Zd24dMVdazdsq9JiTpAEk6Du5cpm0T0zVpaWqi6D5yY7vQ4JirDoj4b7+covwK9ENQzOIyM4FWxM3KMphprtfaKT1MpFr52WOpy68QAYQFWx3QWJ5dUdrseLSVokMy0dAilOvlo+OqvFJ2W21jIh4N1dY+qviaEwLZMUu+3rg01J551A7TmbN2oZwXkbAFCB0kmePWRfrNi8ilMKwhiyf6W8rC0kj6C5PmqeV8nKM+vIMTX5Da+s6fF7KA5QqYpOorI/L/95nNjfWQ06lqEGomBW3PsmOyTbrsh2E8BPUp+Lw0mfklLQO3oKS7JCW9iupGSn1BoktcXvjhpAYdmZy1YyiZ+VRMEpcw07GTegVIWb+9HNAqKXIfWxIYZnaZoAtUem9JZR9FxHwAuKdW0f7N8aG2p+I93TQTCAUOd1WLpgK5/uxXRNO0UZRmWbDStFoL4PR7AH0RUjLb1vCSZy/Omo8gzFPed0R4mzGodKoX3Fdn0symksLz5H6K25AP1hTbd+weqrkfXzDroB4hg/UKCmoqiDH5TDn8jW4Ezvs2liggzBVEN71CuVoGaRsHBdqUuqysufv2AGbeh0S5W60WuIms7v35B/5Bl9zPSBGGJKbR6IMgs0hA9sJdkTQtdMUUH76C+x7ErqeySIE+CIRUDRH7NYVrpxj7WyBWPhZ/avHwL6t8zgfSyToNSupJZ08plhljX9jZtGGdxY5PkIq8GRZZE/p7CxkgGh4mb4Ou2bUlmu3adc8BwKtKpoguRBvfJGdP/xM69Y9GVKLNyLZGodiCj9QZMxCxc+YU8H6q4h4WwV2d16Sf2x/iZe7eGHx7FeeA4mRa0mI/4sTRGZdlAXacuutxkYaUQl6rMHxEzO4ZnQteDo7kv+xodQ/ERhqhTi3IAMCvlIhOsfAZ5P+/eyaNQxVJw+Nu+2jCF7ETH05d9/zQ9q/2jRz0QS4bEnWFGPOi+H2qw6uOczB1b+qUnVAmX9XNnty2LTR9drE8pOf48I7/HaPp1utqcR/eQJhKq5JfpmrkbUAs1/wv+508jLt5awA5reRhiUSCuKPGvomvCj1Q1+OitWpMFkhNtxGAnhB3Cq5YXR3K7re4NiPxSi9eDxR+Y+IItMpwpaDqS8JTPtvvesWEovJWr/DUMBZHor3zZSCo+6gr8t3J5TtKCDRIGJQpLffB6jWic3wd8d/RK1VmRope4Gopj/qQZJZUlib0Na0E6emdsf8/NJnWzSVnMPPGye7tWaFN4qPn7mEFwLfyGVLRQ65Gc5g0J/hGyxHEa5j9kVXcmOhQ7AH4jIcT1r1/G5RI1/6JD6jjbtb26j5feubI91J8+Vs8WOKgXDzzJBFC/hv0WSuVqwhL+zPP6+p6yYG7xtI6TRiJ0uv4Z+M85myDrMiOASjdx52CDJVZgJly3Y51gzYG/yGlNolgAFj5/lAKaBSJLaCyxFNB3w6cK4vD0oftcW9t19RWNABedQXk/DY3gNfyLGQqlZq71NojUGIhIqTrWasH7gPlW2/o810AhPajmtekhHyz7jOxttfQZTCwEAsEIgsRqFbKs7zUFFxi4/JeaExsm+UxDQfcbKAapQ4QAKWPcIe2SLr51+CbC8bY6TR5DZpQfDDMXbdBUGDOUsCiRNCuxivef09zzo92QlAA46Ceu9vpNRkX7ezVv977zTBRLYtzk2M186q+hv59D6nxcpSUpin2hpsEZ5V3Ts7BgnATgvfhCOZkbZS3ARqjaJyezuFA2UGTCSFSb9Q7sWCUKS8Yancpk5BxGzCYIcGAx17nseiTs+jRNARGBof2nAB6fd7b8xKkVP1goGaX+rH2b9naMpsmjXrvdnIZGiW8tGy+xO0eeXeGQBPy/zJqR/PY8Ky3pNFd6UQCvZEkz6UnKQ3TXy2hXdFSCryaEe7zJxt8zXsWba6m1mXDqAHO2uBV6JXFC2MRG4rFpAJATjJUvvHTAYlyZ6gIsmlYQ30HOsdr9UTM3mc6VyIU/U5f4MAr9XIm414Mtpvr67IG/+iziOw5zevtde6m0Up6n2sZlgoZGkLbXSGKd9nbytAw70aBs4oUu4lSu+4uq1EwKq6e5uyuVtPhcWrllUSJbksSSNyrVCAZiil6nkJqo8XC3gU26Ntaeh7X/db2vvWjXJDignFCNAgu1IBgDjiNuRvY0wvU9g+yne6qh/gMnJueRr974w1ePH+IAGivHqMlKU2EM9B3GYrzO6Rl8MyVunBkXXIW9Snl1i/aqcg6dr6S3TCY9uvGA9XqyCs2B52A3vpzRMrfn/KJrRCioOoZJvvcK/L/eS1QMeFC2DmtcQaY0sYu5KreEGSmmRKX/067ZlRUrt2+Y9BvjXAo1Y0ANBOeIsgeWvaomc5/7sxHed6+xK+dI2Yt074kXUAb2vCj363jS0XGdj6bFhx/yFbICe3DmjsGepRVHhZus+fF6AYuT/rU8hxs3ghKBdjFgEiM+ZCNl2IJKdmAKmxPd+bya+W88i7Wqm9AIw4bubIbE2dAeYfAw0rQtpP+imLhpQs/8A6BMHMwC55a46hTEaqQ2DsiIVXI8JviYvhZfozWZ7ypTu5C1gYk4oIYM/sxN8m1+mj6eLZPcMz+LYTkJ2lyw+08Ir/KIep5L0EUKWJG/9H/el5qIZHZ4LRItk/l9J1lW9yx5sutHyd9+OB8guS4n/2zJTRzX6M8zxTIY+/98kJgznFJU5x09WAG2s0a9U0GiyM0qwH5sPA+RNaW/DLBNfFF4tMEOud9QgvEmtSrpOGVSCMvjZaYk5vzKVNOu6qtHXor4qjz4oy/5X91Qce03Uxml3t5u3qZqHyDrJSNKRhy0ojYJQ7GOFsnLkoKC0F8kUJflRxoHoIinw6pXkJFK55vTzphmkT4CiCtUX4EMRjGd2YoOmWq39AfkH7jXq0MNE6ro+0NbT/Wcsop2YgSYsUGmwzKVwn+6X02MWvcTkYAtU5i5DHy1iepG5DbmicMHXJqAPWna3oSz8NVO/POVqYD+rapQB0QgGJTpukDfntMRqAugbhxcaHKvjXuJY9tBkj73V7yPgwzsNORKaxZLS1ypfYsotPrSjRWcEZRUmPZ21copGTzpPaUcb3OnUZs6Eyc7BsAyTgkz6ocWS63PsXHTYjVjrrV/YZ6UPw93ng3NuyrejvlcYjYZm1hGiJYQ3bPl8x2LVmUu9MhVrpK9uV54xPGAKCJlMYzexEuwBAnkdsj5b0XhP911yR5FCEM/+sRPqO+O2qMarf4LHoDH0CquCQgHIFoIHp2F3JoGZpWxYzl4+RaIKmxRKEDjVU8lXFd1JVzaUiDM/rymFHB1xLs3kgoLxYUGjyQXVO1HFFzJMmdbWSiy/U63vPODCd+84+25q2sKnYy54v8iHaFbwBPk1XW22AZoWZmW04qmNQOx0Z60IQjHIbgMEm/Kef+dBF5z4wcVbT53XUPZ6azgOfuKCiKPBbQqwqbThG7baa7ajpkyW+tJmRI021NGC/6avjYPUdqTP9ARgkS7SlOZWQOncxP/4YP1Tw+t9hi7ne7DqSG7egbQc05CiAE8UKaZ/jgvePiV2r4xv7edcv9KRo2V7zPsyWcStHSxjDbLA/icb5Ec2LYqEueZ3qPsE43Sq226512Z1Ivnpe0oUZ3OrVubwGBJfvFJTtrJffvm11qogdXevciNh8degNsollq2LpABsHm30D2mp2RnJc5OW5gBwoig3HO8QC+vX+9JcE+29MOBk4kzdtEpvL5H4Ujg66jtD2dLE+zzm/+QngTAkNm/Dx/8VcAHovkTi5GRTUIDVzvZrgXoD4Y9PElx4vm1oGOD1ePGkS0BKbyDrAcoVfSJTVUEz27LxG9ORx7aqvPkkrU8Z8nxUnnT+6pfrspFSiqe/jLgUkeWLQa4CC7692xlA0ojOqGpJFuE4hle0tQrheoQ+BvKKnVr1K73NCjI3wg84InlEzIJWtNDkjo6SwdrPLnC6aGH0ZXp2uWZvlQyp5ZxB3mR6Z/7pFSAaBqNT8L/VbdsXVlZX+nzf0vQTtBQwja1/v68d6QgCZZ3mmFkGRNlBaCGWOw5R/cBv+vAMsRxL6hW3vH7CFmljVeqe4j1tWMooCc0TQE66vLR9N2dJSGiborTqmRuo1FAOFEJvOvJQwSemo8PzreVSQo+0j8lacKC+cIx0M6IrCU7PTfzD/0Sry6eJFqS8XzyfaDmJhrXefpHi2n+MoMj5KUUwaiat2l3p2tt2GI0w+0blL0aXitLYzOf23wq29+pgfnkQFtGoEW6gLdUzHLb1O4fC2KP2EZ3Y+hC/L9YEFKA1J4liWwpYynf+t7zwg2qsIsE4Gd5IeVWBI77w331SL6VBO5+pSkJGa67jDw+EPNkMFwdC0osFldgivsMyiJf/PFtjGsHQM9OgW8qaZy92Jw69B40gWZ4uDTkdQy7et3fbyTLVAvnmUjI/tEbExeGtclDhSgDTQVG+6KrAdmHuaCXAZfAk9IXASthMMxrbX0uoTKE1k7TKABBKdWWjUVSCoDYZngxtpvFtX5sn2JxYGmF7K+MQN1R19UZe1WejJmQ3O2HfP6GjgFilFnDGBiKyZFtNFevu7rGHPVM5hXoEAaSmIY7CoodR5xMCdnCPM6qkFNRn7nHXumtLcKjjEFjEGoqi/j6hktWMAnEKH2dBliCjCEuVgrnf54N0EgxCqPIO5865HBZUQKYpxUs6PFVEZj/cZtjsXLxkFasl1RRFqSaNSjh/qvzCsHtwGbxGAghLEGJ4hSSQ57fWb1mR06NiqF9DvPVnofjyCGP/uuM0aS2QC42F6DHZaOGrN15aHUkCL4idJDIKMLo5VlGJ/yQWDsZmYPSRylZ8ma1Nx+lH2GxzSpW/t1A09HzZqsUFBMLr1tuXtiAj+CF61IFWMEm27h5m3Z9qyj1PecxenwnRnwG6p+vYLs4CzGk9ieRPXuDr0+SSoxwyCnW9JysA5pU7fstBkZ7HAYqmc9oQprKODrHMAVZULjiFtcn7fmaqkRKsDmVq0e4CVl2BPxf687rZWs/JSBwtO2IIHpLAetynl/xRUJlIHcz0RjZ+fjP+D6c/GFysq8hCpCzUXI9TD2UHv2znAkZWnNlm09XkpkqxOnPbPn55Urtl3URpsuptgWnClICHbU8JoptJIae+rw8gL5G/lh6ByHRk1HRq90vBKmzDZs4VwdCmHKH007qAQ4LkDcqeQc1MhOq46z61+ssQCDk19bEQQl+MdX0BeKvc/XKEiIQNqVagnsxwaCg3aix2nDVzE2Ts9bRnbHXAMDVyIt7su+r5BQ9a4otGsGtHFUz4TBlROeYjtlMlOq9q05c/A1XdE8kvHRHYR8VP55dDzG4RDqHGdfWsxQ/zjZnvYz/FmBAioKaN0RuTjyFaMXlX6aklbNLiwltifYLgXFCB/suy0NvF0EpKNyKyomnboociF1AhLdtpuzO6uNXo/2q1VNaakqWwVLee4Uu2egLTlGaOSOSH2ZWNM5SfDknKn4MpGDh8y6fQZI2IkgPYjTqH7+hJXIED/hbvL2ci/TpNkhROxbE4LkAeaZCxqTpIPrYAbn7ghAywTyqmnay/WXoJcvpu2Vh+tGYoRtiICezYd9vijYXGCdoN0Jf/mdKT80PwXD2zBxloFVigya5JjzpazbuhmPzxgBVzH+jdrLPJ/xX/gQcCXKGTz+UL9OfFPd5FyGelRc1mdXU2fzIHEfZX61jXCYd51Ipsh0r4wSflv1vJ7DbGe+PuNOwTbXHOuT56AxqjEL5UnUMaQ3gpv2NOR5LSCv/bwSfdo6mfnRNblWuuKi3nNFtZPo3KzpBlLBKaakXc6AWlBHfno2q+WvCTMC8xCjuTJ20o1JvotUWLFHexzMsTg/vvbFUxSy8+LXmc6b+6rTAC3GqMKt4NEAgIjPS8hOt7ob3LSXWPgBVlL3Ya6XsJZhROJx8gAk8QOlfVLN4TWcJpPO6720PNtGt2zV16NqKue6aXidklk6/kVUGVsQ3tHpelAHlxx5J9B8mC7UCIYy+eC+oMs8RBAQyi+GOOfTNoJU5dRH6gpH6Uewftw4vbvKJ/2lXhePo3pbDcbEvONYbJSNvBBtrwozXLZ6mjNdyvQ9tsAjzIW9CyVrLaC6XNjt+YVn0f2ELvqnRQNFxjHZs5oXhax3qIY/3eN6bnHXVzIgraGc9sZH0oiXRO2KyY4aWuaE75ZoRugeIVpNFd6yYQ2GpX5+L1IV0GEAJ83jY2ztgAZ1TJMB25Emam7d+VOGvahbrBYzKiWLF7hy6pZr7PzfdIAgJCHWa3L2TkvbsBDjSS7OHsyTYkShoXeL9yx2YBteUuLXAP1Us+3kO4Ty3rFLbtykvjqu3eLdxaU+vonRiuXHqFL04oSYyX+TqFxB7uO/uL+NL7W8c4GTX6HDiAJZibsqDa4nvvKJcdwY0ZgRt8gdhDOPGVS9Ek0sIsQv6otgwxWkfi6IP2R6IdntBdjqn/wriiAqSfiZD44hYUywWabQLN5xi+EqQy9/IPrOwksR+eX5gtrQJrm8o95z+sqsOttsE/ElRCrnifr30sxlTsivdblNMUBcCeW6p7pcgSPOkwHWZ7h2yoW0eIFOGge2ensqaqKTKf0xKTpMCRrpJOXJE2n5RXHVCbNsPNIRPfndlHYwu0DzUudAxjs3MTweNVZb/HBRTz+Ld1qIlBUwXkOkOb6n1unfI1b2y7nurtjyr8TsdRfJ9mL5bey3YDAwE5A7KJEubgvQCsvn1mifkV8T5NNzilXLUlZVa+FXhLTxziJDz79rfNz//3cretBNvlmqJu6POdlOFxIRY1FYt2bccnD3Et+fn7tRl8WoBIr3PAhdXM+eCdIupobrhmvA4yORf7fFNG9fBOp6w5TRSNy0cCjTXN8YIv3YQTVNVamCLYNC4uJKIItMWptmUhBUmiwbdNcdI/DgMrBfl8vB9qOZPnVLryL0pdwzTVL12AtA4V3mRKkcSJl+4mr3TW6UYdlhkMZLIQnqX8WofJ2XQvTLw4A+ar8i4V4LuOgu3jixtOJfzeue8i/W4jKngcec7Z1+y8nqyfsOJiXKEWBnybKAyyr/Z/Siyp9pLFbVgUMesa0ldKkgyN4PwHzQY3dkTp5FpeJ/i+0N4n3KWUg9adJX3AN57ZVIDi1I4w7lFip0gNKEYlfpVQkdurenq56tfb7fG+Cs/jR81dfdW4ZuqbDK5hpFqG5zJMgWxAi+JyJ90zPaaieX1bKvbjdzIqKEEiflwxu50uVILuNMyEFiUCVYomdu05w2AegtwNsZuQ/ufOPsrp8uyFuASWmDqlVt3kKFoPQiKSWKfXYaUXvpGWAwgXITlTZCGziGJD1158epZd4u7KmZVo+5nglILrqnq9J2ehupsHpqZlDt2K7HOvbkjqINhZX/9KqvexnNs1pyoWjMDgq2Tf9qHIrTAvai78kXHE559aW1/rd0SZoTUQjtIeKjqearUZmOPASi29x0VVtivb91uREgrwevypXF54yQNR66iisc5UpVjTCsHNT9yLIjB6p2MNe4A4lOyPcw/yRlLkC1G4scO14zayRiILoyexsyL5PZ8X2ii29/MEKFoxovWv+DyOVtIvo55NA2zUkG/HMLwA9d4JFcA1JXnm1aFsw94unCbn3aJvGS/YhR1pDE+MTAOxzcBiMdn5AYvbQz/zDeBzc7MLgRZNJvWFUxG2U955tNzSylosJaJVtV0nbp3mrjtUYhurAdlFFMOB0Z1XKg3Css6+TRNUNBzEbK1mkRgZeUXWftEQDgUmR/pCRXFC0chALsZb2ObysolO8eqZ90o2IAFOQiozNjZCSUguCyMVHlQK2aVXaxeyeyRpzcxFczzUJmX2cf20oP7gNbrhRoX3HHp9NcM9AjBWqnpApaRbq+kTxS1jZ/Xnu36oDwz6Hw+hSP5Oz/RfiumNIWJBBEi20T9PDyQWKtyzNJ2eqpgsu7wrax0tDfUsXNHKL3MSSORVKetO5LAcoLCTjxYDf+dxKQSzSfO7qFEwnKfLKCALWVKGb9hBVJ1o2IGzAzR9z4ju9A1LzInpBXdQLrFCXTACYpONFxPZAj0N0vRUS/nDUkFFNDrMd6+Oir5moL0CDA7KBN3y2I5AIuekz1p2fMR/kjh3++qYOrYqNlRD1x/TuhIswlXabFAJeszoQkbZ+ub43/n2pc0KreVYzjAeo5o+Sfjy9ItmvheLBiG94781e0rm6Wx+cN2yU7DfkZv/qKzxK2ikUzGNL0BX9JQHZoLBi6jh8ZEkzN6+aRbRHBqbObFACAurM0l7l4Ia2Ipc77ME1yL23q3SMMaqEK8/6knR9h9pkjT7BUNfg7e2TggflLLvLWcv07er8TmlmlKJ+IMl3aAiC0VHuGzrSpp+7om6M4kZyDJECWUejV3/kzKGJpcmeZ1DlwBfNvdIhNh7XBF1x3ojPtq5Nt2/LXUexM7Fh8tuJsalACgsuTH/OX6G1fdl367Kn1zZilIdmAF30A4CM/4NBoxQD/qLzTQC6Btogw9tzuyzN1aSkvq+fLVSSA1/q5Ivsx5X38EOY02Q8w9+dZ3Wp7T9QQcPzlM4Pg4XXe5HQBgZVdHFEWzaSWDRplPjnpCRDgdbX5of4l/ysd+fLjjKCRUHhzQB/8ZpkpaguAIBVGdmRqFx9EcfdRS6LeP93EYD7G8hyzWqOYfXf5mJCv4DbbYDLo9loxpVNibTL12NzvpTu11kmMYacgDfHuYDJ6w4JHpvZuui4XsU8FZgq2pFc1AE5a0EDE5lUyFMOGzhMz5GziHR085FU8CZ9ZMVz4EOufC/1ghey6FEIZvbNpLMgVL/MeDV6B/3sbRDjbNiHxHATYMz1A1J47lH53AQKmpKQxmWtdUR6ZsENt/y/vmInP7nwEc99eIySj3T7D8a/qVpBoH2iWo86mbwuJj6/UVOa7G6RKSS0DBCD+D+OsKwjgFuJkaFy+JY/ZI17WLogGExBz5l5HdCKB+7VbL6dPLye8N44wIgBsw0a7q8/qV5+njtu/cJ4Ibvpb8F5pkIk4KLfS69cX2rHjBJWNI5yXoO3Tsp8lupN/3gbDpkqURlrzGd1lSseYiXff6K6svBwQ9ZrteaJqS8s0uiJXzuChwJg6/5ufYqyYkmQjqPuUPaZmw4gHHilWvUa2yDEoG18N21fJKxirOQDh06BAtSnrX/0Y4IqOmlpUNbt6gXOsOndxnnKOBnuAsUGmwtfg8gDM1Hs53+w58kgH9971QDn4zzShEPqt+Bo6XeI8neiYMawimjUZOC9QS+vuin0L6BByYQlgHTWhIScuXI00JFgWXxBw3SWOloMRLuwO9vC7Oto44waFoN1KSfXPaiAW0D8Mr9eKGAo2B/y1XHTldpZyMe15MsyjPKkC9TUiVlFdfyLljF5/vGNMBzpD9KJ+4Jat9HFilQMsFt6AtxSTY/t4MNyfs+Fb/yEmfG8j9E+KfZLNwuI0fMHM/3jaJbiOptjALJz0s1x6NPFvtScjtxqV74X95kEsL67/pGUkC41YPZ+LvwyQVKf6ex0UOYvZj/zaqeEJ9grTsdyOAGruW9W1/GA7Elr/NSnZLMtjHFzRsYjZ5cJgudBkQkpOr874l15rmys+9KSGU3b7GyG7MFQKm9mCnoiqZr3hhR/1DaNH5vhaAqrEbt24ODJECNwX1sy3QJmomVMOp0hglxh2C8vZQI3Si3fSb0uIdC2CZaxQnibzzP3ivZYYvMB+vcf/JUPPBU+EoZxvcJ/BaPYcVcUR+ukTZy6iezozu3ybDEgRpWswTiKBJrUjCKP/gp1HBl2XEoT/DhB8tP4fkpBabwxO3veK7JIMM/pVi5cXKFcnM2PihDJZQVAkTv3CzEC/nZbSl3CDsWNR513ITe3beAywVfHgASWY2CTsSH5NBn1kTaajERQ1ujrvwA0UKyseLPnFnO18TaGVNGq8/S1BLVe76JZNhW+EMq1w44vrSiCf7ttpAQvMdbrUxH05arFxFqpdU9ydo5SB4jXyHD40iTw0b7FnFp6dz5BoRiLfnCojwdF95+Jgse83fzD9loxYZtlYnJp860auh9UX7goopsjfrlxa5R1WnIfY5bh68JcrZo9lRQday/RwgKIJFJoi6CD6N1xS+R776ZyIW+S3wcsBfZOjZjBOrWv5+L+C2k07HhPeX05k0CAm/ajsnYWv7/kZzIgRpqc22qDq2SCgctecRfZtds3IzT7rEdnsU/TGDpIPPeVn4CcP83s2EajfJh4sMbaRVauVo1O3CrpjmGVGFuAj6T7Vt5HHt2FgFRDtYjNr1yynLXp2jtX/pHCmZJT/Djdg0t6cP4jeK6QY996AGWR5vcXzASEH71W4X3am1PuhoNrMB7rBnXSQ1cY4d3jllZ1XLCxUHca1yJw9HnffeVnQvg8nM1LxDx3iS1V6YZzDrG7zGW/bDfH6cZ+WgRmybnVukZORUaFRRf+waJWxQIw/ZiJVdUwJh3Y25FZ9u6uJL1aGPUjKbA14qfIbgZzitzLMv+3OPCxxkY/0tuCOV26OVobi0bOQRlKOjkV+NYzO26EmpM6nRe/Tn12Y3UGilUTx14pc4WxIGMGNjED7wKmyW60tJPV4WTdw+Y3hggJ4L7o6QCzc0NBl7LUlZ1/x1DehXxr/56v8pWG1BMYlnoAxwq/aFhypqSTJPUEYIZLYlUfN6ImlSGBLbMY+X/c3xJ9UJ5zLMJ5b8IPqJLn7wRFYJveO5+a4C7tEV+EiUmeKM/LD9s1fpoJa45TLdAnSBthrJFjJxckYNi44GHA0W1Xk1rCX1AL7Mq7/WQlippyYLXy3Mer+39ZboBWcDHS+Bi1oMPbP5WBINnKtJCtsb54wSIE50Tb3RZFuSLnUM01Tu/ceF//ZH5QesOsgUyGr3jGHLoUPVOf0cHwQhueNT7MyJjzLB/kfr833lGZfD8nPP8HnFxgZisXRruysb/nYyw/xvPr+A463K7YWmrNKqwR5PSqHA2QrIEKzqx8o/QxNgNGeSzFyBOscAA+OSNGOnKSU9+HPunh2v97UghtxZ9mKo0mdNq2SLUWJclxapeaR33yGgorLjScaOqc0JQsEqJy7VaefH0aaJXnwa0BiTM29f0LRgHWVuYodyNvpyi713pO/2AocHvY1+2sKWovpkbtrJ4FLwElHFAmz3CuaEmEKoOJdWfXR9+OCUSihTVz+JaKsSlhpzfulzDmeqQXQmMhfEfM7wPE70phZhxs5wrI8wRDuO8+YGQRHMJR3T2f6WMsg9WzOyByqzW0N13W16GJa0uHs8rJ+tvTsVpkfE3RyAyWbOd5fMCHpSiCilpn4R7frDGr1t2KUjBaU4LAriPv4iJ7qWCQ622jze5cgY2NCGyoyacQMGFjjBLEMxY/oQdUaS1ebs1E8eqF/4NA5VGNztMiR0sAVQkykxt3cLOaOXbFKmRhwxBlNvHYDWTPzPcRko1hLdbaYtrc0j1Vyr/mSK7naTfTD2ZiUsu3TJ7IJymwkh51Z1bTc6LbrFjBr7jUO8VUyjgUFg8YRv+qQVwWc00NnDi6IM0lw9RdrMXsBsofjZrplUPDCtBkhcDDeDV6qHUrZa3Wee0sbT1o9Ns/SzDDH1l00DGPbws1dCYTg8DwJ8EJdGr/F498pJhuvWz5jx8Uq3Va1jJ5/QQSa9HPX1krkx+cJ911u1W6xrZdFep+hbrDeWA6BUi3rr67dC1YE6RCY09VMB0Y3gd44pvWEF+x+ow2ltTG21bz1vjSK5OCX90LG3ElH4AbYlZiii3Y3uFSejwPUhbW1Otbyz/p5ypR+X5NY+zqE9RbLYGjDHX/Ab7DQvh7Bqbwrs0GRAkkEPsXgWekeJ/69xEMi0lEv9ScW/JhwtXAo+udxJMkqTsUoJOja4WSSlM8O+41qS/Z6KtboJuqvo9vSrgz+b0l5LOSOzS5LzJVN1mkgemufTOuQ+paYOfscEYwaospwMkYJoQ0eDQquS9/yUW9usGZnJF6aATgHJmFhrVfQIjF6OK2jLD9XqcdqoNJOZoDM0/fAXKRvmOrrYZ4DtDVm3wgjbrKPzmLK8AOcJdUhMX93YKDwHS6M/hsWVSXEjrRQO5HhT5yzR1Fq/L41d8yt9aEV+WgmIXZFQi2Wq0w2P0cNhf4iLbZloJ2VmD8RPYGg+kjm5GzKwoXj/5kcDqfoJZD85qvDw1AROBJhi1IGHoRPgsjr+qH7k7HiKIVk6E5QBQQvKtGAKyUT5ejeJOKGpIFJUnIncofg1dBS6MrKx0SBnfQmQZDBfTW5Gj5WAbBnkq5xqF72v0Gna9VLIIAnNG//KvEglNHT7xeEoQHhKosd4NoKUHpQ089VaL23204a5dOoBcFyDHb2U7oJJfn+zE4edm1l2HqYPiLCsJGnrHcJTzdbqYuYEKl2b1e8BgjTHfjJ5fJsW5zsugW+Xp0q6N1HwVnuEmiSWj5EpxzXcf6grA1J/yBP/1dF2k9Q3xW9dONUBNSf091wfrocLwYDXFivQx0K9pqHDrp/x6hmlyplJNTzwviNsK8jVFFMQRw8YV6vHzHCg2ZqlEEQ3nzDHaD7TKJrV/eoRD9+S6gdvo3iNiMokPExI2VWOdT4bAmQoYGHiVRqw5zXE+Tcf9nR40ap17ionWmeYNh8aJz5ArVHSenpMiMqoivUPgZ/RWW9Cnq1foNJu3f8y4t+sr685M9z8rqvEiUa/+VGYxb74kX/wPnLPcmk2yLatLG5vZs7QgYVYd92WJnfQ3bBleHFqW7jWj/RpfLK9hJKyuYwGjSjYgKJhHxltvWf0TiBKAlS562iVuAu92f0CxhvFXRCx8Rbk/wzEf6h0+haioNO1E84AhPFkPGyU89Pnh63h4cTY/1++VvNaa+UQLygyXwl4oecceXXPPG7IagBasg1OqmL1wkAX4wXv6BZoIP6cj1jq1/SUxGh2PWHLKmEpA85qaaLVM6C5sdNP4V+5jwIuFopV64vXaT1oS9f5Fi8S5/zmzRMYMVrkIItft7sRJQ1c+Ost95YdnmevaPBDdVAxqn8HE6l05MA6GihqIuBmhrEGsxjAzByqDLbgg8TmH5zOsVMVGX/8AJThjN+AZ73m9WkJjGEqGVfDvgSissidfeYohs/PUKNw9I3hHwk0GoLQVWzN7PPyd0Y97URqs8H1tsFeH0ZYh4eCaNKBBdWX7V37KeGpboNE74R0GR5e3TFKUJzjrZFtXEKoqMkqKSgPk1edLrXqKuTTriyJbnryU6x00BRgqz7RQ7k/OhkRU3mM1MYdXBPGpFXT4TvcxQSNwsDWKyimJqwcjv22gue9qrJlvV+Vy/5t8uMIc4/s0SVgGR5xqYpzok/RiyDei4BnF/YCJXJmHtbDlQT5nU7rOfRm1GQ2rw03+HUC8EGTtdjeEbpVnR/MHTaHhhkBmpaEpUjQeZULGAun0f+Co9mApKdBGdQUp67YUBznK9NKfyIcISacNp0wEtp/6k0HVf63b0DMxU5b/J7wZEOVorevo0of9uKlBrg3qLRVkCUre688jD5iJ7zrzGmlc4TRMmU0XW4lUeuOZno/QpoujWFw/47Ft/G5DzfE5f+w5BwuSLNuIU0FkVH/geJBNeqsAzdu6C3SaBYUrXhxROGncOzy3+yZ+GWcJdz8lXV+1gtzAcNzFf9kmlD/2ag/Hi3D7Dt7JxkPf7sJpo0yLjgBF1WUmNpBa24H6Z6e4l0+bJUSROgPJx22B8ALR992xlDWaKV2KCa4L8hi6mtPztmUP8XejZDodjY9oWWROZBtNubtk4F6NWOm1p43QVLFSGMYrs268lCOwoa2+TSWZZIUPOuIl+d3WuJdTfcoOQb9FecVU8PLHxRucZjEWbqYUv1Z8xzj1qDvE0BSCak3NF2GyxOl3vyraNat+RHiGZ1QbbdI6EejRm8dRJCOqdKGN7AxLIRlEmyY2lAtznB8lq5TPe3up1F7r7gVmbMjFchb6XfSj1EDwvwaKVgH9dvS9qQfx9s1dRgzNniN/B2laB2oOfZpooXwhCpObDH3P8xaZxVL7bamSXvdm86MlyOhLWuGuJwD5+mANLd7YskDSVx8MqlkvkT/AKO03Nz8FUcgFROBwyHwQeGwFN/k/5cvSoT1zrmUTyWOnopYj4J80Xb59wnaY81LQcmPRSqg+JkghwvqHonIbHA5GzlpjGbQu/HLLyANbWAZ4iaHyYRGYlC2nEduO8bU2wKVAznJV65S68ALCpHWjEOx6uqopD2z783GITJFQMTonsea3WSdfKHcaukKkPW7Vow2ZCYuv5yCPyI7Irg6geUcUcMnf3Soce3LTtTRpbOORq2hCe62hwOdmNbbSTtXcDOt2YC6Kk+/a0pgE/9Qf9HGfQ/8YmgndeUanUdVRyqu2d+Zzeh9/Ep9ty5DCR5ql+P0cGKoIgfNFHt4sCdGNVMZ7cbQZ4FjWWZ7ErlyygfvYKPiBXndUaBHWiJm5PSTKko+/xO00yznF49+k8ctu1IaScamXXZjpu4Qda8GwCNuBiAHkuNzrlIZjYAE453IM3kQygcZtzCkMVig4MQDEMZJEm64pTy+F7tcbINAL7Q6TgxfIHiANDCwa/xnvqSG/Exjr5ibxjpg8hrEHqYybzbTevAe1VZcNt1ogXVMw4T531Fuz3xs28zZiOtNy5lBkVMAbfaL1r0O9w+IRxeunHdIyWbf3ANFX22sBuVo2m75je8vYRk2DUWrZ3UMzxWosptqTzZg1Dg4nkNc0yQy/2kwBhwwSrpTwBguLZ+y42OmE7XcBZZUo2iPc/R5ekrARbR86Dv7AVhg4I3qijjZrbhVs1bxRfaqPZ1RItQtq14U43KUPl5fuMVKqhQuMsx0TiBFOcykj+K1CytnI8zR/SkR0DcjS5hdov1gyjomV6pJm06wKDlyfjHsLWqqhY9HS8sRK3dg6rj5Y9JsXQ8RVYf+GXJBkeOS7loViU2UcM7nqjCoG4bu8qgO6G19ELOMVN0AMhON5OUwxEUNL0OxMfKN9aQb1zvGl3PGnsJZQdhs+Vfx98E2mqWA3v4dJ01udeEZt5k9pLCx5xenpt755V+BA2/YL/4olLA6eNrGe4Kv+a5/D2+QVAMeQXpjJg4GGAf6UD5axn9jR3XPOEtFDIRolKNPs056LhubPC+j0RThrCqBBvROMWCiS0l304lyTQqkVX7zhg4miZ3X1bEQ4YgO6tZbn7iOZJzRe9mWfXMTFiGp4AWIVSZM0NggsZDCKiTc6NFA9EKCZlpYAEyoKZ9llltELKMdAK+ADE/lMmtXxMXfYJCOl5XTkNRsvUujBEUW3HE+16O7xdfLBKFZWsQioc0KQN2LUce5I4dWcTBD9oB0KjclWNgwnDpXfkyse89lDDLXmaQEKYsTbips/P+HT0mtGY4klJsTBi3TZkI2P6TOK8XhT3ZLE23UTAtb5DJhp4tQ8Yd4aRe3+tGggOTKiQKzWbkIn1k2N12P25vZrEmTsJizESjXZirwIdCPz+IDrCsSPLpKse2o/koTFJuYhwMBqBLIJnxJ2e/0Cu0VF3Ce9AnA+UoQuhLoTpOSCMlzxBium7jIQeZnt29JT4oq4pO+cUZPGnBZtBM6vmzChxRa5ZwYYv8j4dILfwNPhXaov8q7C3mIG8U6QnU73vkuBcZWnl6SMGJUZX1c+u46IVaqcysgLuI5HOjdQuJpaEWDf2diCe7RLIx+k2AP9wP7qD/W7Sd14J9p5arKOisaE/mThppsk8K0wYXDir//Um9wacGAs/NAryuWjyqIgYTPInBnbXIA+qWmDbLUFVL4IkbFAV84UsNu2ld67bcP2CNmcPj+nVprOcWdMEZg/IBiKFse/hFQxLVTvzZ6Q+RGsOjZHXRICE76JhDpJOvPMTPG/XsvxCJghJ/vQwpo1hNoL0aJ6E9J9KtGvkw/yTjiCpK2yoB8FIS/8gjrvYCP57T8rzCMtaUxccHImKwRO6zxBjbwOS5vw5KUSaPLjrkPXuvotcqmMZTF1hIxTGlJ7oTRcso4xEeSpFaW//yfppx0Jj9SL7wc4cXMOWbcm8kezwXtDAgxx201L/L98QRvImUtg9jainRawGJuypT5ZcvyShTVV9DPlW/vNaNkOTT11Cq5HTh5vzJx/igA/YJc+CHNtJzc1i2iNkywAcwYbfNqxfh3o2foSA6+YnQQciTxQxObZJmVszulASe3VvP0/wgdPrh7C5s2M8W2ownYpuvYL+brKvnr6uywBJ6IDMiLrNhChdi63Ui+6qjbUNVUdSA0FYimkFpB1iS0XxJD9kpBmohOsEUelTJL4w4XE2SyIW7sKunIS60uoOPq7Dz4FQ1lq9/4GT4EyBxXwd58hIPVgQFWeCzzNPFti3cziMn5yoZF22/i+CnRS3ztq8eXVJsHfcVatJ2OInMbpLEGPxJeW3kQURgJGsW1QYUpaZmv4sz9p+NBxZePpm2Z91ZQRigwPCmGxLmy8bnucOZAZYsCgiFQ7ZH1pewXNkcZrFZTG24CeT0WH4v17Sl0k8fUEzSd44Xo0B16KPVrV+aD9N8HietJFLtc7k7x7oH2GYwqU9kVuFtcK3ZJdZtzKwtdTTF56L9mn9iPTmOM/71J66Hq0mLmJI5yDnF4ktxutZhkH/IAB1r772MEn3jhpVn0zgrnIgLCZubkziPSuGFYtaM9bgxUvbv1+YUbuxlftTIprqwUhjjvlu8yPUzWNynBbV0XVaht6ORcJKn/rxyti7ZAR1/SCSrfBXFPevfo2aFzg/rEayeUooQJ7MfQem7gBDw3cEbW4uAnaNmA5U0hJxpUXdU5+rvAcBo9r7KcRK9LkTF27cNoMNVP4jpdwZhCytJ2XsAZ/hmvvz1XazuvrgDfxd6OF5jeu6h+azSuJ+ErDAQ773eRuqLoIIPv1IRt0TTyB+o9F2DOJfHqtokT+4zseMeTHM30/ZWHQ/Z/OgloUDDbFWIa5ykh5Xai+tHvg/P0LUouR0r5zN4Gfh9i2j/1G0cgdoz4f4ZW1tB2R3Tdme6aXsPw7R+aGWoeIrb/jiBwdf77EUy6qrPrbEx4L/TP9W7Uvy/U2lR5zdSx0Tux5yUhA0+2I3ZuLGzxsROE9ktIFiVievQL2Q0INpXvSoM4eZmXKx3MLaJHI+G0n3GnibGS8EYk/h0Qm3ygSENeNUzv6LTVzStxSf1T2lBWdZX4f3vPw1gPP67nXcb/UBNaxgHud40Z6Rh0WYG8kOd9pcGyi04kyJDTThnoXlQ+Ssk1QcXY+cHY6Le8qvzkiaqiriR53nTMlCJBlSwMvHNM7Kda4WCq0oWhGO6fQIk0GvMq6F6fHHQxAkp7hfjAGxIjzjB5VAfg1Hj2J24zGM9+lYGETDwxFrm/7YAWnkQnJSD5kHi2GMZg0oQ0IE8Vfy9Xi2FTf06uI1GXgwMGouALWlObtnlZ/1pZPLLeu7r5gw8BY376VvV41hgi5TR8IWDWzQgs9XQUM7jdd5w9grBiv52+WdLknzuUAsa5Wvl9Lk+0tnNPtiyLsJRJadHE0/uVzCC268scRDdS7OKjcLxAVW9NhRrViVSLCEzcf5CKTx1ce0XMD0SgbQOL10OB7ObIcZB4K2b/8Kph0FZMe/dVNKAAStNaO1sCoSFNxh6YGJY3a/N+AkP63kvyk/bgg1Au1A9PSgtzyldIviy5U5CxST+eVwyf/L26LZ3d0Q6xYjY/WG4gPEjFMS50kr1vh1qnZobvEzimlmZR4ctqHVkZR+ZeSblnW1QnqlKAEibQmcVOaje6jpcQ9pwst8DPc3pocOANF2YVgWLY25HQZfpwrPFex0qcF1OndSXKKLSYxczTlUWhFlVZk8HTAA49xc0uOVuXWYYf95v7ZPmVFotD04bvr1Voe5+YfWF8odRIgAHCwTO5E+OlMzgRofbroVo8aF1WIg2d773fFp17SEYOHVtb/sZDh9s3E+E44T6NbadX6ko1DP7xqzQhP0eWwLXeP3l5LqYJDVDVn0jjnxWZYcLHozWzRvCE3KWYTykMJ2DubGDHGmVOtmQryxT+TtPk1mNk7O4djUTbAdwse7hMJivcY6Q8unyPUVDxIlLBLATVcx4XOnAO3iIQM2vniaJU4M0p9O2U7avakjA/aJPp8w9SGtZYuhK48stRY4KnqfsduSnwWowSFOtaHB+E1CbruaV6YE4Wm4FEwQy6yB8PyZUAm74WbeSPVWeF67I+9tJgJia/vaxnB2Ai4Ftpmli7Qd2j2ELb7c5UCNtYmm8781GA0aSAn6YLM6/DUwGZaapGGyCUBHrYXR2HsnlReq0mTbLeYDagp0CbV3fna6s1zQydRm/9EqP7TRiWkNgSrUg8pnhbMQ1ox1CTQPMM0g8rZetZtLCM8NrR0uqdEKSqTKsTW8sUnQeRFeqiVj0YLnU3VsjnbIPpUVwkOsmqzpQ5xPq0KKl7uK65/0ErLqM7efXPvU0UPULcqoZfC+ZhKb9vcjGGWKEOw7Q3pe611G6Zp2ccZmkQu8WixjPdkgE0ifX1S2sldbSPJpk45/qW8kUPgOpCr4LNHnSEKLd4UXEk7iCeLrRBJK/GSKC8B77A8qEzBIO20ImVyzHt1HWGF6OIT8WZ8o+dgdWXlXuoXKr0gOluUiuRf/lMilMcb4uGkUgb13va3DRLNQAJbcPtDwJA6JrFXcgR6AyTylRkd13H4btgn4nP0X1c67MwmYYinvR4IM2qTK/4BK1/qsDq5VUEJDaNLeGfm7CSJNDFVV6dGG8x+w9LEN7Tr7aEV9V+5kGUxpK8U4GF2j6pdpx1Jxw8sohol8BZW/lhfRU+K0jZ4P0yvjt5aZMBda+VpDChEPslQqn7fiUdfxXSN65p+pMdzUp+jeBn1UbiAFg8dLMekvRvZj+lC9wHlPw5PbpgR/8aaLFdyqhgunLsJ7ssKSSx4PLt3bpXkRbVFssXLHD6e/emechKd7GN2lgetYdj84zMJBGQt2D/oazQnodgLkM+w6s8HAb7SWWCnW5yXEfwcPSiiBZxnM/3/h48B7s++jbPq6IZU0KgoQvyv9sNerAFJlkkw/SymWvwBXVfoXstOTdiFnJ51JAQUVsKT/CVEAgpstuibw6fiSHj1lp1tHic9ydNxQyMwAObfeQKHJsHOckjwXLris/kVWU1Oy1ziCo8kxPfsRC2CHEMdLjI+velH8HAbCAAel4FAFAX9jIBkZtmwfr1Hm6xzqYloHdJtwCa+31H7Mz7M8mbsKXt0TJEvAZyIgupDP4Ief7NWijn4kmtm1UZVj+cKCRo9UyXnacjDrvS4NzaBieL3kyPvUdMhUFMAy35y6WY6JOH4kwo/PsacTUhxMfAgCZ19mJVfXtlEG/IzYkfiS7ApuCOW1710ZcSkpbP5mtLy5cpYCgGJjxmIB0minRgy/uGd77MOnYKa770XYrFhbhGF4GEG0fuxurEqen388eI/uCzWXVSF70QGEb2yZ7eTanzNLBNXBH5rbHUpZqRGTcYnWHcy54Lw7ZoBGB6FUVZs4MvZknaNXToL8Sz8PXxnJvoY7sJhudND0sazJHwDAnEX/6dPqP3qCcdyQUNOyigDCXFylJ8my37LV7btWacAb7WZY5f+inXJcE5keFznN4W5HP2Tbpl+4OyIzy9BBVfhJrEXOTZf8PDjnPsp3rxxwEK+BM3tQ6aRXuGrS3He8E1o/uJpSlzKQIT+E8ZSuced0ZUjs2QQa5SG/2JWn4AKjWhhBydwlExV2QmdjWL0DToO0+AWfAvcz3CmDr9xGqNZPvSifvTvfRMuslLmd+P1StsZ48qFpHC5/kaHg8BnyalXRBRWAbz9yECjaRTsaFQqcI8fQuYTuhUaGYhXavMUSHdPS/07dx9AMXNwg4uHmIZo/NffORmA+QXzibwAeieoxoLQDWfF0SzR1criGKp9z9DfSwqf0THdPnaS4ymYIsDfwZ5nSUD7hPcQc2O8d36XMxubp5WQMvA22H1BR6P8gdYNajtC2XThZqBCJJt2ijGKw2osYtTBysKch7lsYs0TAVkRnntjnWU+f5cEo+H8fVwqDub/8u4ZD/X/L5G2MwZKwQgPwuvuY+Tm65/jI8wK4hl0I0qGinuUpzNkA69Dv7nu1NsnCCAF6s1MoGGkZlW7rawLZsqiNMOL4U5I7X5vuuDDdrg+ewuROqahc5h3K9Zt10dIVp1I1fhk3d4gt2y+UmmYi8UwAmN0RoRvde7zYh8ytXJ6LHgub04IFS/7FO7151AW7S5kMhKOSBrbj99D4XvELhKdvj+2nNfLXEA0XGEJkQY5Vl4bCofmnwaBKJmJt9OGJYhue9hynIWhAnmbfbh1z+Xau/9xixLqTyrjDqKTioRFqdcv6VnejjyyojfkFTa2wyt7rGw5TAD7TKIpZFrHJUTZUVM9htHpuKGgi9LYueK4bGUxZ6ILMsonLqf9xHYQo2DlWrsi/TjqzYciDDkEc1J7DiEKp6DJLEs6ZAzUz96b9kqm3jdsPPouwZLdVe8BmQV7FVGnaUHjAzSSKhixfd6fi2s9pGkiNc2ycaby1wQWEFSl4wLiqSoCg2RMvLeALbvbMbM297FhRgUwJtqLGz9jLNqwYVJgCJz3Rzs/YzNE3PwUgw9x5q80dRDG1jAzZoNhk0UK4G13oHc3vAJQPZMrz7N650+vIMRqPnvRCn0L7Hx9+2zdglIAN9hWa83lcPogrpjo1lpjIYy2mxPF7gOhRJ3GN61tRn08X8u8tUpZRM7nuRVPvLeMiMRFMXYBRTY4aJufnnMTp9lv2qUfFnggyRdvVaJVMRP/zKvnW7ic9R1l7LGxGkCZIIZM3IeV4gSFZxynlqE0VO17vS1Z4oJf+eLmmVo0jH5RrBXCWWmAMynEK/mAz5Tp4tJvWZdADSogxEwZpIbxu5J4xe6RauxH1616PzgD9mXH8AyV/eXXfLKpqOHG5PBlEwlprsE759okbz1q2gaOHOmiSibEeY/2LsFVSRalCpXDC/2PceXpoPqKevltZnqdK/iWgBv+MtQoTVSjG1l+2pjPk7h9+V1+bTEiNQf1SA2BsyDWA1VlIUj8EQYdennlSPXiakUzj+iX4lqMQeldTmcpdl2J/tXgSsD5oZvp0a4bT3fen7CEqsLe40kabXCQEQOSUCR5wteOIxPGyfcc/PoLH7II0QlGjBXeCHQoNPzSF8CzZ+l9BsyZ2pS7ahJVpug7Vozbs0TeJT5sy1RcBSLYLhmQDW/GIXlZbpZ2sjTuGtzxHjDNGmli7AirtYnRI8Td+ypoEPGCYW04mM953B67LFi0dHgASd9rBmNBt1Q8r5/XaP6ybcRCgc/v22OZPbvFgo/6C4xlQW4WXMcluodgVOjzAC5ylDlH+juAfKa1Ne+z8/nL4fEUU+/S8TMrYjAcHHnKwSwHYykUEMpm/CLGqVSi/jb0CakC3dkk9YKRAY+D4ECyGjHOIVjFff7GcwpGZgdjtOYxL+zYc4qFaLalwjj9Ng2i1bhp6w63c7EuuMLffHJ3vVxDXT9rsMCEwevWr7NxPwCEButiyJW9Ji7Z+6KJceYHPU4Y6/7WCP9Xu5XUh9TgMUCW8jwgKU3FoQd0VA+rjH2zvup52r3pCUoh2ddAzhK8cbkvqJAJpCW8JPZMS29+75TVbtLsO3s54p46UZMvh7EnlsPOVa62XtCb6V7cJ651XOeCmS3IWKKM2612fy8rQ5vlIrSb3LPvnEzMdFV5PkVoTkjC5C58dTxMJWkDeflfEcAP9Mwl0xe5sTyAgfQOBkrwslc44p2/fFXlP4/qtJPE0lK+1VMOrxsTwYoUy7nNjlLIOrjcurbKnxKdNpFFgtW5YqB2mefsKmZ1eHm3p9+2Hc69aNyiXS8DjNEyWLgTDF+sB4HUplMDbZ0LBMIbMu6nToagK+X2jl2YBbb4uk1O6ocJAXrXPpJenQQ8D1B2g+ih2rKrgzY/DrmW2yhD/ooA7fn1WZ3zVwOfFLX8DTeiMxq9QmzbacckfZe+JGyHGgqk9O8T9+iSKdRczDULjZiopKThVv79GF+V2EenT+LAclyaWRsfeOdiR6+EZq4uegqbmVSuiBlFkAk9H3P6kSBQ1R61UC8QV8gUBjnGTmB/JDrMahZJpvDwNYD07eZSdjWDE6EIy7YZzv1Fk1WHoM+tHaFd2JePhQGO2CRORZLwuvzuzett1X+82jy0khTd0Y5gkf4OSTvm3m/b6DFGuFau2tCnvEtu7hICX8RanTpbiGQJ+S3Bh1h9IvWzvRWZMw0GZ1v0x3yctuw/VprIXKv9jbY4MUtdvDnsLdXgOySnjcERhhSLKVIsIx8ylcRNaME35Ch4VoYUeh4AjQLiwY2VL7zTrRl6ZB+cnmNTvqDoZYvikXcd2UsMR6MvH6dctVj5Y3NbybCracT5ZZsWD6aWNAYugSpytbNcz84MAe78CS3PlHlM0WcXcyaD8TlxykM3wItIC6Mr1BJHgDyDNMEo1bUTMa6vFXris69NcdxjEsjAIeBC8fwlEiJ8ZUL+VOwx3X7VINVxtvSJT/Z/oyHbSeNVPTiGrRbvG6UMY47wbXCzRExdIqLhYbulqaIRdzhlUZ0D6DGrElfdvpkGpU0pinFPpsRWCBo5SGgWMfMxr3L1Hqe0psXEF4aizCU0yc2zfAKuLNEO7f3wPEX7tmabVVY48PyCDZBvnq8UD2hFl4dL1G/vIlK72RPz7nDbbtVytiD+ugEaxroAyg0mjZlX5CwITPoYgB3ygqU7mfPMsbdaLYz0oYnjMgoMbixgsgLRAT16zcMuxrVDDLnCNieEpV3qwjABBoB9r1AoKbQqt8WM5AfcqDWViOJZQeAgiSWrvHjYvxJ3LcrOtO1cJGBcxajA42YFFtF9nIv1wBH2GgqJoo3C4fp5EPsCRVz48G80ZN22OMmpkxcXqFQgM4mBke2p1jPZwy5buUiUe9+3kItbvFkmQREHw8jvwbXsGa3NxuJ9ZzpWpEBDRefHMR8P765FFKTxxsmjjU8nbVUTv6nfjcz20pIW52Vm8EK/9e5LUYWvIkPSUJ3xJXhuTzVROfG6fDMCcUukVu4lhyZ9TWq1+yuTIHn2mTKexptcH2akRFKXI9+nlv3lldxMGXrbS63sSNSKqVHfiGz7DtLptwNQRPmH1xRxsEIuZ205aD99GcJSL5Ya3rPM74pJygEw4HenRtfzUrqritc+pWbtiDYjRlELhUaObuewC6mvj4lf5CkISBWFPshVRFH9fDMPXLVTYFPYGGAaLA5+TwBupYLxHElzDHQdYi5hUo8UlQVhMFSuBIKzHoOL/laOWWugv4BeU0UigS8DSD52hTWCEveCHpGDDfKmC7oUpfs/FAN467bVma8aAFzAYi0yj2zfgywOj/UBqIsaf41odTup4reziBdzy1CtL6VEZrzeV2UukjnUmYumxA52FzCDBNF9qRC7i7hxVAGNZJY2bCBqkqXdUSy3aJAEwM0ovhY3HeB6SAiFG1f6dKfZe1Hzsx4XqTYAmr06jjt1ApaSKO+32QpU3yF0nfzhEbFGIYGzjXbDjt8LzfNJOixjb/bUTl61JzbFomNqcIE6pei0CI8F98GhQPTPgMDP4ve0L5qmbMMxNFTK8HNu8lAyvQSyASJNDNVlIN4wPF6bHT/uB5FTXFw+oVT3QCnjgYnAUNQ2br1+InZx5bI4eAVQ12t4DfWBZt+vbSeKmMp4fgJa3eZ4S8++McGZv1186jNQtVfSvnwlR2hFyCF+tv+k0pDt+q+O45FKM4K+SgkCfJqk8iwO6nL+V1AdiZSA0T0QU/3Id4txylDc840xDUDpxssiVStdHy4kyPR2sh5/G+3Y/XdRDqgNXBprWPZzXyISkuazs1g1fHCgb/I2P1U8ZVduER+A8ZC+77rGtwLy2bfjHiO/37pVbUAiH2VybsAYPw5l7/a6Q5wOQckKjia6E6Bv83R7SY+mSmGGWhX+lc2SmlX5xSAfH8aaMTR+26hbKIY6ptHfO74hw7gIZ/HYMBest1+LvsluUV8I2o31QusT+pmeSKrK6UK4y+xTxTra4NCnohbznz3ZLPRWVv1q6rfgjO0emk2tOyw8jEYO/W59XV0vDWpkOAVDpZ/ZxvwApYsCy07ckrThOXtQisAmBZRZX8n4xn75hpWjEI03X/TAxqPwSW6SBCS9iKJ/S3g9LVZ3V+iPm3FoHNG9wBJLRYcSZCmMNDvFYFjqTyjjGWsr3SeCa7JduEnZidb+hZkb3Tq+sW0PCyq5moGBw7gv1OG4kXaGW8JF4HeIXbaxEmQDH47wEuyqSmJM7AQaTx6KWy2cfnkk43IlkQEX+okVLBrn1O2NPriY/ah3O8RQonTUxz1d/KfXkjkYbdEl8VuV66+xC9UtUrh3vpR8W0ZhHL4NvJkUofM3Jm9Czff0d6vObsaJT+T2KtN5071oM92Byz0fZltV9i3UTs2opH9b0EJTsKb1O+e6MshFyuAX6CgHfKoiB7fequ2U7npS1Fet+E79WEvKGucQUcCIxpn2RT40gXsgz/Ikl2leLzwJ3Y4T5svrWGOWQ4JQxHQZla//fC8lryyl99aOhD5K7IeK85ouHudCG+cYrP6SeameWuPl/6dQ2zoIX+kejYXV2pyqUdbEMSptbwCEQ6gSXv+xzfwrWN5LmqaPzXoBCZsZ7labQnC8c9VgFvAOR+WeM05YpbM6WWVKsME8iyGYPRceAq227B9N6CdIodnfLb98WDDAWuPfTV2e9KrDWcjG/rdGEWqgONfcKUvhH1qiXKkpNDl0//3CHBsmF8CNcs8AK/RfqekBhAIymVyoSjc7A4gzH5GrA+4nMU6xfY0chW/grfO1KcfEkMulGn5VmHRiwX3fdgBM/VqbgIZ6j1Qs07vKH7lblMvb+kQ7VUM2bGFsMJYlhkFi+i8PLq3mmHFRBsSjl56rx+Fa/HTRX+qrPmc0arX6VR1XMc8JvoW0NJwQHR+QTRlvAC4GMWiOhCSgmpp5d9ec6zAXEDOu56ToC+Ioj0RKVH3nZeK6b4osi+Dl9Wtz7RQeIxtIKfxRlg6BbhoacNv/YxBkEAXKG5JL8ysTYDOUMJdRzQFmEiUwIYmFepGLWorbiTpz79NqGmuO9rfLeUkdiGx7788v0/DAfjRBbNgD6nvgf7fkkGUKnDzCwoJztYXL0CPyZAs5Orbs12VrHj5cfm+ql3QFONeyAi0zN7Akd2Vqpw1PSI+8uYO37pQGuSQfBGlaBQ+4SCNLbG7tMOJQRLSE4i1VBLF+syfrW46esnFA+DDImZBDaAOQkMfUeH0geVqHWB1oYISvEQ7573S1oF/bknMZcL6/KDySsjpOANXBDCwd7sB9QmCHyCYpU6//W8OwFx7PaTELyNIyh6/2NjoYrRSuN6qIeE/sIHOq16NzB17r+oWPzxDONjqKLriBQdHwm5Fo0KmZkxpjtUQhllAjBiDr+8PesN5+XVhwAbI6BvedxRmlZ38+AxwediC8WC/AY/6UMML1D2w6Bco49gYqktDaXsca1pKPwXsEx2h/VUuEje70eNiiE9q4RvgrW2pRDHjj2OunEJZqkGtbbZcZI/N8Cr5LeTx5oZoe8gMNoLqF0fFEMA8GW/i3uoRWGedsPcf8tDOdjxoBlt5rJtucL8KUCBJPeg/N5c7sN8dENVMQU0+1jOPNH67HPAnL8Gt3ReKq2XPARsDh1KBVA5gcQvmfro8NOn8cr6bh8beIaWUMEHyNa1yNlS1M6weUrKdI9nmV2RIiO99MzAmAK9so4y6yVlrueQDXYTQtSG04hz1Z/1DvAHoltiQJFedb39HNYaO4cILLc/FtDpLLhOPUY/Of2uvaTSSsOOkLXdygJDqMtcagzPfcU01C6kkjlQct1DzihogLWgrDd6sh6ItEOCuS1qy2eiLOXRycj5exVrhV2u05mKQaOFvbmkq34oLE7hHqkRruWX1Tvp3E7PQHok5sULGNxSsTJuxRApzgm6abMo14/lhU80U5UufNRWVBwXQqOE00Cyi9nZdmC5jcDFoMZ9dcVwyH8rPFDVA+4QCqSCOUcKGhQYa88OPdAtxrsF2cZJO+wZmmKo2/OzfkVehigmrZpcb3mEoNmv3VnONiXcpmDjh9abC5yWP5K8fSWRxkAEGO81Ss11QVWYQaebs+OajXH4Yor2Kg9K5wsECBK+1ZqwKm7SSrW7FTTFKSZKo5I0LxDzEDOfhSy3MwPqrSEYwsz+Pns9CRBDeEYd7HkQSdLeJoRj6xe+DsGjr4sZdKP86EmkOzGg8U3I4jy0vw80WhuGQCT6QjcTAzCBskKmbAu1hEzfCiWMd/PUqNcvkDVugSURvvsef2yYlEYOvX2L37UnzvfihQx8Oz5Bbd4E0mXoF2Y1Hk7YcaNl8t5U72Wxhf3HjTP9WwmB0A/IV3FScykZHcxe1O3rZ41CfL1FrnG/1YhKyHwdJqwUKRODNDdeuhYWZXEXCFYbzLYSne/GKtR5cHE6WcX6VfW3szhcZfW+yyZSrLpx2FX9JYh02zUO425Q8VuOxuth1ibamixtShSmbqPJeufkyitKbvCl0NlfTUuAC6CMT+RWAIHBZYue7S0VYQrYXkG57bR431ETRmY6PRTfrlnfx1S+QBCZ5YnY2DiTRJ4eZpjuWWI09lafdrHPm0UawujTD9M1/dpo7u06n28p5ZuPH3K9Lr9xgCmPPgEZNtHH/p6q5tLrhVJTBFvTzuNVYaqjcFzjf88apudvdaONUI4VAobPmTiZcsn68gL9kEXlIRalf9mDW37rBBB9vykPEfO25unI4qwStYudA08J5q+iV9eNeM+FZ3tMOajy719YaeIPmvQoMo6veTyEZiOPfIaZw9/K6jbcqymkoWZEquwkeASKLV5qiSL2deyxaXco4dwA6NlLcNBuypvONmBQ48ahuJAMDbdpgliIEPsvkcfaTdvfkqj+pRQ0xHL2ONr79bRIehNS0CbVOSwq/lH7OQxz3Z7ZxyTAdeRAs5r12rPR4ptHijwbUu1sNGGPbJb87vgthxPj28aMSSKy+f5kBC/iYAtz5uC6jluEI+xYeT1W17TMdnDxUbKhGUdB9grdSKkk6wjWXDEY/hE3F0s0m7j6IzcTPThH36OtAfWqsJ/wIsUmRc6hrYd5Bs3YfJgBhXorgXz7O+OdTetW0Rql+bxbNi8i6JkuBJiA8MDCsTG55w/6FFErbqjB8IhT/Hh35bHy9D3ptPM0yAiclxnzlX9xoZDC0sP8z6nw4RQSU9FuY5xZj13bFdjLSe5nhO/ZUlDqSWYv9fRkTiaA8MkuJtU5BanJ0QMhM1DoZD9P0R6Xc9yRviNgYqP0l24F2dOYpVLGFXisbWVNY212GVL1SXCqYqGs3Z5Ozew/nEVB2KkmkIYDc992tg+1ljBXPNItZPjc9sM8Ts1xPho5nhB+O7z17BPc+EvArsmmU3suy6x2Gay85jguQWJl6sbh1C4UkCWVvP9OVx8jvO+LM32bv6Ixs0Rcs5aory88zcT0tZi2c6af1L9uwpVOwh0O27GZWvuSa5KPm6hMOmQk6/MaMgYznD9YD9vxEeOrCYpqG21wWteMrmZR6nhG89HxIGXvRAYc6tqZByKJ9IK7xrwbVeKGrr1NIrNW2/bftpmC1Q94+zPtTeb56lx0gUsAHvw/4Bc4+K9cQ7IZlvur12lzJ8p/FX6nE2h/41b9Q135DIholK2tmoHXVjYLbTatD73fgUvYRmRYgGvKgmwPO5SnG2VPRHiKo6AuydurAahk3GHqKU1+7d2c4+pX3hcbp2jiXlmglQUDUzu2DtzK5i/rzYyBBXjgSMpYQjJgaQCD55QvH0M9MHJsu4jzMmj3c3eJMUbuwuDQqYFcm5kmSC/d/kNMvLjCa+e9wuqY+CshIPXMReeSpF/UJwgVtp90fOHog9BLhzrRw1unmjW/qvY3PKgOR+2hzAKarHsdAULMBDNJY//ftN098S8aVjih/8LkK/aLb0rGBxly14JoABGsvqsQ5Zf/FBkdOxI+v5mOuEtkK3c/WAZProuywmzreE9Cfb68EDamYIzBC21S84heEHn1Ix4u9B4+XYf15vBbk2kwZItjqnT7laWehJOP1VRH9ldXKjOxe5JQzkUyyXfhlEYfzXb9CB8wef4DyehkTx2syTFMImK+Q4RySPpZ7rzOw2D1W5tzz5Fn2l5Aj3da32VgXq9xZEhBbBJK75FJbU0B41qe2SiTXPtMMjEb0iRihO7akKvX96tAJq/O2yAkedeOYNHj+ijSwNPVK10XMaU0OD4cXM2J4xujOgNeV+WiTMXQ8FKW7fXluFwjmcylqXC5TLb8GN8mFvzrVK638QbGc3BXsxek0aqUbEgR7yzvITXjl1VeKeFijljFeThaPkNm3TTmjKolJSr+BN6lC+8iM32ZjGfE1d057H0ou/nGv1PtRvv5J1Wi0+oWBoeHSMywYe5/0PyiEmThlS1QkrySS9US8BJ8FREotSqi35u572j0s0qdjXjjpVqykDqUV5+Nm0XZ2vY+yhamgOeaeSFq4rWAZm3S+sD2XfJsZLNcRS+QEMm8dHrFjbRAvhwdTSJjQmL1415oslG0Q0Abzz4hxWxwRQsyGVnK4eLPsxFc0bg4Jl0lXEMDTWXoyW2VyBLHPReFsR+hV7uFfZkWImKtpLWBWsB/n3Fh3ntSbCKOs18OV/aYWD4N1eJPBgJ4TpRznf8DoA/DfFbGUq3fap6aqFswZquPP2rJdLA4kINWR1x0wOX+WC3GqdGgOt7F+oL5Pjq9A1VcJlVDTaMM12rvMDfi3Z43emYolGJpQY38E0/6sglzhyDZ3cMmhBLmaLCzWYgfd2MqeQ47TKLVKfQ4Rkd1hKoT8DGEcg/xK1Tl7IV6VNUlTB7QR5K2isW2uwSS3li3mXNOFvDhVI+QiAQ6h4u2AKsapBKCH9JB+j5wi6RN7XguDYmssnnxBCSgaX26daxV1j9mHtbLF6BbFO+9qVERQIQvVVRAcCiLeALFlwRWr8/CnfW1SwTabYRUwMHgUSOafE7kaKwKXl+gcqanq4BFDLBr8TTdTvCRSIy2l78zH8NG34FDaQomq/8Ei8gfHGRO4keMRgTEmJcJQ9u3BtcHCdhUrd2LGfuoC2xqIW4OWjp/xE2mSooaFHsvfMTaA29HmBYlQJnJbf50YfIh7+w1ZD+x4xtNaMmNnrzUsmhoXzMJAemCgRxLWGizrHbDRiCdl7tG7yQWt75hlDTi+xX535jyAxEykUdhueoRBwsM1MsHrHISwQsD0h23N+VtkYHym0X/CAdJRUhhVybf+rEAs767Md85f2NS6t5ykfnleFv70+o3Ou+hwEh0I46VYBB8dN3eCcVMJ7JgOpj0coQ0tVcdH4tTnXbvpDNbGKf0jXFLHPY5KFsCELMaUoCroNUOFOWu/pxhMBvOp4O6rDCyeLlwVJBPU6QPIIVHCfo2VWmBaMoj+2N0sCCMDoD0xyV20RpmBLxZTZlsqIgtsz7AXm0xl664Umv+W4l+H43ATQIl7Kk0JnhTodOj4NBwLs50Y/vFycl9GzA39W5lXwXt76h3T0EPpf2OQDjAWgKVuKDKtzWHQcA9fb/tHpBvDbisKu2Mwc1yh+8MRoAeu+DcJvyyYIDM2/7S9QKixlr0xzQr8cn1lfbpjPKphNlVd2cJiGMfdSzG9RGyJw7bd2JnOE3nS2UMzKPxcc9KkMVBV5yFR4LXGFnqMtpbyhwzcvwfA5I0p/hxbGBq6PtFDjm4RPSSboUpRDQtppNVWCG9AeoLVskLuClgcITW0Q0GTM8Q9lao1f4Y2r7rIVLZM3gr8Q46wozY8qIAQdkImwxwkllNzbQO8n+IbuBVaVnm03Xa/MYPtVj5XVqXQl8XBWq5ux0vusy+7+zZSF8SBDwKO5Tbjm4W3bEgAC1kJnJVWE7PRKKtnoEF1eu74xvnneXPj/A5q30+pvJqXiJ6IGcmkd45mNlxHlHMav3fsTQvCGXL9eNsvDr66Hc9bripqzkZBzbkjmQJAgpshN/Kg0hGSBH2FYqQxfBNiZel9zp4HEjBMf2Rsp4WjXu5AST4nUgm05tdxTIRiLIKfnuWWnBgndAsM4XjOzp25yDl0ssaGv61uQGCCixwscQNG9cJVmuYBqlWk0oY1n+GD+/Y7bz5B8i4KMoYkDMZW6mKeMdj/5LZIRPJ9mmiAVm0iUduqUvoLDTmzR7APnfp5WD1D5uLlqCQmXcVh0wO6NRrz07hPAusRTwDF63maivL05XPWO6Ty1rvnSygPM/0uDEt4X82UgIjN/xPfGPXwcPEnlQJRMT7J4PkjUrjmiL1+G8a/GNaAw4Jzr6/gRrAElaHshYeZumTFOUBCywbZHkeIAaRAgZkUmsodiGA+VH5pkJxnQDsV88JeVqNSN1VKP6OL2PiCuNlpyIhuQoD3slnStli7y+TtwzdgZzeDsfigfOORdhSBSl3nVEpjWKCIQT3W6aEKpzI4Dv0V11d5KR3a7lwlnXvhGrN4zQmx9Qzky0hLfqAbH0jLnYh8s+5EngNLiuj5XktPNFRAX/LcrmnOPuzNbVES9RFxDJANmYSCavPIExZPSN0omwHtRK+7VkZlE+oz5TsCI7rjCldl+JFoHHUw+qKN1Cge8I8K1sjG4thkJ+a79mWgkcmdbbXIO92o7k2CVEpf4W41Lp9T76sW8IHOycQQAvViNFJsKNWizWpzTJJi0s7PGUYxNQ90Xo/669JPFMhr83578eIxEa1LH/8BpBhfnj9KMYLQdoz940b+3D8h/0To4ATtd5xTNXBgIRJw6N5kb9go27EMj3cnkt/PPVJQBCw1ABWPArm6xjZVGYf3rHMpi5panizpS1ZinwN/WGIWcKaLbTUZ7LROyMf4b07LLmiH+4iq0xSDijVTE6kMP3dhzi/ZzUwRWYid2wMT9zOYS35BXTFqz3LTAMx2XUbHdSUwCCXgiHRZU6Z3I5EcF/7doCcL7P+mXYruQ4b2Jsp+D8c1qgNoicILZmX9ZqjQ+Ia6t8CX4gAok/kLIxgBEyrfix4OTOoqPtezlACq1fbhA0Wjtu7iihJKw7HDuSyiqa5U8y4bXBlnl6Ct3F8c4Nbpmd7RmbSJWPZNPYCyg0uBUUsLkCtVWDIo1ln2pZCYCoMID3rym3PcEQ/CYbVxVyG4RnS+5E08zX3X0sdv2IBdPJ/V8G9zB+tRVGfoNJgBTuEe+2cO9GME/kfdwXClaivdsWOy+XAnplt2TTjzTqAuH08Xso7gK0ufVf85TQAOhMC2Aebau0VzBoe1fCBr/dtIoOdbcgkKzlq0E0KSOZmmbDVT8yIyIdaJ4EPiQKaASiSbv1hpN7d/q0pAeUh+2FH2U7aEJbrjGwjySNiJ4cc2xjhvKAJknTtNveQ2fLQaveSY7qFgAQ/zToYV6+2/pZ/1qahM8K2ZFdXV8+d5BqImJB7A4DFM33fyeEniQP1h6mOLRzUYqRXMp37pNGa+7V3GSafA/BZVizKwMoCYNGZTODh0f5lvjm2UjFI4gWbBXfAZ2z3ObS/n/ZWQm+M7JZCXhRJsnwnZ7xvhdW0r7EJwyXvAOKGfF5xAzu41KlOv5bOifEGjb4kYfi8k1wnbsUiOhZuxGUvwd9YajIACh+PATwaYwHfXx/dgNa3NtsUBQwUZODfAAQrkINEpnPUsqHIu3lOp1Y12+jiu+jwrcnFF6aKPhMMgbl0q3CnlI2XHAGhFxsS5zWurPmMt07WCBXdH1eeC55bbcUQbvPCIZBDWqCzeLFQdO6m5zrTzsNOuuYU3uPkXcx4WYm7Z8qSXeDRZe0XXQayCHrfm5e8Rrh9f2+ypKsBr/Z/UBocDwjduBUEl973DmW0hbudOPeSIeICfJFmln2ALQuQjeY3mJIaBk4i37XtfDl/qVaQ+FsPiD3gDcZJvyjNUV2fpqajlWdSk+xGu2rmRyfFhj01MTGWRXMc58sLG7IWt7z2WAGTqZGZJe+kjZEa4rURTRKDKG6Uqeir1g4+8Gtmo3knXzU+OzYKb/A420CWDy3ztm5FlZvhI0ZtKuvnayJ0PdmTFt7qK8XnJLlD8tsK++8/SvnW1lwY4yOAKmthFGf6uma42o+E/31X7C3yR3XpEYGhT7Dyg6xyLuXpvgcHgghFEKnAJTsiA7hZ8KA4mp8+cpF5+RoyofX9yzHdttfGZXQnf8NztnX4ruo3QlVoGqQW4KbZGWL0FqYpCVWDLdqQBwAi4G0KMtrstEo5oR4PKfhiG/1peGfj9Jq7xY6zRbYZnWqn/ObHGS0YtR3DHr27uN+Zx4OD5mNbAT9qLqYqHTNKXDvnQ/jVf1BPu+sTl/xIbTs0MwKhpZVg89RT5woXdRNOesNb4bCzGIekGOJpGFpaROaaE+U7Z61/3PeLMtZkMEW28L44GZ77XJTQx3QMavT0l6lQhilqtmiMGotoVYYs+siwyX3Adszn5WYcUNq5wJrjW8JkRK5p04dofw716Ug6EeYfuafn71ZsuiXSrLN/u3VW8asqpVUqnXyDY5p9LkNvPWiZ/6N3Wh8saYyGsSAVCeHIYqeYMnPQBc1Ve8Xbpj74+tDnCNNShYymB5VL7SNs7fZ+QUyJwuFoBTHEP8t0vwdHckU0JwO5cofifXBnJ++ytvrt2h1kYYrOSYDcwI/S34SpLGyNPig8h5ok3dEV3LFMYDo71RZ8FbpmIDZe81WIa0ESQZOiKlbBh+cuGfBY2r3aXhmtKREYPAuyGSeeeLWc82feYTRjcSqVI6wjNBfpu1x8CE70w0JQqZ3X65SO3fALMFRktLdKzLTe9HQCCVzAvih80B4CqlovI3nhigVWu5EGSvxHYz9/k5kS+4G0xN84lBcdTGGrKfBk8hNPzQpq8BnIeJpKoL/IlFDKKpJLDwXLPQNbFFqQ08v9MSDhYOHb+lbCosB/RGLEPl8EJobQiQJeZwF/qHWBh2GvR7Iz3bD66q+3K6H2phbHWohxB/Fpc5D0ZfWz3FRyHUqf99gvIQd0wb8xv2NTwCykEido0xxsG86LEcDss6RTS16RuoL+SovMq/+Zb9As+nNFBMPD96VXewDQH9znWS+E/cKCkRhgxJziCx7E/9KOWy0IX45RNJsFeHYk3p9PLGS/gksSY7rqwnzMASv/q8JfxnMecjRpktISLcPgNbDsmUyQaQsgkVdXMTGfZNYujQaSR1MGuuAwvzJA9NCa/SUSk3mgwqDeKHUd1zWQzxLf+MQsF80FfwL0cQqUi3cvXqMlbyvKyLvubtZ2AjncK18ajylmwkLrLnzVOLloqgKe5SGWaJjZlGybNQ9OaD0vr8gtn7E2aVyinX3rIVljHzZyXO0wXfywDKl/c/46qvru7sxJKwm71Y5hTGxKy0pofV7VgVMAvcE/+1Y8M+I7Bk5M2AFMw6dvHlJvl8U8F9xkFH3HxzYkNK5iIs1ilVItco2AAAfRZo2CKVT8TMHEi97qR+Ils4PASoNjMZQRT4Flv+iWqKfDvhN9nLwW84bxBGq1NF05USFdCJWIKlsdaRLvTKkGTm5ziysPgzlmngMc/NBJwAIyCkpmDMI+Lm84XPqOEYc1ZwnQcf+nmeHN5mtwOyNvVIyyRf/6HO/SYCHVMLuDOktcmN41u6po/kbLe+X1yF8Zii8k/9GMq+LNLKMLQqFt48lBtpuUTsP4Gy0/UaAEJPwXNh6LHC8Wa34etJAtBhyUzPRRYoKAb0tUTt4ADEo9yLB4c4jFDgDfvTeIRCmTkHOBA6t5RVN3ZiaqA7+naxsgacos2w0OiKYS5knnrLV5w+DNcJeCNmQMa/nt+HuJP4SvVqqPK3+ARUo1PWNh2qWgU+YjwGd9d/7W1Wlb7Du2FkaDhKwUXpaT/VOYJtywUqhijTDj3mIXOMwnosRnpAqk2YD8MwPhT0+wuRbmNR5NkijziAKetqqkrjY5VXj/lke0o1ExPKZhaeCcHY7fb/d9gBxKYlSPLUHT4Qets/ZqJ1eojoHp6M0ZTUURtub0hgKCNCGk8udlePC+wIdxddjmiRCy59YZD7VmQstLei+sYtpoJkgUiLJzTBW9A/zdoQxuZVBzBRjS7g+t+Sc/CUaMdMpSCrWUBGODDO3eZN/TRGLhGJQtiqWeEzzMNC1gWztawX68GBKmt95ahDbpUfnj7O/8FIx00jk=]]></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2.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3.xml><?xml version="1.0" encoding="utf-8"?>
<ds:datastoreItem xmlns:ds="http://schemas.openxmlformats.org/officeDocument/2006/customXml" ds:itemID="{C892822D-C113-4BA5-86CC-2DE42EBF398C}">
  <ds:schemaRefs>
    <ds:schemaRef ds:uri="http://mapping.word.org/2012/mapping"/>
  </ds:schemaRefs>
</ds:datastoreItem>
</file>

<file path=customXml/itemProps4.xml><?xml version="1.0" encoding="utf-8"?>
<ds:datastoreItem xmlns:ds="http://schemas.openxmlformats.org/officeDocument/2006/customXml" ds:itemID="{2EB51498-5C9C-4696-9742-09DC717EB612}">
  <ds:schemaRefs>
    <ds:schemaRef ds:uri="http://mapping.word.org/2012/template"/>
  </ds:schemaRefs>
</ds:datastoreItem>
</file>

<file path=customXml/itemProps5.xml><?xml version="1.0" encoding="utf-8"?>
<ds:datastoreItem xmlns:ds="http://schemas.openxmlformats.org/officeDocument/2006/customXml" ds:itemID="{ACA77F62-37B7-4BCD-A51F-DED76EC8B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420</TotalTime>
  <Pages>187</Pages>
  <Words>29790</Words>
  <Characters>169808</Characters>
  <Application>Microsoft Office Word</Application>
  <DocSecurity>0</DocSecurity>
  <Lines>1415</Lines>
  <Paragraphs>398</Paragraphs>
  <ScaleCrop>false</ScaleCrop>
  <Company>Sky123.Org</Company>
  <LinksUpToDate>false</LinksUpToDate>
  <CharactersWithSpaces>199200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subject/>
  <dc:creator>czq</dc:creator>
  <cp:keywords/>
  <dc:description/>
  <cp:lastModifiedBy>MAYJ</cp:lastModifiedBy>
  <cp:revision>40</cp:revision>
  <dcterms:created xsi:type="dcterms:W3CDTF">2019-08-15T13:36:00Z</dcterms:created>
  <dcterms:modified xsi:type="dcterms:W3CDTF">2019-08-16T07:01:00Z</dcterms:modified>
</cp:coreProperties>
</file>